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E72264" w14:textId="2E0D8EB4" w:rsidR="00D75644" w:rsidRPr="008B619A" w:rsidRDefault="00814958" w:rsidP="00CF0843">
      <w:pPr>
        <w:pStyle w:val="af5"/>
        <w:jc w:val="left"/>
        <w:rPr>
          <w:color w:val="000000" w:themeColor="text1"/>
        </w:rPr>
      </w:pPr>
      <w:bookmarkStart w:id="0" w:name="_Hlk59277400"/>
      <w:bookmarkEnd w:id="0"/>
      <w:r w:rsidRPr="008B619A">
        <w:rPr>
          <w:rFonts w:hint="eastAsia"/>
          <w:color w:val="000000" w:themeColor="text1"/>
        </w:rPr>
        <w:t xml:space="preserve"> </w:t>
      </w:r>
      <w:r w:rsidRPr="008B619A">
        <w:rPr>
          <w:color w:val="000000" w:themeColor="text1"/>
        </w:rPr>
        <w:t xml:space="preserve">  </w:t>
      </w:r>
      <w:r w:rsidR="009D26EF" w:rsidRPr="008B619A">
        <w:rPr>
          <w:rFonts w:hint="eastAsia"/>
          <w:color w:val="000000" w:themeColor="text1"/>
        </w:rPr>
        <w:t>監察院</w:t>
      </w:r>
      <w:r w:rsidR="005B7FD2" w:rsidRPr="008B619A">
        <w:rPr>
          <w:rFonts w:hint="eastAsia"/>
          <w:color w:val="000000" w:themeColor="text1"/>
        </w:rPr>
        <w:t>109</w:t>
      </w:r>
      <w:r w:rsidR="009D26EF" w:rsidRPr="008B619A">
        <w:rPr>
          <w:rFonts w:hint="eastAsia"/>
          <w:color w:val="000000" w:themeColor="text1"/>
        </w:rPr>
        <w:t>年度通案性案件調查研究</w:t>
      </w:r>
      <w:r w:rsidR="00FA7623" w:rsidRPr="008B619A">
        <w:rPr>
          <w:rFonts w:hint="eastAsia"/>
          <w:color w:val="000000" w:themeColor="text1"/>
        </w:rPr>
        <w:t>報告</w:t>
      </w:r>
    </w:p>
    <w:p w14:paraId="6B08658D" w14:textId="77777777" w:rsidR="00475ECF" w:rsidRPr="008B619A" w:rsidRDefault="000A5787" w:rsidP="005E509C">
      <w:pPr>
        <w:pStyle w:val="1"/>
        <w:rPr>
          <w:b/>
          <w:bCs w:val="0"/>
          <w:color w:val="000000" w:themeColor="text1"/>
          <w:szCs w:val="32"/>
        </w:rPr>
      </w:pPr>
      <w:bookmarkStart w:id="1" w:name="_Toc76980102"/>
      <w:bookmarkStart w:id="2" w:name="_Toc529218255"/>
      <w:bookmarkStart w:id="3" w:name="_Toc529222678"/>
      <w:bookmarkStart w:id="4" w:name="_Toc529223100"/>
      <w:bookmarkStart w:id="5" w:name="_Toc529223851"/>
      <w:bookmarkStart w:id="6" w:name="_Toc529228247"/>
      <w:bookmarkStart w:id="7" w:name="_Toc2400383"/>
      <w:bookmarkStart w:id="8" w:name="_Toc4316178"/>
      <w:bookmarkStart w:id="9" w:name="_Toc4473319"/>
      <w:bookmarkStart w:id="10" w:name="_Toc69556886"/>
      <w:bookmarkStart w:id="11" w:name="_Toc69556935"/>
      <w:bookmarkStart w:id="12" w:name="_Toc69609809"/>
      <w:bookmarkStart w:id="13" w:name="_Toc70241805"/>
      <w:bookmarkStart w:id="14" w:name="_Toc70242194"/>
      <w:bookmarkStart w:id="15" w:name="_Toc421794864"/>
      <w:r w:rsidRPr="008B619A">
        <w:rPr>
          <w:rFonts w:hint="eastAsia"/>
          <w:b/>
          <w:bCs w:val="0"/>
          <w:color w:val="000000" w:themeColor="text1"/>
          <w:szCs w:val="32"/>
        </w:rPr>
        <w:t>題目</w:t>
      </w:r>
      <w:bookmarkEnd w:id="1"/>
    </w:p>
    <w:p w14:paraId="74E404D9" w14:textId="4F6FC056" w:rsidR="000A5787" w:rsidRPr="008B619A" w:rsidRDefault="00475ECF" w:rsidP="00475ECF">
      <w:pPr>
        <w:pStyle w:val="1"/>
        <w:numPr>
          <w:ilvl w:val="0"/>
          <w:numId w:val="0"/>
        </w:numPr>
        <w:ind w:left="708" w:hangingChars="208" w:hanging="708"/>
        <w:rPr>
          <w:color w:val="000000" w:themeColor="text1"/>
          <w:szCs w:val="32"/>
        </w:rPr>
      </w:pPr>
      <w:r w:rsidRPr="008B619A">
        <w:rPr>
          <w:rFonts w:hint="eastAsia"/>
          <w:b/>
          <w:bCs w:val="0"/>
          <w:color w:val="000000" w:themeColor="text1"/>
          <w:szCs w:val="32"/>
        </w:rPr>
        <w:t xml:space="preserve">　</w:t>
      </w:r>
      <w:r w:rsidRPr="008B619A">
        <w:rPr>
          <w:rFonts w:hint="eastAsia"/>
          <w:color w:val="000000" w:themeColor="text1"/>
          <w:szCs w:val="32"/>
        </w:rPr>
        <w:t xml:space="preserve">　</w:t>
      </w:r>
      <w:bookmarkStart w:id="16" w:name="_Toc74316732"/>
      <w:bookmarkStart w:id="17" w:name="_Toc74317102"/>
      <w:bookmarkStart w:id="18" w:name="_Toc74318395"/>
      <w:bookmarkStart w:id="19" w:name="_Toc74318720"/>
      <w:bookmarkStart w:id="20" w:name="_Toc74321891"/>
      <w:bookmarkStart w:id="21" w:name="_Toc74494499"/>
      <w:bookmarkStart w:id="22" w:name="_Toc74643404"/>
      <w:bookmarkStart w:id="23" w:name="_Toc74748446"/>
      <w:bookmarkStart w:id="24" w:name="_Toc74758023"/>
      <w:bookmarkStart w:id="25" w:name="_Toc74759163"/>
      <w:bookmarkStart w:id="26" w:name="_Toc75186740"/>
      <w:bookmarkStart w:id="27" w:name="_Toc75350145"/>
      <w:bookmarkStart w:id="28" w:name="_Toc75447096"/>
      <w:bookmarkStart w:id="29" w:name="_Toc75447473"/>
      <w:bookmarkStart w:id="30" w:name="_Toc75448261"/>
      <w:bookmarkStart w:id="31" w:name="_Toc75448761"/>
      <w:bookmarkStart w:id="32" w:name="_Toc75784134"/>
      <w:bookmarkStart w:id="33" w:name="_Toc75785356"/>
      <w:bookmarkStart w:id="34" w:name="_Toc75939407"/>
      <w:bookmarkStart w:id="35" w:name="_Toc75958592"/>
      <w:bookmarkStart w:id="36" w:name="_Toc75960844"/>
      <w:bookmarkStart w:id="37" w:name="_Toc75961016"/>
      <w:bookmarkStart w:id="38" w:name="_Toc75961361"/>
      <w:bookmarkStart w:id="39" w:name="_Toc76369821"/>
      <w:bookmarkStart w:id="40" w:name="_Toc76373840"/>
      <w:bookmarkStart w:id="41" w:name="_Toc76980103"/>
      <w:r w:rsidRPr="008B619A">
        <w:rPr>
          <w:rFonts w:ascii="新細明體" w:eastAsia="新細明體" w:hAnsi="新細明體" w:hint="eastAsia"/>
          <w:color w:val="000000" w:themeColor="text1"/>
          <w:szCs w:val="32"/>
        </w:rPr>
        <w:t>「</w:t>
      </w:r>
      <w:r w:rsidRPr="008B619A">
        <w:rPr>
          <w:rFonts w:hint="eastAsia"/>
          <w:color w:val="000000" w:themeColor="text1"/>
          <w:szCs w:val="32"/>
        </w:rPr>
        <w:t>臺灣博士培育政策及失業問題之探討</w:t>
      </w:r>
      <w:r w:rsidRPr="008B619A">
        <w:rPr>
          <w:rFonts w:hAnsi="標楷體" w:hint="eastAsia"/>
          <w:color w:val="000000" w:themeColor="text1"/>
          <w:szCs w:val="32"/>
        </w:rPr>
        <w:t>」</w:t>
      </w:r>
      <w:r w:rsidRPr="008B619A">
        <w:rPr>
          <w:rFonts w:hint="eastAsia"/>
          <w:color w:val="000000" w:themeColor="text1"/>
          <w:szCs w:val="32"/>
        </w:rPr>
        <w:t>通案性案件調查研究。</w:t>
      </w:r>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p>
    <w:p w14:paraId="55EEBA6B" w14:textId="4016074A" w:rsidR="00194F3B" w:rsidRPr="008B619A" w:rsidRDefault="003F5C02" w:rsidP="00C02C95">
      <w:pPr>
        <w:pStyle w:val="1"/>
        <w:rPr>
          <w:rFonts w:hAnsi="標楷體"/>
          <w:b/>
          <w:bCs w:val="0"/>
          <w:color w:val="000000" w:themeColor="text1"/>
        </w:rPr>
      </w:pPr>
      <w:bookmarkStart w:id="42" w:name="_Toc76980134"/>
      <w:bookmarkStart w:id="43" w:name="_Toc475101525"/>
      <w:bookmarkStart w:id="44" w:name="_Toc10466702"/>
      <w:bookmarkStart w:id="45" w:name="_Toc59089440"/>
      <w:bookmarkStart w:id="46" w:name="_Toc59090883"/>
      <w:bookmarkEnd w:id="2"/>
      <w:bookmarkEnd w:id="3"/>
      <w:bookmarkEnd w:id="4"/>
      <w:bookmarkEnd w:id="5"/>
      <w:bookmarkEnd w:id="6"/>
      <w:bookmarkEnd w:id="7"/>
      <w:bookmarkEnd w:id="8"/>
      <w:bookmarkEnd w:id="9"/>
      <w:bookmarkEnd w:id="10"/>
      <w:bookmarkEnd w:id="11"/>
      <w:bookmarkEnd w:id="12"/>
      <w:bookmarkEnd w:id="13"/>
      <w:bookmarkEnd w:id="14"/>
      <w:bookmarkEnd w:id="15"/>
      <w:r w:rsidRPr="008B619A">
        <w:rPr>
          <w:rFonts w:hAnsi="標楷體" w:hint="eastAsia"/>
          <w:b/>
          <w:bCs w:val="0"/>
          <w:color w:val="000000" w:themeColor="text1"/>
        </w:rPr>
        <w:t>結論</w:t>
      </w:r>
      <w:r w:rsidR="00E217C4" w:rsidRPr="008B619A">
        <w:rPr>
          <w:rFonts w:hAnsi="標楷體" w:hint="eastAsia"/>
          <w:b/>
          <w:bCs w:val="0"/>
          <w:color w:val="000000" w:themeColor="text1"/>
        </w:rPr>
        <w:t>及</w:t>
      </w:r>
      <w:r w:rsidR="00D34F92" w:rsidRPr="008B619A">
        <w:rPr>
          <w:rFonts w:hAnsi="標楷體" w:hint="eastAsia"/>
          <w:b/>
          <w:bCs w:val="0"/>
          <w:color w:val="000000" w:themeColor="text1"/>
        </w:rPr>
        <w:t>建議</w:t>
      </w:r>
      <w:bookmarkEnd w:id="42"/>
    </w:p>
    <w:p w14:paraId="0061BF97" w14:textId="787CFF32" w:rsidR="00D803AF" w:rsidRPr="008B619A" w:rsidRDefault="002223EE" w:rsidP="00F01CD7">
      <w:pPr>
        <w:pStyle w:val="13"/>
        <w:ind w:left="680" w:firstLine="680"/>
        <w:rPr>
          <w:color w:val="000000" w:themeColor="text1"/>
        </w:rPr>
      </w:pPr>
      <w:r w:rsidRPr="008B619A">
        <w:rPr>
          <w:rFonts w:hint="eastAsia"/>
          <w:color w:val="000000" w:themeColor="text1"/>
        </w:rPr>
        <w:t>人力乃國力之本，</w:t>
      </w:r>
      <w:r w:rsidR="002A67D2" w:rsidRPr="008B619A">
        <w:rPr>
          <w:rFonts w:hint="eastAsia"/>
          <w:color w:val="000000" w:themeColor="text1"/>
        </w:rPr>
        <w:t>優質</w:t>
      </w:r>
      <w:r w:rsidR="00AD078A" w:rsidRPr="008B619A">
        <w:rPr>
          <w:rFonts w:hint="eastAsia"/>
          <w:color w:val="000000" w:themeColor="text1"/>
        </w:rPr>
        <w:t>人力</w:t>
      </w:r>
      <w:r w:rsidR="00D25A5D" w:rsidRPr="008B619A">
        <w:rPr>
          <w:rFonts w:hint="eastAsia"/>
          <w:color w:val="000000" w:themeColor="text1"/>
        </w:rPr>
        <w:t>係</w:t>
      </w:r>
      <w:r w:rsidR="00AD078A" w:rsidRPr="008B619A">
        <w:rPr>
          <w:rFonts w:hint="eastAsia"/>
          <w:color w:val="000000" w:themeColor="text1"/>
        </w:rPr>
        <w:t>國家競爭力</w:t>
      </w:r>
      <w:r w:rsidR="009A683D" w:rsidRPr="008B619A">
        <w:rPr>
          <w:rFonts w:hint="eastAsia"/>
          <w:color w:val="000000" w:themeColor="text1"/>
        </w:rPr>
        <w:t>的</w:t>
      </w:r>
      <w:r w:rsidR="00152F6F" w:rsidRPr="008B619A">
        <w:rPr>
          <w:rFonts w:hint="eastAsia"/>
          <w:color w:val="000000" w:themeColor="text1"/>
        </w:rPr>
        <w:t>關鍵</w:t>
      </w:r>
      <w:r w:rsidRPr="008B619A">
        <w:rPr>
          <w:rFonts w:hint="eastAsia"/>
          <w:color w:val="000000" w:themeColor="text1"/>
        </w:rPr>
        <w:t>，</w:t>
      </w:r>
      <w:r w:rsidR="006262C7" w:rsidRPr="008B619A">
        <w:rPr>
          <w:rFonts w:hint="eastAsia"/>
          <w:color w:val="000000" w:themeColor="text1"/>
        </w:rPr>
        <w:t>博士高階人才則扮演</w:t>
      </w:r>
      <w:r w:rsidR="00E50D89" w:rsidRPr="008B619A">
        <w:rPr>
          <w:rFonts w:hint="eastAsia"/>
          <w:color w:val="000000" w:themeColor="text1"/>
        </w:rPr>
        <w:t>專業知識及技能研發之</w:t>
      </w:r>
      <w:r w:rsidR="000F2A28" w:rsidRPr="008B619A">
        <w:rPr>
          <w:rFonts w:hint="eastAsia"/>
          <w:color w:val="000000" w:themeColor="text1"/>
        </w:rPr>
        <w:t>核心</w:t>
      </w:r>
      <w:r w:rsidR="006262C7" w:rsidRPr="008B619A">
        <w:rPr>
          <w:rFonts w:hint="eastAsia"/>
          <w:color w:val="000000" w:themeColor="text1"/>
        </w:rPr>
        <w:t>。</w:t>
      </w:r>
      <w:r w:rsidR="00D803AF" w:rsidRPr="008B619A">
        <w:rPr>
          <w:rFonts w:hint="eastAsia"/>
          <w:color w:val="000000" w:themeColor="text1"/>
        </w:rPr>
        <w:t>本院</w:t>
      </w:r>
      <w:r w:rsidR="00F01CD7" w:rsidRPr="008B619A">
        <w:rPr>
          <w:rFonts w:hint="eastAsia"/>
          <w:color w:val="000000" w:themeColor="text1"/>
        </w:rPr>
        <w:t>長期關注</w:t>
      </w:r>
      <w:r w:rsidR="00617041" w:rsidRPr="008B619A">
        <w:rPr>
          <w:rFonts w:hint="eastAsia"/>
          <w:color w:val="000000" w:themeColor="text1"/>
        </w:rPr>
        <w:t>高等教育發展、</w:t>
      </w:r>
      <w:r w:rsidR="00D803AF" w:rsidRPr="008B619A">
        <w:rPr>
          <w:rFonts w:hint="eastAsia"/>
          <w:color w:val="000000" w:themeColor="text1"/>
        </w:rPr>
        <w:t>少子女化議題、大專校院師資結構問題及</w:t>
      </w:r>
      <w:r w:rsidR="00384843" w:rsidRPr="008B619A">
        <w:rPr>
          <w:rFonts w:hint="eastAsia"/>
          <w:color w:val="000000" w:themeColor="text1"/>
        </w:rPr>
        <w:t>國際</w:t>
      </w:r>
      <w:r w:rsidR="00D803AF" w:rsidRPr="008B619A">
        <w:rPr>
          <w:rFonts w:hint="eastAsia"/>
          <w:color w:val="000000" w:themeColor="text1"/>
        </w:rPr>
        <w:t>人才</w:t>
      </w:r>
      <w:r w:rsidR="00384843" w:rsidRPr="008B619A">
        <w:rPr>
          <w:rFonts w:hint="eastAsia"/>
          <w:color w:val="000000" w:themeColor="text1"/>
        </w:rPr>
        <w:t>進出</w:t>
      </w:r>
      <w:r w:rsidR="00D803AF" w:rsidRPr="008B619A">
        <w:rPr>
          <w:rFonts w:hint="eastAsia"/>
          <w:color w:val="000000" w:themeColor="text1"/>
        </w:rPr>
        <w:t>趨勢</w:t>
      </w:r>
      <w:r w:rsidR="00F01CD7" w:rsidRPr="008B619A">
        <w:rPr>
          <w:rFonts w:hint="eastAsia"/>
          <w:color w:val="000000" w:themeColor="text1"/>
        </w:rPr>
        <w:t>，過去多有</w:t>
      </w:r>
      <w:r w:rsidR="00D803AF" w:rsidRPr="008B619A">
        <w:rPr>
          <w:rFonts w:hint="eastAsia"/>
          <w:color w:val="000000" w:themeColor="text1"/>
        </w:rPr>
        <w:t>各類</w:t>
      </w:r>
      <w:r w:rsidR="001A5778" w:rsidRPr="008B619A">
        <w:rPr>
          <w:rFonts w:hint="eastAsia"/>
          <w:color w:val="000000" w:themeColor="text1"/>
        </w:rPr>
        <w:t>型</w:t>
      </w:r>
      <w:r w:rsidR="00D803AF" w:rsidRPr="008B619A">
        <w:rPr>
          <w:rFonts w:hint="eastAsia"/>
          <w:color w:val="000000" w:themeColor="text1"/>
        </w:rPr>
        <w:t>調查</w:t>
      </w:r>
      <w:r w:rsidR="00064A2B" w:rsidRPr="008B619A">
        <w:rPr>
          <w:rFonts w:hint="eastAsia"/>
          <w:color w:val="000000" w:themeColor="text1"/>
        </w:rPr>
        <w:t>案</w:t>
      </w:r>
      <w:r w:rsidR="00D803AF" w:rsidRPr="008B619A">
        <w:rPr>
          <w:rFonts w:hint="eastAsia"/>
          <w:color w:val="000000" w:themeColor="text1"/>
        </w:rPr>
        <w:t>或研究</w:t>
      </w:r>
      <w:r w:rsidR="006A3854" w:rsidRPr="008B619A">
        <w:rPr>
          <w:rFonts w:hint="eastAsia"/>
          <w:color w:val="000000" w:themeColor="text1"/>
        </w:rPr>
        <w:t>案</w:t>
      </w:r>
      <w:r w:rsidR="001842B6" w:rsidRPr="008B619A">
        <w:rPr>
          <w:rFonts w:hint="eastAsia"/>
          <w:color w:val="000000" w:themeColor="text1"/>
        </w:rPr>
        <w:t>進行</w:t>
      </w:r>
      <w:r w:rsidR="00D803AF" w:rsidRPr="008B619A">
        <w:rPr>
          <w:rFonts w:hint="eastAsia"/>
          <w:color w:val="000000" w:themeColor="text1"/>
        </w:rPr>
        <w:t>探討。如109教調0033「我國科技類博碩士人才就業案」、103財調0110「我國青年失業低薪問題案」、101教調0019「博士班人才培育及資源配置案」及100年「我國高等教育因應少子化及國際化相關政策與問題之探討」專案調查研究案等，涉高階人才及就業之問題，針對各類型範圍</w:t>
      </w:r>
      <w:r w:rsidR="00013D75" w:rsidRPr="008B619A">
        <w:rPr>
          <w:rFonts w:hint="eastAsia"/>
          <w:color w:val="000000" w:themeColor="text1"/>
        </w:rPr>
        <w:t>洵</w:t>
      </w:r>
      <w:r w:rsidR="00D803AF" w:rsidRPr="008B619A">
        <w:rPr>
          <w:rFonts w:hint="eastAsia"/>
          <w:color w:val="000000" w:themeColor="text1"/>
        </w:rPr>
        <w:t>有不同程度</w:t>
      </w:r>
      <w:r w:rsidR="008B2FAF" w:rsidRPr="008B619A">
        <w:rPr>
          <w:rFonts w:hint="eastAsia"/>
          <w:color w:val="000000" w:themeColor="text1"/>
        </w:rPr>
        <w:t>及面向</w:t>
      </w:r>
      <w:r w:rsidR="00D803AF" w:rsidRPr="008B619A">
        <w:rPr>
          <w:rFonts w:hint="eastAsia"/>
          <w:color w:val="000000" w:themeColor="text1"/>
        </w:rPr>
        <w:t>之</w:t>
      </w:r>
      <w:r w:rsidR="00D06106" w:rsidRPr="008B619A">
        <w:rPr>
          <w:rFonts w:hint="eastAsia"/>
          <w:color w:val="000000" w:themeColor="text1"/>
        </w:rPr>
        <w:t>調查</w:t>
      </w:r>
      <w:r w:rsidR="00D803AF" w:rsidRPr="008B619A">
        <w:rPr>
          <w:rFonts w:hint="eastAsia"/>
          <w:color w:val="000000" w:themeColor="text1"/>
        </w:rPr>
        <w:t>，並已分別提出調查（研究）意見</w:t>
      </w:r>
      <w:r w:rsidR="00CA36E8" w:rsidRPr="008B619A">
        <w:rPr>
          <w:rFonts w:hint="eastAsia"/>
          <w:color w:val="000000" w:themeColor="text1"/>
        </w:rPr>
        <w:t>。</w:t>
      </w:r>
      <w:r w:rsidR="00EF50BA" w:rsidRPr="008B619A">
        <w:rPr>
          <w:rFonts w:hint="eastAsia"/>
          <w:color w:val="000000" w:themeColor="text1"/>
        </w:rPr>
        <w:t>爰針對</w:t>
      </w:r>
      <w:r w:rsidR="004B2014" w:rsidRPr="008B619A">
        <w:rPr>
          <w:rFonts w:hint="eastAsia"/>
          <w:color w:val="000000" w:themeColor="text1"/>
        </w:rPr>
        <w:t>跨</w:t>
      </w:r>
      <w:r w:rsidR="00EF50BA" w:rsidRPr="008B619A">
        <w:rPr>
          <w:rFonts w:hint="eastAsia"/>
          <w:color w:val="000000" w:themeColor="text1"/>
        </w:rPr>
        <w:t>領域</w:t>
      </w:r>
      <w:r w:rsidR="00B1362E" w:rsidRPr="008B619A">
        <w:rPr>
          <w:rFonts w:hAnsi="標楷體" w:hint="eastAsia"/>
          <w:color w:val="000000" w:themeColor="text1"/>
        </w:rPr>
        <w:t>、</w:t>
      </w:r>
      <w:r w:rsidR="00B1362E" w:rsidRPr="008B619A">
        <w:rPr>
          <w:rFonts w:hint="eastAsia"/>
          <w:color w:val="000000" w:themeColor="text1"/>
        </w:rPr>
        <w:t>跨</w:t>
      </w:r>
      <w:r w:rsidR="00BC4BF6" w:rsidRPr="008B619A">
        <w:rPr>
          <w:rFonts w:hint="eastAsia"/>
          <w:color w:val="000000" w:themeColor="text1"/>
        </w:rPr>
        <w:t>機關</w:t>
      </w:r>
      <w:r w:rsidR="00EF50BA" w:rsidRPr="008B619A">
        <w:rPr>
          <w:rFonts w:hint="eastAsia"/>
          <w:color w:val="000000" w:themeColor="text1"/>
        </w:rPr>
        <w:t>之高階</w:t>
      </w:r>
      <w:r w:rsidR="00270A2D" w:rsidRPr="008B619A">
        <w:rPr>
          <w:rFonts w:hint="eastAsia"/>
          <w:color w:val="000000" w:themeColor="text1"/>
        </w:rPr>
        <w:t>博士</w:t>
      </w:r>
      <w:r w:rsidR="00EF50BA" w:rsidRPr="008B619A">
        <w:rPr>
          <w:rFonts w:hint="eastAsia"/>
          <w:color w:val="000000" w:themeColor="text1"/>
        </w:rPr>
        <w:t>人才培育及失業（就業）情形亟待整體爬梳，以期釐清政策全</w:t>
      </w:r>
      <w:r w:rsidR="00E12DE1" w:rsidRPr="008B619A">
        <w:rPr>
          <w:rFonts w:hint="eastAsia"/>
          <w:color w:val="000000" w:themeColor="text1"/>
        </w:rPr>
        <w:t>貌及</w:t>
      </w:r>
      <w:r w:rsidR="00A5043C" w:rsidRPr="008B619A">
        <w:rPr>
          <w:rFonts w:hint="eastAsia"/>
          <w:color w:val="000000" w:themeColor="text1"/>
        </w:rPr>
        <w:t>實務</w:t>
      </w:r>
      <w:r w:rsidR="00AE7537" w:rsidRPr="008B619A">
        <w:rPr>
          <w:rFonts w:hint="eastAsia"/>
          <w:color w:val="000000" w:themeColor="text1"/>
        </w:rPr>
        <w:t>發展脈絡</w:t>
      </w:r>
      <w:r w:rsidR="00D803AF" w:rsidRPr="008B619A">
        <w:rPr>
          <w:rFonts w:hint="eastAsia"/>
          <w:color w:val="000000" w:themeColor="text1"/>
        </w:rPr>
        <w:t>。此外，人口環境更迭，時空背景演進及政策移轉，潛藏長期高教之挑戰及國際競爭，外界針對我國博士培育及就業趨勢更為</w:t>
      </w:r>
      <w:r w:rsidR="005F063D" w:rsidRPr="008B619A">
        <w:rPr>
          <w:rFonts w:hint="eastAsia"/>
          <w:color w:val="000000" w:themeColor="text1"/>
        </w:rPr>
        <w:t>重視</w:t>
      </w:r>
      <w:r w:rsidR="00D803AF" w:rsidRPr="008B619A">
        <w:rPr>
          <w:rFonts w:hint="eastAsia"/>
          <w:color w:val="000000" w:themeColor="text1"/>
        </w:rPr>
        <w:t>，茲期以本通案</w:t>
      </w:r>
      <w:r w:rsidR="00450035" w:rsidRPr="008B619A">
        <w:rPr>
          <w:rFonts w:hint="eastAsia"/>
          <w:color w:val="000000" w:themeColor="text1"/>
        </w:rPr>
        <w:t>性案件</w:t>
      </w:r>
      <w:r w:rsidR="00D803AF" w:rsidRPr="008B619A">
        <w:rPr>
          <w:rFonts w:hint="eastAsia"/>
          <w:color w:val="000000" w:themeColor="text1"/>
        </w:rPr>
        <w:t>調查研究案進行全面性議題之檢視及研</w:t>
      </w:r>
      <w:r w:rsidR="000D2F19" w:rsidRPr="008B619A">
        <w:rPr>
          <w:rFonts w:hint="eastAsia"/>
          <w:color w:val="000000" w:themeColor="text1"/>
        </w:rPr>
        <w:t>析</w:t>
      </w:r>
      <w:r w:rsidR="0060153F" w:rsidRPr="008B619A">
        <w:rPr>
          <w:rFonts w:hint="eastAsia"/>
          <w:color w:val="000000" w:themeColor="text1"/>
        </w:rPr>
        <w:t>。</w:t>
      </w:r>
      <w:r w:rsidR="00E806E2" w:rsidRPr="008B619A">
        <w:rPr>
          <w:rFonts w:hint="eastAsia"/>
          <w:color w:val="000000" w:themeColor="text1"/>
        </w:rPr>
        <w:t>爰</w:t>
      </w:r>
      <w:r w:rsidR="006E03B2" w:rsidRPr="008B619A">
        <w:rPr>
          <w:rFonts w:hint="eastAsia"/>
          <w:color w:val="000000" w:themeColor="text1"/>
        </w:rPr>
        <w:t>本案</w:t>
      </w:r>
      <w:r w:rsidR="00E806E2" w:rsidRPr="008B619A">
        <w:rPr>
          <w:rFonts w:hint="eastAsia"/>
          <w:color w:val="000000" w:themeColor="text1"/>
        </w:rPr>
        <w:t>範圍立基於</w:t>
      </w:r>
      <w:r w:rsidR="00434742" w:rsidRPr="008B619A">
        <w:rPr>
          <w:rFonts w:hint="eastAsia"/>
          <w:color w:val="000000" w:themeColor="text1"/>
        </w:rPr>
        <w:t>整體高教</w:t>
      </w:r>
      <w:r w:rsidR="00E806E2" w:rsidRPr="008B619A">
        <w:rPr>
          <w:rFonts w:hint="eastAsia"/>
          <w:color w:val="000000" w:themeColor="text1"/>
        </w:rPr>
        <w:t>體系，期兼顧</w:t>
      </w:r>
      <w:r w:rsidR="00AC465B" w:rsidRPr="008B619A">
        <w:rPr>
          <w:rFonts w:hint="eastAsia"/>
          <w:color w:val="000000" w:themeColor="text1"/>
        </w:rPr>
        <w:t>發展</w:t>
      </w:r>
      <w:r w:rsidR="00E806E2" w:rsidRPr="008B619A">
        <w:rPr>
          <w:rFonts w:hint="eastAsia"/>
          <w:color w:val="000000" w:themeColor="text1"/>
        </w:rPr>
        <w:t>現況、政策</w:t>
      </w:r>
      <w:r w:rsidR="00FC003E" w:rsidRPr="008B619A">
        <w:rPr>
          <w:rFonts w:hint="eastAsia"/>
          <w:color w:val="000000" w:themeColor="text1"/>
        </w:rPr>
        <w:t>實務</w:t>
      </w:r>
      <w:r w:rsidR="00E806E2" w:rsidRPr="008B619A">
        <w:rPr>
          <w:rFonts w:hint="eastAsia"/>
          <w:color w:val="000000" w:themeColor="text1"/>
        </w:rPr>
        <w:t>相關</w:t>
      </w:r>
      <w:r w:rsidR="00CE25AC" w:rsidRPr="008B619A">
        <w:rPr>
          <w:rFonts w:hint="eastAsia"/>
          <w:color w:val="000000" w:themeColor="text1"/>
        </w:rPr>
        <w:t>趨勢</w:t>
      </w:r>
      <w:r w:rsidR="00637528" w:rsidRPr="008B619A">
        <w:rPr>
          <w:rFonts w:hint="eastAsia"/>
          <w:color w:val="000000" w:themeColor="text1"/>
        </w:rPr>
        <w:t>，</w:t>
      </w:r>
      <w:r w:rsidR="00BB3C71" w:rsidRPr="008B619A">
        <w:rPr>
          <w:rFonts w:hint="eastAsia"/>
          <w:color w:val="000000" w:themeColor="text1"/>
        </w:rPr>
        <w:t>是</w:t>
      </w:r>
      <w:r w:rsidR="00AE62EB" w:rsidRPr="008B619A">
        <w:rPr>
          <w:rFonts w:hint="eastAsia"/>
          <w:color w:val="000000" w:themeColor="text1"/>
        </w:rPr>
        <w:t>以本議題所潛藏</w:t>
      </w:r>
      <w:r w:rsidR="00637528" w:rsidRPr="008B619A">
        <w:rPr>
          <w:rFonts w:hint="eastAsia"/>
          <w:color w:val="000000" w:themeColor="text1"/>
        </w:rPr>
        <w:t>之人才</w:t>
      </w:r>
      <w:r w:rsidR="00AE62EB" w:rsidRPr="008B619A">
        <w:rPr>
          <w:rFonts w:hint="eastAsia"/>
          <w:color w:val="000000" w:themeColor="text1"/>
        </w:rPr>
        <w:t>培育</w:t>
      </w:r>
      <w:r w:rsidR="00637528" w:rsidRPr="008B619A">
        <w:rPr>
          <w:rFonts w:hint="eastAsia"/>
          <w:color w:val="000000" w:themeColor="text1"/>
        </w:rPr>
        <w:t>及</w:t>
      </w:r>
      <w:r w:rsidR="00AE62EB" w:rsidRPr="008B619A">
        <w:rPr>
          <w:rFonts w:hint="eastAsia"/>
          <w:color w:val="000000" w:themeColor="text1"/>
        </w:rPr>
        <w:t>高階博士人力失業</w:t>
      </w:r>
      <w:r w:rsidR="004B2860" w:rsidRPr="008B619A">
        <w:rPr>
          <w:rFonts w:hAnsi="標楷體" w:hint="eastAsia"/>
          <w:color w:val="000000" w:themeColor="text1"/>
        </w:rPr>
        <w:t>、</w:t>
      </w:r>
      <w:r w:rsidR="0062238B" w:rsidRPr="008B619A">
        <w:rPr>
          <w:rFonts w:hint="eastAsia"/>
          <w:color w:val="000000" w:themeColor="text1"/>
        </w:rPr>
        <w:t>非典型就業</w:t>
      </w:r>
      <w:r w:rsidR="00637528" w:rsidRPr="008B619A">
        <w:rPr>
          <w:rFonts w:hint="eastAsia"/>
          <w:color w:val="000000" w:themeColor="text1"/>
        </w:rPr>
        <w:t>問題非僅涉單一機關權責，</w:t>
      </w:r>
      <w:r w:rsidR="00AE62EB" w:rsidRPr="008B619A">
        <w:rPr>
          <w:rFonts w:hint="eastAsia"/>
          <w:color w:val="000000" w:themeColor="text1"/>
        </w:rPr>
        <w:t>政府</w:t>
      </w:r>
      <w:r w:rsidR="00AE16AA" w:rsidRPr="008B619A">
        <w:rPr>
          <w:rFonts w:hint="eastAsia"/>
          <w:color w:val="000000" w:themeColor="text1"/>
        </w:rPr>
        <w:t>允宜</w:t>
      </w:r>
      <w:r w:rsidR="00AE62EB" w:rsidRPr="008B619A">
        <w:rPr>
          <w:rFonts w:hint="eastAsia"/>
          <w:color w:val="000000" w:themeColor="text1"/>
        </w:rPr>
        <w:t>積極</w:t>
      </w:r>
      <w:r w:rsidR="005240E1" w:rsidRPr="008B619A">
        <w:rPr>
          <w:rFonts w:hint="eastAsia"/>
          <w:color w:val="000000" w:themeColor="text1"/>
        </w:rPr>
        <w:t>整合協調</w:t>
      </w:r>
      <w:r w:rsidR="006A7D5C" w:rsidRPr="008B619A">
        <w:rPr>
          <w:rFonts w:hint="eastAsia"/>
          <w:color w:val="000000" w:themeColor="text1"/>
        </w:rPr>
        <w:t>，</w:t>
      </w:r>
      <w:r w:rsidR="005240E1" w:rsidRPr="008B619A">
        <w:rPr>
          <w:rFonts w:hint="eastAsia"/>
          <w:color w:val="000000" w:themeColor="text1"/>
        </w:rPr>
        <w:t>合先敘明</w:t>
      </w:r>
      <w:r w:rsidR="00E806E2" w:rsidRPr="008B619A">
        <w:rPr>
          <w:rFonts w:hint="eastAsia"/>
          <w:color w:val="000000" w:themeColor="text1"/>
        </w:rPr>
        <w:t>。</w:t>
      </w:r>
      <w:r w:rsidR="004424C7" w:rsidRPr="008B619A">
        <w:rPr>
          <w:rFonts w:hint="eastAsia"/>
          <w:color w:val="000000" w:themeColor="text1"/>
        </w:rPr>
        <w:t xml:space="preserve"> </w:t>
      </w:r>
    </w:p>
    <w:p w14:paraId="1FBE44D4" w14:textId="5216B905" w:rsidR="00E059ED" w:rsidRPr="008B619A" w:rsidRDefault="00E059ED" w:rsidP="00074FC9">
      <w:pPr>
        <w:pStyle w:val="13"/>
        <w:ind w:left="680" w:firstLine="664"/>
        <w:rPr>
          <w:rFonts w:ascii="Times New Roman"/>
          <w:bCs/>
          <w:color w:val="000000" w:themeColor="text1"/>
          <w:spacing w:val="-4"/>
          <w:szCs w:val="32"/>
        </w:rPr>
      </w:pPr>
      <w:r w:rsidRPr="008B619A">
        <w:rPr>
          <w:rFonts w:ascii="Times New Roman" w:hint="eastAsia"/>
          <w:color w:val="000000" w:themeColor="text1"/>
          <w:spacing w:val="-4"/>
        </w:rPr>
        <w:t>如前述，</w:t>
      </w:r>
      <w:r w:rsidRPr="008B619A">
        <w:rPr>
          <w:rFonts w:ascii="Times New Roman"/>
          <w:color w:val="000000" w:themeColor="text1"/>
          <w:spacing w:val="-4"/>
        </w:rPr>
        <w:t>本案</w:t>
      </w:r>
      <w:r w:rsidRPr="008B619A">
        <w:rPr>
          <w:rFonts w:ascii="Times New Roman" w:hint="eastAsia"/>
          <w:color w:val="000000" w:themeColor="text1"/>
          <w:spacing w:val="-4"/>
        </w:rPr>
        <w:t>除</w:t>
      </w:r>
      <w:r w:rsidRPr="008B619A">
        <w:rPr>
          <w:rFonts w:ascii="Times New Roman"/>
          <w:color w:val="000000" w:themeColor="text1"/>
          <w:spacing w:val="-4"/>
        </w:rPr>
        <w:t>向</w:t>
      </w:r>
      <w:r w:rsidRPr="008B619A">
        <w:rPr>
          <w:rFonts w:hAnsi="標楷體" w:hint="eastAsia"/>
          <w:color w:val="000000" w:themeColor="text1"/>
        </w:rPr>
        <w:t>教育部、</w:t>
      </w:r>
      <w:r w:rsidRPr="008B619A">
        <w:rPr>
          <w:rFonts w:hint="eastAsia"/>
          <w:color w:val="000000" w:themeColor="text1"/>
        </w:rPr>
        <w:t>科技部</w:t>
      </w:r>
      <w:r w:rsidRPr="008B619A">
        <w:rPr>
          <w:rFonts w:hAnsi="標楷體" w:hint="eastAsia"/>
          <w:color w:val="000000" w:themeColor="text1"/>
        </w:rPr>
        <w:t>、國家發展委員會（下稱國發會）、行政院主計總處（下稱主計總處）、</w:t>
      </w:r>
      <w:r w:rsidR="00AC6C64" w:rsidRPr="008B619A">
        <w:rPr>
          <w:rFonts w:hint="eastAsia"/>
          <w:color w:val="000000" w:themeColor="text1"/>
        </w:rPr>
        <w:t>大陸委員會</w:t>
      </w:r>
      <w:r w:rsidR="00BB6B82" w:rsidRPr="008B619A">
        <w:rPr>
          <w:rFonts w:hAnsi="標楷體" w:hint="eastAsia"/>
          <w:color w:val="000000" w:themeColor="text1"/>
        </w:rPr>
        <w:t>（下稱陸委會）</w:t>
      </w:r>
      <w:r w:rsidR="00AC6C64" w:rsidRPr="008B619A">
        <w:rPr>
          <w:rFonts w:hint="eastAsia"/>
          <w:color w:val="000000" w:themeColor="text1"/>
        </w:rPr>
        <w:t>、勞動部、考選部及外交部</w:t>
      </w:r>
      <w:r w:rsidRPr="008B619A">
        <w:rPr>
          <w:rFonts w:hAnsi="標楷體" w:hint="eastAsia"/>
          <w:color w:val="000000" w:themeColor="text1"/>
        </w:rPr>
        <w:t>等機</w:t>
      </w:r>
      <w:r w:rsidRPr="008B619A">
        <w:rPr>
          <w:rFonts w:hAnsi="標楷體" w:hint="eastAsia"/>
          <w:color w:val="000000" w:themeColor="text1"/>
        </w:rPr>
        <w:lastRenderedPageBreak/>
        <w:t>關調閱</w:t>
      </w:r>
      <w:r w:rsidRPr="008B619A">
        <w:rPr>
          <w:rFonts w:hint="eastAsia"/>
          <w:color w:val="000000" w:themeColor="text1"/>
        </w:rPr>
        <w:t>卷證資料說明相關疑義</w:t>
      </w:r>
      <w:r w:rsidRPr="008B619A">
        <w:rPr>
          <w:rStyle w:val="aff1"/>
          <w:rFonts w:ascii="Times New Roman"/>
          <w:color w:val="000000" w:themeColor="text1"/>
          <w:spacing w:val="-4"/>
        </w:rPr>
        <w:footnoteReference w:id="1"/>
      </w:r>
      <w:r w:rsidRPr="008B619A">
        <w:rPr>
          <w:rFonts w:ascii="Times New Roman"/>
          <w:color w:val="000000" w:themeColor="text1"/>
          <w:spacing w:val="-4"/>
        </w:rPr>
        <w:t>，並於</w:t>
      </w:r>
      <w:r w:rsidR="0015172F" w:rsidRPr="008B619A">
        <w:rPr>
          <w:rFonts w:ascii="Times New Roman" w:hint="eastAsia"/>
          <w:color w:val="000000" w:themeColor="text1"/>
          <w:spacing w:val="-4"/>
        </w:rPr>
        <w:t>民國</w:t>
      </w:r>
      <w:r w:rsidR="00512C6D" w:rsidRPr="008B619A">
        <w:rPr>
          <w:rStyle w:val="aff1"/>
          <w:color w:val="000000" w:themeColor="text1"/>
        </w:rPr>
        <w:footnoteReference w:id="2"/>
      </w:r>
      <w:r w:rsidR="0015172F" w:rsidRPr="008B619A">
        <w:rPr>
          <w:rFonts w:ascii="Times New Roman" w:hint="eastAsia"/>
          <w:color w:val="000000" w:themeColor="text1"/>
          <w:spacing w:val="-4"/>
        </w:rPr>
        <w:t>（下同）</w:t>
      </w:r>
      <w:r w:rsidR="00085D83" w:rsidRPr="008B619A">
        <w:rPr>
          <w:rFonts w:hint="eastAsia"/>
          <w:color w:val="000000" w:themeColor="text1"/>
        </w:rPr>
        <w:t>109年11月30日</w:t>
      </w:r>
      <w:r w:rsidRPr="008B619A">
        <w:rPr>
          <w:rFonts w:ascii="Times New Roman"/>
          <w:color w:val="000000" w:themeColor="text1"/>
          <w:spacing w:val="-4"/>
        </w:rPr>
        <w:t>舉辦諮詢會議，邀請</w:t>
      </w:r>
      <w:r w:rsidR="009167B3" w:rsidRPr="008B619A">
        <w:rPr>
          <w:rFonts w:ascii="Times New Roman" w:hint="eastAsia"/>
          <w:color w:val="000000" w:themeColor="text1"/>
          <w:spacing w:val="-4"/>
        </w:rPr>
        <w:t>國立臺灣師範大學地理學系汪副教授明輝</w:t>
      </w:r>
      <w:r w:rsidRPr="008B619A">
        <w:rPr>
          <w:rFonts w:ascii="Times New Roman" w:hint="eastAsia"/>
          <w:color w:val="000000" w:themeColor="text1"/>
          <w:spacing w:val="-4"/>
        </w:rPr>
        <w:t>、</w:t>
      </w:r>
      <w:r w:rsidR="009167B3" w:rsidRPr="008B619A">
        <w:rPr>
          <w:rFonts w:ascii="Times New Roman" w:hint="eastAsia"/>
          <w:color w:val="000000" w:themeColor="text1"/>
          <w:spacing w:val="-4"/>
        </w:rPr>
        <w:t>臺灣高等教育產業工會林主任柏儀、台灣私立學校教育產業工會陳</w:t>
      </w:r>
      <w:r w:rsidR="003235B7" w:rsidRPr="008B619A">
        <w:rPr>
          <w:rFonts w:ascii="Times New Roman" w:hint="eastAsia"/>
          <w:color w:val="000000" w:themeColor="text1"/>
          <w:spacing w:val="-4"/>
        </w:rPr>
        <w:t>前</w:t>
      </w:r>
      <w:r w:rsidR="009167B3" w:rsidRPr="008B619A">
        <w:rPr>
          <w:rFonts w:ascii="Times New Roman" w:hint="eastAsia"/>
          <w:color w:val="000000" w:themeColor="text1"/>
          <w:spacing w:val="-4"/>
        </w:rPr>
        <w:t>理事長秋瑩</w:t>
      </w:r>
      <w:r w:rsidRPr="008B619A">
        <w:rPr>
          <w:rFonts w:ascii="Times New Roman" w:hint="eastAsia"/>
          <w:color w:val="000000" w:themeColor="text1"/>
          <w:spacing w:val="-4"/>
        </w:rPr>
        <w:t>及</w:t>
      </w:r>
      <w:r w:rsidR="00593121" w:rsidRPr="008B619A">
        <w:rPr>
          <w:rFonts w:ascii="Times New Roman" w:hint="eastAsia"/>
          <w:color w:val="000000" w:themeColor="text1"/>
          <w:spacing w:val="-4"/>
        </w:rPr>
        <w:t>財團法人</w:t>
      </w:r>
      <w:r w:rsidR="009167B3" w:rsidRPr="008B619A">
        <w:rPr>
          <w:rFonts w:ascii="Times New Roman" w:hint="eastAsia"/>
          <w:color w:val="000000" w:themeColor="text1"/>
          <w:spacing w:val="-4"/>
        </w:rPr>
        <w:t>國家實驗研究院科技政策研究與資訊中心</w:t>
      </w:r>
      <w:r w:rsidR="00750CD2" w:rsidRPr="008B619A">
        <w:rPr>
          <w:rFonts w:hAnsi="標楷體" w:hint="eastAsia"/>
          <w:color w:val="000000" w:themeColor="text1"/>
          <w:spacing w:val="-4"/>
        </w:rPr>
        <w:t>（</w:t>
      </w:r>
      <w:r w:rsidR="00750CD2" w:rsidRPr="008B619A">
        <w:rPr>
          <w:rFonts w:hAnsi="標楷體"/>
          <w:color w:val="000000" w:themeColor="text1"/>
          <w:spacing w:val="-4"/>
        </w:rPr>
        <w:t>STPI</w:t>
      </w:r>
      <w:r w:rsidR="00750CD2" w:rsidRPr="008B619A">
        <w:rPr>
          <w:rFonts w:hAnsi="標楷體" w:hint="eastAsia"/>
          <w:color w:val="000000" w:themeColor="text1"/>
          <w:spacing w:val="-4"/>
        </w:rPr>
        <w:t>，下稱科政中心）</w:t>
      </w:r>
      <w:r w:rsidR="009167B3" w:rsidRPr="008B619A">
        <w:rPr>
          <w:rFonts w:ascii="Times New Roman" w:hint="eastAsia"/>
          <w:color w:val="000000" w:themeColor="text1"/>
          <w:spacing w:val="-4"/>
        </w:rPr>
        <w:t>陳副研究員曉郁</w:t>
      </w:r>
      <w:r w:rsidRPr="008B619A">
        <w:rPr>
          <w:rFonts w:ascii="Times New Roman"/>
          <w:color w:val="000000" w:themeColor="text1"/>
          <w:spacing w:val="-4"/>
        </w:rPr>
        <w:t>與會提供</w:t>
      </w:r>
      <w:r w:rsidRPr="008B619A">
        <w:rPr>
          <w:rFonts w:ascii="Times New Roman" w:hint="eastAsia"/>
          <w:color w:val="000000" w:themeColor="text1"/>
          <w:spacing w:val="-4"/>
        </w:rPr>
        <w:t>卓</w:t>
      </w:r>
      <w:r w:rsidRPr="008B619A">
        <w:rPr>
          <w:rFonts w:ascii="Times New Roman"/>
          <w:color w:val="000000" w:themeColor="text1"/>
          <w:spacing w:val="-4"/>
        </w:rPr>
        <w:t>見</w:t>
      </w:r>
      <w:r w:rsidRPr="008B619A">
        <w:rPr>
          <w:rFonts w:ascii="Times New Roman" w:hint="eastAsia"/>
          <w:color w:val="000000" w:themeColor="text1"/>
          <w:spacing w:val="-4"/>
        </w:rPr>
        <w:t>；</w:t>
      </w:r>
      <w:r w:rsidR="00BE75FD" w:rsidRPr="008B619A">
        <w:rPr>
          <w:rFonts w:hint="eastAsia"/>
          <w:color w:val="000000" w:themeColor="text1"/>
        </w:rPr>
        <w:t>同年12月</w:t>
      </w:r>
      <w:r w:rsidR="00BE75FD" w:rsidRPr="008B619A">
        <w:rPr>
          <w:color w:val="000000" w:themeColor="text1"/>
        </w:rPr>
        <w:t>3</w:t>
      </w:r>
      <w:r w:rsidR="00BE75FD" w:rsidRPr="008B619A">
        <w:rPr>
          <w:rFonts w:hint="eastAsia"/>
          <w:color w:val="000000" w:themeColor="text1"/>
        </w:rPr>
        <w:t>日</w:t>
      </w:r>
      <w:r w:rsidR="00BE75FD" w:rsidRPr="008B619A">
        <w:rPr>
          <w:rFonts w:ascii="Times New Roman"/>
          <w:color w:val="000000" w:themeColor="text1"/>
          <w:spacing w:val="-4"/>
        </w:rPr>
        <w:t>舉辦</w:t>
      </w:r>
      <w:r w:rsidR="00BE75FD" w:rsidRPr="008B619A">
        <w:rPr>
          <w:rFonts w:ascii="Times New Roman" w:hint="eastAsia"/>
          <w:color w:val="000000" w:themeColor="text1"/>
          <w:spacing w:val="-4"/>
        </w:rPr>
        <w:t>第</w:t>
      </w:r>
      <w:r w:rsidR="00BE75FD" w:rsidRPr="008B619A">
        <w:rPr>
          <w:rFonts w:ascii="Times New Roman" w:hint="eastAsia"/>
          <w:color w:val="000000" w:themeColor="text1"/>
          <w:spacing w:val="-4"/>
        </w:rPr>
        <w:t>2</w:t>
      </w:r>
      <w:r w:rsidR="00BE75FD" w:rsidRPr="008B619A">
        <w:rPr>
          <w:rFonts w:ascii="Times New Roman" w:hint="eastAsia"/>
          <w:color w:val="000000" w:themeColor="text1"/>
          <w:spacing w:val="-4"/>
        </w:rPr>
        <w:t>場</w:t>
      </w:r>
      <w:r w:rsidR="00BE75FD" w:rsidRPr="008B619A">
        <w:rPr>
          <w:rFonts w:ascii="Times New Roman"/>
          <w:color w:val="000000" w:themeColor="text1"/>
          <w:spacing w:val="-4"/>
        </w:rPr>
        <w:t>諮詢會議，邀請</w:t>
      </w:r>
      <w:r w:rsidR="00BE75FD" w:rsidRPr="008B619A">
        <w:rPr>
          <w:rFonts w:ascii="Times New Roman" w:hint="eastAsia"/>
          <w:color w:val="000000" w:themeColor="text1"/>
          <w:spacing w:val="-4"/>
        </w:rPr>
        <w:t>全國私立學校產業工會尤理事長榮輝、</w:t>
      </w:r>
      <w:r w:rsidR="00BE75FD" w:rsidRPr="008B619A">
        <w:rPr>
          <w:rFonts w:hint="eastAsia"/>
          <w:color w:val="000000" w:themeColor="text1"/>
          <w:szCs w:val="32"/>
        </w:rPr>
        <w:t>國立臺北科技大學王校長錫福</w:t>
      </w:r>
      <w:r w:rsidR="00BE75FD" w:rsidRPr="008B619A">
        <w:rPr>
          <w:rFonts w:ascii="Times New Roman" w:hint="eastAsia"/>
          <w:color w:val="000000" w:themeColor="text1"/>
          <w:spacing w:val="-4"/>
        </w:rPr>
        <w:t>、國立政治大學教育學系周教授祝瑛</w:t>
      </w:r>
      <w:r w:rsidR="00BE75FD" w:rsidRPr="008B619A">
        <w:rPr>
          <w:rFonts w:hAnsi="標楷體" w:hint="eastAsia"/>
          <w:color w:val="000000" w:themeColor="text1"/>
        </w:rPr>
        <w:t>及</w:t>
      </w:r>
      <w:r w:rsidR="00BE75FD" w:rsidRPr="008B619A">
        <w:rPr>
          <w:rFonts w:ascii="Times New Roman" w:hint="eastAsia"/>
          <w:color w:val="000000" w:themeColor="text1"/>
          <w:spacing w:val="-4"/>
        </w:rPr>
        <w:t>國立中興大學薛校長富盛</w:t>
      </w:r>
      <w:r w:rsidR="00BE75FD" w:rsidRPr="008B619A">
        <w:rPr>
          <w:rFonts w:ascii="Times New Roman"/>
          <w:color w:val="000000" w:themeColor="text1"/>
          <w:spacing w:val="-4"/>
        </w:rPr>
        <w:t>與會</w:t>
      </w:r>
      <w:r w:rsidR="00BE75FD" w:rsidRPr="008B619A">
        <w:rPr>
          <w:rFonts w:ascii="Times New Roman" w:hint="eastAsia"/>
          <w:color w:val="000000" w:themeColor="text1"/>
          <w:spacing w:val="-4"/>
        </w:rPr>
        <w:t>分享觀點；同時，中央研究院</w:t>
      </w:r>
      <w:r w:rsidR="00BE75FD" w:rsidRPr="008B619A">
        <w:rPr>
          <w:rFonts w:hint="eastAsia"/>
          <w:color w:val="000000" w:themeColor="text1"/>
        </w:rPr>
        <w:t>吳院士妍華則另以書面意見蒐整</w:t>
      </w:r>
      <w:r w:rsidR="006B60D8" w:rsidRPr="008B619A">
        <w:rPr>
          <w:rFonts w:hint="eastAsia"/>
          <w:color w:val="000000" w:themeColor="text1"/>
        </w:rPr>
        <w:t>提供</w:t>
      </w:r>
      <w:r w:rsidR="00BE75FD" w:rsidRPr="008B619A">
        <w:rPr>
          <w:rFonts w:ascii="Times New Roman" w:hint="eastAsia"/>
          <w:color w:val="000000" w:themeColor="text1"/>
          <w:spacing w:val="-4"/>
        </w:rPr>
        <w:t>國立交通大學（現為國立陽明交通大學</w:t>
      </w:r>
      <w:r w:rsidR="00BE75FD" w:rsidRPr="008B619A">
        <w:rPr>
          <w:rStyle w:val="aff1"/>
          <w:rFonts w:ascii="Times New Roman"/>
          <w:color w:val="000000" w:themeColor="text1"/>
          <w:spacing w:val="-4"/>
        </w:rPr>
        <w:footnoteReference w:id="3"/>
      </w:r>
      <w:r w:rsidR="00BE75FD" w:rsidRPr="008B619A">
        <w:rPr>
          <w:rFonts w:ascii="Times New Roman" w:hint="eastAsia"/>
          <w:color w:val="000000" w:themeColor="text1"/>
          <w:spacing w:val="-4"/>
        </w:rPr>
        <w:t>，下同）</w:t>
      </w:r>
      <w:r w:rsidR="00BE75FD" w:rsidRPr="008B619A">
        <w:rPr>
          <w:rFonts w:hint="eastAsia"/>
          <w:color w:val="000000" w:themeColor="text1"/>
        </w:rPr>
        <w:t>同仁</w:t>
      </w:r>
      <w:r w:rsidR="000F45F9" w:rsidRPr="008B619A">
        <w:rPr>
          <w:rFonts w:hint="eastAsia"/>
          <w:color w:val="000000" w:themeColor="text1"/>
        </w:rPr>
        <w:t>之</w:t>
      </w:r>
      <w:r w:rsidR="00BE75FD" w:rsidRPr="008B619A">
        <w:rPr>
          <w:rFonts w:hint="eastAsia"/>
          <w:color w:val="000000" w:themeColor="text1"/>
        </w:rPr>
        <w:t>相關卓見到院</w:t>
      </w:r>
      <w:r w:rsidR="00BE75FD" w:rsidRPr="008B619A">
        <w:rPr>
          <w:rFonts w:ascii="Times New Roman"/>
          <w:color w:val="000000" w:themeColor="text1"/>
          <w:spacing w:val="-4"/>
        </w:rPr>
        <w:t>。</w:t>
      </w:r>
      <w:r w:rsidR="00BE75FD" w:rsidRPr="008B619A">
        <w:rPr>
          <w:rFonts w:ascii="Times New Roman"/>
          <w:bCs/>
          <w:color w:val="000000" w:themeColor="text1"/>
          <w:spacing w:val="-4"/>
          <w:szCs w:val="32"/>
        </w:rPr>
        <w:t>又為瞭解</w:t>
      </w:r>
      <w:r w:rsidR="00BE75FD" w:rsidRPr="008B619A">
        <w:rPr>
          <w:rFonts w:ascii="Times New Roman" w:hint="eastAsia"/>
          <w:bCs/>
          <w:color w:val="000000" w:themeColor="text1"/>
          <w:spacing w:val="-4"/>
          <w:szCs w:val="32"/>
        </w:rPr>
        <w:t>我國各類法人機關</w:t>
      </w:r>
      <w:r w:rsidR="00BE75FD" w:rsidRPr="008B619A">
        <w:rPr>
          <w:rFonts w:hAnsi="標楷體" w:hint="eastAsia"/>
          <w:bCs/>
          <w:color w:val="000000" w:themeColor="text1"/>
          <w:spacing w:val="-4"/>
          <w:szCs w:val="32"/>
        </w:rPr>
        <w:t>、頂尖大學</w:t>
      </w:r>
      <w:r w:rsidR="00BE75FD" w:rsidRPr="008B619A">
        <w:rPr>
          <w:rFonts w:ascii="Times New Roman" w:hint="eastAsia"/>
          <w:bCs/>
          <w:color w:val="000000" w:themeColor="text1"/>
          <w:spacing w:val="-4"/>
          <w:szCs w:val="32"/>
        </w:rPr>
        <w:t>博士級人才培育</w:t>
      </w:r>
      <w:r w:rsidR="004436AA" w:rsidRPr="008B619A">
        <w:rPr>
          <w:rFonts w:ascii="Times New Roman" w:hint="eastAsia"/>
          <w:bCs/>
          <w:color w:val="000000" w:themeColor="text1"/>
          <w:spacing w:val="-4"/>
          <w:szCs w:val="32"/>
        </w:rPr>
        <w:t>概況</w:t>
      </w:r>
      <w:r w:rsidR="00BE75FD" w:rsidRPr="008B619A">
        <w:rPr>
          <w:rFonts w:ascii="Times New Roman" w:hint="eastAsia"/>
          <w:bCs/>
          <w:color w:val="000000" w:themeColor="text1"/>
          <w:spacing w:val="-4"/>
          <w:szCs w:val="32"/>
        </w:rPr>
        <w:t>及</w:t>
      </w:r>
      <w:r w:rsidR="004436AA" w:rsidRPr="008B619A">
        <w:rPr>
          <w:rFonts w:ascii="Times New Roman" w:hint="eastAsia"/>
          <w:bCs/>
          <w:color w:val="000000" w:themeColor="text1"/>
          <w:spacing w:val="-4"/>
          <w:szCs w:val="32"/>
        </w:rPr>
        <w:t>失（就）</w:t>
      </w:r>
      <w:r w:rsidR="00BE75FD" w:rsidRPr="008B619A">
        <w:rPr>
          <w:rFonts w:ascii="Times New Roman" w:hint="eastAsia"/>
          <w:bCs/>
          <w:color w:val="000000" w:themeColor="text1"/>
          <w:spacing w:val="-4"/>
          <w:szCs w:val="32"/>
        </w:rPr>
        <w:t>業趨勢</w:t>
      </w:r>
      <w:r w:rsidR="00BE75FD" w:rsidRPr="008B619A">
        <w:rPr>
          <w:rFonts w:ascii="Times New Roman"/>
          <w:bCs/>
          <w:color w:val="000000" w:themeColor="text1"/>
          <w:spacing w:val="-4"/>
          <w:szCs w:val="32"/>
        </w:rPr>
        <w:t>，</w:t>
      </w:r>
      <w:r w:rsidR="00BE75FD" w:rsidRPr="008B619A">
        <w:rPr>
          <w:rFonts w:hint="eastAsia"/>
          <w:color w:val="000000" w:themeColor="text1"/>
        </w:rPr>
        <w:t>調查研究委員率協查人員</w:t>
      </w:r>
      <w:r w:rsidR="00BE75FD" w:rsidRPr="008B619A">
        <w:rPr>
          <w:rFonts w:ascii="Times New Roman" w:hint="eastAsia"/>
          <w:bCs/>
          <w:color w:val="000000" w:themeColor="text1"/>
          <w:spacing w:val="-4"/>
          <w:szCs w:val="32"/>
        </w:rPr>
        <w:t>業</w:t>
      </w:r>
      <w:r w:rsidR="00BE75FD" w:rsidRPr="008B619A">
        <w:rPr>
          <w:rFonts w:hint="eastAsia"/>
          <w:color w:val="000000" w:themeColor="text1"/>
        </w:rPr>
        <w:t>於本（110）年3月16日至國家中山科學研究院（下稱中科院），由國防部常務次長李宗孝</w:t>
      </w:r>
      <w:r w:rsidR="00BE75FD" w:rsidRPr="008B619A">
        <w:rPr>
          <w:rFonts w:hAnsi="標楷體" w:hint="eastAsia"/>
          <w:color w:val="000000" w:themeColor="text1"/>
        </w:rPr>
        <w:t>、軍備局副局長歐陽力行、</w:t>
      </w:r>
      <w:r w:rsidR="00BE75FD" w:rsidRPr="008B619A">
        <w:rPr>
          <w:rFonts w:hint="eastAsia"/>
          <w:color w:val="000000" w:themeColor="text1"/>
        </w:rPr>
        <w:t>中科院</w:t>
      </w:r>
      <w:r w:rsidR="00BE75FD" w:rsidRPr="008B619A">
        <w:rPr>
          <w:rFonts w:hAnsi="標楷體" w:hint="eastAsia"/>
          <w:color w:val="000000" w:themeColor="text1"/>
        </w:rPr>
        <w:t>院長張忠誠、副院長冷金緒、執行長蔡嘉芳及</w:t>
      </w:r>
      <w:r w:rsidR="00BE75FD" w:rsidRPr="008B619A">
        <w:rPr>
          <w:rFonts w:hint="eastAsia"/>
          <w:color w:val="000000" w:themeColor="text1"/>
        </w:rPr>
        <w:t>業務主管相關人員陪同履勘外，並進行相關議題之簡報及座談會議。</w:t>
      </w:r>
      <w:r w:rsidR="00BE75FD" w:rsidRPr="008B619A">
        <w:rPr>
          <w:rFonts w:ascii="Times New Roman" w:hint="eastAsia"/>
          <w:bCs/>
          <w:color w:val="000000" w:themeColor="text1"/>
          <w:spacing w:val="-4"/>
          <w:szCs w:val="32"/>
        </w:rPr>
        <w:t>渠後，</w:t>
      </w:r>
      <w:r w:rsidR="002764DB" w:rsidRPr="008B619A">
        <w:rPr>
          <w:rFonts w:ascii="Times New Roman" w:hint="eastAsia"/>
          <w:bCs/>
          <w:color w:val="000000" w:themeColor="text1"/>
          <w:spacing w:val="-4"/>
          <w:szCs w:val="32"/>
        </w:rPr>
        <w:t>業</w:t>
      </w:r>
      <w:r w:rsidR="00BE75FD" w:rsidRPr="008B619A">
        <w:rPr>
          <w:rFonts w:ascii="Times New Roman" w:hint="eastAsia"/>
          <w:bCs/>
          <w:color w:val="000000" w:themeColor="text1"/>
          <w:spacing w:val="-4"/>
          <w:szCs w:val="32"/>
        </w:rPr>
        <w:t>於</w:t>
      </w:r>
      <w:r w:rsidR="00BE75FD" w:rsidRPr="008B619A">
        <w:rPr>
          <w:rFonts w:hint="eastAsia"/>
          <w:color w:val="000000" w:themeColor="text1"/>
        </w:rPr>
        <w:t>同年3月26日</w:t>
      </w:r>
      <w:r w:rsidR="0000115C" w:rsidRPr="008B619A">
        <w:rPr>
          <w:rFonts w:hint="eastAsia"/>
          <w:color w:val="000000" w:themeColor="text1"/>
        </w:rPr>
        <w:t>率協查人員</w:t>
      </w:r>
      <w:r w:rsidR="00BE75FD" w:rsidRPr="008B619A">
        <w:rPr>
          <w:rFonts w:hint="eastAsia"/>
          <w:color w:val="000000" w:themeColor="text1"/>
        </w:rPr>
        <w:t>赴國立中興大學</w:t>
      </w:r>
      <w:r w:rsidR="00BE75FD" w:rsidRPr="008B619A">
        <w:rPr>
          <w:color w:val="000000" w:themeColor="text1"/>
        </w:rPr>
        <w:t>辦理實地履勘</w:t>
      </w:r>
      <w:r w:rsidR="00ED7F74" w:rsidRPr="008B619A">
        <w:rPr>
          <w:rFonts w:hAnsi="標楷體" w:hint="eastAsia"/>
          <w:color w:val="000000" w:themeColor="text1"/>
        </w:rPr>
        <w:t>、</w:t>
      </w:r>
      <w:r w:rsidR="00BE75FD" w:rsidRPr="008B619A">
        <w:rPr>
          <w:rFonts w:hint="eastAsia"/>
          <w:color w:val="000000" w:themeColor="text1"/>
        </w:rPr>
        <w:t>簡報</w:t>
      </w:r>
      <w:r w:rsidR="00E402C3" w:rsidRPr="008B619A">
        <w:rPr>
          <w:rFonts w:hint="eastAsia"/>
          <w:color w:val="000000" w:themeColor="text1"/>
        </w:rPr>
        <w:t>說明</w:t>
      </w:r>
      <w:r w:rsidR="00ED7F74" w:rsidRPr="008B619A">
        <w:rPr>
          <w:rFonts w:hint="eastAsia"/>
          <w:color w:val="000000" w:themeColor="text1"/>
        </w:rPr>
        <w:t>及座談</w:t>
      </w:r>
      <w:r w:rsidR="00BE75FD" w:rsidRPr="008B619A">
        <w:rPr>
          <w:rFonts w:hint="eastAsia"/>
          <w:color w:val="000000" w:themeColor="text1"/>
        </w:rPr>
        <w:t>會議，並由教育部邀集該校、逢甲大學、國立勤益科技大學</w:t>
      </w:r>
      <w:r w:rsidR="00AB4629" w:rsidRPr="008B619A">
        <w:rPr>
          <w:rStyle w:val="aff1"/>
          <w:color w:val="000000" w:themeColor="text1"/>
        </w:rPr>
        <w:footnoteReference w:id="4"/>
      </w:r>
      <w:r w:rsidR="00BE75FD" w:rsidRPr="008B619A">
        <w:rPr>
          <w:rFonts w:hint="eastAsia"/>
          <w:color w:val="000000" w:themeColor="text1"/>
        </w:rPr>
        <w:t>及朝陽科技大學等4校代表共同座談；同場次並邀請矽品精密工業股份有限公司人力資源處王經理永</w:t>
      </w:r>
      <w:r w:rsidR="00BE75FD" w:rsidRPr="008B619A">
        <w:rPr>
          <w:rFonts w:hint="eastAsia"/>
          <w:color w:val="000000" w:themeColor="text1"/>
        </w:rPr>
        <w:lastRenderedPageBreak/>
        <w:t>傑、永豐商業銀行</w:t>
      </w:r>
      <w:r w:rsidR="00BE75FD" w:rsidRPr="008B619A">
        <w:rPr>
          <w:rFonts w:hAnsi="標楷體" w:hint="eastAsia"/>
          <w:color w:val="000000" w:themeColor="text1"/>
        </w:rPr>
        <w:t>人力資源處人才發展科黃科長啟龍</w:t>
      </w:r>
      <w:r w:rsidR="00BE75FD" w:rsidRPr="008B619A">
        <w:rPr>
          <w:rFonts w:hint="eastAsia"/>
          <w:color w:val="000000" w:themeColor="text1"/>
        </w:rPr>
        <w:t>及漢鼎智慧科技廖執行長德銘等業界代表與會</w:t>
      </w:r>
      <w:r w:rsidR="00774737" w:rsidRPr="008B619A">
        <w:rPr>
          <w:rFonts w:hint="eastAsia"/>
          <w:color w:val="000000" w:themeColor="text1"/>
        </w:rPr>
        <w:t>座談</w:t>
      </w:r>
      <w:r w:rsidR="00BE75FD" w:rsidRPr="008B619A">
        <w:rPr>
          <w:color w:val="000000" w:themeColor="text1"/>
        </w:rPr>
        <w:t>。</w:t>
      </w:r>
      <w:r w:rsidR="00BE75FD" w:rsidRPr="008B619A">
        <w:rPr>
          <w:rFonts w:hint="eastAsia"/>
          <w:color w:val="000000" w:themeColor="text1"/>
        </w:rPr>
        <w:t>教育部則由技術及職業教育司楊司長玉惠及高等教育司朱司長俊彰率業務</w:t>
      </w:r>
      <w:r w:rsidR="00E75B9E" w:rsidRPr="008B619A">
        <w:rPr>
          <w:rFonts w:hint="eastAsia"/>
          <w:color w:val="000000" w:themeColor="text1"/>
        </w:rPr>
        <w:t>主管</w:t>
      </w:r>
      <w:r w:rsidR="00BE75FD" w:rsidRPr="008B619A">
        <w:rPr>
          <w:rFonts w:hint="eastAsia"/>
          <w:color w:val="000000" w:themeColor="text1"/>
        </w:rPr>
        <w:t>相關同仁代表與會進行</w:t>
      </w:r>
      <w:r w:rsidR="00061BA0" w:rsidRPr="008B619A">
        <w:rPr>
          <w:rFonts w:hint="eastAsia"/>
          <w:color w:val="000000" w:themeColor="text1"/>
        </w:rPr>
        <w:t>交流</w:t>
      </w:r>
      <w:r w:rsidR="00BE75FD" w:rsidRPr="008B619A">
        <w:rPr>
          <w:rFonts w:hint="eastAsia"/>
          <w:color w:val="000000" w:themeColor="text1"/>
        </w:rPr>
        <w:t>對談</w:t>
      </w:r>
      <w:r w:rsidR="004A339C" w:rsidRPr="008B619A">
        <w:rPr>
          <w:rFonts w:hint="eastAsia"/>
          <w:color w:val="000000" w:themeColor="text1"/>
        </w:rPr>
        <w:t>。</w:t>
      </w:r>
    </w:p>
    <w:p w14:paraId="3E9C6146" w14:textId="7C4C2EE5" w:rsidR="00BE3380" w:rsidRPr="008B619A" w:rsidRDefault="00617876" w:rsidP="00E059ED">
      <w:pPr>
        <w:pStyle w:val="13"/>
        <w:ind w:left="680" w:firstLine="664"/>
        <w:rPr>
          <w:rFonts w:ascii="Times New Roman" w:hAnsi="標楷體"/>
          <w:color w:val="000000" w:themeColor="text1"/>
        </w:rPr>
      </w:pPr>
      <w:r w:rsidRPr="008B619A">
        <w:rPr>
          <w:rFonts w:ascii="Times New Roman" w:hint="eastAsia"/>
          <w:bCs/>
          <w:color w:val="000000" w:themeColor="text1"/>
          <w:spacing w:val="-4"/>
          <w:szCs w:val="32"/>
        </w:rPr>
        <w:t>經綜整文獻探討資料</w:t>
      </w:r>
      <w:r w:rsidRPr="008B619A">
        <w:rPr>
          <w:rFonts w:hAnsi="標楷體" w:hint="eastAsia"/>
          <w:bCs/>
          <w:color w:val="000000" w:themeColor="text1"/>
          <w:spacing w:val="-4"/>
          <w:szCs w:val="32"/>
        </w:rPr>
        <w:t>、</w:t>
      </w:r>
      <w:r w:rsidRPr="008B619A">
        <w:rPr>
          <w:rFonts w:ascii="Times New Roman" w:hint="eastAsia"/>
          <w:bCs/>
          <w:color w:val="000000" w:themeColor="text1"/>
          <w:spacing w:val="-4"/>
          <w:szCs w:val="32"/>
        </w:rPr>
        <w:t>歷次調卷</w:t>
      </w:r>
      <w:r w:rsidRPr="008B619A">
        <w:rPr>
          <w:rFonts w:hAnsi="標楷體" w:hint="eastAsia"/>
          <w:bCs/>
          <w:color w:val="000000" w:themeColor="text1"/>
          <w:spacing w:val="-4"/>
          <w:szCs w:val="32"/>
        </w:rPr>
        <w:t>、2</w:t>
      </w:r>
      <w:r w:rsidRPr="008B619A">
        <w:rPr>
          <w:rFonts w:ascii="Times New Roman" w:hint="eastAsia"/>
          <w:bCs/>
          <w:color w:val="000000" w:themeColor="text1"/>
          <w:spacing w:val="-4"/>
          <w:szCs w:val="32"/>
        </w:rPr>
        <w:t>場諮詢會議</w:t>
      </w:r>
      <w:r w:rsidR="00544234" w:rsidRPr="008B619A">
        <w:rPr>
          <w:rFonts w:ascii="Times New Roman" w:hint="eastAsia"/>
          <w:bCs/>
          <w:color w:val="000000" w:themeColor="text1"/>
          <w:spacing w:val="-4"/>
          <w:szCs w:val="32"/>
        </w:rPr>
        <w:t>（含學者提供之書面</w:t>
      </w:r>
      <w:r w:rsidR="00D84203" w:rsidRPr="008B619A">
        <w:rPr>
          <w:rFonts w:ascii="Times New Roman" w:hint="eastAsia"/>
          <w:bCs/>
          <w:color w:val="000000" w:themeColor="text1"/>
          <w:spacing w:val="-4"/>
          <w:szCs w:val="32"/>
        </w:rPr>
        <w:t>參考資料</w:t>
      </w:r>
      <w:r w:rsidR="00544234" w:rsidRPr="008B619A">
        <w:rPr>
          <w:rFonts w:ascii="Times New Roman" w:hint="eastAsia"/>
          <w:bCs/>
          <w:color w:val="000000" w:themeColor="text1"/>
          <w:spacing w:val="-4"/>
          <w:szCs w:val="32"/>
        </w:rPr>
        <w:t>）</w:t>
      </w:r>
      <w:r w:rsidRPr="008B619A">
        <w:rPr>
          <w:rFonts w:hAnsi="標楷體" w:hint="eastAsia"/>
          <w:bCs/>
          <w:color w:val="000000" w:themeColor="text1"/>
          <w:spacing w:val="-4"/>
          <w:szCs w:val="32"/>
        </w:rPr>
        <w:t>、2場</w:t>
      </w:r>
      <w:r w:rsidRPr="008B619A">
        <w:rPr>
          <w:rFonts w:ascii="Times New Roman" w:hint="eastAsia"/>
          <w:bCs/>
          <w:color w:val="000000" w:themeColor="text1"/>
          <w:spacing w:val="-4"/>
          <w:szCs w:val="32"/>
        </w:rPr>
        <w:t>履勘</w:t>
      </w:r>
      <w:r w:rsidRPr="008B619A">
        <w:rPr>
          <w:rFonts w:hAnsi="標楷體" w:hint="eastAsia"/>
          <w:bCs/>
          <w:color w:val="000000" w:themeColor="text1"/>
          <w:spacing w:val="-4"/>
          <w:szCs w:val="32"/>
        </w:rPr>
        <w:t>、</w:t>
      </w:r>
      <w:r w:rsidRPr="008B619A">
        <w:rPr>
          <w:rFonts w:ascii="Times New Roman" w:hint="eastAsia"/>
          <w:bCs/>
          <w:color w:val="000000" w:themeColor="text1"/>
          <w:spacing w:val="-4"/>
          <w:szCs w:val="32"/>
        </w:rPr>
        <w:t>簡報及</w:t>
      </w:r>
      <w:r w:rsidRPr="008B619A">
        <w:rPr>
          <w:rFonts w:hAnsi="標楷體" w:hint="eastAsia"/>
          <w:bCs/>
          <w:color w:val="000000" w:themeColor="text1"/>
          <w:spacing w:val="-4"/>
          <w:szCs w:val="32"/>
        </w:rPr>
        <w:t>3</w:t>
      </w:r>
      <w:r w:rsidRPr="008B619A">
        <w:rPr>
          <w:rFonts w:ascii="Times New Roman" w:hint="eastAsia"/>
          <w:bCs/>
          <w:color w:val="000000" w:themeColor="text1"/>
          <w:spacing w:val="-4"/>
          <w:szCs w:val="32"/>
        </w:rPr>
        <w:t>場座談會議等資料，及追蹤本院過去相關調查案件之結果，</w:t>
      </w:r>
      <w:r w:rsidR="00C2778C" w:rsidRPr="008B619A">
        <w:rPr>
          <w:rFonts w:ascii="Times New Roman" w:hint="eastAsia"/>
          <w:bCs/>
          <w:color w:val="000000" w:themeColor="text1"/>
          <w:spacing w:val="-4"/>
          <w:szCs w:val="32"/>
        </w:rPr>
        <w:t>嗣</w:t>
      </w:r>
      <w:r w:rsidRPr="008B619A">
        <w:rPr>
          <w:rFonts w:ascii="Times New Roman" w:hint="eastAsia"/>
          <w:bCs/>
          <w:color w:val="000000" w:themeColor="text1"/>
          <w:spacing w:val="-4"/>
          <w:szCs w:val="32"/>
        </w:rPr>
        <w:t>於</w:t>
      </w:r>
      <w:r w:rsidR="003F067C" w:rsidRPr="008B619A">
        <w:rPr>
          <w:rFonts w:ascii="Times New Roman" w:hint="eastAsia"/>
          <w:bCs/>
          <w:color w:val="000000" w:themeColor="text1"/>
          <w:spacing w:val="-4"/>
          <w:szCs w:val="32"/>
        </w:rPr>
        <w:t>本</w:t>
      </w:r>
      <w:r w:rsidRPr="008B619A">
        <w:rPr>
          <w:rFonts w:ascii="Times New Roman" w:hint="eastAsia"/>
          <w:bCs/>
          <w:color w:val="000000" w:themeColor="text1"/>
          <w:spacing w:val="-4"/>
          <w:szCs w:val="32"/>
        </w:rPr>
        <w:t>年</w:t>
      </w:r>
      <w:r w:rsidRPr="008B619A">
        <w:rPr>
          <w:rFonts w:ascii="Times New Roman" w:hint="eastAsia"/>
          <w:bCs/>
          <w:color w:val="000000" w:themeColor="text1"/>
          <w:spacing w:val="-4"/>
          <w:szCs w:val="32"/>
        </w:rPr>
        <w:t>5</w:t>
      </w:r>
      <w:r w:rsidRPr="008B619A">
        <w:rPr>
          <w:rFonts w:ascii="Times New Roman" w:hint="eastAsia"/>
          <w:bCs/>
          <w:color w:val="000000" w:themeColor="text1"/>
          <w:spacing w:val="-4"/>
          <w:szCs w:val="32"/>
        </w:rPr>
        <w:t>月</w:t>
      </w:r>
      <w:r w:rsidRPr="008B619A">
        <w:rPr>
          <w:rFonts w:ascii="Times New Roman" w:hint="eastAsia"/>
          <w:bCs/>
          <w:color w:val="000000" w:themeColor="text1"/>
          <w:spacing w:val="-4"/>
          <w:szCs w:val="32"/>
        </w:rPr>
        <w:t>5</w:t>
      </w:r>
      <w:r w:rsidRPr="008B619A">
        <w:rPr>
          <w:rFonts w:ascii="Times New Roman" w:hint="eastAsia"/>
          <w:bCs/>
          <w:color w:val="000000" w:themeColor="text1"/>
          <w:spacing w:val="-4"/>
          <w:szCs w:val="32"/>
        </w:rPr>
        <w:t>日邀集教育部</w:t>
      </w:r>
      <w:r w:rsidRPr="008B619A">
        <w:rPr>
          <w:rFonts w:hAnsi="標楷體" w:hint="eastAsia"/>
          <w:bCs/>
          <w:color w:val="000000" w:themeColor="text1"/>
          <w:szCs w:val="52"/>
        </w:rPr>
        <w:t>劉政務次長孟奇</w:t>
      </w:r>
      <w:r w:rsidRPr="008B619A">
        <w:rPr>
          <w:rFonts w:ascii="Times New Roman" w:hint="eastAsia"/>
          <w:bCs/>
          <w:color w:val="000000" w:themeColor="text1"/>
          <w:spacing w:val="-4"/>
          <w:szCs w:val="32"/>
        </w:rPr>
        <w:t>、</w:t>
      </w:r>
      <w:r w:rsidRPr="008B619A">
        <w:rPr>
          <w:rFonts w:hAnsi="標楷體" w:hint="eastAsia"/>
          <w:bCs/>
          <w:color w:val="000000" w:themeColor="text1"/>
          <w:kern w:val="0"/>
          <w:szCs w:val="52"/>
        </w:rPr>
        <w:t>國際司李司長彥儀、高教司梁副司長學政、技職司謝副司長淑貞、人事處陳專門委員惠娟、高教司紀科長盈如、林專員承臻</w:t>
      </w:r>
      <w:r w:rsidRPr="008B619A">
        <w:rPr>
          <w:rFonts w:hAnsi="標楷體" w:hint="eastAsia"/>
          <w:bCs/>
          <w:color w:val="000000" w:themeColor="text1"/>
          <w:szCs w:val="52"/>
        </w:rPr>
        <w:t>等相關業務人員、科技部</w:t>
      </w:r>
      <w:r w:rsidRPr="008B619A">
        <w:rPr>
          <w:rFonts w:hAnsi="標楷體" w:hint="eastAsia"/>
          <w:bCs/>
          <w:color w:val="000000" w:themeColor="text1"/>
          <w:kern w:val="0"/>
          <w:szCs w:val="52"/>
        </w:rPr>
        <w:t>科教發展及國際合作司褚司長志鵬、涂副司長君怡、張科長雅惠、王副研究員瑛瑛</w:t>
      </w:r>
      <w:r w:rsidRPr="008B619A">
        <w:rPr>
          <w:rFonts w:hAnsi="標楷體" w:hint="eastAsia"/>
          <w:bCs/>
          <w:color w:val="000000" w:themeColor="text1"/>
          <w:szCs w:val="52"/>
        </w:rPr>
        <w:t>等相關業務主管人員</w:t>
      </w:r>
      <w:r w:rsidRPr="008B619A">
        <w:rPr>
          <w:rFonts w:hAnsi="標楷體" w:hint="eastAsia"/>
          <w:bCs/>
          <w:color w:val="000000" w:themeColor="text1"/>
          <w:kern w:val="0"/>
          <w:szCs w:val="52"/>
        </w:rPr>
        <w:t>，國發會人力發展處謝副處長佳宜、齊專門委員清華、吳專員軒億</w:t>
      </w:r>
      <w:r w:rsidRPr="008B619A">
        <w:rPr>
          <w:rFonts w:hAnsi="標楷體" w:hint="eastAsia"/>
          <w:bCs/>
          <w:color w:val="000000" w:themeColor="text1"/>
          <w:szCs w:val="52"/>
        </w:rPr>
        <w:t>等相關業務主管人員</w:t>
      </w:r>
      <w:r w:rsidRPr="008B619A">
        <w:rPr>
          <w:rFonts w:hint="eastAsia"/>
          <w:color w:val="000000" w:themeColor="text1"/>
        </w:rPr>
        <w:t>，並由上開單位於會後</w:t>
      </w:r>
      <w:r w:rsidR="002C459F" w:rsidRPr="008B619A">
        <w:rPr>
          <w:rFonts w:hint="eastAsia"/>
          <w:color w:val="000000" w:themeColor="text1"/>
        </w:rPr>
        <w:t>再</w:t>
      </w:r>
      <w:r w:rsidRPr="008B619A">
        <w:rPr>
          <w:rFonts w:hint="eastAsia"/>
          <w:color w:val="000000" w:themeColor="text1"/>
        </w:rPr>
        <w:t>提供補充說明資料到院</w:t>
      </w:r>
      <w:r w:rsidRPr="008B619A">
        <w:rPr>
          <w:rFonts w:ascii="Times New Roman" w:hint="eastAsia"/>
          <w:bCs/>
          <w:color w:val="000000" w:themeColor="text1"/>
          <w:spacing w:val="-4"/>
          <w:szCs w:val="32"/>
        </w:rPr>
        <w:t>。業</w:t>
      </w:r>
      <w:r w:rsidRPr="008B619A">
        <w:rPr>
          <w:rFonts w:ascii="Times New Roman" w:hint="eastAsia"/>
          <w:color w:val="000000" w:themeColor="text1"/>
          <w:spacing w:val="-4"/>
        </w:rPr>
        <w:t>已</w:t>
      </w:r>
      <w:r w:rsidRPr="008B619A">
        <w:rPr>
          <w:rFonts w:hint="eastAsia"/>
          <w:color w:val="000000" w:themeColor="text1"/>
          <w:spacing w:val="-4"/>
        </w:rPr>
        <w:t>完成本</w:t>
      </w:r>
      <w:r w:rsidR="00526876" w:rsidRPr="008B619A">
        <w:rPr>
          <w:rFonts w:hint="eastAsia"/>
          <w:color w:val="000000" w:themeColor="text1"/>
          <w:spacing w:val="-4"/>
        </w:rPr>
        <w:t>通案性</w:t>
      </w:r>
      <w:r w:rsidR="00AB7B80" w:rsidRPr="008B619A">
        <w:rPr>
          <w:rFonts w:hint="eastAsia"/>
          <w:color w:val="000000" w:themeColor="text1"/>
          <w:spacing w:val="-4"/>
        </w:rPr>
        <w:t>案件</w:t>
      </w:r>
      <w:r w:rsidRPr="008B619A">
        <w:rPr>
          <w:rFonts w:hint="eastAsia"/>
          <w:color w:val="000000" w:themeColor="text1"/>
          <w:spacing w:val="-4"/>
        </w:rPr>
        <w:t>調查研</w:t>
      </w:r>
      <w:r w:rsidRPr="008B619A">
        <w:rPr>
          <w:rFonts w:hAnsi="標楷體" w:hint="eastAsia"/>
          <w:bCs/>
          <w:color w:val="000000" w:themeColor="text1"/>
          <w:szCs w:val="52"/>
        </w:rPr>
        <w:t>究，</w:t>
      </w:r>
      <w:r w:rsidRPr="008B619A">
        <w:rPr>
          <w:rFonts w:hAnsi="標楷體"/>
          <w:bCs/>
          <w:color w:val="000000" w:themeColor="text1"/>
          <w:szCs w:val="52"/>
        </w:rPr>
        <w:t>茲臚列</w:t>
      </w:r>
      <w:r w:rsidRPr="008B619A">
        <w:rPr>
          <w:rFonts w:hAnsi="標楷體" w:hint="eastAsia"/>
          <w:bCs/>
          <w:color w:val="000000" w:themeColor="text1"/>
          <w:szCs w:val="52"/>
        </w:rPr>
        <w:t>結論及建議</w:t>
      </w:r>
      <w:r w:rsidRPr="008B619A">
        <w:rPr>
          <w:rFonts w:hAnsi="標楷體"/>
          <w:bCs/>
          <w:color w:val="000000" w:themeColor="text1"/>
          <w:szCs w:val="52"/>
        </w:rPr>
        <w:t>如</w:t>
      </w:r>
      <w:r w:rsidR="002A1DDF" w:rsidRPr="008B619A">
        <w:rPr>
          <w:rFonts w:hAnsi="標楷體" w:hint="eastAsia"/>
          <w:bCs/>
          <w:color w:val="000000" w:themeColor="text1"/>
          <w:szCs w:val="52"/>
        </w:rPr>
        <w:t>后</w:t>
      </w:r>
      <w:r w:rsidR="00E72E2D" w:rsidRPr="008B619A">
        <w:rPr>
          <w:rFonts w:hAnsi="標楷體" w:hint="eastAsia"/>
          <w:bCs/>
          <w:color w:val="000000" w:themeColor="text1"/>
          <w:szCs w:val="52"/>
        </w:rPr>
        <w:t>：</w:t>
      </w:r>
    </w:p>
    <w:p w14:paraId="23C2AEDA" w14:textId="5175355C" w:rsidR="008A12C4" w:rsidRPr="008B619A" w:rsidRDefault="009111F3" w:rsidP="006400F0">
      <w:pPr>
        <w:pStyle w:val="2"/>
        <w:rPr>
          <w:b/>
          <w:bCs w:val="0"/>
          <w:color w:val="000000" w:themeColor="text1"/>
        </w:rPr>
      </w:pPr>
      <w:bookmarkStart w:id="47" w:name="_Toc76980135"/>
      <w:bookmarkStart w:id="48" w:name="_Toc59803650"/>
      <w:r w:rsidRPr="008B619A">
        <w:rPr>
          <w:rFonts w:hint="eastAsia"/>
          <w:b/>
          <w:bCs w:val="0"/>
          <w:color w:val="000000" w:themeColor="text1"/>
        </w:rPr>
        <w:t>我國</w:t>
      </w:r>
      <w:r w:rsidR="0072362B" w:rsidRPr="008B619A">
        <w:rPr>
          <w:rFonts w:hint="eastAsia"/>
          <w:b/>
          <w:bCs w:val="0"/>
          <w:color w:val="000000" w:themeColor="text1"/>
        </w:rPr>
        <w:t>總人口數自2020年起負成長，</w:t>
      </w:r>
      <w:r w:rsidR="00227AB8" w:rsidRPr="008B619A">
        <w:rPr>
          <w:rFonts w:hint="eastAsia"/>
          <w:b/>
          <w:bCs w:val="0"/>
          <w:color w:val="000000" w:themeColor="text1"/>
        </w:rPr>
        <w:t>少子</w:t>
      </w:r>
      <w:r w:rsidR="005E1470" w:rsidRPr="008B619A">
        <w:rPr>
          <w:rFonts w:hint="eastAsia"/>
          <w:b/>
          <w:bCs w:val="0"/>
          <w:color w:val="000000" w:themeColor="text1"/>
        </w:rPr>
        <w:t>化</w:t>
      </w:r>
      <w:r w:rsidR="005E1470" w:rsidRPr="008B619A">
        <w:rPr>
          <w:rFonts w:hAnsi="標楷體" w:hint="eastAsia"/>
          <w:b/>
          <w:bCs w:val="0"/>
          <w:color w:val="000000" w:themeColor="text1"/>
        </w:rPr>
        <w:t>、</w:t>
      </w:r>
      <w:r w:rsidR="00227AB8" w:rsidRPr="008B619A">
        <w:rPr>
          <w:rFonts w:hint="eastAsia"/>
          <w:b/>
          <w:bCs w:val="0"/>
          <w:color w:val="000000" w:themeColor="text1"/>
        </w:rPr>
        <w:t>高齡化</w:t>
      </w:r>
      <w:r w:rsidR="005E1470" w:rsidRPr="008B619A">
        <w:rPr>
          <w:rFonts w:hint="eastAsia"/>
          <w:b/>
          <w:bCs w:val="0"/>
          <w:color w:val="000000" w:themeColor="text1"/>
        </w:rPr>
        <w:t>速度</w:t>
      </w:r>
      <w:r w:rsidR="00227AB8" w:rsidRPr="008B619A">
        <w:rPr>
          <w:rFonts w:hint="eastAsia"/>
          <w:b/>
          <w:bCs w:val="0"/>
          <w:color w:val="000000" w:themeColor="text1"/>
        </w:rPr>
        <w:t>更趨顯</w:t>
      </w:r>
      <w:r w:rsidR="00C35846" w:rsidRPr="008B619A">
        <w:rPr>
          <w:rFonts w:hint="eastAsia"/>
          <w:b/>
          <w:bCs w:val="0"/>
          <w:color w:val="000000" w:themeColor="text1"/>
        </w:rPr>
        <w:t>著</w:t>
      </w:r>
      <w:r w:rsidR="00227AB8" w:rsidRPr="008B619A">
        <w:rPr>
          <w:rFonts w:hint="eastAsia"/>
          <w:b/>
          <w:bCs w:val="0"/>
          <w:color w:val="000000" w:themeColor="text1"/>
        </w:rPr>
        <w:t>，研究所</w:t>
      </w:r>
      <w:r w:rsidR="00756202" w:rsidRPr="008B619A">
        <w:rPr>
          <w:rFonts w:hint="eastAsia"/>
          <w:b/>
          <w:bCs w:val="0"/>
          <w:color w:val="000000" w:themeColor="text1"/>
        </w:rPr>
        <w:t>之</w:t>
      </w:r>
      <w:r w:rsidR="006839F9" w:rsidRPr="008B619A">
        <w:rPr>
          <w:rFonts w:hint="eastAsia"/>
          <w:b/>
          <w:bCs w:val="0"/>
          <w:color w:val="000000" w:themeColor="text1"/>
        </w:rPr>
        <w:t>生源雖</w:t>
      </w:r>
      <w:r w:rsidR="00756202" w:rsidRPr="008B619A">
        <w:rPr>
          <w:rFonts w:hint="eastAsia"/>
          <w:b/>
          <w:bCs w:val="0"/>
          <w:color w:val="000000" w:themeColor="text1"/>
        </w:rPr>
        <w:t>未能</w:t>
      </w:r>
      <w:r w:rsidR="00AB60D6" w:rsidRPr="008B619A">
        <w:rPr>
          <w:rFonts w:hint="eastAsia"/>
          <w:b/>
          <w:bCs w:val="0"/>
          <w:color w:val="000000" w:themeColor="text1"/>
        </w:rPr>
        <w:t>完全</w:t>
      </w:r>
      <w:r w:rsidR="00724ADE" w:rsidRPr="008B619A">
        <w:rPr>
          <w:rFonts w:hint="eastAsia"/>
          <w:b/>
          <w:bCs w:val="0"/>
          <w:color w:val="000000" w:themeColor="text1"/>
        </w:rPr>
        <w:t>對應</w:t>
      </w:r>
      <w:r w:rsidR="00756202" w:rsidRPr="008B619A">
        <w:rPr>
          <w:rFonts w:hint="eastAsia"/>
          <w:b/>
          <w:bCs w:val="0"/>
          <w:color w:val="000000" w:themeColor="text1"/>
        </w:rPr>
        <w:t>人口</w:t>
      </w:r>
      <w:r w:rsidR="00724ADE" w:rsidRPr="008B619A">
        <w:rPr>
          <w:rFonts w:hint="eastAsia"/>
          <w:b/>
          <w:bCs w:val="0"/>
          <w:color w:val="000000" w:themeColor="text1"/>
        </w:rPr>
        <w:t>出生數</w:t>
      </w:r>
      <w:r w:rsidR="00227AB8" w:rsidRPr="008B619A">
        <w:rPr>
          <w:rFonts w:hint="eastAsia"/>
          <w:b/>
          <w:bCs w:val="0"/>
          <w:color w:val="000000" w:themeColor="text1"/>
        </w:rPr>
        <w:t>，</w:t>
      </w:r>
      <w:r w:rsidR="00724ADE" w:rsidRPr="008B619A">
        <w:rPr>
          <w:rFonts w:hint="eastAsia"/>
          <w:b/>
          <w:bCs w:val="0"/>
          <w:color w:val="000000" w:themeColor="text1"/>
        </w:rPr>
        <w:t>然</w:t>
      </w:r>
      <w:r w:rsidR="002E1D89" w:rsidRPr="008B619A">
        <w:rPr>
          <w:rFonts w:hint="eastAsia"/>
          <w:b/>
          <w:bCs w:val="0"/>
          <w:color w:val="000000" w:themeColor="text1"/>
        </w:rPr>
        <w:t>綜觀</w:t>
      </w:r>
      <w:r w:rsidR="00431428" w:rsidRPr="008B619A">
        <w:rPr>
          <w:rFonts w:hint="eastAsia"/>
          <w:b/>
          <w:bCs w:val="0"/>
          <w:color w:val="000000" w:themeColor="text1"/>
        </w:rPr>
        <w:t>過去</w:t>
      </w:r>
      <w:r w:rsidR="00AB60D6" w:rsidRPr="008B619A">
        <w:rPr>
          <w:rFonts w:hAnsi="標楷體" w:hint="eastAsia"/>
          <w:b/>
          <w:color w:val="000000" w:themeColor="text1"/>
        </w:rPr>
        <w:t>高教擴張與人口結構趨勢背道而馳</w:t>
      </w:r>
      <w:r w:rsidR="00614CEF" w:rsidRPr="008B619A">
        <w:rPr>
          <w:rFonts w:hAnsi="標楷體" w:hint="eastAsia"/>
          <w:b/>
          <w:color w:val="000000" w:themeColor="text1"/>
        </w:rPr>
        <w:t>，</w:t>
      </w:r>
      <w:r w:rsidR="009416B2" w:rsidRPr="008B619A">
        <w:rPr>
          <w:rFonts w:hAnsi="標楷體" w:hint="eastAsia"/>
          <w:b/>
          <w:color w:val="000000" w:themeColor="text1"/>
        </w:rPr>
        <w:t>引發</w:t>
      </w:r>
      <w:r w:rsidR="00A65B16" w:rsidRPr="008B619A">
        <w:rPr>
          <w:rFonts w:hAnsi="標楷體" w:hint="eastAsia"/>
          <w:b/>
          <w:color w:val="000000" w:themeColor="text1"/>
        </w:rPr>
        <w:t>之</w:t>
      </w:r>
      <w:r w:rsidR="009416B2" w:rsidRPr="008B619A">
        <w:rPr>
          <w:rFonts w:hAnsi="標楷體" w:hint="eastAsia"/>
          <w:b/>
          <w:color w:val="000000" w:themeColor="text1"/>
        </w:rPr>
        <w:t>效應</w:t>
      </w:r>
      <w:r w:rsidR="00AB60D6" w:rsidRPr="008B619A">
        <w:rPr>
          <w:rFonts w:hAnsi="標楷體" w:hint="eastAsia"/>
          <w:b/>
          <w:color w:val="000000" w:themeColor="text1"/>
        </w:rPr>
        <w:t>迄未</w:t>
      </w:r>
      <w:r w:rsidR="00A65B16" w:rsidRPr="008B619A">
        <w:rPr>
          <w:rFonts w:hAnsi="標楷體" w:hint="eastAsia"/>
          <w:b/>
          <w:color w:val="000000" w:themeColor="text1"/>
        </w:rPr>
        <w:t>能</w:t>
      </w:r>
      <w:r w:rsidR="00AB60D6" w:rsidRPr="008B619A">
        <w:rPr>
          <w:rFonts w:hAnsi="標楷體" w:hint="eastAsia"/>
          <w:b/>
          <w:color w:val="000000" w:themeColor="text1"/>
        </w:rPr>
        <w:t>解決</w:t>
      </w:r>
      <w:r w:rsidR="002A3007" w:rsidRPr="008B619A">
        <w:rPr>
          <w:rFonts w:hAnsi="標楷體" w:hint="eastAsia"/>
          <w:b/>
          <w:color w:val="000000" w:themeColor="text1"/>
        </w:rPr>
        <w:t>；</w:t>
      </w:r>
      <w:r w:rsidR="001C55BA" w:rsidRPr="008B619A">
        <w:rPr>
          <w:rFonts w:hAnsi="標楷體" w:hint="eastAsia"/>
          <w:b/>
          <w:color w:val="000000" w:themeColor="text1"/>
        </w:rPr>
        <w:t>以歷年</w:t>
      </w:r>
      <w:r w:rsidR="00C70845" w:rsidRPr="008B619A">
        <w:rPr>
          <w:rFonts w:hAnsi="標楷體" w:hint="eastAsia"/>
          <w:b/>
          <w:color w:val="000000" w:themeColor="text1"/>
        </w:rPr>
        <w:t>研究所畢業</w:t>
      </w:r>
      <w:r w:rsidR="00164AE6" w:rsidRPr="008B619A">
        <w:rPr>
          <w:rFonts w:hAnsi="標楷體" w:hint="eastAsia"/>
          <w:b/>
          <w:color w:val="000000" w:themeColor="text1"/>
        </w:rPr>
        <w:t>生</w:t>
      </w:r>
      <w:r w:rsidR="004613DB" w:rsidRPr="008B619A">
        <w:rPr>
          <w:rFonts w:hint="eastAsia"/>
          <w:b/>
          <w:bCs w:val="0"/>
          <w:color w:val="000000" w:themeColor="text1"/>
        </w:rPr>
        <w:t>數</w:t>
      </w:r>
      <w:r w:rsidR="00A903F4" w:rsidRPr="008B619A">
        <w:rPr>
          <w:rFonts w:hint="eastAsia"/>
          <w:b/>
          <w:bCs w:val="0"/>
          <w:color w:val="000000" w:themeColor="text1"/>
        </w:rPr>
        <w:t>規模</w:t>
      </w:r>
      <w:r w:rsidR="00790B25" w:rsidRPr="008B619A">
        <w:rPr>
          <w:rFonts w:hint="eastAsia"/>
          <w:b/>
          <w:bCs w:val="0"/>
          <w:color w:val="000000" w:themeColor="text1"/>
        </w:rPr>
        <w:t>增減</w:t>
      </w:r>
      <w:r w:rsidR="00930549" w:rsidRPr="008B619A">
        <w:rPr>
          <w:rFonts w:hint="eastAsia"/>
          <w:b/>
          <w:bCs w:val="0"/>
          <w:color w:val="000000" w:themeColor="text1"/>
        </w:rPr>
        <w:t>及</w:t>
      </w:r>
      <w:r w:rsidR="00790B25" w:rsidRPr="008B619A">
        <w:rPr>
          <w:rFonts w:hint="eastAsia"/>
          <w:b/>
          <w:bCs w:val="0"/>
          <w:color w:val="000000" w:themeColor="text1"/>
        </w:rPr>
        <w:t>未來</w:t>
      </w:r>
      <w:r w:rsidR="00EF448B" w:rsidRPr="008B619A">
        <w:rPr>
          <w:rFonts w:hint="eastAsia"/>
          <w:b/>
          <w:bCs w:val="0"/>
          <w:color w:val="000000" w:themeColor="text1"/>
        </w:rPr>
        <w:t>人數</w:t>
      </w:r>
      <w:r w:rsidR="00930549" w:rsidRPr="008B619A">
        <w:rPr>
          <w:rFonts w:hint="eastAsia"/>
          <w:b/>
          <w:bCs w:val="0"/>
          <w:color w:val="000000" w:themeColor="text1"/>
        </w:rPr>
        <w:t>推估</w:t>
      </w:r>
      <w:r w:rsidR="00145B74" w:rsidRPr="008B619A">
        <w:rPr>
          <w:rFonts w:hint="eastAsia"/>
          <w:b/>
          <w:bCs w:val="0"/>
          <w:color w:val="000000" w:themeColor="text1"/>
        </w:rPr>
        <w:t>情形</w:t>
      </w:r>
      <w:r w:rsidR="00F354E6" w:rsidRPr="008B619A">
        <w:rPr>
          <w:rFonts w:hint="eastAsia"/>
          <w:b/>
          <w:bCs w:val="0"/>
          <w:color w:val="000000" w:themeColor="text1"/>
        </w:rPr>
        <w:t>顯示</w:t>
      </w:r>
      <w:r w:rsidR="00145B74" w:rsidRPr="008B619A">
        <w:rPr>
          <w:rFonts w:hint="eastAsia"/>
          <w:b/>
          <w:bCs w:val="0"/>
          <w:color w:val="000000" w:themeColor="text1"/>
        </w:rPr>
        <w:t>，</w:t>
      </w:r>
      <w:r w:rsidR="000A6DB1" w:rsidRPr="008B619A">
        <w:rPr>
          <w:rFonts w:hAnsi="標楷體" w:hint="eastAsia"/>
          <w:b/>
          <w:bCs w:val="0"/>
          <w:color w:val="000000" w:themeColor="text1"/>
        </w:rPr>
        <w:t>研究所畢業生</w:t>
      </w:r>
      <w:r w:rsidR="00145B74" w:rsidRPr="008B619A">
        <w:rPr>
          <w:rFonts w:hint="eastAsia"/>
          <w:b/>
          <w:bCs w:val="0"/>
          <w:color w:val="000000" w:themeColor="text1"/>
        </w:rPr>
        <w:t>自101學年</w:t>
      </w:r>
      <w:r w:rsidR="00D80F8D" w:rsidRPr="008B619A">
        <w:rPr>
          <w:rFonts w:hint="eastAsia"/>
          <w:b/>
          <w:bCs w:val="0"/>
          <w:color w:val="000000" w:themeColor="text1"/>
        </w:rPr>
        <w:t>計</w:t>
      </w:r>
      <w:r w:rsidR="00145B74" w:rsidRPr="008B619A">
        <w:rPr>
          <w:rFonts w:hint="eastAsia"/>
          <w:b/>
          <w:bCs w:val="0"/>
          <w:color w:val="000000" w:themeColor="text1"/>
        </w:rPr>
        <w:t>6.4萬人</w:t>
      </w:r>
      <w:r w:rsidR="000A6E38" w:rsidRPr="008B619A">
        <w:rPr>
          <w:rFonts w:hint="eastAsia"/>
          <w:b/>
          <w:bCs w:val="0"/>
          <w:color w:val="000000" w:themeColor="text1"/>
        </w:rPr>
        <w:t>起</w:t>
      </w:r>
      <w:r w:rsidR="00145B74" w:rsidRPr="008B619A">
        <w:rPr>
          <w:rFonts w:hint="eastAsia"/>
          <w:b/>
          <w:bCs w:val="0"/>
          <w:color w:val="000000" w:themeColor="text1"/>
        </w:rPr>
        <w:t>逐年減少，迄107學年</w:t>
      </w:r>
      <w:r w:rsidR="006E2601" w:rsidRPr="008B619A">
        <w:rPr>
          <w:rFonts w:hint="eastAsia"/>
          <w:b/>
          <w:bCs w:val="0"/>
          <w:color w:val="000000" w:themeColor="text1"/>
        </w:rPr>
        <w:t>總數</w:t>
      </w:r>
      <w:r w:rsidR="000A6E38" w:rsidRPr="008B619A">
        <w:rPr>
          <w:rFonts w:hint="eastAsia"/>
          <w:b/>
          <w:bCs w:val="0"/>
          <w:color w:val="000000" w:themeColor="text1"/>
        </w:rPr>
        <w:t>降</w:t>
      </w:r>
      <w:r w:rsidR="00145B74" w:rsidRPr="008B619A">
        <w:rPr>
          <w:rFonts w:hint="eastAsia"/>
          <w:b/>
          <w:bCs w:val="0"/>
          <w:color w:val="000000" w:themeColor="text1"/>
        </w:rPr>
        <w:t>為5.8萬人，預</w:t>
      </w:r>
      <w:r w:rsidR="00F850DA" w:rsidRPr="008B619A">
        <w:rPr>
          <w:rFonts w:hint="eastAsia"/>
          <w:b/>
          <w:bCs w:val="0"/>
          <w:color w:val="000000" w:themeColor="text1"/>
        </w:rPr>
        <w:t>估至</w:t>
      </w:r>
      <w:r w:rsidR="00145B74" w:rsidRPr="008B619A">
        <w:rPr>
          <w:rFonts w:hint="eastAsia"/>
          <w:b/>
          <w:bCs w:val="0"/>
          <w:color w:val="000000" w:themeColor="text1"/>
        </w:rPr>
        <w:t>124學年將減至4.6萬人，較98學年</w:t>
      </w:r>
      <w:r w:rsidR="00DF5840" w:rsidRPr="008B619A">
        <w:rPr>
          <w:rFonts w:hint="eastAsia"/>
          <w:b/>
          <w:bCs w:val="0"/>
          <w:color w:val="000000" w:themeColor="text1"/>
        </w:rPr>
        <w:t>減少</w:t>
      </w:r>
      <w:r w:rsidR="00145B74" w:rsidRPr="008B619A">
        <w:rPr>
          <w:rFonts w:hint="eastAsia"/>
          <w:b/>
          <w:bCs w:val="0"/>
          <w:color w:val="000000" w:themeColor="text1"/>
        </w:rPr>
        <w:t>1.7萬人</w:t>
      </w:r>
      <w:r w:rsidR="0088129F" w:rsidRPr="008B619A">
        <w:rPr>
          <w:rFonts w:hint="eastAsia"/>
          <w:b/>
          <w:bCs w:val="0"/>
          <w:color w:val="000000" w:themeColor="text1"/>
        </w:rPr>
        <w:t>（</w:t>
      </w:r>
      <w:r w:rsidR="00145B74" w:rsidRPr="008B619A">
        <w:rPr>
          <w:rFonts w:hint="eastAsia"/>
          <w:b/>
          <w:bCs w:val="0"/>
          <w:color w:val="000000" w:themeColor="text1"/>
        </w:rPr>
        <w:t>27.0%</w:t>
      </w:r>
      <w:r w:rsidR="0088129F" w:rsidRPr="008B619A">
        <w:rPr>
          <w:rFonts w:hint="eastAsia"/>
          <w:b/>
          <w:bCs w:val="0"/>
          <w:color w:val="000000" w:themeColor="text1"/>
        </w:rPr>
        <w:t>）</w:t>
      </w:r>
      <w:r w:rsidR="006E2601" w:rsidRPr="008B619A">
        <w:rPr>
          <w:rFonts w:hint="eastAsia"/>
          <w:b/>
          <w:bCs w:val="0"/>
          <w:color w:val="000000" w:themeColor="text1"/>
        </w:rPr>
        <w:t>，</w:t>
      </w:r>
      <w:r w:rsidR="00145B74" w:rsidRPr="008B619A">
        <w:rPr>
          <w:rFonts w:hint="eastAsia"/>
          <w:b/>
          <w:bCs w:val="0"/>
          <w:color w:val="000000" w:themeColor="text1"/>
        </w:rPr>
        <w:t>平均年減約7百人</w:t>
      </w:r>
      <w:r w:rsidR="002572A7" w:rsidRPr="008B619A">
        <w:rPr>
          <w:rFonts w:hint="eastAsia"/>
          <w:b/>
          <w:bCs w:val="0"/>
          <w:color w:val="000000" w:themeColor="text1"/>
        </w:rPr>
        <w:t>，達</w:t>
      </w:r>
      <w:r w:rsidR="00145B74" w:rsidRPr="008B619A">
        <w:rPr>
          <w:rFonts w:hint="eastAsia"/>
          <w:b/>
          <w:bCs w:val="0"/>
          <w:color w:val="000000" w:themeColor="text1"/>
        </w:rPr>
        <w:t>1.3%</w:t>
      </w:r>
      <w:r w:rsidR="00702D1B" w:rsidRPr="008B619A">
        <w:rPr>
          <w:rFonts w:hint="eastAsia"/>
          <w:b/>
          <w:bCs w:val="0"/>
          <w:color w:val="000000" w:themeColor="text1"/>
        </w:rPr>
        <w:t>；</w:t>
      </w:r>
      <w:r w:rsidR="007A2F5C" w:rsidRPr="008B619A">
        <w:rPr>
          <w:rFonts w:hint="eastAsia"/>
          <w:b/>
          <w:bCs w:val="0"/>
          <w:color w:val="000000" w:themeColor="text1"/>
        </w:rPr>
        <w:t>其中</w:t>
      </w:r>
      <w:r w:rsidR="00EA5954" w:rsidRPr="008B619A">
        <w:rPr>
          <w:rFonts w:hint="eastAsia"/>
          <w:b/>
          <w:bCs w:val="0"/>
          <w:color w:val="000000" w:themeColor="text1"/>
        </w:rPr>
        <w:t>，</w:t>
      </w:r>
      <w:r w:rsidR="003358E1" w:rsidRPr="008B619A">
        <w:rPr>
          <w:rFonts w:hint="eastAsia"/>
          <w:b/>
          <w:bCs w:val="0"/>
          <w:color w:val="000000" w:themeColor="text1"/>
        </w:rPr>
        <w:t>博士畢業生人數</w:t>
      </w:r>
      <w:r w:rsidR="00825AE7" w:rsidRPr="008B619A">
        <w:rPr>
          <w:rFonts w:hint="eastAsia"/>
          <w:b/>
          <w:bCs w:val="0"/>
          <w:color w:val="000000" w:themeColor="text1"/>
        </w:rPr>
        <w:t>呈現</w:t>
      </w:r>
      <w:r w:rsidR="003358E1" w:rsidRPr="008B619A">
        <w:rPr>
          <w:b/>
          <w:bCs w:val="0"/>
          <w:color w:val="000000" w:themeColor="text1"/>
        </w:rPr>
        <w:t>持續</w:t>
      </w:r>
      <w:r w:rsidR="00573E58" w:rsidRPr="008B619A">
        <w:rPr>
          <w:rFonts w:hint="eastAsia"/>
          <w:b/>
          <w:bCs w:val="0"/>
          <w:color w:val="000000" w:themeColor="text1"/>
        </w:rPr>
        <w:t>下降</w:t>
      </w:r>
      <w:r w:rsidR="00F424E4" w:rsidRPr="008B619A">
        <w:rPr>
          <w:rFonts w:hint="eastAsia"/>
          <w:b/>
          <w:bCs w:val="0"/>
          <w:color w:val="000000" w:themeColor="text1"/>
        </w:rPr>
        <w:t>，</w:t>
      </w:r>
      <w:r w:rsidR="00A02195" w:rsidRPr="008B619A">
        <w:rPr>
          <w:rFonts w:hint="eastAsia"/>
          <w:b/>
          <w:bCs w:val="0"/>
          <w:color w:val="000000" w:themeColor="text1"/>
        </w:rPr>
        <w:t>107學年為3,306人，預</w:t>
      </w:r>
      <w:r w:rsidR="00344A38" w:rsidRPr="008B619A">
        <w:rPr>
          <w:rFonts w:hint="eastAsia"/>
          <w:b/>
          <w:bCs w:val="0"/>
          <w:color w:val="000000" w:themeColor="text1"/>
        </w:rPr>
        <w:t>估</w:t>
      </w:r>
      <w:r w:rsidR="004A77EA" w:rsidRPr="008B619A">
        <w:rPr>
          <w:rFonts w:hint="eastAsia"/>
          <w:b/>
          <w:bCs w:val="0"/>
          <w:color w:val="000000" w:themeColor="text1"/>
        </w:rPr>
        <w:t>至</w:t>
      </w:r>
      <w:r w:rsidR="00A02195" w:rsidRPr="008B619A">
        <w:rPr>
          <w:rFonts w:hint="eastAsia"/>
          <w:b/>
          <w:bCs w:val="0"/>
          <w:color w:val="000000" w:themeColor="text1"/>
        </w:rPr>
        <w:t>124學年將減至3,288人，減幅為0.5%</w:t>
      </w:r>
      <w:r w:rsidR="00C35B6C" w:rsidRPr="008B619A">
        <w:rPr>
          <w:rFonts w:hint="eastAsia"/>
          <w:b/>
          <w:bCs w:val="0"/>
          <w:color w:val="000000" w:themeColor="text1"/>
        </w:rPr>
        <w:t>；</w:t>
      </w:r>
      <w:r w:rsidR="00145B74" w:rsidRPr="008B619A">
        <w:rPr>
          <w:rFonts w:hint="eastAsia"/>
          <w:b/>
          <w:bCs w:val="0"/>
          <w:color w:val="000000" w:themeColor="text1"/>
        </w:rPr>
        <w:t>近年</w:t>
      </w:r>
      <w:r w:rsidR="00263EE8" w:rsidRPr="008B619A">
        <w:rPr>
          <w:rFonts w:hint="eastAsia"/>
          <w:b/>
          <w:bCs w:val="0"/>
          <w:color w:val="000000" w:themeColor="text1"/>
        </w:rPr>
        <w:t>政府推動</w:t>
      </w:r>
      <w:r w:rsidR="006910A1" w:rsidRPr="008B619A">
        <w:rPr>
          <w:rFonts w:hint="eastAsia"/>
          <w:b/>
          <w:bCs w:val="0"/>
          <w:color w:val="000000" w:themeColor="text1"/>
        </w:rPr>
        <w:t>多項</w:t>
      </w:r>
      <w:r w:rsidR="00145B74" w:rsidRPr="008B619A">
        <w:rPr>
          <w:rFonts w:hint="eastAsia"/>
          <w:b/>
          <w:bCs w:val="0"/>
          <w:color w:val="000000" w:themeColor="text1"/>
        </w:rPr>
        <w:t>強化</w:t>
      </w:r>
      <w:r w:rsidR="000A6E38" w:rsidRPr="008B619A">
        <w:rPr>
          <w:rFonts w:hint="eastAsia"/>
          <w:b/>
          <w:bCs w:val="0"/>
          <w:color w:val="000000" w:themeColor="text1"/>
        </w:rPr>
        <w:t>就學</w:t>
      </w:r>
      <w:r w:rsidR="00263EE8" w:rsidRPr="008B619A">
        <w:rPr>
          <w:rFonts w:hint="eastAsia"/>
          <w:b/>
          <w:bCs w:val="0"/>
          <w:color w:val="000000" w:themeColor="text1"/>
        </w:rPr>
        <w:t>就業</w:t>
      </w:r>
      <w:r w:rsidR="00145B74" w:rsidRPr="008B619A">
        <w:rPr>
          <w:rFonts w:hint="eastAsia"/>
          <w:b/>
          <w:bCs w:val="0"/>
          <w:color w:val="000000" w:themeColor="text1"/>
        </w:rPr>
        <w:t>措施，提供博士</w:t>
      </w:r>
      <w:r w:rsidR="00391201" w:rsidRPr="008B619A">
        <w:rPr>
          <w:rFonts w:hint="eastAsia"/>
          <w:b/>
          <w:bCs w:val="0"/>
          <w:color w:val="000000" w:themeColor="text1"/>
        </w:rPr>
        <w:t>獎學金</w:t>
      </w:r>
      <w:r w:rsidR="00263EE8" w:rsidRPr="008B619A">
        <w:rPr>
          <w:rFonts w:hint="eastAsia"/>
          <w:b/>
          <w:bCs w:val="0"/>
          <w:color w:val="000000" w:themeColor="text1"/>
        </w:rPr>
        <w:t>及多元發展</w:t>
      </w:r>
      <w:r w:rsidR="00391201" w:rsidRPr="008B619A">
        <w:rPr>
          <w:rFonts w:hint="eastAsia"/>
          <w:b/>
          <w:bCs w:val="0"/>
          <w:color w:val="000000" w:themeColor="text1"/>
        </w:rPr>
        <w:t>等</w:t>
      </w:r>
      <w:r w:rsidR="00145B74" w:rsidRPr="008B619A">
        <w:rPr>
          <w:rFonts w:hint="eastAsia"/>
          <w:b/>
          <w:bCs w:val="0"/>
          <w:color w:val="000000" w:themeColor="text1"/>
        </w:rPr>
        <w:t>誘因</w:t>
      </w:r>
      <w:r w:rsidR="00F458D3" w:rsidRPr="008B619A">
        <w:rPr>
          <w:rFonts w:hint="eastAsia"/>
          <w:b/>
          <w:bCs w:val="0"/>
          <w:color w:val="000000" w:themeColor="text1"/>
        </w:rPr>
        <w:t>，</w:t>
      </w:r>
      <w:r w:rsidR="00145B74" w:rsidRPr="008B619A">
        <w:rPr>
          <w:b/>
          <w:bCs w:val="0"/>
          <w:color w:val="000000" w:themeColor="text1"/>
        </w:rPr>
        <w:t>107</w:t>
      </w:r>
      <w:r w:rsidR="00406962" w:rsidRPr="008B619A">
        <w:rPr>
          <w:rFonts w:hAnsi="標楷體" w:hint="eastAsia"/>
          <w:b/>
          <w:bCs w:val="0"/>
          <w:color w:val="000000" w:themeColor="text1"/>
        </w:rPr>
        <w:t>、</w:t>
      </w:r>
      <w:r w:rsidR="00145B74" w:rsidRPr="008B619A">
        <w:rPr>
          <w:b/>
          <w:bCs w:val="0"/>
          <w:color w:val="000000" w:themeColor="text1"/>
        </w:rPr>
        <w:t>108</w:t>
      </w:r>
      <w:r w:rsidR="00145B74" w:rsidRPr="008B619A">
        <w:rPr>
          <w:rFonts w:hint="eastAsia"/>
          <w:b/>
          <w:bCs w:val="0"/>
          <w:color w:val="000000" w:themeColor="text1"/>
        </w:rPr>
        <w:t>學年</w:t>
      </w:r>
      <w:r w:rsidR="00B622CF" w:rsidRPr="008B619A">
        <w:rPr>
          <w:rFonts w:hint="eastAsia"/>
          <w:b/>
          <w:bCs w:val="0"/>
          <w:color w:val="000000" w:themeColor="text1"/>
        </w:rPr>
        <w:t>博士新生分別為</w:t>
      </w:r>
      <w:r w:rsidR="00B622CF" w:rsidRPr="008B619A">
        <w:rPr>
          <w:b/>
          <w:bCs w:val="0"/>
          <w:color w:val="000000" w:themeColor="text1"/>
        </w:rPr>
        <w:t>5,413</w:t>
      </w:r>
      <w:r w:rsidR="00B622CF" w:rsidRPr="008B619A">
        <w:rPr>
          <w:rFonts w:hint="eastAsia"/>
          <w:b/>
          <w:bCs w:val="0"/>
          <w:color w:val="000000" w:themeColor="text1"/>
        </w:rPr>
        <w:t>人</w:t>
      </w:r>
      <w:r w:rsidR="00B622CF" w:rsidRPr="008B619A">
        <w:rPr>
          <w:rFonts w:hAnsi="標楷體" w:hint="eastAsia"/>
          <w:b/>
          <w:bCs w:val="0"/>
          <w:color w:val="000000" w:themeColor="text1"/>
        </w:rPr>
        <w:t>、</w:t>
      </w:r>
      <w:r w:rsidR="00145B74" w:rsidRPr="008B619A">
        <w:rPr>
          <w:b/>
          <w:bCs w:val="0"/>
          <w:color w:val="000000" w:themeColor="text1"/>
        </w:rPr>
        <w:t>5,590</w:t>
      </w:r>
      <w:r w:rsidR="00145B74" w:rsidRPr="008B619A">
        <w:rPr>
          <w:rFonts w:hint="eastAsia"/>
          <w:b/>
          <w:bCs w:val="0"/>
          <w:color w:val="000000" w:themeColor="text1"/>
        </w:rPr>
        <w:t>人</w:t>
      </w:r>
      <w:r w:rsidR="00F84EA6" w:rsidRPr="008B619A">
        <w:rPr>
          <w:rFonts w:hint="eastAsia"/>
          <w:b/>
          <w:bCs w:val="0"/>
          <w:color w:val="000000" w:themeColor="text1"/>
        </w:rPr>
        <w:t>，已</w:t>
      </w:r>
      <w:r w:rsidR="004D0FEC" w:rsidRPr="008B619A">
        <w:rPr>
          <w:rFonts w:hint="eastAsia"/>
          <w:b/>
          <w:bCs w:val="0"/>
          <w:color w:val="000000" w:themeColor="text1"/>
        </w:rPr>
        <w:t>然</w:t>
      </w:r>
      <w:r w:rsidR="00F84EA6" w:rsidRPr="008B619A">
        <w:rPr>
          <w:rFonts w:hint="eastAsia"/>
          <w:b/>
          <w:bCs w:val="0"/>
          <w:color w:val="000000" w:themeColor="text1"/>
        </w:rPr>
        <w:t>微幅提</w:t>
      </w:r>
      <w:r w:rsidR="007E018C" w:rsidRPr="008B619A">
        <w:rPr>
          <w:rFonts w:hint="eastAsia"/>
          <w:b/>
          <w:bCs w:val="0"/>
          <w:color w:val="000000" w:themeColor="text1"/>
        </w:rPr>
        <w:t>高</w:t>
      </w:r>
      <w:r w:rsidR="00E07535" w:rsidRPr="008B619A">
        <w:rPr>
          <w:rFonts w:hint="eastAsia"/>
          <w:b/>
          <w:bCs w:val="0"/>
          <w:color w:val="000000" w:themeColor="text1"/>
        </w:rPr>
        <w:t>博士</w:t>
      </w:r>
      <w:r w:rsidR="00F84EA6" w:rsidRPr="008B619A">
        <w:rPr>
          <w:rFonts w:hint="eastAsia"/>
          <w:b/>
          <w:bCs w:val="0"/>
          <w:color w:val="000000" w:themeColor="text1"/>
        </w:rPr>
        <w:t>新生就讀人數</w:t>
      </w:r>
      <w:r w:rsidR="00C705B5" w:rsidRPr="008B619A">
        <w:rPr>
          <w:rFonts w:hint="eastAsia"/>
          <w:b/>
          <w:bCs w:val="0"/>
          <w:color w:val="000000" w:themeColor="text1"/>
        </w:rPr>
        <w:t>，</w:t>
      </w:r>
      <w:r w:rsidR="00F458D3" w:rsidRPr="008B619A">
        <w:rPr>
          <w:rFonts w:hint="eastAsia"/>
          <w:b/>
          <w:bCs w:val="0"/>
          <w:color w:val="000000" w:themeColor="text1"/>
        </w:rPr>
        <w:t>惟</w:t>
      </w:r>
      <w:r w:rsidR="00355FCB" w:rsidRPr="008B619A">
        <w:rPr>
          <w:rFonts w:hint="eastAsia"/>
          <w:b/>
          <w:bCs w:val="0"/>
          <w:color w:val="000000" w:themeColor="text1"/>
        </w:rPr>
        <w:t>我國</w:t>
      </w:r>
      <w:r w:rsidR="00814895" w:rsidRPr="008B619A">
        <w:rPr>
          <w:rFonts w:hint="eastAsia"/>
          <w:b/>
          <w:bCs w:val="0"/>
          <w:color w:val="000000" w:themeColor="text1"/>
        </w:rPr>
        <w:t>在全球化</w:t>
      </w:r>
      <w:r w:rsidR="00AF27A3" w:rsidRPr="008B619A">
        <w:rPr>
          <w:rFonts w:hint="eastAsia"/>
          <w:b/>
          <w:bCs w:val="0"/>
          <w:color w:val="000000" w:themeColor="text1"/>
        </w:rPr>
        <w:t>浪潮</w:t>
      </w:r>
      <w:r w:rsidR="00DE62D2" w:rsidRPr="008B619A">
        <w:rPr>
          <w:rFonts w:hint="eastAsia"/>
          <w:b/>
          <w:bCs w:val="0"/>
          <w:color w:val="000000" w:themeColor="text1"/>
        </w:rPr>
        <w:t>及人</w:t>
      </w:r>
      <w:r w:rsidR="00FD255B" w:rsidRPr="008B619A">
        <w:rPr>
          <w:rFonts w:hint="eastAsia"/>
          <w:b/>
          <w:bCs w:val="0"/>
          <w:color w:val="000000" w:themeColor="text1"/>
        </w:rPr>
        <w:t>口趨勢</w:t>
      </w:r>
      <w:r w:rsidR="00DA624E" w:rsidRPr="008B619A">
        <w:rPr>
          <w:rFonts w:hint="eastAsia"/>
          <w:b/>
          <w:bCs w:val="0"/>
          <w:color w:val="000000" w:themeColor="text1"/>
        </w:rPr>
        <w:t>延燒</w:t>
      </w:r>
      <w:r w:rsidR="00AF27A3" w:rsidRPr="008B619A">
        <w:rPr>
          <w:rFonts w:hint="eastAsia"/>
          <w:b/>
          <w:bCs w:val="0"/>
          <w:color w:val="000000" w:themeColor="text1"/>
        </w:rPr>
        <w:t>下</w:t>
      </w:r>
      <w:r w:rsidR="00DA624E" w:rsidRPr="008B619A">
        <w:rPr>
          <w:rFonts w:hint="eastAsia"/>
          <w:b/>
          <w:bCs w:val="0"/>
          <w:color w:val="000000" w:themeColor="text1"/>
        </w:rPr>
        <w:t>，</w:t>
      </w:r>
      <w:r w:rsidR="00E86680" w:rsidRPr="008B619A">
        <w:rPr>
          <w:rFonts w:hint="eastAsia"/>
          <w:b/>
          <w:bCs w:val="0"/>
          <w:color w:val="000000" w:themeColor="text1"/>
        </w:rPr>
        <w:t>各大專校院</w:t>
      </w:r>
      <w:r w:rsidR="000C4BCA" w:rsidRPr="008B619A">
        <w:rPr>
          <w:rFonts w:hint="eastAsia"/>
          <w:b/>
          <w:bCs w:val="0"/>
          <w:color w:val="000000" w:themeColor="text1"/>
        </w:rPr>
        <w:t>博士</w:t>
      </w:r>
      <w:r w:rsidR="000C4BCA" w:rsidRPr="008B619A">
        <w:rPr>
          <w:rFonts w:hint="eastAsia"/>
          <w:b/>
          <w:bCs w:val="0"/>
          <w:color w:val="000000" w:themeColor="text1"/>
        </w:rPr>
        <w:lastRenderedPageBreak/>
        <w:t>班</w:t>
      </w:r>
      <w:r w:rsidR="00A654AF" w:rsidRPr="008B619A">
        <w:rPr>
          <w:rFonts w:hint="eastAsia"/>
          <w:b/>
          <w:bCs w:val="0"/>
          <w:color w:val="000000" w:themeColor="text1"/>
        </w:rPr>
        <w:t>勢將面臨「轉型」及「退場」等</w:t>
      </w:r>
      <w:r w:rsidR="00881F76" w:rsidRPr="008B619A">
        <w:rPr>
          <w:rFonts w:hint="eastAsia"/>
          <w:b/>
          <w:bCs w:val="0"/>
          <w:color w:val="000000" w:themeColor="text1"/>
        </w:rPr>
        <w:t>更嚴峻</w:t>
      </w:r>
      <w:r w:rsidR="004658C9" w:rsidRPr="008B619A">
        <w:rPr>
          <w:rFonts w:hint="eastAsia"/>
          <w:b/>
          <w:bCs w:val="0"/>
          <w:color w:val="000000" w:themeColor="text1"/>
        </w:rPr>
        <w:t>之</w:t>
      </w:r>
      <w:r w:rsidR="00A654AF" w:rsidRPr="008B619A">
        <w:rPr>
          <w:rFonts w:hint="eastAsia"/>
          <w:b/>
          <w:bCs w:val="0"/>
          <w:color w:val="000000" w:themeColor="text1"/>
        </w:rPr>
        <w:t>挑戰，</w:t>
      </w:r>
      <w:r w:rsidR="0088095B" w:rsidRPr="008B619A">
        <w:rPr>
          <w:rFonts w:hint="eastAsia"/>
          <w:b/>
          <w:bCs w:val="0"/>
          <w:color w:val="000000" w:themeColor="text1"/>
        </w:rPr>
        <w:t>究相關需求及品質應如何鑑別，</w:t>
      </w:r>
      <w:r w:rsidR="00592E3C" w:rsidRPr="008B619A">
        <w:rPr>
          <w:rFonts w:hint="eastAsia"/>
          <w:b/>
          <w:bCs w:val="0"/>
          <w:color w:val="000000" w:themeColor="text1"/>
        </w:rPr>
        <w:t>主管機關</w:t>
      </w:r>
      <w:r w:rsidR="0088095B" w:rsidRPr="008B619A">
        <w:rPr>
          <w:rFonts w:hint="eastAsia"/>
          <w:b/>
          <w:bCs w:val="0"/>
          <w:color w:val="000000" w:themeColor="text1"/>
        </w:rPr>
        <w:t>允宜</w:t>
      </w:r>
      <w:r w:rsidR="00201A9B" w:rsidRPr="008B619A">
        <w:rPr>
          <w:rFonts w:hint="eastAsia"/>
          <w:b/>
          <w:bCs w:val="0"/>
          <w:color w:val="000000" w:themeColor="text1"/>
        </w:rPr>
        <w:t>針對</w:t>
      </w:r>
      <w:r w:rsidR="00187C1E" w:rsidRPr="008B619A">
        <w:rPr>
          <w:rFonts w:hint="eastAsia"/>
          <w:b/>
          <w:bCs w:val="0"/>
          <w:color w:val="000000" w:themeColor="text1"/>
        </w:rPr>
        <w:t>高階人才</w:t>
      </w:r>
      <w:r w:rsidR="00126D62" w:rsidRPr="008B619A">
        <w:rPr>
          <w:rFonts w:hint="eastAsia"/>
          <w:b/>
          <w:bCs w:val="0"/>
          <w:color w:val="000000" w:themeColor="text1"/>
        </w:rPr>
        <w:t>發展策略</w:t>
      </w:r>
      <w:r w:rsidR="00126D62" w:rsidRPr="008B619A">
        <w:rPr>
          <w:rFonts w:hAnsi="標楷體" w:hint="eastAsia"/>
          <w:b/>
          <w:bCs w:val="0"/>
          <w:color w:val="000000" w:themeColor="text1"/>
        </w:rPr>
        <w:t>、</w:t>
      </w:r>
      <w:r w:rsidR="00187C1E" w:rsidRPr="008B619A">
        <w:rPr>
          <w:rFonts w:hint="eastAsia"/>
          <w:b/>
          <w:bCs w:val="0"/>
          <w:color w:val="000000" w:themeColor="text1"/>
        </w:rPr>
        <w:t>博士班</w:t>
      </w:r>
      <w:r w:rsidR="006910A1" w:rsidRPr="008B619A">
        <w:rPr>
          <w:rFonts w:hint="eastAsia"/>
          <w:b/>
          <w:bCs w:val="0"/>
          <w:color w:val="000000" w:themeColor="text1"/>
        </w:rPr>
        <w:t>最適規模</w:t>
      </w:r>
      <w:r w:rsidR="00DA232B" w:rsidRPr="008B619A">
        <w:rPr>
          <w:rFonts w:hAnsi="標楷體" w:hint="eastAsia"/>
          <w:b/>
          <w:bCs w:val="0"/>
          <w:color w:val="000000" w:themeColor="text1"/>
        </w:rPr>
        <w:t>、</w:t>
      </w:r>
      <w:r w:rsidR="00DA232B" w:rsidRPr="008B619A">
        <w:rPr>
          <w:rFonts w:hint="eastAsia"/>
          <w:b/>
          <w:bCs w:val="0"/>
          <w:color w:val="000000" w:themeColor="text1"/>
        </w:rPr>
        <w:t>教育品質</w:t>
      </w:r>
      <w:r w:rsidR="00126D62" w:rsidRPr="008B619A">
        <w:rPr>
          <w:rFonts w:hint="eastAsia"/>
          <w:b/>
          <w:bCs w:val="0"/>
          <w:color w:val="000000" w:themeColor="text1"/>
        </w:rPr>
        <w:t>及</w:t>
      </w:r>
      <w:r w:rsidR="00DA232B" w:rsidRPr="008B619A">
        <w:rPr>
          <w:rFonts w:hint="eastAsia"/>
          <w:b/>
          <w:bCs w:val="0"/>
          <w:color w:val="000000" w:themeColor="text1"/>
        </w:rPr>
        <w:t>相關</w:t>
      </w:r>
      <w:r w:rsidR="00150104" w:rsidRPr="008B619A">
        <w:rPr>
          <w:rFonts w:hint="eastAsia"/>
          <w:b/>
          <w:bCs w:val="0"/>
          <w:color w:val="000000" w:themeColor="text1"/>
        </w:rPr>
        <w:t>就業</w:t>
      </w:r>
      <w:r w:rsidR="00B7509F" w:rsidRPr="008B619A">
        <w:rPr>
          <w:rFonts w:hint="eastAsia"/>
          <w:b/>
          <w:bCs w:val="0"/>
          <w:color w:val="000000" w:themeColor="text1"/>
        </w:rPr>
        <w:t>評估</w:t>
      </w:r>
      <w:r w:rsidR="006E20DD" w:rsidRPr="008B619A">
        <w:rPr>
          <w:rFonts w:hint="eastAsia"/>
          <w:b/>
          <w:bCs w:val="0"/>
          <w:color w:val="000000" w:themeColor="text1"/>
        </w:rPr>
        <w:t>等面向</w:t>
      </w:r>
      <w:r w:rsidR="00F02BFE" w:rsidRPr="008B619A">
        <w:rPr>
          <w:rFonts w:hint="eastAsia"/>
          <w:b/>
          <w:bCs w:val="0"/>
          <w:color w:val="000000" w:themeColor="text1"/>
        </w:rPr>
        <w:t>謀劃</w:t>
      </w:r>
      <w:r w:rsidR="00AC5A4E" w:rsidRPr="008B619A">
        <w:rPr>
          <w:rFonts w:hint="eastAsia"/>
          <w:b/>
          <w:bCs w:val="0"/>
          <w:color w:val="000000" w:themeColor="text1"/>
        </w:rPr>
        <w:t>對策，</w:t>
      </w:r>
      <w:r w:rsidR="008F7DEB" w:rsidRPr="008B619A">
        <w:rPr>
          <w:rFonts w:hint="eastAsia"/>
          <w:b/>
          <w:bCs w:val="0"/>
          <w:color w:val="000000" w:themeColor="text1"/>
        </w:rPr>
        <w:t>未來</w:t>
      </w:r>
      <w:r w:rsidR="00A0288A" w:rsidRPr="008B619A">
        <w:rPr>
          <w:rFonts w:hint="eastAsia"/>
          <w:b/>
          <w:bCs w:val="0"/>
          <w:color w:val="000000" w:themeColor="text1"/>
        </w:rPr>
        <w:t>國家</w:t>
      </w:r>
      <w:r w:rsidR="00061523" w:rsidRPr="008B619A">
        <w:rPr>
          <w:rFonts w:hint="eastAsia"/>
          <w:b/>
          <w:bCs w:val="0"/>
          <w:color w:val="000000" w:themeColor="text1"/>
        </w:rPr>
        <w:t>人口政策乃至</w:t>
      </w:r>
      <w:r w:rsidR="008F5DC4" w:rsidRPr="008B619A">
        <w:rPr>
          <w:rFonts w:hint="eastAsia"/>
          <w:b/>
          <w:bCs w:val="0"/>
          <w:color w:val="000000" w:themeColor="text1"/>
        </w:rPr>
        <w:t>整體</w:t>
      </w:r>
      <w:r w:rsidR="003D0954" w:rsidRPr="008B619A">
        <w:rPr>
          <w:rFonts w:hint="eastAsia"/>
          <w:b/>
          <w:bCs w:val="0"/>
          <w:color w:val="000000" w:themeColor="text1"/>
        </w:rPr>
        <w:t>國際</w:t>
      </w:r>
      <w:r w:rsidR="003C5895" w:rsidRPr="008B619A">
        <w:rPr>
          <w:rFonts w:hint="eastAsia"/>
          <w:b/>
          <w:bCs w:val="0"/>
          <w:color w:val="000000" w:themeColor="text1"/>
        </w:rPr>
        <w:t>競爭力之長期</w:t>
      </w:r>
      <w:r w:rsidR="006C2992" w:rsidRPr="008B619A">
        <w:rPr>
          <w:rFonts w:hint="eastAsia"/>
          <w:b/>
          <w:bCs w:val="0"/>
          <w:color w:val="000000" w:themeColor="text1"/>
        </w:rPr>
        <w:t>布局</w:t>
      </w:r>
      <w:r w:rsidR="00BF3782" w:rsidRPr="008B619A">
        <w:rPr>
          <w:rFonts w:hint="eastAsia"/>
          <w:b/>
          <w:bCs w:val="0"/>
          <w:color w:val="000000" w:themeColor="text1"/>
        </w:rPr>
        <w:t>，</w:t>
      </w:r>
      <w:r w:rsidR="0002452B" w:rsidRPr="008B619A">
        <w:rPr>
          <w:rFonts w:hint="eastAsia"/>
          <w:b/>
          <w:bCs w:val="0"/>
          <w:color w:val="000000" w:themeColor="text1"/>
        </w:rPr>
        <w:t>亟待</w:t>
      </w:r>
      <w:r w:rsidR="004F0219" w:rsidRPr="008B619A">
        <w:rPr>
          <w:rFonts w:hint="eastAsia"/>
          <w:b/>
          <w:bCs w:val="0"/>
          <w:color w:val="000000" w:themeColor="text1"/>
        </w:rPr>
        <w:t>政府</w:t>
      </w:r>
      <w:r w:rsidR="00CB6F67" w:rsidRPr="008B619A">
        <w:rPr>
          <w:rFonts w:hint="eastAsia"/>
          <w:b/>
          <w:bCs w:val="0"/>
          <w:color w:val="000000" w:themeColor="text1"/>
        </w:rPr>
        <w:t>加速</w:t>
      </w:r>
      <w:r w:rsidR="005957FB" w:rsidRPr="008B619A">
        <w:rPr>
          <w:rFonts w:hint="eastAsia"/>
          <w:b/>
          <w:bCs w:val="0"/>
          <w:color w:val="000000" w:themeColor="text1"/>
        </w:rPr>
        <w:t>統籌</w:t>
      </w:r>
      <w:r w:rsidR="00632224" w:rsidRPr="008B619A">
        <w:rPr>
          <w:rFonts w:hint="eastAsia"/>
          <w:b/>
          <w:bCs w:val="0"/>
          <w:color w:val="000000" w:themeColor="text1"/>
        </w:rPr>
        <w:t>協調，</w:t>
      </w:r>
      <w:r w:rsidR="00FF22E9" w:rsidRPr="008B619A">
        <w:rPr>
          <w:rFonts w:hint="eastAsia"/>
          <w:b/>
          <w:bCs w:val="0"/>
          <w:color w:val="000000" w:themeColor="text1"/>
        </w:rPr>
        <w:t>前瞻思考</w:t>
      </w:r>
      <w:r w:rsidR="001447DF" w:rsidRPr="008B619A">
        <w:rPr>
          <w:rFonts w:hint="eastAsia"/>
          <w:b/>
          <w:bCs w:val="0"/>
          <w:color w:val="000000" w:themeColor="text1"/>
        </w:rPr>
        <w:t>因應</w:t>
      </w:r>
      <w:bookmarkEnd w:id="47"/>
    </w:p>
    <w:p w14:paraId="0EDE1069" w14:textId="1725993A" w:rsidR="00BC366E" w:rsidRPr="008B619A" w:rsidRDefault="00BC366E" w:rsidP="005F4AB4">
      <w:pPr>
        <w:pStyle w:val="3"/>
        <w:rPr>
          <w:color w:val="000000" w:themeColor="text1"/>
        </w:rPr>
      </w:pPr>
      <w:bookmarkStart w:id="49" w:name="_Toc44680319"/>
      <w:bookmarkStart w:id="50" w:name="_Toc45096259"/>
      <w:bookmarkStart w:id="51" w:name="_Toc45646636"/>
      <w:bookmarkStart w:id="52" w:name="_Toc59803652"/>
      <w:r w:rsidRPr="008B619A">
        <w:rPr>
          <w:bCs w:val="0"/>
          <w:color w:val="000000" w:themeColor="text1"/>
        </w:rPr>
        <w:t>按</w:t>
      </w:r>
      <w:r w:rsidR="00D8662F" w:rsidRPr="008B619A">
        <w:rPr>
          <w:rFonts w:hint="eastAsia"/>
          <w:bCs w:val="0"/>
          <w:color w:val="000000" w:themeColor="text1"/>
        </w:rPr>
        <w:t>「</w:t>
      </w:r>
      <w:r w:rsidR="00D8662F" w:rsidRPr="008B619A">
        <w:rPr>
          <w:bCs w:val="0"/>
          <w:color w:val="000000" w:themeColor="text1"/>
        </w:rPr>
        <w:t>國家發展委員會組織法</w:t>
      </w:r>
      <w:r w:rsidR="00D8662F" w:rsidRPr="008B619A">
        <w:rPr>
          <w:rFonts w:hint="eastAsia"/>
          <w:bCs w:val="0"/>
          <w:color w:val="000000" w:themeColor="text1"/>
        </w:rPr>
        <w:t>」</w:t>
      </w:r>
      <w:r w:rsidRPr="008B619A">
        <w:rPr>
          <w:bCs w:val="0"/>
          <w:color w:val="000000" w:themeColor="text1"/>
        </w:rPr>
        <w:t>第1條規定</w:t>
      </w:r>
      <w:r w:rsidR="00AE4E2D" w:rsidRPr="008B619A">
        <w:rPr>
          <w:rFonts w:hint="eastAsia"/>
          <w:bCs w:val="0"/>
          <w:color w:val="000000" w:themeColor="text1"/>
        </w:rPr>
        <w:t>，</w:t>
      </w:r>
      <w:r w:rsidRPr="008B619A">
        <w:rPr>
          <w:bCs w:val="0"/>
          <w:color w:val="000000" w:themeColor="text1"/>
        </w:rPr>
        <w:t>「行政院為辦理國家發展之規劃、協調、審議、資源分配業務，特設國家發展委員會」、同法第2條規定：「該會掌理下列事項：</w:t>
      </w:r>
      <w:r w:rsidRPr="008B619A">
        <w:rPr>
          <w:rFonts w:hint="eastAsia"/>
          <w:bCs w:val="0"/>
          <w:color w:val="000000" w:themeColor="text1"/>
        </w:rPr>
        <w:t>……</w:t>
      </w:r>
      <w:r w:rsidRPr="008B619A">
        <w:rPr>
          <w:bCs w:val="0"/>
          <w:color w:val="000000" w:themeColor="text1"/>
        </w:rPr>
        <w:t>六、人力資源發展政策之綜合性規劃、協調、審議及資源分配。」，以及國家發展委員會處務規程5條：「該會設下列處、中心、室：</w:t>
      </w:r>
      <w:r w:rsidRPr="008B619A">
        <w:rPr>
          <w:rFonts w:hint="eastAsia"/>
          <w:bCs w:val="0"/>
          <w:color w:val="000000" w:themeColor="text1"/>
        </w:rPr>
        <w:t>……</w:t>
      </w:r>
      <w:r w:rsidRPr="008B619A">
        <w:rPr>
          <w:bCs w:val="0"/>
          <w:color w:val="000000" w:themeColor="text1"/>
        </w:rPr>
        <w:t>五、人力發展處，分</w:t>
      </w:r>
      <w:r w:rsidR="00DB4CAD" w:rsidRPr="008B619A">
        <w:rPr>
          <w:rFonts w:hint="eastAsia"/>
          <w:bCs w:val="0"/>
          <w:color w:val="000000" w:themeColor="text1"/>
        </w:rPr>
        <w:t>6</w:t>
      </w:r>
      <w:r w:rsidRPr="008B619A">
        <w:rPr>
          <w:bCs w:val="0"/>
          <w:color w:val="000000" w:themeColor="text1"/>
        </w:rPr>
        <w:t>科辦事。」同法第10條規定</w:t>
      </w:r>
      <w:r w:rsidR="00900CBE" w:rsidRPr="008B619A">
        <w:rPr>
          <w:rFonts w:hint="eastAsia"/>
          <w:bCs w:val="0"/>
          <w:color w:val="000000" w:themeColor="text1"/>
        </w:rPr>
        <w:t>，</w:t>
      </w:r>
      <w:r w:rsidRPr="008B619A">
        <w:rPr>
          <w:bCs w:val="0"/>
          <w:color w:val="000000" w:themeColor="text1"/>
        </w:rPr>
        <w:t>「人力發展處掌理事項如下：一、人力資源發展相關政策與計畫之研擬及審議。二、人口推估與人力供需推估之研究及分析。三、教育發展與職業訓練之研究及分析。四、就業市場與勞動法制之研究及分析。五、國際人力資源與人才引進及留用業務之協調及推動。六、老年經濟安全制度與所得分配政策之研究及分析。七、其他有關人力資源發展事項」。</w:t>
      </w:r>
      <w:bookmarkStart w:id="53" w:name="_Toc44680320"/>
      <w:bookmarkStart w:id="54" w:name="_Toc45096260"/>
      <w:bookmarkStart w:id="55" w:name="_Toc45646637"/>
      <w:bookmarkEnd w:id="49"/>
      <w:bookmarkEnd w:id="50"/>
      <w:bookmarkEnd w:id="51"/>
      <w:r w:rsidR="007C1434" w:rsidRPr="008B619A">
        <w:rPr>
          <w:rFonts w:hAnsi="標楷體"/>
          <w:color w:val="000000" w:themeColor="text1"/>
        </w:rPr>
        <w:t>查為</w:t>
      </w:r>
      <w:r w:rsidR="007C1434" w:rsidRPr="008B619A">
        <w:rPr>
          <w:rFonts w:hAnsi="標楷體" w:hint="eastAsia"/>
          <w:color w:val="000000" w:themeColor="text1"/>
        </w:rPr>
        <w:t>回</w:t>
      </w:r>
      <w:r w:rsidR="007C1434" w:rsidRPr="008B619A">
        <w:rPr>
          <w:rFonts w:hAnsi="標楷體"/>
          <w:color w:val="000000" w:themeColor="text1"/>
        </w:rPr>
        <w:t>應國內人才供需失衡，</w:t>
      </w:r>
      <w:r w:rsidRPr="008B619A">
        <w:rPr>
          <w:color w:val="000000" w:themeColor="text1"/>
        </w:rPr>
        <w:t>再按「產業創新條例」第17條規定</w:t>
      </w:r>
      <w:r w:rsidR="0054531E" w:rsidRPr="008B619A">
        <w:rPr>
          <w:rFonts w:hint="eastAsia"/>
          <w:color w:val="000000" w:themeColor="text1"/>
        </w:rPr>
        <w:t>，</w:t>
      </w:r>
      <w:r w:rsidRPr="008B619A">
        <w:rPr>
          <w:color w:val="000000" w:themeColor="text1"/>
        </w:rPr>
        <w:t>「為強化產業發展所需人才，行政院應指定專責機關建立產業人才資源發展之協調整合機制，推動下列事項：一、協調各中央目的事業主管機關辦理重點產業人才供需調查及推估。二、整合產業人才供需資訊，訂定產業人才資源發展策略。三、協調產業人才資源發展之推動事宜。四、推動產業、學術、研究及職業訓練機構合作之規劃」。</w:t>
      </w:r>
      <w:bookmarkEnd w:id="53"/>
      <w:bookmarkEnd w:id="54"/>
      <w:bookmarkEnd w:id="55"/>
      <w:r w:rsidR="00B70D12" w:rsidRPr="008B619A">
        <w:rPr>
          <w:rFonts w:hint="eastAsia"/>
          <w:bCs w:val="0"/>
          <w:color w:val="000000" w:themeColor="text1"/>
        </w:rPr>
        <w:t>是以，</w:t>
      </w:r>
      <w:r w:rsidR="00B70D12" w:rsidRPr="008B619A">
        <w:rPr>
          <w:rFonts w:hint="eastAsia"/>
          <w:color w:val="000000" w:themeColor="text1"/>
        </w:rPr>
        <w:t>我國博士培育</w:t>
      </w:r>
      <w:r w:rsidR="00920A64" w:rsidRPr="008B619A">
        <w:rPr>
          <w:rFonts w:hint="eastAsia"/>
          <w:color w:val="000000" w:themeColor="text1"/>
        </w:rPr>
        <w:t>、</w:t>
      </w:r>
      <w:r w:rsidR="00B70D12" w:rsidRPr="008B619A">
        <w:rPr>
          <w:rFonts w:hint="eastAsia"/>
          <w:color w:val="000000" w:themeColor="text1"/>
        </w:rPr>
        <w:t>就業或職涯發展等係由教育部整體規劃，科技部基於推動重大科</w:t>
      </w:r>
      <w:r w:rsidR="00B70D12" w:rsidRPr="008B619A">
        <w:rPr>
          <w:rFonts w:hint="eastAsia"/>
          <w:color w:val="000000" w:themeColor="text1"/>
        </w:rPr>
        <w:lastRenderedPageBreak/>
        <w:t>技研發計畫及支援學術研究等職掌，主要以推動高階科研人才在科研發展養成為主，並在科研人才養成階段，提供對應之補助措施。</w:t>
      </w:r>
      <w:r w:rsidR="001243F1" w:rsidRPr="008B619A">
        <w:rPr>
          <w:rFonts w:hint="eastAsia"/>
          <w:color w:val="000000" w:themeColor="text1"/>
        </w:rPr>
        <w:t>而</w:t>
      </w:r>
      <w:r w:rsidR="001243F1" w:rsidRPr="008B619A">
        <w:rPr>
          <w:color w:val="000000" w:themeColor="text1"/>
        </w:rPr>
        <w:t>國發會</w:t>
      </w:r>
      <w:r w:rsidR="001243F1" w:rsidRPr="008B619A">
        <w:rPr>
          <w:rFonts w:hint="eastAsia"/>
          <w:color w:val="000000" w:themeColor="text1"/>
        </w:rPr>
        <w:t>允</w:t>
      </w:r>
      <w:r w:rsidR="001243F1" w:rsidRPr="008B619A">
        <w:rPr>
          <w:color w:val="000000" w:themeColor="text1"/>
        </w:rPr>
        <w:t>為建立產業人才資源發展協調整合機制之專責機關，主責統整各中央目的事業主管機關，辦理重點產業之人才供需調查及推估工作</w:t>
      </w:r>
      <w:r w:rsidR="001243F1" w:rsidRPr="008B619A">
        <w:rPr>
          <w:rFonts w:hint="eastAsia"/>
          <w:color w:val="000000" w:themeColor="text1"/>
        </w:rPr>
        <w:t>，係</w:t>
      </w:r>
      <w:r w:rsidR="001243F1" w:rsidRPr="008B619A">
        <w:rPr>
          <w:color w:val="000000" w:themeColor="text1"/>
        </w:rPr>
        <w:t>我國</w:t>
      </w:r>
      <w:r w:rsidR="001243F1" w:rsidRPr="008B619A">
        <w:rPr>
          <w:rFonts w:hint="eastAsia"/>
          <w:color w:val="000000" w:themeColor="text1"/>
        </w:rPr>
        <w:t>高階</w:t>
      </w:r>
      <w:r w:rsidR="001243F1" w:rsidRPr="008B619A">
        <w:rPr>
          <w:color w:val="000000" w:themeColor="text1"/>
        </w:rPr>
        <w:t>人才資源發展</w:t>
      </w:r>
      <w:r w:rsidR="001243F1" w:rsidRPr="008B619A">
        <w:rPr>
          <w:rFonts w:hint="eastAsia"/>
          <w:color w:val="000000" w:themeColor="text1"/>
        </w:rPr>
        <w:t>之重要</w:t>
      </w:r>
      <w:r w:rsidR="001243F1" w:rsidRPr="008B619A">
        <w:rPr>
          <w:color w:val="000000" w:themeColor="text1"/>
        </w:rPr>
        <w:t>專責機關</w:t>
      </w:r>
      <w:r w:rsidR="000A2049" w:rsidRPr="008B619A">
        <w:rPr>
          <w:rFonts w:hint="eastAsia"/>
          <w:color w:val="000000" w:themeColor="text1"/>
        </w:rPr>
        <w:t>，合先敘明</w:t>
      </w:r>
      <w:r w:rsidR="001243F1" w:rsidRPr="008B619A">
        <w:rPr>
          <w:color w:val="000000" w:themeColor="text1"/>
        </w:rPr>
        <w:t>。</w:t>
      </w:r>
    </w:p>
    <w:p w14:paraId="0CE97624" w14:textId="6EABBBF7" w:rsidR="00435183" w:rsidRPr="008B619A" w:rsidRDefault="00AC75A4" w:rsidP="00AC75A4">
      <w:pPr>
        <w:pStyle w:val="3"/>
        <w:rPr>
          <w:color w:val="000000" w:themeColor="text1"/>
          <w:szCs w:val="32"/>
        </w:rPr>
      </w:pPr>
      <w:r w:rsidRPr="008B619A">
        <w:rPr>
          <w:rFonts w:hint="eastAsia"/>
          <w:color w:val="000000" w:themeColor="text1"/>
        </w:rPr>
        <w:t>查據內政部網站</w:t>
      </w:r>
      <w:r w:rsidR="001E1174" w:rsidRPr="008B619A">
        <w:rPr>
          <w:rStyle w:val="aff1"/>
          <w:color w:val="000000" w:themeColor="text1"/>
        </w:rPr>
        <w:footnoteReference w:id="5"/>
      </w:r>
      <w:r w:rsidRPr="008B619A">
        <w:rPr>
          <w:rFonts w:hint="eastAsia"/>
          <w:color w:val="000000" w:themeColor="text1"/>
        </w:rPr>
        <w:t>，</w:t>
      </w:r>
      <w:r w:rsidR="00AA77D6" w:rsidRPr="008B619A">
        <w:rPr>
          <w:rFonts w:hint="eastAsia"/>
          <w:color w:val="000000" w:themeColor="text1"/>
        </w:rPr>
        <w:t>以</w:t>
      </w:r>
      <w:r w:rsidR="00AA77D6" w:rsidRPr="008B619A">
        <w:rPr>
          <w:rFonts w:hAnsi="標楷體" w:hint="eastAsia"/>
          <w:color w:val="000000" w:themeColor="text1"/>
        </w:rPr>
        <w:t>「</w:t>
      </w:r>
      <w:r w:rsidR="00E552AA" w:rsidRPr="008B619A">
        <w:rPr>
          <w:rFonts w:hint="eastAsia"/>
          <w:color w:val="000000" w:themeColor="text1"/>
        </w:rPr>
        <w:t>中華民國人口推估（2018至2065年）</w:t>
      </w:r>
      <w:r w:rsidR="00AA77D6" w:rsidRPr="008B619A">
        <w:rPr>
          <w:rFonts w:hAnsi="標楷體" w:hint="eastAsia"/>
          <w:color w:val="000000" w:themeColor="text1"/>
        </w:rPr>
        <w:t>」</w:t>
      </w:r>
      <w:r w:rsidR="00E552AA" w:rsidRPr="008B619A">
        <w:rPr>
          <w:rFonts w:hint="eastAsia"/>
          <w:color w:val="000000" w:themeColor="text1"/>
        </w:rPr>
        <w:t>之中推估</w:t>
      </w:r>
      <w:r w:rsidR="00860285" w:rsidRPr="008B619A">
        <w:rPr>
          <w:rStyle w:val="aff1"/>
          <w:rFonts w:hAnsi="標楷體"/>
          <w:color w:val="000000" w:themeColor="text1"/>
        </w:rPr>
        <w:footnoteReference w:id="6"/>
      </w:r>
      <w:r w:rsidR="00E552AA" w:rsidRPr="008B619A">
        <w:rPr>
          <w:rFonts w:hint="eastAsia"/>
          <w:color w:val="000000" w:themeColor="text1"/>
        </w:rPr>
        <w:t>結果，可知</w:t>
      </w:r>
      <w:r w:rsidR="00297E21" w:rsidRPr="008B619A">
        <w:rPr>
          <w:rFonts w:hint="eastAsia"/>
          <w:color w:val="000000" w:themeColor="text1"/>
        </w:rPr>
        <w:t>我國</w:t>
      </w:r>
      <w:r w:rsidR="00E552AA" w:rsidRPr="008B619A">
        <w:rPr>
          <w:rFonts w:hint="eastAsia"/>
          <w:color w:val="000000" w:themeColor="text1"/>
        </w:rPr>
        <w:t>未來人口變遷趨勢包含人口即將開始負成長、勞動力將面臨不足、少子女化趨勢難改善、人口老化情形嚴重等。</w:t>
      </w:r>
      <w:r w:rsidR="004B06AA" w:rsidRPr="008B619A">
        <w:rPr>
          <w:rFonts w:hint="eastAsia"/>
          <w:color w:val="000000" w:themeColor="text1"/>
        </w:rPr>
        <w:t>重要指標如</w:t>
      </w:r>
      <w:r w:rsidR="00233930" w:rsidRPr="008B619A">
        <w:rPr>
          <w:rFonts w:hint="eastAsia"/>
          <w:color w:val="000000" w:themeColor="text1"/>
        </w:rPr>
        <w:t>高齡化時程</w:t>
      </w:r>
      <w:r w:rsidR="00D5489C" w:rsidRPr="008B619A">
        <w:rPr>
          <w:rFonts w:hint="eastAsia"/>
          <w:color w:val="000000" w:themeColor="text1"/>
        </w:rPr>
        <w:t>均</w:t>
      </w:r>
      <w:r w:rsidR="00233930" w:rsidRPr="008B619A">
        <w:rPr>
          <w:rFonts w:hint="eastAsia"/>
          <w:color w:val="000000" w:themeColor="text1"/>
        </w:rPr>
        <w:t>較世界各國快速，</w:t>
      </w:r>
      <w:r w:rsidR="00577EFA" w:rsidRPr="008B619A">
        <w:rPr>
          <w:rFonts w:hint="eastAsia"/>
          <w:color w:val="000000" w:themeColor="text1"/>
        </w:rPr>
        <w:t>前</w:t>
      </w:r>
      <w:r w:rsidR="009C6E7D" w:rsidRPr="008B619A">
        <w:rPr>
          <w:rFonts w:hint="eastAsia"/>
          <w:color w:val="000000" w:themeColor="text1"/>
        </w:rPr>
        <w:t>於</w:t>
      </w:r>
      <w:r w:rsidR="00233930" w:rsidRPr="008B619A">
        <w:rPr>
          <w:rFonts w:hint="eastAsia"/>
          <w:color w:val="000000" w:themeColor="text1"/>
        </w:rPr>
        <w:t>82年</w:t>
      </w:r>
      <w:r w:rsidR="00FC6153" w:rsidRPr="008B619A">
        <w:rPr>
          <w:rFonts w:hint="eastAsia"/>
          <w:color w:val="000000" w:themeColor="text1"/>
        </w:rPr>
        <w:t>已</w:t>
      </w:r>
      <w:r w:rsidR="00233930" w:rsidRPr="008B619A">
        <w:rPr>
          <w:rFonts w:hint="eastAsia"/>
          <w:color w:val="000000" w:themeColor="text1"/>
        </w:rPr>
        <w:t>進入高齡化社會</w:t>
      </w:r>
      <w:r w:rsidR="00852EFE" w:rsidRPr="008B619A">
        <w:rPr>
          <w:rStyle w:val="aff1"/>
          <w:color w:val="000000" w:themeColor="text1"/>
        </w:rPr>
        <w:footnoteReference w:id="7"/>
      </w:r>
      <w:r w:rsidR="00233930" w:rsidRPr="008B619A">
        <w:rPr>
          <w:rFonts w:hint="eastAsia"/>
          <w:color w:val="000000" w:themeColor="text1"/>
        </w:rPr>
        <w:t>，107年進入高齡社會，預估</w:t>
      </w:r>
      <w:r w:rsidR="001B1CF9" w:rsidRPr="008B619A">
        <w:rPr>
          <w:rFonts w:hint="eastAsia"/>
          <w:color w:val="000000" w:themeColor="text1"/>
        </w:rPr>
        <w:t>自</w:t>
      </w:r>
      <w:r w:rsidR="00233930" w:rsidRPr="008B619A">
        <w:rPr>
          <w:rFonts w:hint="eastAsia"/>
          <w:color w:val="000000" w:themeColor="text1"/>
        </w:rPr>
        <w:t>115年進入超高齡社會。</w:t>
      </w:r>
      <w:r w:rsidR="00E552AA" w:rsidRPr="008B619A">
        <w:rPr>
          <w:rFonts w:hint="eastAsia"/>
          <w:color w:val="000000" w:themeColor="text1"/>
        </w:rPr>
        <w:t>相關重點數據</w:t>
      </w:r>
      <w:r w:rsidR="00D96A9F" w:rsidRPr="008B619A">
        <w:rPr>
          <w:rFonts w:hint="eastAsia"/>
          <w:color w:val="000000" w:themeColor="text1"/>
        </w:rPr>
        <w:t>摘</w:t>
      </w:r>
      <w:r w:rsidR="00C21F95" w:rsidRPr="008B619A">
        <w:rPr>
          <w:rFonts w:hint="eastAsia"/>
          <w:color w:val="000000" w:themeColor="text1"/>
        </w:rPr>
        <w:t>錄</w:t>
      </w:r>
      <w:r w:rsidR="001E008F" w:rsidRPr="008B619A">
        <w:rPr>
          <w:rFonts w:hint="eastAsia"/>
          <w:color w:val="000000" w:themeColor="text1"/>
        </w:rPr>
        <w:t>如下</w:t>
      </w:r>
      <w:r w:rsidR="00E552AA" w:rsidRPr="008B619A">
        <w:rPr>
          <w:rFonts w:hint="eastAsia"/>
          <w:color w:val="000000" w:themeColor="text1"/>
        </w:rPr>
        <w:t>：</w:t>
      </w:r>
    </w:p>
    <w:p w14:paraId="7D4A110E" w14:textId="53FA4259" w:rsidR="00D34188" w:rsidRPr="008B619A" w:rsidRDefault="00D34188" w:rsidP="006400F0">
      <w:pPr>
        <w:pStyle w:val="4"/>
        <w:rPr>
          <w:color w:val="000000" w:themeColor="text1"/>
        </w:rPr>
      </w:pPr>
      <w:r w:rsidRPr="008B619A">
        <w:rPr>
          <w:rFonts w:hint="eastAsia"/>
          <w:color w:val="000000" w:themeColor="text1"/>
        </w:rPr>
        <w:t>總人口數：將於110年達人口最高峰為2,361萬人，隨後遞減至154年時剩下1,735萬人。</w:t>
      </w:r>
    </w:p>
    <w:p w14:paraId="48BFF8D4" w14:textId="57A66159" w:rsidR="00435183" w:rsidRPr="008B619A" w:rsidRDefault="00D34188" w:rsidP="006400F0">
      <w:pPr>
        <w:pStyle w:val="4"/>
        <w:rPr>
          <w:color w:val="000000" w:themeColor="text1"/>
        </w:rPr>
      </w:pPr>
      <w:r w:rsidRPr="008B619A">
        <w:rPr>
          <w:rFonts w:hint="eastAsia"/>
          <w:color w:val="000000" w:themeColor="text1"/>
        </w:rPr>
        <w:t>人口變動：</w:t>
      </w:r>
      <w:r w:rsidR="00DD36A8" w:rsidRPr="008B619A">
        <w:rPr>
          <w:rFonts w:hint="eastAsia"/>
          <w:color w:val="000000" w:themeColor="text1"/>
        </w:rPr>
        <w:t>內政部戶政司推估</w:t>
      </w:r>
      <w:r w:rsidR="00ED57A4" w:rsidRPr="008B619A">
        <w:rPr>
          <w:rFonts w:hint="eastAsia"/>
          <w:color w:val="000000" w:themeColor="text1"/>
        </w:rPr>
        <w:t>，</w:t>
      </w:r>
      <w:r w:rsidR="00A732E6" w:rsidRPr="008B619A">
        <w:rPr>
          <w:rFonts w:hint="eastAsia"/>
          <w:color w:val="000000" w:themeColor="text1"/>
        </w:rPr>
        <w:t>至</w:t>
      </w:r>
      <w:r w:rsidR="008C4A8A" w:rsidRPr="008B619A">
        <w:rPr>
          <w:rFonts w:hint="eastAsia"/>
          <w:color w:val="000000" w:themeColor="text1"/>
        </w:rPr>
        <w:t>154年</w:t>
      </w:r>
      <w:r w:rsidRPr="008B619A">
        <w:rPr>
          <w:rFonts w:hint="eastAsia"/>
          <w:color w:val="000000" w:themeColor="text1"/>
        </w:rPr>
        <w:t>出生數9萬人，約為107年18.5萬人的51.5%；又因高齡人口增加，死亡數154年的33.6萬人，約為107年17.6萬人的1.9倍。人口預計將在108年後由自然增加轉為自然減少。</w:t>
      </w:r>
    </w:p>
    <w:p w14:paraId="363A86A7" w14:textId="62EFBCFF" w:rsidR="00D34188" w:rsidRPr="008B619A" w:rsidRDefault="00D34188" w:rsidP="006400F0">
      <w:pPr>
        <w:pStyle w:val="4"/>
        <w:rPr>
          <w:color w:val="000000" w:themeColor="text1"/>
        </w:rPr>
      </w:pPr>
      <w:r w:rsidRPr="008B619A">
        <w:rPr>
          <w:rFonts w:hint="eastAsia"/>
          <w:color w:val="000000" w:themeColor="text1"/>
        </w:rPr>
        <w:t>各階段年齡人口</w:t>
      </w:r>
      <w:r w:rsidR="006673EB" w:rsidRPr="008B619A">
        <w:rPr>
          <w:rFonts w:hint="eastAsia"/>
          <w:color w:val="000000" w:themeColor="text1"/>
        </w:rPr>
        <w:t>摘要</w:t>
      </w:r>
      <w:r w:rsidRPr="008B619A">
        <w:rPr>
          <w:rFonts w:hint="eastAsia"/>
          <w:color w:val="000000" w:themeColor="text1"/>
        </w:rPr>
        <w:t>：</w:t>
      </w:r>
    </w:p>
    <w:p w14:paraId="1AE64877" w14:textId="353D28F7" w:rsidR="003713E2" w:rsidRPr="008B619A" w:rsidRDefault="003713E2" w:rsidP="003713E2">
      <w:pPr>
        <w:pStyle w:val="5"/>
        <w:rPr>
          <w:color w:val="000000" w:themeColor="text1"/>
        </w:rPr>
      </w:pPr>
      <w:r w:rsidRPr="008B619A">
        <w:rPr>
          <w:rFonts w:hint="eastAsia"/>
          <w:color w:val="000000" w:themeColor="text1"/>
        </w:rPr>
        <w:lastRenderedPageBreak/>
        <w:t>學齡人口：107學年度，0-5歲學齡前人口為123萬人，154學年度將降至59萬人，減少64萬人（或52.0%）；6-11歲國小學齡人口107學年度之120萬人，112學年度達到高峰127萬人後開始下降至154學年度之66萬人，減少54萬人（或45.1%）；對於國/高中及大學階段而言，12-17歲及18-21歲學齡人口未來亦將持續減少</w:t>
      </w:r>
      <w:r w:rsidR="00C13044" w:rsidRPr="008B619A">
        <w:rPr>
          <w:rFonts w:hint="eastAsia"/>
          <w:color w:val="000000" w:themeColor="text1"/>
        </w:rPr>
        <w:t>，分別由107學年度之140萬人及118萬人，降至</w:t>
      </w:r>
      <w:r w:rsidR="00C13044" w:rsidRPr="008B619A">
        <w:rPr>
          <w:color w:val="000000" w:themeColor="text1"/>
        </w:rPr>
        <w:t>154</w:t>
      </w:r>
      <w:r w:rsidR="00C13044" w:rsidRPr="008B619A">
        <w:rPr>
          <w:rFonts w:hint="eastAsia"/>
          <w:color w:val="000000" w:themeColor="text1"/>
        </w:rPr>
        <w:t>學年度71萬人及50萬人，分別減少68萬人（或48.9%）及68萬人（57.6%）</w:t>
      </w:r>
      <w:r w:rsidRPr="008B619A">
        <w:rPr>
          <w:rFonts w:hint="eastAsia"/>
          <w:color w:val="000000" w:themeColor="text1"/>
        </w:rPr>
        <w:t>。</w:t>
      </w:r>
    </w:p>
    <w:p w14:paraId="0F76BD39" w14:textId="77777777" w:rsidR="003713E2" w:rsidRPr="008B619A" w:rsidRDefault="003713E2" w:rsidP="003713E2">
      <w:pPr>
        <w:pStyle w:val="5"/>
        <w:rPr>
          <w:color w:val="000000" w:themeColor="text1"/>
        </w:rPr>
      </w:pPr>
      <w:r w:rsidRPr="008B619A">
        <w:rPr>
          <w:rFonts w:hint="eastAsia"/>
          <w:color w:val="000000" w:themeColor="text1"/>
        </w:rPr>
        <w:t>工作年齡人口（15-64歲）：104年達高峰1,737萬人持續下降，107年預估為1,711萬人，154年為862萬人，人數減少約一半，占總人口比率亦由107年的72.5%下降至49.7%，造成勞動力不足的隱憂。</w:t>
      </w:r>
    </w:p>
    <w:p w14:paraId="56A81F94" w14:textId="4085E657" w:rsidR="005432E5" w:rsidRPr="008B619A" w:rsidRDefault="005432E5" w:rsidP="00CD490B">
      <w:pPr>
        <w:pStyle w:val="3"/>
        <w:ind w:leftChars="200"/>
        <w:rPr>
          <w:color w:val="000000" w:themeColor="text1"/>
          <w:szCs w:val="32"/>
        </w:rPr>
      </w:pPr>
      <w:r w:rsidRPr="008B619A">
        <w:rPr>
          <w:rFonts w:hAnsi="標楷體" w:hint="eastAsia"/>
          <w:color w:val="000000" w:themeColor="text1"/>
        </w:rPr>
        <w:t>依美國學者</w:t>
      </w:r>
      <w:r w:rsidRPr="008B619A">
        <w:rPr>
          <w:rFonts w:hAnsi="標楷體"/>
          <w:color w:val="000000" w:themeColor="text1"/>
        </w:rPr>
        <w:t>Martin Trow</w:t>
      </w:r>
      <w:r w:rsidRPr="008B619A">
        <w:rPr>
          <w:rFonts w:hAnsi="標楷體" w:hint="eastAsia"/>
          <w:color w:val="000000" w:themeColor="text1"/>
        </w:rPr>
        <w:t>對高等教育階段之分類方式，一般高教發展可分為三個類型，分別為菁英型（</w:t>
      </w:r>
      <w:r w:rsidRPr="008B619A">
        <w:rPr>
          <w:rFonts w:hAnsi="標楷體"/>
          <w:color w:val="000000" w:themeColor="text1"/>
        </w:rPr>
        <w:t>elite</w:t>
      </w:r>
      <w:r w:rsidRPr="008B619A">
        <w:rPr>
          <w:rFonts w:hAnsi="標楷體" w:hint="eastAsia"/>
          <w:color w:val="000000" w:themeColor="text1"/>
        </w:rPr>
        <w:t>）、大眾型（</w:t>
      </w:r>
      <w:r w:rsidRPr="008B619A">
        <w:rPr>
          <w:rFonts w:hAnsi="標楷體"/>
          <w:color w:val="000000" w:themeColor="text1"/>
        </w:rPr>
        <w:t>mass</w:t>
      </w:r>
      <w:r w:rsidRPr="008B619A">
        <w:rPr>
          <w:rFonts w:hAnsi="標楷體" w:hint="eastAsia"/>
          <w:color w:val="000000" w:themeColor="text1"/>
        </w:rPr>
        <w:t>）與普及型（</w:t>
      </w:r>
      <w:r w:rsidRPr="008B619A">
        <w:rPr>
          <w:rFonts w:hAnsi="標楷體"/>
          <w:color w:val="000000" w:themeColor="text1"/>
        </w:rPr>
        <w:t>universal</w:t>
      </w:r>
      <w:r w:rsidRPr="008B619A">
        <w:rPr>
          <w:rFonts w:hAnsi="標楷體" w:hint="eastAsia"/>
          <w:color w:val="000000" w:themeColor="text1"/>
        </w:rPr>
        <w:t>），菁英型</w:t>
      </w:r>
      <w:r w:rsidR="003C714E" w:rsidRPr="008B619A">
        <w:rPr>
          <w:rFonts w:hAnsi="標楷體" w:hint="eastAsia"/>
          <w:color w:val="000000" w:themeColor="text1"/>
        </w:rPr>
        <w:t>（elite type）</w:t>
      </w:r>
      <w:r w:rsidRPr="008B619A">
        <w:rPr>
          <w:rFonts w:hAnsi="標楷體" w:hint="eastAsia"/>
          <w:color w:val="000000" w:themeColor="text1"/>
        </w:rPr>
        <w:t>指在學率占同年齡層的</w:t>
      </w:r>
      <w:r w:rsidRPr="008B619A">
        <w:rPr>
          <w:rFonts w:hAnsi="標楷體"/>
          <w:color w:val="000000" w:themeColor="text1"/>
        </w:rPr>
        <w:t>15</w:t>
      </w:r>
      <w:r w:rsidRPr="008B619A">
        <w:rPr>
          <w:rFonts w:hAnsi="標楷體" w:hint="eastAsia"/>
          <w:color w:val="000000" w:themeColor="text1"/>
        </w:rPr>
        <w:t>%以內，而大眾型</w:t>
      </w:r>
      <w:r w:rsidR="0081232C" w:rsidRPr="008B619A">
        <w:rPr>
          <w:rFonts w:hAnsi="標楷體" w:hint="eastAsia"/>
          <w:color w:val="000000" w:themeColor="text1"/>
        </w:rPr>
        <w:t>（mass type）</w:t>
      </w:r>
      <w:r w:rsidRPr="008B619A">
        <w:rPr>
          <w:rFonts w:hAnsi="標楷體" w:hint="eastAsia"/>
          <w:color w:val="000000" w:themeColor="text1"/>
        </w:rPr>
        <w:t>則介於15%至50%之間，超過50%則屬於普及型</w:t>
      </w:r>
      <w:r w:rsidR="000625C2" w:rsidRPr="008B619A">
        <w:rPr>
          <w:rFonts w:hAnsi="標楷體" w:hint="eastAsia"/>
          <w:color w:val="000000" w:themeColor="text1"/>
        </w:rPr>
        <w:t>式（</w:t>
      </w:r>
      <w:r w:rsidR="006A6DDE" w:rsidRPr="008B619A">
        <w:rPr>
          <w:rFonts w:hAnsi="標楷體"/>
          <w:color w:val="000000" w:themeColor="text1"/>
        </w:rPr>
        <w:t>universal access type</w:t>
      </w:r>
      <w:r w:rsidR="000625C2" w:rsidRPr="008B619A">
        <w:rPr>
          <w:rFonts w:hAnsi="標楷體" w:hint="eastAsia"/>
          <w:color w:val="000000" w:themeColor="text1"/>
        </w:rPr>
        <w:t>）」</w:t>
      </w:r>
      <w:r w:rsidRPr="008B619A">
        <w:rPr>
          <w:rFonts w:hAnsi="標楷體" w:hint="eastAsia"/>
          <w:color w:val="000000" w:themeColor="text1"/>
        </w:rPr>
        <w:t>（Trow，1973</w:t>
      </w:r>
      <w:r w:rsidR="00CD490B" w:rsidRPr="008B619A">
        <w:rPr>
          <w:rFonts w:hAnsi="標楷體" w:hint="eastAsia"/>
          <w:color w:val="000000" w:themeColor="text1"/>
        </w:rPr>
        <w:t>，2000，2006</w:t>
      </w:r>
      <w:r w:rsidRPr="008B619A">
        <w:rPr>
          <w:rFonts w:hAnsi="標楷體" w:hint="eastAsia"/>
          <w:color w:val="000000" w:themeColor="text1"/>
        </w:rPr>
        <w:t>）</w:t>
      </w:r>
      <w:r w:rsidR="00B628A9" w:rsidRPr="008B619A">
        <w:rPr>
          <w:rFonts w:hAnsi="標楷體" w:hint="eastAsia"/>
          <w:color w:val="000000" w:themeColor="text1"/>
        </w:rPr>
        <w:t>。</w:t>
      </w:r>
      <w:r w:rsidR="004F05F5" w:rsidRPr="008B619A">
        <w:rPr>
          <w:color w:val="000000" w:themeColor="text1"/>
        </w:rPr>
        <w:t>全球高教趨向普及化，受高等教育之人口比率隨之增長，</w:t>
      </w:r>
      <w:r w:rsidR="00EA7087" w:rsidRPr="008B619A">
        <w:rPr>
          <w:rFonts w:hint="eastAsia"/>
          <w:color w:val="000000" w:themeColor="text1"/>
        </w:rPr>
        <w:t>臺</w:t>
      </w:r>
      <w:r w:rsidR="00F42062" w:rsidRPr="008B619A">
        <w:rPr>
          <w:rFonts w:hAnsi="標楷體"/>
          <w:color w:val="000000" w:themeColor="text1"/>
        </w:rPr>
        <w:t>灣</w:t>
      </w:r>
      <w:r w:rsidR="00F739B1" w:rsidRPr="008B619A">
        <w:rPr>
          <w:rFonts w:hAnsi="標楷體" w:hint="eastAsia"/>
          <w:color w:val="000000" w:themeColor="text1"/>
        </w:rPr>
        <w:t>亦</w:t>
      </w:r>
      <w:r w:rsidR="00F20307" w:rsidRPr="008B619A">
        <w:rPr>
          <w:rFonts w:hAnsi="標楷體" w:hint="eastAsia"/>
          <w:color w:val="000000" w:themeColor="text1"/>
        </w:rPr>
        <w:t>從傳統菁英式教育蛻變，</w:t>
      </w:r>
      <w:r w:rsidR="008E5598" w:rsidRPr="008B619A">
        <w:rPr>
          <w:rFonts w:hAnsi="標楷體" w:hint="eastAsia"/>
          <w:color w:val="000000" w:themeColor="text1"/>
        </w:rPr>
        <w:t>自</w:t>
      </w:r>
      <w:r w:rsidR="00F42062" w:rsidRPr="008B619A">
        <w:rPr>
          <w:rFonts w:hAnsi="標楷體"/>
          <w:color w:val="000000" w:themeColor="text1"/>
        </w:rPr>
        <w:t>1988年</w:t>
      </w:r>
      <w:r w:rsidR="00F20307" w:rsidRPr="008B619A">
        <w:rPr>
          <w:rFonts w:hAnsi="標楷體" w:hint="eastAsia"/>
          <w:color w:val="000000" w:themeColor="text1"/>
        </w:rPr>
        <w:t>起</w:t>
      </w:r>
      <w:r w:rsidR="00F42062" w:rsidRPr="008B619A">
        <w:rPr>
          <w:rFonts w:hAnsi="標楷體"/>
          <w:color w:val="000000" w:themeColor="text1"/>
        </w:rPr>
        <w:t>邁入大眾型階</w:t>
      </w:r>
      <w:r w:rsidR="00B34195" w:rsidRPr="008B619A">
        <w:rPr>
          <w:rFonts w:hAnsi="標楷體" w:hint="eastAsia"/>
          <w:color w:val="000000" w:themeColor="text1"/>
        </w:rPr>
        <w:t>段</w:t>
      </w:r>
      <w:r w:rsidR="000506E4" w:rsidRPr="008B619A">
        <w:rPr>
          <w:rFonts w:hAnsi="標楷體" w:hint="eastAsia"/>
          <w:color w:val="000000" w:themeColor="text1"/>
        </w:rPr>
        <w:t>，</w:t>
      </w:r>
      <w:r w:rsidR="000C4A36" w:rsidRPr="008B619A">
        <w:rPr>
          <w:rFonts w:hAnsi="標楷體" w:hint="eastAsia"/>
          <w:color w:val="000000" w:themeColor="text1"/>
        </w:rPr>
        <w:t>經</w:t>
      </w:r>
      <w:r w:rsidR="001E69A5" w:rsidRPr="008B619A">
        <w:rPr>
          <w:rFonts w:hAnsi="標楷體" w:hint="eastAsia"/>
          <w:color w:val="000000" w:themeColor="text1"/>
        </w:rPr>
        <w:t>統計</w:t>
      </w:r>
      <w:r w:rsidR="000506E4" w:rsidRPr="008B619A">
        <w:rPr>
          <w:rFonts w:hAnsi="標楷體" w:hint="eastAsia"/>
          <w:color w:val="000000" w:themeColor="text1"/>
        </w:rPr>
        <w:t>至</w:t>
      </w:r>
      <w:r w:rsidR="005828C2" w:rsidRPr="008B619A">
        <w:rPr>
          <w:rFonts w:hAnsi="標楷體" w:hint="eastAsia"/>
          <w:color w:val="000000" w:themeColor="text1"/>
        </w:rPr>
        <w:t>109學年度</w:t>
      </w:r>
      <w:r w:rsidR="00922470" w:rsidRPr="008B619A">
        <w:rPr>
          <w:rFonts w:hAnsi="標楷體" w:hint="eastAsia"/>
          <w:color w:val="000000" w:themeColor="text1"/>
        </w:rPr>
        <w:t>，</w:t>
      </w:r>
      <w:r w:rsidR="00E9649C" w:rsidRPr="008B619A">
        <w:rPr>
          <w:rFonts w:hAnsi="標楷體" w:hint="eastAsia"/>
          <w:color w:val="000000" w:themeColor="text1"/>
        </w:rPr>
        <w:t>我國</w:t>
      </w:r>
      <w:r w:rsidR="008B3ECC" w:rsidRPr="008B619A">
        <w:rPr>
          <w:rFonts w:hAnsi="標楷體" w:hint="eastAsia"/>
          <w:color w:val="000000" w:themeColor="text1"/>
        </w:rPr>
        <w:t>大專校院</w:t>
      </w:r>
      <w:r w:rsidR="00527AF3" w:rsidRPr="008B619A">
        <w:rPr>
          <w:rFonts w:hAnsi="標楷體" w:hint="eastAsia"/>
          <w:color w:val="000000" w:themeColor="text1"/>
        </w:rPr>
        <w:t>學齡人口粗在學率</w:t>
      </w:r>
      <w:r w:rsidR="007760E3" w:rsidRPr="008B619A">
        <w:rPr>
          <w:rFonts w:hAnsi="標楷體" w:hint="eastAsia"/>
          <w:color w:val="000000" w:themeColor="text1"/>
        </w:rPr>
        <w:t>已</w:t>
      </w:r>
      <w:r w:rsidR="00527AF3" w:rsidRPr="008B619A">
        <w:rPr>
          <w:rFonts w:hAnsi="標楷體" w:hint="eastAsia"/>
          <w:color w:val="000000" w:themeColor="text1"/>
        </w:rPr>
        <w:t>達</w:t>
      </w:r>
      <w:r w:rsidR="00A023BD" w:rsidRPr="008B619A">
        <w:rPr>
          <w:rFonts w:hAnsi="標楷體" w:hint="eastAsia"/>
          <w:color w:val="000000" w:themeColor="text1"/>
        </w:rPr>
        <w:t>87.93%</w:t>
      </w:r>
      <w:r w:rsidR="00D65ECF" w:rsidRPr="008B619A">
        <w:rPr>
          <w:rStyle w:val="aff1"/>
          <w:rFonts w:hAnsi="標楷體"/>
          <w:color w:val="000000" w:themeColor="text1"/>
        </w:rPr>
        <w:footnoteReference w:id="8"/>
      </w:r>
      <w:r w:rsidRPr="008B619A">
        <w:rPr>
          <w:rFonts w:hAnsi="標楷體" w:hint="eastAsia"/>
          <w:color w:val="000000" w:themeColor="text1"/>
        </w:rPr>
        <w:t>。</w:t>
      </w:r>
    </w:p>
    <w:p w14:paraId="0D30A88E" w14:textId="31D25FA3" w:rsidR="00AC75A4" w:rsidRPr="008B619A" w:rsidRDefault="00AC75A4" w:rsidP="00AC75A4">
      <w:pPr>
        <w:pStyle w:val="3"/>
        <w:rPr>
          <w:color w:val="000000" w:themeColor="text1"/>
          <w:szCs w:val="32"/>
        </w:rPr>
      </w:pPr>
      <w:r w:rsidRPr="008B619A">
        <w:rPr>
          <w:rFonts w:hint="eastAsia"/>
          <w:color w:val="000000" w:themeColor="text1"/>
          <w:szCs w:val="32"/>
        </w:rPr>
        <w:t>另國發會</w:t>
      </w:r>
      <w:r w:rsidR="00620A0B" w:rsidRPr="008B619A">
        <w:rPr>
          <w:rFonts w:hint="eastAsia"/>
          <w:color w:val="000000" w:themeColor="text1"/>
          <w:szCs w:val="32"/>
        </w:rPr>
        <w:t>109年8月發布</w:t>
      </w:r>
      <w:r w:rsidR="00F556C6" w:rsidRPr="008B619A">
        <w:rPr>
          <w:rFonts w:hint="eastAsia"/>
          <w:color w:val="000000" w:themeColor="text1"/>
          <w:szCs w:val="32"/>
        </w:rPr>
        <w:t>「</w:t>
      </w:r>
      <w:r w:rsidR="004C5E98" w:rsidRPr="008B619A">
        <w:rPr>
          <w:rFonts w:hint="eastAsia"/>
          <w:color w:val="000000" w:themeColor="text1"/>
          <w:szCs w:val="32"/>
        </w:rPr>
        <w:t>中華民國人口推估</w:t>
      </w:r>
      <w:r w:rsidR="007661FE" w:rsidRPr="008B619A">
        <w:rPr>
          <w:rFonts w:hint="eastAsia"/>
          <w:color w:val="000000" w:themeColor="text1"/>
          <w:szCs w:val="32"/>
        </w:rPr>
        <w:t>(2020至</w:t>
      </w:r>
      <w:r w:rsidR="007661FE" w:rsidRPr="008B619A">
        <w:rPr>
          <w:rFonts w:hint="eastAsia"/>
          <w:color w:val="000000" w:themeColor="text1"/>
          <w:szCs w:val="32"/>
        </w:rPr>
        <w:lastRenderedPageBreak/>
        <w:t>2070年)</w:t>
      </w:r>
      <w:r w:rsidR="0037033E" w:rsidRPr="008B619A">
        <w:rPr>
          <w:rFonts w:hint="eastAsia"/>
          <w:color w:val="000000" w:themeColor="text1"/>
          <w:szCs w:val="32"/>
        </w:rPr>
        <w:t>」載明</w:t>
      </w:r>
      <w:r w:rsidRPr="008B619A">
        <w:rPr>
          <w:rFonts w:hint="eastAsia"/>
          <w:color w:val="000000" w:themeColor="text1"/>
          <w:szCs w:val="32"/>
        </w:rPr>
        <w:t>，</w:t>
      </w:r>
      <w:r w:rsidR="00956B58" w:rsidRPr="008B619A">
        <w:rPr>
          <w:rFonts w:hint="eastAsia"/>
          <w:color w:val="000000" w:themeColor="text1"/>
          <w:szCs w:val="32"/>
        </w:rPr>
        <w:t>2020-2031學年度各級學校生源</w:t>
      </w:r>
      <w:r w:rsidR="00BD2A99" w:rsidRPr="008B619A">
        <w:rPr>
          <w:rStyle w:val="aff1"/>
          <w:bCs w:val="0"/>
          <w:color w:val="000000" w:themeColor="text1"/>
        </w:rPr>
        <w:footnoteReference w:id="9"/>
      </w:r>
      <w:r w:rsidR="00956B58" w:rsidRPr="008B619A">
        <w:rPr>
          <w:rFonts w:hint="eastAsia"/>
          <w:color w:val="000000" w:themeColor="text1"/>
          <w:szCs w:val="32"/>
        </w:rPr>
        <w:t>，將較2008-2019學年度減少約1.5至3成</w:t>
      </w:r>
      <w:r w:rsidRPr="008B619A">
        <w:rPr>
          <w:rFonts w:hint="eastAsia"/>
          <w:color w:val="000000" w:themeColor="text1"/>
          <w:szCs w:val="32"/>
        </w:rPr>
        <w:t>，其中18歲</w:t>
      </w:r>
      <w:r w:rsidR="005F0719" w:rsidRPr="008B619A">
        <w:rPr>
          <w:rFonts w:hint="eastAsia"/>
          <w:color w:val="000000" w:themeColor="text1"/>
          <w:szCs w:val="32"/>
        </w:rPr>
        <w:t>（大學）</w:t>
      </w:r>
      <w:r w:rsidRPr="008B619A">
        <w:rPr>
          <w:rFonts w:hint="eastAsia"/>
          <w:color w:val="000000" w:themeColor="text1"/>
          <w:szCs w:val="32"/>
        </w:rPr>
        <w:t>平均入學年齡人口，</w:t>
      </w:r>
      <w:r w:rsidR="00C116B9" w:rsidRPr="008B619A">
        <w:rPr>
          <w:color w:val="000000" w:themeColor="text1"/>
        </w:rPr>
        <w:t>預估2020-2031學年度，</w:t>
      </w:r>
      <w:r w:rsidRPr="008B619A">
        <w:rPr>
          <w:rFonts w:hint="eastAsia"/>
          <w:color w:val="000000" w:themeColor="text1"/>
          <w:szCs w:val="32"/>
        </w:rPr>
        <w:t>較</w:t>
      </w:r>
      <w:r w:rsidR="00C116B9" w:rsidRPr="008B619A">
        <w:rPr>
          <w:color w:val="000000" w:themeColor="text1"/>
        </w:rPr>
        <w:t>2008-2019學年度，</w:t>
      </w:r>
      <w:r w:rsidR="00FA5045" w:rsidRPr="008B619A">
        <w:rPr>
          <w:color w:val="000000" w:themeColor="text1"/>
        </w:rPr>
        <w:t>依據</w:t>
      </w:r>
      <w:r w:rsidR="000D4B4F" w:rsidRPr="008B619A">
        <w:rPr>
          <w:rFonts w:hAnsi="標楷體" w:hint="eastAsia"/>
          <w:color w:val="000000" w:themeColor="text1"/>
        </w:rPr>
        <w:t>「</w:t>
      </w:r>
      <w:r w:rsidR="00FA5045" w:rsidRPr="008B619A">
        <w:rPr>
          <w:color w:val="000000" w:themeColor="text1"/>
        </w:rPr>
        <w:t>中推估</w:t>
      </w:r>
      <w:r w:rsidR="000D4B4F" w:rsidRPr="008B619A">
        <w:rPr>
          <w:rFonts w:hAnsi="標楷體" w:hint="eastAsia"/>
          <w:color w:val="000000" w:themeColor="text1"/>
        </w:rPr>
        <w:t>」</w:t>
      </w:r>
      <w:r w:rsidR="00FA5045" w:rsidRPr="008B619A">
        <w:rPr>
          <w:color w:val="000000" w:themeColor="text1"/>
        </w:rPr>
        <w:t>結果，</w:t>
      </w:r>
      <w:r w:rsidRPr="008B619A">
        <w:rPr>
          <w:rFonts w:hint="eastAsia"/>
          <w:color w:val="000000" w:themeColor="text1"/>
          <w:szCs w:val="32"/>
        </w:rPr>
        <w:t>預估將由</w:t>
      </w:r>
      <w:r w:rsidR="00DE53AA" w:rsidRPr="008B619A">
        <w:rPr>
          <w:rFonts w:hint="eastAsia"/>
          <w:color w:val="000000" w:themeColor="text1"/>
          <w:szCs w:val="32"/>
        </w:rPr>
        <w:t>31</w:t>
      </w:r>
      <w:r w:rsidRPr="008B619A">
        <w:rPr>
          <w:rFonts w:hint="eastAsia"/>
          <w:color w:val="000000" w:themeColor="text1"/>
          <w:szCs w:val="32"/>
        </w:rPr>
        <w:t>萬人減至</w:t>
      </w:r>
      <w:r w:rsidR="00C4355C" w:rsidRPr="008B619A">
        <w:rPr>
          <w:rFonts w:hint="eastAsia"/>
          <w:color w:val="000000" w:themeColor="text1"/>
          <w:szCs w:val="32"/>
        </w:rPr>
        <w:t>21</w:t>
      </w:r>
      <w:r w:rsidRPr="008B619A">
        <w:rPr>
          <w:rFonts w:hint="eastAsia"/>
          <w:color w:val="000000" w:themeColor="text1"/>
          <w:szCs w:val="32"/>
        </w:rPr>
        <w:t>萬人，減幅達</w:t>
      </w:r>
      <w:r w:rsidR="0057658C" w:rsidRPr="008B619A">
        <w:rPr>
          <w:color w:val="000000" w:themeColor="text1"/>
        </w:rPr>
        <w:t>32.0%</w:t>
      </w:r>
      <w:r w:rsidRPr="008B619A">
        <w:rPr>
          <w:rFonts w:hint="eastAsia"/>
          <w:color w:val="000000" w:themeColor="text1"/>
          <w:szCs w:val="32"/>
        </w:rPr>
        <w:t>，</w:t>
      </w:r>
      <w:r w:rsidR="00265D91" w:rsidRPr="008B619A">
        <w:rPr>
          <w:rFonts w:hint="eastAsia"/>
          <w:color w:val="000000" w:themeColor="text1"/>
          <w:szCs w:val="32"/>
        </w:rPr>
        <w:t>各級學校中</w:t>
      </w:r>
      <w:r w:rsidR="00265D91" w:rsidRPr="008B619A">
        <w:rPr>
          <w:color w:val="000000" w:themeColor="text1"/>
        </w:rPr>
        <w:t>以大學生源減少超過3成最多。</w:t>
      </w:r>
      <w:r w:rsidR="00FA3C23" w:rsidRPr="008B619A">
        <w:rPr>
          <w:color w:val="000000" w:themeColor="text1"/>
        </w:rPr>
        <w:t>此外，對於大學階段而言，18-21歲學齡人口未來亦將持續減少，由2020學年度110萬人，降至2070學年度46萬人，減少63萬人（57.7%）</w:t>
      </w:r>
      <w:r w:rsidRPr="008B619A">
        <w:rPr>
          <w:rFonts w:hint="eastAsia"/>
          <w:color w:val="000000" w:themeColor="text1"/>
          <w:szCs w:val="32"/>
        </w:rPr>
        <w:t>」等，</w:t>
      </w:r>
      <w:r w:rsidR="001534E5" w:rsidRPr="008B619A">
        <w:rPr>
          <w:rFonts w:hint="eastAsia"/>
          <w:color w:val="000000" w:themeColor="text1"/>
          <w:szCs w:val="32"/>
        </w:rPr>
        <w:t>況</w:t>
      </w:r>
      <w:r w:rsidRPr="008B619A">
        <w:rPr>
          <w:rFonts w:hint="eastAsia"/>
          <w:color w:val="000000" w:themeColor="text1"/>
        </w:rPr>
        <w:t>以教育部本身之推估，111學年度之大學1年級學生即將跌破20萬人，生源問題</w:t>
      </w:r>
      <w:r w:rsidR="009709CE" w:rsidRPr="008B619A">
        <w:rPr>
          <w:rFonts w:hint="eastAsia"/>
          <w:color w:val="000000" w:themeColor="text1"/>
        </w:rPr>
        <w:t>已然</w:t>
      </w:r>
      <w:r w:rsidR="00194019" w:rsidRPr="008B619A">
        <w:rPr>
          <w:rFonts w:hint="eastAsia"/>
          <w:color w:val="000000" w:themeColor="text1"/>
        </w:rPr>
        <w:t>延燒</w:t>
      </w:r>
      <w:r w:rsidRPr="008B619A">
        <w:rPr>
          <w:rFonts w:hint="eastAsia"/>
          <w:color w:val="000000" w:themeColor="text1"/>
        </w:rPr>
        <w:t>，高等教育之生存競爭，可謂已進入戰國時代。</w:t>
      </w:r>
      <w:r w:rsidR="008E00F9" w:rsidRPr="008B619A">
        <w:rPr>
          <w:rFonts w:hint="eastAsia"/>
          <w:color w:val="000000" w:themeColor="text1"/>
        </w:rPr>
        <w:t>具體趨勢</w:t>
      </w:r>
      <w:r w:rsidR="00024EC1" w:rsidRPr="008B619A">
        <w:rPr>
          <w:rFonts w:hint="eastAsia"/>
          <w:color w:val="000000" w:themeColor="text1"/>
        </w:rPr>
        <w:t>發展</w:t>
      </w:r>
      <w:r w:rsidR="00A54C32" w:rsidRPr="008B619A">
        <w:rPr>
          <w:rFonts w:hint="eastAsia"/>
          <w:color w:val="000000" w:themeColor="text1"/>
        </w:rPr>
        <w:t>詳如下表</w:t>
      </w:r>
      <w:r w:rsidR="00423E0B" w:rsidRPr="008B619A">
        <w:rPr>
          <w:rFonts w:hAnsi="標楷體" w:hint="eastAsia"/>
          <w:color w:val="000000" w:themeColor="text1"/>
        </w:rPr>
        <w:t>、</w:t>
      </w:r>
      <w:r w:rsidR="00A54C32" w:rsidRPr="008B619A">
        <w:rPr>
          <w:rFonts w:hint="eastAsia"/>
          <w:color w:val="000000" w:themeColor="text1"/>
        </w:rPr>
        <w:t>圖</w:t>
      </w:r>
      <w:r w:rsidR="002F0B83" w:rsidRPr="008B619A">
        <w:rPr>
          <w:rFonts w:hint="eastAsia"/>
          <w:color w:val="000000" w:themeColor="text1"/>
        </w:rPr>
        <w:t>所示</w:t>
      </w:r>
      <w:r w:rsidR="00A54C32" w:rsidRPr="008B619A">
        <w:rPr>
          <w:rFonts w:hint="eastAsia"/>
          <w:color w:val="000000" w:themeColor="text1"/>
        </w:rPr>
        <w:t>。</w:t>
      </w:r>
      <w:r w:rsidR="0037033E" w:rsidRPr="008B619A">
        <w:rPr>
          <w:rFonts w:hint="eastAsia"/>
          <w:color w:val="000000" w:themeColor="text1"/>
        </w:rPr>
        <w:t xml:space="preserve"> </w:t>
      </w:r>
    </w:p>
    <w:p w14:paraId="508AAD44" w14:textId="77777777" w:rsidR="003B69DA" w:rsidRPr="008B619A" w:rsidRDefault="003B69DA" w:rsidP="00F84DF3">
      <w:pPr>
        <w:pStyle w:val="a3"/>
        <w:ind w:left="0" w:firstLine="0"/>
        <w:jc w:val="center"/>
        <w:rPr>
          <w:b/>
          <w:bCs w:val="0"/>
          <w:color w:val="000000" w:themeColor="text1"/>
        </w:rPr>
      </w:pPr>
      <w:r w:rsidRPr="008B619A">
        <w:rPr>
          <w:b/>
          <w:bCs w:val="0"/>
          <w:color w:val="000000" w:themeColor="text1"/>
        </w:rPr>
        <w:t>入學年齡人口</w:t>
      </w:r>
    </w:p>
    <w:p w14:paraId="7325D7B3" w14:textId="77777777" w:rsidR="003B69DA" w:rsidRPr="008B619A" w:rsidRDefault="003B69DA" w:rsidP="003B69DA">
      <w:pPr>
        <w:pStyle w:val="Standard"/>
        <w:keepNext/>
        <w:snapToGrid w:val="0"/>
        <w:jc w:val="right"/>
        <w:rPr>
          <w:color w:val="000000" w:themeColor="text1"/>
        </w:rPr>
      </w:pPr>
      <w:r w:rsidRPr="008B619A">
        <w:rPr>
          <w:rFonts w:eastAsia="標楷體"/>
          <w:color w:val="000000" w:themeColor="text1"/>
        </w:rPr>
        <w:t>單位：萬人</w:t>
      </w:r>
    </w:p>
    <w:tbl>
      <w:tblPr>
        <w:tblW w:w="5064" w:type="pct"/>
        <w:tblInd w:w="-142" w:type="dxa"/>
        <w:tblLayout w:type="fixed"/>
        <w:tblCellMar>
          <w:left w:w="10" w:type="dxa"/>
          <w:right w:w="10" w:type="dxa"/>
        </w:tblCellMar>
        <w:tblLook w:val="04A0" w:firstRow="1" w:lastRow="0" w:firstColumn="1" w:lastColumn="0" w:noHBand="0" w:noVBand="1"/>
      </w:tblPr>
      <w:tblGrid>
        <w:gridCol w:w="283"/>
        <w:gridCol w:w="1576"/>
        <w:gridCol w:w="786"/>
        <w:gridCol w:w="787"/>
        <w:gridCol w:w="788"/>
        <w:gridCol w:w="788"/>
        <w:gridCol w:w="794"/>
        <w:gridCol w:w="785"/>
        <w:gridCol w:w="788"/>
        <w:gridCol w:w="788"/>
        <w:gridCol w:w="794"/>
      </w:tblGrid>
      <w:tr w:rsidR="008B619A" w:rsidRPr="008B619A" w14:paraId="086B13E1" w14:textId="77777777" w:rsidTr="00AE7E32">
        <w:trPr>
          <w:trHeight w:val="77"/>
          <w:tblHeader/>
        </w:trPr>
        <w:tc>
          <w:tcPr>
            <w:tcW w:w="1860" w:type="dxa"/>
            <w:gridSpan w:val="2"/>
            <w:vMerge w:val="restart"/>
            <w:tcBorders>
              <w:top w:val="single" w:sz="4" w:space="0" w:color="000000"/>
              <w:bottom w:val="single" w:sz="4" w:space="0" w:color="000000"/>
              <w:right w:val="single" w:sz="4" w:space="0" w:color="000000"/>
            </w:tcBorders>
            <w:shd w:val="clear" w:color="auto" w:fill="DAEEF3" w:themeFill="accent5" w:themeFillTint="33"/>
            <w:tcMar>
              <w:top w:w="0" w:type="dxa"/>
              <w:left w:w="28" w:type="dxa"/>
              <w:bottom w:w="0" w:type="dxa"/>
              <w:right w:w="28" w:type="dxa"/>
            </w:tcMar>
            <w:vAlign w:val="center"/>
          </w:tcPr>
          <w:p w14:paraId="0DD0F19B" w14:textId="77777777" w:rsidR="003B69DA" w:rsidRPr="008B619A" w:rsidRDefault="003B69DA" w:rsidP="006400F0">
            <w:pPr>
              <w:pStyle w:val="Standard"/>
              <w:keepNext/>
              <w:snapToGrid w:val="0"/>
              <w:jc w:val="center"/>
              <w:rPr>
                <w:rFonts w:ascii="Times New Roman" w:hAnsi="Times New Roman" w:cs="Times New Roman"/>
                <w:color w:val="000000" w:themeColor="text1"/>
              </w:rPr>
            </w:pPr>
            <w:r w:rsidRPr="008B619A">
              <w:rPr>
                <w:rFonts w:ascii="Times New Roman" w:eastAsia="標楷體" w:hAnsi="Times New Roman" w:cs="Times New Roman"/>
                <w:color w:val="000000" w:themeColor="text1"/>
                <w:sz w:val="22"/>
                <w:szCs w:val="22"/>
              </w:rPr>
              <w:t>項　目</w:t>
            </w:r>
          </w:p>
        </w:tc>
        <w:tc>
          <w:tcPr>
            <w:tcW w:w="3943" w:type="dxa"/>
            <w:gridSpan w:val="5"/>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0" w:type="dxa"/>
              <w:left w:w="28" w:type="dxa"/>
              <w:bottom w:w="0" w:type="dxa"/>
              <w:right w:w="28" w:type="dxa"/>
            </w:tcMar>
            <w:vAlign w:val="center"/>
          </w:tcPr>
          <w:p w14:paraId="23D1794A" w14:textId="77777777" w:rsidR="003B69DA" w:rsidRPr="008B619A" w:rsidRDefault="003B69DA" w:rsidP="006400F0">
            <w:pPr>
              <w:pStyle w:val="Standard"/>
              <w:keepNext/>
              <w:snapToGrid w:val="0"/>
              <w:jc w:val="center"/>
              <w:rPr>
                <w:rFonts w:ascii="Times New Roman" w:hAnsi="Times New Roman" w:cs="Times New Roman"/>
                <w:b/>
                <w:bCs/>
                <w:color w:val="000000" w:themeColor="text1"/>
              </w:rPr>
            </w:pPr>
            <w:r w:rsidRPr="008B619A">
              <w:rPr>
                <w:rFonts w:ascii="Times New Roman" w:eastAsia="標楷體" w:hAnsi="Times New Roman" w:cs="Times New Roman"/>
                <w:b/>
                <w:bCs/>
                <w:color w:val="000000" w:themeColor="text1"/>
                <w:sz w:val="22"/>
                <w:szCs w:val="22"/>
              </w:rPr>
              <w:t>各期間平均入學年齡人口</w:t>
            </w:r>
          </w:p>
        </w:tc>
        <w:tc>
          <w:tcPr>
            <w:tcW w:w="3155" w:type="dxa"/>
            <w:gridSpan w:val="4"/>
            <w:tcBorders>
              <w:top w:val="single" w:sz="4" w:space="0" w:color="000000"/>
              <w:left w:val="single" w:sz="4" w:space="0" w:color="000000"/>
              <w:bottom w:val="single" w:sz="4" w:space="0" w:color="000000"/>
            </w:tcBorders>
            <w:shd w:val="clear" w:color="auto" w:fill="DAEEF3" w:themeFill="accent5" w:themeFillTint="33"/>
            <w:tcMar>
              <w:top w:w="0" w:type="dxa"/>
              <w:left w:w="28" w:type="dxa"/>
              <w:bottom w:w="0" w:type="dxa"/>
              <w:right w:w="28" w:type="dxa"/>
            </w:tcMar>
          </w:tcPr>
          <w:p w14:paraId="3626C547" w14:textId="77777777" w:rsidR="003B69DA" w:rsidRPr="008B619A" w:rsidRDefault="003B69DA" w:rsidP="006400F0">
            <w:pPr>
              <w:pStyle w:val="Standard"/>
              <w:keepNext/>
              <w:snapToGrid w:val="0"/>
              <w:jc w:val="center"/>
              <w:rPr>
                <w:rFonts w:ascii="Times New Roman" w:hAnsi="Times New Roman" w:cs="Times New Roman"/>
                <w:b/>
                <w:bCs/>
                <w:color w:val="000000" w:themeColor="text1"/>
              </w:rPr>
            </w:pPr>
            <w:r w:rsidRPr="008B619A">
              <w:rPr>
                <w:rFonts w:ascii="Times New Roman" w:eastAsia="標楷體" w:hAnsi="Times New Roman" w:cs="Times New Roman"/>
                <w:b/>
                <w:bCs/>
                <w:color w:val="000000" w:themeColor="text1"/>
                <w:sz w:val="22"/>
                <w:szCs w:val="22"/>
              </w:rPr>
              <w:t>較</w:t>
            </w:r>
            <w:r w:rsidRPr="008B619A">
              <w:rPr>
                <w:rFonts w:ascii="Times New Roman" w:eastAsia="標楷體" w:hAnsi="Times New Roman" w:cs="Times New Roman"/>
                <w:b/>
                <w:bCs/>
                <w:color w:val="000000" w:themeColor="text1"/>
                <w:sz w:val="22"/>
                <w:szCs w:val="22"/>
              </w:rPr>
              <w:t>2008-2019</w:t>
            </w:r>
            <w:r w:rsidRPr="008B619A">
              <w:rPr>
                <w:rFonts w:ascii="Times New Roman" w:eastAsia="標楷體" w:hAnsi="Times New Roman" w:cs="Times New Roman"/>
                <w:b/>
                <w:bCs/>
                <w:color w:val="000000" w:themeColor="text1"/>
                <w:sz w:val="22"/>
                <w:szCs w:val="22"/>
              </w:rPr>
              <w:t>學年度之變動</w:t>
            </w:r>
          </w:p>
        </w:tc>
      </w:tr>
      <w:tr w:rsidR="008B619A" w:rsidRPr="008B619A" w14:paraId="0EA9FC82" w14:textId="77777777" w:rsidTr="00AE7E32">
        <w:trPr>
          <w:trHeight w:val="70"/>
          <w:tblHeader/>
        </w:trPr>
        <w:tc>
          <w:tcPr>
            <w:tcW w:w="1860" w:type="dxa"/>
            <w:gridSpan w:val="2"/>
            <w:vMerge/>
            <w:tcBorders>
              <w:top w:val="single" w:sz="4" w:space="0" w:color="000000"/>
              <w:bottom w:val="single" w:sz="4" w:space="0" w:color="000000"/>
              <w:right w:val="single" w:sz="4" w:space="0" w:color="000000"/>
            </w:tcBorders>
            <w:shd w:val="clear" w:color="auto" w:fill="DAEEF3" w:themeFill="accent5" w:themeFillTint="33"/>
            <w:tcMar>
              <w:top w:w="0" w:type="dxa"/>
              <w:left w:w="28" w:type="dxa"/>
              <w:bottom w:w="0" w:type="dxa"/>
              <w:right w:w="28" w:type="dxa"/>
            </w:tcMar>
            <w:vAlign w:val="center"/>
          </w:tcPr>
          <w:p w14:paraId="0EE66579" w14:textId="77777777" w:rsidR="003B69DA" w:rsidRPr="008B619A" w:rsidRDefault="003B69DA" w:rsidP="006400F0">
            <w:pPr>
              <w:rPr>
                <w:rFonts w:ascii="Times New Roman"/>
                <w:color w:val="000000" w:themeColor="text1"/>
              </w:rPr>
            </w:pPr>
          </w:p>
        </w:tc>
        <w:tc>
          <w:tcPr>
            <w:tcW w:w="786"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0" w:type="dxa"/>
              <w:left w:w="28" w:type="dxa"/>
              <w:bottom w:w="0" w:type="dxa"/>
              <w:right w:w="28" w:type="dxa"/>
            </w:tcMar>
            <w:vAlign w:val="center"/>
          </w:tcPr>
          <w:p w14:paraId="37CF986B" w14:textId="77777777" w:rsidR="003B69DA" w:rsidRPr="008B619A" w:rsidRDefault="003B69DA" w:rsidP="006400F0">
            <w:pPr>
              <w:pStyle w:val="Standard"/>
              <w:keepNext/>
              <w:snapToGrid w:val="0"/>
              <w:ind w:left="120"/>
              <w:jc w:val="center"/>
              <w:rPr>
                <w:rFonts w:ascii="Times New Roman" w:hAnsi="Times New Roman" w:cs="Times New Roman"/>
                <w:color w:val="000000" w:themeColor="text1"/>
              </w:rPr>
            </w:pPr>
            <w:r w:rsidRPr="008B619A">
              <w:rPr>
                <w:rFonts w:ascii="Times New Roman" w:eastAsia="標楷體" w:hAnsi="Times New Roman" w:cs="Times New Roman"/>
                <w:b/>
                <w:color w:val="000000" w:themeColor="text1"/>
                <w:sz w:val="22"/>
                <w:szCs w:val="22"/>
              </w:rPr>
              <w:t>2008-</w:t>
            </w:r>
          </w:p>
          <w:p w14:paraId="321702F6" w14:textId="77777777" w:rsidR="003B69DA" w:rsidRPr="008B619A" w:rsidRDefault="003B69DA" w:rsidP="006400F0">
            <w:pPr>
              <w:pStyle w:val="Standard"/>
              <w:keepNext/>
              <w:snapToGrid w:val="0"/>
              <w:jc w:val="center"/>
              <w:rPr>
                <w:rFonts w:ascii="Times New Roman" w:hAnsi="Times New Roman" w:cs="Times New Roman"/>
                <w:color w:val="000000" w:themeColor="text1"/>
              </w:rPr>
            </w:pPr>
            <w:r w:rsidRPr="008B619A">
              <w:rPr>
                <w:rFonts w:ascii="Times New Roman" w:eastAsia="標楷體" w:hAnsi="Times New Roman" w:cs="Times New Roman"/>
                <w:b/>
                <w:color w:val="000000" w:themeColor="text1"/>
                <w:sz w:val="22"/>
                <w:szCs w:val="22"/>
              </w:rPr>
              <w:t>2019</w:t>
            </w:r>
          </w:p>
          <w:p w14:paraId="37D952C9" w14:textId="77777777" w:rsidR="003B69DA" w:rsidRPr="008B619A" w:rsidRDefault="003B69DA" w:rsidP="006400F0">
            <w:pPr>
              <w:pStyle w:val="Standard"/>
              <w:keepNext/>
              <w:snapToGrid w:val="0"/>
              <w:jc w:val="center"/>
              <w:rPr>
                <w:rFonts w:ascii="Times New Roman" w:hAnsi="Times New Roman" w:cs="Times New Roman"/>
                <w:color w:val="000000" w:themeColor="text1"/>
              </w:rPr>
            </w:pPr>
            <w:r w:rsidRPr="008B619A">
              <w:rPr>
                <w:rFonts w:ascii="Times New Roman" w:eastAsia="標楷體" w:hAnsi="Times New Roman" w:cs="Times New Roman"/>
                <w:b/>
                <w:color w:val="000000" w:themeColor="text1"/>
                <w:sz w:val="22"/>
                <w:szCs w:val="22"/>
              </w:rPr>
              <w:t>學年度</w:t>
            </w:r>
          </w:p>
        </w:tc>
        <w:tc>
          <w:tcPr>
            <w:tcW w:w="787"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0" w:type="dxa"/>
              <w:left w:w="28" w:type="dxa"/>
              <w:bottom w:w="0" w:type="dxa"/>
              <w:right w:w="28" w:type="dxa"/>
            </w:tcMar>
            <w:vAlign w:val="center"/>
          </w:tcPr>
          <w:p w14:paraId="2749C46F" w14:textId="77777777" w:rsidR="003B69DA" w:rsidRPr="008B619A" w:rsidRDefault="003B69DA" w:rsidP="006400F0">
            <w:pPr>
              <w:pStyle w:val="Standard"/>
              <w:keepNext/>
              <w:snapToGrid w:val="0"/>
              <w:ind w:left="120"/>
              <w:jc w:val="center"/>
              <w:rPr>
                <w:rFonts w:ascii="Times New Roman" w:hAnsi="Times New Roman" w:cs="Times New Roman"/>
                <w:color w:val="000000" w:themeColor="text1"/>
              </w:rPr>
            </w:pPr>
            <w:r w:rsidRPr="008B619A">
              <w:rPr>
                <w:rFonts w:ascii="Times New Roman" w:eastAsia="標楷體" w:hAnsi="Times New Roman" w:cs="Times New Roman"/>
                <w:color w:val="000000" w:themeColor="text1"/>
                <w:sz w:val="22"/>
                <w:szCs w:val="22"/>
              </w:rPr>
              <w:t>2020-</w:t>
            </w:r>
          </w:p>
          <w:p w14:paraId="5401A0E1" w14:textId="77777777" w:rsidR="003B69DA" w:rsidRPr="008B619A" w:rsidRDefault="003B69DA" w:rsidP="006400F0">
            <w:pPr>
              <w:pStyle w:val="Standard"/>
              <w:keepNext/>
              <w:snapToGrid w:val="0"/>
              <w:jc w:val="center"/>
              <w:rPr>
                <w:rFonts w:ascii="Times New Roman" w:hAnsi="Times New Roman" w:cs="Times New Roman"/>
                <w:color w:val="000000" w:themeColor="text1"/>
              </w:rPr>
            </w:pPr>
            <w:r w:rsidRPr="008B619A">
              <w:rPr>
                <w:rFonts w:ascii="Times New Roman" w:eastAsia="標楷體" w:hAnsi="Times New Roman" w:cs="Times New Roman"/>
                <w:color w:val="000000" w:themeColor="text1"/>
                <w:sz w:val="22"/>
                <w:szCs w:val="22"/>
              </w:rPr>
              <w:t>2031</w:t>
            </w:r>
          </w:p>
          <w:p w14:paraId="5D85A750" w14:textId="77777777" w:rsidR="003B69DA" w:rsidRPr="008B619A" w:rsidRDefault="003B69DA" w:rsidP="006400F0">
            <w:pPr>
              <w:pStyle w:val="Standard"/>
              <w:keepNext/>
              <w:snapToGrid w:val="0"/>
              <w:jc w:val="center"/>
              <w:rPr>
                <w:rFonts w:ascii="Times New Roman" w:hAnsi="Times New Roman" w:cs="Times New Roman"/>
                <w:color w:val="000000" w:themeColor="text1"/>
              </w:rPr>
            </w:pPr>
            <w:r w:rsidRPr="008B619A">
              <w:rPr>
                <w:rFonts w:ascii="Times New Roman" w:eastAsia="標楷體" w:hAnsi="Times New Roman" w:cs="Times New Roman"/>
                <w:color w:val="000000" w:themeColor="text1"/>
                <w:sz w:val="22"/>
                <w:szCs w:val="22"/>
              </w:rPr>
              <w:t>學年度</w:t>
            </w:r>
          </w:p>
        </w:tc>
        <w:tc>
          <w:tcPr>
            <w:tcW w:w="788"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0" w:type="dxa"/>
              <w:left w:w="28" w:type="dxa"/>
              <w:bottom w:w="0" w:type="dxa"/>
              <w:right w:w="28" w:type="dxa"/>
            </w:tcMar>
            <w:vAlign w:val="center"/>
          </w:tcPr>
          <w:p w14:paraId="6B707E27" w14:textId="77777777" w:rsidR="003B69DA" w:rsidRPr="008B619A" w:rsidRDefault="003B69DA" w:rsidP="006400F0">
            <w:pPr>
              <w:pStyle w:val="Standard"/>
              <w:keepNext/>
              <w:snapToGrid w:val="0"/>
              <w:ind w:left="120"/>
              <w:jc w:val="center"/>
              <w:rPr>
                <w:rFonts w:ascii="Times New Roman" w:hAnsi="Times New Roman" w:cs="Times New Roman"/>
                <w:color w:val="000000" w:themeColor="text1"/>
              </w:rPr>
            </w:pPr>
            <w:r w:rsidRPr="008B619A">
              <w:rPr>
                <w:rFonts w:ascii="Times New Roman" w:eastAsia="標楷體" w:hAnsi="Times New Roman" w:cs="Times New Roman"/>
                <w:color w:val="000000" w:themeColor="text1"/>
                <w:sz w:val="22"/>
                <w:szCs w:val="22"/>
              </w:rPr>
              <w:t>2032-</w:t>
            </w:r>
          </w:p>
          <w:p w14:paraId="55A4930E" w14:textId="77777777" w:rsidR="003B69DA" w:rsidRPr="008B619A" w:rsidRDefault="003B69DA" w:rsidP="006400F0">
            <w:pPr>
              <w:pStyle w:val="Standard"/>
              <w:keepNext/>
              <w:snapToGrid w:val="0"/>
              <w:jc w:val="center"/>
              <w:rPr>
                <w:rFonts w:ascii="Times New Roman" w:hAnsi="Times New Roman" w:cs="Times New Roman"/>
                <w:color w:val="000000" w:themeColor="text1"/>
              </w:rPr>
            </w:pPr>
            <w:r w:rsidRPr="008B619A">
              <w:rPr>
                <w:rFonts w:ascii="Times New Roman" w:eastAsia="標楷體" w:hAnsi="Times New Roman" w:cs="Times New Roman"/>
                <w:color w:val="000000" w:themeColor="text1"/>
                <w:sz w:val="22"/>
                <w:szCs w:val="22"/>
              </w:rPr>
              <w:t>2043</w:t>
            </w:r>
            <w:r w:rsidRPr="008B619A">
              <w:rPr>
                <w:rFonts w:ascii="Times New Roman" w:eastAsia="標楷體" w:hAnsi="Times New Roman" w:cs="Times New Roman"/>
                <w:color w:val="000000" w:themeColor="text1"/>
                <w:sz w:val="22"/>
                <w:szCs w:val="22"/>
              </w:rPr>
              <w:br/>
            </w:r>
            <w:r w:rsidRPr="008B619A">
              <w:rPr>
                <w:rFonts w:ascii="Times New Roman" w:eastAsia="標楷體" w:hAnsi="Times New Roman" w:cs="Times New Roman"/>
                <w:color w:val="000000" w:themeColor="text1"/>
                <w:sz w:val="22"/>
                <w:szCs w:val="22"/>
              </w:rPr>
              <w:t>學年度</w:t>
            </w:r>
          </w:p>
        </w:tc>
        <w:tc>
          <w:tcPr>
            <w:tcW w:w="788"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0" w:type="dxa"/>
              <w:left w:w="28" w:type="dxa"/>
              <w:bottom w:w="0" w:type="dxa"/>
              <w:right w:w="28" w:type="dxa"/>
            </w:tcMar>
            <w:vAlign w:val="center"/>
          </w:tcPr>
          <w:p w14:paraId="25AA67B7" w14:textId="77777777" w:rsidR="003B69DA" w:rsidRPr="008B619A" w:rsidRDefault="003B69DA" w:rsidP="006400F0">
            <w:pPr>
              <w:pStyle w:val="Standard"/>
              <w:keepNext/>
              <w:snapToGrid w:val="0"/>
              <w:ind w:left="120"/>
              <w:jc w:val="center"/>
              <w:rPr>
                <w:rFonts w:ascii="Times New Roman" w:hAnsi="Times New Roman" w:cs="Times New Roman"/>
                <w:color w:val="000000" w:themeColor="text1"/>
              </w:rPr>
            </w:pPr>
            <w:r w:rsidRPr="008B619A">
              <w:rPr>
                <w:rFonts w:ascii="Times New Roman" w:eastAsia="標楷體" w:hAnsi="Times New Roman" w:cs="Times New Roman"/>
                <w:color w:val="000000" w:themeColor="text1"/>
                <w:sz w:val="22"/>
                <w:szCs w:val="22"/>
              </w:rPr>
              <w:t>2044-</w:t>
            </w:r>
          </w:p>
          <w:p w14:paraId="155992FA" w14:textId="77777777" w:rsidR="003B69DA" w:rsidRPr="008B619A" w:rsidRDefault="003B69DA" w:rsidP="006400F0">
            <w:pPr>
              <w:pStyle w:val="Standard"/>
              <w:keepNext/>
              <w:snapToGrid w:val="0"/>
              <w:jc w:val="center"/>
              <w:rPr>
                <w:rFonts w:ascii="Times New Roman" w:hAnsi="Times New Roman" w:cs="Times New Roman"/>
                <w:color w:val="000000" w:themeColor="text1"/>
              </w:rPr>
            </w:pPr>
            <w:r w:rsidRPr="008B619A">
              <w:rPr>
                <w:rFonts w:ascii="Times New Roman" w:eastAsia="標楷體" w:hAnsi="Times New Roman" w:cs="Times New Roman"/>
                <w:color w:val="000000" w:themeColor="text1"/>
                <w:sz w:val="22"/>
                <w:szCs w:val="22"/>
              </w:rPr>
              <w:t>2055</w:t>
            </w:r>
            <w:r w:rsidRPr="008B619A">
              <w:rPr>
                <w:rFonts w:ascii="Times New Roman" w:eastAsia="標楷體" w:hAnsi="Times New Roman" w:cs="Times New Roman"/>
                <w:color w:val="000000" w:themeColor="text1"/>
                <w:sz w:val="22"/>
                <w:szCs w:val="22"/>
              </w:rPr>
              <w:br/>
            </w:r>
            <w:r w:rsidRPr="008B619A">
              <w:rPr>
                <w:rFonts w:ascii="Times New Roman" w:eastAsia="標楷體" w:hAnsi="Times New Roman" w:cs="Times New Roman"/>
                <w:color w:val="000000" w:themeColor="text1"/>
                <w:sz w:val="22"/>
                <w:szCs w:val="22"/>
              </w:rPr>
              <w:t>學年度</w:t>
            </w:r>
          </w:p>
        </w:tc>
        <w:tc>
          <w:tcPr>
            <w:tcW w:w="794"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0" w:type="dxa"/>
              <w:left w:w="28" w:type="dxa"/>
              <w:bottom w:w="0" w:type="dxa"/>
              <w:right w:w="28" w:type="dxa"/>
            </w:tcMar>
            <w:vAlign w:val="center"/>
          </w:tcPr>
          <w:p w14:paraId="28683CD7" w14:textId="77777777" w:rsidR="003B69DA" w:rsidRPr="008B619A" w:rsidRDefault="003B69DA" w:rsidP="006400F0">
            <w:pPr>
              <w:pStyle w:val="Standard"/>
              <w:keepNext/>
              <w:snapToGrid w:val="0"/>
              <w:ind w:left="120"/>
              <w:jc w:val="center"/>
              <w:rPr>
                <w:rFonts w:ascii="Times New Roman" w:hAnsi="Times New Roman" w:cs="Times New Roman"/>
                <w:color w:val="000000" w:themeColor="text1"/>
              </w:rPr>
            </w:pPr>
            <w:r w:rsidRPr="008B619A">
              <w:rPr>
                <w:rFonts w:ascii="Times New Roman" w:eastAsia="標楷體" w:hAnsi="Times New Roman" w:cs="Times New Roman"/>
                <w:color w:val="000000" w:themeColor="text1"/>
                <w:sz w:val="22"/>
                <w:szCs w:val="22"/>
              </w:rPr>
              <w:t>2056-</w:t>
            </w:r>
          </w:p>
          <w:p w14:paraId="41F2CA8A" w14:textId="77777777" w:rsidR="003B69DA" w:rsidRPr="008B619A" w:rsidRDefault="003B69DA" w:rsidP="006400F0">
            <w:pPr>
              <w:pStyle w:val="Standard"/>
              <w:keepNext/>
              <w:snapToGrid w:val="0"/>
              <w:jc w:val="center"/>
              <w:rPr>
                <w:rFonts w:ascii="Times New Roman" w:hAnsi="Times New Roman" w:cs="Times New Roman"/>
                <w:color w:val="000000" w:themeColor="text1"/>
              </w:rPr>
            </w:pPr>
            <w:r w:rsidRPr="008B619A">
              <w:rPr>
                <w:rFonts w:ascii="Times New Roman" w:eastAsia="標楷體" w:hAnsi="Times New Roman" w:cs="Times New Roman"/>
                <w:color w:val="000000" w:themeColor="text1"/>
                <w:sz w:val="22"/>
                <w:szCs w:val="22"/>
              </w:rPr>
              <w:t>2067</w:t>
            </w:r>
            <w:r w:rsidRPr="008B619A">
              <w:rPr>
                <w:rFonts w:ascii="Times New Roman" w:eastAsia="標楷體" w:hAnsi="Times New Roman" w:cs="Times New Roman"/>
                <w:color w:val="000000" w:themeColor="text1"/>
                <w:sz w:val="22"/>
                <w:szCs w:val="22"/>
              </w:rPr>
              <w:br/>
            </w:r>
            <w:r w:rsidRPr="008B619A">
              <w:rPr>
                <w:rFonts w:ascii="Times New Roman" w:eastAsia="標楷體" w:hAnsi="Times New Roman" w:cs="Times New Roman"/>
                <w:color w:val="000000" w:themeColor="text1"/>
                <w:sz w:val="22"/>
                <w:szCs w:val="22"/>
              </w:rPr>
              <w:t>學年度</w:t>
            </w:r>
          </w:p>
        </w:tc>
        <w:tc>
          <w:tcPr>
            <w:tcW w:w="785"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0" w:type="dxa"/>
              <w:left w:w="28" w:type="dxa"/>
              <w:bottom w:w="0" w:type="dxa"/>
              <w:right w:w="28" w:type="dxa"/>
            </w:tcMar>
            <w:vAlign w:val="center"/>
          </w:tcPr>
          <w:p w14:paraId="1A50E015" w14:textId="77777777" w:rsidR="003B69DA" w:rsidRPr="008B619A" w:rsidRDefault="003B69DA" w:rsidP="006400F0">
            <w:pPr>
              <w:pStyle w:val="Standard"/>
              <w:keepNext/>
              <w:snapToGrid w:val="0"/>
              <w:ind w:left="120"/>
              <w:jc w:val="center"/>
              <w:rPr>
                <w:rFonts w:ascii="Times New Roman" w:hAnsi="Times New Roman" w:cs="Times New Roman"/>
                <w:color w:val="000000" w:themeColor="text1"/>
              </w:rPr>
            </w:pPr>
            <w:r w:rsidRPr="008B619A">
              <w:rPr>
                <w:rFonts w:ascii="Times New Roman" w:eastAsia="標楷體" w:hAnsi="Times New Roman" w:cs="Times New Roman"/>
                <w:color w:val="000000" w:themeColor="text1"/>
                <w:sz w:val="22"/>
                <w:szCs w:val="22"/>
              </w:rPr>
              <w:t>2020-</w:t>
            </w:r>
          </w:p>
          <w:p w14:paraId="2BB15834" w14:textId="77777777" w:rsidR="003B69DA" w:rsidRPr="008B619A" w:rsidRDefault="003B69DA" w:rsidP="006400F0">
            <w:pPr>
              <w:pStyle w:val="Standard"/>
              <w:keepNext/>
              <w:snapToGrid w:val="0"/>
              <w:jc w:val="center"/>
              <w:rPr>
                <w:rFonts w:ascii="Times New Roman" w:hAnsi="Times New Roman" w:cs="Times New Roman"/>
                <w:color w:val="000000" w:themeColor="text1"/>
              </w:rPr>
            </w:pPr>
            <w:r w:rsidRPr="008B619A">
              <w:rPr>
                <w:rFonts w:ascii="Times New Roman" w:eastAsia="標楷體" w:hAnsi="Times New Roman" w:cs="Times New Roman"/>
                <w:color w:val="000000" w:themeColor="text1"/>
                <w:sz w:val="22"/>
                <w:szCs w:val="22"/>
              </w:rPr>
              <w:t>2031</w:t>
            </w:r>
          </w:p>
          <w:p w14:paraId="4D917CCF" w14:textId="77777777" w:rsidR="003B69DA" w:rsidRPr="008B619A" w:rsidRDefault="003B69DA" w:rsidP="006400F0">
            <w:pPr>
              <w:pStyle w:val="Standard"/>
              <w:keepNext/>
              <w:snapToGrid w:val="0"/>
              <w:jc w:val="center"/>
              <w:rPr>
                <w:rFonts w:ascii="Times New Roman" w:hAnsi="Times New Roman" w:cs="Times New Roman"/>
                <w:color w:val="000000" w:themeColor="text1"/>
              </w:rPr>
            </w:pPr>
            <w:r w:rsidRPr="008B619A">
              <w:rPr>
                <w:rFonts w:ascii="Times New Roman" w:eastAsia="標楷體" w:hAnsi="Times New Roman" w:cs="Times New Roman"/>
                <w:color w:val="000000" w:themeColor="text1"/>
                <w:sz w:val="22"/>
                <w:szCs w:val="22"/>
              </w:rPr>
              <w:t>學年度</w:t>
            </w:r>
          </w:p>
        </w:tc>
        <w:tc>
          <w:tcPr>
            <w:tcW w:w="788"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0" w:type="dxa"/>
              <w:left w:w="28" w:type="dxa"/>
              <w:bottom w:w="0" w:type="dxa"/>
              <w:right w:w="28" w:type="dxa"/>
            </w:tcMar>
            <w:vAlign w:val="center"/>
          </w:tcPr>
          <w:p w14:paraId="616DFAB2" w14:textId="77777777" w:rsidR="003B69DA" w:rsidRPr="008B619A" w:rsidRDefault="003B69DA" w:rsidP="006400F0">
            <w:pPr>
              <w:pStyle w:val="Standard"/>
              <w:keepNext/>
              <w:snapToGrid w:val="0"/>
              <w:ind w:left="120"/>
              <w:jc w:val="center"/>
              <w:rPr>
                <w:rFonts w:ascii="Times New Roman" w:hAnsi="Times New Roman" w:cs="Times New Roman"/>
                <w:color w:val="000000" w:themeColor="text1"/>
              </w:rPr>
            </w:pPr>
            <w:r w:rsidRPr="008B619A">
              <w:rPr>
                <w:rFonts w:ascii="Times New Roman" w:eastAsia="標楷體" w:hAnsi="Times New Roman" w:cs="Times New Roman"/>
                <w:color w:val="000000" w:themeColor="text1"/>
                <w:sz w:val="22"/>
                <w:szCs w:val="22"/>
              </w:rPr>
              <w:t>2032-</w:t>
            </w:r>
          </w:p>
          <w:p w14:paraId="53377546" w14:textId="77777777" w:rsidR="003B69DA" w:rsidRPr="008B619A" w:rsidRDefault="003B69DA" w:rsidP="006400F0">
            <w:pPr>
              <w:pStyle w:val="Standard"/>
              <w:keepNext/>
              <w:snapToGrid w:val="0"/>
              <w:jc w:val="center"/>
              <w:rPr>
                <w:rFonts w:ascii="Times New Roman" w:hAnsi="Times New Roman" w:cs="Times New Roman"/>
                <w:color w:val="000000" w:themeColor="text1"/>
              </w:rPr>
            </w:pPr>
            <w:r w:rsidRPr="008B619A">
              <w:rPr>
                <w:rFonts w:ascii="Times New Roman" w:eastAsia="標楷體" w:hAnsi="Times New Roman" w:cs="Times New Roman"/>
                <w:color w:val="000000" w:themeColor="text1"/>
                <w:sz w:val="22"/>
                <w:szCs w:val="22"/>
              </w:rPr>
              <w:t>2043</w:t>
            </w:r>
            <w:r w:rsidRPr="008B619A">
              <w:rPr>
                <w:rFonts w:ascii="Times New Roman" w:eastAsia="標楷體" w:hAnsi="Times New Roman" w:cs="Times New Roman"/>
                <w:color w:val="000000" w:themeColor="text1"/>
                <w:sz w:val="22"/>
                <w:szCs w:val="22"/>
              </w:rPr>
              <w:br/>
            </w:r>
            <w:r w:rsidRPr="008B619A">
              <w:rPr>
                <w:rFonts w:ascii="Times New Roman" w:eastAsia="標楷體" w:hAnsi="Times New Roman" w:cs="Times New Roman"/>
                <w:color w:val="000000" w:themeColor="text1"/>
                <w:sz w:val="22"/>
                <w:szCs w:val="22"/>
              </w:rPr>
              <w:t>學年度</w:t>
            </w:r>
          </w:p>
        </w:tc>
        <w:tc>
          <w:tcPr>
            <w:tcW w:w="788"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0" w:type="dxa"/>
              <w:left w:w="28" w:type="dxa"/>
              <w:bottom w:w="0" w:type="dxa"/>
              <w:right w:w="28" w:type="dxa"/>
            </w:tcMar>
            <w:vAlign w:val="center"/>
          </w:tcPr>
          <w:p w14:paraId="119AECE1" w14:textId="77777777" w:rsidR="003B69DA" w:rsidRPr="008B619A" w:rsidRDefault="003B69DA" w:rsidP="006400F0">
            <w:pPr>
              <w:pStyle w:val="Standard"/>
              <w:keepNext/>
              <w:snapToGrid w:val="0"/>
              <w:ind w:left="120"/>
              <w:jc w:val="center"/>
              <w:rPr>
                <w:rFonts w:ascii="Times New Roman" w:hAnsi="Times New Roman" w:cs="Times New Roman"/>
                <w:color w:val="000000" w:themeColor="text1"/>
              </w:rPr>
            </w:pPr>
            <w:r w:rsidRPr="008B619A">
              <w:rPr>
                <w:rFonts w:ascii="Times New Roman" w:eastAsia="標楷體" w:hAnsi="Times New Roman" w:cs="Times New Roman"/>
                <w:color w:val="000000" w:themeColor="text1"/>
                <w:sz w:val="22"/>
                <w:szCs w:val="22"/>
              </w:rPr>
              <w:t>2044-</w:t>
            </w:r>
          </w:p>
          <w:p w14:paraId="7F7E1D2C" w14:textId="77777777" w:rsidR="003B69DA" w:rsidRPr="008B619A" w:rsidRDefault="003B69DA" w:rsidP="006400F0">
            <w:pPr>
              <w:pStyle w:val="Standard"/>
              <w:keepNext/>
              <w:snapToGrid w:val="0"/>
              <w:jc w:val="center"/>
              <w:rPr>
                <w:rFonts w:ascii="Times New Roman" w:hAnsi="Times New Roman" w:cs="Times New Roman"/>
                <w:color w:val="000000" w:themeColor="text1"/>
              </w:rPr>
            </w:pPr>
            <w:r w:rsidRPr="008B619A">
              <w:rPr>
                <w:rFonts w:ascii="Times New Roman" w:eastAsia="標楷體" w:hAnsi="Times New Roman" w:cs="Times New Roman"/>
                <w:color w:val="000000" w:themeColor="text1"/>
                <w:sz w:val="22"/>
                <w:szCs w:val="22"/>
              </w:rPr>
              <w:t>2055</w:t>
            </w:r>
            <w:r w:rsidRPr="008B619A">
              <w:rPr>
                <w:rFonts w:ascii="Times New Roman" w:eastAsia="標楷體" w:hAnsi="Times New Roman" w:cs="Times New Roman"/>
                <w:color w:val="000000" w:themeColor="text1"/>
                <w:sz w:val="22"/>
                <w:szCs w:val="22"/>
              </w:rPr>
              <w:br/>
            </w:r>
            <w:r w:rsidRPr="008B619A">
              <w:rPr>
                <w:rFonts w:ascii="Times New Roman" w:eastAsia="標楷體" w:hAnsi="Times New Roman" w:cs="Times New Roman"/>
                <w:color w:val="000000" w:themeColor="text1"/>
                <w:sz w:val="22"/>
                <w:szCs w:val="22"/>
              </w:rPr>
              <w:t>學年度</w:t>
            </w:r>
          </w:p>
        </w:tc>
        <w:tc>
          <w:tcPr>
            <w:tcW w:w="794" w:type="dxa"/>
            <w:tcBorders>
              <w:top w:val="single" w:sz="4" w:space="0" w:color="000000"/>
              <w:left w:val="single" w:sz="4" w:space="0" w:color="000000"/>
              <w:bottom w:val="single" w:sz="4" w:space="0" w:color="000000"/>
            </w:tcBorders>
            <w:shd w:val="clear" w:color="auto" w:fill="DAEEF3" w:themeFill="accent5" w:themeFillTint="33"/>
            <w:tcMar>
              <w:top w:w="0" w:type="dxa"/>
              <w:left w:w="28" w:type="dxa"/>
              <w:bottom w:w="0" w:type="dxa"/>
              <w:right w:w="28" w:type="dxa"/>
            </w:tcMar>
            <w:vAlign w:val="center"/>
          </w:tcPr>
          <w:p w14:paraId="24320BFC" w14:textId="77777777" w:rsidR="003B69DA" w:rsidRPr="008B619A" w:rsidRDefault="003B69DA" w:rsidP="006400F0">
            <w:pPr>
              <w:pStyle w:val="Standard"/>
              <w:keepNext/>
              <w:snapToGrid w:val="0"/>
              <w:ind w:left="120"/>
              <w:jc w:val="center"/>
              <w:rPr>
                <w:rFonts w:ascii="Times New Roman" w:hAnsi="Times New Roman" w:cs="Times New Roman"/>
                <w:color w:val="000000" w:themeColor="text1"/>
              </w:rPr>
            </w:pPr>
            <w:r w:rsidRPr="008B619A">
              <w:rPr>
                <w:rFonts w:ascii="Times New Roman" w:eastAsia="標楷體" w:hAnsi="Times New Roman" w:cs="Times New Roman"/>
                <w:color w:val="000000" w:themeColor="text1"/>
                <w:sz w:val="22"/>
                <w:szCs w:val="22"/>
              </w:rPr>
              <w:t>2056-</w:t>
            </w:r>
          </w:p>
          <w:p w14:paraId="2F0284B6" w14:textId="77777777" w:rsidR="003B69DA" w:rsidRPr="008B619A" w:rsidRDefault="003B69DA" w:rsidP="006400F0">
            <w:pPr>
              <w:pStyle w:val="Standard"/>
              <w:keepNext/>
              <w:snapToGrid w:val="0"/>
              <w:jc w:val="center"/>
              <w:rPr>
                <w:rFonts w:ascii="Times New Roman" w:hAnsi="Times New Roman" w:cs="Times New Roman"/>
                <w:color w:val="000000" w:themeColor="text1"/>
              </w:rPr>
            </w:pPr>
            <w:r w:rsidRPr="008B619A">
              <w:rPr>
                <w:rFonts w:ascii="Times New Roman" w:eastAsia="標楷體" w:hAnsi="Times New Roman" w:cs="Times New Roman"/>
                <w:color w:val="000000" w:themeColor="text1"/>
                <w:sz w:val="22"/>
                <w:szCs w:val="22"/>
              </w:rPr>
              <w:t>2067</w:t>
            </w:r>
            <w:r w:rsidRPr="008B619A">
              <w:rPr>
                <w:rFonts w:ascii="Times New Roman" w:eastAsia="標楷體" w:hAnsi="Times New Roman" w:cs="Times New Roman"/>
                <w:color w:val="000000" w:themeColor="text1"/>
                <w:sz w:val="22"/>
                <w:szCs w:val="22"/>
              </w:rPr>
              <w:br/>
            </w:r>
            <w:r w:rsidRPr="008B619A">
              <w:rPr>
                <w:rFonts w:ascii="Times New Roman" w:eastAsia="標楷體" w:hAnsi="Times New Roman" w:cs="Times New Roman"/>
                <w:color w:val="000000" w:themeColor="text1"/>
                <w:sz w:val="22"/>
                <w:szCs w:val="22"/>
              </w:rPr>
              <w:t>學年度</w:t>
            </w:r>
          </w:p>
        </w:tc>
      </w:tr>
      <w:tr w:rsidR="008B619A" w:rsidRPr="008B619A" w14:paraId="1EC7A8E1" w14:textId="77777777" w:rsidTr="006B5530">
        <w:trPr>
          <w:trHeight w:val="70"/>
        </w:trPr>
        <w:tc>
          <w:tcPr>
            <w:tcW w:w="284" w:type="dxa"/>
            <w:vMerge w:val="restart"/>
            <w:tcBorders>
              <w:top w:val="single" w:sz="4" w:space="0" w:color="000000"/>
              <w:bottom w:val="single" w:sz="4" w:space="0" w:color="000000"/>
              <w:right w:val="single" w:sz="4" w:space="0" w:color="000000"/>
            </w:tcBorders>
            <w:tcMar>
              <w:top w:w="0" w:type="dxa"/>
              <w:left w:w="28" w:type="dxa"/>
              <w:bottom w:w="0" w:type="dxa"/>
              <w:right w:w="28" w:type="dxa"/>
            </w:tcMar>
            <w:vAlign w:val="center"/>
          </w:tcPr>
          <w:p w14:paraId="2A48B828" w14:textId="77777777" w:rsidR="003B69DA" w:rsidRPr="008B619A" w:rsidRDefault="003B69DA" w:rsidP="006400F0">
            <w:pPr>
              <w:pStyle w:val="Standard"/>
              <w:keepNext/>
              <w:snapToGrid w:val="0"/>
              <w:jc w:val="center"/>
              <w:rPr>
                <w:rFonts w:ascii="Times New Roman" w:hAnsi="Times New Roman" w:cs="Times New Roman"/>
                <w:color w:val="000000" w:themeColor="text1"/>
              </w:rPr>
            </w:pPr>
            <w:r w:rsidRPr="008B619A">
              <w:rPr>
                <w:rFonts w:ascii="Times New Roman" w:eastAsia="標楷體" w:hAnsi="Times New Roman" w:cs="Times New Roman"/>
                <w:color w:val="000000" w:themeColor="text1"/>
                <w:sz w:val="22"/>
                <w:szCs w:val="22"/>
              </w:rPr>
              <w:t>高推估</w:t>
            </w:r>
          </w:p>
        </w:tc>
        <w:tc>
          <w:tcPr>
            <w:tcW w:w="1576" w:type="dxa"/>
            <w:tcBorders>
              <w:left w:val="single" w:sz="4" w:space="0" w:color="000000"/>
              <w:right w:val="single" w:sz="4" w:space="0" w:color="000000"/>
            </w:tcBorders>
            <w:tcMar>
              <w:top w:w="0" w:type="dxa"/>
              <w:left w:w="28" w:type="dxa"/>
              <w:bottom w:w="0" w:type="dxa"/>
              <w:right w:w="28" w:type="dxa"/>
            </w:tcMar>
            <w:vAlign w:val="center"/>
          </w:tcPr>
          <w:p w14:paraId="42CDA176" w14:textId="77777777" w:rsidR="003B69DA" w:rsidRPr="008B619A" w:rsidRDefault="003B69DA" w:rsidP="006400F0">
            <w:pPr>
              <w:pStyle w:val="Standard"/>
              <w:keepNext/>
              <w:snapToGrid w:val="0"/>
              <w:rPr>
                <w:rFonts w:ascii="Times New Roman" w:hAnsi="Times New Roman" w:cs="Times New Roman"/>
                <w:color w:val="000000" w:themeColor="text1"/>
              </w:rPr>
            </w:pPr>
            <w:r w:rsidRPr="008B619A">
              <w:rPr>
                <w:rFonts w:ascii="Times New Roman" w:eastAsia="標楷體" w:hAnsi="Times New Roman" w:cs="Times New Roman"/>
                <w:color w:val="000000" w:themeColor="text1"/>
                <w:sz w:val="22"/>
                <w:szCs w:val="22"/>
              </w:rPr>
              <w:t xml:space="preserve"> 6</w:t>
            </w:r>
            <w:r w:rsidRPr="008B619A">
              <w:rPr>
                <w:rFonts w:ascii="Times New Roman" w:eastAsia="標楷體" w:hAnsi="Times New Roman" w:cs="Times New Roman"/>
                <w:color w:val="000000" w:themeColor="text1"/>
                <w:sz w:val="22"/>
                <w:szCs w:val="22"/>
              </w:rPr>
              <w:t>歲（國小）</w:t>
            </w:r>
          </w:p>
        </w:tc>
        <w:tc>
          <w:tcPr>
            <w:tcW w:w="786" w:type="dxa"/>
            <w:vMerge w:val="restart"/>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65B7F7EB" w14:textId="77777777" w:rsidR="003B69DA" w:rsidRPr="008B619A" w:rsidRDefault="003B69DA" w:rsidP="006400F0">
            <w:pPr>
              <w:pStyle w:val="Standard"/>
              <w:snapToGrid w:val="0"/>
              <w:jc w:val="center"/>
              <w:rPr>
                <w:rFonts w:ascii="Times New Roman" w:hAnsi="Times New Roman" w:cs="Times New Roman"/>
                <w:color w:val="000000" w:themeColor="text1"/>
              </w:rPr>
            </w:pPr>
            <w:r w:rsidRPr="008B619A">
              <w:rPr>
                <w:rFonts w:ascii="Times New Roman" w:eastAsia="標楷體" w:hAnsi="Times New Roman" w:cs="Times New Roman"/>
                <w:b/>
                <w:color w:val="000000" w:themeColor="text1"/>
                <w:sz w:val="22"/>
                <w:szCs w:val="22"/>
              </w:rPr>
              <w:t>(</w:t>
            </w:r>
            <w:r w:rsidRPr="008B619A">
              <w:rPr>
                <w:rFonts w:ascii="Times New Roman" w:eastAsia="標楷體" w:hAnsi="Times New Roman" w:cs="Times New Roman"/>
                <w:b/>
                <w:color w:val="000000" w:themeColor="text1"/>
                <w:sz w:val="22"/>
                <w:szCs w:val="22"/>
                <w:lang w:eastAsia="zh-HK"/>
              </w:rPr>
              <w:t>同中</w:t>
            </w:r>
            <w:r w:rsidRPr="008B619A">
              <w:rPr>
                <w:rFonts w:ascii="Times New Roman" w:eastAsia="標楷體" w:hAnsi="Times New Roman" w:cs="Times New Roman"/>
                <w:b/>
                <w:color w:val="000000" w:themeColor="text1"/>
                <w:sz w:val="22"/>
                <w:szCs w:val="22"/>
                <w:lang w:eastAsia="zh-HK"/>
              </w:rPr>
              <w:br/>
            </w:r>
            <w:r w:rsidRPr="008B619A">
              <w:rPr>
                <w:rFonts w:ascii="Times New Roman" w:eastAsia="標楷體" w:hAnsi="Times New Roman" w:cs="Times New Roman"/>
                <w:b/>
                <w:color w:val="000000" w:themeColor="text1"/>
                <w:sz w:val="22"/>
                <w:szCs w:val="22"/>
                <w:lang w:eastAsia="zh-HK"/>
              </w:rPr>
              <w:t>推估</w:t>
            </w:r>
            <w:r w:rsidRPr="008B619A">
              <w:rPr>
                <w:rFonts w:ascii="Times New Roman" w:eastAsia="標楷體" w:hAnsi="Times New Roman" w:cs="Times New Roman"/>
                <w:b/>
                <w:color w:val="000000" w:themeColor="text1"/>
                <w:sz w:val="22"/>
                <w:szCs w:val="22"/>
                <w:lang w:eastAsia="zh-HK"/>
              </w:rPr>
              <w:t>)</w:t>
            </w:r>
          </w:p>
        </w:tc>
        <w:tc>
          <w:tcPr>
            <w:tcW w:w="787" w:type="dxa"/>
            <w:tcBorders>
              <w:top w:val="single" w:sz="4" w:space="0" w:color="000000"/>
              <w:left w:val="single" w:sz="4" w:space="0" w:color="000000"/>
            </w:tcBorders>
            <w:tcMar>
              <w:top w:w="0" w:type="dxa"/>
              <w:left w:w="28" w:type="dxa"/>
              <w:bottom w:w="0" w:type="dxa"/>
              <w:right w:w="28" w:type="dxa"/>
            </w:tcMar>
            <w:vAlign w:val="center"/>
          </w:tcPr>
          <w:p w14:paraId="5DAEDA38" w14:textId="77777777" w:rsidR="003B69DA" w:rsidRPr="008B619A" w:rsidRDefault="003B69DA" w:rsidP="006400F0">
            <w:pPr>
              <w:pStyle w:val="Standard"/>
              <w:snapToGrid w:val="0"/>
              <w:jc w:val="center"/>
              <w:rPr>
                <w:rFonts w:ascii="Times New Roman" w:hAnsi="Times New Roman" w:cs="Times New Roman"/>
                <w:color w:val="000000" w:themeColor="text1"/>
              </w:rPr>
            </w:pPr>
            <w:r w:rsidRPr="008B619A">
              <w:rPr>
                <w:rFonts w:ascii="Times New Roman" w:hAnsi="Times New Roman" w:cs="Times New Roman"/>
                <w:color w:val="000000" w:themeColor="text1"/>
                <w:sz w:val="22"/>
                <w:szCs w:val="22"/>
              </w:rPr>
              <w:t>18</w:t>
            </w:r>
          </w:p>
        </w:tc>
        <w:tc>
          <w:tcPr>
            <w:tcW w:w="788" w:type="dxa"/>
            <w:tcBorders>
              <w:top w:val="single" w:sz="4" w:space="0" w:color="000000"/>
            </w:tcBorders>
            <w:tcMar>
              <w:top w:w="0" w:type="dxa"/>
              <w:left w:w="28" w:type="dxa"/>
              <w:bottom w:w="0" w:type="dxa"/>
              <w:right w:w="28" w:type="dxa"/>
            </w:tcMar>
            <w:vAlign w:val="center"/>
          </w:tcPr>
          <w:p w14:paraId="17F68D1C" w14:textId="77777777" w:rsidR="003B69DA" w:rsidRPr="008B619A" w:rsidRDefault="003B69DA" w:rsidP="006400F0">
            <w:pPr>
              <w:pStyle w:val="Standard"/>
              <w:snapToGrid w:val="0"/>
              <w:jc w:val="center"/>
              <w:rPr>
                <w:rFonts w:ascii="Times New Roman" w:hAnsi="Times New Roman" w:cs="Times New Roman"/>
                <w:color w:val="000000" w:themeColor="text1"/>
              </w:rPr>
            </w:pPr>
            <w:r w:rsidRPr="008B619A">
              <w:rPr>
                <w:rFonts w:ascii="Times New Roman" w:hAnsi="Times New Roman" w:cs="Times New Roman"/>
                <w:color w:val="000000" w:themeColor="text1"/>
                <w:sz w:val="22"/>
                <w:szCs w:val="22"/>
              </w:rPr>
              <w:t>17</w:t>
            </w:r>
          </w:p>
        </w:tc>
        <w:tc>
          <w:tcPr>
            <w:tcW w:w="788" w:type="dxa"/>
            <w:tcBorders>
              <w:top w:val="single" w:sz="4" w:space="0" w:color="000000"/>
            </w:tcBorders>
            <w:tcMar>
              <w:top w:w="0" w:type="dxa"/>
              <w:left w:w="28" w:type="dxa"/>
              <w:bottom w:w="0" w:type="dxa"/>
              <w:right w:w="28" w:type="dxa"/>
            </w:tcMar>
            <w:vAlign w:val="center"/>
          </w:tcPr>
          <w:p w14:paraId="68901AD3" w14:textId="77777777" w:rsidR="003B69DA" w:rsidRPr="008B619A" w:rsidRDefault="003B69DA" w:rsidP="006400F0">
            <w:pPr>
              <w:pStyle w:val="Standard"/>
              <w:snapToGrid w:val="0"/>
              <w:jc w:val="center"/>
              <w:rPr>
                <w:rFonts w:ascii="Times New Roman" w:hAnsi="Times New Roman" w:cs="Times New Roman"/>
                <w:color w:val="000000" w:themeColor="text1"/>
              </w:rPr>
            </w:pPr>
            <w:r w:rsidRPr="008B619A">
              <w:rPr>
                <w:rFonts w:ascii="Times New Roman" w:hAnsi="Times New Roman" w:cs="Times New Roman"/>
                <w:color w:val="000000" w:themeColor="text1"/>
                <w:sz w:val="22"/>
                <w:szCs w:val="22"/>
              </w:rPr>
              <w:t>16</w:t>
            </w:r>
          </w:p>
        </w:tc>
        <w:tc>
          <w:tcPr>
            <w:tcW w:w="794" w:type="dxa"/>
            <w:tcBorders>
              <w:top w:val="single" w:sz="4" w:space="0" w:color="000000"/>
              <w:right w:val="single" w:sz="4" w:space="0" w:color="000000"/>
            </w:tcBorders>
            <w:tcMar>
              <w:top w:w="0" w:type="dxa"/>
              <w:left w:w="28" w:type="dxa"/>
              <w:bottom w:w="0" w:type="dxa"/>
              <w:right w:w="28" w:type="dxa"/>
            </w:tcMar>
            <w:vAlign w:val="center"/>
          </w:tcPr>
          <w:p w14:paraId="7B61FE92" w14:textId="77777777" w:rsidR="003B69DA" w:rsidRPr="008B619A" w:rsidRDefault="003B69DA" w:rsidP="006400F0">
            <w:pPr>
              <w:pStyle w:val="Standard"/>
              <w:snapToGrid w:val="0"/>
              <w:jc w:val="center"/>
              <w:rPr>
                <w:rFonts w:ascii="Times New Roman" w:hAnsi="Times New Roman" w:cs="Times New Roman"/>
                <w:color w:val="000000" w:themeColor="text1"/>
              </w:rPr>
            </w:pPr>
            <w:r w:rsidRPr="008B619A">
              <w:rPr>
                <w:rFonts w:ascii="Times New Roman" w:hAnsi="Times New Roman" w:cs="Times New Roman"/>
                <w:color w:val="000000" w:themeColor="text1"/>
                <w:sz w:val="22"/>
                <w:szCs w:val="22"/>
              </w:rPr>
              <w:t>14</w:t>
            </w:r>
          </w:p>
        </w:tc>
        <w:tc>
          <w:tcPr>
            <w:tcW w:w="785" w:type="dxa"/>
            <w:tcBorders>
              <w:top w:val="single" w:sz="4" w:space="0" w:color="000000"/>
              <w:left w:val="single" w:sz="4" w:space="0" w:color="000000"/>
            </w:tcBorders>
            <w:tcMar>
              <w:top w:w="0" w:type="dxa"/>
              <w:left w:w="28" w:type="dxa"/>
              <w:bottom w:w="0" w:type="dxa"/>
              <w:right w:w="28" w:type="dxa"/>
            </w:tcMar>
            <w:vAlign w:val="center"/>
          </w:tcPr>
          <w:p w14:paraId="797012C8" w14:textId="77777777" w:rsidR="003B69DA" w:rsidRPr="008B619A" w:rsidRDefault="003B69DA" w:rsidP="006400F0">
            <w:pPr>
              <w:pStyle w:val="Standard"/>
              <w:snapToGrid w:val="0"/>
              <w:jc w:val="center"/>
              <w:rPr>
                <w:rFonts w:ascii="Times New Roman" w:hAnsi="Times New Roman" w:cs="Times New Roman"/>
                <w:color w:val="000000" w:themeColor="text1"/>
              </w:rPr>
            </w:pPr>
            <w:r w:rsidRPr="008B619A">
              <w:rPr>
                <w:rFonts w:ascii="Times New Roman" w:hAnsi="Times New Roman" w:cs="Times New Roman"/>
                <w:color w:val="000000" w:themeColor="text1"/>
                <w:sz w:val="22"/>
                <w:szCs w:val="22"/>
              </w:rPr>
              <w:t>-3</w:t>
            </w:r>
          </w:p>
        </w:tc>
        <w:tc>
          <w:tcPr>
            <w:tcW w:w="788" w:type="dxa"/>
            <w:tcBorders>
              <w:top w:val="single" w:sz="4" w:space="0" w:color="000000"/>
            </w:tcBorders>
            <w:tcMar>
              <w:top w:w="0" w:type="dxa"/>
              <w:left w:w="28" w:type="dxa"/>
              <w:bottom w:w="0" w:type="dxa"/>
              <w:right w:w="28" w:type="dxa"/>
            </w:tcMar>
            <w:vAlign w:val="center"/>
          </w:tcPr>
          <w:p w14:paraId="5B8D8AA6" w14:textId="77777777" w:rsidR="003B69DA" w:rsidRPr="008B619A" w:rsidRDefault="003B69DA" w:rsidP="006400F0">
            <w:pPr>
              <w:pStyle w:val="Standard"/>
              <w:snapToGrid w:val="0"/>
              <w:jc w:val="center"/>
              <w:rPr>
                <w:rFonts w:ascii="Times New Roman" w:hAnsi="Times New Roman" w:cs="Times New Roman"/>
                <w:color w:val="000000" w:themeColor="text1"/>
              </w:rPr>
            </w:pPr>
            <w:r w:rsidRPr="008B619A">
              <w:rPr>
                <w:rFonts w:ascii="Times New Roman" w:hAnsi="Times New Roman" w:cs="Times New Roman"/>
                <w:color w:val="000000" w:themeColor="text1"/>
                <w:sz w:val="22"/>
                <w:szCs w:val="22"/>
              </w:rPr>
              <w:t>-4</w:t>
            </w:r>
          </w:p>
        </w:tc>
        <w:tc>
          <w:tcPr>
            <w:tcW w:w="788" w:type="dxa"/>
            <w:tcBorders>
              <w:top w:val="single" w:sz="4" w:space="0" w:color="000000"/>
            </w:tcBorders>
            <w:tcMar>
              <w:top w:w="0" w:type="dxa"/>
              <w:left w:w="28" w:type="dxa"/>
              <w:bottom w:w="0" w:type="dxa"/>
              <w:right w:w="28" w:type="dxa"/>
            </w:tcMar>
            <w:vAlign w:val="center"/>
          </w:tcPr>
          <w:p w14:paraId="600CF638" w14:textId="77777777" w:rsidR="003B69DA" w:rsidRPr="008B619A" w:rsidRDefault="003B69DA" w:rsidP="006400F0">
            <w:pPr>
              <w:pStyle w:val="Standard"/>
              <w:snapToGrid w:val="0"/>
              <w:jc w:val="center"/>
              <w:rPr>
                <w:rFonts w:ascii="Times New Roman" w:hAnsi="Times New Roman" w:cs="Times New Roman"/>
                <w:color w:val="000000" w:themeColor="text1"/>
              </w:rPr>
            </w:pPr>
            <w:r w:rsidRPr="008B619A">
              <w:rPr>
                <w:rFonts w:ascii="Times New Roman" w:hAnsi="Times New Roman" w:cs="Times New Roman"/>
                <w:color w:val="000000" w:themeColor="text1"/>
                <w:sz w:val="22"/>
                <w:szCs w:val="22"/>
              </w:rPr>
              <w:t>-5</w:t>
            </w:r>
          </w:p>
        </w:tc>
        <w:tc>
          <w:tcPr>
            <w:tcW w:w="794" w:type="dxa"/>
            <w:tcBorders>
              <w:top w:val="single" w:sz="4" w:space="0" w:color="000000"/>
            </w:tcBorders>
            <w:tcMar>
              <w:top w:w="0" w:type="dxa"/>
              <w:left w:w="28" w:type="dxa"/>
              <w:bottom w:w="0" w:type="dxa"/>
              <w:right w:w="28" w:type="dxa"/>
            </w:tcMar>
            <w:vAlign w:val="center"/>
          </w:tcPr>
          <w:p w14:paraId="6C4E9C1B" w14:textId="77777777" w:rsidR="003B69DA" w:rsidRPr="008B619A" w:rsidRDefault="003B69DA" w:rsidP="006400F0">
            <w:pPr>
              <w:pStyle w:val="Standard"/>
              <w:snapToGrid w:val="0"/>
              <w:jc w:val="center"/>
              <w:rPr>
                <w:rFonts w:ascii="Times New Roman" w:hAnsi="Times New Roman" w:cs="Times New Roman"/>
                <w:color w:val="000000" w:themeColor="text1"/>
              </w:rPr>
            </w:pPr>
            <w:r w:rsidRPr="008B619A">
              <w:rPr>
                <w:rFonts w:ascii="Times New Roman" w:hAnsi="Times New Roman" w:cs="Times New Roman"/>
                <w:color w:val="000000" w:themeColor="text1"/>
                <w:sz w:val="22"/>
                <w:szCs w:val="22"/>
              </w:rPr>
              <w:t>-8</w:t>
            </w:r>
          </w:p>
        </w:tc>
      </w:tr>
      <w:tr w:rsidR="008B619A" w:rsidRPr="008B619A" w14:paraId="5067812A" w14:textId="77777777" w:rsidTr="006B5530">
        <w:tc>
          <w:tcPr>
            <w:tcW w:w="284" w:type="dxa"/>
            <w:vMerge/>
            <w:tcBorders>
              <w:top w:val="single" w:sz="4" w:space="0" w:color="000000"/>
              <w:bottom w:val="single" w:sz="4" w:space="0" w:color="000000"/>
              <w:right w:val="single" w:sz="4" w:space="0" w:color="000000"/>
            </w:tcBorders>
            <w:tcMar>
              <w:top w:w="0" w:type="dxa"/>
              <w:left w:w="28" w:type="dxa"/>
              <w:bottom w:w="0" w:type="dxa"/>
              <w:right w:w="28" w:type="dxa"/>
            </w:tcMar>
            <w:vAlign w:val="center"/>
          </w:tcPr>
          <w:p w14:paraId="6CA676F5" w14:textId="77777777" w:rsidR="003B69DA" w:rsidRPr="008B619A" w:rsidRDefault="003B69DA" w:rsidP="006400F0">
            <w:pPr>
              <w:rPr>
                <w:rFonts w:ascii="Times New Roman"/>
                <w:color w:val="000000" w:themeColor="text1"/>
              </w:rPr>
            </w:pPr>
          </w:p>
        </w:tc>
        <w:tc>
          <w:tcPr>
            <w:tcW w:w="1576" w:type="dxa"/>
            <w:tcBorders>
              <w:left w:val="single" w:sz="4" w:space="0" w:color="000000"/>
              <w:right w:val="single" w:sz="4" w:space="0" w:color="000000"/>
            </w:tcBorders>
            <w:tcMar>
              <w:top w:w="0" w:type="dxa"/>
              <w:left w:w="28" w:type="dxa"/>
              <w:bottom w:w="0" w:type="dxa"/>
              <w:right w:w="28" w:type="dxa"/>
            </w:tcMar>
            <w:vAlign w:val="center"/>
          </w:tcPr>
          <w:p w14:paraId="492E9030" w14:textId="77777777" w:rsidR="003B69DA" w:rsidRPr="008B619A" w:rsidRDefault="003B69DA" w:rsidP="006400F0">
            <w:pPr>
              <w:pStyle w:val="Standard"/>
              <w:keepNext/>
              <w:snapToGrid w:val="0"/>
              <w:rPr>
                <w:rFonts w:ascii="Times New Roman" w:hAnsi="Times New Roman" w:cs="Times New Roman"/>
                <w:color w:val="000000" w:themeColor="text1"/>
              </w:rPr>
            </w:pPr>
            <w:r w:rsidRPr="008B619A">
              <w:rPr>
                <w:rFonts w:ascii="Times New Roman" w:eastAsia="標楷體" w:hAnsi="Times New Roman" w:cs="Times New Roman"/>
                <w:color w:val="000000" w:themeColor="text1"/>
                <w:sz w:val="22"/>
                <w:szCs w:val="22"/>
              </w:rPr>
              <w:t>12</w:t>
            </w:r>
            <w:r w:rsidRPr="008B619A">
              <w:rPr>
                <w:rFonts w:ascii="Times New Roman" w:eastAsia="標楷體" w:hAnsi="Times New Roman" w:cs="Times New Roman"/>
                <w:color w:val="000000" w:themeColor="text1"/>
                <w:sz w:val="22"/>
                <w:szCs w:val="22"/>
              </w:rPr>
              <w:t>歲（國中）</w:t>
            </w:r>
          </w:p>
        </w:tc>
        <w:tc>
          <w:tcPr>
            <w:tcW w:w="786" w:type="dxa"/>
            <w:vMerge/>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1A5E4C98" w14:textId="77777777" w:rsidR="003B69DA" w:rsidRPr="008B619A" w:rsidRDefault="003B69DA" w:rsidP="006400F0">
            <w:pPr>
              <w:rPr>
                <w:rFonts w:ascii="Times New Roman"/>
                <w:color w:val="000000" w:themeColor="text1"/>
              </w:rPr>
            </w:pPr>
          </w:p>
        </w:tc>
        <w:tc>
          <w:tcPr>
            <w:tcW w:w="787" w:type="dxa"/>
            <w:tcBorders>
              <w:left w:val="single" w:sz="4" w:space="0" w:color="000000"/>
            </w:tcBorders>
            <w:tcMar>
              <w:top w:w="0" w:type="dxa"/>
              <w:left w:w="28" w:type="dxa"/>
              <w:bottom w:w="0" w:type="dxa"/>
              <w:right w:w="28" w:type="dxa"/>
            </w:tcMar>
            <w:vAlign w:val="center"/>
          </w:tcPr>
          <w:p w14:paraId="2EAD1DD0" w14:textId="77777777" w:rsidR="003B69DA" w:rsidRPr="008B619A" w:rsidRDefault="003B69DA" w:rsidP="006400F0">
            <w:pPr>
              <w:pStyle w:val="Standard"/>
              <w:snapToGrid w:val="0"/>
              <w:jc w:val="center"/>
              <w:rPr>
                <w:rFonts w:ascii="Times New Roman" w:hAnsi="Times New Roman" w:cs="Times New Roman"/>
                <w:color w:val="000000" w:themeColor="text1"/>
              </w:rPr>
            </w:pPr>
            <w:r w:rsidRPr="008B619A">
              <w:rPr>
                <w:rFonts w:ascii="Times New Roman" w:hAnsi="Times New Roman" w:cs="Times New Roman"/>
                <w:color w:val="000000" w:themeColor="text1"/>
                <w:sz w:val="22"/>
                <w:szCs w:val="22"/>
              </w:rPr>
              <w:t>20</w:t>
            </w:r>
          </w:p>
        </w:tc>
        <w:tc>
          <w:tcPr>
            <w:tcW w:w="788" w:type="dxa"/>
            <w:tcMar>
              <w:top w:w="0" w:type="dxa"/>
              <w:left w:w="28" w:type="dxa"/>
              <w:bottom w:w="0" w:type="dxa"/>
              <w:right w:w="28" w:type="dxa"/>
            </w:tcMar>
            <w:vAlign w:val="center"/>
          </w:tcPr>
          <w:p w14:paraId="425D900D" w14:textId="77777777" w:rsidR="003B69DA" w:rsidRPr="008B619A" w:rsidRDefault="003B69DA" w:rsidP="006400F0">
            <w:pPr>
              <w:pStyle w:val="Standard"/>
              <w:snapToGrid w:val="0"/>
              <w:jc w:val="center"/>
              <w:rPr>
                <w:rFonts w:ascii="Times New Roman" w:hAnsi="Times New Roman" w:cs="Times New Roman"/>
                <w:color w:val="000000" w:themeColor="text1"/>
              </w:rPr>
            </w:pPr>
            <w:r w:rsidRPr="008B619A">
              <w:rPr>
                <w:rFonts w:ascii="Times New Roman" w:hAnsi="Times New Roman" w:cs="Times New Roman"/>
                <w:color w:val="000000" w:themeColor="text1"/>
                <w:sz w:val="22"/>
                <w:szCs w:val="22"/>
              </w:rPr>
              <w:t>17</w:t>
            </w:r>
          </w:p>
        </w:tc>
        <w:tc>
          <w:tcPr>
            <w:tcW w:w="788" w:type="dxa"/>
            <w:tcMar>
              <w:top w:w="0" w:type="dxa"/>
              <w:left w:w="28" w:type="dxa"/>
              <w:bottom w:w="0" w:type="dxa"/>
              <w:right w:w="28" w:type="dxa"/>
            </w:tcMar>
            <w:vAlign w:val="center"/>
          </w:tcPr>
          <w:p w14:paraId="1A6C143F" w14:textId="77777777" w:rsidR="003B69DA" w:rsidRPr="008B619A" w:rsidRDefault="003B69DA" w:rsidP="006400F0">
            <w:pPr>
              <w:pStyle w:val="Standard"/>
              <w:snapToGrid w:val="0"/>
              <w:jc w:val="center"/>
              <w:rPr>
                <w:rFonts w:ascii="Times New Roman" w:hAnsi="Times New Roman" w:cs="Times New Roman"/>
                <w:color w:val="000000" w:themeColor="text1"/>
              </w:rPr>
            </w:pPr>
            <w:r w:rsidRPr="008B619A">
              <w:rPr>
                <w:rFonts w:ascii="Times New Roman" w:hAnsi="Times New Roman" w:cs="Times New Roman"/>
                <w:color w:val="000000" w:themeColor="text1"/>
                <w:sz w:val="22"/>
                <w:szCs w:val="22"/>
              </w:rPr>
              <w:t>17</w:t>
            </w:r>
          </w:p>
        </w:tc>
        <w:tc>
          <w:tcPr>
            <w:tcW w:w="794" w:type="dxa"/>
            <w:tcBorders>
              <w:right w:val="single" w:sz="4" w:space="0" w:color="000000"/>
            </w:tcBorders>
            <w:tcMar>
              <w:top w:w="0" w:type="dxa"/>
              <w:left w:w="28" w:type="dxa"/>
              <w:bottom w:w="0" w:type="dxa"/>
              <w:right w:w="28" w:type="dxa"/>
            </w:tcMar>
            <w:vAlign w:val="center"/>
          </w:tcPr>
          <w:p w14:paraId="3F518057" w14:textId="77777777" w:rsidR="003B69DA" w:rsidRPr="008B619A" w:rsidRDefault="003B69DA" w:rsidP="006400F0">
            <w:pPr>
              <w:pStyle w:val="Standard"/>
              <w:snapToGrid w:val="0"/>
              <w:jc w:val="center"/>
              <w:rPr>
                <w:rFonts w:ascii="Times New Roman" w:hAnsi="Times New Roman" w:cs="Times New Roman"/>
                <w:color w:val="000000" w:themeColor="text1"/>
              </w:rPr>
            </w:pPr>
            <w:r w:rsidRPr="008B619A">
              <w:rPr>
                <w:rFonts w:ascii="Times New Roman" w:hAnsi="Times New Roman" w:cs="Times New Roman"/>
                <w:color w:val="000000" w:themeColor="text1"/>
                <w:sz w:val="22"/>
                <w:szCs w:val="22"/>
              </w:rPr>
              <w:t>15</w:t>
            </w:r>
          </w:p>
        </w:tc>
        <w:tc>
          <w:tcPr>
            <w:tcW w:w="785" w:type="dxa"/>
            <w:tcBorders>
              <w:left w:val="single" w:sz="4" w:space="0" w:color="000000"/>
            </w:tcBorders>
            <w:tcMar>
              <w:top w:w="0" w:type="dxa"/>
              <w:left w:w="28" w:type="dxa"/>
              <w:bottom w:w="0" w:type="dxa"/>
              <w:right w:w="28" w:type="dxa"/>
            </w:tcMar>
            <w:vAlign w:val="center"/>
          </w:tcPr>
          <w:p w14:paraId="34B56013" w14:textId="77777777" w:rsidR="003B69DA" w:rsidRPr="008B619A" w:rsidRDefault="003B69DA" w:rsidP="006400F0">
            <w:pPr>
              <w:pStyle w:val="Standard"/>
              <w:snapToGrid w:val="0"/>
              <w:jc w:val="center"/>
              <w:rPr>
                <w:rFonts w:ascii="Times New Roman" w:hAnsi="Times New Roman" w:cs="Times New Roman"/>
                <w:color w:val="000000" w:themeColor="text1"/>
              </w:rPr>
            </w:pPr>
            <w:r w:rsidRPr="008B619A">
              <w:rPr>
                <w:rFonts w:ascii="Times New Roman" w:hAnsi="Times New Roman" w:cs="Times New Roman"/>
                <w:color w:val="000000" w:themeColor="text1"/>
                <w:sz w:val="22"/>
                <w:szCs w:val="22"/>
              </w:rPr>
              <w:t>-6</w:t>
            </w:r>
          </w:p>
        </w:tc>
        <w:tc>
          <w:tcPr>
            <w:tcW w:w="788" w:type="dxa"/>
            <w:tcMar>
              <w:top w:w="0" w:type="dxa"/>
              <w:left w:w="28" w:type="dxa"/>
              <w:bottom w:w="0" w:type="dxa"/>
              <w:right w:w="28" w:type="dxa"/>
            </w:tcMar>
            <w:vAlign w:val="center"/>
          </w:tcPr>
          <w:p w14:paraId="2D3383E8" w14:textId="77777777" w:rsidR="003B69DA" w:rsidRPr="008B619A" w:rsidRDefault="003B69DA" w:rsidP="006400F0">
            <w:pPr>
              <w:pStyle w:val="Standard"/>
              <w:snapToGrid w:val="0"/>
              <w:jc w:val="center"/>
              <w:rPr>
                <w:rFonts w:ascii="Times New Roman" w:hAnsi="Times New Roman" w:cs="Times New Roman"/>
                <w:color w:val="000000" w:themeColor="text1"/>
              </w:rPr>
            </w:pPr>
            <w:r w:rsidRPr="008B619A">
              <w:rPr>
                <w:rFonts w:ascii="Times New Roman" w:hAnsi="Times New Roman" w:cs="Times New Roman"/>
                <w:color w:val="000000" w:themeColor="text1"/>
                <w:sz w:val="22"/>
                <w:szCs w:val="22"/>
              </w:rPr>
              <w:t>-9</w:t>
            </w:r>
          </w:p>
        </w:tc>
        <w:tc>
          <w:tcPr>
            <w:tcW w:w="788" w:type="dxa"/>
            <w:tcMar>
              <w:top w:w="0" w:type="dxa"/>
              <w:left w:w="28" w:type="dxa"/>
              <w:bottom w:w="0" w:type="dxa"/>
              <w:right w:w="28" w:type="dxa"/>
            </w:tcMar>
            <w:vAlign w:val="center"/>
          </w:tcPr>
          <w:p w14:paraId="2C582E4E" w14:textId="77777777" w:rsidR="003B69DA" w:rsidRPr="008B619A" w:rsidRDefault="003B69DA" w:rsidP="006400F0">
            <w:pPr>
              <w:pStyle w:val="Standard"/>
              <w:snapToGrid w:val="0"/>
              <w:jc w:val="center"/>
              <w:rPr>
                <w:rFonts w:ascii="Times New Roman" w:hAnsi="Times New Roman" w:cs="Times New Roman"/>
                <w:color w:val="000000" w:themeColor="text1"/>
              </w:rPr>
            </w:pPr>
            <w:r w:rsidRPr="008B619A">
              <w:rPr>
                <w:rFonts w:ascii="Times New Roman" w:hAnsi="Times New Roman" w:cs="Times New Roman"/>
                <w:color w:val="000000" w:themeColor="text1"/>
                <w:sz w:val="22"/>
                <w:szCs w:val="22"/>
              </w:rPr>
              <w:t>-9</w:t>
            </w:r>
          </w:p>
        </w:tc>
        <w:tc>
          <w:tcPr>
            <w:tcW w:w="794" w:type="dxa"/>
            <w:tcMar>
              <w:top w:w="0" w:type="dxa"/>
              <w:left w:w="28" w:type="dxa"/>
              <w:bottom w:w="0" w:type="dxa"/>
              <w:right w:w="28" w:type="dxa"/>
            </w:tcMar>
            <w:vAlign w:val="center"/>
          </w:tcPr>
          <w:p w14:paraId="4DF523B4" w14:textId="77777777" w:rsidR="003B69DA" w:rsidRPr="008B619A" w:rsidRDefault="003B69DA" w:rsidP="006400F0">
            <w:pPr>
              <w:pStyle w:val="Standard"/>
              <w:snapToGrid w:val="0"/>
              <w:jc w:val="center"/>
              <w:rPr>
                <w:rFonts w:ascii="Times New Roman" w:hAnsi="Times New Roman" w:cs="Times New Roman"/>
                <w:color w:val="000000" w:themeColor="text1"/>
              </w:rPr>
            </w:pPr>
            <w:r w:rsidRPr="008B619A">
              <w:rPr>
                <w:rFonts w:ascii="Times New Roman" w:hAnsi="Times New Roman" w:cs="Times New Roman"/>
                <w:color w:val="000000" w:themeColor="text1"/>
                <w:sz w:val="22"/>
                <w:szCs w:val="22"/>
              </w:rPr>
              <w:t>-11</w:t>
            </w:r>
          </w:p>
        </w:tc>
      </w:tr>
      <w:tr w:rsidR="008B619A" w:rsidRPr="008B619A" w14:paraId="0CB024B9" w14:textId="77777777" w:rsidTr="006B5530">
        <w:tc>
          <w:tcPr>
            <w:tcW w:w="284" w:type="dxa"/>
            <w:vMerge/>
            <w:tcBorders>
              <w:top w:val="single" w:sz="4" w:space="0" w:color="000000"/>
              <w:bottom w:val="single" w:sz="4" w:space="0" w:color="000000"/>
              <w:right w:val="single" w:sz="4" w:space="0" w:color="000000"/>
            </w:tcBorders>
            <w:tcMar>
              <w:top w:w="0" w:type="dxa"/>
              <w:left w:w="28" w:type="dxa"/>
              <w:bottom w:w="0" w:type="dxa"/>
              <w:right w:w="28" w:type="dxa"/>
            </w:tcMar>
            <w:vAlign w:val="center"/>
          </w:tcPr>
          <w:p w14:paraId="2DD2FAC1" w14:textId="77777777" w:rsidR="003B69DA" w:rsidRPr="008B619A" w:rsidRDefault="003B69DA" w:rsidP="006400F0">
            <w:pPr>
              <w:rPr>
                <w:rFonts w:ascii="Times New Roman"/>
                <w:color w:val="000000" w:themeColor="text1"/>
              </w:rPr>
            </w:pPr>
          </w:p>
        </w:tc>
        <w:tc>
          <w:tcPr>
            <w:tcW w:w="1576" w:type="dxa"/>
            <w:tcBorders>
              <w:left w:val="single" w:sz="4" w:space="0" w:color="000000"/>
              <w:right w:val="single" w:sz="4" w:space="0" w:color="000000"/>
            </w:tcBorders>
            <w:tcMar>
              <w:top w:w="0" w:type="dxa"/>
              <w:left w:w="28" w:type="dxa"/>
              <w:bottom w:w="0" w:type="dxa"/>
              <w:right w:w="28" w:type="dxa"/>
            </w:tcMar>
            <w:vAlign w:val="center"/>
          </w:tcPr>
          <w:p w14:paraId="11EA976E" w14:textId="77777777" w:rsidR="003B69DA" w:rsidRPr="008B619A" w:rsidRDefault="003B69DA" w:rsidP="006400F0">
            <w:pPr>
              <w:pStyle w:val="Standard"/>
              <w:keepNext/>
              <w:snapToGrid w:val="0"/>
              <w:rPr>
                <w:rFonts w:ascii="Times New Roman" w:hAnsi="Times New Roman" w:cs="Times New Roman"/>
                <w:color w:val="000000" w:themeColor="text1"/>
              </w:rPr>
            </w:pPr>
            <w:r w:rsidRPr="008B619A">
              <w:rPr>
                <w:rFonts w:ascii="Times New Roman" w:eastAsia="標楷體" w:hAnsi="Times New Roman" w:cs="Times New Roman"/>
                <w:color w:val="000000" w:themeColor="text1"/>
                <w:sz w:val="22"/>
                <w:szCs w:val="22"/>
              </w:rPr>
              <w:t>15</w:t>
            </w:r>
            <w:r w:rsidRPr="008B619A">
              <w:rPr>
                <w:rFonts w:ascii="Times New Roman" w:eastAsia="標楷體" w:hAnsi="Times New Roman" w:cs="Times New Roman"/>
                <w:color w:val="000000" w:themeColor="text1"/>
                <w:sz w:val="22"/>
                <w:szCs w:val="22"/>
              </w:rPr>
              <w:t>歲（</w:t>
            </w:r>
            <w:r w:rsidRPr="008B619A">
              <w:rPr>
                <w:rFonts w:ascii="Times New Roman" w:eastAsia="標楷體" w:hAnsi="Times New Roman" w:cs="Times New Roman"/>
                <w:color w:val="000000" w:themeColor="text1"/>
                <w:sz w:val="22"/>
                <w:szCs w:val="22"/>
                <w:lang w:eastAsia="zh-HK"/>
              </w:rPr>
              <w:t>高</w:t>
            </w:r>
            <w:r w:rsidRPr="008B619A">
              <w:rPr>
                <w:rFonts w:ascii="Times New Roman" w:eastAsia="標楷體" w:hAnsi="Times New Roman" w:cs="Times New Roman"/>
                <w:color w:val="000000" w:themeColor="text1"/>
                <w:sz w:val="22"/>
                <w:szCs w:val="22"/>
              </w:rPr>
              <w:t>中）</w:t>
            </w:r>
          </w:p>
        </w:tc>
        <w:tc>
          <w:tcPr>
            <w:tcW w:w="786" w:type="dxa"/>
            <w:vMerge/>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6FC01E37" w14:textId="77777777" w:rsidR="003B69DA" w:rsidRPr="008B619A" w:rsidRDefault="003B69DA" w:rsidP="006400F0">
            <w:pPr>
              <w:rPr>
                <w:rFonts w:ascii="Times New Roman"/>
                <w:color w:val="000000" w:themeColor="text1"/>
              </w:rPr>
            </w:pPr>
          </w:p>
        </w:tc>
        <w:tc>
          <w:tcPr>
            <w:tcW w:w="787" w:type="dxa"/>
            <w:tcBorders>
              <w:left w:val="single" w:sz="4" w:space="0" w:color="000000"/>
            </w:tcBorders>
            <w:tcMar>
              <w:top w:w="0" w:type="dxa"/>
              <w:left w:w="28" w:type="dxa"/>
              <w:bottom w:w="0" w:type="dxa"/>
              <w:right w:w="28" w:type="dxa"/>
            </w:tcMar>
            <w:vAlign w:val="center"/>
          </w:tcPr>
          <w:p w14:paraId="38541A38" w14:textId="77777777" w:rsidR="003B69DA" w:rsidRPr="008B619A" w:rsidRDefault="003B69DA" w:rsidP="006400F0">
            <w:pPr>
              <w:pStyle w:val="Standard"/>
              <w:snapToGrid w:val="0"/>
              <w:jc w:val="center"/>
              <w:rPr>
                <w:rFonts w:ascii="Times New Roman" w:hAnsi="Times New Roman" w:cs="Times New Roman"/>
                <w:color w:val="000000" w:themeColor="text1"/>
              </w:rPr>
            </w:pPr>
            <w:r w:rsidRPr="008B619A">
              <w:rPr>
                <w:rFonts w:ascii="Times New Roman" w:hAnsi="Times New Roman" w:cs="Times New Roman"/>
                <w:color w:val="000000" w:themeColor="text1"/>
                <w:sz w:val="22"/>
                <w:szCs w:val="22"/>
              </w:rPr>
              <w:t>20</w:t>
            </w:r>
          </w:p>
        </w:tc>
        <w:tc>
          <w:tcPr>
            <w:tcW w:w="788" w:type="dxa"/>
            <w:tcMar>
              <w:top w:w="0" w:type="dxa"/>
              <w:left w:w="28" w:type="dxa"/>
              <w:bottom w:w="0" w:type="dxa"/>
              <w:right w:w="28" w:type="dxa"/>
            </w:tcMar>
            <w:vAlign w:val="center"/>
          </w:tcPr>
          <w:p w14:paraId="0D7EA21A" w14:textId="77777777" w:rsidR="003B69DA" w:rsidRPr="008B619A" w:rsidRDefault="003B69DA" w:rsidP="006400F0">
            <w:pPr>
              <w:pStyle w:val="Standard"/>
              <w:snapToGrid w:val="0"/>
              <w:jc w:val="center"/>
              <w:rPr>
                <w:rFonts w:ascii="Times New Roman" w:hAnsi="Times New Roman" w:cs="Times New Roman"/>
                <w:color w:val="000000" w:themeColor="text1"/>
              </w:rPr>
            </w:pPr>
            <w:r w:rsidRPr="008B619A">
              <w:rPr>
                <w:rFonts w:ascii="Times New Roman" w:hAnsi="Times New Roman" w:cs="Times New Roman"/>
                <w:color w:val="000000" w:themeColor="text1"/>
                <w:sz w:val="22"/>
                <w:szCs w:val="22"/>
              </w:rPr>
              <w:t>17</w:t>
            </w:r>
          </w:p>
        </w:tc>
        <w:tc>
          <w:tcPr>
            <w:tcW w:w="788" w:type="dxa"/>
            <w:tcMar>
              <w:top w:w="0" w:type="dxa"/>
              <w:left w:w="28" w:type="dxa"/>
              <w:bottom w:w="0" w:type="dxa"/>
              <w:right w:w="28" w:type="dxa"/>
            </w:tcMar>
            <w:vAlign w:val="center"/>
          </w:tcPr>
          <w:p w14:paraId="4E1D650F" w14:textId="77777777" w:rsidR="003B69DA" w:rsidRPr="008B619A" w:rsidRDefault="003B69DA" w:rsidP="006400F0">
            <w:pPr>
              <w:pStyle w:val="Standard"/>
              <w:snapToGrid w:val="0"/>
              <w:jc w:val="center"/>
              <w:rPr>
                <w:rFonts w:ascii="Times New Roman" w:hAnsi="Times New Roman" w:cs="Times New Roman"/>
                <w:color w:val="000000" w:themeColor="text1"/>
              </w:rPr>
            </w:pPr>
            <w:r w:rsidRPr="008B619A">
              <w:rPr>
                <w:rFonts w:ascii="Times New Roman" w:hAnsi="Times New Roman" w:cs="Times New Roman"/>
                <w:color w:val="000000" w:themeColor="text1"/>
                <w:sz w:val="22"/>
                <w:szCs w:val="22"/>
              </w:rPr>
              <w:t>17</w:t>
            </w:r>
          </w:p>
        </w:tc>
        <w:tc>
          <w:tcPr>
            <w:tcW w:w="794" w:type="dxa"/>
            <w:tcBorders>
              <w:right w:val="single" w:sz="4" w:space="0" w:color="000000"/>
            </w:tcBorders>
            <w:tcMar>
              <w:top w:w="0" w:type="dxa"/>
              <w:left w:w="28" w:type="dxa"/>
              <w:bottom w:w="0" w:type="dxa"/>
              <w:right w:w="28" w:type="dxa"/>
            </w:tcMar>
            <w:vAlign w:val="center"/>
          </w:tcPr>
          <w:p w14:paraId="58BAD155" w14:textId="77777777" w:rsidR="003B69DA" w:rsidRPr="008B619A" w:rsidRDefault="003B69DA" w:rsidP="006400F0">
            <w:pPr>
              <w:pStyle w:val="Standard"/>
              <w:snapToGrid w:val="0"/>
              <w:jc w:val="center"/>
              <w:rPr>
                <w:rFonts w:ascii="Times New Roman" w:hAnsi="Times New Roman" w:cs="Times New Roman"/>
                <w:color w:val="000000" w:themeColor="text1"/>
              </w:rPr>
            </w:pPr>
            <w:r w:rsidRPr="008B619A">
              <w:rPr>
                <w:rFonts w:ascii="Times New Roman" w:hAnsi="Times New Roman" w:cs="Times New Roman"/>
                <w:color w:val="000000" w:themeColor="text1"/>
                <w:sz w:val="22"/>
                <w:szCs w:val="22"/>
              </w:rPr>
              <w:t>15</w:t>
            </w:r>
          </w:p>
        </w:tc>
        <w:tc>
          <w:tcPr>
            <w:tcW w:w="785" w:type="dxa"/>
            <w:tcBorders>
              <w:left w:val="single" w:sz="4" w:space="0" w:color="000000"/>
            </w:tcBorders>
            <w:tcMar>
              <w:top w:w="0" w:type="dxa"/>
              <w:left w:w="28" w:type="dxa"/>
              <w:bottom w:w="0" w:type="dxa"/>
              <w:right w:w="28" w:type="dxa"/>
            </w:tcMar>
            <w:vAlign w:val="center"/>
          </w:tcPr>
          <w:p w14:paraId="11FD7E67" w14:textId="77777777" w:rsidR="003B69DA" w:rsidRPr="008B619A" w:rsidRDefault="003B69DA" w:rsidP="006400F0">
            <w:pPr>
              <w:pStyle w:val="Standard"/>
              <w:snapToGrid w:val="0"/>
              <w:jc w:val="center"/>
              <w:rPr>
                <w:rFonts w:ascii="Times New Roman" w:hAnsi="Times New Roman" w:cs="Times New Roman"/>
                <w:color w:val="000000" w:themeColor="text1"/>
              </w:rPr>
            </w:pPr>
            <w:r w:rsidRPr="008B619A">
              <w:rPr>
                <w:rFonts w:ascii="Times New Roman" w:hAnsi="Times New Roman" w:cs="Times New Roman"/>
                <w:color w:val="000000" w:themeColor="text1"/>
                <w:sz w:val="22"/>
                <w:szCs w:val="22"/>
              </w:rPr>
              <w:t>-8</w:t>
            </w:r>
          </w:p>
        </w:tc>
        <w:tc>
          <w:tcPr>
            <w:tcW w:w="788" w:type="dxa"/>
            <w:tcMar>
              <w:top w:w="0" w:type="dxa"/>
              <w:left w:w="28" w:type="dxa"/>
              <w:bottom w:w="0" w:type="dxa"/>
              <w:right w:w="28" w:type="dxa"/>
            </w:tcMar>
            <w:vAlign w:val="center"/>
          </w:tcPr>
          <w:p w14:paraId="44E6E4B3" w14:textId="77777777" w:rsidR="003B69DA" w:rsidRPr="008B619A" w:rsidRDefault="003B69DA" w:rsidP="006400F0">
            <w:pPr>
              <w:pStyle w:val="Standard"/>
              <w:snapToGrid w:val="0"/>
              <w:jc w:val="center"/>
              <w:rPr>
                <w:rFonts w:ascii="Times New Roman" w:hAnsi="Times New Roman" w:cs="Times New Roman"/>
                <w:color w:val="000000" w:themeColor="text1"/>
              </w:rPr>
            </w:pPr>
            <w:r w:rsidRPr="008B619A">
              <w:rPr>
                <w:rFonts w:ascii="Times New Roman" w:hAnsi="Times New Roman" w:cs="Times New Roman"/>
                <w:color w:val="000000" w:themeColor="text1"/>
                <w:sz w:val="22"/>
                <w:szCs w:val="22"/>
              </w:rPr>
              <w:t>-11</w:t>
            </w:r>
          </w:p>
        </w:tc>
        <w:tc>
          <w:tcPr>
            <w:tcW w:w="788" w:type="dxa"/>
            <w:tcMar>
              <w:top w:w="0" w:type="dxa"/>
              <w:left w:w="28" w:type="dxa"/>
              <w:bottom w:w="0" w:type="dxa"/>
              <w:right w:w="28" w:type="dxa"/>
            </w:tcMar>
            <w:vAlign w:val="center"/>
          </w:tcPr>
          <w:p w14:paraId="68E0721A" w14:textId="77777777" w:rsidR="003B69DA" w:rsidRPr="008B619A" w:rsidRDefault="003B69DA" w:rsidP="006400F0">
            <w:pPr>
              <w:pStyle w:val="Standard"/>
              <w:snapToGrid w:val="0"/>
              <w:jc w:val="center"/>
              <w:rPr>
                <w:rFonts w:ascii="Times New Roman" w:hAnsi="Times New Roman" w:cs="Times New Roman"/>
                <w:color w:val="000000" w:themeColor="text1"/>
              </w:rPr>
            </w:pPr>
            <w:r w:rsidRPr="008B619A">
              <w:rPr>
                <w:rFonts w:ascii="Times New Roman" w:hAnsi="Times New Roman" w:cs="Times New Roman"/>
                <w:color w:val="000000" w:themeColor="text1"/>
                <w:sz w:val="22"/>
                <w:szCs w:val="22"/>
              </w:rPr>
              <w:t>-12</w:t>
            </w:r>
          </w:p>
        </w:tc>
        <w:tc>
          <w:tcPr>
            <w:tcW w:w="794" w:type="dxa"/>
            <w:tcMar>
              <w:top w:w="0" w:type="dxa"/>
              <w:left w:w="28" w:type="dxa"/>
              <w:bottom w:w="0" w:type="dxa"/>
              <w:right w:w="28" w:type="dxa"/>
            </w:tcMar>
            <w:vAlign w:val="center"/>
          </w:tcPr>
          <w:p w14:paraId="05864FCD" w14:textId="77777777" w:rsidR="003B69DA" w:rsidRPr="008B619A" w:rsidRDefault="003B69DA" w:rsidP="006400F0">
            <w:pPr>
              <w:pStyle w:val="Standard"/>
              <w:snapToGrid w:val="0"/>
              <w:jc w:val="center"/>
              <w:rPr>
                <w:rFonts w:ascii="Times New Roman" w:hAnsi="Times New Roman" w:cs="Times New Roman"/>
                <w:color w:val="000000" w:themeColor="text1"/>
              </w:rPr>
            </w:pPr>
            <w:r w:rsidRPr="008B619A">
              <w:rPr>
                <w:rFonts w:ascii="Times New Roman" w:hAnsi="Times New Roman" w:cs="Times New Roman"/>
                <w:color w:val="000000" w:themeColor="text1"/>
                <w:sz w:val="22"/>
                <w:szCs w:val="22"/>
              </w:rPr>
              <w:t>-14</w:t>
            </w:r>
          </w:p>
        </w:tc>
      </w:tr>
      <w:tr w:rsidR="008B619A" w:rsidRPr="008B619A" w14:paraId="272A0DCB" w14:textId="77777777" w:rsidTr="007E23D6">
        <w:tc>
          <w:tcPr>
            <w:tcW w:w="284" w:type="dxa"/>
            <w:vMerge/>
            <w:tcBorders>
              <w:top w:val="single" w:sz="4" w:space="0" w:color="000000"/>
              <w:bottom w:val="single" w:sz="4" w:space="0" w:color="000000"/>
              <w:right w:val="single" w:sz="4" w:space="0" w:color="000000"/>
            </w:tcBorders>
            <w:tcMar>
              <w:top w:w="0" w:type="dxa"/>
              <w:left w:w="28" w:type="dxa"/>
              <w:bottom w:w="0" w:type="dxa"/>
              <w:right w:w="28" w:type="dxa"/>
            </w:tcMar>
            <w:vAlign w:val="center"/>
          </w:tcPr>
          <w:p w14:paraId="5C7D77FD" w14:textId="77777777" w:rsidR="003B69DA" w:rsidRPr="008B619A" w:rsidRDefault="003B69DA" w:rsidP="006400F0">
            <w:pPr>
              <w:rPr>
                <w:rFonts w:ascii="Times New Roman"/>
                <w:color w:val="000000" w:themeColor="text1"/>
              </w:rPr>
            </w:pPr>
          </w:p>
        </w:tc>
        <w:tc>
          <w:tcPr>
            <w:tcW w:w="1576" w:type="dxa"/>
            <w:tcBorders>
              <w:left w:val="single" w:sz="4" w:space="0" w:color="000000"/>
              <w:bottom w:val="single" w:sz="4" w:space="0" w:color="000000"/>
              <w:right w:val="single" w:sz="4" w:space="0" w:color="000000"/>
            </w:tcBorders>
            <w:shd w:val="clear" w:color="auto" w:fill="92D050"/>
            <w:tcMar>
              <w:top w:w="0" w:type="dxa"/>
              <w:left w:w="28" w:type="dxa"/>
              <w:bottom w:w="0" w:type="dxa"/>
              <w:right w:w="28" w:type="dxa"/>
            </w:tcMar>
            <w:vAlign w:val="center"/>
          </w:tcPr>
          <w:p w14:paraId="54711A3F" w14:textId="77777777" w:rsidR="003B69DA" w:rsidRPr="008B619A" w:rsidRDefault="003B69DA" w:rsidP="006400F0">
            <w:pPr>
              <w:pStyle w:val="Standard"/>
              <w:keepNext/>
              <w:snapToGrid w:val="0"/>
              <w:rPr>
                <w:rFonts w:ascii="Times New Roman" w:hAnsi="Times New Roman" w:cs="Times New Roman"/>
                <w:color w:val="000000" w:themeColor="text1"/>
              </w:rPr>
            </w:pPr>
            <w:r w:rsidRPr="008B619A">
              <w:rPr>
                <w:rFonts w:ascii="Times New Roman" w:eastAsia="標楷體" w:hAnsi="Times New Roman" w:cs="Times New Roman"/>
                <w:color w:val="000000" w:themeColor="text1"/>
                <w:sz w:val="22"/>
                <w:szCs w:val="22"/>
              </w:rPr>
              <w:t>18</w:t>
            </w:r>
            <w:r w:rsidRPr="008B619A">
              <w:rPr>
                <w:rFonts w:ascii="Times New Roman" w:eastAsia="標楷體" w:hAnsi="Times New Roman" w:cs="Times New Roman"/>
                <w:color w:val="000000" w:themeColor="text1"/>
                <w:sz w:val="22"/>
                <w:szCs w:val="22"/>
              </w:rPr>
              <w:t>歲（大學）</w:t>
            </w:r>
          </w:p>
        </w:tc>
        <w:tc>
          <w:tcPr>
            <w:tcW w:w="786" w:type="dxa"/>
            <w:vMerge/>
            <w:tcBorders>
              <w:left w:val="single" w:sz="4" w:space="0" w:color="000000"/>
              <w:bottom w:val="single" w:sz="4" w:space="0" w:color="000000"/>
              <w:right w:val="single" w:sz="4" w:space="0" w:color="000000"/>
            </w:tcBorders>
            <w:shd w:val="clear" w:color="auto" w:fill="92D050"/>
            <w:tcMar>
              <w:top w:w="0" w:type="dxa"/>
              <w:left w:w="28" w:type="dxa"/>
              <w:bottom w:w="0" w:type="dxa"/>
              <w:right w:w="28" w:type="dxa"/>
            </w:tcMar>
            <w:vAlign w:val="center"/>
          </w:tcPr>
          <w:p w14:paraId="1208CDF6" w14:textId="77777777" w:rsidR="003B69DA" w:rsidRPr="008B619A" w:rsidRDefault="003B69DA" w:rsidP="006400F0">
            <w:pPr>
              <w:rPr>
                <w:rFonts w:ascii="Times New Roman"/>
                <w:color w:val="000000" w:themeColor="text1"/>
              </w:rPr>
            </w:pPr>
          </w:p>
        </w:tc>
        <w:tc>
          <w:tcPr>
            <w:tcW w:w="787" w:type="dxa"/>
            <w:tcBorders>
              <w:left w:val="single" w:sz="4" w:space="0" w:color="000000"/>
              <w:bottom w:val="single" w:sz="4" w:space="0" w:color="000000"/>
            </w:tcBorders>
            <w:shd w:val="clear" w:color="auto" w:fill="92D050"/>
            <w:tcMar>
              <w:top w:w="0" w:type="dxa"/>
              <w:left w:w="28" w:type="dxa"/>
              <w:bottom w:w="0" w:type="dxa"/>
              <w:right w:w="28" w:type="dxa"/>
            </w:tcMar>
            <w:vAlign w:val="center"/>
          </w:tcPr>
          <w:p w14:paraId="76D21F7F" w14:textId="77777777" w:rsidR="003B69DA" w:rsidRPr="008B619A" w:rsidRDefault="003B69DA" w:rsidP="006400F0">
            <w:pPr>
              <w:pStyle w:val="Standard"/>
              <w:snapToGrid w:val="0"/>
              <w:jc w:val="center"/>
              <w:rPr>
                <w:rFonts w:ascii="Times New Roman" w:hAnsi="Times New Roman" w:cs="Times New Roman"/>
                <w:color w:val="000000" w:themeColor="text1"/>
              </w:rPr>
            </w:pPr>
            <w:r w:rsidRPr="008B619A">
              <w:rPr>
                <w:rFonts w:ascii="Times New Roman" w:hAnsi="Times New Roman" w:cs="Times New Roman"/>
                <w:color w:val="000000" w:themeColor="text1"/>
                <w:sz w:val="22"/>
                <w:szCs w:val="22"/>
              </w:rPr>
              <w:t>21</w:t>
            </w:r>
          </w:p>
        </w:tc>
        <w:tc>
          <w:tcPr>
            <w:tcW w:w="788" w:type="dxa"/>
            <w:tcBorders>
              <w:bottom w:val="single" w:sz="4" w:space="0" w:color="000000"/>
            </w:tcBorders>
            <w:shd w:val="clear" w:color="auto" w:fill="92D050"/>
            <w:tcMar>
              <w:top w:w="0" w:type="dxa"/>
              <w:left w:w="28" w:type="dxa"/>
              <w:bottom w:w="0" w:type="dxa"/>
              <w:right w:w="28" w:type="dxa"/>
            </w:tcMar>
            <w:vAlign w:val="center"/>
          </w:tcPr>
          <w:p w14:paraId="760F2FC3" w14:textId="77777777" w:rsidR="003B69DA" w:rsidRPr="008B619A" w:rsidRDefault="003B69DA" w:rsidP="006400F0">
            <w:pPr>
              <w:pStyle w:val="Standard"/>
              <w:snapToGrid w:val="0"/>
              <w:jc w:val="center"/>
              <w:rPr>
                <w:rFonts w:ascii="Times New Roman" w:hAnsi="Times New Roman" w:cs="Times New Roman"/>
                <w:color w:val="000000" w:themeColor="text1"/>
              </w:rPr>
            </w:pPr>
            <w:r w:rsidRPr="008B619A">
              <w:rPr>
                <w:rFonts w:ascii="Times New Roman" w:hAnsi="Times New Roman" w:cs="Times New Roman"/>
                <w:color w:val="000000" w:themeColor="text1"/>
                <w:sz w:val="22"/>
                <w:szCs w:val="22"/>
              </w:rPr>
              <w:t>18</w:t>
            </w:r>
          </w:p>
        </w:tc>
        <w:tc>
          <w:tcPr>
            <w:tcW w:w="788" w:type="dxa"/>
            <w:tcBorders>
              <w:bottom w:val="single" w:sz="4" w:space="0" w:color="000000"/>
            </w:tcBorders>
            <w:shd w:val="clear" w:color="auto" w:fill="92D050"/>
            <w:tcMar>
              <w:top w:w="0" w:type="dxa"/>
              <w:left w:w="28" w:type="dxa"/>
              <w:bottom w:w="0" w:type="dxa"/>
              <w:right w:w="28" w:type="dxa"/>
            </w:tcMar>
            <w:vAlign w:val="center"/>
          </w:tcPr>
          <w:p w14:paraId="3FA849F2" w14:textId="77777777" w:rsidR="003B69DA" w:rsidRPr="008B619A" w:rsidRDefault="003B69DA" w:rsidP="006400F0">
            <w:pPr>
              <w:pStyle w:val="Standard"/>
              <w:snapToGrid w:val="0"/>
              <w:jc w:val="center"/>
              <w:rPr>
                <w:rFonts w:ascii="Times New Roman" w:hAnsi="Times New Roman" w:cs="Times New Roman"/>
                <w:color w:val="000000" w:themeColor="text1"/>
              </w:rPr>
            </w:pPr>
            <w:r w:rsidRPr="008B619A">
              <w:rPr>
                <w:rFonts w:ascii="Times New Roman" w:hAnsi="Times New Roman" w:cs="Times New Roman"/>
                <w:color w:val="000000" w:themeColor="text1"/>
                <w:sz w:val="22"/>
                <w:szCs w:val="22"/>
              </w:rPr>
              <w:t>17</w:t>
            </w:r>
          </w:p>
        </w:tc>
        <w:tc>
          <w:tcPr>
            <w:tcW w:w="794" w:type="dxa"/>
            <w:tcBorders>
              <w:bottom w:val="single" w:sz="4" w:space="0" w:color="000000"/>
              <w:right w:val="single" w:sz="4" w:space="0" w:color="000000"/>
            </w:tcBorders>
            <w:shd w:val="clear" w:color="auto" w:fill="92D050"/>
            <w:tcMar>
              <w:top w:w="0" w:type="dxa"/>
              <w:left w:w="28" w:type="dxa"/>
              <w:bottom w:w="0" w:type="dxa"/>
              <w:right w:w="28" w:type="dxa"/>
            </w:tcMar>
            <w:vAlign w:val="center"/>
          </w:tcPr>
          <w:p w14:paraId="3629975D" w14:textId="77777777" w:rsidR="003B69DA" w:rsidRPr="008B619A" w:rsidRDefault="003B69DA" w:rsidP="006400F0">
            <w:pPr>
              <w:pStyle w:val="Standard"/>
              <w:snapToGrid w:val="0"/>
              <w:jc w:val="center"/>
              <w:rPr>
                <w:rFonts w:ascii="Times New Roman" w:hAnsi="Times New Roman" w:cs="Times New Roman"/>
                <w:color w:val="000000" w:themeColor="text1"/>
              </w:rPr>
            </w:pPr>
            <w:r w:rsidRPr="008B619A">
              <w:rPr>
                <w:rFonts w:ascii="Times New Roman" w:hAnsi="Times New Roman" w:cs="Times New Roman"/>
                <w:color w:val="000000" w:themeColor="text1"/>
                <w:sz w:val="22"/>
                <w:szCs w:val="22"/>
              </w:rPr>
              <w:t>16</w:t>
            </w:r>
          </w:p>
        </w:tc>
        <w:tc>
          <w:tcPr>
            <w:tcW w:w="785" w:type="dxa"/>
            <w:tcBorders>
              <w:left w:val="single" w:sz="4" w:space="0" w:color="000000"/>
              <w:bottom w:val="single" w:sz="4" w:space="0" w:color="000000"/>
            </w:tcBorders>
            <w:shd w:val="clear" w:color="auto" w:fill="92D050"/>
            <w:tcMar>
              <w:top w:w="0" w:type="dxa"/>
              <w:left w:w="28" w:type="dxa"/>
              <w:bottom w:w="0" w:type="dxa"/>
              <w:right w:w="28" w:type="dxa"/>
            </w:tcMar>
            <w:vAlign w:val="center"/>
          </w:tcPr>
          <w:p w14:paraId="74A0AB71" w14:textId="77777777" w:rsidR="003B69DA" w:rsidRPr="008B619A" w:rsidRDefault="003B69DA" w:rsidP="006400F0">
            <w:pPr>
              <w:pStyle w:val="Standard"/>
              <w:snapToGrid w:val="0"/>
              <w:jc w:val="center"/>
              <w:rPr>
                <w:rFonts w:ascii="Times New Roman" w:hAnsi="Times New Roman" w:cs="Times New Roman"/>
                <w:color w:val="000000" w:themeColor="text1"/>
              </w:rPr>
            </w:pPr>
            <w:r w:rsidRPr="008B619A">
              <w:rPr>
                <w:rFonts w:ascii="Times New Roman" w:hAnsi="Times New Roman" w:cs="Times New Roman"/>
                <w:color w:val="000000" w:themeColor="text1"/>
                <w:sz w:val="22"/>
                <w:szCs w:val="22"/>
              </w:rPr>
              <w:t>-10</w:t>
            </w:r>
          </w:p>
        </w:tc>
        <w:tc>
          <w:tcPr>
            <w:tcW w:w="788" w:type="dxa"/>
            <w:tcBorders>
              <w:bottom w:val="single" w:sz="4" w:space="0" w:color="000000"/>
            </w:tcBorders>
            <w:shd w:val="clear" w:color="auto" w:fill="92D050"/>
            <w:tcMar>
              <w:top w:w="0" w:type="dxa"/>
              <w:left w:w="28" w:type="dxa"/>
              <w:bottom w:w="0" w:type="dxa"/>
              <w:right w:w="28" w:type="dxa"/>
            </w:tcMar>
            <w:vAlign w:val="center"/>
          </w:tcPr>
          <w:p w14:paraId="52DDF407" w14:textId="77777777" w:rsidR="003B69DA" w:rsidRPr="008B619A" w:rsidRDefault="003B69DA" w:rsidP="006400F0">
            <w:pPr>
              <w:pStyle w:val="Standard"/>
              <w:snapToGrid w:val="0"/>
              <w:jc w:val="center"/>
              <w:rPr>
                <w:rFonts w:ascii="Times New Roman" w:hAnsi="Times New Roman" w:cs="Times New Roman"/>
                <w:color w:val="000000" w:themeColor="text1"/>
              </w:rPr>
            </w:pPr>
            <w:r w:rsidRPr="008B619A">
              <w:rPr>
                <w:rFonts w:ascii="Times New Roman" w:hAnsi="Times New Roman" w:cs="Times New Roman"/>
                <w:color w:val="000000" w:themeColor="text1"/>
                <w:sz w:val="22"/>
                <w:szCs w:val="22"/>
              </w:rPr>
              <w:t>-13</w:t>
            </w:r>
          </w:p>
        </w:tc>
        <w:tc>
          <w:tcPr>
            <w:tcW w:w="788" w:type="dxa"/>
            <w:tcBorders>
              <w:bottom w:val="single" w:sz="4" w:space="0" w:color="000000"/>
            </w:tcBorders>
            <w:shd w:val="clear" w:color="auto" w:fill="92D050"/>
            <w:tcMar>
              <w:top w:w="0" w:type="dxa"/>
              <w:left w:w="28" w:type="dxa"/>
              <w:bottom w:w="0" w:type="dxa"/>
              <w:right w:w="28" w:type="dxa"/>
            </w:tcMar>
            <w:vAlign w:val="center"/>
          </w:tcPr>
          <w:p w14:paraId="27E792A0" w14:textId="77777777" w:rsidR="003B69DA" w:rsidRPr="008B619A" w:rsidRDefault="003B69DA" w:rsidP="006400F0">
            <w:pPr>
              <w:pStyle w:val="Standard"/>
              <w:snapToGrid w:val="0"/>
              <w:jc w:val="center"/>
              <w:rPr>
                <w:rFonts w:ascii="Times New Roman" w:hAnsi="Times New Roman" w:cs="Times New Roman"/>
                <w:color w:val="000000" w:themeColor="text1"/>
              </w:rPr>
            </w:pPr>
            <w:r w:rsidRPr="008B619A">
              <w:rPr>
                <w:rFonts w:ascii="Times New Roman" w:hAnsi="Times New Roman" w:cs="Times New Roman"/>
                <w:color w:val="000000" w:themeColor="text1"/>
                <w:sz w:val="22"/>
                <w:szCs w:val="22"/>
              </w:rPr>
              <w:t>-14</w:t>
            </w:r>
          </w:p>
        </w:tc>
        <w:tc>
          <w:tcPr>
            <w:tcW w:w="794" w:type="dxa"/>
            <w:tcBorders>
              <w:bottom w:val="single" w:sz="4" w:space="0" w:color="000000"/>
            </w:tcBorders>
            <w:shd w:val="clear" w:color="auto" w:fill="92D050"/>
            <w:tcMar>
              <w:top w:w="0" w:type="dxa"/>
              <w:left w:w="28" w:type="dxa"/>
              <w:bottom w:w="0" w:type="dxa"/>
              <w:right w:w="28" w:type="dxa"/>
            </w:tcMar>
            <w:vAlign w:val="center"/>
          </w:tcPr>
          <w:p w14:paraId="79F0D50B" w14:textId="77777777" w:rsidR="003B69DA" w:rsidRPr="008B619A" w:rsidRDefault="003B69DA" w:rsidP="006400F0">
            <w:pPr>
              <w:pStyle w:val="Standard"/>
              <w:snapToGrid w:val="0"/>
              <w:jc w:val="center"/>
              <w:rPr>
                <w:rFonts w:ascii="Times New Roman" w:hAnsi="Times New Roman" w:cs="Times New Roman"/>
                <w:color w:val="000000" w:themeColor="text1"/>
              </w:rPr>
            </w:pPr>
            <w:r w:rsidRPr="008B619A">
              <w:rPr>
                <w:rFonts w:ascii="Times New Roman" w:hAnsi="Times New Roman" w:cs="Times New Roman"/>
                <w:color w:val="000000" w:themeColor="text1"/>
                <w:sz w:val="22"/>
                <w:szCs w:val="22"/>
              </w:rPr>
              <w:t>-15</w:t>
            </w:r>
          </w:p>
        </w:tc>
      </w:tr>
      <w:tr w:rsidR="008B619A" w:rsidRPr="008B619A" w14:paraId="203C883B" w14:textId="77777777" w:rsidTr="006B5530">
        <w:tc>
          <w:tcPr>
            <w:tcW w:w="284" w:type="dxa"/>
            <w:vMerge w:val="restart"/>
            <w:tcBorders>
              <w:top w:val="single" w:sz="4" w:space="0" w:color="000000"/>
              <w:bottom w:val="single" w:sz="4" w:space="0" w:color="000000"/>
              <w:right w:val="single" w:sz="4" w:space="0" w:color="000000"/>
            </w:tcBorders>
            <w:tcMar>
              <w:top w:w="0" w:type="dxa"/>
              <w:left w:w="28" w:type="dxa"/>
              <w:bottom w:w="0" w:type="dxa"/>
              <w:right w:w="28" w:type="dxa"/>
            </w:tcMar>
            <w:vAlign w:val="center"/>
          </w:tcPr>
          <w:p w14:paraId="135FF5E6" w14:textId="77777777" w:rsidR="003B69DA" w:rsidRPr="008B619A" w:rsidRDefault="003B69DA" w:rsidP="006400F0">
            <w:pPr>
              <w:pStyle w:val="Standard"/>
              <w:keepNext/>
              <w:snapToGrid w:val="0"/>
              <w:jc w:val="center"/>
              <w:rPr>
                <w:rFonts w:ascii="Times New Roman" w:hAnsi="Times New Roman" w:cs="Times New Roman"/>
                <w:color w:val="000000" w:themeColor="text1"/>
              </w:rPr>
            </w:pPr>
            <w:r w:rsidRPr="008B619A">
              <w:rPr>
                <w:rFonts w:ascii="Times New Roman" w:eastAsia="標楷體" w:hAnsi="Times New Roman" w:cs="Times New Roman"/>
                <w:color w:val="000000" w:themeColor="text1"/>
                <w:sz w:val="22"/>
                <w:szCs w:val="22"/>
              </w:rPr>
              <w:t>中推估</w:t>
            </w:r>
          </w:p>
        </w:tc>
        <w:tc>
          <w:tcPr>
            <w:tcW w:w="1576" w:type="dxa"/>
            <w:tcBorders>
              <w:top w:val="single" w:sz="4" w:space="0" w:color="000000"/>
              <w:left w:val="single" w:sz="4" w:space="0" w:color="000000"/>
              <w:right w:val="single" w:sz="4" w:space="0" w:color="000000"/>
            </w:tcBorders>
            <w:tcMar>
              <w:top w:w="0" w:type="dxa"/>
              <w:left w:w="28" w:type="dxa"/>
              <w:bottom w:w="0" w:type="dxa"/>
              <w:right w:w="28" w:type="dxa"/>
            </w:tcMar>
            <w:vAlign w:val="center"/>
          </w:tcPr>
          <w:p w14:paraId="6369212A" w14:textId="77777777" w:rsidR="003B69DA" w:rsidRPr="008B619A" w:rsidRDefault="003B69DA" w:rsidP="006400F0">
            <w:pPr>
              <w:pStyle w:val="Standard"/>
              <w:keepNext/>
              <w:snapToGrid w:val="0"/>
              <w:rPr>
                <w:rFonts w:ascii="Times New Roman" w:hAnsi="Times New Roman" w:cs="Times New Roman"/>
                <w:color w:val="000000" w:themeColor="text1"/>
              </w:rPr>
            </w:pPr>
            <w:r w:rsidRPr="008B619A">
              <w:rPr>
                <w:rFonts w:ascii="Times New Roman" w:eastAsia="標楷體" w:hAnsi="Times New Roman" w:cs="Times New Roman"/>
                <w:color w:val="000000" w:themeColor="text1"/>
                <w:sz w:val="22"/>
                <w:szCs w:val="22"/>
              </w:rPr>
              <w:t xml:space="preserve"> 6</w:t>
            </w:r>
            <w:r w:rsidRPr="008B619A">
              <w:rPr>
                <w:rFonts w:ascii="Times New Roman" w:eastAsia="標楷體" w:hAnsi="Times New Roman" w:cs="Times New Roman"/>
                <w:color w:val="000000" w:themeColor="text1"/>
                <w:sz w:val="22"/>
                <w:szCs w:val="22"/>
              </w:rPr>
              <w:t>歲（國小）</w:t>
            </w:r>
          </w:p>
        </w:tc>
        <w:tc>
          <w:tcPr>
            <w:tcW w:w="786" w:type="dxa"/>
            <w:tcBorders>
              <w:top w:val="single" w:sz="4" w:space="0" w:color="000000"/>
              <w:left w:val="single" w:sz="4" w:space="0" w:color="000000"/>
              <w:right w:val="single" w:sz="4" w:space="0" w:color="000000"/>
            </w:tcBorders>
            <w:tcMar>
              <w:top w:w="0" w:type="dxa"/>
              <w:left w:w="28" w:type="dxa"/>
              <w:bottom w:w="0" w:type="dxa"/>
              <w:right w:w="28" w:type="dxa"/>
            </w:tcMar>
            <w:vAlign w:val="center"/>
          </w:tcPr>
          <w:p w14:paraId="532A3354" w14:textId="77777777" w:rsidR="003B69DA" w:rsidRPr="008B619A" w:rsidRDefault="003B69DA" w:rsidP="006400F0">
            <w:pPr>
              <w:pStyle w:val="Standard"/>
              <w:snapToGrid w:val="0"/>
              <w:jc w:val="center"/>
              <w:rPr>
                <w:rFonts w:ascii="Times New Roman" w:hAnsi="Times New Roman" w:cs="Times New Roman"/>
                <w:color w:val="000000" w:themeColor="text1"/>
              </w:rPr>
            </w:pPr>
            <w:r w:rsidRPr="008B619A">
              <w:rPr>
                <w:rFonts w:ascii="Times New Roman" w:hAnsi="Times New Roman" w:cs="Times New Roman"/>
                <w:b/>
                <w:color w:val="000000" w:themeColor="text1"/>
                <w:sz w:val="22"/>
                <w:szCs w:val="22"/>
              </w:rPr>
              <w:t>21</w:t>
            </w:r>
          </w:p>
        </w:tc>
        <w:tc>
          <w:tcPr>
            <w:tcW w:w="787" w:type="dxa"/>
            <w:tcBorders>
              <w:top w:val="single" w:sz="4" w:space="0" w:color="000000"/>
              <w:left w:val="single" w:sz="4" w:space="0" w:color="000000"/>
            </w:tcBorders>
            <w:tcMar>
              <w:top w:w="0" w:type="dxa"/>
              <w:left w:w="28" w:type="dxa"/>
              <w:bottom w:w="0" w:type="dxa"/>
              <w:right w:w="28" w:type="dxa"/>
            </w:tcMar>
            <w:vAlign w:val="center"/>
          </w:tcPr>
          <w:p w14:paraId="15000D03" w14:textId="77777777" w:rsidR="003B69DA" w:rsidRPr="008B619A" w:rsidRDefault="003B69DA" w:rsidP="006400F0">
            <w:pPr>
              <w:pStyle w:val="Standard"/>
              <w:snapToGrid w:val="0"/>
              <w:jc w:val="center"/>
              <w:rPr>
                <w:rFonts w:ascii="Times New Roman" w:hAnsi="Times New Roman" w:cs="Times New Roman"/>
                <w:color w:val="000000" w:themeColor="text1"/>
              </w:rPr>
            </w:pPr>
            <w:r w:rsidRPr="008B619A">
              <w:rPr>
                <w:rFonts w:ascii="Times New Roman" w:hAnsi="Times New Roman" w:cs="Times New Roman"/>
                <w:color w:val="000000" w:themeColor="text1"/>
                <w:sz w:val="22"/>
                <w:szCs w:val="22"/>
              </w:rPr>
              <w:t>18</w:t>
            </w:r>
          </w:p>
        </w:tc>
        <w:tc>
          <w:tcPr>
            <w:tcW w:w="788" w:type="dxa"/>
            <w:tcBorders>
              <w:top w:val="single" w:sz="4" w:space="0" w:color="000000"/>
            </w:tcBorders>
            <w:tcMar>
              <w:top w:w="0" w:type="dxa"/>
              <w:left w:w="28" w:type="dxa"/>
              <w:bottom w:w="0" w:type="dxa"/>
              <w:right w:w="28" w:type="dxa"/>
            </w:tcMar>
            <w:vAlign w:val="center"/>
          </w:tcPr>
          <w:p w14:paraId="3DFFEA5B" w14:textId="77777777" w:rsidR="003B69DA" w:rsidRPr="008B619A" w:rsidRDefault="003B69DA" w:rsidP="006400F0">
            <w:pPr>
              <w:pStyle w:val="Standard"/>
              <w:snapToGrid w:val="0"/>
              <w:jc w:val="center"/>
              <w:rPr>
                <w:rFonts w:ascii="Times New Roman" w:hAnsi="Times New Roman" w:cs="Times New Roman"/>
                <w:color w:val="000000" w:themeColor="text1"/>
              </w:rPr>
            </w:pPr>
            <w:r w:rsidRPr="008B619A">
              <w:rPr>
                <w:rFonts w:ascii="Times New Roman" w:hAnsi="Times New Roman" w:cs="Times New Roman"/>
                <w:color w:val="000000" w:themeColor="text1"/>
                <w:sz w:val="22"/>
                <w:szCs w:val="22"/>
              </w:rPr>
              <w:t>15</w:t>
            </w:r>
          </w:p>
        </w:tc>
        <w:tc>
          <w:tcPr>
            <w:tcW w:w="788" w:type="dxa"/>
            <w:tcBorders>
              <w:top w:val="single" w:sz="4" w:space="0" w:color="000000"/>
            </w:tcBorders>
            <w:tcMar>
              <w:top w:w="0" w:type="dxa"/>
              <w:left w:w="28" w:type="dxa"/>
              <w:bottom w:w="0" w:type="dxa"/>
              <w:right w:w="28" w:type="dxa"/>
            </w:tcMar>
            <w:vAlign w:val="center"/>
          </w:tcPr>
          <w:p w14:paraId="1DCE7CBA" w14:textId="77777777" w:rsidR="003B69DA" w:rsidRPr="008B619A" w:rsidRDefault="003B69DA" w:rsidP="006400F0">
            <w:pPr>
              <w:pStyle w:val="Standard"/>
              <w:snapToGrid w:val="0"/>
              <w:jc w:val="center"/>
              <w:rPr>
                <w:rFonts w:ascii="Times New Roman" w:hAnsi="Times New Roman" w:cs="Times New Roman"/>
                <w:color w:val="000000" w:themeColor="text1"/>
              </w:rPr>
            </w:pPr>
            <w:r w:rsidRPr="008B619A">
              <w:rPr>
                <w:rFonts w:ascii="Times New Roman" w:hAnsi="Times New Roman" w:cs="Times New Roman"/>
                <w:color w:val="000000" w:themeColor="text1"/>
                <w:sz w:val="22"/>
                <w:szCs w:val="22"/>
              </w:rPr>
              <w:t>13</w:t>
            </w:r>
          </w:p>
        </w:tc>
        <w:tc>
          <w:tcPr>
            <w:tcW w:w="794" w:type="dxa"/>
            <w:tcBorders>
              <w:top w:val="single" w:sz="4" w:space="0" w:color="000000"/>
              <w:right w:val="single" w:sz="4" w:space="0" w:color="000000"/>
            </w:tcBorders>
            <w:tcMar>
              <w:top w:w="0" w:type="dxa"/>
              <w:left w:w="28" w:type="dxa"/>
              <w:bottom w:w="0" w:type="dxa"/>
              <w:right w:w="28" w:type="dxa"/>
            </w:tcMar>
            <w:vAlign w:val="center"/>
          </w:tcPr>
          <w:p w14:paraId="1593B2FB" w14:textId="77777777" w:rsidR="003B69DA" w:rsidRPr="008B619A" w:rsidRDefault="003B69DA" w:rsidP="006400F0">
            <w:pPr>
              <w:pStyle w:val="Standard"/>
              <w:snapToGrid w:val="0"/>
              <w:jc w:val="center"/>
              <w:rPr>
                <w:rFonts w:ascii="Times New Roman" w:hAnsi="Times New Roman" w:cs="Times New Roman"/>
                <w:color w:val="000000" w:themeColor="text1"/>
              </w:rPr>
            </w:pPr>
            <w:r w:rsidRPr="008B619A">
              <w:rPr>
                <w:rFonts w:ascii="Times New Roman" w:hAnsi="Times New Roman" w:cs="Times New Roman"/>
                <w:color w:val="000000" w:themeColor="text1"/>
                <w:sz w:val="22"/>
                <w:szCs w:val="22"/>
              </w:rPr>
              <w:t>11</w:t>
            </w:r>
          </w:p>
        </w:tc>
        <w:tc>
          <w:tcPr>
            <w:tcW w:w="785" w:type="dxa"/>
            <w:tcBorders>
              <w:top w:val="single" w:sz="4" w:space="0" w:color="000000"/>
              <w:left w:val="single" w:sz="4" w:space="0" w:color="000000"/>
            </w:tcBorders>
            <w:tcMar>
              <w:top w:w="0" w:type="dxa"/>
              <w:left w:w="28" w:type="dxa"/>
              <w:bottom w:w="0" w:type="dxa"/>
              <w:right w:w="28" w:type="dxa"/>
            </w:tcMar>
            <w:vAlign w:val="center"/>
          </w:tcPr>
          <w:p w14:paraId="5E45FEA1" w14:textId="77777777" w:rsidR="003B69DA" w:rsidRPr="008B619A" w:rsidRDefault="003B69DA" w:rsidP="006400F0">
            <w:pPr>
              <w:pStyle w:val="Standard"/>
              <w:snapToGrid w:val="0"/>
              <w:jc w:val="center"/>
              <w:rPr>
                <w:rFonts w:ascii="Times New Roman" w:hAnsi="Times New Roman" w:cs="Times New Roman"/>
                <w:color w:val="000000" w:themeColor="text1"/>
              </w:rPr>
            </w:pPr>
            <w:r w:rsidRPr="008B619A">
              <w:rPr>
                <w:rFonts w:ascii="Times New Roman" w:hAnsi="Times New Roman" w:cs="Times New Roman"/>
                <w:color w:val="000000" w:themeColor="text1"/>
                <w:sz w:val="22"/>
                <w:szCs w:val="22"/>
              </w:rPr>
              <w:t>-3</w:t>
            </w:r>
          </w:p>
        </w:tc>
        <w:tc>
          <w:tcPr>
            <w:tcW w:w="788" w:type="dxa"/>
            <w:tcBorders>
              <w:top w:val="single" w:sz="4" w:space="0" w:color="000000"/>
            </w:tcBorders>
            <w:tcMar>
              <w:top w:w="0" w:type="dxa"/>
              <w:left w:w="28" w:type="dxa"/>
              <w:bottom w:w="0" w:type="dxa"/>
              <w:right w:w="28" w:type="dxa"/>
            </w:tcMar>
            <w:vAlign w:val="center"/>
          </w:tcPr>
          <w:p w14:paraId="3E465036" w14:textId="77777777" w:rsidR="003B69DA" w:rsidRPr="008B619A" w:rsidRDefault="003B69DA" w:rsidP="006400F0">
            <w:pPr>
              <w:pStyle w:val="Standard"/>
              <w:snapToGrid w:val="0"/>
              <w:jc w:val="center"/>
              <w:rPr>
                <w:rFonts w:ascii="Times New Roman" w:hAnsi="Times New Roman" w:cs="Times New Roman"/>
                <w:color w:val="000000" w:themeColor="text1"/>
              </w:rPr>
            </w:pPr>
            <w:r w:rsidRPr="008B619A">
              <w:rPr>
                <w:rFonts w:ascii="Times New Roman" w:hAnsi="Times New Roman" w:cs="Times New Roman"/>
                <w:color w:val="000000" w:themeColor="text1"/>
                <w:sz w:val="22"/>
                <w:szCs w:val="22"/>
              </w:rPr>
              <w:t>-6</w:t>
            </w:r>
          </w:p>
        </w:tc>
        <w:tc>
          <w:tcPr>
            <w:tcW w:w="788" w:type="dxa"/>
            <w:tcBorders>
              <w:top w:val="single" w:sz="4" w:space="0" w:color="000000"/>
            </w:tcBorders>
            <w:tcMar>
              <w:top w:w="0" w:type="dxa"/>
              <w:left w:w="28" w:type="dxa"/>
              <w:bottom w:w="0" w:type="dxa"/>
              <w:right w:w="28" w:type="dxa"/>
            </w:tcMar>
            <w:vAlign w:val="center"/>
          </w:tcPr>
          <w:p w14:paraId="2A800CC6" w14:textId="77777777" w:rsidR="003B69DA" w:rsidRPr="008B619A" w:rsidRDefault="003B69DA" w:rsidP="006400F0">
            <w:pPr>
              <w:pStyle w:val="Standard"/>
              <w:snapToGrid w:val="0"/>
              <w:jc w:val="center"/>
              <w:rPr>
                <w:rFonts w:ascii="Times New Roman" w:hAnsi="Times New Roman" w:cs="Times New Roman"/>
                <w:color w:val="000000" w:themeColor="text1"/>
              </w:rPr>
            </w:pPr>
            <w:r w:rsidRPr="008B619A">
              <w:rPr>
                <w:rFonts w:ascii="Times New Roman" w:hAnsi="Times New Roman" w:cs="Times New Roman"/>
                <w:color w:val="000000" w:themeColor="text1"/>
                <w:sz w:val="22"/>
                <w:szCs w:val="22"/>
              </w:rPr>
              <w:t>-9</w:t>
            </w:r>
          </w:p>
        </w:tc>
        <w:tc>
          <w:tcPr>
            <w:tcW w:w="794" w:type="dxa"/>
            <w:tcBorders>
              <w:top w:val="single" w:sz="4" w:space="0" w:color="000000"/>
            </w:tcBorders>
            <w:tcMar>
              <w:top w:w="0" w:type="dxa"/>
              <w:left w:w="28" w:type="dxa"/>
              <w:bottom w:w="0" w:type="dxa"/>
              <w:right w:w="28" w:type="dxa"/>
            </w:tcMar>
            <w:vAlign w:val="center"/>
          </w:tcPr>
          <w:p w14:paraId="0D76C3A7" w14:textId="77777777" w:rsidR="003B69DA" w:rsidRPr="008B619A" w:rsidRDefault="003B69DA" w:rsidP="006400F0">
            <w:pPr>
              <w:pStyle w:val="Standard"/>
              <w:snapToGrid w:val="0"/>
              <w:jc w:val="center"/>
              <w:rPr>
                <w:rFonts w:ascii="Times New Roman" w:hAnsi="Times New Roman" w:cs="Times New Roman"/>
                <w:color w:val="000000" w:themeColor="text1"/>
              </w:rPr>
            </w:pPr>
            <w:r w:rsidRPr="008B619A">
              <w:rPr>
                <w:rFonts w:ascii="Times New Roman" w:hAnsi="Times New Roman" w:cs="Times New Roman"/>
                <w:color w:val="000000" w:themeColor="text1"/>
                <w:sz w:val="22"/>
                <w:szCs w:val="22"/>
              </w:rPr>
              <w:t>-11</w:t>
            </w:r>
          </w:p>
        </w:tc>
      </w:tr>
      <w:tr w:rsidR="008B619A" w:rsidRPr="008B619A" w14:paraId="097307FE" w14:textId="77777777" w:rsidTr="006B5530">
        <w:tc>
          <w:tcPr>
            <w:tcW w:w="284" w:type="dxa"/>
            <w:vMerge/>
            <w:tcBorders>
              <w:top w:val="single" w:sz="4" w:space="0" w:color="000000"/>
              <w:bottom w:val="single" w:sz="4" w:space="0" w:color="000000"/>
              <w:right w:val="single" w:sz="4" w:space="0" w:color="000000"/>
            </w:tcBorders>
            <w:tcMar>
              <w:top w:w="0" w:type="dxa"/>
              <w:left w:w="28" w:type="dxa"/>
              <w:bottom w:w="0" w:type="dxa"/>
              <w:right w:w="28" w:type="dxa"/>
            </w:tcMar>
            <w:vAlign w:val="center"/>
          </w:tcPr>
          <w:p w14:paraId="4D42F981" w14:textId="77777777" w:rsidR="003B69DA" w:rsidRPr="008B619A" w:rsidRDefault="003B69DA" w:rsidP="006400F0">
            <w:pPr>
              <w:rPr>
                <w:rFonts w:ascii="Times New Roman"/>
                <w:color w:val="000000" w:themeColor="text1"/>
              </w:rPr>
            </w:pPr>
          </w:p>
        </w:tc>
        <w:tc>
          <w:tcPr>
            <w:tcW w:w="1576" w:type="dxa"/>
            <w:tcBorders>
              <w:left w:val="single" w:sz="4" w:space="0" w:color="000000"/>
              <w:right w:val="single" w:sz="4" w:space="0" w:color="000000"/>
            </w:tcBorders>
            <w:tcMar>
              <w:top w:w="0" w:type="dxa"/>
              <w:left w:w="28" w:type="dxa"/>
              <w:bottom w:w="0" w:type="dxa"/>
              <w:right w:w="28" w:type="dxa"/>
            </w:tcMar>
            <w:vAlign w:val="center"/>
          </w:tcPr>
          <w:p w14:paraId="1D6A9AF0" w14:textId="77777777" w:rsidR="003B69DA" w:rsidRPr="008B619A" w:rsidRDefault="003B69DA" w:rsidP="006400F0">
            <w:pPr>
              <w:pStyle w:val="Standard"/>
              <w:keepNext/>
              <w:snapToGrid w:val="0"/>
              <w:rPr>
                <w:rFonts w:ascii="Times New Roman" w:hAnsi="Times New Roman" w:cs="Times New Roman"/>
                <w:color w:val="000000" w:themeColor="text1"/>
              </w:rPr>
            </w:pPr>
            <w:r w:rsidRPr="008B619A">
              <w:rPr>
                <w:rFonts w:ascii="Times New Roman" w:eastAsia="標楷體" w:hAnsi="Times New Roman" w:cs="Times New Roman"/>
                <w:color w:val="000000" w:themeColor="text1"/>
                <w:sz w:val="22"/>
                <w:szCs w:val="22"/>
              </w:rPr>
              <w:t>12</w:t>
            </w:r>
            <w:r w:rsidRPr="008B619A">
              <w:rPr>
                <w:rFonts w:ascii="Times New Roman" w:eastAsia="標楷體" w:hAnsi="Times New Roman" w:cs="Times New Roman"/>
                <w:color w:val="000000" w:themeColor="text1"/>
                <w:sz w:val="22"/>
                <w:szCs w:val="22"/>
              </w:rPr>
              <w:t>歲（國中）</w:t>
            </w:r>
          </w:p>
        </w:tc>
        <w:tc>
          <w:tcPr>
            <w:tcW w:w="786" w:type="dxa"/>
            <w:tcBorders>
              <w:left w:val="single" w:sz="4" w:space="0" w:color="000000"/>
              <w:right w:val="single" w:sz="4" w:space="0" w:color="000000"/>
            </w:tcBorders>
            <w:tcMar>
              <w:top w:w="0" w:type="dxa"/>
              <w:left w:w="28" w:type="dxa"/>
              <w:bottom w:w="0" w:type="dxa"/>
              <w:right w:w="28" w:type="dxa"/>
            </w:tcMar>
            <w:vAlign w:val="center"/>
          </w:tcPr>
          <w:p w14:paraId="1DC6B132" w14:textId="77777777" w:rsidR="003B69DA" w:rsidRPr="008B619A" w:rsidRDefault="003B69DA" w:rsidP="006400F0">
            <w:pPr>
              <w:pStyle w:val="Standard"/>
              <w:snapToGrid w:val="0"/>
              <w:jc w:val="center"/>
              <w:rPr>
                <w:rFonts w:ascii="Times New Roman" w:hAnsi="Times New Roman" w:cs="Times New Roman"/>
                <w:color w:val="000000" w:themeColor="text1"/>
              </w:rPr>
            </w:pPr>
            <w:r w:rsidRPr="008B619A">
              <w:rPr>
                <w:rFonts w:ascii="Times New Roman" w:hAnsi="Times New Roman" w:cs="Times New Roman"/>
                <w:b/>
                <w:color w:val="000000" w:themeColor="text1"/>
                <w:sz w:val="22"/>
                <w:szCs w:val="22"/>
              </w:rPr>
              <w:t>26</w:t>
            </w:r>
          </w:p>
        </w:tc>
        <w:tc>
          <w:tcPr>
            <w:tcW w:w="787" w:type="dxa"/>
            <w:tcBorders>
              <w:left w:val="single" w:sz="4" w:space="0" w:color="000000"/>
            </w:tcBorders>
            <w:tcMar>
              <w:top w:w="0" w:type="dxa"/>
              <w:left w:w="28" w:type="dxa"/>
              <w:bottom w:w="0" w:type="dxa"/>
              <w:right w:w="28" w:type="dxa"/>
            </w:tcMar>
            <w:vAlign w:val="center"/>
          </w:tcPr>
          <w:p w14:paraId="6A8893FE" w14:textId="77777777" w:rsidR="003B69DA" w:rsidRPr="008B619A" w:rsidRDefault="003B69DA" w:rsidP="006400F0">
            <w:pPr>
              <w:pStyle w:val="Standard"/>
              <w:snapToGrid w:val="0"/>
              <w:jc w:val="center"/>
              <w:rPr>
                <w:rFonts w:ascii="Times New Roman" w:hAnsi="Times New Roman" w:cs="Times New Roman"/>
                <w:color w:val="000000" w:themeColor="text1"/>
              </w:rPr>
            </w:pPr>
            <w:r w:rsidRPr="008B619A">
              <w:rPr>
                <w:rFonts w:ascii="Times New Roman" w:hAnsi="Times New Roman" w:cs="Times New Roman"/>
                <w:color w:val="000000" w:themeColor="text1"/>
                <w:sz w:val="22"/>
                <w:szCs w:val="22"/>
              </w:rPr>
              <w:t>20</w:t>
            </w:r>
          </w:p>
        </w:tc>
        <w:tc>
          <w:tcPr>
            <w:tcW w:w="788" w:type="dxa"/>
            <w:tcMar>
              <w:top w:w="0" w:type="dxa"/>
              <w:left w:w="28" w:type="dxa"/>
              <w:bottom w:w="0" w:type="dxa"/>
              <w:right w:w="28" w:type="dxa"/>
            </w:tcMar>
            <w:vAlign w:val="center"/>
          </w:tcPr>
          <w:p w14:paraId="14A26665" w14:textId="77777777" w:rsidR="003B69DA" w:rsidRPr="008B619A" w:rsidRDefault="003B69DA" w:rsidP="006400F0">
            <w:pPr>
              <w:pStyle w:val="Standard"/>
              <w:snapToGrid w:val="0"/>
              <w:jc w:val="center"/>
              <w:rPr>
                <w:rFonts w:ascii="Times New Roman" w:hAnsi="Times New Roman" w:cs="Times New Roman"/>
                <w:color w:val="000000" w:themeColor="text1"/>
              </w:rPr>
            </w:pPr>
            <w:r w:rsidRPr="008B619A">
              <w:rPr>
                <w:rFonts w:ascii="Times New Roman" w:hAnsi="Times New Roman" w:cs="Times New Roman"/>
                <w:color w:val="000000" w:themeColor="text1"/>
                <w:sz w:val="22"/>
                <w:szCs w:val="22"/>
              </w:rPr>
              <w:t>16</w:t>
            </w:r>
          </w:p>
        </w:tc>
        <w:tc>
          <w:tcPr>
            <w:tcW w:w="788" w:type="dxa"/>
            <w:tcMar>
              <w:top w:w="0" w:type="dxa"/>
              <w:left w:w="28" w:type="dxa"/>
              <w:bottom w:w="0" w:type="dxa"/>
              <w:right w:w="28" w:type="dxa"/>
            </w:tcMar>
            <w:vAlign w:val="center"/>
          </w:tcPr>
          <w:p w14:paraId="353EF27B" w14:textId="77777777" w:rsidR="003B69DA" w:rsidRPr="008B619A" w:rsidRDefault="003B69DA" w:rsidP="006400F0">
            <w:pPr>
              <w:pStyle w:val="Standard"/>
              <w:snapToGrid w:val="0"/>
              <w:jc w:val="center"/>
              <w:rPr>
                <w:rFonts w:ascii="Times New Roman" w:hAnsi="Times New Roman" w:cs="Times New Roman"/>
                <w:color w:val="000000" w:themeColor="text1"/>
              </w:rPr>
            </w:pPr>
            <w:r w:rsidRPr="008B619A">
              <w:rPr>
                <w:rFonts w:ascii="Times New Roman" w:hAnsi="Times New Roman" w:cs="Times New Roman"/>
                <w:color w:val="000000" w:themeColor="text1"/>
                <w:sz w:val="22"/>
                <w:szCs w:val="22"/>
              </w:rPr>
              <w:t>14</w:t>
            </w:r>
          </w:p>
        </w:tc>
        <w:tc>
          <w:tcPr>
            <w:tcW w:w="794" w:type="dxa"/>
            <w:tcBorders>
              <w:right w:val="single" w:sz="4" w:space="0" w:color="000000"/>
            </w:tcBorders>
            <w:tcMar>
              <w:top w:w="0" w:type="dxa"/>
              <w:left w:w="28" w:type="dxa"/>
              <w:bottom w:w="0" w:type="dxa"/>
              <w:right w:w="28" w:type="dxa"/>
            </w:tcMar>
            <w:vAlign w:val="center"/>
          </w:tcPr>
          <w:p w14:paraId="4AE91E97" w14:textId="77777777" w:rsidR="003B69DA" w:rsidRPr="008B619A" w:rsidRDefault="003B69DA" w:rsidP="006400F0">
            <w:pPr>
              <w:pStyle w:val="Standard"/>
              <w:snapToGrid w:val="0"/>
              <w:jc w:val="center"/>
              <w:rPr>
                <w:rFonts w:ascii="Times New Roman" w:hAnsi="Times New Roman" w:cs="Times New Roman"/>
                <w:color w:val="000000" w:themeColor="text1"/>
              </w:rPr>
            </w:pPr>
            <w:r w:rsidRPr="008B619A">
              <w:rPr>
                <w:rFonts w:ascii="Times New Roman" w:hAnsi="Times New Roman" w:cs="Times New Roman"/>
                <w:color w:val="000000" w:themeColor="text1"/>
                <w:sz w:val="22"/>
                <w:szCs w:val="22"/>
              </w:rPr>
              <w:t>12</w:t>
            </w:r>
          </w:p>
        </w:tc>
        <w:tc>
          <w:tcPr>
            <w:tcW w:w="785" w:type="dxa"/>
            <w:tcBorders>
              <w:left w:val="single" w:sz="4" w:space="0" w:color="000000"/>
            </w:tcBorders>
            <w:tcMar>
              <w:top w:w="0" w:type="dxa"/>
              <w:left w:w="28" w:type="dxa"/>
              <w:bottom w:w="0" w:type="dxa"/>
              <w:right w:w="28" w:type="dxa"/>
            </w:tcMar>
            <w:vAlign w:val="center"/>
          </w:tcPr>
          <w:p w14:paraId="6C4772C0" w14:textId="77777777" w:rsidR="003B69DA" w:rsidRPr="008B619A" w:rsidRDefault="003B69DA" w:rsidP="006400F0">
            <w:pPr>
              <w:pStyle w:val="Standard"/>
              <w:snapToGrid w:val="0"/>
              <w:jc w:val="center"/>
              <w:rPr>
                <w:rFonts w:ascii="Times New Roman" w:hAnsi="Times New Roman" w:cs="Times New Roman"/>
                <w:color w:val="000000" w:themeColor="text1"/>
              </w:rPr>
            </w:pPr>
            <w:r w:rsidRPr="008B619A">
              <w:rPr>
                <w:rFonts w:ascii="Times New Roman" w:hAnsi="Times New Roman" w:cs="Times New Roman"/>
                <w:color w:val="000000" w:themeColor="text1"/>
                <w:sz w:val="22"/>
                <w:szCs w:val="22"/>
              </w:rPr>
              <w:t>-6</w:t>
            </w:r>
          </w:p>
        </w:tc>
        <w:tc>
          <w:tcPr>
            <w:tcW w:w="788" w:type="dxa"/>
            <w:tcMar>
              <w:top w:w="0" w:type="dxa"/>
              <w:left w:w="28" w:type="dxa"/>
              <w:bottom w:w="0" w:type="dxa"/>
              <w:right w:w="28" w:type="dxa"/>
            </w:tcMar>
            <w:vAlign w:val="center"/>
          </w:tcPr>
          <w:p w14:paraId="0C0A1F2C" w14:textId="77777777" w:rsidR="003B69DA" w:rsidRPr="008B619A" w:rsidRDefault="003B69DA" w:rsidP="006400F0">
            <w:pPr>
              <w:pStyle w:val="Standard"/>
              <w:snapToGrid w:val="0"/>
              <w:jc w:val="center"/>
              <w:rPr>
                <w:rFonts w:ascii="Times New Roman" w:hAnsi="Times New Roman" w:cs="Times New Roman"/>
                <w:color w:val="000000" w:themeColor="text1"/>
              </w:rPr>
            </w:pPr>
            <w:r w:rsidRPr="008B619A">
              <w:rPr>
                <w:rFonts w:ascii="Times New Roman" w:hAnsi="Times New Roman" w:cs="Times New Roman"/>
                <w:color w:val="000000" w:themeColor="text1"/>
                <w:sz w:val="22"/>
                <w:szCs w:val="22"/>
              </w:rPr>
              <w:t>-10</w:t>
            </w:r>
          </w:p>
        </w:tc>
        <w:tc>
          <w:tcPr>
            <w:tcW w:w="788" w:type="dxa"/>
            <w:tcMar>
              <w:top w:w="0" w:type="dxa"/>
              <w:left w:w="28" w:type="dxa"/>
              <w:bottom w:w="0" w:type="dxa"/>
              <w:right w:w="28" w:type="dxa"/>
            </w:tcMar>
            <w:vAlign w:val="center"/>
          </w:tcPr>
          <w:p w14:paraId="7B5A925A" w14:textId="77777777" w:rsidR="003B69DA" w:rsidRPr="008B619A" w:rsidRDefault="003B69DA" w:rsidP="006400F0">
            <w:pPr>
              <w:pStyle w:val="Standard"/>
              <w:snapToGrid w:val="0"/>
              <w:jc w:val="center"/>
              <w:rPr>
                <w:rFonts w:ascii="Times New Roman" w:hAnsi="Times New Roman" w:cs="Times New Roman"/>
                <w:color w:val="000000" w:themeColor="text1"/>
              </w:rPr>
            </w:pPr>
            <w:r w:rsidRPr="008B619A">
              <w:rPr>
                <w:rFonts w:ascii="Times New Roman" w:hAnsi="Times New Roman" w:cs="Times New Roman"/>
                <w:color w:val="000000" w:themeColor="text1"/>
                <w:sz w:val="22"/>
                <w:szCs w:val="22"/>
              </w:rPr>
              <w:t>-12</w:t>
            </w:r>
          </w:p>
        </w:tc>
        <w:tc>
          <w:tcPr>
            <w:tcW w:w="794" w:type="dxa"/>
            <w:tcMar>
              <w:top w:w="0" w:type="dxa"/>
              <w:left w:w="28" w:type="dxa"/>
              <w:bottom w:w="0" w:type="dxa"/>
              <w:right w:w="28" w:type="dxa"/>
            </w:tcMar>
            <w:vAlign w:val="center"/>
          </w:tcPr>
          <w:p w14:paraId="5CAD8FD0" w14:textId="77777777" w:rsidR="003B69DA" w:rsidRPr="008B619A" w:rsidRDefault="003B69DA" w:rsidP="006400F0">
            <w:pPr>
              <w:pStyle w:val="Standard"/>
              <w:snapToGrid w:val="0"/>
              <w:jc w:val="center"/>
              <w:rPr>
                <w:rFonts w:ascii="Times New Roman" w:hAnsi="Times New Roman" w:cs="Times New Roman"/>
                <w:color w:val="000000" w:themeColor="text1"/>
              </w:rPr>
            </w:pPr>
            <w:r w:rsidRPr="008B619A">
              <w:rPr>
                <w:rFonts w:ascii="Times New Roman" w:hAnsi="Times New Roman" w:cs="Times New Roman"/>
                <w:color w:val="000000" w:themeColor="text1"/>
                <w:sz w:val="22"/>
                <w:szCs w:val="22"/>
              </w:rPr>
              <w:t>-14</w:t>
            </w:r>
          </w:p>
        </w:tc>
      </w:tr>
      <w:tr w:rsidR="008B619A" w:rsidRPr="008B619A" w14:paraId="5C433E18" w14:textId="77777777" w:rsidTr="006B5530">
        <w:tc>
          <w:tcPr>
            <w:tcW w:w="284" w:type="dxa"/>
            <w:vMerge/>
            <w:tcBorders>
              <w:top w:val="single" w:sz="4" w:space="0" w:color="000000"/>
              <w:bottom w:val="single" w:sz="4" w:space="0" w:color="000000"/>
              <w:right w:val="single" w:sz="4" w:space="0" w:color="000000"/>
            </w:tcBorders>
            <w:tcMar>
              <w:top w:w="0" w:type="dxa"/>
              <w:left w:w="28" w:type="dxa"/>
              <w:bottom w:w="0" w:type="dxa"/>
              <w:right w:w="28" w:type="dxa"/>
            </w:tcMar>
            <w:vAlign w:val="center"/>
          </w:tcPr>
          <w:p w14:paraId="1D063E31" w14:textId="77777777" w:rsidR="003B69DA" w:rsidRPr="008B619A" w:rsidRDefault="003B69DA" w:rsidP="006400F0">
            <w:pPr>
              <w:rPr>
                <w:rFonts w:ascii="Times New Roman"/>
                <w:color w:val="000000" w:themeColor="text1"/>
              </w:rPr>
            </w:pPr>
          </w:p>
        </w:tc>
        <w:tc>
          <w:tcPr>
            <w:tcW w:w="1576" w:type="dxa"/>
            <w:tcBorders>
              <w:left w:val="single" w:sz="4" w:space="0" w:color="000000"/>
              <w:right w:val="single" w:sz="4" w:space="0" w:color="000000"/>
            </w:tcBorders>
            <w:tcMar>
              <w:top w:w="0" w:type="dxa"/>
              <w:left w:w="28" w:type="dxa"/>
              <w:bottom w:w="0" w:type="dxa"/>
              <w:right w:w="28" w:type="dxa"/>
            </w:tcMar>
            <w:vAlign w:val="center"/>
          </w:tcPr>
          <w:p w14:paraId="138CAA02" w14:textId="77777777" w:rsidR="003B69DA" w:rsidRPr="008B619A" w:rsidRDefault="003B69DA" w:rsidP="006400F0">
            <w:pPr>
              <w:pStyle w:val="Standard"/>
              <w:keepNext/>
              <w:snapToGrid w:val="0"/>
              <w:rPr>
                <w:rFonts w:ascii="Times New Roman" w:hAnsi="Times New Roman" w:cs="Times New Roman"/>
                <w:color w:val="000000" w:themeColor="text1"/>
              </w:rPr>
            </w:pPr>
            <w:r w:rsidRPr="008B619A">
              <w:rPr>
                <w:rFonts w:ascii="Times New Roman" w:eastAsia="標楷體" w:hAnsi="Times New Roman" w:cs="Times New Roman"/>
                <w:color w:val="000000" w:themeColor="text1"/>
                <w:sz w:val="22"/>
                <w:szCs w:val="22"/>
              </w:rPr>
              <w:t>15</w:t>
            </w:r>
            <w:r w:rsidRPr="008B619A">
              <w:rPr>
                <w:rFonts w:ascii="Times New Roman" w:eastAsia="標楷體" w:hAnsi="Times New Roman" w:cs="Times New Roman"/>
                <w:color w:val="000000" w:themeColor="text1"/>
                <w:sz w:val="22"/>
                <w:szCs w:val="22"/>
              </w:rPr>
              <w:t>歲（高中）</w:t>
            </w:r>
          </w:p>
        </w:tc>
        <w:tc>
          <w:tcPr>
            <w:tcW w:w="786" w:type="dxa"/>
            <w:tcBorders>
              <w:left w:val="single" w:sz="4" w:space="0" w:color="000000"/>
              <w:right w:val="single" w:sz="4" w:space="0" w:color="000000"/>
            </w:tcBorders>
            <w:tcMar>
              <w:top w:w="0" w:type="dxa"/>
              <w:left w:w="28" w:type="dxa"/>
              <w:bottom w:w="0" w:type="dxa"/>
              <w:right w:w="28" w:type="dxa"/>
            </w:tcMar>
            <w:vAlign w:val="center"/>
          </w:tcPr>
          <w:p w14:paraId="1662B7CA" w14:textId="77777777" w:rsidR="003B69DA" w:rsidRPr="008B619A" w:rsidRDefault="003B69DA" w:rsidP="006400F0">
            <w:pPr>
              <w:pStyle w:val="Standard"/>
              <w:snapToGrid w:val="0"/>
              <w:jc w:val="center"/>
              <w:rPr>
                <w:rFonts w:ascii="Times New Roman" w:hAnsi="Times New Roman" w:cs="Times New Roman"/>
                <w:color w:val="000000" w:themeColor="text1"/>
              </w:rPr>
            </w:pPr>
            <w:r w:rsidRPr="008B619A">
              <w:rPr>
                <w:rFonts w:ascii="Times New Roman" w:hAnsi="Times New Roman" w:cs="Times New Roman"/>
                <w:b/>
                <w:color w:val="000000" w:themeColor="text1"/>
                <w:sz w:val="22"/>
                <w:szCs w:val="22"/>
              </w:rPr>
              <w:t>29</w:t>
            </w:r>
          </w:p>
        </w:tc>
        <w:tc>
          <w:tcPr>
            <w:tcW w:w="787" w:type="dxa"/>
            <w:tcBorders>
              <w:left w:val="single" w:sz="4" w:space="0" w:color="000000"/>
            </w:tcBorders>
            <w:tcMar>
              <w:top w:w="0" w:type="dxa"/>
              <w:left w:w="28" w:type="dxa"/>
              <w:bottom w:w="0" w:type="dxa"/>
              <w:right w:w="28" w:type="dxa"/>
            </w:tcMar>
            <w:vAlign w:val="center"/>
          </w:tcPr>
          <w:p w14:paraId="64318889" w14:textId="77777777" w:rsidR="003B69DA" w:rsidRPr="008B619A" w:rsidRDefault="003B69DA" w:rsidP="006400F0">
            <w:pPr>
              <w:pStyle w:val="Standard"/>
              <w:snapToGrid w:val="0"/>
              <w:jc w:val="center"/>
              <w:rPr>
                <w:rFonts w:ascii="Times New Roman" w:hAnsi="Times New Roman" w:cs="Times New Roman"/>
                <w:color w:val="000000" w:themeColor="text1"/>
              </w:rPr>
            </w:pPr>
            <w:r w:rsidRPr="008B619A">
              <w:rPr>
                <w:rFonts w:ascii="Times New Roman" w:hAnsi="Times New Roman" w:cs="Times New Roman"/>
                <w:color w:val="000000" w:themeColor="text1"/>
                <w:sz w:val="22"/>
                <w:szCs w:val="22"/>
              </w:rPr>
              <w:t>20</w:t>
            </w:r>
          </w:p>
        </w:tc>
        <w:tc>
          <w:tcPr>
            <w:tcW w:w="788" w:type="dxa"/>
            <w:tcMar>
              <w:top w:w="0" w:type="dxa"/>
              <w:left w:w="28" w:type="dxa"/>
              <w:bottom w:w="0" w:type="dxa"/>
              <w:right w:w="28" w:type="dxa"/>
            </w:tcMar>
            <w:vAlign w:val="center"/>
          </w:tcPr>
          <w:p w14:paraId="5B4FECE6" w14:textId="77777777" w:rsidR="003B69DA" w:rsidRPr="008B619A" w:rsidRDefault="003B69DA" w:rsidP="006400F0">
            <w:pPr>
              <w:pStyle w:val="Standard"/>
              <w:snapToGrid w:val="0"/>
              <w:jc w:val="center"/>
              <w:rPr>
                <w:rFonts w:ascii="Times New Roman" w:hAnsi="Times New Roman" w:cs="Times New Roman"/>
                <w:color w:val="000000" w:themeColor="text1"/>
              </w:rPr>
            </w:pPr>
            <w:r w:rsidRPr="008B619A">
              <w:rPr>
                <w:rFonts w:ascii="Times New Roman" w:hAnsi="Times New Roman" w:cs="Times New Roman"/>
                <w:color w:val="000000" w:themeColor="text1"/>
                <w:sz w:val="22"/>
                <w:szCs w:val="22"/>
              </w:rPr>
              <w:t>17</w:t>
            </w:r>
          </w:p>
        </w:tc>
        <w:tc>
          <w:tcPr>
            <w:tcW w:w="788" w:type="dxa"/>
            <w:tcMar>
              <w:top w:w="0" w:type="dxa"/>
              <w:left w:w="28" w:type="dxa"/>
              <w:bottom w:w="0" w:type="dxa"/>
              <w:right w:w="28" w:type="dxa"/>
            </w:tcMar>
            <w:vAlign w:val="center"/>
          </w:tcPr>
          <w:p w14:paraId="24401A6F" w14:textId="77777777" w:rsidR="003B69DA" w:rsidRPr="008B619A" w:rsidRDefault="003B69DA" w:rsidP="006400F0">
            <w:pPr>
              <w:pStyle w:val="Standard"/>
              <w:snapToGrid w:val="0"/>
              <w:jc w:val="center"/>
              <w:rPr>
                <w:rFonts w:ascii="Times New Roman" w:hAnsi="Times New Roman" w:cs="Times New Roman"/>
                <w:color w:val="000000" w:themeColor="text1"/>
              </w:rPr>
            </w:pPr>
            <w:r w:rsidRPr="008B619A">
              <w:rPr>
                <w:rFonts w:ascii="Times New Roman" w:hAnsi="Times New Roman" w:cs="Times New Roman"/>
                <w:color w:val="000000" w:themeColor="text1"/>
                <w:sz w:val="22"/>
                <w:szCs w:val="22"/>
              </w:rPr>
              <w:t>15</w:t>
            </w:r>
          </w:p>
        </w:tc>
        <w:tc>
          <w:tcPr>
            <w:tcW w:w="794" w:type="dxa"/>
            <w:tcBorders>
              <w:right w:val="single" w:sz="4" w:space="0" w:color="000000"/>
            </w:tcBorders>
            <w:tcMar>
              <w:top w:w="0" w:type="dxa"/>
              <w:left w:w="28" w:type="dxa"/>
              <w:bottom w:w="0" w:type="dxa"/>
              <w:right w:w="28" w:type="dxa"/>
            </w:tcMar>
            <w:vAlign w:val="center"/>
          </w:tcPr>
          <w:p w14:paraId="4A42D6DC" w14:textId="77777777" w:rsidR="003B69DA" w:rsidRPr="008B619A" w:rsidRDefault="003B69DA" w:rsidP="006400F0">
            <w:pPr>
              <w:pStyle w:val="Standard"/>
              <w:snapToGrid w:val="0"/>
              <w:jc w:val="center"/>
              <w:rPr>
                <w:rFonts w:ascii="Times New Roman" w:hAnsi="Times New Roman" w:cs="Times New Roman"/>
                <w:color w:val="000000" w:themeColor="text1"/>
              </w:rPr>
            </w:pPr>
            <w:r w:rsidRPr="008B619A">
              <w:rPr>
                <w:rFonts w:ascii="Times New Roman" w:hAnsi="Times New Roman" w:cs="Times New Roman"/>
                <w:color w:val="000000" w:themeColor="text1"/>
                <w:sz w:val="22"/>
                <w:szCs w:val="22"/>
              </w:rPr>
              <w:t>12</w:t>
            </w:r>
          </w:p>
        </w:tc>
        <w:tc>
          <w:tcPr>
            <w:tcW w:w="785" w:type="dxa"/>
            <w:tcBorders>
              <w:left w:val="single" w:sz="4" w:space="0" w:color="000000"/>
            </w:tcBorders>
            <w:tcMar>
              <w:top w:w="0" w:type="dxa"/>
              <w:left w:w="28" w:type="dxa"/>
              <w:bottom w:w="0" w:type="dxa"/>
              <w:right w:w="28" w:type="dxa"/>
            </w:tcMar>
            <w:vAlign w:val="center"/>
          </w:tcPr>
          <w:p w14:paraId="01399B27" w14:textId="77777777" w:rsidR="003B69DA" w:rsidRPr="008B619A" w:rsidRDefault="003B69DA" w:rsidP="006400F0">
            <w:pPr>
              <w:pStyle w:val="Standard"/>
              <w:snapToGrid w:val="0"/>
              <w:jc w:val="center"/>
              <w:rPr>
                <w:rFonts w:ascii="Times New Roman" w:hAnsi="Times New Roman" w:cs="Times New Roman"/>
                <w:color w:val="000000" w:themeColor="text1"/>
              </w:rPr>
            </w:pPr>
            <w:r w:rsidRPr="008B619A">
              <w:rPr>
                <w:rFonts w:ascii="Times New Roman" w:hAnsi="Times New Roman" w:cs="Times New Roman"/>
                <w:color w:val="000000" w:themeColor="text1"/>
                <w:sz w:val="22"/>
                <w:szCs w:val="22"/>
              </w:rPr>
              <w:t>-8</w:t>
            </w:r>
          </w:p>
        </w:tc>
        <w:tc>
          <w:tcPr>
            <w:tcW w:w="788" w:type="dxa"/>
            <w:tcMar>
              <w:top w:w="0" w:type="dxa"/>
              <w:left w:w="28" w:type="dxa"/>
              <w:bottom w:w="0" w:type="dxa"/>
              <w:right w:w="28" w:type="dxa"/>
            </w:tcMar>
            <w:vAlign w:val="center"/>
          </w:tcPr>
          <w:p w14:paraId="1A01E9DB" w14:textId="77777777" w:rsidR="003B69DA" w:rsidRPr="008B619A" w:rsidRDefault="003B69DA" w:rsidP="006400F0">
            <w:pPr>
              <w:pStyle w:val="Standard"/>
              <w:snapToGrid w:val="0"/>
              <w:jc w:val="center"/>
              <w:rPr>
                <w:rFonts w:ascii="Times New Roman" w:hAnsi="Times New Roman" w:cs="Times New Roman"/>
                <w:color w:val="000000" w:themeColor="text1"/>
              </w:rPr>
            </w:pPr>
            <w:r w:rsidRPr="008B619A">
              <w:rPr>
                <w:rFonts w:ascii="Times New Roman" w:hAnsi="Times New Roman" w:cs="Times New Roman"/>
                <w:color w:val="000000" w:themeColor="text1"/>
                <w:sz w:val="22"/>
                <w:szCs w:val="22"/>
              </w:rPr>
              <w:t>-12</w:t>
            </w:r>
          </w:p>
        </w:tc>
        <w:tc>
          <w:tcPr>
            <w:tcW w:w="788" w:type="dxa"/>
            <w:tcMar>
              <w:top w:w="0" w:type="dxa"/>
              <w:left w:w="28" w:type="dxa"/>
              <w:bottom w:w="0" w:type="dxa"/>
              <w:right w:w="28" w:type="dxa"/>
            </w:tcMar>
            <w:vAlign w:val="center"/>
          </w:tcPr>
          <w:p w14:paraId="5675435C" w14:textId="77777777" w:rsidR="003B69DA" w:rsidRPr="008B619A" w:rsidRDefault="003B69DA" w:rsidP="006400F0">
            <w:pPr>
              <w:pStyle w:val="Standard"/>
              <w:snapToGrid w:val="0"/>
              <w:jc w:val="center"/>
              <w:rPr>
                <w:rFonts w:ascii="Times New Roman" w:hAnsi="Times New Roman" w:cs="Times New Roman"/>
                <w:color w:val="000000" w:themeColor="text1"/>
              </w:rPr>
            </w:pPr>
            <w:r w:rsidRPr="008B619A">
              <w:rPr>
                <w:rFonts w:ascii="Times New Roman" w:hAnsi="Times New Roman" w:cs="Times New Roman"/>
                <w:color w:val="000000" w:themeColor="text1"/>
                <w:sz w:val="22"/>
                <w:szCs w:val="22"/>
              </w:rPr>
              <w:t>-14</w:t>
            </w:r>
          </w:p>
        </w:tc>
        <w:tc>
          <w:tcPr>
            <w:tcW w:w="794" w:type="dxa"/>
            <w:tcMar>
              <w:top w:w="0" w:type="dxa"/>
              <w:left w:w="28" w:type="dxa"/>
              <w:bottom w:w="0" w:type="dxa"/>
              <w:right w:w="28" w:type="dxa"/>
            </w:tcMar>
            <w:vAlign w:val="center"/>
          </w:tcPr>
          <w:p w14:paraId="6BA60CBA" w14:textId="77777777" w:rsidR="003B69DA" w:rsidRPr="008B619A" w:rsidRDefault="003B69DA" w:rsidP="006400F0">
            <w:pPr>
              <w:pStyle w:val="Standard"/>
              <w:snapToGrid w:val="0"/>
              <w:jc w:val="center"/>
              <w:rPr>
                <w:rFonts w:ascii="Times New Roman" w:hAnsi="Times New Roman" w:cs="Times New Roman"/>
                <w:color w:val="000000" w:themeColor="text1"/>
              </w:rPr>
            </w:pPr>
            <w:r w:rsidRPr="008B619A">
              <w:rPr>
                <w:rFonts w:ascii="Times New Roman" w:hAnsi="Times New Roman" w:cs="Times New Roman"/>
                <w:color w:val="000000" w:themeColor="text1"/>
                <w:sz w:val="22"/>
                <w:szCs w:val="22"/>
              </w:rPr>
              <w:t>-17</w:t>
            </w:r>
          </w:p>
        </w:tc>
      </w:tr>
      <w:tr w:rsidR="008B619A" w:rsidRPr="008B619A" w14:paraId="07C47371" w14:textId="77777777" w:rsidTr="007E23D6">
        <w:tc>
          <w:tcPr>
            <w:tcW w:w="284" w:type="dxa"/>
            <w:vMerge/>
            <w:tcBorders>
              <w:top w:val="single" w:sz="4" w:space="0" w:color="000000"/>
              <w:bottom w:val="single" w:sz="4" w:space="0" w:color="000000"/>
              <w:right w:val="single" w:sz="4" w:space="0" w:color="000000"/>
            </w:tcBorders>
            <w:tcMar>
              <w:top w:w="0" w:type="dxa"/>
              <w:left w:w="28" w:type="dxa"/>
              <w:bottom w:w="0" w:type="dxa"/>
              <w:right w:w="28" w:type="dxa"/>
            </w:tcMar>
            <w:vAlign w:val="center"/>
          </w:tcPr>
          <w:p w14:paraId="1AB208BF" w14:textId="77777777" w:rsidR="003B69DA" w:rsidRPr="008B619A" w:rsidRDefault="003B69DA" w:rsidP="006400F0">
            <w:pPr>
              <w:rPr>
                <w:rFonts w:ascii="Times New Roman"/>
                <w:color w:val="000000" w:themeColor="text1"/>
              </w:rPr>
            </w:pPr>
          </w:p>
        </w:tc>
        <w:tc>
          <w:tcPr>
            <w:tcW w:w="1576" w:type="dxa"/>
            <w:tcBorders>
              <w:left w:val="single" w:sz="4" w:space="0" w:color="000000"/>
              <w:bottom w:val="single" w:sz="4" w:space="0" w:color="000000"/>
              <w:right w:val="single" w:sz="4" w:space="0" w:color="000000"/>
            </w:tcBorders>
            <w:shd w:val="clear" w:color="auto" w:fill="92D050"/>
            <w:tcMar>
              <w:top w:w="0" w:type="dxa"/>
              <w:left w:w="28" w:type="dxa"/>
              <w:bottom w:w="0" w:type="dxa"/>
              <w:right w:w="28" w:type="dxa"/>
            </w:tcMar>
            <w:vAlign w:val="center"/>
          </w:tcPr>
          <w:p w14:paraId="3B063BB0" w14:textId="77777777" w:rsidR="003B69DA" w:rsidRPr="008B619A" w:rsidRDefault="003B69DA" w:rsidP="006400F0">
            <w:pPr>
              <w:pStyle w:val="Standard"/>
              <w:keepNext/>
              <w:snapToGrid w:val="0"/>
              <w:rPr>
                <w:rFonts w:ascii="Times New Roman" w:hAnsi="Times New Roman" w:cs="Times New Roman"/>
                <w:color w:val="000000" w:themeColor="text1"/>
              </w:rPr>
            </w:pPr>
            <w:r w:rsidRPr="008B619A">
              <w:rPr>
                <w:rFonts w:ascii="Times New Roman" w:eastAsia="標楷體" w:hAnsi="Times New Roman" w:cs="Times New Roman"/>
                <w:color w:val="000000" w:themeColor="text1"/>
                <w:sz w:val="22"/>
                <w:szCs w:val="22"/>
              </w:rPr>
              <w:t>18</w:t>
            </w:r>
            <w:r w:rsidRPr="008B619A">
              <w:rPr>
                <w:rFonts w:ascii="Times New Roman" w:eastAsia="標楷體" w:hAnsi="Times New Roman" w:cs="Times New Roman"/>
                <w:color w:val="000000" w:themeColor="text1"/>
                <w:sz w:val="22"/>
                <w:szCs w:val="22"/>
              </w:rPr>
              <w:t>歲（大學）</w:t>
            </w:r>
          </w:p>
        </w:tc>
        <w:tc>
          <w:tcPr>
            <w:tcW w:w="786" w:type="dxa"/>
            <w:tcBorders>
              <w:left w:val="single" w:sz="4" w:space="0" w:color="000000"/>
              <w:bottom w:val="single" w:sz="4" w:space="0" w:color="000000"/>
              <w:right w:val="single" w:sz="4" w:space="0" w:color="000000"/>
            </w:tcBorders>
            <w:shd w:val="clear" w:color="auto" w:fill="92D050"/>
            <w:tcMar>
              <w:top w:w="0" w:type="dxa"/>
              <w:left w:w="28" w:type="dxa"/>
              <w:bottom w:w="0" w:type="dxa"/>
              <w:right w:w="28" w:type="dxa"/>
            </w:tcMar>
            <w:vAlign w:val="center"/>
          </w:tcPr>
          <w:p w14:paraId="792CA088" w14:textId="77777777" w:rsidR="003B69DA" w:rsidRPr="008B619A" w:rsidRDefault="003B69DA" w:rsidP="006400F0">
            <w:pPr>
              <w:pStyle w:val="Standard"/>
              <w:snapToGrid w:val="0"/>
              <w:jc w:val="center"/>
              <w:rPr>
                <w:rFonts w:ascii="Times New Roman" w:hAnsi="Times New Roman" w:cs="Times New Roman"/>
                <w:color w:val="000000" w:themeColor="text1"/>
              </w:rPr>
            </w:pPr>
            <w:r w:rsidRPr="008B619A">
              <w:rPr>
                <w:rFonts w:ascii="Times New Roman" w:hAnsi="Times New Roman" w:cs="Times New Roman"/>
                <w:b/>
                <w:color w:val="000000" w:themeColor="text1"/>
                <w:sz w:val="22"/>
                <w:szCs w:val="22"/>
              </w:rPr>
              <w:t>31</w:t>
            </w:r>
          </w:p>
        </w:tc>
        <w:tc>
          <w:tcPr>
            <w:tcW w:w="787" w:type="dxa"/>
            <w:tcBorders>
              <w:left w:val="single" w:sz="4" w:space="0" w:color="000000"/>
              <w:bottom w:val="single" w:sz="4" w:space="0" w:color="000000"/>
            </w:tcBorders>
            <w:shd w:val="clear" w:color="auto" w:fill="92D050"/>
            <w:tcMar>
              <w:top w:w="0" w:type="dxa"/>
              <w:left w:w="28" w:type="dxa"/>
              <w:bottom w:w="0" w:type="dxa"/>
              <w:right w:w="28" w:type="dxa"/>
            </w:tcMar>
            <w:vAlign w:val="center"/>
          </w:tcPr>
          <w:p w14:paraId="40177A31" w14:textId="77777777" w:rsidR="003B69DA" w:rsidRPr="008B619A" w:rsidRDefault="003B69DA" w:rsidP="006400F0">
            <w:pPr>
              <w:pStyle w:val="Standard"/>
              <w:snapToGrid w:val="0"/>
              <w:jc w:val="center"/>
              <w:rPr>
                <w:rFonts w:ascii="Times New Roman" w:hAnsi="Times New Roman" w:cs="Times New Roman"/>
                <w:color w:val="000000" w:themeColor="text1"/>
              </w:rPr>
            </w:pPr>
            <w:r w:rsidRPr="008B619A">
              <w:rPr>
                <w:rFonts w:ascii="Times New Roman" w:hAnsi="Times New Roman" w:cs="Times New Roman"/>
                <w:color w:val="000000" w:themeColor="text1"/>
                <w:sz w:val="22"/>
                <w:szCs w:val="22"/>
              </w:rPr>
              <w:t>21</w:t>
            </w:r>
          </w:p>
        </w:tc>
        <w:tc>
          <w:tcPr>
            <w:tcW w:w="788" w:type="dxa"/>
            <w:tcBorders>
              <w:bottom w:val="single" w:sz="4" w:space="0" w:color="000000"/>
            </w:tcBorders>
            <w:shd w:val="clear" w:color="auto" w:fill="92D050"/>
            <w:tcMar>
              <w:top w:w="0" w:type="dxa"/>
              <w:left w:w="28" w:type="dxa"/>
              <w:bottom w:w="0" w:type="dxa"/>
              <w:right w:w="28" w:type="dxa"/>
            </w:tcMar>
            <w:vAlign w:val="center"/>
          </w:tcPr>
          <w:p w14:paraId="5FB77C25" w14:textId="77777777" w:rsidR="003B69DA" w:rsidRPr="008B619A" w:rsidRDefault="003B69DA" w:rsidP="006400F0">
            <w:pPr>
              <w:pStyle w:val="Standard"/>
              <w:snapToGrid w:val="0"/>
              <w:jc w:val="center"/>
              <w:rPr>
                <w:rFonts w:ascii="Times New Roman" w:hAnsi="Times New Roman" w:cs="Times New Roman"/>
                <w:color w:val="000000" w:themeColor="text1"/>
              </w:rPr>
            </w:pPr>
            <w:r w:rsidRPr="008B619A">
              <w:rPr>
                <w:rFonts w:ascii="Times New Roman" w:hAnsi="Times New Roman" w:cs="Times New Roman"/>
                <w:color w:val="000000" w:themeColor="text1"/>
                <w:sz w:val="22"/>
                <w:szCs w:val="22"/>
              </w:rPr>
              <w:t>18</w:t>
            </w:r>
          </w:p>
        </w:tc>
        <w:tc>
          <w:tcPr>
            <w:tcW w:w="788" w:type="dxa"/>
            <w:tcBorders>
              <w:bottom w:val="single" w:sz="4" w:space="0" w:color="000000"/>
            </w:tcBorders>
            <w:shd w:val="clear" w:color="auto" w:fill="92D050"/>
            <w:tcMar>
              <w:top w:w="0" w:type="dxa"/>
              <w:left w:w="28" w:type="dxa"/>
              <w:bottom w:w="0" w:type="dxa"/>
              <w:right w:w="28" w:type="dxa"/>
            </w:tcMar>
            <w:vAlign w:val="center"/>
          </w:tcPr>
          <w:p w14:paraId="1D22892F" w14:textId="77777777" w:rsidR="003B69DA" w:rsidRPr="008B619A" w:rsidRDefault="003B69DA" w:rsidP="006400F0">
            <w:pPr>
              <w:pStyle w:val="Standard"/>
              <w:snapToGrid w:val="0"/>
              <w:jc w:val="center"/>
              <w:rPr>
                <w:rFonts w:ascii="Times New Roman" w:hAnsi="Times New Roman" w:cs="Times New Roman"/>
                <w:color w:val="000000" w:themeColor="text1"/>
              </w:rPr>
            </w:pPr>
            <w:r w:rsidRPr="008B619A">
              <w:rPr>
                <w:rFonts w:ascii="Times New Roman" w:hAnsi="Times New Roman" w:cs="Times New Roman"/>
                <w:color w:val="000000" w:themeColor="text1"/>
                <w:sz w:val="22"/>
                <w:szCs w:val="22"/>
              </w:rPr>
              <w:t>15</w:t>
            </w:r>
          </w:p>
        </w:tc>
        <w:tc>
          <w:tcPr>
            <w:tcW w:w="794" w:type="dxa"/>
            <w:tcBorders>
              <w:bottom w:val="single" w:sz="4" w:space="0" w:color="000000"/>
              <w:right w:val="single" w:sz="4" w:space="0" w:color="000000"/>
            </w:tcBorders>
            <w:shd w:val="clear" w:color="auto" w:fill="92D050"/>
            <w:tcMar>
              <w:top w:w="0" w:type="dxa"/>
              <w:left w:w="28" w:type="dxa"/>
              <w:bottom w:w="0" w:type="dxa"/>
              <w:right w:w="28" w:type="dxa"/>
            </w:tcMar>
            <w:vAlign w:val="center"/>
          </w:tcPr>
          <w:p w14:paraId="50F59F93" w14:textId="77777777" w:rsidR="003B69DA" w:rsidRPr="008B619A" w:rsidRDefault="003B69DA" w:rsidP="006400F0">
            <w:pPr>
              <w:pStyle w:val="Standard"/>
              <w:snapToGrid w:val="0"/>
              <w:jc w:val="center"/>
              <w:rPr>
                <w:rFonts w:ascii="Times New Roman" w:hAnsi="Times New Roman" w:cs="Times New Roman"/>
                <w:color w:val="000000" w:themeColor="text1"/>
              </w:rPr>
            </w:pPr>
            <w:r w:rsidRPr="008B619A">
              <w:rPr>
                <w:rFonts w:ascii="Times New Roman" w:hAnsi="Times New Roman" w:cs="Times New Roman"/>
                <w:color w:val="000000" w:themeColor="text1"/>
                <w:sz w:val="22"/>
                <w:szCs w:val="22"/>
              </w:rPr>
              <w:t>13</w:t>
            </w:r>
          </w:p>
        </w:tc>
        <w:tc>
          <w:tcPr>
            <w:tcW w:w="785" w:type="dxa"/>
            <w:tcBorders>
              <w:left w:val="single" w:sz="4" w:space="0" w:color="000000"/>
              <w:bottom w:val="single" w:sz="4" w:space="0" w:color="000000"/>
            </w:tcBorders>
            <w:shd w:val="clear" w:color="auto" w:fill="92D050"/>
            <w:tcMar>
              <w:top w:w="0" w:type="dxa"/>
              <w:left w:w="28" w:type="dxa"/>
              <w:bottom w:w="0" w:type="dxa"/>
              <w:right w:w="28" w:type="dxa"/>
            </w:tcMar>
            <w:vAlign w:val="center"/>
          </w:tcPr>
          <w:p w14:paraId="79F79986" w14:textId="77777777" w:rsidR="003B69DA" w:rsidRPr="008B619A" w:rsidRDefault="003B69DA" w:rsidP="006400F0">
            <w:pPr>
              <w:pStyle w:val="Standard"/>
              <w:snapToGrid w:val="0"/>
              <w:jc w:val="center"/>
              <w:rPr>
                <w:rFonts w:ascii="Times New Roman" w:hAnsi="Times New Roman" w:cs="Times New Roman"/>
                <w:color w:val="000000" w:themeColor="text1"/>
              </w:rPr>
            </w:pPr>
            <w:r w:rsidRPr="008B619A">
              <w:rPr>
                <w:rFonts w:ascii="Times New Roman" w:hAnsi="Times New Roman" w:cs="Times New Roman"/>
                <w:color w:val="000000" w:themeColor="text1"/>
                <w:sz w:val="22"/>
                <w:szCs w:val="22"/>
              </w:rPr>
              <w:t>-10</w:t>
            </w:r>
          </w:p>
        </w:tc>
        <w:tc>
          <w:tcPr>
            <w:tcW w:w="788" w:type="dxa"/>
            <w:tcBorders>
              <w:bottom w:val="single" w:sz="4" w:space="0" w:color="000000"/>
            </w:tcBorders>
            <w:shd w:val="clear" w:color="auto" w:fill="92D050"/>
            <w:tcMar>
              <w:top w:w="0" w:type="dxa"/>
              <w:left w:w="28" w:type="dxa"/>
              <w:bottom w:w="0" w:type="dxa"/>
              <w:right w:w="28" w:type="dxa"/>
            </w:tcMar>
            <w:vAlign w:val="center"/>
          </w:tcPr>
          <w:p w14:paraId="2AC9A2B1" w14:textId="77777777" w:rsidR="003B69DA" w:rsidRPr="008B619A" w:rsidRDefault="003B69DA" w:rsidP="006400F0">
            <w:pPr>
              <w:pStyle w:val="Standard"/>
              <w:snapToGrid w:val="0"/>
              <w:jc w:val="center"/>
              <w:rPr>
                <w:rFonts w:ascii="Times New Roman" w:hAnsi="Times New Roman" w:cs="Times New Roman"/>
                <w:color w:val="000000" w:themeColor="text1"/>
              </w:rPr>
            </w:pPr>
            <w:r w:rsidRPr="008B619A">
              <w:rPr>
                <w:rFonts w:ascii="Times New Roman" w:hAnsi="Times New Roman" w:cs="Times New Roman"/>
                <w:color w:val="000000" w:themeColor="text1"/>
                <w:sz w:val="22"/>
                <w:szCs w:val="22"/>
              </w:rPr>
              <w:t>-13</w:t>
            </w:r>
          </w:p>
        </w:tc>
        <w:tc>
          <w:tcPr>
            <w:tcW w:w="788" w:type="dxa"/>
            <w:tcBorders>
              <w:bottom w:val="single" w:sz="4" w:space="0" w:color="000000"/>
            </w:tcBorders>
            <w:shd w:val="clear" w:color="auto" w:fill="92D050"/>
            <w:tcMar>
              <w:top w:w="0" w:type="dxa"/>
              <w:left w:w="28" w:type="dxa"/>
              <w:bottom w:w="0" w:type="dxa"/>
              <w:right w:w="28" w:type="dxa"/>
            </w:tcMar>
            <w:vAlign w:val="center"/>
          </w:tcPr>
          <w:p w14:paraId="14732144" w14:textId="77777777" w:rsidR="003B69DA" w:rsidRPr="008B619A" w:rsidRDefault="003B69DA" w:rsidP="006400F0">
            <w:pPr>
              <w:pStyle w:val="Standard"/>
              <w:snapToGrid w:val="0"/>
              <w:jc w:val="center"/>
              <w:rPr>
                <w:rFonts w:ascii="Times New Roman" w:hAnsi="Times New Roman" w:cs="Times New Roman"/>
                <w:color w:val="000000" w:themeColor="text1"/>
              </w:rPr>
            </w:pPr>
            <w:r w:rsidRPr="008B619A">
              <w:rPr>
                <w:rFonts w:ascii="Times New Roman" w:hAnsi="Times New Roman" w:cs="Times New Roman"/>
                <w:color w:val="000000" w:themeColor="text1"/>
                <w:sz w:val="22"/>
                <w:szCs w:val="22"/>
              </w:rPr>
              <w:t>-16</w:t>
            </w:r>
          </w:p>
        </w:tc>
        <w:tc>
          <w:tcPr>
            <w:tcW w:w="794" w:type="dxa"/>
            <w:tcBorders>
              <w:bottom w:val="single" w:sz="4" w:space="0" w:color="000000"/>
            </w:tcBorders>
            <w:shd w:val="clear" w:color="auto" w:fill="92D050"/>
            <w:tcMar>
              <w:top w:w="0" w:type="dxa"/>
              <w:left w:w="28" w:type="dxa"/>
              <w:bottom w:w="0" w:type="dxa"/>
              <w:right w:w="28" w:type="dxa"/>
            </w:tcMar>
            <w:vAlign w:val="center"/>
          </w:tcPr>
          <w:p w14:paraId="1FCFF3B0" w14:textId="77777777" w:rsidR="003B69DA" w:rsidRPr="008B619A" w:rsidRDefault="003B69DA" w:rsidP="006400F0">
            <w:pPr>
              <w:pStyle w:val="Standard"/>
              <w:snapToGrid w:val="0"/>
              <w:jc w:val="center"/>
              <w:rPr>
                <w:rFonts w:ascii="Times New Roman" w:hAnsi="Times New Roman" w:cs="Times New Roman"/>
                <w:color w:val="000000" w:themeColor="text1"/>
              </w:rPr>
            </w:pPr>
            <w:r w:rsidRPr="008B619A">
              <w:rPr>
                <w:rFonts w:ascii="Times New Roman" w:hAnsi="Times New Roman" w:cs="Times New Roman"/>
                <w:color w:val="000000" w:themeColor="text1"/>
                <w:sz w:val="22"/>
                <w:szCs w:val="22"/>
              </w:rPr>
              <w:t>-18</w:t>
            </w:r>
          </w:p>
        </w:tc>
      </w:tr>
      <w:tr w:rsidR="008B619A" w:rsidRPr="008B619A" w14:paraId="26F09A87" w14:textId="77777777" w:rsidTr="006B5530">
        <w:tc>
          <w:tcPr>
            <w:tcW w:w="284" w:type="dxa"/>
            <w:vMerge w:val="restart"/>
            <w:tcBorders>
              <w:top w:val="single" w:sz="4" w:space="0" w:color="000000"/>
              <w:bottom w:val="single" w:sz="4" w:space="0" w:color="000000"/>
              <w:right w:val="single" w:sz="4" w:space="0" w:color="000000"/>
            </w:tcBorders>
            <w:tcMar>
              <w:top w:w="0" w:type="dxa"/>
              <w:left w:w="28" w:type="dxa"/>
              <w:bottom w:w="0" w:type="dxa"/>
              <w:right w:w="28" w:type="dxa"/>
            </w:tcMar>
            <w:vAlign w:val="center"/>
          </w:tcPr>
          <w:p w14:paraId="168D7AFD" w14:textId="77777777" w:rsidR="003B69DA" w:rsidRPr="008B619A" w:rsidRDefault="003B69DA" w:rsidP="006400F0">
            <w:pPr>
              <w:pStyle w:val="Standard"/>
              <w:keepNext/>
              <w:snapToGrid w:val="0"/>
              <w:jc w:val="center"/>
              <w:rPr>
                <w:rFonts w:ascii="Times New Roman" w:hAnsi="Times New Roman" w:cs="Times New Roman"/>
                <w:color w:val="000000" w:themeColor="text1"/>
              </w:rPr>
            </w:pPr>
            <w:r w:rsidRPr="008B619A">
              <w:rPr>
                <w:rFonts w:ascii="Times New Roman" w:eastAsia="標楷體" w:hAnsi="Times New Roman" w:cs="Times New Roman"/>
                <w:color w:val="000000" w:themeColor="text1"/>
                <w:sz w:val="22"/>
                <w:szCs w:val="22"/>
              </w:rPr>
              <w:t>低推估</w:t>
            </w:r>
          </w:p>
        </w:tc>
        <w:tc>
          <w:tcPr>
            <w:tcW w:w="1576" w:type="dxa"/>
            <w:tcBorders>
              <w:top w:val="single" w:sz="4" w:space="0" w:color="000000"/>
              <w:left w:val="single" w:sz="4" w:space="0" w:color="000000"/>
              <w:right w:val="single" w:sz="4" w:space="0" w:color="000000"/>
            </w:tcBorders>
            <w:tcMar>
              <w:top w:w="0" w:type="dxa"/>
              <w:left w:w="28" w:type="dxa"/>
              <w:bottom w:w="0" w:type="dxa"/>
              <w:right w:w="28" w:type="dxa"/>
            </w:tcMar>
            <w:vAlign w:val="center"/>
          </w:tcPr>
          <w:p w14:paraId="4CB3F395" w14:textId="77777777" w:rsidR="003B69DA" w:rsidRPr="008B619A" w:rsidRDefault="003B69DA" w:rsidP="006400F0">
            <w:pPr>
              <w:pStyle w:val="Standard"/>
              <w:keepNext/>
              <w:snapToGrid w:val="0"/>
              <w:rPr>
                <w:rFonts w:ascii="Times New Roman" w:hAnsi="Times New Roman" w:cs="Times New Roman"/>
                <w:color w:val="000000" w:themeColor="text1"/>
              </w:rPr>
            </w:pPr>
            <w:r w:rsidRPr="008B619A">
              <w:rPr>
                <w:rFonts w:ascii="Times New Roman" w:eastAsia="標楷體" w:hAnsi="Times New Roman" w:cs="Times New Roman"/>
                <w:color w:val="000000" w:themeColor="text1"/>
                <w:sz w:val="22"/>
                <w:szCs w:val="22"/>
              </w:rPr>
              <w:t xml:space="preserve"> 6</w:t>
            </w:r>
            <w:r w:rsidRPr="008B619A">
              <w:rPr>
                <w:rFonts w:ascii="Times New Roman" w:eastAsia="標楷體" w:hAnsi="Times New Roman" w:cs="Times New Roman"/>
                <w:color w:val="000000" w:themeColor="text1"/>
                <w:sz w:val="22"/>
                <w:szCs w:val="22"/>
              </w:rPr>
              <w:t>歲（國小）</w:t>
            </w:r>
          </w:p>
        </w:tc>
        <w:tc>
          <w:tcPr>
            <w:tcW w:w="786"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E947365" w14:textId="77777777" w:rsidR="003B69DA" w:rsidRPr="008B619A" w:rsidRDefault="003B69DA" w:rsidP="006400F0">
            <w:pPr>
              <w:pStyle w:val="Standard"/>
              <w:snapToGrid w:val="0"/>
              <w:jc w:val="center"/>
              <w:rPr>
                <w:rFonts w:ascii="Times New Roman" w:hAnsi="Times New Roman" w:cs="Times New Roman"/>
                <w:color w:val="000000" w:themeColor="text1"/>
              </w:rPr>
            </w:pPr>
            <w:r w:rsidRPr="008B619A">
              <w:rPr>
                <w:rFonts w:ascii="Times New Roman" w:eastAsia="標楷體" w:hAnsi="Times New Roman" w:cs="Times New Roman"/>
                <w:b/>
                <w:color w:val="000000" w:themeColor="text1"/>
                <w:sz w:val="22"/>
                <w:szCs w:val="22"/>
              </w:rPr>
              <w:t>(</w:t>
            </w:r>
            <w:r w:rsidRPr="008B619A">
              <w:rPr>
                <w:rFonts w:ascii="Times New Roman" w:eastAsia="標楷體" w:hAnsi="Times New Roman" w:cs="Times New Roman"/>
                <w:b/>
                <w:color w:val="000000" w:themeColor="text1"/>
                <w:sz w:val="22"/>
                <w:szCs w:val="22"/>
                <w:lang w:eastAsia="zh-HK"/>
              </w:rPr>
              <w:t>同中</w:t>
            </w:r>
            <w:r w:rsidRPr="008B619A">
              <w:rPr>
                <w:rFonts w:ascii="Times New Roman" w:eastAsia="標楷體" w:hAnsi="Times New Roman" w:cs="Times New Roman"/>
                <w:b/>
                <w:color w:val="000000" w:themeColor="text1"/>
                <w:sz w:val="22"/>
                <w:szCs w:val="22"/>
                <w:lang w:eastAsia="zh-HK"/>
              </w:rPr>
              <w:br/>
            </w:r>
            <w:r w:rsidRPr="008B619A">
              <w:rPr>
                <w:rFonts w:ascii="Times New Roman" w:eastAsia="標楷體" w:hAnsi="Times New Roman" w:cs="Times New Roman"/>
                <w:b/>
                <w:color w:val="000000" w:themeColor="text1"/>
                <w:sz w:val="22"/>
                <w:szCs w:val="22"/>
                <w:lang w:eastAsia="zh-HK"/>
              </w:rPr>
              <w:t>推估</w:t>
            </w:r>
            <w:r w:rsidRPr="008B619A">
              <w:rPr>
                <w:rFonts w:ascii="Times New Roman" w:eastAsia="標楷體" w:hAnsi="Times New Roman" w:cs="Times New Roman"/>
                <w:b/>
                <w:color w:val="000000" w:themeColor="text1"/>
                <w:sz w:val="22"/>
                <w:szCs w:val="22"/>
                <w:lang w:eastAsia="zh-HK"/>
              </w:rPr>
              <w:t>)</w:t>
            </w:r>
          </w:p>
        </w:tc>
        <w:tc>
          <w:tcPr>
            <w:tcW w:w="787" w:type="dxa"/>
            <w:tcBorders>
              <w:top w:val="single" w:sz="4" w:space="0" w:color="000000"/>
              <w:left w:val="single" w:sz="4" w:space="0" w:color="000000"/>
            </w:tcBorders>
            <w:tcMar>
              <w:top w:w="0" w:type="dxa"/>
              <w:left w:w="28" w:type="dxa"/>
              <w:bottom w:w="0" w:type="dxa"/>
              <w:right w:w="28" w:type="dxa"/>
            </w:tcMar>
            <w:vAlign w:val="center"/>
          </w:tcPr>
          <w:p w14:paraId="101BC27C" w14:textId="77777777" w:rsidR="003B69DA" w:rsidRPr="008B619A" w:rsidRDefault="003B69DA" w:rsidP="006400F0">
            <w:pPr>
              <w:pStyle w:val="Standard"/>
              <w:snapToGrid w:val="0"/>
              <w:jc w:val="center"/>
              <w:rPr>
                <w:rFonts w:ascii="Times New Roman" w:hAnsi="Times New Roman" w:cs="Times New Roman"/>
                <w:color w:val="000000" w:themeColor="text1"/>
              </w:rPr>
            </w:pPr>
            <w:r w:rsidRPr="008B619A">
              <w:rPr>
                <w:rFonts w:ascii="Times New Roman" w:hAnsi="Times New Roman" w:cs="Times New Roman"/>
                <w:color w:val="000000" w:themeColor="text1"/>
                <w:sz w:val="22"/>
                <w:szCs w:val="22"/>
              </w:rPr>
              <w:t>18</w:t>
            </w:r>
          </w:p>
        </w:tc>
        <w:tc>
          <w:tcPr>
            <w:tcW w:w="788" w:type="dxa"/>
            <w:tcBorders>
              <w:top w:val="single" w:sz="4" w:space="0" w:color="000000"/>
            </w:tcBorders>
            <w:tcMar>
              <w:top w:w="0" w:type="dxa"/>
              <w:left w:w="28" w:type="dxa"/>
              <w:bottom w:w="0" w:type="dxa"/>
              <w:right w:w="28" w:type="dxa"/>
            </w:tcMar>
            <w:vAlign w:val="center"/>
          </w:tcPr>
          <w:p w14:paraId="1400CBE4" w14:textId="77777777" w:rsidR="003B69DA" w:rsidRPr="008B619A" w:rsidRDefault="003B69DA" w:rsidP="006400F0">
            <w:pPr>
              <w:pStyle w:val="Standard"/>
              <w:snapToGrid w:val="0"/>
              <w:jc w:val="center"/>
              <w:rPr>
                <w:rFonts w:ascii="Times New Roman" w:hAnsi="Times New Roman" w:cs="Times New Roman"/>
                <w:color w:val="000000" w:themeColor="text1"/>
              </w:rPr>
            </w:pPr>
            <w:r w:rsidRPr="008B619A">
              <w:rPr>
                <w:rFonts w:ascii="Times New Roman" w:hAnsi="Times New Roman" w:cs="Times New Roman"/>
                <w:color w:val="000000" w:themeColor="text1"/>
                <w:sz w:val="22"/>
                <w:szCs w:val="22"/>
              </w:rPr>
              <w:t>13</w:t>
            </w:r>
          </w:p>
        </w:tc>
        <w:tc>
          <w:tcPr>
            <w:tcW w:w="788" w:type="dxa"/>
            <w:tcBorders>
              <w:top w:val="single" w:sz="4" w:space="0" w:color="000000"/>
            </w:tcBorders>
            <w:tcMar>
              <w:top w:w="0" w:type="dxa"/>
              <w:left w:w="28" w:type="dxa"/>
              <w:bottom w:w="0" w:type="dxa"/>
              <w:right w:w="28" w:type="dxa"/>
            </w:tcMar>
            <w:vAlign w:val="center"/>
          </w:tcPr>
          <w:p w14:paraId="7D9AB02F" w14:textId="77777777" w:rsidR="003B69DA" w:rsidRPr="008B619A" w:rsidRDefault="003B69DA" w:rsidP="006400F0">
            <w:pPr>
              <w:pStyle w:val="Standard"/>
              <w:snapToGrid w:val="0"/>
              <w:jc w:val="center"/>
              <w:rPr>
                <w:rFonts w:ascii="Times New Roman" w:hAnsi="Times New Roman" w:cs="Times New Roman"/>
                <w:color w:val="000000" w:themeColor="text1"/>
              </w:rPr>
            </w:pPr>
            <w:r w:rsidRPr="008B619A">
              <w:rPr>
                <w:rFonts w:ascii="Times New Roman" w:hAnsi="Times New Roman" w:cs="Times New Roman"/>
                <w:color w:val="000000" w:themeColor="text1"/>
                <w:sz w:val="22"/>
                <w:szCs w:val="22"/>
              </w:rPr>
              <w:t>10</w:t>
            </w:r>
          </w:p>
        </w:tc>
        <w:tc>
          <w:tcPr>
            <w:tcW w:w="794" w:type="dxa"/>
            <w:tcBorders>
              <w:top w:val="single" w:sz="4" w:space="0" w:color="000000"/>
              <w:right w:val="single" w:sz="4" w:space="0" w:color="000000"/>
            </w:tcBorders>
            <w:tcMar>
              <w:top w:w="0" w:type="dxa"/>
              <w:left w:w="28" w:type="dxa"/>
              <w:bottom w:w="0" w:type="dxa"/>
              <w:right w:w="28" w:type="dxa"/>
            </w:tcMar>
            <w:vAlign w:val="center"/>
          </w:tcPr>
          <w:p w14:paraId="3265EA6B" w14:textId="77777777" w:rsidR="003B69DA" w:rsidRPr="008B619A" w:rsidRDefault="003B69DA" w:rsidP="006400F0">
            <w:pPr>
              <w:pStyle w:val="Standard"/>
              <w:snapToGrid w:val="0"/>
              <w:jc w:val="center"/>
              <w:rPr>
                <w:rFonts w:ascii="Times New Roman" w:hAnsi="Times New Roman" w:cs="Times New Roman"/>
                <w:color w:val="000000" w:themeColor="text1"/>
              </w:rPr>
            </w:pPr>
            <w:r w:rsidRPr="008B619A">
              <w:rPr>
                <w:rFonts w:ascii="Times New Roman" w:hAnsi="Times New Roman" w:cs="Times New Roman"/>
                <w:color w:val="000000" w:themeColor="text1"/>
                <w:sz w:val="22"/>
                <w:szCs w:val="22"/>
              </w:rPr>
              <w:t>8</w:t>
            </w:r>
          </w:p>
        </w:tc>
        <w:tc>
          <w:tcPr>
            <w:tcW w:w="785" w:type="dxa"/>
            <w:tcBorders>
              <w:top w:val="single" w:sz="4" w:space="0" w:color="000000"/>
              <w:left w:val="single" w:sz="4" w:space="0" w:color="000000"/>
            </w:tcBorders>
            <w:tcMar>
              <w:top w:w="0" w:type="dxa"/>
              <w:left w:w="28" w:type="dxa"/>
              <w:bottom w:w="0" w:type="dxa"/>
              <w:right w:w="28" w:type="dxa"/>
            </w:tcMar>
            <w:vAlign w:val="center"/>
          </w:tcPr>
          <w:p w14:paraId="0ADEE1B7" w14:textId="77777777" w:rsidR="003B69DA" w:rsidRPr="008B619A" w:rsidRDefault="003B69DA" w:rsidP="006400F0">
            <w:pPr>
              <w:pStyle w:val="Standard"/>
              <w:snapToGrid w:val="0"/>
              <w:jc w:val="center"/>
              <w:rPr>
                <w:rFonts w:ascii="Times New Roman" w:hAnsi="Times New Roman" w:cs="Times New Roman"/>
                <w:color w:val="000000" w:themeColor="text1"/>
              </w:rPr>
            </w:pPr>
            <w:r w:rsidRPr="008B619A">
              <w:rPr>
                <w:rFonts w:ascii="Times New Roman" w:hAnsi="Times New Roman" w:cs="Times New Roman"/>
                <w:color w:val="000000" w:themeColor="text1"/>
                <w:sz w:val="22"/>
                <w:szCs w:val="22"/>
              </w:rPr>
              <w:t>-3</w:t>
            </w:r>
          </w:p>
        </w:tc>
        <w:tc>
          <w:tcPr>
            <w:tcW w:w="788" w:type="dxa"/>
            <w:tcBorders>
              <w:top w:val="single" w:sz="4" w:space="0" w:color="000000"/>
            </w:tcBorders>
            <w:tcMar>
              <w:top w:w="0" w:type="dxa"/>
              <w:left w:w="28" w:type="dxa"/>
              <w:bottom w:w="0" w:type="dxa"/>
              <w:right w:w="28" w:type="dxa"/>
            </w:tcMar>
            <w:vAlign w:val="center"/>
          </w:tcPr>
          <w:p w14:paraId="2385F0F7" w14:textId="77777777" w:rsidR="003B69DA" w:rsidRPr="008B619A" w:rsidRDefault="003B69DA" w:rsidP="006400F0">
            <w:pPr>
              <w:pStyle w:val="Standard"/>
              <w:snapToGrid w:val="0"/>
              <w:jc w:val="center"/>
              <w:rPr>
                <w:rFonts w:ascii="Times New Roman" w:hAnsi="Times New Roman" w:cs="Times New Roman"/>
                <w:color w:val="000000" w:themeColor="text1"/>
              </w:rPr>
            </w:pPr>
            <w:r w:rsidRPr="008B619A">
              <w:rPr>
                <w:rFonts w:ascii="Times New Roman" w:hAnsi="Times New Roman" w:cs="Times New Roman"/>
                <w:color w:val="000000" w:themeColor="text1"/>
                <w:sz w:val="22"/>
                <w:szCs w:val="22"/>
              </w:rPr>
              <w:t>-9</w:t>
            </w:r>
          </w:p>
        </w:tc>
        <w:tc>
          <w:tcPr>
            <w:tcW w:w="788" w:type="dxa"/>
            <w:tcBorders>
              <w:top w:val="single" w:sz="4" w:space="0" w:color="000000"/>
            </w:tcBorders>
            <w:tcMar>
              <w:top w:w="0" w:type="dxa"/>
              <w:left w:w="28" w:type="dxa"/>
              <w:bottom w:w="0" w:type="dxa"/>
              <w:right w:w="28" w:type="dxa"/>
            </w:tcMar>
            <w:vAlign w:val="center"/>
          </w:tcPr>
          <w:p w14:paraId="6479F225" w14:textId="77777777" w:rsidR="003B69DA" w:rsidRPr="008B619A" w:rsidRDefault="003B69DA" w:rsidP="006400F0">
            <w:pPr>
              <w:pStyle w:val="Standard"/>
              <w:snapToGrid w:val="0"/>
              <w:jc w:val="center"/>
              <w:rPr>
                <w:rFonts w:ascii="Times New Roman" w:hAnsi="Times New Roman" w:cs="Times New Roman"/>
                <w:color w:val="000000" w:themeColor="text1"/>
              </w:rPr>
            </w:pPr>
            <w:r w:rsidRPr="008B619A">
              <w:rPr>
                <w:rFonts w:ascii="Times New Roman" w:hAnsi="Times New Roman" w:cs="Times New Roman"/>
                <w:color w:val="000000" w:themeColor="text1"/>
                <w:sz w:val="22"/>
                <w:szCs w:val="22"/>
              </w:rPr>
              <w:t>-11</w:t>
            </w:r>
          </w:p>
        </w:tc>
        <w:tc>
          <w:tcPr>
            <w:tcW w:w="794" w:type="dxa"/>
            <w:tcBorders>
              <w:top w:val="single" w:sz="4" w:space="0" w:color="000000"/>
            </w:tcBorders>
            <w:tcMar>
              <w:top w:w="0" w:type="dxa"/>
              <w:left w:w="28" w:type="dxa"/>
              <w:bottom w:w="0" w:type="dxa"/>
              <w:right w:w="28" w:type="dxa"/>
            </w:tcMar>
            <w:vAlign w:val="center"/>
          </w:tcPr>
          <w:p w14:paraId="354B5B0C" w14:textId="77777777" w:rsidR="003B69DA" w:rsidRPr="008B619A" w:rsidRDefault="003B69DA" w:rsidP="006400F0">
            <w:pPr>
              <w:pStyle w:val="Standard"/>
              <w:snapToGrid w:val="0"/>
              <w:jc w:val="center"/>
              <w:rPr>
                <w:rFonts w:ascii="Times New Roman" w:hAnsi="Times New Roman" w:cs="Times New Roman"/>
                <w:color w:val="000000" w:themeColor="text1"/>
              </w:rPr>
            </w:pPr>
            <w:r w:rsidRPr="008B619A">
              <w:rPr>
                <w:rFonts w:ascii="Times New Roman" w:hAnsi="Times New Roman" w:cs="Times New Roman"/>
                <w:color w:val="000000" w:themeColor="text1"/>
                <w:sz w:val="22"/>
                <w:szCs w:val="22"/>
              </w:rPr>
              <w:t>-13</w:t>
            </w:r>
          </w:p>
        </w:tc>
      </w:tr>
      <w:tr w:rsidR="008B619A" w:rsidRPr="008B619A" w14:paraId="20EA4AD6" w14:textId="77777777" w:rsidTr="006B5530">
        <w:tc>
          <w:tcPr>
            <w:tcW w:w="284" w:type="dxa"/>
            <w:vMerge/>
            <w:tcBorders>
              <w:top w:val="single" w:sz="4" w:space="0" w:color="000000"/>
              <w:bottom w:val="single" w:sz="4" w:space="0" w:color="000000"/>
              <w:right w:val="single" w:sz="4" w:space="0" w:color="000000"/>
            </w:tcBorders>
            <w:tcMar>
              <w:top w:w="0" w:type="dxa"/>
              <w:left w:w="28" w:type="dxa"/>
              <w:bottom w:w="0" w:type="dxa"/>
              <w:right w:w="28" w:type="dxa"/>
            </w:tcMar>
            <w:vAlign w:val="center"/>
          </w:tcPr>
          <w:p w14:paraId="7764E53C" w14:textId="77777777" w:rsidR="003B69DA" w:rsidRPr="008B619A" w:rsidRDefault="003B69DA" w:rsidP="006400F0">
            <w:pPr>
              <w:rPr>
                <w:rFonts w:ascii="Times New Roman"/>
                <w:color w:val="000000" w:themeColor="text1"/>
              </w:rPr>
            </w:pPr>
          </w:p>
        </w:tc>
        <w:tc>
          <w:tcPr>
            <w:tcW w:w="1576" w:type="dxa"/>
            <w:tcBorders>
              <w:left w:val="single" w:sz="4" w:space="0" w:color="000000"/>
              <w:right w:val="single" w:sz="4" w:space="0" w:color="000000"/>
            </w:tcBorders>
            <w:tcMar>
              <w:top w:w="0" w:type="dxa"/>
              <w:left w:w="28" w:type="dxa"/>
              <w:bottom w:w="0" w:type="dxa"/>
              <w:right w:w="28" w:type="dxa"/>
            </w:tcMar>
            <w:vAlign w:val="center"/>
          </w:tcPr>
          <w:p w14:paraId="74BB37D6" w14:textId="77777777" w:rsidR="003B69DA" w:rsidRPr="008B619A" w:rsidRDefault="003B69DA" w:rsidP="006400F0">
            <w:pPr>
              <w:pStyle w:val="Standard"/>
              <w:keepNext/>
              <w:snapToGrid w:val="0"/>
              <w:rPr>
                <w:rFonts w:ascii="Times New Roman" w:hAnsi="Times New Roman" w:cs="Times New Roman"/>
                <w:color w:val="000000" w:themeColor="text1"/>
              </w:rPr>
            </w:pPr>
            <w:r w:rsidRPr="008B619A">
              <w:rPr>
                <w:rFonts w:ascii="Times New Roman" w:eastAsia="標楷體" w:hAnsi="Times New Roman" w:cs="Times New Roman"/>
                <w:color w:val="000000" w:themeColor="text1"/>
                <w:sz w:val="22"/>
                <w:szCs w:val="22"/>
              </w:rPr>
              <w:t>12</w:t>
            </w:r>
            <w:r w:rsidRPr="008B619A">
              <w:rPr>
                <w:rFonts w:ascii="Times New Roman" w:eastAsia="標楷體" w:hAnsi="Times New Roman" w:cs="Times New Roman"/>
                <w:color w:val="000000" w:themeColor="text1"/>
                <w:sz w:val="22"/>
                <w:szCs w:val="22"/>
              </w:rPr>
              <w:t>歲（國中）</w:t>
            </w:r>
          </w:p>
        </w:tc>
        <w:tc>
          <w:tcPr>
            <w:tcW w:w="786"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D5A157C" w14:textId="77777777" w:rsidR="003B69DA" w:rsidRPr="008B619A" w:rsidRDefault="003B69DA" w:rsidP="006400F0">
            <w:pPr>
              <w:rPr>
                <w:rFonts w:ascii="Times New Roman"/>
                <w:color w:val="000000" w:themeColor="text1"/>
              </w:rPr>
            </w:pPr>
          </w:p>
        </w:tc>
        <w:tc>
          <w:tcPr>
            <w:tcW w:w="787" w:type="dxa"/>
            <w:tcBorders>
              <w:left w:val="single" w:sz="4" w:space="0" w:color="000000"/>
            </w:tcBorders>
            <w:tcMar>
              <w:top w:w="0" w:type="dxa"/>
              <w:left w:w="28" w:type="dxa"/>
              <w:bottom w:w="0" w:type="dxa"/>
              <w:right w:w="28" w:type="dxa"/>
            </w:tcMar>
            <w:vAlign w:val="center"/>
          </w:tcPr>
          <w:p w14:paraId="13F722EC" w14:textId="77777777" w:rsidR="003B69DA" w:rsidRPr="008B619A" w:rsidRDefault="003B69DA" w:rsidP="006400F0">
            <w:pPr>
              <w:pStyle w:val="Standard"/>
              <w:snapToGrid w:val="0"/>
              <w:jc w:val="center"/>
              <w:rPr>
                <w:rFonts w:ascii="Times New Roman" w:hAnsi="Times New Roman" w:cs="Times New Roman"/>
                <w:color w:val="000000" w:themeColor="text1"/>
              </w:rPr>
            </w:pPr>
            <w:r w:rsidRPr="008B619A">
              <w:rPr>
                <w:rFonts w:ascii="Times New Roman" w:hAnsi="Times New Roman" w:cs="Times New Roman"/>
                <w:color w:val="000000" w:themeColor="text1"/>
                <w:sz w:val="22"/>
                <w:szCs w:val="22"/>
              </w:rPr>
              <w:t>20</w:t>
            </w:r>
          </w:p>
        </w:tc>
        <w:tc>
          <w:tcPr>
            <w:tcW w:w="788" w:type="dxa"/>
            <w:tcMar>
              <w:top w:w="0" w:type="dxa"/>
              <w:left w:w="28" w:type="dxa"/>
              <w:bottom w:w="0" w:type="dxa"/>
              <w:right w:w="28" w:type="dxa"/>
            </w:tcMar>
            <w:vAlign w:val="center"/>
          </w:tcPr>
          <w:p w14:paraId="0B03684B" w14:textId="77777777" w:rsidR="003B69DA" w:rsidRPr="008B619A" w:rsidRDefault="003B69DA" w:rsidP="006400F0">
            <w:pPr>
              <w:pStyle w:val="Standard"/>
              <w:snapToGrid w:val="0"/>
              <w:jc w:val="center"/>
              <w:rPr>
                <w:rFonts w:ascii="Times New Roman" w:hAnsi="Times New Roman" w:cs="Times New Roman"/>
                <w:color w:val="000000" w:themeColor="text1"/>
              </w:rPr>
            </w:pPr>
            <w:r w:rsidRPr="008B619A">
              <w:rPr>
                <w:rFonts w:ascii="Times New Roman" w:hAnsi="Times New Roman" w:cs="Times New Roman"/>
                <w:color w:val="000000" w:themeColor="text1"/>
                <w:sz w:val="22"/>
                <w:szCs w:val="22"/>
              </w:rPr>
              <w:t>14</w:t>
            </w:r>
          </w:p>
        </w:tc>
        <w:tc>
          <w:tcPr>
            <w:tcW w:w="788" w:type="dxa"/>
            <w:tcMar>
              <w:top w:w="0" w:type="dxa"/>
              <w:left w:w="28" w:type="dxa"/>
              <w:bottom w:w="0" w:type="dxa"/>
              <w:right w:w="28" w:type="dxa"/>
            </w:tcMar>
            <w:vAlign w:val="center"/>
          </w:tcPr>
          <w:p w14:paraId="1CC4AD56" w14:textId="77777777" w:rsidR="003B69DA" w:rsidRPr="008B619A" w:rsidRDefault="003B69DA" w:rsidP="006400F0">
            <w:pPr>
              <w:pStyle w:val="Standard"/>
              <w:snapToGrid w:val="0"/>
              <w:jc w:val="center"/>
              <w:rPr>
                <w:rFonts w:ascii="Times New Roman" w:hAnsi="Times New Roman" w:cs="Times New Roman"/>
                <w:color w:val="000000" w:themeColor="text1"/>
              </w:rPr>
            </w:pPr>
            <w:r w:rsidRPr="008B619A">
              <w:rPr>
                <w:rFonts w:ascii="Times New Roman" w:hAnsi="Times New Roman" w:cs="Times New Roman"/>
                <w:color w:val="000000" w:themeColor="text1"/>
                <w:sz w:val="22"/>
                <w:szCs w:val="22"/>
              </w:rPr>
              <w:t>11</w:t>
            </w:r>
          </w:p>
        </w:tc>
        <w:tc>
          <w:tcPr>
            <w:tcW w:w="794" w:type="dxa"/>
            <w:tcBorders>
              <w:right w:val="single" w:sz="4" w:space="0" w:color="000000"/>
            </w:tcBorders>
            <w:tcMar>
              <w:top w:w="0" w:type="dxa"/>
              <w:left w:w="28" w:type="dxa"/>
              <w:bottom w:w="0" w:type="dxa"/>
              <w:right w:w="28" w:type="dxa"/>
            </w:tcMar>
            <w:vAlign w:val="center"/>
          </w:tcPr>
          <w:p w14:paraId="403A7689" w14:textId="77777777" w:rsidR="003B69DA" w:rsidRPr="008B619A" w:rsidRDefault="003B69DA" w:rsidP="006400F0">
            <w:pPr>
              <w:pStyle w:val="Standard"/>
              <w:snapToGrid w:val="0"/>
              <w:jc w:val="center"/>
              <w:rPr>
                <w:rFonts w:ascii="Times New Roman" w:hAnsi="Times New Roman" w:cs="Times New Roman"/>
                <w:color w:val="000000" w:themeColor="text1"/>
              </w:rPr>
            </w:pPr>
            <w:r w:rsidRPr="008B619A">
              <w:rPr>
                <w:rFonts w:ascii="Times New Roman" w:hAnsi="Times New Roman" w:cs="Times New Roman"/>
                <w:color w:val="000000" w:themeColor="text1"/>
                <w:sz w:val="22"/>
                <w:szCs w:val="22"/>
              </w:rPr>
              <w:t>9</w:t>
            </w:r>
          </w:p>
        </w:tc>
        <w:tc>
          <w:tcPr>
            <w:tcW w:w="785" w:type="dxa"/>
            <w:tcBorders>
              <w:left w:val="single" w:sz="4" w:space="0" w:color="000000"/>
            </w:tcBorders>
            <w:tcMar>
              <w:top w:w="0" w:type="dxa"/>
              <w:left w:w="28" w:type="dxa"/>
              <w:bottom w:w="0" w:type="dxa"/>
              <w:right w:w="28" w:type="dxa"/>
            </w:tcMar>
            <w:vAlign w:val="center"/>
          </w:tcPr>
          <w:p w14:paraId="1DE24BC0" w14:textId="77777777" w:rsidR="003B69DA" w:rsidRPr="008B619A" w:rsidRDefault="003B69DA" w:rsidP="006400F0">
            <w:pPr>
              <w:pStyle w:val="Standard"/>
              <w:snapToGrid w:val="0"/>
              <w:jc w:val="center"/>
              <w:rPr>
                <w:rFonts w:ascii="Times New Roman" w:hAnsi="Times New Roman" w:cs="Times New Roman"/>
                <w:color w:val="000000" w:themeColor="text1"/>
              </w:rPr>
            </w:pPr>
            <w:r w:rsidRPr="008B619A">
              <w:rPr>
                <w:rFonts w:ascii="Times New Roman" w:hAnsi="Times New Roman" w:cs="Times New Roman"/>
                <w:color w:val="000000" w:themeColor="text1"/>
                <w:sz w:val="22"/>
                <w:szCs w:val="22"/>
              </w:rPr>
              <w:t>-6</w:t>
            </w:r>
          </w:p>
        </w:tc>
        <w:tc>
          <w:tcPr>
            <w:tcW w:w="788" w:type="dxa"/>
            <w:tcMar>
              <w:top w:w="0" w:type="dxa"/>
              <w:left w:w="28" w:type="dxa"/>
              <w:bottom w:w="0" w:type="dxa"/>
              <w:right w:w="28" w:type="dxa"/>
            </w:tcMar>
            <w:vAlign w:val="center"/>
          </w:tcPr>
          <w:p w14:paraId="0D80C065" w14:textId="77777777" w:rsidR="003B69DA" w:rsidRPr="008B619A" w:rsidRDefault="003B69DA" w:rsidP="006400F0">
            <w:pPr>
              <w:pStyle w:val="Standard"/>
              <w:snapToGrid w:val="0"/>
              <w:jc w:val="center"/>
              <w:rPr>
                <w:rFonts w:ascii="Times New Roman" w:hAnsi="Times New Roman" w:cs="Times New Roman"/>
                <w:color w:val="000000" w:themeColor="text1"/>
              </w:rPr>
            </w:pPr>
            <w:r w:rsidRPr="008B619A">
              <w:rPr>
                <w:rFonts w:ascii="Times New Roman" w:hAnsi="Times New Roman" w:cs="Times New Roman"/>
                <w:color w:val="000000" w:themeColor="text1"/>
                <w:sz w:val="22"/>
                <w:szCs w:val="22"/>
              </w:rPr>
              <w:t>-11</w:t>
            </w:r>
          </w:p>
        </w:tc>
        <w:tc>
          <w:tcPr>
            <w:tcW w:w="788" w:type="dxa"/>
            <w:tcMar>
              <w:top w:w="0" w:type="dxa"/>
              <w:left w:w="28" w:type="dxa"/>
              <w:bottom w:w="0" w:type="dxa"/>
              <w:right w:w="28" w:type="dxa"/>
            </w:tcMar>
            <w:vAlign w:val="center"/>
          </w:tcPr>
          <w:p w14:paraId="1F61ACA6" w14:textId="77777777" w:rsidR="003B69DA" w:rsidRPr="008B619A" w:rsidRDefault="003B69DA" w:rsidP="006400F0">
            <w:pPr>
              <w:pStyle w:val="Standard"/>
              <w:snapToGrid w:val="0"/>
              <w:jc w:val="center"/>
              <w:rPr>
                <w:rFonts w:ascii="Times New Roman" w:hAnsi="Times New Roman" w:cs="Times New Roman"/>
                <w:color w:val="000000" w:themeColor="text1"/>
              </w:rPr>
            </w:pPr>
            <w:r w:rsidRPr="008B619A">
              <w:rPr>
                <w:rFonts w:ascii="Times New Roman" w:hAnsi="Times New Roman" w:cs="Times New Roman"/>
                <w:color w:val="000000" w:themeColor="text1"/>
                <w:sz w:val="22"/>
                <w:szCs w:val="22"/>
              </w:rPr>
              <w:t>-15</w:t>
            </w:r>
          </w:p>
        </w:tc>
        <w:tc>
          <w:tcPr>
            <w:tcW w:w="794" w:type="dxa"/>
            <w:tcMar>
              <w:top w:w="0" w:type="dxa"/>
              <w:left w:w="28" w:type="dxa"/>
              <w:bottom w:w="0" w:type="dxa"/>
              <w:right w:w="28" w:type="dxa"/>
            </w:tcMar>
            <w:vAlign w:val="center"/>
          </w:tcPr>
          <w:p w14:paraId="01291A80" w14:textId="77777777" w:rsidR="003B69DA" w:rsidRPr="008B619A" w:rsidRDefault="003B69DA" w:rsidP="006400F0">
            <w:pPr>
              <w:pStyle w:val="Standard"/>
              <w:snapToGrid w:val="0"/>
              <w:jc w:val="center"/>
              <w:rPr>
                <w:rFonts w:ascii="Times New Roman" w:hAnsi="Times New Roman" w:cs="Times New Roman"/>
                <w:color w:val="000000" w:themeColor="text1"/>
              </w:rPr>
            </w:pPr>
            <w:r w:rsidRPr="008B619A">
              <w:rPr>
                <w:rFonts w:ascii="Times New Roman" w:hAnsi="Times New Roman" w:cs="Times New Roman"/>
                <w:color w:val="000000" w:themeColor="text1"/>
                <w:sz w:val="22"/>
                <w:szCs w:val="22"/>
              </w:rPr>
              <w:t>-17</w:t>
            </w:r>
          </w:p>
        </w:tc>
      </w:tr>
      <w:tr w:rsidR="008B619A" w:rsidRPr="008B619A" w14:paraId="1924EF60" w14:textId="77777777" w:rsidTr="006B5530">
        <w:tc>
          <w:tcPr>
            <w:tcW w:w="284" w:type="dxa"/>
            <w:vMerge/>
            <w:tcBorders>
              <w:top w:val="single" w:sz="4" w:space="0" w:color="000000"/>
              <w:bottom w:val="single" w:sz="4" w:space="0" w:color="000000"/>
              <w:right w:val="single" w:sz="4" w:space="0" w:color="000000"/>
            </w:tcBorders>
            <w:tcMar>
              <w:top w:w="0" w:type="dxa"/>
              <w:left w:w="28" w:type="dxa"/>
              <w:bottom w:w="0" w:type="dxa"/>
              <w:right w:w="28" w:type="dxa"/>
            </w:tcMar>
            <w:vAlign w:val="center"/>
          </w:tcPr>
          <w:p w14:paraId="5745BF45" w14:textId="77777777" w:rsidR="003B69DA" w:rsidRPr="008B619A" w:rsidRDefault="003B69DA" w:rsidP="006400F0">
            <w:pPr>
              <w:rPr>
                <w:rFonts w:ascii="Times New Roman"/>
                <w:color w:val="000000" w:themeColor="text1"/>
              </w:rPr>
            </w:pPr>
          </w:p>
        </w:tc>
        <w:tc>
          <w:tcPr>
            <w:tcW w:w="1576" w:type="dxa"/>
            <w:tcBorders>
              <w:left w:val="single" w:sz="4" w:space="0" w:color="000000"/>
              <w:right w:val="single" w:sz="4" w:space="0" w:color="000000"/>
            </w:tcBorders>
            <w:tcMar>
              <w:top w:w="0" w:type="dxa"/>
              <w:left w:w="28" w:type="dxa"/>
              <w:bottom w:w="0" w:type="dxa"/>
              <w:right w:w="28" w:type="dxa"/>
            </w:tcMar>
            <w:vAlign w:val="center"/>
          </w:tcPr>
          <w:p w14:paraId="29C7A301" w14:textId="77777777" w:rsidR="003B69DA" w:rsidRPr="008B619A" w:rsidRDefault="003B69DA" w:rsidP="006400F0">
            <w:pPr>
              <w:pStyle w:val="Standard"/>
              <w:keepNext/>
              <w:snapToGrid w:val="0"/>
              <w:rPr>
                <w:rFonts w:ascii="Times New Roman" w:hAnsi="Times New Roman" w:cs="Times New Roman"/>
                <w:color w:val="000000" w:themeColor="text1"/>
              </w:rPr>
            </w:pPr>
            <w:r w:rsidRPr="008B619A">
              <w:rPr>
                <w:rFonts w:ascii="Times New Roman" w:eastAsia="標楷體" w:hAnsi="Times New Roman" w:cs="Times New Roman"/>
                <w:color w:val="000000" w:themeColor="text1"/>
                <w:sz w:val="22"/>
                <w:szCs w:val="22"/>
              </w:rPr>
              <w:t>15</w:t>
            </w:r>
            <w:r w:rsidRPr="008B619A">
              <w:rPr>
                <w:rFonts w:ascii="Times New Roman" w:eastAsia="標楷體" w:hAnsi="Times New Roman" w:cs="Times New Roman"/>
                <w:color w:val="000000" w:themeColor="text1"/>
                <w:sz w:val="22"/>
                <w:szCs w:val="22"/>
              </w:rPr>
              <w:t>歲（</w:t>
            </w:r>
            <w:r w:rsidRPr="008B619A">
              <w:rPr>
                <w:rFonts w:ascii="Times New Roman" w:eastAsia="標楷體" w:hAnsi="Times New Roman" w:cs="Times New Roman"/>
                <w:color w:val="000000" w:themeColor="text1"/>
                <w:sz w:val="22"/>
                <w:szCs w:val="22"/>
                <w:lang w:eastAsia="zh-HK"/>
              </w:rPr>
              <w:t>高</w:t>
            </w:r>
            <w:r w:rsidRPr="008B619A">
              <w:rPr>
                <w:rFonts w:ascii="Times New Roman" w:eastAsia="標楷體" w:hAnsi="Times New Roman" w:cs="Times New Roman"/>
                <w:color w:val="000000" w:themeColor="text1"/>
                <w:sz w:val="22"/>
                <w:szCs w:val="22"/>
              </w:rPr>
              <w:t>中）</w:t>
            </w:r>
          </w:p>
        </w:tc>
        <w:tc>
          <w:tcPr>
            <w:tcW w:w="786"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AC532EE" w14:textId="77777777" w:rsidR="003B69DA" w:rsidRPr="008B619A" w:rsidRDefault="003B69DA" w:rsidP="006400F0">
            <w:pPr>
              <w:rPr>
                <w:rFonts w:ascii="Times New Roman"/>
                <w:color w:val="000000" w:themeColor="text1"/>
              </w:rPr>
            </w:pPr>
          </w:p>
        </w:tc>
        <w:tc>
          <w:tcPr>
            <w:tcW w:w="787" w:type="dxa"/>
            <w:tcBorders>
              <w:left w:val="single" w:sz="4" w:space="0" w:color="000000"/>
            </w:tcBorders>
            <w:tcMar>
              <w:top w:w="0" w:type="dxa"/>
              <w:left w:w="28" w:type="dxa"/>
              <w:bottom w:w="0" w:type="dxa"/>
              <w:right w:w="28" w:type="dxa"/>
            </w:tcMar>
            <w:vAlign w:val="center"/>
          </w:tcPr>
          <w:p w14:paraId="2A3FBEF0" w14:textId="77777777" w:rsidR="003B69DA" w:rsidRPr="008B619A" w:rsidRDefault="003B69DA" w:rsidP="006400F0">
            <w:pPr>
              <w:pStyle w:val="Standard"/>
              <w:snapToGrid w:val="0"/>
              <w:jc w:val="center"/>
              <w:rPr>
                <w:rFonts w:ascii="Times New Roman" w:hAnsi="Times New Roman" w:cs="Times New Roman"/>
                <w:color w:val="000000" w:themeColor="text1"/>
              </w:rPr>
            </w:pPr>
            <w:r w:rsidRPr="008B619A">
              <w:rPr>
                <w:rFonts w:ascii="Times New Roman" w:hAnsi="Times New Roman" w:cs="Times New Roman"/>
                <w:color w:val="000000" w:themeColor="text1"/>
                <w:sz w:val="22"/>
                <w:szCs w:val="22"/>
              </w:rPr>
              <w:t>20</w:t>
            </w:r>
          </w:p>
        </w:tc>
        <w:tc>
          <w:tcPr>
            <w:tcW w:w="788" w:type="dxa"/>
            <w:tcMar>
              <w:top w:w="0" w:type="dxa"/>
              <w:left w:w="28" w:type="dxa"/>
              <w:bottom w:w="0" w:type="dxa"/>
              <w:right w:w="28" w:type="dxa"/>
            </w:tcMar>
            <w:vAlign w:val="center"/>
          </w:tcPr>
          <w:p w14:paraId="6A8CB502" w14:textId="77777777" w:rsidR="003B69DA" w:rsidRPr="008B619A" w:rsidRDefault="003B69DA" w:rsidP="006400F0">
            <w:pPr>
              <w:pStyle w:val="Standard"/>
              <w:snapToGrid w:val="0"/>
              <w:jc w:val="center"/>
              <w:rPr>
                <w:rFonts w:ascii="Times New Roman" w:hAnsi="Times New Roman" w:cs="Times New Roman"/>
                <w:color w:val="000000" w:themeColor="text1"/>
              </w:rPr>
            </w:pPr>
            <w:r w:rsidRPr="008B619A">
              <w:rPr>
                <w:rFonts w:ascii="Times New Roman" w:hAnsi="Times New Roman" w:cs="Times New Roman"/>
                <w:color w:val="000000" w:themeColor="text1"/>
                <w:sz w:val="22"/>
                <w:szCs w:val="22"/>
              </w:rPr>
              <w:t>16</w:t>
            </w:r>
          </w:p>
        </w:tc>
        <w:tc>
          <w:tcPr>
            <w:tcW w:w="788" w:type="dxa"/>
            <w:tcMar>
              <w:top w:w="0" w:type="dxa"/>
              <w:left w:w="28" w:type="dxa"/>
              <w:bottom w:w="0" w:type="dxa"/>
              <w:right w:w="28" w:type="dxa"/>
            </w:tcMar>
            <w:vAlign w:val="center"/>
          </w:tcPr>
          <w:p w14:paraId="3308F3EE" w14:textId="77777777" w:rsidR="003B69DA" w:rsidRPr="008B619A" w:rsidRDefault="003B69DA" w:rsidP="006400F0">
            <w:pPr>
              <w:pStyle w:val="Standard"/>
              <w:snapToGrid w:val="0"/>
              <w:jc w:val="center"/>
              <w:rPr>
                <w:rFonts w:ascii="Times New Roman" w:hAnsi="Times New Roman" w:cs="Times New Roman"/>
                <w:color w:val="000000" w:themeColor="text1"/>
              </w:rPr>
            </w:pPr>
            <w:r w:rsidRPr="008B619A">
              <w:rPr>
                <w:rFonts w:ascii="Times New Roman" w:hAnsi="Times New Roman" w:cs="Times New Roman"/>
                <w:color w:val="000000" w:themeColor="text1"/>
                <w:sz w:val="22"/>
                <w:szCs w:val="22"/>
              </w:rPr>
              <w:t>12</w:t>
            </w:r>
          </w:p>
        </w:tc>
        <w:tc>
          <w:tcPr>
            <w:tcW w:w="794" w:type="dxa"/>
            <w:tcBorders>
              <w:right w:val="single" w:sz="4" w:space="0" w:color="000000"/>
            </w:tcBorders>
            <w:tcMar>
              <w:top w:w="0" w:type="dxa"/>
              <w:left w:w="28" w:type="dxa"/>
              <w:bottom w:w="0" w:type="dxa"/>
              <w:right w:w="28" w:type="dxa"/>
            </w:tcMar>
            <w:vAlign w:val="center"/>
          </w:tcPr>
          <w:p w14:paraId="7982C201" w14:textId="77777777" w:rsidR="003B69DA" w:rsidRPr="008B619A" w:rsidRDefault="003B69DA" w:rsidP="006400F0">
            <w:pPr>
              <w:pStyle w:val="Standard"/>
              <w:snapToGrid w:val="0"/>
              <w:jc w:val="center"/>
              <w:rPr>
                <w:rFonts w:ascii="Times New Roman" w:hAnsi="Times New Roman" w:cs="Times New Roman"/>
                <w:color w:val="000000" w:themeColor="text1"/>
              </w:rPr>
            </w:pPr>
            <w:r w:rsidRPr="008B619A">
              <w:rPr>
                <w:rFonts w:ascii="Times New Roman" w:hAnsi="Times New Roman" w:cs="Times New Roman"/>
                <w:color w:val="000000" w:themeColor="text1"/>
                <w:sz w:val="22"/>
                <w:szCs w:val="22"/>
              </w:rPr>
              <w:t>9</w:t>
            </w:r>
          </w:p>
        </w:tc>
        <w:tc>
          <w:tcPr>
            <w:tcW w:w="785" w:type="dxa"/>
            <w:tcBorders>
              <w:left w:val="single" w:sz="4" w:space="0" w:color="000000"/>
            </w:tcBorders>
            <w:tcMar>
              <w:top w:w="0" w:type="dxa"/>
              <w:left w:w="28" w:type="dxa"/>
              <w:bottom w:w="0" w:type="dxa"/>
              <w:right w:w="28" w:type="dxa"/>
            </w:tcMar>
            <w:vAlign w:val="center"/>
          </w:tcPr>
          <w:p w14:paraId="2859AAAF" w14:textId="77777777" w:rsidR="003B69DA" w:rsidRPr="008B619A" w:rsidRDefault="003B69DA" w:rsidP="006400F0">
            <w:pPr>
              <w:pStyle w:val="Standard"/>
              <w:snapToGrid w:val="0"/>
              <w:jc w:val="center"/>
              <w:rPr>
                <w:rFonts w:ascii="Times New Roman" w:hAnsi="Times New Roman" w:cs="Times New Roman"/>
                <w:color w:val="000000" w:themeColor="text1"/>
              </w:rPr>
            </w:pPr>
            <w:r w:rsidRPr="008B619A">
              <w:rPr>
                <w:rFonts w:ascii="Times New Roman" w:hAnsi="Times New Roman" w:cs="Times New Roman"/>
                <w:color w:val="000000" w:themeColor="text1"/>
                <w:sz w:val="22"/>
                <w:szCs w:val="22"/>
              </w:rPr>
              <w:t>-8</w:t>
            </w:r>
          </w:p>
        </w:tc>
        <w:tc>
          <w:tcPr>
            <w:tcW w:w="788" w:type="dxa"/>
            <w:tcMar>
              <w:top w:w="0" w:type="dxa"/>
              <w:left w:w="28" w:type="dxa"/>
              <w:bottom w:w="0" w:type="dxa"/>
              <w:right w:w="28" w:type="dxa"/>
            </w:tcMar>
            <w:vAlign w:val="center"/>
          </w:tcPr>
          <w:p w14:paraId="12F5BB0B" w14:textId="77777777" w:rsidR="003B69DA" w:rsidRPr="008B619A" w:rsidRDefault="003B69DA" w:rsidP="006400F0">
            <w:pPr>
              <w:pStyle w:val="Standard"/>
              <w:snapToGrid w:val="0"/>
              <w:jc w:val="center"/>
              <w:rPr>
                <w:rFonts w:ascii="Times New Roman" w:hAnsi="Times New Roman" w:cs="Times New Roman"/>
                <w:color w:val="000000" w:themeColor="text1"/>
              </w:rPr>
            </w:pPr>
            <w:r w:rsidRPr="008B619A">
              <w:rPr>
                <w:rFonts w:ascii="Times New Roman" w:hAnsi="Times New Roman" w:cs="Times New Roman"/>
                <w:color w:val="000000" w:themeColor="text1"/>
                <w:sz w:val="22"/>
                <w:szCs w:val="22"/>
              </w:rPr>
              <w:t>-13</w:t>
            </w:r>
          </w:p>
        </w:tc>
        <w:tc>
          <w:tcPr>
            <w:tcW w:w="788" w:type="dxa"/>
            <w:tcMar>
              <w:top w:w="0" w:type="dxa"/>
              <w:left w:w="28" w:type="dxa"/>
              <w:bottom w:w="0" w:type="dxa"/>
              <w:right w:w="28" w:type="dxa"/>
            </w:tcMar>
            <w:vAlign w:val="center"/>
          </w:tcPr>
          <w:p w14:paraId="781542B3" w14:textId="77777777" w:rsidR="003B69DA" w:rsidRPr="008B619A" w:rsidRDefault="003B69DA" w:rsidP="006400F0">
            <w:pPr>
              <w:pStyle w:val="Standard"/>
              <w:snapToGrid w:val="0"/>
              <w:jc w:val="center"/>
              <w:rPr>
                <w:rFonts w:ascii="Times New Roman" w:hAnsi="Times New Roman" w:cs="Times New Roman"/>
                <w:color w:val="000000" w:themeColor="text1"/>
              </w:rPr>
            </w:pPr>
            <w:r w:rsidRPr="008B619A">
              <w:rPr>
                <w:rFonts w:ascii="Times New Roman" w:hAnsi="Times New Roman" w:cs="Times New Roman"/>
                <w:color w:val="000000" w:themeColor="text1"/>
                <w:sz w:val="22"/>
                <w:szCs w:val="22"/>
              </w:rPr>
              <w:t>-17</w:t>
            </w:r>
          </w:p>
        </w:tc>
        <w:tc>
          <w:tcPr>
            <w:tcW w:w="794" w:type="dxa"/>
            <w:tcMar>
              <w:top w:w="0" w:type="dxa"/>
              <w:left w:w="28" w:type="dxa"/>
              <w:bottom w:w="0" w:type="dxa"/>
              <w:right w:w="28" w:type="dxa"/>
            </w:tcMar>
            <w:vAlign w:val="center"/>
          </w:tcPr>
          <w:p w14:paraId="62ACC596" w14:textId="77777777" w:rsidR="003B69DA" w:rsidRPr="008B619A" w:rsidRDefault="003B69DA" w:rsidP="006400F0">
            <w:pPr>
              <w:pStyle w:val="Standard"/>
              <w:snapToGrid w:val="0"/>
              <w:jc w:val="center"/>
              <w:rPr>
                <w:rFonts w:ascii="Times New Roman" w:hAnsi="Times New Roman" w:cs="Times New Roman"/>
                <w:color w:val="000000" w:themeColor="text1"/>
              </w:rPr>
            </w:pPr>
            <w:r w:rsidRPr="008B619A">
              <w:rPr>
                <w:rFonts w:ascii="Times New Roman" w:hAnsi="Times New Roman" w:cs="Times New Roman"/>
                <w:color w:val="000000" w:themeColor="text1"/>
                <w:sz w:val="22"/>
                <w:szCs w:val="22"/>
              </w:rPr>
              <w:t>-20</w:t>
            </w:r>
          </w:p>
        </w:tc>
      </w:tr>
      <w:tr w:rsidR="007E23D6" w:rsidRPr="008B619A" w14:paraId="6D0980FB" w14:textId="77777777" w:rsidTr="007E23D6">
        <w:tc>
          <w:tcPr>
            <w:tcW w:w="284" w:type="dxa"/>
            <w:vMerge/>
            <w:tcBorders>
              <w:top w:val="single" w:sz="4" w:space="0" w:color="000000"/>
              <w:bottom w:val="single" w:sz="4" w:space="0" w:color="000000"/>
              <w:right w:val="single" w:sz="4" w:space="0" w:color="000000"/>
            </w:tcBorders>
            <w:tcMar>
              <w:top w:w="0" w:type="dxa"/>
              <w:left w:w="28" w:type="dxa"/>
              <w:bottom w:w="0" w:type="dxa"/>
              <w:right w:w="28" w:type="dxa"/>
            </w:tcMar>
            <w:vAlign w:val="center"/>
          </w:tcPr>
          <w:p w14:paraId="38FFEE39" w14:textId="77777777" w:rsidR="003B69DA" w:rsidRPr="008B619A" w:rsidRDefault="003B69DA" w:rsidP="006400F0">
            <w:pPr>
              <w:rPr>
                <w:rFonts w:ascii="Times New Roman"/>
                <w:color w:val="000000" w:themeColor="text1"/>
              </w:rPr>
            </w:pPr>
          </w:p>
        </w:tc>
        <w:tc>
          <w:tcPr>
            <w:tcW w:w="1576" w:type="dxa"/>
            <w:tcBorders>
              <w:left w:val="single" w:sz="4" w:space="0" w:color="000000"/>
              <w:bottom w:val="single" w:sz="4" w:space="0" w:color="000000"/>
              <w:right w:val="single" w:sz="4" w:space="0" w:color="000000"/>
            </w:tcBorders>
            <w:shd w:val="clear" w:color="auto" w:fill="92D050"/>
            <w:tcMar>
              <w:top w:w="0" w:type="dxa"/>
              <w:left w:w="28" w:type="dxa"/>
              <w:bottom w:w="0" w:type="dxa"/>
              <w:right w:w="28" w:type="dxa"/>
            </w:tcMar>
            <w:vAlign w:val="center"/>
          </w:tcPr>
          <w:p w14:paraId="4D62CAF6" w14:textId="77777777" w:rsidR="003B69DA" w:rsidRPr="008B619A" w:rsidRDefault="003B69DA" w:rsidP="006400F0">
            <w:pPr>
              <w:pStyle w:val="Standard"/>
              <w:keepNext/>
              <w:snapToGrid w:val="0"/>
              <w:rPr>
                <w:rFonts w:ascii="Times New Roman" w:hAnsi="Times New Roman" w:cs="Times New Roman"/>
                <w:color w:val="000000" w:themeColor="text1"/>
              </w:rPr>
            </w:pPr>
            <w:r w:rsidRPr="008B619A">
              <w:rPr>
                <w:rFonts w:ascii="Times New Roman" w:eastAsia="標楷體" w:hAnsi="Times New Roman" w:cs="Times New Roman"/>
                <w:color w:val="000000" w:themeColor="text1"/>
                <w:sz w:val="22"/>
                <w:szCs w:val="22"/>
              </w:rPr>
              <w:t>18</w:t>
            </w:r>
            <w:r w:rsidRPr="008B619A">
              <w:rPr>
                <w:rFonts w:ascii="Times New Roman" w:eastAsia="標楷體" w:hAnsi="Times New Roman" w:cs="Times New Roman"/>
                <w:color w:val="000000" w:themeColor="text1"/>
                <w:sz w:val="22"/>
                <w:szCs w:val="22"/>
              </w:rPr>
              <w:t>歲（大學）</w:t>
            </w:r>
          </w:p>
        </w:tc>
        <w:tc>
          <w:tcPr>
            <w:tcW w:w="786" w:type="dxa"/>
            <w:vMerge/>
            <w:tcBorders>
              <w:top w:val="single" w:sz="4" w:space="0" w:color="000000"/>
              <w:left w:val="single" w:sz="4" w:space="0" w:color="000000"/>
              <w:bottom w:val="single" w:sz="4" w:space="0" w:color="000000"/>
              <w:right w:val="single" w:sz="4" w:space="0" w:color="000000"/>
            </w:tcBorders>
            <w:shd w:val="clear" w:color="auto" w:fill="92D050"/>
            <w:tcMar>
              <w:top w:w="0" w:type="dxa"/>
              <w:left w:w="28" w:type="dxa"/>
              <w:bottom w:w="0" w:type="dxa"/>
              <w:right w:w="28" w:type="dxa"/>
            </w:tcMar>
            <w:vAlign w:val="center"/>
          </w:tcPr>
          <w:p w14:paraId="6211196E" w14:textId="77777777" w:rsidR="003B69DA" w:rsidRPr="008B619A" w:rsidRDefault="003B69DA" w:rsidP="006400F0">
            <w:pPr>
              <w:rPr>
                <w:rFonts w:ascii="Times New Roman"/>
                <w:color w:val="000000" w:themeColor="text1"/>
              </w:rPr>
            </w:pPr>
          </w:p>
        </w:tc>
        <w:tc>
          <w:tcPr>
            <w:tcW w:w="787" w:type="dxa"/>
            <w:tcBorders>
              <w:left w:val="single" w:sz="4" w:space="0" w:color="000000"/>
              <w:bottom w:val="single" w:sz="4" w:space="0" w:color="000000"/>
            </w:tcBorders>
            <w:shd w:val="clear" w:color="auto" w:fill="92D050"/>
            <w:tcMar>
              <w:top w:w="0" w:type="dxa"/>
              <w:left w:w="28" w:type="dxa"/>
              <w:bottom w:w="0" w:type="dxa"/>
              <w:right w:w="28" w:type="dxa"/>
            </w:tcMar>
            <w:vAlign w:val="center"/>
          </w:tcPr>
          <w:p w14:paraId="4509778A" w14:textId="77777777" w:rsidR="003B69DA" w:rsidRPr="008B619A" w:rsidRDefault="003B69DA" w:rsidP="006400F0">
            <w:pPr>
              <w:pStyle w:val="Standard"/>
              <w:snapToGrid w:val="0"/>
              <w:jc w:val="center"/>
              <w:rPr>
                <w:rFonts w:ascii="Times New Roman" w:hAnsi="Times New Roman" w:cs="Times New Roman"/>
                <w:color w:val="000000" w:themeColor="text1"/>
              </w:rPr>
            </w:pPr>
            <w:r w:rsidRPr="008B619A">
              <w:rPr>
                <w:rFonts w:ascii="Times New Roman" w:hAnsi="Times New Roman" w:cs="Times New Roman"/>
                <w:color w:val="000000" w:themeColor="text1"/>
                <w:sz w:val="22"/>
                <w:szCs w:val="22"/>
              </w:rPr>
              <w:t>21</w:t>
            </w:r>
          </w:p>
        </w:tc>
        <w:tc>
          <w:tcPr>
            <w:tcW w:w="788" w:type="dxa"/>
            <w:tcBorders>
              <w:bottom w:val="single" w:sz="4" w:space="0" w:color="000000"/>
            </w:tcBorders>
            <w:shd w:val="clear" w:color="auto" w:fill="92D050"/>
            <w:tcMar>
              <w:top w:w="0" w:type="dxa"/>
              <w:left w:w="28" w:type="dxa"/>
              <w:bottom w:w="0" w:type="dxa"/>
              <w:right w:w="28" w:type="dxa"/>
            </w:tcMar>
            <w:vAlign w:val="center"/>
          </w:tcPr>
          <w:p w14:paraId="173BB629" w14:textId="77777777" w:rsidR="003B69DA" w:rsidRPr="008B619A" w:rsidRDefault="003B69DA" w:rsidP="006400F0">
            <w:pPr>
              <w:pStyle w:val="Standard"/>
              <w:snapToGrid w:val="0"/>
              <w:jc w:val="center"/>
              <w:rPr>
                <w:rFonts w:ascii="Times New Roman" w:hAnsi="Times New Roman" w:cs="Times New Roman"/>
                <w:color w:val="000000" w:themeColor="text1"/>
              </w:rPr>
            </w:pPr>
            <w:r w:rsidRPr="008B619A">
              <w:rPr>
                <w:rFonts w:ascii="Times New Roman" w:hAnsi="Times New Roman" w:cs="Times New Roman"/>
                <w:color w:val="000000" w:themeColor="text1"/>
                <w:sz w:val="22"/>
                <w:szCs w:val="22"/>
              </w:rPr>
              <w:t>18</w:t>
            </w:r>
          </w:p>
        </w:tc>
        <w:tc>
          <w:tcPr>
            <w:tcW w:w="788" w:type="dxa"/>
            <w:tcBorders>
              <w:bottom w:val="single" w:sz="4" w:space="0" w:color="000000"/>
            </w:tcBorders>
            <w:shd w:val="clear" w:color="auto" w:fill="92D050"/>
            <w:tcMar>
              <w:top w:w="0" w:type="dxa"/>
              <w:left w:w="28" w:type="dxa"/>
              <w:bottom w:w="0" w:type="dxa"/>
              <w:right w:w="28" w:type="dxa"/>
            </w:tcMar>
            <w:vAlign w:val="center"/>
          </w:tcPr>
          <w:p w14:paraId="68C8123E" w14:textId="77777777" w:rsidR="003B69DA" w:rsidRPr="008B619A" w:rsidRDefault="003B69DA" w:rsidP="006400F0">
            <w:pPr>
              <w:pStyle w:val="Standard"/>
              <w:snapToGrid w:val="0"/>
              <w:jc w:val="center"/>
              <w:rPr>
                <w:rFonts w:ascii="Times New Roman" w:hAnsi="Times New Roman" w:cs="Times New Roman"/>
                <w:color w:val="000000" w:themeColor="text1"/>
              </w:rPr>
            </w:pPr>
            <w:r w:rsidRPr="008B619A">
              <w:rPr>
                <w:rFonts w:ascii="Times New Roman" w:hAnsi="Times New Roman" w:cs="Times New Roman"/>
                <w:color w:val="000000" w:themeColor="text1"/>
                <w:sz w:val="22"/>
                <w:szCs w:val="22"/>
              </w:rPr>
              <w:t>13</w:t>
            </w:r>
          </w:p>
        </w:tc>
        <w:tc>
          <w:tcPr>
            <w:tcW w:w="794" w:type="dxa"/>
            <w:tcBorders>
              <w:bottom w:val="single" w:sz="4" w:space="0" w:color="000000"/>
              <w:right w:val="single" w:sz="4" w:space="0" w:color="000000"/>
            </w:tcBorders>
            <w:shd w:val="clear" w:color="auto" w:fill="92D050"/>
            <w:tcMar>
              <w:top w:w="0" w:type="dxa"/>
              <w:left w:w="28" w:type="dxa"/>
              <w:bottom w:w="0" w:type="dxa"/>
              <w:right w:w="28" w:type="dxa"/>
            </w:tcMar>
            <w:vAlign w:val="center"/>
          </w:tcPr>
          <w:p w14:paraId="5E70BC13" w14:textId="77777777" w:rsidR="003B69DA" w:rsidRPr="008B619A" w:rsidRDefault="003B69DA" w:rsidP="006400F0">
            <w:pPr>
              <w:pStyle w:val="Standard"/>
              <w:snapToGrid w:val="0"/>
              <w:jc w:val="center"/>
              <w:rPr>
                <w:rFonts w:ascii="Times New Roman" w:hAnsi="Times New Roman" w:cs="Times New Roman"/>
                <w:color w:val="000000" w:themeColor="text1"/>
              </w:rPr>
            </w:pPr>
            <w:r w:rsidRPr="008B619A">
              <w:rPr>
                <w:rFonts w:ascii="Times New Roman" w:hAnsi="Times New Roman" w:cs="Times New Roman"/>
                <w:color w:val="000000" w:themeColor="text1"/>
                <w:sz w:val="22"/>
                <w:szCs w:val="22"/>
              </w:rPr>
              <w:t>10</w:t>
            </w:r>
          </w:p>
        </w:tc>
        <w:tc>
          <w:tcPr>
            <w:tcW w:w="785" w:type="dxa"/>
            <w:tcBorders>
              <w:left w:val="single" w:sz="4" w:space="0" w:color="000000"/>
              <w:bottom w:val="single" w:sz="4" w:space="0" w:color="000000"/>
            </w:tcBorders>
            <w:shd w:val="clear" w:color="auto" w:fill="92D050"/>
            <w:tcMar>
              <w:top w:w="0" w:type="dxa"/>
              <w:left w:w="28" w:type="dxa"/>
              <w:bottom w:w="0" w:type="dxa"/>
              <w:right w:w="28" w:type="dxa"/>
            </w:tcMar>
            <w:vAlign w:val="center"/>
          </w:tcPr>
          <w:p w14:paraId="25EBFFCB" w14:textId="77777777" w:rsidR="003B69DA" w:rsidRPr="008B619A" w:rsidRDefault="003B69DA" w:rsidP="006400F0">
            <w:pPr>
              <w:pStyle w:val="Standard"/>
              <w:snapToGrid w:val="0"/>
              <w:jc w:val="center"/>
              <w:rPr>
                <w:rFonts w:ascii="Times New Roman" w:hAnsi="Times New Roman" w:cs="Times New Roman"/>
                <w:color w:val="000000" w:themeColor="text1"/>
              </w:rPr>
            </w:pPr>
            <w:r w:rsidRPr="008B619A">
              <w:rPr>
                <w:rFonts w:ascii="Times New Roman" w:hAnsi="Times New Roman" w:cs="Times New Roman"/>
                <w:color w:val="000000" w:themeColor="text1"/>
                <w:sz w:val="22"/>
                <w:szCs w:val="22"/>
              </w:rPr>
              <w:t>-10</w:t>
            </w:r>
          </w:p>
        </w:tc>
        <w:tc>
          <w:tcPr>
            <w:tcW w:w="788" w:type="dxa"/>
            <w:tcBorders>
              <w:bottom w:val="single" w:sz="4" w:space="0" w:color="000000"/>
            </w:tcBorders>
            <w:shd w:val="clear" w:color="auto" w:fill="92D050"/>
            <w:tcMar>
              <w:top w:w="0" w:type="dxa"/>
              <w:left w:w="28" w:type="dxa"/>
              <w:bottom w:w="0" w:type="dxa"/>
              <w:right w:w="28" w:type="dxa"/>
            </w:tcMar>
            <w:vAlign w:val="center"/>
          </w:tcPr>
          <w:p w14:paraId="69C0CEE2" w14:textId="77777777" w:rsidR="003B69DA" w:rsidRPr="008B619A" w:rsidRDefault="003B69DA" w:rsidP="006400F0">
            <w:pPr>
              <w:pStyle w:val="Standard"/>
              <w:snapToGrid w:val="0"/>
              <w:jc w:val="center"/>
              <w:rPr>
                <w:rFonts w:ascii="Times New Roman" w:hAnsi="Times New Roman" w:cs="Times New Roman"/>
                <w:color w:val="000000" w:themeColor="text1"/>
              </w:rPr>
            </w:pPr>
            <w:r w:rsidRPr="008B619A">
              <w:rPr>
                <w:rFonts w:ascii="Times New Roman" w:hAnsi="Times New Roman" w:cs="Times New Roman"/>
                <w:color w:val="000000" w:themeColor="text1"/>
                <w:sz w:val="22"/>
                <w:szCs w:val="22"/>
              </w:rPr>
              <w:t>-13</w:t>
            </w:r>
          </w:p>
        </w:tc>
        <w:tc>
          <w:tcPr>
            <w:tcW w:w="788" w:type="dxa"/>
            <w:tcBorders>
              <w:bottom w:val="single" w:sz="4" w:space="0" w:color="000000"/>
            </w:tcBorders>
            <w:shd w:val="clear" w:color="auto" w:fill="92D050"/>
            <w:tcMar>
              <w:top w:w="0" w:type="dxa"/>
              <w:left w:w="28" w:type="dxa"/>
              <w:bottom w:w="0" w:type="dxa"/>
              <w:right w:w="28" w:type="dxa"/>
            </w:tcMar>
            <w:vAlign w:val="center"/>
          </w:tcPr>
          <w:p w14:paraId="24CDA086" w14:textId="77777777" w:rsidR="003B69DA" w:rsidRPr="008B619A" w:rsidRDefault="003B69DA" w:rsidP="006400F0">
            <w:pPr>
              <w:pStyle w:val="Standard"/>
              <w:snapToGrid w:val="0"/>
              <w:jc w:val="center"/>
              <w:rPr>
                <w:rFonts w:ascii="Times New Roman" w:hAnsi="Times New Roman" w:cs="Times New Roman"/>
                <w:color w:val="000000" w:themeColor="text1"/>
              </w:rPr>
            </w:pPr>
            <w:r w:rsidRPr="008B619A">
              <w:rPr>
                <w:rFonts w:ascii="Times New Roman" w:hAnsi="Times New Roman" w:cs="Times New Roman"/>
                <w:color w:val="000000" w:themeColor="text1"/>
                <w:sz w:val="22"/>
                <w:szCs w:val="22"/>
              </w:rPr>
              <w:t>-18</w:t>
            </w:r>
          </w:p>
        </w:tc>
        <w:tc>
          <w:tcPr>
            <w:tcW w:w="794" w:type="dxa"/>
            <w:tcBorders>
              <w:bottom w:val="single" w:sz="4" w:space="0" w:color="000000"/>
            </w:tcBorders>
            <w:shd w:val="clear" w:color="auto" w:fill="92D050"/>
            <w:tcMar>
              <w:top w:w="0" w:type="dxa"/>
              <w:left w:w="28" w:type="dxa"/>
              <w:bottom w:w="0" w:type="dxa"/>
              <w:right w:w="28" w:type="dxa"/>
            </w:tcMar>
            <w:vAlign w:val="center"/>
          </w:tcPr>
          <w:p w14:paraId="7F940825" w14:textId="77777777" w:rsidR="003B69DA" w:rsidRPr="008B619A" w:rsidRDefault="003B69DA" w:rsidP="006400F0">
            <w:pPr>
              <w:pStyle w:val="Standard"/>
              <w:snapToGrid w:val="0"/>
              <w:jc w:val="center"/>
              <w:rPr>
                <w:rFonts w:ascii="Times New Roman" w:hAnsi="Times New Roman" w:cs="Times New Roman"/>
                <w:color w:val="000000" w:themeColor="text1"/>
              </w:rPr>
            </w:pPr>
            <w:r w:rsidRPr="008B619A">
              <w:rPr>
                <w:rFonts w:ascii="Times New Roman" w:hAnsi="Times New Roman" w:cs="Times New Roman"/>
                <w:color w:val="000000" w:themeColor="text1"/>
                <w:sz w:val="22"/>
                <w:szCs w:val="22"/>
              </w:rPr>
              <w:t>-21</w:t>
            </w:r>
          </w:p>
        </w:tc>
      </w:tr>
    </w:tbl>
    <w:p w14:paraId="42B51CF8" w14:textId="224B5E25" w:rsidR="00E759F8" w:rsidRPr="008B619A" w:rsidRDefault="00002BF8" w:rsidP="00E759F8">
      <w:pPr>
        <w:spacing w:line="300" w:lineRule="exact"/>
        <w:rPr>
          <w:color w:val="000000" w:themeColor="text1"/>
          <w:sz w:val="24"/>
          <w:szCs w:val="24"/>
        </w:rPr>
      </w:pPr>
      <w:r w:rsidRPr="008B619A">
        <w:rPr>
          <w:rFonts w:hint="eastAsia"/>
          <w:color w:val="000000" w:themeColor="text1"/>
          <w:sz w:val="24"/>
          <w:szCs w:val="24"/>
        </w:rPr>
        <w:t>註</w:t>
      </w:r>
      <w:r w:rsidR="003B69DA" w:rsidRPr="008B619A">
        <w:rPr>
          <w:color w:val="000000" w:themeColor="text1"/>
          <w:sz w:val="24"/>
          <w:szCs w:val="24"/>
        </w:rPr>
        <w:t>：國小入學年齡人口=（6歲人口數</w:t>
      </w:r>
      <w:r w:rsidR="003B69DA" w:rsidRPr="008B619A">
        <w:rPr>
          <w:color w:val="000000" w:themeColor="text1"/>
          <w:sz w:val="24"/>
          <w:szCs w:val="24"/>
        </w:rPr>
        <w:t>×</w:t>
      </w:r>
      <w:r w:rsidR="003B69DA" w:rsidRPr="008B619A">
        <w:rPr>
          <w:color w:val="000000" w:themeColor="text1"/>
          <w:sz w:val="24"/>
          <w:szCs w:val="24"/>
        </w:rPr>
        <w:t>2/3）＋（7歲人口數</w:t>
      </w:r>
      <w:r w:rsidR="003B69DA" w:rsidRPr="008B619A">
        <w:rPr>
          <w:color w:val="000000" w:themeColor="text1"/>
          <w:sz w:val="24"/>
          <w:szCs w:val="24"/>
        </w:rPr>
        <w:t>×</w:t>
      </w:r>
      <w:r w:rsidR="003B69DA" w:rsidRPr="008B619A">
        <w:rPr>
          <w:color w:val="000000" w:themeColor="text1"/>
          <w:sz w:val="24"/>
          <w:szCs w:val="24"/>
        </w:rPr>
        <w:t>1/3），餘各級入學年齡人口以此類推。</w:t>
      </w:r>
    </w:p>
    <w:p w14:paraId="5D229551" w14:textId="39253075" w:rsidR="005879F0" w:rsidRPr="008B619A" w:rsidRDefault="003B69DA" w:rsidP="00E759F8">
      <w:pPr>
        <w:spacing w:line="300" w:lineRule="exact"/>
        <w:rPr>
          <w:color w:val="000000" w:themeColor="text1"/>
          <w:sz w:val="24"/>
          <w:szCs w:val="24"/>
        </w:rPr>
      </w:pPr>
      <w:r w:rsidRPr="008B619A">
        <w:rPr>
          <w:color w:val="000000" w:themeColor="text1"/>
          <w:sz w:val="24"/>
          <w:szCs w:val="24"/>
        </w:rPr>
        <w:t>資料來源：1.2008學年度至2019學年度資料係以內政部戶籍人口數計算。</w:t>
      </w:r>
    </w:p>
    <w:p w14:paraId="200D73AE" w14:textId="13429043" w:rsidR="003B69DA" w:rsidRPr="008B619A" w:rsidRDefault="005879F0" w:rsidP="005879F0">
      <w:pPr>
        <w:spacing w:afterLines="100" w:after="457" w:line="240" w:lineRule="exact"/>
        <w:rPr>
          <w:color w:val="000000" w:themeColor="text1"/>
          <w:sz w:val="24"/>
          <w:szCs w:val="24"/>
        </w:rPr>
      </w:pPr>
      <w:r w:rsidRPr="008B619A">
        <w:rPr>
          <w:rFonts w:hint="eastAsia"/>
          <w:color w:val="000000" w:themeColor="text1"/>
          <w:sz w:val="24"/>
          <w:szCs w:val="24"/>
        </w:rPr>
        <w:t xml:space="preserve">          </w:t>
      </w:r>
      <w:r w:rsidR="003B69DA" w:rsidRPr="008B619A">
        <w:rPr>
          <w:color w:val="000000" w:themeColor="text1"/>
          <w:sz w:val="24"/>
          <w:szCs w:val="24"/>
        </w:rPr>
        <w:t>2.2020學年度及以後為</w:t>
      </w:r>
      <w:r w:rsidR="008A2C67" w:rsidRPr="008B619A">
        <w:rPr>
          <w:rFonts w:hint="eastAsia"/>
          <w:color w:val="000000" w:themeColor="text1"/>
          <w:sz w:val="24"/>
          <w:szCs w:val="24"/>
        </w:rPr>
        <w:t>中華民國人口推估報告</w:t>
      </w:r>
      <w:r w:rsidR="003B69DA" w:rsidRPr="008B619A">
        <w:rPr>
          <w:color w:val="000000" w:themeColor="text1"/>
          <w:sz w:val="24"/>
          <w:szCs w:val="24"/>
        </w:rPr>
        <w:t>。</w:t>
      </w:r>
    </w:p>
    <w:p w14:paraId="0C8BAB1E" w14:textId="77777777" w:rsidR="00211DD7" w:rsidRPr="008B619A" w:rsidRDefault="00211DD7" w:rsidP="00211DD7">
      <w:pPr>
        <w:pStyle w:val="Standard"/>
        <w:keepNext/>
        <w:snapToGrid w:val="0"/>
        <w:spacing w:before="280" w:after="60"/>
        <w:ind w:left="-360" w:right="-360"/>
        <w:jc w:val="center"/>
        <w:rPr>
          <w:color w:val="000000" w:themeColor="text1"/>
        </w:rPr>
      </w:pPr>
      <w:r w:rsidRPr="008B619A">
        <w:rPr>
          <w:noProof/>
          <w:color w:val="000000" w:themeColor="text1"/>
          <w:lang w:bidi="ar-SA"/>
        </w:rPr>
        <w:lastRenderedPageBreak/>
        <w:drawing>
          <wp:inline distT="0" distB="0" distL="0" distR="0" wp14:anchorId="6A2356D5" wp14:editId="68C71EA4">
            <wp:extent cx="5590440" cy="2158200"/>
            <wp:effectExtent l="0" t="0" r="0" b="0"/>
            <wp:docPr id="22" name="圖片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lum/>
                      <a:alphaModFix/>
                    </a:blip>
                    <a:srcRect/>
                    <a:stretch>
                      <a:fillRect/>
                    </a:stretch>
                  </pic:blipFill>
                  <pic:spPr>
                    <a:xfrm>
                      <a:off x="0" y="0"/>
                      <a:ext cx="5590440" cy="2158200"/>
                    </a:xfrm>
                    <a:prstGeom prst="rect">
                      <a:avLst/>
                    </a:prstGeom>
                    <a:noFill/>
                    <a:ln>
                      <a:noFill/>
                      <a:prstDash/>
                    </a:ln>
                  </pic:spPr>
                </pic:pic>
              </a:graphicData>
            </a:graphic>
          </wp:inline>
        </w:drawing>
      </w:r>
    </w:p>
    <w:p w14:paraId="65306262" w14:textId="77777777" w:rsidR="00211DD7" w:rsidRPr="008B619A" w:rsidRDefault="00211DD7" w:rsidP="00211DD7">
      <w:pPr>
        <w:pStyle w:val="a1"/>
        <w:numPr>
          <w:ilvl w:val="0"/>
          <w:numId w:val="0"/>
        </w:numPr>
        <w:ind w:left="480" w:hanging="480"/>
        <w:rPr>
          <w:b/>
          <w:bCs w:val="0"/>
          <w:color w:val="000000" w:themeColor="text1"/>
        </w:rPr>
      </w:pPr>
      <w:bookmarkStart w:id="56" w:name="_Ref521079753"/>
      <w:bookmarkStart w:id="57" w:name="_Toc51939333"/>
      <w:r w:rsidRPr="008B619A">
        <w:rPr>
          <w:b/>
          <w:bCs w:val="0"/>
          <w:color w:val="000000" w:themeColor="text1"/>
        </w:rPr>
        <w:t>圖9</w:t>
      </w:r>
      <w:bookmarkEnd w:id="56"/>
      <w:r w:rsidRPr="008B619A">
        <w:rPr>
          <w:b/>
          <w:bCs w:val="0"/>
          <w:color w:val="000000" w:themeColor="text1"/>
        </w:rPr>
        <w:t xml:space="preserve"> 　學齡人口變動趨勢</w:t>
      </w:r>
      <w:r w:rsidRPr="008B619A">
        <w:rPr>
          <w:b/>
          <w:bCs w:val="0"/>
          <w:color w:val="000000" w:themeColor="text1"/>
        </w:rPr>
        <w:t>─</w:t>
      </w:r>
      <w:r w:rsidRPr="008B619A">
        <w:rPr>
          <w:b/>
          <w:bCs w:val="0"/>
          <w:color w:val="000000" w:themeColor="text1"/>
        </w:rPr>
        <w:t>中推估</w:t>
      </w:r>
      <w:bookmarkEnd w:id="57"/>
    </w:p>
    <w:p w14:paraId="0C3B2431" w14:textId="77777777" w:rsidR="00211DD7" w:rsidRPr="008B619A" w:rsidRDefault="00211DD7" w:rsidP="00F92C1E">
      <w:pPr>
        <w:spacing w:line="300" w:lineRule="exact"/>
        <w:rPr>
          <w:color w:val="000000" w:themeColor="text1"/>
          <w:sz w:val="24"/>
          <w:szCs w:val="24"/>
        </w:rPr>
      </w:pPr>
      <w:r w:rsidRPr="008B619A">
        <w:rPr>
          <w:color w:val="000000" w:themeColor="text1"/>
          <w:sz w:val="24"/>
          <w:szCs w:val="24"/>
        </w:rPr>
        <w:t>說明：6-11歲學齡人口=（6歲人口數</w:t>
      </w:r>
      <w:r w:rsidRPr="008B619A">
        <w:rPr>
          <w:color w:val="000000" w:themeColor="text1"/>
          <w:sz w:val="24"/>
          <w:szCs w:val="24"/>
        </w:rPr>
        <w:t>×</w:t>
      </w:r>
      <w:r w:rsidRPr="008B619A">
        <w:rPr>
          <w:color w:val="000000" w:themeColor="text1"/>
          <w:sz w:val="24"/>
          <w:szCs w:val="24"/>
        </w:rPr>
        <w:t>2/3）＋（7至11歲人口數）＋（12歲人口數</w:t>
      </w:r>
      <w:r w:rsidRPr="008B619A">
        <w:rPr>
          <w:color w:val="000000" w:themeColor="text1"/>
          <w:sz w:val="24"/>
          <w:szCs w:val="24"/>
        </w:rPr>
        <w:t>×</w:t>
      </w:r>
      <w:r w:rsidRPr="008B619A">
        <w:rPr>
          <w:color w:val="000000" w:themeColor="text1"/>
          <w:sz w:val="24"/>
          <w:szCs w:val="24"/>
        </w:rPr>
        <w:t>1/3），餘各級學齡人口以此類推。</w:t>
      </w:r>
    </w:p>
    <w:p w14:paraId="53E8366E" w14:textId="402A95A2" w:rsidR="00211DD7" w:rsidRPr="008B619A" w:rsidRDefault="00211DD7" w:rsidP="00F92C1E">
      <w:pPr>
        <w:spacing w:line="300" w:lineRule="exact"/>
        <w:rPr>
          <w:color w:val="000000" w:themeColor="text1"/>
          <w:sz w:val="24"/>
          <w:szCs w:val="24"/>
        </w:rPr>
      </w:pPr>
      <w:r w:rsidRPr="008B619A">
        <w:rPr>
          <w:color w:val="000000" w:themeColor="text1"/>
          <w:sz w:val="24"/>
          <w:szCs w:val="24"/>
        </w:rPr>
        <w:t>資料來源：1.1980學年度至2019學年度為內政部「中華民國人口統計年刊」。</w:t>
      </w:r>
    </w:p>
    <w:p w14:paraId="0E7CF082" w14:textId="380805CD" w:rsidR="00211DD7" w:rsidRPr="008B619A" w:rsidRDefault="00AC4552" w:rsidP="00F92C1E">
      <w:pPr>
        <w:spacing w:afterLines="100" w:after="457" w:line="240" w:lineRule="exact"/>
        <w:rPr>
          <w:color w:val="000000" w:themeColor="text1"/>
          <w:sz w:val="24"/>
          <w:szCs w:val="24"/>
        </w:rPr>
      </w:pPr>
      <w:r w:rsidRPr="008B619A">
        <w:rPr>
          <w:rFonts w:hint="eastAsia"/>
          <w:color w:val="000000" w:themeColor="text1"/>
          <w:sz w:val="24"/>
          <w:szCs w:val="24"/>
        </w:rPr>
        <w:t xml:space="preserve">          </w:t>
      </w:r>
      <w:r w:rsidR="00211DD7" w:rsidRPr="008B619A">
        <w:rPr>
          <w:color w:val="000000" w:themeColor="text1"/>
          <w:sz w:val="24"/>
          <w:szCs w:val="24"/>
        </w:rPr>
        <w:t>2.2020學年度至2070學年度為</w:t>
      </w:r>
      <w:r w:rsidR="004F4219" w:rsidRPr="008B619A">
        <w:rPr>
          <w:rFonts w:hint="eastAsia"/>
          <w:color w:val="000000" w:themeColor="text1"/>
          <w:sz w:val="24"/>
          <w:szCs w:val="24"/>
        </w:rPr>
        <w:t>中華民國人口推估報告</w:t>
      </w:r>
      <w:r w:rsidR="00211DD7" w:rsidRPr="008B619A">
        <w:rPr>
          <w:color w:val="000000" w:themeColor="text1"/>
          <w:sz w:val="24"/>
          <w:szCs w:val="24"/>
        </w:rPr>
        <w:t>。</w:t>
      </w:r>
    </w:p>
    <w:p w14:paraId="718FE93C" w14:textId="5FCA4F9D" w:rsidR="00992550" w:rsidRPr="008B619A" w:rsidRDefault="00191908" w:rsidP="006400F0">
      <w:pPr>
        <w:pStyle w:val="3"/>
        <w:rPr>
          <w:color w:val="000000" w:themeColor="text1"/>
        </w:rPr>
      </w:pPr>
      <w:r w:rsidRPr="008B619A">
        <w:rPr>
          <w:rFonts w:hint="eastAsia"/>
          <w:color w:val="000000" w:themeColor="text1"/>
        </w:rPr>
        <w:t>針對</w:t>
      </w:r>
      <w:r w:rsidR="003D712D" w:rsidRPr="008B619A">
        <w:rPr>
          <w:rFonts w:hint="eastAsia"/>
          <w:color w:val="000000" w:themeColor="text1"/>
        </w:rPr>
        <w:t>博士班學生及畢業人數</w:t>
      </w:r>
      <w:r w:rsidR="002E585A" w:rsidRPr="008B619A">
        <w:rPr>
          <w:rFonts w:hint="eastAsia"/>
          <w:color w:val="000000" w:themeColor="text1"/>
        </w:rPr>
        <w:t>之</w:t>
      </w:r>
      <w:r w:rsidR="003D712D" w:rsidRPr="008B619A">
        <w:rPr>
          <w:rFonts w:hint="eastAsia"/>
          <w:color w:val="000000" w:themeColor="text1"/>
        </w:rPr>
        <w:t>分析</w:t>
      </w:r>
      <w:r w:rsidR="00144111" w:rsidRPr="008B619A">
        <w:rPr>
          <w:rFonts w:hint="eastAsia"/>
          <w:color w:val="000000" w:themeColor="text1"/>
        </w:rPr>
        <w:t>歷來多以整體研究所階段併陳</w:t>
      </w:r>
      <w:r w:rsidR="00E1538E" w:rsidRPr="008B619A">
        <w:rPr>
          <w:rFonts w:hint="eastAsia"/>
          <w:color w:val="000000" w:themeColor="text1"/>
        </w:rPr>
        <w:t>，</w:t>
      </w:r>
      <w:r w:rsidR="009D0B1A" w:rsidRPr="008B619A">
        <w:rPr>
          <w:rFonts w:hint="eastAsia"/>
          <w:color w:val="000000" w:themeColor="text1"/>
        </w:rPr>
        <w:t>鑒於</w:t>
      </w:r>
      <w:r w:rsidR="00E1538E" w:rsidRPr="008B619A">
        <w:rPr>
          <w:rFonts w:hint="eastAsia"/>
          <w:color w:val="000000" w:themeColor="text1"/>
        </w:rPr>
        <w:t>研究所係高等教育之最終階段，適值學校邁入勞動市場之轉捩點，個人經濟、家庭因素及生涯規劃為入學或持續就學意願高低之關鍵，回流及休、退學學生比率高於其他教育階段，致生源複雜多元，就學年齡與對應出生人口數關聯性亦偏低，較難輔以出生人口或前一教育階段學生數觀察其學生人數之變化趨勢</w:t>
      </w:r>
      <w:r w:rsidRPr="008B619A">
        <w:rPr>
          <w:rFonts w:hint="eastAsia"/>
          <w:color w:val="000000" w:themeColor="text1"/>
        </w:rPr>
        <w:t>。惟綜觀</w:t>
      </w:r>
      <w:r w:rsidRPr="008B619A">
        <w:rPr>
          <w:rFonts w:ascii="TimesNewRoman" w:eastAsia="Times New Roman" w:hAnsi="TimesNewRoman" w:cs="TimesNewRoman"/>
          <w:color w:val="000000" w:themeColor="text1"/>
        </w:rPr>
        <w:t>26</w:t>
      </w:r>
      <w:r w:rsidRPr="008B619A">
        <w:rPr>
          <w:rFonts w:hint="eastAsia"/>
          <w:color w:val="000000" w:themeColor="text1"/>
        </w:rPr>
        <w:t>學年間</w:t>
      </w:r>
      <w:r w:rsidR="00AA50EC" w:rsidRPr="008B619A">
        <w:rPr>
          <w:rFonts w:hint="eastAsia"/>
          <w:color w:val="000000" w:themeColor="text1"/>
        </w:rPr>
        <w:t>，我國</w:t>
      </w:r>
      <w:r w:rsidRPr="008B619A">
        <w:rPr>
          <w:rFonts w:hint="eastAsia"/>
          <w:color w:val="000000" w:themeColor="text1"/>
        </w:rPr>
        <w:t>研究所畢業生人數</w:t>
      </w:r>
      <w:r w:rsidR="00FF7D7A" w:rsidRPr="008B619A">
        <w:rPr>
          <w:rFonts w:hAnsi="標楷體" w:hint="eastAsia"/>
          <w:color w:val="000000" w:themeColor="text1"/>
        </w:rPr>
        <w:t>自</w:t>
      </w:r>
      <w:r w:rsidR="00FF7D7A" w:rsidRPr="008B619A">
        <w:rPr>
          <w:rFonts w:hAnsi="標楷體" w:cs="TimesNewRoman"/>
          <w:color w:val="000000" w:themeColor="text1"/>
        </w:rPr>
        <w:t>101</w:t>
      </w:r>
      <w:r w:rsidR="00FF7D7A" w:rsidRPr="008B619A">
        <w:rPr>
          <w:rFonts w:hAnsi="標楷體" w:hint="eastAsia"/>
          <w:color w:val="000000" w:themeColor="text1"/>
        </w:rPr>
        <w:t>學年之</w:t>
      </w:r>
      <w:r w:rsidR="00FF7D7A" w:rsidRPr="008B619A">
        <w:rPr>
          <w:rFonts w:hAnsi="標楷體" w:cs="TimesNewRoman"/>
          <w:color w:val="000000" w:themeColor="text1"/>
        </w:rPr>
        <w:t>6.4</w:t>
      </w:r>
      <w:r w:rsidR="00FF7D7A" w:rsidRPr="008B619A">
        <w:rPr>
          <w:rFonts w:hAnsi="標楷體" w:hint="eastAsia"/>
          <w:color w:val="000000" w:themeColor="text1"/>
        </w:rPr>
        <w:t>萬人逐年減少</w:t>
      </w:r>
      <w:r w:rsidR="00606174" w:rsidRPr="008B619A">
        <w:rPr>
          <w:rFonts w:hAnsi="標楷體" w:hint="eastAsia"/>
          <w:color w:val="000000" w:themeColor="text1"/>
        </w:rPr>
        <w:t>，博士班者屬回流教育性質，受少子女化之直接衝擊相對較小，然</w:t>
      </w:r>
      <w:r w:rsidR="00E00063" w:rsidRPr="008B619A">
        <w:rPr>
          <w:rFonts w:hAnsi="標楷體" w:hint="eastAsia"/>
          <w:color w:val="000000" w:themeColor="text1"/>
        </w:rPr>
        <w:t>畢業生數及新生數均</w:t>
      </w:r>
      <w:r w:rsidR="00606174" w:rsidRPr="008B619A">
        <w:rPr>
          <w:rFonts w:hAnsi="標楷體" w:hint="eastAsia"/>
          <w:color w:val="000000" w:themeColor="text1"/>
        </w:rPr>
        <w:t>仍出現逐年減少</w:t>
      </w:r>
      <w:r w:rsidR="00D817B3" w:rsidRPr="008B619A">
        <w:rPr>
          <w:rFonts w:hAnsi="標楷體" w:hint="eastAsia"/>
          <w:color w:val="000000" w:themeColor="text1"/>
        </w:rPr>
        <w:t>之</w:t>
      </w:r>
      <w:r w:rsidR="00606174" w:rsidRPr="008B619A">
        <w:rPr>
          <w:rFonts w:hAnsi="標楷體" w:hint="eastAsia"/>
          <w:color w:val="000000" w:themeColor="text1"/>
        </w:rPr>
        <w:t>趨勢</w:t>
      </w:r>
      <w:r w:rsidR="00FF7D7A" w:rsidRPr="008B619A">
        <w:rPr>
          <w:rFonts w:hint="eastAsia"/>
          <w:color w:val="000000" w:themeColor="text1"/>
        </w:rPr>
        <w:t>。</w:t>
      </w:r>
      <w:r w:rsidR="00CA18EE" w:rsidRPr="008B619A">
        <w:rPr>
          <w:rFonts w:hint="eastAsia"/>
          <w:color w:val="000000" w:themeColor="text1"/>
        </w:rPr>
        <w:t>相關</w:t>
      </w:r>
      <w:r w:rsidR="006F42F9" w:rsidRPr="008B619A">
        <w:rPr>
          <w:rFonts w:hint="eastAsia"/>
          <w:color w:val="000000" w:themeColor="text1"/>
        </w:rPr>
        <w:t>長期發展及預估如下列舉及圖示：</w:t>
      </w:r>
    </w:p>
    <w:p w14:paraId="79E966CA" w14:textId="6387A3B0" w:rsidR="00171DF7" w:rsidRPr="008B619A" w:rsidRDefault="00191908" w:rsidP="00992550">
      <w:pPr>
        <w:pStyle w:val="4"/>
        <w:rPr>
          <w:rFonts w:hAnsi="標楷體"/>
          <w:color w:val="000000" w:themeColor="text1"/>
        </w:rPr>
      </w:pPr>
      <w:r w:rsidRPr="008B619A">
        <w:rPr>
          <w:rFonts w:hAnsi="標楷體" w:cs="TimesNewRoman"/>
          <w:color w:val="000000" w:themeColor="text1"/>
        </w:rPr>
        <w:t>98</w:t>
      </w:r>
      <w:r w:rsidRPr="008B619A">
        <w:rPr>
          <w:rFonts w:hAnsi="標楷體" w:hint="eastAsia"/>
          <w:color w:val="000000" w:themeColor="text1"/>
        </w:rPr>
        <w:t>至</w:t>
      </w:r>
      <w:r w:rsidRPr="008B619A">
        <w:rPr>
          <w:rFonts w:hAnsi="標楷體" w:cs="TimesNewRoman"/>
          <w:color w:val="000000" w:themeColor="text1"/>
        </w:rPr>
        <w:t>101</w:t>
      </w:r>
      <w:r w:rsidRPr="008B619A">
        <w:rPr>
          <w:rFonts w:hAnsi="標楷體" w:hint="eastAsia"/>
          <w:color w:val="000000" w:themeColor="text1"/>
        </w:rPr>
        <w:t>學年</w:t>
      </w:r>
      <w:r w:rsidR="00B918DD" w:rsidRPr="008B619A">
        <w:rPr>
          <w:rFonts w:hAnsi="標楷體" w:hint="eastAsia"/>
          <w:color w:val="000000" w:themeColor="text1"/>
        </w:rPr>
        <w:t>研究所畢業生</w:t>
      </w:r>
      <w:r w:rsidRPr="008B619A">
        <w:rPr>
          <w:rFonts w:hAnsi="標楷體" w:hint="eastAsia"/>
          <w:color w:val="000000" w:themeColor="text1"/>
        </w:rPr>
        <w:t>受高教普及現象影響而呈緩升，惟自</w:t>
      </w:r>
      <w:r w:rsidRPr="008B619A">
        <w:rPr>
          <w:rFonts w:hAnsi="標楷體" w:cs="TimesNewRoman"/>
          <w:color w:val="000000" w:themeColor="text1"/>
        </w:rPr>
        <w:t>101</w:t>
      </w:r>
      <w:r w:rsidRPr="008B619A">
        <w:rPr>
          <w:rFonts w:hAnsi="標楷體" w:hint="eastAsia"/>
          <w:color w:val="000000" w:themeColor="text1"/>
        </w:rPr>
        <w:t>學年之</w:t>
      </w:r>
      <w:r w:rsidRPr="008B619A">
        <w:rPr>
          <w:rFonts w:hAnsi="標楷體" w:cs="TimesNewRoman"/>
          <w:color w:val="000000" w:themeColor="text1"/>
        </w:rPr>
        <w:t>6.4</w:t>
      </w:r>
      <w:r w:rsidRPr="008B619A">
        <w:rPr>
          <w:rFonts w:hAnsi="標楷體" w:hint="eastAsia"/>
          <w:color w:val="000000" w:themeColor="text1"/>
        </w:rPr>
        <w:t>萬人逐年減少，迄</w:t>
      </w:r>
      <w:r w:rsidRPr="008B619A">
        <w:rPr>
          <w:rFonts w:hAnsi="標楷體" w:cs="TimesNewRoman"/>
          <w:color w:val="000000" w:themeColor="text1"/>
        </w:rPr>
        <w:t>107</w:t>
      </w:r>
      <w:r w:rsidRPr="008B619A">
        <w:rPr>
          <w:rFonts w:hAnsi="標楷體" w:hint="eastAsia"/>
          <w:color w:val="000000" w:themeColor="text1"/>
        </w:rPr>
        <w:t>學年為</w:t>
      </w:r>
      <w:r w:rsidRPr="008B619A">
        <w:rPr>
          <w:rFonts w:hAnsi="標楷體" w:cs="TimesNewRoman"/>
          <w:color w:val="000000" w:themeColor="text1"/>
        </w:rPr>
        <w:t>5.8</w:t>
      </w:r>
      <w:r w:rsidRPr="008B619A">
        <w:rPr>
          <w:rFonts w:hAnsi="標楷體" w:hint="eastAsia"/>
          <w:color w:val="000000" w:themeColor="text1"/>
        </w:rPr>
        <w:t>萬人，其中碩士畢業生數</w:t>
      </w:r>
      <w:r w:rsidRPr="008B619A">
        <w:rPr>
          <w:rFonts w:hAnsi="標楷體" w:cs="TimesNewRoman"/>
          <w:color w:val="000000" w:themeColor="text1"/>
        </w:rPr>
        <w:t>5.4</w:t>
      </w:r>
      <w:r w:rsidRPr="008B619A">
        <w:rPr>
          <w:rFonts w:hAnsi="標楷體" w:hint="eastAsia"/>
          <w:color w:val="000000" w:themeColor="text1"/>
        </w:rPr>
        <w:t>萬人、博士畢業生數</w:t>
      </w:r>
      <w:r w:rsidRPr="008B619A">
        <w:rPr>
          <w:rFonts w:hAnsi="標楷體" w:cs="TimesNewRoman"/>
          <w:color w:val="000000" w:themeColor="text1"/>
        </w:rPr>
        <w:t>3.3</w:t>
      </w:r>
      <w:r w:rsidRPr="008B619A">
        <w:rPr>
          <w:rFonts w:hAnsi="標楷體" w:hint="eastAsia"/>
          <w:color w:val="000000" w:themeColor="text1"/>
        </w:rPr>
        <w:t>千人</w:t>
      </w:r>
      <w:r w:rsidR="00171DF7" w:rsidRPr="008B619A">
        <w:rPr>
          <w:rFonts w:hAnsi="標楷體" w:hint="eastAsia"/>
          <w:color w:val="000000" w:themeColor="text1"/>
        </w:rPr>
        <w:t>。</w:t>
      </w:r>
      <w:r w:rsidR="00890E33" w:rsidRPr="008B619A">
        <w:rPr>
          <w:rFonts w:hAnsi="標楷體" w:hint="eastAsia"/>
          <w:color w:val="000000" w:themeColor="text1"/>
        </w:rPr>
        <w:t>復</w:t>
      </w:r>
      <w:r w:rsidR="000A1F02" w:rsidRPr="008B619A">
        <w:rPr>
          <w:rFonts w:hAnsi="標楷體" w:hint="eastAsia"/>
          <w:color w:val="000000" w:themeColor="text1"/>
        </w:rPr>
        <w:t>依據教育部統計處「各</w:t>
      </w:r>
      <w:r w:rsidR="000A1F02" w:rsidRPr="008B619A">
        <w:rPr>
          <w:rFonts w:hAnsi="標楷體" w:hint="eastAsia"/>
          <w:color w:val="000000" w:themeColor="text1"/>
        </w:rPr>
        <w:lastRenderedPageBreak/>
        <w:t>教育階段學生數預測報告」，108學年國內博士班學生人數為28,510人。</w:t>
      </w:r>
    </w:p>
    <w:p w14:paraId="7B8CB1B6" w14:textId="6FCE68E7" w:rsidR="00E15629" w:rsidRPr="008B619A" w:rsidRDefault="00672FFF" w:rsidP="006400F0">
      <w:pPr>
        <w:pStyle w:val="4"/>
        <w:rPr>
          <w:color w:val="000000" w:themeColor="text1"/>
        </w:rPr>
      </w:pPr>
      <w:r w:rsidRPr="008B619A">
        <w:rPr>
          <w:rFonts w:hAnsi="標楷體" w:hint="eastAsia"/>
          <w:color w:val="000000" w:themeColor="text1"/>
        </w:rPr>
        <w:t>部分就讀博士班者屬回流教育性質，受少子女化之直接衝擊相對較小，國發會推估</w:t>
      </w:r>
      <w:r w:rsidR="00191908" w:rsidRPr="008B619A">
        <w:rPr>
          <w:rFonts w:hAnsi="標楷體"/>
          <w:color w:val="000000" w:themeColor="text1"/>
        </w:rPr>
        <w:t>124</w:t>
      </w:r>
      <w:r w:rsidR="00191908" w:rsidRPr="008B619A">
        <w:rPr>
          <w:rFonts w:hAnsi="標楷體" w:hint="eastAsia"/>
          <w:color w:val="000000" w:themeColor="text1"/>
        </w:rPr>
        <w:t>學年研究所學生數將減至</w:t>
      </w:r>
      <w:r w:rsidR="00191908" w:rsidRPr="008B619A">
        <w:rPr>
          <w:rFonts w:hAnsi="標楷體"/>
          <w:color w:val="000000" w:themeColor="text1"/>
        </w:rPr>
        <w:t>4.6</w:t>
      </w:r>
      <w:r w:rsidR="00191908" w:rsidRPr="008B619A">
        <w:rPr>
          <w:rFonts w:hAnsi="標楷體" w:hint="eastAsia"/>
          <w:color w:val="000000" w:themeColor="text1"/>
        </w:rPr>
        <w:t>萬人，較</w:t>
      </w:r>
      <w:r w:rsidR="00191908" w:rsidRPr="008B619A">
        <w:rPr>
          <w:rFonts w:hAnsi="標楷體"/>
          <w:color w:val="000000" w:themeColor="text1"/>
        </w:rPr>
        <w:t>98</w:t>
      </w:r>
      <w:r w:rsidR="00191908" w:rsidRPr="008B619A">
        <w:rPr>
          <w:rFonts w:hAnsi="標楷體" w:hint="eastAsia"/>
          <w:color w:val="000000" w:themeColor="text1"/>
        </w:rPr>
        <w:t>學年減少</w:t>
      </w:r>
      <w:r w:rsidR="00191908" w:rsidRPr="008B619A">
        <w:rPr>
          <w:rFonts w:hAnsi="標楷體"/>
          <w:color w:val="000000" w:themeColor="text1"/>
        </w:rPr>
        <w:t>1.7</w:t>
      </w:r>
      <w:r w:rsidR="00191908" w:rsidRPr="008B619A">
        <w:rPr>
          <w:rFonts w:hAnsi="標楷體" w:hint="eastAsia"/>
          <w:color w:val="000000" w:themeColor="text1"/>
        </w:rPr>
        <w:t>萬人或</w:t>
      </w:r>
      <w:r w:rsidR="00191908" w:rsidRPr="008B619A">
        <w:rPr>
          <w:rFonts w:hAnsi="標楷體"/>
          <w:color w:val="000000" w:themeColor="text1"/>
        </w:rPr>
        <w:t>27.0%</w:t>
      </w:r>
      <w:r w:rsidR="00191908" w:rsidRPr="008B619A">
        <w:rPr>
          <w:rFonts w:hAnsi="標楷體" w:hint="eastAsia"/>
          <w:color w:val="000000" w:themeColor="text1"/>
        </w:rPr>
        <w:t>；而預計未來</w:t>
      </w:r>
      <w:r w:rsidR="00191908" w:rsidRPr="008B619A">
        <w:rPr>
          <w:rFonts w:hAnsi="標楷體"/>
          <w:color w:val="000000" w:themeColor="text1"/>
        </w:rPr>
        <w:t>17</w:t>
      </w:r>
      <w:r w:rsidR="00191908" w:rsidRPr="008B619A">
        <w:rPr>
          <w:rFonts w:hAnsi="標楷體" w:hint="eastAsia"/>
          <w:color w:val="000000" w:themeColor="text1"/>
        </w:rPr>
        <w:t>學年間，研究所畢業生數平均年減約</w:t>
      </w:r>
      <w:r w:rsidR="00191908" w:rsidRPr="008B619A">
        <w:rPr>
          <w:rFonts w:hAnsi="標楷體"/>
          <w:color w:val="000000" w:themeColor="text1"/>
        </w:rPr>
        <w:t>7</w:t>
      </w:r>
      <w:r w:rsidR="00191908" w:rsidRPr="008B619A">
        <w:rPr>
          <w:rFonts w:hAnsi="標楷體" w:hint="eastAsia"/>
          <w:color w:val="000000" w:themeColor="text1"/>
        </w:rPr>
        <w:t>百人或</w:t>
      </w:r>
      <w:r w:rsidR="00191908" w:rsidRPr="008B619A">
        <w:rPr>
          <w:rFonts w:hAnsi="標楷體"/>
          <w:color w:val="000000" w:themeColor="text1"/>
        </w:rPr>
        <w:t>1.3%</w:t>
      </w:r>
      <w:r w:rsidR="001415A4" w:rsidRPr="008B619A">
        <w:rPr>
          <w:rFonts w:hAnsi="標楷體" w:hint="eastAsia"/>
          <w:color w:val="000000" w:themeColor="text1"/>
        </w:rPr>
        <w:t>。</w:t>
      </w:r>
      <w:r w:rsidR="00E15629" w:rsidRPr="008B619A">
        <w:rPr>
          <w:rFonts w:hAnsi="標楷體" w:hint="eastAsia"/>
          <w:color w:val="000000" w:themeColor="text1"/>
        </w:rPr>
        <w:t>其中，</w:t>
      </w:r>
      <w:r w:rsidR="00E15629" w:rsidRPr="008B619A">
        <w:rPr>
          <w:rFonts w:hint="eastAsia"/>
          <w:color w:val="000000" w:themeColor="text1"/>
        </w:rPr>
        <w:t>至124學年博士班學生人數，</w:t>
      </w:r>
      <w:r w:rsidR="009033BE" w:rsidRPr="008B619A">
        <w:rPr>
          <w:rFonts w:hAnsi="標楷體" w:hint="eastAsia"/>
          <w:color w:val="000000" w:themeColor="text1"/>
        </w:rPr>
        <w:t>國發會推估</w:t>
      </w:r>
      <w:r w:rsidR="00E15629" w:rsidRPr="008B619A">
        <w:rPr>
          <w:rFonts w:hint="eastAsia"/>
          <w:color w:val="000000" w:themeColor="text1"/>
        </w:rPr>
        <w:t>將減為27,548人，降幅達3.4%，減少962人；另觀察107至124學年博士畢業生人數增減情形，107學年博士畢業生人數為3,306人，預計124學年將減至3,288人，減幅為0.5%</w:t>
      </w:r>
      <w:r w:rsidR="00A461EE" w:rsidRPr="008B619A">
        <w:rPr>
          <w:rFonts w:hint="eastAsia"/>
          <w:color w:val="000000" w:themeColor="text1"/>
        </w:rPr>
        <w:t>。</w:t>
      </w:r>
    </w:p>
    <w:p w14:paraId="64792AEB" w14:textId="77777777" w:rsidR="002E585A" w:rsidRPr="008B619A" w:rsidRDefault="002E585A" w:rsidP="002E585A">
      <w:pPr>
        <w:jc w:val="center"/>
        <w:rPr>
          <w:color w:val="000000" w:themeColor="text1"/>
        </w:rPr>
      </w:pPr>
      <w:r w:rsidRPr="008B619A">
        <w:rPr>
          <w:noProof/>
          <w:color w:val="000000" w:themeColor="text1"/>
        </w:rPr>
        <w:drawing>
          <wp:inline distT="0" distB="0" distL="0" distR="0" wp14:anchorId="615F3A72" wp14:editId="5641AEF5">
            <wp:extent cx="5908469" cy="2124075"/>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76603" cy="2148569"/>
                    </a:xfrm>
                    <a:prstGeom prst="rect">
                      <a:avLst/>
                    </a:prstGeom>
                  </pic:spPr>
                </pic:pic>
              </a:graphicData>
            </a:graphic>
          </wp:inline>
        </w:drawing>
      </w:r>
    </w:p>
    <w:p w14:paraId="177055D6" w14:textId="77777777" w:rsidR="002E585A" w:rsidRPr="008B619A" w:rsidRDefault="002E585A" w:rsidP="002E585A">
      <w:pPr>
        <w:pStyle w:val="a1"/>
        <w:spacing w:line="240" w:lineRule="exact"/>
        <w:rPr>
          <w:b/>
          <w:color w:val="000000" w:themeColor="text1"/>
        </w:rPr>
      </w:pPr>
      <w:r w:rsidRPr="008B619A">
        <w:rPr>
          <w:rFonts w:hint="eastAsia"/>
          <w:b/>
          <w:color w:val="000000" w:themeColor="text1"/>
        </w:rPr>
        <w:t>大專校院研究所畢業生數變化趨勢</w:t>
      </w:r>
    </w:p>
    <w:p w14:paraId="4B99ABC3" w14:textId="30E1CF89" w:rsidR="002E585A" w:rsidRPr="008B619A" w:rsidRDefault="002E585A" w:rsidP="00CB3BF1">
      <w:pPr>
        <w:spacing w:afterLines="100" w:after="457" w:line="240" w:lineRule="exact"/>
        <w:jc w:val="center"/>
        <w:rPr>
          <w:color w:val="000000" w:themeColor="text1"/>
          <w:sz w:val="24"/>
          <w:szCs w:val="24"/>
        </w:rPr>
      </w:pPr>
      <w:r w:rsidRPr="008B619A">
        <w:rPr>
          <w:rFonts w:hint="eastAsia"/>
          <w:color w:val="000000" w:themeColor="text1"/>
          <w:sz w:val="24"/>
          <w:szCs w:val="24"/>
        </w:rPr>
        <w:t>資料來源：教育部函復資料。</w:t>
      </w:r>
    </w:p>
    <w:p w14:paraId="71F71FC8" w14:textId="77777777" w:rsidR="00C56A83" w:rsidRPr="008B619A" w:rsidRDefault="00C56A83" w:rsidP="0064587A">
      <w:pPr>
        <w:pStyle w:val="a3"/>
        <w:ind w:left="0" w:firstLine="0"/>
        <w:jc w:val="center"/>
        <w:rPr>
          <w:b/>
          <w:bCs w:val="0"/>
          <w:color w:val="000000" w:themeColor="text1"/>
        </w:rPr>
      </w:pPr>
      <w:r w:rsidRPr="008B619A">
        <w:rPr>
          <w:rFonts w:hint="eastAsia"/>
          <w:b/>
          <w:bCs w:val="0"/>
          <w:color w:val="000000" w:themeColor="text1"/>
        </w:rPr>
        <w:t>博士班學生及畢業人數實際統計及預測值</w:t>
      </w:r>
    </w:p>
    <w:p w14:paraId="308B3557" w14:textId="12CD614D" w:rsidR="00C56A83" w:rsidRPr="008B619A" w:rsidRDefault="00F7002F" w:rsidP="00C56A83">
      <w:pPr>
        <w:pStyle w:val="afb"/>
        <w:spacing w:line="440" w:lineRule="exact"/>
        <w:ind w:leftChars="0" w:left="680" w:right="680" w:hanging="680"/>
        <w:jc w:val="right"/>
        <w:rPr>
          <w:rFonts w:ascii="Times New Roman"/>
          <w:color w:val="000000" w:themeColor="text1"/>
          <w:sz w:val="24"/>
          <w:szCs w:val="24"/>
        </w:rPr>
      </w:pPr>
      <w:r w:rsidRPr="008B619A">
        <w:rPr>
          <w:rFonts w:ascii="Times New Roman" w:hint="eastAsia"/>
          <w:color w:val="000000" w:themeColor="text1"/>
          <w:sz w:val="24"/>
          <w:szCs w:val="24"/>
        </w:rPr>
        <w:t xml:space="preserve">　　　</w:t>
      </w:r>
      <w:r w:rsidR="0037377D" w:rsidRPr="008B619A">
        <w:rPr>
          <w:rFonts w:ascii="Times New Roman" w:hint="eastAsia"/>
          <w:color w:val="000000" w:themeColor="text1"/>
          <w:sz w:val="24"/>
          <w:szCs w:val="24"/>
        </w:rPr>
        <w:t xml:space="preserve">  </w:t>
      </w:r>
      <w:r w:rsidR="00C56A83" w:rsidRPr="008B619A">
        <w:rPr>
          <w:rFonts w:ascii="Times New Roman" w:hint="eastAsia"/>
          <w:color w:val="000000" w:themeColor="text1"/>
          <w:sz w:val="24"/>
          <w:szCs w:val="24"/>
        </w:rPr>
        <w:t>單位：人；</w:t>
      </w:r>
      <w:r w:rsidR="00C56A83" w:rsidRPr="008B619A">
        <w:rPr>
          <w:rFonts w:ascii="Times New Roman" w:hint="eastAsia"/>
          <w:color w:val="000000" w:themeColor="text1"/>
          <w:sz w:val="24"/>
          <w:szCs w:val="24"/>
        </w:rPr>
        <w:t>%</w:t>
      </w:r>
    </w:p>
    <w:tbl>
      <w:tblPr>
        <w:tblStyle w:val="afa"/>
        <w:tblW w:w="0" w:type="auto"/>
        <w:tblInd w:w="80" w:type="dxa"/>
        <w:tblLook w:val="04A0" w:firstRow="1" w:lastRow="0" w:firstColumn="1" w:lastColumn="0" w:noHBand="0" w:noVBand="1"/>
      </w:tblPr>
      <w:tblGrid>
        <w:gridCol w:w="2254"/>
        <w:gridCol w:w="3251"/>
        <w:gridCol w:w="3249"/>
      </w:tblGrid>
      <w:tr w:rsidR="00C56A83" w:rsidRPr="008B619A" w14:paraId="0FEC8035" w14:textId="77777777" w:rsidTr="00425722">
        <w:trPr>
          <w:trHeight w:val="65"/>
        </w:trPr>
        <w:tc>
          <w:tcPr>
            <w:tcW w:w="2296" w:type="dxa"/>
            <w:tcBorders>
              <w:top w:val="single" w:sz="6" w:space="0" w:color="auto"/>
              <w:bottom w:val="single" w:sz="6" w:space="0" w:color="auto"/>
            </w:tcBorders>
            <w:shd w:val="clear" w:color="auto" w:fill="FBD4B4" w:themeFill="accent6" w:themeFillTint="66"/>
          </w:tcPr>
          <w:p w14:paraId="678A23D8" w14:textId="77777777" w:rsidR="00C56A83" w:rsidRPr="008B619A" w:rsidRDefault="00C56A83" w:rsidP="006400F0">
            <w:pPr>
              <w:spacing w:beforeLines="20" w:before="91" w:afterLines="20" w:after="91" w:line="380" w:lineRule="exact"/>
              <w:jc w:val="center"/>
              <w:rPr>
                <w:rFonts w:ascii="Times New Roman"/>
                <w:b/>
                <w:color w:val="000000" w:themeColor="text1"/>
                <w:kern w:val="0"/>
                <w:sz w:val="27"/>
                <w:szCs w:val="27"/>
              </w:rPr>
            </w:pPr>
            <w:r w:rsidRPr="008B619A">
              <w:rPr>
                <w:rFonts w:ascii="Times New Roman" w:hint="eastAsia"/>
                <w:b/>
                <w:color w:val="000000" w:themeColor="text1"/>
                <w:kern w:val="0"/>
                <w:sz w:val="27"/>
                <w:szCs w:val="27"/>
              </w:rPr>
              <w:t>學年</w:t>
            </w:r>
          </w:p>
        </w:tc>
        <w:tc>
          <w:tcPr>
            <w:tcW w:w="3310" w:type="dxa"/>
            <w:tcBorders>
              <w:top w:val="single" w:sz="6" w:space="0" w:color="auto"/>
              <w:bottom w:val="single" w:sz="6" w:space="0" w:color="auto"/>
            </w:tcBorders>
            <w:shd w:val="clear" w:color="auto" w:fill="FBD4B4" w:themeFill="accent6" w:themeFillTint="66"/>
          </w:tcPr>
          <w:p w14:paraId="398DFC1F" w14:textId="77777777" w:rsidR="00C56A83" w:rsidRPr="008B619A" w:rsidRDefault="00C56A83" w:rsidP="006400F0">
            <w:pPr>
              <w:spacing w:beforeLines="20" w:before="91" w:afterLines="20" w:after="91" w:line="380" w:lineRule="exact"/>
              <w:jc w:val="center"/>
              <w:rPr>
                <w:rFonts w:ascii="Times New Roman"/>
                <w:b/>
                <w:color w:val="000000" w:themeColor="text1"/>
                <w:kern w:val="0"/>
                <w:sz w:val="27"/>
                <w:szCs w:val="27"/>
              </w:rPr>
            </w:pPr>
            <w:r w:rsidRPr="008B619A">
              <w:rPr>
                <w:rFonts w:ascii="Times New Roman" w:hint="eastAsia"/>
                <w:b/>
                <w:color w:val="000000" w:themeColor="text1"/>
                <w:kern w:val="0"/>
                <w:sz w:val="27"/>
                <w:szCs w:val="27"/>
              </w:rPr>
              <w:t>博士班學生人數</w:t>
            </w:r>
          </w:p>
        </w:tc>
        <w:tc>
          <w:tcPr>
            <w:tcW w:w="3311" w:type="dxa"/>
            <w:tcBorders>
              <w:top w:val="single" w:sz="6" w:space="0" w:color="auto"/>
              <w:bottom w:val="single" w:sz="6" w:space="0" w:color="auto"/>
            </w:tcBorders>
            <w:shd w:val="clear" w:color="auto" w:fill="FBD4B4" w:themeFill="accent6" w:themeFillTint="66"/>
          </w:tcPr>
          <w:p w14:paraId="170E0542" w14:textId="77777777" w:rsidR="00C56A83" w:rsidRPr="008B619A" w:rsidRDefault="00C56A83" w:rsidP="006400F0">
            <w:pPr>
              <w:spacing w:beforeLines="20" w:before="91" w:afterLines="20" w:after="91" w:line="380" w:lineRule="exact"/>
              <w:jc w:val="center"/>
              <w:rPr>
                <w:rFonts w:ascii="Times New Roman"/>
                <w:b/>
                <w:color w:val="000000" w:themeColor="text1"/>
                <w:kern w:val="0"/>
                <w:sz w:val="27"/>
                <w:szCs w:val="27"/>
              </w:rPr>
            </w:pPr>
            <w:r w:rsidRPr="008B619A">
              <w:rPr>
                <w:rFonts w:ascii="Times New Roman" w:hint="eastAsia"/>
                <w:b/>
                <w:color w:val="000000" w:themeColor="text1"/>
                <w:kern w:val="0"/>
                <w:sz w:val="27"/>
                <w:szCs w:val="27"/>
              </w:rPr>
              <w:t>博士畢業生人數</w:t>
            </w:r>
          </w:p>
        </w:tc>
      </w:tr>
      <w:tr w:rsidR="00C56A83" w:rsidRPr="008B619A" w14:paraId="1C0CB11E" w14:textId="77777777" w:rsidTr="006400F0">
        <w:tc>
          <w:tcPr>
            <w:tcW w:w="2296" w:type="dxa"/>
            <w:tcBorders>
              <w:top w:val="single" w:sz="6" w:space="0" w:color="auto"/>
            </w:tcBorders>
          </w:tcPr>
          <w:p w14:paraId="7EFF32D0" w14:textId="77777777" w:rsidR="00C56A83" w:rsidRPr="008B619A" w:rsidRDefault="00C56A83" w:rsidP="006400F0">
            <w:pPr>
              <w:spacing w:line="380" w:lineRule="exact"/>
              <w:jc w:val="center"/>
              <w:rPr>
                <w:rFonts w:ascii="Times New Roman"/>
                <w:color w:val="000000" w:themeColor="text1"/>
                <w:kern w:val="0"/>
                <w:sz w:val="27"/>
                <w:szCs w:val="27"/>
              </w:rPr>
            </w:pPr>
            <w:r w:rsidRPr="008B619A">
              <w:rPr>
                <w:rFonts w:ascii="Times New Roman" w:hint="eastAsia"/>
                <w:color w:val="000000" w:themeColor="text1"/>
                <w:kern w:val="0"/>
                <w:sz w:val="27"/>
                <w:szCs w:val="27"/>
              </w:rPr>
              <w:t>107</w:t>
            </w:r>
          </w:p>
        </w:tc>
        <w:tc>
          <w:tcPr>
            <w:tcW w:w="3310" w:type="dxa"/>
            <w:tcBorders>
              <w:top w:val="single" w:sz="6" w:space="0" w:color="auto"/>
              <w:bottom w:val="single" w:sz="4" w:space="0" w:color="auto"/>
            </w:tcBorders>
          </w:tcPr>
          <w:p w14:paraId="1F4D534B" w14:textId="77777777" w:rsidR="00C56A83" w:rsidRPr="008B619A" w:rsidRDefault="00C56A83" w:rsidP="006400F0">
            <w:pPr>
              <w:spacing w:line="380" w:lineRule="exact"/>
              <w:jc w:val="center"/>
              <w:rPr>
                <w:rFonts w:ascii="Times New Roman"/>
                <w:color w:val="000000" w:themeColor="text1"/>
                <w:kern w:val="0"/>
                <w:sz w:val="27"/>
                <w:szCs w:val="27"/>
              </w:rPr>
            </w:pPr>
            <w:r w:rsidRPr="008B619A">
              <w:rPr>
                <w:rFonts w:ascii="Times New Roman" w:hint="eastAsia"/>
                <w:color w:val="000000" w:themeColor="text1"/>
                <w:kern w:val="0"/>
                <w:sz w:val="27"/>
                <w:szCs w:val="27"/>
              </w:rPr>
              <w:t>28,167</w:t>
            </w:r>
          </w:p>
        </w:tc>
        <w:tc>
          <w:tcPr>
            <w:tcW w:w="3311" w:type="dxa"/>
            <w:tcBorders>
              <w:top w:val="single" w:sz="6" w:space="0" w:color="auto"/>
              <w:bottom w:val="double" w:sz="4" w:space="0" w:color="auto"/>
            </w:tcBorders>
          </w:tcPr>
          <w:p w14:paraId="7481364A" w14:textId="77777777" w:rsidR="00C56A83" w:rsidRPr="008B619A" w:rsidRDefault="00C56A83" w:rsidP="006400F0">
            <w:pPr>
              <w:spacing w:line="380" w:lineRule="exact"/>
              <w:jc w:val="center"/>
              <w:rPr>
                <w:rFonts w:ascii="Times New Roman"/>
                <w:color w:val="000000" w:themeColor="text1"/>
                <w:kern w:val="0"/>
                <w:sz w:val="27"/>
                <w:szCs w:val="27"/>
              </w:rPr>
            </w:pPr>
            <w:r w:rsidRPr="008B619A">
              <w:rPr>
                <w:rFonts w:ascii="Times New Roman" w:hint="eastAsia"/>
                <w:color w:val="000000" w:themeColor="text1"/>
                <w:kern w:val="0"/>
                <w:sz w:val="27"/>
                <w:szCs w:val="27"/>
              </w:rPr>
              <w:t>3,306</w:t>
            </w:r>
          </w:p>
        </w:tc>
      </w:tr>
      <w:tr w:rsidR="00C56A83" w:rsidRPr="008B619A" w14:paraId="089C0996" w14:textId="77777777" w:rsidTr="006400F0">
        <w:tc>
          <w:tcPr>
            <w:tcW w:w="2296" w:type="dxa"/>
            <w:tcBorders>
              <w:top w:val="single" w:sz="4" w:space="0" w:color="auto"/>
            </w:tcBorders>
          </w:tcPr>
          <w:p w14:paraId="2DF385AB" w14:textId="77777777" w:rsidR="00C56A83" w:rsidRPr="008B619A" w:rsidRDefault="00C56A83" w:rsidP="006400F0">
            <w:pPr>
              <w:spacing w:line="380" w:lineRule="exact"/>
              <w:jc w:val="center"/>
              <w:rPr>
                <w:rFonts w:ascii="Times New Roman"/>
                <w:color w:val="000000" w:themeColor="text1"/>
                <w:kern w:val="0"/>
                <w:sz w:val="27"/>
                <w:szCs w:val="27"/>
              </w:rPr>
            </w:pPr>
            <w:r w:rsidRPr="008B619A">
              <w:rPr>
                <w:rFonts w:ascii="Times New Roman" w:hint="eastAsia"/>
                <w:color w:val="000000" w:themeColor="text1"/>
                <w:kern w:val="0"/>
                <w:sz w:val="27"/>
                <w:szCs w:val="27"/>
              </w:rPr>
              <w:t>108</w:t>
            </w:r>
          </w:p>
        </w:tc>
        <w:tc>
          <w:tcPr>
            <w:tcW w:w="3310" w:type="dxa"/>
            <w:tcBorders>
              <w:top w:val="single" w:sz="4" w:space="0" w:color="auto"/>
              <w:bottom w:val="double" w:sz="4" w:space="0" w:color="auto"/>
            </w:tcBorders>
          </w:tcPr>
          <w:p w14:paraId="725BCCAE" w14:textId="77777777" w:rsidR="00C56A83" w:rsidRPr="008B619A" w:rsidRDefault="00C56A83" w:rsidP="006400F0">
            <w:pPr>
              <w:spacing w:line="380" w:lineRule="exact"/>
              <w:jc w:val="center"/>
              <w:rPr>
                <w:rFonts w:ascii="Times New Roman"/>
                <w:color w:val="000000" w:themeColor="text1"/>
                <w:kern w:val="0"/>
                <w:sz w:val="27"/>
                <w:szCs w:val="27"/>
              </w:rPr>
            </w:pPr>
            <w:r w:rsidRPr="008B619A">
              <w:rPr>
                <w:rFonts w:ascii="Times New Roman" w:hint="eastAsia"/>
                <w:color w:val="000000" w:themeColor="text1"/>
                <w:kern w:val="0"/>
                <w:sz w:val="27"/>
                <w:szCs w:val="27"/>
              </w:rPr>
              <w:t>28,510</w:t>
            </w:r>
          </w:p>
        </w:tc>
        <w:tc>
          <w:tcPr>
            <w:tcW w:w="3311" w:type="dxa"/>
            <w:tcBorders>
              <w:top w:val="double" w:sz="4" w:space="0" w:color="auto"/>
            </w:tcBorders>
            <w:shd w:val="clear" w:color="auto" w:fill="C8E6EE"/>
          </w:tcPr>
          <w:p w14:paraId="46C82E10" w14:textId="77777777" w:rsidR="00C56A83" w:rsidRPr="008B619A" w:rsidRDefault="00C56A83" w:rsidP="006400F0">
            <w:pPr>
              <w:spacing w:line="380" w:lineRule="exact"/>
              <w:jc w:val="center"/>
              <w:rPr>
                <w:rFonts w:ascii="Times New Roman"/>
                <w:color w:val="000000" w:themeColor="text1"/>
                <w:kern w:val="0"/>
                <w:sz w:val="27"/>
                <w:szCs w:val="27"/>
              </w:rPr>
            </w:pPr>
            <w:r w:rsidRPr="008B619A">
              <w:rPr>
                <w:rFonts w:ascii="Times New Roman" w:hint="eastAsia"/>
                <w:color w:val="000000" w:themeColor="text1"/>
                <w:kern w:val="0"/>
                <w:sz w:val="27"/>
                <w:szCs w:val="27"/>
              </w:rPr>
              <w:t>3,343</w:t>
            </w:r>
          </w:p>
        </w:tc>
      </w:tr>
      <w:tr w:rsidR="00C56A83" w:rsidRPr="008B619A" w14:paraId="7AFDD530" w14:textId="77777777" w:rsidTr="006400F0">
        <w:tc>
          <w:tcPr>
            <w:tcW w:w="2296" w:type="dxa"/>
          </w:tcPr>
          <w:p w14:paraId="652876F0" w14:textId="77777777" w:rsidR="00C56A83" w:rsidRPr="008B619A" w:rsidRDefault="00C56A83" w:rsidP="006400F0">
            <w:pPr>
              <w:spacing w:line="380" w:lineRule="exact"/>
              <w:jc w:val="center"/>
              <w:rPr>
                <w:rFonts w:ascii="Times New Roman"/>
                <w:color w:val="000000" w:themeColor="text1"/>
                <w:kern w:val="0"/>
                <w:sz w:val="27"/>
                <w:szCs w:val="27"/>
              </w:rPr>
            </w:pPr>
            <w:r w:rsidRPr="008B619A">
              <w:rPr>
                <w:rFonts w:ascii="Times New Roman" w:hint="eastAsia"/>
                <w:color w:val="000000" w:themeColor="text1"/>
                <w:kern w:val="0"/>
                <w:sz w:val="27"/>
                <w:szCs w:val="27"/>
              </w:rPr>
              <w:t>109</w:t>
            </w:r>
          </w:p>
        </w:tc>
        <w:tc>
          <w:tcPr>
            <w:tcW w:w="3310" w:type="dxa"/>
            <w:tcBorders>
              <w:top w:val="double" w:sz="4" w:space="0" w:color="auto"/>
            </w:tcBorders>
            <w:shd w:val="clear" w:color="auto" w:fill="C8E6EE"/>
          </w:tcPr>
          <w:p w14:paraId="5C67BEE9" w14:textId="77777777" w:rsidR="00C56A83" w:rsidRPr="008B619A" w:rsidRDefault="00C56A83" w:rsidP="006400F0">
            <w:pPr>
              <w:spacing w:line="380" w:lineRule="exact"/>
              <w:jc w:val="center"/>
              <w:rPr>
                <w:rFonts w:ascii="Times New Roman"/>
                <w:color w:val="000000" w:themeColor="text1"/>
                <w:kern w:val="0"/>
                <w:sz w:val="27"/>
                <w:szCs w:val="27"/>
              </w:rPr>
            </w:pPr>
            <w:r w:rsidRPr="008B619A">
              <w:rPr>
                <w:rFonts w:ascii="Times New Roman" w:hint="eastAsia"/>
                <w:color w:val="000000" w:themeColor="text1"/>
                <w:kern w:val="0"/>
                <w:sz w:val="27"/>
                <w:szCs w:val="27"/>
              </w:rPr>
              <w:t>28,697</w:t>
            </w:r>
          </w:p>
        </w:tc>
        <w:tc>
          <w:tcPr>
            <w:tcW w:w="3311" w:type="dxa"/>
            <w:shd w:val="clear" w:color="auto" w:fill="C8E6EE"/>
          </w:tcPr>
          <w:p w14:paraId="1313D5CD" w14:textId="77777777" w:rsidR="00C56A83" w:rsidRPr="008B619A" w:rsidRDefault="00C56A83" w:rsidP="006400F0">
            <w:pPr>
              <w:spacing w:line="380" w:lineRule="exact"/>
              <w:jc w:val="center"/>
              <w:rPr>
                <w:rFonts w:ascii="Times New Roman"/>
                <w:color w:val="000000" w:themeColor="text1"/>
                <w:kern w:val="0"/>
                <w:sz w:val="27"/>
                <w:szCs w:val="27"/>
              </w:rPr>
            </w:pPr>
            <w:r w:rsidRPr="008B619A">
              <w:rPr>
                <w:rFonts w:ascii="Times New Roman" w:hint="eastAsia"/>
                <w:color w:val="000000" w:themeColor="text1"/>
                <w:kern w:val="0"/>
                <w:sz w:val="27"/>
                <w:szCs w:val="27"/>
              </w:rPr>
              <w:t>3,342</w:t>
            </w:r>
          </w:p>
        </w:tc>
      </w:tr>
      <w:tr w:rsidR="00C56A83" w:rsidRPr="008B619A" w14:paraId="5FFDD08B" w14:textId="77777777" w:rsidTr="006400F0">
        <w:tc>
          <w:tcPr>
            <w:tcW w:w="2296" w:type="dxa"/>
          </w:tcPr>
          <w:p w14:paraId="76E889B8" w14:textId="77777777" w:rsidR="00C56A83" w:rsidRPr="008B619A" w:rsidRDefault="00C56A83" w:rsidP="006400F0">
            <w:pPr>
              <w:spacing w:line="380" w:lineRule="exact"/>
              <w:jc w:val="center"/>
              <w:rPr>
                <w:rFonts w:ascii="Times New Roman"/>
                <w:color w:val="000000" w:themeColor="text1"/>
                <w:kern w:val="0"/>
                <w:sz w:val="27"/>
                <w:szCs w:val="27"/>
              </w:rPr>
            </w:pPr>
            <w:r w:rsidRPr="008B619A">
              <w:rPr>
                <w:rFonts w:ascii="Times New Roman" w:hint="eastAsia"/>
                <w:color w:val="000000" w:themeColor="text1"/>
                <w:kern w:val="0"/>
                <w:sz w:val="27"/>
                <w:szCs w:val="27"/>
              </w:rPr>
              <w:t>110</w:t>
            </w:r>
          </w:p>
        </w:tc>
        <w:tc>
          <w:tcPr>
            <w:tcW w:w="3310" w:type="dxa"/>
            <w:shd w:val="clear" w:color="auto" w:fill="C8E6EE"/>
          </w:tcPr>
          <w:p w14:paraId="51F85EA4" w14:textId="77777777" w:rsidR="00C56A83" w:rsidRPr="008B619A" w:rsidRDefault="00C56A83" w:rsidP="006400F0">
            <w:pPr>
              <w:spacing w:line="380" w:lineRule="exact"/>
              <w:jc w:val="center"/>
              <w:rPr>
                <w:rFonts w:ascii="Times New Roman"/>
                <w:color w:val="000000" w:themeColor="text1"/>
                <w:kern w:val="0"/>
                <w:sz w:val="27"/>
                <w:szCs w:val="27"/>
              </w:rPr>
            </w:pPr>
            <w:r w:rsidRPr="008B619A">
              <w:rPr>
                <w:rFonts w:ascii="Times New Roman" w:hint="eastAsia"/>
                <w:color w:val="000000" w:themeColor="text1"/>
                <w:kern w:val="0"/>
                <w:sz w:val="27"/>
                <w:szCs w:val="27"/>
              </w:rPr>
              <w:t>28,889</w:t>
            </w:r>
          </w:p>
        </w:tc>
        <w:tc>
          <w:tcPr>
            <w:tcW w:w="3311" w:type="dxa"/>
            <w:shd w:val="clear" w:color="auto" w:fill="C8E6EE"/>
          </w:tcPr>
          <w:p w14:paraId="40538ABA" w14:textId="77777777" w:rsidR="00C56A83" w:rsidRPr="008B619A" w:rsidRDefault="00C56A83" w:rsidP="006400F0">
            <w:pPr>
              <w:spacing w:line="380" w:lineRule="exact"/>
              <w:jc w:val="center"/>
              <w:rPr>
                <w:rFonts w:ascii="Times New Roman"/>
                <w:color w:val="000000" w:themeColor="text1"/>
                <w:kern w:val="0"/>
                <w:sz w:val="27"/>
                <w:szCs w:val="27"/>
              </w:rPr>
            </w:pPr>
            <w:r w:rsidRPr="008B619A">
              <w:rPr>
                <w:rFonts w:ascii="Times New Roman" w:hint="eastAsia"/>
                <w:color w:val="000000" w:themeColor="text1"/>
                <w:kern w:val="0"/>
                <w:sz w:val="27"/>
                <w:szCs w:val="27"/>
              </w:rPr>
              <w:t>3,357</w:t>
            </w:r>
          </w:p>
        </w:tc>
      </w:tr>
      <w:tr w:rsidR="00C56A83" w:rsidRPr="008B619A" w14:paraId="5A61B1EA" w14:textId="77777777" w:rsidTr="006400F0">
        <w:tc>
          <w:tcPr>
            <w:tcW w:w="2296" w:type="dxa"/>
          </w:tcPr>
          <w:p w14:paraId="27364F92" w14:textId="77777777" w:rsidR="00C56A83" w:rsidRPr="008B619A" w:rsidRDefault="00C56A83" w:rsidP="006400F0">
            <w:pPr>
              <w:spacing w:line="380" w:lineRule="exact"/>
              <w:jc w:val="center"/>
              <w:rPr>
                <w:rFonts w:ascii="Times New Roman"/>
                <w:color w:val="000000" w:themeColor="text1"/>
                <w:kern w:val="0"/>
                <w:sz w:val="27"/>
                <w:szCs w:val="27"/>
              </w:rPr>
            </w:pPr>
            <w:r w:rsidRPr="008B619A">
              <w:rPr>
                <w:rFonts w:ascii="Times New Roman" w:hint="eastAsia"/>
                <w:color w:val="000000" w:themeColor="text1"/>
                <w:kern w:val="0"/>
                <w:sz w:val="27"/>
                <w:szCs w:val="27"/>
              </w:rPr>
              <w:lastRenderedPageBreak/>
              <w:t>111</w:t>
            </w:r>
          </w:p>
        </w:tc>
        <w:tc>
          <w:tcPr>
            <w:tcW w:w="3310" w:type="dxa"/>
            <w:shd w:val="clear" w:color="auto" w:fill="C8E6EE"/>
          </w:tcPr>
          <w:p w14:paraId="69975D2B" w14:textId="77777777" w:rsidR="00C56A83" w:rsidRPr="008B619A" w:rsidRDefault="00C56A83" w:rsidP="006400F0">
            <w:pPr>
              <w:spacing w:line="380" w:lineRule="exact"/>
              <w:jc w:val="center"/>
              <w:rPr>
                <w:rFonts w:ascii="Times New Roman"/>
                <w:color w:val="000000" w:themeColor="text1"/>
                <w:kern w:val="0"/>
                <w:sz w:val="27"/>
                <w:szCs w:val="27"/>
              </w:rPr>
            </w:pPr>
            <w:r w:rsidRPr="008B619A">
              <w:rPr>
                <w:rFonts w:ascii="Times New Roman" w:hint="eastAsia"/>
                <w:color w:val="000000" w:themeColor="text1"/>
                <w:kern w:val="0"/>
                <w:sz w:val="27"/>
                <w:szCs w:val="27"/>
              </w:rPr>
              <w:t>29,017</w:t>
            </w:r>
          </w:p>
        </w:tc>
        <w:tc>
          <w:tcPr>
            <w:tcW w:w="3311" w:type="dxa"/>
            <w:shd w:val="clear" w:color="auto" w:fill="C8E6EE"/>
          </w:tcPr>
          <w:p w14:paraId="6EDE1F3F" w14:textId="77777777" w:rsidR="00C56A83" w:rsidRPr="008B619A" w:rsidRDefault="00C56A83" w:rsidP="006400F0">
            <w:pPr>
              <w:spacing w:line="380" w:lineRule="exact"/>
              <w:jc w:val="center"/>
              <w:rPr>
                <w:rFonts w:ascii="Times New Roman"/>
                <w:color w:val="000000" w:themeColor="text1"/>
                <w:kern w:val="0"/>
                <w:sz w:val="27"/>
                <w:szCs w:val="27"/>
              </w:rPr>
            </w:pPr>
            <w:r w:rsidRPr="008B619A">
              <w:rPr>
                <w:rFonts w:ascii="Times New Roman" w:hint="eastAsia"/>
                <w:color w:val="000000" w:themeColor="text1"/>
                <w:kern w:val="0"/>
                <w:sz w:val="27"/>
                <w:szCs w:val="27"/>
              </w:rPr>
              <w:t>3,402</w:t>
            </w:r>
          </w:p>
        </w:tc>
      </w:tr>
      <w:tr w:rsidR="00C56A83" w:rsidRPr="008B619A" w14:paraId="365390EC" w14:textId="77777777" w:rsidTr="006400F0">
        <w:tc>
          <w:tcPr>
            <w:tcW w:w="2296" w:type="dxa"/>
          </w:tcPr>
          <w:p w14:paraId="70F34BED" w14:textId="77777777" w:rsidR="00C56A83" w:rsidRPr="008B619A" w:rsidRDefault="00C56A83" w:rsidP="006400F0">
            <w:pPr>
              <w:spacing w:line="380" w:lineRule="exact"/>
              <w:jc w:val="center"/>
              <w:rPr>
                <w:rFonts w:ascii="Times New Roman"/>
                <w:color w:val="000000" w:themeColor="text1"/>
                <w:kern w:val="0"/>
                <w:sz w:val="27"/>
                <w:szCs w:val="27"/>
              </w:rPr>
            </w:pPr>
            <w:r w:rsidRPr="008B619A">
              <w:rPr>
                <w:rFonts w:ascii="Times New Roman" w:hint="eastAsia"/>
                <w:color w:val="000000" w:themeColor="text1"/>
                <w:kern w:val="0"/>
                <w:sz w:val="27"/>
                <w:szCs w:val="27"/>
              </w:rPr>
              <w:t>112</w:t>
            </w:r>
          </w:p>
        </w:tc>
        <w:tc>
          <w:tcPr>
            <w:tcW w:w="3310" w:type="dxa"/>
            <w:shd w:val="clear" w:color="auto" w:fill="C8E6EE"/>
          </w:tcPr>
          <w:p w14:paraId="40B4AED8" w14:textId="77777777" w:rsidR="00C56A83" w:rsidRPr="008B619A" w:rsidRDefault="00C56A83" w:rsidP="006400F0">
            <w:pPr>
              <w:spacing w:line="380" w:lineRule="exact"/>
              <w:jc w:val="center"/>
              <w:rPr>
                <w:rFonts w:ascii="Times New Roman"/>
                <w:color w:val="000000" w:themeColor="text1"/>
                <w:kern w:val="0"/>
                <w:sz w:val="27"/>
                <w:szCs w:val="27"/>
              </w:rPr>
            </w:pPr>
            <w:r w:rsidRPr="008B619A">
              <w:rPr>
                <w:rFonts w:ascii="Times New Roman" w:hint="eastAsia"/>
                <w:color w:val="000000" w:themeColor="text1"/>
                <w:kern w:val="0"/>
                <w:sz w:val="27"/>
                <w:szCs w:val="27"/>
              </w:rPr>
              <w:t>29,072</w:t>
            </w:r>
          </w:p>
        </w:tc>
        <w:tc>
          <w:tcPr>
            <w:tcW w:w="3311" w:type="dxa"/>
            <w:shd w:val="clear" w:color="auto" w:fill="C8E6EE"/>
          </w:tcPr>
          <w:p w14:paraId="6EA47619" w14:textId="77777777" w:rsidR="00C56A83" w:rsidRPr="008B619A" w:rsidRDefault="00C56A83" w:rsidP="006400F0">
            <w:pPr>
              <w:spacing w:line="380" w:lineRule="exact"/>
              <w:jc w:val="center"/>
              <w:rPr>
                <w:rFonts w:ascii="Times New Roman"/>
                <w:color w:val="000000" w:themeColor="text1"/>
                <w:kern w:val="0"/>
                <w:sz w:val="27"/>
                <w:szCs w:val="27"/>
              </w:rPr>
            </w:pPr>
            <w:r w:rsidRPr="008B619A">
              <w:rPr>
                <w:rFonts w:ascii="Times New Roman" w:hint="eastAsia"/>
                <w:color w:val="000000" w:themeColor="text1"/>
                <w:kern w:val="0"/>
                <w:sz w:val="27"/>
                <w:szCs w:val="27"/>
              </w:rPr>
              <w:t>3,437</w:t>
            </w:r>
          </w:p>
        </w:tc>
      </w:tr>
      <w:tr w:rsidR="00C56A83" w:rsidRPr="008B619A" w14:paraId="056DE6E5" w14:textId="77777777" w:rsidTr="006400F0">
        <w:tc>
          <w:tcPr>
            <w:tcW w:w="2296" w:type="dxa"/>
          </w:tcPr>
          <w:p w14:paraId="3EEB80AE" w14:textId="77777777" w:rsidR="00C56A83" w:rsidRPr="008B619A" w:rsidRDefault="00C56A83" w:rsidP="006400F0">
            <w:pPr>
              <w:spacing w:line="380" w:lineRule="exact"/>
              <w:jc w:val="center"/>
              <w:rPr>
                <w:rFonts w:ascii="Times New Roman"/>
                <w:color w:val="000000" w:themeColor="text1"/>
                <w:kern w:val="0"/>
                <w:sz w:val="27"/>
                <w:szCs w:val="27"/>
              </w:rPr>
            </w:pPr>
            <w:r w:rsidRPr="008B619A">
              <w:rPr>
                <w:rFonts w:ascii="Times New Roman" w:hint="eastAsia"/>
                <w:color w:val="000000" w:themeColor="text1"/>
                <w:kern w:val="0"/>
                <w:sz w:val="27"/>
                <w:szCs w:val="27"/>
              </w:rPr>
              <w:t>113</w:t>
            </w:r>
          </w:p>
        </w:tc>
        <w:tc>
          <w:tcPr>
            <w:tcW w:w="3310" w:type="dxa"/>
            <w:shd w:val="clear" w:color="auto" w:fill="C8E6EE"/>
          </w:tcPr>
          <w:p w14:paraId="6BB46FF8" w14:textId="77777777" w:rsidR="00C56A83" w:rsidRPr="008B619A" w:rsidRDefault="00C56A83" w:rsidP="006400F0">
            <w:pPr>
              <w:spacing w:line="380" w:lineRule="exact"/>
              <w:jc w:val="center"/>
              <w:rPr>
                <w:rFonts w:ascii="Times New Roman"/>
                <w:color w:val="000000" w:themeColor="text1"/>
                <w:kern w:val="0"/>
                <w:sz w:val="27"/>
                <w:szCs w:val="27"/>
              </w:rPr>
            </w:pPr>
            <w:r w:rsidRPr="008B619A">
              <w:rPr>
                <w:rFonts w:ascii="Times New Roman" w:hint="eastAsia"/>
                <w:color w:val="000000" w:themeColor="text1"/>
                <w:kern w:val="0"/>
                <w:sz w:val="27"/>
                <w:szCs w:val="27"/>
              </w:rPr>
              <w:t>29,078</w:t>
            </w:r>
          </w:p>
        </w:tc>
        <w:tc>
          <w:tcPr>
            <w:tcW w:w="3311" w:type="dxa"/>
            <w:shd w:val="clear" w:color="auto" w:fill="C8E6EE"/>
          </w:tcPr>
          <w:p w14:paraId="0438785B" w14:textId="77777777" w:rsidR="00C56A83" w:rsidRPr="008B619A" w:rsidRDefault="00C56A83" w:rsidP="006400F0">
            <w:pPr>
              <w:spacing w:line="380" w:lineRule="exact"/>
              <w:jc w:val="center"/>
              <w:rPr>
                <w:rFonts w:ascii="Times New Roman"/>
                <w:color w:val="000000" w:themeColor="text1"/>
                <w:kern w:val="0"/>
                <w:sz w:val="27"/>
                <w:szCs w:val="27"/>
              </w:rPr>
            </w:pPr>
            <w:r w:rsidRPr="008B619A">
              <w:rPr>
                <w:rFonts w:ascii="Times New Roman" w:hint="eastAsia"/>
                <w:color w:val="000000" w:themeColor="text1"/>
                <w:kern w:val="0"/>
                <w:sz w:val="27"/>
                <w:szCs w:val="27"/>
              </w:rPr>
              <w:t>3,461</w:t>
            </w:r>
          </w:p>
        </w:tc>
      </w:tr>
      <w:tr w:rsidR="00C56A83" w:rsidRPr="008B619A" w14:paraId="13975C10" w14:textId="77777777" w:rsidTr="006400F0">
        <w:tc>
          <w:tcPr>
            <w:tcW w:w="2296" w:type="dxa"/>
          </w:tcPr>
          <w:p w14:paraId="643F9CA1" w14:textId="77777777" w:rsidR="00C56A83" w:rsidRPr="008B619A" w:rsidRDefault="00C56A83" w:rsidP="006400F0">
            <w:pPr>
              <w:spacing w:line="380" w:lineRule="exact"/>
              <w:jc w:val="center"/>
              <w:rPr>
                <w:rFonts w:ascii="Times New Roman"/>
                <w:color w:val="000000" w:themeColor="text1"/>
                <w:kern w:val="0"/>
                <w:sz w:val="27"/>
                <w:szCs w:val="27"/>
              </w:rPr>
            </w:pPr>
            <w:r w:rsidRPr="008B619A">
              <w:rPr>
                <w:rFonts w:ascii="Times New Roman" w:hint="eastAsia"/>
                <w:color w:val="000000" w:themeColor="text1"/>
                <w:kern w:val="0"/>
                <w:sz w:val="27"/>
                <w:szCs w:val="27"/>
              </w:rPr>
              <w:t>114</w:t>
            </w:r>
          </w:p>
        </w:tc>
        <w:tc>
          <w:tcPr>
            <w:tcW w:w="3310" w:type="dxa"/>
            <w:shd w:val="clear" w:color="auto" w:fill="C8E6EE"/>
          </w:tcPr>
          <w:p w14:paraId="7768CA97" w14:textId="77777777" w:rsidR="00C56A83" w:rsidRPr="008B619A" w:rsidRDefault="00C56A83" w:rsidP="006400F0">
            <w:pPr>
              <w:spacing w:line="380" w:lineRule="exact"/>
              <w:jc w:val="center"/>
              <w:rPr>
                <w:rFonts w:ascii="Times New Roman"/>
                <w:color w:val="000000" w:themeColor="text1"/>
                <w:kern w:val="0"/>
                <w:sz w:val="27"/>
                <w:szCs w:val="27"/>
              </w:rPr>
            </w:pPr>
            <w:r w:rsidRPr="008B619A">
              <w:rPr>
                <w:rFonts w:ascii="Times New Roman" w:hint="eastAsia"/>
                <w:color w:val="000000" w:themeColor="text1"/>
                <w:kern w:val="0"/>
                <w:sz w:val="27"/>
                <w:szCs w:val="27"/>
              </w:rPr>
              <w:t>29,021</w:t>
            </w:r>
          </w:p>
        </w:tc>
        <w:tc>
          <w:tcPr>
            <w:tcW w:w="3311" w:type="dxa"/>
            <w:shd w:val="clear" w:color="auto" w:fill="C8E6EE"/>
          </w:tcPr>
          <w:p w14:paraId="0A30F799" w14:textId="77777777" w:rsidR="00C56A83" w:rsidRPr="008B619A" w:rsidRDefault="00C56A83" w:rsidP="006400F0">
            <w:pPr>
              <w:spacing w:line="380" w:lineRule="exact"/>
              <w:jc w:val="center"/>
              <w:rPr>
                <w:rFonts w:ascii="Times New Roman"/>
                <w:color w:val="000000" w:themeColor="text1"/>
                <w:kern w:val="0"/>
                <w:sz w:val="27"/>
                <w:szCs w:val="27"/>
              </w:rPr>
            </w:pPr>
            <w:r w:rsidRPr="008B619A">
              <w:rPr>
                <w:rFonts w:ascii="Times New Roman" w:hint="eastAsia"/>
                <w:color w:val="000000" w:themeColor="text1"/>
                <w:kern w:val="0"/>
                <w:sz w:val="27"/>
                <w:szCs w:val="27"/>
              </w:rPr>
              <w:t>3,466</w:t>
            </w:r>
          </w:p>
        </w:tc>
      </w:tr>
      <w:tr w:rsidR="00C56A83" w:rsidRPr="008B619A" w14:paraId="76507FF1" w14:textId="77777777" w:rsidTr="006400F0">
        <w:tc>
          <w:tcPr>
            <w:tcW w:w="2296" w:type="dxa"/>
          </w:tcPr>
          <w:p w14:paraId="30B37D1F" w14:textId="77777777" w:rsidR="00C56A83" w:rsidRPr="008B619A" w:rsidRDefault="00C56A83" w:rsidP="006400F0">
            <w:pPr>
              <w:spacing w:line="380" w:lineRule="exact"/>
              <w:jc w:val="center"/>
              <w:rPr>
                <w:rFonts w:ascii="Times New Roman"/>
                <w:color w:val="000000" w:themeColor="text1"/>
                <w:kern w:val="0"/>
                <w:sz w:val="27"/>
                <w:szCs w:val="27"/>
              </w:rPr>
            </w:pPr>
            <w:r w:rsidRPr="008B619A">
              <w:rPr>
                <w:rFonts w:ascii="Times New Roman" w:hint="eastAsia"/>
                <w:color w:val="000000" w:themeColor="text1"/>
                <w:kern w:val="0"/>
                <w:sz w:val="27"/>
                <w:szCs w:val="27"/>
              </w:rPr>
              <w:t>115</w:t>
            </w:r>
          </w:p>
        </w:tc>
        <w:tc>
          <w:tcPr>
            <w:tcW w:w="3310" w:type="dxa"/>
            <w:shd w:val="clear" w:color="auto" w:fill="C8E6EE"/>
          </w:tcPr>
          <w:p w14:paraId="70D3E7A6" w14:textId="77777777" w:rsidR="00C56A83" w:rsidRPr="008B619A" w:rsidRDefault="00C56A83" w:rsidP="006400F0">
            <w:pPr>
              <w:spacing w:line="380" w:lineRule="exact"/>
              <w:jc w:val="center"/>
              <w:rPr>
                <w:rFonts w:ascii="Times New Roman"/>
                <w:color w:val="000000" w:themeColor="text1"/>
                <w:kern w:val="0"/>
                <w:sz w:val="27"/>
                <w:szCs w:val="27"/>
              </w:rPr>
            </w:pPr>
            <w:r w:rsidRPr="008B619A">
              <w:rPr>
                <w:rFonts w:ascii="Times New Roman" w:hint="eastAsia"/>
                <w:color w:val="000000" w:themeColor="text1"/>
                <w:kern w:val="0"/>
                <w:sz w:val="27"/>
                <w:szCs w:val="27"/>
              </w:rPr>
              <w:t>28,902</w:t>
            </w:r>
          </w:p>
        </w:tc>
        <w:tc>
          <w:tcPr>
            <w:tcW w:w="3311" w:type="dxa"/>
            <w:shd w:val="clear" w:color="auto" w:fill="C8E6EE"/>
          </w:tcPr>
          <w:p w14:paraId="0C6ABFE6" w14:textId="77777777" w:rsidR="00C56A83" w:rsidRPr="008B619A" w:rsidRDefault="00C56A83" w:rsidP="006400F0">
            <w:pPr>
              <w:spacing w:line="380" w:lineRule="exact"/>
              <w:jc w:val="center"/>
              <w:rPr>
                <w:rFonts w:ascii="Times New Roman"/>
                <w:color w:val="000000" w:themeColor="text1"/>
                <w:kern w:val="0"/>
                <w:sz w:val="27"/>
                <w:szCs w:val="27"/>
              </w:rPr>
            </w:pPr>
            <w:r w:rsidRPr="008B619A">
              <w:rPr>
                <w:rFonts w:ascii="Times New Roman" w:hint="eastAsia"/>
                <w:color w:val="000000" w:themeColor="text1"/>
                <w:kern w:val="0"/>
                <w:sz w:val="27"/>
                <w:szCs w:val="27"/>
              </w:rPr>
              <w:t>3,458</w:t>
            </w:r>
          </w:p>
        </w:tc>
      </w:tr>
      <w:tr w:rsidR="00C56A83" w:rsidRPr="008B619A" w14:paraId="24AC25A4" w14:textId="77777777" w:rsidTr="006400F0">
        <w:tc>
          <w:tcPr>
            <w:tcW w:w="2296" w:type="dxa"/>
          </w:tcPr>
          <w:p w14:paraId="094932E5" w14:textId="77777777" w:rsidR="00C56A83" w:rsidRPr="008B619A" w:rsidRDefault="00C56A83" w:rsidP="006400F0">
            <w:pPr>
              <w:spacing w:line="380" w:lineRule="exact"/>
              <w:jc w:val="center"/>
              <w:rPr>
                <w:rFonts w:ascii="Times New Roman"/>
                <w:color w:val="000000" w:themeColor="text1"/>
                <w:kern w:val="0"/>
                <w:sz w:val="27"/>
                <w:szCs w:val="27"/>
              </w:rPr>
            </w:pPr>
            <w:r w:rsidRPr="008B619A">
              <w:rPr>
                <w:rFonts w:ascii="Times New Roman" w:hint="eastAsia"/>
                <w:color w:val="000000" w:themeColor="text1"/>
                <w:kern w:val="0"/>
                <w:sz w:val="27"/>
                <w:szCs w:val="27"/>
              </w:rPr>
              <w:t>116</w:t>
            </w:r>
          </w:p>
        </w:tc>
        <w:tc>
          <w:tcPr>
            <w:tcW w:w="3310" w:type="dxa"/>
            <w:shd w:val="clear" w:color="auto" w:fill="C8E6EE"/>
          </w:tcPr>
          <w:p w14:paraId="583235DC" w14:textId="77777777" w:rsidR="00C56A83" w:rsidRPr="008B619A" w:rsidRDefault="00C56A83" w:rsidP="006400F0">
            <w:pPr>
              <w:spacing w:line="380" w:lineRule="exact"/>
              <w:jc w:val="center"/>
              <w:rPr>
                <w:rFonts w:ascii="Times New Roman"/>
                <w:color w:val="000000" w:themeColor="text1"/>
                <w:kern w:val="0"/>
                <w:sz w:val="27"/>
                <w:szCs w:val="27"/>
              </w:rPr>
            </w:pPr>
            <w:r w:rsidRPr="008B619A">
              <w:rPr>
                <w:rFonts w:ascii="Times New Roman" w:hint="eastAsia"/>
                <w:color w:val="000000" w:themeColor="text1"/>
                <w:kern w:val="0"/>
                <w:sz w:val="27"/>
                <w:szCs w:val="27"/>
              </w:rPr>
              <w:t>28,741</w:t>
            </w:r>
          </w:p>
        </w:tc>
        <w:tc>
          <w:tcPr>
            <w:tcW w:w="3311" w:type="dxa"/>
            <w:shd w:val="clear" w:color="auto" w:fill="C8E6EE"/>
          </w:tcPr>
          <w:p w14:paraId="19491B61" w14:textId="77777777" w:rsidR="00C56A83" w:rsidRPr="008B619A" w:rsidRDefault="00C56A83" w:rsidP="006400F0">
            <w:pPr>
              <w:spacing w:line="380" w:lineRule="exact"/>
              <w:jc w:val="center"/>
              <w:rPr>
                <w:rFonts w:ascii="Times New Roman"/>
                <w:color w:val="000000" w:themeColor="text1"/>
                <w:kern w:val="0"/>
                <w:sz w:val="27"/>
                <w:szCs w:val="27"/>
              </w:rPr>
            </w:pPr>
            <w:r w:rsidRPr="008B619A">
              <w:rPr>
                <w:rFonts w:ascii="Times New Roman" w:hint="eastAsia"/>
                <w:color w:val="000000" w:themeColor="text1"/>
                <w:kern w:val="0"/>
                <w:sz w:val="27"/>
                <w:szCs w:val="27"/>
              </w:rPr>
              <w:t>3,446</w:t>
            </w:r>
          </w:p>
        </w:tc>
      </w:tr>
      <w:tr w:rsidR="00C56A83" w:rsidRPr="008B619A" w14:paraId="394675A5" w14:textId="77777777" w:rsidTr="006400F0">
        <w:tc>
          <w:tcPr>
            <w:tcW w:w="2296" w:type="dxa"/>
          </w:tcPr>
          <w:p w14:paraId="7B2CD067" w14:textId="77777777" w:rsidR="00C56A83" w:rsidRPr="008B619A" w:rsidRDefault="00C56A83" w:rsidP="006400F0">
            <w:pPr>
              <w:spacing w:line="380" w:lineRule="exact"/>
              <w:jc w:val="center"/>
              <w:rPr>
                <w:rFonts w:ascii="Times New Roman"/>
                <w:color w:val="000000" w:themeColor="text1"/>
                <w:kern w:val="0"/>
                <w:sz w:val="27"/>
                <w:szCs w:val="27"/>
              </w:rPr>
            </w:pPr>
            <w:r w:rsidRPr="008B619A">
              <w:rPr>
                <w:rFonts w:ascii="Times New Roman" w:hint="eastAsia"/>
                <w:color w:val="000000" w:themeColor="text1"/>
                <w:kern w:val="0"/>
                <w:sz w:val="27"/>
                <w:szCs w:val="27"/>
              </w:rPr>
              <w:t>117</w:t>
            </w:r>
          </w:p>
        </w:tc>
        <w:tc>
          <w:tcPr>
            <w:tcW w:w="3310" w:type="dxa"/>
            <w:shd w:val="clear" w:color="auto" w:fill="C8E6EE"/>
          </w:tcPr>
          <w:p w14:paraId="0143F8BB" w14:textId="77777777" w:rsidR="00C56A83" w:rsidRPr="008B619A" w:rsidRDefault="00C56A83" w:rsidP="006400F0">
            <w:pPr>
              <w:spacing w:line="380" w:lineRule="exact"/>
              <w:jc w:val="center"/>
              <w:rPr>
                <w:rFonts w:ascii="Times New Roman"/>
                <w:color w:val="000000" w:themeColor="text1"/>
                <w:kern w:val="0"/>
                <w:sz w:val="27"/>
                <w:szCs w:val="27"/>
              </w:rPr>
            </w:pPr>
            <w:r w:rsidRPr="008B619A">
              <w:rPr>
                <w:rFonts w:ascii="Times New Roman" w:hint="eastAsia"/>
                <w:color w:val="000000" w:themeColor="text1"/>
                <w:kern w:val="0"/>
                <w:sz w:val="27"/>
                <w:szCs w:val="27"/>
              </w:rPr>
              <w:t>28,555</w:t>
            </w:r>
          </w:p>
        </w:tc>
        <w:tc>
          <w:tcPr>
            <w:tcW w:w="3311" w:type="dxa"/>
            <w:shd w:val="clear" w:color="auto" w:fill="C8E6EE"/>
          </w:tcPr>
          <w:p w14:paraId="27A9D469" w14:textId="77777777" w:rsidR="00C56A83" w:rsidRPr="008B619A" w:rsidRDefault="00C56A83" w:rsidP="006400F0">
            <w:pPr>
              <w:spacing w:line="380" w:lineRule="exact"/>
              <w:jc w:val="center"/>
              <w:rPr>
                <w:rFonts w:ascii="Times New Roman"/>
                <w:color w:val="000000" w:themeColor="text1"/>
                <w:kern w:val="0"/>
                <w:sz w:val="27"/>
                <w:szCs w:val="27"/>
              </w:rPr>
            </w:pPr>
            <w:r w:rsidRPr="008B619A">
              <w:rPr>
                <w:rFonts w:ascii="Times New Roman" w:hint="eastAsia"/>
                <w:color w:val="000000" w:themeColor="text1"/>
                <w:kern w:val="0"/>
                <w:sz w:val="27"/>
                <w:szCs w:val="27"/>
              </w:rPr>
              <w:t>3,432</w:t>
            </w:r>
          </w:p>
        </w:tc>
      </w:tr>
      <w:tr w:rsidR="00C56A83" w:rsidRPr="008B619A" w14:paraId="0B19AF8B" w14:textId="77777777" w:rsidTr="006400F0">
        <w:tc>
          <w:tcPr>
            <w:tcW w:w="2296" w:type="dxa"/>
          </w:tcPr>
          <w:p w14:paraId="5F1C1471" w14:textId="77777777" w:rsidR="00C56A83" w:rsidRPr="008B619A" w:rsidRDefault="00C56A83" w:rsidP="006400F0">
            <w:pPr>
              <w:spacing w:line="380" w:lineRule="exact"/>
              <w:jc w:val="center"/>
              <w:rPr>
                <w:rFonts w:ascii="Times New Roman"/>
                <w:color w:val="000000" w:themeColor="text1"/>
                <w:kern w:val="0"/>
                <w:sz w:val="27"/>
                <w:szCs w:val="27"/>
              </w:rPr>
            </w:pPr>
            <w:r w:rsidRPr="008B619A">
              <w:rPr>
                <w:rFonts w:ascii="Times New Roman" w:hint="eastAsia"/>
                <w:color w:val="000000" w:themeColor="text1"/>
                <w:kern w:val="0"/>
                <w:sz w:val="27"/>
                <w:szCs w:val="27"/>
              </w:rPr>
              <w:t>118</w:t>
            </w:r>
          </w:p>
        </w:tc>
        <w:tc>
          <w:tcPr>
            <w:tcW w:w="3310" w:type="dxa"/>
            <w:shd w:val="clear" w:color="auto" w:fill="C8E6EE"/>
          </w:tcPr>
          <w:p w14:paraId="53491EF2" w14:textId="77777777" w:rsidR="00C56A83" w:rsidRPr="008B619A" w:rsidRDefault="00C56A83" w:rsidP="006400F0">
            <w:pPr>
              <w:spacing w:line="380" w:lineRule="exact"/>
              <w:jc w:val="center"/>
              <w:rPr>
                <w:rFonts w:ascii="Times New Roman"/>
                <w:color w:val="000000" w:themeColor="text1"/>
                <w:kern w:val="0"/>
                <w:sz w:val="27"/>
                <w:szCs w:val="27"/>
              </w:rPr>
            </w:pPr>
            <w:r w:rsidRPr="008B619A">
              <w:rPr>
                <w:rFonts w:ascii="Times New Roman" w:hint="eastAsia"/>
                <w:color w:val="000000" w:themeColor="text1"/>
                <w:kern w:val="0"/>
                <w:sz w:val="27"/>
                <w:szCs w:val="27"/>
              </w:rPr>
              <w:t>28,368</w:t>
            </w:r>
          </w:p>
        </w:tc>
        <w:tc>
          <w:tcPr>
            <w:tcW w:w="3311" w:type="dxa"/>
            <w:shd w:val="clear" w:color="auto" w:fill="C8E6EE"/>
          </w:tcPr>
          <w:p w14:paraId="37351955" w14:textId="77777777" w:rsidR="00C56A83" w:rsidRPr="008B619A" w:rsidRDefault="00C56A83" w:rsidP="006400F0">
            <w:pPr>
              <w:spacing w:line="380" w:lineRule="exact"/>
              <w:jc w:val="center"/>
              <w:rPr>
                <w:rFonts w:ascii="Times New Roman"/>
                <w:color w:val="000000" w:themeColor="text1"/>
                <w:kern w:val="0"/>
                <w:sz w:val="27"/>
                <w:szCs w:val="27"/>
              </w:rPr>
            </w:pPr>
            <w:r w:rsidRPr="008B619A">
              <w:rPr>
                <w:rFonts w:ascii="Times New Roman" w:hint="eastAsia"/>
                <w:color w:val="000000" w:themeColor="text1"/>
                <w:kern w:val="0"/>
                <w:sz w:val="27"/>
                <w:szCs w:val="27"/>
              </w:rPr>
              <w:t>3,413</w:t>
            </w:r>
          </w:p>
        </w:tc>
      </w:tr>
      <w:tr w:rsidR="00C56A83" w:rsidRPr="008B619A" w14:paraId="696B6FBC" w14:textId="77777777" w:rsidTr="006400F0">
        <w:tc>
          <w:tcPr>
            <w:tcW w:w="2296" w:type="dxa"/>
          </w:tcPr>
          <w:p w14:paraId="73701CEB" w14:textId="77777777" w:rsidR="00C56A83" w:rsidRPr="008B619A" w:rsidRDefault="00C56A83" w:rsidP="006400F0">
            <w:pPr>
              <w:spacing w:line="380" w:lineRule="exact"/>
              <w:jc w:val="center"/>
              <w:rPr>
                <w:rFonts w:ascii="Times New Roman"/>
                <w:color w:val="000000" w:themeColor="text1"/>
                <w:kern w:val="0"/>
                <w:sz w:val="27"/>
                <w:szCs w:val="27"/>
              </w:rPr>
            </w:pPr>
            <w:r w:rsidRPr="008B619A">
              <w:rPr>
                <w:rFonts w:ascii="Times New Roman" w:hint="eastAsia"/>
                <w:color w:val="000000" w:themeColor="text1"/>
                <w:kern w:val="0"/>
                <w:sz w:val="27"/>
                <w:szCs w:val="27"/>
              </w:rPr>
              <w:t>119</w:t>
            </w:r>
          </w:p>
        </w:tc>
        <w:tc>
          <w:tcPr>
            <w:tcW w:w="3310" w:type="dxa"/>
            <w:shd w:val="clear" w:color="auto" w:fill="C8E6EE"/>
          </w:tcPr>
          <w:p w14:paraId="2F1250C5" w14:textId="77777777" w:rsidR="00C56A83" w:rsidRPr="008B619A" w:rsidRDefault="00C56A83" w:rsidP="006400F0">
            <w:pPr>
              <w:spacing w:line="380" w:lineRule="exact"/>
              <w:jc w:val="center"/>
              <w:rPr>
                <w:rFonts w:ascii="Times New Roman"/>
                <w:color w:val="000000" w:themeColor="text1"/>
                <w:kern w:val="0"/>
                <w:sz w:val="27"/>
                <w:szCs w:val="27"/>
              </w:rPr>
            </w:pPr>
            <w:r w:rsidRPr="008B619A">
              <w:rPr>
                <w:rFonts w:ascii="Times New Roman" w:hint="eastAsia"/>
                <w:color w:val="000000" w:themeColor="text1"/>
                <w:kern w:val="0"/>
                <w:sz w:val="27"/>
                <w:szCs w:val="27"/>
              </w:rPr>
              <w:t>28,185</w:t>
            </w:r>
          </w:p>
        </w:tc>
        <w:tc>
          <w:tcPr>
            <w:tcW w:w="3311" w:type="dxa"/>
            <w:shd w:val="clear" w:color="auto" w:fill="C8E6EE"/>
          </w:tcPr>
          <w:p w14:paraId="6CB15088" w14:textId="77777777" w:rsidR="00C56A83" w:rsidRPr="008B619A" w:rsidRDefault="00C56A83" w:rsidP="006400F0">
            <w:pPr>
              <w:spacing w:line="380" w:lineRule="exact"/>
              <w:jc w:val="center"/>
              <w:rPr>
                <w:rFonts w:ascii="Times New Roman"/>
                <w:color w:val="000000" w:themeColor="text1"/>
                <w:kern w:val="0"/>
                <w:sz w:val="27"/>
                <w:szCs w:val="27"/>
              </w:rPr>
            </w:pPr>
            <w:r w:rsidRPr="008B619A">
              <w:rPr>
                <w:rFonts w:ascii="Times New Roman" w:hint="eastAsia"/>
                <w:color w:val="000000" w:themeColor="text1"/>
                <w:kern w:val="0"/>
                <w:sz w:val="27"/>
                <w:szCs w:val="27"/>
              </w:rPr>
              <w:t>3,390</w:t>
            </w:r>
          </w:p>
        </w:tc>
      </w:tr>
      <w:tr w:rsidR="00C56A83" w:rsidRPr="008B619A" w14:paraId="6E256B4F" w14:textId="77777777" w:rsidTr="006400F0">
        <w:tc>
          <w:tcPr>
            <w:tcW w:w="2296" w:type="dxa"/>
          </w:tcPr>
          <w:p w14:paraId="59AA62BA" w14:textId="77777777" w:rsidR="00C56A83" w:rsidRPr="008B619A" w:rsidRDefault="00C56A83" w:rsidP="006400F0">
            <w:pPr>
              <w:spacing w:line="380" w:lineRule="exact"/>
              <w:jc w:val="center"/>
              <w:rPr>
                <w:rFonts w:ascii="Times New Roman"/>
                <w:color w:val="000000" w:themeColor="text1"/>
                <w:kern w:val="0"/>
                <w:sz w:val="27"/>
                <w:szCs w:val="27"/>
              </w:rPr>
            </w:pPr>
            <w:r w:rsidRPr="008B619A">
              <w:rPr>
                <w:rFonts w:ascii="Times New Roman" w:hint="eastAsia"/>
                <w:color w:val="000000" w:themeColor="text1"/>
                <w:kern w:val="0"/>
                <w:sz w:val="27"/>
                <w:szCs w:val="27"/>
              </w:rPr>
              <w:t>120</w:t>
            </w:r>
          </w:p>
        </w:tc>
        <w:tc>
          <w:tcPr>
            <w:tcW w:w="3310" w:type="dxa"/>
            <w:shd w:val="clear" w:color="auto" w:fill="C8E6EE"/>
          </w:tcPr>
          <w:p w14:paraId="789A54D4" w14:textId="77777777" w:rsidR="00C56A83" w:rsidRPr="008B619A" w:rsidRDefault="00C56A83" w:rsidP="006400F0">
            <w:pPr>
              <w:spacing w:line="380" w:lineRule="exact"/>
              <w:jc w:val="center"/>
              <w:rPr>
                <w:rFonts w:ascii="Times New Roman"/>
                <w:color w:val="000000" w:themeColor="text1"/>
                <w:kern w:val="0"/>
                <w:sz w:val="27"/>
                <w:szCs w:val="27"/>
              </w:rPr>
            </w:pPr>
            <w:r w:rsidRPr="008B619A">
              <w:rPr>
                <w:rFonts w:ascii="Times New Roman" w:hint="eastAsia"/>
                <w:color w:val="000000" w:themeColor="text1"/>
                <w:kern w:val="0"/>
                <w:sz w:val="27"/>
                <w:szCs w:val="27"/>
              </w:rPr>
              <w:t>28,016</w:t>
            </w:r>
          </w:p>
        </w:tc>
        <w:tc>
          <w:tcPr>
            <w:tcW w:w="3311" w:type="dxa"/>
            <w:shd w:val="clear" w:color="auto" w:fill="C8E6EE"/>
          </w:tcPr>
          <w:p w14:paraId="53B5525C" w14:textId="77777777" w:rsidR="00C56A83" w:rsidRPr="008B619A" w:rsidRDefault="00C56A83" w:rsidP="006400F0">
            <w:pPr>
              <w:spacing w:line="380" w:lineRule="exact"/>
              <w:jc w:val="center"/>
              <w:rPr>
                <w:rFonts w:ascii="Times New Roman"/>
                <w:color w:val="000000" w:themeColor="text1"/>
                <w:kern w:val="0"/>
                <w:sz w:val="27"/>
                <w:szCs w:val="27"/>
              </w:rPr>
            </w:pPr>
            <w:r w:rsidRPr="008B619A">
              <w:rPr>
                <w:rFonts w:ascii="Times New Roman" w:hint="eastAsia"/>
                <w:color w:val="000000" w:themeColor="text1"/>
                <w:kern w:val="0"/>
                <w:sz w:val="27"/>
                <w:szCs w:val="27"/>
              </w:rPr>
              <w:t>3,364</w:t>
            </w:r>
          </w:p>
        </w:tc>
      </w:tr>
      <w:tr w:rsidR="00C56A83" w:rsidRPr="008B619A" w14:paraId="016297CF" w14:textId="77777777" w:rsidTr="006400F0">
        <w:tc>
          <w:tcPr>
            <w:tcW w:w="2296" w:type="dxa"/>
          </w:tcPr>
          <w:p w14:paraId="2C92B860" w14:textId="77777777" w:rsidR="00C56A83" w:rsidRPr="008B619A" w:rsidRDefault="00C56A83" w:rsidP="006400F0">
            <w:pPr>
              <w:spacing w:line="380" w:lineRule="exact"/>
              <w:jc w:val="center"/>
              <w:rPr>
                <w:rFonts w:ascii="Times New Roman"/>
                <w:color w:val="000000" w:themeColor="text1"/>
                <w:kern w:val="0"/>
                <w:sz w:val="27"/>
                <w:szCs w:val="27"/>
              </w:rPr>
            </w:pPr>
            <w:r w:rsidRPr="008B619A">
              <w:rPr>
                <w:rFonts w:ascii="Times New Roman" w:hint="eastAsia"/>
                <w:color w:val="000000" w:themeColor="text1"/>
                <w:kern w:val="0"/>
                <w:sz w:val="27"/>
                <w:szCs w:val="27"/>
              </w:rPr>
              <w:t>121</w:t>
            </w:r>
          </w:p>
        </w:tc>
        <w:tc>
          <w:tcPr>
            <w:tcW w:w="3310" w:type="dxa"/>
            <w:shd w:val="clear" w:color="auto" w:fill="C8E6EE"/>
          </w:tcPr>
          <w:p w14:paraId="13B80C53" w14:textId="77777777" w:rsidR="00C56A83" w:rsidRPr="008B619A" w:rsidRDefault="00C56A83" w:rsidP="006400F0">
            <w:pPr>
              <w:spacing w:line="380" w:lineRule="exact"/>
              <w:jc w:val="center"/>
              <w:rPr>
                <w:rFonts w:ascii="Times New Roman"/>
                <w:color w:val="000000" w:themeColor="text1"/>
                <w:kern w:val="0"/>
                <w:sz w:val="27"/>
                <w:szCs w:val="27"/>
              </w:rPr>
            </w:pPr>
            <w:r w:rsidRPr="008B619A">
              <w:rPr>
                <w:rFonts w:ascii="Times New Roman" w:hint="eastAsia"/>
                <w:color w:val="000000" w:themeColor="text1"/>
                <w:kern w:val="0"/>
                <w:sz w:val="27"/>
                <w:szCs w:val="27"/>
              </w:rPr>
              <w:t>27,874</w:t>
            </w:r>
          </w:p>
        </w:tc>
        <w:tc>
          <w:tcPr>
            <w:tcW w:w="3311" w:type="dxa"/>
            <w:shd w:val="clear" w:color="auto" w:fill="C8E6EE"/>
          </w:tcPr>
          <w:p w14:paraId="16BD90A4" w14:textId="77777777" w:rsidR="00C56A83" w:rsidRPr="008B619A" w:rsidRDefault="00C56A83" w:rsidP="006400F0">
            <w:pPr>
              <w:spacing w:line="380" w:lineRule="exact"/>
              <w:jc w:val="center"/>
              <w:rPr>
                <w:rFonts w:ascii="Times New Roman"/>
                <w:color w:val="000000" w:themeColor="text1"/>
                <w:kern w:val="0"/>
                <w:sz w:val="27"/>
                <w:szCs w:val="27"/>
              </w:rPr>
            </w:pPr>
            <w:r w:rsidRPr="008B619A">
              <w:rPr>
                <w:rFonts w:ascii="Times New Roman" w:hint="eastAsia"/>
                <w:color w:val="000000" w:themeColor="text1"/>
                <w:kern w:val="0"/>
                <w:sz w:val="27"/>
                <w:szCs w:val="27"/>
              </w:rPr>
              <w:t>3,340</w:t>
            </w:r>
          </w:p>
        </w:tc>
      </w:tr>
      <w:tr w:rsidR="00C56A83" w:rsidRPr="008B619A" w14:paraId="6958791A" w14:textId="77777777" w:rsidTr="006400F0">
        <w:tc>
          <w:tcPr>
            <w:tcW w:w="2296" w:type="dxa"/>
          </w:tcPr>
          <w:p w14:paraId="3E668477" w14:textId="77777777" w:rsidR="00C56A83" w:rsidRPr="008B619A" w:rsidRDefault="00C56A83" w:rsidP="006400F0">
            <w:pPr>
              <w:spacing w:line="380" w:lineRule="exact"/>
              <w:jc w:val="center"/>
              <w:rPr>
                <w:rFonts w:ascii="Times New Roman"/>
                <w:color w:val="000000" w:themeColor="text1"/>
                <w:kern w:val="0"/>
                <w:sz w:val="27"/>
                <w:szCs w:val="27"/>
              </w:rPr>
            </w:pPr>
            <w:r w:rsidRPr="008B619A">
              <w:rPr>
                <w:rFonts w:ascii="Times New Roman" w:hint="eastAsia"/>
                <w:color w:val="000000" w:themeColor="text1"/>
                <w:kern w:val="0"/>
                <w:sz w:val="27"/>
                <w:szCs w:val="27"/>
              </w:rPr>
              <w:t>122</w:t>
            </w:r>
          </w:p>
        </w:tc>
        <w:tc>
          <w:tcPr>
            <w:tcW w:w="3310" w:type="dxa"/>
            <w:shd w:val="clear" w:color="auto" w:fill="C8E6EE"/>
          </w:tcPr>
          <w:p w14:paraId="7DF49FC5" w14:textId="77777777" w:rsidR="00C56A83" w:rsidRPr="008B619A" w:rsidRDefault="00C56A83" w:rsidP="006400F0">
            <w:pPr>
              <w:spacing w:line="380" w:lineRule="exact"/>
              <w:jc w:val="center"/>
              <w:rPr>
                <w:rFonts w:ascii="Times New Roman"/>
                <w:color w:val="000000" w:themeColor="text1"/>
                <w:kern w:val="0"/>
                <w:sz w:val="27"/>
                <w:szCs w:val="27"/>
              </w:rPr>
            </w:pPr>
            <w:r w:rsidRPr="008B619A">
              <w:rPr>
                <w:rFonts w:ascii="Times New Roman" w:hint="eastAsia"/>
                <w:color w:val="000000" w:themeColor="text1"/>
                <w:kern w:val="0"/>
                <w:sz w:val="27"/>
                <w:szCs w:val="27"/>
              </w:rPr>
              <w:t>27,753</w:t>
            </w:r>
          </w:p>
        </w:tc>
        <w:tc>
          <w:tcPr>
            <w:tcW w:w="3311" w:type="dxa"/>
            <w:shd w:val="clear" w:color="auto" w:fill="C8E6EE"/>
          </w:tcPr>
          <w:p w14:paraId="2CA24C5E" w14:textId="77777777" w:rsidR="00C56A83" w:rsidRPr="008B619A" w:rsidRDefault="00C56A83" w:rsidP="006400F0">
            <w:pPr>
              <w:spacing w:line="380" w:lineRule="exact"/>
              <w:jc w:val="center"/>
              <w:rPr>
                <w:rFonts w:ascii="Times New Roman"/>
                <w:color w:val="000000" w:themeColor="text1"/>
                <w:kern w:val="0"/>
                <w:sz w:val="27"/>
                <w:szCs w:val="27"/>
              </w:rPr>
            </w:pPr>
            <w:r w:rsidRPr="008B619A">
              <w:rPr>
                <w:rFonts w:ascii="Times New Roman" w:hint="eastAsia"/>
                <w:color w:val="000000" w:themeColor="text1"/>
                <w:kern w:val="0"/>
                <w:sz w:val="27"/>
                <w:szCs w:val="27"/>
              </w:rPr>
              <w:t>3,319</w:t>
            </w:r>
          </w:p>
        </w:tc>
      </w:tr>
      <w:tr w:rsidR="00C56A83" w:rsidRPr="008B619A" w14:paraId="71BD7943" w14:textId="77777777" w:rsidTr="006400F0">
        <w:tc>
          <w:tcPr>
            <w:tcW w:w="2296" w:type="dxa"/>
          </w:tcPr>
          <w:p w14:paraId="022ADB2D" w14:textId="77777777" w:rsidR="00C56A83" w:rsidRPr="008B619A" w:rsidRDefault="00C56A83" w:rsidP="006400F0">
            <w:pPr>
              <w:spacing w:line="380" w:lineRule="exact"/>
              <w:jc w:val="center"/>
              <w:rPr>
                <w:rFonts w:ascii="Times New Roman"/>
                <w:color w:val="000000" w:themeColor="text1"/>
                <w:kern w:val="0"/>
                <w:sz w:val="27"/>
                <w:szCs w:val="27"/>
              </w:rPr>
            </w:pPr>
            <w:r w:rsidRPr="008B619A">
              <w:rPr>
                <w:rFonts w:ascii="Times New Roman" w:hint="eastAsia"/>
                <w:color w:val="000000" w:themeColor="text1"/>
                <w:kern w:val="0"/>
                <w:sz w:val="27"/>
                <w:szCs w:val="27"/>
              </w:rPr>
              <w:t>123</w:t>
            </w:r>
          </w:p>
        </w:tc>
        <w:tc>
          <w:tcPr>
            <w:tcW w:w="3310" w:type="dxa"/>
            <w:shd w:val="clear" w:color="auto" w:fill="C8E6EE"/>
          </w:tcPr>
          <w:p w14:paraId="41270312" w14:textId="77777777" w:rsidR="00C56A83" w:rsidRPr="008B619A" w:rsidRDefault="00C56A83" w:rsidP="006400F0">
            <w:pPr>
              <w:spacing w:line="380" w:lineRule="exact"/>
              <w:jc w:val="center"/>
              <w:rPr>
                <w:rFonts w:ascii="Times New Roman"/>
                <w:color w:val="000000" w:themeColor="text1"/>
                <w:kern w:val="0"/>
                <w:sz w:val="27"/>
                <w:szCs w:val="27"/>
              </w:rPr>
            </w:pPr>
            <w:r w:rsidRPr="008B619A">
              <w:rPr>
                <w:rFonts w:ascii="Times New Roman" w:hint="eastAsia"/>
                <w:color w:val="000000" w:themeColor="text1"/>
                <w:kern w:val="0"/>
                <w:sz w:val="27"/>
                <w:szCs w:val="27"/>
              </w:rPr>
              <w:t>27,639</w:t>
            </w:r>
          </w:p>
        </w:tc>
        <w:tc>
          <w:tcPr>
            <w:tcW w:w="3311" w:type="dxa"/>
            <w:shd w:val="clear" w:color="auto" w:fill="C8E6EE"/>
          </w:tcPr>
          <w:p w14:paraId="10ADAC73" w14:textId="77777777" w:rsidR="00C56A83" w:rsidRPr="008B619A" w:rsidRDefault="00C56A83" w:rsidP="006400F0">
            <w:pPr>
              <w:spacing w:line="380" w:lineRule="exact"/>
              <w:jc w:val="center"/>
              <w:rPr>
                <w:rFonts w:ascii="Times New Roman"/>
                <w:color w:val="000000" w:themeColor="text1"/>
                <w:kern w:val="0"/>
                <w:sz w:val="27"/>
                <w:szCs w:val="27"/>
              </w:rPr>
            </w:pPr>
            <w:r w:rsidRPr="008B619A">
              <w:rPr>
                <w:rFonts w:ascii="Times New Roman" w:hint="eastAsia"/>
                <w:color w:val="000000" w:themeColor="text1"/>
                <w:kern w:val="0"/>
                <w:sz w:val="27"/>
                <w:szCs w:val="27"/>
              </w:rPr>
              <w:t>3,301</w:t>
            </w:r>
          </w:p>
        </w:tc>
      </w:tr>
      <w:tr w:rsidR="00C56A83" w:rsidRPr="008B619A" w14:paraId="1883C1A9" w14:textId="77777777" w:rsidTr="006400F0">
        <w:tc>
          <w:tcPr>
            <w:tcW w:w="2296" w:type="dxa"/>
            <w:tcBorders>
              <w:bottom w:val="single" w:sz="6" w:space="0" w:color="auto"/>
            </w:tcBorders>
          </w:tcPr>
          <w:p w14:paraId="0CE1F61B" w14:textId="77777777" w:rsidR="00C56A83" w:rsidRPr="008B619A" w:rsidRDefault="00C56A83" w:rsidP="006400F0">
            <w:pPr>
              <w:spacing w:line="380" w:lineRule="exact"/>
              <w:jc w:val="center"/>
              <w:rPr>
                <w:rFonts w:ascii="Times New Roman"/>
                <w:color w:val="000000" w:themeColor="text1"/>
                <w:kern w:val="0"/>
                <w:sz w:val="27"/>
                <w:szCs w:val="27"/>
              </w:rPr>
            </w:pPr>
            <w:r w:rsidRPr="008B619A">
              <w:rPr>
                <w:rFonts w:ascii="Times New Roman" w:hint="eastAsia"/>
                <w:color w:val="000000" w:themeColor="text1"/>
                <w:kern w:val="0"/>
                <w:sz w:val="27"/>
                <w:szCs w:val="27"/>
              </w:rPr>
              <w:t>124</w:t>
            </w:r>
          </w:p>
        </w:tc>
        <w:tc>
          <w:tcPr>
            <w:tcW w:w="3310" w:type="dxa"/>
            <w:tcBorders>
              <w:bottom w:val="single" w:sz="6" w:space="0" w:color="auto"/>
            </w:tcBorders>
            <w:shd w:val="clear" w:color="auto" w:fill="C8E6EE"/>
          </w:tcPr>
          <w:p w14:paraId="53AB1989" w14:textId="77777777" w:rsidR="00C56A83" w:rsidRPr="008B619A" w:rsidRDefault="00C56A83" w:rsidP="006400F0">
            <w:pPr>
              <w:spacing w:line="380" w:lineRule="exact"/>
              <w:jc w:val="center"/>
              <w:rPr>
                <w:rFonts w:ascii="Times New Roman"/>
                <w:color w:val="000000" w:themeColor="text1"/>
                <w:kern w:val="0"/>
                <w:sz w:val="27"/>
                <w:szCs w:val="27"/>
              </w:rPr>
            </w:pPr>
            <w:r w:rsidRPr="008B619A">
              <w:rPr>
                <w:rFonts w:ascii="Times New Roman" w:hint="eastAsia"/>
                <w:color w:val="000000" w:themeColor="text1"/>
                <w:kern w:val="0"/>
                <w:sz w:val="27"/>
                <w:szCs w:val="27"/>
              </w:rPr>
              <w:t>27,548</w:t>
            </w:r>
          </w:p>
        </w:tc>
        <w:tc>
          <w:tcPr>
            <w:tcW w:w="3311" w:type="dxa"/>
            <w:tcBorders>
              <w:bottom w:val="single" w:sz="6" w:space="0" w:color="auto"/>
            </w:tcBorders>
            <w:shd w:val="clear" w:color="auto" w:fill="C8E6EE"/>
          </w:tcPr>
          <w:p w14:paraId="65FF91A8" w14:textId="77777777" w:rsidR="00C56A83" w:rsidRPr="008B619A" w:rsidRDefault="00C56A83" w:rsidP="006400F0">
            <w:pPr>
              <w:spacing w:line="380" w:lineRule="exact"/>
              <w:jc w:val="center"/>
              <w:rPr>
                <w:rFonts w:ascii="Times New Roman"/>
                <w:color w:val="000000" w:themeColor="text1"/>
                <w:kern w:val="0"/>
                <w:sz w:val="27"/>
                <w:szCs w:val="27"/>
              </w:rPr>
            </w:pPr>
            <w:r w:rsidRPr="008B619A">
              <w:rPr>
                <w:rFonts w:ascii="Times New Roman" w:hint="eastAsia"/>
                <w:color w:val="000000" w:themeColor="text1"/>
                <w:kern w:val="0"/>
                <w:sz w:val="27"/>
                <w:szCs w:val="27"/>
              </w:rPr>
              <w:t>3,288</w:t>
            </w:r>
          </w:p>
        </w:tc>
      </w:tr>
      <w:tr w:rsidR="00C56A83" w:rsidRPr="008B619A" w14:paraId="3833ACA7" w14:textId="77777777" w:rsidTr="006400F0">
        <w:tc>
          <w:tcPr>
            <w:tcW w:w="2296" w:type="dxa"/>
            <w:tcBorders>
              <w:top w:val="single" w:sz="6" w:space="0" w:color="auto"/>
              <w:bottom w:val="single" w:sz="6" w:space="0" w:color="auto"/>
            </w:tcBorders>
            <w:shd w:val="clear" w:color="auto" w:fill="E5B8B7" w:themeFill="accent2" w:themeFillTint="66"/>
          </w:tcPr>
          <w:p w14:paraId="11A92BE4" w14:textId="77777777" w:rsidR="00C56A83" w:rsidRPr="008B619A" w:rsidRDefault="00C56A83" w:rsidP="006400F0">
            <w:pPr>
              <w:spacing w:line="380" w:lineRule="exact"/>
              <w:jc w:val="center"/>
              <w:rPr>
                <w:rFonts w:ascii="Times New Roman"/>
                <w:color w:val="000000" w:themeColor="text1"/>
                <w:kern w:val="0"/>
                <w:sz w:val="27"/>
                <w:szCs w:val="27"/>
              </w:rPr>
            </w:pPr>
          </w:p>
        </w:tc>
        <w:tc>
          <w:tcPr>
            <w:tcW w:w="3310" w:type="dxa"/>
            <w:tcBorders>
              <w:top w:val="single" w:sz="6" w:space="0" w:color="auto"/>
              <w:bottom w:val="single" w:sz="6" w:space="0" w:color="auto"/>
            </w:tcBorders>
            <w:shd w:val="clear" w:color="auto" w:fill="E5B8B7" w:themeFill="accent2" w:themeFillTint="66"/>
          </w:tcPr>
          <w:p w14:paraId="220585D9" w14:textId="77777777" w:rsidR="00C56A83" w:rsidRPr="008B619A" w:rsidRDefault="00C56A83" w:rsidP="006400F0">
            <w:pPr>
              <w:spacing w:line="380" w:lineRule="exact"/>
              <w:jc w:val="center"/>
              <w:rPr>
                <w:rFonts w:ascii="Times New Roman"/>
                <w:b/>
                <w:color w:val="000000" w:themeColor="text1"/>
                <w:kern w:val="0"/>
                <w:sz w:val="27"/>
                <w:szCs w:val="27"/>
              </w:rPr>
            </w:pPr>
            <w:r w:rsidRPr="008B619A">
              <w:rPr>
                <w:rFonts w:ascii="Times New Roman" w:hint="eastAsia"/>
                <w:b/>
                <w:color w:val="000000" w:themeColor="text1"/>
                <w:kern w:val="0"/>
                <w:sz w:val="27"/>
                <w:szCs w:val="27"/>
              </w:rPr>
              <w:t>124-108</w:t>
            </w:r>
            <w:r w:rsidRPr="008B619A">
              <w:rPr>
                <w:rFonts w:ascii="Times New Roman" w:hint="eastAsia"/>
                <w:b/>
                <w:color w:val="000000" w:themeColor="text1"/>
                <w:kern w:val="0"/>
                <w:sz w:val="27"/>
                <w:szCs w:val="27"/>
              </w:rPr>
              <w:t>學年比較</w:t>
            </w:r>
          </w:p>
        </w:tc>
        <w:tc>
          <w:tcPr>
            <w:tcW w:w="3311" w:type="dxa"/>
            <w:tcBorders>
              <w:top w:val="single" w:sz="6" w:space="0" w:color="auto"/>
              <w:bottom w:val="single" w:sz="6" w:space="0" w:color="auto"/>
            </w:tcBorders>
            <w:shd w:val="clear" w:color="auto" w:fill="E5B8B7" w:themeFill="accent2" w:themeFillTint="66"/>
          </w:tcPr>
          <w:p w14:paraId="48EC9C44" w14:textId="77777777" w:rsidR="00C56A83" w:rsidRPr="008B619A" w:rsidRDefault="00C56A83" w:rsidP="006400F0">
            <w:pPr>
              <w:spacing w:line="380" w:lineRule="exact"/>
              <w:jc w:val="center"/>
              <w:rPr>
                <w:rFonts w:ascii="Times New Roman"/>
                <w:b/>
                <w:color w:val="000000" w:themeColor="text1"/>
                <w:kern w:val="0"/>
                <w:sz w:val="27"/>
                <w:szCs w:val="27"/>
              </w:rPr>
            </w:pPr>
            <w:r w:rsidRPr="008B619A">
              <w:rPr>
                <w:rFonts w:ascii="Times New Roman" w:hint="eastAsia"/>
                <w:b/>
                <w:color w:val="000000" w:themeColor="text1"/>
                <w:kern w:val="0"/>
                <w:sz w:val="27"/>
                <w:szCs w:val="27"/>
              </w:rPr>
              <w:t>124-107</w:t>
            </w:r>
            <w:r w:rsidRPr="008B619A">
              <w:rPr>
                <w:rFonts w:ascii="Times New Roman" w:hint="eastAsia"/>
                <w:b/>
                <w:color w:val="000000" w:themeColor="text1"/>
                <w:kern w:val="0"/>
                <w:sz w:val="27"/>
                <w:szCs w:val="27"/>
              </w:rPr>
              <w:t>學年比較</w:t>
            </w:r>
          </w:p>
        </w:tc>
      </w:tr>
      <w:tr w:rsidR="00C56A83" w:rsidRPr="008B619A" w14:paraId="04EF367A" w14:textId="77777777" w:rsidTr="006400F0">
        <w:tc>
          <w:tcPr>
            <w:tcW w:w="2296" w:type="dxa"/>
            <w:tcBorders>
              <w:top w:val="single" w:sz="6" w:space="0" w:color="auto"/>
            </w:tcBorders>
          </w:tcPr>
          <w:p w14:paraId="3173553D" w14:textId="77777777" w:rsidR="00C56A83" w:rsidRPr="008B619A" w:rsidRDefault="00C56A83" w:rsidP="006400F0">
            <w:pPr>
              <w:spacing w:line="380" w:lineRule="exact"/>
              <w:jc w:val="center"/>
              <w:rPr>
                <w:rFonts w:ascii="Times New Roman"/>
                <w:color w:val="000000" w:themeColor="text1"/>
                <w:kern w:val="0"/>
                <w:sz w:val="27"/>
                <w:szCs w:val="27"/>
              </w:rPr>
            </w:pPr>
            <w:r w:rsidRPr="008B619A">
              <w:rPr>
                <w:rFonts w:ascii="Times New Roman" w:hint="eastAsia"/>
                <w:color w:val="000000" w:themeColor="text1"/>
                <w:kern w:val="0"/>
                <w:sz w:val="27"/>
                <w:szCs w:val="27"/>
              </w:rPr>
              <w:t>增減人數</w:t>
            </w:r>
          </w:p>
        </w:tc>
        <w:tc>
          <w:tcPr>
            <w:tcW w:w="3310" w:type="dxa"/>
            <w:tcBorders>
              <w:top w:val="single" w:sz="6" w:space="0" w:color="auto"/>
            </w:tcBorders>
          </w:tcPr>
          <w:p w14:paraId="3099E572" w14:textId="77777777" w:rsidR="00C56A83" w:rsidRPr="008B619A" w:rsidRDefault="00C56A83" w:rsidP="006400F0">
            <w:pPr>
              <w:spacing w:line="380" w:lineRule="exact"/>
              <w:jc w:val="center"/>
              <w:rPr>
                <w:rFonts w:ascii="Times New Roman"/>
                <w:color w:val="000000" w:themeColor="text1"/>
                <w:kern w:val="0"/>
                <w:sz w:val="27"/>
                <w:szCs w:val="27"/>
              </w:rPr>
            </w:pPr>
            <w:r w:rsidRPr="008B619A">
              <w:rPr>
                <w:rFonts w:ascii="Times New Roman" w:hint="eastAsia"/>
                <w:color w:val="000000" w:themeColor="text1"/>
                <w:kern w:val="0"/>
                <w:sz w:val="27"/>
                <w:szCs w:val="27"/>
              </w:rPr>
              <w:t>-962</w:t>
            </w:r>
          </w:p>
        </w:tc>
        <w:tc>
          <w:tcPr>
            <w:tcW w:w="3311" w:type="dxa"/>
            <w:tcBorders>
              <w:top w:val="single" w:sz="6" w:space="0" w:color="auto"/>
            </w:tcBorders>
          </w:tcPr>
          <w:p w14:paraId="1B04098D" w14:textId="77777777" w:rsidR="00C56A83" w:rsidRPr="008B619A" w:rsidRDefault="00C56A83" w:rsidP="006400F0">
            <w:pPr>
              <w:spacing w:line="380" w:lineRule="exact"/>
              <w:jc w:val="center"/>
              <w:rPr>
                <w:rFonts w:ascii="Times New Roman"/>
                <w:color w:val="000000" w:themeColor="text1"/>
                <w:kern w:val="0"/>
                <w:sz w:val="27"/>
                <w:szCs w:val="27"/>
              </w:rPr>
            </w:pPr>
            <w:r w:rsidRPr="008B619A">
              <w:rPr>
                <w:rFonts w:ascii="Times New Roman" w:hint="eastAsia"/>
                <w:color w:val="000000" w:themeColor="text1"/>
                <w:kern w:val="0"/>
                <w:sz w:val="27"/>
                <w:szCs w:val="27"/>
              </w:rPr>
              <w:t>-18</w:t>
            </w:r>
          </w:p>
        </w:tc>
      </w:tr>
      <w:tr w:rsidR="00C56A83" w:rsidRPr="008B619A" w14:paraId="24025C88" w14:textId="77777777" w:rsidTr="006400F0">
        <w:tc>
          <w:tcPr>
            <w:tcW w:w="2296" w:type="dxa"/>
          </w:tcPr>
          <w:p w14:paraId="68098809" w14:textId="77777777" w:rsidR="00C56A83" w:rsidRPr="008B619A" w:rsidRDefault="00C56A83" w:rsidP="006400F0">
            <w:pPr>
              <w:spacing w:line="380" w:lineRule="exact"/>
              <w:jc w:val="center"/>
              <w:rPr>
                <w:rFonts w:ascii="Times New Roman"/>
                <w:color w:val="000000" w:themeColor="text1"/>
                <w:kern w:val="0"/>
                <w:sz w:val="27"/>
                <w:szCs w:val="27"/>
              </w:rPr>
            </w:pPr>
            <w:r w:rsidRPr="008B619A">
              <w:rPr>
                <w:rFonts w:ascii="Times New Roman" w:hint="eastAsia"/>
                <w:color w:val="000000" w:themeColor="text1"/>
                <w:kern w:val="0"/>
                <w:sz w:val="27"/>
                <w:szCs w:val="27"/>
              </w:rPr>
              <w:t>增減率</w:t>
            </w:r>
          </w:p>
        </w:tc>
        <w:tc>
          <w:tcPr>
            <w:tcW w:w="3310" w:type="dxa"/>
          </w:tcPr>
          <w:p w14:paraId="50B4B76E" w14:textId="77777777" w:rsidR="00C56A83" w:rsidRPr="008B619A" w:rsidRDefault="00C56A83" w:rsidP="006400F0">
            <w:pPr>
              <w:spacing w:line="380" w:lineRule="exact"/>
              <w:jc w:val="center"/>
              <w:rPr>
                <w:rFonts w:ascii="Times New Roman"/>
                <w:color w:val="000000" w:themeColor="text1"/>
                <w:kern w:val="0"/>
                <w:sz w:val="27"/>
                <w:szCs w:val="27"/>
              </w:rPr>
            </w:pPr>
            <w:r w:rsidRPr="008B619A">
              <w:rPr>
                <w:rFonts w:ascii="Times New Roman" w:hint="eastAsia"/>
                <w:color w:val="000000" w:themeColor="text1"/>
                <w:kern w:val="0"/>
                <w:sz w:val="27"/>
                <w:szCs w:val="27"/>
              </w:rPr>
              <w:t>-3.4</w:t>
            </w:r>
          </w:p>
        </w:tc>
        <w:tc>
          <w:tcPr>
            <w:tcW w:w="3311" w:type="dxa"/>
          </w:tcPr>
          <w:p w14:paraId="3FEDE1F5" w14:textId="77777777" w:rsidR="00C56A83" w:rsidRPr="008B619A" w:rsidRDefault="00C56A83" w:rsidP="006400F0">
            <w:pPr>
              <w:spacing w:line="380" w:lineRule="exact"/>
              <w:jc w:val="center"/>
              <w:rPr>
                <w:rFonts w:ascii="Times New Roman"/>
                <w:color w:val="000000" w:themeColor="text1"/>
                <w:kern w:val="0"/>
                <w:sz w:val="27"/>
                <w:szCs w:val="27"/>
              </w:rPr>
            </w:pPr>
            <w:r w:rsidRPr="008B619A">
              <w:rPr>
                <w:rFonts w:ascii="Times New Roman" w:hint="eastAsia"/>
                <w:color w:val="000000" w:themeColor="text1"/>
                <w:kern w:val="0"/>
                <w:sz w:val="27"/>
                <w:szCs w:val="27"/>
              </w:rPr>
              <w:t>-0.5</w:t>
            </w:r>
          </w:p>
        </w:tc>
      </w:tr>
      <w:tr w:rsidR="00C56A83" w:rsidRPr="008B619A" w14:paraId="6DACA85D" w14:textId="77777777" w:rsidTr="006400F0">
        <w:tc>
          <w:tcPr>
            <w:tcW w:w="2296" w:type="dxa"/>
            <w:tcBorders>
              <w:bottom w:val="single" w:sz="6" w:space="0" w:color="auto"/>
            </w:tcBorders>
          </w:tcPr>
          <w:p w14:paraId="09A48FCC" w14:textId="77777777" w:rsidR="00C56A83" w:rsidRPr="008B619A" w:rsidRDefault="00C56A83" w:rsidP="006400F0">
            <w:pPr>
              <w:spacing w:line="380" w:lineRule="exact"/>
              <w:jc w:val="center"/>
              <w:rPr>
                <w:rFonts w:ascii="Times New Roman"/>
                <w:color w:val="000000" w:themeColor="text1"/>
                <w:kern w:val="0"/>
                <w:sz w:val="27"/>
                <w:szCs w:val="27"/>
              </w:rPr>
            </w:pPr>
            <w:r w:rsidRPr="008B619A">
              <w:rPr>
                <w:rFonts w:ascii="Times New Roman" w:hint="eastAsia"/>
                <w:color w:val="000000" w:themeColor="text1"/>
                <w:kern w:val="0"/>
                <w:sz w:val="27"/>
                <w:szCs w:val="27"/>
              </w:rPr>
              <w:t>平均年增減率</w:t>
            </w:r>
          </w:p>
        </w:tc>
        <w:tc>
          <w:tcPr>
            <w:tcW w:w="3310" w:type="dxa"/>
            <w:tcBorders>
              <w:bottom w:val="single" w:sz="6" w:space="0" w:color="auto"/>
            </w:tcBorders>
          </w:tcPr>
          <w:p w14:paraId="092D360B" w14:textId="77777777" w:rsidR="00C56A83" w:rsidRPr="008B619A" w:rsidRDefault="00C56A83" w:rsidP="006400F0">
            <w:pPr>
              <w:spacing w:line="380" w:lineRule="exact"/>
              <w:jc w:val="center"/>
              <w:rPr>
                <w:rFonts w:ascii="Times New Roman"/>
                <w:color w:val="000000" w:themeColor="text1"/>
                <w:kern w:val="0"/>
                <w:sz w:val="27"/>
                <w:szCs w:val="27"/>
              </w:rPr>
            </w:pPr>
            <w:r w:rsidRPr="008B619A">
              <w:rPr>
                <w:rFonts w:ascii="Times New Roman" w:hint="eastAsia"/>
                <w:color w:val="000000" w:themeColor="text1"/>
                <w:kern w:val="0"/>
                <w:sz w:val="27"/>
                <w:szCs w:val="27"/>
              </w:rPr>
              <w:t>-0.2</w:t>
            </w:r>
          </w:p>
        </w:tc>
        <w:tc>
          <w:tcPr>
            <w:tcW w:w="3311" w:type="dxa"/>
            <w:tcBorders>
              <w:bottom w:val="single" w:sz="6" w:space="0" w:color="auto"/>
            </w:tcBorders>
          </w:tcPr>
          <w:p w14:paraId="267EE890" w14:textId="77777777" w:rsidR="00C56A83" w:rsidRPr="008B619A" w:rsidRDefault="00C56A83" w:rsidP="006400F0">
            <w:pPr>
              <w:spacing w:line="380" w:lineRule="exact"/>
              <w:jc w:val="center"/>
              <w:rPr>
                <w:rFonts w:ascii="Times New Roman"/>
                <w:color w:val="000000" w:themeColor="text1"/>
                <w:kern w:val="0"/>
                <w:sz w:val="27"/>
                <w:szCs w:val="27"/>
              </w:rPr>
            </w:pPr>
            <w:r w:rsidRPr="008B619A">
              <w:rPr>
                <w:rFonts w:ascii="Times New Roman" w:hint="eastAsia"/>
                <w:color w:val="000000" w:themeColor="text1"/>
                <w:kern w:val="0"/>
                <w:sz w:val="27"/>
                <w:szCs w:val="27"/>
              </w:rPr>
              <w:t>0.0</w:t>
            </w:r>
          </w:p>
        </w:tc>
      </w:tr>
    </w:tbl>
    <w:p w14:paraId="13C3DFA4" w14:textId="1D3240A6" w:rsidR="00C56A83" w:rsidRPr="008B619A" w:rsidRDefault="00C56A83" w:rsidP="00637FA4">
      <w:pPr>
        <w:spacing w:afterLines="100" w:after="457" w:line="240" w:lineRule="exact"/>
        <w:rPr>
          <w:color w:val="000000" w:themeColor="text1"/>
          <w:sz w:val="24"/>
          <w:szCs w:val="24"/>
        </w:rPr>
      </w:pPr>
      <w:r w:rsidRPr="008B619A">
        <w:rPr>
          <w:rFonts w:hint="eastAsia"/>
          <w:color w:val="000000" w:themeColor="text1"/>
          <w:sz w:val="24"/>
          <w:szCs w:val="24"/>
        </w:rPr>
        <w:t>資料來源：</w:t>
      </w:r>
      <w:r w:rsidR="00637FA4" w:rsidRPr="008B619A">
        <w:rPr>
          <w:rFonts w:hint="eastAsia"/>
          <w:color w:val="000000" w:themeColor="text1"/>
          <w:sz w:val="24"/>
          <w:szCs w:val="24"/>
        </w:rPr>
        <w:t>國發會</w:t>
      </w:r>
      <w:r w:rsidR="00D254F3" w:rsidRPr="008B619A">
        <w:rPr>
          <w:rFonts w:hint="eastAsia"/>
          <w:color w:val="000000" w:themeColor="text1"/>
          <w:sz w:val="24"/>
          <w:szCs w:val="24"/>
        </w:rPr>
        <w:t>調卷資料</w:t>
      </w:r>
      <w:r w:rsidR="008C39D0" w:rsidRPr="008B619A">
        <w:rPr>
          <w:rFonts w:hAnsi="標楷體" w:hint="eastAsia"/>
          <w:color w:val="000000" w:themeColor="text1"/>
          <w:sz w:val="24"/>
          <w:szCs w:val="24"/>
        </w:rPr>
        <w:t>、</w:t>
      </w:r>
      <w:r w:rsidRPr="008B619A">
        <w:rPr>
          <w:rFonts w:hint="eastAsia"/>
          <w:color w:val="000000" w:themeColor="text1"/>
          <w:sz w:val="24"/>
          <w:szCs w:val="24"/>
        </w:rPr>
        <w:t>教育部統計處。各教育階段學生數預測報告(109~124學年度)。</w:t>
      </w:r>
    </w:p>
    <w:p w14:paraId="4FE438B3" w14:textId="5BCE47D1" w:rsidR="005E3DB3" w:rsidRPr="008B619A" w:rsidRDefault="005E3DB3" w:rsidP="005E3DB3">
      <w:pPr>
        <w:pStyle w:val="4"/>
        <w:rPr>
          <w:color w:val="000000" w:themeColor="text1"/>
        </w:rPr>
      </w:pPr>
      <w:bookmarkStart w:id="58" w:name="_Toc44680321"/>
      <w:bookmarkStart w:id="59" w:name="_Toc45096261"/>
      <w:bookmarkStart w:id="60" w:name="_Toc45646638"/>
      <w:r w:rsidRPr="008B619A">
        <w:rPr>
          <w:rFonts w:hint="eastAsia"/>
          <w:color w:val="000000" w:themeColor="text1"/>
        </w:rPr>
        <w:t>此外，博士班新生數在</w:t>
      </w:r>
      <w:r w:rsidRPr="008B619A">
        <w:rPr>
          <w:rFonts w:ascii="TimesNewRoman" w:eastAsia="Times New Roman" w:hAnsi="TimesNewRoman" w:cs="TimesNewRoman"/>
          <w:color w:val="000000" w:themeColor="text1"/>
        </w:rPr>
        <w:t>98</w:t>
      </w:r>
      <w:r w:rsidRPr="008B619A">
        <w:rPr>
          <w:rFonts w:hint="eastAsia"/>
          <w:color w:val="000000" w:themeColor="text1"/>
        </w:rPr>
        <w:t>學年達到高峰（</w:t>
      </w:r>
      <w:r w:rsidRPr="008B619A">
        <w:rPr>
          <w:rFonts w:ascii="TimesNewRoman" w:eastAsia="Times New Roman" w:hAnsi="TimesNewRoman" w:cs="TimesNewRoman"/>
          <w:color w:val="000000" w:themeColor="text1"/>
        </w:rPr>
        <w:t>6,832</w:t>
      </w:r>
      <w:r w:rsidRPr="008B619A">
        <w:rPr>
          <w:rFonts w:hint="eastAsia"/>
          <w:color w:val="000000" w:themeColor="text1"/>
        </w:rPr>
        <w:t>人</w:t>
      </w:r>
      <w:r w:rsidRPr="008B619A">
        <w:rPr>
          <w:rFonts w:ascii="新細明體" w:eastAsia="新細明體" w:hAnsi="新細明體" w:cs="新細明體" w:hint="eastAsia"/>
          <w:color w:val="000000" w:themeColor="text1"/>
        </w:rPr>
        <w:t>）</w:t>
      </w:r>
      <w:r w:rsidRPr="008B619A">
        <w:rPr>
          <w:rFonts w:hint="eastAsia"/>
          <w:color w:val="000000" w:themeColor="text1"/>
        </w:rPr>
        <w:t>後明顯下滑，</w:t>
      </w:r>
      <w:r w:rsidRPr="008B619A">
        <w:rPr>
          <w:rFonts w:ascii="TimesNewRoman" w:eastAsia="Times New Roman" w:hAnsi="TimesNewRoman" w:cs="TimesNewRoman"/>
          <w:color w:val="000000" w:themeColor="text1"/>
        </w:rPr>
        <w:t>106</w:t>
      </w:r>
      <w:r w:rsidRPr="008B619A">
        <w:rPr>
          <w:rFonts w:hint="eastAsia"/>
          <w:color w:val="000000" w:themeColor="text1"/>
        </w:rPr>
        <w:t>學年博士新生人數減至</w:t>
      </w:r>
      <w:r w:rsidRPr="008B619A">
        <w:rPr>
          <w:rFonts w:ascii="TimesNewRoman" w:eastAsia="Times New Roman" w:hAnsi="TimesNewRoman" w:cs="TimesNewRoman"/>
          <w:color w:val="000000" w:themeColor="text1"/>
        </w:rPr>
        <w:t>5,313</w:t>
      </w:r>
      <w:r w:rsidRPr="008B619A">
        <w:rPr>
          <w:rFonts w:hint="eastAsia"/>
          <w:color w:val="000000" w:themeColor="text1"/>
        </w:rPr>
        <w:t>人（降幅約</w:t>
      </w:r>
      <w:r w:rsidRPr="008B619A">
        <w:rPr>
          <w:rFonts w:ascii="TimesNewRoman" w:eastAsia="Times New Roman" w:hAnsi="TimesNewRoman" w:cs="TimesNewRoman"/>
          <w:color w:val="000000" w:themeColor="text1"/>
        </w:rPr>
        <w:t>22%</w:t>
      </w:r>
      <w:r w:rsidRPr="008B619A">
        <w:rPr>
          <w:rFonts w:ascii="新細明體" w:eastAsia="新細明體" w:hAnsi="新細明體" w:cs="新細明體" w:hint="eastAsia"/>
          <w:color w:val="000000" w:themeColor="text1"/>
        </w:rPr>
        <w:t>）</w:t>
      </w:r>
      <w:r w:rsidRPr="008B619A">
        <w:rPr>
          <w:rStyle w:val="aff1"/>
          <w:rFonts w:ascii="TimesNewRoman" w:eastAsia="Times New Roman" w:hAnsi="TimesNewRoman" w:cs="TimesNewRoman"/>
          <w:color w:val="000000" w:themeColor="text1"/>
        </w:rPr>
        <w:footnoteReference w:id="10"/>
      </w:r>
      <w:r w:rsidRPr="008B619A">
        <w:rPr>
          <w:rFonts w:hint="eastAsia"/>
          <w:color w:val="000000" w:themeColor="text1"/>
        </w:rPr>
        <w:t>，實際註冊</w:t>
      </w:r>
      <w:r w:rsidRPr="008B619A">
        <w:rPr>
          <w:color w:val="000000" w:themeColor="text1"/>
        </w:rPr>
        <w:t>4,077</w:t>
      </w:r>
      <w:r w:rsidRPr="008B619A">
        <w:rPr>
          <w:rFonts w:hint="eastAsia"/>
          <w:color w:val="000000" w:themeColor="text1"/>
        </w:rPr>
        <w:t>人、畢業生</w:t>
      </w:r>
      <w:r w:rsidRPr="008B619A">
        <w:rPr>
          <w:color w:val="000000" w:themeColor="text1"/>
        </w:rPr>
        <w:t>3,423</w:t>
      </w:r>
      <w:r w:rsidRPr="008B619A">
        <w:rPr>
          <w:rFonts w:hint="eastAsia"/>
          <w:color w:val="000000" w:themeColor="text1"/>
        </w:rPr>
        <w:t>人，107學年度新生實際註冊</w:t>
      </w:r>
      <w:r w:rsidRPr="008B619A">
        <w:rPr>
          <w:color w:val="000000" w:themeColor="text1"/>
        </w:rPr>
        <w:t>4,021</w:t>
      </w:r>
      <w:r w:rsidRPr="008B619A">
        <w:rPr>
          <w:rFonts w:hint="eastAsia"/>
          <w:color w:val="000000" w:themeColor="text1"/>
        </w:rPr>
        <w:t>人，畢業生降至</w:t>
      </w:r>
      <w:r w:rsidRPr="008B619A">
        <w:rPr>
          <w:color w:val="000000" w:themeColor="text1"/>
        </w:rPr>
        <w:t>3,306</w:t>
      </w:r>
      <w:r w:rsidRPr="008B619A">
        <w:rPr>
          <w:rFonts w:hint="eastAsia"/>
          <w:color w:val="000000" w:themeColor="text1"/>
        </w:rPr>
        <w:t>人，仍有下滑趨勢。近年雖強化措施，如提供博士就學誘因及多元發展下，使得博士新生就讀人數微幅增加（</w:t>
      </w:r>
      <w:r w:rsidRPr="008B619A">
        <w:rPr>
          <w:rFonts w:ascii="TimesNewRoman" w:eastAsia="Times New Roman" w:hAnsi="TimesNewRoman" w:cs="TimesNewRoman"/>
          <w:color w:val="000000" w:themeColor="text1"/>
        </w:rPr>
        <w:t>107</w:t>
      </w:r>
      <w:r w:rsidRPr="008B619A">
        <w:rPr>
          <w:rFonts w:hint="eastAsia"/>
          <w:color w:val="000000" w:themeColor="text1"/>
        </w:rPr>
        <w:t>學年博士新生為</w:t>
      </w:r>
      <w:r w:rsidRPr="008B619A">
        <w:rPr>
          <w:rFonts w:ascii="TimesNewRoman" w:eastAsia="Times New Roman" w:hAnsi="TimesNewRoman" w:cs="TimesNewRoman"/>
          <w:color w:val="000000" w:themeColor="text1"/>
        </w:rPr>
        <w:t>5,413</w:t>
      </w:r>
      <w:r w:rsidRPr="008B619A">
        <w:rPr>
          <w:rFonts w:hint="eastAsia"/>
          <w:color w:val="000000" w:themeColor="text1"/>
        </w:rPr>
        <w:t>年</w:t>
      </w:r>
      <w:r w:rsidRPr="008B619A">
        <w:rPr>
          <w:rFonts w:ascii="新細明體" w:eastAsia="新細明體" w:hAnsi="新細明體" w:cs="TimesNewRoman" w:hint="eastAsia"/>
          <w:color w:val="000000" w:themeColor="text1"/>
        </w:rPr>
        <w:t>；</w:t>
      </w:r>
      <w:r w:rsidRPr="008B619A">
        <w:rPr>
          <w:rFonts w:ascii="TimesNewRoman" w:eastAsia="Times New Roman" w:hAnsi="TimesNewRoman" w:cs="TimesNewRoman"/>
          <w:color w:val="000000" w:themeColor="text1"/>
        </w:rPr>
        <w:t>108</w:t>
      </w:r>
      <w:r w:rsidRPr="008B619A">
        <w:rPr>
          <w:rFonts w:hint="eastAsia"/>
          <w:color w:val="000000" w:themeColor="text1"/>
        </w:rPr>
        <w:t>學年為</w:t>
      </w:r>
      <w:r w:rsidRPr="008B619A">
        <w:rPr>
          <w:rFonts w:ascii="TimesNewRoman" w:eastAsia="Times New Roman" w:hAnsi="TimesNewRoman" w:cs="TimesNewRoman"/>
          <w:color w:val="000000" w:themeColor="text1"/>
        </w:rPr>
        <w:t>5,590</w:t>
      </w:r>
      <w:r w:rsidRPr="008B619A">
        <w:rPr>
          <w:rFonts w:hint="eastAsia"/>
          <w:color w:val="000000" w:themeColor="text1"/>
        </w:rPr>
        <w:t>人</w:t>
      </w:r>
      <w:r w:rsidRPr="008B619A">
        <w:rPr>
          <w:rFonts w:ascii="新細明體" w:eastAsia="新細明體" w:hAnsi="新細明體" w:cs="新細明體" w:hint="eastAsia"/>
          <w:color w:val="000000" w:themeColor="text1"/>
        </w:rPr>
        <w:t>）。</w:t>
      </w:r>
    </w:p>
    <w:p w14:paraId="204880D8" w14:textId="24DC40BB" w:rsidR="00BC366E" w:rsidRPr="008B619A" w:rsidRDefault="00BC366E" w:rsidP="00BC366E">
      <w:pPr>
        <w:pStyle w:val="3"/>
        <w:rPr>
          <w:bCs w:val="0"/>
          <w:color w:val="000000" w:themeColor="text1"/>
        </w:rPr>
      </w:pPr>
      <w:r w:rsidRPr="008B619A">
        <w:rPr>
          <w:color w:val="000000" w:themeColor="text1"/>
        </w:rPr>
        <w:t>承上，</w:t>
      </w:r>
      <w:r w:rsidR="000C03E2" w:rsidRPr="008B619A">
        <w:rPr>
          <w:color w:val="000000" w:themeColor="text1"/>
        </w:rPr>
        <w:t>國發會</w:t>
      </w:r>
      <w:r w:rsidRPr="008B619A">
        <w:rPr>
          <w:color w:val="000000" w:themeColor="text1"/>
        </w:rPr>
        <w:t>對於政府整體</w:t>
      </w:r>
      <w:r w:rsidR="00E62609" w:rsidRPr="008B619A">
        <w:rPr>
          <w:rFonts w:hint="eastAsia"/>
          <w:color w:val="000000" w:themeColor="text1"/>
        </w:rPr>
        <w:t>博士</w:t>
      </w:r>
      <w:r w:rsidRPr="008B619A">
        <w:rPr>
          <w:color w:val="000000" w:themeColor="text1"/>
        </w:rPr>
        <w:t>人才政策</w:t>
      </w:r>
      <w:r w:rsidR="00E62609" w:rsidRPr="008B619A">
        <w:rPr>
          <w:rFonts w:hint="eastAsia"/>
          <w:color w:val="000000" w:themeColor="text1"/>
        </w:rPr>
        <w:t>之機制</w:t>
      </w:r>
      <w:r w:rsidR="00C16EAD" w:rsidRPr="008B619A">
        <w:rPr>
          <w:rFonts w:hint="eastAsia"/>
          <w:color w:val="000000" w:themeColor="text1"/>
        </w:rPr>
        <w:t>，依法</w:t>
      </w:r>
      <w:r w:rsidR="00A355C3" w:rsidRPr="008B619A">
        <w:rPr>
          <w:rFonts w:hint="eastAsia"/>
          <w:color w:val="000000" w:themeColor="text1"/>
        </w:rPr>
        <w:t>應負整合功能，</w:t>
      </w:r>
      <w:r w:rsidR="006745A4" w:rsidRPr="008B619A">
        <w:rPr>
          <w:rFonts w:hint="eastAsia"/>
          <w:color w:val="000000" w:themeColor="text1"/>
        </w:rPr>
        <w:t>查</w:t>
      </w:r>
      <w:r w:rsidR="00737A97" w:rsidRPr="008B619A">
        <w:rPr>
          <w:rFonts w:hint="eastAsia"/>
          <w:color w:val="000000" w:themeColor="text1"/>
        </w:rPr>
        <w:t>該會</w:t>
      </w:r>
      <w:r w:rsidR="00A355C3" w:rsidRPr="008B619A">
        <w:rPr>
          <w:rFonts w:hint="eastAsia"/>
          <w:color w:val="000000" w:themeColor="text1"/>
        </w:rPr>
        <w:t>自100年起推動各項協</w:t>
      </w:r>
      <w:r w:rsidR="00A355C3" w:rsidRPr="008B619A">
        <w:rPr>
          <w:rFonts w:hint="eastAsia"/>
          <w:color w:val="000000" w:themeColor="text1"/>
        </w:rPr>
        <w:lastRenderedPageBreak/>
        <w:t>調措施</w:t>
      </w:r>
      <w:r w:rsidRPr="008B619A">
        <w:rPr>
          <w:color w:val="000000" w:themeColor="text1"/>
        </w:rPr>
        <w:t>，</w:t>
      </w:r>
      <w:r w:rsidR="00E62609" w:rsidRPr="008B619A">
        <w:rPr>
          <w:rFonts w:hint="eastAsia"/>
          <w:color w:val="000000" w:themeColor="text1"/>
        </w:rPr>
        <w:t>說明摘要</w:t>
      </w:r>
      <w:r w:rsidRPr="008B619A">
        <w:rPr>
          <w:color w:val="000000" w:themeColor="text1"/>
        </w:rPr>
        <w:t>如下：</w:t>
      </w:r>
      <w:bookmarkEnd w:id="58"/>
      <w:bookmarkEnd w:id="59"/>
      <w:bookmarkEnd w:id="60"/>
    </w:p>
    <w:p w14:paraId="160C3EFF" w14:textId="24E79B30" w:rsidR="00287B66" w:rsidRPr="008B619A" w:rsidRDefault="00AF198C" w:rsidP="00287B66">
      <w:pPr>
        <w:pStyle w:val="4"/>
        <w:rPr>
          <w:color w:val="000000" w:themeColor="text1"/>
        </w:rPr>
      </w:pPr>
      <w:r w:rsidRPr="008B619A">
        <w:rPr>
          <w:rFonts w:hint="eastAsia"/>
          <w:color w:val="000000" w:themeColor="text1"/>
        </w:rPr>
        <w:t>該會</w:t>
      </w:r>
      <w:r w:rsidR="00E62609" w:rsidRPr="008B619A">
        <w:rPr>
          <w:rFonts w:hint="eastAsia"/>
          <w:color w:val="000000" w:themeColor="text1"/>
        </w:rPr>
        <w:t>100年起陸續協調各部會辦理「重點產業人才供需調查及推估」作業，並彙整成果報告，以掌握產業發展所需人才，推動產業人才資源發展相關事宜。其中各部會透過雇主問卷調查等方式，針對未來3年重點產業所需人才進行質性需求條件調查，分析項目包含欠缺人才之教育程度需求情況，共分為「不限」、「高中以下」、「大專」及「碩士以上」等4種層級，藉此掌握各項重點產業所缺人才於各教育程度層級之需求動態，做為教育部審查大專校院增設、調整系所之參考，以及勞動部與各重點產業主管部會研擬相關人才培訓等人力資源對策之參考依據。</w:t>
      </w:r>
    </w:p>
    <w:bookmarkEnd w:id="52"/>
    <w:p w14:paraId="3EC8D1BC" w14:textId="1894D836" w:rsidR="0080749D" w:rsidRPr="008B619A" w:rsidRDefault="00DB6EB4" w:rsidP="005957FB">
      <w:pPr>
        <w:pStyle w:val="4"/>
        <w:rPr>
          <w:color w:val="000000" w:themeColor="text1"/>
        </w:rPr>
      </w:pPr>
      <w:r w:rsidRPr="008B619A">
        <w:rPr>
          <w:rFonts w:hint="eastAsia"/>
          <w:color w:val="000000" w:themeColor="text1"/>
        </w:rPr>
        <w:t>該會</w:t>
      </w:r>
      <w:r w:rsidR="00864EBC" w:rsidRPr="008B619A">
        <w:rPr>
          <w:rFonts w:hint="eastAsia"/>
          <w:color w:val="000000" w:themeColor="text1"/>
        </w:rPr>
        <w:t>參酌國際推估作法，在考量未來經濟成長趨勢、產業變動情勢、新興科技導入等因素下，藉由總體模型進行我國未來10年行業、職業人力需求推估。</w:t>
      </w:r>
      <w:r w:rsidR="00D636E8" w:rsidRPr="008B619A">
        <w:rPr>
          <w:rFonts w:hint="eastAsia"/>
          <w:color w:val="000000" w:themeColor="text1"/>
        </w:rPr>
        <w:t>已</w:t>
      </w:r>
      <w:r w:rsidR="00864EBC" w:rsidRPr="008B619A">
        <w:rPr>
          <w:rFonts w:hint="eastAsia"/>
          <w:color w:val="000000" w:themeColor="text1"/>
        </w:rPr>
        <w:t>於109年完成「2030年整體人力需求推估」，提供中長期各行業、職業間的人力需求消長資訊，相關結果已提供教育部等機關做為規劃長期人力資源政策之參考。</w:t>
      </w:r>
    </w:p>
    <w:p w14:paraId="11D65BC4" w14:textId="69C620D9" w:rsidR="00B56C2D" w:rsidRPr="008B619A" w:rsidRDefault="00B56C2D" w:rsidP="00B56C2D">
      <w:pPr>
        <w:pStyle w:val="3"/>
        <w:numPr>
          <w:ilvl w:val="2"/>
          <w:numId w:val="12"/>
        </w:numPr>
        <w:rPr>
          <w:color w:val="000000" w:themeColor="text1"/>
        </w:rPr>
      </w:pPr>
      <w:r w:rsidRPr="008B619A">
        <w:rPr>
          <w:rFonts w:hint="eastAsia"/>
          <w:color w:val="000000" w:themeColor="text1"/>
        </w:rPr>
        <w:t>鑒於基礎研究是國家科研能量的基磐，對於我國知識資本及未來新興科學技術的發展相當重要。科技部</w:t>
      </w:r>
      <w:r w:rsidR="00C70C6E" w:rsidRPr="008B619A">
        <w:rPr>
          <w:rFonts w:hint="eastAsia"/>
          <w:color w:val="000000" w:themeColor="text1"/>
        </w:rPr>
        <w:t>則</w:t>
      </w:r>
      <w:r w:rsidR="004E6855" w:rsidRPr="008B619A">
        <w:rPr>
          <w:rFonts w:hint="eastAsia"/>
          <w:color w:val="000000" w:themeColor="text1"/>
        </w:rPr>
        <w:t>依權責</w:t>
      </w:r>
      <w:r w:rsidRPr="008B619A">
        <w:rPr>
          <w:rFonts w:hint="eastAsia"/>
          <w:color w:val="000000" w:themeColor="text1"/>
        </w:rPr>
        <w:t>陸續推動相關對應措施</w:t>
      </w:r>
      <w:r w:rsidR="00972A83" w:rsidRPr="008B619A">
        <w:rPr>
          <w:rFonts w:hint="eastAsia"/>
          <w:color w:val="000000" w:themeColor="text1"/>
        </w:rPr>
        <w:t>，期能充實我國科研人力並強化我國研發能量</w:t>
      </w:r>
      <w:r w:rsidR="00301005" w:rsidRPr="008B619A">
        <w:rPr>
          <w:rFonts w:hint="eastAsia"/>
          <w:color w:val="000000" w:themeColor="text1"/>
        </w:rPr>
        <w:t>，摘錄如下</w:t>
      </w:r>
      <w:r w:rsidRPr="008B619A">
        <w:rPr>
          <w:rFonts w:hint="eastAsia"/>
          <w:color w:val="000000" w:themeColor="text1"/>
        </w:rPr>
        <w:t>：</w:t>
      </w:r>
    </w:p>
    <w:p w14:paraId="678B202E" w14:textId="14244A7C" w:rsidR="00B56C2D" w:rsidRPr="008B619A" w:rsidRDefault="00B56C2D" w:rsidP="00B56C2D">
      <w:pPr>
        <w:pStyle w:val="4"/>
        <w:numPr>
          <w:ilvl w:val="3"/>
          <w:numId w:val="12"/>
        </w:numPr>
        <w:rPr>
          <w:color w:val="000000" w:themeColor="text1"/>
        </w:rPr>
      </w:pPr>
      <w:r w:rsidRPr="008B619A">
        <w:rPr>
          <w:rFonts w:hint="eastAsia"/>
          <w:color w:val="000000" w:themeColor="text1"/>
        </w:rPr>
        <w:t>在確保基礎研究補助經費之穩定方面：考量基礎研究之穩固，科技部</w:t>
      </w:r>
      <w:r w:rsidR="00174EB1" w:rsidRPr="008B619A">
        <w:rPr>
          <w:rFonts w:hint="eastAsia"/>
          <w:color w:val="000000" w:themeColor="text1"/>
        </w:rPr>
        <w:t>持續</w:t>
      </w:r>
      <w:r w:rsidRPr="008B619A">
        <w:rPr>
          <w:rFonts w:hint="eastAsia"/>
          <w:color w:val="000000" w:themeColor="text1"/>
        </w:rPr>
        <w:t>維持基礎科學研究經費之穩定，並優予支持計畫研究人力。強化推動學界人才培育方面：為長期且系統性培育我國科研人才，將依據科研人才的研究職涯階段，兼容人才深耕、厚實中堅至追求頂尖，</w:t>
      </w:r>
      <w:r w:rsidR="00FB2B81" w:rsidRPr="008B619A">
        <w:rPr>
          <w:rFonts w:hint="eastAsia"/>
          <w:color w:val="000000" w:themeColor="text1"/>
        </w:rPr>
        <w:t>該部</w:t>
      </w:r>
      <w:r w:rsidRPr="008B619A">
        <w:rPr>
          <w:rFonts w:hint="eastAsia"/>
          <w:color w:val="000000" w:themeColor="text1"/>
        </w:rPr>
        <w:t>自</w:t>
      </w:r>
      <w:r w:rsidR="00EB5300" w:rsidRPr="008B619A">
        <w:rPr>
          <w:rFonts w:hint="eastAsia"/>
          <w:color w:val="000000" w:themeColor="text1"/>
        </w:rPr>
        <w:t>本</w:t>
      </w:r>
      <w:r w:rsidRPr="008B619A">
        <w:rPr>
          <w:rFonts w:hint="eastAsia"/>
          <w:color w:val="000000" w:themeColor="text1"/>
        </w:rPr>
        <w:t>年起推</w:t>
      </w:r>
      <w:r w:rsidRPr="008B619A">
        <w:rPr>
          <w:rFonts w:hint="eastAsia"/>
          <w:color w:val="000000" w:themeColor="text1"/>
        </w:rPr>
        <w:lastRenderedPageBreak/>
        <w:t>動如2030跨世代年輕學者、厚實中堅，以及跨領域整合型研究等多項專案計畫，完善科研人才結構，布局未來頂尖人才。</w:t>
      </w:r>
    </w:p>
    <w:p w14:paraId="5F5E6478" w14:textId="77777777" w:rsidR="00B56C2D" w:rsidRPr="008B619A" w:rsidRDefault="00B56C2D" w:rsidP="00B56C2D">
      <w:pPr>
        <w:pStyle w:val="4"/>
        <w:numPr>
          <w:ilvl w:val="3"/>
          <w:numId w:val="12"/>
        </w:numPr>
        <w:rPr>
          <w:color w:val="000000" w:themeColor="text1"/>
        </w:rPr>
      </w:pPr>
      <w:r w:rsidRPr="008B619A">
        <w:rPr>
          <w:rFonts w:hint="eastAsia"/>
          <w:color w:val="000000" w:themeColor="text1"/>
        </w:rPr>
        <w:t>為強化博士級科研人力，科技部從優核給兼任博碩士生薪資支給，支持博碩士生從事研究工作。此外，補助大學校院培養優秀博士生，每名博士生每月獎學金至少4萬元。其他如千里馬計畫、博士後研究人員學術研究獎，培育博士生及博士後人員；補助學研機構延攬研究學者在國內執行中長期研究計畫，或在國外執行與科技部簽訂雙邊合作協定之重大國際合作計畫之相關計畫，以提升我國學術研究水準。</w:t>
      </w:r>
    </w:p>
    <w:p w14:paraId="3DB09083" w14:textId="6ADA49A6" w:rsidR="00850B0B" w:rsidRPr="008B619A" w:rsidRDefault="00693183" w:rsidP="006400F0">
      <w:pPr>
        <w:pStyle w:val="3"/>
        <w:rPr>
          <w:bCs w:val="0"/>
          <w:color w:val="000000" w:themeColor="text1"/>
        </w:rPr>
      </w:pPr>
      <w:r w:rsidRPr="008B619A">
        <w:rPr>
          <w:rFonts w:hint="eastAsia"/>
          <w:color w:val="000000" w:themeColor="text1"/>
        </w:rPr>
        <w:t>然而</w:t>
      </w:r>
      <w:r w:rsidR="0049565C" w:rsidRPr="008B619A">
        <w:rPr>
          <w:rFonts w:hint="eastAsia"/>
          <w:color w:val="000000" w:themeColor="text1"/>
        </w:rPr>
        <w:t>，</w:t>
      </w:r>
      <w:r w:rsidR="00676ADF" w:rsidRPr="008B619A">
        <w:rPr>
          <w:rFonts w:hint="eastAsia"/>
          <w:color w:val="000000" w:themeColor="text1"/>
        </w:rPr>
        <w:t>綜</w:t>
      </w:r>
      <w:r w:rsidR="004977F9" w:rsidRPr="008B619A">
        <w:rPr>
          <w:rFonts w:hint="eastAsia"/>
          <w:color w:val="000000" w:themeColor="text1"/>
        </w:rPr>
        <w:t>觀我國高教擴張與人口結構趨勢背道而馳，</w:t>
      </w:r>
      <w:r w:rsidR="00676ADF" w:rsidRPr="008B619A">
        <w:rPr>
          <w:rFonts w:hint="eastAsia"/>
          <w:color w:val="000000" w:themeColor="text1"/>
        </w:rPr>
        <w:t>研究所生</w:t>
      </w:r>
      <w:r w:rsidR="00C07844" w:rsidRPr="008B619A">
        <w:rPr>
          <w:rFonts w:hint="eastAsia"/>
          <w:color w:val="000000" w:themeColor="text1"/>
        </w:rPr>
        <w:t>源難</w:t>
      </w:r>
      <w:r w:rsidR="00676ADF" w:rsidRPr="008B619A">
        <w:rPr>
          <w:rFonts w:hint="eastAsia"/>
          <w:color w:val="000000" w:themeColor="text1"/>
        </w:rPr>
        <w:t>以完全對應出生數，</w:t>
      </w:r>
      <w:r w:rsidR="004977F9" w:rsidRPr="008B619A">
        <w:rPr>
          <w:rFonts w:hint="eastAsia"/>
          <w:color w:val="000000" w:themeColor="text1"/>
        </w:rPr>
        <w:t>引發之效應迄未有所解決。</w:t>
      </w:r>
      <w:r w:rsidR="00783B0C" w:rsidRPr="008B619A">
        <w:rPr>
          <w:rFonts w:hint="eastAsia"/>
          <w:color w:val="000000" w:themeColor="text1"/>
        </w:rPr>
        <w:t>目前相關</w:t>
      </w:r>
      <w:r w:rsidR="0049565C" w:rsidRPr="008B619A">
        <w:rPr>
          <w:rFonts w:hint="eastAsia"/>
          <w:color w:val="000000" w:themeColor="text1"/>
        </w:rPr>
        <w:t>政策</w:t>
      </w:r>
      <w:r w:rsidR="00783B0C" w:rsidRPr="008B619A">
        <w:rPr>
          <w:rFonts w:hint="eastAsia"/>
          <w:color w:val="000000" w:themeColor="text1"/>
        </w:rPr>
        <w:t>之</w:t>
      </w:r>
      <w:r w:rsidR="00452F0B" w:rsidRPr="008B619A">
        <w:rPr>
          <w:rFonts w:hint="eastAsia"/>
          <w:color w:val="000000" w:themeColor="text1"/>
        </w:rPr>
        <w:t>實務</w:t>
      </w:r>
      <w:r w:rsidR="004F095A" w:rsidRPr="008B619A">
        <w:rPr>
          <w:rFonts w:hint="eastAsia"/>
          <w:color w:val="000000" w:themeColor="text1"/>
        </w:rPr>
        <w:t>建議</w:t>
      </w:r>
      <w:r w:rsidR="0049565C" w:rsidRPr="008B619A">
        <w:rPr>
          <w:rFonts w:hint="eastAsia"/>
          <w:color w:val="000000" w:themeColor="text1"/>
        </w:rPr>
        <w:t>方面，</w:t>
      </w:r>
      <w:r w:rsidRPr="008B619A">
        <w:rPr>
          <w:rFonts w:hint="eastAsia"/>
          <w:color w:val="000000" w:themeColor="text1"/>
        </w:rPr>
        <w:t>另依本院蒐集</w:t>
      </w:r>
      <w:r w:rsidR="00F65453" w:rsidRPr="008B619A">
        <w:rPr>
          <w:rFonts w:hint="eastAsia"/>
          <w:color w:val="000000" w:themeColor="text1"/>
        </w:rPr>
        <w:t>專家意見復稱，</w:t>
      </w:r>
      <w:r w:rsidR="00F65453" w:rsidRPr="008B619A">
        <w:rPr>
          <w:rFonts w:hAnsi="標楷體" w:hint="eastAsia"/>
          <w:color w:val="000000" w:themeColor="text1"/>
        </w:rPr>
        <w:t>「</w:t>
      </w:r>
      <w:r w:rsidR="00F65453" w:rsidRPr="008B619A">
        <w:rPr>
          <w:rFonts w:hint="eastAsia"/>
          <w:color w:val="000000" w:themeColor="text1"/>
        </w:rPr>
        <w:t>政府讓許多不適合大學成立博士班，在計畫審核時對學術深度要求不夠嚴格，這樣的做法會讓許多地方都生產大量博士，參差不齊的論文品質造成媒體有機會放大一些品質不佳的博士論文和就業個案，造成不良觀感</w:t>
      </w:r>
      <w:r w:rsidR="00F65453" w:rsidRPr="008B619A">
        <w:rPr>
          <w:rFonts w:hAnsi="標楷體" w:hint="eastAsia"/>
          <w:color w:val="000000" w:themeColor="text1"/>
        </w:rPr>
        <w:t>」</w:t>
      </w:r>
      <w:r w:rsidRPr="008B619A">
        <w:rPr>
          <w:rFonts w:hAnsi="標楷體" w:hint="eastAsia"/>
          <w:color w:val="000000" w:themeColor="text1"/>
        </w:rPr>
        <w:t>等語</w:t>
      </w:r>
      <w:r w:rsidR="007D35FC" w:rsidRPr="008B619A">
        <w:rPr>
          <w:rFonts w:hAnsi="標楷體" w:hint="eastAsia"/>
          <w:color w:val="000000" w:themeColor="text1"/>
        </w:rPr>
        <w:t>。及本院110年5月5日邀集各部會座談會議，據科技部主管人員</w:t>
      </w:r>
      <w:r w:rsidR="007A298B" w:rsidRPr="008B619A">
        <w:rPr>
          <w:rFonts w:hAnsi="標楷體" w:hint="eastAsia"/>
          <w:color w:val="000000" w:themeColor="text1"/>
        </w:rPr>
        <w:t>復</w:t>
      </w:r>
      <w:r w:rsidR="007D35FC" w:rsidRPr="008B619A">
        <w:rPr>
          <w:rFonts w:hAnsi="標楷體" w:hint="eastAsia"/>
          <w:color w:val="000000" w:themeColor="text1"/>
        </w:rPr>
        <w:t>指出</w:t>
      </w:r>
      <w:r w:rsidR="00886A42" w:rsidRPr="008B619A">
        <w:rPr>
          <w:rFonts w:hAnsi="標楷體" w:hint="eastAsia"/>
          <w:color w:val="000000" w:themeColor="text1"/>
        </w:rPr>
        <w:t>，</w:t>
      </w:r>
      <w:r w:rsidR="00C017D7" w:rsidRPr="008B619A">
        <w:rPr>
          <w:rFonts w:hAnsi="標楷體" w:hint="eastAsia"/>
          <w:color w:val="000000" w:themeColor="text1"/>
        </w:rPr>
        <w:t>「</w:t>
      </w:r>
      <w:r w:rsidR="00C017D7" w:rsidRPr="008B619A">
        <w:rPr>
          <w:color w:val="000000" w:themeColor="text1"/>
          <w:szCs w:val="32"/>
        </w:rPr>
        <w:t>博士人才紮根部分，第一部分，要想到如何讓學生從國小到高中</w:t>
      </w:r>
      <w:r w:rsidR="00C017D7" w:rsidRPr="008B619A">
        <w:rPr>
          <w:rFonts w:hAnsi="標楷體" w:hint="eastAsia"/>
          <w:color w:val="000000" w:themeColor="text1"/>
          <w:szCs w:val="32"/>
        </w:rPr>
        <w:t>『</w:t>
      </w:r>
      <w:r w:rsidR="00C017D7" w:rsidRPr="008B619A">
        <w:rPr>
          <w:color w:val="000000" w:themeColor="text1"/>
          <w:szCs w:val="32"/>
        </w:rPr>
        <w:t>重視STEM</w:t>
      </w:r>
      <w:r w:rsidR="00D93C56" w:rsidRPr="008B619A">
        <w:rPr>
          <w:rFonts w:hAnsi="標楷體" w:hint="eastAsia"/>
          <w:color w:val="000000" w:themeColor="text1"/>
          <w:szCs w:val="32"/>
        </w:rPr>
        <w:t>』</w:t>
      </w:r>
      <w:r w:rsidR="00C017D7" w:rsidRPr="008B619A">
        <w:rPr>
          <w:color w:val="000000" w:themeColor="text1"/>
          <w:szCs w:val="32"/>
        </w:rPr>
        <w:t>，以及</w:t>
      </w:r>
      <w:r w:rsidR="00C017D7" w:rsidRPr="008B619A">
        <w:rPr>
          <w:rFonts w:hAnsi="標楷體" w:hint="eastAsia"/>
          <w:color w:val="000000" w:themeColor="text1"/>
          <w:szCs w:val="32"/>
        </w:rPr>
        <w:t>『</w:t>
      </w:r>
      <w:r w:rsidR="00C017D7" w:rsidRPr="008B619A">
        <w:rPr>
          <w:color w:val="000000" w:themeColor="text1"/>
          <w:szCs w:val="32"/>
        </w:rPr>
        <w:t>提高女力科研高端人才</w:t>
      </w:r>
      <w:r w:rsidR="00224E0C" w:rsidRPr="008B619A">
        <w:rPr>
          <w:rFonts w:hAnsi="標楷體" w:hint="eastAsia"/>
          <w:color w:val="000000" w:themeColor="text1"/>
          <w:szCs w:val="32"/>
        </w:rPr>
        <w:t>』</w:t>
      </w:r>
      <w:r w:rsidR="00C017D7" w:rsidRPr="008B619A">
        <w:rPr>
          <w:color w:val="000000" w:themeColor="text1"/>
          <w:szCs w:val="32"/>
        </w:rPr>
        <w:t>；第二部分是做</w:t>
      </w:r>
      <w:r w:rsidR="00C017D7" w:rsidRPr="008B619A">
        <w:rPr>
          <w:rFonts w:hAnsi="標楷體" w:hint="eastAsia"/>
          <w:color w:val="000000" w:themeColor="text1"/>
          <w:szCs w:val="32"/>
        </w:rPr>
        <w:t>『</w:t>
      </w:r>
      <w:r w:rsidR="00C017D7" w:rsidRPr="008B619A">
        <w:rPr>
          <w:color w:val="000000" w:themeColor="text1"/>
          <w:szCs w:val="32"/>
        </w:rPr>
        <w:t>轉型</w:t>
      </w:r>
      <w:r w:rsidR="00224E0C" w:rsidRPr="008B619A">
        <w:rPr>
          <w:rFonts w:hAnsi="標楷體" w:hint="eastAsia"/>
          <w:color w:val="000000" w:themeColor="text1"/>
          <w:szCs w:val="32"/>
        </w:rPr>
        <w:t>』</w:t>
      </w:r>
      <w:r w:rsidR="00C017D7" w:rsidRPr="008B619A">
        <w:rPr>
          <w:color w:val="000000" w:themeColor="text1"/>
          <w:szCs w:val="32"/>
        </w:rPr>
        <w:t>，因應整個科技進展去做運作，跨域的學習與整合是很重要的，要</w:t>
      </w:r>
      <w:r w:rsidR="00C017D7" w:rsidRPr="008B619A">
        <w:rPr>
          <w:rFonts w:hAnsi="標楷體" w:hint="eastAsia"/>
          <w:color w:val="000000" w:themeColor="text1"/>
          <w:szCs w:val="32"/>
        </w:rPr>
        <w:t>『</w:t>
      </w:r>
      <w:r w:rsidR="00C017D7" w:rsidRPr="008B619A">
        <w:rPr>
          <w:color w:val="000000" w:themeColor="text1"/>
          <w:szCs w:val="32"/>
        </w:rPr>
        <w:t>培育</w:t>
      </w:r>
      <w:r w:rsidR="00C017D7" w:rsidRPr="008B619A">
        <w:rPr>
          <w:color w:val="000000" w:themeColor="text1"/>
          <w:szCs w:val="32"/>
        </w:rPr>
        <w:t>π</w:t>
      </w:r>
      <w:r w:rsidR="00C017D7" w:rsidRPr="008B619A">
        <w:rPr>
          <w:color w:val="000000" w:themeColor="text1"/>
          <w:szCs w:val="32"/>
        </w:rPr>
        <w:t>（PI）型的人才</w:t>
      </w:r>
      <w:r w:rsidR="00224E0C" w:rsidRPr="008B619A">
        <w:rPr>
          <w:rFonts w:hAnsi="標楷體" w:hint="eastAsia"/>
          <w:color w:val="000000" w:themeColor="text1"/>
          <w:szCs w:val="32"/>
        </w:rPr>
        <w:t>』</w:t>
      </w:r>
      <w:r w:rsidR="00C017D7" w:rsidRPr="008B619A">
        <w:rPr>
          <w:color w:val="000000" w:themeColor="text1"/>
          <w:szCs w:val="32"/>
        </w:rPr>
        <w:t>，並且做</w:t>
      </w:r>
      <w:r w:rsidR="00C017D7" w:rsidRPr="008B619A">
        <w:rPr>
          <w:rFonts w:hAnsi="標楷體" w:hint="eastAsia"/>
          <w:color w:val="000000" w:themeColor="text1"/>
          <w:szCs w:val="32"/>
        </w:rPr>
        <w:t>『</w:t>
      </w:r>
      <w:r w:rsidR="00C017D7" w:rsidRPr="008B619A">
        <w:rPr>
          <w:color w:val="000000" w:themeColor="text1"/>
          <w:szCs w:val="32"/>
        </w:rPr>
        <w:t>拔尖</w:t>
      </w:r>
      <w:r w:rsidR="00224E0C" w:rsidRPr="008B619A">
        <w:rPr>
          <w:rFonts w:hAnsi="標楷體" w:hint="eastAsia"/>
          <w:color w:val="000000" w:themeColor="text1"/>
          <w:szCs w:val="32"/>
        </w:rPr>
        <w:t>』</w:t>
      </w:r>
      <w:r w:rsidR="00C017D7" w:rsidRPr="008B619A">
        <w:rPr>
          <w:color w:val="000000" w:themeColor="text1"/>
          <w:szCs w:val="32"/>
        </w:rPr>
        <w:t>，把各領域的研究人才躍昇，推動2030跨世代年輕學者方案。還有</w:t>
      </w:r>
      <w:r w:rsidR="005738D6" w:rsidRPr="008B619A">
        <w:rPr>
          <w:rFonts w:hint="eastAsia"/>
          <w:color w:val="000000" w:themeColor="text1"/>
          <w:szCs w:val="32"/>
        </w:rPr>
        <w:t>4</w:t>
      </w:r>
      <w:r w:rsidR="00C017D7" w:rsidRPr="008B619A">
        <w:rPr>
          <w:color w:val="000000" w:themeColor="text1"/>
          <w:szCs w:val="32"/>
        </w:rPr>
        <w:t>大領域的加大深度，以及跨領域合作的策略，讓中生代的學者能夠穩定下</w:t>
      </w:r>
      <w:r w:rsidR="005738D6" w:rsidRPr="008B619A">
        <w:rPr>
          <w:rFonts w:hint="eastAsia"/>
          <w:color w:val="000000" w:themeColor="text1"/>
          <w:szCs w:val="32"/>
        </w:rPr>
        <w:t>……</w:t>
      </w:r>
      <w:r w:rsidR="00C017D7" w:rsidRPr="008B619A">
        <w:rPr>
          <w:rFonts w:hAnsi="標楷體" w:hint="eastAsia"/>
          <w:color w:val="000000" w:themeColor="text1"/>
        </w:rPr>
        <w:t>」</w:t>
      </w:r>
      <w:r w:rsidR="005738D6" w:rsidRPr="008B619A">
        <w:rPr>
          <w:rFonts w:hAnsi="標楷體" w:hint="eastAsia"/>
          <w:color w:val="000000" w:themeColor="text1"/>
        </w:rPr>
        <w:t>等語</w:t>
      </w:r>
      <w:r w:rsidR="007D35FC" w:rsidRPr="008B619A">
        <w:rPr>
          <w:rFonts w:hAnsi="標楷體" w:hint="eastAsia"/>
          <w:color w:val="000000" w:themeColor="text1"/>
        </w:rPr>
        <w:t>。爰上述</w:t>
      </w:r>
      <w:r w:rsidR="00F267AE" w:rsidRPr="008B619A">
        <w:rPr>
          <w:rFonts w:hAnsi="標楷體" w:hint="eastAsia"/>
          <w:color w:val="000000" w:themeColor="text1"/>
        </w:rPr>
        <w:t>針對</w:t>
      </w:r>
      <w:r w:rsidR="00FC4CEE" w:rsidRPr="008B619A">
        <w:rPr>
          <w:rFonts w:hAnsi="標楷體" w:hint="eastAsia"/>
          <w:color w:val="000000" w:themeColor="text1"/>
        </w:rPr>
        <w:t>整</w:t>
      </w:r>
      <w:r w:rsidR="00532FD2" w:rsidRPr="008B619A">
        <w:rPr>
          <w:rFonts w:hAnsi="標楷體" w:hint="eastAsia"/>
          <w:color w:val="000000" w:themeColor="text1"/>
        </w:rPr>
        <w:t>體</w:t>
      </w:r>
      <w:r w:rsidR="00FC4CEE" w:rsidRPr="008B619A">
        <w:rPr>
          <w:rFonts w:hAnsi="標楷體" w:hint="eastAsia"/>
          <w:color w:val="000000" w:themeColor="text1"/>
        </w:rPr>
        <w:t>博士人才培育之品</w:t>
      </w:r>
      <w:r w:rsidR="00FC4CEE" w:rsidRPr="008B619A">
        <w:rPr>
          <w:rFonts w:hAnsi="標楷體" w:hint="eastAsia"/>
          <w:color w:val="000000" w:themeColor="text1"/>
        </w:rPr>
        <w:lastRenderedPageBreak/>
        <w:t>質</w:t>
      </w:r>
      <w:r w:rsidR="00042EA5" w:rsidRPr="008B619A">
        <w:rPr>
          <w:rFonts w:hAnsi="標楷體" w:hint="eastAsia"/>
          <w:color w:val="000000" w:themeColor="text1"/>
        </w:rPr>
        <w:t>優化，以及針對教育階段能及早</w:t>
      </w:r>
      <w:r w:rsidR="007D35FC" w:rsidRPr="008B619A">
        <w:rPr>
          <w:rFonts w:hAnsi="標楷體" w:hint="eastAsia"/>
          <w:color w:val="000000" w:themeColor="text1"/>
        </w:rPr>
        <w:t>向下紮根等建議</w:t>
      </w:r>
      <w:r w:rsidR="00FC4CEE" w:rsidRPr="008B619A">
        <w:rPr>
          <w:rFonts w:hAnsi="標楷體" w:hint="eastAsia"/>
          <w:color w:val="000000" w:themeColor="text1"/>
        </w:rPr>
        <w:t>，</w:t>
      </w:r>
      <w:r w:rsidR="00505B3F" w:rsidRPr="008B619A">
        <w:rPr>
          <w:rFonts w:hAnsi="標楷體" w:hint="eastAsia"/>
          <w:color w:val="000000" w:themeColor="text1"/>
        </w:rPr>
        <w:t>事關國家長久博士人才發展機制，</w:t>
      </w:r>
      <w:r w:rsidR="00FC4CEE" w:rsidRPr="008B619A">
        <w:rPr>
          <w:rFonts w:hAnsi="標楷體" w:hint="eastAsia"/>
          <w:color w:val="000000" w:themeColor="text1"/>
        </w:rPr>
        <w:t>殊值政府</w:t>
      </w:r>
      <w:r w:rsidR="007D35FC" w:rsidRPr="008B619A">
        <w:rPr>
          <w:rFonts w:hAnsi="標楷體" w:hint="eastAsia"/>
          <w:color w:val="000000" w:themeColor="text1"/>
        </w:rPr>
        <w:t>研議</w:t>
      </w:r>
      <w:r w:rsidR="00FC4CEE" w:rsidRPr="008B619A">
        <w:rPr>
          <w:rFonts w:hAnsi="標楷體" w:hint="eastAsia"/>
          <w:color w:val="000000" w:themeColor="text1"/>
        </w:rPr>
        <w:t>參酌。</w:t>
      </w:r>
    </w:p>
    <w:p w14:paraId="68092D28" w14:textId="3DDAA076" w:rsidR="008D3FB8" w:rsidRPr="008B619A" w:rsidRDefault="00D649EA" w:rsidP="00FE5118">
      <w:pPr>
        <w:pStyle w:val="3"/>
        <w:rPr>
          <w:color w:val="000000" w:themeColor="text1"/>
        </w:rPr>
      </w:pPr>
      <w:r w:rsidRPr="008B619A">
        <w:rPr>
          <w:rFonts w:hint="eastAsia"/>
          <w:color w:val="000000" w:themeColor="text1"/>
        </w:rPr>
        <w:t>茲</w:t>
      </w:r>
      <w:r w:rsidR="005359DB" w:rsidRPr="008B619A">
        <w:rPr>
          <w:rFonts w:hint="eastAsia"/>
          <w:color w:val="000000" w:themeColor="text1"/>
        </w:rPr>
        <w:t>參酌國際</w:t>
      </w:r>
      <w:r w:rsidR="009E1985" w:rsidRPr="008B619A">
        <w:rPr>
          <w:rFonts w:hint="eastAsia"/>
          <w:color w:val="000000" w:themeColor="text1"/>
        </w:rPr>
        <w:t>教育</w:t>
      </w:r>
      <w:r w:rsidR="005359DB" w:rsidRPr="008B619A">
        <w:rPr>
          <w:rFonts w:hint="eastAsia"/>
          <w:color w:val="000000" w:themeColor="text1"/>
        </w:rPr>
        <w:t>比較</w:t>
      </w:r>
      <w:r w:rsidR="009E1985" w:rsidRPr="008B619A">
        <w:rPr>
          <w:rFonts w:hint="eastAsia"/>
          <w:color w:val="000000" w:themeColor="text1"/>
        </w:rPr>
        <w:t>分析</w:t>
      </w:r>
      <w:r w:rsidR="005359DB" w:rsidRPr="008B619A">
        <w:rPr>
          <w:rFonts w:hint="eastAsia"/>
          <w:color w:val="000000" w:themeColor="text1"/>
        </w:rPr>
        <w:t>顯示</w:t>
      </w:r>
      <w:r w:rsidR="00BA72C0" w:rsidRPr="008B619A">
        <w:rPr>
          <w:rStyle w:val="aff1"/>
          <w:bCs w:val="0"/>
          <w:color w:val="000000" w:themeColor="text1"/>
        </w:rPr>
        <w:footnoteReference w:id="11"/>
      </w:r>
      <w:r w:rsidR="005359DB" w:rsidRPr="008B619A">
        <w:rPr>
          <w:rFonts w:hint="eastAsia"/>
          <w:color w:val="000000" w:themeColor="text1"/>
        </w:rPr>
        <w:t>，</w:t>
      </w:r>
      <w:r w:rsidR="005359DB" w:rsidRPr="008B619A">
        <w:rPr>
          <w:color w:val="000000" w:themeColor="text1"/>
        </w:rPr>
        <w:t>美國在20世紀中揭開了高等教育大眾化序幕，讓中產階級子女有更多上大學的機會；其後，西歐國家、日本和韓國陸續跟進，逐漸擴及世界各地。近20年全球高等教育入學率已從14%提高至32%，同一時期總人口中半數以上具有大學文憑的國家，也從5國躍升至54國（駐波士頓辦事處教育組，2015a）。儘管接受高等教育在各國仍普遍被視為是向上社會流動的關鍵要素，但隨著大學學費的調漲，許多弱勢家庭學生必須舉債支應大學學費，加上畢業生就業率與薪資收入往往不如預期，遂讓愈來愈多的學生及其家長，甚至是學者開始質疑「大學是否還值得投資？」（駐波士頓辦事處教育組，2014）。</w:t>
      </w:r>
      <w:r w:rsidR="00F052A5" w:rsidRPr="008B619A">
        <w:rPr>
          <w:rFonts w:hint="eastAsia"/>
          <w:color w:val="000000" w:themeColor="text1"/>
        </w:rPr>
        <w:t>爰</w:t>
      </w:r>
      <w:r w:rsidR="009E1985" w:rsidRPr="008B619A">
        <w:rPr>
          <w:rFonts w:hint="eastAsia"/>
          <w:bCs w:val="0"/>
          <w:color w:val="000000" w:themeColor="text1"/>
        </w:rPr>
        <w:t>為降低高等教育愈來愈高的投資風險，美國所採取的具體策略</w:t>
      </w:r>
      <w:r w:rsidR="00183CD1" w:rsidRPr="008B619A">
        <w:rPr>
          <w:rFonts w:hint="eastAsia"/>
          <w:bCs w:val="0"/>
          <w:color w:val="000000" w:themeColor="text1"/>
        </w:rPr>
        <w:t>摘述</w:t>
      </w:r>
      <w:r w:rsidR="009E1985" w:rsidRPr="008B619A">
        <w:rPr>
          <w:rFonts w:hint="eastAsia"/>
          <w:bCs w:val="0"/>
          <w:color w:val="000000" w:themeColor="text1"/>
        </w:rPr>
        <w:t>如下</w:t>
      </w:r>
      <w:r w:rsidR="008D3FB8" w:rsidRPr="008B619A">
        <w:rPr>
          <w:rFonts w:hint="eastAsia"/>
          <w:bCs w:val="0"/>
          <w:color w:val="000000" w:themeColor="text1"/>
        </w:rPr>
        <w:t>：</w:t>
      </w:r>
    </w:p>
    <w:p w14:paraId="0A220D0B" w14:textId="497AE24A" w:rsidR="005359DB" w:rsidRPr="008B619A" w:rsidRDefault="009E1985" w:rsidP="008D3FB8">
      <w:pPr>
        <w:pStyle w:val="4"/>
        <w:rPr>
          <w:color w:val="000000" w:themeColor="text1"/>
        </w:rPr>
      </w:pPr>
      <w:r w:rsidRPr="008B619A">
        <w:rPr>
          <w:rFonts w:hint="eastAsia"/>
          <w:color w:val="000000" w:themeColor="text1"/>
        </w:rPr>
        <w:t>資訊公開：要求大學提供更多資訊來協助學生選校抉擇</w:t>
      </w:r>
      <w:r w:rsidR="00453FDF" w:rsidRPr="008B619A">
        <w:rPr>
          <w:rFonts w:hint="eastAsia"/>
          <w:color w:val="000000" w:themeColor="text1"/>
        </w:rPr>
        <w:t>；</w:t>
      </w:r>
      <w:r w:rsidR="008D3FB8" w:rsidRPr="008B619A">
        <w:rPr>
          <w:color w:val="000000" w:themeColor="text1"/>
        </w:rPr>
        <w:t>其中最常見的策略即為「資訊公開」，美國前總統歐巴馬在2015年時引進一個「大學評分系統」，可以估計進入大學可能花費的成本，學生輟學率、畢業率，及其畢業後可能賺取的薪資金額。旨在協助學生瞭解現有學雜費下，哪些大學院校可能提供最好資源（駐休士頓辦事處教育組，2013b）。</w:t>
      </w:r>
    </w:p>
    <w:p w14:paraId="0A48028F" w14:textId="521BFC1B" w:rsidR="004407B0" w:rsidRPr="008B619A" w:rsidRDefault="009F36A5" w:rsidP="008D3FB8">
      <w:pPr>
        <w:pStyle w:val="4"/>
        <w:rPr>
          <w:color w:val="000000" w:themeColor="text1"/>
        </w:rPr>
      </w:pPr>
      <w:r w:rsidRPr="008B619A">
        <w:rPr>
          <w:rFonts w:hint="eastAsia"/>
          <w:color w:val="000000" w:themeColor="text1"/>
        </w:rPr>
        <w:t>經費補助：獎勵在協助弱勢學生方面表現卓越的公立大學</w:t>
      </w:r>
      <w:r w:rsidR="00570743" w:rsidRPr="008B619A">
        <w:rPr>
          <w:rFonts w:hint="eastAsia"/>
          <w:color w:val="000000" w:themeColor="text1"/>
        </w:rPr>
        <w:t>，例如位於美墨邊境的德州農工國際大</w:t>
      </w:r>
      <w:r w:rsidR="00570743" w:rsidRPr="008B619A">
        <w:rPr>
          <w:rFonts w:hint="eastAsia"/>
          <w:color w:val="000000" w:themeColor="text1"/>
        </w:rPr>
        <w:lastRenderedPageBreak/>
        <w:t>學（Texas A&amp;M International University），幫助其90%以上墨西哥裔學生在畢業後取得全國平均值以上的年收入（駐舊金山辦事處教育組，2015）。</w:t>
      </w:r>
    </w:p>
    <w:p w14:paraId="209F0257" w14:textId="170647CD" w:rsidR="00FC19A9" w:rsidRPr="008B619A" w:rsidRDefault="00ED14AA" w:rsidP="00383553">
      <w:pPr>
        <w:pStyle w:val="3"/>
        <w:rPr>
          <w:color w:val="000000" w:themeColor="text1"/>
        </w:rPr>
      </w:pPr>
      <w:r w:rsidRPr="008B619A">
        <w:rPr>
          <w:rFonts w:hint="eastAsia"/>
          <w:color w:val="000000" w:themeColor="text1"/>
        </w:rPr>
        <w:t>綜上，</w:t>
      </w:r>
      <w:r w:rsidR="008435ED" w:rsidRPr="008B619A">
        <w:rPr>
          <w:rFonts w:hint="eastAsia"/>
          <w:color w:val="000000" w:themeColor="text1"/>
        </w:rPr>
        <w:t>與全球</w:t>
      </w:r>
      <w:r w:rsidR="008176F9" w:rsidRPr="008B619A">
        <w:rPr>
          <w:rFonts w:hint="eastAsia"/>
          <w:color w:val="000000" w:themeColor="text1"/>
        </w:rPr>
        <w:t>發展</w:t>
      </w:r>
      <w:r w:rsidR="008435ED" w:rsidRPr="008B619A">
        <w:rPr>
          <w:rFonts w:hint="eastAsia"/>
          <w:color w:val="000000" w:themeColor="text1"/>
        </w:rPr>
        <w:t>趨勢類似，</w:t>
      </w:r>
      <w:r w:rsidR="00FC19A9" w:rsidRPr="008B619A">
        <w:rPr>
          <w:rFonts w:hint="eastAsia"/>
          <w:color w:val="000000" w:themeColor="text1"/>
        </w:rPr>
        <w:t>我國</w:t>
      </w:r>
      <w:r w:rsidR="005D1F7F" w:rsidRPr="008B619A">
        <w:rPr>
          <w:rFonts w:hint="eastAsia"/>
          <w:color w:val="000000" w:themeColor="text1"/>
        </w:rPr>
        <w:t>總人口數自2020年起負成長，</w:t>
      </w:r>
      <w:r w:rsidR="003034F4" w:rsidRPr="008B619A">
        <w:rPr>
          <w:rFonts w:hint="eastAsia"/>
          <w:color w:val="000000" w:themeColor="text1"/>
        </w:rPr>
        <w:t>然</w:t>
      </w:r>
      <w:r w:rsidR="00B6299E" w:rsidRPr="008B619A">
        <w:rPr>
          <w:rFonts w:hint="eastAsia"/>
          <w:color w:val="000000" w:themeColor="text1"/>
        </w:rPr>
        <w:t>少子化、高齡化速度更趨顯著，研究所之生源雖未能完全對應人口出生數，綜觀過去高教擴張與人口結構趨勢背道而馳，引發之效應迄未能解決；以歷年研究所畢業生數規模增減及未來人數推估情形顯示，研究所畢業生自101學年計6.4萬人起逐年減少，迄107學年總數降為5.8萬人，預估至124學年將減至4.6萬人，較98學年減少1.7萬人（27.0%），平均年減約7百人，達1.3%；其中，博士畢業生人數呈現持續</w:t>
      </w:r>
      <w:r w:rsidR="00E1667A" w:rsidRPr="008B619A">
        <w:rPr>
          <w:rFonts w:hint="eastAsia"/>
          <w:color w:val="000000" w:themeColor="text1"/>
        </w:rPr>
        <w:t>下降</w:t>
      </w:r>
      <w:r w:rsidR="00B6299E" w:rsidRPr="008B619A">
        <w:rPr>
          <w:rFonts w:hint="eastAsia"/>
          <w:color w:val="000000" w:themeColor="text1"/>
        </w:rPr>
        <w:t>，107學年為3,306人，預估至124學年將減至3,288人，減幅為0.5%；近年政府推動多項強化就學就業措施，提供博士獎學金及多元發展等誘因，107、108學年博士新生分別為5,413人、5,590人，已然微幅提高博士新生就讀人數，惟我國在全球化浪潮及人口趨勢延燒下，各大專校院博士班勢將面臨「轉型」及「退場」等更嚴峻之挑戰，究相關需求及品質應如何鑑別，主管機關允宜針對高階人才發展策略、博士班最適規模、教育品質及相關就業評估等面向謀劃對策，未來國家人口政策乃至整體國際競爭力之長期布局，亟待政府加速統籌協調，前瞻思考因應</w:t>
      </w:r>
      <w:r w:rsidR="00DB1065" w:rsidRPr="008B619A">
        <w:rPr>
          <w:rFonts w:hint="eastAsia"/>
          <w:color w:val="000000" w:themeColor="text1"/>
        </w:rPr>
        <w:t>。</w:t>
      </w:r>
    </w:p>
    <w:p w14:paraId="7D41AEFB" w14:textId="77777777" w:rsidR="00FB4F39" w:rsidRPr="008B619A" w:rsidRDefault="00FB4F39" w:rsidP="0071610C">
      <w:pPr>
        <w:rPr>
          <w:color w:val="000000" w:themeColor="text1"/>
        </w:rPr>
      </w:pPr>
    </w:p>
    <w:p w14:paraId="70D15305" w14:textId="187CACE5" w:rsidR="004C452F" w:rsidRPr="008B619A" w:rsidRDefault="004C452F" w:rsidP="00600A39">
      <w:pPr>
        <w:pStyle w:val="2"/>
        <w:ind w:leftChars="101" w:left="1025"/>
        <w:rPr>
          <w:b/>
          <w:bCs w:val="0"/>
          <w:color w:val="000000" w:themeColor="text1"/>
        </w:rPr>
      </w:pPr>
      <w:bookmarkStart w:id="61" w:name="_Toc59803651"/>
      <w:bookmarkStart w:id="62" w:name="_Toc76980136"/>
      <w:r w:rsidRPr="008B619A">
        <w:rPr>
          <w:rFonts w:hint="eastAsia"/>
          <w:b/>
          <w:bCs w:val="0"/>
          <w:color w:val="000000" w:themeColor="text1"/>
        </w:rPr>
        <w:t>我國對內面臨高等教育「流浪博士」及大學轉型退場</w:t>
      </w:r>
      <w:r w:rsidR="00D04A17" w:rsidRPr="008B619A">
        <w:rPr>
          <w:rFonts w:hint="eastAsia"/>
          <w:b/>
          <w:bCs w:val="0"/>
          <w:color w:val="000000" w:themeColor="text1"/>
        </w:rPr>
        <w:t>之發展</w:t>
      </w:r>
      <w:r w:rsidRPr="008B619A">
        <w:rPr>
          <w:rFonts w:hint="eastAsia"/>
          <w:b/>
          <w:bCs w:val="0"/>
          <w:color w:val="000000" w:themeColor="text1"/>
        </w:rPr>
        <w:t>問題，</w:t>
      </w:r>
      <w:r w:rsidR="00CE115E" w:rsidRPr="008B619A">
        <w:rPr>
          <w:rFonts w:hint="eastAsia"/>
          <w:b/>
          <w:bCs w:val="0"/>
          <w:color w:val="000000" w:themeColor="text1"/>
        </w:rPr>
        <w:t>對</w:t>
      </w:r>
      <w:r w:rsidRPr="008B619A">
        <w:rPr>
          <w:rFonts w:hint="eastAsia"/>
          <w:b/>
          <w:bCs w:val="0"/>
          <w:color w:val="000000" w:themeColor="text1"/>
        </w:rPr>
        <w:t>外</w:t>
      </w:r>
      <w:r w:rsidR="00CE115E" w:rsidRPr="008B619A">
        <w:rPr>
          <w:rFonts w:hint="eastAsia"/>
          <w:b/>
          <w:bCs w:val="0"/>
          <w:color w:val="000000" w:themeColor="text1"/>
        </w:rPr>
        <w:t>則</w:t>
      </w:r>
      <w:r w:rsidRPr="008B619A">
        <w:rPr>
          <w:rFonts w:hint="eastAsia"/>
          <w:b/>
          <w:bCs w:val="0"/>
          <w:color w:val="000000" w:themeColor="text1"/>
        </w:rPr>
        <w:t>面對國際競爭</w:t>
      </w:r>
      <w:r w:rsidR="00576917" w:rsidRPr="008B619A">
        <w:rPr>
          <w:rFonts w:hint="eastAsia"/>
          <w:b/>
          <w:bCs w:val="0"/>
          <w:color w:val="000000" w:themeColor="text1"/>
        </w:rPr>
        <w:t>壓力</w:t>
      </w:r>
      <w:r w:rsidR="0022465D" w:rsidRPr="008B619A">
        <w:rPr>
          <w:rFonts w:hAnsi="標楷體" w:hint="eastAsia"/>
          <w:b/>
          <w:bCs w:val="0"/>
          <w:color w:val="000000" w:themeColor="text1"/>
        </w:rPr>
        <w:t>、</w:t>
      </w:r>
      <w:r w:rsidR="0022465D" w:rsidRPr="008B619A">
        <w:rPr>
          <w:rFonts w:hint="eastAsia"/>
          <w:b/>
          <w:bCs w:val="0"/>
          <w:color w:val="000000" w:themeColor="text1"/>
        </w:rPr>
        <w:t>政經體系</w:t>
      </w:r>
      <w:r w:rsidR="00A109B6" w:rsidRPr="008B619A">
        <w:rPr>
          <w:rFonts w:hint="eastAsia"/>
          <w:b/>
          <w:bCs w:val="0"/>
          <w:color w:val="000000" w:themeColor="text1"/>
        </w:rPr>
        <w:t>之</w:t>
      </w:r>
      <w:r w:rsidRPr="008B619A">
        <w:rPr>
          <w:rFonts w:hint="eastAsia"/>
          <w:b/>
          <w:bCs w:val="0"/>
          <w:color w:val="000000" w:themeColor="text1"/>
        </w:rPr>
        <w:t>多重</w:t>
      </w:r>
      <w:bookmarkEnd w:id="61"/>
      <w:r w:rsidR="00576917" w:rsidRPr="008B619A">
        <w:rPr>
          <w:rFonts w:hint="eastAsia"/>
          <w:b/>
          <w:bCs w:val="0"/>
          <w:color w:val="000000" w:themeColor="text1"/>
        </w:rPr>
        <w:t>威脅</w:t>
      </w:r>
      <w:r w:rsidR="00F75944" w:rsidRPr="008B619A">
        <w:rPr>
          <w:b/>
          <w:bCs w:val="0"/>
          <w:color w:val="000000" w:themeColor="text1"/>
        </w:rPr>
        <w:t>與日俱增</w:t>
      </w:r>
      <w:r w:rsidR="00B3537E" w:rsidRPr="008B619A">
        <w:rPr>
          <w:rFonts w:hint="eastAsia"/>
          <w:b/>
          <w:bCs w:val="0"/>
          <w:color w:val="000000" w:themeColor="text1"/>
        </w:rPr>
        <w:t>，</w:t>
      </w:r>
      <w:r w:rsidR="00D36E35" w:rsidRPr="008B619A">
        <w:rPr>
          <w:rFonts w:hint="eastAsia"/>
          <w:b/>
          <w:bCs w:val="0"/>
          <w:color w:val="000000" w:themeColor="text1"/>
        </w:rPr>
        <w:t>人才</w:t>
      </w:r>
      <w:r w:rsidR="008F74F7" w:rsidRPr="008B619A">
        <w:rPr>
          <w:rFonts w:hint="eastAsia"/>
          <w:b/>
          <w:bCs w:val="0"/>
          <w:color w:val="000000" w:themeColor="text1"/>
        </w:rPr>
        <w:t>需求</w:t>
      </w:r>
      <w:r w:rsidR="00D329BA" w:rsidRPr="008B619A">
        <w:rPr>
          <w:rFonts w:hint="eastAsia"/>
          <w:b/>
          <w:bCs w:val="0"/>
          <w:color w:val="000000" w:themeColor="text1"/>
        </w:rPr>
        <w:t>實</w:t>
      </w:r>
      <w:r w:rsidR="008F74F7" w:rsidRPr="008B619A">
        <w:rPr>
          <w:rFonts w:hint="eastAsia"/>
          <w:b/>
          <w:bCs w:val="0"/>
          <w:color w:val="000000" w:themeColor="text1"/>
        </w:rPr>
        <w:t>屬殷切，</w:t>
      </w:r>
      <w:r w:rsidR="00A109B6" w:rsidRPr="008B619A">
        <w:rPr>
          <w:rFonts w:hint="eastAsia"/>
          <w:b/>
          <w:bCs w:val="0"/>
          <w:color w:val="000000" w:themeColor="text1"/>
        </w:rPr>
        <w:t>然</w:t>
      </w:r>
      <w:r w:rsidR="000B5732" w:rsidRPr="008B619A">
        <w:rPr>
          <w:rFonts w:hint="eastAsia"/>
          <w:b/>
          <w:bCs w:val="0"/>
          <w:color w:val="000000" w:themeColor="text1"/>
        </w:rPr>
        <w:t>近年</w:t>
      </w:r>
      <w:r w:rsidR="00206E04" w:rsidRPr="008B619A">
        <w:rPr>
          <w:b/>
          <w:bCs w:val="0"/>
          <w:color w:val="000000" w:themeColor="text1"/>
        </w:rPr>
        <w:t>主要學制新生註冊率</w:t>
      </w:r>
      <w:r w:rsidR="003A2689" w:rsidRPr="008B619A">
        <w:rPr>
          <w:rFonts w:hint="eastAsia"/>
          <w:b/>
          <w:bCs w:val="0"/>
          <w:color w:val="000000" w:themeColor="text1"/>
        </w:rPr>
        <w:t>顯示</w:t>
      </w:r>
      <w:r w:rsidR="00206E04" w:rsidRPr="008B619A">
        <w:rPr>
          <w:rFonts w:hint="eastAsia"/>
          <w:b/>
          <w:bCs w:val="0"/>
          <w:color w:val="000000" w:themeColor="text1"/>
        </w:rPr>
        <w:t>，</w:t>
      </w:r>
      <w:r w:rsidR="00600A39" w:rsidRPr="008B619A">
        <w:rPr>
          <w:rFonts w:hint="eastAsia"/>
          <w:b/>
          <w:bCs w:val="0"/>
          <w:color w:val="000000" w:themeColor="text1"/>
        </w:rPr>
        <w:t>108學年度以博士班</w:t>
      </w:r>
      <w:r w:rsidR="00A109B6" w:rsidRPr="008B619A">
        <w:rPr>
          <w:rFonts w:hint="eastAsia"/>
          <w:b/>
          <w:bCs w:val="0"/>
          <w:color w:val="000000" w:themeColor="text1"/>
        </w:rPr>
        <w:t>之</w:t>
      </w:r>
      <w:r w:rsidR="00CE373D" w:rsidRPr="008B619A">
        <w:rPr>
          <w:rFonts w:hint="eastAsia"/>
          <w:b/>
          <w:bCs w:val="0"/>
          <w:color w:val="000000" w:themeColor="text1"/>
        </w:rPr>
        <w:t>89.1%</w:t>
      </w:r>
      <w:r w:rsidR="00600A39" w:rsidRPr="008B619A">
        <w:rPr>
          <w:rFonts w:hint="eastAsia"/>
          <w:b/>
          <w:bCs w:val="0"/>
          <w:color w:val="000000" w:themeColor="text1"/>
        </w:rPr>
        <w:t>最</w:t>
      </w:r>
      <w:r w:rsidR="00600A39" w:rsidRPr="008B619A">
        <w:rPr>
          <w:rFonts w:hint="eastAsia"/>
          <w:b/>
          <w:bCs w:val="0"/>
          <w:color w:val="000000" w:themeColor="text1"/>
        </w:rPr>
        <w:lastRenderedPageBreak/>
        <w:t>高，</w:t>
      </w:r>
      <w:r w:rsidR="00930DD5" w:rsidRPr="008B619A">
        <w:rPr>
          <w:b/>
          <w:bCs w:val="0"/>
          <w:color w:val="000000" w:themeColor="text1"/>
        </w:rPr>
        <w:t>10</w:t>
      </w:r>
      <w:r w:rsidR="0082332E" w:rsidRPr="008B619A">
        <w:rPr>
          <w:rFonts w:hint="eastAsia"/>
          <w:b/>
          <w:bCs w:val="0"/>
          <w:color w:val="000000" w:themeColor="text1"/>
        </w:rPr>
        <w:t>9</w:t>
      </w:r>
      <w:r w:rsidR="00930DD5" w:rsidRPr="008B619A">
        <w:rPr>
          <w:b/>
          <w:bCs w:val="0"/>
          <w:color w:val="000000" w:themeColor="text1"/>
        </w:rPr>
        <w:t>學年博士班</w:t>
      </w:r>
      <w:r w:rsidR="0073658A" w:rsidRPr="008B619A">
        <w:rPr>
          <w:rFonts w:hint="eastAsia"/>
          <w:b/>
          <w:bCs w:val="0"/>
          <w:color w:val="000000" w:themeColor="text1"/>
        </w:rPr>
        <w:t>則</w:t>
      </w:r>
      <w:r w:rsidR="00577065" w:rsidRPr="008B619A">
        <w:rPr>
          <w:rFonts w:hint="eastAsia"/>
          <w:b/>
          <w:bCs w:val="0"/>
          <w:color w:val="000000" w:themeColor="text1"/>
        </w:rPr>
        <w:t>以</w:t>
      </w:r>
      <w:r w:rsidR="00930DD5" w:rsidRPr="008B619A">
        <w:rPr>
          <w:b/>
          <w:bCs w:val="0"/>
          <w:color w:val="000000" w:themeColor="text1"/>
        </w:rPr>
        <w:t>89.</w:t>
      </w:r>
      <w:r w:rsidR="0082332E" w:rsidRPr="008B619A">
        <w:rPr>
          <w:rFonts w:hint="eastAsia"/>
          <w:b/>
          <w:bCs w:val="0"/>
          <w:color w:val="000000" w:themeColor="text1"/>
        </w:rPr>
        <w:t>0</w:t>
      </w:r>
      <w:r w:rsidR="00930DD5" w:rsidRPr="008B619A">
        <w:rPr>
          <w:b/>
          <w:bCs w:val="0"/>
          <w:color w:val="000000" w:themeColor="text1"/>
        </w:rPr>
        <w:t>%</w:t>
      </w:r>
      <w:r w:rsidR="004E0482" w:rsidRPr="008B619A">
        <w:rPr>
          <w:rFonts w:hint="eastAsia"/>
          <w:b/>
          <w:bCs w:val="0"/>
          <w:color w:val="000000" w:themeColor="text1"/>
        </w:rPr>
        <w:t>退居</w:t>
      </w:r>
      <w:r w:rsidR="00DF34A1" w:rsidRPr="008B619A">
        <w:rPr>
          <w:rFonts w:hint="eastAsia"/>
          <w:b/>
          <w:bCs w:val="0"/>
          <w:color w:val="000000" w:themeColor="text1"/>
        </w:rPr>
        <w:t>第</w:t>
      </w:r>
      <w:r w:rsidR="003F7B95" w:rsidRPr="008B619A">
        <w:rPr>
          <w:rFonts w:hint="eastAsia"/>
          <w:b/>
          <w:bCs w:val="0"/>
          <w:color w:val="000000" w:themeColor="text1"/>
        </w:rPr>
        <w:t>3</w:t>
      </w:r>
      <w:r w:rsidR="004E0482" w:rsidRPr="008B619A">
        <w:rPr>
          <w:rFonts w:hint="eastAsia"/>
          <w:b/>
          <w:bCs w:val="0"/>
          <w:color w:val="000000" w:themeColor="text1"/>
        </w:rPr>
        <w:t>位</w:t>
      </w:r>
      <w:r w:rsidR="00930DD5" w:rsidRPr="008B619A">
        <w:rPr>
          <w:b/>
          <w:bCs w:val="0"/>
          <w:color w:val="000000" w:themeColor="text1"/>
        </w:rPr>
        <w:t>，</w:t>
      </w:r>
      <w:r w:rsidR="00206E04" w:rsidRPr="008B619A">
        <w:rPr>
          <w:rFonts w:hint="eastAsia"/>
          <w:b/>
          <w:bCs w:val="0"/>
          <w:color w:val="000000" w:themeColor="text1"/>
        </w:rPr>
        <w:t>其中更</w:t>
      </w:r>
      <w:r w:rsidR="00AA589A" w:rsidRPr="008B619A">
        <w:rPr>
          <w:rFonts w:hint="eastAsia"/>
          <w:b/>
          <w:bCs w:val="0"/>
          <w:color w:val="000000" w:themeColor="text1"/>
        </w:rPr>
        <w:t>有40班</w:t>
      </w:r>
      <w:r w:rsidR="00775BE8" w:rsidRPr="008B619A">
        <w:rPr>
          <w:rFonts w:hint="eastAsia"/>
          <w:b/>
          <w:bCs w:val="0"/>
          <w:color w:val="000000" w:themeColor="text1"/>
        </w:rPr>
        <w:t>招生人數</w:t>
      </w:r>
      <w:r w:rsidR="00F04436" w:rsidRPr="008B619A">
        <w:rPr>
          <w:rFonts w:hint="eastAsia"/>
          <w:b/>
          <w:bCs w:val="0"/>
          <w:color w:val="000000" w:themeColor="text1"/>
        </w:rPr>
        <w:t>為</w:t>
      </w:r>
      <w:r w:rsidR="00D260ED" w:rsidRPr="008B619A">
        <w:rPr>
          <w:rFonts w:hint="eastAsia"/>
          <w:b/>
          <w:bCs w:val="0"/>
          <w:color w:val="000000" w:themeColor="text1"/>
        </w:rPr>
        <w:t>零</w:t>
      </w:r>
      <w:r w:rsidR="009D7515" w:rsidRPr="008B619A">
        <w:rPr>
          <w:rFonts w:hAnsi="標楷體" w:hint="eastAsia"/>
          <w:b/>
          <w:bCs w:val="0"/>
          <w:color w:val="000000" w:themeColor="text1"/>
        </w:rPr>
        <w:t>、</w:t>
      </w:r>
      <w:r w:rsidR="00AA589A" w:rsidRPr="008B619A">
        <w:rPr>
          <w:rFonts w:hint="eastAsia"/>
          <w:b/>
          <w:bCs w:val="0"/>
          <w:color w:val="000000" w:themeColor="text1"/>
        </w:rPr>
        <w:t>有12</w:t>
      </w:r>
      <w:r w:rsidR="00A53E4E" w:rsidRPr="008B619A">
        <w:rPr>
          <w:rFonts w:hint="eastAsia"/>
          <w:b/>
          <w:bCs w:val="0"/>
          <w:color w:val="000000" w:themeColor="text1"/>
        </w:rPr>
        <w:t>校</w:t>
      </w:r>
      <w:r w:rsidR="003E187B" w:rsidRPr="008B619A">
        <w:rPr>
          <w:b/>
          <w:bCs w:val="0"/>
          <w:color w:val="000000" w:themeColor="text1"/>
        </w:rPr>
        <w:t>註冊率</w:t>
      </w:r>
      <w:r w:rsidR="00AA589A" w:rsidRPr="008B619A">
        <w:rPr>
          <w:rFonts w:hint="eastAsia"/>
          <w:b/>
          <w:bCs w:val="0"/>
          <w:color w:val="000000" w:themeColor="text1"/>
        </w:rPr>
        <w:t>未達</w:t>
      </w:r>
      <w:r w:rsidR="00AF4BD5" w:rsidRPr="008B619A">
        <w:rPr>
          <w:rFonts w:hint="eastAsia"/>
          <w:b/>
          <w:bCs w:val="0"/>
          <w:color w:val="000000" w:themeColor="text1"/>
        </w:rPr>
        <w:t>6</w:t>
      </w:r>
      <w:r w:rsidR="00AA589A" w:rsidRPr="008B619A">
        <w:rPr>
          <w:rFonts w:hint="eastAsia"/>
          <w:b/>
          <w:bCs w:val="0"/>
          <w:color w:val="000000" w:themeColor="text1"/>
        </w:rPr>
        <w:t>成，</w:t>
      </w:r>
      <w:r w:rsidR="00F168C9" w:rsidRPr="008B619A">
        <w:rPr>
          <w:rFonts w:hint="eastAsia"/>
          <w:b/>
          <w:bCs w:val="0"/>
          <w:color w:val="000000" w:themeColor="text1"/>
        </w:rPr>
        <w:t>校數創近3年新高</w:t>
      </w:r>
      <w:r w:rsidR="00FA1703" w:rsidRPr="008B619A">
        <w:rPr>
          <w:rFonts w:hint="eastAsia"/>
          <w:b/>
          <w:bCs w:val="0"/>
          <w:color w:val="000000" w:themeColor="text1"/>
        </w:rPr>
        <w:t>，教育部</w:t>
      </w:r>
      <w:r w:rsidR="00A90561" w:rsidRPr="008B619A">
        <w:rPr>
          <w:rFonts w:hint="eastAsia"/>
          <w:b/>
          <w:bCs w:val="0"/>
          <w:color w:val="000000" w:themeColor="text1"/>
        </w:rPr>
        <w:t>雖</w:t>
      </w:r>
      <w:r w:rsidR="00FA1703" w:rsidRPr="008B619A">
        <w:rPr>
          <w:rFonts w:hint="eastAsia"/>
          <w:b/>
          <w:bCs w:val="0"/>
          <w:color w:val="000000" w:themeColor="text1"/>
        </w:rPr>
        <w:t>於總量管制前提下</w:t>
      </w:r>
      <w:r w:rsidR="00C1447A" w:rsidRPr="008B619A">
        <w:rPr>
          <w:rFonts w:hint="eastAsia"/>
          <w:b/>
          <w:bCs w:val="0"/>
          <w:color w:val="000000" w:themeColor="text1"/>
        </w:rPr>
        <w:t>，取消博士班統一調控政策，</w:t>
      </w:r>
      <w:r w:rsidR="00FA1703" w:rsidRPr="008B619A">
        <w:rPr>
          <w:rFonts w:hint="eastAsia"/>
          <w:b/>
          <w:bCs w:val="0"/>
          <w:color w:val="000000" w:themeColor="text1"/>
        </w:rPr>
        <w:t>授權各大學</w:t>
      </w:r>
      <w:r w:rsidR="006139BF" w:rsidRPr="008B619A">
        <w:rPr>
          <w:rFonts w:hint="eastAsia"/>
          <w:b/>
          <w:bCs w:val="0"/>
          <w:color w:val="000000" w:themeColor="text1"/>
        </w:rPr>
        <w:t>（</w:t>
      </w:r>
      <w:r w:rsidR="00FA1703" w:rsidRPr="008B619A">
        <w:rPr>
          <w:rFonts w:hint="eastAsia"/>
          <w:b/>
          <w:bCs w:val="0"/>
          <w:color w:val="000000" w:themeColor="text1"/>
        </w:rPr>
        <w:t>校長</w:t>
      </w:r>
      <w:r w:rsidR="006139BF" w:rsidRPr="008B619A">
        <w:rPr>
          <w:rFonts w:hint="eastAsia"/>
          <w:b/>
          <w:bCs w:val="0"/>
          <w:color w:val="000000" w:themeColor="text1"/>
        </w:rPr>
        <w:t>）</w:t>
      </w:r>
      <w:r w:rsidR="00D555C8" w:rsidRPr="008B619A">
        <w:rPr>
          <w:rFonts w:hint="eastAsia"/>
          <w:b/>
          <w:bCs w:val="0"/>
          <w:color w:val="000000" w:themeColor="text1"/>
        </w:rPr>
        <w:t>統籌分配</w:t>
      </w:r>
      <w:r w:rsidR="00FA1703" w:rsidRPr="008B619A">
        <w:rPr>
          <w:rFonts w:hint="eastAsia"/>
          <w:b/>
          <w:bCs w:val="0"/>
          <w:color w:val="000000" w:themeColor="text1"/>
        </w:rPr>
        <w:t>30%</w:t>
      </w:r>
      <w:r w:rsidR="008D73F7" w:rsidRPr="008B619A">
        <w:rPr>
          <w:rFonts w:hint="eastAsia"/>
          <w:b/>
          <w:bCs w:val="0"/>
          <w:color w:val="000000" w:themeColor="text1"/>
        </w:rPr>
        <w:t>之博士</w:t>
      </w:r>
      <w:r w:rsidR="00D555C8" w:rsidRPr="008B619A">
        <w:rPr>
          <w:rFonts w:hint="eastAsia"/>
          <w:b/>
          <w:bCs w:val="0"/>
          <w:color w:val="000000" w:themeColor="text1"/>
        </w:rPr>
        <w:t>班招生</w:t>
      </w:r>
      <w:r w:rsidR="008D73F7" w:rsidRPr="008B619A">
        <w:rPr>
          <w:rFonts w:hint="eastAsia"/>
          <w:b/>
          <w:bCs w:val="0"/>
          <w:color w:val="000000" w:themeColor="text1"/>
        </w:rPr>
        <w:t>名額</w:t>
      </w:r>
      <w:r w:rsidR="00FA1703" w:rsidRPr="008B619A">
        <w:rPr>
          <w:rFonts w:hint="eastAsia"/>
          <w:b/>
          <w:bCs w:val="0"/>
          <w:color w:val="000000" w:themeColor="text1"/>
        </w:rPr>
        <w:t>，惟</w:t>
      </w:r>
      <w:r w:rsidR="00115D1D" w:rsidRPr="008B619A">
        <w:rPr>
          <w:rFonts w:hint="eastAsia"/>
          <w:b/>
          <w:bCs w:val="0"/>
          <w:color w:val="000000" w:themeColor="text1"/>
        </w:rPr>
        <w:t>基於現實因素，相關</w:t>
      </w:r>
      <w:r w:rsidR="00FA1703" w:rsidRPr="008B619A">
        <w:rPr>
          <w:rFonts w:hint="eastAsia"/>
          <w:b/>
          <w:bCs w:val="0"/>
          <w:color w:val="000000" w:themeColor="text1"/>
        </w:rPr>
        <w:t>執行成效尚待評估；</w:t>
      </w:r>
      <w:r w:rsidR="00157502" w:rsidRPr="008B619A">
        <w:rPr>
          <w:rFonts w:hint="eastAsia"/>
          <w:b/>
          <w:bCs w:val="0"/>
          <w:color w:val="000000" w:themeColor="text1"/>
        </w:rPr>
        <w:t>復</w:t>
      </w:r>
      <w:r w:rsidR="003662AF" w:rsidRPr="008B619A">
        <w:rPr>
          <w:rFonts w:hint="eastAsia"/>
          <w:b/>
          <w:bCs w:val="0"/>
          <w:color w:val="000000" w:themeColor="text1"/>
        </w:rPr>
        <w:t>經本調查研究綜整歷來追蹤結果顯示，</w:t>
      </w:r>
      <w:r w:rsidR="00C36423" w:rsidRPr="008B619A">
        <w:rPr>
          <w:rFonts w:hint="eastAsia"/>
          <w:b/>
          <w:bCs w:val="0"/>
          <w:color w:val="000000" w:themeColor="text1"/>
        </w:rPr>
        <w:t>104年迄今</w:t>
      </w:r>
      <w:r w:rsidR="000967B3" w:rsidRPr="008B619A">
        <w:rPr>
          <w:rFonts w:hint="eastAsia"/>
          <w:b/>
          <w:bCs w:val="0"/>
          <w:color w:val="000000" w:themeColor="text1"/>
        </w:rPr>
        <w:t>不乏</w:t>
      </w:r>
      <w:r w:rsidR="00F60F86" w:rsidRPr="008B619A">
        <w:rPr>
          <w:rFonts w:hint="eastAsia"/>
          <w:b/>
          <w:bCs w:val="0"/>
          <w:color w:val="000000" w:themeColor="text1"/>
        </w:rPr>
        <w:t>頂尖</w:t>
      </w:r>
      <w:r w:rsidR="0063473F" w:rsidRPr="008B619A">
        <w:rPr>
          <w:rFonts w:hint="eastAsia"/>
          <w:b/>
          <w:bCs w:val="0"/>
          <w:color w:val="000000" w:themeColor="text1"/>
        </w:rPr>
        <w:t>大學</w:t>
      </w:r>
      <w:r w:rsidR="00655A5C" w:rsidRPr="008B619A">
        <w:rPr>
          <w:rFonts w:hint="eastAsia"/>
          <w:b/>
          <w:bCs w:val="0"/>
          <w:color w:val="000000" w:themeColor="text1"/>
        </w:rPr>
        <w:t>及典範科大之</w:t>
      </w:r>
      <w:r w:rsidR="00321A81" w:rsidRPr="008B619A">
        <w:rPr>
          <w:rFonts w:hint="eastAsia"/>
          <w:b/>
          <w:bCs w:val="0"/>
          <w:color w:val="000000" w:themeColor="text1"/>
        </w:rPr>
        <w:t>博士班</w:t>
      </w:r>
      <w:r w:rsidR="00B8263C" w:rsidRPr="008B619A">
        <w:rPr>
          <w:rFonts w:hint="eastAsia"/>
          <w:b/>
          <w:bCs w:val="0"/>
          <w:color w:val="000000" w:themeColor="text1"/>
        </w:rPr>
        <w:t>註冊率</w:t>
      </w:r>
      <w:r w:rsidR="00295DDC" w:rsidRPr="008B619A">
        <w:rPr>
          <w:rFonts w:hint="eastAsia"/>
          <w:b/>
          <w:bCs w:val="0"/>
          <w:color w:val="000000" w:themeColor="text1"/>
        </w:rPr>
        <w:t>掛</w:t>
      </w:r>
      <w:r w:rsidR="00852AD2" w:rsidRPr="008B619A">
        <w:rPr>
          <w:b/>
          <w:bCs w:val="0"/>
          <w:color w:val="000000" w:themeColor="text1"/>
        </w:rPr>
        <w:t>零</w:t>
      </w:r>
      <w:r w:rsidR="0063473F" w:rsidRPr="008B619A">
        <w:rPr>
          <w:rFonts w:hint="eastAsia"/>
          <w:b/>
          <w:bCs w:val="0"/>
          <w:color w:val="000000" w:themeColor="text1"/>
        </w:rPr>
        <w:t>，</w:t>
      </w:r>
      <w:r w:rsidR="002324A5" w:rsidRPr="008B619A">
        <w:rPr>
          <w:rFonts w:hint="eastAsia"/>
          <w:b/>
          <w:bCs w:val="0"/>
          <w:color w:val="000000" w:themeColor="text1"/>
        </w:rPr>
        <w:t>恐有屬稀少特殊領域者，</w:t>
      </w:r>
      <w:r w:rsidR="002C7F9A" w:rsidRPr="008B619A">
        <w:rPr>
          <w:rFonts w:hint="eastAsia"/>
          <w:b/>
          <w:bCs w:val="0"/>
          <w:color w:val="000000" w:themeColor="text1"/>
        </w:rPr>
        <w:t>雖與品質尚無直接關聯，然長此以往，未來高階人才斷層及研發能量堪慮，</w:t>
      </w:r>
      <w:r w:rsidR="008B7C30" w:rsidRPr="008B619A">
        <w:rPr>
          <w:rFonts w:hint="eastAsia"/>
          <w:b/>
          <w:bCs w:val="0"/>
          <w:color w:val="000000" w:themeColor="text1"/>
        </w:rPr>
        <w:t>政府對於國家高等教育之政策定位、擘劃藍圖不明及長程方向均未明，既難窺高等教育究竟係往自由化</w:t>
      </w:r>
      <w:r w:rsidR="008B7C30" w:rsidRPr="008B619A">
        <w:rPr>
          <w:rFonts w:hAnsi="標楷體" w:hint="eastAsia"/>
          <w:b/>
          <w:bCs w:val="0"/>
          <w:color w:val="000000" w:themeColor="text1"/>
        </w:rPr>
        <w:t>、</w:t>
      </w:r>
      <w:r w:rsidR="008B7C30" w:rsidRPr="008B619A">
        <w:rPr>
          <w:rFonts w:hint="eastAsia"/>
          <w:b/>
          <w:bCs w:val="0"/>
          <w:color w:val="000000" w:themeColor="text1"/>
        </w:rPr>
        <w:t>市場化抑或公共化等方向發展，顯不利於高階博士人才之國際化競爭，勢應從長計議，況我國自99年第8次全國教育會議落幕迄今，已逾10年未曾召開全國教育會議，允宜積極匯集共識據以</w:t>
      </w:r>
      <w:r w:rsidR="008B7C30" w:rsidRPr="008B619A">
        <w:rPr>
          <w:b/>
          <w:bCs w:val="0"/>
          <w:color w:val="000000" w:themeColor="text1"/>
        </w:rPr>
        <w:t>研訂</w:t>
      </w:r>
      <w:r w:rsidR="008B7C30" w:rsidRPr="008B619A">
        <w:rPr>
          <w:rFonts w:hint="eastAsia"/>
          <w:b/>
          <w:bCs w:val="0"/>
          <w:color w:val="000000" w:themeColor="text1"/>
        </w:rPr>
        <w:t>高教政策白皮書</w:t>
      </w:r>
      <w:bookmarkEnd w:id="62"/>
    </w:p>
    <w:p w14:paraId="296AD796" w14:textId="41B1285B" w:rsidR="004C452F" w:rsidRPr="008B619A" w:rsidRDefault="001A6BDB" w:rsidP="004C452F">
      <w:pPr>
        <w:pStyle w:val="3"/>
        <w:rPr>
          <w:color w:val="000000" w:themeColor="text1"/>
        </w:rPr>
      </w:pPr>
      <w:r w:rsidRPr="008B619A">
        <w:rPr>
          <w:rFonts w:hint="eastAsia"/>
          <w:color w:val="000000" w:themeColor="text1"/>
        </w:rPr>
        <w:t>按</w:t>
      </w:r>
      <w:r w:rsidR="00986348" w:rsidRPr="008B619A">
        <w:rPr>
          <w:rFonts w:hAnsi="標楷體" w:hint="eastAsia"/>
          <w:color w:val="000000" w:themeColor="text1"/>
        </w:rPr>
        <w:t>「</w:t>
      </w:r>
      <w:r w:rsidR="00986348" w:rsidRPr="008B619A">
        <w:rPr>
          <w:rFonts w:hint="eastAsia"/>
          <w:color w:val="000000" w:themeColor="text1"/>
        </w:rPr>
        <w:t>教育基本法</w:t>
      </w:r>
      <w:r w:rsidR="00986348" w:rsidRPr="008B619A">
        <w:rPr>
          <w:rFonts w:hAnsi="標楷體" w:hint="eastAsia"/>
          <w:color w:val="000000" w:themeColor="text1"/>
        </w:rPr>
        <w:t>」</w:t>
      </w:r>
      <w:r w:rsidR="00986348" w:rsidRPr="008B619A">
        <w:rPr>
          <w:rFonts w:hint="eastAsia"/>
          <w:color w:val="000000" w:themeColor="text1"/>
        </w:rPr>
        <w:t>第2條第1項規定，</w:t>
      </w:r>
      <w:r w:rsidR="00986348" w:rsidRPr="008B619A">
        <w:rPr>
          <w:rFonts w:hAnsi="標楷體" w:hint="eastAsia"/>
          <w:color w:val="000000" w:themeColor="text1"/>
        </w:rPr>
        <w:t>「</w:t>
      </w:r>
      <w:r w:rsidR="00986348" w:rsidRPr="008B619A">
        <w:rPr>
          <w:rFonts w:hint="eastAsia"/>
          <w:color w:val="000000" w:themeColor="text1"/>
        </w:rPr>
        <w:t>教育之目的以培養人民健全人格、民主素養、法治觀念、人文涵養、愛國教育、鄉土關懷、資訊知能、強健體魄及思考、判斷與創造能力，並促進其對基本人權之尊重、生態環境之保護及對不同國家、族群、性別、宗教、文化之瞭解與關懷，使其成為具有國家意識與國際視野之現代化國民。</w:t>
      </w:r>
      <w:r w:rsidR="00986348" w:rsidRPr="008B619A">
        <w:rPr>
          <w:rFonts w:hAnsi="標楷體" w:hint="eastAsia"/>
          <w:color w:val="000000" w:themeColor="text1"/>
        </w:rPr>
        <w:t>」</w:t>
      </w:r>
      <w:r w:rsidR="00986348" w:rsidRPr="008B619A">
        <w:rPr>
          <w:rFonts w:hint="eastAsia"/>
          <w:color w:val="000000" w:themeColor="text1"/>
        </w:rPr>
        <w:t>同條第2項規定，</w:t>
      </w:r>
      <w:r w:rsidR="00986348" w:rsidRPr="008B619A">
        <w:rPr>
          <w:rFonts w:hAnsi="標楷體" w:hint="eastAsia"/>
          <w:color w:val="000000" w:themeColor="text1"/>
        </w:rPr>
        <w:t>「</w:t>
      </w:r>
      <w:r w:rsidR="00986348" w:rsidRPr="008B619A">
        <w:rPr>
          <w:rFonts w:hint="eastAsia"/>
          <w:color w:val="000000" w:themeColor="text1"/>
        </w:rPr>
        <w:t>為實現前項教育目的，國家、教育機構、教師、父母應負協助之責任</w:t>
      </w:r>
      <w:r w:rsidR="00986348" w:rsidRPr="008B619A">
        <w:rPr>
          <w:rFonts w:hAnsi="標楷體" w:hint="eastAsia"/>
          <w:color w:val="000000" w:themeColor="text1"/>
        </w:rPr>
        <w:t>」</w:t>
      </w:r>
      <w:r w:rsidR="00986348" w:rsidRPr="008B619A">
        <w:rPr>
          <w:rFonts w:hint="eastAsia"/>
          <w:color w:val="000000" w:themeColor="text1"/>
        </w:rPr>
        <w:t>。</w:t>
      </w:r>
      <w:r w:rsidR="00986348" w:rsidRPr="008B619A">
        <w:rPr>
          <w:rFonts w:hAnsi="標楷體" w:hint="eastAsia"/>
          <w:color w:val="000000" w:themeColor="text1"/>
        </w:rPr>
        <w:t>及「</w:t>
      </w:r>
      <w:r w:rsidR="00986348" w:rsidRPr="008B619A">
        <w:rPr>
          <w:rFonts w:hint="eastAsia"/>
          <w:color w:val="000000" w:themeColor="text1"/>
        </w:rPr>
        <w:t>大學法</w:t>
      </w:r>
      <w:r w:rsidR="00986348" w:rsidRPr="008B619A">
        <w:rPr>
          <w:rFonts w:hAnsi="標楷體" w:hint="eastAsia"/>
          <w:color w:val="000000" w:themeColor="text1"/>
        </w:rPr>
        <w:t>」</w:t>
      </w:r>
      <w:r w:rsidR="00986348" w:rsidRPr="008B619A">
        <w:rPr>
          <w:rFonts w:hint="eastAsia"/>
          <w:color w:val="000000" w:themeColor="text1"/>
        </w:rPr>
        <w:t>第1條明文，</w:t>
      </w:r>
      <w:r w:rsidR="00986348" w:rsidRPr="008B619A">
        <w:rPr>
          <w:rFonts w:hAnsi="標楷體" w:hint="eastAsia"/>
          <w:color w:val="000000" w:themeColor="text1"/>
        </w:rPr>
        <w:t>「</w:t>
      </w:r>
      <w:r w:rsidR="00986348" w:rsidRPr="008B619A">
        <w:rPr>
          <w:rFonts w:hint="eastAsia"/>
          <w:color w:val="000000" w:themeColor="text1"/>
        </w:rPr>
        <w:t>大學以研究學術，培育人才，提升文化，服務社會，促進國家發展為宗旨。</w:t>
      </w:r>
      <w:r w:rsidR="00986348" w:rsidRPr="008B619A">
        <w:rPr>
          <w:rFonts w:hAnsi="標楷體" w:hint="eastAsia"/>
          <w:color w:val="000000" w:themeColor="text1"/>
        </w:rPr>
        <w:t>」</w:t>
      </w:r>
      <w:r w:rsidR="00986348" w:rsidRPr="008B619A">
        <w:rPr>
          <w:rFonts w:hint="eastAsia"/>
          <w:color w:val="000000" w:themeColor="text1"/>
        </w:rPr>
        <w:t>準此，高等教育實兼具促進國家發展與協助國民自我實現之兩種任務。復</w:t>
      </w:r>
      <w:r w:rsidR="00986348" w:rsidRPr="008B619A">
        <w:rPr>
          <w:rFonts w:hAnsi="標楷體" w:hint="eastAsia"/>
          <w:color w:val="000000" w:themeColor="text1"/>
        </w:rPr>
        <w:t>按「專科以上學校總量發展規模與資源條件標準」（下稱</w:t>
      </w:r>
      <w:r w:rsidR="002D56B7" w:rsidRPr="008B619A">
        <w:rPr>
          <w:rFonts w:hAnsi="標楷體" w:hint="eastAsia"/>
          <w:color w:val="000000" w:themeColor="text1"/>
        </w:rPr>
        <w:t>「</w:t>
      </w:r>
      <w:r w:rsidR="00986348" w:rsidRPr="008B619A">
        <w:rPr>
          <w:rFonts w:hAnsi="標楷體" w:hint="eastAsia"/>
          <w:color w:val="000000" w:themeColor="text1"/>
        </w:rPr>
        <w:t>總量標準</w:t>
      </w:r>
      <w:r w:rsidR="002D56B7" w:rsidRPr="008B619A">
        <w:rPr>
          <w:rFonts w:hAnsi="標楷體" w:hint="eastAsia"/>
          <w:color w:val="000000" w:themeColor="text1"/>
        </w:rPr>
        <w:t>」</w:t>
      </w:r>
      <w:r w:rsidR="00986348" w:rsidRPr="008B619A">
        <w:rPr>
          <w:rFonts w:hAnsi="標楷體" w:hint="eastAsia"/>
          <w:color w:val="000000" w:themeColor="text1"/>
        </w:rPr>
        <w:t>）第3條第1項規定，「教育部應依國家整體人才培育政策、社會發展需求、學校資</w:t>
      </w:r>
      <w:r w:rsidR="00986348" w:rsidRPr="008B619A">
        <w:rPr>
          <w:rFonts w:hAnsi="標楷體" w:hint="eastAsia"/>
          <w:color w:val="000000" w:themeColor="text1"/>
        </w:rPr>
        <w:lastRenderedPageBreak/>
        <w:t>源條件、師資專長、總量發展規模、新生註冊率及畢業學生就業等面向，徵詢相關產業之目的事業主管機關意見後，核定專科以上學校增設、調整院、所、系、科與學位學程及招生名額總量。」</w:t>
      </w:r>
      <w:r w:rsidR="00CE1F1C" w:rsidRPr="008B619A">
        <w:rPr>
          <w:rFonts w:hAnsi="標楷體" w:hint="eastAsia"/>
          <w:color w:val="000000" w:themeColor="text1"/>
        </w:rPr>
        <w:t>是以，</w:t>
      </w:r>
      <w:r w:rsidR="00A23BEF" w:rsidRPr="008B619A">
        <w:rPr>
          <w:rFonts w:hAnsi="標楷體" w:hint="eastAsia"/>
          <w:color w:val="000000" w:themeColor="text1"/>
        </w:rPr>
        <w:t>政府應依照整體國家政策發展</w:t>
      </w:r>
      <w:r w:rsidR="0084464E" w:rsidRPr="008B619A">
        <w:rPr>
          <w:rFonts w:hAnsi="標楷體" w:hint="eastAsia"/>
          <w:color w:val="000000" w:themeColor="text1"/>
        </w:rPr>
        <w:t>，</w:t>
      </w:r>
      <w:r w:rsidR="00A23BEF" w:rsidRPr="008B619A">
        <w:rPr>
          <w:rFonts w:hAnsi="標楷體" w:hint="eastAsia"/>
          <w:color w:val="000000" w:themeColor="text1"/>
        </w:rPr>
        <w:t>積極</w:t>
      </w:r>
      <w:r w:rsidR="00D93BF3" w:rsidRPr="008B619A">
        <w:rPr>
          <w:rFonts w:hAnsi="標楷體" w:hint="eastAsia"/>
          <w:color w:val="000000" w:themeColor="text1"/>
        </w:rPr>
        <w:t>研謀規劃</w:t>
      </w:r>
      <w:r w:rsidR="00F1411C" w:rsidRPr="008B619A">
        <w:rPr>
          <w:rFonts w:hAnsi="標楷體" w:hint="eastAsia"/>
          <w:color w:val="000000" w:themeColor="text1"/>
        </w:rPr>
        <w:t>科系</w:t>
      </w:r>
      <w:r w:rsidR="003E7BF6" w:rsidRPr="008B619A">
        <w:rPr>
          <w:rFonts w:hAnsi="標楷體" w:hint="eastAsia"/>
          <w:color w:val="000000" w:themeColor="text1"/>
        </w:rPr>
        <w:t>調整及高教政策</w:t>
      </w:r>
      <w:r w:rsidR="00F1411C" w:rsidRPr="008B619A">
        <w:rPr>
          <w:rFonts w:hAnsi="標楷體" w:hint="eastAsia"/>
          <w:color w:val="000000" w:themeColor="text1"/>
        </w:rPr>
        <w:t>規模等</w:t>
      </w:r>
      <w:r w:rsidR="00A23BEF" w:rsidRPr="008B619A">
        <w:rPr>
          <w:rFonts w:hAnsi="標楷體" w:hint="eastAsia"/>
          <w:color w:val="000000" w:themeColor="text1"/>
        </w:rPr>
        <w:t>走向。</w:t>
      </w:r>
    </w:p>
    <w:p w14:paraId="6637933E" w14:textId="6A782A4D" w:rsidR="00B9544E" w:rsidRPr="008B619A" w:rsidRDefault="009124CF" w:rsidP="00887E0C">
      <w:pPr>
        <w:pStyle w:val="3"/>
        <w:ind w:leftChars="200"/>
        <w:rPr>
          <w:color w:val="000000" w:themeColor="text1"/>
        </w:rPr>
      </w:pPr>
      <w:r w:rsidRPr="008B619A">
        <w:rPr>
          <w:rFonts w:hint="eastAsia"/>
          <w:color w:val="000000" w:themeColor="text1"/>
        </w:rPr>
        <w:t>整體而言，</w:t>
      </w:r>
      <w:r w:rsidR="002A424E" w:rsidRPr="008B619A">
        <w:rPr>
          <w:rFonts w:hint="eastAsia"/>
          <w:color w:val="000000" w:themeColor="text1"/>
        </w:rPr>
        <w:t>我國博士班</w:t>
      </w:r>
      <w:r w:rsidR="005C72EE" w:rsidRPr="008B619A">
        <w:rPr>
          <w:color w:val="000000" w:themeColor="text1"/>
        </w:rPr>
        <w:t>新生註冊率</w:t>
      </w:r>
      <w:r w:rsidR="002A424E" w:rsidRPr="008B619A">
        <w:rPr>
          <w:rFonts w:hint="eastAsia"/>
          <w:color w:val="000000" w:themeColor="text1"/>
        </w:rPr>
        <w:t>近</w:t>
      </w:r>
      <w:r w:rsidR="00B631A0" w:rsidRPr="008B619A">
        <w:rPr>
          <w:rFonts w:hint="eastAsia"/>
          <w:color w:val="000000" w:themeColor="text1"/>
        </w:rPr>
        <w:t>2</w:t>
      </w:r>
      <w:r w:rsidR="002A424E" w:rsidRPr="008B619A">
        <w:rPr>
          <w:rFonts w:hint="eastAsia"/>
          <w:color w:val="000000" w:themeColor="text1"/>
        </w:rPr>
        <w:t>年</w:t>
      </w:r>
      <w:r w:rsidR="00D1500B" w:rsidRPr="008B619A">
        <w:rPr>
          <w:rFonts w:hint="eastAsia"/>
          <w:color w:val="000000" w:themeColor="text1"/>
        </w:rPr>
        <w:t>之</w:t>
      </w:r>
      <w:r w:rsidR="007477D3" w:rsidRPr="008B619A">
        <w:rPr>
          <w:rFonts w:hint="eastAsia"/>
          <w:color w:val="000000" w:themeColor="text1"/>
        </w:rPr>
        <w:t>降幅</w:t>
      </w:r>
      <w:r w:rsidR="003C5D21" w:rsidRPr="008B619A">
        <w:rPr>
          <w:rFonts w:hint="eastAsia"/>
          <w:color w:val="000000" w:themeColor="text1"/>
        </w:rPr>
        <w:t>雖</w:t>
      </w:r>
      <w:r w:rsidR="001E569D" w:rsidRPr="008B619A">
        <w:rPr>
          <w:rFonts w:hint="eastAsia"/>
          <w:color w:val="000000" w:themeColor="text1"/>
        </w:rPr>
        <w:t>屬</w:t>
      </w:r>
      <w:r w:rsidR="007477D3" w:rsidRPr="008B619A">
        <w:rPr>
          <w:rFonts w:hint="eastAsia"/>
          <w:color w:val="000000" w:themeColor="text1"/>
        </w:rPr>
        <w:t>不大</w:t>
      </w:r>
      <w:r w:rsidR="0077228F" w:rsidRPr="008B619A">
        <w:rPr>
          <w:rFonts w:hint="eastAsia"/>
          <w:color w:val="000000" w:themeColor="text1"/>
        </w:rPr>
        <w:t>(0.1%)</w:t>
      </w:r>
      <w:r w:rsidR="00C6512C" w:rsidRPr="008B619A">
        <w:rPr>
          <w:rStyle w:val="aff1"/>
          <w:color w:val="000000" w:themeColor="text1"/>
        </w:rPr>
        <w:footnoteReference w:id="12"/>
      </w:r>
      <w:r w:rsidR="002A424E" w:rsidRPr="008B619A">
        <w:rPr>
          <w:rFonts w:hint="eastAsia"/>
          <w:color w:val="000000" w:themeColor="text1"/>
        </w:rPr>
        <w:t>，</w:t>
      </w:r>
      <w:r w:rsidR="00B11B9F" w:rsidRPr="008B619A">
        <w:rPr>
          <w:rFonts w:hint="eastAsia"/>
          <w:color w:val="000000" w:themeColor="text1"/>
        </w:rPr>
        <w:t>惟</w:t>
      </w:r>
      <w:r w:rsidR="00487CAD" w:rsidRPr="008B619A">
        <w:rPr>
          <w:rFonts w:hint="eastAsia"/>
          <w:color w:val="000000" w:themeColor="text1"/>
        </w:rPr>
        <w:t>以所謂傳統</w:t>
      </w:r>
      <w:r w:rsidR="008916A9" w:rsidRPr="008B619A">
        <w:rPr>
          <w:rFonts w:hint="eastAsia"/>
          <w:color w:val="000000" w:themeColor="text1"/>
        </w:rPr>
        <w:t>前段班大學之博士班</w:t>
      </w:r>
      <w:r w:rsidR="007F504D" w:rsidRPr="008B619A">
        <w:rPr>
          <w:rFonts w:hint="eastAsia"/>
          <w:color w:val="000000" w:themeColor="text1"/>
        </w:rPr>
        <w:t>已逐漸出現</w:t>
      </w:r>
      <w:r w:rsidR="00D30E39" w:rsidRPr="008B619A">
        <w:rPr>
          <w:rFonts w:hint="eastAsia"/>
          <w:color w:val="000000" w:themeColor="text1"/>
        </w:rPr>
        <w:t>招生困難</w:t>
      </w:r>
      <w:r w:rsidR="00C73C55" w:rsidRPr="008B619A">
        <w:rPr>
          <w:rFonts w:hint="eastAsia"/>
          <w:color w:val="000000" w:themeColor="text1"/>
        </w:rPr>
        <w:t>之</w:t>
      </w:r>
      <w:r w:rsidR="008916A9" w:rsidRPr="008B619A">
        <w:rPr>
          <w:rFonts w:hint="eastAsia"/>
          <w:color w:val="000000" w:themeColor="text1"/>
        </w:rPr>
        <w:t>情形，相關概況</w:t>
      </w:r>
      <w:r w:rsidR="00D22858" w:rsidRPr="008B619A">
        <w:rPr>
          <w:rFonts w:hint="eastAsia"/>
          <w:color w:val="000000" w:themeColor="text1"/>
        </w:rPr>
        <w:t>列舉</w:t>
      </w:r>
      <w:r w:rsidR="008916A9" w:rsidRPr="008B619A">
        <w:rPr>
          <w:rFonts w:hint="eastAsia"/>
          <w:color w:val="000000" w:themeColor="text1"/>
        </w:rPr>
        <w:t>如下：</w:t>
      </w:r>
    </w:p>
    <w:p w14:paraId="4AE0D7D7" w14:textId="7E2986BF" w:rsidR="00AC32AD" w:rsidRPr="008B619A" w:rsidRDefault="00136FEA" w:rsidP="00AC32AD">
      <w:pPr>
        <w:pStyle w:val="4"/>
        <w:rPr>
          <w:color w:val="000000" w:themeColor="text1"/>
        </w:rPr>
      </w:pPr>
      <w:r w:rsidRPr="008B619A">
        <w:rPr>
          <w:rFonts w:hint="eastAsia"/>
          <w:color w:val="000000" w:themeColor="text1"/>
        </w:rPr>
        <w:t>依</w:t>
      </w:r>
      <w:r w:rsidR="00AC32AD" w:rsidRPr="008B619A">
        <w:rPr>
          <w:rFonts w:hint="eastAsia"/>
          <w:color w:val="000000" w:themeColor="text1"/>
        </w:rPr>
        <w:t>教育部109年發布之</w:t>
      </w:r>
      <w:r w:rsidR="00AC32AD" w:rsidRPr="008B619A">
        <w:rPr>
          <w:rFonts w:hAnsi="標楷體" w:hint="eastAsia"/>
          <w:color w:val="000000" w:themeColor="text1"/>
        </w:rPr>
        <w:t>「</w:t>
      </w:r>
      <w:r w:rsidR="00AC32AD" w:rsidRPr="008B619A">
        <w:rPr>
          <w:rFonts w:hint="eastAsia"/>
          <w:color w:val="000000" w:themeColor="text1"/>
        </w:rPr>
        <w:t>108學年大專校院新生註冊率概況</w:t>
      </w:r>
      <w:r w:rsidR="00AC32AD" w:rsidRPr="008B619A">
        <w:rPr>
          <w:rFonts w:hAnsi="標楷體" w:hint="eastAsia"/>
          <w:color w:val="000000" w:themeColor="text1"/>
        </w:rPr>
        <w:t>」</w:t>
      </w:r>
      <w:r w:rsidR="00AC32AD" w:rsidRPr="008B619A">
        <w:rPr>
          <w:rStyle w:val="aff1"/>
          <w:color w:val="000000" w:themeColor="text1"/>
        </w:rPr>
        <w:footnoteReference w:id="13"/>
      </w:r>
      <w:r w:rsidR="00AC32AD" w:rsidRPr="008B619A">
        <w:rPr>
          <w:rFonts w:hint="eastAsia"/>
          <w:color w:val="000000" w:themeColor="text1"/>
        </w:rPr>
        <w:t>，顯示設有博士班</w:t>
      </w:r>
      <w:r w:rsidR="00A97606" w:rsidRPr="008B619A">
        <w:rPr>
          <w:rFonts w:hint="eastAsia"/>
          <w:color w:val="000000" w:themeColor="text1"/>
        </w:rPr>
        <w:t>之</w:t>
      </w:r>
      <w:r w:rsidR="00AC32AD" w:rsidRPr="008B619A">
        <w:rPr>
          <w:rFonts w:hint="eastAsia"/>
          <w:color w:val="000000" w:themeColor="text1"/>
        </w:rPr>
        <w:t>公立學校，</w:t>
      </w:r>
      <w:r w:rsidR="00AC32AD" w:rsidRPr="008B619A">
        <w:rPr>
          <w:color w:val="000000" w:themeColor="text1"/>
        </w:rPr>
        <w:t>107、108學年各為40所、41所，註冊率在8成以上，107、108學年均為39所，各占97.5%、95.1%；私立學校方面，新生註冊率高於8成</w:t>
      </w:r>
      <w:r w:rsidR="00A736FC" w:rsidRPr="008B619A">
        <w:rPr>
          <w:rFonts w:hint="eastAsia"/>
          <w:color w:val="000000" w:themeColor="text1"/>
        </w:rPr>
        <w:t>之</w:t>
      </w:r>
      <w:r w:rsidR="00AC32AD" w:rsidRPr="008B619A">
        <w:rPr>
          <w:color w:val="000000" w:themeColor="text1"/>
        </w:rPr>
        <w:t>學校，107學年為34所，占89.5%，108學年增為36所，占92.3%，註冊率未達7成的學校，107、108 學年均為</w:t>
      </w:r>
      <w:r w:rsidR="00AC32AD" w:rsidRPr="008B619A">
        <w:rPr>
          <w:rFonts w:hint="eastAsia"/>
          <w:color w:val="000000" w:themeColor="text1"/>
        </w:rPr>
        <w:t>1</w:t>
      </w:r>
      <w:r w:rsidR="00AC32AD" w:rsidRPr="008B619A">
        <w:rPr>
          <w:color w:val="000000" w:themeColor="text1"/>
        </w:rPr>
        <w:t>所，均占2.6%。</w:t>
      </w:r>
      <w:r w:rsidR="00AC32AD" w:rsidRPr="008B619A">
        <w:rPr>
          <w:rFonts w:hint="eastAsia"/>
          <w:color w:val="000000" w:themeColor="text1"/>
        </w:rPr>
        <w:t>如下表所示：</w:t>
      </w:r>
    </w:p>
    <w:p w14:paraId="2EC53B2F" w14:textId="77777777" w:rsidR="00AC32AD" w:rsidRPr="008B619A" w:rsidRDefault="00AC32AD" w:rsidP="00AC32AD">
      <w:pPr>
        <w:pStyle w:val="a3"/>
        <w:ind w:left="0" w:firstLine="0"/>
        <w:jc w:val="center"/>
        <w:rPr>
          <w:b/>
          <w:bCs w:val="0"/>
          <w:color w:val="000000" w:themeColor="text1"/>
        </w:rPr>
      </w:pPr>
      <w:r w:rsidRPr="008B619A">
        <w:rPr>
          <w:rFonts w:hint="eastAsia"/>
          <w:b/>
          <w:bCs w:val="0"/>
          <w:color w:val="000000" w:themeColor="text1"/>
        </w:rPr>
        <w:t>大專校院分布－按設立博士班之新生註冊率分</w:t>
      </w:r>
    </w:p>
    <w:p w14:paraId="5F7C3903" w14:textId="77777777" w:rsidR="00AC32AD" w:rsidRPr="008B619A" w:rsidRDefault="00AC32AD" w:rsidP="00AC32AD">
      <w:pPr>
        <w:spacing w:line="240" w:lineRule="exact"/>
        <w:jc w:val="right"/>
        <w:rPr>
          <w:color w:val="000000" w:themeColor="text1"/>
          <w:sz w:val="24"/>
          <w:szCs w:val="24"/>
        </w:rPr>
      </w:pPr>
      <w:r w:rsidRPr="008B619A">
        <w:rPr>
          <w:rFonts w:hint="eastAsia"/>
          <w:color w:val="000000" w:themeColor="text1"/>
          <w:sz w:val="24"/>
          <w:szCs w:val="24"/>
        </w:rPr>
        <w:t>單位：所；%</w:t>
      </w:r>
    </w:p>
    <w:p w14:paraId="3BA4181C" w14:textId="77777777" w:rsidR="00AC32AD" w:rsidRPr="008B619A" w:rsidRDefault="00AC32AD" w:rsidP="00AC32AD">
      <w:pPr>
        <w:jc w:val="center"/>
        <w:rPr>
          <w:color w:val="000000" w:themeColor="text1"/>
        </w:rPr>
      </w:pPr>
      <w:r w:rsidRPr="008B619A">
        <w:rPr>
          <w:noProof/>
          <w:color w:val="000000" w:themeColor="text1"/>
        </w:rPr>
        <w:lastRenderedPageBreak/>
        <w:drawing>
          <wp:inline distT="0" distB="0" distL="0" distR="0" wp14:anchorId="57033660" wp14:editId="3149F145">
            <wp:extent cx="5615940" cy="2364740"/>
            <wp:effectExtent l="0" t="0" r="3810"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圖片 2"/>
                    <pic:cNvPicPr/>
                  </pic:nvPicPr>
                  <pic:blipFill>
                    <a:blip r:embed="rId11">
                      <a:extLst>
                        <a:ext uri="{28A0092B-C50C-407E-A947-70E740481C1C}">
                          <a14:useLocalDpi xmlns:a14="http://schemas.microsoft.com/office/drawing/2010/main" val="0"/>
                        </a:ext>
                      </a:extLst>
                    </a:blip>
                    <a:stretch>
                      <a:fillRect/>
                    </a:stretch>
                  </pic:blipFill>
                  <pic:spPr>
                    <a:xfrm>
                      <a:off x="0" y="0"/>
                      <a:ext cx="5615940" cy="2364740"/>
                    </a:xfrm>
                    <a:prstGeom prst="rect">
                      <a:avLst/>
                    </a:prstGeom>
                  </pic:spPr>
                </pic:pic>
              </a:graphicData>
            </a:graphic>
          </wp:inline>
        </w:drawing>
      </w:r>
    </w:p>
    <w:p w14:paraId="74FA8C2F" w14:textId="213DB2DB" w:rsidR="00AC32AD" w:rsidRPr="008B619A" w:rsidRDefault="00AC32AD" w:rsidP="00AC32AD">
      <w:pPr>
        <w:spacing w:afterLines="50" w:after="228"/>
        <w:rPr>
          <w:color w:val="000000" w:themeColor="text1"/>
          <w:sz w:val="24"/>
          <w:szCs w:val="24"/>
        </w:rPr>
      </w:pPr>
      <w:r w:rsidRPr="008B619A">
        <w:rPr>
          <w:rFonts w:hint="eastAsia"/>
          <w:color w:val="000000" w:themeColor="text1"/>
          <w:sz w:val="24"/>
          <w:szCs w:val="24"/>
        </w:rPr>
        <w:t>資料來源：教育部統計處(民109)，「108學年大專校院新生註冊率概況」。</w:t>
      </w:r>
    </w:p>
    <w:p w14:paraId="15D9C1ED" w14:textId="6BF1498A" w:rsidR="006B6F3F" w:rsidRPr="008B619A" w:rsidRDefault="0078599E" w:rsidP="00B9544E">
      <w:pPr>
        <w:pStyle w:val="4"/>
        <w:rPr>
          <w:color w:val="000000" w:themeColor="text1"/>
        </w:rPr>
      </w:pPr>
      <w:r w:rsidRPr="008B619A">
        <w:rPr>
          <w:rFonts w:hint="eastAsia"/>
          <w:color w:val="000000" w:themeColor="text1"/>
        </w:rPr>
        <w:t>108學年度博士班新生註冊率平均雖達89.1%，是我國主要學制中最高者</w:t>
      </w:r>
      <w:r w:rsidR="002A424E" w:rsidRPr="008B619A">
        <w:rPr>
          <w:rFonts w:hint="eastAsia"/>
          <w:color w:val="000000" w:themeColor="text1"/>
        </w:rPr>
        <w:t>，</w:t>
      </w:r>
      <w:r w:rsidR="0002602A" w:rsidRPr="008B619A">
        <w:rPr>
          <w:rFonts w:hint="eastAsia"/>
          <w:color w:val="000000" w:themeColor="text1"/>
        </w:rPr>
        <w:t>然仍有100多個碩博班掛零，且全國日間博士班有22校、41系註冊率為</w:t>
      </w:r>
      <w:r w:rsidR="00967A46" w:rsidRPr="008B619A">
        <w:rPr>
          <w:rFonts w:hint="eastAsia"/>
          <w:color w:val="000000" w:themeColor="text1"/>
        </w:rPr>
        <w:t>零</w:t>
      </w:r>
      <w:r w:rsidR="0002602A" w:rsidRPr="008B619A">
        <w:rPr>
          <w:rFonts w:hint="eastAsia"/>
          <w:color w:val="000000" w:themeColor="text1"/>
        </w:rPr>
        <w:t>，其中包括13所公立大學、8所私立大學，以及1所公立科大。</w:t>
      </w:r>
    </w:p>
    <w:p w14:paraId="66C2DC5C" w14:textId="2DF804FC" w:rsidR="00621640" w:rsidRPr="008B619A" w:rsidRDefault="00137A15" w:rsidP="00B9544E">
      <w:pPr>
        <w:pStyle w:val="4"/>
        <w:rPr>
          <w:color w:val="000000" w:themeColor="text1"/>
        </w:rPr>
      </w:pPr>
      <w:r w:rsidRPr="008B619A">
        <w:rPr>
          <w:rFonts w:hint="eastAsia"/>
          <w:color w:val="000000" w:themeColor="text1"/>
        </w:rPr>
        <w:t>況</w:t>
      </w:r>
      <w:r w:rsidR="00E84089" w:rsidRPr="008B619A">
        <w:rPr>
          <w:rFonts w:hint="eastAsia"/>
          <w:color w:val="000000" w:themeColor="text1"/>
        </w:rPr>
        <w:t>至</w:t>
      </w:r>
      <w:r w:rsidR="002A424E" w:rsidRPr="008B619A">
        <w:rPr>
          <w:color w:val="000000" w:themeColor="text1"/>
        </w:rPr>
        <w:t>10</w:t>
      </w:r>
      <w:r w:rsidR="002A424E" w:rsidRPr="008B619A">
        <w:rPr>
          <w:rFonts w:hint="eastAsia"/>
          <w:color w:val="000000" w:themeColor="text1"/>
        </w:rPr>
        <w:t>9</w:t>
      </w:r>
      <w:r w:rsidR="002A424E" w:rsidRPr="008B619A">
        <w:rPr>
          <w:color w:val="000000" w:themeColor="text1"/>
        </w:rPr>
        <w:t>學年</w:t>
      </w:r>
      <w:r w:rsidR="00156F9D" w:rsidRPr="008B619A">
        <w:rPr>
          <w:rFonts w:hint="eastAsia"/>
          <w:color w:val="000000" w:themeColor="text1"/>
        </w:rPr>
        <w:t>為止</w:t>
      </w:r>
      <w:r w:rsidR="008669E3" w:rsidRPr="008B619A">
        <w:rPr>
          <w:rFonts w:hint="eastAsia"/>
          <w:color w:val="000000" w:themeColor="text1"/>
        </w:rPr>
        <w:t>，</w:t>
      </w:r>
      <w:r w:rsidR="005F0DFB" w:rsidRPr="008B619A">
        <w:rPr>
          <w:rFonts w:hint="eastAsia"/>
          <w:color w:val="000000" w:themeColor="text1"/>
        </w:rPr>
        <w:t>我國</w:t>
      </w:r>
      <w:r w:rsidR="002A424E" w:rsidRPr="008B619A">
        <w:rPr>
          <w:color w:val="000000" w:themeColor="text1"/>
        </w:rPr>
        <w:t>博士班</w:t>
      </w:r>
      <w:r w:rsidR="00C73841" w:rsidRPr="008B619A">
        <w:rPr>
          <w:color w:val="000000" w:themeColor="text1"/>
        </w:rPr>
        <w:t>新生註冊率</w:t>
      </w:r>
      <w:r w:rsidR="002A424E" w:rsidRPr="008B619A">
        <w:rPr>
          <w:color w:val="000000" w:themeColor="text1"/>
        </w:rPr>
        <w:t>89.</w:t>
      </w:r>
      <w:r w:rsidR="002A424E" w:rsidRPr="008B619A">
        <w:rPr>
          <w:rFonts w:hint="eastAsia"/>
          <w:color w:val="000000" w:themeColor="text1"/>
        </w:rPr>
        <w:t>0</w:t>
      </w:r>
      <w:r w:rsidR="002A424E" w:rsidRPr="008B619A">
        <w:rPr>
          <w:color w:val="000000" w:themeColor="text1"/>
        </w:rPr>
        <w:t>%</w:t>
      </w:r>
      <w:r w:rsidR="002A424E" w:rsidRPr="008B619A">
        <w:rPr>
          <w:rFonts w:hint="eastAsia"/>
          <w:color w:val="000000" w:themeColor="text1"/>
        </w:rPr>
        <w:t>退居第</w:t>
      </w:r>
      <w:r w:rsidR="00FC406C" w:rsidRPr="008B619A">
        <w:rPr>
          <w:rFonts w:hint="eastAsia"/>
          <w:color w:val="000000" w:themeColor="text1"/>
        </w:rPr>
        <w:t>3</w:t>
      </w:r>
      <w:r w:rsidR="002A424E" w:rsidRPr="008B619A">
        <w:rPr>
          <w:rFonts w:hint="eastAsia"/>
          <w:color w:val="000000" w:themeColor="text1"/>
        </w:rPr>
        <w:t>位</w:t>
      </w:r>
      <w:r w:rsidR="002A424E" w:rsidRPr="008B619A">
        <w:rPr>
          <w:color w:val="000000" w:themeColor="text1"/>
        </w:rPr>
        <w:t>，</w:t>
      </w:r>
      <w:r w:rsidR="002A424E" w:rsidRPr="008B619A">
        <w:rPr>
          <w:rFonts w:hint="eastAsia"/>
          <w:color w:val="000000" w:themeColor="text1"/>
        </w:rPr>
        <w:t>其中更有40</w:t>
      </w:r>
      <w:r w:rsidR="00F230B6" w:rsidRPr="008B619A">
        <w:rPr>
          <w:rFonts w:hint="eastAsia"/>
          <w:color w:val="000000" w:themeColor="text1"/>
        </w:rPr>
        <w:t>個</w:t>
      </w:r>
      <w:r w:rsidR="00DA2BC3" w:rsidRPr="008B619A">
        <w:rPr>
          <w:rFonts w:hint="eastAsia"/>
          <w:color w:val="000000" w:themeColor="text1"/>
        </w:rPr>
        <w:t>博士</w:t>
      </w:r>
      <w:r w:rsidR="002A424E" w:rsidRPr="008B619A">
        <w:rPr>
          <w:rFonts w:hint="eastAsia"/>
          <w:color w:val="000000" w:themeColor="text1"/>
        </w:rPr>
        <w:t>班招生人數</w:t>
      </w:r>
      <w:r w:rsidR="00AE1569" w:rsidRPr="008B619A">
        <w:rPr>
          <w:rFonts w:hint="eastAsia"/>
          <w:color w:val="000000" w:themeColor="text1"/>
        </w:rPr>
        <w:t>為</w:t>
      </w:r>
      <w:r w:rsidR="00AB7FE4" w:rsidRPr="008B619A">
        <w:rPr>
          <w:rFonts w:hint="eastAsia"/>
          <w:color w:val="000000" w:themeColor="text1"/>
        </w:rPr>
        <w:t>零</w:t>
      </w:r>
      <w:r w:rsidR="002A424E" w:rsidRPr="008B619A">
        <w:rPr>
          <w:rFonts w:hint="eastAsia"/>
          <w:color w:val="000000" w:themeColor="text1"/>
        </w:rPr>
        <w:t>、有12</w:t>
      </w:r>
      <w:r w:rsidR="0072619A" w:rsidRPr="008B619A">
        <w:rPr>
          <w:rFonts w:hint="eastAsia"/>
          <w:color w:val="000000" w:themeColor="text1"/>
        </w:rPr>
        <w:t>校</w:t>
      </w:r>
      <w:r w:rsidR="002A424E" w:rsidRPr="008B619A">
        <w:rPr>
          <w:rFonts w:hint="eastAsia"/>
          <w:color w:val="000000" w:themeColor="text1"/>
        </w:rPr>
        <w:t>未達6成，校數</w:t>
      </w:r>
      <w:r w:rsidR="00644C73" w:rsidRPr="008B619A">
        <w:rPr>
          <w:rFonts w:hint="eastAsia"/>
          <w:color w:val="000000" w:themeColor="text1"/>
        </w:rPr>
        <w:t>更</w:t>
      </w:r>
      <w:r w:rsidR="002A424E" w:rsidRPr="008B619A">
        <w:rPr>
          <w:rFonts w:hint="eastAsia"/>
          <w:color w:val="000000" w:themeColor="text1"/>
        </w:rPr>
        <w:t>創近3年新高</w:t>
      </w:r>
      <w:r w:rsidR="009B1D51" w:rsidRPr="008B619A">
        <w:rPr>
          <w:rStyle w:val="aff1"/>
          <w:color w:val="000000" w:themeColor="text1"/>
        </w:rPr>
        <w:footnoteReference w:id="14"/>
      </w:r>
      <w:r w:rsidR="002A424E" w:rsidRPr="008B619A">
        <w:rPr>
          <w:rFonts w:hint="eastAsia"/>
          <w:color w:val="000000" w:themeColor="text1"/>
        </w:rPr>
        <w:t>。</w:t>
      </w:r>
    </w:p>
    <w:p w14:paraId="26EB4CE6" w14:textId="0EDBE510" w:rsidR="004A47B2" w:rsidRPr="008B619A" w:rsidRDefault="004A47B2" w:rsidP="00CD474A">
      <w:pPr>
        <w:pStyle w:val="3"/>
        <w:rPr>
          <w:color w:val="000000" w:themeColor="text1"/>
        </w:rPr>
      </w:pPr>
      <w:r w:rsidRPr="008B619A">
        <w:rPr>
          <w:rFonts w:hint="eastAsia"/>
          <w:color w:val="000000" w:themeColor="text1"/>
        </w:rPr>
        <w:t>本調查研究</w:t>
      </w:r>
      <w:r w:rsidR="00E241D2" w:rsidRPr="008B619A">
        <w:rPr>
          <w:rFonts w:hint="eastAsia"/>
          <w:color w:val="000000" w:themeColor="text1"/>
        </w:rPr>
        <w:t>再</w:t>
      </w:r>
      <w:r w:rsidRPr="008B619A">
        <w:rPr>
          <w:rFonts w:hint="eastAsia"/>
          <w:color w:val="000000" w:themeColor="text1"/>
        </w:rPr>
        <w:t>綜整本院前案</w:t>
      </w:r>
      <w:r w:rsidR="0079778B" w:rsidRPr="008B619A">
        <w:rPr>
          <w:rFonts w:hint="eastAsia"/>
          <w:color w:val="000000" w:themeColor="text1"/>
        </w:rPr>
        <w:t>之</w:t>
      </w:r>
      <w:r w:rsidR="008D66AE" w:rsidRPr="008B619A">
        <w:rPr>
          <w:rFonts w:hint="eastAsia"/>
          <w:color w:val="000000" w:themeColor="text1"/>
        </w:rPr>
        <w:t>調查</w:t>
      </w:r>
      <w:r w:rsidRPr="008B619A">
        <w:rPr>
          <w:rFonts w:hint="eastAsia"/>
          <w:color w:val="000000" w:themeColor="text1"/>
        </w:rPr>
        <w:t>追蹤結果</w:t>
      </w:r>
      <w:r w:rsidR="00422BE4" w:rsidRPr="008B619A">
        <w:rPr>
          <w:rFonts w:hint="eastAsia"/>
          <w:color w:val="000000" w:themeColor="text1"/>
        </w:rPr>
        <w:t>發現</w:t>
      </w:r>
      <w:r w:rsidRPr="008B619A">
        <w:rPr>
          <w:rFonts w:hint="eastAsia"/>
          <w:color w:val="000000" w:themeColor="text1"/>
        </w:rPr>
        <w:t>，</w:t>
      </w:r>
      <w:r w:rsidR="00992C2C" w:rsidRPr="008B619A">
        <w:rPr>
          <w:rFonts w:hint="eastAsia"/>
          <w:color w:val="000000" w:themeColor="text1"/>
        </w:rPr>
        <w:t>頂尖大學</w:t>
      </w:r>
      <w:r w:rsidR="00ED34E1" w:rsidRPr="008B619A">
        <w:rPr>
          <w:rFonts w:hint="eastAsia"/>
          <w:color w:val="000000" w:themeColor="text1"/>
        </w:rPr>
        <w:t>計畫學校</w:t>
      </w:r>
      <w:r w:rsidR="00992C2C" w:rsidRPr="008B619A">
        <w:rPr>
          <w:rFonts w:hint="eastAsia"/>
          <w:color w:val="000000" w:themeColor="text1"/>
        </w:rPr>
        <w:t>及典範</w:t>
      </w:r>
      <w:r w:rsidR="001E57E6" w:rsidRPr="008B619A">
        <w:rPr>
          <w:rFonts w:hint="eastAsia"/>
          <w:color w:val="000000" w:themeColor="text1"/>
        </w:rPr>
        <w:t>科技大學</w:t>
      </w:r>
      <w:r w:rsidR="000F7012" w:rsidRPr="008B619A">
        <w:rPr>
          <w:rFonts w:hint="eastAsia"/>
          <w:color w:val="000000" w:themeColor="text1"/>
        </w:rPr>
        <w:t>計</w:t>
      </w:r>
      <w:r w:rsidR="00560759" w:rsidRPr="008B619A">
        <w:rPr>
          <w:rFonts w:hint="eastAsia"/>
          <w:color w:val="000000" w:themeColor="text1"/>
        </w:rPr>
        <w:t>畫</w:t>
      </w:r>
      <w:r w:rsidR="000F7012" w:rsidRPr="008B619A">
        <w:rPr>
          <w:rFonts w:hint="eastAsia"/>
          <w:color w:val="000000" w:themeColor="text1"/>
        </w:rPr>
        <w:t>學校</w:t>
      </w:r>
      <w:r w:rsidR="00B46BB2" w:rsidRPr="008B619A">
        <w:rPr>
          <w:rStyle w:val="aff1"/>
          <w:color w:val="000000" w:themeColor="text1"/>
        </w:rPr>
        <w:footnoteReference w:id="15"/>
      </w:r>
      <w:r w:rsidR="000F7012" w:rsidRPr="008B619A">
        <w:rPr>
          <w:rFonts w:hint="eastAsia"/>
          <w:color w:val="000000" w:themeColor="text1"/>
        </w:rPr>
        <w:t>之</w:t>
      </w:r>
      <w:r w:rsidR="00992C2C" w:rsidRPr="008B619A">
        <w:rPr>
          <w:rFonts w:hint="eastAsia"/>
          <w:color w:val="000000" w:themeColor="text1"/>
        </w:rPr>
        <w:t>博士班104-109學年度</w:t>
      </w:r>
      <w:r w:rsidR="005B3880" w:rsidRPr="008B619A">
        <w:rPr>
          <w:rFonts w:hint="eastAsia"/>
          <w:color w:val="000000" w:themeColor="text1"/>
        </w:rPr>
        <w:t>之</w:t>
      </w:r>
      <w:r w:rsidR="009E27A9" w:rsidRPr="008B619A">
        <w:rPr>
          <w:rFonts w:hint="eastAsia"/>
          <w:color w:val="000000" w:themeColor="text1"/>
        </w:rPr>
        <w:t>平均</w:t>
      </w:r>
      <w:r w:rsidR="009324F8" w:rsidRPr="008B619A">
        <w:rPr>
          <w:rFonts w:hint="eastAsia"/>
          <w:color w:val="000000" w:themeColor="text1"/>
        </w:rPr>
        <w:t>註冊率</w:t>
      </w:r>
      <w:r w:rsidR="00223DF2" w:rsidRPr="008B619A">
        <w:rPr>
          <w:rFonts w:hint="eastAsia"/>
          <w:color w:val="000000" w:themeColor="text1"/>
        </w:rPr>
        <w:t>，</w:t>
      </w:r>
      <w:r w:rsidR="00722BD6" w:rsidRPr="008B619A">
        <w:rPr>
          <w:rFonts w:hint="eastAsia"/>
          <w:color w:val="000000" w:themeColor="text1"/>
        </w:rPr>
        <w:t>自74.49%</w:t>
      </w:r>
      <w:r w:rsidR="00C4179C" w:rsidRPr="008B619A">
        <w:rPr>
          <w:rFonts w:hint="eastAsia"/>
          <w:color w:val="000000" w:themeColor="text1"/>
        </w:rPr>
        <w:t>提升</w:t>
      </w:r>
      <w:r w:rsidR="00722BD6" w:rsidRPr="008B619A">
        <w:rPr>
          <w:rFonts w:hint="eastAsia"/>
          <w:color w:val="000000" w:themeColor="text1"/>
        </w:rPr>
        <w:t>至88.30%</w:t>
      </w:r>
      <w:r w:rsidR="009E5D16" w:rsidRPr="008B619A">
        <w:rPr>
          <w:rFonts w:hint="eastAsia"/>
          <w:color w:val="000000" w:themeColor="text1"/>
        </w:rPr>
        <w:t>，然</w:t>
      </w:r>
      <w:r w:rsidR="009409C6" w:rsidRPr="008B619A">
        <w:rPr>
          <w:rFonts w:hint="eastAsia"/>
          <w:color w:val="000000" w:themeColor="text1"/>
        </w:rPr>
        <w:t>錄取名額</w:t>
      </w:r>
      <w:r w:rsidR="00532725" w:rsidRPr="008B619A">
        <w:rPr>
          <w:rFonts w:hint="eastAsia"/>
          <w:color w:val="000000" w:themeColor="text1"/>
        </w:rPr>
        <w:t>則</w:t>
      </w:r>
      <w:r w:rsidR="009409C6" w:rsidRPr="008B619A">
        <w:rPr>
          <w:rFonts w:hint="eastAsia"/>
          <w:color w:val="000000" w:themeColor="text1"/>
        </w:rPr>
        <w:t>自</w:t>
      </w:r>
      <w:r w:rsidR="00E50FB2" w:rsidRPr="008B619A">
        <w:rPr>
          <w:rFonts w:hint="eastAsia"/>
          <w:color w:val="000000" w:themeColor="text1"/>
        </w:rPr>
        <w:t>3</w:t>
      </w:r>
      <w:r w:rsidR="00E50FB2" w:rsidRPr="008B619A">
        <w:rPr>
          <w:color w:val="000000" w:themeColor="text1"/>
        </w:rPr>
        <w:t>,235</w:t>
      </w:r>
      <w:r w:rsidR="00E50FB2" w:rsidRPr="008B619A">
        <w:rPr>
          <w:rFonts w:hint="eastAsia"/>
          <w:color w:val="000000" w:themeColor="text1"/>
        </w:rPr>
        <w:t>人降至</w:t>
      </w:r>
      <w:r w:rsidR="00937287" w:rsidRPr="008B619A">
        <w:rPr>
          <w:rFonts w:hint="eastAsia"/>
          <w:color w:val="000000" w:themeColor="text1"/>
        </w:rPr>
        <w:t>2</w:t>
      </w:r>
      <w:r w:rsidR="00937287" w:rsidRPr="008B619A">
        <w:rPr>
          <w:color w:val="000000" w:themeColor="text1"/>
        </w:rPr>
        <w:t>,987</w:t>
      </w:r>
      <w:r w:rsidR="00937287" w:rsidRPr="008B619A">
        <w:rPr>
          <w:rFonts w:hint="eastAsia"/>
          <w:color w:val="000000" w:themeColor="text1"/>
        </w:rPr>
        <w:t>人</w:t>
      </w:r>
      <w:r w:rsidR="005D1D60" w:rsidRPr="008B619A">
        <w:rPr>
          <w:rFonts w:hint="eastAsia"/>
          <w:color w:val="000000" w:themeColor="text1"/>
        </w:rPr>
        <w:t>。</w:t>
      </w:r>
      <w:r w:rsidR="00191312" w:rsidRPr="008B619A">
        <w:rPr>
          <w:rFonts w:hint="eastAsia"/>
          <w:color w:val="000000" w:themeColor="text1"/>
        </w:rPr>
        <w:t>此外，</w:t>
      </w:r>
      <w:r w:rsidR="008A0072" w:rsidRPr="008B619A">
        <w:rPr>
          <w:rFonts w:hint="eastAsia"/>
          <w:color w:val="000000" w:themeColor="text1"/>
        </w:rPr>
        <w:t>自</w:t>
      </w:r>
      <w:r w:rsidRPr="008B619A">
        <w:rPr>
          <w:rFonts w:hint="eastAsia"/>
          <w:color w:val="000000" w:themeColor="text1"/>
        </w:rPr>
        <w:t>104年</w:t>
      </w:r>
      <w:r w:rsidR="00C14BC7" w:rsidRPr="008B619A">
        <w:rPr>
          <w:rFonts w:hint="eastAsia"/>
          <w:color w:val="000000" w:themeColor="text1"/>
        </w:rPr>
        <w:t>學年</w:t>
      </w:r>
      <w:r w:rsidRPr="008B619A">
        <w:rPr>
          <w:rFonts w:hint="eastAsia"/>
          <w:color w:val="000000" w:themeColor="text1"/>
        </w:rPr>
        <w:t>迄今</w:t>
      </w:r>
      <w:r w:rsidR="00C14BC7" w:rsidRPr="008B619A">
        <w:rPr>
          <w:rFonts w:hint="eastAsia"/>
          <w:color w:val="000000" w:themeColor="text1"/>
        </w:rPr>
        <w:t>，</w:t>
      </w:r>
      <w:r w:rsidR="005B14BB" w:rsidRPr="008B619A">
        <w:rPr>
          <w:rFonts w:hint="eastAsia"/>
          <w:color w:val="000000" w:themeColor="text1"/>
        </w:rPr>
        <w:t>殊不論個別系所之特殊因素，不乏</w:t>
      </w:r>
      <w:r w:rsidR="0039073F" w:rsidRPr="008B619A">
        <w:rPr>
          <w:rFonts w:hint="eastAsia"/>
          <w:color w:val="000000" w:themeColor="text1"/>
        </w:rPr>
        <w:t>部分</w:t>
      </w:r>
      <w:r w:rsidR="005B14BB" w:rsidRPr="008B619A">
        <w:rPr>
          <w:rFonts w:hint="eastAsia"/>
          <w:color w:val="000000" w:themeColor="text1"/>
        </w:rPr>
        <w:t>頂尖大學之人文社會領域博士班學生</w:t>
      </w:r>
      <w:r w:rsidR="00877B70" w:rsidRPr="008B619A">
        <w:rPr>
          <w:rFonts w:hint="eastAsia"/>
          <w:color w:val="000000" w:themeColor="text1"/>
        </w:rPr>
        <w:lastRenderedPageBreak/>
        <w:t>註冊掛</w:t>
      </w:r>
      <w:r w:rsidR="00543250" w:rsidRPr="008B619A">
        <w:rPr>
          <w:rFonts w:hint="eastAsia"/>
          <w:color w:val="000000" w:themeColor="text1"/>
        </w:rPr>
        <w:t>零</w:t>
      </w:r>
      <w:r w:rsidR="005B14BB" w:rsidRPr="008B619A">
        <w:rPr>
          <w:rFonts w:hint="eastAsia"/>
          <w:color w:val="000000" w:themeColor="text1"/>
        </w:rPr>
        <w:t>，或甚有屬稀少特殊領域者</w:t>
      </w:r>
      <w:r w:rsidR="00D707D6" w:rsidRPr="008B619A">
        <w:rPr>
          <w:rFonts w:hint="eastAsia"/>
          <w:color w:val="000000" w:themeColor="text1"/>
        </w:rPr>
        <w:t>。雖查，</w:t>
      </w:r>
      <w:r w:rsidR="00CF4C3D" w:rsidRPr="008B619A">
        <w:rPr>
          <w:rFonts w:hint="eastAsia"/>
          <w:color w:val="000000" w:themeColor="text1"/>
        </w:rPr>
        <w:t>部分博士班係以境外學生名額招生，</w:t>
      </w:r>
      <w:r w:rsidR="00F94C25" w:rsidRPr="008B619A">
        <w:rPr>
          <w:rFonts w:hint="eastAsia"/>
          <w:color w:val="000000" w:themeColor="text1"/>
        </w:rPr>
        <w:t>招生雖與教育品質及市場</w:t>
      </w:r>
      <w:r w:rsidR="0039073F" w:rsidRPr="008B619A">
        <w:rPr>
          <w:rFonts w:hint="eastAsia"/>
          <w:color w:val="000000" w:themeColor="text1"/>
        </w:rPr>
        <w:t>未有直接關聯，然</w:t>
      </w:r>
      <w:r w:rsidR="00133ED9" w:rsidRPr="008B619A">
        <w:rPr>
          <w:rFonts w:hint="eastAsia"/>
          <w:color w:val="000000" w:themeColor="text1"/>
        </w:rPr>
        <w:t>未見</w:t>
      </w:r>
      <w:r w:rsidR="00D26805" w:rsidRPr="008B619A">
        <w:rPr>
          <w:rFonts w:hint="eastAsia"/>
          <w:color w:val="000000" w:themeColor="text1"/>
        </w:rPr>
        <w:t>政府</w:t>
      </w:r>
      <w:r w:rsidR="00132C5D" w:rsidRPr="008B619A">
        <w:rPr>
          <w:rFonts w:hint="eastAsia"/>
          <w:color w:val="000000" w:themeColor="text1"/>
        </w:rPr>
        <w:t>整體</w:t>
      </w:r>
      <w:r w:rsidR="00133ED9" w:rsidRPr="008B619A">
        <w:rPr>
          <w:rFonts w:hint="eastAsia"/>
          <w:color w:val="000000" w:themeColor="text1"/>
        </w:rPr>
        <w:t>審慎評估</w:t>
      </w:r>
      <w:r w:rsidR="00132C5D" w:rsidRPr="008B619A">
        <w:rPr>
          <w:rFonts w:hint="eastAsia"/>
          <w:color w:val="000000" w:themeColor="text1"/>
        </w:rPr>
        <w:t>及積極對策</w:t>
      </w:r>
      <w:r w:rsidR="00133ED9" w:rsidRPr="008B619A">
        <w:rPr>
          <w:rFonts w:hint="eastAsia"/>
          <w:color w:val="000000" w:themeColor="text1"/>
        </w:rPr>
        <w:t>，</w:t>
      </w:r>
      <w:r w:rsidR="00CC1428" w:rsidRPr="008B619A">
        <w:rPr>
          <w:rFonts w:hint="eastAsia"/>
          <w:color w:val="000000" w:themeColor="text1"/>
        </w:rPr>
        <w:t>長此以往，</w:t>
      </w:r>
      <w:r w:rsidR="00F94C25" w:rsidRPr="008B619A">
        <w:rPr>
          <w:rFonts w:hint="eastAsia"/>
          <w:color w:val="000000" w:themeColor="text1"/>
        </w:rPr>
        <w:t>此現象</w:t>
      </w:r>
      <w:r w:rsidR="0039073F" w:rsidRPr="008B619A">
        <w:rPr>
          <w:rFonts w:hint="eastAsia"/>
          <w:color w:val="000000" w:themeColor="text1"/>
        </w:rPr>
        <w:t>對於</w:t>
      </w:r>
      <w:r w:rsidR="005B14BB" w:rsidRPr="008B619A">
        <w:rPr>
          <w:rFonts w:hint="eastAsia"/>
          <w:color w:val="000000" w:themeColor="text1"/>
        </w:rPr>
        <w:t>未來國家高階人才斷層及高階研發能量</w:t>
      </w:r>
      <w:r w:rsidR="009E4CF2" w:rsidRPr="008B619A">
        <w:rPr>
          <w:rFonts w:hint="eastAsia"/>
          <w:color w:val="000000" w:themeColor="text1"/>
        </w:rPr>
        <w:t>終</w:t>
      </w:r>
      <w:r w:rsidR="005B14BB" w:rsidRPr="008B619A">
        <w:rPr>
          <w:rFonts w:hint="eastAsia"/>
          <w:color w:val="000000" w:themeColor="text1"/>
        </w:rPr>
        <w:t>將堪慮</w:t>
      </w:r>
      <w:r w:rsidR="00C75CD5" w:rsidRPr="008B619A">
        <w:rPr>
          <w:rFonts w:hint="eastAsia"/>
          <w:color w:val="000000" w:themeColor="text1"/>
        </w:rPr>
        <w:t>，顯</w:t>
      </w:r>
      <w:r w:rsidR="004A04CB" w:rsidRPr="008B619A">
        <w:rPr>
          <w:rFonts w:hint="eastAsia"/>
          <w:color w:val="000000" w:themeColor="text1"/>
        </w:rPr>
        <w:t>應積極</w:t>
      </w:r>
      <w:r w:rsidR="00C75CD5" w:rsidRPr="008B619A">
        <w:rPr>
          <w:rFonts w:hint="eastAsia"/>
          <w:color w:val="000000" w:themeColor="text1"/>
        </w:rPr>
        <w:t>評估</w:t>
      </w:r>
      <w:r w:rsidR="004A04CB" w:rsidRPr="008B619A">
        <w:rPr>
          <w:rFonts w:hint="eastAsia"/>
          <w:color w:val="000000" w:themeColor="text1"/>
        </w:rPr>
        <w:t>以前瞻</w:t>
      </w:r>
      <w:r w:rsidR="009E2E81" w:rsidRPr="008B619A">
        <w:rPr>
          <w:rFonts w:hint="eastAsia"/>
          <w:color w:val="000000" w:themeColor="text1"/>
        </w:rPr>
        <w:t>佈署</w:t>
      </w:r>
      <w:r w:rsidR="00C75CD5" w:rsidRPr="008B619A">
        <w:rPr>
          <w:rFonts w:hint="eastAsia"/>
          <w:color w:val="000000" w:themeColor="text1"/>
        </w:rPr>
        <w:t>因應</w:t>
      </w:r>
      <w:r w:rsidRPr="008B619A">
        <w:rPr>
          <w:rFonts w:hint="eastAsia"/>
          <w:color w:val="000000" w:themeColor="text1"/>
        </w:rPr>
        <w:t>。茲</w:t>
      </w:r>
      <w:r w:rsidR="008712B8" w:rsidRPr="008B619A">
        <w:rPr>
          <w:rFonts w:hint="eastAsia"/>
          <w:color w:val="000000" w:themeColor="text1"/>
        </w:rPr>
        <w:t>彙整</w:t>
      </w:r>
      <w:r w:rsidRPr="008B619A">
        <w:rPr>
          <w:rFonts w:hint="eastAsia"/>
          <w:color w:val="000000" w:themeColor="text1"/>
        </w:rPr>
        <w:t>相關</w:t>
      </w:r>
      <w:r w:rsidR="00B87F42" w:rsidRPr="008B619A">
        <w:rPr>
          <w:rFonts w:hint="eastAsia"/>
          <w:color w:val="000000" w:themeColor="text1"/>
        </w:rPr>
        <w:t>註冊</w:t>
      </w:r>
      <w:r w:rsidR="006D1A82" w:rsidRPr="008B619A">
        <w:rPr>
          <w:rFonts w:hint="eastAsia"/>
          <w:color w:val="000000" w:themeColor="text1"/>
        </w:rPr>
        <w:t>率統計</w:t>
      </w:r>
      <w:r w:rsidR="00B87F42" w:rsidRPr="008B619A">
        <w:rPr>
          <w:rFonts w:hint="eastAsia"/>
          <w:color w:val="000000" w:themeColor="text1"/>
        </w:rPr>
        <w:t>情形及</w:t>
      </w:r>
      <w:r w:rsidR="00667915" w:rsidRPr="008B619A">
        <w:rPr>
          <w:rFonts w:hint="eastAsia"/>
          <w:color w:val="000000" w:themeColor="text1"/>
        </w:rPr>
        <w:t>各別</w:t>
      </w:r>
      <w:r w:rsidR="006D1A82" w:rsidRPr="008B619A">
        <w:rPr>
          <w:rFonts w:hint="eastAsia"/>
          <w:color w:val="000000" w:themeColor="text1"/>
        </w:rPr>
        <w:t>科系</w:t>
      </w:r>
      <w:r w:rsidR="00B67FF3" w:rsidRPr="008B619A">
        <w:rPr>
          <w:rFonts w:hint="eastAsia"/>
          <w:color w:val="000000" w:themeColor="text1"/>
        </w:rPr>
        <w:t>註冊率為0之</w:t>
      </w:r>
      <w:r w:rsidR="0081794E" w:rsidRPr="008B619A">
        <w:rPr>
          <w:rFonts w:hint="eastAsia"/>
          <w:color w:val="000000" w:themeColor="text1"/>
        </w:rPr>
        <w:t>系所</w:t>
      </w:r>
      <w:r w:rsidR="00580E4A" w:rsidRPr="008B619A">
        <w:rPr>
          <w:rFonts w:hint="eastAsia"/>
          <w:color w:val="000000" w:themeColor="text1"/>
        </w:rPr>
        <w:t>數量</w:t>
      </w:r>
      <w:r w:rsidRPr="008B619A">
        <w:rPr>
          <w:rFonts w:hint="eastAsia"/>
          <w:color w:val="000000" w:themeColor="text1"/>
        </w:rPr>
        <w:t>如</w:t>
      </w:r>
      <w:r w:rsidR="006F1680" w:rsidRPr="008B619A">
        <w:rPr>
          <w:rFonts w:hint="eastAsia"/>
          <w:color w:val="000000" w:themeColor="text1"/>
        </w:rPr>
        <w:t>下</w:t>
      </w:r>
      <w:r w:rsidR="002C55CE" w:rsidRPr="008B619A">
        <w:rPr>
          <w:rFonts w:hint="eastAsia"/>
          <w:color w:val="000000" w:themeColor="text1"/>
        </w:rPr>
        <w:t>2</w:t>
      </w:r>
      <w:r w:rsidR="006F1680" w:rsidRPr="008B619A">
        <w:rPr>
          <w:rFonts w:hint="eastAsia"/>
          <w:color w:val="000000" w:themeColor="text1"/>
        </w:rPr>
        <w:t>表</w:t>
      </w:r>
      <w:r w:rsidR="00EC51F5" w:rsidRPr="008B619A">
        <w:rPr>
          <w:rFonts w:hint="eastAsia"/>
          <w:color w:val="000000" w:themeColor="text1"/>
        </w:rPr>
        <w:t>供參</w:t>
      </w:r>
      <w:r w:rsidRPr="008B619A">
        <w:rPr>
          <w:rFonts w:hint="eastAsia"/>
          <w:color w:val="000000" w:themeColor="text1"/>
        </w:rPr>
        <w:t>：</w:t>
      </w:r>
    </w:p>
    <w:p w14:paraId="4365794D" w14:textId="7A8F89D7" w:rsidR="004A47B2" w:rsidRPr="008B619A" w:rsidRDefault="00E870E2" w:rsidP="00E870E2">
      <w:pPr>
        <w:pStyle w:val="a3"/>
        <w:ind w:left="0" w:firstLine="0"/>
        <w:jc w:val="center"/>
        <w:rPr>
          <w:b/>
          <w:bCs w:val="0"/>
          <w:color w:val="000000" w:themeColor="text1"/>
        </w:rPr>
      </w:pPr>
      <w:r w:rsidRPr="008B619A">
        <w:rPr>
          <w:rFonts w:hint="eastAsia"/>
          <w:b/>
          <w:bCs w:val="0"/>
          <w:color w:val="000000" w:themeColor="text1"/>
        </w:rPr>
        <w:t>104至109學年度</w:t>
      </w:r>
      <w:r w:rsidR="00A60B7C" w:rsidRPr="008B619A">
        <w:rPr>
          <w:rFonts w:hint="eastAsia"/>
          <w:b/>
          <w:bCs w:val="0"/>
          <w:color w:val="000000" w:themeColor="text1"/>
        </w:rPr>
        <w:t>頂尖大學及典範科大</w:t>
      </w:r>
      <w:r w:rsidRPr="008B619A">
        <w:rPr>
          <w:rFonts w:hint="eastAsia"/>
          <w:b/>
          <w:bCs w:val="0"/>
          <w:color w:val="000000" w:themeColor="text1"/>
        </w:rPr>
        <w:t>博士班招生情形</w:t>
      </w:r>
      <w:r w:rsidR="00AC56D3" w:rsidRPr="008B619A">
        <w:rPr>
          <w:rFonts w:hint="eastAsia"/>
          <w:b/>
          <w:bCs w:val="0"/>
          <w:color w:val="000000" w:themeColor="text1"/>
        </w:rPr>
        <w:t>-錄取比率</w:t>
      </w:r>
    </w:p>
    <w:p w14:paraId="11E0F55A" w14:textId="2053BA5B" w:rsidR="001F7991" w:rsidRPr="008B619A" w:rsidRDefault="00AC56D3" w:rsidP="00F534E4">
      <w:pPr>
        <w:jc w:val="right"/>
        <w:rPr>
          <w:color w:val="000000" w:themeColor="text1"/>
          <w:sz w:val="24"/>
          <w:szCs w:val="24"/>
        </w:rPr>
      </w:pPr>
      <w:r w:rsidRPr="008B619A">
        <w:rPr>
          <w:rFonts w:hint="eastAsia"/>
          <w:color w:val="000000" w:themeColor="text1"/>
        </w:rPr>
        <w:t xml:space="preserve">   </w:t>
      </w:r>
      <w:r w:rsidR="000B4B36" w:rsidRPr="008B619A">
        <w:rPr>
          <w:rFonts w:hint="eastAsia"/>
          <w:color w:val="000000" w:themeColor="text1"/>
        </w:rPr>
        <w:t xml:space="preserve">   </w:t>
      </w:r>
      <w:r w:rsidR="00946DE7" w:rsidRPr="008B619A">
        <w:rPr>
          <w:rFonts w:hint="eastAsia"/>
          <w:color w:val="000000" w:themeColor="text1"/>
        </w:rPr>
        <w:t xml:space="preserve">   </w:t>
      </w:r>
      <w:r w:rsidR="000B4B36" w:rsidRPr="008B619A">
        <w:rPr>
          <w:rFonts w:hint="eastAsia"/>
          <w:color w:val="000000" w:themeColor="text1"/>
        </w:rPr>
        <w:t xml:space="preserve"> </w:t>
      </w:r>
      <w:r w:rsidR="00946DE7" w:rsidRPr="008B619A">
        <w:rPr>
          <w:rFonts w:hint="eastAsia"/>
          <w:color w:val="000000" w:themeColor="text1"/>
        </w:rPr>
        <w:t xml:space="preserve"> </w:t>
      </w:r>
      <w:r w:rsidR="00F534E4" w:rsidRPr="008B619A">
        <w:rPr>
          <w:rFonts w:hint="eastAsia"/>
          <w:color w:val="000000" w:themeColor="text1"/>
        </w:rPr>
        <w:t xml:space="preserve">    </w:t>
      </w:r>
      <w:r w:rsidRPr="008B619A">
        <w:rPr>
          <w:rFonts w:hint="eastAsia"/>
          <w:color w:val="000000" w:themeColor="text1"/>
          <w:sz w:val="24"/>
          <w:szCs w:val="24"/>
        </w:rPr>
        <w:t>單位：%</w:t>
      </w:r>
    </w:p>
    <w:tbl>
      <w:tblPr>
        <w:tblStyle w:val="afa"/>
        <w:tblW w:w="0" w:type="auto"/>
        <w:jc w:val="center"/>
        <w:tblLook w:val="04A0" w:firstRow="1" w:lastRow="0" w:firstColumn="1" w:lastColumn="0" w:noHBand="0" w:noVBand="1"/>
      </w:tblPr>
      <w:tblGrid>
        <w:gridCol w:w="1971"/>
        <w:gridCol w:w="1104"/>
        <w:gridCol w:w="1104"/>
        <w:gridCol w:w="1104"/>
        <w:gridCol w:w="1104"/>
        <w:gridCol w:w="1104"/>
        <w:gridCol w:w="1105"/>
      </w:tblGrid>
      <w:tr w:rsidR="00C71B59" w:rsidRPr="008B619A" w14:paraId="5BFE8E16" w14:textId="77777777" w:rsidTr="003A7851">
        <w:trPr>
          <w:jc w:val="center"/>
        </w:trPr>
        <w:tc>
          <w:tcPr>
            <w:tcW w:w="1971" w:type="dxa"/>
            <w:shd w:val="clear" w:color="auto" w:fill="FDE9D9" w:themeFill="accent6" w:themeFillTint="33"/>
          </w:tcPr>
          <w:p w14:paraId="4D6C2C18" w14:textId="303BD46E" w:rsidR="00C71B59" w:rsidRPr="008B619A" w:rsidRDefault="00C71B59" w:rsidP="008269A0">
            <w:pPr>
              <w:jc w:val="center"/>
              <w:rPr>
                <w:b/>
                <w:color w:val="000000" w:themeColor="text1"/>
                <w:sz w:val="26"/>
                <w:szCs w:val="26"/>
              </w:rPr>
            </w:pPr>
            <w:r w:rsidRPr="008B619A">
              <w:rPr>
                <w:rFonts w:hint="eastAsia"/>
                <w:b/>
                <w:color w:val="000000" w:themeColor="text1"/>
                <w:sz w:val="26"/>
                <w:szCs w:val="26"/>
              </w:rPr>
              <w:t>分類</w:t>
            </w:r>
            <w:r w:rsidR="008561EF" w:rsidRPr="008B619A">
              <w:rPr>
                <w:rFonts w:hint="eastAsia"/>
                <w:b/>
                <w:color w:val="000000" w:themeColor="text1"/>
                <w:sz w:val="26"/>
                <w:szCs w:val="26"/>
              </w:rPr>
              <w:t>/年度</w:t>
            </w:r>
          </w:p>
        </w:tc>
        <w:tc>
          <w:tcPr>
            <w:tcW w:w="1104" w:type="dxa"/>
            <w:shd w:val="clear" w:color="auto" w:fill="FDE9D9" w:themeFill="accent6" w:themeFillTint="33"/>
          </w:tcPr>
          <w:p w14:paraId="49E47E98" w14:textId="30E1E3C2" w:rsidR="00C71B59" w:rsidRPr="008B619A" w:rsidRDefault="00C71B59" w:rsidP="00FD48F0">
            <w:pPr>
              <w:jc w:val="center"/>
              <w:rPr>
                <w:b/>
                <w:color w:val="000000" w:themeColor="text1"/>
                <w:sz w:val="26"/>
                <w:szCs w:val="26"/>
              </w:rPr>
            </w:pPr>
            <w:r w:rsidRPr="008B619A">
              <w:rPr>
                <w:rFonts w:hint="eastAsia"/>
                <w:b/>
                <w:color w:val="000000" w:themeColor="text1"/>
                <w:sz w:val="26"/>
                <w:szCs w:val="26"/>
              </w:rPr>
              <w:t>104</w:t>
            </w:r>
          </w:p>
        </w:tc>
        <w:tc>
          <w:tcPr>
            <w:tcW w:w="1104" w:type="dxa"/>
            <w:shd w:val="clear" w:color="auto" w:fill="FDE9D9" w:themeFill="accent6" w:themeFillTint="33"/>
          </w:tcPr>
          <w:p w14:paraId="5DD959F2" w14:textId="6FD3F3E4" w:rsidR="00C71B59" w:rsidRPr="008B619A" w:rsidRDefault="00C71B59" w:rsidP="00FD48F0">
            <w:pPr>
              <w:jc w:val="center"/>
              <w:rPr>
                <w:b/>
                <w:color w:val="000000" w:themeColor="text1"/>
                <w:sz w:val="26"/>
                <w:szCs w:val="26"/>
              </w:rPr>
            </w:pPr>
            <w:r w:rsidRPr="008B619A">
              <w:rPr>
                <w:rFonts w:hint="eastAsia"/>
                <w:b/>
                <w:color w:val="000000" w:themeColor="text1"/>
                <w:sz w:val="26"/>
                <w:szCs w:val="26"/>
              </w:rPr>
              <w:t>105</w:t>
            </w:r>
          </w:p>
        </w:tc>
        <w:tc>
          <w:tcPr>
            <w:tcW w:w="1104" w:type="dxa"/>
            <w:shd w:val="clear" w:color="auto" w:fill="FDE9D9" w:themeFill="accent6" w:themeFillTint="33"/>
          </w:tcPr>
          <w:p w14:paraId="765C72C0" w14:textId="0D15DD15" w:rsidR="00C71B59" w:rsidRPr="008B619A" w:rsidRDefault="00C71B59" w:rsidP="00FD48F0">
            <w:pPr>
              <w:jc w:val="center"/>
              <w:rPr>
                <w:b/>
                <w:color w:val="000000" w:themeColor="text1"/>
                <w:sz w:val="26"/>
                <w:szCs w:val="26"/>
              </w:rPr>
            </w:pPr>
            <w:r w:rsidRPr="008B619A">
              <w:rPr>
                <w:rFonts w:hint="eastAsia"/>
                <w:b/>
                <w:color w:val="000000" w:themeColor="text1"/>
                <w:sz w:val="26"/>
                <w:szCs w:val="26"/>
              </w:rPr>
              <w:t>106</w:t>
            </w:r>
          </w:p>
        </w:tc>
        <w:tc>
          <w:tcPr>
            <w:tcW w:w="1104" w:type="dxa"/>
            <w:shd w:val="clear" w:color="auto" w:fill="FDE9D9" w:themeFill="accent6" w:themeFillTint="33"/>
          </w:tcPr>
          <w:p w14:paraId="53AB27C9" w14:textId="21F2BE5D" w:rsidR="00C71B59" w:rsidRPr="008B619A" w:rsidRDefault="00C71B59" w:rsidP="00FD48F0">
            <w:pPr>
              <w:jc w:val="center"/>
              <w:rPr>
                <w:b/>
                <w:color w:val="000000" w:themeColor="text1"/>
                <w:sz w:val="26"/>
                <w:szCs w:val="26"/>
              </w:rPr>
            </w:pPr>
            <w:r w:rsidRPr="008B619A">
              <w:rPr>
                <w:rFonts w:hint="eastAsia"/>
                <w:b/>
                <w:color w:val="000000" w:themeColor="text1"/>
                <w:sz w:val="26"/>
                <w:szCs w:val="26"/>
              </w:rPr>
              <w:t>107</w:t>
            </w:r>
          </w:p>
        </w:tc>
        <w:tc>
          <w:tcPr>
            <w:tcW w:w="1104" w:type="dxa"/>
            <w:shd w:val="clear" w:color="auto" w:fill="FDE9D9" w:themeFill="accent6" w:themeFillTint="33"/>
          </w:tcPr>
          <w:p w14:paraId="6822238F" w14:textId="3FCB6CEE" w:rsidR="00C71B59" w:rsidRPr="008B619A" w:rsidRDefault="00C71B59" w:rsidP="00FD48F0">
            <w:pPr>
              <w:jc w:val="center"/>
              <w:rPr>
                <w:b/>
                <w:color w:val="000000" w:themeColor="text1"/>
                <w:sz w:val="26"/>
                <w:szCs w:val="26"/>
              </w:rPr>
            </w:pPr>
            <w:r w:rsidRPr="008B619A">
              <w:rPr>
                <w:rFonts w:hint="eastAsia"/>
                <w:b/>
                <w:color w:val="000000" w:themeColor="text1"/>
                <w:sz w:val="26"/>
                <w:szCs w:val="26"/>
              </w:rPr>
              <w:t>108</w:t>
            </w:r>
          </w:p>
        </w:tc>
        <w:tc>
          <w:tcPr>
            <w:tcW w:w="1105" w:type="dxa"/>
            <w:shd w:val="clear" w:color="auto" w:fill="FDE9D9" w:themeFill="accent6" w:themeFillTint="33"/>
          </w:tcPr>
          <w:p w14:paraId="00BB011D" w14:textId="6F54F6AA" w:rsidR="00C71B59" w:rsidRPr="008B619A" w:rsidRDefault="00C71B59" w:rsidP="00FD48F0">
            <w:pPr>
              <w:jc w:val="center"/>
              <w:rPr>
                <w:b/>
                <w:color w:val="000000" w:themeColor="text1"/>
                <w:sz w:val="26"/>
                <w:szCs w:val="26"/>
              </w:rPr>
            </w:pPr>
            <w:r w:rsidRPr="008B619A">
              <w:rPr>
                <w:rFonts w:hint="eastAsia"/>
                <w:b/>
                <w:color w:val="000000" w:themeColor="text1"/>
                <w:sz w:val="26"/>
                <w:szCs w:val="26"/>
              </w:rPr>
              <w:t>109</w:t>
            </w:r>
          </w:p>
        </w:tc>
      </w:tr>
      <w:tr w:rsidR="00C71B59" w:rsidRPr="008B619A" w14:paraId="786897B7" w14:textId="77777777" w:rsidTr="00C964AF">
        <w:trPr>
          <w:jc w:val="center"/>
        </w:trPr>
        <w:tc>
          <w:tcPr>
            <w:tcW w:w="1971" w:type="dxa"/>
            <w:shd w:val="clear" w:color="auto" w:fill="E5DFEC" w:themeFill="accent4" w:themeFillTint="33"/>
          </w:tcPr>
          <w:p w14:paraId="4F9DC755" w14:textId="6A2A0E79" w:rsidR="00C71B59" w:rsidRPr="008B619A" w:rsidRDefault="00C71B59" w:rsidP="008269A0">
            <w:pPr>
              <w:jc w:val="center"/>
              <w:rPr>
                <w:b/>
                <w:color w:val="000000" w:themeColor="text1"/>
                <w:sz w:val="26"/>
                <w:szCs w:val="26"/>
              </w:rPr>
            </w:pPr>
            <w:r w:rsidRPr="008B619A">
              <w:rPr>
                <w:rFonts w:hint="eastAsia"/>
                <w:b/>
                <w:color w:val="000000" w:themeColor="text1"/>
                <w:sz w:val="26"/>
                <w:szCs w:val="26"/>
              </w:rPr>
              <w:t>頂尖大學</w:t>
            </w:r>
          </w:p>
        </w:tc>
        <w:tc>
          <w:tcPr>
            <w:tcW w:w="1104" w:type="dxa"/>
          </w:tcPr>
          <w:p w14:paraId="72F4E83C" w14:textId="70BBA10A" w:rsidR="00C71B59" w:rsidRPr="008B619A" w:rsidRDefault="00834D7C" w:rsidP="004460A0">
            <w:pPr>
              <w:rPr>
                <w:color w:val="000000" w:themeColor="text1"/>
                <w:sz w:val="26"/>
                <w:szCs w:val="26"/>
              </w:rPr>
            </w:pPr>
            <w:r w:rsidRPr="008B619A">
              <w:rPr>
                <w:color w:val="000000" w:themeColor="text1"/>
                <w:sz w:val="26"/>
                <w:szCs w:val="26"/>
              </w:rPr>
              <w:t>65.84%</w:t>
            </w:r>
          </w:p>
        </w:tc>
        <w:tc>
          <w:tcPr>
            <w:tcW w:w="1104" w:type="dxa"/>
          </w:tcPr>
          <w:p w14:paraId="387E3644" w14:textId="7CB09AC2" w:rsidR="00C71B59" w:rsidRPr="008B619A" w:rsidRDefault="00834D7C" w:rsidP="004460A0">
            <w:pPr>
              <w:rPr>
                <w:color w:val="000000" w:themeColor="text1"/>
                <w:sz w:val="26"/>
                <w:szCs w:val="26"/>
              </w:rPr>
            </w:pPr>
            <w:r w:rsidRPr="008B619A">
              <w:rPr>
                <w:color w:val="000000" w:themeColor="text1"/>
                <w:sz w:val="26"/>
                <w:szCs w:val="26"/>
              </w:rPr>
              <w:t>78.84%</w:t>
            </w:r>
          </w:p>
        </w:tc>
        <w:tc>
          <w:tcPr>
            <w:tcW w:w="1104" w:type="dxa"/>
          </w:tcPr>
          <w:p w14:paraId="5CF49AE7" w14:textId="21B17EBE" w:rsidR="00C71B59" w:rsidRPr="008B619A" w:rsidRDefault="00834D7C" w:rsidP="004460A0">
            <w:pPr>
              <w:rPr>
                <w:color w:val="000000" w:themeColor="text1"/>
                <w:sz w:val="26"/>
                <w:szCs w:val="26"/>
              </w:rPr>
            </w:pPr>
            <w:r w:rsidRPr="008B619A">
              <w:rPr>
                <w:color w:val="000000" w:themeColor="text1"/>
                <w:sz w:val="26"/>
                <w:szCs w:val="26"/>
              </w:rPr>
              <w:t>75.86%</w:t>
            </w:r>
          </w:p>
        </w:tc>
        <w:tc>
          <w:tcPr>
            <w:tcW w:w="1104" w:type="dxa"/>
          </w:tcPr>
          <w:p w14:paraId="2EE785B5" w14:textId="080EA999" w:rsidR="00C71B59" w:rsidRPr="008B619A" w:rsidRDefault="00834D7C" w:rsidP="004460A0">
            <w:pPr>
              <w:rPr>
                <w:color w:val="000000" w:themeColor="text1"/>
                <w:sz w:val="26"/>
                <w:szCs w:val="26"/>
              </w:rPr>
            </w:pPr>
            <w:r w:rsidRPr="008B619A">
              <w:rPr>
                <w:color w:val="000000" w:themeColor="text1"/>
                <w:sz w:val="26"/>
                <w:szCs w:val="26"/>
              </w:rPr>
              <w:t>80.24%</w:t>
            </w:r>
          </w:p>
        </w:tc>
        <w:tc>
          <w:tcPr>
            <w:tcW w:w="1104" w:type="dxa"/>
          </w:tcPr>
          <w:p w14:paraId="030138EA" w14:textId="7CDC2159" w:rsidR="00C71B59" w:rsidRPr="008B619A" w:rsidRDefault="00834D7C" w:rsidP="004460A0">
            <w:pPr>
              <w:rPr>
                <w:color w:val="000000" w:themeColor="text1"/>
                <w:sz w:val="26"/>
                <w:szCs w:val="26"/>
              </w:rPr>
            </w:pPr>
            <w:r w:rsidRPr="008B619A">
              <w:rPr>
                <w:color w:val="000000" w:themeColor="text1"/>
                <w:sz w:val="26"/>
                <w:szCs w:val="26"/>
              </w:rPr>
              <w:t>82.89%</w:t>
            </w:r>
          </w:p>
        </w:tc>
        <w:tc>
          <w:tcPr>
            <w:tcW w:w="1105" w:type="dxa"/>
          </w:tcPr>
          <w:p w14:paraId="60F11969" w14:textId="5A547FB1" w:rsidR="00C71B59" w:rsidRPr="008B619A" w:rsidRDefault="00834D7C" w:rsidP="004460A0">
            <w:pPr>
              <w:rPr>
                <w:color w:val="000000" w:themeColor="text1"/>
                <w:sz w:val="26"/>
                <w:szCs w:val="26"/>
              </w:rPr>
            </w:pPr>
            <w:r w:rsidRPr="008B619A">
              <w:rPr>
                <w:color w:val="000000" w:themeColor="text1"/>
                <w:sz w:val="26"/>
                <w:szCs w:val="26"/>
              </w:rPr>
              <w:t>84.08%</w:t>
            </w:r>
          </w:p>
        </w:tc>
      </w:tr>
      <w:tr w:rsidR="00C71B59" w:rsidRPr="008B619A" w14:paraId="431ABA87" w14:textId="77777777" w:rsidTr="00C964AF">
        <w:trPr>
          <w:jc w:val="center"/>
        </w:trPr>
        <w:tc>
          <w:tcPr>
            <w:tcW w:w="1971" w:type="dxa"/>
            <w:shd w:val="clear" w:color="auto" w:fill="E5DFEC" w:themeFill="accent4" w:themeFillTint="33"/>
          </w:tcPr>
          <w:p w14:paraId="5F914A01" w14:textId="725CA0B7" w:rsidR="00C71B59" w:rsidRPr="008B619A" w:rsidRDefault="00C71B59" w:rsidP="008269A0">
            <w:pPr>
              <w:jc w:val="center"/>
              <w:rPr>
                <w:b/>
                <w:color w:val="000000" w:themeColor="text1"/>
                <w:sz w:val="26"/>
                <w:szCs w:val="26"/>
              </w:rPr>
            </w:pPr>
            <w:r w:rsidRPr="008B619A">
              <w:rPr>
                <w:rFonts w:hint="eastAsia"/>
                <w:b/>
                <w:color w:val="000000" w:themeColor="text1"/>
                <w:sz w:val="26"/>
                <w:szCs w:val="26"/>
              </w:rPr>
              <w:t>典範科大</w:t>
            </w:r>
          </w:p>
        </w:tc>
        <w:tc>
          <w:tcPr>
            <w:tcW w:w="1104" w:type="dxa"/>
          </w:tcPr>
          <w:p w14:paraId="63D0F263" w14:textId="0366C068" w:rsidR="00C71B59" w:rsidRPr="008B619A" w:rsidRDefault="00834D7C" w:rsidP="004460A0">
            <w:pPr>
              <w:rPr>
                <w:color w:val="000000" w:themeColor="text1"/>
                <w:sz w:val="26"/>
                <w:szCs w:val="26"/>
              </w:rPr>
            </w:pPr>
            <w:r w:rsidRPr="008B619A">
              <w:rPr>
                <w:color w:val="000000" w:themeColor="text1"/>
                <w:sz w:val="26"/>
                <w:szCs w:val="26"/>
              </w:rPr>
              <w:t>82.43%</w:t>
            </w:r>
          </w:p>
        </w:tc>
        <w:tc>
          <w:tcPr>
            <w:tcW w:w="1104" w:type="dxa"/>
          </w:tcPr>
          <w:p w14:paraId="61EF9AA0" w14:textId="6AED5A10" w:rsidR="00C71B59" w:rsidRPr="008B619A" w:rsidRDefault="00834D7C" w:rsidP="004460A0">
            <w:pPr>
              <w:rPr>
                <w:color w:val="000000" w:themeColor="text1"/>
                <w:sz w:val="26"/>
                <w:szCs w:val="26"/>
              </w:rPr>
            </w:pPr>
            <w:r w:rsidRPr="008B619A">
              <w:rPr>
                <w:color w:val="000000" w:themeColor="text1"/>
                <w:sz w:val="26"/>
                <w:szCs w:val="26"/>
              </w:rPr>
              <w:t>85.73%</w:t>
            </w:r>
          </w:p>
        </w:tc>
        <w:tc>
          <w:tcPr>
            <w:tcW w:w="1104" w:type="dxa"/>
          </w:tcPr>
          <w:p w14:paraId="400BE416" w14:textId="70A760E1" w:rsidR="00C71B59" w:rsidRPr="008B619A" w:rsidRDefault="00834D7C" w:rsidP="004460A0">
            <w:pPr>
              <w:rPr>
                <w:color w:val="000000" w:themeColor="text1"/>
                <w:sz w:val="26"/>
                <w:szCs w:val="26"/>
              </w:rPr>
            </w:pPr>
            <w:r w:rsidRPr="008B619A">
              <w:rPr>
                <w:color w:val="000000" w:themeColor="text1"/>
                <w:sz w:val="26"/>
                <w:szCs w:val="26"/>
              </w:rPr>
              <w:t>87.69%</w:t>
            </w:r>
          </w:p>
        </w:tc>
        <w:tc>
          <w:tcPr>
            <w:tcW w:w="1104" w:type="dxa"/>
          </w:tcPr>
          <w:p w14:paraId="2339F26A" w14:textId="0BCE8BE1" w:rsidR="00C71B59" w:rsidRPr="008B619A" w:rsidRDefault="00834D7C" w:rsidP="004460A0">
            <w:pPr>
              <w:rPr>
                <w:color w:val="000000" w:themeColor="text1"/>
                <w:sz w:val="26"/>
                <w:szCs w:val="26"/>
              </w:rPr>
            </w:pPr>
            <w:r w:rsidRPr="008B619A">
              <w:rPr>
                <w:color w:val="000000" w:themeColor="text1"/>
                <w:sz w:val="26"/>
                <w:szCs w:val="26"/>
              </w:rPr>
              <w:t>86.16%</w:t>
            </w:r>
          </w:p>
        </w:tc>
        <w:tc>
          <w:tcPr>
            <w:tcW w:w="1104" w:type="dxa"/>
          </w:tcPr>
          <w:p w14:paraId="01159EDC" w14:textId="2573BEA7" w:rsidR="00C71B59" w:rsidRPr="008B619A" w:rsidRDefault="00834D7C" w:rsidP="004460A0">
            <w:pPr>
              <w:rPr>
                <w:color w:val="000000" w:themeColor="text1"/>
                <w:sz w:val="26"/>
                <w:szCs w:val="26"/>
              </w:rPr>
            </w:pPr>
            <w:r w:rsidRPr="008B619A">
              <w:rPr>
                <w:color w:val="000000" w:themeColor="text1"/>
                <w:sz w:val="26"/>
                <w:szCs w:val="26"/>
              </w:rPr>
              <w:t>87.91%</w:t>
            </w:r>
          </w:p>
        </w:tc>
        <w:tc>
          <w:tcPr>
            <w:tcW w:w="1105" w:type="dxa"/>
          </w:tcPr>
          <w:p w14:paraId="357C02F0" w14:textId="3151F697" w:rsidR="00C71B59" w:rsidRPr="008B619A" w:rsidRDefault="00834D7C" w:rsidP="004460A0">
            <w:pPr>
              <w:rPr>
                <w:color w:val="000000" w:themeColor="text1"/>
                <w:sz w:val="26"/>
                <w:szCs w:val="26"/>
              </w:rPr>
            </w:pPr>
            <w:r w:rsidRPr="008B619A">
              <w:rPr>
                <w:color w:val="000000" w:themeColor="text1"/>
                <w:sz w:val="26"/>
                <w:szCs w:val="26"/>
              </w:rPr>
              <w:t>92.51%</w:t>
            </w:r>
          </w:p>
        </w:tc>
      </w:tr>
    </w:tbl>
    <w:p w14:paraId="59C0C994" w14:textId="77777777" w:rsidR="00D74770" w:rsidRPr="008B619A" w:rsidRDefault="00445155" w:rsidP="00D74770">
      <w:pPr>
        <w:spacing w:afterLines="50" w:after="228"/>
        <w:rPr>
          <w:color w:val="000000" w:themeColor="text1"/>
          <w:sz w:val="24"/>
          <w:szCs w:val="24"/>
        </w:rPr>
      </w:pPr>
      <w:r w:rsidRPr="008B619A">
        <w:rPr>
          <w:rFonts w:hint="eastAsia"/>
          <w:color w:val="000000" w:themeColor="text1"/>
        </w:rPr>
        <w:t xml:space="preserve"> </w:t>
      </w:r>
      <w:r w:rsidR="00D74770" w:rsidRPr="008B619A">
        <w:rPr>
          <w:rFonts w:hint="eastAsia"/>
          <w:color w:val="000000" w:themeColor="text1"/>
          <w:sz w:val="24"/>
          <w:szCs w:val="24"/>
        </w:rPr>
        <w:t>資料來源：彙整自109教調33號案行政院函復資料。</w:t>
      </w:r>
    </w:p>
    <w:p w14:paraId="2A6816DE" w14:textId="42D965D4" w:rsidR="005D4B4A" w:rsidRPr="008B619A" w:rsidRDefault="005D4B4A" w:rsidP="00E870E2">
      <w:pPr>
        <w:pStyle w:val="a3"/>
        <w:ind w:left="0" w:firstLine="0"/>
        <w:jc w:val="center"/>
        <w:rPr>
          <w:b/>
          <w:bCs w:val="0"/>
          <w:color w:val="000000" w:themeColor="text1"/>
        </w:rPr>
      </w:pPr>
      <w:r w:rsidRPr="008B619A">
        <w:rPr>
          <w:rFonts w:hint="eastAsia"/>
          <w:b/>
          <w:bCs w:val="0"/>
          <w:color w:val="000000" w:themeColor="text1"/>
        </w:rPr>
        <w:t>大專校院104至109學年度博士班新生註冊率為0</w:t>
      </w:r>
      <w:r w:rsidR="00CE6A15" w:rsidRPr="008B619A">
        <w:rPr>
          <w:rFonts w:hint="eastAsia"/>
          <w:b/>
          <w:bCs w:val="0"/>
          <w:color w:val="000000" w:themeColor="text1"/>
        </w:rPr>
        <w:t>之</w:t>
      </w:r>
      <w:r w:rsidR="005113DD" w:rsidRPr="008B619A">
        <w:rPr>
          <w:rFonts w:hint="eastAsia"/>
          <w:b/>
          <w:bCs w:val="0"/>
          <w:color w:val="000000" w:themeColor="text1"/>
        </w:rPr>
        <w:t>系</w:t>
      </w:r>
      <w:r w:rsidRPr="008B619A">
        <w:rPr>
          <w:rFonts w:hint="eastAsia"/>
          <w:b/>
          <w:bCs w:val="0"/>
          <w:color w:val="000000" w:themeColor="text1"/>
        </w:rPr>
        <w:t>所</w:t>
      </w:r>
      <w:r w:rsidR="00C04D4C" w:rsidRPr="008B619A">
        <w:rPr>
          <w:rFonts w:hint="eastAsia"/>
          <w:b/>
          <w:bCs w:val="0"/>
          <w:color w:val="000000" w:themeColor="text1"/>
        </w:rPr>
        <w:t>名單</w:t>
      </w:r>
    </w:p>
    <w:tbl>
      <w:tblPr>
        <w:tblW w:w="8834" w:type="dxa"/>
        <w:tblCellMar>
          <w:left w:w="28" w:type="dxa"/>
          <w:right w:w="28" w:type="dxa"/>
        </w:tblCellMar>
        <w:tblLook w:val="04A0" w:firstRow="1" w:lastRow="0" w:firstColumn="1" w:lastColumn="0" w:noHBand="0" w:noVBand="1"/>
      </w:tblPr>
      <w:tblGrid>
        <w:gridCol w:w="1129"/>
        <w:gridCol w:w="3288"/>
        <w:gridCol w:w="1248"/>
        <w:gridCol w:w="3169"/>
      </w:tblGrid>
      <w:tr w:rsidR="000872AE" w:rsidRPr="008B619A" w14:paraId="27DDE117" w14:textId="378F422C" w:rsidTr="00F33FE5">
        <w:trPr>
          <w:trHeight w:val="315"/>
          <w:tblHeader/>
        </w:trPr>
        <w:tc>
          <w:tcPr>
            <w:tcW w:w="1129"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14:paraId="27BE3FD0" w14:textId="77777777" w:rsidR="000872AE" w:rsidRPr="008B619A" w:rsidRDefault="000872AE" w:rsidP="000872AE">
            <w:pPr>
              <w:widowControl/>
              <w:jc w:val="center"/>
              <w:rPr>
                <w:rFonts w:hAnsi="標楷體" w:cs="新細明體"/>
                <w:b/>
                <w:bCs/>
                <w:color w:val="000000" w:themeColor="text1"/>
                <w:kern w:val="0"/>
                <w:sz w:val="24"/>
                <w:szCs w:val="24"/>
              </w:rPr>
            </w:pPr>
            <w:r w:rsidRPr="008B619A">
              <w:rPr>
                <w:rFonts w:hAnsi="標楷體" w:cs="新細明體" w:hint="eastAsia"/>
                <w:b/>
                <w:bCs/>
                <w:color w:val="000000" w:themeColor="text1"/>
                <w:kern w:val="0"/>
                <w:sz w:val="24"/>
                <w:szCs w:val="24"/>
              </w:rPr>
              <w:t>學年度</w:t>
            </w:r>
          </w:p>
        </w:tc>
        <w:tc>
          <w:tcPr>
            <w:tcW w:w="3288" w:type="dxa"/>
            <w:tcBorders>
              <w:top w:val="single" w:sz="4" w:space="0" w:color="auto"/>
              <w:left w:val="single" w:sz="4" w:space="0" w:color="auto"/>
              <w:bottom w:val="single" w:sz="4" w:space="0" w:color="auto"/>
              <w:right w:val="double" w:sz="4" w:space="0" w:color="auto"/>
            </w:tcBorders>
            <w:shd w:val="clear" w:color="000000" w:fill="F2F2F2"/>
            <w:vAlign w:val="center"/>
            <w:hideMark/>
          </w:tcPr>
          <w:p w14:paraId="48A2C7F5" w14:textId="77777777" w:rsidR="000872AE" w:rsidRPr="008B619A" w:rsidRDefault="000872AE" w:rsidP="000872AE">
            <w:pPr>
              <w:widowControl/>
              <w:jc w:val="center"/>
              <w:rPr>
                <w:rFonts w:hAnsi="標楷體" w:cs="新細明體"/>
                <w:b/>
                <w:bCs/>
                <w:color w:val="000000" w:themeColor="text1"/>
                <w:kern w:val="0"/>
                <w:sz w:val="24"/>
                <w:szCs w:val="24"/>
              </w:rPr>
            </w:pPr>
            <w:r w:rsidRPr="008B619A">
              <w:rPr>
                <w:rFonts w:hAnsi="標楷體" w:cs="新細明體" w:hint="eastAsia"/>
                <w:b/>
                <w:bCs/>
                <w:color w:val="000000" w:themeColor="text1"/>
                <w:kern w:val="0"/>
                <w:sz w:val="24"/>
                <w:szCs w:val="24"/>
              </w:rPr>
              <w:t>科系名稱</w:t>
            </w:r>
          </w:p>
        </w:tc>
        <w:tc>
          <w:tcPr>
            <w:tcW w:w="1248" w:type="dxa"/>
            <w:tcBorders>
              <w:top w:val="single" w:sz="4" w:space="0" w:color="auto"/>
              <w:left w:val="double" w:sz="4" w:space="0" w:color="auto"/>
              <w:bottom w:val="single" w:sz="4" w:space="0" w:color="auto"/>
              <w:right w:val="single" w:sz="4" w:space="0" w:color="auto"/>
            </w:tcBorders>
            <w:shd w:val="clear" w:color="000000" w:fill="F2F2F2"/>
            <w:vAlign w:val="center"/>
          </w:tcPr>
          <w:p w14:paraId="0DEA5546" w14:textId="249734B0" w:rsidR="000872AE" w:rsidRPr="008B619A" w:rsidRDefault="000872AE" w:rsidP="000872AE">
            <w:pPr>
              <w:widowControl/>
              <w:jc w:val="center"/>
              <w:rPr>
                <w:rFonts w:hAnsi="標楷體" w:cs="新細明體"/>
                <w:b/>
                <w:bCs/>
                <w:color w:val="000000" w:themeColor="text1"/>
                <w:kern w:val="0"/>
                <w:sz w:val="24"/>
                <w:szCs w:val="24"/>
              </w:rPr>
            </w:pPr>
            <w:r w:rsidRPr="008B619A">
              <w:rPr>
                <w:rFonts w:hAnsi="標楷體" w:cs="新細明體" w:hint="eastAsia"/>
                <w:b/>
                <w:bCs/>
                <w:color w:val="000000" w:themeColor="text1"/>
                <w:kern w:val="0"/>
                <w:sz w:val="24"/>
                <w:szCs w:val="24"/>
              </w:rPr>
              <w:t>學年度</w:t>
            </w:r>
          </w:p>
        </w:tc>
        <w:tc>
          <w:tcPr>
            <w:tcW w:w="3169" w:type="dxa"/>
            <w:tcBorders>
              <w:top w:val="single" w:sz="4" w:space="0" w:color="auto"/>
              <w:left w:val="single" w:sz="4" w:space="0" w:color="auto"/>
              <w:bottom w:val="single" w:sz="4" w:space="0" w:color="auto"/>
              <w:right w:val="single" w:sz="4" w:space="0" w:color="auto"/>
            </w:tcBorders>
            <w:shd w:val="clear" w:color="000000" w:fill="F2F2F2"/>
            <w:vAlign w:val="center"/>
          </w:tcPr>
          <w:p w14:paraId="71D61640" w14:textId="57CD16A8" w:rsidR="000872AE" w:rsidRPr="008B619A" w:rsidRDefault="000872AE" w:rsidP="000872AE">
            <w:pPr>
              <w:widowControl/>
              <w:jc w:val="center"/>
              <w:rPr>
                <w:rFonts w:hAnsi="標楷體" w:cs="新細明體"/>
                <w:b/>
                <w:bCs/>
                <w:color w:val="000000" w:themeColor="text1"/>
                <w:kern w:val="0"/>
                <w:sz w:val="24"/>
                <w:szCs w:val="24"/>
              </w:rPr>
            </w:pPr>
            <w:r w:rsidRPr="008B619A">
              <w:rPr>
                <w:rFonts w:hAnsi="標楷體" w:cs="新細明體" w:hint="eastAsia"/>
                <w:b/>
                <w:bCs/>
                <w:color w:val="000000" w:themeColor="text1"/>
                <w:kern w:val="0"/>
                <w:sz w:val="24"/>
                <w:szCs w:val="24"/>
              </w:rPr>
              <w:t>科系名稱</w:t>
            </w:r>
          </w:p>
        </w:tc>
      </w:tr>
      <w:tr w:rsidR="00EF5281" w:rsidRPr="008B619A" w14:paraId="2B293504" w14:textId="3D207B74" w:rsidTr="00F33FE5">
        <w:trPr>
          <w:trHeight w:val="315"/>
        </w:trPr>
        <w:tc>
          <w:tcPr>
            <w:tcW w:w="1129" w:type="dxa"/>
            <w:vMerge w:val="restart"/>
            <w:tcBorders>
              <w:top w:val="nil"/>
              <w:left w:val="single" w:sz="4" w:space="0" w:color="auto"/>
              <w:right w:val="single" w:sz="4" w:space="0" w:color="auto"/>
            </w:tcBorders>
            <w:shd w:val="clear" w:color="auto" w:fill="FDE9D9" w:themeFill="accent6" w:themeFillTint="33"/>
            <w:vAlign w:val="center"/>
            <w:hideMark/>
          </w:tcPr>
          <w:p w14:paraId="0610F617" w14:textId="0F7D7CDB" w:rsidR="00EF5281" w:rsidRPr="008B619A" w:rsidRDefault="00EF5281" w:rsidP="005E7907">
            <w:pPr>
              <w:jc w:val="center"/>
              <w:rPr>
                <w:rFonts w:hAnsi="標楷體" w:cs="新細明體"/>
                <w:b/>
                <w:bCs/>
                <w:color w:val="000000" w:themeColor="text1"/>
                <w:kern w:val="0"/>
                <w:sz w:val="24"/>
                <w:szCs w:val="24"/>
              </w:rPr>
            </w:pPr>
            <w:r w:rsidRPr="008B619A">
              <w:rPr>
                <w:rFonts w:hAnsi="標楷體" w:cs="新細明體" w:hint="eastAsia"/>
                <w:b/>
                <w:bCs/>
                <w:color w:val="000000" w:themeColor="text1"/>
                <w:kern w:val="0"/>
                <w:sz w:val="24"/>
                <w:szCs w:val="24"/>
              </w:rPr>
              <w:t>104</w:t>
            </w:r>
          </w:p>
        </w:tc>
        <w:tc>
          <w:tcPr>
            <w:tcW w:w="3288" w:type="dxa"/>
            <w:tcBorders>
              <w:top w:val="nil"/>
              <w:left w:val="nil"/>
              <w:bottom w:val="single" w:sz="4" w:space="0" w:color="auto"/>
              <w:right w:val="double" w:sz="4" w:space="0" w:color="auto"/>
            </w:tcBorders>
            <w:shd w:val="clear" w:color="auto" w:fill="auto"/>
            <w:vAlign w:val="center"/>
            <w:hideMark/>
          </w:tcPr>
          <w:p w14:paraId="53BD95D0" w14:textId="77777777" w:rsidR="00EF5281" w:rsidRPr="008B619A" w:rsidRDefault="00EF5281" w:rsidP="005E7907">
            <w:pPr>
              <w:widowControl/>
              <w:rPr>
                <w:rFonts w:hAnsi="標楷體" w:cs="新細明體"/>
                <w:color w:val="000000" w:themeColor="text1"/>
                <w:kern w:val="0"/>
                <w:sz w:val="24"/>
                <w:szCs w:val="24"/>
              </w:rPr>
            </w:pPr>
            <w:r w:rsidRPr="008B619A">
              <w:rPr>
                <w:rFonts w:hAnsi="標楷體" w:cs="新細明體" w:hint="eastAsia"/>
                <w:color w:val="000000" w:themeColor="text1"/>
                <w:kern w:val="0"/>
                <w:sz w:val="24"/>
                <w:szCs w:val="24"/>
              </w:rPr>
              <w:t>社會學系</w:t>
            </w:r>
          </w:p>
        </w:tc>
        <w:tc>
          <w:tcPr>
            <w:tcW w:w="1248" w:type="dxa"/>
            <w:vMerge w:val="restart"/>
            <w:tcBorders>
              <w:top w:val="single" w:sz="4" w:space="0" w:color="auto"/>
              <w:left w:val="double" w:sz="4" w:space="0" w:color="auto"/>
              <w:right w:val="single" w:sz="4" w:space="0" w:color="auto"/>
            </w:tcBorders>
            <w:vAlign w:val="center"/>
          </w:tcPr>
          <w:p w14:paraId="222CE1B1" w14:textId="3A93ABFE" w:rsidR="00EF5281" w:rsidRPr="008B619A" w:rsidRDefault="00EF5281" w:rsidP="005E7907">
            <w:pPr>
              <w:rPr>
                <w:rFonts w:hAnsi="標楷體" w:cs="新細明體"/>
                <w:color w:val="000000" w:themeColor="text1"/>
                <w:kern w:val="0"/>
                <w:sz w:val="24"/>
                <w:szCs w:val="24"/>
              </w:rPr>
            </w:pPr>
            <w:r w:rsidRPr="008B619A">
              <w:rPr>
                <w:rFonts w:hAnsi="標楷體" w:cs="新細明體" w:hint="eastAsia"/>
                <w:color w:val="000000" w:themeColor="text1"/>
                <w:kern w:val="0"/>
                <w:sz w:val="24"/>
                <w:szCs w:val="24"/>
              </w:rPr>
              <w:t>105</w:t>
            </w:r>
          </w:p>
        </w:tc>
        <w:tc>
          <w:tcPr>
            <w:tcW w:w="3169" w:type="dxa"/>
            <w:tcBorders>
              <w:top w:val="nil"/>
              <w:left w:val="nil"/>
              <w:bottom w:val="single" w:sz="4" w:space="0" w:color="auto"/>
              <w:right w:val="single" w:sz="4" w:space="0" w:color="auto"/>
            </w:tcBorders>
            <w:vAlign w:val="center"/>
          </w:tcPr>
          <w:p w14:paraId="2EDB00E5" w14:textId="3D04A269" w:rsidR="00EF5281" w:rsidRPr="008B619A" w:rsidRDefault="00EF5281" w:rsidP="005E7907">
            <w:pPr>
              <w:widowControl/>
              <w:rPr>
                <w:rFonts w:hAnsi="標楷體" w:cs="新細明體"/>
                <w:color w:val="000000" w:themeColor="text1"/>
                <w:kern w:val="0"/>
                <w:sz w:val="24"/>
                <w:szCs w:val="24"/>
              </w:rPr>
            </w:pPr>
            <w:r w:rsidRPr="008B619A">
              <w:rPr>
                <w:rFonts w:hAnsi="標楷體" w:cs="新細明體" w:hint="eastAsia"/>
                <w:color w:val="000000" w:themeColor="text1"/>
                <w:kern w:val="0"/>
                <w:sz w:val="24"/>
                <w:szCs w:val="24"/>
              </w:rPr>
              <w:t>語言學研究所</w:t>
            </w:r>
          </w:p>
        </w:tc>
      </w:tr>
      <w:tr w:rsidR="00EF5281" w:rsidRPr="008B619A" w14:paraId="52018B27" w14:textId="22BE1082" w:rsidTr="00F33FE5">
        <w:trPr>
          <w:trHeight w:val="315"/>
        </w:trPr>
        <w:tc>
          <w:tcPr>
            <w:tcW w:w="1129" w:type="dxa"/>
            <w:vMerge/>
            <w:tcBorders>
              <w:left w:val="single" w:sz="4" w:space="0" w:color="auto"/>
              <w:right w:val="single" w:sz="4" w:space="0" w:color="auto"/>
            </w:tcBorders>
            <w:shd w:val="clear" w:color="auto" w:fill="FDE9D9" w:themeFill="accent6" w:themeFillTint="33"/>
            <w:vAlign w:val="center"/>
            <w:hideMark/>
          </w:tcPr>
          <w:p w14:paraId="66E395DF" w14:textId="4CBDD822" w:rsidR="00EF5281" w:rsidRPr="008B619A" w:rsidRDefault="00EF5281" w:rsidP="005E7907">
            <w:pPr>
              <w:jc w:val="center"/>
              <w:rPr>
                <w:rFonts w:hAnsi="標楷體" w:cs="新細明體"/>
                <w:b/>
                <w:bCs/>
                <w:color w:val="000000" w:themeColor="text1"/>
                <w:kern w:val="0"/>
                <w:sz w:val="24"/>
                <w:szCs w:val="24"/>
              </w:rPr>
            </w:pPr>
          </w:p>
        </w:tc>
        <w:tc>
          <w:tcPr>
            <w:tcW w:w="3288" w:type="dxa"/>
            <w:tcBorders>
              <w:top w:val="nil"/>
              <w:left w:val="nil"/>
              <w:bottom w:val="single" w:sz="4" w:space="0" w:color="auto"/>
              <w:right w:val="double" w:sz="4" w:space="0" w:color="auto"/>
            </w:tcBorders>
            <w:shd w:val="clear" w:color="auto" w:fill="auto"/>
            <w:vAlign w:val="center"/>
            <w:hideMark/>
          </w:tcPr>
          <w:p w14:paraId="43F9676D" w14:textId="77777777" w:rsidR="00EF5281" w:rsidRPr="008B619A" w:rsidRDefault="00EF5281" w:rsidP="005E7907">
            <w:pPr>
              <w:widowControl/>
              <w:rPr>
                <w:rFonts w:hAnsi="標楷體" w:cs="新細明體"/>
                <w:color w:val="000000" w:themeColor="text1"/>
                <w:kern w:val="0"/>
                <w:sz w:val="24"/>
                <w:szCs w:val="24"/>
              </w:rPr>
            </w:pPr>
            <w:r w:rsidRPr="008B619A">
              <w:rPr>
                <w:rFonts w:hAnsi="標楷體" w:cs="新細明體" w:hint="eastAsia"/>
                <w:color w:val="000000" w:themeColor="text1"/>
                <w:kern w:val="0"/>
                <w:sz w:val="24"/>
                <w:szCs w:val="24"/>
              </w:rPr>
              <w:t>外交學系</w:t>
            </w:r>
          </w:p>
        </w:tc>
        <w:tc>
          <w:tcPr>
            <w:tcW w:w="1248" w:type="dxa"/>
            <w:vMerge/>
            <w:tcBorders>
              <w:left w:val="double" w:sz="4" w:space="0" w:color="auto"/>
              <w:right w:val="single" w:sz="4" w:space="0" w:color="auto"/>
            </w:tcBorders>
            <w:vAlign w:val="center"/>
          </w:tcPr>
          <w:p w14:paraId="708C115B" w14:textId="3F705DE9" w:rsidR="00EF5281" w:rsidRPr="008B619A" w:rsidRDefault="00EF5281" w:rsidP="005E7907">
            <w:pPr>
              <w:rPr>
                <w:rFonts w:hAnsi="標楷體" w:cs="新細明體"/>
                <w:color w:val="000000" w:themeColor="text1"/>
                <w:kern w:val="0"/>
                <w:sz w:val="24"/>
                <w:szCs w:val="24"/>
              </w:rPr>
            </w:pPr>
          </w:p>
        </w:tc>
        <w:tc>
          <w:tcPr>
            <w:tcW w:w="3169" w:type="dxa"/>
            <w:tcBorders>
              <w:top w:val="nil"/>
              <w:left w:val="nil"/>
              <w:bottom w:val="single" w:sz="4" w:space="0" w:color="auto"/>
              <w:right w:val="single" w:sz="4" w:space="0" w:color="auto"/>
            </w:tcBorders>
            <w:vAlign w:val="center"/>
          </w:tcPr>
          <w:p w14:paraId="4882D0DC" w14:textId="624C669C" w:rsidR="00EF5281" w:rsidRPr="008B619A" w:rsidRDefault="00EF5281" w:rsidP="005E7907">
            <w:pPr>
              <w:widowControl/>
              <w:rPr>
                <w:rFonts w:hAnsi="標楷體" w:cs="新細明體"/>
                <w:color w:val="000000" w:themeColor="text1"/>
                <w:kern w:val="0"/>
                <w:sz w:val="24"/>
                <w:szCs w:val="24"/>
              </w:rPr>
            </w:pPr>
            <w:r w:rsidRPr="008B619A">
              <w:rPr>
                <w:rFonts w:hAnsi="標楷體" w:cs="新細明體" w:hint="eastAsia"/>
                <w:color w:val="000000" w:themeColor="text1"/>
                <w:kern w:val="0"/>
                <w:sz w:val="24"/>
                <w:szCs w:val="24"/>
              </w:rPr>
              <w:t>外交學系</w:t>
            </w:r>
          </w:p>
        </w:tc>
      </w:tr>
      <w:tr w:rsidR="00EF5281" w:rsidRPr="008B619A" w14:paraId="1A5CD66D" w14:textId="5D936B0D" w:rsidTr="00F33FE5">
        <w:trPr>
          <w:trHeight w:val="315"/>
        </w:trPr>
        <w:tc>
          <w:tcPr>
            <w:tcW w:w="1129" w:type="dxa"/>
            <w:vMerge/>
            <w:tcBorders>
              <w:left w:val="single" w:sz="4" w:space="0" w:color="auto"/>
              <w:right w:val="single" w:sz="4" w:space="0" w:color="auto"/>
            </w:tcBorders>
            <w:shd w:val="clear" w:color="auto" w:fill="FDE9D9" w:themeFill="accent6" w:themeFillTint="33"/>
            <w:vAlign w:val="center"/>
            <w:hideMark/>
          </w:tcPr>
          <w:p w14:paraId="204426BE" w14:textId="511B6E5B" w:rsidR="00EF5281" w:rsidRPr="008B619A" w:rsidRDefault="00EF5281" w:rsidP="005E7907">
            <w:pPr>
              <w:jc w:val="center"/>
              <w:rPr>
                <w:rFonts w:hAnsi="標楷體" w:cs="新細明體"/>
                <w:b/>
                <w:bCs/>
                <w:color w:val="000000" w:themeColor="text1"/>
                <w:kern w:val="0"/>
                <w:sz w:val="24"/>
                <w:szCs w:val="24"/>
              </w:rPr>
            </w:pPr>
          </w:p>
        </w:tc>
        <w:tc>
          <w:tcPr>
            <w:tcW w:w="3288" w:type="dxa"/>
            <w:tcBorders>
              <w:top w:val="nil"/>
              <w:left w:val="nil"/>
              <w:bottom w:val="single" w:sz="4" w:space="0" w:color="auto"/>
              <w:right w:val="double" w:sz="4" w:space="0" w:color="auto"/>
            </w:tcBorders>
            <w:shd w:val="clear" w:color="auto" w:fill="auto"/>
            <w:vAlign w:val="center"/>
            <w:hideMark/>
          </w:tcPr>
          <w:p w14:paraId="718F1D1D" w14:textId="77777777" w:rsidR="00EF5281" w:rsidRPr="008B619A" w:rsidRDefault="00EF5281" w:rsidP="005E7907">
            <w:pPr>
              <w:widowControl/>
              <w:rPr>
                <w:rFonts w:hAnsi="標楷體" w:cs="新細明體"/>
                <w:color w:val="000000" w:themeColor="text1"/>
                <w:kern w:val="0"/>
                <w:sz w:val="24"/>
                <w:szCs w:val="24"/>
              </w:rPr>
            </w:pPr>
            <w:r w:rsidRPr="008B619A">
              <w:rPr>
                <w:rFonts w:hAnsi="標楷體" w:cs="新細明體" w:hint="eastAsia"/>
                <w:color w:val="000000" w:themeColor="text1"/>
                <w:kern w:val="0"/>
                <w:sz w:val="24"/>
                <w:szCs w:val="24"/>
              </w:rPr>
              <w:t>會計學系</w:t>
            </w:r>
          </w:p>
        </w:tc>
        <w:tc>
          <w:tcPr>
            <w:tcW w:w="1248" w:type="dxa"/>
            <w:vMerge/>
            <w:tcBorders>
              <w:left w:val="double" w:sz="4" w:space="0" w:color="auto"/>
              <w:right w:val="single" w:sz="4" w:space="0" w:color="auto"/>
            </w:tcBorders>
            <w:vAlign w:val="center"/>
          </w:tcPr>
          <w:p w14:paraId="7B7EB779" w14:textId="2847533A" w:rsidR="00EF5281" w:rsidRPr="008B619A" w:rsidRDefault="00EF5281" w:rsidP="005E7907">
            <w:pPr>
              <w:rPr>
                <w:rFonts w:hAnsi="標楷體" w:cs="新細明體"/>
                <w:color w:val="000000" w:themeColor="text1"/>
                <w:kern w:val="0"/>
                <w:sz w:val="24"/>
                <w:szCs w:val="24"/>
              </w:rPr>
            </w:pPr>
          </w:p>
        </w:tc>
        <w:tc>
          <w:tcPr>
            <w:tcW w:w="3169" w:type="dxa"/>
            <w:tcBorders>
              <w:top w:val="nil"/>
              <w:left w:val="nil"/>
              <w:bottom w:val="single" w:sz="4" w:space="0" w:color="auto"/>
              <w:right w:val="single" w:sz="4" w:space="0" w:color="auto"/>
            </w:tcBorders>
            <w:vAlign w:val="center"/>
          </w:tcPr>
          <w:p w14:paraId="4751906C" w14:textId="08888BBF" w:rsidR="00EF5281" w:rsidRPr="008B619A" w:rsidRDefault="00EF5281" w:rsidP="005E7907">
            <w:pPr>
              <w:widowControl/>
              <w:rPr>
                <w:rFonts w:hAnsi="標楷體" w:cs="新細明體"/>
                <w:color w:val="000000" w:themeColor="text1"/>
                <w:kern w:val="0"/>
                <w:sz w:val="24"/>
                <w:szCs w:val="24"/>
              </w:rPr>
            </w:pPr>
            <w:r w:rsidRPr="008B619A">
              <w:rPr>
                <w:rFonts w:hAnsi="標楷體" w:cs="新細明體" w:hint="eastAsia"/>
                <w:color w:val="000000" w:themeColor="text1"/>
                <w:kern w:val="0"/>
                <w:sz w:val="24"/>
                <w:szCs w:val="24"/>
              </w:rPr>
              <w:t>統計學系</w:t>
            </w:r>
          </w:p>
        </w:tc>
      </w:tr>
      <w:tr w:rsidR="00EF5281" w:rsidRPr="008B619A" w14:paraId="631CFDD2" w14:textId="1F1E55A1" w:rsidTr="00F33FE5">
        <w:trPr>
          <w:trHeight w:val="315"/>
        </w:trPr>
        <w:tc>
          <w:tcPr>
            <w:tcW w:w="1129" w:type="dxa"/>
            <w:vMerge/>
            <w:tcBorders>
              <w:left w:val="single" w:sz="4" w:space="0" w:color="auto"/>
              <w:right w:val="single" w:sz="4" w:space="0" w:color="auto"/>
            </w:tcBorders>
            <w:shd w:val="clear" w:color="auto" w:fill="FDE9D9" w:themeFill="accent6" w:themeFillTint="33"/>
            <w:vAlign w:val="center"/>
            <w:hideMark/>
          </w:tcPr>
          <w:p w14:paraId="769AD4DB" w14:textId="60C61B63" w:rsidR="00EF5281" w:rsidRPr="008B619A" w:rsidRDefault="00EF5281" w:rsidP="005E7907">
            <w:pPr>
              <w:jc w:val="center"/>
              <w:rPr>
                <w:rFonts w:hAnsi="標楷體" w:cs="新細明體"/>
                <w:b/>
                <w:bCs/>
                <w:color w:val="000000" w:themeColor="text1"/>
                <w:kern w:val="0"/>
                <w:sz w:val="24"/>
                <w:szCs w:val="24"/>
              </w:rPr>
            </w:pPr>
          </w:p>
        </w:tc>
        <w:tc>
          <w:tcPr>
            <w:tcW w:w="3288" w:type="dxa"/>
            <w:tcBorders>
              <w:top w:val="nil"/>
              <w:left w:val="nil"/>
              <w:bottom w:val="single" w:sz="4" w:space="0" w:color="auto"/>
              <w:right w:val="double" w:sz="4" w:space="0" w:color="auto"/>
            </w:tcBorders>
            <w:shd w:val="clear" w:color="auto" w:fill="auto"/>
            <w:vAlign w:val="center"/>
            <w:hideMark/>
          </w:tcPr>
          <w:p w14:paraId="2CE4DDC8" w14:textId="77777777" w:rsidR="00EF5281" w:rsidRPr="008B619A" w:rsidRDefault="00EF5281" w:rsidP="005E7907">
            <w:pPr>
              <w:widowControl/>
              <w:rPr>
                <w:rFonts w:hAnsi="標楷體" w:cs="新細明體"/>
                <w:color w:val="000000" w:themeColor="text1"/>
                <w:kern w:val="0"/>
                <w:sz w:val="24"/>
                <w:szCs w:val="24"/>
              </w:rPr>
            </w:pPr>
            <w:r w:rsidRPr="008B619A">
              <w:rPr>
                <w:rFonts w:hAnsi="標楷體" w:cs="新細明體" w:hint="eastAsia"/>
                <w:color w:val="000000" w:themeColor="text1"/>
                <w:kern w:val="0"/>
                <w:sz w:val="24"/>
                <w:szCs w:val="24"/>
              </w:rPr>
              <w:t>財務管理學系</w:t>
            </w:r>
          </w:p>
        </w:tc>
        <w:tc>
          <w:tcPr>
            <w:tcW w:w="1248" w:type="dxa"/>
            <w:vMerge/>
            <w:tcBorders>
              <w:left w:val="double" w:sz="4" w:space="0" w:color="auto"/>
              <w:right w:val="single" w:sz="4" w:space="0" w:color="auto"/>
            </w:tcBorders>
            <w:vAlign w:val="center"/>
          </w:tcPr>
          <w:p w14:paraId="69C7C585" w14:textId="35A79FFC" w:rsidR="00EF5281" w:rsidRPr="008B619A" w:rsidRDefault="00EF5281" w:rsidP="005E7907">
            <w:pPr>
              <w:rPr>
                <w:rFonts w:hAnsi="標楷體" w:cs="新細明體"/>
                <w:color w:val="000000" w:themeColor="text1"/>
                <w:kern w:val="0"/>
                <w:sz w:val="24"/>
                <w:szCs w:val="24"/>
              </w:rPr>
            </w:pPr>
          </w:p>
        </w:tc>
        <w:tc>
          <w:tcPr>
            <w:tcW w:w="3169" w:type="dxa"/>
            <w:tcBorders>
              <w:top w:val="nil"/>
              <w:left w:val="nil"/>
              <w:bottom w:val="single" w:sz="4" w:space="0" w:color="auto"/>
              <w:right w:val="single" w:sz="4" w:space="0" w:color="auto"/>
            </w:tcBorders>
            <w:vAlign w:val="center"/>
          </w:tcPr>
          <w:p w14:paraId="2FF17CD3" w14:textId="52C0967D" w:rsidR="00EF5281" w:rsidRPr="008B619A" w:rsidRDefault="00EF5281" w:rsidP="005E7907">
            <w:pPr>
              <w:widowControl/>
              <w:rPr>
                <w:rFonts w:hAnsi="標楷體" w:cs="新細明體"/>
                <w:color w:val="000000" w:themeColor="text1"/>
                <w:kern w:val="0"/>
                <w:sz w:val="24"/>
                <w:szCs w:val="24"/>
              </w:rPr>
            </w:pPr>
            <w:r w:rsidRPr="008B619A">
              <w:rPr>
                <w:rFonts w:hAnsi="標楷體" w:cs="新細明體" w:hint="eastAsia"/>
                <w:color w:val="000000" w:themeColor="text1"/>
                <w:kern w:val="0"/>
                <w:sz w:val="24"/>
                <w:szCs w:val="24"/>
              </w:rPr>
              <w:t>語言學研究所</w:t>
            </w:r>
          </w:p>
        </w:tc>
      </w:tr>
      <w:tr w:rsidR="00EF5281" w:rsidRPr="008B619A" w14:paraId="06DAECCA" w14:textId="5E4E67A4" w:rsidTr="00F33FE5">
        <w:trPr>
          <w:trHeight w:val="315"/>
        </w:trPr>
        <w:tc>
          <w:tcPr>
            <w:tcW w:w="1129" w:type="dxa"/>
            <w:vMerge/>
            <w:tcBorders>
              <w:left w:val="single" w:sz="4" w:space="0" w:color="auto"/>
              <w:right w:val="single" w:sz="4" w:space="0" w:color="auto"/>
            </w:tcBorders>
            <w:shd w:val="clear" w:color="auto" w:fill="FDE9D9" w:themeFill="accent6" w:themeFillTint="33"/>
            <w:vAlign w:val="center"/>
            <w:hideMark/>
          </w:tcPr>
          <w:p w14:paraId="6A425C05" w14:textId="2E90494F" w:rsidR="00EF5281" w:rsidRPr="008B619A" w:rsidRDefault="00EF5281" w:rsidP="005E7907">
            <w:pPr>
              <w:jc w:val="center"/>
              <w:rPr>
                <w:rFonts w:hAnsi="標楷體" w:cs="新細明體"/>
                <w:b/>
                <w:bCs/>
                <w:color w:val="000000" w:themeColor="text1"/>
                <w:kern w:val="0"/>
                <w:sz w:val="24"/>
                <w:szCs w:val="24"/>
              </w:rPr>
            </w:pPr>
          </w:p>
        </w:tc>
        <w:tc>
          <w:tcPr>
            <w:tcW w:w="3288" w:type="dxa"/>
            <w:tcBorders>
              <w:top w:val="nil"/>
              <w:left w:val="nil"/>
              <w:bottom w:val="single" w:sz="4" w:space="0" w:color="auto"/>
              <w:right w:val="double" w:sz="4" w:space="0" w:color="auto"/>
            </w:tcBorders>
            <w:shd w:val="clear" w:color="auto" w:fill="auto"/>
            <w:vAlign w:val="center"/>
            <w:hideMark/>
          </w:tcPr>
          <w:p w14:paraId="0ED119E4" w14:textId="77777777" w:rsidR="00EF5281" w:rsidRPr="008B619A" w:rsidRDefault="00EF5281" w:rsidP="005E7907">
            <w:pPr>
              <w:widowControl/>
              <w:rPr>
                <w:rFonts w:hAnsi="標楷體" w:cs="新細明體"/>
                <w:color w:val="000000" w:themeColor="text1"/>
                <w:kern w:val="0"/>
                <w:sz w:val="24"/>
                <w:szCs w:val="24"/>
              </w:rPr>
            </w:pPr>
            <w:r w:rsidRPr="008B619A">
              <w:rPr>
                <w:rFonts w:hAnsi="標楷體" w:cs="新細明體" w:hint="eastAsia"/>
                <w:color w:val="000000" w:themeColor="text1"/>
                <w:kern w:val="0"/>
                <w:sz w:val="24"/>
                <w:szCs w:val="24"/>
              </w:rPr>
              <w:t>先進光源科技博士學位學程</w:t>
            </w:r>
          </w:p>
        </w:tc>
        <w:tc>
          <w:tcPr>
            <w:tcW w:w="1248" w:type="dxa"/>
            <w:vMerge/>
            <w:tcBorders>
              <w:left w:val="double" w:sz="4" w:space="0" w:color="auto"/>
              <w:right w:val="single" w:sz="4" w:space="0" w:color="auto"/>
            </w:tcBorders>
            <w:vAlign w:val="center"/>
          </w:tcPr>
          <w:p w14:paraId="00EAF93D" w14:textId="5675AB8B" w:rsidR="00EF5281" w:rsidRPr="008B619A" w:rsidRDefault="00EF5281" w:rsidP="005E7907">
            <w:pPr>
              <w:rPr>
                <w:rFonts w:hAnsi="標楷體" w:cs="新細明體"/>
                <w:color w:val="000000" w:themeColor="text1"/>
                <w:kern w:val="0"/>
                <w:sz w:val="24"/>
                <w:szCs w:val="24"/>
              </w:rPr>
            </w:pPr>
          </w:p>
        </w:tc>
        <w:tc>
          <w:tcPr>
            <w:tcW w:w="3169" w:type="dxa"/>
            <w:tcBorders>
              <w:top w:val="nil"/>
              <w:left w:val="nil"/>
              <w:bottom w:val="single" w:sz="4" w:space="0" w:color="auto"/>
              <w:right w:val="single" w:sz="4" w:space="0" w:color="auto"/>
            </w:tcBorders>
            <w:vAlign w:val="center"/>
          </w:tcPr>
          <w:p w14:paraId="516859E6" w14:textId="3B2DA70E" w:rsidR="00EF5281" w:rsidRPr="008B619A" w:rsidRDefault="00EF5281" w:rsidP="005E7907">
            <w:pPr>
              <w:widowControl/>
              <w:rPr>
                <w:rFonts w:hAnsi="標楷體" w:cs="新細明體"/>
                <w:color w:val="000000" w:themeColor="text1"/>
                <w:kern w:val="0"/>
                <w:sz w:val="24"/>
                <w:szCs w:val="24"/>
              </w:rPr>
            </w:pPr>
            <w:r w:rsidRPr="008B619A">
              <w:rPr>
                <w:rFonts w:hAnsi="標楷體" w:cs="新細明體" w:hint="eastAsia"/>
                <w:color w:val="000000" w:themeColor="text1"/>
                <w:kern w:val="0"/>
                <w:sz w:val="24"/>
                <w:szCs w:val="24"/>
              </w:rPr>
              <w:t>社會學研究所</w:t>
            </w:r>
          </w:p>
        </w:tc>
      </w:tr>
      <w:tr w:rsidR="00EF5281" w:rsidRPr="008B619A" w14:paraId="18E3AA7C" w14:textId="2B4DA400" w:rsidTr="00F33FE5">
        <w:trPr>
          <w:trHeight w:val="315"/>
        </w:trPr>
        <w:tc>
          <w:tcPr>
            <w:tcW w:w="1129" w:type="dxa"/>
            <w:vMerge/>
            <w:tcBorders>
              <w:left w:val="single" w:sz="4" w:space="0" w:color="auto"/>
              <w:right w:val="single" w:sz="4" w:space="0" w:color="auto"/>
            </w:tcBorders>
            <w:shd w:val="clear" w:color="auto" w:fill="FDE9D9" w:themeFill="accent6" w:themeFillTint="33"/>
            <w:vAlign w:val="center"/>
            <w:hideMark/>
          </w:tcPr>
          <w:p w14:paraId="17BAB443" w14:textId="3C27B983" w:rsidR="00EF5281" w:rsidRPr="008B619A" w:rsidRDefault="00EF5281" w:rsidP="005E7907">
            <w:pPr>
              <w:jc w:val="center"/>
              <w:rPr>
                <w:rFonts w:hAnsi="標楷體" w:cs="新細明體"/>
                <w:b/>
                <w:bCs/>
                <w:color w:val="000000" w:themeColor="text1"/>
                <w:kern w:val="0"/>
                <w:sz w:val="24"/>
                <w:szCs w:val="24"/>
              </w:rPr>
            </w:pPr>
          </w:p>
        </w:tc>
        <w:tc>
          <w:tcPr>
            <w:tcW w:w="3288" w:type="dxa"/>
            <w:tcBorders>
              <w:top w:val="nil"/>
              <w:left w:val="nil"/>
              <w:bottom w:val="single" w:sz="4" w:space="0" w:color="auto"/>
              <w:right w:val="double" w:sz="4" w:space="0" w:color="auto"/>
            </w:tcBorders>
            <w:shd w:val="clear" w:color="auto" w:fill="auto"/>
            <w:vAlign w:val="center"/>
            <w:hideMark/>
          </w:tcPr>
          <w:p w14:paraId="70A22EA0" w14:textId="77777777" w:rsidR="00EF5281" w:rsidRPr="008B619A" w:rsidRDefault="00EF5281" w:rsidP="005E7907">
            <w:pPr>
              <w:widowControl/>
              <w:rPr>
                <w:rFonts w:hAnsi="標楷體" w:cs="新細明體"/>
                <w:color w:val="000000" w:themeColor="text1"/>
                <w:kern w:val="0"/>
                <w:sz w:val="24"/>
                <w:szCs w:val="24"/>
              </w:rPr>
            </w:pPr>
            <w:r w:rsidRPr="008B619A">
              <w:rPr>
                <w:rFonts w:hAnsi="標楷體" w:cs="新細明體" w:hint="eastAsia"/>
                <w:color w:val="000000" w:themeColor="text1"/>
                <w:kern w:val="0"/>
                <w:sz w:val="24"/>
                <w:szCs w:val="24"/>
              </w:rPr>
              <w:t>統計學研究所</w:t>
            </w:r>
          </w:p>
        </w:tc>
        <w:tc>
          <w:tcPr>
            <w:tcW w:w="1248" w:type="dxa"/>
            <w:vMerge/>
            <w:tcBorders>
              <w:left w:val="double" w:sz="4" w:space="0" w:color="auto"/>
              <w:right w:val="single" w:sz="4" w:space="0" w:color="auto"/>
            </w:tcBorders>
            <w:vAlign w:val="center"/>
          </w:tcPr>
          <w:p w14:paraId="5C9951F7" w14:textId="2FFAB02F" w:rsidR="00EF5281" w:rsidRPr="008B619A" w:rsidRDefault="00EF5281" w:rsidP="005E7907">
            <w:pPr>
              <w:rPr>
                <w:rFonts w:hAnsi="標楷體" w:cs="新細明體"/>
                <w:color w:val="000000" w:themeColor="text1"/>
                <w:kern w:val="0"/>
                <w:sz w:val="24"/>
                <w:szCs w:val="24"/>
              </w:rPr>
            </w:pPr>
          </w:p>
        </w:tc>
        <w:tc>
          <w:tcPr>
            <w:tcW w:w="3169" w:type="dxa"/>
            <w:tcBorders>
              <w:top w:val="nil"/>
              <w:left w:val="nil"/>
              <w:bottom w:val="single" w:sz="4" w:space="0" w:color="auto"/>
              <w:right w:val="single" w:sz="4" w:space="0" w:color="auto"/>
            </w:tcBorders>
            <w:vAlign w:val="center"/>
          </w:tcPr>
          <w:p w14:paraId="00EA52E4" w14:textId="6BEC9BEC" w:rsidR="00EF5281" w:rsidRPr="008B619A" w:rsidRDefault="00EF5281" w:rsidP="005E7907">
            <w:pPr>
              <w:widowControl/>
              <w:rPr>
                <w:rFonts w:hAnsi="標楷體" w:cs="新細明體"/>
                <w:color w:val="000000" w:themeColor="text1"/>
                <w:kern w:val="0"/>
                <w:sz w:val="24"/>
                <w:szCs w:val="24"/>
              </w:rPr>
            </w:pPr>
            <w:r w:rsidRPr="008B619A">
              <w:rPr>
                <w:rFonts w:hAnsi="標楷體" w:cs="新細明體" w:hint="eastAsia"/>
                <w:color w:val="000000" w:themeColor="text1"/>
                <w:kern w:val="0"/>
                <w:sz w:val="24"/>
                <w:szCs w:val="24"/>
              </w:rPr>
              <w:t>先進光源科技博士學位學程</w:t>
            </w:r>
          </w:p>
        </w:tc>
      </w:tr>
      <w:tr w:rsidR="00EF5281" w:rsidRPr="008B619A" w14:paraId="66A34750" w14:textId="387AA65B" w:rsidTr="00F33FE5">
        <w:trPr>
          <w:trHeight w:val="315"/>
        </w:trPr>
        <w:tc>
          <w:tcPr>
            <w:tcW w:w="1129" w:type="dxa"/>
            <w:vMerge/>
            <w:tcBorders>
              <w:left w:val="single" w:sz="4" w:space="0" w:color="auto"/>
              <w:right w:val="single" w:sz="4" w:space="0" w:color="auto"/>
            </w:tcBorders>
            <w:shd w:val="clear" w:color="auto" w:fill="FDE9D9" w:themeFill="accent6" w:themeFillTint="33"/>
            <w:vAlign w:val="center"/>
            <w:hideMark/>
          </w:tcPr>
          <w:p w14:paraId="71102259" w14:textId="657F04B9" w:rsidR="00EF5281" w:rsidRPr="008B619A" w:rsidRDefault="00EF5281" w:rsidP="005E7907">
            <w:pPr>
              <w:jc w:val="center"/>
              <w:rPr>
                <w:rFonts w:hAnsi="標楷體" w:cs="新細明體"/>
                <w:b/>
                <w:bCs/>
                <w:color w:val="000000" w:themeColor="text1"/>
                <w:kern w:val="0"/>
                <w:sz w:val="24"/>
                <w:szCs w:val="24"/>
              </w:rPr>
            </w:pPr>
          </w:p>
        </w:tc>
        <w:tc>
          <w:tcPr>
            <w:tcW w:w="3288" w:type="dxa"/>
            <w:tcBorders>
              <w:top w:val="nil"/>
              <w:left w:val="nil"/>
              <w:bottom w:val="single" w:sz="4" w:space="0" w:color="auto"/>
              <w:right w:val="double" w:sz="4" w:space="0" w:color="auto"/>
            </w:tcBorders>
            <w:shd w:val="clear" w:color="auto" w:fill="auto"/>
            <w:vAlign w:val="center"/>
            <w:hideMark/>
          </w:tcPr>
          <w:p w14:paraId="13029F3B" w14:textId="77777777" w:rsidR="00EF5281" w:rsidRPr="008B619A" w:rsidRDefault="00EF5281" w:rsidP="005E7907">
            <w:pPr>
              <w:widowControl/>
              <w:rPr>
                <w:rFonts w:hAnsi="標楷體" w:cs="新細明體"/>
                <w:color w:val="000000" w:themeColor="text1"/>
                <w:kern w:val="0"/>
                <w:sz w:val="24"/>
                <w:szCs w:val="24"/>
              </w:rPr>
            </w:pPr>
            <w:r w:rsidRPr="008B619A">
              <w:rPr>
                <w:rFonts w:hAnsi="標楷體" w:cs="新細明體" w:hint="eastAsia"/>
                <w:color w:val="000000" w:themeColor="text1"/>
                <w:kern w:val="0"/>
                <w:sz w:val="24"/>
                <w:szCs w:val="24"/>
              </w:rPr>
              <w:t>戲劇學系</w:t>
            </w:r>
          </w:p>
        </w:tc>
        <w:tc>
          <w:tcPr>
            <w:tcW w:w="1248" w:type="dxa"/>
            <w:vMerge/>
            <w:tcBorders>
              <w:left w:val="double" w:sz="4" w:space="0" w:color="auto"/>
              <w:right w:val="single" w:sz="4" w:space="0" w:color="auto"/>
            </w:tcBorders>
            <w:vAlign w:val="center"/>
          </w:tcPr>
          <w:p w14:paraId="544CCD5F" w14:textId="726E2312" w:rsidR="00EF5281" w:rsidRPr="008B619A" w:rsidRDefault="00EF5281" w:rsidP="005E7907">
            <w:pPr>
              <w:rPr>
                <w:rFonts w:hAnsi="標楷體" w:cs="新細明體"/>
                <w:color w:val="000000" w:themeColor="text1"/>
                <w:kern w:val="0"/>
                <w:sz w:val="24"/>
                <w:szCs w:val="24"/>
              </w:rPr>
            </w:pPr>
          </w:p>
        </w:tc>
        <w:tc>
          <w:tcPr>
            <w:tcW w:w="3169" w:type="dxa"/>
            <w:tcBorders>
              <w:top w:val="nil"/>
              <w:left w:val="nil"/>
              <w:bottom w:val="single" w:sz="4" w:space="0" w:color="auto"/>
              <w:right w:val="single" w:sz="4" w:space="0" w:color="auto"/>
            </w:tcBorders>
            <w:vAlign w:val="center"/>
          </w:tcPr>
          <w:p w14:paraId="216F926D" w14:textId="379D5DC4" w:rsidR="00EF5281" w:rsidRPr="008B619A" w:rsidRDefault="00EF5281" w:rsidP="005E7907">
            <w:pPr>
              <w:widowControl/>
              <w:rPr>
                <w:rFonts w:hAnsi="標楷體" w:cs="新細明體"/>
                <w:color w:val="000000" w:themeColor="text1"/>
                <w:kern w:val="0"/>
                <w:sz w:val="24"/>
                <w:szCs w:val="24"/>
              </w:rPr>
            </w:pPr>
            <w:r w:rsidRPr="008B619A">
              <w:rPr>
                <w:rFonts w:hAnsi="標楷體" w:cs="新細明體" w:hint="eastAsia"/>
                <w:color w:val="000000" w:themeColor="text1"/>
                <w:kern w:val="0"/>
                <w:sz w:val="24"/>
                <w:szCs w:val="24"/>
              </w:rPr>
              <w:t>戲劇學系</w:t>
            </w:r>
          </w:p>
        </w:tc>
      </w:tr>
      <w:tr w:rsidR="00EF5281" w:rsidRPr="008B619A" w14:paraId="6D0B374E" w14:textId="50511C10" w:rsidTr="00F33FE5">
        <w:trPr>
          <w:trHeight w:val="315"/>
        </w:trPr>
        <w:tc>
          <w:tcPr>
            <w:tcW w:w="1129" w:type="dxa"/>
            <w:vMerge/>
            <w:tcBorders>
              <w:left w:val="single" w:sz="4" w:space="0" w:color="auto"/>
              <w:right w:val="single" w:sz="4" w:space="0" w:color="auto"/>
            </w:tcBorders>
            <w:shd w:val="clear" w:color="auto" w:fill="FDE9D9" w:themeFill="accent6" w:themeFillTint="33"/>
            <w:vAlign w:val="center"/>
            <w:hideMark/>
          </w:tcPr>
          <w:p w14:paraId="20F3C0B3" w14:textId="63709660" w:rsidR="00EF5281" w:rsidRPr="008B619A" w:rsidRDefault="00EF5281" w:rsidP="005E7907">
            <w:pPr>
              <w:jc w:val="center"/>
              <w:rPr>
                <w:rFonts w:hAnsi="標楷體" w:cs="新細明體"/>
                <w:b/>
                <w:bCs/>
                <w:color w:val="000000" w:themeColor="text1"/>
                <w:kern w:val="0"/>
                <w:sz w:val="24"/>
                <w:szCs w:val="24"/>
              </w:rPr>
            </w:pPr>
          </w:p>
        </w:tc>
        <w:tc>
          <w:tcPr>
            <w:tcW w:w="3288" w:type="dxa"/>
            <w:tcBorders>
              <w:top w:val="nil"/>
              <w:left w:val="nil"/>
              <w:bottom w:val="single" w:sz="4" w:space="0" w:color="auto"/>
              <w:right w:val="double" w:sz="4" w:space="0" w:color="auto"/>
            </w:tcBorders>
            <w:shd w:val="clear" w:color="auto" w:fill="auto"/>
            <w:vAlign w:val="center"/>
            <w:hideMark/>
          </w:tcPr>
          <w:p w14:paraId="42345770" w14:textId="77777777" w:rsidR="00EF5281" w:rsidRPr="008B619A" w:rsidRDefault="00EF5281" w:rsidP="005E7907">
            <w:pPr>
              <w:widowControl/>
              <w:rPr>
                <w:rFonts w:hAnsi="標楷體" w:cs="新細明體"/>
                <w:color w:val="000000" w:themeColor="text1"/>
                <w:kern w:val="0"/>
                <w:sz w:val="24"/>
                <w:szCs w:val="24"/>
              </w:rPr>
            </w:pPr>
            <w:r w:rsidRPr="008B619A">
              <w:rPr>
                <w:rFonts w:hAnsi="標楷體" w:cs="新細明體" w:hint="eastAsia"/>
                <w:color w:val="000000" w:themeColor="text1"/>
                <w:kern w:val="0"/>
                <w:sz w:val="24"/>
                <w:szCs w:val="24"/>
              </w:rPr>
              <w:t>生命科學系</w:t>
            </w:r>
          </w:p>
        </w:tc>
        <w:tc>
          <w:tcPr>
            <w:tcW w:w="1248" w:type="dxa"/>
            <w:vMerge/>
            <w:tcBorders>
              <w:left w:val="double" w:sz="4" w:space="0" w:color="auto"/>
              <w:right w:val="single" w:sz="4" w:space="0" w:color="auto"/>
            </w:tcBorders>
            <w:vAlign w:val="center"/>
          </w:tcPr>
          <w:p w14:paraId="52AE820E" w14:textId="343CD3B9" w:rsidR="00EF5281" w:rsidRPr="008B619A" w:rsidRDefault="00EF5281" w:rsidP="005E7907">
            <w:pPr>
              <w:rPr>
                <w:rFonts w:hAnsi="標楷體" w:cs="新細明體"/>
                <w:color w:val="000000" w:themeColor="text1"/>
                <w:kern w:val="0"/>
                <w:sz w:val="24"/>
                <w:szCs w:val="24"/>
              </w:rPr>
            </w:pPr>
          </w:p>
        </w:tc>
        <w:tc>
          <w:tcPr>
            <w:tcW w:w="3169" w:type="dxa"/>
            <w:tcBorders>
              <w:top w:val="nil"/>
              <w:left w:val="nil"/>
              <w:bottom w:val="single" w:sz="4" w:space="0" w:color="auto"/>
              <w:right w:val="single" w:sz="4" w:space="0" w:color="auto"/>
            </w:tcBorders>
            <w:vAlign w:val="center"/>
          </w:tcPr>
          <w:p w14:paraId="0BC030AD" w14:textId="77E73F1D" w:rsidR="00EF5281" w:rsidRPr="008B619A" w:rsidRDefault="00EF5281" w:rsidP="005E7907">
            <w:pPr>
              <w:widowControl/>
              <w:rPr>
                <w:rFonts w:hAnsi="標楷體" w:cs="新細明體"/>
                <w:color w:val="000000" w:themeColor="text1"/>
                <w:kern w:val="0"/>
                <w:sz w:val="24"/>
                <w:szCs w:val="24"/>
              </w:rPr>
            </w:pPr>
            <w:r w:rsidRPr="008B619A">
              <w:rPr>
                <w:rFonts w:hAnsi="標楷體" w:cs="新細明體" w:hint="eastAsia"/>
                <w:color w:val="000000" w:themeColor="text1"/>
                <w:kern w:val="0"/>
                <w:sz w:val="24"/>
                <w:szCs w:val="24"/>
              </w:rPr>
              <w:t>藝術史研究所</w:t>
            </w:r>
          </w:p>
        </w:tc>
      </w:tr>
      <w:tr w:rsidR="00EF5281" w:rsidRPr="008B619A" w14:paraId="3800C647" w14:textId="67180B4D" w:rsidTr="00F33FE5">
        <w:trPr>
          <w:trHeight w:val="315"/>
        </w:trPr>
        <w:tc>
          <w:tcPr>
            <w:tcW w:w="1129" w:type="dxa"/>
            <w:vMerge/>
            <w:tcBorders>
              <w:left w:val="single" w:sz="4" w:space="0" w:color="auto"/>
              <w:right w:val="single" w:sz="4" w:space="0" w:color="auto"/>
            </w:tcBorders>
            <w:shd w:val="clear" w:color="auto" w:fill="FDE9D9" w:themeFill="accent6" w:themeFillTint="33"/>
            <w:vAlign w:val="center"/>
            <w:hideMark/>
          </w:tcPr>
          <w:p w14:paraId="6255A072" w14:textId="60D73F29" w:rsidR="00EF5281" w:rsidRPr="008B619A" w:rsidRDefault="00EF5281" w:rsidP="005E7907">
            <w:pPr>
              <w:jc w:val="center"/>
              <w:rPr>
                <w:rFonts w:hAnsi="標楷體" w:cs="新細明體"/>
                <w:b/>
                <w:bCs/>
                <w:color w:val="000000" w:themeColor="text1"/>
                <w:kern w:val="0"/>
                <w:sz w:val="24"/>
                <w:szCs w:val="24"/>
              </w:rPr>
            </w:pPr>
          </w:p>
        </w:tc>
        <w:tc>
          <w:tcPr>
            <w:tcW w:w="3288" w:type="dxa"/>
            <w:tcBorders>
              <w:top w:val="nil"/>
              <w:left w:val="nil"/>
              <w:bottom w:val="single" w:sz="4" w:space="0" w:color="auto"/>
              <w:right w:val="double" w:sz="4" w:space="0" w:color="auto"/>
            </w:tcBorders>
            <w:shd w:val="clear" w:color="auto" w:fill="auto"/>
            <w:vAlign w:val="center"/>
            <w:hideMark/>
          </w:tcPr>
          <w:p w14:paraId="09F93206" w14:textId="77777777" w:rsidR="00EF5281" w:rsidRPr="008B619A" w:rsidRDefault="00EF5281" w:rsidP="005E7907">
            <w:pPr>
              <w:widowControl/>
              <w:rPr>
                <w:rFonts w:hAnsi="標楷體" w:cs="新細明體"/>
                <w:color w:val="000000" w:themeColor="text1"/>
                <w:kern w:val="0"/>
                <w:sz w:val="24"/>
                <w:szCs w:val="24"/>
              </w:rPr>
            </w:pPr>
            <w:r w:rsidRPr="008B619A">
              <w:rPr>
                <w:rFonts w:hAnsi="標楷體" w:cs="新細明體" w:hint="eastAsia"/>
                <w:color w:val="000000" w:themeColor="text1"/>
                <w:kern w:val="0"/>
                <w:sz w:val="24"/>
                <w:szCs w:val="24"/>
              </w:rPr>
              <w:t>海洋研究所</w:t>
            </w:r>
          </w:p>
        </w:tc>
        <w:tc>
          <w:tcPr>
            <w:tcW w:w="1248" w:type="dxa"/>
            <w:vMerge/>
            <w:tcBorders>
              <w:left w:val="double" w:sz="4" w:space="0" w:color="auto"/>
              <w:right w:val="single" w:sz="4" w:space="0" w:color="auto"/>
            </w:tcBorders>
            <w:vAlign w:val="center"/>
          </w:tcPr>
          <w:p w14:paraId="20767A7E" w14:textId="084BC3A7" w:rsidR="00EF5281" w:rsidRPr="008B619A" w:rsidRDefault="00EF5281" w:rsidP="005E7907">
            <w:pPr>
              <w:rPr>
                <w:rFonts w:hAnsi="標楷體" w:cs="新細明體"/>
                <w:color w:val="000000" w:themeColor="text1"/>
                <w:kern w:val="0"/>
                <w:sz w:val="24"/>
                <w:szCs w:val="24"/>
              </w:rPr>
            </w:pPr>
          </w:p>
        </w:tc>
        <w:tc>
          <w:tcPr>
            <w:tcW w:w="3169" w:type="dxa"/>
            <w:tcBorders>
              <w:top w:val="nil"/>
              <w:left w:val="nil"/>
              <w:bottom w:val="single" w:sz="4" w:space="0" w:color="auto"/>
              <w:right w:val="single" w:sz="4" w:space="0" w:color="auto"/>
            </w:tcBorders>
            <w:vAlign w:val="center"/>
          </w:tcPr>
          <w:p w14:paraId="7C45EE5D" w14:textId="638548CD" w:rsidR="00EF5281" w:rsidRPr="008B619A" w:rsidRDefault="00EF5281" w:rsidP="005E7907">
            <w:pPr>
              <w:widowControl/>
              <w:rPr>
                <w:rFonts w:hAnsi="標楷體" w:cs="新細明體"/>
                <w:color w:val="000000" w:themeColor="text1"/>
                <w:kern w:val="0"/>
                <w:sz w:val="24"/>
                <w:szCs w:val="24"/>
              </w:rPr>
            </w:pPr>
            <w:r w:rsidRPr="008B619A">
              <w:rPr>
                <w:rFonts w:hAnsi="標楷體" w:cs="新細明體" w:hint="eastAsia"/>
                <w:color w:val="000000" w:themeColor="text1"/>
                <w:kern w:val="0"/>
                <w:sz w:val="24"/>
                <w:szCs w:val="24"/>
              </w:rPr>
              <w:t>人類學系</w:t>
            </w:r>
          </w:p>
        </w:tc>
      </w:tr>
      <w:tr w:rsidR="00EF5281" w:rsidRPr="008B619A" w14:paraId="1DF344FB" w14:textId="21D667A3" w:rsidTr="00F33FE5">
        <w:trPr>
          <w:trHeight w:val="315"/>
        </w:trPr>
        <w:tc>
          <w:tcPr>
            <w:tcW w:w="1129" w:type="dxa"/>
            <w:vMerge/>
            <w:tcBorders>
              <w:left w:val="single" w:sz="4" w:space="0" w:color="auto"/>
              <w:right w:val="single" w:sz="4" w:space="0" w:color="auto"/>
            </w:tcBorders>
            <w:shd w:val="clear" w:color="auto" w:fill="FDE9D9" w:themeFill="accent6" w:themeFillTint="33"/>
            <w:vAlign w:val="center"/>
            <w:hideMark/>
          </w:tcPr>
          <w:p w14:paraId="10C3712E" w14:textId="53F34CA1" w:rsidR="00EF5281" w:rsidRPr="008B619A" w:rsidRDefault="00EF5281" w:rsidP="005E7907">
            <w:pPr>
              <w:jc w:val="center"/>
              <w:rPr>
                <w:rFonts w:hAnsi="標楷體" w:cs="新細明體"/>
                <w:b/>
                <w:bCs/>
                <w:color w:val="000000" w:themeColor="text1"/>
                <w:kern w:val="0"/>
                <w:sz w:val="24"/>
                <w:szCs w:val="24"/>
              </w:rPr>
            </w:pPr>
          </w:p>
        </w:tc>
        <w:tc>
          <w:tcPr>
            <w:tcW w:w="3288" w:type="dxa"/>
            <w:tcBorders>
              <w:top w:val="nil"/>
              <w:left w:val="nil"/>
              <w:bottom w:val="single" w:sz="4" w:space="0" w:color="auto"/>
              <w:right w:val="double" w:sz="4" w:space="0" w:color="auto"/>
            </w:tcBorders>
            <w:shd w:val="clear" w:color="auto" w:fill="auto"/>
            <w:vAlign w:val="center"/>
            <w:hideMark/>
          </w:tcPr>
          <w:p w14:paraId="34D9ADF4" w14:textId="77777777" w:rsidR="00EF5281" w:rsidRPr="008B619A" w:rsidRDefault="00EF5281" w:rsidP="005E7907">
            <w:pPr>
              <w:widowControl/>
              <w:rPr>
                <w:rFonts w:hAnsi="標楷體" w:cs="新細明體"/>
                <w:color w:val="000000" w:themeColor="text1"/>
                <w:kern w:val="0"/>
                <w:sz w:val="24"/>
                <w:szCs w:val="24"/>
              </w:rPr>
            </w:pPr>
            <w:r w:rsidRPr="008B619A">
              <w:rPr>
                <w:rFonts w:hAnsi="標楷體" w:cs="新細明體" w:hint="eastAsia"/>
                <w:color w:val="000000" w:themeColor="text1"/>
                <w:kern w:val="0"/>
                <w:sz w:val="24"/>
                <w:szCs w:val="24"/>
              </w:rPr>
              <w:t>農業經濟學系</w:t>
            </w:r>
          </w:p>
        </w:tc>
        <w:tc>
          <w:tcPr>
            <w:tcW w:w="1248" w:type="dxa"/>
            <w:vMerge/>
            <w:tcBorders>
              <w:left w:val="double" w:sz="4" w:space="0" w:color="auto"/>
              <w:right w:val="single" w:sz="4" w:space="0" w:color="auto"/>
            </w:tcBorders>
            <w:vAlign w:val="center"/>
          </w:tcPr>
          <w:p w14:paraId="3952A9D0" w14:textId="663BA037" w:rsidR="00EF5281" w:rsidRPr="008B619A" w:rsidRDefault="00EF5281" w:rsidP="005E7907">
            <w:pPr>
              <w:rPr>
                <w:rFonts w:hAnsi="標楷體" w:cs="新細明體"/>
                <w:color w:val="000000" w:themeColor="text1"/>
                <w:kern w:val="0"/>
                <w:sz w:val="24"/>
                <w:szCs w:val="24"/>
              </w:rPr>
            </w:pPr>
          </w:p>
        </w:tc>
        <w:tc>
          <w:tcPr>
            <w:tcW w:w="3169" w:type="dxa"/>
            <w:tcBorders>
              <w:top w:val="nil"/>
              <w:left w:val="nil"/>
              <w:bottom w:val="single" w:sz="4" w:space="0" w:color="auto"/>
              <w:right w:val="single" w:sz="4" w:space="0" w:color="auto"/>
            </w:tcBorders>
            <w:vAlign w:val="center"/>
          </w:tcPr>
          <w:p w14:paraId="334962FC" w14:textId="357D08AE" w:rsidR="00EF5281" w:rsidRPr="008B619A" w:rsidRDefault="00EF5281" w:rsidP="005E7907">
            <w:pPr>
              <w:widowControl/>
              <w:rPr>
                <w:rFonts w:hAnsi="標楷體" w:cs="新細明體"/>
                <w:color w:val="000000" w:themeColor="text1"/>
                <w:kern w:val="0"/>
                <w:sz w:val="24"/>
                <w:szCs w:val="24"/>
              </w:rPr>
            </w:pPr>
            <w:r w:rsidRPr="008B619A">
              <w:rPr>
                <w:rFonts w:hAnsi="標楷體" w:cs="新細明體" w:hint="eastAsia"/>
                <w:color w:val="000000" w:themeColor="text1"/>
                <w:kern w:val="0"/>
                <w:sz w:val="24"/>
                <w:szCs w:val="24"/>
              </w:rPr>
              <w:t>社會學系</w:t>
            </w:r>
          </w:p>
        </w:tc>
      </w:tr>
      <w:tr w:rsidR="00EF5281" w:rsidRPr="008B619A" w14:paraId="1CFCE90F" w14:textId="21672FE5" w:rsidTr="00F33FE5">
        <w:trPr>
          <w:trHeight w:val="315"/>
        </w:trPr>
        <w:tc>
          <w:tcPr>
            <w:tcW w:w="1129" w:type="dxa"/>
            <w:vMerge/>
            <w:tcBorders>
              <w:left w:val="single" w:sz="4" w:space="0" w:color="auto"/>
              <w:right w:val="single" w:sz="4" w:space="0" w:color="auto"/>
            </w:tcBorders>
            <w:shd w:val="clear" w:color="auto" w:fill="FDE9D9" w:themeFill="accent6" w:themeFillTint="33"/>
            <w:vAlign w:val="center"/>
            <w:hideMark/>
          </w:tcPr>
          <w:p w14:paraId="18AA14C6" w14:textId="15F28EEA" w:rsidR="00EF5281" w:rsidRPr="008B619A" w:rsidRDefault="00EF5281" w:rsidP="005E7907">
            <w:pPr>
              <w:jc w:val="center"/>
              <w:rPr>
                <w:rFonts w:hAnsi="標楷體" w:cs="新細明體"/>
                <w:b/>
                <w:bCs/>
                <w:color w:val="000000" w:themeColor="text1"/>
                <w:kern w:val="0"/>
                <w:sz w:val="24"/>
                <w:szCs w:val="24"/>
              </w:rPr>
            </w:pPr>
          </w:p>
        </w:tc>
        <w:tc>
          <w:tcPr>
            <w:tcW w:w="3288" w:type="dxa"/>
            <w:tcBorders>
              <w:top w:val="nil"/>
              <w:left w:val="nil"/>
              <w:bottom w:val="single" w:sz="4" w:space="0" w:color="auto"/>
              <w:right w:val="double" w:sz="4" w:space="0" w:color="auto"/>
            </w:tcBorders>
            <w:shd w:val="clear" w:color="auto" w:fill="auto"/>
            <w:vAlign w:val="center"/>
            <w:hideMark/>
          </w:tcPr>
          <w:p w14:paraId="4FEB9D43" w14:textId="77777777" w:rsidR="00EF5281" w:rsidRPr="008B619A" w:rsidRDefault="00EF5281" w:rsidP="005E7907">
            <w:pPr>
              <w:widowControl/>
              <w:rPr>
                <w:rFonts w:hAnsi="標楷體" w:cs="新細明體"/>
                <w:color w:val="000000" w:themeColor="text1"/>
                <w:kern w:val="0"/>
                <w:sz w:val="24"/>
                <w:szCs w:val="24"/>
              </w:rPr>
            </w:pPr>
            <w:r w:rsidRPr="008B619A">
              <w:rPr>
                <w:rFonts w:hAnsi="標楷體" w:cs="新細明體" w:hint="eastAsia"/>
                <w:color w:val="000000" w:themeColor="text1"/>
                <w:kern w:val="0"/>
                <w:sz w:val="24"/>
                <w:szCs w:val="24"/>
              </w:rPr>
              <w:t>國際企業研究所</w:t>
            </w:r>
          </w:p>
        </w:tc>
        <w:tc>
          <w:tcPr>
            <w:tcW w:w="1248" w:type="dxa"/>
            <w:vMerge/>
            <w:tcBorders>
              <w:left w:val="double" w:sz="4" w:space="0" w:color="auto"/>
              <w:right w:val="single" w:sz="4" w:space="0" w:color="auto"/>
            </w:tcBorders>
            <w:vAlign w:val="center"/>
          </w:tcPr>
          <w:p w14:paraId="0EA52F93" w14:textId="4EF75DE1" w:rsidR="00EF5281" w:rsidRPr="008B619A" w:rsidRDefault="00EF5281" w:rsidP="005E7907">
            <w:pPr>
              <w:rPr>
                <w:rFonts w:hAnsi="標楷體" w:cs="新細明體"/>
                <w:color w:val="000000" w:themeColor="text1"/>
                <w:kern w:val="0"/>
                <w:sz w:val="24"/>
                <w:szCs w:val="24"/>
              </w:rPr>
            </w:pPr>
          </w:p>
        </w:tc>
        <w:tc>
          <w:tcPr>
            <w:tcW w:w="3169" w:type="dxa"/>
            <w:tcBorders>
              <w:top w:val="nil"/>
              <w:left w:val="nil"/>
              <w:bottom w:val="single" w:sz="4" w:space="0" w:color="auto"/>
              <w:right w:val="single" w:sz="4" w:space="0" w:color="auto"/>
            </w:tcBorders>
            <w:vAlign w:val="center"/>
          </w:tcPr>
          <w:p w14:paraId="721EC389" w14:textId="057FA4E2" w:rsidR="00EF5281" w:rsidRPr="008B619A" w:rsidRDefault="00EF5281" w:rsidP="005E7907">
            <w:pPr>
              <w:widowControl/>
              <w:rPr>
                <w:rFonts w:hAnsi="標楷體" w:cs="新細明體"/>
                <w:color w:val="000000" w:themeColor="text1"/>
                <w:kern w:val="0"/>
                <w:sz w:val="24"/>
                <w:szCs w:val="24"/>
              </w:rPr>
            </w:pPr>
            <w:r w:rsidRPr="008B619A">
              <w:rPr>
                <w:rFonts w:hAnsi="標楷體" w:cs="新細明體" w:hint="eastAsia"/>
                <w:color w:val="000000" w:themeColor="text1"/>
                <w:kern w:val="0"/>
                <w:sz w:val="24"/>
                <w:szCs w:val="24"/>
              </w:rPr>
              <w:t>生態學與演化生物學研究所</w:t>
            </w:r>
          </w:p>
        </w:tc>
      </w:tr>
      <w:tr w:rsidR="00EF5281" w:rsidRPr="008B619A" w14:paraId="6FEE9258" w14:textId="21405442" w:rsidTr="00F33FE5">
        <w:trPr>
          <w:trHeight w:val="315"/>
        </w:trPr>
        <w:tc>
          <w:tcPr>
            <w:tcW w:w="1129" w:type="dxa"/>
            <w:vMerge/>
            <w:tcBorders>
              <w:left w:val="single" w:sz="4" w:space="0" w:color="auto"/>
              <w:right w:val="single" w:sz="4" w:space="0" w:color="auto"/>
            </w:tcBorders>
            <w:shd w:val="clear" w:color="auto" w:fill="FDE9D9" w:themeFill="accent6" w:themeFillTint="33"/>
            <w:vAlign w:val="center"/>
            <w:hideMark/>
          </w:tcPr>
          <w:p w14:paraId="2D85B67F" w14:textId="1B7503D5" w:rsidR="00EF5281" w:rsidRPr="008B619A" w:rsidRDefault="00EF5281" w:rsidP="005E7907">
            <w:pPr>
              <w:jc w:val="center"/>
              <w:rPr>
                <w:rFonts w:hAnsi="標楷體" w:cs="新細明體"/>
                <w:b/>
                <w:bCs/>
                <w:color w:val="000000" w:themeColor="text1"/>
                <w:kern w:val="0"/>
                <w:sz w:val="24"/>
                <w:szCs w:val="24"/>
              </w:rPr>
            </w:pPr>
          </w:p>
        </w:tc>
        <w:tc>
          <w:tcPr>
            <w:tcW w:w="3288" w:type="dxa"/>
            <w:tcBorders>
              <w:top w:val="nil"/>
              <w:left w:val="nil"/>
              <w:bottom w:val="single" w:sz="4" w:space="0" w:color="auto"/>
              <w:right w:val="double" w:sz="4" w:space="0" w:color="auto"/>
            </w:tcBorders>
            <w:shd w:val="clear" w:color="auto" w:fill="auto"/>
            <w:vAlign w:val="center"/>
            <w:hideMark/>
          </w:tcPr>
          <w:p w14:paraId="7DB6FC00" w14:textId="77777777" w:rsidR="00EF5281" w:rsidRPr="008B619A" w:rsidRDefault="00EF5281" w:rsidP="005E7907">
            <w:pPr>
              <w:widowControl/>
              <w:rPr>
                <w:rFonts w:hAnsi="標楷體" w:cs="新細明體"/>
                <w:color w:val="000000" w:themeColor="text1"/>
                <w:kern w:val="0"/>
                <w:sz w:val="24"/>
                <w:szCs w:val="24"/>
              </w:rPr>
            </w:pPr>
            <w:r w:rsidRPr="008B619A">
              <w:rPr>
                <w:rFonts w:hAnsi="標楷體" w:cs="新細明體" w:hint="eastAsia"/>
                <w:color w:val="000000" w:themeColor="text1"/>
                <w:kern w:val="0"/>
                <w:sz w:val="24"/>
                <w:szCs w:val="24"/>
              </w:rPr>
              <w:t>國際經營管理研究所(IMBA)</w:t>
            </w:r>
          </w:p>
        </w:tc>
        <w:tc>
          <w:tcPr>
            <w:tcW w:w="1248" w:type="dxa"/>
            <w:vMerge/>
            <w:tcBorders>
              <w:left w:val="double" w:sz="4" w:space="0" w:color="auto"/>
              <w:right w:val="single" w:sz="4" w:space="0" w:color="auto"/>
            </w:tcBorders>
            <w:vAlign w:val="center"/>
          </w:tcPr>
          <w:p w14:paraId="3BED3A9F" w14:textId="710F591C" w:rsidR="00EF5281" w:rsidRPr="008B619A" w:rsidRDefault="00EF5281" w:rsidP="005E7907">
            <w:pPr>
              <w:rPr>
                <w:rFonts w:hAnsi="標楷體" w:cs="新細明體"/>
                <w:color w:val="000000" w:themeColor="text1"/>
                <w:kern w:val="0"/>
                <w:sz w:val="24"/>
                <w:szCs w:val="24"/>
              </w:rPr>
            </w:pPr>
          </w:p>
        </w:tc>
        <w:tc>
          <w:tcPr>
            <w:tcW w:w="3169" w:type="dxa"/>
            <w:tcBorders>
              <w:top w:val="nil"/>
              <w:left w:val="nil"/>
              <w:bottom w:val="single" w:sz="4" w:space="0" w:color="auto"/>
              <w:right w:val="single" w:sz="4" w:space="0" w:color="auto"/>
            </w:tcBorders>
            <w:vAlign w:val="center"/>
          </w:tcPr>
          <w:p w14:paraId="16EECD04" w14:textId="4B55CDAA" w:rsidR="00EF5281" w:rsidRPr="008B619A" w:rsidRDefault="00EF5281" w:rsidP="005E7907">
            <w:pPr>
              <w:widowControl/>
              <w:rPr>
                <w:rFonts w:hAnsi="標楷體" w:cs="新細明體"/>
                <w:color w:val="000000" w:themeColor="text1"/>
                <w:kern w:val="0"/>
                <w:sz w:val="24"/>
                <w:szCs w:val="24"/>
              </w:rPr>
            </w:pPr>
            <w:r w:rsidRPr="008B619A">
              <w:rPr>
                <w:rFonts w:hAnsi="標楷體" w:cs="新細明體" w:hint="eastAsia"/>
                <w:color w:val="000000" w:themeColor="text1"/>
                <w:kern w:val="0"/>
                <w:sz w:val="24"/>
                <w:szCs w:val="24"/>
              </w:rPr>
              <w:t>轉譯醫學博士學位學程</w:t>
            </w:r>
          </w:p>
        </w:tc>
      </w:tr>
      <w:tr w:rsidR="00EF5281" w:rsidRPr="008B619A" w14:paraId="5EF59301" w14:textId="623BD177" w:rsidTr="00F33FE5">
        <w:trPr>
          <w:trHeight w:val="315"/>
        </w:trPr>
        <w:tc>
          <w:tcPr>
            <w:tcW w:w="1129" w:type="dxa"/>
            <w:vMerge/>
            <w:tcBorders>
              <w:left w:val="single" w:sz="4" w:space="0" w:color="auto"/>
              <w:right w:val="single" w:sz="4" w:space="0" w:color="auto"/>
            </w:tcBorders>
            <w:shd w:val="clear" w:color="auto" w:fill="FDE9D9" w:themeFill="accent6" w:themeFillTint="33"/>
            <w:vAlign w:val="center"/>
            <w:hideMark/>
          </w:tcPr>
          <w:p w14:paraId="2E712E09" w14:textId="324F2842" w:rsidR="00EF5281" w:rsidRPr="008B619A" w:rsidRDefault="00EF5281" w:rsidP="005E7907">
            <w:pPr>
              <w:jc w:val="center"/>
              <w:rPr>
                <w:rFonts w:hAnsi="標楷體" w:cs="新細明體"/>
                <w:b/>
                <w:bCs/>
                <w:color w:val="000000" w:themeColor="text1"/>
                <w:kern w:val="0"/>
                <w:sz w:val="24"/>
                <w:szCs w:val="24"/>
              </w:rPr>
            </w:pPr>
          </w:p>
        </w:tc>
        <w:tc>
          <w:tcPr>
            <w:tcW w:w="3288" w:type="dxa"/>
            <w:tcBorders>
              <w:top w:val="nil"/>
              <w:left w:val="nil"/>
              <w:bottom w:val="single" w:sz="4" w:space="0" w:color="auto"/>
              <w:right w:val="double" w:sz="4" w:space="0" w:color="auto"/>
            </w:tcBorders>
            <w:shd w:val="clear" w:color="auto" w:fill="auto"/>
            <w:vAlign w:val="center"/>
            <w:hideMark/>
          </w:tcPr>
          <w:p w14:paraId="46FFD0AF" w14:textId="77777777" w:rsidR="00EF5281" w:rsidRPr="008B619A" w:rsidRDefault="00EF5281" w:rsidP="005E7907">
            <w:pPr>
              <w:widowControl/>
              <w:rPr>
                <w:rFonts w:hAnsi="標楷體" w:cs="新細明體"/>
                <w:color w:val="000000" w:themeColor="text1"/>
                <w:kern w:val="0"/>
                <w:sz w:val="24"/>
                <w:szCs w:val="24"/>
              </w:rPr>
            </w:pPr>
            <w:r w:rsidRPr="008B619A">
              <w:rPr>
                <w:rFonts w:hAnsi="標楷體" w:cs="新細明體" w:hint="eastAsia"/>
                <w:color w:val="000000" w:themeColor="text1"/>
                <w:kern w:val="0"/>
                <w:sz w:val="24"/>
                <w:szCs w:val="24"/>
              </w:rPr>
              <w:t>太空與電漿科學研究所</w:t>
            </w:r>
          </w:p>
        </w:tc>
        <w:tc>
          <w:tcPr>
            <w:tcW w:w="1248" w:type="dxa"/>
            <w:vMerge/>
            <w:tcBorders>
              <w:left w:val="double" w:sz="4" w:space="0" w:color="auto"/>
              <w:right w:val="single" w:sz="4" w:space="0" w:color="auto"/>
            </w:tcBorders>
            <w:vAlign w:val="center"/>
          </w:tcPr>
          <w:p w14:paraId="2BDFB938" w14:textId="10940A0E" w:rsidR="00EF5281" w:rsidRPr="008B619A" w:rsidRDefault="00EF5281" w:rsidP="005E7907">
            <w:pPr>
              <w:rPr>
                <w:rFonts w:hAnsi="標楷體" w:cs="新細明體"/>
                <w:color w:val="000000" w:themeColor="text1"/>
                <w:kern w:val="0"/>
                <w:sz w:val="24"/>
                <w:szCs w:val="24"/>
              </w:rPr>
            </w:pPr>
          </w:p>
        </w:tc>
        <w:tc>
          <w:tcPr>
            <w:tcW w:w="3169" w:type="dxa"/>
            <w:tcBorders>
              <w:top w:val="nil"/>
              <w:left w:val="nil"/>
              <w:bottom w:val="single" w:sz="4" w:space="0" w:color="auto"/>
              <w:right w:val="single" w:sz="4" w:space="0" w:color="auto"/>
            </w:tcBorders>
            <w:vAlign w:val="center"/>
          </w:tcPr>
          <w:p w14:paraId="40D15DE7" w14:textId="1B9FC9AB" w:rsidR="00EF5281" w:rsidRPr="008B619A" w:rsidRDefault="00EF5281" w:rsidP="005E7907">
            <w:pPr>
              <w:widowControl/>
              <w:rPr>
                <w:rFonts w:hAnsi="標楷體" w:cs="新細明體"/>
                <w:color w:val="000000" w:themeColor="text1"/>
                <w:kern w:val="0"/>
                <w:sz w:val="24"/>
                <w:szCs w:val="24"/>
              </w:rPr>
            </w:pPr>
            <w:r w:rsidRPr="008B619A">
              <w:rPr>
                <w:rFonts w:hAnsi="標楷體" w:cs="新細明體" w:hint="eastAsia"/>
                <w:color w:val="000000" w:themeColor="text1"/>
                <w:kern w:val="0"/>
                <w:sz w:val="24"/>
                <w:szCs w:val="24"/>
              </w:rPr>
              <w:t>社會工作學系</w:t>
            </w:r>
          </w:p>
        </w:tc>
      </w:tr>
      <w:tr w:rsidR="00EF5281" w:rsidRPr="008B619A" w14:paraId="6EB9A043" w14:textId="3B0C487A" w:rsidTr="00F33FE5">
        <w:trPr>
          <w:trHeight w:val="315"/>
        </w:trPr>
        <w:tc>
          <w:tcPr>
            <w:tcW w:w="1129" w:type="dxa"/>
            <w:vMerge/>
            <w:tcBorders>
              <w:left w:val="single" w:sz="4" w:space="0" w:color="auto"/>
              <w:right w:val="single" w:sz="4" w:space="0" w:color="auto"/>
            </w:tcBorders>
            <w:shd w:val="clear" w:color="auto" w:fill="FDE9D9" w:themeFill="accent6" w:themeFillTint="33"/>
            <w:vAlign w:val="center"/>
            <w:hideMark/>
          </w:tcPr>
          <w:p w14:paraId="0E156781" w14:textId="0591BF30" w:rsidR="00EF5281" w:rsidRPr="008B619A" w:rsidRDefault="00EF5281" w:rsidP="005E7907">
            <w:pPr>
              <w:jc w:val="center"/>
              <w:rPr>
                <w:rFonts w:hAnsi="標楷體" w:cs="新細明體"/>
                <w:b/>
                <w:bCs/>
                <w:color w:val="000000" w:themeColor="text1"/>
                <w:kern w:val="0"/>
                <w:sz w:val="24"/>
                <w:szCs w:val="24"/>
              </w:rPr>
            </w:pPr>
          </w:p>
        </w:tc>
        <w:tc>
          <w:tcPr>
            <w:tcW w:w="3288" w:type="dxa"/>
            <w:tcBorders>
              <w:top w:val="nil"/>
              <w:left w:val="nil"/>
              <w:bottom w:val="single" w:sz="4" w:space="0" w:color="auto"/>
              <w:right w:val="double" w:sz="4" w:space="0" w:color="auto"/>
            </w:tcBorders>
            <w:shd w:val="clear" w:color="auto" w:fill="auto"/>
            <w:vAlign w:val="center"/>
            <w:hideMark/>
          </w:tcPr>
          <w:p w14:paraId="6630870B" w14:textId="77777777" w:rsidR="00EF5281" w:rsidRPr="008B619A" w:rsidRDefault="00EF5281" w:rsidP="005E7907">
            <w:pPr>
              <w:widowControl/>
              <w:rPr>
                <w:rFonts w:hAnsi="標楷體" w:cs="新細明體"/>
                <w:color w:val="000000" w:themeColor="text1"/>
                <w:kern w:val="0"/>
                <w:sz w:val="24"/>
                <w:szCs w:val="24"/>
              </w:rPr>
            </w:pPr>
            <w:r w:rsidRPr="008B619A">
              <w:rPr>
                <w:rFonts w:hAnsi="標楷體" w:cs="新細明體" w:hint="eastAsia"/>
                <w:color w:val="000000" w:themeColor="text1"/>
                <w:kern w:val="0"/>
                <w:sz w:val="24"/>
                <w:szCs w:val="24"/>
              </w:rPr>
              <w:t>統計學系</w:t>
            </w:r>
          </w:p>
        </w:tc>
        <w:tc>
          <w:tcPr>
            <w:tcW w:w="1248" w:type="dxa"/>
            <w:vMerge/>
            <w:tcBorders>
              <w:left w:val="double" w:sz="4" w:space="0" w:color="auto"/>
              <w:right w:val="single" w:sz="4" w:space="0" w:color="auto"/>
            </w:tcBorders>
            <w:vAlign w:val="center"/>
          </w:tcPr>
          <w:p w14:paraId="614536D3" w14:textId="57E37291" w:rsidR="00EF5281" w:rsidRPr="008B619A" w:rsidRDefault="00EF5281" w:rsidP="005E7907">
            <w:pPr>
              <w:rPr>
                <w:rFonts w:hAnsi="標楷體" w:cs="新細明體"/>
                <w:color w:val="000000" w:themeColor="text1"/>
                <w:kern w:val="0"/>
                <w:sz w:val="24"/>
                <w:szCs w:val="24"/>
              </w:rPr>
            </w:pPr>
          </w:p>
        </w:tc>
        <w:tc>
          <w:tcPr>
            <w:tcW w:w="3169" w:type="dxa"/>
            <w:tcBorders>
              <w:top w:val="nil"/>
              <w:left w:val="nil"/>
              <w:bottom w:val="single" w:sz="4" w:space="0" w:color="auto"/>
              <w:right w:val="single" w:sz="4" w:space="0" w:color="auto"/>
            </w:tcBorders>
            <w:vAlign w:val="center"/>
          </w:tcPr>
          <w:p w14:paraId="375539EF" w14:textId="49695E2A" w:rsidR="00EF5281" w:rsidRPr="008B619A" w:rsidRDefault="00EF5281" w:rsidP="005E7907">
            <w:pPr>
              <w:widowControl/>
              <w:rPr>
                <w:rFonts w:hAnsi="標楷體" w:cs="新細明體"/>
                <w:color w:val="000000" w:themeColor="text1"/>
                <w:kern w:val="0"/>
                <w:sz w:val="24"/>
                <w:szCs w:val="24"/>
              </w:rPr>
            </w:pPr>
            <w:r w:rsidRPr="008B619A">
              <w:rPr>
                <w:rFonts w:hAnsi="標楷體" w:cs="新細明體" w:hint="eastAsia"/>
                <w:color w:val="000000" w:themeColor="text1"/>
                <w:kern w:val="0"/>
                <w:sz w:val="24"/>
                <w:szCs w:val="24"/>
              </w:rPr>
              <w:t>企業管理學系</w:t>
            </w:r>
          </w:p>
        </w:tc>
      </w:tr>
      <w:tr w:rsidR="00EF5281" w:rsidRPr="008B619A" w14:paraId="19E7BBC6" w14:textId="5B9C5446" w:rsidTr="00F33FE5">
        <w:trPr>
          <w:trHeight w:val="315"/>
        </w:trPr>
        <w:tc>
          <w:tcPr>
            <w:tcW w:w="1129" w:type="dxa"/>
            <w:vMerge/>
            <w:tcBorders>
              <w:left w:val="single" w:sz="4" w:space="0" w:color="auto"/>
              <w:right w:val="single" w:sz="4" w:space="0" w:color="auto"/>
            </w:tcBorders>
            <w:shd w:val="clear" w:color="auto" w:fill="FDE9D9" w:themeFill="accent6" w:themeFillTint="33"/>
            <w:vAlign w:val="center"/>
            <w:hideMark/>
          </w:tcPr>
          <w:p w14:paraId="6246206D" w14:textId="69902AB6" w:rsidR="00EF5281" w:rsidRPr="008B619A" w:rsidRDefault="00EF5281" w:rsidP="005E7907">
            <w:pPr>
              <w:jc w:val="center"/>
              <w:rPr>
                <w:rFonts w:hAnsi="標楷體" w:cs="新細明體"/>
                <w:b/>
                <w:bCs/>
                <w:color w:val="000000" w:themeColor="text1"/>
                <w:kern w:val="0"/>
                <w:sz w:val="24"/>
                <w:szCs w:val="24"/>
              </w:rPr>
            </w:pPr>
          </w:p>
        </w:tc>
        <w:tc>
          <w:tcPr>
            <w:tcW w:w="3288" w:type="dxa"/>
            <w:tcBorders>
              <w:top w:val="nil"/>
              <w:left w:val="nil"/>
              <w:bottom w:val="single" w:sz="4" w:space="0" w:color="auto"/>
              <w:right w:val="double" w:sz="4" w:space="0" w:color="auto"/>
            </w:tcBorders>
            <w:shd w:val="clear" w:color="auto" w:fill="auto"/>
            <w:vAlign w:val="center"/>
            <w:hideMark/>
          </w:tcPr>
          <w:p w14:paraId="3756D9A1" w14:textId="77777777" w:rsidR="00EF5281" w:rsidRPr="008B619A" w:rsidRDefault="00EF5281" w:rsidP="005E7907">
            <w:pPr>
              <w:widowControl/>
              <w:rPr>
                <w:rFonts w:hAnsi="標楷體" w:cs="新細明體"/>
                <w:color w:val="000000" w:themeColor="text1"/>
                <w:kern w:val="0"/>
                <w:sz w:val="24"/>
                <w:szCs w:val="24"/>
              </w:rPr>
            </w:pPr>
            <w:r w:rsidRPr="008B619A">
              <w:rPr>
                <w:rFonts w:hAnsi="標楷體" w:cs="新細明體" w:hint="eastAsia"/>
                <w:color w:val="000000" w:themeColor="text1"/>
                <w:kern w:val="0"/>
                <w:sz w:val="24"/>
                <w:szCs w:val="24"/>
              </w:rPr>
              <w:t>多媒體系統與智慧型運算工程博士學位學程</w:t>
            </w:r>
          </w:p>
        </w:tc>
        <w:tc>
          <w:tcPr>
            <w:tcW w:w="1248" w:type="dxa"/>
            <w:vMerge/>
            <w:tcBorders>
              <w:left w:val="double" w:sz="4" w:space="0" w:color="auto"/>
              <w:right w:val="single" w:sz="4" w:space="0" w:color="auto"/>
            </w:tcBorders>
            <w:vAlign w:val="center"/>
          </w:tcPr>
          <w:p w14:paraId="1759E217" w14:textId="6E3B39C1" w:rsidR="00EF5281" w:rsidRPr="008B619A" w:rsidRDefault="00EF5281" w:rsidP="005E7907">
            <w:pPr>
              <w:rPr>
                <w:rFonts w:hAnsi="標楷體" w:cs="新細明體"/>
                <w:color w:val="000000" w:themeColor="text1"/>
                <w:kern w:val="0"/>
                <w:sz w:val="24"/>
                <w:szCs w:val="24"/>
              </w:rPr>
            </w:pPr>
          </w:p>
        </w:tc>
        <w:tc>
          <w:tcPr>
            <w:tcW w:w="3169" w:type="dxa"/>
            <w:tcBorders>
              <w:top w:val="nil"/>
              <w:left w:val="nil"/>
              <w:bottom w:val="single" w:sz="4" w:space="0" w:color="auto"/>
              <w:right w:val="single" w:sz="4" w:space="0" w:color="auto"/>
            </w:tcBorders>
            <w:vAlign w:val="center"/>
          </w:tcPr>
          <w:p w14:paraId="6E434BF8" w14:textId="597E45ED" w:rsidR="00EF5281" w:rsidRPr="008B619A" w:rsidRDefault="00EF5281" w:rsidP="005E7907">
            <w:pPr>
              <w:widowControl/>
              <w:rPr>
                <w:rFonts w:hAnsi="標楷體" w:cs="新細明體"/>
                <w:color w:val="000000" w:themeColor="text1"/>
                <w:kern w:val="0"/>
                <w:sz w:val="24"/>
                <w:szCs w:val="24"/>
              </w:rPr>
            </w:pPr>
            <w:r w:rsidRPr="008B619A">
              <w:rPr>
                <w:rFonts w:hAnsi="標楷體" w:cs="新細明體" w:hint="eastAsia"/>
                <w:color w:val="000000" w:themeColor="text1"/>
                <w:kern w:val="0"/>
                <w:sz w:val="24"/>
                <w:szCs w:val="24"/>
              </w:rPr>
              <w:t>國際經營管理研究所(IMBA)</w:t>
            </w:r>
          </w:p>
        </w:tc>
      </w:tr>
      <w:tr w:rsidR="00EF5281" w:rsidRPr="008B619A" w14:paraId="671C2351" w14:textId="26C64B1A" w:rsidTr="00F33FE5">
        <w:trPr>
          <w:trHeight w:val="315"/>
        </w:trPr>
        <w:tc>
          <w:tcPr>
            <w:tcW w:w="1129" w:type="dxa"/>
            <w:vMerge/>
            <w:tcBorders>
              <w:left w:val="single" w:sz="4" w:space="0" w:color="auto"/>
              <w:right w:val="single" w:sz="4" w:space="0" w:color="auto"/>
            </w:tcBorders>
            <w:shd w:val="clear" w:color="auto" w:fill="FDE9D9" w:themeFill="accent6" w:themeFillTint="33"/>
            <w:vAlign w:val="center"/>
            <w:hideMark/>
          </w:tcPr>
          <w:p w14:paraId="6A1B5CF0" w14:textId="0677F48B" w:rsidR="00EF5281" w:rsidRPr="008B619A" w:rsidRDefault="00EF5281" w:rsidP="005E7907">
            <w:pPr>
              <w:jc w:val="center"/>
              <w:rPr>
                <w:rFonts w:hAnsi="標楷體" w:cs="新細明體"/>
                <w:b/>
                <w:bCs/>
                <w:color w:val="000000" w:themeColor="text1"/>
                <w:kern w:val="0"/>
                <w:sz w:val="24"/>
                <w:szCs w:val="24"/>
              </w:rPr>
            </w:pPr>
          </w:p>
        </w:tc>
        <w:tc>
          <w:tcPr>
            <w:tcW w:w="3288" w:type="dxa"/>
            <w:tcBorders>
              <w:top w:val="nil"/>
              <w:left w:val="nil"/>
              <w:bottom w:val="single" w:sz="4" w:space="0" w:color="auto"/>
              <w:right w:val="double" w:sz="4" w:space="0" w:color="auto"/>
            </w:tcBorders>
            <w:shd w:val="clear" w:color="auto" w:fill="auto"/>
            <w:vAlign w:val="center"/>
            <w:hideMark/>
          </w:tcPr>
          <w:p w14:paraId="36C9645D" w14:textId="77777777" w:rsidR="00EF5281" w:rsidRPr="008B619A" w:rsidRDefault="00EF5281" w:rsidP="005E7907">
            <w:pPr>
              <w:widowControl/>
              <w:rPr>
                <w:rFonts w:hAnsi="標楷體" w:cs="新細明體"/>
                <w:color w:val="000000" w:themeColor="text1"/>
                <w:kern w:val="0"/>
                <w:sz w:val="24"/>
                <w:szCs w:val="24"/>
              </w:rPr>
            </w:pPr>
            <w:r w:rsidRPr="008B619A">
              <w:rPr>
                <w:rFonts w:hAnsi="標楷體" w:cs="新細明體" w:hint="eastAsia"/>
                <w:color w:val="000000" w:themeColor="text1"/>
                <w:kern w:val="0"/>
                <w:sz w:val="24"/>
                <w:szCs w:val="24"/>
              </w:rPr>
              <w:t>昆蟲學系</w:t>
            </w:r>
          </w:p>
        </w:tc>
        <w:tc>
          <w:tcPr>
            <w:tcW w:w="1248" w:type="dxa"/>
            <w:vMerge/>
            <w:tcBorders>
              <w:left w:val="double" w:sz="4" w:space="0" w:color="auto"/>
              <w:right w:val="single" w:sz="4" w:space="0" w:color="auto"/>
            </w:tcBorders>
            <w:vAlign w:val="center"/>
          </w:tcPr>
          <w:p w14:paraId="203BEE67" w14:textId="52639F7C" w:rsidR="00EF5281" w:rsidRPr="008B619A" w:rsidRDefault="00EF5281" w:rsidP="005E7907">
            <w:pPr>
              <w:rPr>
                <w:rFonts w:hAnsi="標楷體" w:cs="新細明體"/>
                <w:color w:val="000000" w:themeColor="text1"/>
                <w:kern w:val="0"/>
                <w:sz w:val="24"/>
                <w:szCs w:val="24"/>
              </w:rPr>
            </w:pPr>
          </w:p>
        </w:tc>
        <w:tc>
          <w:tcPr>
            <w:tcW w:w="3169" w:type="dxa"/>
            <w:tcBorders>
              <w:top w:val="nil"/>
              <w:left w:val="nil"/>
              <w:bottom w:val="single" w:sz="4" w:space="0" w:color="auto"/>
              <w:right w:val="single" w:sz="4" w:space="0" w:color="auto"/>
            </w:tcBorders>
            <w:vAlign w:val="center"/>
          </w:tcPr>
          <w:p w14:paraId="3635A39C" w14:textId="20A30A80" w:rsidR="00EF5281" w:rsidRPr="008B619A" w:rsidRDefault="00EF5281" w:rsidP="005E7907">
            <w:pPr>
              <w:widowControl/>
              <w:rPr>
                <w:rFonts w:hAnsi="標楷體" w:cs="新細明體"/>
                <w:color w:val="000000" w:themeColor="text1"/>
                <w:kern w:val="0"/>
                <w:sz w:val="24"/>
                <w:szCs w:val="24"/>
              </w:rPr>
            </w:pPr>
            <w:r w:rsidRPr="008B619A">
              <w:rPr>
                <w:rFonts w:hAnsi="標楷體" w:cs="新細明體" w:hint="eastAsia"/>
                <w:color w:val="000000" w:themeColor="text1"/>
                <w:kern w:val="0"/>
                <w:sz w:val="24"/>
                <w:szCs w:val="24"/>
              </w:rPr>
              <w:t>生物資訊與訊息傳遞研究所</w:t>
            </w:r>
          </w:p>
        </w:tc>
      </w:tr>
      <w:tr w:rsidR="00EF5281" w:rsidRPr="008B619A" w14:paraId="36669F23" w14:textId="42D2685F" w:rsidTr="00F33FE5">
        <w:trPr>
          <w:trHeight w:val="315"/>
        </w:trPr>
        <w:tc>
          <w:tcPr>
            <w:tcW w:w="1129" w:type="dxa"/>
            <w:vMerge/>
            <w:tcBorders>
              <w:left w:val="single" w:sz="4" w:space="0" w:color="auto"/>
              <w:right w:val="single" w:sz="4" w:space="0" w:color="auto"/>
            </w:tcBorders>
            <w:shd w:val="clear" w:color="auto" w:fill="FDE9D9" w:themeFill="accent6" w:themeFillTint="33"/>
            <w:vAlign w:val="center"/>
            <w:hideMark/>
          </w:tcPr>
          <w:p w14:paraId="3D83CAF8" w14:textId="0946D053" w:rsidR="00EF5281" w:rsidRPr="008B619A" w:rsidRDefault="00EF5281" w:rsidP="005E7907">
            <w:pPr>
              <w:jc w:val="center"/>
              <w:rPr>
                <w:rFonts w:hAnsi="標楷體" w:cs="新細明體"/>
                <w:b/>
                <w:bCs/>
                <w:color w:val="000000" w:themeColor="text1"/>
                <w:kern w:val="0"/>
                <w:sz w:val="24"/>
                <w:szCs w:val="24"/>
              </w:rPr>
            </w:pPr>
          </w:p>
        </w:tc>
        <w:tc>
          <w:tcPr>
            <w:tcW w:w="3288" w:type="dxa"/>
            <w:tcBorders>
              <w:top w:val="nil"/>
              <w:left w:val="nil"/>
              <w:bottom w:val="single" w:sz="4" w:space="0" w:color="auto"/>
              <w:right w:val="double" w:sz="4" w:space="0" w:color="auto"/>
            </w:tcBorders>
            <w:shd w:val="clear" w:color="auto" w:fill="auto"/>
            <w:vAlign w:val="center"/>
            <w:hideMark/>
          </w:tcPr>
          <w:p w14:paraId="040E5F31" w14:textId="77777777" w:rsidR="00EF5281" w:rsidRPr="008B619A" w:rsidRDefault="00EF5281" w:rsidP="005E7907">
            <w:pPr>
              <w:widowControl/>
              <w:rPr>
                <w:rFonts w:hAnsi="標楷體" w:cs="新細明體"/>
                <w:color w:val="000000" w:themeColor="text1"/>
                <w:kern w:val="0"/>
                <w:sz w:val="24"/>
                <w:szCs w:val="24"/>
              </w:rPr>
            </w:pPr>
            <w:r w:rsidRPr="008B619A">
              <w:rPr>
                <w:rFonts w:hAnsi="標楷體" w:cs="新細明體" w:hint="eastAsia"/>
                <w:color w:val="000000" w:themeColor="text1"/>
                <w:kern w:val="0"/>
                <w:sz w:val="24"/>
                <w:szCs w:val="24"/>
              </w:rPr>
              <w:t>生物化學研究所</w:t>
            </w:r>
          </w:p>
        </w:tc>
        <w:tc>
          <w:tcPr>
            <w:tcW w:w="1248" w:type="dxa"/>
            <w:vMerge/>
            <w:tcBorders>
              <w:left w:val="double" w:sz="4" w:space="0" w:color="auto"/>
              <w:right w:val="single" w:sz="4" w:space="0" w:color="auto"/>
            </w:tcBorders>
            <w:vAlign w:val="center"/>
          </w:tcPr>
          <w:p w14:paraId="1CFAD00B" w14:textId="0B1E92CC" w:rsidR="00EF5281" w:rsidRPr="008B619A" w:rsidRDefault="00EF5281" w:rsidP="005E7907">
            <w:pPr>
              <w:rPr>
                <w:rFonts w:hAnsi="標楷體" w:cs="新細明體"/>
                <w:color w:val="000000" w:themeColor="text1"/>
                <w:kern w:val="0"/>
                <w:sz w:val="24"/>
                <w:szCs w:val="24"/>
              </w:rPr>
            </w:pPr>
          </w:p>
        </w:tc>
        <w:tc>
          <w:tcPr>
            <w:tcW w:w="3169" w:type="dxa"/>
            <w:tcBorders>
              <w:top w:val="nil"/>
              <w:left w:val="nil"/>
              <w:bottom w:val="single" w:sz="4" w:space="0" w:color="auto"/>
              <w:right w:val="single" w:sz="4" w:space="0" w:color="auto"/>
            </w:tcBorders>
            <w:vAlign w:val="center"/>
          </w:tcPr>
          <w:p w14:paraId="5D0BED11" w14:textId="2957B40A" w:rsidR="00EF5281" w:rsidRPr="008B619A" w:rsidRDefault="00EF5281" w:rsidP="005E7907">
            <w:pPr>
              <w:widowControl/>
              <w:rPr>
                <w:rFonts w:hAnsi="標楷體" w:cs="新細明體"/>
                <w:color w:val="000000" w:themeColor="text1"/>
                <w:kern w:val="0"/>
                <w:sz w:val="24"/>
                <w:szCs w:val="24"/>
              </w:rPr>
            </w:pPr>
            <w:r w:rsidRPr="008B619A">
              <w:rPr>
                <w:rFonts w:hAnsi="標楷體" w:cs="新細明體" w:hint="eastAsia"/>
                <w:color w:val="000000" w:themeColor="text1"/>
                <w:kern w:val="0"/>
                <w:sz w:val="24"/>
                <w:szCs w:val="24"/>
              </w:rPr>
              <w:t>地球科學系</w:t>
            </w:r>
          </w:p>
        </w:tc>
      </w:tr>
      <w:tr w:rsidR="00EF5281" w:rsidRPr="008B619A" w14:paraId="03ECF89D" w14:textId="2D92926C" w:rsidTr="00F33FE5">
        <w:trPr>
          <w:trHeight w:val="315"/>
        </w:trPr>
        <w:tc>
          <w:tcPr>
            <w:tcW w:w="1129" w:type="dxa"/>
            <w:vMerge/>
            <w:tcBorders>
              <w:left w:val="single" w:sz="4" w:space="0" w:color="auto"/>
              <w:right w:val="single" w:sz="4" w:space="0" w:color="auto"/>
            </w:tcBorders>
            <w:shd w:val="clear" w:color="auto" w:fill="FDE9D9" w:themeFill="accent6" w:themeFillTint="33"/>
            <w:vAlign w:val="center"/>
            <w:hideMark/>
          </w:tcPr>
          <w:p w14:paraId="19F3CE5E" w14:textId="58E312F7" w:rsidR="00EF5281" w:rsidRPr="008B619A" w:rsidRDefault="00EF5281" w:rsidP="005E7907">
            <w:pPr>
              <w:jc w:val="center"/>
              <w:rPr>
                <w:rFonts w:hAnsi="標楷體" w:cs="新細明體"/>
                <w:b/>
                <w:bCs/>
                <w:color w:val="000000" w:themeColor="text1"/>
                <w:kern w:val="0"/>
                <w:sz w:val="24"/>
                <w:szCs w:val="24"/>
              </w:rPr>
            </w:pPr>
          </w:p>
        </w:tc>
        <w:tc>
          <w:tcPr>
            <w:tcW w:w="3288" w:type="dxa"/>
            <w:tcBorders>
              <w:top w:val="nil"/>
              <w:left w:val="nil"/>
              <w:bottom w:val="single" w:sz="4" w:space="0" w:color="auto"/>
              <w:right w:val="double" w:sz="4" w:space="0" w:color="auto"/>
            </w:tcBorders>
            <w:shd w:val="clear" w:color="auto" w:fill="auto"/>
            <w:vAlign w:val="center"/>
            <w:hideMark/>
          </w:tcPr>
          <w:p w14:paraId="3940BF05" w14:textId="77777777" w:rsidR="00EF5281" w:rsidRPr="008B619A" w:rsidRDefault="00EF5281" w:rsidP="005E7907">
            <w:pPr>
              <w:widowControl/>
              <w:rPr>
                <w:rFonts w:hAnsi="標楷體" w:cs="新細明體"/>
                <w:color w:val="000000" w:themeColor="text1"/>
                <w:kern w:val="0"/>
                <w:sz w:val="24"/>
                <w:szCs w:val="24"/>
              </w:rPr>
            </w:pPr>
            <w:r w:rsidRPr="008B619A">
              <w:rPr>
                <w:rFonts w:hAnsi="標楷體" w:cs="新細明體" w:hint="eastAsia"/>
                <w:color w:val="000000" w:themeColor="text1"/>
                <w:kern w:val="0"/>
                <w:sz w:val="24"/>
                <w:szCs w:val="24"/>
              </w:rPr>
              <w:t>獸醫學系</w:t>
            </w:r>
          </w:p>
        </w:tc>
        <w:tc>
          <w:tcPr>
            <w:tcW w:w="1248" w:type="dxa"/>
            <w:vMerge/>
            <w:tcBorders>
              <w:left w:val="double" w:sz="4" w:space="0" w:color="auto"/>
              <w:right w:val="single" w:sz="4" w:space="0" w:color="auto"/>
            </w:tcBorders>
            <w:vAlign w:val="center"/>
          </w:tcPr>
          <w:p w14:paraId="6B080CA1" w14:textId="4514FF47" w:rsidR="00EF5281" w:rsidRPr="008B619A" w:rsidRDefault="00EF5281" w:rsidP="005E7907">
            <w:pPr>
              <w:rPr>
                <w:rFonts w:hAnsi="標楷體" w:cs="新細明體"/>
                <w:color w:val="000000" w:themeColor="text1"/>
                <w:kern w:val="0"/>
                <w:sz w:val="24"/>
                <w:szCs w:val="24"/>
              </w:rPr>
            </w:pPr>
          </w:p>
        </w:tc>
        <w:tc>
          <w:tcPr>
            <w:tcW w:w="3169" w:type="dxa"/>
            <w:tcBorders>
              <w:top w:val="nil"/>
              <w:left w:val="nil"/>
              <w:bottom w:val="single" w:sz="4" w:space="0" w:color="auto"/>
              <w:right w:val="single" w:sz="4" w:space="0" w:color="auto"/>
            </w:tcBorders>
            <w:vAlign w:val="center"/>
          </w:tcPr>
          <w:p w14:paraId="2ED95CB3" w14:textId="11B0639E" w:rsidR="00EF5281" w:rsidRPr="008B619A" w:rsidRDefault="00EF5281" w:rsidP="005E7907">
            <w:pPr>
              <w:widowControl/>
              <w:rPr>
                <w:rFonts w:hAnsi="標楷體" w:cs="新細明體"/>
                <w:color w:val="000000" w:themeColor="text1"/>
                <w:kern w:val="0"/>
                <w:sz w:val="24"/>
                <w:szCs w:val="24"/>
              </w:rPr>
            </w:pPr>
            <w:r w:rsidRPr="008B619A">
              <w:rPr>
                <w:rFonts w:hAnsi="標楷體" w:cs="新細明體" w:hint="eastAsia"/>
                <w:color w:val="000000" w:themeColor="text1"/>
                <w:kern w:val="0"/>
                <w:sz w:val="24"/>
                <w:szCs w:val="24"/>
              </w:rPr>
              <w:t>生物化學研究所</w:t>
            </w:r>
          </w:p>
        </w:tc>
      </w:tr>
      <w:tr w:rsidR="00EF5281" w:rsidRPr="008B619A" w14:paraId="7B907FEE" w14:textId="63C5FB31" w:rsidTr="00F33FE5">
        <w:trPr>
          <w:trHeight w:val="315"/>
        </w:trPr>
        <w:tc>
          <w:tcPr>
            <w:tcW w:w="1129" w:type="dxa"/>
            <w:vMerge/>
            <w:tcBorders>
              <w:left w:val="single" w:sz="4" w:space="0" w:color="auto"/>
              <w:right w:val="single" w:sz="4" w:space="0" w:color="auto"/>
            </w:tcBorders>
            <w:shd w:val="clear" w:color="auto" w:fill="FDE9D9" w:themeFill="accent6" w:themeFillTint="33"/>
            <w:vAlign w:val="center"/>
            <w:hideMark/>
          </w:tcPr>
          <w:p w14:paraId="350A51B0" w14:textId="40824A11" w:rsidR="00EF5281" w:rsidRPr="008B619A" w:rsidRDefault="00EF5281" w:rsidP="005E7907">
            <w:pPr>
              <w:jc w:val="center"/>
              <w:rPr>
                <w:rFonts w:hAnsi="標楷體" w:cs="新細明體"/>
                <w:b/>
                <w:bCs/>
                <w:color w:val="000000" w:themeColor="text1"/>
                <w:kern w:val="0"/>
                <w:sz w:val="24"/>
                <w:szCs w:val="24"/>
              </w:rPr>
            </w:pPr>
          </w:p>
        </w:tc>
        <w:tc>
          <w:tcPr>
            <w:tcW w:w="3288" w:type="dxa"/>
            <w:tcBorders>
              <w:top w:val="nil"/>
              <w:left w:val="nil"/>
              <w:bottom w:val="single" w:sz="4" w:space="0" w:color="auto"/>
              <w:right w:val="double" w:sz="4" w:space="0" w:color="auto"/>
            </w:tcBorders>
            <w:shd w:val="clear" w:color="auto" w:fill="auto"/>
            <w:vAlign w:val="center"/>
            <w:hideMark/>
          </w:tcPr>
          <w:p w14:paraId="67EC9EAF" w14:textId="77777777" w:rsidR="00EF5281" w:rsidRPr="008B619A" w:rsidRDefault="00EF5281" w:rsidP="005E7907">
            <w:pPr>
              <w:widowControl/>
              <w:rPr>
                <w:rFonts w:hAnsi="標楷體" w:cs="新細明體"/>
                <w:color w:val="000000" w:themeColor="text1"/>
                <w:kern w:val="0"/>
                <w:sz w:val="24"/>
                <w:szCs w:val="24"/>
              </w:rPr>
            </w:pPr>
            <w:r w:rsidRPr="008B619A">
              <w:rPr>
                <w:rFonts w:hAnsi="標楷體" w:cs="新細明體" w:hint="eastAsia"/>
                <w:color w:val="000000" w:themeColor="text1"/>
                <w:kern w:val="0"/>
                <w:sz w:val="24"/>
                <w:szCs w:val="24"/>
              </w:rPr>
              <w:t>統計學研究所</w:t>
            </w:r>
          </w:p>
        </w:tc>
        <w:tc>
          <w:tcPr>
            <w:tcW w:w="1248" w:type="dxa"/>
            <w:vMerge/>
            <w:tcBorders>
              <w:left w:val="double" w:sz="4" w:space="0" w:color="auto"/>
              <w:right w:val="single" w:sz="4" w:space="0" w:color="auto"/>
            </w:tcBorders>
            <w:vAlign w:val="center"/>
          </w:tcPr>
          <w:p w14:paraId="3D428189" w14:textId="2B23B70C" w:rsidR="00EF5281" w:rsidRPr="008B619A" w:rsidRDefault="00EF5281" w:rsidP="005E7907">
            <w:pPr>
              <w:rPr>
                <w:rFonts w:hAnsi="標楷體" w:cs="新細明體"/>
                <w:color w:val="000000" w:themeColor="text1"/>
                <w:kern w:val="0"/>
                <w:sz w:val="24"/>
                <w:szCs w:val="24"/>
              </w:rPr>
            </w:pPr>
          </w:p>
        </w:tc>
        <w:tc>
          <w:tcPr>
            <w:tcW w:w="3169" w:type="dxa"/>
            <w:tcBorders>
              <w:top w:val="nil"/>
              <w:left w:val="nil"/>
              <w:bottom w:val="single" w:sz="4" w:space="0" w:color="auto"/>
              <w:right w:val="single" w:sz="4" w:space="0" w:color="auto"/>
            </w:tcBorders>
            <w:vAlign w:val="center"/>
          </w:tcPr>
          <w:p w14:paraId="3B702C7A" w14:textId="56038C03" w:rsidR="00EF5281" w:rsidRPr="008B619A" w:rsidRDefault="00EF5281" w:rsidP="005E7907">
            <w:pPr>
              <w:widowControl/>
              <w:rPr>
                <w:rFonts w:hAnsi="標楷體" w:cs="新細明體"/>
                <w:color w:val="000000" w:themeColor="text1"/>
                <w:kern w:val="0"/>
                <w:sz w:val="24"/>
                <w:szCs w:val="24"/>
              </w:rPr>
            </w:pPr>
            <w:r w:rsidRPr="008B619A">
              <w:rPr>
                <w:rFonts w:hAnsi="標楷體" w:cs="新細明體" w:hint="eastAsia"/>
                <w:color w:val="000000" w:themeColor="text1"/>
                <w:kern w:val="0"/>
                <w:sz w:val="24"/>
                <w:szCs w:val="24"/>
              </w:rPr>
              <w:t>化學工程學系</w:t>
            </w:r>
          </w:p>
        </w:tc>
      </w:tr>
      <w:tr w:rsidR="00EF5281" w:rsidRPr="008B619A" w14:paraId="482A8C42" w14:textId="596717A4" w:rsidTr="00F33FE5">
        <w:trPr>
          <w:trHeight w:val="315"/>
        </w:trPr>
        <w:tc>
          <w:tcPr>
            <w:tcW w:w="1129" w:type="dxa"/>
            <w:vMerge/>
            <w:tcBorders>
              <w:left w:val="single" w:sz="4" w:space="0" w:color="auto"/>
              <w:right w:val="single" w:sz="4" w:space="0" w:color="auto"/>
            </w:tcBorders>
            <w:shd w:val="clear" w:color="auto" w:fill="FDE9D9" w:themeFill="accent6" w:themeFillTint="33"/>
            <w:vAlign w:val="center"/>
            <w:hideMark/>
          </w:tcPr>
          <w:p w14:paraId="7188BDED" w14:textId="25B05795" w:rsidR="00EF5281" w:rsidRPr="008B619A" w:rsidRDefault="00EF5281" w:rsidP="005E7907">
            <w:pPr>
              <w:jc w:val="center"/>
              <w:rPr>
                <w:rFonts w:hAnsi="標楷體" w:cs="新細明體"/>
                <w:b/>
                <w:bCs/>
                <w:color w:val="000000" w:themeColor="text1"/>
                <w:kern w:val="0"/>
                <w:sz w:val="24"/>
                <w:szCs w:val="24"/>
              </w:rPr>
            </w:pPr>
          </w:p>
        </w:tc>
        <w:tc>
          <w:tcPr>
            <w:tcW w:w="3288" w:type="dxa"/>
            <w:tcBorders>
              <w:top w:val="nil"/>
              <w:left w:val="nil"/>
              <w:bottom w:val="single" w:sz="4" w:space="0" w:color="auto"/>
              <w:right w:val="double" w:sz="4" w:space="0" w:color="auto"/>
            </w:tcBorders>
            <w:shd w:val="clear" w:color="auto" w:fill="auto"/>
            <w:vAlign w:val="center"/>
            <w:hideMark/>
          </w:tcPr>
          <w:p w14:paraId="25EB1FAA" w14:textId="77777777" w:rsidR="00EF5281" w:rsidRPr="008B619A" w:rsidRDefault="00EF5281" w:rsidP="005E7907">
            <w:pPr>
              <w:widowControl/>
              <w:rPr>
                <w:rFonts w:hAnsi="標楷體" w:cs="新細明體"/>
                <w:color w:val="000000" w:themeColor="text1"/>
                <w:kern w:val="0"/>
                <w:sz w:val="24"/>
                <w:szCs w:val="24"/>
              </w:rPr>
            </w:pPr>
            <w:r w:rsidRPr="008B619A">
              <w:rPr>
                <w:rFonts w:hAnsi="標楷體" w:cs="新細明體" w:hint="eastAsia"/>
                <w:color w:val="000000" w:themeColor="text1"/>
                <w:kern w:val="0"/>
                <w:sz w:val="24"/>
                <w:szCs w:val="24"/>
              </w:rPr>
              <w:t>網路與資訊系統博士學位學程</w:t>
            </w:r>
          </w:p>
        </w:tc>
        <w:tc>
          <w:tcPr>
            <w:tcW w:w="1248" w:type="dxa"/>
            <w:vMerge/>
            <w:tcBorders>
              <w:left w:val="double" w:sz="4" w:space="0" w:color="auto"/>
              <w:right w:val="single" w:sz="4" w:space="0" w:color="auto"/>
            </w:tcBorders>
            <w:vAlign w:val="center"/>
          </w:tcPr>
          <w:p w14:paraId="6302C7D1" w14:textId="7243DF41" w:rsidR="00EF5281" w:rsidRPr="008B619A" w:rsidRDefault="00EF5281" w:rsidP="005E7907">
            <w:pPr>
              <w:rPr>
                <w:rFonts w:hAnsi="標楷體" w:cs="新細明體"/>
                <w:color w:val="000000" w:themeColor="text1"/>
                <w:kern w:val="0"/>
                <w:sz w:val="24"/>
                <w:szCs w:val="24"/>
              </w:rPr>
            </w:pPr>
          </w:p>
        </w:tc>
        <w:tc>
          <w:tcPr>
            <w:tcW w:w="3169" w:type="dxa"/>
            <w:tcBorders>
              <w:top w:val="nil"/>
              <w:left w:val="nil"/>
              <w:bottom w:val="single" w:sz="4" w:space="0" w:color="auto"/>
              <w:right w:val="single" w:sz="4" w:space="0" w:color="auto"/>
            </w:tcBorders>
            <w:vAlign w:val="center"/>
          </w:tcPr>
          <w:p w14:paraId="7CB88393" w14:textId="06D61D15" w:rsidR="00EF5281" w:rsidRPr="008B619A" w:rsidRDefault="00EF5281" w:rsidP="005E7907">
            <w:pPr>
              <w:widowControl/>
              <w:rPr>
                <w:rFonts w:hAnsi="標楷體" w:cs="新細明體"/>
                <w:color w:val="000000" w:themeColor="text1"/>
                <w:kern w:val="0"/>
                <w:sz w:val="24"/>
                <w:szCs w:val="24"/>
              </w:rPr>
            </w:pPr>
            <w:r w:rsidRPr="008B619A">
              <w:rPr>
                <w:rFonts w:hAnsi="標楷體" w:cs="新細明體" w:hint="eastAsia"/>
                <w:color w:val="000000" w:themeColor="text1"/>
                <w:kern w:val="0"/>
                <w:sz w:val="24"/>
                <w:szCs w:val="24"/>
              </w:rPr>
              <w:t>加速器光源科技與應用博士學位學程</w:t>
            </w:r>
          </w:p>
        </w:tc>
      </w:tr>
      <w:tr w:rsidR="00EF5281" w:rsidRPr="008B619A" w14:paraId="09A1789C" w14:textId="4D9C98C2" w:rsidTr="00F33FE5">
        <w:trPr>
          <w:trHeight w:val="315"/>
        </w:trPr>
        <w:tc>
          <w:tcPr>
            <w:tcW w:w="1129" w:type="dxa"/>
            <w:vMerge/>
            <w:tcBorders>
              <w:left w:val="single" w:sz="4" w:space="0" w:color="auto"/>
              <w:right w:val="single" w:sz="4" w:space="0" w:color="auto"/>
            </w:tcBorders>
            <w:shd w:val="clear" w:color="auto" w:fill="FDE9D9" w:themeFill="accent6" w:themeFillTint="33"/>
            <w:vAlign w:val="center"/>
            <w:hideMark/>
          </w:tcPr>
          <w:p w14:paraId="23538F1A" w14:textId="635C0CCE" w:rsidR="00EF5281" w:rsidRPr="008B619A" w:rsidRDefault="00EF5281" w:rsidP="005E7907">
            <w:pPr>
              <w:jc w:val="center"/>
              <w:rPr>
                <w:rFonts w:hAnsi="標楷體" w:cs="新細明體"/>
                <w:b/>
                <w:bCs/>
                <w:color w:val="000000" w:themeColor="text1"/>
                <w:kern w:val="0"/>
                <w:sz w:val="24"/>
                <w:szCs w:val="24"/>
              </w:rPr>
            </w:pPr>
          </w:p>
        </w:tc>
        <w:tc>
          <w:tcPr>
            <w:tcW w:w="3288" w:type="dxa"/>
            <w:tcBorders>
              <w:top w:val="nil"/>
              <w:left w:val="nil"/>
              <w:bottom w:val="single" w:sz="4" w:space="0" w:color="auto"/>
              <w:right w:val="double" w:sz="4" w:space="0" w:color="auto"/>
            </w:tcBorders>
            <w:shd w:val="clear" w:color="auto" w:fill="auto"/>
            <w:vAlign w:val="center"/>
            <w:hideMark/>
          </w:tcPr>
          <w:p w14:paraId="57A5AB17" w14:textId="77777777" w:rsidR="00EF5281" w:rsidRPr="008B619A" w:rsidRDefault="00EF5281" w:rsidP="005E7907">
            <w:pPr>
              <w:widowControl/>
              <w:rPr>
                <w:rFonts w:hAnsi="標楷體" w:cs="新細明體"/>
                <w:color w:val="000000" w:themeColor="text1"/>
                <w:kern w:val="0"/>
                <w:sz w:val="24"/>
                <w:szCs w:val="24"/>
              </w:rPr>
            </w:pPr>
            <w:r w:rsidRPr="008B619A">
              <w:rPr>
                <w:rFonts w:hAnsi="標楷體" w:cs="新細明體" w:hint="eastAsia"/>
                <w:color w:val="000000" w:themeColor="text1"/>
                <w:kern w:val="0"/>
                <w:sz w:val="24"/>
                <w:szCs w:val="24"/>
              </w:rPr>
              <w:t>財務金融學系</w:t>
            </w:r>
          </w:p>
        </w:tc>
        <w:tc>
          <w:tcPr>
            <w:tcW w:w="1248" w:type="dxa"/>
            <w:vMerge/>
            <w:tcBorders>
              <w:left w:val="double" w:sz="4" w:space="0" w:color="auto"/>
              <w:right w:val="single" w:sz="4" w:space="0" w:color="auto"/>
            </w:tcBorders>
            <w:vAlign w:val="center"/>
          </w:tcPr>
          <w:p w14:paraId="0B9D3C25" w14:textId="09C511A2" w:rsidR="00EF5281" w:rsidRPr="008B619A" w:rsidRDefault="00EF5281" w:rsidP="005E7907">
            <w:pPr>
              <w:rPr>
                <w:rFonts w:hAnsi="標楷體" w:cs="新細明體"/>
                <w:color w:val="000000" w:themeColor="text1"/>
                <w:kern w:val="0"/>
                <w:sz w:val="24"/>
                <w:szCs w:val="24"/>
              </w:rPr>
            </w:pPr>
          </w:p>
        </w:tc>
        <w:tc>
          <w:tcPr>
            <w:tcW w:w="3169" w:type="dxa"/>
            <w:tcBorders>
              <w:top w:val="nil"/>
              <w:left w:val="nil"/>
              <w:bottom w:val="single" w:sz="4" w:space="0" w:color="auto"/>
              <w:right w:val="single" w:sz="4" w:space="0" w:color="auto"/>
            </w:tcBorders>
            <w:vAlign w:val="center"/>
          </w:tcPr>
          <w:p w14:paraId="2A191FF9" w14:textId="5BF3957C" w:rsidR="00EF5281" w:rsidRPr="008B619A" w:rsidRDefault="00EF5281" w:rsidP="005E7907">
            <w:pPr>
              <w:widowControl/>
              <w:rPr>
                <w:rFonts w:hAnsi="標楷體" w:cs="新細明體"/>
                <w:color w:val="000000" w:themeColor="text1"/>
                <w:kern w:val="0"/>
                <w:sz w:val="24"/>
                <w:szCs w:val="24"/>
              </w:rPr>
            </w:pPr>
            <w:r w:rsidRPr="008B619A">
              <w:rPr>
                <w:rFonts w:hAnsi="標楷體" w:cs="新細明體" w:hint="eastAsia"/>
                <w:color w:val="000000" w:themeColor="text1"/>
                <w:kern w:val="0"/>
                <w:sz w:val="24"/>
                <w:szCs w:val="24"/>
              </w:rPr>
              <w:t>照明與能源光電博士學位學程</w:t>
            </w:r>
          </w:p>
        </w:tc>
      </w:tr>
      <w:tr w:rsidR="00EF5281" w:rsidRPr="008B619A" w14:paraId="22A577E0" w14:textId="20EC66B4" w:rsidTr="00F33FE5">
        <w:trPr>
          <w:trHeight w:val="315"/>
        </w:trPr>
        <w:tc>
          <w:tcPr>
            <w:tcW w:w="1129" w:type="dxa"/>
            <w:vMerge/>
            <w:tcBorders>
              <w:left w:val="single" w:sz="4" w:space="0" w:color="auto"/>
              <w:right w:val="single" w:sz="4" w:space="0" w:color="auto"/>
            </w:tcBorders>
            <w:shd w:val="clear" w:color="auto" w:fill="FDE9D9" w:themeFill="accent6" w:themeFillTint="33"/>
            <w:vAlign w:val="center"/>
            <w:hideMark/>
          </w:tcPr>
          <w:p w14:paraId="129CB7B1" w14:textId="305C9EEF" w:rsidR="00EF5281" w:rsidRPr="008B619A" w:rsidRDefault="00EF5281" w:rsidP="005E7907">
            <w:pPr>
              <w:jc w:val="center"/>
              <w:rPr>
                <w:rFonts w:hAnsi="標楷體" w:cs="新細明體"/>
                <w:b/>
                <w:bCs/>
                <w:color w:val="000000" w:themeColor="text1"/>
                <w:kern w:val="0"/>
                <w:sz w:val="24"/>
                <w:szCs w:val="24"/>
              </w:rPr>
            </w:pPr>
          </w:p>
        </w:tc>
        <w:tc>
          <w:tcPr>
            <w:tcW w:w="3288" w:type="dxa"/>
            <w:tcBorders>
              <w:top w:val="nil"/>
              <w:left w:val="nil"/>
              <w:bottom w:val="single" w:sz="4" w:space="0" w:color="auto"/>
              <w:right w:val="double" w:sz="4" w:space="0" w:color="auto"/>
            </w:tcBorders>
            <w:shd w:val="clear" w:color="auto" w:fill="auto"/>
            <w:vAlign w:val="center"/>
            <w:hideMark/>
          </w:tcPr>
          <w:p w14:paraId="213FAB90" w14:textId="77777777" w:rsidR="00EF5281" w:rsidRPr="008B619A" w:rsidRDefault="00EF5281" w:rsidP="005E7907">
            <w:pPr>
              <w:widowControl/>
              <w:rPr>
                <w:rFonts w:hAnsi="標楷體" w:cs="新細明體"/>
                <w:color w:val="000000" w:themeColor="text1"/>
                <w:kern w:val="0"/>
                <w:sz w:val="24"/>
                <w:szCs w:val="24"/>
              </w:rPr>
            </w:pPr>
            <w:r w:rsidRPr="008B619A">
              <w:rPr>
                <w:rFonts w:hAnsi="標楷體" w:cs="新細明體" w:hint="eastAsia"/>
                <w:color w:val="000000" w:themeColor="text1"/>
                <w:kern w:val="0"/>
                <w:sz w:val="24"/>
                <w:szCs w:val="24"/>
              </w:rPr>
              <w:t>跨領域神經科學博士學位學程(台灣聯合大學系統)</w:t>
            </w:r>
          </w:p>
        </w:tc>
        <w:tc>
          <w:tcPr>
            <w:tcW w:w="1248" w:type="dxa"/>
            <w:vMerge/>
            <w:tcBorders>
              <w:left w:val="double" w:sz="4" w:space="0" w:color="auto"/>
              <w:right w:val="single" w:sz="4" w:space="0" w:color="auto"/>
            </w:tcBorders>
            <w:vAlign w:val="center"/>
          </w:tcPr>
          <w:p w14:paraId="282CD9AA" w14:textId="51D97856" w:rsidR="00EF5281" w:rsidRPr="008B619A" w:rsidRDefault="00EF5281" w:rsidP="005E7907">
            <w:pPr>
              <w:rPr>
                <w:rFonts w:hAnsi="標楷體" w:cs="新細明體"/>
                <w:color w:val="000000" w:themeColor="text1"/>
                <w:kern w:val="0"/>
                <w:sz w:val="24"/>
                <w:szCs w:val="24"/>
              </w:rPr>
            </w:pPr>
          </w:p>
        </w:tc>
        <w:tc>
          <w:tcPr>
            <w:tcW w:w="3169" w:type="dxa"/>
            <w:tcBorders>
              <w:top w:val="nil"/>
              <w:left w:val="nil"/>
              <w:bottom w:val="single" w:sz="4" w:space="0" w:color="auto"/>
              <w:right w:val="single" w:sz="4" w:space="0" w:color="auto"/>
            </w:tcBorders>
            <w:vAlign w:val="center"/>
          </w:tcPr>
          <w:p w14:paraId="5BA7132A" w14:textId="51AA8F16" w:rsidR="00EF5281" w:rsidRPr="008B619A" w:rsidRDefault="00EF5281" w:rsidP="005E7907">
            <w:pPr>
              <w:widowControl/>
              <w:rPr>
                <w:rFonts w:hAnsi="標楷體" w:cs="新細明體"/>
                <w:color w:val="000000" w:themeColor="text1"/>
                <w:kern w:val="0"/>
                <w:sz w:val="24"/>
                <w:szCs w:val="24"/>
              </w:rPr>
            </w:pPr>
            <w:r w:rsidRPr="008B619A">
              <w:rPr>
                <w:rFonts w:hAnsi="標楷體" w:cs="新細明體" w:hint="eastAsia"/>
                <w:color w:val="000000" w:themeColor="text1"/>
                <w:kern w:val="0"/>
                <w:sz w:val="24"/>
                <w:szCs w:val="24"/>
              </w:rPr>
              <w:t>運輸與物流管理學系物流管理博士班</w:t>
            </w:r>
          </w:p>
        </w:tc>
      </w:tr>
      <w:tr w:rsidR="00EF5281" w:rsidRPr="008B619A" w14:paraId="5C2B7BC6" w14:textId="33972C3E" w:rsidTr="00F33FE5">
        <w:trPr>
          <w:trHeight w:val="315"/>
        </w:trPr>
        <w:tc>
          <w:tcPr>
            <w:tcW w:w="1129" w:type="dxa"/>
            <w:vMerge/>
            <w:tcBorders>
              <w:left w:val="single" w:sz="4" w:space="0" w:color="auto"/>
              <w:right w:val="single" w:sz="4" w:space="0" w:color="auto"/>
            </w:tcBorders>
            <w:shd w:val="clear" w:color="auto" w:fill="FDE9D9" w:themeFill="accent6" w:themeFillTint="33"/>
            <w:vAlign w:val="center"/>
            <w:hideMark/>
          </w:tcPr>
          <w:p w14:paraId="40F48792" w14:textId="07907CD9" w:rsidR="00EF5281" w:rsidRPr="008B619A" w:rsidRDefault="00EF5281" w:rsidP="005E7907">
            <w:pPr>
              <w:jc w:val="center"/>
              <w:rPr>
                <w:rFonts w:hAnsi="標楷體" w:cs="新細明體"/>
                <w:b/>
                <w:bCs/>
                <w:color w:val="000000" w:themeColor="text1"/>
                <w:kern w:val="0"/>
                <w:sz w:val="24"/>
                <w:szCs w:val="24"/>
              </w:rPr>
            </w:pPr>
          </w:p>
        </w:tc>
        <w:tc>
          <w:tcPr>
            <w:tcW w:w="3288" w:type="dxa"/>
            <w:tcBorders>
              <w:top w:val="nil"/>
              <w:left w:val="nil"/>
              <w:bottom w:val="single" w:sz="4" w:space="0" w:color="auto"/>
              <w:right w:val="double" w:sz="4" w:space="0" w:color="auto"/>
            </w:tcBorders>
            <w:shd w:val="clear" w:color="auto" w:fill="auto"/>
            <w:vAlign w:val="center"/>
            <w:hideMark/>
          </w:tcPr>
          <w:p w14:paraId="0001B28D" w14:textId="77777777" w:rsidR="00EF5281" w:rsidRPr="008B619A" w:rsidRDefault="00EF5281" w:rsidP="005E7907">
            <w:pPr>
              <w:widowControl/>
              <w:rPr>
                <w:rFonts w:hAnsi="標楷體" w:cs="新細明體"/>
                <w:color w:val="000000" w:themeColor="text1"/>
                <w:kern w:val="0"/>
                <w:sz w:val="24"/>
                <w:szCs w:val="24"/>
              </w:rPr>
            </w:pPr>
            <w:r w:rsidRPr="008B619A">
              <w:rPr>
                <w:rFonts w:hAnsi="標楷體" w:cs="新細明體" w:hint="eastAsia"/>
                <w:color w:val="000000" w:themeColor="text1"/>
                <w:kern w:val="0"/>
                <w:sz w:val="24"/>
                <w:szCs w:val="24"/>
              </w:rPr>
              <w:t>地球科學學系地球物理博士班</w:t>
            </w:r>
          </w:p>
        </w:tc>
        <w:tc>
          <w:tcPr>
            <w:tcW w:w="1248" w:type="dxa"/>
            <w:vMerge/>
            <w:tcBorders>
              <w:left w:val="double" w:sz="4" w:space="0" w:color="auto"/>
              <w:right w:val="single" w:sz="4" w:space="0" w:color="auto"/>
            </w:tcBorders>
            <w:vAlign w:val="center"/>
          </w:tcPr>
          <w:p w14:paraId="49891546" w14:textId="15F28414" w:rsidR="00EF5281" w:rsidRPr="008B619A" w:rsidRDefault="00EF5281" w:rsidP="005E7907">
            <w:pPr>
              <w:rPr>
                <w:rFonts w:hAnsi="標楷體" w:cs="新細明體"/>
                <w:color w:val="000000" w:themeColor="text1"/>
                <w:kern w:val="0"/>
                <w:sz w:val="24"/>
                <w:szCs w:val="24"/>
              </w:rPr>
            </w:pPr>
          </w:p>
        </w:tc>
        <w:tc>
          <w:tcPr>
            <w:tcW w:w="3169" w:type="dxa"/>
            <w:tcBorders>
              <w:top w:val="nil"/>
              <w:left w:val="nil"/>
              <w:bottom w:val="single" w:sz="4" w:space="0" w:color="auto"/>
              <w:right w:val="single" w:sz="4" w:space="0" w:color="auto"/>
            </w:tcBorders>
            <w:vAlign w:val="center"/>
          </w:tcPr>
          <w:p w14:paraId="2B01F499" w14:textId="109DF9B6" w:rsidR="00EF5281" w:rsidRPr="008B619A" w:rsidRDefault="00EF5281" w:rsidP="005E7907">
            <w:pPr>
              <w:widowControl/>
              <w:rPr>
                <w:rFonts w:hAnsi="標楷體" w:cs="新細明體"/>
                <w:color w:val="000000" w:themeColor="text1"/>
                <w:kern w:val="0"/>
                <w:sz w:val="24"/>
                <w:szCs w:val="24"/>
              </w:rPr>
            </w:pPr>
            <w:r w:rsidRPr="008B619A">
              <w:rPr>
                <w:rFonts w:hAnsi="標楷體" w:cs="新細明體" w:hint="eastAsia"/>
                <w:color w:val="000000" w:themeColor="text1"/>
                <w:kern w:val="0"/>
                <w:sz w:val="24"/>
                <w:szCs w:val="24"/>
              </w:rPr>
              <w:t>財務金融學系</w:t>
            </w:r>
          </w:p>
        </w:tc>
      </w:tr>
      <w:tr w:rsidR="00EF5281" w:rsidRPr="008B619A" w14:paraId="70FF1D43" w14:textId="05116714" w:rsidTr="00F33FE5">
        <w:trPr>
          <w:trHeight w:val="315"/>
        </w:trPr>
        <w:tc>
          <w:tcPr>
            <w:tcW w:w="1129" w:type="dxa"/>
            <w:vMerge/>
            <w:tcBorders>
              <w:left w:val="single" w:sz="4" w:space="0" w:color="auto"/>
              <w:right w:val="single" w:sz="4" w:space="0" w:color="auto"/>
            </w:tcBorders>
            <w:shd w:val="clear" w:color="auto" w:fill="FDE9D9" w:themeFill="accent6" w:themeFillTint="33"/>
            <w:vAlign w:val="center"/>
            <w:hideMark/>
          </w:tcPr>
          <w:p w14:paraId="0B384FBF" w14:textId="3A37350F" w:rsidR="00EF5281" w:rsidRPr="008B619A" w:rsidRDefault="00EF5281" w:rsidP="005E7907">
            <w:pPr>
              <w:jc w:val="center"/>
              <w:rPr>
                <w:rFonts w:hAnsi="標楷體" w:cs="新細明體"/>
                <w:b/>
                <w:bCs/>
                <w:color w:val="000000" w:themeColor="text1"/>
                <w:kern w:val="0"/>
                <w:sz w:val="24"/>
                <w:szCs w:val="24"/>
              </w:rPr>
            </w:pPr>
          </w:p>
        </w:tc>
        <w:tc>
          <w:tcPr>
            <w:tcW w:w="3288" w:type="dxa"/>
            <w:tcBorders>
              <w:top w:val="nil"/>
              <w:left w:val="nil"/>
              <w:bottom w:val="single" w:sz="4" w:space="0" w:color="auto"/>
              <w:right w:val="double" w:sz="4" w:space="0" w:color="auto"/>
            </w:tcBorders>
            <w:shd w:val="clear" w:color="auto" w:fill="auto"/>
            <w:vAlign w:val="center"/>
            <w:hideMark/>
          </w:tcPr>
          <w:p w14:paraId="0A581A8C" w14:textId="77777777" w:rsidR="00EF5281" w:rsidRPr="008B619A" w:rsidRDefault="00EF5281" w:rsidP="005E7907">
            <w:pPr>
              <w:widowControl/>
              <w:rPr>
                <w:rFonts w:hAnsi="標楷體" w:cs="新細明體"/>
                <w:color w:val="000000" w:themeColor="text1"/>
                <w:kern w:val="0"/>
                <w:sz w:val="24"/>
                <w:szCs w:val="24"/>
              </w:rPr>
            </w:pPr>
            <w:r w:rsidRPr="008B619A">
              <w:rPr>
                <w:rFonts w:hAnsi="標楷體" w:cs="新細明體" w:hint="eastAsia"/>
                <w:color w:val="000000" w:themeColor="text1"/>
                <w:kern w:val="0"/>
                <w:sz w:val="24"/>
                <w:szCs w:val="24"/>
              </w:rPr>
              <w:t>水文與海洋科學研究所</w:t>
            </w:r>
          </w:p>
        </w:tc>
        <w:tc>
          <w:tcPr>
            <w:tcW w:w="1248" w:type="dxa"/>
            <w:vMerge/>
            <w:tcBorders>
              <w:left w:val="double" w:sz="4" w:space="0" w:color="auto"/>
              <w:right w:val="single" w:sz="4" w:space="0" w:color="auto"/>
            </w:tcBorders>
            <w:vAlign w:val="center"/>
          </w:tcPr>
          <w:p w14:paraId="07AC2769" w14:textId="53EF7ED1" w:rsidR="00EF5281" w:rsidRPr="008B619A" w:rsidRDefault="00EF5281" w:rsidP="005E7907">
            <w:pPr>
              <w:rPr>
                <w:rFonts w:hAnsi="標楷體" w:cs="新細明體"/>
                <w:color w:val="000000" w:themeColor="text1"/>
                <w:kern w:val="0"/>
                <w:sz w:val="24"/>
                <w:szCs w:val="24"/>
              </w:rPr>
            </w:pPr>
          </w:p>
        </w:tc>
        <w:tc>
          <w:tcPr>
            <w:tcW w:w="3169" w:type="dxa"/>
            <w:tcBorders>
              <w:top w:val="nil"/>
              <w:left w:val="nil"/>
              <w:bottom w:val="single" w:sz="4" w:space="0" w:color="auto"/>
              <w:right w:val="single" w:sz="4" w:space="0" w:color="auto"/>
            </w:tcBorders>
            <w:vAlign w:val="center"/>
          </w:tcPr>
          <w:p w14:paraId="7270A302" w14:textId="5AA7D876" w:rsidR="00EF5281" w:rsidRPr="008B619A" w:rsidRDefault="00EF5281" w:rsidP="005E7907">
            <w:pPr>
              <w:widowControl/>
              <w:rPr>
                <w:rFonts w:hAnsi="標楷體" w:cs="新細明體"/>
                <w:color w:val="000000" w:themeColor="text1"/>
                <w:kern w:val="0"/>
                <w:sz w:val="24"/>
                <w:szCs w:val="24"/>
              </w:rPr>
            </w:pPr>
            <w:r w:rsidRPr="008B619A">
              <w:rPr>
                <w:rFonts w:hAnsi="標楷體" w:cs="新細明體" w:hint="eastAsia"/>
                <w:color w:val="000000" w:themeColor="text1"/>
                <w:kern w:val="0"/>
                <w:sz w:val="24"/>
                <w:szCs w:val="24"/>
              </w:rPr>
              <w:t>機械工程學系光機電工程博士班</w:t>
            </w:r>
          </w:p>
        </w:tc>
      </w:tr>
      <w:tr w:rsidR="00EF5281" w:rsidRPr="008B619A" w14:paraId="041814D7" w14:textId="662A88F2" w:rsidTr="00F33FE5">
        <w:trPr>
          <w:trHeight w:val="315"/>
        </w:trPr>
        <w:tc>
          <w:tcPr>
            <w:tcW w:w="1129" w:type="dxa"/>
            <w:vMerge/>
            <w:tcBorders>
              <w:left w:val="single" w:sz="4" w:space="0" w:color="auto"/>
              <w:right w:val="single" w:sz="4" w:space="0" w:color="auto"/>
            </w:tcBorders>
            <w:shd w:val="clear" w:color="auto" w:fill="FDE9D9" w:themeFill="accent6" w:themeFillTint="33"/>
            <w:vAlign w:val="center"/>
            <w:hideMark/>
          </w:tcPr>
          <w:p w14:paraId="06127A38" w14:textId="268FF145" w:rsidR="00EF5281" w:rsidRPr="008B619A" w:rsidRDefault="00EF5281" w:rsidP="005E7907">
            <w:pPr>
              <w:jc w:val="center"/>
              <w:rPr>
                <w:rFonts w:hAnsi="標楷體" w:cs="新細明體"/>
                <w:b/>
                <w:bCs/>
                <w:color w:val="000000" w:themeColor="text1"/>
                <w:kern w:val="0"/>
                <w:sz w:val="24"/>
                <w:szCs w:val="24"/>
              </w:rPr>
            </w:pPr>
          </w:p>
        </w:tc>
        <w:tc>
          <w:tcPr>
            <w:tcW w:w="3288" w:type="dxa"/>
            <w:tcBorders>
              <w:top w:val="nil"/>
              <w:left w:val="nil"/>
              <w:bottom w:val="single" w:sz="4" w:space="0" w:color="auto"/>
              <w:right w:val="double" w:sz="4" w:space="0" w:color="auto"/>
            </w:tcBorders>
            <w:shd w:val="clear" w:color="auto" w:fill="auto"/>
            <w:vAlign w:val="center"/>
            <w:hideMark/>
          </w:tcPr>
          <w:p w14:paraId="0DE778F5" w14:textId="77777777" w:rsidR="00EF5281" w:rsidRPr="008B619A" w:rsidRDefault="00EF5281" w:rsidP="005E7907">
            <w:pPr>
              <w:widowControl/>
              <w:rPr>
                <w:rFonts w:hAnsi="標楷體" w:cs="新細明體"/>
                <w:color w:val="000000" w:themeColor="text1"/>
                <w:kern w:val="0"/>
                <w:sz w:val="24"/>
                <w:szCs w:val="24"/>
              </w:rPr>
            </w:pPr>
            <w:r w:rsidRPr="008B619A">
              <w:rPr>
                <w:rFonts w:hAnsi="標楷體" w:cs="新細明體" w:hint="eastAsia"/>
                <w:color w:val="000000" w:themeColor="text1"/>
                <w:kern w:val="0"/>
                <w:sz w:val="24"/>
                <w:szCs w:val="24"/>
              </w:rPr>
              <w:t>數學系</w:t>
            </w:r>
          </w:p>
        </w:tc>
        <w:tc>
          <w:tcPr>
            <w:tcW w:w="1248" w:type="dxa"/>
            <w:vMerge/>
            <w:tcBorders>
              <w:left w:val="double" w:sz="4" w:space="0" w:color="auto"/>
              <w:right w:val="single" w:sz="4" w:space="0" w:color="auto"/>
            </w:tcBorders>
            <w:vAlign w:val="center"/>
          </w:tcPr>
          <w:p w14:paraId="08D4AA9F" w14:textId="7B748361" w:rsidR="00EF5281" w:rsidRPr="008B619A" w:rsidRDefault="00EF5281" w:rsidP="005E7907">
            <w:pPr>
              <w:rPr>
                <w:rFonts w:hAnsi="標楷體" w:cs="新細明體"/>
                <w:color w:val="000000" w:themeColor="text1"/>
                <w:kern w:val="0"/>
                <w:sz w:val="24"/>
                <w:szCs w:val="24"/>
              </w:rPr>
            </w:pPr>
          </w:p>
        </w:tc>
        <w:tc>
          <w:tcPr>
            <w:tcW w:w="3169" w:type="dxa"/>
            <w:tcBorders>
              <w:top w:val="nil"/>
              <w:left w:val="nil"/>
              <w:bottom w:val="single" w:sz="4" w:space="0" w:color="auto"/>
              <w:right w:val="single" w:sz="4" w:space="0" w:color="auto"/>
            </w:tcBorders>
            <w:vAlign w:val="center"/>
          </w:tcPr>
          <w:p w14:paraId="61A24F28" w14:textId="3D53F591" w:rsidR="00EF5281" w:rsidRPr="008B619A" w:rsidRDefault="00EF5281" w:rsidP="005E7907">
            <w:pPr>
              <w:widowControl/>
              <w:rPr>
                <w:rFonts w:hAnsi="標楷體" w:cs="新細明體"/>
                <w:color w:val="000000" w:themeColor="text1"/>
                <w:kern w:val="0"/>
                <w:sz w:val="24"/>
                <w:szCs w:val="24"/>
              </w:rPr>
            </w:pPr>
            <w:r w:rsidRPr="008B619A">
              <w:rPr>
                <w:rFonts w:hAnsi="標楷體" w:cs="新細明體" w:hint="eastAsia"/>
                <w:color w:val="000000" w:themeColor="text1"/>
                <w:kern w:val="0"/>
                <w:sz w:val="24"/>
                <w:szCs w:val="24"/>
              </w:rPr>
              <w:t>環境工程研究所</w:t>
            </w:r>
          </w:p>
        </w:tc>
      </w:tr>
      <w:tr w:rsidR="00EF5281" w:rsidRPr="008B619A" w14:paraId="23FF21AF" w14:textId="2AC3909E" w:rsidTr="00F33FE5">
        <w:trPr>
          <w:trHeight w:val="315"/>
        </w:trPr>
        <w:tc>
          <w:tcPr>
            <w:tcW w:w="1129" w:type="dxa"/>
            <w:vMerge/>
            <w:tcBorders>
              <w:left w:val="single" w:sz="4" w:space="0" w:color="auto"/>
              <w:right w:val="single" w:sz="4" w:space="0" w:color="auto"/>
            </w:tcBorders>
            <w:shd w:val="clear" w:color="auto" w:fill="FDE9D9" w:themeFill="accent6" w:themeFillTint="33"/>
            <w:vAlign w:val="center"/>
            <w:hideMark/>
          </w:tcPr>
          <w:p w14:paraId="2AE43AAC" w14:textId="1FE65878" w:rsidR="00EF5281" w:rsidRPr="008B619A" w:rsidRDefault="00EF5281" w:rsidP="005E7907">
            <w:pPr>
              <w:jc w:val="center"/>
              <w:rPr>
                <w:rFonts w:hAnsi="標楷體" w:cs="新細明體"/>
                <w:b/>
                <w:bCs/>
                <w:color w:val="000000" w:themeColor="text1"/>
                <w:kern w:val="0"/>
                <w:sz w:val="24"/>
                <w:szCs w:val="24"/>
              </w:rPr>
            </w:pPr>
          </w:p>
        </w:tc>
        <w:tc>
          <w:tcPr>
            <w:tcW w:w="3288" w:type="dxa"/>
            <w:tcBorders>
              <w:top w:val="nil"/>
              <w:left w:val="nil"/>
              <w:bottom w:val="single" w:sz="4" w:space="0" w:color="auto"/>
              <w:right w:val="double" w:sz="4" w:space="0" w:color="auto"/>
            </w:tcBorders>
            <w:shd w:val="clear" w:color="auto" w:fill="auto"/>
            <w:vAlign w:val="center"/>
            <w:hideMark/>
          </w:tcPr>
          <w:p w14:paraId="10ABA5AA" w14:textId="77777777" w:rsidR="00EF5281" w:rsidRPr="008B619A" w:rsidRDefault="00EF5281" w:rsidP="005E7907">
            <w:pPr>
              <w:widowControl/>
              <w:rPr>
                <w:rFonts w:hAnsi="標楷體" w:cs="新細明體"/>
                <w:color w:val="000000" w:themeColor="text1"/>
                <w:kern w:val="0"/>
                <w:sz w:val="24"/>
                <w:szCs w:val="24"/>
              </w:rPr>
            </w:pPr>
            <w:r w:rsidRPr="008B619A">
              <w:rPr>
                <w:rFonts w:hAnsi="標楷體" w:cs="新細明體" w:hint="eastAsia"/>
                <w:color w:val="000000" w:themeColor="text1"/>
                <w:kern w:val="0"/>
                <w:sz w:val="24"/>
                <w:szCs w:val="24"/>
              </w:rPr>
              <w:t>統計研究所</w:t>
            </w:r>
          </w:p>
        </w:tc>
        <w:tc>
          <w:tcPr>
            <w:tcW w:w="1248" w:type="dxa"/>
            <w:vMerge/>
            <w:tcBorders>
              <w:left w:val="double" w:sz="4" w:space="0" w:color="auto"/>
              <w:right w:val="single" w:sz="4" w:space="0" w:color="auto"/>
            </w:tcBorders>
            <w:vAlign w:val="center"/>
          </w:tcPr>
          <w:p w14:paraId="2B8FC422" w14:textId="0737B0FF" w:rsidR="00EF5281" w:rsidRPr="008B619A" w:rsidRDefault="00EF5281" w:rsidP="005E7907">
            <w:pPr>
              <w:rPr>
                <w:rFonts w:hAnsi="標楷體" w:cs="新細明體"/>
                <w:color w:val="000000" w:themeColor="text1"/>
                <w:kern w:val="0"/>
                <w:sz w:val="24"/>
                <w:szCs w:val="24"/>
              </w:rPr>
            </w:pPr>
          </w:p>
        </w:tc>
        <w:tc>
          <w:tcPr>
            <w:tcW w:w="3169" w:type="dxa"/>
            <w:tcBorders>
              <w:top w:val="nil"/>
              <w:left w:val="nil"/>
              <w:bottom w:val="single" w:sz="4" w:space="0" w:color="auto"/>
              <w:right w:val="single" w:sz="4" w:space="0" w:color="auto"/>
            </w:tcBorders>
            <w:vAlign w:val="center"/>
          </w:tcPr>
          <w:p w14:paraId="456411CF" w14:textId="032D6064" w:rsidR="00EF5281" w:rsidRPr="008B619A" w:rsidRDefault="00EF5281" w:rsidP="005E7907">
            <w:pPr>
              <w:widowControl/>
              <w:rPr>
                <w:rFonts w:hAnsi="標楷體" w:cs="新細明體"/>
                <w:color w:val="000000" w:themeColor="text1"/>
                <w:kern w:val="0"/>
                <w:sz w:val="24"/>
                <w:szCs w:val="24"/>
              </w:rPr>
            </w:pPr>
            <w:r w:rsidRPr="008B619A">
              <w:rPr>
                <w:rFonts w:hAnsi="標楷體" w:cs="新細明體" w:hint="eastAsia"/>
                <w:color w:val="000000" w:themeColor="text1"/>
                <w:kern w:val="0"/>
                <w:sz w:val="24"/>
                <w:szCs w:val="24"/>
              </w:rPr>
              <w:t>觀賞魚科技國際學位專班</w:t>
            </w:r>
          </w:p>
        </w:tc>
      </w:tr>
      <w:tr w:rsidR="00EF5281" w:rsidRPr="008B619A" w14:paraId="2CF21C1A" w14:textId="2B0C1AA7" w:rsidTr="00F33FE5">
        <w:trPr>
          <w:trHeight w:val="315"/>
        </w:trPr>
        <w:tc>
          <w:tcPr>
            <w:tcW w:w="1129" w:type="dxa"/>
            <w:vMerge/>
            <w:tcBorders>
              <w:left w:val="single" w:sz="4" w:space="0" w:color="auto"/>
              <w:right w:val="single" w:sz="4" w:space="0" w:color="auto"/>
            </w:tcBorders>
            <w:shd w:val="clear" w:color="auto" w:fill="FDE9D9" w:themeFill="accent6" w:themeFillTint="33"/>
            <w:vAlign w:val="center"/>
            <w:hideMark/>
          </w:tcPr>
          <w:p w14:paraId="0DBBEF86" w14:textId="68893BAD" w:rsidR="00EF5281" w:rsidRPr="008B619A" w:rsidRDefault="00EF5281" w:rsidP="005E7907">
            <w:pPr>
              <w:jc w:val="center"/>
              <w:rPr>
                <w:rFonts w:hAnsi="標楷體" w:cs="新細明體"/>
                <w:b/>
                <w:bCs/>
                <w:color w:val="000000" w:themeColor="text1"/>
                <w:kern w:val="0"/>
                <w:sz w:val="24"/>
                <w:szCs w:val="24"/>
              </w:rPr>
            </w:pPr>
          </w:p>
        </w:tc>
        <w:tc>
          <w:tcPr>
            <w:tcW w:w="3288" w:type="dxa"/>
            <w:tcBorders>
              <w:top w:val="nil"/>
              <w:left w:val="nil"/>
              <w:bottom w:val="single" w:sz="4" w:space="0" w:color="auto"/>
              <w:right w:val="double" w:sz="4" w:space="0" w:color="auto"/>
            </w:tcBorders>
            <w:shd w:val="clear" w:color="auto" w:fill="auto"/>
            <w:vAlign w:val="center"/>
            <w:hideMark/>
          </w:tcPr>
          <w:p w14:paraId="7DE09CF3" w14:textId="77777777" w:rsidR="00EF5281" w:rsidRPr="008B619A" w:rsidRDefault="00EF5281" w:rsidP="005E7907">
            <w:pPr>
              <w:widowControl/>
              <w:rPr>
                <w:rFonts w:hAnsi="標楷體" w:cs="新細明體"/>
                <w:color w:val="000000" w:themeColor="text1"/>
                <w:kern w:val="0"/>
                <w:sz w:val="24"/>
                <w:szCs w:val="24"/>
              </w:rPr>
            </w:pPr>
            <w:r w:rsidRPr="008B619A">
              <w:rPr>
                <w:rFonts w:hAnsi="標楷體" w:cs="新細明體" w:hint="eastAsia"/>
                <w:color w:val="000000" w:themeColor="text1"/>
                <w:kern w:val="0"/>
                <w:sz w:val="24"/>
                <w:szCs w:val="24"/>
              </w:rPr>
              <w:t>環境工程研究所</w:t>
            </w:r>
          </w:p>
        </w:tc>
        <w:tc>
          <w:tcPr>
            <w:tcW w:w="1248" w:type="dxa"/>
            <w:vMerge/>
            <w:tcBorders>
              <w:left w:val="double" w:sz="4" w:space="0" w:color="auto"/>
              <w:right w:val="single" w:sz="4" w:space="0" w:color="auto"/>
            </w:tcBorders>
            <w:vAlign w:val="center"/>
          </w:tcPr>
          <w:p w14:paraId="0A673417" w14:textId="5E1A3553" w:rsidR="00EF5281" w:rsidRPr="008B619A" w:rsidRDefault="00EF5281" w:rsidP="005E7907">
            <w:pPr>
              <w:widowControl/>
              <w:rPr>
                <w:rFonts w:hAnsi="標楷體" w:cs="新細明體"/>
                <w:color w:val="000000" w:themeColor="text1"/>
                <w:kern w:val="0"/>
                <w:sz w:val="24"/>
                <w:szCs w:val="24"/>
              </w:rPr>
            </w:pPr>
          </w:p>
        </w:tc>
        <w:tc>
          <w:tcPr>
            <w:tcW w:w="3169" w:type="dxa"/>
            <w:tcBorders>
              <w:top w:val="nil"/>
              <w:left w:val="nil"/>
              <w:bottom w:val="single" w:sz="4" w:space="0" w:color="auto"/>
              <w:right w:val="single" w:sz="4" w:space="0" w:color="auto"/>
            </w:tcBorders>
            <w:vAlign w:val="center"/>
          </w:tcPr>
          <w:p w14:paraId="34460B68" w14:textId="30BFCBF9" w:rsidR="00EF5281" w:rsidRPr="008B619A" w:rsidRDefault="00EF5281" w:rsidP="005E7907">
            <w:pPr>
              <w:widowControl/>
              <w:rPr>
                <w:rFonts w:hAnsi="標楷體" w:cs="新細明體"/>
                <w:color w:val="000000" w:themeColor="text1"/>
                <w:kern w:val="0"/>
                <w:sz w:val="24"/>
                <w:szCs w:val="24"/>
              </w:rPr>
            </w:pPr>
            <w:r w:rsidRPr="008B619A">
              <w:rPr>
                <w:rFonts w:hAnsi="標楷體" w:cs="新細明體" w:hint="eastAsia"/>
                <w:color w:val="000000" w:themeColor="text1"/>
                <w:kern w:val="0"/>
                <w:sz w:val="24"/>
                <w:szCs w:val="24"/>
              </w:rPr>
              <w:t>化學工程與材料工程系</w:t>
            </w:r>
          </w:p>
        </w:tc>
      </w:tr>
      <w:tr w:rsidR="00AD55B5" w:rsidRPr="008B619A" w14:paraId="77C116FD" w14:textId="7E305F55" w:rsidTr="00F33FE5">
        <w:trPr>
          <w:trHeight w:val="315"/>
        </w:trPr>
        <w:tc>
          <w:tcPr>
            <w:tcW w:w="1129" w:type="dxa"/>
            <w:vMerge/>
            <w:tcBorders>
              <w:left w:val="single" w:sz="4" w:space="0" w:color="auto"/>
              <w:right w:val="single" w:sz="4" w:space="0" w:color="auto"/>
            </w:tcBorders>
            <w:shd w:val="clear" w:color="auto" w:fill="FDE9D9" w:themeFill="accent6" w:themeFillTint="33"/>
            <w:vAlign w:val="center"/>
            <w:hideMark/>
          </w:tcPr>
          <w:p w14:paraId="5F2CD4CE" w14:textId="551BEB6C" w:rsidR="00AD55B5" w:rsidRPr="008B619A" w:rsidRDefault="00AD55B5" w:rsidP="005E7907">
            <w:pPr>
              <w:jc w:val="center"/>
              <w:rPr>
                <w:rFonts w:hAnsi="標楷體" w:cs="新細明體"/>
                <w:b/>
                <w:bCs/>
                <w:color w:val="000000" w:themeColor="text1"/>
                <w:kern w:val="0"/>
                <w:sz w:val="24"/>
                <w:szCs w:val="24"/>
              </w:rPr>
            </w:pPr>
          </w:p>
        </w:tc>
        <w:tc>
          <w:tcPr>
            <w:tcW w:w="3288" w:type="dxa"/>
            <w:tcBorders>
              <w:top w:val="nil"/>
              <w:left w:val="nil"/>
              <w:bottom w:val="single" w:sz="4" w:space="0" w:color="auto"/>
              <w:right w:val="double" w:sz="4" w:space="0" w:color="auto"/>
            </w:tcBorders>
            <w:shd w:val="clear" w:color="auto" w:fill="auto"/>
            <w:vAlign w:val="center"/>
            <w:hideMark/>
          </w:tcPr>
          <w:p w14:paraId="55ECC7FD" w14:textId="77777777" w:rsidR="00AD55B5" w:rsidRPr="008B619A" w:rsidRDefault="00AD55B5" w:rsidP="005E7907">
            <w:pPr>
              <w:widowControl/>
              <w:rPr>
                <w:rFonts w:hAnsi="標楷體" w:cs="新細明體"/>
                <w:color w:val="000000" w:themeColor="text1"/>
                <w:kern w:val="0"/>
                <w:sz w:val="24"/>
                <w:szCs w:val="24"/>
              </w:rPr>
            </w:pPr>
            <w:r w:rsidRPr="008B619A">
              <w:rPr>
                <w:rFonts w:hAnsi="標楷體" w:cs="新細明體" w:hint="eastAsia"/>
                <w:color w:val="000000" w:themeColor="text1"/>
                <w:kern w:val="0"/>
                <w:sz w:val="24"/>
                <w:szCs w:val="24"/>
              </w:rPr>
              <w:t>能源工程研究所</w:t>
            </w:r>
          </w:p>
        </w:tc>
        <w:tc>
          <w:tcPr>
            <w:tcW w:w="1248" w:type="dxa"/>
            <w:vMerge/>
            <w:tcBorders>
              <w:left w:val="double" w:sz="4" w:space="0" w:color="auto"/>
              <w:right w:val="single" w:sz="4" w:space="0" w:color="auto"/>
            </w:tcBorders>
          </w:tcPr>
          <w:p w14:paraId="20C635D1" w14:textId="77777777" w:rsidR="00AD55B5" w:rsidRPr="008B619A" w:rsidRDefault="00AD55B5" w:rsidP="005E7907">
            <w:pPr>
              <w:widowControl/>
              <w:rPr>
                <w:rFonts w:hAnsi="標楷體" w:cs="新細明體"/>
                <w:color w:val="000000" w:themeColor="text1"/>
                <w:kern w:val="0"/>
                <w:sz w:val="24"/>
                <w:szCs w:val="24"/>
              </w:rPr>
            </w:pPr>
          </w:p>
        </w:tc>
        <w:tc>
          <w:tcPr>
            <w:tcW w:w="3169" w:type="dxa"/>
            <w:vMerge w:val="restart"/>
            <w:tcBorders>
              <w:top w:val="nil"/>
              <w:left w:val="nil"/>
              <w:right w:val="single" w:sz="4" w:space="0" w:color="auto"/>
            </w:tcBorders>
          </w:tcPr>
          <w:p w14:paraId="6F0B692A" w14:textId="77777777" w:rsidR="00AD55B5" w:rsidRPr="008B619A" w:rsidRDefault="00AD55B5" w:rsidP="005E7907">
            <w:pPr>
              <w:widowControl/>
              <w:rPr>
                <w:rFonts w:hAnsi="標楷體" w:cs="新細明體"/>
                <w:color w:val="000000" w:themeColor="text1"/>
                <w:kern w:val="0"/>
                <w:sz w:val="24"/>
                <w:szCs w:val="24"/>
              </w:rPr>
            </w:pPr>
          </w:p>
        </w:tc>
      </w:tr>
      <w:tr w:rsidR="00AD55B5" w:rsidRPr="008B619A" w14:paraId="1382FBA8" w14:textId="23CE7316" w:rsidTr="00F33FE5">
        <w:trPr>
          <w:trHeight w:val="315"/>
        </w:trPr>
        <w:tc>
          <w:tcPr>
            <w:tcW w:w="1129" w:type="dxa"/>
            <w:vMerge/>
            <w:tcBorders>
              <w:left w:val="single" w:sz="4" w:space="0" w:color="auto"/>
              <w:right w:val="single" w:sz="4" w:space="0" w:color="auto"/>
            </w:tcBorders>
            <w:shd w:val="clear" w:color="auto" w:fill="FDE9D9" w:themeFill="accent6" w:themeFillTint="33"/>
            <w:vAlign w:val="center"/>
            <w:hideMark/>
          </w:tcPr>
          <w:p w14:paraId="459BDF32" w14:textId="725EB243" w:rsidR="00AD55B5" w:rsidRPr="008B619A" w:rsidRDefault="00AD55B5" w:rsidP="005E7907">
            <w:pPr>
              <w:jc w:val="center"/>
              <w:rPr>
                <w:rFonts w:hAnsi="標楷體" w:cs="新細明體"/>
                <w:b/>
                <w:bCs/>
                <w:color w:val="000000" w:themeColor="text1"/>
                <w:kern w:val="0"/>
                <w:sz w:val="24"/>
                <w:szCs w:val="24"/>
              </w:rPr>
            </w:pPr>
          </w:p>
        </w:tc>
        <w:tc>
          <w:tcPr>
            <w:tcW w:w="3288" w:type="dxa"/>
            <w:tcBorders>
              <w:top w:val="nil"/>
              <w:left w:val="nil"/>
              <w:bottom w:val="single" w:sz="4" w:space="0" w:color="auto"/>
              <w:right w:val="double" w:sz="4" w:space="0" w:color="auto"/>
            </w:tcBorders>
            <w:shd w:val="clear" w:color="auto" w:fill="auto"/>
            <w:vAlign w:val="center"/>
            <w:hideMark/>
          </w:tcPr>
          <w:p w14:paraId="07CE619A" w14:textId="77777777" w:rsidR="00AD55B5" w:rsidRPr="008B619A" w:rsidRDefault="00AD55B5" w:rsidP="005E7907">
            <w:pPr>
              <w:widowControl/>
              <w:rPr>
                <w:rFonts w:hAnsi="標楷體" w:cs="新細明體"/>
                <w:color w:val="000000" w:themeColor="text1"/>
                <w:kern w:val="0"/>
                <w:sz w:val="24"/>
                <w:szCs w:val="24"/>
              </w:rPr>
            </w:pPr>
            <w:r w:rsidRPr="008B619A">
              <w:rPr>
                <w:rFonts w:hAnsi="標楷體" w:cs="新細明體" w:hint="eastAsia"/>
                <w:color w:val="000000" w:themeColor="text1"/>
                <w:kern w:val="0"/>
                <w:sz w:val="24"/>
                <w:szCs w:val="24"/>
              </w:rPr>
              <w:t>外國語文學系</w:t>
            </w:r>
          </w:p>
        </w:tc>
        <w:tc>
          <w:tcPr>
            <w:tcW w:w="1248" w:type="dxa"/>
            <w:vMerge/>
            <w:tcBorders>
              <w:left w:val="double" w:sz="4" w:space="0" w:color="auto"/>
              <w:right w:val="single" w:sz="4" w:space="0" w:color="auto"/>
            </w:tcBorders>
          </w:tcPr>
          <w:p w14:paraId="4221CC2A" w14:textId="77777777" w:rsidR="00AD55B5" w:rsidRPr="008B619A" w:rsidRDefault="00AD55B5" w:rsidP="005E7907">
            <w:pPr>
              <w:widowControl/>
              <w:rPr>
                <w:rFonts w:hAnsi="標楷體" w:cs="新細明體"/>
                <w:color w:val="000000" w:themeColor="text1"/>
                <w:kern w:val="0"/>
                <w:sz w:val="24"/>
                <w:szCs w:val="24"/>
              </w:rPr>
            </w:pPr>
          </w:p>
        </w:tc>
        <w:tc>
          <w:tcPr>
            <w:tcW w:w="3169" w:type="dxa"/>
            <w:vMerge/>
            <w:tcBorders>
              <w:left w:val="nil"/>
              <w:right w:val="single" w:sz="4" w:space="0" w:color="auto"/>
            </w:tcBorders>
          </w:tcPr>
          <w:p w14:paraId="25A23170" w14:textId="77777777" w:rsidR="00AD55B5" w:rsidRPr="008B619A" w:rsidRDefault="00AD55B5" w:rsidP="005E7907">
            <w:pPr>
              <w:widowControl/>
              <w:rPr>
                <w:rFonts w:hAnsi="標楷體" w:cs="新細明體"/>
                <w:color w:val="000000" w:themeColor="text1"/>
                <w:kern w:val="0"/>
                <w:sz w:val="24"/>
                <w:szCs w:val="24"/>
              </w:rPr>
            </w:pPr>
          </w:p>
        </w:tc>
      </w:tr>
      <w:tr w:rsidR="00AD55B5" w:rsidRPr="008B619A" w14:paraId="465409FC" w14:textId="5A4F68C8" w:rsidTr="00F33FE5">
        <w:trPr>
          <w:trHeight w:val="315"/>
        </w:trPr>
        <w:tc>
          <w:tcPr>
            <w:tcW w:w="1129" w:type="dxa"/>
            <w:vMerge/>
            <w:tcBorders>
              <w:left w:val="single" w:sz="4" w:space="0" w:color="auto"/>
              <w:right w:val="single" w:sz="4" w:space="0" w:color="auto"/>
            </w:tcBorders>
            <w:shd w:val="clear" w:color="auto" w:fill="FDE9D9" w:themeFill="accent6" w:themeFillTint="33"/>
            <w:vAlign w:val="center"/>
            <w:hideMark/>
          </w:tcPr>
          <w:p w14:paraId="22FD240A" w14:textId="64B053C1" w:rsidR="00AD55B5" w:rsidRPr="008B619A" w:rsidRDefault="00AD55B5" w:rsidP="005E7907">
            <w:pPr>
              <w:jc w:val="center"/>
              <w:rPr>
                <w:rFonts w:hAnsi="標楷體" w:cs="新細明體"/>
                <w:b/>
                <w:bCs/>
                <w:color w:val="000000" w:themeColor="text1"/>
                <w:kern w:val="0"/>
                <w:sz w:val="24"/>
                <w:szCs w:val="24"/>
              </w:rPr>
            </w:pPr>
          </w:p>
        </w:tc>
        <w:tc>
          <w:tcPr>
            <w:tcW w:w="3288" w:type="dxa"/>
            <w:tcBorders>
              <w:top w:val="nil"/>
              <w:left w:val="nil"/>
              <w:bottom w:val="single" w:sz="4" w:space="0" w:color="auto"/>
              <w:right w:val="double" w:sz="4" w:space="0" w:color="auto"/>
            </w:tcBorders>
            <w:shd w:val="clear" w:color="auto" w:fill="auto"/>
            <w:vAlign w:val="center"/>
            <w:hideMark/>
          </w:tcPr>
          <w:p w14:paraId="645C5C76" w14:textId="77777777" w:rsidR="00AD55B5" w:rsidRPr="008B619A" w:rsidRDefault="00AD55B5" w:rsidP="005E7907">
            <w:pPr>
              <w:widowControl/>
              <w:rPr>
                <w:rFonts w:hAnsi="標楷體" w:cs="新細明體"/>
                <w:color w:val="000000" w:themeColor="text1"/>
                <w:kern w:val="0"/>
                <w:sz w:val="24"/>
                <w:szCs w:val="24"/>
              </w:rPr>
            </w:pPr>
            <w:r w:rsidRPr="008B619A">
              <w:rPr>
                <w:rFonts w:hAnsi="標楷體" w:cs="新細明體" w:hint="eastAsia"/>
                <w:color w:val="000000" w:themeColor="text1"/>
                <w:kern w:val="0"/>
                <w:sz w:val="24"/>
                <w:szCs w:val="24"/>
              </w:rPr>
              <w:t>加速器光源與中子束應用國際博士學位學程</w:t>
            </w:r>
          </w:p>
        </w:tc>
        <w:tc>
          <w:tcPr>
            <w:tcW w:w="1248" w:type="dxa"/>
            <w:vMerge/>
            <w:tcBorders>
              <w:left w:val="double" w:sz="4" w:space="0" w:color="auto"/>
              <w:right w:val="single" w:sz="4" w:space="0" w:color="auto"/>
            </w:tcBorders>
          </w:tcPr>
          <w:p w14:paraId="3373AB5B" w14:textId="77777777" w:rsidR="00AD55B5" w:rsidRPr="008B619A" w:rsidRDefault="00AD55B5" w:rsidP="005E7907">
            <w:pPr>
              <w:widowControl/>
              <w:rPr>
                <w:rFonts w:hAnsi="標楷體" w:cs="新細明體"/>
                <w:color w:val="000000" w:themeColor="text1"/>
                <w:kern w:val="0"/>
                <w:sz w:val="24"/>
                <w:szCs w:val="24"/>
              </w:rPr>
            </w:pPr>
          </w:p>
        </w:tc>
        <w:tc>
          <w:tcPr>
            <w:tcW w:w="3169" w:type="dxa"/>
            <w:vMerge/>
            <w:tcBorders>
              <w:left w:val="nil"/>
              <w:right w:val="single" w:sz="4" w:space="0" w:color="auto"/>
            </w:tcBorders>
          </w:tcPr>
          <w:p w14:paraId="77818EB5" w14:textId="77777777" w:rsidR="00AD55B5" w:rsidRPr="008B619A" w:rsidRDefault="00AD55B5" w:rsidP="005E7907">
            <w:pPr>
              <w:widowControl/>
              <w:rPr>
                <w:rFonts w:hAnsi="標楷體" w:cs="新細明體"/>
                <w:color w:val="000000" w:themeColor="text1"/>
                <w:kern w:val="0"/>
                <w:sz w:val="24"/>
                <w:szCs w:val="24"/>
              </w:rPr>
            </w:pPr>
          </w:p>
        </w:tc>
      </w:tr>
      <w:tr w:rsidR="00AD55B5" w:rsidRPr="008B619A" w14:paraId="22D664B9" w14:textId="404CAEFD" w:rsidTr="00F33FE5">
        <w:trPr>
          <w:trHeight w:val="64"/>
        </w:trPr>
        <w:tc>
          <w:tcPr>
            <w:tcW w:w="1129" w:type="dxa"/>
            <w:vMerge/>
            <w:tcBorders>
              <w:left w:val="single" w:sz="4" w:space="0" w:color="auto"/>
              <w:right w:val="single" w:sz="4" w:space="0" w:color="auto"/>
            </w:tcBorders>
            <w:shd w:val="clear" w:color="auto" w:fill="FDE9D9" w:themeFill="accent6" w:themeFillTint="33"/>
            <w:vAlign w:val="center"/>
            <w:hideMark/>
          </w:tcPr>
          <w:p w14:paraId="210FF0B3" w14:textId="5D63849B" w:rsidR="00AD55B5" w:rsidRPr="008B619A" w:rsidRDefault="00AD55B5" w:rsidP="005E7907">
            <w:pPr>
              <w:jc w:val="center"/>
              <w:rPr>
                <w:rFonts w:hAnsi="標楷體" w:cs="新細明體"/>
                <w:b/>
                <w:bCs/>
                <w:color w:val="000000" w:themeColor="text1"/>
                <w:kern w:val="0"/>
                <w:sz w:val="24"/>
                <w:szCs w:val="24"/>
              </w:rPr>
            </w:pPr>
          </w:p>
        </w:tc>
        <w:tc>
          <w:tcPr>
            <w:tcW w:w="3288" w:type="dxa"/>
            <w:tcBorders>
              <w:top w:val="nil"/>
              <w:left w:val="nil"/>
              <w:bottom w:val="single" w:sz="4" w:space="0" w:color="auto"/>
              <w:right w:val="double" w:sz="4" w:space="0" w:color="auto"/>
            </w:tcBorders>
            <w:shd w:val="clear" w:color="auto" w:fill="auto"/>
            <w:vAlign w:val="center"/>
            <w:hideMark/>
          </w:tcPr>
          <w:p w14:paraId="7B91C8EF" w14:textId="77777777" w:rsidR="00AD55B5" w:rsidRPr="008B619A" w:rsidRDefault="00AD55B5" w:rsidP="005E7907">
            <w:pPr>
              <w:widowControl/>
              <w:rPr>
                <w:rFonts w:hAnsi="標楷體" w:cs="新細明體"/>
                <w:color w:val="000000" w:themeColor="text1"/>
                <w:kern w:val="0"/>
                <w:sz w:val="24"/>
                <w:szCs w:val="24"/>
              </w:rPr>
            </w:pPr>
            <w:r w:rsidRPr="008B619A">
              <w:rPr>
                <w:rFonts w:hAnsi="標楷體" w:cs="新細明體" w:hint="eastAsia"/>
                <w:color w:val="000000" w:themeColor="text1"/>
                <w:kern w:val="0"/>
                <w:sz w:val="24"/>
                <w:szCs w:val="24"/>
              </w:rPr>
              <w:t>通訊工程研究所</w:t>
            </w:r>
          </w:p>
        </w:tc>
        <w:tc>
          <w:tcPr>
            <w:tcW w:w="1248" w:type="dxa"/>
            <w:vMerge/>
            <w:tcBorders>
              <w:left w:val="double" w:sz="4" w:space="0" w:color="auto"/>
              <w:right w:val="single" w:sz="4" w:space="0" w:color="auto"/>
            </w:tcBorders>
          </w:tcPr>
          <w:p w14:paraId="58E1F5DA" w14:textId="77777777" w:rsidR="00AD55B5" w:rsidRPr="008B619A" w:rsidRDefault="00AD55B5" w:rsidP="005E7907">
            <w:pPr>
              <w:widowControl/>
              <w:rPr>
                <w:rFonts w:hAnsi="標楷體" w:cs="新細明體"/>
                <w:color w:val="000000" w:themeColor="text1"/>
                <w:kern w:val="0"/>
                <w:sz w:val="24"/>
                <w:szCs w:val="24"/>
              </w:rPr>
            </w:pPr>
          </w:p>
        </w:tc>
        <w:tc>
          <w:tcPr>
            <w:tcW w:w="3169" w:type="dxa"/>
            <w:vMerge/>
            <w:tcBorders>
              <w:left w:val="nil"/>
              <w:right w:val="single" w:sz="4" w:space="0" w:color="auto"/>
            </w:tcBorders>
          </w:tcPr>
          <w:p w14:paraId="6FA19325" w14:textId="77777777" w:rsidR="00AD55B5" w:rsidRPr="008B619A" w:rsidRDefault="00AD55B5" w:rsidP="005E7907">
            <w:pPr>
              <w:widowControl/>
              <w:rPr>
                <w:rFonts w:hAnsi="標楷體" w:cs="新細明體"/>
                <w:color w:val="000000" w:themeColor="text1"/>
                <w:kern w:val="0"/>
                <w:sz w:val="24"/>
                <w:szCs w:val="24"/>
              </w:rPr>
            </w:pPr>
          </w:p>
        </w:tc>
      </w:tr>
      <w:tr w:rsidR="00AD55B5" w:rsidRPr="008B619A" w14:paraId="29E729CA" w14:textId="2496E250" w:rsidTr="00F33FE5">
        <w:trPr>
          <w:trHeight w:val="315"/>
        </w:trPr>
        <w:tc>
          <w:tcPr>
            <w:tcW w:w="1129" w:type="dxa"/>
            <w:vMerge/>
            <w:tcBorders>
              <w:left w:val="single" w:sz="4" w:space="0" w:color="auto"/>
              <w:bottom w:val="single" w:sz="4" w:space="0" w:color="auto"/>
              <w:right w:val="single" w:sz="4" w:space="0" w:color="auto"/>
            </w:tcBorders>
            <w:shd w:val="clear" w:color="auto" w:fill="FDE9D9" w:themeFill="accent6" w:themeFillTint="33"/>
            <w:vAlign w:val="center"/>
            <w:hideMark/>
          </w:tcPr>
          <w:p w14:paraId="15E2D644" w14:textId="561B72E7" w:rsidR="00AD55B5" w:rsidRPr="008B619A" w:rsidRDefault="00AD55B5" w:rsidP="005E7907">
            <w:pPr>
              <w:widowControl/>
              <w:jc w:val="center"/>
              <w:rPr>
                <w:rFonts w:hAnsi="標楷體" w:cs="新細明體"/>
                <w:b/>
                <w:bCs/>
                <w:color w:val="000000" w:themeColor="text1"/>
                <w:kern w:val="0"/>
                <w:sz w:val="24"/>
                <w:szCs w:val="24"/>
              </w:rPr>
            </w:pPr>
          </w:p>
        </w:tc>
        <w:tc>
          <w:tcPr>
            <w:tcW w:w="3288" w:type="dxa"/>
            <w:tcBorders>
              <w:top w:val="nil"/>
              <w:left w:val="nil"/>
              <w:bottom w:val="single" w:sz="4" w:space="0" w:color="auto"/>
              <w:right w:val="double" w:sz="4" w:space="0" w:color="auto"/>
            </w:tcBorders>
            <w:shd w:val="clear" w:color="auto" w:fill="auto"/>
            <w:vAlign w:val="center"/>
            <w:hideMark/>
          </w:tcPr>
          <w:p w14:paraId="3A42A600" w14:textId="77777777" w:rsidR="00AD55B5" w:rsidRPr="008B619A" w:rsidRDefault="00AD55B5" w:rsidP="005E7907">
            <w:pPr>
              <w:widowControl/>
              <w:rPr>
                <w:rFonts w:hAnsi="標楷體" w:cs="新細明體"/>
                <w:color w:val="000000" w:themeColor="text1"/>
                <w:kern w:val="0"/>
                <w:sz w:val="24"/>
                <w:szCs w:val="24"/>
              </w:rPr>
            </w:pPr>
            <w:r w:rsidRPr="008B619A">
              <w:rPr>
                <w:rFonts w:hAnsi="標楷體" w:cs="新細明體" w:hint="eastAsia"/>
                <w:color w:val="000000" w:themeColor="text1"/>
                <w:kern w:val="0"/>
                <w:sz w:val="24"/>
                <w:szCs w:val="24"/>
              </w:rPr>
              <w:t>電子工程系</w:t>
            </w:r>
          </w:p>
        </w:tc>
        <w:tc>
          <w:tcPr>
            <w:tcW w:w="1248" w:type="dxa"/>
            <w:vMerge/>
            <w:tcBorders>
              <w:left w:val="double" w:sz="4" w:space="0" w:color="auto"/>
              <w:bottom w:val="single" w:sz="4" w:space="0" w:color="auto"/>
              <w:right w:val="single" w:sz="4" w:space="0" w:color="auto"/>
            </w:tcBorders>
          </w:tcPr>
          <w:p w14:paraId="4B74D1E1" w14:textId="77777777" w:rsidR="00AD55B5" w:rsidRPr="008B619A" w:rsidRDefault="00AD55B5" w:rsidP="005E7907">
            <w:pPr>
              <w:widowControl/>
              <w:rPr>
                <w:rFonts w:hAnsi="標楷體" w:cs="新細明體"/>
                <w:color w:val="000000" w:themeColor="text1"/>
                <w:kern w:val="0"/>
                <w:sz w:val="24"/>
                <w:szCs w:val="24"/>
              </w:rPr>
            </w:pPr>
          </w:p>
        </w:tc>
        <w:tc>
          <w:tcPr>
            <w:tcW w:w="3169" w:type="dxa"/>
            <w:vMerge/>
            <w:tcBorders>
              <w:left w:val="nil"/>
              <w:bottom w:val="single" w:sz="4" w:space="0" w:color="auto"/>
              <w:right w:val="single" w:sz="4" w:space="0" w:color="auto"/>
            </w:tcBorders>
          </w:tcPr>
          <w:p w14:paraId="5BA49521" w14:textId="77777777" w:rsidR="00AD55B5" w:rsidRPr="008B619A" w:rsidRDefault="00AD55B5" w:rsidP="005E7907">
            <w:pPr>
              <w:widowControl/>
              <w:rPr>
                <w:rFonts w:hAnsi="標楷體" w:cs="新細明體"/>
                <w:color w:val="000000" w:themeColor="text1"/>
                <w:kern w:val="0"/>
                <w:sz w:val="24"/>
                <w:szCs w:val="24"/>
              </w:rPr>
            </w:pPr>
          </w:p>
        </w:tc>
      </w:tr>
      <w:tr w:rsidR="00EF5281" w:rsidRPr="008B619A" w14:paraId="367BEB84" w14:textId="77777777" w:rsidTr="00F33FE5">
        <w:trPr>
          <w:trHeight w:val="221"/>
        </w:trPr>
        <w:tc>
          <w:tcPr>
            <w:tcW w:w="8834" w:type="dxa"/>
            <w:gridSpan w:val="4"/>
            <w:tcBorders>
              <w:left w:val="single" w:sz="4" w:space="0" w:color="auto"/>
              <w:bottom w:val="single" w:sz="4" w:space="0" w:color="auto"/>
              <w:right w:val="single" w:sz="4" w:space="0" w:color="auto"/>
            </w:tcBorders>
            <w:shd w:val="clear" w:color="auto" w:fill="FDE9D9" w:themeFill="accent6" w:themeFillTint="33"/>
            <w:vAlign w:val="center"/>
          </w:tcPr>
          <w:p w14:paraId="1F165307" w14:textId="37B600F7" w:rsidR="00EF5281" w:rsidRPr="008B619A" w:rsidRDefault="00EF5281" w:rsidP="005E7907">
            <w:pPr>
              <w:widowControl/>
              <w:rPr>
                <w:rFonts w:hAnsi="標楷體" w:cs="新細明體"/>
                <w:b/>
                <w:bCs/>
                <w:color w:val="000000" w:themeColor="text1"/>
                <w:kern w:val="0"/>
                <w:sz w:val="10"/>
                <w:szCs w:val="10"/>
              </w:rPr>
            </w:pPr>
          </w:p>
        </w:tc>
      </w:tr>
      <w:tr w:rsidR="00861B14" w:rsidRPr="008B619A" w14:paraId="51D4BB1A" w14:textId="5C03EACC" w:rsidTr="00F33FE5">
        <w:trPr>
          <w:trHeight w:val="315"/>
        </w:trPr>
        <w:tc>
          <w:tcPr>
            <w:tcW w:w="1129" w:type="dxa"/>
            <w:vMerge w:val="restart"/>
            <w:tcBorders>
              <w:top w:val="nil"/>
              <w:left w:val="single" w:sz="4" w:space="0" w:color="auto"/>
              <w:right w:val="single" w:sz="4" w:space="0" w:color="auto"/>
            </w:tcBorders>
            <w:shd w:val="clear" w:color="auto" w:fill="FDE9D9" w:themeFill="accent6" w:themeFillTint="33"/>
            <w:vAlign w:val="center"/>
            <w:hideMark/>
          </w:tcPr>
          <w:p w14:paraId="2F882C0E" w14:textId="36CD2819" w:rsidR="00861B14" w:rsidRPr="008B619A" w:rsidRDefault="00861B14" w:rsidP="00861B14">
            <w:pPr>
              <w:jc w:val="center"/>
              <w:rPr>
                <w:rFonts w:hAnsi="標楷體" w:cs="新細明體"/>
                <w:b/>
                <w:bCs/>
                <w:color w:val="000000" w:themeColor="text1"/>
                <w:kern w:val="0"/>
                <w:sz w:val="24"/>
                <w:szCs w:val="24"/>
              </w:rPr>
            </w:pPr>
            <w:r w:rsidRPr="008B619A">
              <w:rPr>
                <w:rFonts w:hAnsi="標楷體" w:cs="新細明體" w:hint="eastAsia"/>
                <w:b/>
                <w:bCs/>
                <w:color w:val="000000" w:themeColor="text1"/>
                <w:kern w:val="0"/>
                <w:sz w:val="24"/>
                <w:szCs w:val="24"/>
              </w:rPr>
              <w:t>106</w:t>
            </w:r>
          </w:p>
        </w:tc>
        <w:tc>
          <w:tcPr>
            <w:tcW w:w="3288" w:type="dxa"/>
            <w:tcBorders>
              <w:top w:val="nil"/>
              <w:left w:val="nil"/>
              <w:bottom w:val="single" w:sz="4" w:space="0" w:color="auto"/>
              <w:right w:val="double" w:sz="4" w:space="0" w:color="auto"/>
            </w:tcBorders>
            <w:shd w:val="clear" w:color="auto" w:fill="auto"/>
            <w:vAlign w:val="center"/>
            <w:hideMark/>
          </w:tcPr>
          <w:p w14:paraId="160ED381" w14:textId="77777777" w:rsidR="00861B14" w:rsidRPr="008B619A" w:rsidRDefault="00861B14" w:rsidP="00861B14">
            <w:pPr>
              <w:widowControl/>
              <w:rPr>
                <w:rFonts w:hAnsi="標楷體" w:cs="新細明體"/>
                <w:color w:val="000000" w:themeColor="text1"/>
                <w:kern w:val="0"/>
                <w:sz w:val="24"/>
                <w:szCs w:val="24"/>
              </w:rPr>
            </w:pPr>
            <w:r w:rsidRPr="008B619A">
              <w:rPr>
                <w:rFonts w:hAnsi="標楷體" w:cs="新細明體" w:hint="eastAsia"/>
                <w:color w:val="000000" w:themeColor="text1"/>
                <w:kern w:val="0"/>
                <w:sz w:val="24"/>
                <w:szCs w:val="24"/>
              </w:rPr>
              <w:t>地政學系</w:t>
            </w:r>
          </w:p>
        </w:tc>
        <w:tc>
          <w:tcPr>
            <w:tcW w:w="1248" w:type="dxa"/>
            <w:vMerge w:val="restart"/>
            <w:tcBorders>
              <w:top w:val="single" w:sz="4" w:space="0" w:color="auto"/>
              <w:left w:val="double" w:sz="4" w:space="0" w:color="auto"/>
              <w:right w:val="single" w:sz="4" w:space="0" w:color="auto"/>
            </w:tcBorders>
            <w:vAlign w:val="center"/>
          </w:tcPr>
          <w:p w14:paraId="1D537884" w14:textId="00002D46" w:rsidR="00861B14" w:rsidRPr="008B619A" w:rsidRDefault="00861B14" w:rsidP="00861B14">
            <w:pPr>
              <w:rPr>
                <w:rFonts w:hAnsi="標楷體" w:cs="新細明體"/>
                <w:color w:val="000000" w:themeColor="text1"/>
                <w:kern w:val="0"/>
                <w:sz w:val="24"/>
                <w:szCs w:val="24"/>
              </w:rPr>
            </w:pPr>
            <w:r w:rsidRPr="008B619A">
              <w:rPr>
                <w:rFonts w:hAnsi="標楷體" w:cs="新細明體" w:hint="eastAsia"/>
                <w:color w:val="000000" w:themeColor="text1"/>
                <w:kern w:val="0"/>
                <w:sz w:val="24"/>
                <w:szCs w:val="24"/>
              </w:rPr>
              <w:t>107</w:t>
            </w:r>
          </w:p>
        </w:tc>
        <w:tc>
          <w:tcPr>
            <w:tcW w:w="3169" w:type="dxa"/>
            <w:tcBorders>
              <w:top w:val="nil"/>
              <w:left w:val="nil"/>
              <w:bottom w:val="single" w:sz="4" w:space="0" w:color="auto"/>
              <w:right w:val="single" w:sz="4" w:space="0" w:color="auto"/>
            </w:tcBorders>
            <w:vAlign w:val="center"/>
          </w:tcPr>
          <w:p w14:paraId="264322B7" w14:textId="66984ED3" w:rsidR="00861B14" w:rsidRPr="008B619A" w:rsidRDefault="00861B14" w:rsidP="00861B14">
            <w:pPr>
              <w:widowControl/>
              <w:rPr>
                <w:rFonts w:hAnsi="標楷體" w:cs="新細明體"/>
                <w:color w:val="000000" w:themeColor="text1"/>
                <w:kern w:val="0"/>
                <w:sz w:val="24"/>
                <w:szCs w:val="24"/>
              </w:rPr>
            </w:pPr>
            <w:r w:rsidRPr="008B619A">
              <w:rPr>
                <w:rFonts w:hAnsi="標楷體" w:cs="新細明體" w:hint="eastAsia"/>
                <w:color w:val="000000" w:themeColor="text1"/>
                <w:kern w:val="0"/>
                <w:sz w:val="24"/>
                <w:szCs w:val="24"/>
              </w:rPr>
              <w:t>政治學系</w:t>
            </w:r>
          </w:p>
        </w:tc>
      </w:tr>
      <w:tr w:rsidR="00861B14" w:rsidRPr="008B619A" w14:paraId="36D2D022" w14:textId="78979A3F" w:rsidTr="00F33FE5">
        <w:trPr>
          <w:trHeight w:val="315"/>
        </w:trPr>
        <w:tc>
          <w:tcPr>
            <w:tcW w:w="1129" w:type="dxa"/>
            <w:vMerge/>
            <w:tcBorders>
              <w:left w:val="single" w:sz="4" w:space="0" w:color="auto"/>
              <w:right w:val="single" w:sz="4" w:space="0" w:color="auto"/>
            </w:tcBorders>
            <w:shd w:val="clear" w:color="auto" w:fill="FDE9D9" w:themeFill="accent6" w:themeFillTint="33"/>
            <w:vAlign w:val="center"/>
            <w:hideMark/>
          </w:tcPr>
          <w:p w14:paraId="691AB9F9" w14:textId="589DFA40" w:rsidR="00861B14" w:rsidRPr="008B619A" w:rsidRDefault="00861B14" w:rsidP="00861B14">
            <w:pPr>
              <w:jc w:val="center"/>
              <w:rPr>
                <w:rFonts w:hAnsi="標楷體" w:cs="新細明體"/>
                <w:b/>
                <w:bCs/>
                <w:color w:val="000000" w:themeColor="text1"/>
                <w:kern w:val="0"/>
                <w:sz w:val="24"/>
                <w:szCs w:val="24"/>
              </w:rPr>
            </w:pPr>
          </w:p>
        </w:tc>
        <w:tc>
          <w:tcPr>
            <w:tcW w:w="3288" w:type="dxa"/>
            <w:tcBorders>
              <w:top w:val="nil"/>
              <w:left w:val="nil"/>
              <w:bottom w:val="single" w:sz="4" w:space="0" w:color="auto"/>
              <w:right w:val="double" w:sz="4" w:space="0" w:color="auto"/>
            </w:tcBorders>
            <w:shd w:val="clear" w:color="auto" w:fill="auto"/>
            <w:vAlign w:val="center"/>
            <w:hideMark/>
          </w:tcPr>
          <w:p w14:paraId="415D6404" w14:textId="77777777" w:rsidR="00861B14" w:rsidRPr="008B619A" w:rsidRDefault="00861B14" w:rsidP="00861B14">
            <w:pPr>
              <w:widowControl/>
              <w:rPr>
                <w:rFonts w:hAnsi="標楷體" w:cs="新細明體"/>
                <w:color w:val="000000" w:themeColor="text1"/>
                <w:kern w:val="0"/>
                <w:sz w:val="24"/>
                <w:szCs w:val="24"/>
              </w:rPr>
            </w:pPr>
            <w:r w:rsidRPr="008B619A">
              <w:rPr>
                <w:rFonts w:hAnsi="標楷體" w:cs="新細明體" w:hint="eastAsia"/>
                <w:color w:val="000000" w:themeColor="text1"/>
                <w:kern w:val="0"/>
                <w:sz w:val="24"/>
                <w:szCs w:val="24"/>
              </w:rPr>
              <w:t>國際經營與貿易學系</w:t>
            </w:r>
          </w:p>
        </w:tc>
        <w:tc>
          <w:tcPr>
            <w:tcW w:w="1248" w:type="dxa"/>
            <w:vMerge/>
            <w:tcBorders>
              <w:left w:val="double" w:sz="4" w:space="0" w:color="auto"/>
              <w:right w:val="single" w:sz="4" w:space="0" w:color="auto"/>
            </w:tcBorders>
            <w:vAlign w:val="center"/>
          </w:tcPr>
          <w:p w14:paraId="6B0565EF" w14:textId="14E0146D" w:rsidR="00861B14" w:rsidRPr="008B619A" w:rsidRDefault="00861B14" w:rsidP="00861B14">
            <w:pPr>
              <w:rPr>
                <w:rFonts w:hAnsi="標楷體" w:cs="新細明體"/>
                <w:color w:val="000000" w:themeColor="text1"/>
                <w:kern w:val="0"/>
                <w:sz w:val="24"/>
                <w:szCs w:val="24"/>
              </w:rPr>
            </w:pPr>
          </w:p>
        </w:tc>
        <w:tc>
          <w:tcPr>
            <w:tcW w:w="3169" w:type="dxa"/>
            <w:tcBorders>
              <w:top w:val="nil"/>
              <w:left w:val="nil"/>
              <w:bottom w:val="single" w:sz="4" w:space="0" w:color="auto"/>
              <w:right w:val="single" w:sz="4" w:space="0" w:color="auto"/>
            </w:tcBorders>
            <w:vAlign w:val="center"/>
          </w:tcPr>
          <w:p w14:paraId="49247630" w14:textId="46847AF6" w:rsidR="00861B14" w:rsidRPr="008B619A" w:rsidRDefault="00861B14" w:rsidP="00861B14">
            <w:pPr>
              <w:widowControl/>
              <w:rPr>
                <w:rFonts w:hAnsi="標楷體" w:cs="新細明體"/>
                <w:color w:val="000000" w:themeColor="text1"/>
                <w:kern w:val="0"/>
                <w:sz w:val="24"/>
                <w:szCs w:val="24"/>
              </w:rPr>
            </w:pPr>
            <w:r w:rsidRPr="008B619A">
              <w:rPr>
                <w:rFonts w:hAnsi="標楷體" w:cs="新細明體" w:hint="eastAsia"/>
                <w:color w:val="000000" w:themeColor="text1"/>
                <w:kern w:val="0"/>
                <w:sz w:val="24"/>
                <w:szCs w:val="24"/>
              </w:rPr>
              <w:t>統計學系</w:t>
            </w:r>
          </w:p>
        </w:tc>
      </w:tr>
      <w:tr w:rsidR="00861B14" w:rsidRPr="008B619A" w14:paraId="5FFBAFFD" w14:textId="16D6ECBA" w:rsidTr="00F33FE5">
        <w:trPr>
          <w:trHeight w:val="315"/>
        </w:trPr>
        <w:tc>
          <w:tcPr>
            <w:tcW w:w="1129" w:type="dxa"/>
            <w:vMerge/>
            <w:tcBorders>
              <w:left w:val="single" w:sz="4" w:space="0" w:color="auto"/>
              <w:right w:val="single" w:sz="4" w:space="0" w:color="auto"/>
            </w:tcBorders>
            <w:shd w:val="clear" w:color="auto" w:fill="FDE9D9" w:themeFill="accent6" w:themeFillTint="33"/>
            <w:vAlign w:val="center"/>
            <w:hideMark/>
          </w:tcPr>
          <w:p w14:paraId="50878AA8" w14:textId="48A81A0F" w:rsidR="00861B14" w:rsidRPr="008B619A" w:rsidRDefault="00861B14" w:rsidP="00861B14">
            <w:pPr>
              <w:jc w:val="center"/>
              <w:rPr>
                <w:rFonts w:hAnsi="標楷體" w:cs="新細明體"/>
                <w:b/>
                <w:bCs/>
                <w:color w:val="000000" w:themeColor="text1"/>
                <w:kern w:val="0"/>
                <w:sz w:val="24"/>
                <w:szCs w:val="24"/>
              </w:rPr>
            </w:pPr>
          </w:p>
        </w:tc>
        <w:tc>
          <w:tcPr>
            <w:tcW w:w="3288" w:type="dxa"/>
            <w:tcBorders>
              <w:top w:val="nil"/>
              <w:left w:val="nil"/>
              <w:bottom w:val="single" w:sz="4" w:space="0" w:color="auto"/>
              <w:right w:val="double" w:sz="4" w:space="0" w:color="auto"/>
            </w:tcBorders>
            <w:shd w:val="clear" w:color="auto" w:fill="auto"/>
            <w:vAlign w:val="center"/>
            <w:hideMark/>
          </w:tcPr>
          <w:p w14:paraId="7ADF34DB" w14:textId="77777777" w:rsidR="00861B14" w:rsidRPr="008B619A" w:rsidRDefault="00861B14" w:rsidP="00861B14">
            <w:pPr>
              <w:widowControl/>
              <w:rPr>
                <w:rFonts w:hAnsi="標楷體" w:cs="新細明體"/>
                <w:color w:val="000000" w:themeColor="text1"/>
                <w:kern w:val="0"/>
                <w:sz w:val="24"/>
                <w:szCs w:val="24"/>
              </w:rPr>
            </w:pPr>
            <w:r w:rsidRPr="008B619A">
              <w:rPr>
                <w:rFonts w:hAnsi="標楷體" w:cs="新細明體" w:hint="eastAsia"/>
                <w:color w:val="000000" w:themeColor="text1"/>
                <w:kern w:val="0"/>
                <w:sz w:val="24"/>
                <w:szCs w:val="24"/>
              </w:rPr>
              <w:t>統計學系</w:t>
            </w:r>
          </w:p>
        </w:tc>
        <w:tc>
          <w:tcPr>
            <w:tcW w:w="1248" w:type="dxa"/>
            <w:vMerge/>
            <w:tcBorders>
              <w:left w:val="double" w:sz="4" w:space="0" w:color="auto"/>
              <w:right w:val="single" w:sz="4" w:space="0" w:color="auto"/>
            </w:tcBorders>
            <w:vAlign w:val="center"/>
          </w:tcPr>
          <w:p w14:paraId="4E445484" w14:textId="759DFB2C" w:rsidR="00861B14" w:rsidRPr="008B619A" w:rsidRDefault="00861B14" w:rsidP="00861B14">
            <w:pPr>
              <w:rPr>
                <w:rFonts w:hAnsi="標楷體" w:cs="新細明體"/>
                <w:color w:val="000000" w:themeColor="text1"/>
                <w:kern w:val="0"/>
                <w:sz w:val="24"/>
                <w:szCs w:val="24"/>
              </w:rPr>
            </w:pPr>
          </w:p>
        </w:tc>
        <w:tc>
          <w:tcPr>
            <w:tcW w:w="3169" w:type="dxa"/>
            <w:tcBorders>
              <w:top w:val="nil"/>
              <w:left w:val="nil"/>
              <w:bottom w:val="single" w:sz="4" w:space="0" w:color="auto"/>
              <w:right w:val="single" w:sz="4" w:space="0" w:color="auto"/>
            </w:tcBorders>
            <w:vAlign w:val="center"/>
          </w:tcPr>
          <w:p w14:paraId="2E6B2798" w14:textId="0F2A8A84" w:rsidR="00861B14" w:rsidRPr="008B619A" w:rsidRDefault="00861B14" w:rsidP="00861B14">
            <w:pPr>
              <w:widowControl/>
              <w:rPr>
                <w:rFonts w:hAnsi="標楷體" w:cs="新細明體"/>
                <w:color w:val="000000" w:themeColor="text1"/>
                <w:kern w:val="0"/>
                <w:sz w:val="24"/>
                <w:szCs w:val="24"/>
              </w:rPr>
            </w:pPr>
            <w:r w:rsidRPr="008B619A">
              <w:rPr>
                <w:rFonts w:hAnsi="標楷體" w:cs="新細明體" w:hint="eastAsia"/>
                <w:color w:val="000000" w:themeColor="text1"/>
                <w:kern w:val="0"/>
                <w:sz w:val="24"/>
                <w:szCs w:val="24"/>
              </w:rPr>
              <w:t>服務科學研究所</w:t>
            </w:r>
          </w:p>
        </w:tc>
      </w:tr>
      <w:tr w:rsidR="00861B14" w:rsidRPr="008B619A" w14:paraId="2E69D494" w14:textId="5FDAAB50" w:rsidTr="00F33FE5">
        <w:trPr>
          <w:trHeight w:val="315"/>
        </w:trPr>
        <w:tc>
          <w:tcPr>
            <w:tcW w:w="1129" w:type="dxa"/>
            <w:vMerge/>
            <w:tcBorders>
              <w:left w:val="single" w:sz="4" w:space="0" w:color="auto"/>
              <w:right w:val="single" w:sz="4" w:space="0" w:color="auto"/>
            </w:tcBorders>
            <w:shd w:val="clear" w:color="auto" w:fill="FDE9D9" w:themeFill="accent6" w:themeFillTint="33"/>
            <w:vAlign w:val="center"/>
            <w:hideMark/>
          </w:tcPr>
          <w:p w14:paraId="559B759E" w14:textId="4BCF6F25" w:rsidR="00861B14" w:rsidRPr="008B619A" w:rsidRDefault="00861B14" w:rsidP="00861B14">
            <w:pPr>
              <w:jc w:val="center"/>
              <w:rPr>
                <w:rFonts w:hAnsi="標楷體" w:cs="新細明體"/>
                <w:b/>
                <w:bCs/>
                <w:color w:val="000000" w:themeColor="text1"/>
                <w:kern w:val="0"/>
                <w:sz w:val="24"/>
                <w:szCs w:val="24"/>
              </w:rPr>
            </w:pPr>
          </w:p>
        </w:tc>
        <w:tc>
          <w:tcPr>
            <w:tcW w:w="3288" w:type="dxa"/>
            <w:tcBorders>
              <w:top w:val="nil"/>
              <w:left w:val="nil"/>
              <w:bottom w:val="single" w:sz="4" w:space="0" w:color="auto"/>
              <w:right w:val="double" w:sz="4" w:space="0" w:color="auto"/>
            </w:tcBorders>
            <w:shd w:val="clear" w:color="auto" w:fill="auto"/>
            <w:vAlign w:val="center"/>
            <w:hideMark/>
          </w:tcPr>
          <w:p w14:paraId="47FC2024" w14:textId="77777777" w:rsidR="00861B14" w:rsidRPr="008B619A" w:rsidRDefault="00861B14" w:rsidP="00861B14">
            <w:pPr>
              <w:widowControl/>
              <w:rPr>
                <w:rFonts w:hAnsi="標楷體" w:cs="新細明體"/>
                <w:color w:val="000000" w:themeColor="text1"/>
                <w:kern w:val="0"/>
                <w:sz w:val="24"/>
                <w:szCs w:val="24"/>
              </w:rPr>
            </w:pPr>
            <w:r w:rsidRPr="008B619A">
              <w:rPr>
                <w:rFonts w:hAnsi="標楷體" w:cs="新細明體" w:hint="eastAsia"/>
                <w:color w:val="000000" w:themeColor="text1"/>
                <w:kern w:val="0"/>
                <w:sz w:val="24"/>
                <w:szCs w:val="24"/>
              </w:rPr>
              <w:t>社會學研究所</w:t>
            </w:r>
          </w:p>
        </w:tc>
        <w:tc>
          <w:tcPr>
            <w:tcW w:w="1248" w:type="dxa"/>
            <w:vMerge/>
            <w:tcBorders>
              <w:left w:val="double" w:sz="4" w:space="0" w:color="auto"/>
              <w:right w:val="single" w:sz="4" w:space="0" w:color="auto"/>
            </w:tcBorders>
            <w:vAlign w:val="center"/>
          </w:tcPr>
          <w:p w14:paraId="62EB05A2" w14:textId="007F93F2" w:rsidR="00861B14" w:rsidRPr="008B619A" w:rsidRDefault="00861B14" w:rsidP="00861B14">
            <w:pPr>
              <w:rPr>
                <w:rFonts w:hAnsi="標楷體" w:cs="新細明體"/>
                <w:color w:val="000000" w:themeColor="text1"/>
                <w:kern w:val="0"/>
                <w:sz w:val="24"/>
                <w:szCs w:val="24"/>
              </w:rPr>
            </w:pPr>
          </w:p>
        </w:tc>
        <w:tc>
          <w:tcPr>
            <w:tcW w:w="3169" w:type="dxa"/>
            <w:tcBorders>
              <w:top w:val="nil"/>
              <w:left w:val="nil"/>
              <w:bottom w:val="single" w:sz="4" w:space="0" w:color="auto"/>
              <w:right w:val="single" w:sz="4" w:space="0" w:color="auto"/>
            </w:tcBorders>
            <w:vAlign w:val="center"/>
          </w:tcPr>
          <w:p w14:paraId="6D44156E" w14:textId="0F3D8D95" w:rsidR="00861B14" w:rsidRPr="008B619A" w:rsidRDefault="00861B14" w:rsidP="00861B14">
            <w:pPr>
              <w:widowControl/>
              <w:rPr>
                <w:rFonts w:hAnsi="標楷體" w:cs="新細明體"/>
                <w:color w:val="000000" w:themeColor="text1"/>
                <w:kern w:val="0"/>
                <w:sz w:val="24"/>
                <w:szCs w:val="24"/>
              </w:rPr>
            </w:pPr>
            <w:r w:rsidRPr="008B619A">
              <w:rPr>
                <w:rFonts w:hAnsi="標楷體" w:cs="新細明體" w:hint="eastAsia"/>
                <w:color w:val="000000" w:themeColor="text1"/>
                <w:kern w:val="0"/>
                <w:sz w:val="24"/>
                <w:szCs w:val="24"/>
              </w:rPr>
              <w:t>戲劇學系</w:t>
            </w:r>
          </w:p>
        </w:tc>
      </w:tr>
      <w:tr w:rsidR="00861B14" w:rsidRPr="008B619A" w14:paraId="6CF3F235" w14:textId="67F70748" w:rsidTr="00F33FE5">
        <w:trPr>
          <w:trHeight w:val="315"/>
        </w:trPr>
        <w:tc>
          <w:tcPr>
            <w:tcW w:w="1129" w:type="dxa"/>
            <w:vMerge/>
            <w:tcBorders>
              <w:left w:val="single" w:sz="4" w:space="0" w:color="auto"/>
              <w:right w:val="single" w:sz="4" w:space="0" w:color="auto"/>
            </w:tcBorders>
            <w:shd w:val="clear" w:color="auto" w:fill="FDE9D9" w:themeFill="accent6" w:themeFillTint="33"/>
            <w:vAlign w:val="center"/>
            <w:hideMark/>
          </w:tcPr>
          <w:p w14:paraId="2D0D00E4" w14:textId="64CC546B" w:rsidR="00861B14" w:rsidRPr="008B619A" w:rsidRDefault="00861B14" w:rsidP="00861B14">
            <w:pPr>
              <w:jc w:val="center"/>
              <w:rPr>
                <w:rFonts w:hAnsi="標楷體" w:cs="新細明體"/>
                <w:b/>
                <w:bCs/>
                <w:color w:val="000000" w:themeColor="text1"/>
                <w:kern w:val="0"/>
                <w:sz w:val="24"/>
                <w:szCs w:val="24"/>
              </w:rPr>
            </w:pPr>
          </w:p>
        </w:tc>
        <w:tc>
          <w:tcPr>
            <w:tcW w:w="3288" w:type="dxa"/>
            <w:tcBorders>
              <w:top w:val="nil"/>
              <w:left w:val="nil"/>
              <w:bottom w:val="single" w:sz="4" w:space="0" w:color="auto"/>
              <w:right w:val="double" w:sz="4" w:space="0" w:color="auto"/>
            </w:tcBorders>
            <w:shd w:val="clear" w:color="auto" w:fill="auto"/>
            <w:vAlign w:val="center"/>
            <w:hideMark/>
          </w:tcPr>
          <w:p w14:paraId="66E7FD79" w14:textId="77777777" w:rsidR="00861B14" w:rsidRPr="008B619A" w:rsidRDefault="00861B14" w:rsidP="00861B14">
            <w:pPr>
              <w:widowControl/>
              <w:rPr>
                <w:rFonts w:hAnsi="標楷體" w:cs="新細明體"/>
                <w:color w:val="000000" w:themeColor="text1"/>
                <w:kern w:val="0"/>
                <w:sz w:val="24"/>
                <w:szCs w:val="24"/>
              </w:rPr>
            </w:pPr>
            <w:r w:rsidRPr="008B619A">
              <w:rPr>
                <w:rFonts w:hAnsi="標楷體" w:cs="新細明體" w:hint="eastAsia"/>
                <w:color w:val="000000" w:themeColor="text1"/>
                <w:kern w:val="0"/>
                <w:sz w:val="24"/>
                <w:szCs w:val="24"/>
              </w:rPr>
              <w:t>人類學系</w:t>
            </w:r>
          </w:p>
        </w:tc>
        <w:tc>
          <w:tcPr>
            <w:tcW w:w="1248" w:type="dxa"/>
            <w:vMerge/>
            <w:tcBorders>
              <w:left w:val="double" w:sz="4" w:space="0" w:color="auto"/>
              <w:right w:val="single" w:sz="4" w:space="0" w:color="auto"/>
            </w:tcBorders>
            <w:vAlign w:val="center"/>
          </w:tcPr>
          <w:p w14:paraId="0ADF4BC5" w14:textId="641D48C5" w:rsidR="00861B14" w:rsidRPr="008B619A" w:rsidRDefault="00861B14" w:rsidP="00861B14">
            <w:pPr>
              <w:rPr>
                <w:rFonts w:hAnsi="標楷體" w:cs="新細明體"/>
                <w:color w:val="000000" w:themeColor="text1"/>
                <w:kern w:val="0"/>
                <w:sz w:val="24"/>
                <w:szCs w:val="24"/>
              </w:rPr>
            </w:pPr>
          </w:p>
        </w:tc>
        <w:tc>
          <w:tcPr>
            <w:tcW w:w="3169" w:type="dxa"/>
            <w:tcBorders>
              <w:top w:val="nil"/>
              <w:left w:val="nil"/>
              <w:bottom w:val="single" w:sz="4" w:space="0" w:color="auto"/>
              <w:right w:val="single" w:sz="4" w:space="0" w:color="auto"/>
            </w:tcBorders>
            <w:vAlign w:val="center"/>
          </w:tcPr>
          <w:p w14:paraId="336A8CA6" w14:textId="48062CF1" w:rsidR="00861B14" w:rsidRPr="008B619A" w:rsidRDefault="00861B14" w:rsidP="00861B14">
            <w:pPr>
              <w:widowControl/>
              <w:rPr>
                <w:rFonts w:hAnsi="標楷體" w:cs="新細明體"/>
                <w:color w:val="000000" w:themeColor="text1"/>
                <w:kern w:val="0"/>
                <w:sz w:val="24"/>
                <w:szCs w:val="24"/>
              </w:rPr>
            </w:pPr>
            <w:r w:rsidRPr="008B619A">
              <w:rPr>
                <w:rFonts w:hAnsi="標楷體" w:cs="新細明體" w:hint="eastAsia"/>
                <w:color w:val="000000" w:themeColor="text1"/>
                <w:kern w:val="0"/>
                <w:sz w:val="24"/>
                <w:szCs w:val="24"/>
              </w:rPr>
              <w:t>分子與細胞生物學研究所</w:t>
            </w:r>
          </w:p>
        </w:tc>
      </w:tr>
      <w:tr w:rsidR="00861B14" w:rsidRPr="008B619A" w14:paraId="743307BF" w14:textId="19A28C1B" w:rsidTr="00F33FE5">
        <w:trPr>
          <w:trHeight w:val="315"/>
        </w:trPr>
        <w:tc>
          <w:tcPr>
            <w:tcW w:w="1129" w:type="dxa"/>
            <w:vMerge/>
            <w:tcBorders>
              <w:left w:val="single" w:sz="4" w:space="0" w:color="auto"/>
              <w:right w:val="single" w:sz="4" w:space="0" w:color="auto"/>
            </w:tcBorders>
            <w:shd w:val="clear" w:color="auto" w:fill="FDE9D9" w:themeFill="accent6" w:themeFillTint="33"/>
            <w:vAlign w:val="center"/>
            <w:hideMark/>
          </w:tcPr>
          <w:p w14:paraId="659FC0A1" w14:textId="40FBADB7" w:rsidR="00861B14" w:rsidRPr="008B619A" w:rsidRDefault="00861B14" w:rsidP="00861B14">
            <w:pPr>
              <w:jc w:val="center"/>
              <w:rPr>
                <w:rFonts w:hAnsi="標楷體" w:cs="新細明體"/>
                <w:b/>
                <w:bCs/>
                <w:color w:val="000000" w:themeColor="text1"/>
                <w:kern w:val="0"/>
                <w:sz w:val="24"/>
                <w:szCs w:val="24"/>
              </w:rPr>
            </w:pPr>
          </w:p>
        </w:tc>
        <w:tc>
          <w:tcPr>
            <w:tcW w:w="3288" w:type="dxa"/>
            <w:tcBorders>
              <w:top w:val="nil"/>
              <w:left w:val="nil"/>
              <w:bottom w:val="single" w:sz="4" w:space="0" w:color="auto"/>
              <w:right w:val="double" w:sz="4" w:space="0" w:color="auto"/>
            </w:tcBorders>
            <w:shd w:val="clear" w:color="auto" w:fill="auto"/>
            <w:vAlign w:val="center"/>
            <w:hideMark/>
          </w:tcPr>
          <w:p w14:paraId="3CADD78D" w14:textId="77777777" w:rsidR="00861B14" w:rsidRPr="008B619A" w:rsidRDefault="00861B14" w:rsidP="00861B14">
            <w:pPr>
              <w:widowControl/>
              <w:rPr>
                <w:rFonts w:hAnsi="標楷體" w:cs="新細明體"/>
                <w:color w:val="000000" w:themeColor="text1"/>
                <w:kern w:val="0"/>
                <w:sz w:val="24"/>
                <w:szCs w:val="24"/>
              </w:rPr>
            </w:pPr>
            <w:r w:rsidRPr="008B619A">
              <w:rPr>
                <w:rFonts w:hAnsi="標楷體" w:cs="新細明體" w:hint="eastAsia"/>
                <w:color w:val="000000" w:themeColor="text1"/>
                <w:kern w:val="0"/>
                <w:sz w:val="24"/>
                <w:szCs w:val="24"/>
              </w:rPr>
              <w:t>社會學系</w:t>
            </w:r>
          </w:p>
        </w:tc>
        <w:tc>
          <w:tcPr>
            <w:tcW w:w="1248" w:type="dxa"/>
            <w:vMerge/>
            <w:tcBorders>
              <w:left w:val="double" w:sz="4" w:space="0" w:color="auto"/>
              <w:right w:val="single" w:sz="4" w:space="0" w:color="auto"/>
            </w:tcBorders>
            <w:vAlign w:val="center"/>
          </w:tcPr>
          <w:p w14:paraId="0BE5AC72" w14:textId="70489CE2" w:rsidR="00861B14" w:rsidRPr="008B619A" w:rsidRDefault="00861B14" w:rsidP="00861B14">
            <w:pPr>
              <w:rPr>
                <w:rFonts w:hAnsi="標楷體" w:cs="新細明體"/>
                <w:color w:val="000000" w:themeColor="text1"/>
                <w:kern w:val="0"/>
                <w:sz w:val="24"/>
                <w:szCs w:val="24"/>
              </w:rPr>
            </w:pPr>
          </w:p>
        </w:tc>
        <w:tc>
          <w:tcPr>
            <w:tcW w:w="3169" w:type="dxa"/>
            <w:tcBorders>
              <w:top w:val="nil"/>
              <w:left w:val="nil"/>
              <w:bottom w:val="single" w:sz="4" w:space="0" w:color="auto"/>
              <w:right w:val="single" w:sz="4" w:space="0" w:color="auto"/>
            </w:tcBorders>
            <w:vAlign w:val="center"/>
          </w:tcPr>
          <w:p w14:paraId="05155394" w14:textId="3114C74B" w:rsidR="00861B14" w:rsidRPr="008B619A" w:rsidRDefault="00861B14" w:rsidP="00861B14">
            <w:pPr>
              <w:widowControl/>
              <w:rPr>
                <w:rFonts w:hAnsi="標楷體" w:cs="新細明體"/>
                <w:color w:val="000000" w:themeColor="text1"/>
                <w:kern w:val="0"/>
                <w:sz w:val="24"/>
                <w:szCs w:val="24"/>
              </w:rPr>
            </w:pPr>
            <w:r w:rsidRPr="008B619A">
              <w:rPr>
                <w:rFonts w:hAnsi="標楷體" w:cs="新細明體" w:hint="eastAsia"/>
                <w:color w:val="000000" w:themeColor="text1"/>
                <w:kern w:val="0"/>
                <w:sz w:val="24"/>
                <w:szCs w:val="24"/>
              </w:rPr>
              <w:t>生態學與演化生物學研究所</w:t>
            </w:r>
          </w:p>
        </w:tc>
      </w:tr>
      <w:tr w:rsidR="00861B14" w:rsidRPr="008B619A" w14:paraId="7DAC330D" w14:textId="1E341728" w:rsidTr="00F33FE5">
        <w:trPr>
          <w:trHeight w:val="315"/>
        </w:trPr>
        <w:tc>
          <w:tcPr>
            <w:tcW w:w="1129" w:type="dxa"/>
            <w:vMerge/>
            <w:tcBorders>
              <w:left w:val="single" w:sz="4" w:space="0" w:color="auto"/>
              <w:right w:val="single" w:sz="4" w:space="0" w:color="auto"/>
            </w:tcBorders>
            <w:shd w:val="clear" w:color="auto" w:fill="FDE9D9" w:themeFill="accent6" w:themeFillTint="33"/>
            <w:vAlign w:val="center"/>
            <w:hideMark/>
          </w:tcPr>
          <w:p w14:paraId="64BD2E2F" w14:textId="49CACC90" w:rsidR="00861B14" w:rsidRPr="008B619A" w:rsidRDefault="00861B14" w:rsidP="00861B14">
            <w:pPr>
              <w:jc w:val="center"/>
              <w:rPr>
                <w:rFonts w:hAnsi="標楷體" w:cs="新細明體"/>
                <w:b/>
                <w:bCs/>
                <w:color w:val="000000" w:themeColor="text1"/>
                <w:kern w:val="0"/>
                <w:sz w:val="24"/>
                <w:szCs w:val="24"/>
              </w:rPr>
            </w:pPr>
          </w:p>
        </w:tc>
        <w:tc>
          <w:tcPr>
            <w:tcW w:w="3288" w:type="dxa"/>
            <w:tcBorders>
              <w:top w:val="nil"/>
              <w:left w:val="nil"/>
              <w:bottom w:val="single" w:sz="4" w:space="0" w:color="auto"/>
              <w:right w:val="double" w:sz="4" w:space="0" w:color="auto"/>
            </w:tcBorders>
            <w:shd w:val="clear" w:color="auto" w:fill="auto"/>
            <w:vAlign w:val="center"/>
            <w:hideMark/>
          </w:tcPr>
          <w:p w14:paraId="48A1AE65" w14:textId="77777777" w:rsidR="00861B14" w:rsidRPr="008B619A" w:rsidRDefault="00861B14" w:rsidP="00861B14">
            <w:pPr>
              <w:widowControl/>
              <w:rPr>
                <w:rFonts w:hAnsi="標楷體" w:cs="新細明體"/>
                <w:color w:val="000000" w:themeColor="text1"/>
                <w:kern w:val="0"/>
                <w:sz w:val="24"/>
                <w:szCs w:val="24"/>
              </w:rPr>
            </w:pPr>
            <w:r w:rsidRPr="008B619A">
              <w:rPr>
                <w:rFonts w:hAnsi="標楷體" w:cs="新細明體" w:hint="eastAsia"/>
                <w:color w:val="000000" w:themeColor="text1"/>
                <w:kern w:val="0"/>
                <w:sz w:val="24"/>
                <w:szCs w:val="24"/>
              </w:rPr>
              <w:t>分子與細胞生物學研究所</w:t>
            </w:r>
          </w:p>
        </w:tc>
        <w:tc>
          <w:tcPr>
            <w:tcW w:w="1248" w:type="dxa"/>
            <w:vMerge/>
            <w:tcBorders>
              <w:left w:val="double" w:sz="4" w:space="0" w:color="auto"/>
              <w:right w:val="single" w:sz="4" w:space="0" w:color="auto"/>
            </w:tcBorders>
            <w:vAlign w:val="center"/>
          </w:tcPr>
          <w:p w14:paraId="4F690A75" w14:textId="77DA03DE" w:rsidR="00861B14" w:rsidRPr="008B619A" w:rsidRDefault="00861B14" w:rsidP="00861B14">
            <w:pPr>
              <w:rPr>
                <w:rFonts w:hAnsi="標楷體" w:cs="新細明體"/>
                <w:color w:val="000000" w:themeColor="text1"/>
                <w:kern w:val="0"/>
                <w:sz w:val="24"/>
                <w:szCs w:val="24"/>
              </w:rPr>
            </w:pPr>
          </w:p>
        </w:tc>
        <w:tc>
          <w:tcPr>
            <w:tcW w:w="3169" w:type="dxa"/>
            <w:tcBorders>
              <w:top w:val="nil"/>
              <w:left w:val="nil"/>
              <w:bottom w:val="single" w:sz="4" w:space="0" w:color="auto"/>
              <w:right w:val="single" w:sz="4" w:space="0" w:color="auto"/>
            </w:tcBorders>
            <w:vAlign w:val="center"/>
          </w:tcPr>
          <w:p w14:paraId="0BC31BCD" w14:textId="5D2B520C" w:rsidR="00861B14" w:rsidRPr="008B619A" w:rsidRDefault="00861B14" w:rsidP="00861B14">
            <w:pPr>
              <w:widowControl/>
              <w:rPr>
                <w:rFonts w:hAnsi="標楷體" w:cs="新細明體"/>
                <w:color w:val="000000" w:themeColor="text1"/>
                <w:kern w:val="0"/>
                <w:sz w:val="24"/>
                <w:szCs w:val="24"/>
              </w:rPr>
            </w:pPr>
            <w:r w:rsidRPr="008B619A">
              <w:rPr>
                <w:rFonts w:hAnsi="標楷體" w:cs="新細明體" w:hint="eastAsia"/>
                <w:color w:val="000000" w:themeColor="text1"/>
                <w:kern w:val="0"/>
                <w:sz w:val="24"/>
                <w:szCs w:val="24"/>
              </w:rPr>
              <w:t>天文物理研究所</w:t>
            </w:r>
          </w:p>
        </w:tc>
      </w:tr>
      <w:tr w:rsidR="00861B14" w:rsidRPr="008B619A" w14:paraId="6F35898B" w14:textId="570E2D29" w:rsidTr="00F33FE5">
        <w:trPr>
          <w:trHeight w:val="315"/>
        </w:trPr>
        <w:tc>
          <w:tcPr>
            <w:tcW w:w="1129" w:type="dxa"/>
            <w:vMerge/>
            <w:tcBorders>
              <w:left w:val="single" w:sz="4" w:space="0" w:color="auto"/>
              <w:right w:val="single" w:sz="4" w:space="0" w:color="auto"/>
            </w:tcBorders>
            <w:shd w:val="clear" w:color="auto" w:fill="FDE9D9" w:themeFill="accent6" w:themeFillTint="33"/>
            <w:vAlign w:val="center"/>
            <w:hideMark/>
          </w:tcPr>
          <w:p w14:paraId="522F7C2C" w14:textId="5431FDBF" w:rsidR="00861B14" w:rsidRPr="008B619A" w:rsidRDefault="00861B14" w:rsidP="00861B14">
            <w:pPr>
              <w:jc w:val="center"/>
              <w:rPr>
                <w:rFonts w:hAnsi="標楷體" w:cs="新細明體"/>
                <w:b/>
                <w:bCs/>
                <w:color w:val="000000" w:themeColor="text1"/>
                <w:kern w:val="0"/>
                <w:sz w:val="24"/>
                <w:szCs w:val="24"/>
              </w:rPr>
            </w:pPr>
          </w:p>
        </w:tc>
        <w:tc>
          <w:tcPr>
            <w:tcW w:w="3288" w:type="dxa"/>
            <w:tcBorders>
              <w:top w:val="nil"/>
              <w:left w:val="nil"/>
              <w:bottom w:val="single" w:sz="4" w:space="0" w:color="auto"/>
              <w:right w:val="double" w:sz="4" w:space="0" w:color="auto"/>
            </w:tcBorders>
            <w:shd w:val="clear" w:color="auto" w:fill="auto"/>
            <w:vAlign w:val="center"/>
            <w:hideMark/>
          </w:tcPr>
          <w:p w14:paraId="02BB86F8" w14:textId="77777777" w:rsidR="00861B14" w:rsidRPr="008B619A" w:rsidRDefault="00861B14" w:rsidP="00861B14">
            <w:pPr>
              <w:widowControl/>
              <w:rPr>
                <w:rFonts w:hAnsi="標楷體" w:cs="新細明體"/>
                <w:color w:val="000000" w:themeColor="text1"/>
                <w:kern w:val="0"/>
                <w:sz w:val="24"/>
                <w:szCs w:val="24"/>
              </w:rPr>
            </w:pPr>
            <w:r w:rsidRPr="008B619A">
              <w:rPr>
                <w:rFonts w:hAnsi="標楷體" w:cs="新細明體" w:hint="eastAsia"/>
                <w:color w:val="000000" w:themeColor="text1"/>
                <w:kern w:val="0"/>
                <w:sz w:val="24"/>
                <w:szCs w:val="24"/>
              </w:rPr>
              <w:t>免疫學研究所</w:t>
            </w:r>
          </w:p>
        </w:tc>
        <w:tc>
          <w:tcPr>
            <w:tcW w:w="1248" w:type="dxa"/>
            <w:vMerge/>
            <w:tcBorders>
              <w:left w:val="double" w:sz="4" w:space="0" w:color="auto"/>
              <w:right w:val="single" w:sz="4" w:space="0" w:color="auto"/>
            </w:tcBorders>
            <w:vAlign w:val="center"/>
          </w:tcPr>
          <w:p w14:paraId="55E765BE" w14:textId="6F72FBCE" w:rsidR="00861B14" w:rsidRPr="008B619A" w:rsidRDefault="00861B14" w:rsidP="00861B14">
            <w:pPr>
              <w:rPr>
                <w:rFonts w:hAnsi="標楷體" w:cs="新細明體"/>
                <w:color w:val="000000" w:themeColor="text1"/>
                <w:kern w:val="0"/>
                <w:sz w:val="24"/>
                <w:szCs w:val="24"/>
              </w:rPr>
            </w:pPr>
          </w:p>
        </w:tc>
        <w:tc>
          <w:tcPr>
            <w:tcW w:w="3169" w:type="dxa"/>
            <w:tcBorders>
              <w:top w:val="nil"/>
              <w:left w:val="nil"/>
              <w:bottom w:val="single" w:sz="4" w:space="0" w:color="auto"/>
              <w:right w:val="single" w:sz="4" w:space="0" w:color="auto"/>
            </w:tcBorders>
            <w:vAlign w:val="center"/>
          </w:tcPr>
          <w:p w14:paraId="293720C9" w14:textId="6C086CAA" w:rsidR="00861B14" w:rsidRPr="008B619A" w:rsidRDefault="00861B14" w:rsidP="00861B14">
            <w:pPr>
              <w:widowControl/>
              <w:rPr>
                <w:rFonts w:hAnsi="標楷體" w:cs="新細明體"/>
                <w:color w:val="000000" w:themeColor="text1"/>
                <w:kern w:val="0"/>
                <w:sz w:val="24"/>
                <w:szCs w:val="24"/>
              </w:rPr>
            </w:pPr>
            <w:r w:rsidRPr="008B619A">
              <w:rPr>
                <w:rFonts w:hAnsi="標楷體" w:cs="新細明體" w:hint="eastAsia"/>
                <w:color w:val="000000" w:themeColor="text1"/>
                <w:kern w:val="0"/>
                <w:sz w:val="24"/>
                <w:szCs w:val="24"/>
              </w:rPr>
              <w:t>數學系</w:t>
            </w:r>
          </w:p>
        </w:tc>
      </w:tr>
      <w:tr w:rsidR="00861B14" w:rsidRPr="008B619A" w14:paraId="62FF0859" w14:textId="42F1950A" w:rsidTr="00F33FE5">
        <w:trPr>
          <w:trHeight w:val="315"/>
        </w:trPr>
        <w:tc>
          <w:tcPr>
            <w:tcW w:w="1129" w:type="dxa"/>
            <w:vMerge/>
            <w:tcBorders>
              <w:left w:val="single" w:sz="4" w:space="0" w:color="auto"/>
              <w:right w:val="single" w:sz="4" w:space="0" w:color="auto"/>
            </w:tcBorders>
            <w:shd w:val="clear" w:color="auto" w:fill="FDE9D9" w:themeFill="accent6" w:themeFillTint="33"/>
            <w:vAlign w:val="center"/>
            <w:hideMark/>
          </w:tcPr>
          <w:p w14:paraId="73EA9534" w14:textId="46F99227" w:rsidR="00861B14" w:rsidRPr="008B619A" w:rsidRDefault="00861B14" w:rsidP="00861B14">
            <w:pPr>
              <w:jc w:val="center"/>
              <w:rPr>
                <w:rFonts w:hAnsi="標楷體" w:cs="新細明體"/>
                <w:b/>
                <w:bCs/>
                <w:color w:val="000000" w:themeColor="text1"/>
                <w:kern w:val="0"/>
                <w:sz w:val="24"/>
                <w:szCs w:val="24"/>
              </w:rPr>
            </w:pPr>
          </w:p>
        </w:tc>
        <w:tc>
          <w:tcPr>
            <w:tcW w:w="3288" w:type="dxa"/>
            <w:tcBorders>
              <w:top w:val="nil"/>
              <w:left w:val="nil"/>
              <w:bottom w:val="single" w:sz="4" w:space="0" w:color="auto"/>
              <w:right w:val="double" w:sz="4" w:space="0" w:color="auto"/>
            </w:tcBorders>
            <w:shd w:val="clear" w:color="auto" w:fill="auto"/>
            <w:vAlign w:val="center"/>
            <w:hideMark/>
          </w:tcPr>
          <w:p w14:paraId="096AD877" w14:textId="77777777" w:rsidR="00861B14" w:rsidRPr="008B619A" w:rsidRDefault="00861B14" w:rsidP="00861B14">
            <w:pPr>
              <w:widowControl/>
              <w:rPr>
                <w:rFonts w:hAnsi="標楷體" w:cs="新細明體"/>
                <w:color w:val="000000" w:themeColor="text1"/>
                <w:kern w:val="0"/>
                <w:sz w:val="24"/>
                <w:szCs w:val="24"/>
              </w:rPr>
            </w:pPr>
            <w:r w:rsidRPr="008B619A">
              <w:rPr>
                <w:rFonts w:hAnsi="標楷體" w:cs="新細明體" w:hint="eastAsia"/>
                <w:color w:val="000000" w:themeColor="text1"/>
                <w:kern w:val="0"/>
                <w:sz w:val="24"/>
                <w:szCs w:val="24"/>
              </w:rPr>
              <w:t>資訊工程學系</w:t>
            </w:r>
          </w:p>
        </w:tc>
        <w:tc>
          <w:tcPr>
            <w:tcW w:w="1248" w:type="dxa"/>
            <w:vMerge/>
            <w:tcBorders>
              <w:left w:val="double" w:sz="4" w:space="0" w:color="auto"/>
              <w:right w:val="single" w:sz="4" w:space="0" w:color="auto"/>
            </w:tcBorders>
            <w:vAlign w:val="center"/>
          </w:tcPr>
          <w:p w14:paraId="48EF6830" w14:textId="3F98DFF2" w:rsidR="00861B14" w:rsidRPr="008B619A" w:rsidRDefault="00861B14" w:rsidP="00861B14">
            <w:pPr>
              <w:rPr>
                <w:rFonts w:hAnsi="標楷體" w:cs="新細明體"/>
                <w:color w:val="000000" w:themeColor="text1"/>
                <w:kern w:val="0"/>
                <w:sz w:val="24"/>
                <w:szCs w:val="24"/>
              </w:rPr>
            </w:pPr>
          </w:p>
        </w:tc>
        <w:tc>
          <w:tcPr>
            <w:tcW w:w="3169" w:type="dxa"/>
            <w:tcBorders>
              <w:top w:val="nil"/>
              <w:left w:val="nil"/>
              <w:bottom w:val="single" w:sz="4" w:space="0" w:color="auto"/>
              <w:right w:val="single" w:sz="4" w:space="0" w:color="auto"/>
            </w:tcBorders>
            <w:vAlign w:val="center"/>
          </w:tcPr>
          <w:p w14:paraId="237CE530" w14:textId="48CB9A88" w:rsidR="00861B14" w:rsidRPr="008B619A" w:rsidRDefault="00861B14" w:rsidP="00861B14">
            <w:pPr>
              <w:widowControl/>
              <w:rPr>
                <w:rFonts w:hAnsi="標楷體" w:cs="新細明體"/>
                <w:color w:val="000000" w:themeColor="text1"/>
                <w:kern w:val="0"/>
                <w:sz w:val="24"/>
                <w:szCs w:val="24"/>
              </w:rPr>
            </w:pPr>
            <w:r w:rsidRPr="008B619A">
              <w:rPr>
                <w:rFonts w:hAnsi="標楷體" w:cs="新細明體" w:hint="eastAsia"/>
                <w:color w:val="000000" w:themeColor="text1"/>
                <w:kern w:val="0"/>
                <w:sz w:val="24"/>
                <w:szCs w:val="24"/>
              </w:rPr>
              <w:t>財務金融研究所</w:t>
            </w:r>
          </w:p>
        </w:tc>
      </w:tr>
      <w:tr w:rsidR="00861B14" w:rsidRPr="008B619A" w14:paraId="5F4C9BE4" w14:textId="09711D8F" w:rsidTr="00F33FE5">
        <w:trPr>
          <w:trHeight w:val="315"/>
        </w:trPr>
        <w:tc>
          <w:tcPr>
            <w:tcW w:w="1129" w:type="dxa"/>
            <w:vMerge/>
            <w:tcBorders>
              <w:left w:val="single" w:sz="4" w:space="0" w:color="auto"/>
              <w:right w:val="single" w:sz="4" w:space="0" w:color="auto"/>
            </w:tcBorders>
            <w:shd w:val="clear" w:color="auto" w:fill="FDE9D9" w:themeFill="accent6" w:themeFillTint="33"/>
            <w:vAlign w:val="center"/>
            <w:hideMark/>
          </w:tcPr>
          <w:p w14:paraId="6CF0243B" w14:textId="38CB1EF6" w:rsidR="00861B14" w:rsidRPr="008B619A" w:rsidRDefault="00861B14" w:rsidP="00861B14">
            <w:pPr>
              <w:jc w:val="center"/>
              <w:rPr>
                <w:rFonts w:hAnsi="標楷體" w:cs="新細明體"/>
                <w:b/>
                <w:bCs/>
                <w:color w:val="000000" w:themeColor="text1"/>
                <w:kern w:val="0"/>
                <w:sz w:val="24"/>
                <w:szCs w:val="24"/>
              </w:rPr>
            </w:pPr>
          </w:p>
        </w:tc>
        <w:tc>
          <w:tcPr>
            <w:tcW w:w="3288" w:type="dxa"/>
            <w:tcBorders>
              <w:top w:val="nil"/>
              <w:left w:val="nil"/>
              <w:bottom w:val="single" w:sz="4" w:space="0" w:color="auto"/>
              <w:right w:val="double" w:sz="4" w:space="0" w:color="auto"/>
            </w:tcBorders>
            <w:shd w:val="clear" w:color="auto" w:fill="auto"/>
            <w:vAlign w:val="center"/>
            <w:hideMark/>
          </w:tcPr>
          <w:p w14:paraId="53AAECD5" w14:textId="77777777" w:rsidR="00861B14" w:rsidRPr="008B619A" w:rsidRDefault="00861B14" w:rsidP="00861B14">
            <w:pPr>
              <w:widowControl/>
              <w:rPr>
                <w:rFonts w:hAnsi="標楷體" w:cs="新細明體"/>
                <w:color w:val="000000" w:themeColor="text1"/>
                <w:kern w:val="0"/>
                <w:sz w:val="24"/>
                <w:szCs w:val="24"/>
              </w:rPr>
            </w:pPr>
            <w:r w:rsidRPr="008B619A">
              <w:rPr>
                <w:rFonts w:hAnsi="標楷體" w:cs="新細明體" w:hint="eastAsia"/>
                <w:color w:val="000000" w:themeColor="text1"/>
                <w:kern w:val="0"/>
                <w:sz w:val="24"/>
                <w:szCs w:val="24"/>
              </w:rPr>
              <w:t>企業管理學系</w:t>
            </w:r>
          </w:p>
        </w:tc>
        <w:tc>
          <w:tcPr>
            <w:tcW w:w="1248" w:type="dxa"/>
            <w:vMerge/>
            <w:tcBorders>
              <w:left w:val="double" w:sz="4" w:space="0" w:color="auto"/>
              <w:right w:val="single" w:sz="4" w:space="0" w:color="auto"/>
            </w:tcBorders>
            <w:vAlign w:val="center"/>
          </w:tcPr>
          <w:p w14:paraId="5387B67D" w14:textId="076EE3F5" w:rsidR="00861B14" w:rsidRPr="008B619A" w:rsidRDefault="00861B14" w:rsidP="00861B14">
            <w:pPr>
              <w:rPr>
                <w:rFonts w:hAnsi="標楷體" w:cs="新細明體"/>
                <w:color w:val="000000" w:themeColor="text1"/>
                <w:kern w:val="0"/>
                <w:sz w:val="24"/>
                <w:szCs w:val="24"/>
              </w:rPr>
            </w:pPr>
          </w:p>
        </w:tc>
        <w:tc>
          <w:tcPr>
            <w:tcW w:w="3169" w:type="dxa"/>
            <w:tcBorders>
              <w:top w:val="nil"/>
              <w:left w:val="nil"/>
              <w:bottom w:val="single" w:sz="4" w:space="0" w:color="auto"/>
              <w:right w:val="single" w:sz="4" w:space="0" w:color="auto"/>
            </w:tcBorders>
            <w:vAlign w:val="center"/>
          </w:tcPr>
          <w:p w14:paraId="1870B473" w14:textId="45CBA0CA" w:rsidR="00861B14" w:rsidRPr="008B619A" w:rsidRDefault="00861B14" w:rsidP="00861B14">
            <w:pPr>
              <w:widowControl/>
              <w:rPr>
                <w:rFonts w:hAnsi="標楷體" w:cs="新細明體"/>
                <w:color w:val="000000" w:themeColor="text1"/>
                <w:kern w:val="0"/>
                <w:sz w:val="24"/>
                <w:szCs w:val="24"/>
              </w:rPr>
            </w:pPr>
            <w:r w:rsidRPr="008B619A">
              <w:rPr>
                <w:rFonts w:hAnsi="標楷體" w:cs="新細明體" w:hint="eastAsia"/>
                <w:color w:val="000000" w:themeColor="text1"/>
                <w:kern w:val="0"/>
                <w:sz w:val="24"/>
                <w:szCs w:val="24"/>
              </w:rPr>
              <w:t>企業管理學系</w:t>
            </w:r>
          </w:p>
        </w:tc>
      </w:tr>
      <w:tr w:rsidR="00861B14" w:rsidRPr="008B619A" w14:paraId="2EE709E1" w14:textId="36C76DDA" w:rsidTr="00F33FE5">
        <w:trPr>
          <w:trHeight w:val="315"/>
        </w:trPr>
        <w:tc>
          <w:tcPr>
            <w:tcW w:w="1129" w:type="dxa"/>
            <w:vMerge/>
            <w:tcBorders>
              <w:left w:val="single" w:sz="4" w:space="0" w:color="auto"/>
              <w:right w:val="single" w:sz="4" w:space="0" w:color="auto"/>
            </w:tcBorders>
            <w:shd w:val="clear" w:color="auto" w:fill="FDE9D9" w:themeFill="accent6" w:themeFillTint="33"/>
            <w:vAlign w:val="center"/>
            <w:hideMark/>
          </w:tcPr>
          <w:p w14:paraId="190564FA" w14:textId="33BD44A7" w:rsidR="00861B14" w:rsidRPr="008B619A" w:rsidRDefault="00861B14" w:rsidP="00861B14">
            <w:pPr>
              <w:jc w:val="center"/>
              <w:rPr>
                <w:rFonts w:hAnsi="標楷體" w:cs="新細明體"/>
                <w:b/>
                <w:bCs/>
                <w:color w:val="000000" w:themeColor="text1"/>
                <w:kern w:val="0"/>
                <w:sz w:val="24"/>
                <w:szCs w:val="24"/>
              </w:rPr>
            </w:pPr>
          </w:p>
        </w:tc>
        <w:tc>
          <w:tcPr>
            <w:tcW w:w="3288" w:type="dxa"/>
            <w:tcBorders>
              <w:top w:val="nil"/>
              <w:left w:val="nil"/>
              <w:bottom w:val="single" w:sz="4" w:space="0" w:color="auto"/>
              <w:right w:val="double" w:sz="4" w:space="0" w:color="auto"/>
            </w:tcBorders>
            <w:shd w:val="clear" w:color="auto" w:fill="auto"/>
            <w:vAlign w:val="center"/>
            <w:hideMark/>
          </w:tcPr>
          <w:p w14:paraId="7EFF9AEA" w14:textId="77777777" w:rsidR="00861B14" w:rsidRPr="008B619A" w:rsidRDefault="00861B14" w:rsidP="00861B14">
            <w:pPr>
              <w:widowControl/>
              <w:rPr>
                <w:rFonts w:hAnsi="標楷體" w:cs="新細明體"/>
                <w:color w:val="000000" w:themeColor="text1"/>
                <w:kern w:val="0"/>
                <w:sz w:val="24"/>
                <w:szCs w:val="24"/>
              </w:rPr>
            </w:pPr>
            <w:r w:rsidRPr="008B619A">
              <w:rPr>
                <w:rFonts w:hAnsi="標楷體" w:cs="新細明體" w:hint="eastAsia"/>
                <w:color w:val="000000" w:themeColor="text1"/>
                <w:kern w:val="0"/>
                <w:sz w:val="24"/>
                <w:szCs w:val="24"/>
              </w:rPr>
              <w:t>國際經營管理研究所(IMBA)</w:t>
            </w:r>
          </w:p>
        </w:tc>
        <w:tc>
          <w:tcPr>
            <w:tcW w:w="1248" w:type="dxa"/>
            <w:vMerge/>
            <w:tcBorders>
              <w:left w:val="double" w:sz="4" w:space="0" w:color="auto"/>
              <w:right w:val="single" w:sz="4" w:space="0" w:color="auto"/>
            </w:tcBorders>
            <w:vAlign w:val="center"/>
          </w:tcPr>
          <w:p w14:paraId="1BCE2861" w14:textId="29FC4648" w:rsidR="00861B14" w:rsidRPr="008B619A" w:rsidRDefault="00861B14" w:rsidP="00861B14">
            <w:pPr>
              <w:rPr>
                <w:rFonts w:hAnsi="標楷體" w:cs="新細明體"/>
                <w:color w:val="000000" w:themeColor="text1"/>
                <w:kern w:val="0"/>
                <w:sz w:val="24"/>
                <w:szCs w:val="24"/>
              </w:rPr>
            </w:pPr>
          </w:p>
        </w:tc>
        <w:tc>
          <w:tcPr>
            <w:tcW w:w="3169" w:type="dxa"/>
            <w:tcBorders>
              <w:top w:val="nil"/>
              <w:left w:val="nil"/>
              <w:bottom w:val="single" w:sz="4" w:space="0" w:color="auto"/>
              <w:right w:val="single" w:sz="4" w:space="0" w:color="auto"/>
            </w:tcBorders>
            <w:vAlign w:val="center"/>
          </w:tcPr>
          <w:p w14:paraId="4EEFBF18" w14:textId="60ED2FCD" w:rsidR="00861B14" w:rsidRPr="008B619A" w:rsidRDefault="00861B14" w:rsidP="00861B14">
            <w:pPr>
              <w:widowControl/>
              <w:rPr>
                <w:rFonts w:hAnsi="標楷體" w:cs="新細明體"/>
                <w:color w:val="000000" w:themeColor="text1"/>
                <w:kern w:val="0"/>
                <w:sz w:val="24"/>
                <w:szCs w:val="24"/>
              </w:rPr>
            </w:pPr>
            <w:r w:rsidRPr="008B619A">
              <w:rPr>
                <w:rFonts w:hAnsi="標楷體" w:cs="新細明體" w:hint="eastAsia"/>
                <w:color w:val="000000" w:themeColor="text1"/>
                <w:kern w:val="0"/>
                <w:sz w:val="24"/>
                <w:szCs w:val="24"/>
              </w:rPr>
              <w:t>國際企業研究所</w:t>
            </w:r>
          </w:p>
        </w:tc>
      </w:tr>
      <w:tr w:rsidR="00861B14" w:rsidRPr="008B619A" w14:paraId="0E3C5DDB" w14:textId="5E82DBDA" w:rsidTr="00F33FE5">
        <w:trPr>
          <w:trHeight w:val="315"/>
        </w:trPr>
        <w:tc>
          <w:tcPr>
            <w:tcW w:w="1129" w:type="dxa"/>
            <w:vMerge/>
            <w:tcBorders>
              <w:left w:val="single" w:sz="4" w:space="0" w:color="auto"/>
              <w:right w:val="single" w:sz="4" w:space="0" w:color="auto"/>
            </w:tcBorders>
            <w:shd w:val="clear" w:color="auto" w:fill="FDE9D9" w:themeFill="accent6" w:themeFillTint="33"/>
            <w:vAlign w:val="center"/>
            <w:hideMark/>
          </w:tcPr>
          <w:p w14:paraId="7072D4C7" w14:textId="6AA7A6E3" w:rsidR="00861B14" w:rsidRPr="008B619A" w:rsidRDefault="00861B14" w:rsidP="00861B14">
            <w:pPr>
              <w:jc w:val="center"/>
              <w:rPr>
                <w:rFonts w:hAnsi="標楷體" w:cs="新細明體"/>
                <w:b/>
                <w:bCs/>
                <w:color w:val="000000" w:themeColor="text1"/>
                <w:kern w:val="0"/>
                <w:sz w:val="24"/>
                <w:szCs w:val="24"/>
              </w:rPr>
            </w:pPr>
          </w:p>
        </w:tc>
        <w:tc>
          <w:tcPr>
            <w:tcW w:w="3288" w:type="dxa"/>
            <w:tcBorders>
              <w:top w:val="nil"/>
              <w:left w:val="nil"/>
              <w:bottom w:val="single" w:sz="4" w:space="0" w:color="auto"/>
              <w:right w:val="double" w:sz="4" w:space="0" w:color="auto"/>
            </w:tcBorders>
            <w:shd w:val="clear" w:color="auto" w:fill="auto"/>
            <w:vAlign w:val="center"/>
            <w:hideMark/>
          </w:tcPr>
          <w:p w14:paraId="0059C08C" w14:textId="77777777" w:rsidR="00861B14" w:rsidRPr="008B619A" w:rsidRDefault="00861B14" w:rsidP="00861B14">
            <w:pPr>
              <w:widowControl/>
              <w:rPr>
                <w:rFonts w:hAnsi="標楷體" w:cs="新細明體"/>
                <w:color w:val="000000" w:themeColor="text1"/>
                <w:kern w:val="0"/>
                <w:sz w:val="24"/>
                <w:szCs w:val="24"/>
              </w:rPr>
            </w:pPr>
            <w:r w:rsidRPr="008B619A">
              <w:rPr>
                <w:rFonts w:hAnsi="標楷體" w:cs="新細明體" w:hint="eastAsia"/>
                <w:color w:val="000000" w:themeColor="text1"/>
                <w:kern w:val="0"/>
                <w:sz w:val="24"/>
                <w:szCs w:val="24"/>
              </w:rPr>
              <w:t>材料科學及工程學系奈微科技博士班</w:t>
            </w:r>
          </w:p>
        </w:tc>
        <w:tc>
          <w:tcPr>
            <w:tcW w:w="1248" w:type="dxa"/>
            <w:vMerge/>
            <w:tcBorders>
              <w:left w:val="double" w:sz="4" w:space="0" w:color="auto"/>
              <w:right w:val="single" w:sz="4" w:space="0" w:color="auto"/>
            </w:tcBorders>
            <w:vAlign w:val="center"/>
          </w:tcPr>
          <w:p w14:paraId="5D3915C2" w14:textId="553166E2" w:rsidR="00861B14" w:rsidRPr="008B619A" w:rsidRDefault="00861B14" w:rsidP="00861B14">
            <w:pPr>
              <w:rPr>
                <w:rFonts w:hAnsi="標楷體" w:cs="新細明體"/>
                <w:color w:val="000000" w:themeColor="text1"/>
                <w:kern w:val="0"/>
                <w:sz w:val="24"/>
                <w:szCs w:val="24"/>
              </w:rPr>
            </w:pPr>
          </w:p>
        </w:tc>
        <w:tc>
          <w:tcPr>
            <w:tcW w:w="3169" w:type="dxa"/>
            <w:tcBorders>
              <w:top w:val="nil"/>
              <w:left w:val="nil"/>
              <w:bottom w:val="single" w:sz="4" w:space="0" w:color="auto"/>
              <w:right w:val="single" w:sz="4" w:space="0" w:color="auto"/>
            </w:tcBorders>
            <w:vAlign w:val="center"/>
          </w:tcPr>
          <w:p w14:paraId="72048BF7" w14:textId="3C2635F6" w:rsidR="00861B14" w:rsidRPr="008B619A" w:rsidRDefault="00861B14" w:rsidP="00861B14">
            <w:pPr>
              <w:widowControl/>
              <w:rPr>
                <w:rFonts w:hAnsi="標楷體" w:cs="新細明體"/>
                <w:color w:val="000000" w:themeColor="text1"/>
                <w:kern w:val="0"/>
                <w:sz w:val="24"/>
                <w:szCs w:val="24"/>
              </w:rPr>
            </w:pPr>
            <w:r w:rsidRPr="008B619A">
              <w:rPr>
                <w:rFonts w:hAnsi="標楷體" w:cs="新細明體" w:hint="eastAsia"/>
                <w:color w:val="000000" w:themeColor="text1"/>
                <w:kern w:val="0"/>
                <w:sz w:val="24"/>
                <w:szCs w:val="24"/>
              </w:rPr>
              <w:t>太空與電漿科學研究所</w:t>
            </w:r>
          </w:p>
        </w:tc>
      </w:tr>
      <w:tr w:rsidR="00861B14" w:rsidRPr="008B619A" w14:paraId="7902D5E3" w14:textId="337A706D" w:rsidTr="00F33FE5">
        <w:trPr>
          <w:trHeight w:val="315"/>
        </w:trPr>
        <w:tc>
          <w:tcPr>
            <w:tcW w:w="1129" w:type="dxa"/>
            <w:vMerge/>
            <w:tcBorders>
              <w:left w:val="single" w:sz="4" w:space="0" w:color="auto"/>
              <w:right w:val="single" w:sz="4" w:space="0" w:color="auto"/>
            </w:tcBorders>
            <w:shd w:val="clear" w:color="auto" w:fill="FDE9D9" w:themeFill="accent6" w:themeFillTint="33"/>
            <w:vAlign w:val="center"/>
            <w:hideMark/>
          </w:tcPr>
          <w:p w14:paraId="3CE9475E" w14:textId="3A2F5234" w:rsidR="00861B14" w:rsidRPr="008B619A" w:rsidRDefault="00861B14" w:rsidP="00861B14">
            <w:pPr>
              <w:jc w:val="center"/>
              <w:rPr>
                <w:rFonts w:hAnsi="標楷體" w:cs="新細明體"/>
                <w:b/>
                <w:bCs/>
                <w:color w:val="000000" w:themeColor="text1"/>
                <w:kern w:val="0"/>
                <w:sz w:val="24"/>
                <w:szCs w:val="24"/>
              </w:rPr>
            </w:pPr>
          </w:p>
        </w:tc>
        <w:tc>
          <w:tcPr>
            <w:tcW w:w="3288" w:type="dxa"/>
            <w:tcBorders>
              <w:top w:val="nil"/>
              <w:left w:val="nil"/>
              <w:bottom w:val="single" w:sz="4" w:space="0" w:color="auto"/>
              <w:right w:val="double" w:sz="4" w:space="0" w:color="auto"/>
            </w:tcBorders>
            <w:shd w:val="clear" w:color="auto" w:fill="auto"/>
            <w:vAlign w:val="center"/>
            <w:hideMark/>
          </w:tcPr>
          <w:p w14:paraId="5C63BAD1" w14:textId="77777777" w:rsidR="00861B14" w:rsidRPr="008B619A" w:rsidRDefault="00861B14" w:rsidP="00861B14">
            <w:pPr>
              <w:widowControl/>
              <w:rPr>
                <w:rFonts w:hAnsi="標楷體" w:cs="新細明體"/>
                <w:color w:val="000000" w:themeColor="text1"/>
                <w:kern w:val="0"/>
                <w:sz w:val="24"/>
                <w:szCs w:val="24"/>
              </w:rPr>
            </w:pPr>
            <w:r w:rsidRPr="008B619A">
              <w:rPr>
                <w:rFonts w:hAnsi="標楷體" w:cs="新細明體" w:hint="eastAsia"/>
                <w:color w:val="000000" w:themeColor="text1"/>
                <w:kern w:val="0"/>
                <w:sz w:val="24"/>
                <w:szCs w:val="24"/>
              </w:rPr>
              <w:t>能源工程國際博士學位學程</w:t>
            </w:r>
          </w:p>
        </w:tc>
        <w:tc>
          <w:tcPr>
            <w:tcW w:w="1248" w:type="dxa"/>
            <w:vMerge/>
            <w:tcBorders>
              <w:left w:val="double" w:sz="4" w:space="0" w:color="auto"/>
              <w:right w:val="single" w:sz="4" w:space="0" w:color="auto"/>
            </w:tcBorders>
            <w:vAlign w:val="center"/>
          </w:tcPr>
          <w:p w14:paraId="7B37DC70" w14:textId="4940B87C" w:rsidR="00861B14" w:rsidRPr="008B619A" w:rsidRDefault="00861B14" w:rsidP="00861B14">
            <w:pPr>
              <w:rPr>
                <w:rFonts w:hAnsi="標楷體" w:cs="新細明體"/>
                <w:color w:val="000000" w:themeColor="text1"/>
                <w:kern w:val="0"/>
                <w:sz w:val="24"/>
                <w:szCs w:val="24"/>
              </w:rPr>
            </w:pPr>
          </w:p>
        </w:tc>
        <w:tc>
          <w:tcPr>
            <w:tcW w:w="3169" w:type="dxa"/>
            <w:tcBorders>
              <w:top w:val="nil"/>
              <w:left w:val="nil"/>
              <w:bottom w:val="single" w:sz="4" w:space="0" w:color="auto"/>
              <w:right w:val="single" w:sz="4" w:space="0" w:color="auto"/>
            </w:tcBorders>
            <w:vAlign w:val="center"/>
          </w:tcPr>
          <w:p w14:paraId="2910A289" w14:textId="591B27A8" w:rsidR="00861B14" w:rsidRPr="008B619A" w:rsidRDefault="00861B14" w:rsidP="00861B14">
            <w:pPr>
              <w:widowControl/>
              <w:rPr>
                <w:rFonts w:hAnsi="標楷體" w:cs="新細明體"/>
                <w:color w:val="000000" w:themeColor="text1"/>
                <w:kern w:val="0"/>
                <w:sz w:val="24"/>
                <w:szCs w:val="24"/>
              </w:rPr>
            </w:pPr>
            <w:r w:rsidRPr="008B619A">
              <w:rPr>
                <w:rFonts w:hAnsi="標楷體" w:cs="新細明體" w:hint="eastAsia"/>
                <w:color w:val="000000" w:themeColor="text1"/>
                <w:kern w:val="0"/>
                <w:sz w:val="24"/>
                <w:szCs w:val="24"/>
              </w:rPr>
              <w:t>奈米積體電路工程博士學位學程</w:t>
            </w:r>
          </w:p>
        </w:tc>
      </w:tr>
      <w:tr w:rsidR="00861B14" w:rsidRPr="008B619A" w14:paraId="1604F1CC" w14:textId="7E382055" w:rsidTr="00F33FE5">
        <w:trPr>
          <w:trHeight w:val="315"/>
        </w:trPr>
        <w:tc>
          <w:tcPr>
            <w:tcW w:w="1129" w:type="dxa"/>
            <w:vMerge/>
            <w:tcBorders>
              <w:left w:val="single" w:sz="4" w:space="0" w:color="auto"/>
              <w:right w:val="single" w:sz="4" w:space="0" w:color="auto"/>
            </w:tcBorders>
            <w:shd w:val="clear" w:color="auto" w:fill="FDE9D9" w:themeFill="accent6" w:themeFillTint="33"/>
            <w:vAlign w:val="center"/>
            <w:hideMark/>
          </w:tcPr>
          <w:p w14:paraId="7CD4703B" w14:textId="2FF71E1F" w:rsidR="00861B14" w:rsidRPr="008B619A" w:rsidRDefault="00861B14" w:rsidP="00861B14">
            <w:pPr>
              <w:jc w:val="center"/>
              <w:rPr>
                <w:rFonts w:hAnsi="標楷體" w:cs="新細明體"/>
                <w:b/>
                <w:bCs/>
                <w:color w:val="000000" w:themeColor="text1"/>
                <w:kern w:val="0"/>
                <w:sz w:val="24"/>
                <w:szCs w:val="24"/>
              </w:rPr>
            </w:pPr>
          </w:p>
        </w:tc>
        <w:tc>
          <w:tcPr>
            <w:tcW w:w="3288" w:type="dxa"/>
            <w:tcBorders>
              <w:top w:val="nil"/>
              <w:left w:val="nil"/>
              <w:bottom w:val="single" w:sz="4" w:space="0" w:color="auto"/>
              <w:right w:val="double" w:sz="4" w:space="0" w:color="auto"/>
            </w:tcBorders>
            <w:shd w:val="clear" w:color="auto" w:fill="auto"/>
            <w:vAlign w:val="center"/>
            <w:hideMark/>
          </w:tcPr>
          <w:p w14:paraId="7CE2708E" w14:textId="77777777" w:rsidR="00861B14" w:rsidRPr="008B619A" w:rsidRDefault="00861B14" w:rsidP="00861B14">
            <w:pPr>
              <w:widowControl/>
              <w:rPr>
                <w:rFonts w:hAnsi="標楷體" w:cs="新細明體"/>
                <w:color w:val="000000" w:themeColor="text1"/>
                <w:kern w:val="0"/>
                <w:sz w:val="24"/>
                <w:szCs w:val="24"/>
              </w:rPr>
            </w:pPr>
            <w:r w:rsidRPr="008B619A">
              <w:rPr>
                <w:rFonts w:hAnsi="標楷體" w:cs="新細明體" w:hint="eastAsia"/>
                <w:color w:val="000000" w:themeColor="text1"/>
                <w:kern w:val="0"/>
                <w:sz w:val="24"/>
                <w:szCs w:val="24"/>
              </w:rPr>
              <w:t>微生物暨公共衛生學研究所</w:t>
            </w:r>
          </w:p>
        </w:tc>
        <w:tc>
          <w:tcPr>
            <w:tcW w:w="1248" w:type="dxa"/>
            <w:vMerge/>
            <w:tcBorders>
              <w:left w:val="double" w:sz="4" w:space="0" w:color="auto"/>
              <w:right w:val="single" w:sz="4" w:space="0" w:color="auto"/>
            </w:tcBorders>
            <w:vAlign w:val="center"/>
          </w:tcPr>
          <w:p w14:paraId="4A3D506B" w14:textId="4F8796A1" w:rsidR="00861B14" w:rsidRPr="008B619A" w:rsidRDefault="00861B14" w:rsidP="00861B14">
            <w:pPr>
              <w:rPr>
                <w:rFonts w:hAnsi="標楷體" w:cs="新細明體"/>
                <w:color w:val="000000" w:themeColor="text1"/>
                <w:kern w:val="0"/>
                <w:sz w:val="24"/>
                <w:szCs w:val="24"/>
              </w:rPr>
            </w:pPr>
          </w:p>
        </w:tc>
        <w:tc>
          <w:tcPr>
            <w:tcW w:w="3169" w:type="dxa"/>
            <w:tcBorders>
              <w:top w:val="nil"/>
              <w:left w:val="nil"/>
              <w:bottom w:val="single" w:sz="4" w:space="0" w:color="auto"/>
              <w:right w:val="single" w:sz="4" w:space="0" w:color="auto"/>
            </w:tcBorders>
            <w:vAlign w:val="center"/>
          </w:tcPr>
          <w:p w14:paraId="2D42F64F" w14:textId="37E52AD9" w:rsidR="00861B14" w:rsidRPr="008B619A" w:rsidRDefault="00861B14" w:rsidP="00861B14">
            <w:pPr>
              <w:widowControl/>
              <w:rPr>
                <w:rFonts w:hAnsi="標楷體" w:cs="新細明體"/>
                <w:color w:val="000000" w:themeColor="text1"/>
                <w:kern w:val="0"/>
                <w:sz w:val="24"/>
                <w:szCs w:val="24"/>
              </w:rPr>
            </w:pPr>
            <w:r w:rsidRPr="008B619A">
              <w:rPr>
                <w:rFonts w:hAnsi="標楷體" w:cs="新細明體" w:hint="eastAsia"/>
                <w:color w:val="000000" w:themeColor="text1"/>
                <w:kern w:val="0"/>
                <w:sz w:val="24"/>
                <w:szCs w:val="24"/>
              </w:rPr>
              <w:t>轉譯農業科學博士學位學程</w:t>
            </w:r>
          </w:p>
        </w:tc>
      </w:tr>
      <w:tr w:rsidR="00861B14" w:rsidRPr="008B619A" w14:paraId="3FC73C37" w14:textId="7CEFFB94" w:rsidTr="00F33FE5">
        <w:trPr>
          <w:trHeight w:val="315"/>
        </w:trPr>
        <w:tc>
          <w:tcPr>
            <w:tcW w:w="1129" w:type="dxa"/>
            <w:vMerge/>
            <w:tcBorders>
              <w:left w:val="single" w:sz="4" w:space="0" w:color="auto"/>
              <w:right w:val="single" w:sz="4" w:space="0" w:color="auto"/>
            </w:tcBorders>
            <w:shd w:val="clear" w:color="auto" w:fill="FDE9D9" w:themeFill="accent6" w:themeFillTint="33"/>
            <w:vAlign w:val="center"/>
            <w:hideMark/>
          </w:tcPr>
          <w:p w14:paraId="56BCDC79" w14:textId="79B13972" w:rsidR="00861B14" w:rsidRPr="008B619A" w:rsidRDefault="00861B14" w:rsidP="00861B14">
            <w:pPr>
              <w:jc w:val="center"/>
              <w:rPr>
                <w:rFonts w:hAnsi="標楷體" w:cs="新細明體"/>
                <w:b/>
                <w:bCs/>
                <w:color w:val="000000" w:themeColor="text1"/>
                <w:kern w:val="0"/>
                <w:sz w:val="24"/>
                <w:szCs w:val="24"/>
              </w:rPr>
            </w:pPr>
          </w:p>
        </w:tc>
        <w:tc>
          <w:tcPr>
            <w:tcW w:w="3288" w:type="dxa"/>
            <w:tcBorders>
              <w:top w:val="nil"/>
              <w:left w:val="nil"/>
              <w:bottom w:val="single" w:sz="4" w:space="0" w:color="auto"/>
              <w:right w:val="double" w:sz="4" w:space="0" w:color="auto"/>
            </w:tcBorders>
            <w:shd w:val="clear" w:color="auto" w:fill="auto"/>
            <w:vAlign w:val="center"/>
            <w:hideMark/>
          </w:tcPr>
          <w:p w14:paraId="26630518" w14:textId="77777777" w:rsidR="00861B14" w:rsidRPr="008B619A" w:rsidRDefault="00861B14" w:rsidP="00861B14">
            <w:pPr>
              <w:widowControl/>
              <w:rPr>
                <w:rFonts w:hAnsi="標楷體" w:cs="新細明體"/>
                <w:color w:val="000000" w:themeColor="text1"/>
                <w:kern w:val="0"/>
                <w:sz w:val="24"/>
                <w:szCs w:val="24"/>
              </w:rPr>
            </w:pPr>
            <w:r w:rsidRPr="008B619A">
              <w:rPr>
                <w:rFonts w:hAnsi="標楷體" w:cs="新細明體" w:hint="eastAsia"/>
                <w:color w:val="000000" w:themeColor="text1"/>
                <w:kern w:val="0"/>
                <w:sz w:val="24"/>
                <w:szCs w:val="24"/>
              </w:rPr>
              <w:t>材料科學與工程學系奈米科技博士班</w:t>
            </w:r>
          </w:p>
        </w:tc>
        <w:tc>
          <w:tcPr>
            <w:tcW w:w="1248" w:type="dxa"/>
            <w:vMerge/>
            <w:tcBorders>
              <w:left w:val="double" w:sz="4" w:space="0" w:color="auto"/>
              <w:right w:val="single" w:sz="4" w:space="0" w:color="auto"/>
            </w:tcBorders>
            <w:vAlign w:val="center"/>
          </w:tcPr>
          <w:p w14:paraId="1D935687" w14:textId="0C3F5999" w:rsidR="00861B14" w:rsidRPr="008B619A" w:rsidRDefault="00861B14" w:rsidP="00861B14">
            <w:pPr>
              <w:rPr>
                <w:rFonts w:hAnsi="標楷體" w:cs="新細明體"/>
                <w:color w:val="000000" w:themeColor="text1"/>
                <w:kern w:val="0"/>
                <w:sz w:val="24"/>
                <w:szCs w:val="24"/>
              </w:rPr>
            </w:pPr>
          </w:p>
        </w:tc>
        <w:tc>
          <w:tcPr>
            <w:tcW w:w="3169" w:type="dxa"/>
            <w:tcBorders>
              <w:top w:val="nil"/>
              <w:left w:val="nil"/>
              <w:bottom w:val="single" w:sz="4" w:space="0" w:color="auto"/>
              <w:right w:val="single" w:sz="4" w:space="0" w:color="auto"/>
            </w:tcBorders>
            <w:vAlign w:val="center"/>
          </w:tcPr>
          <w:p w14:paraId="386B32F7" w14:textId="1F43B223" w:rsidR="00861B14" w:rsidRPr="008B619A" w:rsidRDefault="00861B14" w:rsidP="00861B14">
            <w:pPr>
              <w:widowControl/>
              <w:rPr>
                <w:rFonts w:hAnsi="標楷體" w:cs="新細明體"/>
                <w:color w:val="000000" w:themeColor="text1"/>
                <w:kern w:val="0"/>
                <w:sz w:val="24"/>
                <w:szCs w:val="24"/>
              </w:rPr>
            </w:pPr>
            <w:r w:rsidRPr="008B619A">
              <w:rPr>
                <w:rFonts w:hAnsi="標楷體" w:cs="新細明體" w:hint="eastAsia"/>
                <w:color w:val="000000" w:themeColor="text1"/>
                <w:kern w:val="0"/>
                <w:sz w:val="24"/>
                <w:szCs w:val="24"/>
              </w:rPr>
              <w:t>農藝學系</w:t>
            </w:r>
          </w:p>
        </w:tc>
      </w:tr>
      <w:tr w:rsidR="00861B14" w:rsidRPr="008B619A" w14:paraId="617F9185" w14:textId="038EF0DF" w:rsidTr="00F33FE5">
        <w:trPr>
          <w:trHeight w:val="315"/>
        </w:trPr>
        <w:tc>
          <w:tcPr>
            <w:tcW w:w="1129" w:type="dxa"/>
            <w:vMerge/>
            <w:tcBorders>
              <w:left w:val="single" w:sz="4" w:space="0" w:color="auto"/>
              <w:right w:val="single" w:sz="4" w:space="0" w:color="auto"/>
            </w:tcBorders>
            <w:shd w:val="clear" w:color="auto" w:fill="FDE9D9" w:themeFill="accent6" w:themeFillTint="33"/>
            <w:vAlign w:val="center"/>
            <w:hideMark/>
          </w:tcPr>
          <w:p w14:paraId="595DE34B" w14:textId="27F19161" w:rsidR="00861B14" w:rsidRPr="008B619A" w:rsidRDefault="00861B14" w:rsidP="00861B14">
            <w:pPr>
              <w:jc w:val="center"/>
              <w:rPr>
                <w:rFonts w:hAnsi="標楷體" w:cs="新細明體"/>
                <w:b/>
                <w:bCs/>
                <w:color w:val="000000" w:themeColor="text1"/>
                <w:kern w:val="0"/>
                <w:sz w:val="24"/>
                <w:szCs w:val="24"/>
              </w:rPr>
            </w:pPr>
          </w:p>
        </w:tc>
        <w:tc>
          <w:tcPr>
            <w:tcW w:w="3288" w:type="dxa"/>
            <w:tcBorders>
              <w:top w:val="nil"/>
              <w:left w:val="nil"/>
              <w:bottom w:val="single" w:sz="4" w:space="0" w:color="auto"/>
              <w:right w:val="double" w:sz="4" w:space="0" w:color="auto"/>
            </w:tcBorders>
            <w:shd w:val="clear" w:color="auto" w:fill="auto"/>
            <w:vAlign w:val="center"/>
            <w:hideMark/>
          </w:tcPr>
          <w:p w14:paraId="01E5A1DF" w14:textId="77777777" w:rsidR="00861B14" w:rsidRPr="008B619A" w:rsidRDefault="00861B14" w:rsidP="00861B14">
            <w:pPr>
              <w:widowControl/>
              <w:rPr>
                <w:rFonts w:hAnsi="標楷體" w:cs="新細明體"/>
                <w:color w:val="000000" w:themeColor="text1"/>
                <w:kern w:val="0"/>
                <w:sz w:val="24"/>
                <w:szCs w:val="24"/>
              </w:rPr>
            </w:pPr>
            <w:r w:rsidRPr="008B619A">
              <w:rPr>
                <w:rFonts w:hAnsi="標楷體" w:cs="新細明體" w:hint="eastAsia"/>
                <w:color w:val="000000" w:themeColor="text1"/>
                <w:kern w:val="0"/>
                <w:sz w:val="24"/>
                <w:szCs w:val="24"/>
              </w:rPr>
              <w:t>經濟學系</w:t>
            </w:r>
          </w:p>
        </w:tc>
        <w:tc>
          <w:tcPr>
            <w:tcW w:w="1248" w:type="dxa"/>
            <w:vMerge/>
            <w:tcBorders>
              <w:left w:val="double" w:sz="4" w:space="0" w:color="auto"/>
              <w:right w:val="single" w:sz="4" w:space="0" w:color="auto"/>
            </w:tcBorders>
            <w:vAlign w:val="center"/>
          </w:tcPr>
          <w:p w14:paraId="1DBB44E6" w14:textId="5DABD030" w:rsidR="00861B14" w:rsidRPr="008B619A" w:rsidRDefault="00861B14" w:rsidP="00861B14">
            <w:pPr>
              <w:rPr>
                <w:rFonts w:hAnsi="標楷體" w:cs="新細明體"/>
                <w:color w:val="000000" w:themeColor="text1"/>
                <w:kern w:val="0"/>
                <w:sz w:val="24"/>
                <w:szCs w:val="24"/>
              </w:rPr>
            </w:pPr>
          </w:p>
        </w:tc>
        <w:tc>
          <w:tcPr>
            <w:tcW w:w="3169" w:type="dxa"/>
            <w:tcBorders>
              <w:top w:val="nil"/>
              <w:left w:val="nil"/>
              <w:bottom w:val="single" w:sz="4" w:space="0" w:color="auto"/>
              <w:right w:val="single" w:sz="4" w:space="0" w:color="auto"/>
            </w:tcBorders>
            <w:vAlign w:val="center"/>
          </w:tcPr>
          <w:p w14:paraId="344EF3A3" w14:textId="70634678" w:rsidR="00861B14" w:rsidRPr="008B619A" w:rsidRDefault="00861B14" w:rsidP="00861B14">
            <w:pPr>
              <w:widowControl/>
              <w:rPr>
                <w:rFonts w:hAnsi="標楷體" w:cs="新細明體"/>
                <w:color w:val="000000" w:themeColor="text1"/>
                <w:kern w:val="0"/>
                <w:sz w:val="24"/>
                <w:szCs w:val="24"/>
              </w:rPr>
            </w:pPr>
            <w:r w:rsidRPr="008B619A">
              <w:rPr>
                <w:rFonts w:hAnsi="標楷體" w:cs="新細明體" w:hint="eastAsia"/>
                <w:color w:val="000000" w:themeColor="text1"/>
                <w:kern w:val="0"/>
                <w:sz w:val="24"/>
                <w:szCs w:val="24"/>
              </w:rPr>
              <w:t>獸醫病理生物學研究所</w:t>
            </w:r>
          </w:p>
        </w:tc>
      </w:tr>
      <w:tr w:rsidR="00861B14" w:rsidRPr="008B619A" w14:paraId="3FF8BA72" w14:textId="53E58403" w:rsidTr="00F33FE5">
        <w:trPr>
          <w:trHeight w:val="315"/>
        </w:trPr>
        <w:tc>
          <w:tcPr>
            <w:tcW w:w="1129" w:type="dxa"/>
            <w:vMerge/>
            <w:tcBorders>
              <w:left w:val="single" w:sz="4" w:space="0" w:color="auto"/>
              <w:right w:val="single" w:sz="4" w:space="0" w:color="auto"/>
            </w:tcBorders>
            <w:shd w:val="clear" w:color="auto" w:fill="FDE9D9" w:themeFill="accent6" w:themeFillTint="33"/>
            <w:vAlign w:val="center"/>
            <w:hideMark/>
          </w:tcPr>
          <w:p w14:paraId="75FE8D48" w14:textId="7A1159D6" w:rsidR="00861B14" w:rsidRPr="008B619A" w:rsidRDefault="00861B14" w:rsidP="00861B14">
            <w:pPr>
              <w:jc w:val="center"/>
              <w:rPr>
                <w:rFonts w:hAnsi="標楷體" w:cs="新細明體"/>
                <w:b/>
                <w:bCs/>
                <w:color w:val="000000" w:themeColor="text1"/>
                <w:kern w:val="0"/>
                <w:sz w:val="24"/>
                <w:szCs w:val="24"/>
              </w:rPr>
            </w:pPr>
          </w:p>
        </w:tc>
        <w:tc>
          <w:tcPr>
            <w:tcW w:w="3288" w:type="dxa"/>
            <w:tcBorders>
              <w:top w:val="nil"/>
              <w:left w:val="nil"/>
              <w:bottom w:val="single" w:sz="4" w:space="0" w:color="auto"/>
              <w:right w:val="double" w:sz="4" w:space="0" w:color="auto"/>
            </w:tcBorders>
            <w:shd w:val="clear" w:color="auto" w:fill="auto"/>
            <w:vAlign w:val="center"/>
            <w:hideMark/>
          </w:tcPr>
          <w:p w14:paraId="417EFE90" w14:textId="77777777" w:rsidR="00861B14" w:rsidRPr="008B619A" w:rsidRDefault="00861B14" w:rsidP="00861B14">
            <w:pPr>
              <w:widowControl/>
              <w:rPr>
                <w:rFonts w:hAnsi="標楷體" w:cs="新細明體"/>
                <w:color w:val="000000" w:themeColor="text1"/>
                <w:kern w:val="0"/>
                <w:sz w:val="24"/>
                <w:szCs w:val="24"/>
              </w:rPr>
            </w:pPr>
            <w:r w:rsidRPr="008B619A">
              <w:rPr>
                <w:rFonts w:hAnsi="標楷體" w:cs="新細明體" w:hint="eastAsia"/>
                <w:color w:val="000000" w:themeColor="text1"/>
                <w:kern w:val="0"/>
                <w:sz w:val="24"/>
                <w:szCs w:val="24"/>
              </w:rPr>
              <w:t>產業經濟研究所</w:t>
            </w:r>
          </w:p>
        </w:tc>
        <w:tc>
          <w:tcPr>
            <w:tcW w:w="1248" w:type="dxa"/>
            <w:vMerge/>
            <w:tcBorders>
              <w:left w:val="double" w:sz="4" w:space="0" w:color="auto"/>
              <w:right w:val="single" w:sz="4" w:space="0" w:color="auto"/>
            </w:tcBorders>
            <w:vAlign w:val="center"/>
          </w:tcPr>
          <w:p w14:paraId="27065217" w14:textId="03A4E300" w:rsidR="00861B14" w:rsidRPr="008B619A" w:rsidRDefault="00861B14" w:rsidP="00861B14">
            <w:pPr>
              <w:rPr>
                <w:rFonts w:hAnsi="標楷體" w:cs="新細明體"/>
                <w:color w:val="000000" w:themeColor="text1"/>
                <w:kern w:val="0"/>
                <w:sz w:val="24"/>
                <w:szCs w:val="24"/>
              </w:rPr>
            </w:pPr>
          </w:p>
        </w:tc>
        <w:tc>
          <w:tcPr>
            <w:tcW w:w="3169" w:type="dxa"/>
            <w:tcBorders>
              <w:top w:val="nil"/>
              <w:left w:val="nil"/>
              <w:bottom w:val="single" w:sz="4" w:space="0" w:color="auto"/>
              <w:right w:val="single" w:sz="4" w:space="0" w:color="auto"/>
            </w:tcBorders>
            <w:vAlign w:val="center"/>
          </w:tcPr>
          <w:p w14:paraId="3887FE85" w14:textId="4E96FF15" w:rsidR="00861B14" w:rsidRPr="008B619A" w:rsidRDefault="00861B14" w:rsidP="00861B14">
            <w:pPr>
              <w:widowControl/>
              <w:rPr>
                <w:rFonts w:hAnsi="標楷體" w:cs="新細明體"/>
                <w:color w:val="000000" w:themeColor="text1"/>
                <w:kern w:val="0"/>
                <w:sz w:val="24"/>
                <w:szCs w:val="24"/>
              </w:rPr>
            </w:pPr>
            <w:r w:rsidRPr="008B619A">
              <w:rPr>
                <w:rFonts w:hAnsi="標楷體" w:cs="新細明體" w:hint="eastAsia"/>
                <w:color w:val="000000" w:themeColor="text1"/>
                <w:kern w:val="0"/>
                <w:sz w:val="24"/>
                <w:szCs w:val="24"/>
              </w:rPr>
              <w:t>跨領域神經科學博士學位學程(台灣聯合大學系統)</w:t>
            </w:r>
          </w:p>
        </w:tc>
      </w:tr>
      <w:tr w:rsidR="00861B14" w:rsidRPr="008B619A" w14:paraId="47F68965" w14:textId="543BF6B4" w:rsidTr="00F33FE5">
        <w:trPr>
          <w:trHeight w:val="315"/>
        </w:trPr>
        <w:tc>
          <w:tcPr>
            <w:tcW w:w="1129" w:type="dxa"/>
            <w:vMerge/>
            <w:tcBorders>
              <w:left w:val="single" w:sz="4" w:space="0" w:color="auto"/>
              <w:right w:val="single" w:sz="4" w:space="0" w:color="auto"/>
            </w:tcBorders>
            <w:shd w:val="clear" w:color="auto" w:fill="FDE9D9" w:themeFill="accent6" w:themeFillTint="33"/>
            <w:vAlign w:val="center"/>
            <w:hideMark/>
          </w:tcPr>
          <w:p w14:paraId="441582FA" w14:textId="59FFF283" w:rsidR="00861B14" w:rsidRPr="008B619A" w:rsidRDefault="00861B14" w:rsidP="00861B14">
            <w:pPr>
              <w:jc w:val="center"/>
              <w:rPr>
                <w:rFonts w:hAnsi="標楷體" w:cs="新細明體"/>
                <w:b/>
                <w:bCs/>
                <w:color w:val="000000" w:themeColor="text1"/>
                <w:kern w:val="0"/>
                <w:sz w:val="24"/>
                <w:szCs w:val="24"/>
              </w:rPr>
            </w:pPr>
          </w:p>
        </w:tc>
        <w:tc>
          <w:tcPr>
            <w:tcW w:w="3288" w:type="dxa"/>
            <w:tcBorders>
              <w:top w:val="nil"/>
              <w:left w:val="nil"/>
              <w:bottom w:val="single" w:sz="4" w:space="0" w:color="auto"/>
              <w:right w:val="double" w:sz="4" w:space="0" w:color="auto"/>
            </w:tcBorders>
            <w:shd w:val="clear" w:color="auto" w:fill="auto"/>
            <w:vAlign w:val="center"/>
            <w:hideMark/>
          </w:tcPr>
          <w:p w14:paraId="084E8950" w14:textId="77777777" w:rsidR="00861B14" w:rsidRPr="008B619A" w:rsidRDefault="00861B14" w:rsidP="00861B14">
            <w:pPr>
              <w:widowControl/>
              <w:rPr>
                <w:rFonts w:hAnsi="標楷體" w:cs="新細明體"/>
                <w:color w:val="000000" w:themeColor="text1"/>
                <w:kern w:val="0"/>
                <w:sz w:val="24"/>
                <w:szCs w:val="24"/>
              </w:rPr>
            </w:pPr>
            <w:r w:rsidRPr="008B619A">
              <w:rPr>
                <w:rFonts w:hAnsi="標楷體" w:cs="新細明體" w:hint="eastAsia"/>
                <w:color w:val="000000" w:themeColor="text1"/>
                <w:kern w:val="0"/>
                <w:sz w:val="24"/>
                <w:szCs w:val="24"/>
              </w:rPr>
              <w:t>財務金融學系</w:t>
            </w:r>
          </w:p>
        </w:tc>
        <w:tc>
          <w:tcPr>
            <w:tcW w:w="1248" w:type="dxa"/>
            <w:vMerge/>
            <w:tcBorders>
              <w:left w:val="double" w:sz="4" w:space="0" w:color="auto"/>
              <w:right w:val="single" w:sz="4" w:space="0" w:color="auto"/>
            </w:tcBorders>
            <w:vAlign w:val="center"/>
          </w:tcPr>
          <w:p w14:paraId="1B742EAF" w14:textId="74336E53" w:rsidR="00861B14" w:rsidRPr="008B619A" w:rsidRDefault="00861B14" w:rsidP="00861B14">
            <w:pPr>
              <w:rPr>
                <w:rFonts w:hAnsi="標楷體" w:cs="新細明體"/>
                <w:color w:val="000000" w:themeColor="text1"/>
                <w:kern w:val="0"/>
                <w:sz w:val="24"/>
                <w:szCs w:val="24"/>
              </w:rPr>
            </w:pPr>
          </w:p>
        </w:tc>
        <w:tc>
          <w:tcPr>
            <w:tcW w:w="3169" w:type="dxa"/>
            <w:tcBorders>
              <w:top w:val="nil"/>
              <w:left w:val="nil"/>
              <w:bottom w:val="single" w:sz="4" w:space="0" w:color="auto"/>
              <w:right w:val="single" w:sz="4" w:space="0" w:color="auto"/>
            </w:tcBorders>
            <w:vAlign w:val="center"/>
          </w:tcPr>
          <w:p w14:paraId="532FBA80" w14:textId="3E26D7F3" w:rsidR="00861B14" w:rsidRPr="008B619A" w:rsidRDefault="00861B14" w:rsidP="00861B14">
            <w:pPr>
              <w:widowControl/>
              <w:rPr>
                <w:rFonts w:hAnsi="標楷體" w:cs="新細明體"/>
                <w:color w:val="000000" w:themeColor="text1"/>
                <w:kern w:val="0"/>
                <w:sz w:val="24"/>
                <w:szCs w:val="24"/>
              </w:rPr>
            </w:pPr>
            <w:r w:rsidRPr="008B619A">
              <w:rPr>
                <w:rFonts w:hAnsi="標楷體" w:cs="新細明體" w:hint="eastAsia"/>
                <w:color w:val="000000" w:themeColor="text1"/>
                <w:kern w:val="0"/>
                <w:sz w:val="24"/>
                <w:szCs w:val="24"/>
              </w:rPr>
              <w:t>哲學研究所</w:t>
            </w:r>
          </w:p>
        </w:tc>
      </w:tr>
      <w:tr w:rsidR="00861B14" w:rsidRPr="008B619A" w14:paraId="0C8E5D08" w14:textId="6912B2EA" w:rsidTr="00F33FE5">
        <w:trPr>
          <w:trHeight w:val="315"/>
        </w:trPr>
        <w:tc>
          <w:tcPr>
            <w:tcW w:w="1129" w:type="dxa"/>
            <w:vMerge/>
            <w:tcBorders>
              <w:left w:val="single" w:sz="4" w:space="0" w:color="auto"/>
              <w:right w:val="single" w:sz="4" w:space="0" w:color="auto"/>
            </w:tcBorders>
            <w:shd w:val="clear" w:color="auto" w:fill="FDE9D9" w:themeFill="accent6" w:themeFillTint="33"/>
            <w:vAlign w:val="center"/>
            <w:hideMark/>
          </w:tcPr>
          <w:p w14:paraId="5801BE88" w14:textId="11AF80A4" w:rsidR="00861B14" w:rsidRPr="008B619A" w:rsidRDefault="00861B14" w:rsidP="00861B14">
            <w:pPr>
              <w:jc w:val="center"/>
              <w:rPr>
                <w:rFonts w:hAnsi="標楷體" w:cs="新細明體"/>
                <w:b/>
                <w:bCs/>
                <w:color w:val="000000" w:themeColor="text1"/>
                <w:kern w:val="0"/>
                <w:sz w:val="24"/>
                <w:szCs w:val="24"/>
              </w:rPr>
            </w:pPr>
          </w:p>
        </w:tc>
        <w:tc>
          <w:tcPr>
            <w:tcW w:w="3288" w:type="dxa"/>
            <w:tcBorders>
              <w:top w:val="nil"/>
              <w:left w:val="nil"/>
              <w:bottom w:val="single" w:sz="4" w:space="0" w:color="auto"/>
              <w:right w:val="double" w:sz="4" w:space="0" w:color="auto"/>
            </w:tcBorders>
            <w:shd w:val="clear" w:color="auto" w:fill="auto"/>
            <w:vAlign w:val="center"/>
            <w:hideMark/>
          </w:tcPr>
          <w:p w14:paraId="55F75540" w14:textId="77777777" w:rsidR="00861B14" w:rsidRPr="008B619A" w:rsidRDefault="00861B14" w:rsidP="00861B14">
            <w:pPr>
              <w:widowControl/>
              <w:rPr>
                <w:rFonts w:hAnsi="標楷體" w:cs="新細明體"/>
                <w:color w:val="000000" w:themeColor="text1"/>
                <w:kern w:val="0"/>
                <w:sz w:val="24"/>
                <w:szCs w:val="24"/>
              </w:rPr>
            </w:pPr>
            <w:r w:rsidRPr="008B619A">
              <w:rPr>
                <w:rFonts w:hAnsi="標楷體" w:cs="新細明體" w:hint="eastAsia"/>
                <w:color w:val="000000" w:themeColor="text1"/>
                <w:kern w:val="0"/>
                <w:sz w:val="24"/>
                <w:szCs w:val="24"/>
              </w:rPr>
              <w:t>跨領域神經科學博士學位學程(台灣聯合大學系統)</w:t>
            </w:r>
          </w:p>
        </w:tc>
        <w:tc>
          <w:tcPr>
            <w:tcW w:w="1248" w:type="dxa"/>
            <w:vMerge/>
            <w:tcBorders>
              <w:left w:val="double" w:sz="4" w:space="0" w:color="auto"/>
              <w:right w:val="single" w:sz="4" w:space="0" w:color="auto"/>
            </w:tcBorders>
            <w:vAlign w:val="center"/>
          </w:tcPr>
          <w:p w14:paraId="0D66A2DD" w14:textId="39CC3134" w:rsidR="00861B14" w:rsidRPr="008B619A" w:rsidRDefault="00861B14" w:rsidP="00861B14">
            <w:pPr>
              <w:rPr>
                <w:rFonts w:hAnsi="標楷體" w:cs="新細明體"/>
                <w:color w:val="000000" w:themeColor="text1"/>
                <w:kern w:val="0"/>
                <w:sz w:val="24"/>
                <w:szCs w:val="24"/>
              </w:rPr>
            </w:pPr>
          </w:p>
        </w:tc>
        <w:tc>
          <w:tcPr>
            <w:tcW w:w="3169" w:type="dxa"/>
            <w:tcBorders>
              <w:top w:val="nil"/>
              <w:left w:val="nil"/>
              <w:bottom w:val="single" w:sz="4" w:space="0" w:color="auto"/>
              <w:right w:val="single" w:sz="4" w:space="0" w:color="auto"/>
            </w:tcBorders>
            <w:vAlign w:val="center"/>
          </w:tcPr>
          <w:p w14:paraId="3582A252" w14:textId="2D65BDCA" w:rsidR="00861B14" w:rsidRPr="008B619A" w:rsidRDefault="00861B14" w:rsidP="00861B14">
            <w:pPr>
              <w:widowControl/>
              <w:rPr>
                <w:rFonts w:hAnsi="標楷體" w:cs="新細明體"/>
                <w:color w:val="000000" w:themeColor="text1"/>
                <w:kern w:val="0"/>
                <w:sz w:val="24"/>
                <w:szCs w:val="24"/>
              </w:rPr>
            </w:pPr>
            <w:r w:rsidRPr="008B619A">
              <w:rPr>
                <w:rFonts w:hAnsi="標楷體" w:cs="新細明體" w:hint="eastAsia"/>
                <w:color w:val="000000" w:themeColor="text1"/>
                <w:kern w:val="0"/>
                <w:sz w:val="24"/>
                <w:szCs w:val="24"/>
              </w:rPr>
              <w:t>經濟學系</w:t>
            </w:r>
          </w:p>
        </w:tc>
      </w:tr>
      <w:tr w:rsidR="00861B14" w:rsidRPr="008B619A" w14:paraId="63918BA7" w14:textId="6F99F9CE" w:rsidTr="00F33FE5">
        <w:trPr>
          <w:trHeight w:val="315"/>
        </w:trPr>
        <w:tc>
          <w:tcPr>
            <w:tcW w:w="1129" w:type="dxa"/>
            <w:vMerge/>
            <w:tcBorders>
              <w:left w:val="single" w:sz="4" w:space="0" w:color="auto"/>
              <w:right w:val="single" w:sz="4" w:space="0" w:color="auto"/>
            </w:tcBorders>
            <w:shd w:val="clear" w:color="auto" w:fill="FDE9D9" w:themeFill="accent6" w:themeFillTint="33"/>
            <w:vAlign w:val="center"/>
            <w:hideMark/>
          </w:tcPr>
          <w:p w14:paraId="4C93BB25" w14:textId="61DCD5FF" w:rsidR="00861B14" w:rsidRPr="008B619A" w:rsidRDefault="00861B14" w:rsidP="00861B14">
            <w:pPr>
              <w:jc w:val="center"/>
              <w:rPr>
                <w:rFonts w:hAnsi="標楷體" w:cs="新細明體"/>
                <w:b/>
                <w:bCs/>
                <w:color w:val="000000" w:themeColor="text1"/>
                <w:kern w:val="0"/>
                <w:sz w:val="24"/>
                <w:szCs w:val="24"/>
              </w:rPr>
            </w:pPr>
          </w:p>
        </w:tc>
        <w:tc>
          <w:tcPr>
            <w:tcW w:w="3288" w:type="dxa"/>
            <w:tcBorders>
              <w:top w:val="nil"/>
              <w:left w:val="nil"/>
              <w:bottom w:val="single" w:sz="4" w:space="0" w:color="auto"/>
              <w:right w:val="double" w:sz="4" w:space="0" w:color="auto"/>
            </w:tcBorders>
            <w:shd w:val="clear" w:color="auto" w:fill="auto"/>
            <w:vAlign w:val="center"/>
            <w:hideMark/>
          </w:tcPr>
          <w:p w14:paraId="5A7F5FF8" w14:textId="77777777" w:rsidR="00861B14" w:rsidRPr="008B619A" w:rsidRDefault="00861B14" w:rsidP="00861B14">
            <w:pPr>
              <w:widowControl/>
              <w:rPr>
                <w:rFonts w:hAnsi="標楷體" w:cs="新細明體"/>
                <w:color w:val="000000" w:themeColor="text1"/>
                <w:kern w:val="0"/>
                <w:sz w:val="24"/>
                <w:szCs w:val="24"/>
              </w:rPr>
            </w:pPr>
            <w:r w:rsidRPr="008B619A">
              <w:rPr>
                <w:rFonts w:hAnsi="標楷體" w:cs="新細明體" w:hint="eastAsia"/>
                <w:color w:val="000000" w:themeColor="text1"/>
                <w:kern w:val="0"/>
                <w:sz w:val="24"/>
                <w:szCs w:val="24"/>
              </w:rPr>
              <w:t>天文研究所</w:t>
            </w:r>
          </w:p>
        </w:tc>
        <w:tc>
          <w:tcPr>
            <w:tcW w:w="1248" w:type="dxa"/>
            <w:vMerge/>
            <w:tcBorders>
              <w:left w:val="double" w:sz="4" w:space="0" w:color="auto"/>
              <w:right w:val="single" w:sz="4" w:space="0" w:color="auto"/>
            </w:tcBorders>
            <w:vAlign w:val="center"/>
          </w:tcPr>
          <w:p w14:paraId="011141C3" w14:textId="06AFE12E" w:rsidR="00861B14" w:rsidRPr="008B619A" w:rsidRDefault="00861B14" w:rsidP="00861B14">
            <w:pPr>
              <w:rPr>
                <w:rFonts w:hAnsi="標楷體" w:cs="新細明體"/>
                <w:color w:val="000000" w:themeColor="text1"/>
                <w:kern w:val="0"/>
                <w:sz w:val="24"/>
                <w:szCs w:val="24"/>
              </w:rPr>
            </w:pPr>
          </w:p>
        </w:tc>
        <w:tc>
          <w:tcPr>
            <w:tcW w:w="3169" w:type="dxa"/>
            <w:tcBorders>
              <w:top w:val="nil"/>
              <w:left w:val="nil"/>
              <w:bottom w:val="single" w:sz="4" w:space="0" w:color="auto"/>
              <w:right w:val="single" w:sz="4" w:space="0" w:color="auto"/>
            </w:tcBorders>
            <w:vAlign w:val="center"/>
          </w:tcPr>
          <w:p w14:paraId="0E1474F0" w14:textId="21C1A70A" w:rsidR="00861B14" w:rsidRPr="008B619A" w:rsidRDefault="00861B14" w:rsidP="00861B14">
            <w:pPr>
              <w:widowControl/>
              <w:rPr>
                <w:rFonts w:hAnsi="標楷體" w:cs="新細明體"/>
                <w:color w:val="000000" w:themeColor="text1"/>
                <w:kern w:val="0"/>
                <w:sz w:val="24"/>
                <w:szCs w:val="24"/>
              </w:rPr>
            </w:pPr>
            <w:r w:rsidRPr="008B619A">
              <w:rPr>
                <w:rFonts w:hAnsi="標楷體" w:cs="新細明體" w:hint="eastAsia"/>
                <w:color w:val="000000" w:themeColor="text1"/>
                <w:kern w:val="0"/>
                <w:sz w:val="24"/>
                <w:szCs w:val="24"/>
              </w:rPr>
              <w:t>產業經濟研究所</w:t>
            </w:r>
          </w:p>
        </w:tc>
      </w:tr>
      <w:tr w:rsidR="00861B14" w:rsidRPr="008B619A" w14:paraId="3434530B" w14:textId="41D6DD47" w:rsidTr="00F33FE5">
        <w:trPr>
          <w:trHeight w:val="315"/>
        </w:trPr>
        <w:tc>
          <w:tcPr>
            <w:tcW w:w="1129" w:type="dxa"/>
            <w:vMerge/>
            <w:tcBorders>
              <w:left w:val="single" w:sz="4" w:space="0" w:color="auto"/>
              <w:right w:val="single" w:sz="4" w:space="0" w:color="auto"/>
            </w:tcBorders>
            <w:shd w:val="clear" w:color="auto" w:fill="FDE9D9" w:themeFill="accent6" w:themeFillTint="33"/>
            <w:vAlign w:val="center"/>
            <w:hideMark/>
          </w:tcPr>
          <w:p w14:paraId="61A76859" w14:textId="662A7D80" w:rsidR="00861B14" w:rsidRPr="008B619A" w:rsidRDefault="00861B14" w:rsidP="00861B14">
            <w:pPr>
              <w:jc w:val="center"/>
              <w:rPr>
                <w:rFonts w:hAnsi="標楷體" w:cs="新細明體"/>
                <w:b/>
                <w:bCs/>
                <w:color w:val="000000" w:themeColor="text1"/>
                <w:kern w:val="0"/>
                <w:sz w:val="24"/>
                <w:szCs w:val="24"/>
              </w:rPr>
            </w:pPr>
          </w:p>
        </w:tc>
        <w:tc>
          <w:tcPr>
            <w:tcW w:w="3288" w:type="dxa"/>
            <w:tcBorders>
              <w:top w:val="nil"/>
              <w:left w:val="nil"/>
              <w:bottom w:val="single" w:sz="4" w:space="0" w:color="auto"/>
              <w:right w:val="double" w:sz="4" w:space="0" w:color="auto"/>
            </w:tcBorders>
            <w:shd w:val="clear" w:color="auto" w:fill="auto"/>
            <w:vAlign w:val="center"/>
            <w:hideMark/>
          </w:tcPr>
          <w:p w14:paraId="6E5B00A3" w14:textId="77777777" w:rsidR="00861B14" w:rsidRPr="008B619A" w:rsidRDefault="00861B14" w:rsidP="00861B14">
            <w:pPr>
              <w:widowControl/>
              <w:rPr>
                <w:rFonts w:hAnsi="標楷體" w:cs="新細明體"/>
                <w:color w:val="000000" w:themeColor="text1"/>
                <w:kern w:val="0"/>
                <w:sz w:val="24"/>
                <w:szCs w:val="24"/>
              </w:rPr>
            </w:pPr>
            <w:r w:rsidRPr="008B619A">
              <w:rPr>
                <w:rFonts w:hAnsi="標楷體" w:cs="新細明體" w:hint="eastAsia"/>
                <w:color w:val="000000" w:themeColor="text1"/>
                <w:kern w:val="0"/>
                <w:sz w:val="24"/>
                <w:szCs w:val="24"/>
              </w:rPr>
              <w:t>機械工程學系光機電工程博士班</w:t>
            </w:r>
          </w:p>
        </w:tc>
        <w:tc>
          <w:tcPr>
            <w:tcW w:w="1248" w:type="dxa"/>
            <w:vMerge/>
            <w:tcBorders>
              <w:left w:val="double" w:sz="4" w:space="0" w:color="auto"/>
              <w:right w:val="single" w:sz="4" w:space="0" w:color="auto"/>
            </w:tcBorders>
            <w:vAlign w:val="center"/>
          </w:tcPr>
          <w:p w14:paraId="6AF3B3B6" w14:textId="673F3DB3" w:rsidR="00861B14" w:rsidRPr="008B619A" w:rsidRDefault="00861B14" w:rsidP="00861B14">
            <w:pPr>
              <w:rPr>
                <w:rFonts w:hAnsi="標楷體" w:cs="新細明體"/>
                <w:color w:val="000000" w:themeColor="text1"/>
                <w:kern w:val="0"/>
                <w:sz w:val="24"/>
                <w:szCs w:val="24"/>
              </w:rPr>
            </w:pPr>
          </w:p>
        </w:tc>
        <w:tc>
          <w:tcPr>
            <w:tcW w:w="3169" w:type="dxa"/>
            <w:tcBorders>
              <w:top w:val="nil"/>
              <w:left w:val="nil"/>
              <w:bottom w:val="single" w:sz="4" w:space="0" w:color="auto"/>
              <w:right w:val="single" w:sz="4" w:space="0" w:color="auto"/>
            </w:tcBorders>
            <w:vAlign w:val="center"/>
          </w:tcPr>
          <w:p w14:paraId="22423738" w14:textId="219AB660" w:rsidR="00861B14" w:rsidRPr="008B619A" w:rsidRDefault="00861B14" w:rsidP="00861B14">
            <w:pPr>
              <w:widowControl/>
              <w:rPr>
                <w:rFonts w:hAnsi="標楷體" w:cs="新細明體"/>
                <w:color w:val="000000" w:themeColor="text1"/>
                <w:kern w:val="0"/>
                <w:sz w:val="24"/>
                <w:szCs w:val="24"/>
              </w:rPr>
            </w:pPr>
            <w:r w:rsidRPr="008B619A">
              <w:rPr>
                <w:rFonts w:hAnsi="標楷體" w:cs="新細明體" w:hint="eastAsia"/>
                <w:color w:val="000000" w:themeColor="text1"/>
                <w:kern w:val="0"/>
                <w:sz w:val="24"/>
                <w:szCs w:val="24"/>
              </w:rPr>
              <w:t>跨領域神經科學博士學位學程(台灣聯合大學系統)</w:t>
            </w:r>
          </w:p>
        </w:tc>
      </w:tr>
      <w:tr w:rsidR="00861B14" w:rsidRPr="008B619A" w14:paraId="69381934" w14:textId="614D1A9C" w:rsidTr="00F33FE5">
        <w:trPr>
          <w:trHeight w:val="315"/>
        </w:trPr>
        <w:tc>
          <w:tcPr>
            <w:tcW w:w="1129" w:type="dxa"/>
            <w:vMerge/>
            <w:tcBorders>
              <w:left w:val="single" w:sz="4" w:space="0" w:color="auto"/>
              <w:right w:val="single" w:sz="4" w:space="0" w:color="auto"/>
            </w:tcBorders>
            <w:shd w:val="clear" w:color="auto" w:fill="FDE9D9" w:themeFill="accent6" w:themeFillTint="33"/>
            <w:vAlign w:val="center"/>
            <w:hideMark/>
          </w:tcPr>
          <w:p w14:paraId="5662A124" w14:textId="2A954A43" w:rsidR="00861B14" w:rsidRPr="008B619A" w:rsidRDefault="00861B14" w:rsidP="00861B14">
            <w:pPr>
              <w:jc w:val="center"/>
              <w:rPr>
                <w:rFonts w:hAnsi="標楷體" w:cs="新細明體"/>
                <w:b/>
                <w:bCs/>
                <w:color w:val="000000" w:themeColor="text1"/>
                <w:kern w:val="0"/>
                <w:sz w:val="24"/>
                <w:szCs w:val="24"/>
              </w:rPr>
            </w:pPr>
          </w:p>
        </w:tc>
        <w:tc>
          <w:tcPr>
            <w:tcW w:w="3288" w:type="dxa"/>
            <w:tcBorders>
              <w:top w:val="nil"/>
              <w:left w:val="nil"/>
              <w:bottom w:val="single" w:sz="4" w:space="0" w:color="auto"/>
              <w:right w:val="double" w:sz="4" w:space="0" w:color="auto"/>
            </w:tcBorders>
            <w:shd w:val="clear" w:color="auto" w:fill="auto"/>
            <w:vAlign w:val="center"/>
            <w:hideMark/>
          </w:tcPr>
          <w:p w14:paraId="20CCBB3F" w14:textId="77777777" w:rsidR="00861B14" w:rsidRPr="008B619A" w:rsidRDefault="00861B14" w:rsidP="00861B14">
            <w:pPr>
              <w:widowControl/>
              <w:rPr>
                <w:rFonts w:hAnsi="標楷體" w:cs="新細明體"/>
                <w:color w:val="000000" w:themeColor="text1"/>
                <w:kern w:val="0"/>
                <w:sz w:val="24"/>
                <w:szCs w:val="24"/>
              </w:rPr>
            </w:pPr>
            <w:r w:rsidRPr="008B619A">
              <w:rPr>
                <w:rFonts w:hAnsi="標楷體" w:cs="新細明體" w:hint="eastAsia"/>
                <w:color w:val="000000" w:themeColor="text1"/>
                <w:kern w:val="0"/>
                <w:sz w:val="24"/>
                <w:szCs w:val="24"/>
              </w:rPr>
              <w:t>應用數學系</w:t>
            </w:r>
          </w:p>
        </w:tc>
        <w:tc>
          <w:tcPr>
            <w:tcW w:w="1248" w:type="dxa"/>
            <w:vMerge/>
            <w:tcBorders>
              <w:left w:val="double" w:sz="4" w:space="0" w:color="auto"/>
              <w:right w:val="single" w:sz="4" w:space="0" w:color="auto"/>
            </w:tcBorders>
            <w:vAlign w:val="center"/>
          </w:tcPr>
          <w:p w14:paraId="6602C682" w14:textId="2A16A58D" w:rsidR="00861B14" w:rsidRPr="008B619A" w:rsidRDefault="00861B14" w:rsidP="00861B14">
            <w:pPr>
              <w:rPr>
                <w:rFonts w:hAnsi="標楷體" w:cs="新細明體"/>
                <w:color w:val="000000" w:themeColor="text1"/>
                <w:kern w:val="0"/>
                <w:sz w:val="24"/>
                <w:szCs w:val="24"/>
              </w:rPr>
            </w:pPr>
          </w:p>
        </w:tc>
        <w:tc>
          <w:tcPr>
            <w:tcW w:w="3169" w:type="dxa"/>
            <w:tcBorders>
              <w:top w:val="nil"/>
              <w:left w:val="nil"/>
              <w:bottom w:val="single" w:sz="4" w:space="0" w:color="auto"/>
              <w:right w:val="single" w:sz="4" w:space="0" w:color="auto"/>
            </w:tcBorders>
            <w:vAlign w:val="center"/>
          </w:tcPr>
          <w:p w14:paraId="13866263" w14:textId="5F6522D9" w:rsidR="00861B14" w:rsidRPr="008B619A" w:rsidRDefault="00861B14" w:rsidP="00861B14">
            <w:pPr>
              <w:widowControl/>
              <w:rPr>
                <w:rFonts w:hAnsi="標楷體" w:cs="新細明體"/>
                <w:color w:val="000000" w:themeColor="text1"/>
                <w:kern w:val="0"/>
                <w:sz w:val="24"/>
                <w:szCs w:val="24"/>
              </w:rPr>
            </w:pPr>
            <w:r w:rsidRPr="008B619A">
              <w:rPr>
                <w:rFonts w:hAnsi="標楷體" w:cs="新細明體" w:hint="eastAsia"/>
                <w:color w:val="000000" w:themeColor="text1"/>
                <w:kern w:val="0"/>
                <w:sz w:val="24"/>
                <w:szCs w:val="24"/>
              </w:rPr>
              <w:t>人力資源管理研究所</w:t>
            </w:r>
          </w:p>
        </w:tc>
      </w:tr>
      <w:tr w:rsidR="00861B14" w:rsidRPr="008B619A" w14:paraId="064DB43C" w14:textId="25793ECB" w:rsidTr="00F33FE5">
        <w:trPr>
          <w:trHeight w:val="315"/>
        </w:trPr>
        <w:tc>
          <w:tcPr>
            <w:tcW w:w="1129" w:type="dxa"/>
            <w:vMerge/>
            <w:tcBorders>
              <w:left w:val="single" w:sz="4" w:space="0" w:color="auto"/>
              <w:right w:val="single" w:sz="4" w:space="0" w:color="auto"/>
            </w:tcBorders>
            <w:shd w:val="clear" w:color="auto" w:fill="FDE9D9" w:themeFill="accent6" w:themeFillTint="33"/>
            <w:vAlign w:val="center"/>
            <w:hideMark/>
          </w:tcPr>
          <w:p w14:paraId="282BDE5F" w14:textId="56FF98FC" w:rsidR="00861B14" w:rsidRPr="008B619A" w:rsidRDefault="00861B14" w:rsidP="00861B14">
            <w:pPr>
              <w:jc w:val="center"/>
              <w:rPr>
                <w:rFonts w:hAnsi="標楷體" w:cs="新細明體"/>
                <w:b/>
                <w:bCs/>
                <w:color w:val="000000" w:themeColor="text1"/>
                <w:kern w:val="0"/>
                <w:sz w:val="24"/>
                <w:szCs w:val="24"/>
              </w:rPr>
            </w:pPr>
          </w:p>
        </w:tc>
        <w:tc>
          <w:tcPr>
            <w:tcW w:w="3288" w:type="dxa"/>
            <w:tcBorders>
              <w:top w:val="nil"/>
              <w:left w:val="nil"/>
              <w:bottom w:val="single" w:sz="4" w:space="0" w:color="auto"/>
              <w:right w:val="double" w:sz="4" w:space="0" w:color="auto"/>
            </w:tcBorders>
            <w:shd w:val="clear" w:color="auto" w:fill="auto"/>
            <w:vAlign w:val="center"/>
            <w:hideMark/>
          </w:tcPr>
          <w:p w14:paraId="35FEAD5E" w14:textId="77777777" w:rsidR="00861B14" w:rsidRPr="008B619A" w:rsidRDefault="00861B14" w:rsidP="00861B14">
            <w:pPr>
              <w:widowControl/>
              <w:rPr>
                <w:rFonts w:hAnsi="標楷體" w:cs="新細明體"/>
                <w:color w:val="000000" w:themeColor="text1"/>
                <w:kern w:val="0"/>
                <w:sz w:val="24"/>
                <w:szCs w:val="24"/>
              </w:rPr>
            </w:pPr>
            <w:r w:rsidRPr="008B619A">
              <w:rPr>
                <w:rFonts w:hAnsi="標楷體" w:cs="新細明體" w:hint="eastAsia"/>
                <w:color w:val="000000" w:themeColor="text1"/>
                <w:kern w:val="0"/>
                <w:sz w:val="24"/>
                <w:szCs w:val="24"/>
              </w:rPr>
              <w:t>化學工程與材料工程系</w:t>
            </w:r>
          </w:p>
        </w:tc>
        <w:tc>
          <w:tcPr>
            <w:tcW w:w="1248" w:type="dxa"/>
            <w:vMerge/>
            <w:tcBorders>
              <w:left w:val="double" w:sz="4" w:space="0" w:color="auto"/>
              <w:right w:val="single" w:sz="4" w:space="0" w:color="auto"/>
            </w:tcBorders>
            <w:vAlign w:val="center"/>
          </w:tcPr>
          <w:p w14:paraId="376AA885" w14:textId="4465EEDC" w:rsidR="00861B14" w:rsidRPr="008B619A" w:rsidRDefault="00861B14" w:rsidP="00861B14">
            <w:pPr>
              <w:rPr>
                <w:rFonts w:hAnsi="標楷體" w:cs="新細明體"/>
                <w:color w:val="000000" w:themeColor="text1"/>
                <w:kern w:val="0"/>
                <w:sz w:val="24"/>
                <w:szCs w:val="24"/>
              </w:rPr>
            </w:pPr>
          </w:p>
        </w:tc>
        <w:tc>
          <w:tcPr>
            <w:tcW w:w="3169" w:type="dxa"/>
            <w:tcBorders>
              <w:top w:val="nil"/>
              <w:left w:val="nil"/>
              <w:bottom w:val="single" w:sz="4" w:space="0" w:color="auto"/>
              <w:right w:val="single" w:sz="4" w:space="0" w:color="auto"/>
            </w:tcBorders>
            <w:vAlign w:val="center"/>
          </w:tcPr>
          <w:p w14:paraId="11CFC7B1" w14:textId="25A729B1" w:rsidR="00861B14" w:rsidRPr="008B619A" w:rsidRDefault="00861B14" w:rsidP="00861B14">
            <w:pPr>
              <w:widowControl/>
              <w:rPr>
                <w:rFonts w:hAnsi="標楷體" w:cs="新細明體"/>
                <w:color w:val="000000" w:themeColor="text1"/>
                <w:kern w:val="0"/>
                <w:sz w:val="24"/>
                <w:szCs w:val="24"/>
              </w:rPr>
            </w:pPr>
            <w:r w:rsidRPr="008B619A">
              <w:rPr>
                <w:rFonts w:hAnsi="標楷體" w:cs="新細明體" w:hint="eastAsia"/>
                <w:color w:val="000000" w:themeColor="text1"/>
                <w:kern w:val="0"/>
                <w:sz w:val="24"/>
                <w:szCs w:val="24"/>
              </w:rPr>
              <w:t>水文與海洋科學研究所</w:t>
            </w:r>
          </w:p>
        </w:tc>
      </w:tr>
      <w:tr w:rsidR="00861B14" w:rsidRPr="008B619A" w14:paraId="2DAC0860" w14:textId="6B2C8ED1" w:rsidTr="00F33FE5">
        <w:trPr>
          <w:trHeight w:val="315"/>
        </w:trPr>
        <w:tc>
          <w:tcPr>
            <w:tcW w:w="1129" w:type="dxa"/>
            <w:vMerge/>
            <w:tcBorders>
              <w:left w:val="single" w:sz="4" w:space="0" w:color="auto"/>
              <w:right w:val="single" w:sz="4" w:space="0" w:color="auto"/>
            </w:tcBorders>
            <w:shd w:val="clear" w:color="auto" w:fill="FDE9D9" w:themeFill="accent6" w:themeFillTint="33"/>
            <w:vAlign w:val="center"/>
            <w:hideMark/>
          </w:tcPr>
          <w:p w14:paraId="6E082767" w14:textId="6E50D8EA" w:rsidR="00861B14" w:rsidRPr="008B619A" w:rsidRDefault="00861B14" w:rsidP="00861B14">
            <w:pPr>
              <w:jc w:val="center"/>
              <w:rPr>
                <w:rFonts w:hAnsi="標楷體" w:cs="新細明體"/>
                <w:b/>
                <w:bCs/>
                <w:color w:val="000000" w:themeColor="text1"/>
                <w:kern w:val="0"/>
                <w:sz w:val="24"/>
                <w:szCs w:val="24"/>
              </w:rPr>
            </w:pPr>
          </w:p>
        </w:tc>
        <w:tc>
          <w:tcPr>
            <w:tcW w:w="3288" w:type="dxa"/>
            <w:tcBorders>
              <w:top w:val="nil"/>
              <w:left w:val="nil"/>
              <w:bottom w:val="single" w:sz="4" w:space="0" w:color="auto"/>
              <w:right w:val="double" w:sz="4" w:space="0" w:color="auto"/>
            </w:tcBorders>
            <w:shd w:val="clear" w:color="auto" w:fill="auto"/>
            <w:vAlign w:val="center"/>
            <w:hideMark/>
          </w:tcPr>
          <w:p w14:paraId="49DC90CE" w14:textId="77777777" w:rsidR="00861B14" w:rsidRPr="008B619A" w:rsidRDefault="00861B14" w:rsidP="00861B14">
            <w:pPr>
              <w:widowControl/>
              <w:rPr>
                <w:rFonts w:hAnsi="標楷體" w:cs="新細明體"/>
                <w:color w:val="000000" w:themeColor="text1"/>
                <w:kern w:val="0"/>
                <w:sz w:val="24"/>
                <w:szCs w:val="24"/>
              </w:rPr>
            </w:pPr>
            <w:r w:rsidRPr="008B619A">
              <w:rPr>
                <w:rFonts w:hAnsi="標楷體" w:cs="新細明體" w:hint="eastAsia"/>
                <w:color w:val="000000" w:themeColor="text1"/>
                <w:kern w:val="0"/>
                <w:sz w:val="24"/>
                <w:szCs w:val="24"/>
              </w:rPr>
              <w:t>材料科學與工程研究所</w:t>
            </w:r>
          </w:p>
        </w:tc>
        <w:tc>
          <w:tcPr>
            <w:tcW w:w="1248" w:type="dxa"/>
            <w:vMerge/>
            <w:tcBorders>
              <w:left w:val="double" w:sz="4" w:space="0" w:color="auto"/>
              <w:bottom w:val="single" w:sz="4" w:space="0" w:color="auto"/>
              <w:right w:val="single" w:sz="4" w:space="0" w:color="auto"/>
            </w:tcBorders>
            <w:vAlign w:val="center"/>
          </w:tcPr>
          <w:p w14:paraId="276FC6A3" w14:textId="128EA770" w:rsidR="00861B14" w:rsidRPr="008B619A" w:rsidRDefault="00861B14" w:rsidP="00861B14">
            <w:pPr>
              <w:widowControl/>
              <w:rPr>
                <w:rFonts w:hAnsi="標楷體" w:cs="新細明體"/>
                <w:color w:val="000000" w:themeColor="text1"/>
                <w:kern w:val="0"/>
                <w:sz w:val="24"/>
                <w:szCs w:val="24"/>
              </w:rPr>
            </w:pPr>
          </w:p>
        </w:tc>
        <w:tc>
          <w:tcPr>
            <w:tcW w:w="3169" w:type="dxa"/>
            <w:tcBorders>
              <w:top w:val="nil"/>
              <w:left w:val="nil"/>
              <w:bottom w:val="single" w:sz="4" w:space="0" w:color="auto"/>
              <w:right w:val="single" w:sz="4" w:space="0" w:color="auto"/>
            </w:tcBorders>
            <w:vAlign w:val="center"/>
          </w:tcPr>
          <w:p w14:paraId="06242579" w14:textId="5EF0E119" w:rsidR="00861B14" w:rsidRPr="008B619A" w:rsidRDefault="00861B14" w:rsidP="00861B14">
            <w:pPr>
              <w:widowControl/>
              <w:rPr>
                <w:rFonts w:hAnsi="標楷體" w:cs="新細明體"/>
                <w:color w:val="000000" w:themeColor="text1"/>
                <w:kern w:val="0"/>
                <w:sz w:val="24"/>
                <w:szCs w:val="24"/>
              </w:rPr>
            </w:pPr>
            <w:r w:rsidRPr="008B619A">
              <w:rPr>
                <w:rFonts w:hAnsi="標楷體" w:cs="新細明體" w:hint="eastAsia"/>
                <w:color w:val="000000" w:themeColor="text1"/>
                <w:kern w:val="0"/>
                <w:sz w:val="24"/>
                <w:szCs w:val="24"/>
              </w:rPr>
              <w:t>數學系</w:t>
            </w:r>
          </w:p>
        </w:tc>
      </w:tr>
      <w:tr w:rsidR="00861B14" w:rsidRPr="008B619A" w14:paraId="56B64E2B" w14:textId="33BE46A9" w:rsidTr="00F33FE5">
        <w:trPr>
          <w:trHeight w:val="315"/>
        </w:trPr>
        <w:tc>
          <w:tcPr>
            <w:tcW w:w="1129" w:type="dxa"/>
            <w:vMerge/>
            <w:tcBorders>
              <w:left w:val="single" w:sz="4" w:space="0" w:color="auto"/>
              <w:bottom w:val="single" w:sz="4" w:space="0" w:color="auto"/>
              <w:right w:val="single" w:sz="4" w:space="0" w:color="auto"/>
            </w:tcBorders>
            <w:shd w:val="clear" w:color="auto" w:fill="FDE9D9" w:themeFill="accent6" w:themeFillTint="33"/>
            <w:vAlign w:val="center"/>
            <w:hideMark/>
          </w:tcPr>
          <w:p w14:paraId="3BCA270A" w14:textId="07C8CBF5" w:rsidR="00861B14" w:rsidRPr="008B619A" w:rsidRDefault="00861B14" w:rsidP="005E7907">
            <w:pPr>
              <w:widowControl/>
              <w:jc w:val="center"/>
              <w:rPr>
                <w:rFonts w:hAnsi="標楷體" w:cs="新細明體"/>
                <w:b/>
                <w:bCs/>
                <w:color w:val="000000" w:themeColor="text1"/>
                <w:kern w:val="0"/>
                <w:sz w:val="24"/>
                <w:szCs w:val="24"/>
              </w:rPr>
            </w:pPr>
          </w:p>
        </w:tc>
        <w:tc>
          <w:tcPr>
            <w:tcW w:w="3288" w:type="dxa"/>
            <w:tcBorders>
              <w:top w:val="nil"/>
              <w:left w:val="nil"/>
              <w:bottom w:val="single" w:sz="4" w:space="0" w:color="auto"/>
              <w:right w:val="double" w:sz="4" w:space="0" w:color="auto"/>
            </w:tcBorders>
            <w:shd w:val="clear" w:color="auto" w:fill="auto"/>
            <w:vAlign w:val="center"/>
            <w:hideMark/>
          </w:tcPr>
          <w:p w14:paraId="55486E24" w14:textId="77777777" w:rsidR="00861B14" w:rsidRPr="008B619A" w:rsidRDefault="00861B14" w:rsidP="005E7907">
            <w:pPr>
              <w:widowControl/>
              <w:rPr>
                <w:rFonts w:hAnsi="標楷體" w:cs="新細明體"/>
                <w:color w:val="000000" w:themeColor="text1"/>
                <w:kern w:val="0"/>
                <w:sz w:val="24"/>
                <w:szCs w:val="24"/>
              </w:rPr>
            </w:pPr>
            <w:r w:rsidRPr="008B619A">
              <w:rPr>
                <w:rFonts w:hAnsi="標楷體" w:cs="新細明體" w:hint="eastAsia"/>
                <w:color w:val="000000" w:themeColor="text1"/>
                <w:kern w:val="0"/>
                <w:sz w:val="24"/>
                <w:szCs w:val="24"/>
              </w:rPr>
              <w:t>化工與材料工程學系</w:t>
            </w:r>
          </w:p>
        </w:tc>
        <w:tc>
          <w:tcPr>
            <w:tcW w:w="1248" w:type="dxa"/>
            <w:tcBorders>
              <w:top w:val="single" w:sz="4" w:space="0" w:color="auto"/>
              <w:left w:val="double" w:sz="4" w:space="0" w:color="auto"/>
              <w:bottom w:val="single" w:sz="4" w:space="0" w:color="auto"/>
              <w:right w:val="single" w:sz="4" w:space="0" w:color="auto"/>
            </w:tcBorders>
          </w:tcPr>
          <w:p w14:paraId="25A9819C" w14:textId="77777777" w:rsidR="00861B14" w:rsidRPr="008B619A" w:rsidRDefault="00861B14" w:rsidP="005E7907">
            <w:pPr>
              <w:widowControl/>
              <w:rPr>
                <w:rFonts w:hAnsi="標楷體" w:cs="新細明體"/>
                <w:color w:val="000000" w:themeColor="text1"/>
                <w:kern w:val="0"/>
                <w:sz w:val="24"/>
                <w:szCs w:val="24"/>
              </w:rPr>
            </w:pPr>
          </w:p>
        </w:tc>
        <w:tc>
          <w:tcPr>
            <w:tcW w:w="3169" w:type="dxa"/>
            <w:tcBorders>
              <w:top w:val="nil"/>
              <w:left w:val="nil"/>
              <w:bottom w:val="single" w:sz="4" w:space="0" w:color="auto"/>
              <w:right w:val="single" w:sz="4" w:space="0" w:color="auto"/>
            </w:tcBorders>
          </w:tcPr>
          <w:p w14:paraId="72DE0AB2" w14:textId="60917D17" w:rsidR="00861B14" w:rsidRPr="008B619A" w:rsidRDefault="00C7390A" w:rsidP="005E7907">
            <w:pPr>
              <w:widowControl/>
              <w:rPr>
                <w:rFonts w:hAnsi="標楷體" w:cs="新細明體"/>
                <w:color w:val="000000" w:themeColor="text1"/>
                <w:kern w:val="0"/>
                <w:sz w:val="24"/>
                <w:szCs w:val="24"/>
              </w:rPr>
            </w:pPr>
            <w:r w:rsidRPr="008B619A">
              <w:rPr>
                <w:rFonts w:hAnsi="標楷體" w:cs="新細明體" w:hint="eastAsia"/>
                <w:color w:val="000000" w:themeColor="text1"/>
                <w:kern w:val="0"/>
                <w:sz w:val="24"/>
                <w:szCs w:val="24"/>
              </w:rPr>
              <w:t>能源工程研究所</w:t>
            </w:r>
          </w:p>
        </w:tc>
      </w:tr>
      <w:tr w:rsidR="00F836E5" w:rsidRPr="008B619A" w14:paraId="6D33B714" w14:textId="77777777" w:rsidTr="00F33FE5">
        <w:trPr>
          <w:trHeight w:val="315"/>
        </w:trPr>
        <w:tc>
          <w:tcPr>
            <w:tcW w:w="4417" w:type="dxa"/>
            <w:gridSpan w:val="2"/>
            <w:vMerge w:val="restart"/>
            <w:tcBorders>
              <w:left w:val="single" w:sz="4" w:space="0" w:color="auto"/>
              <w:right w:val="double" w:sz="4" w:space="0" w:color="auto"/>
            </w:tcBorders>
            <w:shd w:val="clear" w:color="auto" w:fill="FDE9D9" w:themeFill="accent6" w:themeFillTint="33"/>
            <w:vAlign w:val="center"/>
          </w:tcPr>
          <w:p w14:paraId="4EF2A2F9" w14:textId="0E93ED6E" w:rsidR="00F836E5" w:rsidRPr="008B619A" w:rsidRDefault="00B142B8" w:rsidP="005E7907">
            <w:pPr>
              <w:widowControl/>
              <w:rPr>
                <w:rFonts w:hAnsi="標楷體" w:cs="新細明體"/>
                <w:b/>
                <w:bCs/>
                <w:color w:val="000000" w:themeColor="text1"/>
                <w:kern w:val="0"/>
                <w:sz w:val="24"/>
                <w:szCs w:val="24"/>
              </w:rPr>
            </w:pPr>
            <w:r w:rsidRPr="008B619A">
              <w:rPr>
                <w:rFonts w:hAnsi="標楷體" w:cs="新細明體" w:hint="eastAsia"/>
                <w:b/>
                <w:bCs/>
                <w:color w:val="000000" w:themeColor="text1"/>
                <w:kern w:val="0"/>
                <w:sz w:val="24"/>
                <w:szCs w:val="24"/>
              </w:rPr>
              <w:t>--</w:t>
            </w:r>
          </w:p>
        </w:tc>
        <w:tc>
          <w:tcPr>
            <w:tcW w:w="1248" w:type="dxa"/>
            <w:tcBorders>
              <w:top w:val="single" w:sz="4" w:space="0" w:color="auto"/>
              <w:left w:val="double" w:sz="4" w:space="0" w:color="auto"/>
              <w:bottom w:val="single" w:sz="4" w:space="0" w:color="auto"/>
              <w:right w:val="single" w:sz="4" w:space="0" w:color="auto"/>
            </w:tcBorders>
          </w:tcPr>
          <w:p w14:paraId="4D63080B" w14:textId="77777777" w:rsidR="00F836E5" w:rsidRPr="008B619A" w:rsidRDefault="00F836E5" w:rsidP="005E7907">
            <w:pPr>
              <w:widowControl/>
              <w:rPr>
                <w:rFonts w:hAnsi="標楷體" w:cs="新細明體"/>
                <w:color w:val="000000" w:themeColor="text1"/>
                <w:kern w:val="0"/>
                <w:sz w:val="24"/>
                <w:szCs w:val="24"/>
              </w:rPr>
            </w:pPr>
          </w:p>
        </w:tc>
        <w:tc>
          <w:tcPr>
            <w:tcW w:w="3169" w:type="dxa"/>
            <w:tcBorders>
              <w:top w:val="nil"/>
              <w:left w:val="nil"/>
              <w:bottom w:val="single" w:sz="4" w:space="0" w:color="auto"/>
              <w:right w:val="single" w:sz="4" w:space="0" w:color="auto"/>
            </w:tcBorders>
          </w:tcPr>
          <w:p w14:paraId="6B3862D0" w14:textId="03191A87" w:rsidR="00F836E5" w:rsidRPr="008B619A" w:rsidRDefault="00F836E5" w:rsidP="005E7907">
            <w:pPr>
              <w:widowControl/>
              <w:rPr>
                <w:rFonts w:hAnsi="標楷體" w:cs="新細明體"/>
                <w:color w:val="000000" w:themeColor="text1"/>
                <w:kern w:val="0"/>
                <w:sz w:val="24"/>
                <w:szCs w:val="24"/>
              </w:rPr>
            </w:pPr>
            <w:r w:rsidRPr="008B619A">
              <w:rPr>
                <w:rFonts w:hAnsi="標楷體" w:cs="新細明體" w:hint="eastAsia"/>
                <w:color w:val="000000" w:themeColor="text1"/>
                <w:kern w:val="0"/>
                <w:sz w:val="24"/>
                <w:szCs w:val="24"/>
              </w:rPr>
              <w:t>機械工程學系光機電工程博士班</w:t>
            </w:r>
          </w:p>
        </w:tc>
      </w:tr>
      <w:tr w:rsidR="00F836E5" w:rsidRPr="008B619A" w14:paraId="2C8EE222" w14:textId="77777777" w:rsidTr="00F33FE5">
        <w:trPr>
          <w:trHeight w:val="315"/>
        </w:trPr>
        <w:tc>
          <w:tcPr>
            <w:tcW w:w="4417" w:type="dxa"/>
            <w:gridSpan w:val="2"/>
            <w:vMerge/>
            <w:tcBorders>
              <w:left w:val="single" w:sz="4" w:space="0" w:color="auto"/>
              <w:right w:val="double" w:sz="4" w:space="0" w:color="auto"/>
            </w:tcBorders>
            <w:shd w:val="clear" w:color="auto" w:fill="FDE9D9" w:themeFill="accent6" w:themeFillTint="33"/>
            <w:vAlign w:val="center"/>
          </w:tcPr>
          <w:p w14:paraId="1300F911" w14:textId="77777777" w:rsidR="00F836E5" w:rsidRPr="008B619A" w:rsidRDefault="00F836E5" w:rsidP="005E7907">
            <w:pPr>
              <w:widowControl/>
              <w:rPr>
                <w:rFonts w:hAnsi="標楷體" w:cs="新細明體"/>
                <w:b/>
                <w:bCs/>
                <w:color w:val="000000" w:themeColor="text1"/>
                <w:kern w:val="0"/>
                <w:sz w:val="24"/>
                <w:szCs w:val="24"/>
              </w:rPr>
            </w:pPr>
          </w:p>
        </w:tc>
        <w:tc>
          <w:tcPr>
            <w:tcW w:w="1248" w:type="dxa"/>
            <w:tcBorders>
              <w:top w:val="single" w:sz="4" w:space="0" w:color="auto"/>
              <w:left w:val="double" w:sz="4" w:space="0" w:color="auto"/>
              <w:bottom w:val="single" w:sz="4" w:space="0" w:color="auto"/>
              <w:right w:val="single" w:sz="4" w:space="0" w:color="auto"/>
            </w:tcBorders>
          </w:tcPr>
          <w:p w14:paraId="275FC86F" w14:textId="77777777" w:rsidR="00F836E5" w:rsidRPr="008B619A" w:rsidRDefault="00F836E5" w:rsidP="005E7907">
            <w:pPr>
              <w:widowControl/>
              <w:rPr>
                <w:rFonts w:hAnsi="標楷體" w:cs="新細明體"/>
                <w:color w:val="000000" w:themeColor="text1"/>
                <w:kern w:val="0"/>
                <w:sz w:val="24"/>
                <w:szCs w:val="24"/>
              </w:rPr>
            </w:pPr>
          </w:p>
        </w:tc>
        <w:tc>
          <w:tcPr>
            <w:tcW w:w="3169" w:type="dxa"/>
            <w:tcBorders>
              <w:top w:val="nil"/>
              <w:left w:val="nil"/>
              <w:bottom w:val="single" w:sz="4" w:space="0" w:color="auto"/>
              <w:right w:val="single" w:sz="4" w:space="0" w:color="auto"/>
            </w:tcBorders>
          </w:tcPr>
          <w:p w14:paraId="20991A33" w14:textId="7397D6E9" w:rsidR="00F836E5" w:rsidRPr="008B619A" w:rsidRDefault="00F836E5" w:rsidP="005E7907">
            <w:pPr>
              <w:widowControl/>
              <w:rPr>
                <w:rFonts w:hAnsi="標楷體" w:cs="新細明體"/>
                <w:color w:val="000000" w:themeColor="text1"/>
                <w:kern w:val="0"/>
                <w:sz w:val="24"/>
                <w:szCs w:val="24"/>
              </w:rPr>
            </w:pPr>
            <w:r w:rsidRPr="008B619A">
              <w:rPr>
                <w:rFonts w:hAnsi="標楷體" w:cs="新細明體" w:hint="eastAsia"/>
                <w:color w:val="000000" w:themeColor="text1"/>
                <w:kern w:val="0"/>
                <w:sz w:val="24"/>
                <w:szCs w:val="24"/>
              </w:rPr>
              <w:t>外國語文學系</w:t>
            </w:r>
          </w:p>
        </w:tc>
      </w:tr>
      <w:tr w:rsidR="00F836E5" w:rsidRPr="008B619A" w14:paraId="5C42DE13" w14:textId="77777777" w:rsidTr="00F33FE5">
        <w:trPr>
          <w:trHeight w:val="315"/>
        </w:trPr>
        <w:tc>
          <w:tcPr>
            <w:tcW w:w="4417" w:type="dxa"/>
            <w:gridSpan w:val="2"/>
            <w:vMerge/>
            <w:tcBorders>
              <w:left w:val="single" w:sz="4" w:space="0" w:color="auto"/>
              <w:right w:val="double" w:sz="4" w:space="0" w:color="auto"/>
            </w:tcBorders>
            <w:shd w:val="clear" w:color="auto" w:fill="FDE9D9" w:themeFill="accent6" w:themeFillTint="33"/>
            <w:vAlign w:val="center"/>
          </w:tcPr>
          <w:p w14:paraId="2D4C2171" w14:textId="77777777" w:rsidR="00F836E5" w:rsidRPr="008B619A" w:rsidRDefault="00F836E5" w:rsidP="005E7907">
            <w:pPr>
              <w:widowControl/>
              <w:rPr>
                <w:rFonts w:hAnsi="標楷體" w:cs="新細明體"/>
                <w:b/>
                <w:bCs/>
                <w:color w:val="000000" w:themeColor="text1"/>
                <w:kern w:val="0"/>
                <w:sz w:val="24"/>
                <w:szCs w:val="24"/>
              </w:rPr>
            </w:pPr>
          </w:p>
        </w:tc>
        <w:tc>
          <w:tcPr>
            <w:tcW w:w="1248" w:type="dxa"/>
            <w:tcBorders>
              <w:top w:val="single" w:sz="4" w:space="0" w:color="auto"/>
              <w:left w:val="double" w:sz="4" w:space="0" w:color="auto"/>
              <w:bottom w:val="single" w:sz="4" w:space="0" w:color="auto"/>
              <w:right w:val="single" w:sz="4" w:space="0" w:color="auto"/>
            </w:tcBorders>
          </w:tcPr>
          <w:p w14:paraId="5CABA84B" w14:textId="77777777" w:rsidR="00F836E5" w:rsidRPr="008B619A" w:rsidRDefault="00F836E5" w:rsidP="005E7907">
            <w:pPr>
              <w:widowControl/>
              <w:rPr>
                <w:rFonts w:hAnsi="標楷體" w:cs="新細明體"/>
                <w:color w:val="000000" w:themeColor="text1"/>
                <w:kern w:val="0"/>
                <w:sz w:val="24"/>
                <w:szCs w:val="24"/>
              </w:rPr>
            </w:pPr>
          </w:p>
        </w:tc>
        <w:tc>
          <w:tcPr>
            <w:tcW w:w="3169" w:type="dxa"/>
            <w:tcBorders>
              <w:top w:val="nil"/>
              <w:left w:val="nil"/>
              <w:bottom w:val="single" w:sz="4" w:space="0" w:color="auto"/>
              <w:right w:val="single" w:sz="4" w:space="0" w:color="auto"/>
            </w:tcBorders>
          </w:tcPr>
          <w:p w14:paraId="40642095" w14:textId="7CE45D09" w:rsidR="00F836E5" w:rsidRPr="008B619A" w:rsidRDefault="00F836E5" w:rsidP="005E7907">
            <w:pPr>
              <w:widowControl/>
              <w:rPr>
                <w:rFonts w:hAnsi="標楷體" w:cs="新細明體"/>
                <w:color w:val="000000" w:themeColor="text1"/>
                <w:kern w:val="0"/>
                <w:sz w:val="24"/>
                <w:szCs w:val="24"/>
              </w:rPr>
            </w:pPr>
            <w:r w:rsidRPr="008B619A">
              <w:rPr>
                <w:rFonts w:hAnsi="標楷體" w:cs="新細明體" w:hint="eastAsia"/>
                <w:color w:val="000000" w:themeColor="text1"/>
                <w:kern w:val="0"/>
                <w:sz w:val="24"/>
                <w:szCs w:val="24"/>
              </w:rPr>
              <w:t>通訊工程研究所</w:t>
            </w:r>
          </w:p>
        </w:tc>
      </w:tr>
      <w:tr w:rsidR="00F836E5" w:rsidRPr="008B619A" w14:paraId="32DE2874" w14:textId="77777777" w:rsidTr="00F33FE5">
        <w:trPr>
          <w:trHeight w:val="315"/>
        </w:trPr>
        <w:tc>
          <w:tcPr>
            <w:tcW w:w="4417" w:type="dxa"/>
            <w:gridSpan w:val="2"/>
            <w:vMerge/>
            <w:tcBorders>
              <w:left w:val="single" w:sz="4" w:space="0" w:color="auto"/>
              <w:right w:val="double" w:sz="4" w:space="0" w:color="auto"/>
            </w:tcBorders>
            <w:shd w:val="clear" w:color="auto" w:fill="FDE9D9" w:themeFill="accent6" w:themeFillTint="33"/>
            <w:vAlign w:val="center"/>
          </w:tcPr>
          <w:p w14:paraId="1B8D6F98" w14:textId="77777777" w:rsidR="00F836E5" w:rsidRPr="008B619A" w:rsidRDefault="00F836E5" w:rsidP="005E7907">
            <w:pPr>
              <w:widowControl/>
              <w:rPr>
                <w:rFonts w:hAnsi="標楷體" w:cs="新細明體"/>
                <w:b/>
                <w:bCs/>
                <w:color w:val="000000" w:themeColor="text1"/>
                <w:kern w:val="0"/>
                <w:sz w:val="24"/>
                <w:szCs w:val="24"/>
              </w:rPr>
            </w:pPr>
          </w:p>
        </w:tc>
        <w:tc>
          <w:tcPr>
            <w:tcW w:w="1248" w:type="dxa"/>
            <w:tcBorders>
              <w:top w:val="single" w:sz="4" w:space="0" w:color="auto"/>
              <w:left w:val="double" w:sz="4" w:space="0" w:color="auto"/>
              <w:bottom w:val="single" w:sz="4" w:space="0" w:color="auto"/>
              <w:right w:val="single" w:sz="4" w:space="0" w:color="auto"/>
            </w:tcBorders>
          </w:tcPr>
          <w:p w14:paraId="1BFEDD95" w14:textId="77777777" w:rsidR="00F836E5" w:rsidRPr="008B619A" w:rsidRDefault="00F836E5" w:rsidP="005E7907">
            <w:pPr>
              <w:widowControl/>
              <w:rPr>
                <w:rFonts w:hAnsi="標楷體" w:cs="新細明體"/>
                <w:color w:val="000000" w:themeColor="text1"/>
                <w:kern w:val="0"/>
                <w:sz w:val="24"/>
                <w:szCs w:val="24"/>
              </w:rPr>
            </w:pPr>
          </w:p>
        </w:tc>
        <w:tc>
          <w:tcPr>
            <w:tcW w:w="3169" w:type="dxa"/>
            <w:tcBorders>
              <w:top w:val="nil"/>
              <w:left w:val="nil"/>
              <w:bottom w:val="single" w:sz="4" w:space="0" w:color="auto"/>
              <w:right w:val="single" w:sz="4" w:space="0" w:color="auto"/>
            </w:tcBorders>
          </w:tcPr>
          <w:p w14:paraId="1B875BEC" w14:textId="5CFA82F5" w:rsidR="00F836E5" w:rsidRPr="008B619A" w:rsidRDefault="00F836E5" w:rsidP="005E7907">
            <w:pPr>
              <w:widowControl/>
              <w:rPr>
                <w:rFonts w:hAnsi="標楷體" w:cs="新細明體"/>
                <w:color w:val="000000" w:themeColor="text1"/>
                <w:kern w:val="0"/>
                <w:sz w:val="24"/>
                <w:szCs w:val="24"/>
              </w:rPr>
            </w:pPr>
            <w:r w:rsidRPr="008B619A">
              <w:rPr>
                <w:rFonts w:hAnsi="標楷體" w:cs="新細明體" w:hint="eastAsia"/>
                <w:color w:val="000000" w:themeColor="text1"/>
                <w:kern w:val="0"/>
                <w:sz w:val="24"/>
                <w:szCs w:val="24"/>
              </w:rPr>
              <w:t>光電工程研究所</w:t>
            </w:r>
          </w:p>
        </w:tc>
      </w:tr>
      <w:tr w:rsidR="00F836E5" w:rsidRPr="008B619A" w14:paraId="2A748AE0" w14:textId="77777777" w:rsidTr="00F33FE5">
        <w:trPr>
          <w:trHeight w:val="315"/>
        </w:trPr>
        <w:tc>
          <w:tcPr>
            <w:tcW w:w="4417" w:type="dxa"/>
            <w:gridSpan w:val="2"/>
            <w:vMerge/>
            <w:tcBorders>
              <w:left w:val="single" w:sz="4" w:space="0" w:color="auto"/>
              <w:bottom w:val="single" w:sz="4" w:space="0" w:color="auto"/>
              <w:right w:val="double" w:sz="4" w:space="0" w:color="auto"/>
            </w:tcBorders>
            <w:shd w:val="clear" w:color="auto" w:fill="FDE9D9" w:themeFill="accent6" w:themeFillTint="33"/>
            <w:vAlign w:val="center"/>
          </w:tcPr>
          <w:p w14:paraId="60F7FB56" w14:textId="77777777" w:rsidR="00F836E5" w:rsidRPr="008B619A" w:rsidRDefault="00F836E5" w:rsidP="005E7907">
            <w:pPr>
              <w:widowControl/>
              <w:rPr>
                <w:rFonts w:hAnsi="標楷體" w:cs="新細明體"/>
                <w:b/>
                <w:bCs/>
                <w:color w:val="000000" w:themeColor="text1"/>
                <w:kern w:val="0"/>
                <w:sz w:val="24"/>
                <w:szCs w:val="24"/>
              </w:rPr>
            </w:pPr>
          </w:p>
        </w:tc>
        <w:tc>
          <w:tcPr>
            <w:tcW w:w="1248" w:type="dxa"/>
            <w:tcBorders>
              <w:top w:val="single" w:sz="4" w:space="0" w:color="auto"/>
              <w:left w:val="double" w:sz="4" w:space="0" w:color="auto"/>
              <w:bottom w:val="single" w:sz="4" w:space="0" w:color="auto"/>
              <w:right w:val="single" w:sz="4" w:space="0" w:color="auto"/>
            </w:tcBorders>
          </w:tcPr>
          <w:p w14:paraId="247201AA" w14:textId="77777777" w:rsidR="00F836E5" w:rsidRPr="008B619A" w:rsidRDefault="00F836E5" w:rsidP="005E7907">
            <w:pPr>
              <w:widowControl/>
              <w:rPr>
                <w:rFonts w:hAnsi="標楷體" w:cs="新細明體"/>
                <w:color w:val="000000" w:themeColor="text1"/>
                <w:kern w:val="0"/>
                <w:sz w:val="24"/>
                <w:szCs w:val="24"/>
              </w:rPr>
            </w:pPr>
          </w:p>
        </w:tc>
        <w:tc>
          <w:tcPr>
            <w:tcW w:w="3169" w:type="dxa"/>
            <w:tcBorders>
              <w:top w:val="nil"/>
              <w:left w:val="nil"/>
              <w:bottom w:val="single" w:sz="4" w:space="0" w:color="auto"/>
              <w:right w:val="single" w:sz="4" w:space="0" w:color="auto"/>
            </w:tcBorders>
          </w:tcPr>
          <w:p w14:paraId="44B68E0E" w14:textId="02843581" w:rsidR="00F836E5" w:rsidRPr="008B619A" w:rsidRDefault="00F836E5" w:rsidP="005E7907">
            <w:pPr>
              <w:widowControl/>
              <w:rPr>
                <w:rFonts w:hAnsi="標楷體" w:cs="新細明體"/>
                <w:color w:val="000000" w:themeColor="text1"/>
                <w:kern w:val="0"/>
                <w:sz w:val="24"/>
                <w:szCs w:val="24"/>
              </w:rPr>
            </w:pPr>
            <w:r w:rsidRPr="008B619A">
              <w:rPr>
                <w:rFonts w:hAnsi="標楷體" w:cs="新細明體" w:hint="eastAsia"/>
                <w:color w:val="000000" w:themeColor="text1"/>
                <w:kern w:val="0"/>
                <w:sz w:val="24"/>
                <w:szCs w:val="24"/>
              </w:rPr>
              <w:t>化學工程與材料工程系</w:t>
            </w:r>
          </w:p>
        </w:tc>
      </w:tr>
      <w:tr w:rsidR="00CD0746" w:rsidRPr="008B619A" w14:paraId="4D701D9B" w14:textId="77777777" w:rsidTr="00F33FE5">
        <w:trPr>
          <w:trHeight w:val="180"/>
        </w:trPr>
        <w:tc>
          <w:tcPr>
            <w:tcW w:w="8834" w:type="dxa"/>
            <w:gridSpan w:val="4"/>
            <w:tcBorders>
              <w:left w:val="single" w:sz="4" w:space="0" w:color="auto"/>
              <w:bottom w:val="single" w:sz="4" w:space="0" w:color="auto"/>
              <w:right w:val="single" w:sz="4" w:space="0" w:color="auto"/>
            </w:tcBorders>
            <w:shd w:val="clear" w:color="auto" w:fill="FDE9D9" w:themeFill="accent6" w:themeFillTint="33"/>
            <w:vAlign w:val="center"/>
          </w:tcPr>
          <w:p w14:paraId="20B4A6CF" w14:textId="77777777" w:rsidR="00CD0746" w:rsidRPr="008B619A" w:rsidRDefault="00CD0746" w:rsidP="005E7907">
            <w:pPr>
              <w:widowControl/>
              <w:rPr>
                <w:rFonts w:hAnsi="標楷體" w:cs="新細明體"/>
                <w:b/>
                <w:bCs/>
                <w:color w:val="000000" w:themeColor="text1"/>
                <w:kern w:val="0"/>
                <w:sz w:val="10"/>
                <w:szCs w:val="10"/>
              </w:rPr>
            </w:pPr>
          </w:p>
        </w:tc>
      </w:tr>
      <w:tr w:rsidR="00794D69" w:rsidRPr="008B619A" w14:paraId="7B513E6C" w14:textId="364F27B8" w:rsidTr="00F33FE5">
        <w:trPr>
          <w:trHeight w:val="315"/>
        </w:trPr>
        <w:tc>
          <w:tcPr>
            <w:tcW w:w="1129" w:type="dxa"/>
            <w:vMerge w:val="restart"/>
            <w:tcBorders>
              <w:top w:val="nil"/>
              <w:left w:val="single" w:sz="4" w:space="0" w:color="auto"/>
              <w:right w:val="single" w:sz="4" w:space="0" w:color="auto"/>
            </w:tcBorders>
            <w:shd w:val="clear" w:color="auto" w:fill="FDE9D9" w:themeFill="accent6" w:themeFillTint="33"/>
            <w:vAlign w:val="center"/>
            <w:hideMark/>
          </w:tcPr>
          <w:p w14:paraId="0AD3DBC2" w14:textId="20740ED8" w:rsidR="00794D69" w:rsidRPr="008B619A" w:rsidRDefault="00794D69" w:rsidP="00772E71">
            <w:pPr>
              <w:jc w:val="center"/>
              <w:rPr>
                <w:rFonts w:hAnsi="標楷體" w:cs="新細明體"/>
                <w:b/>
                <w:bCs/>
                <w:color w:val="000000" w:themeColor="text1"/>
                <w:kern w:val="0"/>
                <w:sz w:val="24"/>
                <w:szCs w:val="24"/>
              </w:rPr>
            </w:pPr>
            <w:r w:rsidRPr="008B619A">
              <w:rPr>
                <w:rFonts w:hAnsi="標楷體" w:cs="新細明體" w:hint="eastAsia"/>
                <w:b/>
                <w:bCs/>
                <w:color w:val="000000" w:themeColor="text1"/>
                <w:kern w:val="0"/>
                <w:sz w:val="24"/>
                <w:szCs w:val="24"/>
              </w:rPr>
              <w:t>108</w:t>
            </w:r>
          </w:p>
        </w:tc>
        <w:tc>
          <w:tcPr>
            <w:tcW w:w="3288" w:type="dxa"/>
            <w:tcBorders>
              <w:top w:val="nil"/>
              <w:left w:val="nil"/>
              <w:bottom w:val="single" w:sz="4" w:space="0" w:color="auto"/>
              <w:right w:val="double" w:sz="4" w:space="0" w:color="auto"/>
            </w:tcBorders>
            <w:shd w:val="clear" w:color="auto" w:fill="auto"/>
            <w:vAlign w:val="center"/>
            <w:hideMark/>
          </w:tcPr>
          <w:p w14:paraId="7CA25985" w14:textId="77777777" w:rsidR="00794D69" w:rsidRPr="008B619A" w:rsidRDefault="00794D69" w:rsidP="00772E71">
            <w:pPr>
              <w:widowControl/>
              <w:rPr>
                <w:rFonts w:hAnsi="標楷體" w:cs="新細明體"/>
                <w:color w:val="000000" w:themeColor="text1"/>
                <w:kern w:val="0"/>
                <w:sz w:val="24"/>
                <w:szCs w:val="24"/>
              </w:rPr>
            </w:pPr>
            <w:r w:rsidRPr="008B619A">
              <w:rPr>
                <w:rFonts w:hAnsi="標楷體" w:cs="新細明體" w:hint="eastAsia"/>
                <w:color w:val="000000" w:themeColor="text1"/>
                <w:kern w:val="0"/>
                <w:sz w:val="24"/>
                <w:szCs w:val="24"/>
              </w:rPr>
              <w:t>外交學系</w:t>
            </w:r>
          </w:p>
        </w:tc>
        <w:tc>
          <w:tcPr>
            <w:tcW w:w="1248" w:type="dxa"/>
            <w:vMerge w:val="restart"/>
            <w:tcBorders>
              <w:top w:val="single" w:sz="4" w:space="0" w:color="auto"/>
              <w:left w:val="double" w:sz="4" w:space="0" w:color="auto"/>
              <w:right w:val="single" w:sz="4" w:space="0" w:color="auto"/>
            </w:tcBorders>
            <w:vAlign w:val="center"/>
          </w:tcPr>
          <w:p w14:paraId="15B39630" w14:textId="4FACEA6C" w:rsidR="00794D69" w:rsidRPr="008B619A" w:rsidRDefault="00794D69" w:rsidP="00772E71">
            <w:pPr>
              <w:rPr>
                <w:rFonts w:hAnsi="標楷體" w:cs="新細明體"/>
                <w:color w:val="000000" w:themeColor="text1"/>
                <w:kern w:val="0"/>
                <w:sz w:val="24"/>
                <w:szCs w:val="24"/>
              </w:rPr>
            </w:pPr>
            <w:r w:rsidRPr="008B619A">
              <w:rPr>
                <w:rFonts w:hAnsi="標楷體" w:cs="新細明體" w:hint="eastAsia"/>
                <w:color w:val="000000" w:themeColor="text1"/>
                <w:kern w:val="0"/>
                <w:sz w:val="24"/>
                <w:szCs w:val="24"/>
              </w:rPr>
              <w:t>109</w:t>
            </w:r>
          </w:p>
        </w:tc>
        <w:tc>
          <w:tcPr>
            <w:tcW w:w="3169" w:type="dxa"/>
            <w:tcBorders>
              <w:top w:val="nil"/>
              <w:left w:val="nil"/>
              <w:bottom w:val="single" w:sz="4" w:space="0" w:color="auto"/>
              <w:right w:val="single" w:sz="4" w:space="0" w:color="auto"/>
            </w:tcBorders>
            <w:vAlign w:val="center"/>
          </w:tcPr>
          <w:p w14:paraId="259568D6" w14:textId="05469B81" w:rsidR="00794D69" w:rsidRPr="008B619A" w:rsidRDefault="00794D69" w:rsidP="00772E71">
            <w:pPr>
              <w:widowControl/>
              <w:rPr>
                <w:rFonts w:hAnsi="標楷體" w:cs="新細明體"/>
                <w:color w:val="000000" w:themeColor="text1"/>
                <w:kern w:val="0"/>
                <w:sz w:val="24"/>
                <w:szCs w:val="24"/>
              </w:rPr>
            </w:pPr>
            <w:r w:rsidRPr="008B619A">
              <w:rPr>
                <w:rFonts w:hAnsi="標楷體" w:cs="新細明體" w:hint="eastAsia"/>
                <w:color w:val="000000" w:themeColor="text1"/>
                <w:kern w:val="0"/>
                <w:sz w:val="24"/>
                <w:szCs w:val="24"/>
              </w:rPr>
              <w:t>台灣文學研究所</w:t>
            </w:r>
          </w:p>
        </w:tc>
      </w:tr>
      <w:tr w:rsidR="00794D69" w:rsidRPr="008B619A" w14:paraId="2C26713F" w14:textId="6FE39276" w:rsidTr="00F33FE5">
        <w:trPr>
          <w:trHeight w:val="315"/>
        </w:trPr>
        <w:tc>
          <w:tcPr>
            <w:tcW w:w="1129" w:type="dxa"/>
            <w:vMerge/>
            <w:tcBorders>
              <w:left w:val="single" w:sz="4" w:space="0" w:color="auto"/>
              <w:right w:val="single" w:sz="4" w:space="0" w:color="auto"/>
            </w:tcBorders>
            <w:shd w:val="clear" w:color="auto" w:fill="FDE9D9" w:themeFill="accent6" w:themeFillTint="33"/>
            <w:vAlign w:val="center"/>
            <w:hideMark/>
          </w:tcPr>
          <w:p w14:paraId="76D49FDB" w14:textId="3797DFE6" w:rsidR="00794D69" w:rsidRPr="008B619A" w:rsidRDefault="00794D69" w:rsidP="00772E71">
            <w:pPr>
              <w:jc w:val="center"/>
              <w:rPr>
                <w:rFonts w:hAnsi="標楷體" w:cs="新細明體"/>
                <w:b/>
                <w:bCs/>
                <w:color w:val="000000" w:themeColor="text1"/>
                <w:kern w:val="0"/>
                <w:sz w:val="24"/>
                <w:szCs w:val="24"/>
              </w:rPr>
            </w:pPr>
          </w:p>
        </w:tc>
        <w:tc>
          <w:tcPr>
            <w:tcW w:w="3288" w:type="dxa"/>
            <w:tcBorders>
              <w:top w:val="nil"/>
              <w:left w:val="nil"/>
              <w:bottom w:val="single" w:sz="4" w:space="0" w:color="auto"/>
              <w:right w:val="double" w:sz="4" w:space="0" w:color="auto"/>
            </w:tcBorders>
            <w:shd w:val="clear" w:color="auto" w:fill="auto"/>
            <w:vAlign w:val="center"/>
            <w:hideMark/>
          </w:tcPr>
          <w:p w14:paraId="560580AE" w14:textId="77777777" w:rsidR="00794D69" w:rsidRPr="008B619A" w:rsidRDefault="00794D69" w:rsidP="00772E71">
            <w:pPr>
              <w:widowControl/>
              <w:rPr>
                <w:rFonts w:hAnsi="標楷體" w:cs="新細明體"/>
                <w:color w:val="000000" w:themeColor="text1"/>
                <w:kern w:val="0"/>
                <w:sz w:val="24"/>
                <w:szCs w:val="24"/>
              </w:rPr>
            </w:pPr>
            <w:r w:rsidRPr="008B619A">
              <w:rPr>
                <w:rFonts w:hAnsi="標楷體" w:cs="新細明體" w:hint="eastAsia"/>
                <w:color w:val="000000" w:themeColor="text1"/>
                <w:kern w:val="0"/>
                <w:sz w:val="24"/>
                <w:szCs w:val="24"/>
              </w:rPr>
              <w:t>圖書資訊與檔案學研究所</w:t>
            </w:r>
          </w:p>
        </w:tc>
        <w:tc>
          <w:tcPr>
            <w:tcW w:w="1248" w:type="dxa"/>
            <w:vMerge/>
            <w:tcBorders>
              <w:left w:val="double" w:sz="4" w:space="0" w:color="auto"/>
              <w:right w:val="single" w:sz="4" w:space="0" w:color="auto"/>
            </w:tcBorders>
            <w:vAlign w:val="center"/>
          </w:tcPr>
          <w:p w14:paraId="0876A5F7" w14:textId="454C2B09" w:rsidR="00794D69" w:rsidRPr="008B619A" w:rsidRDefault="00794D69" w:rsidP="00772E71">
            <w:pPr>
              <w:rPr>
                <w:rFonts w:hAnsi="標楷體" w:cs="新細明體"/>
                <w:color w:val="000000" w:themeColor="text1"/>
                <w:kern w:val="0"/>
                <w:sz w:val="24"/>
                <w:szCs w:val="24"/>
              </w:rPr>
            </w:pPr>
          </w:p>
        </w:tc>
        <w:tc>
          <w:tcPr>
            <w:tcW w:w="3169" w:type="dxa"/>
            <w:tcBorders>
              <w:top w:val="nil"/>
              <w:left w:val="nil"/>
              <w:bottom w:val="single" w:sz="4" w:space="0" w:color="auto"/>
              <w:right w:val="single" w:sz="4" w:space="0" w:color="auto"/>
            </w:tcBorders>
            <w:vAlign w:val="center"/>
          </w:tcPr>
          <w:p w14:paraId="4AC9BA30" w14:textId="1E980FA1" w:rsidR="00794D69" w:rsidRPr="008B619A" w:rsidRDefault="00794D69" w:rsidP="00772E71">
            <w:pPr>
              <w:widowControl/>
              <w:rPr>
                <w:rFonts w:hAnsi="標楷體" w:cs="新細明體"/>
                <w:color w:val="000000" w:themeColor="text1"/>
                <w:kern w:val="0"/>
                <w:sz w:val="24"/>
                <w:szCs w:val="24"/>
              </w:rPr>
            </w:pPr>
            <w:r w:rsidRPr="008B619A">
              <w:rPr>
                <w:rFonts w:hAnsi="標楷體" w:cs="新細明體" w:hint="eastAsia"/>
                <w:color w:val="000000" w:themeColor="text1"/>
                <w:kern w:val="0"/>
                <w:sz w:val="24"/>
                <w:szCs w:val="24"/>
              </w:rPr>
              <w:t>財政學系</w:t>
            </w:r>
          </w:p>
        </w:tc>
      </w:tr>
      <w:tr w:rsidR="00794D69" w:rsidRPr="008B619A" w14:paraId="6E881035" w14:textId="37F8ABE3" w:rsidTr="00F33FE5">
        <w:trPr>
          <w:trHeight w:val="315"/>
        </w:trPr>
        <w:tc>
          <w:tcPr>
            <w:tcW w:w="1129" w:type="dxa"/>
            <w:vMerge/>
            <w:tcBorders>
              <w:left w:val="single" w:sz="4" w:space="0" w:color="auto"/>
              <w:right w:val="single" w:sz="4" w:space="0" w:color="auto"/>
            </w:tcBorders>
            <w:shd w:val="clear" w:color="auto" w:fill="FDE9D9" w:themeFill="accent6" w:themeFillTint="33"/>
            <w:vAlign w:val="center"/>
            <w:hideMark/>
          </w:tcPr>
          <w:p w14:paraId="59D35627" w14:textId="51D6CD18" w:rsidR="00794D69" w:rsidRPr="008B619A" w:rsidRDefault="00794D69" w:rsidP="00772E71">
            <w:pPr>
              <w:jc w:val="center"/>
              <w:rPr>
                <w:rFonts w:hAnsi="標楷體" w:cs="新細明體"/>
                <w:b/>
                <w:bCs/>
                <w:color w:val="000000" w:themeColor="text1"/>
                <w:kern w:val="0"/>
                <w:sz w:val="24"/>
                <w:szCs w:val="24"/>
              </w:rPr>
            </w:pPr>
          </w:p>
        </w:tc>
        <w:tc>
          <w:tcPr>
            <w:tcW w:w="3288" w:type="dxa"/>
            <w:tcBorders>
              <w:top w:val="nil"/>
              <w:left w:val="nil"/>
              <w:bottom w:val="single" w:sz="4" w:space="0" w:color="auto"/>
              <w:right w:val="double" w:sz="4" w:space="0" w:color="auto"/>
            </w:tcBorders>
            <w:shd w:val="clear" w:color="auto" w:fill="auto"/>
            <w:vAlign w:val="center"/>
            <w:hideMark/>
          </w:tcPr>
          <w:p w14:paraId="1B9CEEF6" w14:textId="77777777" w:rsidR="00794D69" w:rsidRPr="008B619A" w:rsidRDefault="00794D69" w:rsidP="00772E71">
            <w:pPr>
              <w:widowControl/>
              <w:rPr>
                <w:rFonts w:hAnsi="標楷體" w:cs="新細明體"/>
                <w:color w:val="000000" w:themeColor="text1"/>
                <w:kern w:val="0"/>
                <w:sz w:val="24"/>
                <w:szCs w:val="24"/>
              </w:rPr>
            </w:pPr>
            <w:r w:rsidRPr="008B619A">
              <w:rPr>
                <w:rFonts w:hAnsi="標楷體" w:cs="新細明體" w:hint="eastAsia"/>
                <w:color w:val="000000" w:themeColor="text1"/>
                <w:kern w:val="0"/>
                <w:sz w:val="24"/>
                <w:szCs w:val="24"/>
              </w:rPr>
              <w:t>會計學系</w:t>
            </w:r>
          </w:p>
        </w:tc>
        <w:tc>
          <w:tcPr>
            <w:tcW w:w="1248" w:type="dxa"/>
            <w:vMerge/>
            <w:tcBorders>
              <w:left w:val="double" w:sz="4" w:space="0" w:color="auto"/>
              <w:right w:val="single" w:sz="4" w:space="0" w:color="auto"/>
            </w:tcBorders>
            <w:vAlign w:val="center"/>
          </w:tcPr>
          <w:p w14:paraId="59E7053F" w14:textId="685578A4" w:rsidR="00794D69" w:rsidRPr="008B619A" w:rsidRDefault="00794D69" w:rsidP="00772E71">
            <w:pPr>
              <w:rPr>
                <w:rFonts w:hAnsi="標楷體" w:cs="新細明體"/>
                <w:color w:val="000000" w:themeColor="text1"/>
                <w:kern w:val="0"/>
                <w:sz w:val="24"/>
                <w:szCs w:val="24"/>
              </w:rPr>
            </w:pPr>
          </w:p>
        </w:tc>
        <w:tc>
          <w:tcPr>
            <w:tcW w:w="3169" w:type="dxa"/>
            <w:tcBorders>
              <w:top w:val="nil"/>
              <w:left w:val="nil"/>
              <w:bottom w:val="single" w:sz="4" w:space="0" w:color="auto"/>
              <w:right w:val="single" w:sz="4" w:space="0" w:color="auto"/>
            </w:tcBorders>
            <w:vAlign w:val="center"/>
          </w:tcPr>
          <w:p w14:paraId="0EC11D4D" w14:textId="689A8C0E" w:rsidR="00794D69" w:rsidRPr="008B619A" w:rsidRDefault="00794D69" w:rsidP="00772E71">
            <w:pPr>
              <w:widowControl/>
              <w:rPr>
                <w:rFonts w:hAnsi="標楷體" w:cs="新細明體"/>
                <w:color w:val="000000" w:themeColor="text1"/>
                <w:kern w:val="0"/>
                <w:sz w:val="24"/>
                <w:szCs w:val="24"/>
              </w:rPr>
            </w:pPr>
            <w:r w:rsidRPr="008B619A">
              <w:rPr>
                <w:rFonts w:hAnsi="標楷體" w:cs="新細明體" w:hint="eastAsia"/>
                <w:color w:val="000000" w:themeColor="text1"/>
                <w:kern w:val="0"/>
                <w:sz w:val="24"/>
                <w:szCs w:val="24"/>
              </w:rPr>
              <w:t>國際經營與貿易學系</w:t>
            </w:r>
          </w:p>
        </w:tc>
      </w:tr>
      <w:tr w:rsidR="00794D69" w:rsidRPr="008B619A" w14:paraId="247C271D" w14:textId="218DDD87" w:rsidTr="00F33FE5">
        <w:trPr>
          <w:trHeight w:val="315"/>
        </w:trPr>
        <w:tc>
          <w:tcPr>
            <w:tcW w:w="1129" w:type="dxa"/>
            <w:vMerge/>
            <w:tcBorders>
              <w:left w:val="single" w:sz="4" w:space="0" w:color="auto"/>
              <w:right w:val="single" w:sz="4" w:space="0" w:color="auto"/>
            </w:tcBorders>
            <w:shd w:val="clear" w:color="auto" w:fill="FDE9D9" w:themeFill="accent6" w:themeFillTint="33"/>
            <w:vAlign w:val="center"/>
            <w:hideMark/>
          </w:tcPr>
          <w:p w14:paraId="74E2ADF9" w14:textId="78B13769" w:rsidR="00794D69" w:rsidRPr="008B619A" w:rsidRDefault="00794D69" w:rsidP="00772E71">
            <w:pPr>
              <w:jc w:val="center"/>
              <w:rPr>
                <w:rFonts w:hAnsi="標楷體" w:cs="新細明體"/>
                <w:b/>
                <w:bCs/>
                <w:color w:val="000000" w:themeColor="text1"/>
                <w:kern w:val="0"/>
                <w:sz w:val="24"/>
                <w:szCs w:val="24"/>
              </w:rPr>
            </w:pPr>
          </w:p>
        </w:tc>
        <w:tc>
          <w:tcPr>
            <w:tcW w:w="3288" w:type="dxa"/>
            <w:tcBorders>
              <w:top w:val="nil"/>
              <w:left w:val="nil"/>
              <w:bottom w:val="single" w:sz="4" w:space="0" w:color="auto"/>
              <w:right w:val="double" w:sz="4" w:space="0" w:color="auto"/>
            </w:tcBorders>
            <w:shd w:val="clear" w:color="auto" w:fill="auto"/>
            <w:vAlign w:val="center"/>
            <w:hideMark/>
          </w:tcPr>
          <w:p w14:paraId="373918E0" w14:textId="77777777" w:rsidR="00794D69" w:rsidRPr="008B619A" w:rsidRDefault="00794D69" w:rsidP="00772E71">
            <w:pPr>
              <w:widowControl/>
              <w:rPr>
                <w:rFonts w:hAnsi="標楷體" w:cs="新細明體"/>
                <w:color w:val="000000" w:themeColor="text1"/>
                <w:kern w:val="0"/>
                <w:sz w:val="24"/>
                <w:szCs w:val="24"/>
              </w:rPr>
            </w:pPr>
            <w:r w:rsidRPr="008B619A">
              <w:rPr>
                <w:rFonts w:hAnsi="標楷體" w:cs="新細明體" w:hint="eastAsia"/>
                <w:color w:val="000000" w:themeColor="text1"/>
                <w:kern w:val="0"/>
                <w:sz w:val="24"/>
                <w:szCs w:val="24"/>
              </w:rPr>
              <w:t>人類學研究所</w:t>
            </w:r>
          </w:p>
        </w:tc>
        <w:tc>
          <w:tcPr>
            <w:tcW w:w="1248" w:type="dxa"/>
            <w:vMerge/>
            <w:tcBorders>
              <w:left w:val="double" w:sz="4" w:space="0" w:color="auto"/>
              <w:right w:val="single" w:sz="4" w:space="0" w:color="auto"/>
            </w:tcBorders>
            <w:vAlign w:val="center"/>
          </w:tcPr>
          <w:p w14:paraId="5A78539E" w14:textId="226E2571" w:rsidR="00794D69" w:rsidRPr="008B619A" w:rsidRDefault="00794D69" w:rsidP="00772E71">
            <w:pPr>
              <w:rPr>
                <w:rFonts w:hAnsi="標楷體" w:cs="新細明體"/>
                <w:color w:val="000000" w:themeColor="text1"/>
                <w:kern w:val="0"/>
                <w:sz w:val="24"/>
                <w:szCs w:val="24"/>
              </w:rPr>
            </w:pPr>
          </w:p>
        </w:tc>
        <w:tc>
          <w:tcPr>
            <w:tcW w:w="3169" w:type="dxa"/>
            <w:tcBorders>
              <w:top w:val="nil"/>
              <w:left w:val="nil"/>
              <w:bottom w:val="single" w:sz="4" w:space="0" w:color="auto"/>
              <w:right w:val="single" w:sz="4" w:space="0" w:color="auto"/>
            </w:tcBorders>
            <w:vAlign w:val="center"/>
          </w:tcPr>
          <w:p w14:paraId="552CAA7D" w14:textId="5C06892A" w:rsidR="00794D69" w:rsidRPr="008B619A" w:rsidRDefault="00794D69" w:rsidP="00772E71">
            <w:pPr>
              <w:widowControl/>
              <w:rPr>
                <w:rFonts w:hAnsi="標楷體" w:cs="新細明體"/>
                <w:color w:val="000000" w:themeColor="text1"/>
                <w:kern w:val="0"/>
                <w:sz w:val="24"/>
                <w:szCs w:val="24"/>
              </w:rPr>
            </w:pPr>
            <w:r w:rsidRPr="008B619A">
              <w:rPr>
                <w:rFonts w:hAnsi="標楷體" w:cs="新細明體" w:hint="eastAsia"/>
                <w:color w:val="000000" w:themeColor="text1"/>
                <w:kern w:val="0"/>
                <w:sz w:val="24"/>
                <w:szCs w:val="24"/>
              </w:rPr>
              <w:t>外交學系</w:t>
            </w:r>
          </w:p>
        </w:tc>
      </w:tr>
      <w:tr w:rsidR="00794D69" w:rsidRPr="008B619A" w14:paraId="4DF22E38" w14:textId="2D95724D" w:rsidTr="00F33FE5">
        <w:trPr>
          <w:trHeight w:val="315"/>
        </w:trPr>
        <w:tc>
          <w:tcPr>
            <w:tcW w:w="1129" w:type="dxa"/>
            <w:vMerge/>
            <w:tcBorders>
              <w:left w:val="single" w:sz="4" w:space="0" w:color="auto"/>
              <w:right w:val="single" w:sz="4" w:space="0" w:color="auto"/>
            </w:tcBorders>
            <w:shd w:val="clear" w:color="auto" w:fill="FDE9D9" w:themeFill="accent6" w:themeFillTint="33"/>
            <w:vAlign w:val="center"/>
            <w:hideMark/>
          </w:tcPr>
          <w:p w14:paraId="49F53FED" w14:textId="46E31ED7" w:rsidR="00794D69" w:rsidRPr="008B619A" w:rsidRDefault="00794D69" w:rsidP="00772E71">
            <w:pPr>
              <w:jc w:val="center"/>
              <w:rPr>
                <w:rFonts w:hAnsi="標楷體" w:cs="新細明體"/>
                <w:b/>
                <w:bCs/>
                <w:color w:val="000000" w:themeColor="text1"/>
                <w:kern w:val="0"/>
                <w:sz w:val="24"/>
                <w:szCs w:val="24"/>
              </w:rPr>
            </w:pPr>
          </w:p>
        </w:tc>
        <w:tc>
          <w:tcPr>
            <w:tcW w:w="3288" w:type="dxa"/>
            <w:tcBorders>
              <w:top w:val="nil"/>
              <w:left w:val="nil"/>
              <w:bottom w:val="single" w:sz="4" w:space="0" w:color="auto"/>
              <w:right w:val="double" w:sz="4" w:space="0" w:color="auto"/>
            </w:tcBorders>
            <w:shd w:val="clear" w:color="auto" w:fill="auto"/>
            <w:vAlign w:val="center"/>
            <w:hideMark/>
          </w:tcPr>
          <w:p w14:paraId="60A2505F" w14:textId="77777777" w:rsidR="00794D69" w:rsidRPr="008B619A" w:rsidRDefault="00794D69" w:rsidP="00772E71">
            <w:pPr>
              <w:widowControl/>
              <w:rPr>
                <w:rFonts w:hAnsi="標楷體" w:cs="新細明體"/>
                <w:color w:val="000000" w:themeColor="text1"/>
                <w:kern w:val="0"/>
                <w:sz w:val="24"/>
                <w:szCs w:val="24"/>
              </w:rPr>
            </w:pPr>
            <w:r w:rsidRPr="008B619A">
              <w:rPr>
                <w:rFonts w:hAnsi="標楷體" w:cs="新細明體" w:hint="eastAsia"/>
                <w:color w:val="000000" w:themeColor="text1"/>
                <w:kern w:val="0"/>
                <w:sz w:val="24"/>
                <w:szCs w:val="24"/>
              </w:rPr>
              <w:t>語言學研究所</w:t>
            </w:r>
          </w:p>
        </w:tc>
        <w:tc>
          <w:tcPr>
            <w:tcW w:w="1248" w:type="dxa"/>
            <w:vMerge/>
            <w:tcBorders>
              <w:left w:val="double" w:sz="4" w:space="0" w:color="auto"/>
              <w:right w:val="single" w:sz="4" w:space="0" w:color="auto"/>
            </w:tcBorders>
            <w:vAlign w:val="center"/>
          </w:tcPr>
          <w:p w14:paraId="594EB53C" w14:textId="00817E56" w:rsidR="00794D69" w:rsidRPr="008B619A" w:rsidRDefault="00794D69" w:rsidP="00772E71">
            <w:pPr>
              <w:rPr>
                <w:rFonts w:hAnsi="標楷體" w:cs="新細明體"/>
                <w:color w:val="000000" w:themeColor="text1"/>
                <w:kern w:val="0"/>
                <w:sz w:val="24"/>
                <w:szCs w:val="24"/>
              </w:rPr>
            </w:pPr>
          </w:p>
        </w:tc>
        <w:tc>
          <w:tcPr>
            <w:tcW w:w="3169" w:type="dxa"/>
            <w:tcBorders>
              <w:top w:val="nil"/>
              <w:left w:val="nil"/>
              <w:bottom w:val="single" w:sz="4" w:space="0" w:color="auto"/>
              <w:right w:val="single" w:sz="4" w:space="0" w:color="auto"/>
            </w:tcBorders>
            <w:vAlign w:val="center"/>
          </w:tcPr>
          <w:p w14:paraId="3B8BA0A7" w14:textId="179DC6A8" w:rsidR="00794D69" w:rsidRPr="008B619A" w:rsidRDefault="00794D69" w:rsidP="00772E71">
            <w:pPr>
              <w:widowControl/>
              <w:rPr>
                <w:rFonts w:hAnsi="標楷體" w:cs="新細明體"/>
                <w:color w:val="000000" w:themeColor="text1"/>
                <w:kern w:val="0"/>
                <w:sz w:val="24"/>
                <w:szCs w:val="24"/>
              </w:rPr>
            </w:pPr>
            <w:r w:rsidRPr="008B619A">
              <w:rPr>
                <w:rFonts w:hAnsi="標楷體" w:cs="新細明體" w:hint="eastAsia"/>
                <w:color w:val="000000" w:themeColor="text1"/>
                <w:kern w:val="0"/>
                <w:sz w:val="24"/>
                <w:szCs w:val="24"/>
              </w:rPr>
              <w:t>日本研究博士學位學程</w:t>
            </w:r>
          </w:p>
        </w:tc>
      </w:tr>
      <w:tr w:rsidR="00794D69" w:rsidRPr="008B619A" w14:paraId="385930A6" w14:textId="769F090C" w:rsidTr="00F33FE5">
        <w:trPr>
          <w:trHeight w:val="315"/>
        </w:trPr>
        <w:tc>
          <w:tcPr>
            <w:tcW w:w="1129" w:type="dxa"/>
            <w:vMerge/>
            <w:tcBorders>
              <w:left w:val="single" w:sz="4" w:space="0" w:color="auto"/>
              <w:right w:val="single" w:sz="4" w:space="0" w:color="auto"/>
            </w:tcBorders>
            <w:shd w:val="clear" w:color="auto" w:fill="FDE9D9" w:themeFill="accent6" w:themeFillTint="33"/>
            <w:vAlign w:val="center"/>
            <w:hideMark/>
          </w:tcPr>
          <w:p w14:paraId="5EE3EEC9" w14:textId="524ABAEC" w:rsidR="00794D69" w:rsidRPr="008B619A" w:rsidRDefault="00794D69" w:rsidP="00772E71">
            <w:pPr>
              <w:jc w:val="center"/>
              <w:rPr>
                <w:rFonts w:hAnsi="標楷體" w:cs="新細明體"/>
                <w:b/>
                <w:bCs/>
                <w:color w:val="000000" w:themeColor="text1"/>
                <w:kern w:val="0"/>
                <w:sz w:val="24"/>
                <w:szCs w:val="24"/>
              </w:rPr>
            </w:pPr>
          </w:p>
        </w:tc>
        <w:tc>
          <w:tcPr>
            <w:tcW w:w="3288" w:type="dxa"/>
            <w:tcBorders>
              <w:top w:val="nil"/>
              <w:left w:val="nil"/>
              <w:bottom w:val="single" w:sz="4" w:space="0" w:color="auto"/>
              <w:right w:val="double" w:sz="4" w:space="0" w:color="auto"/>
            </w:tcBorders>
            <w:shd w:val="clear" w:color="auto" w:fill="auto"/>
            <w:vAlign w:val="center"/>
            <w:hideMark/>
          </w:tcPr>
          <w:p w14:paraId="694C8A0E" w14:textId="77777777" w:rsidR="00794D69" w:rsidRPr="008B619A" w:rsidRDefault="00794D69" w:rsidP="00772E71">
            <w:pPr>
              <w:widowControl/>
              <w:rPr>
                <w:rFonts w:hAnsi="標楷體" w:cs="新細明體"/>
                <w:color w:val="000000" w:themeColor="text1"/>
                <w:kern w:val="0"/>
                <w:sz w:val="24"/>
                <w:szCs w:val="24"/>
              </w:rPr>
            </w:pPr>
            <w:r w:rsidRPr="008B619A">
              <w:rPr>
                <w:rFonts w:hAnsi="標楷體" w:cs="新細明體" w:hint="eastAsia"/>
                <w:color w:val="000000" w:themeColor="text1"/>
                <w:kern w:val="0"/>
                <w:sz w:val="24"/>
                <w:szCs w:val="24"/>
              </w:rPr>
              <w:t>生技產業博士學位學程</w:t>
            </w:r>
          </w:p>
        </w:tc>
        <w:tc>
          <w:tcPr>
            <w:tcW w:w="1248" w:type="dxa"/>
            <w:vMerge/>
            <w:tcBorders>
              <w:left w:val="double" w:sz="4" w:space="0" w:color="auto"/>
              <w:right w:val="single" w:sz="4" w:space="0" w:color="auto"/>
            </w:tcBorders>
            <w:vAlign w:val="center"/>
          </w:tcPr>
          <w:p w14:paraId="4E2AFE28" w14:textId="54BFFD01" w:rsidR="00794D69" w:rsidRPr="008B619A" w:rsidRDefault="00794D69" w:rsidP="00772E71">
            <w:pPr>
              <w:rPr>
                <w:rFonts w:hAnsi="標楷體" w:cs="新細明體"/>
                <w:color w:val="000000" w:themeColor="text1"/>
                <w:kern w:val="0"/>
                <w:sz w:val="24"/>
                <w:szCs w:val="24"/>
              </w:rPr>
            </w:pPr>
          </w:p>
        </w:tc>
        <w:tc>
          <w:tcPr>
            <w:tcW w:w="3169" w:type="dxa"/>
            <w:tcBorders>
              <w:top w:val="nil"/>
              <w:left w:val="nil"/>
              <w:bottom w:val="single" w:sz="4" w:space="0" w:color="auto"/>
              <w:right w:val="single" w:sz="4" w:space="0" w:color="auto"/>
            </w:tcBorders>
            <w:vAlign w:val="center"/>
          </w:tcPr>
          <w:p w14:paraId="6265147A" w14:textId="593F423C" w:rsidR="00794D69" w:rsidRPr="008B619A" w:rsidRDefault="00794D69" w:rsidP="00772E71">
            <w:pPr>
              <w:widowControl/>
              <w:rPr>
                <w:rFonts w:hAnsi="標楷體" w:cs="新細明體"/>
                <w:color w:val="000000" w:themeColor="text1"/>
                <w:kern w:val="0"/>
                <w:sz w:val="24"/>
                <w:szCs w:val="24"/>
              </w:rPr>
            </w:pPr>
            <w:r w:rsidRPr="008B619A">
              <w:rPr>
                <w:rFonts w:hAnsi="標楷體" w:cs="新細明體" w:hint="eastAsia"/>
                <w:color w:val="000000" w:themeColor="text1"/>
                <w:kern w:val="0"/>
                <w:sz w:val="24"/>
                <w:szCs w:val="24"/>
              </w:rPr>
              <w:t>人類學研究所</w:t>
            </w:r>
          </w:p>
        </w:tc>
      </w:tr>
      <w:tr w:rsidR="00794D69" w:rsidRPr="008B619A" w14:paraId="27E6B741" w14:textId="5ACF8541" w:rsidTr="00F33FE5">
        <w:trPr>
          <w:trHeight w:val="315"/>
        </w:trPr>
        <w:tc>
          <w:tcPr>
            <w:tcW w:w="1129" w:type="dxa"/>
            <w:vMerge/>
            <w:tcBorders>
              <w:left w:val="single" w:sz="4" w:space="0" w:color="auto"/>
              <w:right w:val="single" w:sz="4" w:space="0" w:color="auto"/>
            </w:tcBorders>
            <w:shd w:val="clear" w:color="auto" w:fill="FDE9D9" w:themeFill="accent6" w:themeFillTint="33"/>
            <w:vAlign w:val="center"/>
            <w:hideMark/>
          </w:tcPr>
          <w:p w14:paraId="50AC29EB" w14:textId="3E1A83A8" w:rsidR="00794D69" w:rsidRPr="008B619A" w:rsidRDefault="00794D69" w:rsidP="00772E71">
            <w:pPr>
              <w:jc w:val="center"/>
              <w:rPr>
                <w:rFonts w:hAnsi="標楷體" w:cs="新細明體"/>
                <w:b/>
                <w:bCs/>
                <w:color w:val="000000" w:themeColor="text1"/>
                <w:kern w:val="0"/>
                <w:sz w:val="24"/>
                <w:szCs w:val="24"/>
              </w:rPr>
            </w:pPr>
          </w:p>
        </w:tc>
        <w:tc>
          <w:tcPr>
            <w:tcW w:w="3288" w:type="dxa"/>
            <w:tcBorders>
              <w:top w:val="nil"/>
              <w:left w:val="nil"/>
              <w:bottom w:val="single" w:sz="4" w:space="0" w:color="auto"/>
              <w:right w:val="double" w:sz="4" w:space="0" w:color="auto"/>
            </w:tcBorders>
            <w:shd w:val="clear" w:color="auto" w:fill="auto"/>
            <w:vAlign w:val="center"/>
            <w:hideMark/>
          </w:tcPr>
          <w:p w14:paraId="77D0FF80" w14:textId="77777777" w:rsidR="00794D69" w:rsidRPr="008B619A" w:rsidRDefault="00794D69" w:rsidP="00772E71">
            <w:pPr>
              <w:widowControl/>
              <w:rPr>
                <w:rFonts w:hAnsi="標楷體" w:cs="新細明體"/>
                <w:color w:val="000000" w:themeColor="text1"/>
                <w:kern w:val="0"/>
                <w:sz w:val="24"/>
                <w:szCs w:val="24"/>
              </w:rPr>
            </w:pPr>
            <w:r w:rsidRPr="008B619A">
              <w:rPr>
                <w:rFonts w:hAnsi="標楷體" w:cs="新細明體" w:hint="eastAsia"/>
                <w:color w:val="000000" w:themeColor="text1"/>
                <w:kern w:val="0"/>
                <w:sz w:val="24"/>
                <w:szCs w:val="24"/>
              </w:rPr>
              <w:t>國家發展研究所</w:t>
            </w:r>
          </w:p>
        </w:tc>
        <w:tc>
          <w:tcPr>
            <w:tcW w:w="1248" w:type="dxa"/>
            <w:vMerge/>
            <w:tcBorders>
              <w:left w:val="double" w:sz="4" w:space="0" w:color="auto"/>
              <w:right w:val="single" w:sz="4" w:space="0" w:color="auto"/>
            </w:tcBorders>
            <w:vAlign w:val="center"/>
          </w:tcPr>
          <w:p w14:paraId="6637EEE5" w14:textId="6115BA9F" w:rsidR="00794D69" w:rsidRPr="008B619A" w:rsidRDefault="00794D69" w:rsidP="00772E71">
            <w:pPr>
              <w:rPr>
                <w:rFonts w:hAnsi="標楷體" w:cs="新細明體"/>
                <w:color w:val="000000" w:themeColor="text1"/>
                <w:kern w:val="0"/>
                <w:sz w:val="24"/>
                <w:szCs w:val="24"/>
              </w:rPr>
            </w:pPr>
          </w:p>
        </w:tc>
        <w:tc>
          <w:tcPr>
            <w:tcW w:w="3169" w:type="dxa"/>
            <w:tcBorders>
              <w:top w:val="nil"/>
              <w:left w:val="nil"/>
              <w:bottom w:val="single" w:sz="4" w:space="0" w:color="auto"/>
              <w:right w:val="single" w:sz="4" w:space="0" w:color="auto"/>
            </w:tcBorders>
            <w:vAlign w:val="center"/>
          </w:tcPr>
          <w:p w14:paraId="0AD4B0B2" w14:textId="34ED25AE" w:rsidR="00794D69" w:rsidRPr="008B619A" w:rsidRDefault="00794D69" w:rsidP="00772E71">
            <w:pPr>
              <w:widowControl/>
              <w:rPr>
                <w:rFonts w:hAnsi="標楷體" w:cs="新細明體"/>
                <w:color w:val="000000" w:themeColor="text1"/>
                <w:kern w:val="0"/>
                <w:sz w:val="24"/>
                <w:szCs w:val="24"/>
              </w:rPr>
            </w:pPr>
            <w:r w:rsidRPr="008B619A">
              <w:rPr>
                <w:rFonts w:hAnsi="標楷體" w:cs="新細明體" w:hint="eastAsia"/>
                <w:color w:val="000000" w:themeColor="text1"/>
                <w:kern w:val="0"/>
                <w:sz w:val="24"/>
                <w:szCs w:val="24"/>
              </w:rPr>
              <w:t>經濟學系</w:t>
            </w:r>
          </w:p>
        </w:tc>
      </w:tr>
      <w:tr w:rsidR="00794D69" w:rsidRPr="008B619A" w14:paraId="09323053" w14:textId="1C8B468D" w:rsidTr="00F33FE5">
        <w:trPr>
          <w:trHeight w:val="315"/>
        </w:trPr>
        <w:tc>
          <w:tcPr>
            <w:tcW w:w="1129" w:type="dxa"/>
            <w:vMerge/>
            <w:tcBorders>
              <w:left w:val="single" w:sz="4" w:space="0" w:color="auto"/>
              <w:right w:val="single" w:sz="4" w:space="0" w:color="auto"/>
            </w:tcBorders>
            <w:shd w:val="clear" w:color="auto" w:fill="FDE9D9" w:themeFill="accent6" w:themeFillTint="33"/>
            <w:vAlign w:val="center"/>
            <w:hideMark/>
          </w:tcPr>
          <w:p w14:paraId="591105DD" w14:textId="18999BC1" w:rsidR="00794D69" w:rsidRPr="008B619A" w:rsidRDefault="00794D69" w:rsidP="00772E71">
            <w:pPr>
              <w:jc w:val="center"/>
              <w:rPr>
                <w:rFonts w:hAnsi="標楷體" w:cs="新細明體"/>
                <w:b/>
                <w:bCs/>
                <w:color w:val="000000" w:themeColor="text1"/>
                <w:kern w:val="0"/>
                <w:sz w:val="24"/>
                <w:szCs w:val="24"/>
              </w:rPr>
            </w:pPr>
          </w:p>
        </w:tc>
        <w:tc>
          <w:tcPr>
            <w:tcW w:w="3288" w:type="dxa"/>
            <w:tcBorders>
              <w:top w:val="nil"/>
              <w:left w:val="nil"/>
              <w:bottom w:val="single" w:sz="4" w:space="0" w:color="auto"/>
              <w:right w:val="double" w:sz="4" w:space="0" w:color="auto"/>
            </w:tcBorders>
            <w:shd w:val="clear" w:color="auto" w:fill="auto"/>
            <w:vAlign w:val="center"/>
            <w:hideMark/>
          </w:tcPr>
          <w:p w14:paraId="7D1AD389" w14:textId="77777777" w:rsidR="00794D69" w:rsidRPr="008B619A" w:rsidRDefault="00794D69" w:rsidP="00772E71">
            <w:pPr>
              <w:widowControl/>
              <w:rPr>
                <w:rFonts w:hAnsi="標楷體" w:cs="新細明體"/>
                <w:color w:val="000000" w:themeColor="text1"/>
                <w:kern w:val="0"/>
                <w:sz w:val="24"/>
                <w:szCs w:val="24"/>
              </w:rPr>
            </w:pPr>
            <w:r w:rsidRPr="008B619A">
              <w:rPr>
                <w:rFonts w:hAnsi="標楷體" w:cs="新細明體" w:hint="eastAsia"/>
                <w:color w:val="000000" w:themeColor="text1"/>
                <w:kern w:val="0"/>
                <w:sz w:val="24"/>
                <w:szCs w:val="24"/>
              </w:rPr>
              <w:t>國際經營管理研究所(IMBA)</w:t>
            </w:r>
          </w:p>
        </w:tc>
        <w:tc>
          <w:tcPr>
            <w:tcW w:w="1248" w:type="dxa"/>
            <w:vMerge/>
            <w:tcBorders>
              <w:left w:val="double" w:sz="4" w:space="0" w:color="auto"/>
              <w:right w:val="single" w:sz="4" w:space="0" w:color="auto"/>
            </w:tcBorders>
            <w:vAlign w:val="center"/>
          </w:tcPr>
          <w:p w14:paraId="261E574E" w14:textId="59F08494" w:rsidR="00794D69" w:rsidRPr="008B619A" w:rsidRDefault="00794D69" w:rsidP="00772E71">
            <w:pPr>
              <w:rPr>
                <w:rFonts w:hAnsi="標楷體" w:cs="新細明體"/>
                <w:color w:val="000000" w:themeColor="text1"/>
                <w:kern w:val="0"/>
                <w:sz w:val="24"/>
                <w:szCs w:val="24"/>
              </w:rPr>
            </w:pPr>
          </w:p>
        </w:tc>
        <w:tc>
          <w:tcPr>
            <w:tcW w:w="3169" w:type="dxa"/>
            <w:tcBorders>
              <w:top w:val="nil"/>
              <w:left w:val="nil"/>
              <w:bottom w:val="single" w:sz="4" w:space="0" w:color="auto"/>
              <w:right w:val="single" w:sz="4" w:space="0" w:color="auto"/>
            </w:tcBorders>
            <w:vAlign w:val="center"/>
          </w:tcPr>
          <w:p w14:paraId="75081B22" w14:textId="7BF27541" w:rsidR="00794D69" w:rsidRPr="008B619A" w:rsidRDefault="00794D69" w:rsidP="00772E71">
            <w:pPr>
              <w:widowControl/>
              <w:rPr>
                <w:rFonts w:hAnsi="標楷體" w:cs="新細明體"/>
                <w:color w:val="000000" w:themeColor="text1"/>
                <w:kern w:val="0"/>
                <w:sz w:val="24"/>
                <w:szCs w:val="24"/>
              </w:rPr>
            </w:pPr>
            <w:r w:rsidRPr="008B619A">
              <w:rPr>
                <w:rFonts w:hAnsi="標楷體" w:cs="新細明體" w:hint="eastAsia"/>
                <w:color w:val="000000" w:themeColor="text1"/>
                <w:kern w:val="0"/>
                <w:sz w:val="24"/>
                <w:szCs w:val="24"/>
              </w:rPr>
              <w:t>語言學研究所</w:t>
            </w:r>
          </w:p>
        </w:tc>
      </w:tr>
      <w:tr w:rsidR="00794D69" w:rsidRPr="008B619A" w14:paraId="45B9BC01" w14:textId="5305D259" w:rsidTr="00F33FE5">
        <w:trPr>
          <w:trHeight w:val="315"/>
        </w:trPr>
        <w:tc>
          <w:tcPr>
            <w:tcW w:w="1129" w:type="dxa"/>
            <w:vMerge/>
            <w:tcBorders>
              <w:left w:val="single" w:sz="4" w:space="0" w:color="auto"/>
              <w:right w:val="single" w:sz="4" w:space="0" w:color="auto"/>
            </w:tcBorders>
            <w:shd w:val="clear" w:color="auto" w:fill="FDE9D9" w:themeFill="accent6" w:themeFillTint="33"/>
            <w:vAlign w:val="center"/>
            <w:hideMark/>
          </w:tcPr>
          <w:p w14:paraId="657495E0" w14:textId="4CADE094" w:rsidR="00794D69" w:rsidRPr="008B619A" w:rsidRDefault="00794D69" w:rsidP="00772E71">
            <w:pPr>
              <w:jc w:val="center"/>
              <w:rPr>
                <w:rFonts w:hAnsi="標楷體" w:cs="新細明體"/>
                <w:b/>
                <w:bCs/>
                <w:color w:val="000000" w:themeColor="text1"/>
                <w:kern w:val="0"/>
                <w:sz w:val="24"/>
                <w:szCs w:val="24"/>
              </w:rPr>
            </w:pPr>
          </w:p>
        </w:tc>
        <w:tc>
          <w:tcPr>
            <w:tcW w:w="3288" w:type="dxa"/>
            <w:tcBorders>
              <w:top w:val="nil"/>
              <w:left w:val="nil"/>
              <w:bottom w:val="single" w:sz="4" w:space="0" w:color="auto"/>
              <w:right w:val="double" w:sz="4" w:space="0" w:color="auto"/>
            </w:tcBorders>
            <w:shd w:val="clear" w:color="auto" w:fill="auto"/>
            <w:vAlign w:val="center"/>
            <w:hideMark/>
          </w:tcPr>
          <w:p w14:paraId="44A69548" w14:textId="77777777" w:rsidR="00794D69" w:rsidRPr="008B619A" w:rsidRDefault="00794D69" w:rsidP="00772E71">
            <w:pPr>
              <w:widowControl/>
              <w:rPr>
                <w:rFonts w:hAnsi="標楷體" w:cs="新細明體"/>
                <w:color w:val="000000" w:themeColor="text1"/>
                <w:kern w:val="0"/>
                <w:sz w:val="24"/>
                <w:szCs w:val="24"/>
              </w:rPr>
            </w:pPr>
            <w:r w:rsidRPr="008B619A">
              <w:rPr>
                <w:rFonts w:hAnsi="標楷體" w:cs="新細明體" w:hint="eastAsia"/>
                <w:color w:val="000000" w:themeColor="text1"/>
                <w:kern w:val="0"/>
                <w:sz w:val="24"/>
                <w:szCs w:val="24"/>
              </w:rPr>
              <w:t>太空與電漿科學研究所</w:t>
            </w:r>
          </w:p>
        </w:tc>
        <w:tc>
          <w:tcPr>
            <w:tcW w:w="1248" w:type="dxa"/>
            <w:vMerge/>
            <w:tcBorders>
              <w:left w:val="double" w:sz="4" w:space="0" w:color="auto"/>
              <w:right w:val="single" w:sz="4" w:space="0" w:color="auto"/>
            </w:tcBorders>
            <w:vAlign w:val="center"/>
          </w:tcPr>
          <w:p w14:paraId="216388DC" w14:textId="609FD05C" w:rsidR="00794D69" w:rsidRPr="008B619A" w:rsidRDefault="00794D69" w:rsidP="00772E71">
            <w:pPr>
              <w:rPr>
                <w:rFonts w:hAnsi="標楷體" w:cs="新細明體"/>
                <w:color w:val="000000" w:themeColor="text1"/>
                <w:kern w:val="0"/>
                <w:sz w:val="24"/>
                <w:szCs w:val="24"/>
              </w:rPr>
            </w:pPr>
          </w:p>
        </w:tc>
        <w:tc>
          <w:tcPr>
            <w:tcW w:w="3169" w:type="dxa"/>
            <w:tcBorders>
              <w:top w:val="nil"/>
              <w:left w:val="nil"/>
              <w:bottom w:val="single" w:sz="4" w:space="0" w:color="auto"/>
              <w:right w:val="single" w:sz="4" w:space="0" w:color="auto"/>
            </w:tcBorders>
            <w:vAlign w:val="center"/>
          </w:tcPr>
          <w:p w14:paraId="02862250" w14:textId="6F4CE8E5" w:rsidR="00794D69" w:rsidRPr="008B619A" w:rsidRDefault="00794D69" w:rsidP="00772E71">
            <w:pPr>
              <w:widowControl/>
              <w:rPr>
                <w:rFonts w:hAnsi="標楷體" w:cs="新細明體"/>
                <w:color w:val="000000" w:themeColor="text1"/>
                <w:kern w:val="0"/>
                <w:sz w:val="24"/>
                <w:szCs w:val="24"/>
              </w:rPr>
            </w:pPr>
            <w:r w:rsidRPr="008B619A">
              <w:rPr>
                <w:rFonts w:hAnsi="標楷體" w:cs="新細明體" w:hint="eastAsia"/>
                <w:color w:val="000000" w:themeColor="text1"/>
                <w:kern w:val="0"/>
                <w:sz w:val="24"/>
                <w:szCs w:val="24"/>
              </w:rPr>
              <w:t>腫瘤醫學研究所</w:t>
            </w:r>
          </w:p>
        </w:tc>
      </w:tr>
      <w:tr w:rsidR="00794D69" w:rsidRPr="008B619A" w14:paraId="1B1CB441" w14:textId="6EDF07FD" w:rsidTr="00F33FE5">
        <w:trPr>
          <w:trHeight w:val="315"/>
        </w:trPr>
        <w:tc>
          <w:tcPr>
            <w:tcW w:w="1129" w:type="dxa"/>
            <w:vMerge/>
            <w:tcBorders>
              <w:left w:val="single" w:sz="4" w:space="0" w:color="auto"/>
              <w:right w:val="single" w:sz="4" w:space="0" w:color="auto"/>
            </w:tcBorders>
            <w:shd w:val="clear" w:color="auto" w:fill="FDE9D9" w:themeFill="accent6" w:themeFillTint="33"/>
            <w:vAlign w:val="center"/>
            <w:hideMark/>
          </w:tcPr>
          <w:p w14:paraId="016E4BD5" w14:textId="54E69542" w:rsidR="00794D69" w:rsidRPr="008B619A" w:rsidRDefault="00794D69" w:rsidP="00772E71">
            <w:pPr>
              <w:jc w:val="center"/>
              <w:rPr>
                <w:rFonts w:hAnsi="標楷體" w:cs="新細明體"/>
                <w:b/>
                <w:bCs/>
                <w:color w:val="000000" w:themeColor="text1"/>
                <w:kern w:val="0"/>
                <w:sz w:val="24"/>
                <w:szCs w:val="24"/>
              </w:rPr>
            </w:pPr>
          </w:p>
        </w:tc>
        <w:tc>
          <w:tcPr>
            <w:tcW w:w="3288" w:type="dxa"/>
            <w:tcBorders>
              <w:top w:val="nil"/>
              <w:left w:val="nil"/>
              <w:bottom w:val="single" w:sz="4" w:space="0" w:color="auto"/>
              <w:right w:val="double" w:sz="4" w:space="0" w:color="auto"/>
            </w:tcBorders>
            <w:shd w:val="clear" w:color="auto" w:fill="auto"/>
            <w:vAlign w:val="center"/>
            <w:hideMark/>
          </w:tcPr>
          <w:p w14:paraId="7F5FD935" w14:textId="77777777" w:rsidR="00794D69" w:rsidRPr="008B619A" w:rsidRDefault="00794D69" w:rsidP="00772E71">
            <w:pPr>
              <w:widowControl/>
              <w:rPr>
                <w:rFonts w:hAnsi="標楷體" w:cs="新細明體"/>
                <w:color w:val="000000" w:themeColor="text1"/>
                <w:kern w:val="0"/>
                <w:sz w:val="24"/>
                <w:szCs w:val="24"/>
              </w:rPr>
            </w:pPr>
            <w:r w:rsidRPr="008B619A">
              <w:rPr>
                <w:rFonts w:hAnsi="標楷體" w:cs="新細明體" w:hint="eastAsia"/>
                <w:color w:val="000000" w:themeColor="text1"/>
                <w:kern w:val="0"/>
                <w:sz w:val="24"/>
                <w:szCs w:val="24"/>
              </w:rPr>
              <w:t>財務金融學系</w:t>
            </w:r>
          </w:p>
        </w:tc>
        <w:tc>
          <w:tcPr>
            <w:tcW w:w="1248" w:type="dxa"/>
            <w:vMerge/>
            <w:tcBorders>
              <w:left w:val="double" w:sz="4" w:space="0" w:color="auto"/>
              <w:right w:val="single" w:sz="4" w:space="0" w:color="auto"/>
            </w:tcBorders>
            <w:vAlign w:val="center"/>
          </w:tcPr>
          <w:p w14:paraId="7D426633" w14:textId="02169CE0" w:rsidR="00794D69" w:rsidRPr="008B619A" w:rsidRDefault="00794D69" w:rsidP="00772E71">
            <w:pPr>
              <w:rPr>
                <w:rFonts w:hAnsi="標楷體" w:cs="新細明體"/>
                <w:color w:val="000000" w:themeColor="text1"/>
                <w:kern w:val="0"/>
                <w:sz w:val="24"/>
                <w:szCs w:val="24"/>
              </w:rPr>
            </w:pPr>
          </w:p>
        </w:tc>
        <w:tc>
          <w:tcPr>
            <w:tcW w:w="3169" w:type="dxa"/>
            <w:tcBorders>
              <w:top w:val="nil"/>
              <w:left w:val="nil"/>
              <w:bottom w:val="single" w:sz="4" w:space="0" w:color="auto"/>
              <w:right w:val="single" w:sz="4" w:space="0" w:color="auto"/>
            </w:tcBorders>
            <w:vAlign w:val="center"/>
          </w:tcPr>
          <w:p w14:paraId="7757BC05" w14:textId="414208CA" w:rsidR="00794D69" w:rsidRPr="008B619A" w:rsidRDefault="00794D69" w:rsidP="00772E71">
            <w:pPr>
              <w:widowControl/>
              <w:rPr>
                <w:rFonts w:hAnsi="標楷體" w:cs="新細明體"/>
                <w:color w:val="000000" w:themeColor="text1"/>
                <w:kern w:val="0"/>
                <w:sz w:val="24"/>
                <w:szCs w:val="24"/>
              </w:rPr>
            </w:pPr>
            <w:r w:rsidRPr="008B619A">
              <w:rPr>
                <w:rFonts w:hAnsi="標楷體" w:cs="新細明體" w:hint="eastAsia"/>
                <w:color w:val="000000" w:themeColor="text1"/>
                <w:kern w:val="0"/>
                <w:sz w:val="24"/>
                <w:szCs w:val="24"/>
              </w:rPr>
              <w:t>財務金融研究所</w:t>
            </w:r>
          </w:p>
        </w:tc>
      </w:tr>
      <w:tr w:rsidR="00794D69" w:rsidRPr="008B619A" w14:paraId="1C2315C7" w14:textId="7BD4F1A4" w:rsidTr="00F33FE5">
        <w:trPr>
          <w:trHeight w:val="315"/>
        </w:trPr>
        <w:tc>
          <w:tcPr>
            <w:tcW w:w="1129" w:type="dxa"/>
            <w:vMerge/>
            <w:tcBorders>
              <w:left w:val="single" w:sz="4" w:space="0" w:color="auto"/>
              <w:right w:val="single" w:sz="4" w:space="0" w:color="auto"/>
            </w:tcBorders>
            <w:shd w:val="clear" w:color="auto" w:fill="FDE9D9" w:themeFill="accent6" w:themeFillTint="33"/>
            <w:vAlign w:val="center"/>
            <w:hideMark/>
          </w:tcPr>
          <w:p w14:paraId="373BD324" w14:textId="40DB58FF" w:rsidR="00794D69" w:rsidRPr="008B619A" w:rsidRDefault="00794D69" w:rsidP="00772E71">
            <w:pPr>
              <w:jc w:val="center"/>
              <w:rPr>
                <w:rFonts w:hAnsi="標楷體" w:cs="新細明體"/>
                <w:b/>
                <w:bCs/>
                <w:color w:val="000000" w:themeColor="text1"/>
                <w:kern w:val="0"/>
                <w:sz w:val="24"/>
                <w:szCs w:val="24"/>
              </w:rPr>
            </w:pPr>
          </w:p>
        </w:tc>
        <w:tc>
          <w:tcPr>
            <w:tcW w:w="3288" w:type="dxa"/>
            <w:tcBorders>
              <w:top w:val="nil"/>
              <w:left w:val="nil"/>
              <w:bottom w:val="single" w:sz="4" w:space="0" w:color="auto"/>
              <w:right w:val="double" w:sz="4" w:space="0" w:color="auto"/>
            </w:tcBorders>
            <w:shd w:val="clear" w:color="auto" w:fill="auto"/>
            <w:vAlign w:val="center"/>
            <w:hideMark/>
          </w:tcPr>
          <w:p w14:paraId="0D1FE865" w14:textId="77777777" w:rsidR="00794D69" w:rsidRPr="008B619A" w:rsidRDefault="00794D69" w:rsidP="00772E71">
            <w:pPr>
              <w:widowControl/>
              <w:rPr>
                <w:rFonts w:hAnsi="標楷體" w:cs="新細明體"/>
                <w:color w:val="000000" w:themeColor="text1"/>
                <w:kern w:val="0"/>
                <w:sz w:val="24"/>
                <w:szCs w:val="24"/>
              </w:rPr>
            </w:pPr>
            <w:r w:rsidRPr="008B619A">
              <w:rPr>
                <w:rFonts w:hAnsi="標楷體" w:cs="新細明體" w:hint="eastAsia"/>
                <w:color w:val="000000" w:themeColor="text1"/>
                <w:kern w:val="0"/>
                <w:sz w:val="24"/>
                <w:szCs w:val="24"/>
              </w:rPr>
              <w:t>植物病理學系</w:t>
            </w:r>
          </w:p>
        </w:tc>
        <w:tc>
          <w:tcPr>
            <w:tcW w:w="1248" w:type="dxa"/>
            <w:vMerge/>
            <w:tcBorders>
              <w:left w:val="double" w:sz="4" w:space="0" w:color="auto"/>
              <w:right w:val="single" w:sz="4" w:space="0" w:color="auto"/>
            </w:tcBorders>
            <w:vAlign w:val="center"/>
          </w:tcPr>
          <w:p w14:paraId="33471B16" w14:textId="216E714A" w:rsidR="00794D69" w:rsidRPr="008B619A" w:rsidRDefault="00794D69" w:rsidP="00772E71">
            <w:pPr>
              <w:rPr>
                <w:rFonts w:hAnsi="標楷體" w:cs="新細明體"/>
                <w:color w:val="000000" w:themeColor="text1"/>
                <w:kern w:val="0"/>
                <w:sz w:val="24"/>
                <w:szCs w:val="24"/>
              </w:rPr>
            </w:pPr>
          </w:p>
        </w:tc>
        <w:tc>
          <w:tcPr>
            <w:tcW w:w="3169" w:type="dxa"/>
            <w:tcBorders>
              <w:top w:val="nil"/>
              <w:left w:val="nil"/>
              <w:bottom w:val="single" w:sz="4" w:space="0" w:color="auto"/>
              <w:right w:val="single" w:sz="4" w:space="0" w:color="auto"/>
            </w:tcBorders>
            <w:vAlign w:val="center"/>
          </w:tcPr>
          <w:p w14:paraId="49E6F43B" w14:textId="55A3E12C" w:rsidR="00794D69" w:rsidRPr="008B619A" w:rsidRDefault="00794D69" w:rsidP="00772E71">
            <w:pPr>
              <w:widowControl/>
              <w:rPr>
                <w:rFonts w:hAnsi="標楷體" w:cs="新細明體"/>
                <w:color w:val="000000" w:themeColor="text1"/>
                <w:kern w:val="0"/>
                <w:sz w:val="24"/>
                <w:szCs w:val="24"/>
              </w:rPr>
            </w:pPr>
            <w:r w:rsidRPr="008B619A">
              <w:rPr>
                <w:rFonts w:hAnsi="標楷體" w:cs="新細明體" w:hint="eastAsia"/>
                <w:color w:val="000000" w:themeColor="text1"/>
                <w:kern w:val="0"/>
                <w:sz w:val="24"/>
                <w:szCs w:val="24"/>
              </w:rPr>
              <w:t>材料科學及工程學系奈微科技博士班</w:t>
            </w:r>
          </w:p>
        </w:tc>
      </w:tr>
      <w:tr w:rsidR="00794D69" w:rsidRPr="008B619A" w14:paraId="427C53BB" w14:textId="3C346216" w:rsidTr="00F33FE5">
        <w:trPr>
          <w:trHeight w:val="315"/>
        </w:trPr>
        <w:tc>
          <w:tcPr>
            <w:tcW w:w="1129" w:type="dxa"/>
            <w:vMerge/>
            <w:tcBorders>
              <w:left w:val="single" w:sz="4" w:space="0" w:color="auto"/>
              <w:right w:val="single" w:sz="4" w:space="0" w:color="auto"/>
            </w:tcBorders>
            <w:shd w:val="clear" w:color="auto" w:fill="FDE9D9" w:themeFill="accent6" w:themeFillTint="33"/>
            <w:vAlign w:val="center"/>
            <w:hideMark/>
          </w:tcPr>
          <w:p w14:paraId="090737C8" w14:textId="7D32BBCE" w:rsidR="00794D69" w:rsidRPr="008B619A" w:rsidRDefault="00794D69" w:rsidP="00772E71">
            <w:pPr>
              <w:jc w:val="center"/>
              <w:rPr>
                <w:rFonts w:hAnsi="標楷體" w:cs="新細明體"/>
                <w:b/>
                <w:bCs/>
                <w:color w:val="000000" w:themeColor="text1"/>
                <w:kern w:val="0"/>
                <w:sz w:val="24"/>
                <w:szCs w:val="24"/>
              </w:rPr>
            </w:pPr>
          </w:p>
        </w:tc>
        <w:tc>
          <w:tcPr>
            <w:tcW w:w="3288" w:type="dxa"/>
            <w:tcBorders>
              <w:top w:val="nil"/>
              <w:left w:val="nil"/>
              <w:bottom w:val="single" w:sz="4" w:space="0" w:color="auto"/>
              <w:right w:val="double" w:sz="4" w:space="0" w:color="auto"/>
            </w:tcBorders>
            <w:shd w:val="clear" w:color="auto" w:fill="auto"/>
            <w:vAlign w:val="center"/>
            <w:hideMark/>
          </w:tcPr>
          <w:p w14:paraId="74F3A7E1" w14:textId="77777777" w:rsidR="00794D69" w:rsidRPr="008B619A" w:rsidRDefault="00794D69" w:rsidP="00772E71">
            <w:pPr>
              <w:widowControl/>
              <w:rPr>
                <w:rFonts w:hAnsi="標楷體" w:cs="新細明體"/>
                <w:color w:val="000000" w:themeColor="text1"/>
                <w:kern w:val="0"/>
                <w:sz w:val="24"/>
                <w:szCs w:val="24"/>
              </w:rPr>
            </w:pPr>
            <w:r w:rsidRPr="008B619A">
              <w:rPr>
                <w:rFonts w:hAnsi="標楷體" w:cs="新細明體" w:hint="eastAsia"/>
                <w:color w:val="000000" w:themeColor="text1"/>
                <w:kern w:val="0"/>
                <w:sz w:val="24"/>
                <w:szCs w:val="24"/>
              </w:rPr>
              <w:t>加速器光源科技與應用博士學位學程</w:t>
            </w:r>
          </w:p>
        </w:tc>
        <w:tc>
          <w:tcPr>
            <w:tcW w:w="1248" w:type="dxa"/>
            <w:vMerge/>
            <w:tcBorders>
              <w:left w:val="double" w:sz="4" w:space="0" w:color="auto"/>
              <w:right w:val="single" w:sz="4" w:space="0" w:color="auto"/>
            </w:tcBorders>
            <w:vAlign w:val="center"/>
          </w:tcPr>
          <w:p w14:paraId="40A3B9FD" w14:textId="3DF993E3" w:rsidR="00794D69" w:rsidRPr="008B619A" w:rsidRDefault="00794D69" w:rsidP="00772E71">
            <w:pPr>
              <w:rPr>
                <w:rFonts w:hAnsi="標楷體" w:cs="新細明體"/>
                <w:color w:val="000000" w:themeColor="text1"/>
                <w:kern w:val="0"/>
                <w:sz w:val="24"/>
                <w:szCs w:val="24"/>
              </w:rPr>
            </w:pPr>
          </w:p>
        </w:tc>
        <w:tc>
          <w:tcPr>
            <w:tcW w:w="3169" w:type="dxa"/>
            <w:tcBorders>
              <w:top w:val="nil"/>
              <w:left w:val="nil"/>
              <w:bottom w:val="single" w:sz="4" w:space="0" w:color="auto"/>
              <w:right w:val="single" w:sz="4" w:space="0" w:color="auto"/>
            </w:tcBorders>
            <w:vAlign w:val="center"/>
          </w:tcPr>
          <w:p w14:paraId="6422EA23" w14:textId="6CD3F172" w:rsidR="00794D69" w:rsidRPr="008B619A" w:rsidRDefault="00794D69" w:rsidP="00772E71">
            <w:pPr>
              <w:widowControl/>
              <w:rPr>
                <w:rFonts w:hAnsi="標楷體" w:cs="新細明體"/>
                <w:color w:val="000000" w:themeColor="text1"/>
                <w:kern w:val="0"/>
                <w:sz w:val="24"/>
                <w:szCs w:val="24"/>
              </w:rPr>
            </w:pPr>
            <w:r w:rsidRPr="008B619A">
              <w:rPr>
                <w:rFonts w:hAnsi="標楷體" w:cs="新細明體" w:hint="eastAsia"/>
                <w:color w:val="000000" w:themeColor="text1"/>
                <w:kern w:val="0"/>
                <w:sz w:val="24"/>
                <w:szCs w:val="24"/>
              </w:rPr>
              <w:t>奈米積體電路工程博士學位學程</w:t>
            </w:r>
          </w:p>
        </w:tc>
      </w:tr>
      <w:tr w:rsidR="00794D69" w:rsidRPr="008B619A" w14:paraId="0B06D926" w14:textId="2A7D28A4" w:rsidTr="00F33FE5">
        <w:trPr>
          <w:trHeight w:val="315"/>
        </w:trPr>
        <w:tc>
          <w:tcPr>
            <w:tcW w:w="1129" w:type="dxa"/>
            <w:vMerge/>
            <w:tcBorders>
              <w:left w:val="single" w:sz="4" w:space="0" w:color="auto"/>
              <w:right w:val="single" w:sz="4" w:space="0" w:color="auto"/>
            </w:tcBorders>
            <w:shd w:val="clear" w:color="auto" w:fill="FDE9D9" w:themeFill="accent6" w:themeFillTint="33"/>
            <w:vAlign w:val="center"/>
            <w:hideMark/>
          </w:tcPr>
          <w:p w14:paraId="36A5037A" w14:textId="5B6B1D11" w:rsidR="00794D69" w:rsidRPr="008B619A" w:rsidRDefault="00794D69" w:rsidP="00772E71">
            <w:pPr>
              <w:jc w:val="center"/>
              <w:rPr>
                <w:rFonts w:hAnsi="標楷體" w:cs="新細明體"/>
                <w:b/>
                <w:bCs/>
                <w:color w:val="000000" w:themeColor="text1"/>
                <w:kern w:val="0"/>
                <w:sz w:val="24"/>
                <w:szCs w:val="24"/>
              </w:rPr>
            </w:pPr>
          </w:p>
        </w:tc>
        <w:tc>
          <w:tcPr>
            <w:tcW w:w="3288" w:type="dxa"/>
            <w:tcBorders>
              <w:top w:val="nil"/>
              <w:left w:val="nil"/>
              <w:bottom w:val="single" w:sz="4" w:space="0" w:color="auto"/>
              <w:right w:val="double" w:sz="4" w:space="0" w:color="auto"/>
            </w:tcBorders>
            <w:shd w:val="clear" w:color="auto" w:fill="auto"/>
            <w:vAlign w:val="center"/>
            <w:hideMark/>
          </w:tcPr>
          <w:p w14:paraId="7383314A" w14:textId="77777777" w:rsidR="00794D69" w:rsidRPr="008B619A" w:rsidRDefault="00794D69" w:rsidP="00772E71">
            <w:pPr>
              <w:widowControl/>
              <w:rPr>
                <w:rFonts w:hAnsi="標楷體" w:cs="新細明體"/>
                <w:color w:val="000000" w:themeColor="text1"/>
                <w:kern w:val="0"/>
                <w:sz w:val="24"/>
                <w:szCs w:val="24"/>
              </w:rPr>
            </w:pPr>
            <w:r w:rsidRPr="008B619A">
              <w:rPr>
                <w:rFonts w:hAnsi="標楷體" w:cs="新細明體" w:hint="eastAsia"/>
                <w:color w:val="000000" w:themeColor="text1"/>
                <w:kern w:val="0"/>
                <w:sz w:val="24"/>
                <w:szCs w:val="24"/>
              </w:rPr>
              <w:t>經濟學系</w:t>
            </w:r>
          </w:p>
        </w:tc>
        <w:tc>
          <w:tcPr>
            <w:tcW w:w="1248" w:type="dxa"/>
            <w:vMerge/>
            <w:tcBorders>
              <w:left w:val="double" w:sz="4" w:space="0" w:color="auto"/>
              <w:right w:val="single" w:sz="4" w:space="0" w:color="auto"/>
            </w:tcBorders>
            <w:vAlign w:val="center"/>
          </w:tcPr>
          <w:p w14:paraId="1E8CF2F2" w14:textId="6D6F9A88" w:rsidR="00794D69" w:rsidRPr="008B619A" w:rsidRDefault="00794D69" w:rsidP="00772E71">
            <w:pPr>
              <w:rPr>
                <w:rFonts w:hAnsi="標楷體" w:cs="新細明體"/>
                <w:color w:val="000000" w:themeColor="text1"/>
                <w:kern w:val="0"/>
                <w:sz w:val="24"/>
                <w:szCs w:val="24"/>
              </w:rPr>
            </w:pPr>
          </w:p>
        </w:tc>
        <w:tc>
          <w:tcPr>
            <w:tcW w:w="3169" w:type="dxa"/>
            <w:tcBorders>
              <w:top w:val="nil"/>
              <w:left w:val="nil"/>
              <w:bottom w:val="single" w:sz="4" w:space="0" w:color="auto"/>
              <w:right w:val="single" w:sz="4" w:space="0" w:color="auto"/>
            </w:tcBorders>
            <w:vAlign w:val="center"/>
          </w:tcPr>
          <w:p w14:paraId="2050FFD0" w14:textId="22130C5C" w:rsidR="00794D69" w:rsidRPr="008B619A" w:rsidRDefault="00794D69" w:rsidP="00772E71">
            <w:pPr>
              <w:widowControl/>
              <w:rPr>
                <w:rFonts w:hAnsi="標楷體" w:cs="新細明體"/>
                <w:color w:val="000000" w:themeColor="text1"/>
                <w:kern w:val="0"/>
                <w:sz w:val="24"/>
                <w:szCs w:val="24"/>
              </w:rPr>
            </w:pPr>
            <w:r w:rsidRPr="008B619A">
              <w:rPr>
                <w:rFonts w:hAnsi="標楷體" w:cs="新細明體" w:hint="eastAsia"/>
                <w:color w:val="000000" w:themeColor="text1"/>
                <w:kern w:val="0"/>
                <w:sz w:val="24"/>
                <w:szCs w:val="24"/>
              </w:rPr>
              <w:t>能源工程國際博士學位學程</w:t>
            </w:r>
          </w:p>
        </w:tc>
      </w:tr>
      <w:tr w:rsidR="00794D69" w:rsidRPr="008B619A" w14:paraId="02638C52" w14:textId="5E72967E" w:rsidTr="00F33FE5">
        <w:trPr>
          <w:trHeight w:val="315"/>
        </w:trPr>
        <w:tc>
          <w:tcPr>
            <w:tcW w:w="1129" w:type="dxa"/>
            <w:vMerge/>
            <w:tcBorders>
              <w:left w:val="single" w:sz="4" w:space="0" w:color="auto"/>
              <w:right w:val="single" w:sz="4" w:space="0" w:color="auto"/>
            </w:tcBorders>
            <w:shd w:val="clear" w:color="auto" w:fill="FDE9D9" w:themeFill="accent6" w:themeFillTint="33"/>
            <w:vAlign w:val="center"/>
            <w:hideMark/>
          </w:tcPr>
          <w:p w14:paraId="20C5449F" w14:textId="7AF2B468" w:rsidR="00794D69" w:rsidRPr="008B619A" w:rsidRDefault="00794D69" w:rsidP="00772E71">
            <w:pPr>
              <w:jc w:val="center"/>
              <w:rPr>
                <w:rFonts w:hAnsi="標楷體" w:cs="新細明體"/>
                <w:b/>
                <w:bCs/>
                <w:color w:val="000000" w:themeColor="text1"/>
                <w:kern w:val="0"/>
                <w:sz w:val="24"/>
                <w:szCs w:val="24"/>
              </w:rPr>
            </w:pPr>
          </w:p>
        </w:tc>
        <w:tc>
          <w:tcPr>
            <w:tcW w:w="3288" w:type="dxa"/>
            <w:tcBorders>
              <w:top w:val="nil"/>
              <w:left w:val="nil"/>
              <w:bottom w:val="single" w:sz="4" w:space="0" w:color="auto"/>
              <w:right w:val="double" w:sz="4" w:space="0" w:color="auto"/>
            </w:tcBorders>
            <w:shd w:val="clear" w:color="auto" w:fill="auto"/>
            <w:vAlign w:val="center"/>
            <w:hideMark/>
          </w:tcPr>
          <w:p w14:paraId="4AE65BFB" w14:textId="77777777" w:rsidR="00794D69" w:rsidRPr="008B619A" w:rsidRDefault="00794D69" w:rsidP="00772E71">
            <w:pPr>
              <w:widowControl/>
              <w:rPr>
                <w:rFonts w:hAnsi="標楷體" w:cs="新細明體"/>
                <w:color w:val="000000" w:themeColor="text1"/>
                <w:kern w:val="0"/>
                <w:sz w:val="24"/>
                <w:szCs w:val="24"/>
              </w:rPr>
            </w:pPr>
            <w:r w:rsidRPr="008B619A">
              <w:rPr>
                <w:rFonts w:hAnsi="標楷體" w:cs="新細明體" w:hint="eastAsia"/>
                <w:color w:val="000000" w:themeColor="text1"/>
                <w:kern w:val="0"/>
                <w:sz w:val="24"/>
                <w:szCs w:val="24"/>
              </w:rPr>
              <w:t>產業經濟研究所</w:t>
            </w:r>
          </w:p>
        </w:tc>
        <w:tc>
          <w:tcPr>
            <w:tcW w:w="1248" w:type="dxa"/>
            <w:vMerge/>
            <w:tcBorders>
              <w:left w:val="double" w:sz="4" w:space="0" w:color="auto"/>
              <w:right w:val="single" w:sz="4" w:space="0" w:color="auto"/>
            </w:tcBorders>
            <w:vAlign w:val="center"/>
          </w:tcPr>
          <w:p w14:paraId="6D0447FF" w14:textId="3327B9E2" w:rsidR="00794D69" w:rsidRPr="008B619A" w:rsidRDefault="00794D69" w:rsidP="00772E71">
            <w:pPr>
              <w:rPr>
                <w:rFonts w:hAnsi="標楷體" w:cs="新細明體"/>
                <w:color w:val="000000" w:themeColor="text1"/>
                <w:kern w:val="0"/>
                <w:sz w:val="24"/>
                <w:szCs w:val="24"/>
              </w:rPr>
            </w:pPr>
          </w:p>
        </w:tc>
        <w:tc>
          <w:tcPr>
            <w:tcW w:w="3169" w:type="dxa"/>
            <w:tcBorders>
              <w:top w:val="nil"/>
              <w:left w:val="nil"/>
              <w:bottom w:val="single" w:sz="4" w:space="0" w:color="auto"/>
              <w:right w:val="single" w:sz="4" w:space="0" w:color="auto"/>
            </w:tcBorders>
            <w:vAlign w:val="center"/>
          </w:tcPr>
          <w:p w14:paraId="584AF4E0" w14:textId="2B1A3248" w:rsidR="00794D69" w:rsidRPr="008B619A" w:rsidRDefault="00794D69" w:rsidP="00772E71">
            <w:pPr>
              <w:widowControl/>
              <w:rPr>
                <w:rFonts w:hAnsi="標楷體" w:cs="新細明體"/>
                <w:color w:val="000000" w:themeColor="text1"/>
                <w:kern w:val="0"/>
                <w:sz w:val="24"/>
                <w:szCs w:val="24"/>
              </w:rPr>
            </w:pPr>
            <w:r w:rsidRPr="008B619A">
              <w:rPr>
                <w:rFonts w:hAnsi="標楷體" w:cs="新細明體" w:hint="eastAsia"/>
                <w:color w:val="000000" w:themeColor="text1"/>
                <w:kern w:val="0"/>
                <w:sz w:val="24"/>
                <w:szCs w:val="24"/>
              </w:rPr>
              <w:t>物理學系</w:t>
            </w:r>
          </w:p>
        </w:tc>
      </w:tr>
      <w:tr w:rsidR="00794D69" w:rsidRPr="008B619A" w14:paraId="76CFF1C0" w14:textId="4EA11D4D" w:rsidTr="00F33FE5">
        <w:trPr>
          <w:trHeight w:val="315"/>
        </w:trPr>
        <w:tc>
          <w:tcPr>
            <w:tcW w:w="1129" w:type="dxa"/>
            <w:vMerge/>
            <w:tcBorders>
              <w:left w:val="single" w:sz="4" w:space="0" w:color="auto"/>
              <w:right w:val="single" w:sz="4" w:space="0" w:color="auto"/>
            </w:tcBorders>
            <w:shd w:val="clear" w:color="auto" w:fill="FDE9D9" w:themeFill="accent6" w:themeFillTint="33"/>
            <w:vAlign w:val="center"/>
            <w:hideMark/>
          </w:tcPr>
          <w:p w14:paraId="400ADAFD" w14:textId="5D2B64C0" w:rsidR="00794D69" w:rsidRPr="008B619A" w:rsidRDefault="00794D69" w:rsidP="00772E71">
            <w:pPr>
              <w:jc w:val="center"/>
              <w:rPr>
                <w:rFonts w:hAnsi="標楷體" w:cs="新細明體"/>
                <w:b/>
                <w:bCs/>
                <w:color w:val="000000" w:themeColor="text1"/>
                <w:kern w:val="0"/>
                <w:sz w:val="24"/>
                <w:szCs w:val="24"/>
              </w:rPr>
            </w:pPr>
          </w:p>
        </w:tc>
        <w:tc>
          <w:tcPr>
            <w:tcW w:w="3288" w:type="dxa"/>
            <w:tcBorders>
              <w:top w:val="nil"/>
              <w:left w:val="nil"/>
              <w:bottom w:val="single" w:sz="4" w:space="0" w:color="auto"/>
              <w:right w:val="double" w:sz="4" w:space="0" w:color="auto"/>
            </w:tcBorders>
            <w:shd w:val="clear" w:color="auto" w:fill="auto"/>
            <w:vAlign w:val="center"/>
            <w:hideMark/>
          </w:tcPr>
          <w:p w14:paraId="7B7FF466" w14:textId="77777777" w:rsidR="00794D69" w:rsidRPr="008B619A" w:rsidRDefault="00794D69" w:rsidP="00772E71">
            <w:pPr>
              <w:widowControl/>
              <w:rPr>
                <w:rFonts w:hAnsi="標楷體" w:cs="新細明體"/>
                <w:color w:val="000000" w:themeColor="text1"/>
                <w:kern w:val="0"/>
                <w:sz w:val="24"/>
                <w:szCs w:val="24"/>
              </w:rPr>
            </w:pPr>
            <w:r w:rsidRPr="008B619A">
              <w:rPr>
                <w:rFonts w:hAnsi="標楷體" w:cs="新細明體" w:hint="eastAsia"/>
                <w:color w:val="000000" w:themeColor="text1"/>
                <w:kern w:val="0"/>
                <w:sz w:val="24"/>
                <w:szCs w:val="24"/>
              </w:rPr>
              <w:t>數學系</w:t>
            </w:r>
          </w:p>
        </w:tc>
        <w:tc>
          <w:tcPr>
            <w:tcW w:w="1248" w:type="dxa"/>
            <w:vMerge/>
            <w:tcBorders>
              <w:left w:val="double" w:sz="4" w:space="0" w:color="auto"/>
              <w:right w:val="single" w:sz="4" w:space="0" w:color="auto"/>
            </w:tcBorders>
            <w:vAlign w:val="center"/>
          </w:tcPr>
          <w:p w14:paraId="15EDEA58" w14:textId="5B499BA3" w:rsidR="00794D69" w:rsidRPr="008B619A" w:rsidRDefault="00794D69" w:rsidP="00772E71">
            <w:pPr>
              <w:rPr>
                <w:rFonts w:hAnsi="標楷體" w:cs="新細明體"/>
                <w:color w:val="000000" w:themeColor="text1"/>
                <w:kern w:val="0"/>
                <w:sz w:val="24"/>
                <w:szCs w:val="24"/>
              </w:rPr>
            </w:pPr>
          </w:p>
        </w:tc>
        <w:tc>
          <w:tcPr>
            <w:tcW w:w="3169" w:type="dxa"/>
            <w:tcBorders>
              <w:top w:val="nil"/>
              <w:left w:val="nil"/>
              <w:bottom w:val="single" w:sz="4" w:space="0" w:color="auto"/>
              <w:right w:val="single" w:sz="4" w:space="0" w:color="auto"/>
            </w:tcBorders>
            <w:vAlign w:val="center"/>
          </w:tcPr>
          <w:p w14:paraId="6343DD80" w14:textId="716DE1B2" w:rsidR="00794D69" w:rsidRPr="008B619A" w:rsidRDefault="00794D69" w:rsidP="00772E71">
            <w:pPr>
              <w:widowControl/>
              <w:rPr>
                <w:rFonts w:hAnsi="標楷體" w:cs="新細明體"/>
                <w:color w:val="000000" w:themeColor="text1"/>
                <w:kern w:val="0"/>
                <w:sz w:val="24"/>
                <w:szCs w:val="24"/>
              </w:rPr>
            </w:pPr>
            <w:r w:rsidRPr="008B619A">
              <w:rPr>
                <w:rFonts w:hAnsi="標楷體" w:cs="新細明體" w:hint="eastAsia"/>
                <w:color w:val="000000" w:themeColor="text1"/>
                <w:kern w:val="0"/>
                <w:sz w:val="24"/>
                <w:szCs w:val="24"/>
              </w:rPr>
              <w:t>經濟學系</w:t>
            </w:r>
          </w:p>
        </w:tc>
      </w:tr>
      <w:tr w:rsidR="00794D69" w:rsidRPr="008B619A" w14:paraId="732A83D0" w14:textId="3D9565CB" w:rsidTr="00F33FE5">
        <w:trPr>
          <w:trHeight w:val="315"/>
        </w:trPr>
        <w:tc>
          <w:tcPr>
            <w:tcW w:w="1129" w:type="dxa"/>
            <w:vMerge/>
            <w:tcBorders>
              <w:left w:val="single" w:sz="4" w:space="0" w:color="auto"/>
              <w:right w:val="single" w:sz="4" w:space="0" w:color="auto"/>
            </w:tcBorders>
            <w:shd w:val="clear" w:color="auto" w:fill="FDE9D9" w:themeFill="accent6" w:themeFillTint="33"/>
            <w:vAlign w:val="center"/>
            <w:hideMark/>
          </w:tcPr>
          <w:p w14:paraId="227A46F7" w14:textId="52674C67" w:rsidR="00794D69" w:rsidRPr="008B619A" w:rsidRDefault="00794D69" w:rsidP="00772E71">
            <w:pPr>
              <w:jc w:val="center"/>
              <w:rPr>
                <w:rFonts w:hAnsi="標楷體" w:cs="新細明體"/>
                <w:b/>
                <w:bCs/>
                <w:color w:val="000000" w:themeColor="text1"/>
                <w:kern w:val="0"/>
                <w:sz w:val="24"/>
                <w:szCs w:val="24"/>
              </w:rPr>
            </w:pPr>
          </w:p>
        </w:tc>
        <w:tc>
          <w:tcPr>
            <w:tcW w:w="3288" w:type="dxa"/>
            <w:tcBorders>
              <w:top w:val="nil"/>
              <w:left w:val="nil"/>
              <w:bottom w:val="single" w:sz="4" w:space="0" w:color="auto"/>
              <w:right w:val="double" w:sz="4" w:space="0" w:color="auto"/>
            </w:tcBorders>
            <w:shd w:val="clear" w:color="auto" w:fill="auto"/>
            <w:vAlign w:val="center"/>
            <w:hideMark/>
          </w:tcPr>
          <w:p w14:paraId="48014114" w14:textId="77777777" w:rsidR="00794D69" w:rsidRPr="008B619A" w:rsidRDefault="00794D69" w:rsidP="00772E71">
            <w:pPr>
              <w:widowControl/>
              <w:rPr>
                <w:rFonts w:hAnsi="標楷體" w:cs="新細明體"/>
                <w:color w:val="000000" w:themeColor="text1"/>
                <w:kern w:val="0"/>
                <w:sz w:val="24"/>
                <w:szCs w:val="24"/>
              </w:rPr>
            </w:pPr>
            <w:r w:rsidRPr="008B619A">
              <w:rPr>
                <w:rFonts w:hAnsi="標楷體" w:cs="新細明體" w:hint="eastAsia"/>
                <w:color w:val="000000" w:themeColor="text1"/>
                <w:kern w:val="0"/>
                <w:sz w:val="24"/>
                <w:szCs w:val="24"/>
              </w:rPr>
              <w:t>資訊工程學系產業博士班</w:t>
            </w:r>
          </w:p>
        </w:tc>
        <w:tc>
          <w:tcPr>
            <w:tcW w:w="1248" w:type="dxa"/>
            <w:vMerge/>
            <w:tcBorders>
              <w:left w:val="double" w:sz="4" w:space="0" w:color="auto"/>
              <w:right w:val="single" w:sz="4" w:space="0" w:color="auto"/>
            </w:tcBorders>
            <w:vAlign w:val="center"/>
          </w:tcPr>
          <w:p w14:paraId="276F04F9" w14:textId="733074DF" w:rsidR="00794D69" w:rsidRPr="008B619A" w:rsidRDefault="00794D69" w:rsidP="00772E71">
            <w:pPr>
              <w:rPr>
                <w:rFonts w:hAnsi="標楷體" w:cs="新細明體"/>
                <w:color w:val="000000" w:themeColor="text1"/>
                <w:kern w:val="0"/>
                <w:sz w:val="24"/>
                <w:szCs w:val="24"/>
              </w:rPr>
            </w:pPr>
          </w:p>
        </w:tc>
        <w:tc>
          <w:tcPr>
            <w:tcW w:w="3169" w:type="dxa"/>
            <w:tcBorders>
              <w:top w:val="nil"/>
              <w:left w:val="nil"/>
              <w:bottom w:val="single" w:sz="4" w:space="0" w:color="auto"/>
              <w:right w:val="single" w:sz="4" w:space="0" w:color="auto"/>
            </w:tcBorders>
            <w:vAlign w:val="center"/>
          </w:tcPr>
          <w:p w14:paraId="691E9155" w14:textId="658B891F" w:rsidR="00794D69" w:rsidRPr="008B619A" w:rsidRDefault="00794D69" w:rsidP="00772E71">
            <w:pPr>
              <w:widowControl/>
              <w:rPr>
                <w:rFonts w:hAnsi="標楷體" w:cs="新細明體"/>
                <w:color w:val="000000" w:themeColor="text1"/>
                <w:kern w:val="0"/>
                <w:sz w:val="24"/>
                <w:szCs w:val="24"/>
              </w:rPr>
            </w:pPr>
            <w:r w:rsidRPr="008B619A">
              <w:rPr>
                <w:rFonts w:hAnsi="標楷體" w:cs="新細明體" w:hint="eastAsia"/>
                <w:color w:val="000000" w:themeColor="text1"/>
                <w:kern w:val="0"/>
                <w:sz w:val="24"/>
                <w:szCs w:val="24"/>
              </w:rPr>
              <w:t>產業經濟研究所</w:t>
            </w:r>
          </w:p>
        </w:tc>
      </w:tr>
      <w:tr w:rsidR="00794D69" w:rsidRPr="008B619A" w14:paraId="3A17D71B" w14:textId="54BA51A7" w:rsidTr="00F33FE5">
        <w:trPr>
          <w:trHeight w:val="315"/>
        </w:trPr>
        <w:tc>
          <w:tcPr>
            <w:tcW w:w="1129" w:type="dxa"/>
            <w:vMerge/>
            <w:tcBorders>
              <w:left w:val="single" w:sz="4" w:space="0" w:color="auto"/>
              <w:right w:val="single" w:sz="4" w:space="0" w:color="auto"/>
            </w:tcBorders>
            <w:shd w:val="clear" w:color="auto" w:fill="FDE9D9" w:themeFill="accent6" w:themeFillTint="33"/>
            <w:vAlign w:val="center"/>
            <w:hideMark/>
          </w:tcPr>
          <w:p w14:paraId="410FC3D0" w14:textId="72D0EEB2" w:rsidR="00794D69" w:rsidRPr="008B619A" w:rsidRDefault="00794D69" w:rsidP="00772E71">
            <w:pPr>
              <w:jc w:val="center"/>
              <w:rPr>
                <w:rFonts w:hAnsi="標楷體" w:cs="新細明體"/>
                <w:b/>
                <w:bCs/>
                <w:color w:val="000000" w:themeColor="text1"/>
                <w:kern w:val="0"/>
                <w:sz w:val="24"/>
                <w:szCs w:val="24"/>
              </w:rPr>
            </w:pPr>
          </w:p>
        </w:tc>
        <w:tc>
          <w:tcPr>
            <w:tcW w:w="3288" w:type="dxa"/>
            <w:tcBorders>
              <w:top w:val="nil"/>
              <w:left w:val="nil"/>
              <w:bottom w:val="single" w:sz="4" w:space="0" w:color="auto"/>
              <w:right w:val="double" w:sz="4" w:space="0" w:color="auto"/>
            </w:tcBorders>
            <w:shd w:val="clear" w:color="auto" w:fill="auto"/>
            <w:vAlign w:val="center"/>
            <w:hideMark/>
          </w:tcPr>
          <w:p w14:paraId="14D7E924" w14:textId="77777777" w:rsidR="00794D69" w:rsidRPr="008B619A" w:rsidRDefault="00794D69" w:rsidP="00772E71">
            <w:pPr>
              <w:widowControl/>
              <w:rPr>
                <w:rFonts w:hAnsi="標楷體" w:cs="新細明體"/>
                <w:color w:val="000000" w:themeColor="text1"/>
                <w:kern w:val="0"/>
                <w:sz w:val="24"/>
                <w:szCs w:val="24"/>
              </w:rPr>
            </w:pPr>
            <w:r w:rsidRPr="008B619A">
              <w:rPr>
                <w:rFonts w:hAnsi="標楷體" w:cs="新細明體" w:hint="eastAsia"/>
                <w:color w:val="000000" w:themeColor="text1"/>
                <w:kern w:val="0"/>
                <w:sz w:val="24"/>
                <w:szCs w:val="24"/>
              </w:rPr>
              <w:t>電機工程學系產業博士班</w:t>
            </w:r>
          </w:p>
        </w:tc>
        <w:tc>
          <w:tcPr>
            <w:tcW w:w="1248" w:type="dxa"/>
            <w:vMerge/>
            <w:tcBorders>
              <w:left w:val="double" w:sz="4" w:space="0" w:color="auto"/>
              <w:right w:val="single" w:sz="4" w:space="0" w:color="auto"/>
            </w:tcBorders>
            <w:vAlign w:val="center"/>
          </w:tcPr>
          <w:p w14:paraId="0ADB6377" w14:textId="55D514DA" w:rsidR="00794D69" w:rsidRPr="008B619A" w:rsidRDefault="00794D69" w:rsidP="00772E71">
            <w:pPr>
              <w:rPr>
                <w:rFonts w:hAnsi="標楷體" w:cs="新細明體"/>
                <w:color w:val="000000" w:themeColor="text1"/>
                <w:kern w:val="0"/>
                <w:sz w:val="24"/>
                <w:szCs w:val="24"/>
              </w:rPr>
            </w:pPr>
          </w:p>
        </w:tc>
        <w:tc>
          <w:tcPr>
            <w:tcW w:w="3169" w:type="dxa"/>
            <w:tcBorders>
              <w:top w:val="nil"/>
              <w:left w:val="nil"/>
              <w:bottom w:val="single" w:sz="4" w:space="0" w:color="auto"/>
              <w:right w:val="single" w:sz="4" w:space="0" w:color="auto"/>
            </w:tcBorders>
            <w:vAlign w:val="center"/>
          </w:tcPr>
          <w:p w14:paraId="1D838002" w14:textId="0088F925" w:rsidR="00794D69" w:rsidRPr="008B619A" w:rsidRDefault="00794D69" w:rsidP="00772E71">
            <w:pPr>
              <w:widowControl/>
              <w:rPr>
                <w:rFonts w:hAnsi="標楷體" w:cs="新細明體"/>
                <w:color w:val="000000" w:themeColor="text1"/>
                <w:kern w:val="0"/>
                <w:sz w:val="24"/>
                <w:szCs w:val="24"/>
              </w:rPr>
            </w:pPr>
            <w:r w:rsidRPr="008B619A">
              <w:rPr>
                <w:rFonts w:hAnsi="標楷體" w:cs="新細明體" w:hint="eastAsia"/>
                <w:color w:val="000000" w:themeColor="text1"/>
                <w:kern w:val="0"/>
                <w:sz w:val="24"/>
                <w:szCs w:val="24"/>
              </w:rPr>
              <w:t>人力資源管理研究所</w:t>
            </w:r>
          </w:p>
        </w:tc>
      </w:tr>
      <w:tr w:rsidR="00794D69" w:rsidRPr="008B619A" w14:paraId="4D6BB484" w14:textId="58D293E8" w:rsidTr="00F33FE5">
        <w:trPr>
          <w:trHeight w:val="315"/>
        </w:trPr>
        <w:tc>
          <w:tcPr>
            <w:tcW w:w="1129" w:type="dxa"/>
            <w:vMerge/>
            <w:tcBorders>
              <w:left w:val="single" w:sz="4" w:space="0" w:color="auto"/>
              <w:right w:val="single" w:sz="4" w:space="0" w:color="auto"/>
            </w:tcBorders>
            <w:shd w:val="clear" w:color="auto" w:fill="FDE9D9" w:themeFill="accent6" w:themeFillTint="33"/>
            <w:vAlign w:val="center"/>
            <w:hideMark/>
          </w:tcPr>
          <w:p w14:paraId="3FA3F628" w14:textId="642415D2" w:rsidR="00794D69" w:rsidRPr="008B619A" w:rsidRDefault="00794D69" w:rsidP="00772E71">
            <w:pPr>
              <w:jc w:val="center"/>
              <w:rPr>
                <w:rFonts w:hAnsi="標楷體" w:cs="新細明體"/>
                <w:b/>
                <w:bCs/>
                <w:color w:val="000000" w:themeColor="text1"/>
                <w:kern w:val="0"/>
                <w:sz w:val="24"/>
                <w:szCs w:val="24"/>
              </w:rPr>
            </w:pPr>
          </w:p>
        </w:tc>
        <w:tc>
          <w:tcPr>
            <w:tcW w:w="3288" w:type="dxa"/>
            <w:tcBorders>
              <w:top w:val="nil"/>
              <w:left w:val="nil"/>
              <w:bottom w:val="single" w:sz="4" w:space="0" w:color="auto"/>
              <w:right w:val="double" w:sz="4" w:space="0" w:color="auto"/>
            </w:tcBorders>
            <w:shd w:val="clear" w:color="auto" w:fill="auto"/>
            <w:vAlign w:val="center"/>
            <w:hideMark/>
          </w:tcPr>
          <w:p w14:paraId="10274416" w14:textId="77777777" w:rsidR="00794D69" w:rsidRPr="008B619A" w:rsidRDefault="00794D69" w:rsidP="00772E71">
            <w:pPr>
              <w:widowControl/>
              <w:rPr>
                <w:rFonts w:hAnsi="標楷體" w:cs="新細明體"/>
                <w:color w:val="000000" w:themeColor="text1"/>
                <w:kern w:val="0"/>
                <w:sz w:val="24"/>
                <w:szCs w:val="24"/>
              </w:rPr>
            </w:pPr>
            <w:r w:rsidRPr="008B619A">
              <w:rPr>
                <w:rFonts w:hAnsi="標楷體" w:cs="新細明體" w:hint="eastAsia"/>
                <w:color w:val="000000" w:themeColor="text1"/>
                <w:kern w:val="0"/>
                <w:sz w:val="24"/>
                <w:szCs w:val="24"/>
              </w:rPr>
              <w:t>工業管理研究所</w:t>
            </w:r>
          </w:p>
        </w:tc>
        <w:tc>
          <w:tcPr>
            <w:tcW w:w="1248" w:type="dxa"/>
            <w:vMerge/>
            <w:tcBorders>
              <w:left w:val="double" w:sz="4" w:space="0" w:color="auto"/>
              <w:right w:val="single" w:sz="4" w:space="0" w:color="auto"/>
            </w:tcBorders>
            <w:vAlign w:val="center"/>
          </w:tcPr>
          <w:p w14:paraId="21811A8D" w14:textId="79BAEEEB" w:rsidR="00794D69" w:rsidRPr="008B619A" w:rsidRDefault="00794D69" w:rsidP="00772E71">
            <w:pPr>
              <w:rPr>
                <w:rFonts w:hAnsi="標楷體" w:cs="新細明體"/>
                <w:color w:val="000000" w:themeColor="text1"/>
                <w:kern w:val="0"/>
                <w:sz w:val="24"/>
                <w:szCs w:val="24"/>
              </w:rPr>
            </w:pPr>
          </w:p>
        </w:tc>
        <w:tc>
          <w:tcPr>
            <w:tcW w:w="3169" w:type="dxa"/>
            <w:tcBorders>
              <w:top w:val="nil"/>
              <w:left w:val="nil"/>
              <w:bottom w:val="single" w:sz="4" w:space="0" w:color="auto"/>
              <w:right w:val="single" w:sz="4" w:space="0" w:color="auto"/>
            </w:tcBorders>
            <w:vAlign w:val="center"/>
          </w:tcPr>
          <w:p w14:paraId="70E462F2" w14:textId="78B86C4A" w:rsidR="00794D69" w:rsidRPr="008B619A" w:rsidRDefault="00794D69" w:rsidP="00772E71">
            <w:pPr>
              <w:widowControl/>
              <w:rPr>
                <w:rFonts w:hAnsi="標楷體" w:cs="新細明體"/>
                <w:color w:val="000000" w:themeColor="text1"/>
                <w:kern w:val="0"/>
                <w:sz w:val="24"/>
                <w:szCs w:val="24"/>
              </w:rPr>
            </w:pPr>
            <w:r w:rsidRPr="008B619A">
              <w:rPr>
                <w:rFonts w:hAnsi="標楷體" w:cs="新細明體" w:hint="eastAsia"/>
                <w:color w:val="000000" w:themeColor="text1"/>
                <w:kern w:val="0"/>
                <w:sz w:val="24"/>
                <w:szCs w:val="24"/>
              </w:rPr>
              <w:t>工業管理研究所</w:t>
            </w:r>
          </w:p>
        </w:tc>
      </w:tr>
      <w:tr w:rsidR="00794D69" w:rsidRPr="008B619A" w14:paraId="3791DFC9" w14:textId="04B4C1F3" w:rsidTr="00F33FE5">
        <w:trPr>
          <w:trHeight w:val="315"/>
        </w:trPr>
        <w:tc>
          <w:tcPr>
            <w:tcW w:w="1129" w:type="dxa"/>
            <w:vMerge/>
            <w:tcBorders>
              <w:left w:val="single" w:sz="4" w:space="0" w:color="auto"/>
              <w:right w:val="single" w:sz="4" w:space="0" w:color="auto"/>
            </w:tcBorders>
            <w:shd w:val="clear" w:color="auto" w:fill="FDE9D9" w:themeFill="accent6" w:themeFillTint="33"/>
            <w:vAlign w:val="center"/>
            <w:hideMark/>
          </w:tcPr>
          <w:p w14:paraId="37F91275" w14:textId="3F6F83F6" w:rsidR="00794D69" w:rsidRPr="008B619A" w:rsidRDefault="00794D69" w:rsidP="00772E71">
            <w:pPr>
              <w:jc w:val="center"/>
              <w:rPr>
                <w:rFonts w:hAnsi="標楷體" w:cs="新細明體"/>
                <w:b/>
                <w:bCs/>
                <w:color w:val="000000" w:themeColor="text1"/>
                <w:kern w:val="0"/>
                <w:sz w:val="24"/>
                <w:szCs w:val="24"/>
              </w:rPr>
            </w:pPr>
          </w:p>
        </w:tc>
        <w:tc>
          <w:tcPr>
            <w:tcW w:w="3288" w:type="dxa"/>
            <w:tcBorders>
              <w:top w:val="nil"/>
              <w:left w:val="nil"/>
              <w:bottom w:val="single" w:sz="4" w:space="0" w:color="auto"/>
              <w:right w:val="double" w:sz="4" w:space="0" w:color="auto"/>
            </w:tcBorders>
            <w:shd w:val="clear" w:color="auto" w:fill="auto"/>
            <w:vAlign w:val="center"/>
            <w:hideMark/>
          </w:tcPr>
          <w:p w14:paraId="6945D88F" w14:textId="77777777" w:rsidR="00794D69" w:rsidRPr="008B619A" w:rsidRDefault="00794D69" w:rsidP="00772E71">
            <w:pPr>
              <w:widowControl/>
              <w:rPr>
                <w:rFonts w:hAnsi="標楷體" w:cs="新細明體"/>
                <w:color w:val="000000" w:themeColor="text1"/>
                <w:kern w:val="0"/>
                <w:sz w:val="24"/>
                <w:szCs w:val="24"/>
              </w:rPr>
            </w:pPr>
            <w:r w:rsidRPr="008B619A">
              <w:rPr>
                <w:rFonts w:hAnsi="標楷體" w:cs="新細明體" w:hint="eastAsia"/>
                <w:color w:val="000000" w:themeColor="text1"/>
                <w:kern w:val="0"/>
                <w:sz w:val="24"/>
                <w:szCs w:val="24"/>
              </w:rPr>
              <w:t>會計系</w:t>
            </w:r>
          </w:p>
        </w:tc>
        <w:tc>
          <w:tcPr>
            <w:tcW w:w="1248" w:type="dxa"/>
            <w:vMerge/>
            <w:tcBorders>
              <w:left w:val="double" w:sz="4" w:space="0" w:color="auto"/>
              <w:right w:val="single" w:sz="4" w:space="0" w:color="auto"/>
            </w:tcBorders>
            <w:vAlign w:val="center"/>
          </w:tcPr>
          <w:p w14:paraId="25812746" w14:textId="686FB0B8" w:rsidR="00794D69" w:rsidRPr="008B619A" w:rsidRDefault="00794D69" w:rsidP="00772E71">
            <w:pPr>
              <w:rPr>
                <w:rFonts w:hAnsi="標楷體" w:cs="新細明體"/>
                <w:color w:val="000000" w:themeColor="text1"/>
                <w:kern w:val="0"/>
                <w:sz w:val="24"/>
                <w:szCs w:val="24"/>
              </w:rPr>
            </w:pPr>
          </w:p>
        </w:tc>
        <w:tc>
          <w:tcPr>
            <w:tcW w:w="3169" w:type="dxa"/>
            <w:tcBorders>
              <w:top w:val="nil"/>
              <w:left w:val="nil"/>
              <w:bottom w:val="single" w:sz="4" w:space="0" w:color="auto"/>
              <w:right w:val="single" w:sz="4" w:space="0" w:color="auto"/>
            </w:tcBorders>
            <w:vAlign w:val="center"/>
          </w:tcPr>
          <w:p w14:paraId="66CC7168" w14:textId="0BC1A942" w:rsidR="00794D69" w:rsidRPr="008B619A" w:rsidRDefault="00794D69" w:rsidP="00772E71">
            <w:pPr>
              <w:widowControl/>
              <w:rPr>
                <w:rFonts w:hAnsi="標楷體" w:cs="新細明體"/>
                <w:color w:val="000000" w:themeColor="text1"/>
                <w:kern w:val="0"/>
                <w:sz w:val="24"/>
                <w:szCs w:val="24"/>
              </w:rPr>
            </w:pPr>
            <w:r w:rsidRPr="008B619A">
              <w:rPr>
                <w:rFonts w:hAnsi="標楷體" w:cs="新細明體" w:hint="eastAsia"/>
                <w:color w:val="000000" w:themeColor="text1"/>
                <w:kern w:val="0"/>
                <w:sz w:val="24"/>
                <w:szCs w:val="24"/>
              </w:rPr>
              <w:t>能源工程研究所</w:t>
            </w:r>
          </w:p>
        </w:tc>
      </w:tr>
      <w:tr w:rsidR="00794D69" w:rsidRPr="008B619A" w14:paraId="55A39120" w14:textId="4C279FD6" w:rsidTr="00F33FE5">
        <w:trPr>
          <w:trHeight w:val="315"/>
        </w:trPr>
        <w:tc>
          <w:tcPr>
            <w:tcW w:w="1129" w:type="dxa"/>
            <w:vMerge/>
            <w:tcBorders>
              <w:left w:val="single" w:sz="4" w:space="0" w:color="auto"/>
              <w:bottom w:val="single" w:sz="4" w:space="0" w:color="auto"/>
              <w:right w:val="single" w:sz="4" w:space="0" w:color="auto"/>
            </w:tcBorders>
            <w:shd w:val="clear" w:color="auto" w:fill="FDE9D9" w:themeFill="accent6" w:themeFillTint="33"/>
            <w:vAlign w:val="center"/>
            <w:hideMark/>
          </w:tcPr>
          <w:p w14:paraId="7242E2D4" w14:textId="51F5792D" w:rsidR="00794D69" w:rsidRPr="008B619A" w:rsidRDefault="00794D69" w:rsidP="00772E71">
            <w:pPr>
              <w:widowControl/>
              <w:jc w:val="center"/>
              <w:rPr>
                <w:rFonts w:hAnsi="標楷體" w:cs="新細明體"/>
                <w:b/>
                <w:bCs/>
                <w:color w:val="000000" w:themeColor="text1"/>
                <w:kern w:val="0"/>
                <w:sz w:val="24"/>
                <w:szCs w:val="24"/>
              </w:rPr>
            </w:pPr>
          </w:p>
        </w:tc>
        <w:tc>
          <w:tcPr>
            <w:tcW w:w="3288" w:type="dxa"/>
            <w:tcBorders>
              <w:top w:val="nil"/>
              <w:left w:val="nil"/>
              <w:bottom w:val="single" w:sz="4" w:space="0" w:color="auto"/>
              <w:right w:val="double" w:sz="4" w:space="0" w:color="auto"/>
            </w:tcBorders>
            <w:shd w:val="clear" w:color="auto" w:fill="auto"/>
            <w:vAlign w:val="center"/>
            <w:hideMark/>
          </w:tcPr>
          <w:p w14:paraId="0B04E3CB" w14:textId="77777777" w:rsidR="00794D69" w:rsidRPr="008B619A" w:rsidRDefault="00794D69" w:rsidP="00772E71">
            <w:pPr>
              <w:widowControl/>
              <w:rPr>
                <w:rFonts w:hAnsi="標楷體" w:cs="新細明體"/>
                <w:color w:val="000000" w:themeColor="text1"/>
                <w:kern w:val="0"/>
                <w:sz w:val="24"/>
                <w:szCs w:val="24"/>
              </w:rPr>
            </w:pPr>
            <w:r w:rsidRPr="008B619A">
              <w:rPr>
                <w:rFonts w:hAnsi="標楷體" w:cs="新細明體" w:hint="eastAsia"/>
                <w:color w:val="000000" w:themeColor="text1"/>
                <w:kern w:val="0"/>
                <w:sz w:val="24"/>
                <w:szCs w:val="24"/>
              </w:rPr>
              <w:t>機械工程學系</w:t>
            </w:r>
          </w:p>
        </w:tc>
        <w:tc>
          <w:tcPr>
            <w:tcW w:w="1248" w:type="dxa"/>
            <w:vMerge/>
            <w:tcBorders>
              <w:left w:val="double" w:sz="4" w:space="0" w:color="auto"/>
              <w:right w:val="single" w:sz="4" w:space="0" w:color="auto"/>
            </w:tcBorders>
            <w:vAlign w:val="center"/>
          </w:tcPr>
          <w:p w14:paraId="272BB4A7" w14:textId="70D0E831" w:rsidR="00794D69" w:rsidRPr="008B619A" w:rsidRDefault="00794D69" w:rsidP="00772E71">
            <w:pPr>
              <w:rPr>
                <w:rFonts w:hAnsi="標楷體" w:cs="新細明體"/>
                <w:color w:val="000000" w:themeColor="text1"/>
                <w:kern w:val="0"/>
                <w:sz w:val="24"/>
                <w:szCs w:val="24"/>
              </w:rPr>
            </w:pPr>
          </w:p>
        </w:tc>
        <w:tc>
          <w:tcPr>
            <w:tcW w:w="3169" w:type="dxa"/>
            <w:tcBorders>
              <w:top w:val="nil"/>
              <w:left w:val="nil"/>
              <w:bottom w:val="single" w:sz="4" w:space="0" w:color="auto"/>
              <w:right w:val="single" w:sz="4" w:space="0" w:color="auto"/>
            </w:tcBorders>
            <w:vAlign w:val="center"/>
          </w:tcPr>
          <w:p w14:paraId="52BE3153" w14:textId="1BD9F9EC" w:rsidR="00794D69" w:rsidRPr="008B619A" w:rsidRDefault="00794D69" w:rsidP="00772E71">
            <w:pPr>
              <w:widowControl/>
              <w:rPr>
                <w:rFonts w:hAnsi="標楷體" w:cs="新細明體"/>
                <w:color w:val="000000" w:themeColor="text1"/>
                <w:kern w:val="0"/>
                <w:sz w:val="24"/>
                <w:szCs w:val="24"/>
              </w:rPr>
            </w:pPr>
            <w:r w:rsidRPr="008B619A">
              <w:rPr>
                <w:rFonts w:hAnsi="標楷體" w:cs="新細明體" w:hint="eastAsia"/>
                <w:color w:val="000000" w:themeColor="text1"/>
                <w:kern w:val="0"/>
                <w:sz w:val="24"/>
                <w:szCs w:val="24"/>
              </w:rPr>
              <w:t>跨領域神經科學博士學位學程(台灣聯合大學系統)</w:t>
            </w:r>
          </w:p>
        </w:tc>
      </w:tr>
      <w:tr w:rsidR="00DB2122" w:rsidRPr="008B619A" w14:paraId="6C7164FF" w14:textId="65772201" w:rsidTr="00F33FE5">
        <w:trPr>
          <w:trHeight w:val="315"/>
        </w:trPr>
        <w:tc>
          <w:tcPr>
            <w:tcW w:w="4417" w:type="dxa"/>
            <w:gridSpan w:val="2"/>
            <w:vMerge w:val="restart"/>
            <w:tcBorders>
              <w:top w:val="nil"/>
              <w:left w:val="single" w:sz="4" w:space="0" w:color="auto"/>
              <w:right w:val="double" w:sz="4" w:space="0" w:color="auto"/>
            </w:tcBorders>
            <w:shd w:val="clear" w:color="auto" w:fill="FDE9D9" w:themeFill="accent6" w:themeFillTint="33"/>
            <w:vAlign w:val="center"/>
          </w:tcPr>
          <w:p w14:paraId="40007410" w14:textId="4E8C931A" w:rsidR="00DB2122" w:rsidRPr="008B619A" w:rsidRDefault="00B142B8" w:rsidP="00772E71">
            <w:pPr>
              <w:widowControl/>
              <w:rPr>
                <w:rFonts w:hAnsi="標楷體" w:cs="新細明體"/>
                <w:b/>
                <w:bCs/>
                <w:color w:val="000000" w:themeColor="text1"/>
                <w:kern w:val="0"/>
                <w:sz w:val="24"/>
                <w:szCs w:val="24"/>
              </w:rPr>
            </w:pPr>
            <w:r w:rsidRPr="008B619A">
              <w:rPr>
                <w:rFonts w:hAnsi="標楷體" w:cs="新細明體" w:hint="eastAsia"/>
                <w:b/>
                <w:bCs/>
                <w:color w:val="000000" w:themeColor="text1"/>
                <w:kern w:val="0"/>
                <w:sz w:val="24"/>
                <w:szCs w:val="24"/>
              </w:rPr>
              <w:t>--</w:t>
            </w:r>
          </w:p>
        </w:tc>
        <w:tc>
          <w:tcPr>
            <w:tcW w:w="1248" w:type="dxa"/>
            <w:vMerge/>
            <w:tcBorders>
              <w:left w:val="double" w:sz="4" w:space="0" w:color="auto"/>
              <w:right w:val="single" w:sz="4" w:space="0" w:color="auto"/>
            </w:tcBorders>
            <w:vAlign w:val="center"/>
          </w:tcPr>
          <w:p w14:paraId="26606CF0" w14:textId="7983B2F2" w:rsidR="00DB2122" w:rsidRPr="008B619A" w:rsidRDefault="00DB2122" w:rsidP="00772E71">
            <w:pPr>
              <w:rPr>
                <w:rFonts w:hAnsi="標楷體" w:cs="新細明體"/>
                <w:color w:val="000000" w:themeColor="text1"/>
                <w:kern w:val="0"/>
                <w:sz w:val="24"/>
                <w:szCs w:val="24"/>
              </w:rPr>
            </w:pPr>
          </w:p>
        </w:tc>
        <w:tc>
          <w:tcPr>
            <w:tcW w:w="3169" w:type="dxa"/>
            <w:tcBorders>
              <w:top w:val="nil"/>
              <w:left w:val="nil"/>
              <w:bottom w:val="single" w:sz="4" w:space="0" w:color="auto"/>
              <w:right w:val="single" w:sz="4" w:space="0" w:color="auto"/>
            </w:tcBorders>
            <w:vAlign w:val="center"/>
          </w:tcPr>
          <w:p w14:paraId="5C3FEE3B" w14:textId="32FE9547" w:rsidR="00DB2122" w:rsidRPr="008B619A" w:rsidRDefault="00DB2122" w:rsidP="00772E71">
            <w:pPr>
              <w:widowControl/>
              <w:rPr>
                <w:rFonts w:hAnsi="標楷體" w:cs="新細明體"/>
                <w:color w:val="000000" w:themeColor="text1"/>
                <w:kern w:val="0"/>
                <w:sz w:val="24"/>
                <w:szCs w:val="24"/>
              </w:rPr>
            </w:pPr>
            <w:r w:rsidRPr="008B619A">
              <w:rPr>
                <w:rFonts w:hAnsi="標楷體" w:cs="新細明體" w:hint="eastAsia"/>
                <w:color w:val="000000" w:themeColor="text1"/>
                <w:kern w:val="0"/>
                <w:sz w:val="24"/>
                <w:szCs w:val="24"/>
              </w:rPr>
              <w:t>電機工程學系產業博士班</w:t>
            </w:r>
          </w:p>
        </w:tc>
      </w:tr>
      <w:tr w:rsidR="00DB2122" w:rsidRPr="008B619A" w14:paraId="3C414983" w14:textId="1BA32C5F" w:rsidTr="00F33FE5">
        <w:trPr>
          <w:trHeight w:val="315"/>
        </w:trPr>
        <w:tc>
          <w:tcPr>
            <w:tcW w:w="4417" w:type="dxa"/>
            <w:gridSpan w:val="2"/>
            <w:vMerge/>
            <w:tcBorders>
              <w:left w:val="single" w:sz="4" w:space="0" w:color="auto"/>
              <w:right w:val="double" w:sz="4" w:space="0" w:color="auto"/>
            </w:tcBorders>
            <w:shd w:val="clear" w:color="auto" w:fill="FDE9D9" w:themeFill="accent6" w:themeFillTint="33"/>
            <w:vAlign w:val="center"/>
          </w:tcPr>
          <w:p w14:paraId="0EFA8808" w14:textId="51DBADA0" w:rsidR="00DB2122" w:rsidRPr="008B619A" w:rsidRDefault="00DB2122" w:rsidP="00772E71">
            <w:pPr>
              <w:widowControl/>
              <w:rPr>
                <w:rFonts w:hAnsi="標楷體" w:cs="新細明體"/>
                <w:b/>
                <w:bCs/>
                <w:color w:val="000000" w:themeColor="text1"/>
                <w:kern w:val="0"/>
                <w:sz w:val="24"/>
                <w:szCs w:val="24"/>
              </w:rPr>
            </w:pPr>
          </w:p>
        </w:tc>
        <w:tc>
          <w:tcPr>
            <w:tcW w:w="1248" w:type="dxa"/>
            <w:vMerge/>
            <w:tcBorders>
              <w:left w:val="double" w:sz="4" w:space="0" w:color="auto"/>
              <w:right w:val="single" w:sz="4" w:space="0" w:color="auto"/>
            </w:tcBorders>
            <w:vAlign w:val="center"/>
          </w:tcPr>
          <w:p w14:paraId="5DE9F14E" w14:textId="582809BA" w:rsidR="00DB2122" w:rsidRPr="008B619A" w:rsidRDefault="00DB2122" w:rsidP="00772E71">
            <w:pPr>
              <w:rPr>
                <w:rFonts w:hAnsi="標楷體" w:cs="新細明體"/>
                <w:color w:val="000000" w:themeColor="text1"/>
                <w:kern w:val="0"/>
                <w:sz w:val="24"/>
                <w:szCs w:val="24"/>
              </w:rPr>
            </w:pPr>
          </w:p>
        </w:tc>
        <w:tc>
          <w:tcPr>
            <w:tcW w:w="3169" w:type="dxa"/>
            <w:tcBorders>
              <w:top w:val="nil"/>
              <w:left w:val="nil"/>
              <w:bottom w:val="single" w:sz="4" w:space="0" w:color="auto"/>
              <w:right w:val="single" w:sz="4" w:space="0" w:color="auto"/>
            </w:tcBorders>
            <w:vAlign w:val="center"/>
          </w:tcPr>
          <w:p w14:paraId="72DB3166" w14:textId="169B6FFC" w:rsidR="00DB2122" w:rsidRPr="008B619A" w:rsidRDefault="00DB2122" w:rsidP="00772E71">
            <w:pPr>
              <w:widowControl/>
              <w:rPr>
                <w:rFonts w:hAnsi="標楷體" w:cs="新細明體"/>
                <w:color w:val="000000" w:themeColor="text1"/>
                <w:kern w:val="0"/>
                <w:sz w:val="24"/>
                <w:szCs w:val="24"/>
              </w:rPr>
            </w:pPr>
            <w:r w:rsidRPr="008B619A">
              <w:rPr>
                <w:rFonts w:hAnsi="標楷體" w:cs="新細明體" w:hint="eastAsia"/>
                <w:color w:val="000000" w:themeColor="text1"/>
                <w:kern w:val="0"/>
                <w:sz w:val="24"/>
                <w:szCs w:val="24"/>
              </w:rPr>
              <w:t>資訊工程學系產業博士班</w:t>
            </w:r>
          </w:p>
        </w:tc>
      </w:tr>
      <w:tr w:rsidR="00DB2122" w:rsidRPr="008B619A" w14:paraId="6515F655" w14:textId="5E02FDC1" w:rsidTr="00F33FE5">
        <w:trPr>
          <w:trHeight w:val="315"/>
        </w:trPr>
        <w:tc>
          <w:tcPr>
            <w:tcW w:w="4417" w:type="dxa"/>
            <w:gridSpan w:val="2"/>
            <w:vMerge/>
            <w:tcBorders>
              <w:left w:val="single" w:sz="4" w:space="0" w:color="auto"/>
              <w:right w:val="double" w:sz="4" w:space="0" w:color="auto"/>
            </w:tcBorders>
            <w:shd w:val="clear" w:color="auto" w:fill="FDE9D9" w:themeFill="accent6" w:themeFillTint="33"/>
            <w:vAlign w:val="center"/>
          </w:tcPr>
          <w:p w14:paraId="41368EED" w14:textId="76F2C792" w:rsidR="00DB2122" w:rsidRPr="008B619A" w:rsidRDefault="00DB2122" w:rsidP="00772E71">
            <w:pPr>
              <w:widowControl/>
              <w:rPr>
                <w:rFonts w:hAnsi="標楷體" w:cs="新細明體"/>
                <w:b/>
                <w:bCs/>
                <w:color w:val="000000" w:themeColor="text1"/>
                <w:kern w:val="0"/>
                <w:sz w:val="24"/>
                <w:szCs w:val="24"/>
              </w:rPr>
            </w:pPr>
          </w:p>
        </w:tc>
        <w:tc>
          <w:tcPr>
            <w:tcW w:w="1248" w:type="dxa"/>
            <w:vMerge/>
            <w:tcBorders>
              <w:left w:val="double" w:sz="4" w:space="0" w:color="auto"/>
              <w:right w:val="single" w:sz="4" w:space="0" w:color="auto"/>
            </w:tcBorders>
            <w:vAlign w:val="center"/>
          </w:tcPr>
          <w:p w14:paraId="33CDBDF0" w14:textId="3057CE04" w:rsidR="00DB2122" w:rsidRPr="008B619A" w:rsidRDefault="00DB2122" w:rsidP="00772E71">
            <w:pPr>
              <w:rPr>
                <w:rFonts w:hAnsi="標楷體" w:cs="新細明體"/>
                <w:color w:val="000000" w:themeColor="text1"/>
                <w:kern w:val="0"/>
                <w:sz w:val="24"/>
                <w:szCs w:val="24"/>
              </w:rPr>
            </w:pPr>
          </w:p>
        </w:tc>
        <w:tc>
          <w:tcPr>
            <w:tcW w:w="3169" w:type="dxa"/>
            <w:tcBorders>
              <w:top w:val="nil"/>
              <w:left w:val="nil"/>
              <w:bottom w:val="single" w:sz="4" w:space="0" w:color="auto"/>
              <w:right w:val="single" w:sz="4" w:space="0" w:color="auto"/>
            </w:tcBorders>
            <w:vAlign w:val="center"/>
          </w:tcPr>
          <w:p w14:paraId="76FC7E72" w14:textId="4EDE7943" w:rsidR="00DB2122" w:rsidRPr="008B619A" w:rsidRDefault="00DB2122" w:rsidP="00772E71">
            <w:pPr>
              <w:widowControl/>
              <w:rPr>
                <w:rFonts w:hAnsi="標楷體" w:cs="新細明體"/>
                <w:color w:val="000000" w:themeColor="text1"/>
                <w:kern w:val="0"/>
                <w:sz w:val="24"/>
                <w:szCs w:val="24"/>
              </w:rPr>
            </w:pPr>
            <w:r w:rsidRPr="008B619A">
              <w:rPr>
                <w:rFonts w:hAnsi="標楷體" w:cs="新細明體" w:hint="eastAsia"/>
                <w:color w:val="000000" w:themeColor="text1"/>
                <w:kern w:val="0"/>
                <w:sz w:val="24"/>
                <w:szCs w:val="24"/>
              </w:rPr>
              <w:t>應用地質研究所</w:t>
            </w:r>
          </w:p>
        </w:tc>
      </w:tr>
      <w:tr w:rsidR="00DB2122" w:rsidRPr="008B619A" w14:paraId="2E8885C7" w14:textId="4F8BC895" w:rsidTr="00F33FE5">
        <w:trPr>
          <w:trHeight w:val="315"/>
        </w:trPr>
        <w:tc>
          <w:tcPr>
            <w:tcW w:w="4417" w:type="dxa"/>
            <w:gridSpan w:val="2"/>
            <w:vMerge/>
            <w:tcBorders>
              <w:left w:val="single" w:sz="4" w:space="0" w:color="auto"/>
              <w:right w:val="double" w:sz="4" w:space="0" w:color="auto"/>
            </w:tcBorders>
            <w:shd w:val="clear" w:color="auto" w:fill="FDE9D9" w:themeFill="accent6" w:themeFillTint="33"/>
            <w:vAlign w:val="center"/>
          </w:tcPr>
          <w:p w14:paraId="620680D0" w14:textId="3DB423A7" w:rsidR="00DB2122" w:rsidRPr="008B619A" w:rsidRDefault="00DB2122" w:rsidP="00772E71">
            <w:pPr>
              <w:widowControl/>
              <w:rPr>
                <w:rFonts w:hAnsi="標楷體" w:cs="新細明體"/>
                <w:b/>
                <w:bCs/>
                <w:color w:val="000000" w:themeColor="text1"/>
                <w:kern w:val="0"/>
                <w:sz w:val="24"/>
                <w:szCs w:val="24"/>
              </w:rPr>
            </w:pPr>
          </w:p>
        </w:tc>
        <w:tc>
          <w:tcPr>
            <w:tcW w:w="1248" w:type="dxa"/>
            <w:vMerge/>
            <w:tcBorders>
              <w:left w:val="double" w:sz="4" w:space="0" w:color="auto"/>
              <w:right w:val="single" w:sz="4" w:space="0" w:color="auto"/>
            </w:tcBorders>
            <w:vAlign w:val="center"/>
          </w:tcPr>
          <w:p w14:paraId="409AEEFF" w14:textId="16EB9EA6" w:rsidR="00DB2122" w:rsidRPr="008B619A" w:rsidRDefault="00DB2122" w:rsidP="00772E71">
            <w:pPr>
              <w:rPr>
                <w:rFonts w:hAnsi="標楷體" w:cs="新細明體"/>
                <w:color w:val="000000" w:themeColor="text1"/>
                <w:kern w:val="0"/>
                <w:sz w:val="24"/>
                <w:szCs w:val="24"/>
              </w:rPr>
            </w:pPr>
          </w:p>
        </w:tc>
        <w:tc>
          <w:tcPr>
            <w:tcW w:w="3169" w:type="dxa"/>
            <w:tcBorders>
              <w:top w:val="nil"/>
              <w:left w:val="nil"/>
              <w:bottom w:val="single" w:sz="4" w:space="0" w:color="auto"/>
              <w:right w:val="single" w:sz="4" w:space="0" w:color="auto"/>
            </w:tcBorders>
            <w:vAlign w:val="center"/>
          </w:tcPr>
          <w:p w14:paraId="12CF7193" w14:textId="4AC5D0D0" w:rsidR="00DB2122" w:rsidRPr="008B619A" w:rsidRDefault="00DB2122" w:rsidP="00772E71">
            <w:pPr>
              <w:widowControl/>
              <w:rPr>
                <w:rFonts w:hAnsi="標楷體" w:cs="新細明體"/>
                <w:color w:val="000000" w:themeColor="text1"/>
                <w:kern w:val="0"/>
                <w:sz w:val="24"/>
                <w:szCs w:val="24"/>
              </w:rPr>
            </w:pPr>
            <w:r w:rsidRPr="008B619A">
              <w:rPr>
                <w:rFonts w:hAnsi="標楷體" w:cs="新細明體" w:hint="eastAsia"/>
                <w:color w:val="000000" w:themeColor="text1"/>
                <w:kern w:val="0"/>
                <w:sz w:val="24"/>
                <w:szCs w:val="24"/>
              </w:rPr>
              <w:t>機械工程學系工學博士班</w:t>
            </w:r>
          </w:p>
        </w:tc>
      </w:tr>
      <w:tr w:rsidR="00DB2122" w:rsidRPr="008B619A" w14:paraId="3F72DFA0" w14:textId="3B44CC13" w:rsidTr="00F33FE5">
        <w:trPr>
          <w:trHeight w:val="315"/>
        </w:trPr>
        <w:tc>
          <w:tcPr>
            <w:tcW w:w="4417" w:type="dxa"/>
            <w:gridSpan w:val="2"/>
            <w:vMerge/>
            <w:tcBorders>
              <w:left w:val="single" w:sz="4" w:space="0" w:color="auto"/>
              <w:right w:val="double" w:sz="4" w:space="0" w:color="auto"/>
            </w:tcBorders>
            <w:shd w:val="clear" w:color="auto" w:fill="FDE9D9" w:themeFill="accent6" w:themeFillTint="33"/>
            <w:vAlign w:val="center"/>
          </w:tcPr>
          <w:p w14:paraId="5BBB6732" w14:textId="223E60DC" w:rsidR="00DB2122" w:rsidRPr="008B619A" w:rsidRDefault="00DB2122" w:rsidP="00772E71">
            <w:pPr>
              <w:widowControl/>
              <w:rPr>
                <w:rFonts w:hAnsi="標楷體" w:cs="新細明體"/>
                <w:b/>
                <w:bCs/>
                <w:color w:val="000000" w:themeColor="text1"/>
                <w:kern w:val="0"/>
                <w:sz w:val="24"/>
                <w:szCs w:val="24"/>
              </w:rPr>
            </w:pPr>
          </w:p>
        </w:tc>
        <w:tc>
          <w:tcPr>
            <w:tcW w:w="1248" w:type="dxa"/>
            <w:vMerge/>
            <w:tcBorders>
              <w:left w:val="double" w:sz="4" w:space="0" w:color="auto"/>
              <w:right w:val="single" w:sz="4" w:space="0" w:color="auto"/>
            </w:tcBorders>
            <w:vAlign w:val="center"/>
          </w:tcPr>
          <w:p w14:paraId="5955CD2B" w14:textId="01751A7D" w:rsidR="00DB2122" w:rsidRPr="008B619A" w:rsidRDefault="00DB2122" w:rsidP="00772E71">
            <w:pPr>
              <w:rPr>
                <w:rFonts w:hAnsi="標楷體" w:cs="新細明體"/>
                <w:color w:val="000000" w:themeColor="text1"/>
                <w:kern w:val="0"/>
                <w:sz w:val="24"/>
                <w:szCs w:val="24"/>
              </w:rPr>
            </w:pPr>
          </w:p>
        </w:tc>
        <w:tc>
          <w:tcPr>
            <w:tcW w:w="3169" w:type="dxa"/>
            <w:tcBorders>
              <w:top w:val="nil"/>
              <w:left w:val="nil"/>
              <w:bottom w:val="single" w:sz="4" w:space="0" w:color="auto"/>
              <w:right w:val="single" w:sz="4" w:space="0" w:color="auto"/>
            </w:tcBorders>
            <w:vAlign w:val="center"/>
          </w:tcPr>
          <w:p w14:paraId="4BACC369" w14:textId="759840FB" w:rsidR="00DB2122" w:rsidRPr="008B619A" w:rsidRDefault="00DB2122" w:rsidP="00772E71">
            <w:pPr>
              <w:widowControl/>
              <w:rPr>
                <w:rFonts w:hAnsi="標楷體" w:cs="新細明體"/>
                <w:color w:val="000000" w:themeColor="text1"/>
                <w:kern w:val="0"/>
                <w:sz w:val="24"/>
                <w:szCs w:val="24"/>
              </w:rPr>
            </w:pPr>
            <w:r w:rsidRPr="008B619A">
              <w:rPr>
                <w:rFonts w:hAnsi="標楷體" w:cs="新細明體" w:hint="eastAsia"/>
                <w:color w:val="000000" w:themeColor="text1"/>
                <w:kern w:val="0"/>
                <w:sz w:val="24"/>
                <w:szCs w:val="24"/>
              </w:rPr>
              <w:t>化學工程與材料工程系</w:t>
            </w:r>
          </w:p>
        </w:tc>
      </w:tr>
      <w:tr w:rsidR="00DB2122" w:rsidRPr="008B619A" w14:paraId="6D768013" w14:textId="3DD1765A" w:rsidTr="00F33FE5">
        <w:trPr>
          <w:trHeight w:val="315"/>
        </w:trPr>
        <w:tc>
          <w:tcPr>
            <w:tcW w:w="4417" w:type="dxa"/>
            <w:gridSpan w:val="2"/>
            <w:vMerge/>
            <w:tcBorders>
              <w:left w:val="single" w:sz="4" w:space="0" w:color="auto"/>
              <w:bottom w:val="single" w:sz="4" w:space="0" w:color="auto"/>
              <w:right w:val="double" w:sz="4" w:space="0" w:color="auto"/>
            </w:tcBorders>
            <w:shd w:val="clear" w:color="auto" w:fill="FDE9D9" w:themeFill="accent6" w:themeFillTint="33"/>
            <w:vAlign w:val="center"/>
          </w:tcPr>
          <w:p w14:paraId="70B867E4" w14:textId="56134A01" w:rsidR="00DB2122" w:rsidRPr="008B619A" w:rsidRDefault="00DB2122" w:rsidP="00772E71">
            <w:pPr>
              <w:widowControl/>
              <w:rPr>
                <w:rFonts w:hAnsi="標楷體" w:cs="新細明體"/>
                <w:b/>
                <w:bCs/>
                <w:color w:val="000000" w:themeColor="text1"/>
                <w:kern w:val="0"/>
                <w:sz w:val="24"/>
                <w:szCs w:val="24"/>
              </w:rPr>
            </w:pPr>
          </w:p>
        </w:tc>
        <w:tc>
          <w:tcPr>
            <w:tcW w:w="1248" w:type="dxa"/>
            <w:vMerge/>
            <w:tcBorders>
              <w:left w:val="double" w:sz="4" w:space="0" w:color="auto"/>
              <w:bottom w:val="single" w:sz="4" w:space="0" w:color="auto"/>
              <w:right w:val="single" w:sz="4" w:space="0" w:color="auto"/>
            </w:tcBorders>
            <w:vAlign w:val="center"/>
          </w:tcPr>
          <w:p w14:paraId="27B6210E" w14:textId="470A69E7" w:rsidR="00DB2122" w:rsidRPr="008B619A" w:rsidRDefault="00DB2122" w:rsidP="00772E71">
            <w:pPr>
              <w:widowControl/>
              <w:rPr>
                <w:rFonts w:hAnsi="標楷體" w:cs="新細明體"/>
                <w:color w:val="000000" w:themeColor="text1"/>
                <w:kern w:val="0"/>
                <w:sz w:val="24"/>
                <w:szCs w:val="24"/>
              </w:rPr>
            </w:pPr>
          </w:p>
        </w:tc>
        <w:tc>
          <w:tcPr>
            <w:tcW w:w="3169" w:type="dxa"/>
            <w:tcBorders>
              <w:top w:val="nil"/>
              <w:left w:val="nil"/>
              <w:bottom w:val="single" w:sz="4" w:space="0" w:color="auto"/>
              <w:right w:val="single" w:sz="4" w:space="0" w:color="auto"/>
            </w:tcBorders>
            <w:vAlign w:val="center"/>
          </w:tcPr>
          <w:p w14:paraId="111EDF12" w14:textId="78A5D298" w:rsidR="00DB2122" w:rsidRPr="008B619A" w:rsidRDefault="00DB2122" w:rsidP="00772E71">
            <w:pPr>
              <w:widowControl/>
              <w:rPr>
                <w:rFonts w:hAnsi="標楷體" w:cs="新細明體"/>
                <w:color w:val="000000" w:themeColor="text1"/>
                <w:kern w:val="0"/>
                <w:sz w:val="24"/>
                <w:szCs w:val="24"/>
              </w:rPr>
            </w:pPr>
            <w:r w:rsidRPr="008B619A">
              <w:rPr>
                <w:rFonts w:hAnsi="標楷體" w:cs="新細明體" w:hint="eastAsia"/>
                <w:color w:val="000000" w:themeColor="text1"/>
                <w:kern w:val="0"/>
                <w:sz w:val="24"/>
                <w:szCs w:val="24"/>
              </w:rPr>
              <w:t>資源工程研究所博士班</w:t>
            </w:r>
          </w:p>
        </w:tc>
      </w:tr>
    </w:tbl>
    <w:p w14:paraId="68EBD12F" w14:textId="0CF696E4" w:rsidR="007750FF" w:rsidRPr="008B619A" w:rsidRDefault="00E83BA7" w:rsidP="00F80290">
      <w:pPr>
        <w:spacing w:afterLines="50" w:after="228"/>
        <w:rPr>
          <w:color w:val="000000" w:themeColor="text1"/>
          <w:sz w:val="24"/>
          <w:szCs w:val="24"/>
        </w:rPr>
      </w:pPr>
      <w:r w:rsidRPr="008B619A">
        <w:rPr>
          <w:rFonts w:hint="eastAsia"/>
          <w:color w:val="000000" w:themeColor="text1"/>
          <w:sz w:val="24"/>
          <w:szCs w:val="24"/>
        </w:rPr>
        <w:t>資料來源：</w:t>
      </w:r>
      <w:r w:rsidR="00432B0C" w:rsidRPr="008B619A">
        <w:rPr>
          <w:rFonts w:hint="eastAsia"/>
          <w:color w:val="000000" w:themeColor="text1"/>
          <w:sz w:val="24"/>
          <w:szCs w:val="24"/>
        </w:rPr>
        <w:t>彙整自</w:t>
      </w:r>
      <w:r w:rsidR="00215D85" w:rsidRPr="008B619A">
        <w:rPr>
          <w:rFonts w:hint="eastAsia"/>
          <w:color w:val="000000" w:themeColor="text1"/>
          <w:sz w:val="24"/>
          <w:szCs w:val="24"/>
        </w:rPr>
        <w:t>109教調33號案行政院</w:t>
      </w:r>
      <w:r w:rsidR="001539D2" w:rsidRPr="008B619A">
        <w:rPr>
          <w:rFonts w:hint="eastAsia"/>
          <w:color w:val="000000" w:themeColor="text1"/>
          <w:sz w:val="24"/>
          <w:szCs w:val="24"/>
        </w:rPr>
        <w:t>函</w:t>
      </w:r>
      <w:r w:rsidR="00215D85" w:rsidRPr="008B619A">
        <w:rPr>
          <w:rFonts w:hint="eastAsia"/>
          <w:color w:val="000000" w:themeColor="text1"/>
          <w:sz w:val="24"/>
          <w:szCs w:val="24"/>
        </w:rPr>
        <w:t>復資料。</w:t>
      </w:r>
    </w:p>
    <w:p w14:paraId="050EF5D8" w14:textId="090E0E21" w:rsidR="001A2050" w:rsidRPr="008B619A" w:rsidRDefault="002F1D3F" w:rsidP="004C452F">
      <w:pPr>
        <w:pStyle w:val="3"/>
        <w:rPr>
          <w:color w:val="000000" w:themeColor="text1"/>
        </w:rPr>
      </w:pPr>
      <w:r w:rsidRPr="008B619A">
        <w:rPr>
          <w:rFonts w:hint="eastAsia"/>
          <w:color w:val="000000" w:themeColor="text1"/>
        </w:rPr>
        <w:t>另查，</w:t>
      </w:r>
      <w:r w:rsidR="00037937" w:rsidRPr="008B619A">
        <w:rPr>
          <w:rFonts w:hint="eastAsia"/>
          <w:color w:val="000000" w:themeColor="text1"/>
        </w:rPr>
        <w:t>因應</w:t>
      </w:r>
      <w:r w:rsidR="001A2050" w:rsidRPr="008B619A">
        <w:rPr>
          <w:rFonts w:hint="eastAsia"/>
          <w:color w:val="000000" w:themeColor="text1"/>
        </w:rPr>
        <w:t>博士班人才供需及趨勢</w:t>
      </w:r>
      <w:r w:rsidR="00A770CA" w:rsidRPr="008B619A">
        <w:rPr>
          <w:rFonts w:hint="eastAsia"/>
          <w:color w:val="000000" w:themeColor="text1"/>
        </w:rPr>
        <w:t>變化</w:t>
      </w:r>
      <w:r w:rsidR="001A2050" w:rsidRPr="008B619A">
        <w:rPr>
          <w:rFonts w:hint="eastAsia"/>
          <w:color w:val="000000" w:themeColor="text1"/>
        </w:rPr>
        <w:t>，教育部</w:t>
      </w:r>
      <w:r w:rsidR="00A770CA" w:rsidRPr="008B619A">
        <w:rPr>
          <w:rFonts w:hint="eastAsia"/>
          <w:color w:val="000000" w:themeColor="text1"/>
        </w:rPr>
        <w:t>歷年採行之</w:t>
      </w:r>
      <w:r w:rsidR="001A2050" w:rsidRPr="008B619A">
        <w:rPr>
          <w:rFonts w:hint="eastAsia"/>
          <w:color w:val="000000" w:themeColor="text1"/>
        </w:rPr>
        <w:t>招生名額調控機制如下：</w:t>
      </w:r>
    </w:p>
    <w:p w14:paraId="67DB1485" w14:textId="4E71830F" w:rsidR="001A141B" w:rsidRPr="008B619A" w:rsidRDefault="001A141B" w:rsidP="001A141B">
      <w:pPr>
        <w:pStyle w:val="4"/>
        <w:rPr>
          <w:color w:val="000000" w:themeColor="text1"/>
        </w:rPr>
      </w:pPr>
      <w:r w:rsidRPr="008B619A">
        <w:rPr>
          <w:rFonts w:hint="eastAsia"/>
          <w:color w:val="000000" w:themeColor="text1"/>
        </w:rPr>
        <w:t>自</w:t>
      </w:r>
      <w:r w:rsidRPr="008B619A">
        <w:rPr>
          <w:color w:val="000000" w:themeColor="text1"/>
        </w:rPr>
        <w:t>101</w:t>
      </w:r>
      <w:r w:rsidRPr="008B619A">
        <w:rPr>
          <w:rFonts w:hint="eastAsia"/>
          <w:color w:val="000000" w:themeColor="text1"/>
        </w:rPr>
        <w:t>學年度起，招生名額原則應由學校既有博士班招生名額調整而來，不再擴增；</w:t>
      </w:r>
      <w:r w:rsidRPr="008B619A">
        <w:rPr>
          <w:color w:val="000000" w:themeColor="text1"/>
        </w:rPr>
        <w:t>105</w:t>
      </w:r>
      <w:r w:rsidRPr="008B619A">
        <w:rPr>
          <w:rFonts w:hint="eastAsia"/>
          <w:color w:val="000000" w:themeColor="text1"/>
        </w:rPr>
        <w:t>學年度至</w:t>
      </w:r>
      <w:r w:rsidRPr="008B619A">
        <w:rPr>
          <w:color w:val="000000" w:themeColor="text1"/>
        </w:rPr>
        <w:t>107</w:t>
      </w:r>
      <w:r w:rsidRPr="008B619A">
        <w:rPr>
          <w:rFonts w:hint="eastAsia"/>
          <w:color w:val="000000" w:themeColor="text1"/>
        </w:rPr>
        <w:t>學年度，則依據</w:t>
      </w:r>
      <w:r w:rsidR="007108B3" w:rsidRPr="008B619A">
        <w:rPr>
          <w:rFonts w:hAnsi="標楷體" w:hint="eastAsia"/>
          <w:color w:val="000000" w:themeColor="text1"/>
        </w:rPr>
        <w:t>「</w:t>
      </w:r>
      <w:r w:rsidR="008940B9" w:rsidRPr="008B619A">
        <w:rPr>
          <w:rFonts w:hint="eastAsia"/>
          <w:color w:val="000000" w:themeColor="text1"/>
        </w:rPr>
        <w:t>總量標準</w:t>
      </w:r>
      <w:r w:rsidR="007108B3" w:rsidRPr="008B619A">
        <w:rPr>
          <w:rFonts w:hAnsi="標楷體" w:hint="eastAsia"/>
          <w:color w:val="000000" w:themeColor="text1"/>
        </w:rPr>
        <w:t>」</w:t>
      </w:r>
      <w:r w:rsidRPr="008B619A">
        <w:rPr>
          <w:rFonts w:hint="eastAsia"/>
          <w:color w:val="000000" w:themeColor="text1"/>
        </w:rPr>
        <w:t>第</w:t>
      </w:r>
      <w:r w:rsidRPr="008B619A">
        <w:rPr>
          <w:color w:val="000000" w:themeColor="text1"/>
        </w:rPr>
        <w:t>8</w:t>
      </w:r>
      <w:r w:rsidRPr="008B619A">
        <w:rPr>
          <w:rFonts w:hint="eastAsia"/>
          <w:color w:val="000000" w:themeColor="text1"/>
        </w:rPr>
        <w:t>條第</w:t>
      </w:r>
      <w:r w:rsidRPr="008B619A">
        <w:rPr>
          <w:color w:val="000000" w:themeColor="text1"/>
        </w:rPr>
        <w:t>3</w:t>
      </w:r>
      <w:r w:rsidRPr="008B619A">
        <w:rPr>
          <w:rFonts w:hint="eastAsia"/>
          <w:color w:val="000000" w:themeColor="text1"/>
        </w:rPr>
        <w:t>項規定</w:t>
      </w:r>
      <w:r w:rsidR="00220CB8" w:rsidRPr="008B619A">
        <w:rPr>
          <w:rFonts w:hint="eastAsia"/>
          <w:color w:val="000000" w:themeColor="text1"/>
        </w:rPr>
        <w:t>略以</w:t>
      </w:r>
      <w:r w:rsidR="007108B3" w:rsidRPr="008B619A">
        <w:rPr>
          <w:rFonts w:hint="eastAsia"/>
          <w:color w:val="000000" w:themeColor="text1"/>
        </w:rPr>
        <w:t>，</w:t>
      </w:r>
      <w:r w:rsidRPr="008B619A">
        <w:rPr>
          <w:rFonts w:hint="eastAsia"/>
          <w:color w:val="000000" w:themeColor="text1"/>
        </w:rPr>
        <w:t>「博士班招生名額總量，依學校前一學年度博士班招生名額總量，扣除一定比率，並加計專案調整名額後核定之。」及第</w:t>
      </w:r>
      <w:r w:rsidRPr="008B619A">
        <w:rPr>
          <w:color w:val="000000" w:themeColor="text1"/>
        </w:rPr>
        <w:t>8</w:t>
      </w:r>
      <w:r w:rsidRPr="008B619A">
        <w:rPr>
          <w:rFonts w:hint="eastAsia"/>
          <w:color w:val="000000" w:themeColor="text1"/>
        </w:rPr>
        <w:t>條第</w:t>
      </w:r>
      <w:r w:rsidRPr="008B619A">
        <w:rPr>
          <w:color w:val="000000" w:themeColor="text1"/>
        </w:rPr>
        <w:t>6</w:t>
      </w:r>
      <w:r w:rsidRPr="008B619A">
        <w:rPr>
          <w:rFonts w:hint="eastAsia"/>
          <w:color w:val="000000" w:themeColor="text1"/>
        </w:rPr>
        <w:t>項規定</w:t>
      </w:r>
      <w:r w:rsidR="008B0373" w:rsidRPr="008B619A">
        <w:rPr>
          <w:rFonts w:hint="eastAsia"/>
          <w:color w:val="000000" w:themeColor="text1"/>
        </w:rPr>
        <w:t>略以，</w:t>
      </w:r>
      <w:r w:rsidRPr="008B619A">
        <w:rPr>
          <w:rFonts w:hint="eastAsia"/>
          <w:color w:val="000000" w:themeColor="text1"/>
        </w:rPr>
        <w:t>「第</w:t>
      </w:r>
      <w:r w:rsidR="00313A76" w:rsidRPr="008B619A">
        <w:rPr>
          <w:rFonts w:hint="eastAsia"/>
          <w:color w:val="000000" w:themeColor="text1"/>
        </w:rPr>
        <w:t>3</w:t>
      </w:r>
      <w:r w:rsidRPr="008B619A">
        <w:rPr>
          <w:rFonts w:hint="eastAsia"/>
          <w:color w:val="000000" w:themeColor="text1"/>
        </w:rPr>
        <w:t>項扣除之一定比率及前項第一款保留名額之比率，由本部公告之。」，並依整體博士班培育現況，統一調整博士班招生名額，並鼓勵學校主動調減</w:t>
      </w:r>
      <w:r w:rsidR="00453538" w:rsidRPr="008B619A">
        <w:rPr>
          <w:rFonts w:hAnsi="標楷體" w:hint="eastAsia"/>
          <w:color w:val="000000" w:themeColor="text1"/>
        </w:rPr>
        <w:t>（</w:t>
      </w:r>
      <w:r w:rsidRPr="008B619A">
        <w:rPr>
          <w:rFonts w:hint="eastAsia"/>
          <w:color w:val="000000" w:themeColor="text1"/>
        </w:rPr>
        <w:t>寄存</w:t>
      </w:r>
      <w:r w:rsidR="00453538" w:rsidRPr="008B619A">
        <w:rPr>
          <w:rFonts w:hAnsi="標楷體" w:hint="eastAsia"/>
          <w:color w:val="000000" w:themeColor="text1"/>
        </w:rPr>
        <w:t>）</w:t>
      </w:r>
      <w:r w:rsidRPr="008B619A">
        <w:rPr>
          <w:rFonts w:hint="eastAsia"/>
          <w:color w:val="000000" w:themeColor="text1"/>
        </w:rPr>
        <w:t>名額。</w:t>
      </w:r>
    </w:p>
    <w:p w14:paraId="4C31B04D" w14:textId="62B19E2B" w:rsidR="001A2050" w:rsidRPr="008B619A" w:rsidRDefault="001A141B" w:rsidP="001A141B">
      <w:pPr>
        <w:pStyle w:val="4"/>
        <w:rPr>
          <w:color w:val="000000" w:themeColor="text1"/>
        </w:rPr>
      </w:pPr>
      <w:r w:rsidRPr="008B619A">
        <w:rPr>
          <w:rFonts w:hint="eastAsia"/>
          <w:color w:val="000000" w:themeColor="text1"/>
        </w:rPr>
        <w:t>自</w:t>
      </w:r>
      <w:r w:rsidRPr="008B619A">
        <w:rPr>
          <w:color w:val="000000" w:themeColor="text1"/>
        </w:rPr>
        <w:t>108</w:t>
      </w:r>
      <w:r w:rsidRPr="008B619A">
        <w:rPr>
          <w:rFonts w:hint="eastAsia"/>
          <w:color w:val="000000" w:themeColor="text1"/>
        </w:rPr>
        <w:t>學年度取消博士班統一調控政策，並保留博士班招生名額之</w:t>
      </w:r>
      <w:r w:rsidRPr="008B619A">
        <w:rPr>
          <w:color w:val="000000" w:themeColor="text1"/>
        </w:rPr>
        <w:t>30%</w:t>
      </w:r>
      <w:r w:rsidRPr="008B619A">
        <w:rPr>
          <w:rFonts w:hint="eastAsia"/>
          <w:color w:val="000000" w:themeColor="text1"/>
        </w:rPr>
        <w:t>授權由學校</w:t>
      </w:r>
      <w:r w:rsidRPr="008B619A">
        <w:rPr>
          <w:color w:val="000000" w:themeColor="text1"/>
        </w:rPr>
        <w:t>(</w:t>
      </w:r>
      <w:r w:rsidRPr="008B619A">
        <w:rPr>
          <w:rFonts w:hint="eastAsia"/>
          <w:color w:val="000000" w:themeColor="text1"/>
        </w:rPr>
        <w:t>校長</w:t>
      </w:r>
      <w:r w:rsidRPr="008B619A">
        <w:rPr>
          <w:color w:val="000000" w:themeColor="text1"/>
        </w:rPr>
        <w:t>)</w:t>
      </w:r>
      <w:r w:rsidRPr="008B619A">
        <w:rPr>
          <w:rFonts w:hint="eastAsia"/>
          <w:color w:val="000000" w:themeColor="text1"/>
        </w:rPr>
        <w:t>配合國家重大政策及學校發展方向統籌分配</w:t>
      </w:r>
      <w:r w:rsidR="00E643EE" w:rsidRPr="008B619A">
        <w:rPr>
          <w:rFonts w:hint="eastAsia"/>
          <w:color w:val="000000" w:themeColor="text1"/>
        </w:rPr>
        <w:t>。</w:t>
      </w:r>
    </w:p>
    <w:p w14:paraId="530DCF5B" w14:textId="0E772B36" w:rsidR="00620109" w:rsidRPr="008B619A" w:rsidRDefault="00620109" w:rsidP="001A141B">
      <w:pPr>
        <w:pStyle w:val="4"/>
        <w:rPr>
          <w:color w:val="000000" w:themeColor="text1"/>
        </w:rPr>
      </w:pPr>
      <w:r w:rsidRPr="008B619A">
        <w:rPr>
          <w:rFonts w:hint="eastAsia"/>
          <w:color w:val="000000" w:themeColor="text1"/>
        </w:rPr>
        <w:t>各校博士班之增設調整屬特殊審查項目，各班之增設除各項教學資源、課程設計及學術與師資條件應達相關標準外，就業輔導規劃、畢業生流向追蹤、回應社會人才需求與國家高階人才培育亦為審查重點。</w:t>
      </w:r>
    </w:p>
    <w:p w14:paraId="73EA628F" w14:textId="0EA3925A" w:rsidR="004923EA" w:rsidRPr="008B619A" w:rsidRDefault="004923EA" w:rsidP="004923EA">
      <w:pPr>
        <w:pStyle w:val="4"/>
        <w:rPr>
          <w:color w:val="000000" w:themeColor="text1"/>
        </w:rPr>
      </w:pPr>
      <w:r w:rsidRPr="008B619A">
        <w:rPr>
          <w:rFonts w:hint="eastAsia"/>
          <w:color w:val="000000" w:themeColor="text1"/>
        </w:rPr>
        <w:t>博士班106至110學年度招生情形及核定招生名</w:t>
      </w:r>
      <w:r w:rsidRPr="008B619A">
        <w:rPr>
          <w:rFonts w:hint="eastAsia"/>
          <w:color w:val="000000" w:themeColor="text1"/>
        </w:rPr>
        <w:lastRenderedPageBreak/>
        <w:t>額人文、社會、科技學門領域核定名額詳下表：</w:t>
      </w:r>
    </w:p>
    <w:p w14:paraId="01D40169" w14:textId="3BFDBEF3" w:rsidR="004923EA" w:rsidRPr="008B619A" w:rsidRDefault="006D7401" w:rsidP="000D6921">
      <w:pPr>
        <w:pStyle w:val="a3"/>
        <w:ind w:left="0" w:firstLine="0"/>
        <w:jc w:val="center"/>
        <w:rPr>
          <w:b/>
          <w:bCs w:val="0"/>
          <w:color w:val="000000" w:themeColor="text1"/>
        </w:rPr>
      </w:pPr>
      <w:r w:rsidRPr="008B619A">
        <w:rPr>
          <w:rFonts w:hint="eastAsia"/>
          <w:b/>
          <w:bCs w:val="0"/>
          <w:color w:val="000000" w:themeColor="text1"/>
        </w:rPr>
        <w:t>106至110學年度招生核定名額分布</w:t>
      </w:r>
    </w:p>
    <w:p w14:paraId="10933E48" w14:textId="64A5B1DD" w:rsidR="006432E8" w:rsidRPr="008B619A" w:rsidRDefault="006432E8" w:rsidP="00235255">
      <w:pPr>
        <w:ind w:right="780"/>
        <w:jc w:val="right"/>
        <w:rPr>
          <w:color w:val="000000" w:themeColor="text1"/>
          <w:sz w:val="24"/>
          <w:szCs w:val="24"/>
        </w:rPr>
      </w:pPr>
      <w:r w:rsidRPr="008B619A">
        <w:rPr>
          <w:rFonts w:hint="eastAsia"/>
          <w:color w:val="000000" w:themeColor="text1"/>
          <w:sz w:val="24"/>
          <w:szCs w:val="24"/>
        </w:rPr>
        <w:t>單位:人數</w:t>
      </w:r>
    </w:p>
    <w:tbl>
      <w:tblPr>
        <w:tblW w:w="7306" w:type="dxa"/>
        <w:jc w:val="center"/>
        <w:tblLayout w:type="fixed"/>
        <w:tblCellMar>
          <w:left w:w="28" w:type="dxa"/>
          <w:right w:w="28" w:type="dxa"/>
        </w:tblCellMar>
        <w:tblLook w:val="04A0" w:firstRow="1" w:lastRow="0" w:firstColumn="1" w:lastColumn="0" w:noHBand="0" w:noVBand="1"/>
      </w:tblPr>
      <w:tblGrid>
        <w:gridCol w:w="1282"/>
        <w:gridCol w:w="1772"/>
        <w:gridCol w:w="1417"/>
        <w:gridCol w:w="1417"/>
        <w:gridCol w:w="1418"/>
      </w:tblGrid>
      <w:tr w:rsidR="006619C0" w:rsidRPr="008B619A" w14:paraId="6049B8D3" w14:textId="77777777" w:rsidTr="006D7401">
        <w:trPr>
          <w:trHeight w:val="136"/>
          <w:jc w:val="center"/>
        </w:trPr>
        <w:tc>
          <w:tcPr>
            <w:tcW w:w="1282" w:type="dxa"/>
            <w:vMerge w:val="restart"/>
            <w:tcBorders>
              <w:top w:val="single" w:sz="4" w:space="0" w:color="auto"/>
              <w:left w:val="single" w:sz="4" w:space="0" w:color="auto"/>
              <w:bottom w:val="single" w:sz="4" w:space="0" w:color="000000"/>
              <w:right w:val="single" w:sz="4" w:space="0" w:color="auto"/>
            </w:tcBorders>
            <w:shd w:val="clear" w:color="auto" w:fill="E5DFEC" w:themeFill="accent4" w:themeFillTint="33"/>
            <w:vAlign w:val="center"/>
            <w:hideMark/>
          </w:tcPr>
          <w:p w14:paraId="3D46DD8E" w14:textId="77777777" w:rsidR="004923EA" w:rsidRPr="008B619A" w:rsidRDefault="004923EA" w:rsidP="006400F0">
            <w:pPr>
              <w:widowControl/>
              <w:spacing w:line="320" w:lineRule="exact"/>
              <w:jc w:val="center"/>
              <w:rPr>
                <w:rFonts w:hAnsi="標楷體"/>
                <w:b/>
                <w:bCs/>
                <w:color w:val="000000" w:themeColor="text1"/>
                <w:kern w:val="0"/>
                <w:sz w:val="26"/>
                <w:szCs w:val="26"/>
              </w:rPr>
            </w:pPr>
            <w:r w:rsidRPr="008B619A">
              <w:rPr>
                <w:rFonts w:hAnsi="標楷體" w:hint="eastAsia"/>
                <w:b/>
                <w:bCs/>
                <w:color w:val="000000" w:themeColor="text1"/>
                <w:kern w:val="0"/>
                <w:sz w:val="26"/>
                <w:szCs w:val="26"/>
              </w:rPr>
              <w:t>學年度</w:t>
            </w:r>
          </w:p>
        </w:tc>
        <w:tc>
          <w:tcPr>
            <w:tcW w:w="1772" w:type="dxa"/>
            <w:vMerge w:val="restart"/>
            <w:tcBorders>
              <w:top w:val="single" w:sz="4" w:space="0" w:color="auto"/>
              <w:left w:val="single" w:sz="4" w:space="0" w:color="auto"/>
              <w:bottom w:val="single" w:sz="4" w:space="0" w:color="000000"/>
              <w:right w:val="single" w:sz="4" w:space="0" w:color="auto"/>
            </w:tcBorders>
            <w:shd w:val="clear" w:color="auto" w:fill="E5DFEC" w:themeFill="accent4" w:themeFillTint="33"/>
            <w:vAlign w:val="center"/>
            <w:hideMark/>
          </w:tcPr>
          <w:p w14:paraId="5319F1AE" w14:textId="77777777" w:rsidR="009F074B" w:rsidRPr="008B619A" w:rsidRDefault="004923EA" w:rsidP="006400F0">
            <w:pPr>
              <w:widowControl/>
              <w:spacing w:line="320" w:lineRule="exact"/>
              <w:jc w:val="center"/>
              <w:rPr>
                <w:rFonts w:hAnsi="標楷體"/>
                <w:b/>
                <w:bCs/>
                <w:color w:val="000000" w:themeColor="text1"/>
                <w:kern w:val="0"/>
                <w:sz w:val="26"/>
                <w:szCs w:val="26"/>
              </w:rPr>
            </w:pPr>
            <w:r w:rsidRPr="008B619A">
              <w:rPr>
                <w:rFonts w:hAnsi="標楷體" w:hint="eastAsia"/>
                <w:b/>
                <w:bCs/>
                <w:color w:val="000000" w:themeColor="text1"/>
                <w:kern w:val="0"/>
                <w:sz w:val="26"/>
                <w:szCs w:val="26"/>
              </w:rPr>
              <w:t>總量核定</w:t>
            </w:r>
          </w:p>
          <w:p w14:paraId="62AE6435" w14:textId="42C2133A" w:rsidR="004923EA" w:rsidRPr="008B619A" w:rsidRDefault="004923EA" w:rsidP="006400F0">
            <w:pPr>
              <w:widowControl/>
              <w:spacing w:line="320" w:lineRule="exact"/>
              <w:jc w:val="center"/>
              <w:rPr>
                <w:rFonts w:hAnsi="標楷體"/>
                <w:b/>
                <w:bCs/>
                <w:color w:val="000000" w:themeColor="text1"/>
                <w:kern w:val="0"/>
                <w:sz w:val="26"/>
                <w:szCs w:val="26"/>
              </w:rPr>
            </w:pPr>
            <w:r w:rsidRPr="008B619A">
              <w:rPr>
                <w:rFonts w:hAnsi="標楷體" w:hint="eastAsia"/>
                <w:b/>
                <w:bCs/>
                <w:color w:val="000000" w:themeColor="text1"/>
                <w:kern w:val="0"/>
                <w:sz w:val="26"/>
                <w:szCs w:val="26"/>
              </w:rPr>
              <w:t>招生名</w:t>
            </w:r>
            <w:r w:rsidR="00681703" w:rsidRPr="008B619A">
              <w:rPr>
                <w:rFonts w:hAnsi="標楷體" w:hint="eastAsia"/>
                <w:b/>
                <w:bCs/>
                <w:color w:val="000000" w:themeColor="text1"/>
                <w:kern w:val="0"/>
                <w:sz w:val="26"/>
                <w:szCs w:val="26"/>
              </w:rPr>
              <w:t>額</w:t>
            </w:r>
          </w:p>
        </w:tc>
        <w:tc>
          <w:tcPr>
            <w:tcW w:w="4252" w:type="dxa"/>
            <w:gridSpan w:val="3"/>
            <w:tcBorders>
              <w:top w:val="single" w:sz="4" w:space="0" w:color="auto"/>
              <w:left w:val="nil"/>
              <w:bottom w:val="single" w:sz="4" w:space="0" w:color="auto"/>
              <w:right w:val="single" w:sz="4" w:space="0" w:color="000000"/>
            </w:tcBorders>
            <w:shd w:val="clear" w:color="auto" w:fill="E5DFEC" w:themeFill="accent4" w:themeFillTint="33"/>
            <w:vAlign w:val="center"/>
            <w:hideMark/>
          </w:tcPr>
          <w:p w14:paraId="57472B01" w14:textId="77777777" w:rsidR="004923EA" w:rsidRPr="008B619A" w:rsidRDefault="004923EA" w:rsidP="006400F0">
            <w:pPr>
              <w:widowControl/>
              <w:spacing w:line="320" w:lineRule="exact"/>
              <w:jc w:val="center"/>
              <w:rPr>
                <w:rFonts w:hAnsi="標楷體"/>
                <w:b/>
                <w:bCs/>
                <w:color w:val="000000" w:themeColor="text1"/>
                <w:kern w:val="0"/>
                <w:sz w:val="26"/>
                <w:szCs w:val="26"/>
              </w:rPr>
            </w:pPr>
            <w:r w:rsidRPr="008B619A">
              <w:rPr>
                <w:rFonts w:hAnsi="標楷體" w:hint="eastAsia"/>
                <w:b/>
                <w:bCs/>
                <w:color w:val="000000" w:themeColor="text1"/>
                <w:kern w:val="0"/>
                <w:sz w:val="26"/>
                <w:szCs w:val="26"/>
              </w:rPr>
              <w:t>核定名額分布情形</w:t>
            </w:r>
          </w:p>
        </w:tc>
      </w:tr>
      <w:tr w:rsidR="006619C0" w:rsidRPr="008B619A" w14:paraId="781A8925" w14:textId="77777777" w:rsidTr="006D7401">
        <w:trPr>
          <w:trHeight w:val="70"/>
          <w:jc w:val="center"/>
        </w:trPr>
        <w:tc>
          <w:tcPr>
            <w:tcW w:w="1282" w:type="dxa"/>
            <w:vMerge/>
            <w:tcBorders>
              <w:top w:val="single" w:sz="4" w:space="0" w:color="auto"/>
              <w:left w:val="single" w:sz="4" w:space="0" w:color="auto"/>
              <w:bottom w:val="single" w:sz="4" w:space="0" w:color="000000"/>
              <w:right w:val="single" w:sz="4" w:space="0" w:color="auto"/>
            </w:tcBorders>
            <w:shd w:val="clear" w:color="auto" w:fill="E5DFEC" w:themeFill="accent4" w:themeFillTint="33"/>
            <w:vAlign w:val="center"/>
            <w:hideMark/>
          </w:tcPr>
          <w:p w14:paraId="07447356" w14:textId="77777777" w:rsidR="004923EA" w:rsidRPr="008B619A" w:rsidRDefault="004923EA" w:rsidP="006400F0">
            <w:pPr>
              <w:widowControl/>
              <w:rPr>
                <w:rFonts w:hAnsi="標楷體"/>
                <w:b/>
                <w:bCs/>
                <w:color w:val="000000" w:themeColor="text1"/>
                <w:kern w:val="0"/>
                <w:sz w:val="26"/>
                <w:szCs w:val="26"/>
              </w:rPr>
            </w:pPr>
          </w:p>
        </w:tc>
        <w:tc>
          <w:tcPr>
            <w:tcW w:w="1772" w:type="dxa"/>
            <w:vMerge/>
            <w:tcBorders>
              <w:top w:val="single" w:sz="4" w:space="0" w:color="auto"/>
              <w:left w:val="single" w:sz="4" w:space="0" w:color="auto"/>
              <w:bottom w:val="single" w:sz="4" w:space="0" w:color="000000"/>
              <w:right w:val="single" w:sz="4" w:space="0" w:color="auto"/>
            </w:tcBorders>
            <w:shd w:val="clear" w:color="auto" w:fill="E5DFEC" w:themeFill="accent4" w:themeFillTint="33"/>
            <w:vAlign w:val="center"/>
            <w:hideMark/>
          </w:tcPr>
          <w:p w14:paraId="6809674E" w14:textId="77777777" w:rsidR="004923EA" w:rsidRPr="008B619A" w:rsidRDefault="004923EA" w:rsidP="006400F0">
            <w:pPr>
              <w:widowControl/>
              <w:rPr>
                <w:rFonts w:hAnsi="標楷體"/>
                <w:b/>
                <w:bCs/>
                <w:color w:val="000000" w:themeColor="text1"/>
                <w:kern w:val="0"/>
                <w:sz w:val="26"/>
                <w:szCs w:val="26"/>
              </w:rPr>
            </w:pPr>
          </w:p>
        </w:tc>
        <w:tc>
          <w:tcPr>
            <w:tcW w:w="1417" w:type="dxa"/>
            <w:tcBorders>
              <w:top w:val="nil"/>
              <w:left w:val="nil"/>
              <w:bottom w:val="single" w:sz="4" w:space="0" w:color="auto"/>
              <w:right w:val="single" w:sz="4" w:space="0" w:color="auto"/>
            </w:tcBorders>
            <w:shd w:val="clear" w:color="auto" w:fill="E5DFEC" w:themeFill="accent4" w:themeFillTint="33"/>
            <w:vAlign w:val="center"/>
            <w:hideMark/>
          </w:tcPr>
          <w:p w14:paraId="4BCD1CF6" w14:textId="77777777" w:rsidR="004923EA" w:rsidRPr="008B619A" w:rsidRDefault="004923EA" w:rsidP="006400F0">
            <w:pPr>
              <w:widowControl/>
              <w:jc w:val="center"/>
              <w:rPr>
                <w:rFonts w:hAnsi="標楷體"/>
                <w:b/>
                <w:bCs/>
                <w:color w:val="000000" w:themeColor="text1"/>
                <w:kern w:val="0"/>
                <w:sz w:val="26"/>
                <w:szCs w:val="26"/>
              </w:rPr>
            </w:pPr>
            <w:r w:rsidRPr="008B619A">
              <w:rPr>
                <w:rFonts w:hAnsi="標楷體" w:hint="eastAsia"/>
                <w:b/>
                <w:bCs/>
                <w:color w:val="000000" w:themeColor="text1"/>
                <w:kern w:val="0"/>
                <w:sz w:val="26"/>
                <w:szCs w:val="26"/>
              </w:rPr>
              <w:t>人文</w:t>
            </w:r>
          </w:p>
        </w:tc>
        <w:tc>
          <w:tcPr>
            <w:tcW w:w="1417" w:type="dxa"/>
            <w:tcBorders>
              <w:top w:val="nil"/>
              <w:left w:val="nil"/>
              <w:bottom w:val="single" w:sz="4" w:space="0" w:color="auto"/>
              <w:right w:val="single" w:sz="4" w:space="0" w:color="auto"/>
            </w:tcBorders>
            <w:shd w:val="clear" w:color="auto" w:fill="E5DFEC" w:themeFill="accent4" w:themeFillTint="33"/>
            <w:vAlign w:val="center"/>
            <w:hideMark/>
          </w:tcPr>
          <w:p w14:paraId="16DCEC5A" w14:textId="77777777" w:rsidR="004923EA" w:rsidRPr="008B619A" w:rsidRDefault="004923EA" w:rsidP="006400F0">
            <w:pPr>
              <w:widowControl/>
              <w:jc w:val="center"/>
              <w:rPr>
                <w:rFonts w:hAnsi="標楷體"/>
                <w:b/>
                <w:bCs/>
                <w:color w:val="000000" w:themeColor="text1"/>
                <w:kern w:val="0"/>
                <w:sz w:val="26"/>
                <w:szCs w:val="26"/>
              </w:rPr>
            </w:pPr>
            <w:r w:rsidRPr="008B619A">
              <w:rPr>
                <w:rFonts w:hAnsi="標楷體" w:hint="eastAsia"/>
                <w:b/>
                <w:bCs/>
                <w:color w:val="000000" w:themeColor="text1"/>
                <w:kern w:val="0"/>
                <w:sz w:val="26"/>
                <w:szCs w:val="26"/>
              </w:rPr>
              <w:t>社會</w:t>
            </w:r>
          </w:p>
        </w:tc>
        <w:tc>
          <w:tcPr>
            <w:tcW w:w="1418" w:type="dxa"/>
            <w:tcBorders>
              <w:top w:val="nil"/>
              <w:left w:val="nil"/>
              <w:bottom w:val="single" w:sz="4" w:space="0" w:color="auto"/>
              <w:right w:val="single" w:sz="4" w:space="0" w:color="auto"/>
            </w:tcBorders>
            <w:shd w:val="clear" w:color="auto" w:fill="E5DFEC" w:themeFill="accent4" w:themeFillTint="33"/>
            <w:vAlign w:val="center"/>
            <w:hideMark/>
          </w:tcPr>
          <w:p w14:paraId="3463EA26" w14:textId="77777777" w:rsidR="004923EA" w:rsidRPr="008B619A" w:rsidRDefault="004923EA" w:rsidP="006400F0">
            <w:pPr>
              <w:widowControl/>
              <w:jc w:val="center"/>
              <w:rPr>
                <w:rFonts w:hAnsi="標楷體"/>
                <w:b/>
                <w:bCs/>
                <w:color w:val="000000" w:themeColor="text1"/>
                <w:kern w:val="0"/>
                <w:sz w:val="26"/>
                <w:szCs w:val="26"/>
              </w:rPr>
            </w:pPr>
            <w:r w:rsidRPr="008B619A">
              <w:rPr>
                <w:rFonts w:hAnsi="標楷體" w:hint="eastAsia"/>
                <w:b/>
                <w:bCs/>
                <w:color w:val="000000" w:themeColor="text1"/>
                <w:kern w:val="0"/>
                <w:sz w:val="26"/>
                <w:szCs w:val="26"/>
              </w:rPr>
              <w:t>科技</w:t>
            </w:r>
          </w:p>
        </w:tc>
      </w:tr>
      <w:tr w:rsidR="006619C0" w:rsidRPr="008B619A" w14:paraId="409E92D4" w14:textId="77777777" w:rsidTr="00663DE0">
        <w:trPr>
          <w:trHeight w:val="56"/>
          <w:jc w:val="center"/>
        </w:trPr>
        <w:tc>
          <w:tcPr>
            <w:tcW w:w="1282" w:type="dxa"/>
            <w:tcBorders>
              <w:top w:val="nil"/>
              <w:left w:val="single" w:sz="4" w:space="0" w:color="auto"/>
              <w:bottom w:val="single" w:sz="4" w:space="0" w:color="auto"/>
              <w:right w:val="single" w:sz="4" w:space="0" w:color="auto"/>
            </w:tcBorders>
            <w:shd w:val="clear" w:color="auto" w:fill="E5DFEC" w:themeFill="accent4" w:themeFillTint="33"/>
            <w:noWrap/>
            <w:vAlign w:val="center"/>
            <w:hideMark/>
          </w:tcPr>
          <w:p w14:paraId="2D0C4C60" w14:textId="77777777" w:rsidR="004923EA" w:rsidRPr="008B619A" w:rsidRDefault="004923EA" w:rsidP="006400F0">
            <w:pPr>
              <w:widowControl/>
              <w:spacing w:line="320" w:lineRule="exact"/>
              <w:jc w:val="center"/>
              <w:rPr>
                <w:rFonts w:hAnsi="標楷體"/>
                <w:b/>
                <w:bCs/>
                <w:color w:val="000000" w:themeColor="text1"/>
                <w:kern w:val="0"/>
                <w:sz w:val="26"/>
                <w:szCs w:val="26"/>
              </w:rPr>
            </w:pPr>
            <w:r w:rsidRPr="008B619A">
              <w:rPr>
                <w:rFonts w:hAnsi="標楷體"/>
                <w:b/>
                <w:bCs/>
                <w:color w:val="000000" w:themeColor="text1"/>
                <w:kern w:val="0"/>
                <w:sz w:val="26"/>
                <w:szCs w:val="26"/>
              </w:rPr>
              <w:t>106</w:t>
            </w:r>
          </w:p>
        </w:tc>
        <w:tc>
          <w:tcPr>
            <w:tcW w:w="1772" w:type="dxa"/>
            <w:tcBorders>
              <w:top w:val="nil"/>
              <w:left w:val="nil"/>
              <w:bottom w:val="single" w:sz="4" w:space="0" w:color="auto"/>
              <w:right w:val="single" w:sz="4" w:space="0" w:color="auto"/>
            </w:tcBorders>
            <w:shd w:val="clear" w:color="000000" w:fill="F2F2F2"/>
            <w:noWrap/>
            <w:vAlign w:val="center"/>
          </w:tcPr>
          <w:p w14:paraId="4BDAC322" w14:textId="77777777" w:rsidR="004923EA" w:rsidRPr="008B619A" w:rsidRDefault="004923EA" w:rsidP="006400F0">
            <w:pPr>
              <w:widowControl/>
              <w:spacing w:line="320" w:lineRule="exact"/>
              <w:jc w:val="center"/>
              <w:rPr>
                <w:rFonts w:hAnsi="標楷體"/>
                <w:color w:val="000000" w:themeColor="text1"/>
                <w:kern w:val="0"/>
                <w:sz w:val="26"/>
                <w:szCs w:val="26"/>
              </w:rPr>
            </w:pPr>
            <w:r w:rsidRPr="008B619A">
              <w:rPr>
                <w:rFonts w:hAnsi="標楷體"/>
                <w:color w:val="000000" w:themeColor="text1"/>
                <w:kern w:val="0"/>
                <w:sz w:val="26"/>
                <w:szCs w:val="26"/>
              </w:rPr>
              <w:t xml:space="preserve">5,091 </w:t>
            </w:r>
          </w:p>
        </w:tc>
        <w:tc>
          <w:tcPr>
            <w:tcW w:w="1417" w:type="dxa"/>
            <w:tcBorders>
              <w:top w:val="nil"/>
              <w:left w:val="nil"/>
              <w:bottom w:val="single" w:sz="4" w:space="0" w:color="auto"/>
              <w:right w:val="single" w:sz="4" w:space="0" w:color="auto"/>
            </w:tcBorders>
            <w:shd w:val="clear" w:color="000000" w:fill="F2F2F2"/>
            <w:noWrap/>
            <w:vAlign w:val="center"/>
          </w:tcPr>
          <w:p w14:paraId="227CDB66" w14:textId="77777777" w:rsidR="004923EA" w:rsidRPr="008B619A" w:rsidRDefault="004923EA" w:rsidP="006400F0">
            <w:pPr>
              <w:widowControl/>
              <w:spacing w:line="320" w:lineRule="exact"/>
              <w:jc w:val="center"/>
              <w:rPr>
                <w:rFonts w:hAnsi="標楷體"/>
                <w:color w:val="000000" w:themeColor="text1"/>
                <w:kern w:val="0"/>
                <w:sz w:val="26"/>
                <w:szCs w:val="26"/>
              </w:rPr>
            </w:pPr>
            <w:r w:rsidRPr="008B619A">
              <w:rPr>
                <w:rFonts w:hAnsi="標楷體"/>
                <w:color w:val="000000" w:themeColor="text1"/>
                <w:kern w:val="0"/>
                <w:sz w:val="26"/>
                <w:szCs w:val="26"/>
              </w:rPr>
              <w:t xml:space="preserve">971 </w:t>
            </w:r>
          </w:p>
        </w:tc>
        <w:tc>
          <w:tcPr>
            <w:tcW w:w="1417" w:type="dxa"/>
            <w:tcBorders>
              <w:top w:val="nil"/>
              <w:left w:val="nil"/>
              <w:bottom w:val="single" w:sz="4" w:space="0" w:color="auto"/>
              <w:right w:val="single" w:sz="4" w:space="0" w:color="auto"/>
            </w:tcBorders>
            <w:shd w:val="clear" w:color="000000" w:fill="F2F2F2"/>
            <w:noWrap/>
            <w:vAlign w:val="center"/>
          </w:tcPr>
          <w:p w14:paraId="2AF9AF0C" w14:textId="77777777" w:rsidR="004923EA" w:rsidRPr="008B619A" w:rsidRDefault="004923EA" w:rsidP="006400F0">
            <w:pPr>
              <w:widowControl/>
              <w:spacing w:line="320" w:lineRule="exact"/>
              <w:jc w:val="center"/>
              <w:rPr>
                <w:rFonts w:hAnsi="標楷體"/>
                <w:color w:val="000000" w:themeColor="text1"/>
                <w:kern w:val="0"/>
                <w:sz w:val="26"/>
                <w:szCs w:val="26"/>
              </w:rPr>
            </w:pPr>
            <w:r w:rsidRPr="008B619A">
              <w:rPr>
                <w:rFonts w:hAnsi="標楷體"/>
                <w:color w:val="000000" w:themeColor="text1"/>
                <w:kern w:val="0"/>
                <w:sz w:val="26"/>
                <w:szCs w:val="26"/>
              </w:rPr>
              <w:t xml:space="preserve">942 </w:t>
            </w:r>
          </w:p>
        </w:tc>
        <w:tc>
          <w:tcPr>
            <w:tcW w:w="1418" w:type="dxa"/>
            <w:tcBorders>
              <w:top w:val="nil"/>
              <w:left w:val="nil"/>
              <w:bottom w:val="single" w:sz="4" w:space="0" w:color="auto"/>
              <w:right w:val="single" w:sz="4" w:space="0" w:color="auto"/>
            </w:tcBorders>
            <w:shd w:val="clear" w:color="000000" w:fill="F2F2F2"/>
            <w:noWrap/>
            <w:vAlign w:val="center"/>
          </w:tcPr>
          <w:p w14:paraId="47BD34C7" w14:textId="77777777" w:rsidR="004923EA" w:rsidRPr="008B619A" w:rsidRDefault="004923EA" w:rsidP="006400F0">
            <w:pPr>
              <w:widowControl/>
              <w:spacing w:line="320" w:lineRule="exact"/>
              <w:jc w:val="center"/>
              <w:rPr>
                <w:rFonts w:hAnsi="標楷體"/>
                <w:color w:val="000000" w:themeColor="text1"/>
                <w:kern w:val="0"/>
                <w:sz w:val="26"/>
                <w:szCs w:val="26"/>
              </w:rPr>
            </w:pPr>
            <w:r w:rsidRPr="008B619A">
              <w:rPr>
                <w:rFonts w:hAnsi="標楷體"/>
                <w:color w:val="000000" w:themeColor="text1"/>
                <w:kern w:val="0"/>
                <w:sz w:val="26"/>
                <w:szCs w:val="26"/>
              </w:rPr>
              <w:t xml:space="preserve">3,178 </w:t>
            </w:r>
          </w:p>
        </w:tc>
      </w:tr>
      <w:tr w:rsidR="006619C0" w:rsidRPr="008B619A" w14:paraId="18FFC121" w14:textId="77777777" w:rsidTr="00663DE0">
        <w:trPr>
          <w:trHeight w:val="56"/>
          <w:jc w:val="center"/>
        </w:trPr>
        <w:tc>
          <w:tcPr>
            <w:tcW w:w="1282" w:type="dxa"/>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hideMark/>
          </w:tcPr>
          <w:p w14:paraId="1E73B55F" w14:textId="77777777" w:rsidR="004923EA" w:rsidRPr="008B619A" w:rsidRDefault="004923EA" w:rsidP="006400F0">
            <w:pPr>
              <w:spacing w:line="320" w:lineRule="exact"/>
              <w:jc w:val="center"/>
              <w:rPr>
                <w:rFonts w:hAnsi="標楷體"/>
                <w:b/>
                <w:bCs/>
                <w:color w:val="000000" w:themeColor="text1"/>
                <w:kern w:val="0"/>
                <w:sz w:val="26"/>
                <w:szCs w:val="26"/>
              </w:rPr>
            </w:pPr>
            <w:r w:rsidRPr="008B619A">
              <w:rPr>
                <w:rFonts w:hAnsi="標楷體"/>
                <w:b/>
                <w:bCs/>
                <w:color w:val="000000" w:themeColor="text1"/>
                <w:kern w:val="0"/>
                <w:sz w:val="26"/>
                <w:szCs w:val="26"/>
              </w:rPr>
              <w:t>107</w:t>
            </w:r>
          </w:p>
        </w:tc>
        <w:tc>
          <w:tcPr>
            <w:tcW w:w="1772" w:type="dxa"/>
            <w:tcBorders>
              <w:top w:val="single" w:sz="4" w:space="0" w:color="auto"/>
              <w:left w:val="nil"/>
              <w:bottom w:val="single" w:sz="4" w:space="0" w:color="auto"/>
              <w:right w:val="single" w:sz="4" w:space="0" w:color="auto"/>
            </w:tcBorders>
            <w:shd w:val="clear" w:color="auto" w:fill="auto"/>
            <w:noWrap/>
            <w:vAlign w:val="center"/>
            <w:hideMark/>
          </w:tcPr>
          <w:p w14:paraId="5801B5A2" w14:textId="77777777" w:rsidR="004923EA" w:rsidRPr="008B619A" w:rsidRDefault="004923EA" w:rsidP="006400F0">
            <w:pPr>
              <w:widowControl/>
              <w:spacing w:line="320" w:lineRule="exact"/>
              <w:jc w:val="center"/>
              <w:rPr>
                <w:rFonts w:hAnsi="標楷體"/>
                <w:color w:val="000000" w:themeColor="text1"/>
                <w:kern w:val="0"/>
                <w:sz w:val="26"/>
                <w:szCs w:val="26"/>
              </w:rPr>
            </w:pPr>
            <w:r w:rsidRPr="008B619A">
              <w:rPr>
                <w:rFonts w:hAnsi="標楷體"/>
                <w:color w:val="000000" w:themeColor="text1"/>
                <w:kern w:val="0"/>
                <w:sz w:val="26"/>
                <w:szCs w:val="26"/>
              </w:rPr>
              <w:t xml:space="preserve">4,823 </w:t>
            </w:r>
          </w:p>
        </w:tc>
        <w:tc>
          <w:tcPr>
            <w:tcW w:w="1417" w:type="dxa"/>
            <w:tcBorders>
              <w:top w:val="nil"/>
              <w:left w:val="nil"/>
              <w:bottom w:val="single" w:sz="4" w:space="0" w:color="auto"/>
              <w:right w:val="single" w:sz="4" w:space="0" w:color="auto"/>
            </w:tcBorders>
            <w:shd w:val="clear" w:color="auto" w:fill="auto"/>
            <w:noWrap/>
            <w:vAlign w:val="center"/>
            <w:hideMark/>
          </w:tcPr>
          <w:p w14:paraId="54A1E390" w14:textId="77777777" w:rsidR="004923EA" w:rsidRPr="008B619A" w:rsidRDefault="004923EA" w:rsidP="006400F0">
            <w:pPr>
              <w:widowControl/>
              <w:spacing w:line="320" w:lineRule="exact"/>
              <w:jc w:val="center"/>
              <w:rPr>
                <w:rFonts w:hAnsi="標楷體"/>
                <w:color w:val="000000" w:themeColor="text1"/>
                <w:kern w:val="0"/>
                <w:sz w:val="26"/>
                <w:szCs w:val="26"/>
              </w:rPr>
            </w:pPr>
            <w:r w:rsidRPr="008B619A">
              <w:rPr>
                <w:rFonts w:hAnsi="標楷體"/>
                <w:color w:val="000000" w:themeColor="text1"/>
                <w:kern w:val="0"/>
                <w:sz w:val="26"/>
                <w:szCs w:val="26"/>
              </w:rPr>
              <w:t xml:space="preserve">905 </w:t>
            </w:r>
          </w:p>
        </w:tc>
        <w:tc>
          <w:tcPr>
            <w:tcW w:w="1417" w:type="dxa"/>
            <w:tcBorders>
              <w:top w:val="nil"/>
              <w:left w:val="nil"/>
              <w:bottom w:val="single" w:sz="4" w:space="0" w:color="auto"/>
              <w:right w:val="single" w:sz="4" w:space="0" w:color="auto"/>
            </w:tcBorders>
            <w:shd w:val="clear" w:color="auto" w:fill="auto"/>
            <w:noWrap/>
            <w:vAlign w:val="center"/>
            <w:hideMark/>
          </w:tcPr>
          <w:p w14:paraId="61A3F1BD" w14:textId="77777777" w:rsidR="004923EA" w:rsidRPr="008B619A" w:rsidRDefault="004923EA" w:rsidP="006400F0">
            <w:pPr>
              <w:widowControl/>
              <w:spacing w:line="320" w:lineRule="exact"/>
              <w:jc w:val="center"/>
              <w:rPr>
                <w:rFonts w:hAnsi="標楷體"/>
                <w:color w:val="000000" w:themeColor="text1"/>
                <w:kern w:val="0"/>
                <w:sz w:val="26"/>
                <w:szCs w:val="26"/>
              </w:rPr>
            </w:pPr>
            <w:r w:rsidRPr="008B619A">
              <w:rPr>
                <w:rFonts w:hAnsi="標楷體"/>
                <w:color w:val="000000" w:themeColor="text1"/>
                <w:kern w:val="0"/>
                <w:sz w:val="26"/>
                <w:szCs w:val="26"/>
              </w:rPr>
              <w:t xml:space="preserve">864 </w:t>
            </w:r>
          </w:p>
        </w:tc>
        <w:tc>
          <w:tcPr>
            <w:tcW w:w="1418" w:type="dxa"/>
            <w:tcBorders>
              <w:top w:val="nil"/>
              <w:left w:val="nil"/>
              <w:bottom w:val="single" w:sz="4" w:space="0" w:color="auto"/>
              <w:right w:val="single" w:sz="4" w:space="0" w:color="auto"/>
            </w:tcBorders>
            <w:shd w:val="clear" w:color="auto" w:fill="auto"/>
            <w:noWrap/>
            <w:vAlign w:val="center"/>
            <w:hideMark/>
          </w:tcPr>
          <w:p w14:paraId="697DC51C" w14:textId="77777777" w:rsidR="004923EA" w:rsidRPr="008B619A" w:rsidRDefault="004923EA" w:rsidP="006400F0">
            <w:pPr>
              <w:widowControl/>
              <w:spacing w:line="320" w:lineRule="exact"/>
              <w:jc w:val="center"/>
              <w:rPr>
                <w:rFonts w:hAnsi="標楷體"/>
                <w:color w:val="000000" w:themeColor="text1"/>
                <w:kern w:val="0"/>
                <w:sz w:val="26"/>
                <w:szCs w:val="26"/>
              </w:rPr>
            </w:pPr>
            <w:r w:rsidRPr="008B619A">
              <w:rPr>
                <w:rFonts w:hAnsi="標楷體"/>
                <w:color w:val="000000" w:themeColor="text1"/>
                <w:kern w:val="0"/>
                <w:sz w:val="26"/>
                <w:szCs w:val="26"/>
              </w:rPr>
              <w:t xml:space="preserve">3,054 </w:t>
            </w:r>
          </w:p>
        </w:tc>
      </w:tr>
      <w:tr w:rsidR="006619C0" w:rsidRPr="008B619A" w14:paraId="036F104A" w14:textId="77777777" w:rsidTr="00663DE0">
        <w:trPr>
          <w:trHeight w:val="56"/>
          <w:jc w:val="center"/>
        </w:trPr>
        <w:tc>
          <w:tcPr>
            <w:tcW w:w="1282" w:type="dxa"/>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14:paraId="26A0CF6E" w14:textId="77777777" w:rsidR="004923EA" w:rsidRPr="008B619A" w:rsidRDefault="004923EA" w:rsidP="006400F0">
            <w:pPr>
              <w:spacing w:line="320" w:lineRule="exact"/>
              <w:jc w:val="center"/>
              <w:rPr>
                <w:rFonts w:hAnsi="標楷體"/>
                <w:b/>
                <w:bCs/>
                <w:color w:val="000000" w:themeColor="text1"/>
                <w:kern w:val="0"/>
                <w:sz w:val="26"/>
                <w:szCs w:val="26"/>
              </w:rPr>
            </w:pPr>
            <w:r w:rsidRPr="008B619A">
              <w:rPr>
                <w:rFonts w:hAnsi="標楷體"/>
                <w:b/>
                <w:bCs/>
                <w:color w:val="000000" w:themeColor="text1"/>
                <w:kern w:val="0"/>
                <w:sz w:val="26"/>
                <w:szCs w:val="26"/>
              </w:rPr>
              <w:t>108</w:t>
            </w:r>
          </w:p>
        </w:tc>
        <w:tc>
          <w:tcPr>
            <w:tcW w:w="1772" w:type="dxa"/>
            <w:tcBorders>
              <w:top w:val="single" w:sz="4" w:space="0" w:color="auto"/>
              <w:left w:val="nil"/>
              <w:bottom w:val="single" w:sz="4" w:space="0" w:color="auto"/>
              <w:right w:val="single" w:sz="4" w:space="0" w:color="auto"/>
            </w:tcBorders>
            <w:shd w:val="clear" w:color="auto" w:fill="auto"/>
            <w:noWrap/>
            <w:vAlign w:val="center"/>
          </w:tcPr>
          <w:p w14:paraId="02426A88" w14:textId="77777777" w:rsidR="004923EA" w:rsidRPr="008B619A" w:rsidRDefault="004923EA" w:rsidP="006400F0">
            <w:pPr>
              <w:widowControl/>
              <w:spacing w:line="320" w:lineRule="exact"/>
              <w:jc w:val="center"/>
              <w:rPr>
                <w:rFonts w:hAnsi="標楷體"/>
                <w:color w:val="000000" w:themeColor="text1"/>
                <w:kern w:val="0"/>
                <w:sz w:val="26"/>
                <w:szCs w:val="26"/>
              </w:rPr>
            </w:pPr>
            <w:r w:rsidRPr="008B619A">
              <w:rPr>
                <w:rFonts w:hAnsi="標楷體"/>
                <w:color w:val="000000" w:themeColor="text1"/>
                <w:kern w:val="0"/>
                <w:sz w:val="26"/>
                <w:szCs w:val="26"/>
              </w:rPr>
              <w:t xml:space="preserve">4,836 </w:t>
            </w:r>
          </w:p>
        </w:tc>
        <w:tc>
          <w:tcPr>
            <w:tcW w:w="1417" w:type="dxa"/>
            <w:tcBorders>
              <w:top w:val="nil"/>
              <w:left w:val="nil"/>
              <w:bottom w:val="single" w:sz="4" w:space="0" w:color="auto"/>
              <w:right w:val="single" w:sz="4" w:space="0" w:color="auto"/>
            </w:tcBorders>
            <w:shd w:val="clear" w:color="auto" w:fill="auto"/>
            <w:noWrap/>
            <w:vAlign w:val="center"/>
          </w:tcPr>
          <w:p w14:paraId="48FDA664" w14:textId="77777777" w:rsidR="004923EA" w:rsidRPr="008B619A" w:rsidRDefault="004923EA" w:rsidP="006400F0">
            <w:pPr>
              <w:widowControl/>
              <w:spacing w:line="320" w:lineRule="exact"/>
              <w:jc w:val="center"/>
              <w:rPr>
                <w:rFonts w:hAnsi="標楷體"/>
                <w:color w:val="000000" w:themeColor="text1"/>
                <w:kern w:val="0"/>
                <w:sz w:val="26"/>
                <w:szCs w:val="26"/>
              </w:rPr>
            </w:pPr>
            <w:r w:rsidRPr="008B619A">
              <w:rPr>
                <w:rFonts w:hAnsi="標楷體"/>
                <w:color w:val="000000" w:themeColor="text1"/>
                <w:kern w:val="0"/>
                <w:sz w:val="26"/>
                <w:szCs w:val="26"/>
              </w:rPr>
              <w:t xml:space="preserve">906 </w:t>
            </w:r>
          </w:p>
        </w:tc>
        <w:tc>
          <w:tcPr>
            <w:tcW w:w="1417" w:type="dxa"/>
            <w:tcBorders>
              <w:top w:val="nil"/>
              <w:left w:val="nil"/>
              <w:bottom w:val="single" w:sz="4" w:space="0" w:color="auto"/>
              <w:right w:val="single" w:sz="4" w:space="0" w:color="auto"/>
            </w:tcBorders>
            <w:shd w:val="clear" w:color="auto" w:fill="auto"/>
            <w:noWrap/>
            <w:vAlign w:val="center"/>
          </w:tcPr>
          <w:p w14:paraId="45E53301" w14:textId="77777777" w:rsidR="004923EA" w:rsidRPr="008B619A" w:rsidRDefault="004923EA" w:rsidP="006400F0">
            <w:pPr>
              <w:widowControl/>
              <w:spacing w:line="320" w:lineRule="exact"/>
              <w:jc w:val="center"/>
              <w:rPr>
                <w:rFonts w:hAnsi="標楷體"/>
                <w:color w:val="000000" w:themeColor="text1"/>
                <w:kern w:val="0"/>
                <w:sz w:val="26"/>
                <w:szCs w:val="26"/>
              </w:rPr>
            </w:pPr>
            <w:r w:rsidRPr="008B619A">
              <w:rPr>
                <w:rFonts w:hAnsi="標楷體"/>
                <w:color w:val="000000" w:themeColor="text1"/>
                <w:kern w:val="0"/>
                <w:sz w:val="26"/>
                <w:szCs w:val="26"/>
              </w:rPr>
              <w:t xml:space="preserve">880 </w:t>
            </w:r>
          </w:p>
        </w:tc>
        <w:tc>
          <w:tcPr>
            <w:tcW w:w="1418" w:type="dxa"/>
            <w:tcBorders>
              <w:top w:val="nil"/>
              <w:left w:val="nil"/>
              <w:bottom w:val="single" w:sz="4" w:space="0" w:color="auto"/>
              <w:right w:val="single" w:sz="4" w:space="0" w:color="auto"/>
            </w:tcBorders>
            <w:shd w:val="clear" w:color="auto" w:fill="auto"/>
            <w:noWrap/>
            <w:vAlign w:val="center"/>
          </w:tcPr>
          <w:p w14:paraId="04E294B1" w14:textId="77777777" w:rsidR="004923EA" w:rsidRPr="008B619A" w:rsidRDefault="004923EA" w:rsidP="006400F0">
            <w:pPr>
              <w:widowControl/>
              <w:spacing w:line="320" w:lineRule="exact"/>
              <w:jc w:val="center"/>
              <w:rPr>
                <w:rFonts w:hAnsi="標楷體"/>
                <w:color w:val="000000" w:themeColor="text1"/>
                <w:kern w:val="0"/>
                <w:sz w:val="26"/>
                <w:szCs w:val="26"/>
              </w:rPr>
            </w:pPr>
            <w:r w:rsidRPr="008B619A">
              <w:rPr>
                <w:rFonts w:hAnsi="標楷體"/>
                <w:color w:val="000000" w:themeColor="text1"/>
                <w:kern w:val="0"/>
                <w:sz w:val="26"/>
                <w:szCs w:val="26"/>
              </w:rPr>
              <w:t xml:space="preserve">3,050 </w:t>
            </w:r>
          </w:p>
        </w:tc>
      </w:tr>
      <w:tr w:rsidR="006619C0" w:rsidRPr="008B619A" w14:paraId="5D43E6D4" w14:textId="77777777" w:rsidTr="00663DE0">
        <w:trPr>
          <w:trHeight w:val="56"/>
          <w:jc w:val="center"/>
        </w:trPr>
        <w:tc>
          <w:tcPr>
            <w:tcW w:w="1282" w:type="dxa"/>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14:paraId="56D08D05" w14:textId="77777777" w:rsidR="004923EA" w:rsidRPr="008B619A" w:rsidRDefault="004923EA" w:rsidP="006400F0">
            <w:pPr>
              <w:spacing w:line="320" w:lineRule="exact"/>
              <w:jc w:val="center"/>
              <w:rPr>
                <w:rFonts w:hAnsi="標楷體"/>
                <w:b/>
                <w:bCs/>
                <w:color w:val="000000" w:themeColor="text1"/>
                <w:kern w:val="0"/>
                <w:sz w:val="26"/>
                <w:szCs w:val="26"/>
              </w:rPr>
            </w:pPr>
            <w:r w:rsidRPr="008B619A">
              <w:rPr>
                <w:rFonts w:hAnsi="標楷體"/>
                <w:b/>
                <w:bCs/>
                <w:color w:val="000000" w:themeColor="text1"/>
                <w:kern w:val="0"/>
                <w:sz w:val="26"/>
                <w:szCs w:val="26"/>
              </w:rPr>
              <w:t>109</w:t>
            </w:r>
          </w:p>
        </w:tc>
        <w:tc>
          <w:tcPr>
            <w:tcW w:w="1772" w:type="dxa"/>
            <w:tcBorders>
              <w:top w:val="single" w:sz="4" w:space="0" w:color="auto"/>
              <w:left w:val="nil"/>
              <w:bottom w:val="single" w:sz="4" w:space="0" w:color="auto"/>
              <w:right w:val="single" w:sz="4" w:space="0" w:color="auto"/>
            </w:tcBorders>
            <w:shd w:val="clear" w:color="auto" w:fill="auto"/>
            <w:noWrap/>
            <w:vAlign w:val="center"/>
          </w:tcPr>
          <w:p w14:paraId="19BEE41E" w14:textId="77777777" w:rsidR="004923EA" w:rsidRPr="008B619A" w:rsidRDefault="004923EA" w:rsidP="006400F0">
            <w:pPr>
              <w:widowControl/>
              <w:spacing w:line="320" w:lineRule="exact"/>
              <w:jc w:val="center"/>
              <w:rPr>
                <w:rFonts w:hAnsi="標楷體"/>
                <w:color w:val="000000" w:themeColor="text1"/>
                <w:kern w:val="0"/>
                <w:sz w:val="26"/>
                <w:szCs w:val="26"/>
              </w:rPr>
            </w:pPr>
            <w:r w:rsidRPr="008B619A">
              <w:rPr>
                <w:rFonts w:hAnsi="標楷體"/>
                <w:color w:val="000000" w:themeColor="text1"/>
                <w:kern w:val="0"/>
                <w:sz w:val="26"/>
                <w:szCs w:val="26"/>
              </w:rPr>
              <w:t xml:space="preserve">4,986 </w:t>
            </w:r>
          </w:p>
        </w:tc>
        <w:tc>
          <w:tcPr>
            <w:tcW w:w="1417" w:type="dxa"/>
            <w:tcBorders>
              <w:top w:val="nil"/>
              <w:left w:val="nil"/>
              <w:bottom w:val="single" w:sz="4" w:space="0" w:color="auto"/>
              <w:right w:val="single" w:sz="4" w:space="0" w:color="auto"/>
            </w:tcBorders>
            <w:shd w:val="clear" w:color="auto" w:fill="auto"/>
            <w:noWrap/>
            <w:vAlign w:val="center"/>
          </w:tcPr>
          <w:p w14:paraId="4B420A92" w14:textId="77777777" w:rsidR="004923EA" w:rsidRPr="008B619A" w:rsidRDefault="004923EA" w:rsidP="006400F0">
            <w:pPr>
              <w:widowControl/>
              <w:spacing w:line="320" w:lineRule="exact"/>
              <w:jc w:val="center"/>
              <w:rPr>
                <w:rFonts w:hAnsi="標楷體"/>
                <w:color w:val="000000" w:themeColor="text1"/>
                <w:kern w:val="0"/>
                <w:sz w:val="26"/>
                <w:szCs w:val="26"/>
              </w:rPr>
            </w:pPr>
            <w:r w:rsidRPr="008B619A">
              <w:rPr>
                <w:rFonts w:hAnsi="標楷體"/>
                <w:color w:val="000000" w:themeColor="text1"/>
                <w:kern w:val="0"/>
                <w:sz w:val="26"/>
                <w:szCs w:val="26"/>
              </w:rPr>
              <w:t xml:space="preserve">913 </w:t>
            </w:r>
          </w:p>
        </w:tc>
        <w:tc>
          <w:tcPr>
            <w:tcW w:w="1417" w:type="dxa"/>
            <w:tcBorders>
              <w:top w:val="nil"/>
              <w:left w:val="nil"/>
              <w:bottom w:val="single" w:sz="4" w:space="0" w:color="auto"/>
              <w:right w:val="single" w:sz="4" w:space="0" w:color="auto"/>
            </w:tcBorders>
            <w:shd w:val="clear" w:color="auto" w:fill="auto"/>
            <w:noWrap/>
            <w:vAlign w:val="center"/>
          </w:tcPr>
          <w:p w14:paraId="3F9C5B4E" w14:textId="77777777" w:rsidR="004923EA" w:rsidRPr="008B619A" w:rsidRDefault="004923EA" w:rsidP="006400F0">
            <w:pPr>
              <w:widowControl/>
              <w:spacing w:line="320" w:lineRule="exact"/>
              <w:jc w:val="center"/>
              <w:rPr>
                <w:rFonts w:hAnsi="標楷體"/>
                <w:color w:val="000000" w:themeColor="text1"/>
                <w:kern w:val="0"/>
                <w:sz w:val="26"/>
                <w:szCs w:val="26"/>
              </w:rPr>
            </w:pPr>
            <w:r w:rsidRPr="008B619A">
              <w:rPr>
                <w:rFonts w:hAnsi="標楷體"/>
                <w:color w:val="000000" w:themeColor="text1"/>
                <w:kern w:val="0"/>
                <w:sz w:val="26"/>
                <w:szCs w:val="26"/>
              </w:rPr>
              <w:t xml:space="preserve">892 </w:t>
            </w:r>
          </w:p>
        </w:tc>
        <w:tc>
          <w:tcPr>
            <w:tcW w:w="1418" w:type="dxa"/>
            <w:tcBorders>
              <w:top w:val="nil"/>
              <w:left w:val="nil"/>
              <w:bottom w:val="single" w:sz="4" w:space="0" w:color="auto"/>
              <w:right w:val="single" w:sz="4" w:space="0" w:color="auto"/>
            </w:tcBorders>
            <w:shd w:val="clear" w:color="auto" w:fill="auto"/>
            <w:noWrap/>
            <w:vAlign w:val="center"/>
          </w:tcPr>
          <w:p w14:paraId="6C679820" w14:textId="77777777" w:rsidR="004923EA" w:rsidRPr="008B619A" w:rsidRDefault="004923EA" w:rsidP="006400F0">
            <w:pPr>
              <w:widowControl/>
              <w:spacing w:line="320" w:lineRule="exact"/>
              <w:jc w:val="center"/>
              <w:rPr>
                <w:rFonts w:hAnsi="標楷體"/>
                <w:color w:val="000000" w:themeColor="text1"/>
                <w:kern w:val="0"/>
                <w:sz w:val="26"/>
                <w:szCs w:val="26"/>
              </w:rPr>
            </w:pPr>
            <w:r w:rsidRPr="008B619A">
              <w:rPr>
                <w:rFonts w:hAnsi="標楷體"/>
                <w:color w:val="000000" w:themeColor="text1"/>
                <w:kern w:val="0"/>
                <w:sz w:val="26"/>
                <w:szCs w:val="26"/>
              </w:rPr>
              <w:t xml:space="preserve">3,181 </w:t>
            </w:r>
          </w:p>
        </w:tc>
      </w:tr>
      <w:tr w:rsidR="006619C0" w:rsidRPr="008B619A" w14:paraId="67592C2C" w14:textId="77777777" w:rsidTr="00C0495C">
        <w:trPr>
          <w:trHeight w:val="56"/>
          <w:jc w:val="center"/>
        </w:trPr>
        <w:tc>
          <w:tcPr>
            <w:tcW w:w="1282" w:type="dxa"/>
            <w:tcBorders>
              <w:top w:val="nil"/>
              <w:left w:val="single" w:sz="4" w:space="0" w:color="auto"/>
              <w:bottom w:val="single" w:sz="4" w:space="0" w:color="auto"/>
              <w:right w:val="single" w:sz="4" w:space="0" w:color="auto"/>
            </w:tcBorders>
            <w:shd w:val="clear" w:color="auto" w:fill="E5DFEC" w:themeFill="accent4" w:themeFillTint="33"/>
            <w:vAlign w:val="center"/>
          </w:tcPr>
          <w:p w14:paraId="10FB3FBD" w14:textId="77777777" w:rsidR="004923EA" w:rsidRPr="008B619A" w:rsidRDefault="004923EA" w:rsidP="006400F0">
            <w:pPr>
              <w:widowControl/>
              <w:spacing w:line="320" w:lineRule="exact"/>
              <w:jc w:val="center"/>
              <w:rPr>
                <w:rFonts w:hAnsi="標楷體"/>
                <w:b/>
                <w:bCs/>
                <w:color w:val="000000" w:themeColor="text1"/>
                <w:kern w:val="0"/>
                <w:sz w:val="26"/>
                <w:szCs w:val="26"/>
              </w:rPr>
            </w:pPr>
            <w:r w:rsidRPr="008B619A">
              <w:rPr>
                <w:rFonts w:hAnsi="標楷體"/>
                <w:b/>
                <w:bCs/>
                <w:color w:val="000000" w:themeColor="text1"/>
                <w:kern w:val="0"/>
                <w:sz w:val="26"/>
                <w:szCs w:val="26"/>
              </w:rPr>
              <w:t>110</w:t>
            </w:r>
          </w:p>
        </w:tc>
        <w:tc>
          <w:tcPr>
            <w:tcW w:w="1772" w:type="dxa"/>
            <w:tcBorders>
              <w:top w:val="nil"/>
              <w:left w:val="nil"/>
              <w:bottom w:val="single" w:sz="4" w:space="0" w:color="auto"/>
              <w:right w:val="single" w:sz="4" w:space="0" w:color="auto"/>
            </w:tcBorders>
            <w:shd w:val="clear" w:color="000000" w:fill="F2F2F2"/>
            <w:noWrap/>
            <w:vAlign w:val="center"/>
          </w:tcPr>
          <w:p w14:paraId="11C8FEA5" w14:textId="77777777" w:rsidR="004923EA" w:rsidRPr="008B619A" w:rsidRDefault="004923EA" w:rsidP="006400F0">
            <w:pPr>
              <w:widowControl/>
              <w:spacing w:line="320" w:lineRule="exact"/>
              <w:jc w:val="center"/>
              <w:rPr>
                <w:rFonts w:hAnsi="標楷體"/>
                <w:color w:val="000000" w:themeColor="text1"/>
                <w:kern w:val="0"/>
                <w:sz w:val="26"/>
                <w:szCs w:val="26"/>
              </w:rPr>
            </w:pPr>
            <w:r w:rsidRPr="008B619A">
              <w:rPr>
                <w:rFonts w:hAnsi="標楷體"/>
                <w:color w:val="000000" w:themeColor="text1"/>
                <w:kern w:val="0"/>
                <w:sz w:val="26"/>
                <w:szCs w:val="26"/>
              </w:rPr>
              <w:t xml:space="preserve">5,184 </w:t>
            </w:r>
          </w:p>
        </w:tc>
        <w:tc>
          <w:tcPr>
            <w:tcW w:w="1417" w:type="dxa"/>
            <w:tcBorders>
              <w:top w:val="nil"/>
              <w:left w:val="nil"/>
              <w:bottom w:val="single" w:sz="4" w:space="0" w:color="auto"/>
              <w:right w:val="single" w:sz="4" w:space="0" w:color="auto"/>
            </w:tcBorders>
            <w:shd w:val="clear" w:color="000000" w:fill="F2F2F2"/>
            <w:noWrap/>
            <w:vAlign w:val="center"/>
          </w:tcPr>
          <w:p w14:paraId="66DDB045" w14:textId="77777777" w:rsidR="004923EA" w:rsidRPr="008B619A" w:rsidRDefault="004923EA" w:rsidP="006400F0">
            <w:pPr>
              <w:widowControl/>
              <w:spacing w:line="320" w:lineRule="exact"/>
              <w:jc w:val="center"/>
              <w:rPr>
                <w:rFonts w:hAnsi="標楷體"/>
                <w:color w:val="000000" w:themeColor="text1"/>
                <w:kern w:val="0"/>
                <w:sz w:val="26"/>
                <w:szCs w:val="26"/>
              </w:rPr>
            </w:pPr>
            <w:r w:rsidRPr="008B619A">
              <w:rPr>
                <w:rFonts w:hAnsi="標楷體"/>
                <w:color w:val="000000" w:themeColor="text1"/>
                <w:kern w:val="0"/>
                <w:sz w:val="26"/>
                <w:szCs w:val="26"/>
              </w:rPr>
              <w:t xml:space="preserve">931 </w:t>
            </w:r>
          </w:p>
        </w:tc>
        <w:tc>
          <w:tcPr>
            <w:tcW w:w="1417" w:type="dxa"/>
            <w:tcBorders>
              <w:top w:val="nil"/>
              <w:left w:val="nil"/>
              <w:bottom w:val="single" w:sz="4" w:space="0" w:color="auto"/>
              <w:right w:val="single" w:sz="4" w:space="0" w:color="auto"/>
            </w:tcBorders>
            <w:shd w:val="clear" w:color="000000" w:fill="F2F2F2"/>
            <w:noWrap/>
            <w:vAlign w:val="center"/>
          </w:tcPr>
          <w:p w14:paraId="61C026F9" w14:textId="77777777" w:rsidR="004923EA" w:rsidRPr="008B619A" w:rsidRDefault="004923EA" w:rsidP="006400F0">
            <w:pPr>
              <w:widowControl/>
              <w:spacing w:line="320" w:lineRule="exact"/>
              <w:jc w:val="center"/>
              <w:rPr>
                <w:rFonts w:hAnsi="標楷體"/>
                <w:color w:val="000000" w:themeColor="text1"/>
                <w:kern w:val="0"/>
                <w:sz w:val="26"/>
                <w:szCs w:val="26"/>
              </w:rPr>
            </w:pPr>
            <w:r w:rsidRPr="008B619A">
              <w:rPr>
                <w:rFonts w:hAnsi="標楷體"/>
                <w:color w:val="000000" w:themeColor="text1"/>
                <w:kern w:val="0"/>
                <w:sz w:val="26"/>
                <w:szCs w:val="26"/>
              </w:rPr>
              <w:t xml:space="preserve">897 </w:t>
            </w:r>
          </w:p>
        </w:tc>
        <w:tc>
          <w:tcPr>
            <w:tcW w:w="1418" w:type="dxa"/>
            <w:tcBorders>
              <w:top w:val="nil"/>
              <w:left w:val="nil"/>
              <w:bottom w:val="single" w:sz="4" w:space="0" w:color="auto"/>
              <w:right w:val="single" w:sz="4" w:space="0" w:color="auto"/>
            </w:tcBorders>
            <w:shd w:val="clear" w:color="000000" w:fill="F2F2F2"/>
            <w:noWrap/>
            <w:vAlign w:val="center"/>
          </w:tcPr>
          <w:p w14:paraId="23A40B7B" w14:textId="77777777" w:rsidR="004923EA" w:rsidRPr="008B619A" w:rsidRDefault="004923EA" w:rsidP="006400F0">
            <w:pPr>
              <w:widowControl/>
              <w:spacing w:line="320" w:lineRule="exact"/>
              <w:jc w:val="center"/>
              <w:rPr>
                <w:rFonts w:hAnsi="標楷體"/>
                <w:color w:val="000000" w:themeColor="text1"/>
                <w:kern w:val="0"/>
                <w:sz w:val="26"/>
                <w:szCs w:val="26"/>
              </w:rPr>
            </w:pPr>
            <w:r w:rsidRPr="008B619A">
              <w:rPr>
                <w:rFonts w:hAnsi="標楷體"/>
                <w:color w:val="000000" w:themeColor="text1"/>
                <w:kern w:val="0"/>
                <w:sz w:val="26"/>
                <w:szCs w:val="26"/>
              </w:rPr>
              <w:t xml:space="preserve">3,356 </w:t>
            </w:r>
          </w:p>
        </w:tc>
      </w:tr>
    </w:tbl>
    <w:p w14:paraId="6300808E" w14:textId="77777777" w:rsidR="004923EA" w:rsidRPr="008B619A" w:rsidRDefault="004923EA" w:rsidP="004923EA">
      <w:pPr>
        <w:spacing w:afterLines="50" w:after="228"/>
        <w:rPr>
          <w:color w:val="000000" w:themeColor="text1"/>
          <w:sz w:val="24"/>
          <w:szCs w:val="24"/>
        </w:rPr>
      </w:pPr>
      <w:r w:rsidRPr="008B619A">
        <w:rPr>
          <w:rFonts w:hint="eastAsia"/>
          <w:color w:val="000000" w:themeColor="text1"/>
        </w:rPr>
        <w:t xml:space="preserve">　　</w:t>
      </w:r>
      <w:r w:rsidRPr="008B619A">
        <w:rPr>
          <w:rFonts w:hint="eastAsia"/>
          <w:color w:val="000000" w:themeColor="text1"/>
          <w:sz w:val="24"/>
          <w:szCs w:val="24"/>
        </w:rPr>
        <w:t>資料來源：教育部座談前說明資料。</w:t>
      </w:r>
    </w:p>
    <w:p w14:paraId="67C7E97D" w14:textId="2A3444AF" w:rsidR="00E93349" w:rsidRPr="008B619A" w:rsidRDefault="00242427" w:rsidP="008E4CDC">
      <w:pPr>
        <w:pStyle w:val="3"/>
        <w:ind w:leftChars="200" w:left="1360" w:hanging="680"/>
        <w:rPr>
          <w:color w:val="000000" w:themeColor="text1"/>
        </w:rPr>
      </w:pPr>
      <w:r w:rsidRPr="008B619A">
        <w:rPr>
          <w:rFonts w:hint="eastAsia"/>
          <w:color w:val="000000" w:themeColor="text1"/>
        </w:rPr>
        <w:t>針對</w:t>
      </w:r>
      <w:r w:rsidR="00676AB0" w:rsidRPr="008B619A">
        <w:rPr>
          <w:rFonts w:hint="eastAsia"/>
          <w:color w:val="000000" w:themeColor="text1"/>
        </w:rPr>
        <w:t>高階</w:t>
      </w:r>
      <w:r w:rsidR="003400FD" w:rsidRPr="008B619A">
        <w:rPr>
          <w:rFonts w:hint="eastAsia"/>
          <w:color w:val="000000" w:themeColor="text1"/>
        </w:rPr>
        <w:t>人才</w:t>
      </w:r>
      <w:r w:rsidR="002E1C89" w:rsidRPr="008B619A">
        <w:rPr>
          <w:rFonts w:hint="eastAsia"/>
          <w:color w:val="000000" w:themeColor="text1"/>
        </w:rPr>
        <w:t>之</w:t>
      </w:r>
      <w:r w:rsidR="00ED563F" w:rsidRPr="008B619A">
        <w:rPr>
          <w:rFonts w:hint="eastAsia"/>
          <w:color w:val="000000" w:themeColor="text1"/>
        </w:rPr>
        <w:t>供給</w:t>
      </w:r>
      <w:r w:rsidR="002E1C89" w:rsidRPr="008B619A">
        <w:rPr>
          <w:rFonts w:hint="eastAsia"/>
          <w:color w:val="000000" w:themeColor="text1"/>
        </w:rPr>
        <w:t>面</w:t>
      </w:r>
      <w:r w:rsidR="00ED563F" w:rsidRPr="008B619A">
        <w:rPr>
          <w:rFonts w:hint="eastAsia"/>
          <w:color w:val="000000" w:themeColor="text1"/>
        </w:rPr>
        <w:t>，</w:t>
      </w:r>
      <w:r w:rsidR="00BD0E7E" w:rsidRPr="008B619A">
        <w:rPr>
          <w:rFonts w:hint="eastAsia"/>
          <w:color w:val="000000" w:themeColor="text1"/>
        </w:rPr>
        <w:t>實務上</w:t>
      </w:r>
      <w:r w:rsidR="00D23805" w:rsidRPr="008B619A">
        <w:rPr>
          <w:rFonts w:hint="eastAsia"/>
          <w:color w:val="000000" w:themeColor="text1"/>
        </w:rPr>
        <w:t>對於政府</w:t>
      </w:r>
      <w:r w:rsidR="00EF72A4" w:rsidRPr="008B619A">
        <w:rPr>
          <w:rFonts w:hint="eastAsia"/>
          <w:color w:val="000000" w:themeColor="text1"/>
        </w:rPr>
        <w:t>進行</w:t>
      </w:r>
      <w:r w:rsidR="00C61DFB" w:rsidRPr="008B619A">
        <w:rPr>
          <w:rFonts w:hint="eastAsia"/>
          <w:color w:val="000000" w:themeColor="text1"/>
        </w:rPr>
        <w:t>博士班</w:t>
      </w:r>
      <w:r w:rsidR="0081662C" w:rsidRPr="008B619A">
        <w:rPr>
          <w:rFonts w:hint="eastAsia"/>
          <w:color w:val="000000" w:themeColor="text1"/>
        </w:rPr>
        <w:t>招生</w:t>
      </w:r>
      <w:r w:rsidR="003C45D5" w:rsidRPr="008B619A">
        <w:rPr>
          <w:rFonts w:hint="eastAsia"/>
          <w:color w:val="000000" w:themeColor="text1"/>
        </w:rPr>
        <w:t>名額調控之操作</w:t>
      </w:r>
      <w:r w:rsidR="00302905" w:rsidRPr="008B619A">
        <w:rPr>
          <w:rFonts w:hint="eastAsia"/>
          <w:color w:val="000000" w:themeColor="text1"/>
        </w:rPr>
        <w:t>及效果</w:t>
      </w:r>
      <w:r w:rsidR="003C45D5" w:rsidRPr="008B619A">
        <w:rPr>
          <w:rFonts w:hint="eastAsia"/>
          <w:color w:val="000000" w:themeColor="text1"/>
        </w:rPr>
        <w:t>，</w:t>
      </w:r>
      <w:r w:rsidR="000A6FB7" w:rsidRPr="008B619A">
        <w:rPr>
          <w:rFonts w:hint="eastAsia"/>
          <w:color w:val="000000" w:themeColor="text1"/>
        </w:rPr>
        <w:t>能否</w:t>
      </w:r>
      <w:r w:rsidR="00150A8B" w:rsidRPr="008B619A">
        <w:rPr>
          <w:rFonts w:hint="eastAsia"/>
          <w:color w:val="000000" w:themeColor="text1"/>
        </w:rPr>
        <w:t>實際影響</w:t>
      </w:r>
      <w:r w:rsidR="00150A8B" w:rsidRPr="008B619A">
        <w:rPr>
          <w:rFonts w:hint="eastAsia"/>
          <w:bCs w:val="0"/>
          <w:color w:val="000000" w:themeColor="text1"/>
        </w:rPr>
        <w:t>我國實質學術</w:t>
      </w:r>
      <w:r w:rsidR="00147931" w:rsidRPr="008B619A">
        <w:rPr>
          <w:rFonts w:hint="eastAsia"/>
          <w:bCs w:val="0"/>
          <w:color w:val="000000" w:themeColor="text1"/>
        </w:rPr>
        <w:t>能量</w:t>
      </w:r>
      <w:r w:rsidR="000A6FB7" w:rsidRPr="008B619A">
        <w:rPr>
          <w:rFonts w:hint="eastAsia"/>
          <w:bCs w:val="0"/>
          <w:color w:val="000000" w:themeColor="text1"/>
        </w:rPr>
        <w:t>，顯有疑慮。</w:t>
      </w:r>
      <w:r w:rsidR="002C315E" w:rsidRPr="008B619A">
        <w:rPr>
          <w:rFonts w:hint="eastAsia"/>
          <w:bCs w:val="0"/>
          <w:color w:val="000000" w:themeColor="text1"/>
        </w:rPr>
        <w:t>引述</w:t>
      </w:r>
      <w:r w:rsidR="002D408E" w:rsidRPr="008B619A">
        <w:rPr>
          <w:rFonts w:hint="eastAsia"/>
          <w:bCs w:val="0"/>
          <w:color w:val="000000" w:themeColor="text1"/>
        </w:rPr>
        <w:t>研究</w:t>
      </w:r>
      <w:r w:rsidR="00676AB0" w:rsidRPr="008B619A">
        <w:rPr>
          <w:rFonts w:hint="eastAsia"/>
          <w:bCs w:val="0"/>
          <w:color w:val="000000" w:themeColor="text1"/>
        </w:rPr>
        <w:t>指出</w:t>
      </w:r>
      <w:r w:rsidR="009A447C" w:rsidRPr="008B619A">
        <w:rPr>
          <w:rStyle w:val="aff1"/>
          <w:bCs w:val="0"/>
          <w:color w:val="000000" w:themeColor="text1"/>
        </w:rPr>
        <w:footnoteReference w:id="16"/>
      </w:r>
      <w:r w:rsidR="00676AB0" w:rsidRPr="008B619A">
        <w:rPr>
          <w:rFonts w:hint="eastAsia"/>
          <w:bCs w:val="0"/>
          <w:color w:val="000000" w:themeColor="text1"/>
        </w:rPr>
        <w:t>，</w:t>
      </w:r>
      <w:r w:rsidR="00676AB0" w:rsidRPr="008B619A">
        <w:rPr>
          <w:rFonts w:hAnsi="標楷體" w:hint="eastAsia"/>
          <w:bCs w:val="0"/>
          <w:color w:val="000000" w:themeColor="text1"/>
        </w:rPr>
        <w:t>「</w:t>
      </w:r>
      <w:r w:rsidR="00676AB0" w:rsidRPr="008B619A">
        <w:rPr>
          <w:color w:val="000000" w:themeColor="text1"/>
        </w:rPr>
        <w:t>另外在供給方面，現行國發會針對</w:t>
      </w:r>
      <w:r w:rsidR="00D819F4" w:rsidRPr="008B619A">
        <w:rPr>
          <w:rFonts w:hint="eastAsia"/>
          <w:color w:val="000000" w:themeColor="text1"/>
        </w:rPr>
        <w:t>臺</w:t>
      </w:r>
      <w:r w:rsidR="00676AB0" w:rsidRPr="008B619A">
        <w:rPr>
          <w:color w:val="000000" w:themeColor="text1"/>
        </w:rPr>
        <w:t>灣各大學系所的學生人數進行加總，作為未來勞動供給預測的參考。不過，因為學生從某一科系畢業後， 很可能不會繼續從事該領域的工作，而轉行從事其它工作</w:t>
      </w:r>
      <w:r w:rsidR="00C45618" w:rsidRPr="008B619A">
        <w:rPr>
          <w:rFonts w:hint="eastAsia"/>
          <w:color w:val="000000" w:themeColor="text1"/>
        </w:rPr>
        <w:t>……</w:t>
      </w:r>
      <w:r w:rsidR="00676AB0" w:rsidRPr="008B619A">
        <w:rPr>
          <w:rFonts w:hAnsi="標楷體" w:hint="eastAsia"/>
          <w:bCs w:val="0"/>
          <w:color w:val="000000" w:themeColor="text1"/>
        </w:rPr>
        <w:t>」</w:t>
      </w:r>
      <w:r w:rsidR="007319FB" w:rsidRPr="008B619A">
        <w:rPr>
          <w:rFonts w:hint="eastAsia"/>
          <w:bCs w:val="0"/>
          <w:color w:val="000000" w:themeColor="text1"/>
        </w:rPr>
        <w:t>。</w:t>
      </w:r>
      <w:r w:rsidR="001649C7" w:rsidRPr="008B619A">
        <w:rPr>
          <w:rFonts w:hint="eastAsia"/>
          <w:bCs w:val="0"/>
          <w:color w:val="000000" w:themeColor="text1"/>
        </w:rPr>
        <w:t>退萬步言，</w:t>
      </w:r>
      <w:r w:rsidR="00814FA6" w:rsidRPr="008B619A">
        <w:rPr>
          <w:rFonts w:hint="eastAsia"/>
          <w:bCs w:val="0"/>
          <w:color w:val="000000" w:themeColor="text1"/>
        </w:rPr>
        <w:t>過去</w:t>
      </w:r>
      <w:r w:rsidR="00302905" w:rsidRPr="008B619A">
        <w:rPr>
          <w:rFonts w:hint="eastAsia"/>
          <w:color w:val="000000" w:themeColor="text1"/>
        </w:rPr>
        <w:t>實務上</w:t>
      </w:r>
      <w:r w:rsidR="00292E6E" w:rsidRPr="008B619A">
        <w:rPr>
          <w:rFonts w:hint="eastAsia"/>
          <w:color w:val="000000" w:themeColor="text1"/>
        </w:rPr>
        <w:t>由</w:t>
      </w:r>
      <w:r w:rsidR="00302905" w:rsidRPr="008B619A">
        <w:rPr>
          <w:rFonts w:hint="eastAsia"/>
          <w:color w:val="000000" w:themeColor="text1"/>
        </w:rPr>
        <w:t>主管機關</w:t>
      </w:r>
      <w:r w:rsidR="00147931" w:rsidRPr="008B619A">
        <w:rPr>
          <w:rFonts w:hint="eastAsia"/>
          <w:color w:val="000000" w:themeColor="text1"/>
        </w:rPr>
        <w:t>統一調控政策，</w:t>
      </w:r>
      <w:r w:rsidR="00302905" w:rsidRPr="008B619A">
        <w:rPr>
          <w:rFonts w:hint="eastAsia"/>
          <w:color w:val="000000" w:themeColor="text1"/>
        </w:rPr>
        <w:t>尚且未</w:t>
      </w:r>
      <w:r w:rsidR="00147931" w:rsidRPr="008B619A">
        <w:rPr>
          <w:rFonts w:hint="eastAsia"/>
          <w:color w:val="000000" w:themeColor="text1"/>
        </w:rPr>
        <w:t>見明顯</w:t>
      </w:r>
      <w:r w:rsidR="00E842EA" w:rsidRPr="008B619A">
        <w:rPr>
          <w:rFonts w:hint="eastAsia"/>
          <w:color w:val="000000" w:themeColor="text1"/>
        </w:rPr>
        <w:t>正向</w:t>
      </w:r>
      <w:r w:rsidR="00147931" w:rsidRPr="008B619A">
        <w:rPr>
          <w:rFonts w:hint="eastAsia"/>
          <w:color w:val="000000" w:themeColor="text1"/>
        </w:rPr>
        <w:t>效果</w:t>
      </w:r>
      <w:r w:rsidR="00302905" w:rsidRPr="008B619A">
        <w:rPr>
          <w:rFonts w:hint="eastAsia"/>
          <w:color w:val="000000" w:themeColor="text1"/>
        </w:rPr>
        <w:t>，</w:t>
      </w:r>
      <w:r w:rsidR="00147931" w:rsidRPr="008B619A">
        <w:rPr>
          <w:rFonts w:hint="eastAsia"/>
          <w:color w:val="000000" w:themeColor="text1"/>
        </w:rPr>
        <w:t>自108學年度</w:t>
      </w:r>
      <w:r w:rsidR="0096104B" w:rsidRPr="008B619A">
        <w:rPr>
          <w:rFonts w:hint="eastAsia"/>
          <w:color w:val="000000" w:themeColor="text1"/>
        </w:rPr>
        <w:t>主管機關再</w:t>
      </w:r>
      <w:r w:rsidR="00302905" w:rsidRPr="008B619A">
        <w:rPr>
          <w:rFonts w:hint="eastAsia"/>
          <w:color w:val="000000" w:themeColor="text1"/>
        </w:rPr>
        <w:t>交由校長配合分配之</w:t>
      </w:r>
      <w:r w:rsidR="00D964D0" w:rsidRPr="008B619A">
        <w:rPr>
          <w:rFonts w:hint="eastAsia"/>
          <w:color w:val="000000" w:themeColor="text1"/>
        </w:rPr>
        <w:t>政策</w:t>
      </w:r>
      <w:r w:rsidR="008D4EE6" w:rsidRPr="008B619A">
        <w:rPr>
          <w:rFonts w:hint="eastAsia"/>
          <w:color w:val="000000" w:themeColor="text1"/>
        </w:rPr>
        <w:t>，</w:t>
      </w:r>
      <w:r w:rsidR="005B4400" w:rsidRPr="008B619A">
        <w:rPr>
          <w:rFonts w:hint="eastAsia"/>
          <w:color w:val="000000" w:themeColor="text1"/>
        </w:rPr>
        <w:t>基於</w:t>
      </w:r>
      <w:r w:rsidR="008D4EE6" w:rsidRPr="008B619A">
        <w:rPr>
          <w:rFonts w:hint="eastAsia"/>
          <w:color w:val="000000" w:themeColor="text1"/>
        </w:rPr>
        <w:t>目前</w:t>
      </w:r>
      <w:r w:rsidR="00CC4EDC" w:rsidRPr="008B619A">
        <w:rPr>
          <w:rFonts w:hint="eastAsia"/>
          <w:color w:val="000000" w:themeColor="text1"/>
        </w:rPr>
        <w:t>公私立大專校院</w:t>
      </w:r>
      <w:r w:rsidR="00D1243C" w:rsidRPr="008B619A">
        <w:rPr>
          <w:rFonts w:hint="eastAsia"/>
          <w:color w:val="000000" w:themeColor="text1"/>
        </w:rPr>
        <w:t>校務經營</w:t>
      </w:r>
      <w:r w:rsidR="007377D2" w:rsidRPr="008B619A">
        <w:rPr>
          <w:rFonts w:hint="eastAsia"/>
          <w:color w:val="000000" w:themeColor="text1"/>
        </w:rPr>
        <w:t>模式</w:t>
      </w:r>
      <w:r w:rsidR="00B37A54" w:rsidRPr="008B619A">
        <w:rPr>
          <w:rFonts w:hAnsi="標楷體" w:hint="eastAsia"/>
          <w:color w:val="000000" w:themeColor="text1"/>
        </w:rPr>
        <w:t>、</w:t>
      </w:r>
      <w:r w:rsidR="00B37A54" w:rsidRPr="008B619A">
        <w:rPr>
          <w:rFonts w:hint="eastAsia"/>
          <w:color w:val="000000" w:themeColor="text1"/>
        </w:rPr>
        <w:t>權力結構</w:t>
      </w:r>
      <w:r w:rsidR="00D1243C" w:rsidRPr="008B619A">
        <w:rPr>
          <w:rFonts w:hint="eastAsia"/>
          <w:color w:val="000000" w:themeColor="text1"/>
        </w:rPr>
        <w:t>氛圍</w:t>
      </w:r>
      <w:r w:rsidR="00D21403" w:rsidRPr="008B619A">
        <w:rPr>
          <w:rFonts w:hint="eastAsia"/>
          <w:color w:val="000000" w:themeColor="text1"/>
        </w:rPr>
        <w:t>等文化</w:t>
      </w:r>
      <w:r w:rsidR="00D1243C" w:rsidRPr="008B619A">
        <w:rPr>
          <w:rFonts w:hint="eastAsia"/>
          <w:color w:val="000000" w:themeColor="text1"/>
        </w:rPr>
        <w:t>，</w:t>
      </w:r>
      <w:r w:rsidR="00730CEA" w:rsidRPr="008B619A">
        <w:rPr>
          <w:rFonts w:hint="eastAsia"/>
          <w:color w:val="000000" w:themeColor="text1"/>
        </w:rPr>
        <w:t>加以</w:t>
      </w:r>
      <w:r w:rsidR="008D4EE6" w:rsidRPr="008B619A">
        <w:rPr>
          <w:rFonts w:hint="eastAsia"/>
          <w:color w:val="000000" w:themeColor="text1"/>
        </w:rPr>
        <w:t>校長</w:t>
      </w:r>
      <w:r w:rsidR="003E3D14" w:rsidRPr="008B619A">
        <w:rPr>
          <w:rFonts w:hint="eastAsia"/>
          <w:color w:val="000000" w:themeColor="text1"/>
        </w:rPr>
        <w:t>人選</w:t>
      </w:r>
      <w:r w:rsidR="008D4EE6" w:rsidRPr="008B619A">
        <w:rPr>
          <w:rFonts w:hint="eastAsia"/>
          <w:color w:val="000000" w:themeColor="text1"/>
        </w:rPr>
        <w:t>之產生</w:t>
      </w:r>
      <w:r w:rsidR="00F62686" w:rsidRPr="008B619A">
        <w:rPr>
          <w:rFonts w:hint="eastAsia"/>
          <w:color w:val="000000" w:themeColor="text1"/>
        </w:rPr>
        <w:t>基礎</w:t>
      </w:r>
      <w:r w:rsidR="008D4EE6" w:rsidRPr="008B619A">
        <w:rPr>
          <w:rFonts w:hint="eastAsia"/>
          <w:color w:val="000000" w:themeColor="text1"/>
        </w:rPr>
        <w:t>及</w:t>
      </w:r>
      <w:r w:rsidR="00084BDF" w:rsidRPr="008B619A">
        <w:rPr>
          <w:rFonts w:hint="eastAsia"/>
          <w:color w:val="000000" w:themeColor="text1"/>
        </w:rPr>
        <w:t>各方</w:t>
      </w:r>
      <w:r w:rsidR="00EF252C" w:rsidRPr="008B619A">
        <w:rPr>
          <w:rFonts w:hint="eastAsia"/>
          <w:color w:val="000000" w:themeColor="text1"/>
        </w:rPr>
        <w:t>權責掣肘下</w:t>
      </w:r>
      <w:r w:rsidR="00302905" w:rsidRPr="008B619A">
        <w:rPr>
          <w:rFonts w:hint="eastAsia"/>
          <w:color w:val="000000" w:themeColor="text1"/>
        </w:rPr>
        <w:t>，</w:t>
      </w:r>
      <w:r w:rsidR="00DB014A" w:rsidRPr="008B619A">
        <w:rPr>
          <w:rFonts w:hint="eastAsia"/>
          <w:color w:val="000000" w:themeColor="text1"/>
        </w:rPr>
        <w:t>或私校董事會運作形式等</w:t>
      </w:r>
      <w:r w:rsidR="00D21403" w:rsidRPr="008B619A">
        <w:rPr>
          <w:rFonts w:hint="eastAsia"/>
          <w:color w:val="000000" w:themeColor="text1"/>
        </w:rPr>
        <w:t>影響</w:t>
      </w:r>
      <w:r w:rsidR="00DB014A" w:rsidRPr="008B619A">
        <w:rPr>
          <w:rFonts w:hint="eastAsia"/>
          <w:color w:val="000000" w:themeColor="text1"/>
        </w:rPr>
        <w:t>，</w:t>
      </w:r>
      <w:r w:rsidR="00474406" w:rsidRPr="008B619A">
        <w:rPr>
          <w:rFonts w:hint="eastAsia"/>
          <w:color w:val="000000" w:themeColor="text1"/>
        </w:rPr>
        <w:t>現行相關</w:t>
      </w:r>
      <w:r w:rsidR="000657B6" w:rsidRPr="008B619A">
        <w:rPr>
          <w:rFonts w:hint="eastAsia"/>
          <w:color w:val="000000" w:themeColor="text1"/>
        </w:rPr>
        <w:t>政策</w:t>
      </w:r>
      <w:r w:rsidR="00302905" w:rsidRPr="008B619A">
        <w:rPr>
          <w:rFonts w:hint="eastAsia"/>
          <w:bCs w:val="0"/>
          <w:color w:val="000000" w:themeColor="text1"/>
        </w:rPr>
        <w:t>能否有效</w:t>
      </w:r>
      <w:r w:rsidR="00152178" w:rsidRPr="008B619A">
        <w:rPr>
          <w:rFonts w:hint="eastAsia"/>
          <w:bCs w:val="0"/>
          <w:color w:val="000000" w:themeColor="text1"/>
        </w:rPr>
        <w:t>客觀</w:t>
      </w:r>
      <w:r w:rsidR="00C10D26" w:rsidRPr="008B619A">
        <w:rPr>
          <w:rFonts w:hint="eastAsia"/>
          <w:bCs w:val="0"/>
          <w:color w:val="000000" w:themeColor="text1"/>
        </w:rPr>
        <w:t>因應國家政策及人才需求</w:t>
      </w:r>
      <w:r w:rsidR="00FD4E1D" w:rsidRPr="008B619A">
        <w:rPr>
          <w:rFonts w:hint="eastAsia"/>
          <w:bCs w:val="0"/>
          <w:color w:val="000000" w:themeColor="text1"/>
        </w:rPr>
        <w:t>調整</w:t>
      </w:r>
      <w:r w:rsidR="00C10D26" w:rsidRPr="008B619A">
        <w:rPr>
          <w:rFonts w:hint="eastAsia"/>
          <w:color w:val="000000" w:themeColor="text1"/>
        </w:rPr>
        <w:t>名額</w:t>
      </w:r>
      <w:r w:rsidR="00615430" w:rsidRPr="008B619A">
        <w:rPr>
          <w:rFonts w:hint="eastAsia"/>
          <w:color w:val="000000" w:themeColor="text1"/>
        </w:rPr>
        <w:t>，</w:t>
      </w:r>
      <w:r w:rsidR="00E060B8" w:rsidRPr="008B619A">
        <w:rPr>
          <w:rFonts w:hint="eastAsia"/>
          <w:color w:val="000000" w:themeColor="text1"/>
        </w:rPr>
        <w:t>尚</w:t>
      </w:r>
      <w:r w:rsidR="00590D7F" w:rsidRPr="008B619A">
        <w:rPr>
          <w:rFonts w:hint="eastAsia"/>
          <w:color w:val="000000" w:themeColor="text1"/>
        </w:rPr>
        <w:t>難評估</w:t>
      </w:r>
      <w:r w:rsidR="00615430" w:rsidRPr="008B619A">
        <w:rPr>
          <w:rFonts w:hint="eastAsia"/>
          <w:color w:val="000000" w:themeColor="text1"/>
        </w:rPr>
        <w:t>。</w:t>
      </w:r>
      <w:r w:rsidR="00584B71" w:rsidRPr="008B619A">
        <w:rPr>
          <w:rFonts w:hint="eastAsia"/>
          <w:color w:val="000000" w:themeColor="text1"/>
        </w:rPr>
        <w:t>況部分</w:t>
      </w:r>
      <w:r w:rsidR="008E5A57" w:rsidRPr="008B619A">
        <w:rPr>
          <w:rFonts w:hint="eastAsia"/>
          <w:color w:val="000000" w:themeColor="text1"/>
        </w:rPr>
        <w:t>學門</w:t>
      </w:r>
      <w:r w:rsidR="00584B71" w:rsidRPr="008B619A">
        <w:rPr>
          <w:rFonts w:hint="eastAsia"/>
          <w:color w:val="000000" w:themeColor="text1"/>
        </w:rPr>
        <w:t>新興領域崛起快速，仍須衡酌大專校院</w:t>
      </w:r>
      <w:r w:rsidR="00583CDD" w:rsidRPr="008B619A">
        <w:rPr>
          <w:rFonts w:hint="eastAsia"/>
          <w:color w:val="000000" w:themeColor="text1"/>
        </w:rPr>
        <w:t>經費，攸關</w:t>
      </w:r>
      <w:r w:rsidR="00584B71" w:rsidRPr="008B619A">
        <w:rPr>
          <w:rFonts w:hint="eastAsia"/>
          <w:color w:val="000000" w:themeColor="text1"/>
        </w:rPr>
        <w:t>發展規模、師資及設備等長期需求與擘劃能量，如缺乏</w:t>
      </w:r>
      <w:r w:rsidR="00A751D0" w:rsidRPr="008B619A">
        <w:rPr>
          <w:rFonts w:hint="eastAsia"/>
          <w:color w:val="000000" w:themeColor="text1"/>
        </w:rPr>
        <w:t>國家</w:t>
      </w:r>
      <w:r w:rsidR="00584B71" w:rsidRPr="008B619A">
        <w:rPr>
          <w:rFonts w:hint="eastAsia"/>
          <w:color w:val="000000" w:themeColor="text1"/>
        </w:rPr>
        <w:t>政策</w:t>
      </w:r>
      <w:r w:rsidR="00A751D0" w:rsidRPr="008B619A">
        <w:rPr>
          <w:rFonts w:hint="eastAsia"/>
          <w:color w:val="000000" w:themeColor="text1"/>
        </w:rPr>
        <w:t>層次之</w:t>
      </w:r>
      <w:r w:rsidR="00EB6A36" w:rsidRPr="008B619A">
        <w:rPr>
          <w:rFonts w:hint="eastAsia"/>
          <w:color w:val="000000" w:themeColor="text1"/>
        </w:rPr>
        <w:t>總體</w:t>
      </w:r>
      <w:r w:rsidR="00584B71" w:rsidRPr="008B619A">
        <w:rPr>
          <w:rFonts w:hint="eastAsia"/>
          <w:color w:val="000000" w:themeColor="text1"/>
        </w:rPr>
        <w:t>利基</w:t>
      </w:r>
      <w:r w:rsidR="00D773B2" w:rsidRPr="008B619A">
        <w:rPr>
          <w:rFonts w:hint="eastAsia"/>
          <w:color w:val="000000" w:themeColor="text1"/>
        </w:rPr>
        <w:t>，</w:t>
      </w:r>
      <w:r w:rsidR="00584B71" w:rsidRPr="008B619A">
        <w:rPr>
          <w:rFonts w:hint="eastAsia"/>
          <w:color w:val="000000" w:themeColor="text1"/>
        </w:rPr>
        <w:t>則顯難立足競爭</w:t>
      </w:r>
      <w:r w:rsidR="00514893" w:rsidRPr="008B619A">
        <w:rPr>
          <w:rFonts w:hint="eastAsia"/>
          <w:color w:val="000000" w:themeColor="text1"/>
        </w:rPr>
        <w:t>，</w:t>
      </w:r>
      <w:r w:rsidR="00F15D7E" w:rsidRPr="008B619A">
        <w:rPr>
          <w:rFonts w:hint="eastAsia"/>
          <w:color w:val="000000" w:themeColor="text1"/>
        </w:rPr>
        <w:lastRenderedPageBreak/>
        <w:t>是以</w:t>
      </w:r>
      <w:r w:rsidR="004B36C1" w:rsidRPr="008B619A">
        <w:rPr>
          <w:rFonts w:hint="eastAsia"/>
          <w:bCs w:val="0"/>
          <w:color w:val="000000" w:themeColor="text1"/>
        </w:rPr>
        <w:t>相關</w:t>
      </w:r>
      <w:r w:rsidR="00D964D0" w:rsidRPr="008B619A">
        <w:rPr>
          <w:rFonts w:hint="eastAsia"/>
          <w:color w:val="000000" w:themeColor="text1"/>
        </w:rPr>
        <w:t>執行結果亟待評估。</w:t>
      </w:r>
    </w:p>
    <w:p w14:paraId="1AD2B2D5" w14:textId="7AD37070" w:rsidR="003C45D5" w:rsidRPr="008B619A" w:rsidRDefault="00012139" w:rsidP="00FE5118">
      <w:pPr>
        <w:pStyle w:val="3"/>
        <w:ind w:leftChars="200" w:left="1360" w:hanging="680"/>
        <w:rPr>
          <w:color w:val="000000" w:themeColor="text1"/>
        </w:rPr>
      </w:pPr>
      <w:r w:rsidRPr="008B619A">
        <w:rPr>
          <w:rFonts w:hint="eastAsia"/>
          <w:color w:val="000000" w:themeColor="text1"/>
        </w:rPr>
        <w:t>承上，</w:t>
      </w:r>
      <w:r w:rsidR="008C39A3" w:rsidRPr="008B619A">
        <w:rPr>
          <w:rFonts w:hint="eastAsia"/>
          <w:color w:val="000000" w:themeColor="text1"/>
        </w:rPr>
        <w:t>外界及相關研究對於博士班品質評估亦歷來多有探討，</w:t>
      </w:r>
      <w:r w:rsidR="00A35EDF" w:rsidRPr="008B619A">
        <w:rPr>
          <w:rFonts w:hint="eastAsia"/>
          <w:color w:val="000000" w:themeColor="text1"/>
        </w:rPr>
        <w:t>本院</w:t>
      </w:r>
      <w:r w:rsidR="008254D1" w:rsidRPr="008B619A">
        <w:rPr>
          <w:rFonts w:hint="eastAsia"/>
          <w:color w:val="000000" w:themeColor="text1"/>
        </w:rPr>
        <w:t>諮詢</w:t>
      </w:r>
      <w:r w:rsidR="000E1CE8" w:rsidRPr="008B619A">
        <w:rPr>
          <w:rFonts w:hint="eastAsia"/>
          <w:color w:val="000000" w:themeColor="text1"/>
        </w:rPr>
        <w:t>會議蒐集</w:t>
      </w:r>
      <w:r w:rsidR="008254D1" w:rsidRPr="008B619A">
        <w:rPr>
          <w:rFonts w:hint="eastAsia"/>
          <w:color w:val="000000" w:themeColor="text1"/>
        </w:rPr>
        <w:t>專家學者意見</w:t>
      </w:r>
      <w:r w:rsidR="00A527CE" w:rsidRPr="008B619A">
        <w:rPr>
          <w:rFonts w:hint="eastAsia"/>
          <w:color w:val="000000" w:themeColor="text1"/>
        </w:rPr>
        <w:t>如</w:t>
      </w:r>
      <w:r w:rsidR="008254D1" w:rsidRPr="008B619A">
        <w:rPr>
          <w:rFonts w:hint="eastAsia"/>
          <w:color w:val="000000" w:themeColor="text1"/>
        </w:rPr>
        <w:t>，</w:t>
      </w:r>
      <w:r w:rsidR="00A9389A" w:rsidRPr="008B619A">
        <w:rPr>
          <w:rFonts w:hAnsi="標楷體" w:hint="eastAsia"/>
          <w:color w:val="000000" w:themeColor="text1"/>
        </w:rPr>
        <w:t>「</w:t>
      </w:r>
      <w:r w:rsidR="00C10C83" w:rsidRPr="008B619A">
        <w:rPr>
          <w:rFonts w:hint="eastAsia"/>
          <w:color w:val="000000" w:themeColor="text1"/>
        </w:rPr>
        <w:t>政府應尊重市場機制，切勿扭曲人才</w:t>
      </w:r>
      <w:r w:rsidR="00C10C83" w:rsidRPr="008B619A">
        <w:rPr>
          <w:rFonts w:hAnsi="標楷體" w:hint="eastAsia"/>
          <w:color w:val="000000" w:themeColor="text1"/>
        </w:rPr>
        <w:t>（</w:t>
      </w:r>
      <w:r w:rsidR="00C10C83" w:rsidRPr="008B619A">
        <w:rPr>
          <w:rFonts w:hint="eastAsia"/>
          <w:color w:val="000000" w:themeColor="text1"/>
        </w:rPr>
        <w:t>非指獲博士學位人士</w:t>
      </w:r>
      <w:r w:rsidR="00C10C83" w:rsidRPr="008B619A">
        <w:rPr>
          <w:rFonts w:hAnsi="標楷體" w:hint="eastAsia"/>
          <w:color w:val="000000" w:themeColor="text1"/>
        </w:rPr>
        <w:t>）</w:t>
      </w:r>
      <w:r w:rsidR="00C10C83" w:rsidRPr="008B619A">
        <w:rPr>
          <w:rFonts w:hint="eastAsia"/>
          <w:color w:val="000000" w:themeColor="text1"/>
        </w:rPr>
        <w:t>之供需關係。政府或政策為解決某些領域就業問題所創造出來的職位，只能治標，不能治本。勿以獲頒之學位種類，做為分類人才之唯一依據。並須認清就學年齡人口之減少必定大幅影響各級教育之需求。但高科技產業蓬勃發展，對於具相關專業知識及訓練的人才需求必定大增，不需過於悲觀</w:t>
      </w:r>
      <w:r w:rsidR="00A9389A" w:rsidRPr="008B619A">
        <w:rPr>
          <w:rFonts w:hAnsi="標楷體" w:hint="eastAsia"/>
          <w:color w:val="000000" w:themeColor="text1"/>
        </w:rPr>
        <w:t>」</w:t>
      </w:r>
      <w:r w:rsidR="00A9389A" w:rsidRPr="008B619A">
        <w:rPr>
          <w:rFonts w:hint="eastAsia"/>
          <w:color w:val="000000" w:themeColor="text1"/>
        </w:rPr>
        <w:t>及</w:t>
      </w:r>
      <w:r w:rsidR="00747BA4" w:rsidRPr="008B619A">
        <w:rPr>
          <w:rFonts w:hAnsi="標楷體" w:hint="eastAsia"/>
          <w:color w:val="000000" w:themeColor="text1"/>
        </w:rPr>
        <w:t>「國內博士班品質需要把關</w:t>
      </w:r>
      <w:r w:rsidR="009C7E03" w:rsidRPr="008B619A">
        <w:rPr>
          <w:rFonts w:hAnsi="標楷體" w:hint="eastAsia"/>
          <w:color w:val="000000" w:themeColor="text1"/>
        </w:rPr>
        <w:t>及</w:t>
      </w:r>
      <w:r w:rsidR="00747BA4" w:rsidRPr="008B619A">
        <w:rPr>
          <w:rFonts w:hAnsi="標楷體" w:hint="eastAsia"/>
          <w:color w:val="000000" w:themeColor="text1"/>
        </w:rPr>
        <w:t>提升，不然不僅浪費國家資源，也讓較嚴格的系所容易被淘汰</w:t>
      </w:r>
      <w:r w:rsidR="006951D4" w:rsidRPr="008B619A">
        <w:rPr>
          <w:rFonts w:hAnsi="標楷體" w:hint="eastAsia"/>
          <w:color w:val="000000" w:themeColor="text1"/>
        </w:rPr>
        <w:t>（</w:t>
      </w:r>
      <w:r w:rsidR="00747BA4" w:rsidRPr="008B619A">
        <w:rPr>
          <w:rFonts w:hAnsi="標楷體" w:hint="eastAsia"/>
          <w:color w:val="000000" w:themeColor="text1"/>
        </w:rPr>
        <w:t>報到率</w:t>
      </w:r>
      <w:r w:rsidR="006951D4" w:rsidRPr="008B619A">
        <w:rPr>
          <w:rFonts w:hAnsi="標楷體" w:hint="eastAsia"/>
          <w:color w:val="000000" w:themeColor="text1"/>
        </w:rPr>
        <w:t>）</w:t>
      </w:r>
      <w:r w:rsidR="00747BA4" w:rsidRPr="008B619A">
        <w:rPr>
          <w:rFonts w:hAnsi="標楷體" w:hint="eastAsia"/>
          <w:color w:val="000000" w:themeColor="text1"/>
        </w:rPr>
        <w:t>」</w:t>
      </w:r>
      <w:r w:rsidR="00E66ECB" w:rsidRPr="008B619A">
        <w:rPr>
          <w:rFonts w:hint="eastAsia"/>
          <w:color w:val="000000" w:themeColor="text1"/>
        </w:rPr>
        <w:t>。而</w:t>
      </w:r>
      <w:r w:rsidR="00EA2928" w:rsidRPr="008B619A">
        <w:rPr>
          <w:rFonts w:hint="eastAsia"/>
          <w:color w:val="000000" w:themeColor="text1"/>
        </w:rPr>
        <w:t>教育部主管人員於本院</w:t>
      </w:r>
      <w:r w:rsidR="00BF139F" w:rsidRPr="008B619A">
        <w:rPr>
          <w:rFonts w:hint="eastAsia"/>
          <w:color w:val="000000" w:themeColor="text1"/>
        </w:rPr>
        <w:t>110年5月5日綜合座談會</w:t>
      </w:r>
      <w:r w:rsidR="00C723F7" w:rsidRPr="008B619A">
        <w:rPr>
          <w:rFonts w:hint="eastAsia"/>
          <w:color w:val="000000" w:themeColor="text1"/>
        </w:rPr>
        <w:t>議復</w:t>
      </w:r>
      <w:r w:rsidR="00B05630" w:rsidRPr="008B619A">
        <w:rPr>
          <w:rFonts w:hint="eastAsia"/>
          <w:color w:val="000000" w:themeColor="text1"/>
        </w:rPr>
        <w:t>指</w:t>
      </w:r>
      <w:r w:rsidR="00BF139F" w:rsidRPr="008B619A">
        <w:rPr>
          <w:rFonts w:hint="eastAsia"/>
          <w:color w:val="000000" w:themeColor="text1"/>
        </w:rPr>
        <w:t>稱，</w:t>
      </w:r>
      <w:r w:rsidR="000E7329" w:rsidRPr="008B619A">
        <w:rPr>
          <w:rFonts w:hAnsi="標楷體" w:hint="eastAsia"/>
          <w:color w:val="000000" w:themeColor="text1"/>
        </w:rPr>
        <w:t>「</w:t>
      </w:r>
      <w:r w:rsidR="00BF139F" w:rsidRPr="008B619A">
        <w:rPr>
          <w:rFonts w:ascii="Times New Roman" w:hAnsi="Times New Roman"/>
          <w:color w:val="000000" w:themeColor="text1"/>
          <w:szCs w:val="32"/>
        </w:rPr>
        <w:t>博士班的調控部分，當時因為博士生收很多，一年收</w:t>
      </w:r>
      <w:r w:rsidR="00BF139F" w:rsidRPr="008B619A">
        <w:rPr>
          <w:rFonts w:ascii="Times New Roman" w:hAnsi="Times New Roman"/>
          <w:color w:val="000000" w:themeColor="text1"/>
          <w:szCs w:val="32"/>
        </w:rPr>
        <w:t>5-6</w:t>
      </w:r>
      <w:r w:rsidR="00BF139F" w:rsidRPr="008B619A">
        <w:rPr>
          <w:rFonts w:ascii="Times New Roman" w:hAnsi="Times New Roman"/>
          <w:color w:val="000000" w:themeColor="text1"/>
          <w:szCs w:val="32"/>
        </w:rPr>
        <w:t>千人，產生註冊率跟失業的問題，所以</w:t>
      </w:r>
      <w:r w:rsidR="00BF139F" w:rsidRPr="008B619A">
        <w:rPr>
          <w:rFonts w:ascii="Times New Roman" w:hAnsi="Times New Roman"/>
          <w:color w:val="000000" w:themeColor="text1"/>
          <w:szCs w:val="32"/>
        </w:rPr>
        <w:t>101</w:t>
      </w:r>
      <w:r w:rsidR="00BF139F" w:rsidRPr="008B619A">
        <w:rPr>
          <w:rFonts w:ascii="Times New Roman" w:hAnsi="Times New Roman"/>
          <w:color w:val="000000" w:themeColor="text1"/>
          <w:szCs w:val="32"/>
        </w:rPr>
        <w:t>學年開始調控跟調減，</w:t>
      </w:r>
      <w:r w:rsidR="00BF139F" w:rsidRPr="008B619A">
        <w:rPr>
          <w:rFonts w:ascii="Times New Roman" w:hAnsi="Times New Roman"/>
          <w:color w:val="000000" w:themeColor="text1"/>
          <w:szCs w:val="32"/>
        </w:rPr>
        <w:t>106</w:t>
      </w:r>
      <w:r w:rsidR="00BF139F" w:rsidRPr="008B619A">
        <w:rPr>
          <w:rFonts w:ascii="Times New Roman" w:hAnsi="Times New Roman"/>
          <w:color w:val="000000" w:themeColor="text1"/>
          <w:szCs w:val="32"/>
        </w:rPr>
        <w:t>學年大致穩定，</w:t>
      </w:r>
      <w:r w:rsidR="00BF139F" w:rsidRPr="008B619A">
        <w:rPr>
          <w:rFonts w:ascii="Times New Roman" w:hAnsi="Times New Roman"/>
          <w:color w:val="000000" w:themeColor="text1"/>
          <w:szCs w:val="32"/>
        </w:rPr>
        <w:t>108</w:t>
      </w:r>
      <w:r w:rsidR="00BF139F" w:rsidRPr="008B619A">
        <w:rPr>
          <w:rFonts w:ascii="Times New Roman" w:hAnsi="Times New Roman"/>
          <w:color w:val="000000" w:themeColor="text1"/>
          <w:szCs w:val="32"/>
        </w:rPr>
        <w:t>年左右大概</w:t>
      </w:r>
      <w:r w:rsidR="00BF139F" w:rsidRPr="008B619A">
        <w:rPr>
          <w:rFonts w:ascii="Times New Roman" w:hAnsi="Times New Roman"/>
          <w:color w:val="000000" w:themeColor="text1"/>
          <w:szCs w:val="32"/>
        </w:rPr>
        <w:t>4,800</w:t>
      </w:r>
      <w:r w:rsidR="00BF139F" w:rsidRPr="008B619A">
        <w:rPr>
          <w:rFonts w:ascii="Times New Roman" w:hAnsi="Times New Roman"/>
          <w:color w:val="000000" w:themeColor="text1"/>
          <w:szCs w:val="32"/>
        </w:rPr>
        <w:t>人左右，大家認為可以接受，所以就沒有再進行調減。各校若註冊率不好也不見得希望釋放出來，所以教育部僅核定</w:t>
      </w:r>
      <w:r w:rsidR="00BF139F" w:rsidRPr="008B619A">
        <w:rPr>
          <w:rFonts w:ascii="Times New Roman" w:hAnsi="Times New Roman"/>
          <w:color w:val="000000" w:themeColor="text1"/>
          <w:szCs w:val="32"/>
        </w:rPr>
        <w:t>70%</w:t>
      </w:r>
      <w:r w:rsidR="00BF139F" w:rsidRPr="008B619A">
        <w:rPr>
          <w:rFonts w:ascii="Times New Roman" w:hAnsi="Times New Roman"/>
          <w:color w:val="000000" w:themeColor="text1"/>
          <w:szCs w:val="32"/>
        </w:rPr>
        <w:t>的名額，剩下</w:t>
      </w:r>
      <w:r w:rsidR="00BF139F" w:rsidRPr="008B619A">
        <w:rPr>
          <w:rFonts w:ascii="Times New Roman" w:hAnsi="Times New Roman"/>
          <w:color w:val="000000" w:themeColor="text1"/>
          <w:szCs w:val="32"/>
        </w:rPr>
        <w:t>30%</w:t>
      </w:r>
      <w:r w:rsidR="00BF139F" w:rsidRPr="008B619A">
        <w:rPr>
          <w:rFonts w:ascii="Times New Roman" w:hAnsi="Times New Roman"/>
          <w:color w:val="000000" w:themeColor="text1"/>
          <w:szCs w:val="32"/>
        </w:rPr>
        <w:t>讓校長以學校整體發展的高度自行調控。公立學校調控可能難度較高，私立學校調控較好</w:t>
      </w:r>
      <w:r w:rsidR="000E7329" w:rsidRPr="008B619A">
        <w:rPr>
          <w:rFonts w:hAnsi="標楷體" w:hint="eastAsia"/>
          <w:color w:val="000000" w:themeColor="text1"/>
          <w:szCs w:val="32"/>
        </w:rPr>
        <w:t>」</w:t>
      </w:r>
      <w:r w:rsidR="00A70C1F" w:rsidRPr="008B619A">
        <w:rPr>
          <w:rFonts w:hAnsi="標楷體" w:hint="eastAsia"/>
          <w:color w:val="000000" w:themeColor="text1"/>
          <w:szCs w:val="32"/>
        </w:rPr>
        <w:t>及「</w:t>
      </w:r>
      <w:r w:rsidR="00A70C1F" w:rsidRPr="008B619A">
        <w:rPr>
          <w:rFonts w:ascii="Times New Roman" w:hAnsi="Times New Roman"/>
          <w:color w:val="000000" w:themeColor="text1"/>
          <w:szCs w:val="32"/>
        </w:rPr>
        <w:t>因為博士班的名額調控必須</w:t>
      </w:r>
      <w:r w:rsidR="00A70C1F" w:rsidRPr="008B619A">
        <w:rPr>
          <w:rFonts w:ascii="Times New Roman" w:hAnsi="Times New Roman"/>
          <w:color w:val="000000" w:themeColor="text1"/>
          <w:szCs w:val="32"/>
        </w:rPr>
        <w:t>2</w:t>
      </w:r>
      <w:r w:rsidR="00A70C1F" w:rsidRPr="008B619A">
        <w:rPr>
          <w:rFonts w:ascii="Times New Roman" w:hAnsi="Times New Roman"/>
          <w:color w:val="000000" w:themeColor="text1"/>
          <w:szCs w:val="32"/>
        </w:rPr>
        <w:t>年前就要提報，調控速度來不及</w:t>
      </w:r>
      <w:r w:rsidR="00FA0580" w:rsidRPr="008B619A">
        <w:rPr>
          <w:rFonts w:ascii="Times New Roman" w:hAnsi="Times New Roman" w:hint="eastAsia"/>
          <w:color w:val="000000" w:themeColor="text1"/>
          <w:szCs w:val="32"/>
        </w:rPr>
        <w:t>……</w:t>
      </w:r>
      <w:r w:rsidR="00A70C1F" w:rsidRPr="008B619A">
        <w:rPr>
          <w:rFonts w:hAnsi="標楷體" w:hint="eastAsia"/>
          <w:color w:val="000000" w:themeColor="text1"/>
          <w:szCs w:val="32"/>
        </w:rPr>
        <w:t>」</w:t>
      </w:r>
      <w:r w:rsidR="000E7329" w:rsidRPr="008B619A">
        <w:rPr>
          <w:rFonts w:hAnsi="標楷體" w:hint="eastAsia"/>
          <w:color w:val="000000" w:themeColor="text1"/>
          <w:szCs w:val="32"/>
        </w:rPr>
        <w:t>等語</w:t>
      </w:r>
      <w:r w:rsidR="00CF1B0D" w:rsidRPr="008B619A">
        <w:rPr>
          <w:rFonts w:hAnsi="標楷體" w:hint="eastAsia"/>
          <w:color w:val="000000" w:themeColor="text1"/>
          <w:szCs w:val="32"/>
        </w:rPr>
        <w:t>可參</w:t>
      </w:r>
      <w:r w:rsidR="000E7329" w:rsidRPr="008B619A">
        <w:rPr>
          <w:rFonts w:hAnsi="標楷體" w:hint="eastAsia"/>
          <w:color w:val="000000" w:themeColor="text1"/>
          <w:szCs w:val="32"/>
        </w:rPr>
        <w:t>，</w:t>
      </w:r>
      <w:r w:rsidR="00C10C83" w:rsidRPr="008B619A">
        <w:rPr>
          <w:rFonts w:hAnsi="標楷體" w:hint="eastAsia"/>
          <w:color w:val="000000" w:themeColor="text1"/>
          <w:szCs w:val="32"/>
        </w:rPr>
        <w:t>洵</w:t>
      </w:r>
      <w:r w:rsidR="00CF1B0D" w:rsidRPr="008B619A">
        <w:rPr>
          <w:rFonts w:hAnsi="標楷體" w:hint="eastAsia"/>
          <w:color w:val="000000" w:themeColor="text1"/>
          <w:szCs w:val="32"/>
        </w:rPr>
        <w:t>認</w:t>
      </w:r>
      <w:r w:rsidR="00B631BE" w:rsidRPr="008B619A">
        <w:rPr>
          <w:rFonts w:hAnsi="標楷體" w:hint="eastAsia"/>
          <w:color w:val="000000" w:themeColor="text1"/>
          <w:szCs w:val="32"/>
        </w:rPr>
        <w:t>實務面亦有改善空間，</w:t>
      </w:r>
      <w:r w:rsidR="00AE56EA" w:rsidRPr="008B619A">
        <w:rPr>
          <w:rFonts w:hAnsi="標楷體" w:hint="eastAsia"/>
          <w:color w:val="000000" w:themeColor="text1"/>
          <w:szCs w:val="32"/>
        </w:rPr>
        <w:t>後續</w:t>
      </w:r>
      <w:r w:rsidR="00FA5CB6" w:rsidRPr="008B619A">
        <w:rPr>
          <w:rFonts w:hAnsi="標楷體" w:hint="eastAsia"/>
          <w:color w:val="000000" w:themeColor="text1"/>
          <w:szCs w:val="32"/>
        </w:rPr>
        <w:t>主管機關</w:t>
      </w:r>
      <w:r w:rsidR="00D1334C" w:rsidRPr="008B619A">
        <w:rPr>
          <w:rFonts w:hAnsi="標楷體" w:hint="eastAsia"/>
          <w:color w:val="000000" w:themeColor="text1"/>
          <w:szCs w:val="32"/>
        </w:rPr>
        <w:t>允</w:t>
      </w:r>
      <w:r w:rsidR="00B631BE" w:rsidRPr="008B619A">
        <w:rPr>
          <w:rFonts w:hAnsi="標楷體" w:hint="eastAsia"/>
          <w:color w:val="000000" w:themeColor="text1"/>
          <w:szCs w:val="32"/>
        </w:rPr>
        <w:t>宜</w:t>
      </w:r>
      <w:r w:rsidR="00D1334C" w:rsidRPr="008B619A">
        <w:rPr>
          <w:rFonts w:hAnsi="標楷體" w:hint="eastAsia"/>
          <w:color w:val="000000" w:themeColor="text1"/>
          <w:szCs w:val="32"/>
        </w:rPr>
        <w:t>多方</w:t>
      </w:r>
      <w:r w:rsidR="00AE56EA" w:rsidRPr="008B619A">
        <w:rPr>
          <w:rFonts w:hAnsi="標楷體" w:hint="eastAsia"/>
          <w:color w:val="000000" w:themeColor="text1"/>
          <w:szCs w:val="32"/>
        </w:rPr>
        <w:t>研析</w:t>
      </w:r>
      <w:r w:rsidR="00E46B76" w:rsidRPr="008B619A">
        <w:rPr>
          <w:rFonts w:hAnsi="標楷體" w:hint="eastAsia"/>
          <w:color w:val="000000" w:themeColor="text1"/>
          <w:szCs w:val="32"/>
        </w:rPr>
        <w:t>斟酌</w:t>
      </w:r>
      <w:r w:rsidR="00250AF0" w:rsidRPr="008B619A">
        <w:rPr>
          <w:rFonts w:hAnsi="標楷體" w:hint="eastAsia"/>
          <w:color w:val="000000" w:themeColor="text1"/>
          <w:szCs w:val="32"/>
        </w:rPr>
        <w:t>。</w:t>
      </w:r>
    </w:p>
    <w:p w14:paraId="1429F352" w14:textId="2A73E4F1" w:rsidR="00852E54" w:rsidRPr="008B619A" w:rsidRDefault="00C514C7" w:rsidP="006400F0">
      <w:pPr>
        <w:pStyle w:val="3"/>
        <w:ind w:left="1360" w:hanging="680"/>
        <w:rPr>
          <w:color w:val="000000" w:themeColor="text1"/>
        </w:rPr>
      </w:pPr>
      <w:r w:rsidRPr="008B619A">
        <w:rPr>
          <w:rFonts w:hint="eastAsia"/>
          <w:bCs w:val="0"/>
          <w:color w:val="000000" w:themeColor="text1"/>
        </w:rPr>
        <w:t>深究此項議題，</w:t>
      </w:r>
      <w:r w:rsidR="008F194D" w:rsidRPr="008B619A">
        <w:rPr>
          <w:rFonts w:hint="eastAsia"/>
          <w:bCs w:val="0"/>
          <w:color w:val="000000" w:themeColor="text1"/>
        </w:rPr>
        <w:t>涉及政府及社會共識，爰依</w:t>
      </w:r>
      <w:r w:rsidRPr="008B619A">
        <w:rPr>
          <w:rFonts w:hint="eastAsia"/>
          <w:bCs w:val="0"/>
          <w:color w:val="000000" w:themeColor="text1"/>
        </w:rPr>
        <w:t>本案蒐整學者意見</w:t>
      </w:r>
      <w:r w:rsidR="004D1336" w:rsidRPr="008B619A">
        <w:rPr>
          <w:rFonts w:hint="eastAsia"/>
          <w:bCs w:val="0"/>
          <w:color w:val="000000" w:themeColor="text1"/>
        </w:rPr>
        <w:t>指出</w:t>
      </w:r>
      <w:r w:rsidR="00C75650" w:rsidRPr="008B619A">
        <w:rPr>
          <w:rFonts w:hint="eastAsia"/>
          <w:bCs w:val="0"/>
          <w:color w:val="000000" w:themeColor="text1"/>
        </w:rPr>
        <w:t>，</w:t>
      </w:r>
      <w:r w:rsidRPr="008B619A">
        <w:rPr>
          <w:rFonts w:hAnsi="標楷體" w:hint="eastAsia"/>
          <w:bCs w:val="0"/>
          <w:color w:val="000000" w:themeColor="text1"/>
        </w:rPr>
        <w:t>「</w:t>
      </w:r>
      <w:r w:rsidRPr="008B619A">
        <w:rPr>
          <w:rFonts w:hint="eastAsia"/>
          <w:bCs w:val="0"/>
          <w:color w:val="000000" w:themeColor="text1"/>
        </w:rPr>
        <w:t>政府及學術界如欲嚴肅面對高教問題，應需認真考慮擬定一份</w:t>
      </w:r>
      <w:r w:rsidRPr="008B619A">
        <w:rPr>
          <w:rFonts w:hAnsi="標楷體" w:hint="eastAsia"/>
          <w:bCs w:val="0"/>
          <w:color w:val="000000" w:themeColor="text1"/>
        </w:rPr>
        <w:t>『</w:t>
      </w:r>
      <w:r w:rsidRPr="008B619A">
        <w:rPr>
          <w:rFonts w:hint="eastAsia"/>
          <w:bCs w:val="0"/>
          <w:color w:val="000000" w:themeColor="text1"/>
        </w:rPr>
        <w:t>高教白皮書</w:t>
      </w:r>
      <w:r w:rsidRPr="008B619A">
        <w:rPr>
          <w:rFonts w:hAnsi="標楷體" w:hint="eastAsia"/>
          <w:bCs w:val="0"/>
          <w:color w:val="000000" w:themeColor="text1"/>
        </w:rPr>
        <w:t>』</w:t>
      </w:r>
      <w:r w:rsidRPr="008B619A">
        <w:rPr>
          <w:rFonts w:hint="eastAsia"/>
          <w:bCs w:val="0"/>
          <w:color w:val="000000" w:themeColor="text1"/>
        </w:rPr>
        <w:t>，關照高教各面向的</w:t>
      </w:r>
      <w:r w:rsidR="00AE072E" w:rsidRPr="008B619A">
        <w:rPr>
          <w:rFonts w:hint="eastAsia"/>
          <w:bCs w:val="0"/>
          <w:color w:val="000000" w:themeColor="text1"/>
        </w:rPr>
        <w:t>20-30</w:t>
      </w:r>
      <w:r w:rsidRPr="008B619A">
        <w:rPr>
          <w:rFonts w:hint="eastAsia"/>
          <w:bCs w:val="0"/>
          <w:color w:val="000000" w:themeColor="text1"/>
        </w:rPr>
        <w:t>年發展藍圖，同時規劃如何</w:t>
      </w:r>
      <w:r w:rsidRPr="008B619A">
        <w:rPr>
          <w:rFonts w:hAnsi="標楷體" w:hint="eastAsia"/>
          <w:bCs w:val="0"/>
          <w:color w:val="000000" w:themeColor="text1"/>
        </w:rPr>
        <w:t>『</w:t>
      </w:r>
      <w:r w:rsidRPr="008B619A">
        <w:rPr>
          <w:rFonts w:hint="eastAsia"/>
          <w:bCs w:val="0"/>
          <w:color w:val="000000" w:themeColor="text1"/>
        </w:rPr>
        <w:t>逐一</w:t>
      </w:r>
      <w:r w:rsidRPr="008B619A">
        <w:rPr>
          <w:rFonts w:hAnsi="標楷體" w:hint="eastAsia"/>
          <w:bCs w:val="0"/>
          <w:color w:val="000000" w:themeColor="text1"/>
        </w:rPr>
        <w:t>』『</w:t>
      </w:r>
      <w:r w:rsidRPr="008B619A">
        <w:rPr>
          <w:rFonts w:hint="eastAsia"/>
          <w:bCs w:val="0"/>
          <w:color w:val="000000" w:themeColor="text1"/>
        </w:rPr>
        <w:t>具體</w:t>
      </w:r>
      <w:r w:rsidRPr="008B619A">
        <w:rPr>
          <w:rFonts w:hAnsi="標楷體" w:hint="eastAsia"/>
          <w:bCs w:val="0"/>
          <w:color w:val="000000" w:themeColor="text1"/>
        </w:rPr>
        <w:t>』</w:t>
      </w:r>
      <w:r w:rsidRPr="008B619A">
        <w:rPr>
          <w:rFonts w:hint="eastAsia"/>
          <w:bCs w:val="0"/>
          <w:color w:val="000000" w:themeColor="text1"/>
        </w:rPr>
        <w:t>解決已迫在眉睫的諸多問題</w:t>
      </w:r>
      <w:r w:rsidRPr="008B619A">
        <w:rPr>
          <w:rFonts w:ascii="新細明體" w:eastAsia="新細明體" w:hAnsi="新細明體" w:cs="新細明體"/>
          <w:color w:val="000000" w:themeColor="text1"/>
        </w:rPr>
        <w:t>……</w:t>
      </w:r>
      <w:r w:rsidRPr="008B619A">
        <w:rPr>
          <w:rFonts w:ascii="新細明體" w:eastAsia="新細明體" w:hAnsi="新細明體" w:cs="新細明體" w:hint="eastAsia"/>
          <w:color w:val="000000" w:themeColor="text1"/>
        </w:rPr>
        <w:t>」</w:t>
      </w:r>
      <w:r w:rsidRPr="008B619A">
        <w:rPr>
          <w:rFonts w:hint="eastAsia"/>
          <w:bCs w:val="0"/>
          <w:color w:val="000000" w:themeColor="text1"/>
        </w:rPr>
        <w:t>。另</w:t>
      </w:r>
      <w:r w:rsidRPr="008B619A">
        <w:rPr>
          <w:rFonts w:hint="eastAsia"/>
          <w:bCs w:val="0"/>
          <w:color w:val="000000" w:themeColor="text1"/>
        </w:rPr>
        <w:lastRenderedPageBreak/>
        <w:t>參考學者文章</w:t>
      </w:r>
      <w:r w:rsidR="00AE072E" w:rsidRPr="008B619A">
        <w:rPr>
          <w:rFonts w:hint="eastAsia"/>
          <w:bCs w:val="0"/>
          <w:color w:val="000000" w:themeColor="text1"/>
        </w:rPr>
        <w:t>復指出</w:t>
      </w:r>
      <w:r w:rsidRPr="008B619A">
        <w:rPr>
          <w:rStyle w:val="aff1"/>
          <w:bCs w:val="0"/>
          <w:color w:val="000000" w:themeColor="text1"/>
        </w:rPr>
        <w:footnoteReference w:id="17"/>
      </w:r>
      <w:r w:rsidRPr="008B619A">
        <w:rPr>
          <w:rFonts w:hint="eastAsia"/>
          <w:bCs w:val="0"/>
          <w:color w:val="000000" w:themeColor="text1"/>
        </w:rPr>
        <w:t>，</w:t>
      </w:r>
      <w:r w:rsidRPr="008B619A">
        <w:rPr>
          <w:rFonts w:hAnsi="標楷體" w:hint="eastAsia"/>
          <w:bCs w:val="0"/>
          <w:color w:val="000000" w:themeColor="text1"/>
        </w:rPr>
        <w:t>「建議即刻召開『高教國是會議』，討論於短期間內，具體解決必要大學退場、教職員資遣、高教師資老化、大學生普遍學習態度鬆懈怠惰、博士生及博士後研究員出路壅塞、博士班教育面臨斷炊，等等攸關國運與來日國民福祉（如青年就業、老年安養）的嚴峻課題</w:t>
      </w:r>
      <w:r w:rsidRPr="008B619A">
        <w:rPr>
          <w:rFonts w:hAnsi="標楷體"/>
          <w:bCs w:val="0"/>
          <w:color w:val="000000" w:themeColor="text1"/>
        </w:rPr>
        <w:t>……</w:t>
      </w:r>
      <w:r w:rsidRPr="008B619A">
        <w:rPr>
          <w:rFonts w:hAnsi="標楷體" w:hint="eastAsia"/>
          <w:bCs w:val="0"/>
          <w:color w:val="000000" w:themeColor="text1"/>
        </w:rPr>
        <w:t>」及「</w:t>
      </w:r>
      <w:r w:rsidRPr="008B619A">
        <w:rPr>
          <w:rFonts w:hAnsi="標楷體"/>
          <w:bCs w:val="0"/>
          <w:color w:val="000000" w:themeColor="text1"/>
        </w:rPr>
        <w:t>新冠肺炎（COVID-19）疫情過後，全世界的高教景象必定與疫情之前的高教景象大異，如何積極解決台灣高教眼前的迫切困境，同時思考、規劃，和開創未來的高教走向，此正其時</w:t>
      </w:r>
      <w:r w:rsidRPr="008B619A">
        <w:rPr>
          <w:rFonts w:hAnsi="標楷體" w:hint="eastAsia"/>
          <w:bCs w:val="0"/>
          <w:color w:val="000000" w:themeColor="text1"/>
        </w:rPr>
        <w:t>」等語</w:t>
      </w:r>
      <w:r w:rsidR="00852E54" w:rsidRPr="008B619A">
        <w:rPr>
          <w:rFonts w:hAnsi="標楷體" w:hint="eastAsia"/>
          <w:bCs w:val="0"/>
          <w:color w:val="000000" w:themeColor="text1"/>
        </w:rPr>
        <w:t>，均</w:t>
      </w:r>
      <w:r w:rsidR="002D26FB" w:rsidRPr="008B619A">
        <w:rPr>
          <w:rFonts w:hAnsi="標楷體" w:hint="eastAsia"/>
          <w:bCs w:val="0"/>
          <w:color w:val="000000" w:themeColor="text1"/>
        </w:rPr>
        <w:t>值</w:t>
      </w:r>
      <w:r w:rsidR="00852E54" w:rsidRPr="008B619A">
        <w:rPr>
          <w:rFonts w:hAnsi="標楷體" w:hint="eastAsia"/>
          <w:bCs w:val="0"/>
          <w:color w:val="000000" w:themeColor="text1"/>
        </w:rPr>
        <w:t>參採</w:t>
      </w:r>
      <w:r w:rsidRPr="008B619A">
        <w:rPr>
          <w:rFonts w:hAnsi="標楷體" w:hint="eastAsia"/>
          <w:bCs w:val="0"/>
          <w:color w:val="000000" w:themeColor="text1"/>
        </w:rPr>
        <w:t>。</w:t>
      </w:r>
    </w:p>
    <w:p w14:paraId="13C77EB7" w14:textId="0EF2D033" w:rsidR="00D7108D" w:rsidRPr="008B619A" w:rsidRDefault="00C514C7" w:rsidP="006400F0">
      <w:pPr>
        <w:pStyle w:val="3"/>
        <w:ind w:left="1360" w:hanging="680"/>
        <w:rPr>
          <w:color w:val="000000" w:themeColor="text1"/>
        </w:rPr>
      </w:pPr>
      <w:r w:rsidRPr="008B619A">
        <w:rPr>
          <w:rFonts w:hint="eastAsia"/>
          <w:color w:val="000000" w:themeColor="text1"/>
        </w:rPr>
        <w:t>此外，</w:t>
      </w:r>
      <w:r w:rsidR="00C000B9" w:rsidRPr="008B619A">
        <w:rPr>
          <w:rFonts w:hint="eastAsia"/>
          <w:color w:val="000000" w:themeColor="text1"/>
        </w:rPr>
        <w:t>過去</w:t>
      </w:r>
      <w:r w:rsidR="001305A5" w:rsidRPr="008B619A">
        <w:rPr>
          <w:rFonts w:hint="eastAsia"/>
          <w:color w:val="000000" w:themeColor="text1"/>
        </w:rPr>
        <w:t>如</w:t>
      </w:r>
      <w:r w:rsidR="00670B75" w:rsidRPr="008B619A">
        <w:rPr>
          <w:rFonts w:hint="eastAsia"/>
          <w:color w:val="000000" w:themeColor="text1"/>
        </w:rPr>
        <w:t>全國教育會議的召開，旨在結合國內外專家學者的智慧，以及實際從事教育工作者的經驗，群策群力，共同檢討國家教育政策與措施，策訂國家教育發展方向與方案。</w:t>
      </w:r>
      <w:r w:rsidR="009F4A7E" w:rsidRPr="008B619A">
        <w:rPr>
          <w:rFonts w:hint="eastAsia"/>
          <w:color w:val="000000" w:themeColor="text1"/>
        </w:rPr>
        <w:t>我國歷年來政府召開的全國教育會議</w:t>
      </w:r>
      <w:r w:rsidR="00B06E19" w:rsidRPr="008B619A">
        <w:rPr>
          <w:rFonts w:hint="eastAsia"/>
          <w:color w:val="000000" w:themeColor="text1"/>
        </w:rPr>
        <w:t>，</w:t>
      </w:r>
      <w:r w:rsidR="009F4A7E" w:rsidRPr="008B619A">
        <w:rPr>
          <w:rFonts w:hint="eastAsia"/>
          <w:color w:val="000000" w:themeColor="text1"/>
        </w:rPr>
        <w:t>各有其不同的時代背景與任務</w:t>
      </w:r>
      <w:r w:rsidR="003937FF" w:rsidRPr="008B619A">
        <w:rPr>
          <w:rStyle w:val="aff1"/>
          <w:color w:val="000000" w:themeColor="text1"/>
        </w:rPr>
        <w:footnoteReference w:id="18"/>
      </w:r>
      <w:r w:rsidR="00475F3E" w:rsidRPr="008B619A">
        <w:rPr>
          <w:rFonts w:hint="eastAsia"/>
          <w:color w:val="000000" w:themeColor="text1"/>
        </w:rPr>
        <w:t>。</w:t>
      </w:r>
      <w:r w:rsidR="004D23BF" w:rsidRPr="008B619A">
        <w:rPr>
          <w:rFonts w:hint="eastAsia"/>
          <w:color w:val="000000" w:themeColor="text1"/>
        </w:rPr>
        <w:t>經查，</w:t>
      </w:r>
      <w:r w:rsidR="00651E17" w:rsidRPr="008B619A">
        <w:rPr>
          <w:rFonts w:hint="eastAsia"/>
          <w:color w:val="000000" w:themeColor="text1"/>
        </w:rPr>
        <w:t>99年8月28至29日</w:t>
      </w:r>
      <w:r w:rsidR="002702A9" w:rsidRPr="008B619A">
        <w:rPr>
          <w:rFonts w:hint="eastAsia"/>
          <w:color w:val="000000" w:themeColor="text1"/>
        </w:rPr>
        <w:t>，</w:t>
      </w:r>
      <w:r w:rsidR="00651E17" w:rsidRPr="008B619A">
        <w:rPr>
          <w:rFonts w:hint="eastAsia"/>
          <w:color w:val="000000" w:themeColor="text1"/>
        </w:rPr>
        <w:t>第8次全國教育會議</w:t>
      </w:r>
      <w:r w:rsidR="0069326A" w:rsidRPr="008B619A">
        <w:rPr>
          <w:rFonts w:hint="eastAsia"/>
          <w:color w:val="000000" w:themeColor="text1"/>
        </w:rPr>
        <w:t>於國家圖書館召開</w:t>
      </w:r>
      <w:r w:rsidR="009F2F4A" w:rsidRPr="008B619A">
        <w:rPr>
          <w:rStyle w:val="aff1"/>
          <w:color w:val="000000" w:themeColor="text1"/>
        </w:rPr>
        <w:footnoteReference w:id="19"/>
      </w:r>
      <w:r w:rsidR="00277A72" w:rsidRPr="008B619A">
        <w:rPr>
          <w:rFonts w:hint="eastAsia"/>
          <w:color w:val="000000" w:themeColor="text1"/>
        </w:rPr>
        <w:t>，</w:t>
      </w:r>
      <w:r w:rsidR="00D06EF3" w:rsidRPr="008B619A">
        <w:rPr>
          <w:rFonts w:hint="eastAsia"/>
          <w:color w:val="000000" w:themeColor="text1"/>
        </w:rPr>
        <w:t>迄今</w:t>
      </w:r>
      <w:r w:rsidR="003937FF" w:rsidRPr="008B619A">
        <w:rPr>
          <w:rFonts w:hint="eastAsia"/>
          <w:color w:val="000000" w:themeColor="text1"/>
        </w:rPr>
        <w:t>已逾10年未</w:t>
      </w:r>
      <w:r w:rsidR="00AD3988" w:rsidRPr="008B619A">
        <w:rPr>
          <w:rFonts w:hint="eastAsia"/>
          <w:color w:val="000000" w:themeColor="text1"/>
        </w:rPr>
        <w:t>召開</w:t>
      </w:r>
      <w:r w:rsidR="003937FF" w:rsidRPr="008B619A">
        <w:rPr>
          <w:rFonts w:hint="eastAsia"/>
          <w:color w:val="000000" w:themeColor="text1"/>
        </w:rPr>
        <w:t>全國教育會議</w:t>
      </w:r>
      <w:r w:rsidR="00AD3988" w:rsidRPr="008B619A">
        <w:rPr>
          <w:rFonts w:hint="eastAsia"/>
          <w:color w:val="000000" w:themeColor="text1"/>
        </w:rPr>
        <w:t>層級之討論</w:t>
      </w:r>
      <w:r w:rsidR="002B2C54" w:rsidRPr="008B619A">
        <w:rPr>
          <w:rFonts w:hint="eastAsia"/>
          <w:color w:val="000000" w:themeColor="text1"/>
        </w:rPr>
        <w:t>，</w:t>
      </w:r>
      <w:r w:rsidR="00AD3988" w:rsidRPr="008B619A">
        <w:rPr>
          <w:rFonts w:hint="eastAsia"/>
          <w:color w:val="000000" w:themeColor="text1"/>
        </w:rPr>
        <w:t>匯集共識，</w:t>
      </w:r>
      <w:r w:rsidR="002B2C54" w:rsidRPr="008B619A">
        <w:rPr>
          <w:rFonts w:hint="eastAsia"/>
          <w:color w:val="000000" w:themeColor="text1"/>
        </w:rPr>
        <w:t>或</w:t>
      </w:r>
      <w:r w:rsidR="00AD3988" w:rsidRPr="008B619A">
        <w:rPr>
          <w:rFonts w:hint="eastAsia"/>
          <w:color w:val="000000" w:themeColor="text1"/>
        </w:rPr>
        <w:t>據以</w:t>
      </w:r>
      <w:r w:rsidR="003937FF" w:rsidRPr="008B619A">
        <w:rPr>
          <w:color w:val="000000" w:themeColor="text1"/>
        </w:rPr>
        <w:t>研訂</w:t>
      </w:r>
      <w:r w:rsidR="003937FF" w:rsidRPr="008B619A">
        <w:rPr>
          <w:rFonts w:hint="eastAsia"/>
          <w:color w:val="000000" w:themeColor="text1"/>
        </w:rPr>
        <w:t>高教政策白皮書</w:t>
      </w:r>
      <w:r w:rsidR="00277A72" w:rsidRPr="008B619A">
        <w:rPr>
          <w:rFonts w:hint="eastAsia"/>
          <w:color w:val="000000" w:themeColor="text1"/>
        </w:rPr>
        <w:t>。</w:t>
      </w:r>
      <w:r w:rsidR="00406603" w:rsidRPr="008B619A">
        <w:rPr>
          <w:rFonts w:hint="eastAsia"/>
          <w:color w:val="000000" w:themeColor="text1"/>
        </w:rPr>
        <w:t>對於現今高等教育在</w:t>
      </w:r>
      <w:r w:rsidR="007A0472" w:rsidRPr="008B619A">
        <w:rPr>
          <w:rFonts w:hint="eastAsia"/>
          <w:color w:val="000000" w:themeColor="text1"/>
        </w:rPr>
        <w:t>國內外情勢發展已有諸多改變，</w:t>
      </w:r>
      <w:r w:rsidR="00987B2E" w:rsidRPr="008B619A">
        <w:rPr>
          <w:rFonts w:hint="eastAsia"/>
          <w:color w:val="000000" w:themeColor="text1"/>
        </w:rPr>
        <w:t>究竟</w:t>
      </w:r>
      <w:bookmarkStart w:id="63" w:name="_Toc59803658"/>
      <w:r w:rsidR="006129D0" w:rsidRPr="008B619A">
        <w:rPr>
          <w:rFonts w:hint="eastAsia"/>
          <w:color w:val="000000" w:themeColor="text1"/>
        </w:rPr>
        <w:t>博士培育及就業之發展和政策引導，各領域及產業結構存在差距，</w:t>
      </w:r>
      <w:r w:rsidR="00C17C0D" w:rsidRPr="008B619A">
        <w:rPr>
          <w:rFonts w:hint="eastAsia"/>
          <w:color w:val="000000" w:themeColor="text1"/>
        </w:rPr>
        <w:t>如何解決及創新，</w:t>
      </w:r>
      <w:r w:rsidR="00351DFC" w:rsidRPr="008B619A">
        <w:rPr>
          <w:rFonts w:hint="eastAsia"/>
          <w:color w:val="000000" w:themeColor="text1"/>
        </w:rPr>
        <w:t>均待政府及各界共識之形成。</w:t>
      </w:r>
      <w:r w:rsidR="00D7108D" w:rsidRPr="008B619A">
        <w:rPr>
          <w:rFonts w:hint="eastAsia"/>
          <w:color w:val="000000" w:themeColor="text1"/>
        </w:rPr>
        <w:t>爰</w:t>
      </w:r>
      <w:r w:rsidR="00F639E0" w:rsidRPr="008B619A">
        <w:rPr>
          <w:rFonts w:hint="eastAsia"/>
          <w:color w:val="000000" w:themeColor="text1"/>
        </w:rPr>
        <w:t>未來</w:t>
      </w:r>
      <w:r w:rsidR="00437D23" w:rsidRPr="008B619A">
        <w:rPr>
          <w:rFonts w:hint="eastAsia"/>
          <w:color w:val="000000" w:themeColor="text1"/>
        </w:rPr>
        <w:t>允宜再</w:t>
      </w:r>
      <w:r w:rsidR="002523BC" w:rsidRPr="008B619A">
        <w:rPr>
          <w:rFonts w:hint="eastAsia"/>
          <w:color w:val="000000" w:themeColor="text1"/>
        </w:rPr>
        <w:t>匯集共識，以</w:t>
      </w:r>
      <w:r w:rsidR="00D7108D" w:rsidRPr="008B619A">
        <w:rPr>
          <w:rFonts w:hint="eastAsia"/>
          <w:color w:val="000000" w:themeColor="text1"/>
        </w:rPr>
        <w:t>強化國內博士班畢業之進路及有效吸引優秀人才攻讀博士，避免學研人才及研發能量之斷層，創造國際競才優勢，仍為我國高教體系培育人才</w:t>
      </w:r>
      <w:r w:rsidR="00212252" w:rsidRPr="008B619A">
        <w:rPr>
          <w:rFonts w:hint="eastAsia"/>
          <w:color w:val="000000" w:themeColor="text1"/>
        </w:rPr>
        <w:t>急迫</w:t>
      </w:r>
      <w:r w:rsidR="00D7108D" w:rsidRPr="008B619A">
        <w:rPr>
          <w:rFonts w:hint="eastAsia"/>
          <w:color w:val="000000" w:themeColor="text1"/>
        </w:rPr>
        <w:t>課題</w:t>
      </w:r>
      <w:r w:rsidR="002C70BE" w:rsidRPr="008B619A">
        <w:rPr>
          <w:rFonts w:hint="eastAsia"/>
          <w:color w:val="000000" w:themeColor="text1"/>
        </w:rPr>
        <w:t>。</w:t>
      </w:r>
    </w:p>
    <w:p w14:paraId="15C4102C" w14:textId="2241AAF6" w:rsidR="007513E3" w:rsidRPr="008B619A" w:rsidRDefault="00A35AB6" w:rsidP="00FE5118">
      <w:pPr>
        <w:pStyle w:val="3"/>
        <w:rPr>
          <w:color w:val="000000" w:themeColor="text1"/>
        </w:rPr>
      </w:pPr>
      <w:r w:rsidRPr="008B619A">
        <w:rPr>
          <w:rFonts w:hint="eastAsia"/>
          <w:color w:val="000000" w:themeColor="text1"/>
        </w:rPr>
        <w:lastRenderedPageBreak/>
        <w:t>復</w:t>
      </w:r>
      <w:r w:rsidR="007513E3" w:rsidRPr="008B619A">
        <w:rPr>
          <w:rFonts w:hint="eastAsia"/>
          <w:color w:val="000000" w:themeColor="text1"/>
        </w:rPr>
        <w:t>參</w:t>
      </w:r>
      <w:r w:rsidR="00331045" w:rsidRPr="008B619A">
        <w:rPr>
          <w:rFonts w:hAnsi="標楷體" w:hint="eastAsia"/>
          <w:color w:val="000000" w:themeColor="text1"/>
        </w:rPr>
        <w:t>國家教育研究院</w:t>
      </w:r>
      <w:r w:rsidR="00C657BF" w:rsidRPr="008B619A">
        <w:rPr>
          <w:rFonts w:hAnsi="標楷體" w:hint="eastAsia"/>
          <w:color w:val="000000" w:themeColor="text1"/>
        </w:rPr>
        <w:t>之</w:t>
      </w:r>
      <w:r w:rsidR="007513E3" w:rsidRPr="008B619A">
        <w:rPr>
          <w:rFonts w:hint="eastAsia"/>
          <w:color w:val="000000" w:themeColor="text1"/>
        </w:rPr>
        <w:t>國際</w:t>
      </w:r>
      <w:r w:rsidR="005D213B" w:rsidRPr="008B619A">
        <w:rPr>
          <w:rFonts w:hint="eastAsia"/>
          <w:color w:val="000000" w:themeColor="text1"/>
        </w:rPr>
        <w:t>高等教育比較</w:t>
      </w:r>
      <w:r w:rsidR="007513E3" w:rsidRPr="008B619A">
        <w:rPr>
          <w:rFonts w:hint="eastAsia"/>
          <w:color w:val="000000" w:themeColor="text1"/>
        </w:rPr>
        <w:t>研究</w:t>
      </w:r>
      <w:r w:rsidRPr="008B619A">
        <w:rPr>
          <w:rStyle w:val="aff1"/>
          <w:color w:val="000000" w:themeColor="text1"/>
        </w:rPr>
        <w:footnoteReference w:id="20"/>
      </w:r>
      <w:r w:rsidR="007513E3" w:rsidRPr="008B619A">
        <w:rPr>
          <w:rFonts w:hint="eastAsia"/>
          <w:color w:val="000000" w:themeColor="text1"/>
        </w:rPr>
        <w:t>，</w:t>
      </w:r>
      <w:r w:rsidR="001704AE" w:rsidRPr="008B619A">
        <w:rPr>
          <w:rFonts w:hAnsi="標楷體" w:hint="eastAsia"/>
          <w:color w:val="000000" w:themeColor="text1"/>
        </w:rPr>
        <w:t>「</w:t>
      </w:r>
      <w:r w:rsidR="007513E3" w:rsidRPr="008B619A">
        <w:rPr>
          <w:rFonts w:hint="eastAsia"/>
          <w:bCs w:val="0"/>
          <w:color w:val="000000" w:themeColor="text1"/>
        </w:rPr>
        <w:t>法國國家高等教育策略委員會</w:t>
      </w:r>
      <w:r w:rsidR="007C3B37" w:rsidRPr="008B619A">
        <w:rPr>
          <w:rFonts w:hAnsi="標楷體" w:hint="eastAsia"/>
          <w:bCs w:val="0"/>
          <w:color w:val="000000" w:themeColor="text1"/>
        </w:rPr>
        <w:t>（</w:t>
      </w:r>
      <w:r w:rsidR="007513E3" w:rsidRPr="008B619A">
        <w:rPr>
          <w:rFonts w:hint="eastAsia"/>
          <w:bCs w:val="0"/>
          <w:color w:val="000000" w:themeColor="text1"/>
        </w:rPr>
        <w:t>StraNES</w:t>
      </w:r>
      <w:r w:rsidR="007C3B37" w:rsidRPr="008B619A">
        <w:rPr>
          <w:rFonts w:hAnsi="標楷體" w:hint="eastAsia"/>
          <w:bCs w:val="0"/>
          <w:color w:val="000000" w:themeColor="text1"/>
        </w:rPr>
        <w:t>)</w:t>
      </w:r>
      <w:r w:rsidR="007513E3" w:rsidRPr="008B619A">
        <w:rPr>
          <w:rFonts w:hint="eastAsia"/>
          <w:bCs w:val="0"/>
          <w:color w:val="000000" w:themeColor="text1"/>
        </w:rPr>
        <w:t>2015年9月8日提交一份</w:t>
      </w:r>
      <w:r w:rsidR="00B87641" w:rsidRPr="008B619A">
        <w:rPr>
          <w:rFonts w:hAnsi="標楷體" w:hint="eastAsia"/>
          <w:bCs w:val="0"/>
          <w:color w:val="000000" w:themeColor="text1"/>
        </w:rPr>
        <w:t>『</w:t>
      </w:r>
      <w:r w:rsidR="007513E3" w:rsidRPr="008B619A">
        <w:rPr>
          <w:rFonts w:hint="eastAsia"/>
          <w:bCs w:val="0"/>
          <w:color w:val="000000" w:themeColor="text1"/>
        </w:rPr>
        <w:t>法國未來十年高等教育藍圖規劃報告</w:t>
      </w:r>
      <w:r w:rsidR="00B87641" w:rsidRPr="008B619A">
        <w:rPr>
          <w:rFonts w:hAnsi="標楷體" w:hint="eastAsia"/>
          <w:bCs w:val="0"/>
          <w:color w:val="000000" w:themeColor="text1"/>
        </w:rPr>
        <w:t>』</w:t>
      </w:r>
      <w:r w:rsidR="007513E3" w:rsidRPr="008B619A">
        <w:rPr>
          <w:rFonts w:hint="eastAsia"/>
          <w:bCs w:val="0"/>
          <w:color w:val="000000" w:themeColor="text1"/>
        </w:rPr>
        <w:t>，StraNES提議碩士畢業都應具專業外語水準</w:t>
      </w:r>
      <w:r w:rsidR="00003C62" w:rsidRPr="008B619A">
        <w:rPr>
          <w:rFonts w:hint="eastAsia"/>
          <w:bCs w:val="0"/>
          <w:color w:val="000000" w:themeColor="text1"/>
        </w:rPr>
        <w:t>；</w:t>
      </w:r>
      <w:r w:rsidR="007513E3" w:rsidRPr="008B619A">
        <w:rPr>
          <w:rFonts w:hint="eastAsia"/>
          <w:bCs w:val="0"/>
          <w:color w:val="000000" w:themeColor="text1"/>
        </w:rPr>
        <w:t>韓國於2016年發表</w:t>
      </w:r>
      <w:r w:rsidR="00003C62" w:rsidRPr="008B619A">
        <w:rPr>
          <w:rFonts w:hAnsi="標楷體" w:hint="eastAsia"/>
          <w:bCs w:val="0"/>
          <w:color w:val="000000" w:themeColor="text1"/>
        </w:rPr>
        <w:t>『</w:t>
      </w:r>
      <w:r w:rsidR="007513E3" w:rsidRPr="008B619A">
        <w:rPr>
          <w:rFonts w:hint="eastAsia"/>
          <w:bCs w:val="0"/>
          <w:color w:val="000000" w:themeColor="text1"/>
        </w:rPr>
        <w:t>振興特殊外國語5年</w:t>
      </w:r>
      <w:r w:rsidR="006D7D1B" w:rsidRPr="008B619A">
        <w:rPr>
          <w:rFonts w:hAnsi="標楷體" w:hint="eastAsia"/>
          <w:bCs w:val="0"/>
          <w:color w:val="000000" w:themeColor="text1"/>
        </w:rPr>
        <w:t>（</w:t>
      </w:r>
      <w:r w:rsidR="007513E3" w:rsidRPr="008B619A">
        <w:rPr>
          <w:rFonts w:hint="eastAsia"/>
          <w:bCs w:val="0"/>
          <w:color w:val="000000" w:themeColor="text1"/>
        </w:rPr>
        <w:t>17’-21’</w:t>
      </w:r>
      <w:r w:rsidR="006D7D1B" w:rsidRPr="008B619A">
        <w:rPr>
          <w:rFonts w:hAnsi="標楷體" w:hint="eastAsia"/>
          <w:bCs w:val="0"/>
          <w:color w:val="000000" w:themeColor="text1"/>
        </w:rPr>
        <w:t>)</w:t>
      </w:r>
      <w:r w:rsidR="007513E3" w:rsidRPr="008B619A">
        <w:rPr>
          <w:rFonts w:hint="eastAsia"/>
          <w:bCs w:val="0"/>
          <w:color w:val="000000" w:themeColor="text1"/>
        </w:rPr>
        <w:t>基本計畫</w:t>
      </w:r>
      <w:r w:rsidR="00003C62" w:rsidRPr="008B619A">
        <w:rPr>
          <w:rFonts w:hAnsi="標楷體" w:hint="eastAsia"/>
          <w:bCs w:val="0"/>
          <w:color w:val="000000" w:themeColor="text1"/>
        </w:rPr>
        <w:t>』</w:t>
      </w:r>
      <w:r w:rsidR="007513E3" w:rsidRPr="008B619A">
        <w:rPr>
          <w:rFonts w:hint="eastAsia"/>
          <w:bCs w:val="0"/>
          <w:color w:val="000000" w:themeColor="text1"/>
        </w:rPr>
        <w:t>，希望能深化大學課程以培養特殊語系人才，以因應國內企業進出新興市場、國際交流的多變性，與海外創業及就業所需</w:t>
      </w:r>
      <w:r w:rsidR="00AE7E98" w:rsidRPr="008B619A">
        <w:rPr>
          <w:rFonts w:hint="eastAsia"/>
          <w:bCs w:val="0"/>
          <w:color w:val="000000" w:themeColor="text1"/>
        </w:rPr>
        <w:t>；英國於2013年推動為期5年的</w:t>
      </w:r>
      <w:r w:rsidR="004C5E9E" w:rsidRPr="008B619A">
        <w:rPr>
          <w:rFonts w:hAnsi="標楷體" w:hint="eastAsia"/>
          <w:bCs w:val="0"/>
          <w:color w:val="000000" w:themeColor="text1"/>
        </w:rPr>
        <w:t>『</w:t>
      </w:r>
      <w:r w:rsidR="00AE7E98" w:rsidRPr="008B619A">
        <w:rPr>
          <w:rFonts w:hint="eastAsia"/>
          <w:bCs w:val="0"/>
          <w:color w:val="000000" w:themeColor="text1"/>
        </w:rPr>
        <w:t>英國走出去策略</w:t>
      </w:r>
      <w:r w:rsidR="004C5E9E" w:rsidRPr="008B619A">
        <w:rPr>
          <w:rFonts w:hAnsi="標楷體" w:hint="eastAsia"/>
          <w:bCs w:val="0"/>
          <w:color w:val="000000" w:themeColor="text1"/>
        </w:rPr>
        <w:t>』</w:t>
      </w:r>
      <w:r w:rsidR="00AE7E98" w:rsidRPr="008B619A">
        <w:rPr>
          <w:rFonts w:hint="eastAsia"/>
          <w:bCs w:val="0"/>
          <w:color w:val="000000" w:themeColor="text1"/>
        </w:rPr>
        <w:t>(UK Strategy for Outward Mobility)計畫，其願景是在2020年讓26%的大學生有國際移動，包含國際志工、實習、交換學生或留學之經驗。這個計畫更與其他研究機構合作，探討培養國際移動力的優點，並將之宣傳給大專校院學生，增強他們走向世界的意願，同時透過雙年移動力網路(Mobility network)，包括劍橋大學與倫敦大學學院(University College London)在內的</w:t>
      </w:r>
      <w:r w:rsidR="00B773C5" w:rsidRPr="008B619A">
        <w:rPr>
          <w:rFonts w:hint="eastAsia"/>
          <w:bCs w:val="0"/>
          <w:color w:val="000000" w:themeColor="text1"/>
        </w:rPr>
        <w:t>70</w:t>
      </w:r>
      <w:r w:rsidR="00AE7E98" w:rsidRPr="008B619A">
        <w:rPr>
          <w:rFonts w:hint="eastAsia"/>
          <w:bCs w:val="0"/>
          <w:color w:val="000000" w:themeColor="text1"/>
        </w:rPr>
        <w:t>餘所的高等教育機構，讓相關機構學生與教職員有機會交換相關知能與經驗。</w:t>
      </w:r>
      <w:r w:rsidR="001704AE" w:rsidRPr="008B619A">
        <w:rPr>
          <w:rFonts w:hAnsi="標楷體" w:hint="eastAsia"/>
          <w:bCs w:val="0"/>
          <w:color w:val="000000" w:themeColor="text1"/>
        </w:rPr>
        <w:t>」</w:t>
      </w:r>
      <w:r w:rsidR="000B5419" w:rsidRPr="008B619A">
        <w:rPr>
          <w:rFonts w:hAnsi="標楷體" w:hint="eastAsia"/>
          <w:bCs w:val="0"/>
          <w:color w:val="000000" w:themeColor="text1"/>
        </w:rPr>
        <w:t>顯</w:t>
      </w:r>
      <w:r w:rsidR="000B5419" w:rsidRPr="008B619A">
        <w:rPr>
          <w:rFonts w:hint="eastAsia"/>
          <w:bCs w:val="0"/>
          <w:color w:val="000000" w:themeColor="text1"/>
        </w:rPr>
        <w:t>示，</w:t>
      </w:r>
      <w:r w:rsidR="008D6F03" w:rsidRPr="008B619A">
        <w:rPr>
          <w:rFonts w:hint="eastAsia"/>
          <w:bCs w:val="0"/>
          <w:color w:val="000000" w:themeColor="text1"/>
        </w:rPr>
        <w:t>世界</w:t>
      </w:r>
      <w:r w:rsidR="000B5419" w:rsidRPr="008B619A">
        <w:rPr>
          <w:bCs w:val="0"/>
          <w:color w:val="000000" w:themeColor="text1"/>
        </w:rPr>
        <w:t>處在</w:t>
      </w:r>
      <w:r w:rsidR="00EA40CC" w:rsidRPr="008B619A">
        <w:rPr>
          <w:rFonts w:hint="eastAsia"/>
          <w:bCs w:val="0"/>
          <w:color w:val="000000" w:themeColor="text1"/>
        </w:rPr>
        <w:t>全球化及</w:t>
      </w:r>
      <w:r w:rsidR="000B5419" w:rsidRPr="008B619A">
        <w:rPr>
          <w:bCs w:val="0"/>
          <w:color w:val="000000" w:themeColor="text1"/>
        </w:rPr>
        <w:t>知識經濟競爭</w:t>
      </w:r>
      <w:r w:rsidR="008D6F03" w:rsidRPr="008B619A">
        <w:rPr>
          <w:rFonts w:hint="eastAsia"/>
          <w:bCs w:val="0"/>
          <w:color w:val="000000" w:themeColor="text1"/>
        </w:rPr>
        <w:t>之</w:t>
      </w:r>
      <w:r w:rsidR="000B5419" w:rsidRPr="008B619A">
        <w:rPr>
          <w:bCs w:val="0"/>
          <w:color w:val="000000" w:themeColor="text1"/>
        </w:rPr>
        <w:t>激烈趨勢</w:t>
      </w:r>
      <w:r w:rsidR="008D6F03" w:rsidRPr="008B619A">
        <w:rPr>
          <w:rFonts w:hint="eastAsia"/>
          <w:bCs w:val="0"/>
          <w:color w:val="000000" w:themeColor="text1"/>
        </w:rPr>
        <w:t>下</w:t>
      </w:r>
      <w:r w:rsidR="000B5419" w:rsidRPr="008B619A">
        <w:rPr>
          <w:bCs w:val="0"/>
          <w:color w:val="000000" w:themeColor="text1"/>
        </w:rPr>
        <w:t>，</w:t>
      </w:r>
      <w:r w:rsidR="00344220" w:rsidRPr="008B619A">
        <w:rPr>
          <w:rFonts w:hint="eastAsia"/>
          <w:bCs w:val="0"/>
          <w:color w:val="000000" w:themeColor="text1"/>
        </w:rPr>
        <w:t>各國</w:t>
      </w:r>
      <w:r w:rsidR="005F39E8" w:rsidRPr="008B619A">
        <w:rPr>
          <w:rFonts w:hint="eastAsia"/>
          <w:bCs w:val="0"/>
          <w:color w:val="000000" w:themeColor="text1"/>
        </w:rPr>
        <w:t>政府</w:t>
      </w:r>
      <w:r w:rsidR="008D6F03" w:rsidRPr="008B619A">
        <w:rPr>
          <w:rFonts w:hint="eastAsia"/>
          <w:bCs w:val="0"/>
          <w:color w:val="000000" w:themeColor="text1"/>
        </w:rPr>
        <w:t>無不</w:t>
      </w:r>
      <w:r w:rsidR="00520479" w:rsidRPr="008B619A">
        <w:rPr>
          <w:rFonts w:hint="eastAsia"/>
          <w:bCs w:val="0"/>
          <w:color w:val="000000" w:themeColor="text1"/>
        </w:rPr>
        <w:t>致力</w:t>
      </w:r>
      <w:r w:rsidR="001C2AF9" w:rsidRPr="008B619A">
        <w:rPr>
          <w:rFonts w:hint="eastAsia"/>
          <w:bCs w:val="0"/>
          <w:color w:val="000000" w:themeColor="text1"/>
        </w:rPr>
        <w:t>透過各項措施</w:t>
      </w:r>
      <w:r w:rsidR="005F39E8" w:rsidRPr="008B619A">
        <w:rPr>
          <w:rFonts w:hint="eastAsia"/>
          <w:bCs w:val="0"/>
          <w:color w:val="000000" w:themeColor="text1"/>
        </w:rPr>
        <w:t>強化高教</w:t>
      </w:r>
      <w:r w:rsidR="000B5419" w:rsidRPr="008B619A">
        <w:rPr>
          <w:bCs w:val="0"/>
          <w:color w:val="000000" w:themeColor="text1"/>
        </w:rPr>
        <w:t>競爭力</w:t>
      </w:r>
      <w:r w:rsidR="00004375" w:rsidRPr="008B619A">
        <w:rPr>
          <w:rFonts w:hint="eastAsia"/>
          <w:bCs w:val="0"/>
          <w:color w:val="000000" w:themeColor="text1"/>
        </w:rPr>
        <w:t>，我國</w:t>
      </w:r>
      <w:r w:rsidR="00805C15" w:rsidRPr="008B619A">
        <w:rPr>
          <w:rFonts w:hint="eastAsia"/>
          <w:bCs w:val="0"/>
          <w:color w:val="000000" w:themeColor="text1"/>
        </w:rPr>
        <w:t>亦</w:t>
      </w:r>
      <w:r w:rsidR="00855A7A" w:rsidRPr="008B619A">
        <w:rPr>
          <w:rFonts w:hint="eastAsia"/>
          <w:bCs w:val="0"/>
          <w:color w:val="000000" w:themeColor="text1"/>
        </w:rPr>
        <w:t>難</w:t>
      </w:r>
      <w:r w:rsidR="009F361B" w:rsidRPr="008B619A">
        <w:rPr>
          <w:rFonts w:hint="eastAsia"/>
          <w:bCs w:val="0"/>
          <w:color w:val="000000" w:themeColor="text1"/>
        </w:rPr>
        <w:t>置身事外</w:t>
      </w:r>
      <w:r w:rsidR="000B5419" w:rsidRPr="008B619A">
        <w:rPr>
          <w:bCs w:val="0"/>
          <w:color w:val="000000" w:themeColor="text1"/>
        </w:rPr>
        <w:t>。</w:t>
      </w:r>
    </w:p>
    <w:bookmarkEnd w:id="63"/>
    <w:p w14:paraId="61A2FBC4" w14:textId="299C3EF1" w:rsidR="00D53625" w:rsidRPr="008B619A" w:rsidRDefault="000F7564" w:rsidP="00DB0C4E">
      <w:pPr>
        <w:pStyle w:val="3"/>
        <w:rPr>
          <w:color w:val="000000" w:themeColor="text1"/>
        </w:rPr>
      </w:pPr>
      <w:r w:rsidRPr="008B619A">
        <w:rPr>
          <w:rFonts w:hint="eastAsia"/>
          <w:color w:val="000000" w:themeColor="text1"/>
        </w:rPr>
        <w:t>綜述之，</w:t>
      </w:r>
      <w:r w:rsidR="00F31F68" w:rsidRPr="008B619A">
        <w:rPr>
          <w:rFonts w:hint="eastAsia"/>
          <w:color w:val="000000" w:themeColor="text1"/>
        </w:rPr>
        <w:t>我</w:t>
      </w:r>
      <w:r w:rsidR="00C5176B" w:rsidRPr="008B619A">
        <w:rPr>
          <w:rFonts w:hint="eastAsia"/>
          <w:color w:val="000000" w:themeColor="text1"/>
        </w:rPr>
        <w:t>國對內面臨高等教育「流浪博士」及大學轉型退場之發展問題，對外則面對國際競爭壓力</w:t>
      </w:r>
      <w:r w:rsidR="00C5176B" w:rsidRPr="008B619A">
        <w:rPr>
          <w:rFonts w:hAnsi="標楷體" w:hint="eastAsia"/>
          <w:color w:val="000000" w:themeColor="text1"/>
        </w:rPr>
        <w:t>、</w:t>
      </w:r>
      <w:r w:rsidR="00C5176B" w:rsidRPr="008B619A">
        <w:rPr>
          <w:rFonts w:hint="eastAsia"/>
          <w:color w:val="000000" w:themeColor="text1"/>
        </w:rPr>
        <w:t>政經體系之多重威脅</w:t>
      </w:r>
      <w:r w:rsidR="00C5176B" w:rsidRPr="008B619A">
        <w:rPr>
          <w:color w:val="000000" w:themeColor="text1"/>
          <w:szCs w:val="48"/>
        </w:rPr>
        <w:t>與日俱增</w:t>
      </w:r>
      <w:r w:rsidR="00C5176B" w:rsidRPr="008B619A">
        <w:rPr>
          <w:rFonts w:hint="eastAsia"/>
          <w:color w:val="000000" w:themeColor="text1"/>
        </w:rPr>
        <w:t>，人才需求實屬殷切，然近年</w:t>
      </w:r>
      <w:r w:rsidR="00C5176B" w:rsidRPr="008B619A">
        <w:rPr>
          <w:color w:val="000000" w:themeColor="text1"/>
        </w:rPr>
        <w:t>主要學制新生註冊率</w:t>
      </w:r>
      <w:r w:rsidR="00C5176B" w:rsidRPr="008B619A">
        <w:rPr>
          <w:rFonts w:hint="eastAsia"/>
          <w:color w:val="000000" w:themeColor="text1"/>
        </w:rPr>
        <w:t>顯示，108學年度以博士班之89.1%最高，</w:t>
      </w:r>
      <w:r w:rsidR="00C5176B" w:rsidRPr="008B619A">
        <w:rPr>
          <w:color w:val="000000" w:themeColor="text1"/>
        </w:rPr>
        <w:t>10</w:t>
      </w:r>
      <w:r w:rsidR="00C5176B" w:rsidRPr="008B619A">
        <w:rPr>
          <w:rFonts w:hint="eastAsia"/>
          <w:color w:val="000000" w:themeColor="text1"/>
        </w:rPr>
        <w:t>9</w:t>
      </w:r>
      <w:r w:rsidR="00C5176B" w:rsidRPr="008B619A">
        <w:rPr>
          <w:color w:val="000000" w:themeColor="text1"/>
        </w:rPr>
        <w:t>學年博士班</w:t>
      </w:r>
      <w:r w:rsidR="00C5176B" w:rsidRPr="008B619A">
        <w:rPr>
          <w:rFonts w:hint="eastAsia"/>
          <w:color w:val="000000" w:themeColor="text1"/>
        </w:rPr>
        <w:t>則以</w:t>
      </w:r>
      <w:r w:rsidR="00C5176B" w:rsidRPr="008B619A">
        <w:rPr>
          <w:color w:val="000000" w:themeColor="text1"/>
        </w:rPr>
        <w:t>89.</w:t>
      </w:r>
      <w:r w:rsidR="00C5176B" w:rsidRPr="008B619A">
        <w:rPr>
          <w:rFonts w:hint="eastAsia"/>
          <w:color w:val="000000" w:themeColor="text1"/>
        </w:rPr>
        <w:t>0</w:t>
      </w:r>
      <w:r w:rsidR="00C5176B" w:rsidRPr="008B619A">
        <w:rPr>
          <w:color w:val="000000" w:themeColor="text1"/>
        </w:rPr>
        <w:t>%</w:t>
      </w:r>
      <w:r w:rsidR="00C5176B" w:rsidRPr="008B619A">
        <w:rPr>
          <w:rFonts w:hint="eastAsia"/>
          <w:color w:val="000000" w:themeColor="text1"/>
        </w:rPr>
        <w:t>退居第3位</w:t>
      </w:r>
      <w:r w:rsidR="00C5176B" w:rsidRPr="008B619A">
        <w:rPr>
          <w:color w:val="000000" w:themeColor="text1"/>
        </w:rPr>
        <w:t>，</w:t>
      </w:r>
      <w:r w:rsidR="00C5176B" w:rsidRPr="008B619A">
        <w:rPr>
          <w:rFonts w:hint="eastAsia"/>
          <w:color w:val="000000" w:themeColor="text1"/>
        </w:rPr>
        <w:t>其中更有40班招生人數為0</w:t>
      </w:r>
      <w:r w:rsidR="00C5176B" w:rsidRPr="008B619A">
        <w:rPr>
          <w:rFonts w:hAnsi="標楷體" w:hint="eastAsia"/>
          <w:color w:val="000000" w:themeColor="text1"/>
        </w:rPr>
        <w:t>、</w:t>
      </w:r>
      <w:r w:rsidR="00C5176B" w:rsidRPr="008B619A">
        <w:rPr>
          <w:rFonts w:hint="eastAsia"/>
          <w:color w:val="000000" w:themeColor="text1"/>
        </w:rPr>
        <w:t>有12校</w:t>
      </w:r>
      <w:r w:rsidR="00C5176B" w:rsidRPr="008B619A">
        <w:rPr>
          <w:color w:val="000000" w:themeColor="text1"/>
        </w:rPr>
        <w:t>註</w:t>
      </w:r>
      <w:r w:rsidR="00C5176B" w:rsidRPr="008B619A">
        <w:rPr>
          <w:color w:val="000000" w:themeColor="text1"/>
        </w:rPr>
        <w:lastRenderedPageBreak/>
        <w:t>冊率</w:t>
      </w:r>
      <w:r w:rsidR="00C5176B" w:rsidRPr="008B619A">
        <w:rPr>
          <w:rFonts w:hint="eastAsia"/>
          <w:color w:val="000000" w:themeColor="text1"/>
        </w:rPr>
        <w:t>未達6成，校數創近3年新高，教育部雖於總量管制前提下，取消博士班統一調控政策，授權各大學（校長）統籌分配30%之博士班招生名額，惟基於現實因素，相關執行成效尚待評估；復經本調查研究綜整歷來追蹤結果顯示，104年迄今不乏頂尖大學及典範科大之博士班註冊率掛</w:t>
      </w:r>
      <w:r w:rsidR="00852AD2" w:rsidRPr="008B619A">
        <w:rPr>
          <w:color w:val="000000" w:themeColor="text1"/>
        </w:rPr>
        <w:t>零</w:t>
      </w:r>
      <w:r w:rsidR="00C5176B" w:rsidRPr="008B619A">
        <w:rPr>
          <w:rFonts w:hint="eastAsia"/>
          <w:color w:val="000000" w:themeColor="text1"/>
        </w:rPr>
        <w:t>，恐有屬稀少特殊領域者，雖與品質尚無直接關聯，然長此以往，未來高階人才斷層及研發能量堪慮，</w:t>
      </w:r>
      <w:r w:rsidR="008B7C30" w:rsidRPr="008B619A">
        <w:rPr>
          <w:rFonts w:hint="eastAsia"/>
          <w:color w:val="000000" w:themeColor="text1"/>
        </w:rPr>
        <w:t>政府對於國家高等教育之政策定位、擘劃藍圖不明及長程方向均未明，既難窺高等教育究竟係往自由化</w:t>
      </w:r>
      <w:r w:rsidR="008B7C30" w:rsidRPr="008B619A">
        <w:rPr>
          <w:rFonts w:hAnsi="標楷體" w:hint="eastAsia"/>
          <w:color w:val="000000" w:themeColor="text1"/>
        </w:rPr>
        <w:t>、</w:t>
      </w:r>
      <w:r w:rsidR="008B7C30" w:rsidRPr="008B619A">
        <w:rPr>
          <w:rFonts w:hint="eastAsia"/>
          <w:color w:val="000000" w:themeColor="text1"/>
        </w:rPr>
        <w:t>市場化抑或公共化等方向發展，顯不利於高階博士人才之國際化競爭，勢應從長計議，況我國自99年第8次全國教育會議落幕迄今，已逾10年未曾召開全國教育會議，允宜積極匯集共識據以</w:t>
      </w:r>
      <w:r w:rsidR="008B7C30" w:rsidRPr="008B619A">
        <w:rPr>
          <w:color w:val="000000" w:themeColor="text1"/>
        </w:rPr>
        <w:t>研訂</w:t>
      </w:r>
      <w:r w:rsidR="008B7C30" w:rsidRPr="008B619A">
        <w:rPr>
          <w:rFonts w:hint="eastAsia"/>
          <w:color w:val="000000" w:themeColor="text1"/>
        </w:rPr>
        <w:t>高教政策白皮書，以維國家競爭力。</w:t>
      </w:r>
    </w:p>
    <w:p w14:paraId="1E10426F" w14:textId="77777777" w:rsidR="004C452F" w:rsidRPr="008B619A" w:rsidRDefault="004C452F" w:rsidP="004C452F">
      <w:pPr>
        <w:rPr>
          <w:color w:val="000000" w:themeColor="text1"/>
        </w:rPr>
      </w:pPr>
    </w:p>
    <w:p w14:paraId="0B01A7B2" w14:textId="667DC90F" w:rsidR="005777AE" w:rsidRPr="008B619A" w:rsidRDefault="00601009" w:rsidP="00C501AA">
      <w:pPr>
        <w:pStyle w:val="2"/>
        <w:rPr>
          <w:b/>
          <w:bCs w:val="0"/>
          <w:color w:val="000000" w:themeColor="text1"/>
        </w:rPr>
      </w:pPr>
      <w:bookmarkStart w:id="64" w:name="_Toc76980137"/>
      <w:r w:rsidRPr="008B619A">
        <w:rPr>
          <w:rFonts w:hint="eastAsia"/>
          <w:b/>
          <w:bCs w:val="0"/>
          <w:color w:val="000000" w:themeColor="text1"/>
        </w:rPr>
        <w:t>高階</w:t>
      </w:r>
      <w:r w:rsidR="009F2339" w:rsidRPr="008B619A">
        <w:rPr>
          <w:rFonts w:hint="eastAsia"/>
          <w:b/>
          <w:bCs w:val="0"/>
          <w:color w:val="000000" w:themeColor="text1"/>
        </w:rPr>
        <w:t>博士</w:t>
      </w:r>
      <w:r w:rsidR="004A3172" w:rsidRPr="008B619A">
        <w:rPr>
          <w:rFonts w:hint="eastAsia"/>
          <w:b/>
          <w:bCs w:val="0"/>
          <w:color w:val="000000" w:themeColor="text1"/>
        </w:rPr>
        <w:t>人才</w:t>
      </w:r>
      <w:r w:rsidR="009F2339" w:rsidRPr="008B619A">
        <w:rPr>
          <w:rFonts w:hint="eastAsia"/>
          <w:b/>
          <w:bCs w:val="0"/>
          <w:color w:val="000000" w:themeColor="text1"/>
        </w:rPr>
        <w:t>係</w:t>
      </w:r>
      <w:r w:rsidR="00DE3C1C" w:rsidRPr="008B619A">
        <w:rPr>
          <w:rFonts w:hint="eastAsia"/>
          <w:b/>
          <w:bCs w:val="0"/>
          <w:color w:val="000000" w:themeColor="text1"/>
        </w:rPr>
        <w:t>學研</w:t>
      </w:r>
      <w:r w:rsidR="009F2339" w:rsidRPr="008B619A">
        <w:rPr>
          <w:rFonts w:hint="eastAsia"/>
          <w:b/>
          <w:bCs w:val="0"/>
          <w:color w:val="000000" w:themeColor="text1"/>
        </w:rPr>
        <w:t>及產業競逐之重點，</w:t>
      </w:r>
      <w:r w:rsidR="00060478" w:rsidRPr="008B619A">
        <w:rPr>
          <w:rFonts w:hint="eastAsia"/>
          <w:b/>
          <w:bCs w:val="0"/>
          <w:color w:val="000000" w:themeColor="text1"/>
        </w:rPr>
        <w:t>然</w:t>
      </w:r>
      <w:r w:rsidR="0011146B" w:rsidRPr="008B619A">
        <w:rPr>
          <w:rFonts w:hint="eastAsia"/>
          <w:b/>
          <w:bCs w:val="0"/>
          <w:color w:val="000000" w:themeColor="text1"/>
        </w:rPr>
        <w:t>「</w:t>
      </w:r>
      <w:r w:rsidR="00E76592" w:rsidRPr="008B619A">
        <w:rPr>
          <w:rFonts w:hint="eastAsia"/>
          <w:b/>
          <w:bCs w:val="0"/>
          <w:color w:val="000000" w:themeColor="text1"/>
        </w:rPr>
        <w:t>學用</w:t>
      </w:r>
      <w:r w:rsidR="0011146B" w:rsidRPr="008B619A">
        <w:rPr>
          <w:rFonts w:hint="eastAsia"/>
          <w:b/>
          <w:bCs w:val="0"/>
          <w:color w:val="000000" w:themeColor="text1"/>
        </w:rPr>
        <w:t>落差」向為教育機構與產業界的鴻溝之一，</w:t>
      </w:r>
      <w:r w:rsidR="00A67381" w:rsidRPr="008B619A">
        <w:rPr>
          <w:rFonts w:hint="eastAsia"/>
          <w:b/>
          <w:bCs w:val="0"/>
          <w:color w:val="000000" w:themeColor="text1"/>
        </w:rPr>
        <w:t>根據</w:t>
      </w:r>
      <w:r w:rsidR="00E23A3D" w:rsidRPr="008B619A">
        <w:rPr>
          <w:rFonts w:hint="eastAsia"/>
          <w:b/>
          <w:bCs w:val="0"/>
          <w:color w:val="000000" w:themeColor="text1"/>
        </w:rPr>
        <w:t>先進各國</w:t>
      </w:r>
      <w:r w:rsidR="004F059E" w:rsidRPr="008B619A">
        <w:rPr>
          <w:rFonts w:hint="eastAsia"/>
          <w:b/>
          <w:bCs w:val="0"/>
          <w:color w:val="000000" w:themeColor="text1"/>
        </w:rPr>
        <w:t>培育博士級人才</w:t>
      </w:r>
      <w:r w:rsidR="00AE72C0" w:rsidRPr="008B619A">
        <w:rPr>
          <w:rFonts w:hint="eastAsia"/>
          <w:b/>
          <w:bCs w:val="0"/>
          <w:color w:val="000000" w:themeColor="text1"/>
        </w:rPr>
        <w:t>及</w:t>
      </w:r>
      <w:r w:rsidR="004F059E" w:rsidRPr="008B619A">
        <w:rPr>
          <w:rFonts w:hint="eastAsia"/>
          <w:b/>
          <w:bCs w:val="0"/>
          <w:color w:val="000000" w:themeColor="text1"/>
        </w:rPr>
        <w:t>就業</w:t>
      </w:r>
      <w:r w:rsidR="00E23A3D" w:rsidRPr="008B619A">
        <w:rPr>
          <w:rFonts w:hint="eastAsia"/>
          <w:b/>
          <w:bCs w:val="0"/>
          <w:color w:val="000000" w:themeColor="text1"/>
        </w:rPr>
        <w:t>經驗</w:t>
      </w:r>
      <w:r w:rsidR="00DC0BF8" w:rsidRPr="008B619A">
        <w:rPr>
          <w:rFonts w:hint="eastAsia"/>
          <w:b/>
          <w:bCs w:val="0"/>
          <w:color w:val="000000" w:themeColor="text1"/>
        </w:rPr>
        <w:t>之</w:t>
      </w:r>
      <w:r w:rsidR="00E23A3D" w:rsidRPr="008B619A">
        <w:rPr>
          <w:rFonts w:hint="eastAsia"/>
          <w:b/>
          <w:bCs w:val="0"/>
          <w:color w:val="000000" w:themeColor="text1"/>
        </w:rPr>
        <w:t>國際比較發現</w:t>
      </w:r>
      <w:r w:rsidR="002E3DFA" w:rsidRPr="008B619A">
        <w:rPr>
          <w:rFonts w:hint="eastAsia"/>
          <w:b/>
          <w:bCs w:val="0"/>
          <w:color w:val="000000" w:themeColor="text1"/>
        </w:rPr>
        <w:t>，</w:t>
      </w:r>
      <w:r w:rsidR="00C8067B" w:rsidRPr="008B619A">
        <w:rPr>
          <w:rFonts w:hint="eastAsia"/>
          <w:b/>
          <w:bCs w:val="0"/>
          <w:color w:val="000000" w:themeColor="text1"/>
        </w:rPr>
        <w:t>因人才供需失衡現象日趨嚴重，</w:t>
      </w:r>
      <w:r w:rsidR="00D46352" w:rsidRPr="008B619A">
        <w:rPr>
          <w:rFonts w:hint="eastAsia"/>
          <w:b/>
          <w:bCs w:val="0"/>
          <w:color w:val="000000" w:themeColor="text1"/>
        </w:rPr>
        <w:t>英</w:t>
      </w:r>
      <w:r w:rsidR="00BD0C33" w:rsidRPr="008B619A">
        <w:rPr>
          <w:rFonts w:hint="eastAsia"/>
          <w:b/>
          <w:bCs w:val="0"/>
          <w:color w:val="000000" w:themeColor="text1"/>
        </w:rPr>
        <w:t>國、</w:t>
      </w:r>
      <w:r w:rsidR="002A45F8" w:rsidRPr="008B619A">
        <w:rPr>
          <w:rFonts w:hint="eastAsia"/>
          <w:b/>
          <w:bCs w:val="0"/>
          <w:color w:val="000000" w:themeColor="text1"/>
        </w:rPr>
        <w:t>美</w:t>
      </w:r>
      <w:r w:rsidR="00BD0C33" w:rsidRPr="008B619A">
        <w:rPr>
          <w:rFonts w:hint="eastAsia"/>
          <w:b/>
          <w:bCs w:val="0"/>
          <w:color w:val="000000" w:themeColor="text1"/>
        </w:rPr>
        <w:t>國</w:t>
      </w:r>
      <w:r w:rsidR="002A45F8" w:rsidRPr="008B619A">
        <w:rPr>
          <w:rFonts w:hint="eastAsia"/>
          <w:b/>
          <w:bCs w:val="0"/>
          <w:color w:val="000000" w:themeColor="text1"/>
        </w:rPr>
        <w:t>、新加坡、日本等</w:t>
      </w:r>
      <w:r w:rsidR="00BD0C33" w:rsidRPr="008B619A">
        <w:rPr>
          <w:rFonts w:hint="eastAsia"/>
          <w:b/>
          <w:bCs w:val="0"/>
          <w:color w:val="000000" w:themeColor="text1"/>
          <w:szCs w:val="32"/>
        </w:rPr>
        <w:t>多</w:t>
      </w:r>
      <w:r w:rsidR="00C501AA" w:rsidRPr="008B619A">
        <w:rPr>
          <w:rFonts w:hint="eastAsia"/>
          <w:b/>
          <w:bCs w:val="0"/>
          <w:color w:val="000000" w:themeColor="text1"/>
        </w:rPr>
        <w:t>國</w:t>
      </w:r>
      <w:r w:rsidR="00EB5A94" w:rsidRPr="008B619A">
        <w:rPr>
          <w:rFonts w:hint="eastAsia"/>
          <w:b/>
          <w:bCs w:val="0"/>
          <w:color w:val="000000" w:themeColor="text1"/>
        </w:rPr>
        <w:t>已</w:t>
      </w:r>
      <w:r w:rsidR="00B80B5A" w:rsidRPr="008B619A">
        <w:rPr>
          <w:rFonts w:hint="eastAsia"/>
          <w:b/>
          <w:bCs w:val="0"/>
          <w:color w:val="000000" w:themeColor="text1"/>
          <w:szCs w:val="32"/>
        </w:rPr>
        <w:t>積極</w:t>
      </w:r>
      <w:r w:rsidR="00145F36" w:rsidRPr="008B619A">
        <w:rPr>
          <w:rFonts w:hint="eastAsia"/>
          <w:b/>
          <w:bCs w:val="0"/>
          <w:color w:val="000000" w:themeColor="text1"/>
          <w:szCs w:val="32"/>
        </w:rPr>
        <w:t>發展</w:t>
      </w:r>
      <w:r w:rsidR="00B32219" w:rsidRPr="008B619A">
        <w:rPr>
          <w:rFonts w:hint="eastAsia"/>
          <w:b/>
          <w:bCs w:val="0"/>
          <w:color w:val="000000" w:themeColor="text1"/>
          <w:szCs w:val="32"/>
        </w:rPr>
        <w:t>由學界與產業界共同</w:t>
      </w:r>
      <w:r w:rsidR="008D010F" w:rsidRPr="008B619A">
        <w:rPr>
          <w:rFonts w:hint="eastAsia"/>
          <w:b/>
          <w:bCs w:val="0"/>
          <w:color w:val="000000" w:themeColor="text1"/>
          <w:szCs w:val="32"/>
        </w:rPr>
        <w:t>執行博士級人才培育之</w:t>
      </w:r>
      <w:r w:rsidR="00005BFF" w:rsidRPr="008B619A">
        <w:rPr>
          <w:rFonts w:hint="eastAsia"/>
          <w:b/>
          <w:bCs w:val="0"/>
          <w:color w:val="000000" w:themeColor="text1"/>
          <w:szCs w:val="32"/>
        </w:rPr>
        <w:t>產官學合作</w:t>
      </w:r>
      <w:r w:rsidR="008D010F" w:rsidRPr="008B619A">
        <w:rPr>
          <w:rFonts w:hint="eastAsia"/>
          <w:b/>
          <w:bCs w:val="0"/>
          <w:color w:val="000000" w:themeColor="text1"/>
          <w:szCs w:val="32"/>
        </w:rPr>
        <w:t>模式</w:t>
      </w:r>
      <w:r w:rsidR="00802908" w:rsidRPr="008B619A">
        <w:rPr>
          <w:rFonts w:hint="eastAsia"/>
          <w:b/>
          <w:bCs w:val="0"/>
          <w:color w:val="000000" w:themeColor="text1"/>
          <w:szCs w:val="32"/>
        </w:rPr>
        <w:t>，建立</w:t>
      </w:r>
      <w:r w:rsidR="006876E5" w:rsidRPr="008B619A">
        <w:rPr>
          <w:rFonts w:hint="eastAsia"/>
          <w:b/>
          <w:bCs w:val="0"/>
          <w:color w:val="000000" w:themeColor="text1"/>
          <w:szCs w:val="32"/>
        </w:rPr>
        <w:t>高階博士對接</w:t>
      </w:r>
      <w:r w:rsidR="00C21D17" w:rsidRPr="008B619A">
        <w:rPr>
          <w:rFonts w:hint="eastAsia"/>
          <w:b/>
          <w:bCs w:val="0"/>
          <w:color w:val="000000" w:themeColor="text1"/>
          <w:szCs w:val="32"/>
        </w:rPr>
        <w:t>管道</w:t>
      </w:r>
      <w:r w:rsidR="00524189" w:rsidRPr="008B619A">
        <w:rPr>
          <w:rFonts w:hint="eastAsia"/>
          <w:b/>
          <w:bCs w:val="0"/>
          <w:color w:val="000000" w:themeColor="text1"/>
          <w:szCs w:val="32"/>
        </w:rPr>
        <w:t>；</w:t>
      </w:r>
      <w:r w:rsidR="009A3698" w:rsidRPr="008B619A">
        <w:rPr>
          <w:rFonts w:hint="eastAsia"/>
          <w:b/>
          <w:bCs w:val="0"/>
          <w:color w:val="000000" w:themeColor="text1"/>
          <w:szCs w:val="32"/>
        </w:rPr>
        <w:t>而</w:t>
      </w:r>
      <w:r w:rsidR="007A65AC" w:rsidRPr="008B619A">
        <w:rPr>
          <w:rFonts w:hint="eastAsia"/>
          <w:b/>
          <w:bCs w:val="0"/>
          <w:color w:val="000000" w:themeColor="text1"/>
          <w:szCs w:val="32"/>
        </w:rPr>
        <w:t>我國</w:t>
      </w:r>
      <w:r w:rsidR="00D2626C" w:rsidRPr="008B619A">
        <w:rPr>
          <w:rFonts w:hint="eastAsia"/>
          <w:b/>
          <w:bCs w:val="0"/>
          <w:color w:val="000000" w:themeColor="text1"/>
          <w:szCs w:val="32"/>
        </w:rPr>
        <w:t>各</w:t>
      </w:r>
      <w:r w:rsidR="007A65AC" w:rsidRPr="008B619A">
        <w:rPr>
          <w:rFonts w:hint="eastAsia"/>
          <w:b/>
          <w:bCs w:val="0"/>
          <w:color w:val="000000" w:themeColor="text1"/>
          <w:szCs w:val="32"/>
        </w:rPr>
        <w:t>主管機關</w:t>
      </w:r>
      <w:r w:rsidR="00143DDD" w:rsidRPr="008B619A">
        <w:rPr>
          <w:rFonts w:hint="eastAsia"/>
          <w:b/>
          <w:bCs w:val="0"/>
          <w:color w:val="000000" w:themeColor="text1"/>
          <w:szCs w:val="32"/>
        </w:rPr>
        <w:t>業</w:t>
      </w:r>
      <w:r w:rsidR="007A65AC" w:rsidRPr="008B619A">
        <w:rPr>
          <w:rFonts w:hint="eastAsia"/>
          <w:b/>
          <w:bCs w:val="0"/>
          <w:color w:val="000000" w:themeColor="text1"/>
          <w:szCs w:val="32"/>
        </w:rPr>
        <w:t>已推動各項對接措施，</w:t>
      </w:r>
      <w:r w:rsidR="00845B11" w:rsidRPr="008B619A">
        <w:rPr>
          <w:rFonts w:hint="eastAsia"/>
          <w:b/>
          <w:bCs w:val="0"/>
          <w:color w:val="000000" w:themeColor="text1"/>
        </w:rPr>
        <w:t>教育部、科技部及經濟部陸續推動相關政策鼓勵產業與學校共培人才，包括人力躍升培訓及媒合平臺、產學研連結會報、產業高階人才培訓與就業計畫、RAISE、經濟部產業專業人才發展推動計畫等</w:t>
      </w:r>
      <w:r w:rsidR="00903E1D" w:rsidRPr="008B619A">
        <w:rPr>
          <w:rFonts w:hint="eastAsia"/>
          <w:b/>
          <w:bCs w:val="0"/>
          <w:color w:val="000000" w:themeColor="text1"/>
        </w:rPr>
        <w:t>；</w:t>
      </w:r>
      <w:bookmarkEnd w:id="48"/>
      <w:r w:rsidR="008B7C30" w:rsidRPr="008B619A">
        <w:rPr>
          <w:rFonts w:hint="eastAsia"/>
          <w:b/>
          <w:bCs w:val="0"/>
          <w:color w:val="000000" w:themeColor="text1"/>
          <w:szCs w:val="32"/>
        </w:rPr>
        <w:t>惟現行高階</w:t>
      </w:r>
      <w:r w:rsidR="008B7C30" w:rsidRPr="008B619A">
        <w:rPr>
          <w:b/>
          <w:bCs w:val="0"/>
          <w:color w:val="000000" w:themeColor="text1"/>
          <w:szCs w:val="32"/>
        </w:rPr>
        <w:t>人才培育</w:t>
      </w:r>
      <w:r w:rsidR="008B7C30" w:rsidRPr="008B619A">
        <w:rPr>
          <w:rFonts w:hint="eastAsia"/>
          <w:b/>
          <w:bCs w:val="0"/>
          <w:color w:val="000000" w:themeColor="text1"/>
          <w:szCs w:val="32"/>
        </w:rPr>
        <w:t>政策顯</w:t>
      </w:r>
      <w:r w:rsidR="008B7C30" w:rsidRPr="008B619A">
        <w:rPr>
          <w:b/>
          <w:bCs w:val="0"/>
          <w:color w:val="000000" w:themeColor="text1"/>
          <w:szCs w:val="32"/>
        </w:rPr>
        <w:t>非單純教育</w:t>
      </w:r>
      <w:r w:rsidR="008B7C30" w:rsidRPr="008B619A">
        <w:rPr>
          <w:rFonts w:hint="eastAsia"/>
          <w:b/>
          <w:bCs w:val="0"/>
          <w:color w:val="000000" w:themeColor="text1"/>
          <w:szCs w:val="32"/>
        </w:rPr>
        <w:t>議題</w:t>
      </w:r>
      <w:r w:rsidR="008B7C30" w:rsidRPr="008B619A">
        <w:rPr>
          <w:b/>
          <w:bCs w:val="0"/>
          <w:color w:val="000000" w:themeColor="text1"/>
          <w:szCs w:val="32"/>
        </w:rPr>
        <w:t>，</w:t>
      </w:r>
      <w:r w:rsidR="008B7C30" w:rsidRPr="008B619A">
        <w:rPr>
          <w:rFonts w:hint="eastAsia"/>
          <w:b/>
          <w:bCs w:val="0"/>
          <w:color w:val="000000" w:themeColor="text1"/>
          <w:szCs w:val="32"/>
        </w:rPr>
        <w:t>各項產官學配套措施亟待檢討，政府人才推估模式尚缺精準性評估，相關</w:t>
      </w:r>
      <w:r w:rsidR="008B7C30" w:rsidRPr="008B619A">
        <w:rPr>
          <w:b/>
          <w:bCs w:val="0"/>
          <w:color w:val="000000" w:themeColor="text1"/>
          <w:szCs w:val="32"/>
        </w:rPr>
        <w:t>計畫及政府</w:t>
      </w:r>
      <w:r w:rsidR="008B7C30" w:rsidRPr="008B619A">
        <w:rPr>
          <w:rFonts w:hint="eastAsia"/>
          <w:b/>
          <w:bCs w:val="0"/>
          <w:color w:val="000000" w:themeColor="text1"/>
          <w:szCs w:val="32"/>
        </w:rPr>
        <w:t>法人機構等</w:t>
      </w:r>
      <w:r w:rsidR="008B7C30" w:rsidRPr="008B619A">
        <w:rPr>
          <w:b/>
          <w:bCs w:val="0"/>
          <w:color w:val="000000" w:themeColor="text1"/>
          <w:szCs w:val="32"/>
        </w:rPr>
        <w:t>資源</w:t>
      </w:r>
      <w:r w:rsidR="008B7C30" w:rsidRPr="008B619A">
        <w:rPr>
          <w:rFonts w:hint="eastAsia"/>
          <w:b/>
          <w:bCs w:val="0"/>
          <w:color w:val="000000" w:themeColor="text1"/>
          <w:szCs w:val="32"/>
        </w:rPr>
        <w:t>之整合及</w:t>
      </w:r>
      <w:r w:rsidR="008B7C30" w:rsidRPr="008B619A">
        <w:rPr>
          <w:b/>
          <w:bCs w:val="0"/>
          <w:color w:val="000000" w:themeColor="text1"/>
          <w:szCs w:val="32"/>
        </w:rPr>
        <w:t>盤點</w:t>
      </w:r>
      <w:r w:rsidR="008B7C30" w:rsidRPr="008B619A">
        <w:rPr>
          <w:rFonts w:hint="eastAsia"/>
          <w:b/>
          <w:bCs w:val="0"/>
          <w:color w:val="000000" w:themeColor="text1"/>
          <w:szCs w:val="32"/>
        </w:rPr>
        <w:t>亦有改善空</w:t>
      </w:r>
      <w:r w:rsidR="008B7C30" w:rsidRPr="008B619A">
        <w:rPr>
          <w:rFonts w:hint="eastAsia"/>
          <w:b/>
          <w:bCs w:val="0"/>
          <w:color w:val="000000" w:themeColor="text1"/>
          <w:szCs w:val="32"/>
        </w:rPr>
        <w:lastRenderedPageBreak/>
        <w:t>間，</w:t>
      </w:r>
      <w:r w:rsidR="008B7C30" w:rsidRPr="008B619A">
        <w:rPr>
          <w:rFonts w:hAnsi="標楷體" w:hint="eastAsia"/>
          <w:b/>
          <w:bCs w:val="0"/>
          <w:color w:val="000000" w:themeColor="text1"/>
        </w:rPr>
        <w:t>況</w:t>
      </w:r>
      <w:r w:rsidR="008B7C30" w:rsidRPr="008B619A">
        <w:rPr>
          <w:rFonts w:hint="eastAsia"/>
          <w:b/>
          <w:bCs w:val="0"/>
          <w:color w:val="000000" w:themeColor="text1"/>
          <w:szCs w:val="32"/>
        </w:rPr>
        <w:t>基於產業結構變化快速，人才缺口之培育彈性及量能效果仍屬有限</w:t>
      </w:r>
      <w:r w:rsidR="008B7C30" w:rsidRPr="008B619A">
        <w:rPr>
          <w:rFonts w:hAnsi="標楷體" w:hint="eastAsia"/>
          <w:b/>
          <w:bCs w:val="0"/>
          <w:color w:val="000000" w:themeColor="text1"/>
        </w:rPr>
        <w:t>，如以臺灣的關鍵產業半導體產業人才斷層危機為例，主管機關雖已推動計畫因應，然而現階段</w:t>
      </w:r>
      <w:r w:rsidR="008B7C30" w:rsidRPr="008B619A">
        <w:rPr>
          <w:rFonts w:ascii="Arial" w:cs="Arial" w:hint="eastAsia"/>
          <w:b/>
          <w:bCs w:val="0"/>
          <w:color w:val="000000" w:themeColor="text1"/>
          <w:szCs w:val="32"/>
        </w:rPr>
        <w:t>配合前瞻基礎建設計畫推動，</w:t>
      </w:r>
      <w:r w:rsidR="008B7C30" w:rsidRPr="008B619A">
        <w:rPr>
          <w:rFonts w:hAnsi="標楷體" w:hint="eastAsia"/>
          <w:b/>
          <w:bCs w:val="0"/>
          <w:color w:val="000000" w:themeColor="text1"/>
        </w:rPr>
        <w:t>預估</w:t>
      </w:r>
      <w:r w:rsidR="008B7C30" w:rsidRPr="008B619A">
        <w:rPr>
          <w:rFonts w:ascii="Arial" w:cs="Arial" w:hint="eastAsia"/>
          <w:b/>
          <w:bCs w:val="0"/>
          <w:color w:val="000000" w:themeColor="text1"/>
          <w:szCs w:val="32"/>
        </w:rPr>
        <w:t>未來將面臨長</w:t>
      </w:r>
      <w:r w:rsidR="008B7C30" w:rsidRPr="008B619A">
        <w:rPr>
          <w:rFonts w:ascii="Times New Roman" w:hAnsi="Times New Roman"/>
          <w:b/>
          <w:bCs w:val="0"/>
          <w:color w:val="000000" w:themeColor="text1"/>
          <w:szCs w:val="32"/>
        </w:rPr>
        <w:t>達</w:t>
      </w:r>
      <w:r w:rsidR="008B7C30" w:rsidRPr="008B619A">
        <w:rPr>
          <w:rFonts w:ascii="Times New Roman" w:hAnsi="Times New Roman"/>
          <w:b/>
          <w:bCs w:val="0"/>
          <w:color w:val="000000" w:themeColor="text1"/>
          <w:szCs w:val="32"/>
        </w:rPr>
        <w:t>10</w:t>
      </w:r>
      <w:r w:rsidR="008B7C30" w:rsidRPr="008B619A">
        <w:rPr>
          <w:rFonts w:ascii="Arial" w:cs="Arial" w:hint="eastAsia"/>
          <w:b/>
          <w:bCs w:val="0"/>
          <w:color w:val="000000" w:themeColor="text1"/>
          <w:szCs w:val="32"/>
        </w:rPr>
        <w:t>年之半導體產業人才缺口</w:t>
      </w:r>
      <w:r w:rsidR="008B7C30" w:rsidRPr="008B619A">
        <w:rPr>
          <w:rFonts w:hint="eastAsia"/>
          <w:b/>
          <w:bCs w:val="0"/>
          <w:color w:val="000000" w:themeColor="text1"/>
          <w:szCs w:val="32"/>
        </w:rPr>
        <w:t>，爰</w:t>
      </w:r>
      <w:r w:rsidR="008B7C30" w:rsidRPr="008B619A">
        <w:rPr>
          <w:rFonts w:hAnsi="標楷體" w:hint="eastAsia"/>
          <w:b/>
          <w:bCs w:val="0"/>
          <w:color w:val="000000" w:themeColor="text1"/>
        </w:rPr>
        <w:t>政府</w:t>
      </w:r>
      <w:r w:rsidR="008B7C30" w:rsidRPr="008B619A">
        <w:rPr>
          <w:rFonts w:hint="eastAsia"/>
          <w:b/>
          <w:bCs w:val="0"/>
          <w:color w:val="000000" w:themeColor="text1"/>
          <w:szCs w:val="32"/>
        </w:rPr>
        <w:t>允宜再行檢討高階人才之推估調查，並積極強化業界挹注人才培育之誘因，善盡社會企業責任，以收綜效</w:t>
      </w:r>
      <w:bookmarkEnd w:id="64"/>
    </w:p>
    <w:p w14:paraId="6A516182" w14:textId="49D918AA" w:rsidR="0030159D" w:rsidRPr="008B619A" w:rsidRDefault="001B69C7" w:rsidP="0030159D">
      <w:pPr>
        <w:pStyle w:val="3"/>
        <w:rPr>
          <w:color w:val="000000" w:themeColor="text1"/>
          <w:szCs w:val="48"/>
        </w:rPr>
      </w:pPr>
      <w:bookmarkStart w:id="65" w:name="_Toc450039393"/>
      <w:bookmarkStart w:id="66" w:name="_Toc455580022"/>
      <w:bookmarkStart w:id="67" w:name="_Toc454987834"/>
      <w:bookmarkStart w:id="68" w:name="_Toc454975509"/>
      <w:bookmarkStart w:id="69" w:name="_Toc452572641"/>
      <w:bookmarkStart w:id="70" w:name="_Toc451937761"/>
      <w:bookmarkStart w:id="71" w:name="_Toc451785009"/>
      <w:bookmarkStart w:id="72" w:name="_Toc451441221"/>
      <w:bookmarkStart w:id="73" w:name="_Toc450751138"/>
      <w:bookmarkStart w:id="74" w:name="_Toc450398957"/>
      <w:bookmarkStart w:id="75" w:name="_Toc450392727"/>
      <w:r w:rsidRPr="008B619A">
        <w:rPr>
          <w:rFonts w:hint="eastAsia"/>
          <w:color w:val="000000" w:themeColor="text1"/>
        </w:rPr>
        <w:t>109年5月20日</w:t>
      </w:r>
      <w:r w:rsidR="00E32F0E" w:rsidRPr="008B619A">
        <w:rPr>
          <w:rFonts w:hint="eastAsia"/>
          <w:color w:val="000000" w:themeColor="text1"/>
        </w:rPr>
        <w:t>蔡</w:t>
      </w:r>
      <w:r w:rsidRPr="008B619A">
        <w:rPr>
          <w:rFonts w:hint="eastAsia"/>
          <w:color w:val="000000" w:themeColor="text1"/>
        </w:rPr>
        <w:t>總統就職演說時宣示推動六大核心戰略產業，包含：資訊及數位、資安卓越、臺灣精準健康、綠電及再生能源、國防及戰略、民生及戰備等</w:t>
      </w:r>
      <w:r w:rsidR="008C143C" w:rsidRPr="008B619A">
        <w:rPr>
          <w:rFonts w:hint="eastAsia"/>
          <w:color w:val="000000" w:themeColor="text1"/>
        </w:rPr>
        <w:t>6</w:t>
      </w:r>
      <w:r w:rsidRPr="008B619A">
        <w:rPr>
          <w:rFonts w:hint="eastAsia"/>
          <w:color w:val="000000" w:themeColor="text1"/>
        </w:rPr>
        <w:t>大產業，係在過去推動5+2產業創新的基礎上，透過產業超前部署，期讓臺灣掌握全球供應鏈重組先機。</w:t>
      </w:r>
      <w:r w:rsidR="003E4651" w:rsidRPr="008B619A">
        <w:rPr>
          <w:rFonts w:hint="eastAsia"/>
          <w:color w:val="000000" w:themeColor="text1"/>
        </w:rPr>
        <w:t>而</w:t>
      </w:r>
      <w:r w:rsidR="00C17064" w:rsidRPr="008B619A">
        <w:rPr>
          <w:rFonts w:hint="eastAsia"/>
          <w:color w:val="000000" w:themeColor="text1"/>
        </w:rPr>
        <w:t>針對本調查研究所關切之</w:t>
      </w:r>
      <w:r w:rsidR="002D100A" w:rsidRPr="008B619A">
        <w:rPr>
          <w:rFonts w:hint="eastAsia"/>
          <w:color w:val="000000" w:themeColor="text1"/>
        </w:rPr>
        <w:t>人才議題</w:t>
      </w:r>
      <w:r w:rsidR="00C17064" w:rsidRPr="008B619A">
        <w:rPr>
          <w:rFonts w:hint="eastAsia"/>
          <w:color w:val="000000" w:themeColor="text1"/>
        </w:rPr>
        <w:t>，</w:t>
      </w:r>
      <w:r w:rsidR="003C6077" w:rsidRPr="008B619A">
        <w:rPr>
          <w:rFonts w:hint="eastAsia"/>
          <w:color w:val="000000" w:themeColor="text1"/>
        </w:rPr>
        <w:t>依據</w:t>
      </w:r>
      <w:r w:rsidR="0032103B" w:rsidRPr="008B619A">
        <w:rPr>
          <w:rFonts w:hint="eastAsia"/>
          <w:color w:val="000000" w:themeColor="text1"/>
        </w:rPr>
        <w:t>2020年</w:t>
      </w:r>
      <w:r w:rsidR="008C143C" w:rsidRPr="008B619A">
        <w:rPr>
          <w:color w:val="000000" w:themeColor="text1"/>
        </w:rPr>
        <w:t>瑞士</w:t>
      </w:r>
      <w:r w:rsidR="0032103B" w:rsidRPr="008B619A">
        <w:rPr>
          <w:rFonts w:hint="eastAsia"/>
          <w:color w:val="000000" w:themeColor="text1"/>
        </w:rPr>
        <w:t>IMD世界競爭力年報，</w:t>
      </w:r>
      <w:r w:rsidR="00EE727A" w:rsidRPr="008B619A">
        <w:rPr>
          <w:rFonts w:hint="eastAsia"/>
          <w:color w:val="000000" w:themeColor="text1"/>
        </w:rPr>
        <w:t>臺灣</w:t>
      </w:r>
      <w:r w:rsidR="0032103B" w:rsidRPr="008B619A">
        <w:rPr>
          <w:rFonts w:hint="eastAsia"/>
          <w:color w:val="000000" w:themeColor="text1"/>
        </w:rPr>
        <w:t>在63個受評比國家中，總體排名第11名，較前一年進步5名，與東亞鄰近國家相比，僅次於新加坡(第1名)、香港(第5名)，其中，「科學建設」子項進步1名至第7名。此外，</w:t>
      </w:r>
      <w:r w:rsidR="00D45A51" w:rsidRPr="008B619A">
        <w:rPr>
          <w:color w:val="000000" w:themeColor="text1"/>
        </w:rPr>
        <w:t>世界經濟論壇（World Economic Forum, WEF）</w:t>
      </w:r>
      <w:r w:rsidR="00D45A51" w:rsidRPr="008B619A">
        <w:rPr>
          <w:rFonts w:hint="eastAsia"/>
          <w:color w:val="000000" w:themeColor="text1"/>
        </w:rPr>
        <w:t>評比臺</w:t>
      </w:r>
      <w:r w:rsidR="0032103B" w:rsidRPr="008B619A">
        <w:rPr>
          <w:rFonts w:hint="eastAsia"/>
          <w:color w:val="000000" w:themeColor="text1"/>
        </w:rPr>
        <w:t>灣名列全球前</w:t>
      </w:r>
      <w:r w:rsidR="007966F7" w:rsidRPr="008B619A">
        <w:rPr>
          <w:rFonts w:hint="eastAsia"/>
          <w:color w:val="000000" w:themeColor="text1"/>
        </w:rPr>
        <w:t>4</w:t>
      </w:r>
      <w:r w:rsidR="0032103B" w:rsidRPr="008B619A">
        <w:rPr>
          <w:rFonts w:hint="eastAsia"/>
          <w:color w:val="000000" w:themeColor="text1"/>
        </w:rPr>
        <w:t>創新國，此隱含我國研發人力及創新能力受到國際肯定</w:t>
      </w:r>
      <w:r w:rsidR="007966F7" w:rsidRPr="008B619A">
        <w:rPr>
          <w:rFonts w:hint="eastAsia"/>
          <w:color w:val="000000" w:themeColor="text1"/>
        </w:rPr>
        <w:t>，</w:t>
      </w:r>
      <w:r w:rsidR="00083E4D" w:rsidRPr="008B619A">
        <w:rPr>
          <w:rFonts w:hint="eastAsia"/>
          <w:color w:val="000000" w:themeColor="text1"/>
        </w:rPr>
        <w:t>惟隨少子化趨勢及大環境社會結構的改變，博士班領域及人數亦隨著就業市場供需而調整，相關</w:t>
      </w:r>
      <w:r w:rsidR="0057182D" w:rsidRPr="008B619A">
        <w:rPr>
          <w:rFonts w:hint="eastAsia"/>
          <w:color w:val="000000" w:themeColor="text1"/>
        </w:rPr>
        <w:t>高階人才之對接及</w:t>
      </w:r>
      <w:r w:rsidR="00BD7418" w:rsidRPr="008B619A">
        <w:rPr>
          <w:rFonts w:hint="eastAsia"/>
          <w:color w:val="000000" w:themeColor="text1"/>
        </w:rPr>
        <w:t>學用落差</w:t>
      </w:r>
      <w:r w:rsidR="0057182D" w:rsidRPr="008B619A">
        <w:rPr>
          <w:rFonts w:hint="eastAsia"/>
          <w:color w:val="000000" w:themeColor="text1"/>
        </w:rPr>
        <w:t>問題亦成為政府不得不面對之重要課題</w:t>
      </w:r>
      <w:r w:rsidR="00083E4D" w:rsidRPr="008B619A">
        <w:rPr>
          <w:rFonts w:hint="eastAsia"/>
          <w:color w:val="000000" w:themeColor="text1"/>
        </w:rPr>
        <w:t>。</w:t>
      </w:r>
    </w:p>
    <w:p w14:paraId="380D8C5C" w14:textId="26A2650F" w:rsidR="0030159D" w:rsidRPr="008B619A" w:rsidRDefault="0030159D" w:rsidP="0030159D">
      <w:pPr>
        <w:pStyle w:val="3"/>
        <w:rPr>
          <w:color w:val="000000" w:themeColor="text1"/>
          <w:szCs w:val="48"/>
        </w:rPr>
      </w:pPr>
      <w:r w:rsidRPr="008B619A">
        <w:rPr>
          <w:rFonts w:hint="eastAsia"/>
          <w:color w:val="000000" w:themeColor="text1"/>
        </w:rPr>
        <w:t>而關於我國高階人才短缺之評估，行政院於106年即提出</w:t>
      </w:r>
      <w:r w:rsidRPr="008B619A">
        <w:rPr>
          <w:rFonts w:hAnsi="標楷體" w:hint="eastAsia"/>
          <w:color w:val="000000" w:themeColor="text1"/>
        </w:rPr>
        <w:t>「排除企業投資五缺障礙」報告</w:t>
      </w:r>
      <w:r w:rsidRPr="008B619A">
        <w:rPr>
          <w:rStyle w:val="aff1"/>
          <w:rFonts w:hAnsi="標楷體"/>
          <w:color w:val="000000" w:themeColor="text1"/>
        </w:rPr>
        <w:footnoteReference w:id="21"/>
      </w:r>
      <w:r w:rsidRPr="008B619A">
        <w:rPr>
          <w:rFonts w:hAnsi="標楷體" w:hint="eastAsia"/>
          <w:color w:val="000000" w:themeColor="text1"/>
        </w:rPr>
        <w:t>，其中「（四）缺才」之「政策方向」載明略以：「從留才、攬才、育才3大面向，解決人才不足的問題」。針對上述情形之「</w:t>
      </w:r>
      <w:r w:rsidRPr="008B619A">
        <w:rPr>
          <w:rFonts w:hint="eastAsia"/>
          <w:color w:val="000000" w:themeColor="text1"/>
        </w:rPr>
        <w:t>策略</w:t>
      </w:r>
      <w:r w:rsidRPr="008B619A">
        <w:rPr>
          <w:rFonts w:hAnsi="標楷體" w:hint="eastAsia"/>
          <w:color w:val="000000" w:themeColor="text1"/>
        </w:rPr>
        <w:t>」則載明略以：</w:t>
      </w:r>
    </w:p>
    <w:p w14:paraId="7ACE71D8" w14:textId="77777777" w:rsidR="0030159D" w:rsidRPr="008B619A" w:rsidRDefault="0030159D" w:rsidP="0030159D">
      <w:pPr>
        <w:pStyle w:val="4"/>
        <w:rPr>
          <w:color w:val="000000" w:themeColor="text1"/>
        </w:rPr>
      </w:pPr>
      <w:r w:rsidRPr="008B619A">
        <w:rPr>
          <w:rFonts w:hint="eastAsia"/>
          <w:color w:val="000000" w:themeColor="text1"/>
        </w:rPr>
        <w:lastRenderedPageBreak/>
        <w:t>留才：綜合所得稅最高稅率45%調降至40%、獨資合夥組織盈餘直接課個人綜所稅，不必計算及繳納營利事業所得稅；修正產業創新條例，「員工獎酬股票」500萬元內、「技術入股」均放寬為可選擇「實際轉讓時課稅（緩課）」，有限合夥組織創業投資事業符合一定要件者可適用「透視個體概念課稅」優惠，新創事業天使投資人每年最高可減除所得額中300萬元；打造新創友善創業環境；研擬修正《公司法》，將員工獎酬工具（庫藏股、新股、認股權憑證）發放對象擴及控制公司及從屬公司的員工。</w:t>
      </w:r>
    </w:p>
    <w:p w14:paraId="5CF27629" w14:textId="77777777" w:rsidR="0030159D" w:rsidRPr="008B619A" w:rsidRDefault="0030159D" w:rsidP="0030159D">
      <w:pPr>
        <w:pStyle w:val="4"/>
        <w:rPr>
          <w:color w:val="000000" w:themeColor="text1"/>
        </w:rPr>
      </w:pPr>
      <w:r w:rsidRPr="008B619A">
        <w:rPr>
          <w:rFonts w:hint="eastAsia"/>
          <w:color w:val="000000" w:themeColor="text1"/>
        </w:rPr>
        <w:t>攬才：「外國專業人才延攬及僱用法」已於106年10月31日完成三讀，放寬外國專業人才的簽證、居留、保險、租稅、退休等待遇；「Contact Taiwan」網路媒合人才平台，提升至國家級的單一攬才入口網；推動修正「入出國及移民法」，讓海外人才「進得來」、「留得住」，並放寬海外臺灣人及其第二代回台居留、定居條件；鬆綁僑外生留台尋職期間，由6個月延長到1年；鬆綁跨國企業外籍幹部調台任職及受訓，建立新南向人才雙向交流機制；鬆綁5+2產業聘僱外國專業人才的雇主資本額或營業額限制規定；增設公立高中及國中小學雙語實驗班。</w:t>
      </w:r>
    </w:p>
    <w:p w14:paraId="5CABE520" w14:textId="77777777" w:rsidR="0030159D" w:rsidRPr="008B619A" w:rsidRDefault="0030159D" w:rsidP="0030159D">
      <w:pPr>
        <w:pStyle w:val="4"/>
        <w:rPr>
          <w:color w:val="000000" w:themeColor="text1"/>
        </w:rPr>
      </w:pPr>
      <w:r w:rsidRPr="008B619A">
        <w:rPr>
          <w:rFonts w:hint="eastAsia"/>
          <w:color w:val="000000" w:themeColor="text1"/>
        </w:rPr>
        <w:t>育才：強化產學連結，精進契合式人才培育；企業協力教學，提供學校所需業師、教材、設備；產業自主互助預訓人才，政府於政策、法規面全力支援；擴大推動產業人才能力鑑定，針對重點政策產業需求，強化產業人才運作機制與規範；養成千人智慧科技菁英，透過大學、法人培養，並促成企業在臺設立人工智慧(AI)研發中心；培</w:t>
      </w:r>
      <w:r w:rsidRPr="008B619A">
        <w:rPr>
          <w:rFonts w:hint="eastAsia"/>
          <w:color w:val="000000" w:themeColor="text1"/>
        </w:rPr>
        <w:lastRenderedPageBreak/>
        <w:t>育萬人智慧應用先鋒，推動大學跨域學生智慧科技應用技能培育，並開辦AI學苑及認證機制，加速培訓企業員工具備科技應用技能；推動人才轉換方案，鼓勵學校開設第二專長或提升技能課程等。</w:t>
      </w:r>
    </w:p>
    <w:bookmarkEnd w:id="65"/>
    <w:bookmarkEnd w:id="66"/>
    <w:bookmarkEnd w:id="67"/>
    <w:bookmarkEnd w:id="68"/>
    <w:bookmarkEnd w:id="69"/>
    <w:bookmarkEnd w:id="70"/>
    <w:bookmarkEnd w:id="71"/>
    <w:bookmarkEnd w:id="72"/>
    <w:bookmarkEnd w:id="73"/>
    <w:bookmarkEnd w:id="74"/>
    <w:bookmarkEnd w:id="75"/>
    <w:p w14:paraId="200684FC" w14:textId="6168C64B" w:rsidR="002627EC" w:rsidRPr="008B619A" w:rsidRDefault="00145155" w:rsidP="00911B11">
      <w:pPr>
        <w:pStyle w:val="3"/>
        <w:numPr>
          <w:ilvl w:val="2"/>
          <w:numId w:val="12"/>
        </w:numPr>
        <w:rPr>
          <w:color w:val="000000" w:themeColor="text1"/>
        </w:rPr>
      </w:pPr>
      <w:r w:rsidRPr="008B619A">
        <w:rPr>
          <w:rFonts w:hint="eastAsia"/>
          <w:color w:val="000000" w:themeColor="text1"/>
        </w:rPr>
        <w:tab/>
      </w:r>
      <w:r w:rsidR="00911B11" w:rsidRPr="008B619A">
        <w:rPr>
          <w:rFonts w:hint="eastAsia"/>
          <w:color w:val="000000" w:themeColor="text1"/>
        </w:rPr>
        <w:t>茲按</w:t>
      </w:r>
      <w:r w:rsidR="00911B11" w:rsidRPr="008B619A">
        <w:rPr>
          <w:rFonts w:hAnsi="標楷體" w:hint="eastAsia"/>
          <w:color w:val="000000" w:themeColor="text1"/>
        </w:rPr>
        <w:t>「</w:t>
      </w:r>
      <w:r w:rsidR="00911B11" w:rsidRPr="008B619A">
        <w:rPr>
          <w:rFonts w:hint="eastAsia"/>
          <w:color w:val="000000" w:themeColor="text1"/>
        </w:rPr>
        <w:t>產業創新條例</w:t>
      </w:r>
      <w:r w:rsidR="00911B11" w:rsidRPr="008B619A">
        <w:rPr>
          <w:rFonts w:hAnsi="標楷體" w:hint="eastAsia"/>
          <w:color w:val="000000" w:themeColor="text1"/>
        </w:rPr>
        <w:t>」</w:t>
      </w:r>
      <w:r w:rsidR="00911B11" w:rsidRPr="008B619A">
        <w:rPr>
          <w:rFonts w:hint="eastAsia"/>
          <w:color w:val="000000" w:themeColor="text1"/>
        </w:rPr>
        <w:t>第17條規定，</w:t>
      </w:r>
      <w:r w:rsidR="00911B11" w:rsidRPr="008B619A">
        <w:rPr>
          <w:rFonts w:hAnsi="標楷體" w:hint="eastAsia"/>
          <w:color w:val="000000" w:themeColor="text1"/>
        </w:rPr>
        <w:t>「</w:t>
      </w:r>
      <w:r w:rsidR="00911B11" w:rsidRPr="008B619A">
        <w:rPr>
          <w:rFonts w:hint="eastAsia"/>
          <w:color w:val="000000" w:themeColor="text1"/>
        </w:rPr>
        <w:t>為強化產業發展所需人才，行政院應指定專責機關建立產業人才資源發展之協調整合機制，推動下列事項：一、協調各中央目的事業主管機關辦理重點產業人才供需調查及推估。二、整合產業人才供需資訊，訂定產業人才資源發展策略。三、協調產業人才資源發展之推動事宜。四、推動產業、學術、研究及職業訓練機構合作之規劃。</w:t>
      </w:r>
      <w:r w:rsidR="00911B11" w:rsidRPr="008B619A">
        <w:rPr>
          <w:rFonts w:hAnsi="標楷體" w:hint="eastAsia"/>
          <w:color w:val="000000" w:themeColor="text1"/>
        </w:rPr>
        <w:t>」</w:t>
      </w:r>
      <w:r w:rsidR="00911B11" w:rsidRPr="008B619A">
        <w:rPr>
          <w:rFonts w:hint="eastAsia"/>
          <w:color w:val="000000" w:themeColor="text1"/>
        </w:rPr>
        <w:t>行政院遂於99年10月13日</w:t>
      </w:r>
      <w:r w:rsidR="00404E8A" w:rsidRPr="008B619A">
        <w:rPr>
          <w:rFonts w:hint="eastAsia"/>
          <w:color w:val="000000" w:themeColor="text1"/>
        </w:rPr>
        <w:t>按依據「產業創新條例」第17條規定，</w:t>
      </w:r>
      <w:r w:rsidR="00911B11" w:rsidRPr="008B619A">
        <w:rPr>
          <w:rFonts w:hint="eastAsia"/>
          <w:color w:val="000000" w:themeColor="text1"/>
        </w:rPr>
        <w:t>指定國發會為專責機關，針對其法定之</w:t>
      </w:r>
      <w:r w:rsidR="00911B11" w:rsidRPr="008B619A">
        <w:rPr>
          <w:rFonts w:hAnsi="標楷體" w:hint="eastAsia"/>
          <w:color w:val="000000" w:themeColor="text1"/>
          <w:szCs w:val="32"/>
        </w:rPr>
        <w:t>協調整合事項，包括重點產業人才供需調查、研究人才發展策略、產業人才資源發展之推動、各機關之分工與資源分配及產學研與職業訓練機構合作等協調事宜。產業人才資源乃產業發展之命脈，其供需與發展牽動產業競爭能力，政府允宜建構整合運作體系，推動產業人才資源培養、應用、管理、發展等有關工作，以確保國力。</w:t>
      </w:r>
    </w:p>
    <w:p w14:paraId="7C9A9678" w14:textId="302AE590" w:rsidR="00911B11" w:rsidRPr="008B619A" w:rsidRDefault="00DD312E" w:rsidP="00911B11">
      <w:pPr>
        <w:pStyle w:val="3"/>
        <w:numPr>
          <w:ilvl w:val="2"/>
          <w:numId w:val="12"/>
        </w:numPr>
        <w:rPr>
          <w:color w:val="000000" w:themeColor="text1"/>
        </w:rPr>
      </w:pPr>
      <w:r w:rsidRPr="008B619A">
        <w:rPr>
          <w:rFonts w:hAnsi="標楷體" w:hint="eastAsia"/>
          <w:color w:val="000000" w:themeColor="text1"/>
          <w:szCs w:val="32"/>
        </w:rPr>
        <w:t>然而，</w:t>
      </w:r>
      <w:r w:rsidR="00A07FAF" w:rsidRPr="008B619A">
        <w:rPr>
          <w:rFonts w:hAnsi="標楷體" w:hint="eastAsia"/>
          <w:color w:val="000000" w:themeColor="text1"/>
          <w:szCs w:val="32"/>
        </w:rPr>
        <w:t>針對本調查研究關切之人才預估問題，目前</w:t>
      </w:r>
      <w:r w:rsidRPr="008B619A">
        <w:rPr>
          <w:rFonts w:hAnsi="標楷體" w:hint="eastAsia"/>
          <w:color w:val="000000" w:themeColor="text1"/>
          <w:szCs w:val="32"/>
        </w:rPr>
        <w:t>國發會</w:t>
      </w:r>
      <w:r w:rsidR="002627EC" w:rsidRPr="008B619A">
        <w:rPr>
          <w:rFonts w:hAnsi="標楷體" w:hint="eastAsia"/>
          <w:color w:val="000000" w:themeColor="text1"/>
          <w:szCs w:val="32"/>
        </w:rPr>
        <w:t>對於</w:t>
      </w:r>
      <w:r w:rsidR="00A07FAF" w:rsidRPr="008B619A">
        <w:rPr>
          <w:rFonts w:hAnsi="標楷體" w:hint="eastAsia"/>
          <w:color w:val="000000" w:themeColor="text1"/>
          <w:szCs w:val="32"/>
        </w:rPr>
        <w:t>我國高階</w:t>
      </w:r>
      <w:r w:rsidR="002627EC" w:rsidRPr="008B619A">
        <w:rPr>
          <w:rFonts w:hAnsi="標楷體" w:hint="eastAsia"/>
          <w:color w:val="000000" w:themeColor="text1"/>
          <w:szCs w:val="32"/>
        </w:rPr>
        <w:t>人才</w:t>
      </w:r>
      <w:r w:rsidR="00A07FAF" w:rsidRPr="008B619A">
        <w:rPr>
          <w:rFonts w:hAnsi="標楷體" w:hint="eastAsia"/>
          <w:color w:val="000000" w:themeColor="text1"/>
          <w:szCs w:val="32"/>
        </w:rPr>
        <w:t>需求之</w:t>
      </w:r>
      <w:r w:rsidR="002627EC" w:rsidRPr="008B619A">
        <w:rPr>
          <w:rFonts w:hAnsi="標楷體" w:hint="eastAsia"/>
          <w:color w:val="000000" w:themeColor="text1"/>
          <w:szCs w:val="32"/>
        </w:rPr>
        <w:t>預測，除</w:t>
      </w:r>
      <w:r w:rsidR="00A07FAF" w:rsidRPr="008B619A">
        <w:rPr>
          <w:rFonts w:hAnsi="標楷體" w:hint="eastAsia"/>
          <w:color w:val="000000" w:themeColor="text1"/>
          <w:szCs w:val="32"/>
        </w:rPr>
        <w:t>相關研究指出實務面尚有統計落差</w:t>
      </w:r>
      <w:r w:rsidR="00C70940" w:rsidRPr="008B619A">
        <w:rPr>
          <w:rStyle w:val="aff1"/>
          <w:rFonts w:hAnsi="標楷體"/>
          <w:color w:val="000000" w:themeColor="text1"/>
          <w:szCs w:val="32"/>
        </w:rPr>
        <w:footnoteReference w:id="22"/>
      </w:r>
      <w:r w:rsidR="00A07FAF" w:rsidRPr="008B619A">
        <w:rPr>
          <w:rFonts w:hAnsi="標楷體" w:hint="eastAsia"/>
          <w:color w:val="000000" w:themeColor="text1"/>
          <w:szCs w:val="32"/>
        </w:rPr>
        <w:t>，</w:t>
      </w:r>
      <w:r w:rsidR="00BB7524" w:rsidRPr="008B619A">
        <w:rPr>
          <w:rFonts w:hAnsi="標楷體" w:hint="eastAsia"/>
          <w:color w:val="000000" w:themeColor="text1"/>
          <w:szCs w:val="32"/>
        </w:rPr>
        <w:t>例如</w:t>
      </w:r>
      <w:r w:rsidR="00DB33DB" w:rsidRPr="008B619A">
        <w:rPr>
          <w:rFonts w:hAnsi="標楷體" w:hint="eastAsia"/>
          <w:color w:val="000000" w:themeColor="text1"/>
          <w:szCs w:val="32"/>
        </w:rPr>
        <w:t>「</w:t>
      </w:r>
      <w:r w:rsidR="00B0699F" w:rsidRPr="008B619A">
        <w:rPr>
          <w:rFonts w:hAnsi="標楷體"/>
          <w:color w:val="000000" w:themeColor="text1"/>
          <w:szCs w:val="32"/>
        </w:rPr>
        <w:t>現行人力統計的錯誤</w:t>
      </w:r>
      <w:r w:rsidR="00DB33DB" w:rsidRPr="008B619A">
        <w:rPr>
          <w:rFonts w:hAnsi="標楷體" w:hint="eastAsia"/>
          <w:color w:val="000000" w:themeColor="text1"/>
          <w:szCs w:val="32"/>
        </w:rPr>
        <w:t>」</w:t>
      </w:r>
      <w:r w:rsidR="00B0699F" w:rsidRPr="008B619A">
        <w:rPr>
          <w:rFonts w:hAnsi="標楷體" w:hint="eastAsia"/>
          <w:color w:val="000000" w:themeColor="text1"/>
          <w:szCs w:val="32"/>
        </w:rPr>
        <w:t>包括</w:t>
      </w:r>
      <w:r w:rsidR="00C10CFC" w:rsidRPr="008B619A">
        <w:rPr>
          <w:rFonts w:hAnsi="標楷體" w:hint="eastAsia"/>
          <w:color w:val="000000" w:themeColor="text1"/>
          <w:szCs w:val="32"/>
        </w:rPr>
        <w:t>「</w:t>
      </w:r>
      <w:r w:rsidR="00F218CF" w:rsidRPr="008B619A">
        <w:rPr>
          <w:color w:val="000000" w:themeColor="text1"/>
        </w:rPr>
        <w:t>國發會及其他機關在統計勞力需求時，都是詢問企業主管數年後的人力需求。這樣的方法</w:t>
      </w:r>
      <w:r w:rsidR="00F218CF" w:rsidRPr="008B619A">
        <w:rPr>
          <w:color w:val="000000" w:themeColor="text1"/>
        </w:rPr>
        <w:lastRenderedPageBreak/>
        <w:t>有兩個問題，造成人力預估的準確性降低。第一個是企業故意高估勞動的需求，以便強調勞工的短缺，遊説政府開放外籍勞工的輸入，不管是藍領工人或是白領人才都是如此誇大；二是他們以現在的人力需求預測未來的人力需求，然而現在的技術變化如此快速與劇烈，即使現在存在的工作或職位，都可能在未來幾年中被取代或消滅，因此也不易準確進行預測</w:t>
      </w:r>
      <w:r w:rsidR="00C10CFC" w:rsidRPr="008B619A">
        <w:rPr>
          <w:rFonts w:hAnsi="標楷體" w:hint="eastAsia"/>
          <w:color w:val="000000" w:themeColor="text1"/>
          <w:szCs w:val="32"/>
        </w:rPr>
        <w:t>」</w:t>
      </w:r>
      <w:r w:rsidR="00F218CF" w:rsidRPr="008B619A">
        <w:rPr>
          <w:rFonts w:hAnsi="標楷體" w:hint="eastAsia"/>
          <w:color w:val="000000" w:themeColor="text1"/>
          <w:szCs w:val="32"/>
        </w:rPr>
        <w:t>等</w:t>
      </w:r>
      <w:r w:rsidR="00A07FAF" w:rsidRPr="008B619A">
        <w:rPr>
          <w:rFonts w:hAnsi="標楷體" w:hint="eastAsia"/>
          <w:color w:val="000000" w:themeColor="text1"/>
          <w:szCs w:val="32"/>
        </w:rPr>
        <w:t>。</w:t>
      </w:r>
      <w:r w:rsidR="001B2F37" w:rsidRPr="008B619A">
        <w:rPr>
          <w:rFonts w:hAnsi="標楷體" w:hint="eastAsia"/>
          <w:color w:val="000000" w:themeColor="text1"/>
          <w:szCs w:val="32"/>
        </w:rPr>
        <w:t>對此，</w:t>
      </w:r>
      <w:r w:rsidR="00A07FAF" w:rsidRPr="008B619A">
        <w:rPr>
          <w:rFonts w:hAnsi="標楷體" w:hint="eastAsia"/>
          <w:color w:val="000000" w:themeColor="text1"/>
          <w:szCs w:val="32"/>
        </w:rPr>
        <w:t>本院於110年5月5日與主管機關座談會議中，亦提出相關疑義，</w:t>
      </w:r>
      <w:r w:rsidR="00301C74" w:rsidRPr="008B619A">
        <w:rPr>
          <w:rFonts w:hAnsi="標楷體" w:hint="eastAsia"/>
          <w:color w:val="000000" w:themeColor="text1"/>
          <w:szCs w:val="32"/>
        </w:rPr>
        <w:t>根據該會主管人員</w:t>
      </w:r>
      <w:r w:rsidR="00224F91" w:rsidRPr="008B619A">
        <w:rPr>
          <w:rFonts w:hAnsi="標楷體" w:hint="eastAsia"/>
          <w:color w:val="000000" w:themeColor="text1"/>
          <w:szCs w:val="32"/>
        </w:rPr>
        <w:t>指</w:t>
      </w:r>
      <w:r w:rsidR="00301C74" w:rsidRPr="008B619A">
        <w:rPr>
          <w:rFonts w:hAnsi="標楷體" w:hint="eastAsia"/>
          <w:color w:val="000000" w:themeColor="text1"/>
          <w:szCs w:val="32"/>
        </w:rPr>
        <w:t>稱，</w:t>
      </w:r>
      <w:r w:rsidR="00026AAA" w:rsidRPr="008B619A">
        <w:rPr>
          <w:rFonts w:hAnsi="標楷體" w:hint="eastAsia"/>
          <w:color w:val="000000" w:themeColor="text1"/>
          <w:szCs w:val="32"/>
        </w:rPr>
        <w:t>「</w:t>
      </w:r>
      <w:r w:rsidR="009E2DB5" w:rsidRPr="008B619A">
        <w:rPr>
          <w:rFonts w:ascii="Times New Roman" w:hAnsi="Times New Roman"/>
          <w:color w:val="000000" w:themeColor="text1"/>
          <w:szCs w:val="32"/>
        </w:rPr>
        <w:t>有關人力推估的準確性，推估本來就是建立在假說上，我們有一個總體模型，建立在很多的假設，包括未來經濟成長的圖像、國家的產業政策，這個過程中當然很多需要與時俱進，也會徵詢研究機構的意見，定期檢視這個模型，所以一到兩年就會做未來</w:t>
      </w:r>
      <w:r w:rsidR="009E2DB5" w:rsidRPr="008B619A">
        <w:rPr>
          <w:rFonts w:ascii="Times New Roman" w:hAnsi="Times New Roman"/>
          <w:color w:val="000000" w:themeColor="text1"/>
          <w:szCs w:val="32"/>
        </w:rPr>
        <w:t>10</w:t>
      </w:r>
      <w:r w:rsidR="009E2DB5" w:rsidRPr="008B619A">
        <w:rPr>
          <w:rFonts w:ascii="Times New Roman" w:hAnsi="Times New Roman"/>
          <w:color w:val="000000" w:themeColor="text1"/>
          <w:szCs w:val="32"/>
        </w:rPr>
        <w:t>年的推估，包括國際經濟情勢、國內社經環境的調整。國發會會持續精進</w:t>
      </w:r>
      <w:r w:rsidR="00026AAA" w:rsidRPr="008B619A">
        <w:rPr>
          <w:rFonts w:hAnsi="標楷體" w:hint="eastAsia"/>
          <w:color w:val="000000" w:themeColor="text1"/>
          <w:szCs w:val="32"/>
        </w:rPr>
        <w:t>」</w:t>
      </w:r>
      <w:r w:rsidR="009E2DB5" w:rsidRPr="008B619A">
        <w:rPr>
          <w:rFonts w:hAnsi="標楷體" w:hint="eastAsia"/>
          <w:color w:val="000000" w:themeColor="text1"/>
          <w:szCs w:val="32"/>
        </w:rPr>
        <w:t>等語</w:t>
      </w:r>
      <w:r w:rsidR="00390ED0" w:rsidRPr="008B619A">
        <w:rPr>
          <w:rFonts w:hAnsi="標楷體" w:hint="eastAsia"/>
          <w:color w:val="000000" w:themeColor="text1"/>
          <w:szCs w:val="32"/>
        </w:rPr>
        <w:t>可參</w:t>
      </w:r>
      <w:r w:rsidR="0072331B" w:rsidRPr="008B619A">
        <w:rPr>
          <w:rFonts w:hAnsi="標楷體" w:hint="eastAsia"/>
          <w:color w:val="000000" w:themeColor="text1"/>
          <w:szCs w:val="32"/>
        </w:rPr>
        <w:t>。</w:t>
      </w:r>
      <w:r w:rsidR="009E2DB5" w:rsidRPr="008B619A">
        <w:rPr>
          <w:rFonts w:hAnsi="標楷體" w:hint="eastAsia"/>
          <w:color w:val="000000" w:themeColor="text1"/>
          <w:szCs w:val="32"/>
        </w:rPr>
        <w:t>顯見</w:t>
      </w:r>
      <w:r w:rsidR="00D43C1D" w:rsidRPr="008B619A">
        <w:rPr>
          <w:rFonts w:hAnsi="標楷體" w:hint="eastAsia"/>
          <w:color w:val="000000" w:themeColor="text1"/>
          <w:szCs w:val="32"/>
        </w:rPr>
        <w:t>國發會之人力推估</w:t>
      </w:r>
      <w:r w:rsidR="004A3F6D" w:rsidRPr="008B619A">
        <w:rPr>
          <w:rFonts w:hAnsi="標楷體" w:hint="eastAsia"/>
          <w:color w:val="000000" w:themeColor="text1"/>
          <w:szCs w:val="32"/>
        </w:rPr>
        <w:t>迄今</w:t>
      </w:r>
      <w:r w:rsidR="009E2DB5" w:rsidRPr="008B619A">
        <w:rPr>
          <w:rFonts w:hAnsi="標楷體" w:hint="eastAsia"/>
          <w:color w:val="000000" w:themeColor="text1"/>
          <w:szCs w:val="32"/>
        </w:rPr>
        <w:t>未</w:t>
      </w:r>
      <w:r w:rsidR="00D43C1D" w:rsidRPr="008B619A">
        <w:rPr>
          <w:rFonts w:hAnsi="標楷體" w:hint="eastAsia"/>
          <w:color w:val="000000" w:themeColor="text1"/>
          <w:szCs w:val="32"/>
        </w:rPr>
        <w:t>見</w:t>
      </w:r>
      <w:r w:rsidR="009E2DB5" w:rsidRPr="008B619A">
        <w:rPr>
          <w:rFonts w:hAnsi="標楷體" w:hint="eastAsia"/>
          <w:color w:val="000000" w:themeColor="text1"/>
          <w:szCs w:val="32"/>
        </w:rPr>
        <w:t>準確性評估，</w:t>
      </w:r>
      <w:r w:rsidR="0027219A" w:rsidRPr="008B619A">
        <w:rPr>
          <w:rFonts w:hAnsi="標楷體" w:hint="eastAsia"/>
          <w:color w:val="000000" w:themeColor="text1"/>
          <w:szCs w:val="32"/>
        </w:rPr>
        <w:t>有待後續</w:t>
      </w:r>
      <w:r w:rsidR="007B18B8" w:rsidRPr="008B619A">
        <w:rPr>
          <w:rFonts w:hAnsi="標楷體" w:hint="eastAsia"/>
          <w:color w:val="000000" w:themeColor="text1"/>
          <w:szCs w:val="32"/>
        </w:rPr>
        <w:t>針對相關疑慮再行</w:t>
      </w:r>
      <w:r w:rsidR="0027219A" w:rsidRPr="008B619A">
        <w:rPr>
          <w:rFonts w:hAnsi="標楷體" w:hint="eastAsia"/>
          <w:color w:val="000000" w:themeColor="text1"/>
          <w:szCs w:val="32"/>
        </w:rPr>
        <w:t>研議檢討。是以，</w:t>
      </w:r>
      <w:r w:rsidR="001F4EDF" w:rsidRPr="008B619A">
        <w:rPr>
          <w:rFonts w:hAnsi="標楷體" w:hint="eastAsia"/>
          <w:color w:val="000000" w:themeColor="text1"/>
          <w:szCs w:val="32"/>
        </w:rPr>
        <w:t>上述議題涉及重要人才供給藍圖及引導策略，政府</w:t>
      </w:r>
      <w:r w:rsidR="004D7552" w:rsidRPr="008B619A">
        <w:rPr>
          <w:rFonts w:hAnsi="標楷體" w:hint="eastAsia"/>
          <w:color w:val="000000" w:themeColor="text1"/>
          <w:szCs w:val="32"/>
        </w:rPr>
        <w:t>後續</w:t>
      </w:r>
      <w:r w:rsidR="001F4EDF" w:rsidRPr="008B619A">
        <w:rPr>
          <w:rFonts w:hAnsi="標楷體" w:hint="eastAsia"/>
          <w:color w:val="000000" w:themeColor="text1"/>
          <w:szCs w:val="32"/>
        </w:rPr>
        <w:t>允宜積極廣納意見，務實面對。</w:t>
      </w:r>
    </w:p>
    <w:p w14:paraId="029727CF" w14:textId="0B9C40F8" w:rsidR="008B7C30" w:rsidRPr="008B619A" w:rsidRDefault="00412E2B" w:rsidP="008139C2">
      <w:pPr>
        <w:pStyle w:val="3"/>
        <w:rPr>
          <w:rFonts w:ascii="Times New Roman" w:hAnsi="Times New Roman"/>
          <w:color w:val="000000" w:themeColor="text1"/>
        </w:rPr>
      </w:pPr>
      <w:r w:rsidRPr="008B619A">
        <w:rPr>
          <w:rFonts w:hAnsi="標楷體" w:hint="eastAsia"/>
          <w:color w:val="000000" w:themeColor="text1"/>
        </w:rPr>
        <w:t>復</w:t>
      </w:r>
      <w:r w:rsidR="008B7C30" w:rsidRPr="008B619A">
        <w:rPr>
          <w:rFonts w:hAnsi="標楷體" w:hint="eastAsia"/>
          <w:color w:val="000000" w:themeColor="text1"/>
        </w:rPr>
        <w:t>以臺灣之關鍵產業半導體產業為例，</w:t>
      </w:r>
      <w:r w:rsidR="008B7C30" w:rsidRPr="008B619A">
        <w:rPr>
          <w:rFonts w:hAnsi="標楷體" w:hint="eastAsia"/>
          <w:color w:val="000000" w:themeColor="text1"/>
          <w:szCs w:val="32"/>
        </w:rPr>
        <w:t>茲參考本院教育及文化委員會110年4月29日巡察「科技部南部科學園區管理局國家實驗研究院台灣半導體研究中心」資料載明，「我國半導體產業對內面臨少子化衝擊、對外面臨各國搶人才競賽，依據SEMI國際半導體產業協會2020《半導體產業與人才白皮書》分析，將近7成5的受訪公司都有人才缺乏的問題；目前台灣半導體產業提供的薪資福利已優於其他產業，國內指標性半導體廠亦積極進行攬才、留才推動，但與10年前相比，台灣理工領域碩博士生人數</w:t>
      </w:r>
      <w:r w:rsidR="008B7C30" w:rsidRPr="008B619A">
        <w:rPr>
          <w:rFonts w:hAnsi="標楷體" w:hint="eastAsia"/>
          <w:color w:val="000000" w:themeColor="text1"/>
          <w:szCs w:val="32"/>
        </w:rPr>
        <w:lastRenderedPageBreak/>
        <w:t>降幅約達15%，因此在產業規模持續擴充的情況下，國內廠商面臨最大困境是：即使台灣電子電機領域的碩博士生全數投入半導體相關產業，人才缺口卻仍存在。半導體產業人才需求已晉升為國家戰略資源，有關單位更應積極從教育面向調整並提升我國核心戰略資源人力運用」。因此，針對半導體產業人才培育推動有3大難題略以：「</w:t>
      </w:r>
      <w:r w:rsidR="008B7C30" w:rsidRPr="008B619A">
        <w:rPr>
          <w:rFonts w:hAnsi="標楷體"/>
          <w:color w:val="000000" w:themeColor="text1"/>
          <w:szCs w:val="32"/>
        </w:rPr>
        <w:t>(1)</w:t>
      </w:r>
      <w:r w:rsidR="008B7C30" w:rsidRPr="008B619A">
        <w:rPr>
          <w:rFonts w:hAnsi="標楷體" w:hint="eastAsia"/>
          <w:color w:val="000000" w:themeColor="text1"/>
          <w:szCs w:val="32"/>
        </w:rPr>
        <w:t>缺乏人力資源媒合機制，難以將大學培育之碩博士級研發人力導引至產業，協助產業高階研發工作；</w:t>
      </w:r>
      <w:r w:rsidR="008B7C30" w:rsidRPr="008B619A">
        <w:rPr>
          <w:rFonts w:hAnsi="標楷體"/>
          <w:color w:val="000000" w:themeColor="text1"/>
          <w:szCs w:val="32"/>
        </w:rPr>
        <w:t>(2)</w:t>
      </w:r>
      <w:r w:rsidR="008B7C30" w:rsidRPr="008B619A">
        <w:rPr>
          <w:rFonts w:hAnsi="標楷體" w:hint="eastAsia"/>
          <w:color w:val="000000" w:themeColor="text1"/>
          <w:szCs w:val="32"/>
        </w:rPr>
        <w:t>博士缺乏實務經驗，畢業後多集中於學研單位就業，且僅</w:t>
      </w:r>
      <w:r w:rsidR="008B7C30" w:rsidRPr="008B619A">
        <w:rPr>
          <w:rFonts w:hAnsi="標楷體"/>
          <w:color w:val="000000" w:themeColor="text1"/>
          <w:szCs w:val="32"/>
        </w:rPr>
        <w:t>20%</w:t>
      </w:r>
      <w:r w:rsidR="008B7C30" w:rsidRPr="008B619A">
        <w:rPr>
          <w:rFonts w:hAnsi="標楷體" w:hint="eastAsia"/>
          <w:color w:val="000000" w:themeColor="text1"/>
          <w:szCs w:val="32"/>
        </w:rPr>
        <w:t>進入產業；</w:t>
      </w:r>
      <w:r w:rsidR="008B7C30" w:rsidRPr="008B619A">
        <w:rPr>
          <w:rFonts w:hAnsi="標楷體"/>
          <w:color w:val="000000" w:themeColor="text1"/>
          <w:szCs w:val="32"/>
        </w:rPr>
        <w:t>(3)</w:t>
      </w:r>
      <w:r w:rsidR="008B7C30" w:rsidRPr="008B619A">
        <w:rPr>
          <w:rFonts w:hAnsi="標楷體" w:hint="eastAsia"/>
          <w:color w:val="000000" w:themeColor="text1"/>
          <w:szCs w:val="32"/>
        </w:rPr>
        <w:t>全球化衝擊下各國陸續延攬科研技術人才，台灣高階人才外流嚴重」等語。</w:t>
      </w:r>
      <w:r w:rsidR="008B7C30" w:rsidRPr="008B619A">
        <w:rPr>
          <w:rFonts w:ascii="Arial" w:cs="Arial" w:hint="eastAsia"/>
          <w:color w:val="000000" w:themeColor="text1"/>
          <w:szCs w:val="32"/>
        </w:rPr>
        <w:t>科技部雖已推動「重點產業高階人才培訓計畫」</w:t>
      </w:r>
      <w:r w:rsidR="008B7C30" w:rsidRPr="008B619A">
        <w:rPr>
          <w:rFonts w:ascii="Times New Roman" w:hAnsi="Times New Roman"/>
          <w:color w:val="000000" w:themeColor="text1"/>
          <w:szCs w:val="32"/>
        </w:rPr>
        <w:t>，</w:t>
      </w:r>
      <w:r w:rsidR="000D610C" w:rsidRPr="008B619A">
        <w:rPr>
          <w:rFonts w:ascii="Times New Roman" w:hAnsi="Times New Roman"/>
          <w:color w:val="000000" w:themeColor="text1"/>
          <w:szCs w:val="32"/>
        </w:rPr>
        <w:t>5</w:t>
      </w:r>
      <w:r w:rsidR="000D610C" w:rsidRPr="008B619A">
        <w:rPr>
          <w:rFonts w:ascii="Times New Roman" w:hAnsi="Times New Roman"/>
          <w:color w:val="000000" w:themeColor="text1"/>
          <w:szCs w:val="32"/>
        </w:rPr>
        <w:t>年</w:t>
      </w:r>
      <w:r w:rsidR="00025DB5" w:rsidRPr="008B619A">
        <w:rPr>
          <w:rFonts w:ascii="Times New Roman" w:hAnsi="Times New Roman"/>
          <w:color w:val="000000" w:themeColor="text1"/>
          <w:szCs w:val="32"/>
        </w:rPr>
        <w:t>投入</w:t>
      </w:r>
      <w:r w:rsidR="00CA7A94" w:rsidRPr="008B619A">
        <w:rPr>
          <w:rFonts w:ascii="Times New Roman" w:hAnsi="Times New Roman"/>
          <w:color w:val="000000" w:themeColor="text1"/>
          <w:szCs w:val="32"/>
        </w:rPr>
        <w:t>15.46</w:t>
      </w:r>
      <w:r w:rsidR="00CA7A94" w:rsidRPr="008B619A">
        <w:rPr>
          <w:rFonts w:ascii="Times New Roman" w:hAnsi="Times New Roman"/>
          <w:color w:val="000000" w:themeColor="text1"/>
          <w:szCs w:val="32"/>
        </w:rPr>
        <w:t>億元</w:t>
      </w:r>
      <w:r w:rsidR="00072CF9" w:rsidRPr="008B619A">
        <w:rPr>
          <w:rFonts w:ascii="Times New Roman" w:hAnsi="Times New Roman"/>
          <w:color w:val="000000" w:themeColor="text1"/>
          <w:szCs w:val="32"/>
        </w:rPr>
        <w:t>，目標培育</w:t>
      </w:r>
      <w:r w:rsidR="00072CF9" w:rsidRPr="008B619A">
        <w:rPr>
          <w:rFonts w:ascii="Times New Roman" w:hAnsi="Times New Roman"/>
          <w:color w:val="000000" w:themeColor="text1"/>
          <w:szCs w:val="32"/>
        </w:rPr>
        <w:t>2</w:t>
      </w:r>
      <w:r w:rsidR="00072CF9" w:rsidRPr="008B619A">
        <w:rPr>
          <w:rFonts w:ascii="Times New Roman" w:hAnsi="Times New Roman"/>
          <w:color w:val="000000" w:themeColor="text1"/>
          <w:szCs w:val="32"/>
        </w:rPr>
        <w:t>千名高階半導體人才，</w:t>
      </w:r>
      <w:r w:rsidR="001570E5" w:rsidRPr="008B619A">
        <w:rPr>
          <w:rFonts w:ascii="Times New Roman" w:hAnsi="Times New Roman"/>
          <w:color w:val="000000" w:themeColor="text1"/>
          <w:szCs w:val="32"/>
        </w:rPr>
        <w:t>400</w:t>
      </w:r>
      <w:r w:rsidR="001570E5" w:rsidRPr="008B619A">
        <w:rPr>
          <w:rFonts w:ascii="Times New Roman" w:hAnsi="Times New Roman"/>
          <w:color w:val="000000" w:themeColor="text1"/>
          <w:szCs w:val="32"/>
        </w:rPr>
        <w:t>名博士</w:t>
      </w:r>
      <w:r w:rsidR="00623D33" w:rsidRPr="008B619A">
        <w:rPr>
          <w:rFonts w:ascii="Times New Roman" w:hAnsi="Times New Roman"/>
          <w:color w:val="000000" w:themeColor="text1"/>
          <w:szCs w:val="32"/>
        </w:rPr>
        <w:t>儲訓人才</w:t>
      </w:r>
      <w:r w:rsidR="000D610C" w:rsidRPr="008B619A">
        <w:rPr>
          <w:rFonts w:ascii="Times New Roman" w:hAnsi="Times New Roman"/>
          <w:color w:val="000000" w:themeColor="text1"/>
          <w:szCs w:val="32"/>
        </w:rPr>
        <w:t>，</w:t>
      </w:r>
      <w:r w:rsidR="00C62C1E" w:rsidRPr="008B619A">
        <w:rPr>
          <w:rFonts w:ascii="Times New Roman" w:hAnsi="Times New Roman"/>
          <w:color w:val="000000" w:themeColor="text1"/>
          <w:szCs w:val="32"/>
        </w:rPr>
        <w:t>並</w:t>
      </w:r>
      <w:r w:rsidR="008B7C30" w:rsidRPr="008B619A">
        <w:rPr>
          <w:rFonts w:ascii="Times New Roman" w:hAnsi="Times New Roman"/>
          <w:color w:val="000000" w:themeColor="text1"/>
          <w:szCs w:val="32"/>
        </w:rPr>
        <w:t>期促成企業與大學共同設立</w:t>
      </w:r>
      <w:r w:rsidR="008B7C30" w:rsidRPr="008B619A">
        <w:rPr>
          <w:rFonts w:ascii="Times New Roman" w:hAnsi="Times New Roman"/>
          <w:color w:val="000000" w:themeColor="text1"/>
          <w:szCs w:val="32"/>
        </w:rPr>
        <w:t>3-5</w:t>
      </w:r>
      <w:r w:rsidR="008B7C30" w:rsidRPr="008B619A">
        <w:rPr>
          <w:rFonts w:ascii="Times New Roman" w:hAnsi="Times New Roman"/>
          <w:color w:val="000000" w:themeColor="text1"/>
          <w:szCs w:val="32"/>
        </w:rPr>
        <w:t>所半導體研發中心，以補助每校最多</w:t>
      </w:r>
      <w:r w:rsidR="008B7C30" w:rsidRPr="008B619A">
        <w:rPr>
          <w:rFonts w:ascii="Times New Roman" w:hAnsi="Times New Roman"/>
          <w:color w:val="000000" w:themeColor="text1"/>
          <w:szCs w:val="32"/>
        </w:rPr>
        <w:t>1</w:t>
      </w:r>
      <w:r w:rsidR="008B7C30" w:rsidRPr="008B619A">
        <w:rPr>
          <w:rFonts w:ascii="Times New Roman" w:hAnsi="Times New Roman"/>
          <w:color w:val="000000" w:themeColor="text1"/>
          <w:szCs w:val="32"/>
        </w:rPr>
        <w:t>千萬元、企業相對出資至少</w:t>
      </w:r>
      <w:r w:rsidR="008B7C30" w:rsidRPr="008B619A">
        <w:rPr>
          <w:rFonts w:ascii="Times New Roman" w:hAnsi="Times New Roman"/>
          <w:color w:val="000000" w:themeColor="text1"/>
          <w:szCs w:val="32"/>
        </w:rPr>
        <w:t>1</w:t>
      </w:r>
      <w:r w:rsidR="008B7C30" w:rsidRPr="008B619A">
        <w:rPr>
          <w:rFonts w:ascii="Times New Roman" w:hAnsi="Times New Roman"/>
          <w:color w:val="000000" w:themeColor="text1"/>
          <w:szCs w:val="32"/>
        </w:rPr>
        <w:t>千萬元之方式，吸引企業挹注學校研發經費。然而，</w:t>
      </w:r>
      <w:r w:rsidR="008B7C30" w:rsidRPr="008B619A">
        <w:rPr>
          <w:rFonts w:ascii="Times New Roman" w:hAnsi="Times New Roman"/>
          <w:color w:val="000000" w:themeColor="text1"/>
        </w:rPr>
        <w:t>現階段</w:t>
      </w:r>
      <w:r w:rsidR="008B7C30" w:rsidRPr="008B619A">
        <w:rPr>
          <w:rFonts w:ascii="Times New Roman" w:hAnsi="Times New Roman"/>
          <w:color w:val="000000" w:themeColor="text1"/>
          <w:szCs w:val="32"/>
        </w:rPr>
        <w:t>配合前瞻基礎建設計畫推動，已</w:t>
      </w:r>
      <w:r w:rsidR="008B7C30" w:rsidRPr="008B619A">
        <w:rPr>
          <w:rFonts w:ascii="Times New Roman" w:hAnsi="Times New Roman"/>
          <w:color w:val="000000" w:themeColor="text1"/>
        </w:rPr>
        <w:t>預估</w:t>
      </w:r>
      <w:r w:rsidR="008B7C30" w:rsidRPr="008B619A">
        <w:rPr>
          <w:rFonts w:ascii="Times New Roman" w:hAnsi="Times New Roman"/>
          <w:color w:val="000000" w:themeColor="text1"/>
          <w:szCs w:val="32"/>
        </w:rPr>
        <w:t>未來將面臨長達</w:t>
      </w:r>
      <w:r w:rsidR="008B7C30" w:rsidRPr="008B619A">
        <w:rPr>
          <w:rFonts w:ascii="Times New Roman" w:hAnsi="Times New Roman"/>
          <w:color w:val="000000" w:themeColor="text1"/>
          <w:szCs w:val="32"/>
        </w:rPr>
        <w:t>10</w:t>
      </w:r>
      <w:r w:rsidR="008B7C30" w:rsidRPr="008B619A">
        <w:rPr>
          <w:rFonts w:ascii="Times New Roman" w:hAnsi="Times New Roman"/>
          <w:color w:val="000000" w:themeColor="text1"/>
          <w:szCs w:val="32"/>
        </w:rPr>
        <w:t>年之半導體產業人才缺口，整體挹注能量及產業責任，尚待政府盡速研議解決。</w:t>
      </w:r>
    </w:p>
    <w:p w14:paraId="34934358" w14:textId="6F409CBA" w:rsidR="00622ADC" w:rsidRPr="008B619A" w:rsidRDefault="00DD312E" w:rsidP="008139C2">
      <w:pPr>
        <w:pStyle w:val="3"/>
        <w:rPr>
          <w:color w:val="000000" w:themeColor="text1"/>
        </w:rPr>
      </w:pPr>
      <w:r w:rsidRPr="008B619A">
        <w:rPr>
          <w:rFonts w:hint="eastAsia"/>
          <w:color w:val="000000" w:themeColor="text1"/>
        </w:rPr>
        <w:t>此外，</w:t>
      </w:r>
      <w:r w:rsidR="00454675" w:rsidRPr="008B619A">
        <w:rPr>
          <w:rFonts w:hint="eastAsia"/>
          <w:color w:val="000000" w:themeColor="text1"/>
        </w:rPr>
        <w:t>面對全球化及創新經濟發展趨勢，產業發展需要投入創新轉型思維以符合國際市場需求，其中高階人才在產業轉型與升級過程中扮演關鍵推手，如何強化學術研發與產業創新的連結，儼然成為世界主要國家推動博士人才培育之重要課題，共通點涵蓋由企業與學校共同培育博士生，並規定博士生在學或參與計畫期間需進入企業工作或研究，其薪資及培訓經費則由企業、學校或政府支應。</w:t>
      </w:r>
      <w:r w:rsidR="00622ADC" w:rsidRPr="008B619A">
        <w:rPr>
          <w:rFonts w:hint="eastAsia"/>
          <w:color w:val="000000" w:themeColor="text1"/>
        </w:rPr>
        <w:t>主要國家產學合作博士人才培育策略</w:t>
      </w:r>
      <w:r w:rsidR="00673D48" w:rsidRPr="008B619A">
        <w:rPr>
          <w:rFonts w:hint="eastAsia"/>
          <w:color w:val="000000" w:themeColor="text1"/>
        </w:rPr>
        <w:t>如下表：</w:t>
      </w:r>
    </w:p>
    <w:p w14:paraId="108B4670" w14:textId="77777777" w:rsidR="00622ADC" w:rsidRPr="008B619A" w:rsidRDefault="00622ADC" w:rsidP="00622ADC">
      <w:pPr>
        <w:pStyle w:val="a3"/>
        <w:ind w:left="697" w:hanging="697"/>
        <w:jc w:val="center"/>
        <w:rPr>
          <w:b/>
          <w:color w:val="000000" w:themeColor="text1"/>
        </w:rPr>
      </w:pPr>
      <w:r w:rsidRPr="008B619A">
        <w:rPr>
          <w:rFonts w:hint="eastAsia"/>
          <w:b/>
          <w:bCs w:val="0"/>
          <w:color w:val="000000" w:themeColor="text1"/>
        </w:rPr>
        <w:lastRenderedPageBreak/>
        <w:t>主</w:t>
      </w:r>
      <w:r w:rsidRPr="008B619A">
        <w:rPr>
          <w:rFonts w:hint="eastAsia"/>
          <w:b/>
          <w:color w:val="000000" w:themeColor="text1"/>
        </w:rPr>
        <w:t>要國家產學合作博士人才培育策略</w:t>
      </w:r>
    </w:p>
    <w:tbl>
      <w:tblPr>
        <w:tblStyle w:val="afa"/>
        <w:tblW w:w="0" w:type="auto"/>
        <w:tblInd w:w="66" w:type="dxa"/>
        <w:tblLook w:val="04A0" w:firstRow="1" w:lastRow="0" w:firstColumn="1" w:lastColumn="0" w:noHBand="0" w:noVBand="1"/>
      </w:tblPr>
      <w:tblGrid>
        <w:gridCol w:w="1347"/>
        <w:gridCol w:w="7421"/>
      </w:tblGrid>
      <w:tr w:rsidR="00622ADC" w:rsidRPr="008B619A" w14:paraId="02369046" w14:textId="77777777" w:rsidTr="00FE5118">
        <w:trPr>
          <w:tblHeader/>
        </w:trPr>
        <w:tc>
          <w:tcPr>
            <w:tcW w:w="1347" w:type="dxa"/>
            <w:shd w:val="clear" w:color="auto" w:fill="E5DFEC" w:themeFill="accent4" w:themeFillTint="33"/>
            <w:vAlign w:val="center"/>
          </w:tcPr>
          <w:p w14:paraId="4A19E465" w14:textId="77777777" w:rsidR="00622ADC" w:rsidRPr="008B619A" w:rsidRDefault="00622ADC" w:rsidP="00FE5118">
            <w:pPr>
              <w:jc w:val="center"/>
              <w:rPr>
                <w:b/>
                <w:bCs/>
                <w:color w:val="000000" w:themeColor="text1"/>
                <w:sz w:val="28"/>
                <w:szCs w:val="28"/>
              </w:rPr>
            </w:pPr>
            <w:r w:rsidRPr="008B619A">
              <w:rPr>
                <w:rFonts w:hint="eastAsia"/>
                <w:b/>
                <w:bCs/>
                <w:color w:val="000000" w:themeColor="text1"/>
                <w:sz w:val="28"/>
                <w:szCs w:val="28"/>
              </w:rPr>
              <w:t>國別</w:t>
            </w:r>
          </w:p>
        </w:tc>
        <w:tc>
          <w:tcPr>
            <w:tcW w:w="7421" w:type="dxa"/>
            <w:shd w:val="clear" w:color="auto" w:fill="E5DFEC" w:themeFill="accent4" w:themeFillTint="33"/>
            <w:vAlign w:val="center"/>
          </w:tcPr>
          <w:p w14:paraId="5E5BC8E3" w14:textId="77777777" w:rsidR="00622ADC" w:rsidRPr="008B619A" w:rsidRDefault="00622ADC" w:rsidP="00FE5118">
            <w:pPr>
              <w:jc w:val="center"/>
              <w:rPr>
                <w:b/>
                <w:bCs/>
                <w:color w:val="000000" w:themeColor="text1"/>
                <w:sz w:val="28"/>
                <w:szCs w:val="28"/>
              </w:rPr>
            </w:pPr>
            <w:r w:rsidRPr="008B619A">
              <w:rPr>
                <w:rFonts w:hint="eastAsia"/>
                <w:b/>
                <w:bCs/>
                <w:color w:val="000000" w:themeColor="text1"/>
                <w:sz w:val="28"/>
                <w:szCs w:val="28"/>
              </w:rPr>
              <w:t>主要內容</w:t>
            </w:r>
          </w:p>
        </w:tc>
      </w:tr>
      <w:tr w:rsidR="00622ADC" w:rsidRPr="008B619A" w14:paraId="14A384BF" w14:textId="77777777" w:rsidTr="00FE5118">
        <w:trPr>
          <w:trHeight w:val="912"/>
        </w:trPr>
        <w:tc>
          <w:tcPr>
            <w:tcW w:w="1347" w:type="dxa"/>
            <w:vAlign w:val="center"/>
          </w:tcPr>
          <w:p w14:paraId="02497ED0" w14:textId="77777777" w:rsidR="00622ADC" w:rsidRPr="008B619A" w:rsidRDefault="00622ADC" w:rsidP="00FE5118">
            <w:pPr>
              <w:jc w:val="center"/>
              <w:rPr>
                <w:b/>
                <w:bCs/>
                <w:color w:val="000000" w:themeColor="text1"/>
                <w:sz w:val="28"/>
                <w:szCs w:val="28"/>
              </w:rPr>
            </w:pPr>
            <w:r w:rsidRPr="008B619A">
              <w:rPr>
                <w:rFonts w:hint="eastAsia"/>
                <w:b/>
                <w:bCs/>
                <w:color w:val="000000" w:themeColor="text1"/>
                <w:sz w:val="28"/>
                <w:szCs w:val="28"/>
              </w:rPr>
              <w:t>美國</w:t>
            </w:r>
          </w:p>
        </w:tc>
        <w:tc>
          <w:tcPr>
            <w:tcW w:w="7421" w:type="dxa"/>
          </w:tcPr>
          <w:p w14:paraId="58929993" w14:textId="77777777" w:rsidR="00622ADC" w:rsidRPr="008B619A" w:rsidRDefault="00622ADC" w:rsidP="00FE5118">
            <w:pPr>
              <w:rPr>
                <w:color w:val="000000" w:themeColor="text1"/>
                <w:sz w:val="28"/>
                <w:szCs w:val="28"/>
              </w:rPr>
            </w:pPr>
            <w:r w:rsidRPr="008B619A">
              <w:rPr>
                <w:rFonts w:hint="eastAsia"/>
                <w:color w:val="000000" w:themeColor="text1"/>
                <w:sz w:val="28"/>
                <w:szCs w:val="28"/>
              </w:rPr>
              <w:t>美國國家科學基金會(NSF)工程局管轄的產學合作據點創造計畫</w:t>
            </w:r>
            <w:r w:rsidRPr="008B619A">
              <w:rPr>
                <w:rFonts w:hAnsi="標楷體" w:hint="eastAsia"/>
                <w:color w:val="000000" w:themeColor="text1"/>
                <w:sz w:val="28"/>
                <w:szCs w:val="28"/>
              </w:rPr>
              <w:t>－</w:t>
            </w:r>
            <w:r w:rsidRPr="008B619A">
              <w:rPr>
                <w:rFonts w:hint="eastAsia"/>
                <w:color w:val="000000" w:themeColor="text1"/>
                <w:sz w:val="28"/>
                <w:szCs w:val="28"/>
              </w:rPr>
              <w:t>工程研究中心(Engineering Research Centers, ERC)，針對先進的商品製造；生技和健康科學；能源基礎設施；微電子、感測器和IT等重點領域，推動以博士生為中心的產學合作人才培育。</w:t>
            </w:r>
          </w:p>
          <w:p w14:paraId="0B1A8D18" w14:textId="77777777" w:rsidR="00622ADC" w:rsidRPr="008B619A" w:rsidRDefault="00622ADC" w:rsidP="00FE5118">
            <w:pPr>
              <w:rPr>
                <w:color w:val="000000" w:themeColor="text1"/>
                <w:sz w:val="28"/>
                <w:szCs w:val="28"/>
              </w:rPr>
            </w:pPr>
            <w:r w:rsidRPr="008B619A">
              <w:rPr>
                <w:rFonts w:hint="eastAsia"/>
                <w:color w:val="000000" w:themeColor="text1"/>
                <w:sz w:val="28"/>
                <w:szCs w:val="28"/>
              </w:rPr>
              <w:t>參與ERC研究計畫的學生，由ERC提供學費、生活費支援，並提供研究環境及大學和研究所教育課程；企業則需向ERC支付會費，利用其會員的資格，取得運用測試場域或學生等權利。</w:t>
            </w:r>
          </w:p>
        </w:tc>
      </w:tr>
      <w:tr w:rsidR="00622ADC" w:rsidRPr="008B619A" w14:paraId="09DA045D" w14:textId="77777777" w:rsidTr="00FE5118">
        <w:trPr>
          <w:trHeight w:val="2258"/>
        </w:trPr>
        <w:tc>
          <w:tcPr>
            <w:tcW w:w="1347" w:type="dxa"/>
            <w:vAlign w:val="center"/>
          </w:tcPr>
          <w:p w14:paraId="6028619C" w14:textId="77777777" w:rsidR="00622ADC" w:rsidRPr="008B619A" w:rsidRDefault="00622ADC" w:rsidP="00FE5118">
            <w:pPr>
              <w:jc w:val="center"/>
              <w:rPr>
                <w:b/>
                <w:bCs/>
                <w:color w:val="000000" w:themeColor="text1"/>
                <w:sz w:val="28"/>
                <w:szCs w:val="28"/>
              </w:rPr>
            </w:pPr>
            <w:r w:rsidRPr="008B619A">
              <w:rPr>
                <w:rFonts w:hint="eastAsia"/>
                <w:b/>
                <w:bCs/>
                <w:color w:val="000000" w:themeColor="text1"/>
                <w:sz w:val="28"/>
                <w:szCs w:val="28"/>
              </w:rPr>
              <w:t>英國</w:t>
            </w:r>
          </w:p>
        </w:tc>
        <w:tc>
          <w:tcPr>
            <w:tcW w:w="7421" w:type="dxa"/>
          </w:tcPr>
          <w:p w14:paraId="08358FCB" w14:textId="77777777" w:rsidR="00622ADC" w:rsidRPr="008B619A" w:rsidRDefault="00622ADC" w:rsidP="00FE5118">
            <w:pPr>
              <w:rPr>
                <w:color w:val="000000" w:themeColor="text1"/>
                <w:sz w:val="28"/>
                <w:szCs w:val="28"/>
              </w:rPr>
            </w:pPr>
            <w:r w:rsidRPr="008B619A">
              <w:rPr>
                <w:rFonts w:hint="eastAsia"/>
                <w:color w:val="000000" w:themeColor="text1"/>
                <w:sz w:val="28"/>
                <w:szCs w:val="28"/>
              </w:rPr>
              <w:t>英國各研究委員會提出「科學與工程合作獎勵計畫」(Industrial Cooperative Awards in Science and Engineering, CASE)，針對工程、物理、生物科技/醫學等領域，由學界與產業界共同執行計畫和負擔人才培育經費，鼓勵博士生從事產業相關研究專案，培育具產業實務經驗的博士人才。</w:t>
            </w:r>
          </w:p>
        </w:tc>
      </w:tr>
      <w:tr w:rsidR="00622ADC" w:rsidRPr="008B619A" w14:paraId="34812934" w14:textId="77777777" w:rsidTr="00FE5118">
        <w:tc>
          <w:tcPr>
            <w:tcW w:w="1347" w:type="dxa"/>
            <w:vAlign w:val="center"/>
          </w:tcPr>
          <w:p w14:paraId="0BE61E4F" w14:textId="77777777" w:rsidR="00622ADC" w:rsidRPr="008B619A" w:rsidRDefault="00622ADC" w:rsidP="00FE5118">
            <w:pPr>
              <w:jc w:val="center"/>
              <w:rPr>
                <w:b/>
                <w:bCs/>
                <w:color w:val="000000" w:themeColor="text1"/>
                <w:sz w:val="28"/>
                <w:szCs w:val="28"/>
              </w:rPr>
            </w:pPr>
            <w:r w:rsidRPr="008B619A">
              <w:rPr>
                <w:rFonts w:hint="eastAsia"/>
                <w:b/>
                <w:bCs/>
                <w:color w:val="000000" w:themeColor="text1"/>
                <w:sz w:val="28"/>
                <w:szCs w:val="28"/>
              </w:rPr>
              <w:t>丹麥</w:t>
            </w:r>
          </w:p>
        </w:tc>
        <w:tc>
          <w:tcPr>
            <w:tcW w:w="7421" w:type="dxa"/>
          </w:tcPr>
          <w:p w14:paraId="16256ADC" w14:textId="77777777" w:rsidR="00622ADC" w:rsidRPr="008B619A" w:rsidRDefault="00622ADC" w:rsidP="00FE5118">
            <w:pPr>
              <w:rPr>
                <w:color w:val="000000" w:themeColor="text1"/>
                <w:sz w:val="28"/>
                <w:szCs w:val="28"/>
              </w:rPr>
            </w:pPr>
            <w:r w:rsidRPr="008B619A">
              <w:rPr>
                <w:rFonts w:hint="eastAsia"/>
                <w:color w:val="000000" w:themeColor="text1"/>
                <w:sz w:val="28"/>
                <w:szCs w:val="28"/>
              </w:rPr>
              <w:t>丹麥政府行之有年的「產業博士學位計畫」(Industrial PhD)，由政府補助學生、企業及大學，並針對申請者訂有明確的成績標準，在博士生培育課程中納入與企業合作之計畫，以促進企業與大學之間技術移轉。</w:t>
            </w:r>
          </w:p>
        </w:tc>
      </w:tr>
      <w:tr w:rsidR="00622ADC" w:rsidRPr="008B619A" w14:paraId="739F4C4E" w14:textId="77777777" w:rsidTr="00FE5118">
        <w:tc>
          <w:tcPr>
            <w:tcW w:w="1347" w:type="dxa"/>
            <w:vAlign w:val="center"/>
          </w:tcPr>
          <w:p w14:paraId="5A167AF8" w14:textId="77777777" w:rsidR="00622ADC" w:rsidRPr="008B619A" w:rsidRDefault="00622ADC" w:rsidP="00FE5118">
            <w:pPr>
              <w:jc w:val="center"/>
              <w:rPr>
                <w:b/>
                <w:bCs/>
                <w:color w:val="000000" w:themeColor="text1"/>
                <w:sz w:val="28"/>
                <w:szCs w:val="28"/>
              </w:rPr>
            </w:pPr>
            <w:r w:rsidRPr="008B619A">
              <w:rPr>
                <w:rFonts w:hint="eastAsia"/>
                <w:b/>
                <w:bCs/>
                <w:color w:val="000000" w:themeColor="text1"/>
                <w:sz w:val="28"/>
                <w:szCs w:val="28"/>
              </w:rPr>
              <w:t>日本</w:t>
            </w:r>
          </w:p>
        </w:tc>
        <w:tc>
          <w:tcPr>
            <w:tcW w:w="7421" w:type="dxa"/>
          </w:tcPr>
          <w:p w14:paraId="2B785616" w14:textId="77777777" w:rsidR="00622ADC" w:rsidRPr="008B619A" w:rsidRDefault="00622ADC" w:rsidP="00FE5118">
            <w:pPr>
              <w:rPr>
                <w:color w:val="000000" w:themeColor="text1"/>
                <w:sz w:val="28"/>
                <w:szCs w:val="28"/>
              </w:rPr>
            </w:pPr>
            <w:r w:rsidRPr="008B619A">
              <w:rPr>
                <w:rFonts w:hint="eastAsia"/>
                <w:color w:val="000000" w:themeColor="text1"/>
                <w:sz w:val="28"/>
                <w:szCs w:val="28"/>
              </w:rPr>
              <w:t>日本於2015年由產官學組成「超級合作大學院聯盟」，透過多家企業採會員制方式，推動產學合作培育博士人才，主要業務包括：培育創新博士人才、促進產學合作研究、支持學生實作學習、國際合作計畫、宣導活動等，並對學生提供財務支援。</w:t>
            </w:r>
          </w:p>
          <w:p w14:paraId="428B433D" w14:textId="77777777" w:rsidR="00622ADC" w:rsidRPr="008B619A" w:rsidRDefault="00622ADC" w:rsidP="00FE5118">
            <w:pPr>
              <w:rPr>
                <w:color w:val="000000" w:themeColor="text1"/>
                <w:sz w:val="28"/>
                <w:szCs w:val="28"/>
              </w:rPr>
            </w:pPr>
            <w:r w:rsidRPr="008B619A">
              <w:rPr>
                <w:rFonts w:hint="eastAsia"/>
                <w:color w:val="000000" w:themeColor="text1"/>
                <w:sz w:val="28"/>
                <w:szCs w:val="28"/>
              </w:rPr>
              <w:t>日本文部科學省於2016年公布之「第3次大學院教育振興對策綱領」中，推動博士教育領導計畫，由產官學共同合作發展與開設課程，並規劃中長期實習的5年綜合碩博士學位計畫；2018年進一步創設「卓越研究所」，培育具備知識專業且能夠引領創新的博士人才，主要內容包括：開設連貫式碩博士課程、提供優秀學生經濟支持、</w:t>
            </w:r>
            <w:r w:rsidRPr="008B619A">
              <w:rPr>
                <w:color w:val="000000" w:themeColor="text1"/>
                <w:sz w:val="28"/>
                <w:szCs w:val="28"/>
              </w:rPr>
              <w:t>鼓勵傑出社會人士攻讀博士學位、企業增加投資經費與雇用博士人才以促進就業</w:t>
            </w:r>
            <w:r w:rsidRPr="008B619A">
              <w:rPr>
                <w:rFonts w:hint="eastAsia"/>
                <w:color w:val="000000" w:themeColor="text1"/>
                <w:sz w:val="28"/>
                <w:szCs w:val="28"/>
              </w:rPr>
              <w:t>等。</w:t>
            </w:r>
          </w:p>
        </w:tc>
      </w:tr>
    </w:tbl>
    <w:p w14:paraId="413F41AD" w14:textId="77777777" w:rsidR="00622ADC" w:rsidRPr="008B619A" w:rsidRDefault="00622ADC" w:rsidP="00622ADC">
      <w:pPr>
        <w:rPr>
          <w:rFonts w:hAnsi="標楷體"/>
          <w:color w:val="000000" w:themeColor="text1"/>
          <w:sz w:val="24"/>
          <w:szCs w:val="24"/>
        </w:rPr>
      </w:pPr>
      <w:r w:rsidRPr="008B619A">
        <w:rPr>
          <w:rFonts w:hint="eastAsia"/>
          <w:color w:val="000000" w:themeColor="text1"/>
          <w:sz w:val="24"/>
          <w:szCs w:val="24"/>
        </w:rPr>
        <w:t>資料來源：</w:t>
      </w:r>
      <w:r w:rsidRPr="008B619A">
        <w:rPr>
          <w:rFonts w:hAnsi="標楷體" w:hint="eastAsia"/>
          <w:color w:val="000000" w:themeColor="text1"/>
          <w:sz w:val="24"/>
          <w:szCs w:val="24"/>
        </w:rPr>
        <w:t>國發會函復資料。</w:t>
      </w:r>
    </w:p>
    <w:p w14:paraId="32C74EB5" w14:textId="77777777" w:rsidR="00622ADC" w:rsidRPr="008B619A" w:rsidRDefault="00622ADC" w:rsidP="00622ADC">
      <w:pPr>
        <w:rPr>
          <w:color w:val="000000" w:themeColor="text1"/>
          <w:sz w:val="24"/>
          <w:szCs w:val="24"/>
        </w:rPr>
      </w:pPr>
    </w:p>
    <w:p w14:paraId="1444AFFC" w14:textId="20AA1E5D" w:rsidR="00E72BEE" w:rsidRPr="008B619A" w:rsidRDefault="00721829" w:rsidP="00E72BEE">
      <w:pPr>
        <w:pStyle w:val="3"/>
        <w:rPr>
          <w:color w:val="000000" w:themeColor="text1"/>
        </w:rPr>
      </w:pPr>
      <w:r w:rsidRPr="008B619A">
        <w:rPr>
          <w:rFonts w:hint="eastAsia"/>
          <w:color w:val="000000" w:themeColor="text1"/>
        </w:rPr>
        <w:lastRenderedPageBreak/>
        <w:t>再</w:t>
      </w:r>
      <w:r w:rsidR="00B07171" w:rsidRPr="008B619A">
        <w:rPr>
          <w:rFonts w:hint="eastAsia"/>
          <w:color w:val="000000" w:themeColor="text1"/>
        </w:rPr>
        <w:t>揆諸</w:t>
      </w:r>
      <w:r w:rsidR="00E72BEE" w:rsidRPr="008B619A">
        <w:rPr>
          <w:rFonts w:hint="eastAsia"/>
          <w:color w:val="000000" w:themeColor="text1"/>
        </w:rPr>
        <w:t>先進各國培育博士人才及就業經驗</w:t>
      </w:r>
      <w:r w:rsidR="00B07171" w:rsidRPr="008B619A">
        <w:rPr>
          <w:rFonts w:hint="eastAsia"/>
          <w:color w:val="000000" w:themeColor="text1"/>
        </w:rPr>
        <w:t>之</w:t>
      </w:r>
      <w:r w:rsidR="00E72BEE" w:rsidRPr="008B619A">
        <w:rPr>
          <w:rFonts w:hint="eastAsia"/>
          <w:color w:val="000000" w:themeColor="text1"/>
        </w:rPr>
        <w:t>國際研究比較發現，因人才供需失衡現象日趨嚴重，英國、美國、新加坡、日本等多國已積極發展由學界與產業界共同執行博士級人才培育之產官學合作模式，建立研發與高階博士對接管道。茲列舉</w:t>
      </w:r>
      <w:r w:rsidR="004B1FD1" w:rsidRPr="008B619A">
        <w:rPr>
          <w:rFonts w:hint="eastAsia"/>
          <w:color w:val="000000" w:themeColor="text1"/>
        </w:rPr>
        <w:t>摘錄</w:t>
      </w:r>
      <w:r w:rsidR="00043414" w:rsidRPr="008B619A">
        <w:rPr>
          <w:rFonts w:hint="eastAsia"/>
          <w:color w:val="000000" w:themeColor="text1"/>
        </w:rPr>
        <w:t>我國</w:t>
      </w:r>
      <w:r w:rsidR="004F2C8B" w:rsidRPr="008B619A">
        <w:rPr>
          <w:rFonts w:hint="eastAsia"/>
          <w:color w:val="000000" w:themeColor="text1"/>
        </w:rPr>
        <w:t>駐外單位</w:t>
      </w:r>
      <w:r w:rsidR="001C2198" w:rsidRPr="008B619A">
        <w:rPr>
          <w:rFonts w:hint="eastAsia"/>
          <w:color w:val="000000" w:themeColor="text1"/>
        </w:rPr>
        <w:t>所</w:t>
      </w:r>
      <w:r w:rsidR="004F2C8B" w:rsidRPr="008B619A">
        <w:rPr>
          <w:rFonts w:hint="eastAsia"/>
          <w:color w:val="000000" w:themeColor="text1"/>
        </w:rPr>
        <w:t>蒐集之</w:t>
      </w:r>
      <w:r w:rsidR="001C2198" w:rsidRPr="008B619A">
        <w:rPr>
          <w:rFonts w:hint="eastAsia"/>
          <w:color w:val="000000" w:themeColor="text1"/>
        </w:rPr>
        <w:t>國際</w:t>
      </w:r>
      <w:r w:rsidR="00A95AB1" w:rsidRPr="008B619A">
        <w:rPr>
          <w:rFonts w:hint="eastAsia"/>
          <w:color w:val="000000" w:themeColor="text1"/>
        </w:rPr>
        <w:t>高教</w:t>
      </w:r>
      <w:r w:rsidR="0034706F" w:rsidRPr="008B619A">
        <w:rPr>
          <w:rFonts w:hint="eastAsia"/>
          <w:color w:val="000000" w:themeColor="text1"/>
        </w:rPr>
        <w:t>人才培育及</w:t>
      </w:r>
      <w:r w:rsidR="00A95AB1" w:rsidRPr="008B619A">
        <w:rPr>
          <w:rFonts w:hint="eastAsia"/>
          <w:color w:val="000000" w:themeColor="text1"/>
        </w:rPr>
        <w:t>就業</w:t>
      </w:r>
      <w:r w:rsidR="00B07171" w:rsidRPr="008B619A">
        <w:rPr>
          <w:rFonts w:hint="eastAsia"/>
          <w:color w:val="000000" w:themeColor="text1"/>
        </w:rPr>
        <w:t>發展</w:t>
      </w:r>
      <w:r w:rsidR="00367179" w:rsidRPr="008B619A">
        <w:rPr>
          <w:rFonts w:hint="eastAsia"/>
          <w:color w:val="000000" w:themeColor="text1"/>
        </w:rPr>
        <w:t>之</w:t>
      </w:r>
      <w:r w:rsidR="0019781D" w:rsidRPr="008B619A">
        <w:rPr>
          <w:rFonts w:hint="eastAsia"/>
          <w:color w:val="000000" w:themeColor="text1"/>
        </w:rPr>
        <w:t>相關</w:t>
      </w:r>
      <w:r w:rsidR="00B07171" w:rsidRPr="008B619A">
        <w:rPr>
          <w:rFonts w:hint="eastAsia"/>
          <w:color w:val="000000" w:themeColor="text1"/>
        </w:rPr>
        <w:t>策略</w:t>
      </w:r>
      <w:r w:rsidR="00E72BEE" w:rsidRPr="008B619A">
        <w:rPr>
          <w:rFonts w:hint="eastAsia"/>
          <w:color w:val="000000" w:themeColor="text1"/>
        </w:rPr>
        <w:t>如后</w:t>
      </w:r>
      <w:r w:rsidR="00E5559D" w:rsidRPr="008B619A">
        <w:rPr>
          <w:rStyle w:val="aff1"/>
          <w:color w:val="000000" w:themeColor="text1"/>
        </w:rPr>
        <w:footnoteReference w:id="23"/>
      </w:r>
      <w:r w:rsidR="00E72BEE" w:rsidRPr="008B619A">
        <w:rPr>
          <w:rFonts w:hint="eastAsia"/>
          <w:color w:val="000000" w:themeColor="text1"/>
        </w:rPr>
        <w:t>：</w:t>
      </w:r>
    </w:p>
    <w:p w14:paraId="2A81FCD5" w14:textId="447AEE34" w:rsidR="00F73CBD" w:rsidRPr="008B619A" w:rsidRDefault="00F73CBD" w:rsidP="00F73CBD">
      <w:pPr>
        <w:pStyle w:val="4"/>
        <w:rPr>
          <w:color w:val="000000" w:themeColor="text1"/>
        </w:rPr>
      </w:pPr>
      <w:r w:rsidRPr="008B619A">
        <w:rPr>
          <w:rFonts w:hint="eastAsia"/>
          <w:color w:val="000000" w:themeColor="text1"/>
        </w:rPr>
        <w:t>德國教研部</w:t>
      </w:r>
      <w:r w:rsidR="00580AC8" w:rsidRPr="008B619A">
        <w:rPr>
          <w:rFonts w:hint="eastAsia"/>
          <w:color w:val="000000" w:themeColor="text1"/>
        </w:rPr>
        <w:t>曾</w:t>
      </w:r>
      <w:r w:rsidRPr="008B619A">
        <w:rPr>
          <w:rFonts w:hint="eastAsia"/>
          <w:color w:val="000000" w:themeColor="text1"/>
        </w:rPr>
        <w:t>發起名為「藉由開放大學教育獲得職場晉升（Aufstieg durch Bildung: offene Hochschulen）」的大學在職教育競賽，藉由高等教育系統內大學、企業和大學外機構之間的合作，建立大量且多樣的在職進修培訓課程以及相關專業網絡提供學術性、知識性的進修課程予企業界專家們以充實新知，協助他們與科技發展的速度同步共進，而這也對大學內的學術性進修教育推動產生明顯效益（駐德國代表處教育組，2017）。</w:t>
      </w:r>
    </w:p>
    <w:p w14:paraId="57CD35CB" w14:textId="0236D2C8" w:rsidR="00F73CBD" w:rsidRPr="008B619A" w:rsidRDefault="00F73CBD" w:rsidP="00F73CBD">
      <w:pPr>
        <w:pStyle w:val="4"/>
        <w:rPr>
          <w:color w:val="000000" w:themeColor="text1"/>
        </w:rPr>
      </w:pPr>
      <w:r w:rsidRPr="008B619A">
        <w:rPr>
          <w:rFonts w:hint="eastAsia"/>
          <w:color w:val="000000" w:themeColor="text1"/>
        </w:rPr>
        <w:t>加拿大Simon Fraser University與加拿大西門子集團(Siemens Canada)從2017年8月開始，雙方合作開辦機械電子學證書課程。該校在素里市分校開設西門子機械電子系統證書課程(Siemens Mechatronic Systems Certificate Program，簡稱SMSCP)，其開放給所有符合資格的大專院校學生修習，並提供給相關專業人士進修，提升自動化(automation)和生產(maturing)方面的技能。修畢課程後，將由西門子集團頒發機械電子系統證書。而透過合辦機械電子課程，不僅能滿足未</w:t>
      </w:r>
      <w:r w:rsidRPr="008B619A">
        <w:rPr>
          <w:rFonts w:hint="eastAsia"/>
          <w:color w:val="000000" w:themeColor="text1"/>
        </w:rPr>
        <w:lastRenderedPageBreak/>
        <w:t>來製造業所需技能亦能提供學生將來在自動化和製造產業中取得優勢（駐溫哥華辦事處教育組，2017a）。</w:t>
      </w:r>
    </w:p>
    <w:p w14:paraId="39D0BACB" w14:textId="2D8084B1" w:rsidR="00E72BEE" w:rsidRPr="008B619A" w:rsidRDefault="00F73CBD" w:rsidP="00F73CBD">
      <w:pPr>
        <w:pStyle w:val="4"/>
        <w:rPr>
          <w:color w:val="000000" w:themeColor="text1"/>
        </w:rPr>
      </w:pPr>
      <w:r w:rsidRPr="008B619A">
        <w:rPr>
          <w:rFonts w:hint="eastAsia"/>
          <w:color w:val="000000" w:themeColor="text1"/>
        </w:rPr>
        <w:t>長期從事青年工作的非營利組織中央英國基督教青年會(Central Young Men’s Christian Association, Central YMCA)亦於2017年4月公布對200多名企業資深經理人進行的調查，結果顯示只有十分之一的受訪經理人相信年輕人進入職場時已充分具備所需的職能，大部分的受訪者表示年輕人欠缺基本的軟技能。因此，以英國麥當勞為首的企業與慈善組織亦針對如何填補當前人才軟實力的缺口提出建議籌組工作小組，與學術機構建立一套定義、發展並評鑑軟實力的架構，供各階段的教育單位與僱主使用，於各階段的教育與職涯培養發展軟實力。並加強企業、教育、政府職業訓練與青年慈善相關機構的連結，增進政府各相關部會的瞭解與參與（駐英國代表處教育組，2017）</w:t>
      </w:r>
      <w:r w:rsidR="00444EE1" w:rsidRPr="008B619A">
        <w:rPr>
          <w:rFonts w:hint="eastAsia"/>
          <w:color w:val="000000" w:themeColor="text1"/>
        </w:rPr>
        <w:t>。</w:t>
      </w:r>
    </w:p>
    <w:p w14:paraId="14A87D56" w14:textId="094AD1EF" w:rsidR="005E5798" w:rsidRPr="008B619A" w:rsidRDefault="005E5798" w:rsidP="005E5798">
      <w:pPr>
        <w:pStyle w:val="4"/>
        <w:rPr>
          <w:color w:val="000000" w:themeColor="text1"/>
        </w:rPr>
      </w:pPr>
      <w:r w:rsidRPr="008B619A">
        <w:rPr>
          <w:rFonts w:hint="eastAsia"/>
          <w:color w:val="000000" w:themeColor="text1"/>
        </w:rPr>
        <w:t>加拿大聯邦政府從2017學年度開始，未來4年撥款7,300萬加元補助企業，為學生提供一萬個實習工作機會。聯邦就業人力發展與勞工部長（Minister of Employment, Workforce Development and Labour）Patty Hajdu表示，該計畫是為了促進科學、科技、工程與數學等重點行業的公司為學生提供更多實習機會，以解決學習內容與工作內容脫節的問題；實習的工作時間很有彈性，從3個月的合約工作到每週幾天的兼職工作不等。特別的是加國聯邦政府將支付學生薪資的50％（高達5,000加元）到70％（高達7,000加元）的薪資給予一年級學生極少數族群，如參</w:t>
      </w:r>
      <w:r w:rsidRPr="008B619A">
        <w:rPr>
          <w:rFonts w:hint="eastAsia"/>
          <w:color w:val="000000" w:themeColor="text1"/>
        </w:rPr>
        <w:lastRenderedPageBreak/>
        <w:t>與男性主導計畫之女性、原住民學生與殘疾學生（駐加拿大代表處教育組，2017）</w:t>
      </w:r>
      <w:r w:rsidR="007D2FA7" w:rsidRPr="008B619A">
        <w:rPr>
          <w:rFonts w:hint="eastAsia"/>
          <w:color w:val="000000" w:themeColor="text1"/>
        </w:rPr>
        <w:t>。</w:t>
      </w:r>
    </w:p>
    <w:p w14:paraId="682BEF6B" w14:textId="22D509B1" w:rsidR="00617858" w:rsidRPr="008B619A" w:rsidRDefault="00F26DDF" w:rsidP="00FE5118">
      <w:pPr>
        <w:pStyle w:val="4"/>
        <w:rPr>
          <w:color w:val="000000" w:themeColor="text1"/>
        </w:rPr>
      </w:pPr>
      <w:r w:rsidRPr="008B619A">
        <w:rPr>
          <w:rFonts w:hint="eastAsia"/>
          <w:color w:val="000000" w:themeColor="text1"/>
        </w:rPr>
        <w:t>印尼</w:t>
      </w:r>
      <w:r w:rsidR="00AC6432" w:rsidRPr="008B619A">
        <w:rPr>
          <w:color w:val="000000" w:themeColor="text1"/>
        </w:rPr>
        <w:t>自由校園(Kampus Merdeka)政策目的在提供學校準備並與工商業合作的機會。</w:t>
      </w:r>
      <w:r w:rsidR="008364F0" w:rsidRPr="008B619A">
        <w:rPr>
          <w:color w:val="000000" w:themeColor="text1"/>
        </w:rPr>
        <w:t>文教部發起有關大學經費資助的8個主要績效指標(IKU)，簡言之就是畢業生質量，課程質量和講師質量的提升。</w:t>
      </w:r>
      <w:r w:rsidR="008364F0" w:rsidRPr="008B619A">
        <w:rPr>
          <w:rFonts w:hint="eastAsia"/>
          <w:color w:val="000000" w:themeColor="text1"/>
        </w:rPr>
        <w:t>包括，</w:t>
      </w:r>
      <w:r w:rsidR="00AC6432" w:rsidRPr="008B619A">
        <w:rPr>
          <w:rFonts w:hint="eastAsia"/>
          <w:color w:val="000000" w:themeColor="text1"/>
        </w:rPr>
        <w:t>畢業生獲得適當的工作，工資高於區域最低工資，成為企業家或繼續就讀；學生通過實習，鄉村項目，教學，研究，創業和交換學生獲得校外經驗；講師透過尋求行業經驗或在其他學校進行的活動作為校外活動；各產業從業人員在校園教書或聘請具有產業經驗的講師；講師的工作成果（研究和社區服務的成果）可被社區使用並獲得國際認可；大學系所與世界級大學成為合作夥伴，一起研究課程，實習和吸引畢業生；通過計畫的評估或案例研究等方法進行協作和參與式課程；具有國際認可或認證的國際標準學習計畫。</w:t>
      </w:r>
      <w:r w:rsidR="00551EA4" w:rsidRPr="008B619A">
        <w:rPr>
          <w:rFonts w:hint="eastAsia"/>
          <w:color w:val="000000" w:themeColor="text1"/>
        </w:rPr>
        <w:t>（駐</w:t>
      </w:r>
      <w:r w:rsidR="00C8616E" w:rsidRPr="008B619A">
        <w:rPr>
          <w:rFonts w:hint="eastAsia"/>
          <w:color w:val="000000" w:themeColor="text1"/>
        </w:rPr>
        <w:t>印尼</w:t>
      </w:r>
      <w:r w:rsidR="00551EA4" w:rsidRPr="008B619A">
        <w:rPr>
          <w:rFonts w:hint="eastAsia"/>
          <w:color w:val="000000" w:themeColor="text1"/>
        </w:rPr>
        <w:t>代表處教育組，20</w:t>
      </w:r>
      <w:r w:rsidR="006503AA" w:rsidRPr="008B619A">
        <w:rPr>
          <w:rFonts w:hint="eastAsia"/>
          <w:color w:val="000000" w:themeColor="text1"/>
        </w:rPr>
        <w:t>20</w:t>
      </w:r>
      <w:r w:rsidR="00551EA4" w:rsidRPr="008B619A">
        <w:rPr>
          <w:rFonts w:hint="eastAsia"/>
          <w:color w:val="000000" w:themeColor="text1"/>
        </w:rPr>
        <w:t>）</w:t>
      </w:r>
    </w:p>
    <w:p w14:paraId="5922DBC4" w14:textId="3D11DF8A" w:rsidR="00826F14" w:rsidRPr="008B619A" w:rsidRDefault="00826F14" w:rsidP="00C01404">
      <w:pPr>
        <w:pStyle w:val="3"/>
        <w:rPr>
          <w:color w:val="000000" w:themeColor="text1"/>
        </w:rPr>
      </w:pPr>
      <w:r w:rsidRPr="008B619A">
        <w:rPr>
          <w:rFonts w:hint="eastAsia"/>
          <w:color w:val="000000" w:themeColor="text1"/>
        </w:rPr>
        <w:t>而我國為強化產業共培人才，由</w:t>
      </w:r>
      <w:r w:rsidRPr="008B619A">
        <w:rPr>
          <w:rFonts w:hint="eastAsia"/>
          <w:color w:val="000000" w:themeColor="text1"/>
        </w:rPr>
        <w:tab/>
        <w:t>教育部、科技部及經濟部陸續推動相關政策鼓勵產業與學校共培人才，包括人力躍升培訓及媒合平臺、產學研連結會報、產業高階人才培訓與就業計畫、RAISE、經濟部產業專業人才發展推動計畫等</w:t>
      </w:r>
      <w:r w:rsidR="000D787F" w:rsidRPr="008B619A">
        <w:rPr>
          <w:rFonts w:hint="eastAsia"/>
          <w:color w:val="000000" w:themeColor="text1"/>
        </w:rPr>
        <w:t>，</w:t>
      </w:r>
      <w:r w:rsidR="00CA5649" w:rsidRPr="008B619A">
        <w:rPr>
          <w:rFonts w:hint="eastAsia"/>
          <w:color w:val="000000" w:themeColor="text1"/>
        </w:rPr>
        <w:t>因</w:t>
      </w:r>
      <w:r w:rsidR="005005F2" w:rsidRPr="008B619A">
        <w:rPr>
          <w:rFonts w:hint="eastAsia"/>
          <w:color w:val="000000" w:themeColor="text1"/>
        </w:rPr>
        <w:t>迄今</w:t>
      </w:r>
      <w:r w:rsidR="00CA5649" w:rsidRPr="008B619A">
        <w:rPr>
          <w:rFonts w:hint="eastAsia"/>
          <w:color w:val="000000" w:themeColor="text1"/>
        </w:rPr>
        <w:t>執行期間</w:t>
      </w:r>
      <w:r w:rsidR="00B40CFF" w:rsidRPr="008B619A">
        <w:rPr>
          <w:rFonts w:hint="eastAsia"/>
          <w:color w:val="000000" w:themeColor="text1"/>
        </w:rPr>
        <w:t>有限</w:t>
      </w:r>
      <w:r w:rsidR="00CA5649" w:rsidRPr="008B619A">
        <w:rPr>
          <w:rFonts w:hint="eastAsia"/>
          <w:color w:val="000000" w:themeColor="text1"/>
        </w:rPr>
        <w:t>，</w:t>
      </w:r>
      <w:r w:rsidR="000D787F" w:rsidRPr="008B619A">
        <w:rPr>
          <w:rFonts w:hint="eastAsia"/>
          <w:color w:val="000000" w:themeColor="text1"/>
        </w:rPr>
        <w:t>相關實施</w:t>
      </w:r>
      <w:r w:rsidR="00241B03" w:rsidRPr="008B619A">
        <w:rPr>
          <w:rFonts w:hint="eastAsia"/>
          <w:color w:val="000000" w:themeColor="text1"/>
        </w:rPr>
        <w:t>策略</w:t>
      </w:r>
      <w:r w:rsidR="00D122CF" w:rsidRPr="008B619A">
        <w:rPr>
          <w:rFonts w:hint="eastAsia"/>
          <w:color w:val="000000" w:themeColor="text1"/>
        </w:rPr>
        <w:t>尚待假以時日之執行落實，方能有效評估成效。茲列</w:t>
      </w:r>
      <w:r w:rsidR="00241B03" w:rsidRPr="008B619A">
        <w:rPr>
          <w:rFonts w:hint="eastAsia"/>
          <w:color w:val="000000" w:themeColor="text1"/>
        </w:rPr>
        <w:t>初步</w:t>
      </w:r>
      <w:r w:rsidR="000D787F" w:rsidRPr="008B619A">
        <w:rPr>
          <w:rFonts w:hint="eastAsia"/>
          <w:color w:val="000000" w:themeColor="text1"/>
        </w:rPr>
        <w:t>成效情形如下：</w:t>
      </w:r>
    </w:p>
    <w:p w14:paraId="42FCA8A7" w14:textId="39AFBCDB" w:rsidR="009A65D3" w:rsidRPr="008B619A" w:rsidRDefault="009A65D3" w:rsidP="00CD6D6D">
      <w:pPr>
        <w:pStyle w:val="4"/>
        <w:rPr>
          <w:color w:val="000000" w:themeColor="text1"/>
        </w:rPr>
      </w:pPr>
      <w:r w:rsidRPr="008B619A">
        <w:rPr>
          <w:rFonts w:hint="eastAsia"/>
          <w:color w:val="000000" w:themeColor="text1"/>
        </w:rPr>
        <w:t>行政院為重塑產學研夥伴關係，有效鏈結學研創新研發、人才培育、知識移轉機制，以挹注產業創新轉型及擴大衍生新創之經濟效益，自105年起成立「產學研連結會報」，強化跨部會連結運作及資源整合，截至110年4月共召開8次會議，推動</w:t>
      </w:r>
      <w:r w:rsidRPr="008B619A">
        <w:rPr>
          <w:rFonts w:hint="eastAsia"/>
          <w:color w:val="000000" w:themeColor="text1"/>
        </w:rPr>
        <w:lastRenderedPageBreak/>
        <w:t>成果說明如下：</w:t>
      </w:r>
    </w:p>
    <w:p w14:paraId="258219DC" w14:textId="77777777" w:rsidR="009A65D3" w:rsidRPr="008B619A" w:rsidRDefault="009A65D3" w:rsidP="00690501">
      <w:pPr>
        <w:pStyle w:val="5"/>
        <w:rPr>
          <w:color w:val="000000" w:themeColor="text1"/>
        </w:rPr>
      </w:pPr>
      <w:r w:rsidRPr="008B619A">
        <w:rPr>
          <w:rFonts w:hint="eastAsia"/>
          <w:color w:val="000000" w:themeColor="text1"/>
        </w:rPr>
        <w:t>人才培育鏈結組</w:t>
      </w:r>
    </w:p>
    <w:p w14:paraId="0B26C678" w14:textId="77777777" w:rsidR="009A65D3" w:rsidRPr="008B619A" w:rsidRDefault="009A65D3" w:rsidP="00381D64">
      <w:pPr>
        <w:pStyle w:val="6"/>
        <w:rPr>
          <w:color w:val="000000" w:themeColor="text1"/>
        </w:rPr>
      </w:pPr>
      <w:r w:rsidRPr="008B619A">
        <w:rPr>
          <w:rFonts w:hint="eastAsia"/>
          <w:color w:val="000000" w:themeColor="text1"/>
        </w:rPr>
        <w:t>調整博士班招生名額調控政策，回應產業對高階人才需求。</w:t>
      </w:r>
    </w:p>
    <w:p w14:paraId="6998B040" w14:textId="77777777" w:rsidR="009A65D3" w:rsidRPr="008B619A" w:rsidRDefault="009A65D3" w:rsidP="00381D64">
      <w:pPr>
        <w:pStyle w:val="6"/>
        <w:rPr>
          <w:color w:val="000000" w:themeColor="text1"/>
        </w:rPr>
      </w:pPr>
      <w:r w:rsidRPr="008B619A">
        <w:rPr>
          <w:rFonts w:hint="eastAsia"/>
          <w:color w:val="000000" w:themeColor="text1"/>
        </w:rPr>
        <w:t>推動教師多元升等制度，改變過往大學傾斜研究的學術氛圍。</w:t>
      </w:r>
    </w:p>
    <w:p w14:paraId="21AE6C1B" w14:textId="77777777" w:rsidR="009A65D3" w:rsidRPr="008B619A" w:rsidRDefault="009A65D3" w:rsidP="00381D64">
      <w:pPr>
        <w:pStyle w:val="6"/>
        <w:rPr>
          <w:color w:val="000000" w:themeColor="text1"/>
        </w:rPr>
      </w:pPr>
      <w:r w:rsidRPr="008B619A">
        <w:rPr>
          <w:rFonts w:hint="eastAsia"/>
          <w:color w:val="000000" w:themeColor="text1"/>
        </w:rPr>
        <w:t>整合教育部相關計畫，培育全方位發展人才。</w:t>
      </w:r>
    </w:p>
    <w:p w14:paraId="3B760E04" w14:textId="77777777" w:rsidR="009A65D3" w:rsidRPr="008B619A" w:rsidRDefault="009A65D3" w:rsidP="00690501">
      <w:pPr>
        <w:pStyle w:val="5"/>
        <w:rPr>
          <w:color w:val="000000" w:themeColor="text1"/>
        </w:rPr>
      </w:pPr>
      <w:r w:rsidRPr="008B619A">
        <w:rPr>
          <w:rFonts w:hint="eastAsia"/>
          <w:color w:val="000000" w:themeColor="text1"/>
        </w:rPr>
        <w:t>學研創新鏈結組</w:t>
      </w:r>
    </w:p>
    <w:p w14:paraId="3B0490DC" w14:textId="77777777" w:rsidR="009A65D3" w:rsidRPr="008B619A" w:rsidRDefault="009A65D3" w:rsidP="00381D64">
      <w:pPr>
        <w:pStyle w:val="6"/>
        <w:rPr>
          <w:color w:val="000000" w:themeColor="text1"/>
        </w:rPr>
      </w:pPr>
      <w:r w:rsidRPr="008B619A">
        <w:rPr>
          <w:rFonts w:hint="eastAsia"/>
          <w:color w:val="000000" w:themeColor="text1"/>
        </w:rPr>
        <w:t>推動科研成果創業計畫，促進大學尖端技術孵化為衍生新創公司。</w:t>
      </w:r>
    </w:p>
    <w:p w14:paraId="393626DB" w14:textId="77777777" w:rsidR="009A65D3" w:rsidRPr="008B619A" w:rsidRDefault="009A65D3" w:rsidP="00381D64">
      <w:pPr>
        <w:pStyle w:val="6"/>
        <w:rPr>
          <w:color w:val="000000" w:themeColor="text1"/>
        </w:rPr>
      </w:pPr>
      <w:r w:rsidRPr="008B619A">
        <w:rPr>
          <w:rFonts w:hint="eastAsia"/>
          <w:color w:val="000000" w:themeColor="text1"/>
        </w:rPr>
        <w:t>擴大產學合作獎勵機制(如科技部傑出研究獎、教育部國家產學大師獎)，強化科研成果的多元效益。</w:t>
      </w:r>
    </w:p>
    <w:p w14:paraId="6D7D7EB7" w14:textId="77777777" w:rsidR="009A65D3" w:rsidRPr="008B619A" w:rsidRDefault="009A65D3" w:rsidP="00690501">
      <w:pPr>
        <w:pStyle w:val="5"/>
        <w:rPr>
          <w:color w:val="000000" w:themeColor="text1"/>
        </w:rPr>
      </w:pPr>
      <w:r w:rsidRPr="008B619A">
        <w:rPr>
          <w:rFonts w:hint="eastAsia"/>
          <w:color w:val="000000" w:themeColor="text1"/>
        </w:rPr>
        <w:t>法規環境革新組</w:t>
      </w:r>
    </w:p>
    <w:p w14:paraId="0273268C" w14:textId="77777777" w:rsidR="009A65D3" w:rsidRPr="008B619A" w:rsidRDefault="009A65D3" w:rsidP="00381D64">
      <w:pPr>
        <w:pStyle w:val="6"/>
        <w:rPr>
          <w:color w:val="000000" w:themeColor="text1"/>
        </w:rPr>
      </w:pPr>
      <w:r w:rsidRPr="008B619A">
        <w:rPr>
          <w:rFonts w:hint="eastAsia"/>
          <w:color w:val="000000" w:themeColor="text1"/>
        </w:rPr>
        <w:t>完成科學技術基本法之修訂，鼓勵新創事業及研發成果運用。</w:t>
      </w:r>
    </w:p>
    <w:p w14:paraId="169A8A46" w14:textId="77777777" w:rsidR="009A65D3" w:rsidRPr="008B619A" w:rsidRDefault="009A65D3" w:rsidP="00381D64">
      <w:pPr>
        <w:pStyle w:val="6"/>
        <w:rPr>
          <w:color w:val="000000" w:themeColor="text1"/>
        </w:rPr>
      </w:pPr>
      <w:r w:rsidRPr="008B619A">
        <w:rPr>
          <w:rFonts w:hint="eastAsia"/>
          <w:color w:val="000000" w:themeColor="text1"/>
        </w:rPr>
        <w:t>大學辦理產學合作取得之收入，得免徵營業稅。另完成產業創新條例修法，研發成果創作人取得技術股可擇低課稅。</w:t>
      </w:r>
    </w:p>
    <w:p w14:paraId="25ECFB98" w14:textId="416C939C" w:rsidR="009A65D3" w:rsidRPr="008B619A" w:rsidRDefault="009A65D3" w:rsidP="00381D64">
      <w:pPr>
        <w:pStyle w:val="6"/>
        <w:rPr>
          <w:color w:val="000000" w:themeColor="text1"/>
        </w:rPr>
      </w:pPr>
      <w:r w:rsidRPr="008B619A">
        <w:rPr>
          <w:rFonts w:hint="eastAsia"/>
          <w:color w:val="000000" w:themeColor="text1"/>
        </w:rPr>
        <w:t>公立學校以非科研預算之校務基金自籌收入所得成果，不受國有財產法限制。另財團法人執行科技計畫技術作價所得之股權，不受財團法人法之持股限制</w:t>
      </w:r>
      <w:r w:rsidR="007953A1" w:rsidRPr="008B619A">
        <w:rPr>
          <w:rFonts w:hint="eastAsia"/>
          <w:color w:val="000000" w:themeColor="text1"/>
        </w:rPr>
        <w:t>。</w:t>
      </w:r>
    </w:p>
    <w:p w14:paraId="016F57C2" w14:textId="15D5B7E6" w:rsidR="00CD6D6D" w:rsidRPr="008B619A" w:rsidRDefault="005162A2" w:rsidP="00CD6D6D">
      <w:pPr>
        <w:pStyle w:val="4"/>
        <w:rPr>
          <w:color w:val="000000" w:themeColor="text1"/>
        </w:rPr>
      </w:pPr>
      <w:r w:rsidRPr="008B619A">
        <w:rPr>
          <w:rFonts w:hint="eastAsia"/>
          <w:color w:val="000000" w:themeColor="text1"/>
        </w:rPr>
        <w:t>人力躍升培訓及媒合平臺：</w:t>
      </w:r>
    </w:p>
    <w:p w14:paraId="72C6BCBF" w14:textId="162E23CC" w:rsidR="005162A2" w:rsidRPr="008B619A" w:rsidRDefault="005162A2" w:rsidP="00137E59">
      <w:pPr>
        <w:pStyle w:val="43"/>
        <w:ind w:left="1701" w:firstLine="680"/>
        <w:rPr>
          <w:color w:val="000000" w:themeColor="text1"/>
        </w:rPr>
      </w:pPr>
      <w:r w:rsidRPr="008B619A">
        <w:rPr>
          <w:rFonts w:hint="eastAsia"/>
          <w:color w:val="000000" w:themeColor="text1"/>
        </w:rPr>
        <w:t>為協助大專校院教師貼近產業，深化實務教學及產學交流合作，促進研究及研發成果與產業接軌，並活絡學界高階人力資源運用，</w:t>
      </w:r>
      <w:r w:rsidR="005E45D1" w:rsidRPr="008B619A">
        <w:rPr>
          <w:rFonts w:hint="eastAsia"/>
          <w:color w:val="000000" w:themeColor="text1"/>
        </w:rPr>
        <w:t>教育</w:t>
      </w:r>
      <w:r w:rsidRPr="008B619A">
        <w:rPr>
          <w:rFonts w:hint="eastAsia"/>
          <w:color w:val="000000" w:themeColor="text1"/>
        </w:rPr>
        <w:t>部建置「大專校院高等教育人力躍升培訓及媒合平</w:t>
      </w:r>
      <w:r w:rsidRPr="008B619A">
        <w:rPr>
          <w:rFonts w:hint="eastAsia"/>
          <w:color w:val="000000" w:themeColor="text1"/>
        </w:rPr>
        <w:lastRenderedPageBreak/>
        <w:t>臺」</w:t>
      </w:r>
      <w:r w:rsidR="00436138" w:rsidRPr="008B619A">
        <w:rPr>
          <w:rStyle w:val="aff1"/>
          <w:color w:val="000000" w:themeColor="text1"/>
        </w:rPr>
        <w:footnoteReference w:id="24"/>
      </w:r>
      <w:r w:rsidRPr="008B619A">
        <w:rPr>
          <w:rFonts w:hint="eastAsia"/>
          <w:color w:val="000000" w:themeColor="text1"/>
        </w:rPr>
        <w:t>，收集國立學校、法人研究單位及產企業高階人力需求工作職缺等，建立適合教師轉職之服務平臺，並進行轉介服務及後續輔導。成效如下</w:t>
      </w:r>
      <w:r w:rsidR="003B7DBC" w:rsidRPr="008B619A">
        <w:rPr>
          <w:rFonts w:hint="eastAsia"/>
          <w:color w:val="000000" w:themeColor="text1"/>
        </w:rPr>
        <w:t>：</w:t>
      </w:r>
    </w:p>
    <w:p w14:paraId="1344EE4C" w14:textId="392F63BD" w:rsidR="00431B18" w:rsidRPr="008B619A" w:rsidRDefault="00431B18" w:rsidP="00137E59">
      <w:pPr>
        <w:pStyle w:val="6"/>
        <w:rPr>
          <w:color w:val="000000" w:themeColor="text1"/>
        </w:rPr>
      </w:pPr>
      <w:r w:rsidRPr="008B619A">
        <w:rPr>
          <w:rFonts w:hint="eastAsia"/>
          <w:color w:val="000000" w:themeColor="text1"/>
        </w:rPr>
        <w:t>至110年4月27日止，該平臺已有1,702位會員，提供260個博士職缺、1,896個碩士職缺與801個其他職缺，促成47位教師轉入產業服務。</w:t>
      </w:r>
    </w:p>
    <w:p w14:paraId="6BF093D8" w14:textId="1A2EF961" w:rsidR="003B7DBC" w:rsidRPr="008B619A" w:rsidRDefault="00431B18" w:rsidP="00137E59">
      <w:pPr>
        <w:pStyle w:val="6"/>
        <w:rPr>
          <w:color w:val="000000" w:themeColor="text1"/>
        </w:rPr>
      </w:pPr>
      <w:r w:rsidRPr="008B619A">
        <w:rPr>
          <w:rFonts w:hint="eastAsia"/>
          <w:color w:val="000000" w:themeColor="text1"/>
        </w:rPr>
        <w:t>近3年共辦理29堂培訓課程(107年12堂、108年7堂、109年10堂)，包含創新創業類、職涯轉換類、實務參訪類、產業趨勢類，增進教師創業與轉職能力等</w:t>
      </w:r>
      <w:r w:rsidR="00D86220" w:rsidRPr="008B619A">
        <w:rPr>
          <w:rFonts w:hint="eastAsia"/>
          <w:color w:val="000000" w:themeColor="text1"/>
        </w:rPr>
        <w:t>。</w:t>
      </w:r>
    </w:p>
    <w:p w14:paraId="209D7D69" w14:textId="77777777" w:rsidR="007C2687" w:rsidRPr="008B619A" w:rsidRDefault="007C2687" w:rsidP="007C2687">
      <w:pPr>
        <w:pStyle w:val="4"/>
        <w:rPr>
          <w:color w:val="000000" w:themeColor="text1"/>
        </w:rPr>
      </w:pPr>
      <w:r w:rsidRPr="008B619A">
        <w:rPr>
          <w:rFonts w:hint="eastAsia"/>
          <w:color w:val="000000" w:themeColor="text1"/>
        </w:rPr>
        <w:t>鼓勵大學配合國家政策需求及相關部會人才需求建議，主動擴充相關政策領域招生名額，如配合行政院計畫，以外加名額鼓勵大學增加資通訊領域、半導體領域招生名額。</w:t>
      </w:r>
      <w:r w:rsidRPr="008B619A">
        <w:rPr>
          <w:color w:val="000000" w:themeColor="text1"/>
        </w:rPr>
        <w:t>109</w:t>
      </w:r>
      <w:r w:rsidRPr="008B619A">
        <w:rPr>
          <w:rFonts w:hint="eastAsia"/>
          <w:color w:val="000000" w:themeColor="text1"/>
        </w:rPr>
        <w:t>學年度核定資通訊數位高階人才培育量增加</w:t>
      </w:r>
      <w:r w:rsidRPr="008B619A">
        <w:rPr>
          <w:color w:val="000000" w:themeColor="text1"/>
        </w:rPr>
        <w:t>3,125</w:t>
      </w:r>
      <w:r w:rsidRPr="008B619A">
        <w:rPr>
          <w:rFonts w:hint="eastAsia"/>
          <w:color w:val="000000" w:themeColor="text1"/>
        </w:rPr>
        <w:t>名額，包含一般大學</w:t>
      </w:r>
      <w:r w:rsidRPr="008B619A">
        <w:rPr>
          <w:color w:val="000000" w:themeColor="text1"/>
        </w:rPr>
        <w:t>1,804</w:t>
      </w:r>
      <w:r w:rsidRPr="008B619A">
        <w:rPr>
          <w:rFonts w:hint="eastAsia"/>
          <w:color w:val="000000" w:themeColor="text1"/>
        </w:rPr>
        <w:t>名及技專校院</w:t>
      </w:r>
      <w:r w:rsidRPr="008B619A">
        <w:rPr>
          <w:color w:val="000000" w:themeColor="text1"/>
        </w:rPr>
        <w:t>1,321</w:t>
      </w:r>
      <w:r w:rsidRPr="008B619A">
        <w:rPr>
          <w:rFonts w:hint="eastAsia"/>
          <w:color w:val="000000" w:themeColor="text1"/>
        </w:rPr>
        <w:t>名（含博士班</w:t>
      </w:r>
      <w:r w:rsidRPr="008B619A">
        <w:rPr>
          <w:color w:val="000000" w:themeColor="text1"/>
        </w:rPr>
        <w:t>117</w:t>
      </w:r>
      <w:r w:rsidRPr="008B619A">
        <w:rPr>
          <w:rFonts w:hint="eastAsia"/>
          <w:color w:val="000000" w:themeColor="text1"/>
        </w:rPr>
        <w:t>名）。</w:t>
      </w:r>
      <w:r w:rsidRPr="008B619A">
        <w:rPr>
          <w:color w:val="000000" w:themeColor="text1"/>
        </w:rPr>
        <w:t>110</w:t>
      </w:r>
      <w:r w:rsidRPr="008B619A">
        <w:rPr>
          <w:rFonts w:hint="eastAsia"/>
          <w:color w:val="000000" w:themeColor="text1"/>
        </w:rPr>
        <w:t>學年度將資通訊領域擴大至半導體、</w:t>
      </w:r>
      <w:r w:rsidRPr="008B619A">
        <w:rPr>
          <w:color w:val="000000" w:themeColor="text1"/>
        </w:rPr>
        <w:t>AI</w:t>
      </w:r>
      <w:r w:rsidRPr="008B619A">
        <w:rPr>
          <w:rFonts w:hint="eastAsia"/>
          <w:color w:val="000000" w:themeColor="text1"/>
        </w:rPr>
        <w:t>、機械等領域相關系所，計核定增加</w:t>
      </w:r>
      <w:r w:rsidRPr="008B619A">
        <w:rPr>
          <w:color w:val="000000" w:themeColor="text1"/>
        </w:rPr>
        <w:t>6,204</w:t>
      </w:r>
      <w:r w:rsidRPr="008B619A">
        <w:rPr>
          <w:rFonts w:hint="eastAsia"/>
          <w:color w:val="000000" w:themeColor="text1"/>
        </w:rPr>
        <w:t>名額，包含一般大學</w:t>
      </w:r>
      <w:r w:rsidRPr="008B619A">
        <w:rPr>
          <w:color w:val="000000" w:themeColor="text1"/>
        </w:rPr>
        <w:t>4,008</w:t>
      </w:r>
      <w:r w:rsidRPr="008B619A">
        <w:rPr>
          <w:rFonts w:hint="eastAsia"/>
          <w:color w:val="000000" w:themeColor="text1"/>
        </w:rPr>
        <w:t>名及技專校院</w:t>
      </w:r>
      <w:r w:rsidRPr="008B619A">
        <w:rPr>
          <w:color w:val="000000" w:themeColor="text1"/>
        </w:rPr>
        <w:t>2,196</w:t>
      </w:r>
      <w:r w:rsidRPr="008B619A">
        <w:rPr>
          <w:rFonts w:hint="eastAsia"/>
          <w:color w:val="000000" w:themeColor="text1"/>
        </w:rPr>
        <w:t>名（含博士班</w:t>
      </w:r>
      <w:r w:rsidRPr="008B619A">
        <w:rPr>
          <w:color w:val="000000" w:themeColor="text1"/>
        </w:rPr>
        <w:t>294</w:t>
      </w:r>
      <w:r w:rsidRPr="008B619A">
        <w:rPr>
          <w:rFonts w:hint="eastAsia"/>
          <w:color w:val="000000" w:themeColor="text1"/>
        </w:rPr>
        <w:t>名）。</w:t>
      </w:r>
    </w:p>
    <w:p w14:paraId="74C78949" w14:textId="09F858F1" w:rsidR="00BC15F9" w:rsidRPr="008B619A" w:rsidRDefault="00BC15F9" w:rsidP="00B851B2">
      <w:pPr>
        <w:pStyle w:val="3"/>
        <w:rPr>
          <w:color w:val="000000" w:themeColor="text1"/>
        </w:rPr>
      </w:pPr>
      <w:r w:rsidRPr="008B619A">
        <w:rPr>
          <w:rFonts w:hint="eastAsia"/>
          <w:color w:val="000000" w:themeColor="text1"/>
          <w:szCs w:val="48"/>
        </w:rPr>
        <w:t>為解決</w:t>
      </w:r>
      <w:r w:rsidR="00E54EB0" w:rsidRPr="008B619A">
        <w:rPr>
          <w:rFonts w:hint="eastAsia"/>
          <w:color w:val="000000" w:themeColor="text1"/>
          <w:szCs w:val="48"/>
        </w:rPr>
        <w:t>學用落差</w:t>
      </w:r>
      <w:r w:rsidRPr="008B619A">
        <w:rPr>
          <w:rFonts w:hint="eastAsia"/>
          <w:color w:val="000000" w:themeColor="text1"/>
          <w:szCs w:val="48"/>
        </w:rPr>
        <w:t>困境，近年來政府各相關部門如國發會、科技部、教育部和經濟部等亦均祭出不同構想與方案，過去亦有橫向聯繫不足之情況。</w:t>
      </w:r>
      <w:r w:rsidR="009F021C" w:rsidRPr="008B619A">
        <w:rPr>
          <w:rFonts w:hint="eastAsia"/>
          <w:color w:val="000000" w:themeColor="text1"/>
          <w:szCs w:val="48"/>
        </w:rPr>
        <w:t>基此，</w:t>
      </w:r>
      <w:r w:rsidRPr="008B619A">
        <w:rPr>
          <w:rFonts w:hint="eastAsia"/>
          <w:color w:val="000000" w:themeColor="text1"/>
        </w:rPr>
        <w:t>教育部與經濟部、勞動部透過「重點產業及重大投資跨部會人力供需合作平臺」蒐集產業人才培育需求，或配合重點產業園區、金管會等產業需求，協助學校提出產學合作</w:t>
      </w:r>
      <w:r w:rsidRPr="008B619A">
        <w:rPr>
          <w:color w:val="000000" w:themeColor="text1"/>
        </w:rPr>
        <w:t>專班</w:t>
      </w:r>
      <w:r w:rsidRPr="008B619A">
        <w:rPr>
          <w:rFonts w:hint="eastAsia"/>
          <w:color w:val="000000" w:themeColor="text1"/>
        </w:rPr>
        <w:t>計畫及安排學生至企業</w:t>
      </w:r>
      <w:r w:rsidRPr="008B619A">
        <w:rPr>
          <w:rFonts w:hint="eastAsia"/>
          <w:color w:val="000000" w:themeColor="text1"/>
        </w:rPr>
        <w:lastRenderedPageBreak/>
        <w:t>實習。近3年媒合成效如下表，有逐年提高趨勢。</w:t>
      </w:r>
    </w:p>
    <w:p w14:paraId="25EAA2FE" w14:textId="646BD94D" w:rsidR="00BC15F9" w:rsidRPr="008B619A" w:rsidRDefault="00BC15F9" w:rsidP="00BC15F9">
      <w:pPr>
        <w:pStyle w:val="a3"/>
        <w:ind w:left="992"/>
        <w:jc w:val="center"/>
        <w:rPr>
          <w:rFonts w:hAnsi="標楷體"/>
          <w:b/>
          <w:color w:val="000000" w:themeColor="text1"/>
        </w:rPr>
      </w:pPr>
      <w:r w:rsidRPr="008B619A">
        <w:rPr>
          <w:rFonts w:hAnsi="標楷體" w:hint="eastAsia"/>
          <w:b/>
          <w:color w:val="000000" w:themeColor="text1"/>
        </w:rPr>
        <w:t>近3年媒合成效表</w:t>
      </w:r>
    </w:p>
    <w:p w14:paraId="187C5C8E" w14:textId="0F39A56F" w:rsidR="00CE012A" w:rsidRPr="008B619A" w:rsidRDefault="00AB4584" w:rsidP="00AB4584">
      <w:pPr>
        <w:ind w:right="260"/>
        <w:jc w:val="right"/>
        <w:rPr>
          <w:color w:val="000000" w:themeColor="text1"/>
          <w:sz w:val="24"/>
          <w:szCs w:val="24"/>
        </w:rPr>
      </w:pPr>
      <w:r w:rsidRPr="008B619A">
        <w:rPr>
          <w:rFonts w:hint="eastAsia"/>
          <w:color w:val="000000" w:themeColor="text1"/>
          <w:sz w:val="24"/>
          <w:szCs w:val="24"/>
        </w:rPr>
        <w:t>單位：人數；%</w:t>
      </w:r>
    </w:p>
    <w:tbl>
      <w:tblPr>
        <w:tblW w:w="4447" w:type="pct"/>
        <w:tblInd w:w="7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
        <w:gridCol w:w="2574"/>
        <w:gridCol w:w="2409"/>
        <w:gridCol w:w="1930"/>
      </w:tblGrid>
      <w:tr w:rsidR="00BC15F9" w:rsidRPr="008B619A" w14:paraId="249B8E09" w14:textId="77777777" w:rsidTr="005F4AB4">
        <w:trPr>
          <w:trHeight w:val="20"/>
          <w:tblHeader/>
        </w:trPr>
        <w:tc>
          <w:tcPr>
            <w:tcW w:w="601" w:type="pct"/>
            <w:shd w:val="clear" w:color="auto" w:fill="E2EFD9"/>
            <w:vAlign w:val="center"/>
          </w:tcPr>
          <w:p w14:paraId="357BAC49" w14:textId="77777777" w:rsidR="00BC15F9" w:rsidRPr="008B619A" w:rsidRDefault="00BC15F9" w:rsidP="005F4AB4">
            <w:pPr>
              <w:tabs>
                <w:tab w:val="left" w:pos="426"/>
                <w:tab w:val="left" w:pos="709"/>
                <w:tab w:val="left" w:pos="851"/>
              </w:tabs>
              <w:adjustRightInd w:val="0"/>
              <w:snapToGrid w:val="0"/>
              <w:spacing w:line="240" w:lineRule="atLeast"/>
              <w:jc w:val="center"/>
              <w:rPr>
                <w:rFonts w:hAnsi="標楷體"/>
                <w:b/>
                <w:bCs/>
                <w:color w:val="000000" w:themeColor="text1"/>
                <w:sz w:val="28"/>
                <w:szCs w:val="28"/>
              </w:rPr>
            </w:pPr>
            <w:r w:rsidRPr="008B619A">
              <w:rPr>
                <w:rFonts w:hAnsi="標楷體"/>
                <w:b/>
                <w:bCs/>
                <w:color w:val="000000" w:themeColor="text1"/>
                <w:sz w:val="28"/>
                <w:szCs w:val="28"/>
              </w:rPr>
              <w:t>年</w:t>
            </w:r>
            <w:r w:rsidRPr="008B619A">
              <w:rPr>
                <w:rFonts w:hAnsi="標楷體" w:hint="eastAsia"/>
                <w:b/>
                <w:bCs/>
                <w:color w:val="000000" w:themeColor="text1"/>
                <w:sz w:val="28"/>
                <w:szCs w:val="28"/>
              </w:rPr>
              <w:t>度</w:t>
            </w:r>
          </w:p>
        </w:tc>
        <w:tc>
          <w:tcPr>
            <w:tcW w:w="1638" w:type="pct"/>
            <w:shd w:val="clear" w:color="auto" w:fill="E2EFD9"/>
            <w:vAlign w:val="center"/>
          </w:tcPr>
          <w:p w14:paraId="648D4755" w14:textId="77777777" w:rsidR="00BC15F9" w:rsidRPr="008B619A" w:rsidRDefault="00BC15F9" w:rsidP="005F4AB4">
            <w:pPr>
              <w:tabs>
                <w:tab w:val="left" w:pos="426"/>
                <w:tab w:val="left" w:pos="709"/>
                <w:tab w:val="left" w:pos="851"/>
              </w:tabs>
              <w:adjustRightInd w:val="0"/>
              <w:snapToGrid w:val="0"/>
              <w:spacing w:line="240" w:lineRule="atLeast"/>
              <w:jc w:val="center"/>
              <w:rPr>
                <w:rFonts w:hAnsi="標楷體"/>
                <w:b/>
                <w:bCs/>
                <w:color w:val="000000" w:themeColor="text1"/>
                <w:sz w:val="28"/>
                <w:szCs w:val="28"/>
              </w:rPr>
            </w:pPr>
            <w:r w:rsidRPr="008B619A">
              <w:rPr>
                <w:rFonts w:hAnsi="標楷體" w:hint="eastAsia"/>
                <w:b/>
                <w:bCs/>
                <w:color w:val="000000" w:themeColor="text1"/>
                <w:sz w:val="28"/>
                <w:szCs w:val="28"/>
              </w:rPr>
              <w:t>企業人才</w:t>
            </w:r>
            <w:r w:rsidRPr="008B619A">
              <w:rPr>
                <w:rFonts w:hAnsi="標楷體"/>
                <w:b/>
                <w:bCs/>
                <w:color w:val="000000" w:themeColor="text1"/>
                <w:sz w:val="28"/>
                <w:szCs w:val="28"/>
              </w:rPr>
              <w:t>需求數</w:t>
            </w:r>
          </w:p>
        </w:tc>
        <w:tc>
          <w:tcPr>
            <w:tcW w:w="1533" w:type="pct"/>
            <w:shd w:val="clear" w:color="auto" w:fill="E2EFD9"/>
            <w:vAlign w:val="center"/>
          </w:tcPr>
          <w:p w14:paraId="1AF6676A" w14:textId="77777777" w:rsidR="00BC15F9" w:rsidRPr="008B619A" w:rsidRDefault="00BC15F9" w:rsidP="005F4AB4">
            <w:pPr>
              <w:tabs>
                <w:tab w:val="left" w:pos="426"/>
                <w:tab w:val="left" w:pos="709"/>
                <w:tab w:val="left" w:pos="851"/>
              </w:tabs>
              <w:adjustRightInd w:val="0"/>
              <w:snapToGrid w:val="0"/>
              <w:spacing w:line="240" w:lineRule="atLeast"/>
              <w:jc w:val="center"/>
              <w:rPr>
                <w:rFonts w:hAnsi="標楷體"/>
                <w:b/>
                <w:bCs/>
                <w:color w:val="000000" w:themeColor="text1"/>
                <w:sz w:val="28"/>
                <w:szCs w:val="28"/>
              </w:rPr>
            </w:pPr>
            <w:r w:rsidRPr="008B619A">
              <w:rPr>
                <w:rFonts w:hAnsi="標楷體"/>
                <w:b/>
                <w:bCs/>
                <w:color w:val="000000" w:themeColor="text1"/>
                <w:sz w:val="28"/>
                <w:szCs w:val="28"/>
              </w:rPr>
              <w:t>成功媒合需求數</w:t>
            </w:r>
          </w:p>
        </w:tc>
        <w:tc>
          <w:tcPr>
            <w:tcW w:w="1228" w:type="pct"/>
            <w:shd w:val="clear" w:color="auto" w:fill="E2EFD9"/>
            <w:vAlign w:val="center"/>
          </w:tcPr>
          <w:p w14:paraId="79EA17AF" w14:textId="77777777" w:rsidR="00BC15F9" w:rsidRPr="008B619A" w:rsidRDefault="00BC15F9" w:rsidP="005F4AB4">
            <w:pPr>
              <w:tabs>
                <w:tab w:val="left" w:pos="426"/>
                <w:tab w:val="left" w:pos="709"/>
                <w:tab w:val="left" w:pos="851"/>
              </w:tabs>
              <w:adjustRightInd w:val="0"/>
              <w:snapToGrid w:val="0"/>
              <w:spacing w:line="240" w:lineRule="atLeast"/>
              <w:jc w:val="center"/>
              <w:rPr>
                <w:rFonts w:hAnsi="標楷體"/>
                <w:b/>
                <w:bCs/>
                <w:color w:val="000000" w:themeColor="text1"/>
                <w:sz w:val="28"/>
                <w:szCs w:val="28"/>
              </w:rPr>
            </w:pPr>
            <w:r w:rsidRPr="008B619A">
              <w:rPr>
                <w:rFonts w:hAnsi="標楷體"/>
                <w:b/>
                <w:bCs/>
                <w:color w:val="000000" w:themeColor="text1"/>
                <w:sz w:val="28"/>
                <w:szCs w:val="28"/>
              </w:rPr>
              <w:t>媒合率</w:t>
            </w:r>
          </w:p>
        </w:tc>
      </w:tr>
      <w:tr w:rsidR="00BC15F9" w:rsidRPr="008B619A" w14:paraId="3B962706" w14:textId="77777777" w:rsidTr="005F4AB4">
        <w:trPr>
          <w:trHeight w:val="20"/>
          <w:tblHeader/>
        </w:trPr>
        <w:tc>
          <w:tcPr>
            <w:tcW w:w="601" w:type="pct"/>
            <w:shd w:val="clear" w:color="auto" w:fill="auto"/>
            <w:vAlign w:val="center"/>
          </w:tcPr>
          <w:p w14:paraId="7EA4B3AD" w14:textId="77777777" w:rsidR="00BC15F9" w:rsidRPr="008B619A" w:rsidRDefault="00BC15F9" w:rsidP="005F4AB4">
            <w:pPr>
              <w:tabs>
                <w:tab w:val="left" w:pos="426"/>
                <w:tab w:val="left" w:pos="709"/>
                <w:tab w:val="left" w:pos="851"/>
              </w:tabs>
              <w:adjustRightInd w:val="0"/>
              <w:snapToGrid w:val="0"/>
              <w:spacing w:line="240" w:lineRule="atLeast"/>
              <w:jc w:val="center"/>
              <w:rPr>
                <w:rFonts w:hAnsi="標楷體"/>
                <w:b/>
                <w:bCs/>
                <w:color w:val="000000" w:themeColor="text1"/>
                <w:sz w:val="28"/>
                <w:szCs w:val="28"/>
              </w:rPr>
            </w:pPr>
            <w:r w:rsidRPr="008B619A">
              <w:rPr>
                <w:rFonts w:hAnsi="標楷體"/>
                <w:b/>
                <w:bCs/>
                <w:color w:val="000000" w:themeColor="text1"/>
                <w:sz w:val="28"/>
                <w:szCs w:val="28"/>
              </w:rPr>
              <w:t>107</w:t>
            </w:r>
          </w:p>
        </w:tc>
        <w:tc>
          <w:tcPr>
            <w:tcW w:w="1638" w:type="pct"/>
            <w:shd w:val="clear" w:color="auto" w:fill="auto"/>
            <w:vAlign w:val="center"/>
          </w:tcPr>
          <w:p w14:paraId="0F8DEDD6" w14:textId="77777777" w:rsidR="00BC15F9" w:rsidRPr="008B619A" w:rsidRDefault="00BC15F9" w:rsidP="005F4AB4">
            <w:pPr>
              <w:tabs>
                <w:tab w:val="left" w:pos="426"/>
                <w:tab w:val="left" w:pos="709"/>
                <w:tab w:val="left" w:pos="851"/>
              </w:tabs>
              <w:adjustRightInd w:val="0"/>
              <w:snapToGrid w:val="0"/>
              <w:spacing w:line="240" w:lineRule="atLeast"/>
              <w:jc w:val="right"/>
              <w:rPr>
                <w:rFonts w:hAnsi="標楷體"/>
                <w:color w:val="000000" w:themeColor="text1"/>
                <w:sz w:val="28"/>
                <w:szCs w:val="28"/>
              </w:rPr>
            </w:pPr>
            <w:r w:rsidRPr="008B619A">
              <w:rPr>
                <w:rFonts w:hAnsi="標楷體"/>
                <w:color w:val="000000" w:themeColor="text1"/>
                <w:sz w:val="28"/>
                <w:szCs w:val="28"/>
              </w:rPr>
              <w:t>1,290</w:t>
            </w:r>
          </w:p>
        </w:tc>
        <w:tc>
          <w:tcPr>
            <w:tcW w:w="1533" w:type="pct"/>
            <w:shd w:val="clear" w:color="auto" w:fill="auto"/>
            <w:vAlign w:val="center"/>
          </w:tcPr>
          <w:p w14:paraId="52E9D321" w14:textId="77777777" w:rsidR="00BC15F9" w:rsidRPr="008B619A" w:rsidRDefault="00BC15F9" w:rsidP="005F4AB4">
            <w:pPr>
              <w:tabs>
                <w:tab w:val="left" w:pos="426"/>
                <w:tab w:val="left" w:pos="709"/>
                <w:tab w:val="left" w:pos="851"/>
              </w:tabs>
              <w:adjustRightInd w:val="0"/>
              <w:snapToGrid w:val="0"/>
              <w:spacing w:line="240" w:lineRule="atLeast"/>
              <w:jc w:val="right"/>
              <w:rPr>
                <w:rFonts w:hAnsi="標楷體"/>
                <w:color w:val="000000" w:themeColor="text1"/>
                <w:sz w:val="28"/>
                <w:szCs w:val="28"/>
              </w:rPr>
            </w:pPr>
            <w:r w:rsidRPr="008B619A">
              <w:rPr>
                <w:rFonts w:hAnsi="標楷體"/>
                <w:color w:val="000000" w:themeColor="text1"/>
                <w:sz w:val="28"/>
                <w:szCs w:val="28"/>
              </w:rPr>
              <w:t>938</w:t>
            </w:r>
          </w:p>
        </w:tc>
        <w:tc>
          <w:tcPr>
            <w:tcW w:w="1228" w:type="pct"/>
            <w:shd w:val="clear" w:color="auto" w:fill="auto"/>
            <w:vAlign w:val="center"/>
          </w:tcPr>
          <w:p w14:paraId="6F556F27" w14:textId="77777777" w:rsidR="00BC15F9" w:rsidRPr="008B619A" w:rsidRDefault="00BC15F9" w:rsidP="005F4AB4">
            <w:pPr>
              <w:tabs>
                <w:tab w:val="left" w:pos="426"/>
                <w:tab w:val="left" w:pos="709"/>
                <w:tab w:val="left" w:pos="851"/>
              </w:tabs>
              <w:adjustRightInd w:val="0"/>
              <w:snapToGrid w:val="0"/>
              <w:spacing w:line="240" w:lineRule="atLeast"/>
              <w:jc w:val="right"/>
              <w:rPr>
                <w:rFonts w:hAnsi="標楷體"/>
                <w:color w:val="000000" w:themeColor="text1"/>
                <w:sz w:val="28"/>
                <w:szCs w:val="28"/>
              </w:rPr>
            </w:pPr>
            <w:r w:rsidRPr="008B619A">
              <w:rPr>
                <w:rFonts w:hAnsi="標楷體"/>
                <w:color w:val="000000" w:themeColor="text1"/>
                <w:sz w:val="28"/>
                <w:szCs w:val="28"/>
              </w:rPr>
              <w:t>72.7%</w:t>
            </w:r>
          </w:p>
        </w:tc>
      </w:tr>
      <w:tr w:rsidR="00BC15F9" w:rsidRPr="008B619A" w14:paraId="08438EC1" w14:textId="77777777" w:rsidTr="005F4AB4">
        <w:trPr>
          <w:trHeight w:val="20"/>
          <w:tblHeader/>
        </w:trPr>
        <w:tc>
          <w:tcPr>
            <w:tcW w:w="601" w:type="pct"/>
            <w:shd w:val="clear" w:color="auto" w:fill="auto"/>
            <w:vAlign w:val="center"/>
          </w:tcPr>
          <w:p w14:paraId="0A63F4C3" w14:textId="77777777" w:rsidR="00BC15F9" w:rsidRPr="008B619A" w:rsidRDefault="00BC15F9" w:rsidP="005F4AB4">
            <w:pPr>
              <w:tabs>
                <w:tab w:val="left" w:pos="426"/>
                <w:tab w:val="left" w:pos="709"/>
                <w:tab w:val="left" w:pos="851"/>
              </w:tabs>
              <w:adjustRightInd w:val="0"/>
              <w:snapToGrid w:val="0"/>
              <w:spacing w:line="240" w:lineRule="atLeast"/>
              <w:jc w:val="center"/>
              <w:rPr>
                <w:rFonts w:hAnsi="標楷體"/>
                <w:b/>
                <w:bCs/>
                <w:color w:val="000000" w:themeColor="text1"/>
                <w:sz w:val="28"/>
                <w:szCs w:val="28"/>
              </w:rPr>
            </w:pPr>
            <w:r w:rsidRPr="008B619A">
              <w:rPr>
                <w:rFonts w:hAnsi="標楷體"/>
                <w:b/>
                <w:bCs/>
                <w:color w:val="000000" w:themeColor="text1"/>
                <w:sz w:val="28"/>
                <w:szCs w:val="28"/>
              </w:rPr>
              <w:t>108</w:t>
            </w:r>
          </w:p>
        </w:tc>
        <w:tc>
          <w:tcPr>
            <w:tcW w:w="1638" w:type="pct"/>
            <w:shd w:val="clear" w:color="auto" w:fill="auto"/>
            <w:vAlign w:val="center"/>
          </w:tcPr>
          <w:p w14:paraId="37B19FAD" w14:textId="77777777" w:rsidR="00BC15F9" w:rsidRPr="008B619A" w:rsidRDefault="00BC15F9" w:rsidP="005F4AB4">
            <w:pPr>
              <w:tabs>
                <w:tab w:val="left" w:pos="426"/>
                <w:tab w:val="left" w:pos="709"/>
                <w:tab w:val="left" w:pos="851"/>
              </w:tabs>
              <w:adjustRightInd w:val="0"/>
              <w:snapToGrid w:val="0"/>
              <w:spacing w:line="240" w:lineRule="atLeast"/>
              <w:jc w:val="right"/>
              <w:rPr>
                <w:rFonts w:hAnsi="標楷體"/>
                <w:color w:val="000000" w:themeColor="text1"/>
                <w:sz w:val="28"/>
                <w:szCs w:val="28"/>
              </w:rPr>
            </w:pPr>
            <w:r w:rsidRPr="008B619A">
              <w:rPr>
                <w:rFonts w:hAnsi="標楷體"/>
                <w:color w:val="000000" w:themeColor="text1"/>
                <w:sz w:val="28"/>
                <w:szCs w:val="28"/>
              </w:rPr>
              <w:t>990</w:t>
            </w:r>
          </w:p>
        </w:tc>
        <w:tc>
          <w:tcPr>
            <w:tcW w:w="1533" w:type="pct"/>
            <w:shd w:val="clear" w:color="auto" w:fill="auto"/>
            <w:vAlign w:val="center"/>
          </w:tcPr>
          <w:p w14:paraId="34478A96" w14:textId="77777777" w:rsidR="00BC15F9" w:rsidRPr="008B619A" w:rsidRDefault="00BC15F9" w:rsidP="005F4AB4">
            <w:pPr>
              <w:tabs>
                <w:tab w:val="left" w:pos="426"/>
                <w:tab w:val="left" w:pos="709"/>
                <w:tab w:val="left" w:pos="851"/>
              </w:tabs>
              <w:adjustRightInd w:val="0"/>
              <w:snapToGrid w:val="0"/>
              <w:spacing w:line="240" w:lineRule="atLeast"/>
              <w:jc w:val="right"/>
              <w:rPr>
                <w:rFonts w:hAnsi="標楷體"/>
                <w:color w:val="000000" w:themeColor="text1"/>
                <w:sz w:val="28"/>
                <w:szCs w:val="28"/>
              </w:rPr>
            </w:pPr>
            <w:r w:rsidRPr="008B619A">
              <w:rPr>
                <w:rFonts w:hAnsi="標楷體"/>
                <w:color w:val="000000" w:themeColor="text1"/>
                <w:sz w:val="28"/>
                <w:szCs w:val="28"/>
              </w:rPr>
              <w:t>777</w:t>
            </w:r>
          </w:p>
        </w:tc>
        <w:tc>
          <w:tcPr>
            <w:tcW w:w="1228" w:type="pct"/>
            <w:shd w:val="clear" w:color="auto" w:fill="auto"/>
            <w:vAlign w:val="center"/>
          </w:tcPr>
          <w:p w14:paraId="379C750F" w14:textId="77777777" w:rsidR="00BC15F9" w:rsidRPr="008B619A" w:rsidRDefault="00BC15F9" w:rsidP="005F4AB4">
            <w:pPr>
              <w:tabs>
                <w:tab w:val="left" w:pos="426"/>
                <w:tab w:val="left" w:pos="709"/>
                <w:tab w:val="left" w:pos="851"/>
              </w:tabs>
              <w:adjustRightInd w:val="0"/>
              <w:snapToGrid w:val="0"/>
              <w:spacing w:line="240" w:lineRule="atLeast"/>
              <w:jc w:val="right"/>
              <w:rPr>
                <w:rFonts w:hAnsi="標楷體"/>
                <w:color w:val="000000" w:themeColor="text1"/>
                <w:sz w:val="28"/>
                <w:szCs w:val="28"/>
              </w:rPr>
            </w:pPr>
            <w:r w:rsidRPr="008B619A">
              <w:rPr>
                <w:rFonts w:hAnsi="標楷體"/>
                <w:color w:val="000000" w:themeColor="text1"/>
                <w:sz w:val="28"/>
                <w:szCs w:val="28"/>
              </w:rPr>
              <w:t>78.5%</w:t>
            </w:r>
          </w:p>
        </w:tc>
      </w:tr>
      <w:tr w:rsidR="00BC15F9" w:rsidRPr="008B619A" w14:paraId="440DA3BD" w14:textId="77777777" w:rsidTr="005F4AB4">
        <w:trPr>
          <w:trHeight w:val="20"/>
          <w:tblHeader/>
        </w:trPr>
        <w:tc>
          <w:tcPr>
            <w:tcW w:w="601" w:type="pct"/>
            <w:shd w:val="clear" w:color="auto" w:fill="auto"/>
            <w:vAlign w:val="center"/>
          </w:tcPr>
          <w:p w14:paraId="22C82E79" w14:textId="77777777" w:rsidR="00BC15F9" w:rsidRPr="008B619A" w:rsidRDefault="00BC15F9" w:rsidP="005F4AB4">
            <w:pPr>
              <w:tabs>
                <w:tab w:val="left" w:pos="426"/>
                <w:tab w:val="left" w:pos="709"/>
                <w:tab w:val="left" w:pos="851"/>
              </w:tabs>
              <w:adjustRightInd w:val="0"/>
              <w:snapToGrid w:val="0"/>
              <w:spacing w:line="240" w:lineRule="atLeast"/>
              <w:jc w:val="center"/>
              <w:rPr>
                <w:rFonts w:hAnsi="標楷體"/>
                <w:b/>
                <w:bCs/>
                <w:color w:val="000000" w:themeColor="text1"/>
                <w:sz w:val="28"/>
                <w:szCs w:val="28"/>
              </w:rPr>
            </w:pPr>
            <w:r w:rsidRPr="008B619A">
              <w:rPr>
                <w:rFonts w:hAnsi="標楷體" w:hint="eastAsia"/>
                <w:b/>
                <w:bCs/>
                <w:color w:val="000000" w:themeColor="text1"/>
                <w:sz w:val="28"/>
                <w:szCs w:val="28"/>
              </w:rPr>
              <w:t>109</w:t>
            </w:r>
          </w:p>
        </w:tc>
        <w:tc>
          <w:tcPr>
            <w:tcW w:w="1638" w:type="pct"/>
            <w:shd w:val="clear" w:color="auto" w:fill="auto"/>
            <w:vAlign w:val="center"/>
          </w:tcPr>
          <w:p w14:paraId="74AB9FCF" w14:textId="77777777" w:rsidR="00BC15F9" w:rsidRPr="008B619A" w:rsidRDefault="00BC15F9" w:rsidP="005F4AB4">
            <w:pPr>
              <w:tabs>
                <w:tab w:val="left" w:pos="426"/>
                <w:tab w:val="left" w:pos="709"/>
                <w:tab w:val="left" w:pos="851"/>
              </w:tabs>
              <w:adjustRightInd w:val="0"/>
              <w:snapToGrid w:val="0"/>
              <w:spacing w:line="240" w:lineRule="atLeast"/>
              <w:jc w:val="right"/>
              <w:rPr>
                <w:rFonts w:hAnsi="標楷體"/>
                <w:color w:val="000000" w:themeColor="text1"/>
                <w:sz w:val="28"/>
                <w:szCs w:val="28"/>
              </w:rPr>
            </w:pPr>
            <w:r w:rsidRPr="008B619A">
              <w:rPr>
                <w:rFonts w:hAnsi="標楷體" w:hint="eastAsia"/>
                <w:color w:val="000000" w:themeColor="text1"/>
                <w:sz w:val="28"/>
                <w:szCs w:val="28"/>
              </w:rPr>
              <w:t>1,773</w:t>
            </w:r>
          </w:p>
        </w:tc>
        <w:tc>
          <w:tcPr>
            <w:tcW w:w="1533" w:type="pct"/>
            <w:shd w:val="clear" w:color="auto" w:fill="auto"/>
            <w:vAlign w:val="center"/>
          </w:tcPr>
          <w:p w14:paraId="771ECFD1" w14:textId="77777777" w:rsidR="00BC15F9" w:rsidRPr="008B619A" w:rsidRDefault="00BC15F9" w:rsidP="005F4AB4">
            <w:pPr>
              <w:tabs>
                <w:tab w:val="left" w:pos="426"/>
                <w:tab w:val="left" w:pos="709"/>
                <w:tab w:val="left" w:pos="851"/>
              </w:tabs>
              <w:adjustRightInd w:val="0"/>
              <w:snapToGrid w:val="0"/>
              <w:spacing w:line="240" w:lineRule="atLeast"/>
              <w:jc w:val="right"/>
              <w:rPr>
                <w:rFonts w:hAnsi="標楷體"/>
                <w:color w:val="000000" w:themeColor="text1"/>
                <w:sz w:val="28"/>
                <w:szCs w:val="28"/>
              </w:rPr>
            </w:pPr>
            <w:r w:rsidRPr="008B619A">
              <w:rPr>
                <w:rFonts w:hAnsi="標楷體" w:hint="eastAsia"/>
                <w:color w:val="000000" w:themeColor="text1"/>
                <w:sz w:val="28"/>
                <w:szCs w:val="28"/>
              </w:rPr>
              <w:t>1</w:t>
            </w:r>
            <w:r w:rsidRPr="008B619A">
              <w:rPr>
                <w:rFonts w:hAnsi="標楷體"/>
                <w:color w:val="000000" w:themeColor="text1"/>
                <w:sz w:val="28"/>
                <w:szCs w:val="28"/>
              </w:rPr>
              <w:t>,</w:t>
            </w:r>
            <w:r w:rsidRPr="008B619A">
              <w:rPr>
                <w:rFonts w:hAnsi="標楷體" w:hint="eastAsia"/>
                <w:color w:val="000000" w:themeColor="text1"/>
                <w:sz w:val="28"/>
                <w:szCs w:val="28"/>
              </w:rPr>
              <w:t>443</w:t>
            </w:r>
          </w:p>
        </w:tc>
        <w:tc>
          <w:tcPr>
            <w:tcW w:w="1228" w:type="pct"/>
            <w:shd w:val="clear" w:color="auto" w:fill="auto"/>
            <w:vAlign w:val="center"/>
          </w:tcPr>
          <w:p w14:paraId="74177C6F" w14:textId="77777777" w:rsidR="00BC15F9" w:rsidRPr="008B619A" w:rsidRDefault="00BC15F9" w:rsidP="005F4AB4">
            <w:pPr>
              <w:tabs>
                <w:tab w:val="left" w:pos="426"/>
                <w:tab w:val="left" w:pos="709"/>
                <w:tab w:val="left" w:pos="851"/>
              </w:tabs>
              <w:adjustRightInd w:val="0"/>
              <w:snapToGrid w:val="0"/>
              <w:spacing w:line="240" w:lineRule="atLeast"/>
              <w:jc w:val="right"/>
              <w:rPr>
                <w:rFonts w:hAnsi="標楷體"/>
                <w:color w:val="000000" w:themeColor="text1"/>
                <w:sz w:val="28"/>
                <w:szCs w:val="28"/>
              </w:rPr>
            </w:pPr>
            <w:r w:rsidRPr="008B619A">
              <w:rPr>
                <w:rFonts w:hAnsi="標楷體"/>
                <w:color w:val="000000" w:themeColor="text1"/>
                <w:sz w:val="28"/>
                <w:szCs w:val="28"/>
              </w:rPr>
              <w:t>81.4%</w:t>
            </w:r>
          </w:p>
        </w:tc>
      </w:tr>
    </w:tbl>
    <w:p w14:paraId="2D70087C" w14:textId="35EB46FB" w:rsidR="00D86220" w:rsidRPr="008B619A" w:rsidRDefault="00BC15F9" w:rsidP="00BC15F9">
      <w:pPr>
        <w:spacing w:afterLines="50" w:after="228"/>
        <w:rPr>
          <w:color w:val="000000" w:themeColor="text1"/>
          <w:sz w:val="24"/>
          <w:szCs w:val="24"/>
        </w:rPr>
      </w:pPr>
      <w:r w:rsidRPr="008B619A">
        <w:rPr>
          <w:rFonts w:hint="eastAsia"/>
          <w:color w:val="000000" w:themeColor="text1"/>
        </w:rPr>
        <w:t xml:space="preserve">　　</w:t>
      </w:r>
      <w:r w:rsidRPr="008B619A">
        <w:rPr>
          <w:rFonts w:hint="eastAsia"/>
          <w:color w:val="000000" w:themeColor="text1"/>
          <w:sz w:val="24"/>
          <w:szCs w:val="24"/>
        </w:rPr>
        <w:t>資料來源：教育部110年5月5日座談會議前說明資料。</w:t>
      </w:r>
    </w:p>
    <w:p w14:paraId="52310F7A" w14:textId="5FE4F40C" w:rsidR="00636184" w:rsidRPr="008B619A" w:rsidRDefault="00CA0F35" w:rsidP="00C01404">
      <w:pPr>
        <w:pStyle w:val="3"/>
        <w:rPr>
          <w:color w:val="000000" w:themeColor="text1"/>
        </w:rPr>
      </w:pPr>
      <w:r w:rsidRPr="008B619A">
        <w:rPr>
          <w:rFonts w:hint="eastAsia"/>
          <w:color w:val="000000" w:themeColor="text1"/>
        </w:rPr>
        <w:t>又</w:t>
      </w:r>
      <w:r w:rsidRPr="008B619A">
        <w:rPr>
          <w:rFonts w:hint="eastAsia"/>
          <w:color w:val="000000" w:themeColor="text1"/>
          <w:szCs w:val="48"/>
        </w:rPr>
        <w:t>「學用落差」向為國內教育機構與產業界的鴻溝之一，</w:t>
      </w:r>
      <w:r w:rsidR="00636184" w:rsidRPr="008B619A">
        <w:rPr>
          <w:rFonts w:hint="eastAsia"/>
          <w:color w:val="000000" w:themeColor="text1"/>
        </w:rPr>
        <w:t>本院110年5月5日邀集相關部會召開座談會議，據教育部主管人員復稱，</w:t>
      </w:r>
      <w:r w:rsidR="0047629F" w:rsidRPr="008B619A">
        <w:rPr>
          <w:rFonts w:hAnsi="標楷體" w:hint="eastAsia"/>
          <w:color w:val="000000" w:themeColor="text1"/>
        </w:rPr>
        <w:t>「</w:t>
      </w:r>
      <w:r w:rsidR="0047629F" w:rsidRPr="008B619A">
        <w:rPr>
          <w:rFonts w:ascii="Times New Roman" w:hAnsi="Times New Roman"/>
          <w:color w:val="000000" w:themeColor="text1"/>
          <w:szCs w:val="32"/>
        </w:rPr>
        <w:t>在理工界發生弔詭的現象，因為學生從碩士就被挖去就業，結果業界反而來跟教育部要理工博士沒有人念，顯示學術長期跟產業的研發脫節，且突顯教師比較少做產博跟產學合作，因為無法跟學術表現結合，失去誘因</w:t>
      </w:r>
      <w:r w:rsidR="0047629F" w:rsidRPr="008B619A">
        <w:rPr>
          <w:rFonts w:hAnsi="標楷體" w:hint="eastAsia"/>
          <w:color w:val="000000" w:themeColor="text1"/>
        </w:rPr>
        <w:t>」</w:t>
      </w:r>
      <w:r w:rsidR="003B6DE7" w:rsidRPr="008B619A">
        <w:rPr>
          <w:rFonts w:hAnsi="標楷體" w:hint="eastAsia"/>
          <w:color w:val="000000" w:themeColor="text1"/>
        </w:rPr>
        <w:t>、「</w:t>
      </w:r>
      <w:r w:rsidR="003B6DE7" w:rsidRPr="008B619A">
        <w:rPr>
          <w:rFonts w:ascii="Times New Roman" w:hAnsi="Times New Roman"/>
          <w:color w:val="000000" w:themeColor="text1"/>
          <w:szCs w:val="32"/>
        </w:rPr>
        <w:t>博士生的就業問題，因為實務應用跟理論研究無法確實分野，而且也會跟博士班老師帶學生做了甚麼題目有關，會影響學生未來是否能順利就業</w:t>
      </w:r>
      <w:r w:rsidR="003B6DE7" w:rsidRPr="008B619A">
        <w:rPr>
          <w:rFonts w:hAnsi="標楷體" w:hint="eastAsia"/>
          <w:color w:val="000000" w:themeColor="text1"/>
        </w:rPr>
        <w:t>」</w:t>
      </w:r>
      <w:r w:rsidR="001C3B40" w:rsidRPr="008B619A">
        <w:rPr>
          <w:rFonts w:hAnsi="標楷體" w:hint="eastAsia"/>
          <w:color w:val="000000" w:themeColor="text1"/>
        </w:rPr>
        <w:t>及「</w:t>
      </w:r>
      <w:r w:rsidR="001C3B40" w:rsidRPr="008B619A">
        <w:rPr>
          <w:rFonts w:ascii="Times New Roman" w:hAnsi="Times New Roman"/>
          <w:color w:val="000000" w:themeColor="text1"/>
          <w:szCs w:val="32"/>
        </w:rPr>
        <w:t>建議業界應該要對於產業的尖端研發貢獻心力，並且由政府扮演協助的角色，這樣才能建立長久的培育模式</w:t>
      </w:r>
      <w:r w:rsidR="001C3B40" w:rsidRPr="008B619A">
        <w:rPr>
          <w:rFonts w:hAnsi="標楷體" w:hint="eastAsia"/>
          <w:color w:val="000000" w:themeColor="text1"/>
        </w:rPr>
        <w:t>」</w:t>
      </w:r>
      <w:r w:rsidR="00106FD1" w:rsidRPr="008B619A">
        <w:rPr>
          <w:rFonts w:hAnsi="標楷體" w:hint="eastAsia"/>
          <w:color w:val="000000" w:themeColor="text1"/>
        </w:rPr>
        <w:t>等語</w:t>
      </w:r>
      <w:r w:rsidR="00636184" w:rsidRPr="008B619A">
        <w:rPr>
          <w:rFonts w:hint="eastAsia"/>
          <w:color w:val="000000" w:themeColor="text1"/>
        </w:rPr>
        <w:t>。</w:t>
      </w:r>
      <w:r w:rsidR="00330BAB" w:rsidRPr="008B619A">
        <w:rPr>
          <w:rFonts w:hint="eastAsia"/>
          <w:color w:val="000000" w:themeColor="text1"/>
        </w:rPr>
        <w:t>是以，</w:t>
      </w:r>
      <w:r w:rsidR="00AB5785" w:rsidRPr="008B619A">
        <w:rPr>
          <w:rFonts w:hint="eastAsia"/>
          <w:color w:val="000000" w:themeColor="text1"/>
        </w:rPr>
        <w:t>產學合作</w:t>
      </w:r>
      <w:r w:rsidR="000F05EF" w:rsidRPr="008B619A">
        <w:rPr>
          <w:rFonts w:hint="eastAsia"/>
          <w:color w:val="000000" w:themeColor="text1"/>
        </w:rPr>
        <w:t>誘因</w:t>
      </w:r>
      <w:r w:rsidR="000F05EF" w:rsidRPr="008B619A">
        <w:rPr>
          <w:rFonts w:hAnsi="標楷體" w:hint="eastAsia"/>
          <w:color w:val="000000" w:themeColor="text1"/>
        </w:rPr>
        <w:t>、</w:t>
      </w:r>
      <w:r w:rsidR="008D4442" w:rsidRPr="008B619A">
        <w:rPr>
          <w:rFonts w:hAnsi="標楷體" w:hint="eastAsia"/>
          <w:color w:val="000000" w:themeColor="text1"/>
        </w:rPr>
        <w:t>對於產業界協助挹注</w:t>
      </w:r>
      <w:r w:rsidR="000F05EF" w:rsidRPr="008B619A">
        <w:rPr>
          <w:rFonts w:hint="eastAsia"/>
          <w:color w:val="000000" w:themeColor="text1"/>
        </w:rPr>
        <w:t>理工博士之</w:t>
      </w:r>
      <w:r w:rsidR="008D4442" w:rsidRPr="008B619A">
        <w:rPr>
          <w:rFonts w:hint="eastAsia"/>
          <w:color w:val="000000" w:themeColor="text1"/>
        </w:rPr>
        <w:t>相關發展</w:t>
      </w:r>
      <w:r w:rsidR="006E179D" w:rsidRPr="008B619A">
        <w:rPr>
          <w:rFonts w:hint="eastAsia"/>
          <w:color w:val="000000" w:themeColor="text1"/>
        </w:rPr>
        <w:t>策略</w:t>
      </w:r>
      <w:r w:rsidR="000F05EF" w:rsidRPr="008B619A">
        <w:rPr>
          <w:rFonts w:hint="eastAsia"/>
          <w:color w:val="000000" w:themeColor="text1"/>
        </w:rPr>
        <w:t>，</w:t>
      </w:r>
      <w:r w:rsidR="009D0A19" w:rsidRPr="008B619A">
        <w:rPr>
          <w:rFonts w:hint="eastAsia"/>
          <w:color w:val="000000" w:themeColor="text1"/>
        </w:rPr>
        <w:t>仍</w:t>
      </w:r>
      <w:r w:rsidR="000F05EF" w:rsidRPr="008B619A">
        <w:rPr>
          <w:rFonts w:hint="eastAsia"/>
          <w:color w:val="000000" w:themeColor="text1"/>
        </w:rPr>
        <w:t>屬</w:t>
      </w:r>
      <w:r w:rsidR="00D012C9" w:rsidRPr="008B619A">
        <w:rPr>
          <w:rFonts w:hint="eastAsia"/>
          <w:color w:val="000000" w:themeColor="text1"/>
        </w:rPr>
        <w:t>後續</w:t>
      </w:r>
      <w:r w:rsidR="000F05EF" w:rsidRPr="008B619A">
        <w:rPr>
          <w:rFonts w:hint="eastAsia"/>
          <w:color w:val="000000" w:themeColor="text1"/>
        </w:rPr>
        <w:t>政府</w:t>
      </w:r>
      <w:r w:rsidR="00875CBA" w:rsidRPr="008B619A">
        <w:rPr>
          <w:rFonts w:hint="eastAsia"/>
          <w:color w:val="000000" w:themeColor="text1"/>
        </w:rPr>
        <w:t>允</w:t>
      </w:r>
      <w:r w:rsidR="000F05EF" w:rsidRPr="008B619A">
        <w:rPr>
          <w:rFonts w:hint="eastAsia"/>
          <w:color w:val="000000" w:themeColor="text1"/>
        </w:rPr>
        <w:t>宜積極正視</w:t>
      </w:r>
      <w:r w:rsidR="00404FEC" w:rsidRPr="008B619A">
        <w:rPr>
          <w:rFonts w:hint="eastAsia"/>
          <w:color w:val="000000" w:themeColor="text1"/>
        </w:rPr>
        <w:t>，謀求產業界共同研議</w:t>
      </w:r>
      <w:r w:rsidR="000F05EF" w:rsidRPr="008B619A">
        <w:rPr>
          <w:rFonts w:hint="eastAsia"/>
          <w:color w:val="000000" w:themeColor="text1"/>
        </w:rPr>
        <w:t>改善之問題。</w:t>
      </w:r>
    </w:p>
    <w:p w14:paraId="058879EF" w14:textId="32B3213E" w:rsidR="006A7B14" w:rsidRPr="008B619A" w:rsidRDefault="004B4F4A" w:rsidP="00C01404">
      <w:pPr>
        <w:pStyle w:val="3"/>
        <w:rPr>
          <w:color w:val="000000" w:themeColor="text1"/>
        </w:rPr>
      </w:pPr>
      <w:r w:rsidRPr="008B619A">
        <w:rPr>
          <w:rFonts w:hint="eastAsia"/>
          <w:color w:val="000000" w:themeColor="text1"/>
        </w:rPr>
        <w:t>再者</w:t>
      </w:r>
      <w:r w:rsidR="00826F14" w:rsidRPr="008B619A">
        <w:rPr>
          <w:rFonts w:hint="eastAsia"/>
          <w:color w:val="000000" w:themeColor="text1"/>
        </w:rPr>
        <w:t>，</w:t>
      </w:r>
      <w:r w:rsidR="00AC2C22" w:rsidRPr="008B619A">
        <w:rPr>
          <w:rFonts w:hint="eastAsia"/>
          <w:color w:val="000000" w:themeColor="text1"/>
        </w:rPr>
        <w:t>針對政府各機關目前所轄（屬）機關（構）高階博士人才之需求</w:t>
      </w:r>
      <w:r w:rsidR="00D940E6" w:rsidRPr="008B619A">
        <w:rPr>
          <w:rFonts w:hint="eastAsia"/>
          <w:color w:val="000000" w:themeColor="text1"/>
        </w:rPr>
        <w:t>，尚未見相關整合之公開資訊，亦待</w:t>
      </w:r>
      <w:r w:rsidR="007F5DDD" w:rsidRPr="008B619A">
        <w:rPr>
          <w:rFonts w:hint="eastAsia"/>
          <w:color w:val="000000" w:themeColor="text1"/>
        </w:rPr>
        <w:t>積極</w:t>
      </w:r>
      <w:r w:rsidR="00D940E6" w:rsidRPr="008B619A">
        <w:rPr>
          <w:rFonts w:hint="eastAsia"/>
          <w:color w:val="000000" w:themeColor="text1"/>
        </w:rPr>
        <w:t>統整研謀</w:t>
      </w:r>
      <w:r w:rsidR="007F5DDD" w:rsidRPr="008B619A">
        <w:rPr>
          <w:rFonts w:hint="eastAsia"/>
          <w:color w:val="000000" w:themeColor="text1"/>
        </w:rPr>
        <w:t>，以全盤掌握供需資訊，提供</w:t>
      </w:r>
      <w:r w:rsidR="00730218" w:rsidRPr="008B619A">
        <w:rPr>
          <w:rFonts w:hint="eastAsia"/>
          <w:color w:val="000000" w:themeColor="text1"/>
        </w:rPr>
        <w:t>學研機構人才進用政策之參酌</w:t>
      </w:r>
      <w:r w:rsidR="00D940E6" w:rsidRPr="008B619A">
        <w:rPr>
          <w:rFonts w:hint="eastAsia"/>
          <w:color w:val="000000" w:themeColor="text1"/>
        </w:rPr>
        <w:t>。</w:t>
      </w:r>
      <w:r w:rsidR="006A7B14" w:rsidRPr="008B619A">
        <w:rPr>
          <w:rFonts w:hint="eastAsia"/>
          <w:color w:val="000000" w:themeColor="text1"/>
        </w:rPr>
        <w:t>茲</w:t>
      </w:r>
      <w:r w:rsidR="00975039" w:rsidRPr="008B619A">
        <w:rPr>
          <w:rFonts w:hint="eastAsia"/>
          <w:color w:val="000000" w:themeColor="text1"/>
        </w:rPr>
        <w:t>摘</w:t>
      </w:r>
      <w:r w:rsidR="006A7B14" w:rsidRPr="008B619A">
        <w:rPr>
          <w:rFonts w:hint="eastAsia"/>
          <w:color w:val="000000" w:themeColor="text1"/>
        </w:rPr>
        <w:t>列</w:t>
      </w:r>
      <w:r w:rsidR="00D940E6" w:rsidRPr="008B619A">
        <w:rPr>
          <w:rFonts w:hint="eastAsia"/>
          <w:color w:val="000000" w:themeColor="text1"/>
        </w:rPr>
        <w:t>本調查研究</w:t>
      </w:r>
      <w:r w:rsidR="008B7C32" w:rsidRPr="008B619A">
        <w:rPr>
          <w:rFonts w:hint="eastAsia"/>
          <w:color w:val="000000" w:themeColor="text1"/>
        </w:rPr>
        <w:t>選取之</w:t>
      </w:r>
      <w:r w:rsidR="00D85510" w:rsidRPr="008B619A">
        <w:rPr>
          <w:rFonts w:hint="eastAsia"/>
          <w:color w:val="000000" w:themeColor="text1"/>
        </w:rPr>
        <w:t>科技部所轄法人機構及</w:t>
      </w:r>
      <w:r w:rsidR="00DB6989" w:rsidRPr="008B619A">
        <w:rPr>
          <w:rFonts w:hint="eastAsia"/>
          <w:color w:val="000000" w:themeColor="text1"/>
        </w:rPr>
        <w:t>國家中山科學研究院</w:t>
      </w:r>
      <w:r w:rsidR="008B7C32" w:rsidRPr="008B619A">
        <w:rPr>
          <w:rFonts w:hint="eastAsia"/>
          <w:color w:val="000000" w:themeColor="text1"/>
        </w:rPr>
        <w:t>為例，</w:t>
      </w:r>
      <w:r w:rsidR="00D85510" w:rsidRPr="008B619A">
        <w:rPr>
          <w:rFonts w:hint="eastAsia"/>
          <w:color w:val="000000" w:themeColor="text1"/>
        </w:rPr>
        <w:t>分述人力</w:t>
      </w:r>
      <w:r w:rsidR="008B7C32" w:rsidRPr="008B619A">
        <w:rPr>
          <w:rFonts w:hint="eastAsia"/>
          <w:color w:val="000000" w:themeColor="text1"/>
        </w:rPr>
        <w:t>盤點如后：</w:t>
      </w:r>
    </w:p>
    <w:p w14:paraId="000DFAAA" w14:textId="5FB38880" w:rsidR="00C01404" w:rsidRPr="008B619A" w:rsidRDefault="00D940E6" w:rsidP="006A7B14">
      <w:pPr>
        <w:pStyle w:val="4"/>
        <w:rPr>
          <w:color w:val="000000" w:themeColor="text1"/>
        </w:rPr>
      </w:pPr>
      <w:r w:rsidRPr="008B619A">
        <w:rPr>
          <w:rFonts w:hint="eastAsia"/>
          <w:color w:val="000000" w:themeColor="text1"/>
        </w:rPr>
        <w:lastRenderedPageBreak/>
        <w:t>針對</w:t>
      </w:r>
      <w:r w:rsidR="00C01404" w:rsidRPr="008B619A">
        <w:rPr>
          <w:color w:val="000000" w:themeColor="text1"/>
        </w:rPr>
        <w:t>科技部</w:t>
      </w:r>
      <w:r w:rsidRPr="008B619A">
        <w:rPr>
          <w:rFonts w:hint="eastAsia"/>
          <w:color w:val="000000" w:themeColor="text1"/>
        </w:rPr>
        <w:t>相關</w:t>
      </w:r>
      <w:r w:rsidR="00C01404" w:rsidRPr="008B619A">
        <w:rPr>
          <w:color w:val="000000" w:themeColor="text1"/>
        </w:rPr>
        <w:t>所轄之法人</w:t>
      </w:r>
      <w:bookmarkStart w:id="76" w:name="_Hlk70499919"/>
      <w:r w:rsidR="00C01404" w:rsidRPr="008B619A">
        <w:rPr>
          <w:color w:val="000000" w:themeColor="text1"/>
        </w:rPr>
        <w:t>國家實驗研究院、國家同步輻射研究中心以及國家災害防救科技中心</w:t>
      </w:r>
      <w:bookmarkEnd w:id="76"/>
      <w:r w:rsidR="00C01404" w:rsidRPr="008B619A">
        <w:rPr>
          <w:color w:val="000000" w:themeColor="text1"/>
        </w:rPr>
        <w:t>，所聘之博士級人力統計如</w:t>
      </w:r>
      <w:r w:rsidR="00C01404" w:rsidRPr="008B619A">
        <w:rPr>
          <w:rFonts w:hint="eastAsia"/>
          <w:color w:val="000000" w:themeColor="text1"/>
        </w:rPr>
        <w:t>下</w:t>
      </w:r>
      <w:r w:rsidR="00C01404" w:rsidRPr="008B619A">
        <w:rPr>
          <w:color w:val="000000" w:themeColor="text1"/>
        </w:rPr>
        <w:t>表</w:t>
      </w:r>
      <w:r w:rsidRPr="008B619A">
        <w:rPr>
          <w:rFonts w:hint="eastAsia"/>
          <w:color w:val="000000" w:themeColor="text1"/>
        </w:rPr>
        <w:t>（</w:t>
      </w:r>
      <w:r w:rsidRPr="008B619A">
        <w:rPr>
          <w:color w:val="000000" w:themeColor="text1"/>
        </w:rPr>
        <w:t>統計至109年12月止</w:t>
      </w:r>
      <w:r w:rsidRPr="008B619A">
        <w:rPr>
          <w:rFonts w:hint="eastAsia"/>
          <w:color w:val="000000" w:themeColor="text1"/>
        </w:rPr>
        <w:t>）</w:t>
      </w:r>
      <w:r w:rsidR="00C01404" w:rsidRPr="008B619A">
        <w:rPr>
          <w:color w:val="000000" w:themeColor="text1"/>
        </w:rPr>
        <w:t>。</w:t>
      </w:r>
    </w:p>
    <w:p w14:paraId="3355F38C" w14:textId="43687F7B" w:rsidR="00C01404" w:rsidRPr="008B619A" w:rsidRDefault="00C01404" w:rsidP="00C92BD5">
      <w:pPr>
        <w:pStyle w:val="a3"/>
        <w:ind w:left="992"/>
        <w:jc w:val="center"/>
        <w:rPr>
          <w:rFonts w:hAnsi="標楷體"/>
          <w:b/>
          <w:color w:val="000000" w:themeColor="text1"/>
        </w:rPr>
      </w:pPr>
      <w:r w:rsidRPr="008B619A">
        <w:rPr>
          <w:rFonts w:hAnsi="標楷體"/>
          <w:b/>
          <w:color w:val="000000" w:themeColor="text1"/>
        </w:rPr>
        <w:t>科技部轄下法人單位所聘之博士級人力統計</w:t>
      </w:r>
    </w:p>
    <w:p w14:paraId="1AEF756A" w14:textId="52E9D558" w:rsidR="00ED1953" w:rsidRPr="008B619A" w:rsidRDefault="00ED1953" w:rsidP="00ED1953">
      <w:pPr>
        <w:wordWrap w:val="0"/>
        <w:jc w:val="right"/>
        <w:rPr>
          <w:color w:val="000000" w:themeColor="text1"/>
          <w:sz w:val="24"/>
          <w:szCs w:val="24"/>
        </w:rPr>
      </w:pPr>
      <w:r w:rsidRPr="008B619A">
        <w:rPr>
          <w:rFonts w:hint="eastAsia"/>
          <w:color w:val="000000" w:themeColor="text1"/>
          <w:sz w:val="24"/>
          <w:szCs w:val="24"/>
        </w:rPr>
        <w:t>單位</w:t>
      </w:r>
      <w:r w:rsidR="004B3C69" w:rsidRPr="008B619A">
        <w:rPr>
          <w:rFonts w:hAnsi="標楷體" w:hint="eastAsia"/>
          <w:color w:val="000000" w:themeColor="text1"/>
          <w:sz w:val="24"/>
          <w:szCs w:val="24"/>
        </w:rPr>
        <w:t>：</w:t>
      </w:r>
      <w:r w:rsidRPr="008B619A">
        <w:rPr>
          <w:rFonts w:hint="eastAsia"/>
          <w:color w:val="000000" w:themeColor="text1"/>
          <w:sz w:val="24"/>
          <w:szCs w:val="24"/>
        </w:rPr>
        <w:t>人數</w:t>
      </w:r>
      <w:r w:rsidR="004B3C69" w:rsidRPr="008B619A">
        <w:rPr>
          <w:rFonts w:hAnsi="標楷體" w:hint="eastAsia"/>
          <w:color w:val="000000" w:themeColor="text1"/>
          <w:sz w:val="24"/>
          <w:szCs w:val="24"/>
        </w:rPr>
        <w:t>；</w:t>
      </w:r>
      <w:r w:rsidR="004633CB" w:rsidRPr="008B619A">
        <w:rPr>
          <w:rFonts w:hint="eastAsia"/>
          <w:color w:val="000000" w:themeColor="text1"/>
          <w:sz w:val="24"/>
          <w:szCs w:val="24"/>
        </w:rPr>
        <w:t>%</w:t>
      </w:r>
    </w:p>
    <w:tbl>
      <w:tblPr>
        <w:tblW w:w="5000" w:type="pct"/>
        <w:jc w:val="center"/>
        <w:tblCellMar>
          <w:left w:w="28" w:type="dxa"/>
          <w:right w:w="28" w:type="dxa"/>
        </w:tblCellMar>
        <w:tblLook w:val="04A0" w:firstRow="1" w:lastRow="0" w:firstColumn="1" w:lastColumn="0" w:noHBand="0" w:noVBand="1"/>
      </w:tblPr>
      <w:tblGrid>
        <w:gridCol w:w="2301"/>
        <w:gridCol w:w="618"/>
        <w:gridCol w:w="1097"/>
        <w:gridCol w:w="617"/>
        <w:gridCol w:w="961"/>
        <w:gridCol w:w="618"/>
        <w:gridCol w:w="961"/>
        <w:gridCol w:w="650"/>
        <w:gridCol w:w="1011"/>
      </w:tblGrid>
      <w:tr w:rsidR="00C01404" w:rsidRPr="008B619A" w14:paraId="2E79BA2B" w14:textId="77777777" w:rsidTr="00785ADB">
        <w:trPr>
          <w:trHeight w:val="20"/>
          <w:jc w:val="center"/>
        </w:trPr>
        <w:tc>
          <w:tcPr>
            <w:tcW w:w="1302" w:type="pct"/>
            <w:tcBorders>
              <w:top w:val="single" w:sz="4" w:space="0" w:color="auto"/>
              <w:left w:val="single" w:sz="4" w:space="0" w:color="auto"/>
              <w:bottom w:val="single" w:sz="4" w:space="0" w:color="auto"/>
              <w:right w:val="single" w:sz="4" w:space="0" w:color="auto"/>
            </w:tcBorders>
            <w:shd w:val="clear" w:color="auto" w:fill="E5DFEC" w:themeFill="accent4" w:themeFillTint="33"/>
            <w:noWrap/>
            <w:vAlign w:val="center"/>
            <w:hideMark/>
          </w:tcPr>
          <w:p w14:paraId="036D06A6" w14:textId="77777777" w:rsidR="00C01404" w:rsidRPr="008B619A" w:rsidRDefault="00C01404" w:rsidP="005F4AB4">
            <w:pPr>
              <w:snapToGrid w:val="0"/>
              <w:spacing w:line="0" w:lineRule="atLeast"/>
              <w:jc w:val="center"/>
              <w:rPr>
                <w:rFonts w:ascii="Times New Roman"/>
                <w:b/>
                <w:bCs/>
                <w:color w:val="000000" w:themeColor="text1"/>
                <w:sz w:val="26"/>
                <w:szCs w:val="26"/>
              </w:rPr>
            </w:pPr>
            <w:r w:rsidRPr="008B619A">
              <w:rPr>
                <w:rFonts w:ascii="Times New Roman"/>
                <w:b/>
                <w:bCs/>
                <w:color w:val="000000" w:themeColor="text1"/>
                <w:sz w:val="26"/>
                <w:szCs w:val="26"/>
              </w:rPr>
              <w:t>法人單位</w:t>
            </w:r>
            <w:r w:rsidRPr="008B619A">
              <w:rPr>
                <w:rFonts w:ascii="Times New Roman"/>
                <w:b/>
                <w:bCs/>
                <w:color w:val="000000" w:themeColor="text1"/>
                <w:sz w:val="26"/>
                <w:szCs w:val="26"/>
              </w:rPr>
              <w:t xml:space="preserve"> </w:t>
            </w:r>
          </w:p>
        </w:tc>
        <w:tc>
          <w:tcPr>
            <w:tcW w:w="971" w:type="pct"/>
            <w:gridSpan w:val="2"/>
            <w:tcBorders>
              <w:top w:val="single" w:sz="4" w:space="0" w:color="auto"/>
              <w:left w:val="nil"/>
              <w:bottom w:val="single" w:sz="4" w:space="0" w:color="auto"/>
              <w:right w:val="single" w:sz="4" w:space="0" w:color="auto"/>
            </w:tcBorders>
            <w:shd w:val="clear" w:color="auto" w:fill="E5DFEC" w:themeFill="accent4" w:themeFillTint="33"/>
            <w:vAlign w:val="center"/>
            <w:hideMark/>
          </w:tcPr>
          <w:p w14:paraId="08A4C5AE" w14:textId="42488331" w:rsidR="00C01404" w:rsidRPr="008B619A" w:rsidRDefault="00C01404" w:rsidP="005F4AB4">
            <w:pPr>
              <w:snapToGrid w:val="0"/>
              <w:spacing w:line="0" w:lineRule="atLeast"/>
              <w:jc w:val="center"/>
              <w:rPr>
                <w:rFonts w:ascii="Times New Roman"/>
                <w:b/>
                <w:color w:val="000000" w:themeColor="text1"/>
                <w:sz w:val="24"/>
                <w:szCs w:val="24"/>
              </w:rPr>
            </w:pPr>
            <w:r w:rsidRPr="008B619A">
              <w:rPr>
                <w:rFonts w:ascii="Times New Roman"/>
                <w:b/>
                <w:color w:val="000000" w:themeColor="text1"/>
                <w:sz w:val="26"/>
                <w:szCs w:val="26"/>
              </w:rPr>
              <w:t xml:space="preserve"> </w:t>
            </w:r>
            <w:r w:rsidRPr="008B619A">
              <w:rPr>
                <w:rFonts w:ascii="Times New Roman"/>
                <w:b/>
                <w:color w:val="000000" w:themeColor="text1"/>
                <w:sz w:val="24"/>
                <w:szCs w:val="24"/>
              </w:rPr>
              <w:t>財團法人國家實驗研究院</w:t>
            </w:r>
          </w:p>
        </w:tc>
        <w:tc>
          <w:tcPr>
            <w:tcW w:w="893" w:type="pct"/>
            <w:gridSpan w:val="2"/>
            <w:tcBorders>
              <w:top w:val="single" w:sz="4" w:space="0" w:color="auto"/>
              <w:left w:val="nil"/>
              <w:bottom w:val="single" w:sz="4" w:space="0" w:color="auto"/>
              <w:right w:val="single" w:sz="4" w:space="0" w:color="auto"/>
            </w:tcBorders>
            <w:shd w:val="clear" w:color="auto" w:fill="E5DFEC" w:themeFill="accent4" w:themeFillTint="33"/>
            <w:vAlign w:val="center"/>
            <w:hideMark/>
          </w:tcPr>
          <w:p w14:paraId="3440609B" w14:textId="77777777" w:rsidR="00C01404" w:rsidRPr="008B619A" w:rsidRDefault="00C01404" w:rsidP="005F4AB4">
            <w:pPr>
              <w:snapToGrid w:val="0"/>
              <w:spacing w:line="0" w:lineRule="atLeast"/>
              <w:jc w:val="center"/>
              <w:rPr>
                <w:rFonts w:ascii="Times New Roman"/>
                <w:b/>
                <w:color w:val="000000" w:themeColor="text1"/>
                <w:sz w:val="26"/>
                <w:szCs w:val="26"/>
              </w:rPr>
            </w:pPr>
            <w:r w:rsidRPr="008B619A">
              <w:rPr>
                <w:rFonts w:ascii="Times New Roman"/>
                <w:b/>
                <w:color w:val="000000" w:themeColor="text1"/>
                <w:sz w:val="26"/>
                <w:szCs w:val="26"/>
              </w:rPr>
              <w:t xml:space="preserve"> </w:t>
            </w:r>
            <w:r w:rsidRPr="008B619A">
              <w:rPr>
                <w:rFonts w:ascii="Times New Roman"/>
                <w:b/>
                <w:color w:val="000000" w:themeColor="text1"/>
                <w:sz w:val="26"/>
                <w:szCs w:val="26"/>
              </w:rPr>
              <w:t>災防中心</w:t>
            </w:r>
            <w:r w:rsidRPr="008B619A">
              <w:rPr>
                <w:rFonts w:ascii="Times New Roman"/>
                <w:b/>
                <w:color w:val="000000" w:themeColor="text1"/>
                <w:sz w:val="26"/>
                <w:szCs w:val="26"/>
              </w:rPr>
              <w:t xml:space="preserve"> </w:t>
            </w:r>
          </w:p>
        </w:tc>
        <w:tc>
          <w:tcPr>
            <w:tcW w:w="894" w:type="pct"/>
            <w:gridSpan w:val="2"/>
            <w:tcBorders>
              <w:top w:val="single" w:sz="4" w:space="0" w:color="auto"/>
              <w:left w:val="nil"/>
              <w:bottom w:val="single" w:sz="4" w:space="0" w:color="auto"/>
              <w:right w:val="single" w:sz="4" w:space="0" w:color="auto"/>
            </w:tcBorders>
            <w:shd w:val="clear" w:color="auto" w:fill="E5DFEC" w:themeFill="accent4" w:themeFillTint="33"/>
            <w:vAlign w:val="center"/>
            <w:hideMark/>
          </w:tcPr>
          <w:p w14:paraId="24C6DD39" w14:textId="77777777" w:rsidR="00C01404" w:rsidRPr="008B619A" w:rsidRDefault="00C01404" w:rsidP="005F4AB4">
            <w:pPr>
              <w:snapToGrid w:val="0"/>
              <w:spacing w:line="0" w:lineRule="atLeast"/>
              <w:jc w:val="center"/>
              <w:rPr>
                <w:rFonts w:ascii="Times New Roman"/>
                <w:b/>
                <w:color w:val="000000" w:themeColor="text1"/>
                <w:sz w:val="26"/>
                <w:szCs w:val="26"/>
              </w:rPr>
            </w:pPr>
            <w:r w:rsidRPr="008B619A">
              <w:rPr>
                <w:rFonts w:ascii="Times New Roman"/>
                <w:b/>
                <w:color w:val="000000" w:themeColor="text1"/>
                <w:sz w:val="26"/>
                <w:szCs w:val="26"/>
              </w:rPr>
              <w:t xml:space="preserve"> </w:t>
            </w:r>
            <w:r w:rsidRPr="008B619A">
              <w:rPr>
                <w:rFonts w:ascii="Times New Roman"/>
                <w:b/>
                <w:color w:val="000000" w:themeColor="text1"/>
                <w:sz w:val="26"/>
                <w:szCs w:val="26"/>
              </w:rPr>
              <w:t>國輻中心</w:t>
            </w:r>
            <w:r w:rsidRPr="008B619A">
              <w:rPr>
                <w:rFonts w:ascii="Times New Roman"/>
                <w:b/>
                <w:color w:val="000000" w:themeColor="text1"/>
                <w:sz w:val="26"/>
                <w:szCs w:val="26"/>
              </w:rPr>
              <w:t xml:space="preserve"> </w:t>
            </w:r>
          </w:p>
        </w:tc>
        <w:tc>
          <w:tcPr>
            <w:tcW w:w="940" w:type="pct"/>
            <w:gridSpan w:val="2"/>
            <w:tcBorders>
              <w:top w:val="single" w:sz="4" w:space="0" w:color="auto"/>
              <w:left w:val="nil"/>
              <w:bottom w:val="single" w:sz="4" w:space="0" w:color="auto"/>
              <w:right w:val="single" w:sz="4" w:space="0" w:color="auto"/>
            </w:tcBorders>
            <w:shd w:val="clear" w:color="auto" w:fill="E5DFEC" w:themeFill="accent4" w:themeFillTint="33"/>
            <w:vAlign w:val="center"/>
            <w:hideMark/>
          </w:tcPr>
          <w:p w14:paraId="7C218F0C" w14:textId="77777777" w:rsidR="00C01404" w:rsidRPr="008B619A" w:rsidRDefault="00C01404" w:rsidP="005F4AB4">
            <w:pPr>
              <w:snapToGrid w:val="0"/>
              <w:spacing w:line="0" w:lineRule="atLeast"/>
              <w:jc w:val="center"/>
              <w:rPr>
                <w:rFonts w:ascii="Times New Roman"/>
                <w:b/>
                <w:color w:val="000000" w:themeColor="text1"/>
                <w:sz w:val="26"/>
                <w:szCs w:val="26"/>
              </w:rPr>
            </w:pPr>
            <w:r w:rsidRPr="008B619A">
              <w:rPr>
                <w:rFonts w:ascii="Times New Roman"/>
                <w:b/>
                <w:color w:val="000000" w:themeColor="text1"/>
                <w:sz w:val="26"/>
                <w:szCs w:val="26"/>
              </w:rPr>
              <w:t xml:space="preserve"> </w:t>
            </w:r>
            <w:r w:rsidRPr="008B619A">
              <w:rPr>
                <w:rFonts w:ascii="Times New Roman"/>
                <w:b/>
                <w:color w:val="000000" w:themeColor="text1"/>
                <w:sz w:val="26"/>
                <w:szCs w:val="26"/>
              </w:rPr>
              <w:t>小計</w:t>
            </w:r>
            <w:r w:rsidRPr="008B619A">
              <w:rPr>
                <w:rFonts w:ascii="Times New Roman"/>
                <w:b/>
                <w:color w:val="000000" w:themeColor="text1"/>
                <w:sz w:val="26"/>
                <w:szCs w:val="26"/>
              </w:rPr>
              <w:t xml:space="preserve"> </w:t>
            </w:r>
          </w:p>
        </w:tc>
      </w:tr>
      <w:tr w:rsidR="00C01404" w:rsidRPr="008B619A" w14:paraId="00026A87" w14:textId="77777777" w:rsidTr="00785ADB">
        <w:trPr>
          <w:trHeight w:val="20"/>
          <w:jc w:val="center"/>
        </w:trPr>
        <w:tc>
          <w:tcPr>
            <w:tcW w:w="1302" w:type="pct"/>
            <w:tcBorders>
              <w:top w:val="single" w:sz="4" w:space="0" w:color="auto"/>
              <w:left w:val="single" w:sz="4" w:space="0" w:color="auto"/>
              <w:bottom w:val="single" w:sz="4" w:space="0" w:color="auto"/>
              <w:right w:val="single" w:sz="4" w:space="0" w:color="auto"/>
            </w:tcBorders>
            <w:shd w:val="clear" w:color="auto" w:fill="E5DFEC" w:themeFill="accent4" w:themeFillTint="33"/>
            <w:noWrap/>
            <w:vAlign w:val="center"/>
            <w:hideMark/>
          </w:tcPr>
          <w:p w14:paraId="0EE7D260" w14:textId="77777777" w:rsidR="00C01404" w:rsidRPr="008B619A" w:rsidRDefault="00C01404" w:rsidP="005F4AB4">
            <w:pPr>
              <w:snapToGrid w:val="0"/>
              <w:spacing w:line="0" w:lineRule="atLeast"/>
              <w:rPr>
                <w:rFonts w:ascii="Times New Roman"/>
                <w:b/>
                <w:bCs/>
                <w:color w:val="000000" w:themeColor="text1"/>
                <w:sz w:val="26"/>
                <w:szCs w:val="26"/>
              </w:rPr>
            </w:pPr>
            <w:r w:rsidRPr="008B619A">
              <w:rPr>
                <w:rFonts w:ascii="Times New Roman"/>
                <w:b/>
                <w:bCs/>
                <w:color w:val="000000" w:themeColor="text1"/>
                <w:sz w:val="26"/>
                <w:szCs w:val="26"/>
              </w:rPr>
              <w:t>職員（人數）</w:t>
            </w:r>
          </w:p>
        </w:tc>
        <w:tc>
          <w:tcPr>
            <w:tcW w:w="971" w:type="pct"/>
            <w:gridSpan w:val="2"/>
            <w:tcBorders>
              <w:top w:val="single" w:sz="4" w:space="0" w:color="auto"/>
              <w:left w:val="nil"/>
              <w:bottom w:val="single" w:sz="4" w:space="0" w:color="auto"/>
              <w:right w:val="single" w:sz="4" w:space="0" w:color="auto"/>
            </w:tcBorders>
            <w:shd w:val="clear" w:color="auto" w:fill="auto"/>
            <w:noWrap/>
            <w:vAlign w:val="center"/>
            <w:hideMark/>
          </w:tcPr>
          <w:p w14:paraId="6E7E5CAD" w14:textId="54317952" w:rsidR="00C01404" w:rsidRPr="008B619A" w:rsidRDefault="00C01404" w:rsidP="005F4AB4">
            <w:pPr>
              <w:snapToGrid w:val="0"/>
              <w:spacing w:line="0" w:lineRule="atLeast"/>
              <w:jc w:val="center"/>
              <w:rPr>
                <w:rFonts w:ascii="Times New Roman"/>
                <w:color w:val="000000" w:themeColor="text1"/>
                <w:sz w:val="26"/>
                <w:szCs w:val="26"/>
              </w:rPr>
            </w:pPr>
            <w:r w:rsidRPr="008B619A">
              <w:rPr>
                <w:rFonts w:ascii="Times New Roman"/>
                <w:color w:val="000000" w:themeColor="text1"/>
                <w:sz w:val="26"/>
                <w:szCs w:val="26"/>
              </w:rPr>
              <w:t>1</w:t>
            </w:r>
            <w:r w:rsidR="00CF4FCE" w:rsidRPr="008B619A">
              <w:rPr>
                <w:rFonts w:ascii="Times New Roman"/>
                <w:color w:val="000000" w:themeColor="text1"/>
                <w:sz w:val="26"/>
                <w:szCs w:val="26"/>
              </w:rPr>
              <w:t>,</w:t>
            </w:r>
            <w:r w:rsidRPr="008B619A">
              <w:rPr>
                <w:rFonts w:ascii="Times New Roman"/>
                <w:color w:val="000000" w:themeColor="text1"/>
                <w:sz w:val="26"/>
                <w:szCs w:val="26"/>
              </w:rPr>
              <w:t>385</w:t>
            </w:r>
          </w:p>
        </w:tc>
        <w:tc>
          <w:tcPr>
            <w:tcW w:w="893" w:type="pct"/>
            <w:gridSpan w:val="2"/>
            <w:tcBorders>
              <w:top w:val="single" w:sz="4" w:space="0" w:color="auto"/>
              <w:left w:val="nil"/>
              <w:bottom w:val="single" w:sz="4" w:space="0" w:color="auto"/>
              <w:right w:val="single" w:sz="4" w:space="0" w:color="auto"/>
            </w:tcBorders>
            <w:shd w:val="clear" w:color="auto" w:fill="auto"/>
            <w:noWrap/>
            <w:vAlign w:val="center"/>
            <w:hideMark/>
          </w:tcPr>
          <w:p w14:paraId="00B654B5" w14:textId="77777777" w:rsidR="00C01404" w:rsidRPr="008B619A" w:rsidRDefault="00C01404" w:rsidP="005F4AB4">
            <w:pPr>
              <w:snapToGrid w:val="0"/>
              <w:spacing w:line="0" w:lineRule="atLeast"/>
              <w:jc w:val="center"/>
              <w:rPr>
                <w:rFonts w:ascii="Times New Roman"/>
                <w:color w:val="000000" w:themeColor="text1"/>
                <w:sz w:val="26"/>
                <w:szCs w:val="26"/>
              </w:rPr>
            </w:pPr>
            <w:r w:rsidRPr="008B619A">
              <w:rPr>
                <w:rFonts w:ascii="Times New Roman"/>
                <w:color w:val="000000" w:themeColor="text1"/>
                <w:sz w:val="26"/>
                <w:szCs w:val="26"/>
              </w:rPr>
              <w:t>148</w:t>
            </w:r>
          </w:p>
        </w:tc>
        <w:tc>
          <w:tcPr>
            <w:tcW w:w="894" w:type="pct"/>
            <w:gridSpan w:val="2"/>
            <w:tcBorders>
              <w:top w:val="single" w:sz="4" w:space="0" w:color="auto"/>
              <w:left w:val="nil"/>
              <w:bottom w:val="single" w:sz="4" w:space="0" w:color="auto"/>
              <w:right w:val="single" w:sz="4" w:space="0" w:color="auto"/>
            </w:tcBorders>
            <w:shd w:val="clear" w:color="auto" w:fill="auto"/>
            <w:noWrap/>
            <w:vAlign w:val="center"/>
            <w:hideMark/>
          </w:tcPr>
          <w:p w14:paraId="6DDC60F8" w14:textId="77777777" w:rsidR="00C01404" w:rsidRPr="008B619A" w:rsidRDefault="00C01404" w:rsidP="005F4AB4">
            <w:pPr>
              <w:snapToGrid w:val="0"/>
              <w:spacing w:line="0" w:lineRule="atLeast"/>
              <w:jc w:val="center"/>
              <w:rPr>
                <w:rFonts w:ascii="Times New Roman"/>
                <w:color w:val="000000" w:themeColor="text1"/>
                <w:sz w:val="26"/>
                <w:szCs w:val="26"/>
              </w:rPr>
            </w:pPr>
            <w:r w:rsidRPr="008B619A">
              <w:rPr>
                <w:rFonts w:ascii="Times New Roman"/>
                <w:color w:val="000000" w:themeColor="text1"/>
                <w:sz w:val="26"/>
                <w:szCs w:val="26"/>
              </w:rPr>
              <w:t>324</w:t>
            </w:r>
          </w:p>
        </w:tc>
        <w:tc>
          <w:tcPr>
            <w:tcW w:w="940" w:type="pct"/>
            <w:gridSpan w:val="2"/>
            <w:tcBorders>
              <w:top w:val="single" w:sz="4" w:space="0" w:color="auto"/>
              <w:left w:val="nil"/>
              <w:bottom w:val="single" w:sz="4" w:space="0" w:color="auto"/>
              <w:right w:val="single" w:sz="4" w:space="0" w:color="auto"/>
            </w:tcBorders>
            <w:shd w:val="clear" w:color="auto" w:fill="auto"/>
            <w:noWrap/>
            <w:vAlign w:val="center"/>
            <w:hideMark/>
          </w:tcPr>
          <w:p w14:paraId="3A80F34B" w14:textId="77777777" w:rsidR="00C01404" w:rsidRPr="008B619A" w:rsidRDefault="00C01404" w:rsidP="005F4AB4">
            <w:pPr>
              <w:snapToGrid w:val="0"/>
              <w:spacing w:line="0" w:lineRule="atLeast"/>
              <w:jc w:val="center"/>
              <w:rPr>
                <w:rFonts w:ascii="Times New Roman"/>
                <w:color w:val="000000" w:themeColor="text1"/>
                <w:sz w:val="26"/>
                <w:szCs w:val="26"/>
              </w:rPr>
            </w:pPr>
            <w:r w:rsidRPr="008B619A">
              <w:rPr>
                <w:rFonts w:ascii="Times New Roman"/>
                <w:color w:val="000000" w:themeColor="text1"/>
                <w:sz w:val="26"/>
                <w:szCs w:val="26"/>
              </w:rPr>
              <w:t>1857</w:t>
            </w:r>
          </w:p>
        </w:tc>
      </w:tr>
      <w:tr w:rsidR="00C01404" w:rsidRPr="008B619A" w14:paraId="5D9A71BA" w14:textId="77777777" w:rsidTr="00785ADB">
        <w:trPr>
          <w:trHeight w:val="20"/>
          <w:jc w:val="center"/>
        </w:trPr>
        <w:tc>
          <w:tcPr>
            <w:tcW w:w="1302" w:type="pct"/>
            <w:vMerge w:val="restart"/>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hideMark/>
          </w:tcPr>
          <w:p w14:paraId="77BD6E31" w14:textId="77777777" w:rsidR="00C01404" w:rsidRPr="008B619A" w:rsidRDefault="00C01404" w:rsidP="005F4AB4">
            <w:pPr>
              <w:snapToGrid w:val="0"/>
              <w:spacing w:line="0" w:lineRule="atLeast"/>
              <w:rPr>
                <w:rFonts w:ascii="Times New Roman"/>
                <w:b/>
                <w:bCs/>
                <w:color w:val="000000" w:themeColor="text1"/>
                <w:sz w:val="26"/>
                <w:szCs w:val="26"/>
              </w:rPr>
            </w:pPr>
            <w:r w:rsidRPr="008B619A">
              <w:rPr>
                <w:rFonts w:ascii="Times New Roman"/>
                <w:b/>
                <w:bCs/>
                <w:color w:val="000000" w:themeColor="text1"/>
                <w:sz w:val="26"/>
                <w:szCs w:val="26"/>
              </w:rPr>
              <w:t>職員中博士級人力</w:t>
            </w:r>
          </w:p>
        </w:tc>
        <w:tc>
          <w:tcPr>
            <w:tcW w:w="350" w:type="pct"/>
            <w:tcBorders>
              <w:top w:val="single" w:sz="4" w:space="0" w:color="auto"/>
              <w:left w:val="nil"/>
              <w:bottom w:val="single" w:sz="4" w:space="0" w:color="auto"/>
              <w:right w:val="single" w:sz="4" w:space="0" w:color="auto"/>
            </w:tcBorders>
            <w:shd w:val="clear" w:color="auto" w:fill="auto"/>
            <w:noWrap/>
            <w:vAlign w:val="center"/>
            <w:hideMark/>
          </w:tcPr>
          <w:p w14:paraId="39395400" w14:textId="77777777" w:rsidR="00C01404" w:rsidRPr="008B619A" w:rsidRDefault="00C01404" w:rsidP="005F4AB4">
            <w:pPr>
              <w:snapToGrid w:val="0"/>
              <w:spacing w:line="0" w:lineRule="atLeast"/>
              <w:jc w:val="center"/>
              <w:rPr>
                <w:rFonts w:ascii="Times New Roman"/>
                <w:color w:val="000000" w:themeColor="text1"/>
                <w:sz w:val="26"/>
                <w:szCs w:val="26"/>
              </w:rPr>
            </w:pPr>
            <w:r w:rsidRPr="008B619A">
              <w:rPr>
                <w:rFonts w:ascii="Times New Roman"/>
                <w:color w:val="000000" w:themeColor="text1"/>
                <w:sz w:val="26"/>
                <w:szCs w:val="26"/>
              </w:rPr>
              <w:t>人數</w:t>
            </w:r>
          </w:p>
        </w:tc>
        <w:tc>
          <w:tcPr>
            <w:tcW w:w="621" w:type="pct"/>
            <w:tcBorders>
              <w:top w:val="single" w:sz="4" w:space="0" w:color="auto"/>
              <w:left w:val="nil"/>
              <w:bottom w:val="single" w:sz="4" w:space="0" w:color="auto"/>
              <w:right w:val="single" w:sz="4" w:space="0" w:color="auto"/>
            </w:tcBorders>
            <w:shd w:val="clear" w:color="auto" w:fill="auto"/>
            <w:noWrap/>
            <w:vAlign w:val="center"/>
            <w:hideMark/>
          </w:tcPr>
          <w:p w14:paraId="6758518C" w14:textId="6C33802D" w:rsidR="00C01404" w:rsidRPr="008B619A" w:rsidRDefault="001C1870" w:rsidP="005F4AB4">
            <w:pPr>
              <w:snapToGrid w:val="0"/>
              <w:spacing w:line="0" w:lineRule="atLeast"/>
              <w:jc w:val="center"/>
              <w:rPr>
                <w:rFonts w:ascii="Times New Roman"/>
                <w:color w:val="000000" w:themeColor="text1"/>
                <w:sz w:val="26"/>
                <w:szCs w:val="26"/>
              </w:rPr>
            </w:pPr>
            <w:r w:rsidRPr="008B619A">
              <w:rPr>
                <w:rFonts w:ascii="Times New Roman" w:hint="eastAsia"/>
                <w:color w:val="000000" w:themeColor="text1"/>
                <w:sz w:val="26"/>
                <w:szCs w:val="26"/>
              </w:rPr>
              <w:t>占</w:t>
            </w:r>
            <w:r w:rsidR="00C01404" w:rsidRPr="008B619A">
              <w:rPr>
                <w:rFonts w:ascii="Times New Roman"/>
                <w:color w:val="000000" w:themeColor="text1"/>
                <w:sz w:val="26"/>
                <w:szCs w:val="26"/>
              </w:rPr>
              <w:t>比</w:t>
            </w:r>
          </w:p>
        </w:tc>
        <w:tc>
          <w:tcPr>
            <w:tcW w:w="349" w:type="pct"/>
            <w:tcBorders>
              <w:top w:val="single" w:sz="4" w:space="0" w:color="auto"/>
              <w:left w:val="nil"/>
              <w:bottom w:val="single" w:sz="4" w:space="0" w:color="auto"/>
              <w:right w:val="single" w:sz="4" w:space="0" w:color="auto"/>
            </w:tcBorders>
            <w:shd w:val="clear" w:color="auto" w:fill="auto"/>
            <w:noWrap/>
            <w:vAlign w:val="center"/>
            <w:hideMark/>
          </w:tcPr>
          <w:p w14:paraId="423D67FD" w14:textId="77777777" w:rsidR="00C01404" w:rsidRPr="008B619A" w:rsidRDefault="00C01404" w:rsidP="005F4AB4">
            <w:pPr>
              <w:snapToGrid w:val="0"/>
              <w:spacing w:line="0" w:lineRule="atLeast"/>
              <w:jc w:val="center"/>
              <w:rPr>
                <w:rFonts w:ascii="Times New Roman"/>
                <w:color w:val="000000" w:themeColor="text1"/>
                <w:sz w:val="26"/>
                <w:szCs w:val="26"/>
              </w:rPr>
            </w:pPr>
            <w:r w:rsidRPr="008B619A">
              <w:rPr>
                <w:rFonts w:ascii="Times New Roman"/>
                <w:color w:val="000000" w:themeColor="text1"/>
                <w:sz w:val="26"/>
                <w:szCs w:val="26"/>
              </w:rPr>
              <w:t>人數</w:t>
            </w:r>
          </w:p>
        </w:tc>
        <w:tc>
          <w:tcPr>
            <w:tcW w:w="544" w:type="pct"/>
            <w:tcBorders>
              <w:top w:val="single" w:sz="4" w:space="0" w:color="auto"/>
              <w:left w:val="nil"/>
              <w:bottom w:val="single" w:sz="4" w:space="0" w:color="auto"/>
              <w:right w:val="single" w:sz="4" w:space="0" w:color="auto"/>
            </w:tcBorders>
            <w:shd w:val="clear" w:color="auto" w:fill="auto"/>
            <w:noWrap/>
            <w:vAlign w:val="center"/>
            <w:hideMark/>
          </w:tcPr>
          <w:p w14:paraId="48CB1F9D" w14:textId="695B9972" w:rsidR="00C01404" w:rsidRPr="008B619A" w:rsidRDefault="001C1870" w:rsidP="005F4AB4">
            <w:pPr>
              <w:snapToGrid w:val="0"/>
              <w:spacing w:line="0" w:lineRule="atLeast"/>
              <w:jc w:val="center"/>
              <w:rPr>
                <w:rFonts w:ascii="Times New Roman"/>
                <w:color w:val="000000" w:themeColor="text1"/>
                <w:sz w:val="26"/>
                <w:szCs w:val="26"/>
              </w:rPr>
            </w:pPr>
            <w:r w:rsidRPr="008B619A">
              <w:rPr>
                <w:rFonts w:ascii="Times New Roman" w:hint="eastAsia"/>
                <w:color w:val="000000" w:themeColor="text1"/>
                <w:sz w:val="26"/>
                <w:szCs w:val="26"/>
              </w:rPr>
              <w:t>占</w:t>
            </w:r>
            <w:r w:rsidR="00C01404" w:rsidRPr="008B619A">
              <w:rPr>
                <w:rFonts w:ascii="Times New Roman"/>
                <w:color w:val="000000" w:themeColor="text1"/>
                <w:sz w:val="26"/>
                <w:szCs w:val="26"/>
              </w:rPr>
              <w:t>比</w:t>
            </w:r>
          </w:p>
        </w:tc>
        <w:tc>
          <w:tcPr>
            <w:tcW w:w="350" w:type="pct"/>
            <w:tcBorders>
              <w:top w:val="single" w:sz="4" w:space="0" w:color="auto"/>
              <w:left w:val="nil"/>
              <w:bottom w:val="single" w:sz="4" w:space="0" w:color="auto"/>
              <w:right w:val="single" w:sz="4" w:space="0" w:color="auto"/>
            </w:tcBorders>
            <w:shd w:val="clear" w:color="auto" w:fill="auto"/>
            <w:noWrap/>
            <w:vAlign w:val="center"/>
            <w:hideMark/>
          </w:tcPr>
          <w:p w14:paraId="3388A78C" w14:textId="77777777" w:rsidR="00C01404" w:rsidRPr="008B619A" w:rsidRDefault="00C01404" w:rsidP="005F4AB4">
            <w:pPr>
              <w:snapToGrid w:val="0"/>
              <w:spacing w:line="0" w:lineRule="atLeast"/>
              <w:jc w:val="center"/>
              <w:rPr>
                <w:rFonts w:ascii="Times New Roman"/>
                <w:color w:val="000000" w:themeColor="text1"/>
                <w:sz w:val="26"/>
                <w:szCs w:val="26"/>
              </w:rPr>
            </w:pPr>
            <w:r w:rsidRPr="008B619A">
              <w:rPr>
                <w:rFonts w:ascii="Times New Roman"/>
                <w:color w:val="000000" w:themeColor="text1"/>
                <w:sz w:val="26"/>
                <w:szCs w:val="26"/>
              </w:rPr>
              <w:t>人數</w:t>
            </w:r>
          </w:p>
        </w:tc>
        <w:tc>
          <w:tcPr>
            <w:tcW w:w="544" w:type="pct"/>
            <w:tcBorders>
              <w:top w:val="single" w:sz="4" w:space="0" w:color="auto"/>
              <w:left w:val="nil"/>
              <w:bottom w:val="single" w:sz="4" w:space="0" w:color="auto"/>
              <w:right w:val="single" w:sz="4" w:space="0" w:color="auto"/>
            </w:tcBorders>
            <w:shd w:val="clear" w:color="auto" w:fill="auto"/>
            <w:noWrap/>
            <w:vAlign w:val="center"/>
            <w:hideMark/>
          </w:tcPr>
          <w:p w14:paraId="1C9073B6" w14:textId="032EB129" w:rsidR="00C01404" w:rsidRPr="008B619A" w:rsidRDefault="001C1870" w:rsidP="005F4AB4">
            <w:pPr>
              <w:snapToGrid w:val="0"/>
              <w:spacing w:line="0" w:lineRule="atLeast"/>
              <w:jc w:val="center"/>
              <w:rPr>
                <w:rFonts w:ascii="Times New Roman"/>
                <w:color w:val="000000" w:themeColor="text1"/>
                <w:sz w:val="26"/>
                <w:szCs w:val="26"/>
              </w:rPr>
            </w:pPr>
            <w:r w:rsidRPr="008B619A">
              <w:rPr>
                <w:rFonts w:ascii="Times New Roman" w:hint="eastAsia"/>
                <w:color w:val="000000" w:themeColor="text1"/>
                <w:sz w:val="26"/>
                <w:szCs w:val="26"/>
              </w:rPr>
              <w:t>占</w:t>
            </w:r>
            <w:r w:rsidR="00C01404" w:rsidRPr="008B619A">
              <w:rPr>
                <w:rFonts w:ascii="Times New Roman"/>
                <w:color w:val="000000" w:themeColor="text1"/>
                <w:sz w:val="26"/>
                <w:szCs w:val="26"/>
              </w:rPr>
              <w:t>比</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14:paraId="6CB3DC64" w14:textId="77777777" w:rsidR="00C01404" w:rsidRPr="008B619A" w:rsidRDefault="00C01404" w:rsidP="005F4AB4">
            <w:pPr>
              <w:snapToGrid w:val="0"/>
              <w:spacing w:line="0" w:lineRule="atLeast"/>
              <w:jc w:val="center"/>
              <w:rPr>
                <w:rFonts w:ascii="Times New Roman"/>
                <w:color w:val="000000" w:themeColor="text1"/>
                <w:sz w:val="26"/>
                <w:szCs w:val="26"/>
              </w:rPr>
            </w:pPr>
            <w:r w:rsidRPr="008B619A">
              <w:rPr>
                <w:rFonts w:ascii="Times New Roman"/>
                <w:color w:val="000000" w:themeColor="text1"/>
                <w:sz w:val="26"/>
                <w:szCs w:val="26"/>
              </w:rPr>
              <w:t>人數</w:t>
            </w:r>
          </w:p>
        </w:tc>
        <w:tc>
          <w:tcPr>
            <w:tcW w:w="572" w:type="pct"/>
            <w:tcBorders>
              <w:top w:val="single" w:sz="4" w:space="0" w:color="auto"/>
              <w:left w:val="nil"/>
              <w:bottom w:val="single" w:sz="4" w:space="0" w:color="auto"/>
              <w:right w:val="single" w:sz="4" w:space="0" w:color="auto"/>
            </w:tcBorders>
            <w:shd w:val="clear" w:color="auto" w:fill="auto"/>
            <w:noWrap/>
            <w:vAlign w:val="center"/>
            <w:hideMark/>
          </w:tcPr>
          <w:p w14:paraId="4B1AC8E9" w14:textId="729B77BF" w:rsidR="00C01404" w:rsidRPr="008B619A" w:rsidRDefault="001C1870" w:rsidP="005F4AB4">
            <w:pPr>
              <w:snapToGrid w:val="0"/>
              <w:spacing w:line="0" w:lineRule="atLeast"/>
              <w:jc w:val="center"/>
              <w:rPr>
                <w:rFonts w:ascii="Times New Roman"/>
                <w:color w:val="000000" w:themeColor="text1"/>
                <w:sz w:val="26"/>
                <w:szCs w:val="26"/>
              </w:rPr>
            </w:pPr>
            <w:r w:rsidRPr="008B619A">
              <w:rPr>
                <w:rFonts w:ascii="Times New Roman" w:hint="eastAsia"/>
                <w:color w:val="000000" w:themeColor="text1"/>
                <w:sz w:val="26"/>
                <w:szCs w:val="26"/>
              </w:rPr>
              <w:t>占</w:t>
            </w:r>
            <w:r w:rsidR="00C01404" w:rsidRPr="008B619A">
              <w:rPr>
                <w:rFonts w:ascii="Times New Roman"/>
                <w:color w:val="000000" w:themeColor="text1"/>
                <w:sz w:val="26"/>
                <w:szCs w:val="26"/>
              </w:rPr>
              <w:t>比</w:t>
            </w:r>
          </w:p>
        </w:tc>
      </w:tr>
      <w:tr w:rsidR="00C01404" w:rsidRPr="008B619A" w14:paraId="6404171B" w14:textId="77777777" w:rsidTr="00785ADB">
        <w:trPr>
          <w:trHeight w:val="20"/>
          <w:jc w:val="center"/>
        </w:trPr>
        <w:tc>
          <w:tcPr>
            <w:tcW w:w="1302" w:type="pct"/>
            <w:vMerge/>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hideMark/>
          </w:tcPr>
          <w:p w14:paraId="0909D9AB" w14:textId="77777777" w:rsidR="00C01404" w:rsidRPr="008B619A" w:rsidRDefault="00C01404" w:rsidP="005F4AB4">
            <w:pPr>
              <w:snapToGrid w:val="0"/>
              <w:spacing w:line="0" w:lineRule="atLeast"/>
              <w:rPr>
                <w:rFonts w:ascii="Times New Roman"/>
                <w:b/>
                <w:bCs/>
                <w:color w:val="000000" w:themeColor="text1"/>
                <w:sz w:val="26"/>
                <w:szCs w:val="26"/>
              </w:rPr>
            </w:pPr>
          </w:p>
        </w:tc>
        <w:tc>
          <w:tcPr>
            <w:tcW w:w="350" w:type="pct"/>
            <w:tcBorders>
              <w:top w:val="single" w:sz="4" w:space="0" w:color="auto"/>
              <w:left w:val="nil"/>
              <w:bottom w:val="single" w:sz="4" w:space="0" w:color="auto"/>
              <w:right w:val="single" w:sz="4" w:space="0" w:color="auto"/>
            </w:tcBorders>
            <w:shd w:val="clear" w:color="auto" w:fill="auto"/>
            <w:noWrap/>
            <w:vAlign w:val="center"/>
            <w:hideMark/>
          </w:tcPr>
          <w:p w14:paraId="59F03A94" w14:textId="77777777" w:rsidR="00C01404" w:rsidRPr="008B619A" w:rsidRDefault="00C01404" w:rsidP="005F4AB4">
            <w:pPr>
              <w:snapToGrid w:val="0"/>
              <w:spacing w:line="0" w:lineRule="atLeast"/>
              <w:jc w:val="center"/>
              <w:rPr>
                <w:rFonts w:ascii="Times New Roman"/>
                <w:color w:val="000000" w:themeColor="text1"/>
                <w:sz w:val="26"/>
                <w:szCs w:val="26"/>
              </w:rPr>
            </w:pPr>
            <w:r w:rsidRPr="008B619A">
              <w:rPr>
                <w:rFonts w:ascii="Times New Roman"/>
                <w:color w:val="000000" w:themeColor="text1"/>
                <w:sz w:val="26"/>
                <w:szCs w:val="26"/>
              </w:rPr>
              <w:t>366</w:t>
            </w:r>
          </w:p>
        </w:tc>
        <w:tc>
          <w:tcPr>
            <w:tcW w:w="621" w:type="pct"/>
            <w:tcBorders>
              <w:top w:val="single" w:sz="4" w:space="0" w:color="auto"/>
              <w:left w:val="nil"/>
              <w:bottom w:val="single" w:sz="4" w:space="0" w:color="auto"/>
              <w:right w:val="single" w:sz="4" w:space="0" w:color="auto"/>
            </w:tcBorders>
            <w:shd w:val="clear" w:color="auto" w:fill="auto"/>
            <w:noWrap/>
            <w:vAlign w:val="center"/>
            <w:hideMark/>
          </w:tcPr>
          <w:p w14:paraId="70042837" w14:textId="77777777" w:rsidR="00C01404" w:rsidRPr="008B619A" w:rsidRDefault="00C01404" w:rsidP="005F4AB4">
            <w:pPr>
              <w:snapToGrid w:val="0"/>
              <w:spacing w:line="0" w:lineRule="atLeast"/>
              <w:jc w:val="center"/>
              <w:rPr>
                <w:rFonts w:ascii="Times New Roman"/>
                <w:color w:val="000000" w:themeColor="text1"/>
                <w:sz w:val="26"/>
                <w:szCs w:val="26"/>
              </w:rPr>
            </w:pPr>
            <w:r w:rsidRPr="008B619A">
              <w:rPr>
                <w:rFonts w:ascii="Times New Roman"/>
                <w:color w:val="000000" w:themeColor="text1"/>
                <w:sz w:val="26"/>
                <w:szCs w:val="26"/>
              </w:rPr>
              <w:t>26.4%</w:t>
            </w:r>
          </w:p>
        </w:tc>
        <w:tc>
          <w:tcPr>
            <w:tcW w:w="349" w:type="pct"/>
            <w:tcBorders>
              <w:top w:val="single" w:sz="4" w:space="0" w:color="auto"/>
              <w:left w:val="nil"/>
              <w:bottom w:val="single" w:sz="4" w:space="0" w:color="auto"/>
              <w:right w:val="single" w:sz="4" w:space="0" w:color="auto"/>
            </w:tcBorders>
            <w:shd w:val="clear" w:color="auto" w:fill="auto"/>
            <w:noWrap/>
            <w:vAlign w:val="center"/>
            <w:hideMark/>
          </w:tcPr>
          <w:p w14:paraId="6A87A7C2" w14:textId="77777777" w:rsidR="00C01404" w:rsidRPr="008B619A" w:rsidRDefault="00C01404" w:rsidP="005F4AB4">
            <w:pPr>
              <w:snapToGrid w:val="0"/>
              <w:spacing w:line="0" w:lineRule="atLeast"/>
              <w:jc w:val="center"/>
              <w:rPr>
                <w:rFonts w:ascii="Times New Roman"/>
                <w:color w:val="000000" w:themeColor="text1"/>
                <w:sz w:val="26"/>
                <w:szCs w:val="26"/>
              </w:rPr>
            </w:pPr>
            <w:r w:rsidRPr="008B619A">
              <w:rPr>
                <w:rFonts w:ascii="Times New Roman"/>
                <w:color w:val="000000" w:themeColor="text1"/>
                <w:sz w:val="26"/>
                <w:szCs w:val="26"/>
              </w:rPr>
              <w:t>56</w:t>
            </w:r>
          </w:p>
        </w:tc>
        <w:tc>
          <w:tcPr>
            <w:tcW w:w="544" w:type="pct"/>
            <w:tcBorders>
              <w:top w:val="single" w:sz="4" w:space="0" w:color="auto"/>
              <w:left w:val="nil"/>
              <w:bottom w:val="single" w:sz="4" w:space="0" w:color="auto"/>
              <w:right w:val="single" w:sz="4" w:space="0" w:color="auto"/>
            </w:tcBorders>
            <w:shd w:val="clear" w:color="auto" w:fill="auto"/>
            <w:noWrap/>
            <w:vAlign w:val="center"/>
            <w:hideMark/>
          </w:tcPr>
          <w:p w14:paraId="713BBF53" w14:textId="77777777" w:rsidR="00C01404" w:rsidRPr="008B619A" w:rsidRDefault="00C01404" w:rsidP="005F4AB4">
            <w:pPr>
              <w:snapToGrid w:val="0"/>
              <w:spacing w:line="0" w:lineRule="atLeast"/>
              <w:jc w:val="center"/>
              <w:rPr>
                <w:rFonts w:ascii="Times New Roman"/>
                <w:color w:val="000000" w:themeColor="text1"/>
                <w:sz w:val="26"/>
                <w:szCs w:val="26"/>
              </w:rPr>
            </w:pPr>
            <w:r w:rsidRPr="008B619A">
              <w:rPr>
                <w:rFonts w:ascii="Times New Roman"/>
                <w:color w:val="000000" w:themeColor="text1"/>
                <w:sz w:val="26"/>
                <w:szCs w:val="26"/>
              </w:rPr>
              <w:t>37.8%</w:t>
            </w:r>
          </w:p>
        </w:tc>
        <w:tc>
          <w:tcPr>
            <w:tcW w:w="350" w:type="pct"/>
            <w:tcBorders>
              <w:top w:val="single" w:sz="4" w:space="0" w:color="auto"/>
              <w:left w:val="nil"/>
              <w:bottom w:val="single" w:sz="4" w:space="0" w:color="auto"/>
              <w:right w:val="single" w:sz="4" w:space="0" w:color="auto"/>
            </w:tcBorders>
            <w:shd w:val="clear" w:color="auto" w:fill="auto"/>
            <w:noWrap/>
            <w:vAlign w:val="center"/>
            <w:hideMark/>
          </w:tcPr>
          <w:p w14:paraId="1C27CB0A" w14:textId="77777777" w:rsidR="00C01404" w:rsidRPr="008B619A" w:rsidRDefault="00C01404" w:rsidP="005F4AB4">
            <w:pPr>
              <w:snapToGrid w:val="0"/>
              <w:spacing w:line="0" w:lineRule="atLeast"/>
              <w:jc w:val="center"/>
              <w:rPr>
                <w:rFonts w:ascii="Times New Roman"/>
                <w:color w:val="000000" w:themeColor="text1"/>
                <w:sz w:val="26"/>
                <w:szCs w:val="26"/>
              </w:rPr>
            </w:pPr>
            <w:r w:rsidRPr="008B619A">
              <w:rPr>
                <w:rFonts w:ascii="Times New Roman"/>
                <w:color w:val="000000" w:themeColor="text1"/>
                <w:sz w:val="26"/>
                <w:szCs w:val="26"/>
              </w:rPr>
              <w:t>128</w:t>
            </w:r>
          </w:p>
        </w:tc>
        <w:tc>
          <w:tcPr>
            <w:tcW w:w="544" w:type="pct"/>
            <w:tcBorders>
              <w:top w:val="single" w:sz="4" w:space="0" w:color="auto"/>
              <w:left w:val="nil"/>
              <w:bottom w:val="single" w:sz="4" w:space="0" w:color="auto"/>
              <w:right w:val="single" w:sz="4" w:space="0" w:color="auto"/>
            </w:tcBorders>
            <w:shd w:val="clear" w:color="auto" w:fill="auto"/>
            <w:noWrap/>
            <w:vAlign w:val="center"/>
            <w:hideMark/>
          </w:tcPr>
          <w:p w14:paraId="3DA50A16" w14:textId="77777777" w:rsidR="00C01404" w:rsidRPr="008B619A" w:rsidRDefault="00C01404" w:rsidP="005F4AB4">
            <w:pPr>
              <w:snapToGrid w:val="0"/>
              <w:spacing w:line="0" w:lineRule="atLeast"/>
              <w:jc w:val="center"/>
              <w:rPr>
                <w:rFonts w:ascii="Times New Roman"/>
                <w:color w:val="000000" w:themeColor="text1"/>
                <w:sz w:val="26"/>
                <w:szCs w:val="26"/>
              </w:rPr>
            </w:pPr>
            <w:r w:rsidRPr="008B619A">
              <w:rPr>
                <w:rFonts w:ascii="Times New Roman"/>
                <w:color w:val="000000" w:themeColor="text1"/>
                <w:sz w:val="26"/>
                <w:szCs w:val="26"/>
              </w:rPr>
              <w:t>39.5%</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14:paraId="7F80C475" w14:textId="77777777" w:rsidR="00C01404" w:rsidRPr="008B619A" w:rsidRDefault="00C01404" w:rsidP="005F4AB4">
            <w:pPr>
              <w:snapToGrid w:val="0"/>
              <w:spacing w:line="0" w:lineRule="atLeast"/>
              <w:jc w:val="center"/>
              <w:rPr>
                <w:rFonts w:ascii="Times New Roman"/>
                <w:color w:val="000000" w:themeColor="text1"/>
                <w:sz w:val="26"/>
                <w:szCs w:val="26"/>
              </w:rPr>
            </w:pPr>
            <w:r w:rsidRPr="008B619A">
              <w:rPr>
                <w:rFonts w:ascii="Times New Roman"/>
                <w:color w:val="000000" w:themeColor="text1"/>
                <w:sz w:val="26"/>
                <w:szCs w:val="26"/>
              </w:rPr>
              <w:t>550</w:t>
            </w:r>
          </w:p>
        </w:tc>
        <w:tc>
          <w:tcPr>
            <w:tcW w:w="572" w:type="pct"/>
            <w:tcBorders>
              <w:top w:val="single" w:sz="4" w:space="0" w:color="auto"/>
              <w:left w:val="nil"/>
              <w:bottom w:val="single" w:sz="4" w:space="0" w:color="auto"/>
              <w:right w:val="single" w:sz="4" w:space="0" w:color="auto"/>
            </w:tcBorders>
            <w:shd w:val="clear" w:color="auto" w:fill="auto"/>
            <w:noWrap/>
            <w:vAlign w:val="center"/>
            <w:hideMark/>
          </w:tcPr>
          <w:p w14:paraId="09FDADE0" w14:textId="77777777" w:rsidR="00C01404" w:rsidRPr="008B619A" w:rsidRDefault="00C01404" w:rsidP="005F4AB4">
            <w:pPr>
              <w:snapToGrid w:val="0"/>
              <w:spacing w:line="0" w:lineRule="atLeast"/>
              <w:jc w:val="center"/>
              <w:rPr>
                <w:rFonts w:ascii="Times New Roman"/>
                <w:color w:val="000000" w:themeColor="text1"/>
                <w:sz w:val="26"/>
                <w:szCs w:val="26"/>
              </w:rPr>
            </w:pPr>
            <w:r w:rsidRPr="008B619A">
              <w:rPr>
                <w:rFonts w:ascii="Times New Roman"/>
                <w:color w:val="000000" w:themeColor="text1"/>
                <w:sz w:val="26"/>
                <w:szCs w:val="26"/>
              </w:rPr>
              <w:t>29.6%</w:t>
            </w:r>
          </w:p>
        </w:tc>
      </w:tr>
      <w:tr w:rsidR="00C01404" w:rsidRPr="008B619A" w14:paraId="120C2CB3" w14:textId="77777777" w:rsidTr="00785ADB">
        <w:trPr>
          <w:trHeight w:val="20"/>
          <w:jc w:val="center"/>
        </w:trPr>
        <w:tc>
          <w:tcPr>
            <w:tcW w:w="1302" w:type="pct"/>
            <w:tcBorders>
              <w:top w:val="single" w:sz="4" w:space="0" w:color="auto"/>
              <w:left w:val="single" w:sz="4" w:space="0" w:color="auto"/>
              <w:bottom w:val="single" w:sz="4" w:space="0" w:color="auto"/>
              <w:right w:val="single" w:sz="4" w:space="0" w:color="auto"/>
            </w:tcBorders>
            <w:shd w:val="clear" w:color="auto" w:fill="E5DFEC" w:themeFill="accent4" w:themeFillTint="33"/>
            <w:noWrap/>
            <w:vAlign w:val="center"/>
            <w:hideMark/>
          </w:tcPr>
          <w:p w14:paraId="0BF75183" w14:textId="77777777" w:rsidR="00C01404" w:rsidRPr="008B619A" w:rsidRDefault="00C01404" w:rsidP="005F4AB4">
            <w:pPr>
              <w:snapToGrid w:val="0"/>
              <w:spacing w:line="0" w:lineRule="atLeast"/>
              <w:rPr>
                <w:rFonts w:ascii="Times New Roman"/>
                <w:b/>
                <w:bCs/>
                <w:color w:val="000000" w:themeColor="text1"/>
                <w:sz w:val="26"/>
                <w:szCs w:val="26"/>
              </w:rPr>
            </w:pPr>
            <w:r w:rsidRPr="008B619A">
              <w:rPr>
                <w:rFonts w:ascii="Times New Roman"/>
                <w:b/>
                <w:bCs/>
                <w:color w:val="000000" w:themeColor="text1"/>
                <w:sz w:val="26"/>
                <w:szCs w:val="26"/>
              </w:rPr>
              <w:t>博士級人力領域別</w:t>
            </w:r>
          </w:p>
        </w:tc>
        <w:tc>
          <w:tcPr>
            <w:tcW w:w="350" w:type="pct"/>
            <w:tcBorders>
              <w:top w:val="single" w:sz="4" w:space="0" w:color="auto"/>
              <w:left w:val="nil"/>
              <w:bottom w:val="single" w:sz="4" w:space="0" w:color="auto"/>
              <w:right w:val="single" w:sz="4" w:space="0" w:color="auto"/>
            </w:tcBorders>
            <w:shd w:val="clear" w:color="auto" w:fill="auto"/>
            <w:noWrap/>
            <w:vAlign w:val="center"/>
            <w:hideMark/>
          </w:tcPr>
          <w:p w14:paraId="29FEB4E1" w14:textId="77777777" w:rsidR="00C01404" w:rsidRPr="008B619A" w:rsidRDefault="00C01404" w:rsidP="005F4AB4">
            <w:pPr>
              <w:snapToGrid w:val="0"/>
              <w:spacing w:line="0" w:lineRule="atLeast"/>
              <w:jc w:val="center"/>
              <w:rPr>
                <w:rFonts w:ascii="Times New Roman"/>
                <w:color w:val="000000" w:themeColor="text1"/>
                <w:sz w:val="26"/>
                <w:szCs w:val="26"/>
              </w:rPr>
            </w:pPr>
            <w:r w:rsidRPr="008B619A">
              <w:rPr>
                <w:rFonts w:ascii="Times New Roman"/>
                <w:color w:val="000000" w:themeColor="text1"/>
                <w:sz w:val="26"/>
                <w:szCs w:val="26"/>
              </w:rPr>
              <w:t>人數</w:t>
            </w:r>
          </w:p>
        </w:tc>
        <w:tc>
          <w:tcPr>
            <w:tcW w:w="621" w:type="pct"/>
            <w:tcBorders>
              <w:top w:val="single" w:sz="4" w:space="0" w:color="auto"/>
              <w:left w:val="nil"/>
              <w:bottom w:val="single" w:sz="4" w:space="0" w:color="auto"/>
              <w:right w:val="single" w:sz="4" w:space="0" w:color="auto"/>
            </w:tcBorders>
            <w:shd w:val="clear" w:color="auto" w:fill="auto"/>
            <w:noWrap/>
            <w:vAlign w:val="center"/>
            <w:hideMark/>
          </w:tcPr>
          <w:p w14:paraId="2B6DEE9C" w14:textId="69307154" w:rsidR="00C01404" w:rsidRPr="008B619A" w:rsidRDefault="001C1870" w:rsidP="005F4AB4">
            <w:pPr>
              <w:snapToGrid w:val="0"/>
              <w:spacing w:line="0" w:lineRule="atLeast"/>
              <w:jc w:val="center"/>
              <w:rPr>
                <w:rFonts w:ascii="Times New Roman"/>
                <w:color w:val="000000" w:themeColor="text1"/>
                <w:sz w:val="26"/>
                <w:szCs w:val="26"/>
              </w:rPr>
            </w:pPr>
            <w:r w:rsidRPr="008B619A">
              <w:rPr>
                <w:rFonts w:ascii="Times New Roman" w:hint="eastAsia"/>
                <w:color w:val="000000" w:themeColor="text1"/>
                <w:sz w:val="26"/>
                <w:szCs w:val="26"/>
              </w:rPr>
              <w:t>占</w:t>
            </w:r>
            <w:r w:rsidR="00C01404" w:rsidRPr="008B619A">
              <w:rPr>
                <w:rFonts w:ascii="Times New Roman"/>
                <w:color w:val="000000" w:themeColor="text1"/>
                <w:sz w:val="26"/>
                <w:szCs w:val="26"/>
              </w:rPr>
              <w:t>比</w:t>
            </w:r>
          </w:p>
        </w:tc>
        <w:tc>
          <w:tcPr>
            <w:tcW w:w="349" w:type="pct"/>
            <w:tcBorders>
              <w:top w:val="single" w:sz="4" w:space="0" w:color="auto"/>
              <w:left w:val="nil"/>
              <w:bottom w:val="single" w:sz="4" w:space="0" w:color="auto"/>
              <w:right w:val="single" w:sz="4" w:space="0" w:color="auto"/>
            </w:tcBorders>
            <w:shd w:val="clear" w:color="auto" w:fill="auto"/>
            <w:noWrap/>
            <w:vAlign w:val="center"/>
            <w:hideMark/>
          </w:tcPr>
          <w:p w14:paraId="3367AC77" w14:textId="77777777" w:rsidR="00C01404" w:rsidRPr="008B619A" w:rsidRDefault="00C01404" w:rsidP="005F4AB4">
            <w:pPr>
              <w:snapToGrid w:val="0"/>
              <w:spacing w:line="0" w:lineRule="atLeast"/>
              <w:jc w:val="center"/>
              <w:rPr>
                <w:rFonts w:ascii="Times New Roman"/>
                <w:color w:val="000000" w:themeColor="text1"/>
                <w:sz w:val="26"/>
                <w:szCs w:val="26"/>
              </w:rPr>
            </w:pPr>
            <w:r w:rsidRPr="008B619A">
              <w:rPr>
                <w:rFonts w:ascii="Times New Roman"/>
                <w:color w:val="000000" w:themeColor="text1"/>
                <w:sz w:val="26"/>
                <w:szCs w:val="26"/>
              </w:rPr>
              <w:t>人數</w:t>
            </w:r>
          </w:p>
        </w:tc>
        <w:tc>
          <w:tcPr>
            <w:tcW w:w="544" w:type="pct"/>
            <w:tcBorders>
              <w:top w:val="single" w:sz="4" w:space="0" w:color="auto"/>
              <w:left w:val="nil"/>
              <w:bottom w:val="single" w:sz="4" w:space="0" w:color="auto"/>
              <w:right w:val="single" w:sz="4" w:space="0" w:color="auto"/>
            </w:tcBorders>
            <w:shd w:val="clear" w:color="auto" w:fill="auto"/>
            <w:noWrap/>
            <w:vAlign w:val="center"/>
            <w:hideMark/>
          </w:tcPr>
          <w:p w14:paraId="2B502A3F" w14:textId="67DD4870" w:rsidR="00C01404" w:rsidRPr="008B619A" w:rsidRDefault="001C1870" w:rsidP="005F4AB4">
            <w:pPr>
              <w:snapToGrid w:val="0"/>
              <w:spacing w:line="0" w:lineRule="atLeast"/>
              <w:jc w:val="center"/>
              <w:rPr>
                <w:rFonts w:ascii="Times New Roman"/>
                <w:color w:val="000000" w:themeColor="text1"/>
                <w:sz w:val="26"/>
                <w:szCs w:val="26"/>
              </w:rPr>
            </w:pPr>
            <w:r w:rsidRPr="008B619A">
              <w:rPr>
                <w:rFonts w:ascii="Times New Roman" w:hint="eastAsia"/>
                <w:color w:val="000000" w:themeColor="text1"/>
                <w:sz w:val="26"/>
                <w:szCs w:val="26"/>
              </w:rPr>
              <w:t>占</w:t>
            </w:r>
            <w:r w:rsidR="00C01404" w:rsidRPr="008B619A">
              <w:rPr>
                <w:rFonts w:ascii="Times New Roman"/>
                <w:color w:val="000000" w:themeColor="text1"/>
                <w:sz w:val="26"/>
                <w:szCs w:val="26"/>
              </w:rPr>
              <w:t>比</w:t>
            </w:r>
          </w:p>
        </w:tc>
        <w:tc>
          <w:tcPr>
            <w:tcW w:w="350" w:type="pct"/>
            <w:tcBorders>
              <w:top w:val="single" w:sz="4" w:space="0" w:color="auto"/>
              <w:left w:val="nil"/>
              <w:bottom w:val="single" w:sz="4" w:space="0" w:color="auto"/>
              <w:right w:val="single" w:sz="4" w:space="0" w:color="auto"/>
            </w:tcBorders>
            <w:shd w:val="clear" w:color="auto" w:fill="auto"/>
            <w:noWrap/>
            <w:vAlign w:val="center"/>
            <w:hideMark/>
          </w:tcPr>
          <w:p w14:paraId="3D7184A2" w14:textId="77777777" w:rsidR="00C01404" w:rsidRPr="008B619A" w:rsidRDefault="00C01404" w:rsidP="005F4AB4">
            <w:pPr>
              <w:snapToGrid w:val="0"/>
              <w:spacing w:line="0" w:lineRule="atLeast"/>
              <w:jc w:val="center"/>
              <w:rPr>
                <w:rFonts w:ascii="Times New Roman"/>
                <w:color w:val="000000" w:themeColor="text1"/>
                <w:sz w:val="26"/>
                <w:szCs w:val="26"/>
              </w:rPr>
            </w:pPr>
            <w:r w:rsidRPr="008B619A">
              <w:rPr>
                <w:rFonts w:ascii="Times New Roman"/>
                <w:color w:val="000000" w:themeColor="text1"/>
                <w:sz w:val="26"/>
                <w:szCs w:val="26"/>
              </w:rPr>
              <w:t>人數</w:t>
            </w:r>
          </w:p>
        </w:tc>
        <w:tc>
          <w:tcPr>
            <w:tcW w:w="544" w:type="pct"/>
            <w:tcBorders>
              <w:top w:val="single" w:sz="4" w:space="0" w:color="auto"/>
              <w:left w:val="nil"/>
              <w:bottom w:val="single" w:sz="4" w:space="0" w:color="auto"/>
              <w:right w:val="single" w:sz="4" w:space="0" w:color="auto"/>
            </w:tcBorders>
            <w:shd w:val="clear" w:color="auto" w:fill="auto"/>
            <w:noWrap/>
            <w:vAlign w:val="center"/>
            <w:hideMark/>
          </w:tcPr>
          <w:p w14:paraId="46FA1B36" w14:textId="4384C8C2" w:rsidR="00C01404" w:rsidRPr="008B619A" w:rsidRDefault="001C1870" w:rsidP="005F4AB4">
            <w:pPr>
              <w:snapToGrid w:val="0"/>
              <w:spacing w:line="0" w:lineRule="atLeast"/>
              <w:jc w:val="center"/>
              <w:rPr>
                <w:rFonts w:ascii="Times New Roman"/>
                <w:color w:val="000000" w:themeColor="text1"/>
                <w:sz w:val="26"/>
                <w:szCs w:val="26"/>
              </w:rPr>
            </w:pPr>
            <w:r w:rsidRPr="008B619A">
              <w:rPr>
                <w:rFonts w:ascii="Times New Roman" w:hint="eastAsia"/>
                <w:color w:val="000000" w:themeColor="text1"/>
                <w:sz w:val="26"/>
                <w:szCs w:val="26"/>
              </w:rPr>
              <w:t>占</w:t>
            </w:r>
            <w:r w:rsidR="00C01404" w:rsidRPr="008B619A">
              <w:rPr>
                <w:rFonts w:ascii="Times New Roman"/>
                <w:color w:val="000000" w:themeColor="text1"/>
                <w:sz w:val="26"/>
                <w:szCs w:val="26"/>
              </w:rPr>
              <w:t>比</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14:paraId="03F2B0BA" w14:textId="77777777" w:rsidR="00C01404" w:rsidRPr="008B619A" w:rsidRDefault="00C01404" w:rsidP="005F4AB4">
            <w:pPr>
              <w:snapToGrid w:val="0"/>
              <w:spacing w:line="0" w:lineRule="atLeast"/>
              <w:jc w:val="center"/>
              <w:rPr>
                <w:rFonts w:ascii="Times New Roman"/>
                <w:color w:val="000000" w:themeColor="text1"/>
                <w:sz w:val="26"/>
                <w:szCs w:val="26"/>
              </w:rPr>
            </w:pPr>
            <w:r w:rsidRPr="008B619A">
              <w:rPr>
                <w:rFonts w:ascii="Times New Roman"/>
                <w:color w:val="000000" w:themeColor="text1"/>
                <w:sz w:val="26"/>
                <w:szCs w:val="26"/>
              </w:rPr>
              <w:t>人數</w:t>
            </w:r>
          </w:p>
        </w:tc>
        <w:tc>
          <w:tcPr>
            <w:tcW w:w="572" w:type="pct"/>
            <w:tcBorders>
              <w:top w:val="single" w:sz="4" w:space="0" w:color="auto"/>
              <w:left w:val="nil"/>
              <w:bottom w:val="single" w:sz="4" w:space="0" w:color="auto"/>
              <w:right w:val="single" w:sz="4" w:space="0" w:color="auto"/>
            </w:tcBorders>
            <w:shd w:val="clear" w:color="auto" w:fill="auto"/>
            <w:noWrap/>
            <w:vAlign w:val="center"/>
            <w:hideMark/>
          </w:tcPr>
          <w:p w14:paraId="10727556" w14:textId="2F9A2921" w:rsidR="00C01404" w:rsidRPr="008B619A" w:rsidRDefault="001C1870" w:rsidP="005F4AB4">
            <w:pPr>
              <w:snapToGrid w:val="0"/>
              <w:spacing w:line="0" w:lineRule="atLeast"/>
              <w:jc w:val="center"/>
              <w:rPr>
                <w:rFonts w:ascii="Times New Roman"/>
                <w:color w:val="000000" w:themeColor="text1"/>
                <w:sz w:val="26"/>
                <w:szCs w:val="26"/>
              </w:rPr>
            </w:pPr>
            <w:r w:rsidRPr="008B619A">
              <w:rPr>
                <w:rFonts w:ascii="Times New Roman" w:hint="eastAsia"/>
                <w:color w:val="000000" w:themeColor="text1"/>
                <w:sz w:val="26"/>
                <w:szCs w:val="26"/>
              </w:rPr>
              <w:t>占</w:t>
            </w:r>
            <w:r w:rsidR="00C01404" w:rsidRPr="008B619A">
              <w:rPr>
                <w:rFonts w:ascii="Times New Roman"/>
                <w:color w:val="000000" w:themeColor="text1"/>
                <w:sz w:val="26"/>
                <w:szCs w:val="26"/>
              </w:rPr>
              <w:t>比</w:t>
            </w:r>
          </w:p>
        </w:tc>
      </w:tr>
      <w:tr w:rsidR="00C01404" w:rsidRPr="008B619A" w14:paraId="0695B407" w14:textId="77777777" w:rsidTr="00785ADB">
        <w:trPr>
          <w:trHeight w:val="20"/>
          <w:jc w:val="center"/>
        </w:trPr>
        <w:tc>
          <w:tcPr>
            <w:tcW w:w="1302" w:type="pct"/>
            <w:tcBorders>
              <w:top w:val="single" w:sz="4" w:space="0" w:color="auto"/>
              <w:left w:val="single" w:sz="4" w:space="0" w:color="auto"/>
              <w:bottom w:val="single" w:sz="4" w:space="0" w:color="auto"/>
              <w:right w:val="single" w:sz="4" w:space="0" w:color="auto"/>
            </w:tcBorders>
            <w:shd w:val="clear" w:color="auto" w:fill="E5DFEC" w:themeFill="accent4" w:themeFillTint="33"/>
            <w:noWrap/>
            <w:vAlign w:val="center"/>
            <w:hideMark/>
          </w:tcPr>
          <w:p w14:paraId="781B9B4D" w14:textId="77777777" w:rsidR="00C01404" w:rsidRPr="008B619A" w:rsidRDefault="00C01404" w:rsidP="005F4AB4">
            <w:pPr>
              <w:snapToGrid w:val="0"/>
              <w:spacing w:line="0" w:lineRule="atLeast"/>
              <w:rPr>
                <w:rFonts w:ascii="Times New Roman"/>
                <w:b/>
                <w:bCs/>
                <w:color w:val="000000" w:themeColor="text1"/>
                <w:sz w:val="26"/>
                <w:szCs w:val="26"/>
              </w:rPr>
            </w:pPr>
            <w:r w:rsidRPr="008B619A">
              <w:rPr>
                <w:rFonts w:ascii="Times New Roman"/>
                <w:b/>
                <w:bCs/>
                <w:color w:val="000000" w:themeColor="text1"/>
                <w:sz w:val="26"/>
                <w:szCs w:val="26"/>
              </w:rPr>
              <w:t>理科</w:t>
            </w:r>
          </w:p>
        </w:tc>
        <w:tc>
          <w:tcPr>
            <w:tcW w:w="350" w:type="pct"/>
            <w:tcBorders>
              <w:top w:val="single" w:sz="4" w:space="0" w:color="auto"/>
              <w:left w:val="nil"/>
              <w:bottom w:val="single" w:sz="4" w:space="0" w:color="auto"/>
              <w:right w:val="single" w:sz="4" w:space="0" w:color="auto"/>
            </w:tcBorders>
            <w:shd w:val="clear" w:color="auto" w:fill="auto"/>
            <w:noWrap/>
            <w:vAlign w:val="center"/>
            <w:hideMark/>
          </w:tcPr>
          <w:p w14:paraId="5621D5BA" w14:textId="77777777" w:rsidR="00C01404" w:rsidRPr="008B619A" w:rsidRDefault="00C01404" w:rsidP="005F4AB4">
            <w:pPr>
              <w:snapToGrid w:val="0"/>
              <w:spacing w:line="0" w:lineRule="atLeast"/>
              <w:jc w:val="right"/>
              <w:rPr>
                <w:rFonts w:ascii="Times New Roman"/>
                <w:color w:val="000000" w:themeColor="text1"/>
                <w:sz w:val="26"/>
                <w:szCs w:val="26"/>
              </w:rPr>
            </w:pPr>
            <w:r w:rsidRPr="008B619A">
              <w:rPr>
                <w:rFonts w:ascii="Times New Roman"/>
                <w:color w:val="000000" w:themeColor="text1"/>
                <w:sz w:val="26"/>
                <w:szCs w:val="26"/>
              </w:rPr>
              <w:t>97</w:t>
            </w:r>
          </w:p>
        </w:tc>
        <w:tc>
          <w:tcPr>
            <w:tcW w:w="621" w:type="pct"/>
            <w:tcBorders>
              <w:top w:val="single" w:sz="4" w:space="0" w:color="auto"/>
              <w:left w:val="nil"/>
              <w:bottom w:val="single" w:sz="4" w:space="0" w:color="auto"/>
              <w:right w:val="single" w:sz="4" w:space="0" w:color="auto"/>
            </w:tcBorders>
            <w:shd w:val="clear" w:color="auto" w:fill="auto"/>
            <w:noWrap/>
            <w:vAlign w:val="center"/>
            <w:hideMark/>
          </w:tcPr>
          <w:p w14:paraId="6B112B0B" w14:textId="77777777" w:rsidR="00C01404" w:rsidRPr="008B619A" w:rsidRDefault="00C01404" w:rsidP="005F4AB4">
            <w:pPr>
              <w:snapToGrid w:val="0"/>
              <w:spacing w:line="0" w:lineRule="atLeast"/>
              <w:jc w:val="right"/>
              <w:rPr>
                <w:rFonts w:ascii="Times New Roman"/>
                <w:color w:val="000000" w:themeColor="text1"/>
                <w:sz w:val="26"/>
                <w:szCs w:val="26"/>
              </w:rPr>
            </w:pPr>
            <w:r w:rsidRPr="008B619A">
              <w:rPr>
                <w:rFonts w:ascii="Times New Roman"/>
                <w:color w:val="000000" w:themeColor="text1"/>
                <w:sz w:val="26"/>
                <w:szCs w:val="26"/>
              </w:rPr>
              <w:t>26.5%</w:t>
            </w:r>
          </w:p>
        </w:tc>
        <w:tc>
          <w:tcPr>
            <w:tcW w:w="349" w:type="pct"/>
            <w:tcBorders>
              <w:top w:val="single" w:sz="4" w:space="0" w:color="auto"/>
              <w:left w:val="nil"/>
              <w:bottom w:val="single" w:sz="4" w:space="0" w:color="auto"/>
              <w:right w:val="single" w:sz="4" w:space="0" w:color="auto"/>
            </w:tcBorders>
            <w:shd w:val="clear" w:color="auto" w:fill="auto"/>
            <w:noWrap/>
            <w:vAlign w:val="center"/>
            <w:hideMark/>
          </w:tcPr>
          <w:p w14:paraId="0CAD231C" w14:textId="77777777" w:rsidR="00C01404" w:rsidRPr="008B619A" w:rsidRDefault="00C01404" w:rsidP="005F4AB4">
            <w:pPr>
              <w:snapToGrid w:val="0"/>
              <w:spacing w:line="0" w:lineRule="atLeast"/>
              <w:jc w:val="right"/>
              <w:rPr>
                <w:rFonts w:ascii="Times New Roman"/>
                <w:color w:val="000000" w:themeColor="text1"/>
                <w:sz w:val="26"/>
                <w:szCs w:val="26"/>
              </w:rPr>
            </w:pPr>
            <w:r w:rsidRPr="008B619A">
              <w:rPr>
                <w:rFonts w:ascii="Times New Roman"/>
                <w:color w:val="000000" w:themeColor="text1"/>
                <w:sz w:val="26"/>
                <w:szCs w:val="26"/>
              </w:rPr>
              <w:t>19</w:t>
            </w:r>
          </w:p>
        </w:tc>
        <w:tc>
          <w:tcPr>
            <w:tcW w:w="544" w:type="pct"/>
            <w:tcBorders>
              <w:top w:val="single" w:sz="4" w:space="0" w:color="auto"/>
              <w:left w:val="nil"/>
              <w:bottom w:val="single" w:sz="4" w:space="0" w:color="auto"/>
              <w:right w:val="single" w:sz="4" w:space="0" w:color="auto"/>
            </w:tcBorders>
            <w:shd w:val="clear" w:color="auto" w:fill="auto"/>
            <w:noWrap/>
            <w:vAlign w:val="center"/>
            <w:hideMark/>
          </w:tcPr>
          <w:p w14:paraId="6928A20A" w14:textId="77777777" w:rsidR="00C01404" w:rsidRPr="008B619A" w:rsidRDefault="00C01404" w:rsidP="005F4AB4">
            <w:pPr>
              <w:snapToGrid w:val="0"/>
              <w:spacing w:line="0" w:lineRule="atLeast"/>
              <w:jc w:val="right"/>
              <w:rPr>
                <w:rFonts w:ascii="Times New Roman"/>
                <w:color w:val="000000" w:themeColor="text1"/>
                <w:sz w:val="26"/>
                <w:szCs w:val="26"/>
              </w:rPr>
            </w:pPr>
            <w:r w:rsidRPr="008B619A">
              <w:rPr>
                <w:rFonts w:ascii="Times New Roman"/>
                <w:color w:val="000000" w:themeColor="text1"/>
                <w:sz w:val="26"/>
                <w:szCs w:val="26"/>
              </w:rPr>
              <w:t>33.9%</w:t>
            </w:r>
          </w:p>
        </w:tc>
        <w:tc>
          <w:tcPr>
            <w:tcW w:w="350" w:type="pct"/>
            <w:tcBorders>
              <w:top w:val="single" w:sz="4" w:space="0" w:color="auto"/>
              <w:left w:val="nil"/>
              <w:bottom w:val="single" w:sz="4" w:space="0" w:color="auto"/>
              <w:right w:val="single" w:sz="4" w:space="0" w:color="auto"/>
            </w:tcBorders>
            <w:shd w:val="clear" w:color="auto" w:fill="auto"/>
            <w:noWrap/>
            <w:vAlign w:val="center"/>
            <w:hideMark/>
          </w:tcPr>
          <w:p w14:paraId="56DD54AA" w14:textId="77777777" w:rsidR="00C01404" w:rsidRPr="008B619A" w:rsidRDefault="00C01404" w:rsidP="005F4AB4">
            <w:pPr>
              <w:snapToGrid w:val="0"/>
              <w:spacing w:line="0" w:lineRule="atLeast"/>
              <w:jc w:val="right"/>
              <w:rPr>
                <w:rFonts w:ascii="Times New Roman"/>
                <w:color w:val="000000" w:themeColor="text1"/>
                <w:sz w:val="26"/>
                <w:szCs w:val="26"/>
              </w:rPr>
            </w:pPr>
            <w:r w:rsidRPr="008B619A">
              <w:rPr>
                <w:rFonts w:ascii="Times New Roman"/>
                <w:color w:val="000000" w:themeColor="text1"/>
                <w:sz w:val="26"/>
                <w:szCs w:val="26"/>
              </w:rPr>
              <w:t>82</w:t>
            </w:r>
          </w:p>
        </w:tc>
        <w:tc>
          <w:tcPr>
            <w:tcW w:w="544" w:type="pct"/>
            <w:tcBorders>
              <w:top w:val="single" w:sz="4" w:space="0" w:color="auto"/>
              <w:left w:val="nil"/>
              <w:bottom w:val="single" w:sz="4" w:space="0" w:color="auto"/>
              <w:right w:val="single" w:sz="4" w:space="0" w:color="auto"/>
            </w:tcBorders>
            <w:shd w:val="clear" w:color="auto" w:fill="auto"/>
            <w:noWrap/>
            <w:vAlign w:val="center"/>
            <w:hideMark/>
          </w:tcPr>
          <w:p w14:paraId="0405E157" w14:textId="77777777" w:rsidR="00C01404" w:rsidRPr="008B619A" w:rsidRDefault="00C01404" w:rsidP="005F4AB4">
            <w:pPr>
              <w:snapToGrid w:val="0"/>
              <w:spacing w:line="0" w:lineRule="atLeast"/>
              <w:jc w:val="right"/>
              <w:rPr>
                <w:rFonts w:ascii="Times New Roman"/>
                <w:color w:val="000000" w:themeColor="text1"/>
                <w:sz w:val="26"/>
                <w:szCs w:val="26"/>
              </w:rPr>
            </w:pPr>
            <w:r w:rsidRPr="008B619A">
              <w:rPr>
                <w:rFonts w:ascii="Times New Roman"/>
                <w:color w:val="000000" w:themeColor="text1"/>
                <w:sz w:val="26"/>
                <w:szCs w:val="26"/>
              </w:rPr>
              <w:t>64.1%</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14:paraId="70A28970" w14:textId="77777777" w:rsidR="00C01404" w:rsidRPr="008B619A" w:rsidRDefault="00C01404" w:rsidP="005F4AB4">
            <w:pPr>
              <w:snapToGrid w:val="0"/>
              <w:spacing w:line="0" w:lineRule="atLeast"/>
              <w:jc w:val="center"/>
              <w:rPr>
                <w:rFonts w:ascii="Times New Roman"/>
                <w:color w:val="000000" w:themeColor="text1"/>
                <w:sz w:val="26"/>
                <w:szCs w:val="26"/>
              </w:rPr>
            </w:pPr>
            <w:r w:rsidRPr="008B619A">
              <w:rPr>
                <w:rFonts w:ascii="Times New Roman"/>
                <w:color w:val="000000" w:themeColor="text1"/>
                <w:sz w:val="26"/>
                <w:szCs w:val="26"/>
              </w:rPr>
              <w:t>198</w:t>
            </w:r>
          </w:p>
        </w:tc>
        <w:tc>
          <w:tcPr>
            <w:tcW w:w="572" w:type="pct"/>
            <w:tcBorders>
              <w:top w:val="single" w:sz="4" w:space="0" w:color="auto"/>
              <w:left w:val="nil"/>
              <w:bottom w:val="single" w:sz="4" w:space="0" w:color="auto"/>
              <w:right w:val="single" w:sz="4" w:space="0" w:color="auto"/>
            </w:tcBorders>
            <w:shd w:val="clear" w:color="auto" w:fill="auto"/>
            <w:noWrap/>
            <w:vAlign w:val="center"/>
            <w:hideMark/>
          </w:tcPr>
          <w:p w14:paraId="267F8ECA" w14:textId="77777777" w:rsidR="00C01404" w:rsidRPr="008B619A" w:rsidRDefault="00C01404" w:rsidP="005F4AB4">
            <w:pPr>
              <w:snapToGrid w:val="0"/>
              <w:spacing w:line="0" w:lineRule="atLeast"/>
              <w:jc w:val="center"/>
              <w:rPr>
                <w:rFonts w:ascii="Times New Roman"/>
                <w:color w:val="000000" w:themeColor="text1"/>
                <w:sz w:val="26"/>
                <w:szCs w:val="26"/>
              </w:rPr>
            </w:pPr>
            <w:r w:rsidRPr="008B619A">
              <w:rPr>
                <w:rFonts w:ascii="Times New Roman"/>
                <w:color w:val="000000" w:themeColor="text1"/>
                <w:sz w:val="26"/>
                <w:szCs w:val="26"/>
              </w:rPr>
              <w:t>36.0%</w:t>
            </w:r>
          </w:p>
        </w:tc>
      </w:tr>
      <w:tr w:rsidR="00C01404" w:rsidRPr="008B619A" w14:paraId="1DF3D8DC" w14:textId="77777777" w:rsidTr="00785ADB">
        <w:trPr>
          <w:trHeight w:val="20"/>
          <w:jc w:val="center"/>
        </w:trPr>
        <w:tc>
          <w:tcPr>
            <w:tcW w:w="1302" w:type="pct"/>
            <w:tcBorders>
              <w:top w:val="single" w:sz="4" w:space="0" w:color="auto"/>
              <w:left w:val="single" w:sz="4" w:space="0" w:color="auto"/>
              <w:bottom w:val="single" w:sz="4" w:space="0" w:color="auto"/>
              <w:right w:val="single" w:sz="4" w:space="0" w:color="auto"/>
            </w:tcBorders>
            <w:shd w:val="clear" w:color="auto" w:fill="E5DFEC" w:themeFill="accent4" w:themeFillTint="33"/>
            <w:noWrap/>
            <w:vAlign w:val="center"/>
            <w:hideMark/>
          </w:tcPr>
          <w:p w14:paraId="38281F73" w14:textId="77777777" w:rsidR="00C01404" w:rsidRPr="008B619A" w:rsidRDefault="00C01404" w:rsidP="005F4AB4">
            <w:pPr>
              <w:snapToGrid w:val="0"/>
              <w:spacing w:line="0" w:lineRule="atLeast"/>
              <w:rPr>
                <w:rFonts w:ascii="Times New Roman"/>
                <w:b/>
                <w:bCs/>
                <w:color w:val="000000" w:themeColor="text1"/>
                <w:sz w:val="26"/>
                <w:szCs w:val="26"/>
              </w:rPr>
            </w:pPr>
            <w:r w:rsidRPr="008B619A">
              <w:rPr>
                <w:rFonts w:ascii="Times New Roman"/>
                <w:b/>
                <w:bCs/>
                <w:color w:val="000000" w:themeColor="text1"/>
                <w:sz w:val="26"/>
                <w:szCs w:val="26"/>
              </w:rPr>
              <w:t>工科</w:t>
            </w:r>
          </w:p>
        </w:tc>
        <w:tc>
          <w:tcPr>
            <w:tcW w:w="350" w:type="pct"/>
            <w:tcBorders>
              <w:top w:val="single" w:sz="4" w:space="0" w:color="auto"/>
              <w:left w:val="nil"/>
              <w:bottom w:val="single" w:sz="4" w:space="0" w:color="auto"/>
              <w:right w:val="single" w:sz="4" w:space="0" w:color="auto"/>
            </w:tcBorders>
            <w:shd w:val="clear" w:color="auto" w:fill="auto"/>
            <w:noWrap/>
            <w:vAlign w:val="center"/>
            <w:hideMark/>
          </w:tcPr>
          <w:p w14:paraId="764B4D60" w14:textId="77777777" w:rsidR="00C01404" w:rsidRPr="008B619A" w:rsidRDefault="00C01404" w:rsidP="005F4AB4">
            <w:pPr>
              <w:snapToGrid w:val="0"/>
              <w:spacing w:line="0" w:lineRule="atLeast"/>
              <w:jc w:val="right"/>
              <w:rPr>
                <w:rFonts w:ascii="Times New Roman"/>
                <w:color w:val="000000" w:themeColor="text1"/>
                <w:sz w:val="26"/>
                <w:szCs w:val="26"/>
              </w:rPr>
            </w:pPr>
            <w:r w:rsidRPr="008B619A">
              <w:rPr>
                <w:rFonts w:ascii="Times New Roman"/>
                <w:color w:val="000000" w:themeColor="text1"/>
                <w:sz w:val="26"/>
                <w:szCs w:val="26"/>
              </w:rPr>
              <w:t>217</w:t>
            </w:r>
          </w:p>
        </w:tc>
        <w:tc>
          <w:tcPr>
            <w:tcW w:w="621" w:type="pct"/>
            <w:tcBorders>
              <w:top w:val="single" w:sz="4" w:space="0" w:color="auto"/>
              <w:left w:val="nil"/>
              <w:bottom w:val="single" w:sz="4" w:space="0" w:color="auto"/>
              <w:right w:val="single" w:sz="4" w:space="0" w:color="auto"/>
            </w:tcBorders>
            <w:shd w:val="clear" w:color="auto" w:fill="auto"/>
            <w:noWrap/>
            <w:vAlign w:val="center"/>
            <w:hideMark/>
          </w:tcPr>
          <w:p w14:paraId="41E44A78" w14:textId="77777777" w:rsidR="00C01404" w:rsidRPr="008B619A" w:rsidRDefault="00C01404" w:rsidP="005F4AB4">
            <w:pPr>
              <w:snapToGrid w:val="0"/>
              <w:spacing w:line="0" w:lineRule="atLeast"/>
              <w:jc w:val="right"/>
              <w:rPr>
                <w:rFonts w:ascii="Times New Roman"/>
                <w:color w:val="000000" w:themeColor="text1"/>
                <w:sz w:val="26"/>
                <w:szCs w:val="26"/>
              </w:rPr>
            </w:pPr>
            <w:r w:rsidRPr="008B619A">
              <w:rPr>
                <w:rFonts w:ascii="Times New Roman"/>
                <w:color w:val="000000" w:themeColor="text1"/>
                <w:sz w:val="26"/>
                <w:szCs w:val="26"/>
              </w:rPr>
              <w:t>59.3%</w:t>
            </w:r>
          </w:p>
        </w:tc>
        <w:tc>
          <w:tcPr>
            <w:tcW w:w="349" w:type="pct"/>
            <w:tcBorders>
              <w:top w:val="single" w:sz="4" w:space="0" w:color="auto"/>
              <w:left w:val="nil"/>
              <w:bottom w:val="single" w:sz="4" w:space="0" w:color="auto"/>
              <w:right w:val="single" w:sz="4" w:space="0" w:color="auto"/>
            </w:tcBorders>
            <w:shd w:val="clear" w:color="auto" w:fill="auto"/>
            <w:noWrap/>
            <w:vAlign w:val="center"/>
            <w:hideMark/>
          </w:tcPr>
          <w:p w14:paraId="6E09BB54" w14:textId="77777777" w:rsidR="00C01404" w:rsidRPr="008B619A" w:rsidRDefault="00C01404" w:rsidP="005F4AB4">
            <w:pPr>
              <w:snapToGrid w:val="0"/>
              <w:spacing w:line="0" w:lineRule="atLeast"/>
              <w:jc w:val="right"/>
              <w:rPr>
                <w:rFonts w:ascii="Times New Roman"/>
                <w:color w:val="000000" w:themeColor="text1"/>
                <w:sz w:val="26"/>
                <w:szCs w:val="26"/>
              </w:rPr>
            </w:pPr>
            <w:r w:rsidRPr="008B619A">
              <w:rPr>
                <w:rFonts w:ascii="Times New Roman"/>
                <w:color w:val="000000" w:themeColor="text1"/>
                <w:sz w:val="26"/>
                <w:szCs w:val="26"/>
              </w:rPr>
              <w:t>26</w:t>
            </w:r>
          </w:p>
        </w:tc>
        <w:tc>
          <w:tcPr>
            <w:tcW w:w="544" w:type="pct"/>
            <w:tcBorders>
              <w:top w:val="single" w:sz="4" w:space="0" w:color="auto"/>
              <w:left w:val="nil"/>
              <w:bottom w:val="single" w:sz="4" w:space="0" w:color="auto"/>
              <w:right w:val="single" w:sz="4" w:space="0" w:color="auto"/>
            </w:tcBorders>
            <w:shd w:val="clear" w:color="auto" w:fill="auto"/>
            <w:noWrap/>
            <w:vAlign w:val="center"/>
            <w:hideMark/>
          </w:tcPr>
          <w:p w14:paraId="06646846" w14:textId="77777777" w:rsidR="00C01404" w:rsidRPr="008B619A" w:rsidRDefault="00C01404" w:rsidP="005F4AB4">
            <w:pPr>
              <w:snapToGrid w:val="0"/>
              <w:spacing w:line="0" w:lineRule="atLeast"/>
              <w:jc w:val="right"/>
              <w:rPr>
                <w:rFonts w:ascii="Times New Roman"/>
                <w:color w:val="000000" w:themeColor="text1"/>
                <w:sz w:val="26"/>
                <w:szCs w:val="26"/>
              </w:rPr>
            </w:pPr>
            <w:r w:rsidRPr="008B619A">
              <w:rPr>
                <w:rFonts w:ascii="Times New Roman"/>
                <w:color w:val="000000" w:themeColor="text1"/>
                <w:sz w:val="26"/>
                <w:szCs w:val="26"/>
              </w:rPr>
              <w:t>46.4%</w:t>
            </w:r>
          </w:p>
        </w:tc>
        <w:tc>
          <w:tcPr>
            <w:tcW w:w="350" w:type="pct"/>
            <w:tcBorders>
              <w:top w:val="single" w:sz="4" w:space="0" w:color="auto"/>
              <w:left w:val="nil"/>
              <w:bottom w:val="single" w:sz="4" w:space="0" w:color="auto"/>
              <w:right w:val="single" w:sz="4" w:space="0" w:color="auto"/>
            </w:tcBorders>
            <w:shd w:val="clear" w:color="auto" w:fill="auto"/>
            <w:noWrap/>
            <w:vAlign w:val="center"/>
            <w:hideMark/>
          </w:tcPr>
          <w:p w14:paraId="5501087D" w14:textId="77777777" w:rsidR="00C01404" w:rsidRPr="008B619A" w:rsidRDefault="00C01404" w:rsidP="005F4AB4">
            <w:pPr>
              <w:snapToGrid w:val="0"/>
              <w:spacing w:line="0" w:lineRule="atLeast"/>
              <w:jc w:val="right"/>
              <w:rPr>
                <w:rFonts w:ascii="Times New Roman"/>
                <w:color w:val="000000" w:themeColor="text1"/>
                <w:sz w:val="26"/>
                <w:szCs w:val="26"/>
              </w:rPr>
            </w:pPr>
            <w:r w:rsidRPr="008B619A">
              <w:rPr>
                <w:rFonts w:ascii="Times New Roman"/>
                <w:color w:val="000000" w:themeColor="text1"/>
                <w:sz w:val="26"/>
                <w:szCs w:val="26"/>
              </w:rPr>
              <w:t>44</w:t>
            </w:r>
          </w:p>
        </w:tc>
        <w:tc>
          <w:tcPr>
            <w:tcW w:w="544" w:type="pct"/>
            <w:tcBorders>
              <w:top w:val="single" w:sz="4" w:space="0" w:color="auto"/>
              <w:left w:val="nil"/>
              <w:bottom w:val="single" w:sz="4" w:space="0" w:color="auto"/>
              <w:right w:val="single" w:sz="4" w:space="0" w:color="auto"/>
            </w:tcBorders>
            <w:shd w:val="clear" w:color="auto" w:fill="auto"/>
            <w:noWrap/>
            <w:vAlign w:val="center"/>
            <w:hideMark/>
          </w:tcPr>
          <w:p w14:paraId="23AF930E" w14:textId="77777777" w:rsidR="00C01404" w:rsidRPr="008B619A" w:rsidRDefault="00C01404" w:rsidP="005F4AB4">
            <w:pPr>
              <w:snapToGrid w:val="0"/>
              <w:spacing w:line="0" w:lineRule="atLeast"/>
              <w:jc w:val="right"/>
              <w:rPr>
                <w:rFonts w:ascii="Times New Roman"/>
                <w:color w:val="000000" w:themeColor="text1"/>
                <w:sz w:val="26"/>
                <w:szCs w:val="26"/>
              </w:rPr>
            </w:pPr>
            <w:r w:rsidRPr="008B619A">
              <w:rPr>
                <w:rFonts w:ascii="Times New Roman"/>
                <w:color w:val="000000" w:themeColor="text1"/>
                <w:sz w:val="26"/>
                <w:szCs w:val="26"/>
              </w:rPr>
              <w:t>34.4%</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14:paraId="21A94C4A" w14:textId="77777777" w:rsidR="00C01404" w:rsidRPr="008B619A" w:rsidRDefault="00C01404" w:rsidP="005F4AB4">
            <w:pPr>
              <w:snapToGrid w:val="0"/>
              <w:spacing w:line="0" w:lineRule="atLeast"/>
              <w:jc w:val="center"/>
              <w:rPr>
                <w:rFonts w:ascii="Times New Roman"/>
                <w:color w:val="000000" w:themeColor="text1"/>
                <w:sz w:val="26"/>
                <w:szCs w:val="26"/>
              </w:rPr>
            </w:pPr>
            <w:r w:rsidRPr="008B619A">
              <w:rPr>
                <w:rFonts w:ascii="Times New Roman"/>
                <w:color w:val="000000" w:themeColor="text1"/>
                <w:sz w:val="26"/>
                <w:szCs w:val="26"/>
              </w:rPr>
              <w:t>287</w:t>
            </w:r>
          </w:p>
        </w:tc>
        <w:tc>
          <w:tcPr>
            <w:tcW w:w="572" w:type="pct"/>
            <w:tcBorders>
              <w:top w:val="single" w:sz="4" w:space="0" w:color="auto"/>
              <w:left w:val="nil"/>
              <w:bottom w:val="single" w:sz="4" w:space="0" w:color="auto"/>
              <w:right w:val="single" w:sz="4" w:space="0" w:color="auto"/>
            </w:tcBorders>
            <w:shd w:val="clear" w:color="auto" w:fill="auto"/>
            <w:noWrap/>
            <w:vAlign w:val="center"/>
            <w:hideMark/>
          </w:tcPr>
          <w:p w14:paraId="76E0824E" w14:textId="77777777" w:rsidR="00C01404" w:rsidRPr="008B619A" w:rsidRDefault="00C01404" w:rsidP="005F4AB4">
            <w:pPr>
              <w:snapToGrid w:val="0"/>
              <w:spacing w:line="0" w:lineRule="atLeast"/>
              <w:jc w:val="center"/>
              <w:rPr>
                <w:rFonts w:ascii="Times New Roman"/>
                <w:color w:val="000000" w:themeColor="text1"/>
                <w:sz w:val="26"/>
                <w:szCs w:val="26"/>
              </w:rPr>
            </w:pPr>
            <w:r w:rsidRPr="008B619A">
              <w:rPr>
                <w:rFonts w:ascii="Times New Roman"/>
                <w:color w:val="000000" w:themeColor="text1"/>
                <w:sz w:val="26"/>
                <w:szCs w:val="26"/>
              </w:rPr>
              <w:t>52.2%</w:t>
            </w:r>
          </w:p>
        </w:tc>
      </w:tr>
      <w:tr w:rsidR="00C01404" w:rsidRPr="008B619A" w14:paraId="14264AD3" w14:textId="77777777" w:rsidTr="00785ADB">
        <w:trPr>
          <w:trHeight w:val="20"/>
          <w:jc w:val="center"/>
        </w:trPr>
        <w:tc>
          <w:tcPr>
            <w:tcW w:w="1302" w:type="pct"/>
            <w:tcBorders>
              <w:top w:val="single" w:sz="4" w:space="0" w:color="auto"/>
              <w:left w:val="single" w:sz="4" w:space="0" w:color="auto"/>
              <w:bottom w:val="single" w:sz="4" w:space="0" w:color="auto"/>
              <w:right w:val="single" w:sz="4" w:space="0" w:color="auto"/>
            </w:tcBorders>
            <w:shd w:val="clear" w:color="auto" w:fill="E5DFEC" w:themeFill="accent4" w:themeFillTint="33"/>
            <w:noWrap/>
            <w:vAlign w:val="center"/>
            <w:hideMark/>
          </w:tcPr>
          <w:p w14:paraId="2ED32067" w14:textId="77777777" w:rsidR="00C01404" w:rsidRPr="008B619A" w:rsidRDefault="00C01404" w:rsidP="005F4AB4">
            <w:pPr>
              <w:snapToGrid w:val="0"/>
              <w:spacing w:line="0" w:lineRule="atLeast"/>
              <w:rPr>
                <w:rFonts w:ascii="Times New Roman"/>
                <w:b/>
                <w:bCs/>
                <w:color w:val="000000" w:themeColor="text1"/>
                <w:sz w:val="26"/>
                <w:szCs w:val="26"/>
              </w:rPr>
            </w:pPr>
            <w:r w:rsidRPr="008B619A">
              <w:rPr>
                <w:rFonts w:ascii="Times New Roman"/>
                <w:b/>
                <w:bCs/>
                <w:color w:val="000000" w:themeColor="text1"/>
                <w:sz w:val="26"/>
                <w:szCs w:val="26"/>
              </w:rPr>
              <w:t>醫科</w:t>
            </w:r>
          </w:p>
        </w:tc>
        <w:tc>
          <w:tcPr>
            <w:tcW w:w="350" w:type="pct"/>
            <w:tcBorders>
              <w:top w:val="single" w:sz="4" w:space="0" w:color="auto"/>
              <w:left w:val="nil"/>
              <w:bottom w:val="single" w:sz="4" w:space="0" w:color="auto"/>
              <w:right w:val="single" w:sz="4" w:space="0" w:color="auto"/>
            </w:tcBorders>
            <w:shd w:val="clear" w:color="auto" w:fill="auto"/>
            <w:noWrap/>
            <w:vAlign w:val="center"/>
            <w:hideMark/>
          </w:tcPr>
          <w:p w14:paraId="748ED6E6" w14:textId="77777777" w:rsidR="00C01404" w:rsidRPr="008B619A" w:rsidRDefault="00C01404" w:rsidP="005F4AB4">
            <w:pPr>
              <w:snapToGrid w:val="0"/>
              <w:spacing w:line="0" w:lineRule="atLeast"/>
              <w:jc w:val="right"/>
              <w:rPr>
                <w:rFonts w:ascii="Times New Roman"/>
                <w:color w:val="000000" w:themeColor="text1"/>
                <w:sz w:val="26"/>
                <w:szCs w:val="26"/>
              </w:rPr>
            </w:pPr>
            <w:r w:rsidRPr="008B619A">
              <w:rPr>
                <w:rFonts w:ascii="Times New Roman"/>
                <w:color w:val="000000" w:themeColor="text1"/>
                <w:sz w:val="26"/>
                <w:szCs w:val="26"/>
              </w:rPr>
              <w:t>21</w:t>
            </w:r>
          </w:p>
        </w:tc>
        <w:tc>
          <w:tcPr>
            <w:tcW w:w="621" w:type="pct"/>
            <w:tcBorders>
              <w:top w:val="single" w:sz="4" w:space="0" w:color="auto"/>
              <w:left w:val="nil"/>
              <w:bottom w:val="single" w:sz="4" w:space="0" w:color="auto"/>
              <w:right w:val="single" w:sz="4" w:space="0" w:color="auto"/>
            </w:tcBorders>
            <w:shd w:val="clear" w:color="auto" w:fill="auto"/>
            <w:noWrap/>
            <w:vAlign w:val="center"/>
            <w:hideMark/>
          </w:tcPr>
          <w:p w14:paraId="26D71A56" w14:textId="77777777" w:rsidR="00C01404" w:rsidRPr="008B619A" w:rsidRDefault="00C01404" w:rsidP="005F4AB4">
            <w:pPr>
              <w:snapToGrid w:val="0"/>
              <w:spacing w:line="0" w:lineRule="atLeast"/>
              <w:jc w:val="right"/>
              <w:rPr>
                <w:rFonts w:ascii="Times New Roman"/>
                <w:color w:val="000000" w:themeColor="text1"/>
                <w:sz w:val="26"/>
                <w:szCs w:val="26"/>
              </w:rPr>
            </w:pPr>
            <w:r w:rsidRPr="008B619A">
              <w:rPr>
                <w:rFonts w:ascii="Times New Roman"/>
                <w:color w:val="000000" w:themeColor="text1"/>
                <w:sz w:val="26"/>
                <w:szCs w:val="26"/>
              </w:rPr>
              <w:t>5.7%</w:t>
            </w:r>
          </w:p>
        </w:tc>
        <w:tc>
          <w:tcPr>
            <w:tcW w:w="349" w:type="pct"/>
            <w:tcBorders>
              <w:top w:val="single" w:sz="4" w:space="0" w:color="auto"/>
              <w:left w:val="nil"/>
              <w:bottom w:val="single" w:sz="4" w:space="0" w:color="auto"/>
              <w:right w:val="single" w:sz="4" w:space="0" w:color="auto"/>
            </w:tcBorders>
            <w:shd w:val="clear" w:color="auto" w:fill="auto"/>
            <w:noWrap/>
            <w:vAlign w:val="center"/>
            <w:hideMark/>
          </w:tcPr>
          <w:p w14:paraId="251A148F" w14:textId="77777777" w:rsidR="00C01404" w:rsidRPr="008B619A" w:rsidRDefault="00C01404" w:rsidP="005F4AB4">
            <w:pPr>
              <w:snapToGrid w:val="0"/>
              <w:spacing w:line="0" w:lineRule="atLeast"/>
              <w:jc w:val="right"/>
              <w:rPr>
                <w:rFonts w:ascii="Times New Roman"/>
                <w:color w:val="000000" w:themeColor="text1"/>
                <w:sz w:val="26"/>
                <w:szCs w:val="26"/>
              </w:rPr>
            </w:pPr>
            <w:r w:rsidRPr="008B619A">
              <w:rPr>
                <w:rFonts w:ascii="Times New Roman"/>
                <w:color w:val="000000" w:themeColor="text1"/>
                <w:sz w:val="26"/>
                <w:szCs w:val="26"/>
              </w:rPr>
              <w:t>0</w:t>
            </w:r>
          </w:p>
        </w:tc>
        <w:tc>
          <w:tcPr>
            <w:tcW w:w="544" w:type="pct"/>
            <w:tcBorders>
              <w:top w:val="single" w:sz="4" w:space="0" w:color="auto"/>
              <w:left w:val="nil"/>
              <w:bottom w:val="single" w:sz="4" w:space="0" w:color="auto"/>
              <w:right w:val="single" w:sz="4" w:space="0" w:color="auto"/>
            </w:tcBorders>
            <w:shd w:val="clear" w:color="auto" w:fill="auto"/>
            <w:noWrap/>
            <w:vAlign w:val="center"/>
            <w:hideMark/>
          </w:tcPr>
          <w:p w14:paraId="74937814" w14:textId="77777777" w:rsidR="00C01404" w:rsidRPr="008B619A" w:rsidRDefault="00C01404" w:rsidP="005F4AB4">
            <w:pPr>
              <w:snapToGrid w:val="0"/>
              <w:spacing w:line="0" w:lineRule="atLeast"/>
              <w:jc w:val="right"/>
              <w:rPr>
                <w:rFonts w:ascii="Times New Roman"/>
                <w:color w:val="000000" w:themeColor="text1"/>
                <w:sz w:val="26"/>
                <w:szCs w:val="26"/>
              </w:rPr>
            </w:pPr>
            <w:r w:rsidRPr="008B619A">
              <w:rPr>
                <w:rFonts w:ascii="Times New Roman"/>
                <w:color w:val="000000" w:themeColor="text1"/>
                <w:sz w:val="26"/>
                <w:szCs w:val="26"/>
              </w:rPr>
              <w:t>0.0%</w:t>
            </w:r>
          </w:p>
        </w:tc>
        <w:tc>
          <w:tcPr>
            <w:tcW w:w="350" w:type="pct"/>
            <w:tcBorders>
              <w:top w:val="single" w:sz="4" w:space="0" w:color="auto"/>
              <w:left w:val="nil"/>
              <w:bottom w:val="single" w:sz="4" w:space="0" w:color="auto"/>
              <w:right w:val="single" w:sz="4" w:space="0" w:color="auto"/>
            </w:tcBorders>
            <w:shd w:val="clear" w:color="auto" w:fill="auto"/>
            <w:noWrap/>
            <w:vAlign w:val="center"/>
            <w:hideMark/>
          </w:tcPr>
          <w:p w14:paraId="58729811" w14:textId="77777777" w:rsidR="00C01404" w:rsidRPr="008B619A" w:rsidRDefault="00C01404" w:rsidP="005F4AB4">
            <w:pPr>
              <w:snapToGrid w:val="0"/>
              <w:spacing w:line="0" w:lineRule="atLeast"/>
              <w:jc w:val="right"/>
              <w:rPr>
                <w:rFonts w:ascii="Times New Roman"/>
                <w:color w:val="000000" w:themeColor="text1"/>
                <w:sz w:val="26"/>
                <w:szCs w:val="26"/>
              </w:rPr>
            </w:pPr>
            <w:r w:rsidRPr="008B619A">
              <w:rPr>
                <w:rFonts w:ascii="Times New Roman"/>
                <w:color w:val="000000" w:themeColor="text1"/>
                <w:sz w:val="26"/>
                <w:szCs w:val="26"/>
              </w:rPr>
              <w:t>0</w:t>
            </w:r>
          </w:p>
        </w:tc>
        <w:tc>
          <w:tcPr>
            <w:tcW w:w="544" w:type="pct"/>
            <w:tcBorders>
              <w:top w:val="single" w:sz="4" w:space="0" w:color="auto"/>
              <w:left w:val="nil"/>
              <w:bottom w:val="single" w:sz="4" w:space="0" w:color="auto"/>
              <w:right w:val="single" w:sz="4" w:space="0" w:color="auto"/>
            </w:tcBorders>
            <w:shd w:val="clear" w:color="auto" w:fill="auto"/>
            <w:noWrap/>
            <w:vAlign w:val="center"/>
            <w:hideMark/>
          </w:tcPr>
          <w:p w14:paraId="3F40A74E" w14:textId="77777777" w:rsidR="00C01404" w:rsidRPr="008B619A" w:rsidRDefault="00C01404" w:rsidP="005F4AB4">
            <w:pPr>
              <w:snapToGrid w:val="0"/>
              <w:spacing w:line="0" w:lineRule="atLeast"/>
              <w:jc w:val="right"/>
              <w:rPr>
                <w:rFonts w:ascii="Times New Roman"/>
                <w:color w:val="000000" w:themeColor="text1"/>
                <w:sz w:val="26"/>
                <w:szCs w:val="26"/>
              </w:rPr>
            </w:pPr>
            <w:r w:rsidRPr="008B619A">
              <w:rPr>
                <w:rFonts w:ascii="Times New Roman"/>
                <w:color w:val="000000" w:themeColor="text1"/>
                <w:sz w:val="26"/>
                <w:szCs w:val="26"/>
              </w:rPr>
              <w:t>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14:paraId="2E5F4117" w14:textId="77777777" w:rsidR="00C01404" w:rsidRPr="008B619A" w:rsidRDefault="00C01404" w:rsidP="005F4AB4">
            <w:pPr>
              <w:snapToGrid w:val="0"/>
              <w:spacing w:line="0" w:lineRule="atLeast"/>
              <w:jc w:val="center"/>
              <w:rPr>
                <w:rFonts w:ascii="Times New Roman"/>
                <w:color w:val="000000" w:themeColor="text1"/>
                <w:sz w:val="26"/>
                <w:szCs w:val="26"/>
              </w:rPr>
            </w:pPr>
            <w:r w:rsidRPr="008B619A">
              <w:rPr>
                <w:rFonts w:ascii="Times New Roman"/>
                <w:color w:val="000000" w:themeColor="text1"/>
                <w:sz w:val="26"/>
                <w:szCs w:val="26"/>
              </w:rPr>
              <w:t>21</w:t>
            </w:r>
          </w:p>
        </w:tc>
        <w:tc>
          <w:tcPr>
            <w:tcW w:w="572" w:type="pct"/>
            <w:tcBorders>
              <w:top w:val="single" w:sz="4" w:space="0" w:color="auto"/>
              <w:left w:val="nil"/>
              <w:bottom w:val="single" w:sz="4" w:space="0" w:color="auto"/>
              <w:right w:val="single" w:sz="4" w:space="0" w:color="auto"/>
            </w:tcBorders>
            <w:shd w:val="clear" w:color="auto" w:fill="auto"/>
            <w:noWrap/>
            <w:vAlign w:val="center"/>
            <w:hideMark/>
          </w:tcPr>
          <w:p w14:paraId="1750DC76" w14:textId="77777777" w:rsidR="00C01404" w:rsidRPr="008B619A" w:rsidRDefault="00C01404" w:rsidP="005F4AB4">
            <w:pPr>
              <w:snapToGrid w:val="0"/>
              <w:spacing w:line="0" w:lineRule="atLeast"/>
              <w:jc w:val="center"/>
              <w:rPr>
                <w:rFonts w:ascii="Times New Roman"/>
                <w:color w:val="000000" w:themeColor="text1"/>
                <w:sz w:val="26"/>
                <w:szCs w:val="26"/>
              </w:rPr>
            </w:pPr>
            <w:r w:rsidRPr="008B619A">
              <w:rPr>
                <w:rFonts w:ascii="Times New Roman"/>
                <w:color w:val="000000" w:themeColor="text1"/>
                <w:sz w:val="26"/>
                <w:szCs w:val="26"/>
              </w:rPr>
              <w:t>3.8%</w:t>
            </w:r>
          </w:p>
        </w:tc>
      </w:tr>
      <w:tr w:rsidR="00C01404" w:rsidRPr="008B619A" w14:paraId="2EBD2F1B" w14:textId="77777777" w:rsidTr="00785ADB">
        <w:trPr>
          <w:trHeight w:val="20"/>
          <w:jc w:val="center"/>
        </w:trPr>
        <w:tc>
          <w:tcPr>
            <w:tcW w:w="1302" w:type="pct"/>
            <w:tcBorders>
              <w:top w:val="single" w:sz="4" w:space="0" w:color="auto"/>
              <w:left w:val="single" w:sz="4" w:space="0" w:color="auto"/>
              <w:bottom w:val="single" w:sz="4" w:space="0" w:color="auto"/>
              <w:right w:val="single" w:sz="4" w:space="0" w:color="auto"/>
            </w:tcBorders>
            <w:shd w:val="clear" w:color="auto" w:fill="E5DFEC" w:themeFill="accent4" w:themeFillTint="33"/>
            <w:noWrap/>
            <w:vAlign w:val="center"/>
            <w:hideMark/>
          </w:tcPr>
          <w:p w14:paraId="1C113DB9" w14:textId="77777777" w:rsidR="00C01404" w:rsidRPr="008B619A" w:rsidRDefault="00C01404" w:rsidP="005F4AB4">
            <w:pPr>
              <w:snapToGrid w:val="0"/>
              <w:spacing w:line="0" w:lineRule="atLeast"/>
              <w:rPr>
                <w:rFonts w:ascii="Times New Roman"/>
                <w:b/>
                <w:bCs/>
                <w:color w:val="000000" w:themeColor="text1"/>
                <w:sz w:val="26"/>
                <w:szCs w:val="26"/>
              </w:rPr>
            </w:pPr>
            <w:r w:rsidRPr="008B619A">
              <w:rPr>
                <w:rFonts w:ascii="Times New Roman"/>
                <w:b/>
                <w:bCs/>
                <w:color w:val="000000" w:themeColor="text1"/>
                <w:sz w:val="26"/>
                <w:szCs w:val="26"/>
              </w:rPr>
              <w:t>農科</w:t>
            </w:r>
          </w:p>
        </w:tc>
        <w:tc>
          <w:tcPr>
            <w:tcW w:w="350" w:type="pct"/>
            <w:tcBorders>
              <w:top w:val="single" w:sz="4" w:space="0" w:color="auto"/>
              <w:left w:val="nil"/>
              <w:bottom w:val="single" w:sz="4" w:space="0" w:color="auto"/>
              <w:right w:val="single" w:sz="4" w:space="0" w:color="auto"/>
            </w:tcBorders>
            <w:shd w:val="clear" w:color="auto" w:fill="auto"/>
            <w:noWrap/>
            <w:vAlign w:val="center"/>
            <w:hideMark/>
          </w:tcPr>
          <w:p w14:paraId="5C79971B" w14:textId="77777777" w:rsidR="00C01404" w:rsidRPr="008B619A" w:rsidRDefault="00C01404" w:rsidP="005F4AB4">
            <w:pPr>
              <w:snapToGrid w:val="0"/>
              <w:spacing w:line="0" w:lineRule="atLeast"/>
              <w:jc w:val="right"/>
              <w:rPr>
                <w:rFonts w:ascii="Times New Roman"/>
                <w:color w:val="000000" w:themeColor="text1"/>
                <w:sz w:val="26"/>
                <w:szCs w:val="26"/>
              </w:rPr>
            </w:pPr>
            <w:r w:rsidRPr="008B619A">
              <w:rPr>
                <w:rFonts w:ascii="Times New Roman"/>
                <w:color w:val="000000" w:themeColor="text1"/>
                <w:sz w:val="26"/>
                <w:szCs w:val="26"/>
              </w:rPr>
              <w:t>6</w:t>
            </w:r>
          </w:p>
        </w:tc>
        <w:tc>
          <w:tcPr>
            <w:tcW w:w="621" w:type="pct"/>
            <w:tcBorders>
              <w:top w:val="single" w:sz="4" w:space="0" w:color="auto"/>
              <w:left w:val="nil"/>
              <w:bottom w:val="single" w:sz="4" w:space="0" w:color="auto"/>
              <w:right w:val="single" w:sz="4" w:space="0" w:color="auto"/>
            </w:tcBorders>
            <w:shd w:val="clear" w:color="auto" w:fill="auto"/>
            <w:noWrap/>
            <w:vAlign w:val="center"/>
            <w:hideMark/>
          </w:tcPr>
          <w:p w14:paraId="3FA6C9CA" w14:textId="77777777" w:rsidR="00C01404" w:rsidRPr="008B619A" w:rsidRDefault="00C01404" w:rsidP="005F4AB4">
            <w:pPr>
              <w:snapToGrid w:val="0"/>
              <w:spacing w:line="0" w:lineRule="atLeast"/>
              <w:jc w:val="right"/>
              <w:rPr>
                <w:rFonts w:ascii="Times New Roman"/>
                <w:color w:val="000000" w:themeColor="text1"/>
                <w:sz w:val="26"/>
                <w:szCs w:val="26"/>
              </w:rPr>
            </w:pPr>
            <w:r w:rsidRPr="008B619A">
              <w:rPr>
                <w:rFonts w:ascii="Times New Roman"/>
                <w:color w:val="000000" w:themeColor="text1"/>
                <w:sz w:val="26"/>
                <w:szCs w:val="26"/>
              </w:rPr>
              <w:t>1.6%</w:t>
            </w:r>
          </w:p>
        </w:tc>
        <w:tc>
          <w:tcPr>
            <w:tcW w:w="349" w:type="pct"/>
            <w:tcBorders>
              <w:top w:val="single" w:sz="4" w:space="0" w:color="auto"/>
              <w:left w:val="nil"/>
              <w:bottom w:val="single" w:sz="4" w:space="0" w:color="auto"/>
              <w:right w:val="single" w:sz="4" w:space="0" w:color="auto"/>
            </w:tcBorders>
            <w:shd w:val="clear" w:color="auto" w:fill="auto"/>
            <w:noWrap/>
            <w:vAlign w:val="center"/>
            <w:hideMark/>
          </w:tcPr>
          <w:p w14:paraId="7C982232" w14:textId="77777777" w:rsidR="00C01404" w:rsidRPr="008B619A" w:rsidRDefault="00C01404" w:rsidP="005F4AB4">
            <w:pPr>
              <w:snapToGrid w:val="0"/>
              <w:spacing w:line="0" w:lineRule="atLeast"/>
              <w:jc w:val="right"/>
              <w:rPr>
                <w:rFonts w:ascii="Times New Roman"/>
                <w:color w:val="000000" w:themeColor="text1"/>
                <w:sz w:val="26"/>
                <w:szCs w:val="26"/>
              </w:rPr>
            </w:pPr>
            <w:r w:rsidRPr="008B619A">
              <w:rPr>
                <w:rFonts w:ascii="Times New Roman"/>
                <w:color w:val="000000" w:themeColor="text1"/>
                <w:sz w:val="26"/>
                <w:szCs w:val="26"/>
              </w:rPr>
              <w:t>9</w:t>
            </w:r>
          </w:p>
        </w:tc>
        <w:tc>
          <w:tcPr>
            <w:tcW w:w="544" w:type="pct"/>
            <w:tcBorders>
              <w:top w:val="single" w:sz="4" w:space="0" w:color="auto"/>
              <w:left w:val="nil"/>
              <w:bottom w:val="single" w:sz="4" w:space="0" w:color="auto"/>
              <w:right w:val="single" w:sz="4" w:space="0" w:color="auto"/>
            </w:tcBorders>
            <w:shd w:val="clear" w:color="auto" w:fill="auto"/>
            <w:noWrap/>
            <w:vAlign w:val="center"/>
            <w:hideMark/>
          </w:tcPr>
          <w:p w14:paraId="7364D3DE" w14:textId="77777777" w:rsidR="00C01404" w:rsidRPr="008B619A" w:rsidRDefault="00C01404" w:rsidP="005F4AB4">
            <w:pPr>
              <w:snapToGrid w:val="0"/>
              <w:spacing w:line="0" w:lineRule="atLeast"/>
              <w:jc w:val="right"/>
              <w:rPr>
                <w:rFonts w:ascii="Times New Roman"/>
                <w:color w:val="000000" w:themeColor="text1"/>
                <w:sz w:val="26"/>
                <w:szCs w:val="26"/>
              </w:rPr>
            </w:pPr>
            <w:r w:rsidRPr="008B619A">
              <w:rPr>
                <w:rFonts w:ascii="Times New Roman"/>
                <w:color w:val="000000" w:themeColor="text1"/>
                <w:sz w:val="26"/>
                <w:szCs w:val="26"/>
              </w:rPr>
              <w:t>16.1%</w:t>
            </w:r>
          </w:p>
        </w:tc>
        <w:tc>
          <w:tcPr>
            <w:tcW w:w="350" w:type="pct"/>
            <w:tcBorders>
              <w:top w:val="single" w:sz="4" w:space="0" w:color="auto"/>
              <w:left w:val="nil"/>
              <w:bottom w:val="single" w:sz="4" w:space="0" w:color="auto"/>
              <w:right w:val="single" w:sz="4" w:space="0" w:color="auto"/>
            </w:tcBorders>
            <w:shd w:val="clear" w:color="auto" w:fill="auto"/>
            <w:noWrap/>
            <w:vAlign w:val="center"/>
            <w:hideMark/>
          </w:tcPr>
          <w:p w14:paraId="7E20E7A7" w14:textId="77777777" w:rsidR="00C01404" w:rsidRPr="008B619A" w:rsidRDefault="00C01404" w:rsidP="005F4AB4">
            <w:pPr>
              <w:snapToGrid w:val="0"/>
              <w:spacing w:line="0" w:lineRule="atLeast"/>
              <w:jc w:val="right"/>
              <w:rPr>
                <w:rFonts w:ascii="Times New Roman"/>
                <w:color w:val="000000" w:themeColor="text1"/>
                <w:sz w:val="26"/>
                <w:szCs w:val="26"/>
              </w:rPr>
            </w:pPr>
            <w:r w:rsidRPr="008B619A">
              <w:rPr>
                <w:rFonts w:ascii="Times New Roman"/>
                <w:color w:val="000000" w:themeColor="text1"/>
                <w:sz w:val="26"/>
                <w:szCs w:val="26"/>
              </w:rPr>
              <w:t>0</w:t>
            </w:r>
          </w:p>
        </w:tc>
        <w:tc>
          <w:tcPr>
            <w:tcW w:w="544" w:type="pct"/>
            <w:tcBorders>
              <w:top w:val="single" w:sz="4" w:space="0" w:color="auto"/>
              <w:left w:val="nil"/>
              <w:bottom w:val="single" w:sz="4" w:space="0" w:color="auto"/>
              <w:right w:val="single" w:sz="4" w:space="0" w:color="auto"/>
            </w:tcBorders>
            <w:shd w:val="clear" w:color="auto" w:fill="auto"/>
            <w:noWrap/>
            <w:vAlign w:val="center"/>
            <w:hideMark/>
          </w:tcPr>
          <w:p w14:paraId="4F63E32F" w14:textId="77777777" w:rsidR="00C01404" w:rsidRPr="008B619A" w:rsidRDefault="00C01404" w:rsidP="005F4AB4">
            <w:pPr>
              <w:snapToGrid w:val="0"/>
              <w:spacing w:line="0" w:lineRule="atLeast"/>
              <w:jc w:val="right"/>
              <w:rPr>
                <w:rFonts w:ascii="Times New Roman"/>
                <w:color w:val="000000" w:themeColor="text1"/>
                <w:sz w:val="26"/>
                <w:szCs w:val="26"/>
              </w:rPr>
            </w:pPr>
            <w:r w:rsidRPr="008B619A">
              <w:rPr>
                <w:rFonts w:ascii="Times New Roman"/>
                <w:color w:val="000000" w:themeColor="text1"/>
                <w:sz w:val="26"/>
                <w:szCs w:val="26"/>
              </w:rPr>
              <w:t>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14:paraId="460F631B" w14:textId="77777777" w:rsidR="00C01404" w:rsidRPr="008B619A" w:rsidRDefault="00C01404" w:rsidP="005F4AB4">
            <w:pPr>
              <w:snapToGrid w:val="0"/>
              <w:spacing w:line="0" w:lineRule="atLeast"/>
              <w:jc w:val="center"/>
              <w:rPr>
                <w:rFonts w:ascii="Times New Roman"/>
                <w:color w:val="000000" w:themeColor="text1"/>
                <w:sz w:val="26"/>
                <w:szCs w:val="26"/>
              </w:rPr>
            </w:pPr>
            <w:r w:rsidRPr="008B619A">
              <w:rPr>
                <w:rFonts w:ascii="Times New Roman"/>
                <w:color w:val="000000" w:themeColor="text1"/>
                <w:sz w:val="26"/>
                <w:szCs w:val="26"/>
              </w:rPr>
              <w:t>15</w:t>
            </w:r>
          </w:p>
        </w:tc>
        <w:tc>
          <w:tcPr>
            <w:tcW w:w="572" w:type="pct"/>
            <w:tcBorders>
              <w:top w:val="single" w:sz="4" w:space="0" w:color="auto"/>
              <w:left w:val="nil"/>
              <w:bottom w:val="single" w:sz="4" w:space="0" w:color="auto"/>
              <w:right w:val="single" w:sz="4" w:space="0" w:color="auto"/>
            </w:tcBorders>
            <w:shd w:val="clear" w:color="auto" w:fill="auto"/>
            <w:noWrap/>
            <w:vAlign w:val="center"/>
            <w:hideMark/>
          </w:tcPr>
          <w:p w14:paraId="5759E543" w14:textId="77777777" w:rsidR="00C01404" w:rsidRPr="008B619A" w:rsidRDefault="00C01404" w:rsidP="005F4AB4">
            <w:pPr>
              <w:snapToGrid w:val="0"/>
              <w:spacing w:line="0" w:lineRule="atLeast"/>
              <w:jc w:val="center"/>
              <w:rPr>
                <w:rFonts w:ascii="Times New Roman"/>
                <w:color w:val="000000" w:themeColor="text1"/>
                <w:sz w:val="26"/>
                <w:szCs w:val="26"/>
              </w:rPr>
            </w:pPr>
            <w:r w:rsidRPr="008B619A">
              <w:rPr>
                <w:rFonts w:ascii="Times New Roman"/>
                <w:color w:val="000000" w:themeColor="text1"/>
                <w:sz w:val="26"/>
                <w:szCs w:val="26"/>
              </w:rPr>
              <w:t>2.7%</w:t>
            </w:r>
          </w:p>
        </w:tc>
      </w:tr>
      <w:tr w:rsidR="00C01404" w:rsidRPr="008B619A" w14:paraId="775400C5" w14:textId="77777777" w:rsidTr="00785ADB">
        <w:trPr>
          <w:trHeight w:val="20"/>
          <w:jc w:val="center"/>
        </w:trPr>
        <w:tc>
          <w:tcPr>
            <w:tcW w:w="1302" w:type="pct"/>
            <w:tcBorders>
              <w:top w:val="single" w:sz="4" w:space="0" w:color="auto"/>
              <w:left w:val="single" w:sz="4" w:space="0" w:color="auto"/>
              <w:bottom w:val="single" w:sz="4" w:space="0" w:color="auto"/>
              <w:right w:val="single" w:sz="4" w:space="0" w:color="auto"/>
            </w:tcBorders>
            <w:shd w:val="clear" w:color="auto" w:fill="E5DFEC" w:themeFill="accent4" w:themeFillTint="33"/>
            <w:noWrap/>
            <w:vAlign w:val="center"/>
            <w:hideMark/>
          </w:tcPr>
          <w:p w14:paraId="2AC4EAA3" w14:textId="77777777" w:rsidR="00C01404" w:rsidRPr="008B619A" w:rsidRDefault="00C01404" w:rsidP="005F4AB4">
            <w:pPr>
              <w:snapToGrid w:val="0"/>
              <w:spacing w:line="0" w:lineRule="atLeast"/>
              <w:rPr>
                <w:rFonts w:ascii="Times New Roman"/>
                <w:b/>
                <w:bCs/>
                <w:color w:val="000000" w:themeColor="text1"/>
                <w:sz w:val="26"/>
                <w:szCs w:val="26"/>
              </w:rPr>
            </w:pPr>
            <w:r w:rsidRPr="008B619A">
              <w:rPr>
                <w:rFonts w:ascii="Times New Roman"/>
                <w:b/>
                <w:bCs/>
                <w:color w:val="000000" w:themeColor="text1"/>
                <w:sz w:val="26"/>
                <w:szCs w:val="26"/>
              </w:rPr>
              <w:t>人文科學</w:t>
            </w:r>
          </w:p>
        </w:tc>
        <w:tc>
          <w:tcPr>
            <w:tcW w:w="350" w:type="pct"/>
            <w:tcBorders>
              <w:top w:val="single" w:sz="4" w:space="0" w:color="auto"/>
              <w:left w:val="nil"/>
              <w:bottom w:val="single" w:sz="4" w:space="0" w:color="auto"/>
              <w:right w:val="single" w:sz="4" w:space="0" w:color="auto"/>
            </w:tcBorders>
            <w:shd w:val="clear" w:color="auto" w:fill="auto"/>
            <w:noWrap/>
            <w:vAlign w:val="center"/>
            <w:hideMark/>
          </w:tcPr>
          <w:p w14:paraId="5F6A4229" w14:textId="77777777" w:rsidR="00C01404" w:rsidRPr="008B619A" w:rsidRDefault="00C01404" w:rsidP="005F4AB4">
            <w:pPr>
              <w:snapToGrid w:val="0"/>
              <w:spacing w:line="0" w:lineRule="atLeast"/>
              <w:jc w:val="right"/>
              <w:rPr>
                <w:rFonts w:ascii="Times New Roman"/>
                <w:color w:val="000000" w:themeColor="text1"/>
                <w:sz w:val="26"/>
                <w:szCs w:val="26"/>
              </w:rPr>
            </w:pPr>
            <w:r w:rsidRPr="008B619A">
              <w:rPr>
                <w:rFonts w:ascii="Times New Roman"/>
                <w:color w:val="000000" w:themeColor="text1"/>
                <w:sz w:val="26"/>
                <w:szCs w:val="26"/>
              </w:rPr>
              <w:t>7</w:t>
            </w:r>
          </w:p>
        </w:tc>
        <w:tc>
          <w:tcPr>
            <w:tcW w:w="621" w:type="pct"/>
            <w:tcBorders>
              <w:top w:val="single" w:sz="4" w:space="0" w:color="auto"/>
              <w:left w:val="nil"/>
              <w:bottom w:val="single" w:sz="4" w:space="0" w:color="auto"/>
              <w:right w:val="single" w:sz="4" w:space="0" w:color="auto"/>
            </w:tcBorders>
            <w:shd w:val="clear" w:color="auto" w:fill="auto"/>
            <w:noWrap/>
            <w:vAlign w:val="center"/>
            <w:hideMark/>
          </w:tcPr>
          <w:p w14:paraId="0A78FBA9" w14:textId="77777777" w:rsidR="00C01404" w:rsidRPr="008B619A" w:rsidRDefault="00C01404" w:rsidP="005F4AB4">
            <w:pPr>
              <w:snapToGrid w:val="0"/>
              <w:spacing w:line="0" w:lineRule="atLeast"/>
              <w:jc w:val="right"/>
              <w:rPr>
                <w:rFonts w:ascii="Times New Roman"/>
                <w:color w:val="000000" w:themeColor="text1"/>
                <w:sz w:val="26"/>
                <w:szCs w:val="26"/>
              </w:rPr>
            </w:pPr>
            <w:r w:rsidRPr="008B619A">
              <w:rPr>
                <w:rFonts w:ascii="Times New Roman"/>
                <w:color w:val="000000" w:themeColor="text1"/>
                <w:sz w:val="26"/>
                <w:szCs w:val="26"/>
              </w:rPr>
              <w:t>1.9%</w:t>
            </w:r>
          </w:p>
        </w:tc>
        <w:tc>
          <w:tcPr>
            <w:tcW w:w="349" w:type="pct"/>
            <w:tcBorders>
              <w:top w:val="single" w:sz="4" w:space="0" w:color="auto"/>
              <w:left w:val="nil"/>
              <w:bottom w:val="single" w:sz="4" w:space="0" w:color="auto"/>
              <w:right w:val="single" w:sz="4" w:space="0" w:color="auto"/>
            </w:tcBorders>
            <w:shd w:val="clear" w:color="auto" w:fill="auto"/>
            <w:noWrap/>
            <w:vAlign w:val="center"/>
            <w:hideMark/>
          </w:tcPr>
          <w:p w14:paraId="5E5B30EC" w14:textId="77777777" w:rsidR="00C01404" w:rsidRPr="008B619A" w:rsidRDefault="00C01404" w:rsidP="005F4AB4">
            <w:pPr>
              <w:snapToGrid w:val="0"/>
              <w:spacing w:line="0" w:lineRule="atLeast"/>
              <w:jc w:val="right"/>
              <w:rPr>
                <w:rFonts w:ascii="Times New Roman"/>
                <w:color w:val="000000" w:themeColor="text1"/>
                <w:sz w:val="26"/>
                <w:szCs w:val="26"/>
              </w:rPr>
            </w:pPr>
            <w:r w:rsidRPr="008B619A">
              <w:rPr>
                <w:rFonts w:ascii="Times New Roman"/>
                <w:color w:val="000000" w:themeColor="text1"/>
                <w:sz w:val="26"/>
                <w:szCs w:val="26"/>
              </w:rPr>
              <w:t>0</w:t>
            </w:r>
          </w:p>
        </w:tc>
        <w:tc>
          <w:tcPr>
            <w:tcW w:w="544" w:type="pct"/>
            <w:tcBorders>
              <w:top w:val="single" w:sz="4" w:space="0" w:color="auto"/>
              <w:left w:val="nil"/>
              <w:bottom w:val="single" w:sz="4" w:space="0" w:color="auto"/>
              <w:right w:val="single" w:sz="4" w:space="0" w:color="auto"/>
            </w:tcBorders>
            <w:shd w:val="clear" w:color="auto" w:fill="auto"/>
            <w:noWrap/>
            <w:vAlign w:val="center"/>
            <w:hideMark/>
          </w:tcPr>
          <w:p w14:paraId="6B70C637" w14:textId="77777777" w:rsidR="00C01404" w:rsidRPr="008B619A" w:rsidRDefault="00C01404" w:rsidP="005F4AB4">
            <w:pPr>
              <w:snapToGrid w:val="0"/>
              <w:spacing w:line="0" w:lineRule="atLeast"/>
              <w:jc w:val="right"/>
              <w:rPr>
                <w:rFonts w:ascii="Times New Roman"/>
                <w:color w:val="000000" w:themeColor="text1"/>
                <w:sz w:val="26"/>
                <w:szCs w:val="26"/>
              </w:rPr>
            </w:pPr>
            <w:r w:rsidRPr="008B619A">
              <w:rPr>
                <w:rFonts w:ascii="Times New Roman"/>
                <w:color w:val="000000" w:themeColor="text1"/>
                <w:sz w:val="26"/>
                <w:szCs w:val="26"/>
              </w:rPr>
              <w:t>0.0%</w:t>
            </w:r>
          </w:p>
        </w:tc>
        <w:tc>
          <w:tcPr>
            <w:tcW w:w="350" w:type="pct"/>
            <w:tcBorders>
              <w:top w:val="single" w:sz="4" w:space="0" w:color="auto"/>
              <w:left w:val="nil"/>
              <w:bottom w:val="single" w:sz="4" w:space="0" w:color="auto"/>
              <w:right w:val="single" w:sz="4" w:space="0" w:color="auto"/>
            </w:tcBorders>
            <w:shd w:val="clear" w:color="auto" w:fill="auto"/>
            <w:noWrap/>
            <w:vAlign w:val="center"/>
            <w:hideMark/>
          </w:tcPr>
          <w:p w14:paraId="60712F2E" w14:textId="77777777" w:rsidR="00C01404" w:rsidRPr="008B619A" w:rsidRDefault="00C01404" w:rsidP="005F4AB4">
            <w:pPr>
              <w:snapToGrid w:val="0"/>
              <w:spacing w:line="0" w:lineRule="atLeast"/>
              <w:jc w:val="right"/>
              <w:rPr>
                <w:rFonts w:ascii="Times New Roman"/>
                <w:color w:val="000000" w:themeColor="text1"/>
                <w:sz w:val="26"/>
                <w:szCs w:val="26"/>
              </w:rPr>
            </w:pPr>
            <w:r w:rsidRPr="008B619A">
              <w:rPr>
                <w:rFonts w:ascii="Times New Roman"/>
                <w:color w:val="000000" w:themeColor="text1"/>
                <w:sz w:val="26"/>
                <w:szCs w:val="26"/>
              </w:rPr>
              <w:t>0</w:t>
            </w:r>
          </w:p>
        </w:tc>
        <w:tc>
          <w:tcPr>
            <w:tcW w:w="544" w:type="pct"/>
            <w:tcBorders>
              <w:top w:val="single" w:sz="4" w:space="0" w:color="auto"/>
              <w:left w:val="nil"/>
              <w:bottom w:val="single" w:sz="4" w:space="0" w:color="auto"/>
              <w:right w:val="single" w:sz="4" w:space="0" w:color="auto"/>
            </w:tcBorders>
            <w:shd w:val="clear" w:color="auto" w:fill="auto"/>
            <w:noWrap/>
            <w:vAlign w:val="center"/>
            <w:hideMark/>
          </w:tcPr>
          <w:p w14:paraId="712BD3A5" w14:textId="77777777" w:rsidR="00C01404" w:rsidRPr="008B619A" w:rsidRDefault="00C01404" w:rsidP="005F4AB4">
            <w:pPr>
              <w:snapToGrid w:val="0"/>
              <w:spacing w:line="0" w:lineRule="atLeast"/>
              <w:jc w:val="right"/>
              <w:rPr>
                <w:rFonts w:ascii="Times New Roman"/>
                <w:color w:val="000000" w:themeColor="text1"/>
                <w:sz w:val="26"/>
                <w:szCs w:val="26"/>
              </w:rPr>
            </w:pPr>
            <w:r w:rsidRPr="008B619A">
              <w:rPr>
                <w:rFonts w:ascii="Times New Roman"/>
                <w:color w:val="000000" w:themeColor="text1"/>
                <w:sz w:val="26"/>
                <w:szCs w:val="26"/>
              </w:rPr>
              <w:t>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14:paraId="39635C46" w14:textId="77777777" w:rsidR="00C01404" w:rsidRPr="008B619A" w:rsidRDefault="00C01404" w:rsidP="005F4AB4">
            <w:pPr>
              <w:snapToGrid w:val="0"/>
              <w:spacing w:line="0" w:lineRule="atLeast"/>
              <w:jc w:val="center"/>
              <w:rPr>
                <w:rFonts w:ascii="Times New Roman"/>
                <w:color w:val="000000" w:themeColor="text1"/>
                <w:sz w:val="26"/>
                <w:szCs w:val="26"/>
              </w:rPr>
            </w:pPr>
            <w:r w:rsidRPr="008B619A">
              <w:rPr>
                <w:rFonts w:ascii="Times New Roman"/>
                <w:color w:val="000000" w:themeColor="text1"/>
                <w:sz w:val="26"/>
                <w:szCs w:val="26"/>
              </w:rPr>
              <w:t>7</w:t>
            </w:r>
          </w:p>
        </w:tc>
        <w:tc>
          <w:tcPr>
            <w:tcW w:w="572" w:type="pct"/>
            <w:tcBorders>
              <w:top w:val="single" w:sz="4" w:space="0" w:color="auto"/>
              <w:left w:val="nil"/>
              <w:bottom w:val="single" w:sz="4" w:space="0" w:color="auto"/>
              <w:right w:val="single" w:sz="4" w:space="0" w:color="auto"/>
            </w:tcBorders>
            <w:shd w:val="clear" w:color="auto" w:fill="auto"/>
            <w:noWrap/>
            <w:vAlign w:val="center"/>
            <w:hideMark/>
          </w:tcPr>
          <w:p w14:paraId="33D7C2AC" w14:textId="77777777" w:rsidR="00C01404" w:rsidRPr="008B619A" w:rsidRDefault="00C01404" w:rsidP="005F4AB4">
            <w:pPr>
              <w:snapToGrid w:val="0"/>
              <w:spacing w:line="0" w:lineRule="atLeast"/>
              <w:jc w:val="center"/>
              <w:rPr>
                <w:rFonts w:ascii="Times New Roman"/>
                <w:color w:val="000000" w:themeColor="text1"/>
                <w:sz w:val="26"/>
                <w:szCs w:val="26"/>
              </w:rPr>
            </w:pPr>
            <w:r w:rsidRPr="008B619A">
              <w:rPr>
                <w:rFonts w:ascii="Times New Roman"/>
                <w:color w:val="000000" w:themeColor="text1"/>
                <w:sz w:val="26"/>
                <w:szCs w:val="26"/>
              </w:rPr>
              <w:t>1.3%</w:t>
            </w:r>
          </w:p>
        </w:tc>
      </w:tr>
      <w:tr w:rsidR="00C01404" w:rsidRPr="008B619A" w14:paraId="1D0F7798" w14:textId="77777777" w:rsidTr="00785ADB">
        <w:trPr>
          <w:trHeight w:val="20"/>
          <w:jc w:val="center"/>
        </w:trPr>
        <w:tc>
          <w:tcPr>
            <w:tcW w:w="1302" w:type="pct"/>
            <w:tcBorders>
              <w:top w:val="single" w:sz="4" w:space="0" w:color="auto"/>
              <w:left w:val="single" w:sz="4" w:space="0" w:color="auto"/>
              <w:bottom w:val="single" w:sz="4" w:space="0" w:color="auto"/>
              <w:right w:val="single" w:sz="4" w:space="0" w:color="auto"/>
            </w:tcBorders>
            <w:shd w:val="clear" w:color="auto" w:fill="E5DFEC" w:themeFill="accent4" w:themeFillTint="33"/>
            <w:noWrap/>
            <w:vAlign w:val="center"/>
            <w:hideMark/>
          </w:tcPr>
          <w:p w14:paraId="6CAE7FEC" w14:textId="77777777" w:rsidR="00C01404" w:rsidRPr="008B619A" w:rsidRDefault="00C01404" w:rsidP="005F4AB4">
            <w:pPr>
              <w:snapToGrid w:val="0"/>
              <w:spacing w:line="0" w:lineRule="atLeast"/>
              <w:rPr>
                <w:rFonts w:ascii="Times New Roman"/>
                <w:b/>
                <w:bCs/>
                <w:color w:val="000000" w:themeColor="text1"/>
                <w:sz w:val="26"/>
                <w:szCs w:val="26"/>
              </w:rPr>
            </w:pPr>
            <w:r w:rsidRPr="008B619A">
              <w:rPr>
                <w:rFonts w:ascii="Times New Roman"/>
                <w:b/>
                <w:bCs/>
                <w:color w:val="000000" w:themeColor="text1"/>
                <w:sz w:val="26"/>
                <w:szCs w:val="26"/>
              </w:rPr>
              <w:t>社會科學</w:t>
            </w:r>
          </w:p>
        </w:tc>
        <w:tc>
          <w:tcPr>
            <w:tcW w:w="350" w:type="pct"/>
            <w:tcBorders>
              <w:top w:val="single" w:sz="4" w:space="0" w:color="auto"/>
              <w:left w:val="nil"/>
              <w:bottom w:val="single" w:sz="4" w:space="0" w:color="auto"/>
              <w:right w:val="single" w:sz="4" w:space="0" w:color="auto"/>
            </w:tcBorders>
            <w:shd w:val="clear" w:color="auto" w:fill="auto"/>
            <w:noWrap/>
            <w:vAlign w:val="center"/>
            <w:hideMark/>
          </w:tcPr>
          <w:p w14:paraId="7D6E7266" w14:textId="77777777" w:rsidR="00C01404" w:rsidRPr="008B619A" w:rsidRDefault="00C01404" w:rsidP="005F4AB4">
            <w:pPr>
              <w:snapToGrid w:val="0"/>
              <w:spacing w:line="0" w:lineRule="atLeast"/>
              <w:jc w:val="right"/>
              <w:rPr>
                <w:rFonts w:ascii="Times New Roman"/>
                <w:color w:val="000000" w:themeColor="text1"/>
                <w:sz w:val="26"/>
                <w:szCs w:val="26"/>
              </w:rPr>
            </w:pPr>
            <w:r w:rsidRPr="008B619A">
              <w:rPr>
                <w:rFonts w:ascii="Times New Roman"/>
                <w:color w:val="000000" w:themeColor="text1"/>
                <w:sz w:val="26"/>
                <w:szCs w:val="26"/>
              </w:rPr>
              <w:t>18</w:t>
            </w:r>
          </w:p>
        </w:tc>
        <w:tc>
          <w:tcPr>
            <w:tcW w:w="621" w:type="pct"/>
            <w:tcBorders>
              <w:top w:val="single" w:sz="4" w:space="0" w:color="auto"/>
              <w:left w:val="nil"/>
              <w:bottom w:val="single" w:sz="4" w:space="0" w:color="auto"/>
              <w:right w:val="single" w:sz="4" w:space="0" w:color="auto"/>
            </w:tcBorders>
            <w:shd w:val="clear" w:color="auto" w:fill="auto"/>
            <w:noWrap/>
            <w:vAlign w:val="center"/>
            <w:hideMark/>
          </w:tcPr>
          <w:p w14:paraId="1127A207" w14:textId="77777777" w:rsidR="00C01404" w:rsidRPr="008B619A" w:rsidRDefault="00C01404" w:rsidP="005F4AB4">
            <w:pPr>
              <w:snapToGrid w:val="0"/>
              <w:spacing w:line="0" w:lineRule="atLeast"/>
              <w:jc w:val="right"/>
              <w:rPr>
                <w:rFonts w:ascii="Times New Roman"/>
                <w:color w:val="000000" w:themeColor="text1"/>
                <w:sz w:val="26"/>
                <w:szCs w:val="26"/>
              </w:rPr>
            </w:pPr>
            <w:r w:rsidRPr="008B619A">
              <w:rPr>
                <w:rFonts w:ascii="Times New Roman"/>
                <w:color w:val="000000" w:themeColor="text1"/>
                <w:sz w:val="26"/>
                <w:szCs w:val="26"/>
              </w:rPr>
              <w:t>4.9%</w:t>
            </w:r>
          </w:p>
        </w:tc>
        <w:tc>
          <w:tcPr>
            <w:tcW w:w="349" w:type="pct"/>
            <w:tcBorders>
              <w:top w:val="single" w:sz="4" w:space="0" w:color="auto"/>
              <w:left w:val="nil"/>
              <w:bottom w:val="single" w:sz="4" w:space="0" w:color="auto"/>
              <w:right w:val="single" w:sz="4" w:space="0" w:color="auto"/>
            </w:tcBorders>
            <w:shd w:val="clear" w:color="auto" w:fill="auto"/>
            <w:noWrap/>
            <w:vAlign w:val="center"/>
            <w:hideMark/>
          </w:tcPr>
          <w:p w14:paraId="387F9A78" w14:textId="77777777" w:rsidR="00C01404" w:rsidRPr="008B619A" w:rsidRDefault="00C01404" w:rsidP="005F4AB4">
            <w:pPr>
              <w:snapToGrid w:val="0"/>
              <w:spacing w:line="0" w:lineRule="atLeast"/>
              <w:jc w:val="right"/>
              <w:rPr>
                <w:rFonts w:ascii="Times New Roman"/>
                <w:color w:val="000000" w:themeColor="text1"/>
                <w:sz w:val="26"/>
                <w:szCs w:val="26"/>
              </w:rPr>
            </w:pPr>
            <w:r w:rsidRPr="008B619A">
              <w:rPr>
                <w:rFonts w:ascii="Times New Roman"/>
                <w:color w:val="000000" w:themeColor="text1"/>
                <w:sz w:val="26"/>
                <w:szCs w:val="26"/>
              </w:rPr>
              <w:t>2</w:t>
            </w:r>
          </w:p>
        </w:tc>
        <w:tc>
          <w:tcPr>
            <w:tcW w:w="544" w:type="pct"/>
            <w:tcBorders>
              <w:top w:val="single" w:sz="4" w:space="0" w:color="auto"/>
              <w:left w:val="nil"/>
              <w:bottom w:val="single" w:sz="4" w:space="0" w:color="auto"/>
              <w:right w:val="single" w:sz="4" w:space="0" w:color="auto"/>
            </w:tcBorders>
            <w:shd w:val="clear" w:color="auto" w:fill="auto"/>
            <w:noWrap/>
            <w:vAlign w:val="center"/>
            <w:hideMark/>
          </w:tcPr>
          <w:p w14:paraId="1255C2B7" w14:textId="77777777" w:rsidR="00C01404" w:rsidRPr="008B619A" w:rsidRDefault="00C01404" w:rsidP="005F4AB4">
            <w:pPr>
              <w:snapToGrid w:val="0"/>
              <w:spacing w:line="0" w:lineRule="atLeast"/>
              <w:jc w:val="right"/>
              <w:rPr>
                <w:rFonts w:ascii="Times New Roman"/>
                <w:color w:val="000000" w:themeColor="text1"/>
                <w:sz w:val="26"/>
                <w:szCs w:val="26"/>
              </w:rPr>
            </w:pPr>
            <w:r w:rsidRPr="008B619A">
              <w:rPr>
                <w:rFonts w:ascii="Times New Roman"/>
                <w:color w:val="000000" w:themeColor="text1"/>
                <w:sz w:val="26"/>
                <w:szCs w:val="26"/>
              </w:rPr>
              <w:t>3.6%</w:t>
            </w:r>
          </w:p>
        </w:tc>
        <w:tc>
          <w:tcPr>
            <w:tcW w:w="350" w:type="pct"/>
            <w:tcBorders>
              <w:top w:val="single" w:sz="4" w:space="0" w:color="auto"/>
              <w:left w:val="nil"/>
              <w:bottom w:val="single" w:sz="4" w:space="0" w:color="auto"/>
              <w:right w:val="single" w:sz="4" w:space="0" w:color="auto"/>
            </w:tcBorders>
            <w:shd w:val="clear" w:color="auto" w:fill="auto"/>
            <w:noWrap/>
            <w:vAlign w:val="center"/>
            <w:hideMark/>
          </w:tcPr>
          <w:p w14:paraId="7F1BA724" w14:textId="77777777" w:rsidR="00C01404" w:rsidRPr="008B619A" w:rsidRDefault="00C01404" w:rsidP="005F4AB4">
            <w:pPr>
              <w:snapToGrid w:val="0"/>
              <w:spacing w:line="0" w:lineRule="atLeast"/>
              <w:jc w:val="right"/>
              <w:rPr>
                <w:rFonts w:ascii="Times New Roman"/>
                <w:color w:val="000000" w:themeColor="text1"/>
                <w:sz w:val="26"/>
                <w:szCs w:val="26"/>
              </w:rPr>
            </w:pPr>
            <w:r w:rsidRPr="008B619A">
              <w:rPr>
                <w:rFonts w:ascii="Times New Roman"/>
                <w:color w:val="000000" w:themeColor="text1"/>
                <w:sz w:val="26"/>
                <w:szCs w:val="26"/>
              </w:rPr>
              <w:t>2</w:t>
            </w:r>
          </w:p>
        </w:tc>
        <w:tc>
          <w:tcPr>
            <w:tcW w:w="544" w:type="pct"/>
            <w:tcBorders>
              <w:top w:val="single" w:sz="4" w:space="0" w:color="auto"/>
              <w:left w:val="nil"/>
              <w:bottom w:val="single" w:sz="4" w:space="0" w:color="auto"/>
              <w:right w:val="single" w:sz="4" w:space="0" w:color="auto"/>
            </w:tcBorders>
            <w:shd w:val="clear" w:color="auto" w:fill="auto"/>
            <w:noWrap/>
            <w:vAlign w:val="center"/>
            <w:hideMark/>
          </w:tcPr>
          <w:p w14:paraId="62E806EA" w14:textId="77777777" w:rsidR="00C01404" w:rsidRPr="008B619A" w:rsidRDefault="00C01404" w:rsidP="005F4AB4">
            <w:pPr>
              <w:snapToGrid w:val="0"/>
              <w:spacing w:line="0" w:lineRule="atLeast"/>
              <w:jc w:val="right"/>
              <w:rPr>
                <w:rFonts w:ascii="Times New Roman"/>
                <w:color w:val="000000" w:themeColor="text1"/>
                <w:sz w:val="26"/>
                <w:szCs w:val="26"/>
              </w:rPr>
            </w:pPr>
            <w:r w:rsidRPr="008B619A">
              <w:rPr>
                <w:rFonts w:ascii="Times New Roman"/>
                <w:color w:val="000000" w:themeColor="text1"/>
                <w:sz w:val="26"/>
                <w:szCs w:val="26"/>
              </w:rPr>
              <w:t>1.6%</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14:paraId="7A5E1C24" w14:textId="77777777" w:rsidR="00C01404" w:rsidRPr="008B619A" w:rsidRDefault="00C01404" w:rsidP="005F4AB4">
            <w:pPr>
              <w:snapToGrid w:val="0"/>
              <w:spacing w:line="0" w:lineRule="atLeast"/>
              <w:jc w:val="center"/>
              <w:rPr>
                <w:rFonts w:ascii="Times New Roman"/>
                <w:color w:val="000000" w:themeColor="text1"/>
                <w:sz w:val="26"/>
                <w:szCs w:val="26"/>
              </w:rPr>
            </w:pPr>
            <w:r w:rsidRPr="008B619A">
              <w:rPr>
                <w:rFonts w:ascii="Times New Roman"/>
                <w:color w:val="000000" w:themeColor="text1"/>
                <w:sz w:val="26"/>
                <w:szCs w:val="26"/>
              </w:rPr>
              <w:t>22</w:t>
            </w:r>
          </w:p>
        </w:tc>
        <w:tc>
          <w:tcPr>
            <w:tcW w:w="572" w:type="pct"/>
            <w:tcBorders>
              <w:top w:val="single" w:sz="4" w:space="0" w:color="auto"/>
              <w:left w:val="nil"/>
              <w:bottom w:val="single" w:sz="4" w:space="0" w:color="auto"/>
              <w:right w:val="single" w:sz="4" w:space="0" w:color="auto"/>
            </w:tcBorders>
            <w:shd w:val="clear" w:color="auto" w:fill="auto"/>
            <w:noWrap/>
            <w:vAlign w:val="center"/>
            <w:hideMark/>
          </w:tcPr>
          <w:p w14:paraId="076A88D1" w14:textId="77777777" w:rsidR="00C01404" w:rsidRPr="008B619A" w:rsidRDefault="00C01404" w:rsidP="005F4AB4">
            <w:pPr>
              <w:snapToGrid w:val="0"/>
              <w:spacing w:line="0" w:lineRule="atLeast"/>
              <w:jc w:val="center"/>
              <w:rPr>
                <w:rFonts w:ascii="Times New Roman"/>
                <w:color w:val="000000" w:themeColor="text1"/>
                <w:sz w:val="26"/>
                <w:szCs w:val="26"/>
              </w:rPr>
            </w:pPr>
            <w:r w:rsidRPr="008B619A">
              <w:rPr>
                <w:rFonts w:ascii="Times New Roman"/>
                <w:color w:val="000000" w:themeColor="text1"/>
                <w:sz w:val="26"/>
                <w:szCs w:val="26"/>
              </w:rPr>
              <w:t>4.0%</w:t>
            </w:r>
          </w:p>
        </w:tc>
      </w:tr>
      <w:tr w:rsidR="00C01404" w:rsidRPr="008B619A" w14:paraId="09642E1E" w14:textId="77777777" w:rsidTr="00785ADB">
        <w:trPr>
          <w:trHeight w:val="20"/>
          <w:jc w:val="center"/>
        </w:trPr>
        <w:tc>
          <w:tcPr>
            <w:tcW w:w="1302" w:type="pct"/>
            <w:tcBorders>
              <w:top w:val="single" w:sz="4" w:space="0" w:color="auto"/>
              <w:left w:val="single" w:sz="4" w:space="0" w:color="auto"/>
              <w:bottom w:val="single" w:sz="4" w:space="0" w:color="auto"/>
              <w:right w:val="single" w:sz="4" w:space="0" w:color="auto"/>
            </w:tcBorders>
            <w:shd w:val="clear" w:color="auto" w:fill="E5DFEC" w:themeFill="accent4" w:themeFillTint="33"/>
            <w:noWrap/>
            <w:vAlign w:val="center"/>
            <w:hideMark/>
          </w:tcPr>
          <w:p w14:paraId="756BC880" w14:textId="77777777" w:rsidR="00C01404" w:rsidRPr="008B619A" w:rsidRDefault="00C01404" w:rsidP="005F4AB4">
            <w:pPr>
              <w:snapToGrid w:val="0"/>
              <w:spacing w:line="0" w:lineRule="atLeast"/>
              <w:rPr>
                <w:rFonts w:ascii="Times New Roman"/>
                <w:b/>
                <w:bCs/>
                <w:color w:val="000000" w:themeColor="text1"/>
                <w:sz w:val="26"/>
                <w:szCs w:val="26"/>
              </w:rPr>
            </w:pPr>
            <w:r w:rsidRPr="008B619A">
              <w:rPr>
                <w:rFonts w:ascii="Times New Roman"/>
                <w:b/>
                <w:bCs/>
                <w:color w:val="000000" w:themeColor="text1"/>
                <w:sz w:val="26"/>
                <w:szCs w:val="26"/>
              </w:rPr>
              <w:t>總計</w:t>
            </w:r>
          </w:p>
        </w:tc>
        <w:tc>
          <w:tcPr>
            <w:tcW w:w="350" w:type="pct"/>
            <w:tcBorders>
              <w:top w:val="single" w:sz="4" w:space="0" w:color="auto"/>
              <w:left w:val="nil"/>
              <w:bottom w:val="single" w:sz="4" w:space="0" w:color="auto"/>
              <w:right w:val="single" w:sz="4" w:space="0" w:color="auto"/>
            </w:tcBorders>
            <w:shd w:val="clear" w:color="auto" w:fill="auto"/>
            <w:noWrap/>
            <w:vAlign w:val="center"/>
            <w:hideMark/>
          </w:tcPr>
          <w:p w14:paraId="42F7BEE0" w14:textId="77777777" w:rsidR="00C01404" w:rsidRPr="008B619A" w:rsidRDefault="00C01404" w:rsidP="005F4AB4">
            <w:pPr>
              <w:snapToGrid w:val="0"/>
              <w:spacing w:line="0" w:lineRule="atLeast"/>
              <w:jc w:val="right"/>
              <w:rPr>
                <w:rFonts w:ascii="Times New Roman"/>
                <w:color w:val="000000" w:themeColor="text1"/>
                <w:sz w:val="26"/>
                <w:szCs w:val="26"/>
              </w:rPr>
            </w:pPr>
            <w:r w:rsidRPr="008B619A">
              <w:rPr>
                <w:rFonts w:ascii="Times New Roman"/>
                <w:color w:val="000000" w:themeColor="text1"/>
                <w:sz w:val="26"/>
                <w:szCs w:val="26"/>
              </w:rPr>
              <w:t>366</w:t>
            </w:r>
          </w:p>
        </w:tc>
        <w:tc>
          <w:tcPr>
            <w:tcW w:w="621" w:type="pct"/>
            <w:tcBorders>
              <w:top w:val="single" w:sz="4" w:space="0" w:color="auto"/>
              <w:left w:val="nil"/>
              <w:bottom w:val="single" w:sz="4" w:space="0" w:color="auto"/>
              <w:right w:val="single" w:sz="4" w:space="0" w:color="auto"/>
            </w:tcBorders>
            <w:shd w:val="clear" w:color="auto" w:fill="auto"/>
            <w:noWrap/>
            <w:vAlign w:val="center"/>
            <w:hideMark/>
          </w:tcPr>
          <w:p w14:paraId="35627244" w14:textId="77777777" w:rsidR="00C01404" w:rsidRPr="008B619A" w:rsidRDefault="00C01404" w:rsidP="005F4AB4">
            <w:pPr>
              <w:snapToGrid w:val="0"/>
              <w:spacing w:line="0" w:lineRule="atLeast"/>
              <w:jc w:val="right"/>
              <w:rPr>
                <w:rFonts w:ascii="Times New Roman"/>
                <w:color w:val="000000" w:themeColor="text1"/>
                <w:sz w:val="26"/>
                <w:szCs w:val="26"/>
              </w:rPr>
            </w:pPr>
            <w:r w:rsidRPr="008B619A">
              <w:rPr>
                <w:rFonts w:ascii="Times New Roman"/>
                <w:color w:val="000000" w:themeColor="text1"/>
                <w:sz w:val="26"/>
                <w:szCs w:val="26"/>
              </w:rPr>
              <w:t>100.0%</w:t>
            </w:r>
          </w:p>
        </w:tc>
        <w:tc>
          <w:tcPr>
            <w:tcW w:w="349" w:type="pct"/>
            <w:tcBorders>
              <w:top w:val="single" w:sz="4" w:space="0" w:color="auto"/>
              <w:left w:val="nil"/>
              <w:bottom w:val="single" w:sz="4" w:space="0" w:color="auto"/>
              <w:right w:val="single" w:sz="4" w:space="0" w:color="auto"/>
            </w:tcBorders>
            <w:shd w:val="clear" w:color="auto" w:fill="auto"/>
            <w:noWrap/>
            <w:vAlign w:val="center"/>
            <w:hideMark/>
          </w:tcPr>
          <w:p w14:paraId="1CC65AD8" w14:textId="77777777" w:rsidR="00C01404" w:rsidRPr="008B619A" w:rsidRDefault="00C01404" w:rsidP="005F4AB4">
            <w:pPr>
              <w:snapToGrid w:val="0"/>
              <w:spacing w:line="0" w:lineRule="atLeast"/>
              <w:jc w:val="right"/>
              <w:rPr>
                <w:rFonts w:ascii="Times New Roman"/>
                <w:color w:val="000000" w:themeColor="text1"/>
                <w:sz w:val="26"/>
                <w:szCs w:val="26"/>
              </w:rPr>
            </w:pPr>
            <w:r w:rsidRPr="008B619A">
              <w:rPr>
                <w:rFonts w:ascii="Times New Roman"/>
                <w:color w:val="000000" w:themeColor="text1"/>
                <w:sz w:val="26"/>
                <w:szCs w:val="26"/>
              </w:rPr>
              <w:t>56</w:t>
            </w:r>
          </w:p>
        </w:tc>
        <w:tc>
          <w:tcPr>
            <w:tcW w:w="544" w:type="pct"/>
            <w:tcBorders>
              <w:top w:val="single" w:sz="4" w:space="0" w:color="auto"/>
              <w:left w:val="nil"/>
              <w:bottom w:val="single" w:sz="4" w:space="0" w:color="auto"/>
              <w:right w:val="single" w:sz="4" w:space="0" w:color="auto"/>
            </w:tcBorders>
            <w:shd w:val="clear" w:color="auto" w:fill="auto"/>
            <w:noWrap/>
            <w:vAlign w:val="center"/>
            <w:hideMark/>
          </w:tcPr>
          <w:p w14:paraId="0097D688" w14:textId="77777777" w:rsidR="00C01404" w:rsidRPr="008B619A" w:rsidRDefault="00C01404" w:rsidP="005F4AB4">
            <w:pPr>
              <w:snapToGrid w:val="0"/>
              <w:spacing w:line="0" w:lineRule="atLeast"/>
              <w:jc w:val="right"/>
              <w:rPr>
                <w:rFonts w:ascii="Times New Roman"/>
                <w:color w:val="000000" w:themeColor="text1"/>
                <w:sz w:val="26"/>
                <w:szCs w:val="26"/>
              </w:rPr>
            </w:pPr>
            <w:r w:rsidRPr="008B619A">
              <w:rPr>
                <w:rFonts w:ascii="Times New Roman"/>
                <w:color w:val="000000" w:themeColor="text1"/>
                <w:sz w:val="26"/>
                <w:szCs w:val="26"/>
              </w:rPr>
              <w:t>100.0%</w:t>
            </w:r>
          </w:p>
        </w:tc>
        <w:tc>
          <w:tcPr>
            <w:tcW w:w="350" w:type="pct"/>
            <w:tcBorders>
              <w:top w:val="single" w:sz="4" w:space="0" w:color="auto"/>
              <w:left w:val="nil"/>
              <w:bottom w:val="single" w:sz="4" w:space="0" w:color="auto"/>
              <w:right w:val="single" w:sz="4" w:space="0" w:color="auto"/>
            </w:tcBorders>
            <w:shd w:val="clear" w:color="auto" w:fill="auto"/>
            <w:noWrap/>
            <w:vAlign w:val="center"/>
            <w:hideMark/>
          </w:tcPr>
          <w:p w14:paraId="5C0DCC83" w14:textId="77777777" w:rsidR="00C01404" w:rsidRPr="008B619A" w:rsidRDefault="00C01404" w:rsidP="005F4AB4">
            <w:pPr>
              <w:snapToGrid w:val="0"/>
              <w:spacing w:line="0" w:lineRule="atLeast"/>
              <w:jc w:val="right"/>
              <w:rPr>
                <w:rFonts w:ascii="Times New Roman"/>
                <w:color w:val="000000" w:themeColor="text1"/>
                <w:sz w:val="26"/>
                <w:szCs w:val="26"/>
              </w:rPr>
            </w:pPr>
            <w:r w:rsidRPr="008B619A">
              <w:rPr>
                <w:rFonts w:ascii="Times New Roman"/>
                <w:color w:val="000000" w:themeColor="text1"/>
                <w:sz w:val="26"/>
                <w:szCs w:val="26"/>
              </w:rPr>
              <w:t>128</w:t>
            </w:r>
          </w:p>
        </w:tc>
        <w:tc>
          <w:tcPr>
            <w:tcW w:w="544" w:type="pct"/>
            <w:tcBorders>
              <w:top w:val="single" w:sz="4" w:space="0" w:color="auto"/>
              <w:left w:val="nil"/>
              <w:bottom w:val="single" w:sz="4" w:space="0" w:color="auto"/>
              <w:right w:val="single" w:sz="4" w:space="0" w:color="auto"/>
            </w:tcBorders>
            <w:shd w:val="clear" w:color="auto" w:fill="auto"/>
            <w:noWrap/>
            <w:vAlign w:val="center"/>
            <w:hideMark/>
          </w:tcPr>
          <w:p w14:paraId="186BA4C5" w14:textId="77777777" w:rsidR="00C01404" w:rsidRPr="008B619A" w:rsidRDefault="00C01404" w:rsidP="005F4AB4">
            <w:pPr>
              <w:snapToGrid w:val="0"/>
              <w:spacing w:line="0" w:lineRule="atLeast"/>
              <w:jc w:val="right"/>
              <w:rPr>
                <w:rFonts w:ascii="Times New Roman"/>
                <w:color w:val="000000" w:themeColor="text1"/>
                <w:sz w:val="26"/>
                <w:szCs w:val="26"/>
              </w:rPr>
            </w:pPr>
            <w:r w:rsidRPr="008B619A">
              <w:rPr>
                <w:rFonts w:ascii="Times New Roman"/>
                <w:color w:val="000000" w:themeColor="text1"/>
                <w:sz w:val="26"/>
                <w:szCs w:val="26"/>
              </w:rPr>
              <w:t>100.0%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14:paraId="749CDD13" w14:textId="77777777" w:rsidR="00C01404" w:rsidRPr="008B619A" w:rsidRDefault="00C01404" w:rsidP="005F4AB4">
            <w:pPr>
              <w:snapToGrid w:val="0"/>
              <w:spacing w:line="0" w:lineRule="atLeast"/>
              <w:jc w:val="center"/>
              <w:rPr>
                <w:rFonts w:ascii="Times New Roman"/>
                <w:color w:val="000000" w:themeColor="text1"/>
                <w:sz w:val="26"/>
                <w:szCs w:val="26"/>
              </w:rPr>
            </w:pPr>
            <w:r w:rsidRPr="008B619A">
              <w:rPr>
                <w:rFonts w:ascii="Times New Roman"/>
                <w:color w:val="000000" w:themeColor="text1"/>
                <w:sz w:val="26"/>
                <w:szCs w:val="26"/>
              </w:rPr>
              <w:t>550</w:t>
            </w:r>
          </w:p>
        </w:tc>
        <w:tc>
          <w:tcPr>
            <w:tcW w:w="572" w:type="pct"/>
            <w:tcBorders>
              <w:top w:val="single" w:sz="4" w:space="0" w:color="auto"/>
              <w:left w:val="nil"/>
              <w:bottom w:val="single" w:sz="4" w:space="0" w:color="auto"/>
              <w:right w:val="single" w:sz="4" w:space="0" w:color="auto"/>
            </w:tcBorders>
            <w:shd w:val="clear" w:color="auto" w:fill="auto"/>
            <w:noWrap/>
            <w:vAlign w:val="center"/>
            <w:hideMark/>
          </w:tcPr>
          <w:p w14:paraId="40DA14FE" w14:textId="77777777" w:rsidR="00C01404" w:rsidRPr="008B619A" w:rsidRDefault="00C01404" w:rsidP="005F4AB4">
            <w:pPr>
              <w:snapToGrid w:val="0"/>
              <w:spacing w:line="0" w:lineRule="atLeast"/>
              <w:jc w:val="center"/>
              <w:rPr>
                <w:rFonts w:ascii="Times New Roman"/>
                <w:color w:val="000000" w:themeColor="text1"/>
                <w:sz w:val="26"/>
                <w:szCs w:val="26"/>
              </w:rPr>
            </w:pPr>
            <w:r w:rsidRPr="008B619A">
              <w:rPr>
                <w:rFonts w:ascii="Times New Roman"/>
                <w:color w:val="000000" w:themeColor="text1"/>
                <w:sz w:val="26"/>
                <w:szCs w:val="26"/>
              </w:rPr>
              <w:t>100.0%</w:t>
            </w:r>
          </w:p>
        </w:tc>
      </w:tr>
      <w:tr w:rsidR="00C01404" w:rsidRPr="008B619A" w14:paraId="6AB7BBBB" w14:textId="77777777" w:rsidTr="00785ADB">
        <w:trPr>
          <w:trHeight w:val="20"/>
          <w:jc w:val="center"/>
        </w:trPr>
        <w:tc>
          <w:tcPr>
            <w:tcW w:w="1302" w:type="pct"/>
            <w:tcBorders>
              <w:top w:val="single" w:sz="4" w:space="0" w:color="auto"/>
              <w:left w:val="single" w:sz="4" w:space="0" w:color="auto"/>
              <w:bottom w:val="single" w:sz="4" w:space="0" w:color="auto"/>
              <w:right w:val="single" w:sz="4" w:space="0" w:color="auto"/>
            </w:tcBorders>
            <w:shd w:val="clear" w:color="auto" w:fill="E5DFEC" w:themeFill="accent4" w:themeFillTint="33"/>
            <w:noWrap/>
            <w:vAlign w:val="center"/>
            <w:hideMark/>
          </w:tcPr>
          <w:p w14:paraId="6349E035" w14:textId="77777777" w:rsidR="00C01404" w:rsidRPr="008B619A" w:rsidRDefault="00C01404" w:rsidP="005F4AB4">
            <w:pPr>
              <w:spacing w:line="0" w:lineRule="atLeast"/>
              <w:rPr>
                <w:rFonts w:ascii="Times New Roman"/>
                <w:b/>
                <w:bCs/>
                <w:color w:val="000000" w:themeColor="text1"/>
                <w:sz w:val="26"/>
                <w:szCs w:val="26"/>
              </w:rPr>
            </w:pPr>
            <w:r w:rsidRPr="008B619A">
              <w:rPr>
                <w:rFonts w:ascii="Times New Roman"/>
                <w:b/>
                <w:bCs/>
                <w:color w:val="000000" w:themeColor="text1"/>
                <w:sz w:val="26"/>
                <w:szCs w:val="26"/>
              </w:rPr>
              <w:t>統計至</w:t>
            </w:r>
            <w:r w:rsidRPr="008B619A">
              <w:rPr>
                <w:rFonts w:ascii="Times New Roman"/>
                <w:b/>
                <w:bCs/>
                <w:color w:val="000000" w:themeColor="text1"/>
                <w:sz w:val="26"/>
                <w:szCs w:val="26"/>
              </w:rPr>
              <w:t>109</w:t>
            </w:r>
            <w:r w:rsidRPr="008B619A">
              <w:rPr>
                <w:rFonts w:ascii="Times New Roman"/>
                <w:b/>
                <w:bCs/>
                <w:color w:val="000000" w:themeColor="text1"/>
                <w:sz w:val="26"/>
                <w:szCs w:val="26"/>
              </w:rPr>
              <w:t>年</w:t>
            </w:r>
            <w:r w:rsidRPr="008B619A">
              <w:rPr>
                <w:rFonts w:ascii="Times New Roman"/>
                <w:b/>
                <w:bCs/>
                <w:color w:val="000000" w:themeColor="text1"/>
                <w:sz w:val="26"/>
                <w:szCs w:val="26"/>
              </w:rPr>
              <w:t>12</w:t>
            </w:r>
            <w:r w:rsidRPr="008B619A">
              <w:rPr>
                <w:rFonts w:ascii="Times New Roman"/>
                <w:b/>
                <w:bCs/>
                <w:color w:val="000000" w:themeColor="text1"/>
                <w:sz w:val="26"/>
                <w:szCs w:val="26"/>
              </w:rPr>
              <w:t>月</w:t>
            </w:r>
          </w:p>
        </w:tc>
        <w:tc>
          <w:tcPr>
            <w:tcW w:w="3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2B2AA5" w14:textId="77777777" w:rsidR="00C01404" w:rsidRPr="008B619A" w:rsidRDefault="00C01404" w:rsidP="005F4AB4">
            <w:pPr>
              <w:spacing w:line="0" w:lineRule="atLeast"/>
              <w:rPr>
                <w:rFonts w:ascii="Times New Roman"/>
                <w:b/>
                <w:bCs/>
                <w:color w:val="000000" w:themeColor="text1"/>
                <w:sz w:val="26"/>
                <w:szCs w:val="26"/>
              </w:rPr>
            </w:pP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0FCA2B" w14:textId="77777777" w:rsidR="00C01404" w:rsidRPr="008B619A" w:rsidRDefault="00C01404" w:rsidP="005F4AB4">
            <w:pPr>
              <w:spacing w:line="0" w:lineRule="atLeast"/>
              <w:jc w:val="right"/>
              <w:rPr>
                <w:rFonts w:ascii="Times New Roman"/>
                <w:color w:val="000000" w:themeColor="text1"/>
                <w:sz w:val="26"/>
                <w:szCs w:val="26"/>
              </w:rPr>
            </w:pPr>
          </w:p>
        </w:tc>
        <w:tc>
          <w:tcPr>
            <w:tcW w:w="34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CB9F60" w14:textId="77777777" w:rsidR="00C01404" w:rsidRPr="008B619A" w:rsidRDefault="00C01404" w:rsidP="005F4AB4">
            <w:pPr>
              <w:spacing w:line="0" w:lineRule="atLeast"/>
              <w:jc w:val="right"/>
              <w:rPr>
                <w:rFonts w:ascii="Times New Roman"/>
                <w:color w:val="000000" w:themeColor="text1"/>
                <w:sz w:val="26"/>
                <w:szCs w:val="26"/>
              </w:rPr>
            </w:pPr>
          </w:p>
        </w:tc>
        <w:tc>
          <w:tcPr>
            <w:tcW w:w="54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ADF1DA" w14:textId="77777777" w:rsidR="00C01404" w:rsidRPr="008B619A" w:rsidRDefault="00C01404" w:rsidP="005F4AB4">
            <w:pPr>
              <w:spacing w:line="0" w:lineRule="atLeast"/>
              <w:jc w:val="right"/>
              <w:rPr>
                <w:rFonts w:ascii="Times New Roman"/>
                <w:color w:val="000000" w:themeColor="text1"/>
                <w:sz w:val="26"/>
                <w:szCs w:val="26"/>
              </w:rPr>
            </w:pPr>
          </w:p>
        </w:tc>
        <w:tc>
          <w:tcPr>
            <w:tcW w:w="3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241915" w14:textId="77777777" w:rsidR="00C01404" w:rsidRPr="008B619A" w:rsidRDefault="00C01404" w:rsidP="005F4AB4">
            <w:pPr>
              <w:spacing w:line="0" w:lineRule="atLeast"/>
              <w:jc w:val="right"/>
              <w:rPr>
                <w:rFonts w:ascii="Times New Roman"/>
                <w:color w:val="000000" w:themeColor="text1"/>
                <w:sz w:val="26"/>
                <w:szCs w:val="26"/>
              </w:rPr>
            </w:pPr>
          </w:p>
        </w:tc>
        <w:tc>
          <w:tcPr>
            <w:tcW w:w="54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E2E8C9" w14:textId="77777777" w:rsidR="00C01404" w:rsidRPr="008B619A" w:rsidRDefault="00C01404" w:rsidP="005F4AB4">
            <w:pPr>
              <w:spacing w:line="0" w:lineRule="atLeast"/>
              <w:jc w:val="right"/>
              <w:rPr>
                <w:rFonts w:ascii="Times New Roman"/>
                <w:color w:val="000000" w:themeColor="text1"/>
                <w:sz w:val="26"/>
                <w:szCs w:val="26"/>
              </w:rPr>
            </w:pPr>
          </w:p>
        </w:tc>
        <w:tc>
          <w:tcPr>
            <w:tcW w:w="3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093CA9" w14:textId="77777777" w:rsidR="00C01404" w:rsidRPr="008B619A" w:rsidRDefault="00C01404" w:rsidP="005F4AB4">
            <w:pPr>
              <w:spacing w:line="0" w:lineRule="atLeast"/>
              <w:jc w:val="right"/>
              <w:rPr>
                <w:rFonts w:ascii="Times New Roman"/>
                <w:color w:val="000000" w:themeColor="text1"/>
                <w:sz w:val="26"/>
                <w:szCs w:val="26"/>
              </w:rPr>
            </w:pPr>
          </w:p>
        </w:tc>
        <w:tc>
          <w:tcPr>
            <w:tcW w:w="57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6910D6" w14:textId="77777777" w:rsidR="00C01404" w:rsidRPr="008B619A" w:rsidRDefault="00C01404" w:rsidP="005F4AB4">
            <w:pPr>
              <w:spacing w:line="0" w:lineRule="atLeast"/>
              <w:jc w:val="center"/>
              <w:rPr>
                <w:rFonts w:ascii="Times New Roman"/>
                <w:color w:val="000000" w:themeColor="text1"/>
                <w:sz w:val="26"/>
                <w:szCs w:val="26"/>
              </w:rPr>
            </w:pPr>
          </w:p>
        </w:tc>
      </w:tr>
    </w:tbl>
    <w:p w14:paraId="1D48771B" w14:textId="62E89811" w:rsidR="00C01404" w:rsidRPr="008B619A" w:rsidRDefault="00785ADB" w:rsidP="007D4DCD">
      <w:pPr>
        <w:spacing w:afterLines="50" w:after="228"/>
        <w:rPr>
          <w:color w:val="000000" w:themeColor="text1"/>
        </w:rPr>
      </w:pPr>
      <w:r w:rsidRPr="008B619A">
        <w:rPr>
          <w:rFonts w:hint="eastAsia"/>
          <w:color w:val="000000" w:themeColor="text1"/>
          <w:sz w:val="24"/>
          <w:szCs w:val="24"/>
        </w:rPr>
        <w:t>資料來源：科技部座談前說明資料。</w:t>
      </w:r>
    </w:p>
    <w:p w14:paraId="44B481AA" w14:textId="642357BC" w:rsidR="00FE7326" w:rsidRPr="008B619A" w:rsidRDefault="000B60D8" w:rsidP="00086D7F">
      <w:pPr>
        <w:pStyle w:val="4"/>
        <w:rPr>
          <w:color w:val="000000" w:themeColor="text1"/>
        </w:rPr>
      </w:pPr>
      <w:r w:rsidRPr="008B619A">
        <w:rPr>
          <w:rFonts w:hint="eastAsia"/>
          <w:color w:val="000000" w:themeColor="text1"/>
        </w:rPr>
        <w:t>中科院</w:t>
      </w:r>
      <w:r w:rsidR="0071521B" w:rsidRPr="008B619A">
        <w:rPr>
          <w:rFonts w:hint="eastAsia"/>
          <w:color w:val="000000" w:themeColor="text1"/>
        </w:rPr>
        <w:t>主管人員於本院履勘座談會議時復稱，「各大學(如清大應用材料系、成大航太系等)應該要恢復國防相關科技的系所，並與半導體(如台積電)產學合作，才能經驗傳承。例如，中科院電子系統研究所為保障國人安全，結合國防科技跟傳統產業合作，協助臺鐵</w:t>
      </w:r>
      <w:r w:rsidR="00F0213A" w:rsidRPr="008B619A">
        <w:rPr>
          <w:rFonts w:hint="eastAsia"/>
          <w:color w:val="000000" w:themeColor="text1"/>
        </w:rPr>
        <w:t>處理</w:t>
      </w:r>
      <w:r w:rsidR="0071521B" w:rsidRPr="008B619A">
        <w:rPr>
          <w:rFonts w:hint="eastAsia"/>
          <w:color w:val="000000" w:themeColor="text1"/>
        </w:rPr>
        <w:t>翻車案，此外，臺灣高鐵上也有我們中科院的科技，由此可知，國防科技是可以跟傳統產業接軌的，並且可以讓國防科技引領民間產業向上發展。」足見，國內各機關仍需博士人才挹注，相關盤點及供需情形實待後續務實評估。</w:t>
      </w:r>
    </w:p>
    <w:p w14:paraId="4EA45254" w14:textId="67F8665C" w:rsidR="004A5575" w:rsidRPr="008B619A" w:rsidRDefault="00F0669F" w:rsidP="00764936">
      <w:pPr>
        <w:pStyle w:val="3"/>
        <w:rPr>
          <w:color w:val="000000" w:themeColor="text1"/>
        </w:rPr>
      </w:pPr>
      <w:r w:rsidRPr="008B619A">
        <w:rPr>
          <w:rFonts w:hint="eastAsia"/>
          <w:color w:val="000000" w:themeColor="text1"/>
        </w:rPr>
        <w:lastRenderedPageBreak/>
        <w:t>綜</w:t>
      </w:r>
      <w:r w:rsidR="00764936" w:rsidRPr="008B619A">
        <w:rPr>
          <w:rFonts w:hint="eastAsia"/>
          <w:color w:val="000000" w:themeColor="text1"/>
        </w:rPr>
        <w:t>述之</w:t>
      </w:r>
      <w:r w:rsidRPr="008B619A">
        <w:rPr>
          <w:rFonts w:hint="eastAsia"/>
          <w:color w:val="000000" w:themeColor="text1"/>
        </w:rPr>
        <w:t>，</w:t>
      </w:r>
      <w:r w:rsidR="00602C6B" w:rsidRPr="008B619A">
        <w:rPr>
          <w:rFonts w:hint="eastAsia"/>
          <w:color w:val="000000" w:themeColor="text1"/>
        </w:rPr>
        <w:t>高階博士人才係學研及產業競逐之重點，然「學用落差」向為教育機構與產業界的鴻溝之一，根據先進各國培育博士級人才及就業經驗之國際比較發現，因人才供需失衡現象日趨嚴重，英國、美國、新加坡、日本等</w:t>
      </w:r>
      <w:r w:rsidR="00602C6B" w:rsidRPr="008B619A">
        <w:rPr>
          <w:rFonts w:hint="eastAsia"/>
          <w:color w:val="000000" w:themeColor="text1"/>
          <w:szCs w:val="32"/>
        </w:rPr>
        <w:t>多</w:t>
      </w:r>
      <w:r w:rsidR="00602C6B" w:rsidRPr="008B619A">
        <w:rPr>
          <w:rFonts w:hint="eastAsia"/>
          <w:color w:val="000000" w:themeColor="text1"/>
        </w:rPr>
        <w:t>國已</w:t>
      </w:r>
      <w:r w:rsidR="00602C6B" w:rsidRPr="008B619A">
        <w:rPr>
          <w:rFonts w:hint="eastAsia"/>
          <w:color w:val="000000" w:themeColor="text1"/>
          <w:szCs w:val="32"/>
        </w:rPr>
        <w:t>積極發展由學界與產業界共同執行博士級人才培育之產官學合作模式，建立高階博士對接管道；而我國各主管機關業已推動各項對接措施，</w:t>
      </w:r>
      <w:r w:rsidR="00602C6B" w:rsidRPr="008B619A">
        <w:rPr>
          <w:rFonts w:hint="eastAsia"/>
          <w:color w:val="000000" w:themeColor="text1"/>
        </w:rPr>
        <w:t>教育部、科技部及經濟部陸續推動相關政策鼓勵產業與學校共培人才，包括人力躍升培訓及媒合平臺、產學研連結會報、產業高階人才培訓與就業計畫、RAISE、經濟部產業專業人才發展推動計畫等；</w:t>
      </w:r>
      <w:r w:rsidR="008B7C30" w:rsidRPr="008B619A">
        <w:rPr>
          <w:rFonts w:hint="eastAsia"/>
          <w:color w:val="000000" w:themeColor="text1"/>
          <w:szCs w:val="32"/>
        </w:rPr>
        <w:t>惟現行高階</w:t>
      </w:r>
      <w:r w:rsidR="008B7C30" w:rsidRPr="008B619A">
        <w:rPr>
          <w:color w:val="000000" w:themeColor="text1"/>
          <w:szCs w:val="32"/>
        </w:rPr>
        <w:t>人才培育</w:t>
      </w:r>
      <w:r w:rsidR="008B7C30" w:rsidRPr="008B619A">
        <w:rPr>
          <w:rFonts w:hint="eastAsia"/>
          <w:color w:val="000000" w:themeColor="text1"/>
          <w:szCs w:val="32"/>
        </w:rPr>
        <w:t>政策顯</w:t>
      </w:r>
      <w:r w:rsidR="008B7C30" w:rsidRPr="008B619A">
        <w:rPr>
          <w:color w:val="000000" w:themeColor="text1"/>
          <w:szCs w:val="32"/>
        </w:rPr>
        <w:t>非單純教育</w:t>
      </w:r>
      <w:r w:rsidR="008B7C30" w:rsidRPr="008B619A">
        <w:rPr>
          <w:rFonts w:hint="eastAsia"/>
          <w:color w:val="000000" w:themeColor="text1"/>
          <w:szCs w:val="32"/>
        </w:rPr>
        <w:t>議題</w:t>
      </w:r>
      <w:r w:rsidR="008B7C30" w:rsidRPr="008B619A">
        <w:rPr>
          <w:color w:val="000000" w:themeColor="text1"/>
          <w:szCs w:val="32"/>
        </w:rPr>
        <w:t>，</w:t>
      </w:r>
      <w:r w:rsidR="008B7C30" w:rsidRPr="008B619A">
        <w:rPr>
          <w:rFonts w:hint="eastAsia"/>
          <w:color w:val="000000" w:themeColor="text1"/>
          <w:szCs w:val="32"/>
        </w:rPr>
        <w:t>各項產官學配套措施亟待檢討，政府人才推估模式尚缺精準性評估，相關</w:t>
      </w:r>
      <w:r w:rsidR="008B7C30" w:rsidRPr="008B619A">
        <w:rPr>
          <w:color w:val="000000" w:themeColor="text1"/>
          <w:szCs w:val="32"/>
        </w:rPr>
        <w:t>計畫及政府</w:t>
      </w:r>
      <w:r w:rsidR="008B7C30" w:rsidRPr="008B619A">
        <w:rPr>
          <w:rFonts w:hint="eastAsia"/>
          <w:color w:val="000000" w:themeColor="text1"/>
          <w:szCs w:val="32"/>
        </w:rPr>
        <w:t>法人機構等</w:t>
      </w:r>
      <w:r w:rsidR="008B7C30" w:rsidRPr="008B619A">
        <w:rPr>
          <w:color w:val="000000" w:themeColor="text1"/>
          <w:szCs w:val="32"/>
        </w:rPr>
        <w:t>資源</w:t>
      </w:r>
      <w:r w:rsidR="008B7C30" w:rsidRPr="008B619A">
        <w:rPr>
          <w:rFonts w:hint="eastAsia"/>
          <w:color w:val="000000" w:themeColor="text1"/>
          <w:szCs w:val="32"/>
        </w:rPr>
        <w:t>之整合及</w:t>
      </w:r>
      <w:r w:rsidR="008B7C30" w:rsidRPr="008B619A">
        <w:rPr>
          <w:color w:val="000000" w:themeColor="text1"/>
          <w:szCs w:val="32"/>
        </w:rPr>
        <w:t>盤點</w:t>
      </w:r>
      <w:r w:rsidR="008B7C30" w:rsidRPr="008B619A">
        <w:rPr>
          <w:rFonts w:hint="eastAsia"/>
          <w:color w:val="000000" w:themeColor="text1"/>
          <w:szCs w:val="32"/>
        </w:rPr>
        <w:t>亦有改善空間，</w:t>
      </w:r>
      <w:r w:rsidR="008B7C30" w:rsidRPr="008B619A">
        <w:rPr>
          <w:rFonts w:hAnsi="標楷體" w:hint="eastAsia"/>
          <w:color w:val="000000" w:themeColor="text1"/>
        </w:rPr>
        <w:t>況</w:t>
      </w:r>
      <w:r w:rsidR="008B7C30" w:rsidRPr="008B619A">
        <w:rPr>
          <w:rFonts w:hint="eastAsia"/>
          <w:color w:val="000000" w:themeColor="text1"/>
          <w:szCs w:val="32"/>
        </w:rPr>
        <w:t>基於產業結構變化快速，人才缺口之培育彈性及量能效果仍屬有限</w:t>
      </w:r>
      <w:r w:rsidR="008B7C30" w:rsidRPr="008B619A">
        <w:rPr>
          <w:rFonts w:hAnsi="標楷體" w:hint="eastAsia"/>
          <w:color w:val="000000" w:themeColor="text1"/>
        </w:rPr>
        <w:t>，如以臺灣的關鍵產業半導體產業人才斷層危機</w:t>
      </w:r>
      <w:r w:rsidR="008B7C30" w:rsidRPr="008B619A">
        <w:rPr>
          <w:rFonts w:ascii="Times New Roman" w:hAnsi="Times New Roman"/>
          <w:color w:val="000000" w:themeColor="text1"/>
        </w:rPr>
        <w:t>為例，主管機關雖已推動計畫因應，然而現階段</w:t>
      </w:r>
      <w:r w:rsidR="008B7C30" w:rsidRPr="008B619A">
        <w:rPr>
          <w:rFonts w:ascii="Times New Roman" w:hAnsi="Times New Roman"/>
          <w:color w:val="000000" w:themeColor="text1"/>
          <w:szCs w:val="32"/>
        </w:rPr>
        <w:t>配合前瞻基礎建設計畫推動，</w:t>
      </w:r>
      <w:r w:rsidR="008B7C30" w:rsidRPr="008B619A">
        <w:rPr>
          <w:rFonts w:ascii="Times New Roman" w:hAnsi="Times New Roman"/>
          <w:color w:val="000000" w:themeColor="text1"/>
        </w:rPr>
        <w:t>預估</w:t>
      </w:r>
      <w:r w:rsidR="008B7C30" w:rsidRPr="008B619A">
        <w:rPr>
          <w:rFonts w:ascii="Times New Roman" w:hAnsi="Times New Roman"/>
          <w:color w:val="000000" w:themeColor="text1"/>
          <w:szCs w:val="32"/>
        </w:rPr>
        <w:t>未來將面臨長達</w:t>
      </w:r>
      <w:r w:rsidR="008B7C30" w:rsidRPr="008B619A">
        <w:rPr>
          <w:rFonts w:ascii="Times New Roman" w:hAnsi="Times New Roman"/>
          <w:color w:val="000000" w:themeColor="text1"/>
          <w:szCs w:val="32"/>
        </w:rPr>
        <w:t>10</w:t>
      </w:r>
      <w:r w:rsidR="008B7C30" w:rsidRPr="008B619A">
        <w:rPr>
          <w:rFonts w:ascii="Times New Roman" w:hAnsi="Times New Roman"/>
          <w:color w:val="000000" w:themeColor="text1"/>
          <w:szCs w:val="32"/>
        </w:rPr>
        <w:t>年之半導體產業人才缺口，爰</w:t>
      </w:r>
      <w:r w:rsidR="008B7C30" w:rsidRPr="008B619A">
        <w:rPr>
          <w:rFonts w:ascii="Times New Roman" w:hAnsi="Times New Roman"/>
          <w:color w:val="000000" w:themeColor="text1"/>
        </w:rPr>
        <w:t>政府</w:t>
      </w:r>
      <w:r w:rsidR="008B7C30" w:rsidRPr="008B619A">
        <w:rPr>
          <w:rFonts w:ascii="Times New Roman" w:hAnsi="Times New Roman"/>
          <w:color w:val="000000" w:themeColor="text1"/>
          <w:szCs w:val="32"/>
        </w:rPr>
        <w:t>允宜再行檢討高階人</w:t>
      </w:r>
      <w:r w:rsidR="008B7C30" w:rsidRPr="008B619A">
        <w:rPr>
          <w:rFonts w:hint="eastAsia"/>
          <w:color w:val="000000" w:themeColor="text1"/>
          <w:szCs w:val="32"/>
        </w:rPr>
        <w:t>才之推估調查，並積極強化業界挹注人才培育之誘因，善盡社會企業責任，以收綜效。</w:t>
      </w:r>
    </w:p>
    <w:p w14:paraId="0F7F3B54" w14:textId="77777777" w:rsidR="004E76E0" w:rsidRPr="008B619A" w:rsidRDefault="004E76E0" w:rsidP="004E76E0">
      <w:pPr>
        <w:rPr>
          <w:color w:val="000000" w:themeColor="text1"/>
        </w:rPr>
      </w:pPr>
    </w:p>
    <w:p w14:paraId="5121710E" w14:textId="573A24D0" w:rsidR="001E065E" w:rsidRPr="008B619A" w:rsidRDefault="00BF4507" w:rsidP="004C6CDF">
      <w:pPr>
        <w:pStyle w:val="2"/>
        <w:ind w:leftChars="102" w:left="1028"/>
        <w:rPr>
          <w:b/>
          <w:bCs w:val="0"/>
          <w:color w:val="000000" w:themeColor="text1"/>
        </w:rPr>
      </w:pPr>
      <w:bookmarkStart w:id="77" w:name="_Toc76980138"/>
      <w:r w:rsidRPr="008B619A">
        <w:rPr>
          <w:rFonts w:hint="eastAsia"/>
          <w:b/>
          <w:bCs w:val="0"/>
          <w:color w:val="000000" w:themeColor="text1"/>
        </w:rPr>
        <w:t>現行</w:t>
      </w:r>
      <w:r w:rsidR="001E065E" w:rsidRPr="008B619A">
        <w:rPr>
          <w:rFonts w:hint="eastAsia"/>
          <w:b/>
          <w:bCs w:val="0"/>
          <w:color w:val="000000" w:themeColor="text1"/>
        </w:rPr>
        <w:t>科技</w:t>
      </w:r>
      <w:r w:rsidR="00C54D4D" w:rsidRPr="008B619A">
        <w:rPr>
          <w:rFonts w:hint="eastAsia"/>
          <w:b/>
          <w:bCs w:val="0"/>
          <w:color w:val="000000" w:themeColor="text1"/>
        </w:rPr>
        <w:t>及產業</w:t>
      </w:r>
      <w:r w:rsidR="001E065E" w:rsidRPr="008B619A">
        <w:rPr>
          <w:rFonts w:hint="eastAsia"/>
          <w:b/>
          <w:bCs w:val="0"/>
          <w:color w:val="000000" w:themeColor="text1"/>
        </w:rPr>
        <w:t>發展策略藍圖</w:t>
      </w:r>
      <w:r w:rsidR="00C54D4D" w:rsidRPr="008B619A">
        <w:rPr>
          <w:rFonts w:hint="eastAsia"/>
          <w:b/>
          <w:bCs w:val="0"/>
          <w:color w:val="000000" w:themeColor="text1"/>
        </w:rPr>
        <w:t>係將</w:t>
      </w:r>
      <w:r w:rsidR="001E065E" w:rsidRPr="008B619A">
        <w:rPr>
          <w:rFonts w:hint="eastAsia"/>
          <w:b/>
          <w:bCs w:val="0"/>
          <w:color w:val="000000" w:themeColor="text1"/>
        </w:rPr>
        <w:t>「以人為本」為核心理念之一</w:t>
      </w:r>
      <w:r w:rsidR="00EB4887" w:rsidRPr="008B619A">
        <w:rPr>
          <w:rFonts w:hint="eastAsia"/>
          <w:b/>
          <w:bCs w:val="0"/>
          <w:color w:val="000000" w:themeColor="text1"/>
        </w:rPr>
        <w:t>，</w:t>
      </w:r>
      <w:r w:rsidR="007C723D" w:rsidRPr="008B619A">
        <w:rPr>
          <w:rFonts w:hint="eastAsia"/>
          <w:b/>
          <w:bCs w:val="0"/>
          <w:color w:val="000000" w:themeColor="text1"/>
        </w:rPr>
        <w:t>彰顯科技與</w:t>
      </w:r>
      <w:r w:rsidR="002C4BCE" w:rsidRPr="008B619A">
        <w:rPr>
          <w:rFonts w:hint="eastAsia"/>
          <w:b/>
          <w:bCs w:val="0"/>
          <w:color w:val="000000" w:themeColor="text1"/>
        </w:rPr>
        <w:t>人文之跨</w:t>
      </w:r>
      <w:r w:rsidR="0080628E" w:rsidRPr="008B619A">
        <w:rPr>
          <w:rFonts w:hint="eastAsia"/>
          <w:b/>
          <w:bCs w:val="0"/>
          <w:color w:val="000000" w:themeColor="text1"/>
        </w:rPr>
        <w:t>領域</w:t>
      </w:r>
      <w:r w:rsidR="00F8448D" w:rsidRPr="008B619A">
        <w:rPr>
          <w:rFonts w:hint="eastAsia"/>
          <w:b/>
          <w:bCs w:val="0"/>
          <w:color w:val="000000" w:themeColor="text1"/>
        </w:rPr>
        <w:t>價值</w:t>
      </w:r>
      <w:r w:rsidR="0080628E" w:rsidRPr="008B619A">
        <w:rPr>
          <w:rFonts w:hint="eastAsia"/>
          <w:b/>
          <w:bCs w:val="0"/>
          <w:color w:val="000000" w:themeColor="text1"/>
        </w:rPr>
        <w:t>，</w:t>
      </w:r>
      <w:r w:rsidR="006945E4" w:rsidRPr="008B619A">
        <w:rPr>
          <w:rFonts w:hint="eastAsia"/>
          <w:b/>
          <w:bCs w:val="0"/>
          <w:color w:val="000000" w:themeColor="text1"/>
        </w:rPr>
        <w:t>惟</w:t>
      </w:r>
      <w:r w:rsidR="003B4BA6" w:rsidRPr="008B619A">
        <w:rPr>
          <w:rFonts w:hint="eastAsia"/>
          <w:b/>
          <w:bCs w:val="0"/>
          <w:color w:val="000000" w:themeColor="text1"/>
        </w:rPr>
        <w:t>我國</w:t>
      </w:r>
      <w:r w:rsidR="00314649" w:rsidRPr="008B619A">
        <w:rPr>
          <w:rFonts w:hint="eastAsia"/>
          <w:b/>
          <w:bCs w:val="0"/>
          <w:color w:val="000000" w:themeColor="text1"/>
        </w:rPr>
        <w:t>近10年博士班學科人數結構趨勢顯示，108學年度科技類學生數為</w:t>
      </w:r>
      <w:r w:rsidR="00314649" w:rsidRPr="008B619A">
        <w:rPr>
          <w:b/>
          <w:bCs w:val="0"/>
          <w:color w:val="000000" w:themeColor="text1"/>
        </w:rPr>
        <w:t>16,853</w:t>
      </w:r>
      <w:r w:rsidR="00314649" w:rsidRPr="008B619A">
        <w:rPr>
          <w:rFonts w:hint="eastAsia"/>
          <w:b/>
          <w:bCs w:val="0"/>
          <w:color w:val="000000" w:themeColor="text1"/>
        </w:rPr>
        <w:t>人（占</w:t>
      </w:r>
      <w:r w:rsidR="00314649" w:rsidRPr="008B619A">
        <w:rPr>
          <w:b/>
          <w:bCs w:val="0"/>
          <w:color w:val="000000" w:themeColor="text1"/>
        </w:rPr>
        <w:t>59.1</w:t>
      </w:r>
      <w:r w:rsidR="00314649" w:rsidRPr="008B619A">
        <w:rPr>
          <w:rFonts w:hint="eastAsia"/>
          <w:b/>
          <w:bCs w:val="0"/>
          <w:color w:val="000000" w:themeColor="text1"/>
        </w:rPr>
        <w:t>%），與99學年</w:t>
      </w:r>
      <w:r w:rsidR="00314649" w:rsidRPr="008B619A">
        <w:rPr>
          <w:b/>
          <w:bCs w:val="0"/>
          <w:color w:val="000000" w:themeColor="text1"/>
        </w:rPr>
        <w:t>23,261</w:t>
      </w:r>
      <w:r w:rsidR="00314649" w:rsidRPr="008B619A">
        <w:rPr>
          <w:rFonts w:hint="eastAsia"/>
          <w:b/>
          <w:bCs w:val="0"/>
          <w:color w:val="000000" w:themeColor="text1"/>
        </w:rPr>
        <w:t>人（占68.1%）相較，</w:t>
      </w:r>
      <w:r w:rsidR="00C12624" w:rsidRPr="008B619A">
        <w:rPr>
          <w:rFonts w:hint="eastAsia"/>
          <w:b/>
          <w:bCs w:val="0"/>
          <w:color w:val="000000" w:themeColor="text1"/>
        </w:rPr>
        <w:t>已</w:t>
      </w:r>
      <w:r w:rsidR="00314649" w:rsidRPr="008B619A">
        <w:rPr>
          <w:rFonts w:hint="eastAsia"/>
          <w:b/>
          <w:bCs w:val="0"/>
          <w:color w:val="000000" w:themeColor="text1"/>
        </w:rPr>
        <w:t>減少6,405人，科技類（即理工領域</w:t>
      </w:r>
      <w:r w:rsidR="00314649" w:rsidRPr="008B619A">
        <w:rPr>
          <w:rFonts w:ascii="新細明體" w:eastAsia="新細明體" w:hAnsi="新細明體" w:cs="新細明體" w:hint="eastAsia"/>
          <w:b/>
          <w:bCs w:val="0"/>
          <w:color w:val="000000" w:themeColor="text1"/>
        </w:rPr>
        <w:t>）</w:t>
      </w:r>
      <w:r w:rsidR="00314649" w:rsidRPr="008B619A">
        <w:rPr>
          <w:rFonts w:hint="eastAsia"/>
          <w:b/>
          <w:bCs w:val="0"/>
          <w:color w:val="000000" w:themeColor="text1"/>
        </w:rPr>
        <w:t>人才因就業相對容易，且創新創業氛圍濃厚，降低攻讀博士班意願，學生數占比下降9%；人文類及</w:t>
      </w:r>
      <w:r w:rsidR="00314649" w:rsidRPr="008B619A">
        <w:rPr>
          <w:rFonts w:hint="eastAsia"/>
          <w:b/>
          <w:bCs w:val="0"/>
          <w:color w:val="000000" w:themeColor="text1"/>
        </w:rPr>
        <w:lastRenderedPageBreak/>
        <w:t>社會類則分別上升5.6%及3.3%，</w:t>
      </w:r>
      <w:r w:rsidR="00206F62" w:rsidRPr="008B619A">
        <w:rPr>
          <w:rFonts w:hint="eastAsia"/>
          <w:b/>
          <w:bCs w:val="0"/>
          <w:color w:val="000000" w:themeColor="text1"/>
        </w:rPr>
        <w:t>差距逐年提升</w:t>
      </w:r>
      <w:r w:rsidR="0087312E" w:rsidRPr="008B619A">
        <w:rPr>
          <w:rFonts w:hint="eastAsia"/>
          <w:b/>
          <w:bCs w:val="0"/>
          <w:color w:val="000000" w:themeColor="text1"/>
        </w:rPr>
        <w:t>，</w:t>
      </w:r>
      <w:r w:rsidR="00AA0872" w:rsidRPr="008B619A">
        <w:rPr>
          <w:rFonts w:hAnsi="標楷體" w:hint="eastAsia"/>
          <w:b/>
          <w:bCs w:val="0"/>
          <w:color w:val="000000" w:themeColor="text1"/>
        </w:rPr>
        <w:t>且依</w:t>
      </w:r>
      <w:r w:rsidR="000F4089" w:rsidRPr="008B619A">
        <w:rPr>
          <w:rFonts w:hAnsi="標楷體"/>
          <w:b/>
          <w:bCs w:val="0"/>
          <w:color w:val="000000" w:themeColor="text1"/>
        </w:rPr>
        <w:t>瑞士洛桑管理學院（IMD）</w:t>
      </w:r>
      <w:r w:rsidR="000F4089" w:rsidRPr="008B619A">
        <w:rPr>
          <w:rFonts w:hAnsi="標楷體" w:hint="eastAsia"/>
          <w:b/>
          <w:bCs w:val="0"/>
          <w:color w:val="000000" w:themeColor="text1"/>
        </w:rPr>
        <w:t>「2020年IMD世界人才排名報告」資料</w:t>
      </w:r>
      <w:r w:rsidR="00AE6863" w:rsidRPr="008B619A">
        <w:rPr>
          <w:rFonts w:hAnsi="標楷體" w:hint="eastAsia"/>
          <w:b/>
          <w:bCs w:val="0"/>
          <w:color w:val="000000" w:themeColor="text1"/>
        </w:rPr>
        <w:t>亦</w:t>
      </w:r>
      <w:r w:rsidR="000F4089" w:rsidRPr="008B619A">
        <w:rPr>
          <w:rFonts w:hAnsi="標楷體" w:hint="eastAsia"/>
          <w:b/>
          <w:bCs w:val="0"/>
          <w:color w:val="000000" w:themeColor="text1"/>
        </w:rPr>
        <w:t>顯示，我國學校科學教育STEM領域</w:t>
      </w:r>
      <w:r w:rsidR="007D34CD" w:rsidRPr="008B619A">
        <w:rPr>
          <w:rFonts w:hAnsi="標楷體" w:hint="eastAsia"/>
          <w:b/>
          <w:bCs w:val="0"/>
          <w:color w:val="000000" w:themeColor="text1"/>
        </w:rPr>
        <w:t>之</w:t>
      </w:r>
      <w:r w:rsidR="000F4089" w:rsidRPr="008B619A">
        <w:rPr>
          <w:rFonts w:hAnsi="標楷體" w:hint="eastAsia"/>
          <w:b/>
          <w:bCs w:val="0"/>
          <w:color w:val="000000" w:themeColor="text1"/>
        </w:rPr>
        <w:t>大學畢業生占比，自2019年33.2%降至2020年32.9%，顯示數位人才培育</w:t>
      </w:r>
      <w:r w:rsidR="00CA11C0" w:rsidRPr="008B619A">
        <w:rPr>
          <w:rFonts w:hAnsi="標楷體" w:hint="eastAsia"/>
          <w:b/>
          <w:bCs w:val="0"/>
          <w:color w:val="000000" w:themeColor="text1"/>
        </w:rPr>
        <w:t>仍</w:t>
      </w:r>
      <w:r w:rsidR="00276CBC" w:rsidRPr="008B619A">
        <w:rPr>
          <w:rFonts w:hAnsi="標楷體" w:hint="eastAsia"/>
          <w:b/>
          <w:bCs w:val="0"/>
          <w:color w:val="000000" w:themeColor="text1"/>
        </w:rPr>
        <w:t>待</w:t>
      </w:r>
      <w:r w:rsidR="000F4089" w:rsidRPr="008B619A">
        <w:rPr>
          <w:rFonts w:hAnsi="標楷體" w:hint="eastAsia"/>
          <w:b/>
          <w:bCs w:val="0"/>
          <w:color w:val="000000" w:themeColor="text1"/>
        </w:rPr>
        <w:t>強化</w:t>
      </w:r>
      <w:r w:rsidR="00C57096" w:rsidRPr="008B619A">
        <w:rPr>
          <w:rFonts w:hAnsi="標楷體" w:hint="eastAsia"/>
          <w:b/>
          <w:bCs w:val="0"/>
          <w:color w:val="000000" w:themeColor="text1"/>
        </w:rPr>
        <w:t>，況</w:t>
      </w:r>
      <w:r w:rsidR="006D7F52" w:rsidRPr="008B619A">
        <w:rPr>
          <w:rFonts w:hint="eastAsia"/>
          <w:b/>
          <w:bCs w:val="0"/>
          <w:color w:val="000000" w:themeColor="text1"/>
        </w:rPr>
        <w:t>市場雖</w:t>
      </w:r>
      <w:r w:rsidR="00366089" w:rsidRPr="008B619A">
        <w:rPr>
          <w:rFonts w:hint="eastAsia"/>
          <w:b/>
          <w:bCs w:val="0"/>
          <w:color w:val="000000" w:themeColor="text1"/>
        </w:rPr>
        <w:t>趨勢</w:t>
      </w:r>
      <w:r w:rsidR="006D7F52" w:rsidRPr="008B619A">
        <w:rPr>
          <w:rFonts w:hint="eastAsia"/>
          <w:b/>
          <w:bCs w:val="0"/>
          <w:color w:val="000000" w:themeColor="text1"/>
        </w:rPr>
        <w:t>逐漸趨向跨域整合學習，並導入國際視野，</w:t>
      </w:r>
      <w:r w:rsidR="009246CC" w:rsidRPr="008B619A">
        <w:rPr>
          <w:rFonts w:hint="eastAsia"/>
          <w:b/>
          <w:bCs w:val="0"/>
          <w:color w:val="000000" w:themeColor="text1"/>
          <w:szCs w:val="32"/>
        </w:rPr>
        <w:t>然</w:t>
      </w:r>
      <w:r w:rsidR="00ED3E04" w:rsidRPr="008B619A">
        <w:rPr>
          <w:rFonts w:hint="eastAsia"/>
          <w:b/>
          <w:bCs w:val="0"/>
          <w:color w:val="000000" w:themeColor="text1"/>
        </w:rPr>
        <w:t>整合型博士領域</w:t>
      </w:r>
      <w:r w:rsidR="007855F4" w:rsidRPr="008B619A">
        <w:rPr>
          <w:rFonts w:hint="eastAsia"/>
          <w:b/>
          <w:bCs w:val="0"/>
          <w:color w:val="000000" w:themeColor="text1"/>
        </w:rPr>
        <w:t>之</w:t>
      </w:r>
      <w:r w:rsidR="00ED3E04" w:rsidRPr="008B619A">
        <w:rPr>
          <w:rFonts w:hint="eastAsia"/>
          <w:b/>
          <w:bCs w:val="0"/>
          <w:color w:val="000000" w:themeColor="text1"/>
        </w:rPr>
        <w:t>相對機會未見明顯提升，</w:t>
      </w:r>
      <w:r w:rsidR="006945E4" w:rsidRPr="008B619A">
        <w:rPr>
          <w:rFonts w:hint="eastAsia"/>
          <w:b/>
          <w:bCs w:val="0"/>
          <w:color w:val="000000" w:themeColor="text1"/>
          <w:szCs w:val="32"/>
        </w:rPr>
        <w:t>除產業科技領域博士就業尚無虞外，</w:t>
      </w:r>
      <w:r w:rsidR="00596383" w:rsidRPr="008B619A">
        <w:rPr>
          <w:rFonts w:hint="eastAsia"/>
          <w:b/>
          <w:bCs w:val="0"/>
          <w:color w:val="000000" w:themeColor="text1"/>
        </w:rPr>
        <w:t>未來強調科技人文共融之前提，宜紮根STEM教育</w:t>
      </w:r>
      <w:r w:rsidR="00F84A1C" w:rsidRPr="008B619A">
        <w:rPr>
          <w:rFonts w:hint="eastAsia"/>
          <w:b/>
          <w:bCs w:val="0"/>
          <w:color w:val="000000" w:themeColor="text1"/>
        </w:rPr>
        <w:t>，培育教師</w:t>
      </w:r>
      <w:r w:rsidR="00434DBF" w:rsidRPr="008B619A">
        <w:rPr>
          <w:rFonts w:hint="eastAsia"/>
          <w:b/>
          <w:bCs w:val="0"/>
          <w:color w:val="000000" w:themeColor="text1"/>
        </w:rPr>
        <w:t>教導跨學科學習技能</w:t>
      </w:r>
      <w:r w:rsidR="00596383" w:rsidRPr="008B619A">
        <w:rPr>
          <w:rFonts w:hint="eastAsia"/>
          <w:b/>
          <w:bCs w:val="0"/>
          <w:color w:val="000000" w:themeColor="text1"/>
        </w:rPr>
        <w:t>，</w:t>
      </w:r>
      <w:r w:rsidR="00686710" w:rsidRPr="008B619A">
        <w:rPr>
          <w:b/>
          <w:bCs w:val="0"/>
          <w:color w:val="000000" w:themeColor="text1"/>
        </w:rPr>
        <w:t>關注人文創新及其與科技</w:t>
      </w:r>
      <w:r w:rsidR="002A15C1" w:rsidRPr="008B619A">
        <w:rPr>
          <w:rFonts w:hint="eastAsia"/>
          <w:b/>
          <w:bCs w:val="0"/>
          <w:color w:val="000000" w:themeColor="text1"/>
        </w:rPr>
        <w:t>領域</w:t>
      </w:r>
      <w:r w:rsidR="00686710" w:rsidRPr="008B619A">
        <w:rPr>
          <w:b/>
          <w:bCs w:val="0"/>
          <w:color w:val="000000" w:themeColor="text1"/>
        </w:rPr>
        <w:t>的連結</w:t>
      </w:r>
      <w:r w:rsidR="00237D6A" w:rsidRPr="008B619A">
        <w:rPr>
          <w:rFonts w:hint="eastAsia"/>
          <w:b/>
          <w:bCs w:val="0"/>
          <w:color w:val="000000" w:themeColor="text1"/>
        </w:rPr>
        <w:t>，</w:t>
      </w:r>
      <w:r w:rsidR="002C6DCE" w:rsidRPr="008B619A">
        <w:rPr>
          <w:rFonts w:hint="eastAsia"/>
          <w:b/>
          <w:bCs w:val="0"/>
          <w:color w:val="000000" w:themeColor="text1"/>
        </w:rPr>
        <w:t>促進人文、科技跨域共融，</w:t>
      </w:r>
      <w:r w:rsidR="00237D6A" w:rsidRPr="008B619A">
        <w:rPr>
          <w:rFonts w:hint="eastAsia"/>
          <w:b/>
          <w:bCs w:val="0"/>
          <w:color w:val="000000" w:themeColor="text1"/>
        </w:rPr>
        <w:t>深耕</w:t>
      </w:r>
      <w:r w:rsidR="00777D7C" w:rsidRPr="008B619A">
        <w:rPr>
          <w:rFonts w:hint="eastAsia"/>
          <w:b/>
          <w:bCs w:val="0"/>
          <w:color w:val="000000" w:themeColor="text1"/>
        </w:rPr>
        <w:t>科研能量</w:t>
      </w:r>
      <w:r w:rsidR="00686710" w:rsidRPr="008B619A">
        <w:rPr>
          <w:b/>
          <w:bCs w:val="0"/>
          <w:color w:val="000000" w:themeColor="text1"/>
        </w:rPr>
        <w:t>，</w:t>
      </w:r>
      <w:r w:rsidR="00596383" w:rsidRPr="008B619A">
        <w:rPr>
          <w:rFonts w:hint="eastAsia"/>
          <w:b/>
          <w:bCs w:val="0"/>
          <w:color w:val="000000" w:themeColor="text1"/>
        </w:rPr>
        <w:t>促成產業積極進用跨域博士人才，</w:t>
      </w:r>
      <w:r w:rsidR="000A7AA8" w:rsidRPr="008B619A">
        <w:rPr>
          <w:rFonts w:hint="eastAsia"/>
          <w:b/>
          <w:bCs w:val="0"/>
          <w:color w:val="000000" w:themeColor="text1"/>
        </w:rPr>
        <w:t>整合產學研能量與跨域資源，</w:t>
      </w:r>
      <w:r w:rsidR="00A26881" w:rsidRPr="008B619A">
        <w:rPr>
          <w:b/>
          <w:bCs w:val="0"/>
          <w:color w:val="000000" w:themeColor="text1"/>
        </w:rPr>
        <w:t>厚植</w:t>
      </w:r>
      <w:r w:rsidR="0097755F" w:rsidRPr="008B619A">
        <w:rPr>
          <w:rFonts w:hint="eastAsia"/>
          <w:b/>
          <w:bCs w:val="0"/>
          <w:color w:val="000000" w:themeColor="text1"/>
        </w:rPr>
        <w:t>未來</w:t>
      </w:r>
      <w:r w:rsidR="00205084" w:rsidRPr="008B619A">
        <w:rPr>
          <w:rFonts w:hint="eastAsia"/>
          <w:b/>
          <w:bCs w:val="0"/>
          <w:color w:val="000000" w:themeColor="text1"/>
        </w:rPr>
        <w:t>高階</w:t>
      </w:r>
      <w:r w:rsidR="005F2725" w:rsidRPr="008B619A">
        <w:rPr>
          <w:rFonts w:hint="eastAsia"/>
          <w:b/>
          <w:bCs w:val="0"/>
          <w:color w:val="000000" w:themeColor="text1"/>
        </w:rPr>
        <w:t>人才</w:t>
      </w:r>
      <w:r w:rsidR="00596383" w:rsidRPr="008B619A">
        <w:rPr>
          <w:rFonts w:hint="eastAsia"/>
          <w:b/>
          <w:bCs w:val="0"/>
          <w:color w:val="000000" w:themeColor="text1"/>
        </w:rPr>
        <w:t>就業及產業之前景</w:t>
      </w:r>
      <w:bookmarkEnd w:id="77"/>
    </w:p>
    <w:p w14:paraId="2E2CA167" w14:textId="1B2617DB" w:rsidR="00F90990" w:rsidRPr="008B619A" w:rsidRDefault="005B6741" w:rsidP="006400F0">
      <w:pPr>
        <w:pStyle w:val="3"/>
        <w:rPr>
          <w:color w:val="000000" w:themeColor="text1"/>
        </w:rPr>
      </w:pPr>
      <w:r w:rsidRPr="008B619A">
        <w:rPr>
          <w:rFonts w:hint="eastAsia"/>
          <w:color w:val="000000" w:themeColor="text1"/>
        </w:rPr>
        <w:t>按</w:t>
      </w:r>
      <w:r w:rsidR="009B5B0C" w:rsidRPr="008B619A">
        <w:rPr>
          <w:rFonts w:hAnsi="標楷體" w:hint="eastAsia"/>
          <w:color w:val="000000" w:themeColor="text1"/>
        </w:rPr>
        <w:t>「</w:t>
      </w:r>
      <w:r w:rsidRPr="008B619A">
        <w:rPr>
          <w:rFonts w:hint="eastAsia"/>
          <w:color w:val="000000" w:themeColor="text1"/>
        </w:rPr>
        <w:t>科學技術基本法」</w:t>
      </w:r>
      <w:r w:rsidR="008071A9" w:rsidRPr="008B619A">
        <w:rPr>
          <w:rFonts w:hint="eastAsia"/>
          <w:color w:val="000000" w:themeColor="text1"/>
        </w:rPr>
        <w:t>第10條</w:t>
      </w:r>
      <w:r w:rsidR="008071A9" w:rsidRPr="008B619A">
        <w:rPr>
          <w:rFonts w:hAnsi="標楷體" w:hint="eastAsia"/>
          <w:color w:val="000000" w:themeColor="text1"/>
        </w:rPr>
        <w:t>第</w:t>
      </w:r>
      <w:r w:rsidR="008071A9" w:rsidRPr="008B619A">
        <w:rPr>
          <w:rFonts w:hAnsi="標楷體"/>
          <w:color w:val="000000" w:themeColor="text1"/>
        </w:rPr>
        <w:t>1</w:t>
      </w:r>
      <w:r w:rsidR="008071A9" w:rsidRPr="008B619A">
        <w:rPr>
          <w:rFonts w:hAnsi="標楷體" w:hint="eastAsia"/>
          <w:color w:val="000000" w:themeColor="text1"/>
        </w:rPr>
        <w:t>項</w:t>
      </w:r>
      <w:r w:rsidR="008071A9" w:rsidRPr="008B619A">
        <w:rPr>
          <w:rFonts w:hint="eastAsia"/>
          <w:color w:val="000000" w:themeColor="text1"/>
        </w:rPr>
        <w:t>規定</w:t>
      </w:r>
      <w:r w:rsidRPr="008B619A">
        <w:rPr>
          <w:rFonts w:hint="eastAsia"/>
          <w:color w:val="000000" w:themeColor="text1"/>
        </w:rPr>
        <w:t>，</w:t>
      </w:r>
      <w:r w:rsidR="003121C7" w:rsidRPr="008B619A">
        <w:rPr>
          <w:rFonts w:hAnsi="標楷體" w:hint="eastAsia"/>
          <w:color w:val="000000" w:themeColor="text1"/>
        </w:rPr>
        <w:t>「</w:t>
      </w:r>
      <w:r w:rsidR="00154F36" w:rsidRPr="008B619A">
        <w:rPr>
          <w:rFonts w:hAnsi="標楷體" w:hint="eastAsia"/>
          <w:color w:val="000000" w:themeColor="text1"/>
        </w:rPr>
        <w:t>政府應考量國家發展方向、社會需求情形及區域均衡發展，每4年訂定國家科學技術發展計畫，作為擬訂科學技術政策與推動科學技術研究發展之依據</w:t>
      </w:r>
      <w:r w:rsidR="003121C7" w:rsidRPr="008B619A">
        <w:rPr>
          <w:rFonts w:hAnsi="標楷體" w:hint="eastAsia"/>
          <w:color w:val="000000" w:themeColor="text1"/>
        </w:rPr>
        <w:t>」</w:t>
      </w:r>
      <w:r w:rsidR="003C1A6A" w:rsidRPr="008B619A">
        <w:rPr>
          <w:rFonts w:hAnsi="標楷體" w:hint="eastAsia"/>
          <w:color w:val="000000" w:themeColor="text1"/>
        </w:rPr>
        <w:t>。</w:t>
      </w:r>
      <w:r w:rsidR="001D5DFB" w:rsidRPr="008B619A">
        <w:rPr>
          <w:rFonts w:hAnsi="標楷體" w:hint="eastAsia"/>
          <w:color w:val="000000" w:themeColor="text1"/>
        </w:rPr>
        <w:t>及</w:t>
      </w:r>
      <w:r w:rsidR="009310AF" w:rsidRPr="008B619A">
        <w:rPr>
          <w:rFonts w:hAnsi="標楷體" w:hint="eastAsia"/>
          <w:color w:val="000000" w:themeColor="text1"/>
        </w:rPr>
        <w:t>按</w:t>
      </w:r>
      <w:r w:rsidR="001D5DFB" w:rsidRPr="008B619A">
        <w:rPr>
          <w:rFonts w:hAnsi="標楷體" w:hint="eastAsia"/>
          <w:color w:val="000000" w:themeColor="text1"/>
        </w:rPr>
        <w:t>同條第2項規定，</w:t>
      </w:r>
      <w:r w:rsidR="004F7084" w:rsidRPr="008B619A">
        <w:rPr>
          <w:rFonts w:hAnsi="標楷體" w:hint="eastAsia"/>
          <w:color w:val="000000" w:themeColor="text1"/>
        </w:rPr>
        <w:t>「國家科學技術發展計畫之訂定，應參酌中央研究院、科學技術研究部門、產業部門及相關社會團體之意見，並經全國科學技術會議討論後，由行政院核定」</w:t>
      </w:r>
      <w:r w:rsidR="00A36AD7" w:rsidRPr="008B619A">
        <w:rPr>
          <w:rFonts w:hAnsi="標楷體" w:hint="eastAsia"/>
          <w:color w:val="000000" w:themeColor="text1"/>
        </w:rPr>
        <w:t>。準此，</w:t>
      </w:r>
      <w:r w:rsidR="002943DF" w:rsidRPr="008B619A">
        <w:rPr>
          <w:rFonts w:hAnsi="標楷體" w:hint="eastAsia"/>
          <w:color w:val="000000" w:themeColor="text1"/>
        </w:rPr>
        <w:t>行政院</w:t>
      </w:r>
      <w:r w:rsidRPr="008B619A">
        <w:rPr>
          <w:rFonts w:hAnsi="標楷體" w:hint="eastAsia"/>
          <w:color w:val="000000" w:themeColor="text1"/>
        </w:rPr>
        <w:t>每4年召開全國科學技術會議</w:t>
      </w:r>
      <w:r w:rsidR="005C6DD6" w:rsidRPr="008B619A">
        <w:rPr>
          <w:rFonts w:hAnsi="標楷體" w:hint="eastAsia"/>
          <w:color w:val="000000" w:themeColor="text1"/>
        </w:rPr>
        <w:t>（同條第3項參照）</w:t>
      </w:r>
      <w:r w:rsidRPr="008B619A">
        <w:rPr>
          <w:rFonts w:hAnsi="標楷體" w:hint="eastAsia"/>
          <w:color w:val="000000" w:themeColor="text1"/>
        </w:rPr>
        <w:t>，</w:t>
      </w:r>
      <w:r w:rsidR="0064579B" w:rsidRPr="008B619A">
        <w:rPr>
          <w:rFonts w:hAnsi="標楷體" w:hint="eastAsia"/>
          <w:color w:val="000000" w:themeColor="text1"/>
        </w:rPr>
        <w:t>係</w:t>
      </w:r>
      <w:r w:rsidRPr="008B619A">
        <w:rPr>
          <w:rFonts w:hAnsi="標楷體" w:hint="eastAsia"/>
          <w:color w:val="000000" w:themeColor="text1"/>
        </w:rPr>
        <w:t>訂定未來科技政策與國家</w:t>
      </w:r>
      <w:r w:rsidRPr="008B619A">
        <w:rPr>
          <w:rFonts w:hint="eastAsia"/>
          <w:color w:val="000000" w:themeColor="text1"/>
        </w:rPr>
        <w:t>科技發展方向</w:t>
      </w:r>
      <w:r w:rsidR="006C1859" w:rsidRPr="008B619A">
        <w:rPr>
          <w:rFonts w:hint="eastAsia"/>
          <w:color w:val="000000" w:themeColor="text1"/>
        </w:rPr>
        <w:t>之</w:t>
      </w:r>
      <w:r w:rsidRPr="008B619A">
        <w:rPr>
          <w:rFonts w:hint="eastAsia"/>
          <w:color w:val="000000" w:themeColor="text1"/>
        </w:rPr>
        <w:t>依據。</w:t>
      </w:r>
      <w:r w:rsidR="00EA1D58" w:rsidRPr="008B619A">
        <w:rPr>
          <w:rFonts w:hint="eastAsia"/>
          <w:color w:val="000000" w:themeColor="text1"/>
        </w:rPr>
        <w:t>爰</w:t>
      </w:r>
      <w:r w:rsidR="00E92FED" w:rsidRPr="008B619A">
        <w:rPr>
          <w:rFonts w:hint="eastAsia"/>
          <w:color w:val="000000" w:themeColor="text1"/>
        </w:rPr>
        <w:t>依</w:t>
      </w:r>
      <w:r w:rsidR="00E0537C" w:rsidRPr="008B619A">
        <w:rPr>
          <w:rFonts w:hint="eastAsia"/>
          <w:color w:val="000000" w:themeColor="text1"/>
        </w:rPr>
        <w:t>109年12月21日</w:t>
      </w:r>
      <w:r w:rsidR="00F90990" w:rsidRPr="008B619A">
        <w:rPr>
          <w:rFonts w:hint="eastAsia"/>
          <w:color w:val="000000" w:themeColor="text1"/>
        </w:rPr>
        <w:t>行政院</w:t>
      </w:r>
      <w:r w:rsidR="00C40E2B" w:rsidRPr="008B619A">
        <w:rPr>
          <w:rFonts w:hAnsi="標楷體" w:hint="eastAsia"/>
          <w:color w:val="000000" w:themeColor="text1"/>
        </w:rPr>
        <w:t>「</w:t>
      </w:r>
      <w:r w:rsidR="00F90990" w:rsidRPr="008B619A">
        <w:rPr>
          <w:rFonts w:hint="eastAsia"/>
          <w:color w:val="000000" w:themeColor="text1"/>
        </w:rPr>
        <w:t>第</w:t>
      </w:r>
      <w:r w:rsidR="00964121" w:rsidRPr="008B619A">
        <w:rPr>
          <w:rFonts w:hint="eastAsia"/>
          <w:color w:val="000000" w:themeColor="text1"/>
        </w:rPr>
        <w:t>11</w:t>
      </w:r>
      <w:r w:rsidR="00F90990" w:rsidRPr="008B619A">
        <w:rPr>
          <w:rFonts w:hint="eastAsia"/>
          <w:color w:val="000000" w:themeColor="text1"/>
        </w:rPr>
        <w:t>次全國科學技術會議」</w:t>
      </w:r>
      <w:r w:rsidR="00FC38D5" w:rsidRPr="008B619A">
        <w:rPr>
          <w:rFonts w:hint="eastAsia"/>
          <w:color w:val="000000" w:themeColor="text1"/>
        </w:rPr>
        <w:t>提出4大關鍵議題，包括</w:t>
      </w:r>
      <w:r w:rsidR="00762305" w:rsidRPr="008B619A">
        <w:rPr>
          <w:rFonts w:hAnsi="標楷體" w:hint="eastAsia"/>
          <w:color w:val="000000" w:themeColor="text1"/>
        </w:rPr>
        <w:t>「</w:t>
      </w:r>
      <w:r w:rsidR="00FC38D5" w:rsidRPr="008B619A">
        <w:rPr>
          <w:rFonts w:hint="eastAsia"/>
          <w:color w:val="000000" w:themeColor="text1"/>
        </w:rPr>
        <w:t>一、人才與價值創造方面，須推動跨域共融，活絡科研能量，厚植優質人力資本；二、科研與前瞻方面，須回應社會需求，布局關鍵技術，維持全球創新地位；三、經濟與創新方面，須擴散科研效益，加速產業轉型，支持國家核心戰略產業；四、安心社會與智慧生活方面，須善</w:t>
      </w:r>
      <w:r w:rsidR="00FC38D5" w:rsidRPr="008B619A">
        <w:rPr>
          <w:rFonts w:hint="eastAsia"/>
          <w:color w:val="000000" w:themeColor="text1"/>
        </w:rPr>
        <w:lastRenderedPageBreak/>
        <w:t>用數位科技，增進全民福祉，打造安心安全的包容社會。再再顯示我國的科技發展政策，能夠順應國際趨勢，共同邁向相同目標。</w:t>
      </w:r>
      <w:r w:rsidR="00762305" w:rsidRPr="008B619A">
        <w:rPr>
          <w:rFonts w:hAnsi="標楷體" w:hint="eastAsia"/>
          <w:color w:val="000000" w:themeColor="text1"/>
        </w:rPr>
        <w:t>」</w:t>
      </w:r>
      <w:r w:rsidR="00EA1D58" w:rsidRPr="008B619A">
        <w:rPr>
          <w:rFonts w:hAnsi="標楷體" w:hint="eastAsia"/>
          <w:color w:val="000000" w:themeColor="text1"/>
        </w:rPr>
        <w:t>同時</w:t>
      </w:r>
      <w:r w:rsidR="00065D11" w:rsidRPr="008B619A">
        <w:rPr>
          <w:rFonts w:hAnsi="標楷體" w:hint="eastAsia"/>
          <w:color w:val="000000" w:themeColor="text1"/>
        </w:rPr>
        <w:t>揭示我國108-111年科技發展策略藍圖將「以人為本」作為核心理念，強調科技人文共融，以進一步提出促進社會經濟發展的科技政策與科研布局。</w:t>
      </w:r>
      <w:r w:rsidR="001E367F" w:rsidRPr="008B619A">
        <w:rPr>
          <w:rFonts w:hint="eastAsia"/>
          <w:color w:val="000000" w:themeColor="text1"/>
        </w:rPr>
        <w:t>基此，</w:t>
      </w:r>
      <w:r w:rsidR="00472149" w:rsidRPr="008B619A">
        <w:rPr>
          <w:rFonts w:hint="eastAsia"/>
          <w:color w:val="000000" w:themeColor="text1"/>
        </w:rPr>
        <w:t>該次</w:t>
      </w:r>
      <w:r w:rsidR="00541677" w:rsidRPr="008B619A">
        <w:rPr>
          <w:rFonts w:hint="eastAsia"/>
          <w:color w:val="000000" w:themeColor="text1"/>
        </w:rPr>
        <w:t>會議總結</w:t>
      </w:r>
      <w:r w:rsidR="004653B9" w:rsidRPr="008B619A">
        <w:rPr>
          <w:rFonts w:hint="eastAsia"/>
          <w:color w:val="000000" w:themeColor="text1"/>
        </w:rPr>
        <w:t>並</w:t>
      </w:r>
      <w:r w:rsidR="00541677" w:rsidRPr="008B619A">
        <w:rPr>
          <w:rFonts w:hint="eastAsia"/>
          <w:color w:val="000000" w:themeColor="text1"/>
        </w:rPr>
        <w:t>載明</w:t>
      </w:r>
      <w:r w:rsidR="002D182E" w:rsidRPr="008B619A">
        <w:rPr>
          <w:rStyle w:val="aff1"/>
          <w:color w:val="000000" w:themeColor="text1"/>
        </w:rPr>
        <w:footnoteReference w:id="25"/>
      </w:r>
      <w:r w:rsidR="001E367F" w:rsidRPr="008B619A">
        <w:rPr>
          <w:rFonts w:hint="eastAsia"/>
          <w:color w:val="000000" w:themeColor="text1"/>
        </w:rPr>
        <w:t>，科技發展需以人文社會關懷為基礎，作為驅動經濟發展、社會進步與環境永續的動力。</w:t>
      </w:r>
    </w:p>
    <w:p w14:paraId="2602DC20" w14:textId="019FE3AD" w:rsidR="005D3926" w:rsidRPr="008B619A" w:rsidRDefault="00357E03" w:rsidP="006400F0">
      <w:pPr>
        <w:pStyle w:val="3"/>
        <w:rPr>
          <w:color w:val="000000" w:themeColor="text1"/>
        </w:rPr>
      </w:pPr>
      <w:r w:rsidRPr="008B619A">
        <w:rPr>
          <w:rFonts w:hAnsi="標楷體"/>
          <w:color w:val="000000" w:themeColor="text1"/>
        </w:rPr>
        <w:t>瑞士洛桑管理學院（IMD）</w:t>
      </w:r>
      <w:r w:rsidRPr="008B619A">
        <w:rPr>
          <w:rFonts w:hAnsi="標楷體" w:hint="eastAsia"/>
          <w:color w:val="000000" w:themeColor="text1"/>
        </w:rPr>
        <w:t>於2020年11月12日發布「2020年IMD世界人才排名報告」(IMD World Talent Ranking 2020)，在63個受評比國家，我國排名第20名，雖與前一年持平</w:t>
      </w:r>
      <w:r w:rsidRPr="008B619A">
        <w:rPr>
          <w:rStyle w:val="aff1"/>
          <w:rFonts w:hAnsi="標楷體"/>
          <w:color w:val="000000" w:themeColor="text1"/>
        </w:rPr>
        <w:footnoteReference w:id="26"/>
      </w:r>
      <w:r w:rsidRPr="008B619A">
        <w:rPr>
          <w:rFonts w:hAnsi="標楷體" w:hint="eastAsia"/>
          <w:color w:val="000000" w:themeColor="text1"/>
        </w:rPr>
        <w:t>，然就人才培育部分仍提出相關策進意見，其中，</w:t>
      </w:r>
      <w:r w:rsidRPr="008B619A">
        <w:rPr>
          <w:rFonts w:hint="eastAsia"/>
          <w:color w:val="000000" w:themeColor="text1"/>
        </w:rPr>
        <w:t>「人才準備度」滑落3名，仍保持全球前15名，「人才準備度」是評比一國人才資源的充足程度，共分12細項指標。</w:t>
      </w:r>
      <w:r w:rsidRPr="008B619A">
        <w:rPr>
          <w:rFonts w:hAnsi="標楷體" w:hint="eastAsia"/>
          <w:color w:val="000000" w:themeColor="text1"/>
        </w:rPr>
        <w:t>簡述如下</w:t>
      </w:r>
      <w:r w:rsidR="005D3926" w:rsidRPr="008B619A">
        <w:rPr>
          <w:rFonts w:hAnsi="標楷體" w:hint="eastAsia"/>
          <w:color w:val="000000" w:themeColor="text1"/>
        </w:rPr>
        <w:t>：</w:t>
      </w:r>
    </w:p>
    <w:p w14:paraId="1F0E1A3D" w14:textId="77777777" w:rsidR="006D1972" w:rsidRPr="008B619A" w:rsidRDefault="007D465F" w:rsidP="006400F0">
      <w:pPr>
        <w:pStyle w:val="4"/>
        <w:rPr>
          <w:color w:val="000000" w:themeColor="text1"/>
        </w:rPr>
      </w:pPr>
      <w:r w:rsidRPr="008B619A">
        <w:rPr>
          <w:rFonts w:hint="eastAsia"/>
          <w:color w:val="000000" w:themeColor="text1"/>
        </w:rPr>
        <w:t>「經理人國際經驗」、「績優經理人」及「語言人才符合企業需求」等3項，分別進步2、3、7名，顯示政府致力推動人才國際化，落實雙語國家政策已展現初步成效。</w:t>
      </w:r>
    </w:p>
    <w:p w14:paraId="00FC50CD" w14:textId="7B1159F8" w:rsidR="00443BBB" w:rsidRPr="008B619A" w:rsidRDefault="007D465F" w:rsidP="006400F0">
      <w:pPr>
        <w:pStyle w:val="4"/>
        <w:rPr>
          <w:color w:val="000000" w:themeColor="text1"/>
        </w:rPr>
      </w:pPr>
      <w:r w:rsidRPr="008B619A">
        <w:rPr>
          <w:rFonts w:hint="eastAsia"/>
          <w:color w:val="000000" w:themeColor="text1"/>
        </w:rPr>
        <w:t>「初等與中等教育制度符合競爭經濟的需求」、「大學教育符合競爭經濟的需求」等2項，分別進步11、7名。</w:t>
      </w:r>
    </w:p>
    <w:p w14:paraId="245CEA88" w14:textId="650F5825" w:rsidR="006D1972" w:rsidRPr="008B619A" w:rsidRDefault="006D1972" w:rsidP="006D1972">
      <w:pPr>
        <w:pStyle w:val="4"/>
        <w:rPr>
          <w:color w:val="000000" w:themeColor="text1"/>
        </w:rPr>
      </w:pPr>
      <w:r w:rsidRPr="008B619A">
        <w:rPr>
          <w:rFonts w:hint="eastAsia"/>
          <w:color w:val="000000" w:themeColor="text1"/>
        </w:rPr>
        <w:t>我國學校科學教育STEM領域大學畢業生占比，自2019年33.2%降至2020年32.9%，顯示我國在數位人才的培育需強化力道。</w:t>
      </w:r>
    </w:p>
    <w:p w14:paraId="18B58213" w14:textId="0E4810CA" w:rsidR="00753ECF" w:rsidRPr="008B619A" w:rsidRDefault="00402F29" w:rsidP="002F605E">
      <w:pPr>
        <w:pStyle w:val="a3"/>
        <w:ind w:left="992"/>
        <w:jc w:val="center"/>
        <w:rPr>
          <w:rFonts w:hAnsi="標楷體"/>
          <w:b/>
          <w:color w:val="000000" w:themeColor="text1"/>
        </w:rPr>
      </w:pPr>
      <w:r w:rsidRPr="008B619A">
        <w:rPr>
          <w:rFonts w:hAnsi="標楷體" w:hint="eastAsia"/>
          <w:b/>
          <w:color w:val="000000" w:themeColor="text1"/>
        </w:rPr>
        <w:lastRenderedPageBreak/>
        <w:t>2020我國與亞鄰國家</w:t>
      </w:r>
      <w:r w:rsidR="00431F90" w:rsidRPr="008B619A">
        <w:rPr>
          <w:rFonts w:hAnsi="標楷體" w:hint="eastAsia"/>
          <w:b/>
          <w:color w:val="000000" w:themeColor="text1"/>
        </w:rPr>
        <w:t>地區人才競爭力排名表</w:t>
      </w:r>
    </w:p>
    <w:p w14:paraId="184E2191" w14:textId="06AECACF" w:rsidR="00753ECF" w:rsidRPr="008B619A" w:rsidRDefault="00402F29" w:rsidP="00402F29">
      <w:pPr>
        <w:jc w:val="center"/>
        <w:rPr>
          <w:color w:val="000000" w:themeColor="text1"/>
        </w:rPr>
      </w:pPr>
      <w:r w:rsidRPr="008B619A">
        <w:rPr>
          <w:rFonts w:hint="eastAsia"/>
          <w:noProof/>
          <w:color w:val="000000" w:themeColor="text1"/>
        </w:rPr>
        <w:drawing>
          <wp:inline distT="0" distB="0" distL="0" distR="0" wp14:anchorId="6BF01349" wp14:editId="518A6657">
            <wp:extent cx="4851897" cy="1790700"/>
            <wp:effectExtent l="0" t="0" r="6350" b="0"/>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圖片 9"/>
                    <pic:cNvPicPr/>
                  </pic:nvPicPr>
                  <pic:blipFill rotWithShape="1">
                    <a:blip r:embed="rId12">
                      <a:extLst>
                        <a:ext uri="{28A0092B-C50C-407E-A947-70E740481C1C}">
                          <a14:useLocalDpi xmlns:a14="http://schemas.microsoft.com/office/drawing/2010/main" val="0"/>
                        </a:ext>
                      </a:extLst>
                    </a:blip>
                    <a:srcRect t="13247" b="10256"/>
                    <a:stretch/>
                  </pic:blipFill>
                  <pic:spPr bwMode="auto">
                    <a:xfrm>
                      <a:off x="0" y="0"/>
                      <a:ext cx="4853033" cy="1791119"/>
                    </a:xfrm>
                    <a:prstGeom prst="rect">
                      <a:avLst/>
                    </a:prstGeom>
                    <a:ln>
                      <a:noFill/>
                    </a:ln>
                    <a:extLst>
                      <a:ext uri="{53640926-AAD7-44D8-BBD7-CCE9431645EC}">
                        <a14:shadowObscured xmlns:a14="http://schemas.microsoft.com/office/drawing/2010/main"/>
                      </a:ext>
                    </a:extLst>
                  </pic:spPr>
                </pic:pic>
              </a:graphicData>
            </a:graphic>
          </wp:inline>
        </w:drawing>
      </w:r>
    </w:p>
    <w:p w14:paraId="351934B2" w14:textId="325185E0" w:rsidR="00A430A8" w:rsidRPr="008B619A" w:rsidRDefault="00A430A8" w:rsidP="00A54856">
      <w:pPr>
        <w:spacing w:afterLines="50" w:after="228" w:line="240" w:lineRule="exact"/>
        <w:ind w:leftChars="208" w:left="708"/>
        <w:rPr>
          <w:rFonts w:hAnsi="標楷體"/>
          <w:color w:val="000000" w:themeColor="text1"/>
          <w:sz w:val="24"/>
          <w:szCs w:val="24"/>
        </w:rPr>
      </w:pPr>
      <w:r w:rsidRPr="008B619A">
        <w:rPr>
          <w:rFonts w:hAnsi="標楷體" w:hint="eastAsia"/>
          <w:color w:val="000000" w:themeColor="text1"/>
          <w:sz w:val="24"/>
          <w:szCs w:val="24"/>
        </w:rPr>
        <w:t>資料來源：</w:t>
      </w:r>
      <w:r w:rsidR="00B55357" w:rsidRPr="008B619A">
        <w:rPr>
          <w:rFonts w:hAnsi="標楷體" w:hint="eastAsia"/>
          <w:color w:val="000000" w:themeColor="text1"/>
          <w:sz w:val="24"/>
          <w:szCs w:val="24"/>
        </w:rPr>
        <w:t>國發會（</w:t>
      </w:r>
      <w:r w:rsidR="00F22E5F" w:rsidRPr="008B619A">
        <w:rPr>
          <w:rFonts w:hAnsi="標楷體" w:hint="eastAsia"/>
          <w:color w:val="000000" w:themeColor="text1"/>
          <w:sz w:val="24"/>
          <w:szCs w:val="24"/>
        </w:rPr>
        <w:t>民109</w:t>
      </w:r>
      <w:r w:rsidR="00B55357" w:rsidRPr="008B619A">
        <w:rPr>
          <w:rFonts w:hAnsi="標楷體" w:hint="eastAsia"/>
          <w:color w:val="000000" w:themeColor="text1"/>
          <w:sz w:val="24"/>
          <w:szCs w:val="24"/>
        </w:rPr>
        <w:t>）</w:t>
      </w:r>
      <w:r w:rsidR="00F22E5F" w:rsidRPr="008B619A">
        <w:rPr>
          <w:rFonts w:hAnsi="標楷體" w:hint="eastAsia"/>
          <w:color w:val="000000" w:themeColor="text1"/>
          <w:sz w:val="24"/>
          <w:szCs w:val="24"/>
        </w:rPr>
        <w:t>，同註</w:t>
      </w:r>
      <w:r w:rsidR="00DB328A" w:rsidRPr="008B619A">
        <w:rPr>
          <w:rFonts w:hAnsi="標楷體" w:hint="eastAsia"/>
          <w:color w:val="000000" w:themeColor="text1"/>
          <w:sz w:val="24"/>
          <w:szCs w:val="24"/>
        </w:rPr>
        <w:t>5</w:t>
      </w:r>
      <w:r w:rsidR="00A23765" w:rsidRPr="008B619A">
        <w:rPr>
          <w:rFonts w:hAnsi="標楷體" w:hint="eastAsia"/>
          <w:color w:val="000000" w:themeColor="text1"/>
          <w:sz w:val="24"/>
          <w:szCs w:val="24"/>
        </w:rPr>
        <w:t>4</w:t>
      </w:r>
      <w:r w:rsidRPr="008B619A">
        <w:rPr>
          <w:rFonts w:hAnsi="標楷體" w:hint="eastAsia"/>
          <w:color w:val="000000" w:themeColor="text1"/>
          <w:sz w:val="24"/>
          <w:szCs w:val="24"/>
        </w:rPr>
        <w:t>。</w:t>
      </w:r>
    </w:p>
    <w:p w14:paraId="72AD0F7B" w14:textId="03070A05" w:rsidR="00AF2D54" w:rsidRPr="008B619A" w:rsidRDefault="00DD0A99" w:rsidP="006400F0">
      <w:pPr>
        <w:pStyle w:val="3"/>
        <w:rPr>
          <w:color w:val="000000" w:themeColor="text1"/>
        </w:rPr>
      </w:pPr>
      <w:r w:rsidRPr="008B619A">
        <w:rPr>
          <w:rFonts w:hint="eastAsia"/>
          <w:color w:val="000000" w:themeColor="text1"/>
        </w:rPr>
        <w:t>對此，</w:t>
      </w:r>
      <w:r w:rsidR="00AF2D54" w:rsidRPr="008B619A">
        <w:rPr>
          <w:rFonts w:hint="eastAsia"/>
          <w:color w:val="000000" w:themeColor="text1"/>
        </w:rPr>
        <w:t>政府</w:t>
      </w:r>
      <w:r w:rsidR="00F83530" w:rsidRPr="008B619A">
        <w:rPr>
          <w:rFonts w:hint="eastAsia"/>
          <w:color w:val="000000" w:themeColor="text1"/>
        </w:rPr>
        <w:t>為</w:t>
      </w:r>
      <w:r w:rsidR="00AF2D54" w:rsidRPr="008B619A">
        <w:rPr>
          <w:rFonts w:hint="eastAsia"/>
          <w:color w:val="000000" w:themeColor="text1"/>
        </w:rPr>
        <w:t>鼓勵學校與產業合作培育高階人才，</w:t>
      </w:r>
      <w:r w:rsidR="00CD054F" w:rsidRPr="008B619A">
        <w:rPr>
          <w:rFonts w:hint="eastAsia"/>
          <w:color w:val="000000" w:themeColor="text1"/>
        </w:rPr>
        <w:t>以</w:t>
      </w:r>
      <w:r w:rsidR="00AF2D54" w:rsidRPr="008B619A">
        <w:rPr>
          <w:rFonts w:hint="eastAsia"/>
          <w:color w:val="000000" w:themeColor="text1"/>
        </w:rPr>
        <w:t>因應產業人才需求多元性，推動跨域人才培育</w:t>
      </w:r>
      <w:r w:rsidR="00F13A8B" w:rsidRPr="008B619A">
        <w:rPr>
          <w:rFonts w:hint="eastAsia"/>
          <w:color w:val="000000" w:themeColor="text1"/>
        </w:rPr>
        <w:t>之各項</w:t>
      </w:r>
      <w:r w:rsidR="00AF2D54" w:rsidRPr="008B619A">
        <w:rPr>
          <w:rFonts w:hint="eastAsia"/>
          <w:color w:val="000000" w:themeColor="text1"/>
        </w:rPr>
        <w:t>措施，</w:t>
      </w:r>
      <w:r w:rsidR="00F83530" w:rsidRPr="008B619A">
        <w:rPr>
          <w:rFonts w:hint="eastAsia"/>
          <w:color w:val="000000" w:themeColor="text1"/>
        </w:rPr>
        <w:t>摘要</w:t>
      </w:r>
      <w:r w:rsidR="00AF2D54" w:rsidRPr="008B619A">
        <w:rPr>
          <w:rFonts w:hint="eastAsia"/>
          <w:color w:val="000000" w:themeColor="text1"/>
        </w:rPr>
        <w:t>如下</w:t>
      </w:r>
      <w:r w:rsidR="00F13A8B" w:rsidRPr="008B619A">
        <w:rPr>
          <w:rFonts w:hint="eastAsia"/>
          <w:color w:val="000000" w:themeColor="text1"/>
        </w:rPr>
        <w:t>：</w:t>
      </w:r>
    </w:p>
    <w:p w14:paraId="46813B25" w14:textId="516A7954" w:rsidR="00F13A8B" w:rsidRPr="008B619A" w:rsidRDefault="00C57727" w:rsidP="00F13A8B">
      <w:pPr>
        <w:pStyle w:val="4"/>
        <w:rPr>
          <w:color w:val="000000" w:themeColor="text1"/>
        </w:rPr>
      </w:pPr>
      <w:r w:rsidRPr="008B619A">
        <w:rPr>
          <w:rFonts w:hint="eastAsia"/>
          <w:color w:val="000000" w:themeColor="text1"/>
        </w:rPr>
        <w:t>建置大專校院系所增設調整及招生名額調控機制：教育部部每年提供各部會重點領域人才培育建議予學校做為院、系、所、學位學程及招生名額之增設與調整參考；自101學年度起亦邀請各部會共同參與系所增設與調整之審核作業。</w:t>
      </w:r>
    </w:p>
    <w:p w14:paraId="7CBD68A6" w14:textId="477B344E" w:rsidR="00C57727" w:rsidRPr="008B619A" w:rsidRDefault="003B3AEF" w:rsidP="00F13A8B">
      <w:pPr>
        <w:pStyle w:val="4"/>
        <w:rPr>
          <w:color w:val="000000" w:themeColor="text1"/>
        </w:rPr>
      </w:pPr>
      <w:r w:rsidRPr="008B619A">
        <w:rPr>
          <w:rFonts w:hint="eastAsia"/>
          <w:color w:val="000000" w:themeColor="text1"/>
        </w:rPr>
        <w:t>擴增重點產業領域招生名額：</w:t>
      </w:r>
    </w:p>
    <w:p w14:paraId="3798222A" w14:textId="77777777" w:rsidR="006D136A" w:rsidRPr="008B619A" w:rsidRDefault="006D136A" w:rsidP="006D136A">
      <w:pPr>
        <w:pStyle w:val="5"/>
        <w:rPr>
          <w:color w:val="000000" w:themeColor="text1"/>
        </w:rPr>
      </w:pPr>
      <w:r w:rsidRPr="008B619A">
        <w:rPr>
          <w:rFonts w:hint="eastAsia"/>
          <w:color w:val="000000" w:themeColor="text1"/>
        </w:rPr>
        <w:t>109學年度提出「推動精進資通訊數位人才培育策略」，擴增資通訊領域系所招生名額，博士班擴充15%，核定各大專校院博士班共計117名(一般大學94名、科技大學23名)。</w:t>
      </w:r>
    </w:p>
    <w:p w14:paraId="62637D4C" w14:textId="77777777" w:rsidR="006D136A" w:rsidRPr="008B619A" w:rsidRDefault="006D136A" w:rsidP="006D136A">
      <w:pPr>
        <w:pStyle w:val="5"/>
        <w:rPr>
          <w:color w:val="000000" w:themeColor="text1"/>
        </w:rPr>
      </w:pPr>
      <w:r w:rsidRPr="008B619A">
        <w:rPr>
          <w:rFonts w:hint="eastAsia"/>
          <w:color w:val="000000" w:themeColor="text1"/>
        </w:rPr>
        <w:t>另110學年度擴大領域至半導體、AI及機械領域系所招生名額，核定各大專校院博士班共計294名(一般大學251名、科技大學43名)。</w:t>
      </w:r>
    </w:p>
    <w:p w14:paraId="7E556689" w14:textId="77777777" w:rsidR="008D4DC4" w:rsidRPr="008B619A" w:rsidRDefault="00062801" w:rsidP="00E97B9E">
      <w:pPr>
        <w:pStyle w:val="4"/>
        <w:rPr>
          <w:color w:val="000000" w:themeColor="text1"/>
        </w:rPr>
      </w:pPr>
      <w:r w:rsidRPr="008B619A">
        <w:rPr>
          <w:rFonts w:hint="eastAsia"/>
          <w:color w:val="000000" w:themeColor="text1"/>
        </w:rPr>
        <w:t>放寬重點產業領域系所生師比限制：</w:t>
      </w:r>
    </w:p>
    <w:p w14:paraId="3B7E271F" w14:textId="3FB507E4" w:rsidR="00396A0B" w:rsidRPr="008B619A" w:rsidRDefault="008D4DC4" w:rsidP="008D4DC4">
      <w:pPr>
        <w:pStyle w:val="4"/>
        <w:numPr>
          <w:ilvl w:val="0"/>
          <w:numId w:val="0"/>
        </w:numPr>
        <w:ind w:left="1701"/>
        <w:rPr>
          <w:color w:val="000000" w:themeColor="text1"/>
        </w:rPr>
      </w:pPr>
      <w:r w:rsidRPr="008B619A">
        <w:rPr>
          <w:rFonts w:hint="eastAsia"/>
          <w:color w:val="000000" w:themeColor="text1"/>
        </w:rPr>
        <w:t xml:space="preserve">    </w:t>
      </w:r>
      <w:r w:rsidR="00396A0B" w:rsidRPr="008B619A">
        <w:rPr>
          <w:rFonts w:hint="eastAsia"/>
          <w:color w:val="000000" w:themeColor="text1"/>
        </w:rPr>
        <w:t>109年12月9日修正公布</w:t>
      </w:r>
      <w:r w:rsidR="00E97B9E" w:rsidRPr="008B619A">
        <w:rPr>
          <w:rFonts w:hint="eastAsia"/>
          <w:color w:val="000000" w:themeColor="text1"/>
        </w:rPr>
        <w:t>「</w:t>
      </w:r>
      <w:r w:rsidR="00396A0B" w:rsidRPr="008B619A">
        <w:rPr>
          <w:rFonts w:hint="eastAsia"/>
          <w:color w:val="000000" w:themeColor="text1"/>
        </w:rPr>
        <w:t>總量標準</w:t>
      </w:r>
      <w:r w:rsidR="007B2BC0" w:rsidRPr="008B619A">
        <w:rPr>
          <w:rFonts w:hint="eastAsia"/>
          <w:color w:val="000000" w:themeColor="text1"/>
        </w:rPr>
        <w:t>」</w:t>
      </w:r>
      <w:r w:rsidR="00396A0B" w:rsidRPr="008B619A">
        <w:rPr>
          <w:rFonts w:hint="eastAsia"/>
          <w:color w:val="000000" w:themeColor="text1"/>
        </w:rPr>
        <w:t>，教育部於第5條附表5增訂「屬該部訂定人才培育計畫之重點領域院、所、系、科及學位學程者，得不受生師比值限制」。</w:t>
      </w:r>
    </w:p>
    <w:p w14:paraId="075B1F31" w14:textId="57736673" w:rsidR="00387F37" w:rsidRPr="008B619A" w:rsidRDefault="00477840" w:rsidP="00477840">
      <w:pPr>
        <w:pStyle w:val="4"/>
        <w:rPr>
          <w:color w:val="000000" w:themeColor="text1"/>
        </w:rPr>
      </w:pPr>
      <w:r w:rsidRPr="008B619A">
        <w:rPr>
          <w:rFonts w:hint="eastAsia"/>
          <w:color w:val="000000" w:themeColor="text1"/>
        </w:rPr>
        <w:lastRenderedPageBreak/>
        <w:t>推動跨域課程及培養科技人文跨領域</w:t>
      </w:r>
      <w:r w:rsidR="00E91F0C" w:rsidRPr="008B619A">
        <w:rPr>
          <w:rFonts w:hint="eastAsia"/>
          <w:color w:val="000000" w:themeColor="text1"/>
        </w:rPr>
        <w:t>：</w:t>
      </w:r>
    </w:p>
    <w:p w14:paraId="012E2259" w14:textId="106CDEFF" w:rsidR="00E91F0C" w:rsidRPr="008B619A" w:rsidRDefault="00E91F0C" w:rsidP="00E91F0C">
      <w:pPr>
        <w:pStyle w:val="5"/>
        <w:rPr>
          <w:color w:val="000000" w:themeColor="text1"/>
        </w:rPr>
      </w:pPr>
      <w:r w:rsidRPr="008B619A">
        <w:rPr>
          <w:rFonts w:hint="eastAsia"/>
          <w:color w:val="000000" w:themeColor="text1"/>
        </w:rPr>
        <w:t>教育部於107年修正</w:t>
      </w:r>
      <w:r w:rsidR="00F43206" w:rsidRPr="008B619A">
        <w:rPr>
          <w:rFonts w:hAnsi="標楷體" w:hint="eastAsia"/>
          <w:color w:val="000000" w:themeColor="text1"/>
        </w:rPr>
        <w:t>「</w:t>
      </w:r>
      <w:r w:rsidRPr="008B619A">
        <w:rPr>
          <w:rFonts w:hint="eastAsia"/>
          <w:color w:val="000000" w:themeColor="text1"/>
        </w:rPr>
        <w:t>學位授予法</w:t>
      </w:r>
      <w:r w:rsidR="00F43206" w:rsidRPr="008B619A">
        <w:rPr>
          <w:rFonts w:hAnsi="標楷體" w:hint="eastAsia"/>
          <w:color w:val="000000" w:themeColor="text1"/>
        </w:rPr>
        <w:t>」</w:t>
      </w:r>
      <w:r w:rsidRPr="008B619A">
        <w:rPr>
          <w:rFonts w:hint="eastAsia"/>
          <w:color w:val="000000" w:themeColor="text1"/>
        </w:rPr>
        <w:t>，於第5條規定學生得修讀相近學術領域課程或修讀跨領域學位學程課程，符合授予學士學位要件者，學校得依其學術領域、修讀課程及要件授予學士學位，所授予之學位亦不受限於學生原入學之院、系、學位學程之規範，為打破系所藩籬，鼓勵學生修讀跨域課程，放寬學生得彈性於院、系、學位學程之間修課(院進系出、系進院出)。</w:t>
      </w:r>
    </w:p>
    <w:p w14:paraId="0948C834" w14:textId="62059C8B" w:rsidR="000C36FF" w:rsidRPr="008B619A" w:rsidRDefault="00A1107D" w:rsidP="00E91F0C">
      <w:pPr>
        <w:pStyle w:val="5"/>
        <w:rPr>
          <w:color w:val="000000" w:themeColor="text1"/>
        </w:rPr>
      </w:pPr>
      <w:r w:rsidRPr="008B619A">
        <w:rPr>
          <w:rFonts w:hint="eastAsia"/>
          <w:color w:val="000000" w:themeColor="text1"/>
        </w:rPr>
        <w:t>110年起於</w:t>
      </w:r>
      <w:r w:rsidR="006F17EB" w:rsidRPr="008B619A">
        <w:rPr>
          <w:rFonts w:hAnsi="標楷體" w:hint="eastAsia"/>
          <w:color w:val="000000" w:themeColor="text1"/>
        </w:rPr>
        <w:t>「</w:t>
      </w:r>
      <w:r w:rsidR="000C36FF" w:rsidRPr="008B619A">
        <w:rPr>
          <w:rFonts w:hint="eastAsia"/>
          <w:color w:val="000000" w:themeColor="text1"/>
        </w:rPr>
        <w:t>高等教育深耕計畫</w:t>
      </w:r>
      <w:r w:rsidR="006F17EB" w:rsidRPr="008B619A">
        <w:rPr>
          <w:rFonts w:hAnsi="標楷體" w:hint="eastAsia"/>
          <w:color w:val="000000" w:themeColor="text1"/>
        </w:rPr>
        <w:t>」</w:t>
      </w:r>
      <w:r w:rsidR="00DF5455" w:rsidRPr="008B619A">
        <w:rPr>
          <w:rFonts w:hint="eastAsia"/>
          <w:color w:val="000000" w:themeColor="text1"/>
        </w:rPr>
        <w:t>新增政策引導說明，鼓勵學校積極推動跨域課程，並於重要政策推動議題「培養學生使用及運用程式語言之能力」項下，提醒學校宜積極引導非資通訊系所學生修讀程式設計課程</w:t>
      </w:r>
      <w:r w:rsidR="00DB2775" w:rsidRPr="008B619A">
        <w:rPr>
          <w:rFonts w:hint="eastAsia"/>
          <w:color w:val="000000" w:themeColor="text1"/>
        </w:rPr>
        <w:t>。</w:t>
      </w:r>
    </w:p>
    <w:p w14:paraId="28DB772D" w14:textId="666A5F7F" w:rsidR="00ED1315" w:rsidRPr="008B619A" w:rsidRDefault="005659D3" w:rsidP="001D726C">
      <w:pPr>
        <w:pStyle w:val="3"/>
        <w:rPr>
          <w:color w:val="000000" w:themeColor="text1"/>
        </w:rPr>
      </w:pPr>
      <w:r w:rsidRPr="008B619A">
        <w:rPr>
          <w:rFonts w:hint="eastAsia"/>
          <w:color w:val="000000" w:themeColor="text1"/>
        </w:rPr>
        <w:t>引</w:t>
      </w:r>
      <w:r w:rsidR="00F51149" w:rsidRPr="008B619A">
        <w:rPr>
          <w:rFonts w:hint="eastAsia"/>
          <w:color w:val="000000" w:themeColor="text1"/>
        </w:rPr>
        <w:t>據教育部之</w:t>
      </w:r>
      <w:r w:rsidR="00110390" w:rsidRPr="008B619A">
        <w:rPr>
          <w:rFonts w:hAnsi="標楷體" w:hint="eastAsia"/>
          <w:color w:val="000000" w:themeColor="text1"/>
        </w:rPr>
        <w:t>「</w:t>
      </w:r>
      <w:r w:rsidR="00F51149" w:rsidRPr="008B619A">
        <w:rPr>
          <w:rFonts w:hint="eastAsia"/>
          <w:color w:val="000000" w:themeColor="text1"/>
        </w:rPr>
        <w:t>畢業生流向追蹤調查</w:t>
      </w:r>
      <w:r w:rsidR="00110390" w:rsidRPr="008B619A">
        <w:rPr>
          <w:rFonts w:hAnsi="標楷體" w:hint="eastAsia"/>
          <w:color w:val="000000" w:themeColor="text1"/>
        </w:rPr>
        <w:t>」</w:t>
      </w:r>
      <w:r w:rsidR="00F51149" w:rsidRPr="008B619A">
        <w:rPr>
          <w:rFonts w:hint="eastAsia"/>
          <w:color w:val="000000" w:themeColor="text1"/>
        </w:rPr>
        <w:t>發現，具備跨域學習經驗者在求職與就業待遇上，均比未具跨域學習經驗者更為有利</w:t>
      </w:r>
      <w:r w:rsidR="001D726C" w:rsidRPr="008B619A">
        <w:rPr>
          <w:rFonts w:hint="eastAsia"/>
          <w:color w:val="000000" w:themeColor="text1"/>
        </w:rPr>
        <w:t>。茲列近年我國</w:t>
      </w:r>
      <w:r w:rsidR="00ED1315" w:rsidRPr="008B619A">
        <w:rPr>
          <w:rFonts w:hint="eastAsia"/>
          <w:color w:val="000000" w:themeColor="text1"/>
        </w:rPr>
        <w:t>博士班學門及畢業人數分析</w:t>
      </w:r>
      <w:r w:rsidR="001D726C" w:rsidRPr="008B619A">
        <w:rPr>
          <w:rFonts w:hint="eastAsia"/>
          <w:color w:val="000000" w:themeColor="text1"/>
        </w:rPr>
        <w:t>如后：</w:t>
      </w:r>
    </w:p>
    <w:p w14:paraId="0677BD9C" w14:textId="68435C00" w:rsidR="00ED1315" w:rsidRPr="008B619A" w:rsidRDefault="00ED1315" w:rsidP="006400F0">
      <w:pPr>
        <w:pStyle w:val="4"/>
        <w:rPr>
          <w:color w:val="000000" w:themeColor="text1"/>
        </w:rPr>
      </w:pPr>
      <w:r w:rsidRPr="008B619A">
        <w:rPr>
          <w:rFonts w:hint="eastAsia"/>
          <w:color w:val="000000" w:themeColor="text1"/>
        </w:rPr>
        <w:t>按</w:t>
      </w:r>
      <w:r w:rsidR="00E61090" w:rsidRPr="008B619A">
        <w:rPr>
          <w:rFonts w:hint="eastAsia"/>
          <w:color w:val="000000" w:themeColor="text1"/>
        </w:rPr>
        <w:t>學科</w:t>
      </w:r>
      <w:r w:rsidR="000663E4" w:rsidRPr="008B619A">
        <w:rPr>
          <w:rFonts w:hint="eastAsia"/>
          <w:color w:val="000000" w:themeColor="text1"/>
        </w:rPr>
        <w:t>3</w:t>
      </w:r>
      <w:r w:rsidR="00E61090" w:rsidRPr="008B619A">
        <w:rPr>
          <w:rFonts w:hint="eastAsia"/>
          <w:color w:val="000000" w:themeColor="text1"/>
        </w:rPr>
        <w:t>分類之</w:t>
      </w:r>
      <w:r w:rsidRPr="008B619A">
        <w:rPr>
          <w:rFonts w:hint="eastAsia"/>
          <w:color w:val="000000" w:themeColor="text1"/>
        </w:rPr>
        <w:t>就讀類科觀察，108學年</w:t>
      </w:r>
      <w:r w:rsidR="000060E2" w:rsidRPr="008B619A">
        <w:rPr>
          <w:rFonts w:hint="eastAsia"/>
          <w:color w:val="000000" w:themeColor="text1"/>
        </w:rPr>
        <w:t>博士班</w:t>
      </w:r>
      <w:r w:rsidRPr="008B619A">
        <w:rPr>
          <w:rFonts w:hint="eastAsia"/>
          <w:color w:val="000000" w:themeColor="text1"/>
        </w:rPr>
        <w:t>科技類學生數計16,853人(占59.1%)為大宗，人文類及社會類各為6,314人(占22.1%)及5,343人(占18.7%)；</w:t>
      </w:r>
      <w:r w:rsidR="001F5B4B" w:rsidRPr="008B619A">
        <w:rPr>
          <w:rFonts w:hint="eastAsia"/>
          <w:color w:val="000000" w:themeColor="text1"/>
        </w:rPr>
        <w:t>分析趨勢，</w:t>
      </w:r>
      <w:r w:rsidRPr="008B619A">
        <w:rPr>
          <w:rFonts w:hint="eastAsia"/>
          <w:color w:val="000000" w:themeColor="text1"/>
        </w:rPr>
        <w:t>與99學年相較，科技類學生數占比下降9</w:t>
      </w:r>
      <w:r w:rsidR="00F96A03" w:rsidRPr="008B619A">
        <w:rPr>
          <w:rFonts w:hint="eastAsia"/>
          <w:color w:val="000000" w:themeColor="text1"/>
        </w:rPr>
        <w:t>%</w:t>
      </w:r>
      <w:r w:rsidR="003B3CA7" w:rsidRPr="008B619A">
        <w:rPr>
          <w:rFonts w:hint="eastAsia"/>
          <w:color w:val="000000" w:themeColor="text1"/>
        </w:rPr>
        <w:t>（</w:t>
      </w:r>
      <w:r w:rsidR="003E5A8D" w:rsidRPr="008B619A">
        <w:rPr>
          <w:rFonts w:hint="eastAsia"/>
          <w:color w:val="000000" w:themeColor="text1"/>
        </w:rPr>
        <w:t>-</w:t>
      </w:r>
      <w:r w:rsidR="007652BF" w:rsidRPr="008B619A">
        <w:rPr>
          <w:rFonts w:hint="eastAsia"/>
          <w:color w:val="000000" w:themeColor="text1"/>
        </w:rPr>
        <w:t>6,405人</w:t>
      </w:r>
      <w:r w:rsidR="003B3CA7" w:rsidRPr="008B619A">
        <w:rPr>
          <w:rFonts w:hint="eastAsia"/>
          <w:color w:val="000000" w:themeColor="text1"/>
        </w:rPr>
        <w:t>）</w:t>
      </w:r>
      <w:r w:rsidRPr="008B619A">
        <w:rPr>
          <w:rFonts w:hint="eastAsia"/>
          <w:color w:val="000000" w:themeColor="text1"/>
        </w:rPr>
        <w:t>，人文類及社會類則分別上升5.6</w:t>
      </w:r>
      <w:r w:rsidR="000540B1" w:rsidRPr="008B619A">
        <w:rPr>
          <w:rFonts w:hint="eastAsia"/>
          <w:color w:val="000000" w:themeColor="text1"/>
        </w:rPr>
        <w:t>%</w:t>
      </w:r>
      <w:r w:rsidRPr="008B619A">
        <w:rPr>
          <w:rFonts w:hint="eastAsia"/>
          <w:color w:val="000000" w:themeColor="text1"/>
        </w:rPr>
        <w:t>及3.3</w:t>
      </w:r>
      <w:r w:rsidR="000540B1" w:rsidRPr="008B619A">
        <w:rPr>
          <w:rFonts w:hint="eastAsia"/>
          <w:color w:val="000000" w:themeColor="text1"/>
        </w:rPr>
        <w:t>%</w:t>
      </w:r>
      <w:r w:rsidRPr="008B619A">
        <w:rPr>
          <w:rFonts w:hint="eastAsia"/>
          <w:color w:val="000000" w:themeColor="text1"/>
        </w:rPr>
        <w:t>，詳如下表：</w:t>
      </w:r>
    </w:p>
    <w:p w14:paraId="3AB1CF5B" w14:textId="77777777" w:rsidR="00ED1315" w:rsidRPr="008B619A" w:rsidRDefault="00ED1315" w:rsidP="00ED1315">
      <w:pPr>
        <w:pStyle w:val="a3"/>
        <w:ind w:left="1701" w:right="680" w:hanging="681"/>
        <w:jc w:val="center"/>
        <w:rPr>
          <w:b/>
          <w:color w:val="000000" w:themeColor="text1"/>
        </w:rPr>
      </w:pPr>
      <w:r w:rsidRPr="008B619A">
        <w:rPr>
          <w:rFonts w:hint="eastAsia"/>
          <w:b/>
          <w:color w:val="000000" w:themeColor="text1"/>
        </w:rPr>
        <w:t>近10年博士班學生人數結構-按學科三分類</w:t>
      </w:r>
    </w:p>
    <w:p w14:paraId="526CAD0D" w14:textId="77777777" w:rsidR="00ED1315" w:rsidRPr="008B619A" w:rsidRDefault="00ED1315" w:rsidP="00ED1315">
      <w:pPr>
        <w:spacing w:line="240" w:lineRule="exact"/>
        <w:jc w:val="right"/>
        <w:rPr>
          <w:color w:val="000000" w:themeColor="text1"/>
          <w:sz w:val="24"/>
          <w:szCs w:val="24"/>
        </w:rPr>
      </w:pPr>
      <w:r w:rsidRPr="008B619A">
        <w:rPr>
          <w:rFonts w:hint="eastAsia"/>
          <w:color w:val="000000" w:themeColor="text1"/>
          <w:sz w:val="24"/>
          <w:szCs w:val="24"/>
        </w:rPr>
        <w:t>單位：人；%</w:t>
      </w:r>
    </w:p>
    <w:tbl>
      <w:tblPr>
        <w:tblStyle w:val="afa"/>
        <w:tblW w:w="0" w:type="auto"/>
        <w:tblInd w:w="94" w:type="dxa"/>
        <w:tblLook w:val="04A0" w:firstRow="1" w:lastRow="0" w:firstColumn="1" w:lastColumn="0" w:noHBand="0" w:noVBand="1"/>
      </w:tblPr>
      <w:tblGrid>
        <w:gridCol w:w="994"/>
        <w:gridCol w:w="1116"/>
        <w:gridCol w:w="1107"/>
        <w:gridCol w:w="1100"/>
        <w:gridCol w:w="1107"/>
        <w:gridCol w:w="1100"/>
        <w:gridCol w:w="1116"/>
        <w:gridCol w:w="1100"/>
      </w:tblGrid>
      <w:tr w:rsidR="00ED1315" w:rsidRPr="008B619A" w14:paraId="54682DA8" w14:textId="77777777" w:rsidTr="006400F0">
        <w:trPr>
          <w:tblHeader/>
        </w:trPr>
        <w:tc>
          <w:tcPr>
            <w:tcW w:w="1018" w:type="dxa"/>
            <w:vMerge w:val="restart"/>
            <w:shd w:val="clear" w:color="auto" w:fill="E5DFEC" w:themeFill="accent4" w:themeFillTint="33"/>
            <w:vAlign w:val="center"/>
          </w:tcPr>
          <w:p w14:paraId="2E37A124" w14:textId="77777777" w:rsidR="00ED1315" w:rsidRPr="008B619A" w:rsidRDefault="00ED1315" w:rsidP="006400F0">
            <w:pPr>
              <w:spacing w:line="400" w:lineRule="exact"/>
              <w:jc w:val="center"/>
              <w:rPr>
                <w:rFonts w:ascii="Times New Roman"/>
                <w:b/>
                <w:color w:val="000000" w:themeColor="text1"/>
                <w:kern w:val="0"/>
                <w:sz w:val="26"/>
                <w:szCs w:val="26"/>
              </w:rPr>
            </w:pPr>
            <w:r w:rsidRPr="008B619A">
              <w:rPr>
                <w:rFonts w:ascii="Times New Roman" w:hint="eastAsia"/>
                <w:b/>
                <w:color w:val="000000" w:themeColor="text1"/>
                <w:kern w:val="0"/>
                <w:sz w:val="26"/>
                <w:szCs w:val="26"/>
              </w:rPr>
              <w:t>學年</w:t>
            </w:r>
          </w:p>
        </w:tc>
        <w:tc>
          <w:tcPr>
            <w:tcW w:w="1124" w:type="dxa"/>
            <w:vMerge w:val="restart"/>
            <w:shd w:val="clear" w:color="auto" w:fill="E5DFEC" w:themeFill="accent4" w:themeFillTint="33"/>
            <w:vAlign w:val="center"/>
          </w:tcPr>
          <w:p w14:paraId="272DBE9E" w14:textId="77777777" w:rsidR="00ED1315" w:rsidRPr="008B619A" w:rsidRDefault="00ED1315" w:rsidP="006400F0">
            <w:pPr>
              <w:spacing w:line="400" w:lineRule="exact"/>
              <w:jc w:val="center"/>
              <w:rPr>
                <w:rFonts w:ascii="Times New Roman"/>
                <w:b/>
                <w:color w:val="000000" w:themeColor="text1"/>
                <w:kern w:val="0"/>
                <w:sz w:val="26"/>
                <w:szCs w:val="26"/>
              </w:rPr>
            </w:pPr>
            <w:r w:rsidRPr="008B619A">
              <w:rPr>
                <w:rFonts w:ascii="Times New Roman" w:hint="eastAsia"/>
                <w:b/>
                <w:color w:val="000000" w:themeColor="text1"/>
                <w:kern w:val="0"/>
                <w:sz w:val="26"/>
                <w:szCs w:val="26"/>
              </w:rPr>
              <w:t>總計</w:t>
            </w:r>
          </w:p>
        </w:tc>
        <w:tc>
          <w:tcPr>
            <w:tcW w:w="1124" w:type="dxa"/>
            <w:vMerge w:val="restart"/>
            <w:tcBorders>
              <w:right w:val="nil"/>
            </w:tcBorders>
            <w:shd w:val="clear" w:color="auto" w:fill="E5DFEC" w:themeFill="accent4" w:themeFillTint="33"/>
            <w:vAlign w:val="center"/>
          </w:tcPr>
          <w:p w14:paraId="20F67364" w14:textId="77777777" w:rsidR="00ED1315" w:rsidRPr="008B619A" w:rsidRDefault="00ED1315" w:rsidP="006400F0">
            <w:pPr>
              <w:spacing w:line="400" w:lineRule="exact"/>
              <w:jc w:val="center"/>
              <w:rPr>
                <w:rFonts w:ascii="Times New Roman"/>
                <w:b/>
                <w:color w:val="000000" w:themeColor="text1"/>
                <w:kern w:val="0"/>
                <w:sz w:val="26"/>
                <w:szCs w:val="26"/>
              </w:rPr>
            </w:pPr>
            <w:r w:rsidRPr="008B619A">
              <w:rPr>
                <w:rFonts w:ascii="Times New Roman" w:hint="eastAsia"/>
                <w:b/>
                <w:color w:val="000000" w:themeColor="text1"/>
                <w:kern w:val="0"/>
                <w:sz w:val="26"/>
                <w:szCs w:val="26"/>
              </w:rPr>
              <w:t>人文</w:t>
            </w:r>
          </w:p>
        </w:tc>
        <w:tc>
          <w:tcPr>
            <w:tcW w:w="1125" w:type="dxa"/>
            <w:tcBorders>
              <w:left w:val="nil"/>
            </w:tcBorders>
            <w:shd w:val="clear" w:color="auto" w:fill="E5DFEC" w:themeFill="accent4" w:themeFillTint="33"/>
            <w:vAlign w:val="center"/>
          </w:tcPr>
          <w:p w14:paraId="29B57B73" w14:textId="77777777" w:rsidR="00ED1315" w:rsidRPr="008B619A" w:rsidRDefault="00ED1315" w:rsidP="006400F0">
            <w:pPr>
              <w:spacing w:line="400" w:lineRule="exact"/>
              <w:jc w:val="center"/>
              <w:rPr>
                <w:rFonts w:ascii="Times New Roman"/>
                <w:b/>
                <w:color w:val="000000" w:themeColor="text1"/>
                <w:kern w:val="0"/>
                <w:sz w:val="26"/>
                <w:szCs w:val="26"/>
              </w:rPr>
            </w:pPr>
          </w:p>
        </w:tc>
        <w:tc>
          <w:tcPr>
            <w:tcW w:w="1124" w:type="dxa"/>
            <w:vMerge w:val="restart"/>
            <w:tcBorders>
              <w:right w:val="nil"/>
            </w:tcBorders>
            <w:shd w:val="clear" w:color="auto" w:fill="E5DFEC" w:themeFill="accent4" w:themeFillTint="33"/>
            <w:vAlign w:val="center"/>
          </w:tcPr>
          <w:p w14:paraId="324DC67E" w14:textId="77777777" w:rsidR="00ED1315" w:rsidRPr="008B619A" w:rsidRDefault="00ED1315" w:rsidP="006400F0">
            <w:pPr>
              <w:spacing w:line="400" w:lineRule="exact"/>
              <w:jc w:val="center"/>
              <w:rPr>
                <w:rFonts w:ascii="Times New Roman"/>
                <w:b/>
                <w:color w:val="000000" w:themeColor="text1"/>
                <w:kern w:val="0"/>
                <w:sz w:val="26"/>
                <w:szCs w:val="26"/>
              </w:rPr>
            </w:pPr>
            <w:r w:rsidRPr="008B619A">
              <w:rPr>
                <w:rFonts w:ascii="Times New Roman" w:hint="eastAsia"/>
                <w:b/>
                <w:color w:val="000000" w:themeColor="text1"/>
                <w:kern w:val="0"/>
                <w:sz w:val="26"/>
                <w:szCs w:val="26"/>
              </w:rPr>
              <w:t>社會</w:t>
            </w:r>
          </w:p>
        </w:tc>
        <w:tc>
          <w:tcPr>
            <w:tcW w:w="1125" w:type="dxa"/>
            <w:tcBorders>
              <w:left w:val="nil"/>
            </w:tcBorders>
            <w:shd w:val="clear" w:color="auto" w:fill="E5DFEC" w:themeFill="accent4" w:themeFillTint="33"/>
            <w:vAlign w:val="center"/>
          </w:tcPr>
          <w:p w14:paraId="6CC48FD6" w14:textId="77777777" w:rsidR="00ED1315" w:rsidRPr="008B619A" w:rsidRDefault="00ED1315" w:rsidP="006400F0">
            <w:pPr>
              <w:spacing w:line="400" w:lineRule="exact"/>
              <w:jc w:val="center"/>
              <w:rPr>
                <w:rFonts w:ascii="Times New Roman"/>
                <w:b/>
                <w:color w:val="000000" w:themeColor="text1"/>
                <w:kern w:val="0"/>
                <w:sz w:val="26"/>
                <w:szCs w:val="26"/>
              </w:rPr>
            </w:pPr>
          </w:p>
        </w:tc>
        <w:tc>
          <w:tcPr>
            <w:tcW w:w="1124" w:type="dxa"/>
            <w:vMerge w:val="restart"/>
            <w:tcBorders>
              <w:right w:val="nil"/>
            </w:tcBorders>
            <w:shd w:val="clear" w:color="auto" w:fill="E5DFEC" w:themeFill="accent4" w:themeFillTint="33"/>
            <w:vAlign w:val="center"/>
          </w:tcPr>
          <w:p w14:paraId="4BCEEA32" w14:textId="77777777" w:rsidR="00ED1315" w:rsidRPr="008B619A" w:rsidRDefault="00ED1315" w:rsidP="006400F0">
            <w:pPr>
              <w:spacing w:line="400" w:lineRule="exact"/>
              <w:jc w:val="center"/>
              <w:rPr>
                <w:rFonts w:ascii="Times New Roman"/>
                <w:b/>
                <w:color w:val="000000" w:themeColor="text1"/>
                <w:kern w:val="0"/>
                <w:sz w:val="26"/>
                <w:szCs w:val="26"/>
              </w:rPr>
            </w:pPr>
            <w:r w:rsidRPr="008B619A">
              <w:rPr>
                <w:rFonts w:ascii="Times New Roman" w:hint="eastAsia"/>
                <w:b/>
                <w:color w:val="000000" w:themeColor="text1"/>
                <w:kern w:val="0"/>
                <w:sz w:val="26"/>
                <w:szCs w:val="26"/>
              </w:rPr>
              <w:t>科技</w:t>
            </w:r>
          </w:p>
        </w:tc>
        <w:tc>
          <w:tcPr>
            <w:tcW w:w="1125" w:type="dxa"/>
            <w:tcBorders>
              <w:left w:val="nil"/>
            </w:tcBorders>
            <w:shd w:val="clear" w:color="auto" w:fill="E5DFEC" w:themeFill="accent4" w:themeFillTint="33"/>
            <w:vAlign w:val="center"/>
          </w:tcPr>
          <w:p w14:paraId="5BFB57E7" w14:textId="77777777" w:rsidR="00ED1315" w:rsidRPr="008B619A" w:rsidRDefault="00ED1315" w:rsidP="006400F0">
            <w:pPr>
              <w:spacing w:line="400" w:lineRule="exact"/>
              <w:jc w:val="center"/>
              <w:rPr>
                <w:rFonts w:ascii="Times New Roman"/>
                <w:b/>
                <w:color w:val="000000" w:themeColor="text1"/>
                <w:kern w:val="0"/>
                <w:sz w:val="26"/>
                <w:szCs w:val="26"/>
              </w:rPr>
            </w:pPr>
          </w:p>
        </w:tc>
      </w:tr>
      <w:tr w:rsidR="00ED1315" w:rsidRPr="008B619A" w14:paraId="74F2EEBE" w14:textId="77777777" w:rsidTr="00AC4CDF">
        <w:trPr>
          <w:trHeight w:val="210"/>
          <w:tblHeader/>
        </w:trPr>
        <w:tc>
          <w:tcPr>
            <w:tcW w:w="1018" w:type="dxa"/>
            <w:vMerge/>
            <w:shd w:val="clear" w:color="auto" w:fill="E5DFEC" w:themeFill="accent4" w:themeFillTint="33"/>
            <w:vAlign w:val="center"/>
          </w:tcPr>
          <w:p w14:paraId="3BAC5FB9" w14:textId="77777777" w:rsidR="00ED1315" w:rsidRPr="008B619A" w:rsidRDefault="00ED1315" w:rsidP="006400F0">
            <w:pPr>
              <w:spacing w:line="400" w:lineRule="exact"/>
              <w:jc w:val="center"/>
              <w:rPr>
                <w:rFonts w:ascii="Times New Roman"/>
                <w:b/>
                <w:color w:val="000000" w:themeColor="text1"/>
                <w:kern w:val="0"/>
                <w:sz w:val="26"/>
                <w:szCs w:val="26"/>
              </w:rPr>
            </w:pPr>
          </w:p>
        </w:tc>
        <w:tc>
          <w:tcPr>
            <w:tcW w:w="1124" w:type="dxa"/>
            <w:vMerge/>
            <w:shd w:val="clear" w:color="auto" w:fill="E5DFEC" w:themeFill="accent4" w:themeFillTint="33"/>
            <w:vAlign w:val="center"/>
          </w:tcPr>
          <w:p w14:paraId="5EE0FFF1" w14:textId="77777777" w:rsidR="00ED1315" w:rsidRPr="008B619A" w:rsidRDefault="00ED1315" w:rsidP="006400F0">
            <w:pPr>
              <w:spacing w:line="400" w:lineRule="exact"/>
              <w:jc w:val="center"/>
              <w:rPr>
                <w:rFonts w:ascii="Times New Roman"/>
                <w:b/>
                <w:color w:val="000000" w:themeColor="text1"/>
                <w:kern w:val="0"/>
                <w:sz w:val="26"/>
                <w:szCs w:val="26"/>
              </w:rPr>
            </w:pPr>
          </w:p>
        </w:tc>
        <w:tc>
          <w:tcPr>
            <w:tcW w:w="1124" w:type="dxa"/>
            <w:vMerge/>
            <w:shd w:val="clear" w:color="auto" w:fill="E5DFEC" w:themeFill="accent4" w:themeFillTint="33"/>
            <w:vAlign w:val="center"/>
          </w:tcPr>
          <w:p w14:paraId="78C7A22E" w14:textId="77777777" w:rsidR="00ED1315" w:rsidRPr="008B619A" w:rsidRDefault="00ED1315" w:rsidP="006400F0">
            <w:pPr>
              <w:spacing w:line="400" w:lineRule="exact"/>
              <w:jc w:val="center"/>
              <w:rPr>
                <w:rFonts w:ascii="Times New Roman"/>
                <w:b/>
                <w:color w:val="000000" w:themeColor="text1"/>
                <w:kern w:val="0"/>
                <w:sz w:val="26"/>
                <w:szCs w:val="26"/>
              </w:rPr>
            </w:pPr>
          </w:p>
        </w:tc>
        <w:tc>
          <w:tcPr>
            <w:tcW w:w="1125" w:type="dxa"/>
            <w:shd w:val="clear" w:color="auto" w:fill="E5DFEC" w:themeFill="accent4" w:themeFillTint="33"/>
            <w:vAlign w:val="center"/>
          </w:tcPr>
          <w:p w14:paraId="1DA5B28D" w14:textId="77777777" w:rsidR="00ED1315" w:rsidRPr="008B619A" w:rsidRDefault="00ED1315" w:rsidP="006400F0">
            <w:pPr>
              <w:spacing w:line="400" w:lineRule="exact"/>
              <w:jc w:val="center"/>
              <w:rPr>
                <w:rFonts w:ascii="Times New Roman"/>
                <w:b/>
                <w:color w:val="000000" w:themeColor="text1"/>
                <w:kern w:val="0"/>
                <w:sz w:val="26"/>
                <w:szCs w:val="26"/>
              </w:rPr>
            </w:pPr>
            <w:r w:rsidRPr="008B619A">
              <w:rPr>
                <w:rFonts w:ascii="Times New Roman" w:hint="eastAsia"/>
                <w:b/>
                <w:color w:val="000000" w:themeColor="text1"/>
                <w:kern w:val="0"/>
                <w:sz w:val="26"/>
                <w:szCs w:val="26"/>
              </w:rPr>
              <w:t>占比</w:t>
            </w:r>
          </w:p>
        </w:tc>
        <w:tc>
          <w:tcPr>
            <w:tcW w:w="1124" w:type="dxa"/>
            <w:vMerge/>
            <w:shd w:val="clear" w:color="auto" w:fill="E5DFEC" w:themeFill="accent4" w:themeFillTint="33"/>
            <w:vAlign w:val="center"/>
          </w:tcPr>
          <w:p w14:paraId="78BF9E2A" w14:textId="77777777" w:rsidR="00ED1315" w:rsidRPr="008B619A" w:rsidRDefault="00ED1315" w:rsidP="006400F0">
            <w:pPr>
              <w:spacing w:line="400" w:lineRule="exact"/>
              <w:jc w:val="center"/>
              <w:rPr>
                <w:rFonts w:ascii="Times New Roman"/>
                <w:b/>
                <w:color w:val="000000" w:themeColor="text1"/>
                <w:kern w:val="0"/>
                <w:sz w:val="26"/>
                <w:szCs w:val="26"/>
              </w:rPr>
            </w:pPr>
          </w:p>
        </w:tc>
        <w:tc>
          <w:tcPr>
            <w:tcW w:w="1125" w:type="dxa"/>
            <w:shd w:val="clear" w:color="auto" w:fill="E5DFEC" w:themeFill="accent4" w:themeFillTint="33"/>
            <w:vAlign w:val="center"/>
          </w:tcPr>
          <w:p w14:paraId="6A23B461" w14:textId="77777777" w:rsidR="00ED1315" w:rsidRPr="008B619A" w:rsidRDefault="00ED1315" w:rsidP="006400F0">
            <w:pPr>
              <w:spacing w:line="400" w:lineRule="exact"/>
              <w:jc w:val="center"/>
              <w:rPr>
                <w:rFonts w:ascii="Times New Roman"/>
                <w:b/>
                <w:color w:val="000000" w:themeColor="text1"/>
                <w:kern w:val="0"/>
                <w:sz w:val="26"/>
                <w:szCs w:val="26"/>
              </w:rPr>
            </w:pPr>
            <w:r w:rsidRPr="008B619A">
              <w:rPr>
                <w:rFonts w:ascii="Times New Roman" w:hint="eastAsia"/>
                <w:b/>
                <w:color w:val="000000" w:themeColor="text1"/>
                <w:kern w:val="0"/>
                <w:sz w:val="26"/>
                <w:szCs w:val="26"/>
              </w:rPr>
              <w:t>占比</w:t>
            </w:r>
          </w:p>
        </w:tc>
        <w:tc>
          <w:tcPr>
            <w:tcW w:w="1124" w:type="dxa"/>
            <w:vMerge/>
            <w:shd w:val="clear" w:color="auto" w:fill="E5DFEC" w:themeFill="accent4" w:themeFillTint="33"/>
            <w:vAlign w:val="center"/>
          </w:tcPr>
          <w:p w14:paraId="76CBE8A4" w14:textId="77777777" w:rsidR="00ED1315" w:rsidRPr="008B619A" w:rsidRDefault="00ED1315" w:rsidP="006400F0">
            <w:pPr>
              <w:spacing w:line="400" w:lineRule="exact"/>
              <w:jc w:val="center"/>
              <w:rPr>
                <w:rFonts w:ascii="Times New Roman"/>
                <w:b/>
                <w:color w:val="000000" w:themeColor="text1"/>
                <w:kern w:val="0"/>
                <w:sz w:val="26"/>
                <w:szCs w:val="26"/>
              </w:rPr>
            </w:pPr>
          </w:p>
        </w:tc>
        <w:tc>
          <w:tcPr>
            <w:tcW w:w="1125" w:type="dxa"/>
            <w:shd w:val="clear" w:color="auto" w:fill="E5DFEC" w:themeFill="accent4" w:themeFillTint="33"/>
            <w:vAlign w:val="center"/>
          </w:tcPr>
          <w:p w14:paraId="07A8E201" w14:textId="77777777" w:rsidR="00ED1315" w:rsidRPr="008B619A" w:rsidRDefault="00ED1315" w:rsidP="006400F0">
            <w:pPr>
              <w:spacing w:line="400" w:lineRule="exact"/>
              <w:jc w:val="center"/>
              <w:rPr>
                <w:rFonts w:ascii="Times New Roman"/>
                <w:b/>
                <w:color w:val="000000" w:themeColor="text1"/>
                <w:kern w:val="0"/>
                <w:sz w:val="26"/>
                <w:szCs w:val="26"/>
              </w:rPr>
            </w:pPr>
            <w:r w:rsidRPr="008B619A">
              <w:rPr>
                <w:rFonts w:ascii="Times New Roman" w:hint="eastAsia"/>
                <w:b/>
                <w:color w:val="000000" w:themeColor="text1"/>
                <w:kern w:val="0"/>
                <w:sz w:val="26"/>
                <w:szCs w:val="26"/>
              </w:rPr>
              <w:t>占比</w:t>
            </w:r>
          </w:p>
        </w:tc>
      </w:tr>
      <w:tr w:rsidR="00ED1315" w:rsidRPr="008B619A" w14:paraId="1232129C" w14:textId="77777777" w:rsidTr="00AC4CDF">
        <w:trPr>
          <w:trHeight w:val="74"/>
        </w:trPr>
        <w:tc>
          <w:tcPr>
            <w:tcW w:w="1018" w:type="dxa"/>
          </w:tcPr>
          <w:p w14:paraId="26BDD993" w14:textId="77777777" w:rsidR="00ED1315" w:rsidRPr="008B619A" w:rsidRDefault="00ED1315" w:rsidP="006400F0">
            <w:pPr>
              <w:spacing w:line="400" w:lineRule="exact"/>
              <w:jc w:val="center"/>
              <w:rPr>
                <w:rFonts w:ascii="Times New Roman"/>
                <w:b/>
                <w:color w:val="000000" w:themeColor="text1"/>
                <w:kern w:val="0"/>
                <w:sz w:val="26"/>
                <w:szCs w:val="26"/>
              </w:rPr>
            </w:pPr>
            <w:r w:rsidRPr="008B619A">
              <w:rPr>
                <w:rFonts w:ascii="Times New Roman" w:hint="eastAsia"/>
                <w:b/>
                <w:color w:val="000000" w:themeColor="text1"/>
                <w:kern w:val="0"/>
                <w:sz w:val="26"/>
                <w:szCs w:val="26"/>
              </w:rPr>
              <w:t>99</w:t>
            </w:r>
          </w:p>
        </w:tc>
        <w:tc>
          <w:tcPr>
            <w:tcW w:w="1124" w:type="dxa"/>
          </w:tcPr>
          <w:p w14:paraId="5C509B44" w14:textId="77777777" w:rsidR="00ED1315" w:rsidRPr="008B619A" w:rsidRDefault="00ED1315" w:rsidP="006400F0">
            <w:pPr>
              <w:spacing w:line="400" w:lineRule="exact"/>
              <w:jc w:val="center"/>
              <w:rPr>
                <w:rFonts w:ascii="Times New Roman"/>
                <w:color w:val="000000" w:themeColor="text1"/>
                <w:kern w:val="0"/>
                <w:sz w:val="26"/>
                <w:szCs w:val="26"/>
              </w:rPr>
            </w:pPr>
            <w:r w:rsidRPr="008B619A">
              <w:rPr>
                <w:rFonts w:ascii="Times New Roman" w:hint="eastAsia"/>
                <w:color w:val="000000" w:themeColor="text1"/>
                <w:kern w:val="0"/>
                <w:sz w:val="26"/>
                <w:szCs w:val="26"/>
              </w:rPr>
              <w:t>34,178</w:t>
            </w:r>
          </w:p>
        </w:tc>
        <w:tc>
          <w:tcPr>
            <w:tcW w:w="1124" w:type="dxa"/>
          </w:tcPr>
          <w:p w14:paraId="1B6168C1" w14:textId="77777777" w:rsidR="00ED1315" w:rsidRPr="008B619A" w:rsidRDefault="00ED1315" w:rsidP="006400F0">
            <w:pPr>
              <w:spacing w:line="400" w:lineRule="exact"/>
              <w:jc w:val="center"/>
              <w:rPr>
                <w:rFonts w:ascii="Times New Roman"/>
                <w:color w:val="000000" w:themeColor="text1"/>
                <w:kern w:val="0"/>
                <w:sz w:val="26"/>
                <w:szCs w:val="26"/>
              </w:rPr>
            </w:pPr>
            <w:r w:rsidRPr="008B619A">
              <w:rPr>
                <w:rFonts w:ascii="Times New Roman" w:hint="eastAsia"/>
                <w:color w:val="000000" w:themeColor="text1"/>
                <w:kern w:val="0"/>
                <w:sz w:val="26"/>
                <w:szCs w:val="26"/>
              </w:rPr>
              <w:t>5,651</w:t>
            </w:r>
          </w:p>
        </w:tc>
        <w:tc>
          <w:tcPr>
            <w:tcW w:w="1125" w:type="dxa"/>
          </w:tcPr>
          <w:p w14:paraId="02FC80EB" w14:textId="77777777" w:rsidR="00ED1315" w:rsidRPr="008B619A" w:rsidRDefault="00ED1315" w:rsidP="006400F0">
            <w:pPr>
              <w:spacing w:line="400" w:lineRule="exact"/>
              <w:jc w:val="center"/>
              <w:rPr>
                <w:rFonts w:ascii="Times New Roman"/>
                <w:color w:val="000000" w:themeColor="text1"/>
                <w:kern w:val="0"/>
                <w:sz w:val="26"/>
                <w:szCs w:val="26"/>
              </w:rPr>
            </w:pPr>
            <w:r w:rsidRPr="008B619A">
              <w:rPr>
                <w:rFonts w:ascii="Times New Roman" w:hint="eastAsia"/>
                <w:color w:val="000000" w:themeColor="text1"/>
                <w:kern w:val="0"/>
                <w:sz w:val="26"/>
                <w:szCs w:val="26"/>
              </w:rPr>
              <w:t>16.5</w:t>
            </w:r>
          </w:p>
        </w:tc>
        <w:tc>
          <w:tcPr>
            <w:tcW w:w="1124" w:type="dxa"/>
          </w:tcPr>
          <w:p w14:paraId="2BEA71D1" w14:textId="77777777" w:rsidR="00ED1315" w:rsidRPr="008B619A" w:rsidRDefault="00ED1315" w:rsidP="006400F0">
            <w:pPr>
              <w:spacing w:line="400" w:lineRule="exact"/>
              <w:jc w:val="center"/>
              <w:rPr>
                <w:rFonts w:ascii="Times New Roman"/>
                <w:color w:val="000000" w:themeColor="text1"/>
                <w:kern w:val="0"/>
                <w:sz w:val="26"/>
                <w:szCs w:val="26"/>
              </w:rPr>
            </w:pPr>
            <w:r w:rsidRPr="008B619A">
              <w:rPr>
                <w:rFonts w:ascii="Times New Roman" w:hint="eastAsia"/>
                <w:color w:val="000000" w:themeColor="text1"/>
                <w:kern w:val="0"/>
                <w:sz w:val="26"/>
                <w:szCs w:val="26"/>
              </w:rPr>
              <w:t>5,266</w:t>
            </w:r>
          </w:p>
        </w:tc>
        <w:tc>
          <w:tcPr>
            <w:tcW w:w="1125" w:type="dxa"/>
          </w:tcPr>
          <w:p w14:paraId="5C1D2C7A" w14:textId="77777777" w:rsidR="00ED1315" w:rsidRPr="008B619A" w:rsidRDefault="00ED1315" w:rsidP="006400F0">
            <w:pPr>
              <w:spacing w:line="400" w:lineRule="exact"/>
              <w:jc w:val="center"/>
              <w:rPr>
                <w:rFonts w:ascii="Times New Roman"/>
                <w:color w:val="000000" w:themeColor="text1"/>
                <w:kern w:val="0"/>
                <w:sz w:val="26"/>
                <w:szCs w:val="26"/>
              </w:rPr>
            </w:pPr>
            <w:r w:rsidRPr="008B619A">
              <w:rPr>
                <w:rFonts w:ascii="Times New Roman" w:hint="eastAsia"/>
                <w:color w:val="000000" w:themeColor="text1"/>
                <w:kern w:val="0"/>
                <w:sz w:val="26"/>
                <w:szCs w:val="26"/>
              </w:rPr>
              <w:t>15.4</w:t>
            </w:r>
          </w:p>
        </w:tc>
        <w:tc>
          <w:tcPr>
            <w:tcW w:w="1124" w:type="dxa"/>
          </w:tcPr>
          <w:p w14:paraId="66403516" w14:textId="77777777" w:rsidR="00ED1315" w:rsidRPr="008B619A" w:rsidRDefault="00ED1315" w:rsidP="006400F0">
            <w:pPr>
              <w:spacing w:line="400" w:lineRule="exact"/>
              <w:jc w:val="center"/>
              <w:rPr>
                <w:rFonts w:ascii="Times New Roman"/>
                <w:color w:val="000000" w:themeColor="text1"/>
                <w:kern w:val="0"/>
                <w:sz w:val="26"/>
                <w:szCs w:val="26"/>
              </w:rPr>
            </w:pPr>
            <w:r w:rsidRPr="008B619A">
              <w:rPr>
                <w:rFonts w:ascii="Times New Roman" w:hint="eastAsia"/>
                <w:color w:val="000000" w:themeColor="text1"/>
                <w:kern w:val="0"/>
                <w:sz w:val="26"/>
                <w:szCs w:val="26"/>
              </w:rPr>
              <w:t>23,261</w:t>
            </w:r>
          </w:p>
        </w:tc>
        <w:tc>
          <w:tcPr>
            <w:tcW w:w="1125" w:type="dxa"/>
          </w:tcPr>
          <w:p w14:paraId="484174FE" w14:textId="77777777" w:rsidR="00ED1315" w:rsidRPr="008B619A" w:rsidRDefault="00ED1315" w:rsidP="006400F0">
            <w:pPr>
              <w:spacing w:line="400" w:lineRule="exact"/>
              <w:jc w:val="center"/>
              <w:rPr>
                <w:rFonts w:ascii="Times New Roman"/>
                <w:color w:val="000000" w:themeColor="text1"/>
                <w:kern w:val="0"/>
                <w:sz w:val="26"/>
                <w:szCs w:val="26"/>
              </w:rPr>
            </w:pPr>
            <w:r w:rsidRPr="008B619A">
              <w:rPr>
                <w:rFonts w:ascii="Times New Roman" w:hint="eastAsia"/>
                <w:color w:val="000000" w:themeColor="text1"/>
                <w:kern w:val="0"/>
                <w:sz w:val="26"/>
                <w:szCs w:val="26"/>
              </w:rPr>
              <w:t>68.1</w:t>
            </w:r>
          </w:p>
        </w:tc>
      </w:tr>
      <w:tr w:rsidR="00ED1315" w:rsidRPr="008B619A" w14:paraId="56735D5C" w14:textId="77777777" w:rsidTr="006400F0">
        <w:tc>
          <w:tcPr>
            <w:tcW w:w="1018" w:type="dxa"/>
          </w:tcPr>
          <w:p w14:paraId="2600B873" w14:textId="77777777" w:rsidR="00ED1315" w:rsidRPr="008B619A" w:rsidRDefault="00ED1315" w:rsidP="006400F0">
            <w:pPr>
              <w:spacing w:line="400" w:lineRule="exact"/>
              <w:jc w:val="center"/>
              <w:rPr>
                <w:rFonts w:ascii="Times New Roman"/>
                <w:b/>
                <w:color w:val="000000" w:themeColor="text1"/>
                <w:kern w:val="0"/>
                <w:sz w:val="26"/>
                <w:szCs w:val="26"/>
              </w:rPr>
            </w:pPr>
            <w:r w:rsidRPr="008B619A">
              <w:rPr>
                <w:rFonts w:ascii="Times New Roman" w:hint="eastAsia"/>
                <w:b/>
                <w:color w:val="000000" w:themeColor="text1"/>
                <w:kern w:val="0"/>
                <w:sz w:val="26"/>
                <w:szCs w:val="26"/>
              </w:rPr>
              <w:t>100</w:t>
            </w:r>
          </w:p>
        </w:tc>
        <w:tc>
          <w:tcPr>
            <w:tcW w:w="1124" w:type="dxa"/>
          </w:tcPr>
          <w:p w14:paraId="04B0DC16" w14:textId="77777777" w:rsidR="00ED1315" w:rsidRPr="008B619A" w:rsidRDefault="00ED1315" w:rsidP="006400F0">
            <w:pPr>
              <w:spacing w:line="400" w:lineRule="exact"/>
              <w:jc w:val="center"/>
              <w:rPr>
                <w:rFonts w:ascii="Times New Roman"/>
                <w:color w:val="000000" w:themeColor="text1"/>
                <w:kern w:val="0"/>
                <w:sz w:val="26"/>
                <w:szCs w:val="26"/>
              </w:rPr>
            </w:pPr>
            <w:r w:rsidRPr="008B619A">
              <w:rPr>
                <w:rFonts w:ascii="Times New Roman" w:hint="eastAsia"/>
                <w:color w:val="000000" w:themeColor="text1"/>
                <w:kern w:val="0"/>
                <w:sz w:val="26"/>
                <w:szCs w:val="26"/>
              </w:rPr>
              <w:t>33,686</w:t>
            </w:r>
          </w:p>
        </w:tc>
        <w:tc>
          <w:tcPr>
            <w:tcW w:w="1124" w:type="dxa"/>
          </w:tcPr>
          <w:p w14:paraId="0FF7F656" w14:textId="77777777" w:rsidR="00ED1315" w:rsidRPr="008B619A" w:rsidRDefault="00ED1315" w:rsidP="006400F0">
            <w:pPr>
              <w:spacing w:line="400" w:lineRule="exact"/>
              <w:jc w:val="center"/>
              <w:rPr>
                <w:rFonts w:ascii="Times New Roman"/>
                <w:color w:val="000000" w:themeColor="text1"/>
                <w:kern w:val="0"/>
                <w:sz w:val="26"/>
                <w:szCs w:val="26"/>
              </w:rPr>
            </w:pPr>
            <w:r w:rsidRPr="008B619A">
              <w:rPr>
                <w:rFonts w:ascii="Times New Roman" w:hint="eastAsia"/>
                <w:color w:val="000000" w:themeColor="text1"/>
                <w:kern w:val="0"/>
                <w:sz w:val="26"/>
                <w:szCs w:val="26"/>
              </w:rPr>
              <w:t>5,807</w:t>
            </w:r>
          </w:p>
        </w:tc>
        <w:tc>
          <w:tcPr>
            <w:tcW w:w="1125" w:type="dxa"/>
          </w:tcPr>
          <w:p w14:paraId="36B1F984" w14:textId="77777777" w:rsidR="00ED1315" w:rsidRPr="008B619A" w:rsidRDefault="00ED1315" w:rsidP="006400F0">
            <w:pPr>
              <w:spacing w:line="400" w:lineRule="exact"/>
              <w:jc w:val="center"/>
              <w:rPr>
                <w:rFonts w:ascii="Times New Roman"/>
                <w:color w:val="000000" w:themeColor="text1"/>
                <w:kern w:val="0"/>
                <w:sz w:val="26"/>
                <w:szCs w:val="26"/>
              </w:rPr>
            </w:pPr>
            <w:r w:rsidRPr="008B619A">
              <w:rPr>
                <w:rFonts w:ascii="Times New Roman" w:hint="eastAsia"/>
                <w:color w:val="000000" w:themeColor="text1"/>
                <w:kern w:val="0"/>
                <w:sz w:val="26"/>
                <w:szCs w:val="26"/>
              </w:rPr>
              <w:t>17.2</w:t>
            </w:r>
          </w:p>
        </w:tc>
        <w:tc>
          <w:tcPr>
            <w:tcW w:w="1124" w:type="dxa"/>
          </w:tcPr>
          <w:p w14:paraId="64BE003D" w14:textId="77777777" w:rsidR="00ED1315" w:rsidRPr="008B619A" w:rsidRDefault="00ED1315" w:rsidP="006400F0">
            <w:pPr>
              <w:spacing w:line="400" w:lineRule="exact"/>
              <w:jc w:val="center"/>
              <w:rPr>
                <w:rFonts w:ascii="Times New Roman"/>
                <w:color w:val="000000" w:themeColor="text1"/>
                <w:kern w:val="0"/>
                <w:sz w:val="26"/>
                <w:szCs w:val="26"/>
              </w:rPr>
            </w:pPr>
            <w:r w:rsidRPr="008B619A">
              <w:rPr>
                <w:rFonts w:ascii="Times New Roman" w:hint="eastAsia"/>
                <w:color w:val="000000" w:themeColor="text1"/>
                <w:kern w:val="0"/>
                <w:sz w:val="26"/>
                <w:szCs w:val="26"/>
              </w:rPr>
              <w:t>5,232</w:t>
            </w:r>
          </w:p>
        </w:tc>
        <w:tc>
          <w:tcPr>
            <w:tcW w:w="1125" w:type="dxa"/>
          </w:tcPr>
          <w:p w14:paraId="681C0258" w14:textId="77777777" w:rsidR="00ED1315" w:rsidRPr="008B619A" w:rsidRDefault="00ED1315" w:rsidP="006400F0">
            <w:pPr>
              <w:spacing w:line="400" w:lineRule="exact"/>
              <w:jc w:val="center"/>
              <w:rPr>
                <w:rFonts w:ascii="Times New Roman"/>
                <w:color w:val="000000" w:themeColor="text1"/>
                <w:kern w:val="0"/>
                <w:sz w:val="26"/>
                <w:szCs w:val="26"/>
              </w:rPr>
            </w:pPr>
            <w:r w:rsidRPr="008B619A">
              <w:rPr>
                <w:rFonts w:ascii="Times New Roman" w:hint="eastAsia"/>
                <w:color w:val="000000" w:themeColor="text1"/>
                <w:kern w:val="0"/>
                <w:sz w:val="26"/>
                <w:szCs w:val="26"/>
              </w:rPr>
              <w:t>15.5</w:t>
            </w:r>
          </w:p>
        </w:tc>
        <w:tc>
          <w:tcPr>
            <w:tcW w:w="1124" w:type="dxa"/>
          </w:tcPr>
          <w:p w14:paraId="1592D02D" w14:textId="77777777" w:rsidR="00ED1315" w:rsidRPr="008B619A" w:rsidRDefault="00ED1315" w:rsidP="006400F0">
            <w:pPr>
              <w:spacing w:line="400" w:lineRule="exact"/>
              <w:jc w:val="center"/>
              <w:rPr>
                <w:rFonts w:ascii="Times New Roman"/>
                <w:color w:val="000000" w:themeColor="text1"/>
                <w:kern w:val="0"/>
                <w:sz w:val="26"/>
                <w:szCs w:val="26"/>
              </w:rPr>
            </w:pPr>
            <w:r w:rsidRPr="008B619A">
              <w:rPr>
                <w:rFonts w:ascii="Times New Roman" w:hint="eastAsia"/>
                <w:color w:val="000000" w:themeColor="text1"/>
                <w:kern w:val="0"/>
                <w:sz w:val="26"/>
                <w:szCs w:val="26"/>
              </w:rPr>
              <w:t>22,647</w:t>
            </w:r>
          </w:p>
        </w:tc>
        <w:tc>
          <w:tcPr>
            <w:tcW w:w="1125" w:type="dxa"/>
          </w:tcPr>
          <w:p w14:paraId="3C48F888" w14:textId="77777777" w:rsidR="00ED1315" w:rsidRPr="008B619A" w:rsidRDefault="00ED1315" w:rsidP="006400F0">
            <w:pPr>
              <w:spacing w:line="400" w:lineRule="exact"/>
              <w:jc w:val="center"/>
              <w:rPr>
                <w:rFonts w:ascii="Times New Roman"/>
                <w:color w:val="000000" w:themeColor="text1"/>
                <w:kern w:val="0"/>
                <w:sz w:val="26"/>
                <w:szCs w:val="26"/>
              </w:rPr>
            </w:pPr>
            <w:r w:rsidRPr="008B619A">
              <w:rPr>
                <w:rFonts w:ascii="Times New Roman" w:hint="eastAsia"/>
                <w:color w:val="000000" w:themeColor="text1"/>
                <w:kern w:val="0"/>
                <w:sz w:val="26"/>
                <w:szCs w:val="26"/>
              </w:rPr>
              <w:t>67.2</w:t>
            </w:r>
          </w:p>
        </w:tc>
      </w:tr>
      <w:tr w:rsidR="00ED1315" w:rsidRPr="008B619A" w14:paraId="5DFAE55B" w14:textId="77777777" w:rsidTr="006400F0">
        <w:tc>
          <w:tcPr>
            <w:tcW w:w="1018" w:type="dxa"/>
          </w:tcPr>
          <w:p w14:paraId="22D1781A" w14:textId="77777777" w:rsidR="00ED1315" w:rsidRPr="008B619A" w:rsidRDefault="00ED1315" w:rsidP="006400F0">
            <w:pPr>
              <w:spacing w:line="400" w:lineRule="exact"/>
              <w:jc w:val="center"/>
              <w:rPr>
                <w:rFonts w:ascii="Times New Roman"/>
                <w:b/>
                <w:color w:val="000000" w:themeColor="text1"/>
                <w:kern w:val="0"/>
                <w:sz w:val="26"/>
                <w:szCs w:val="26"/>
              </w:rPr>
            </w:pPr>
            <w:r w:rsidRPr="008B619A">
              <w:rPr>
                <w:rFonts w:ascii="Times New Roman" w:hint="eastAsia"/>
                <w:b/>
                <w:color w:val="000000" w:themeColor="text1"/>
                <w:kern w:val="0"/>
                <w:sz w:val="26"/>
                <w:szCs w:val="26"/>
              </w:rPr>
              <w:lastRenderedPageBreak/>
              <w:t>101</w:t>
            </w:r>
          </w:p>
        </w:tc>
        <w:tc>
          <w:tcPr>
            <w:tcW w:w="1124" w:type="dxa"/>
          </w:tcPr>
          <w:p w14:paraId="58F94394" w14:textId="77777777" w:rsidR="00ED1315" w:rsidRPr="008B619A" w:rsidRDefault="00ED1315" w:rsidP="006400F0">
            <w:pPr>
              <w:spacing w:line="400" w:lineRule="exact"/>
              <w:jc w:val="center"/>
              <w:rPr>
                <w:rFonts w:ascii="Times New Roman"/>
                <w:color w:val="000000" w:themeColor="text1"/>
                <w:kern w:val="0"/>
                <w:sz w:val="26"/>
                <w:szCs w:val="26"/>
              </w:rPr>
            </w:pPr>
            <w:r w:rsidRPr="008B619A">
              <w:rPr>
                <w:rFonts w:ascii="Times New Roman" w:hint="eastAsia"/>
                <w:color w:val="000000" w:themeColor="text1"/>
                <w:kern w:val="0"/>
                <w:sz w:val="26"/>
                <w:szCs w:val="26"/>
              </w:rPr>
              <w:t>32,731</w:t>
            </w:r>
          </w:p>
        </w:tc>
        <w:tc>
          <w:tcPr>
            <w:tcW w:w="1124" w:type="dxa"/>
          </w:tcPr>
          <w:p w14:paraId="6DA25F34" w14:textId="77777777" w:rsidR="00ED1315" w:rsidRPr="008B619A" w:rsidRDefault="00ED1315" w:rsidP="006400F0">
            <w:pPr>
              <w:spacing w:line="400" w:lineRule="exact"/>
              <w:jc w:val="center"/>
              <w:rPr>
                <w:rFonts w:ascii="Times New Roman"/>
                <w:color w:val="000000" w:themeColor="text1"/>
                <w:kern w:val="0"/>
                <w:sz w:val="26"/>
                <w:szCs w:val="26"/>
              </w:rPr>
            </w:pPr>
            <w:r w:rsidRPr="008B619A">
              <w:rPr>
                <w:rFonts w:ascii="Times New Roman" w:hint="eastAsia"/>
                <w:color w:val="000000" w:themeColor="text1"/>
                <w:kern w:val="0"/>
                <w:sz w:val="26"/>
                <w:szCs w:val="26"/>
              </w:rPr>
              <w:t>5,857</w:t>
            </w:r>
          </w:p>
        </w:tc>
        <w:tc>
          <w:tcPr>
            <w:tcW w:w="1125" w:type="dxa"/>
          </w:tcPr>
          <w:p w14:paraId="092B30F3" w14:textId="77777777" w:rsidR="00ED1315" w:rsidRPr="008B619A" w:rsidRDefault="00ED1315" w:rsidP="006400F0">
            <w:pPr>
              <w:spacing w:line="400" w:lineRule="exact"/>
              <w:jc w:val="center"/>
              <w:rPr>
                <w:rFonts w:ascii="Times New Roman"/>
                <w:color w:val="000000" w:themeColor="text1"/>
                <w:kern w:val="0"/>
                <w:sz w:val="26"/>
                <w:szCs w:val="26"/>
              </w:rPr>
            </w:pPr>
            <w:r w:rsidRPr="008B619A">
              <w:rPr>
                <w:rFonts w:ascii="Times New Roman" w:hint="eastAsia"/>
                <w:color w:val="000000" w:themeColor="text1"/>
                <w:kern w:val="0"/>
                <w:sz w:val="26"/>
                <w:szCs w:val="26"/>
              </w:rPr>
              <w:t>17.9</w:t>
            </w:r>
          </w:p>
        </w:tc>
        <w:tc>
          <w:tcPr>
            <w:tcW w:w="1124" w:type="dxa"/>
          </w:tcPr>
          <w:p w14:paraId="590192D9" w14:textId="77777777" w:rsidR="00ED1315" w:rsidRPr="008B619A" w:rsidRDefault="00ED1315" w:rsidP="006400F0">
            <w:pPr>
              <w:spacing w:line="400" w:lineRule="exact"/>
              <w:jc w:val="center"/>
              <w:rPr>
                <w:rFonts w:ascii="Times New Roman"/>
                <w:color w:val="000000" w:themeColor="text1"/>
                <w:kern w:val="0"/>
                <w:sz w:val="26"/>
                <w:szCs w:val="26"/>
              </w:rPr>
            </w:pPr>
            <w:r w:rsidRPr="008B619A">
              <w:rPr>
                <w:rFonts w:ascii="Times New Roman" w:hint="eastAsia"/>
                <w:color w:val="000000" w:themeColor="text1"/>
                <w:kern w:val="0"/>
                <w:sz w:val="26"/>
                <w:szCs w:val="26"/>
              </w:rPr>
              <w:t>5,171</w:t>
            </w:r>
          </w:p>
        </w:tc>
        <w:tc>
          <w:tcPr>
            <w:tcW w:w="1125" w:type="dxa"/>
          </w:tcPr>
          <w:p w14:paraId="2C6B6DFE" w14:textId="77777777" w:rsidR="00ED1315" w:rsidRPr="008B619A" w:rsidRDefault="00ED1315" w:rsidP="006400F0">
            <w:pPr>
              <w:spacing w:line="400" w:lineRule="exact"/>
              <w:jc w:val="center"/>
              <w:rPr>
                <w:rFonts w:ascii="Times New Roman"/>
                <w:color w:val="000000" w:themeColor="text1"/>
                <w:kern w:val="0"/>
                <w:sz w:val="26"/>
                <w:szCs w:val="26"/>
              </w:rPr>
            </w:pPr>
            <w:r w:rsidRPr="008B619A">
              <w:rPr>
                <w:rFonts w:ascii="Times New Roman" w:hint="eastAsia"/>
                <w:color w:val="000000" w:themeColor="text1"/>
                <w:kern w:val="0"/>
                <w:sz w:val="26"/>
                <w:szCs w:val="26"/>
              </w:rPr>
              <w:t>15.8</w:t>
            </w:r>
          </w:p>
        </w:tc>
        <w:tc>
          <w:tcPr>
            <w:tcW w:w="1124" w:type="dxa"/>
          </w:tcPr>
          <w:p w14:paraId="306776FA" w14:textId="77777777" w:rsidR="00ED1315" w:rsidRPr="008B619A" w:rsidRDefault="00ED1315" w:rsidP="006400F0">
            <w:pPr>
              <w:spacing w:line="400" w:lineRule="exact"/>
              <w:jc w:val="center"/>
              <w:rPr>
                <w:rFonts w:ascii="Times New Roman"/>
                <w:color w:val="000000" w:themeColor="text1"/>
                <w:kern w:val="0"/>
                <w:sz w:val="26"/>
                <w:szCs w:val="26"/>
              </w:rPr>
            </w:pPr>
            <w:r w:rsidRPr="008B619A">
              <w:rPr>
                <w:rFonts w:ascii="Times New Roman" w:hint="eastAsia"/>
                <w:color w:val="000000" w:themeColor="text1"/>
                <w:kern w:val="0"/>
                <w:sz w:val="26"/>
                <w:szCs w:val="26"/>
              </w:rPr>
              <w:t>21,703</w:t>
            </w:r>
          </w:p>
        </w:tc>
        <w:tc>
          <w:tcPr>
            <w:tcW w:w="1125" w:type="dxa"/>
          </w:tcPr>
          <w:p w14:paraId="0C4C1629" w14:textId="77777777" w:rsidR="00ED1315" w:rsidRPr="008B619A" w:rsidRDefault="00ED1315" w:rsidP="006400F0">
            <w:pPr>
              <w:spacing w:line="400" w:lineRule="exact"/>
              <w:jc w:val="center"/>
              <w:rPr>
                <w:rFonts w:ascii="Times New Roman"/>
                <w:color w:val="000000" w:themeColor="text1"/>
                <w:kern w:val="0"/>
                <w:sz w:val="26"/>
                <w:szCs w:val="26"/>
              </w:rPr>
            </w:pPr>
            <w:r w:rsidRPr="008B619A">
              <w:rPr>
                <w:rFonts w:ascii="Times New Roman" w:hint="eastAsia"/>
                <w:color w:val="000000" w:themeColor="text1"/>
                <w:kern w:val="0"/>
                <w:sz w:val="26"/>
                <w:szCs w:val="26"/>
              </w:rPr>
              <w:t>66.3</w:t>
            </w:r>
          </w:p>
        </w:tc>
      </w:tr>
      <w:tr w:rsidR="00ED1315" w:rsidRPr="008B619A" w14:paraId="2402E84D" w14:textId="77777777" w:rsidTr="006400F0">
        <w:tc>
          <w:tcPr>
            <w:tcW w:w="1018" w:type="dxa"/>
          </w:tcPr>
          <w:p w14:paraId="7D3DB251" w14:textId="77777777" w:rsidR="00ED1315" w:rsidRPr="008B619A" w:rsidRDefault="00ED1315" w:rsidP="006400F0">
            <w:pPr>
              <w:spacing w:line="400" w:lineRule="exact"/>
              <w:jc w:val="center"/>
              <w:rPr>
                <w:rFonts w:ascii="Times New Roman"/>
                <w:b/>
                <w:color w:val="000000" w:themeColor="text1"/>
                <w:kern w:val="0"/>
                <w:sz w:val="26"/>
                <w:szCs w:val="26"/>
              </w:rPr>
            </w:pPr>
            <w:r w:rsidRPr="008B619A">
              <w:rPr>
                <w:rFonts w:ascii="Times New Roman" w:hint="eastAsia"/>
                <w:b/>
                <w:color w:val="000000" w:themeColor="text1"/>
                <w:kern w:val="0"/>
                <w:sz w:val="26"/>
                <w:szCs w:val="26"/>
              </w:rPr>
              <w:t>102</w:t>
            </w:r>
          </w:p>
        </w:tc>
        <w:tc>
          <w:tcPr>
            <w:tcW w:w="1124" w:type="dxa"/>
          </w:tcPr>
          <w:p w14:paraId="42EEBA99" w14:textId="77777777" w:rsidR="00ED1315" w:rsidRPr="008B619A" w:rsidRDefault="00ED1315" w:rsidP="006400F0">
            <w:pPr>
              <w:spacing w:line="400" w:lineRule="exact"/>
              <w:jc w:val="center"/>
              <w:rPr>
                <w:rFonts w:ascii="Times New Roman"/>
                <w:color w:val="000000" w:themeColor="text1"/>
                <w:kern w:val="0"/>
                <w:sz w:val="26"/>
                <w:szCs w:val="26"/>
              </w:rPr>
            </w:pPr>
            <w:r w:rsidRPr="008B619A">
              <w:rPr>
                <w:rFonts w:ascii="Times New Roman" w:hint="eastAsia"/>
                <w:color w:val="000000" w:themeColor="text1"/>
                <w:kern w:val="0"/>
                <w:sz w:val="26"/>
                <w:szCs w:val="26"/>
              </w:rPr>
              <w:t>31,475</w:t>
            </w:r>
          </w:p>
        </w:tc>
        <w:tc>
          <w:tcPr>
            <w:tcW w:w="1124" w:type="dxa"/>
          </w:tcPr>
          <w:p w14:paraId="5B794C15" w14:textId="77777777" w:rsidR="00ED1315" w:rsidRPr="008B619A" w:rsidRDefault="00ED1315" w:rsidP="006400F0">
            <w:pPr>
              <w:spacing w:line="400" w:lineRule="exact"/>
              <w:jc w:val="center"/>
              <w:rPr>
                <w:rFonts w:ascii="Times New Roman"/>
                <w:color w:val="000000" w:themeColor="text1"/>
                <w:kern w:val="0"/>
                <w:sz w:val="26"/>
                <w:szCs w:val="26"/>
              </w:rPr>
            </w:pPr>
            <w:r w:rsidRPr="008B619A">
              <w:rPr>
                <w:rFonts w:ascii="Times New Roman" w:hint="eastAsia"/>
                <w:color w:val="000000" w:themeColor="text1"/>
                <w:kern w:val="0"/>
                <w:sz w:val="26"/>
                <w:szCs w:val="26"/>
              </w:rPr>
              <w:t>5,835</w:t>
            </w:r>
          </w:p>
        </w:tc>
        <w:tc>
          <w:tcPr>
            <w:tcW w:w="1125" w:type="dxa"/>
          </w:tcPr>
          <w:p w14:paraId="5768ACED" w14:textId="77777777" w:rsidR="00ED1315" w:rsidRPr="008B619A" w:rsidRDefault="00ED1315" w:rsidP="006400F0">
            <w:pPr>
              <w:spacing w:line="400" w:lineRule="exact"/>
              <w:jc w:val="center"/>
              <w:rPr>
                <w:rFonts w:ascii="Times New Roman"/>
                <w:color w:val="000000" w:themeColor="text1"/>
                <w:kern w:val="0"/>
                <w:sz w:val="26"/>
                <w:szCs w:val="26"/>
              </w:rPr>
            </w:pPr>
            <w:r w:rsidRPr="008B619A">
              <w:rPr>
                <w:rFonts w:ascii="Times New Roman" w:hint="eastAsia"/>
                <w:color w:val="000000" w:themeColor="text1"/>
                <w:kern w:val="0"/>
                <w:sz w:val="26"/>
                <w:szCs w:val="26"/>
              </w:rPr>
              <w:t>18.5</w:t>
            </w:r>
          </w:p>
        </w:tc>
        <w:tc>
          <w:tcPr>
            <w:tcW w:w="1124" w:type="dxa"/>
          </w:tcPr>
          <w:p w14:paraId="65BEDE21" w14:textId="77777777" w:rsidR="00ED1315" w:rsidRPr="008B619A" w:rsidRDefault="00ED1315" w:rsidP="006400F0">
            <w:pPr>
              <w:spacing w:line="400" w:lineRule="exact"/>
              <w:jc w:val="center"/>
              <w:rPr>
                <w:rFonts w:ascii="Times New Roman"/>
                <w:color w:val="000000" w:themeColor="text1"/>
                <w:kern w:val="0"/>
                <w:sz w:val="26"/>
                <w:szCs w:val="26"/>
              </w:rPr>
            </w:pPr>
            <w:r w:rsidRPr="008B619A">
              <w:rPr>
                <w:rFonts w:ascii="Times New Roman" w:hint="eastAsia"/>
                <w:color w:val="000000" w:themeColor="text1"/>
                <w:kern w:val="0"/>
                <w:sz w:val="26"/>
                <w:szCs w:val="26"/>
              </w:rPr>
              <w:t>5,167</w:t>
            </w:r>
          </w:p>
        </w:tc>
        <w:tc>
          <w:tcPr>
            <w:tcW w:w="1125" w:type="dxa"/>
          </w:tcPr>
          <w:p w14:paraId="665C969D" w14:textId="77777777" w:rsidR="00ED1315" w:rsidRPr="008B619A" w:rsidRDefault="00ED1315" w:rsidP="006400F0">
            <w:pPr>
              <w:spacing w:line="400" w:lineRule="exact"/>
              <w:jc w:val="center"/>
              <w:rPr>
                <w:rFonts w:ascii="Times New Roman"/>
                <w:color w:val="000000" w:themeColor="text1"/>
                <w:kern w:val="0"/>
                <w:sz w:val="26"/>
                <w:szCs w:val="26"/>
              </w:rPr>
            </w:pPr>
            <w:r w:rsidRPr="008B619A">
              <w:rPr>
                <w:rFonts w:ascii="Times New Roman" w:hint="eastAsia"/>
                <w:color w:val="000000" w:themeColor="text1"/>
                <w:kern w:val="0"/>
                <w:sz w:val="26"/>
                <w:szCs w:val="26"/>
              </w:rPr>
              <w:t>16.4</w:t>
            </w:r>
          </w:p>
        </w:tc>
        <w:tc>
          <w:tcPr>
            <w:tcW w:w="1124" w:type="dxa"/>
          </w:tcPr>
          <w:p w14:paraId="090B0431" w14:textId="77777777" w:rsidR="00ED1315" w:rsidRPr="008B619A" w:rsidRDefault="00ED1315" w:rsidP="006400F0">
            <w:pPr>
              <w:spacing w:line="400" w:lineRule="exact"/>
              <w:jc w:val="center"/>
              <w:rPr>
                <w:rFonts w:ascii="Times New Roman"/>
                <w:color w:val="000000" w:themeColor="text1"/>
                <w:kern w:val="0"/>
                <w:sz w:val="26"/>
                <w:szCs w:val="26"/>
              </w:rPr>
            </w:pPr>
            <w:r w:rsidRPr="008B619A">
              <w:rPr>
                <w:rFonts w:ascii="Times New Roman" w:hint="eastAsia"/>
                <w:color w:val="000000" w:themeColor="text1"/>
                <w:kern w:val="0"/>
                <w:sz w:val="26"/>
                <w:szCs w:val="26"/>
              </w:rPr>
              <w:t>20,473</w:t>
            </w:r>
          </w:p>
        </w:tc>
        <w:tc>
          <w:tcPr>
            <w:tcW w:w="1125" w:type="dxa"/>
          </w:tcPr>
          <w:p w14:paraId="06AC88A5" w14:textId="77777777" w:rsidR="00ED1315" w:rsidRPr="008B619A" w:rsidRDefault="00ED1315" w:rsidP="006400F0">
            <w:pPr>
              <w:spacing w:line="400" w:lineRule="exact"/>
              <w:jc w:val="center"/>
              <w:rPr>
                <w:rFonts w:ascii="Times New Roman"/>
                <w:color w:val="000000" w:themeColor="text1"/>
                <w:kern w:val="0"/>
                <w:sz w:val="26"/>
                <w:szCs w:val="26"/>
              </w:rPr>
            </w:pPr>
            <w:r w:rsidRPr="008B619A">
              <w:rPr>
                <w:rFonts w:ascii="Times New Roman" w:hint="eastAsia"/>
                <w:color w:val="000000" w:themeColor="text1"/>
                <w:kern w:val="0"/>
                <w:sz w:val="26"/>
                <w:szCs w:val="26"/>
              </w:rPr>
              <w:t>65.0</w:t>
            </w:r>
          </w:p>
        </w:tc>
      </w:tr>
      <w:tr w:rsidR="00ED1315" w:rsidRPr="008B619A" w14:paraId="540F3118" w14:textId="77777777" w:rsidTr="006400F0">
        <w:tc>
          <w:tcPr>
            <w:tcW w:w="1018" w:type="dxa"/>
          </w:tcPr>
          <w:p w14:paraId="1E969AF5" w14:textId="77777777" w:rsidR="00ED1315" w:rsidRPr="008B619A" w:rsidRDefault="00ED1315" w:rsidP="006400F0">
            <w:pPr>
              <w:spacing w:line="400" w:lineRule="exact"/>
              <w:jc w:val="center"/>
              <w:rPr>
                <w:rFonts w:ascii="Times New Roman"/>
                <w:b/>
                <w:color w:val="000000" w:themeColor="text1"/>
                <w:kern w:val="0"/>
                <w:sz w:val="26"/>
                <w:szCs w:val="26"/>
              </w:rPr>
            </w:pPr>
            <w:r w:rsidRPr="008B619A">
              <w:rPr>
                <w:rFonts w:ascii="Times New Roman" w:hint="eastAsia"/>
                <w:b/>
                <w:color w:val="000000" w:themeColor="text1"/>
                <w:kern w:val="0"/>
                <w:sz w:val="26"/>
                <w:szCs w:val="26"/>
              </w:rPr>
              <w:t>103</w:t>
            </w:r>
          </w:p>
        </w:tc>
        <w:tc>
          <w:tcPr>
            <w:tcW w:w="1124" w:type="dxa"/>
          </w:tcPr>
          <w:p w14:paraId="12C35956" w14:textId="77777777" w:rsidR="00ED1315" w:rsidRPr="008B619A" w:rsidRDefault="00ED1315" w:rsidP="006400F0">
            <w:pPr>
              <w:spacing w:line="400" w:lineRule="exact"/>
              <w:jc w:val="center"/>
              <w:rPr>
                <w:rFonts w:ascii="Times New Roman"/>
                <w:color w:val="000000" w:themeColor="text1"/>
                <w:kern w:val="0"/>
                <w:sz w:val="26"/>
                <w:szCs w:val="26"/>
              </w:rPr>
            </w:pPr>
            <w:r w:rsidRPr="008B619A">
              <w:rPr>
                <w:rFonts w:ascii="Times New Roman" w:hint="eastAsia"/>
                <w:color w:val="000000" w:themeColor="text1"/>
                <w:kern w:val="0"/>
                <w:sz w:val="26"/>
                <w:szCs w:val="26"/>
              </w:rPr>
              <w:t>30,549</w:t>
            </w:r>
          </w:p>
        </w:tc>
        <w:tc>
          <w:tcPr>
            <w:tcW w:w="1124" w:type="dxa"/>
          </w:tcPr>
          <w:p w14:paraId="6B46F1C9" w14:textId="77777777" w:rsidR="00ED1315" w:rsidRPr="008B619A" w:rsidRDefault="00ED1315" w:rsidP="006400F0">
            <w:pPr>
              <w:spacing w:line="400" w:lineRule="exact"/>
              <w:jc w:val="center"/>
              <w:rPr>
                <w:rFonts w:ascii="Times New Roman"/>
                <w:color w:val="000000" w:themeColor="text1"/>
                <w:kern w:val="0"/>
                <w:sz w:val="26"/>
                <w:szCs w:val="26"/>
              </w:rPr>
            </w:pPr>
            <w:r w:rsidRPr="008B619A">
              <w:rPr>
                <w:rFonts w:ascii="Times New Roman" w:hint="eastAsia"/>
                <w:color w:val="000000" w:themeColor="text1"/>
                <w:kern w:val="0"/>
                <w:sz w:val="26"/>
                <w:szCs w:val="26"/>
              </w:rPr>
              <w:t>5,953</w:t>
            </w:r>
          </w:p>
        </w:tc>
        <w:tc>
          <w:tcPr>
            <w:tcW w:w="1125" w:type="dxa"/>
          </w:tcPr>
          <w:p w14:paraId="1BB6990B" w14:textId="77777777" w:rsidR="00ED1315" w:rsidRPr="008B619A" w:rsidRDefault="00ED1315" w:rsidP="006400F0">
            <w:pPr>
              <w:spacing w:line="400" w:lineRule="exact"/>
              <w:jc w:val="center"/>
              <w:rPr>
                <w:rFonts w:ascii="Times New Roman"/>
                <w:color w:val="000000" w:themeColor="text1"/>
                <w:kern w:val="0"/>
                <w:sz w:val="26"/>
                <w:szCs w:val="26"/>
              </w:rPr>
            </w:pPr>
            <w:r w:rsidRPr="008B619A">
              <w:rPr>
                <w:rFonts w:ascii="Times New Roman" w:hint="eastAsia"/>
                <w:color w:val="000000" w:themeColor="text1"/>
                <w:kern w:val="0"/>
                <w:sz w:val="26"/>
                <w:szCs w:val="26"/>
              </w:rPr>
              <w:t>19.5</w:t>
            </w:r>
          </w:p>
        </w:tc>
        <w:tc>
          <w:tcPr>
            <w:tcW w:w="1124" w:type="dxa"/>
          </w:tcPr>
          <w:p w14:paraId="4719F990" w14:textId="77777777" w:rsidR="00ED1315" w:rsidRPr="008B619A" w:rsidRDefault="00ED1315" w:rsidP="006400F0">
            <w:pPr>
              <w:spacing w:line="400" w:lineRule="exact"/>
              <w:jc w:val="center"/>
              <w:rPr>
                <w:rFonts w:ascii="Times New Roman"/>
                <w:color w:val="000000" w:themeColor="text1"/>
                <w:kern w:val="0"/>
                <w:sz w:val="26"/>
                <w:szCs w:val="26"/>
              </w:rPr>
            </w:pPr>
            <w:r w:rsidRPr="008B619A">
              <w:rPr>
                <w:rFonts w:ascii="Times New Roman" w:hint="eastAsia"/>
                <w:color w:val="000000" w:themeColor="text1"/>
                <w:kern w:val="0"/>
                <w:sz w:val="26"/>
                <w:szCs w:val="26"/>
              </w:rPr>
              <w:t>5,257</w:t>
            </w:r>
          </w:p>
        </w:tc>
        <w:tc>
          <w:tcPr>
            <w:tcW w:w="1125" w:type="dxa"/>
          </w:tcPr>
          <w:p w14:paraId="4A87D67D" w14:textId="77777777" w:rsidR="00ED1315" w:rsidRPr="008B619A" w:rsidRDefault="00ED1315" w:rsidP="006400F0">
            <w:pPr>
              <w:spacing w:line="400" w:lineRule="exact"/>
              <w:jc w:val="center"/>
              <w:rPr>
                <w:rFonts w:ascii="Times New Roman"/>
                <w:color w:val="000000" w:themeColor="text1"/>
                <w:kern w:val="0"/>
                <w:sz w:val="26"/>
                <w:szCs w:val="26"/>
              </w:rPr>
            </w:pPr>
            <w:r w:rsidRPr="008B619A">
              <w:rPr>
                <w:rFonts w:ascii="Times New Roman" w:hint="eastAsia"/>
                <w:color w:val="000000" w:themeColor="text1"/>
                <w:kern w:val="0"/>
                <w:sz w:val="26"/>
                <w:szCs w:val="26"/>
              </w:rPr>
              <w:t>17.2</w:t>
            </w:r>
          </w:p>
        </w:tc>
        <w:tc>
          <w:tcPr>
            <w:tcW w:w="1124" w:type="dxa"/>
          </w:tcPr>
          <w:p w14:paraId="583C56B2" w14:textId="77777777" w:rsidR="00ED1315" w:rsidRPr="008B619A" w:rsidRDefault="00ED1315" w:rsidP="006400F0">
            <w:pPr>
              <w:spacing w:line="400" w:lineRule="exact"/>
              <w:jc w:val="center"/>
              <w:rPr>
                <w:rFonts w:ascii="Times New Roman"/>
                <w:color w:val="000000" w:themeColor="text1"/>
                <w:kern w:val="0"/>
                <w:sz w:val="26"/>
                <w:szCs w:val="26"/>
              </w:rPr>
            </w:pPr>
            <w:r w:rsidRPr="008B619A">
              <w:rPr>
                <w:rFonts w:ascii="Times New Roman" w:hint="eastAsia"/>
                <w:color w:val="000000" w:themeColor="text1"/>
                <w:kern w:val="0"/>
                <w:sz w:val="26"/>
                <w:szCs w:val="26"/>
              </w:rPr>
              <w:t>19,339</w:t>
            </w:r>
          </w:p>
        </w:tc>
        <w:tc>
          <w:tcPr>
            <w:tcW w:w="1125" w:type="dxa"/>
          </w:tcPr>
          <w:p w14:paraId="1DD6C9FA" w14:textId="77777777" w:rsidR="00ED1315" w:rsidRPr="008B619A" w:rsidRDefault="00ED1315" w:rsidP="006400F0">
            <w:pPr>
              <w:spacing w:line="400" w:lineRule="exact"/>
              <w:jc w:val="center"/>
              <w:rPr>
                <w:rFonts w:ascii="Times New Roman"/>
                <w:color w:val="000000" w:themeColor="text1"/>
                <w:kern w:val="0"/>
                <w:sz w:val="26"/>
                <w:szCs w:val="26"/>
              </w:rPr>
            </w:pPr>
            <w:r w:rsidRPr="008B619A">
              <w:rPr>
                <w:rFonts w:ascii="Times New Roman" w:hint="eastAsia"/>
                <w:color w:val="000000" w:themeColor="text1"/>
                <w:kern w:val="0"/>
                <w:sz w:val="26"/>
                <w:szCs w:val="26"/>
              </w:rPr>
              <w:t>63.3</w:t>
            </w:r>
          </w:p>
        </w:tc>
      </w:tr>
      <w:tr w:rsidR="00ED1315" w:rsidRPr="008B619A" w14:paraId="077CB833" w14:textId="77777777" w:rsidTr="006400F0">
        <w:tc>
          <w:tcPr>
            <w:tcW w:w="1018" w:type="dxa"/>
          </w:tcPr>
          <w:p w14:paraId="65DB452D" w14:textId="77777777" w:rsidR="00ED1315" w:rsidRPr="008B619A" w:rsidRDefault="00ED1315" w:rsidP="006400F0">
            <w:pPr>
              <w:spacing w:line="400" w:lineRule="exact"/>
              <w:jc w:val="center"/>
              <w:rPr>
                <w:rFonts w:ascii="Times New Roman"/>
                <w:b/>
                <w:color w:val="000000" w:themeColor="text1"/>
                <w:kern w:val="0"/>
                <w:sz w:val="26"/>
                <w:szCs w:val="26"/>
              </w:rPr>
            </w:pPr>
            <w:r w:rsidRPr="008B619A">
              <w:rPr>
                <w:rFonts w:ascii="Times New Roman" w:hint="eastAsia"/>
                <w:b/>
                <w:color w:val="000000" w:themeColor="text1"/>
                <w:kern w:val="0"/>
                <w:sz w:val="26"/>
                <w:szCs w:val="26"/>
              </w:rPr>
              <w:t>104</w:t>
            </w:r>
          </w:p>
        </w:tc>
        <w:tc>
          <w:tcPr>
            <w:tcW w:w="1124" w:type="dxa"/>
          </w:tcPr>
          <w:p w14:paraId="27F9B8EC" w14:textId="77777777" w:rsidR="00ED1315" w:rsidRPr="008B619A" w:rsidRDefault="00ED1315" w:rsidP="006400F0">
            <w:pPr>
              <w:spacing w:line="400" w:lineRule="exact"/>
              <w:jc w:val="center"/>
              <w:rPr>
                <w:rFonts w:ascii="Times New Roman"/>
                <w:color w:val="000000" w:themeColor="text1"/>
                <w:kern w:val="0"/>
                <w:sz w:val="26"/>
                <w:szCs w:val="26"/>
              </w:rPr>
            </w:pPr>
            <w:r w:rsidRPr="008B619A">
              <w:rPr>
                <w:rFonts w:ascii="Times New Roman" w:hint="eastAsia"/>
                <w:color w:val="000000" w:themeColor="text1"/>
                <w:kern w:val="0"/>
                <w:sz w:val="26"/>
                <w:szCs w:val="26"/>
              </w:rPr>
              <w:t>29,333</w:t>
            </w:r>
          </w:p>
        </w:tc>
        <w:tc>
          <w:tcPr>
            <w:tcW w:w="1124" w:type="dxa"/>
          </w:tcPr>
          <w:p w14:paraId="32380CF4" w14:textId="77777777" w:rsidR="00ED1315" w:rsidRPr="008B619A" w:rsidRDefault="00ED1315" w:rsidP="006400F0">
            <w:pPr>
              <w:spacing w:line="400" w:lineRule="exact"/>
              <w:jc w:val="center"/>
              <w:rPr>
                <w:rFonts w:ascii="Times New Roman"/>
                <w:color w:val="000000" w:themeColor="text1"/>
                <w:kern w:val="0"/>
                <w:sz w:val="26"/>
                <w:szCs w:val="26"/>
              </w:rPr>
            </w:pPr>
            <w:r w:rsidRPr="008B619A">
              <w:rPr>
                <w:rFonts w:ascii="Times New Roman" w:hint="eastAsia"/>
                <w:color w:val="000000" w:themeColor="text1"/>
                <w:kern w:val="0"/>
                <w:sz w:val="26"/>
                <w:szCs w:val="26"/>
              </w:rPr>
              <w:t>6,026</w:t>
            </w:r>
          </w:p>
        </w:tc>
        <w:tc>
          <w:tcPr>
            <w:tcW w:w="1125" w:type="dxa"/>
          </w:tcPr>
          <w:p w14:paraId="2B55B09A" w14:textId="77777777" w:rsidR="00ED1315" w:rsidRPr="008B619A" w:rsidRDefault="00ED1315" w:rsidP="006400F0">
            <w:pPr>
              <w:spacing w:line="400" w:lineRule="exact"/>
              <w:jc w:val="center"/>
              <w:rPr>
                <w:rFonts w:ascii="Times New Roman"/>
                <w:color w:val="000000" w:themeColor="text1"/>
                <w:kern w:val="0"/>
                <w:sz w:val="26"/>
                <w:szCs w:val="26"/>
              </w:rPr>
            </w:pPr>
            <w:r w:rsidRPr="008B619A">
              <w:rPr>
                <w:rFonts w:ascii="Times New Roman" w:hint="eastAsia"/>
                <w:color w:val="000000" w:themeColor="text1"/>
                <w:kern w:val="0"/>
                <w:sz w:val="26"/>
                <w:szCs w:val="26"/>
              </w:rPr>
              <w:t>20.5</w:t>
            </w:r>
          </w:p>
        </w:tc>
        <w:tc>
          <w:tcPr>
            <w:tcW w:w="1124" w:type="dxa"/>
          </w:tcPr>
          <w:p w14:paraId="1164D41F" w14:textId="77777777" w:rsidR="00ED1315" w:rsidRPr="008B619A" w:rsidRDefault="00ED1315" w:rsidP="006400F0">
            <w:pPr>
              <w:spacing w:line="400" w:lineRule="exact"/>
              <w:jc w:val="center"/>
              <w:rPr>
                <w:rFonts w:ascii="Times New Roman"/>
                <w:color w:val="000000" w:themeColor="text1"/>
                <w:kern w:val="0"/>
                <w:sz w:val="26"/>
                <w:szCs w:val="26"/>
              </w:rPr>
            </w:pPr>
            <w:r w:rsidRPr="008B619A">
              <w:rPr>
                <w:rFonts w:ascii="Times New Roman" w:hint="eastAsia"/>
                <w:color w:val="000000" w:themeColor="text1"/>
                <w:kern w:val="0"/>
                <w:sz w:val="26"/>
                <w:szCs w:val="26"/>
              </w:rPr>
              <w:t>5,199</w:t>
            </w:r>
          </w:p>
        </w:tc>
        <w:tc>
          <w:tcPr>
            <w:tcW w:w="1125" w:type="dxa"/>
          </w:tcPr>
          <w:p w14:paraId="642A6A5F" w14:textId="77777777" w:rsidR="00ED1315" w:rsidRPr="008B619A" w:rsidRDefault="00ED1315" w:rsidP="006400F0">
            <w:pPr>
              <w:spacing w:line="400" w:lineRule="exact"/>
              <w:jc w:val="center"/>
              <w:rPr>
                <w:rFonts w:ascii="Times New Roman"/>
                <w:color w:val="000000" w:themeColor="text1"/>
                <w:kern w:val="0"/>
                <w:sz w:val="26"/>
                <w:szCs w:val="26"/>
              </w:rPr>
            </w:pPr>
            <w:r w:rsidRPr="008B619A">
              <w:rPr>
                <w:rFonts w:ascii="Times New Roman" w:hint="eastAsia"/>
                <w:color w:val="000000" w:themeColor="text1"/>
                <w:kern w:val="0"/>
                <w:sz w:val="26"/>
                <w:szCs w:val="26"/>
              </w:rPr>
              <w:t>17.7</w:t>
            </w:r>
          </w:p>
        </w:tc>
        <w:tc>
          <w:tcPr>
            <w:tcW w:w="1124" w:type="dxa"/>
          </w:tcPr>
          <w:p w14:paraId="4A3FB8CB" w14:textId="77777777" w:rsidR="00ED1315" w:rsidRPr="008B619A" w:rsidRDefault="00ED1315" w:rsidP="006400F0">
            <w:pPr>
              <w:spacing w:line="400" w:lineRule="exact"/>
              <w:jc w:val="center"/>
              <w:rPr>
                <w:rFonts w:ascii="Times New Roman"/>
                <w:color w:val="000000" w:themeColor="text1"/>
                <w:kern w:val="0"/>
                <w:sz w:val="26"/>
                <w:szCs w:val="26"/>
              </w:rPr>
            </w:pPr>
            <w:r w:rsidRPr="008B619A">
              <w:rPr>
                <w:rFonts w:ascii="Times New Roman" w:hint="eastAsia"/>
                <w:color w:val="000000" w:themeColor="text1"/>
                <w:kern w:val="0"/>
                <w:sz w:val="26"/>
                <w:szCs w:val="26"/>
              </w:rPr>
              <w:t>18,108</w:t>
            </w:r>
          </w:p>
        </w:tc>
        <w:tc>
          <w:tcPr>
            <w:tcW w:w="1125" w:type="dxa"/>
          </w:tcPr>
          <w:p w14:paraId="09A12E5F" w14:textId="77777777" w:rsidR="00ED1315" w:rsidRPr="008B619A" w:rsidRDefault="00ED1315" w:rsidP="006400F0">
            <w:pPr>
              <w:spacing w:line="400" w:lineRule="exact"/>
              <w:jc w:val="center"/>
              <w:rPr>
                <w:rFonts w:ascii="Times New Roman"/>
                <w:color w:val="000000" w:themeColor="text1"/>
                <w:kern w:val="0"/>
                <w:sz w:val="26"/>
                <w:szCs w:val="26"/>
              </w:rPr>
            </w:pPr>
            <w:r w:rsidRPr="008B619A">
              <w:rPr>
                <w:rFonts w:ascii="Times New Roman" w:hint="eastAsia"/>
                <w:color w:val="000000" w:themeColor="text1"/>
                <w:kern w:val="0"/>
                <w:sz w:val="26"/>
                <w:szCs w:val="26"/>
              </w:rPr>
              <w:t>61.7</w:t>
            </w:r>
          </w:p>
        </w:tc>
      </w:tr>
      <w:tr w:rsidR="00ED1315" w:rsidRPr="008B619A" w14:paraId="56CBB0BC" w14:textId="77777777" w:rsidTr="006400F0">
        <w:tc>
          <w:tcPr>
            <w:tcW w:w="1018" w:type="dxa"/>
          </w:tcPr>
          <w:p w14:paraId="56B32D28" w14:textId="77777777" w:rsidR="00ED1315" w:rsidRPr="008B619A" w:rsidRDefault="00ED1315" w:rsidP="006400F0">
            <w:pPr>
              <w:spacing w:line="400" w:lineRule="exact"/>
              <w:jc w:val="center"/>
              <w:rPr>
                <w:rFonts w:ascii="Times New Roman"/>
                <w:b/>
                <w:color w:val="000000" w:themeColor="text1"/>
                <w:kern w:val="0"/>
                <w:sz w:val="26"/>
                <w:szCs w:val="26"/>
              </w:rPr>
            </w:pPr>
            <w:r w:rsidRPr="008B619A">
              <w:rPr>
                <w:rFonts w:ascii="Times New Roman" w:hint="eastAsia"/>
                <w:b/>
                <w:color w:val="000000" w:themeColor="text1"/>
                <w:kern w:val="0"/>
                <w:sz w:val="26"/>
                <w:szCs w:val="26"/>
              </w:rPr>
              <w:t>105</w:t>
            </w:r>
          </w:p>
        </w:tc>
        <w:tc>
          <w:tcPr>
            <w:tcW w:w="1124" w:type="dxa"/>
          </w:tcPr>
          <w:p w14:paraId="32D82CF3" w14:textId="77777777" w:rsidR="00ED1315" w:rsidRPr="008B619A" w:rsidRDefault="00ED1315" w:rsidP="006400F0">
            <w:pPr>
              <w:spacing w:line="400" w:lineRule="exact"/>
              <w:jc w:val="center"/>
              <w:rPr>
                <w:rFonts w:ascii="Times New Roman"/>
                <w:color w:val="000000" w:themeColor="text1"/>
                <w:kern w:val="0"/>
                <w:sz w:val="26"/>
                <w:szCs w:val="26"/>
              </w:rPr>
            </w:pPr>
            <w:r w:rsidRPr="008B619A">
              <w:rPr>
                <w:rFonts w:ascii="Times New Roman" w:hint="eastAsia"/>
                <w:color w:val="000000" w:themeColor="text1"/>
                <w:kern w:val="0"/>
                <w:sz w:val="26"/>
                <w:szCs w:val="26"/>
              </w:rPr>
              <w:t>28,821</w:t>
            </w:r>
          </w:p>
        </w:tc>
        <w:tc>
          <w:tcPr>
            <w:tcW w:w="1124" w:type="dxa"/>
          </w:tcPr>
          <w:p w14:paraId="2A4142D1" w14:textId="77777777" w:rsidR="00ED1315" w:rsidRPr="008B619A" w:rsidRDefault="00ED1315" w:rsidP="006400F0">
            <w:pPr>
              <w:spacing w:line="400" w:lineRule="exact"/>
              <w:jc w:val="center"/>
              <w:rPr>
                <w:rFonts w:ascii="Times New Roman"/>
                <w:color w:val="000000" w:themeColor="text1"/>
                <w:kern w:val="0"/>
                <w:sz w:val="26"/>
                <w:szCs w:val="26"/>
              </w:rPr>
            </w:pPr>
            <w:r w:rsidRPr="008B619A">
              <w:rPr>
                <w:rFonts w:ascii="Times New Roman" w:hint="eastAsia"/>
                <w:color w:val="000000" w:themeColor="text1"/>
                <w:kern w:val="0"/>
                <w:sz w:val="26"/>
                <w:szCs w:val="26"/>
              </w:rPr>
              <w:t>6,062</w:t>
            </w:r>
          </w:p>
        </w:tc>
        <w:tc>
          <w:tcPr>
            <w:tcW w:w="1125" w:type="dxa"/>
          </w:tcPr>
          <w:p w14:paraId="24AD0BEB" w14:textId="77777777" w:rsidR="00ED1315" w:rsidRPr="008B619A" w:rsidRDefault="00ED1315" w:rsidP="006400F0">
            <w:pPr>
              <w:spacing w:line="400" w:lineRule="exact"/>
              <w:jc w:val="center"/>
              <w:rPr>
                <w:rFonts w:ascii="Times New Roman"/>
                <w:color w:val="000000" w:themeColor="text1"/>
                <w:kern w:val="0"/>
                <w:sz w:val="26"/>
                <w:szCs w:val="26"/>
              </w:rPr>
            </w:pPr>
            <w:r w:rsidRPr="008B619A">
              <w:rPr>
                <w:rFonts w:ascii="Times New Roman" w:hint="eastAsia"/>
                <w:color w:val="000000" w:themeColor="text1"/>
                <w:kern w:val="0"/>
                <w:sz w:val="26"/>
                <w:szCs w:val="26"/>
              </w:rPr>
              <w:t>21.0</w:t>
            </w:r>
          </w:p>
        </w:tc>
        <w:tc>
          <w:tcPr>
            <w:tcW w:w="1124" w:type="dxa"/>
          </w:tcPr>
          <w:p w14:paraId="1DAEEE7F" w14:textId="77777777" w:rsidR="00ED1315" w:rsidRPr="008B619A" w:rsidRDefault="00ED1315" w:rsidP="006400F0">
            <w:pPr>
              <w:spacing w:line="400" w:lineRule="exact"/>
              <w:jc w:val="center"/>
              <w:rPr>
                <w:rFonts w:ascii="Times New Roman"/>
                <w:color w:val="000000" w:themeColor="text1"/>
                <w:kern w:val="0"/>
                <w:sz w:val="26"/>
                <w:szCs w:val="26"/>
              </w:rPr>
            </w:pPr>
            <w:r w:rsidRPr="008B619A">
              <w:rPr>
                <w:rFonts w:ascii="Times New Roman" w:hint="eastAsia"/>
                <w:color w:val="000000" w:themeColor="text1"/>
                <w:kern w:val="0"/>
                <w:sz w:val="26"/>
                <w:szCs w:val="26"/>
              </w:rPr>
              <w:t>5,298</w:t>
            </w:r>
          </w:p>
        </w:tc>
        <w:tc>
          <w:tcPr>
            <w:tcW w:w="1125" w:type="dxa"/>
          </w:tcPr>
          <w:p w14:paraId="5B00337C" w14:textId="77777777" w:rsidR="00ED1315" w:rsidRPr="008B619A" w:rsidRDefault="00ED1315" w:rsidP="006400F0">
            <w:pPr>
              <w:spacing w:line="400" w:lineRule="exact"/>
              <w:jc w:val="center"/>
              <w:rPr>
                <w:rFonts w:ascii="Times New Roman"/>
                <w:color w:val="000000" w:themeColor="text1"/>
                <w:kern w:val="0"/>
                <w:sz w:val="26"/>
                <w:szCs w:val="26"/>
              </w:rPr>
            </w:pPr>
            <w:r w:rsidRPr="008B619A">
              <w:rPr>
                <w:rFonts w:ascii="Times New Roman" w:hint="eastAsia"/>
                <w:color w:val="000000" w:themeColor="text1"/>
                <w:kern w:val="0"/>
                <w:sz w:val="26"/>
                <w:szCs w:val="26"/>
              </w:rPr>
              <w:t>18.4</w:t>
            </w:r>
          </w:p>
        </w:tc>
        <w:tc>
          <w:tcPr>
            <w:tcW w:w="1124" w:type="dxa"/>
          </w:tcPr>
          <w:p w14:paraId="31C4027A" w14:textId="77777777" w:rsidR="00ED1315" w:rsidRPr="008B619A" w:rsidRDefault="00ED1315" w:rsidP="006400F0">
            <w:pPr>
              <w:spacing w:line="400" w:lineRule="exact"/>
              <w:jc w:val="center"/>
              <w:rPr>
                <w:rFonts w:ascii="Times New Roman"/>
                <w:color w:val="000000" w:themeColor="text1"/>
                <w:kern w:val="0"/>
                <w:sz w:val="26"/>
                <w:szCs w:val="26"/>
              </w:rPr>
            </w:pPr>
            <w:r w:rsidRPr="008B619A">
              <w:rPr>
                <w:rFonts w:ascii="Times New Roman" w:hint="eastAsia"/>
                <w:color w:val="000000" w:themeColor="text1"/>
                <w:kern w:val="0"/>
                <w:sz w:val="26"/>
                <w:szCs w:val="26"/>
              </w:rPr>
              <w:t>17,461</w:t>
            </w:r>
          </w:p>
        </w:tc>
        <w:tc>
          <w:tcPr>
            <w:tcW w:w="1125" w:type="dxa"/>
          </w:tcPr>
          <w:p w14:paraId="479FC169" w14:textId="77777777" w:rsidR="00ED1315" w:rsidRPr="008B619A" w:rsidRDefault="00ED1315" w:rsidP="006400F0">
            <w:pPr>
              <w:spacing w:line="400" w:lineRule="exact"/>
              <w:jc w:val="center"/>
              <w:rPr>
                <w:rFonts w:ascii="Times New Roman"/>
                <w:color w:val="000000" w:themeColor="text1"/>
                <w:kern w:val="0"/>
                <w:sz w:val="26"/>
                <w:szCs w:val="26"/>
              </w:rPr>
            </w:pPr>
            <w:r w:rsidRPr="008B619A">
              <w:rPr>
                <w:rFonts w:ascii="Times New Roman" w:hint="eastAsia"/>
                <w:color w:val="000000" w:themeColor="text1"/>
                <w:kern w:val="0"/>
                <w:sz w:val="26"/>
                <w:szCs w:val="26"/>
              </w:rPr>
              <w:t>60.6</w:t>
            </w:r>
          </w:p>
        </w:tc>
      </w:tr>
      <w:tr w:rsidR="00ED1315" w:rsidRPr="008B619A" w14:paraId="4632CD5A" w14:textId="77777777" w:rsidTr="006400F0">
        <w:tc>
          <w:tcPr>
            <w:tcW w:w="1018" w:type="dxa"/>
          </w:tcPr>
          <w:p w14:paraId="5F480319" w14:textId="77777777" w:rsidR="00ED1315" w:rsidRPr="008B619A" w:rsidRDefault="00ED1315" w:rsidP="006400F0">
            <w:pPr>
              <w:spacing w:line="400" w:lineRule="exact"/>
              <w:jc w:val="center"/>
              <w:rPr>
                <w:rFonts w:ascii="Times New Roman"/>
                <w:b/>
                <w:color w:val="000000" w:themeColor="text1"/>
                <w:kern w:val="0"/>
                <w:sz w:val="26"/>
                <w:szCs w:val="26"/>
              </w:rPr>
            </w:pPr>
            <w:r w:rsidRPr="008B619A">
              <w:rPr>
                <w:rFonts w:ascii="Times New Roman" w:hint="eastAsia"/>
                <w:b/>
                <w:color w:val="000000" w:themeColor="text1"/>
                <w:kern w:val="0"/>
                <w:sz w:val="26"/>
                <w:szCs w:val="26"/>
              </w:rPr>
              <w:t>106</w:t>
            </w:r>
          </w:p>
        </w:tc>
        <w:tc>
          <w:tcPr>
            <w:tcW w:w="1124" w:type="dxa"/>
          </w:tcPr>
          <w:p w14:paraId="68ABB803" w14:textId="77777777" w:rsidR="00ED1315" w:rsidRPr="008B619A" w:rsidRDefault="00ED1315" w:rsidP="006400F0">
            <w:pPr>
              <w:spacing w:line="400" w:lineRule="exact"/>
              <w:jc w:val="center"/>
              <w:rPr>
                <w:rFonts w:ascii="Times New Roman"/>
                <w:color w:val="000000" w:themeColor="text1"/>
                <w:kern w:val="0"/>
                <w:sz w:val="26"/>
                <w:szCs w:val="26"/>
              </w:rPr>
            </w:pPr>
            <w:r w:rsidRPr="008B619A">
              <w:rPr>
                <w:rFonts w:ascii="Times New Roman" w:hint="eastAsia"/>
                <w:color w:val="000000" w:themeColor="text1"/>
                <w:kern w:val="0"/>
                <w:sz w:val="26"/>
                <w:szCs w:val="26"/>
              </w:rPr>
              <w:t>28,346</w:t>
            </w:r>
          </w:p>
        </w:tc>
        <w:tc>
          <w:tcPr>
            <w:tcW w:w="1124" w:type="dxa"/>
          </w:tcPr>
          <w:p w14:paraId="1EBF3471" w14:textId="77777777" w:rsidR="00ED1315" w:rsidRPr="008B619A" w:rsidRDefault="00ED1315" w:rsidP="006400F0">
            <w:pPr>
              <w:spacing w:line="400" w:lineRule="exact"/>
              <w:jc w:val="center"/>
              <w:rPr>
                <w:rFonts w:ascii="Times New Roman"/>
                <w:color w:val="000000" w:themeColor="text1"/>
                <w:kern w:val="0"/>
                <w:sz w:val="26"/>
                <w:szCs w:val="26"/>
              </w:rPr>
            </w:pPr>
            <w:r w:rsidRPr="008B619A">
              <w:rPr>
                <w:rFonts w:ascii="Times New Roman" w:hint="eastAsia"/>
                <w:color w:val="000000" w:themeColor="text1"/>
                <w:kern w:val="0"/>
                <w:sz w:val="26"/>
                <w:szCs w:val="26"/>
              </w:rPr>
              <w:t>6,049</w:t>
            </w:r>
          </w:p>
        </w:tc>
        <w:tc>
          <w:tcPr>
            <w:tcW w:w="1125" w:type="dxa"/>
          </w:tcPr>
          <w:p w14:paraId="284B955D" w14:textId="77777777" w:rsidR="00ED1315" w:rsidRPr="008B619A" w:rsidRDefault="00ED1315" w:rsidP="006400F0">
            <w:pPr>
              <w:spacing w:line="400" w:lineRule="exact"/>
              <w:jc w:val="center"/>
              <w:rPr>
                <w:rFonts w:ascii="Times New Roman"/>
                <w:color w:val="000000" w:themeColor="text1"/>
                <w:kern w:val="0"/>
                <w:sz w:val="26"/>
                <w:szCs w:val="26"/>
              </w:rPr>
            </w:pPr>
            <w:r w:rsidRPr="008B619A">
              <w:rPr>
                <w:rFonts w:ascii="Times New Roman" w:hint="eastAsia"/>
                <w:color w:val="000000" w:themeColor="text1"/>
                <w:kern w:val="0"/>
                <w:sz w:val="26"/>
                <w:szCs w:val="26"/>
              </w:rPr>
              <w:t>21.3</w:t>
            </w:r>
          </w:p>
        </w:tc>
        <w:tc>
          <w:tcPr>
            <w:tcW w:w="1124" w:type="dxa"/>
          </w:tcPr>
          <w:p w14:paraId="76ADE11B" w14:textId="77777777" w:rsidR="00ED1315" w:rsidRPr="008B619A" w:rsidRDefault="00ED1315" w:rsidP="006400F0">
            <w:pPr>
              <w:spacing w:line="400" w:lineRule="exact"/>
              <w:jc w:val="center"/>
              <w:rPr>
                <w:rFonts w:ascii="Times New Roman"/>
                <w:color w:val="000000" w:themeColor="text1"/>
                <w:kern w:val="0"/>
                <w:sz w:val="26"/>
                <w:szCs w:val="26"/>
              </w:rPr>
            </w:pPr>
            <w:r w:rsidRPr="008B619A">
              <w:rPr>
                <w:rFonts w:ascii="Times New Roman" w:hint="eastAsia"/>
                <w:color w:val="000000" w:themeColor="text1"/>
                <w:kern w:val="0"/>
                <w:sz w:val="26"/>
                <w:szCs w:val="26"/>
              </w:rPr>
              <w:t>5,340</w:t>
            </w:r>
          </w:p>
        </w:tc>
        <w:tc>
          <w:tcPr>
            <w:tcW w:w="1125" w:type="dxa"/>
          </w:tcPr>
          <w:p w14:paraId="07A1BE3A" w14:textId="77777777" w:rsidR="00ED1315" w:rsidRPr="008B619A" w:rsidRDefault="00ED1315" w:rsidP="006400F0">
            <w:pPr>
              <w:spacing w:line="400" w:lineRule="exact"/>
              <w:jc w:val="center"/>
              <w:rPr>
                <w:rFonts w:ascii="Times New Roman"/>
                <w:color w:val="000000" w:themeColor="text1"/>
                <w:kern w:val="0"/>
                <w:sz w:val="26"/>
                <w:szCs w:val="26"/>
              </w:rPr>
            </w:pPr>
            <w:r w:rsidRPr="008B619A">
              <w:rPr>
                <w:rFonts w:ascii="Times New Roman" w:hint="eastAsia"/>
                <w:color w:val="000000" w:themeColor="text1"/>
                <w:kern w:val="0"/>
                <w:sz w:val="26"/>
                <w:szCs w:val="26"/>
              </w:rPr>
              <w:t>18.8</w:t>
            </w:r>
          </w:p>
        </w:tc>
        <w:tc>
          <w:tcPr>
            <w:tcW w:w="1124" w:type="dxa"/>
          </w:tcPr>
          <w:p w14:paraId="630B5C75" w14:textId="77777777" w:rsidR="00ED1315" w:rsidRPr="008B619A" w:rsidRDefault="00ED1315" w:rsidP="006400F0">
            <w:pPr>
              <w:spacing w:line="400" w:lineRule="exact"/>
              <w:jc w:val="center"/>
              <w:rPr>
                <w:rFonts w:ascii="Times New Roman"/>
                <w:color w:val="000000" w:themeColor="text1"/>
                <w:kern w:val="0"/>
                <w:sz w:val="26"/>
                <w:szCs w:val="26"/>
              </w:rPr>
            </w:pPr>
            <w:r w:rsidRPr="008B619A">
              <w:rPr>
                <w:rFonts w:ascii="Times New Roman" w:hint="eastAsia"/>
                <w:color w:val="000000" w:themeColor="text1"/>
                <w:kern w:val="0"/>
                <w:sz w:val="26"/>
                <w:szCs w:val="26"/>
              </w:rPr>
              <w:t>16,957</w:t>
            </w:r>
          </w:p>
        </w:tc>
        <w:tc>
          <w:tcPr>
            <w:tcW w:w="1125" w:type="dxa"/>
          </w:tcPr>
          <w:p w14:paraId="45E6E6D8" w14:textId="77777777" w:rsidR="00ED1315" w:rsidRPr="008B619A" w:rsidRDefault="00ED1315" w:rsidP="006400F0">
            <w:pPr>
              <w:spacing w:line="400" w:lineRule="exact"/>
              <w:jc w:val="center"/>
              <w:rPr>
                <w:rFonts w:ascii="Times New Roman"/>
                <w:color w:val="000000" w:themeColor="text1"/>
                <w:kern w:val="0"/>
                <w:sz w:val="26"/>
                <w:szCs w:val="26"/>
              </w:rPr>
            </w:pPr>
            <w:r w:rsidRPr="008B619A">
              <w:rPr>
                <w:rFonts w:ascii="Times New Roman" w:hint="eastAsia"/>
                <w:color w:val="000000" w:themeColor="text1"/>
                <w:kern w:val="0"/>
                <w:sz w:val="26"/>
                <w:szCs w:val="26"/>
              </w:rPr>
              <w:t>59.8</w:t>
            </w:r>
          </w:p>
        </w:tc>
      </w:tr>
      <w:tr w:rsidR="00ED1315" w:rsidRPr="008B619A" w14:paraId="2DCEABC1" w14:textId="77777777" w:rsidTr="006400F0">
        <w:tc>
          <w:tcPr>
            <w:tcW w:w="1018" w:type="dxa"/>
          </w:tcPr>
          <w:p w14:paraId="25FCCA37" w14:textId="77777777" w:rsidR="00ED1315" w:rsidRPr="008B619A" w:rsidRDefault="00ED1315" w:rsidP="006400F0">
            <w:pPr>
              <w:spacing w:line="400" w:lineRule="exact"/>
              <w:jc w:val="center"/>
              <w:rPr>
                <w:rFonts w:ascii="Times New Roman"/>
                <w:b/>
                <w:color w:val="000000" w:themeColor="text1"/>
                <w:kern w:val="0"/>
                <w:sz w:val="26"/>
                <w:szCs w:val="26"/>
              </w:rPr>
            </w:pPr>
            <w:r w:rsidRPr="008B619A">
              <w:rPr>
                <w:rFonts w:ascii="Times New Roman" w:hint="eastAsia"/>
                <w:b/>
                <w:color w:val="000000" w:themeColor="text1"/>
                <w:kern w:val="0"/>
                <w:sz w:val="26"/>
                <w:szCs w:val="26"/>
              </w:rPr>
              <w:t>107</w:t>
            </w:r>
          </w:p>
        </w:tc>
        <w:tc>
          <w:tcPr>
            <w:tcW w:w="1124" w:type="dxa"/>
          </w:tcPr>
          <w:p w14:paraId="6DE6759F" w14:textId="77777777" w:rsidR="00ED1315" w:rsidRPr="008B619A" w:rsidRDefault="00ED1315" w:rsidP="006400F0">
            <w:pPr>
              <w:spacing w:line="400" w:lineRule="exact"/>
              <w:jc w:val="center"/>
              <w:rPr>
                <w:rFonts w:ascii="Times New Roman"/>
                <w:color w:val="000000" w:themeColor="text1"/>
                <w:kern w:val="0"/>
                <w:sz w:val="26"/>
                <w:szCs w:val="26"/>
              </w:rPr>
            </w:pPr>
            <w:r w:rsidRPr="008B619A">
              <w:rPr>
                <w:rFonts w:ascii="Times New Roman" w:hint="eastAsia"/>
                <w:color w:val="000000" w:themeColor="text1"/>
                <w:kern w:val="0"/>
                <w:sz w:val="26"/>
                <w:szCs w:val="26"/>
              </w:rPr>
              <w:t>28,167</w:t>
            </w:r>
          </w:p>
        </w:tc>
        <w:tc>
          <w:tcPr>
            <w:tcW w:w="1124" w:type="dxa"/>
          </w:tcPr>
          <w:p w14:paraId="3D3B4634" w14:textId="77777777" w:rsidR="00ED1315" w:rsidRPr="008B619A" w:rsidRDefault="00ED1315" w:rsidP="006400F0">
            <w:pPr>
              <w:spacing w:line="400" w:lineRule="exact"/>
              <w:jc w:val="center"/>
              <w:rPr>
                <w:rFonts w:ascii="Times New Roman"/>
                <w:color w:val="000000" w:themeColor="text1"/>
                <w:kern w:val="0"/>
                <w:sz w:val="26"/>
                <w:szCs w:val="26"/>
              </w:rPr>
            </w:pPr>
            <w:r w:rsidRPr="008B619A">
              <w:rPr>
                <w:rFonts w:ascii="Times New Roman" w:hint="eastAsia"/>
                <w:color w:val="000000" w:themeColor="text1"/>
                <w:kern w:val="0"/>
                <w:sz w:val="26"/>
                <w:szCs w:val="26"/>
              </w:rPr>
              <w:t>6,216</w:t>
            </w:r>
          </w:p>
        </w:tc>
        <w:tc>
          <w:tcPr>
            <w:tcW w:w="1125" w:type="dxa"/>
          </w:tcPr>
          <w:p w14:paraId="26011308" w14:textId="77777777" w:rsidR="00ED1315" w:rsidRPr="008B619A" w:rsidRDefault="00ED1315" w:rsidP="006400F0">
            <w:pPr>
              <w:spacing w:line="400" w:lineRule="exact"/>
              <w:jc w:val="center"/>
              <w:rPr>
                <w:rFonts w:ascii="Times New Roman"/>
                <w:color w:val="000000" w:themeColor="text1"/>
                <w:kern w:val="0"/>
                <w:sz w:val="26"/>
                <w:szCs w:val="26"/>
              </w:rPr>
            </w:pPr>
            <w:r w:rsidRPr="008B619A">
              <w:rPr>
                <w:rFonts w:ascii="Times New Roman" w:hint="eastAsia"/>
                <w:color w:val="000000" w:themeColor="text1"/>
                <w:kern w:val="0"/>
                <w:sz w:val="26"/>
                <w:szCs w:val="26"/>
              </w:rPr>
              <w:t>22.1</w:t>
            </w:r>
          </w:p>
        </w:tc>
        <w:tc>
          <w:tcPr>
            <w:tcW w:w="1124" w:type="dxa"/>
          </w:tcPr>
          <w:p w14:paraId="1243E117" w14:textId="77777777" w:rsidR="00ED1315" w:rsidRPr="008B619A" w:rsidRDefault="00ED1315" w:rsidP="006400F0">
            <w:pPr>
              <w:spacing w:line="400" w:lineRule="exact"/>
              <w:jc w:val="center"/>
              <w:rPr>
                <w:rFonts w:ascii="Times New Roman"/>
                <w:color w:val="000000" w:themeColor="text1"/>
                <w:kern w:val="0"/>
                <w:sz w:val="26"/>
                <w:szCs w:val="26"/>
              </w:rPr>
            </w:pPr>
            <w:r w:rsidRPr="008B619A">
              <w:rPr>
                <w:rFonts w:ascii="Times New Roman" w:hint="eastAsia"/>
                <w:color w:val="000000" w:themeColor="text1"/>
                <w:kern w:val="0"/>
                <w:sz w:val="26"/>
                <w:szCs w:val="26"/>
              </w:rPr>
              <w:t>5,284</w:t>
            </w:r>
          </w:p>
        </w:tc>
        <w:tc>
          <w:tcPr>
            <w:tcW w:w="1125" w:type="dxa"/>
          </w:tcPr>
          <w:p w14:paraId="511EF843" w14:textId="77777777" w:rsidR="00ED1315" w:rsidRPr="008B619A" w:rsidRDefault="00ED1315" w:rsidP="006400F0">
            <w:pPr>
              <w:spacing w:line="400" w:lineRule="exact"/>
              <w:jc w:val="center"/>
              <w:rPr>
                <w:rFonts w:ascii="Times New Roman"/>
                <w:color w:val="000000" w:themeColor="text1"/>
                <w:kern w:val="0"/>
                <w:sz w:val="26"/>
                <w:szCs w:val="26"/>
              </w:rPr>
            </w:pPr>
            <w:r w:rsidRPr="008B619A">
              <w:rPr>
                <w:rFonts w:ascii="Times New Roman" w:hint="eastAsia"/>
                <w:color w:val="000000" w:themeColor="text1"/>
                <w:kern w:val="0"/>
                <w:sz w:val="26"/>
                <w:szCs w:val="26"/>
              </w:rPr>
              <w:t>18.8</w:t>
            </w:r>
          </w:p>
        </w:tc>
        <w:tc>
          <w:tcPr>
            <w:tcW w:w="1124" w:type="dxa"/>
          </w:tcPr>
          <w:p w14:paraId="2C26F211" w14:textId="77777777" w:rsidR="00ED1315" w:rsidRPr="008B619A" w:rsidRDefault="00ED1315" w:rsidP="006400F0">
            <w:pPr>
              <w:spacing w:line="400" w:lineRule="exact"/>
              <w:jc w:val="center"/>
              <w:rPr>
                <w:rFonts w:ascii="Times New Roman"/>
                <w:color w:val="000000" w:themeColor="text1"/>
                <w:kern w:val="0"/>
                <w:sz w:val="26"/>
                <w:szCs w:val="26"/>
              </w:rPr>
            </w:pPr>
            <w:r w:rsidRPr="008B619A">
              <w:rPr>
                <w:rFonts w:ascii="Times New Roman" w:hint="eastAsia"/>
                <w:color w:val="000000" w:themeColor="text1"/>
                <w:kern w:val="0"/>
                <w:sz w:val="26"/>
                <w:szCs w:val="26"/>
              </w:rPr>
              <w:t>16,667</w:t>
            </w:r>
          </w:p>
        </w:tc>
        <w:tc>
          <w:tcPr>
            <w:tcW w:w="1125" w:type="dxa"/>
          </w:tcPr>
          <w:p w14:paraId="6D2133D7" w14:textId="77777777" w:rsidR="00ED1315" w:rsidRPr="008B619A" w:rsidRDefault="00ED1315" w:rsidP="006400F0">
            <w:pPr>
              <w:spacing w:line="400" w:lineRule="exact"/>
              <w:jc w:val="center"/>
              <w:rPr>
                <w:rFonts w:ascii="Times New Roman"/>
                <w:color w:val="000000" w:themeColor="text1"/>
                <w:kern w:val="0"/>
                <w:sz w:val="26"/>
                <w:szCs w:val="26"/>
              </w:rPr>
            </w:pPr>
            <w:r w:rsidRPr="008B619A">
              <w:rPr>
                <w:rFonts w:ascii="Times New Roman" w:hint="eastAsia"/>
                <w:color w:val="000000" w:themeColor="text1"/>
                <w:kern w:val="0"/>
                <w:sz w:val="26"/>
                <w:szCs w:val="26"/>
              </w:rPr>
              <w:t>59.2</w:t>
            </w:r>
          </w:p>
        </w:tc>
      </w:tr>
      <w:tr w:rsidR="00ED1315" w:rsidRPr="008B619A" w14:paraId="3365CA47" w14:textId="77777777" w:rsidTr="006400F0">
        <w:tc>
          <w:tcPr>
            <w:tcW w:w="1018" w:type="dxa"/>
          </w:tcPr>
          <w:p w14:paraId="6C9FCD46" w14:textId="77777777" w:rsidR="00ED1315" w:rsidRPr="008B619A" w:rsidRDefault="00ED1315" w:rsidP="006400F0">
            <w:pPr>
              <w:spacing w:line="400" w:lineRule="exact"/>
              <w:jc w:val="center"/>
              <w:rPr>
                <w:rFonts w:ascii="Times New Roman"/>
                <w:b/>
                <w:color w:val="000000" w:themeColor="text1"/>
                <w:kern w:val="0"/>
                <w:sz w:val="26"/>
                <w:szCs w:val="26"/>
              </w:rPr>
            </w:pPr>
            <w:r w:rsidRPr="008B619A">
              <w:rPr>
                <w:rFonts w:ascii="Times New Roman" w:hint="eastAsia"/>
                <w:b/>
                <w:color w:val="000000" w:themeColor="text1"/>
                <w:kern w:val="0"/>
                <w:sz w:val="26"/>
                <w:szCs w:val="26"/>
              </w:rPr>
              <w:t>108</w:t>
            </w:r>
          </w:p>
        </w:tc>
        <w:tc>
          <w:tcPr>
            <w:tcW w:w="1124" w:type="dxa"/>
          </w:tcPr>
          <w:p w14:paraId="4992DF2E" w14:textId="77777777" w:rsidR="00ED1315" w:rsidRPr="008B619A" w:rsidRDefault="00ED1315" w:rsidP="006400F0">
            <w:pPr>
              <w:spacing w:line="400" w:lineRule="exact"/>
              <w:jc w:val="center"/>
              <w:rPr>
                <w:rFonts w:ascii="Times New Roman"/>
                <w:color w:val="000000" w:themeColor="text1"/>
                <w:kern w:val="0"/>
                <w:sz w:val="26"/>
                <w:szCs w:val="26"/>
              </w:rPr>
            </w:pPr>
            <w:r w:rsidRPr="008B619A">
              <w:rPr>
                <w:rFonts w:ascii="Times New Roman" w:hint="eastAsia"/>
                <w:color w:val="000000" w:themeColor="text1"/>
                <w:kern w:val="0"/>
                <w:sz w:val="26"/>
                <w:szCs w:val="26"/>
              </w:rPr>
              <w:t>28,510</w:t>
            </w:r>
          </w:p>
        </w:tc>
        <w:tc>
          <w:tcPr>
            <w:tcW w:w="1124" w:type="dxa"/>
          </w:tcPr>
          <w:p w14:paraId="2288BF28" w14:textId="77777777" w:rsidR="00ED1315" w:rsidRPr="008B619A" w:rsidRDefault="00ED1315" w:rsidP="006400F0">
            <w:pPr>
              <w:spacing w:line="400" w:lineRule="exact"/>
              <w:jc w:val="center"/>
              <w:rPr>
                <w:rFonts w:ascii="Times New Roman"/>
                <w:color w:val="000000" w:themeColor="text1"/>
                <w:kern w:val="0"/>
                <w:sz w:val="26"/>
                <w:szCs w:val="26"/>
              </w:rPr>
            </w:pPr>
            <w:r w:rsidRPr="008B619A">
              <w:rPr>
                <w:rFonts w:ascii="Times New Roman" w:hint="eastAsia"/>
                <w:color w:val="000000" w:themeColor="text1"/>
                <w:kern w:val="0"/>
                <w:sz w:val="26"/>
                <w:szCs w:val="26"/>
              </w:rPr>
              <w:t>6,314</w:t>
            </w:r>
          </w:p>
        </w:tc>
        <w:tc>
          <w:tcPr>
            <w:tcW w:w="1125" w:type="dxa"/>
          </w:tcPr>
          <w:p w14:paraId="731A1408" w14:textId="77777777" w:rsidR="00ED1315" w:rsidRPr="008B619A" w:rsidRDefault="00ED1315" w:rsidP="006400F0">
            <w:pPr>
              <w:spacing w:line="400" w:lineRule="exact"/>
              <w:jc w:val="center"/>
              <w:rPr>
                <w:rFonts w:ascii="Times New Roman"/>
                <w:color w:val="000000" w:themeColor="text1"/>
                <w:kern w:val="0"/>
                <w:sz w:val="26"/>
                <w:szCs w:val="26"/>
              </w:rPr>
            </w:pPr>
            <w:r w:rsidRPr="008B619A">
              <w:rPr>
                <w:rFonts w:ascii="Times New Roman" w:hint="eastAsia"/>
                <w:color w:val="000000" w:themeColor="text1"/>
                <w:kern w:val="0"/>
                <w:sz w:val="26"/>
                <w:szCs w:val="26"/>
              </w:rPr>
              <w:t>22.1</w:t>
            </w:r>
          </w:p>
        </w:tc>
        <w:tc>
          <w:tcPr>
            <w:tcW w:w="1124" w:type="dxa"/>
          </w:tcPr>
          <w:p w14:paraId="4A7F6114" w14:textId="77777777" w:rsidR="00ED1315" w:rsidRPr="008B619A" w:rsidRDefault="00ED1315" w:rsidP="006400F0">
            <w:pPr>
              <w:spacing w:line="400" w:lineRule="exact"/>
              <w:jc w:val="center"/>
              <w:rPr>
                <w:rFonts w:ascii="Times New Roman"/>
                <w:color w:val="000000" w:themeColor="text1"/>
                <w:kern w:val="0"/>
                <w:sz w:val="26"/>
                <w:szCs w:val="26"/>
              </w:rPr>
            </w:pPr>
            <w:r w:rsidRPr="008B619A">
              <w:rPr>
                <w:rFonts w:ascii="Times New Roman" w:hint="eastAsia"/>
                <w:color w:val="000000" w:themeColor="text1"/>
                <w:kern w:val="0"/>
                <w:sz w:val="26"/>
                <w:szCs w:val="26"/>
              </w:rPr>
              <w:t>5,343</w:t>
            </w:r>
          </w:p>
        </w:tc>
        <w:tc>
          <w:tcPr>
            <w:tcW w:w="1125" w:type="dxa"/>
          </w:tcPr>
          <w:p w14:paraId="13BC24F2" w14:textId="77777777" w:rsidR="00ED1315" w:rsidRPr="008B619A" w:rsidRDefault="00ED1315" w:rsidP="006400F0">
            <w:pPr>
              <w:spacing w:line="400" w:lineRule="exact"/>
              <w:jc w:val="center"/>
              <w:rPr>
                <w:rFonts w:ascii="Times New Roman"/>
                <w:color w:val="000000" w:themeColor="text1"/>
                <w:kern w:val="0"/>
                <w:sz w:val="26"/>
                <w:szCs w:val="26"/>
              </w:rPr>
            </w:pPr>
            <w:r w:rsidRPr="008B619A">
              <w:rPr>
                <w:rFonts w:ascii="Times New Roman" w:hint="eastAsia"/>
                <w:color w:val="000000" w:themeColor="text1"/>
                <w:kern w:val="0"/>
                <w:sz w:val="26"/>
                <w:szCs w:val="26"/>
              </w:rPr>
              <w:t>18.7</w:t>
            </w:r>
          </w:p>
        </w:tc>
        <w:tc>
          <w:tcPr>
            <w:tcW w:w="1124" w:type="dxa"/>
          </w:tcPr>
          <w:p w14:paraId="33E201E0" w14:textId="77777777" w:rsidR="00ED1315" w:rsidRPr="008B619A" w:rsidRDefault="00ED1315" w:rsidP="006400F0">
            <w:pPr>
              <w:spacing w:line="400" w:lineRule="exact"/>
              <w:jc w:val="center"/>
              <w:rPr>
                <w:rFonts w:ascii="Times New Roman"/>
                <w:color w:val="000000" w:themeColor="text1"/>
                <w:kern w:val="0"/>
                <w:sz w:val="26"/>
                <w:szCs w:val="26"/>
              </w:rPr>
            </w:pPr>
            <w:r w:rsidRPr="008B619A">
              <w:rPr>
                <w:rFonts w:ascii="Times New Roman" w:hint="eastAsia"/>
                <w:color w:val="000000" w:themeColor="text1"/>
                <w:kern w:val="0"/>
                <w:sz w:val="26"/>
                <w:szCs w:val="26"/>
              </w:rPr>
              <w:t>16,853</w:t>
            </w:r>
          </w:p>
        </w:tc>
        <w:tc>
          <w:tcPr>
            <w:tcW w:w="1125" w:type="dxa"/>
          </w:tcPr>
          <w:p w14:paraId="006EBD6E" w14:textId="77777777" w:rsidR="00ED1315" w:rsidRPr="008B619A" w:rsidRDefault="00ED1315" w:rsidP="006400F0">
            <w:pPr>
              <w:spacing w:line="400" w:lineRule="exact"/>
              <w:jc w:val="center"/>
              <w:rPr>
                <w:rFonts w:ascii="Times New Roman"/>
                <w:color w:val="000000" w:themeColor="text1"/>
                <w:kern w:val="0"/>
                <w:sz w:val="26"/>
                <w:szCs w:val="26"/>
              </w:rPr>
            </w:pPr>
            <w:r w:rsidRPr="008B619A">
              <w:rPr>
                <w:rFonts w:ascii="Times New Roman" w:hint="eastAsia"/>
                <w:color w:val="000000" w:themeColor="text1"/>
                <w:kern w:val="0"/>
                <w:sz w:val="26"/>
                <w:szCs w:val="26"/>
              </w:rPr>
              <w:t>59.1</w:t>
            </w:r>
          </w:p>
        </w:tc>
      </w:tr>
    </w:tbl>
    <w:p w14:paraId="630DCACD" w14:textId="497217AF" w:rsidR="00ED1315" w:rsidRPr="008B619A" w:rsidRDefault="00ED1315" w:rsidP="0047164E">
      <w:pPr>
        <w:spacing w:afterLines="50" w:after="228" w:line="240" w:lineRule="exact"/>
        <w:ind w:leftChars="41" w:left="139"/>
        <w:rPr>
          <w:color w:val="000000" w:themeColor="text1"/>
          <w:sz w:val="24"/>
          <w:szCs w:val="24"/>
        </w:rPr>
      </w:pPr>
      <w:r w:rsidRPr="008B619A">
        <w:rPr>
          <w:rFonts w:hint="eastAsia"/>
          <w:color w:val="000000" w:themeColor="text1"/>
          <w:sz w:val="24"/>
          <w:szCs w:val="24"/>
        </w:rPr>
        <w:t>資料來源：國發會函復資料。取自教育部統計處，重要教育統計資訊－博士生就讀類科之比率。</w:t>
      </w:r>
    </w:p>
    <w:p w14:paraId="1EF3FB94" w14:textId="26287FF7" w:rsidR="00ED1315" w:rsidRPr="008B619A" w:rsidRDefault="00ED1315" w:rsidP="0047164E">
      <w:pPr>
        <w:pStyle w:val="4"/>
        <w:rPr>
          <w:color w:val="000000" w:themeColor="text1"/>
        </w:rPr>
      </w:pPr>
      <w:r w:rsidRPr="008B619A">
        <w:rPr>
          <w:rFonts w:hint="eastAsia"/>
          <w:color w:val="000000" w:themeColor="text1"/>
        </w:rPr>
        <w:t>另</w:t>
      </w:r>
      <w:r w:rsidR="00152DCF" w:rsidRPr="008B619A">
        <w:rPr>
          <w:rFonts w:hint="eastAsia"/>
          <w:color w:val="000000" w:themeColor="text1"/>
        </w:rPr>
        <w:t>以畢業生結構</w:t>
      </w:r>
      <w:r w:rsidR="00DF0EEF" w:rsidRPr="008B619A">
        <w:rPr>
          <w:rFonts w:hint="eastAsia"/>
          <w:color w:val="000000" w:themeColor="text1"/>
        </w:rPr>
        <w:t>觀察</w:t>
      </w:r>
      <w:r w:rsidR="00152DCF" w:rsidRPr="008B619A">
        <w:rPr>
          <w:rFonts w:hint="eastAsia"/>
          <w:color w:val="000000" w:themeColor="text1"/>
        </w:rPr>
        <w:t>，</w:t>
      </w:r>
      <w:r w:rsidRPr="008B619A">
        <w:rPr>
          <w:rFonts w:hint="eastAsia"/>
          <w:color w:val="000000" w:themeColor="text1"/>
        </w:rPr>
        <w:t>107學年博士畢業生人數為3,306人，其中以「工程、製造及營建」領域</w:t>
      </w:r>
      <w:r w:rsidR="003D7FD6" w:rsidRPr="008B619A">
        <w:rPr>
          <w:rFonts w:hint="eastAsia"/>
          <w:color w:val="000000" w:themeColor="text1"/>
        </w:rPr>
        <w:t>之</w:t>
      </w:r>
      <w:r w:rsidRPr="008B619A">
        <w:rPr>
          <w:rFonts w:hint="eastAsia"/>
          <w:color w:val="000000" w:themeColor="text1"/>
        </w:rPr>
        <w:t>994人為最多，占全體博士畢業生30.1%，「自然科學、數學及統計」領域500人居次，「醫藥衛生及社會福利」領域433人排名第</w:t>
      </w:r>
      <w:r w:rsidR="00BC14B9" w:rsidRPr="008B619A">
        <w:rPr>
          <w:rFonts w:hint="eastAsia"/>
          <w:color w:val="000000" w:themeColor="text1"/>
        </w:rPr>
        <w:t>3</w:t>
      </w:r>
      <w:r w:rsidRPr="008B619A">
        <w:rPr>
          <w:rFonts w:hint="eastAsia"/>
          <w:color w:val="000000" w:themeColor="text1"/>
        </w:rPr>
        <w:t>；至STEM領域(自然科學、數學及統計；資訊通訊科技；工程、製造及營建等)之博士畢業生共計1,651人，占全體博士畢業生49.9%。如下表：</w:t>
      </w:r>
    </w:p>
    <w:p w14:paraId="7C494907" w14:textId="77777777" w:rsidR="00ED1315" w:rsidRPr="008B619A" w:rsidRDefault="00ED1315" w:rsidP="00ED1315">
      <w:pPr>
        <w:pStyle w:val="a3"/>
        <w:ind w:left="1701" w:right="680" w:hanging="681"/>
        <w:jc w:val="center"/>
        <w:rPr>
          <w:b/>
          <w:color w:val="000000" w:themeColor="text1"/>
        </w:rPr>
      </w:pPr>
      <w:r w:rsidRPr="008B619A">
        <w:rPr>
          <w:rFonts w:hint="eastAsia"/>
          <w:b/>
          <w:color w:val="000000" w:themeColor="text1"/>
        </w:rPr>
        <w:t>107學年博士畢業生就讀學科領域情形</w:t>
      </w:r>
    </w:p>
    <w:p w14:paraId="22838695" w14:textId="77777777" w:rsidR="00ED1315" w:rsidRPr="008B619A" w:rsidRDefault="00ED1315" w:rsidP="00ED1315">
      <w:pPr>
        <w:spacing w:line="240" w:lineRule="exact"/>
        <w:jc w:val="right"/>
        <w:rPr>
          <w:color w:val="000000" w:themeColor="text1"/>
          <w:sz w:val="24"/>
          <w:szCs w:val="24"/>
        </w:rPr>
      </w:pPr>
      <w:r w:rsidRPr="008B619A">
        <w:rPr>
          <w:rFonts w:hint="eastAsia"/>
          <w:color w:val="000000" w:themeColor="text1"/>
          <w:sz w:val="24"/>
          <w:szCs w:val="24"/>
        </w:rPr>
        <w:t>單位：人；%</w:t>
      </w:r>
    </w:p>
    <w:tbl>
      <w:tblPr>
        <w:tblStyle w:val="afa"/>
        <w:tblW w:w="8889" w:type="dxa"/>
        <w:tblInd w:w="94" w:type="dxa"/>
        <w:tblLayout w:type="fixed"/>
        <w:tblLook w:val="04A0" w:firstRow="1" w:lastRow="0" w:firstColumn="1" w:lastColumn="0" w:noHBand="0" w:noVBand="1"/>
      </w:tblPr>
      <w:tblGrid>
        <w:gridCol w:w="3699"/>
        <w:gridCol w:w="2595"/>
        <w:gridCol w:w="2595"/>
      </w:tblGrid>
      <w:tr w:rsidR="00AC4CDF" w:rsidRPr="008B619A" w14:paraId="67BD6B0E" w14:textId="77777777" w:rsidTr="006400F0">
        <w:trPr>
          <w:trHeight w:val="85"/>
          <w:tblHeader/>
        </w:trPr>
        <w:tc>
          <w:tcPr>
            <w:tcW w:w="3699" w:type="dxa"/>
            <w:vMerge w:val="restart"/>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hideMark/>
          </w:tcPr>
          <w:p w14:paraId="2ACED17B" w14:textId="77777777" w:rsidR="00ED1315" w:rsidRPr="008B619A" w:rsidRDefault="00ED1315" w:rsidP="006400F0">
            <w:pPr>
              <w:snapToGrid w:val="0"/>
              <w:spacing w:line="320" w:lineRule="exact"/>
              <w:jc w:val="center"/>
              <w:rPr>
                <w:rFonts w:ascii="Times New Roman"/>
                <w:b/>
                <w:color w:val="000000" w:themeColor="text1"/>
                <w:sz w:val="26"/>
                <w:szCs w:val="26"/>
              </w:rPr>
            </w:pPr>
            <w:r w:rsidRPr="008B619A">
              <w:rPr>
                <w:rFonts w:ascii="Times New Roman"/>
                <w:b/>
                <w:color w:val="000000" w:themeColor="text1"/>
                <w:sz w:val="26"/>
                <w:szCs w:val="26"/>
              </w:rPr>
              <w:t>就讀學科領域</w:t>
            </w:r>
          </w:p>
        </w:tc>
        <w:tc>
          <w:tcPr>
            <w:tcW w:w="2595" w:type="dxa"/>
            <w:vMerge w:val="restart"/>
            <w:tcBorders>
              <w:top w:val="single" w:sz="4" w:space="0" w:color="auto"/>
              <w:left w:val="single" w:sz="4" w:space="0" w:color="auto"/>
              <w:right w:val="nil"/>
            </w:tcBorders>
            <w:shd w:val="clear" w:color="auto" w:fill="E5DFEC" w:themeFill="accent4" w:themeFillTint="33"/>
            <w:vAlign w:val="center"/>
            <w:hideMark/>
          </w:tcPr>
          <w:p w14:paraId="5B471CDF" w14:textId="77777777" w:rsidR="00ED1315" w:rsidRPr="008B619A" w:rsidRDefault="00ED1315" w:rsidP="006400F0">
            <w:pPr>
              <w:snapToGrid w:val="0"/>
              <w:spacing w:line="320" w:lineRule="exact"/>
              <w:jc w:val="center"/>
              <w:rPr>
                <w:rFonts w:ascii="Times New Roman"/>
                <w:b/>
                <w:color w:val="000000" w:themeColor="text1"/>
                <w:sz w:val="26"/>
                <w:szCs w:val="26"/>
              </w:rPr>
            </w:pPr>
            <w:r w:rsidRPr="008B619A">
              <w:rPr>
                <w:rFonts w:ascii="Times New Roman"/>
                <w:b/>
                <w:color w:val="000000" w:themeColor="text1"/>
                <w:sz w:val="26"/>
                <w:szCs w:val="26"/>
              </w:rPr>
              <w:t>博士畢業生</w:t>
            </w:r>
          </w:p>
        </w:tc>
        <w:tc>
          <w:tcPr>
            <w:tcW w:w="2595" w:type="dxa"/>
            <w:tcBorders>
              <w:top w:val="single" w:sz="4" w:space="0" w:color="auto"/>
              <w:left w:val="nil"/>
              <w:bottom w:val="single" w:sz="4" w:space="0" w:color="auto"/>
              <w:right w:val="single" w:sz="4" w:space="0" w:color="auto"/>
            </w:tcBorders>
            <w:shd w:val="clear" w:color="auto" w:fill="E5DFEC" w:themeFill="accent4" w:themeFillTint="33"/>
          </w:tcPr>
          <w:p w14:paraId="522B71E6" w14:textId="77777777" w:rsidR="00ED1315" w:rsidRPr="008B619A" w:rsidRDefault="00ED1315" w:rsidP="006400F0">
            <w:pPr>
              <w:snapToGrid w:val="0"/>
              <w:spacing w:line="320" w:lineRule="exact"/>
              <w:rPr>
                <w:rFonts w:ascii="Times New Roman"/>
                <w:b/>
                <w:color w:val="000000" w:themeColor="text1"/>
                <w:sz w:val="26"/>
                <w:szCs w:val="26"/>
              </w:rPr>
            </w:pPr>
          </w:p>
        </w:tc>
      </w:tr>
      <w:tr w:rsidR="00AC4CDF" w:rsidRPr="008B619A" w14:paraId="5A372F84" w14:textId="77777777" w:rsidTr="006400F0">
        <w:trPr>
          <w:trHeight w:val="281"/>
          <w:tblHeader/>
        </w:trPr>
        <w:tc>
          <w:tcPr>
            <w:tcW w:w="3699" w:type="dxa"/>
            <w:vMerge/>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hideMark/>
          </w:tcPr>
          <w:p w14:paraId="68C0E481" w14:textId="77777777" w:rsidR="00ED1315" w:rsidRPr="008B619A" w:rsidRDefault="00ED1315" w:rsidP="006400F0">
            <w:pPr>
              <w:widowControl/>
              <w:jc w:val="center"/>
              <w:rPr>
                <w:rFonts w:ascii="Times New Roman"/>
                <w:b/>
                <w:color w:val="000000" w:themeColor="text1"/>
                <w:sz w:val="26"/>
                <w:szCs w:val="26"/>
              </w:rPr>
            </w:pPr>
          </w:p>
        </w:tc>
        <w:tc>
          <w:tcPr>
            <w:tcW w:w="2595" w:type="dxa"/>
            <w:vMerge/>
            <w:tcBorders>
              <w:left w:val="single" w:sz="4" w:space="0" w:color="auto"/>
              <w:bottom w:val="single" w:sz="4" w:space="0" w:color="auto"/>
              <w:right w:val="single" w:sz="4" w:space="0" w:color="auto"/>
            </w:tcBorders>
            <w:shd w:val="clear" w:color="auto" w:fill="E5DFEC" w:themeFill="accent4" w:themeFillTint="33"/>
            <w:hideMark/>
          </w:tcPr>
          <w:p w14:paraId="4B0B22B2" w14:textId="77777777" w:rsidR="00ED1315" w:rsidRPr="008B619A" w:rsidRDefault="00ED1315" w:rsidP="006400F0">
            <w:pPr>
              <w:snapToGrid w:val="0"/>
              <w:spacing w:line="320" w:lineRule="exact"/>
              <w:jc w:val="center"/>
              <w:rPr>
                <w:rFonts w:ascii="Times New Roman"/>
                <w:b/>
                <w:color w:val="000000" w:themeColor="text1"/>
                <w:spacing w:val="-4"/>
                <w:sz w:val="26"/>
                <w:szCs w:val="26"/>
              </w:rPr>
            </w:pPr>
          </w:p>
        </w:tc>
        <w:tc>
          <w:tcPr>
            <w:tcW w:w="2595" w:type="dxa"/>
            <w:tcBorders>
              <w:top w:val="single" w:sz="4" w:space="0" w:color="auto"/>
              <w:left w:val="single" w:sz="4" w:space="0" w:color="auto"/>
              <w:bottom w:val="single" w:sz="4" w:space="0" w:color="auto"/>
              <w:right w:val="single" w:sz="4" w:space="0" w:color="auto"/>
            </w:tcBorders>
            <w:shd w:val="clear" w:color="auto" w:fill="E5DFEC" w:themeFill="accent4" w:themeFillTint="33"/>
          </w:tcPr>
          <w:p w14:paraId="053EEDD8" w14:textId="77777777" w:rsidR="00ED1315" w:rsidRPr="008B619A" w:rsidRDefault="00ED1315" w:rsidP="006400F0">
            <w:pPr>
              <w:snapToGrid w:val="0"/>
              <w:spacing w:line="320" w:lineRule="exact"/>
              <w:jc w:val="center"/>
              <w:rPr>
                <w:rFonts w:ascii="Times New Roman"/>
                <w:b/>
                <w:color w:val="000000" w:themeColor="text1"/>
                <w:spacing w:val="-4"/>
                <w:sz w:val="26"/>
                <w:szCs w:val="26"/>
              </w:rPr>
            </w:pPr>
            <w:r w:rsidRPr="008B619A">
              <w:rPr>
                <w:rFonts w:ascii="Times New Roman" w:hint="eastAsia"/>
                <w:b/>
                <w:color w:val="000000" w:themeColor="text1"/>
                <w:spacing w:val="-4"/>
                <w:sz w:val="26"/>
                <w:szCs w:val="26"/>
              </w:rPr>
              <w:t>占比</w:t>
            </w:r>
          </w:p>
        </w:tc>
      </w:tr>
      <w:tr w:rsidR="00AC4CDF" w:rsidRPr="008B619A" w14:paraId="15390DDB" w14:textId="77777777" w:rsidTr="006400F0">
        <w:tc>
          <w:tcPr>
            <w:tcW w:w="3699" w:type="dxa"/>
            <w:tcBorders>
              <w:top w:val="single" w:sz="4" w:space="0" w:color="auto"/>
              <w:left w:val="single" w:sz="4" w:space="0" w:color="auto"/>
              <w:bottom w:val="single" w:sz="4" w:space="0" w:color="auto"/>
              <w:right w:val="single" w:sz="4" w:space="0" w:color="auto"/>
            </w:tcBorders>
            <w:hideMark/>
          </w:tcPr>
          <w:p w14:paraId="1226AFB3" w14:textId="77777777" w:rsidR="00ED1315" w:rsidRPr="008B619A" w:rsidRDefault="00ED1315" w:rsidP="006400F0">
            <w:pPr>
              <w:snapToGrid w:val="0"/>
              <w:spacing w:line="400" w:lineRule="exact"/>
              <w:rPr>
                <w:rFonts w:ascii="Times New Roman"/>
                <w:color w:val="000000" w:themeColor="text1"/>
                <w:spacing w:val="-10"/>
                <w:sz w:val="26"/>
                <w:szCs w:val="26"/>
              </w:rPr>
            </w:pPr>
            <w:r w:rsidRPr="008B619A">
              <w:rPr>
                <w:rFonts w:ascii="Times New Roman"/>
                <w:color w:val="000000" w:themeColor="text1"/>
                <w:spacing w:val="-10"/>
                <w:sz w:val="26"/>
                <w:szCs w:val="26"/>
              </w:rPr>
              <w:t>教育</w:t>
            </w:r>
          </w:p>
        </w:tc>
        <w:tc>
          <w:tcPr>
            <w:tcW w:w="2595" w:type="dxa"/>
            <w:tcBorders>
              <w:top w:val="single" w:sz="4" w:space="0" w:color="auto"/>
              <w:left w:val="single" w:sz="4" w:space="0" w:color="auto"/>
              <w:bottom w:val="single" w:sz="4" w:space="0" w:color="auto"/>
              <w:right w:val="single" w:sz="4" w:space="0" w:color="auto"/>
            </w:tcBorders>
            <w:vAlign w:val="center"/>
          </w:tcPr>
          <w:p w14:paraId="712F2A36" w14:textId="77777777" w:rsidR="00ED1315" w:rsidRPr="008B619A" w:rsidRDefault="00ED1315" w:rsidP="006400F0">
            <w:pPr>
              <w:snapToGrid w:val="0"/>
              <w:spacing w:line="400" w:lineRule="exact"/>
              <w:jc w:val="right"/>
              <w:rPr>
                <w:rFonts w:ascii="Times New Roman"/>
                <w:color w:val="000000" w:themeColor="text1"/>
                <w:spacing w:val="-4"/>
                <w:sz w:val="26"/>
                <w:szCs w:val="26"/>
              </w:rPr>
            </w:pPr>
            <w:r w:rsidRPr="008B619A">
              <w:rPr>
                <w:rFonts w:ascii="Times New Roman" w:hint="eastAsia"/>
                <w:color w:val="000000" w:themeColor="text1"/>
                <w:spacing w:val="-4"/>
                <w:sz w:val="26"/>
                <w:szCs w:val="26"/>
              </w:rPr>
              <w:t>288</w:t>
            </w:r>
          </w:p>
        </w:tc>
        <w:tc>
          <w:tcPr>
            <w:tcW w:w="2595" w:type="dxa"/>
            <w:tcBorders>
              <w:top w:val="single" w:sz="4" w:space="0" w:color="auto"/>
              <w:left w:val="single" w:sz="4" w:space="0" w:color="auto"/>
              <w:bottom w:val="single" w:sz="4" w:space="0" w:color="auto"/>
              <w:right w:val="single" w:sz="4" w:space="0" w:color="auto"/>
            </w:tcBorders>
            <w:vAlign w:val="center"/>
          </w:tcPr>
          <w:p w14:paraId="39733EB2" w14:textId="77777777" w:rsidR="00ED1315" w:rsidRPr="008B619A" w:rsidRDefault="00ED1315" w:rsidP="006400F0">
            <w:pPr>
              <w:snapToGrid w:val="0"/>
              <w:spacing w:line="400" w:lineRule="exact"/>
              <w:jc w:val="right"/>
              <w:rPr>
                <w:rFonts w:ascii="Times New Roman"/>
                <w:color w:val="000000" w:themeColor="text1"/>
                <w:spacing w:val="-4"/>
                <w:sz w:val="26"/>
                <w:szCs w:val="26"/>
              </w:rPr>
            </w:pPr>
            <w:r w:rsidRPr="008B619A">
              <w:rPr>
                <w:rFonts w:ascii="Times New Roman" w:hint="eastAsia"/>
                <w:color w:val="000000" w:themeColor="text1"/>
                <w:spacing w:val="-4"/>
                <w:sz w:val="26"/>
                <w:szCs w:val="26"/>
              </w:rPr>
              <w:t>8.7</w:t>
            </w:r>
          </w:p>
        </w:tc>
      </w:tr>
      <w:tr w:rsidR="00AC4CDF" w:rsidRPr="008B619A" w14:paraId="47DE8FA8" w14:textId="77777777" w:rsidTr="006400F0">
        <w:tc>
          <w:tcPr>
            <w:tcW w:w="3699" w:type="dxa"/>
            <w:tcBorders>
              <w:top w:val="single" w:sz="4" w:space="0" w:color="auto"/>
              <w:left w:val="single" w:sz="4" w:space="0" w:color="auto"/>
              <w:bottom w:val="single" w:sz="4" w:space="0" w:color="auto"/>
              <w:right w:val="single" w:sz="4" w:space="0" w:color="auto"/>
            </w:tcBorders>
            <w:shd w:val="clear" w:color="auto" w:fill="auto"/>
            <w:hideMark/>
          </w:tcPr>
          <w:p w14:paraId="48D54035" w14:textId="77777777" w:rsidR="00ED1315" w:rsidRPr="008B619A" w:rsidRDefault="00ED1315" w:rsidP="006400F0">
            <w:pPr>
              <w:snapToGrid w:val="0"/>
              <w:spacing w:line="400" w:lineRule="exact"/>
              <w:rPr>
                <w:rFonts w:ascii="Times New Roman"/>
                <w:color w:val="000000" w:themeColor="text1"/>
                <w:spacing w:val="-10"/>
                <w:sz w:val="26"/>
                <w:szCs w:val="26"/>
              </w:rPr>
            </w:pPr>
            <w:r w:rsidRPr="008B619A">
              <w:rPr>
                <w:rFonts w:ascii="Times New Roman"/>
                <w:color w:val="000000" w:themeColor="text1"/>
                <w:spacing w:val="-10"/>
                <w:sz w:val="26"/>
                <w:szCs w:val="26"/>
              </w:rPr>
              <w:t>藝術及人文</w:t>
            </w:r>
          </w:p>
        </w:tc>
        <w:tc>
          <w:tcPr>
            <w:tcW w:w="2595" w:type="dxa"/>
            <w:tcBorders>
              <w:top w:val="single" w:sz="4" w:space="0" w:color="auto"/>
              <w:left w:val="single" w:sz="4" w:space="0" w:color="auto"/>
              <w:bottom w:val="single" w:sz="4" w:space="0" w:color="auto"/>
              <w:right w:val="single" w:sz="4" w:space="0" w:color="auto"/>
            </w:tcBorders>
            <w:shd w:val="clear" w:color="auto" w:fill="auto"/>
            <w:vAlign w:val="center"/>
          </w:tcPr>
          <w:p w14:paraId="380D0D31" w14:textId="77777777" w:rsidR="00ED1315" w:rsidRPr="008B619A" w:rsidRDefault="00ED1315" w:rsidP="006400F0">
            <w:pPr>
              <w:snapToGrid w:val="0"/>
              <w:spacing w:line="400" w:lineRule="exact"/>
              <w:jc w:val="right"/>
              <w:rPr>
                <w:rFonts w:ascii="Times New Roman"/>
                <w:color w:val="000000" w:themeColor="text1"/>
                <w:spacing w:val="-4"/>
                <w:sz w:val="26"/>
                <w:szCs w:val="26"/>
              </w:rPr>
            </w:pPr>
            <w:r w:rsidRPr="008B619A">
              <w:rPr>
                <w:rFonts w:ascii="Times New Roman" w:hint="eastAsia"/>
                <w:color w:val="000000" w:themeColor="text1"/>
                <w:spacing w:val="-4"/>
                <w:sz w:val="26"/>
                <w:szCs w:val="26"/>
              </w:rPr>
              <w:t>338</w:t>
            </w:r>
          </w:p>
        </w:tc>
        <w:tc>
          <w:tcPr>
            <w:tcW w:w="2595" w:type="dxa"/>
            <w:tcBorders>
              <w:top w:val="single" w:sz="4" w:space="0" w:color="auto"/>
              <w:left w:val="single" w:sz="4" w:space="0" w:color="auto"/>
              <w:bottom w:val="single" w:sz="4" w:space="0" w:color="auto"/>
              <w:right w:val="single" w:sz="4" w:space="0" w:color="auto"/>
            </w:tcBorders>
            <w:shd w:val="clear" w:color="auto" w:fill="auto"/>
            <w:vAlign w:val="center"/>
          </w:tcPr>
          <w:p w14:paraId="67BFE5C4" w14:textId="77777777" w:rsidR="00ED1315" w:rsidRPr="008B619A" w:rsidRDefault="00ED1315" w:rsidP="006400F0">
            <w:pPr>
              <w:snapToGrid w:val="0"/>
              <w:spacing w:line="400" w:lineRule="exact"/>
              <w:jc w:val="right"/>
              <w:rPr>
                <w:rFonts w:ascii="Times New Roman"/>
                <w:color w:val="000000" w:themeColor="text1"/>
                <w:spacing w:val="-4"/>
                <w:sz w:val="26"/>
                <w:szCs w:val="26"/>
              </w:rPr>
            </w:pPr>
            <w:r w:rsidRPr="008B619A">
              <w:rPr>
                <w:rFonts w:ascii="Times New Roman" w:hint="eastAsia"/>
                <w:color w:val="000000" w:themeColor="text1"/>
                <w:spacing w:val="-4"/>
                <w:sz w:val="26"/>
                <w:szCs w:val="26"/>
              </w:rPr>
              <w:t>10.2</w:t>
            </w:r>
          </w:p>
        </w:tc>
      </w:tr>
      <w:tr w:rsidR="00AC4CDF" w:rsidRPr="008B619A" w14:paraId="17D9A1EB" w14:textId="77777777" w:rsidTr="006400F0">
        <w:tc>
          <w:tcPr>
            <w:tcW w:w="3699" w:type="dxa"/>
            <w:tcBorders>
              <w:top w:val="single" w:sz="4" w:space="0" w:color="auto"/>
              <w:left w:val="single" w:sz="4" w:space="0" w:color="auto"/>
              <w:bottom w:val="single" w:sz="4" w:space="0" w:color="auto"/>
              <w:right w:val="single" w:sz="4" w:space="0" w:color="auto"/>
            </w:tcBorders>
            <w:shd w:val="clear" w:color="auto" w:fill="auto"/>
            <w:hideMark/>
          </w:tcPr>
          <w:p w14:paraId="4039F8BF" w14:textId="77777777" w:rsidR="00ED1315" w:rsidRPr="008B619A" w:rsidRDefault="00ED1315" w:rsidP="006400F0">
            <w:pPr>
              <w:snapToGrid w:val="0"/>
              <w:spacing w:line="400" w:lineRule="exact"/>
              <w:rPr>
                <w:rFonts w:ascii="Times New Roman"/>
                <w:color w:val="000000" w:themeColor="text1"/>
                <w:spacing w:val="-10"/>
                <w:sz w:val="26"/>
                <w:szCs w:val="26"/>
              </w:rPr>
            </w:pPr>
            <w:r w:rsidRPr="008B619A">
              <w:rPr>
                <w:rFonts w:ascii="Times New Roman"/>
                <w:color w:val="000000" w:themeColor="text1"/>
                <w:spacing w:val="-10"/>
                <w:sz w:val="26"/>
                <w:szCs w:val="26"/>
              </w:rPr>
              <w:t>社會科學、新聞學及圖書資訊</w:t>
            </w:r>
          </w:p>
        </w:tc>
        <w:tc>
          <w:tcPr>
            <w:tcW w:w="2595" w:type="dxa"/>
            <w:tcBorders>
              <w:top w:val="single" w:sz="4" w:space="0" w:color="auto"/>
              <w:left w:val="single" w:sz="4" w:space="0" w:color="auto"/>
              <w:bottom w:val="single" w:sz="4" w:space="0" w:color="auto"/>
              <w:right w:val="single" w:sz="4" w:space="0" w:color="auto"/>
            </w:tcBorders>
            <w:shd w:val="clear" w:color="auto" w:fill="auto"/>
            <w:vAlign w:val="center"/>
          </w:tcPr>
          <w:p w14:paraId="0B0893A1" w14:textId="77777777" w:rsidR="00ED1315" w:rsidRPr="008B619A" w:rsidRDefault="00ED1315" w:rsidP="006400F0">
            <w:pPr>
              <w:snapToGrid w:val="0"/>
              <w:spacing w:line="400" w:lineRule="exact"/>
              <w:jc w:val="right"/>
              <w:rPr>
                <w:rFonts w:ascii="Times New Roman"/>
                <w:color w:val="000000" w:themeColor="text1"/>
                <w:spacing w:val="-4"/>
                <w:sz w:val="26"/>
                <w:szCs w:val="26"/>
              </w:rPr>
            </w:pPr>
            <w:r w:rsidRPr="008B619A">
              <w:rPr>
                <w:rFonts w:ascii="Times New Roman" w:hint="eastAsia"/>
                <w:color w:val="000000" w:themeColor="text1"/>
                <w:spacing w:val="-4"/>
                <w:sz w:val="26"/>
                <w:szCs w:val="26"/>
              </w:rPr>
              <w:t>180</w:t>
            </w:r>
          </w:p>
        </w:tc>
        <w:tc>
          <w:tcPr>
            <w:tcW w:w="2595" w:type="dxa"/>
            <w:tcBorders>
              <w:top w:val="single" w:sz="4" w:space="0" w:color="auto"/>
              <w:left w:val="single" w:sz="4" w:space="0" w:color="auto"/>
              <w:bottom w:val="single" w:sz="4" w:space="0" w:color="auto"/>
              <w:right w:val="single" w:sz="4" w:space="0" w:color="auto"/>
            </w:tcBorders>
            <w:shd w:val="clear" w:color="auto" w:fill="auto"/>
            <w:vAlign w:val="center"/>
          </w:tcPr>
          <w:p w14:paraId="63142B9A" w14:textId="77777777" w:rsidR="00ED1315" w:rsidRPr="008B619A" w:rsidRDefault="00ED1315" w:rsidP="006400F0">
            <w:pPr>
              <w:snapToGrid w:val="0"/>
              <w:spacing w:line="400" w:lineRule="exact"/>
              <w:jc w:val="right"/>
              <w:rPr>
                <w:rFonts w:ascii="Times New Roman"/>
                <w:color w:val="000000" w:themeColor="text1"/>
                <w:spacing w:val="-4"/>
                <w:sz w:val="26"/>
                <w:szCs w:val="26"/>
              </w:rPr>
            </w:pPr>
            <w:r w:rsidRPr="008B619A">
              <w:rPr>
                <w:rFonts w:ascii="Times New Roman" w:hint="eastAsia"/>
                <w:color w:val="000000" w:themeColor="text1"/>
                <w:spacing w:val="-4"/>
                <w:sz w:val="26"/>
                <w:szCs w:val="26"/>
              </w:rPr>
              <w:t>5.4</w:t>
            </w:r>
          </w:p>
        </w:tc>
      </w:tr>
      <w:tr w:rsidR="00AC4CDF" w:rsidRPr="008B619A" w14:paraId="43625BDA" w14:textId="77777777" w:rsidTr="006400F0">
        <w:tc>
          <w:tcPr>
            <w:tcW w:w="3699" w:type="dxa"/>
            <w:tcBorders>
              <w:top w:val="single" w:sz="4" w:space="0" w:color="auto"/>
              <w:left w:val="single" w:sz="4" w:space="0" w:color="auto"/>
              <w:bottom w:val="single" w:sz="4" w:space="0" w:color="auto"/>
              <w:right w:val="single" w:sz="4" w:space="0" w:color="auto"/>
            </w:tcBorders>
            <w:shd w:val="clear" w:color="auto" w:fill="auto"/>
            <w:hideMark/>
          </w:tcPr>
          <w:p w14:paraId="13256839" w14:textId="77777777" w:rsidR="00ED1315" w:rsidRPr="008B619A" w:rsidRDefault="00ED1315" w:rsidP="006400F0">
            <w:pPr>
              <w:snapToGrid w:val="0"/>
              <w:spacing w:line="400" w:lineRule="exact"/>
              <w:rPr>
                <w:rFonts w:ascii="Times New Roman"/>
                <w:color w:val="000000" w:themeColor="text1"/>
                <w:spacing w:val="-10"/>
                <w:sz w:val="26"/>
                <w:szCs w:val="26"/>
              </w:rPr>
            </w:pPr>
            <w:r w:rsidRPr="008B619A">
              <w:rPr>
                <w:rFonts w:ascii="Times New Roman"/>
                <w:color w:val="000000" w:themeColor="text1"/>
                <w:spacing w:val="-10"/>
                <w:sz w:val="26"/>
                <w:szCs w:val="26"/>
              </w:rPr>
              <w:t>商業、管理及法律</w:t>
            </w:r>
          </w:p>
        </w:tc>
        <w:tc>
          <w:tcPr>
            <w:tcW w:w="2595" w:type="dxa"/>
            <w:tcBorders>
              <w:top w:val="single" w:sz="4" w:space="0" w:color="auto"/>
              <w:left w:val="single" w:sz="4" w:space="0" w:color="auto"/>
              <w:bottom w:val="single" w:sz="4" w:space="0" w:color="auto"/>
              <w:right w:val="single" w:sz="4" w:space="0" w:color="auto"/>
            </w:tcBorders>
            <w:shd w:val="clear" w:color="auto" w:fill="auto"/>
            <w:vAlign w:val="center"/>
          </w:tcPr>
          <w:p w14:paraId="1D1C20DC" w14:textId="77777777" w:rsidR="00ED1315" w:rsidRPr="008B619A" w:rsidRDefault="00ED1315" w:rsidP="006400F0">
            <w:pPr>
              <w:snapToGrid w:val="0"/>
              <w:spacing w:line="400" w:lineRule="exact"/>
              <w:jc w:val="right"/>
              <w:rPr>
                <w:rFonts w:ascii="Times New Roman"/>
                <w:color w:val="000000" w:themeColor="text1"/>
                <w:spacing w:val="-4"/>
                <w:sz w:val="26"/>
                <w:szCs w:val="26"/>
              </w:rPr>
            </w:pPr>
            <w:r w:rsidRPr="008B619A">
              <w:rPr>
                <w:rFonts w:ascii="Times New Roman" w:hint="eastAsia"/>
                <w:color w:val="000000" w:themeColor="text1"/>
                <w:spacing w:val="-4"/>
                <w:sz w:val="26"/>
                <w:szCs w:val="26"/>
              </w:rPr>
              <w:t>317</w:t>
            </w:r>
          </w:p>
        </w:tc>
        <w:tc>
          <w:tcPr>
            <w:tcW w:w="2595" w:type="dxa"/>
            <w:tcBorders>
              <w:top w:val="single" w:sz="4" w:space="0" w:color="auto"/>
              <w:left w:val="single" w:sz="4" w:space="0" w:color="auto"/>
              <w:bottom w:val="single" w:sz="4" w:space="0" w:color="auto"/>
              <w:right w:val="single" w:sz="4" w:space="0" w:color="auto"/>
            </w:tcBorders>
            <w:shd w:val="clear" w:color="auto" w:fill="auto"/>
            <w:vAlign w:val="center"/>
          </w:tcPr>
          <w:p w14:paraId="5B255CB4" w14:textId="77777777" w:rsidR="00ED1315" w:rsidRPr="008B619A" w:rsidRDefault="00ED1315" w:rsidP="006400F0">
            <w:pPr>
              <w:snapToGrid w:val="0"/>
              <w:spacing w:line="400" w:lineRule="exact"/>
              <w:jc w:val="right"/>
              <w:rPr>
                <w:rFonts w:ascii="Times New Roman"/>
                <w:color w:val="000000" w:themeColor="text1"/>
                <w:spacing w:val="-4"/>
                <w:sz w:val="26"/>
                <w:szCs w:val="26"/>
              </w:rPr>
            </w:pPr>
            <w:r w:rsidRPr="008B619A">
              <w:rPr>
                <w:rFonts w:ascii="Times New Roman" w:hint="eastAsia"/>
                <w:color w:val="000000" w:themeColor="text1"/>
                <w:spacing w:val="-4"/>
                <w:sz w:val="26"/>
                <w:szCs w:val="26"/>
              </w:rPr>
              <w:t>9.6</w:t>
            </w:r>
          </w:p>
        </w:tc>
      </w:tr>
      <w:tr w:rsidR="00AC4CDF" w:rsidRPr="008B619A" w14:paraId="1BDC09D3" w14:textId="77777777" w:rsidTr="006400F0">
        <w:tc>
          <w:tcPr>
            <w:tcW w:w="3699" w:type="dxa"/>
            <w:tcBorders>
              <w:top w:val="single" w:sz="4" w:space="0" w:color="auto"/>
              <w:left w:val="single" w:sz="4" w:space="0" w:color="auto"/>
              <w:bottom w:val="single" w:sz="4" w:space="0" w:color="auto"/>
              <w:right w:val="single" w:sz="4" w:space="0" w:color="auto"/>
            </w:tcBorders>
            <w:shd w:val="clear" w:color="auto" w:fill="auto"/>
            <w:hideMark/>
          </w:tcPr>
          <w:p w14:paraId="2F6A9AB4" w14:textId="77777777" w:rsidR="00ED1315" w:rsidRPr="008B619A" w:rsidRDefault="00ED1315" w:rsidP="006400F0">
            <w:pPr>
              <w:snapToGrid w:val="0"/>
              <w:spacing w:line="400" w:lineRule="exact"/>
              <w:rPr>
                <w:rFonts w:ascii="Times New Roman"/>
                <w:b/>
                <w:color w:val="000000" w:themeColor="text1"/>
                <w:spacing w:val="-10"/>
                <w:sz w:val="26"/>
                <w:szCs w:val="26"/>
              </w:rPr>
            </w:pPr>
            <w:r w:rsidRPr="008B619A">
              <w:rPr>
                <w:rFonts w:ascii="Times New Roman"/>
                <w:b/>
                <w:color w:val="000000" w:themeColor="text1"/>
                <w:spacing w:val="-10"/>
                <w:sz w:val="26"/>
                <w:szCs w:val="26"/>
              </w:rPr>
              <w:t>自然科學、數學及統計</w:t>
            </w:r>
          </w:p>
        </w:tc>
        <w:tc>
          <w:tcPr>
            <w:tcW w:w="2595" w:type="dxa"/>
            <w:tcBorders>
              <w:top w:val="single" w:sz="4" w:space="0" w:color="auto"/>
              <w:left w:val="single" w:sz="4" w:space="0" w:color="auto"/>
              <w:bottom w:val="single" w:sz="4" w:space="0" w:color="auto"/>
              <w:right w:val="single" w:sz="4" w:space="0" w:color="auto"/>
            </w:tcBorders>
            <w:shd w:val="clear" w:color="auto" w:fill="auto"/>
            <w:vAlign w:val="center"/>
          </w:tcPr>
          <w:p w14:paraId="27BDC36F" w14:textId="77777777" w:rsidR="00ED1315" w:rsidRPr="008B619A" w:rsidRDefault="00ED1315" w:rsidP="006400F0">
            <w:pPr>
              <w:snapToGrid w:val="0"/>
              <w:spacing w:line="400" w:lineRule="exact"/>
              <w:jc w:val="right"/>
              <w:rPr>
                <w:rFonts w:ascii="Times New Roman"/>
                <w:b/>
                <w:color w:val="000000" w:themeColor="text1"/>
                <w:spacing w:val="-4"/>
                <w:sz w:val="26"/>
                <w:szCs w:val="26"/>
              </w:rPr>
            </w:pPr>
            <w:r w:rsidRPr="008B619A">
              <w:rPr>
                <w:rFonts w:ascii="Times New Roman" w:hint="eastAsia"/>
                <w:b/>
                <w:color w:val="000000" w:themeColor="text1"/>
                <w:spacing w:val="-4"/>
                <w:sz w:val="26"/>
                <w:szCs w:val="26"/>
              </w:rPr>
              <w:t>500</w:t>
            </w:r>
          </w:p>
        </w:tc>
        <w:tc>
          <w:tcPr>
            <w:tcW w:w="2595" w:type="dxa"/>
            <w:tcBorders>
              <w:top w:val="single" w:sz="4" w:space="0" w:color="auto"/>
              <w:left w:val="single" w:sz="4" w:space="0" w:color="auto"/>
              <w:bottom w:val="single" w:sz="4" w:space="0" w:color="auto"/>
              <w:right w:val="single" w:sz="4" w:space="0" w:color="auto"/>
            </w:tcBorders>
            <w:shd w:val="clear" w:color="auto" w:fill="auto"/>
            <w:vAlign w:val="center"/>
          </w:tcPr>
          <w:p w14:paraId="35FF3D36" w14:textId="77777777" w:rsidR="00ED1315" w:rsidRPr="008B619A" w:rsidRDefault="00ED1315" w:rsidP="006400F0">
            <w:pPr>
              <w:snapToGrid w:val="0"/>
              <w:spacing w:line="400" w:lineRule="exact"/>
              <w:jc w:val="right"/>
              <w:rPr>
                <w:rFonts w:ascii="Times New Roman"/>
                <w:b/>
                <w:color w:val="000000" w:themeColor="text1"/>
                <w:spacing w:val="-4"/>
                <w:sz w:val="26"/>
                <w:szCs w:val="26"/>
              </w:rPr>
            </w:pPr>
            <w:r w:rsidRPr="008B619A">
              <w:rPr>
                <w:rFonts w:ascii="Times New Roman" w:hint="eastAsia"/>
                <w:b/>
                <w:color w:val="000000" w:themeColor="text1"/>
                <w:spacing w:val="-4"/>
                <w:sz w:val="26"/>
                <w:szCs w:val="26"/>
              </w:rPr>
              <w:t>15.1</w:t>
            </w:r>
          </w:p>
        </w:tc>
      </w:tr>
      <w:tr w:rsidR="00AC4CDF" w:rsidRPr="008B619A" w14:paraId="2F50374D" w14:textId="77777777" w:rsidTr="006400F0">
        <w:tc>
          <w:tcPr>
            <w:tcW w:w="3699" w:type="dxa"/>
            <w:tcBorders>
              <w:top w:val="single" w:sz="4" w:space="0" w:color="auto"/>
              <w:left w:val="single" w:sz="4" w:space="0" w:color="auto"/>
              <w:bottom w:val="single" w:sz="4" w:space="0" w:color="auto"/>
              <w:right w:val="single" w:sz="4" w:space="0" w:color="auto"/>
            </w:tcBorders>
            <w:shd w:val="clear" w:color="auto" w:fill="auto"/>
            <w:hideMark/>
          </w:tcPr>
          <w:p w14:paraId="6371A8E2" w14:textId="77777777" w:rsidR="00ED1315" w:rsidRPr="008B619A" w:rsidRDefault="00ED1315" w:rsidP="006400F0">
            <w:pPr>
              <w:snapToGrid w:val="0"/>
              <w:spacing w:line="400" w:lineRule="exact"/>
              <w:rPr>
                <w:rFonts w:ascii="Times New Roman"/>
                <w:b/>
                <w:color w:val="000000" w:themeColor="text1"/>
                <w:spacing w:val="-10"/>
                <w:sz w:val="26"/>
                <w:szCs w:val="26"/>
              </w:rPr>
            </w:pPr>
            <w:r w:rsidRPr="008B619A">
              <w:rPr>
                <w:rFonts w:ascii="Times New Roman"/>
                <w:b/>
                <w:color w:val="000000" w:themeColor="text1"/>
                <w:spacing w:val="-10"/>
                <w:sz w:val="26"/>
                <w:szCs w:val="26"/>
              </w:rPr>
              <w:t>資訊通訊科技</w:t>
            </w:r>
          </w:p>
        </w:tc>
        <w:tc>
          <w:tcPr>
            <w:tcW w:w="2595" w:type="dxa"/>
            <w:tcBorders>
              <w:top w:val="single" w:sz="4" w:space="0" w:color="auto"/>
              <w:left w:val="single" w:sz="4" w:space="0" w:color="auto"/>
              <w:bottom w:val="single" w:sz="4" w:space="0" w:color="auto"/>
              <w:right w:val="single" w:sz="4" w:space="0" w:color="auto"/>
            </w:tcBorders>
            <w:shd w:val="clear" w:color="auto" w:fill="auto"/>
            <w:vAlign w:val="center"/>
          </w:tcPr>
          <w:p w14:paraId="1A68E003" w14:textId="77777777" w:rsidR="00ED1315" w:rsidRPr="008B619A" w:rsidRDefault="00ED1315" w:rsidP="006400F0">
            <w:pPr>
              <w:snapToGrid w:val="0"/>
              <w:spacing w:line="400" w:lineRule="exact"/>
              <w:jc w:val="right"/>
              <w:rPr>
                <w:rFonts w:ascii="Times New Roman"/>
                <w:b/>
                <w:color w:val="000000" w:themeColor="text1"/>
                <w:spacing w:val="-4"/>
                <w:sz w:val="26"/>
                <w:szCs w:val="26"/>
              </w:rPr>
            </w:pPr>
            <w:r w:rsidRPr="008B619A">
              <w:rPr>
                <w:rFonts w:ascii="Times New Roman" w:hint="eastAsia"/>
                <w:b/>
                <w:color w:val="000000" w:themeColor="text1"/>
                <w:spacing w:val="-4"/>
                <w:sz w:val="26"/>
                <w:szCs w:val="26"/>
              </w:rPr>
              <w:t>157</w:t>
            </w:r>
          </w:p>
        </w:tc>
        <w:tc>
          <w:tcPr>
            <w:tcW w:w="2595" w:type="dxa"/>
            <w:tcBorders>
              <w:top w:val="single" w:sz="4" w:space="0" w:color="auto"/>
              <w:left w:val="single" w:sz="4" w:space="0" w:color="auto"/>
              <w:bottom w:val="single" w:sz="4" w:space="0" w:color="auto"/>
              <w:right w:val="single" w:sz="4" w:space="0" w:color="auto"/>
            </w:tcBorders>
            <w:shd w:val="clear" w:color="auto" w:fill="auto"/>
            <w:vAlign w:val="center"/>
          </w:tcPr>
          <w:p w14:paraId="44669ADF" w14:textId="77777777" w:rsidR="00ED1315" w:rsidRPr="008B619A" w:rsidRDefault="00ED1315" w:rsidP="006400F0">
            <w:pPr>
              <w:snapToGrid w:val="0"/>
              <w:spacing w:line="400" w:lineRule="exact"/>
              <w:jc w:val="right"/>
              <w:rPr>
                <w:rFonts w:ascii="Times New Roman"/>
                <w:b/>
                <w:color w:val="000000" w:themeColor="text1"/>
                <w:spacing w:val="-4"/>
                <w:sz w:val="26"/>
                <w:szCs w:val="26"/>
              </w:rPr>
            </w:pPr>
            <w:r w:rsidRPr="008B619A">
              <w:rPr>
                <w:rFonts w:ascii="Times New Roman" w:hint="eastAsia"/>
                <w:b/>
                <w:color w:val="000000" w:themeColor="text1"/>
                <w:spacing w:val="-4"/>
                <w:sz w:val="26"/>
                <w:szCs w:val="26"/>
              </w:rPr>
              <w:t>4.7</w:t>
            </w:r>
          </w:p>
        </w:tc>
      </w:tr>
      <w:tr w:rsidR="00AC4CDF" w:rsidRPr="008B619A" w14:paraId="66E7D909" w14:textId="77777777" w:rsidTr="006400F0">
        <w:tc>
          <w:tcPr>
            <w:tcW w:w="3699" w:type="dxa"/>
            <w:tcBorders>
              <w:top w:val="single" w:sz="4" w:space="0" w:color="auto"/>
              <w:left w:val="single" w:sz="4" w:space="0" w:color="auto"/>
              <w:bottom w:val="single" w:sz="4" w:space="0" w:color="auto"/>
              <w:right w:val="single" w:sz="4" w:space="0" w:color="auto"/>
            </w:tcBorders>
            <w:shd w:val="clear" w:color="auto" w:fill="auto"/>
            <w:hideMark/>
          </w:tcPr>
          <w:p w14:paraId="33665A18" w14:textId="77777777" w:rsidR="00ED1315" w:rsidRPr="008B619A" w:rsidRDefault="00ED1315" w:rsidP="006400F0">
            <w:pPr>
              <w:snapToGrid w:val="0"/>
              <w:spacing w:line="400" w:lineRule="exact"/>
              <w:rPr>
                <w:rFonts w:ascii="Times New Roman"/>
                <w:b/>
                <w:color w:val="000000" w:themeColor="text1"/>
                <w:spacing w:val="-10"/>
                <w:sz w:val="26"/>
                <w:szCs w:val="26"/>
              </w:rPr>
            </w:pPr>
            <w:r w:rsidRPr="008B619A">
              <w:rPr>
                <w:rFonts w:ascii="Times New Roman"/>
                <w:b/>
                <w:color w:val="000000" w:themeColor="text1"/>
                <w:spacing w:val="-10"/>
                <w:sz w:val="26"/>
                <w:szCs w:val="26"/>
              </w:rPr>
              <w:t>工程、製造及營建</w:t>
            </w:r>
          </w:p>
        </w:tc>
        <w:tc>
          <w:tcPr>
            <w:tcW w:w="2595" w:type="dxa"/>
            <w:tcBorders>
              <w:top w:val="single" w:sz="4" w:space="0" w:color="auto"/>
              <w:left w:val="single" w:sz="4" w:space="0" w:color="auto"/>
              <w:bottom w:val="single" w:sz="4" w:space="0" w:color="auto"/>
              <w:right w:val="single" w:sz="4" w:space="0" w:color="auto"/>
            </w:tcBorders>
            <w:shd w:val="clear" w:color="auto" w:fill="auto"/>
            <w:vAlign w:val="center"/>
          </w:tcPr>
          <w:p w14:paraId="789B0B61" w14:textId="77777777" w:rsidR="00ED1315" w:rsidRPr="008B619A" w:rsidRDefault="00ED1315" w:rsidP="006400F0">
            <w:pPr>
              <w:snapToGrid w:val="0"/>
              <w:spacing w:line="400" w:lineRule="exact"/>
              <w:jc w:val="right"/>
              <w:rPr>
                <w:rFonts w:ascii="Times New Roman"/>
                <w:b/>
                <w:color w:val="000000" w:themeColor="text1"/>
                <w:spacing w:val="-4"/>
                <w:sz w:val="26"/>
                <w:szCs w:val="26"/>
              </w:rPr>
            </w:pPr>
            <w:r w:rsidRPr="008B619A">
              <w:rPr>
                <w:rFonts w:ascii="Times New Roman" w:hint="eastAsia"/>
                <w:b/>
                <w:color w:val="000000" w:themeColor="text1"/>
                <w:spacing w:val="-4"/>
                <w:sz w:val="26"/>
                <w:szCs w:val="26"/>
              </w:rPr>
              <w:t>994</w:t>
            </w:r>
          </w:p>
        </w:tc>
        <w:tc>
          <w:tcPr>
            <w:tcW w:w="2595" w:type="dxa"/>
            <w:tcBorders>
              <w:top w:val="single" w:sz="4" w:space="0" w:color="auto"/>
              <w:left w:val="single" w:sz="4" w:space="0" w:color="auto"/>
              <w:bottom w:val="single" w:sz="4" w:space="0" w:color="auto"/>
              <w:right w:val="single" w:sz="4" w:space="0" w:color="auto"/>
            </w:tcBorders>
            <w:shd w:val="clear" w:color="auto" w:fill="auto"/>
            <w:vAlign w:val="center"/>
          </w:tcPr>
          <w:p w14:paraId="6F107F12" w14:textId="77777777" w:rsidR="00ED1315" w:rsidRPr="008B619A" w:rsidRDefault="00ED1315" w:rsidP="006400F0">
            <w:pPr>
              <w:snapToGrid w:val="0"/>
              <w:spacing w:line="400" w:lineRule="exact"/>
              <w:jc w:val="right"/>
              <w:rPr>
                <w:rFonts w:ascii="Times New Roman"/>
                <w:b/>
                <w:color w:val="000000" w:themeColor="text1"/>
                <w:spacing w:val="-4"/>
                <w:sz w:val="26"/>
                <w:szCs w:val="26"/>
              </w:rPr>
            </w:pPr>
            <w:r w:rsidRPr="008B619A">
              <w:rPr>
                <w:rFonts w:ascii="Times New Roman" w:hint="eastAsia"/>
                <w:b/>
                <w:color w:val="000000" w:themeColor="text1"/>
                <w:spacing w:val="-4"/>
                <w:sz w:val="26"/>
                <w:szCs w:val="26"/>
              </w:rPr>
              <w:t>30.1</w:t>
            </w:r>
          </w:p>
        </w:tc>
      </w:tr>
      <w:tr w:rsidR="00AC4CDF" w:rsidRPr="008B619A" w14:paraId="784A9553" w14:textId="77777777" w:rsidTr="006400F0">
        <w:tc>
          <w:tcPr>
            <w:tcW w:w="3699" w:type="dxa"/>
            <w:tcBorders>
              <w:top w:val="single" w:sz="4" w:space="0" w:color="auto"/>
              <w:left w:val="single" w:sz="4" w:space="0" w:color="auto"/>
              <w:bottom w:val="single" w:sz="4" w:space="0" w:color="auto"/>
              <w:right w:val="single" w:sz="4" w:space="0" w:color="auto"/>
            </w:tcBorders>
            <w:hideMark/>
          </w:tcPr>
          <w:p w14:paraId="677E2614" w14:textId="77777777" w:rsidR="00ED1315" w:rsidRPr="008B619A" w:rsidRDefault="00ED1315" w:rsidP="006400F0">
            <w:pPr>
              <w:snapToGrid w:val="0"/>
              <w:spacing w:line="400" w:lineRule="exact"/>
              <w:rPr>
                <w:rFonts w:ascii="Times New Roman"/>
                <w:color w:val="000000" w:themeColor="text1"/>
                <w:spacing w:val="-10"/>
                <w:sz w:val="26"/>
                <w:szCs w:val="26"/>
              </w:rPr>
            </w:pPr>
            <w:r w:rsidRPr="008B619A">
              <w:rPr>
                <w:rFonts w:ascii="Times New Roman"/>
                <w:color w:val="000000" w:themeColor="text1"/>
                <w:spacing w:val="-10"/>
                <w:sz w:val="26"/>
                <w:szCs w:val="26"/>
              </w:rPr>
              <w:t>農業、林業、漁業及獸醫</w:t>
            </w:r>
          </w:p>
        </w:tc>
        <w:tc>
          <w:tcPr>
            <w:tcW w:w="2595" w:type="dxa"/>
            <w:tcBorders>
              <w:top w:val="single" w:sz="4" w:space="0" w:color="auto"/>
              <w:left w:val="single" w:sz="4" w:space="0" w:color="auto"/>
              <w:bottom w:val="single" w:sz="4" w:space="0" w:color="auto"/>
              <w:right w:val="single" w:sz="4" w:space="0" w:color="auto"/>
            </w:tcBorders>
            <w:vAlign w:val="center"/>
          </w:tcPr>
          <w:p w14:paraId="6D87B81C" w14:textId="77777777" w:rsidR="00ED1315" w:rsidRPr="008B619A" w:rsidRDefault="00ED1315" w:rsidP="006400F0">
            <w:pPr>
              <w:snapToGrid w:val="0"/>
              <w:spacing w:line="400" w:lineRule="exact"/>
              <w:jc w:val="right"/>
              <w:rPr>
                <w:rFonts w:ascii="Times New Roman"/>
                <w:color w:val="000000" w:themeColor="text1"/>
                <w:spacing w:val="-4"/>
                <w:sz w:val="26"/>
                <w:szCs w:val="26"/>
              </w:rPr>
            </w:pPr>
            <w:r w:rsidRPr="008B619A">
              <w:rPr>
                <w:rFonts w:ascii="Times New Roman" w:hint="eastAsia"/>
                <w:color w:val="000000" w:themeColor="text1"/>
                <w:spacing w:val="-4"/>
                <w:sz w:val="26"/>
                <w:szCs w:val="26"/>
              </w:rPr>
              <w:t>76</w:t>
            </w:r>
          </w:p>
        </w:tc>
        <w:tc>
          <w:tcPr>
            <w:tcW w:w="2595" w:type="dxa"/>
            <w:tcBorders>
              <w:top w:val="single" w:sz="4" w:space="0" w:color="auto"/>
              <w:left w:val="single" w:sz="4" w:space="0" w:color="auto"/>
              <w:bottom w:val="single" w:sz="4" w:space="0" w:color="auto"/>
              <w:right w:val="single" w:sz="4" w:space="0" w:color="auto"/>
            </w:tcBorders>
            <w:vAlign w:val="center"/>
          </w:tcPr>
          <w:p w14:paraId="0AAF0B21" w14:textId="77777777" w:rsidR="00ED1315" w:rsidRPr="008B619A" w:rsidRDefault="00ED1315" w:rsidP="006400F0">
            <w:pPr>
              <w:snapToGrid w:val="0"/>
              <w:spacing w:line="400" w:lineRule="exact"/>
              <w:jc w:val="right"/>
              <w:rPr>
                <w:rFonts w:ascii="Times New Roman"/>
                <w:color w:val="000000" w:themeColor="text1"/>
                <w:spacing w:val="-4"/>
                <w:sz w:val="26"/>
                <w:szCs w:val="26"/>
              </w:rPr>
            </w:pPr>
            <w:r w:rsidRPr="008B619A">
              <w:rPr>
                <w:rFonts w:ascii="Times New Roman" w:hint="eastAsia"/>
                <w:color w:val="000000" w:themeColor="text1"/>
                <w:spacing w:val="-4"/>
                <w:sz w:val="26"/>
                <w:szCs w:val="26"/>
              </w:rPr>
              <w:t>2.3</w:t>
            </w:r>
          </w:p>
        </w:tc>
      </w:tr>
      <w:tr w:rsidR="00AC4CDF" w:rsidRPr="008B619A" w14:paraId="14E68451" w14:textId="77777777" w:rsidTr="006400F0">
        <w:trPr>
          <w:trHeight w:val="56"/>
        </w:trPr>
        <w:tc>
          <w:tcPr>
            <w:tcW w:w="3699" w:type="dxa"/>
            <w:tcBorders>
              <w:top w:val="single" w:sz="4" w:space="0" w:color="auto"/>
              <w:left w:val="single" w:sz="4" w:space="0" w:color="auto"/>
              <w:bottom w:val="single" w:sz="4" w:space="0" w:color="auto"/>
              <w:right w:val="single" w:sz="4" w:space="0" w:color="auto"/>
            </w:tcBorders>
            <w:hideMark/>
          </w:tcPr>
          <w:p w14:paraId="604F9506" w14:textId="77777777" w:rsidR="00ED1315" w:rsidRPr="008B619A" w:rsidRDefault="00ED1315" w:rsidP="006400F0">
            <w:pPr>
              <w:snapToGrid w:val="0"/>
              <w:spacing w:line="400" w:lineRule="exact"/>
              <w:rPr>
                <w:rFonts w:ascii="Times New Roman"/>
                <w:color w:val="000000" w:themeColor="text1"/>
                <w:spacing w:val="-10"/>
                <w:sz w:val="26"/>
                <w:szCs w:val="26"/>
              </w:rPr>
            </w:pPr>
            <w:r w:rsidRPr="008B619A">
              <w:rPr>
                <w:rFonts w:ascii="Times New Roman"/>
                <w:color w:val="000000" w:themeColor="text1"/>
                <w:spacing w:val="-10"/>
                <w:sz w:val="26"/>
                <w:szCs w:val="26"/>
              </w:rPr>
              <w:t>醫藥衛生及社會福利</w:t>
            </w:r>
          </w:p>
        </w:tc>
        <w:tc>
          <w:tcPr>
            <w:tcW w:w="2595" w:type="dxa"/>
            <w:tcBorders>
              <w:top w:val="single" w:sz="4" w:space="0" w:color="auto"/>
              <w:left w:val="single" w:sz="4" w:space="0" w:color="auto"/>
              <w:bottom w:val="single" w:sz="4" w:space="0" w:color="auto"/>
              <w:right w:val="single" w:sz="4" w:space="0" w:color="auto"/>
            </w:tcBorders>
            <w:vAlign w:val="center"/>
          </w:tcPr>
          <w:p w14:paraId="6814FB64" w14:textId="77777777" w:rsidR="00ED1315" w:rsidRPr="008B619A" w:rsidRDefault="00ED1315" w:rsidP="006400F0">
            <w:pPr>
              <w:snapToGrid w:val="0"/>
              <w:spacing w:line="400" w:lineRule="exact"/>
              <w:jc w:val="right"/>
              <w:rPr>
                <w:rFonts w:ascii="Times New Roman"/>
                <w:color w:val="000000" w:themeColor="text1"/>
                <w:spacing w:val="-4"/>
                <w:sz w:val="26"/>
                <w:szCs w:val="26"/>
              </w:rPr>
            </w:pPr>
            <w:r w:rsidRPr="008B619A">
              <w:rPr>
                <w:rFonts w:ascii="Times New Roman" w:hint="eastAsia"/>
                <w:color w:val="000000" w:themeColor="text1"/>
                <w:spacing w:val="-4"/>
                <w:sz w:val="26"/>
                <w:szCs w:val="26"/>
              </w:rPr>
              <w:t>433</w:t>
            </w:r>
          </w:p>
        </w:tc>
        <w:tc>
          <w:tcPr>
            <w:tcW w:w="2595" w:type="dxa"/>
            <w:tcBorders>
              <w:top w:val="single" w:sz="4" w:space="0" w:color="auto"/>
              <w:left w:val="single" w:sz="4" w:space="0" w:color="auto"/>
              <w:bottom w:val="single" w:sz="4" w:space="0" w:color="auto"/>
              <w:right w:val="single" w:sz="4" w:space="0" w:color="auto"/>
            </w:tcBorders>
            <w:vAlign w:val="center"/>
          </w:tcPr>
          <w:p w14:paraId="07FD20F8" w14:textId="77777777" w:rsidR="00ED1315" w:rsidRPr="008B619A" w:rsidRDefault="00ED1315" w:rsidP="006400F0">
            <w:pPr>
              <w:snapToGrid w:val="0"/>
              <w:spacing w:line="400" w:lineRule="exact"/>
              <w:jc w:val="right"/>
              <w:rPr>
                <w:rFonts w:ascii="Times New Roman"/>
                <w:color w:val="000000" w:themeColor="text1"/>
                <w:spacing w:val="-4"/>
                <w:sz w:val="26"/>
                <w:szCs w:val="26"/>
              </w:rPr>
            </w:pPr>
            <w:r w:rsidRPr="008B619A">
              <w:rPr>
                <w:rFonts w:ascii="Times New Roman" w:hint="eastAsia"/>
                <w:color w:val="000000" w:themeColor="text1"/>
                <w:spacing w:val="-4"/>
                <w:sz w:val="26"/>
                <w:szCs w:val="26"/>
              </w:rPr>
              <w:t>13.1</w:t>
            </w:r>
          </w:p>
        </w:tc>
      </w:tr>
      <w:tr w:rsidR="00AC4CDF" w:rsidRPr="008B619A" w14:paraId="6CD2481A" w14:textId="77777777" w:rsidTr="006400F0">
        <w:tc>
          <w:tcPr>
            <w:tcW w:w="3699" w:type="dxa"/>
            <w:tcBorders>
              <w:top w:val="single" w:sz="4" w:space="0" w:color="auto"/>
              <w:left w:val="single" w:sz="4" w:space="0" w:color="auto"/>
              <w:bottom w:val="single" w:sz="4" w:space="0" w:color="auto"/>
              <w:right w:val="single" w:sz="4" w:space="0" w:color="auto"/>
            </w:tcBorders>
            <w:hideMark/>
          </w:tcPr>
          <w:p w14:paraId="6A6ED012" w14:textId="77777777" w:rsidR="00ED1315" w:rsidRPr="008B619A" w:rsidRDefault="00ED1315" w:rsidP="006400F0">
            <w:pPr>
              <w:snapToGrid w:val="0"/>
              <w:spacing w:line="400" w:lineRule="exact"/>
              <w:rPr>
                <w:rFonts w:ascii="Times New Roman"/>
                <w:color w:val="000000" w:themeColor="text1"/>
                <w:spacing w:val="-10"/>
                <w:sz w:val="26"/>
                <w:szCs w:val="26"/>
              </w:rPr>
            </w:pPr>
            <w:r w:rsidRPr="008B619A">
              <w:rPr>
                <w:rFonts w:ascii="Times New Roman"/>
                <w:color w:val="000000" w:themeColor="text1"/>
                <w:spacing w:val="-10"/>
                <w:sz w:val="26"/>
                <w:szCs w:val="26"/>
              </w:rPr>
              <w:lastRenderedPageBreak/>
              <w:t>服務</w:t>
            </w:r>
          </w:p>
        </w:tc>
        <w:tc>
          <w:tcPr>
            <w:tcW w:w="2595" w:type="dxa"/>
            <w:tcBorders>
              <w:top w:val="single" w:sz="4" w:space="0" w:color="auto"/>
              <w:left w:val="single" w:sz="4" w:space="0" w:color="auto"/>
              <w:bottom w:val="single" w:sz="4" w:space="0" w:color="auto"/>
              <w:right w:val="single" w:sz="4" w:space="0" w:color="auto"/>
            </w:tcBorders>
            <w:vAlign w:val="center"/>
          </w:tcPr>
          <w:p w14:paraId="383128AB" w14:textId="77777777" w:rsidR="00ED1315" w:rsidRPr="008B619A" w:rsidRDefault="00ED1315" w:rsidP="006400F0">
            <w:pPr>
              <w:snapToGrid w:val="0"/>
              <w:spacing w:line="400" w:lineRule="exact"/>
              <w:jc w:val="right"/>
              <w:rPr>
                <w:rFonts w:ascii="Times New Roman"/>
                <w:color w:val="000000" w:themeColor="text1"/>
                <w:spacing w:val="-4"/>
                <w:sz w:val="26"/>
                <w:szCs w:val="26"/>
              </w:rPr>
            </w:pPr>
            <w:r w:rsidRPr="008B619A">
              <w:rPr>
                <w:rFonts w:ascii="Times New Roman" w:hint="eastAsia"/>
                <w:color w:val="000000" w:themeColor="text1"/>
                <w:spacing w:val="-4"/>
                <w:sz w:val="26"/>
                <w:szCs w:val="26"/>
              </w:rPr>
              <w:t>22</w:t>
            </w:r>
          </w:p>
        </w:tc>
        <w:tc>
          <w:tcPr>
            <w:tcW w:w="2595" w:type="dxa"/>
            <w:tcBorders>
              <w:top w:val="single" w:sz="4" w:space="0" w:color="auto"/>
              <w:left w:val="single" w:sz="4" w:space="0" w:color="auto"/>
              <w:bottom w:val="single" w:sz="4" w:space="0" w:color="auto"/>
              <w:right w:val="single" w:sz="4" w:space="0" w:color="auto"/>
            </w:tcBorders>
            <w:vAlign w:val="center"/>
          </w:tcPr>
          <w:p w14:paraId="50F1F1B3" w14:textId="77777777" w:rsidR="00ED1315" w:rsidRPr="008B619A" w:rsidRDefault="00ED1315" w:rsidP="006400F0">
            <w:pPr>
              <w:snapToGrid w:val="0"/>
              <w:spacing w:line="400" w:lineRule="exact"/>
              <w:jc w:val="right"/>
              <w:rPr>
                <w:rFonts w:ascii="Times New Roman"/>
                <w:color w:val="000000" w:themeColor="text1"/>
                <w:spacing w:val="-4"/>
                <w:sz w:val="26"/>
                <w:szCs w:val="26"/>
              </w:rPr>
            </w:pPr>
            <w:r w:rsidRPr="008B619A">
              <w:rPr>
                <w:rFonts w:ascii="Times New Roman" w:hint="eastAsia"/>
                <w:color w:val="000000" w:themeColor="text1"/>
                <w:spacing w:val="-4"/>
                <w:sz w:val="26"/>
                <w:szCs w:val="26"/>
              </w:rPr>
              <w:t>0.7</w:t>
            </w:r>
          </w:p>
        </w:tc>
      </w:tr>
      <w:tr w:rsidR="00AC4CDF" w:rsidRPr="008B619A" w14:paraId="735DB70C" w14:textId="77777777" w:rsidTr="006400F0">
        <w:tc>
          <w:tcPr>
            <w:tcW w:w="3699" w:type="dxa"/>
            <w:tcBorders>
              <w:top w:val="single" w:sz="4" w:space="0" w:color="auto"/>
              <w:left w:val="single" w:sz="4" w:space="0" w:color="auto"/>
              <w:bottom w:val="single" w:sz="4" w:space="0" w:color="auto"/>
              <w:right w:val="single" w:sz="4" w:space="0" w:color="auto"/>
            </w:tcBorders>
            <w:hideMark/>
          </w:tcPr>
          <w:p w14:paraId="5A24F2BF" w14:textId="77777777" w:rsidR="00ED1315" w:rsidRPr="008B619A" w:rsidRDefault="00ED1315" w:rsidP="006400F0">
            <w:pPr>
              <w:snapToGrid w:val="0"/>
              <w:spacing w:line="400" w:lineRule="exact"/>
              <w:rPr>
                <w:rFonts w:ascii="Times New Roman"/>
                <w:color w:val="000000" w:themeColor="text1"/>
                <w:spacing w:val="-10"/>
                <w:sz w:val="26"/>
                <w:szCs w:val="26"/>
              </w:rPr>
            </w:pPr>
            <w:r w:rsidRPr="008B619A">
              <w:rPr>
                <w:rFonts w:ascii="Times New Roman"/>
                <w:color w:val="000000" w:themeColor="text1"/>
                <w:spacing w:val="-10"/>
                <w:sz w:val="26"/>
                <w:szCs w:val="26"/>
              </w:rPr>
              <w:t>其他</w:t>
            </w:r>
          </w:p>
        </w:tc>
        <w:tc>
          <w:tcPr>
            <w:tcW w:w="2595" w:type="dxa"/>
            <w:tcBorders>
              <w:top w:val="single" w:sz="4" w:space="0" w:color="auto"/>
              <w:left w:val="single" w:sz="4" w:space="0" w:color="auto"/>
              <w:bottom w:val="single" w:sz="4" w:space="0" w:color="auto"/>
              <w:right w:val="single" w:sz="4" w:space="0" w:color="auto"/>
            </w:tcBorders>
            <w:vAlign w:val="center"/>
          </w:tcPr>
          <w:p w14:paraId="56817967" w14:textId="77777777" w:rsidR="00ED1315" w:rsidRPr="008B619A" w:rsidRDefault="00ED1315" w:rsidP="006400F0">
            <w:pPr>
              <w:snapToGrid w:val="0"/>
              <w:spacing w:line="400" w:lineRule="exact"/>
              <w:jc w:val="right"/>
              <w:rPr>
                <w:rFonts w:ascii="Times New Roman"/>
                <w:color w:val="000000" w:themeColor="text1"/>
                <w:spacing w:val="-4"/>
                <w:sz w:val="26"/>
                <w:szCs w:val="26"/>
              </w:rPr>
            </w:pPr>
            <w:r w:rsidRPr="008B619A">
              <w:rPr>
                <w:rFonts w:ascii="Times New Roman" w:hint="eastAsia"/>
                <w:color w:val="000000" w:themeColor="text1"/>
                <w:spacing w:val="-4"/>
                <w:sz w:val="26"/>
                <w:szCs w:val="26"/>
              </w:rPr>
              <w:t>1</w:t>
            </w:r>
          </w:p>
        </w:tc>
        <w:tc>
          <w:tcPr>
            <w:tcW w:w="2595" w:type="dxa"/>
            <w:tcBorders>
              <w:top w:val="single" w:sz="4" w:space="0" w:color="auto"/>
              <w:left w:val="single" w:sz="4" w:space="0" w:color="auto"/>
              <w:bottom w:val="single" w:sz="4" w:space="0" w:color="auto"/>
              <w:right w:val="single" w:sz="4" w:space="0" w:color="auto"/>
            </w:tcBorders>
            <w:vAlign w:val="center"/>
          </w:tcPr>
          <w:p w14:paraId="401B5376" w14:textId="77777777" w:rsidR="00ED1315" w:rsidRPr="008B619A" w:rsidRDefault="00ED1315" w:rsidP="006400F0">
            <w:pPr>
              <w:snapToGrid w:val="0"/>
              <w:spacing w:line="400" w:lineRule="exact"/>
              <w:jc w:val="right"/>
              <w:rPr>
                <w:rFonts w:ascii="Times New Roman"/>
                <w:color w:val="000000" w:themeColor="text1"/>
                <w:spacing w:val="-4"/>
                <w:sz w:val="26"/>
                <w:szCs w:val="26"/>
              </w:rPr>
            </w:pPr>
            <w:r w:rsidRPr="008B619A">
              <w:rPr>
                <w:rFonts w:ascii="Times New Roman" w:hint="eastAsia"/>
                <w:color w:val="000000" w:themeColor="text1"/>
                <w:spacing w:val="-4"/>
                <w:sz w:val="26"/>
                <w:szCs w:val="26"/>
              </w:rPr>
              <w:t>0.0</w:t>
            </w:r>
          </w:p>
        </w:tc>
      </w:tr>
      <w:tr w:rsidR="00AC4CDF" w:rsidRPr="008B619A" w14:paraId="5437E693" w14:textId="77777777" w:rsidTr="006400F0">
        <w:tc>
          <w:tcPr>
            <w:tcW w:w="3699" w:type="dxa"/>
            <w:tcBorders>
              <w:top w:val="single" w:sz="4" w:space="0" w:color="auto"/>
              <w:left w:val="single" w:sz="4" w:space="0" w:color="auto"/>
              <w:bottom w:val="single" w:sz="4" w:space="0" w:color="auto"/>
              <w:right w:val="single" w:sz="4" w:space="0" w:color="auto"/>
            </w:tcBorders>
            <w:hideMark/>
          </w:tcPr>
          <w:p w14:paraId="6D4437C0" w14:textId="77777777" w:rsidR="00ED1315" w:rsidRPr="008B619A" w:rsidRDefault="00ED1315" w:rsidP="006400F0">
            <w:pPr>
              <w:snapToGrid w:val="0"/>
              <w:spacing w:line="400" w:lineRule="exact"/>
              <w:rPr>
                <w:rFonts w:ascii="Times New Roman"/>
                <w:b/>
                <w:color w:val="000000" w:themeColor="text1"/>
                <w:spacing w:val="-4"/>
                <w:sz w:val="26"/>
                <w:szCs w:val="26"/>
              </w:rPr>
            </w:pPr>
            <w:r w:rsidRPr="008B619A">
              <w:rPr>
                <w:rFonts w:ascii="Times New Roman"/>
                <w:b/>
                <w:color w:val="000000" w:themeColor="text1"/>
                <w:spacing w:val="-4"/>
                <w:sz w:val="26"/>
                <w:szCs w:val="26"/>
              </w:rPr>
              <w:t>總計</w:t>
            </w:r>
          </w:p>
        </w:tc>
        <w:tc>
          <w:tcPr>
            <w:tcW w:w="2595" w:type="dxa"/>
            <w:tcBorders>
              <w:top w:val="single" w:sz="4" w:space="0" w:color="auto"/>
              <w:left w:val="single" w:sz="4" w:space="0" w:color="auto"/>
              <w:bottom w:val="single" w:sz="4" w:space="0" w:color="auto"/>
              <w:right w:val="single" w:sz="4" w:space="0" w:color="auto"/>
            </w:tcBorders>
            <w:vAlign w:val="center"/>
          </w:tcPr>
          <w:p w14:paraId="6D1BAC45" w14:textId="77777777" w:rsidR="00ED1315" w:rsidRPr="008B619A" w:rsidRDefault="00ED1315" w:rsidP="006400F0">
            <w:pPr>
              <w:snapToGrid w:val="0"/>
              <w:spacing w:line="400" w:lineRule="exact"/>
              <w:jc w:val="right"/>
              <w:rPr>
                <w:rFonts w:ascii="Times New Roman"/>
                <w:color w:val="000000" w:themeColor="text1"/>
                <w:spacing w:val="-4"/>
                <w:sz w:val="26"/>
                <w:szCs w:val="26"/>
              </w:rPr>
            </w:pPr>
            <w:r w:rsidRPr="008B619A">
              <w:rPr>
                <w:rFonts w:ascii="Times New Roman" w:hint="eastAsia"/>
                <w:color w:val="000000" w:themeColor="text1"/>
                <w:spacing w:val="-4"/>
                <w:sz w:val="26"/>
                <w:szCs w:val="26"/>
              </w:rPr>
              <w:t>3,306</w:t>
            </w:r>
          </w:p>
        </w:tc>
        <w:tc>
          <w:tcPr>
            <w:tcW w:w="2595" w:type="dxa"/>
            <w:tcBorders>
              <w:top w:val="single" w:sz="4" w:space="0" w:color="auto"/>
              <w:left w:val="single" w:sz="4" w:space="0" w:color="auto"/>
              <w:bottom w:val="single" w:sz="4" w:space="0" w:color="auto"/>
              <w:right w:val="single" w:sz="4" w:space="0" w:color="auto"/>
            </w:tcBorders>
            <w:vAlign w:val="center"/>
          </w:tcPr>
          <w:p w14:paraId="59ACC615" w14:textId="77777777" w:rsidR="00ED1315" w:rsidRPr="008B619A" w:rsidRDefault="00ED1315" w:rsidP="006400F0">
            <w:pPr>
              <w:snapToGrid w:val="0"/>
              <w:spacing w:line="400" w:lineRule="exact"/>
              <w:jc w:val="right"/>
              <w:rPr>
                <w:rFonts w:ascii="Times New Roman"/>
                <w:color w:val="000000" w:themeColor="text1"/>
                <w:spacing w:val="-4"/>
                <w:sz w:val="26"/>
                <w:szCs w:val="26"/>
              </w:rPr>
            </w:pPr>
            <w:r w:rsidRPr="008B619A">
              <w:rPr>
                <w:rFonts w:ascii="Times New Roman" w:hint="eastAsia"/>
                <w:color w:val="000000" w:themeColor="text1"/>
                <w:spacing w:val="-4"/>
                <w:sz w:val="26"/>
                <w:szCs w:val="26"/>
              </w:rPr>
              <w:t>100.0</w:t>
            </w:r>
          </w:p>
        </w:tc>
      </w:tr>
    </w:tbl>
    <w:p w14:paraId="7F957229" w14:textId="77777777" w:rsidR="00ED1315" w:rsidRPr="008B619A" w:rsidRDefault="00ED1315" w:rsidP="00ED1315">
      <w:pPr>
        <w:spacing w:line="240" w:lineRule="exact"/>
        <w:ind w:leftChars="41" w:left="139"/>
        <w:rPr>
          <w:color w:val="000000" w:themeColor="text1"/>
          <w:sz w:val="24"/>
          <w:szCs w:val="24"/>
        </w:rPr>
      </w:pPr>
      <w:r w:rsidRPr="008B619A">
        <w:rPr>
          <w:rFonts w:hint="eastAsia"/>
          <w:color w:val="000000" w:themeColor="text1"/>
          <w:sz w:val="24"/>
          <w:szCs w:val="24"/>
        </w:rPr>
        <w:t>註：本表係依教育部</w:t>
      </w:r>
      <w:r w:rsidRPr="008B619A">
        <w:rPr>
          <w:color w:val="000000" w:themeColor="text1"/>
          <w:sz w:val="24"/>
          <w:szCs w:val="24"/>
        </w:rPr>
        <w:t>106</w:t>
      </w:r>
      <w:r w:rsidRPr="008B619A">
        <w:rPr>
          <w:rFonts w:hint="eastAsia"/>
          <w:color w:val="000000" w:themeColor="text1"/>
          <w:sz w:val="24"/>
          <w:szCs w:val="24"/>
        </w:rPr>
        <w:t>年</w:t>
      </w:r>
      <w:r w:rsidRPr="008B619A">
        <w:rPr>
          <w:color w:val="000000" w:themeColor="text1"/>
          <w:sz w:val="24"/>
          <w:szCs w:val="24"/>
        </w:rPr>
        <w:t>9</w:t>
      </w:r>
      <w:r w:rsidRPr="008B619A">
        <w:rPr>
          <w:rFonts w:hint="eastAsia"/>
          <w:color w:val="000000" w:themeColor="text1"/>
          <w:sz w:val="24"/>
          <w:szCs w:val="24"/>
        </w:rPr>
        <w:t>月第</w:t>
      </w:r>
      <w:r w:rsidRPr="008B619A">
        <w:rPr>
          <w:color w:val="000000" w:themeColor="text1"/>
          <w:sz w:val="24"/>
          <w:szCs w:val="24"/>
        </w:rPr>
        <w:t>5</w:t>
      </w:r>
      <w:r w:rsidRPr="008B619A">
        <w:rPr>
          <w:rFonts w:hint="eastAsia"/>
          <w:color w:val="000000" w:themeColor="text1"/>
          <w:sz w:val="24"/>
          <w:szCs w:val="24"/>
        </w:rPr>
        <w:t>次修正「中華民國學科標準分類」</w:t>
      </w:r>
      <w:r w:rsidRPr="008B619A">
        <w:rPr>
          <w:color w:val="000000" w:themeColor="text1"/>
          <w:sz w:val="24"/>
          <w:szCs w:val="24"/>
        </w:rPr>
        <w:t>(</w:t>
      </w:r>
      <w:r w:rsidRPr="008B619A">
        <w:rPr>
          <w:rFonts w:hint="eastAsia"/>
          <w:color w:val="000000" w:themeColor="text1"/>
          <w:sz w:val="24"/>
          <w:szCs w:val="24"/>
        </w:rPr>
        <w:t>架構</w:t>
      </w:r>
      <w:r w:rsidRPr="008B619A">
        <w:rPr>
          <w:color w:val="000000" w:themeColor="text1"/>
          <w:sz w:val="24"/>
          <w:szCs w:val="24"/>
        </w:rPr>
        <w:t>)</w:t>
      </w:r>
      <w:r w:rsidRPr="008B619A">
        <w:rPr>
          <w:rFonts w:hint="eastAsia"/>
          <w:color w:val="000000" w:themeColor="text1"/>
          <w:sz w:val="24"/>
          <w:szCs w:val="24"/>
        </w:rPr>
        <w:t>進行領域對照分類。</w:t>
      </w:r>
    </w:p>
    <w:p w14:paraId="23498A27" w14:textId="7B27F72B" w:rsidR="00ED1315" w:rsidRPr="008B619A" w:rsidRDefault="00ED1315" w:rsidP="005C0C7C">
      <w:pPr>
        <w:spacing w:afterLines="50" w:after="228" w:line="240" w:lineRule="exact"/>
        <w:ind w:leftChars="41" w:left="139"/>
        <w:rPr>
          <w:color w:val="000000" w:themeColor="text1"/>
          <w:sz w:val="24"/>
          <w:szCs w:val="24"/>
        </w:rPr>
      </w:pPr>
      <w:r w:rsidRPr="008B619A">
        <w:rPr>
          <w:rFonts w:hint="eastAsia"/>
          <w:color w:val="000000" w:themeColor="text1"/>
          <w:sz w:val="24"/>
          <w:szCs w:val="24"/>
        </w:rPr>
        <w:t>資料來源：國發會函復資料。取自教育部統計處，</w:t>
      </w:r>
      <w:r w:rsidRPr="008B619A">
        <w:rPr>
          <w:rFonts w:hint="eastAsia"/>
          <w:bCs/>
          <w:color w:val="000000" w:themeColor="text1"/>
          <w:sz w:val="24"/>
          <w:szCs w:val="24"/>
        </w:rPr>
        <w:t>各級學校基本資料</w:t>
      </w:r>
      <w:r w:rsidRPr="008B619A">
        <w:rPr>
          <w:rFonts w:hint="eastAsia"/>
          <w:color w:val="000000" w:themeColor="text1"/>
          <w:sz w:val="24"/>
          <w:szCs w:val="24"/>
        </w:rPr>
        <w:t>。</w:t>
      </w:r>
    </w:p>
    <w:p w14:paraId="432A614E" w14:textId="7E0FD883" w:rsidR="004E7B7E" w:rsidRPr="008B619A" w:rsidRDefault="00657129" w:rsidP="006400F0">
      <w:pPr>
        <w:pStyle w:val="3"/>
        <w:ind w:leftChars="200"/>
        <w:rPr>
          <w:color w:val="000000" w:themeColor="text1"/>
        </w:rPr>
      </w:pPr>
      <w:r w:rsidRPr="008B619A">
        <w:rPr>
          <w:rFonts w:hint="eastAsia"/>
          <w:color w:val="000000" w:themeColor="text1"/>
        </w:rPr>
        <w:t>承上述，</w:t>
      </w:r>
      <w:r w:rsidR="007F0D0D" w:rsidRPr="008B619A">
        <w:rPr>
          <w:rFonts w:hint="eastAsia"/>
          <w:color w:val="000000" w:themeColor="text1"/>
        </w:rPr>
        <w:t>另</w:t>
      </w:r>
      <w:r w:rsidR="004E7B7E" w:rsidRPr="008B619A">
        <w:rPr>
          <w:rFonts w:hint="eastAsia"/>
          <w:color w:val="000000" w:themeColor="text1"/>
        </w:rPr>
        <w:t>按學門別統計近10學年度（98至107學年度）之公、私立大專校院博士畢業生人數</w:t>
      </w:r>
      <w:r w:rsidR="00DE2C3E" w:rsidRPr="008B619A">
        <w:rPr>
          <w:rFonts w:hint="eastAsia"/>
          <w:color w:val="000000" w:themeColor="text1"/>
        </w:rPr>
        <w:t>，</w:t>
      </w:r>
      <w:r w:rsidR="008005C2" w:rsidRPr="008B619A">
        <w:rPr>
          <w:rFonts w:hint="eastAsia"/>
          <w:color w:val="000000" w:themeColor="text1"/>
        </w:rPr>
        <w:t>則可見長期</w:t>
      </w:r>
      <w:r w:rsidR="00F4211E" w:rsidRPr="008B619A">
        <w:rPr>
          <w:rFonts w:hint="eastAsia"/>
          <w:color w:val="000000" w:themeColor="text1"/>
        </w:rPr>
        <w:t>趨勢</w:t>
      </w:r>
      <w:r w:rsidR="00CB6761" w:rsidRPr="008B619A">
        <w:rPr>
          <w:rFonts w:hint="eastAsia"/>
          <w:color w:val="000000" w:themeColor="text1"/>
        </w:rPr>
        <w:t>變化</w:t>
      </w:r>
      <w:r w:rsidR="008005C2" w:rsidRPr="008B619A">
        <w:rPr>
          <w:rFonts w:hint="eastAsia"/>
          <w:color w:val="000000" w:themeColor="text1"/>
        </w:rPr>
        <w:t>，</w:t>
      </w:r>
      <w:r w:rsidR="00DE2C3E" w:rsidRPr="008B619A">
        <w:rPr>
          <w:rFonts w:hint="eastAsia"/>
          <w:color w:val="000000" w:themeColor="text1"/>
        </w:rPr>
        <w:t>詳</w:t>
      </w:r>
      <w:r w:rsidR="004E7B7E" w:rsidRPr="008B619A">
        <w:rPr>
          <w:rFonts w:hint="eastAsia"/>
          <w:color w:val="000000" w:themeColor="text1"/>
        </w:rPr>
        <w:t>如下2表：</w:t>
      </w:r>
    </w:p>
    <w:p w14:paraId="4BE3CC6B" w14:textId="77777777" w:rsidR="004E7B7E" w:rsidRPr="008B619A" w:rsidRDefault="004E7B7E" w:rsidP="004E7B7E">
      <w:pPr>
        <w:pStyle w:val="a3"/>
        <w:ind w:left="1021" w:hanging="681"/>
        <w:jc w:val="center"/>
        <w:rPr>
          <w:rFonts w:hAnsi="標楷體"/>
          <w:b/>
          <w:bCs w:val="0"/>
          <w:color w:val="000000" w:themeColor="text1"/>
          <w:kern w:val="0"/>
          <w:szCs w:val="32"/>
        </w:rPr>
      </w:pPr>
      <w:r w:rsidRPr="008B619A">
        <w:rPr>
          <w:rFonts w:hAnsi="標楷體" w:hint="eastAsia"/>
          <w:b/>
          <w:bCs w:val="0"/>
          <w:color w:val="000000" w:themeColor="text1"/>
          <w:kern w:val="0"/>
          <w:szCs w:val="32"/>
        </w:rPr>
        <w:t>98至107學年公立大專校院博士畢業生人數—按學門別分</w:t>
      </w:r>
    </w:p>
    <w:p w14:paraId="7D2611F7" w14:textId="77777777" w:rsidR="004E7B7E" w:rsidRPr="008B619A" w:rsidRDefault="004E7B7E" w:rsidP="004E7B7E">
      <w:pPr>
        <w:ind w:rightChars="-275" w:right="-935"/>
        <w:jc w:val="right"/>
        <w:rPr>
          <w:color w:val="000000" w:themeColor="text1"/>
          <w:sz w:val="24"/>
          <w:szCs w:val="24"/>
        </w:rPr>
      </w:pPr>
      <w:r w:rsidRPr="008B619A">
        <w:rPr>
          <w:rFonts w:hint="eastAsia"/>
          <w:color w:val="000000" w:themeColor="text1"/>
          <w:sz w:val="20"/>
        </w:rPr>
        <w:t xml:space="preserve">　　　</w:t>
      </w:r>
      <w:r w:rsidRPr="008B619A">
        <w:rPr>
          <w:rFonts w:hint="eastAsia"/>
          <w:color w:val="000000" w:themeColor="text1"/>
          <w:sz w:val="24"/>
          <w:szCs w:val="24"/>
        </w:rPr>
        <w:t>單位：人；%</w:t>
      </w:r>
    </w:p>
    <w:tbl>
      <w:tblPr>
        <w:tblW w:w="6335" w:type="pct"/>
        <w:tblInd w:w="-993" w:type="dxa"/>
        <w:tblLayout w:type="fixed"/>
        <w:tblCellMar>
          <w:left w:w="28" w:type="dxa"/>
          <w:right w:w="28" w:type="dxa"/>
        </w:tblCellMar>
        <w:tblLook w:val="04A0" w:firstRow="1" w:lastRow="0" w:firstColumn="1" w:lastColumn="0" w:noHBand="0" w:noVBand="1"/>
      </w:tblPr>
      <w:tblGrid>
        <w:gridCol w:w="1076"/>
        <w:gridCol w:w="500"/>
        <w:gridCol w:w="500"/>
        <w:gridCol w:w="500"/>
        <w:gridCol w:w="500"/>
        <w:gridCol w:w="500"/>
        <w:gridCol w:w="500"/>
        <w:gridCol w:w="500"/>
        <w:gridCol w:w="500"/>
        <w:gridCol w:w="500"/>
        <w:gridCol w:w="500"/>
        <w:gridCol w:w="500"/>
        <w:gridCol w:w="500"/>
        <w:gridCol w:w="500"/>
        <w:gridCol w:w="500"/>
        <w:gridCol w:w="500"/>
        <w:gridCol w:w="499"/>
        <w:gridCol w:w="499"/>
        <w:gridCol w:w="499"/>
        <w:gridCol w:w="499"/>
        <w:gridCol w:w="627"/>
      </w:tblGrid>
      <w:tr w:rsidR="004E7B7E" w:rsidRPr="008B619A" w14:paraId="719BEDF0" w14:textId="77777777" w:rsidTr="006400F0">
        <w:trPr>
          <w:trHeight w:val="420"/>
          <w:tblHeader/>
        </w:trPr>
        <w:tc>
          <w:tcPr>
            <w:tcW w:w="480" w:type="pct"/>
            <w:vMerge w:val="restart"/>
            <w:tcBorders>
              <w:top w:val="single" w:sz="4" w:space="0" w:color="auto"/>
              <w:left w:val="nil"/>
              <w:bottom w:val="single" w:sz="4" w:space="0" w:color="000000"/>
              <w:right w:val="single" w:sz="4" w:space="0" w:color="auto"/>
            </w:tcBorders>
            <w:shd w:val="clear" w:color="auto" w:fill="auto"/>
            <w:noWrap/>
            <w:vAlign w:val="center"/>
            <w:hideMark/>
          </w:tcPr>
          <w:p w14:paraId="388C1C8E" w14:textId="77777777" w:rsidR="004E7B7E" w:rsidRPr="008B619A" w:rsidRDefault="004E7B7E" w:rsidP="006400F0">
            <w:pPr>
              <w:widowControl/>
              <w:jc w:val="center"/>
              <w:rPr>
                <w:rFonts w:hAnsi="標楷體" w:cs="Tahoma"/>
                <w:b/>
                <w:bCs/>
                <w:color w:val="000000" w:themeColor="text1"/>
                <w:kern w:val="0"/>
                <w:sz w:val="24"/>
              </w:rPr>
            </w:pPr>
            <w:r w:rsidRPr="008B619A">
              <w:rPr>
                <w:rFonts w:hAnsi="標楷體" w:cs="Tahoma" w:hint="eastAsia"/>
                <w:b/>
                <w:bCs/>
                <w:color w:val="000000" w:themeColor="text1"/>
                <w:kern w:val="0"/>
                <w:sz w:val="24"/>
              </w:rPr>
              <w:t>學門別</w:t>
            </w:r>
          </w:p>
        </w:tc>
        <w:tc>
          <w:tcPr>
            <w:tcW w:w="446" w:type="pct"/>
            <w:gridSpan w:val="2"/>
            <w:tcBorders>
              <w:top w:val="single" w:sz="4" w:space="0" w:color="auto"/>
              <w:left w:val="nil"/>
              <w:bottom w:val="single" w:sz="4" w:space="0" w:color="auto"/>
              <w:right w:val="single" w:sz="4" w:space="0" w:color="auto"/>
            </w:tcBorders>
            <w:shd w:val="clear" w:color="auto" w:fill="auto"/>
            <w:vAlign w:val="center"/>
            <w:hideMark/>
          </w:tcPr>
          <w:p w14:paraId="723035BF" w14:textId="77777777" w:rsidR="004E7B7E" w:rsidRPr="008B619A" w:rsidRDefault="004E7B7E" w:rsidP="006400F0">
            <w:pPr>
              <w:widowControl/>
              <w:jc w:val="center"/>
              <w:rPr>
                <w:rFonts w:hAnsi="標楷體" w:cs="Tahoma"/>
                <w:b/>
                <w:color w:val="000000" w:themeColor="text1"/>
                <w:kern w:val="0"/>
                <w:sz w:val="22"/>
                <w:szCs w:val="22"/>
              </w:rPr>
            </w:pPr>
            <w:r w:rsidRPr="008B619A">
              <w:rPr>
                <w:rFonts w:hAnsi="標楷體" w:cs="Tahoma" w:hint="eastAsia"/>
                <w:b/>
                <w:color w:val="000000" w:themeColor="text1"/>
                <w:kern w:val="0"/>
                <w:sz w:val="22"/>
                <w:szCs w:val="22"/>
              </w:rPr>
              <w:t>98學年</w:t>
            </w:r>
          </w:p>
        </w:tc>
        <w:tc>
          <w:tcPr>
            <w:tcW w:w="446" w:type="pct"/>
            <w:gridSpan w:val="2"/>
            <w:tcBorders>
              <w:top w:val="single" w:sz="4" w:space="0" w:color="auto"/>
              <w:left w:val="nil"/>
              <w:bottom w:val="single" w:sz="4" w:space="0" w:color="auto"/>
              <w:right w:val="single" w:sz="4" w:space="0" w:color="auto"/>
            </w:tcBorders>
            <w:shd w:val="clear" w:color="auto" w:fill="auto"/>
            <w:vAlign w:val="center"/>
            <w:hideMark/>
          </w:tcPr>
          <w:p w14:paraId="3E8AC923" w14:textId="77777777" w:rsidR="004E7B7E" w:rsidRPr="008B619A" w:rsidRDefault="004E7B7E" w:rsidP="006400F0">
            <w:pPr>
              <w:widowControl/>
              <w:jc w:val="center"/>
              <w:rPr>
                <w:rFonts w:hAnsi="標楷體" w:cs="Tahoma"/>
                <w:b/>
                <w:color w:val="000000" w:themeColor="text1"/>
                <w:kern w:val="0"/>
                <w:sz w:val="22"/>
                <w:szCs w:val="22"/>
              </w:rPr>
            </w:pPr>
            <w:r w:rsidRPr="008B619A">
              <w:rPr>
                <w:rFonts w:hAnsi="標楷體" w:cs="Tahoma" w:hint="eastAsia"/>
                <w:b/>
                <w:color w:val="000000" w:themeColor="text1"/>
                <w:kern w:val="0"/>
                <w:sz w:val="22"/>
                <w:szCs w:val="22"/>
              </w:rPr>
              <w:t>99學年</w:t>
            </w:r>
          </w:p>
        </w:tc>
        <w:tc>
          <w:tcPr>
            <w:tcW w:w="446" w:type="pct"/>
            <w:gridSpan w:val="2"/>
            <w:tcBorders>
              <w:top w:val="single" w:sz="4" w:space="0" w:color="auto"/>
              <w:left w:val="nil"/>
              <w:bottom w:val="single" w:sz="4" w:space="0" w:color="auto"/>
              <w:right w:val="single" w:sz="4" w:space="0" w:color="auto"/>
            </w:tcBorders>
            <w:shd w:val="clear" w:color="auto" w:fill="auto"/>
            <w:vAlign w:val="center"/>
            <w:hideMark/>
          </w:tcPr>
          <w:p w14:paraId="6D531B27" w14:textId="77777777" w:rsidR="004E7B7E" w:rsidRPr="008B619A" w:rsidRDefault="004E7B7E" w:rsidP="006400F0">
            <w:pPr>
              <w:widowControl/>
              <w:jc w:val="center"/>
              <w:rPr>
                <w:rFonts w:hAnsi="標楷體" w:cs="Tahoma"/>
                <w:b/>
                <w:color w:val="000000" w:themeColor="text1"/>
                <w:kern w:val="0"/>
                <w:sz w:val="22"/>
                <w:szCs w:val="22"/>
              </w:rPr>
            </w:pPr>
            <w:r w:rsidRPr="008B619A">
              <w:rPr>
                <w:rFonts w:hAnsi="標楷體" w:cs="Tahoma" w:hint="eastAsia"/>
                <w:b/>
                <w:color w:val="000000" w:themeColor="text1"/>
                <w:kern w:val="0"/>
                <w:sz w:val="22"/>
                <w:szCs w:val="22"/>
              </w:rPr>
              <w:t>100學年</w:t>
            </w:r>
          </w:p>
        </w:tc>
        <w:tc>
          <w:tcPr>
            <w:tcW w:w="446" w:type="pct"/>
            <w:gridSpan w:val="2"/>
            <w:tcBorders>
              <w:top w:val="single" w:sz="4" w:space="0" w:color="auto"/>
              <w:left w:val="nil"/>
              <w:bottom w:val="single" w:sz="4" w:space="0" w:color="auto"/>
              <w:right w:val="single" w:sz="4" w:space="0" w:color="auto"/>
            </w:tcBorders>
            <w:shd w:val="clear" w:color="auto" w:fill="auto"/>
            <w:vAlign w:val="center"/>
            <w:hideMark/>
          </w:tcPr>
          <w:p w14:paraId="2845A666" w14:textId="77777777" w:rsidR="004E7B7E" w:rsidRPr="008B619A" w:rsidRDefault="004E7B7E" w:rsidP="006400F0">
            <w:pPr>
              <w:widowControl/>
              <w:jc w:val="center"/>
              <w:rPr>
                <w:rFonts w:hAnsi="標楷體" w:cs="Tahoma"/>
                <w:b/>
                <w:color w:val="000000" w:themeColor="text1"/>
                <w:kern w:val="0"/>
                <w:sz w:val="22"/>
                <w:szCs w:val="22"/>
              </w:rPr>
            </w:pPr>
            <w:r w:rsidRPr="008B619A">
              <w:rPr>
                <w:rFonts w:hAnsi="標楷體" w:cs="Tahoma" w:hint="eastAsia"/>
                <w:b/>
                <w:color w:val="000000" w:themeColor="text1"/>
                <w:kern w:val="0"/>
                <w:sz w:val="22"/>
                <w:szCs w:val="22"/>
              </w:rPr>
              <w:t>101學年</w:t>
            </w:r>
          </w:p>
        </w:tc>
        <w:tc>
          <w:tcPr>
            <w:tcW w:w="446" w:type="pct"/>
            <w:gridSpan w:val="2"/>
            <w:tcBorders>
              <w:top w:val="single" w:sz="4" w:space="0" w:color="auto"/>
              <w:left w:val="nil"/>
              <w:bottom w:val="single" w:sz="4" w:space="0" w:color="auto"/>
              <w:right w:val="single" w:sz="4" w:space="0" w:color="auto"/>
            </w:tcBorders>
            <w:shd w:val="clear" w:color="auto" w:fill="auto"/>
            <w:vAlign w:val="center"/>
            <w:hideMark/>
          </w:tcPr>
          <w:p w14:paraId="130D5B05" w14:textId="77777777" w:rsidR="004E7B7E" w:rsidRPr="008B619A" w:rsidRDefault="004E7B7E" w:rsidP="006400F0">
            <w:pPr>
              <w:widowControl/>
              <w:jc w:val="center"/>
              <w:rPr>
                <w:rFonts w:hAnsi="標楷體" w:cs="Tahoma"/>
                <w:b/>
                <w:color w:val="000000" w:themeColor="text1"/>
                <w:kern w:val="0"/>
                <w:sz w:val="22"/>
                <w:szCs w:val="22"/>
              </w:rPr>
            </w:pPr>
            <w:r w:rsidRPr="008B619A">
              <w:rPr>
                <w:rFonts w:hAnsi="標楷體" w:cs="Tahoma" w:hint="eastAsia"/>
                <w:b/>
                <w:color w:val="000000" w:themeColor="text1"/>
                <w:kern w:val="0"/>
                <w:sz w:val="22"/>
                <w:szCs w:val="22"/>
              </w:rPr>
              <w:t>102學年</w:t>
            </w:r>
          </w:p>
        </w:tc>
        <w:tc>
          <w:tcPr>
            <w:tcW w:w="446" w:type="pct"/>
            <w:gridSpan w:val="2"/>
            <w:tcBorders>
              <w:top w:val="single" w:sz="4" w:space="0" w:color="auto"/>
              <w:left w:val="nil"/>
              <w:bottom w:val="single" w:sz="4" w:space="0" w:color="auto"/>
              <w:right w:val="single" w:sz="4" w:space="0" w:color="auto"/>
            </w:tcBorders>
            <w:shd w:val="clear" w:color="auto" w:fill="auto"/>
            <w:vAlign w:val="center"/>
            <w:hideMark/>
          </w:tcPr>
          <w:p w14:paraId="026978A1" w14:textId="77777777" w:rsidR="004E7B7E" w:rsidRPr="008B619A" w:rsidRDefault="004E7B7E" w:rsidP="006400F0">
            <w:pPr>
              <w:widowControl/>
              <w:jc w:val="center"/>
              <w:rPr>
                <w:rFonts w:hAnsi="標楷體" w:cs="Tahoma"/>
                <w:b/>
                <w:color w:val="000000" w:themeColor="text1"/>
                <w:kern w:val="0"/>
                <w:sz w:val="22"/>
                <w:szCs w:val="22"/>
              </w:rPr>
            </w:pPr>
            <w:r w:rsidRPr="008B619A">
              <w:rPr>
                <w:rFonts w:hAnsi="標楷體" w:cs="Tahoma" w:hint="eastAsia"/>
                <w:b/>
                <w:color w:val="000000" w:themeColor="text1"/>
                <w:kern w:val="0"/>
                <w:sz w:val="22"/>
                <w:szCs w:val="22"/>
              </w:rPr>
              <w:t>103學年</w:t>
            </w:r>
          </w:p>
        </w:tc>
        <w:tc>
          <w:tcPr>
            <w:tcW w:w="446" w:type="pct"/>
            <w:gridSpan w:val="2"/>
            <w:tcBorders>
              <w:top w:val="single" w:sz="4" w:space="0" w:color="auto"/>
              <w:left w:val="nil"/>
              <w:bottom w:val="single" w:sz="4" w:space="0" w:color="auto"/>
              <w:right w:val="single" w:sz="4" w:space="0" w:color="auto"/>
            </w:tcBorders>
            <w:shd w:val="clear" w:color="auto" w:fill="auto"/>
            <w:vAlign w:val="center"/>
            <w:hideMark/>
          </w:tcPr>
          <w:p w14:paraId="2345799A" w14:textId="77777777" w:rsidR="004E7B7E" w:rsidRPr="008B619A" w:rsidRDefault="004E7B7E" w:rsidP="006400F0">
            <w:pPr>
              <w:widowControl/>
              <w:jc w:val="center"/>
              <w:rPr>
                <w:rFonts w:hAnsi="標楷體" w:cs="Tahoma"/>
                <w:b/>
                <w:color w:val="000000" w:themeColor="text1"/>
                <w:kern w:val="0"/>
                <w:sz w:val="22"/>
                <w:szCs w:val="22"/>
              </w:rPr>
            </w:pPr>
            <w:r w:rsidRPr="008B619A">
              <w:rPr>
                <w:rFonts w:hAnsi="標楷體" w:cs="Tahoma" w:hint="eastAsia"/>
                <w:b/>
                <w:color w:val="000000" w:themeColor="text1"/>
                <w:kern w:val="0"/>
                <w:sz w:val="22"/>
                <w:szCs w:val="22"/>
              </w:rPr>
              <w:t>104學年</w:t>
            </w:r>
          </w:p>
        </w:tc>
        <w:tc>
          <w:tcPr>
            <w:tcW w:w="446" w:type="pct"/>
            <w:gridSpan w:val="2"/>
            <w:tcBorders>
              <w:top w:val="single" w:sz="4" w:space="0" w:color="auto"/>
              <w:left w:val="nil"/>
              <w:bottom w:val="single" w:sz="4" w:space="0" w:color="auto"/>
              <w:right w:val="single" w:sz="4" w:space="0" w:color="auto"/>
            </w:tcBorders>
            <w:shd w:val="clear" w:color="auto" w:fill="auto"/>
            <w:vAlign w:val="center"/>
            <w:hideMark/>
          </w:tcPr>
          <w:p w14:paraId="3B56DCDE" w14:textId="77777777" w:rsidR="004E7B7E" w:rsidRPr="008B619A" w:rsidRDefault="004E7B7E" w:rsidP="006400F0">
            <w:pPr>
              <w:widowControl/>
              <w:jc w:val="center"/>
              <w:rPr>
                <w:rFonts w:hAnsi="標楷體" w:cs="Tahoma"/>
                <w:b/>
                <w:color w:val="000000" w:themeColor="text1"/>
                <w:kern w:val="0"/>
                <w:sz w:val="22"/>
                <w:szCs w:val="22"/>
              </w:rPr>
            </w:pPr>
            <w:r w:rsidRPr="008B619A">
              <w:rPr>
                <w:rFonts w:hAnsi="標楷體" w:cs="Tahoma" w:hint="eastAsia"/>
                <w:b/>
                <w:color w:val="000000" w:themeColor="text1"/>
                <w:kern w:val="0"/>
                <w:sz w:val="22"/>
                <w:szCs w:val="22"/>
              </w:rPr>
              <w:t>105學年</w:t>
            </w:r>
          </w:p>
        </w:tc>
        <w:tc>
          <w:tcPr>
            <w:tcW w:w="446" w:type="pct"/>
            <w:gridSpan w:val="2"/>
            <w:tcBorders>
              <w:top w:val="single" w:sz="4" w:space="0" w:color="auto"/>
              <w:left w:val="nil"/>
              <w:bottom w:val="single" w:sz="4" w:space="0" w:color="auto"/>
              <w:right w:val="single" w:sz="4" w:space="0" w:color="auto"/>
            </w:tcBorders>
            <w:shd w:val="clear" w:color="auto" w:fill="auto"/>
            <w:vAlign w:val="center"/>
            <w:hideMark/>
          </w:tcPr>
          <w:p w14:paraId="0E640BEA" w14:textId="77777777" w:rsidR="004E7B7E" w:rsidRPr="008B619A" w:rsidRDefault="004E7B7E" w:rsidP="006400F0">
            <w:pPr>
              <w:widowControl/>
              <w:jc w:val="center"/>
              <w:rPr>
                <w:rFonts w:hAnsi="標楷體" w:cs="Tahoma"/>
                <w:b/>
                <w:color w:val="000000" w:themeColor="text1"/>
                <w:kern w:val="0"/>
                <w:sz w:val="22"/>
                <w:szCs w:val="22"/>
              </w:rPr>
            </w:pPr>
            <w:r w:rsidRPr="008B619A">
              <w:rPr>
                <w:rFonts w:hAnsi="標楷體" w:cs="Tahoma" w:hint="eastAsia"/>
                <w:b/>
                <w:color w:val="000000" w:themeColor="text1"/>
                <w:kern w:val="0"/>
                <w:sz w:val="22"/>
                <w:szCs w:val="22"/>
              </w:rPr>
              <w:t>106學年</w:t>
            </w:r>
          </w:p>
        </w:tc>
        <w:tc>
          <w:tcPr>
            <w:tcW w:w="503" w:type="pct"/>
            <w:gridSpan w:val="2"/>
            <w:tcBorders>
              <w:top w:val="single" w:sz="4" w:space="0" w:color="auto"/>
              <w:left w:val="nil"/>
              <w:bottom w:val="single" w:sz="4" w:space="0" w:color="auto"/>
              <w:right w:val="single" w:sz="4" w:space="0" w:color="auto"/>
            </w:tcBorders>
            <w:shd w:val="clear" w:color="auto" w:fill="auto"/>
            <w:vAlign w:val="center"/>
            <w:hideMark/>
          </w:tcPr>
          <w:p w14:paraId="2F29CCA0" w14:textId="77777777" w:rsidR="004E7B7E" w:rsidRPr="008B619A" w:rsidRDefault="004E7B7E" w:rsidP="006400F0">
            <w:pPr>
              <w:widowControl/>
              <w:jc w:val="center"/>
              <w:rPr>
                <w:rFonts w:hAnsi="標楷體" w:cs="Tahoma"/>
                <w:b/>
                <w:color w:val="000000" w:themeColor="text1"/>
                <w:kern w:val="0"/>
                <w:sz w:val="22"/>
                <w:szCs w:val="22"/>
              </w:rPr>
            </w:pPr>
            <w:r w:rsidRPr="008B619A">
              <w:rPr>
                <w:rFonts w:hAnsi="標楷體" w:cs="Tahoma" w:hint="eastAsia"/>
                <w:b/>
                <w:color w:val="000000" w:themeColor="text1"/>
                <w:kern w:val="0"/>
                <w:sz w:val="22"/>
                <w:szCs w:val="22"/>
              </w:rPr>
              <w:t>107學年</w:t>
            </w:r>
          </w:p>
        </w:tc>
      </w:tr>
      <w:tr w:rsidR="004E7B7E" w:rsidRPr="008B619A" w14:paraId="368E1D4A" w14:textId="77777777" w:rsidTr="006400F0">
        <w:trPr>
          <w:trHeight w:val="390"/>
          <w:tblHeader/>
        </w:trPr>
        <w:tc>
          <w:tcPr>
            <w:tcW w:w="480" w:type="pct"/>
            <w:vMerge/>
            <w:tcBorders>
              <w:top w:val="single" w:sz="4" w:space="0" w:color="auto"/>
              <w:left w:val="nil"/>
              <w:bottom w:val="single" w:sz="4" w:space="0" w:color="000000"/>
              <w:right w:val="single" w:sz="4" w:space="0" w:color="auto"/>
            </w:tcBorders>
            <w:vAlign w:val="center"/>
            <w:hideMark/>
          </w:tcPr>
          <w:p w14:paraId="06040BE6" w14:textId="77777777" w:rsidR="004E7B7E" w:rsidRPr="008B619A" w:rsidRDefault="004E7B7E" w:rsidP="006400F0">
            <w:pPr>
              <w:widowControl/>
              <w:rPr>
                <w:rFonts w:hAnsi="標楷體" w:cs="Tahoma"/>
                <w:b/>
                <w:bCs/>
                <w:color w:val="000000" w:themeColor="text1"/>
                <w:kern w:val="0"/>
                <w:sz w:val="20"/>
              </w:rPr>
            </w:pPr>
          </w:p>
        </w:tc>
        <w:tc>
          <w:tcPr>
            <w:tcW w:w="223" w:type="pct"/>
            <w:tcBorders>
              <w:top w:val="nil"/>
              <w:left w:val="nil"/>
              <w:bottom w:val="single" w:sz="4" w:space="0" w:color="auto"/>
              <w:right w:val="single" w:sz="4" w:space="0" w:color="auto"/>
            </w:tcBorders>
            <w:shd w:val="clear" w:color="auto" w:fill="auto"/>
            <w:vAlign w:val="center"/>
            <w:hideMark/>
          </w:tcPr>
          <w:p w14:paraId="644925D5" w14:textId="77777777" w:rsidR="004E7B7E" w:rsidRPr="008B619A" w:rsidRDefault="004E7B7E" w:rsidP="006400F0">
            <w:pPr>
              <w:widowControl/>
              <w:jc w:val="center"/>
              <w:rPr>
                <w:rFonts w:hAnsi="標楷體" w:cs="Tahoma"/>
                <w:b/>
                <w:color w:val="000000" w:themeColor="text1"/>
                <w:kern w:val="0"/>
                <w:sz w:val="20"/>
                <w:szCs w:val="22"/>
              </w:rPr>
            </w:pPr>
            <w:r w:rsidRPr="008B619A">
              <w:rPr>
                <w:rFonts w:hAnsi="標楷體" w:cs="Tahoma" w:hint="eastAsia"/>
                <w:b/>
                <w:color w:val="000000" w:themeColor="text1"/>
                <w:kern w:val="0"/>
                <w:sz w:val="20"/>
                <w:szCs w:val="22"/>
              </w:rPr>
              <w:t>人數</w:t>
            </w:r>
          </w:p>
        </w:tc>
        <w:tc>
          <w:tcPr>
            <w:tcW w:w="223" w:type="pct"/>
            <w:tcBorders>
              <w:top w:val="nil"/>
              <w:left w:val="nil"/>
              <w:bottom w:val="single" w:sz="4" w:space="0" w:color="auto"/>
              <w:right w:val="single" w:sz="4" w:space="0" w:color="auto"/>
            </w:tcBorders>
            <w:shd w:val="clear" w:color="000000" w:fill="E7E6E6"/>
            <w:vAlign w:val="center"/>
            <w:hideMark/>
          </w:tcPr>
          <w:p w14:paraId="653D4DD2" w14:textId="77777777" w:rsidR="004E7B7E" w:rsidRPr="008B619A" w:rsidRDefault="004E7B7E" w:rsidP="006400F0">
            <w:pPr>
              <w:widowControl/>
              <w:jc w:val="center"/>
              <w:rPr>
                <w:rFonts w:hAnsi="標楷體" w:cs="Tahoma"/>
                <w:b/>
                <w:color w:val="000000" w:themeColor="text1"/>
                <w:kern w:val="0"/>
                <w:sz w:val="20"/>
                <w:szCs w:val="22"/>
              </w:rPr>
            </w:pPr>
            <w:r w:rsidRPr="008B619A">
              <w:rPr>
                <w:rFonts w:hAnsi="標楷體" w:cs="Tahoma" w:hint="eastAsia"/>
                <w:b/>
                <w:color w:val="000000" w:themeColor="text1"/>
                <w:kern w:val="0"/>
                <w:sz w:val="20"/>
                <w:szCs w:val="22"/>
              </w:rPr>
              <w:t>占比</w:t>
            </w:r>
          </w:p>
        </w:tc>
        <w:tc>
          <w:tcPr>
            <w:tcW w:w="223" w:type="pct"/>
            <w:tcBorders>
              <w:top w:val="nil"/>
              <w:left w:val="nil"/>
              <w:bottom w:val="single" w:sz="4" w:space="0" w:color="auto"/>
              <w:right w:val="single" w:sz="4" w:space="0" w:color="auto"/>
            </w:tcBorders>
            <w:shd w:val="clear" w:color="auto" w:fill="auto"/>
            <w:vAlign w:val="center"/>
            <w:hideMark/>
          </w:tcPr>
          <w:p w14:paraId="7BDF4B46" w14:textId="77777777" w:rsidR="004E7B7E" w:rsidRPr="008B619A" w:rsidRDefault="004E7B7E" w:rsidP="006400F0">
            <w:pPr>
              <w:widowControl/>
              <w:jc w:val="center"/>
              <w:rPr>
                <w:rFonts w:hAnsi="標楷體" w:cs="Tahoma"/>
                <w:b/>
                <w:color w:val="000000" w:themeColor="text1"/>
                <w:kern w:val="0"/>
                <w:sz w:val="20"/>
                <w:szCs w:val="22"/>
              </w:rPr>
            </w:pPr>
            <w:r w:rsidRPr="008B619A">
              <w:rPr>
                <w:rFonts w:hAnsi="標楷體" w:cs="Tahoma" w:hint="eastAsia"/>
                <w:b/>
                <w:color w:val="000000" w:themeColor="text1"/>
                <w:kern w:val="0"/>
                <w:sz w:val="20"/>
                <w:szCs w:val="22"/>
              </w:rPr>
              <w:t>人數</w:t>
            </w:r>
          </w:p>
        </w:tc>
        <w:tc>
          <w:tcPr>
            <w:tcW w:w="223" w:type="pct"/>
            <w:tcBorders>
              <w:top w:val="nil"/>
              <w:left w:val="nil"/>
              <w:bottom w:val="single" w:sz="4" w:space="0" w:color="auto"/>
              <w:right w:val="single" w:sz="4" w:space="0" w:color="auto"/>
            </w:tcBorders>
            <w:shd w:val="clear" w:color="000000" w:fill="E7E6E6"/>
            <w:vAlign w:val="center"/>
            <w:hideMark/>
          </w:tcPr>
          <w:p w14:paraId="4057C267" w14:textId="77777777" w:rsidR="004E7B7E" w:rsidRPr="008B619A" w:rsidRDefault="004E7B7E" w:rsidP="006400F0">
            <w:pPr>
              <w:widowControl/>
              <w:jc w:val="center"/>
              <w:rPr>
                <w:rFonts w:hAnsi="標楷體" w:cs="Tahoma"/>
                <w:b/>
                <w:color w:val="000000" w:themeColor="text1"/>
                <w:kern w:val="0"/>
                <w:sz w:val="20"/>
                <w:szCs w:val="22"/>
              </w:rPr>
            </w:pPr>
            <w:r w:rsidRPr="008B619A">
              <w:rPr>
                <w:rFonts w:hAnsi="標楷體" w:cs="Tahoma" w:hint="eastAsia"/>
                <w:b/>
                <w:color w:val="000000" w:themeColor="text1"/>
                <w:kern w:val="0"/>
                <w:sz w:val="20"/>
                <w:szCs w:val="22"/>
              </w:rPr>
              <w:t>占比</w:t>
            </w:r>
          </w:p>
        </w:tc>
        <w:tc>
          <w:tcPr>
            <w:tcW w:w="223" w:type="pct"/>
            <w:tcBorders>
              <w:top w:val="nil"/>
              <w:left w:val="nil"/>
              <w:bottom w:val="single" w:sz="4" w:space="0" w:color="auto"/>
              <w:right w:val="single" w:sz="4" w:space="0" w:color="auto"/>
            </w:tcBorders>
            <w:shd w:val="clear" w:color="auto" w:fill="auto"/>
            <w:vAlign w:val="center"/>
            <w:hideMark/>
          </w:tcPr>
          <w:p w14:paraId="01C9BA92" w14:textId="77777777" w:rsidR="004E7B7E" w:rsidRPr="008B619A" w:rsidRDefault="004E7B7E" w:rsidP="006400F0">
            <w:pPr>
              <w:widowControl/>
              <w:jc w:val="center"/>
              <w:rPr>
                <w:rFonts w:hAnsi="標楷體" w:cs="Tahoma"/>
                <w:b/>
                <w:color w:val="000000" w:themeColor="text1"/>
                <w:kern w:val="0"/>
                <w:sz w:val="20"/>
                <w:szCs w:val="22"/>
              </w:rPr>
            </w:pPr>
            <w:r w:rsidRPr="008B619A">
              <w:rPr>
                <w:rFonts w:hAnsi="標楷體" w:cs="Tahoma" w:hint="eastAsia"/>
                <w:b/>
                <w:color w:val="000000" w:themeColor="text1"/>
                <w:kern w:val="0"/>
                <w:sz w:val="20"/>
                <w:szCs w:val="22"/>
              </w:rPr>
              <w:t>人數</w:t>
            </w:r>
          </w:p>
        </w:tc>
        <w:tc>
          <w:tcPr>
            <w:tcW w:w="223" w:type="pct"/>
            <w:tcBorders>
              <w:top w:val="nil"/>
              <w:left w:val="nil"/>
              <w:bottom w:val="single" w:sz="4" w:space="0" w:color="auto"/>
              <w:right w:val="single" w:sz="4" w:space="0" w:color="auto"/>
            </w:tcBorders>
            <w:shd w:val="clear" w:color="000000" w:fill="E7E6E6"/>
            <w:vAlign w:val="center"/>
            <w:hideMark/>
          </w:tcPr>
          <w:p w14:paraId="33071BA7" w14:textId="77777777" w:rsidR="004E7B7E" w:rsidRPr="008B619A" w:rsidRDefault="004E7B7E" w:rsidP="006400F0">
            <w:pPr>
              <w:widowControl/>
              <w:jc w:val="center"/>
              <w:rPr>
                <w:rFonts w:hAnsi="標楷體" w:cs="Tahoma"/>
                <w:b/>
                <w:color w:val="000000" w:themeColor="text1"/>
                <w:kern w:val="0"/>
                <w:sz w:val="20"/>
                <w:szCs w:val="22"/>
              </w:rPr>
            </w:pPr>
            <w:r w:rsidRPr="008B619A">
              <w:rPr>
                <w:rFonts w:hAnsi="標楷體" w:cs="Tahoma" w:hint="eastAsia"/>
                <w:b/>
                <w:color w:val="000000" w:themeColor="text1"/>
                <w:kern w:val="0"/>
                <w:sz w:val="20"/>
                <w:szCs w:val="22"/>
              </w:rPr>
              <w:t>占比</w:t>
            </w:r>
          </w:p>
        </w:tc>
        <w:tc>
          <w:tcPr>
            <w:tcW w:w="223" w:type="pct"/>
            <w:tcBorders>
              <w:top w:val="nil"/>
              <w:left w:val="nil"/>
              <w:bottom w:val="single" w:sz="4" w:space="0" w:color="auto"/>
              <w:right w:val="single" w:sz="4" w:space="0" w:color="auto"/>
            </w:tcBorders>
            <w:shd w:val="clear" w:color="auto" w:fill="auto"/>
            <w:vAlign w:val="center"/>
            <w:hideMark/>
          </w:tcPr>
          <w:p w14:paraId="32BC9A61" w14:textId="77777777" w:rsidR="004E7B7E" w:rsidRPr="008B619A" w:rsidRDefault="004E7B7E" w:rsidP="006400F0">
            <w:pPr>
              <w:widowControl/>
              <w:jc w:val="center"/>
              <w:rPr>
                <w:rFonts w:hAnsi="標楷體" w:cs="Tahoma"/>
                <w:b/>
                <w:color w:val="000000" w:themeColor="text1"/>
                <w:kern w:val="0"/>
                <w:sz w:val="20"/>
                <w:szCs w:val="22"/>
              </w:rPr>
            </w:pPr>
            <w:r w:rsidRPr="008B619A">
              <w:rPr>
                <w:rFonts w:hAnsi="標楷體" w:cs="Tahoma" w:hint="eastAsia"/>
                <w:b/>
                <w:color w:val="000000" w:themeColor="text1"/>
                <w:kern w:val="0"/>
                <w:sz w:val="20"/>
                <w:szCs w:val="22"/>
              </w:rPr>
              <w:t>人數</w:t>
            </w:r>
          </w:p>
        </w:tc>
        <w:tc>
          <w:tcPr>
            <w:tcW w:w="223" w:type="pct"/>
            <w:tcBorders>
              <w:top w:val="nil"/>
              <w:left w:val="nil"/>
              <w:bottom w:val="single" w:sz="4" w:space="0" w:color="auto"/>
              <w:right w:val="single" w:sz="4" w:space="0" w:color="auto"/>
            </w:tcBorders>
            <w:shd w:val="clear" w:color="000000" w:fill="E7E6E6"/>
            <w:vAlign w:val="center"/>
            <w:hideMark/>
          </w:tcPr>
          <w:p w14:paraId="087B5B60" w14:textId="77777777" w:rsidR="004E7B7E" w:rsidRPr="008B619A" w:rsidRDefault="004E7B7E" w:rsidP="006400F0">
            <w:pPr>
              <w:widowControl/>
              <w:jc w:val="center"/>
              <w:rPr>
                <w:rFonts w:hAnsi="標楷體" w:cs="Tahoma"/>
                <w:b/>
                <w:color w:val="000000" w:themeColor="text1"/>
                <w:kern w:val="0"/>
                <w:sz w:val="20"/>
                <w:szCs w:val="22"/>
              </w:rPr>
            </w:pPr>
            <w:r w:rsidRPr="008B619A">
              <w:rPr>
                <w:rFonts w:hAnsi="標楷體" w:cs="Tahoma" w:hint="eastAsia"/>
                <w:b/>
                <w:color w:val="000000" w:themeColor="text1"/>
                <w:kern w:val="0"/>
                <w:sz w:val="20"/>
                <w:szCs w:val="22"/>
              </w:rPr>
              <w:t>占比</w:t>
            </w:r>
          </w:p>
        </w:tc>
        <w:tc>
          <w:tcPr>
            <w:tcW w:w="223" w:type="pct"/>
            <w:tcBorders>
              <w:top w:val="nil"/>
              <w:left w:val="nil"/>
              <w:bottom w:val="single" w:sz="4" w:space="0" w:color="auto"/>
              <w:right w:val="single" w:sz="4" w:space="0" w:color="auto"/>
            </w:tcBorders>
            <w:shd w:val="clear" w:color="auto" w:fill="auto"/>
            <w:vAlign w:val="center"/>
            <w:hideMark/>
          </w:tcPr>
          <w:p w14:paraId="7F6D2712" w14:textId="77777777" w:rsidR="004E7B7E" w:rsidRPr="008B619A" w:rsidRDefault="004E7B7E" w:rsidP="006400F0">
            <w:pPr>
              <w:widowControl/>
              <w:jc w:val="center"/>
              <w:rPr>
                <w:rFonts w:hAnsi="標楷體" w:cs="Tahoma"/>
                <w:b/>
                <w:color w:val="000000" w:themeColor="text1"/>
                <w:kern w:val="0"/>
                <w:sz w:val="20"/>
                <w:szCs w:val="22"/>
              </w:rPr>
            </w:pPr>
            <w:r w:rsidRPr="008B619A">
              <w:rPr>
                <w:rFonts w:hAnsi="標楷體" w:cs="Tahoma" w:hint="eastAsia"/>
                <w:b/>
                <w:color w:val="000000" w:themeColor="text1"/>
                <w:kern w:val="0"/>
                <w:sz w:val="20"/>
                <w:szCs w:val="22"/>
              </w:rPr>
              <w:t>人數</w:t>
            </w:r>
          </w:p>
        </w:tc>
        <w:tc>
          <w:tcPr>
            <w:tcW w:w="223" w:type="pct"/>
            <w:tcBorders>
              <w:top w:val="nil"/>
              <w:left w:val="nil"/>
              <w:bottom w:val="single" w:sz="4" w:space="0" w:color="auto"/>
              <w:right w:val="single" w:sz="4" w:space="0" w:color="auto"/>
            </w:tcBorders>
            <w:shd w:val="clear" w:color="000000" w:fill="E7E6E6"/>
            <w:vAlign w:val="center"/>
            <w:hideMark/>
          </w:tcPr>
          <w:p w14:paraId="1980DC65" w14:textId="77777777" w:rsidR="004E7B7E" w:rsidRPr="008B619A" w:rsidRDefault="004E7B7E" w:rsidP="006400F0">
            <w:pPr>
              <w:widowControl/>
              <w:jc w:val="center"/>
              <w:rPr>
                <w:rFonts w:hAnsi="標楷體" w:cs="Tahoma"/>
                <w:b/>
                <w:color w:val="000000" w:themeColor="text1"/>
                <w:kern w:val="0"/>
                <w:sz w:val="20"/>
                <w:szCs w:val="22"/>
              </w:rPr>
            </w:pPr>
            <w:r w:rsidRPr="008B619A">
              <w:rPr>
                <w:rFonts w:hAnsi="標楷體" w:cs="Tahoma" w:hint="eastAsia"/>
                <w:b/>
                <w:color w:val="000000" w:themeColor="text1"/>
                <w:kern w:val="0"/>
                <w:sz w:val="20"/>
                <w:szCs w:val="22"/>
              </w:rPr>
              <w:t>占比</w:t>
            </w:r>
          </w:p>
        </w:tc>
        <w:tc>
          <w:tcPr>
            <w:tcW w:w="223" w:type="pct"/>
            <w:tcBorders>
              <w:top w:val="nil"/>
              <w:left w:val="nil"/>
              <w:bottom w:val="single" w:sz="4" w:space="0" w:color="auto"/>
              <w:right w:val="single" w:sz="4" w:space="0" w:color="auto"/>
            </w:tcBorders>
            <w:shd w:val="clear" w:color="auto" w:fill="auto"/>
            <w:vAlign w:val="center"/>
            <w:hideMark/>
          </w:tcPr>
          <w:p w14:paraId="7F93D618" w14:textId="77777777" w:rsidR="004E7B7E" w:rsidRPr="008B619A" w:rsidRDefault="004E7B7E" w:rsidP="006400F0">
            <w:pPr>
              <w:widowControl/>
              <w:jc w:val="center"/>
              <w:rPr>
                <w:rFonts w:hAnsi="標楷體" w:cs="Tahoma"/>
                <w:b/>
                <w:color w:val="000000" w:themeColor="text1"/>
                <w:kern w:val="0"/>
                <w:sz w:val="20"/>
                <w:szCs w:val="22"/>
              </w:rPr>
            </w:pPr>
            <w:r w:rsidRPr="008B619A">
              <w:rPr>
                <w:rFonts w:hAnsi="標楷體" w:cs="Tahoma" w:hint="eastAsia"/>
                <w:b/>
                <w:color w:val="000000" w:themeColor="text1"/>
                <w:kern w:val="0"/>
                <w:sz w:val="20"/>
                <w:szCs w:val="22"/>
              </w:rPr>
              <w:t>人數</w:t>
            </w:r>
          </w:p>
        </w:tc>
        <w:tc>
          <w:tcPr>
            <w:tcW w:w="223" w:type="pct"/>
            <w:tcBorders>
              <w:top w:val="nil"/>
              <w:left w:val="nil"/>
              <w:bottom w:val="single" w:sz="4" w:space="0" w:color="auto"/>
              <w:right w:val="single" w:sz="4" w:space="0" w:color="auto"/>
            </w:tcBorders>
            <w:shd w:val="clear" w:color="000000" w:fill="E7E6E6"/>
            <w:vAlign w:val="center"/>
            <w:hideMark/>
          </w:tcPr>
          <w:p w14:paraId="65895AE4" w14:textId="77777777" w:rsidR="004E7B7E" w:rsidRPr="008B619A" w:rsidRDefault="004E7B7E" w:rsidP="006400F0">
            <w:pPr>
              <w:widowControl/>
              <w:jc w:val="center"/>
              <w:rPr>
                <w:rFonts w:hAnsi="標楷體" w:cs="Tahoma"/>
                <w:b/>
                <w:color w:val="000000" w:themeColor="text1"/>
                <w:kern w:val="0"/>
                <w:sz w:val="20"/>
                <w:szCs w:val="22"/>
              </w:rPr>
            </w:pPr>
            <w:r w:rsidRPr="008B619A">
              <w:rPr>
                <w:rFonts w:hAnsi="標楷體" w:cs="Tahoma" w:hint="eastAsia"/>
                <w:b/>
                <w:color w:val="000000" w:themeColor="text1"/>
                <w:kern w:val="0"/>
                <w:sz w:val="20"/>
                <w:szCs w:val="22"/>
              </w:rPr>
              <w:t>占比</w:t>
            </w:r>
          </w:p>
        </w:tc>
        <w:tc>
          <w:tcPr>
            <w:tcW w:w="223" w:type="pct"/>
            <w:tcBorders>
              <w:top w:val="nil"/>
              <w:left w:val="nil"/>
              <w:bottom w:val="single" w:sz="4" w:space="0" w:color="auto"/>
              <w:right w:val="single" w:sz="4" w:space="0" w:color="auto"/>
            </w:tcBorders>
            <w:shd w:val="clear" w:color="auto" w:fill="auto"/>
            <w:vAlign w:val="center"/>
            <w:hideMark/>
          </w:tcPr>
          <w:p w14:paraId="6170C68D" w14:textId="77777777" w:rsidR="004E7B7E" w:rsidRPr="008B619A" w:rsidRDefault="004E7B7E" w:rsidP="006400F0">
            <w:pPr>
              <w:widowControl/>
              <w:jc w:val="center"/>
              <w:rPr>
                <w:rFonts w:hAnsi="標楷體" w:cs="Tahoma"/>
                <w:b/>
                <w:color w:val="000000" w:themeColor="text1"/>
                <w:kern w:val="0"/>
                <w:sz w:val="20"/>
                <w:szCs w:val="22"/>
              </w:rPr>
            </w:pPr>
            <w:r w:rsidRPr="008B619A">
              <w:rPr>
                <w:rFonts w:hAnsi="標楷體" w:cs="Tahoma" w:hint="eastAsia"/>
                <w:b/>
                <w:color w:val="000000" w:themeColor="text1"/>
                <w:kern w:val="0"/>
                <w:sz w:val="20"/>
                <w:szCs w:val="22"/>
              </w:rPr>
              <w:t>人數</w:t>
            </w:r>
          </w:p>
        </w:tc>
        <w:tc>
          <w:tcPr>
            <w:tcW w:w="223" w:type="pct"/>
            <w:tcBorders>
              <w:top w:val="nil"/>
              <w:left w:val="nil"/>
              <w:bottom w:val="single" w:sz="4" w:space="0" w:color="auto"/>
              <w:right w:val="single" w:sz="4" w:space="0" w:color="auto"/>
            </w:tcBorders>
            <w:shd w:val="clear" w:color="000000" w:fill="E7E6E6"/>
            <w:vAlign w:val="center"/>
            <w:hideMark/>
          </w:tcPr>
          <w:p w14:paraId="3E7DF460" w14:textId="77777777" w:rsidR="004E7B7E" w:rsidRPr="008B619A" w:rsidRDefault="004E7B7E" w:rsidP="006400F0">
            <w:pPr>
              <w:widowControl/>
              <w:jc w:val="center"/>
              <w:rPr>
                <w:rFonts w:hAnsi="標楷體" w:cs="Tahoma"/>
                <w:b/>
                <w:color w:val="000000" w:themeColor="text1"/>
                <w:kern w:val="0"/>
                <w:sz w:val="20"/>
                <w:szCs w:val="22"/>
              </w:rPr>
            </w:pPr>
            <w:r w:rsidRPr="008B619A">
              <w:rPr>
                <w:rFonts w:hAnsi="標楷體" w:cs="Tahoma" w:hint="eastAsia"/>
                <w:b/>
                <w:color w:val="000000" w:themeColor="text1"/>
                <w:kern w:val="0"/>
                <w:sz w:val="20"/>
                <w:szCs w:val="22"/>
              </w:rPr>
              <w:t>占比</w:t>
            </w:r>
          </w:p>
        </w:tc>
        <w:tc>
          <w:tcPr>
            <w:tcW w:w="223" w:type="pct"/>
            <w:tcBorders>
              <w:top w:val="nil"/>
              <w:left w:val="nil"/>
              <w:bottom w:val="single" w:sz="4" w:space="0" w:color="auto"/>
              <w:right w:val="single" w:sz="4" w:space="0" w:color="auto"/>
            </w:tcBorders>
            <w:shd w:val="clear" w:color="auto" w:fill="auto"/>
            <w:vAlign w:val="center"/>
            <w:hideMark/>
          </w:tcPr>
          <w:p w14:paraId="0114E8F6" w14:textId="77777777" w:rsidR="004E7B7E" w:rsidRPr="008B619A" w:rsidRDefault="004E7B7E" w:rsidP="006400F0">
            <w:pPr>
              <w:widowControl/>
              <w:jc w:val="center"/>
              <w:rPr>
                <w:rFonts w:hAnsi="標楷體" w:cs="Tahoma"/>
                <w:b/>
                <w:color w:val="000000" w:themeColor="text1"/>
                <w:kern w:val="0"/>
                <w:sz w:val="20"/>
                <w:szCs w:val="22"/>
              </w:rPr>
            </w:pPr>
            <w:r w:rsidRPr="008B619A">
              <w:rPr>
                <w:rFonts w:hAnsi="標楷體" w:cs="Tahoma" w:hint="eastAsia"/>
                <w:b/>
                <w:color w:val="000000" w:themeColor="text1"/>
                <w:kern w:val="0"/>
                <w:sz w:val="20"/>
                <w:szCs w:val="22"/>
              </w:rPr>
              <w:t>人數</w:t>
            </w:r>
          </w:p>
        </w:tc>
        <w:tc>
          <w:tcPr>
            <w:tcW w:w="223" w:type="pct"/>
            <w:tcBorders>
              <w:top w:val="nil"/>
              <w:left w:val="nil"/>
              <w:bottom w:val="single" w:sz="4" w:space="0" w:color="auto"/>
              <w:right w:val="single" w:sz="4" w:space="0" w:color="auto"/>
            </w:tcBorders>
            <w:shd w:val="clear" w:color="000000" w:fill="E7E6E6"/>
            <w:vAlign w:val="center"/>
            <w:hideMark/>
          </w:tcPr>
          <w:p w14:paraId="1A39CFEE" w14:textId="77777777" w:rsidR="004E7B7E" w:rsidRPr="008B619A" w:rsidRDefault="004E7B7E" w:rsidP="006400F0">
            <w:pPr>
              <w:widowControl/>
              <w:jc w:val="center"/>
              <w:rPr>
                <w:rFonts w:hAnsi="標楷體" w:cs="Tahoma"/>
                <w:b/>
                <w:color w:val="000000" w:themeColor="text1"/>
                <w:kern w:val="0"/>
                <w:sz w:val="20"/>
                <w:szCs w:val="22"/>
              </w:rPr>
            </w:pPr>
            <w:r w:rsidRPr="008B619A">
              <w:rPr>
                <w:rFonts w:hAnsi="標楷體" w:cs="Tahoma" w:hint="eastAsia"/>
                <w:b/>
                <w:color w:val="000000" w:themeColor="text1"/>
                <w:kern w:val="0"/>
                <w:sz w:val="20"/>
                <w:szCs w:val="22"/>
              </w:rPr>
              <w:t>占比</w:t>
            </w:r>
          </w:p>
        </w:tc>
        <w:tc>
          <w:tcPr>
            <w:tcW w:w="223" w:type="pct"/>
            <w:tcBorders>
              <w:top w:val="nil"/>
              <w:left w:val="nil"/>
              <w:bottom w:val="single" w:sz="4" w:space="0" w:color="auto"/>
              <w:right w:val="single" w:sz="4" w:space="0" w:color="auto"/>
            </w:tcBorders>
            <w:shd w:val="clear" w:color="auto" w:fill="auto"/>
            <w:vAlign w:val="center"/>
            <w:hideMark/>
          </w:tcPr>
          <w:p w14:paraId="36EA9788" w14:textId="77777777" w:rsidR="004E7B7E" w:rsidRPr="008B619A" w:rsidRDefault="004E7B7E" w:rsidP="006400F0">
            <w:pPr>
              <w:widowControl/>
              <w:jc w:val="center"/>
              <w:rPr>
                <w:rFonts w:hAnsi="標楷體" w:cs="Tahoma"/>
                <w:b/>
                <w:color w:val="000000" w:themeColor="text1"/>
                <w:kern w:val="0"/>
                <w:sz w:val="20"/>
                <w:szCs w:val="22"/>
              </w:rPr>
            </w:pPr>
            <w:r w:rsidRPr="008B619A">
              <w:rPr>
                <w:rFonts w:hAnsi="標楷體" w:cs="Tahoma" w:hint="eastAsia"/>
                <w:b/>
                <w:color w:val="000000" w:themeColor="text1"/>
                <w:kern w:val="0"/>
                <w:sz w:val="20"/>
                <w:szCs w:val="22"/>
              </w:rPr>
              <w:t>人數</w:t>
            </w:r>
          </w:p>
        </w:tc>
        <w:tc>
          <w:tcPr>
            <w:tcW w:w="223" w:type="pct"/>
            <w:tcBorders>
              <w:top w:val="nil"/>
              <w:left w:val="nil"/>
              <w:bottom w:val="single" w:sz="4" w:space="0" w:color="auto"/>
              <w:right w:val="single" w:sz="4" w:space="0" w:color="auto"/>
            </w:tcBorders>
            <w:shd w:val="clear" w:color="000000" w:fill="E7E6E6"/>
            <w:vAlign w:val="center"/>
            <w:hideMark/>
          </w:tcPr>
          <w:p w14:paraId="60C418FA" w14:textId="77777777" w:rsidR="004E7B7E" w:rsidRPr="008B619A" w:rsidRDefault="004E7B7E" w:rsidP="006400F0">
            <w:pPr>
              <w:widowControl/>
              <w:jc w:val="center"/>
              <w:rPr>
                <w:rFonts w:hAnsi="標楷體" w:cs="Tahoma"/>
                <w:b/>
                <w:color w:val="000000" w:themeColor="text1"/>
                <w:kern w:val="0"/>
                <w:sz w:val="20"/>
                <w:szCs w:val="22"/>
              </w:rPr>
            </w:pPr>
            <w:r w:rsidRPr="008B619A">
              <w:rPr>
                <w:rFonts w:hAnsi="標楷體" w:cs="Tahoma" w:hint="eastAsia"/>
                <w:b/>
                <w:color w:val="000000" w:themeColor="text1"/>
                <w:kern w:val="0"/>
                <w:sz w:val="20"/>
                <w:szCs w:val="22"/>
              </w:rPr>
              <w:t>占比</w:t>
            </w:r>
          </w:p>
        </w:tc>
        <w:tc>
          <w:tcPr>
            <w:tcW w:w="223" w:type="pct"/>
            <w:tcBorders>
              <w:top w:val="nil"/>
              <w:left w:val="nil"/>
              <w:bottom w:val="single" w:sz="4" w:space="0" w:color="auto"/>
              <w:right w:val="single" w:sz="4" w:space="0" w:color="auto"/>
            </w:tcBorders>
            <w:shd w:val="clear" w:color="auto" w:fill="auto"/>
            <w:vAlign w:val="center"/>
            <w:hideMark/>
          </w:tcPr>
          <w:p w14:paraId="5DFF2BCD" w14:textId="77777777" w:rsidR="004E7B7E" w:rsidRPr="008B619A" w:rsidRDefault="004E7B7E" w:rsidP="006400F0">
            <w:pPr>
              <w:widowControl/>
              <w:jc w:val="center"/>
              <w:rPr>
                <w:rFonts w:hAnsi="標楷體" w:cs="Tahoma"/>
                <w:b/>
                <w:color w:val="000000" w:themeColor="text1"/>
                <w:kern w:val="0"/>
                <w:sz w:val="20"/>
                <w:szCs w:val="22"/>
              </w:rPr>
            </w:pPr>
            <w:r w:rsidRPr="008B619A">
              <w:rPr>
                <w:rFonts w:hAnsi="標楷體" w:cs="Tahoma" w:hint="eastAsia"/>
                <w:b/>
                <w:color w:val="000000" w:themeColor="text1"/>
                <w:kern w:val="0"/>
                <w:sz w:val="20"/>
                <w:szCs w:val="22"/>
              </w:rPr>
              <w:t>人數</w:t>
            </w:r>
          </w:p>
        </w:tc>
        <w:tc>
          <w:tcPr>
            <w:tcW w:w="280" w:type="pct"/>
            <w:tcBorders>
              <w:top w:val="nil"/>
              <w:left w:val="nil"/>
              <w:bottom w:val="single" w:sz="4" w:space="0" w:color="auto"/>
              <w:right w:val="nil"/>
            </w:tcBorders>
            <w:shd w:val="clear" w:color="000000" w:fill="E7E6E6"/>
            <w:vAlign w:val="center"/>
            <w:hideMark/>
          </w:tcPr>
          <w:p w14:paraId="2140306A" w14:textId="77777777" w:rsidR="004E7B7E" w:rsidRPr="008B619A" w:rsidRDefault="004E7B7E" w:rsidP="006400F0">
            <w:pPr>
              <w:widowControl/>
              <w:jc w:val="center"/>
              <w:rPr>
                <w:rFonts w:hAnsi="標楷體" w:cs="Tahoma"/>
                <w:b/>
                <w:color w:val="000000" w:themeColor="text1"/>
                <w:kern w:val="0"/>
                <w:sz w:val="20"/>
                <w:szCs w:val="22"/>
              </w:rPr>
            </w:pPr>
            <w:r w:rsidRPr="008B619A">
              <w:rPr>
                <w:rFonts w:hAnsi="標楷體" w:cs="Tahoma" w:hint="eastAsia"/>
                <w:b/>
                <w:color w:val="000000" w:themeColor="text1"/>
                <w:kern w:val="0"/>
                <w:sz w:val="20"/>
                <w:szCs w:val="22"/>
              </w:rPr>
              <w:t>占比</w:t>
            </w:r>
          </w:p>
        </w:tc>
      </w:tr>
      <w:tr w:rsidR="004E7B7E" w:rsidRPr="008B619A" w14:paraId="466BB436" w14:textId="77777777" w:rsidTr="006400F0">
        <w:trPr>
          <w:trHeight w:val="420"/>
        </w:trPr>
        <w:tc>
          <w:tcPr>
            <w:tcW w:w="480" w:type="pct"/>
            <w:tcBorders>
              <w:top w:val="single" w:sz="4" w:space="0" w:color="auto"/>
              <w:left w:val="nil"/>
              <w:bottom w:val="nil"/>
              <w:right w:val="single" w:sz="4" w:space="0" w:color="auto"/>
            </w:tcBorders>
            <w:shd w:val="clear" w:color="auto" w:fill="auto"/>
            <w:noWrap/>
            <w:vAlign w:val="center"/>
            <w:hideMark/>
          </w:tcPr>
          <w:p w14:paraId="05065E01" w14:textId="77777777" w:rsidR="004E7B7E" w:rsidRPr="008B619A" w:rsidRDefault="004E7B7E" w:rsidP="006400F0">
            <w:pPr>
              <w:widowControl/>
              <w:rPr>
                <w:rFonts w:hAnsi="標楷體" w:cs="Tahoma"/>
                <w:b/>
                <w:color w:val="000000" w:themeColor="text1"/>
                <w:kern w:val="0"/>
                <w:sz w:val="20"/>
              </w:rPr>
            </w:pPr>
            <w:r w:rsidRPr="008B619A">
              <w:rPr>
                <w:rFonts w:hAnsi="標楷體" w:cs="Tahoma" w:hint="eastAsia"/>
                <w:b/>
                <w:color w:val="000000" w:themeColor="text1"/>
                <w:kern w:val="0"/>
                <w:sz w:val="20"/>
              </w:rPr>
              <w:t>總計</w:t>
            </w:r>
          </w:p>
        </w:tc>
        <w:tc>
          <w:tcPr>
            <w:tcW w:w="223" w:type="pct"/>
            <w:tcBorders>
              <w:top w:val="nil"/>
              <w:left w:val="nil"/>
              <w:bottom w:val="nil"/>
              <w:right w:val="nil"/>
            </w:tcBorders>
            <w:shd w:val="clear" w:color="auto" w:fill="auto"/>
            <w:noWrap/>
            <w:vAlign w:val="center"/>
            <w:hideMark/>
          </w:tcPr>
          <w:p w14:paraId="6050EFBA" w14:textId="77777777" w:rsidR="004E7B7E" w:rsidRPr="008B619A" w:rsidRDefault="004E7B7E" w:rsidP="006400F0">
            <w:pPr>
              <w:widowControl/>
              <w:jc w:val="right"/>
              <w:rPr>
                <w:rFonts w:hAnsi="標楷體" w:cs="Tahoma"/>
                <w:b/>
                <w:color w:val="000000" w:themeColor="text1"/>
                <w:kern w:val="0"/>
                <w:sz w:val="15"/>
                <w:szCs w:val="15"/>
              </w:rPr>
            </w:pPr>
            <w:r w:rsidRPr="008B619A">
              <w:rPr>
                <w:rFonts w:hAnsi="標楷體" w:cs="Tahoma" w:hint="eastAsia"/>
                <w:b/>
                <w:color w:val="000000" w:themeColor="text1"/>
                <w:kern w:val="0"/>
                <w:sz w:val="15"/>
                <w:szCs w:val="15"/>
              </w:rPr>
              <w:t>3,110</w:t>
            </w:r>
          </w:p>
        </w:tc>
        <w:tc>
          <w:tcPr>
            <w:tcW w:w="223" w:type="pct"/>
            <w:tcBorders>
              <w:top w:val="nil"/>
              <w:left w:val="nil"/>
              <w:bottom w:val="nil"/>
              <w:right w:val="nil"/>
            </w:tcBorders>
            <w:shd w:val="clear" w:color="000000" w:fill="E7E6E6"/>
            <w:noWrap/>
            <w:vAlign w:val="center"/>
            <w:hideMark/>
          </w:tcPr>
          <w:p w14:paraId="1C09A896" w14:textId="77777777" w:rsidR="004E7B7E" w:rsidRPr="008B619A" w:rsidRDefault="004E7B7E" w:rsidP="006400F0">
            <w:pPr>
              <w:widowControl/>
              <w:jc w:val="right"/>
              <w:rPr>
                <w:rFonts w:hAnsi="標楷體" w:cs="Tahoma"/>
                <w:b/>
                <w:color w:val="000000" w:themeColor="text1"/>
                <w:kern w:val="0"/>
                <w:sz w:val="15"/>
                <w:szCs w:val="15"/>
              </w:rPr>
            </w:pPr>
            <w:r w:rsidRPr="008B619A">
              <w:rPr>
                <w:rFonts w:hAnsi="標楷體" w:cs="Tahoma" w:hint="eastAsia"/>
                <w:b/>
                <w:color w:val="000000" w:themeColor="text1"/>
                <w:kern w:val="0"/>
                <w:sz w:val="15"/>
                <w:szCs w:val="15"/>
              </w:rPr>
              <w:t>100.0</w:t>
            </w:r>
          </w:p>
        </w:tc>
        <w:tc>
          <w:tcPr>
            <w:tcW w:w="223" w:type="pct"/>
            <w:tcBorders>
              <w:top w:val="nil"/>
              <w:left w:val="nil"/>
              <w:bottom w:val="nil"/>
              <w:right w:val="nil"/>
            </w:tcBorders>
            <w:shd w:val="clear" w:color="auto" w:fill="auto"/>
            <w:noWrap/>
            <w:vAlign w:val="center"/>
            <w:hideMark/>
          </w:tcPr>
          <w:p w14:paraId="39953931" w14:textId="77777777" w:rsidR="004E7B7E" w:rsidRPr="008B619A" w:rsidRDefault="004E7B7E" w:rsidP="006400F0">
            <w:pPr>
              <w:widowControl/>
              <w:jc w:val="right"/>
              <w:rPr>
                <w:rFonts w:hAnsi="標楷體" w:cs="Tahoma"/>
                <w:b/>
                <w:color w:val="000000" w:themeColor="text1"/>
                <w:kern w:val="0"/>
                <w:sz w:val="15"/>
                <w:szCs w:val="15"/>
              </w:rPr>
            </w:pPr>
            <w:r w:rsidRPr="008B619A">
              <w:rPr>
                <w:rFonts w:hAnsi="標楷體" w:cs="Tahoma" w:hint="eastAsia"/>
                <w:b/>
                <w:color w:val="000000" w:themeColor="text1"/>
                <w:kern w:val="0"/>
                <w:sz w:val="15"/>
                <w:szCs w:val="15"/>
              </w:rPr>
              <w:t>3,234</w:t>
            </w:r>
          </w:p>
        </w:tc>
        <w:tc>
          <w:tcPr>
            <w:tcW w:w="223" w:type="pct"/>
            <w:tcBorders>
              <w:top w:val="nil"/>
              <w:left w:val="nil"/>
              <w:bottom w:val="nil"/>
              <w:right w:val="nil"/>
            </w:tcBorders>
            <w:shd w:val="clear" w:color="000000" w:fill="E7E6E6"/>
            <w:noWrap/>
            <w:vAlign w:val="center"/>
            <w:hideMark/>
          </w:tcPr>
          <w:p w14:paraId="2CBFD735" w14:textId="77777777" w:rsidR="004E7B7E" w:rsidRPr="008B619A" w:rsidRDefault="004E7B7E" w:rsidP="006400F0">
            <w:pPr>
              <w:widowControl/>
              <w:jc w:val="right"/>
              <w:rPr>
                <w:rFonts w:hAnsi="標楷體" w:cs="Tahoma"/>
                <w:b/>
                <w:color w:val="000000" w:themeColor="text1"/>
                <w:kern w:val="0"/>
                <w:sz w:val="15"/>
                <w:szCs w:val="15"/>
              </w:rPr>
            </w:pPr>
            <w:r w:rsidRPr="008B619A">
              <w:rPr>
                <w:rFonts w:hAnsi="標楷體" w:cs="Tahoma" w:hint="eastAsia"/>
                <w:b/>
                <w:color w:val="000000" w:themeColor="text1"/>
                <w:kern w:val="0"/>
                <w:sz w:val="15"/>
                <w:szCs w:val="15"/>
              </w:rPr>
              <w:t>100.0</w:t>
            </w:r>
          </w:p>
        </w:tc>
        <w:tc>
          <w:tcPr>
            <w:tcW w:w="223" w:type="pct"/>
            <w:tcBorders>
              <w:top w:val="nil"/>
              <w:left w:val="nil"/>
              <w:bottom w:val="nil"/>
              <w:right w:val="nil"/>
            </w:tcBorders>
            <w:shd w:val="clear" w:color="auto" w:fill="auto"/>
            <w:noWrap/>
            <w:vAlign w:val="center"/>
            <w:hideMark/>
          </w:tcPr>
          <w:p w14:paraId="56AFCDE4" w14:textId="77777777" w:rsidR="004E7B7E" w:rsidRPr="008B619A" w:rsidRDefault="004E7B7E" w:rsidP="006400F0">
            <w:pPr>
              <w:widowControl/>
              <w:jc w:val="right"/>
              <w:rPr>
                <w:rFonts w:hAnsi="標楷體" w:cs="Tahoma"/>
                <w:b/>
                <w:color w:val="000000" w:themeColor="text1"/>
                <w:kern w:val="0"/>
                <w:sz w:val="15"/>
                <w:szCs w:val="15"/>
              </w:rPr>
            </w:pPr>
            <w:r w:rsidRPr="008B619A">
              <w:rPr>
                <w:rFonts w:hAnsi="標楷體" w:cs="Tahoma" w:hint="eastAsia"/>
                <w:b/>
                <w:color w:val="000000" w:themeColor="text1"/>
                <w:kern w:val="0"/>
                <w:sz w:val="15"/>
                <w:szCs w:val="15"/>
              </w:rPr>
              <w:t>3,240</w:t>
            </w:r>
          </w:p>
        </w:tc>
        <w:tc>
          <w:tcPr>
            <w:tcW w:w="223" w:type="pct"/>
            <w:tcBorders>
              <w:top w:val="nil"/>
              <w:left w:val="nil"/>
              <w:bottom w:val="nil"/>
              <w:right w:val="nil"/>
            </w:tcBorders>
            <w:shd w:val="clear" w:color="000000" w:fill="E7E6E6"/>
            <w:noWrap/>
            <w:vAlign w:val="center"/>
            <w:hideMark/>
          </w:tcPr>
          <w:p w14:paraId="317A822A" w14:textId="77777777" w:rsidR="004E7B7E" w:rsidRPr="008B619A" w:rsidRDefault="004E7B7E" w:rsidP="006400F0">
            <w:pPr>
              <w:widowControl/>
              <w:jc w:val="right"/>
              <w:rPr>
                <w:rFonts w:hAnsi="標楷體" w:cs="Tahoma"/>
                <w:b/>
                <w:color w:val="000000" w:themeColor="text1"/>
                <w:kern w:val="0"/>
                <w:sz w:val="15"/>
                <w:szCs w:val="15"/>
              </w:rPr>
            </w:pPr>
            <w:r w:rsidRPr="008B619A">
              <w:rPr>
                <w:rFonts w:hAnsi="標楷體" w:cs="Tahoma" w:hint="eastAsia"/>
                <w:b/>
                <w:color w:val="000000" w:themeColor="text1"/>
                <w:kern w:val="0"/>
                <w:sz w:val="15"/>
                <w:szCs w:val="15"/>
              </w:rPr>
              <w:t>100.0</w:t>
            </w:r>
          </w:p>
        </w:tc>
        <w:tc>
          <w:tcPr>
            <w:tcW w:w="223" w:type="pct"/>
            <w:tcBorders>
              <w:top w:val="nil"/>
              <w:left w:val="nil"/>
              <w:bottom w:val="nil"/>
              <w:right w:val="nil"/>
            </w:tcBorders>
            <w:shd w:val="clear" w:color="auto" w:fill="auto"/>
            <w:noWrap/>
            <w:vAlign w:val="center"/>
            <w:hideMark/>
          </w:tcPr>
          <w:p w14:paraId="43E05309" w14:textId="77777777" w:rsidR="004E7B7E" w:rsidRPr="008B619A" w:rsidRDefault="004E7B7E" w:rsidP="006400F0">
            <w:pPr>
              <w:widowControl/>
              <w:jc w:val="right"/>
              <w:rPr>
                <w:rFonts w:hAnsi="標楷體" w:cs="Tahoma"/>
                <w:b/>
                <w:color w:val="000000" w:themeColor="text1"/>
                <w:kern w:val="0"/>
                <w:sz w:val="15"/>
                <w:szCs w:val="15"/>
              </w:rPr>
            </w:pPr>
            <w:r w:rsidRPr="008B619A">
              <w:rPr>
                <w:rFonts w:hAnsi="標楷體" w:cs="Tahoma" w:hint="eastAsia"/>
                <w:b/>
                <w:color w:val="000000" w:themeColor="text1"/>
                <w:kern w:val="0"/>
                <w:sz w:val="15"/>
                <w:szCs w:val="15"/>
              </w:rPr>
              <w:t>3,538</w:t>
            </w:r>
          </w:p>
        </w:tc>
        <w:tc>
          <w:tcPr>
            <w:tcW w:w="223" w:type="pct"/>
            <w:tcBorders>
              <w:top w:val="nil"/>
              <w:left w:val="nil"/>
              <w:bottom w:val="nil"/>
              <w:right w:val="nil"/>
            </w:tcBorders>
            <w:shd w:val="clear" w:color="000000" w:fill="E7E6E6"/>
            <w:noWrap/>
            <w:vAlign w:val="center"/>
            <w:hideMark/>
          </w:tcPr>
          <w:p w14:paraId="0FDE4894" w14:textId="77777777" w:rsidR="004E7B7E" w:rsidRPr="008B619A" w:rsidRDefault="004E7B7E" w:rsidP="006400F0">
            <w:pPr>
              <w:widowControl/>
              <w:jc w:val="right"/>
              <w:rPr>
                <w:rFonts w:hAnsi="標楷體" w:cs="Tahoma"/>
                <w:b/>
                <w:color w:val="000000" w:themeColor="text1"/>
                <w:kern w:val="0"/>
                <w:sz w:val="15"/>
                <w:szCs w:val="15"/>
              </w:rPr>
            </w:pPr>
            <w:r w:rsidRPr="008B619A">
              <w:rPr>
                <w:rFonts w:hAnsi="標楷體" w:cs="Tahoma" w:hint="eastAsia"/>
                <w:b/>
                <w:color w:val="000000" w:themeColor="text1"/>
                <w:kern w:val="0"/>
                <w:sz w:val="15"/>
                <w:szCs w:val="15"/>
              </w:rPr>
              <w:t>100.0</w:t>
            </w:r>
          </w:p>
        </w:tc>
        <w:tc>
          <w:tcPr>
            <w:tcW w:w="223" w:type="pct"/>
            <w:tcBorders>
              <w:top w:val="nil"/>
              <w:left w:val="nil"/>
              <w:bottom w:val="nil"/>
              <w:right w:val="nil"/>
            </w:tcBorders>
            <w:shd w:val="clear" w:color="auto" w:fill="auto"/>
            <w:noWrap/>
            <w:vAlign w:val="center"/>
            <w:hideMark/>
          </w:tcPr>
          <w:p w14:paraId="5D93141B" w14:textId="77777777" w:rsidR="004E7B7E" w:rsidRPr="008B619A" w:rsidRDefault="004E7B7E" w:rsidP="006400F0">
            <w:pPr>
              <w:widowControl/>
              <w:jc w:val="right"/>
              <w:rPr>
                <w:rFonts w:hAnsi="標楷體" w:cs="Tahoma"/>
                <w:b/>
                <w:color w:val="000000" w:themeColor="text1"/>
                <w:kern w:val="0"/>
                <w:sz w:val="15"/>
                <w:szCs w:val="15"/>
              </w:rPr>
            </w:pPr>
            <w:r w:rsidRPr="008B619A">
              <w:rPr>
                <w:rFonts w:hAnsi="標楷體" w:cs="Tahoma" w:hint="eastAsia"/>
                <w:b/>
                <w:color w:val="000000" w:themeColor="text1"/>
                <w:kern w:val="0"/>
                <w:sz w:val="15"/>
                <w:szCs w:val="15"/>
              </w:rPr>
              <w:t>3,364</w:t>
            </w:r>
          </w:p>
        </w:tc>
        <w:tc>
          <w:tcPr>
            <w:tcW w:w="223" w:type="pct"/>
            <w:tcBorders>
              <w:top w:val="nil"/>
              <w:left w:val="nil"/>
              <w:bottom w:val="nil"/>
              <w:right w:val="nil"/>
            </w:tcBorders>
            <w:shd w:val="clear" w:color="000000" w:fill="E7E6E6"/>
            <w:noWrap/>
            <w:vAlign w:val="center"/>
            <w:hideMark/>
          </w:tcPr>
          <w:p w14:paraId="6E772E71" w14:textId="77777777" w:rsidR="004E7B7E" w:rsidRPr="008B619A" w:rsidRDefault="004E7B7E" w:rsidP="006400F0">
            <w:pPr>
              <w:widowControl/>
              <w:jc w:val="right"/>
              <w:rPr>
                <w:rFonts w:hAnsi="標楷體" w:cs="Tahoma"/>
                <w:b/>
                <w:color w:val="000000" w:themeColor="text1"/>
                <w:kern w:val="0"/>
                <w:sz w:val="15"/>
                <w:szCs w:val="15"/>
              </w:rPr>
            </w:pPr>
            <w:r w:rsidRPr="008B619A">
              <w:rPr>
                <w:rFonts w:hAnsi="標楷體" w:cs="Tahoma" w:hint="eastAsia"/>
                <w:b/>
                <w:color w:val="000000" w:themeColor="text1"/>
                <w:kern w:val="0"/>
                <w:sz w:val="15"/>
                <w:szCs w:val="15"/>
              </w:rPr>
              <w:t>100.0</w:t>
            </w:r>
          </w:p>
        </w:tc>
        <w:tc>
          <w:tcPr>
            <w:tcW w:w="223" w:type="pct"/>
            <w:tcBorders>
              <w:top w:val="nil"/>
              <w:left w:val="nil"/>
              <w:bottom w:val="nil"/>
              <w:right w:val="nil"/>
            </w:tcBorders>
            <w:shd w:val="clear" w:color="auto" w:fill="auto"/>
            <w:noWrap/>
            <w:vAlign w:val="center"/>
            <w:hideMark/>
          </w:tcPr>
          <w:p w14:paraId="6D3D8EB2" w14:textId="77777777" w:rsidR="004E7B7E" w:rsidRPr="008B619A" w:rsidRDefault="004E7B7E" w:rsidP="006400F0">
            <w:pPr>
              <w:widowControl/>
              <w:jc w:val="right"/>
              <w:rPr>
                <w:rFonts w:hAnsi="標楷體" w:cs="Tahoma"/>
                <w:b/>
                <w:color w:val="000000" w:themeColor="text1"/>
                <w:kern w:val="0"/>
                <w:sz w:val="15"/>
                <w:szCs w:val="15"/>
              </w:rPr>
            </w:pPr>
            <w:r w:rsidRPr="008B619A">
              <w:rPr>
                <w:rFonts w:hAnsi="標楷體" w:cs="Tahoma" w:hint="eastAsia"/>
                <w:b/>
                <w:color w:val="000000" w:themeColor="text1"/>
                <w:kern w:val="0"/>
                <w:sz w:val="15"/>
                <w:szCs w:val="15"/>
              </w:rPr>
              <w:t>3,278</w:t>
            </w:r>
          </w:p>
        </w:tc>
        <w:tc>
          <w:tcPr>
            <w:tcW w:w="223" w:type="pct"/>
            <w:tcBorders>
              <w:top w:val="nil"/>
              <w:left w:val="nil"/>
              <w:bottom w:val="nil"/>
              <w:right w:val="nil"/>
            </w:tcBorders>
            <w:shd w:val="clear" w:color="000000" w:fill="E7E6E6"/>
            <w:noWrap/>
            <w:vAlign w:val="center"/>
            <w:hideMark/>
          </w:tcPr>
          <w:p w14:paraId="6D98475C" w14:textId="77777777" w:rsidR="004E7B7E" w:rsidRPr="008B619A" w:rsidRDefault="004E7B7E" w:rsidP="006400F0">
            <w:pPr>
              <w:widowControl/>
              <w:jc w:val="right"/>
              <w:rPr>
                <w:rFonts w:hAnsi="標楷體" w:cs="Tahoma"/>
                <w:b/>
                <w:color w:val="000000" w:themeColor="text1"/>
                <w:kern w:val="0"/>
                <w:sz w:val="15"/>
                <w:szCs w:val="15"/>
              </w:rPr>
            </w:pPr>
            <w:r w:rsidRPr="008B619A">
              <w:rPr>
                <w:rFonts w:hAnsi="標楷體" w:cs="Tahoma" w:hint="eastAsia"/>
                <w:b/>
                <w:color w:val="000000" w:themeColor="text1"/>
                <w:kern w:val="0"/>
                <w:sz w:val="15"/>
                <w:szCs w:val="15"/>
              </w:rPr>
              <w:t>100.0</w:t>
            </w:r>
          </w:p>
        </w:tc>
        <w:tc>
          <w:tcPr>
            <w:tcW w:w="223" w:type="pct"/>
            <w:tcBorders>
              <w:top w:val="nil"/>
              <w:left w:val="nil"/>
              <w:bottom w:val="nil"/>
              <w:right w:val="nil"/>
            </w:tcBorders>
            <w:shd w:val="clear" w:color="auto" w:fill="auto"/>
            <w:noWrap/>
            <w:vAlign w:val="center"/>
            <w:hideMark/>
          </w:tcPr>
          <w:p w14:paraId="05F688A4" w14:textId="77777777" w:rsidR="004E7B7E" w:rsidRPr="008B619A" w:rsidRDefault="004E7B7E" w:rsidP="006400F0">
            <w:pPr>
              <w:widowControl/>
              <w:jc w:val="right"/>
              <w:rPr>
                <w:rFonts w:hAnsi="標楷體" w:cs="Tahoma"/>
                <w:b/>
                <w:color w:val="000000" w:themeColor="text1"/>
                <w:kern w:val="0"/>
                <w:sz w:val="15"/>
                <w:szCs w:val="15"/>
              </w:rPr>
            </w:pPr>
            <w:r w:rsidRPr="008B619A">
              <w:rPr>
                <w:rFonts w:hAnsi="標楷體" w:cs="Tahoma" w:hint="eastAsia"/>
                <w:b/>
                <w:color w:val="000000" w:themeColor="text1"/>
                <w:kern w:val="0"/>
                <w:sz w:val="15"/>
                <w:szCs w:val="15"/>
              </w:rPr>
              <w:t>2,898</w:t>
            </w:r>
          </w:p>
        </w:tc>
        <w:tc>
          <w:tcPr>
            <w:tcW w:w="223" w:type="pct"/>
            <w:tcBorders>
              <w:top w:val="nil"/>
              <w:left w:val="nil"/>
              <w:bottom w:val="nil"/>
              <w:right w:val="nil"/>
            </w:tcBorders>
            <w:shd w:val="clear" w:color="000000" w:fill="E7E6E6"/>
            <w:noWrap/>
            <w:vAlign w:val="center"/>
            <w:hideMark/>
          </w:tcPr>
          <w:p w14:paraId="5DE4A490" w14:textId="77777777" w:rsidR="004E7B7E" w:rsidRPr="008B619A" w:rsidRDefault="004E7B7E" w:rsidP="006400F0">
            <w:pPr>
              <w:widowControl/>
              <w:jc w:val="right"/>
              <w:rPr>
                <w:rFonts w:hAnsi="標楷體" w:cs="Tahoma"/>
                <w:b/>
                <w:color w:val="000000" w:themeColor="text1"/>
                <w:kern w:val="0"/>
                <w:sz w:val="15"/>
                <w:szCs w:val="15"/>
              </w:rPr>
            </w:pPr>
            <w:r w:rsidRPr="008B619A">
              <w:rPr>
                <w:rFonts w:hAnsi="標楷體" w:cs="Tahoma" w:hint="eastAsia"/>
                <w:b/>
                <w:color w:val="000000" w:themeColor="text1"/>
                <w:kern w:val="0"/>
                <w:sz w:val="15"/>
                <w:szCs w:val="15"/>
              </w:rPr>
              <w:t>100.0</w:t>
            </w:r>
          </w:p>
        </w:tc>
        <w:tc>
          <w:tcPr>
            <w:tcW w:w="223" w:type="pct"/>
            <w:tcBorders>
              <w:top w:val="nil"/>
              <w:left w:val="nil"/>
              <w:bottom w:val="nil"/>
              <w:right w:val="nil"/>
            </w:tcBorders>
            <w:shd w:val="clear" w:color="auto" w:fill="auto"/>
            <w:noWrap/>
            <w:vAlign w:val="center"/>
            <w:hideMark/>
          </w:tcPr>
          <w:p w14:paraId="278A0FDD" w14:textId="77777777" w:rsidR="004E7B7E" w:rsidRPr="008B619A" w:rsidRDefault="004E7B7E" w:rsidP="006400F0">
            <w:pPr>
              <w:widowControl/>
              <w:jc w:val="right"/>
              <w:rPr>
                <w:rFonts w:hAnsi="標楷體" w:cs="Tahoma"/>
                <w:b/>
                <w:color w:val="000000" w:themeColor="text1"/>
                <w:kern w:val="0"/>
                <w:sz w:val="15"/>
                <w:szCs w:val="15"/>
              </w:rPr>
            </w:pPr>
            <w:r w:rsidRPr="008B619A">
              <w:rPr>
                <w:rFonts w:hAnsi="標楷體" w:cs="Tahoma" w:hint="eastAsia"/>
                <w:b/>
                <w:color w:val="000000" w:themeColor="text1"/>
                <w:kern w:val="0"/>
                <w:sz w:val="15"/>
                <w:szCs w:val="15"/>
              </w:rPr>
              <w:t>2,790</w:t>
            </w:r>
          </w:p>
        </w:tc>
        <w:tc>
          <w:tcPr>
            <w:tcW w:w="223" w:type="pct"/>
            <w:tcBorders>
              <w:top w:val="nil"/>
              <w:left w:val="nil"/>
              <w:bottom w:val="nil"/>
              <w:right w:val="nil"/>
            </w:tcBorders>
            <w:shd w:val="clear" w:color="000000" w:fill="E7E6E6"/>
            <w:noWrap/>
            <w:vAlign w:val="center"/>
            <w:hideMark/>
          </w:tcPr>
          <w:p w14:paraId="768F6C2C" w14:textId="77777777" w:rsidR="004E7B7E" w:rsidRPr="008B619A" w:rsidRDefault="004E7B7E" w:rsidP="006400F0">
            <w:pPr>
              <w:widowControl/>
              <w:jc w:val="right"/>
              <w:rPr>
                <w:rFonts w:hAnsi="標楷體" w:cs="Tahoma"/>
                <w:b/>
                <w:color w:val="000000" w:themeColor="text1"/>
                <w:kern w:val="0"/>
                <w:sz w:val="15"/>
                <w:szCs w:val="15"/>
              </w:rPr>
            </w:pPr>
            <w:r w:rsidRPr="008B619A">
              <w:rPr>
                <w:rFonts w:hAnsi="標楷體" w:cs="Tahoma" w:hint="eastAsia"/>
                <w:b/>
                <w:color w:val="000000" w:themeColor="text1"/>
                <w:kern w:val="0"/>
                <w:sz w:val="15"/>
                <w:szCs w:val="15"/>
              </w:rPr>
              <w:t>100.0</w:t>
            </w:r>
          </w:p>
        </w:tc>
        <w:tc>
          <w:tcPr>
            <w:tcW w:w="223" w:type="pct"/>
            <w:tcBorders>
              <w:top w:val="nil"/>
              <w:left w:val="nil"/>
              <w:bottom w:val="nil"/>
              <w:right w:val="nil"/>
            </w:tcBorders>
            <w:shd w:val="clear" w:color="auto" w:fill="auto"/>
            <w:noWrap/>
            <w:vAlign w:val="center"/>
            <w:hideMark/>
          </w:tcPr>
          <w:p w14:paraId="7735BA7C" w14:textId="77777777" w:rsidR="004E7B7E" w:rsidRPr="008B619A" w:rsidRDefault="004E7B7E" w:rsidP="006400F0">
            <w:pPr>
              <w:widowControl/>
              <w:jc w:val="right"/>
              <w:rPr>
                <w:rFonts w:hAnsi="標楷體" w:cs="Tahoma"/>
                <w:b/>
                <w:color w:val="000000" w:themeColor="text1"/>
                <w:kern w:val="0"/>
                <w:sz w:val="15"/>
                <w:szCs w:val="15"/>
              </w:rPr>
            </w:pPr>
            <w:r w:rsidRPr="008B619A">
              <w:rPr>
                <w:rFonts w:hAnsi="標楷體" w:cs="Tahoma" w:hint="eastAsia"/>
                <w:b/>
                <w:color w:val="000000" w:themeColor="text1"/>
                <w:kern w:val="0"/>
                <w:sz w:val="15"/>
                <w:szCs w:val="15"/>
              </w:rPr>
              <w:t>2,706</w:t>
            </w:r>
          </w:p>
        </w:tc>
        <w:tc>
          <w:tcPr>
            <w:tcW w:w="223" w:type="pct"/>
            <w:tcBorders>
              <w:top w:val="nil"/>
              <w:left w:val="nil"/>
              <w:bottom w:val="nil"/>
              <w:right w:val="nil"/>
            </w:tcBorders>
            <w:shd w:val="clear" w:color="000000" w:fill="E7E6E6"/>
            <w:noWrap/>
            <w:vAlign w:val="center"/>
            <w:hideMark/>
          </w:tcPr>
          <w:p w14:paraId="63401377" w14:textId="77777777" w:rsidR="004E7B7E" w:rsidRPr="008B619A" w:rsidRDefault="004E7B7E" w:rsidP="006400F0">
            <w:pPr>
              <w:widowControl/>
              <w:jc w:val="right"/>
              <w:rPr>
                <w:rFonts w:hAnsi="標楷體" w:cs="Tahoma"/>
                <w:b/>
                <w:color w:val="000000" w:themeColor="text1"/>
                <w:kern w:val="0"/>
                <w:sz w:val="15"/>
                <w:szCs w:val="15"/>
              </w:rPr>
            </w:pPr>
            <w:r w:rsidRPr="008B619A">
              <w:rPr>
                <w:rFonts w:hAnsi="標楷體" w:cs="Tahoma" w:hint="eastAsia"/>
                <w:b/>
                <w:color w:val="000000" w:themeColor="text1"/>
                <w:kern w:val="0"/>
                <w:sz w:val="15"/>
                <w:szCs w:val="15"/>
              </w:rPr>
              <w:t>100.0</w:t>
            </w:r>
          </w:p>
        </w:tc>
        <w:tc>
          <w:tcPr>
            <w:tcW w:w="223" w:type="pct"/>
            <w:tcBorders>
              <w:top w:val="nil"/>
              <w:left w:val="nil"/>
              <w:bottom w:val="nil"/>
              <w:right w:val="nil"/>
            </w:tcBorders>
            <w:shd w:val="clear" w:color="auto" w:fill="auto"/>
            <w:noWrap/>
            <w:vAlign w:val="center"/>
            <w:hideMark/>
          </w:tcPr>
          <w:p w14:paraId="2C37B624" w14:textId="77777777" w:rsidR="004E7B7E" w:rsidRPr="008B619A" w:rsidRDefault="004E7B7E" w:rsidP="006400F0">
            <w:pPr>
              <w:widowControl/>
              <w:jc w:val="right"/>
              <w:rPr>
                <w:rFonts w:hAnsi="標楷體" w:cs="Tahoma"/>
                <w:b/>
                <w:color w:val="000000" w:themeColor="text1"/>
                <w:kern w:val="0"/>
                <w:sz w:val="15"/>
                <w:szCs w:val="15"/>
              </w:rPr>
            </w:pPr>
            <w:r w:rsidRPr="008B619A">
              <w:rPr>
                <w:rFonts w:hAnsi="標楷體" w:cs="Tahoma" w:hint="eastAsia"/>
                <w:b/>
                <w:color w:val="000000" w:themeColor="text1"/>
                <w:kern w:val="0"/>
                <w:sz w:val="15"/>
                <w:szCs w:val="15"/>
              </w:rPr>
              <w:t>2,565</w:t>
            </w:r>
          </w:p>
        </w:tc>
        <w:tc>
          <w:tcPr>
            <w:tcW w:w="280" w:type="pct"/>
            <w:tcBorders>
              <w:top w:val="nil"/>
              <w:left w:val="nil"/>
              <w:bottom w:val="nil"/>
              <w:right w:val="nil"/>
            </w:tcBorders>
            <w:shd w:val="clear" w:color="000000" w:fill="E7E6E6"/>
            <w:noWrap/>
            <w:vAlign w:val="center"/>
            <w:hideMark/>
          </w:tcPr>
          <w:p w14:paraId="70534ADB" w14:textId="77777777" w:rsidR="004E7B7E" w:rsidRPr="008B619A" w:rsidRDefault="004E7B7E" w:rsidP="008055B8">
            <w:pPr>
              <w:widowControl/>
              <w:jc w:val="center"/>
              <w:rPr>
                <w:rFonts w:hAnsi="標楷體" w:cs="Tahoma"/>
                <w:b/>
                <w:color w:val="000000" w:themeColor="text1"/>
                <w:kern w:val="0"/>
                <w:sz w:val="15"/>
                <w:szCs w:val="15"/>
              </w:rPr>
            </w:pPr>
            <w:r w:rsidRPr="008B619A">
              <w:rPr>
                <w:rFonts w:hAnsi="標楷體" w:cs="Tahoma" w:hint="eastAsia"/>
                <w:b/>
                <w:color w:val="000000" w:themeColor="text1"/>
                <w:kern w:val="0"/>
                <w:sz w:val="15"/>
                <w:szCs w:val="15"/>
              </w:rPr>
              <w:t>100.0</w:t>
            </w:r>
          </w:p>
        </w:tc>
      </w:tr>
      <w:tr w:rsidR="004E7B7E" w:rsidRPr="008B619A" w14:paraId="61CBF1FC" w14:textId="77777777" w:rsidTr="006400F0">
        <w:trPr>
          <w:trHeight w:val="330"/>
        </w:trPr>
        <w:tc>
          <w:tcPr>
            <w:tcW w:w="480" w:type="pct"/>
            <w:tcBorders>
              <w:top w:val="nil"/>
              <w:left w:val="nil"/>
              <w:bottom w:val="nil"/>
              <w:right w:val="single" w:sz="4" w:space="0" w:color="auto"/>
            </w:tcBorders>
            <w:shd w:val="clear" w:color="auto" w:fill="auto"/>
            <w:noWrap/>
            <w:vAlign w:val="center"/>
            <w:hideMark/>
          </w:tcPr>
          <w:p w14:paraId="2CED50D0" w14:textId="77777777" w:rsidR="004E7B7E" w:rsidRPr="008B619A" w:rsidRDefault="004E7B7E" w:rsidP="006400F0">
            <w:pPr>
              <w:widowControl/>
              <w:rPr>
                <w:rFonts w:hAnsi="標楷體" w:cs="Tahoma"/>
                <w:color w:val="000000" w:themeColor="text1"/>
                <w:kern w:val="0"/>
                <w:sz w:val="20"/>
              </w:rPr>
            </w:pPr>
            <w:r w:rsidRPr="008B619A">
              <w:rPr>
                <w:rFonts w:hAnsi="標楷體" w:cs="Tahoma" w:hint="eastAsia"/>
                <w:color w:val="000000" w:themeColor="text1"/>
                <w:kern w:val="0"/>
                <w:sz w:val="20"/>
              </w:rPr>
              <w:t>教育</w:t>
            </w:r>
          </w:p>
        </w:tc>
        <w:tc>
          <w:tcPr>
            <w:tcW w:w="223" w:type="pct"/>
            <w:tcBorders>
              <w:top w:val="nil"/>
              <w:left w:val="nil"/>
              <w:bottom w:val="nil"/>
              <w:right w:val="nil"/>
            </w:tcBorders>
            <w:shd w:val="clear" w:color="auto" w:fill="auto"/>
            <w:noWrap/>
            <w:vAlign w:val="center"/>
            <w:hideMark/>
          </w:tcPr>
          <w:p w14:paraId="27420332"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210</w:t>
            </w:r>
          </w:p>
        </w:tc>
        <w:tc>
          <w:tcPr>
            <w:tcW w:w="223" w:type="pct"/>
            <w:tcBorders>
              <w:top w:val="nil"/>
              <w:left w:val="nil"/>
              <w:bottom w:val="nil"/>
              <w:right w:val="nil"/>
            </w:tcBorders>
            <w:shd w:val="clear" w:color="000000" w:fill="E7E6E6"/>
            <w:noWrap/>
            <w:vAlign w:val="center"/>
            <w:hideMark/>
          </w:tcPr>
          <w:p w14:paraId="2A816185"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6.8</w:t>
            </w:r>
          </w:p>
        </w:tc>
        <w:tc>
          <w:tcPr>
            <w:tcW w:w="223" w:type="pct"/>
            <w:tcBorders>
              <w:top w:val="nil"/>
              <w:left w:val="nil"/>
              <w:bottom w:val="nil"/>
              <w:right w:val="nil"/>
            </w:tcBorders>
            <w:shd w:val="clear" w:color="auto" w:fill="auto"/>
            <w:noWrap/>
            <w:vAlign w:val="center"/>
            <w:hideMark/>
          </w:tcPr>
          <w:p w14:paraId="4086E250"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251</w:t>
            </w:r>
          </w:p>
        </w:tc>
        <w:tc>
          <w:tcPr>
            <w:tcW w:w="223" w:type="pct"/>
            <w:tcBorders>
              <w:top w:val="nil"/>
              <w:left w:val="nil"/>
              <w:bottom w:val="nil"/>
              <w:right w:val="nil"/>
            </w:tcBorders>
            <w:shd w:val="clear" w:color="000000" w:fill="E7E6E6"/>
            <w:noWrap/>
            <w:vAlign w:val="center"/>
            <w:hideMark/>
          </w:tcPr>
          <w:p w14:paraId="11A4FD58"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7.8</w:t>
            </w:r>
          </w:p>
        </w:tc>
        <w:tc>
          <w:tcPr>
            <w:tcW w:w="223" w:type="pct"/>
            <w:tcBorders>
              <w:top w:val="nil"/>
              <w:left w:val="nil"/>
              <w:bottom w:val="nil"/>
              <w:right w:val="nil"/>
            </w:tcBorders>
            <w:shd w:val="clear" w:color="auto" w:fill="auto"/>
            <w:noWrap/>
            <w:vAlign w:val="center"/>
            <w:hideMark/>
          </w:tcPr>
          <w:p w14:paraId="0197CA20"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262</w:t>
            </w:r>
          </w:p>
        </w:tc>
        <w:tc>
          <w:tcPr>
            <w:tcW w:w="223" w:type="pct"/>
            <w:tcBorders>
              <w:top w:val="nil"/>
              <w:left w:val="nil"/>
              <w:bottom w:val="nil"/>
              <w:right w:val="nil"/>
            </w:tcBorders>
            <w:shd w:val="clear" w:color="000000" w:fill="E7E6E6"/>
            <w:noWrap/>
            <w:vAlign w:val="center"/>
            <w:hideMark/>
          </w:tcPr>
          <w:p w14:paraId="3731E719"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8.1</w:t>
            </w:r>
          </w:p>
        </w:tc>
        <w:tc>
          <w:tcPr>
            <w:tcW w:w="223" w:type="pct"/>
            <w:tcBorders>
              <w:top w:val="nil"/>
              <w:left w:val="nil"/>
              <w:bottom w:val="nil"/>
              <w:right w:val="nil"/>
            </w:tcBorders>
            <w:shd w:val="clear" w:color="auto" w:fill="auto"/>
            <w:noWrap/>
            <w:vAlign w:val="center"/>
            <w:hideMark/>
          </w:tcPr>
          <w:p w14:paraId="107B69C7"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304</w:t>
            </w:r>
          </w:p>
        </w:tc>
        <w:tc>
          <w:tcPr>
            <w:tcW w:w="223" w:type="pct"/>
            <w:tcBorders>
              <w:top w:val="nil"/>
              <w:left w:val="nil"/>
              <w:bottom w:val="nil"/>
              <w:right w:val="nil"/>
            </w:tcBorders>
            <w:shd w:val="clear" w:color="000000" w:fill="E7E6E6"/>
            <w:noWrap/>
            <w:vAlign w:val="center"/>
            <w:hideMark/>
          </w:tcPr>
          <w:p w14:paraId="69959F01"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8.6</w:t>
            </w:r>
          </w:p>
        </w:tc>
        <w:tc>
          <w:tcPr>
            <w:tcW w:w="223" w:type="pct"/>
            <w:tcBorders>
              <w:top w:val="nil"/>
              <w:left w:val="nil"/>
              <w:bottom w:val="nil"/>
              <w:right w:val="nil"/>
            </w:tcBorders>
            <w:shd w:val="clear" w:color="auto" w:fill="auto"/>
            <w:noWrap/>
            <w:vAlign w:val="center"/>
            <w:hideMark/>
          </w:tcPr>
          <w:p w14:paraId="2C01CD8B"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272</w:t>
            </w:r>
          </w:p>
        </w:tc>
        <w:tc>
          <w:tcPr>
            <w:tcW w:w="223" w:type="pct"/>
            <w:tcBorders>
              <w:top w:val="nil"/>
              <w:left w:val="nil"/>
              <w:bottom w:val="nil"/>
              <w:right w:val="nil"/>
            </w:tcBorders>
            <w:shd w:val="clear" w:color="000000" w:fill="E7E6E6"/>
            <w:noWrap/>
            <w:vAlign w:val="center"/>
            <w:hideMark/>
          </w:tcPr>
          <w:p w14:paraId="5C3721B7"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8.1</w:t>
            </w:r>
          </w:p>
        </w:tc>
        <w:tc>
          <w:tcPr>
            <w:tcW w:w="223" w:type="pct"/>
            <w:tcBorders>
              <w:top w:val="nil"/>
              <w:left w:val="nil"/>
              <w:bottom w:val="nil"/>
              <w:right w:val="nil"/>
            </w:tcBorders>
            <w:shd w:val="clear" w:color="auto" w:fill="auto"/>
            <w:noWrap/>
            <w:vAlign w:val="center"/>
            <w:hideMark/>
          </w:tcPr>
          <w:p w14:paraId="4A15499D"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292</w:t>
            </w:r>
          </w:p>
        </w:tc>
        <w:tc>
          <w:tcPr>
            <w:tcW w:w="223" w:type="pct"/>
            <w:tcBorders>
              <w:top w:val="nil"/>
              <w:left w:val="nil"/>
              <w:bottom w:val="nil"/>
              <w:right w:val="nil"/>
            </w:tcBorders>
            <w:shd w:val="clear" w:color="000000" w:fill="E7E6E6"/>
            <w:noWrap/>
            <w:vAlign w:val="center"/>
            <w:hideMark/>
          </w:tcPr>
          <w:p w14:paraId="2DB5E799"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8.9</w:t>
            </w:r>
          </w:p>
        </w:tc>
        <w:tc>
          <w:tcPr>
            <w:tcW w:w="223" w:type="pct"/>
            <w:tcBorders>
              <w:top w:val="nil"/>
              <w:left w:val="nil"/>
              <w:bottom w:val="nil"/>
              <w:right w:val="nil"/>
            </w:tcBorders>
            <w:shd w:val="clear" w:color="auto" w:fill="auto"/>
            <w:noWrap/>
            <w:vAlign w:val="center"/>
            <w:hideMark/>
          </w:tcPr>
          <w:p w14:paraId="3682B113"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268</w:t>
            </w:r>
          </w:p>
        </w:tc>
        <w:tc>
          <w:tcPr>
            <w:tcW w:w="223" w:type="pct"/>
            <w:tcBorders>
              <w:top w:val="nil"/>
              <w:left w:val="nil"/>
              <w:bottom w:val="nil"/>
              <w:right w:val="nil"/>
            </w:tcBorders>
            <w:shd w:val="clear" w:color="000000" w:fill="E7E6E6"/>
            <w:noWrap/>
            <w:vAlign w:val="center"/>
            <w:hideMark/>
          </w:tcPr>
          <w:p w14:paraId="4ECFED3C"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9.2</w:t>
            </w:r>
          </w:p>
        </w:tc>
        <w:tc>
          <w:tcPr>
            <w:tcW w:w="223" w:type="pct"/>
            <w:tcBorders>
              <w:top w:val="nil"/>
              <w:left w:val="nil"/>
              <w:bottom w:val="nil"/>
              <w:right w:val="nil"/>
            </w:tcBorders>
            <w:shd w:val="clear" w:color="auto" w:fill="auto"/>
            <w:noWrap/>
            <w:vAlign w:val="center"/>
            <w:hideMark/>
          </w:tcPr>
          <w:p w14:paraId="19CCEDA4"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272</w:t>
            </w:r>
          </w:p>
        </w:tc>
        <w:tc>
          <w:tcPr>
            <w:tcW w:w="223" w:type="pct"/>
            <w:tcBorders>
              <w:top w:val="nil"/>
              <w:left w:val="nil"/>
              <w:bottom w:val="nil"/>
              <w:right w:val="nil"/>
            </w:tcBorders>
            <w:shd w:val="clear" w:color="000000" w:fill="E7E6E6"/>
            <w:noWrap/>
            <w:vAlign w:val="center"/>
            <w:hideMark/>
          </w:tcPr>
          <w:p w14:paraId="65C5740F"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9.7</w:t>
            </w:r>
          </w:p>
        </w:tc>
        <w:tc>
          <w:tcPr>
            <w:tcW w:w="223" w:type="pct"/>
            <w:tcBorders>
              <w:top w:val="nil"/>
              <w:left w:val="nil"/>
              <w:bottom w:val="nil"/>
              <w:right w:val="nil"/>
            </w:tcBorders>
            <w:shd w:val="clear" w:color="auto" w:fill="auto"/>
            <w:noWrap/>
            <w:vAlign w:val="center"/>
            <w:hideMark/>
          </w:tcPr>
          <w:p w14:paraId="6302483A"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312</w:t>
            </w:r>
          </w:p>
        </w:tc>
        <w:tc>
          <w:tcPr>
            <w:tcW w:w="223" w:type="pct"/>
            <w:tcBorders>
              <w:top w:val="nil"/>
              <w:left w:val="nil"/>
              <w:bottom w:val="nil"/>
              <w:right w:val="nil"/>
            </w:tcBorders>
            <w:shd w:val="clear" w:color="000000" w:fill="E7E6E6"/>
            <w:noWrap/>
            <w:vAlign w:val="center"/>
            <w:hideMark/>
          </w:tcPr>
          <w:p w14:paraId="6999BEAC"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11.5</w:t>
            </w:r>
          </w:p>
        </w:tc>
        <w:tc>
          <w:tcPr>
            <w:tcW w:w="223" w:type="pct"/>
            <w:tcBorders>
              <w:top w:val="nil"/>
              <w:left w:val="nil"/>
              <w:bottom w:val="nil"/>
              <w:right w:val="nil"/>
            </w:tcBorders>
            <w:shd w:val="clear" w:color="auto" w:fill="auto"/>
            <w:noWrap/>
            <w:vAlign w:val="center"/>
            <w:hideMark/>
          </w:tcPr>
          <w:p w14:paraId="4A34B203"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279</w:t>
            </w:r>
          </w:p>
        </w:tc>
        <w:tc>
          <w:tcPr>
            <w:tcW w:w="280" w:type="pct"/>
            <w:tcBorders>
              <w:top w:val="nil"/>
              <w:left w:val="nil"/>
              <w:bottom w:val="nil"/>
              <w:right w:val="nil"/>
            </w:tcBorders>
            <w:shd w:val="clear" w:color="000000" w:fill="E7E6E6"/>
            <w:noWrap/>
            <w:vAlign w:val="center"/>
            <w:hideMark/>
          </w:tcPr>
          <w:p w14:paraId="629DFBA6" w14:textId="77777777" w:rsidR="004E7B7E" w:rsidRPr="008B619A" w:rsidRDefault="004E7B7E" w:rsidP="008055B8">
            <w:pPr>
              <w:widowControl/>
              <w:jc w:val="center"/>
              <w:rPr>
                <w:rFonts w:hAnsi="標楷體" w:cs="Tahoma"/>
                <w:color w:val="000000" w:themeColor="text1"/>
                <w:kern w:val="0"/>
                <w:sz w:val="15"/>
                <w:szCs w:val="15"/>
              </w:rPr>
            </w:pPr>
            <w:r w:rsidRPr="008B619A">
              <w:rPr>
                <w:rFonts w:hAnsi="標楷體" w:cs="Tahoma" w:hint="eastAsia"/>
                <w:color w:val="000000" w:themeColor="text1"/>
                <w:kern w:val="0"/>
                <w:sz w:val="15"/>
                <w:szCs w:val="15"/>
              </w:rPr>
              <w:t>10.9</w:t>
            </w:r>
          </w:p>
        </w:tc>
      </w:tr>
      <w:tr w:rsidR="004E7B7E" w:rsidRPr="008B619A" w14:paraId="18DD97A4" w14:textId="77777777" w:rsidTr="006400F0">
        <w:trPr>
          <w:trHeight w:val="330"/>
        </w:trPr>
        <w:tc>
          <w:tcPr>
            <w:tcW w:w="480" w:type="pct"/>
            <w:tcBorders>
              <w:top w:val="nil"/>
              <w:left w:val="nil"/>
              <w:bottom w:val="nil"/>
              <w:right w:val="single" w:sz="4" w:space="0" w:color="auto"/>
            </w:tcBorders>
            <w:shd w:val="clear" w:color="auto" w:fill="auto"/>
            <w:noWrap/>
            <w:vAlign w:val="center"/>
            <w:hideMark/>
          </w:tcPr>
          <w:p w14:paraId="680F32DA" w14:textId="77777777" w:rsidR="004E7B7E" w:rsidRPr="008B619A" w:rsidRDefault="004E7B7E" w:rsidP="006400F0">
            <w:pPr>
              <w:widowControl/>
              <w:rPr>
                <w:rFonts w:hAnsi="標楷體" w:cs="Tahoma"/>
                <w:color w:val="000000" w:themeColor="text1"/>
                <w:kern w:val="0"/>
                <w:sz w:val="20"/>
              </w:rPr>
            </w:pPr>
            <w:r w:rsidRPr="008B619A">
              <w:rPr>
                <w:rFonts w:hAnsi="標楷體" w:cs="Tahoma" w:hint="eastAsia"/>
                <w:color w:val="000000" w:themeColor="text1"/>
                <w:kern w:val="0"/>
                <w:sz w:val="20"/>
              </w:rPr>
              <w:t>藝術</w:t>
            </w:r>
          </w:p>
        </w:tc>
        <w:tc>
          <w:tcPr>
            <w:tcW w:w="223" w:type="pct"/>
            <w:tcBorders>
              <w:top w:val="nil"/>
              <w:left w:val="nil"/>
              <w:bottom w:val="nil"/>
              <w:right w:val="nil"/>
            </w:tcBorders>
            <w:shd w:val="clear" w:color="auto" w:fill="auto"/>
            <w:noWrap/>
            <w:vAlign w:val="center"/>
            <w:hideMark/>
          </w:tcPr>
          <w:p w14:paraId="2A1EBB06"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32</w:t>
            </w:r>
          </w:p>
        </w:tc>
        <w:tc>
          <w:tcPr>
            <w:tcW w:w="223" w:type="pct"/>
            <w:tcBorders>
              <w:top w:val="nil"/>
              <w:left w:val="nil"/>
              <w:bottom w:val="nil"/>
              <w:right w:val="nil"/>
            </w:tcBorders>
            <w:shd w:val="clear" w:color="000000" w:fill="E7E6E6"/>
            <w:noWrap/>
            <w:vAlign w:val="center"/>
            <w:hideMark/>
          </w:tcPr>
          <w:p w14:paraId="77F9A93F"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1.0</w:t>
            </w:r>
          </w:p>
        </w:tc>
        <w:tc>
          <w:tcPr>
            <w:tcW w:w="223" w:type="pct"/>
            <w:tcBorders>
              <w:top w:val="nil"/>
              <w:left w:val="nil"/>
              <w:bottom w:val="nil"/>
              <w:right w:val="nil"/>
            </w:tcBorders>
            <w:shd w:val="clear" w:color="auto" w:fill="auto"/>
            <w:noWrap/>
            <w:vAlign w:val="center"/>
            <w:hideMark/>
          </w:tcPr>
          <w:p w14:paraId="3FDECE72"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47</w:t>
            </w:r>
          </w:p>
        </w:tc>
        <w:tc>
          <w:tcPr>
            <w:tcW w:w="223" w:type="pct"/>
            <w:tcBorders>
              <w:top w:val="nil"/>
              <w:left w:val="nil"/>
              <w:bottom w:val="nil"/>
              <w:right w:val="nil"/>
            </w:tcBorders>
            <w:shd w:val="clear" w:color="000000" w:fill="E7E6E6"/>
            <w:noWrap/>
            <w:vAlign w:val="center"/>
            <w:hideMark/>
          </w:tcPr>
          <w:p w14:paraId="61A2CF4B"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1.5</w:t>
            </w:r>
          </w:p>
        </w:tc>
        <w:tc>
          <w:tcPr>
            <w:tcW w:w="223" w:type="pct"/>
            <w:tcBorders>
              <w:top w:val="nil"/>
              <w:left w:val="nil"/>
              <w:bottom w:val="nil"/>
              <w:right w:val="nil"/>
            </w:tcBorders>
            <w:shd w:val="clear" w:color="auto" w:fill="auto"/>
            <w:noWrap/>
            <w:vAlign w:val="center"/>
            <w:hideMark/>
          </w:tcPr>
          <w:p w14:paraId="3DF74EF5"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45</w:t>
            </w:r>
          </w:p>
        </w:tc>
        <w:tc>
          <w:tcPr>
            <w:tcW w:w="223" w:type="pct"/>
            <w:tcBorders>
              <w:top w:val="nil"/>
              <w:left w:val="nil"/>
              <w:bottom w:val="nil"/>
              <w:right w:val="nil"/>
            </w:tcBorders>
            <w:shd w:val="clear" w:color="000000" w:fill="E7E6E6"/>
            <w:noWrap/>
            <w:vAlign w:val="center"/>
            <w:hideMark/>
          </w:tcPr>
          <w:p w14:paraId="539CD742"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1.4</w:t>
            </w:r>
          </w:p>
        </w:tc>
        <w:tc>
          <w:tcPr>
            <w:tcW w:w="223" w:type="pct"/>
            <w:tcBorders>
              <w:top w:val="nil"/>
              <w:left w:val="nil"/>
              <w:bottom w:val="nil"/>
              <w:right w:val="nil"/>
            </w:tcBorders>
            <w:shd w:val="clear" w:color="auto" w:fill="auto"/>
            <w:noWrap/>
            <w:vAlign w:val="center"/>
            <w:hideMark/>
          </w:tcPr>
          <w:p w14:paraId="42FAD90A"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62</w:t>
            </w:r>
          </w:p>
        </w:tc>
        <w:tc>
          <w:tcPr>
            <w:tcW w:w="223" w:type="pct"/>
            <w:tcBorders>
              <w:top w:val="nil"/>
              <w:left w:val="nil"/>
              <w:bottom w:val="nil"/>
              <w:right w:val="nil"/>
            </w:tcBorders>
            <w:shd w:val="clear" w:color="000000" w:fill="E7E6E6"/>
            <w:noWrap/>
            <w:vAlign w:val="center"/>
            <w:hideMark/>
          </w:tcPr>
          <w:p w14:paraId="2C653B36"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1.8</w:t>
            </w:r>
          </w:p>
        </w:tc>
        <w:tc>
          <w:tcPr>
            <w:tcW w:w="223" w:type="pct"/>
            <w:tcBorders>
              <w:top w:val="nil"/>
              <w:left w:val="nil"/>
              <w:bottom w:val="nil"/>
              <w:right w:val="nil"/>
            </w:tcBorders>
            <w:shd w:val="clear" w:color="auto" w:fill="auto"/>
            <w:noWrap/>
            <w:vAlign w:val="center"/>
            <w:hideMark/>
          </w:tcPr>
          <w:p w14:paraId="429D53A5"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64</w:t>
            </w:r>
          </w:p>
        </w:tc>
        <w:tc>
          <w:tcPr>
            <w:tcW w:w="223" w:type="pct"/>
            <w:tcBorders>
              <w:top w:val="nil"/>
              <w:left w:val="nil"/>
              <w:bottom w:val="nil"/>
              <w:right w:val="nil"/>
            </w:tcBorders>
            <w:shd w:val="clear" w:color="000000" w:fill="E7E6E6"/>
            <w:noWrap/>
            <w:vAlign w:val="center"/>
            <w:hideMark/>
          </w:tcPr>
          <w:p w14:paraId="289EB04B"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1.9</w:t>
            </w:r>
          </w:p>
        </w:tc>
        <w:tc>
          <w:tcPr>
            <w:tcW w:w="223" w:type="pct"/>
            <w:tcBorders>
              <w:top w:val="nil"/>
              <w:left w:val="nil"/>
              <w:bottom w:val="nil"/>
              <w:right w:val="nil"/>
            </w:tcBorders>
            <w:shd w:val="clear" w:color="auto" w:fill="auto"/>
            <w:noWrap/>
            <w:vAlign w:val="center"/>
            <w:hideMark/>
          </w:tcPr>
          <w:p w14:paraId="6ADDEE6E"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49</w:t>
            </w:r>
          </w:p>
        </w:tc>
        <w:tc>
          <w:tcPr>
            <w:tcW w:w="223" w:type="pct"/>
            <w:tcBorders>
              <w:top w:val="nil"/>
              <w:left w:val="nil"/>
              <w:bottom w:val="nil"/>
              <w:right w:val="nil"/>
            </w:tcBorders>
            <w:shd w:val="clear" w:color="000000" w:fill="E7E6E6"/>
            <w:noWrap/>
            <w:vAlign w:val="center"/>
            <w:hideMark/>
          </w:tcPr>
          <w:p w14:paraId="5F10F336"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1.5</w:t>
            </w:r>
          </w:p>
        </w:tc>
        <w:tc>
          <w:tcPr>
            <w:tcW w:w="223" w:type="pct"/>
            <w:tcBorders>
              <w:top w:val="nil"/>
              <w:left w:val="nil"/>
              <w:bottom w:val="nil"/>
              <w:right w:val="nil"/>
            </w:tcBorders>
            <w:shd w:val="clear" w:color="auto" w:fill="auto"/>
            <w:noWrap/>
            <w:vAlign w:val="center"/>
            <w:hideMark/>
          </w:tcPr>
          <w:p w14:paraId="284F4532"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81</w:t>
            </w:r>
          </w:p>
        </w:tc>
        <w:tc>
          <w:tcPr>
            <w:tcW w:w="223" w:type="pct"/>
            <w:tcBorders>
              <w:top w:val="nil"/>
              <w:left w:val="nil"/>
              <w:bottom w:val="nil"/>
              <w:right w:val="nil"/>
            </w:tcBorders>
            <w:shd w:val="clear" w:color="000000" w:fill="E7E6E6"/>
            <w:noWrap/>
            <w:vAlign w:val="center"/>
            <w:hideMark/>
          </w:tcPr>
          <w:p w14:paraId="041E5C32"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2.8</w:t>
            </w:r>
          </w:p>
        </w:tc>
        <w:tc>
          <w:tcPr>
            <w:tcW w:w="223" w:type="pct"/>
            <w:tcBorders>
              <w:top w:val="nil"/>
              <w:left w:val="nil"/>
              <w:bottom w:val="nil"/>
              <w:right w:val="nil"/>
            </w:tcBorders>
            <w:shd w:val="clear" w:color="auto" w:fill="auto"/>
            <w:noWrap/>
            <w:vAlign w:val="center"/>
            <w:hideMark/>
          </w:tcPr>
          <w:p w14:paraId="1BC39327"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74</w:t>
            </w:r>
          </w:p>
        </w:tc>
        <w:tc>
          <w:tcPr>
            <w:tcW w:w="223" w:type="pct"/>
            <w:tcBorders>
              <w:top w:val="nil"/>
              <w:left w:val="nil"/>
              <w:bottom w:val="nil"/>
              <w:right w:val="nil"/>
            </w:tcBorders>
            <w:shd w:val="clear" w:color="000000" w:fill="E7E6E6"/>
            <w:noWrap/>
            <w:vAlign w:val="center"/>
            <w:hideMark/>
          </w:tcPr>
          <w:p w14:paraId="38F1005B"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2.7</w:t>
            </w:r>
          </w:p>
        </w:tc>
        <w:tc>
          <w:tcPr>
            <w:tcW w:w="223" w:type="pct"/>
            <w:tcBorders>
              <w:top w:val="nil"/>
              <w:left w:val="nil"/>
              <w:bottom w:val="nil"/>
              <w:right w:val="nil"/>
            </w:tcBorders>
            <w:shd w:val="clear" w:color="auto" w:fill="auto"/>
            <w:noWrap/>
            <w:vAlign w:val="center"/>
            <w:hideMark/>
          </w:tcPr>
          <w:p w14:paraId="10A77DF3"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68</w:t>
            </w:r>
          </w:p>
        </w:tc>
        <w:tc>
          <w:tcPr>
            <w:tcW w:w="223" w:type="pct"/>
            <w:tcBorders>
              <w:top w:val="nil"/>
              <w:left w:val="nil"/>
              <w:bottom w:val="nil"/>
              <w:right w:val="nil"/>
            </w:tcBorders>
            <w:shd w:val="clear" w:color="000000" w:fill="E7E6E6"/>
            <w:noWrap/>
            <w:vAlign w:val="center"/>
            <w:hideMark/>
          </w:tcPr>
          <w:p w14:paraId="0497936B"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2.5</w:t>
            </w:r>
          </w:p>
        </w:tc>
        <w:tc>
          <w:tcPr>
            <w:tcW w:w="223" w:type="pct"/>
            <w:tcBorders>
              <w:top w:val="nil"/>
              <w:left w:val="nil"/>
              <w:bottom w:val="nil"/>
              <w:right w:val="nil"/>
            </w:tcBorders>
            <w:shd w:val="clear" w:color="auto" w:fill="auto"/>
            <w:noWrap/>
            <w:vAlign w:val="center"/>
            <w:hideMark/>
          </w:tcPr>
          <w:p w14:paraId="45FF35EE"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78</w:t>
            </w:r>
          </w:p>
        </w:tc>
        <w:tc>
          <w:tcPr>
            <w:tcW w:w="280" w:type="pct"/>
            <w:tcBorders>
              <w:top w:val="nil"/>
              <w:left w:val="nil"/>
              <w:bottom w:val="nil"/>
              <w:right w:val="nil"/>
            </w:tcBorders>
            <w:shd w:val="clear" w:color="000000" w:fill="E7E6E6"/>
            <w:noWrap/>
            <w:vAlign w:val="center"/>
            <w:hideMark/>
          </w:tcPr>
          <w:p w14:paraId="6AC4BEEE" w14:textId="77777777" w:rsidR="004E7B7E" w:rsidRPr="008B619A" w:rsidRDefault="004E7B7E" w:rsidP="008055B8">
            <w:pPr>
              <w:widowControl/>
              <w:jc w:val="center"/>
              <w:rPr>
                <w:rFonts w:hAnsi="標楷體" w:cs="Tahoma"/>
                <w:color w:val="000000" w:themeColor="text1"/>
                <w:kern w:val="0"/>
                <w:sz w:val="15"/>
                <w:szCs w:val="15"/>
              </w:rPr>
            </w:pPr>
            <w:r w:rsidRPr="008B619A">
              <w:rPr>
                <w:rFonts w:hAnsi="標楷體" w:cs="Tahoma" w:hint="eastAsia"/>
                <w:color w:val="000000" w:themeColor="text1"/>
                <w:kern w:val="0"/>
                <w:sz w:val="15"/>
                <w:szCs w:val="15"/>
              </w:rPr>
              <w:t>3.0</w:t>
            </w:r>
          </w:p>
        </w:tc>
      </w:tr>
      <w:tr w:rsidR="004E7B7E" w:rsidRPr="008B619A" w14:paraId="25C6CA6B" w14:textId="77777777" w:rsidTr="006400F0">
        <w:trPr>
          <w:trHeight w:val="330"/>
        </w:trPr>
        <w:tc>
          <w:tcPr>
            <w:tcW w:w="480" w:type="pct"/>
            <w:tcBorders>
              <w:top w:val="nil"/>
              <w:left w:val="nil"/>
              <w:bottom w:val="nil"/>
              <w:right w:val="single" w:sz="4" w:space="0" w:color="auto"/>
            </w:tcBorders>
            <w:shd w:val="clear" w:color="auto" w:fill="auto"/>
            <w:noWrap/>
            <w:vAlign w:val="center"/>
            <w:hideMark/>
          </w:tcPr>
          <w:p w14:paraId="080F26B4" w14:textId="77777777" w:rsidR="004E7B7E" w:rsidRPr="008B619A" w:rsidRDefault="004E7B7E" w:rsidP="006400F0">
            <w:pPr>
              <w:widowControl/>
              <w:rPr>
                <w:rFonts w:hAnsi="標楷體" w:cs="Tahoma"/>
                <w:color w:val="000000" w:themeColor="text1"/>
                <w:kern w:val="0"/>
                <w:sz w:val="20"/>
              </w:rPr>
            </w:pPr>
            <w:r w:rsidRPr="008B619A">
              <w:rPr>
                <w:rFonts w:hAnsi="標楷體" w:cs="Tahoma" w:hint="eastAsia"/>
                <w:color w:val="000000" w:themeColor="text1"/>
                <w:kern w:val="0"/>
                <w:sz w:val="20"/>
              </w:rPr>
              <w:t>人文</w:t>
            </w:r>
          </w:p>
        </w:tc>
        <w:tc>
          <w:tcPr>
            <w:tcW w:w="223" w:type="pct"/>
            <w:tcBorders>
              <w:top w:val="nil"/>
              <w:left w:val="nil"/>
              <w:bottom w:val="nil"/>
              <w:right w:val="nil"/>
            </w:tcBorders>
            <w:shd w:val="clear" w:color="auto" w:fill="auto"/>
            <w:noWrap/>
            <w:vAlign w:val="center"/>
            <w:hideMark/>
          </w:tcPr>
          <w:p w14:paraId="484C7CBD"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51</w:t>
            </w:r>
          </w:p>
        </w:tc>
        <w:tc>
          <w:tcPr>
            <w:tcW w:w="223" w:type="pct"/>
            <w:tcBorders>
              <w:top w:val="nil"/>
              <w:left w:val="nil"/>
              <w:bottom w:val="nil"/>
              <w:right w:val="nil"/>
            </w:tcBorders>
            <w:shd w:val="clear" w:color="000000" w:fill="E7E6E6"/>
            <w:noWrap/>
            <w:vAlign w:val="center"/>
            <w:hideMark/>
          </w:tcPr>
          <w:p w14:paraId="395A4516"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1.6</w:t>
            </w:r>
          </w:p>
        </w:tc>
        <w:tc>
          <w:tcPr>
            <w:tcW w:w="223" w:type="pct"/>
            <w:tcBorders>
              <w:top w:val="nil"/>
              <w:left w:val="nil"/>
              <w:bottom w:val="nil"/>
              <w:right w:val="nil"/>
            </w:tcBorders>
            <w:shd w:val="clear" w:color="auto" w:fill="auto"/>
            <w:noWrap/>
            <w:vAlign w:val="center"/>
            <w:hideMark/>
          </w:tcPr>
          <w:p w14:paraId="57194272"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49</w:t>
            </w:r>
          </w:p>
        </w:tc>
        <w:tc>
          <w:tcPr>
            <w:tcW w:w="223" w:type="pct"/>
            <w:tcBorders>
              <w:top w:val="nil"/>
              <w:left w:val="nil"/>
              <w:bottom w:val="nil"/>
              <w:right w:val="nil"/>
            </w:tcBorders>
            <w:shd w:val="clear" w:color="000000" w:fill="E7E6E6"/>
            <w:noWrap/>
            <w:vAlign w:val="center"/>
            <w:hideMark/>
          </w:tcPr>
          <w:p w14:paraId="7F16E700"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1.5</w:t>
            </w:r>
          </w:p>
        </w:tc>
        <w:tc>
          <w:tcPr>
            <w:tcW w:w="223" w:type="pct"/>
            <w:tcBorders>
              <w:top w:val="nil"/>
              <w:left w:val="nil"/>
              <w:bottom w:val="nil"/>
              <w:right w:val="nil"/>
            </w:tcBorders>
            <w:shd w:val="clear" w:color="auto" w:fill="auto"/>
            <w:noWrap/>
            <w:vAlign w:val="center"/>
            <w:hideMark/>
          </w:tcPr>
          <w:p w14:paraId="2CA8F82B"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44</w:t>
            </w:r>
          </w:p>
        </w:tc>
        <w:tc>
          <w:tcPr>
            <w:tcW w:w="223" w:type="pct"/>
            <w:tcBorders>
              <w:top w:val="nil"/>
              <w:left w:val="nil"/>
              <w:bottom w:val="nil"/>
              <w:right w:val="nil"/>
            </w:tcBorders>
            <w:shd w:val="clear" w:color="000000" w:fill="E7E6E6"/>
            <w:noWrap/>
            <w:vAlign w:val="center"/>
            <w:hideMark/>
          </w:tcPr>
          <w:p w14:paraId="69454530"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1.4</w:t>
            </w:r>
          </w:p>
        </w:tc>
        <w:tc>
          <w:tcPr>
            <w:tcW w:w="223" w:type="pct"/>
            <w:tcBorders>
              <w:top w:val="nil"/>
              <w:left w:val="nil"/>
              <w:bottom w:val="nil"/>
              <w:right w:val="nil"/>
            </w:tcBorders>
            <w:shd w:val="clear" w:color="auto" w:fill="auto"/>
            <w:noWrap/>
            <w:vAlign w:val="center"/>
            <w:hideMark/>
          </w:tcPr>
          <w:p w14:paraId="217C2BCA"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45</w:t>
            </w:r>
          </w:p>
        </w:tc>
        <w:tc>
          <w:tcPr>
            <w:tcW w:w="223" w:type="pct"/>
            <w:tcBorders>
              <w:top w:val="nil"/>
              <w:left w:val="nil"/>
              <w:bottom w:val="nil"/>
              <w:right w:val="nil"/>
            </w:tcBorders>
            <w:shd w:val="clear" w:color="000000" w:fill="E7E6E6"/>
            <w:noWrap/>
            <w:vAlign w:val="center"/>
            <w:hideMark/>
          </w:tcPr>
          <w:p w14:paraId="33A8A6B2"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1.3</w:t>
            </w:r>
          </w:p>
        </w:tc>
        <w:tc>
          <w:tcPr>
            <w:tcW w:w="223" w:type="pct"/>
            <w:tcBorders>
              <w:top w:val="nil"/>
              <w:left w:val="nil"/>
              <w:bottom w:val="nil"/>
              <w:right w:val="nil"/>
            </w:tcBorders>
            <w:shd w:val="clear" w:color="auto" w:fill="auto"/>
            <w:noWrap/>
            <w:vAlign w:val="center"/>
            <w:hideMark/>
          </w:tcPr>
          <w:p w14:paraId="680FCAFC"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59</w:t>
            </w:r>
          </w:p>
        </w:tc>
        <w:tc>
          <w:tcPr>
            <w:tcW w:w="223" w:type="pct"/>
            <w:tcBorders>
              <w:top w:val="nil"/>
              <w:left w:val="nil"/>
              <w:bottom w:val="nil"/>
              <w:right w:val="nil"/>
            </w:tcBorders>
            <w:shd w:val="clear" w:color="000000" w:fill="E7E6E6"/>
            <w:noWrap/>
            <w:vAlign w:val="center"/>
            <w:hideMark/>
          </w:tcPr>
          <w:p w14:paraId="40EB1AF6"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1.8</w:t>
            </w:r>
          </w:p>
        </w:tc>
        <w:tc>
          <w:tcPr>
            <w:tcW w:w="223" w:type="pct"/>
            <w:tcBorders>
              <w:top w:val="nil"/>
              <w:left w:val="nil"/>
              <w:bottom w:val="nil"/>
              <w:right w:val="nil"/>
            </w:tcBorders>
            <w:shd w:val="clear" w:color="auto" w:fill="auto"/>
            <w:noWrap/>
            <w:vAlign w:val="center"/>
            <w:hideMark/>
          </w:tcPr>
          <w:p w14:paraId="16761B0C"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60</w:t>
            </w:r>
          </w:p>
        </w:tc>
        <w:tc>
          <w:tcPr>
            <w:tcW w:w="223" w:type="pct"/>
            <w:tcBorders>
              <w:top w:val="nil"/>
              <w:left w:val="nil"/>
              <w:bottom w:val="nil"/>
              <w:right w:val="nil"/>
            </w:tcBorders>
            <w:shd w:val="clear" w:color="000000" w:fill="E7E6E6"/>
            <w:noWrap/>
            <w:vAlign w:val="center"/>
            <w:hideMark/>
          </w:tcPr>
          <w:p w14:paraId="4BF8605E"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1.8</w:t>
            </w:r>
          </w:p>
        </w:tc>
        <w:tc>
          <w:tcPr>
            <w:tcW w:w="223" w:type="pct"/>
            <w:tcBorders>
              <w:top w:val="nil"/>
              <w:left w:val="nil"/>
              <w:bottom w:val="nil"/>
              <w:right w:val="nil"/>
            </w:tcBorders>
            <w:shd w:val="clear" w:color="auto" w:fill="auto"/>
            <w:noWrap/>
            <w:vAlign w:val="center"/>
            <w:hideMark/>
          </w:tcPr>
          <w:p w14:paraId="1295DB28"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41</w:t>
            </w:r>
          </w:p>
        </w:tc>
        <w:tc>
          <w:tcPr>
            <w:tcW w:w="223" w:type="pct"/>
            <w:tcBorders>
              <w:top w:val="nil"/>
              <w:left w:val="nil"/>
              <w:bottom w:val="nil"/>
              <w:right w:val="nil"/>
            </w:tcBorders>
            <w:shd w:val="clear" w:color="000000" w:fill="E7E6E6"/>
            <w:noWrap/>
            <w:vAlign w:val="center"/>
            <w:hideMark/>
          </w:tcPr>
          <w:p w14:paraId="1A053B51"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1.4</w:t>
            </w:r>
          </w:p>
        </w:tc>
        <w:tc>
          <w:tcPr>
            <w:tcW w:w="223" w:type="pct"/>
            <w:tcBorders>
              <w:top w:val="nil"/>
              <w:left w:val="nil"/>
              <w:bottom w:val="nil"/>
              <w:right w:val="nil"/>
            </w:tcBorders>
            <w:shd w:val="clear" w:color="auto" w:fill="auto"/>
            <w:noWrap/>
            <w:vAlign w:val="center"/>
            <w:hideMark/>
          </w:tcPr>
          <w:p w14:paraId="55C1453A"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70</w:t>
            </w:r>
          </w:p>
        </w:tc>
        <w:tc>
          <w:tcPr>
            <w:tcW w:w="223" w:type="pct"/>
            <w:tcBorders>
              <w:top w:val="nil"/>
              <w:left w:val="nil"/>
              <w:bottom w:val="nil"/>
              <w:right w:val="nil"/>
            </w:tcBorders>
            <w:shd w:val="clear" w:color="000000" w:fill="E7E6E6"/>
            <w:noWrap/>
            <w:vAlign w:val="center"/>
            <w:hideMark/>
          </w:tcPr>
          <w:p w14:paraId="7289A1C0"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2.5</w:t>
            </w:r>
          </w:p>
        </w:tc>
        <w:tc>
          <w:tcPr>
            <w:tcW w:w="223" w:type="pct"/>
            <w:tcBorders>
              <w:top w:val="nil"/>
              <w:left w:val="nil"/>
              <w:bottom w:val="nil"/>
              <w:right w:val="nil"/>
            </w:tcBorders>
            <w:shd w:val="clear" w:color="auto" w:fill="auto"/>
            <w:noWrap/>
            <w:vAlign w:val="center"/>
            <w:hideMark/>
          </w:tcPr>
          <w:p w14:paraId="250F413B"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45</w:t>
            </w:r>
          </w:p>
        </w:tc>
        <w:tc>
          <w:tcPr>
            <w:tcW w:w="223" w:type="pct"/>
            <w:tcBorders>
              <w:top w:val="nil"/>
              <w:left w:val="nil"/>
              <w:bottom w:val="nil"/>
              <w:right w:val="nil"/>
            </w:tcBorders>
            <w:shd w:val="clear" w:color="000000" w:fill="E7E6E6"/>
            <w:noWrap/>
            <w:vAlign w:val="center"/>
            <w:hideMark/>
          </w:tcPr>
          <w:p w14:paraId="55463F49"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1.7</w:t>
            </w:r>
          </w:p>
        </w:tc>
        <w:tc>
          <w:tcPr>
            <w:tcW w:w="223" w:type="pct"/>
            <w:tcBorders>
              <w:top w:val="nil"/>
              <w:left w:val="nil"/>
              <w:bottom w:val="nil"/>
              <w:right w:val="nil"/>
            </w:tcBorders>
            <w:shd w:val="clear" w:color="auto" w:fill="auto"/>
            <w:noWrap/>
            <w:vAlign w:val="center"/>
            <w:hideMark/>
          </w:tcPr>
          <w:p w14:paraId="02F6BEF9"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56</w:t>
            </w:r>
          </w:p>
        </w:tc>
        <w:tc>
          <w:tcPr>
            <w:tcW w:w="280" w:type="pct"/>
            <w:tcBorders>
              <w:top w:val="nil"/>
              <w:left w:val="nil"/>
              <w:bottom w:val="nil"/>
              <w:right w:val="nil"/>
            </w:tcBorders>
            <w:shd w:val="clear" w:color="000000" w:fill="E7E6E6"/>
            <w:noWrap/>
            <w:vAlign w:val="center"/>
            <w:hideMark/>
          </w:tcPr>
          <w:p w14:paraId="4F08F5B4" w14:textId="77777777" w:rsidR="004E7B7E" w:rsidRPr="008B619A" w:rsidRDefault="004E7B7E" w:rsidP="008055B8">
            <w:pPr>
              <w:widowControl/>
              <w:jc w:val="center"/>
              <w:rPr>
                <w:rFonts w:hAnsi="標楷體" w:cs="Tahoma"/>
                <w:color w:val="000000" w:themeColor="text1"/>
                <w:kern w:val="0"/>
                <w:sz w:val="15"/>
                <w:szCs w:val="15"/>
              </w:rPr>
            </w:pPr>
            <w:r w:rsidRPr="008B619A">
              <w:rPr>
                <w:rFonts w:hAnsi="標楷體" w:cs="Tahoma" w:hint="eastAsia"/>
                <w:color w:val="000000" w:themeColor="text1"/>
                <w:kern w:val="0"/>
                <w:sz w:val="15"/>
                <w:szCs w:val="15"/>
              </w:rPr>
              <w:t>2.2</w:t>
            </w:r>
          </w:p>
        </w:tc>
      </w:tr>
      <w:tr w:rsidR="004E7B7E" w:rsidRPr="008B619A" w14:paraId="4BEC3902" w14:textId="77777777" w:rsidTr="006400F0">
        <w:trPr>
          <w:trHeight w:val="330"/>
        </w:trPr>
        <w:tc>
          <w:tcPr>
            <w:tcW w:w="480" w:type="pct"/>
            <w:tcBorders>
              <w:top w:val="nil"/>
              <w:left w:val="nil"/>
              <w:bottom w:val="nil"/>
              <w:right w:val="single" w:sz="4" w:space="0" w:color="auto"/>
            </w:tcBorders>
            <w:shd w:val="clear" w:color="auto" w:fill="auto"/>
            <w:noWrap/>
            <w:vAlign w:val="center"/>
            <w:hideMark/>
          </w:tcPr>
          <w:p w14:paraId="5650350D" w14:textId="77777777" w:rsidR="004E7B7E" w:rsidRPr="008B619A" w:rsidRDefault="004E7B7E" w:rsidP="006400F0">
            <w:pPr>
              <w:widowControl/>
              <w:rPr>
                <w:rFonts w:hAnsi="標楷體" w:cs="Tahoma"/>
                <w:color w:val="000000" w:themeColor="text1"/>
                <w:kern w:val="0"/>
                <w:sz w:val="20"/>
              </w:rPr>
            </w:pPr>
            <w:r w:rsidRPr="008B619A">
              <w:rPr>
                <w:rFonts w:hAnsi="標楷體" w:cs="Tahoma" w:hint="eastAsia"/>
                <w:color w:val="000000" w:themeColor="text1"/>
                <w:kern w:val="0"/>
                <w:sz w:val="20"/>
              </w:rPr>
              <w:t>語文</w:t>
            </w:r>
          </w:p>
        </w:tc>
        <w:tc>
          <w:tcPr>
            <w:tcW w:w="223" w:type="pct"/>
            <w:tcBorders>
              <w:top w:val="nil"/>
              <w:left w:val="nil"/>
              <w:bottom w:val="nil"/>
              <w:right w:val="nil"/>
            </w:tcBorders>
            <w:shd w:val="clear" w:color="auto" w:fill="auto"/>
            <w:noWrap/>
            <w:vAlign w:val="center"/>
            <w:hideMark/>
          </w:tcPr>
          <w:p w14:paraId="5E1006D1"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135</w:t>
            </w:r>
          </w:p>
        </w:tc>
        <w:tc>
          <w:tcPr>
            <w:tcW w:w="223" w:type="pct"/>
            <w:tcBorders>
              <w:top w:val="nil"/>
              <w:left w:val="nil"/>
              <w:bottom w:val="nil"/>
              <w:right w:val="nil"/>
            </w:tcBorders>
            <w:shd w:val="clear" w:color="000000" w:fill="E7E6E6"/>
            <w:noWrap/>
            <w:vAlign w:val="center"/>
            <w:hideMark/>
          </w:tcPr>
          <w:p w14:paraId="27E26AA0"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4.3</w:t>
            </w:r>
          </w:p>
        </w:tc>
        <w:tc>
          <w:tcPr>
            <w:tcW w:w="223" w:type="pct"/>
            <w:tcBorders>
              <w:top w:val="nil"/>
              <w:left w:val="nil"/>
              <w:bottom w:val="nil"/>
              <w:right w:val="nil"/>
            </w:tcBorders>
            <w:shd w:val="clear" w:color="auto" w:fill="auto"/>
            <w:noWrap/>
            <w:vAlign w:val="center"/>
            <w:hideMark/>
          </w:tcPr>
          <w:p w14:paraId="342148C7"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116</w:t>
            </w:r>
          </w:p>
        </w:tc>
        <w:tc>
          <w:tcPr>
            <w:tcW w:w="223" w:type="pct"/>
            <w:tcBorders>
              <w:top w:val="nil"/>
              <w:left w:val="nil"/>
              <w:bottom w:val="nil"/>
              <w:right w:val="nil"/>
            </w:tcBorders>
            <w:shd w:val="clear" w:color="000000" w:fill="E7E6E6"/>
            <w:noWrap/>
            <w:vAlign w:val="center"/>
            <w:hideMark/>
          </w:tcPr>
          <w:p w14:paraId="7BF1CD29"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3.6</w:t>
            </w:r>
          </w:p>
        </w:tc>
        <w:tc>
          <w:tcPr>
            <w:tcW w:w="223" w:type="pct"/>
            <w:tcBorders>
              <w:top w:val="nil"/>
              <w:left w:val="nil"/>
              <w:bottom w:val="nil"/>
              <w:right w:val="nil"/>
            </w:tcBorders>
            <w:shd w:val="clear" w:color="auto" w:fill="auto"/>
            <w:noWrap/>
            <w:vAlign w:val="center"/>
            <w:hideMark/>
          </w:tcPr>
          <w:p w14:paraId="06589A0E"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112</w:t>
            </w:r>
          </w:p>
        </w:tc>
        <w:tc>
          <w:tcPr>
            <w:tcW w:w="223" w:type="pct"/>
            <w:tcBorders>
              <w:top w:val="nil"/>
              <w:left w:val="nil"/>
              <w:bottom w:val="nil"/>
              <w:right w:val="nil"/>
            </w:tcBorders>
            <w:shd w:val="clear" w:color="000000" w:fill="E7E6E6"/>
            <w:noWrap/>
            <w:vAlign w:val="center"/>
            <w:hideMark/>
          </w:tcPr>
          <w:p w14:paraId="101ABDD1"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3.5</w:t>
            </w:r>
          </w:p>
        </w:tc>
        <w:tc>
          <w:tcPr>
            <w:tcW w:w="223" w:type="pct"/>
            <w:tcBorders>
              <w:top w:val="nil"/>
              <w:left w:val="nil"/>
              <w:bottom w:val="nil"/>
              <w:right w:val="nil"/>
            </w:tcBorders>
            <w:shd w:val="clear" w:color="auto" w:fill="auto"/>
            <w:noWrap/>
            <w:vAlign w:val="center"/>
            <w:hideMark/>
          </w:tcPr>
          <w:p w14:paraId="6CF0AD46"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151</w:t>
            </w:r>
          </w:p>
        </w:tc>
        <w:tc>
          <w:tcPr>
            <w:tcW w:w="223" w:type="pct"/>
            <w:tcBorders>
              <w:top w:val="nil"/>
              <w:left w:val="nil"/>
              <w:bottom w:val="nil"/>
              <w:right w:val="nil"/>
            </w:tcBorders>
            <w:shd w:val="clear" w:color="000000" w:fill="E7E6E6"/>
            <w:noWrap/>
            <w:vAlign w:val="center"/>
            <w:hideMark/>
          </w:tcPr>
          <w:p w14:paraId="68345907"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4.3</w:t>
            </w:r>
          </w:p>
        </w:tc>
        <w:tc>
          <w:tcPr>
            <w:tcW w:w="223" w:type="pct"/>
            <w:tcBorders>
              <w:top w:val="nil"/>
              <w:left w:val="nil"/>
              <w:bottom w:val="nil"/>
              <w:right w:val="nil"/>
            </w:tcBorders>
            <w:shd w:val="clear" w:color="auto" w:fill="auto"/>
            <w:noWrap/>
            <w:vAlign w:val="center"/>
            <w:hideMark/>
          </w:tcPr>
          <w:p w14:paraId="3B485276"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167</w:t>
            </w:r>
          </w:p>
        </w:tc>
        <w:tc>
          <w:tcPr>
            <w:tcW w:w="223" w:type="pct"/>
            <w:tcBorders>
              <w:top w:val="nil"/>
              <w:left w:val="nil"/>
              <w:bottom w:val="nil"/>
              <w:right w:val="nil"/>
            </w:tcBorders>
            <w:shd w:val="clear" w:color="000000" w:fill="E7E6E6"/>
            <w:noWrap/>
            <w:vAlign w:val="center"/>
            <w:hideMark/>
          </w:tcPr>
          <w:p w14:paraId="60904870"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5.0</w:t>
            </w:r>
          </w:p>
        </w:tc>
        <w:tc>
          <w:tcPr>
            <w:tcW w:w="223" w:type="pct"/>
            <w:tcBorders>
              <w:top w:val="nil"/>
              <w:left w:val="nil"/>
              <w:bottom w:val="nil"/>
              <w:right w:val="nil"/>
            </w:tcBorders>
            <w:shd w:val="clear" w:color="auto" w:fill="auto"/>
            <w:noWrap/>
            <w:vAlign w:val="center"/>
            <w:hideMark/>
          </w:tcPr>
          <w:p w14:paraId="1A37ED25"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149</w:t>
            </w:r>
          </w:p>
        </w:tc>
        <w:tc>
          <w:tcPr>
            <w:tcW w:w="223" w:type="pct"/>
            <w:tcBorders>
              <w:top w:val="nil"/>
              <w:left w:val="nil"/>
              <w:bottom w:val="nil"/>
              <w:right w:val="nil"/>
            </w:tcBorders>
            <w:shd w:val="clear" w:color="000000" w:fill="E7E6E6"/>
            <w:noWrap/>
            <w:vAlign w:val="center"/>
            <w:hideMark/>
          </w:tcPr>
          <w:p w14:paraId="6E9172F7"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4.5</w:t>
            </w:r>
          </w:p>
        </w:tc>
        <w:tc>
          <w:tcPr>
            <w:tcW w:w="223" w:type="pct"/>
            <w:tcBorders>
              <w:top w:val="nil"/>
              <w:left w:val="nil"/>
              <w:bottom w:val="nil"/>
              <w:right w:val="nil"/>
            </w:tcBorders>
            <w:shd w:val="clear" w:color="auto" w:fill="auto"/>
            <w:noWrap/>
            <w:vAlign w:val="center"/>
            <w:hideMark/>
          </w:tcPr>
          <w:p w14:paraId="5CF4555B"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118</w:t>
            </w:r>
          </w:p>
        </w:tc>
        <w:tc>
          <w:tcPr>
            <w:tcW w:w="223" w:type="pct"/>
            <w:tcBorders>
              <w:top w:val="nil"/>
              <w:left w:val="nil"/>
              <w:bottom w:val="nil"/>
              <w:right w:val="nil"/>
            </w:tcBorders>
            <w:shd w:val="clear" w:color="000000" w:fill="E7E6E6"/>
            <w:noWrap/>
            <w:vAlign w:val="center"/>
            <w:hideMark/>
          </w:tcPr>
          <w:p w14:paraId="247B65FE"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4.1</w:t>
            </w:r>
          </w:p>
        </w:tc>
        <w:tc>
          <w:tcPr>
            <w:tcW w:w="223" w:type="pct"/>
            <w:tcBorders>
              <w:top w:val="nil"/>
              <w:left w:val="nil"/>
              <w:bottom w:val="nil"/>
              <w:right w:val="nil"/>
            </w:tcBorders>
            <w:shd w:val="clear" w:color="auto" w:fill="auto"/>
            <w:noWrap/>
            <w:vAlign w:val="center"/>
            <w:hideMark/>
          </w:tcPr>
          <w:p w14:paraId="2D048443"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154</w:t>
            </w:r>
          </w:p>
        </w:tc>
        <w:tc>
          <w:tcPr>
            <w:tcW w:w="223" w:type="pct"/>
            <w:tcBorders>
              <w:top w:val="nil"/>
              <w:left w:val="nil"/>
              <w:bottom w:val="nil"/>
              <w:right w:val="nil"/>
            </w:tcBorders>
            <w:shd w:val="clear" w:color="000000" w:fill="E7E6E6"/>
            <w:noWrap/>
            <w:vAlign w:val="center"/>
            <w:hideMark/>
          </w:tcPr>
          <w:p w14:paraId="2152C0A7"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5.5</w:t>
            </w:r>
          </w:p>
        </w:tc>
        <w:tc>
          <w:tcPr>
            <w:tcW w:w="223" w:type="pct"/>
            <w:tcBorders>
              <w:top w:val="nil"/>
              <w:left w:val="nil"/>
              <w:bottom w:val="nil"/>
              <w:right w:val="nil"/>
            </w:tcBorders>
            <w:shd w:val="clear" w:color="auto" w:fill="auto"/>
            <w:noWrap/>
            <w:vAlign w:val="center"/>
            <w:hideMark/>
          </w:tcPr>
          <w:p w14:paraId="7EB596FD"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118</w:t>
            </w:r>
          </w:p>
        </w:tc>
        <w:tc>
          <w:tcPr>
            <w:tcW w:w="223" w:type="pct"/>
            <w:tcBorders>
              <w:top w:val="nil"/>
              <w:left w:val="nil"/>
              <w:bottom w:val="nil"/>
              <w:right w:val="nil"/>
            </w:tcBorders>
            <w:shd w:val="clear" w:color="000000" w:fill="E7E6E6"/>
            <w:noWrap/>
            <w:vAlign w:val="center"/>
            <w:hideMark/>
          </w:tcPr>
          <w:p w14:paraId="176E5D53"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4.4</w:t>
            </w:r>
          </w:p>
        </w:tc>
        <w:tc>
          <w:tcPr>
            <w:tcW w:w="223" w:type="pct"/>
            <w:tcBorders>
              <w:top w:val="nil"/>
              <w:left w:val="nil"/>
              <w:bottom w:val="nil"/>
              <w:right w:val="nil"/>
            </w:tcBorders>
            <w:shd w:val="clear" w:color="auto" w:fill="auto"/>
            <w:noWrap/>
            <w:vAlign w:val="center"/>
            <w:hideMark/>
          </w:tcPr>
          <w:p w14:paraId="7FFF04E7"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111</w:t>
            </w:r>
          </w:p>
        </w:tc>
        <w:tc>
          <w:tcPr>
            <w:tcW w:w="280" w:type="pct"/>
            <w:tcBorders>
              <w:top w:val="nil"/>
              <w:left w:val="nil"/>
              <w:bottom w:val="nil"/>
              <w:right w:val="nil"/>
            </w:tcBorders>
            <w:shd w:val="clear" w:color="000000" w:fill="E7E6E6"/>
            <w:noWrap/>
            <w:vAlign w:val="center"/>
            <w:hideMark/>
          </w:tcPr>
          <w:p w14:paraId="756C0441" w14:textId="77777777" w:rsidR="004E7B7E" w:rsidRPr="008B619A" w:rsidRDefault="004E7B7E" w:rsidP="008055B8">
            <w:pPr>
              <w:widowControl/>
              <w:jc w:val="center"/>
              <w:rPr>
                <w:rFonts w:hAnsi="標楷體" w:cs="Tahoma"/>
                <w:color w:val="000000" w:themeColor="text1"/>
                <w:kern w:val="0"/>
                <w:sz w:val="15"/>
                <w:szCs w:val="15"/>
              </w:rPr>
            </w:pPr>
            <w:r w:rsidRPr="008B619A">
              <w:rPr>
                <w:rFonts w:hAnsi="標楷體" w:cs="Tahoma" w:hint="eastAsia"/>
                <w:color w:val="000000" w:themeColor="text1"/>
                <w:kern w:val="0"/>
                <w:sz w:val="15"/>
                <w:szCs w:val="15"/>
              </w:rPr>
              <w:t>4.3</w:t>
            </w:r>
          </w:p>
        </w:tc>
      </w:tr>
      <w:tr w:rsidR="004E7B7E" w:rsidRPr="008B619A" w14:paraId="62C86071" w14:textId="77777777" w:rsidTr="006400F0">
        <w:trPr>
          <w:trHeight w:val="330"/>
        </w:trPr>
        <w:tc>
          <w:tcPr>
            <w:tcW w:w="480" w:type="pct"/>
            <w:tcBorders>
              <w:top w:val="nil"/>
              <w:left w:val="nil"/>
              <w:bottom w:val="nil"/>
              <w:right w:val="single" w:sz="4" w:space="0" w:color="auto"/>
            </w:tcBorders>
            <w:shd w:val="clear" w:color="auto" w:fill="auto"/>
            <w:noWrap/>
            <w:vAlign w:val="center"/>
            <w:hideMark/>
          </w:tcPr>
          <w:p w14:paraId="4053E442" w14:textId="77777777" w:rsidR="004E7B7E" w:rsidRPr="008B619A" w:rsidRDefault="004E7B7E" w:rsidP="006400F0">
            <w:pPr>
              <w:widowControl/>
              <w:rPr>
                <w:rFonts w:hAnsi="標楷體" w:cs="Tahoma"/>
                <w:color w:val="000000" w:themeColor="text1"/>
                <w:kern w:val="0"/>
                <w:sz w:val="20"/>
              </w:rPr>
            </w:pPr>
            <w:r w:rsidRPr="008B619A">
              <w:rPr>
                <w:rFonts w:hAnsi="標楷體" w:cs="Tahoma" w:hint="eastAsia"/>
                <w:color w:val="000000" w:themeColor="text1"/>
                <w:kern w:val="0"/>
                <w:sz w:val="20"/>
              </w:rPr>
              <w:t>社會及行為科學</w:t>
            </w:r>
          </w:p>
        </w:tc>
        <w:tc>
          <w:tcPr>
            <w:tcW w:w="223" w:type="pct"/>
            <w:tcBorders>
              <w:top w:val="nil"/>
              <w:left w:val="nil"/>
              <w:bottom w:val="nil"/>
              <w:right w:val="nil"/>
            </w:tcBorders>
            <w:shd w:val="clear" w:color="auto" w:fill="auto"/>
            <w:noWrap/>
            <w:vAlign w:val="center"/>
            <w:hideMark/>
          </w:tcPr>
          <w:p w14:paraId="6D688C58"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122</w:t>
            </w:r>
          </w:p>
        </w:tc>
        <w:tc>
          <w:tcPr>
            <w:tcW w:w="223" w:type="pct"/>
            <w:tcBorders>
              <w:top w:val="nil"/>
              <w:left w:val="nil"/>
              <w:bottom w:val="nil"/>
              <w:right w:val="nil"/>
            </w:tcBorders>
            <w:shd w:val="clear" w:color="000000" w:fill="E7E6E6"/>
            <w:noWrap/>
            <w:vAlign w:val="center"/>
            <w:hideMark/>
          </w:tcPr>
          <w:p w14:paraId="5EDCFA09"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3.9</w:t>
            </w:r>
          </w:p>
        </w:tc>
        <w:tc>
          <w:tcPr>
            <w:tcW w:w="223" w:type="pct"/>
            <w:tcBorders>
              <w:top w:val="nil"/>
              <w:left w:val="nil"/>
              <w:bottom w:val="nil"/>
              <w:right w:val="nil"/>
            </w:tcBorders>
            <w:shd w:val="clear" w:color="auto" w:fill="auto"/>
            <w:noWrap/>
            <w:vAlign w:val="center"/>
            <w:hideMark/>
          </w:tcPr>
          <w:p w14:paraId="5E712507"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106</w:t>
            </w:r>
          </w:p>
        </w:tc>
        <w:tc>
          <w:tcPr>
            <w:tcW w:w="223" w:type="pct"/>
            <w:tcBorders>
              <w:top w:val="nil"/>
              <w:left w:val="nil"/>
              <w:bottom w:val="nil"/>
              <w:right w:val="nil"/>
            </w:tcBorders>
            <w:shd w:val="clear" w:color="000000" w:fill="E7E6E6"/>
            <w:noWrap/>
            <w:vAlign w:val="center"/>
            <w:hideMark/>
          </w:tcPr>
          <w:p w14:paraId="35A65DC0"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3.3</w:t>
            </w:r>
          </w:p>
        </w:tc>
        <w:tc>
          <w:tcPr>
            <w:tcW w:w="223" w:type="pct"/>
            <w:tcBorders>
              <w:top w:val="nil"/>
              <w:left w:val="nil"/>
              <w:bottom w:val="nil"/>
              <w:right w:val="nil"/>
            </w:tcBorders>
            <w:shd w:val="clear" w:color="auto" w:fill="auto"/>
            <w:noWrap/>
            <w:vAlign w:val="center"/>
            <w:hideMark/>
          </w:tcPr>
          <w:p w14:paraId="4A677148"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119</w:t>
            </w:r>
          </w:p>
        </w:tc>
        <w:tc>
          <w:tcPr>
            <w:tcW w:w="223" w:type="pct"/>
            <w:tcBorders>
              <w:top w:val="nil"/>
              <w:left w:val="nil"/>
              <w:bottom w:val="nil"/>
              <w:right w:val="nil"/>
            </w:tcBorders>
            <w:shd w:val="clear" w:color="000000" w:fill="E7E6E6"/>
            <w:noWrap/>
            <w:vAlign w:val="center"/>
            <w:hideMark/>
          </w:tcPr>
          <w:p w14:paraId="7D71AB86"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3.7</w:t>
            </w:r>
          </w:p>
        </w:tc>
        <w:tc>
          <w:tcPr>
            <w:tcW w:w="223" w:type="pct"/>
            <w:tcBorders>
              <w:top w:val="nil"/>
              <w:left w:val="nil"/>
              <w:bottom w:val="nil"/>
              <w:right w:val="nil"/>
            </w:tcBorders>
            <w:shd w:val="clear" w:color="auto" w:fill="auto"/>
            <w:noWrap/>
            <w:vAlign w:val="center"/>
            <w:hideMark/>
          </w:tcPr>
          <w:p w14:paraId="0CCE21C1"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128</w:t>
            </w:r>
          </w:p>
        </w:tc>
        <w:tc>
          <w:tcPr>
            <w:tcW w:w="223" w:type="pct"/>
            <w:tcBorders>
              <w:top w:val="nil"/>
              <w:left w:val="nil"/>
              <w:bottom w:val="nil"/>
              <w:right w:val="nil"/>
            </w:tcBorders>
            <w:shd w:val="clear" w:color="000000" w:fill="E7E6E6"/>
            <w:noWrap/>
            <w:vAlign w:val="center"/>
            <w:hideMark/>
          </w:tcPr>
          <w:p w14:paraId="5AF19625"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3.6</w:t>
            </w:r>
          </w:p>
        </w:tc>
        <w:tc>
          <w:tcPr>
            <w:tcW w:w="223" w:type="pct"/>
            <w:tcBorders>
              <w:top w:val="nil"/>
              <w:left w:val="nil"/>
              <w:bottom w:val="nil"/>
              <w:right w:val="nil"/>
            </w:tcBorders>
            <w:shd w:val="clear" w:color="auto" w:fill="auto"/>
            <w:noWrap/>
            <w:vAlign w:val="center"/>
            <w:hideMark/>
          </w:tcPr>
          <w:p w14:paraId="0119E9A7"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140</w:t>
            </w:r>
          </w:p>
        </w:tc>
        <w:tc>
          <w:tcPr>
            <w:tcW w:w="223" w:type="pct"/>
            <w:tcBorders>
              <w:top w:val="nil"/>
              <w:left w:val="nil"/>
              <w:bottom w:val="nil"/>
              <w:right w:val="nil"/>
            </w:tcBorders>
            <w:shd w:val="clear" w:color="000000" w:fill="E7E6E6"/>
            <w:noWrap/>
            <w:vAlign w:val="center"/>
            <w:hideMark/>
          </w:tcPr>
          <w:p w14:paraId="5A2567D6"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4.2</w:t>
            </w:r>
          </w:p>
        </w:tc>
        <w:tc>
          <w:tcPr>
            <w:tcW w:w="223" w:type="pct"/>
            <w:tcBorders>
              <w:top w:val="nil"/>
              <w:left w:val="nil"/>
              <w:bottom w:val="nil"/>
              <w:right w:val="nil"/>
            </w:tcBorders>
            <w:shd w:val="clear" w:color="auto" w:fill="auto"/>
            <w:noWrap/>
            <w:vAlign w:val="center"/>
            <w:hideMark/>
          </w:tcPr>
          <w:p w14:paraId="680D511C"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138</w:t>
            </w:r>
          </w:p>
        </w:tc>
        <w:tc>
          <w:tcPr>
            <w:tcW w:w="223" w:type="pct"/>
            <w:tcBorders>
              <w:top w:val="nil"/>
              <w:left w:val="nil"/>
              <w:bottom w:val="nil"/>
              <w:right w:val="nil"/>
            </w:tcBorders>
            <w:shd w:val="clear" w:color="000000" w:fill="E7E6E6"/>
            <w:noWrap/>
            <w:vAlign w:val="center"/>
            <w:hideMark/>
          </w:tcPr>
          <w:p w14:paraId="61ED98B4"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4.2</w:t>
            </w:r>
          </w:p>
        </w:tc>
        <w:tc>
          <w:tcPr>
            <w:tcW w:w="223" w:type="pct"/>
            <w:tcBorders>
              <w:top w:val="nil"/>
              <w:left w:val="nil"/>
              <w:bottom w:val="nil"/>
              <w:right w:val="nil"/>
            </w:tcBorders>
            <w:shd w:val="clear" w:color="auto" w:fill="auto"/>
            <w:noWrap/>
            <w:vAlign w:val="center"/>
            <w:hideMark/>
          </w:tcPr>
          <w:p w14:paraId="7308230E"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122</w:t>
            </w:r>
          </w:p>
        </w:tc>
        <w:tc>
          <w:tcPr>
            <w:tcW w:w="223" w:type="pct"/>
            <w:tcBorders>
              <w:top w:val="nil"/>
              <w:left w:val="nil"/>
              <w:bottom w:val="nil"/>
              <w:right w:val="nil"/>
            </w:tcBorders>
            <w:shd w:val="clear" w:color="000000" w:fill="E7E6E6"/>
            <w:noWrap/>
            <w:vAlign w:val="center"/>
            <w:hideMark/>
          </w:tcPr>
          <w:p w14:paraId="1A35BEFC"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4.2</w:t>
            </w:r>
          </w:p>
        </w:tc>
        <w:tc>
          <w:tcPr>
            <w:tcW w:w="223" w:type="pct"/>
            <w:tcBorders>
              <w:top w:val="nil"/>
              <w:left w:val="nil"/>
              <w:bottom w:val="nil"/>
              <w:right w:val="nil"/>
            </w:tcBorders>
            <w:shd w:val="clear" w:color="auto" w:fill="auto"/>
            <w:noWrap/>
            <w:vAlign w:val="center"/>
            <w:hideMark/>
          </w:tcPr>
          <w:p w14:paraId="1AEC766E"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92</w:t>
            </w:r>
          </w:p>
        </w:tc>
        <w:tc>
          <w:tcPr>
            <w:tcW w:w="223" w:type="pct"/>
            <w:tcBorders>
              <w:top w:val="nil"/>
              <w:left w:val="nil"/>
              <w:bottom w:val="nil"/>
              <w:right w:val="nil"/>
            </w:tcBorders>
            <w:shd w:val="clear" w:color="000000" w:fill="E7E6E6"/>
            <w:noWrap/>
            <w:vAlign w:val="center"/>
            <w:hideMark/>
          </w:tcPr>
          <w:p w14:paraId="7C882C3B"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3.3</w:t>
            </w:r>
          </w:p>
        </w:tc>
        <w:tc>
          <w:tcPr>
            <w:tcW w:w="223" w:type="pct"/>
            <w:tcBorders>
              <w:top w:val="nil"/>
              <w:left w:val="nil"/>
              <w:bottom w:val="nil"/>
              <w:right w:val="nil"/>
            </w:tcBorders>
            <w:shd w:val="clear" w:color="auto" w:fill="auto"/>
            <w:noWrap/>
            <w:vAlign w:val="center"/>
            <w:hideMark/>
          </w:tcPr>
          <w:p w14:paraId="0F15BE36"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88</w:t>
            </w:r>
          </w:p>
        </w:tc>
        <w:tc>
          <w:tcPr>
            <w:tcW w:w="223" w:type="pct"/>
            <w:tcBorders>
              <w:top w:val="nil"/>
              <w:left w:val="nil"/>
              <w:bottom w:val="nil"/>
              <w:right w:val="nil"/>
            </w:tcBorders>
            <w:shd w:val="clear" w:color="000000" w:fill="E7E6E6"/>
            <w:noWrap/>
            <w:vAlign w:val="center"/>
            <w:hideMark/>
          </w:tcPr>
          <w:p w14:paraId="502ECAF3"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3.3</w:t>
            </w:r>
          </w:p>
        </w:tc>
        <w:tc>
          <w:tcPr>
            <w:tcW w:w="223" w:type="pct"/>
            <w:tcBorders>
              <w:top w:val="nil"/>
              <w:left w:val="nil"/>
              <w:bottom w:val="nil"/>
              <w:right w:val="nil"/>
            </w:tcBorders>
            <w:shd w:val="clear" w:color="auto" w:fill="auto"/>
            <w:noWrap/>
            <w:vAlign w:val="center"/>
            <w:hideMark/>
          </w:tcPr>
          <w:p w14:paraId="2E2CA1FF"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119</w:t>
            </w:r>
          </w:p>
        </w:tc>
        <w:tc>
          <w:tcPr>
            <w:tcW w:w="280" w:type="pct"/>
            <w:tcBorders>
              <w:top w:val="nil"/>
              <w:left w:val="nil"/>
              <w:bottom w:val="nil"/>
              <w:right w:val="nil"/>
            </w:tcBorders>
            <w:shd w:val="clear" w:color="000000" w:fill="E7E6E6"/>
            <w:noWrap/>
            <w:vAlign w:val="center"/>
            <w:hideMark/>
          </w:tcPr>
          <w:p w14:paraId="014F85B0" w14:textId="77777777" w:rsidR="004E7B7E" w:rsidRPr="008B619A" w:rsidRDefault="004E7B7E" w:rsidP="008055B8">
            <w:pPr>
              <w:widowControl/>
              <w:jc w:val="center"/>
              <w:rPr>
                <w:rFonts w:hAnsi="標楷體" w:cs="Tahoma"/>
                <w:color w:val="000000" w:themeColor="text1"/>
                <w:kern w:val="0"/>
                <w:sz w:val="15"/>
                <w:szCs w:val="15"/>
              </w:rPr>
            </w:pPr>
            <w:r w:rsidRPr="008B619A">
              <w:rPr>
                <w:rFonts w:hAnsi="標楷體" w:cs="Tahoma" w:hint="eastAsia"/>
                <w:color w:val="000000" w:themeColor="text1"/>
                <w:kern w:val="0"/>
                <w:sz w:val="15"/>
                <w:szCs w:val="15"/>
              </w:rPr>
              <w:t>4.6</w:t>
            </w:r>
          </w:p>
        </w:tc>
      </w:tr>
      <w:tr w:rsidR="004E7B7E" w:rsidRPr="008B619A" w14:paraId="087C1DD8" w14:textId="77777777" w:rsidTr="006400F0">
        <w:trPr>
          <w:trHeight w:val="330"/>
        </w:trPr>
        <w:tc>
          <w:tcPr>
            <w:tcW w:w="480" w:type="pct"/>
            <w:tcBorders>
              <w:top w:val="nil"/>
              <w:left w:val="nil"/>
              <w:bottom w:val="nil"/>
              <w:right w:val="single" w:sz="4" w:space="0" w:color="auto"/>
            </w:tcBorders>
            <w:shd w:val="clear" w:color="auto" w:fill="auto"/>
            <w:noWrap/>
            <w:vAlign w:val="center"/>
            <w:hideMark/>
          </w:tcPr>
          <w:p w14:paraId="3C28AF09" w14:textId="77777777" w:rsidR="004E7B7E" w:rsidRPr="008B619A" w:rsidRDefault="004E7B7E" w:rsidP="006400F0">
            <w:pPr>
              <w:widowControl/>
              <w:rPr>
                <w:rFonts w:hAnsi="標楷體" w:cs="Tahoma"/>
                <w:color w:val="000000" w:themeColor="text1"/>
                <w:kern w:val="0"/>
                <w:sz w:val="20"/>
              </w:rPr>
            </w:pPr>
            <w:r w:rsidRPr="008B619A">
              <w:rPr>
                <w:rFonts w:hAnsi="標楷體" w:cs="Tahoma" w:hint="eastAsia"/>
                <w:color w:val="000000" w:themeColor="text1"/>
                <w:kern w:val="0"/>
                <w:sz w:val="20"/>
              </w:rPr>
              <w:t>新聞學及圖書資訊</w:t>
            </w:r>
          </w:p>
        </w:tc>
        <w:tc>
          <w:tcPr>
            <w:tcW w:w="223" w:type="pct"/>
            <w:tcBorders>
              <w:top w:val="nil"/>
              <w:left w:val="nil"/>
              <w:bottom w:val="nil"/>
              <w:right w:val="nil"/>
            </w:tcBorders>
            <w:shd w:val="clear" w:color="auto" w:fill="auto"/>
            <w:noWrap/>
            <w:vAlign w:val="center"/>
            <w:hideMark/>
          </w:tcPr>
          <w:p w14:paraId="7FCFC55B"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7</w:t>
            </w:r>
          </w:p>
        </w:tc>
        <w:tc>
          <w:tcPr>
            <w:tcW w:w="223" w:type="pct"/>
            <w:tcBorders>
              <w:top w:val="nil"/>
              <w:left w:val="nil"/>
              <w:bottom w:val="nil"/>
              <w:right w:val="nil"/>
            </w:tcBorders>
            <w:shd w:val="clear" w:color="000000" w:fill="E7E6E6"/>
            <w:noWrap/>
            <w:vAlign w:val="center"/>
            <w:hideMark/>
          </w:tcPr>
          <w:p w14:paraId="60D33323"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0.2</w:t>
            </w:r>
          </w:p>
        </w:tc>
        <w:tc>
          <w:tcPr>
            <w:tcW w:w="223" w:type="pct"/>
            <w:tcBorders>
              <w:top w:val="nil"/>
              <w:left w:val="nil"/>
              <w:bottom w:val="nil"/>
              <w:right w:val="nil"/>
            </w:tcBorders>
            <w:shd w:val="clear" w:color="auto" w:fill="auto"/>
            <w:noWrap/>
            <w:vAlign w:val="center"/>
            <w:hideMark/>
          </w:tcPr>
          <w:p w14:paraId="215DA1F4"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4</w:t>
            </w:r>
          </w:p>
        </w:tc>
        <w:tc>
          <w:tcPr>
            <w:tcW w:w="223" w:type="pct"/>
            <w:tcBorders>
              <w:top w:val="nil"/>
              <w:left w:val="nil"/>
              <w:bottom w:val="nil"/>
              <w:right w:val="nil"/>
            </w:tcBorders>
            <w:shd w:val="clear" w:color="000000" w:fill="E7E6E6"/>
            <w:noWrap/>
            <w:vAlign w:val="center"/>
            <w:hideMark/>
          </w:tcPr>
          <w:p w14:paraId="201AD81F"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0.1</w:t>
            </w:r>
          </w:p>
        </w:tc>
        <w:tc>
          <w:tcPr>
            <w:tcW w:w="223" w:type="pct"/>
            <w:tcBorders>
              <w:top w:val="nil"/>
              <w:left w:val="nil"/>
              <w:bottom w:val="nil"/>
              <w:right w:val="nil"/>
            </w:tcBorders>
            <w:shd w:val="clear" w:color="auto" w:fill="auto"/>
            <w:noWrap/>
            <w:vAlign w:val="center"/>
            <w:hideMark/>
          </w:tcPr>
          <w:p w14:paraId="40E1E5DE"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9</w:t>
            </w:r>
          </w:p>
        </w:tc>
        <w:tc>
          <w:tcPr>
            <w:tcW w:w="223" w:type="pct"/>
            <w:tcBorders>
              <w:top w:val="nil"/>
              <w:left w:val="nil"/>
              <w:bottom w:val="nil"/>
              <w:right w:val="nil"/>
            </w:tcBorders>
            <w:shd w:val="clear" w:color="000000" w:fill="E7E6E6"/>
            <w:noWrap/>
            <w:vAlign w:val="center"/>
            <w:hideMark/>
          </w:tcPr>
          <w:p w14:paraId="353C4FDD"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0.3</w:t>
            </w:r>
          </w:p>
        </w:tc>
        <w:tc>
          <w:tcPr>
            <w:tcW w:w="223" w:type="pct"/>
            <w:tcBorders>
              <w:top w:val="nil"/>
              <w:left w:val="nil"/>
              <w:bottom w:val="nil"/>
              <w:right w:val="nil"/>
            </w:tcBorders>
            <w:shd w:val="clear" w:color="auto" w:fill="auto"/>
            <w:noWrap/>
            <w:vAlign w:val="center"/>
            <w:hideMark/>
          </w:tcPr>
          <w:p w14:paraId="65D09F6F"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6</w:t>
            </w:r>
          </w:p>
        </w:tc>
        <w:tc>
          <w:tcPr>
            <w:tcW w:w="223" w:type="pct"/>
            <w:tcBorders>
              <w:top w:val="nil"/>
              <w:left w:val="nil"/>
              <w:bottom w:val="nil"/>
              <w:right w:val="nil"/>
            </w:tcBorders>
            <w:shd w:val="clear" w:color="000000" w:fill="E7E6E6"/>
            <w:noWrap/>
            <w:vAlign w:val="center"/>
            <w:hideMark/>
          </w:tcPr>
          <w:p w14:paraId="0F81507A"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0.2</w:t>
            </w:r>
          </w:p>
        </w:tc>
        <w:tc>
          <w:tcPr>
            <w:tcW w:w="223" w:type="pct"/>
            <w:tcBorders>
              <w:top w:val="nil"/>
              <w:left w:val="nil"/>
              <w:bottom w:val="nil"/>
              <w:right w:val="nil"/>
            </w:tcBorders>
            <w:shd w:val="clear" w:color="auto" w:fill="auto"/>
            <w:noWrap/>
            <w:vAlign w:val="center"/>
            <w:hideMark/>
          </w:tcPr>
          <w:p w14:paraId="6EF9020E"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5</w:t>
            </w:r>
          </w:p>
        </w:tc>
        <w:tc>
          <w:tcPr>
            <w:tcW w:w="223" w:type="pct"/>
            <w:tcBorders>
              <w:top w:val="nil"/>
              <w:left w:val="nil"/>
              <w:bottom w:val="nil"/>
              <w:right w:val="nil"/>
            </w:tcBorders>
            <w:shd w:val="clear" w:color="000000" w:fill="E7E6E6"/>
            <w:noWrap/>
            <w:vAlign w:val="center"/>
            <w:hideMark/>
          </w:tcPr>
          <w:p w14:paraId="61D0B398"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0.1</w:t>
            </w:r>
          </w:p>
        </w:tc>
        <w:tc>
          <w:tcPr>
            <w:tcW w:w="223" w:type="pct"/>
            <w:tcBorders>
              <w:top w:val="nil"/>
              <w:left w:val="nil"/>
              <w:bottom w:val="nil"/>
              <w:right w:val="nil"/>
            </w:tcBorders>
            <w:shd w:val="clear" w:color="auto" w:fill="auto"/>
            <w:noWrap/>
            <w:vAlign w:val="center"/>
            <w:hideMark/>
          </w:tcPr>
          <w:p w14:paraId="1E86A643"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6</w:t>
            </w:r>
          </w:p>
        </w:tc>
        <w:tc>
          <w:tcPr>
            <w:tcW w:w="223" w:type="pct"/>
            <w:tcBorders>
              <w:top w:val="nil"/>
              <w:left w:val="nil"/>
              <w:bottom w:val="nil"/>
              <w:right w:val="nil"/>
            </w:tcBorders>
            <w:shd w:val="clear" w:color="000000" w:fill="E7E6E6"/>
            <w:noWrap/>
            <w:vAlign w:val="center"/>
            <w:hideMark/>
          </w:tcPr>
          <w:p w14:paraId="2EA51C3A"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0.2</w:t>
            </w:r>
          </w:p>
        </w:tc>
        <w:tc>
          <w:tcPr>
            <w:tcW w:w="223" w:type="pct"/>
            <w:tcBorders>
              <w:top w:val="nil"/>
              <w:left w:val="nil"/>
              <w:bottom w:val="nil"/>
              <w:right w:val="nil"/>
            </w:tcBorders>
            <w:shd w:val="clear" w:color="auto" w:fill="auto"/>
            <w:noWrap/>
            <w:vAlign w:val="center"/>
            <w:hideMark/>
          </w:tcPr>
          <w:p w14:paraId="0F38A647"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11</w:t>
            </w:r>
          </w:p>
        </w:tc>
        <w:tc>
          <w:tcPr>
            <w:tcW w:w="223" w:type="pct"/>
            <w:tcBorders>
              <w:top w:val="nil"/>
              <w:left w:val="nil"/>
              <w:bottom w:val="nil"/>
              <w:right w:val="nil"/>
            </w:tcBorders>
            <w:shd w:val="clear" w:color="000000" w:fill="E7E6E6"/>
            <w:noWrap/>
            <w:vAlign w:val="center"/>
            <w:hideMark/>
          </w:tcPr>
          <w:p w14:paraId="0B4FB708"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0.4</w:t>
            </w:r>
          </w:p>
        </w:tc>
        <w:tc>
          <w:tcPr>
            <w:tcW w:w="223" w:type="pct"/>
            <w:tcBorders>
              <w:top w:val="nil"/>
              <w:left w:val="nil"/>
              <w:bottom w:val="nil"/>
              <w:right w:val="nil"/>
            </w:tcBorders>
            <w:shd w:val="clear" w:color="auto" w:fill="auto"/>
            <w:noWrap/>
            <w:vAlign w:val="center"/>
            <w:hideMark/>
          </w:tcPr>
          <w:p w14:paraId="0C2D5B17"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8</w:t>
            </w:r>
          </w:p>
        </w:tc>
        <w:tc>
          <w:tcPr>
            <w:tcW w:w="223" w:type="pct"/>
            <w:tcBorders>
              <w:top w:val="nil"/>
              <w:left w:val="nil"/>
              <w:bottom w:val="nil"/>
              <w:right w:val="nil"/>
            </w:tcBorders>
            <w:shd w:val="clear" w:color="000000" w:fill="E7E6E6"/>
            <w:noWrap/>
            <w:vAlign w:val="center"/>
            <w:hideMark/>
          </w:tcPr>
          <w:p w14:paraId="430C4923"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0.3</w:t>
            </w:r>
          </w:p>
        </w:tc>
        <w:tc>
          <w:tcPr>
            <w:tcW w:w="223" w:type="pct"/>
            <w:tcBorders>
              <w:top w:val="nil"/>
              <w:left w:val="nil"/>
              <w:bottom w:val="nil"/>
              <w:right w:val="nil"/>
            </w:tcBorders>
            <w:shd w:val="clear" w:color="auto" w:fill="auto"/>
            <w:noWrap/>
            <w:vAlign w:val="center"/>
            <w:hideMark/>
          </w:tcPr>
          <w:p w14:paraId="495E9E01"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6</w:t>
            </w:r>
          </w:p>
        </w:tc>
        <w:tc>
          <w:tcPr>
            <w:tcW w:w="223" w:type="pct"/>
            <w:tcBorders>
              <w:top w:val="nil"/>
              <w:left w:val="nil"/>
              <w:bottom w:val="nil"/>
              <w:right w:val="nil"/>
            </w:tcBorders>
            <w:shd w:val="clear" w:color="000000" w:fill="E7E6E6"/>
            <w:noWrap/>
            <w:vAlign w:val="center"/>
            <w:hideMark/>
          </w:tcPr>
          <w:p w14:paraId="4DE0617B"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0.2</w:t>
            </w:r>
          </w:p>
        </w:tc>
        <w:tc>
          <w:tcPr>
            <w:tcW w:w="223" w:type="pct"/>
            <w:tcBorders>
              <w:top w:val="nil"/>
              <w:left w:val="nil"/>
              <w:bottom w:val="nil"/>
              <w:right w:val="nil"/>
            </w:tcBorders>
            <w:shd w:val="clear" w:color="auto" w:fill="auto"/>
            <w:noWrap/>
            <w:vAlign w:val="center"/>
            <w:hideMark/>
          </w:tcPr>
          <w:p w14:paraId="340892B6"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5</w:t>
            </w:r>
          </w:p>
        </w:tc>
        <w:tc>
          <w:tcPr>
            <w:tcW w:w="280" w:type="pct"/>
            <w:tcBorders>
              <w:top w:val="nil"/>
              <w:left w:val="nil"/>
              <w:bottom w:val="nil"/>
              <w:right w:val="nil"/>
            </w:tcBorders>
            <w:shd w:val="clear" w:color="000000" w:fill="E7E6E6"/>
            <w:noWrap/>
            <w:vAlign w:val="center"/>
            <w:hideMark/>
          </w:tcPr>
          <w:p w14:paraId="47F12097" w14:textId="77777777" w:rsidR="004E7B7E" w:rsidRPr="008B619A" w:rsidRDefault="004E7B7E" w:rsidP="008055B8">
            <w:pPr>
              <w:widowControl/>
              <w:jc w:val="center"/>
              <w:rPr>
                <w:rFonts w:hAnsi="標楷體" w:cs="Tahoma"/>
                <w:color w:val="000000" w:themeColor="text1"/>
                <w:kern w:val="0"/>
                <w:sz w:val="15"/>
                <w:szCs w:val="15"/>
              </w:rPr>
            </w:pPr>
            <w:r w:rsidRPr="008B619A">
              <w:rPr>
                <w:rFonts w:hAnsi="標楷體" w:cs="Tahoma" w:hint="eastAsia"/>
                <w:color w:val="000000" w:themeColor="text1"/>
                <w:kern w:val="0"/>
                <w:sz w:val="15"/>
                <w:szCs w:val="15"/>
              </w:rPr>
              <w:t>0.2</w:t>
            </w:r>
          </w:p>
        </w:tc>
      </w:tr>
      <w:tr w:rsidR="004E7B7E" w:rsidRPr="008B619A" w14:paraId="6592DBF7" w14:textId="77777777" w:rsidTr="006400F0">
        <w:trPr>
          <w:trHeight w:val="330"/>
        </w:trPr>
        <w:tc>
          <w:tcPr>
            <w:tcW w:w="480" w:type="pct"/>
            <w:tcBorders>
              <w:top w:val="nil"/>
              <w:left w:val="nil"/>
              <w:bottom w:val="nil"/>
              <w:right w:val="single" w:sz="4" w:space="0" w:color="auto"/>
            </w:tcBorders>
            <w:shd w:val="clear" w:color="auto" w:fill="auto"/>
            <w:noWrap/>
            <w:vAlign w:val="center"/>
            <w:hideMark/>
          </w:tcPr>
          <w:p w14:paraId="1C91AAE8" w14:textId="77777777" w:rsidR="004E7B7E" w:rsidRPr="008B619A" w:rsidRDefault="004E7B7E" w:rsidP="006400F0">
            <w:pPr>
              <w:widowControl/>
              <w:rPr>
                <w:rFonts w:hAnsi="標楷體" w:cs="Tahoma"/>
                <w:color w:val="000000" w:themeColor="text1"/>
                <w:kern w:val="0"/>
                <w:sz w:val="20"/>
              </w:rPr>
            </w:pPr>
            <w:r w:rsidRPr="008B619A">
              <w:rPr>
                <w:rFonts w:hAnsi="標楷體" w:cs="Tahoma" w:hint="eastAsia"/>
                <w:color w:val="000000" w:themeColor="text1"/>
                <w:kern w:val="0"/>
                <w:sz w:val="20"/>
              </w:rPr>
              <w:t>商業及管理</w:t>
            </w:r>
          </w:p>
        </w:tc>
        <w:tc>
          <w:tcPr>
            <w:tcW w:w="223" w:type="pct"/>
            <w:tcBorders>
              <w:top w:val="nil"/>
              <w:left w:val="nil"/>
              <w:bottom w:val="nil"/>
              <w:right w:val="nil"/>
            </w:tcBorders>
            <w:shd w:val="clear" w:color="auto" w:fill="auto"/>
            <w:noWrap/>
            <w:vAlign w:val="center"/>
            <w:hideMark/>
          </w:tcPr>
          <w:p w14:paraId="1B564C0B"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253</w:t>
            </w:r>
          </w:p>
        </w:tc>
        <w:tc>
          <w:tcPr>
            <w:tcW w:w="223" w:type="pct"/>
            <w:tcBorders>
              <w:top w:val="nil"/>
              <w:left w:val="nil"/>
              <w:bottom w:val="nil"/>
              <w:right w:val="nil"/>
            </w:tcBorders>
            <w:shd w:val="clear" w:color="000000" w:fill="E7E6E6"/>
            <w:noWrap/>
            <w:vAlign w:val="center"/>
            <w:hideMark/>
          </w:tcPr>
          <w:p w14:paraId="58AFF997"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8.1</w:t>
            </w:r>
          </w:p>
        </w:tc>
        <w:tc>
          <w:tcPr>
            <w:tcW w:w="223" w:type="pct"/>
            <w:tcBorders>
              <w:top w:val="nil"/>
              <w:left w:val="nil"/>
              <w:bottom w:val="nil"/>
              <w:right w:val="nil"/>
            </w:tcBorders>
            <w:shd w:val="clear" w:color="auto" w:fill="auto"/>
            <w:noWrap/>
            <w:vAlign w:val="center"/>
            <w:hideMark/>
          </w:tcPr>
          <w:p w14:paraId="72070D83"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255</w:t>
            </w:r>
          </w:p>
        </w:tc>
        <w:tc>
          <w:tcPr>
            <w:tcW w:w="223" w:type="pct"/>
            <w:tcBorders>
              <w:top w:val="nil"/>
              <w:left w:val="nil"/>
              <w:bottom w:val="nil"/>
              <w:right w:val="nil"/>
            </w:tcBorders>
            <w:shd w:val="clear" w:color="000000" w:fill="E7E6E6"/>
            <w:noWrap/>
            <w:vAlign w:val="center"/>
            <w:hideMark/>
          </w:tcPr>
          <w:p w14:paraId="139E5DDE"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7.9</w:t>
            </w:r>
          </w:p>
        </w:tc>
        <w:tc>
          <w:tcPr>
            <w:tcW w:w="223" w:type="pct"/>
            <w:tcBorders>
              <w:top w:val="nil"/>
              <w:left w:val="nil"/>
              <w:bottom w:val="nil"/>
              <w:right w:val="nil"/>
            </w:tcBorders>
            <w:shd w:val="clear" w:color="auto" w:fill="auto"/>
            <w:noWrap/>
            <w:vAlign w:val="center"/>
            <w:hideMark/>
          </w:tcPr>
          <w:p w14:paraId="3D83CA1E"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257</w:t>
            </w:r>
          </w:p>
        </w:tc>
        <w:tc>
          <w:tcPr>
            <w:tcW w:w="223" w:type="pct"/>
            <w:tcBorders>
              <w:top w:val="nil"/>
              <w:left w:val="nil"/>
              <w:bottom w:val="nil"/>
              <w:right w:val="nil"/>
            </w:tcBorders>
            <w:shd w:val="clear" w:color="000000" w:fill="E7E6E6"/>
            <w:noWrap/>
            <w:vAlign w:val="center"/>
            <w:hideMark/>
          </w:tcPr>
          <w:p w14:paraId="03EDAAC8"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7.9</w:t>
            </w:r>
          </w:p>
        </w:tc>
        <w:tc>
          <w:tcPr>
            <w:tcW w:w="223" w:type="pct"/>
            <w:tcBorders>
              <w:top w:val="nil"/>
              <w:left w:val="nil"/>
              <w:bottom w:val="nil"/>
              <w:right w:val="nil"/>
            </w:tcBorders>
            <w:shd w:val="clear" w:color="auto" w:fill="auto"/>
            <w:noWrap/>
            <w:vAlign w:val="center"/>
            <w:hideMark/>
          </w:tcPr>
          <w:p w14:paraId="4FBD71E1"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240</w:t>
            </w:r>
          </w:p>
        </w:tc>
        <w:tc>
          <w:tcPr>
            <w:tcW w:w="223" w:type="pct"/>
            <w:tcBorders>
              <w:top w:val="nil"/>
              <w:left w:val="nil"/>
              <w:bottom w:val="nil"/>
              <w:right w:val="nil"/>
            </w:tcBorders>
            <w:shd w:val="clear" w:color="000000" w:fill="E7E6E6"/>
            <w:noWrap/>
            <w:vAlign w:val="center"/>
            <w:hideMark/>
          </w:tcPr>
          <w:p w14:paraId="31C6998F"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6.8</w:t>
            </w:r>
          </w:p>
        </w:tc>
        <w:tc>
          <w:tcPr>
            <w:tcW w:w="223" w:type="pct"/>
            <w:tcBorders>
              <w:top w:val="nil"/>
              <w:left w:val="nil"/>
              <w:bottom w:val="nil"/>
              <w:right w:val="nil"/>
            </w:tcBorders>
            <w:shd w:val="clear" w:color="auto" w:fill="auto"/>
            <w:noWrap/>
            <w:vAlign w:val="center"/>
            <w:hideMark/>
          </w:tcPr>
          <w:p w14:paraId="2AFDCE1B"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260</w:t>
            </w:r>
          </w:p>
        </w:tc>
        <w:tc>
          <w:tcPr>
            <w:tcW w:w="223" w:type="pct"/>
            <w:tcBorders>
              <w:top w:val="nil"/>
              <w:left w:val="nil"/>
              <w:bottom w:val="nil"/>
              <w:right w:val="nil"/>
            </w:tcBorders>
            <w:shd w:val="clear" w:color="000000" w:fill="E7E6E6"/>
            <w:noWrap/>
            <w:vAlign w:val="center"/>
            <w:hideMark/>
          </w:tcPr>
          <w:p w14:paraId="65D89C67"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7.7</w:t>
            </w:r>
          </w:p>
        </w:tc>
        <w:tc>
          <w:tcPr>
            <w:tcW w:w="223" w:type="pct"/>
            <w:tcBorders>
              <w:top w:val="nil"/>
              <w:left w:val="nil"/>
              <w:bottom w:val="nil"/>
              <w:right w:val="nil"/>
            </w:tcBorders>
            <w:shd w:val="clear" w:color="auto" w:fill="auto"/>
            <w:noWrap/>
            <w:vAlign w:val="center"/>
            <w:hideMark/>
          </w:tcPr>
          <w:p w14:paraId="41F4F6E8"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232</w:t>
            </w:r>
          </w:p>
        </w:tc>
        <w:tc>
          <w:tcPr>
            <w:tcW w:w="223" w:type="pct"/>
            <w:tcBorders>
              <w:top w:val="nil"/>
              <w:left w:val="nil"/>
              <w:bottom w:val="nil"/>
              <w:right w:val="nil"/>
            </w:tcBorders>
            <w:shd w:val="clear" w:color="000000" w:fill="E7E6E6"/>
            <w:noWrap/>
            <w:vAlign w:val="center"/>
            <w:hideMark/>
          </w:tcPr>
          <w:p w14:paraId="6DB0F3CD"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7.1</w:t>
            </w:r>
          </w:p>
        </w:tc>
        <w:tc>
          <w:tcPr>
            <w:tcW w:w="223" w:type="pct"/>
            <w:tcBorders>
              <w:top w:val="nil"/>
              <w:left w:val="nil"/>
              <w:bottom w:val="nil"/>
              <w:right w:val="nil"/>
            </w:tcBorders>
            <w:shd w:val="clear" w:color="auto" w:fill="auto"/>
            <w:noWrap/>
            <w:vAlign w:val="center"/>
            <w:hideMark/>
          </w:tcPr>
          <w:p w14:paraId="3885F14A"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198</w:t>
            </w:r>
          </w:p>
        </w:tc>
        <w:tc>
          <w:tcPr>
            <w:tcW w:w="223" w:type="pct"/>
            <w:tcBorders>
              <w:top w:val="nil"/>
              <w:left w:val="nil"/>
              <w:bottom w:val="nil"/>
              <w:right w:val="nil"/>
            </w:tcBorders>
            <w:shd w:val="clear" w:color="000000" w:fill="E7E6E6"/>
            <w:noWrap/>
            <w:vAlign w:val="center"/>
            <w:hideMark/>
          </w:tcPr>
          <w:p w14:paraId="05867A6E"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6.8</w:t>
            </w:r>
          </w:p>
        </w:tc>
        <w:tc>
          <w:tcPr>
            <w:tcW w:w="223" w:type="pct"/>
            <w:tcBorders>
              <w:top w:val="nil"/>
              <w:left w:val="nil"/>
              <w:bottom w:val="nil"/>
              <w:right w:val="nil"/>
            </w:tcBorders>
            <w:shd w:val="clear" w:color="auto" w:fill="auto"/>
            <w:noWrap/>
            <w:vAlign w:val="center"/>
            <w:hideMark/>
          </w:tcPr>
          <w:p w14:paraId="13137993"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181</w:t>
            </w:r>
          </w:p>
        </w:tc>
        <w:tc>
          <w:tcPr>
            <w:tcW w:w="223" w:type="pct"/>
            <w:tcBorders>
              <w:top w:val="nil"/>
              <w:left w:val="nil"/>
              <w:bottom w:val="nil"/>
              <w:right w:val="nil"/>
            </w:tcBorders>
            <w:shd w:val="clear" w:color="000000" w:fill="E7E6E6"/>
            <w:noWrap/>
            <w:vAlign w:val="center"/>
            <w:hideMark/>
          </w:tcPr>
          <w:p w14:paraId="6D2BA4F0"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6.5</w:t>
            </w:r>
          </w:p>
        </w:tc>
        <w:tc>
          <w:tcPr>
            <w:tcW w:w="223" w:type="pct"/>
            <w:tcBorders>
              <w:top w:val="nil"/>
              <w:left w:val="nil"/>
              <w:bottom w:val="nil"/>
              <w:right w:val="nil"/>
            </w:tcBorders>
            <w:shd w:val="clear" w:color="auto" w:fill="auto"/>
            <w:noWrap/>
            <w:vAlign w:val="center"/>
            <w:hideMark/>
          </w:tcPr>
          <w:p w14:paraId="3E636F4B"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195</w:t>
            </w:r>
          </w:p>
        </w:tc>
        <w:tc>
          <w:tcPr>
            <w:tcW w:w="223" w:type="pct"/>
            <w:tcBorders>
              <w:top w:val="nil"/>
              <w:left w:val="nil"/>
              <w:bottom w:val="nil"/>
              <w:right w:val="nil"/>
            </w:tcBorders>
            <w:shd w:val="clear" w:color="000000" w:fill="E7E6E6"/>
            <w:noWrap/>
            <w:vAlign w:val="center"/>
            <w:hideMark/>
          </w:tcPr>
          <w:p w14:paraId="07B15D80"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7.2</w:t>
            </w:r>
          </w:p>
        </w:tc>
        <w:tc>
          <w:tcPr>
            <w:tcW w:w="223" w:type="pct"/>
            <w:tcBorders>
              <w:top w:val="nil"/>
              <w:left w:val="nil"/>
              <w:bottom w:val="nil"/>
              <w:right w:val="nil"/>
            </w:tcBorders>
            <w:shd w:val="clear" w:color="auto" w:fill="auto"/>
            <w:noWrap/>
            <w:vAlign w:val="center"/>
            <w:hideMark/>
          </w:tcPr>
          <w:p w14:paraId="3A5CB564"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176</w:t>
            </w:r>
          </w:p>
        </w:tc>
        <w:tc>
          <w:tcPr>
            <w:tcW w:w="280" w:type="pct"/>
            <w:tcBorders>
              <w:top w:val="nil"/>
              <w:left w:val="nil"/>
              <w:bottom w:val="nil"/>
              <w:right w:val="nil"/>
            </w:tcBorders>
            <w:shd w:val="clear" w:color="000000" w:fill="E7E6E6"/>
            <w:noWrap/>
            <w:vAlign w:val="center"/>
            <w:hideMark/>
          </w:tcPr>
          <w:p w14:paraId="11A79885" w14:textId="77777777" w:rsidR="004E7B7E" w:rsidRPr="008B619A" w:rsidRDefault="004E7B7E" w:rsidP="008055B8">
            <w:pPr>
              <w:widowControl/>
              <w:jc w:val="center"/>
              <w:rPr>
                <w:rFonts w:hAnsi="標楷體" w:cs="Tahoma"/>
                <w:color w:val="000000" w:themeColor="text1"/>
                <w:kern w:val="0"/>
                <w:sz w:val="15"/>
                <w:szCs w:val="15"/>
              </w:rPr>
            </w:pPr>
            <w:r w:rsidRPr="008B619A">
              <w:rPr>
                <w:rFonts w:hAnsi="標楷體" w:cs="Tahoma" w:hint="eastAsia"/>
                <w:color w:val="000000" w:themeColor="text1"/>
                <w:kern w:val="0"/>
                <w:sz w:val="15"/>
                <w:szCs w:val="15"/>
              </w:rPr>
              <w:t>6.9</w:t>
            </w:r>
          </w:p>
        </w:tc>
      </w:tr>
      <w:tr w:rsidR="004E7B7E" w:rsidRPr="008B619A" w14:paraId="0B8231B1" w14:textId="77777777" w:rsidTr="006400F0">
        <w:trPr>
          <w:trHeight w:val="330"/>
        </w:trPr>
        <w:tc>
          <w:tcPr>
            <w:tcW w:w="480" w:type="pct"/>
            <w:tcBorders>
              <w:top w:val="nil"/>
              <w:left w:val="nil"/>
              <w:bottom w:val="nil"/>
              <w:right w:val="single" w:sz="4" w:space="0" w:color="auto"/>
            </w:tcBorders>
            <w:shd w:val="clear" w:color="auto" w:fill="auto"/>
            <w:noWrap/>
            <w:vAlign w:val="center"/>
            <w:hideMark/>
          </w:tcPr>
          <w:p w14:paraId="4E0D6EAB" w14:textId="77777777" w:rsidR="004E7B7E" w:rsidRPr="008B619A" w:rsidRDefault="004E7B7E" w:rsidP="006400F0">
            <w:pPr>
              <w:widowControl/>
              <w:rPr>
                <w:rFonts w:hAnsi="標楷體" w:cs="Tahoma"/>
                <w:color w:val="000000" w:themeColor="text1"/>
                <w:kern w:val="0"/>
                <w:sz w:val="20"/>
              </w:rPr>
            </w:pPr>
            <w:r w:rsidRPr="008B619A">
              <w:rPr>
                <w:rFonts w:hAnsi="標楷體" w:cs="Tahoma" w:hint="eastAsia"/>
                <w:color w:val="000000" w:themeColor="text1"/>
                <w:kern w:val="0"/>
                <w:sz w:val="20"/>
              </w:rPr>
              <w:t>法律</w:t>
            </w:r>
          </w:p>
        </w:tc>
        <w:tc>
          <w:tcPr>
            <w:tcW w:w="223" w:type="pct"/>
            <w:tcBorders>
              <w:top w:val="nil"/>
              <w:left w:val="nil"/>
              <w:bottom w:val="nil"/>
              <w:right w:val="nil"/>
            </w:tcBorders>
            <w:shd w:val="clear" w:color="auto" w:fill="auto"/>
            <w:noWrap/>
            <w:vAlign w:val="center"/>
            <w:hideMark/>
          </w:tcPr>
          <w:p w14:paraId="745B6B16"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9</w:t>
            </w:r>
          </w:p>
        </w:tc>
        <w:tc>
          <w:tcPr>
            <w:tcW w:w="223" w:type="pct"/>
            <w:tcBorders>
              <w:top w:val="nil"/>
              <w:left w:val="nil"/>
              <w:bottom w:val="nil"/>
              <w:right w:val="nil"/>
            </w:tcBorders>
            <w:shd w:val="clear" w:color="000000" w:fill="E7E6E6"/>
            <w:noWrap/>
            <w:vAlign w:val="center"/>
            <w:hideMark/>
          </w:tcPr>
          <w:p w14:paraId="72282A71"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0.3</w:t>
            </w:r>
          </w:p>
        </w:tc>
        <w:tc>
          <w:tcPr>
            <w:tcW w:w="223" w:type="pct"/>
            <w:tcBorders>
              <w:top w:val="nil"/>
              <w:left w:val="nil"/>
              <w:bottom w:val="nil"/>
              <w:right w:val="nil"/>
            </w:tcBorders>
            <w:shd w:val="clear" w:color="auto" w:fill="auto"/>
            <w:noWrap/>
            <w:vAlign w:val="center"/>
            <w:hideMark/>
          </w:tcPr>
          <w:p w14:paraId="09F13035"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5</w:t>
            </w:r>
          </w:p>
        </w:tc>
        <w:tc>
          <w:tcPr>
            <w:tcW w:w="223" w:type="pct"/>
            <w:tcBorders>
              <w:top w:val="nil"/>
              <w:left w:val="nil"/>
              <w:bottom w:val="nil"/>
              <w:right w:val="nil"/>
            </w:tcBorders>
            <w:shd w:val="clear" w:color="000000" w:fill="E7E6E6"/>
            <w:noWrap/>
            <w:vAlign w:val="center"/>
            <w:hideMark/>
          </w:tcPr>
          <w:p w14:paraId="04D31E2D"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0.2</w:t>
            </w:r>
          </w:p>
        </w:tc>
        <w:tc>
          <w:tcPr>
            <w:tcW w:w="223" w:type="pct"/>
            <w:tcBorders>
              <w:top w:val="nil"/>
              <w:left w:val="nil"/>
              <w:bottom w:val="nil"/>
              <w:right w:val="nil"/>
            </w:tcBorders>
            <w:shd w:val="clear" w:color="auto" w:fill="auto"/>
            <w:noWrap/>
            <w:vAlign w:val="center"/>
            <w:hideMark/>
          </w:tcPr>
          <w:p w14:paraId="32394B50"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17</w:t>
            </w:r>
          </w:p>
        </w:tc>
        <w:tc>
          <w:tcPr>
            <w:tcW w:w="223" w:type="pct"/>
            <w:tcBorders>
              <w:top w:val="nil"/>
              <w:left w:val="nil"/>
              <w:bottom w:val="nil"/>
              <w:right w:val="nil"/>
            </w:tcBorders>
            <w:shd w:val="clear" w:color="000000" w:fill="E7E6E6"/>
            <w:noWrap/>
            <w:vAlign w:val="center"/>
            <w:hideMark/>
          </w:tcPr>
          <w:p w14:paraId="5B0B00EC"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0.5</w:t>
            </w:r>
          </w:p>
        </w:tc>
        <w:tc>
          <w:tcPr>
            <w:tcW w:w="223" w:type="pct"/>
            <w:tcBorders>
              <w:top w:val="nil"/>
              <w:left w:val="nil"/>
              <w:bottom w:val="nil"/>
              <w:right w:val="nil"/>
            </w:tcBorders>
            <w:shd w:val="clear" w:color="auto" w:fill="auto"/>
            <w:noWrap/>
            <w:vAlign w:val="center"/>
            <w:hideMark/>
          </w:tcPr>
          <w:p w14:paraId="502F34CD"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20</w:t>
            </w:r>
          </w:p>
        </w:tc>
        <w:tc>
          <w:tcPr>
            <w:tcW w:w="223" w:type="pct"/>
            <w:tcBorders>
              <w:top w:val="nil"/>
              <w:left w:val="nil"/>
              <w:bottom w:val="nil"/>
              <w:right w:val="nil"/>
            </w:tcBorders>
            <w:shd w:val="clear" w:color="000000" w:fill="E7E6E6"/>
            <w:noWrap/>
            <w:vAlign w:val="center"/>
            <w:hideMark/>
          </w:tcPr>
          <w:p w14:paraId="3E0978DC"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0.6</w:t>
            </w:r>
          </w:p>
        </w:tc>
        <w:tc>
          <w:tcPr>
            <w:tcW w:w="223" w:type="pct"/>
            <w:tcBorders>
              <w:top w:val="nil"/>
              <w:left w:val="nil"/>
              <w:bottom w:val="nil"/>
              <w:right w:val="nil"/>
            </w:tcBorders>
            <w:shd w:val="clear" w:color="auto" w:fill="auto"/>
            <w:noWrap/>
            <w:vAlign w:val="center"/>
            <w:hideMark/>
          </w:tcPr>
          <w:p w14:paraId="0C6E6857"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11</w:t>
            </w:r>
          </w:p>
        </w:tc>
        <w:tc>
          <w:tcPr>
            <w:tcW w:w="223" w:type="pct"/>
            <w:tcBorders>
              <w:top w:val="nil"/>
              <w:left w:val="nil"/>
              <w:bottom w:val="nil"/>
              <w:right w:val="nil"/>
            </w:tcBorders>
            <w:shd w:val="clear" w:color="000000" w:fill="E7E6E6"/>
            <w:noWrap/>
            <w:vAlign w:val="center"/>
            <w:hideMark/>
          </w:tcPr>
          <w:p w14:paraId="02A591F9"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0.3</w:t>
            </w:r>
          </w:p>
        </w:tc>
        <w:tc>
          <w:tcPr>
            <w:tcW w:w="223" w:type="pct"/>
            <w:tcBorders>
              <w:top w:val="nil"/>
              <w:left w:val="nil"/>
              <w:bottom w:val="nil"/>
              <w:right w:val="nil"/>
            </w:tcBorders>
            <w:shd w:val="clear" w:color="auto" w:fill="auto"/>
            <w:noWrap/>
            <w:vAlign w:val="center"/>
            <w:hideMark/>
          </w:tcPr>
          <w:p w14:paraId="24DDB20F"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11</w:t>
            </w:r>
          </w:p>
        </w:tc>
        <w:tc>
          <w:tcPr>
            <w:tcW w:w="223" w:type="pct"/>
            <w:tcBorders>
              <w:top w:val="nil"/>
              <w:left w:val="nil"/>
              <w:bottom w:val="nil"/>
              <w:right w:val="nil"/>
            </w:tcBorders>
            <w:shd w:val="clear" w:color="000000" w:fill="E7E6E6"/>
            <w:noWrap/>
            <w:vAlign w:val="center"/>
            <w:hideMark/>
          </w:tcPr>
          <w:p w14:paraId="6804B08E"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0.3</w:t>
            </w:r>
          </w:p>
        </w:tc>
        <w:tc>
          <w:tcPr>
            <w:tcW w:w="223" w:type="pct"/>
            <w:tcBorders>
              <w:top w:val="nil"/>
              <w:left w:val="nil"/>
              <w:bottom w:val="nil"/>
              <w:right w:val="nil"/>
            </w:tcBorders>
            <w:shd w:val="clear" w:color="auto" w:fill="auto"/>
            <w:noWrap/>
            <w:vAlign w:val="center"/>
            <w:hideMark/>
          </w:tcPr>
          <w:p w14:paraId="16F636E4"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12</w:t>
            </w:r>
          </w:p>
        </w:tc>
        <w:tc>
          <w:tcPr>
            <w:tcW w:w="223" w:type="pct"/>
            <w:tcBorders>
              <w:top w:val="nil"/>
              <w:left w:val="nil"/>
              <w:bottom w:val="nil"/>
              <w:right w:val="nil"/>
            </w:tcBorders>
            <w:shd w:val="clear" w:color="000000" w:fill="E7E6E6"/>
            <w:noWrap/>
            <w:vAlign w:val="center"/>
            <w:hideMark/>
          </w:tcPr>
          <w:p w14:paraId="7EA4939A"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0.4</w:t>
            </w:r>
          </w:p>
        </w:tc>
        <w:tc>
          <w:tcPr>
            <w:tcW w:w="223" w:type="pct"/>
            <w:tcBorders>
              <w:top w:val="nil"/>
              <w:left w:val="nil"/>
              <w:bottom w:val="nil"/>
              <w:right w:val="nil"/>
            </w:tcBorders>
            <w:shd w:val="clear" w:color="auto" w:fill="auto"/>
            <w:noWrap/>
            <w:vAlign w:val="center"/>
            <w:hideMark/>
          </w:tcPr>
          <w:p w14:paraId="0ABF85CB"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10</w:t>
            </w:r>
          </w:p>
        </w:tc>
        <w:tc>
          <w:tcPr>
            <w:tcW w:w="223" w:type="pct"/>
            <w:tcBorders>
              <w:top w:val="nil"/>
              <w:left w:val="nil"/>
              <w:bottom w:val="nil"/>
              <w:right w:val="nil"/>
            </w:tcBorders>
            <w:shd w:val="clear" w:color="000000" w:fill="E7E6E6"/>
            <w:noWrap/>
            <w:vAlign w:val="center"/>
            <w:hideMark/>
          </w:tcPr>
          <w:p w14:paraId="707C602F"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0.4</w:t>
            </w:r>
          </w:p>
        </w:tc>
        <w:tc>
          <w:tcPr>
            <w:tcW w:w="223" w:type="pct"/>
            <w:tcBorders>
              <w:top w:val="nil"/>
              <w:left w:val="nil"/>
              <w:bottom w:val="nil"/>
              <w:right w:val="nil"/>
            </w:tcBorders>
            <w:shd w:val="clear" w:color="auto" w:fill="auto"/>
            <w:noWrap/>
            <w:vAlign w:val="center"/>
            <w:hideMark/>
          </w:tcPr>
          <w:p w14:paraId="6E82E80D"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14</w:t>
            </w:r>
          </w:p>
        </w:tc>
        <w:tc>
          <w:tcPr>
            <w:tcW w:w="223" w:type="pct"/>
            <w:tcBorders>
              <w:top w:val="nil"/>
              <w:left w:val="nil"/>
              <w:bottom w:val="nil"/>
              <w:right w:val="nil"/>
            </w:tcBorders>
            <w:shd w:val="clear" w:color="000000" w:fill="E7E6E6"/>
            <w:noWrap/>
            <w:vAlign w:val="center"/>
            <w:hideMark/>
          </w:tcPr>
          <w:p w14:paraId="2F0D3A07"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0.5</w:t>
            </w:r>
          </w:p>
        </w:tc>
        <w:tc>
          <w:tcPr>
            <w:tcW w:w="223" w:type="pct"/>
            <w:tcBorders>
              <w:top w:val="nil"/>
              <w:left w:val="nil"/>
              <w:bottom w:val="nil"/>
              <w:right w:val="nil"/>
            </w:tcBorders>
            <w:shd w:val="clear" w:color="auto" w:fill="auto"/>
            <w:noWrap/>
            <w:vAlign w:val="center"/>
            <w:hideMark/>
          </w:tcPr>
          <w:p w14:paraId="2977E966"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19</w:t>
            </w:r>
          </w:p>
        </w:tc>
        <w:tc>
          <w:tcPr>
            <w:tcW w:w="280" w:type="pct"/>
            <w:tcBorders>
              <w:top w:val="nil"/>
              <w:left w:val="nil"/>
              <w:bottom w:val="nil"/>
              <w:right w:val="nil"/>
            </w:tcBorders>
            <w:shd w:val="clear" w:color="000000" w:fill="E7E6E6"/>
            <w:noWrap/>
            <w:vAlign w:val="center"/>
            <w:hideMark/>
          </w:tcPr>
          <w:p w14:paraId="7841B323" w14:textId="77777777" w:rsidR="004E7B7E" w:rsidRPr="008B619A" w:rsidRDefault="004E7B7E" w:rsidP="008055B8">
            <w:pPr>
              <w:widowControl/>
              <w:jc w:val="center"/>
              <w:rPr>
                <w:rFonts w:hAnsi="標楷體" w:cs="Tahoma"/>
                <w:color w:val="000000" w:themeColor="text1"/>
                <w:kern w:val="0"/>
                <w:sz w:val="15"/>
                <w:szCs w:val="15"/>
              </w:rPr>
            </w:pPr>
            <w:r w:rsidRPr="008B619A">
              <w:rPr>
                <w:rFonts w:hAnsi="標楷體" w:cs="Tahoma" w:hint="eastAsia"/>
                <w:color w:val="000000" w:themeColor="text1"/>
                <w:kern w:val="0"/>
                <w:sz w:val="15"/>
                <w:szCs w:val="15"/>
              </w:rPr>
              <w:t>0.7</w:t>
            </w:r>
          </w:p>
        </w:tc>
      </w:tr>
      <w:tr w:rsidR="004E7B7E" w:rsidRPr="008B619A" w14:paraId="31707F5E" w14:textId="77777777" w:rsidTr="006400F0">
        <w:trPr>
          <w:trHeight w:val="330"/>
        </w:trPr>
        <w:tc>
          <w:tcPr>
            <w:tcW w:w="480" w:type="pct"/>
            <w:tcBorders>
              <w:top w:val="nil"/>
              <w:left w:val="nil"/>
              <w:bottom w:val="nil"/>
              <w:right w:val="single" w:sz="4" w:space="0" w:color="auto"/>
            </w:tcBorders>
            <w:shd w:val="clear" w:color="auto" w:fill="auto"/>
            <w:noWrap/>
            <w:vAlign w:val="center"/>
            <w:hideMark/>
          </w:tcPr>
          <w:p w14:paraId="1CB8FD0A" w14:textId="77777777" w:rsidR="004E7B7E" w:rsidRPr="008B619A" w:rsidRDefault="004E7B7E" w:rsidP="006400F0">
            <w:pPr>
              <w:widowControl/>
              <w:rPr>
                <w:rFonts w:hAnsi="標楷體" w:cs="Tahoma"/>
                <w:color w:val="000000" w:themeColor="text1"/>
                <w:kern w:val="0"/>
                <w:sz w:val="20"/>
              </w:rPr>
            </w:pPr>
            <w:r w:rsidRPr="008B619A">
              <w:rPr>
                <w:rFonts w:hAnsi="標楷體" w:cs="Tahoma" w:hint="eastAsia"/>
                <w:color w:val="000000" w:themeColor="text1"/>
                <w:kern w:val="0"/>
                <w:sz w:val="20"/>
              </w:rPr>
              <w:t>生命科學</w:t>
            </w:r>
          </w:p>
        </w:tc>
        <w:tc>
          <w:tcPr>
            <w:tcW w:w="223" w:type="pct"/>
            <w:tcBorders>
              <w:top w:val="nil"/>
              <w:left w:val="nil"/>
              <w:bottom w:val="nil"/>
              <w:right w:val="nil"/>
            </w:tcBorders>
            <w:shd w:val="clear" w:color="auto" w:fill="auto"/>
            <w:noWrap/>
            <w:vAlign w:val="center"/>
            <w:hideMark/>
          </w:tcPr>
          <w:p w14:paraId="7FD022C6"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162</w:t>
            </w:r>
          </w:p>
        </w:tc>
        <w:tc>
          <w:tcPr>
            <w:tcW w:w="223" w:type="pct"/>
            <w:tcBorders>
              <w:top w:val="nil"/>
              <w:left w:val="nil"/>
              <w:bottom w:val="nil"/>
              <w:right w:val="nil"/>
            </w:tcBorders>
            <w:shd w:val="clear" w:color="000000" w:fill="E7E6E6"/>
            <w:noWrap/>
            <w:vAlign w:val="center"/>
            <w:hideMark/>
          </w:tcPr>
          <w:p w14:paraId="6ED30455"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5.2</w:t>
            </w:r>
          </w:p>
        </w:tc>
        <w:tc>
          <w:tcPr>
            <w:tcW w:w="223" w:type="pct"/>
            <w:tcBorders>
              <w:top w:val="nil"/>
              <w:left w:val="nil"/>
              <w:bottom w:val="nil"/>
              <w:right w:val="nil"/>
            </w:tcBorders>
            <w:shd w:val="clear" w:color="auto" w:fill="auto"/>
            <w:noWrap/>
            <w:vAlign w:val="center"/>
            <w:hideMark/>
          </w:tcPr>
          <w:p w14:paraId="305A1B34"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216</w:t>
            </w:r>
          </w:p>
        </w:tc>
        <w:tc>
          <w:tcPr>
            <w:tcW w:w="223" w:type="pct"/>
            <w:tcBorders>
              <w:top w:val="nil"/>
              <w:left w:val="nil"/>
              <w:bottom w:val="nil"/>
              <w:right w:val="nil"/>
            </w:tcBorders>
            <w:shd w:val="clear" w:color="000000" w:fill="E7E6E6"/>
            <w:noWrap/>
            <w:vAlign w:val="center"/>
            <w:hideMark/>
          </w:tcPr>
          <w:p w14:paraId="0BD26A24"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6.7</w:t>
            </w:r>
          </w:p>
        </w:tc>
        <w:tc>
          <w:tcPr>
            <w:tcW w:w="223" w:type="pct"/>
            <w:tcBorders>
              <w:top w:val="nil"/>
              <w:left w:val="nil"/>
              <w:bottom w:val="nil"/>
              <w:right w:val="nil"/>
            </w:tcBorders>
            <w:shd w:val="clear" w:color="auto" w:fill="auto"/>
            <w:noWrap/>
            <w:vAlign w:val="center"/>
            <w:hideMark/>
          </w:tcPr>
          <w:p w14:paraId="223EAF29"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202</w:t>
            </w:r>
          </w:p>
        </w:tc>
        <w:tc>
          <w:tcPr>
            <w:tcW w:w="223" w:type="pct"/>
            <w:tcBorders>
              <w:top w:val="nil"/>
              <w:left w:val="nil"/>
              <w:bottom w:val="nil"/>
              <w:right w:val="nil"/>
            </w:tcBorders>
            <w:shd w:val="clear" w:color="000000" w:fill="E7E6E6"/>
            <w:noWrap/>
            <w:vAlign w:val="center"/>
            <w:hideMark/>
          </w:tcPr>
          <w:p w14:paraId="59D287B1"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6.2</w:t>
            </w:r>
          </w:p>
        </w:tc>
        <w:tc>
          <w:tcPr>
            <w:tcW w:w="223" w:type="pct"/>
            <w:tcBorders>
              <w:top w:val="nil"/>
              <w:left w:val="nil"/>
              <w:bottom w:val="nil"/>
              <w:right w:val="nil"/>
            </w:tcBorders>
            <w:shd w:val="clear" w:color="auto" w:fill="auto"/>
            <w:noWrap/>
            <w:vAlign w:val="center"/>
            <w:hideMark/>
          </w:tcPr>
          <w:p w14:paraId="7CAC7C4C"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249</w:t>
            </w:r>
          </w:p>
        </w:tc>
        <w:tc>
          <w:tcPr>
            <w:tcW w:w="223" w:type="pct"/>
            <w:tcBorders>
              <w:top w:val="nil"/>
              <w:left w:val="nil"/>
              <w:bottom w:val="nil"/>
              <w:right w:val="nil"/>
            </w:tcBorders>
            <w:shd w:val="clear" w:color="000000" w:fill="E7E6E6"/>
            <w:noWrap/>
            <w:vAlign w:val="center"/>
            <w:hideMark/>
          </w:tcPr>
          <w:p w14:paraId="00295823"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7.0</w:t>
            </w:r>
          </w:p>
        </w:tc>
        <w:tc>
          <w:tcPr>
            <w:tcW w:w="223" w:type="pct"/>
            <w:tcBorders>
              <w:top w:val="nil"/>
              <w:left w:val="nil"/>
              <w:bottom w:val="nil"/>
              <w:right w:val="nil"/>
            </w:tcBorders>
            <w:shd w:val="clear" w:color="auto" w:fill="auto"/>
            <w:noWrap/>
            <w:vAlign w:val="center"/>
            <w:hideMark/>
          </w:tcPr>
          <w:p w14:paraId="4D26F92D"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203</w:t>
            </w:r>
          </w:p>
        </w:tc>
        <w:tc>
          <w:tcPr>
            <w:tcW w:w="223" w:type="pct"/>
            <w:tcBorders>
              <w:top w:val="nil"/>
              <w:left w:val="nil"/>
              <w:bottom w:val="nil"/>
              <w:right w:val="nil"/>
            </w:tcBorders>
            <w:shd w:val="clear" w:color="000000" w:fill="E7E6E6"/>
            <w:noWrap/>
            <w:vAlign w:val="center"/>
            <w:hideMark/>
          </w:tcPr>
          <w:p w14:paraId="6B32119B"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6.0</w:t>
            </w:r>
          </w:p>
        </w:tc>
        <w:tc>
          <w:tcPr>
            <w:tcW w:w="223" w:type="pct"/>
            <w:tcBorders>
              <w:top w:val="nil"/>
              <w:left w:val="nil"/>
              <w:bottom w:val="nil"/>
              <w:right w:val="nil"/>
            </w:tcBorders>
            <w:shd w:val="clear" w:color="auto" w:fill="auto"/>
            <w:noWrap/>
            <w:vAlign w:val="center"/>
            <w:hideMark/>
          </w:tcPr>
          <w:p w14:paraId="7ADA62DD"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237</w:t>
            </w:r>
          </w:p>
        </w:tc>
        <w:tc>
          <w:tcPr>
            <w:tcW w:w="223" w:type="pct"/>
            <w:tcBorders>
              <w:top w:val="nil"/>
              <w:left w:val="nil"/>
              <w:bottom w:val="nil"/>
              <w:right w:val="nil"/>
            </w:tcBorders>
            <w:shd w:val="clear" w:color="000000" w:fill="E7E6E6"/>
            <w:noWrap/>
            <w:vAlign w:val="center"/>
            <w:hideMark/>
          </w:tcPr>
          <w:p w14:paraId="270FA65B"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7.2</w:t>
            </w:r>
          </w:p>
        </w:tc>
        <w:tc>
          <w:tcPr>
            <w:tcW w:w="223" w:type="pct"/>
            <w:tcBorders>
              <w:top w:val="nil"/>
              <w:left w:val="nil"/>
              <w:bottom w:val="nil"/>
              <w:right w:val="nil"/>
            </w:tcBorders>
            <w:shd w:val="clear" w:color="auto" w:fill="auto"/>
            <w:noWrap/>
            <w:vAlign w:val="center"/>
            <w:hideMark/>
          </w:tcPr>
          <w:p w14:paraId="1E6DC475"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228</w:t>
            </w:r>
          </w:p>
        </w:tc>
        <w:tc>
          <w:tcPr>
            <w:tcW w:w="223" w:type="pct"/>
            <w:tcBorders>
              <w:top w:val="nil"/>
              <w:left w:val="nil"/>
              <w:bottom w:val="nil"/>
              <w:right w:val="nil"/>
            </w:tcBorders>
            <w:shd w:val="clear" w:color="000000" w:fill="E7E6E6"/>
            <w:noWrap/>
            <w:vAlign w:val="center"/>
            <w:hideMark/>
          </w:tcPr>
          <w:p w14:paraId="74167658"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7.9</w:t>
            </w:r>
          </w:p>
        </w:tc>
        <w:tc>
          <w:tcPr>
            <w:tcW w:w="223" w:type="pct"/>
            <w:tcBorders>
              <w:top w:val="nil"/>
              <w:left w:val="nil"/>
              <w:bottom w:val="nil"/>
              <w:right w:val="nil"/>
            </w:tcBorders>
            <w:shd w:val="clear" w:color="auto" w:fill="auto"/>
            <w:noWrap/>
            <w:vAlign w:val="center"/>
            <w:hideMark/>
          </w:tcPr>
          <w:p w14:paraId="1CC716DD"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210</w:t>
            </w:r>
          </w:p>
        </w:tc>
        <w:tc>
          <w:tcPr>
            <w:tcW w:w="223" w:type="pct"/>
            <w:tcBorders>
              <w:top w:val="nil"/>
              <w:left w:val="nil"/>
              <w:bottom w:val="nil"/>
              <w:right w:val="nil"/>
            </w:tcBorders>
            <w:shd w:val="clear" w:color="000000" w:fill="E7E6E6"/>
            <w:noWrap/>
            <w:vAlign w:val="center"/>
            <w:hideMark/>
          </w:tcPr>
          <w:p w14:paraId="1CC4F0BB"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7.5</w:t>
            </w:r>
          </w:p>
        </w:tc>
        <w:tc>
          <w:tcPr>
            <w:tcW w:w="223" w:type="pct"/>
            <w:tcBorders>
              <w:top w:val="nil"/>
              <w:left w:val="nil"/>
              <w:bottom w:val="nil"/>
              <w:right w:val="nil"/>
            </w:tcBorders>
            <w:shd w:val="clear" w:color="auto" w:fill="auto"/>
            <w:noWrap/>
            <w:vAlign w:val="center"/>
            <w:hideMark/>
          </w:tcPr>
          <w:p w14:paraId="4A54049C"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224</w:t>
            </w:r>
          </w:p>
        </w:tc>
        <w:tc>
          <w:tcPr>
            <w:tcW w:w="223" w:type="pct"/>
            <w:tcBorders>
              <w:top w:val="nil"/>
              <w:left w:val="nil"/>
              <w:bottom w:val="nil"/>
              <w:right w:val="nil"/>
            </w:tcBorders>
            <w:shd w:val="clear" w:color="000000" w:fill="E7E6E6"/>
            <w:noWrap/>
            <w:vAlign w:val="center"/>
            <w:hideMark/>
          </w:tcPr>
          <w:p w14:paraId="1441A3E0"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8.3</w:t>
            </w:r>
          </w:p>
        </w:tc>
        <w:tc>
          <w:tcPr>
            <w:tcW w:w="223" w:type="pct"/>
            <w:tcBorders>
              <w:top w:val="nil"/>
              <w:left w:val="nil"/>
              <w:bottom w:val="nil"/>
              <w:right w:val="nil"/>
            </w:tcBorders>
            <w:shd w:val="clear" w:color="auto" w:fill="auto"/>
            <w:noWrap/>
            <w:vAlign w:val="center"/>
            <w:hideMark/>
          </w:tcPr>
          <w:p w14:paraId="35387BA0"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185</w:t>
            </w:r>
          </w:p>
        </w:tc>
        <w:tc>
          <w:tcPr>
            <w:tcW w:w="280" w:type="pct"/>
            <w:tcBorders>
              <w:top w:val="nil"/>
              <w:left w:val="nil"/>
              <w:bottom w:val="nil"/>
              <w:right w:val="nil"/>
            </w:tcBorders>
            <w:shd w:val="clear" w:color="000000" w:fill="E7E6E6"/>
            <w:noWrap/>
            <w:vAlign w:val="center"/>
            <w:hideMark/>
          </w:tcPr>
          <w:p w14:paraId="52EB8C41" w14:textId="77777777" w:rsidR="004E7B7E" w:rsidRPr="008B619A" w:rsidRDefault="004E7B7E" w:rsidP="008055B8">
            <w:pPr>
              <w:widowControl/>
              <w:jc w:val="center"/>
              <w:rPr>
                <w:rFonts w:hAnsi="標楷體" w:cs="Tahoma"/>
                <w:color w:val="000000" w:themeColor="text1"/>
                <w:kern w:val="0"/>
                <w:sz w:val="15"/>
                <w:szCs w:val="15"/>
              </w:rPr>
            </w:pPr>
            <w:r w:rsidRPr="008B619A">
              <w:rPr>
                <w:rFonts w:hAnsi="標楷體" w:cs="Tahoma" w:hint="eastAsia"/>
                <w:color w:val="000000" w:themeColor="text1"/>
                <w:kern w:val="0"/>
                <w:sz w:val="15"/>
                <w:szCs w:val="15"/>
              </w:rPr>
              <w:t>7.2</w:t>
            </w:r>
          </w:p>
        </w:tc>
      </w:tr>
      <w:tr w:rsidR="004E7B7E" w:rsidRPr="008B619A" w14:paraId="2C2E2069" w14:textId="77777777" w:rsidTr="006400F0">
        <w:trPr>
          <w:trHeight w:val="330"/>
        </w:trPr>
        <w:tc>
          <w:tcPr>
            <w:tcW w:w="480" w:type="pct"/>
            <w:tcBorders>
              <w:top w:val="nil"/>
              <w:left w:val="nil"/>
              <w:bottom w:val="nil"/>
              <w:right w:val="single" w:sz="4" w:space="0" w:color="auto"/>
            </w:tcBorders>
            <w:shd w:val="clear" w:color="auto" w:fill="auto"/>
            <w:noWrap/>
            <w:vAlign w:val="center"/>
            <w:hideMark/>
          </w:tcPr>
          <w:p w14:paraId="43D30640" w14:textId="77777777" w:rsidR="004E7B7E" w:rsidRPr="008B619A" w:rsidRDefault="004E7B7E" w:rsidP="006400F0">
            <w:pPr>
              <w:widowControl/>
              <w:rPr>
                <w:rFonts w:hAnsi="標楷體" w:cs="Tahoma"/>
                <w:color w:val="000000" w:themeColor="text1"/>
                <w:kern w:val="0"/>
                <w:sz w:val="20"/>
              </w:rPr>
            </w:pPr>
            <w:r w:rsidRPr="008B619A">
              <w:rPr>
                <w:rFonts w:hAnsi="標楷體" w:cs="Tahoma" w:hint="eastAsia"/>
                <w:color w:val="000000" w:themeColor="text1"/>
                <w:kern w:val="0"/>
                <w:sz w:val="20"/>
              </w:rPr>
              <w:t>環境</w:t>
            </w:r>
          </w:p>
        </w:tc>
        <w:tc>
          <w:tcPr>
            <w:tcW w:w="223" w:type="pct"/>
            <w:tcBorders>
              <w:top w:val="nil"/>
              <w:left w:val="nil"/>
              <w:bottom w:val="nil"/>
              <w:right w:val="nil"/>
            </w:tcBorders>
            <w:shd w:val="clear" w:color="auto" w:fill="auto"/>
            <w:noWrap/>
            <w:vAlign w:val="center"/>
            <w:hideMark/>
          </w:tcPr>
          <w:p w14:paraId="11A39B92"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8</w:t>
            </w:r>
          </w:p>
        </w:tc>
        <w:tc>
          <w:tcPr>
            <w:tcW w:w="223" w:type="pct"/>
            <w:tcBorders>
              <w:top w:val="nil"/>
              <w:left w:val="nil"/>
              <w:bottom w:val="nil"/>
              <w:right w:val="nil"/>
            </w:tcBorders>
            <w:shd w:val="clear" w:color="000000" w:fill="E7E6E6"/>
            <w:noWrap/>
            <w:vAlign w:val="center"/>
            <w:hideMark/>
          </w:tcPr>
          <w:p w14:paraId="4C93ED1B"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0.3</w:t>
            </w:r>
          </w:p>
        </w:tc>
        <w:tc>
          <w:tcPr>
            <w:tcW w:w="223" w:type="pct"/>
            <w:tcBorders>
              <w:top w:val="nil"/>
              <w:left w:val="nil"/>
              <w:bottom w:val="nil"/>
              <w:right w:val="nil"/>
            </w:tcBorders>
            <w:shd w:val="clear" w:color="auto" w:fill="auto"/>
            <w:noWrap/>
            <w:vAlign w:val="center"/>
            <w:hideMark/>
          </w:tcPr>
          <w:p w14:paraId="61FC0012"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7</w:t>
            </w:r>
          </w:p>
        </w:tc>
        <w:tc>
          <w:tcPr>
            <w:tcW w:w="223" w:type="pct"/>
            <w:tcBorders>
              <w:top w:val="nil"/>
              <w:left w:val="nil"/>
              <w:bottom w:val="nil"/>
              <w:right w:val="nil"/>
            </w:tcBorders>
            <w:shd w:val="clear" w:color="000000" w:fill="E7E6E6"/>
            <w:noWrap/>
            <w:vAlign w:val="center"/>
            <w:hideMark/>
          </w:tcPr>
          <w:p w14:paraId="1B9B9586"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0.2</w:t>
            </w:r>
          </w:p>
        </w:tc>
        <w:tc>
          <w:tcPr>
            <w:tcW w:w="223" w:type="pct"/>
            <w:tcBorders>
              <w:top w:val="nil"/>
              <w:left w:val="nil"/>
              <w:bottom w:val="nil"/>
              <w:right w:val="nil"/>
            </w:tcBorders>
            <w:shd w:val="clear" w:color="auto" w:fill="auto"/>
            <w:noWrap/>
            <w:vAlign w:val="center"/>
            <w:hideMark/>
          </w:tcPr>
          <w:p w14:paraId="3AC3E722"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11</w:t>
            </w:r>
          </w:p>
        </w:tc>
        <w:tc>
          <w:tcPr>
            <w:tcW w:w="223" w:type="pct"/>
            <w:tcBorders>
              <w:top w:val="nil"/>
              <w:left w:val="nil"/>
              <w:bottom w:val="nil"/>
              <w:right w:val="nil"/>
            </w:tcBorders>
            <w:shd w:val="clear" w:color="000000" w:fill="E7E6E6"/>
            <w:noWrap/>
            <w:vAlign w:val="center"/>
            <w:hideMark/>
          </w:tcPr>
          <w:p w14:paraId="0886D8B3"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0.3</w:t>
            </w:r>
          </w:p>
        </w:tc>
        <w:tc>
          <w:tcPr>
            <w:tcW w:w="223" w:type="pct"/>
            <w:tcBorders>
              <w:top w:val="nil"/>
              <w:left w:val="nil"/>
              <w:bottom w:val="nil"/>
              <w:right w:val="nil"/>
            </w:tcBorders>
            <w:shd w:val="clear" w:color="auto" w:fill="auto"/>
            <w:noWrap/>
            <w:vAlign w:val="center"/>
            <w:hideMark/>
          </w:tcPr>
          <w:p w14:paraId="3833FA3C"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10</w:t>
            </w:r>
          </w:p>
        </w:tc>
        <w:tc>
          <w:tcPr>
            <w:tcW w:w="223" w:type="pct"/>
            <w:tcBorders>
              <w:top w:val="nil"/>
              <w:left w:val="nil"/>
              <w:bottom w:val="nil"/>
              <w:right w:val="nil"/>
            </w:tcBorders>
            <w:shd w:val="clear" w:color="000000" w:fill="E7E6E6"/>
            <w:noWrap/>
            <w:vAlign w:val="center"/>
            <w:hideMark/>
          </w:tcPr>
          <w:p w14:paraId="3D1393E8"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0.3</w:t>
            </w:r>
          </w:p>
        </w:tc>
        <w:tc>
          <w:tcPr>
            <w:tcW w:w="223" w:type="pct"/>
            <w:tcBorders>
              <w:top w:val="nil"/>
              <w:left w:val="nil"/>
              <w:bottom w:val="nil"/>
              <w:right w:val="nil"/>
            </w:tcBorders>
            <w:shd w:val="clear" w:color="auto" w:fill="auto"/>
            <w:noWrap/>
            <w:vAlign w:val="center"/>
            <w:hideMark/>
          </w:tcPr>
          <w:p w14:paraId="331E0964"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8</w:t>
            </w:r>
          </w:p>
        </w:tc>
        <w:tc>
          <w:tcPr>
            <w:tcW w:w="223" w:type="pct"/>
            <w:tcBorders>
              <w:top w:val="nil"/>
              <w:left w:val="nil"/>
              <w:bottom w:val="nil"/>
              <w:right w:val="nil"/>
            </w:tcBorders>
            <w:shd w:val="clear" w:color="000000" w:fill="E7E6E6"/>
            <w:noWrap/>
            <w:vAlign w:val="center"/>
            <w:hideMark/>
          </w:tcPr>
          <w:p w14:paraId="225B2090"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0.2</w:t>
            </w:r>
          </w:p>
        </w:tc>
        <w:tc>
          <w:tcPr>
            <w:tcW w:w="223" w:type="pct"/>
            <w:tcBorders>
              <w:top w:val="nil"/>
              <w:left w:val="nil"/>
              <w:bottom w:val="nil"/>
              <w:right w:val="nil"/>
            </w:tcBorders>
            <w:shd w:val="clear" w:color="auto" w:fill="auto"/>
            <w:noWrap/>
            <w:vAlign w:val="center"/>
            <w:hideMark/>
          </w:tcPr>
          <w:p w14:paraId="1CFD08FC"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5</w:t>
            </w:r>
          </w:p>
        </w:tc>
        <w:tc>
          <w:tcPr>
            <w:tcW w:w="223" w:type="pct"/>
            <w:tcBorders>
              <w:top w:val="nil"/>
              <w:left w:val="nil"/>
              <w:bottom w:val="nil"/>
              <w:right w:val="nil"/>
            </w:tcBorders>
            <w:shd w:val="clear" w:color="000000" w:fill="E7E6E6"/>
            <w:noWrap/>
            <w:vAlign w:val="center"/>
            <w:hideMark/>
          </w:tcPr>
          <w:p w14:paraId="324E68C4"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0.2</w:t>
            </w:r>
          </w:p>
        </w:tc>
        <w:tc>
          <w:tcPr>
            <w:tcW w:w="223" w:type="pct"/>
            <w:tcBorders>
              <w:top w:val="nil"/>
              <w:left w:val="nil"/>
              <w:bottom w:val="nil"/>
              <w:right w:val="nil"/>
            </w:tcBorders>
            <w:shd w:val="clear" w:color="auto" w:fill="auto"/>
            <w:noWrap/>
            <w:vAlign w:val="center"/>
            <w:hideMark/>
          </w:tcPr>
          <w:p w14:paraId="0515EA0B"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21</w:t>
            </w:r>
          </w:p>
        </w:tc>
        <w:tc>
          <w:tcPr>
            <w:tcW w:w="223" w:type="pct"/>
            <w:tcBorders>
              <w:top w:val="nil"/>
              <w:left w:val="nil"/>
              <w:bottom w:val="nil"/>
              <w:right w:val="nil"/>
            </w:tcBorders>
            <w:shd w:val="clear" w:color="000000" w:fill="E7E6E6"/>
            <w:noWrap/>
            <w:vAlign w:val="center"/>
            <w:hideMark/>
          </w:tcPr>
          <w:p w14:paraId="34C05C5F"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0.7</w:t>
            </w:r>
          </w:p>
        </w:tc>
        <w:tc>
          <w:tcPr>
            <w:tcW w:w="223" w:type="pct"/>
            <w:tcBorders>
              <w:top w:val="nil"/>
              <w:left w:val="nil"/>
              <w:bottom w:val="nil"/>
              <w:right w:val="nil"/>
            </w:tcBorders>
            <w:shd w:val="clear" w:color="auto" w:fill="auto"/>
            <w:noWrap/>
            <w:vAlign w:val="center"/>
            <w:hideMark/>
          </w:tcPr>
          <w:p w14:paraId="52A48113"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13</w:t>
            </w:r>
          </w:p>
        </w:tc>
        <w:tc>
          <w:tcPr>
            <w:tcW w:w="223" w:type="pct"/>
            <w:tcBorders>
              <w:top w:val="nil"/>
              <w:left w:val="nil"/>
              <w:bottom w:val="nil"/>
              <w:right w:val="nil"/>
            </w:tcBorders>
            <w:shd w:val="clear" w:color="000000" w:fill="E7E6E6"/>
            <w:noWrap/>
            <w:vAlign w:val="center"/>
            <w:hideMark/>
          </w:tcPr>
          <w:p w14:paraId="0BF8AA92"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0.5</w:t>
            </w:r>
          </w:p>
        </w:tc>
        <w:tc>
          <w:tcPr>
            <w:tcW w:w="223" w:type="pct"/>
            <w:tcBorders>
              <w:top w:val="nil"/>
              <w:left w:val="nil"/>
              <w:bottom w:val="nil"/>
              <w:right w:val="nil"/>
            </w:tcBorders>
            <w:shd w:val="clear" w:color="auto" w:fill="auto"/>
            <w:noWrap/>
            <w:vAlign w:val="center"/>
            <w:hideMark/>
          </w:tcPr>
          <w:p w14:paraId="5DB44F65"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10</w:t>
            </w:r>
          </w:p>
        </w:tc>
        <w:tc>
          <w:tcPr>
            <w:tcW w:w="223" w:type="pct"/>
            <w:tcBorders>
              <w:top w:val="nil"/>
              <w:left w:val="nil"/>
              <w:bottom w:val="nil"/>
              <w:right w:val="nil"/>
            </w:tcBorders>
            <w:shd w:val="clear" w:color="000000" w:fill="E7E6E6"/>
            <w:noWrap/>
            <w:vAlign w:val="center"/>
            <w:hideMark/>
          </w:tcPr>
          <w:p w14:paraId="6956C3E9"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0.4</w:t>
            </w:r>
          </w:p>
        </w:tc>
        <w:tc>
          <w:tcPr>
            <w:tcW w:w="223" w:type="pct"/>
            <w:tcBorders>
              <w:top w:val="nil"/>
              <w:left w:val="nil"/>
              <w:bottom w:val="nil"/>
              <w:right w:val="nil"/>
            </w:tcBorders>
            <w:shd w:val="clear" w:color="auto" w:fill="auto"/>
            <w:noWrap/>
            <w:vAlign w:val="center"/>
            <w:hideMark/>
          </w:tcPr>
          <w:p w14:paraId="40A6A2E7"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2</w:t>
            </w:r>
          </w:p>
        </w:tc>
        <w:tc>
          <w:tcPr>
            <w:tcW w:w="280" w:type="pct"/>
            <w:tcBorders>
              <w:top w:val="nil"/>
              <w:left w:val="nil"/>
              <w:bottom w:val="nil"/>
              <w:right w:val="nil"/>
            </w:tcBorders>
            <w:shd w:val="clear" w:color="000000" w:fill="E7E6E6"/>
            <w:noWrap/>
            <w:vAlign w:val="center"/>
            <w:hideMark/>
          </w:tcPr>
          <w:p w14:paraId="53C448EA" w14:textId="77777777" w:rsidR="004E7B7E" w:rsidRPr="008B619A" w:rsidRDefault="004E7B7E" w:rsidP="008055B8">
            <w:pPr>
              <w:widowControl/>
              <w:jc w:val="center"/>
              <w:rPr>
                <w:rFonts w:hAnsi="標楷體" w:cs="Tahoma"/>
                <w:color w:val="000000" w:themeColor="text1"/>
                <w:kern w:val="0"/>
                <w:sz w:val="15"/>
                <w:szCs w:val="15"/>
              </w:rPr>
            </w:pPr>
            <w:r w:rsidRPr="008B619A">
              <w:rPr>
                <w:rFonts w:hAnsi="標楷體" w:cs="Tahoma" w:hint="eastAsia"/>
                <w:color w:val="000000" w:themeColor="text1"/>
                <w:kern w:val="0"/>
                <w:sz w:val="15"/>
                <w:szCs w:val="15"/>
              </w:rPr>
              <w:t>0.1</w:t>
            </w:r>
          </w:p>
        </w:tc>
      </w:tr>
      <w:tr w:rsidR="004E7B7E" w:rsidRPr="008B619A" w14:paraId="1CA9280F" w14:textId="77777777" w:rsidTr="006400F0">
        <w:trPr>
          <w:trHeight w:val="330"/>
        </w:trPr>
        <w:tc>
          <w:tcPr>
            <w:tcW w:w="480" w:type="pct"/>
            <w:tcBorders>
              <w:top w:val="nil"/>
              <w:left w:val="nil"/>
              <w:bottom w:val="nil"/>
              <w:right w:val="single" w:sz="4" w:space="0" w:color="auto"/>
            </w:tcBorders>
            <w:shd w:val="clear" w:color="auto" w:fill="auto"/>
            <w:noWrap/>
            <w:vAlign w:val="center"/>
            <w:hideMark/>
          </w:tcPr>
          <w:p w14:paraId="009E291A" w14:textId="77777777" w:rsidR="004E7B7E" w:rsidRPr="008B619A" w:rsidRDefault="004E7B7E" w:rsidP="006400F0">
            <w:pPr>
              <w:widowControl/>
              <w:rPr>
                <w:rFonts w:hAnsi="標楷體" w:cs="Tahoma"/>
                <w:color w:val="000000" w:themeColor="text1"/>
                <w:kern w:val="0"/>
                <w:sz w:val="20"/>
              </w:rPr>
            </w:pPr>
            <w:r w:rsidRPr="008B619A">
              <w:rPr>
                <w:rFonts w:hAnsi="標楷體" w:cs="Tahoma" w:hint="eastAsia"/>
                <w:color w:val="000000" w:themeColor="text1"/>
                <w:kern w:val="0"/>
                <w:sz w:val="20"/>
              </w:rPr>
              <w:t>物理、化學及地球科學</w:t>
            </w:r>
          </w:p>
        </w:tc>
        <w:tc>
          <w:tcPr>
            <w:tcW w:w="223" w:type="pct"/>
            <w:tcBorders>
              <w:top w:val="nil"/>
              <w:left w:val="nil"/>
              <w:bottom w:val="nil"/>
              <w:right w:val="nil"/>
            </w:tcBorders>
            <w:shd w:val="clear" w:color="auto" w:fill="auto"/>
            <w:noWrap/>
            <w:vAlign w:val="center"/>
            <w:hideMark/>
          </w:tcPr>
          <w:p w14:paraId="4E9B6C76"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285</w:t>
            </w:r>
          </w:p>
        </w:tc>
        <w:tc>
          <w:tcPr>
            <w:tcW w:w="223" w:type="pct"/>
            <w:tcBorders>
              <w:top w:val="nil"/>
              <w:left w:val="nil"/>
              <w:bottom w:val="nil"/>
              <w:right w:val="nil"/>
            </w:tcBorders>
            <w:shd w:val="clear" w:color="000000" w:fill="E7E6E6"/>
            <w:noWrap/>
            <w:vAlign w:val="center"/>
            <w:hideMark/>
          </w:tcPr>
          <w:p w14:paraId="3B9CD68A"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9.2</w:t>
            </w:r>
          </w:p>
        </w:tc>
        <w:tc>
          <w:tcPr>
            <w:tcW w:w="223" w:type="pct"/>
            <w:tcBorders>
              <w:top w:val="nil"/>
              <w:left w:val="nil"/>
              <w:bottom w:val="nil"/>
              <w:right w:val="nil"/>
            </w:tcBorders>
            <w:shd w:val="clear" w:color="auto" w:fill="auto"/>
            <w:noWrap/>
            <w:vAlign w:val="center"/>
            <w:hideMark/>
          </w:tcPr>
          <w:p w14:paraId="0ADF521D"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254</w:t>
            </w:r>
          </w:p>
        </w:tc>
        <w:tc>
          <w:tcPr>
            <w:tcW w:w="223" w:type="pct"/>
            <w:tcBorders>
              <w:top w:val="nil"/>
              <w:left w:val="nil"/>
              <w:bottom w:val="nil"/>
              <w:right w:val="nil"/>
            </w:tcBorders>
            <w:shd w:val="clear" w:color="000000" w:fill="E7E6E6"/>
            <w:noWrap/>
            <w:vAlign w:val="center"/>
            <w:hideMark/>
          </w:tcPr>
          <w:p w14:paraId="345DDE2E"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7.9</w:t>
            </w:r>
          </w:p>
        </w:tc>
        <w:tc>
          <w:tcPr>
            <w:tcW w:w="223" w:type="pct"/>
            <w:tcBorders>
              <w:top w:val="nil"/>
              <w:left w:val="nil"/>
              <w:bottom w:val="nil"/>
              <w:right w:val="nil"/>
            </w:tcBorders>
            <w:shd w:val="clear" w:color="auto" w:fill="auto"/>
            <w:noWrap/>
            <w:vAlign w:val="center"/>
            <w:hideMark/>
          </w:tcPr>
          <w:p w14:paraId="102154AB"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277</w:t>
            </w:r>
          </w:p>
        </w:tc>
        <w:tc>
          <w:tcPr>
            <w:tcW w:w="223" w:type="pct"/>
            <w:tcBorders>
              <w:top w:val="nil"/>
              <w:left w:val="nil"/>
              <w:bottom w:val="nil"/>
              <w:right w:val="nil"/>
            </w:tcBorders>
            <w:shd w:val="clear" w:color="000000" w:fill="E7E6E6"/>
            <w:noWrap/>
            <w:vAlign w:val="center"/>
            <w:hideMark/>
          </w:tcPr>
          <w:p w14:paraId="69B9E24F"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8.5</w:t>
            </w:r>
          </w:p>
        </w:tc>
        <w:tc>
          <w:tcPr>
            <w:tcW w:w="223" w:type="pct"/>
            <w:tcBorders>
              <w:top w:val="nil"/>
              <w:left w:val="nil"/>
              <w:bottom w:val="nil"/>
              <w:right w:val="nil"/>
            </w:tcBorders>
            <w:shd w:val="clear" w:color="auto" w:fill="auto"/>
            <w:noWrap/>
            <w:vAlign w:val="center"/>
            <w:hideMark/>
          </w:tcPr>
          <w:p w14:paraId="1B2BE7C3"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317</w:t>
            </w:r>
          </w:p>
        </w:tc>
        <w:tc>
          <w:tcPr>
            <w:tcW w:w="223" w:type="pct"/>
            <w:tcBorders>
              <w:top w:val="nil"/>
              <w:left w:val="nil"/>
              <w:bottom w:val="nil"/>
              <w:right w:val="nil"/>
            </w:tcBorders>
            <w:shd w:val="clear" w:color="000000" w:fill="E7E6E6"/>
            <w:noWrap/>
            <w:vAlign w:val="center"/>
            <w:hideMark/>
          </w:tcPr>
          <w:p w14:paraId="7E66EF5D"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9.0</w:t>
            </w:r>
          </w:p>
        </w:tc>
        <w:tc>
          <w:tcPr>
            <w:tcW w:w="223" w:type="pct"/>
            <w:tcBorders>
              <w:top w:val="nil"/>
              <w:left w:val="nil"/>
              <w:bottom w:val="nil"/>
              <w:right w:val="nil"/>
            </w:tcBorders>
            <w:shd w:val="clear" w:color="auto" w:fill="auto"/>
            <w:noWrap/>
            <w:vAlign w:val="center"/>
            <w:hideMark/>
          </w:tcPr>
          <w:p w14:paraId="4DF9C695"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290</w:t>
            </w:r>
          </w:p>
        </w:tc>
        <w:tc>
          <w:tcPr>
            <w:tcW w:w="223" w:type="pct"/>
            <w:tcBorders>
              <w:top w:val="nil"/>
              <w:left w:val="nil"/>
              <w:bottom w:val="nil"/>
              <w:right w:val="nil"/>
            </w:tcBorders>
            <w:shd w:val="clear" w:color="000000" w:fill="E7E6E6"/>
            <w:noWrap/>
            <w:vAlign w:val="center"/>
            <w:hideMark/>
          </w:tcPr>
          <w:p w14:paraId="02442F74"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8.6</w:t>
            </w:r>
          </w:p>
        </w:tc>
        <w:tc>
          <w:tcPr>
            <w:tcW w:w="223" w:type="pct"/>
            <w:tcBorders>
              <w:top w:val="nil"/>
              <w:left w:val="nil"/>
              <w:bottom w:val="nil"/>
              <w:right w:val="nil"/>
            </w:tcBorders>
            <w:shd w:val="clear" w:color="auto" w:fill="auto"/>
            <w:noWrap/>
            <w:vAlign w:val="center"/>
            <w:hideMark/>
          </w:tcPr>
          <w:p w14:paraId="0CDD2925"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269</w:t>
            </w:r>
          </w:p>
        </w:tc>
        <w:tc>
          <w:tcPr>
            <w:tcW w:w="223" w:type="pct"/>
            <w:tcBorders>
              <w:top w:val="nil"/>
              <w:left w:val="nil"/>
              <w:bottom w:val="nil"/>
              <w:right w:val="nil"/>
            </w:tcBorders>
            <w:shd w:val="clear" w:color="000000" w:fill="E7E6E6"/>
            <w:noWrap/>
            <w:vAlign w:val="center"/>
            <w:hideMark/>
          </w:tcPr>
          <w:p w14:paraId="1B80262B"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8.2</w:t>
            </w:r>
          </w:p>
        </w:tc>
        <w:tc>
          <w:tcPr>
            <w:tcW w:w="223" w:type="pct"/>
            <w:tcBorders>
              <w:top w:val="nil"/>
              <w:left w:val="nil"/>
              <w:bottom w:val="nil"/>
              <w:right w:val="nil"/>
            </w:tcBorders>
            <w:shd w:val="clear" w:color="auto" w:fill="auto"/>
            <w:noWrap/>
            <w:vAlign w:val="center"/>
            <w:hideMark/>
          </w:tcPr>
          <w:p w14:paraId="1E451329"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236</w:t>
            </w:r>
          </w:p>
        </w:tc>
        <w:tc>
          <w:tcPr>
            <w:tcW w:w="223" w:type="pct"/>
            <w:tcBorders>
              <w:top w:val="nil"/>
              <w:left w:val="nil"/>
              <w:bottom w:val="nil"/>
              <w:right w:val="nil"/>
            </w:tcBorders>
            <w:shd w:val="clear" w:color="000000" w:fill="E7E6E6"/>
            <w:noWrap/>
            <w:vAlign w:val="center"/>
            <w:hideMark/>
          </w:tcPr>
          <w:p w14:paraId="5AFCC46D"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8.1</w:t>
            </w:r>
          </w:p>
        </w:tc>
        <w:tc>
          <w:tcPr>
            <w:tcW w:w="223" w:type="pct"/>
            <w:tcBorders>
              <w:top w:val="nil"/>
              <w:left w:val="nil"/>
              <w:bottom w:val="nil"/>
              <w:right w:val="nil"/>
            </w:tcBorders>
            <w:shd w:val="clear" w:color="auto" w:fill="auto"/>
            <w:noWrap/>
            <w:vAlign w:val="center"/>
            <w:hideMark/>
          </w:tcPr>
          <w:p w14:paraId="2E087875"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263</w:t>
            </w:r>
          </w:p>
        </w:tc>
        <w:tc>
          <w:tcPr>
            <w:tcW w:w="223" w:type="pct"/>
            <w:tcBorders>
              <w:top w:val="nil"/>
              <w:left w:val="nil"/>
              <w:bottom w:val="nil"/>
              <w:right w:val="nil"/>
            </w:tcBorders>
            <w:shd w:val="clear" w:color="000000" w:fill="E7E6E6"/>
            <w:noWrap/>
            <w:vAlign w:val="center"/>
            <w:hideMark/>
          </w:tcPr>
          <w:p w14:paraId="1601DD0D"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9.4</w:t>
            </w:r>
          </w:p>
        </w:tc>
        <w:tc>
          <w:tcPr>
            <w:tcW w:w="223" w:type="pct"/>
            <w:tcBorders>
              <w:top w:val="nil"/>
              <w:left w:val="nil"/>
              <w:bottom w:val="nil"/>
              <w:right w:val="nil"/>
            </w:tcBorders>
            <w:shd w:val="clear" w:color="auto" w:fill="auto"/>
            <w:noWrap/>
            <w:vAlign w:val="center"/>
            <w:hideMark/>
          </w:tcPr>
          <w:p w14:paraId="6089E635"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238</w:t>
            </w:r>
          </w:p>
        </w:tc>
        <w:tc>
          <w:tcPr>
            <w:tcW w:w="223" w:type="pct"/>
            <w:tcBorders>
              <w:top w:val="nil"/>
              <w:left w:val="nil"/>
              <w:bottom w:val="nil"/>
              <w:right w:val="nil"/>
            </w:tcBorders>
            <w:shd w:val="clear" w:color="000000" w:fill="E7E6E6"/>
            <w:noWrap/>
            <w:vAlign w:val="center"/>
            <w:hideMark/>
          </w:tcPr>
          <w:p w14:paraId="255158B8"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8.8</w:t>
            </w:r>
          </w:p>
        </w:tc>
        <w:tc>
          <w:tcPr>
            <w:tcW w:w="223" w:type="pct"/>
            <w:tcBorders>
              <w:top w:val="nil"/>
              <w:left w:val="nil"/>
              <w:bottom w:val="nil"/>
              <w:right w:val="nil"/>
            </w:tcBorders>
            <w:shd w:val="clear" w:color="auto" w:fill="auto"/>
            <w:noWrap/>
            <w:vAlign w:val="center"/>
            <w:hideMark/>
          </w:tcPr>
          <w:p w14:paraId="3CC5600A"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215</w:t>
            </w:r>
          </w:p>
        </w:tc>
        <w:tc>
          <w:tcPr>
            <w:tcW w:w="280" w:type="pct"/>
            <w:tcBorders>
              <w:top w:val="nil"/>
              <w:left w:val="nil"/>
              <w:bottom w:val="nil"/>
              <w:right w:val="nil"/>
            </w:tcBorders>
            <w:shd w:val="clear" w:color="000000" w:fill="E7E6E6"/>
            <w:noWrap/>
            <w:vAlign w:val="center"/>
            <w:hideMark/>
          </w:tcPr>
          <w:p w14:paraId="7B022743" w14:textId="77777777" w:rsidR="004E7B7E" w:rsidRPr="008B619A" w:rsidRDefault="004E7B7E" w:rsidP="008055B8">
            <w:pPr>
              <w:widowControl/>
              <w:jc w:val="center"/>
              <w:rPr>
                <w:rFonts w:hAnsi="標楷體" w:cs="Tahoma"/>
                <w:color w:val="000000" w:themeColor="text1"/>
                <w:kern w:val="0"/>
                <w:sz w:val="15"/>
                <w:szCs w:val="15"/>
              </w:rPr>
            </w:pPr>
            <w:r w:rsidRPr="008B619A">
              <w:rPr>
                <w:rFonts w:hAnsi="標楷體" w:cs="Tahoma" w:hint="eastAsia"/>
                <w:color w:val="000000" w:themeColor="text1"/>
                <w:kern w:val="0"/>
                <w:sz w:val="15"/>
                <w:szCs w:val="15"/>
              </w:rPr>
              <w:t>8.4</w:t>
            </w:r>
          </w:p>
        </w:tc>
      </w:tr>
      <w:tr w:rsidR="004E7B7E" w:rsidRPr="008B619A" w14:paraId="555813F4" w14:textId="77777777" w:rsidTr="006400F0">
        <w:trPr>
          <w:trHeight w:val="330"/>
        </w:trPr>
        <w:tc>
          <w:tcPr>
            <w:tcW w:w="480" w:type="pct"/>
            <w:tcBorders>
              <w:top w:val="nil"/>
              <w:left w:val="nil"/>
              <w:bottom w:val="nil"/>
              <w:right w:val="single" w:sz="4" w:space="0" w:color="auto"/>
            </w:tcBorders>
            <w:shd w:val="clear" w:color="auto" w:fill="auto"/>
            <w:noWrap/>
            <w:vAlign w:val="center"/>
            <w:hideMark/>
          </w:tcPr>
          <w:p w14:paraId="20727E86" w14:textId="77777777" w:rsidR="004E7B7E" w:rsidRPr="008B619A" w:rsidRDefault="004E7B7E" w:rsidP="006400F0">
            <w:pPr>
              <w:widowControl/>
              <w:rPr>
                <w:rFonts w:hAnsi="標楷體" w:cs="Tahoma"/>
                <w:color w:val="000000" w:themeColor="text1"/>
                <w:kern w:val="0"/>
                <w:sz w:val="20"/>
              </w:rPr>
            </w:pPr>
            <w:r w:rsidRPr="008B619A">
              <w:rPr>
                <w:rFonts w:hAnsi="標楷體" w:cs="Tahoma" w:hint="eastAsia"/>
                <w:color w:val="000000" w:themeColor="text1"/>
                <w:kern w:val="0"/>
                <w:sz w:val="20"/>
              </w:rPr>
              <w:t>數學及統計</w:t>
            </w:r>
          </w:p>
        </w:tc>
        <w:tc>
          <w:tcPr>
            <w:tcW w:w="223" w:type="pct"/>
            <w:tcBorders>
              <w:top w:val="nil"/>
              <w:left w:val="nil"/>
              <w:bottom w:val="nil"/>
              <w:right w:val="nil"/>
            </w:tcBorders>
            <w:shd w:val="clear" w:color="auto" w:fill="auto"/>
            <w:noWrap/>
            <w:vAlign w:val="center"/>
            <w:hideMark/>
          </w:tcPr>
          <w:p w14:paraId="636CA18F"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49</w:t>
            </w:r>
          </w:p>
        </w:tc>
        <w:tc>
          <w:tcPr>
            <w:tcW w:w="223" w:type="pct"/>
            <w:tcBorders>
              <w:top w:val="nil"/>
              <w:left w:val="nil"/>
              <w:bottom w:val="nil"/>
              <w:right w:val="nil"/>
            </w:tcBorders>
            <w:shd w:val="clear" w:color="000000" w:fill="E7E6E6"/>
            <w:noWrap/>
            <w:vAlign w:val="center"/>
            <w:hideMark/>
          </w:tcPr>
          <w:p w14:paraId="597EE4B5"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1.6</w:t>
            </w:r>
          </w:p>
        </w:tc>
        <w:tc>
          <w:tcPr>
            <w:tcW w:w="223" w:type="pct"/>
            <w:tcBorders>
              <w:top w:val="nil"/>
              <w:left w:val="nil"/>
              <w:bottom w:val="nil"/>
              <w:right w:val="nil"/>
            </w:tcBorders>
            <w:shd w:val="clear" w:color="auto" w:fill="auto"/>
            <w:noWrap/>
            <w:vAlign w:val="center"/>
            <w:hideMark/>
          </w:tcPr>
          <w:p w14:paraId="7418D3F5"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41</w:t>
            </w:r>
          </w:p>
        </w:tc>
        <w:tc>
          <w:tcPr>
            <w:tcW w:w="223" w:type="pct"/>
            <w:tcBorders>
              <w:top w:val="nil"/>
              <w:left w:val="nil"/>
              <w:bottom w:val="nil"/>
              <w:right w:val="nil"/>
            </w:tcBorders>
            <w:shd w:val="clear" w:color="000000" w:fill="E7E6E6"/>
            <w:noWrap/>
            <w:vAlign w:val="center"/>
            <w:hideMark/>
          </w:tcPr>
          <w:p w14:paraId="778866E5"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1.3</w:t>
            </w:r>
          </w:p>
        </w:tc>
        <w:tc>
          <w:tcPr>
            <w:tcW w:w="223" w:type="pct"/>
            <w:tcBorders>
              <w:top w:val="nil"/>
              <w:left w:val="nil"/>
              <w:bottom w:val="nil"/>
              <w:right w:val="nil"/>
            </w:tcBorders>
            <w:shd w:val="clear" w:color="auto" w:fill="auto"/>
            <w:noWrap/>
            <w:vAlign w:val="center"/>
            <w:hideMark/>
          </w:tcPr>
          <w:p w14:paraId="46E05A00"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49</w:t>
            </w:r>
          </w:p>
        </w:tc>
        <w:tc>
          <w:tcPr>
            <w:tcW w:w="223" w:type="pct"/>
            <w:tcBorders>
              <w:top w:val="nil"/>
              <w:left w:val="nil"/>
              <w:bottom w:val="nil"/>
              <w:right w:val="nil"/>
            </w:tcBorders>
            <w:shd w:val="clear" w:color="000000" w:fill="E7E6E6"/>
            <w:noWrap/>
            <w:vAlign w:val="center"/>
            <w:hideMark/>
          </w:tcPr>
          <w:p w14:paraId="27E980C0"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1.5</w:t>
            </w:r>
          </w:p>
        </w:tc>
        <w:tc>
          <w:tcPr>
            <w:tcW w:w="223" w:type="pct"/>
            <w:tcBorders>
              <w:top w:val="nil"/>
              <w:left w:val="nil"/>
              <w:bottom w:val="nil"/>
              <w:right w:val="nil"/>
            </w:tcBorders>
            <w:shd w:val="clear" w:color="auto" w:fill="auto"/>
            <w:noWrap/>
            <w:vAlign w:val="center"/>
            <w:hideMark/>
          </w:tcPr>
          <w:p w14:paraId="43FD1BEB"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42</w:t>
            </w:r>
          </w:p>
        </w:tc>
        <w:tc>
          <w:tcPr>
            <w:tcW w:w="223" w:type="pct"/>
            <w:tcBorders>
              <w:top w:val="nil"/>
              <w:left w:val="nil"/>
              <w:bottom w:val="nil"/>
              <w:right w:val="nil"/>
            </w:tcBorders>
            <w:shd w:val="clear" w:color="000000" w:fill="E7E6E6"/>
            <w:noWrap/>
            <w:vAlign w:val="center"/>
            <w:hideMark/>
          </w:tcPr>
          <w:p w14:paraId="6024DBDD"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1.2</w:t>
            </w:r>
          </w:p>
        </w:tc>
        <w:tc>
          <w:tcPr>
            <w:tcW w:w="223" w:type="pct"/>
            <w:tcBorders>
              <w:top w:val="nil"/>
              <w:left w:val="nil"/>
              <w:bottom w:val="nil"/>
              <w:right w:val="nil"/>
            </w:tcBorders>
            <w:shd w:val="clear" w:color="auto" w:fill="auto"/>
            <w:noWrap/>
            <w:vAlign w:val="center"/>
            <w:hideMark/>
          </w:tcPr>
          <w:p w14:paraId="011390CB"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47</w:t>
            </w:r>
          </w:p>
        </w:tc>
        <w:tc>
          <w:tcPr>
            <w:tcW w:w="223" w:type="pct"/>
            <w:tcBorders>
              <w:top w:val="nil"/>
              <w:left w:val="nil"/>
              <w:bottom w:val="nil"/>
              <w:right w:val="nil"/>
            </w:tcBorders>
            <w:shd w:val="clear" w:color="000000" w:fill="E7E6E6"/>
            <w:noWrap/>
            <w:vAlign w:val="center"/>
            <w:hideMark/>
          </w:tcPr>
          <w:p w14:paraId="66A6779D"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1.4</w:t>
            </w:r>
          </w:p>
        </w:tc>
        <w:tc>
          <w:tcPr>
            <w:tcW w:w="223" w:type="pct"/>
            <w:tcBorders>
              <w:top w:val="nil"/>
              <w:left w:val="nil"/>
              <w:bottom w:val="nil"/>
              <w:right w:val="nil"/>
            </w:tcBorders>
            <w:shd w:val="clear" w:color="auto" w:fill="auto"/>
            <w:noWrap/>
            <w:vAlign w:val="center"/>
            <w:hideMark/>
          </w:tcPr>
          <w:p w14:paraId="1B47A0E6"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31</w:t>
            </w:r>
          </w:p>
        </w:tc>
        <w:tc>
          <w:tcPr>
            <w:tcW w:w="223" w:type="pct"/>
            <w:tcBorders>
              <w:top w:val="nil"/>
              <w:left w:val="nil"/>
              <w:bottom w:val="nil"/>
              <w:right w:val="nil"/>
            </w:tcBorders>
            <w:shd w:val="clear" w:color="000000" w:fill="E7E6E6"/>
            <w:noWrap/>
            <w:vAlign w:val="center"/>
            <w:hideMark/>
          </w:tcPr>
          <w:p w14:paraId="25F454D9"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0.9</w:t>
            </w:r>
          </w:p>
        </w:tc>
        <w:tc>
          <w:tcPr>
            <w:tcW w:w="223" w:type="pct"/>
            <w:tcBorders>
              <w:top w:val="nil"/>
              <w:left w:val="nil"/>
              <w:bottom w:val="nil"/>
              <w:right w:val="nil"/>
            </w:tcBorders>
            <w:shd w:val="clear" w:color="auto" w:fill="auto"/>
            <w:noWrap/>
            <w:vAlign w:val="center"/>
            <w:hideMark/>
          </w:tcPr>
          <w:p w14:paraId="2967D2A3"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23</w:t>
            </w:r>
          </w:p>
        </w:tc>
        <w:tc>
          <w:tcPr>
            <w:tcW w:w="223" w:type="pct"/>
            <w:tcBorders>
              <w:top w:val="nil"/>
              <w:left w:val="nil"/>
              <w:bottom w:val="nil"/>
              <w:right w:val="nil"/>
            </w:tcBorders>
            <w:shd w:val="clear" w:color="000000" w:fill="E7E6E6"/>
            <w:noWrap/>
            <w:vAlign w:val="center"/>
            <w:hideMark/>
          </w:tcPr>
          <w:p w14:paraId="0F088DD6"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0.8</w:t>
            </w:r>
          </w:p>
        </w:tc>
        <w:tc>
          <w:tcPr>
            <w:tcW w:w="223" w:type="pct"/>
            <w:tcBorders>
              <w:top w:val="nil"/>
              <w:left w:val="nil"/>
              <w:bottom w:val="nil"/>
              <w:right w:val="nil"/>
            </w:tcBorders>
            <w:shd w:val="clear" w:color="auto" w:fill="auto"/>
            <w:noWrap/>
            <w:vAlign w:val="center"/>
            <w:hideMark/>
          </w:tcPr>
          <w:p w14:paraId="5635FD51"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25</w:t>
            </w:r>
          </w:p>
        </w:tc>
        <w:tc>
          <w:tcPr>
            <w:tcW w:w="223" w:type="pct"/>
            <w:tcBorders>
              <w:top w:val="nil"/>
              <w:left w:val="nil"/>
              <w:bottom w:val="nil"/>
              <w:right w:val="nil"/>
            </w:tcBorders>
            <w:shd w:val="clear" w:color="000000" w:fill="E7E6E6"/>
            <w:noWrap/>
            <w:vAlign w:val="center"/>
            <w:hideMark/>
          </w:tcPr>
          <w:p w14:paraId="7043FD91"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0.9</w:t>
            </w:r>
          </w:p>
        </w:tc>
        <w:tc>
          <w:tcPr>
            <w:tcW w:w="223" w:type="pct"/>
            <w:tcBorders>
              <w:top w:val="nil"/>
              <w:left w:val="nil"/>
              <w:bottom w:val="nil"/>
              <w:right w:val="nil"/>
            </w:tcBorders>
            <w:shd w:val="clear" w:color="auto" w:fill="auto"/>
            <w:noWrap/>
            <w:vAlign w:val="center"/>
            <w:hideMark/>
          </w:tcPr>
          <w:p w14:paraId="7B638827"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26</w:t>
            </w:r>
          </w:p>
        </w:tc>
        <w:tc>
          <w:tcPr>
            <w:tcW w:w="223" w:type="pct"/>
            <w:tcBorders>
              <w:top w:val="nil"/>
              <w:left w:val="nil"/>
              <w:bottom w:val="nil"/>
              <w:right w:val="nil"/>
            </w:tcBorders>
            <w:shd w:val="clear" w:color="000000" w:fill="E7E6E6"/>
            <w:noWrap/>
            <w:vAlign w:val="center"/>
            <w:hideMark/>
          </w:tcPr>
          <w:p w14:paraId="346B3056"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1.0</w:t>
            </w:r>
          </w:p>
        </w:tc>
        <w:tc>
          <w:tcPr>
            <w:tcW w:w="223" w:type="pct"/>
            <w:tcBorders>
              <w:top w:val="nil"/>
              <w:left w:val="nil"/>
              <w:bottom w:val="nil"/>
              <w:right w:val="nil"/>
            </w:tcBorders>
            <w:shd w:val="clear" w:color="auto" w:fill="auto"/>
            <w:noWrap/>
            <w:vAlign w:val="center"/>
            <w:hideMark/>
          </w:tcPr>
          <w:p w14:paraId="0F2A29F0"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22</w:t>
            </w:r>
          </w:p>
        </w:tc>
        <w:tc>
          <w:tcPr>
            <w:tcW w:w="280" w:type="pct"/>
            <w:tcBorders>
              <w:top w:val="nil"/>
              <w:left w:val="nil"/>
              <w:bottom w:val="nil"/>
              <w:right w:val="nil"/>
            </w:tcBorders>
            <w:shd w:val="clear" w:color="000000" w:fill="E7E6E6"/>
            <w:noWrap/>
            <w:vAlign w:val="center"/>
            <w:hideMark/>
          </w:tcPr>
          <w:p w14:paraId="5F9795BB" w14:textId="77777777" w:rsidR="004E7B7E" w:rsidRPr="008B619A" w:rsidRDefault="004E7B7E" w:rsidP="008055B8">
            <w:pPr>
              <w:widowControl/>
              <w:jc w:val="center"/>
              <w:rPr>
                <w:rFonts w:hAnsi="標楷體" w:cs="Tahoma"/>
                <w:color w:val="000000" w:themeColor="text1"/>
                <w:kern w:val="0"/>
                <w:sz w:val="15"/>
                <w:szCs w:val="15"/>
              </w:rPr>
            </w:pPr>
            <w:r w:rsidRPr="008B619A">
              <w:rPr>
                <w:rFonts w:hAnsi="標楷體" w:cs="Tahoma" w:hint="eastAsia"/>
                <w:color w:val="000000" w:themeColor="text1"/>
                <w:kern w:val="0"/>
                <w:sz w:val="15"/>
                <w:szCs w:val="15"/>
              </w:rPr>
              <w:t>0.9</w:t>
            </w:r>
          </w:p>
        </w:tc>
      </w:tr>
      <w:tr w:rsidR="004E7B7E" w:rsidRPr="008B619A" w14:paraId="00129E0D" w14:textId="77777777" w:rsidTr="006400F0">
        <w:trPr>
          <w:trHeight w:val="330"/>
        </w:trPr>
        <w:tc>
          <w:tcPr>
            <w:tcW w:w="480" w:type="pct"/>
            <w:tcBorders>
              <w:top w:val="nil"/>
              <w:left w:val="nil"/>
              <w:bottom w:val="nil"/>
              <w:right w:val="single" w:sz="4" w:space="0" w:color="auto"/>
            </w:tcBorders>
            <w:shd w:val="clear" w:color="auto" w:fill="auto"/>
            <w:noWrap/>
            <w:vAlign w:val="center"/>
            <w:hideMark/>
          </w:tcPr>
          <w:p w14:paraId="2F025C7F" w14:textId="77777777" w:rsidR="004E7B7E" w:rsidRPr="008B619A" w:rsidRDefault="004E7B7E" w:rsidP="006400F0">
            <w:pPr>
              <w:widowControl/>
              <w:rPr>
                <w:rFonts w:hAnsi="標楷體" w:cs="Tahoma"/>
                <w:color w:val="000000" w:themeColor="text1"/>
                <w:kern w:val="0"/>
                <w:sz w:val="20"/>
              </w:rPr>
            </w:pPr>
            <w:r w:rsidRPr="008B619A">
              <w:rPr>
                <w:rFonts w:hAnsi="標楷體" w:cs="Tahoma" w:hint="eastAsia"/>
                <w:color w:val="000000" w:themeColor="text1"/>
                <w:kern w:val="0"/>
                <w:sz w:val="20"/>
              </w:rPr>
              <w:t>資訊通訊科技</w:t>
            </w:r>
          </w:p>
        </w:tc>
        <w:tc>
          <w:tcPr>
            <w:tcW w:w="223" w:type="pct"/>
            <w:tcBorders>
              <w:top w:val="nil"/>
              <w:left w:val="nil"/>
              <w:bottom w:val="nil"/>
              <w:right w:val="nil"/>
            </w:tcBorders>
            <w:shd w:val="clear" w:color="auto" w:fill="auto"/>
            <w:noWrap/>
            <w:vAlign w:val="center"/>
            <w:hideMark/>
          </w:tcPr>
          <w:p w14:paraId="08A33A59"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224</w:t>
            </w:r>
          </w:p>
        </w:tc>
        <w:tc>
          <w:tcPr>
            <w:tcW w:w="223" w:type="pct"/>
            <w:tcBorders>
              <w:top w:val="nil"/>
              <w:left w:val="nil"/>
              <w:bottom w:val="nil"/>
              <w:right w:val="nil"/>
            </w:tcBorders>
            <w:shd w:val="clear" w:color="000000" w:fill="E7E6E6"/>
            <w:noWrap/>
            <w:vAlign w:val="center"/>
            <w:hideMark/>
          </w:tcPr>
          <w:p w14:paraId="7902235F"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7.2</w:t>
            </w:r>
          </w:p>
        </w:tc>
        <w:tc>
          <w:tcPr>
            <w:tcW w:w="223" w:type="pct"/>
            <w:tcBorders>
              <w:top w:val="nil"/>
              <w:left w:val="nil"/>
              <w:bottom w:val="nil"/>
              <w:right w:val="nil"/>
            </w:tcBorders>
            <w:shd w:val="clear" w:color="auto" w:fill="auto"/>
            <w:noWrap/>
            <w:vAlign w:val="center"/>
            <w:hideMark/>
          </w:tcPr>
          <w:p w14:paraId="6213F8CF"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219</w:t>
            </w:r>
          </w:p>
        </w:tc>
        <w:tc>
          <w:tcPr>
            <w:tcW w:w="223" w:type="pct"/>
            <w:tcBorders>
              <w:top w:val="nil"/>
              <w:left w:val="nil"/>
              <w:bottom w:val="nil"/>
              <w:right w:val="nil"/>
            </w:tcBorders>
            <w:shd w:val="clear" w:color="000000" w:fill="E7E6E6"/>
            <w:noWrap/>
            <w:vAlign w:val="center"/>
            <w:hideMark/>
          </w:tcPr>
          <w:p w14:paraId="333CFC6F"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6.8</w:t>
            </w:r>
          </w:p>
        </w:tc>
        <w:tc>
          <w:tcPr>
            <w:tcW w:w="223" w:type="pct"/>
            <w:tcBorders>
              <w:top w:val="nil"/>
              <w:left w:val="nil"/>
              <w:bottom w:val="nil"/>
              <w:right w:val="nil"/>
            </w:tcBorders>
            <w:shd w:val="clear" w:color="auto" w:fill="auto"/>
            <w:noWrap/>
            <w:vAlign w:val="center"/>
            <w:hideMark/>
          </w:tcPr>
          <w:p w14:paraId="45AD02FE"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202</w:t>
            </w:r>
          </w:p>
        </w:tc>
        <w:tc>
          <w:tcPr>
            <w:tcW w:w="223" w:type="pct"/>
            <w:tcBorders>
              <w:top w:val="nil"/>
              <w:left w:val="nil"/>
              <w:bottom w:val="nil"/>
              <w:right w:val="nil"/>
            </w:tcBorders>
            <w:shd w:val="clear" w:color="000000" w:fill="E7E6E6"/>
            <w:noWrap/>
            <w:vAlign w:val="center"/>
            <w:hideMark/>
          </w:tcPr>
          <w:p w14:paraId="1958ADDB"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6.2</w:t>
            </w:r>
          </w:p>
        </w:tc>
        <w:tc>
          <w:tcPr>
            <w:tcW w:w="223" w:type="pct"/>
            <w:tcBorders>
              <w:top w:val="nil"/>
              <w:left w:val="nil"/>
              <w:bottom w:val="nil"/>
              <w:right w:val="nil"/>
            </w:tcBorders>
            <w:shd w:val="clear" w:color="auto" w:fill="auto"/>
            <w:noWrap/>
            <w:vAlign w:val="center"/>
            <w:hideMark/>
          </w:tcPr>
          <w:p w14:paraId="7A126D64"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219</w:t>
            </w:r>
          </w:p>
        </w:tc>
        <w:tc>
          <w:tcPr>
            <w:tcW w:w="223" w:type="pct"/>
            <w:tcBorders>
              <w:top w:val="nil"/>
              <w:left w:val="nil"/>
              <w:bottom w:val="nil"/>
              <w:right w:val="nil"/>
            </w:tcBorders>
            <w:shd w:val="clear" w:color="000000" w:fill="E7E6E6"/>
            <w:noWrap/>
            <w:vAlign w:val="center"/>
            <w:hideMark/>
          </w:tcPr>
          <w:p w14:paraId="2FFB966E"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6.2</w:t>
            </w:r>
          </w:p>
        </w:tc>
        <w:tc>
          <w:tcPr>
            <w:tcW w:w="223" w:type="pct"/>
            <w:tcBorders>
              <w:top w:val="nil"/>
              <w:left w:val="nil"/>
              <w:bottom w:val="nil"/>
              <w:right w:val="nil"/>
            </w:tcBorders>
            <w:shd w:val="clear" w:color="auto" w:fill="auto"/>
            <w:noWrap/>
            <w:vAlign w:val="center"/>
            <w:hideMark/>
          </w:tcPr>
          <w:p w14:paraId="61C6D299"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197</w:t>
            </w:r>
          </w:p>
        </w:tc>
        <w:tc>
          <w:tcPr>
            <w:tcW w:w="223" w:type="pct"/>
            <w:tcBorders>
              <w:top w:val="nil"/>
              <w:left w:val="nil"/>
              <w:bottom w:val="nil"/>
              <w:right w:val="nil"/>
            </w:tcBorders>
            <w:shd w:val="clear" w:color="000000" w:fill="E7E6E6"/>
            <w:noWrap/>
            <w:vAlign w:val="center"/>
            <w:hideMark/>
          </w:tcPr>
          <w:p w14:paraId="238A3337"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5.9</w:t>
            </w:r>
          </w:p>
        </w:tc>
        <w:tc>
          <w:tcPr>
            <w:tcW w:w="223" w:type="pct"/>
            <w:tcBorders>
              <w:top w:val="nil"/>
              <w:left w:val="nil"/>
              <w:bottom w:val="nil"/>
              <w:right w:val="nil"/>
            </w:tcBorders>
            <w:shd w:val="clear" w:color="auto" w:fill="auto"/>
            <w:noWrap/>
            <w:vAlign w:val="center"/>
            <w:hideMark/>
          </w:tcPr>
          <w:p w14:paraId="07DB9396"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171</w:t>
            </w:r>
          </w:p>
        </w:tc>
        <w:tc>
          <w:tcPr>
            <w:tcW w:w="223" w:type="pct"/>
            <w:tcBorders>
              <w:top w:val="nil"/>
              <w:left w:val="nil"/>
              <w:bottom w:val="nil"/>
              <w:right w:val="nil"/>
            </w:tcBorders>
            <w:shd w:val="clear" w:color="000000" w:fill="E7E6E6"/>
            <w:noWrap/>
            <w:vAlign w:val="center"/>
            <w:hideMark/>
          </w:tcPr>
          <w:p w14:paraId="0DB9835D"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5.2</w:t>
            </w:r>
          </w:p>
        </w:tc>
        <w:tc>
          <w:tcPr>
            <w:tcW w:w="223" w:type="pct"/>
            <w:tcBorders>
              <w:top w:val="nil"/>
              <w:left w:val="nil"/>
              <w:bottom w:val="nil"/>
              <w:right w:val="nil"/>
            </w:tcBorders>
            <w:shd w:val="clear" w:color="auto" w:fill="auto"/>
            <w:noWrap/>
            <w:vAlign w:val="center"/>
            <w:hideMark/>
          </w:tcPr>
          <w:p w14:paraId="20F13E29"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143</w:t>
            </w:r>
          </w:p>
        </w:tc>
        <w:tc>
          <w:tcPr>
            <w:tcW w:w="223" w:type="pct"/>
            <w:tcBorders>
              <w:top w:val="nil"/>
              <w:left w:val="nil"/>
              <w:bottom w:val="nil"/>
              <w:right w:val="nil"/>
            </w:tcBorders>
            <w:shd w:val="clear" w:color="000000" w:fill="E7E6E6"/>
            <w:noWrap/>
            <w:vAlign w:val="center"/>
            <w:hideMark/>
          </w:tcPr>
          <w:p w14:paraId="61EA6749"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4.9</w:t>
            </w:r>
          </w:p>
        </w:tc>
        <w:tc>
          <w:tcPr>
            <w:tcW w:w="223" w:type="pct"/>
            <w:tcBorders>
              <w:top w:val="nil"/>
              <w:left w:val="nil"/>
              <w:bottom w:val="nil"/>
              <w:right w:val="nil"/>
            </w:tcBorders>
            <w:shd w:val="clear" w:color="auto" w:fill="auto"/>
            <w:noWrap/>
            <w:vAlign w:val="center"/>
            <w:hideMark/>
          </w:tcPr>
          <w:p w14:paraId="788944CA"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128</w:t>
            </w:r>
          </w:p>
        </w:tc>
        <w:tc>
          <w:tcPr>
            <w:tcW w:w="223" w:type="pct"/>
            <w:tcBorders>
              <w:top w:val="nil"/>
              <w:left w:val="nil"/>
              <w:bottom w:val="nil"/>
              <w:right w:val="nil"/>
            </w:tcBorders>
            <w:shd w:val="clear" w:color="000000" w:fill="E7E6E6"/>
            <w:noWrap/>
            <w:vAlign w:val="center"/>
            <w:hideMark/>
          </w:tcPr>
          <w:p w14:paraId="45210174"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4.6</w:t>
            </w:r>
          </w:p>
        </w:tc>
        <w:tc>
          <w:tcPr>
            <w:tcW w:w="223" w:type="pct"/>
            <w:tcBorders>
              <w:top w:val="nil"/>
              <w:left w:val="nil"/>
              <w:bottom w:val="nil"/>
              <w:right w:val="nil"/>
            </w:tcBorders>
            <w:shd w:val="clear" w:color="auto" w:fill="auto"/>
            <w:noWrap/>
            <w:vAlign w:val="center"/>
            <w:hideMark/>
          </w:tcPr>
          <w:p w14:paraId="1E419396"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117</w:t>
            </w:r>
          </w:p>
        </w:tc>
        <w:tc>
          <w:tcPr>
            <w:tcW w:w="223" w:type="pct"/>
            <w:tcBorders>
              <w:top w:val="nil"/>
              <w:left w:val="nil"/>
              <w:bottom w:val="nil"/>
              <w:right w:val="nil"/>
            </w:tcBorders>
            <w:shd w:val="clear" w:color="000000" w:fill="E7E6E6"/>
            <w:noWrap/>
            <w:vAlign w:val="center"/>
            <w:hideMark/>
          </w:tcPr>
          <w:p w14:paraId="54C7B02A"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4.3</w:t>
            </w:r>
          </w:p>
        </w:tc>
        <w:tc>
          <w:tcPr>
            <w:tcW w:w="223" w:type="pct"/>
            <w:tcBorders>
              <w:top w:val="nil"/>
              <w:left w:val="nil"/>
              <w:bottom w:val="nil"/>
              <w:right w:val="nil"/>
            </w:tcBorders>
            <w:shd w:val="clear" w:color="auto" w:fill="auto"/>
            <w:noWrap/>
            <w:vAlign w:val="center"/>
            <w:hideMark/>
          </w:tcPr>
          <w:p w14:paraId="0BBE30D3"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133</w:t>
            </w:r>
          </w:p>
        </w:tc>
        <w:tc>
          <w:tcPr>
            <w:tcW w:w="280" w:type="pct"/>
            <w:tcBorders>
              <w:top w:val="nil"/>
              <w:left w:val="nil"/>
              <w:bottom w:val="nil"/>
              <w:right w:val="nil"/>
            </w:tcBorders>
            <w:shd w:val="clear" w:color="000000" w:fill="E7E6E6"/>
            <w:noWrap/>
            <w:vAlign w:val="center"/>
            <w:hideMark/>
          </w:tcPr>
          <w:p w14:paraId="1A63C1E8" w14:textId="77777777" w:rsidR="004E7B7E" w:rsidRPr="008B619A" w:rsidRDefault="004E7B7E" w:rsidP="008055B8">
            <w:pPr>
              <w:widowControl/>
              <w:jc w:val="center"/>
              <w:rPr>
                <w:rFonts w:hAnsi="標楷體" w:cs="Tahoma"/>
                <w:color w:val="000000" w:themeColor="text1"/>
                <w:kern w:val="0"/>
                <w:sz w:val="15"/>
                <w:szCs w:val="15"/>
              </w:rPr>
            </w:pPr>
            <w:r w:rsidRPr="008B619A">
              <w:rPr>
                <w:rFonts w:hAnsi="標楷體" w:cs="Tahoma" w:hint="eastAsia"/>
                <w:color w:val="000000" w:themeColor="text1"/>
                <w:kern w:val="0"/>
                <w:sz w:val="15"/>
                <w:szCs w:val="15"/>
              </w:rPr>
              <w:t>5.2</w:t>
            </w:r>
          </w:p>
        </w:tc>
      </w:tr>
      <w:tr w:rsidR="004E7B7E" w:rsidRPr="008B619A" w14:paraId="6AB1075E" w14:textId="77777777" w:rsidTr="006400F0">
        <w:trPr>
          <w:trHeight w:val="330"/>
        </w:trPr>
        <w:tc>
          <w:tcPr>
            <w:tcW w:w="480" w:type="pct"/>
            <w:tcBorders>
              <w:top w:val="nil"/>
              <w:left w:val="nil"/>
              <w:bottom w:val="nil"/>
              <w:right w:val="single" w:sz="4" w:space="0" w:color="auto"/>
            </w:tcBorders>
            <w:shd w:val="clear" w:color="auto" w:fill="auto"/>
            <w:noWrap/>
            <w:vAlign w:val="center"/>
            <w:hideMark/>
          </w:tcPr>
          <w:p w14:paraId="6546181C" w14:textId="77777777" w:rsidR="004E7B7E" w:rsidRPr="008B619A" w:rsidRDefault="004E7B7E" w:rsidP="006400F0">
            <w:pPr>
              <w:widowControl/>
              <w:rPr>
                <w:rFonts w:hAnsi="標楷體" w:cs="Tahoma"/>
                <w:color w:val="000000" w:themeColor="text1"/>
                <w:kern w:val="0"/>
                <w:sz w:val="20"/>
              </w:rPr>
            </w:pPr>
            <w:r w:rsidRPr="008B619A">
              <w:rPr>
                <w:rFonts w:hAnsi="標楷體" w:cs="Tahoma" w:hint="eastAsia"/>
                <w:color w:val="000000" w:themeColor="text1"/>
                <w:kern w:val="0"/>
                <w:sz w:val="20"/>
              </w:rPr>
              <w:t>工程及工程業</w:t>
            </w:r>
          </w:p>
        </w:tc>
        <w:tc>
          <w:tcPr>
            <w:tcW w:w="223" w:type="pct"/>
            <w:tcBorders>
              <w:top w:val="nil"/>
              <w:left w:val="nil"/>
              <w:bottom w:val="nil"/>
              <w:right w:val="nil"/>
            </w:tcBorders>
            <w:shd w:val="clear" w:color="auto" w:fill="auto"/>
            <w:noWrap/>
            <w:vAlign w:val="center"/>
            <w:hideMark/>
          </w:tcPr>
          <w:p w14:paraId="4D17DDA3"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1,175</w:t>
            </w:r>
          </w:p>
        </w:tc>
        <w:tc>
          <w:tcPr>
            <w:tcW w:w="223" w:type="pct"/>
            <w:tcBorders>
              <w:top w:val="nil"/>
              <w:left w:val="nil"/>
              <w:bottom w:val="nil"/>
              <w:right w:val="nil"/>
            </w:tcBorders>
            <w:shd w:val="clear" w:color="000000" w:fill="E7E6E6"/>
            <w:noWrap/>
            <w:vAlign w:val="center"/>
            <w:hideMark/>
          </w:tcPr>
          <w:p w14:paraId="279E9A2C"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37.8</w:t>
            </w:r>
          </w:p>
        </w:tc>
        <w:tc>
          <w:tcPr>
            <w:tcW w:w="223" w:type="pct"/>
            <w:tcBorders>
              <w:top w:val="nil"/>
              <w:left w:val="nil"/>
              <w:bottom w:val="nil"/>
              <w:right w:val="nil"/>
            </w:tcBorders>
            <w:shd w:val="clear" w:color="auto" w:fill="auto"/>
            <w:noWrap/>
            <w:vAlign w:val="center"/>
            <w:hideMark/>
          </w:tcPr>
          <w:p w14:paraId="0A8D494D"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1,172</w:t>
            </w:r>
          </w:p>
        </w:tc>
        <w:tc>
          <w:tcPr>
            <w:tcW w:w="223" w:type="pct"/>
            <w:tcBorders>
              <w:top w:val="nil"/>
              <w:left w:val="nil"/>
              <w:bottom w:val="nil"/>
              <w:right w:val="nil"/>
            </w:tcBorders>
            <w:shd w:val="clear" w:color="000000" w:fill="E7E6E6"/>
            <w:noWrap/>
            <w:vAlign w:val="center"/>
            <w:hideMark/>
          </w:tcPr>
          <w:p w14:paraId="6941D51A"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36.2</w:t>
            </w:r>
          </w:p>
        </w:tc>
        <w:tc>
          <w:tcPr>
            <w:tcW w:w="223" w:type="pct"/>
            <w:tcBorders>
              <w:top w:val="nil"/>
              <w:left w:val="nil"/>
              <w:bottom w:val="nil"/>
              <w:right w:val="nil"/>
            </w:tcBorders>
            <w:shd w:val="clear" w:color="auto" w:fill="auto"/>
            <w:noWrap/>
            <w:vAlign w:val="center"/>
            <w:hideMark/>
          </w:tcPr>
          <w:p w14:paraId="1D994740"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1,172</w:t>
            </w:r>
          </w:p>
        </w:tc>
        <w:tc>
          <w:tcPr>
            <w:tcW w:w="223" w:type="pct"/>
            <w:tcBorders>
              <w:top w:val="nil"/>
              <w:left w:val="nil"/>
              <w:bottom w:val="nil"/>
              <w:right w:val="nil"/>
            </w:tcBorders>
            <w:shd w:val="clear" w:color="000000" w:fill="E7E6E6"/>
            <w:noWrap/>
            <w:vAlign w:val="center"/>
            <w:hideMark/>
          </w:tcPr>
          <w:p w14:paraId="1C4F1EF2"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36.2</w:t>
            </w:r>
          </w:p>
        </w:tc>
        <w:tc>
          <w:tcPr>
            <w:tcW w:w="223" w:type="pct"/>
            <w:tcBorders>
              <w:top w:val="nil"/>
              <w:left w:val="nil"/>
              <w:bottom w:val="nil"/>
              <w:right w:val="nil"/>
            </w:tcBorders>
            <w:shd w:val="clear" w:color="auto" w:fill="auto"/>
            <w:noWrap/>
            <w:vAlign w:val="center"/>
            <w:hideMark/>
          </w:tcPr>
          <w:p w14:paraId="2262E256"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1,215</w:t>
            </w:r>
          </w:p>
        </w:tc>
        <w:tc>
          <w:tcPr>
            <w:tcW w:w="223" w:type="pct"/>
            <w:tcBorders>
              <w:top w:val="nil"/>
              <w:left w:val="nil"/>
              <w:bottom w:val="nil"/>
              <w:right w:val="nil"/>
            </w:tcBorders>
            <w:shd w:val="clear" w:color="000000" w:fill="E7E6E6"/>
            <w:noWrap/>
            <w:vAlign w:val="center"/>
            <w:hideMark/>
          </w:tcPr>
          <w:p w14:paraId="4691CE77"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34.3</w:t>
            </w:r>
          </w:p>
        </w:tc>
        <w:tc>
          <w:tcPr>
            <w:tcW w:w="223" w:type="pct"/>
            <w:tcBorders>
              <w:top w:val="nil"/>
              <w:left w:val="nil"/>
              <w:bottom w:val="nil"/>
              <w:right w:val="nil"/>
            </w:tcBorders>
            <w:shd w:val="clear" w:color="auto" w:fill="auto"/>
            <w:noWrap/>
            <w:vAlign w:val="center"/>
            <w:hideMark/>
          </w:tcPr>
          <w:p w14:paraId="62AA812C"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1,097</w:t>
            </w:r>
          </w:p>
        </w:tc>
        <w:tc>
          <w:tcPr>
            <w:tcW w:w="223" w:type="pct"/>
            <w:tcBorders>
              <w:top w:val="nil"/>
              <w:left w:val="nil"/>
              <w:bottom w:val="nil"/>
              <w:right w:val="nil"/>
            </w:tcBorders>
            <w:shd w:val="clear" w:color="000000" w:fill="E7E6E6"/>
            <w:noWrap/>
            <w:vAlign w:val="center"/>
            <w:hideMark/>
          </w:tcPr>
          <w:p w14:paraId="422A5BF0"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32.6</w:t>
            </w:r>
          </w:p>
        </w:tc>
        <w:tc>
          <w:tcPr>
            <w:tcW w:w="223" w:type="pct"/>
            <w:tcBorders>
              <w:top w:val="nil"/>
              <w:left w:val="nil"/>
              <w:bottom w:val="nil"/>
              <w:right w:val="nil"/>
            </w:tcBorders>
            <w:shd w:val="clear" w:color="auto" w:fill="auto"/>
            <w:noWrap/>
            <w:vAlign w:val="center"/>
            <w:hideMark/>
          </w:tcPr>
          <w:p w14:paraId="6E15CFB1"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1,076</w:t>
            </w:r>
          </w:p>
        </w:tc>
        <w:tc>
          <w:tcPr>
            <w:tcW w:w="223" w:type="pct"/>
            <w:tcBorders>
              <w:top w:val="nil"/>
              <w:left w:val="nil"/>
              <w:bottom w:val="nil"/>
              <w:right w:val="nil"/>
            </w:tcBorders>
            <w:shd w:val="clear" w:color="000000" w:fill="E7E6E6"/>
            <w:noWrap/>
            <w:vAlign w:val="center"/>
            <w:hideMark/>
          </w:tcPr>
          <w:p w14:paraId="55CD9A68"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32.8</w:t>
            </w:r>
          </w:p>
        </w:tc>
        <w:tc>
          <w:tcPr>
            <w:tcW w:w="223" w:type="pct"/>
            <w:tcBorders>
              <w:top w:val="nil"/>
              <w:left w:val="nil"/>
              <w:bottom w:val="nil"/>
              <w:right w:val="nil"/>
            </w:tcBorders>
            <w:shd w:val="clear" w:color="auto" w:fill="auto"/>
            <w:noWrap/>
            <w:vAlign w:val="center"/>
            <w:hideMark/>
          </w:tcPr>
          <w:p w14:paraId="4BA97134"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940</w:t>
            </w:r>
          </w:p>
        </w:tc>
        <w:tc>
          <w:tcPr>
            <w:tcW w:w="223" w:type="pct"/>
            <w:tcBorders>
              <w:top w:val="nil"/>
              <w:left w:val="nil"/>
              <w:bottom w:val="nil"/>
              <w:right w:val="nil"/>
            </w:tcBorders>
            <w:shd w:val="clear" w:color="000000" w:fill="E7E6E6"/>
            <w:noWrap/>
            <w:vAlign w:val="center"/>
            <w:hideMark/>
          </w:tcPr>
          <w:p w14:paraId="3E68C789"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32.4</w:t>
            </w:r>
          </w:p>
        </w:tc>
        <w:tc>
          <w:tcPr>
            <w:tcW w:w="223" w:type="pct"/>
            <w:tcBorders>
              <w:top w:val="nil"/>
              <w:left w:val="nil"/>
              <w:bottom w:val="nil"/>
              <w:right w:val="nil"/>
            </w:tcBorders>
            <w:shd w:val="clear" w:color="auto" w:fill="auto"/>
            <w:noWrap/>
            <w:vAlign w:val="center"/>
            <w:hideMark/>
          </w:tcPr>
          <w:p w14:paraId="54BB9EF8"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831</w:t>
            </w:r>
          </w:p>
        </w:tc>
        <w:tc>
          <w:tcPr>
            <w:tcW w:w="223" w:type="pct"/>
            <w:tcBorders>
              <w:top w:val="nil"/>
              <w:left w:val="nil"/>
              <w:bottom w:val="nil"/>
              <w:right w:val="nil"/>
            </w:tcBorders>
            <w:shd w:val="clear" w:color="000000" w:fill="E7E6E6"/>
            <w:noWrap/>
            <w:vAlign w:val="center"/>
            <w:hideMark/>
          </w:tcPr>
          <w:p w14:paraId="3CCE85E2"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29.8</w:t>
            </w:r>
          </w:p>
        </w:tc>
        <w:tc>
          <w:tcPr>
            <w:tcW w:w="223" w:type="pct"/>
            <w:tcBorders>
              <w:top w:val="nil"/>
              <w:left w:val="nil"/>
              <w:bottom w:val="nil"/>
              <w:right w:val="nil"/>
            </w:tcBorders>
            <w:shd w:val="clear" w:color="auto" w:fill="auto"/>
            <w:noWrap/>
            <w:vAlign w:val="center"/>
            <w:hideMark/>
          </w:tcPr>
          <w:p w14:paraId="59F2F742"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804</w:t>
            </w:r>
          </w:p>
        </w:tc>
        <w:tc>
          <w:tcPr>
            <w:tcW w:w="223" w:type="pct"/>
            <w:tcBorders>
              <w:top w:val="nil"/>
              <w:left w:val="nil"/>
              <w:bottom w:val="nil"/>
              <w:right w:val="nil"/>
            </w:tcBorders>
            <w:shd w:val="clear" w:color="000000" w:fill="E7E6E6"/>
            <w:noWrap/>
            <w:vAlign w:val="center"/>
            <w:hideMark/>
          </w:tcPr>
          <w:p w14:paraId="590475BE"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29.7</w:t>
            </w:r>
          </w:p>
        </w:tc>
        <w:tc>
          <w:tcPr>
            <w:tcW w:w="223" w:type="pct"/>
            <w:tcBorders>
              <w:top w:val="nil"/>
              <w:left w:val="nil"/>
              <w:bottom w:val="nil"/>
              <w:right w:val="nil"/>
            </w:tcBorders>
            <w:shd w:val="clear" w:color="auto" w:fill="auto"/>
            <w:noWrap/>
            <w:vAlign w:val="center"/>
            <w:hideMark/>
          </w:tcPr>
          <w:p w14:paraId="1B25E0E7"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752</w:t>
            </w:r>
          </w:p>
        </w:tc>
        <w:tc>
          <w:tcPr>
            <w:tcW w:w="280" w:type="pct"/>
            <w:tcBorders>
              <w:top w:val="nil"/>
              <w:left w:val="nil"/>
              <w:bottom w:val="nil"/>
              <w:right w:val="nil"/>
            </w:tcBorders>
            <w:shd w:val="clear" w:color="000000" w:fill="E7E6E6"/>
            <w:noWrap/>
            <w:vAlign w:val="center"/>
            <w:hideMark/>
          </w:tcPr>
          <w:p w14:paraId="1731C075" w14:textId="77777777" w:rsidR="004E7B7E" w:rsidRPr="008B619A" w:rsidRDefault="004E7B7E" w:rsidP="003A6C05">
            <w:pPr>
              <w:widowControl/>
              <w:jc w:val="center"/>
              <w:rPr>
                <w:rFonts w:hAnsi="標楷體" w:cs="Tahoma"/>
                <w:color w:val="000000" w:themeColor="text1"/>
                <w:kern w:val="0"/>
                <w:sz w:val="15"/>
                <w:szCs w:val="15"/>
              </w:rPr>
            </w:pPr>
            <w:r w:rsidRPr="008B619A">
              <w:rPr>
                <w:rFonts w:hAnsi="標楷體" w:cs="Tahoma" w:hint="eastAsia"/>
                <w:color w:val="000000" w:themeColor="text1"/>
                <w:kern w:val="0"/>
                <w:sz w:val="15"/>
                <w:szCs w:val="15"/>
              </w:rPr>
              <w:t>29.3</w:t>
            </w:r>
          </w:p>
        </w:tc>
      </w:tr>
      <w:tr w:rsidR="004E7B7E" w:rsidRPr="008B619A" w14:paraId="27C3AE87" w14:textId="77777777" w:rsidTr="006400F0">
        <w:trPr>
          <w:trHeight w:val="330"/>
        </w:trPr>
        <w:tc>
          <w:tcPr>
            <w:tcW w:w="480" w:type="pct"/>
            <w:tcBorders>
              <w:top w:val="nil"/>
              <w:left w:val="nil"/>
              <w:bottom w:val="nil"/>
              <w:right w:val="single" w:sz="4" w:space="0" w:color="auto"/>
            </w:tcBorders>
            <w:shd w:val="clear" w:color="auto" w:fill="auto"/>
            <w:noWrap/>
            <w:vAlign w:val="center"/>
            <w:hideMark/>
          </w:tcPr>
          <w:p w14:paraId="24748A33" w14:textId="77777777" w:rsidR="004E7B7E" w:rsidRPr="008B619A" w:rsidRDefault="004E7B7E" w:rsidP="006400F0">
            <w:pPr>
              <w:widowControl/>
              <w:rPr>
                <w:rFonts w:hAnsi="標楷體" w:cs="Tahoma"/>
                <w:color w:val="000000" w:themeColor="text1"/>
                <w:kern w:val="0"/>
                <w:sz w:val="20"/>
              </w:rPr>
            </w:pPr>
            <w:r w:rsidRPr="008B619A">
              <w:rPr>
                <w:rFonts w:hAnsi="標楷體" w:cs="Tahoma" w:hint="eastAsia"/>
                <w:color w:val="000000" w:themeColor="text1"/>
                <w:kern w:val="0"/>
                <w:sz w:val="20"/>
              </w:rPr>
              <w:t>製造及加工</w:t>
            </w:r>
          </w:p>
        </w:tc>
        <w:tc>
          <w:tcPr>
            <w:tcW w:w="223" w:type="pct"/>
            <w:tcBorders>
              <w:top w:val="nil"/>
              <w:left w:val="nil"/>
              <w:bottom w:val="nil"/>
              <w:right w:val="nil"/>
            </w:tcBorders>
            <w:shd w:val="clear" w:color="auto" w:fill="auto"/>
            <w:noWrap/>
            <w:vAlign w:val="center"/>
            <w:hideMark/>
          </w:tcPr>
          <w:p w14:paraId="25E69355"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39</w:t>
            </w:r>
          </w:p>
        </w:tc>
        <w:tc>
          <w:tcPr>
            <w:tcW w:w="223" w:type="pct"/>
            <w:tcBorders>
              <w:top w:val="nil"/>
              <w:left w:val="nil"/>
              <w:bottom w:val="nil"/>
              <w:right w:val="nil"/>
            </w:tcBorders>
            <w:shd w:val="clear" w:color="000000" w:fill="E7E6E6"/>
            <w:noWrap/>
            <w:vAlign w:val="center"/>
            <w:hideMark/>
          </w:tcPr>
          <w:p w14:paraId="19AEDE53"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1.3</w:t>
            </w:r>
          </w:p>
        </w:tc>
        <w:tc>
          <w:tcPr>
            <w:tcW w:w="223" w:type="pct"/>
            <w:tcBorders>
              <w:top w:val="nil"/>
              <w:left w:val="nil"/>
              <w:bottom w:val="nil"/>
              <w:right w:val="nil"/>
            </w:tcBorders>
            <w:shd w:val="clear" w:color="auto" w:fill="auto"/>
            <w:noWrap/>
            <w:vAlign w:val="center"/>
            <w:hideMark/>
          </w:tcPr>
          <w:p w14:paraId="6493E3B4"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31</w:t>
            </w:r>
          </w:p>
        </w:tc>
        <w:tc>
          <w:tcPr>
            <w:tcW w:w="223" w:type="pct"/>
            <w:tcBorders>
              <w:top w:val="nil"/>
              <w:left w:val="nil"/>
              <w:bottom w:val="nil"/>
              <w:right w:val="nil"/>
            </w:tcBorders>
            <w:shd w:val="clear" w:color="000000" w:fill="E7E6E6"/>
            <w:noWrap/>
            <w:vAlign w:val="center"/>
            <w:hideMark/>
          </w:tcPr>
          <w:p w14:paraId="18934A28"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1.0</w:t>
            </w:r>
          </w:p>
        </w:tc>
        <w:tc>
          <w:tcPr>
            <w:tcW w:w="223" w:type="pct"/>
            <w:tcBorders>
              <w:top w:val="nil"/>
              <w:left w:val="nil"/>
              <w:bottom w:val="nil"/>
              <w:right w:val="nil"/>
            </w:tcBorders>
            <w:shd w:val="clear" w:color="auto" w:fill="auto"/>
            <w:noWrap/>
            <w:vAlign w:val="center"/>
            <w:hideMark/>
          </w:tcPr>
          <w:p w14:paraId="6590AB3C"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38</w:t>
            </w:r>
          </w:p>
        </w:tc>
        <w:tc>
          <w:tcPr>
            <w:tcW w:w="223" w:type="pct"/>
            <w:tcBorders>
              <w:top w:val="nil"/>
              <w:left w:val="nil"/>
              <w:bottom w:val="nil"/>
              <w:right w:val="nil"/>
            </w:tcBorders>
            <w:shd w:val="clear" w:color="000000" w:fill="E7E6E6"/>
            <w:noWrap/>
            <w:vAlign w:val="center"/>
            <w:hideMark/>
          </w:tcPr>
          <w:p w14:paraId="7A05FA4E"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1.2</w:t>
            </w:r>
          </w:p>
        </w:tc>
        <w:tc>
          <w:tcPr>
            <w:tcW w:w="223" w:type="pct"/>
            <w:tcBorders>
              <w:top w:val="nil"/>
              <w:left w:val="nil"/>
              <w:bottom w:val="nil"/>
              <w:right w:val="nil"/>
            </w:tcBorders>
            <w:shd w:val="clear" w:color="auto" w:fill="auto"/>
            <w:noWrap/>
            <w:vAlign w:val="center"/>
            <w:hideMark/>
          </w:tcPr>
          <w:p w14:paraId="5260768D"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36</w:t>
            </w:r>
          </w:p>
        </w:tc>
        <w:tc>
          <w:tcPr>
            <w:tcW w:w="223" w:type="pct"/>
            <w:tcBorders>
              <w:top w:val="nil"/>
              <w:left w:val="nil"/>
              <w:bottom w:val="nil"/>
              <w:right w:val="nil"/>
            </w:tcBorders>
            <w:shd w:val="clear" w:color="000000" w:fill="E7E6E6"/>
            <w:noWrap/>
            <w:vAlign w:val="center"/>
            <w:hideMark/>
          </w:tcPr>
          <w:p w14:paraId="59B0CE92"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1.0</w:t>
            </w:r>
          </w:p>
        </w:tc>
        <w:tc>
          <w:tcPr>
            <w:tcW w:w="223" w:type="pct"/>
            <w:tcBorders>
              <w:top w:val="nil"/>
              <w:left w:val="nil"/>
              <w:bottom w:val="nil"/>
              <w:right w:val="nil"/>
            </w:tcBorders>
            <w:shd w:val="clear" w:color="auto" w:fill="auto"/>
            <w:noWrap/>
            <w:vAlign w:val="center"/>
            <w:hideMark/>
          </w:tcPr>
          <w:p w14:paraId="6EF19E96"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34</w:t>
            </w:r>
          </w:p>
        </w:tc>
        <w:tc>
          <w:tcPr>
            <w:tcW w:w="223" w:type="pct"/>
            <w:tcBorders>
              <w:top w:val="nil"/>
              <w:left w:val="nil"/>
              <w:bottom w:val="nil"/>
              <w:right w:val="nil"/>
            </w:tcBorders>
            <w:shd w:val="clear" w:color="000000" w:fill="E7E6E6"/>
            <w:noWrap/>
            <w:vAlign w:val="center"/>
            <w:hideMark/>
          </w:tcPr>
          <w:p w14:paraId="465DE1BE"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1.0</w:t>
            </w:r>
          </w:p>
        </w:tc>
        <w:tc>
          <w:tcPr>
            <w:tcW w:w="223" w:type="pct"/>
            <w:tcBorders>
              <w:top w:val="nil"/>
              <w:left w:val="nil"/>
              <w:bottom w:val="nil"/>
              <w:right w:val="nil"/>
            </w:tcBorders>
            <w:shd w:val="clear" w:color="auto" w:fill="auto"/>
            <w:noWrap/>
            <w:vAlign w:val="center"/>
            <w:hideMark/>
          </w:tcPr>
          <w:p w14:paraId="1AAA1C9A"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33</w:t>
            </w:r>
          </w:p>
        </w:tc>
        <w:tc>
          <w:tcPr>
            <w:tcW w:w="223" w:type="pct"/>
            <w:tcBorders>
              <w:top w:val="nil"/>
              <w:left w:val="nil"/>
              <w:bottom w:val="nil"/>
              <w:right w:val="nil"/>
            </w:tcBorders>
            <w:shd w:val="clear" w:color="000000" w:fill="E7E6E6"/>
            <w:noWrap/>
            <w:vAlign w:val="center"/>
            <w:hideMark/>
          </w:tcPr>
          <w:p w14:paraId="0B180CFA"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1.0</w:t>
            </w:r>
          </w:p>
        </w:tc>
        <w:tc>
          <w:tcPr>
            <w:tcW w:w="223" w:type="pct"/>
            <w:tcBorders>
              <w:top w:val="nil"/>
              <w:left w:val="nil"/>
              <w:bottom w:val="nil"/>
              <w:right w:val="nil"/>
            </w:tcBorders>
            <w:shd w:val="clear" w:color="auto" w:fill="auto"/>
            <w:noWrap/>
            <w:vAlign w:val="center"/>
            <w:hideMark/>
          </w:tcPr>
          <w:p w14:paraId="34B67BCF"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22</w:t>
            </w:r>
          </w:p>
        </w:tc>
        <w:tc>
          <w:tcPr>
            <w:tcW w:w="223" w:type="pct"/>
            <w:tcBorders>
              <w:top w:val="nil"/>
              <w:left w:val="nil"/>
              <w:bottom w:val="nil"/>
              <w:right w:val="nil"/>
            </w:tcBorders>
            <w:shd w:val="clear" w:color="000000" w:fill="E7E6E6"/>
            <w:noWrap/>
            <w:vAlign w:val="center"/>
            <w:hideMark/>
          </w:tcPr>
          <w:p w14:paraId="57B87563"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0.8</w:t>
            </w:r>
          </w:p>
        </w:tc>
        <w:tc>
          <w:tcPr>
            <w:tcW w:w="223" w:type="pct"/>
            <w:tcBorders>
              <w:top w:val="nil"/>
              <w:left w:val="nil"/>
              <w:bottom w:val="nil"/>
              <w:right w:val="nil"/>
            </w:tcBorders>
            <w:shd w:val="clear" w:color="auto" w:fill="auto"/>
            <w:noWrap/>
            <w:vAlign w:val="center"/>
            <w:hideMark/>
          </w:tcPr>
          <w:p w14:paraId="5A7C31DA"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27</w:t>
            </w:r>
          </w:p>
        </w:tc>
        <w:tc>
          <w:tcPr>
            <w:tcW w:w="223" w:type="pct"/>
            <w:tcBorders>
              <w:top w:val="nil"/>
              <w:left w:val="nil"/>
              <w:bottom w:val="nil"/>
              <w:right w:val="nil"/>
            </w:tcBorders>
            <w:shd w:val="clear" w:color="000000" w:fill="E7E6E6"/>
            <w:noWrap/>
            <w:vAlign w:val="center"/>
            <w:hideMark/>
          </w:tcPr>
          <w:p w14:paraId="69915EB2"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1.0</w:t>
            </w:r>
          </w:p>
        </w:tc>
        <w:tc>
          <w:tcPr>
            <w:tcW w:w="223" w:type="pct"/>
            <w:tcBorders>
              <w:top w:val="nil"/>
              <w:left w:val="nil"/>
              <w:bottom w:val="nil"/>
              <w:right w:val="nil"/>
            </w:tcBorders>
            <w:shd w:val="clear" w:color="auto" w:fill="auto"/>
            <w:noWrap/>
            <w:vAlign w:val="center"/>
            <w:hideMark/>
          </w:tcPr>
          <w:p w14:paraId="08EABF17"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29</w:t>
            </w:r>
          </w:p>
        </w:tc>
        <w:tc>
          <w:tcPr>
            <w:tcW w:w="223" w:type="pct"/>
            <w:tcBorders>
              <w:top w:val="nil"/>
              <w:left w:val="nil"/>
              <w:bottom w:val="nil"/>
              <w:right w:val="nil"/>
            </w:tcBorders>
            <w:shd w:val="clear" w:color="000000" w:fill="E7E6E6"/>
            <w:noWrap/>
            <w:vAlign w:val="center"/>
            <w:hideMark/>
          </w:tcPr>
          <w:p w14:paraId="30B18277"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1.1</w:t>
            </w:r>
          </w:p>
        </w:tc>
        <w:tc>
          <w:tcPr>
            <w:tcW w:w="223" w:type="pct"/>
            <w:tcBorders>
              <w:top w:val="nil"/>
              <w:left w:val="nil"/>
              <w:bottom w:val="nil"/>
              <w:right w:val="nil"/>
            </w:tcBorders>
            <w:shd w:val="clear" w:color="auto" w:fill="auto"/>
            <w:noWrap/>
            <w:vAlign w:val="center"/>
            <w:hideMark/>
          </w:tcPr>
          <w:p w14:paraId="24E6D00C"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18</w:t>
            </w:r>
          </w:p>
        </w:tc>
        <w:tc>
          <w:tcPr>
            <w:tcW w:w="280" w:type="pct"/>
            <w:tcBorders>
              <w:top w:val="nil"/>
              <w:left w:val="nil"/>
              <w:bottom w:val="nil"/>
              <w:right w:val="nil"/>
            </w:tcBorders>
            <w:shd w:val="clear" w:color="000000" w:fill="E7E6E6"/>
            <w:noWrap/>
            <w:vAlign w:val="center"/>
            <w:hideMark/>
          </w:tcPr>
          <w:p w14:paraId="45C81468" w14:textId="77777777" w:rsidR="004E7B7E" w:rsidRPr="008B619A" w:rsidRDefault="004E7B7E" w:rsidP="008055B8">
            <w:pPr>
              <w:widowControl/>
              <w:jc w:val="center"/>
              <w:rPr>
                <w:rFonts w:hAnsi="標楷體" w:cs="Tahoma"/>
                <w:color w:val="000000" w:themeColor="text1"/>
                <w:kern w:val="0"/>
                <w:sz w:val="15"/>
                <w:szCs w:val="15"/>
              </w:rPr>
            </w:pPr>
            <w:r w:rsidRPr="008B619A">
              <w:rPr>
                <w:rFonts w:hAnsi="標楷體" w:cs="Tahoma" w:hint="eastAsia"/>
                <w:color w:val="000000" w:themeColor="text1"/>
                <w:kern w:val="0"/>
                <w:sz w:val="15"/>
                <w:szCs w:val="15"/>
              </w:rPr>
              <w:t>0.7</w:t>
            </w:r>
          </w:p>
        </w:tc>
      </w:tr>
      <w:tr w:rsidR="004E7B7E" w:rsidRPr="008B619A" w14:paraId="7ADE969E" w14:textId="77777777" w:rsidTr="006400F0">
        <w:trPr>
          <w:trHeight w:val="330"/>
        </w:trPr>
        <w:tc>
          <w:tcPr>
            <w:tcW w:w="480" w:type="pct"/>
            <w:tcBorders>
              <w:top w:val="nil"/>
              <w:left w:val="nil"/>
              <w:bottom w:val="nil"/>
              <w:right w:val="single" w:sz="4" w:space="0" w:color="auto"/>
            </w:tcBorders>
            <w:shd w:val="clear" w:color="auto" w:fill="auto"/>
            <w:noWrap/>
            <w:vAlign w:val="center"/>
            <w:hideMark/>
          </w:tcPr>
          <w:p w14:paraId="190B353B" w14:textId="77777777" w:rsidR="004E7B7E" w:rsidRPr="008B619A" w:rsidRDefault="004E7B7E" w:rsidP="006400F0">
            <w:pPr>
              <w:widowControl/>
              <w:rPr>
                <w:rFonts w:hAnsi="標楷體" w:cs="Tahoma"/>
                <w:color w:val="000000" w:themeColor="text1"/>
                <w:kern w:val="0"/>
                <w:sz w:val="20"/>
              </w:rPr>
            </w:pPr>
            <w:r w:rsidRPr="008B619A">
              <w:rPr>
                <w:rFonts w:hAnsi="標楷體" w:cs="Tahoma" w:hint="eastAsia"/>
                <w:color w:val="000000" w:themeColor="text1"/>
                <w:kern w:val="0"/>
                <w:sz w:val="20"/>
              </w:rPr>
              <w:lastRenderedPageBreak/>
              <w:t>建築及營建工程</w:t>
            </w:r>
          </w:p>
        </w:tc>
        <w:tc>
          <w:tcPr>
            <w:tcW w:w="223" w:type="pct"/>
            <w:tcBorders>
              <w:top w:val="nil"/>
              <w:left w:val="nil"/>
              <w:bottom w:val="nil"/>
              <w:right w:val="nil"/>
            </w:tcBorders>
            <w:shd w:val="clear" w:color="auto" w:fill="auto"/>
            <w:noWrap/>
            <w:vAlign w:val="center"/>
            <w:hideMark/>
          </w:tcPr>
          <w:p w14:paraId="5E05D726"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92</w:t>
            </w:r>
          </w:p>
        </w:tc>
        <w:tc>
          <w:tcPr>
            <w:tcW w:w="223" w:type="pct"/>
            <w:tcBorders>
              <w:top w:val="nil"/>
              <w:left w:val="nil"/>
              <w:bottom w:val="nil"/>
              <w:right w:val="nil"/>
            </w:tcBorders>
            <w:shd w:val="clear" w:color="000000" w:fill="E7E6E6"/>
            <w:noWrap/>
            <w:vAlign w:val="center"/>
            <w:hideMark/>
          </w:tcPr>
          <w:p w14:paraId="211BA7EB"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3.0</w:t>
            </w:r>
          </w:p>
        </w:tc>
        <w:tc>
          <w:tcPr>
            <w:tcW w:w="223" w:type="pct"/>
            <w:tcBorders>
              <w:top w:val="nil"/>
              <w:left w:val="nil"/>
              <w:bottom w:val="nil"/>
              <w:right w:val="nil"/>
            </w:tcBorders>
            <w:shd w:val="clear" w:color="auto" w:fill="auto"/>
            <w:noWrap/>
            <w:vAlign w:val="center"/>
            <w:hideMark/>
          </w:tcPr>
          <w:p w14:paraId="3D05B76A"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115</w:t>
            </w:r>
          </w:p>
        </w:tc>
        <w:tc>
          <w:tcPr>
            <w:tcW w:w="223" w:type="pct"/>
            <w:tcBorders>
              <w:top w:val="nil"/>
              <w:left w:val="nil"/>
              <w:bottom w:val="nil"/>
              <w:right w:val="nil"/>
            </w:tcBorders>
            <w:shd w:val="clear" w:color="000000" w:fill="E7E6E6"/>
            <w:noWrap/>
            <w:vAlign w:val="center"/>
            <w:hideMark/>
          </w:tcPr>
          <w:p w14:paraId="1F5A3D91"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3.6</w:t>
            </w:r>
          </w:p>
        </w:tc>
        <w:tc>
          <w:tcPr>
            <w:tcW w:w="223" w:type="pct"/>
            <w:tcBorders>
              <w:top w:val="nil"/>
              <w:left w:val="nil"/>
              <w:bottom w:val="nil"/>
              <w:right w:val="nil"/>
            </w:tcBorders>
            <w:shd w:val="clear" w:color="auto" w:fill="auto"/>
            <w:noWrap/>
            <w:vAlign w:val="center"/>
            <w:hideMark/>
          </w:tcPr>
          <w:p w14:paraId="63F8B845"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92</w:t>
            </w:r>
          </w:p>
        </w:tc>
        <w:tc>
          <w:tcPr>
            <w:tcW w:w="223" w:type="pct"/>
            <w:tcBorders>
              <w:top w:val="nil"/>
              <w:left w:val="nil"/>
              <w:bottom w:val="nil"/>
              <w:right w:val="nil"/>
            </w:tcBorders>
            <w:shd w:val="clear" w:color="000000" w:fill="E7E6E6"/>
            <w:noWrap/>
            <w:vAlign w:val="center"/>
            <w:hideMark/>
          </w:tcPr>
          <w:p w14:paraId="57C20BAD"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2.8</w:t>
            </w:r>
          </w:p>
        </w:tc>
        <w:tc>
          <w:tcPr>
            <w:tcW w:w="223" w:type="pct"/>
            <w:tcBorders>
              <w:top w:val="nil"/>
              <w:left w:val="nil"/>
              <w:bottom w:val="nil"/>
              <w:right w:val="nil"/>
            </w:tcBorders>
            <w:shd w:val="clear" w:color="auto" w:fill="auto"/>
            <w:noWrap/>
            <w:vAlign w:val="center"/>
            <w:hideMark/>
          </w:tcPr>
          <w:p w14:paraId="4A46D92B"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122</w:t>
            </w:r>
          </w:p>
        </w:tc>
        <w:tc>
          <w:tcPr>
            <w:tcW w:w="223" w:type="pct"/>
            <w:tcBorders>
              <w:top w:val="nil"/>
              <w:left w:val="nil"/>
              <w:bottom w:val="nil"/>
              <w:right w:val="nil"/>
            </w:tcBorders>
            <w:shd w:val="clear" w:color="000000" w:fill="E7E6E6"/>
            <w:noWrap/>
            <w:vAlign w:val="center"/>
            <w:hideMark/>
          </w:tcPr>
          <w:p w14:paraId="1B0620FD"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3.4</w:t>
            </w:r>
          </w:p>
        </w:tc>
        <w:tc>
          <w:tcPr>
            <w:tcW w:w="223" w:type="pct"/>
            <w:tcBorders>
              <w:top w:val="nil"/>
              <w:left w:val="nil"/>
              <w:bottom w:val="nil"/>
              <w:right w:val="nil"/>
            </w:tcBorders>
            <w:shd w:val="clear" w:color="auto" w:fill="auto"/>
            <w:noWrap/>
            <w:vAlign w:val="center"/>
            <w:hideMark/>
          </w:tcPr>
          <w:p w14:paraId="552C3FA2"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109</w:t>
            </w:r>
          </w:p>
        </w:tc>
        <w:tc>
          <w:tcPr>
            <w:tcW w:w="223" w:type="pct"/>
            <w:tcBorders>
              <w:top w:val="nil"/>
              <w:left w:val="nil"/>
              <w:bottom w:val="nil"/>
              <w:right w:val="nil"/>
            </w:tcBorders>
            <w:shd w:val="clear" w:color="000000" w:fill="E7E6E6"/>
            <w:noWrap/>
            <w:vAlign w:val="center"/>
            <w:hideMark/>
          </w:tcPr>
          <w:p w14:paraId="1D920CC2"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3.2</w:t>
            </w:r>
          </w:p>
        </w:tc>
        <w:tc>
          <w:tcPr>
            <w:tcW w:w="223" w:type="pct"/>
            <w:tcBorders>
              <w:top w:val="nil"/>
              <w:left w:val="nil"/>
              <w:bottom w:val="nil"/>
              <w:right w:val="nil"/>
            </w:tcBorders>
            <w:shd w:val="clear" w:color="auto" w:fill="auto"/>
            <w:noWrap/>
            <w:vAlign w:val="center"/>
            <w:hideMark/>
          </w:tcPr>
          <w:p w14:paraId="07003F54"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108</w:t>
            </w:r>
          </w:p>
        </w:tc>
        <w:tc>
          <w:tcPr>
            <w:tcW w:w="223" w:type="pct"/>
            <w:tcBorders>
              <w:top w:val="nil"/>
              <w:left w:val="nil"/>
              <w:bottom w:val="nil"/>
              <w:right w:val="nil"/>
            </w:tcBorders>
            <w:shd w:val="clear" w:color="000000" w:fill="E7E6E6"/>
            <w:noWrap/>
            <w:vAlign w:val="center"/>
            <w:hideMark/>
          </w:tcPr>
          <w:p w14:paraId="2F8A2C9E"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3.3</w:t>
            </w:r>
          </w:p>
        </w:tc>
        <w:tc>
          <w:tcPr>
            <w:tcW w:w="223" w:type="pct"/>
            <w:tcBorders>
              <w:top w:val="nil"/>
              <w:left w:val="nil"/>
              <w:bottom w:val="nil"/>
              <w:right w:val="nil"/>
            </w:tcBorders>
            <w:shd w:val="clear" w:color="auto" w:fill="auto"/>
            <w:noWrap/>
            <w:vAlign w:val="center"/>
            <w:hideMark/>
          </w:tcPr>
          <w:p w14:paraId="62DE7E97"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77</w:t>
            </w:r>
          </w:p>
        </w:tc>
        <w:tc>
          <w:tcPr>
            <w:tcW w:w="223" w:type="pct"/>
            <w:tcBorders>
              <w:top w:val="nil"/>
              <w:left w:val="nil"/>
              <w:bottom w:val="nil"/>
              <w:right w:val="nil"/>
            </w:tcBorders>
            <w:shd w:val="clear" w:color="000000" w:fill="E7E6E6"/>
            <w:noWrap/>
            <w:vAlign w:val="center"/>
            <w:hideMark/>
          </w:tcPr>
          <w:p w14:paraId="0CAB54DB"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2.7</w:t>
            </w:r>
          </w:p>
        </w:tc>
        <w:tc>
          <w:tcPr>
            <w:tcW w:w="223" w:type="pct"/>
            <w:tcBorders>
              <w:top w:val="nil"/>
              <w:left w:val="nil"/>
              <w:bottom w:val="nil"/>
              <w:right w:val="nil"/>
            </w:tcBorders>
            <w:shd w:val="clear" w:color="auto" w:fill="auto"/>
            <w:noWrap/>
            <w:vAlign w:val="center"/>
            <w:hideMark/>
          </w:tcPr>
          <w:p w14:paraId="23E2FB8D"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83</w:t>
            </w:r>
          </w:p>
        </w:tc>
        <w:tc>
          <w:tcPr>
            <w:tcW w:w="223" w:type="pct"/>
            <w:tcBorders>
              <w:top w:val="nil"/>
              <w:left w:val="nil"/>
              <w:bottom w:val="nil"/>
              <w:right w:val="nil"/>
            </w:tcBorders>
            <w:shd w:val="clear" w:color="000000" w:fill="E7E6E6"/>
            <w:noWrap/>
            <w:vAlign w:val="center"/>
            <w:hideMark/>
          </w:tcPr>
          <w:p w14:paraId="55D90738"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3.0</w:t>
            </w:r>
          </w:p>
        </w:tc>
        <w:tc>
          <w:tcPr>
            <w:tcW w:w="223" w:type="pct"/>
            <w:tcBorders>
              <w:top w:val="nil"/>
              <w:left w:val="nil"/>
              <w:bottom w:val="nil"/>
              <w:right w:val="nil"/>
            </w:tcBorders>
            <w:shd w:val="clear" w:color="auto" w:fill="auto"/>
            <w:noWrap/>
            <w:vAlign w:val="center"/>
            <w:hideMark/>
          </w:tcPr>
          <w:p w14:paraId="01F6D5A0"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91</w:t>
            </w:r>
          </w:p>
        </w:tc>
        <w:tc>
          <w:tcPr>
            <w:tcW w:w="223" w:type="pct"/>
            <w:tcBorders>
              <w:top w:val="nil"/>
              <w:left w:val="nil"/>
              <w:bottom w:val="nil"/>
              <w:right w:val="nil"/>
            </w:tcBorders>
            <w:shd w:val="clear" w:color="000000" w:fill="E7E6E6"/>
            <w:noWrap/>
            <w:vAlign w:val="center"/>
            <w:hideMark/>
          </w:tcPr>
          <w:p w14:paraId="756E0C46"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3.4</w:t>
            </w:r>
          </w:p>
        </w:tc>
        <w:tc>
          <w:tcPr>
            <w:tcW w:w="223" w:type="pct"/>
            <w:tcBorders>
              <w:top w:val="nil"/>
              <w:left w:val="nil"/>
              <w:bottom w:val="nil"/>
              <w:right w:val="nil"/>
            </w:tcBorders>
            <w:shd w:val="clear" w:color="auto" w:fill="auto"/>
            <w:noWrap/>
            <w:vAlign w:val="center"/>
            <w:hideMark/>
          </w:tcPr>
          <w:p w14:paraId="19D9DFA2"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80</w:t>
            </w:r>
          </w:p>
        </w:tc>
        <w:tc>
          <w:tcPr>
            <w:tcW w:w="280" w:type="pct"/>
            <w:tcBorders>
              <w:top w:val="nil"/>
              <w:left w:val="nil"/>
              <w:bottom w:val="nil"/>
              <w:right w:val="nil"/>
            </w:tcBorders>
            <w:shd w:val="clear" w:color="000000" w:fill="E7E6E6"/>
            <w:noWrap/>
            <w:vAlign w:val="center"/>
            <w:hideMark/>
          </w:tcPr>
          <w:p w14:paraId="5664FA2E" w14:textId="77777777" w:rsidR="004E7B7E" w:rsidRPr="008B619A" w:rsidRDefault="004E7B7E" w:rsidP="008055B8">
            <w:pPr>
              <w:widowControl/>
              <w:jc w:val="center"/>
              <w:rPr>
                <w:rFonts w:hAnsi="標楷體" w:cs="Tahoma"/>
                <w:color w:val="000000" w:themeColor="text1"/>
                <w:kern w:val="0"/>
                <w:sz w:val="15"/>
                <w:szCs w:val="15"/>
              </w:rPr>
            </w:pPr>
            <w:r w:rsidRPr="008B619A">
              <w:rPr>
                <w:rFonts w:hAnsi="標楷體" w:cs="Tahoma" w:hint="eastAsia"/>
                <w:color w:val="000000" w:themeColor="text1"/>
                <w:kern w:val="0"/>
                <w:sz w:val="15"/>
                <w:szCs w:val="15"/>
              </w:rPr>
              <w:t>3.1</w:t>
            </w:r>
          </w:p>
        </w:tc>
      </w:tr>
      <w:tr w:rsidR="004E7B7E" w:rsidRPr="008B619A" w14:paraId="5D46CDF7" w14:textId="77777777" w:rsidTr="006400F0">
        <w:trPr>
          <w:trHeight w:val="330"/>
        </w:trPr>
        <w:tc>
          <w:tcPr>
            <w:tcW w:w="480" w:type="pct"/>
            <w:tcBorders>
              <w:top w:val="nil"/>
              <w:left w:val="nil"/>
              <w:bottom w:val="nil"/>
              <w:right w:val="single" w:sz="4" w:space="0" w:color="auto"/>
            </w:tcBorders>
            <w:shd w:val="clear" w:color="auto" w:fill="auto"/>
            <w:noWrap/>
            <w:vAlign w:val="center"/>
            <w:hideMark/>
          </w:tcPr>
          <w:p w14:paraId="4845186B" w14:textId="77777777" w:rsidR="004E7B7E" w:rsidRPr="008B619A" w:rsidRDefault="004E7B7E" w:rsidP="006400F0">
            <w:pPr>
              <w:widowControl/>
              <w:rPr>
                <w:rFonts w:hAnsi="標楷體" w:cs="Tahoma"/>
                <w:color w:val="000000" w:themeColor="text1"/>
                <w:kern w:val="0"/>
                <w:sz w:val="20"/>
              </w:rPr>
            </w:pPr>
            <w:r w:rsidRPr="008B619A">
              <w:rPr>
                <w:rFonts w:hAnsi="標楷體" w:cs="Tahoma" w:hint="eastAsia"/>
                <w:color w:val="000000" w:themeColor="text1"/>
                <w:kern w:val="0"/>
                <w:sz w:val="20"/>
              </w:rPr>
              <w:t>農業</w:t>
            </w:r>
          </w:p>
        </w:tc>
        <w:tc>
          <w:tcPr>
            <w:tcW w:w="223" w:type="pct"/>
            <w:tcBorders>
              <w:top w:val="nil"/>
              <w:left w:val="nil"/>
              <w:bottom w:val="nil"/>
              <w:right w:val="nil"/>
            </w:tcBorders>
            <w:shd w:val="clear" w:color="auto" w:fill="auto"/>
            <w:noWrap/>
            <w:vAlign w:val="center"/>
            <w:hideMark/>
          </w:tcPr>
          <w:p w14:paraId="1DC6A5CD"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46</w:t>
            </w:r>
          </w:p>
        </w:tc>
        <w:tc>
          <w:tcPr>
            <w:tcW w:w="223" w:type="pct"/>
            <w:tcBorders>
              <w:top w:val="nil"/>
              <w:left w:val="nil"/>
              <w:bottom w:val="nil"/>
              <w:right w:val="nil"/>
            </w:tcBorders>
            <w:shd w:val="clear" w:color="000000" w:fill="E7E6E6"/>
            <w:noWrap/>
            <w:vAlign w:val="center"/>
            <w:hideMark/>
          </w:tcPr>
          <w:p w14:paraId="68D376A6"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1.5</w:t>
            </w:r>
          </w:p>
        </w:tc>
        <w:tc>
          <w:tcPr>
            <w:tcW w:w="223" w:type="pct"/>
            <w:tcBorders>
              <w:top w:val="nil"/>
              <w:left w:val="nil"/>
              <w:bottom w:val="nil"/>
              <w:right w:val="nil"/>
            </w:tcBorders>
            <w:shd w:val="clear" w:color="auto" w:fill="auto"/>
            <w:noWrap/>
            <w:vAlign w:val="center"/>
            <w:hideMark/>
          </w:tcPr>
          <w:p w14:paraId="137B9B98"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45</w:t>
            </w:r>
          </w:p>
        </w:tc>
        <w:tc>
          <w:tcPr>
            <w:tcW w:w="223" w:type="pct"/>
            <w:tcBorders>
              <w:top w:val="nil"/>
              <w:left w:val="nil"/>
              <w:bottom w:val="nil"/>
              <w:right w:val="nil"/>
            </w:tcBorders>
            <w:shd w:val="clear" w:color="000000" w:fill="E7E6E6"/>
            <w:noWrap/>
            <w:vAlign w:val="center"/>
            <w:hideMark/>
          </w:tcPr>
          <w:p w14:paraId="080CCF2B"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1.4</w:t>
            </w:r>
          </w:p>
        </w:tc>
        <w:tc>
          <w:tcPr>
            <w:tcW w:w="223" w:type="pct"/>
            <w:tcBorders>
              <w:top w:val="nil"/>
              <w:left w:val="nil"/>
              <w:bottom w:val="nil"/>
              <w:right w:val="nil"/>
            </w:tcBorders>
            <w:shd w:val="clear" w:color="auto" w:fill="auto"/>
            <w:noWrap/>
            <w:vAlign w:val="center"/>
            <w:hideMark/>
          </w:tcPr>
          <w:p w14:paraId="6E7459E5"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49</w:t>
            </w:r>
          </w:p>
        </w:tc>
        <w:tc>
          <w:tcPr>
            <w:tcW w:w="223" w:type="pct"/>
            <w:tcBorders>
              <w:top w:val="nil"/>
              <w:left w:val="nil"/>
              <w:bottom w:val="nil"/>
              <w:right w:val="nil"/>
            </w:tcBorders>
            <w:shd w:val="clear" w:color="000000" w:fill="E7E6E6"/>
            <w:noWrap/>
            <w:vAlign w:val="center"/>
            <w:hideMark/>
          </w:tcPr>
          <w:p w14:paraId="00A985A7"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1.5</w:t>
            </w:r>
          </w:p>
        </w:tc>
        <w:tc>
          <w:tcPr>
            <w:tcW w:w="223" w:type="pct"/>
            <w:tcBorders>
              <w:top w:val="nil"/>
              <w:left w:val="nil"/>
              <w:bottom w:val="nil"/>
              <w:right w:val="nil"/>
            </w:tcBorders>
            <w:shd w:val="clear" w:color="auto" w:fill="auto"/>
            <w:noWrap/>
            <w:vAlign w:val="center"/>
            <w:hideMark/>
          </w:tcPr>
          <w:p w14:paraId="02791B08"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59</w:t>
            </w:r>
          </w:p>
        </w:tc>
        <w:tc>
          <w:tcPr>
            <w:tcW w:w="223" w:type="pct"/>
            <w:tcBorders>
              <w:top w:val="nil"/>
              <w:left w:val="nil"/>
              <w:bottom w:val="nil"/>
              <w:right w:val="nil"/>
            </w:tcBorders>
            <w:shd w:val="clear" w:color="000000" w:fill="E7E6E6"/>
            <w:noWrap/>
            <w:vAlign w:val="center"/>
            <w:hideMark/>
          </w:tcPr>
          <w:p w14:paraId="7B0EC0B2"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1.7</w:t>
            </w:r>
          </w:p>
        </w:tc>
        <w:tc>
          <w:tcPr>
            <w:tcW w:w="223" w:type="pct"/>
            <w:tcBorders>
              <w:top w:val="nil"/>
              <w:left w:val="nil"/>
              <w:bottom w:val="nil"/>
              <w:right w:val="nil"/>
            </w:tcBorders>
            <w:shd w:val="clear" w:color="auto" w:fill="auto"/>
            <w:noWrap/>
            <w:vAlign w:val="center"/>
            <w:hideMark/>
          </w:tcPr>
          <w:p w14:paraId="00035A40"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56</w:t>
            </w:r>
          </w:p>
        </w:tc>
        <w:tc>
          <w:tcPr>
            <w:tcW w:w="223" w:type="pct"/>
            <w:tcBorders>
              <w:top w:val="nil"/>
              <w:left w:val="nil"/>
              <w:bottom w:val="nil"/>
              <w:right w:val="nil"/>
            </w:tcBorders>
            <w:shd w:val="clear" w:color="000000" w:fill="E7E6E6"/>
            <w:noWrap/>
            <w:vAlign w:val="center"/>
            <w:hideMark/>
          </w:tcPr>
          <w:p w14:paraId="1BA9EB7F"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1.7</w:t>
            </w:r>
          </w:p>
        </w:tc>
        <w:tc>
          <w:tcPr>
            <w:tcW w:w="223" w:type="pct"/>
            <w:tcBorders>
              <w:top w:val="nil"/>
              <w:left w:val="nil"/>
              <w:bottom w:val="nil"/>
              <w:right w:val="nil"/>
            </w:tcBorders>
            <w:shd w:val="clear" w:color="auto" w:fill="auto"/>
            <w:noWrap/>
            <w:vAlign w:val="center"/>
            <w:hideMark/>
          </w:tcPr>
          <w:p w14:paraId="60BC1AFD"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62</w:t>
            </w:r>
          </w:p>
        </w:tc>
        <w:tc>
          <w:tcPr>
            <w:tcW w:w="223" w:type="pct"/>
            <w:tcBorders>
              <w:top w:val="nil"/>
              <w:left w:val="nil"/>
              <w:bottom w:val="nil"/>
              <w:right w:val="nil"/>
            </w:tcBorders>
            <w:shd w:val="clear" w:color="000000" w:fill="E7E6E6"/>
            <w:noWrap/>
            <w:vAlign w:val="center"/>
            <w:hideMark/>
          </w:tcPr>
          <w:p w14:paraId="2B6437E3"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1.9</w:t>
            </w:r>
          </w:p>
        </w:tc>
        <w:tc>
          <w:tcPr>
            <w:tcW w:w="223" w:type="pct"/>
            <w:tcBorders>
              <w:top w:val="nil"/>
              <w:left w:val="nil"/>
              <w:bottom w:val="nil"/>
              <w:right w:val="nil"/>
            </w:tcBorders>
            <w:shd w:val="clear" w:color="auto" w:fill="auto"/>
            <w:noWrap/>
            <w:vAlign w:val="center"/>
            <w:hideMark/>
          </w:tcPr>
          <w:p w14:paraId="3EC0C4B3"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51</w:t>
            </w:r>
          </w:p>
        </w:tc>
        <w:tc>
          <w:tcPr>
            <w:tcW w:w="223" w:type="pct"/>
            <w:tcBorders>
              <w:top w:val="nil"/>
              <w:left w:val="nil"/>
              <w:bottom w:val="nil"/>
              <w:right w:val="nil"/>
            </w:tcBorders>
            <w:shd w:val="clear" w:color="000000" w:fill="E7E6E6"/>
            <w:noWrap/>
            <w:vAlign w:val="center"/>
            <w:hideMark/>
          </w:tcPr>
          <w:p w14:paraId="0446DA94"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1.8</w:t>
            </w:r>
          </w:p>
        </w:tc>
        <w:tc>
          <w:tcPr>
            <w:tcW w:w="223" w:type="pct"/>
            <w:tcBorders>
              <w:top w:val="nil"/>
              <w:left w:val="nil"/>
              <w:bottom w:val="nil"/>
              <w:right w:val="nil"/>
            </w:tcBorders>
            <w:shd w:val="clear" w:color="auto" w:fill="auto"/>
            <w:noWrap/>
            <w:vAlign w:val="center"/>
            <w:hideMark/>
          </w:tcPr>
          <w:p w14:paraId="2D3C012F"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42</w:t>
            </w:r>
          </w:p>
        </w:tc>
        <w:tc>
          <w:tcPr>
            <w:tcW w:w="223" w:type="pct"/>
            <w:tcBorders>
              <w:top w:val="nil"/>
              <w:left w:val="nil"/>
              <w:bottom w:val="nil"/>
              <w:right w:val="nil"/>
            </w:tcBorders>
            <w:shd w:val="clear" w:color="000000" w:fill="E7E6E6"/>
            <w:noWrap/>
            <w:vAlign w:val="center"/>
            <w:hideMark/>
          </w:tcPr>
          <w:p w14:paraId="7206425C"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1.5</w:t>
            </w:r>
          </w:p>
        </w:tc>
        <w:tc>
          <w:tcPr>
            <w:tcW w:w="223" w:type="pct"/>
            <w:tcBorders>
              <w:top w:val="nil"/>
              <w:left w:val="nil"/>
              <w:bottom w:val="nil"/>
              <w:right w:val="nil"/>
            </w:tcBorders>
            <w:shd w:val="clear" w:color="auto" w:fill="auto"/>
            <w:noWrap/>
            <w:vAlign w:val="center"/>
            <w:hideMark/>
          </w:tcPr>
          <w:p w14:paraId="752CBEE7"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30</w:t>
            </w:r>
          </w:p>
        </w:tc>
        <w:tc>
          <w:tcPr>
            <w:tcW w:w="223" w:type="pct"/>
            <w:tcBorders>
              <w:top w:val="nil"/>
              <w:left w:val="nil"/>
              <w:bottom w:val="nil"/>
              <w:right w:val="nil"/>
            </w:tcBorders>
            <w:shd w:val="clear" w:color="000000" w:fill="E7E6E6"/>
            <w:noWrap/>
            <w:vAlign w:val="center"/>
            <w:hideMark/>
          </w:tcPr>
          <w:p w14:paraId="50A48AF2"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1.1</w:t>
            </w:r>
          </w:p>
        </w:tc>
        <w:tc>
          <w:tcPr>
            <w:tcW w:w="223" w:type="pct"/>
            <w:tcBorders>
              <w:top w:val="nil"/>
              <w:left w:val="nil"/>
              <w:bottom w:val="nil"/>
              <w:right w:val="nil"/>
            </w:tcBorders>
            <w:shd w:val="clear" w:color="auto" w:fill="auto"/>
            <w:noWrap/>
            <w:vAlign w:val="center"/>
            <w:hideMark/>
          </w:tcPr>
          <w:p w14:paraId="53733676"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55</w:t>
            </w:r>
          </w:p>
        </w:tc>
        <w:tc>
          <w:tcPr>
            <w:tcW w:w="280" w:type="pct"/>
            <w:tcBorders>
              <w:top w:val="nil"/>
              <w:left w:val="nil"/>
              <w:bottom w:val="nil"/>
              <w:right w:val="nil"/>
            </w:tcBorders>
            <w:shd w:val="clear" w:color="000000" w:fill="E7E6E6"/>
            <w:noWrap/>
            <w:vAlign w:val="center"/>
            <w:hideMark/>
          </w:tcPr>
          <w:p w14:paraId="05FD30D3" w14:textId="77777777" w:rsidR="004E7B7E" w:rsidRPr="008B619A" w:rsidRDefault="004E7B7E" w:rsidP="008055B8">
            <w:pPr>
              <w:widowControl/>
              <w:jc w:val="center"/>
              <w:rPr>
                <w:rFonts w:hAnsi="標楷體" w:cs="Tahoma"/>
                <w:color w:val="000000" w:themeColor="text1"/>
                <w:kern w:val="0"/>
                <w:sz w:val="15"/>
                <w:szCs w:val="15"/>
              </w:rPr>
            </w:pPr>
            <w:r w:rsidRPr="008B619A">
              <w:rPr>
                <w:rFonts w:hAnsi="標楷體" w:cs="Tahoma" w:hint="eastAsia"/>
                <w:color w:val="000000" w:themeColor="text1"/>
                <w:kern w:val="0"/>
                <w:sz w:val="15"/>
                <w:szCs w:val="15"/>
              </w:rPr>
              <w:t>2.1</w:t>
            </w:r>
          </w:p>
        </w:tc>
      </w:tr>
      <w:tr w:rsidR="004E7B7E" w:rsidRPr="008B619A" w14:paraId="584D60C8" w14:textId="77777777" w:rsidTr="006400F0">
        <w:trPr>
          <w:trHeight w:val="330"/>
        </w:trPr>
        <w:tc>
          <w:tcPr>
            <w:tcW w:w="480" w:type="pct"/>
            <w:tcBorders>
              <w:top w:val="nil"/>
              <w:left w:val="nil"/>
              <w:bottom w:val="nil"/>
              <w:right w:val="single" w:sz="4" w:space="0" w:color="auto"/>
            </w:tcBorders>
            <w:shd w:val="clear" w:color="auto" w:fill="auto"/>
            <w:noWrap/>
            <w:vAlign w:val="center"/>
            <w:hideMark/>
          </w:tcPr>
          <w:p w14:paraId="0058693B" w14:textId="77777777" w:rsidR="004E7B7E" w:rsidRPr="008B619A" w:rsidRDefault="004E7B7E" w:rsidP="006400F0">
            <w:pPr>
              <w:widowControl/>
              <w:rPr>
                <w:rFonts w:hAnsi="標楷體" w:cs="Tahoma"/>
                <w:color w:val="000000" w:themeColor="text1"/>
                <w:kern w:val="0"/>
                <w:sz w:val="20"/>
              </w:rPr>
            </w:pPr>
            <w:r w:rsidRPr="008B619A">
              <w:rPr>
                <w:rFonts w:hAnsi="標楷體" w:cs="Tahoma" w:hint="eastAsia"/>
                <w:color w:val="000000" w:themeColor="text1"/>
                <w:kern w:val="0"/>
                <w:sz w:val="20"/>
              </w:rPr>
              <w:t>林業</w:t>
            </w:r>
          </w:p>
        </w:tc>
        <w:tc>
          <w:tcPr>
            <w:tcW w:w="223" w:type="pct"/>
            <w:tcBorders>
              <w:top w:val="nil"/>
              <w:left w:val="nil"/>
              <w:bottom w:val="nil"/>
              <w:right w:val="nil"/>
            </w:tcBorders>
            <w:shd w:val="clear" w:color="auto" w:fill="auto"/>
            <w:noWrap/>
            <w:vAlign w:val="center"/>
            <w:hideMark/>
          </w:tcPr>
          <w:p w14:paraId="5AC9B082"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6</w:t>
            </w:r>
          </w:p>
        </w:tc>
        <w:tc>
          <w:tcPr>
            <w:tcW w:w="223" w:type="pct"/>
            <w:tcBorders>
              <w:top w:val="nil"/>
              <w:left w:val="nil"/>
              <w:bottom w:val="nil"/>
              <w:right w:val="nil"/>
            </w:tcBorders>
            <w:shd w:val="clear" w:color="000000" w:fill="E7E6E6"/>
            <w:noWrap/>
            <w:vAlign w:val="center"/>
            <w:hideMark/>
          </w:tcPr>
          <w:p w14:paraId="06854E49"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0.2</w:t>
            </w:r>
          </w:p>
        </w:tc>
        <w:tc>
          <w:tcPr>
            <w:tcW w:w="223" w:type="pct"/>
            <w:tcBorders>
              <w:top w:val="nil"/>
              <w:left w:val="nil"/>
              <w:bottom w:val="nil"/>
              <w:right w:val="nil"/>
            </w:tcBorders>
            <w:shd w:val="clear" w:color="auto" w:fill="auto"/>
            <w:noWrap/>
            <w:vAlign w:val="center"/>
            <w:hideMark/>
          </w:tcPr>
          <w:p w14:paraId="43190D54"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7</w:t>
            </w:r>
          </w:p>
        </w:tc>
        <w:tc>
          <w:tcPr>
            <w:tcW w:w="223" w:type="pct"/>
            <w:tcBorders>
              <w:top w:val="nil"/>
              <w:left w:val="nil"/>
              <w:bottom w:val="nil"/>
              <w:right w:val="nil"/>
            </w:tcBorders>
            <w:shd w:val="clear" w:color="000000" w:fill="E7E6E6"/>
            <w:noWrap/>
            <w:vAlign w:val="center"/>
            <w:hideMark/>
          </w:tcPr>
          <w:p w14:paraId="33211BF2"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0.2</w:t>
            </w:r>
          </w:p>
        </w:tc>
        <w:tc>
          <w:tcPr>
            <w:tcW w:w="223" w:type="pct"/>
            <w:tcBorders>
              <w:top w:val="nil"/>
              <w:left w:val="nil"/>
              <w:bottom w:val="nil"/>
              <w:right w:val="nil"/>
            </w:tcBorders>
            <w:shd w:val="clear" w:color="auto" w:fill="auto"/>
            <w:noWrap/>
            <w:vAlign w:val="center"/>
            <w:hideMark/>
          </w:tcPr>
          <w:p w14:paraId="1839D0E2"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6</w:t>
            </w:r>
          </w:p>
        </w:tc>
        <w:tc>
          <w:tcPr>
            <w:tcW w:w="223" w:type="pct"/>
            <w:tcBorders>
              <w:top w:val="nil"/>
              <w:left w:val="nil"/>
              <w:bottom w:val="nil"/>
              <w:right w:val="nil"/>
            </w:tcBorders>
            <w:shd w:val="clear" w:color="000000" w:fill="E7E6E6"/>
            <w:noWrap/>
            <w:vAlign w:val="center"/>
            <w:hideMark/>
          </w:tcPr>
          <w:p w14:paraId="7D0F29E4"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0.2</w:t>
            </w:r>
          </w:p>
        </w:tc>
        <w:tc>
          <w:tcPr>
            <w:tcW w:w="223" w:type="pct"/>
            <w:tcBorders>
              <w:top w:val="nil"/>
              <w:left w:val="nil"/>
              <w:bottom w:val="nil"/>
              <w:right w:val="nil"/>
            </w:tcBorders>
            <w:shd w:val="clear" w:color="auto" w:fill="auto"/>
            <w:noWrap/>
            <w:vAlign w:val="center"/>
            <w:hideMark/>
          </w:tcPr>
          <w:p w14:paraId="49C70E15"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3</w:t>
            </w:r>
          </w:p>
        </w:tc>
        <w:tc>
          <w:tcPr>
            <w:tcW w:w="223" w:type="pct"/>
            <w:tcBorders>
              <w:top w:val="nil"/>
              <w:left w:val="nil"/>
              <w:bottom w:val="nil"/>
              <w:right w:val="nil"/>
            </w:tcBorders>
            <w:shd w:val="clear" w:color="000000" w:fill="E7E6E6"/>
            <w:noWrap/>
            <w:vAlign w:val="center"/>
            <w:hideMark/>
          </w:tcPr>
          <w:p w14:paraId="74741803"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0.1</w:t>
            </w:r>
          </w:p>
        </w:tc>
        <w:tc>
          <w:tcPr>
            <w:tcW w:w="223" w:type="pct"/>
            <w:tcBorders>
              <w:top w:val="nil"/>
              <w:left w:val="nil"/>
              <w:bottom w:val="nil"/>
              <w:right w:val="nil"/>
            </w:tcBorders>
            <w:shd w:val="clear" w:color="auto" w:fill="auto"/>
            <w:noWrap/>
            <w:vAlign w:val="center"/>
            <w:hideMark/>
          </w:tcPr>
          <w:p w14:paraId="24CA29DF"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5</w:t>
            </w:r>
          </w:p>
        </w:tc>
        <w:tc>
          <w:tcPr>
            <w:tcW w:w="223" w:type="pct"/>
            <w:tcBorders>
              <w:top w:val="nil"/>
              <w:left w:val="nil"/>
              <w:bottom w:val="nil"/>
              <w:right w:val="nil"/>
            </w:tcBorders>
            <w:shd w:val="clear" w:color="000000" w:fill="E7E6E6"/>
            <w:noWrap/>
            <w:vAlign w:val="center"/>
            <w:hideMark/>
          </w:tcPr>
          <w:p w14:paraId="7AB5105F"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0.1</w:t>
            </w:r>
          </w:p>
        </w:tc>
        <w:tc>
          <w:tcPr>
            <w:tcW w:w="223" w:type="pct"/>
            <w:tcBorders>
              <w:top w:val="nil"/>
              <w:left w:val="nil"/>
              <w:bottom w:val="nil"/>
              <w:right w:val="nil"/>
            </w:tcBorders>
            <w:shd w:val="clear" w:color="auto" w:fill="auto"/>
            <w:noWrap/>
            <w:vAlign w:val="center"/>
            <w:hideMark/>
          </w:tcPr>
          <w:p w14:paraId="0F420DD7"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6</w:t>
            </w:r>
          </w:p>
        </w:tc>
        <w:tc>
          <w:tcPr>
            <w:tcW w:w="223" w:type="pct"/>
            <w:tcBorders>
              <w:top w:val="nil"/>
              <w:left w:val="nil"/>
              <w:bottom w:val="nil"/>
              <w:right w:val="nil"/>
            </w:tcBorders>
            <w:shd w:val="clear" w:color="000000" w:fill="E7E6E6"/>
            <w:noWrap/>
            <w:vAlign w:val="center"/>
            <w:hideMark/>
          </w:tcPr>
          <w:p w14:paraId="7419B85C"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0.2</w:t>
            </w:r>
          </w:p>
        </w:tc>
        <w:tc>
          <w:tcPr>
            <w:tcW w:w="223" w:type="pct"/>
            <w:tcBorders>
              <w:top w:val="nil"/>
              <w:left w:val="nil"/>
              <w:bottom w:val="nil"/>
              <w:right w:val="nil"/>
            </w:tcBorders>
            <w:shd w:val="clear" w:color="auto" w:fill="auto"/>
            <w:noWrap/>
            <w:vAlign w:val="center"/>
            <w:hideMark/>
          </w:tcPr>
          <w:p w14:paraId="19C297A9"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4</w:t>
            </w:r>
          </w:p>
        </w:tc>
        <w:tc>
          <w:tcPr>
            <w:tcW w:w="223" w:type="pct"/>
            <w:tcBorders>
              <w:top w:val="nil"/>
              <w:left w:val="nil"/>
              <w:bottom w:val="nil"/>
              <w:right w:val="nil"/>
            </w:tcBorders>
            <w:shd w:val="clear" w:color="000000" w:fill="E7E6E6"/>
            <w:noWrap/>
            <w:vAlign w:val="center"/>
            <w:hideMark/>
          </w:tcPr>
          <w:p w14:paraId="5940FA25"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0.1</w:t>
            </w:r>
          </w:p>
        </w:tc>
        <w:tc>
          <w:tcPr>
            <w:tcW w:w="223" w:type="pct"/>
            <w:tcBorders>
              <w:top w:val="nil"/>
              <w:left w:val="nil"/>
              <w:bottom w:val="nil"/>
              <w:right w:val="nil"/>
            </w:tcBorders>
            <w:shd w:val="clear" w:color="auto" w:fill="auto"/>
            <w:noWrap/>
            <w:vAlign w:val="center"/>
            <w:hideMark/>
          </w:tcPr>
          <w:p w14:paraId="2CC94FC9"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10</w:t>
            </w:r>
          </w:p>
        </w:tc>
        <w:tc>
          <w:tcPr>
            <w:tcW w:w="223" w:type="pct"/>
            <w:tcBorders>
              <w:top w:val="nil"/>
              <w:left w:val="nil"/>
              <w:bottom w:val="nil"/>
              <w:right w:val="nil"/>
            </w:tcBorders>
            <w:shd w:val="clear" w:color="000000" w:fill="E7E6E6"/>
            <w:noWrap/>
            <w:vAlign w:val="center"/>
            <w:hideMark/>
          </w:tcPr>
          <w:p w14:paraId="42068C8A"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0.4</w:t>
            </w:r>
          </w:p>
        </w:tc>
        <w:tc>
          <w:tcPr>
            <w:tcW w:w="223" w:type="pct"/>
            <w:tcBorders>
              <w:top w:val="nil"/>
              <w:left w:val="nil"/>
              <w:bottom w:val="nil"/>
              <w:right w:val="nil"/>
            </w:tcBorders>
            <w:shd w:val="clear" w:color="auto" w:fill="auto"/>
            <w:noWrap/>
            <w:vAlign w:val="center"/>
            <w:hideMark/>
          </w:tcPr>
          <w:p w14:paraId="104A5EA8"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6</w:t>
            </w:r>
          </w:p>
        </w:tc>
        <w:tc>
          <w:tcPr>
            <w:tcW w:w="223" w:type="pct"/>
            <w:tcBorders>
              <w:top w:val="nil"/>
              <w:left w:val="nil"/>
              <w:bottom w:val="nil"/>
              <w:right w:val="nil"/>
            </w:tcBorders>
            <w:shd w:val="clear" w:color="000000" w:fill="E7E6E6"/>
            <w:noWrap/>
            <w:vAlign w:val="center"/>
            <w:hideMark/>
          </w:tcPr>
          <w:p w14:paraId="101E0250"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0.2</w:t>
            </w:r>
          </w:p>
        </w:tc>
        <w:tc>
          <w:tcPr>
            <w:tcW w:w="223" w:type="pct"/>
            <w:tcBorders>
              <w:top w:val="nil"/>
              <w:left w:val="nil"/>
              <w:bottom w:val="nil"/>
              <w:right w:val="nil"/>
            </w:tcBorders>
            <w:shd w:val="clear" w:color="auto" w:fill="auto"/>
            <w:noWrap/>
            <w:vAlign w:val="center"/>
            <w:hideMark/>
          </w:tcPr>
          <w:p w14:paraId="6A4B8223"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5</w:t>
            </w:r>
          </w:p>
        </w:tc>
        <w:tc>
          <w:tcPr>
            <w:tcW w:w="280" w:type="pct"/>
            <w:tcBorders>
              <w:top w:val="nil"/>
              <w:left w:val="nil"/>
              <w:bottom w:val="nil"/>
              <w:right w:val="nil"/>
            </w:tcBorders>
            <w:shd w:val="clear" w:color="000000" w:fill="E7E6E6"/>
            <w:noWrap/>
            <w:vAlign w:val="center"/>
            <w:hideMark/>
          </w:tcPr>
          <w:p w14:paraId="6DCC7911" w14:textId="77777777" w:rsidR="004E7B7E" w:rsidRPr="008B619A" w:rsidRDefault="004E7B7E" w:rsidP="008055B8">
            <w:pPr>
              <w:widowControl/>
              <w:jc w:val="center"/>
              <w:rPr>
                <w:rFonts w:hAnsi="標楷體" w:cs="Tahoma"/>
                <w:color w:val="000000" w:themeColor="text1"/>
                <w:kern w:val="0"/>
                <w:sz w:val="15"/>
                <w:szCs w:val="15"/>
              </w:rPr>
            </w:pPr>
            <w:r w:rsidRPr="008B619A">
              <w:rPr>
                <w:rFonts w:hAnsi="標楷體" w:cs="Tahoma" w:hint="eastAsia"/>
                <w:color w:val="000000" w:themeColor="text1"/>
                <w:kern w:val="0"/>
                <w:sz w:val="15"/>
                <w:szCs w:val="15"/>
              </w:rPr>
              <w:t>0.2</w:t>
            </w:r>
          </w:p>
        </w:tc>
      </w:tr>
      <w:tr w:rsidR="004E7B7E" w:rsidRPr="008B619A" w14:paraId="26F0428F" w14:textId="77777777" w:rsidTr="006400F0">
        <w:trPr>
          <w:trHeight w:val="330"/>
        </w:trPr>
        <w:tc>
          <w:tcPr>
            <w:tcW w:w="480" w:type="pct"/>
            <w:tcBorders>
              <w:top w:val="nil"/>
              <w:left w:val="nil"/>
              <w:bottom w:val="nil"/>
              <w:right w:val="single" w:sz="4" w:space="0" w:color="auto"/>
            </w:tcBorders>
            <w:shd w:val="clear" w:color="auto" w:fill="auto"/>
            <w:noWrap/>
            <w:vAlign w:val="center"/>
            <w:hideMark/>
          </w:tcPr>
          <w:p w14:paraId="2B86D02B" w14:textId="77777777" w:rsidR="004E7B7E" w:rsidRPr="008B619A" w:rsidRDefault="004E7B7E" w:rsidP="006400F0">
            <w:pPr>
              <w:widowControl/>
              <w:rPr>
                <w:rFonts w:hAnsi="標楷體" w:cs="Tahoma"/>
                <w:color w:val="000000" w:themeColor="text1"/>
                <w:kern w:val="0"/>
                <w:sz w:val="20"/>
              </w:rPr>
            </w:pPr>
            <w:r w:rsidRPr="008B619A">
              <w:rPr>
                <w:rFonts w:hAnsi="標楷體" w:cs="Tahoma" w:hint="eastAsia"/>
                <w:color w:val="000000" w:themeColor="text1"/>
                <w:kern w:val="0"/>
                <w:sz w:val="20"/>
              </w:rPr>
              <w:t>漁業</w:t>
            </w:r>
          </w:p>
        </w:tc>
        <w:tc>
          <w:tcPr>
            <w:tcW w:w="223" w:type="pct"/>
            <w:tcBorders>
              <w:top w:val="nil"/>
              <w:left w:val="nil"/>
              <w:bottom w:val="nil"/>
              <w:right w:val="nil"/>
            </w:tcBorders>
            <w:shd w:val="clear" w:color="auto" w:fill="auto"/>
            <w:noWrap/>
            <w:vAlign w:val="center"/>
            <w:hideMark/>
          </w:tcPr>
          <w:p w14:paraId="6DECD098"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11</w:t>
            </w:r>
          </w:p>
        </w:tc>
        <w:tc>
          <w:tcPr>
            <w:tcW w:w="223" w:type="pct"/>
            <w:tcBorders>
              <w:top w:val="nil"/>
              <w:left w:val="nil"/>
              <w:bottom w:val="nil"/>
              <w:right w:val="nil"/>
            </w:tcBorders>
            <w:shd w:val="clear" w:color="000000" w:fill="E7E6E6"/>
            <w:noWrap/>
            <w:vAlign w:val="center"/>
            <w:hideMark/>
          </w:tcPr>
          <w:p w14:paraId="310B424B"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0.4</w:t>
            </w:r>
          </w:p>
        </w:tc>
        <w:tc>
          <w:tcPr>
            <w:tcW w:w="223" w:type="pct"/>
            <w:tcBorders>
              <w:top w:val="nil"/>
              <w:left w:val="nil"/>
              <w:bottom w:val="nil"/>
              <w:right w:val="nil"/>
            </w:tcBorders>
            <w:shd w:val="clear" w:color="auto" w:fill="auto"/>
            <w:noWrap/>
            <w:vAlign w:val="center"/>
            <w:hideMark/>
          </w:tcPr>
          <w:p w14:paraId="17FB0074"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9</w:t>
            </w:r>
          </w:p>
        </w:tc>
        <w:tc>
          <w:tcPr>
            <w:tcW w:w="223" w:type="pct"/>
            <w:tcBorders>
              <w:top w:val="nil"/>
              <w:left w:val="nil"/>
              <w:bottom w:val="nil"/>
              <w:right w:val="nil"/>
            </w:tcBorders>
            <w:shd w:val="clear" w:color="000000" w:fill="E7E6E6"/>
            <w:noWrap/>
            <w:vAlign w:val="center"/>
            <w:hideMark/>
          </w:tcPr>
          <w:p w14:paraId="134D2761"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0.3</w:t>
            </w:r>
          </w:p>
        </w:tc>
        <w:tc>
          <w:tcPr>
            <w:tcW w:w="223" w:type="pct"/>
            <w:tcBorders>
              <w:top w:val="nil"/>
              <w:left w:val="nil"/>
              <w:bottom w:val="nil"/>
              <w:right w:val="nil"/>
            </w:tcBorders>
            <w:shd w:val="clear" w:color="auto" w:fill="auto"/>
            <w:noWrap/>
            <w:vAlign w:val="center"/>
            <w:hideMark/>
          </w:tcPr>
          <w:p w14:paraId="11EC616C"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6</w:t>
            </w:r>
          </w:p>
        </w:tc>
        <w:tc>
          <w:tcPr>
            <w:tcW w:w="223" w:type="pct"/>
            <w:tcBorders>
              <w:top w:val="nil"/>
              <w:left w:val="nil"/>
              <w:bottom w:val="nil"/>
              <w:right w:val="nil"/>
            </w:tcBorders>
            <w:shd w:val="clear" w:color="000000" w:fill="E7E6E6"/>
            <w:noWrap/>
            <w:vAlign w:val="center"/>
            <w:hideMark/>
          </w:tcPr>
          <w:p w14:paraId="34623404"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0.2</w:t>
            </w:r>
          </w:p>
        </w:tc>
        <w:tc>
          <w:tcPr>
            <w:tcW w:w="223" w:type="pct"/>
            <w:tcBorders>
              <w:top w:val="nil"/>
              <w:left w:val="nil"/>
              <w:bottom w:val="nil"/>
              <w:right w:val="nil"/>
            </w:tcBorders>
            <w:shd w:val="clear" w:color="auto" w:fill="auto"/>
            <w:noWrap/>
            <w:vAlign w:val="center"/>
            <w:hideMark/>
          </w:tcPr>
          <w:p w14:paraId="367257BE"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9</w:t>
            </w:r>
          </w:p>
        </w:tc>
        <w:tc>
          <w:tcPr>
            <w:tcW w:w="223" w:type="pct"/>
            <w:tcBorders>
              <w:top w:val="nil"/>
              <w:left w:val="nil"/>
              <w:bottom w:val="nil"/>
              <w:right w:val="nil"/>
            </w:tcBorders>
            <w:shd w:val="clear" w:color="000000" w:fill="E7E6E6"/>
            <w:noWrap/>
            <w:vAlign w:val="center"/>
            <w:hideMark/>
          </w:tcPr>
          <w:p w14:paraId="5B9CE924"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0.3</w:t>
            </w:r>
          </w:p>
        </w:tc>
        <w:tc>
          <w:tcPr>
            <w:tcW w:w="223" w:type="pct"/>
            <w:tcBorders>
              <w:top w:val="nil"/>
              <w:left w:val="nil"/>
              <w:bottom w:val="nil"/>
              <w:right w:val="nil"/>
            </w:tcBorders>
            <w:shd w:val="clear" w:color="auto" w:fill="auto"/>
            <w:noWrap/>
            <w:vAlign w:val="center"/>
            <w:hideMark/>
          </w:tcPr>
          <w:p w14:paraId="2DA8F11B"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11</w:t>
            </w:r>
          </w:p>
        </w:tc>
        <w:tc>
          <w:tcPr>
            <w:tcW w:w="223" w:type="pct"/>
            <w:tcBorders>
              <w:top w:val="nil"/>
              <w:left w:val="nil"/>
              <w:bottom w:val="nil"/>
              <w:right w:val="nil"/>
            </w:tcBorders>
            <w:shd w:val="clear" w:color="000000" w:fill="E7E6E6"/>
            <w:noWrap/>
            <w:vAlign w:val="center"/>
            <w:hideMark/>
          </w:tcPr>
          <w:p w14:paraId="45366948"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0.3</w:t>
            </w:r>
          </w:p>
        </w:tc>
        <w:tc>
          <w:tcPr>
            <w:tcW w:w="223" w:type="pct"/>
            <w:tcBorders>
              <w:top w:val="nil"/>
              <w:left w:val="nil"/>
              <w:bottom w:val="nil"/>
              <w:right w:val="nil"/>
            </w:tcBorders>
            <w:shd w:val="clear" w:color="auto" w:fill="auto"/>
            <w:noWrap/>
            <w:vAlign w:val="center"/>
            <w:hideMark/>
          </w:tcPr>
          <w:p w14:paraId="5371CC24"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8</w:t>
            </w:r>
          </w:p>
        </w:tc>
        <w:tc>
          <w:tcPr>
            <w:tcW w:w="223" w:type="pct"/>
            <w:tcBorders>
              <w:top w:val="nil"/>
              <w:left w:val="nil"/>
              <w:bottom w:val="nil"/>
              <w:right w:val="nil"/>
            </w:tcBorders>
            <w:shd w:val="clear" w:color="000000" w:fill="E7E6E6"/>
            <w:noWrap/>
            <w:vAlign w:val="center"/>
            <w:hideMark/>
          </w:tcPr>
          <w:p w14:paraId="4FB16AE0"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0.2</w:t>
            </w:r>
          </w:p>
        </w:tc>
        <w:tc>
          <w:tcPr>
            <w:tcW w:w="223" w:type="pct"/>
            <w:tcBorders>
              <w:top w:val="nil"/>
              <w:left w:val="nil"/>
              <w:bottom w:val="nil"/>
              <w:right w:val="nil"/>
            </w:tcBorders>
            <w:shd w:val="clear" w:color="auto" w:fill="auto"/>
            <w:noWrap/>
            <w:vAlign w:val="center"/>
            <w:hideMark/>
          </w:tcPr>
          <w:p w14:paraId="645DFF7F"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13</w:t>
            </w:r>
          </w:p>
        </w:tc>
        <w:tc>
          <w:tcPr>
            <w:tcW w:w="223" w:type="pct"/>
            <w:tcBorders>
              <w:top w:val="nil"/>
              <w:left w:val="nil"/>
              <w:bottom w:val="nil"/>
              <w:right w:val="nil"/>
            </w:tcBorders>
            <w:shd w:val="clear" w:color="000000" w:fill="E7E6E6"/>
            <w:noWrap/>
            <w:vAlign w:val="center"/>
            <w:hideMark/>
          </w:tcPr>
          <w:p w14:paraId="051F891A"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0.4</w:t>
            </w:r>
          </w:p>
        </w:tc>
        <w:tc>
          <w:tcPr>
            <w:tcW w:w="223" w:type="pct"/>
            <w:tcBorders>
              <w:top w:val="nil"/>
              <w:left w:val="nil"/>
              <w:bottom w:val="nil"/>
              <w:right w:val="nil"/>
            </w:tcBorders>
            <w:shd w:val="clear" w:color="auto" w:fill="auto"/>
            <w:noWrap/>
            <w:vAlign w:val="center"/>
            <w:hideMark/>
          </w:tcPr>
          <w:p w14:paraId="25DB5562"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3</w:t>
            </w:r>
          </w:p>
        </w:tc>
        <w:tc>
          <w:tcPr>
            <w:tcW w:w="223" w:type="pct"/>
            <w:tcBorders>
              <w:top w:val="nil"/>
              <w:left w:val="nil"/>
              <w:bottom w:val="nil"/>
              <w:right w:val="nil"/>
            </w:tcBorders>
            <w:shd w:val="clear" w:color="000000" w:fill="E7E6E6"/>
            <w:noWrap/>
            <w:vAlign w:val="center"/>
            <w:hideMark/>
          </w:tcPr>
          <w:p w14:paraId="6A674726"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0.1</w:t>
            </w:r>
          </w:p>
        </w:tc>
        <w:tc>
          <w:tcPr>
            <w:tcW w:w="223" w:type="pct"/>
            <w:tcBorders>
              <w:top w:val="nil"/>
              <w:left w:val="nil"/>
              <w:bottom w:val="nil"/>
              <w:right w:val="nil"/>
            </w:tcBorders>
            <w:shd w:val="clear" w:color="auto" w:fill="auto"/>
            <w:noWrap/>
            <w:vAlign w:val="center"/>
            <w:hideMark/>
          </w:tcPr>
          <w:p w14:paraId="17215FA3"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8</w:t>
            </w:r>
          </w:p>
        </w:tc>
        <w:tc>
          <w:tcPr>
            <w:tcW w:w="223" w:type="pct"/>
            <w:tcBorders>
              <w:top w:val="nil"/>
              <w:left w:val="nil"/>
              <w:bottom w:val="nil"/>
              <w:right w:val="nil"/>
            </w:tcBorders>
            <w:shd w:val="clear" w:color="000000" w:fill="E7E6E6"/>
            <w:noWrap/>
            <w:vAlign w:val="center"/>
            <w:hideMark/>
          </w:tcPr>
          <w:p w14:paraId="765EBA17"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0.3</w:t>
            </w:r>
          </w:p>
        </w:tc>
        <w:tc>
          <w:tcPr>
            <w:tcW w:w="223" w:type="pct"/>
            <w:tcBorders>
              <w:top w:val="nil"/>
              <w:left w:val="nil"/>
              <w:bottom w:val="nil"/>
              <w:right w:val="nil"/>
            </w:tcBorders>
            <w:shd w:val="clear" w:color="auto" w:fill="auto"/>
            <w:noWrap/>
            <w:vAlign w:val="center"/>
            <w:hideMark/>
          </w:tcPr>
          <w:p w14:paraId="2B16084E"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6</w:t>
            </w:r>
          </w:p>
        </w:tc>
        <w:tc>
          <w:tcPr>
            <w:tcW w:w="280" w:type="pct"/>
            <w:tcBorders>
              <w:top w:val="nil"/>
              <w:left w:val="nil"/>
              <w:bottom w:val="nil"/>
              <w:right w:val="nil"/>
            </w:tcBorders>
            <w:shd w:val="clear" w:color="000000" w:fill="E7E6E6"/>
            <w:noWrap/>
            <w:vAlign w:val="center"/>
            <w:hideMark/>
          </w:tcPr>
          <w:p w14:paraId="07496D3C" w14:textId="77777777" w:rsidR="004E7B7E" w:rsidRPr="008B619A" w:rsidRDefault="004E7B7E" w:rsidP="008055B8">
            <w:pPr>
              <w:widowControl/>
              <w:jc w:val="center"/>
              <w:rPr>
                <w:rFonts w:hAnsi="標楷體" w:cs="Tahoma"/>
                <w:color w:val="000000" w:themeColor="text1"/>
                <w:kern w:val="0"/>
                <w:sz w:val="15"/>
                <w:szCs w:val="15"/>
              </w:rPr>
            </w:pPr>
            <w:r w:rsidRPr="008B619A">
              <w:rPr>
                <w:rFonts w:hAnsi="標楷體" w:cs="Tahoma" w:hint="eastAsia"/>
                <w:color w:val="000000" w:themeColor="text1"/>
                <w:kern w:val="0"/>
                <w:sz w:val="15"/>
                <w:szCs w:val="15"/>
              </w:rPr>
              <w:t>0.2</w:t>
            </w:r>
          </w:p>
        </w:tc>
      </w:tr>
      <w:tr w:rsidR="004E7B7E" w:rsidRPr="008B619A" w14:paraId="2945F103" w14:textId="77777777" w:rsidTr="006400F0">
        <w:trPr>
          <w:trHeight w:val="330"/>
        </w:trPr>
        <w:tc>
          <w:tcPr>
            <w:tcW w:w="480" w:type="pct"/>
            <w:tcBorders>
              <w:top w:val="nil"/>
              <w:left w:val="nil"/>
              <w:bottom w:val="nil"/>
              <w:right w:val="single" w:sz="4" w:space="0" w:color="auto"/>
            </w:tcBorders>
            <w:shd w:val="clear" w:color="auto" w:fill="auto"/>
            <w:noWrap/>
            <w:vAlign w:val="center"/>
            <w:hideMark/>
          </w:tcPr>
          <w:p w14:paraId="6A361E6B" w14:textId="77777777" w:rsidR="004E7B7E" w:rsidRPr="008B619A" w:rsidRDefault="004E7B7E" w:rsidP="006400F0">
            <w:pPr>
              <w:widowControl/>
              <w:rPr>
                <w:rFonts w:hAnsi="標楷體" w:cs="Tahoma"/>
                <w:color w:val="000000" w:themeColor="text1"/>
                <w:kern w:val="0"/>
                <w:sz w:val="20"/>
              </w:rPr>
            </w:pPr>
            <w:r w:rsidRPr="008B619A">
              <w:rPr>
                <w:rFonts w:hAnsi="標楷體" w:cs="Tahoma" w:hint="eastAsia"/>
                <w:color w:val="000000" w:themeColor="text1"/>
                <w:kern w:val="0"/>
                <w:sz w:val="20"/>
              </w:rPr>
              <w:t>獸醫</w:t>
            </w:r>
          </w:p>
        </w:tc>
        <w:tc>
          <w:tcPr>
            <w:tcW w:w="223" w:type="pct"/>
            <w:tcBorders>
              <w:top w:val="nil"/>
              <w:left w:val="nil"/>
              <w:bottom w:val="nil"/>
              <w:right w:val="nil"/>
            </w:tcBorders>
            <w:shd w:val="clear" w:color="auto" w:fill="auto"/>
            <w:noWrap/>
            <w:vAlign w:val="center"/>
            <w:hideMark/>
          </w:tcPr>
          <w:p w14:paraId="3939F119"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13</w:t>
            </w:r>
          </w:p>
        </w:tc>
        <w:tc>
          <w:tcPr>
            <w:tcW w:w="223" w:type="pct"/>
            <w:tcBorders>
              <w:top w:val="nil"/>
              <w:left w:val="nil"/>
              <w:bottom w:val="nil"/>
              <w:right w:val="nil"/>
            </w:tcBorders>
            <w:shd w:val="clear" w:color="000000" w:fill="E7E6E6"/>
            <w:noWrap/>
            <w:vAlign w:val="center"/>
            <w:hideMark/>
          </w:tcPr>
          <w:p w14:paraId="7EE31A14"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0.4</w:t>
            </w:r>
          </w:p>
        </w:tc>
        <w:tc>
          <w:tcPr>
            <w:tcW w:w="223" w:type="pct"/>
            <w:tcBorders>
              <w:top w:val="nil"/>
              <w:left w:val="nil"/>
              <w:bottom w:val="nil"/>
              <w:right w:val="nil"/>
            </w:tcBorders>
            <w:shd w:val="clear" w:color="auto" w:fill="auto"/>
            <w:noWrap/>
            <w:vAlign w:val="center"/>
            <w:hideMark/>
          </w:tcPr>
          <w:p w14:paraId="696C74D6"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14</w:t>
            </w:r>
          </w:p>
        </w:tc>
        <w:tc>
          <w:tcPr>
            <w:tcW w:w="223" w:type="pct"/>
            <w:tcBorders>
              <w:top w:val="nil"/>
              <w:left w:val="nil"/>
              <w:bottom w:val="nil"/>
              <w:right w:val="nil"/>
            </w:tcBorders>
            <w:shd w:val="clear" w:color="000000" w:fill="E7E6E6"/>
            <w:noWrap/>
            <w:vAlign w:val="center"/>
            <w:hideMark/>
          </w:tcPr>
          <w:p w14:paraId="00CB3473"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0.4</w:t>
            </w:r>
          </w:p>
        </w:tc>
        <w:tc>
          <w:tcPr>
            <w:tcW w:w="223" w:type="pct"/>
            <w:tcBorders>
              <w:top w:val="nil"/>
              <w:left w:val="nil"/>
              <w:bottom w:val="nil"/>
              <w:right w:val="nil"/>
            </w:tcBorders>
            <w:shd w:val="clear" w:color="auto" w:fill="auto"/>
            <w:noWrap/>
            <w:vAlign w:val="center"/>
            <w:hideMark/>
          </w:tcPr>
          <w:p w14:paraId="0EA7D92D"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26</w:t>
            </w:r>
          </w:p>
        </w:tc>
        <w:tc>
          <w:tcPr>
            <w:tcW w:w="223" w:type="pct"/>
            <w:tcBorders>
              <w:top w:val="nil"/>
              <w:left w:val="nil"/>
              <w:bottom w:val="nil"/>
              <w:right w:val="nil"/>
            </w:tcBorders>
            <w:shd w:val="clear" w:color="000000" w:fill="E7E6E6"/>
            <w:noWrap/>
            <w:vAlign w:val="center"/>
            <w:hideMark/>
          </w:tcPr>
          <w:p w14:paraId="58434C12"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0.8</w:t>
            </w:r>
          </w:p>
        </w:tc>
        <w:tc>
          <w:tcPr>
            <w:tcW w:w="223" w:type="pct"/>
            <w:tcBorders>
              <w:top w:val="nil"/>
              <w:left w:val="nil"/>
              <w:bottom w:val="nil"/>
              <w:right w:val="nil"/>
            </w:tcBorders>
            <w:shd w:val="clear" w:color="auto" w:fill="auto"/>
            <w:noWrap/>
            <w:vAlign w:val="center"/>
            <w:hideMark/>
          </w:tcPr>
          <w:p w14:paraId="28CA20C6"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18</w:t>
            </w:r>
          </w:p>
        </w:tc>
        <w:tc>
          <w:tcPr>
            <w:tcW w:w="223" w:type="pct"/>
            <w:tcBorders>
              <w:top w:val="nil"/>
              <w:left w:val="nil"/>
              <w:bottom w:val="nil"/>
              <w:right w:val="nil"/>
            </w:tcBorders>
            <w:shd w:val="clear" w:color="000000" w:fill="E7E6E6"/>
            <w:noWrap/>
            <w:vAlign w:val="center"/>
            <w:hideMark/>
          </w:tcPr>
          <w:p w14:paraId="6D581FFF"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0.5</w:t>
            </w:r>
          </w:p>
        </w:tc>
        <w:tc>
          <w:tcPr>
            <w:tcW w:w="223" w:type="pct"/>
            <w:tcBorders>
              <w:top w:val="nil"/>
              <w:left w:val="nil"/>
              <w:bottom w:val="nil"/>
              <w:right w:val="nil"/>
            </w:tcBorders>
            <w:shd w:val="clear" w:color="auto" w:fill="auto"/>
            <w:noWrap/>
            <w:vAlign w:val="center"/>
            <w:hideMark/>
          </w:tcPr>
          <w:p w14:paraId="68D07232"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18</w:t>
            </w:r>
          </w:p>
        </w:tc>
        <w:tc>
          <w:tcPr>
            <w:tcW w:w="223" w:type="pct"/>
            <w:tcBorders>
              <w:top w:val="nil"/>
              <w:left w:val="nil"/>
              <w:bottom w:val="nil"/>
              <w:right w:val="nil"/>
            </w:tcBorders>
            <w:shd w:val="clear" w:color="000000" w:fill="E7E6E6"/>
            <w:noWrap/>
            <w:vAlign w:val="center"/>
            <w:hideMark/>
          </w:tcPr>
          <w:p w14:paraId="1FB9CC0C"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0.5</w:t>
            </w:r>
          </w:p>
        </w:tc>
        <w:tc>
          <w:tcPr>
            <w:tcW w:w="223" w:type="pct"/>
            <w:tcBorders>
              <w:top w:val="nil"/>
              <w:left w:val="nil"/>
              <w:bottom w:val="nil"/>
              <w:right w:val="nil"/>
            </w:tcBorders>
            <w:shd w:val="clear" w:color="auto" w:fill="auto"/>
            <w:noWrap/>
            <w:vAlign w:val="center"/>
            <w:hideMark/>
          </w:tcPr>
          <w:p w14:paraId="35D5A0B5"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15</w:t>
            </w:r>
          </w:p>
        </w:tc>
        <w:tc>
          <w:tcPr>
            <w:tcW w:w="223" w:type="pct"/>
            <w:tcBorders>
              <w:top w:val="nil"/>
              <w:left w:val="nil"/>
              <w:bottom w:val="nil"/>
              <w:right w:val="nil"/>
            </w:tcBorders>
            <w:shd w:val="clear" w:color="000000" w:fill="E7E6E6"/>
            <w:noWrap/>
            <w:vAlign w:val="center"/>
            <w:hideMark/>
          </w:tcPr>
          <w:p w14:paraId="5F830A02"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0.5</w:t>
            </w:r>
          </w:p>
        </w:tc>
        <w:tc>
          <w:tcPr>
            <w:tcW w:w="223" w:type="pct"/>
            <w:tcBorders>
              <w:top w:val="nil"/>
              <w:left w:val="nil"/>
              <w:bottom w:val="nil"/>
              <w:right w:val="nil"/>
            </w:tcBorders>
            <w:shd w:val="clear" w:color="auto" w:fill="auto"/>
            <w:noWrap/>
            <w:vAlign w:val="center"/>
            <w:hideMark/>
          </w:tcPr>
          <w:p w14:paraId="4123C8CA"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12</w:t>
            </w:r>
          </w:p>
        </w:tc>
        <w:tc>
          <w:tcPr>
            <w:tcW w:w="223" w:type="pct"/>
            <w:tcBorders>
              <w:top w:val="nil"/>
              <w:left w:val="nil"/>
              <w:bottom w:val="nil"/>
              <w:right w:val="nil"/>
            </w:tcBorders>
            <w:shd w:val="clear" w:color="000000" w:fill="E7E6E6"/>
            <w:noWrap/>
            <w:vAlign w:val="center"/>
            <w:hideMark/>
          </w:tcPr>
          <w:p w14:paraId="14DAD3F6"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0.4</w:t>
            </w:r>
          </w:p>
        </w:tc>
        <w:tc>
          <w:tcPr>
            <w:tcW w:w="223" w:type="pct"/>
            <w:tcBorders>
              <w:top w:val="nil"/>
              <w:left w:val="nil"/>
              <w:bottom w:val="nil"/>
              <w:right w:val="nil"/>
            </w:tcBorders>
            <w:shd w:val="clear" w:color="auto" w:fill="auto"/>
            <w:noWrap/>
            <w:vAlign w:val="center"/>
            <w:hideMark/>
          </w:tcPr>
          <w:p w14:paraId="2A025165"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13</w:t>
            </w:r>
          </w:p>
        </w:tc>
        <w:tc>
          <w:tcPr>
            <w:tcW w:w="223" w:type="pct"/>
            <w:tcBorders>
              <w:top w:val="nil"/>
              <w:left w:val="nil"/>
              <w:bottom w:val="nil"/>
              <w:right w:val="nil"/>
            </w:tcBorders>
            <w:shd w:val="clear" w:color="000000" w:fill="E7E6E6"/>
            <w:noWrap/>
            <w:vAlign w:val="center"/>
            <w:hideMark/>
          </w:tcPr>
          <w:p w14:paraId="35F95F0B"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0.5</w:t>
            </w:r>
          </w:p>
        </w:tc>
        <w:tc>
          <w:tcPr>
            <w:tcW w:w="223" w:type="pct"/>
            <w:tcBorders>
              <w:top w:val="nil"/>
              <w:left w:val="nil"/>
              <w:bottom w:val="nil"/>
              <w:right w:val="nil"/>
            </w:tcBorders>
            <w:shd w:val="clear" w:color="auto" w:fill="auto"/>
            <w:noWrap/>
            <w:vAlign w:val="center"/>
            <w:hideMark/>
          </w:tcPr>
          <w:p w14:paraId="3ABFEA2F"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19</w:t>
            </w:r>
          </w:p>
        </w:tc>
        <w:tc>
          <w:tcPr>
            <w:tcW w:w="223" w:type="pct"/>
            <w:tcBorders>
              <w:top w:val="nil"/>
              <w:left w:val="nil"/>
              <w:bottom w:val="nil"/>
              <w:right w:val="nil"/>
            </w:tcBorders>
            <w:shd w:val="clear" w:color="000000" w:fill="E7E6E6"/>
            <w:noWrap/>
            <w:vAlign w:val="center"/>
            <w:hideMark/>
          </w:tcPr>
          <w:p w14:paraId="6F87E7F6"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0.7</w:t>
            </w:r>
          </w:p>
        </w:tc>
        <w:tc>
          <w:tcPr>
            <w:tcW w:w="223" w:type="pct"/>
            <w:tcBorders>
              <w:top w:val="nil"/>
              <w:left w:val="nil"/>
              <w:bottom w:val="nil"/>
              <w:right w:val="nil"/>
            </w:tcBorders>
            <w:shd w:val="clear" w:color="auto" w:fill="auto"/>
            <w:noWrap/>
            <w:vAlign w:val="center"/>
            <w:hideMark/>
          </w:tcPr>
          <w:p w14:paraId="4BDAAEDE"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9</w:t>
            </w:r>
          </w:p>
        </w:tc>
        <w:tc>
          <w:tcPr>
            <w:tcW w:w="280" w:type="pct"/>
            <w:tcBorders>
              <w:top w:val="nil"/>
              <w:left w:val="nil"/>
              <w:bottom w:val="nil"/>
              <w:right w:val="nil"/>
            </w:tcBorders>
            <w:shd w:val="clear" w:color="000000" w:fill="E7E6E6"/>
            <w:noWrap/>
            <w:vAlign w:val="center"/>
            <w:hideMark/>
          </w:tcPr>
          <w:p w14:paraId="1F736712" w14:textId="77777777" w:rsidR="004E7B7E" w:rsidRPr="008B619A" w:rsidRDefault="004E7B7E" w:rsidP="008055B8">
            <w:pPr>
              <w:widowControl/>
              <w:jc w:val="center"/>
              <w:rPr>
                <w:rFonts w:hAnsi="標楷體" w:cs="Tahoma"/>
                <w:color w:val="000000" w:themeColor="text1"/>
                <w:kern w:val="0"/>
                <w:sz w:val="15"/>
                <w:szCs w:val="15"/>
              </w:rPr>
            </w:pPr>
            <w:r w:rsidRPr="008B619A">
              <w:rPr>
                <w:rFonts w:hAnsi="標楷體" w:cs="Tahoma" w:hint="eastAsia"/>
                <w:color w:val="000000" w:themeColor="text1"/>
                <w:kern w:val="0"/>
                <w:sz w:val="15"/>
                <w:szCs w:val="15"/>
              </w:rPr>
              <w:t>0.4</w:t>
            </w:r>
          </w:p>
        </w:tc>
      </w:tr>
      <w:tr w:rsidR="004E7B7E" w:rsidRPr="008B619A" w14:paraId="2F4CDE24" w14:textId="77777777" w:rsidTr="006400F0">
        <w:trPr>
          <w:trHeight w:val="330"/>
        </w:trPr>
        <w:tc>
          <w:tcPr>
            <w:tcW w:w="480" w:type="pct"/>
            <w:tcBorders>
              <w:top w:val="nil"/>
              <w:left w:val="nil"/>
              <w:bottom w:val="nil"/>
              <w:right w:val="single" w:sz="4" w:space="0" w:color="auto"/>
            </w:tcBorders>
            <w:shd w:val="clear" w:color="auto" w:fill="auto"/>
            <w:noWrap/>
            <w:vAlign w:val="center"/>
            <w:hideMark/>
          </w:tcPr>
          <w:p w14:paraId="7B3BC0E6" w14:textId="77777777" w:rsidR="004E7B7E" w:rsidRPr="008B619A" w:rsidRDefault="004E7B7E" w:rsidP="006400F0">
            <w:pPr>
              <w:widowControl/>
              <w:rPr>
                <w:rFonts w:hAnsi="標楷體" w:cs="Tahoma"/>
                <w:color w:val="000000" w:themeColor="text1"/>
                <w:kern w:val="0"/>
                <w:sz w:val="20"/>
              </w:rPr>
            </w:pPr>
            <w:r w:rsidRPr="008B619A">
              <w:rPr>
                <w:rFonts w:hAnsi="標楷體" w:cs="Tahoma" w:hint="eastAsia"/>
                <w:color w:val="000000" w:themeColor="text1"/>
                <w:kern w:val="0"/>
                <w:sz w:val="20"/>
              </w:rPr>
              <w:t>醫藥衛生</w:t>
            </w:r>
          </w:p>
        </w:tc>
        <w:tc>
          <w:tcPr>
            <w:tcW w:w="223" w:type="pct"/>
            <w:tcBorders>
              <w:top w:val="nil"/>
              <w:left w:val="nil"/>
              <w:bottom w:val="nil"/>
              <w:right w:val="nil"/>
            </w:tcBorders>
            <w:shd w:val="clear" w:color="auto" w:fill="auto"/>
            <w:noWrap/>
            <w:vAlign w:val="center"/>
            <w:hideMark/>
          </w:tcPr>
          <w:p w14:paraId="3E643C54"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164</w:t>
            </w:r>
          </w:p>
        </w:tc>
        <w:tc>
          <w:tcPr>
            <w:tcW w:w="223" w:type="pct"/>
            <w:tcBorders>
              <w:top w:val="nil"/>
              <w:left w:val="nil"/>
              <w:bottom w:val="nil"/>
              <w:right w:val="nil"/>
            </w:tcBorders>
            <w:shd w:val="clear" w:color="000000" w:fill="E7E6E6"/>
            <w:noWrap/>
            <w:vAlign w:val="center"/>
            <w:hideMark/>
          </w:tcPr>
          <w:p w14:paraId="266B3743"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5.3</w:t>
            </w:r>
          </w:p>
        </w:tc>
        <w:tc>
          <w:tcPr>
            <w:tcW w:w="223" w:type="pct"/>
            <w:tcBorders>
              <w:top w:val="nil"/>
              <w:left w:val="nil"/>
              <w:bottom w:val="nil"/>
              <w:right w:val="nil"/>
            </w:tcBorders>
            <w:shd w:val="clear" w:color="auto" w:fill="auto"/>
            <w:noWrap/>
            <w:vAlign w:val="center"/>
            <w:hideMark/>
          </w:tcPr>
          <w:p w14:paraId="7A33C985"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247</w:t>
            </w:r>
          </w:p>
        </w:tc>
        <w:tc>
          <w:tcPr>
            <w:tcW w:w="223" w:type="pct"/>
            <w:tcBorders>
              <w:top w:val="nil"/>
              <w:left w:val="nil"/>
              <w:bottom w:val="nil"/>
              <w:right w:val="nil"/>
            </w:tcBorders>
            <w:shd w:val="clear" w:color="000000" w:fill="E7E6E6"/>
            <w:noWrap/>
            <w:vAlign w:val="center"/>
            <w:hideMark/>
          </w:tcPr>
          <w:p w14:paraId="2FC6FEC2"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7.6</w:t>
            </w:r>
          </w:p>
        </w:tc>
        <w:tc>
          <w:tcPr>
            <w:tcW w:w="223" w:type="pct"/>
            <w:tcBorders>
              <w:top w:val="nil"/>
              <w:left w:val="nil"/>
              <w:bottom w:val="nil"/>
              <w:right w:val="nil"/>
            </w:tcBorders>
            <w:shd w:val="clear" w:color="auto" w:fill="auto"/>
            <w:noWrap/>
            <w:vAlign w:val="center"/>
            <w:hideMark/>
          </w:tcPr>
          <w:p w14:paraId="002833AB"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215</w:t>
            </w:r>
          </w:p>
        </w:tc>
        <w:tc>
          <w:tcPr>
            <w:tcW w:w="223" w:type="pct"/>
            <w:tcBorders>
              <w:top w:val="nil"/>
              <w:left w:val="nil"/>
              <w:bottom w:val="nil"/>
              <w:right w:val="nil"/>
            </w:tcBorders>
            <w:shd w:val="clear" w:color="000000" w:fill="E7E6E6"/>
            <w:noWrap/>
            <w:vAlign w:val="center"/>
            <w:hideMark/>
          </w:tcPr>
          <w:p w14:paraId="2152DCC6"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6.6</w:t>
            </w:r>
          </w:p>
        </w:tc>
        <w:tc>
          <w:tcPr>
            <w:tcW w:w="223" w:type="pct"/>
            <w:tcBorders>
              <w:top w:val="nil"/>
              <w:left w:val="nil"/>
              <w:bottom w:val="nil"/>
              <w:right w:val="nil"/>
            </w:tcBorders>
            <w:shd w:val="clear" w:color="auto" w:fill="auto"/>
            <w:noWrap/>
            <w:vAlign w:val="center"/>
            <w:hideMark/>
          </w:tcPr>
          <w:p w14:paraId="02EC4D82"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252</w:t>
            </w:r>
          </w:p>
        </w:tc>
        <w:tc>
          <w:tcPr>
            <w:tcW w:w="223" w:type="pct"/>
            <w:tcBorders>
              <w:top w:val="nil"/>
              <w:left w:val="nil"/>
              <w:bottom w:val="nil"/>
              <w:right w:val="nil"/>
            </w:tcBorders>
            <w:shd w:val="clear" w:color="000000" w:fill="E7E6E6"/>
            <w:noWrap/>
            <w:vAlign w:val="center"/>
            <w:hideMark/>
          </w:tcPr>
          <w:p w14:paraId="3E663138"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7.1</w:t>
            </w:r>
          </w:p>
        </w:tc>
        <w:tc>
          <w:tcPr>
            <w:tcW w:w="223" w:type="pct"/>
            <w:tcBorders>
              <w:top w:val="nil"/>
              <w:left w:val="nil"/>
              <w:bottom w:val="nil"/>
              <w:right w:val="nil"/>
            </w:tcBorders>
            <w:shd w:val="clear" w:color="auto" w:fill="auto"/>
            <w:noWrap/>
            <w:vAlign w:val="center"/>
            <w:hideMark/>
          </w:tcPr>
          <w:p w14:paraId="717B05A3"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284</w:t>
            </w:r>
          </w:p>
        </w:tc>
        <w:tc>
          <w:tcPr>
            <w:tcW w:w="223" w:type="pct"/>
            <w:tcBorders>
              <w:top w:val="nil"/>
              <w:left w:val="nil"/>
              <w:bottom w:val="nil"/>
              <w:right w:val="nil"/>
            </w:tcBorders>
            <w:shd w:val="clear" w:color="000000" w:fill="E7E6E6"/>
            <w:noWrap/>
            <w:vAlign w:val="center"/>
            <w:hideMark/>
          </w:tcPr>
          <w:p w14:paraId="17943C52"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8.4</w:t>
            </w:r>
          </w:p>
        </w:tc>
        <w:tc>
          <w:tcPr>
            <w:tcW w:w="223" w:type="pct"/>
            <w:tcBorders>
              <w:top w:val="nil"/>
              <w:left w:val="nil"/>
              <w:bottom w:val="nil"/>
              <w:right w:val="nil"/>
            </w:tcBorders>
            <w:shd w:val="clear" w:color="auto" w:fill="auto"/>
            <w:noWrap/>
            <w:vAlign w:val="center"/>
            <w:hideMark/>
          </w:tcPr>
          <w:p w14:paraId="2CDAE43E"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282</w:t>
            </w:r>
          </w:p>
        </w:tc>
        <w:tc>
          <w:tcPr>
            <w:tcW w:w="223" w:type="pct"/>
            <w:tcBorders>
              <w:top w:val="nil"/>
              <w:left w:val="nil"/>
              <w:bottom w:val="nil"/>
              <w:right w:val="nil"/>
            </w:tcBorders>
            <w:shd w:val="clear" w:color="000000" w:fill="E7E6E6"/>
            <w:noWrap/>
            <w:vAlign w:val="center"/>
            <w:hideMark/>
          </w:tcPr>
          <w:p w14:paraId="6472D8D1"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8.6</w:t>
            </w:r>
          </w:p>
        </w:tc>
        <w:tc>
          <w:tcPr>
            <w:tcW w:w="223" w:type="pct"/>
            <w:tcBorders>
              <w:top w:val="nil"/>
              <w:left w:val="nil"/>
              <w:bottom w:val="nil"/>
              <w:right w:val="nil"/>
            </w:tcBorders>
            <w:shd w:val="clear" w:color="auto" w:fill="auto"/>
            <w:noWrap/>
            <w:vAlign w:val="center"/>
            <w:hideMark/>
          </w:tcPr>
          <w:p w14:paraId="24F4AFE8"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255</w:t>
            </w:r>
          </w:p>
        </w:tc>
        <w:tc>
          <w:tcPr>
            <w:tcW w:w="223" w:type="pct"/>
            <w:tcBorders>
              <w:top w:val="nil"/>
              <w:left w:val="nil"/>
              <w:bottom w:val="nil"/>
              <w:right w:val="nil"/>
            </w:tcBorders>
            <w:shd w:val="clear" w:color="000000" w:fill="E7E6E6"/>
            <w:noWrap/>
            <w:vAlign w:val="center"/>
            <w:hideMark/>
          </w:tcPr>
          <w:p w14:paraId="5A0D12EC"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8.8</w:t>
            </w:r>
          </w:p>
        </w:tc>
        <w:tc>
          <w:tcPr>
            <w:tcW w:w="223" w:type="pct"/>
            <w:tcBorders>
              <w:top w:val="nil"/>
              <w:left w:val="nil"/>
              <w:bottom w:val="nil"/>
              <w:right w:val="nil"/>
            </w:tcBorders>
            <w:shd w:val="clear" w:color="auto" w:fill="auto"/>
            <w:noWrap/>
            <w:vAlign w:val="center"/>
            <w:hideMark/>
          </w:tcPr>
          <w:p w14:paraId="429BD80D"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239</w:t>
            </w:r>
          </w:p>
        </w:tc>
        <w:tc>
          <w:tcPr>
            <w:tcW w:w="223" w:type="pct"/>
            <w:tcBorders>
              <w:top w:val="nil"/>
              <w:left w:val="nil"/>
              <w:bottom w:val="nil"/>
              <w:right w:val="nil"/>
            </w:tcBorders>
            <w:shd w:val="clear" w:color="000000" w:fill="E7E6E6"/>
            <w:noWrap/>
            <w:vAlign w:val="center"/>
            <w:hideMark/>
          </w:tcPr>
          <w:p w14:paraId="6FBC4F46"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8.6</w:t>
            </w:r>
          </w:p>
        </w:tc>
        <w:tc>
          <w:tcPr>
            <w:tcW w:w="223" w:type="pct"/>
            <w:tcBorders>
              <w:top w:val="nil"/>
              <w:left w:val="nil"/>
              <w:bottom w:val="nil"/>
              <w:right w:val="nil"/>
            </w:tcBorders>
            <w:shd w:val="clear" w:color="auto" w:fill="auto"/>
            <w:noWrap/>
            <w:vAlign w:val="center"/>
            <w:hideMark/>
          </w:tcPr>
          <w:p w14:paraId="263A277E"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236</w:t>
            </w:r>
          </w:p>
        </w:tc>
        <w:tc>
          <w:tcPr>
            <w:tcW w:w="223" w:type="pct"/>
            <w:tcBorders>
              <w:top w:val="nil"/>
              <w:left w:val="nil"/>
              <w:bottom w:val="nil"/>
              <w:right w:val="nil"/>
            </w:tcBorders>
            <w:shd w:val="clear" w:color="000000" w:fill="E7E6E6"/>
            <w:noWrap/>
            <w:vAlign w:val="center"/>
            <w:hideMark/>
          </w:tcPr>
          <w:p w14:paraId="2009D861"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8.7</w:t>
            </w:r>
          </w:p>
        </w:tc>
        <w:tc>
          <w:tcPr>
            <w:tcW w:w="223" w:type="pct"/>
            <w:tcBorders>
              <w:top w:val="nil"/>
              <w:left w:val="nil"/>
              <w:bottom w:val="nil"/>
              <w:right w:val="nil"/>
            </w:tcBorders>
            <w:shd w:val="clear" w:color="auto" w:fill="auto"/>
            <w:noWrap/>
            <w:vAlign w:val="center"/>
            <w:hideMark/>
          </w:tcPr>
          <w:p w14:paraId="34BEBF48"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206</w:t>
            </w:r>
          </w:p>
        </w:tc>
        <w:tc>
          <w:tcPr>
            <w:tcW w:w="280" w:type="pct"/>
            <w:tcBorders>
              <w:top w:val="nil"/>
              <w:left w:val="nil"/>
              <w:bottom w:val="nil"/>
              <w:right w:val="nil"/>
            </w:tcBorders>
            <w:shd w:val="clear" w:color="000000" w:fill="E7E6E6"/>
            <w:noWrap/>
            <w:vAlign w:val="center"/>
            <w:hideMark/>
          </w:tcPr>
          <w:p w14:paraId="14BCEFEC" w14:textId="77777777" w:rsidR="004E7B7E" w:rsidRPr="008B619A" w:rsidRDefault="004E7B7E" w:rsidP="008055B8">
            <w:pPr>
              <w:widowControl/>
              <w:jc w:val="center"/>
              <w:rPr>
                <w:rFonts w:hAnsi="標楷體" w:cs="Tahoma"/>
                <w:color w:val="000000" w:themeColor="text1"/>
                <w:kern w:val="0"/>
                <w:sz w:val="15"/>
                <w:szCs w:val="15"/>
              </w:rPr>
            </w:pPr>
            <w:r w:rsidRPr="008B619A">
              <w:rPr>
                <w:rFonts w:hAnsi="標楷體" w:cs="Tahoma" w:hint="eastAsia"/>
                <w:color w:val="000000" w:themeColor="text1"/>
                <w:kern w:val="0"/>
                <w:sz w:val="15"/>
                <w:szCs w:val="15"/>
              </w:rPr>
              <w:t>8.0</w:t>
            </w:r>
          </w:p>
        </w:tc>
      </w:tr>
      <w:tr w:rsidR="004E7B7E" w:rsidRPr="008B619A" w14:paraId="6355645C" w14:textId="77777777" w:rsidTr="006400F0">
        <w:trPr>
          <w:trHeight w:val="330"/>
        </w:trPr>
        <w:tc>
          <w:tcPr>
            <w:tcW w:w="480" w:type="pct"/>
            <w:tcBorders>
              <w:top w:val="nil"/>
              <w:left w:val="nil"/>
              <w:bottom w:val="nil"/>
              <w:right w:val="single" w:sz="4" w:space="0" w:color="auto"/>
            </w:tcBorders>
            <w:shd w:val="clear" w:color="auto" w:fill="auto"/>
            <w:noWrap/>
            <w:vAlign w:val="center"/>
            <w:hideMark/>
          </w:tcPr>
          <w:p w14:paraId="32F2E7C4" w14:textId="77777777" w:rsidR="004E7B7E" w:rsidRPr="008B619A" w:rsidRDefault="004E7B7E" w:rsidP="006400F0">
            <w:pPr>
              <w:widowControl/>
              <w:rPr>
                <w:rFonts w:hAnsi="標楷體" w:cs="Tahoma"/>
                <w:color w:val="000000" w:themeColor="text1"/>
                <w:kern w:val="0"/>
                <w:sz w:val="20"/>
              </w:rPr>
            </w:pPr>
            <w:r w:rsidRPr="008B619A">
              <w:rPr>
                <w:rFonts w:hAnsi="標楷體" w:cs="Tahoma" w:hint="eastAsia"/>
                <w:color w:val="000000" w:themeColor="text1"/>
                <w:kern w:val="0"/>
                <w:sz w:val="20"/>
              </w:rPr>
              <w:t>社會福利</w:t>
            </w:r>
          </w:p>
        </w:tc>
        <w:tc>
          <w:tcPr>
            <w:tcW w:w="223" w:type="pct"/>
            <w:tcBorders>
              <w:top w:val="nil"/>
              <w:left w:val="nil"/>
              <w:bottom w:val="nil"/>
              <w:right w:val="nil"/>
            </w:tcBorders>
            <w:shd w:val="clear" w:color="auto" w:fill="auto"/>
            <w:noWrap/>
            <w:vAlign w:val="center"/>
            <w:hideMark/>
          </w:tcPr>
          <w:p w14:paraId="2BB21821"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3</w:t>
            </w:r>
          </w:p>
        </w:tc>
        <w:tc>
          <w:tcPr>
            <w:tcW w:w="223" w:type="pct"/>
            <w:tcBorders>
              <w:top w:val="nil"/>
              <w:left w:val="nil"/>
              <w:bottom w:val="nil"/>
              <w:right w:val="nil"/>
            </w:tcBorders>
            <w:shd w:val="clear" w:color="000000" w:fill="E7E6E6"/>
            <w:noWrap/>
            <w:vAlign w:val="center"/>
            <w:hideMark/>
          </w:tcPr>
          <w:p w14:paraId="6A54803A"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0.1</w:t>
            </w:r>
          </w:p>
        </w:tc>
        <w:tc>
          <w:tcPr>
            <w:tcW w:w="223" w:type="pct"/>
            <w:tcBorders>
              <w:top w:val="nil"/>
              <w:left w:val="nil"/>
              <w:bottom w:val="nil"/>
              <w:right w:val="nil"/>
            </w:tcBorders>
            <w:shd w:val="clear" w:color="auto" w:fill="auto"/>
            <w:noWrap/>
            <w:vAlign w:val="center"/>
            <w:hideMark/>
          </w:tcPr>
          <w:p w14:paraId="46C833E5"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1</w:t>
            </w:r>
          </w:p>
        </w:tc>
        <w:tc>
          <w:tcPr>
            <w:tcW w:w="223" w:type="pct"/>
            <w:tcBorders>
              <w:top w:val="nil"/>
              <w:left w:val="nil"/>
              <w:bottom w:val="nil"/>
              <w:right w:val="nil"/>
            </w:tcBorders>
            <w:shd w:val="clear" w:color="000000" w:fill="E7E6E6"/>
            <w:noWrap/>
            <w:vAlign w:val="center"/>
            <w:hideMark/>
          </w:tcPr>
          <w:p w14:paraId="097BB794"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0.0</w:t>
            </w:r>
          </w:p>
        </w:tc>
        <w:tc>
          <w:tcPr>
            <w:tcW w:w="223" w:type="pct"/>
            <w:tcBorders>
              <w:top w:val="nil"/>
              <w:left w:val="nil"/>
              <w:bottom w:val="nil"/>
              <w:right w:val="nil"/>
            </w:tcBorders>
            <w:shd w:val="clear" w:color="auto" w:fill="auto"/>
            <w:noWrap/>
            <w:vAlign w:val="center"/>
            <w:hideMark/>
          </w:tcPr>
          <w:p w14:paraId="6A3E6501"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8</w:t>
            </w:r>
          </w:p>
        </w:tc>
        <w:tc>
          <w:tcPr>
            <w:tcW w:w="223" w:type="pct"/>
            <w:tcBorders>
              <w:top w:val="nil"/>
              <w:left w:val="nil"/>
              <w:bottom w:val="nil"/>
              <w:right w:val="nil"/>
            </w:tcBorders>
            <w:shd w:val="clear" w:color="000000" w:fill="E7E6E6"/>
            <w:noWrap/>
            <w:vAlign w:val="center"/>
            <w:hideMark/>
          </w:tcPr>
          <w:p w14:paraId="76B5D910"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0.2</w:t>
            </w:r>
          </w:p>
        </w:tc>
        <w:tc>
          <w:tcPr>
            <w:tcW w:w="223" w:type="pct"/>
            <w:tcBorders>
              <w:top w:val="nil"/>
              <w:left w:val="nil"/>
              <w:bottom w:val="nil"/>
              <w:right w:val="nil"/>
            </w:tcBorders>
            <w:shd w:val="clear" w:color="auto" w:fill="auto"/>
            <w:noWrap/>
            <w:vAlign w:val="center"/>
            <w:hideMark/>
          </w:tcPr>
          <w:p w14:paraId="395524C3"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7</w:t>
            </w:r>
          </w:p>
        </w:tc>
        <w:tc>
          <w:tcPr>
            <w:tcW w:w="223" w:type="pct"/>
            <w:tcBorders>
              <w:top w:val="nil"/>
              <w:left w:val="nil"/>
              <w:bottom w:val="nil"/>
              <w:right w:val="nil"/>
            </w:tcBorders>
            <w:shd w:val="clear" w:color="000000" w:fill="E7E6E6"/>
            <w:noWrap/>
            <w:vAlign w:val="center"/>
            <w:hideMark/>
          </w:tcPr>
          <w:p w14:paraId="127020B0"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0.2</w:t>
            </w:r>
          </w:p>
        </w:tc>
        <w:tc>
          <w:tcPr>
            <w:tcW w:w="223" w:type="pct"/>
            <w:tcBorders>
              <w:top w:val="nil"/>
              <w:left w:val="nil"/>
              <w:bottom w:val="nil"/>
              <w:right w:val="nil"/>
            </w:tcBorders>
            <w:shd w:val="clear" w:color="auto" w:fill="auto"/>
            <w:noWrap/>
            <w:vAlign w:val="center"/>
            <w:hideMark/>
          </w:tcPr>
          <w:p w14:paraId="72A2BD3A"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8</w:t>
            </w:r>
          </w:p>
        </w:tc>
        <w:tc>
          <w:tcPr>
            <w:tcW w:w="223" w:type="pct"/>
            <w:tcBorders>
              <w:top w:val="nil"/>
              <w:left w:val="nil"/>
              <w:bottom w:val="nil"/>
              <w:right w:val="nil"/>
            </w:tcBorders>
            <w:shd w:val="clear" w:color="000000" w:fill="E7E6E6"/>
            <w:noWrap/>
            <w:vAlign w:val="center"/>
            <w:hideMark/>
          </w:tcPr>
          <w:p w14:paraId="68424A3C"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0.2</w:t>
            </w:r>
          </w:p>
        </w:tc>
        <w:tc>
          <w:tcPr>
            <w:tcW w:w="223" w:type="pct"/>
            <w:tcBorders>
              <w:top w:val="nil"/>
              <w:left w:val="nil"/>
              <w:bottom w:val="nil"/>
              <w:right w:val="nil"/>
            </w:tcBorders>
            <w:shd w:val="clear" w:color="auto" w:fill="auto"/>
            <w:noWrap/>
            <w:vAlign w:val="center"/>
            <w:hideMark/>
          </w:tcPr>
          <w:p w14:paraId="5226DCDA"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6</w:t>
            </w:r>
          </w:p>
        </w:tc>
        <w:tc>
          <w:tcPr>
            <w:tcW w:w="223" w:type="pct"/>
            <w:tcBorders>
              <w:top w:val="nil"/>
              <w:left w:val="nil"/>
              <w:bottom w:val="nil"/>
              <w:right w:val="nil"/>
            </w:tcBorders>
            <w:shd w:val="clear" w:color="000000" w:fill="E7E6E6"/>
            <w:noWrap/>
            <w:vAlign w:val="center"/>
            <w:hideMark/>
          </w:tcPr>
          <w:p w14:paraId="37F3771B"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0.2</w:t>
            </w:r>
          </w:p>
        </w:tc>
        <w:tc>
          <w:tcPr>
            <w:tcW w:w="223" w:type="pct"/>
            <w:tcBorders>
              <w:top w:val="nil"/>
              <w:left w:val="nil"/>
              <w:bottom w:val="nil"/>
              <w:right w:val="nil"/>
            </w:tcBorders>
            <w:shd w:val="clear" w:color="auto" w:fill="auto"/>
            <w:noWrap/>
            <w:vAlign w:val="center"/>
            <w:hideMark/>
          </w:tcPr>
          <w:p w14:paraId="122D0D78"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7</w:t>
            </w:r>
          </w:p>
        </w:tc>
        <w:tc>
          <w:tcPr>
            <w:tcW w:w="223" w:type="pct"/>
            <w:tcBorders>
              <w:top w:val="nil"/>
              <w:left w:val="nil"/>
              <w:bottom w:val="nil"/>
              <w:right w:val="nil"/>
            </w:tcBorders>
            <w:shd w:val="clear" w:color="000000" w:fill="E7E6E6"/>
            <w:noWrap/>
            <w:vAlign w:val="center"/>
            <w:hideMark/>
          </w:tcPr>
          <w:p w14:paraId="656A7315"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0.2</w:t>
            </w:r>
          </w:p>
        </w:tc>
        <w:tc>
          <w:tcPr>
            <w:tcW w:w="223" w:type="pct"/>
            <w:tcBorders>
              <w:top w:val="nil"/>
              <w:left w:val="nil"/>
              <w:bottom w:val="nil"/>
              <w:right w:val="nil"/>
            </w:tcBorders>
            <w:shd w:val="clear" w:color="auto" w:fill="auto"/>
            <w:noWrap/>
            <w:vAlign w:val="center"/>
            <w:hideMark/>
          </w:tcPr>
          <w:p w14:paraId="3FCDD933"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9</w:t>
            </w:r>
          </w:p>
        </w:tc>
        <w:tc>
          <w:tcPr>
            <w:tcW w:w="223" w:type="pct"/>
            <w:tcBorders>
              <w:top w:val="nil"/>
              <w:left w:val="nil"/>
              <w:bottom w:val="nil"/>
              <w:right w:val="nil"/>
            </w:tcBorders>
            <w:shd w:val="clear" w:color="000000" w:fill="E7E6E6"/>
            <w:noWrap/>
            <w:vAlign w:val="center"/>
            <w:hideMark/>
          </w:tcPr>
          <w:p w14:paraId="57125AEF"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0.3</w:t>
            </w:r>
          </w:p>
        </w:tc>
        <w:tc>
          <w:tcPr>
            <w:tcW w:w="223" w:type="pct"/>
            <w:tcBorders>
              <w:top w:val="nil"/>
              <w:left w:val="nil"/>
              <w:bottom w:val="nil"/>
              <w:right w:val="nil"/>
            </w:tcBorders>
            <w:shd w:val="clear" w:color="auto" w:fill="auto"/>
            <w:noWrap/>
            <w:vAlign w:val="center"/>
            <w:hideMark/>
          </w:tcPr>
          <w:p w14:paraId="763761C1"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5</w:t>
            </w:r>
          </w:p>
        </w:tc>
        <w:tc>
          <w:tcPr>
            <w:tcW w:w="223" w:type="pct"/>
            <w:tcBorders>
              <w:top w:val="nil"/>
              <w:left w:val="nil"/>
              <w:bottom w:val="nil"/>
              <w:right w:val="nil"/>
            </w:tcBorders>
            <w:shd w:val="clear" w:color="000000" w:fill="E7E6E6"/>
            <w:noWrap/>
            <w:vAlign w:val="center"/>
            <w:hideMark/>
          </w:tcPr>
          <w:p w14:paraId="45AE2EA3"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0.2</w:t>
            </w:r>
          </w:p>
        </w:tc>
        <w:tc>
          <w:tcPr>
            <w:tcW w:w="223" w:type="pct"/>
            <w:tcBorders>
              <w:top w:val="nil"/>
              <w:left w:val="nil"/>
              <w:bottom w:val="nil"/>
              <w:right w:val="nil"/>
            </w:tcBorders>
            <w:shd w:val="clear" w:color="auto" w:fill="auto"/>
            <w:noWrap/>
            <w:vAlign w:val="center"/>
            <w:hideMark/>
          </w:tcPr>
          <w:p w14:paraId="463FF111"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11</w:t>
            </w:r>
          </w:p>
        </w:tc>
        <w:tc>
          <w:tcPr>
            <w:tcW w:w="280" w:type="pct"/>
            <w:tcBorders>
              <w:top w:val="nil"/>
              <w:left w:val="nil"/>
              <w:bottom w:val="nil"/>
              <w:right w:val="nil"/>
            </w:tcBorders>
            <w:shd w:val="clear" w:color="000000" w:fill="E7E6E6"/>
            <w:noWrap/>
            <w:vAlign w:val="center"/>
            <w:hideMark/>
          </w:tcPr>
          <w:p w14:paraId="1E0FE874" w14:textId="77777777" w:rsidR="004E7B7E" w:rsidRPr="008B619A" w:rsidRDefault="004E7B7E" w:rsidP="008055B8">
            <w:pPr>
              <w:widowControl/>
              <w:jc w:val="center"/>
              <w:rPr>
                <w:rFonts w:hAnsi="標楷體" w:cs="Tahoma"/>
                <w:color w:val="000000" w:themeColor="text1"/>
                <w:kern w:val="0"/>
                <w:sz w:val="15"/>
                <w:szCs w:val="15"/>
              </w:rPr>
            </w:pPr>
            <w:r w:rsidRPr="008B619A">
              <w:rPr>
                <w:rFonts w:hAnsi="標楷體" w:cs="Tahoma" w:hint="eastAsia"/>
                <w:color w:val="000000" w:themeColor="text1"/>
                <w:kern w:val="0"/>
                <w:sz w:val="15"/>
                <w:szCs w:val="15"/>
              </w:rPr>
              <w:t>0.4</w:t>
            </w:r>
          </w:p>
        </w:tc>
      </w:tr>
      <w:tr w:rsidR="004E7B7E" w:rsidRPr="008B619A" w14:paraId="5AE22D35" w14:textId="77777777" w:rsidTr="006400F0">
        <w:trPr>
          <w:trHeight w:val="330"/>
        </w:trPr>
        <w:tc>
          <w:tcPr>
            <w:tcW w:w="480" w:type="pct"/>
            <w:tcBorders>
              <w:top w:val="nil"/>
              <w:left w:val="nil"/>
              <w:bottom w:val="nil"/>
              <w:right w:val="single" w:sz="4" w:space="0" w:color="auto"/>
            </w:tcBorders>
            <w:shd w:val="clear" w:color="auto" w:fill="auto"/>
            <w:noWrap/>
            <w:vAlign w:val="center"/>
            <w:hideMark/>
          </w:tcPr>
          <w:p w14:paraId="5DF7FC6E" w14:textId="77777777" w:rsidR="004E7B7E" w:rsidRPr="008B619A" w:rsidRDefault="004E7B7E" w:rsidP="006400F0">
            <w:pPr>
              <w:widowControl/>
              <w:rPr>
                <w:rFonts w:hAnsi="標楷體" w:cs="Tahoma"/>
                <w:color w:val="000000" w:themeColor="text1"/>
                <w:kern w:val="0"/>
                <w:sz w:val="20"/>
              </w:rPr>
            </w:pPr>
            <w:r w:rsidRPr="008B619A">
              <w:rPr>
                <w:rFonts w:hAnsi="標楷體" w:cs="Tahoma" w:hint="eastAsia"/>
                <w:color w:val="000000" w:themeColor="text1"/>
                <w:kern w:val="0"/>
                <w:sz w:val="20"/>
              </w:rPr>
              <w:t>餐旅及民生服務</w:t>
            </w:r>
          </w:p>
        </w:tc>
        <w:tc>
          <w:tcPr>
            <w:tcW w:w="223" w:type="pct"/>
            <w:tcBorders>
              <w:top w:val="nil"/>
              <w:left w:val="nil"/>
              <w:bottom w:val="nil"/>
              <w:right w:val="nil"/>
            </w:tcBorders>
            <w:shd w:val="clear" w:color="auto" w:fill="auto"/>
            <w:noWrap/>
            <w:vAlign w:val="center"/>
            <w:hideMark/>
          </w:tcPr>
          <w:p w14:paraId="0D9BEE17"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3</w:t>
            </w:r>
          </w:p>
        </w:tc>
        <w:tc>
          <w:tcPr>
            <w:tcW w:w="223" w:type="pct"/>
            <w:tcBorders>
              <w:top w:val="nil"/>
              <w:left w:val="nil"/>
              <w:bottom w:val="nil"/>
              <w:right w:val="nil"/>
            </w:tcBorders>
            <w:shd w:val="clear" w:color="000000" w:fill="E7E6E6"/>
            <w:noWrap/>
            <w:vAlign w:val="center"/>
            <w:hideMark/>
          </w:tcPr>
          <w:p w14:paraId="3209B1F0"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0.1</w:t>
            </w:r>
          </w:p>
        </w:tc>
        <w:tc>
          <w:tcPr>
            <w:tcW w:w="223" w:type="pct"/>
            <w:tcBorders>
              <w:top w:val="nil"/>
              <w:left w:val="nil"/>
              <w:bottom w:val="nil"/>
              <w:right w:val="nil"/>
            </w:tcBorders>
            <w:shd w:val="clear" w:color="auto" w:fill="auto"/>
            <w:noWrap/>
            <w:vAlign w:val="center"/>
            <w:hideMark/>
          </w:tcPr>
          <w:p w14:paraId="38FC05E6"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6</w:t>
            </w:r>
          </w:p>
        </w:tc>
        <w:tc>
          <w:tcPr>
            <w:tcW w:w="223" w:type="pct"/>
            <w:tcBorders>
              <w:top w:val="nil"/>
              <w:left w:val="nil"/>
              <w:bottom w:val="nil"/>
              <w:right w:val="nil"/>
            </w:tcBorders>
            <w:shd w:val="clear" w:color="000000" w:fill="E7E6E6"/>
            <w:noWrap/>
            <w:vAlign w:val="center"/>
            <w:hideMark/>
          </w:tcPr>
          <w:p w14:paraId="377B2DDC"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0.2</w:t>
            </w:r>
          </w:p>
        </w:tc>
        <w:tc>
          <w:tcPr>
            <w:tcW w:w="223" w:type="pct"/>
            <w:tcBorders>
              <w:top w:val="nil"/>
              <w:left w:val="nil"/>
              <w:bottom w:val="nil"/>
              <w:right w:val="nil"/>
            </w:tcBorders>
            <w:shd w:val="clear" w:color="auto" w:fill="auto"/>
            <w:noWrap/>
            <w:vAlign w:val="center"/>
            <w:hideMark/>
          </w:tcPr>
          <w:p w14:paraId="0B9B1A94"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10</w:t>
            </w:r>
          </w:p>
        </w:tc>
        <w:tc>
          <w:tcPr>
            <w:tcW w:w="223" w:type="pct"/>
            <w:tcBorders>
              <w:top w:val="nil"/>
              <w:left w:val="nil"/>
              <w:bottom w:val="nil"/>
              <w:right w:val="nil"/>
            </w:tcBorders>
            <w:shd w:val="clear" w:color="000000" w:fill="E7E6E6"/>
            <w:noWrap/>
            <w:vAlign w:val="center"/>
            <w:hideMark/>
          </w:tcPr>
          <w:p w14:paraId="58576872"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0.3</w:t>
            </w:r>
          </w:p>
        </w:tc>
        <w:tc>
          <w:tcPr>
            <w:tcW w:w="223" w:type="pct"/>
            <w:tcBorders>
              <w:top w:val="nil"/>
              <w:left w:val="nil"/>
              <w:bottom w:val="nil"/>
              <w:right w:val="nil"/>
            </w:tcBorders>
            <w:shd w:val="clear" w:color="auto" w:fill="auto"/>
            <w:noWrap/>
            <w:vAlign w:val="center"/>
            <w:hideMark/>
          </w:tcPr>
          <w:p w14:paraId="2C4EBE99"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7</w:t>
            </w:r>
          </w:p>
        </w:tc>
        <w:tc>
          <w:tcPr>
            <w:tcW w:w="223" w:type="pct"/>
            <w:tcBorders>
              <w:top w:val="nil"/>
              <w:left w:val="nil"/>
              <w:bottom w:val="nil"/>
              <w:right w:val="nil"/>
            </w:tcBorders>
            <w:shd w:val="clear" w:color="000000" w:fill="E7E6E6"/>
            <w:noWrap/>
            <w:vAlign w:val="center"/>
            <w:hideMark/>
          </w:tcPr>
          <w:p w14:paraId="63F2BD9C"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0.2</w:t>
            </w:r>
          </w:p>
        </w:tc>
        <w:tc>
          <w:tcPr>
            <w:tcW w:w="223" w:type="pct"/>
            <w:tcBorders>
              <w:top w:val="nil"/>
              <w:left w:val="nil"/>
              <w:bottom w:val="nil"/>
              <w:right w:val="nil"/>
            </w:tcBorders>
            <w:shd w:val="clear" w:color="auto" w:fill="auto"/>
            <w:noWrap/>
            <w:vAlign w:val="center"/>
            <w:hideMark/>
          </w:tcPr>
          <w:p w14:paraId="7260F531"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5</w:t>
            </w:r>
          </w:p>
        </w:tc>
        <w:tc>
          <w:tcPr>
            <w:tcW w:w="223" w:type="pct"/>
            <w:tcBorders>
              <w:top w:val="nil"/>
              <w:left w:val="nil"/>
              <w:bottom w:val="nil"/>
              <w:right w:val="nil"/>
            </w:tcBorders>
            <w:shd w:val="clear" w:color="000000" w:fill="E7E6E6"/>
            <w:noWrap/>
            <w:vAlign w:val="center"/>
            <w:hideMark/>
          </w:tcPr>
          <w:p w14:paraId="0CAB4BBF"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0.1</w:t>
            </w:r>
          </w:p>
        </w:tc>
        <w:tc>
          <w:tcPr>
            <w:tcW w:w="223" w:type="pct"/>
            <w:tcBorders>
              <w:top w:val="nil"/>
              <w:left w:val="nil"/>
              <w:bottom w:val="nil"/>
              <w:right w:val="nil"/>
            </w:tcBorders>
            <w:shd w:val="clear" w:color="auto" w:fill="auto"/>
            <w:noWrap/>
            <w:vAlign w:val="center"/>
            <w:hideMark/>
          </w:tcPr>
          <w:p w14:paraId="22858414"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14</w:t>
            </w:r>
          </w:p>
        </w:tc>
        <w:tc>
          <w:tcPr>
            <w:tcW w:w="223" w:type="pct"/>
            <w:tcBorders>
              <w:top w:val="nil"/>
              <w:left w:val="nil"/>
              <w:bottom w:val="nil"/>
              <w:right w:val="nil"/>
            </w:tcBorders>
            <w:shd w:val="clear" w:color="000000" w:fill="E7E6E6"/>
            <w:noWrap/>
            <w:vAlign w:val="center"/>
            <w:hideMark/>
          </w:tcPr>
          <w:p w14:paraId="7728B4C0"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0.4</w:t>
            </w:r>
          </w:p>
        </w:tc>
        <w:tc>
          <w:tcPr>
            <w:tcW w:w="223" w:type="pct"/>
            <w:tcBorders>
              <w:top w:val="nil"/>
              <w:left w:val="nil"/>
              <w:bottom w:val="nil"/>
              <w:right w:val="nil"/>
            </w:tcBorders>
            <w:shd w:val="clear" w:color="auto" w:fill="auto"/>
            <w:noWrap/>
            <w:vAlign w:val="center"/>
            <w:hideMark/>
          </w:tcPr>
          <w:p w14:paraId="6FAB2082"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7</w:t>
            </w:r>
          </w:p>
        </w:tc>
        <w:tc>
          <w:tcPr>
            <w:tcW w:w="223" w:type="pct"/>
            <w:tcBorders>
              <w:top w:val="nil"/>
              <w:left w:val="nil"/>
              <w:bottom w:val="nil"/>
              <w:right w:val="nil"/>
            </w:tcBorders>
            <w:shd w:val="clear" w:color="000000" w:fill="E7E6E6"/>
            <w:noWrap/>
            <w:vAlign w:val="center"/>
            <w:hideMark/>
          </w:tcPr>
          <w:p w14:paraId="130B17AF"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0.2</w:t>
            </w:r>
          </w:p>
        </w:tc>
        <w:tc>
          <w:tcPr>
            <w:tcW w:w="223" w:type="pct"/>
            <w:tcBorders>
              <w:top w:val="nil"/>
              <w:left w:val="nil"/>
              <w:bottom w:val="nil"/>
              <w:right w:val="nil"/>
            </w:tcBorders>
            <w:shd w:val="clear" w:color="auto" w:fill="auto"/>
            <w:noWrap/>
            <w:vAlign w:val="center"/>
            <w:hideMark/>
          </w:tcPr>
          <w:p w14:paraId="2B98632D"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20</w:t>
            </w:r>
          </w:p>
        </w:tc>
        <w:tc>
          <w:tcPr>
            <w:tcW w:w="223" w:type="pct"/>
            <w:tcBorders>
              <w:top w:val="nil"/>
              <w:left w:val="nil"/>
              <w:bottom w:val="nil"/>
              <w:right w:val="nil"/>
            </w:tcBorders>
            <w:shd w:val="clear" w:color="000000" w:fill="E7E6E6"/>
            <w:noWrap/>
            <w:vAlign w:val="center"/>
            <w:hideMark/>
          </w:tcPr>
          <w:p w14:paraId="10217D95"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0.7</w:t>
            </w:r>
          </w:p>
        </w:tc>
        <w:tc>
          <w:tcPr>
            <w:tcW w:w="223" w:type="pct"/>
            <w:tcBorders>
              <w:top w:val="nil"/>
              <w:left w:val="nil"/>
              <w:bottom w:val="nil"/>
              <w:right w:val="nil"/>
            </w:tcBorders>
            <w:shd w:val="clear" w:color="auto" w:fill="auto"/>
            <w:noWrap/>
            <w:vAlign w:val="center"/>
            <w:hideMark/>
          </w:tcPr>
          <w:p w14:paraId="6FDB7480"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13</w:t>
            </w:r>
          </w:p>
        </w:tc>
        <w:tc>
          <w:tcPr>
            <w:tcW w:w="223" w:type="pct"/>
            <w:tcBorders>
              <w:top w:val="nil"/>
              <w:left w:val="nil"/>
              <w:bottom w:val="nil"/>
              <w:right w:val="nil"/>
            </w:tcBorders>
            <w:shd w:val="clear" w:color="000000" w:fill="E7E6E6"/>
            <w:noWrap/>
            <w:vAlign w:val="center"/>
            <w:hideMark/>
          </w:tcPr>
          <w:p w14:paraId="51113541"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0.5</w:t>
            </w:r>
          </w:p>
        </w:tc>
        <w:tc>
          <w:tcPr>
            <w:tcW w:w="223" w:type="pct"/>
            <w:tcBorders>
              <w:top w:val="nil"/>
              <w:left w:val="nil"/>
              <w:bottom w:val="nil"/>
              <w:right w:val="nil"/>
            </w:tcBorders>
            <w:shd w:val="clear" w:color="auto" w:fill="auto"/>
            <w:noWrap/>
            <w:vAlign w:val="center"/>
            <w:hideMark/>
          </w:tcPr>
          <w:p w14:paraId="1C34E80A"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17</w:t>
            </w:r>
          </w:p>
        </w:tc>
        <w:tc>
          <w:tcPr>
            <w:tcW w:w="280" w:type="pct"/>
            <w:tcBorders>
              <w:top w:val="nil"/>
              <w:left w:val="nil"/>
              <w:bottom w:val="nil"/>
              <w:right w:val="nil"/>
            </w:tcBorders>
            <w:shd w:val="clear" w:color="000000" w:fill="E7E6E6"/>
            <w:noWrap/>
            <w:vAlign w:val="center"/>
            <w:hideMark/>
          </w:tcPr>
          <w:p w14:paraId="34B690EA" w14:textId="77777777" w:rsidR="004E7B7E" w:rsidRPr="008B619A" w:rsidRDefault="004E7B7E" w:rsidP="008055B8">
            <w:pPr>
              <w:widowControl/>
              <w:jc w:val="center"/>
              <w:rPr>
                <w:rFonts w:hAnsi="標楷體" w:cs="Tahoma"/>
                <w:color w:val="000000" w:themeColor="text1"/>
                <w:kern w:val="0"/>
                <w:sz w:val="15"/>
                <w:szCs w:val="15"/>
              </w:rPr>
            </w:pPr>
            <w:r w:rsidRPr="008B619A">
              <w:rPr>
                <w:rFonts w:hAnsi="標楷體" w:cs="Tahoma" w:hint="eastAsia"/>
                <w:color w:val="000000" w:themeColor="text1"/>
                <w:kern w:val="0"/>
                <w:sz w:val="15"/>
                <w:szCs w:val="15"/>
              </w:rPr>
              <w:t>0.7</w:t>
            </w:r>
          </w:p>
        </w:tc>
      </w:tr>
      <w:tr w:rsidR="004E7B7E" w:rsidRPr="008B619A" w14:paraId="6358D13B" w14:textId="77777777" w:rsidTr="006400F0">
        <w:trPr>
          <w:trHeight w:val="330"/>
        </w:trPr>
        <w:tc>
          <w:tcPr>
            <w:tcW w:w="480" w:type="pct"/>
            <w:tcBorders>
              <w:top w:val="nil"/>
              <w:left w:val="nil"/>
              <w:bottom w:val="nil"/>
              <w:right w:val="single" w:sz="4" w:space="0" w:color="auto"/>
            </w:tcBorders>
            <w:shd w:val="clear" w:color="auto" w:fill="auto"/>
            <w:noWrap/>
            <w:vAlign w:val="center"/>
            <w:hideMark/>
          </w:tcPr>
          <w:p w14:paraId="31ED400B" w14:textId="77777777" w:rsidR="004E7B7E" w:rsidRPr="008B619A" w:rsidRDefault="004E7B7E" w:rsidP="006400F0">
            <w:pPr>
              <w:widowControl/>
              <w:rPr>
                <w:rFonts w:hAnsi="標楷體" w:cs="Tahoma"/>
                <w:color w:val="000000" w:themeColor="text1"/>
                <w:kern w:val="0"/>
                <w:sz w:val="20"/>
              </w:rPr>
            </w:pPr>
            <w:r w:rsidRPr="008B619A">
              <w:rPr>
                <w:rFonts w:hAnsi="標楷體" w:cs="Tahoma" w:hint="eastAsia"/>
                <w:color w:val="000000" w:themeColor="text1"/>
                <w:kern w:val="0"/>
                <w:sz w:val="20"/>
              </w:rPr>
              <w:t>運輸服務</w:t>
            </w:r>
          </w:p>
        </w:tc>
        <w:tc>
          <w:tcPr>
            <w:tcW w:w="223" w:type="pct"/>
            <w:tcBorders>
              <w:top w:val="nil"/>
              <w:left w:val="nil"/>
              <w:bottom w:val="nil"/>
              <w:right w:val="nil"/>
            </w:tcBorders>
            <w:shd w:val="clear" w:color="auto" w:fill="auto"/>
            <w:noWrap/>
            <w:vAlign w:val="center"/>
            <w:hideMark/>
          </w:tcPr>
          <w:p w14:paraId="75BEAE26"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11</w:t>
            </w:r>
          </w:p>
        </w:tc>
        <w:tc>
          <w:tcPr>
            <w:tcW w:w="223" w:type="pct"/>
            <w:tcBorders>
              <w:top w:val="nil"/>
              <w:left w:val="nil"/>
              <w:bottom w:val="nil"/>
              <w:right w:val="nil"/>
            </w:tcBorders>
            <w:shd w:val="clear" w:color="000000" w:fill="E7E6E6"/>
            <w:noWrap/>
            <w:vAlign w:val="center"/>
            <w:hideMark/>
          </w:tcPr>
          <w:p w14:paraId="2F2BE4F0"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0.4</w:t>
            </w:r>
          </w:p>
        </w:tc>
        <w:tc>
          <w:tcPr>
            <w:tcW w:w="223" w:type="pct"/>
            <w:tcBorders>
              <w:top w:val="nil"/>
              <w:left w:val="nil"/>
              <w:bottom w:val="nil"/>
              <w:right w:val="nil"/>
            </w:tcBorders>
            <w:shd w:val="clear" w:color="auto" w:fill="auto"/>
            <w:noWrap/>
            <w:vAlign w:val="center"/>
            <w:hideMark/>
          </w:tcPr>
          <w:p w14:paraId="41FA8BDA"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17</w:t>
            </w:r>
          </w:p>
        </w:tc>
        <w:tc>
          <w:tcPr>
            <w:tcW w:w="223" w:type="pct"/>
            <w:tcBorders>
              <w:top w:val="nil"/>
              <w:left w:val="nil"/>
              <w:bottom w:val="nil"/>
              <w:right w:val="nil"/>
            </w:tcBorders>
            <w:shd w:val="clear" w:color="000000" w:fill="E7E6E6"/>
            <w:noWrap/>
            <w:vAlign w:val="center"/>
            <w:hideMark/>
          </w:tcPr>
          <w:p w14:paraId="43D3FAAB"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0.5</w:t>
            </w:r>
          </w:p>
        </w:tc>
        <w:tc>
          <w:tcPr>
            <w:tcW w:w="223" w:type="pct"/>
            <w:tcBorders>
              <w:top w:val="nil"/>
              <w:left w:val="nil"/>
              <w:bottom w:val="nil"/>
              <w:right w:val="nil"/>
            </w:tcBorders>
            <w:shd w:val="clear" w:color="auto" w:fill="auto"/>
            <w:noWrap/>
            <w:vAlign w:val="center"/>
            <w:hideMark/>
          </w:tcPr>
          <w:p w14:paraId="36444F1C"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12</w:t>
            </w:r>
          </w:p>
        </w:tc>
        <w:tc>
          <w:tcPr>
            <w:tcW w:w="223" w:type="pct"/>
            <w:tcBorders>
              <w:top w:val="nil"/>
              <w:left w:val="nil"/>
              <w:bottom w:val="nil"/>
              <w:right w:val="nil"/>
            </w:tcBorders>
            <w:shd w:val="clear" w:color="000000" w:fill="E7E6E6"/>
            <w:noWrap/>
            <w:vAlign w:val="center"/>
            <w:hideMark/>
          </w:tcPr>
          <w:p w14:paraId="759BA89B"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0.4</w:t>
            </w:r>
          </w:p>
        </w:tc>
        <w:tc>
          <w:tcPr>
            <w:tcW w:w="223" w:type="pct"/>
            <w:tcBorders>
              <w:top w:val="nil"/>
              <w:left w:val="nil"/>
              <w:bottom w:val="nil"/>
              <w:right w:val="nil"/>
            </w:tcBorders>
            <w:shd w:val="clear" w:color="auto" w:fill="auto"/>
            <w:noWrap/>
            <w:vAlign w:val="center"/>
            <w:hideMark/>
          </w:tcPr>
          <w:p w14:paraId="6FA02E6D"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17</w:t>
            </w:r>
          </w:p>
        </w:tc>
        <w:tc>
          <w:tcPr>
            <w:tcW w:w="223" w:type="pct"/>
            <w:tcBorders>
              <w:top w:val="nil"/>
              <w:left w:val="nil"/>
              <w:bottom w:val="nil"/>
              <w:right w:val="nil"/>
            </w:tcBorders>
            <w:shd w:val="clear" w:color="000000" w:fill="E7E6E6"/>
            <w:noWrap/>
            <w:vAlign w:val="center"/>
            <w:hideMark/>
          </w:tcPr>
          <w:p w14:paraId="6F220FFE"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0.5</w:t>
            </w:r>
          </w:p>
        </w:tc>
        <w:tc>
          <w:tcPr>
            <w:tcW w:w="223" w:type="pct"/>
            <w:tcBorders>
              <w:top w:val="nil"/>
              <w:left w:val="nil"/>
              <w:bottom w:val="nil"/>
              <w:right w:val="nil"/>
            </w:tcBorders>
            <w:shd w:val="clear" w:color="auto" w:fill="auto"/>
            <w:noWrap/>
            <w:vAlign w:val="center"/>
            <w:hideMark/>
          </w:tcPr>
          <w:p w14:paraId="08CC81FB"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14</w:t>
            </w:r>
          </w:p>
        </w:tc>
        <w:tc>
          <w:tcPr>
            <w:tcW w:w="223" w:type="pct"/>
            <w:tcBorders>
              <w:top w:val="nil"/>
              <w:left w:val="nil"/>
              <w:bottom w:val="nil"/>
              <w:right w:val="nil"/>
            </w:tcBorders>
            <w:shd w:val="clear" w:color="000000" w:fill="E7E6E6"/>
            <w:noWrap/>
            <w:vAlign w:val="center"/>
            <w:hideMark/>
          </w:tcPr>
          <w:p w14:paraId="28A333A8"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0.4</w:t>
            </w:r>
          </w:p>
        </w:tc>
        <w:tc>
          <w:tcPr>
            <w:tcW w:w="223" w:type="pct"/>
            <w:tcBorders>
              <w:top w:val="nil"/>
              <w:left w:val="nil"/>
              <w:bottom w:val="nil"/>
              <w:right w:val="nil"/>
            </w:tcBorders>
            <w:shd w:val="clear" w:color="auto" w:fill="auto"/>
            <w:noWrap/>
            <w:vAlign w:val="center"/>
            <w:hideMark/>
          </w:tcPr>
          <w:p w14:paraId="180173B9"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18</w:t>
            </w:r>
          </w:p>
        </w:tc>
        <w:tc>
          <w:tcPr>
            <w:tcW w:w="223" w:type="pct"/>
            <w:tcBorders>
              <w:top w:val="nil"/>
              <w:left w:val="nil"/>
              <w:bottom w:val="nil"/>
              <w:right w:val="nil"/>
            </w:tcBorders>
            <w:shd w:val="clear" w:color="000000" w:fill="E7E6E6"/>
            <w:noWrap/>
            <w:vAlign w:val="center"/>
            <w:hideMark/>
          </w:tcPr>
          <w:p w14:paraId="0AC142D2"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0.5</w:t>
            </w:r>
          </w:p>
        </w:tc>
        <w:tc>
          <w:tcPr>
            <w:tcW w:w="223" w:type="pct"/>
            <w:tcBorders>
              <w:top w:val="nil"/>
              <w:left w:val="nil"/>
              <w:bottom w:val="nil"/>
              <w:right w:val="nil"/>
            </w:tcBorders>
            <w:shd w:val="clear" w:color="auto" w:fill="auto"/>
            <w:noWrap/>
            <w:vAlign w:val="center"/>
            <w:hideMark/>
          </w:tcPr>
          <w:p w14:paraId="332D3820"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8</w:t>
            </w:r>
          </w:p>
        </w:tc>
        <w:tc>
          <w:tcPr>
            <w:tcW w:w="223" w:type="pct"/>
            <w:tcBorders>
              <w:top w:val="nil"/>
              <w:left w:val="nil"/>
              <w:bottom w:val="nil"/>
              <w:right w:val="nil"/>
            </w:tcBorders>
            <w:shd w:val="clear" w:color="000000" w:fill="E7E6E6"/>
            <w:noWrap/>
            <w:vAlign w:val="center"/>
            <w:hideMark/>
          </w:tcPr>
          <w:p w14:paraId="68CEE230"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0.3</w:t>
            </w:r>
          </w:p>
        </w:tc>
        <w:tc>
          <w:tcPr>
            <w:tcW w:w="223" w:type="pct"/>
            <w:tcBorders>
              <w:top w:val="nil"/>
              <w:left w:val="nil"/>
              <w:bottom w:val="nil"/>
              <w:right w:val="nil"/>
            </w:tcBorders>
            <w:shd w:val="clear" w:color="auto" w:fill="auto"/>
            <w:noWrap/>
            <w:vAlign w:val="center"/>
            <w:hideMark/>
          </w:tcPr>
          <w:p w14:paraId="63C83EFA"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13</w:t>
            </w:r>
          </w:p>
        </w:tc>
        <w:tc>
          <w:tcPr>
            <w:tcW w:w="223" w:type="pct"/>
            <w:tcBorders>
              <w:top w:val="nil"/>
              <w:left w:val="nil"/>
              <w:bottom w:val="nil"/>
              <w:right w:val="nil"/>
            </w:tcBorders>
            <w:shd w:val="clear" w:color="000000" w:fill="E7E6E6"/>
            <w:noWrap/>
            <w:vAlign w:val="center"/>
            <w:hideMark/>
          </w:tcPr>
          <w:p w14:paraId="1424DA1C"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0.5</w:t>
            </w:r>
          </w:p>
        </w:tc>
        <w:tc>
          <w:tcPr>
            <w:tcW w:w="223" w:type="pct"/>
            <w:tcBorders>
              <w:top w:val="nil"/>
              <w:left w:val="nil"/>
              <w:bottom w:val="nil"/>
              <w:right w:val="nil"/>
            </w:tcBorders>
            <w:shd w:val="clear" w:color="auto" w:fill="auto"/>
            <w:noWrap/>
            <w:vAlign w:val="center"/>
            <w:hideMark/>
          </w:tcPr>
          <w:p w14:paraId="64D01D1E"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2</w:t>
            </w:r>
          </w:p>
        </w:tc>
        <w:tc>
          <w:tcPr>
            <w:tcW w:w="223" w:type="pct"/>
            <w:tcBorders>
              <w:top w:val="nil"/>
              <w:left w:val="nil"/>
              <w:bottom w:val="nil"/>
              <w:right w:val="nil"/>
            </w:tcBorders>
            <w:shd w:val="clear" w:color="000000" w:fill="E7E6E6"/>
            <w:noWrap/>
            <w:vAlign w:val="center"/>
            <w:hideMark/>
          </w:tcPr>
          <w:p w14:paraId="1EF9E38A"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0.1</w:t>
            </w:r>
          </w:p>
        </w:tc>
        <w:tc>
          <w:tcPr>
            <w:tcW w:w="223" w:type="pct"/>
            <w:tcBorders>
              <w:top w:val="nil"/>
              <w:left w:val="nil"/>
              <w:bottom w:val="nil"/>
              <w:right w:val="nil"/>
            </w:tcBorders>
            <w:shd w:val="clear" w:color="auto" w:fill="auto"/>
            <w:noWrap/>
            <w:vAlign w:val="center"/>
            <w:hideMark/>
          </w:tcPr>
          <w:p w14:paraId="739ADE3A"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5</w:t>
            </w:r>
          </w:p>
        </w:tc>
        <w:tc>
          <w:tcPr>
            <w:tcW w:w="280" w:type="pct"/>
            <w:tcBorders>
              <w:top w:val="nil"/>
              <w:left w:val="nil"/>
              <w:bottom w:val="nil"/>
              <w:right w:val="nil"/>
            </w:tcBorders>
            <w:shd w:val="clear" w:color="000000" w:fill="E7E6E6"/>
            <w:noWrap/>
            <w:vAlign w:val="center"/>
            <w:hideMark/>
          </w:tcPr>
          <w:p w14:paraId="174C40A6" w14:textId="77777777" w:rsidR="004E7B7E" w:rsidRPr="008B619A" w:rsidRDefault="004E7B7E" w:rsidP="008055B8">
            <w:pPr>
              <w:widowControl/>
              <w:jc w:val="center"/>
              <w:rPr>
                <w:rFonts w:hAnsi="標楷體" w:cs="Tahoma"/>
                <w:color w:val="000000" w:themeColor="text1"/>
                <w:kern w:val="0"/>
                <w:sz w:val="15"/>
                <w:szCs w:val="15"/>
              </w:rPr>
            </w:pPr>
            <w:r w:rsidRPr="008B619A">
              <w:rPr>
                <w:rFonts w:hAnsi="標楷體" w:cs="Tahoma" w:hint="eastAsia"/>
                <w:color w:val="000000" w:themeColor="text1"/>
                <w:kern w:val="0"/>
                <w:sz w:val="15"/>
                <w:szCs w:val="15"/>
              </w:rPr>
              <w:t>0.2</w:t>
            </w:r>
          </w:p>
        </w:tc>
      </w:tr>
      <w:tr w:rsidR="004E7B7E" w:rsidRPr="008B619A" w14:paraId="6E522EB8" w14:textId="77777777" w:rsidTr="006400F0">
        <w:trPr>
          <w:trHeight w:val="330"/>
        </w:trPr>
        <w:tc>
          <w:tcPr>
            <w:tcW w:w="480" w:type="pct"/>
            <w:tcBorders>
              <w:top w:val="nil"/>
              <w:left w:val="nil"/>
              <w:bottom w:val="single" w:sz="4" w:space="0" w:color="auto"/>
              <w:right w:val="single" w:sz="4" w:space="0" w:color="auto"/>
            </w:tcBorders>
            <w:shd w:val="clear" w:color="auto" w:fill="auto"/>
            <w:noWrap/>
            <w:vAlign w:val="center"/>
            <w:hideMark/>
          </w:tcPr>
          <w:p w14:paraId="615FB5B9" w14:textId="77777777" w:rsidR="004E7B7E" w:rsidRPr="008B619A" w:rsidRDefault="004E7B7E" w:rsidP="006400F0">
            <w:pPr>
              <w:widowControl/>
              <w:rPr>
                <w:rFonts w:hAnsi="標楷體" w:cs="Tahoma"/>
                <w:color w:val="000000" w:themeColor="text1"/>
                <w:kern w:val="0"/>
                <w:sz w:val="20"/>
              </w:rPr>
            </w:pPr>
            <w:r w:rsidRPr="008B619A">
              <w:rPr>
                <w:rFonts w:hAnsi="標楷體" w:cs="Tahoma" w:hint="eastAsia"/>
                <w:color w:val="000000" w:themeColor="text1"/>
                <w:kern w:val="0"/>
                <w:sz w:val="20"/>
              </w:rPr>
              <w:t>其他</w:t>
            </w:r>
          </w:p>
        </w:tc>
        <w:tc>
          <w:tcPr>
            <w:tcW w:w="223" w:type="pct"/>
            <w:tcBorders>
              <w:top w:val="nil"/>
              <w:left w:val="nil"/>
              <w:bottom w:val="single" w:sz="4" w:space="0" w:color="auto"/>
              <w:right w:val="nil"/>
            </w:tcBorders>
            <w:shd w:val="clear" w:color="auto" w:fill="auto"/>
            <w:noWrap/>
            <w:vAlign w:val="center"/>
            <w:hideMark/>
          </w:tcPr>
          <w:p w14:paraId="2FCB6CA0"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w:t>
            </w:r>
          </w:p>
        </w:tc>
        <w:tc>
          <w:tcPr>
            <w:tcW w:w="223" w:type="pct"/>
            <w:tcBorders>
              <w:top w:val="nil"/>
              <w:left w:val="nil"/>
              <w:bottom w:val="single" w:sz="4" w:space="0" w:color="auto"/>
              <w:right w:val="nil"/>
            </w:tcBorders>
            <w:shd w:val="clear" w:color="000000" w:fill="E7E6E6"/>
            <w:noWrap/>
            <w:vAlign w:val="center"/>
            <w:hideMark/>
          </w:tcPr>
          <w:p w14:paraId="2A12F79D"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w:t>
            </w:r>
          </w:p>
        </w:tc>
        <w:tc>
          <w:tcPr>
            <w:tcW w:w="223" w:type="pct"/>
            <w:tcBorders>
              <w:top w:val="nil"/>
              <w:left w:val="nil"/>
              <w:bottom w:val="single" w:sz="4" w:space="0" w:color="auto"/>
              <w:right w:val="nil"/>
            </w:tcBorders>
            <w:shd w:val="clear" w:color="auto" w:fill="auto"/>
            <w:noWrap/>
            <w:vAlign w:val="center"/>
            <w:hideMark/>
          </w:tcPr>
          <w:p w14:paraId="34B2126F"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w:t>
            </w:r>
          </w:p>
        </w:tc>
        <w:tc>
          <w:tcPr>
            <w:tcW w:w="223" w:type="pct"/>
            <w:tcBorders>
              <w:top w:val="nil"/>
              <w:left w:val="nil"/>
              <w:bottom w:val="single" w:sz="4" w:space="0" w:color="auto"/>
              <w:right w:val="nil"/>
            </w:tcBorders>
            <w:shd w:val="clear" w:color="000000" w:fill="E7E6E6"/>
            <w:noWrap/>
            <w:vAlign w:val="center"/>
            <w:hideMark/>
          </w:tcPr>
          <w:p w14:paraId="2E7A0258"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w:t>
            </w:r>
          </w:p>
        </w:tc>
        <w:tc>
          <w:tcPr>
            <w:tcW w:w="223" w:type="pct"/>
            <w:tcBorders>
              <w:top w:val="nil"/>
              <w:left w:val="nil"/>
              <w:bottom w:val="single" w:sz="4" w:space="0" w:color="auto"/>
              <w:right w:val="nil"/>
            </w:tcBorders>
            <w:shd w:val="clear" w:color="auto" w:fill="auto"/>
            <w:noWrap/>
            <w:vAlign w:val="center"/>
            <w:hideMark/>
          </w:tcPr>
          <w:p w14:paraId="19B8B187"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w:t>
            </w:r>
          </w:p>
        </w:tc>
        <w:tc>
          <w:tcPr>
            <w:tcW w:w="223" w:type="pct"/>
            <w:tcBorders>
              <w:top w:val="nil"/>
              <w:left w:val="nil"/>
              <w:bottom w:val="single" w:sz="4" w:space="0" w:color="auto"/>
              <w:right w:val="nil"/>
            </w:tcBorders>
            <w:shd w:val="clear" w:color="000000" w:fill="E7E6E6"/>
            <w:noWrap/>
            <w:vAlign w:val="center"/>
            <w:hideMark/>
          </w:tcPr>
          <w:p w14:paraId="5D7F4D6D"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w:t>
            </w:r>
          </w:p>
        </w:tc>
        <w:tc>
          <w:tcPr>
            <w:tcW w:w="223" w:type="pct"/>
            <w:tcBorders>
              <w:top w:val="nil"/>
              <w:left w:val="nil"/>
              <w:bottom w:val="single" w:sz="4" w:space="0" w:color="auto"/>
              <w:right w:val="nil"/>
            </w:tcBorders>
            <w:shd w:val="clear" w:color="auto" w:fill="auto"/>
            <w:noWrap/>
            <w:vAlign w:val="center"/>
            <w:hideMark/>
          </w:tcPr>
          <w:p w14:paraId="77CA3014"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w:t>
            </w:r>
          </w:p>
        </w:tc>
        <w:tc>
          <w:tcPr>
            <w:tcW w:w="223" w:type="pct"/>
            <w:tcBorders>
              <w:top w:val="nil"/>
              <w:left w:val="nil"/>
              <w:bottom w:val="single" w:sz="4" w:space="0" w:color="auto"/>
              <w:right w:val="nil"/>
            </w:tcBorders>
            <w:shd w:val="clear" w:color="000000" w:fill="E7E6E6"/>
            <w:noWrap/>
            <w:vAlign w:val="center"/>
            <w:hideMark/>
          </w:tcPr>
          <w:p w14:paraId="22A3552C"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w:t>
            </w:r>
          </w:p>
        </w:tc>
        <w:tc>
          <w:tcPr>
            <w:tcW w:w="223" w:type="pct"/>
            <w:tcBorders>
              <w:top w:val="nil"/>
              <w:left w:val="nil"/>
              <w:bottom w:val="single" w:sz="4" w:space="0" w:color="auto"/>
              <w:right w:val="nil"/>
            </w:tcBorders>
            <w:shd w:val="clear" w:color="auto" w:fill="auto"/>
            <w:noWrap/>
            <w:vAlign w:val="center"/>
            <w:hideMark/>
          </w:tcPr>
          <w:p w14:paraId="6F072DA8"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w:t>
            </w:r>
          </w:p>
        </w:tc>
        <w:tc>
          <w:tcPr>
            <w:tcW w:w="223" w:type="pct"/>
            <w:tcBorders>
              <w:top w:val="nil"/>
              <w:left w:val="nil"/>
              <w:bottom w:val="single" w:sz="4" w:space="0" w:color="auto"/>
              <w:right w:val="nil"/>
            </w:tcBorders>
            <w:shd w:val="clear" w:color="000000" w:fill="E7E6E6"/>
            <w:noWrap/>
            <w:vAlign w:val="center"/>
            <w:hideMark/>
          </w:tcPr>
          <w:p w14:paraId="016F7A79"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w:t>
            </w:r>
          </w:p>
        </w:tc>
        <w:tc>
          <w:tcPr>
            <w:tcW w:w="223" w:type="pct"/>
            <w:tcBorders>
              <w:top w:val="nil"/>
              <w:left w:val="nil"/>
              <w:bottom w:val="single" w:sz="4" w:space="0" w:color="auto"/>
              <w:right w:val="nil"/>
            </w:tcBorders>
            <w:shd w:val="clear" w:color="auto" w:fill="auto"/>
            <w:noWrap/>
            <w:vAlign w:val="center"/>
            <w:hideMark/>
          </w:tcPr>
          <w:p w14:paraId="2CBA31ED"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w:t>
            </w:r>
          </w:p>
        </w:tc>
        <w:tc>
          <w:tcPr>
            <w:tcW w:w="223" w:type="pct"/>
            <w:tcBorders>
              <w:top w:val="nil"/>
              <w:left w:val="nil"/>
              <w:bottom w:val="single" w:sz="4" w:space="0" w:color="auto"/>
              <w:right w:val="nil"/>
            </w:tcBorders>
            <w:shd w:val="clear" w:color="000000" w:fill="E7E6E6"/>
            <w:noWrap/>
            <w:vAlign w:val="center"/>
            <w:hideMark/>
          </w:tcPr>
          <w:p w14:paraId="7E1A0CE3"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w:t>
            </w:r>
          </w:p>
        </w:tc>
        <w:tc>
          <w:tcPr>
            <w:tcW w:w="223" w:type="pct"/>
            <w:tcBorders>
              <w:top w:val="nil"/>
              <w:left w:val="nil"/>
              <w:bottom w:val="single" w:sz="4" w:space="0" w:color="auto"/>
              <w:right w:val="nil"/>
            </w:tcBorders>
            <w:shd w:val="clear" w:color="auto" w:fill="auto"/>
            <w:noWrap/>
            <w:vAlign w:val="center"/>
            <w:hideMark/>
          </w:tcPr>
          <w:p w14:paraId="486D6A38"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w:t>
            </w:r>
          </w:p>
        </w:tc>
        <w:tc>
          <w:tcPr>
            <w:tcW w:w="223" w:type="pct"/>
            <w:tcBorders>
              <w:top w:val="nil"/>
              <w:left w:val="nil"/>
              <w:bottom w:val="single" w:sz="4" w:space="0" w:color="auto"/>
              <w:right w:val="nil"/>
            </w:tcBorders>
            <w:shd w:val="clear" w:color="000000" w:fill="E7E6E6"/>
            <w:noWrap/>
            <w:vAlign w:val="center"/>
            <w:hideMark/>
          </w:tcPr>
          <w:p w14:paraId="2890D16B"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w:t>
            </w:r>
          </w:p>
        </w:tc>
        <w:tc>
          <w:tcPr>
            <w:tcW w:w="223" w:type="pct"/>
            <w:tcBorders>
              <w:top w:val="nil"/>
              <w:left w:val="nil"/>
              <w:bottom w:val="single" w:sz="4" w:space="0" w:color="auto"/>
              <w:right w:val="nil"/>
            </w:tcBorders>
            <w:shd w:val="clear" w:color="auto" w:fill="auto"/>
            <w:noWrap/>
            <w:vAlign w:val="center"/>
            <w:hideMark/>
          </w:tcPr>
          <w:p w14:paraId="56BEBF00"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w:t>
            </w:r>
          </w:p>
        </w:tc>
        <w:tc>
          <w:tcPr>
            <w:tcW w:w="223" w:type="pct"/>
            <w:tcBorders>
              <w:top w:val="nil"/>
              <w:left w:val="nil"/>
              <w:bottom w:val="single" w:sz="4" w:space="0" w:color="auto"/>
              <w:right w:val="nil"/>
            </w:tcBorders>
            <w:shd w:val="clear" w:color="000000" w:fill="E7E6E6"/>
            <w:noWrap/>
            <w:vAlign w:val="center"/>
            <w:hideMark/>
          </w:tcPr>
          <w:p w14:paraId="6EB247A0"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w:t>
            </w:r>
          </w:p>
        </w:tc>
        <w:tc>
          <w:tcPr>
            <w:tcW w:w="223" w:type="pct"/>
            <w:tcBorders>
              <w:top w:val="nil"/>
              <w:left w:val="nil"/>
              <w:bottom w:val="single" w:sz="4" w:space="0" w:color="auto"/>
              <w:right w:val="nil"/>
            </w:tcBorders>
            <w:shd w:val="clear" w:color="auto" w:fill="auto"/>
            <w:noWrap/>
            <w:vAlign w:val="center"/>
            <w:hideMark/>
          </w:tcPr>
          <w:p w14:paraId="4872C327"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2</w:t>
            </w:r>
          </w:p>
        </w:tc>
        <w:tc>
          <w:tcPr>
            <w:tcW w:w="223" w:type="pct"/>
            <w:tcBorders>
              <w:top w:val="nil"/>
              <w:left w:val="nil"/>
              <w:bottom w:val="single" w:sz="4" w:space="0" w:color="auto"/>
              <w:right w:val="nil"/>
            </w:tcBorders>
            <w:shd w:val="clear" w:color="000000" w:fill="E7E6E6"/>
            <w:noWrap/>
            <w:vAlign w:val="center"/>
            <w:hideMark/>
          </w:tcPr>
          <w:p w14:paraId="75B59D16"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0.1</w:t>
            </w:r>
          </w:p>
        </w:tc>
        <w:tc>
          <w:tcPr>
            <w:tcW w:w="223" w:type="pct"/>
            <w:tcBorders>
              <w:top w:val="nil"/>
              <w:left w:val="nil"/>
              <w:bottom w:val="single" w:sz="4" w:space="0" w:color="auto"/>
              <w:right w:val="nil"/>
            </w:tcBorders>
            <w:shd w:val="clear" w:color="auto" w:fill="auto"/>
            <w:noWrap/>
            <w:vAlign w:val="center"/>
            <w:hideMark/>
          </w:tcPr>
          <w:p w14:paraId="535840BD"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1</w:t>
            </w:r>
          </w:p>
        </w:tc>
        <w:tc>
          <w:tcPr>
            <w:tcW w:w="280" w:type="pct"/>
            <w:tcBorders>
              <w:top w:val="nil"/>
              <w:left w:val="nil"/>
              <w:bottom w:val="single" w:sz="4" w:space="0" w:color="auto"/>
              <w:right w:val="nil"/>
            </w:tcBorders>
            <w:shd w:val="clear" w:color="000000" w:fill="E7E6E6"/>
            <w:noWrap/>
            <w:vAlign w:val="center"/>
            <w:hideMark/>
          </w:tcPr>
          <w:p w14:paraId="7BB8744A" w14:textId="77777777" w:rsidR="004E7B7E" w:rsidRPr="008B619A" w:rsidRDefault="004E7B7E" w:rsidP="008055B8">
            <w:pPr>
              <w:widowControl/>
              <w:jc w:val="center"/>
              <w:rPr>
                <w:rFonts w:hAnsi="標楷體" w:cs="Tahoma"/>
                <w:color w:val="000000" w:themeColor="text1"/>
                <w:kern w:val="0"/>
                <w:sz w:val="15"/>
                <w:szCs w:val="15"/>
              </w:rPr>
            </w:pPr>
            <w:r w:rsidRPr="008B619A">
              <w:rPr>
                <w:rFonts w:hAnsi="標楷體" w:cs="Tahoma" w:hint="eastAsia"/>
                <w:color w:val="000000" w:themeColor="text1"/>
                <w:kern w:val="0"/>
                <w:sz w:val="15"/>
                <w:szCs w:val="15"/>
              </w:rPr>
              <w:t>0.0</w:t>
            </w:r>
          </w:p>
        </w:tc>
      </w:tr>
    </w:tbl>
    <w:p w14:paraId="61D74227" w14:textId="77777777" w:rsidR="004E7B7E" w:rsidRPr="008B619A" w:rsidRDefault="004E7B7E" w:rsidP="004E7B7E">
      <w:pPr>
        <w:ind w:leftChars="-292" w:left="-993"/>
        <w:jc w:val="left"/>
        <w:rPr>
          <w:color w:val="000000" w:themeColor="text1"/>
          <w:sz w:val="24"/>
          <w:szCs w:val="24"/>
        </w:rPr>
      </w:pPr>
      <w:r w:rsidRPr="008B619A">
        <w:rPr>
          <w:rFonts w:hint="eastAsia"/>
          <w:color w:val="000000" w:themeColor="text1"/>
          <w:sz w:val="24"/>
          <w:szCs w:val="24"/>
        </w:rPr>
        <w:t>資料來源：教育部函復資料。</w:t>
      </w:r>
    </w:p>
    <w:p w14:paraId="3373953A" w14:textId="77777777" w:rsidR="004E7B7E" w:rsidRPr="008B619A" w:rsidRDefault="004E7B7E" w:rsidP="004E7B7E">
      <w:pPr>
        <w:pStyle w:val="a3"/>
        <w:ind w:left="567" w:hanging="567"/>
        <w:jc w:val="center"/>
        <w:rPr>
          <w:b/>
          <w:color w:val="000000" w:themeColor="text1"/>
        </w:rPr>
      </w:pPr>
      <w:r w:rsidRPr="008B619A">
        <w:rPr>
          <w:rFonts w:hint="eastAsia"/>
          <w:b/>
          <w:color w:val="000000" w:themeColor="text1"/>
        </w:rPr>
        <w:t>98至107學年私立大專校院博士畢業生人數—按學門別分</w:t>
      </w:r>
    </w:p>
    <w:p w14:paraId="7430A011" w14:textId="77777777" w:rsidR="004E7B7E" w:rsidRPr="008B619A" w:rsidRDefault="004E7B7E" w:rsidP="00E87B5E">
      <w:pPr>
        <w:ind w:rightChars="-275" w:right="-935"/>
        <w:jc w:val="right"/>
        <w:rPr>
          <w:color w:val="000000" w:themeColor="text1"/>
          <w:sz w:val="20"/>
        </w:rPr>
      </w:pPr>
      <w:r w:rsidRPr="008B619A">
        <w:rPr>
          <w:rFonts w:hint="eastAsia"/>
          <w:color w:val="000000" w:themeColor="text1"/>
          <w:sz w:val="20"/>
        </w:rPr>
        <w:t xml:space="preserve">　　　</w:t>
      </w:r>
      <w:r w:rsidRPr="008B619A">
        <w:rPr>
          <w:rFonts w:hint="eastAsia"/>
          <w:color w:val="000000" w:themeColor="text1"/>
          <w:sz w:val="24"/>
          <w:szCs w:val="24"/>
        </w:rPr>
        <w:t>單位：人；%</w:t>
      </w:r>
    </w:p>
    <w:tbl>
      <w:tblPr>
        <w:tblW w:w="6415" w:type="pct"/>
        <w:tblInd w:w="-1276" w:type="dxa"/>
        <w:tblLayout w:type="fixed"/>
        <w:tblCellMar>
          <w:left w:w="28" w:type="dxa"/>
          <w:right w:w="28" w:type="dxa"/>
        </w:tblCellMar>
        <w:tblLook w:val="04A0" w:firstRow="1" w:lastRow="0" w:firstColumn="1" w:lastColumn="0" w:noHBand="0" w:noVBand="1"/>
      </w:tblPr>
      <w:tblGrid>
        <w:gridCol w:w="1362"/>
        <w:gridCol w:w="491"/>
        <w:gridCol w:w="493"/>
        <w:gridCol w:w="493"/>
        <w:gridCol w:w="492"/>
        <w:gridCol w:w="492"/>
        <w:gridCol w:w="494"/>
        <w:gridCol w:w="492"/>
        <w:gridCol w:w="494"/>
        <w:gridCol w:w="492"/>
        <w:gridCol w:w="494"/>
        <w:gridCol w:w="490"/>
        <w:gridCol w:w="494"/>
        <w:gridCol w:w="492"/>
        <w:gridCol w:w="494"/>
        <w:gridCol w:w="492"/>
        <w:gridCol w:w="494"/>
        <w:gridCol w:w="492"/>
        <w:gridCol w:w="494"/>
        <w:gridCol w:w="492"/>
        <w:gridCol w:w="617"/>
      </w:tblGrid>
      <w:tr w:rsidR="004E7B7E" w:rsidRPr="008B619A" w14:paraId="42E0AE8E" w14:textId="77777777" w:rsidTr="006400F0">
        <w:trPr>
          <w:trHeight w:val="420"/>
          <w:tblHeader/>
        </w:trPr>
        <w:tc>
          <w:tcPr>
            <w:tcW w:w="600" w:type="pct"/>
            <w:vMerge w:val="restart"/>
            <w:tcBorders>
              <w:top w:val="single" w:sz="4" w:space="0" w:color="auto"/>
              <w:left w:val="nil"/>
              <w:bottom w:val="single" w:sz="4" w:space="0" w:color="000000"/>
              <w:right w:val="single" w:sz="4" w:space="0" w:color="auto"/>
            </w:tcBorders>
            <w:shd w:val="clear" w:color="auto" w:fill="auto"/>
            <w:noWrap/>
            <w:vAlign w:val="center"/>
            <w:hideMark/>
          </w:tcPr>
          <w:p w14:paraId="0879AFC1" w14:textId="77777777" w:rsidR="004E7B7E" w:rsidRPr="008B619A" w:rsidRDefault="004E7B7E" w:rsidP="006400F0">
            <w:pPr>
              <w:widowControl/>
              <w:jc w:val="center"/>
              <w:rPr>
                <w:rFonts w:hAnsi="標楷體" w:cs="Tahoma"/>
                <w:b/>
                <w:bCs/>
                <w:color w:val="000000" w:themeColor="text1"/>
                <w:kern w:val="0"/>
                <w:sz w:val="24"/>
                <w:szCs w:val="22"/>
              </w:rPr>
            </w:pPr>
            <w:r w:rsidRPr="008B619A">
              <w:rPr>
                <w:rFonts w:hAnsi="標楷體" w:cs="Tahoma" w:hint="eastAsia"/>
                <w:b/>
                <w:bCs/>
                <w:color w:val="000000" w:themeColor="text1"/>
                <w:kern w:val="0"/>
                <w:sz w:val="24"/>
                <w:szCs w:val="22"/>
              </w:rPr>
              <w:t>學門別</w:t>
            </w:r>
          </w:p>
        </w:tc>
        <w:tc>
          <w:tcPr>
            <w:tcW w:w="433" w:type="pct"/>
            <w:gridSpan w:val="2"/>
            <w:tcBorders>
              <w:top w:val="single" w:sz="4" w:space="0" w:color="auto"/>
              <w:left w:val="nil"/>
              <w:bottom w:val="single" w:sz="4" w:space="0" w:color="auto"/>
              <w:right w:val="single" w:sz="4" w:space="0" w:color="auto"/>
            </w:tcBorders>
            <w:shd w:val="clear" w:color="auto" w:fill="auto"/>
            <w:vAlign w:val="center"/>
            <w:hideMark/>
          </w:tcPr>
          <w:p w14:paraId="3F583117" w14:textId="77777777" w:rsidR="004E7B7E" w:rsidRPr="008B619A" w:rsidRDefault="004E7B7E" w:rsidP="006400F0">
            <w:pPr>
              <w:widowControl/>
              <w:jc w:val="center"/>
              <w:rPr>
                <w:rFonts w:hAnsi="標楷體" w:cs="Tahoma"/>
                <w:b/>
                <w:bCs/>
                <w:color w:val="000000" w:themeColor="text1"/>
                <w:kern w:val="0"/>
                <w:sz w:val="22"/>
                <w:szCs w:val="22"/>
              </w:rPr>
            </w:pPr>
            <w:r w:rsidRPr="008B619A">
              <w:rPr>
                <w:rFonts w:hAnsi="標楷體" w:cs="Tahoma" w:hint="eastAsia"/>
                <w:b/>
                <w:bCs/>
                <w:color w:val="000000" w:themeColor="text1"/>
                <w:kern w:val="0"/>
                <w:sz w:val="22"/>
                <w:szCs w:val="22"/>
              </w:rPr>
              <w:t>98學年</w:t>
            </w:r>
          </w:p>
        </w:tc>
        <w:tc>
          <w:tcPr>
            <w:tcW w:w="434" w:type="pct"/>
            <w:gridSpan w:val="2"/>
            <w:tcBorders>
              <w:top w:val="single" w:sz="4" w:space="0" w:color="auto"/>
              <w:left w:val="nil"/>
              <w:bottom w:val="single" w:sz="4" w:space="0" w:color="auto"/>
              <w:right w:val="single" w:sz="4" w:space="0" w:color="auto"/>
            </w:tcBorders>
            <w:shd w:val="clear" w:color="auto" w:fill="auto"/>
            <w:vAlign w:val="center"/>
            <w:hideMark/>
          </w:tcPr>
          <w:p w14:paraId="35601F1D" w14:textId="77777777" w:rsidR="004E7B7E" w:rsidRPr="008B619A" w:rsidRDefault="004E7B7E" w:rsidP="006400F0">
            <w:pPr>
              <w:widowControl/>
              <w:jc w:val="center"/>
              <w:rPr>
                <w:rFonts w:hAnsi="標楷體" w:cs="Tahoma"/>
                <w:b/>
                <w:bCs/>
                <w:color w:val="000000" w:themeColor="text1"/>
                <w:kern w:val="0"/>
                <w:sz w:val="22"/>
                <w:szCs w:val="22"/>
              </w:rPr>
            </w:pPr>
            <w:r w:rsidRPr="008B619A">
              <w:rPr>
                <w:rFonts w:hAnsi="標楷體" w:cs="Tahoma" w:hint="eastAsia"/>
                <w:b/>
                <w:bCs/>
                <w:color w:val="000000" w:themeColor="text1"/>
                <w:kern w:val="0"/>
                <w:sz w:val="22"/>
                <w:szCs w:val="22"/>
              </w:rPr>
              <w:t>99學年</w:t>
            </w:r>
          </w:p>
        </w:tc>
        <w:tc>
          <w:tcPr>
            <w:tcW w:w="435" w:type="pct"/>
            <w:gridSpan w:val="2"/>
            <w:tcBorders>
              <w:top w:val="single" w:sz="4" w:space="0" w:color="auto"/>
              <w:left w:val="nil"/>
              <w:bottom w:val="single" w:sz="4" w:space="0" w:color="auto"/>
              <w:right w:val="single" w:sz="4" w:space="0" w:color="auto"/>
            </w:tcBorders>
            <w:shd w:val="clear" w:color="auto" w:fill="auto"/>
            <w:vAlign w:val="center"/>
            <w:hideMark/>
          </w:tcPr>
          <w:p w14:paraId="43967A9F" w14:textId="77777777" w:rsidR="004E7B7E" w:rsidRPr="008B619A" w:rsidRDefault="004E7B7E" w:rsidP="006400F0">
            <w:pPr>
              <w:widowControl/>
              <w:jc w:val="center"/>
              <w:rPr>
                <w:rFonts w:hAnsi="標楷體" w:cs="Tahoma"/>
                <w:b/>
                <w:bCs/>
                <w:color w:val="000000" w:themeColor="text1"/>
                <w:kern w:val="0"/>
                <w:sz w:val="22"/>
                <w:szCs w:val="22"/>
              </w:rPr>
            </w:pPr>
            <w:r w:rsidRPr="008B619A">
              <w:rPr>
                <w:rFonts w:hAnsi="標楷體" w:cs="Tahoma" w:hint="eastAsia"/>
                <w:b/>
                <w:bCs/>
                <w:color w:val="000000" w:themeColor="text1"/>
                <w:kern w:val="0"/>
                <w:sz w:val="22"/>
                <w:szCs w:val="22"/>
              </w:rPr>
              <w:t>100學年</w:t>
            </w:r>
          </w:p>
        </w:tc>
        <w:tc>
          <w:tcPr>
            <w:tcW w:w="435" w:type="pct"/>
            <w:gridSpan w:val="2"/>
            <w:tcBorders>
              <w:top w:val="single" w:sz="4" w:space="0" w:color="auto"/>
              <w:left w:val="nil"/>
              <w:bottom w:val="single" w:sz="4" w:space="0" w:color="auto"/>
              <w:right w:val="single" w:sz="4" w:space="0" w:color="auto"/>
            </w:tcBorders>
            <w:shd w:val="clear" w:color="auto" w:fill="auto"/>
            <w:vAlign w:val="center"/>
            <w:hideMark/>
          </w:tcPr>
          <w:p w14:paraId="7EEAEC7E" w14:textId="77777777" w:rsidR="004E7B7E" w:rsidRPr="008B619A" w:rsidRDefault="004E7B7E" w:rsidP="006400F0">
            <w:pPr>
              <w:widowControl/>
              <w:jc w:val="center"/>
              <w:rPr>
                <w:rFonts w:hAnsi="標楷體" w:cs="Tahoma"/>
                <w:b/>
                <w:bCs/>
                <w:color w:val="000000" w:themeColor="text1"/>
                <w:kern w:val="0"/>
                <w:sz w:val="22"/>
                <w:szCs w:val="22"/>
              </w:rPr>
            </w:pPr>
            <w:r w:rsidRPr="008B619A">
              <w:rPr>
                <w:rFonts w:hAnsi="標楷體" w:cs="Tahoma" w:hint="eastAsia"/>
                <w:b/>
                <w:bCs/>
                <w:color w:val="000000" w:themeColor="text1"/>
                <w:kern w:val="0"/>
                <w:sz w:val="22"/>
                <w:szCs w:val="22"/>
              </w:rPr>
              <w:t>101學年</w:t>
            </w:r>
          </w:p>
        </w:tc>
        <w:tc>
          <w:tcPr>
            <w:tcW w:w="435" w:type="pct"/>
            <w:gridSpan w:val="2"/>
            <w:tcBorders>
              <w:top w:val="single" w:sz="4" w:space="0" w:color="auto"/>
              <w:left w:val="nil"/>
              <w:bottom w:val="single" w:sz="4" w:space="0" w:color="auto"/>
              <w:right w:val="single" w:sz="4" w:space="0" w:color="auto"/>
            </w:tcBorders>
            <w:shd w:val="clear" w:color="auto" w:fill="auto"/>
            <w:vAlign w:val="center"/>
            <w:hideMark/>
          </w:tcPr>
          <w:p w14:paraId="157F8999" w14:textId="77777777" w:rsidR="004E7B7E" w:rsidRPr="008B619A" w:rsidRDefault="004E7B7E" w:rsidP="006400F0">
            <w:pPr>
              <w:widowControl/>
              <w:jc w:val="center"/>
              <w:rPr>
                <w:rFonts w:hAnsi="標楷體" w:cs="Tahoma"/>
                <w:b/>
                <w:bCs/>
                <w:color w:val="000000" w:themeColor="text1"/>
                <w:kern w:val="0"/>
                <w:sz w:val="22"/>
                <w:szCs w:val="22"/>
              </w:rPr>
            </w:pPr>
            <w:r w:rsidRPr="008B619A">
              <w:rPr>
                <w:rFonts w:hAnsi="標楷體" w:cs="Tahoma" w:hint="eastAsia"/>
                <w:b/>
                <w:bCs/>
                <w:color w:val="000000" w:themeColor="text1"/>
                <w:kern w:val="0"/>
                <w:sz w:val="22"/>
                <w:szCs w:val="22"/>
              </w:rPr>
              <w:t>102學年</w:t>
            </w:r>
          </w:p>
        </w:tc>
        <w:tc>
          <w:tcPr>
            <w:tcW w:w="434" w:type="pct"/>
            <w:gridSpan w:val="2"/>
            <w:tcBorders>
              <w:top w:val="single" w:sz="4" w:space="0" w:color="auto"/>
              <w:left w:val="nil"/>
              <w:bottom w:val="single" w:sz="4" w:space="0" w:color="auto"/>
              <w:right w:val="single" w:sz="4" w:space="0" w:color="auto"/>
            </w:tcBorders>
            <w:shd w:val="clear" w:color="auto" w:fill="auto"/>
            <w:vAlign w:val="center"/>
            <w:hideMark/>
          </w:tcPr>
          <w:p w14:paraId="58CE74BE" w14:textId="77777777" w:rsidR="004E7B7E" w:rsidRPr="008B619A" w:rsidRDefault="004E7B7E" w:rsidP="006400F0">
            <w:pPr>
              <w:widowControl/>
              <w:jc w:val="center"/>
              <w:rPr>
                <w:rFonts w:hAnsi="標楷體" w:cs="Tahoma"/>
                <w:b/>
                <w:bCs/>
                <w:color w:val="000000" w:themeColor="text1"/>
                <w:kern w:val="0"/>
                <w:sz w:val="22"/>
                <w:szCs w:val="22"/>
              </w:rPr>
            </w:pPr>
            <w:r w:rsidRPr="008B619A">
              <w:rPr>
                <w:rFonts w:hAnsi="標楷體" w:cs="Tahoma" w:hint="eastAsia"/>
                <w:b/>
                <w:bCs/>
                <w:color w:val="000000" w:themeColor="text1"/>
                <w:kern w:val="0"/>
                <w:sz w:val="22"/>
                <w:szCs w:val="22"/>
              </w:rPr>
              <w:t>103學年</w:t>
            </w:r>
          </w:p>
        </w:tc>
        <w:tc>
          <w:tcPr>
            <w:tcW w:w="435" w:type="pct"/>
            <w:gridSpan w:val="2"/>
            <w:tcBorders>
              <w:top w:val="single" w:sz="4" w:space="0" w:color="auto"/>
              <w:left w:val="nil"/>
              <w:bottom w:val="single" w:sz="4" w:space="0" w:color="auto"/>
              <w:right w:val="single" w:sz="4" w:space="0" w:color="auto"/>
            </w:tcBorders>
            <w:shd w:val="clear" w:color="auto" w:fill="auto"/>
            <w:vAlign w:val="center"/>
            <w:hideMark/>
          </w:tcPr>
          <w:p w14:paraId="036185C7" w14:textId="77777777" w:rsidR="004E7B7E" w:rsidRPr="008B619A" w:rsidRDefault="004E7B7E" w:rsidP="006400F0">
            <w:pPr>
              <w:widowControl/>
              <w:jc w:val="center"/>
              <w:rPr>
                <w:rFonts w:hAnsi="標楷體" w:cs="Tahoma"/>
                <w:b/>
                <w:bCs/>
                <w:color w:val="000000" w:themeColor="text1"/>
                <w:kern w:val="0"/>
                <w:sz w:val="22"/>
                <w:szCs w:val="22"/>
              </w:rPr>
            </w:pPr>
            <w:r w:rsidRPr="008B619A">
              <w:rPr>
                <w:rFonts w:hAnsi="標楷體" w:cs="Tahoma" w:hint="eastAsia"/>
                <w:b/>
                <w:bCs/>
                <w:color w:val="000000" w:themeColor="text1"/>
                <w:kern w:val="0"/>
                <w:sz w:val="22"/>
                <w:szCs w:val="22"/>
              </w:rPr>
              <w:t>104學年</w:t>
            </w:r>
          </w:p>
        </w:tc>
        <w:tc>
          <w:tcPr>
            <w:tcW w:w="435" w:type="pct"/>
            <w:gridSpan w:val="2"/>
            <w:tcBorders>
              <w:top w:val="single" w:sz="4" w:space="0" w:color="auto"/>
              <w:left w:val="nil"/>
              <w:bottom w:val="single" w:sz="4" w:space="0" w:color="auto"/>
              <w:right w:val="single" w:sz="4" w:space="0" w:color="auto"/>
            </w:tcBorders>
            <w:shd w:val="clear" w:color="auto" w:fill="auto"/>
            <w:vAlign w:val="center"/>
            <w:hideMark/>
          </w:tcPr>
          <w:p w14:paraId="4F55D438" w14:textId="77777777" w:rsidR="004E7B7E" w:rsidRPr="008B619A" w:rsidRDefault="004E7B7E" w:rsidP="006400F0">
            <w:pPr>
              <w:widowControl/>
              <w:jc w:val="center"/>
              <w:rPr>
                <w:rFonts w:hAnsi="標楷體" w:cs="Tahoma"/>
                <w:b/>
                <w:bCs/>
                <w:color w:val="000000" w:themeColor="text1"/>
                <w:kern w:val="0"/>
                <w:sz w:val="22"/>
                <w:szCs w:val="22"/>
              </w:rPr>
            </w:pPr>
            <w:r w:rsidRPr="008B619A">
              <w:rPr>
                <w:rFonts w:hAnsi="標楷體" w:cs="Tahoma" w:hint="eastAsia"/>
                <w:b/>
                <w:bCs/>
                <w:color w:val="000000" w:themeColor="text1"/>
                <w:kern w:val="0"/>
                <w:sz w:val="22"/>
                <w:szCs w:val="22"/>
              </w:rPr>
              <w:t>105學年</w:t>
            </w:r>
          </w:p>
        </w:tc>
        <w:tc>
          <w:tcPr>
            <w:tcW w:w="435" w:type="pct"/>
            <w:gridSpan w:val="2"/>
            <w:tcBorders>
              <w:top w:val="single" w:sz="4" w:space="0" w:color="auto"/>
              <w:left w:val="nil"/>
              <w:bottom w:val="single" w:sz="4" w:space="0" w:color="auto"/>
              <w:right w:val="single" w:sz="4" w:space="0" w:color="auto"/>
            </w:tcBorders>
            <w:shd w:val="clear" w:color="auto" w:fill="auto"/>
            <w:vAlign w:val="center"/>
            <w:hideMark/>
          </w:tcPr>
          <w:p w14:paraId="2ABB59A3" w14:textId="77777777" w:rsidR="004E7B7E" w:rsidRPr="008B619A" w:rsidRDefault="004E7B7E" w:rsidP="006400F0">
            <w:pPr>
              <w:widowControl/>
              <w:jc w:val="center"/>
              <w:rPr>
                <w:rFonts w:hAnsi="標楷體" w:cs="Tahoma"/>
                <w:b/>
                <w:bCs/>
                <w:color w:val="000000" w:themeColor="text1"/>
                <w:kern w:val="0"/>
                <w:sz w:val="22"/>
                <w:szCs w:val="22"/>
              </w:rPr>
            </w:pPr>
            <w:r w:rsidRPr="008B619A">
              <w:rPr>
                <w:rFonts w:hAnsi="標楷體" w:cs="Tahoma" w:hint="eastAsia"/>
                <w:b/>
                <w:bCs/>
                <w:color w:val="000000" w:themeColor="text1"/>
                <w:kern w:val="0"/>
                <w:sz w:val="22"/>
                <w:szCs w:val="22"/>
              </w:rPr>
              <w:t>106學年</w:t>
            </w:r>
          </w:p>
        </w:tc>
        <w:tc>
          <w:tcPr>
            <w:tcW w:w="491" w:type="pct"/>
            <w:gridSpan w:val="2"/>
            <w:tcBorders>
              <w:top w:val="single" w:sz="4" w:space="0" w:color="auto"/>
              <w:left w:val="nil"/>
              <w:bottom w:val="single" w:sz="4" w:space="0" w:color="auto"/>
              <w:right w:val="single" w:sz="4" w:space="0" w:color="auto"/>
            </w:tcBorders>
            <w:shd w:val="clear" w:color="auto" w:fill="auto"/>
            <w:vAlign w:val="center"/>
            <w:hideMark/>
          </w:tcPr>
          <w:p w14:paraId="706A8E44" w14:textId="77777777" w:rsidR="004E7B7E" w:rsidRPr="008B619A" w:rsidRDefault="004E7B7E" w:rsidP="006400F0">
            <w:pPr>
              <w:widowControl/>
              <w:jc w:val="center"/>
              <w:rPr>
                <w:rFonts w:hAnsi="標楷體" w:cs="Tahoma"/>
                <w:b/>
                <w:bCs/>
                <w:color w:val="000000" w:themeColor="text1"/>
                <w:kern w:val="0"/>
                <w:sz w:val="22"/>
                <w:szCs w:val="22"/>
              </w:rPr>
            </w:pPr>
            <w:r w:rsidRPr="008B619A">
              <w:rPr>
                <w:rFonts w:hAnsi="標楷體" w:cs="Tahoma" w:hint="eastAsia"/>
                <w:b/>
                <w:bCs/>
                <w:color w:val="000000" w:themeColor="text1"/>
                <w:kern w:val="0"/>
                <w:sz w:val="22"/>
                <w:szCs w:val="22"/>
              </w:rPr>
              <w:t>107學年</w:t>
            </w:r>
          </w:p>
        </w:tc>
      </w:tr>
      <w:tr w:rsidR="004E7B7E" w:rsidRPr="008B619A" w14:paraId="6A5EF28A" w14:textId="77777777" w:rsidTr="006400F0">
        <w:trPr>
          <w:trHeight w:val="390"/>
          <w:tblHeader/>
        </w:trPr>
        <w:tc>
          <w:tcPr>
            <w:tcW w:w="600" w:type="pct"/>
            <w:vMerge/>
            <w:tcBorders>
              <w:top w:val="single" w:sz="4" w:space="0" w:color="auto"/>
              <w:left w:val="nil"/>
              <w:bottom w:val="single" w:sz="4" w:space="0" w:color="000000"/>
              <w:right w:val="single" w:sz="4" w:space="0" w:color="auto"/>
            </w:tcBorders>
            <w:vAlign w:val="center"/>
            <w:hideMark/>
          </w:tcPr>
          <w:p w14:paraId="40954E22" w14:textId="77777777" w:rsidR="004E7B7E" w:rsidRPr="008B619A" w:rsidRDefault="004E7B7E" w:rsidP="006400F0">
            <w:pPr>
              <w:widowControl/>
              <w:rPr>
                <w:rFonts w:hAnsi="標楷體" w:cs="Tahoma"/>
                <w:b/>
                <w:bCs/>
                <w:color w:val="000000" w:themeColor="text1"/>
                <w:kern w:val="0"/>
                <w:sz w:val="22"/>
                <w:szCs w:val="22"/>
              </w:rPr>
            </w:pPr>
          </w:p>
        </w:tc>
        <w:tc>
          <w:tcPr>
            <w:tcW w:w="216" w:type="pct"/>
            <w:tcBorders>
              <w:top w:val="nil"/>
              <w:left w:val="nil"/>
              <w:bottom w:val="single" w:sz="4" w:space="0" w:color="auto"/>
              <w:right w:val="single" w:sz="4" w:space="0" w:color="auto"/>
            </w:tcBorders>
            <w:shd w:val="clear" w:color="auto" w:fill="auto"/>
            <w:vAlign w:val="center"/>
            <w:hideMark/>
          </w:tcPr>
          <w:p w14:paraId="3AE3524E" w14:textId="77777777" w:rsidR="004E7B7E" w:rsidRPr="008B619A" w:rsidRDefault="004E7B7E" w:rsidP="006400F0">
            <w:pPr>
              <w:widowControl/>
              <w:jc w:val="center"/>
              <w:rPr>
                <w:rFonts w:hAnsi="標楷體" w:cs="Tahoma"/>
                <w:b/>
                <w:bCs/>
                <w:color w:val="000000" w:themeColor="text1"/>
                <w:kern w:val="0"/>
                <w:sz w:val="18"/>
                <w:szCs w:val="22"/>
              </w:rPr>
            </w:pPr>
            <w:r w:rsidRPr="008B619A">
              <w:rPr>
                <w:rFonts w:hAnsi="標楷體" w:cs="Tahoma" w:hint="eastAsia"/>
                <w:b/>
                <w:bCs/>
                <w:color w:val="000000" w:themeColor="text1"/>
                <w:kern w:val="0"/>
                <w:sz w:val="18"/>
                <w:szCs w:val="22"/>
              </w:rPr>
              <w:t>人數</w:t>
            </w:r>
          </w:p>
        </w:tc>
        <w:tc>
          <w:tcPr>
            <w:tcW w:w="217" w:type="pct"/>
            <w:tcBorders>
              <w:top w:val="nil"/>
              <w:left w:val="nil"/>
              <w:bottom w:val="single" w:sz="4" w:space="0" w:color="auto"/>
              <w:right w:val="single" w:sz="4" w:space="0" w:color="auto"/>
            </w:tcBorders>
            <w:shd w:val="clear" w:color="000000" w:fill="E7E6E6"/>
            <w:vAlign w:val="center"/>
            <w:hideMark/>
          </w:tcPr>
          <w:p w14:paraId="3DD96004" w14:textId="77777777" w:rsidR="004E7B7E" w:rsidRPr="008B619A" w:rsidRDefault="004E7B7E" w:rsidP="006400F0">
            <w:pPr>
              <w:widowControl/>
              <w:jc w:val="center"/>
              <w:rPr>
                <w:rFonts w:hAnsi="標楷體" w:cs="Tahoma"/>
                <w:b/>
                <w:bCs/>
                <w:color w:val="000000" w:themeColor="text1"/>
                <w:kern w:val="0"/>
                <w:sz w:val="18"/>
                <w:szCs w:val="22"/>
              </w:rPr>
            </w:pPr>
            <w:r w:rsidRPr="008B619A">
              <w:rPr>
                <w:rFonts w:hAnsi="標楷體" w:cs="Tahoma" w:hint="eastAsia"/>
                <w:b/>
                <w:bCs/>
                <w:color w:val="000000" w:themeColor="text1"/>
                <w:kern w:val="0"/>
                <w:sz w:val="18"/>
                <w:szCs w:val="22"/>
              </w:rPr>
              <w:t>占比</w:t>
            </w:r>
          </w:p>
        </w:tc>
        <w:tc>
          <w:tcPr>
            <w:tcW w:w="217" w:type="pct"/>
            <w:tcBorders>
              <w:top w:val="nil"/>
              <w:left w:val="nil"/>
              <w:bottom w:val="single" w:sz="4" w:space="0" w:color="auto"/>
              <w:right w:val="single" w:sz="4" w:space="0" w:color="auto"/>
            </w:tcBorders>
            <w:shd w:val="clear" w:color="auto" w:fill="auto"/>
            <w:vAlign w:val="center"/>
            <w:hideMark/>
          </w:tcPr>
          <w:p w14:paraId="57453F96" w14:textId="77777777" w:rsidR="004E7B7E" w:rsidRPr="008B619A" w:rsidRDefault="004E7B7E" w:rsidP="006400F0">
            <w:pPr>
              <w:widowControl/>
              <w:jc w:val="center"/>
              <w:rPr>
                <w:rFonts w:hAnsi="標楷體" w:cs="Tahoma"/>
                <w:b/>
                <w:bCs/>
                <w:color w:val="000000" w:themeColor="text1"/>
                <w:kern w:val="0"/>
                <w:sz w:val="18"/>
                <w:szCs w:val="22"/>
              </w:rPr>
            </w:pPr>
            <w:r w:rsidRPr="008B619A">
              <w:rPr>
                <w:rFonts w:hAnsi="標楷體" w:cs="Tahoma" w:hint="eastAsia"/>
                <w:b/>
                <w:bCs/>
                <w:color w:val="000000" w:themeColor="text1"/>
                <w:kern w:val="0"/>
                <w:sz w:val="18"/>
                <w:szCs w:val="22"/>
              </w:rPr>
              <w:t>人數</w:t>
            </w:r>
          </w:p>
        </w:tc>
        <w:tc>
          <w:tcPr>
            <w:tcW w:w="217" w:type="pct"/>
            <w:tcBorders>
              <w:top w:val="nil"/>
              <w:left w:val="nil"/>
              <w:bottom w:val="single" w:sz="4" w:space="0" w:color="auto"/>
              <w:right w:val="single" w:sz="4" w:space="0" w:color="auto"/>
            </w:tcBorders>
            <w:shd w:val="clear" w:color="000000" w:fill="E7E6E6"/>
            <w:vAlign w:val="center"/>
            <w:hideMark/>
          </w:tcPr>
          <w:p w14:paraId="16A537EF" w14:textId="77777777" w:rsidR="004E7B7E" w:rsidRPr="008B619A" w:rsidRDefault="004E7B7E" w:rsidP="006400F0">
            <w:pPr>
              <w:widowControl/>
              <w:jc w:val="center"/>
              <w:rPr>
                <w:rFonts w:hAnsi="標楷體" w:cs="Tahoma"/>
                <w:b/>
                <w:bCs/>
                <w:color w:val="000000" w:themeColor="text1"/>
                <w:kern w:val="0"/>
                <w:sz w:val="18"/>
                <w:szCs w:val="22"/>
              </w:rPr>
            </w:pPr>
            <w:r w:rsidRPr="008B619A">
              <w:rPr>
                <w:rFonts w:hAnsi="標楷體" w:cs="Tahoma" w:hint="eastAsia"/>
                <w:b/>
                <w:bCs/>
                <w:color w:val="000000" w:themeColor="text1"/>
                <w:kern w:val="0"/>
                <w:sz w:val="18"/>
                <w:szCs w:val="22"/>
              </w:rPr>
              <w:t>占比</w:t>
            </w:r>
          </w:p>
        </w:tc>
        <w:tc>
          <w:tcPr>
            <w:tcW w:w="217" w:type="pct"/>
            <w:tcBorders>
              <w:top w:val="nil"/>
              <w:left w:val="nil"/>
              <w:bottom w:val="single" w:sz="4" w:space="0" w:color="auto"/>
              <w:right w:val="single" w:sz="4" w:space="0" w:color="auto"/>
            </w:tcBorders>
            <w:shd w:val="clear" w:color="auto" w:fill="auto"/>
            <w:vAlign w:val="center"/>
            <w:hideMark/>
          </w:tcPr>
          <w:p w14:paraId="5B5F8884" w14:textId="77777777" w:rsidR="004E7B7E" w:rsidRPr="008B619A" w:rsidRDefault="004E7B7E" w:rsidP="006400F0">
            <w:pPr>
              <w:widowControl/>
              <w:jc w:val="center"/>
              <w:rPr>
                <w:rFonts w:hAnsi="標楷體" w:cs="Tahoma"/>
                <w:b/>
                <w:bCs/>
                <w:color w:val="000000" w:themeColor="text1"/>
                <w:kern w:val="0"/>
                <w:sz w:val="18"/>
                <w:szCs w:val="22"/>
              </w:rPr>
            </w:pPr>
            <w:r w:rsidRPr="008B619A">
              <w:rPr>
                <w:rFonts w:hAnsi="標楷體" w:cs="Tahoma" w:hint="eastAsia"/>
                <w:b/>
                <w:bCs/>
                <w:color w:val="000000" w:themeColor="text1"/>
                <w:kern w:val="0"/>
                <w:sz w:val="18"/>
                <w:szCs w:val="22"/>
              </w:rPr>
              <w:t>人數</w:t>
            </w:r>
          </w:p>
        </w:tc>
        <w:tc>
          <w:tcPr>
            <w:tcW w:w="217" w:type="pct"/>
            <w:tcBorders>
              <w:top w:val="nil"/>
              <w:left w:val="nil"/>
              <w:bottom w:val="single" w:sz="4" w:space="0" w:color="auto"/>
              <w:right w:val="single" w:sz="4" w:space="0" w:color="auto"/>
            </w:tcBorders>
            <w:shd w:val="clear" w:color="000000" w:fill="E7E6E6"/>
            <w:vAlign w:val="center"/>
            <w:hideMark/>
          </w:tcPr>
          <w:p w14:paraId="7B050EBC" w14:textId="77777777" w:rsidR="004E7B7E" w:rsidRPr="008B619A" w:rsidRDefault="004E7B7E" w:rsidP="006400F0">
            <w:pPr>
              <w:widowControl/>
              <w:jc w:val="center"/>
              <w:rPr>
                <w:rFonts w:hAnsi="標楷體" w:cs="Tahoma"/>
                <w:b/>
                <w:bCs/>
                <w:color w:val="000000" w:themeColor="text1"/>
                <w:kern w:val="0"/>
                <w:sz w:val="18"/>
                <w:szCs w:val="22"/>
              </w:rPr>
            </w:pPr>
            <w:r w:rsidRPr="008B619A">
              <w:rPr>
                <w:rFonts w:hAnsi="標楷體" w:cs="Tahoma" w:hint="eastAsia"/>
                <w:b/>
                <w:bCs/>
                <w:color w:val="000000" w:themeColor="text1"/>
                <w:kern w:val="0"/>
                <w:sz w:val="18"/>
                <w:szCs w:val="22"/>
              </w:rPr>
              <w:t>占比</w:t>
            </w:r>
          </w:p>
        </w:tc>
        <w:tc>
          <w:tcPr>
            <w:tcW w:w="217" w:type="pct"/>
            <w:tcBorders>
              <w:top w:val="nil"/>
              <w:left w:val="nil"/>
              <w:bottom w:val="single" w:sz="4" w:space="0" w:color="auto"/>
              <w:right w:val="single" w:sz="4" w:space="0" w:color="auto"/>
            </w:tcBorders>
            <w:shd w:val="clear" w:color="auto" w:fill="auto"/>
            <w:vAlign w:val="center"/>
            <w:hideMark/>
          </w:tcPr>
          <w:p w14:paraId="0C1339E3" w14:textId="77777777" w:rsidR="004E7B7E" w:rsidRPr="008B619A" w:rsidRDefault="004E7B7E" w:rsidP="006400F0">
            <w:pPr>
              <w:widowControl/>
              <w:jc w:val="center"/>
              <w:rPr>
                <w:rFonts w:hAnsi="標楷體" w:cs="Tahoma"/>
                <w:b/>
                <w:bCs/>
                <w:color w:val="000000" w:themeColor="text1"/>
                <w:kern w:val="0"/>
                <w:sz w:val="18"/>
                <w:szCs w:val="22"/>
              </w:rPr>
            </w:pPr>
            <w:r w:rsidRPr="008B619A">
              <w:rPr>
                <w:rFonts w:hAnsi="標楷體" w:cs="Tahoma" w:hint="eastAsia"/>
                <w:b/>
                <w:bCs/>
                <w:color w:val="000000" w:themeColor="text1"/>
                <w:kern w:val="0"/>
                <w:sz w:val="18"/>
                <w:szCs w:val="22"/>
              </w:rPr>
              <w:t>人數</w:t>
            </w:r>
          </w:p>
        </w:tc>
        <w:tc>
          <w:tcPr>
            <w:tcW w:w="217" w:type="pct"/>
            <w:tcBorders>
              <w:top w:val="nil"/>
              <w:left w:val="nil"/>
              <w:bottom w:val="single" w:sz="4" w:space="0" w:color="auto"/>
              <w:right w:val="single" w:sz="4" w:space="0" w:color="auto"/>
            </w:tcBorders>
            <w:shd w:val="clear" w:color="000000" w:fill="E7E6E6"/>
            <w:vAlign w:val="center"/>
            <w:hideMark/>
          </w:tcPr>
          <w:p w14:paraId="58A0690B" w14:textId="77777777" w:rsidR="004E7B7E" w:rsidRPr="008B619A" w:rsidRDefault="004E7B7E" w:rsidP="006400F0">
            <w:pPr>
              <w:widowControl/>
              <w:jc w:val="center"/>
              <w:rPr>
                <w:rFonts w:hAnsi="標楷體" w:cs="Tahoma"/>
                <w:b/>
                <w:bCs/>
                <w:color w:val="000000" w:themeColor="text1"/>
                <w:kern w:val="0"/>
                <w:sz w:val="18"/>
                <w:szCs w:val="22"/>
              </w:rPr>
            </w:pPr>
            <w:r w:rsidRPr="008B619A">
              <w:rPr>
                <w:rFonts w:hAnsi="標楷體" w:cs="Tahoma" w:hint="eastAsia"/>
                <w:b/>
                <w:bCs/>
                <w:color w:val="000000" w:themeColor="text1"/>
                <w:kern w:val="0"/>
                <w:sz w:val="18"/>
                <w:szCs w:val="22"/>
              </w:rPr>
              <w:t>占比</w:t>
            </w:r>
          </w:p>
        </w:tc>
        <w:tc>
          <w:tcPr>
            <w:tcW w:w="217" w:type="pct"/>
            <w:tcBorders>
              <w:top w:val="nil"/>
              <w:left w:val="nil"/>
              <w:bottom w:val="single" w:sz="4" w:space="0" w:color="auto"/>
              <w:right w:val="single" w:sz="4" w:space="0" w:color="auto"/>
            </w:tcBorders>
            <w:shd w:val="clear" w:color="auto" w:fill="auto"/>
            <w:vAlign w:val="center"/>
            <w:hideMark/>
          </w:tcPr>
          <w:p w14:paraId="1CEAB1F3" w14:textId="77777777" w:rsidR="004E7B7E" w:rsidRPr="008B619A" w:rsidRDefault="004E7B7E" w:rsidP="006400F0">
            <w:pPr>
              <w:widowControl/>
              <w:jc w:val="center"/>
              <w:rPr>
                <w:rFonts w:hAnsi="標楷體" w:cs="Tahoma"/>
                <w:b/>
                <w:bCs/>
                <w:color w:val="000000" w:themeColor="text1"/>
                <w:kern w:val="0"/>
                <w:sz w:val="18"/>
                <w:szCs w:val="22"/>
              </w:rPr>
            </w:pPr>
            <w:r w:rsidRPr="008B619A">
              <w:rPr>
                <w:rFonts w:hAnsi="標楷體" w:cs="Tahoma" w:hint="eastAsia"/>
                <w:b/>
                <w:bCs/>
                <w:color w:val="000000" w:themeColor="text1"/>
                <w:kern w:val="0"/>
                <w:sz w:val="18"/>
                <w:szCs w:val="22"/>
              </w:rPr>
              <w:t>人數</w:t>
            </w:r>
          </w:p>
        </w:tc>
        <w:tc>
          <w:tcPr>
            <w:tcW w:w="217" w:type="pct"/>
            <w:tcBorders>
              <w:top w:val="nil"/>
              <w:left w:val="nil"/>
              <w:bottom w:val="single" w:sz="4" w:space="0" w:color="auto"/>
              <w:right w:val="single" w:sz="4" w:space="0" w:color="auto"/>
            </w:tcBorders>
            <w:shd w:val="clear" w:color="000000" w:fill="E7E6E6"/>
            <w:vAlign w:val="center"/>
            <w:hideMark/>
          </w:tcPr>
          <w:p w14:paraId="72B980C7" w14:textId="77777777" w:rsidR="004E7B7E" w:rsidRPr="008B619A" w:rsidRDefault="004E7B7E" w:rsidP="006400F0">
            <w:pPr>
              <w:widowControl/>
              <w:jc w:val="center"/>
              <w:rPr>
                <w:rFonts w:hAnsi="標楷體" w:cs="Tahoma"/>
                <w:b/>
                <w:bCs/>
                <w:color w:val="000000" w:themeColor="text1"/>
                <w:kern w:val="0"/>
                <w:sz w:val="18"/>
                <w:szCs w:val="22"/>
              </w:rPr>
            </w:pPr>
            <w:r w:rsidRPr="008B619A">
              <w:rPr>
                <w:rFonts w:hAnsi="標楷體" w:cs="Tahoma" w:hint="eastAsia"/>
                <w:b/>
                <w:bCs/>
                <w:color w:val="000000" w:themeColor="text1"/>
                <w:kern w:val="0"/>
                <w:sz w:val="18"/>
                <w:szCs w:val="22"/>
              </w:rPr>
              <w:t>占比</w:t>
            </w:r>
          </w:p>
        </w:tc>
        <w:tc>
          <w:tcPr>
            <w:tcW w:w="216" w:type="pct"/>
            <w:tcBorders>
              <w:top w:val="nil"/>
              <w:left w:val="nil"/>
              <w:bottom w:val="single" w:sz="4" w:space="0" w:color="auto"/>
              <w:right w:val="single" w:sz="4" w:space="0" w:color="auto"/>
            </w:tcBorders>
            <w:shd w:val="clear" w:color="auto" w:fill="auto"/>
            <w:vAlign w:val="center"/>
            <w:hideMark/>
          </w:tcPr>
          <w:p w14:paraId="518E59C3" w14:textId="77777777" w:rsidR="004E7B7E" w:rsidRPr="008B619A" w:rsidRDefault="004E7B7E" w:rsidP="006400F0">
            <w:pPr>
              <w:widowControl/>
              <w:jc w:val="center"/>
              <w:rPr>
                <w:rFonts w:hAnsi="標楷體" w:cs="Tahoma"/>
                <w:b/>
                <w:bCs/>
                <w:color w:val="000000" w:themeColor="text1"/>
                <w:kern w:val="0"/>
                <w:sz w:val="18"/>
                <w:szCs w:val="22"/>
              </w:rPr>
            </w:pPr>
            <w:r w:rsidRPr="008B619A">
              <w:rPr>
                <w:rFonts w:hAnsi="標楷體" w:cs="Tahoma" w:hint="eastAsia"/>
                <w:b/>
                <w:bCs/>
                <w:color w:val="000000" w:themeColor="text1"/>
                <w:kern w:val="0"/>
                <w:sz w:val="18"/>
                <w:szCs w:val="22"/>
              </w:rPr>
              <w:t>人數</w:t>
            </w:r>
          </w:p>
        </w:tc>
        <w:tc>
          <w:tcPr>
            <w:tcW w:w="217" w:type="pct"/>
            <w:tcBorders>
              <w:top w:val="nil"/>
              <w:left w:val="nil"/>
              <w:bottom w:val="single" w:sz="4" w:space="0" w:color="auto"/>
              <w:right w:val="single" w:sz="4" w:space="0" w:color="auto"/>
            </w:tcBorders>
            <w:shd w:val="clear" w:color="000000" w:fill="E7E6E6"/>
            <w:vAlign w:val="center"/>
            <w:hideMark/>
          </w:tcPr>
          <w:p w14:paraId="5D167743" w14:textId="77777777" w:rsidR="004E7B7E" w:rsidRPr="008B619A" w:rsidRDefault="004E7B7E" w:rsidP="006400F0">
            <w:pPr>
              <w:widowControl/>
              <w:jc w:val="center"/>
              <w:rPr>
                <w:rFonts w:hAnsi="標楷體" w:cs="Tahoma"/>
                <w:b/>
                <w:bCs/>
                <w:color w:val="000000" w:themeColor="text1"/>
                <w:kern w:val="0"/>
                <w:sz w:val="18"/>
                <w:szCs w:val="22"/>
              </w:rPr>
            </w:pPr>
            <w:r w:rsidRPr="008B619A">
              <w:rPr>
                <w:rFonts w:hAnsi="標楷體" w:cs="Tahoma" w:hint="eastAsia"/>
                <w:b/>
                <w:bCs/>
                <w:color w:val="000000" w:themeColor="text1"/>
                <w:kern w:val="0"/>
                <w:sz w:val="18"/>
                <w:szCs w:val="22"/>
              </w:rPr>
              <w:t>占比</w:t>
            </w:r>
          </w:p>
        </w:tc>
        <w:tc>
          <w:tcPr>
            <w:tcW w:w="217" w:type="pct"/>
            <w:tcBorders>
              <w:top w:val="nil"/>
              <w:left w:val="nil"/>
              <w:bottom w:val="single" w:sz="4" w:space="0" w:color="auto"/>
              <w:right w:val="single" w:sz="4" w:space="0" w:color="auto"/>
            </w:tcBorders>
            <w:shd w:val="clear" w:color="auto" w:fill="auto"/>
            <w:vAlign w:val="center"/>
            <w:hideMark/>
          </w:tcPr>
          <w:p w14:paraId="41EA34FC" w14:textId="77777777" w:rsidR="004E7B7E" w:rsidRPr="008B619A" w:rsidRDefault="004E7B7E" w:rsidP="006400F0">
            <w:pPr>
              <w:widowControl/>
              <w:jc w:val="center"/>
              <w:rPr>
                <w:rFonts w:hAnsi="標楷體" w:cs="Tahoma"/>
                <w:b/>
                <w:bCs/>
                <w:color w:val="000000" w:themeColor="text1"/>
                <w:kern w:val="0"/>
                <w:sz w:val="18"/>
                <w:szCs w:val="22"/>
              </w:rPr>
            </w:pPr>
            <w:r w:rsidRPr="008B619A">
              <w:rPr>
                <w:rFonts w:hAnsi="標楷體" w:cs="Tahoma" w:hint="eastAsia"/>
                <w:b/>
                <w:bCs/>
                <w:color w:val="000000" w:themeColor="text1"/>
                <w:kern w:val="0"/>
                <w:sz w:val="18"/>
                <w:szCs w:val="22"/>
              </w:rPr>
              <w:t>人數</w:t>
            </w:r>
          </w:p>
        </w:tc>
        <w:tc>
          <w:tcPr>
            <w:tcW w:w="217" w:type="pct"/>
            <w:tcBorders>
              <w:top w:val="nil"/>
              <w:left w:val="nil"/>
              <w:bottom w:val="single" w:sz="4" w:space="0" w:color="auto"/>
              <w:right w:val="single" w:sz="4" w:space="0" w:color="auto"/>
            </w:tcBorders>
            <w:shd w:val="clear" w:color="000000" w:fill="E7E6E6"/>
            <w:vAlign w:val="center"/>
            <w:hideMark/>
          </w:tcPr>
          <w:p w14:paraId="50FF73C0" w14:textId="77777777" w:rsidR="004E7B7E" w:rsidRPr="008B619A" w:rsidRDefault="004E7B7E" w:rsidP="006400F0">
            <w:pPr>
              <w:widowControl/>
              <w:jc w:val="center"/>
              <w:rPr>
                <w:rFonts w:hAnsi="標楷體" w:cs="Tahoma"/>
                <w:b/>
                <w:bCs/>
                <w:color w:val="000000" w:themeColor="text1"/>
                <w:kern w:val="0"/>
                <w:sz w:val="18"/>
                <w:szCs w:val="22"/>
              </w:rPr>
            </w:pPr>
            <w:r w:rsidRPr="008B619A">
              <w:rPr>
                <w:rFonts w:hAnsi="標楷體" w:cs="Tahoma" w:hint="eastAsia"/>
                <w:b/>
                <w:bCs/>
                <w:color w:val="000000" w:themeColor="text1"/>
                <w:kern w:val="0"/>
                <w:sz w:val="18"/>
                <w:szCs w:val="22"/>
              </w:rPr>
              <w:t>占比</w:t>
            </w:r>
          </w:p>
        </w:tc>
        <w:tc>
          <w:tcPr>
            <w:tcW w:w="217" w:type="pct"/>
            <w:tcBorders>
              <w:top w:val="nil"/>
              <w:left w:val="nil"/>
              <w:bottom w:val="single" w:sz="4" w:space="0" w:color="auto"/>
              <w:right w:val="single" w:sz="4" w:space="0" w:color="auto"/>
            </w:tcBorders>
            <w:shd w:val="clear" w:color="auto" w:fill="auto"/>
            <w:vAlign w:val="center"/>
            <w:hideMark/>
          </w:tcPr>
          <w:p w14:paraId="73085C2C" w14:textId="77777777" w:rsidR="004E7B7E" w:rsidRPr="008B619A" w:rsidRDefault="004E7B7E" w:rsidP="006400F0">
            <w:pPr>
              <w:widowControl/>
              <w:jc w:val="center"/>
              <w:rPr>
                <w:rFonts w:hAnsi="標楷體" w:cs="Tahoma"/>
                <w:b/>
                <w:bCs/>
                <w:color w:val="000000" w:themeColor="text1"/>
                <w:kern w:val="0"/>
                <w:sz w:val="18"/>
                <w:szCs w:val="22"/>
              </w:rPr>
            </w:pPr>
            <w:r w:rsidRPr="008B619A">
              <w:rPr>
                <w:rFonts w:hAnsi="標楷體" w:cs="Tahoma" w:hint="eastAsia"/>
                <w:b/>
                <w:bCs/>
                <w:color w:val="000000" w:themeColor="text1"/>
                <w:kern w:val="0"/>
                <w:sz w:val="18"/>
                <w:szCs w:val="22"/>
              </w:rPr>
              <w:t>人數</w:t>
            </w:r>
          </w:p>
        </w:tc>
        <w:tc>
          <w:tcPr>
            <w:tcW w:w="217" w:type="pct"/>
            <w:tcBorders>
              <w:top w:val="nil"/>
              <w:left w:val="nil"/>
              <w:bottom w:val="single" w:sz="4" w:space="0" w:color="auto"/>
              <w:right w:val="single" w:sz="4" w:space="0" w:color="auto"/>
            </w:tcBorders>
            <w:shd w:val="clear" w:color="000000" w:fill="E7E6E6"/>
            <w:vAlign w:val="center"/>
            <w:hideMark/>
          </w:tcPr>
          <w:p w14:paraId="22C4F281" w14:textId="77777777" w:rsidR="004E7B7E" w:rsidRPr="008B619A" w:rsidRDefault="004E7B7E" w:rsidP="006400F0">
            <w:pPr>
              <w:widowControl/>
              <w:jc w:val="center"/>
              <w:rPr>
                <w:rFonts w:hAnsi="標楷體" w:cs="Tahoma"/>
                <w:b/>
                <w:bCs/>
                <w:color w:val="000000" w:themeColor="text1"/>
                <w:kern w:val="0"/>
                <w:sz w:val="18"/>
                <w:szCs w:val="22"/>
              </w:rPr>
            </w:pPr>
            <w:r w:rsidRPr="008B619A">
              <w:rPr>
                <w:rFonts w:hAnsi="標楷體" w:cs="Tahoma" w:hint="eastAsia"/>
                <w:b/>
                <w:bCs/>
                <w:color w:val="000000" w:themeColor="text1"/>
                <w:kern w:val="0"/>
                <w:sz w:val="18"/>
                <w:szCs w:val="22"/>
              </w:rPr>
              <w:t>占比</w:t>
            </w:r>
          </w:p>
        </w:tc>
        <w:tc>
          <w:tcPr>
            <w:tcW w:w="217" w:type="pct"/>
            <w:tcBorders>
              <w:top w:val="nil"/>
              <w:left w:val="nil"/>
              <w:bottom w:val="single" w:sz="4" w:space="0" w:color="auto"/>
              <w:right w:val="single" w:sz="4" w:space="0" w:color="auto"/>
            </w:tcBorders>
            <w:shd w:val="clear" w:color="auto" w:fill="auto"/>
            <w:vAlign w:val="center"/>
            <w:hideMark/>
          </w:tcPr>
          <w:p w14:paraId="789815B4" w14:textId="77777777" w:rsidR="004E7B7E" w:rsidRPr="008B619A" w:rsidRDefault="004E7B7E" w:rsidP="006400F0">
            <w:pPr>
              <w:widowControl/>
              <w:jc w:val="center"/>
              <w:rPr>
                <w:rFonts w:hAnsi="標楷體" w:cs="Tahoma"/>
                <w:b/>
                <w:bCs/>
                <w:color w:val="000000" w:themeColor="text1"/>
                <w:kern w:val="0"/>
                <w:sz w:val="18"/>
                <w:szCs w:val="22"/>
              </w:rPr>
            </w:pPr>
            <w:r w:rsidRPr="008B619A">
              <w:rPr>
                <w:rFonts w:hAnsi="標楷體" w:cs="Tahoma" w:hint="eastAsia"/>
                <w:b/>
                <w:bCs/>
                <w:color w:val="000000" w:themeColor="text1"/>
                <w:kern w:val="0"/>
                <w:sz w:val="18"/>
                <w:szCs w:val="22"/>
              </w:rPr>
              <w:t>人數</w:t>
            </w:r>
          </w:p>
        </w:tc>
        <w:tc>
          <w:tcPr>
            <w:tcW w:w="217" w:type="pct"/>
            <w:tcBorders>
              <w:top w:val="nil"/>
              <w:left w:val="nil"/>
              <w:bottom w:val="single" w:sz="4" w:space="0" w:color="auto"/>
              <w:right w:val="single" w:sz="4" w:space="0" w:color="auto"/>
            </w:tcBorders>
            <w:shd w:val="clear" w:color="000000" w:fill="E7E6E6"/>
            <w:vAlign w:val="center"/>
            <w:hideMark/>
          </w:tcPr>
          <w:p w14:paraId="7D85883B" w14:textId="77777777" w:rsidR="004E7B7E" w:rsidRPr="008B619A" w:rsidRDefault="004E7B7E" w:rsidP="006400F0">
            <w:pPr>
              <w:widowControl/>
              <w:jc w:val="center"/>
              <w:rPr>
                <w:rFonts w:hAnsi="標楷體" w:cs="Tahoma"/>
                <w:b/>
                <w:bCs/>
                <w:color w:val="000000" w:themeColor="text1"/>
                <w:kern w:val="0"/>
                <w:sz w:val="18"/>
                <w:szCs w:val="22"/>
              </w:rPr>
            </w:pPr>
            <w:r w:rsidRPr="008B619A">
              <w:rPr>
                <w:rFonts w:hAnsi="標楷體" w:cs="Tahoma" w:hint="eastAsia"/>
                <w:b/>
                <w:bCs/>
                <w:color w:val="000000" w:themeColor="text1"/>
                <w:kern w:val="0"/>
                <w:sz w:val="18"/>
                <w:szCs w:val="22"/>
              </w:rPr>
              <w:t>占比</w:t>
            </w:r>
          </w:p>
        </w:tc>
        <w:tc>
          <w:tcPr>
            <w:tcW w:w="217" w:type="pct"/>
            <w:tcBorders>
              <w:top w:val="nil"/>
              <w:left w:val="nil"/>
              <w:bottom w:val="single" w:sz="4" w:space="0" w:color="auto"/>
              <w:right w:val="single" w:sz="4" w:space="0" w:color="auto"/>
            </w:tcBorders>
            <w:shd w:val="clear" w:color="auto" w:fill="auto"/>
            <w:vAlign w:val="center"/>
            <w:hideMark/>
          </w:tcPr>
          <w:p w14:paraId="06C84ABB" w14:textId="77777777" w:rsidR="004E7B7E" w:rsidRPr="008B619A" w:rsidRDefault="004E7B7E" w:rsidP="006400F0">
            <w:pPr>
              <w:widowControl/>
              <w:jc w:val="center"/>
              <w:rPr>
                <w:rFonts w:hAnsi="標楷體" w:cs="Tahoma"/>
                <w:b/>
                <w:bCs/>
                <w:color w:val="000000" w:themeColor="text1"/>
                <w:kern w:val="0"/>
                <w:sz w:val="18"/>
                <w:szCs w:val="22"/>
              </w:rPr>
            </w:pPr>
            <w:r w:rsidRPr="008B619A">
              <w:rPr>
                <w:rFonts w:hAnsi="標楷體" w:cs="Tahoma" w:hint="eastAsia"/>
                <w:b/>
                <w:bCs/>
                <w:color w:val="000000" w:themeColor="text1"/>
                <w:kern w:val="0"/>
                <w:sz w:val="18"/>
                <w:szCs w:val="22"/>
              </w:rPr>
              <w:t>人數</w:t>
            </w:r>
          </w:p>
        </w:tc>
        <w:tc>
          <w:tcPr>
            <w:tcW w:w="274" w:type="pct"/>
            <w:tcBorders>
              <w:top w:val="nil"/>
              <w:left w:val="nil"/>
              <w:bottom w:val="single" w:sz="4" w:space="0" w:color="auto"/>
              <w:right w:val="nil"/>
            </w:tcBorders>
            <w:shd w:val="clear" w:color="000000" w:fill="E7E6E6"/>
            <w:vAlign w:val="center"/>
            <w:hideMark/>
          </w:tcPr>
          <w:p w14:paraId="4CE78ED2" w14:textId="77777777" w:rsidR="004E7B7E" w:rsidRPr="008B619A" w:rsidRDefault="004E7B7E" w:rsidP="006400F0">
            <w:pPr>
              <w:widowControl/>
              <w:jc w:val="center"/>
              <w:rPr>
                <w:rFonts w:hAnsi="標楷體" w:cs="Tahoma"/>
                <w:b/>
                <w:bCs/>
                <w:color w:val="000000" w:themeColor="text1"/>
                <w:kern w:val="0"/>
                <w:sz w:val="18"/>
                <w:szCs w:val="22"/>
              </w:rPr>
            </w:pPr>
            <w:r w:rsidRPr="008B619A">
              <w:rPr>
                <w:rFonts w:hAnsi="標楷體" w:cs="Tahoma" w:hint="eastAsia"/>
                <w:b/>
                <w:bCs/>
                <w:color w:val="000000" w:themeColor="text1"/>
                <w:kern w:val="0"/>
                <w:sz w:val="18"/>
                <w:szCs w:val="22"/>
              </w:rPr>
              <w:t>占比</w:t>
            </w:r>
          </w:p>
        </w:tc>
      </w:tr>
      <w:tr w:rsidR="004E7B7E" w:rsidRPr="008B619A" w14:paraId="167794BA" w14:textId="77777777" w:rsidTr="006400F0">
        <w:trPr>
          <w:trHeight w:val="420"/>
        </w:trPr>
        <w:tc>
          <w:tcPr>
            <w:tcW w:w="600" w:type="pct"/>
            <w:tcBorders>
              <w:top w:val="single" w:sz="4" w:space="0" w:color="auto"/>
              <w:left w:val="nil"/>
              <w:bottom w:val="nil"/>
              <w:right w:val="single" w:sz="4" w:space="0" w:color="auto"/>
            </w:tcBorders>
            <w:shd w:val="clear" w:color="auto" w:fill="auto"/>
            <w:noWrap/>
            <w:vAlign w:val="center"/>
            <w:hideMark/>
          </w:tcPr>
          <w:p w14:paraId="578B99AF" w14:textId="77777777" w:rsidR="004E7B7E" w:rsidRPr="008B619A" w:rsidRDefault="004E7B7E" w:rsidP="008055B8">
            <w:pPr>
              <w:widowControl/>
              <w:jc w:val="center"/>
              <w:rPr>
                <w:rFonts w:hAnsi="標楷體" w:cs="Tahoma"/>
                <w:b/>
                <w:bCs/>
                <w:color w:val="000000" w:themeColor="text1"/>
                <w:kern w:val="0"/>
                <w:sz w:val="20"/>
              </w:rPr>
            </w:pPr>
            <w:r w:rsidRPr="008B619A">
              <w:rPr>
                <w:rFonts w:hAnsi="標楷體" w:cs="Tahoma" w:hint="eastAsia"/>
                <w:b/>
                <w:bCs/>
                <w:color w:val="000000" w:themeColor="text1"/>
                <w:kern w:val="0"/>
                <w:sz w:val="20"/>
              </w:rPr>
              <w:t>總計</w:t>
            </w:r>
          </w:p>
        </w:tc>
        <w:tc>
          <w:tcPr>
            <w:tcW w:w="216" w:type="pct"/>
            <w:tcBorders>
              <w:top w:val="nil"/>
              <w:left w:val="nil"/>
              <w:bottom w:val="nil"/>
              <w:right w:val="nil"/>
            </w:tcBorders>
            <w:shd w:val="clear" w:color="auto" w:fill="auto"/>
            <w:noWrap/>
            <w:vAlign w:val="center"/>
            <w:hideMark/>
          </w:tcPr>
          <w:p w14:paraId="2193AA97"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595</w:t>
            </w:r>
          </w:p>
        </w:tc>
        <w:tc>
          <w:tcPr>
            <w:tcW w:w="217" w:type="pct"/>
            <w:tcBorders>
              <w:top w:val="nil"/>
              <w:left w:val="nil"/>
              <w:bottom w:val="nil"/>
              <w:right w:val="nil"/>
            </w:tcBorders>
            <w:shd w:val="clear" w:color="000000" w:fill="E7E6E6"/>
            <w:noWrap/>
            <w:vAlign w:val="center"/>
            <w:hideMark/>
          </w:tcPr>
          <w:p w14:paraId="3904186E"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100.0</w:t>
            </w:r>
          </w:p>
        </w:tc>
        <w:tc>
          <w:tcPr>
            <w:tcW w:w="217" w:type="pct"/>
            <w:tcBorders>
              <w:top w:val="nil"/>
              <w:left w:val="nil"/>
              <w:bottom w:val="nil"/>
              <w:right w:val="nil"/>
            </w:tcBorders>
            <w:shd w:val="clear" w:color="auto" w:fill="auto"/>
            <w:noWrap/>
            <w:vAlign w:val="center"/>
            <w:hideMark/>
          </w:tcPr>
          <w:p w14:paraId="6D2A08ED"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612</w:t>
            </w:r>
          </w:p>
        </w:tc>
        <w:tc>
          <w:tcPr>
            <w:tcW w:w="217" w:type="pct"/>
            <w:tcBorders>
              <w:top w:val="nil"/>
              <w:left w:val="nil"/>
              <w:bottom w:val="nil"/>
              <w:right w:val="nil"/>
            </w:tcBorders>
            <w:shd w:val="clear" w:color="000000" w:fill="E7E6E6"/>
            <w:noWrap/>
            <w:vAlign w:val="center"/>
            <w:hideMark/>
          </w:tcPr>
          <w:p w14:paraId="00A56B8E"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100.0</w:t>
            </w:r>
          </w:p>
        </w:tc>
        <w:tc>
          <w:tcPr>
            <w:tcW w:w="217" w:type="pct"/>
            <w:tcBorders>
              <w:top w:val="nil"/>
              <w:left w:val="nil"/>
              <w:bottom w:val="nil"/>
              <w:right w:val="nil"/>
            </w:tcBorders>
            <w:shd w:val="clear" w:color="auto" w:fill="auto"/>
            <w:noWrap/>
            <w:vAlign w:val="center"/>
            <w:hideMark/>
          </w:tcPr>
          <w:p w14:paraId="651BD903"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621</w:t>
            </w:r>
          </w:p>
        </w:tc>
        <w:tc>
          <w:tcPr>
            <w:tcW w:w="217" w:type="pct"/>
            <w:tcBorders>
              <w:top w:val="nil"/>
              <w:left w:val="nil"/>
              <w:bottom w:val="nil"/>
              <w:right w:val="nil"/>
            </w:tcBorders>
            <w:shd w:val="clear" w:color="000000" w:fill="E7E6E6"/>
            <w:noWrap/>
            <w:vAlign w:val="center"/>
            <w:hideMark/>
          </w:tcPr>
          <w:p w14:paraId="78612B4B"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100.0</w:t>
            </w:r>
          </w:p>
        </w:tc>
        <w:tc>
          <w:tcPr>
            <w:tcW w:w="217" w:type="pct"/>
            <w:tcBorders>
              <w:top w:val="nil"/>
              <w:left w:val="nil"/>
              <w:bottom w:val="nil"/>
              <w:right w:val="nil"/>
            </w:tcBorders>
            <w:shd w:val="clear" w:color="auto" w:fill="auto"/>
            <w:noWrap/>
            <w:vAlign w:val="center"/>
            <w:hideMark/>
          </w:tcPr>
          <w:p w14:paraId="42C6D46E"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703</w:t>
            </w:r>
          </w:p>
        </w:tc>
        <w:tc>
          <w:tcPr>
            <w:tcW w:w="217" w:type="pct"/>
            <w:tcBorders>
              <w:top w:val="nil"/>
              <w:left w:val="nil"/>
              <w:bottom w:val="nil"/>
              <w:right w:val="nil"/>
            </w:tcBorders>
            <w:shd w:val="clear" w:color="000000" w:fill="E7E6E6"/>
            <w:noWrap/>
            <w:vAlign w:val="center"/>
            <w:hideMark/>
          </w:tcPr>
          <w:p w14:paraId="60D06749"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100.0</w:t>
            </w:r>
          </w:p>
        </w:tc>
        <w:tc>
          <w:tcPr>
            <w:tcW w:w="217" w:type="pct"/>
            <w:tcBorders>
              <w:top w:val="nil"/>
              <w:left w:val="nil"/>
              <w:bottom w:val="nil"/>
              <w:right w:val="nil"/>
            </w:tcBorders>
            <w:shd w:val="clear" w:color="auto" w:fill="auto"/>
            <w:noWrap/>
            <w:vAlign w:val="center"/>
            <w:hideMark/>
          </w:tcPr>
          <w:p w14:paraId="361747DE"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684</w:t>
            </w:r>
          </w:p>
        </w:tc>
        <w:tc>
          <w:tcPr>
            <w:tcW w:w="217" w:type="pct"/>
            <w:tcBorders>
              <w:top w:val="nil"/>
              <w:left w:val="nil"/>
              <w:bottom w:val="nil"/>
              <w:right w:val="nil"/>
            </w:tcBorders>
            <w:shd w:val="clear" w:color="000000" w:fill="E7E6E6"/>
            <w:noWrap/>
            <w:vAlign w:val="center"/>
            <w:hideMark/>
          </w:tcPr>
          <w:p w14:paraId="362CDC27"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100.0</w:t>
            </w:r>
          </w:p>
        </w:tc>
        <w:tc>
          <w:tcPr>
            <w:tcW w:w="216" w:type="pct"/>
            <w:tcBorders>
              <w:top w:val="nil"/>
              <w:left w:val="nil"/>
              <w:bottom w:val="nil"/>
              <w:right w:val="nil"/>
            </w:tcBorders>
            <w:shd w:val="clear" w:color="auto" w:fill="auto"/>
            <w:noWrap/>
            <w:vAlign w:val="center"/>
            <w:hideMark/>
          </w:tcPr>
          <w:p w14:paraId="72068919"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722</w:t>
            </w:r>
          </w:p>
        </w:tc>
        <w:tc>
          <w:tcPr>
            <w:tcW w:w="217" w:type="pct"/>
            <w:tcBorders>
              <w:top w:val="nil"/>
              <w:left w:val="nil"/>
              <w:bottom w:val="nil"/>
              <w:right w:val="nil"/>
            </w:tcBorders>
            <w:shd w:val="clear" w:color="000000" w:fill="E7E6E6"/>
            <w:noWrap/>
            <w:vAlign w:val="center"/>
            <w:hideMark/>
          </w:tcPr>
          <w:p w14:paraId="7FC6887A"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100.0</w:t>
            </w:r>
          </w:p>
        </w:tc>
        <w:tc>
          <w:tcPr>
            <w:tcW w:w="217" w:type="pct"/>
            <w:tcBorders>
              <w:top w:val="nil"/>
              <w:left w:val="nil"/>
              <w:bottom w:val="nil"/>
              <w:right w:val="nil"/>
            </w:tcBorders>
            <w:shd w:val="clear" w:color="auto" w:fill="auto"/>
            <w:noWrap/>
            <w:vAlign w:val="center"/>
            <w:hideMark/>
          </w:tcPr>
          <w:p w14:paraId="7E6EAF05"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725</w:t>
            </w:r>
          </w:p>
        </w:tc>
        <w:tc>
          <w:tcPr>
            <w:tcW w:w="217" w:type="pct"/>
            <w:tcBorders>
              <w:top w:val="nil"/>
              <w:left w:val="nil"/>
              <w:bottom w:val="nil"/>
              <w:right w:val="nil"/>
            </w:tcBorders>
            <w:shd w:val="clear" w:color="000000" w:fill="E7E6E6"/>
            <w:noWrap/>
            <w:vAlign w:val="center"/>
            <w:hideMark/>
          </w:tcPr>
          <w:p w14:paraId="773D5903"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100.0</w:t>
            </w:r>
          </w:p>
        </w:tc>
        <w:tc>
          <w:tcPr>
            <w:tcW w:w="217" w:type="pct"/>
            <w:tcBorders>
              <w:top w:val="nil"/>
              <w:left w:val="nil"/>
              <w:bottom w:val="nil"/>
              <w:right w:val="nil"/>
            </w:tcBorders>
            <w:shd w:val="clear" w:color="auto" w:fill="auto"/>
            <w:noWrap/>
            <w:vAlign w:val="center"/>
            <w:hideMark/>
          </w:tcPr>
          <w:p w14:paraId="078CAE39"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722</w:t>
            </w:r>
          </w:p>
        </w:tc>
        <w:tc>
          <w:tcPr>
            <w:tcW w:w="217" w:type="pct"/>
            <w:tcBorders>
              <w:top w:val="nil"/>
              <w:left w:val="nil"/>
              <w:bottom w:val="nil"/>
              <w:right w:val="nil"/>
            </w:tcBorders>
            <w:shd w:val="clear" w:color="000000" w:fill="E7E6E6"/>
            <w:noWrap/>
            <w:vAlign w:val="center"/>
            <w:hideMark/>
          </w:tcPr>
          <w:p w14:paraId="3B046400"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100.0</w:t>
            </w:r>
          </w:p>
        </w:tc>
        <w:tc>
          <w:tcPr>
            <w:tcW w:w="217" w:type="pct"/>
            <w:tcBorders>
              <w:top w:val="nil"/>
              <w:left w:val="nil"/>
              <w:bottom w:val="nil"/>
              <w:right w:val="nil"/>
            </w:tcBorders>
            <w:shd w:val="clear" w:color="auto" w:fill="auto"/>
            <w:noWrap/>
            <w:vAlign w:val="center"/>
            <w:hideMark/>
          </w:tcPr>
          <w:p w14:paraId="327D1CAE"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717</w:t>
            </w:r>
          </w:p>
        </w:tc>
        <w:tc>
          <w:tcPr>
            <w:tcW w:w="217" w:type="pct"/>
            <w:tcBorders>
              <w:top w:val="nil"/>
              <w:left w:val="nil"/>
              <w:bottom w:val="nil"/>
              <w:right w:val="nil"/>
            </w:tcBorders>
            <w:shd w:val="clear" w:color="000000" w:fill="E7E6E6"/>
            <w:noWrap/>
            <w:vAlign w:val="center"/>
            <w:hideMark/>
          </w:tcPr>
          <w:p w14:paraId="04C22066"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100.0</w:t>
            </w:r>
          </w:p>
        </w:tc>
        <w:tc>
          <w:tcPr>
            <w:tcW w:w="217" w:type="pct"/>
            <w:tcBorders>
              <w:top w:val="nil"/>
              <w:left w:val="nil"/>
              <w:bottom w:val="nil"/>
              <w:right w:val="nil"/>
            </w:tcBorders>
            <w:shd w:val="clear" w:color="auto" w:fill="auto"/>
            <w:noWrap/>
            <w:vAlign w:val="center"/>
            <w:hideMark/>
          </w:tcPr>
          <w:p w14:paraId="26618CB9"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741</w:t>
            </w:r>
          </w:p>
        </w:tc>
        <w:tc>
          <w:tcPr>
            <w:tcW w:w="274" w:type="pct"/>
            <w:tcBorders>
              <w:top w:val="nil"/>
              <w:left w:val="nil"/>
              <w:bottom w:val="nil"/>
              <w:right w:val="nil"/>
            </w:tcBorders>
            <w:shd w:val="clear" w:color="000000" w:fill="E7E6E6"/>
            <w:noWrap/>
            <w:vAlign w:val="center"/>
            <w:hideMark/>
          </w:tcPr>
          <w:p w14:paraId="07605A5F" w14:textId="77777777" w:rsidR="004E7B7E" w:rsidRPr="008B619A" w:rsidRDefault="004E7B7E" w:rsidP="003A6C05">
            <w:pPr>
              <w:widowControl/>
              <w:jc w:val="center"/>
              <w:rPr>
                <w:rFonts w:hAnsi="標楷體" w:cs="Tahoma"/>
                <w:color w:val="000000" w:themeColor="text1"/>
                <w:kern w:val="0"/>
                <w:sz w:val="15"/>
                <w:szCs w:val="15"/>
              </w:rPr>
            </w:pPr>
            <w:r w:rsidRPr="008B619A">
              <w:rPr>
                <w:rFonts w:hAnsi="標楷體" w:cs="Tahoma" w:hint="eastAsia"/>
                <w:color w:val="000000" w:themeColor="text1"/>
                <w:kern w:val="0"/>
                <w:sz w:val="15"/>
                <w:szCs w:val="15"/>
              </w:rPr>
              <w:t>100.0</w:t>
            </w:r>
          </w:p>
        </w:tc>
      </w:tr>
      <w:tr w:rsidR="004E7B7E" w:rsidRPr="008B619A" w14:paraId="79895DF9" w14:textId="77777777" w:rsidTr="006400F0">
        <w:trPr>
          <w:trHeight w:val="330"/>
        </w:trPr>
        <w:tc>
          <w:tcPr>
            <w:tcW w:w="600" w:type="pct"/>
            <w:tcBorders>
              <w:top w:val="nil"/>
              <w:left w:val="nil"/>
              <w:bottom w:val="nil"/>
              <w:right w:val="single" w:sz="4" w:space="0" w:color="auto"/>
            </w:tcBorders>
            <w:shd w:val="clear" w:color="auto" w:fill="auto"/>
            <w:noWrap/>
            <w:vAlign w:val="center"/>
            <w:hideMark/>
          </w:tcPr>
          <w:p w14:paraId="04916F7A" w14:textId="77777777" w:rsidR="004E7B7E" w:rsidRPr="008B619A" w:rsidRDefault="004E7B7E" w:rsidP="008055B8">
            <w:pPr>
              <w:widowControl/>
              <w:jc w:val="center"/>
              <w:rPr>
                <w:rFonts w:hAnsi="標楷體" w:cs="Tahoma"/>
                <w:bCs/>
                <w:color w:val="000000" w:themeColor="text1"/>
                <w:kern w:val="0"/>
                <w:sz w:val="20"/>
              </w:rPr>
            </w:pPr>
            <w:r w:rsidRPr="008B619A">
              <w:rPr>
                <w:rFonts w:hAnsi="標楷體" w:cs="Tahoma" w:hint="eastAsia"/>
                <w:bCs/>
                <w:color w:val="000000" w:themeColor="text1"/>
                <w:kern w:val="0"/>
                <w:sz w:val="20"/>
              </w:rPr>
              <w:t>教育</w:t>
            </w:r>
          </w:p>
        </w:tc>
        <w:tc>
          <w:tcPr>
            <w:tcW w:w="216" w:type="pct"/>
            <w:tcBorders>
              <w:top w:val="nil"/>
              <w:left w:val="nil"/>
              <w:bottom w:val="nil"/>
              <w:right w:val="nil"/>
            </w:tcBorders>
            <w:shd w:val="clear" w:color="auto" w:fill="auto"/>
            <w:noWrap/>
            <w:vAlign w:val="center"/>
            <w:hideMark/>
          </w:tcPr>
          <w:p w14:paraId="5A6E4EDF"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w:t>
            </w:r>
          </w:p>
        </w:tc>
        <w:tc>
          <w:tcPr>
            <w:tcW w:w="217" w:type="pct"/>
            <w:tcBorders>
              <w:top w:val="nil"/>
              <w:left w:val="nil"/>
              <w:bottom w:val="nil"/>
              <w:right w:val="nil"/>
            </w:tcBorders>
            <w:shd w:val="clear" w:color="000000" w:fill="E7E6E6"/>
            <w:noWrap/>
            <w:vAlign w:val="center"/>
            <w:hideMark/>
          </w:tcPr>
          <w:p w14:paraId="54D499A7"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w:t>
            </w:r>
          </w:p>
        </w:tc>
        <w:tc>
          <w:tcPr>
            <w:tcW w:w="217" w:type="pct"/>
            <w:tcBorders>
              <w:top w:val="nil"/>
              <w:left w:val="nil"/>
              <w:bottom w:val="nil"/>
              <w:right w:val="nil"/>
            </w:tcBorders>
            <w:shd w:val="clear" w:color="auto" w:fill="auto"/>
            <w:noWrap/>
            <w:vAlign w:val="center"/>
            <w:hideMark/>
          </w:tcPr>
          <w:p w14:paraId="7B1770EF"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2</w:t>
            </w:r>
          </w:p>
        </w:tc>
        <w:tc>
          <w:tcPr>
            <w:tcW w:w="217" w:type="pct"/>
            <w:tcBorders>
              <w:top w:val="nil"/>
              <w:left w:val="nil"/>
              <w:bottom w:val="nil"/>
              <w:right w:val="nil"/>
            </w:tcBorders>
            <w:shd w:val="clear" w:color="000000" w:fill="E7E6E6"/>
            <w:noWrap/>
            <w:vAlign w:val="center"/>
            <w:hideMark/>
          </w:tcPr>
          <w:p w14:paraId="4D5475C9"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0.3</w:t>
            </w:r>
          </w:p>
        </w:tc>
        <w:tc>
          <w:tcPr>
            <w:tcW w:w="217" w:type="pct"/>
            <w:tcBorders>
              <w:top w:val="nil"/>
              <w:left w:val="nil"/>
              <w:bottom w:val="nil"/>
              <w:right w:val="nil"/>
            </w:tcBorders>
            <w:shd w:val="clear" w:color="auto" w:fill="auto"/>
            <w:noWrap/>
            <w:vAlign w:val="center"/>
            <w:hideMark/>
          </w:tcPr>
          <w:p w14:paraId="3C378EB0"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w:t>
            </w:r>
          </w:p>
        </w:tc>
        <w:tc>
          <w:tcPr>
            <w:tcW w:w="217" w:type="pct"/>
            <w:tcBorders>
              <w:top w:val="nil"/>
              <w:left w:val="nil"/>
              <w:bottom w:val="nil"/>
              <w:right w:val="nil"/>
            </w:tcBorders>
            <w:shd w:val="clear" w:color="000000" w:fill="E7E6E6"/>
            <w:noWrap/>
            <w:vAlign w:val="center"/>
            <w:hideMark/>
          </w:tcPr>
          <w:p w14:paraId="3A69DAA4"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w:t>
            </w:r>
          </w:p>
        </w:tc>
        <w:tc>
          <w:tcPr>
            <w:tcW w:w="217" w:type="pct"/>
            <w:tcBorders>
              <w:top w:val="nil"/>
              <w:left w:val="nil"/>
              <w:bottom w:val="nil"/>
              <w:right w:val="nil"/>
            </w:tcBorders>
            <w:shd w:val="clear" w:color="auto" w:fill="auto"/>
            <w:noWrap/>
            <w:vAlign w:val="center"/>
            <w:hideMark/>
          </w:tcPr>
          <w:p w14:paraId="09F5A437"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5</w:t>
            </w:r>
          </w:p>
        </w:tc>
        <w:tc>
          <w:tcPr>
            <w:tcW w:w="217" w:type="pct"/>
            <w:tcBorders>
              <w:top w:val="nil"/>
              <w:left w:val="nil"/>
              <w:bottom w:val="nil"/>
              <w:right w:val="nil"/>
            </w:tcBorders>
            <w:shd w:val="clear" w:color="000000" w:fill="E7E6E6"/>
            <w:noWrap/>
            <w:vAlign w:val="center"/>
            <w:hideMark/>
          </w:tcPr>
          <w:p w14:paraId="2FA99544"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0.7</w:t>
            </w:r>
          </w:p>
        </w:tc>
        <w:tc>
          <w:tcPr>
            <w:tcW w:w="217" w:type="pct"/>
            <w:tcBorders>
              <w:top w:val="nil"/>
              <w:left w:val="nil"/>
              <w:bottom w:val="nil"/>
              <w:right w:val="nil"/>
            </w:tcBorders>
            <w:shd w:val="clear" w:color="auto" w:fill="auto"/>
            <w:noWrap/>
            <w:vAlign w:val="center"/>
            <w:hideMark/>
          </w:tcPr>
          <w:p w14:paraId="17D02FE4"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4</w:t>
            </w:r>
          </w:p>
        </w:tc>
        <w:tc>
          <w:tcPr>
            <w:tcW w:w="217" w:type="pct"/>
            <w:tcBorders>
              <w:top w:val="nil"/>
              <w:left w:val="nil"/>
              <w:bottom w:val="nil"/>
              <w:right w:val="nil"/>
            </w:tcBorders>
            <w:shd w:val="clear" w:color="000000" w:fill="E7E6E6"/>
            <w:noWrap/>
            <w:vAlign w:val="center"/>
            <w:hideMark/>
          </w:tcPr>
          <w:p w14:paraId="28C9FDAB"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0.6</w:t>
            </w:r>
          </w:p>
        </w:tc>
        <w:tc>
          <w:tcPr>
            <w:tcW w:w="216" w:type="pct"/>
            <w:tcBorders>
              <w:top w:val="nil"/>
              <w:left w:val="nil"/>
              <w:bottom w:val="nil"/>
              <w:right w:val="nil"/>
            </w:tcBorders>
            <w:shd w:val="clear" w:color="auto" w:fill="auto"/>
            <w:noWrap/>
            <w:vAlign w:val="center"/>
            <w:hideMark/>
          </w:tcPr>
          <w:p w14:paraId="681559AB"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5</w:t>
            </w:r>
          </w:p>
        </w:tc>
        <w:tc>
          <w:tcPr>
            <w:tcW w:w="217" w:type="pct"/>
            <w:tcBorders>
              <w:top w:val="nil"/>
              <w:left w:val="nil"/>
              <w:bottom w:val="nil"/>
              <w:right w:val="nil"/>
            </w:tcBorders>
            <w:shd w:val="clear" w:color="000000" w:fill="E7E6E6"/>
            <w:noWrap/>
            <w:vAlign w:val="center"/>
            <w:hideMark/>
          </w:tcPr>
          <w:p w14:paraId="161DD914"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0.7</w:t>
            </w:r>
          </w:p>
        </w:tc>
        <w:tc>
          <w:tcPr>
            <w:tcW w:w="217" w:type="pct"/>
            <w:tcBorders>
              <w:top w:val="nil"/>
              <w:left w:val="nil"/>
              <w:bottom w:val="nil"/>
              <w:right w:val="nil"/>
            </w:tcBorders>
            <w:shd w:val="clear" w:color="auto" w:fill="auto"/>
            <w:noWrap/>
            <w:vAlign w:val="center"/>
            <w:hideMark/>
          </w:tcPr>
          <w:p w14:paraId="121D9395"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3</w:t>
            </w:r>
          </w:p>
        </w:tc>
        <w:tc>
          <w:tcPr>
            <w:tcW w:w="217" w:type="pct"/>
            <w:tcBorders>
              <w:top w:val="nil"/>
              <w:left w:val="nil"/>
              <w:bottom w:val="nil"/>
              <w:right w:val="nil"/>
            </w:tcBorders>
            <w:shd w:val="clear" w:color="000000" w:fill="E7E6E6"/>
            <w:noWrap/>
            <w:vAlign w:val="center"/>
            <w:hideMark/>
          </w:tcPr>
          <w:p w14:paraId="13B38144"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0.4</w:t>
            </w:r>
          </w:p>
        </w:tc>
        <w:tc>
          <w:tcPr>
            <w:tcW w:w="217" w:type="pct"/>
            <w:tcBorders>
              <w:top w:val="nil"/>
              <w:left w:val="nil"/>
              <w:bottom w:val="nil"/>
              <w:right w:val="nil"/>
            </w:tcBorders>
            <w:shd w:val="clear" w:color="auto" w:fill="auto"/>
            <w:noWrap/>
            <w:vAlign w:val="center"/>
            <w:hideMark/>
          </w:tcPr>
          <w:p w14:paraId="6872C1C7"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6</w:t>
            </w:r>
          </w:p>
        </w:tc>
        <w:tc>
          <w:tcPr>
            <w:tcW w:w="217" w:type="pct"/>
            <w:tcBorders>
              <w:top w:val="nil"/>
              <w:left w:val="nil"/>
              <w:bottom w:val="nil"/>
              <w:right w:val="nil"/>
            </w:tcBorders>
            <w:shd w:val="clear" w:color="000000" w:fill="E7E6E6"/>
            <w:noWrap/>
            <w:vAlign w:val="center"/>
            <w:hideMark/>
          </w:tcPr>
          <w:p w14:paraId="1580D25A"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0.8</w:t>
            </w:r>
          </w:p>
        </w:tc>
        <w:tc>
          <w:tcPr>
            <w:tcW w:w="217" w:type="pct"/>
            <w:tcBorders>
              <w:top w:val="nil"/>
              <w:left w:val="nil"/>
              <w:bottom w:val="nil"/>
              <w:right w:val="nil"/>
            </w:tcBorders>
            <w:shd w:val="clear" w:color="auto" w:fill="auto"/>
            <w:noWrap/>
            <w:vAlign w:val="center"/>
            <w:hideMark/>
          </w:tcPr>
          <w:p w14:paraId="0A127F1F"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6</w:t>
            </w:r>
          </w:p>
        </w:tc>
        <w:tc>
          <w:tcPr>
            <w:tcW w:w="217" w:type="pct"/>
            <w:tcBorders>
              <w:top w:val="nil"/>
              <w:left w:val="nil"/>
              <w:bottom w:val="nil"/>
              <w:right w:val="nil"/>
            </w:tcBorders>
            <w:shd w:val="clear" w:color="000000" w:fill="E7E6E6"/>
            <w:noWrap/>
            <w:vAlign w:val="center"/>
            <w:hideMark/>
          </w:tcPr>
          <w:p w14:paraId="02A37320"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0.8</w:t>
            </w:r>
          </w:p>
        </w:tc>
        <w:tc>
          <w:tcPr>
            <w:tcW w:w="217" w:type="pct"/>
            <w:tcBorders>
              <w:top w:val="nil"/>
              <w:left w:val="nil"/>
              <w:bottom w:val="nil"/>
              <w:right w:val="nil"/>
            </w:tcBorders>
            <w:shd w:val="clear" w:color="auto" w:fill="auto"/>
            <w:noWrap/>
            <w:vAlign w:val="center"/>
            <w:hideMark/>
          </w:tcPr>
          <w:p w14:paraId="53844234"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9</w:t>
            </w:r>
          </w:p>
        </w:tc>
        <w:tc>
          <w:tcPr>
            <w:tcW w:w="274" w:type="pct"/>
            <w:tcBorders>
              <w:top w:val="nil"/>
              <w:left w:val="nil"/>
              <w:bottom w:val="nil"/>
              <w:right w:val="nil"/>
            </w:tcBorders>
            <w:shd w:val="clear" w:color="000000" w:fill="E7E6E6"/>
            <w:noWrap/>
            <w:vAlign w:val="center"/>
            <w:hideMark/>
          </w:tcPr>
          <w:p w14:paraId="13ECABD9" w14:textId="77777777" w:rsidR="004E7B7E" w:rsidRPr="008B619A" w:rsidRDefault="004E7B7E" w:rsidP="003A6C05">
            <w:pPr>
              <w:widowControl/>
              <w:jc w:val="center"/>
              <w:rPr>
                <w:rFonts w:hAnsi="標楷體" w:cs="Tahoma"/>
                <w:color w:val="000000" w:themeColor="text1"/>
                <w:kern w:val="0"/>
                <w:sz w:val="15"/>
                <w:szCs w:val="15"/>
              </w:rPr>
            </w:pPr>
            <w:r w:rsidRPr="008B619A">
              <w:rPr>
                <w:rFonts w:hAnsi="標楷體" w:cs="Tahoma" w:hint="eastAsia"/>
                <w:color w:val="000000" w:themeColor="text1"/>
                <w:kern w:val="0"/>
                <w:sz w:val="15"/>
                <w:szCs w:val="15"/>
              </w:rPr>
              <w:t>1.2</w:t>
            </w:r>
          </w:p>
        </w:tc>
      </w:tr>
      <w:tr w:rsidR="004E7B7E" w:rsidRPr="008B619A" w14:paraId="57AF3A2D" w14:textId="77777777" w:rsidTr="006400F0">
        <w:trPr>
          <w:trHeight w:val="330"/>
        </w:trPr>
        <w:tc>
          <w:tcPr>
            <w:tcW w:w="600" w:type="pct"/>
            <w:tcBorders>
              <w:top w:val="nil"/>
              <w:left w:val="nil"/>
              <w:bottom w:val="nil"/>
              <w:right w:val="single" w:sz="4" w:space="0" w:color="auto"/>
            </w:tcBorders>
            <w:shd w:val="clear" w:color="auto" w:fill="auto"/>
            <w:noWrap/>
            <w:vAlign w:val="center"/>
            <w:hideMark/>
          </w:tcPr>
          <w:p w14:paraId="25E717DD" w14:textId="77777777" w:rsidR="004E7B7E" w:rsidRPr="008B619A" w:rsidRDefault="004E7B7E" w:rsidP="008055B8">
            <w:pPr>
              <w:widowControl/>
              <w:jc w:val="center"/>
              <w:rPr>
                <w:rFonts w:hAnsi="標楷體" w:cs="Tahoma"/>
                <w:bCs/>
                <w:color w:val="000000" w:themeColor="text1"/>
                <w:kern w:val="0"/>
                <w:sz w:val="20"/>
              </w:rPr>
            </w:pPr>
            <w:r w:rsidRPr="008B619A">
              <w:rPr>
                <w:rFonts w:hAnsi="標楷體" w:cs="Tahoma" w:hint="eastAsia"/>
                <w:bCs/>
                <w:color w:val="000000" w:themeColor="text1"/>
                <w:kern w:val="0"/>
                <w:sz w:val="20"/>
              </w:rPr>
              <w:t>藝術</w:t>
            </w:r>
          </w:p>
        </w:tc>
        <w:tc>
          <w:tcPr>
            <w:tcW w:w="216" w:type="pct"/>
            <w:tcBorders>
              <w:top w:val="nil"/>
              <w:left w:val="nil"/>
              <w:bottom w:val="nil"/>
              <w:right w:val="nil"/>
            </w:tcBorders>
            <w:shd w:val="clear" w:color="auto" w:fill="auto"/>
            <w:noWrap/>
            <w:vAlign w:val="center"/>
            <w:hideMark/>
          </w:tcPr>
          <w:p w14:paraId="2D8B3D3F"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2</w:t>
            </w:r>
          </w:p>
        </w:tc>
        <w:tc>
          <w:tcPr>
            <w:tcW w:w="217" w:type="pct"/>
            <w:tcBorders>
              <w:top w:val="nil"/>
              <w:left w:val="nil"/>
              <w:bottom w:val="nil"/>
              <w:right w:val="nil"/>
            </w:tcBorders>
            <w:shd w:val="clear" w:color="000000" w:fill="E7E6E6"/>
            <w:noWrap/>
            <w:vAlign w:val="center"/>
            <w:hideMark/>
          </w:tcPr>
          <w:p w14:paraId="51B96A0F"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0.3</w:t>
            </w:r>
          </w:p>
        </w:tc>
        <w:tc>
          <w:tcPr>
            <w:tcW w:w="217" w:type="pct"/>
            <w:tcBorders>
              <w:top w:val="nil"/>
              <w:left w:val="nil"/>
              <w:bottom w:val="nil"/>
              <w:right w:val="nil"/>
            </w:tcBorders>
            <w:shd w:val="clear" w:color="auto" w:fill="auto"/>
            <w:noWrap/>
            <w:vAlign w:val="center"/>
            <w:hideMark/>
          </w:tcPr>
          <w:p w14:paraId="5126A8ED"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7</w:t>
            </w:r>
          </w:p>
        </w:tc>
        <w:tc>
          <w:tcPr>
            <w:tcW w:w="217" w:type="pct"/>
            <w:tcBorders>
              <w:top w:val="nil"/>
              <w:left w:val="nil"/>
              <w:bottom w:val="nil"/>
              <w:right w:val="nil"/>
            </w:tcBorders>
            <w:shd w:val="clear" w:color="000000" w:fill="E7E6E6"/>
            <w:noWrap/>
            <w:vAlign w:val="center"/>
            <w:hideMark/>
          </w:tcPr>
          <w:p w14:paraId="532B6004"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1.1</w:t>
            </w:r>
          </w:p>
        </w:tc>
        <w:tc>
          <w:tcPr>
            <w:tcW w:w="217" w:type="pct"/>
            <w:tcBorders>
              <w:top w:val="nil"/>
              <w:left w:val="nil"/>
              <w:bottom w:val="nil"/>
              <w:right w:val="nil"/>
            </w:tcBorders>
            <w:shd w:val="clear" w:color="auto" w:fill="auto"/>
            <w:noWrap/>
            <w:vAlign w:val="center"/>
            <w:hideMark/>
          </w:tcPr>
          <w:p w14:paraId="420F6414"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2</w:t>
            </w:r>
          </w:p>
        </w:tc>
        <w:tc>
          <w:tcPr>
            <w:tcW w:w="217" w:type="pct"/>
            <w:tcBorders>
              <w:top w:val="nil"/>
              <w:left w:val="nil"/>
              <w:bottom w:val="nil"/>
              <w:right w:val="nil"/>
            </w:tcBorders>
            <w:shd w:val="clear" w:color="000000" w:fill="E7E6E6"/>
            <w:noWrap/>
            <w:vAlign w:val="center"/>
            <w:hideMark/>
          </w:tcPr>
          <w:p w14:paraId="637F18F2"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0.3</w:t>
            </w:r>
          </w:p>
        </w:tc>
        <w:tc>
          <w:tcPr>
            <w:tcW w:w="217" w:type="pct"/>
            <w:tcBorders>
              <w:top w:val="nil"/>
              <w:left w:val="nil"/>
              <w:bottom w:val="nil"/>
              <w:right w:val="nil"/>
            </w:tcBorders>
            <w:shd w:val="clear" w:color="auto" w:fill="auto"/>
            <w:noWrap/>
            <w:vAlign w:val="center"/>
            <w:hideMark/>
          </w:tcPr>
          <w:p w14:paraId="1DECF946"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9</w:t>
            </w:r>
          </w:p>
        </w:tc>
        <w:tc>
          <w:tcPr>
            <w:tcW w:w="217" w:type="pct"/>
            <w:tcBorders>
              <w:top w:val="nil"/>
              <w:left w:val="nil"/>
              <w:bottom w:val="nil"/>
              <w:right w:val="nil"/>
            </w:tcBorders>
            <w:shd w:val="clear" w:color="000000" w:fill="E7E6E6"/>
            <w:noWrap/>
            <w:vAlign w:val="center"/>
            <w:hideMark/>
          </w:tcPr>
          <w:p w14:paraId="2723A17D"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1.3</w:t>
            </w:r>
          </w:p>
        </w:tc>
        <w:tc>
          <w:tcPr>
            <w:tcW w:w="217" w:type="pct"/>
            <w:tcBorders>
              <w:top w:val="nil"/>
              <w:left w:val="nil"/>
              <w:bottom w:val="nil"/>
              <w:right w:val="nil"/>
            </w:tcBorders>
            <w:shd w:val="clear" w:color="auto" w:fill="auto"/>
            <w:noWrap/>
            <w:vAlign w:val="center"/>
            <w:hideMark/>
          </w:tcPr>
          <w:p w14:paraId="1CF6EE96"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11</w:t>
            </w:r>
          </w:p>
        </w:tc>
        <w:tc>
          <w:tcPr>
            <w:tcW w:w="217" w:type="pct"/>
            <w:tcBorders>
              <w:top w:val="nil"/>
              <w:left w:val="nil"/>
              <w:bottom w:val="nil"/>
              <w:right w:val="nil"/>
            </w:tcBorders>
            <w:shd w:val="clear" w:color="000000" w:fill="E7E6E6"/>
            <w:noWrap/>
            <w:vAlign w:val="center"/>
            <w:hideMark/>
          </w:tcPr>
          <w:p w14:paraId="482BB07B"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1.6</w:t>
            </w:r>
          </w:p>
        </w:tc>
        <w:tc>
          <w:tcPr>
            <w:tcW w:w="216" w:type="pct"/>
            <w:tcBorders>
              <w:top w:val="nil"/>
              <w:left w:val="nil"/>
              <w:bottom w:val="nil"/>
              <w:right w:val="nil"/>
            </w:tcBorders>
            <w:shd w:val="clear" w:color="auto" w:fill="auto"/>
            <w:noWrap/>
            <w:vAlign w:val="center"/>
            <w:hideMark/>
          </w:tcPr>
          <w:p w14:paraId="4F1E3D2B"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10</w:t>
            </w:r>
          </w:p>
        </w:tc>
        <w:tc>
          <w:tcPr>
            <w:tcW w:w="217" w:type="pct"/>
            <w:tcBorders>
              <w:top w:val="nil"/>
              <w:left w:val="nil"/>
              <w:bottom w:val="nil"/>
              <w:right w:val="nil"/>
            </w:tcBorders>
            <w:shd w:val="clear" w:color="000000" w:fill="E7E6E6"/>
            <w:noWrap/>
            <w:vAlign w:val="center"/>
            <w:hideMark/>
          </w:tcPr>
          <w:p w14:paraId="561D7655"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1.4</w:t>
            </w:r>
          </w:p>
        </w:tc>
        <w:tc>
          <w:tcPr>
            <w:tcW w:w="217" w:type="pct"/>
            <w:tcBorders>
              <w:top w:val="nil"/>
              <w:left w:val="nil"/>
              <w:bottom w:val="nil"/>
              <w:right w:val="nil"/>
            </w:tcBorders>
            <w:shd w:val="clear" w:color="auto" w:fill="auto"/>
            <w:noWrap/>
            <w:vAlign w:val="center"/>
            <w:hideMark/>
          </w:tcPr>
          <w:p w14:paraId="4351814E"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11</w:t>
            </w:r>
          </w:p>
        </w:tc>
        <w:tc>
          <w:tcPr>
            <w:tcW w:w="217" w:type="pct"/>
            <w:tcBorders>
              <w:top w:val="nil"/>
              <w:left w:val="nil"/>
              <w:bottom w:val="nil"/>
              <w:right w:val="nil"/>
            </w:tcBorders>
            <w:shd w:val="clear" w:color="000000" w:fill="E7E6E6"/>
            <w:noWrap/>
            <w:vAlign w:val="center"/>
            <w:hideMark/>
          </w:tcPr>
          <w:p w14:paraId="28DA72CA"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1.5</w:t>
            </w:r>
          </w:p>
        </w:tc>
        <w:tc>
          <w:tcPr>
            <w:tcW w:w="217" w:type="pct"/>
            <w:tcBorders>
              <w:top w:val="nil"/>
              <w:left w:val="nil"/>
              <w:bottom w:val="nil"/>
              <w:right w:val="nil"/>
            </w:tcBorders>
            <w:shd w:val="clear" w:color="auto" w:fill="auto"/>
            <w:noWrap/>
            <w:vAlign w:val="center"/>
            <w:hideMark/>
          </w:tcPr>
          <w:p w14:paraId="5F7286F9"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17</w:t>
            </w:r>
          </w:p>
        </w:tc>
        <w:tc>
          <w:tcPr>
            <w:tcW w:w="217" w:type="pct"/>
            <w:tcBorders>
              <w:top w:val="nil"/>
              <w:left w:val="nil"/>
              <w:bottom w:val="nil"/>
              <w:right w:val="nil"/>
            </w:tcBorders>
            <w:shd w:val="clear" w:color="000000" w:fill="E7E6E6"/>
            <w:noWrap/>
            <w:vAlign w:val="center"/>
            <w:hideMark/>
          </w:tcPr>
          <w:p w14:paraId="47B0E542"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2.4</w:t>
            </w:r>
          </w:p>
        </w:tc>
        <w:tc>
          <w:tcPr>
            <w:tcW w:w="217" w:type="pct"/>
            <w:tcBorders>
              <w:top w:val="nil"/>
              <w:left w:val="nil"/>
              <w:bottom w:val="nil"/>
              <w:right w:val="nil"/>
            </w:tcBorders>
            <w:shd w:val="clear" w:color="auto" w:fill="auto"/>
            <w:noWrap/>
            <w:vAlign w:val="center"/>
            <w:hideMark/>
          </w:tcPr>
          <w:p w14:paraId="6857F6E8"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13</w:t>
            </w:r>
          </w:p>
        </w:tc>
        <w:tc>
          <w:tcPr>
            <w:tcW w:w="217" w:type="pct"/>
            <w:tcBorders>
              <w:top w:val="nil"/>
              <w:left w:val="nil"/>
              <w:bottom w:val="nil"/>
              <w:right w:val="nil"/>
            </w:tcBorders>
            <w:shd w:val="clear" w:color="000000" w:fill="E7E6E6"/>
            <w:noWrap/>
            <w:vAlign w:val="center"/>
            <w:hideMark/>
          </w:tcPr>
          <w:p w14:paraId="11A80BA2"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1.8</w:t>
            </w:r>
          </w:p>
        </w:tc>
        <w:tc>
          <w:tcPr>
            <w:tcW w:w="217" w:type="pct"/>
            <w:tcBorders>
              <w:top w:val="nil"/>
              <w:left w:val="nil"/>
              <w:bottom w:val="nil"/>
              <w:right w:val="nil"/>
            </w:tcBorders>
            <w:shd w:val="clear" w:color="auto" w:fill="auto"/>
            <w:noWrap/>
            <w:vAlign w:val="center"/>
            <w:hideMark/>
          </w:tcPr>
          <w:p w14:paraId="76D30829"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24</w:t>
            </w:r>
          </w:p>
        </w:tc>
        <w:tc>
          <w:tcPr>
            <w:tcW w:w="274" w:type="pct"/>
            <w:tcBorders>
              <w:top w:val="nil"/>
              <w:left w:val="nil"/>
              <w:bottom w:val="nil"/>
              <w:right w:val="nil"/>
            </w:tcBorders>
            <w:shd w:val="clear" w:color="000000" w:fill="E7E6E6"/>
            <w:noWrap/>
            <w:vAlign w:val="center"/>
            <w:hideMark/>
          </w:tcPr>
          <w:p w14:paraId="18ED0395" w14:textId="77777777" w:rsidR="004E7B7E" w:rsidRPr="008B619A" w:rsidRDefault="004E7B7E" w:rsidP="003A6C05">
            <w:pPr>
              <w:widowControl/>
              <w:jc w:val="center"/>
              <w:rPr>
                <w:rFonts w:hAnsi="標楷體" w:cs="Tahoma"/>
                <w:color w:val="000000" w:themeColor="text1"/>
                <w:kern w:val="0"/>
                <w:sz w:val="15"/>
                <w:szCs w:val="15"/>
              </w:rPr>
            </w:pPr>
            <w:r w:rsidRPr="008B619A">
              <w:rPr>
                <w:rFonts w:hAnsi="標楷體" w:cs="Tahoma" w:hint="eastAsia"/>
                <w:color w:val="000000" w:themeColor="text1"/>
                <w:kern w:val="0"/>
                <w:sz w:val="15"/>
                <w:szCs w:val="15"/>
              </w:rPr>
              <w:t>3.2</w:t>
            </w:r>
          </w:p>
        </w:tc>
      </w:tr>
      <w:tr w:rsidR="004E7B7E" w:rsidRPr="008B619A" w14:paraId="1F97670A" w14:textId="77777777" w:rsidTr="006400F0">
        <w:trPr>
          <w:trHeight w:val="330"/>
        </w:trPr>
        <w:tc>
          <w:tcPr>
            <w:tcW w:w="600" w:type="pct"/>
            <w:tcBorders>
              <w:top w:val="nil"/>
              <w:left w:val="nil"/>
              <w:bottom w:val="nil"/>
              <w:right w:val="single" w:sz="4" w:space="0" w:color="auto"/>
            </w:tcBorders>
            <w:shd w:val="clear" w:color="auto" w:fill="auto"/>
            <w:noWrap/>
            <w:vAlign w:val="center"/>
            <w:hideMark/>
          </w:tcPr>
          <w:p w14:paraId="7857C263" w14:textId="77777777" w:rsidR="004E7B7E" w:rsidRPr="008B619A" w:rsidRDefault="004E7B7E" w:rsidP="008055B8">
            <w:pPr>
              <w:widowControl/>
              <w:jc w:val="center"/>
              <w:rPr>
                <w:rFonts w:hAnsi="標楷體" w:cs="Tahoma"/>
                <w:bCs/>
                <w:color w:val="000000" w:themeColor="text1"/>
                <w:kern w:val="0"/>
                <w:sz w:val="20"/>
              </w:rPr>
            </w:pPr>
            <w:r w:rsidRPr="008B619A">
              <w:rPr>
                <w:rFonts w:hAnsi="標楷體" w:cs="Tahoma" w:hint="eastAsia"/>
                <w:bCs/>
                <w:color w:val="000000" w:themeColor="text1"/>
                <w:kern w:val="0"/>
                <w:sz w:val="20"/>
              </w:rPr>
              <w:t>人文</w:t>
            </w:r>
          </w:p>
        </w:tc>
        <w:tc>
          <w:tcPr>
            <w:tcW w:w="216" w:type="pct"/>
            <w:tcBorders>
              <w:top w:val="nil"/>
              <w:left w:val="nil"/>
              <w:bottom w:val="nil"/>
              <w:right w:val="nil"/>
            </w:tcBorders>
            <w:shd w:val="clear" w:color="auto" w:fill="auto"/>
            <w:noWrap/>
            <w:vAlign w:val="center"/>
            <w:hideMark/>
          </w:tcPr>
          <w:p w14:paraId="59C93B56"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12</w:t>
            </w:r>
          </w:p>
        </w:tc>
        <w:tc>
          <w:tcPr>
            <w:tcW w:w="217" w:type="pct"/>
            <w:tcBorders>
              <w:top w:val="nil"/>
              <w:left w:val="nil"/>
              <w:bottom w:val="nil"/>
              <w:right w:val="nil"/>
            </w:tcBorders>
            <w:shd w:val="clear" w:color="000000" w:fill="E7E6E6"/>
            <w:noWrap/>
            <w:vAlign w:val="center"/>
            <w:hideMark/>
          </w:tcPr>
          <w:p w14:paraId="17F63753"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2.0</w:t>
            </w:r>
          </w:p>
        </w:tc>
        <w:tc>
          <w:tcPr>
            <w:tcW w:w="217" w:type="pct"/>
            <w:tcBorders>
              <w:top w:val="nil"/>
              <w:left w:val="nil"/>
              <w:bottom w:val="nil"/>
              <w:right w:val="nil"/>
            </w:tcBorders>
            <w:shd w:val="clear" w:color="auto" w:fill="auto"/>
            <w:noWrap/>
            <w:vAlign w:val="center"/>
            <w:hideMark/>
          </w:tcPr>
          <w:p w14:paraId="5BB51FE7"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26</w:t>
            </w:r>
          </w:p>
        </w:tc>
        <w:tc>
          <w:tcPr>
            <w:tcW w:w="217" w:type="pct"/>
            <w:tcBorders>
              <w:top w:val="nil"/>
              <w:left w:val="nil"/>
              <w:bottom w:val="nil"/>
              <w:right w:val="nil"/>
            </w:tcBorders>
            <w:shd w:val="clear" w:color="000000" w:fill="E7E6E6"/>
            <w:noWrap/>
            <w:vAlign w:val="center"/>
            <w:hideMark/>
          </w:tcPr>
          <w:p w14:paraId="4E95B5F6"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4.2</w:t>
            </w:r>
          </w:p>
        </w:tc>
        <w:tc>
          <w:tcPr>
            <w:tcW w:w="217" w:type="pct"/>
            <w:tcBorders>
              <w:top w:val="nil"/>
              <w:left w:val="nil"/>
              <w:bottom w:val="nil"/>
              <w:right w:val="nil"/>
            </w:tcBorders>
            <w:shd w:val="clear" w:color="auto" w:fill="auto"/>
            <w:noWrap/>
            <w:vAlign w:val="center"/>
            <w:hideMark/>
          </w:tcPr>
          <w:p w14:paraId="60727E6C"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22</w:t>
            </w:r>
          </w:p>
        </w:tc>
        <w:tc>
          <w:tcPr>
            <w:tcW w:w="217" w:type="pct"/>
            <w:tcBorders>
              <w:top w:val="nil"/>
              <w:left w:val="nil"/>
              <w:bottom w:val="nil"/>
              <w:right w:val="nil"/>
            </w:tcBorders>
            <w:shd w:val="clear" w:color="000000" w:fill="E7E6E6"/>
            <w:noWrap/>
            <w:vAlign w:val="center"/>
            <w:hideMark/>
          </w:tcPr>
          <w:p w14:paraId="2368F032"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3.5</w:t>
            </w:r>
          </w:p>
        </w:tc>
        <w:tc>
          <w:tcPr>
            <w:tcW w:w="217" w:type="pct"/>
            <w:tcBorders>
              <w:top w:val="nil"/>
              <w:left w:val="nil"/>
              <w:bottom w:val="nil"/>
              <w:right w:val="nil"/>
            </w:tcBorders>
            <w:shd w:val="clear" w:color="auto" w:fill="auto"/>
            <w:noWrap/>
            <w:vAlign w:val="center"/>
            <w:hideMark/>
          </w:tcPr>
          <w:p w14:paraId="0BD3646A"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26</w:t>
            </w:r>
          </w:p>
        </w:tc>
        <w:tc>
          <w:tcPr>
            <w:tcW w:w="217" w:type="pct"/>
            <w:tcBorders>
              <w:top w:val="nil"/>
              <w:left w:val="nil"/>
              <w:bottom w:val="nil"/>
              <w:right w:val="nil"/>
            </w:tcBorders>
            <w:shd w:val="clear" w:color="000000" w:fill="E7E6E6"/>
            <w:noWrap/>
            <w:vAlign w:val="center"/>
            <w:hideMark/>
          </w:tcPr>
          <w:p w14:paraId="47BFFD77"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3.7</w:t>
            </w:r>
          </w:p>
        </w:tc>
        <w:tc>
          <w:tcPr>
            <w:tcW w:w="217" w:type="pct"/>
            <w:tcBorders>
              <w:top w:val="nil"/>
              <w:left w:val="nil"/>
              <w:bottom w:val="nil"/>
              <w:right w:val="nil"/>
            </w:tcBorders>
            <w:shd w:val="clear" w:color="auto" w:fill="auto"/>
            <w:noWrap/>
            <w:vAlign w:val="center"/>
            <w:hideMark/>
          </w:tcPr>
          <w:p w14:paraId="2B6B9898"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24</w:t>
            </w:r>
          </w:p>
        </w:tc>
        <w:tc>
          <w:tcPr>
            <w:tcW w:w="217" w:type="pct"/>
            <w:tcBorders>
              <w:top w:val="nil"/>
              <w:left w:val="nil"/>
              <w:bottom w:val="nil"/>
              <w:right w:val="nil"/>
            </w:tcBorders>
            <w:shd w:val="clear" w:color="000000" w:fill="E7E6E6"/>
            <w:noWrap/>
            <w:vAlign w:val="center"/>
            <w:hideMark/>
          </w:tcPr>
          <w:p w14:paraId="59C9DB4E"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3.5</w:t>
            </w:r>
          </w:p>
        </w:tc>
        <w:tc>
          <w:tcPr>
            <w:tcW w:w="216" w:type="pct"/>
            <w:tcBorders>
              <w:top w:val="nil"/>
              <w:left w:val="nil"/>
              <w:bottom w:val="nil"/>
              <w:right w:val="nil"/>
            </w:tcBorders>
            <w:shd w:val="clear" w:color="auto" w:fill="auto"/>
            <w:noWrap/>
            <w:vAlign w:val="center"/>
            <w:hideMark/>
          </w:tcPr>
          <w:p w14:paraId="2FEF223E"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26</w:t>
            </w:r>
          </w:p>
        </w:tc>
        <w:tc>
          <w:tcPr>
            <w:tcW w:w="217" w:type="pct"/>
            <w:tcBorders>
              <w:top w:val="nil"/>
              <w:left w:val="nil"/>
              <w:bottom w:val="nil"/>
              <w:right w:val="nil"/>
            </w:tcBorders>
            <w:shd w:val="clear" w:color="000000" w:fill="E7E6E6"/>
            <w:noWrap/>
            <w:vAlign w:val="center"/>
            <w:hideMark/>
          </w:tcPr>
          <w:p w14:paraId="04017560"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3.6</w:t>
            </w:r>
          </w:p>
        </w:tc>
        <w:tc>
          <w:tcPr>
            <w:tcW w:w="217" w:type="pct"/>
            <w:tcBorders>
              <w:top w:val="nil"/>
              <w:left w:val="nil"/>
              <w:bottom w:val="nil"/>
              <w:right w:val="nil"/>
            </w:tcBorders>
            <w:shd w:val="clear" w:color="auto" w:fill="auto"/>
            <w:noWrap/>
            <w:vAlign w:val="center"/>
            <w:hideMark/>
          </w:tcPr>
          <w:p w14:paraId="470096FA"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23</w:t>
            </w:r>
          </w:p>
        </w:tc>
        <w:tc>
          <w:tcPr>
            <w:tcW w:w="217" w:type="pct"/>
            <w:tcBorders>
              <w:top w:val="nil"/>
              <w:left w:val="nil"/>
              <w:bottom w:val="nil"/>
              <w:right w:val="nil"/>
            </w:tcBorders>
            <w:shd w:val="clear" w:color="000000" w:fill="E7E6E6"/>
            <w:noWrap/>
            <w:vAlign w:val="center"/>
            <w:hideMark/>
          </w:tcPr>
          <w:p w14:paraId="7CACCA03"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3.2</w:t>
            </w:r>
          </w:p>
        </w:tc>
        <w:tc>
          <w:tcPr>
            <w:tcW w:w="217" w:type="pct"/>
            <w:tcBorders>
              <w:top w:val="nil"/>
              <w:left w:val="nil"/>
              <w:bottom w:val="nil"/>
              <w:right w:val="nil"/>
            </w:tcBorders>
            <w:shd w:val="clear" w:color="auto" w:fill="auto"/>
            <w:noWrap/>
            <w:vAlign w:val="center"/>
            <w:hideMark/>
          </w:tcPr>
          <w:p w14:paraId="0BCEC317"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24</w:t>
            </w:r>
          </w:p>
        </w:tc>
        <w:tc>
          <w:tcPr>
            <w:tcW w:w="217" w:type="pct"/>
            <w:tcBorders>
              <w:top w:val="nil"/>
              <w:left w:val="nil"/>
              <w:bottom w:val="nil"/>
              <w:right w:val="nil"/>
            </w:tcBorders>
            <w:shd w:val="clear" w:color="000000" w:fill="E7E6E6"/>
            <w:noWrap/>
            <w:vAlign w:val="center"/>
            <w:hideMark/>
          </w:tcPr>
          <w:p w14:paraId="161EEF59"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3.3</w:t>
            </w:r>
          </w:p>
        </w:tc>
        <w:tc>
          <w:tcPr>
            <w:tcW w:w="217" w:type="pct"/>
            <w:tcBorders>
              <w:top w:val="nil"/>
              <w:left w:val="nil"/>
              <w:bottom w:val="nil"/>
              <w:right w:val="nil"/>
            </w:tcBorders>
            <w:shd w:val="clear" w:color="auto" w:fill="auto"/>
            <w:noWrap/>
            <w:vAlign w:val="center"/>
            <w:hideMark/>
          </w:tcPr>
          <w:p w14:paraId="3BD0E054"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18</w:t>
            </w:r>
          </w:p>
        </w:tc>
        <w:tc>
          <w:tcPr>
            <w:tcW w:w="217" w:type="pct"/>
            <w:tcBorders>
              <w:top w:val="nil"/>
              <w:left w:val="nil"/>
              <w:bottom w:val="nil"/>
              <w:right w:val="nil"/>
            </w:tcBorders>
            <w:shd w:val="clear" w:color="000000" w:fill="E7E6E6"/>
            <w:noWrap/>
            <w:vAlign w:val="center"/>
            <w:hideMark/>
          </w:tcPr>
          <w:p w14:paraId="573ADCCB"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2.5</w:t>
            </w:r>
          </w:p>
        </w:tc>
        <w:tc>
          <w:tcPr>
            <w:tcW w:w="217" w:type="pct"/>
            <w:tcBorders>
              <w:top w:val="nil"/>
              <w:left w:val="nil"/>
              <w:bottom w:val="nil"/>
              <w:right w:val="nil"/>
            </w:tcBorders>
            <w:shd w:val="clear" w:color="auto" w:fill="auto"/>
            <w:noWrap/>
            <w:vAlign w:val="center"/>
            <w:hideMark/>
          </w:tcPr>
          <w:p w14:paraId="08352F44"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28</w:t>
            </w:r>
          </w:p>
        </w:tc>
        <w:tc>
          <w:tcPr>
            <w:tcW w:w="274" w:type="pct"/>
            <w:tcBorders>
              <w:top w:val="nil"/>
              <w:left w:val="nil"/>
              <w:bottom w:val="nil"/>
              <w:right w:val="nil"/>
            </w:tcBorders>
            <w:shd w:val="clear" w:color="000000" w:fill="E7E6E6"/>
            <w:noWrap/>
            <w:vAlign w:val="center"/>
            <w:hideMark/>
          </w:tcPr>
          <w:p w14:paraId="7B62FD2B" w14:textId="77777777" w:rsidR="004E7B7E" w:rsidRPr="008B619A" w:rsidRDefault="004E7B7E" w:rsidP="003A6C05">
            <w:pPr>
              <w:widowControl/>
              <w:jc w:val="center"/>
              <w:rPr>
                <w:rFonts w:hAnsi="標楷體" w:cs="Tahoma"/>
                <w:color w:val="000000" w:themeColor="text1"/>
                <w:kern w:val="0"/>
                <w:sz w:val="15"/>
                <w:szCs w:val="15"/>
              </w:rPr>
            </w:pPr>
            <w:r w:rsidRPr="008B619A">
              <w:rPr>
                <w:rFonts w:hAnsi="標楷體" w:cs="Tahoma" w:hint="eastAsia"/>
                <w:color w:val="000000" w:themeColor="text1"/>
                <w:kern w:val="0"/>
                <w:sz w:val="15"/>
                <w:szCs w:val="15"/>
              </w:rPr>
              <w:t>3.8</w:t>
            </w:r>
          </w:p>
        </w:tc>
      </w:tr>
      <w:tr w:rsidR="004E7B7E" w:rsidRPr="008B619A" w14:paraId="684A6437" w14:textId="77777777" w:rsidTr="006400F0">
        <w:trPr>
          <w:trHeight w:val="330"/>
        </w:trPr>
        <w:tc>
          <w:tcPr>
            <w:tcW w:w="600" w:type="pct"/>
            <w:tcBorders>
              <w:top w:val="nil"/>
              <w:left w:val="nil"/>
              <w:bottom w:val="nil"/>
              <w:right w:val="single" w:sz="4" w:space="0" w:color="auto"/>
            </w:tcBorders>
            <w:shd w:val="clear" w:color="auto" w:fill="auto"/>
            <w:noWrap/>
            <w:vAlign w:val="center"/>
            <w:hideMark/>
          </w:tcPr>
          <w:p w14:paraId="0E58AD66" w14:textId="77777777" w:rsidR="004E7B7E" w:rsidRPr="008B619A" w:rsidRDefault="004E7B7E" w:rsidP="008055B8">
            <w:pPr>
              <w:widowControl/>
              <w:jc w:val="center"/>
              <w:rPr>
                <w:rFonts w:hAnsi="標楷體" w:cs="Tahoma"/>
                <w:bCs/>
                <w:color w:val="000000" w:themeColor="text1"/>
                <w:kern w:val="0"/>
                <w:sz w:val="20"/>
              </w:rPr>
            </w:pPr>
            <w:r w:rsidRPr="008B619A">
              <w:rPr>
                <w:rFonts w:hAnsi="標楷體" w:cs="Tahoma" w:hint="eastAsia"/>
                <w:bCs/>
                <w:color w:val="000000" w:themeColor="text1"/>
                <w:kern w:val="0"/>
                <w:sz w:val="20"/>
              </w:rPr>
              <w:t>語文</w:t>
            </w:r>
          </w:p>
        </w:tc>
        <w:tc>
          <w:tcPr>
            <w:tcW w:w="216" w:type="pct"/>
            <w:tcBorders>
              <w:top w:val="nil"/>
              <w:left w:val="nil"/>
              <w:bottom w:val="nil"/>
              <w:right w:val="nil"/>
            </w:tcBorders>
            <w:shd w:val="clear" w:color="auto" w:fill="auto"/>
            <w:noWrap/>
            <w:vAlign w:val="center"/>
            <w:hideMark/>
          </w:tcPr>
          <w:p w14:paraId="7B00CF75"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42</w:t>
            </w:r>
          </w:p>
        </w:tc>
        <w:tc>
          <w:tcPr>
            <w:tcW w:w="217" w:type="pct"/>
            <w:tcBorders>
              <w:top w:val="nil"/>
              <w:left w:val="nil"/>
              <w:bottom w:val="nil"/>
              <w:right w:val="nil"/>
            </w:tcBorders>
            <w:shd w:val="clear" w:color="000000" w:fill="E7E6E6"/>
            <w:noWrap/>
            <w:vAlign w:val="center"/>
            <w:hideMark/>
          </w:tcPr>
          <w:p w14:paraId="6923BE8D"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7.1</w:t>
            </w:r>
          </w:p>
        </w:tc>
        <w:tc>
          <w:tcPr>
            <w:tcW w:w="217" w:type="pct"/>
            <w:tcBorders>
              <w:top w:val="nil"/>
              <w:left w:val="nil"/>
              <w:bottom w:val="nil"/>
              <w:right w:val="nil"/>
            </w:tcBorders>
            <w:shd w:val="clear" w:color="auto" w:fill="auto"/>
            <w:noWrap/>
            <w:vAlign w:val="center"/>
            <w:hideMark/>
          </w:tcPr>
          <w:p w14:paraId="1B521B97"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47</w:t>
            </w:r>
          </w:p>
        </w:tc>
        <w:tc>
          <w:tcPr>
            <w:tcW w:w="217" w:type="pct"/>
            <w:tcBorders>
              <w:top w:val="nil"/>
              <w:left w:val="nil"/>
              <w:bottom w:val="nil"/>
              <w:right w:val="nil"/>
            </w:tcBorders>
            <w:shd w:val="clear" w:color="000000" w:fill="E7E6E6"/>
            <w:noWrap/>
            <w:vAlign w:val="center"/>
            <w:hideMark/>
          </w:tcPr>
          <w:p w14:paraId="37F926B4"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7.7</w:t>
            </w:r>
          </w:p>
        </w:tc>
        <w:tc>
          <w:tcPr>
            <w:tcW w:w="217" w:type="pct"/>
            <w:tcBorders>
              <w:top w:val="nil"/>
              <w:left w:val="nil"/>
              <w:bottom w:val="nil"/>
              <w:right w:val="nil"/>
            </w:tcBorders>
            <w:shd w:val="clear" w:color="auto" w:fill="auto"/>
            <w:noWrap/>
            <w:vAlign w:val="center"/>
            <w:hideMark/>
          </w:tcPr>
          <w:p w14:paraId="6C4E9FBB"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58</w:t>
            </w:r>
          </w:p>
        </w:tc>
        <w:tc>
          <w:tcPr>
            <w:tcW w:w="217" w:type="pct"/>
            <w:tcBorders>
              <w:top w:val="nil"/>
              <w:left w:val="nil"/>
              <w:bottom w:val="nil"/>
              <w:right w:val="nil"/>
            </w:tcBorders>
            <w:shd w:val="clear" w:color="000000" w:fill="E7E6E6"/>
            <w:noWrap/>
            <w:vAlign w:val="center"/>
            <w:hideMark/>
          </w:tcPr>
          <w:p w14:paraId="1F52A8B2"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9.3</w:t>
            </w:r>
          </w:p>
        </w:tc>
        <w:tc>
          <w:tcPr>
            <w:tcW w:w="217" w:type="pct"/>
            <w:tcBorders>
              <w:top w:val="nil"/>
              <w:left w:val="nil"/>
              <w:bottom w:val="nil"/>
              <w:right w:val="nil"/>
            </w:tcBorders>
            <w:shd w:val="clear" w:color="auto" w:fill="auto"/>
            <w:noWrap/>
            <w:vAlign w:val="center"/>
            <w:hideMark/>
          </w:tcPr>
          <w:p w14:paraId="411E6D89"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56</w:t>
            </w:r>
          </w:p>
        </w:tc>
        <w:tc>
          <w:tcPr>
            <w:tcW w:w="217" w:type="pct"/>
            <w:tcBorders>
              <w:top w:val="nil"/>
              <w:left w:val="nil"/>
              <w:bottom w:val="nil"/>
              <w:right w:val="nil"/>
            </w:tcBorders>
            <w:shd w:val="clear" w:color="000000" w:fill="E7E6E6"/>
            <w:noWrap/>
            <w:vAlign w:val="center"/>
            <w:hideMark/>
          </w:tcPr>
          <w:p w14:paraId="475CF570"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8.0</w:t>
            </w:r>
          </w:p>
        </w:tc>
        <w:tc>
          <w:tcPr>
            <w:tcW w:w="217" w:type="pct"/>
            <w:tcBorders>
              <w:top w:val="nil"/>
              <w:left w:val="nil"/>
              <w:bottom w:val="nil"/>
              <w:right w:val="nil"/>
            </w:tcBorders>
            <w:shd w:val="clear" w:color="auto" w:fill="auto"/>
            <w:noWrap/>
            <w:vAlign w:val="center"/>
            <w:hideMark/>
          </w:tcPr>
          <w:p w14:paraId="5440AD44"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50</w:t>
            </w:r>
          </w:p>
        </w:tc>
        <w:tc>
          <w:tcPr>
            <w:tcW w:w="217" w:type="pct"/>
            <w:tcBorders>
              <w:top w:val="nil"/>
              <w:left w:val="nil"/>
              <w:bottom w:val="nil"/>
              <w:right w:val="nil"/>
            </w:tcBorders>
            <w:shd w:val="clear" w:color="000000" w:fill="E7E6E6"/>
            <w:noWrap/>
            <w:vAlign w:val="center"/>
            <w:hideMark/>
          </w:tcPr>
          <w:p w14:paraId="5043F2E7"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7.3</w:t>
            </w:r>
          </w:p>
        </w:tc>
        <w:tc>
          <w:tcPr>
            <w:tcW w:w="216" w:type="pct"/>
            <w:tcBorders>
              <w:top w:val="nil"/>
              <w:left w:val="nil"/>
              <w:bottom w:val="nil"/>
              <w:right w:val="nil"/>
            </w:tcBorders>
            <w:shd w:val="clear" w:color="auto" w:fill="auto"/>
            <w:noWrap/>
            <w:vAlign w:val="center"/>
            <w:hideMark/>
          </w:tcPr>
          <w:p w14:paraId="59CA62A8"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49</w:t>
            </w:r>
          </w:p>
        </w:tc>
        <w:tc>
          <w:tcPr>
            <w:tcW w:w="217" w:type="pct"/>
            <w:tcBorders>
              <w:top w:val="nil"/>
              <w:left w:val="nil"/>
              <w:bottom w:val="nil"/>
              <w:right w:val="nil"/>
            </w:tcBorders>
            <w:shd w:val="clear" w:color="000000" w:fill="E7E6E6"/>
            <w:noWrap/>
            <w:vAlign w:val="center"/>
            <w:hideMark/>
          </w:tcPr>
          <w:p w14:paraId="44379F99"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6.8</w:t>
            </w:r>
          </w:p>
        </w:tc>
        <w:tc>
          <w:tcPr>
            <w:tcW w:w="217" w:type="pct"/>
            <w:tcBorders>
              <w:top w:val="nil"/>
              <w:left w:val="nil"/>
              <w:bottom w:val="nil"/>
              <w:right w:val="nil"/>
            </w:tcBorders>
            <w:shd w:val="clear" w:color="auto" w:fill="auto"/>
            <w:noWrap/>
            <w:vAlign w:val="center"/>
            <w:hideMark/>
          </w:tcPr>
          <w:p w14:paraId="24F27EE2"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53</w:t>
            </w:r>
          </w:p>
        </w:tc>
        <w:tc>
          <w:tcPr>
            <w:tcW w:w="217" w:type="pct"/>
            <w:tcBorders>
              <w:top w:val="nil"/>
              <w:left w:val="nil"/>
              <w:bottom w:val="nil"/>
              <w:right w:val="nil"/>
            </w:tcBorders>
            <w:shd w:val="clear" w:color="000000" w:fill="E7E6E6"/>
            <w:noWrap/>
            <w:vAlign w:val="center"/>
            <w:hideMark/>
          </w:tcPr>
          <w:p w14:paraId="05FA76D4"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7.3</w:t>
            </w:r>
          </w:p>
        </w:tc>
        <w:tc>
          <w:tcPr>
            <w:tcW w:w="217" w:type="pct"/>
            <w:tcBorders>
              <w:top w:val="nil"/>
              <w:left w:val="nil"/>
              <w:bottom w:val="nil"/>
              <w:right w:val="nil"/>
            </w:tcBorders>
            <w:shd w:val="clear" w:color="auto" w:fill="auto"/>
            <w:noWrap/>
            <w:vAlign w:val="center"/>
            <w:hideMark/>
          </w:tcPr>
          <w:p w14:paraId="74AD4481"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45</w:t>
            </w:r>
          </w:p>
        </w:tc>
        <w:tc>
          <w:tcPr>
            <w:tcW w:w="217" w:type="pct"/>
            <w:tcBorders>
              <w:top w:val="nil"/>
              <w:left w:val="nil"/>
              <w:bottom w:val="nil"/>
              <w:right w:val="nil"/>
            </w:tcBorders>
            <w:shd w:val="clear" w:color="000000" w:fill="E7E6E6"/>
            <w:noWrap/>
            <w:vAlign w:val="center"/>
            <w:hideMark/>
          </w:tcPr>
          <w:p w14:paraId="362A107C"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6.2</w:t>
            </w:r>
          </w:p>
        </w:tc>
        <w:tc>
          <w:tcPr>
            <w:tcW w:w="217" w:type="pct"/>
            <w:tcBorders>
              <w:top w:val="nil"/>
              <w:left w:val="nil"/>
              <w:bottom w:val="nil"/>
              <w:right w:val="nil"/>
            </w:tcBorders>
            <w:shd w:val="clear" w:color="auto" w:fill="auto"/>
            <w:noWrap/>
            <w:vAlign w:val="center"/>
            <w:hideMark/>
          </w:tcPr>
          <w:p w14:paraId="06C73633"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56</w:t>
            </w:r>
          </w:p>
        </w:tc>
        <w:tc>
          <w:tcPr>
            <w:tcW w:w="217" w:type="pct"/>
            <w:tcBorders>
              <w:top w:val="nil"/>
              <w:left w:val="nil"/>
              <w:bottom w:val="nil"/>
              <w:right w:val="nil"/>
            </w:tcBorders>
            <w:shd w:val="clear" w:color="000000" w:fill="E7E6E6"/>
            <w:noWrap/>
            <w:vAlign w:val="center"/>
            <w:hideMark/>
          </w:tcPr>
          <w:p w14:paraId="2376EB24"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7.8</w:t>
            </w:r>
          </w:p>
        </w:tc>
        <w:tc>
          <w:tcPr>
            <w:tcW w:w="217" w:type="pct"/>
            <w:tcBorders>
              <w:top w:val="nil"/>
              <w:left w:val="nil"/>
              <w:bottom w:val="nil"/>
              <w:right w:val="nil"/>
            </w:tcBorders>
            <w:shd w:val="clear" w:color="auto" w:fill="auto"/>
            <w:noWrap/>
            <w:vAlign w:val="center"/>
            <w:hideMark/>
          </w:tcPr>
          <w:p w14:paraId="242788CA"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41</w:t>
            </w:r>
          </w:p>
        </w:tc>
        <w:tc>
          <w:tcPr>
            <w:tcW w:w="274" w:type="pct"/>
            <w:tcBorders>
              <w:top w:val="nil"/>
              <w:left w:val="nil"/>
              <w:bottom w:val="nil"/>
              <w:right w:val="nil"/>
            </w:tcBorders>
            <w:shd w:val="clear" w:color="000000" w:fill="E7E6E6"/>
            <w:noWrap/>
            <w:vAlign w:val="center"/>
            <w:hideMark/>
          </w:tcPr>
          <w:p w14:paraId="1BB77684" w14:textId="77777777" w:rsidR="004E7B7E" w:rsidRPr="008B619A" w:rsidRDefault="004E7B7E" w:rsidP="003A6C05">
            <w:pPr>
              <w:widowControl/>
              <w:jc w:val="center"/>
              <w:rPr>
                <w:rFonts w:hAnsi="標楷體" w:cs="Tahoma"/>
                <w:color w:val="000000" w:themeColor="text1"/>
                <w:kern w:val="0"/>
                <w:sz w:val="15"/>
                <w:szCs w:val="15"/>
              </w:rPr>
            </w:pPr>
            <w:r w:rsidRPr="008B619A">
              <w:rPr>
                <w:rFonts w:hAnsi="標楷體" w:cs="Tahoma" w:hint="eastAsia"/>
                <w:color w:val="000000" w:themeColor="text1"/>
                <w:kern w:val="0"/>
                <w:sz w:val="15"/>
                <w:szCs w:val="15"/>
              </w:rPr>
              <w:t>5.5</w:t>
            </w:r>
          </w:p>
        </w:tc>
      </w:tr>
      <w:tr w:rsidR="004E7B7E" w:rsidRPr="008B619A" w14:paraId="4AEB1B53" w14:textId="77777777" w:rsidTr="006400F0">
        <w:trPr>
          <w:trHeight w:val="330"/>
        </w:trPr>
        <w:tc>
          <w:tcPr>
            <w:tcW w:w="600" w:type="pct"/>
            <w:tcBorders>
              <w:top w:val="nil"/>
              <w:left w:val="nil"/>
              <w:bottom w:val="nil"/>
              <w:right w:val="single" w:sz="4" w:space="0" w:color="auto"/>
            </w:tcBorders>
            <w:shd w:val="clear" w:color="auto" w:fill="auto"/>
            <w:noWrap/>
            <w:vAlign w:val="center"/>
            <w:hideMark/>
          </w:tcPr>
          <w:p w14:paraId="08F39003" w14:textId="77777777" w:rsidR="004E7B7E" w:rsidRPr="008B619A" w:rsidRDefault="004E7B7E" w:rsidP="008055B8">
            <w:pPr>
              <w:widowControl/>
              <w:jc w:val="center"/>
              <w:rPr>
                <w:rFonts w:hAnsi="標楷體" w:cs="Tahoma"/>
                <w:bCs/>
                <w:color w:val="000000" w:themeColor="text1"/>
                <w:kern w:val="0"/>
                <w:sz w:val="20"/>
              </w:rPr>
            </w:pPr>
            <w:r w:rsidRPr="008B619A">
              <w:rPr>
                <w:rFonts w:hAnsi="標楷體" w:cs="Tahoma" w:hint="eastAsia"/>
                <w:bCs/>
                <w:color w:val="000000" w:themeColor="text1"/>
                <w:kern w:val="0"/>
                <w:sz w:val="20"/>
              </w:rPr>
              <w:t>社會及行為科學</w:t>
            </w:r>
          </w:p>
        </w:tc>
        <w:tc>
          <w:tcPr>
            <w:tcW w:w="216" w:type="pct"/>
            <w:tcBorders>
              <w:top w:val="nil"/>
              <w:left w:val="nil"/>
              <w:bottom w:val="nil"/>
              <w:right w:val="nil"/>
            </w:tcBorders>
            <w:shd w:val="clear" w:color="auto" w:fill="auto"/>
            <w:noWrap/>
            <w:vAlign w:val="center"/>
            <w:hideMark/>
          </w:tcPr>
          <w:p w14:paraId="02E88A80"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39</w:t>
            </w:r>
          </w:p>
        </w:tc>
        <w:tc>
          <w:tcPr>
            <w:tcW w:w="217" w:type="pct"/>
            <w:tcBorders>
              <w:top w:val="nil"/>
              <w:left w:val="nil"/>
              <w:bottom w:val="nil"/>
              <w:right w:val="nil"/>
            </w:tcBorders>
            <w:shd w:val="clear" w:color="000000" w:fill="E7E6E6"/>
            <w:noWrap/>
            <w:vAlign w:val="center"/>
            <w:hideMark/>
          </w:tcPr>
          <w:p w14:paraId="2E1607F3"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6.6</w:t>
            </w:r>
          </w:p>
        </w:tc>
        <w:tc>
          <w:tcPr>
            <w:tcW w:w="217" w:type="pct"/>
            <w:tcBorders>
              <w:top w:val="nil"/>
              <w:left w:val="nil"/>
              <w:bottom w:val="nil"/>
              <w:right w:val="nil"/>
            </w:tcBorders>
            <w:shd w:val="clear" w:color="auto" w:fill="auto"/>
            <w:noWrap/>
            <w:vAlign w:val="center"/>
            <w:hideMark/>
          </w:tcPr>
          <w:p w14:paraId="1E3BB8A5"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34</w:t>
            </w:r>
          </w:p>
        </w:tc>
        <w:tc>
          <w:tcPr>
            <w:tcW w:w="217" w:type="pct"/>
            <w:tcBorders>
              <w:top w:val="nil"/>
              <w:left w:val="nil"/>
              <w:bottom w:val="nil"/>
              <w:right w:val="nil"/>
            </w:tcBorders>
            <w:shd w:val="clear" w:color="000000" w:fill="E7E6E6"/>
            <w:noWrap/>
            <w:vAlign w:val="center"/>
            <w:hideMark/>
          </w:tcPr>
          <w:p w14:paraId="7427415E"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5.6</w:t>
            </w:r>
          </w:p>
        </w:tc>
        <w:tc>
          <w:tcPr>
            <w:tcW w:w="217" w:type="pct"/>
            <w:tcBorders>
              <w:top w:val="nil"/>
              <w:left w:val="nil"/>
              <w:bottom w:val="nil"/>
              <w:right w:val="nil"/>
            </w:tcBorders>
            <w:shd w:val="clear" w:color="auto" w:fill="auto"/>
            <w:noWrap/>
            <w:vAlign w:val="center"/>
            <w:hideMark/>
          </w:tcPr>
          <w:p w14:paraId="2103B287"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50</w:t>
            </w:r>
          </w:p>
        </w:tc>
        <w:tc>
          <w:tcPr>
            <w:tcW w:w="217" w:type="pct"/>
            <w:tcBorders>
              <w:top w:val="nil"/>
              <w:left w:val="nil"/>
              <w:bottom w:val="nil"/>
              <w:right w:val="nil"/>
            </w:tcBorders>
            <w:shd w:val="clear" w:color="000000" w:fill="E7E6E6"/>
            <w:noWrap/>
            <w:vAlign w:val="center"/>
            <w:hideMark/>
          </w:tcPr>
          <w:p w14:paraId="25E4B6CB"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8.1</w:t>
            </w:r>
          </w:p>
        </w:tc>
        <w:tc>
          <w:tcPr>
            <w:tcW w:w="217" w:type="pct"/>
            <w:tcBorders>
              <w:top w:val="nil"/>
              <w:left w:val="nil"/>
              <w:bottom w:val="nil"/>
              <w:right w:val="nil"/>
            </w:tcBorders>
            <w:shd w:val="clear" w:color="auto" w:fill="auto"/>
            <w:noWrap/>
            <w:vAlign w:val="center"/>
            <w:hideMark/>
          </w:tcPr>
          <w:p w14:paraId="524543BD"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43</w:t>
            </w:r>
          </w:p>
        </w:tc>
        <w:tc>
          <w:tcPr>
            <w:tcW w:w="217" w:type="pct"/>
            <w:tcBorders>
              <w:top w:val="nil"/>
              <w:left w:val="nil"/>
              <w:bottom w:val="nil"/>
              <w:right w:val="nil"/>
            </w:tcBorders>
            <w:shd w:val="clear" w:color="000000" w:fill="E7E6E6"/>
            <w:noWrap/>
            <w:vAlign w:val="center"/>
            <w:hideMark/>
          </w:tcPr>
          <w:p w14:paraId="46449A21"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6.1</w:t>
            </w:r>
          </w:p>
        </w:tc>
        <w:tc>
          <w:tcPr>
            <w:tcW w:w="217" w:type="pct"/>
            <w:tcBorders>
              <w:top w:val="nil"/>
              <w:left w:val="nil"/>
              <w:bottom w:val="nil"/>
              <w:right w:val="nil"/>
            </w:tcBorders>
            <w:shd w:val="clear" w:color="auto" w:fill="auto"/>
            <w:noWrap/>
            <w:vAlign w:val="center"/>
            <w:hideMark/>
          </w:tcPr>
          <w:p w14:paraId="50D9B01D"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37</w:t>
            </w:r>
          </w:p>
        </w:tc>
        <w:tc>
          <w:tcPr>
            <w:tcW w:w="217" w:type="pct"/>
            <w:tcBorders>
              <w:top w:val="nil"/>
              <w:left w:val="nil"/>
              <w:bottom w:val="nil"/>
              <w:right w:val="nil"/>
            </w:tcBorders>
            <w:shd w:val="clear" w:color="000000" w:fill="E7E6E6"/>
            <w:noWrap/>
            <w:vAlign w:val="center"/>
            <w:hideMark/>
          </w:tcPr>
          <w:p w14:paraId="4A46375B"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5.4</w:t>
            </w:r>
          </w:p>
        </w:tc>
        <w:tc>
          <w:tcPr>
            <w:tcW w:w="216" w:type="pct"/>
            <w:tcBorders>
              <w:top w:val="nil"/>
              <w:left w:val="nil"/>
              <w:bottom w:val="nil"/>
              <w:right w:val="nil"/>
            </w:tcBorders>
            <w:shd w:val="clear" w:color="auto" w:fill="auto"/>
            <w:noWrap/>
            <w:vAlign w:val="center"/>
            <w:hideMark/>
          </w:tcPr>
          <w:p w14:paraId="02C66A57"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46</w:t>
            </w:r>
          </w:p>
        </w:tc>
        <w:tc>
          <w:tcPr>
            <w:tcW w:w="217" w:type="pct"/>
            <w:tcBorders>
              <w:top w:val="nil"/>
              <w:left w:val="nil"/>
              <w:bottom w:val="nil"/>
              <w:right w:val="nil"/>
            </w:tcBorders>
            <w:shd w:val="clear" w:color="000000" w:fill="E7E6E6"/>
            <w:noWrap/>
            <w:vAlign w:val="center"/>
            <w:hideMark/>
          </w:tcPr>
          <w:p w14:paraId="10EA3BA3"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6.4</w:t>
            </w:r>
          </w:p>
        </w:tc>
        <w:tc>
          <w:tcPr>
            <w:tcW w:w="217" w:type="pct"/>
            <w:tcBorders>
              <w:top w:val="nil"/>
              <w:left w:val="nil"/>
              <w:bottom w:val="nil"/>
              <w:right w:val="nil"/>
            </w:tcBorders>
            <w:shd w:val="clear" w:color="auto" w:fill="auto"/>
            <w:noWrap/>
            <w:vAlign w:val="center"/>
            <w:hideMark/>
          </w:tcPr>
          <w:p w14:paraId="04FEA042"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49</w:t>
            </w:r>
          </w:p>
        </w:tc>
        <w:tc>
          <w:tcPr>
            <w:tcW w:w="217" w:type="pct"/>
            <w:tcBorders>
              <w:top w:val="nil"/>
              <w:left w:val="nil"/>
              <w:bottom w:val="nil"/>
              <w:right w:val="nil"/>
            </w:tcBorders>
            <w:shd w:val="clear" w:color="000000" w:fill="E7E6E6"/>
            <w:noWrap/>
            <w:vAlign w:val="center"/>
            <w:hideMark/>
          </w:tcPr>
          <w:p w14:paraId="3756A565"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6.8</w:t>
            </w:r>
          </w:p>
        </w:tc>
        <w:tc>
          <w:tcPr>
            <w:tcW w:w="217" w:type="pct"/>
            <w:tcBorders>
              <w:top w:val="nil"/>
              <w:left w:val="nil"/>
              <w:bottom w:val="nil"/>
              <w:right w:val="nil"/>
            </w:tcBorders>
            <w:shd w:val="clear" w:color="auto" w:fill="auto"/>
            <w:noWrap/>
            <w:vAlign w:val="center"/>
            <w:hideMark/>
          </w:tcPr>
          <w:p w14:paraId="1213EDFC"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40</w:t>
            </w:r>
          </w:p>
        </w:tc>
        <w:tc>
          <w:tcPr>
            <w:tcW w:w="217" w:type="pct"/>
            <w:tcBorders>
              <w:top w:val="nil"/>
              <w:left w:val="nil"/>
              <w:bottom w:val="nil"/>
              <w:right w:val="nil"/>
            </w:tcBorders>
            <w:shd w:val="clear" w:color="000000" w:fill="E7E6E6"/>
            <w:noWrap/>
            <w:vAlign w:val="center"/>
            <w:hideMark/>
          </w:tcPr>
          <w:p w14:paraId="219D8B4E"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5.5</w:t>
            </w:r>
          </w:p>
        </w:tc>
        <w:tc>
          <w:tcPr>
            <w:tcW w:w="217" w:type="pct"/>
            <w:tcBorders>
              <w:top w:val="nil"/>
              <w:left w:val="nil"/>
              <w:bottom w:val="nil"/>
              <w:right w:val="nil"/>
            </w:tcBorders>
            <w:shd w:val="clear" w:color="auto" w:fill="auto"/>
            <w:noWrap/>
            <w:vAlign w:val="center"/>
            <w:hideMark/>
          </w:tcPr>
          <w:p w14:paraId="33F5F000"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24</w:t>
            </w:r>
          </w:p>
        </w:tc>
        <w:tc>
          <w:tcPr>
            <w:tcW w:w="217" w:type="pct"/>
            <w:tcBorders>
              <w:top w:val="nil"/>
              <w:left w:val="nil"/>
              <w:bottom w:val="nil"/>
              <w:right w:val="nil"/>
            </w:tcBorders>
            <w:shd w:val="clear" w:color="000000" w:fill="E7E6E6"/>
            <w:noWrap/>
            <w:vAlign w:val="center"/>
            <w:hideMark/>
          </w:tcPr>
          <w:p w14:paraId="7D050078"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3.3</w:t>
            </w:r>
          </w:p>
        </w:tc>
        <w:tc>
          <w:tcPr>
            <w:tcW w:w="217" w:type="pct"/>
            <w:tcBorders>
              <w:top w:val="nil"/>
              <w:left w:val="nil"/>
              <w:bottom w:val="nil"/>
              <w:right w:val="nil"/>
            </w:tcBorders>
            <w:shd w:val="clear" w:color="auto" w:fill="auto"/>
            <w:noWrap/>
            <w:vAlign w:val="center"/>
            <w:hideMark/>
          </w:tcPr>
          <w:p w14:paraId="43EFFEF1"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48</w:t>
            </w:r>
          </w:p>
        </w:tc>
        <w:tc>
          <w:tcPr>
            <w:tcW w:w="274" w:type="pct"/>
            <w:tcBorders>
              <w:top w:val="nil"/>
              <w:left w:val="nil"/>
              <w:bottom w:val="nil"/>
              <w:right w:val="nil"/>
            </w:tcBorders>
            <w:shd w:val="clear" w:color="000000" w:fill="E7E6E6"/>
            <w:noWrap/>
            <w:vAlign w:val="center"/>
            <w:hideMark/>
          </w:tcPr>
          <w:p w14:paraId="69144D6C" w14:textId="77777777" w:rsidR="004E7B7E" w:rsidRPr="008B619A" w:rsidRDefault="004E7B7E" w:rsidP="003A6C05">
            <w:pPr>
              <w:widowControl/>
              <w:jc w:val="center"/>
              <w:rPr>
                <w:rFonts w:hAnsi="標楷體" w:cs="Tahoma"/>
                <w:color w:val="000000" w:themeColor="text1"/>
                <w:kern w:val="0"/>
                <w:sz w:val="15"/>
                <w:szCs w:val="15"/>
              </w:rPr>
            </w:pPr>
            <w:r w:rsidRPr="008B619A">
              <w:rPr>
                <w:rFonts w:hAnsi="標楷體" w:cs="Tahoma" w:hint="eastAsia"/>
                <w:color w:val="000000" w:themeColor="text1"/>
                <w:kern w:val="0"/>
                <w:sz w:val="15"/>
                <w:szCs w:val="15"/>
              </w:rPr>
              <w:t>6.5</w:t>
            </w:r>
          </w:p>
        </w:tc>
      </w:tr>
      <w:tr w:rsidR="004E7B7E" w:rsidRPr="008B619A" w14:paraId="1FAA3CF7" w14:textId="77777777" w:rsidTr="006400F0">
        <w:trPr>
          <w:trHeight w:val="330"/>
        </w:trPr>
        <w:tc>
          <w:tcPr>
            <w:tcW w:w="600" w:type="pct"/>
            <w:tcBorders>
              <w:top w:val="nil"/>
              <w:left w:val="nil"/>
              <w:bottom w:val="nil"/>
              <w:right w:val="single" w:sz="4" w:space="0" w:color="auto"/>
            </w:tcBorders>
            <w:shd w:val="clear" w:color="auto" w:fill="auto"/>
            <w:noWrap/>
            <w:vAlign w:val="center"/>
            <w:hideMark/>
          </w:tcPr>
          <w:p w14:paraId="388418FE" w14:textId="77777777" w:rsidR="004E7B7E" w:rsidRPr="008B619A" w:rsidRDefault="004E7B7E" w:rsidP="008055B8">
            <w:pPr>
              <w:widowControl/>
              <w:jc w:val="center"/>
              <w:rPr>
                <w:rFonts w:hAnsi="標楷體" w:cs="Tahoma"/>
                <w:bCs/>
                <w:color w:val="000000" w:themeColor="text1"/>
                <w:kern w:val="0"/>
                <w:sz w:val="20"/>
              </w:rPr>
            </w:pPr>
            <w:r w:rsidRPr="008B619A">
              <w:rPr>
                <w:rFonts w:hAnsi="標楷體" w:cs="Tahoma" w:hint="eastAsia"/>
                <w:bCs/>
                <w:color w:val="000000" w:themeColor="text1"/>
                <w:kern w:val="0"/>
                <w:sz w:val="20"/>
              </w:rPr>
              <w:t>新聞學及圖書資訊</w:t>
            </w:r>
          </w:p>
        </w:tc>
        <w:tc>
          <w:tcPr>
            <w:tcW w:w="216" w:type="pct"/>
            <w:tcBorders>
              <w:top w:val="nil"/>
              <w:left w:val="nil"/>
              <w:bottom w:val="nil"/>
              <w:right w:val="nil"/>
            </w:tcBorders>
            <w:shd w:val="clear" w:color="auto" w:fill="auto"/>
            <w:noWrap/>
            <w:vAlign w:val="center"/>
            <w:hideMark/>
          </w:tcPr>
          <w:p w14:paraId="3EBF99F2"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2</w:t>
            </w:r>
          </w:p>
        </w:tc>
        <w:tc>
          <w:tcPr>
            <w:tcW w:w="217" w:type="pct"/>
            <w:tcBorders>
              <w:top w:val="nil"/>
              <w:left w:val="nil"/>
              <w:bottom w:val="nil"/>
              <w:right w:val="nil"/>
            </w:tcBorders>
            <w:shd w:val="clear" w:color="000000" w:fill="E7E6E6"/>
            <w:noWrap/>
            <w:vAlign w:val="center"/>
            <w:hideMark/>
          </w:tcPr>
          <w:p w14:paraId="5781B24D"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0.3</w:t>
            </w:r>
          </w:p>
        </w:tc>
        <w:tc>
          <w:tcPr>
            <w:tcW w:w="217" w:type="pct"/>
            <w:tcBorders>
              <w:top w:val="nil"/>
              <w:left w:val="nil"/>
              <w:bottom w:val="nil"/>
              <w:right w:val="nil"/>
            </w:tcBorders>
            <w:shd w:val="clear" w:color="auto" w:fill="auto"/>
            <w:noWrap/>
            <w:vAlign w:val="center"/>
            <w:hideMark/>
          </w:tcPr>
          <w:p w14:paraId="25A22890"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7</w:t>
            </w:r>
          </w:p>
        </w:tc>
        <w:tc>
          <w:tcPr>
            <w:tcW w:w="217" w:type="pct"/>
            <w:tcBorders>
              <w:top w:val="nil"/>
              <w:left w:val="nil"/>
              <w:bottom w:val="nil"/>
              <w:right w:val="nil"/>
            </w:tcBorders>
            <w:shd w:val="clear" w:color="000000" w:fill="E7E6E6"/>
            <w:noWrap/>
            <w:vAlign w:val="center"/>
            <w:hideMark/>
          </w:tcPr>
          <w:p w14:paraId="58FAE810"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1.1</w:t>
            </w:r>
          </w:p>
        </w:tc>
        <w:tc>
          <w:tcPr>
            <w:tcW w:w="217" w:type="pct"/>
            <w:tcBorders>
              <w:top w:val="nil"/>
              <w:left w:val="nil"/>
              <w:bottom w:val="nil"/>
              <w:right w:val="nil"/>
            </w:tcBorders>
            <w:shd w:val="clear" w:color="auto" w:fill="auto"/>
            <w:noWrap/>
            <w:vAlign w:val="center"/>
            <w:hideMark/>
          </w:tcPr>
          <w:p w14:paraId="2CA5A028"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5</w:t>
            </w:r>
          </w:p>
        </w:tc>
        <w:tc>
          <w:tcPr>
            <w:tcW w:w="217" w:type="pct"/>
            <w:tcBorders>
              <w:top w:val="nil"/>
              <w:left w:val="nil"/>
              <w:bottom w:val="nil"/>
              <w:right w:val="nil"/>
            </w:tcBorders>
            <w:shd w:val="clear" w:color="000000" w:fill="E7E6E6"/>
            <w:noWrap/>
            <w:vAlign w:val="center"/>
            <w:hideMark/>
          </w:tcPr>
          <w:p w14:paraId="68FDD90C"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0.8</w:t>
            </w:r>
          </w:p>
        </w:tc>
        <w:tc>
          <w:tcPr>
            <w:tcW w:w="217" w:type="pct"/>
            <w:tcBorders>
              <w:top w:val="nil"/>
              <w:left w:val="nil"/>
              <w:bottom w:val="nil"/>
              <w:right w:val="nil"/>
            </w:tcBorders>
            <w:shd w:val="clear" w:color="auto" w:fill="auto"/>
            <w:noWrap/>
            <w:vAlign w:val="center"/>
            <w:hideMark/>
          </w:tcPr>
          <w:p w14:paraId="6D7C9C3D"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3</w:t>
            </w:r>
          </w:p>
        </w:tc>
        <w:tc>
          <w:tcPr>
            <w:tcW w:w="217" w:type="pct"/>
            <w:tcBorders>
              <w:top w:val="nil"/>
              <w:left w:val="nil"/>
              <w:bottom w:val="nil"/>
              <w:right w:val="nil"/>
            </w:tcBorders>
            <w:shd w:val="clear" w:color="000000" w:fill="E7E6E6"/>
            <w:noWrap/>
            <w:vAlign w:val="center"/>
            <w:hideMark/>
          </w:tcPr>
          <w:p w14:paraId="6082CC2A"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0.4</w:t>
            </w:r>
          </w:p>
        </w:tc>
        <w:tc>
          <w:tcPr>
            <w:tcW w:w="217" w:type="pct"/>
            <w:tcBorders>
              <w:top w:val="nil"/>
              <w:left w:val="nil"/>
              <w:bottom w:val="nil"/>
              <w:right w:val="nil"/>
            </w:tcBorders>
            <w:shd w:val="clear" w:color="auto" w:fill="auto"/>
            <w:noWrap/>
            <w:vAlign w:val="center"/>
            <w:hideMark/>
          </w:tcPr>
          <w:p w14:paraId="14DF58C7"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3</w:t>
            </w:r>
          </w:p>
        </w:tc>
        <w:tc>
          <w:tcPr>
            <w:tcW w:w="217" w:type="pct"/>
            <w:tcBorders>
              <w:top w:val="nil"/>
              <w:left w:val="nil"/>
              <w:bottom w:val="nil"/>
              <w:right w:val="nil"/>
            </w:tcBorders>
            <w:shd w:val="clear" w:color="000000" w:fill="E7E6E6"/>
            <w:noWrap/>
            <w:vAlign w:val="center"/>
            <w:hideMark/>
          </w:tcPr>
          <w:p w14:paraId="575D84E3"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0.4</w:t>
            </w:r>
          </w:p>
        </w:tc>
        <w:tc>
          <w:tcPr>
            <w:tcW w:w="216" w:type="pct"/>
            <w:tcBorders>
              <w:top w:val="nil"/>
              <w:left w:val="nil"/>
              <w:bottom w:val="nil"/>
              <w:right w:val="nil"/>
            </w:tcBorders>
            <w:shd w:val="clear" w:color="auto" w:fill="auto"/>
            <w:noWrap/>
            <w:vAlign w:val="center"/>
            <w:hideMark/>
          </w:tcPr>
          <w:p w14:paraId="39BFD3F4"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7</w:t>
            </w:r>
          </w:p>
        </w:tc>
        <w:tc>
          <w:tcPr>
            <w:tcW w:w="217" w:type="pct"/>
            <w:tcBorders>
              <w:top w:val="nil"/>
              <w:left w:val="nil"/>
              <w:bottom w:val="nil"/>
              <w:right w:val="nil"/>
            </w:tcBorders>
            <w:shd w:val="clear" w:color="000000" w:fill="E7E6E6"/>
            <w:noWrap/>
            <w:vAlign w:val="center"/>
            <w:hideMark/>
          </w:tcPr>
          <w:p w14:paraId="0F33092A"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1.0</w:t>
            </w:r>
          </w:p>
        </w:tc>
        <w:tc>
          <w:tcPr>
            <w:tcW w:w="217" w:type="pct"/>
            <w:tcBorders>
              <w:top w:val="nil"/>
              <w:left w:val="nil"/>
              <w:bottom w:val="nil"/>
              <w:right w:val="nil"/>
            </w:tcBorders>
            <w:shd w:val="clear" w:color="auto" w:fill="auto"/>
            <w:noWrap/>
            <w:vAlign w:val="center"/>
            <w:hideMark/>
          </w:tcPr>
          <w:p w14:paraId="33F35BB6"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4</w:t>
            </w:r>
          </w:p>
        </w:tc>
        <w:tc>
          <w:tcPr>
            <w:tcW w:w="217" w:type="pct"/>
            <w:tcBorders>
              <w:top w:val="nil"/>
              <w:left w:val="nil"/>
              <w:bottom w:val="nil"/>
              <w:right w:val="nil"/>
            </w:tcBorders>
            <w:shd w:val="clear" w:color="000000" w:fill="E7E6E6"/>
            <w:noWrap/>
            <w:vAlign w:val="center"/>
            <w:hideMark/>
          </w:tcPr>
          <w:p w14:paraId="1A122B96"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0.6</w:t>
            </w:r>
          </w:p>
        </w:tc>
        <w:tc>
          <w:tcPr>
            <w:tcW w:w="217" w:type="pct"/>
            <w:tcBorders>
              <w:top w:val="nil"/>
              <w:left w:val="nil"/>
              <w:bottom w:val="nil"/>
              <w:right w:val="nil"/>
            </w:tcBorders>
            <w:shd w:val="clear" w:color="auto" w:fill="auto"/>
            <w:noWrap/>
            <w:vAlign w:val="center"/>
            <w:hideMark/>
          </w:tcPr>
          <w:p w14:paraId="461EE47F"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2</w:t>
            </w:r>
          </w:p>
        </w:tc>
        <w:tc>
          <w:tcPr>
            <w:tcW w:w="217" w:type="pct"/>
            <w:tcBorders>
              <w:top w:val="nil"/>
              <w:left w:val="nil"/>
              <w:bottom w:val="nil"/>
              <w:right w:val="nil"/>
            </w:tcBorders>
            <w:shd w:val="clear" w:color="000000" w:fill="E7E6E6"/>
            <w:noWrap/>
            <w:vAlign w:val="center"/>
            <w:hideMark/>
          </w:tcPr>
          <w:p w14:paraId="2A30AF29"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0.3</w:t>
            </w:r>
          </w:p>
        </w:tc>
        <w:tc>
          <w:tcPr>
            <w:tcW w:w="217" w:type="pct"/>
            <w:tcBorders>
              <w:top w:val="nil"/>
              <w:left w:val="nil"/>
              <w:bottom w:val="nil"/>
              <w:right w:val="nil"/>
            </w:tcBorders>
            <w:shd w:val="clear" w:color="auto" w:fill="auto"/>
            <w:noWrap/>
            <w:vAlign w:val="center"/>
            <w:hideMark/>
          </w:tcPr>
          <w:p w14:paraId="28BC7543"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8</w:t>
            </w:r>
          </w:p>
        </w:tc>
        <w:tc>
          <w:tcPr>
            <w:tcW w:w="217" w:type="pct"/>
            <w:tcBorders>
              <w:top w:val="nil"/>
              <w:left w:val="nil"/>
              <w:bottom w:val="nil"/>
              <w:right w:val="nil"/>
            </w:tcBorders>
            <w:shd w:val="clear" w:color="000000" w:fill="E7E6E6"/>
            <w:noWrap/>
            <w:vAlign w:val="center"/>
            <w:hideMark/>
          </w:tcPr>
          <w:p w14:paraId="60EB5C1C"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1.1</w:t>
            </w:r>
          </w:p>
        </w:tc>
        <w:tc>
          <w:tcPr>
            <w:tcW w:w="217" w:type="pct"/>
            <w:tcBorders>
              <w:top w:val="nil"/>
              <w:left w:val="nil"/>
              <w:bottom w:val="nil"/>
              <w:right w:val="nil"/>
            </w:tcBorders>
            <w:shd w:val="clear" w:color="auto" w:fill="auto"/>
            <w:noWrap/>
            <w:vAlign w:val="center"/>
            <w:hideMark/>
          </w:tcPr>
          <w:p w14:paraId="40399708"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8</w:t>
            </w:r>
          </w:p>
        </w:tc>
        <w:tc>
          <w:tcPr>
            <w:tcW w:w="274" w:type="pct"/>
            <w:tcBorders>
              <w:top w:val="nil"/>
              <w:left w:val="nil"/>
              <w:bottom w:val="nil"/>
              <w:right w:val="nil"/>
            </w:tcBorders>
            <w:shd w:val="clear" w:color="000000" w:fill="E7E6E6"/>
            <w:noWrap/>
            <w:vAlign w:val="center"/>
            <w:hideMark/>
          </w:tcPr>
          <w:p w14:paraId="7C63E738" w14:textId="77777777" w:rsidR="004E7B7E" w:rsidRPr="008B619A" w:rsidRDefault="004E7B7E" w:rsidP="003A6C05">
            <w:pPr>
              <w:widowControl/>
              <w:jc w:val="center"/>
              <w:rPr>
                <w:rFonts w:hAnsi="標楷體" w:cs="Tahoma"/>
                <w:color w:val="000000" w:themeColor="text1"/>
                <w:kern w:val="0"/>
                <w:sz w:val="15"/>
                <w:szCs w:val="15"/>
              </w:rPr>
            </w:pPr>
            <w:r w:rsidRPr="008B619A">
              <w:rPr>
                <w:rFonts w:hAnsi="標楷體" w:cs="Tahoma" w:hint="eastAsia"/>
                <w:color w:val="000000" w:themeColor="text1"/>
                <w:kern w:val="0"/>
                <w:sz w:val="15"/>
                <w:szCs w:val="15"/>
              </w:rPr>
              <w:t>1.1</w:t>
            </w:r>
          </w:p>
        </w:tc>
      </w:tr>
      <w:tr w:rsidR="004E7B7E" w:rsidRPr="008B619A" w14:paraId="7ACD0F17" w14:textId="77777777" w:rsidTr="006400F0">
        <w:trPr>
          <w:trHeight w:val="330"/>
        </w:trPr>
        <w:tc>
          <w:tcPr>
            <w:tcW w:w="600" w:type="pct"/>
            <w:tcBorders>
              <w:top w:val="nil"/>
              <w:left w:val="nil"/>
              <w:bottom w:val="nil"/>
              <w:right w:val="single" w:sz="4" w:space="0" w:color="auto"/>
            </w:tcBorders>
            <w:shd w:val="clear" w:color="auto" w:fill="auto"/>
            <w:noWrap/>
            <w:vAlign w:val="center"/>
            <w:hideMark/>
          </w:tcPr>
          <w:p w14:paraId="60F19FAD" w14:textId="77777777" w:rsidR="004E7B7E" w:rsidRPr="008B619A" w:rsidRDefault="004E7B7E" w:rsidP="008055B8">
            <w:pPr>
              <w:widowControl/>
              <w:jc w:val="center"/>
              <w:rPr>
                <w:rFonts w:hAnsi="標楷體" w:cs="Tahoma"/>
                <w:bCs/>
                <w:color w:val="000000" w:themeColor="text1"/>
                <w:kern w:val="0"/>
                <w:sz w:val="20"/>
              </w:rPr>
            </w:pPr>
            <w:r w:rsidRPr="008B619A">
              <w:rPr>
                <w:rFonts w:hAnsi="標楷體" w:cs="Tahoma" w:hint="eastAsia"/>
                <w:bCs/>
                <w:color w:val="000000" w:themeColor="text1"/>
                <w:kern w:val="0"/>
                <w:sz w:val="20"/>
              </w:rPr>
              <w:t>商業及管理</w:t>
            </w:r>
          </w:p>
        </w:tc>
        <w:tc>
          <w:tcPr>
            <w:tcW w:w="216" w:type="pct"/>
            <w:tcBorders>
              <w:top w:val="nil"/>
              <w:left w:val="nil"/>
              <w:bottom w:val="nil"/>
              <w:right w:val="nil"/>
            </w:tcBorders>
            <w:shd w:val="clear" w:color="auto" w:fill="auto"/>
            <w:noWrap/>
            <w:vAlign w:val="center"/>
            <w:hideMark/>
          </w:tcPr>
          <w:p w14:paraId="3087A8C8"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74</w:t>
            </w:r>
          </w:p>
        </w:tc>
        <w:tc>
          <w:tcPr>
            <w:tcW w:w="217" w:type="pct"/>
            <w:tcBorders>
              <w:top w:val="nil"/>
              <w:left w:val="nil"/>
              <w:bottom w:val="nil"/>
              <w:right w:val="nil"/>
            </w:tcBorders>
            <w:shd w:val="clear" w:color="000000" w:fill="E7E6E6"/>
            <w:noWrap/>
            <w:vAlign w:val="center"/>
            <w:hideMark/>
          </w:tcPr>
          <w:p w14:paraId="5F62E0F0"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12.4</w:t>
            </w:r>
          </w:p>
        </w:tc>
        <w:tc>
          <w:tcPr>
            <w:tcW w:w="217" w:type="pct"/>
            <w:tcBorders>
              <w:top w:val="nil"/>
              <w:left w:val="nil"/>
              <w:bottom w:val="nil"/>
              <w:right w:val="nil"/>
            </w:tcBorders>
            <w:shd w:val="clear" w:color="auto" w:fill="auto"/>
            <w:noWrap/>
            <w:vAlign w:val="center"/>
            <w:hideMark/>
          </w:tcPr>
          <w:p w14:paraId="6F5C40AF"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77</w:t>
            </w:r>
          </w:p>
        </w:tc>
        <w:tc>
          <w:tcPr>
            <w:tcW w:w="217" w:type="pct"/>
            <w:tcBorders>
              <w:top w:val="nil"/>
              <w:left w:val="nil"/>
              <w:bottom w:val="nil"/>
              <w:right w:val="nil"/>
            </w:tcBorders>
            <w:shd w:val="clear" w:color="000000" w:fill="E7E6E6"/>
            <w:noWrap/>
            <w:vAlign w:val="center"/>
            <w:hideMark/>
          </w:tcPr>
          <w:p w14:paraId="412A7030"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12.6</w:t>
            </w:r>
          </w:p>
        </w:tc>
        <w:tc>
          <w:tcPr>
            <w:tcW w:w="217" w:type="pct"/>
            <w:tcBorders>
              <w:top w:val="nil"/>
              <w:left w:val="nil"/>
              <w:bottom w:val="nil"/>
              <w:right w:val="nil"/>
            </w:tcBorders>
            <w:shd w:val="clear" w:color="auto" w:fill="auto"/>
            <w:noWrap/>
            <w:vAlign w:val="center"/>
            <w:hideMark/>
          </w:tcPr>
          <w:p w14:paraId="141EA999"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87</w:t>
            </w:r>
          </w:p>
        </w:tc>
        <w:tc>
          <w:tcPr>
            <w:tcW w:w="217" w:type="pct"/>
            <w:tcBorders>
              <w:top w:val="nil"/>
              <w:left w:val="nil"/>
              <w:bottom w:val="nil"/>
              <w:right w:val="nil"/>
            </w:tcBorders>
            <w:shd w:val="clear" w:color="000000" w:fill="E7E6E6"/>
            <w:noWrap/>
            <w:vAlign w:val="center"/>
            <w:hideMark/>
          </w:tcPr>
          <w:p w14:paraId="775D02FC"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14.0</w:t>
            </w:r>
          </w:p>
        </w:tc>
        <w:tc>
          <w:tcPr>
            <w:tcW w:w="217" w:type="pct"/>
            <w:tcBorders>
              <w:top w:val="nil"/>
              <w:left w:val="nil"/>
              <w:bottom w:val="nil"/>
              <w:right w:val="nil"/>
            </w:tcBorders>
            <w:shd w:val="clear" w:color="auto" w:fill="auto"/>
            <w:noWrap/>
            <w:vAlign w:val="center"/>
            <w:hideMark/>
          </w:tcPr>
          <w:p w14:paraId="4648646C"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105</w:t>
            </w:r>
          </w:p>
        </w:tc>
        <w:tc>
          <w:tcPr>
            <w:tcW w:w="217" w:type="pct"/>
            <w:tcBorders>
              <w:top w:val="nil"/>
              <w:left w:val="nil"/>
              <w:bottom w:val="nil"/>
              <w:right w:val="nil"/>
            </w:tcBorders>
            <w:shd w:val="clear" w:color="000000" w:fill="E7E6E6"/>
            <w:noWrap/>
            <w:vAlign w:val="center"/>
            <w:hideMark/>
          </w:tcPr>
          <w:p w14:paraId="62416C35"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14.9</w:t>
            </w:r>
          </w:p>
        </w:tc>
        <w:tc>
          <w:tcPr>
            <w:tcW w:w="217" w:type="pct"/>
            <w:tcBorders>
              <w:top w:val="nil"/>
              <w:left w:val="nil"/>
              <w:bottom w:val="nil"/>
              <w:right w:val="nil"/>
            </w:tcBorders>
            <w:shd w:val="clear" w:color="auto" w:fill="auto"/>
            <w:noWrap/>
            <w:vAlign w:val="center"/>
            <w:hideMark/>
          </w:tcPr>
          <w:p w14:paraId="02E11974"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96</w:t>
            </w:r>
          </w:p>
        </w:tc>
        <w:tc>
          <w:tcPr>
            <w:tcW w:w="217" w:type="pct"/>
            <w:tcBorders>
              <w:top w:val="nil"/>
              <w:left w:val="nil"/>
              <w:bottom w:val="nil"/>
              <w:right w:val="nil"/>
            </w:tcBorders>
            <w:shd w:val="clear" w:color="000000" w:fill="E7E6E6"/>
            <w:noWrap/>
            <w:vAlign w:val="center"/>
            <w:hideMark/>
          </w:tcPr>
          <w:p w14:paraId="109A35B5"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14.0</w:t>
            </w:r>
          </w:p>
        </w:tc>
        <w:tc>
          <w:tcPr>
            <w:tcW w:w="216" w:type="pct"/>
            <w:tcBorders>
              <w:top w:val="nil"/>
              <w:left w:val="nil"/>
              <w:bottom w:val="nil"/>
              <w:right w:val="nil"/>
            </w:tcBorders>
            <w:shd w:val="clear" w:color="auto" w:fill="auto"/>
            <w:noWrap/>
            <w:vAlign w:val="center"/>
            <w:hideMark/>
          </w:tcPr>
          <w:p w14:paraId="070B2DF0"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114</w:t>
            </w:r>
          </w:p>
        </w:tc>
        <w:tc>
          <w:tcPr>
            <w:tcW w:w="217" w:type="pct"/>
            <w:tcBorders>
              <w:top w:val="nil"/>
              <w:left w:val="nil"/>
              <w:bottom w:val="nil"/>
              <w:right w:val="nil"/>
            </w:tcBorders>
            <w:shd w:val="clear" w:color="000000" w:fill="E7E6E6"/>
            <w:noWrap/>
            <w:vAlign w:val="center"/>
            <w:hideMark/>
          </w:tcPr>
          <w:p w14:paraId="52EDF7C0"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15.8</w:t>
            </w:r>
          </w:p>
        </w:tc>
        <w:tc>
          <w:tcPr>
            <w:tcW w:w="217" w:type="pct"/>
            <w:tcBorders>
              <w:top w:val="nil"/>
              <w:left w:val="nil"/>
              <w:bottom w:val="nil"/>
              <w:right w:val="nil"/>
            </w:tcBorders>
            <w:shd w:val="clear" w:color="auto" w:fill="auto"/>
            <w:noWrap/>
            <w:vAlign w:val="center"/>
            <w:hideMark/>
          </w:tcPr>
          <w:p w14:paraId="0E4656FF"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134</w:t>
            </w:r>
          </w:p>
        </w:tc>
        <w:tc>
          <w:tcPr>
            <w:tcW w:w="217" w:type="pct"/>
            <w:tcBorders>
              <w:top w:val="nil"/>
              <w:left w:val="nil"/>
              <w:bottom w:val="nil"/>
              <w:right w:val="nil"/>
            </w:tcBorders>
            <w:shd w:val="clear" w:color="000000" w:fill="E7E6E6"/>
            <w:noWrap/>
            <w:vAlign w:val="center"/>
            <w:hideMark/>
          </w:tcPr>
          <w:p w14:paraId="3B842ABC"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18.5</w:t>
            </w:r>
          </w:p>
        </w:tc>
        <w:tc>
          <w:tcPr>
            <w:tcW w:w="217" w:type="pct"/>
            <w:tcBorders>
              <w:top w:val="nil"/>
              <w:left w:val="nil"/>
              <w:bottom w:val="nil"/>
              <w:right w:val="nil"/>
            </w:tcBorders>
            <w:shd w:val="clear" w:color="auto" w:fill="auto"/>
            <w:noWrap/>
            <w:vAlign w:val="center"/>
            <w:hideMark/>
          </w:tcPr>
          <w:p w14:paraId="58684DAE"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123</w:t>
            </w:r>
          </w:p>
        </w:tc>
        <w:tc>
          <w:tcPr>
            <w:tcW w:w="217" w:type="pct"/>
            <w:tcBorders>
              <w:top w:val="nil"/>
              <w:left w:val="nil"/>
              <w:bottom w:val="nil"/>
              <w:right w:val="nil"/>
            </w:tcBorders>
            <w:shd w:val="clear" w:color="000000" w:fill="E7E6E6"/>
            <w:noWrap/>
            <w:vAlign w:val="center"/>
            <w:hideMark/>
          </w:tcPr>
          <w:p w14:paraId="3478EED1"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17.0</w:t>
            </w:r>
          </w:p>
        </w:tc>
        <w:tc>
          <w:tcPr>
            <w:tcW w:w="217" w:type="pct"/>
            <w:tcBorders>
              <w:top w:val="nil"/>
              <w:left w:val="nil"/>
              <w:bottom w:val="nil"/>
              <w:right w:val="nil"/>
            </w:tcBorders>
            <w:shd w:val="clear" w:color="auto" w:fill="auto"/>
            <w:noWrap/>
            <w:vAlign w:val="center"/>
            <w:hideMark/>
          </w:tcPr>
          <w:p w14:paraId="1E6EA344"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127</w:t>
            </w:r>
          </w:p>
        </w:tc>
        <w:tc>
          <w:tcPr>
            <w:tcW w:w="217" w:type="pct"/>
            <w:tcBorders>
              <w:top w:val="nil"/>
              <w:left w:val="nil"/>
              <w:bottom w:val="nil"/>
              <w:right w:val="nil"/>
            </w:tcBorders>
            <w:shd w:val="clear" w:color="000000" w:fill="E7E6E6"/>
            <w:noWrap/>
            <w:vAlign w:val="center"/>
            <w:hideMark/>
          </w:tcPr>
          <w:p w14:paraId="157A2B4B"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17.7</w:t>
            </w:r>
          </w:p>
        </w:tc>
        <w:tc>
          <w:tcPr>
            <w:tcW w:w="217" w:type="pct"/>
            <w:tcBorders>
              <w:top w:val="nil"/>
              <w:left w:val="nil"/>
              <w:bottom w:val="nil"/>
              <w:right w:val="nil"/>
            </w:tcBorders>
            <w:shd w:val="clear" w:color="auto" w:fill="auto"/>
            <w:noWrap/>
            <w:vAlign w:val="center"/>
            <w:hideMark/>
          </w:tcPr>
          <w:p w14:paraId="0ADB8995"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118</w:t>
            </w:r>
          </w:p>
        </w:tc>
        <w:tc>
          <w:tcPr>
            <w:tcW w:w="274" w:type="pct"/>
            <w:tcBorders>
              <w:top w:val="nil"/>
              <w:left w:val="nil"/>
              <w:bottom w:val="nil"/>
              <w:right w:val="nil"/>
            </w:tcBorders>
            <w:shd w:val="clear" w:color="000000" w:fill="E7E6E6"/>
            <w:noWrap/>
            <w:vAlign w:val="center"/>
            <w:hideMark/>
          </w:tcPr>
          <w:p w14:paraId="2339C87C" w14:textId="77777777" w:rsidR="004E7B7E" w:rsidRPr="008B619A" w:rsidRDefault="004E7B7E" w:rsidP="003A6C05">
            <w:pPr>
              <w:widowControl/>
              <w:jc w:val="center"/>
              <w:rPr>
                <w:rFonts w:hAnsi="標楷體" w:cs="Tahoma"/>
                <w:color w:val="000000" w:themeColor="text1"/>
                <w:kern w:val="0"/>
                <w:sz w:val="15"/>
                <w:szCs w:val="15"/>
              </w:rPr>
            </w:pPr>
            <w:r w:rsidRPr="008B619A">
              <w:rPr>
                <w:rFonts w:hAnsi="標楷體" w:cs="Tahoma" w:hint="eastAsia"/>
                <w:color w:val="000000" w:themeColor="text1"/>
                <w:kern w:val="0"/>
                <w:sz w:val="15"/>
                <w:szCs w:val="15"/>
              </w:rPr>
              <w:t>15.9</w:t>
            </w:r>
          </w:p>
        </w:tc>
      </w:tr>
      <w:tr w:rsidR="004E7B7E" w:rsidRPr="008B619A" w14:paraId="1EFF9A38" w14:textId="77777777" w:rsidTr="006400F0">
        <w:trPr>
          <w:trHeight w:val="330"/>
        </w:trPr>
        <w:tc>
          <w:tcPr>
            <w:tcW w:w="600" w:type="pct"/>
            <w:tcBorders>
              <w:top w:val="nil"/>
              <w:left w:val="nil"/>
              <w:bottom w:val="nil"/>
              <w:right w:val="single" w:sz="4" w:space="0" w:color="auto"/>
            </w:tcBorders>
            <w:shd w:val="clear" w:color="auto" w:fill="auto"/>
            <w:noWrap/>
            <w:vAlign w:val="center"/>
            <w:hideMark/>
          </w:tcPr>
          <w:p w14:paraId="27C8E197" w14:textId="77777777" w:rsidR="004E7B7E" w:rsidRPr="008B619A" w:rsidRDefault="004E7B7E" w:rsidP="008055B8">
            <w:pPr>
              <w:widowControl/>
              <w:jc w:val="center"/>
              <w:rPr>
                <w:rFonts w:hAnsi="標楷體" w:cs="Tahoma"/>
                <w:bCs/>
                <w:color w:val="000000" w:themeColor="text1"/>
                <w:kern w:val="0"/>
                <w:sz w:val="20"/>
              </w:rPr>
            </w:pPr>
            <w:r w:rsidRPr="008B619A">
              <w:rPr>
                <w:rFonts w:hAnsi="標楷體" w:cs="Tahoma" w:hint="eastAsia"/>
                <w:bCs/>
                <w:color w:val="000000" w:themeColor="text1"/>
                <w:kern w:val="0"/>
                <w:sz w:val="20"/>
              </w:rPr>
              <w:t>法律</w:t>
            </w:r>
          </w:p>
        </w:tc>
        <w:tc>
          <w:tcPr>
            <w:tcW w:w="216" w:type="pct"/>
            <w:tcBorders>
              <w:top w:val="nil"/>
              <w:left w:val="nil"/>
              <w:bottom w:val="nil"/>
              <w:right w:val="nil"/>
            </w:tcBorders>
            <w:shd w:val="clear" w:color="auto" w:fill="auto"/>
            <w:noWrap/>
            <w:vAlign w:val="center"/>
            <w:hideMark/>
          </w:tcPr>
          <w:p w14:paraId="608317A0"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5</w:t>
            </w:r>
          </w:p>
        </w:tc>
        <w:tc>
          <w:tcPr>
            <w:tcW w:w="217" w:type="pct"/>
            <w:tcBorders>
              <w:top w:val="nil"/>
              <w:left w:val="nil"/>
              <w:bottom w:val="nil"/>
              <w:right w:val="nil"/>
            </w:tcBorders>
            <w:shd w:val="clear" w:color="000000" w:fill="E7E6E6"/>
            <w:noWrap/>
            <w:vAlign w:val="center"/>
            <w:hideMark/>
          </w:tcPr>
          <w:p w14:paraId="202E30B1"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0.8</w:t>
            </w:r>
          </w:p>
        </w:tc>
        <w:tc>
          <w:tcPr>
            <w:tcW w:w="217" w:type="pct"/>
            <w:tcBorders>
              <w:top w:val="nil"/>
              <w:left w:val="nil"/>
              <w:bottom w:val="nil"/>
              <w:right w:val="nil"/>
            </w:tcBorders>
            <w:shd w:val="clear" w:color="auto" w:fill="auto"/>
            <w:noWrap/>
            <w:vAlign w:val="center"/>
            <w:hideMark/>
          </w:tcPr>
          <w:p w14:paraId="270EA86E"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11</w:t>
            </w:r>
          </w:p>
        </w:tc>
        <w:tc>
          <w:tcPr>
            <w:tcW w:w="217" w:type="pct"/>
            <w:tcBorders>
              <w:top w:val="nil"/>
              <w:left w:val="nil"/>
              <w:bottom w:val="nil"/>
              <w:right w:val="nil"/>
            </w:tcBorders>
            <w:shd w:val="clear" w:color="000000" w:fill="E7E6E6"/>
            <w:noWrap/>
            <w:vAlign w:val="center"/>
            <w:hideMark/>
          </w:tcPr>
          <w:p w14:paraId="78604B4A"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1.8</w:t>
            </w:r>
          </w:p>
        </w:tc>
        <w:tc>
          <w:tcPr>
            <w:tcW w:w="217" w:type="pct"/>
            <w:tcBorders>
              <w:top w:val="nil"/>
              <w:left w:val="nil"/>
              <w:bottom w:val="nil"/>
              <w:right w:val="nil"/>
            </w:tcBorders>
            <w:shd w:val="clear" w:color="auto" w:fill="auto"/>
            <w:noWrap/>
            <w:vAlign w:val="center"/>
            <w:hideMark/>
          </w:tcPr>
          <w:p w14:paraId="21355317"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4</w:t>
            </w:r>
          </w:p>
        </w:tc>
        <w:tc>
          <w:tcPr>
            <w:tcW w:w="217" w:type="pct"/>
            <w:tcBorders>
              <w:top w:val="nil"/>
              <w:left w:val="nil"/>
              <w:bottom w:val="nil"/>
              <w:right w:val="nil"/>
            </w:tcBorders>
            <w:shd w:val="clear" w:color="000000" w:fill="E7E6E6"/>
            <w:noWrap/>
            <w:vAlign w:val="center"/>
            <w:hideMark/>
          </w:tcPr>
          <w:p w14:paraId="15C160EA"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0.6</w:t>
            </w:r>
          </w:p>
        </w:tc>
        <w:tc>
          <w:tcPr>
            <w:tcW w:w="217" w:type="pct"/>
            <w:tcBorders>
              <w:top w:val="nil"/>
              <w:left w:val="nil"/>
              <w:bottom w:val="nil"/>
              <w:right w:val="nil"/>
            </w:tcBorders>
            <w:shd w:val="clear" w:color="auto" w:fill="auto"/>
            <w:noWrap/>
            <w:vAlign w:val="center"/>
            <w:hideMark/>
          </w:tcPr>
          <w:p w14:paraId="36AFB664"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10</w:t>
            </w:r>
          </w:p>
        </w:tc>
        <w:tc>
          <w:tcPr>
            <w:tcW w:w="217" w:type="pct"/>
            <w:tcBorders>
              <w:top w:val="nil"/>
              <w:left w:val="nil"/>
              <w:bottom w:val="nil"/>
              <w:right w:val="nil"/>
            </w:tcBorders>
            <w:shd w:val="clear" w:color="000000" w:fill="E7E6E6"/>
            <w:noWrap/>
            <w:vAlign w:val="center"/>
            <w:hideMark/>
          </w:tcPr>
          <w:p w14:paraId="0DF4FBD0"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1.4</w:t>
            </w:r>
          </w:p>
        </w:tc>
        <w:tc>
          <w:tcPr>
            <w:tcW w:w="217" w:type="pct"/>
            <w:tcBorders>
              <w:top w:val="nil"/>
              <w:left w:val="nil"/>
              <w:bottom w:val="nil"/>
              <w:right w:val="nil"/>
            </w:tcBorders>
            <w:shd w:val="clear" w:color="auto" w:fill="auto"/>
            <w:noWrap/>
            <w:vAlign w:val="center"/>
            <w:hideMark/>
          </w:tcPr>
          <w:p w14:paraId="0A6D1A1B"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8</w:t>
            </w:r>
          </w:p>
        </w:tc>
        <w:tc>
          <w:tcPr>
            <w:tcW w:w="217" w:type="pct"/>
            <w:tcBorders>
              <w:top w:val="nil"/>
              <w:left w:val="nil"/>
              <w:bottom w:val="nil"/>
              <w:right w:val="nil"/>
            </w:tcBorders>
            <w:shd w:val="clear" w:color="000000" w:fill="E7E6E6"/>
            <w:noWrap/>
            <w:vAlign w:val="center"/>
            <w:hideMark/>
          </w:tcPr>
          <w:p w14:paraId="168F327C"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1.2</w:t>
            </w:r>
          </w:p>
        </w:tc>
        <w:tc>
          <w:tcPr>
            <w:tcW w:w="216" w:type="pct"/>
            <w:tcBorders>
              <w:top w:val="nil"/>
              <w:left w:val="nil"/>
              <w:bottom w:val="nil"/>
              <w:right w:val="nil"/>
            </w:tcBorders>
            <w:shd w:val="clear" w:color="auto" w:fill="auto"/>
            <w:noWrap/>
            <w:vAlign w:val="center"/>
            <w:hideMark/>
          </w:tcPr>
          <w:p w14:paraId="0E908D20"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8</w:t>
            </w:r>
          </w:p>
        </w:tc>
        <w:tc>
          <w:tcPr>
            <w:tcW w:w="217" w:type="pct"/>
            <w:tcBorders>
              <w:top w:val="nil"/>
              <w:left w:val="nil"/>
              <w:bottom w:val="nil"/>
              <w:right w:val="nil"/>
            </w:tcBorders>
            <w:shd w:val="clear" w:color="000000" w:fill="E7E6E6"/>
            <w:noWrap/>
            <w:vAlign w:val="center"/>
            <w:hideMark/>
          </w:tcPr>
          <w:p w14:paraId="5A82C271"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1.1</w:t>
            </w:r>
          </w:p>
        </w:tc>
        <w:tc>
          <w:tcPr>
            <w:tcW w:w="217" w:type="pct"/>
            <w:tcBorders>
              <w:top w:val="nil"/>
              <w:left w:val="nil"/>
              <w:bottom w:val="nil"/>
              <w:right w:val="nil"/>
            </w:tcBorders>
            <w:shd w:val="clear" w:color="auto" w:fill="auto"/>
            <w:noWrap/>
            <w:vAlign w:val="center"/>
            <w:hideMark/>
          </w:tcPr>
          <w:p w14:paraId="656A3D45"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7</w:t>
            </w:r>
          </w:p>
        </w:tc>
        <w:tc>
          <w:tcPr>
            <w:tcW w:w="217" w:type="pct"/>
            <w:tcBorders>
              <w:top w:val="nil"/>
              <w:left w:val="nil"/>
              <w:bottom w:val="nil"/>
              <w:right w:val="nil"/>
            </w:tcBorders>
            <w:shd w:val="clear" w:color="000000" w:fill="E7E6E6"/>
            <w:noWrap/>
            <w:vAlign w:val="center"/>
            <w:hideMark/>
          </w:tcPr>
          <w:p w14:paraId="37BD6033"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1.0</w:t>
            </w:r>
          </w:p>
        </w:tc>
        <w:tc>
          <w:tcPr>
            <w:tcW w:w="217" w:type="pct"/>
            <w:tcBorders>
              <w:top w:val="nil"/>
              <w:left w:val="nil"/>
              <w:bottom w:val="nil"/>
              <w:right w:val="nil"/>
            </w:tcBorders>
            <w:shd w:val="clear" w:color="auto" w:fill="auto"/>
            <w:noWrap/>
            <w:vAlign w:val="center"/>
            <w:hideMark/>
          </w:tcPr>
          <w:p w14:paraId="77206016"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3</w:t>
            </w:r>
          </w:p>
        </w:tc>
        <w:tc>
          <w:tcPr>
            <w:tcW w:w="217" w:type="pct"/>
            <w:tcBorders>
              <w:top w:val="nil"/>
              <w:left w:val="nil"/>
              <w:bottom w:val="nil"/>
              <w:right w:val="nil"/>
            </w:tcBorders>
            <w:shd w:val="clear" w:color="000000" w:fill="E7E6E6"/>
            <w:noWrap/>
            <w:vAlign w:val="center"/>
            <w:hideMark/>
          </w:tcPr>
          <w:p w14:paraId="30132AD9"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0.4</w:t>
            </w:r>
          </w:p>
        </w:tc>
        <w:tc>
          <w:tcPr>
            <w:tcW w:w="217" w:type="pct"/>
            <w:tcBorders>
              <w:top w:val="nil"/>
              <w:left w:val="nil"/>
              <w:bottom w:val="nil"/>
              <w:right w:val="nil"/>
            </w:tcBorders>
            <w:shd w:val="clear" w:color="auto" w:fill="auto"/>
            <w:noWrap/>
            <w:vAlign w:val="center"/>
            <w:hideMark/>
          </w:tcPr>
          <w:p w14:paraId="6A5F8E3D"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7</w:t>
            </w:r>
          </w:p>
        </w:tc>
        <w:tc>
          <w:tcPr>
            <w:tcW w:w="217" w:type="pct"/>
            <w:tcBorders>
              <w:top w:val="nil"/>
              <w:left w:val="nil"/>
              <w:bottom w:val="nil"/>
              <w:right w:val="nil"/>
            </w:tcBorders>
            <w:shd w:val="clear" w:color="000000" w:fill="E7E6E6"/>
            <w:noWrap/>
            <w:vAlign w:val="center"/>
            <w:hideMark/>
          </w:tcPr>
          <w:p w14:paraId="6EE097F8"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1.0</w:t>
            </w:r>
          </w:p>
        </w:tc>
        <w:tc>
          <w:tcPr>
            <w:tcW w:w="217" w:type="pct"/>
            <w:tcBorders>
              <w:top w:val="nil"/>
              <w:left w:val="nil"/>
              <w:bottom w:val="nil"/>
              <w:right w:val="nil"/>
            </w:tcBorders>
            <w:shd w:val="clear" w:color="auto" w:fill="auto"/>
            <w:noWrap/>
            <w:vAlign w:val="center"/>
            <w:hideMark/>
          </w:tcPr>
          <w:p w14:paraId="3932EED1"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4</w:t>
            </w:r>
          </w:p>
        </w:tc>
        <w:tc>
          <w:tcPr>
            <w:tcW w:w="274" w:type="pct"/>
            <w:tcBorders>
              <w:top w:val="nil"/>
              <w:left w:val="nil"/>
              <w:bottom w:val="nil"/>
              <w:right w:val="nil"/>
            </w:tcBorders>
            <w:shd w:val="clear" w:color="000000" w:fill="E7E6E6"/>
            <w:noWrap/>
            <w:vAlign w:val="center"/>
            <w:hideMark/>
          </w:tcPr>
          <w:p w14:paraId="7200AD27" w14:textId="77777777" w:rsidR="004E7B7E" w:rsidRPr="008B619A" w:rsidRDefault="004E7B7E" w:rsidP="003A6C05">
            <w:pPr>
              <w:widowControl/>
              <w:jc w:val="center"/>
              <w:rPr>
                <w:rFonts w:hAnsi="標楷體" w:cs="Tahoma"/>
                <w:color w:val="000000" w:themeColor="text1"/>
                <w:kern w:val="0"/>
                <w:sz w:val="15"/>
                <w:szCs w:val="15"/>
              </w:rPr>
            </w:pPr>
            <w:r w:rsidRPr="008B619A">
              <w:rPr>
                <w:rFonts w:hAnsi="標楷體" w:cs="Tahoma" w:hint="eastAsia"/>
                <w:color w:val="000000" w:themeColor="text1"/>
                <w:kern w:val="0"/>
                <w:sz w:val="15"/>
                <w:szCs w:val="15"/>
              </w:rPr>
              <w:t>0.5</w:t>
            </w:r>
          </w:p>
        </w:tc>
      </w:tr>
      <w:tr w:rsidR="004E7B7E" w:rsidRPr="008B619A" w14:paraId="13879F52" w14:textId="77777777" w:rsidTr="006400F0">
        <w:trPr>
          <w:trHeight w:val="330"/>
        </w:trPr>
        <w:tc>
          <w:tcPr>
            <w:tcW w:w="600" w:type="pct"/>
            <w:tcBorders>
              <w:top w:val="nil"/>
              <w:left w:val="nil"/>
              <w:bottom w:val="nil"/>
              <w:right w:val="single" w:sz="4" w:space="0" w:color="auto"/>
            </w:tcBorders>
            <w:shd w:val="clear" w:color="auto" w:fill="auto"/>
            <w:noWrap/>
            <w:vAlign w:val="center"/>
            <w:hideMark/>
          </w:tcPr>
          <w:p w14:paraId="4ECC234B" w14:textId="77777777" w:rsidR="004E7B7E" w:rsidRPr="008B619A" w:rsidRDefault="004E7B7E" w:rsidP="008055B8">
            <w:pPr>
              <w:widowControl/>
              <w:jc w:val="center"/>
              <w:rPr>
                <w:rFonts w:hAnsi="標楷體" w:cs="Tahoma"/>
                <w:bCs/>
                <w:color w:val="000000" w:themeColor="text1"/>
                <w:kern w:val="0"/>
                <w:sz w:val="20"/>
              </w:rPr>
            </w:pPr>
            <w:r w:rsidRPr="008B619A">
              <w:rPr>
                <w:rFonts w:hAnsi="標楷體" w:cs="Tahoma" w:hint="eastAsia"/>
                <w:bCs/>
                <w:color w:val="000000" w:themeColor="text1"/>
                <w:kern w:val="0"/>
                <w:sz w:val="20"/>
              </w:rPr>
              <w:t>生命科學</w:t>
            </w:r>
          </w:p>
        </w:tc>
        <w:tc>
          <w:tcPr>
            <w:tcW w:w="216" w:type="pct"/>
            <w:tcBorders>
              <w:top w:val="nil"/>
              <w:left w:val="nil"/>
              <w:bottom w:val="nil"/>
              <w:right w:val="nil"/>
            </w:tcBorders>
            <w:shd w:val="clear" w:color="auto" w:fill="auto"/>
            <w:noWrap/>
            <w:vAlign w:val="center"/>
            <w:hideMark/>
          </w:tcPr>
          <w:p w14:paraId="0872E2FE"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59</w:t>
            </w:r>
          </w:p>
        </w:tc>
        <w:tc>
          <w:tcPr>
            <w:tcW w:w="217" w:type="pct"/>
            <w:tcBorders>
              <w:top w:val="nil"/>
              <w:left w:val="nil"/>
              <w:bottom w:val="nil"/>
              <w:right w:val="nil"/>
            </w:tcBorders>
            <w:shd w:val="clear" w:color="000000" w:fill="E7E6E6"/>
            <w:noWrap/>
            <w:vAlign w:val="center"/>
            <w:hideMark/>
          </w:tcPr>
          <w:p w14:paraId="3A7AEF95"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9.9</w:t>
            </w:r>
          </w:p>
        </w:tc>
        <w:tc>
          <w:tcPr>
            <w:tcW w:w="217" w:type="pct"/>
            <w:tcBorders>
              <w:top w:val="nil"/>
              <w:left w:val="nil"/>
              <w:bottom w:val="nil"/>
              <w:right w:val="nil"/>
            </w:tcBorders>
            <w:shd w:val="clear" w:color="auto" w:fill="auto"/>
            <w:noWrap/>
            <w:vAlign w:val="center"/>
            <w:hideMark/>
          </w:tcPr>
          <w:p w14:paraId="194601A5"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41</w:t>
            </w:r>
          </w:p>
        </w:tc>
        <w:tc>
          <w:tcPr>
            <w:tcW w:w="217" w:type="pct"/>
            <w:tcBorders>
              <w:top w:val="nil"/>
              <w:left w:val="nil"/>
              <w:bottom w:val="nil"/>
              <w:right w:val="nil"/>
            </w:tcBorders>
            <w:shd w:val="clear" w:color="000000" w:fill="E7E6E6"/>
            <w:noWrap/>
            <w:vAlign w:val="center"/>
            <w:hideMark/>
          </w:tcPr>
          <w:p w14:paraId="2DB9DA9A"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6.7</w:t>
            </w:r>
          </w:p>
        </w:tc>
        <w:tc>
          <w:tcPr>
            <w:tcW w:w="217" w:type="pct"/>
            <w:tcBorders>
              <w:top w:val="nil"/>
              <w:left w:val="nil"/>
              <w:bottom w:val="nil"/>
              <w:right w:val="nil"/>
            </w:tcBorders>
            <w:shd w:val="clear" w:color="auto" w:fill="auto"/>
            <w:noWrap/>
            <w:vAlign w:val="center"/>
            <w:hideMark/>
          </w:tcPr>
          <w:p w14:paraId="4E04209C"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57</w:t>
            </w:r>
          </w:p>
        </w:tc>
        <w:tc>
          <w:tcPr>
            <w:tcW w:w="217" w:type="pct"/>
            <w:tcBorders>
              <w:top w:val="nil"/>
              <w:left w:val="nil"/>
              <w:bottom w:val="nil"/>
              <w:right w:val="nil"/>
            </w:tcBorders>
            <w:shd w:val="clear" w:color="000000" w:fill="E7E6E6"/>
            <w:noWrap/>
            <w:vAlign w:val="center"/>
            <w:hideMark/>
          </w:tcPr>
          <w:p w14:paraId="0F63D246"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9.2</w:t>
            </w:r>
          </w:p>
        </w:tc>
        <w:tc>
          <w:tcPr>
            <w:tcW w:w="217" w:type="pct"/>
            <w:tcBorders>
              <w:top w:val="nil"/>
              <w:left w:val="nil"/>
              <w:bottom w:val="nil"/>
              <w:right w:val="nil"/>
            </w:tcBorders>
            <w:shd w:val="clear" w:color="auto" w:fill="auto"/>
            <w:noWrap/>
            <w:vAlign w:val="center"/>
            <w:hideMark/>
          </w:tcPr>
          <w:p w14:paraId="0386737E"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61</w:t>
            </w:r>
          </w:p>
        </w:tc>
        <w:tc>
          <w:tcPr>
            <w:tcW w:w="217" w:type="pct"/>
            <w:tcBorders>
              <w:top w:val="nil"/>
              <w:left w:val="nil"/>
              <w:bottom w:val="nil"/>
              <w:right w:val="nil"/>
            </w:tcBorders>
            <w:shd w:val="clear" w:color="000000" w:fill="E7E6E6"/>
            <w:noWrap/>
            <w:vAlign w:val="center"/>
            <w:hideMark/>
          </w:tcPr>
          <w:p w14:paraId="580954C1"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8.7</w:t>
            </w:r>
          </w:p>
        </w:tc>
        <w:tc>
          <w:tcPr>
            <w:tcW w:w="217" w:type="pct"/>
            <w:tcBorders>
              <w:top w:val="nil"/>
              <w:left w:val="nil"/>
              <w:bottom w:val="nil"/>
              <w:right w:val="nil"/>
            </w:tcBorders>
            <w:shd w:val="clear" w:color="auto" w:fill="auto"/>
            <w:noWrap/>
            <w:vAlign w:val="center"/>
            <w:hideMark/>
          </w:tcPr>
          <w:p w14:paraId="790561DA"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66</w:t>
            </w:r>
          </w:p>
        </w:tc>
        <w:tc>
          <w:tcPr>
            <w:tcW w:w="217" w:type="pct"/>
            <w:tcBorders>
              <w:top w:val="nil"/>
              <w:left w:val="nil"/>
              <w:bottom w:val="nil"/>
              <w:right w:val="nil"/>
            </w:tcBorders>
            <w:shd w:val="clear" w:color="000000" w:fill="E7E6E6"/>
            <w:noWrap/>
            <w:vAlign w:val="center"/>
            <w:hideMark/>
          </w:tcPr>
          <w:p w14:paraId="5E87DE0E"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9.6</w:t>
            </w:r>
          </w:p>
        </w:tc>
        <w:tc>
          <w:tcPr>
            <w:tcW w:w="216" w:type="pct"/>
            <w:tcBorders>
              <w:top w:val="nil"/>
              <w:left w:val="nil"/>
              <w:bottom w:val="nil"/>
              <w:right w:val="nil"/>
            </w:tcBorders>
            <w:shd w:val="clear" w:color="auto" w:fill="auto"/>
            <w:noWrap/>
            <w:vAlign w:val="center"/>
            <w:hideMark/>
          </w:tcPr>
          <w:p w14:paraId="1D5EB4A7"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58</w:t>
            </w:r>
          </w:p>
        </w:tc>
        <w:tc>
          <w:tcPr>
            <w:tcW w:w="217" w:type="pct"/>
            <w:tcBorders>
              <w:top w:val="nil"/>
              <w:left w:val="nil"/>
              <w:bottom w:val="nil"/>
              <w:right w:val="nil"/>
            </w:tcBorders>
            <w:shd w:val="clear" w:color="000000" w:fill="E7E6E6"/>
            <w:noWrap/>
            <w:vAlign w:val="center"/>
            <w:hideMark/>
          </w:tcPr>
          <w:p w14:paraId="55451DEB"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8.0</w:t>
            </w:r>
          </w:p>
        </w:tc>
        <w:tc>
          <w:tcPr>
            <w:tcW w:w="217" w:type="pct"/>
            <w:tcBorders>
              <w:top w:val="nil"/>
              <w:left w:val="nil"/>
              <w:bottom w:val="nil"/>
              <w:right w:val="nil"/>
            </w:tcBorders>
            <w:shd w:val="clear" w:color="auto" w:fill="auto"/>
            <w:noWrap/>
            <w:vAlign w:val="center"/>
            <w:hideMark/>
          </w:tcPr>
          <w:p w14:paraId="5799A380"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66</w:t>
            </w:r>
          </w:p>
        </w:tc>
        <w:tc>
          <w:tcPr>
            <w:tcW w:w="217" w:type="pct"/>
            <w:tcBorders>
              <w:top w:val="nil"/>
              <w:left w:val="nil"/>
              <w:bottom w:val="nil"/>
              <w:right w:val="nil"/>
            </w:tcBorders>
            <w:shd w:val="clear" w:color="000000" w:fill="E7E6E6"/>
            <w:noWrap/>
            <w:vAlign w:val="center"/>
            <w:hideMark/>
          </w:tcPr>
          <w:p w14:paraId="3C224B41"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9.1</w:t>
            </w:r>
          </w:p>
        </w:tc>
        <w:tc>
          <w:tcPr>
            <w:tcW w:w="217" w:type="pct"/>
            <w:tcBorders>
              <w:top w:val="nil"/>
              <w:left w:val="nil"/>
              <w:bottom w:val="nil"/>
              <w:right w:val="nil"/>
            </w:tcBorders>
            <w:shd w:val="clear" w:color="auto" w:fill="auto"/>
            <w:noWrap/>
            <w:vAlign w:val="center"/>
            <w:hideMark/>
          </w:tcPr>
          <w:p w14:paraId="0AADC9B8"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67</w:t>
            </w:r>
          </w:p>
        </w:tc>
        <w:tc>
          <w:tcPr>
            <w:tcW w:w="217" w:type="pct"/>
            <w:tcBorders>
              <w:top w:val="nil"/>
              <w:left w:val="nil"/>
              <w:bottom w:val="nil"/>
              <w:right w:val="nil"/>
            </w:tcBorders>
            <w:shd w:val="clear" w:color="000000" w:fill="E7E6E6"/>
            <w:noWrap/>
            <w:vAlign w:val="center"/>
            <w:hideMark/>
          </w:tcPr>
          <w:p w14:paraId="482047CC"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9.3</w:t>
            </w:r>
          </w:p>
        </w:tc>
        <w:tc>
          <w:tcPr>
            <w:tcW w:w="217" w:type="pct"/>
            <w:tcBorders>
              <w:top w:val="nil"/>
              <w:left w:val="nil"/>
              <w:bottom w:val="nil"/>
              <w:right w:val="nil"/>
            </w:tcBorders>
            <w:shd w:val="clear" w:color="auto" w:fill="auto"/>
            <w:noWrap/>
            <w:vAlign w:val="center"/>
            <w:hideMark/>
          </w:tcPr>
          <w:p w14:paraId="196F408B"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49</w:t>
            </w:r>
          </w:p>
        </w:tc>
        <w:tc>
          <w:tcPr>
            <w:tcW w:w="217" w:type="pct"/>
            <w:tcBorders>
              <w:top w:val="nil"/>
              <w:left w:val="nil"/>
              <w:bottom w:val="nil"/>
              <w:right w:val="nil"/>
            </w:tcBorders>
            <w:shd w:val="clear" w:color="000000" w:fill="E7E6E6"/>
            <w:noWrap/>
            <w:vAlign w:val="center"/>
            <w:hideMark/>
          </w:tcPr>
          <w:p w14:paraId="5C0BC965"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6.8</w:t>
            </w:r>
          </w:p>
        </w:tc>
        <w:tc>
          <w:tcPr>
            <w:tcW w:w="217" w:type="pct"/>
            <w:tcBorders>
              <w:top w:val="nil"/>
              <w:left w:val="nil"/>
              <w:bottom w:val="nil"/>
              <w:right w:val="nil"/>
            </w:tcBorders>
            <w:shd w:val="clear" w:color="auto" w:fill="auto"/>
            <w:noWrap/>
            <w:vAlign w:val="center"/>
            <w:hideMark/>
          </w:tcPr>
          <w:p w14:paraId="4B3A0AAC"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50</w:t>
            </w:r>
          </w:p>
        </w:tc>
        <w:tc>
          <w:tcPr>
            <w:tcW w:w="274" w:type="pct"/>
            <w:tcBorders>
              <w:top w:val="nil"/>
              <w:left w:val="nil"/>
              <w:bottom w:val="nil"/>
              <w:right w:val="nil"/>
            </w:tcBorders>
            <w:shd w:val="clear" w:color="000000" w:fill="E7E6E6"/>
            <w:noWrap/>
            <w:vAlign w:val="center"/>
            <w:hideMark/>
          </w:tcPr>
          <w:p w14:paraId="0CB8404E" w14:textId="77777777" w:rsidR="004E7B7E" w:rsidRPr="008B619A" w:rsidRDefault="004E7B7E" w:rsidP="003A6C05">
            <w:pPr>
              <w:widowControl/>
              <w:jc w:val="center"/>
              <w:rPr>
                <w:rFonts w:hAnsi="標楷體" w:cs="Tahoma"/>
                <w:color w:val="000000" w:themeColor="text1"/>
                <w:kern w:val="0"/>
                <w:sz w:val="15"/>
                <w:szCs w:val="15"/>
              </w:rPr>
            </w:pPr>
            <w:r w:rsidRPr="008B619A">
              <w:rPr>
                <w:rFonts w:hAnsi="標楷體" w:cs="Tahoma" w:hint="eastAsia"/>
                <w:color w:val="000000" w:themeColor="text1"/>
                <w:kern w:val="0"/>
                <w:sz w:val="15"/>
                <w:szCs w:val="15"/>
              </w:rPr>
              <w:t>6.7</w:t>
            </w:r>
          </w:p>
        </w:tc>
      </w:tr>
      <w:tr w:rsidR="004E7B7E" w:rsidRPr="008B619A" w14:paraId="63DE5717" w14:textId="77777777" w:rsidTr="006400F0">
        <w:trPr>
          <w:trHeight w:val="330"/>
        </w:trPr>
        <w:tc>
          <w:tcPr>
            <w:tcW w:w="600" w:type="pct"/>
            <w:tcBorders>
              <w:top w:val="nil"/>
              <w:left w:val="nil"/>
              <w:bottom w:val="nil"/>
              <w:right w:val="single" w:sz="4" w:space="0" w:color="auto"/>
            </w:tcBorders>
            <w:shd w:val="clear" w:color="auto" w:fill="auto"/>
            <w:noWrap/>
            <w:vAlign w:val="center"/>
            <w:hideMark/>
          </w:tcPr>
          <w:p w14:paraId="54F7BBFE" w14:textId="77777777" w:rsidR="004E7B7E" w:rsidRPr="008B619A" w:rsidRDefault="004E7B7E" w:rsidP="008055B8">
            <w:pPr>
              <w:widowControl/>
              <w:jc w:val="center"/>
              <w:rPr>
                <w:rFonts w:hAnsi="標楷體" w:cs="Tahoma"/>
                <w:bCs/>
                <w:color w:val="000000" w:themeColor="text1"/>
                <w:kern w:val="0"/>
                <w:sz w:val="20"/>
              </w:rPr>
            </w:pPr>
            <w:r w:rsidRPr="008B619A">
              <w:rPr>
                <w:rFonts w:hAnsi="標楷體" w:cs="Tahoma" w:hint="eastAsia"/>
                <w:bCs/>
                <w:color w:val="000000" w:themeColor="text1"/>
                <w:kern w:val="0"/>
                <w:sz w:val="20"/>
              </w:rPr>
              <w:t>環境</w:t>
            </w:r>
          </w:p>
        </w:tc>
        <w:tc>
          <w:tcPr>
            <w:tcW w:w="216" w:type="pct"/>
            <w:tcBorders>
              <w:top w:val="nil"/>
              <w:left w:val="nil"/>
              <w:bottom w:val="nil"/>
              <w:right w:val="nil"/>
            </w:tcBorders>
            <w:shd w:val="clear" w:color="auto" w:fill="auto"/>
            <w:noWrap/>
            <w:vAlign w:val="center"/>
            <w:hideMark/>
          </w:tcPr>
          <w:p w14:paraId="3EF3E9BF"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w:t>
            </w:r>
          </w:p>
        </w:tc>
        <w:tc>
          <w:tcPr>
            <w:tcW w:w="217" w:type="pct"/>
            <w:tcBorders>
              <w:top w:val="nil"/>
              <w:left w:val="nil"/>
              <w:bottom w:val="nil"/>
              <w:right w:val="nil"/>
            </w:tcBorders>
            <w:shd w:val="clear" w:color="000000" w:fill="E7E6E6"/>
            <w:noWrap/>
            <w:vAlign w:val="center"/>
            <w:hideMark/>
          </w:tcPr>
          <w:p w14:paraId="2E5B2280"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w:t>
            </w:r>
          </w:p>
        </w:tc>
        <w:tc>
          <w:tcPr>
            <w:tcW w:w="217" w:type="pct"/>
            <w:tcBorders>
              <w:top w:val="nil"/>
              <w:left w:val="nil"/>
              <w:bottom w:val="nil"/>
              <w:right w:val="nil"/>
            </w:tcBorders>
            <w:shd w:val="clear" w:color="auto" w:fill="auto"/>
            <w:noWrap/>
            <w:vAlign w:val="center"/>
            <w:hideMark/>
          </w:tcPr>
          <w:p w14:paraId="7947415E"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w:t>
            </w:r>
          </w:p>
        </w:tc>
        <w:tc>
          <w:tcPr>
            <w:tcW w:w="217" w:type="pct"/>
            <w:tcBorders>
              <w:top w:val="nil"/>
              <w:left w:val="nil"/>
              <w:bottom w:val="nil"/>
              <w:right w:val="nil"/>
            </w:tcBorders>
            <w:shd w:val="clear" w:color="000000" w:fill="E7E6E6"/>
            <w:noWrap/>
            <w:vAlign w:val="center"/>
            <w:hideMark/>
          </w:tcPr>
          <w:p w14:paraId="3DA3AE2E"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w:t>
            </w:r>
          </w:p>
        </w:tc>
        <w:tc>
          <w:tcPr>
            <w:tcW w:w="217" w:type="pct"/>
            <w:tcBorders>
              <w:top w:val="nil"/>
              <w:left w:val="nil"/>
              <w:bottom w:val="nil"/>
              <w:right w:val="nil"/>
            </w:tcBorders>
            <w:shd w:val="clear" w:color="auto" w:fill="auto"/>
            <w:noWrap/>
            <w:vAlign w:val="center"/>
            <w:hideMark/>
          </w:tcPr>
          <w:p w14:paraId="4B5DFE71"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w:t>
            </w:r>
          </w:p>
        </w:tc>
        <w:tc>
          <w:tcPr>
            <w:tcW w:w="217" w:type="pct"/>
            <w:tcBorders>
              <w:top w:val="nil"/>
              <w:left w:val="nil"/>
              <w:bottom w:val="nil"/>
              <w:right w:val="nil"/>
            </w:tcBorders>
            <w:shd w:val="clear" w:color="000000" w:fill="E7E6E6"/>
            <w:noWrap/>
            <w:vAlign w:val="center"/>
            <w:hideMark/>
          </w:tcPr>
          <w:p w14:paraId="6FF705D2"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w:t>
            </w:r>
          </w:p>
        </w:tc>
        <w:tc>
          <w:tcPr>
            <w:tcW w:w="217" w:type="pct"/>
            <w:tcBorders>
              <w:top w:val="nil"/>
              <w:left w:val="nil"/>
              <w:bottom w:val="nil"/>
              <w:right w:val="nil"/>
            </w:tcBorders>
            <w:shd w:val="clear" w:color="auto" w:fill="auto"/>
            <w:noWrap/>
            <w:vAlign w:val="center"/>
            <w:hideMark/>
          </w:tcPr>
          <w:p w14:paraId="72A74225"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w:t>
            </w:r>
          </w:p>
        </w:tc>
        <w:tc>
          <w:tcPr>
            <w:tcW w:w="217" w:type="pct"/>
            <w:tcBorders>
              <w:top w:val="nil"/>
              <w:left w:val="nil"/>
              <w:bottom w:val="nil"/>
              <w:right w:val="nil"/>
            </w:tcBorders>
            <w:shd w:val="clear" w:color="000000" w:fill="E7E6E6"/>
            <w:noWrap/>
            <w:vAlign w:val="center"/>
            <w:hideMark/>
          </w:tcPr>
          <w:p w14:paraId="15A18532"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w:t>
            </w:r>
          </w:p>
        </w:tc>
        <w:tc>
          <w:tcPr>
            <w:tcW w:w="217" w:type="pct"/>
            <w:tcBorders>
              <w:top w:val="nil"/>
              <w:left w:val="nil"/>
              <w:bottom w:val="nil"/>
              <w:right w:val="nil"/>
            </w:tcBorders>
            <w:shd w:val="clear" w:color="auto" w:fill="auto"/>
            <w:noWrap/>
            <w:vAlign w:val="center"/>
            <w:hideMark/>
          </w:tcPr>
          <w:p w14:paraId="707F9D76"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w:t>
            </w:r>
          </w:p>
        </w:tc>
        <w:tc>
          <w:tcPr>
            <w:tcW w:w="217" w:type="pct"/>
            <w:tcBorders>
              <w:top w:val="nil"/>
              <w:left w:val="nil"/>
              <w:bottom w:val="nil"/>
              <w:right w:val="nil"/>
            </w:tcBorders>
            <w:shd w:val="clear" w:color="000000" w:fill="E7E6E6"/>
            <w:noWrap/>
            <w:vAlign w:val="center"/>
            <w:hideMark/>
          </w:tcPr>
          <w:p w14:paraId="6AC8B0F3"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w:t>
            </w:r>
          </w:p>
        </w:tc>
        <w:tc>
          <w:tcPr>
            <w:tcW w:w="216" w:type="pct"/>
            <w:tcBorders>
              <w:top w:val="nil"/>
              <w:left w:val="nil"/>
              <w:bottom w:val="nil"/>
              <w:right w:val="nil"/>
            </w:tcBorders>
            <w:shd w:val="clear" w:color="auto" w:fill="auto"/>
            <w:noWrap/>
            <w:vAlign w:val="center"/>
            <w:hideMark/>
          </w:tcPr>
          <w:p w14:paraId="30394880"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w:t>
            </w:r>
          </w:p>
        </w:tc>
        <w:tc>
          <w:tcPr>
            <w:tcW w:w="217" w:type="pct"/>
            <w:tcBorders>
              <w:top w:val="nil"/>
              <w:left w:val="nil"/>
              <w:bottom w:val="nil"/>
              <w:right w:val="nil"/>
            </w:tcBorders>
            <w:shd w:val="clear" w:color="000000" w:fill="E7E6E6"/>
            <w:noWrap/>
            <w:vAlign w:val="center"/>
            <w:hideMark/>
          </w:tcPr>
          <w:p w14:paraId="209F1179"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w:t>
            </w:r>
          </w:p>
        </w:tc>
        <w:tc>
          <w:tcPr>
            <w:tcW w:w="217" w:type="pct"/>
            <w:tcBorders>
              <w:top w:val="nil"/>
              <w:left w:val="nil"/>
              <w:bottom w:val="nil"/>
              <w:right w:val="nil"/>
            </w:tcBorders>
            <w:shd w:val="clear" w:color="auto" w:fill="auto"/>
            <w:noWrap/>
            <w:vAlign w:val="center"/>
            <w:hideMark/>
          </w:tcPr>
          <w:p w14:paraId="116E0090"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w:t>
            </w:r>
          </w:p>
        </w:tc>
        <w:tc>
          <w:tcPr>
            <w:tcW w:w="217" w:type="pct"/>
            <w:tcBorders>
              <w:top w:val="nil"/>
              <w:left w:val="nil"/>
              <w:bottom w:val="nil"/>
              <w:right w:val="nil"/>
            </w:tcBorders>
            <w:shd w:val="clear" w:color="000000" w:fill="E7E6E6"/>
            <w:noWrap/>
            <w:vAlign w:val="center"/>
            <w:hideMark/>
          </w:tcPr>
          <w:p w14:paraId="4418513B"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w:t>
            </w:r>
          </w:p>
        </w:tc>
        <w:tc>
          <w:tcPr>
            <w:tcW w:w="217" w:type="pct"/>
            <w:tcBorders>
              <w:top w:val="nil"/>
              <w:left w:val="nil"/>
              <w:bottom w:val="nil"/>
              <w:right w:val="nil"/>
            </w:tcBorders>
            <w:shd w:val="clear" w:color="auto" w:fill="auto"/>
            <w:noWrap/>
            <w:vAlign w:val="center"/>
            <w:hideMark/>
          </w:tcPr>
          <w:p w14:paraId="73F111C2"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w:t>
            </w:r>
          </w:p>
        </w:tc>
        <w:tc>
          <w:tcPr>
            <w:tcW w:w="217" w:type="pct"/>
            <w:tcBorders>
              <w:top w:val="nil"/>
              <w:left w:val="nil"/>
              <w:bottom w:val="nil"/>
              <w:right w:val="nil"/>
            </w:tcBorders>
            <w:shd w:val="clear" w:color="000000" w:fill="E7E6E6"/>
            <w:noWrap/>
            <w:vAlign w:val="center"/>
            <w:hideMark/>
          </w:tcPr>
          <w:p w14:paraId="02432AB4"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w:t>
            </w:r>
          </w:p>
        </w:tc>
        <w:tc>
          <w:tcPr>
            <w:tcW w:w="217" w:type="pct"/>
            <w:tcBorders>
              <w:top w:val="nil"/>
              <w:left w:val="nil"/>
              <w:bottom w:val="nil"/>
              <w:right w:val="nil"/>
            </w:tcBorders>
            <w:shd w:val="clear" w:color="auto" w:fill="auto"/>
            <w:noWrap/>
            <w:vAlign w:val="center"/>
            <w:hideMark/>
          </w:tcPr>
          <w:p w14:paraId="65C9EC2B"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w:t>
            </w:r>
          </w:p>
        </w:tc>
        <w:tc>
          <w:tcPr>
            <w:tcW w:w="217" w:type="pct"/>
            <w:tcBorders>
              <w:top w:val="nil"/>
              <w:left w:val="nil"/>
              <w:bottom w:val="nil"/>
              <w:right w:val="nil"/>
            </w:tcBorders>
            <w:shd w:val="clear" w:color="000000" w:fill="E7E6E6"/>
            <w:noWrap/>
            <w:vAlign w:val="center"/>
            <w:hideMark/>
          </w:tcPr>
          <w:p w14:paraId="0E7610FB"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w:t>
            </w:r>
          </w:p>
        </w:tc>
        <w:tc>
          <w:tcPr>
            <w:tcW w:w="217" w:type="pct"/>
            <w:tcBorders>
              <w:top w:val="nil"/>
              <w:left w:val="nil"/>
              <w:bottom w:val="nil"/>
              <w:right w:val="nil"/>
            </w:tcBorders>
            <w:shd w:val="clear" w:color="auto" w:fill="auto"/>
            <w:noWrap/>
            <w:vAlign w:val="center"/>
            <w:hideMark/>
          </w:tcPr>
          <w:p w14:paraId="6276321E"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w:t>
            </w:r>
          </w:p>
        </w:tc>
        <w:tc>
          <w:tcPr>
            <w:tcW w:w="274" w:type="pct"/>
            <w:tcBorders>
              <w:top w:val="nil"/>
              <w:left w:val="nil"/>
              <w:bottom w:val="nil"/>
              <w:right w:val="nil"/>
            </w:tcBorders>
            <w:shd w:val="clear" w:color="000000" w:fill="E7E6E6"/>
            <w:noWrap/>
            <w:vAlign w:val="center"/>
            <w:hideMark/>
          </w:tcPr>
          <w:p w14:paraId="6B6D86EE" w14:textId="77777777" w:rsidR="004E7B7E" w:rsidRPr="008B619A" w:rsidRDefault="004E7B7E" w:rsidP="003A6C05">
            <w:pPr>
              <w:widowControl/>
              <w:jc w:val="center"/>
              <w:rPr>
                <w:rFonts w:hAnsi="標楷體" w:cs="Tahoma"/>
                <w:color w:val="000000" w:themeColor="text1"/>
                <w:kern w:val="0"/>
                <w:sz w:val="15"/>
                <w:szCs w:val="15"/>
              </w:rPr>
            </w:pPr>
            <w:r w:rsidRPr="008B619A">
              <w:rPr>
                <w:rFonts w:hAnsi="標楷體" w:cs="Tahoma" w:hint="eastAsia"/>
                <w:color w:val="000000" w:themeColor="text1"/>
                <w:kern w:val="0"/>
                <w:sz w:val="15"/>
                <w:szCs w:val="15"/>
              </w:rPr>
              <w:t>-</w:t>
            </w:r>
          </w:p>
        </w:tc>
      </w:tr>
      <w:tr w:rsidR="004E7B7E" w:rsidRPr="008B619A" w14:paraId="249C1892" w14:textId="77777777" w:rsidTr="006400F0">
        <w:trPr>
          <w:trHeight w:val="330"/>
        </w:trPr>
        <w:tc>
          <w:tcPr>
            <w:tcW w:w="600" w:type="pct"/>
            <w:tcBorders>
              <w:top w:val="nil"/>
              <w:left w:val="nil"/>
              <w:bottom w:val="nil"/>
              <w:right w:val="single" w:sz="4" w:space="0" w:color="auto"/>
            </w:tcBorders>
            <w:shd w:val="clear" w:color="auto" w:fill="auto"/>
            <w:noWrap/>
            <w:vAlign w:val="center"/>
            <w:hideMark/>
          </w:tcPr>
          <w:p w14:paraId="63BFE64B" w14:textId="77777777" w:rsidR="004E7B7E" w:rsidRPr="008B619A" w:rsidRDefault="004E7B7E" w:rsidP="008055B8">
            <w:pPr>
              <w:widowControl/>
              <w:jc w:val="center"/>
              <w:rPr>
                <w:rFonts w:hAnsi="標楷體" w:cs="Tahoma"/>
                <w:bCs/>
                <w:color w:val="000000" w:themeColor="text1"/>
                <w:kern w:val="0"/>
                <w:sz w:val="20"/>
              </w:rPr>
            </w:pPr>
            <w:r w:rsidRPr="008B619A">
              <w:rPr>
                <w:rFonts w:hAnsi="標楷體" w:cs="Tahoma" w:hint="eastAsia"/>
                <w:bCs/>
                <w:color w:val="000000" w:themeColor="text1"/>
                <w:kern w:val="0"/>
                <w:sz w:val="20"/>
              </w:rPr>
              <w:t>物理、化學及地球科學</w:t>
            </w:r>
          </w:p>
        </w:tc>
        <w:tc>
          <w:tcPr>
            <w:tcW w:w="216" w:type="pct"/>
            <w:tcBorders>
              <w:top w:val="nil"/>
              <w:left w:val="nil"/>
              <w:bottom w:val="nil"/>
              <w:right w:val="nil"/>
            </w:tcBorders>
            <w:shd w:val="clear" w:color="auto" w:fill="auto"/>
            <w:noWrap/>
            <w:vAlign w:val="center"/>
            <w:hideMark/>
          </w:tcPr>
          <w:p w14:paraId="53F2BC63"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23</w:t>
            </w:r>
          </w:p>
        </w:tc>
        <w:tc>
          <w:tcPr>
            <w:tcW w:w="217" w:type="pct"/>
            <w:tcBorders>
              <w:top w:val="nil"/>
              <w:left w:val="nil"/>
              <w:bottom w:val="nil"/>
              <w:right w:val="nil"/>
            </w:tcBorders>
            <w:shd w:val="clear" w:color="000000" w:fill="E7E6E6"/>
            <w:noWrap/>
            <w:vAlign w:val="center"/>
            <w:hideMark/>
          </w:tcPr>
          <w:p w14:paraId="22320672"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3.9</w:t>
            </w:r>
          </w:p>
        </w:tc>
        <w:tc>
          <w:tcPr>
            <w:tcW w:w="217" w:type="pct"/>
            <w:tcBorders>
              <w:top w:val="nil"/>
              <w:left w:val="nil"/>
              <w:bottom w:val="nil"/>
              <w:right w:val="nil"/>
            </w:tcBorders>
            <w:shd w:val="clear" w:color="auto" w:fill="auto"/>
            <w:noWrap/>
            <w:vAlign w:val="center"/>
            <w:hideMark/>
          </w:tcPr>
          <w:p w14:paraId="742E0D24"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15</w:t>
            </w:r>
          </w:p>
        </w:tc>
        <w:tc>
          <w:tcPr>
            <w:tcW w:w="217" w:type="pct"/>
            <w:tcBorders>
              <w:top w:val="nil"/>
              <w:left w:val="nil"/>
              <w:bottom w:val="nil"/>
              <w:right w:val="nil"/>
            </w:tcBorders>
            <w:shd w:val="clear" w:color="000000" w:fill="E7E6E6"/>
            <w:noWrap/>
            <w:vAlign w:val="center"/>
            <w:hideMark/>
          </w:tcPr>
          <w:p w14:paraId="25BB1418"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2.5</w:t>
            </w:r>
          </w:p>
        </w:tc>
        <w:tc>
          <w:tcPr>
            <w:tcW w:w="217" w:type="pct"/>
            <w:tcBorders>
              <w:top w:val="nil"/>
              <w:left w:val="nil"/>
              <w:bottom w:val="nil"/>
              <w:right w:val="nil"/>
            </w:tcBorders>
            <w:shd w:val="clear" w:color="auto" w:fill="auto"/>
            <w:noWrap/>
            <w:vAlign w:val="center"/>
            <w:hideMark/>
          </w:tcPr>
          <w:p w14:paraId="14FE937F"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17</w:t>
            </w:r>
          </w:p>
        </w:tc>
        <w:tc>
          <w:tcPr>
            <w:tcW w:w="217" w:type="pct"/>
            <w:tcBorders>
              <w:top w:val="nil"/>
              <w:left w:val="nil"/>
              <w:bottom w:val="nil"/>
              <w:right w:val="nil"/>
            </w:tcBorders>
            <w:shd w:val="clear" w:color="000000" w:fill="E7E6E6"/>
            <w:noWrap/>
            <w:vAlign w:val="center"/>
            <w:hideMark/>
          </w:tcPr>
          <w:p w14:paraId="056D1A26"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2.7</w:t>
            </w:r>
          </w:p>
        </w:tc>
        <w:tc>
          <w:tcPr>
            <w:tcW w:w="217" w:type="pct"/>
            <w:tcBorders>
              <w:top w:val="nil"/>
              <w:left w:val="nil"/>
              <w:bottom w:val="nil"/>
              <w:right w:val="nil"/>
            </w:tcBorders>
            <w:shd w:val="clear" w:color="auto" w:fill="auto"/>
            <w:noWrap/>
            <w:vAlign w:val="center"/>
            <w:hideMark/>
          </w:tcPr>
          <w:p w14:paraId="4590E152"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22</w:t>
            </w:r>
          </w:p>
        </w:tc>
        <w:tc>
          <w:tcPr>
            <w:tcW w:w="217" w:type="pct"/>
            <w:tcBorders>
              <w:top w:val="nil"/>
              <w:left w:val="nil"/>
              <w:bottom w:val="nil"/>
              <w:right w:val="nil"/>
            </w:tcBorders>
            <w:shd w:val="clear" w:color="000000" w:fill="E7E6E6"/>
            <w:noWrap/>
            <w:vAlign w:val="center"/>
            <w:hideMark/>
          </w:tcPr>
          <w:p w14:paraId="6220E57F"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3.1</w:t>
            </w:r>
          </w:p>
        </w:tc>
        <w:tc>
          <w:tcPr>
            <w:tcW w:w="217" w:type="pct"/>
            <w:tcBorders>
              <w:top w:val="nil"/>
              <w:left w:val="nil"/>
              <w:bottom w:val="nil"/>
              <w:right w:val="nil"/>
            </w:tcBorders>
            <w:shd w:val="clear" w:color="auto" w:fill="auto"/>
            <w:noWrap/>
            <w:vAlign w:val="center"/>
            <w:hideMark/>
          </w:tcPr>
          <w:p w14:paraId="231129C2"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25</w:t>
            </w:r>
          </w:p>
        </w:tc>
        <w:tc>
          <w:tcPr>
            <w:tcW w:w="217" w:type="pct"/>
            <w:tcBorders>
              <w:top w:val="nil"/>
              <w:left w:val="nil"/>
              <w:bottom w:val="nil"/>
              <w:right w:val="nil"/>
            </w:tcBorders>
            <w:shd w:val="clear" w:color="000000" w:fill="E7E6E6"/>
            <w:noWrap/>
            <w:vAlign w:val="center"/>
            <w:hideMark/>
          </w:tcPr>
          <w:p w14:paraId="647BAB2D"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3.7</w:t>
            </w:r>
          </w:p>
        </w:tc>
        <w:tc>
          <w:tcPr>
            <w:tcW w:w="216" w:type="pct"/>
            <w:tcBorders>
              <w:top w:val="nil"/>
              <w:left w:val="nil"/>
              <w:bottom w:val="nil"/>
              <w:right w:val="nil"/>
            </w:tcBorders>
            <w:shd w:val="clear" w:color="auto" w:fill="auto"/>
            <w:noWrap/>
            <w:vAlign w:val="center"/>
            <w:hideMark/>
          </w:tcPr>
          <w:p w14:paraId="7762C3EC"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18</w:t>
            </w:r>
          </w:p>
        </w:tc>
        <w:tc>
          <w:tcPr>
            <w:tcW w:w="217" w:type="pct"/>
            <w:tcBorders>
              <w:top w:val="nil"/>
              <w:left w:val="nil"/>
              <w:bottom w:val="nil"/>
              <w:right w:val="nil"/>
            </w:tcBorders>
            <w:shd w:val="clear" w:color="000000" w:fill="E7E6E6"/>
            <w:noWrap/>
            <w:vAlign w:val="center"/>
            <w:hideMark/>
          </w:tcPr>
          <w:p w14:paraId="23032820"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2.5</w:t>
            </w:r>
          </w:p>
        </w:tc>
        <w:tc>
          <w:tcPr>
            <w:tcW w:w="217" w:type="pct"/>
            <w:tcBorders>
              <w:top w:val="nil"/>
              <w:left w:val="nil"/>
              <w:bottom w:val="nil"/>
              <w:right w:val="nil"/>
            </w:tcBorders>
            <w:shd w:val="clear" w:color="auto" w:fill="auto"/>
            <w:noWrap/>
            <w:vAlign w:val="center"/>
            <w:hideMark/>
          </w:tcPr>
          <w:p w14:paraId="4B2722F9"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15</w:t>
            </w:r>
          </w:p>
        </w:tc>
        <w:tc>
          <w:tcPr>
            <w:tcW w:w="217" w:type="pct"/>
            <w:tcBorders>
              <w:top w:val="nil"/>
              <w:left w:val="nil"/>
              <w:bottom w:val="nil"/>
              <w:right w:val="nil"/>
            </w:tcBorders>
            <w:shd w:val="clear" w:color="000000" w:fill="E7E6E6"/>
            <w:noWrap/>
            <w:vAlign w:val="center"/>
            <w:hideMark/>
          </w:tcPr>
          <w:p w14:paraId="37759202"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2.1</w:t>
            </w:r>
          </w:p>
        </w:tc>
        <w:tc>
          <w:tcPr>
            <w:tcW w:w="217" w:type="pct"/>
            <w:tcBorders>
              <w:top w:val="nil"/>
              <w:left w:val="nil"/>
              <w:bottom w:val="nil"/>
              <w:right w:val="nil"/>
            </w:tcBorders>
            <w:shd w:val="clear" w:color="auto" w:fill="auto"/>
            <w:noWrap/>
            <w:vAlign w:val="center"/>
            <w:hideMark/>
          </w:tcPr>
          <w:p w14:paraId="346F319E"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24</w:t>
            </w:r>
          </w:p>
        </w:tc>
        <w:tc>
          <w:tcPr>
            <w:tcW w:w="217" w:type="pct"/>
            <w:tcBorders>
              <w:top w:val="nil"/>
              <w:left w:val="nil"/>
              <w:bottom w:val="nil"/>
              <w:right w:val="nil"/>
            </w:tcBorders>
            <w:shd w:val="clear" w:color="000000" w:fill="E7E6E6"/>
            <w:noWrap/>
            <w:vAlign w:val="center"/>
            <w:hideMark/>
          </w:tcPr>
          <w:p w14:paraId="28CF3A8A"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3.3</w:t>
            </w:r>
          </w:p>
        </w:tc>
        <w:tc>
          <w:tcPr>
            <w:tcW w:w="217" w:type="pct"/>
            <w:tcBorders>
              <w:top w:val="nil"/>
              <w:left w:val="nil"/>
              <w:bottom w:val="nil"/>
              <w:right w:val="nil"/>
            </w:tcBorders>
            <w:shd w:val="clear" w:color="auto" w:fill="auto"/>
            <w:noWrap/>
            <w:vAlign w:val="center"/>
            <w:hideMark/>
          </w:tcPr>
          <w:p w14:paraId="31058631"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18</w:t>
            </w:r>
          </w:p>
        </w:tc>
        <w:tc>
          <w:tcPr>
            <w:tcW w:w="217" w:type="pct"/>
            <w:tcBorders>
              <w:top w:val="nil"/>
              <w:left w:val="nil"/>
              <w:bottom w:val="nil"/>
              <w:right w:val="nil"/>
            </w:tcBorders>
            <w:shd w:val="clear" w:color="000000" w:fill="E7E6E6"/>
            <w:noWrap/>
            <w:vAlign w:val="center"/>
            <w:hideMark/>
          </w:tcPr>
          <w:p w14:paraId="3BF9D945"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2.5</w:t>
            </w:r>
          </w:p>
        </w:tc>
        <w:tc>
          <w:tcPr>
            <w:tcW w:w="217" w:type="pct"/>
            <w:tcBorders>
              <w:top w:val="nil"/>
              <w:left w:val="nil"/>
              <w:bottom w:val="nil"/>
              <w:right w:val="nil"/>
            </w:tcBorders>
            <w:shd w:val="clear" w:color="auto" w:fill="auto"/>
            <w:noWrap/>
            <w:vAlign w:val="center"/>
            <w:hideMark/>
          </w:tcPr>
          <w:p w14:paraId="7B11133D"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23</w:t>
            </w:r>
          </w:p>
        </w:tc>
        <w:tc>
          <w:tcPr>
            <w:tcW w:w="274" w:type="pct"/>
            <w:tcBorders>
              <w:top w:val="nil"/>
              <w:left w:val="nil"/>
              <w:bottom w:val="nil"/>
              <w:right w:val="nil"/>
            </w:tcBorders>
            <w:shd w:val="clear" w:color="000000" w:fill="E7E6E6"/>
            <w:noWrap/>
            <w:vAlign w:val="center"/>
            <w:hideMark/>
          </w:tcPr>
          <w:p w14:paraId="591C0FEF" w14:textId="77777777" w:rsidR="004E7B7E" w:rsidRPr="008B619A" w:rsidRDefault="004E7B7E" w:rsidP="003A6C05">
            <w:pPr>
              <w:widowControl/>
              <w:jc w:val="center"/>
              <w:rPr>
                <w:rFonts w:hAnsi="標楷體" w:cs="Tahoma"/>
                <w:color w:val="000000" w:themeColor="text1"/>
                <w:kern w:val="0"/>
                <w:sz w:val="15"/>
                <w:szCs w:val="15"/>
              </w:rPr>
            </w:pPr>
            <w:r w:rsidRPr="008B619A">
              <w:rPr>
                <w:rFonts w:hAnsi="標楷體" w:cs="Tahoma" w:hint="eastAsia"/>
                <w:color w:val="000000" w:themeColor="text1"/>
                <w:kern w:val="0"/>
                <w:sz w:val="15"/>
                <w:szCs w:val="15"/>
              </w:rPr>
              <w:t>3.1</w:t>
            </w:r>
          </w:p>
        </w:tc>
      </w:tr>
      <w:tr w:rsidR="004E7B7E" w:rsidRPr="008B619A" w14:paraId="5DAE1EF7" w14:textId="77777777" w:rsidTr="006400F0">
        <w:trPr>
          <w:trHeight w:val="330"/>
        </w:trPr>
        <w:tc>
          <w:tcPr>
            <w:tcW w:w="600" w:type="pct"/>
            <w:tcBorders>
              <w:top w:val="nil"/>
              <w:left w:val="nil"/>
              <w:bottom w:val="nil"/>
              <w:right w:val="single" w:sz="4" w:space="0" w:color="auto"/>
            </w:tcBorders>
            <w:shd w:val="clear" w:color="auto" w:fill="auto"/>
            <w:noWrap/>
            <w:vAlign w:val="center"/>
            <w:hideMark/>
          </w:tcPr>
          <w:p w14:paraId="13675D3A" w14:textId="77777777" w:rsidR="004E7B7E" w:rsidRPr="008B619A" w:rsidRDefault="004E7B7E" w:rsidP="008055B8">
            <w:pPr>
              <w:widowControl/>
              <w:jc w:val="center"/>
              <w:rPr>
                <w:rFonts w:hAnsi="標楷體" w:cs="Tahoma"/>
                <w:bCs/>
                <w:color w:val="000000" w:themeColor="text1"/>
                <w:kern w:val="0"/>
                <w:sz w:val="20"/>
              </w:rPr>
            </w:pPr>
            <w:r w:rsidRPr="008B619A">
              <w:rPr>
                <w:rFonts w:hAnsi="標楷體" w:cs="Tahoma" w:hint="eastAsia"/>
                <w:bCs/>
                <w:color w:val="000000" w:themeColor="text1"/>
                <w:kern w:val="0"/>
                <w:sz w:val="20"/>
              </w:rPr>
              <w:t>數學及統計</w:t>
            </w:r>
          </w:p>
        </w:tc>
        <w:tc>
          <w:tcPr>
            <w:tcW w:w="216" w:type="pct"/>
            <w:tcBorders>
              <w:top w:val="nil"/>
              <w:left w:val="nil"/>
              <w:bottom w:val="nil"/>
              <w:right w:val="nil"/>
            </w:tcBorders>
            <w:shd w:val="clear" w:color="auto" w:fill="auto"/>
            <w:noWrap/>
            <w:vAlign w:val="center"/>
            <w:hideMark/>
          </w:tcPr>
          <w:p w14:paraId="7F7038C8"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11</w:t>
            </w:r>
          </w:p>
        </w:tc>
        <w:tc>
          <w:tcPr>
            <w:tcW w:w="217" w:type="pct"/>
            <w:tcBorders>
              <w:top w:val="nil"/>
              <w:left w:val="nil"/>
              <w:bottom w:val="nil"/>
              <w:right w:val="nil"/>
            </w:tcBorders>
            <w:shd w:val="clear" w:color="000000" w:fill="E7E6E6"/>
            <w:noWrap/>
            <w:vAlign w:val="center"/>
            <w:hideMark/>
          </w:tcPr>
          <w:p w14:paraId="0F3F5223"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1.8</w:t>
            </w:r>
          </w:p>
        </w:tc>
        <w:tc>
          <w:tcPr>
            <w:tcW w:w="217" w:type="pct"/>
            <w:tcBorders>
              <w:top w:val="nil"/>
              <w:left w:val="nil"/>
              <w:bottom w:val="nil"/>
              <w:right w:val="nil"/>
            </w:tcBorders>
            <w:shd w:val="clear" w:color="auto" w:fill="auto"/>
            <w:noWrap/>
            <w:vAlign w:val="center"/>
            <w:hideMark/>
          </w:tcPr>
          <w:p w14:paraId="0B3EB766"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7</w:t>
            </w:r>
          </w:p>
        </w:tc>
        <w:tc>
          <w:tcPr>
            <w:tcW w:w="217" w:type="pct"/>
            <w:tcBorders>
              <w:top w:val="nil"/>
              <w:left w:val="nil"/>
              <w:bottom w:val="nil"/>
              <w:right w:val="nil"/>
            </w:tcBorders>
            <w:shd w:val="clear" w:color="000000" w:fill="E7E6E6"/>
            <w:noWrap/>
            <w:vAlign w:val="center"/>
            <w:hideMark/>
          </w:tcPr>
          <w:p w14:paraId="000E7DC1"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1.1</w:t>
            </w:r>
          </w:p>
        </w:tc>
        <w:tc>
          <w:tcPr>
            <w:tcW w:w="217" w:type="pct"/>
            <w:tcBorders>
              <w:top w:val="nil"/>
              <w:left w:val="nil"/>
              <w:bottom w:val="nil"/>
              <w:right w:val="nil"/>
            </w:tcBorders>
            <w:shd w:val="clear" w:color="auto" w:fill="auto"/>
            <w:noWrap/>
            <w:vAlign w:val="center"/>
            <w:hideMark/>
          </w:tcPr>
          <w:p w14:paraId="46FB0358"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10</w:t>
            </w:r>
          </w:p>
        </w:tc>
        <w:tc>
          <w:tcPr>
            <w:tcW w:w="217" w:type="pct"/>
            <w:tcBorders>
              <w:top w:val="nil"/>
              <w:left w:val="nil"/>
              <w:bottom w:val="nil"/>
              <w:right w:val="nil"/>
            </w:tcBorders>
            <w:shd w:val="clear" w:color="000000" w:fill="E7E6E6"/>
            <w:noWrap/>
            <w:vAlign w:val="center"/>
            <w:hideMark/>
          </w:tcPr>
          <w:p w14:paraId="26BC2395"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1.6</w:t>
            </w:r>
          </w:p>
        </w:tc>
        <w:tc>
          <w:tcPr>
            <w:tcW w:w="217" w:type="pct"/>
            <w:tcBorders>
              <w:top w:val="nil"/>
              <w:left w:val="nil"/>
              <w:bottom w:val="nil"/>
              <w:right w:val="nil"/>
            </w:tcBorders>
            <w:shd w:val="clear" w:color="auto" w:fill="auto"/>
            <w:noWrap/>
            <w:vAlign w:val="center"/>
            <w:hideMark/>
          </w:tcPr>
          <w:p w14:paraId="1AADDFBA"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10</w:t>
            </w:r>
          </w:p>
        </w:tc>
        <w:tc>
          <w:tcPr>
            <w:tcW w:w="217" w:type="pct"/>
            <w:tcBorders>
              <w:top w:val="nil"/>
              <w:left w:val="nil"/>
              <w:bottom w:val="nil"/>
              <w:right w:val="nil"/>
            </w:tcBorders>
            <w:shd w:val="clear" w:color="000000" w:fill="E7E6E6"/>
            <w:noWrap/>
            <w:vAlign w:val="center"/>
            <w:hideMark/>
          </w:tcPr>
          <w:p w14:paraId="1B6C98D2"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1.4</w:t>
            </w:r>
          </w:p>
        </w:tc>
        <w:tc>
          <w:tcPr>
            <w:tcW w:w="217" w:type="pct"/>
            <w:tcBorders>
              <w:top w:val="nil"/>
              <w:left w:val="nil"/>
              <w:bottom w:val="nil"/>
              <w:right w:val="nil"/>
            </w:tcBorders>
            <w:shd w:val="clear" w:color="auto" w:fill="auto"/>
            <w:noWrap/>
            <w:vAlign w:val="center"/>
            <w:hideMark/>
          </w:tcPr>
          <w:p w14:paraId="302F773F"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5</w:t>
            </w:r>
          </w:p>
        </w:tc>
        <w:tc>
          <w:tcPr>
            <w:tcW w:w="217" w:type="pct"/>
            <w:tcBorders>
              <w:top w:val="nil"/>
              <w:left w:val="nil"/>
              <w:bottom w:val="nil"/>
              <w:right w:val="nil"/>
            </w:tcBorders>
            <w:shd w:val="clear" w:color="000000" w:fill="E7E6E6"/>
            <w:noWrap/>
            <w:vAlign w:val="center"/>
            <w:hideMark/>
          </w:tcPr>
          <w:p w14:paraId="27FE8641"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0.7</w:t>
            </w:r>
          </w:p>
        </w:tc>
        <w:tc>
          <w:tcPr>
            <w:tcW w:w="216" w:type="pct"/>
            <w:tcBorders>
              <w:top w:val="nil"/>
              <w:left w:val="nil"/>
              <w:bottom w:val="nil"/>
              <w:right w:val="nil"/>
            </w:tcBorders>
            <w:shd w:val="clear" w:color="auto" w:fill="auto"/>
            <w:noWrap/>
            <w:vAlign w:val="center"/>
            <w:hideMark/>
          </w:tcPr>
          <w:p w14:paraId="6A712156"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4</w:t>
            </w:r>
          </w:p>
        </w:tc>
        <w:tc>
          <w:tcPr>
            <w:tcW w:w="217" w:type="pct"/>
            <w:tcBorders>
              <w:top w:val="nil"/>
              <w:left w:val="nil"/>
              <w:bottom w:val="nil"/>
              <w:right w:val="nil"/>
            </w:tcBorders>
            <w:shd w:val="clear" w:color="000000" w:fill="E7E6E6"/>
            <w:noWrap/>
            <w:vAlign w:val="center"/>
            <w:hideMark/>
          </w:tcPr>
          <w:p w14:paraId="1118C327"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0.6</w:t>
            </w:r>
          </w:p>
        </w:tc>
        <w:tc>
          <w:tcPr>
            <w:tcW w:w="217" w:type="pct"/>
            <w:tcBorders>
              <w:top w:val="nil"/>
              <w:left w:val="nil"/>
              <w:bottom w:val="nil"/>
              <w:right w:val="nil"/>
            </w:tcBorders>
            <w:shd w:val="clear" w:color="auto" w:fill="auto"/>
            <w:noWrap/>
            <w:vAlign w:val="center"/>
            <w:hideMark/>
          </w:tcPr>
          <w:p w14:paraId="7E0359A6"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4</w:t>
            </w:r>
          </w:p>
        </w:tc>
        <w:tc>
          <w:tcPr>
            <w:tcW w:w="217" w:type="pct"/>
            <w:tcBorders>
              <w:top w:val="nil"/>
              <w:left w:val="nil"/>
              <w:bottom w:val="nil"/>
              <w:right w:val="nil"/>
            </w:tcBorders>
            <w:shd w:val="clear" w:color="000000" w:fill="E7E6E6"/>
            <w:noWrap/>
            <w:vAlign w:val="center"/>
            <w:hideMark/>
          </w:tcPr>
          <w:p w14:paraId="61933521"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0.6</w:t>
            </w:r>
          </w:p>
        </w:tc>
        <w:tc>
          <w:tcPr>
            <w:tcW w:w="217" w:type="pct"/>
            <w:tcBorders>
              <w:top w:val="nil"/>
              <w:left w:val="nil"/>
              <w:bottom w:val="nil"/>
              <w:right w:val="nil"/>
            </w:tcBorders>
            <w:shd w:val="clear" w:color="auto" w:fill="auto"/>
            <w:noWrap/>
            <w:vAlign w:val="center"/>
            <w:hideMark/>
          </w:tcPr>
          <w:p w14:paraId="676A2EB1"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1</w:t>
            </w:r>
          </w:p>
        </w:tc>
        <w:tc>
          <w:tcPr>
            <w:tcW w:w="217" w:type="pct"/>
            <w:tcBorders>
              <w:top w:val="nil"/>
              <w:left w:val="nil"/>
              <w:bottom w:val="nil"/>
              <w:right w:val="nil"/>
            </w:tcBorders>
            <w:shd w:val="clear" w:color="000000" w:fill="E7E6E6"/>
            <w:noWrap/>
            <w:vAlign w:val="center"/>
            <w:hideMark/>
          </w:tcPr>
          <w:p w14:paraId="6F8E383B"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0.1</w:t>
            </w:r>
          </w:p>
        </w:tc>
        <w:tc>
          <w:tcPr>
            <w:tcW w:w="217" w:type="pct"/>
            <w:tcBorders>
              <w:top w:val="nil"/>
              <w:left w:val="nil"/>
              <w:bottom w:val="nil"/>
              <w:right w:val="nil"/>
            </w:tcBorders>
            <w:shd w:val="clear" w:color="auto" w:fill="auto"/>
            <w:noWrap/>
            <w:vAlign w:val="center"/>
            <w:hideMark/>
          </w:tcPr>
          <w:p w14:paraId="3E1019E8"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7</w:t>
            </w:r>
          </w:p>
        </w:tc>
        <w:tc>
          <w:tcPr>
            <w:tcW w:w="217" w:type="pct"/>
            <w:tcBorders>
              <w:top w:val="nil"/>
              <w:left w:val="nil"/>
              <w:bottom w:val="nil"/>
              <w:right w:val="nil"/>
            </w:tcBorders>
            <w:shd w:val="clear" w:color="000000" w:fill="E7E6E6"/>
            <w:noWrap/>
            <w:vAlign w:val="center"/>
            <w:hideMark/>
          </w:tcPr>
          <w:p w14:paraId="0ABEB778"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1.0</w:t>
            </w:r>
          </w:p>
        </w:tc>
        <w:tc>
          <w:tcPr>
            <w:tcW w:w="217" w:type="pct"/>
            <w:tcBorders>
              <w:top w:val="nil"/>
              <w:left w:val="nil"/>
              <w:bottom w:val="nil"/>
              <w:right w:val="nil"/>
            </w:tcBorders>
            <w:shd w:val="clear" w:color="auto" w:fill="auto"/>
            <w:noWrap/>
            <w:vAlign w:val="center"/>
            <w:hideMark/>
          </w:tcPr>
          <w:p w14:paraId="5191366F"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3</w:t>
            </w:r>
          </w:p>
        </w:tc>
        <w:tc>
          <w:tcPr>
            <w:tcW w:w="274" w:type="pct"/>
            <w:tcBorders>
              <w:top w:val="nil"/>
              <w:left w:val="nil"/>
              <w:bottom w:val="nil"/>
              <w:right w:val="nil"/>
            </w:tcBorders>
            <w:shd w:val="clear" w:color="000000" w:fill="E7E6E6"/>
            <w:noWrap/>
            <w:vAlign w:val="center"/>
            <w:hideMark/>
          </w:tcPr>
          <w:p w14:paraId="4AE210DF" w14:textId="77777777" w:rsidR="004E7B7E" w:rsidRPr="008B619A" w:rsidRDefault="004E7B7E" w:rsidP="003A6C05">
            <w:pPr>
              <w:widowControl/>
              <w:jc w:val="center"/>
              <w:rPr>
                <w:rFonts w:hAnsi="標楷體" w:cs="Tahoma"/>
                <w:color w:val="000000" w:themeColor="text1"/>
                <w:kern w:val="0"/>
                <w:sz w:val="15"/>
                <w:szCs w:val="15"/>
              </w:rPr>
            </w:pPr>
            <w:r w:rsidRPr="008B619A">
              <w:rPr>
                <w:rFonts w:hAnsi="標楷體" w:cs="Tahoma" w:hint="eastAsia"/>
                <w:color w:val="000000" w:themeColor="text1"/>
                <w:kern w:val="0"/>
                <w:sz w:val="15"/>
                <w:szCs w:val="15"/>
              </w:rPr>
              <w:t>0.4</w:t>
            </w:r>
          </w:p>
        </w:tc>
      </w:tr>
      <w:tr w:rsidR="004E7B7E" w:rsidRPr="008B619A" w14:paraId="76533386" w14:textId="77777777" w:rsidTr="006400F0">
        <w:trPr>
          <w:trHeight w:val="330"/>
        </w:trPr>
        <w:tc>
          <w:tcPr>
            <w:tcW w:w="600" w:type="pct"/>
            <w:tcBorders>
              <w:top w:val="nil"/>
              <w:left w:val="nil"/>
              <w:bottom w:val="nil"/>
              <w:right w:val="single" w:sz="4" w:space="0" w:color="auto"/>
            </w:tcBorders>
            <w:shd w:val="clear" w:color="auto" w:fill="auto"/>
            <w:noWrap/>
            <w:vAlign w:val="center"/>
            <w:hideMark/>
          </w:tcPr>
          <w:p w14:paraId="7BE6CF68" w14:textId="77777777" w:rsidR="004E7B7E" w:rsidRPr="008B619A" w:rsidRDefault="004E7B7E" w:rsidP="008055B8">
            <w:pPr>
              <w:widowControl/>
              <w:jc w:val="center"/>
              <w:rPr>
                <w:rFonts w:hAnsi="標楷體" w:cs="Tahoma"/>
                <w:bCs/>
                <w:color w:val="000000" w:themeColor="text1"/>
                <w:kern w:val="0"/>
                <w:sz w:val="20"/>
              </w:rPr>
            </w:pPr>
            <w:r w:rsidRPr="008B619A">
              <w:rPr>
                <w:rFonts w:hAnsi="標楷體" w:cs="Tahoma" w:hint="eastAsia"/>
                <w:bCs/>
                <w:color w:val="000000" w:themeColor="text1"/>
                <w:kern w:val="0"/>
                <w:sz w:val="20"/>
              </w:rPr>
              <w:t>資訊通訊科技</w:t>
            </w:r>
          </w:p>
        </w:tc>
        <w:tc>
          <w:tcPr>
            <w:tcW w:w="216" w:type="pct"/>
            <w:tcBorders>
              <w:top w:val="nil"/>
              <w:left w:val="nil"/>
              <w:bottom w:val="nil"/>
              <w:right w:val="nil"/>
            </w:tcBorders>
            <w:shd w:val="clear" w:color="auto" w:fill="auto"/>
            <w:noWrap/>
            <w:vAlign w:val="center"/>
            <w:hideMark/>
          </w:tcPr>
          <w:p w14:paraId="60AFB547"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32</w:t>
            </w:r>
          </w:p>
        </w:tc>
        <w:tc>
          <w:tcPr>
            <w:tcW w:w="217" w:type="pct"/>
            <w:tcBorders>
              <w:top w:val="nil"/>
              <w:left w:val="nil"/>
              <w:bottom w:val="nil"/>
              <w:right w:val="nil"/>
            </w:tcBorders>
            <w:shd w:val="clear" w:color="000000" w:fill="E7E6E6"/>
            <w:noWrap/>
            <w:vAlign w:val="center"/>
            <w:hideMark/>
          </w:tcPr>
          <w:p w14:paraId="4FCA3F3B"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5.4</w:t>
            </w:r>
          </w:p>
        </w:tc>
        <w:tc>
          <w:tcPr>
            <w:tcW w:w="217" w:type="pct"/>
            <w:tcBorders>
              <w:top w:val="nil"/>
              <w:left w:val="nil"/>
              <w:bottom w:val="nil"/>
              <w:right w:val="nil"/>
            </w:tcBorders>
            <w:shd w:val="clear" w:color="auto" w:fill="auto"/>
            <w:noWrap/>
            <w:vAlign w:val="center"/>
            <w:hideMark/>
          </w:tcPr>
          <w:p w14:paraId="1CE89D7E"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32</w:t>
            </w:r>
          </w:p>
        </w:tc>
        <w:tc>
          <w:tcPr>
            <w:tcW w:w="217" w:type="pct"/>
            <w:tcBorders>
              <w:top w:val="nil"/>
              <w:left w:val="nil"/>
              <w:bottom w:val="nil"/>
              <w:right w:val="nil"/>
            </w:tcBorders>
            <w:shd w:val="clear" w:color="000000" w:fill="E7E6E6"/>
            <w:noWrap/>
            <w:vAlign w:val="center"/>
            <w:hideMark/>
          </w:tcPr>
          <w:p w14:paraId="22EEA332"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5.2</w:t>
            </w:r>
          </w:p>
        </w:tc>
        <w:tc>
          <w:tcPr>
            <w:tcW w:w="217" w:type="pct"/>
            <w:tcBorders>
              <w:top w:val="nil"/>
              <w:left w:val="nil"/>
              <w:bottom w:val="nil"/>
              <w:right w:val="nil"/>
            </w:tcBorders>
            <w:shd w:val="clear" w:color="auto" w:fill="auto"/>
            <w:noWrap/>
            <w:vAlign w:val="center"/>
            <w:hideMark/>
          </w:tcPr>
          <w:p w14:paraId="37F78663"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22</w:t>
            </w:r>
          </w:p>
        </w:tc>
        <w:tc>
          <w:tcPr>
            <w:tcW w:w="217" w:type="pct"/>
            <w:tcBorders>
              <w:top w:val="nil"/>
              <w:left w:val="nil"/>
              <w:bottom w:val="nil"/>
              <w:right w:val="nil"/>
            </w:tcBorders>
            <w:shd w:val="clear" w:color="000000" w:fill="E7E6E6"/>
            <w:noWrap/>
            <w:vAlign w:val="center"/>
            <w:hideMark/>
          </w:tcPr>
          <w:p w14:paraId="2DEB59E9"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3.5</w:t>
            </w:r>
          </w:p>
        </w:tc>
        <w:tc>
          <w:tcPr>
            <w:tcW w:w="217" w:type="pct"/>
            <w:tcBorders>
              <w:top w:val="nil"/>
              <w:left w:val="nil"/>
              <w:bottom w:val="nil"/>
              <w:right w:val="nil"/>
            </w:tcBorders>
            <w:shd w:val="clear" w:color="auto" w:fill="auto"/>
            <w:noWrap/>
            <w:vAlign w:val="center"/>
            <w:hideMark/>
          </w:tcPr>
          <w:p w14:paraId="38E5003C"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21</w:t>
            </w:r>
          </w:p>
        </w:tc>
        <w:tc>
          <w:tcPr>
            <w:tcW w:w="217" w:type="pct"/>
            <w:tcBorders>
              <w:top w:val="nil"/>
              <w:left w:val="nil"/>
              <w:bottom w:val="nil"/>
              <w:right w:val="nil"/>
            </w:tcBorders>
            <w:shd w:val="clear" w:color="000000" w:fill="E7E6E6"/>
            <w:noWrap/>
            <w:vAlign w:val="center"/>
            <w:hideMark/>
          </w:tcPr>
          <w:p w14:paraId="4446C74D"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3.0</w:t>
            </w:r>
          </w:p>
        </w:tc>
        <w:tc>
          <w:tcPr>
            <w:tcW w:w="217" w:type="pct"/>
            <w:tcBorders>
              <w:top w:val="nil"/>
              <w:left w:val="nil"/>
              <w:bottom w:val="nil"/>
              <w:right w:val="nil"/>
            </w:tcBorders>
            <w:shd w:val="clear" w:color="auto" w:fill="auto"/>
            <w:noWrap/>
            <w:vAlign w:val="center"/>
            <w:hideMark/>
          </w:tcPr>
          <w:p w14:paraId="6A58B614"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33</w:t>
            </w:r>
          </w:p>
        </w:tc>
        <w:tc>
          <w:tcPr>
            <w:tcW w:w="217" w:type="pct"/>
            <w:tcBorders>
              <w:top w:val="nil"/>
              <w:left w:val="nil"/>
              <w:bottom w:val="nil"/>
              <w:right w:val="nil"/>
            </w:tcBorders>
            <w:shd w:val="clear" w:color="000000" w:fill="E7E6E6"/>
            <w:noWrap/>
            <w:vAlign w:val="center"/>
            <w:hideMark/>
          </w:tcPr>
          <w:p w14:paraId="684E06B0"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4.8</w:t>
            </w:r>
          </w:p>
        </w:tc>
        <w:tc>
          <w:tcPr>
            <w:tcW w:w="216" w:type="pct"/>
            <w:tcBorders>
              <w:top w:val="nil"/>
              <w:left w:val="nil"/>
              <w:bottom w:val="nil"/>
              <w:right w:val="nil"/>
            </w:tcBorders>
            <w:shd w:val="clear" w:color="auto" w:fill="auto"/>
            <w:noWrap/>
            <w:vAlign w:val="center"/>
            <w:hideMark/>
          </w:tcPr>
          <w:p w14:paraId="14637D95"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26</w:t>
            </w:r>
          </w:p>
        </w:tc>
        <w:tc>
          <w:tcPr>
            <w:tcW w:w="217" w:type="pct"/>
            <w:tcBorders>
              <w:top w:val="nil"/>
              <w:left w:val="nil"/>
              <w:bottom w:val="nil"/>
              <w:right w:val="nil"/>
            </w:tcBorders>
            <w:shd w:val="clear" w:color="000000" w:fill="E7E6E6"/>
            <w:noWrap/>
            <w:vAlign w:val="center"/>
            <w:hideMark/>
          </w:tcPr>
          <w:p w14:paraId="47D58955"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3.6</w:t>
            </w:r>
          </w:p>
        </w:tc>
        <w:tc>
          <w:tcPr>
            <w:tcW w:w="217" w:type="pct"/>
            <w:tcBorders>
              <w:top w:val="nil"/>
              <w:left w:val="nil"/>
              <w:bottom w:val="nil"/>
              <w:right w:val="nil"/>
            </w:tcBorders>
            <w:shd w:val="clear" w:color="auto" w:fill="auto"/>
            <w:noWrap/>
            <w:vAlign w:val="center"/>
            <w:hideMark/>
          </w:tcPr>
          <w:p w14:paraId="6602514D"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34</w:t>
            </w:r>
          </w:p>
        </w:tc>
        <w:tc>
          <w:tcPr>
            <w:tcW w:w="217" w:type="pct"/>
            <w:tcBorders>
              <w:top w:val="nil"/>
              <w:left w:val="nil"/>
              <w:bottom w:val="nil"/>
              <w:right w:val="nil"/>
            </w:tcBorders>
            <w:shd w:val="clear" w:color="000000" w:fill="E7E6E6"/>
            <w:noWrap/>
            <w:vAlign w:val="center"/>
            <w:hideMark/>
          </w:tcPr>
          <w:p w14:paraId="01F5E57F"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4.7</w:t>
            </w:r>
          </w:p>
        </w:tc>
        <w:tc>
          <w:tcPr>
            <w:tcW w:w="217" w:type="pct"/>
            <w:tcBorders>
              <w:top w:val="nil"/>
              <w:left w:val="nil"/>
              <w:bottom w:val="nil"/>
              <w:right w:val="nil"/>
            </w:tcBorders>
            <w:shd w:val="clear" w:color="auto" w:fill="auto"/>
            <w:noWrap/>
            <w:vAlign w:val="center"/>
            <w:hideMark/>
          </w:tcPr>
          <w:p w14:paraId="5171E98A"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23</w:t>
            </w:r>
          </w:p>
        </w:tc>
        <w:tc>
          <w:tcPr>
            <w:tcW w:w="217" w:type="pct"/>
            <w:tcBorders>
              <w:top w:val="nil"/>
              <w:left w:val="nil"/>
              <w:bottom w:val="nil"/>
              <w:right w:val="nil"/>
            </w:tcBorders>
            <w:shd w:val="clear" w:color="000000" w:fill="E7E6E6"/>
            <w:noWrap/>
            <w:vAlign w:val="center"/>
            <w:hideMark/>
          </w:tcPr>
          <w:p w14:paraId="1A193A04"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3.2</w:t>
            </w:r>
          </w:p>
        </w:tc>
        <w:tc>
          <w:tcPr>
            <w:tcW w:w="217" w:type="pct"/>
            <w:tcBorders>
              <w:top w:val="nil"/>
              <w:left w:val="nil"/>
              <w:bottom w:val="nil"/>
              <w:right w:val="nil"/>
            </w:tcBorders>
            <w:shd w:val="clear" w:color="auto" w:fill="auto"/>
            <w:noWrap/>
            <w:vAlign w:val="center"/>
            <w:hideMark/>
          </w:tcPr>
          <w:p w14:paraId="54D35EA1"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24</w:t>
            </w:r>
          </w:p>
        </w:tc>
        <w:tc>
          <w:tcPr>
            <w:tcW w:w="217" w:type="pct"/>
            <w:tcBorders>
              <w:top w:val="nil"/>
              <w:left w:val="nil"/>
              <w:bottom w:val="nil"/>
              <w:right w:val="nil"/>
            </w:tcBorders>
            <w:shd w:val="clear" w:color="000000" w:fill="E7E6E6"/>
            <w:noWrap/>
            <w:vAlign w:val="center"/>
            <w:hideMark/>
          </w:tcPr>
          <w:p w14:paraId="4BE222A6"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3.3</w:t>
            </w:r>
          </w:p>
        </w:tc>
        <w:tc>
          <w:tcPr>
            <w:tcW w:w="217" w:type="pct"/>
            <w:tcBorders>
              <w:top w:val="nil"/>
              <w:left w:val="nil"/>
              <w:bottom w:val="nil"/>
              <w:right w:val="nil"/>
            </w:tcBorders>
            <w:shd w:val="clear" w:color="auto" w:fill="auto"/>
            <w:noWrap/>
            <w:vAlign w:val="center"/>
            <w:hideMark/>
          </w:tcPr>
          <w:p w14:paraId="3D58242E"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24</w:t>
            </w:r>
          </w:p>
        </w:tc>
        <w:tc>
          <w:tcPr>
            <w:tcW w:w="274" w:type="pct"/>
            <w:tcBorders>
              <w:top w:val="nil"/>
              <w:left w:val="nil"/>
              <w:bottom w:val="nil"/>
              <w:right w:val="nil"/>
            </w:tcBorders>
            <w:shd w:val="clear" w:color="000000" w:fill="E7E6E6"/>
            <w:noWrap/>
            <w:vAlign w:val="center"/>
            <w:hideMark/>
          </w:tcPr>
          <w:p w14:paraId="7970C56F" w14:textId="77777777" w:rsidR="004E7B7E" w:rsidRPr="008B619A" w:rsidRDefault="004E7B7E" w:rsidP="003A6C05">
            <w:pPr>
              <w:widowControl/>
              <w:jc w:val="center"/>
              <w:rPr>
                <w:rFonts w:hAnsi="標楷體" w:cs="Tahoma"/>
                <w:color w:val="000000" w:themeColor="text1"/>
                <w:kern w:val="0"/>
                <w:sz w:val="15"/>
                <w:szCs w:val="15"/>
              </w:rPr>
            </w:pPr>
            <w:r w:rsidRPr="008B619A">
              <w:rPr>
                <w:rFonts w:hAnsi="標楷體" w:cs="Tahoma" w:hint="eastAsia"/>
                <w:color w:val="000000" w:themeColor="text1"/>
                <w:kern w:val="0"/>
                <w:sz w:val="15"/>
                <w:szCs w:val="15"/>
              </w:rPr>
              <w:t>3.2</w:t>
            </w:r>
          </w:p>
        </w:tc>
      </w:tr>
      <w:tr w:rsidR="004E7B7E" w:rsidRPr="008B619A" w14:paraId="5E1AC059" w14:textId="77777777" w:rsidTr="006400F0">
        <w:trPr>
          <w:trHeight w:val="330"/>
        </w:trPr>
        <w:tc>
          <w:tcPr>
            <w:tcW w:w="600" w:type="pct"/>
            <w:tcBorders>
              <w:top w:val="nil"/>
              <w:left w:val="nil"/>
              <w:bottom w:val="nil"/>
              <w:right w:val="single" w:sz="4" w:space="0" w:color="auto"/>
            </w:tcBorders>
            <w:shd w:val="clear" w:color="auto" w:fill="auto"/>
            <w:noWrap/>
            <w:vAlign w:val="center"/>
            <w:hideMark/>
          </w:tcPr>
          <w:p w14:paraId="70EC93C9" w14:textId="77777777" w:rsidR="004E7B7E" w:rsidRPr="008B619A" w:rsidRDefault="004E7B7E" w:rsidP="008055B8">
            <w:pPr>
              <w:widowControl/>
              <w:jc w:val="center"/>
              <w:rPr>
                <w:rFonts w:hAnsi="標楷體" w:cs="Tahoma"/>
                <w:bCs/>
                <w:color w:val="000000" w:themeColor="text1"/>
                <w:kern w:val="0"/>
                <w:sz w:val="20"/>
              </w:rPr>
            </w:pPr>
            <w:r w:rsidRPr="008B619A">
              <w:rPr>
                <w:rFonts w:hAnsi="標楷體" w:cs="Tahoma" w:hint="eastAsia"/>
                <w:bCs/>
                <w:color w:val="000000" w:themeColor="text1"/>
                <w:kern w:val="0"/>
                <w:sz w:val="20"/>
              </w:rPr>
              <w:t>工程及工程業</w:t>
            </w:r>
          </w:p>
        </w:tc>
        <w:tc>
          <w:tcPr>
            <w:tcW w:w="216" w:type="pct"/>
            <w:tcBorders>
              <w:top w:val="nil"/>
              <w:left w:val="nil"/>
              <w:bottom w:val="nil"/>
              <w:right w:val="nil"/>
            </w:tcBorders>
            <w:shd w:val="clear" w:color="auto" w:fill="auto"/>
            <w:noWrap/>
            <w:vAlign w:val="center"/>
            <w:hideMark/>
          </w:tcPr>
          <w:p w14:paraId="3EEE8CD1"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150</w:t>
            </w:r>
          </w:p>
        </w:tc>
        <w:tc>
          <w:tcPr>
            <w:tcW w:w="217" w:type="pct"/>
            <w:tcBorders>
              <w:top w:val="nil"/>
              <w:left w:val="nil"/>
              <w:bottom w:val="nil"/>
              <w:right w:val="nil"/>
            </w:tcBorders>
            <w:shd w:val="clear" w:color="000000" w:fill="E7E6E6"/>
            <w:noWrap/>
            <w:vAlign w:val="center"/>
            <w:hideMark/>
          </w:tcPr>
          <w:p w14:paraId="609CFF12"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25.2</w:t>
            </w:r>
          </w:p>
        </w:tc>
        <w:tc>
          <w:tcPr>
            <w:tcW w:w="217" w:type="pct"/>
            <w:tcBorders>
              <w:top w:val="nil"/>
              <w:left w:val="nil"/>
              <w:bottom w:val="nil"/>
              <w:right w:val="nil"/>
            </w:tcBorders>
            <w:shd w:val="clear" w:color="auto" w:fill="auto"/>
            <w:noWrap/>
            <w:vAlign w:val="center"/>
            <w:hideMark/>
          </w:tcPr>
          <w:p w14:paraId="01F24AE2"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143</w:t>
            </w:r>
          </w:p>
        </w:tc>
        <w:tc>
          <w:tcPr>
            <w:tcW w:w="217" w:type="pct"/>
            <w:tcBorders>
              <w:top w:val="nil"/>
              <w:left w:val="nil"/>
              <w:bottom w:val="nil"/>
              <w:right w:val="nil"/>
            </w:tcBorders>
            <w:shd w:val="clear" w:color="000000" w:fill="E7E6E6"/>
            <w:noWrap/>
            <w:vAlign w:val="center"/>
            <w:hideMark/>
          </w:tcPr>
          <w:p w14:paraId="472F5E73"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23.4</w:t>
            </w:r>
          </w:p>
        </w:tc>
        <w:tc>
          <w:tcPr>
            <w:tcW w:w="217" w:type="pct"/>
            <w:tcBorders>
              <w:top w:val="nil"/>
              <w:left w:val="nil"/>
              <w:bottom w:val="nil"/>
              <w:right w:val="nil"/>
            </w:tcBorders>
            <w:shd w:val="clear" w:color="auto" w:fill="auto"/>
            <w:noWrap/>
            <w:vAlign w:val="center"/>
            <w:hideMark/>
          </w:tcPr>
          <w:p w14:paraId="7F472AE8"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132</w:t>
            </w:r>
          </w:p>
        </w:tc>
        <w:tc>
          <w:tcPr>
            <w:tcW w:w="217" w:type="pct"/>
            <w:tcBorders>
              <w:top w:val="nil"/>
              <w:left w:val="nil"/>
              <w:bottom w:val="nil"/>
              <w:right w:val="nil"/>
            </w:tcBorders>
            <w:shd w:val="clear" w:color="000000" w:fill="E7E6E6"/>
            <w:noWrap/>
            <w:vAlign w:val="center"/>
            <w:hideMark/>
          </w:tcPr>
          <w:p w14:paraId="684601E9"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21.3</w:t>
            </w:r>
          </w:p>
        </w:tc>
        <w:tc>
          <w:tcPr>
            <w:tcW w:w="217" w:type="pct"/>
            <w:tcBorders>
              <w:top w:val="nil"/>
              <w:left w:val="nil"/>
              <w:bottom w:val="nil"/>
              <w:right w:val="nil"/>
            </w:tcBorders>
            <w:shd w:val="clear" w:color="auto" w:fill="auto"/>
            <w:noWrap/>
            <w:vAlign w:val="center"/>
            <w:hideMark/>
          </w:tcPr>
          <w:p w14:paraId="60C43CC1"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147</w:t>
            </w:r>
          </w:p>
        </w:tc>
        <w:tc>
          <w:tcPr>
            <w:tcW w:w="217" w:type="pct"/>
            <w:tcBorders>
              <w:top w:val="nil"/>
              <w:left w:val="nil"/>
              <w:bottom w:val="nil"/>
              <w:right w:val="nil"/>
            </w:tcBorders>
            <w:shd w:val="clear" w:color="000000" w:fill="E7E6E6"/>
            <w:noWrap/>
            <w:vAlign w:val="center"/>
            <w:hideMark/>
          </w:tcPr>
          <w:p w14:paraId="635BB4A4"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20.9</w:t>
            </w:r>
          </w:p>
        </w:tc>
        <w:tc>
          <w:tcPr>
            <w:tcW w:w="217" w:type="pct"/>
            <w:tcBorders>
              <w:top w:val="nil"/>
              <w:left w:val="nil"/>
              <w:bottom w:val="nil"/>
              <w:right w:val="nil"/>
            </w:tcBorders>
            <w:shd w:val="clear" w:color="auto" w:fill="auto"/>
            <w:noWrap/>
            <w:vAlign w:val="center"/>
            <w:hideMark/>
          </w:tcPr>
          <w:p w14:paraId="502DF36F"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142</w:t>
            </w:r>
          </w:p>
        </w:tc>
        <w:tc>
          <w:tcPr>
            <w:tcW w:w="217" w:type="pct"/>
            <w:tcBorders>
              <w:top w:val="nil"/>
              <w:left w:val="nil"/>
              <w:bottom w:val="nil"/>
              <w:right w:val="nil"/>
            </w:tcBorders>
            <w:shd w:val="clear" w:color="000000" w:fill="E7E6E6"/>
            <w:noWrap/>
            <w:vAlign w:val="center"/>
            <w:hideMark/>
          </w:tcPr>
          <w:p w14:paraId="0DE0CCD5"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20.8</w:t>
            </w:r>
          </w:p>
        </w:tc>
        <w:tc>
          <w:tcPr>
            <w:tcW w:w="216" w:type="pct"/>
            <w:tcBorders>
              <w:top w:val="nil"/>
              <w:left w:val="nil"/>
              <w:bottom w:val="nil"/>
              <w:right w:val="nil"/>
            </w:tcBorders>
            <w:shd w:val="clear" w:color="auto" w:fill="auto"/>
            <w:noWrap/>
            <w:vAlign w:val="center"/>
            <w:hideMark/>
          </w:tcPr>
          <w:p w14:paraId="041EC340"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148</w:t>
            </w:r>
          </w:p>
        </w:tc>
        <w:tc>
          <w:tcPr>
            <w:tcW w:w="217" w:type="pct"/>
            <w:tcBorders>
              <w:top w:val="nil"/>
              <w:left w:val="nil"/>
              <w:bottom w:val="nil"/>
              <w:right w:val="nil"/>
            </w:tcBorders>
            <w:shd w:val="clear" w:color="000000" w:fill="E7E6E6"/>
            <w:noWrap/>
            <w:vAlign w:val="center"/>
            <w:hideMark/>
          </w:tcPr>
          <w:p w14:paraId="2B3526BF"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20.5</w:t>
            </w:r>
          </w:p>
        </w:tc>
        <w:tc>
          <w:tcPr>
            <w:tcW w:w="217" w:type="pct"/>
            <w:tcBorders>
              <w:top w:val="nil"/>
              <w:left w:val="nil"/>
              <w:bottom w:val="nil"/>
              <w:right w:val="nil"/>
            </w:tcBorders>
            <w:shd w:val="clear" w:color="auto" w:fill="auto"/>
            <w:noWrap/>
            <w:vAlign w:val="center"/>
            <w:hideMark/>
          </w:tcPr>
          <w:p w14:paraId="311C4594"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105</w:t>
            </w:r>
          </w:p>
        </w:tc>
        <w:tc>
          <w:tcPr>
            <w:tcW w:w="217" w:type="pct"/>
            <w:tcBorders>
              <w:top w:val="nil"/>
              <w:left w:val="nil"/>
              <w:bottom w:val="nil"/>
              <w:right w:val="nil"/>
            </w:tcBorders>
            <w:shd w:val="clear" w:color="000000" w:fill="E7E6E6"/>
            <w:noWrap/>
            <w:vAlign w:val="center"/>
            <w:hideMark/>
          </w:tcPr>
          <w:p w14:paraId="24A61097"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14.5</w:t>
            </w:r>
          </w:p>
        </w:tc>
        <w:tc>
          <w:tcPr>
            <w:tcW w:w="217" w:type="pct"/>
            <w:tcBorders>
              <w:top w:val="nil"/>
              <w:left w:val="nil"/>
              <w:bottom w:val="nil"/>
              <w:right w:val="nil"/>
            </w:tcBorders>
            <w:shd w:val="clear" w:color="auto" w:fill="auto"/>
            <w:noWrap/>
            <w:vAlign w:val="center"/>
            <w:hideMark/>
          </w:tcPr>
          <w:p w14:paraId="11D731D2"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148</w:t>
            </w:r>
          </w:p>
        </w:tc>
        <w:tc>
          <w:tcPr>
            <w:tcW w:w="217" w:type="pct"/>
            <w:tcBorders>
              <w:top w:val="nil"/>
              <w:left w:val="nil"/>
              <w:bottom w:val="nil"/>
              <w:right w:val="nil"/>
            </w:tcBorders>
            <w:shd w:val="clear" w:color="000000" w:fill="E7E6E6"/>
            <w:noWrap/>
            <w:vAlign w:val="center"/>
            <w:hideMark/>
          </w:tcPr>
          <w:p w14:paraId="079F0B47"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20.5</w:t>
            </w:r>
          </w:p>
        </w:tc>
        <w:tc>
          <w:tcPr>
            <w:tcW w:w="217" w:type="pct"/>
            <w:tcBorders>
              <w:top w:val="nil"/>
              <w:left w:val="nil"/>
              <w:bottom w:val="nil"/>
              <w:right w:val="nil"/>
            </w:tcBorders>
            <w:shd w:val="clear" w:color="auto" w:fill="auto"/>
            <w:noWrap/>
            <w:vAlign w:val="center"/>
            <w:hideMark/>
          </w:tcPr>
          <w:p w14:paraId="7B8048EE"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112</w:t>
            </w:r>
          </w:p>
        </w:tc>
        <w:tc>
          <w:tcPr>
            <w:tcW w:w="217" w:type="pct"/>
            <w:tcBorders>
              <w:top w:val="nil"/>
              <w:left w:val="nil"/>
              <w:bottom w:val="nil"/>
              <w:right w:val="nil"/>
            </w:tcBorders>
            <w:shd w:val="clear" w:color="000000" w:fill="E7E6E6"/>
            <w:noWrap/>
            <w:vAlign w:val="center"/>
            <w:hideMark/>
          </w:tcPr>
          <w:p w14:paraId="037ABDC3"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15.6</w:t>
            </w:r>
          </w:p>
        </w:tc>
        <w:tc>
          <w:tcPr>
            <w:tcW w:w="217" w:type="pct"/>
            <w:tcBorders>
              <w:top w:val="nil"/>
              <w:left w:val="nil"/>
              <w:bottom w:val="nil"/>
              <w:right w:val="nil"/>
            </w:tcBorders>
            <w:shd w:val="clear" w:color="auto" w:fill="auto"/>
            <w:noWrap/>
            <w:vAlign w:val="center"/>
            <w:hideMark/>
          </w:tcPr>
          <w:p w14:paraId="16CE9984"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116</w:t>
            </w:r>
          </w:p>
        </w:tc>
        <w:tc>
          <w:tcPr>
            <w:tcW w:w="274" w:type="pct"/>
            <w:tcBorders>
              <w:top w:val="nil"/>
              <w:left w:val="nil"/>
              <w:bottom w:val="nil"/>
              <w:right w:val="nil"/>
            </w:tcBorders>
            <w:shd w:val="clear" w:color="000000" w:fill="E7E6E6"/>
            <w:noWrap/>
            <w:vAlign w:val="center"/>
            <w:hideMark/>
          </w:tcPr>
          <w:p w14:paraId="0EE40EDC" w14:textId="77777777" w:rsidR="004E7B7E" w:rsidRPr="008B619A" w:rsidRDefault="004E7B7E" w:rsidP="003A6C05">
            <w:pPr>
              <w:widowControl/>
              <w:jc w:val="center"/>
              <w:rPr>
                <w:rFonts w:hAnsi="標楷體" w:cs="Tahoma"/>
                <w:color w:val="000000" w:themeColor="text1"/>
                <w:kern w:val="0"/>
                <w:sz w:val="15"/>
                <w:szCs w:val="15"/>
              </w:rPr>
            </w:pPr>
            <w:r w:rsidRPr="008B619A">
              <w:rPr>
                <w:rFonts w:hAnsi="標楷體" w:cs="Tahoma" w:hint="eastAsia"/>
                <w:color w:val="000000" w:themeColor="text1"/>
                <w:kern w:val="0"/>
                <w:sz w:val="15"/>
                <w:szCs w:val="15"/>
              </w:rPr>
              <w:t>15.7</w:t>
            </w:r>
          </w:p>
        </w:tc>
      </w:tr>
      <w:tr w:rsidR="004E7B7E" w:rsidRPr="008B619A" w14:paraId="44AE0EE1" w14:textId="77777777" w:rsidTr="006400F0">
        <w:trPr>
          <w:trHeight w:val="330"/>
        </w:trPr>
        <w:tc>
          <w:tcPr>
            <w:tcW w:w="600" w:type="pct"/>
            <w:tcBorders>
              <w:top w:val="nil"/>
              <w:left w:val="nil"/>
              <w:bottom w:val="nil"/>
              <w:right w:val="single" w:sz="4" w:space="0" w:color="auto"/>
            </w:tcBorders>
            <w:shd w:val="clear" w:color="auto" w:fill="auto"/>
            <w:noWrap/>
            <w:vAlign w:val="center"/>
            <w:hideMark/>
          </w:tcPr>
          <w:p w14:paraId="4351F98A" w14:textId="77777777" w:rsidR="004E7B7E" w:rsidRPr="008B619A" w:rsidRDefault="004E7B7E" w:rsidP="008055B8">
            <w:pPr>
              <w:widowControl/>
              <w:jc w:val="center"/>
              <w:rPr>
                <w:rFonts w:hAnsi="標楷體" w:cs="Tahoma"/>
                <w:bCs/>
                <w:color w:val="000000" w:themeColor="text1"/>
                <w:kern w:val="0"/>
                <w:sz w:val="20"/>
              </w:rPr>
            </w:pPr>
            <w:r w:rsidRPr="008B619A">
              <w:rPr>
                <w:rFonts w:hAnsi="標楷體" w:cs="Tahoma" w:hint="eastAsia"/>
                <w:bCs/>
                <w:color w:val="000000" w:themeColor="text1"/>
                <w:kern w:val="0"/>
                <w:sz w:val="20"/>
              </w:rPr>
              <w:t>製造及加工</w:t>
            </w:r>
          </w:p>
        </w:tc>
        <w:tc>
          <w:tcPr>
            <w:tcW w:w="216" w:type="pct"/>
            <w:tcBorders>
              <w:top w:val="nil"/>
              <w:left w:val="nil"/>
              <w:bottom w:val="nil"/>
              <w:right w:val="nil"/>
            </w:tcBorders>
            <w:shd w:val="clear" w:color="auto" w:fill="auto"/>
            <w:noWrap/>
            <w:vAlign w:val="center"/>
            <w:hideMark/>
          </w:tcPr>
          <w:p w14:paraId="3ADEE97E"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w:t>
            </w:r>
          </w:p>
        </w:tc>
        <w:tc>
          <w:tcPr>
            <w:tcW w:w="217" w:type="pct"/>
            <w:tcBorders>
              <w:top w:val="nil"/>
              <w:left w:val="nil"/>
              <w:bottom w:val="nil"/>
              <w:right w:val="nil"/>
            </w:tcBorders>
            <w:shd w:val="clear" w:color="000000" w:fill="E7E6E6"/>
            <w:noWrap/>
            <w:vAlign w:val="center"/>
            <w:hideMark/>
          </w:tcPr>
          <w:p w14:paraId="14B04FC2"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w:t>
            </w:r>
          </w:p>
        </w:tc>
        <w:tc>
          <w:tcPr>
            <w:tcW w:w="217" w:type="pct"/>
            <w:tcBorders>
              <w:top w:val="nil"/>
              <w:left w:val="nil"/>
              <w:bottom w:val="nil"/>
              <w:right w:val="nil"/>
            </w:tcBorders>
            <w:shd w:val="clear" w:color="auto" w:fill="auto"/>
            <w:noWrap/>
            <w:vAlign w:val="center"/>
            <w:hideMark/>
          </w:tcPr>
          <w:p w14:paraId="4AF075CE"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w:t>
            </w:r>
          </w:p>
        </w:tc>
        <w:tc>
          <w:tcPr>
            <w:tcW w:w="217" w:type="pct"/>
            <w:tcBorders>
              <w:top w:val="nil"/>
              <w:left w:val="nil"/>
              <w:bottom w:val="nil"/>
              <w:right w:val="nil"/>
            </w:tcBorders>
            <w:shd w:val="clear" w:color="000000" w:fill="E7E6E6"/>
            <w:noWrap/>
            <w:vAlign w:val="center"/>
            <w:hideMark/>
          </w:tcPr>
          <w:p w14:paraId="05E43FBF"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w:t>
            </w:r>
          </w:p>
        </w:tc>
        <w:tc>
          <w:tcPr>
            <w:tcW w:w="217" w:type="pct"/>
            <w:tcBorders>
              <w:top w:val="nil"/>
              <w:left w:val="nil"/>
              <w:bottom w:val="nil"/>
              <w:right w:val="nil"/>
            </w:tcBorders>
            <w:shd w:val="clear" w:color="auto" w:fill="auto"/>
            <w:noWrap/>
            <w:vAlign w:val="center"/>
            <w:hideMark/>
          </w:tcPr>
          <w:p w14:paraId="206E490C"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w:t>
            </w:r>
          </w:p>
        </w:tc>
        <w:tc>
          <w:tcPr>
            <w:tcW w:w="217" w:type="pct"/>
            <w:tcBorders>
              <w:top w:val="nil"/>
              <w:left w:val="nil"/>
              <w:bottom w:val="nil"/>
              <w:right w:val="nil"/>
            </w:tcBorders>
            <w:shd w:val="clear" w:color="000000" w:fill="E7E6E6"/>
            <w:noWrap/>
            <w:vAlign w:val="center"/>
            <w:hideMark/>
          </w:tcPr>
          <w:p w14:paraId="41F50FDA"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w:t>
            </w:r>
          </w:p>
        </w:tc>
        <w:tc>
          <w:tcPr>
            <w:tcW w:w="217" w:type="pct"/>
            <w:tcBorders>
              <w:top w:val="nil"/>
              <w:left w:val="nil"/>
              <w:bottom w:val="nil"/>
              <w:right w:val="nil"/>
            </w:tcBorders>
            <w:shd w:val="clear" w:color="auto" w:fill="auto"/>
            <w:noWrap/>
            <w:vAlign w:val="center"/>
            <w:hideMark/>
          </w:tcPr>
          <w:p w14:paraId="716DE467"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w:t>
            </w:r>
          </w:p>
        </w:tc>
        <w:tc>
          <w:tcPr>
            <w:tcW w:w="217" w:type="pct"/>
            <w:tcBorders>
              <w:top w:val="nil"/>
              <w:left w:val="nil"/>
              <w:bottom w:val="nil"/>
              <w:right w:val="nil"/>
            </w:tcBorders>
            <w:shd w:val="clear" w:color="000000" w:fill="E7E6E6"/>
            <w:noWrap/>
            <w:vAlign w:val="center"/>
            <w:hideMark/>
          </w:tcPr>
          <w:p w14:paraId="1FE024D4"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w:t>
            </w:r>
          </w:p>
        </w:tc>
        <w:tc>
          <w:tcPr>
            <w:tcW w:w="217" w:type="pct"/>
            <w:tcBorders>
              <w:top w:val="nil"/>
              <w:left w:val="nil"/>
              <w:bottom w:val="nil"/>
              <w:right w:val="nil"/>
            </w:tcBorders>
            <w:shd w:val="clear" w:color="auto" w:fill="auto"/>
            <w:noWrap/>
            <w:vAlign w:val="center"/>
            <w:hideMark/>
          </w:tcPr>
          <w:p w14:paraId="74F19195"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w:t>
            </w:r>
          </w:p>
        </w:tc>
        <w:tc>
          <w:tcPr>
            <w:tcW w:w="217" w:type="pct"/>
            <w:tcBorders>
              <w:top w:val="nil"/>
              <w:left w:val="nil"/>
              <w:bottom w:val="nil"/>
              <w:right w:val="nil"/>
            </w:tcBorders>
            <w:shd w:val="clear" w:color="000000" w:fill="E7E6E6"/>
            <w:noWrap/>
            <w:vAlign w:val="center"/>
            <w:hideMark/>
          </w:tcPr>
          <w:p w14:paraId="726B06A6"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w:t>
            </w:r>
          </w:p>
        </w:tc>
        <w:tc>
          <w:tcPr>
            <w:tcW w:w="216" w:type="pct"/>
            <w:tcBorders>
              <w:top w:val="nil"/>
              <w:left w:val="nil"/>
              <w:bottom w:val="nil"/>
              <w:right w:val="nil"/>
            </w:tcBorders>
            <w:shd w:val="clear" w:color="auto" w:fill="auto"/>
            <w:noWrap/>
            <w:vAlign w:val="center"/>
            <w:hideMark/>
          </w:tcPr>
          <w:p w14:paraId="0EEB0286"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w:t>
            </w:r>
          </w:p>
        </w:tc>
        <w:tc>
          <w:tcPr>
            <w:tcW w:w="217" w:type="pct"/>
            <w:tcBorders>
              <w:top w:val="nil"/>
              <w:left w:val="nil"/>
              <w:bottom w:val="nil"/>
              <w:right w:val="nil"/>
            </w:tcBorders>
            <w:shd w:val="clear" w:color="000000" w:fill="E7E6E6"/>
            <w:noWrap/>
            <w:vAlign w:val="center"/>
            <w:hideMark/>
          </w:tcPr>
          <w:p w14:paraId="68CC77AA"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w:t>
            </w:r>
          </w:p>
        </w:tc>
        <w:tc>
          <w:tcPr>
            <w:tcW w:w="217" w:type="pct"/>
            <w:tcBorders>
              <w:top w:val="nil"/>
              <w:left w:val="nil"/>
              <w:bottom w:val="nil"/>
              <w:right w:val="nil"/>
            </w:tcBorders>
            <w:shd w:val="clear" w:color="auto" w:fill="auto"/>
            <w:noWrap/>
            <w:vAlign w:val="center"/>
            <w:hideMark/>
          </w:tcPr>
          <w:p w14:paraId="07179C50"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w:t>
            </w:r>
          </w:p>
        </w:tc>
        <w:tc>
          <w:tcPr>
            <w:tcW w:w="217" w:type="pct"/>
            <w:tcBorders>
              <w:top w:val="nil"/>
              <w:left w:val="nil"/>
              <w:bottom w:val="nil"/>
              <w:right w:val="nil"/>
            </w:tcBorders>
            <w:shd w:val="clear" w:color="000000" w:fill="E7E6E6"/>
            <w:noWrap/>
            <w:vAlign w:val="center"/>
            <w:hideMark/>
          </w:tcPr>
          <w:p w14:paraId="2FD45D97"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w:t>
            </w:r>
          </w:p>
        </w:tc>
        <w:tc>
          <w:tcPr>
            <w:tcW w:w="217" w:type="pct"/>
            <w:tcBorders>
              <w:top w:val="nil"/>
              <w:left w:val="nil"/>
              <w:bottom w:val="nil"/>
              <w:right w:val="nil"/>
            </w:tcBorders>
            <w:shd w:val="clear" w:color="auto" w:fill="auto"/>
            <w:noWrap/>
            <w:vAlign w:val="center"/>
            <w:hideMark/>
          </w:tcPr>
          <w:p w14:paraId="01172A00"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w:t>
            </w:r>
          </w:p>
        </w:tc>
        <w:tc>
          <w:tcPr>
            <w:tcW w:w="217" w:type="pct"/>
            <w:tcBorders>
              <w:top w:val="nil"/>
              <w:left w:val="nil"/>
              <w:bottom w:val="nil"/>
              <w:right w:val="nil"/>
            </w:tcBorders>
            <w:shd w:val="clear" w:color="000000" w:fill="E7E6E6"/>
            <w:noWrap/>
            <w:vAlign w:val="center"/>
            <w:hideMark/>
          </w:tcPr>
          <w:p w14:paraId="70B2E1B1"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w:t>
            </w:r>
          </w:p>
        </w:tc>
        <w:tc>
          <w:tcPr>
            <w:tcW w:w="217" w:type="pct"/>
            <w:tcBorders>
              <w:top w:val="nil"/>
              <w:left w:val="nil"/>
              <w:bottom w:val="nil"/>
              <w:right w:val="nil"/>
            </w:tcBorders>
            <w:shd w:val="clear" w:color="auto" w:fill="auto"/>
            <w:noWrap/>
            <w:vAlign w:val="center"/>
            <w:hideMark/>
          </w:tcPr>
          <w:p w14:paraId="19893D23"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w:t>
            </w:r>
          </w:p>
        </w:tc>
        <w:tc>
          <w:tcPr>
            <w:tcW w:w="217" w:type="pct"/>
            <w:tcBorders>
              <w:top w:val="nil"/>
              <w:left w:val="nil"/>
              <w:bottom w:val="nil"/>
              <w:right w:val="nil"/>
            </w:tcBorders>
            <w:shd w:val="clear" w:color="000000" w:fill="E7E6E6"/>
            <w:noWrap/>
            <w:vAlign w:val="center"/>
            <w:hideMark/>
          </w:tcPr>
          <w:p w14:paraId="40FB3411"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w:t>
            </w:r>
          </w:p>
        </w:tc>
        <w:tc>
          <w:tcPr>
            <w:tcW w:w="217" w:type="pct"/>
            <w:tcBorders>
              <w:top w:val="nil"/>
              <w:left w:val="nil"/>
              <w:bottom w:val="nil"/>
              <w:right w:val="nil"/>
            </w:tcBorders>
            <w:shd w:val="clear" w:color="auto" w:fill="auto"/>
            <w:noWrap/>
            <w:vAlign w:val="center"/>
            <w:hideMark/>
          </w:tcPr>
          <w:p w14:paraId="00094D8A"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3</w:t>
            </w:r>
          </w:p>
        </w:tc>
        <w:tc>
          <w:tcPr>
            <w:tcW w:w="274" w:type="pct"/>
            <w:tcBorders>
              <w:top w:val="nil"/>
              <w:left w:val="nil"/>
              <w:bottom w:val="nil"/>
              <w:right w:val="nil"/>
            </w:tcBorders>
            <w:shd w:val="clear" w:color="000000" w:fill="E7E6E6"/>
            <w:noWrap/>
            <w:vAlign w:val="center"/>
            <w:hideMark/>
          </w:tcPr>
          <w:p w14:paraId="7FF0670B" w14:textId="77777777" w:rsidR="004E7B7E" w:rsidRPr="008B619A" w:rsidRDefault="004E7B7E" w:rsidP="003A6C05">
            <w:pPr>
              <w:widowControl/>
              <w:jc w:val="center"/>
              <w:rPr>
                <w:rFonts w:hAnsi="標楷體" w:cs="Tahoma"/>
                <w:color w:val="000000" w:themeColor="text1"/>
                <w:kern w:val="0"/>
                <w:sz w:val="15"/>
                <w:szCs w:val="15"/>
              </w:rPr>
            </w:pPr>
            <w:r w:rsidRPr="008B619A">
              <w:rPr>
                <w:rFonts w:hAnsi="標楷體" w:cs="Tahoma" w:hint="eastAsia"/>
                <w:color w:val="000000" w:themeColor="text1"/>
                <w:kern w:val="0"/>
                <w:sz w:val="15"/>
                <w:szCs w:val="15"/>
              </w:rPr>
              <w:t>0.4</w:t>
            </w:r>
          </w:p>
        </w:tc>
      </w:tr>
      <w:tr w:rsidR="004E7B7E" w:rsidRPr="008B619A" w14:paraId="061D3892" w14:textId="77777777" w:rsidTr="006400F0">
        <w:trPr>
          <w:trHeight w:val="330"/>
        </w:trPr>
        <w:tc>
          <w:tcPr>
            <w:tcW w:w="600" w:type="pct"/>
            <w:tcBorders>
              <w:top w:val="nil"/>
              <w:left w:val="nil"/>
              <w:bottom w:val="nil"/>
              <w:right w:val="single" w:sz="4" w:space="0" w:color="auto"/>
            </w:tcBorders>
            <w:shd w:val="clear" w:color="auto" w:fill="auto"/>
            <w:noWrap/>
            <w:vAlign w:val="center"/>
            <w:hideMark/>
          </w:tcPr>
          <w:p w14:paraId="647D94FE" w14:textId="77777777" w:rsidR="004E7B7E" w:rsidRPr="008B619A" w:rsidRDefault="004E7B7E" w:rsidP="008055B8">
            <w:pPr>
              <w:widowControl/>
              <w:jc w:val="center"/>
              <w:rPr>
                <w:rFonts w:hAnsi="標楷體" w:cs="Tahoma"/>
                <w:bCs/>
                <w:color w:val="000000" w:themeColor="text1"/>
                <w:kern w:val="0"/>
                <w:sz w:val="20"/>
              </w:rPr>
            </w:pPr>
            <w:r w:rsidRPr="008B619A">
              <w:rPr>
                <w:rFonts w:hAnsi="標楷體" w:cs="Tahoma" w:hint="eastAsia"/>
                <w:bCs/>
                <w:color w:val="000000" w:themeColor="text1"/>
                <w:kern w:val="0"/>
                <w:sz w:val="20"/>
              </w:rPr>
              <w:lastRenderedPageBreak/>
              <w:t>建築及營建工程</w:t>
            </w:r>
          </w:p>
        </w:tc>
        <w:tc>
          <w:tcPr>
            <w:tcW w:w="216" w:type="pct"/>
            <w:tcBorders>
              <w:top w:val="nil"/>
              <w:left w:val="nil"/>
              <w:bottom w:val="nil"/>
              <w:right w:val="nil"/>
            </w:tcBorders>
            <w:shd w:val="clear" w:color="auto" w:fill="auto"/>
            <w:noWrap/>
            <w:vAlign w:val="center"/>
            <w:hideMark/>
          </w:tcPr>
          <w:p w14:paraId="40C9CA83"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16</w:t>
            </w:r>
          </w:p>
        </w:tc>
        <w:tc>
          <w:tcPr>
            <w:tcW w:w="217" w:type="pct"/>
            <w:tcBorders>
              <w:top w:val="nil"/>
              <w:left w:val="nil"/>
              <w:bottom w:val="nil"/>
              <w:right w:val="nil"/>
            </w:tcBorders>
            <w:shd w:val="clear" w:color="000000" w:fill="E7E6E6"/>
            <w:noWrap/>
            <w:vAlign w:val="center"/>
            <w:hideMark/>
          </w:tcPr>
          <w:p w14:paraId="186ACF32"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2.7</w:t>
            </w:r>
          </w:p>
        </w:tc>
        <w:tc>
          <w:tcPr>
            <w:tcW w:w="217" w:type="pct"/>
            <w:tcBorders>
              <w:top w:val="nil"/>
              <w:left w:val="nil"/>
              <w:bottom w:val="nil"/>
              <w:right w:val="nil"/>
            </w:tcBorders>
            <w:shd w:val="clear" w:color="auto" w:fill="auto"/>
            <w:noWrap/>
            <w:vAlign w:val="center"/>
            <w:hideMark/>
          </w:tcPr>
          <w:p w14:paraId="549B6F34"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13</w:t>
            </w:r>
          </w:p>
        </w:tc>
        <w:tc>
          <w:tcPr>
            <w:tcW w:w="217" w:type="pct"/>
            <w:tcBorders>
              <w:top w:val="nil"/>
              <w:left w:val="nil"/>
              <w:bottom w:val="nil"/>
              <w:right w:val="nil"/>
            </w:tcBorders>
            <w:shd w:val="clear" w:color="000000" w:fill="E7E6E6"/>
            <w:noWrap/>
            <w:vAlign w:val="center"/>
            <w:hideMark/>
          </w:tcPr>
          <w:p w14:paraId="6A060703"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2.1</w:t>
            </w:r>
          </w:p>
        </w:tc>
        <w:tc>
          <w:tcPr>
            <w:tcW w:w="217" w:type="pct"/>
            <w:tcBorders>
              <w:top w:val="nil"/>
              <w:left w:val="nil"/>
              <w:bottom w:val="nil"/>
              <w:right w:val="nil"/>
            </w:tcBorders>
            <w:shd w:val="clear" w:color="auto" w:fill="auto"/>
            <w:noWrap/>
            <w:vAlign w:val="center"/>
            <w:hideMark/>
          </w:tcPr>
          <w:p w14:paraId="0447F83A"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13</w:t>
            </w:r>
          </w:p>
        </w:tc>
        <w:tc>
          <w:tcPr>
            <w:tcW w:w="217" w:type="pct"/>
            <w:tcBorders>
              <w:top w:val="nil"/>
              <w:left w:val="nil"/>
              <w:bottom w:val="nil"/>
              <w:right w:val="nil"/>
            </w:tcBorders>
            <w:shd w:val="clear" w:color="000000" w:fill="E7E6E6"/>
            <w:noWrap/>
            <w:vAlign w:val="center"/>
            <w:hideMark/>
          </w:tcPr>
          <w:p w14:paraId="580A7F64"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2.1</w:t>
            </w:r>
          </w:p>
        </w:tc>
        <w:tc>
          <w:tcPr>
            <w:tcW w:w="217" w:type="pct"/>
            <w:tcBorders>
              <w:top w:val="nil"/>
              <w:left w:val="nil"/>
              <w:bottom w:val="nil"/>
              <w:right w:val="nil"/>
            </w:tcBorders>
            <w:shd w:val="clear" w:color="auto" w:fill="auto"/>
            <w:noWrap/>
            <w:vAlign w:val="center"/>
            <w:hideMark/>
          </w:tcPr>
          <w:p w14:paraId="25C6139E"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13</w:t>
            </w:r>
          </w:p>
        </w:tc>
        <w:tc>
          <w:tcPr>
            <w:tcW w:w="217" w:type="pct"/>
            <w:tcBorders>
              <w:top w:val="nil"/>
              <w:left w:val="nil"/>
              <w:bottom w:val="nil"/>
              <w:right w:val="nil"/>
            </w:tcBorders>
            <w:shd w:val="clear" w:color="000000" w:fill="E7E6E6"/>
            <w:noWrap/>
            <w:vAlign w:val="center"/>
            <w:hideMark/>
          </w:tcPr>
          <w:p w14:paraId="3AEB6AA4"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1.8</w:t>
            </w:r>
          </w:p>
        </w:tc>
        <w:tc>
          <w:tcPr>
            <w:tcW w:w="217" w:type="pct"/>
            <w:tcBorders>
              <w:top w:val="nil"/>
              <w:left w:val="nil"/>
              <w:bottom w:val="nil"/>
              <w:right w:val="nil"/>
            </w:tcBorders>
            <w:shd w:val="clear" w:color="auto" w:fill="auto"/>
            <w:noWrap/>
            <w:vAlign w:val="center"/>
            <w:hideMark/>
          </w:tcPr>
          <w:p w14:paraId="7466F209"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18</w:t>
            </w:r>
          </w:p>
        </w:tc>
        <w:tc>
          <w:tcPr>
            <w:tcW w:w="217" w:type="pct"/>
            <w:tcBorders>
              <w:top w:val="nil"/>
              <w:left w:val="nil"/>
              <w:bottom w:val="nil"/>
              <w:right w:val="nil"/>
            </w:tcBorders>
            <w:shd w:val="clear" w:color="000000" w:fill="E7E6E6"/>
            <w:noWrap/>
            <w:vAlign w:val="center"/>
            <w:hideMark/>
          </w:tcPr>
          <w:p w14:paraId="2C604905"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2.6</w:t>
            </w:r>
          </w:p>
        </w:tc>
        <w:tc>
          <w:tcPr>
            <w:tcW w:w="216" w:type="pct"/>
            <w:tcBorders>
              <w:top w:val="nil"/>
              <w:left w:val="nil"/>
              <w:bottom w:val="nil"/>
              <w:right w:val="nil"/>
            </w:tcBorders>
            <w:shd w:val="clear" w:color="auto" w:fill="auto"/>
            <w:noWrap/>
            <w:vAlign w:val="center"/>
            <w:hideMark/>
          </w:tcPr>
          <w:p w14:paraId="04DE0123"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21</w:t>
            </w:r>
          </w:p>
        </w:tc>
        <w:tc>
          <w:tcPr>
            <w:tcW w:w="217" w:type="pct"/>
            <w:tcBorders>
              <w:top w:val="nil"/>
              <w:left w:val="nil"/>
              <w:bottom w:val="nil"/>
              <w:right w:val="nil"/>
            </w:tcBorders>
            <w:shd w:val="clear" w:color="000000" w:fill="E7E6E6"/>
            <w:noWrap/>
            <w:vAlign w:val="center"/>
            <w:hideMark/>
          </w:tcPr>
          <w:p w14:paraId="53DE57A8"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2.9</w:t>
            </w:r>
          </w:p>
        </w:tc>
        <w:tc>
          <w:tcPr>
            <w:tcW w:w="217" w:type="pct"/>
            <w:tcBorders>
              <w:top w:val="nil"/>
              <w:left w:val="nil"/>
              <w:bottom w:val="nil"/>
              <w:right w:val="nil"/>
            </w:tcBorders>
            <w:shd w:val="clear" w:color="auto" w:fill="auto"/>
            <w:noWrap/>
            <w:vAlign w:val="center"/>
            <w:hideMark/>
          </w:tcPr>
          <w:p w14:paraId="13D5ADDD"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20</w:t>
            </w:r>
          </w:p>
        </w:tc>
        <w:tc>
          <w:tcPr>
            <w:tcW w:w="217" w:type="pct"/>
            <w:tcBorders>
              <w:top w:val="nil"/>
              <w:left w:val="nil"/>
              <w:bottom w:val="nil"/>
              <w:right w:val="nil"/>
            </w:tcBorders>
            <w:shd w:val="clear" w:color="000000" w:fill="E7E6E6"/>
            <w:noWrap/>
            <w:vAlign w:val="center"/>
            <w:hideMark/>
          </w:tcPr>
          <w:p w14:paraId="077BA4FF"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2.8</w:t>
            </w:r>
          </w:p>
        </w:tc>
        <w:tc>
          <w:tcPr>
            <w:tcW w:w="217" w:type="pct"/>
            <w:tcBorders>
              <w:top w:val="nil"/>
              <w:left w:val="nil"/>
              <w:bottom w:val="nil"/>
              <w:right w:val="nil"/>
            </w:tcBorders>
            <w:shd w:val="clear" w:color="auto" w:fill="auto"/>
            <w:noWrap/>
            <w:vAlign w:val="center"/>
            <w:hideMark/>
          </w:tcPr>
          <w:p w14:paraId="2D757679"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20</w:t>
            </w:r>
          </w:p>
        </w:tc>
        <w:tc>
          <w:tcPr>
            <w:tcW w:w="217" w:type="pct"/>
            <w:tcBorders>
              <w:top w:val="nil"/>
              <w:left w:val="nil"/>
              <w:bottom w:val="nil"/>
              <w:right w:val="nil"/>
            </w:tcBorders>
            <w:shd w:val="clear" w:color="000000" w:fill="E7E6E6"/>
            <w:noWrap/>
            <w:vAlign w:val="center"/>
            <w:hideMark/>
          </w:tcPr>
          <w:p w14:paraId="0E4EBD67"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2.8</w:t>
            </w:r>
          </w:p>
        </w:tc>
        <w:tc>
          <w:tcPr>
            <w:tcW w:w="217" w:type="pct"/>
            <w:tcBorders>
              <w:top w:val="nil"/>
              <w:left w:val="nil"/>
              <w:bottom w:val="nil"/>
              <w:right w:val="nil"/>
            </w:tcBorders>
            <w:shd w:val="clear" w:color="auto" w:fill="auto"/>
            <w:noWrap/>
            <w:vAlign w:val="center"/>
            <w:hideMark/>
          </w:tcPr>
          <w:p w14:paraId="7DC4C9CB"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11</w:t>
            </w:r>
          </w:p>
        </w:tc>
        <w:tc>
          <w:tcPr>
            <w:tcW w:w="217" w:type="pct"/>
            <w:tcBorders>
              <w:top w:val="nil"/>
              <w:left w:val="nil"/>
              <w:bottom w:val="nil"/>
              <w:right w:val="nil"/>
            </w:tcBorders>
            <w:shd w:val="clear" w:color="000000" w:fill="E7E6E6"/>
            <w:noWrap/>
            <w:vAlign w:val="center"/>
            <w:hideMark/>
          </w:tcPr>
          <w:p w14:paraId="017E657D"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1.5</w:t>
            </w:r>
          </w:p>
        </w:tc>
        <w:tc>
          <w:tcPr>
            <w:tcW w:w="217" w:type="pct"/>
            <w:tcBorders>
              <w:top w:val="nil"/>
              <w:left w:val="nil"/>
              <w:bottom w:val="nil"/>
              <w:right w:val="nil"/>
            </w:tcBorders>
            <w:shd w:val="clear" w:color="auto" w:fill="auto"/>
            <w:noWrap/>
            <w:vAlign w:val="center"/>
            <w:hideMark/>
          </w:tcPr>
          <w:p w14:paraId="69081FE2"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25</w:t>
            </w:r>
          </w:p>
        </w:tc>
        <w:tc>
          <w:tcPr>
            <w:tcW w:w="274" w:type="pct"/>
            <w:tcBorders>
              <w:top w:val="nil"/>
              <w:left w:val="nil"/>
              <w:bottom w:val="nil"/>
              <w:right w:val="nil"/>
            </w:tcBorders>
            <w:shd w:val="clear" w:color="000000" w:fill="E7E6E6"/>
            <w:noWrap/>
            <w:vAlign w:val="center"/>
            <w:hideMark/>
          </w:tcPr>
          <w:p w14:paraId="77BC1923" w14:textId="77777777" w:rsidR="004E7B7E" w:rsidRPr="008B619A" w:rsidRDefault="004E7B7E" w:rsidP="003A6C05">
            <w:pPr>
              <w:widowControl/>
              <w:jc w:val="center"/>
              <w:rPr>
                <w:rFonts w:hAnsi="標楷體" w:cs="Tahoma"/>
                <w:color w:val="000000" w:themeColor="text1"/>
                <w:kern w:val="0"/>
                <w:sz w:val="15"/>
                <w:szCs w:val="15"/>
              </w:rPr>
            </w:pPr>
            <w:r w:rsidRPr="008B619A">
              <w:rPr>
                <w:rFonts w:hAnsi="標楷體" w:cs="Tahoma" w:hint="eastAsia"/>
                <w:color w:val="000000" w:themeColor="text1"/>
                <w:kern w:val="0"/>
                <w:sz w:val="15"/>
                <w:szCs w:val="15"/>
              </w:rPr>
              <w:t>3.4</w:t>
            </w:r>
          </w:p>
        </w:tc>
      </w:tr>
      <w:tr w:rsidR="004E7B7E" w:rsidRPr="008B619A" w14:paraId="2A2A2316" w14:textId="77777777" w:rsidTr="006400F0">
        <w:trPr>
          <w:trHeight w:val="330"/>
        </w:trPr>
        <w:tc>
          <w:tcPr>
            <w:tcW w:w="600" w:type="pct"/>
            <w:tcBorders>
              <w:top w:val="nil"/>
              <w:left w:val="nil"/>
              <w:bottom w:val="nil"/>
              <w:right w:val="single" w:sz="4" w:space="0" w:color="auto"/>
            </w:tcBorders>
            <w:shd w:val="clear" w:color="auto" w:fill="auto"/>
            <w:noWrap/>
            <w:vAlign w:val="center"/>
            <w:hideMark/>
          </w:tcPr>
          <w:p w14:paraId="2A0FFF66" w14:textId="77777777" w:rsidR="004E7B7E" w:rsidRPr="008B619A" w:rsidRDefault="004E7B7E" w:rsidP="008055B8">
            <w:pPr>
              <w:widowControl/>
              <w:jc w:val="center"/>
              <w:rPr>
                <w:rFonts w:hAnsi="標楷體" w:cs="Tahoma"/>
                <w:bCs/>
                <w:color w:val="000000" w:themeColor="text1"/>
                <w:kern w:val="0"/>
                <w:sz w:val="20"/>
              </w:rPr>
            </w:pPr>
            <w:r w:rsidRPr="008B619A">
              <w:rPr>
                <w:rFonts w:hAnsi="標楷體" w:cs="Tahoma" w:hint="eastAsia"/>
                <w:bCs/>
                <w:color w:val="000000" w:themeColor="text1"/>
                <w:kern w:val="0"/>
                <w:sz w:val="20"/>
              </w:rPr>
              <w:t>農業</w:t>
            </w:r>
          </w:p>
        </w:tc>
        <w:tc>
          <w:tcPr>
            <w:tcW w:w="216" w:type="pct"/>
            <w:tcBorders>
              <w:top w:val="nil"/>
              <w:left w:val="nil"/>
              <w:bottom w:val="nil"/>
              <w:right w:val="nil"/>
            </w:tcBorders>
            <w:shd w:val="clear" w:color="auto" w:fill="auto"/>
            <w:noWrap/>
            <w:vAlign w:val="center"/>
            <w:hideMark/>
          </w:tcPr>
          <w:p w14:paraId="42C5B509"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1</w:t>
            </w:r>
          </w:p>
        </w:tc>
        <w:tc>
          <w:tcPr>
            <w:tcW w:w="217" w:type="pct"/>
            <w:tcBorders>
              <w:top w:val="nil"/>
              <w:left w:val="nil"/>
              <w:bottom w:val="nil"/>
              <w:right w:val="nil"/>
            </w:tcBorders>
            <w:shd w:val="clear" w:color="000000" w:fill="E7E6E6"/>
            <w:noWrap/>
            <w:vAlign w:val="center"/>
            <w:hideMark/>
          </w:tcPr>
          <w:p w14:paraId="35BEF0F6"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0.2</w:t>
            </w:r>
          </w:p>
        </w:tc>
        <w:tc>
          <w:tcPr>
            <w:tcW w:w="217" w:type="pct"/>
            <w:tcBorders>
              <w:top w:val="nil"/>
              <w:left w:val="nil"/>
              <w:bottom w:val="nil"/>
              <w:right w:val="nil"/>
            </w:tcBorders>
            <w:shd w:val="clear" w:color="auto" w:fill="auto"/>
            <w:noWrap/>
            <w:vAlign w:val="center"/>
            <w:hideMark/>
          </w:tcPr>
          <w:p w14:paraId="792EED46"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w:t>
            </w:r>
          </w:p>
        </w:tc>
        <w:tc>
          <w:tcPr>
            <w:tcW w:w="217" w:type="pct"/>
            <w:tcBorders>
              <w:top w:val="nil"/>
              <w:left w:val="nil"/>
              <w:bottom w:val="nil"/>
              <w:right w:val="nil"/>
            </w:tcBorders>
            <w:shd w:val="clear" w:color="000000" w:fill="E7E6E6"/>
            <w:noWrap/>
            <w:vAlign w:val="center"/>
            <w:hideMark/>
          </w:tcPr>
          <w:p w14:paraId="18518374"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w:t>
            </w:r>
          </w:p>
        </w:tc>
        <w:tc>
          <w:tcPr>
            <w:tcW w:w="217" w:type="pct"/>
            <w:tcBorders>
              <w:top w:val="nil"/>
              <w:left w:val="nil"/>
              <w:bottom w:val="nil"/>
              <w:right w:val="nil"/>
            </w:tcBorders>
            <w:shd w:val="clear" w:color="auto" w:fill="auto"/>
            <w:noWrap/>
            <w:vAlign w:val="center"/>
            <w:hideMark/>
          </w:tcPr>
          <w:p w14:paraId="0A2CB7B6"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w:t>
            </w:r>
          </w:p>
        </w:tc>
        <w:tc>
          <w:tcPr>
            <w:tcW w:w="217" w:type="pct"/>
            <w:tcBorders>
              <w:top w:val="nil"/>
              <w:left w:val="nil"/>
              <w:bottom w:val="nil"/>
              <w:right w:val="nil"/>
            </w:tcBorders>
            <w:shd w:val="clear" w:color="000000" w:fill="E7E6E6"/>
            <w:noWrap/>
            <w:vAlign w:val="center"/>
            <w:hideMark/>
          </w:tcPr>
          <w:p w14:paraId="709067ED"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w:t>
            </w:r>
          </w:p>
        </w:tc>
        <w:tc>
          <w:tcPr>
            <w:tcW w:w="217" w:type="pct"/>
            <w:tcBorders>
              <w:top w:val="nil"/>
              <w:left w:val="nil"/>
              <w:bottom w:val="nil"/>
              <w:right w:val="nil"/>
            </w:tcBorders>
            <w:shd w:val="clear" w:color="auto" w:fill="auto"/>
            <w:noWrap/>
            <w:vAlign w:val="center"/>
            <w:hideMark/>
          </w:tcPr>
          <w:p w14:paraId="6EEFF2BE"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w:t>
            </w:r>
          </w:p>
        </w:tc>
        <w:tc>
          <w:tcPr>
            <w:tcW w:w="217" w:type="pct"/>
            <w:tcBorders>
              <w:top w:val="nil"/>
              <w:left w:val="nil"/>
              <w:bottom w:val="nil"/>
              <w:right w:val="nil"/>
            </w:tcBorders>
            <w:shd w:val="clear" w:color="000000" w:fill="E7E6E6"/>
            <w:noWrap/>
            <w:vAlign w:val="center"/>
            <w:hideMark/>
          </w:tcPr>
          <w:p w14:paraId="064068C6"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w:t>
            </w:r>
          </w:p>
        </w:tc>
        <w:tc>
          <w:tcPr>
            <w:tcW w:w="217" w:type="pct"/>
            <w:tcBorders>
              <w:top w:val="nil"/>
              <w:left w:val="nil"/>
              <w:bottom w:val="nil"/>
              <w:right w:val="nil"/>
            </w:tcBorders>
            <w:shd w:val="clear" w:color="auto" w:fill="auto"/>
            <w:noWrap/>
            <w:vAlign w:val="center"/>
            <w:hideMark/>
          </w:tcPr>
          <w:p w14:paraId="7000303F"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1</w:t>
            </w:r>
          </w:p>
        </w:tc>
        <w:tc>
          <w:tcPr>
            <w:tcW w:w="217" w:type="pct"/>
            <w:tcBorders>
              <w:top w:val="nil"/>
              <w:left w:val="nil"/>
              <w:bottom w:val="nil"/>
              <w:right w:val="nil"/>
            </w:tcBorders>
            <w:shd w:val="clear" w:color="000000" w:fill="E7E6E6"/>
            <w:noWrap/>
            <w:vAlign w:val="center"/>
            <w:hideMark/>
          </w:tcPr>
          <w:p w14:paraId="5247C331"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0.1</w:t>
            </w:r>
          </w:p>
        </w:tc>
        <w:tc>
          <w:tcPr>
            <w:tcW w:w="216" w:type="pct"/>
            <w:tcBorders>
              <w:top w:val="nil"/>
              <w:left w:val="nil"/>
              <w:bottom w:val="nil"/>
              <w:right w:val="nil"/>
            </w:tcBorders>
            <w:shd w:val="clear" w:color="auto" w:fill="auto"/>
            <w:noWrap/>
            <w:vAlign w:val="center"/>
            <w:hideMark/>
          </w:tcPr>
          <w:p w14:paraId="261814A1"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w:t>
            </w:r>
          </w:p>
        </w:tc>
        <w:tc>
          <w:tcPr>
            <w:tcW w:w="217" w:type="pct"/>
            <w:tcBorders>
              <w:top w:val="nil"/>
              <w:left w:val="nil"/>
              <w:bottom w:val="nil"/>
              <w:right w:val="nil"/>
            </w:tcBorders>
            <w:shd w:val="clear" w:color="000000" w:fill="E7E6E6"/>
            <w:noWrap/>
            <w:vAlign w:val="center"/>
            <w:hideMark/>
          </w:tcPr>
          <w:p w14:paraId="04DC3890"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w:t>
            </w:r>
          </w:p>
        </w:tc>
        <w:tc>
          <w:tcPr>
            <w:tcW w:w="217" w:type="pct"/>
            <w:tcBorders>
              <w:top w:val="nil"/>
              <w:left w:val="nil"/>
              <w:bottom w:val="nil"/>
              <w:right w:val="nil"/>
            </w:tcBorders>
            <w:shd w:val="clear" w:color="auto" w:fill="auto"/>
            <w:noWrap/>
            <w:vAlign w:val="center"/>
            <w:hideMark/>
          </w:tcPr>
          <w:p w14:paraId="0F729826"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2</w:t>
            </w:r>
          </w:p>
        </w:tc>
        <w:tc>
          <w:tcPr>
            <w:tcW w:w="217" w:type="pct"/>
            <w:tcBorders>
              <w:top w:val="nil"/>
              <w:left w:val="nil"/>
              <w:bottom w:val="nil"/>
              <w:right w:val="nil"/>
            </w:tcBorders>
            <w:shd w:val="clear" w:color="000000" w:fill="E7E6E6"/>
            <w:noWrap/>
            <w:vAlign w:val="center"/>
            <w:hideMark/>
          </w:tcPr>
          <w:p w14:paraId="3A43A73F"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0.3</w:t>
            </w:r>
          </w:p>
        </w:tc>
        <w:tc>
          <w:tcPr>
            <w:tcW w:w="217" w:type="pct"/>
            <w:tcBorders>
              <w:top w:val="nil"/>
              <w:left w:val="nil"/>
              <w:bottom w:val="nil"/>
              <w:right w:val="nil"/>
            </w:tcBorders>
            <w:shd w:val="clear" w:color="auto" w:fill="auto"/>
            <w:noWrap/>
            <w:vAlign w:val="center"/>
            <w:hideMark/>
          </w:tcPr>
          <w:p w14:paraId="5073F3A1"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w:t>
            </w:r>
          </w:p>
        </w:tc>
        <w:tc>
          <w:tcPr>
            <w:tcW w:w="217" w:type="pct"/>
            <w:tcBorders>
              <w:top w:val="nil"/>
              <w:left w:val="nil"/>
              <w:bottom w:val="nil"/>
              <w:right w:val="nil"/>
            </w:tcBorders>
            <w:shd w:val="clear" w:color="000000" w:fill="E7E6E6"/>
            <w:noWrap/>
            <w:vAlign w:val="center"/>
            <w:hideMark/>
          </w:tcPr>
          <w:p w14:paraId="0B5635DE"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w:t>
            </w:r>
          </w:p>
        </w:tc>
        <w:tc>
          <w:tcPr>
            <w:tcW w:w="217" w:type="pct"/>
            <w:tcBorders>
              <w:top w:val="nil"/>
              <w:left w:val="nil"/>
              <w:bottom w:val="nil"/>
              <w:right w:val="nil"/>
            </w:tcBorders>
            <w:shd w:val="clear" w:color="auto" w:fill="auto"/>
            <w:noWrap/>
            <w:vAlign w:val="center"/>
            <w:hideMark/>
          </w:tcPr>
          <w:p w14:paraId="055D38FA"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w:t>
            </w:r>
          </w:p>
        </w:tc>
        <w:tc>
          <w:tcPr>
            <w:tcW w:w="217" w:type="pct"/>
            <w:tcBorders>
              <w:top w:val="nil"/>
              <w:left w:val="nil"/>
              <w:bottom w:val="nil"/>
              <w:right w:val="nil"/>
            </w:tcBorders>
            <w:shd w:val="clear" w:color="000000" w:fill="E7E6E6"/>
            <w:noWrap/>
            <w:vAlign w:val="center"/>
            <w:hideMark/>
          </w:tcPr>
          <w:p w14:paraId="645F928E"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w:t>
            </w:r>
          </w:p>
        </w:tc>
        <w:tc>
          <w:tcPr>
            <w:tcW w:w="217" w:type="pct"/>
            <w:tcBorders>
              <w:top w:val="nil"/>
              <w:left w:val="nil"/>
              <w:bottom w:val="nil"/>
              <w:right w:val="nil"/>
            </w:tcBorders>
            <w:shd w:val="clear" w:color="auto" w:fill="auto"/>
            <w:noWrap/>
            <w:vAlign w:val="center"/>
            <w:hideMark/>
          </w:tcPr>
          <w:p w14:paraId="41863338"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1</w:t>
            </w:r>
          </w:p>
        </w:tc>
        <w:tc>
          <w:tcPr>
            <w:tcW w:w="274" w:type="pct"/>
            <w:tcBorders>
              <w:top w:val="nil"/>
              <w:left w:val="nil"/>
              <w:bottom w:val="nil"/>
              <w:right w:val="nil"/>
            </w:tcBorders>
            <w:shd w:val="clear" w:color="000000" w:fill="E7E6E6"/>
            <w:noWrap/>
            <w:vAlign w:val="center"/>
            <w:hideMark/>
          </w:tcPr>
          <w:p w14:paraId="5467B8D2" w14:textId="77777777" w:rsidR="004E7B7E" w:rsidRPr="008B619A" w:rsidRDefault="004E7B7E" w:rsidP="003A6C05">
            <w:pPr>
              <w:widowControl/>
              <w:jc w:val="center"/>
              <w:rPr>
                <w:rFonts w:hAnsi="標楷體" w:cs="Tahoma"/>
                <w:color w:val="000000" w:themeColor="text1"/>
                <w:kern w:val="0"/>
                <w:sz w:val="15"/>
                <w:szCs w:val="15"/>
              </w:rPr>
            </w:pPr>
            <w:r w:rsidRPr="008B619A">
              <w:rPr>
                <w:rFonts w:hAnsi="標楷體" w:cs="Tahoma" w:hint="eastAsia"/>
                <w:color w:val="000000" w:themeColor="text1"/>
                <w:kern w:val="0"/>
                <w:sz w:val="15"/>
                <w:szCs w:val="15"/>
              </w:rPr>
              <w:t>0.1</w:t>
            </w:r>
          </w:p>
        </w:tc>
      </w:tr>
      <w:tr w:rsidR="004E7B7E" w:rsidRPr="008B619A" w14:paraId="3603C875" w14:textId="77777777" w:rsidTr="006400F0">
        <w:trPr>
          <w:trHeight w:val="330"/>
        </w:trPr>
        <w:tc>
          <w:tcPr>
            <w:tcW w:w="600" w:type="pct"/>
            <w:tcBorders>
              <w:top w:val="nil"/>
              <w:left w:val="nil"/>
              <w:bottom w:val="nil"/>
              <w:right w:val="single" w:sz="4" w:space="0" w:color="auto"/>
            </w:tcBorders>
            <w:shd w:val="clear" w:color="auto" w:fill="auto"/>
            <w:noWrap/>
            <w:vAlign w:val="center"/>
            <w:hideMark/>
          </w:tcPr>
          <w:p w14:paraId="2D90D1D1" w14:textId="77777777" w:rsidR="004E7B7E" w:rsidRPr="008B619A" w:rsidRDefault="004E7B7E" w:rsidP="008055B8">
            <w:pPr>
              <w:widowControl/>
              <w:jc w:val="center"/>
              <w:rPr>
                <w:rFonts w:hAnsi="標楷體" w:cs="Tahoma"/>
                <w:bCs/>
                <w:color w:val="000000" w:themeColor="text1"/>
                <w:kern w:val="0"/>
                <w:sz w:val="20"/>
              </w:rPr>
            </w:pPr>
            <w:r w:rsidRPr="008B619A">
              <w:rPr>
                <w:rFonts w:hAnsi="標楷體" w:cs="Tahoma" w:hint="eastAsia"/>
                <w:bCs/>
                <w:color w:val="000000" w:themeColor="text1"/>
                <w:kern w:val="0"/>
                <w:sz w:val="20"/>
              </w:rPr>
              <w:t>林業</w:t>
            </w:r>
          </w:p>
        </w:tc>
        <w:tc>
          <w:tcPr>
            <w:tcW w:w="216" w:type="pct"/>
            <w:tcBorders>
              <w:top w:val="nil"/>
              <w:left w:val="nil"/>
              <w:bottom w:val="nil"/>
              <w:right w:val="nil"/>
            </w:tcBorders>
            <w:shd w:val="clear" w:color="auto" w:fill="auto"/>
            <w:noWrap/>
            <w:vAlign w:val="center"/>
            <w:hideMark/>
          </w:tcPr>
          <w:p w14:paraId="27CE1C10"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w:t>
            </w:r>
          </w:p>
        </w:tc>
        <w:tc>
          <w:tcPr>
            <w:tcW w:w="217" w:type="pct"/>
            <w:tcBorders>
              <w:top w:val="nil"/>
              <w:left w:val="nil"/>
              <w:bottom w:val="nil"/>
              <w:right w:val="nil"/>
            </w:tcBorders>
            <w:shd w:val="clear" w:color="000000" w:fill="E7E6E6"/>
            <w:noWrap/>
            <w:vAlign w:val="center"/>
            <w:hideMark/>
          </w:tcPr>
          <w:p w14:paraId="29176330"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w:t>
            </w:r>
          </w:p>
        </w:tc>
        <w:tc>
          <w:tcPr>
            <w:tcW w:w="217" w:type="pct"/>
            <w:tcBorders>
              <w:top w:val="nil"/>
              <w:left w:val="nil"/>
              <w:bottom w:val="nil"/>
              <w:right w:val="nil"/>
            </w:tcBorders>
            <w:shd w:val="clear" w:color="auto" w:fill="auto"/>
            <w:noWrap/>
            <w:vAlign w:val="center"/>
            <w:hideMark/>
          </w:tcPr>
          <w:p w14:paraId="0144E5F5"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w:t>
            </w:r>
          </w:p>
        </w:tc>
        <w:tc>
          <w:tcPr>
            <w:tcW w:w="217" w:type="pct"/>
            <w:tcBorders>
              <w:top w:val="nil"/>
              <w:left w:val="nil"/>
              <w:bottom w:val="nil"/>
              <w:right w:val="nil"/>
            </w:tcBorders>
            <w:shd w:val="clear" w:color="000000" w:fill="E7E6E6"/>
            <w:noWrap/>
            <w:vAlign w:val="center"/>
            <w:hideMark/>
          </w:tcPr>
          <w:p w14:paraId="4B36A05A"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w:t>
            </w:r>
          </w:p>
        </w:tc>
        <w:tc>
          <w:tcPr>
            <w:tcW w:w="217" w:type="pct"/>
            <w:tcBorders>
              <w:top w:val="nil"/>
              <w:left w:val="nil"/>
              <w:bottom w:val="nil"/>
              <w:right w:val="nil"/>
            </w:tcBorders>
            <w:shd w:val="clear" w:color="auto" w:fill="auto"/>
            <w:noWrap/>
            <w:vAlign w:val="center"/>
            <w:hideMark/>
          </w:tcPr>
          <w:p w14:paraId="09B266F4"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w:t>
            </w:r>
          </w:p>
        </w:tc>
        <w:tc>
          <w:tcPr>
            <w:tcW w:w="217" w:type="pct"/>
            <w:tcBorders>
              <w:top w:val="nil"/>
              <w:left w:val="nil"/>
              <w:bottom w:val="nil"/>
              <w:right w:val="nil"/>
            </w:tcBorders>
            <w:shd w:val="clear" w:color="000000" w:fill="E7E6E6"/>
            <w:noWrap/>
            <w:vAlign w:val="center"/>
            <w:hideMark/>
          </w:tcPr>
          <w:p w14:paraId="1C245DCF"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w:t>
            </w:r>
          </w:p>
        </w:tc>
        <w:tc>
          <w:tcPr>
            <w:tcW w:w="217" w:type="pct"/>
            <w:tcBorders>
              <w:top w:val="nil"/>
              <w:left w:val="nil"/>
              <w:bottom w:val="nil"/>
              <w:right w:val="nil"/>
            </w:tcBorders>
            <w:shd w:val="clear" w:color="auto" w:fill="auto"/>
            <w:noWrap/>
            <w:vAlign w:val="center"/>
            <w:hideMark/>
          </w:tcPr>
          <w:p w14:paraId="3A2F8665"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w:t>
            </w:r>
          </w:p>
        </w:tc>
        <w:tc>
          <w:tcPr>
            <w:tcW w:w="217" w:type="pct"/>
            <w:tcBorders>
              <w:top w:val="nil"/>
              <w:left w:val="nil"/>
              <w:bottom w:val="nil"/>
              <w:right w:val="nil"/>
            </w:tcBorders>
            <w:shd w:val="clear" w:color="000000" w:fill="E7E6E6"/>
            <w:noWrap/>
            <w:vAlign w:val="center"/>
            <w:hideMark/>
          </w:tcPr>
          <w:p w14:paraId="4C43B35F"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w:t>
            </w:r>
          </w:p>
        </w:tc>
        <w:tc>
          <w:tcPr>
            <w:tcW w:w="217" w:type="pct"/>
            <w:tcBorders>
              <w:top w:val="nil"/>
              <w:left w:val="nil"/>
              <w:bottom w:val="nil"/>
              <w:right w:val="nil"/>
            </w:tcBorders>
            <w:shd w:val="clear" w:color="auto" w:fill="auto"/>
            <w:noWrap/>
            <w:vAlign w:val="center"/>
            <w:hideMark/>
          </w:tcPr>
          <w:p w14:paraId="5C4525D1"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w:t>
            </w:r>
          </w:p>
        </w:tc>
        <w:tc>
          <w:tcPr>
            <w:tcW w:w="217" w:type="pct"/>
            <w:tcBorders>
              <w:top w:val="nil"/>
              <w:left w:val="nil"/>
              <w:bottom w:val="nil"/>
              <w:right w:val="nil"/>
            </w:tcBorders>
            <w:shd w:val="clear" w:color="000000" w:fill="E7E6E6"/>
            <w:noWrap/>
            <w:vAlign w:val="center"/>
            <w:hideMark/>
          </w:tcPr>
          <w:p w14:paraId="63C8A8C0"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w:t>
            </w:r>
          </w:p>
        </w:tc>
        <w:tc>
          <w:tcPr>
            <w:tcW w:w="216" w:type="pct"/>
            <w:tcBorders>
              <w:top w:val="nil"/>
              <w:left w:val="nil"/>
              <w:bottom w:val="nil"/>
              <w:right w:val="nil"/>
            </w:tcBorders>
            <w:shd w:val="clear" w:color="auto" w:fill="auto"/>
            <w:noWrap/>
            <w:vAlign w:val="center"/>
            <w:hideMark/>
          </w:tcPr>
          <w:p w14:paraId="23FEC82F"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w:t>
            </w:r>
          </w:p>
        </w:tc>
        <w:tc>
          <w:tcPr>
            <w:tcW w:w="217" w:type="pct"/>
            <w:tcBorders>
              <w:top w:val="nil"/>
              <w:left w:val="nil"/>
              <w:bottom w:val="nil"/>
              <w:right w:val="nil"/>
            </w:tcBorders>
            <w:shd w:val="clear" w:color="000000" w:fill="E7E6E6"/>
            <w:noWrap/>
            <w:vAlign w:val="center"/>
            <w:hideMark/>
          </w:tcPr>
          <w:p w14:paraId="00528546"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w:t>
            </w:r>
          </w:p>
        </w:tc>
        <w:tc>
          <w:tcPr>
            <w:tcW w:w="217" w:type="pct"/>
            <w:tcBorders>
              <w:top w:val="nil"/>
              <w:left w:val="nil"/>
              <w:bottom w:val="nil"/>
              <w:right w:val="nil"/>
            </w:tcBorders>
            <w:shd w:val="clear" w:color="auto" w:fill="auto"/>
            <w:noWrap/>
            <w:vAlign w:val="center"/>
            <w:hideMark/>
          </w:tcPr>
          <w:p w14:paraId="78CF8BDE"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w:t>
            </w:r>
          </w:p>
        </w:tc>
        <w:tc>
          <w:tcPr>
            <w:tcW w:w="217" w:type="pct"/>
            <w:tcBorders>
              <w:top w:val="nil"/>
              <w:left w:val="nil"/>
              <w:bottom w:val="nil"/>
              <w:right w:val="nil"/>
            </w:tcBorders>
            <w:shd w:val="clear" w:color="000000" w:fill="E7E6E6"/>
            <w:noWrap/>
            <w:vAlign w:val="center"/>
            <w:hideMark/>
          </w:tcPr>
          <w:p w14:paraId="4D35C1C1"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w:t>
            </w:r>
          </w:p>
        </w:tc>
        <w:tc>
          <w:tcPr>
            <w:tcW w:w="217" w:type="pct"/>
            <w:tcBorders>
              <w:top w:val="nil"/>
              <w:left w:val="nil"/>
              <w:bottom w:val="nil"/>
              <w:right w:val="nil"/>
            </w:tcBorders>
            <w:shd w:val="clear" w:color="auto" w:fill="auto"/>
            <w:noWrap/>
            <w:vAlign w:val="center"/>
            <w:hideMark/>
          </w:tcPr>
          <w:p w14:paraId="2256E5F4"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w:t>
            </w:r>
          </w:p>
        </w:tc>
        <w:tc>
          <w:tcPr>
            <w:tcW w:w="217" w:type="pct"/>
            <w:tcBorders>
              <w:top w:val="nil"/>
              <w:left w:val="nil"/>
              <w:bottom w:val="nil"/>
              <w:right w:val="nil"/>
            </w:tcBorders>
            <w:shd w:val="clear" w:color="000000" w:fill="E7E6E6"/>
            <w:noWrap/>
            <w:vAlign w:val="center"/>
            <w:hideMark/>
          </w:tcPr>
          <w:p w14:paraId="7AC07723"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w:t>
            </w:r>
          </w:p>
        </w:tc>
        <w:tc>
          <w:tcPr>
            <w:tcW w:w="217" w:type="pct"/>
            <w:tcBorders>
              <w:top w:val="nil"/>
              <w:left w:val="nil"/>
              <w:bottom w:val="nil"/>
              <w:right w:val="nil"/>
            </w:tcBorders>
            <w:shd w:val="clear" w:color="auto" w:fill="auto"/>
            <w:noWrap/>
            <w:vAlign w:val="center"/>
            <w:hideMark/>
          </w:tcPr>
          <w:p w14:paraId="44A76E14"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w:t>
            </w:r>
          </w:p>
        </w:tc>
        <w:tc>
          <w:tcPr>
            <w:tcW w:w="217" w:type="pct"/>
            <w:tcBorders>
              <w:top w:val="nil"/>
              <w:left w:val="nil"/>
              <w:bottom w:val="nil"/>
              <w:right w:val="nil"/>
            </w:tcBorders>
            <w:shd w:val="clear" w:color="000000" w:fill="E7E6E6"/>
            <w:noWrap/>
            <w:vAlign w:val="center"/>
            <w:hideMark/>
          </w:tcPr>
          <w:p w14:paraId="6636D28D"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w:t>
            </w:r>
          </w:p>
        </w:tc>
        <w:tc>
          <w:tcPr>
            <w:tcW w:w="217" w:type="pct"/>
            <w:tcBorders>
              <w:top w:val="nil"/>
              <w:left w:val="nil"/>
              <w:bottom w:val="nil"/>
              <w:right w:val="nil"/>
            </w:tcBorders>
            <w:shd w:val="clear" w:color="auto" w:fill="auto"/>
            <w:noWrap/>
            <w:vAlign w:val="center"/>
            <w:hideMark/>
          </w:tcPr>
          <w:p w14:paraId="60384A88"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w:t>
            </w:r>
          </w:p>
        </w:tc>
        <w:tc>
          <w:tcPr>
            <w:tcW w:w="274" w:type="pct"/>
            <w:tcBorders>
              <w:top w:val="nil"/>
              <w:left w:val="nil"/>
              <w:bottom w:val="nil"/>
              <w:right w:val="nil"/>
            </w:tcBorders>
            <w:shd w:val="clear" w:color="000000" w:fill="E7E6E6"/>
            <w:noWrap/>
            <w:vAlign w:val="center"/>
            <w:hideMark/>
          </w:tcPr>
          <w:p w14:paraId="6A901F0B" w14:textId="77777777" w:rsidR="004E7B7E" w:rsidRPr="008B619A" w:rsidRDefault="004E7B7E" w:rsidP="003A6C05">
            <w:pPr>
              <w:widowControl/>
              <w:jc w:val="center"/>
              <w:rPr>
                <w:rFonts w:hAnsi="標楷體" w:cs="Tahoma"/>
                <w:color w:val="000000" w:themeColor="text1"/>
                <w:kern w:val="0"/>
                <w:sz w:val="15"/>
                <w:szCs w:val="15"/>
              </w:rPr>
            </w:pPr>
            <w:r w:rsidRPr="008B619A">
              <w:rPr>
                <w:rFonts w:hAnsi="標楷體" w:cs="Tahoma" w:hint="eastAsia"/>
                <w:color w:val="000000" w:themeColor="text1"/>
                <w:kern w:val="0"/>
                <w:sz w:val="15"/>
                <w:szCs w:val="15"/>
              </w:rPr>
              <w:t>-</w:t>
            </w:r>
          </w:p>
        </w:tc>
      </w:tr>
      <w:tr w:rsidR="004E7B7E" w:rsidRPr="008B619A" w14:paraId="30363F76" w14:textId="77777777" w:rsidTr="006400F0">
        <w:trPr>
          <w:trHeight w:val="330"/>
        </w:trPr>
        <w:tc>
          <w:tcPr>
            <w:tcW w:w="600" w:type="pct"/>
            <w:tcBorders>
              <w:top w:val="nil"/>
              <w:left w:val="nil"/>
              <w:bottom w:val="nil"/>
              <w:right w:val="single" w:sz="4" w:space="0" w:color="auto"/>
            </w:tcBorders>
            <w:shd w:val="clear" w:color="auto" w:fill="auto"/>
            <w:noWrap/>
            <w:vAlign w:val="center"/>
            <w:hideMark/>
          </w:tcPr>
          <w:p w14:paraId="4A2DF3B7" w14:textId="77777777" w:rsidR="004E7B7E" w:rsidRPr="008B619A" w:rsidRDefault="004E7B7E" w:rsidP="008055B8">
            <w:pPr>
              <w:widowControl/>
              <w:jc w:val="center"/>
              <w:rPr>
                <w:rFonts w:hAnsi="標楷體" w:cs="Tahoma"/>
                <w:bCs/>
                <w:color w:val="000000" w:themeColor="text1"/>
                <w:kern w:val="0"/>
                <w:sz w:val="20"/>
              </w:rPr>
            </w:pPr>
            <w:r w:rsidRPr="008B619A">
              <w:rPr>
                <w:rFonts w:hAnsi="標楷體" w:cs="Tahoma" w:hint="eastAsia"/>
                <w:bCs/>
                <w:color w:val="000000" w:themeColor="text1"/>
                <w:kern w:val="0"/>
                <w:sz w:val="20"/>
              </w:rPr>
              <w:t>漁業</w:t>
            </w:r>
          </w:p>
        </w:tc>
        <w:tc>
          <w:tcPr>
            <w:tcW w:w="216" w:type="pct"/>
            <w:tcBorders>
              <w:top w:val="nil"/>
              <w:left w:val="nil"/>
              <w:bottom w:val="nil"/>
              <w:right w:val="nil"/>
            </w:tcBorders>
            <w:shd w:val="clear" w:color="auto" w:fill="auto"/>
            <w:noWrap/>
            <w:vAlign w:val="center"/>
            <w:hideMark/>
          </w:tcPr>
          <w:p w14:paraId="5FEB8AB2"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w:t>
            </w:r>
          </w:p>
        </w:tc>
        <w:tc>
          <w:tcPr>
            <w:tcW w:w="217" w:type="pct"/>
            <w:tcBorders>
              <w:top w:val="nil"/>
              <w:left w:val="nil"/>
              <w:bottom w:val="nil"/>
              <w:right w:val="nil"/>
            </w:tcBorders>
            <w:shd w:val="clear" w:color="000000" w:fill="E7E6E6"/>
            <w:noWrap/>
            <w:vAlign w:val="center"/>
            <w:hideMark/>
          </w:tcPr>
          <w:p w14:paraId="6A34B8FC"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w:t>
            </w:r>
          </w:p>
        </w:tc>
        <w:tc>
          <w:tcPr>
            <w:tcW w:w="217" w:type="pct"/>
            <w:tcBorders>
              <w:top w:val="nil"/>
              <w:left w:val="nil"/>
              <w:bottom w:val="nil"/>
              <w:right w:val="nil"/>
            </w:tcBorders>
            <w:shd w:val="clear" w:color="auto" w:fill="auto"/>
            <w:noWrap/>
            <w:vAlign w:val="center"/>
            <w:hideMark/>
          </w:tcPr>
          <w:p w14:paraId="03A99216"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w:t>
            </w:r>
          </w:p>
        </w:tc>
        <w:tc>
          <w:tcPr>
            <w:tcW w:w="217" w:type="pct"/>
            <w:tcBorders>
              <w:top w:val="nil"/>
              <w:left w:val="nil"/>
              <w:bottom w:val="nil"/>
              <w:right w:val="nil"/>
            </w:tcBorders>
            <w:shd w:val="clear" w:color="000000" w:fill="E7E6E6"/>
            <w:noWrap/>
            <w:vAlign w:val="center"/>
            <w:hideMark/>
          </w:tcPr>
          <w:p w14:paraId="1B56171C"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w:t>
            </w:r>
          </w:p>
        </w:tc>
        <w:tc>
          <w:tcPr>
            <w:tcW w:w="217" w:type="pct"/>
            <w:tcBorders>
              <w:top w:val="nil"/>
              <w:left w:val="nil"/>
              <w:bottom w:val="nil"/>
              <w:right w:val="nil"/>
            </w:tcBorders>
            <w:shd w:val="clear" w:color="auto" w:fill="auto"/>
            <w:noWrap/>
            <w:vAlign w:val="center"/>
            <w:hideMark/>
          </w:tcPr>
          <w:p w14:paraId="50C13ABA"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w:t>
            </w:r>
          </w:p>
        </w:tc>
        <w:tc>
          <w:tcPr>
            <w:tcW w:w="217" w:type="pct"/>
            <w:tcBorders>
              <w:top w:val="nil"/>
              <w:left w:val="nil"/>
              <w:bottom w:val="nil"/>
              <w:right w:val="nil"/>
            </w:tcBorders>
            <w:shd w:val="clear" w:color="000000" w:fill="E7E6E6"/>
            <w:noWrap/>
            <w:vAlign w:val="center"/>
            <w:hideMark/>
          </w:tcPr>
          <w:p w14:paraId="1FF6DC32"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w:t>
            </w:r>
          </w:p>
        </w:tc>
        <w:tc>
          <w:tcPr>
            <w:tcW w:w="217" w:type="pct"/>
            <w:tcBorders>
              <w:top w:val="nil"/>
              <w:left w:val="nil"/>
              <w:bottom w:val="nil"/>
              <w:right w:val="nil"/>
            </w:tcBorders>
            <w:shd w:val="clear" w:color="auto" w:fill="auto"/>
            <w:noWrap/>
            <w:vAlign w:val="center"/>
            <w:hideMark/>
          </w:tcPr>
          <w:p w14:paraId="5C6A2FD9"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w:t>
            </w:r>
          </w:p>
        </w:tc>
        <w:tc>
          <w:tcPr>
            <w:tcW w:w="217" w:type="pct"/>
            <w:tcBorders>
              <w:top w:val="nil"/>
              <w:left w:val="nil"/>
              <w:bottom w:val="nil"/>
              <w:right w:val="nil"/>
            </w:tcBorders>
            <w:shd w:val="clear" w:color="000000" w:fill="E7E6E6"/>
            <w:noWrap/>
            <w:vAlign w:val="center"/>
            <w:hideMark/>
          </w:tcPr>
          <w:p w14:paraId="70BA6ED2"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w:t>
            </w:r>
          </w:p>
        </w:tc>
        <w:tc>
          <w:tcPr>
            <w:tcW w:w="217" w:type="pct"/>
            <w:tcBorders>
              <w:top w:val="nil"/>
              <w:left w:val="nil"/>
              <w:bottom w:val="nil"/>
              <w:right w:val="nil"/>
            </w:tcBorders>
            <w:shd w:val="clear" w:color="auto" w:fill="auto"/>
            <w:noWrap/>
            <w:vAlign w:val="center"/>
            <w:hideMark/>
          </w:tcPr>
          <w:p w14:paraId="3B3A6A12"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w:t>
            </w:r>
          </w:p>
        </w:tc>
        <w:tc>
          <w:tcPr>
            <w:tcW w:w="217" w:type="pct"/>
            <w:tcBorders>
              <w:top w:val="nil"/>
              <w:left w:val="nil"/>
              <w:bottom w:val="nil"/>
              <w:right w:val="nil"/>
            </w:tcBorders>
            <w:shd w:val="clear" w:color="000000" w:fill="E7E6E6"/>
            <w:noWrap/>
            <w:vAlign w:val="center"/>
            <w:hideMark/>
          </w:tcPr>
          <w:p w14:paraId="4B041113"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w:t>
            </w:r>
          </w:p>
        </w:tc>
        <w:tc>
          <w:tcPr>
            <w:tcW w:w="216" w:type="pct"/>
            <w:tcBorders>
              <w:top w:val="nil"/>
              <w:left w:val="nil"/>
              <w:bottom w:val="nil"/>
              <w:right w:val="nil"/>
            </w:tcBorders>
            <w:shd w:val="clear" w:color="auto" w:fill="auto"/>
            <w:noWrap/>
            <w:vAlign w:val="center"/>
            <w:hideMark/>
          </w:tcPr>
          <w:p w14:paraId="760FEC40"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w:t>
            </w:r>
          </w:p>
        </w:tc>
        <w:tc>
          <w:tcPr>
            <w:tcW w:w="217" w:type="pct"/>
            <w:tcBorders>
              <w:top w:val="nil"/>
              <w:left w:val="nil"/>
              <w:bottom w:val="nil"/>
              <w:right w:val="nil"/>
            </w:tcBorders>
            <w:shd w:val="clear" w:color="000000" w:fill="E7E6E6"/>
            <w:noWrap/>
            <w:vAlign w:val="center"/>
            <w:hideMark/>
          </w:tcPr>
          <w:p w14:paraId="5BE75819"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w:t>
            </w:r>
          </w:p>
        </w:tc>
        <w:tc>
          <w:tcPr>
            <w:tcW w:w="217" w:type="pct"/>
            <w:tcBorders>
              <w:top w:val="nil"/>
              <w:left w:val="nil"/>
              <w:bottom w:val="nil"/>
              <w:right w:val="nil"/>
            </w:tcBorders>
            <w:shd w:val="clear" w:color="auto" w:fill="auto"/>
            <w:noWrap/>
            <w:vAlign w:val="center"/>
            <w:hideMark/>
          </w:tcPr>
          <w:p w14:paraId="552B92DE"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w:t>
            </w:r>
          </w:p>
        </w:tc>
        <w:tc>
          <w:tcPr>
            <w:tcW w:w="217" w:type="pct"/>
            <w:tcBorders>
              <w:top w:val="nil"/>
              <w:left w:val="nil"/>
              <w:bottom w:val="nil"/>
              <w:right w:val="nil"/>
            </w:tcBorders>
            <w:shd w:val="clear" w:color="000000" w:fill="E7E6E6"/>
            <w:noWrap/>
            <w:vAlign w:val="center"/>
            <w:hideMark/>
          </w:tcPr>
          <w:p w14:paraId="03AE3C0C"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w:t>
            </w:r>
          </w:p>
        </w:tc>
        <w:tc>
          <w:tcPr>
            <w:tcW w:w="217" w:type="pct"/>
            <w:tcBorders>
              <w:top w:val="nil"/>
              <w:left w:val="nil"/>
              <w:bottom w:val="nil"/>
              <w:right w:val="nil"/>
            </w:tcBorders>
            <w:shd w:val="clear" w:color="auto" w:fill="auto"/>
            <w:noWrap/>
            <w:vAlign w:val="center"/>
            <w:hideMark/>
          </w:tcPr>
          <w:p w14:paraId="4E425354"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w:t>
            </w:r>
          </w:p>
        </w:tc>
        <w:tc>
          <w:tcPr>
            <w:tcW w:w="217" w:type="pct"/>
            <w:tcBorders>
              <w:top w:val="nil"/>
              <w:left w:val="nil"/>
              <w:bottom w:val="nil"/>
              <w:right w:val="nil"/>
            </w:tcBorders>
            <w:shd w:val="clear" w:color="000000" w:fill="E7E6E6"/>
            <w:noWrap/>
            <w:vAlign w:val="center"/>
            <w:hideMark/>
          </w:tcPr>
          <w:p w14:paraId="6183957B"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w:t>
            </w:r>
          </w:p>
        </w:tc>
        <w:tc>
          <w:tcPr>
            <w:tcW w:w="217" w:type="pct"/>
            <w:tcBorders>
              <w:top w:val="nil"/>
              <w:left w:val="nil"/>
              <w:bottom w:val="nil"/>
              <w:right w:val="nil"/>
            </w:tcBorders>
            <w:shd w:val="clear" w:color="auto" w:fill="auto"/>
            <w:noWrap/>
            <w:vAlign w:val="center"/>
            <w:hideMark/>
          </w:tcPr>
          <w:p w14:paraId="100A72F8"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w:t>
            </w:r>
          </w:p>
        </w:tc>
        <w:tc>
          <w:tcPr>
            <w:tcW w:w="217" w:type="pct"/>
            <w:tcBorders>
              <w:top w:val="nil"/>
              <w:left w:val="nil"/>
              <w:bottom w:val="nil"/>
              <w:right w:val="nil"/>
            </w:tcBorders>
            <w:shd w:val="clear" w:color="000000" w:fill="E7E6E6"/>
            <w:noWrap/>
            <w:vAlign w:val="center"/>
            <w:hideMark/>
          </w:tcPr>
          <w:p w14:paraId="7BE93B0E"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w:t>
            </w:r>
          </w:p>
        </w:tc>
        <w:tc>
          <w:tcPr>
            <w:tcW w:w="217" w:type="pct"/>
            <w:tcBorders>
              <w:top w:val="nil"/>
              <w:left w:val="nil"/>
              <w:bottom w:val="nil"/>
              <w:right w:val="nil"/>
            </w:tcBorders>
            <w:shd w:val="clear" w:color="auto" w:fill="auto"/>
            <w:noWrap/>
            <w:vAlign w:val="center"/>
            <w:hideMark/>
          </w:tcPr>
          <w:p w14:paraId="3D8B734F"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w:t>
            </w:r>
          </w:p>
        </w:tc>
        <w:tc>
          <w:tcPr>
            <w:tcW w:w="274" w:type="pct"/>
            <w:tcBorders>
              <w:top w:val="nil"/>
              <w:left w:val="nil"/>
              <w:bottom w:val="nil"/>
              <w:right w:val="nil"/>
            </w:tcBorders>
            <w:shd w:val="clear" w:color="000000" w:fill="E7E6E6"/>
            <w:noWrap/>
            <w:vAlign w:val="center"/>
            <w:hideMark/>
          </w:tcPr>
          <w:p w14:paraId="29D374D8" w14:textId="77777777" w:rsidR="004E7B7E" w:rsidRPr="008B619A" w:rsidRDefault="004E7B7E" w:rsidP="003A6C05">
            <w:pPr>
              <w:widowControl/>
              <w:jc w:val="center"/>
              <w:rPr>
                <w:rFonts w:hAnsi="標楷體" w:cs="Tahoma"/>
                <w:color w:val="000000" w:themeColor="text1"/>
                <w:kern w:val="0"/>
                <w:sz w:val="15"/>
                <w:szCs w:val="15"/>
              </w:rPr>
            </w:pPr>
            <w:r w:rsidRPr="008B619A">
              <w:rPr>
                <w:rFonts w:hAnsi="標楷體" w:cs="Tahoma" w:hint="eastAsia"/>
                <w:color w:val="000000" w:themeColor="text1"/>
                <w:kern w:val="0"/>
                <w:sz w:val="15"/>
                <w:szCs w:val="15"/>
              </w:rPr>
              <w:t>-</w:t>
            </w:r>
          </w:p>
        </w:tc>
      </w:tr>
      <w:tr w:rsidR="004E7B7E" w:rsidRPr="008B619A" w14:paraId="6EFD5006" w14:textId="77777777" w:rsidTr="006400F0">
        <w:trPr>
          <w:trHeight w:val="330"/>
        </w:trPr>
        <w:tc>
          <w:tcPr>
            <w:tcW w:w="600" w:type="pct"/>
            <w:tcBorders>
              <w:top w:val="nil"/>
              <w:left w:val="nil"/>
              <w:bottom w:val="nil"/>
              <w:right w:val="single" w:sz="4" w:space="0" w:color="auto"/>
            </w:tcBorders>
            <w:shd w:val="clear" w:color="auto" w:fill="auto"/>
            <w:noWrap/>
            <w:vAlign w:val="center"/>
            <w:hideMark/>
          </w:tcPr>
          <w:p w14:paraId="2C2D662A" w14:textId="77777777" w:rsidR="004E7B7E" w:rsidRPr="008B619A" w:rsidRDefault="004E7B7E" w:rsidP="008055B8">
            <w:pPr>
              <w:widowControl/>
              <w:jc w:val="center"/>
              <w:rPr>
                <w:rFonts w:hAnsi="標楷體" w:cs="Tahoma"/>
                <w:bCs/>
                <w:color w:val="000000" w:themeColor="text1"/>
                <w:kern w:val="0"/>
                <w:sz w:val="20"/>
              </w:rPr>
            </w:pPr>
            <w:r w:rsidRPr="008B619A">
              <w:rPr>
                <w:rFonts w:hAnsi="標楷體" w:cs="Tahoma" w:hint="eastAsia"/>
                <w:bCs/>
                <w:color w:val="000000" w:themeColor="text1"/>
                <w:kern w:val="0"/>
                <w:sz w:val="20"/>
              </w:rPr>
              <w:t>獸醫</w:t>
            </w:r>
          </w:p>
        </w:tc>
        <w:tc>
          <w:tcPr>
            <w:tcW w:w="216" w:type="pct"/>
            <w:tcBorders>
              <w:top w:val="nil"/>
              <w:left w:val="nil"/>
              <w:bottom w:val="nil"/>
              <w:right w:val="nil"/>
            </w:tcBorders>
            <w:shd w:val="clear" w:color="auto" w:fill="auto"/>
            <w:noWrap/>
            <w:vAlign w:val="center"/>
            <w:hideMark/>
          </w:tcPr>
          <w:p w14:paraId="64B519FE"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w:t>
            </w:r>
          </w:p>
        </w:tc>
        <w:tc>
          <w:tcPr>
            <w:tcW w:w="217" w:type="pct"/>
            <w:tcBorders>
              <w:top w:val="nil"/>
              <w:left w:val="nil"/>
              <w:bottom w:val="nil"/>
              <w:right w:val="nil"/>
            </w:tcBorders>
            <w:shd w:val="clear" w:color="000000" w:fill="E7E6E6"/>
            <w:noWrap/>
            <w:vAlign w:val="center"/>
            <w:hideMark/>
          </w:tcPr>
          <w:p w14:paraId="12B32315"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w:t>
            </w:r>
          </w:p>
        </w:tc>
        <w:tc>
          <w:tcPr>
            <w:tcW w:w="217" w:type="pct"/>
            <w:tcBorders>
              <w:top w:val="nil"/>
              <w:left w:val="nil"/>
              <w:bottom w:val="nil"/>
              <w:right w:val="nil"/>
            </w:tcBorders>
            <w:shd w:val="clear" w:color="auto" w:fill="auto"/>
            <w:noWrap/>
            <w:vAlign w:val="center"/>
            <w:hideMark/>
          </w:tcPr>
          <w:p w14:paraId="7D558F21"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w:t>
            </w:r>
          </w:p>
        </w:tc>
        <w:tc>
          <w:tcPr>
            <w:tcW w:w="217" w:type="pct"/>
            <w:tcBorders>
              <w:top w:val="nil"/>
              <w:left w:val="nil"/>
              <w:bottom w:val="nil"/>
              <w:right w:val="nil"/>
            </w:tcBorders>
            <w:shd w:val="clear" w:color="000000" w:fill="E7E6E6"/>
            <w:noWrap/>
            <w:vAlign w:val="center"/>
            <w:hideMark/>
          </w:tcPr>
          <w:p w14:paraId="5660CF29"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w:t>
            </w:r>
          </w:p>
        </w:tc>
        <w:tc>
          <w:tcPr>
            <w:tcW w:w="217" w:type="pct"/>
            <w:tcBorders>
              <w:top w:val="nil"/>
              <w:left w:val="nil"/>
              <w:bottom w:val="nil"/>
              <w:right w:val="nil"/>
            </w:tcBorders>
            <w:shd w:val="clear" w:color="auto" w:fill="auto"/>
            <w:noWrap/>
            <w:vAlign w:val="center"/>
            <w:hideMark/>
          </w:tcPr>
          <w:p w14:paraId="5AF84091"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w:t>
            </w:r>
          </w:p>
        </w:tc>
        <w:tc>
          <w:tcPr>
            <w:tcW w:w="217" w:type="pct"/>
            <w:tcBorders>
              <w:top w:val="nil"/>
              <w:left w:val="nil"/>
              <w:bottom w:val="nil"/>
              <w:right w:val="nil"/>
            </w:tcBorders>
            <w:shd w:val="clear" w:color="000000" w:fill="E7E6E6"/>
            <w:noWrap/>
            <w:vAlign w:val="center"/>
            <w:hideMark/>
          </w:tcPr>
          <w:p w14:paraId="00D1F15E"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w:t>
            </w:r>
          </w:p>
        </w:tc>
        <w:tc>
          <w:tcPr>
            <w:tcW w:w="217" w:type="pct"/>
            <w:tcBorders>
              <w:top w:val="nil"/>
              <w:left w:val="nil"/>
              <w:bottom w:val="nil"/>
              <w:right w:val="nil"/>
            </w:tcBorders>
            <w:shd w:val="clear" w:color="auto" w:fill="auto"/>
            <w:noWrap/>
            <w:vAlign w:val="center"/>
            <w:hideMark/>
          </w:tcPr>
          <w:p w14:paraId="11254BD6"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w:t>
            </w:r>
          </w:p>
        </w:tc>
        <w:tc>
          <w:tcPr>
            <w:tcW w:w="217" w:type="pct"/>
            <w:tcBorders>
              <w:top w:val="nil"/>
              <w:left w:val="nil"/>
              <w:bottom w:val="nil"/>
              <w:right w:val="nil"/>
            </w:tcBorders>
            <w:shd w:val="clear" w:color="000000" w:fill="E7E6E6"/>
            <w:noWrap/>
            <w:vAlign w:val="center"/>
            <w:hideMark/>
          </w:tcPr>
          <w:p w14:paraId="5EDB1C6B"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w:t>
            </w:r>
          </w:p>
        </w:tc>
        <w:tc>
          <w:tcPr>
            <w:tcW w:w="217" w:type="pct"/>
            <w:tcBorders>
              <w:top w:val="nil"/>
              <w:left w:val="nil"/>
              <w:bottom w:val="nil"/>
              <w:right w:val="nil"/>
            </w:tcBorders>
            <w:shd w:val="clear" w:color="auto" w:fill="auto"/>
            <w:noWrap/>
            <w:vAlign w:val="center"/>
            <w:hideMark/>
          </w:tcPr>
          <w:p w14:paraId="16DE2BBF"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w:t>
            </w:r>
          </w:p>
        </w:tc>
        <w:tc>
          <w:tcPr>
            <w:tcW w:w="217" w:type="pct"/>
            <w:tcBorders>
              <w:top w:val="nil"/>
              <w:left w:val="nil"/>
              <w:bottom w:val="nil"/>
              <w:right w:val="nil"/>
            </w:tcBorders>
            <w:shd w:val="clear" w:color="000000" w:fill="E7E6E6"/>
            <w:noWrap/>
            <w:vAlign w:val="center"/>
            <w:hideMark/>
          </w:tcPr>
          <w:p w14:paraId="64410BB6"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w:t>
            </w:r>
          </w:p>
        </w:tc>
        <w:tc>
          <w:tcPr>
            <w:tcW w:w="216" w:type="pct"/>
            <w:tcBorders>
              <w:top w:val="nil"/>
              <w:left w:val="nil"/>
              <w:bottom w:val="nil"/>
              <w:right w:val="nil"/>
            </w:tcBorders>
            <w:shd w:val="clear" w:color="auto" w:fill="auto"/>
            <w:noWrap/>
            <w:vAlign w:val="center"/>
            <w:hideMark/>
          </w:tcPr>
          <w:p w14:paraId="2E6B3057"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w:t>
            </w:r>
          </w:p>
        </w:tc>
        <w:tc>
          <w:tcPr>
            <w:tcW w:w="217" w:type="pct"/>
            <w:tcBorders>
              <w:top w:val="nil"/>
              <w:left w:val="nil"/>
              <w:bottom w:val="nil"/>
              <w:right w:val="nil"/>
            </w:tcBorders>
            <w:shd w:val="clear" w:color="000000" w:fill="E7E6E6"/>
            <w:noWrap/>
            <w:vAlign w:val="center"/>
            <w:hideMark/>
          </w:tcPr>
          <w:p w14:paraId="612A50AC"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w:t>
            </w:r>
          </w:p>
        </w:tc>
        <w:tc>
          <w:tcPr>
            <w:tcW w:w="217" w:type="pct"/>
            <w:tcBorders>
              <w:top w:val="nil"/>
              <w:left w:val="nil"/>
              <w:bottom w:val="nil"/>
              <w:right w:val="nil"/>
            </w:tcBorders>
            <w:shd w:val="clear" w:color="auto" w:fill="auto"/>
            <w:noWrap/>
            <w:vAlign w:val="center"/>
            <w:hideMark/>
          </w:tcPr>
          <w:p w14:paraId="2F65B2DF"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w:t>
            </w:r>
          </w:p>
        </w:tc>
        <w:tc>
          <w:tcPr>
            <w:tcW w:w="217" w:type="pct"/>
            <w:tcBorders>
              <w:top w:val="nil"/>
              <w:left w:val="nil"/>
              <w:bottom w:val="nil"/>
              <w:right w:val="nil"/>
            </w:tcBorders>
            <w:shd w:val="clear" w:color="000000" w:fill="E7E6E6"/>
            <w:noWrap/>
            <w:vAlign w:val="center"/>
            <w:hideMark/>
          </w:tcPr>
          <w:p w14:paraId="6B8BED6D"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w:t>
            </w:r>
          </w:p>
        </w:tc>
        <w:tc>
          <w:tcPr>
            <w:tcW w:w="217" w:type="pct"/>
            <w:tcBorders>
              <w:top w:val="nil"/>
              <w:left w:val="nil"/>
              <w:bottom w:val="nil"/>
              <w:right w:val="nil"/>
            </w:tcBorders>
            <w:shd w:val="clear" w:color="auto" w:fill="auto"/>
            <w:noWrap/>
            <w:vAlign w:val="center"/>
            <w:hideMark/>
          </w:tcPr>
          <w:p w14:paraId="72205552"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w:t>
            </w:r>
          </w:p>
        </w:tc>
        <w:tc>
          <w:tcPr>
            <w:tcW w:w="217" w:type="pct"/>
            <w:tcBorders>
              <w:top w:val="nil"/>
              <w:left w:val="nil"/>
              <w:bottom w:val="nil"/>
              <w:right w:val="nil"/>
            </w:tcBorders>
            <w:shd w:val="clear" w:color="000000" w:fill="E7E6E6"/>
            <w:noWrap/>
            <w:vAlign w:val="center"/>
            <w:hideMark/>
          </w:tcPr>
          <w:p w14:paraId="5D762C30"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w:t>
            </w:r>
          </w:p>
        </w:tc>
        <w:tc>
          <w:tcPr>
            <w:tcW w:w="217" w:type="pct"/>
            <w:tcBorders>
              <w:top w:val="nil"/>
              <w:left w:val="nil"/>
              <w:bottom w:val="nil"/>
              <w:right w:val="nil"/>
            </w:tcBorders>
            <w:shd w:val="clear" w:color="auto" w:fill="auto"/>
            <w:noWrap/>
            <w:vAlign w:val="center"/>
            <w:hideMark/>
          </w:tcPr>
          <w:p w14:paraId="198A21F4"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w:t>
            </w:r>
          </w:p>
        </w:tc>
        <w:tc>
          <w:tcPr>
            <w:tcW w:w="217" w:type="pct"/>
            <w:tcBorders>
              <w:top w:val="nil"/>
              <w:left w:val="nil"/>
              <w:bottom w:val="nil"/>
              <w:right w:val="nil"/>
            </w:tcBorders>
            <w:shd w:val="clear" w:color="000000" w:fill="E7E6E6"/>
            <w:noWrap/>
            <w:vAlign w:val="center"/>
            <w:hideMark/>
          </w:tcPr>
          <w:p w14:paraId="6345526C"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w:t>
            </w:r>
          </w:p>
        </w:tc>
        <w:tc>
          <w:tcPr>
            <w:tcW w:w="217" w:type="pct"/>
            <w:tcBorders>
              <w:top w:val="nil"/>
              <w:left w:val="nil"/>
              <w:bottom w:val="nil"/>
              <w:right w:val="nil"/>
            </w:tcBorders>
            <w:shd w:val="clear" w:color="auto" w:fill="auto"/>
            <w:noWrap/>
            <w:vAlign w:val="center"/>
            <w:hideMark/>
          </w:tcPr>
          <w:p w14:paraId="7577EFB1"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w:t>
            </w:r>
          </w:p>
        </w:tc>
        <w:tc>
          <w:tcPr>
            <w:tcW w:w="274" w:type="pct"/>
            <w:tcBorders>
              <w:top w:val="nil"/>
              <w:left w:val="nil"/>
              <w:bottom w:val="nil"/>
              <w:right w:val="nil"/>
            </w:tcBorders>
            <w:shd w:val="clear" w:color="000000" w:fill="E7E6E6"/>
            <w:noWrap/>
            <w:vAlign w:val="center"/>
            <w:hideMark/>
          </w:tcPr>
          <w:p w14:paraId="1533602D" w14:textId="77777777" w:rsidR="004E7B7E" w:rsidRPr="008B619A" w:rsidRDefault="004E7B7E" w:rsidP="003A6C05">
            <w:pPr>
              <w:widowControl/>
              <w:jc w:val="center"/>
              <w:rPr>
                <w:rFonts w:hAnsi="標楷體" w:cs="Tahoma"/>
                <w:color w:val="000000" w:themeColor="text1"/>
                <w:kern w:val="0"/>
                <w:sz w:val="15"/>
                <w:szCs w:val="15"/>
              </w:rPr>
            </w:pPr>
            <w:r w:rsidRPr="008B619A">
              <w:rPr>
                <w:rFonts w:hAnsi="標楷體" w:cs="Tahoma" w:hint="eastAsia"/>
                <w:color w:val="000000" w:themeColor="text1"/>
                <w:kern w:val="0"/>
                <w:sz w:val="15"/>
                <w:szCs w:val="15"/>
              </w:rPr>
              <w:t>-</w:t>
            </w:r>
          </w:p>
        </w:tc>
      </w:tr>
      <w:tr w:rsidR="004E7B7E" w:rsidRPr="008B619A" w14:paraId="1C7C2506" w14:textId="77777777" w:rsidTr="006400F0">
        <w:trPr>
          <w:trHeight w:val="330"/>
        </w:trPr>
        <w:tc>
          <w:tcPr>
            <w:tcW w:w="600" w:type="pct"/>
            <w:tcBorders>
              <w:top w:val="nil"/>
              <w:left w:val="nil"/>
              <w:bottom w:val="nil"/>
              <w:right w:val="single" w:sz="4" w:space="0" w:color="auto"/>
            </w:tcBorders>
            <w:shd w:val="clear" w:color="auto" w:fill="auto"/>
            <w:noWrap/>
            <w:vAlign w:val="center"/>
            <w:hideMark/>
          </w:tcPr>
          <w:p w14:paraId="06F3E06F" w14:textId="77777777" w:rsidR="004E7B7E" w:rsidRPr="008B619A" w:rsidRDefault="004E7B7E" w:rsidP="008055B8">
            <w:pPr>
              <w:widowControl/>
              <w:jc w:val="center"/>
              <w:rPr>
                <w:rFonts w:hAnsi="標楷體" w:cs="Tahoma"/>
                <w:bCs/>
                <w:color w:val="000000" w:themeColor="text1"/>
                <w:kern w:val="0"/>
                <w:sz w:val="20"/>
              </w:rPr>
            </w:pPr>
            <w:r w:rsidRPr="008B619A">
              <w:rPr>
                <w:rFonts w:hAnsi="標楷體" w:cs="Tahoma" w:hint="eastAsia"/>
                <w:bCs/>
                <w:color w:val="000000" w:themeColor="text1"/>
                <w:kern w:val="0"/>
                <w:sz w:val="20"/>
              </w:rPr>
              <w:t>醫藥衛生</w:t>
            </w:r>
          </w:p>
        </w:tc>
        <w:tc>
          <w:tcPr>
            <w:tcW w:w="216" w:type="pct"/>
            <w:tcBorders>
              <w:top w:val="nil"/>
              <w:left w:val="nil"/>
              <w:bottom w:val="nil"/>
              <w:right w:val="nil"/>
            </w:tcBorders>
            <w:shd w:val="clear" w:color="auto" w:fill="auto"/>
            <w:noWrap/>
            <w:vAlign w:val="center"/>
            <w:hideMark/>
          </w:tcPr>
          <w:p w14:paraId="54F5A551"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122</w:t>
            </w:r>
          </w:p>
        </w:tc>
        <w:tc>
          <w:tcPr>
            <w:tcW w:w="217" w:type="pct"/>
            <w:tcBorders>
              <w:top w:val="nil"/>
              <w:left w:val="nil"/>
              <w:bottom w:val="nil"/>
              <w:right w:val="nil"/>
            </w:tcBorders>
            <w:shd w:val="clear" w:color="000000" w:fill="E7E6E6"/>
            <w:noWrap/>
            <w:vAlign w:val="center"/>
            <w:hideMark/>
          </w:tcPr>
          <w:p w14:paraId="6ED3E798"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20.5</w:t>
            </w:r>
          </w:p>
        </w:tc>
        <w:tc>
          <w:tcPr>
            <w:tcW w:w="217" w:type="pct"/>
            <w:tcBorders>
              <w:top w:val="nil"/>
              <w:left w:val="nil"/>
              <w:bottom w:val="nil"/>
              <w:right w:val="nil"/>
            </w:tcBorders>
            <w:shd w:val="clear" w:color="auto" w:fill="auto"/>
            <w:noWrap/>
            <w:vAlign w:val="center"/>
            <w:hideMark/>
          </w:tcPr>
          <w:p w14:paraId="5268A3E2"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141</w:t>
            </w:r>
          </w:p>
        </w:tc>
        <w:tc>
          <w:tcPr>
            <w:tcW w:w="217" w:type="pct"/>
            <w:tcBorders>
              <w:top w:val="nil"/>
              <w:left w:val="nil"/>
              <w:bottom w:val="nil"/>
              <w:right w:val="nil"/>
            </w:tcBorders>
            <w:shd w:val="clear" w:color="000000" w:fill="E7E6E6"/>
            <w:noWrap/>
            <w:vAlign w:val="center"/>
            <w:hideMark/>
          </w:tcPr>
          <w:p w14:paraId="13640413"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23.0</w:t>
            </w:r>
          </w:p>
        </w:tc>
        <w:tc>
          <w:tcPr>
            <w:tcW w:w="217" w:type="pct"/>
            <w:tcBorders>
              <w:top w:val="nil"/>
              <w:left w:val="nil"/>
              <w:bottom w:val="nil"/>
              <w:right w:val="nil"/>
            </w:tcBorders>
            <w:shd w:val="clear" w:color="auto" w:fill="auto"/>
            <w:noWrap/>
            <w:vAlign w:val="center"/>
            <w:hideMark/>
          </w:tcPr>
          <w:p w14:paraId="7EFD00C0"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131</w:t>
            </w:r>
          </w:p>
        </w:tc>
        <w:tc>
          <w:tcPr>
            <w:tcW w:w="217" w:type="pct"/>
            <w:tcBorders>
              <w:top w:val="nil"/>
              <w:left w:val="nil"/>
              <w:bottom w:val="nil"/>
              <w:right w:val="nil"/>
            </w:tcBorders>
            <w:shd w:val="clear" w:color="000000" w:fill="E7E6E6"/>
            <w:noWrap/>
            <w:vAlign w:val="center"/>
            <w:hideMark/>
          </w:tcPr>
          <w:p w14:paraId="4B12BA43"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21.1</w:t>
            </w:r>
          </w:p>
        </w:tc>
        <w:tc>
          <w:tcPr>
            <w:tcW w:w="217" w:type="pct"/>
            <w:tcBorders>
              <w:top w:val="nil"/>
              <w:left w:val="nil"/>
              <w:bottom w:val="nil"/>
              <w:right w:val="nil"/>
            </w:tcBorders>
            <w:shd w:val="clear" w:color="auto" w:fill="auto"/>
            <w:noWrap/>
            <w:vAlign w:val="center"/>
            <w:hideMark/>
          </w:tcPr>
          <w:p w14:paraId="28808790"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163</w:t>
            </w:r>
          </w:p>
        </w:tc>
        <w:tc>
          <w:tcPr>
            <w:tcW w:w="217" w:type="pct"/>
            <w:tcBorders>
              <w:top w:val="nil"/>
              <w:left w:val="nil"/>
              <w:bottom w:val="nil"/>
              <w:right w:val="nil"/>
            </w:tcBorders>
            <w:shd w:val="clear" w:color="000000" w:fill="E7E6E6"/>
            <w:noWrap/>
            <w:vAlign w:val="center"/>
            <w:hideMark/>
          </w:tcPr>
          <w:p w14:paraId="65DD7661"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23.2</w:t>
            </w:r>
          </w:p>
        </w:tc>
        <w:tc>
          <w:tcPr>
            <w:tcW w:w="217" w:type="pct"/>
            <w:tcBorders>
              <w:top w:val="nil"/>
              <w:left w:val="nil"/>
              <w:bottom w:val="nil"/>
              <w:right w:val="nil"/>
            </w:tcBorders>
            <w:shd w:val="clear" w:color="auto" w:fill="auto"/>
            <w:noWrap/>
            <w:vAlign w:val="center"/>
            <w:hideMark/>
          </w:tcPr>
          <w:p w14:paraId="7C13439F"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159</w:t>
            </w:r>
          </w:p>
        </w:tc>
        <w:tc>
          <w:tcPr>
            <w:tcW w:w="217" w:type="pct"/>
            <w:tcBorders>
              <w:top w:val="nil"/>
              <w:left w:val="nil"/>
              <w:bottom w:val="nil"/>
              <w:right w:val="nil"/>
            </w:tcBorders>
            <w:shd w:val="clear" w:color="000000" w:fill="E7E6E6"/>
            <w:noWrap/>
            <w:vAlign w:val="center"/>
            <w:hideMark/>
          </w:tcPr>
          <w:p w14:paraId="0A16298B"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23.2</w:t>
            </w:r>
          </w:p>
        </w:tc>
        <w:tc>
          <w:tcPr>
            <w:tcW w:w="216" w:type="pct"/>
            <w:tcBorders>
              <w:top w:val="nil"/>
              <w:left w:val="nil"/>
              <w:bottom w:val="nil"/>
              <w:right w:val="nil"/>
            </w:tcBorders>
            <w:shd w:val="clear" w:color="auto" w:fill="auto"/>
            <w:noWrap/>
            <w:vAlign w:val="center"/>
            <w:hideMark/>
          </w:tcPr>
          <w:p w14:paraId="0F4479DD"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172</w:t>
            </w:r>
          </w:p>
        </w:tc>
        <w:tc>
          <w:tcPr>
            <w:tcW w:w="217" w:type="pct"/>
            <w:tcBorders>
              <w:top w:val="nil"/>
              <w:left w:val="nil"/>
              <w:bottom w:val="nil"/>
              <w:right w:val="nil"/>
            </w:tcBorders>
            <w:shd w:val="clear" w:color="000000" w:fill="E7E6E6"/>
            <w:noWrap/>
            <w:vAlign w:val="center"/>
            <w:hideMark/>
          </w:tcPr>
          <w:p w14:paraId="5103C7E2"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23.8</w:t>
            </w:r>
          </w:p>
        </w:tc>
        <w:tc>
          <w:tcPr>
            <w:tcW w:w="217" w:type="pct"/>
            <w:tcBorders>
              <w:top w:val="nil"/>
              <w:left w:val="nil"/>
              <w:bottom w:val="nil"/>
              <w:right w:val="nil"/>
            </w:tcBorders>
            <w:shd w:val="clear" w:color="auto" w:fill="auto"/>
            <w:noWrap/>
            <w:vAlign w:val="center"/>
            <w:hideMark/>
          </w:tcPr>
          <w:p w14:paraId="19181693"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190</w:t>
            </w:r>
          </w:p>
        </w:tc>
        <w:tc>
          <w:tcPr>
            <w:tcW w:w="217" w:type="pct"/>
            <w:tcBorders>
              <w:top w:val="nil"/>
              <w:left w:val="nil"/>
              <w:bottom w:val="nil"/>
              <w:right w:val="nil"/>
            </w:tcBorders>
            <w:shd w:val="clear" w:color="000000" w:fill="E7E6E6"/>
            <w:noWrap/>
            <w:vAlign w:val="center"/>
            <w:hideMark/>
          </w:tcPr>
          <w:p w14:paraId="4C26C757"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26.2</w:t>
            </w:r>
          </w:p>
        </w:tc>
        <w:tc>
          <w:tcPr>
            <w:tcW w:w="217" w:type="pct"/>
            <w:tcBorders>
              <w:top w:val="nil"/>
              <w:left w:val="nil"/>
              <w:bottom w:val="nil"/>
              <w:right w:val="nil"/>
            </w:tcBorders>
            <w:shd w:val="clear" w:color="auto" w:fill="auto"/>
            <w:noWrap/>
            <w:vAlign w:val="center"/>
            <w:hideMark/>
          </w:tcPr>
          <w:p w14:paraId="06BA2874"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174</w:t>
            </w:r>
          </w:p>
        </w:tc>
        <w:tc>
          <w:tcPr>
            <w:tcW w:w="217" w:type="pct"/>
            <w:tcBorders>
              <w:top w:val="nil"/>
              <w:left w:val="nil"/>
              <w:bottom w:val="nil"/>
              <w:right w:val="nil"/>
            </w:tcBorders>
            <w:shd w:val="clear" w:color="000000" w:fill="E7E6E6"/>
            <w:noWrap/>
            <w:vAlign w:val="center"/>
            <w:hideMark/>
          </w:tcPr>
          <w:p w14:paraId="2EAEA76F"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24.1</w:t>
            </w:r>
          </w:p>
        </w:tc>
        <w:tc>
          <w:tcPr>
            <w:tcW w:w="217" w:type="pct"/>
            <w:tcBorders>
              <w:top w:val="nil"/>
              <w:left w:val="nil"/>
              <w:bottom w:val="nil"/>
              <w:right w:val="nil"/>
            </w:tcBorders>
            <w:shd w:val="clear" w:color="auto" w:fill="auto"/>
            <w:noWrap/>
            <w:vAlign w:val="center"/>
            <w:hideMark/>
          </w:tcPr>
          <w:p w14:paraId="7D5A1720"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225</w:t>
            </w:r>
          </w:p>
        </w:tc>
        <w:tc>
          <w:tcPr>
            <w:tcW w:w="217" w:type="pct"/>
            <w:tcBorders>
              <w:top w:val="nil"/>
              <w:left w:val="nil"/>
              <w:bottom w:val="nil"/>
              <w:right w:val="nil"/>
            </w:tcBorders>
            <w:shd w:val="clear" w:color="000000" w:fill="E7E6E6"/>
            <w:noWrap/>
            <w:vAlign w:val="center"/>
            <w:hideMark/>
          </w:tcPr>
          <w:p w14:paraId="0436239C"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31.4</w:t>
            </w:r>
          </w:p>
        </w:tc>
        <w:tc>
          <w:tcPr>
            <w:tcW w:w="217" w:type="pct"/>
            <w:tcBorders>
              <w:top w:val="nil"/>
              <w:left w:val="nil"/>
              <w:bottom w:val="nil"/>
              <w:right w:val="nil"/>
            </w:tcBorders>
            <w:shd w:val="clear" w:color="auto" w:fill="auto"/>
            <w:noWrap/>
            <w:vAlign w:val="center"/>
            <w:hideMark/>
          </w:tcPr>
          <w:p w14:paraId="2C00CA40"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212</w:t>
            </w:r>
          </w:p>
        </w:tc>
        <w:tc>
          <w:tcPr>
            <w:tcW w:w="274" w:type="pct"/>
            <w:tcBorders>
              <w:top w:val="nil"/>
              <w:left w:val="nil"/>
              <w:bottom w:val="nil"/>
              <w:right w:val="nil"/>
            </w:tcBorders>
            <w:shd w:val="clear" w:color="000000" w:fill="E7E6E6"/>
            <w:noWrap/>
            <w:vAlign w:val="center"/>
            <w:hideMark/>
          </w:tcPr>
          <w:p w14:paraId="355BC408" w14:textId="77777777" w:rsidR="004E7B7E" w:rsidRPr="008B619A" w:rsidRDefault="004E7B7E" w:rsidP="003A6C05">
            <w:pPr>
              <w:widowControl/>
              <w:jc w:val="center"/>
              <w:rPr>
                <w:rFonts w:hAnsi="標楷體" w:cs="Tahoma"/>
                <w:color w:val="000000" w:themeColor="text1"/>
                <w:kern w:val="0"/>
                <w:sz w:val="15"/>
                <w:szCs w:val="15"/>
              </w:rPr>
            </w:pPr>
            <w:r w:rsidRPr="008B619A">
              <w:rPr>
                <w:rFonts w:hAnsi="標楷體" w:cs="Tahoma" w:hint="eastAsia"/>
                <w:color w:val="000000" w:themeColor="text1"/>
                <w:kern w:val="0"/>
                <w:sz w:val="15"/>
                <w:szCs w:val="15"/>
              </w:rPr>
              <w:t>28.6</w:t>
            </w:r>
          </w:p>
        </w:tc>
      </w:tr>
      <w:tr w:rsidR="004E7B7E" w:rsidRPr="008B619A" w14:paraId="1969BACE" w14:textId="77777777" w:rsidTr="006400F0">
        <w:trPr>
          <w:trHeight w:val="330"/>
        </w:trPr>
        <w:tc>
          <w:tcPr>
            <w:tcW w:w="600" w:type="pct"/>
            <w:tcBorders>
              <w:top w:val="nil"/>
              <w:left w:val="nil"/>
              <w:bottom w:val="nil"/>
              <w:right w:val="single" w:sz="4" w:space="0" w:color="auto"/>
            </w:tcBorders>
            <w:shd w:val="clear" w:color="auto" w:fill="auto"/>
            <w:noWrap/>
            <w:vAlign w:val="center"/>
            <w:hideMark/>
          </w:tcPr>
          <w:p w14:paraId="61A520E8" w14:textId="77777777" w:rsidR="004E7B7E" w:rsidRPr="008B619A" w:rsidRDefault="004E7B7E" w:rsidP="008055B8">
            <w:pPr>
              <w:widowControl/>
              <w:jc w:val="center"/>
              <w:rPr>
                <w:rFonts w:hAnsi="標楷體" w:cs="Tahoma"/>
                <w:bCs/>
                <w:color w:val="000000" w:themeColor="text1"/>
                <w:kern w:val="0"/>
                <w:sz w:val="20"/>
              </w:rPr>
            </w:pPr>
            <w:r w:rsidRPr="008B619A">
              <w:rPr>
                <w:rFonts w:hAnsi="標楷體" w:cs="Tahoma" w:hint="eastAsia"/>
                <w:bCs/>
                <w:color w:val="000000" w:themeColor="text1"/>
                <w:kern w:val="0"/>
                <w:sz w:val="20"/>
              </w:rPr>
              <w:t>社會福利</w:t>
            </w:r>
          </w:p>
        </w:tc>
        <w:tc>
          <w:tcPr>
            <w:tcW w:w="216" w:type="pct"/>
            <w:tcBorders>
              <w:top w:val="nil"/>
              <w:left w:val="nil"/>
              <w:bottom w:val="nil"/>
              <w:right w:val="nil"/>
            </w:tcBorders>
            <w:shd w:val="clear" w:color="auto" w:fill="auto"/>
            <w:noWrap/>
            <w:vAlign w:val="center"/>
            <w:hideMark/>
          </w:tcPr>
          <w:p w14:paraId="16EC5A4C"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5</w:t>
            </w:r>
          </w:p>
        </w:tc>
        <w:tc>
          <w:tcPr>
            <w:tcW w:w="217" w:type="pct"/>
            <w:tcBorders>
              <w:top w:val="nil"/>
              <w:left w:val="nil"/>
              <w:bottom w:val="nil"/>
              <w:right w:val="nil"/>
            </w:tcBorders>
            <w:shd w:val="clear" w:color="000000" w:fill="E7E6E6"/>
            <w:noWrap/>
            <w:vAlign w:val="center"/>
            <w:hideMark/>
          </w:tcPr>
          <w:p w14:paraId="0450CC50"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0.8</w:t>
            </w:r>
          </w:p>
        </w:tc>
        <w:tc>
          <w:tcPr>
            <w:tcW w:w="217" w:type="pct"/>
            <w:tcBorders>
              <w:top w:val="nil"/>
              <w:left w:val="nil"/>
              <w:bottom w:val="nil"/>
              <w:right w:val="nil"/>
            </w:tcBorders>
            <w:shd w:val="clear" w:color="auto" w:fill="auto"/>
            <w:noWrap/>
            <w:vAlign w:val="center"/>
            <w:hideMark/>
          </w:tcPr>
          <w:p w14:paraId="2ABABD1B"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6</w:t>
            </w:r>
          </w:p>
        </w:tc>
        <w:tc>
          <w:tcPr>
            <w:tcW w:w="217" w:type="pct"/>
            <w:tcBorders>
              <w:top w:val="nil"/>
              <w:left w:val="nil"/>
              <w:bottom w:val="nil"/>
              <w:right w:val="nil"/>
            </w:tcBorders>
            <w:shd w:val="clear" w:color="000000" w:fill="E7E6E6"/>
            <w:noWrap/>
            <w:vAlign w:val="center"/>
            <w:hideMark/>
          </w:tcPr>
          <w:p w14:paraId="58F57672"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1.0</w:t>
            </w:r>
          </w:p>
        </w:tc>
        <w:tc>
          <w:tcPr>
            <w:tcW w:w="217" w:type="pct"/>
            <w:tcBorders>
              <w:top w:val="nil"/>
              <w:left w:val="nil"/>
              <w:bottom w:val="nil"/>
              <w:right w:val="nil"/>
            </w:tcBorders>
            <w:shd w:val="clear" w:color="auto" w:fill="auto"/>
            <w:noWrap/>
            <w:vAlign w:val="center"/>
            <w:hideMark/>
          </w:tcPr>
          <w:p w14:paraId="5BCDD1BF"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9</w:t>
            </w:r>
          </w:p>
        </w:tc>
        <w:tc>
          <w:tcPr>
            <w:tcW w:w="217" w:type="pct"/>
            <w:tcBorders>
              <w:top w:val="nil"/>
              <w:left w:val="nil"/>
              <w:bottom w:val="nil"/>
              <w:right w:val="nil"/>
            </w:tcBorders>
            <w:shd w:val="clear" w:color="000000" w:fill="E7E6E6"/>
            <w:noWrap/>
            <w:vAlign w:val="center"/>
            <w:hideMark/>
          </w:tcPr>
          <w:p w14:paraId="01F48088"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1.4</w:t>
            </w:r>
          </w:p>
        </w:tc>
        <w:tc>
          <w:tcPr>
            <w:tcW w:w="217" w:type="pct"/>
            <w:tcBorders>
              <w:top w:val="nil"/>
              <w:left w:val="nil"/>
              <w:bottom w:val="nil"/>
              <w:right w:val="nil"/>
            </w:tcBorders>
            <w:shd w:val="clear" w:color="auto" w:fill="auto"/>
            <w:noWrap/>
            <w:vAlign w:val="center"/>
            <w:hideMark/>
          </w:tcPr>
          <w:p w14:paraId="1BF3835A"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9</w:t>
            </w:r>
          </w:p>
        </w:tc>
        <w:tc>
          <w:tcPr>
            <w:tcW w:w="217" w:type="pct"/>
            <w:tcBorders>
              <w:top w:val="nil"/>
              <w:left w:val="nil"/>
              <w:bottom w:val="nil"/>
              <w:right w:val="nil"/>
            </w:tcBorders>
            <w:shd w:val="clear" w:color="000000" w:fill="E7E6E6"/>
            <w:noWrap/>
            <w:vAlign w:val="center"/>
            <w:hideMark/>
          </w:tcPr>
          <w:p w14:paraId="6802D209"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1.3</w:t>
            </w:r>
          </w:p>
        </w:tc>
        <w:tc>
          <w:tcPr>
            <w:tcW w:w="217" w:type="pct"/>
            <w:tcBorders>
              <w:top w:val="nil"/>
              <w:left w:val="nil"/>
              <w:bottom w:val="nil"/>
              <w:right w:val="nil"/>
            </w:tcBorders>
            <w:shd w:val="clear" w:color="auto" w:fill="auto"/>
            <w:noWrap/>
            <w:vAlign w:val="center"/>
            <w:hideMark/>
          </w:tcPr>
          <w:p w14:paraId="4F4098E8"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2</w:t>
            </w:r>
          </w:p>
        </w:tc>
        <w:tc>
          <w:tcPr>
            <w:tcW w:w="217" w:type="pct"/>
            <w:tcBorders>
              <w:top w:val="nil"/>
              <w:left w:val="nil"/>
              <w:bottom w:val="nil"/>
              <w:right w:val="nil"/>
            </w:tcBorders>
            <w:shd w:val="clear" w:color="000000" w:fill="E7E6E6"/>
            <w:noWrap/>
            <w:vAlign w:val="center"/>
            <w:hideMark/>
          </w:tcPr>
          <w:p w14:paraId="7C36DCDC"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0.3</w:t>
            </w:r>
          </w:p>
        </w:tc>
        <w:tc>
          <w:tcPr>
            <w:tcW w:w="216" w:type="pct"/>
            <w:tcBorders>
              <w:top w:val="nil"/>
              <w:left w:val="nil"/>
              <w:bottom w:val="nil"/>
              <w:right w:val="nil"/>
            </w:tcBorders>
            <w:shd w:val="clear" w:color="auto" w:fill="auto"/>
            <w:noWrap/>
            <w:vAlign w:val="center"/>
            <w:hideMark/>
          </w:tcPr>
          <w:p w14:paraId="5FC3E94B"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8</w:t>
            </w:r>
          </w:p>
        </w:tc>
        <w:tc>
          <w:tcPr>
            <w:tcW w:w="217" w:type="pct"/>
            <w:tcBorders>
              <w:top w:val="nil"/>
              <w:left w:val="nil"/>
              <w:bottom w:val="nil"/>
              <w:right w:val="nil"/>
            </w:tcBorders>
            <w:shd w:val="clear" w:color="000000" w:fill="E7E6E6"/>
            <w:noWrap/>
            <w:vAlign w:val="center"/>
            <w:hideMark/>
          </w:tcPr>
          <w:p w14:paraId="79D9C85F"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1.1</w:t>
            </w:r>
          </w:p>
        </w:tc>
        <w:tc>
          <w:tcPr>
            <w:tcW w:w="217" w:type="pct"/>
            <w:tcBorders>
              <w:top w:val="nil"/>
              <w:left w:val="nil"/>
              <w:bottom w:val="nil"/>
              <w:right w:val="nil"/>
            </w:tcBorders>
            <w:shd w:val="clear" w:color="auto" w:fill="auto"/>
            <w:noWrap/>
            <w:vAlign w:val="center"/>
            <w:hideMark/>
          </w:tcPr>
          <w:p w14:paraId="32E8D475"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4</w:t>
            </w:r>
          </w:p>
        </w:tc>
        <w:tc>
          <w:tcPr>
            <w:tcW w:w="217" w:type="pct"/>
            <w:tcBorders>
              <w:top w:val="nil"/>
              <w:left w:val="nil"/>
              <w:bottom w:val="nil"/>
              <w:right w:val="nil"/>
            </w:tcBorders>
            <w:shd w:val="clear" w:color="000000" w:fill="E7E6E6"/>
            <w:noWrap/>
            <w:vAlign w:val="center"/>
            <w:hideMark/>
          </w:tcPr>
          <w:p w14:paraId="292B4E5E"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0.6</w:t>
            </w:r>
          </w:p>
        </w:tc>
        <w:tc>
          <w:tcPr>
            <w:tcW w:w="217" w:type="pct"/>
            <w:tcBorders>
              <w:top w:val="nil"/>
              <w:left w:val="nil"/>
              <w:bottom w:val="nil"/>
              <w:right w:val="nil"/>
            </w:tcBorders>
            <w:shd w:val="clear" w:color="auto" w:fill="auto"/>
            <w:noWrap/>
            <w:vAlign w:val="center"/>
            <w:hideMark/>
          </w:tcPr>
          <w:p w14:paraId="7D6A3905"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5</w:t>
            </w:r>
          </w:p>
        </w:tc>
        <w:tc>
          <w:tcPr>
            <w:tcW w:w="217" w:type="pct"/>
            <w:tcBorders>
              <w:top w:val="nil"/>
              <w:left w:val="nil"/>
              <w:bottom w:val="nil"/>
              <w:right w:val="nil"/>
            </w:tcBorders>
            <w:shd w:val="clear" w:color="000000" w:fill="E7E6E6"/>
            <w:noWrap/>
            <w:vAlign w:val="center"/>
            <w:hideMark/>
          </w:tcPr>
          <w:p w14:paraId="6F1A82F4"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0.7</w:t>
            </w:r>
          </w:p>
        </w:tc>
        <w:tc>
          <w:tcPr>
            <w:tcW w:w="217" w:type="pct"/>
            <w:tcBorders>
              <w:top w:val="nil"/>
              <w:left w:val="nil"/>
              <w:bottom w:val="nil"/>
              <w:right w:val="nil"/>
            </w:tcBorders>
            <w:shd w:val="clear" w:color="auto" w:fill="auto"/>
            <w:noWrap/>
            <w:vAlign w:val="center"/>
            <w:hideMark/>
          </w:tcPr>
          <w:p w14:paraId="671EBA82"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8</w:t>
            </w:r>
          </w:p>
        </w:tc>
        <w:tc>
          <w:tcPr>
            <w:tcW w:w="217" w:type="pct"/>
            <w:tcBorders>
              <w:top w:val="nil"/>
              <w:left w:val="nil"/>
              <w:bottom w:val="nil"/>
              <w:right w:val="nil"/>
            </w:tcBorders>
            <w:shd w:val="clear" w:color="000000" w:fill="E7E6E6"/>
            <w:noWrap/>
            <w:vAlign w:val="center"/>
            <w:hideMark/>
          </w:tcPr>
          <w:p w14:paraId="20E5EE69"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1.1</w:t>
            </w:r>
          </w:p>
        </w:tc>
        <w:tc>
          <w:tcPr>
            <w:tcW w:w="217" w:type="pct"/>
            <w:tcBorders>
              <w:top w:val="nil"/>
              <w:left w:val="nil"/>
              <w:bottom w:val="nil"/>
              <w:right w:val="nil"/>
            </w:tcBorders>
            <w:shd w:val="clear" w:color="auto" w:fill="auto"/>
            <w:noWrap/>
            <w:vAlign w:val="center"/>
            <w:hideMark/>
          </w:tcPr>
          <w:p w14:paraId="2FF7FC2D"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4</w:t>
            </w:r>
          </w:p>
        </w:tc>
        <w:tc>
          <w:tcPr>
            <w:tcW w:w="274" w:type="pct"/>
            <w:tcBorders>
              <w:top w:val="nil"/>
              <w:left w:val="nil"/>
              <w:bottom w:val="nil"/>
              <w:right w:val="nil"/>
            </w:tcBorders>
            <w:shd w:val="clear" w:color="000000" w:fill="E7E6E6"/>
            <w:noWrap/>
            <w:vAlign w:val="center"/>
            <w:hideMark/>
          </w:tcPr>
          <w:p w14:paraId="57920F81" w14:textId="77777777" w:rsidR="004E7B7E" w:rsidRPr="008B619A" w:rsidRDefault="004E7B7E" w:rsidP="003A6C05">
            <w:pPr>
              <w:widowControl/>
              <w:jc w:val="center"/>
              <w:rPr>
                <w:rFonts w:hAnsi="標楷體" w:cs="Tahoma"/>
                <w:color w:val="000000" w:themeColor="text1"/>
                <w:kern w:val="0"/>
                <w:sz w:val="15"/>
                <w:szCs w:val="15"/>
              </w:rPr>
            </w:pPr>
            <w:r w:rsidRPr="008B619A">
              <w:rPr>
                <w:rFonts w:hAnsi="標楷體" w:cs="Tahoma" w:hint="eastAsia"/>
                <w:color w:val="000000" w:themeColor="text1"/>
                <w:kern w:val="0"/>
                <w:sz w:val="15"/>
                <w:szCs w:val="15"/>
              </w:rPr>
              <w:t>0.5</w:t>
            </w:r>
          </w:p>
        </w:tc>
      </w:tr>
      <w:tr w:rsidR="004E7B7E" w:rsidRPr="008B619A" w14:paraId="6B33F6E8" w14:textId="77777777" w:rsidTr="006400F0">
        <w:trPr>
          <w:trHeight w:val="330"/>
        </w:trPr>
        <w:tc>
          <w:tcPr>
            <w:tcW w:w="600" w:type="pct"/>
            <w:tcBorders>
              <w:top w:val="nil"/>
              <w:left w:val="nil"/>
              <w:bottom w:val="nil"/>
              <w:right w:val="single" w:sz="4" w:space="0" w:color="auto"/>
            </w:tcBorders>
            <w:shd w:val="clear" w:color="auto" w:fill="auto"/>
            <w:noWrap/>
            <w:vAlign w:val="center"/>
            <w:hideMark/>
          </w:tcPr>
          <w:p w14:paraId="08303CBE" w14:textId="77777777" w:rsidR="004E7B7E" w:rsidRPr="008B619A" w:rsidRDefault="004E7B7E" w:rsidP="008055B8">
            <w:pPr>
              <w:widowControl/>
              <w:jc w:val="center"/>
              <w:rPr>
                <w:rFonts w:hAnsi="標楷體" w:cs="Tahoma"/>
                <w:bCs/>
                <w:color w:val="000000" w:themeColor="text1"/>
                <w:kern w:val="0"/>
                <w:sz w:val="20"/>
              </w:rPr>
            </w:pPr>
            <w:r w:rsidRPr="008B619A">
              <w:rPr>
                <w:rFonts w:hAnsi="標楷體" w:cs="Tahoma" w:hint="eastAsia"/>
                <w:bCs/>
                <w:color w:val="000000" w:themeColor="text1"/>
                <w:kern w:val="0"/>
                <w:sz w:val="20"/>
              </w:rPr>
              <w:t>餐旅及民生服務</w:t>
            </w:r>
          </w:p>
        </w:tc>
        <w:tc>
          <w:tcPr>
            <w:tcW w:w="216" w:type="pct"/>
            <w:tcBorders>
              <w:top w:val="nil"/>
              <w:left w:val="nil"/>
              <w:bottom w:val="nil"/>
              <w:right w:val="nil"/>
            </w:tcBorders>
            <w:shd w:val="clear" w:color="auto" w:fill="auto"/>
            <w:noWrap/>
            <w:vAlign w:val="center"/>
            <w:hideMark/>
          </w:tcPr>
          <w:p w14:paraId="3D96F893"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w:t>
            </w:r>
          </w:p>
        </w:tc>
        <w:tc>
          <w:tcPr>
            <w:tcW w:w="217" w:type="pct"/>
            <w:tcBorders>
              <w:top w:val="nil"/>
              <w:left w:val="nil"/>
              <w:bottom w:val="nil"/>
              <w:right w:val="nil"/>
            </w:tcBorders>
            <w:shd w:val="clear" w:color="000000" w:fill="E7E6E6"/>
            <w:noWrap/>
            <w:vAlign w:val="center"/>
            <w:hideMark/>
          </w:tcPr>
          <w:p w14:paraId="63CAF80A"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w:t>
            </w:r>
          </w:p>
        </w:tc>
        <w:tc>
          <w:tcPr>
            <w:tcW w:w="217" w:type="pct"/>
            <w:tcBorders>
              <w:top w:val="nil"/>
              <w:left w:val="nil"/>
              <w:bottom w:val="nil"/>
              <w:right w:val="nil"/>
            </w:tcBorders>
            <w:shd w:val="clear" w:color="auto" w:fill="auto"/>
            <w:noWrap/>
            <w:vAlign w:val="center"/>
            <w:hideMark/>
          </w:tcPr>
          <w:p w14:paraId="7C9A9343"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w:t>
            </w:r>
          </w:p>
        </w:tc>
        <w:tc>
          <w:tcPr>
            <w:tcW w:w="217" w:type="pct"/>
            <w:tcBorders>
              <w:top w:val="nil"/>
              <w:left w:val="nil"/>
              <w:bottom w:val="nil"/>
              <w:right w:val="nil"/>
            </w:tcBorders>
            <w:shd w:val="clear" w:color="000000" w:fill="E7E6E6"/>
            <w:noWrap/>
            <w:vAlign w:val="center"/>
            <w:hideMark/>
          </w:tcPr>
          <w:p w14:paraId="5110664D"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w:t>
            </w:r>
          </w:p>
        </w:tc>
        <w:tc>
          <w:tcPr>
            <w:tcW w:w="217" w:type="pct"/>
            <w:tcBorders>
              <w:top w:val="nil"/>
              <w:left w:val="nil"/>
              <w:bottom w:val="nil"/>
              <w:right w:val="nil"/>
            </w:tcBorders>
            <w:shd w:val="clear" w:color="auto" w:fill="auto"/>
            <w:noWrap/>
            <w:vAlign w:val="center"/>
            <w:hideMark/>
          </w:tcPr>
          <w:p w14:paraId="7D3186A3"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w:t>
            </w:r>
          </w:p>
        </w:tc>
        <w:tc>
          <w:tcPr>
            <w:tcW w:w="217" w:type="pct"/>
            <w:tcBorders>
              <w:top w:val="nil"/>
              <w:left w:val="nil"/>
              <w:bottom w:val="nil"/>
              <w:right w:val="nil"/>
            </w:tcBorders>
            <w:shd w:val="clear" w:color="000000" w:fill="E7E6E6"/>
            <w:noWrap/>
            <w:vAlign w:val="center"/>
            <w:hideMark/>
          </w:tcPr>
          <w:p w14:paraId="70072647"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w:t>
            </w:r>
          </w:p>
        </w:tc>
        <w:tc>
          <w:tcPr>
            <w:tcW w:w="217" w:type="pct"/>
            <w:tcBorders>
              <w:top w:val="nil"/>
              <w:left w:val="nil"/>
              <w:bottom w:val="nil"/>
              <w:right w:val="nil"/>
            </w:tcBorders>
            <w:shd w:val="clear" w:color="auto" w:fill="auto"/>
            <w:noWrap/>
            <w:vAlign w:val="center"/>
            <w:hideMark/>
          </w:tcPr>
          <w:p w14:paraId="5D5476CA"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w:t>
            </w:r>
          </w:p>
        </w:tc>
        <w:tc>
          <w:tcPr>
            <w:tcW w:w="217" w:type="pct"/>
            <w:tcBorders>
              <w:top w:val="nil"/>
              <w:left w:val="nil"/>
              <w:bottom w:val="nil"/>
              <w:right w:val="nil"/>
            </w:tcBorders>
            <w:shd w:val="clear" w:color="000000" w:fill="E7E6E6"/>
            <w:noWrap/>
            <w:vAlign w:val="center"/>
            <w:hideMark/>
          </w:tcPr>
          <w:p w14:paraId="0C5E0D1C"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w:t>
            </w:r>
          </w:p>
        </w:tc>
        <w:tc>
          <w:tcPr>
            <w:tcW w:w="217" w:type="pct"/>
            <w:tcBorders>
              <w:top w:val="nil"/>
              <w:left w:val="nil"/>
              <w:bottom w:val="nil"/>
              <w:right w:val="nil"/>
            </w:tcBorders>
            <w:shd w:val="clear" w:color="auto" w:fill="auto"/>
            <w:noWrap/>
            <w:vAlign w:val="center"/>
            <w:hideMark/>
          </w:tcPr>
          <w:p w14:paraId="0F29A9F7"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w:t>
            </w:r>
          </w:p>
        </w:tc>
        <w:tc>
          <w:tcPr>
            <w:tcW w:w="217" w:type="pct"/>
            <w:tcBorders>
              <w:top w:val="nil"/>
              <w:left w:val="nil"/>
              <w:bottom w:val="nil"/>
              <w:right w:val="nil"/>
            </w:tcBorders>
            <w:shd w:val="clear" w:color="000000" w:fill="E7E6E6"/>
            <w:noWrap/>
            <w:vAlign w:val="center"/>
            <w:hideMark/>
          </w:tcPr>
          <w:p w14:paraId="4C6A2473"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w:t>
            </w:r>
          </w:p>
        </w:tc>
        <w:tc>
          <w:tcPr>
            <w:tcW w:w="216" w:type="pct"/>
            <w:tcBorders>
              <w:top w:val="nil"/>
              <w:left w:val="nil"/>
              <w:bottom w:val="nil"/>
              <w:right w:val="nil"/>
            </w:tcBorders>
            <w:shd w:val="clear" w:color="auto" w:fill="auto"/>
            <w:noWrap/>
            <w:vAlign w:val="center"/>
            <w:hideMark/>
          </w:tcPr>
          <w:p w14:paraId="1F0520B4"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w:t>
            </w:r>
          </w:p>
        </w:tc>
        <w:tc>
          <w:tcPr>
            <w:tcW w:w="217" w:type="pct"/>
            <w:tcBorders>
              <w:top w:val="nil"/>
              <w:left w:val="nil"/>
              <w:bottom w:val="nil"/>
              <w:right w:val="nil"/>
            </w:tcBorders>
            <w:shd w:val="clear" w:color="000000" w:fill="E7E6E6"/>
            <w:noWrap/>
            <w:vAlign w:val="center"/>
            <w:hideMark/>
          </w:tcPr>
          <w:p w14:paraId="22C45376"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w:t>
            </w:r>
          </w:p>
        </w:tc>
        <w:tc>
          <w:tcPr>
            <w:tcW w:w="217" w:type="pct"/>
            <w:tcBorders>
              <w:top w:val="nil"/>
              <w:left w:val="nil"/>
              <w:bottom w:val="nil"/>
              <w:right w:val="nil"/>
            </w:tcBorders>
            <w:shd w:val="clear" w:color="auto" w:fill="auto"/>
            <w:noWrap/>
            <w:vAlign w:val="center"/>
            <w:hideMark/>
          </w:tcPr>
          <w:p w14:paraId="60C2A6F0"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w:t>
            </w:r>
          </w:p>
        </w:tc>
        <w:tc>
          <w:tcPr>
            <w:tcW w:w="217" w:type="pct"/>
            <w:tcBorders>
              <w:top w:val="nil"/>
              <w:left w:val="nil"/>
              <w:bottom w:val="nil"/>
              <w:right w:val="nil"/>
            </w:tcBorders>
            <w:shd w:val="clear" w:color="000000" w:fill="E7E6E6"/>
            <w:noWrap/>
            <w:vAlign w:val="center"/>
            <w:hideMark/>
          </w:tcPr>
          <w:p w14:paraId="268B338F"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w:t>
            </w:r>
          </w:p>
        </w:tc>
        <w:tc>
          <w:tcPr>
            <w:tcW w:w="217" w:type="pct"/>
            <w:tcBorders>
              <w:top w:val="nil"/>
              <w:left w:val="nil"/>
              <w:bottom w:val="nil"/>
              <w:right w:val="nil"/>
            </w:tcBorders>
            <w:shd w:val="clear" w:color="auto" w:fill="auto"/>
            <w:noWrap/>
            <w:vAlign w:val="center"/>
            <w:hideMark/>
          </w:tcPr>
          <w:p w14:paraId="4545BDC8"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w:t>
            </w:r>
          </w:p>
        </w:tc>
        <w:tc>
          <w:tcPr>
            <w:tcW w:w="217" w:type="pct"/>
            <w:tcBorders>
              <w:top w:val="nil"/>
              <w:left w:val="nil"/>
              <w:bottom w:val="nil"/>
              <w:right w:val="nil"/>
            </w:tcBorders>
            <w:shd w:val="clear" w:color="000000" w:fill="E7E6E6"/>
            <w:noWrap/>
            <w:vAlign w:val="center"/>
            <w:hideMark/>
          </w:tcPr>
          <w:p w14:paraId="1F8E6A6A"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w:t>
            </w:r>
          </w:p>
        </w:tc>
        <w:tc>
          <w:tcPr>
            <w:tcW w:w="217" w:type="pct"/>
            <w:tcBorders>
              <w:top w:val="nil"/>
              <w:left w:val="nil"/>
              <w:bottom w:val="nil"/>
              <w:right w:val="nil"/>
            </w:tcBorders>
            <w:shd w:val="clear" w:color="auto" w:fill="auto"/>
            <w:noWrap/>
            <w:vAlign w:val="center"/>
            <w:hideMark/>
          </w:tcPr>
          <w:p w14:paraId="3595264C"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w:t>
            </w:r>
          </w:p>
        </w:tc>
        <w:tc>
          <w:tcPr>
            <w:tcW w:w="217" w:type="pct"/>
            <w:tcBorders>
              <w:top w:val="nil"/>
              <w:left w:val="nil"/>
              <w:bottom w:val="nil"/>
              <w:right w:val="nil"/>
            </w:tcBorders>
            <w:shd w:val="clear" w:color="000000" w:fill="E7E6E6"/>
            <w:noWrap/>
            <w:vAlign w:val="center"/>
            <w:hideMark/>
          </w:tcPr>
          <w:p w14:paraId="35EAF785"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w:t>
            </w:r>
          </w:p>
        </w:tc>
        <w:tc>
          <w:tcPr>
            <w:tcW w:w="217" w:type="pct"/>
            <w:tcBorders>
              <w:top w:val="nil"/>
              <w:left w:val="nil"/>
              <w:bottom w:val="nil"/>
              <w:right w:val="nil"/>
            </w:tcBorders>
            <w:shd w:val="clear" w:color="auto" w:fill="auto"/>
            <w:noWrap/>
            <w:vAlign w:val="center"/>
            <w:hideMark/>
          </w:tcPr>
          <w:p w14:paraId="12266EDA"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w:t>
            </w:r>
          </w:p>
        </w:tc>
        <w:tc>
          <w:tcPr>
            <w:tcW w:w="274" w:type="pct"/>
            <w:tcBorders>
              <w:top w:val="nil"/>
              <w:left w:val="nil"/>
              <w:bottom w:val="nil"/>
              <w:right w:val="nil"/>
            </w:tcBorders>
            <w:shd w:val="clear" w:color="000000" w:fill="E7E6E6"/>
            <w:noWrap/>
            <w:vAlign w:val="center"/>
            <w:hideMark/>
          </w:tcPr>
          <w:p w14:paraId="67776A40" w14:textId="77777777" w:rsidR="004E7B7E" w:rsidRPr="008B619A" w:rsidRDefault="004E7B7E" w:rsidP="003A6C05">
            <w:pPr>
              <w:widowControl/>
              <w:jc w:val="center"/>
              <w:rPr>
                <w:rFonts w:hAnsi="標楷體" w:cs="Tahoma"/>
                <w:color w:val="000000" w:themeColor="text1"/>
                <w:kern w:val="0"/>
                <w:sz w:val="15"/>
                <w:szCs w:val="15"/>
              </w:rPr>
            </w:pPr>
            <w:r w:rsidRPr="008B619A">
              <w:rPr>
                <w:rFonts w:hAnsi="標楷體" w:cs="Tahoma" w:hint="eastAsia"/>
                <w:color w:val="000000" w:themeColor="text1"/>
                <w:kern w:val="0"/>
                <w:sz w:val="15"/>
                <w:szCs w:val="15"/>
              </w:rPr>
              <w:t>-</w:t>
            </w:r>
          </w:p>
        </w:tc>
      </w:tr>
      <w:tr w:rsidR="004E7B7E" w:rsidRPr="008B619A" w14:paraId="2D04FCAB" w14:textId="77777777" w:rsidTr="006400F0">
        <w:trPr>
          <w:trHeight w:val="330"/>
        </w:trPr>
        <w:tc>
          <w:tcPr>
            <w:tcW w:w="600" w:type="pct"/>
            <w:tcBorders>
              <w:top w:val="nil"/>
              <w:left w:val="nil"/>
              <w:bottom w:val="nil"/>
              <w:right w:val="single" w:sz="4" w:space="0" w:color="auto"/>
            </w:tcBorders>
            <w:shd w:val="clear" w:color="auto" w:fill="auto"/>
            <w:noWrap/>
            <w:vAlign w:val="center"/>
            <w:hideMark/>
          </w:tcPr>
          <w:p w14:paraId="4394246F" w14:textId="77777777" w:rsidR="004E7B7E" w:rsidRPr="008B619A" w:rsidRDefault="004E7B7E" w:rsidP="008055B8">
            <w:pPr>
              <w:widowControl/>
              <w:jc w:val="center"/>
              <w:rPr>
                <w:rFonts w:hAnsi="標楷體" w:cs="Tahoma"/>
                <w:bCs/>
                <w:color w:val="000000" w:themeColor="text1"/>
                <w:kern w:val="0"/>
                <w:sz w:val="20"/>
              </w:rPr>
            </w:pPr>
            <w:r w:rsidRPr="008B619A">
              <w:rPr>
                <w:rFonts w:hAnsi="標楷體" w:cs="Tahoma" w:hint="eastAsia"/>
                <w:bCs/>
                <w:color w:val="000000" w:themeColor="text1"/>
                <w:kern w:val="0"/>
                <w:sz w:val="20"/>
              </w:rPr>
              <w:t>運輸服務</w:t>
            </w:r>
          </w:p>
        </w:tc>
        <w:tc>
          <w:tcPr>
            <w:tcW w:w="216" w:type="pct"/>
            <w:tcBorders>
              <w:top w:val="nil"/>
              <w:left w:val="nil"/>
              <w:bottom w:val="nil"/>
              <w:right w:val="nil"/>
            </w:tcBorders>
            <w:shd w:val="clear" w:color="auto" w:fill="auto"/>
            <w:noWrap/>
            <w:vAlign w:val="center"/>
            <w:hideMark/>
          </w:tcPr>
          <w:p w14:paraId="25467D6F"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w:t>
            </w:r>
          </w:p>
        </w:tc>
        <w:tc>
          <w:tcPr>
            <w:tcW w:w="217" w:type="pct"/>
            <w:tcBorders>
              <w:top w:val="nil"/>
              <w:left w:val="nil"/>
              <w:bottom w:val="nil"/>
              <w:right w:val="nil"/>
            </w:tcBorders>
            <w:shd w:val="clear" w:color="000000" w:fill="E7E6E6"/>
            <w:noWrap/>
            <w:vAlign w:val="center"/>
            <w:hideMark/>
          </w:tcPr>
          <w:p w14:paraId="1C46CD43"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w:t>
            </w:r>
          </w:p>
        </w:tc>
        <w:tc>
          <w:tcPr>
            <w:tcW w:w="217" w:type="pct"/>
            <w:tcBorders>
              <w:top w:val="nil"/>
              <w:left w:val="nil"/>
              <w:bottom w:val="nil"/>
              <w:right w:val="nil"/>
            </w:tcBorders>
            <w:shd w:val="clear" w:color="auto" w:fill="auto"/>
            <w:noWrap/>
            <w:vAlign w:val="center"/>
            <w:hideMark/>
          </w:tcPr>
          <w:p w14:paraId="633D572F"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w:t>
            </w:r>
          </w:p>
        </w:tc>
        <w:tc>
          <w:tcPr>
            <w:tcW w:w="217" w:type="pct"/>
            <w:tcBorders>
              <w:top w:val="nil"/>
              <w:left w:val="nil"/>
              <w:bottom w:val="nil"/>
              <w:right w:val="nil"/>
            </w:tcBorders>
            <w:shd w:val="clear" w:color="000000" w:fill="E7E6E6"/>
            <w:noWrap/>
            <w:vAlign w:val="center"/>
            <w:hideMark/>
          </w:tcPr>
          <w:p w14:paraId="434689BB"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w:t>
            </w:r>
          </w:p>
        </w:tc>
        <w:tc>
          <w:tcPr>
            <w:tcW w:w="217" w:type="pct"/>
            <w:tcBorders>
              <w:top w:val="nil"/>
              <w:left w:val="nil"/>
              <w:bottom w:val="nil"/>
              <w:right w:val="nil"/>
            </w:tcBorders>
            <w:shd w:val="clear" w:color="auto" w:fill="auto"/>
            <w:noWrap/>
            <w:vAlign w:val="center"/>
            <w:hideMark/>
          </w:tcPr>
          <w:p w14:paraId="041E94BE"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w:t>
            </w:r>
          </w:p>
        </w:tc>
        <w:tc>
          <w:tcPr>
            <w:tcW w:w="217" w:type="pct"/>
            <w:tcBorders>
              <w:top w:val="nil"/>
              <w:left w:val="nil"/>
              <w:bottom w:val="nil"/>
              <w:right w:val="nil"/>
            </w:tcBorders>
            <w:shd w:val="clear" w:color="000000" w:fill="E7E6E6"/>
            <w:noWrap/>
            <w:vAlign w:val="center"/>
            <w:hideMark/>
          </w:tcPr>
          <w:p w14:paraId="243CED47"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w:t>
            </w:r>
          </w:p>
        </w:tc>
        <w:tc>
          <w:tcPr>
            <w:tcW w:w="217" w:type="pct"/>
            <w:tcBorders>
              <w:top w:val="nil"/>
              <w:left w:val="nil"/>
              <w:bottom w:val="nil"/>
              <w:right w:val="nil"/>
            </w:tcBorders>
            <w:shd w:val="clear" w:color="auto" w:fill="auto"/>
            <w:noWrap/>
            <w:vAlign w:val="center"/>
            <w:hideMark/>
          </w:tcPr>
          <w:p w14:paraId="506795BB"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w:t>
            </w:r>
          </w:p>
        </w:tc>
        <w:tc>
          <w:tcPr>
            <w:tcW w:w="217" w:type="pct"/>
            <w:tcBorders>
              <w:top w:val="nil"/>
              <w:left w:val="nil"/>
              <w:bottom w:val="nil"/>
              <w:right w:val="nil"/>
            </w:tcBorders>
            <w:shd w:val="clear" w:color="000000" w:fill="E7E6E6"/>
            <w:noWrap/>
            <w:vAlign w:val="center"/>
            <w:hideMark/>
          </w:tcPr>
          <w:p w14:paraId="30E81814"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w:t>
            </w:r>
          </w:p>
        </w:tc>
        <w:tc>
          <w:tcPr>
            <w:tcW w:w="217" w:type="pct"/>
            <w:tcBorders>
              <w:top w:val="nil"/>
              <w:left w:val="nil"/>
              <w:bottom w:val="nil"/>
              <w:right w:val="nil"/>
            </w:tcBorders>
            <w:shd w:val="clear" w:color="auto" w:fill="auto"/>
            <w:noWrap/>
            <w:vAlign w:val="center"/>
            <w:hideMark/>
          </w:tcPr>
          <w:p w14:paraId="52F07561"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w:t>
            </w:r>
          </w:p>
        </w:tc>
        <w:tc>
          <w:tcPr>
            <w:tcW w:w="217" w:type="pct"/>
            <w:tcBorders>
              <w:top w:val="nil"/>
              <w:left w:val="nil"/>
              <w:bottom w:val="nil"/>
              <w:right w:val="nil"/>
            </w:tcBorders>
            <w:shd w:val="clear" w:color="000000" w:fill="E7E6E6"/>
            <w:noWrap/>
            <w:vAlign w:val="center"/>
            <w:hideMark/>
          </w:tcPr>
          <w:p w14:paraId="6DD3FA54"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w:t>
            </w:r>
          </w:p>
        </w:tc>
        <w:tc>
          <w:tcPr>
            <w:tcW w:w="216" w:type="pct"/>
            <w:tcBorders>
              <w:top w:val="nil"/>
              <w:left w:val="nil"/>
              <w:bottom w:val="nil"/>
              <w:right w:val="nil"/>
            </w:tcBorders>
            <w:shd w:val="clear" w:color="auto" w:fill="auto"/>
            <w:noWrap/>
            <w:vAlign w:val="center"/>
            <w:hideMark/>
          </w:tcPr>
          <w:p w14:paraId="78375E86"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w:t>
            </w:r>
          </w:p>
        </w:tc>
        <w:tc>
          <w:tcPr>
            <w:tcW w:w="217" w:type="pct"/>
            <w:tcBorders>
              <w:top w:val="nil"/>
              <w:left w:val="nil"/>
              <w:bottom w:val="nil"/>
              <w:right w:val="nil"/>
            </w:tcBorders>
            <w:shd w:val="clear" w:color="000000" w:fill="E7E6E6"/>
            <w:noWrap/>
            <w:vAlign w:val="center"/>
            <w:hideMark/>
          </w:tcPr>
          <w:p w14:paraId="7F323E2D"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w:t>
            </w:r>
          </w:p>
        </w:tc>
        <w:tc>
          <w:tcPr>
            <w:tcW w:w="217" w:type="pct"/>
            <w:tcBorders>
              <w:top w:val="nil"/>
              <w:left w:val="nil"/>
              <w:bottom w:val="nil"/>
              <w:right w:val="nil"/>
            </w:tcBorders>
            <w:shd w:val="clear" w:color="auto" w:fill="auto"/>
            <w:noWrap/>
            <w:vAlign w:val="center"/>
            <w:hideMark/>
          </w:tcPr>
          <w:p w14:paraId="45883C28"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w:t>
            </w:r>
          </w:p>
        </w:tc>
        <w:tc>
          <w:tcPr>
            <w:tcW w:w="217" w:type="pct"/>
            <w:tcBorders>
              <w:top w:val="nil"/>
              <w:left w:val="nil"/>
              <w:bottom w:val="nil"/>
              <w:right w:val="nil"/>
            </w:tcBorders>
            <w:shd w:val="clear" w:color="000000" w:fill="E7E6E6"/>
            <w:noWrap/>
            <w:vAlign w:val="center"/>
            <w:hideMark/>
          </w:tcPr>
          <w:p w14:paraId="1678B575"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w:t>
            </w:r>
          </w:p>
        </w:tc>
        <w:tc>
          <w:tcPr>
            <w:tcW w:w="217" w:type="pct"/>
            <w:tcBorders>
              <w:top w:val="nil"/>
              <w:left w:val="nil"/>
              <w:bottom w:val="nil"/>
              <w:right w:val="nil"/>
            </w:tcBorders>
            <w:shd w:val="clear" w:color="auto" w:fill="auto"/>
            <w:noWrap/>
            <w:vAlign w:val="center"/>
            <w:hideMark/>
          </w:tcPr>
          <w:p w14:paraId="2FD604B3"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w:t>
            </w:r>
          </w:p>
        </w:tc>
        <w:tc>
          <w:tcPr>
            <w:tcW w:w="217" w:type="pct"/>
            <w:tcBorders>
              <w:top w:val="nil"/>
              <w:left w:val="nil"/>
              <w:bottom w:val="nil"/>
              <w:right w:val="nil"/>
            </w:tcBorders>
            <w:shd w:val="clear" w:color="000000" w:fill="E7E6E6"/>
            <w:noWrap/>
            <w:vAlign w:val="center"/>
            <w:hideMark/>
          </w:tcPr>
          <w:p w14:paraId="407F0D89"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w:t>
            </w:r>
          </w:p>
        </w:tc>
        <w:tc>
          <w:tcPr>
            <w:tcW w:w="217" w:type="pct"/>
            <w:tcBorders>
              <w:top w:val="nil"/>
              <w:left w:val="nil"/>
              <w:bottom w:val="nil"/>
              <w:right w:val="nil"/>
            </w:tcBorders>
            <w:shd w:val="clear" w:color="auto" w:fill="auto"/>
            <w:noWrap/>
            <w:vAlign w:val="center"/>
            <w:hideMark/>
          </w:tcPr>
          <w:p w14:paraId="653717AF"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w:t>
            </w:r>
          </w:p>
        </w:tc>
        <w:tc>
          <w:tcPr>
            <w:tcW w:w="217" w:type="pct"/>
            <w:tcBorders>
              <w:top w:val="nil"/>
              <w:left w:val="nil"/>
              <w:bottom w:val="nil"/>
              <w:right w:val="nil"/>
            </w:tcBorders>
            <w:shd w:val="clear" w:color="000000" w:fill="E7E6E6"/>
            <w:noWrap/>
            <w:vAlign w:val="center"/>
            <w:hideMark/>
          </w:tcPr>
          <w:p w14:paraId="0D948964"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w:t>
            </w:r>
          </w:p>
        </w:tc>
        <w:tc>
          <w:tcPr>
            <w:tcW w:w="217" w:type="pct"/>
            <w:tcBorders>
              <w:top w:val="nil"/>
              <w:left w:val="nil"/>
              <w:bottom w:val="nil"/>
              <w:right w:val="nil"/>
            </w:tcBorders>
            <w:shd w:val="clear" w:color="auto" w:fill="auto"/>
            <w:noWrap/>
            <w:vAlign w:val="center"/>
            <w:hideMark/>
          </w:tcPr>
          <w:p w14:paraId="16677BA0"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w:t>
            </w:r>
          </w:p>
        </w:tc>
        <w:tc>
          <w:tcPr>
            <w:tcW w:w="274" w:type="pct"/>
            <w:tcBorders>
              <w:top w:val="nil"/>
              <w:left w:val="nil"/>
              <w:bottom w:val="nil"/>
              <w:right w:val="nil"/>
            </w:tcBorders>
            <w:shd w:val="clear" w:color="000000" w:fill="E7E6E6"/>
            <w:noWrap/>
            <w:vAlign w:val="center"/>
            <w:hideMark/>
          </w:tcPr>
          <w:p w14:paraId="1AFE68BE" w14:textId="77777777" w:rsidR="004E7B7E" w:rsidRPr="008B619A" w:rsidRDefault="004E7B7E" w:rsidP="003A6C05">
            <w:pPr>
              <w:widowControl/>
              <w:jc w:val="center"/>
              <w:rPr>
                <w:rFonts w:hAnsi="標楷體" w:cs="Tahoma"/>
                <w:color w:val="000000" w:themeColor="text1"/>
                <w:kern w:val="0"/>
                <w:sz w:val="15"/>
                <w:szCs w:val="15"/>
              </w:rPr>
            </w:pPr>
            <w:r w:rsidRPr="008B619A">
              <w:rPr>
                <w:rFonts w:hAnsi="標楷體" w:cs="Tahoma" w:hint="eastAsia"/>
                <w:color w:val="000000" w:themeColor="text1"/>
                <w:kern w:val="0"/>
                <w:sz w:val="15"/>
                <w:szCs w:val="15"/>
              </w:rPr>
              <w:t>-</w:t>
            </w:r>
          </w:p>
        </w:tc>
      </w:tr>
      <w:tr w:rsidR="004E7B7E" w:rsidRPr="008B619A" w14:paraId="25DA9115" w14:textId="77777777" w:rsidTr="006400F0">
        <w:trPr>
          <w:trHeight w:val="330"/>
        </w:trPr>
        <w:tc>
          <w:tcPr>
            <w:tcW w:w="600" w:type="pct"/>
            <w:tcBorders>
              <w:top w:val="nil"/>
              <w:left w:val="nil"/>
              <w:bottom w:val="single" w:sz="4" w:space="0" w:color="auto"/>
              <w:right w:val="single" w:sz="4" w:space="0" w:color="auto"/>
            </w:tcBorders>
            <w:shd w:val="clear" w:color="auto" w:fill="auto"/>
            <w:noWrap/>
            <w:vAlign w:val="center"/>
            <w:hideMark/>
          </w:tcPr>
          <w:p w14:paraId="335DF614" w14:textId="77777777" w:rsidR="004E7B7E" w:rsidRPr="008B619A" w:rsidRDefault="004E7B7E" w:rsidP="008055B8">
            <w:pPr>
              <w:widowControl/>
              <w:jc w:val="center"/>
              <w:rPr>
                <w:rFonts w:hAnsi="標楷體" w:cs="Tahoma"/>
                <w:bCs/>
                <w:color w:val="000000" w:themeColor="text1"/>
                <w:kern w:val="0"/>
                <w:sz w:val="20"/>
              </w:rPr>
            </w:pPr>
            <w:r w:rsidRPr="008B619A">
              <w:rPr>
                <w:rFonts w:hAnsi="標楷體" w:cs="Tahoma" w:hint="eastAsia"/>
                <w:bCs/>
                <w:color w:val="000000" w:themeColor="text1"/>
                <w:kern w:val="0"/>
                <w:sz w:val="20"/>
              </w:rPr>
              <w:t>其他</w:t>
            </w:r>
          </w:p>
        </w:tc>
        <w:tc>
          <w:tcPr>
            <w:tcW w:w="216" w:type="pct"/>
            <w:tcBorders>
              <w:top w:val="nil"/>
              <w:left w:val="nil"/>
              <w:bottom w:val="single" w:sz="4" w:space="0" w:color="auto"/>
              <w:right w:val="nil"/>
            </w:tcBorders>
            <w:shd w:val="clear" w:color="auto" w:fill="auto"/>
            <w:noWrap/>
            <w:vAlign w:val="center"/>
            <w:hideMark/>
          </w:tcPr>
          <w:p w14:paraId="36B61B75"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w:t>
            </w:r>
          </w:p>
        </w:tc>
        <w:tc>
          <w:tcPr>
            <w:tcW w:w="217" w:type="pct"/>
            <w:tcBorders>
              <w:top w:val="nil"/>
              <w:left w:val="nil"/>
              <w:bottom w:val="single" w:sz="4" w:space="0" w:color="auto"/>
              <w:right w:val="nil"/>
            </w:tcBorders>
            <w:shd w:val="clear" w:color="000000" w:fill="E7E6E6"/>
            <w:noWrap/>
            <w:vAlign w:val="center"/>
            <w:hideMark/>
          </w:tcPr>
          <w:p w14:paraId="03482835"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w:t>
            </w:r>
          </w:p>
        </w:tc>
        <w:tc>
          <w:tcPr>
            <w:tcW w:w="217" w:type="pct"/>
            <w:tcBorders>
              <w:top w:val="nil"/>
              <w:left w:val="nil"/>
              <w:bottom w:val="single" w:sz="4" w:space="0" w:color="auto"/>
              <w:right w:val="nil"/>
            </w:tcBorders>
            <w:shd w:val="clear" w:color="auto" w:fill="auto"/>
            <w:noWrap/>
            <w:vAlign w:val="center"/>
            <w:hideMark/>
          </w:tcPr>
          <w:p w14:paraId="023B1E6C"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3</w:t>
            </w:r>
          </w:p>
        </w:tc>
        <w:tc>
          <w:tcPr>
            <w:tcW w:w="217" w:type="pct"/>
            <w:tcBorders>
              <w:top w:val="nil"/>
              <w:left w:val="nil"/>
              <w:bottom w:val="single" w:sz="4" w:space="0" w:color="auto"/>
              <w:right w:val="nil"/>
            </w:tcBorders>
            <w:shd w:val="clear" w:color="000000" w:fill="E7E6E6"/>
            <w:noWrap/>
            <w:vAlign w:val="center"/>
            <w:hideMark/>
          </w:tcPr>
          <w:p w14:paraId="310ACC4F"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0.5</w:t>
            </w:r>
          </w:p>
        </w:tc>
        <w:tc>
          <w:tcPr>
            <w:tcW w:w="217" w:type="pct"/>
            <w:tcBorders>
              <w:top w:val="nil"/>
              <w:left w:val="nil"/>
              <w:bottom w:val="single" w:sz="4" w:space="0" w:color="auto"/>
              <w:right w:val="nil"/>
            </w:tcBorders>
            <w:shd w:val="clear" w:color="auto" w:fill="auto"/>
            <w:noWrap/>
            <w:vAlign w:val="center"/>
            <w:hideMark/>
          </w:tcPr>
          <w:p w14:paraId="064CD095"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2</w:t>
            </w:r>
          </w:p>
        </w:tc>
        <w:tc>
          <w:tcPr>
            <w:tcW w:w="217" w:type="pct"/>
            <w:tcBorders>
              <w:top w:val="nil"/>
              <w:left w:val="nil"/>
              <w:bottom w:val="single" w:sz="4" w:space="0" w:color="auto"/>
              <w:right w:val="nil"/>
            </w:tcBorders>
            <w:shd w:val="clear" w:color="000000" w:fill="E7E6E6"/>
            <w:noWrap/>
            <w:vAlign w:val="center"/>
            <w:hideMark/>
          </w:tcPr>
          <w:p w14:paraId="4BEAA6D1"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0.3</w:t>
            </w:r>
          </w:p>
        </w:tc>
        <w:tc>
          <w:tcPr>
            <w:tcW w:w="217" w:type="pct"/>
            <w:tcBorders>
              <w:top w:val="nil"/>
              <w:left w:val="nil"/>
              <w:bottom w:val="single" w:sz="4" w:space="0" w:color="auto"/>
              <w:right w:val="nil"/>
            </w:tcBorders>
            <w:shd w:val="clear" w:color="auto" w:fill="auto"/>
            <w:noWrap/>
            <w:vAlign w:val="center"/>
            <w:hideMark/>
          </w:tcPr>
          <w:p w14:paraId="040E6CBB"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w:t>
            </w:r>
          </w:p>
        </w:tc>
        <w:tc>
          <w:tcPr>
            <w:tcW w:w="217" w:type="pct"/>
            <w:tcBorders>
              <w:top w:val="nil"/>
              <w:left w:val="nil"/>
              <w:bottom w:val="single" w:sz="4" w:space="0" w:color="auto"/>
              <w:right w:val="nil"/>
            </w:tcBorders>
            <w:shd w:val="clear" w:color="000000" w:fill="E7E6E6"/>
            <w:noWrap/>
            <w:vAlign w:val="center"/>
            <w:hideMark/>
          </w:tcPr>
          <w:p w14:paraId="386DFC61"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w:t>
            </w:r>
          </w:p>
        </w:tc>
        <w:tc>
          <w:tcPr>
            <w:tcW w:w="217" w:type="pct"/>
            <w:tcBorders>
              <w:top w:val="nil"/>
              <w:left w:val="nil"/>
              <w:bottom w:val="single" w:sz="4" w:space="0" w:color="auto"/>
              <w:right w:val="nil"/>
            </w:tcBorders>
            <w:shd w:val="clear" w:color="auto" w:fill="auto"/>
            <w:noWrap/>
            <w:vAlign w:val="center"/>
            <w:hideMark/>
          </w:tcPr>
          <w:p w14:paraId="6E77E2C9"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w:t>
            </w:r>
          </w:p>
        </w:tc>
        <w:tc>
          <w:tcPr>
            <w:tcW w:w="217" w:type="pct"/>
            <w:tcBorders>
              <w:top w:val="nil"/>
              <w:left w:val="nil"/>
              <w:bottom w:val="single" w:sz="4" w:space="0" w:color="auto"/>
              <w:right w:val="nil"/>
            </w:tcBorders>
            <w:shd w:val="clear" w:color="000000" w:fill="E7E6E6"/>
            <w:noWrap/>
            <w:vAlign w:val="center"/>
            <w:hideMark/>
          </w:tcPr>
          <w:p w14:paraId="08443927"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w:t>
            </w:r>
          </w:p>
        </w:tc>
        <w:tc>
          <w:tcPr>
            <w:tcW w:w="216" w:type="pct"/>
            <w:tcBorders>
              <w:top w:val="nil"/>
              <w:left w:val="nil"/>
              <w:bottom w:val="single" w:sz="4" w:space="0" w:color="auto"/>
              <w:right w:val="nil"/>
            </w:tcBorders>
            <w:shd w:val="clear" w:color="auto" w:fill="auto"/>
            <w:noWrap/>
            <w:vAlign w:val="center"/>
            <w:hideMark/>
          </w:tcPr>
          <w:p w14:paraId="3C5131A9"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2</w:t>
            </w:r>
          </w:p>
        </w:tc>
        <w:tc>
          <w:tcPr>
            <w:tcW w:w="217" w:type="pct"/>
            <w:tcBorders>
              <w:top w:val="nil"/>
              <w:left w:val="nil"/>
              <w:bottom w:val="single" w:sz="4" w:space="0" w:color="auto"/>
              <w:right w:val="nil"/>
            </w:tcBorders>
            <w:shd w:val="clear" w:color="000000" w:fill="E7E6E6"/>
            <w:noWrap/>
            <w:vAlign w:val="center"/>
            <w:hideMark/>
          </w:tcPr>
          <w:p w14:paraId="11EAE57B"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0.3</w:t>
            </w:r>
          </w:p>
        </w:tc>
        <w:tc>
          <w:tcPr>
            <w:tcW w:w="217" w:type="pct"/>
            <w:tcBorders>
              <w:top w:val="nil"/>
              <w:left w:val="nil"/>
              <w:bottom w:val="single" w:sz="4" w:space="0" w:color="auto"/>
              <w:right w:val="nil"/>
            </w:tcBorders>
            <w:shd w:val="clear" w:color="auto" w:fill="auto"/>
            <w:noWrap/>
            <w:vAlign w:val="center"/>
            <w:hideMark/>
          </w:tcPr>
          <w:p w14:paraId="7B72654A"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1</w:t>
            </w:r>
          </w:p>
        </w:tc>
        <w:tc>
          <w:tcPr>
            <w:tcW w:w="217" w:type="pct"/>
            <w:tcBorders>
              <w:top w:val="nil"/>
              <w:left w:val="nil"/>
              <w:bottom w:val="single" w:sz="4" w:space="0" w:color="auto"/>
              <w:right w:val="nil"/>
            </w:tcBorders>
            <w:shd w:val="clear" w:color="000000" w:fill="E7E6E6"/>
            <w:noWrap/>
            <w:vAlign w:val="center"/>
            <w:hideMark/>
          </w:tcPr>
          <w:p w14:paraId="6EA4BE44"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0.1</w:t>
            </w:r>
          </w:p>
        </w:tc>
        <w:tc>
          <w:tcPr>
            <w:tcW w:w="217" w:type="pct"/>
            <w:tcBorders>
              <w:top w:val="nil"/>
              <w:left w:val="nil"/>
              <w:bottom w:val="single" w:sz="4" w:space="0" w:color="auto"/>
              <w:right w:val="nil"/>
            </w:tcBorders>
            <w:shd w:val="clear" w:color="auto" w:fill="auto"/>
            <w:noWrap/>
            <w:vAlign w:val="center"/>
            <w:hideMark/>
          </w:tcPr>
          <w:p w14:paraId="4124369B"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w:t>
            </w:r>
          </w:p>
        </w:tc>
        <w:tc>
          <w:tcPr>
            <w:tcW w:w="217" w:type="pct"/>
            <w:tcBorders>
              <w:top w:val="nil"/>
              <w:left w:val="nil"/>
              <w:bottom w:val="single" w:sz="4" w:space="0" w:color="auto"/>
              <w:right w:val="nil"/>
            </w:tcBorders>
            <w:shd w:val="clear" w:color="000000" w:fill="E7E6E6"/>
            <w:noWrap/>
            <w:vAlign w:val="center"/>
            <w:hideMark/>
          </w:tcPr>
          <w:p w14:paraId="254FB48C"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w:t>
            </w:r>
          </w:p>
        </w:tc>
        <w:tc>
          <w:tcPr>
            <w:tcW w:w="217" w:type="pct"/>
            <w:tcBorders>
              <w:top w:val="nil"/>
              <w:left w:val="nil"/>
              <w:bottom w:val="single" w:sz="4" w:space="0" w:color="auto"/>
              <w:right w:val="nil"/>
            </w:tcBorders>
            <w:shd w:val="clear" w:color="auto" w:fill="auto"/>
            <w:noWrap/>
            <w:vAlign w:val="center"/>
            <w:hideMark/>
          </w:tcPr>
          <w:p w14:paraId="7DCE2956"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4</w:t>
            </w:r>
          </w:p>
        </w:tc>
        <w:tc>
          <w:tcPr>
            <w:tcW w:w="217" w:type="pct"/>
            <w:tcBorders>
              <w:top w:val="nil"/>
              <w:left w:val="nil"/>
              <w:bottom w:val="single" w:sz="4" w:space="0" w:color="auto"/>
              <w:right w:val="nil"/>
            </w:tcBorders>
            <w:shd w:val="clear" w:color="000000" w:fill="E7E6E6"/>
            <w:noWrap/>
            <w:vAlign w:val="center"/>
            <w:hideMark/>
          </w:tcPr>
          <w:p w14:paraId="6914B735"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0.6</w:t>
            </w:r>
          </w:p>
        </w:tc>
        <w:tc>
          <w:tcPr>
            <w:tcW w:w="217" w:type="pct"/>
            <w:tcBorders>
              <w:top w:val="nil"/>
              <w:left w:val="nil"/>
              <w:bottom w:val="single" w:sz="4" w:space="0" w:color="auto"/>
              <w:right w:val="nil"/>
            </w:tcBorders>
            <w:shd w:val="clear" w:color="auto" w:fill="auto"/>
            <w:noWrap/>
            <w:vAlign w:val="center"/>
            <w:hideMark/>
          </w:tcPr>
          <w:p w14:paraId="5AC56CE8" w14:textId="77777777" w:rsidR="004E7B7E" w:rsidRPr="008B619A" w:rsidRDefault="004E7B7E" w:rsidP="006400F0">
            <w:pPr>
              <w:widowControl/>
              <w:jc w:val="right"/>
              <w:rPr>
                <w:rFonts w:hAnsi="標楷體" w:cs="Tahoma"/>
                <w:color w:val="000000" w:themeColor="text1"/>
                <w:kern w:val="0"/>
                <w:sz w:val="15"/>
                <w:szCs w:val="15"/>
              </w:rPr>
            </w:pPr>
            <w:r w:rsidRPr="008B619A">
              <w:rPr>
                <w:rFonts w:hAnsi="標楷體" w:cs="Tahoma" w:hint="eastAsia"/>
                <w:color w:val="000000" w:themeColor="text1"/>
                <w:kern w:val="0"/>
                <w:sz w:val="15"/>
                <w:szCs w:val="15"/>
              </w:rPr>
              <w:t>-</w:t>
            </w:r>
          </w:p>
        </w:tc>
        <w:tc>
          <w:tcPr>
            <w:tcW w:w="274" w:type="pct"/>
            <w:tcBorders>
              <w:top w:val="nil"/>
              <w:left w:val="nil"/>
              <w:bottom w:val="single" w:sz="4" w:space="0" w:color="auto"/>
              <w:right w:val="nil"/>
            </w:tcBorders>
            <w:shd w:val="clear" w:color="000000" w:fill="E7E6E6"/>
            <w:noWrap/>
            <w:vAlign w:val="center"/>
            <w:hideMark/>
          </w:tcPr>
          <w:p w14:paraId="62EFD566" w14:textId="77777777" w:rsidR="004E7B7E" w:rsidRPr="008B619A" w:rsidRDefault="004E7B7E" w:rsidP="003A6C05">
            <w:pPr>
              <w:widowControl/>
              <w:jc w:val="center"/>
              <w:rPr>
                <w:rFonts w:hAnsi="標楷體" w:cs="Tahoma"/>
                <w:color w:val="000000" w:themeColor="text1"/>
                <w:kern w:val="0"/>
                <w:sz w:val="15"/>
                <w:szCs w:val="15"/>
              </w:rPr>
            </w:pPr>
            <w:r w:rsidRPr="008B619A">
              <w:rPr>
                <w:rFonts w:hAnsi="標楷體" w:cs="Tahoma" w:hint="eastAsia"/>
                <w:color w:val="000000" w:themeColor="text1"/>
                <w:kern w:val="0"/>
                <w:sz w:val="15"/>
                <w:szCs w:val="15"/>
              </w:rPr>
              <w:t>-</w:t>
            </w:r>
          </w:p>
        </w:tc>
      </w:tr>
    </w:tbl>
    <w:p w14:paraId="4CFCA31A" w14:textId="77777777" w:rsidR="004E7B7E" w:rsidRPr="008B619A" w:rsidRDefault="004E7B7E" w:rsidP="006E113A">
      <w:pPr>
        <w:spacing w:afterLines="50" w:after="228"/>
        <w:ind w:leftChars="-292" w:left="-993"/>
        <w:jc w:val="left"/>
        <w:rPr>
          <w:color w:val="000000" w:themeColor="text1"/>
          <w:sz w:val="24"/>
          <w:szCs w:val="24"/>
        </w:rPr>
      </w:pPr>
      <w:r w:rsidRPr="008B619A">
        <w:rPr>
          <w:rFonts w:hint="eastAsia"/>
          <w:color w:val="000000" w:themeColor="text1"/>
          <w:sz w:val="24"/>
          <w:szCs w:val="24"/>
        </w:rPr>
        <w:t>資料來源：教育部函復資料。</w:t>
      </w:r>
    </w:p>
    <w:p w14:paraId="628555D9" w14:textId="77777777" w:rsidR="008055B8" w:rsidRPr="008B619A" w:rsidRDefault="008055B8" w:rsidP="006E113A">
      <w:pPr>
        <w:spacing w:afterLines="50" w:after="228"/>
        <w:ind w:leftChars="-292" w:left="-993"/>
        <w:jc w:val="left"/>
        <w:rPr>
          <w:color w:val="000000" w:themeColor="text1"/>
          <w:sz w:val="24"/>
          <w:szCs w:val="24"/>
        </w:rPr>
      </w:pPr>
    </w:p>
    <w:p w14:paraId="778F4E87" w14:textId="74FE05E1" w:rsidR="00AB3F6A" w:rsidRPr="008B619A" w:rsidRDefault="00517BAE" w:rsidP="008139C2">
      <w:pPr>
        <w:pStyle w:val="3"/>
        <w:ind w:leftChars="200"/>
        <w:rPr>
          <w:color w:val="000000" w:themeColor="text1"/>
        </w:rPr>
      </w:pPr>
      <w:r w:rsidRPr="008B619A">
        <w:rPr>
          <w:rFonts w:hint="eastAsia"/>
          <w:color w:val="000000" w:themeColor="text1"/>
        </w:rPr>
        <w:t>然</w:t>
      </w:r>
      <w:r w:rsidR="00037B19" w:rsidRPr="008B619A">
        <w:rPr>
          <w:rFonts w:hint="eastAsia"/>
          <w:color w:val="000000" w:themeColor="text1"/>
        </w:rPr>
        <w:t>博士班研究領域應受碩士班連動關係，</w:t>
      </w:r>
      <w:r w:rsidR="00CD01E6" w:rsidRPr="008B619A">
        <w:rPr>
          <w:rFonts w:hint="eastAsia"/>
          <w:color w:val="000000" w:themeColor="text1"/>
        </w:rPr>
        <w:t>因此</w:t>
      </w:r>
      <w:r w:rsidR="00037B19" w:rsidRPr="008B619A">
        <w:rPr>
          <w:rFonts w:hint="eastAsia"/>
          <w:color w:val="000000" w:themeColor="text1"/>
        </w:rPr>
        <w:t>再</w:t>
      </w:r>
      <w:r w:rsidRPr="008B619A">
        <w:rPr>
          <w:rFonts w:hint="eastAsia"/>
          <w:color w:val="000000" w:themeColor="text1"/>
        </w:rPr>
        <w:t>依全體研究所畢業生就讀領域觀察</w:t>
      </w:r>
      <w:r w:rsidRPr="008B619A">
        <w:rPr>
          <w:rStyle w:val="aff1"/>
          <w:color w:val="000000" w:themeColor="text1"/>
        </w:rPr>
        <w:footnoteReference w:id="27"/>
      </w:r>
      <w:r w:rsidRPr="008B619A">
        <w:rPr>
          <w:rFonts w:hint="eastAsia"/>
          <w:color w:val="000000" w:themeColor="text1"/>
        </w:rPr>
        <w:t>，</w:t>
      </w:r>
      <w:r w:rsidR="00A3795D" w:rsidRPr="008B619A">
        <w:rPr>
          <w:rFonts w:hint="eastAsia"/>
          <w:color w:val="000000" w:themeColor="text1"/>
        </w:rPr>
        <w:t>107學年以「工程、製造及營建」1.7萬人排名第1，占比29.1%，次為「商業、管理及法律」1.4萬人，占比24.1%，近年文創產業興起，致「藝術及人文」排名第3，占比8.7%。</w:t>
      </w:r>
      <w:r w:rsidRPr="008B619A">
        <w:rPr>
          <w:rFonts w:hint="eastAsia"/>
          <w:color w:val="000000" w:themeColor="text1"/>
        </w:rPr>
        <w:t>。與100學年比較，以「醫藥衛生及社會福利」增加250人最多，次為「商業、管理及法律」增239人，「服務及其他」亦增157人，另減少部分</w:t>
      </w:r>
      <w:r w:rsidR="00037B19" w:rsidRPr="008B619A">
        <w:rPr>
          <w:rFonts w:hint="eastAsia"/>
          <w:color w:val="000000" w:themeColor="text1"/>
        </w:rPr>
        <w:t>仍</w:t>
      </w:r>
      <w:r w:rsidRPr="008B619A">
        <w:rPr>
          <w:rFonts w:hint="eastAsia"/>
          <w:color w:val="000000" w:themeColor="text1"/>
        </w:rPr>
        <w:t>以「工程、製造及營建」減逾3千人最多，「自然科學、數學及統計」減1千2百餘人次之。</w:t>
      </w:r>
      <w:r w:rsidR="001F0880" w:rsidRPr="008B619A">
        <w:rPr>
          <w:rFonts w:hint="eastAsia"/>
          <w:color w:val="000000" w:themeColor="text1"/>
        </w:rPr>
        <w:t>基此，</w:t>
      </w:r>
      <w:r w:rsidR="004106B4" w:rsidRPr="008B619A">
        <w:rPr>
          <w:rFonts w:hint="eastAsia"/>
          <w:color w:val="000000" w:themeColor="text1"/>
        </w:rPr>
        <w:t>整體研究生就讀科技類及工程相關領域人數降幅最多，</w:t>
      </w:r>
      <w:r w:rsidR="00EB331D" w:rsidRPr="008B619A">
        <w:rPr>
          <w:rFonts w:hint="eastAsia"/>
          <w:color w:val="000000" w:themeColor="text1"/>
        </w:rPr>
        <w:t>如何</w:t>
      </w:r>
      <w:r w:rsidR="005608B9" w:rsidRPr="008B619A">
        <w:rPr>
          <w:rFonts w:hint="eastAsia"/>
          <w:color w:val="000000" w:themeColor="text1"/>
        </w:rPr>
        <w:t>強化</w:t>
      </w:r>
      <w:r w:rsidR="005608B9" w:rsidRPr="008B619A">
        <w:rPr>
          <w:rFonts w:hAnsi="標楷體" w:hint="eastAsia"/>
          <w:color w:val="000000" w:themeColor="text1"/>
        </w:rPr>
        <w:t>產業</w:t>
      </w:r>
      <w:r w:rsidR="00586C14" w:rsidRPr="008B619A">
        <w:rPr>
          <w:rFonts w:hAnsi="標楷體" w:hint="eastAsia"/>
          <w:color w:val="000000" w:themeColor="text1"/>
        </w:rPr>
        <w:t>所需</w:t>
      </w:r>
      <w:r w:rsidR="005608B9" w:rsidRPr="008B619A">
        <w:rPr>
          <w:rFonts w:hAnsi="標楷體" w:hint="eastAsia"/>
          <w:color w:val="000000" w:themeColor="text1"/>
        </w:rPr>
        <w:t>跨域博士人才</w:t>
      </w:r>
      <w:r w:rsidR="004B249E" w:rsidRPr="008B619A">
        <w:rPr>
          <w:rFonts w:hAnsi="標楷體" w:hint="eastAsia"/>
          <w:color w:val="000000" w:themeColor="text1"/>
        </w:rPr>
        <w:t>之</w:t>
      </w:r>
      <w:r w:rsidR="00657A8C" w:rsidRPr="008B619A">
        <w:rPr>
          <w:rFonts w:hAnsi="標楷體" w:hint="eastAsia"/>
          <w:color w:val="000000" w:themeColor="text1"/>
        </w:rPr>
        <w:t>趨勢</w:t>
      </w:r>
      <w:r w:rsidR="005608B9" w:rsidRPr="008B619A">
        <w:rPr>
          <w:rFonts w:hAnsi="標楷體" w:hint="eastAsia"/>
          <w:color w:val="000000" w:themeColor="text1"/>
        </w:rPr>
        <w:t>，</w:t>
      </w:r>
      <w:r w:rsidR="004A75DA" w:rsidRPr="008B619A">
        <w:rPr>
          <w:rFonts w:hAnsi="標楷體" w:hint="eastAsia"/>
          <w:color w:val="000000" w:themeColor="text1"/>
        </w:rPr>
        <w:t>並及早</w:t>
      </w:r>
      <w:r w:rsidR="00121058" w:rsidRPr="008B619A">
        <w:rPr>
          <w:rFonts w:hAnsi="標楷體" w:hint="eastAsia"/>
          <w:color w:val="000000" w:themeColor="text1"/>
        </w:rPr>
        <w:t>向下</w:t>
      </w:r>
      <w:r w:rsidR="005608B9" w:rsidRPr="008B619A">
        <w:rPr>
          <w:rFonts w:hAnsi="標楷體" w:hint="eastAsia"/>
          <w:color w:val="000000" w:themeColor="text1"/>
        </w:rPr>
        <w:t>紮根STEM教育</w:t>
      </w:r>
      <w:r w:rsidR="00C73553" w:rsidRPr="008B619A">
        <w:rPr>
          <w:rFonts w:hAnsi="標楷體" w:hint="eastAsia"/>
          <w:color w:val="000000" w:themeColor="text1"/>
        </w:rPr>
        <w:t>，已為</w:t>
      </w:r>
      <w:r w:rsidR="00C04565" w:rsidRPr="008B619A">
        <w:rPr>
          <w:rFonts w:hAnsi="標楷體" w:hint="eastAsia"/>
          <w:color w:val="000000" w:themeColor="text1"/>
        </w:rPr>
        <w:t>博士培</w:t>
      </w:r>
      <w:r w:rsidR="00C73553" w:rsidRPr="008B619A">
        <w:rPr>
          <w:rFonts w:hAnsi="標楷體" w:hint="eastAsia"/>
          <w:color w:val="000000" w:themeColor="text1"/>
        </w:rPr>
        <w:t>育</w:t>
      </w:r>
      <w:r w:rsidR="00C04565" w:rsidRPr="008B619A">
        <w:rPr>
          <w:rFonts w:hAnsi="標楷體" w:hint="eastAsia"/>
          <w:color w:val="000000" w:themeColor="text1"/>
        </w:rPr>
        <w:t>政策之</w:t>
      </w:r>
      <w:r w:rsidR="00C73553" w:rsidRPr="008B619A">
        <w:rPr>
          <w:rFonts w:hAnsi="標楷體" w:hint="eastAsia"/>
          <w:color w:val="000000" w:themeColor="text1"/>
        </w:rPr>
        <w:t>新課題。</w:t>
      </w:r>
      <w:r w:rsidR="00884741" w:rsidRPr="008B619A">
        <w:rPr>
          <w:rFonts w:hAnsi="標楷體" w:hint="eastAsia"/>
          <w:color w:val="000000" w:themeColor="text1"/>
        </w:rPr>
        <w:t>上述比例及趨勢之合理性？</w:t>
      </w:r>
      <w:r w:rsidR="003F3A18" w:rsidRPr="008B619A">
        <w:rPr>
          <w:rFonts w:hAnsi="標楷體" w:hint="eastAsia"/>
          <w:color w:val="000000" w:themeColor="text1"/>
        </w:rPr>
        <w:t>尚</w:t>
      </w:r>
      <w:r w:rsidR="009F672A" w:rsidRPr="008B619A">
        <w:rPr>
          <w:rFonts w:hAnsi="標楷體" w:hint="eastAsia"/>
          <w:color w:val="000000" w:themeColor="text1"/>
        </w:rPr>
        <w:t>待釐清。</w:t>
      </w:r>
      <w:r w:rsidR="00CF3BEF" w:rsidRPr="008B619A">
        <w:rPr>
          <w:rFonts w:hAnsi="標楷體" w:hint="eastAsia"/>
          <w:color w:val="000000" w:themeColor="text1"/>
        </w:rPr>
        <w:t>此外，據</w:t>
      </w:r>
      <w:r w:rsidR="0072554E" w:rsidRPr="008B619A">
        <w:rPr>
          <w:rFonts w:hint="eastAsia"/>
          <w:color w:val="000000" w:themeColor="text1"/>
        </w:rPr>
        <w:t>教育部表示，自110年度起推動「大專校院人文與社會科學領域</w:t>
      </w:r>
      <w:r w:rsidR="0072554E" w:rsidRPr="008B619A">
        <w:rPr>
          <w:rFonts w:hint="eastAsia"/>
          <w:color w:val="000000" w:themeColor="text1"/>
        </w:rPr>
        <w:lastRenderedPageBreak/>
        <w:t>標竿計畫」，以衡平理工及人社領域之發展能量，期培育優質領域人才，強化國際學術研究能見度，提出具社會貢獻之研究成果，未來介接特色領域研究中心計畫，持續提升大專校院人文與社會科學領域研究能量。</w:t>
      </w:r>
      <w:r w:rsidR="00843D19" w:rsidRPr="008B619A">
        <w:rPr>
          <w:rFonts w:hint="eastAsia"/>
          <w:color w:val="000000" w:themeColor="text1"/>
        </w:rPr>
        <w:t>惟其</w:t>
      </w:r>
      <w:r w:rsidR="008342A3" w:rsidRPr="008B619A">
        <w:rPr>
          <w:rFonts w:hint="eastAsia"/>
          <w:color w:val="000000" w:themeColor="text1"/>
        </w:rPr>
        <w:t>執行評估及</w:t>
      </w:r>
      <w:r w:rsidR="00843D19" w:rsidRPr="008B619A">
        <w:rPr>
          <w:rFonts w:hint="eastAsia"/>
          <w:color w:val="000000" w:themeColor="text1"/>
        </w:rPr>
        <w:t>成效</w:t>
      </w:r>
      <w:r w:rsidR="00E43803" w:rsidRPr="008B619A">
        <w:rPr>
          <w:rFonts w:hint="eastAsia"/>
          <w:color w:val="000000" w:themeColor="text1"/>
        </w:rPr>
        <w:t>，均有</w:t>
      </w:r>
      <w:r w:rsidR="00CC47BF" w:rsidRPr="008B619A">
        <w:rPr>
          <w:rFonts w:hint="eastAsia"/>
          <w:color w:val="000000" w:themeColor="text1"/>
        </w:rPr>
        <w:t>待後續</w:t>
      </w:r>
      <w:r w:rsidR="00B4424A" w:rsidRPr="008B619A">
        <w:rPr>
          <w:rFonts w:hint="eastAsia"/>
          <w:color w:val="000000" w:themeColor="text1"/>
        </w:rPr>
        <w:t>主管機關</w:t>
      </w:r>
      <w:r w:rsidR="00CC47BF" w:rsidRPr="008B619A">
        <w:rPr>
          <w:rFonts w:hint="eastAsia"/>
          <w:color w:val="000000" w:themeColor="text1"/>
        </w:rPr>
        <w:t>蒐集相關實務意見彙整</w:t>
      </w:r>
      <w:r w:rsidR="004D2142" w:rsidRPr="008B619A">
        <w:rPr>
          <w:rFonts w:hint="eastAsia"/>
          <w:color w:val="000000" w:themeColor="text1"/>
        </w:rPr>
        <w:t>檢討</w:t>
      </w:r>
      <w:r w:rsidR="00884741" w:rsidRPr="008B619A">
        <w:rPr>
          <w:rFonts w:hint="eastAsia"/>
          <w:color w:val="000000" w:themeColor="text1"/>
        </w:rPr>
        <w:t>規劃</w:t>
      </w:r>
      <w:r w:rsidR="008852AD" w:rsidRPr="008B619A">
        <w:rPr>
          <w:rFonts w:hint="eastAsia"/>
          <w:color w:val="000000" w:themeColor="text1"/>
        </w:rPr>
        <w:t>。</w:t>
      </w:r>
    </w:p>
    <w:p w14:paraId="3AF61A6B" w14:textId="4A1BEEC9" w:rsidR="00BD7321" w:rsidRPr="008B619A" w:rsidRDefault="0077764A" w:rsidP="00242E49">
      <w:pPr>
        <w:pStyle w:val="3"/>
        <w:ind w:leftChars="200"/>
        <w:rPr>
          <w:color w:val="000000" w:themeColor="text1"/>
        </w:rPr>
      </w:pPr>
      <w:r w:rsidRPr="008B619A">
        <w:rPr>
          <w:rFonts w:hint="eastAsia"/>
          <w:color w:val="000000" w:themeColor="text1"/>
        </w:rPr>
        <w:t>參考國際</w:t>
      </w:r>
      <w:r w:rsidR="00A100F0" w:rsidRPr="008B619A">
        <w:rPr>
          <w:rFonts w:hint="eastAsia"/>
          <w:color w:val="000000" w:themeColor="text1"/>
        </w:rPr>
        <w:t>教育</w:t>
      </w:r>
      <w:r w:rsidRPr="008B619A">
        <w:rPr>
          <w:rFonts w:hint="eastAsia"/>
          <w:color w:val="000000" w:themeColor="text1"/>
        </w:rPr>
        <w:t>動態</w:t>
      </w:r>
      <w:r w:rsidR="00A100F0" w:rsidRPr="008B619A">
        <w:rPr>
          <w:rFonts w:hint="eastAsia"/>
          <w:color w:val="000000" w:themeColor="text1"/>
        </w:rPr>
        <w:t>研究</w:t>
      </w:r>
      <w:r w:rsidRPr="008B619A">
        <w:rPr>
          <w:rFonts w:hint="eastAsia"/>
          <w:color w:val="000000" w:themeColor="text1"/>
        </w:rPr>
        <w:t>顯示</w:t>
      </w:r>
      <w:r w:rsidR="00274A22" w:rsidRPr="008B619A">
        <w:rPr>
          <w:rStyle w:val="aff1"/>
          <w:color w:val="000000" w:themeColor="text1"/>
        </w:rPr>
        <w:footnoteReference w:id="28"/>
      </w:r>
      <w:r w:rsidRPr="008B619A">
        <w:rPr>
          <w:rFonts w:hint="eastAsia"/>
          <w:color w:val="000000" w:themeColor="text1"/>
        </w:rPr>
        <w:t>，</w:t>
      </w:r>
      <w:r w:rsidR="00CD67B6" w:rsidRPr="008B619A">
        <w:rPr>
          <w:color w:val="000000" w:themeColor="text1"/>
        </w:rPr>
        <w:t>近來各國強調</w:t>
      </w:r>
      <w:r w:rsidR="00CD67B6" w:rsidRPr="008B619A">
        <w:rPr>
          <w:rFonts w:ascii="Times New Roman" w:hAnsi="Times New Roman"/>
          <w:color w:val="000000" w:themeColor="text1"/>
        </w:rPr>
        <w:t>STEM</w:t>
      </w:r>
      <w:r w:rsidR="00CD67B6" w:rsidRPr="008B619A">
        <w:rPr>
          <w:color w:val="000000" w:themeColor="text1"/>
        </w:rPr>
        <w:t>教育與各項學科知識的整合運用，藉由強化學科間知識的連結性，培養具有科學素養的人才，強化國家未來的競爭力。澳洲聯邦政府作為《國家創新與科學議程》戰略的延伸，編列逾6,400萬澳元預算啟動STEM早教與學校計畫</w:t>
      </w:r>
      <w:r w:rsidR="00FB39BC" w:rsidRPr="008B619A">
        <w:rPr>
          <w:rFonts w:hint="eastAsia"/>
          <w:color w:val="000000" w:themeColor="text1"/>
        </w:rPr>
        <w:t>……</w:t>
      </w:r>
      <w:r w:rsidR="00CD67B6" w:rsidRPr="008B619A">
        <w:rPr>
          <w:rFonts w:hint="eastAsia"/>
          <w:color w:val="000000" w:themeColor="text1"/>
        </w:rPr>
        <w:t>。</w:t>
      </w:r>
      <w:r w:rsidR="00BD7321" w:rsidRPr="008B619A">
        <w:rPr>
          <w:rFonts w:hint="eastAsia"/>
          <w:color w:val="000000" w:themeColor="text1"/>
        </w:rPr>
        <w:t>對於</w:t>
      </w:r>
      <w:r w:rsidR="00651EE5" w:rsidRPr="008B619A">
        <w:rPr>
          <w:rFonts w:hint="eastAsia"/>
          <w:color w:val="000000" w:themeColor="text1"/>
        </w:rPr>
        <w:t>我國</w:t>
      </w:r>
      <w:r w:rsidR="00146C01" w:rsidRPr="008B619A">
        <w:rPr>
          <w:rFonts w:hint="eastAsia"/>
          <w:color w:val="000000" w:themeColor="text1"/>
        </w:rPr>
        <w:t>數學及</w:t>
      </w:r>
      <w:r w:rsidR="00BD7321" w:rsidRPr="008B619A">
        <w:rPr>
          <w:rFonts w:hint="eastAsia"/>
          <w:color w:val="000000" w:themeColor="text1"/>
        </w:rPr>
        <w:t>科學教育向下紮根部分，可再</w:t>
      </w:r>
      <w:r w:rsidR="00266B5A" w:rsidRPr="008B619A">
        <w:rPr>
          <w:rFonts w:hint="eastAsia"/>
          <w:color w:val="000000" w:themeColor="text1"/>
        </w:rPr>
        <w:t>比較</w:t>
      </w:r>
      <w:r w:rsidR="006F3BB6" w:rsidRPr="008B619A">
        <w:rPr>
          <w:rFonts w:hint="eastAsia"/>
          <w:color w:val="000000" w:themeColor="text1"/>
        </w:rPr>
        <w:t>我國</w:t>
      </w:r>
      <w:r w:rsidR="0025001D" w:rsidRPr="008B619A">
        <w:rPr>
          <w:color w:val="000000" w:themeColor="text1"/>
        </w:rPr>
        <w:t>學生能力的國際評比</w:t>
      </w:r>
      <w:r w:rsidR="00004770" w:rsidRPr="008B619A">
        <w:rPr>
          <w:rFonts w:hint="eastAsia"/>
          <w:color w:val="000000" w:themeColor="text1"/>
        </w:rPr>
        <w:t>分析</w:t>
      </w:r>
      <w:r w:rsidR="0025001D" w:rsidRPr="008B619A">
        <w:rPr>
          <w:color w:val="000000" w:themeColor="text1"/>
        </w:rPr>
        <w:t>，</w:t>
      </w:r>
      <w:r w:rsidR="00915E91" w:rsidRPr="008B619A">
        <w:rPr>
          <w:rFonts w:hint="eastAsia"/>
          <w:color w:val="000000" w:themeColor="text1"/>
        </w:rPr>
        <w:t>依</w:t>
      </w:r>
      <w:r w:rsidR="00FA6863" w:rsidRPr="008B619A">
        <w:rPr>
          <w:rFonts w:hint="eastAsia"/>
          <w:color w:val="000000" w:themeColor="text1"/>
        </w:rPr>
        <w:t>國家教育研究院國際大型教育評比之</w:t>
      </w:r>
      <w:r w:rsidR="00613C3F" w:rsidRPr="008B619A">
        <w:rPr>
          <w:rFonts w:hint="eastAsia"/>
          <w:color w:val="000000" w:themeColor="text1"/>
        </w:rPr>
        <w:t>調查</w:t>
      </w:r>
      <w:r w:rsidR="00A86F90" w:rsidRPr="008B619A">
        <w:rPr>
          <w:rFonts w:hint="eastAsia"/>
          <w:color w:val="000000" w:themeColor="text1"/>
        </w:rPr>
        <w:t>結果顯示</w:t>
      </w:r>
      <w:r w:rsidR="00682F00" w:rsidRPr="008B619A">
        <w:rPr>
          <w:rStyle w:val="aff1"/>
          <w:color w:val="000000" w:themeColor="text1"/>
        </w:rPr>
        <w:footnoteReference w:id="29"/>
      </w:r>
      <w:r w:rsidR="00A86F90" w:rsidRPr="008B619A">
        <w:rPr>
          <w:rFonts w:hint="eastAsia"/>
          <w:color w:val="000000" w:themeColor="text1"/>
        </w:rPr>
        <w:t>，</w:t>
      </w:r>
      <w:r w:rsidR="00682F00" w:rsidRPr="008B619A">
        <w:rPr>
          <w:rFonts w:hAnsi="標楷體" w:hint="eastAsia"/>
          <w:color w:val="000000" w:themeColor="text1"/>
        </w:rPr>
        <w:t>「</w:t>
      </w:r>
      <w:r w:rsidR="00290E7D" w:rsidRPr="008B619A">
        <w:rPr>
          <w:color w:val="000000" w:themeColor="text1"/>
        </w:rPr>
        <w:t>臺灣自我分數的變動，以及與經濟競爭國家的相對分數是比較值得重視的部分。臺灣學生參加國際評比測驗裡，在閱讀部分，不管是PISA</w:t>
      </w:r>
      <w:r w:rsidR="00642455" w:rsidRPr="008B619A">
        <w:rPr>
          <w:rStyle w:val="aff1"/>
          <w:color w:val="000000" w:themeColor="text1"/>
        </w:rPr>
        <w:footnoteReference w:id="30"/>
      </w:r>
      <w:r w:rsidR="00290E7D" w:rsidRPr="008B619A">
        <w:rPr>
          <w:color w:val="000000" w:themeColor="text1"/>
        </w:rPr>
        <w:t>或是PIRLS</w:t>
      </w:r>
      <w:r w:rsidR="00BA5ED4" w:rsidRPr="008B619A">
        <w:rPr>
          <w:rStyle w:val="aff1"/>
          <w:color w:val="000000" w:themeColor="text1"/>
        </w:rPr>
        <w:footnoteReference w:id="31"/>
      </w:r>
      <w:r w:rsidR="00290E7D" w:rsidRPr="008B619A">
        <w:rPr>
          <w:color w:val="000000" w:themeColor="text1"/>
        </w:rPr>
        <w:t>，分數逐年上揚，全球排名也往上提升；在數學部分，則呈現分數逐年上升，但在TIMSS</w:t>
      </w:r>
      <w:r w:rsidR="00E21229" w:rsidRPr="008B619A">
        <w:rPr>
          <w:rStyle w:val="aff1"/>
          <w:color w:val="000000" w:themeColor="text1"/>
        </w:rPr>
        <w:footnoteReference w:id="32"/>
      </w:r>
      <w:r w:rsidR="00290E7D" w:rsidRPr="008B619A">
        <w:rPr>
          <w:color w:val="000000" w:themeColor="text1"/>
        </w:rPr>
        <w:t>排名持平，在PISA呈現下滑；在科學部分，分數歷年分數持平，但在PISA的全球排名呈現大幅下滑</w:t>
      </w:r>
      <w:r w:rsidR="00682F00" w:rsidRPr="008B619A">
        <w:rPr>
          <w:rFonts w:hAnsi="標楷體" w:hint="eastAsia"/>
          <w:color w:val="000000" w:themeColor="text1"/>
        </w:rPr>
        <w:t>」</w:t>
      </w:r>
      <w:r w:rsidR="006639E3" w:rsidRPr="008B619A">
        <w:rPr>
          <w:rFonts w:hAnsi="標楷體" w:hint="eastAsia"/>
          <w:color w:val="000000" w:themeColor="text1"/>
        </w:rPr>
        <w:t>，</w:t>
      </w:r>
      <w:r w:rsidR="001476A8" w:rsidRPr="008B619A">
        <w:rPr>
          <w:rFonts w:hint="eastAsia"/>
          <w:color w:val="000000" w:themeColor="text1"/>
        </w:rPr>
        <w:t>況</w:t>
      </w:r>
      <w:r w:rsidR="00D719E0" w:rsidRPr="008B619A">
        <w:rPr>
          <w:rFonts w:hint="eastAsia"/>
          <w:color w:val="000000" w:themeColor="text1"/>
        </w:rPr>
        <w:t>且</w:t>
      </w:r>
      <w:r w:rsidR="00B42FE7" w:rsidRPr="008B619A">
        <w:rPr>
          <w:rFonts w:hAnsi="標楷體" w:hint="eastAsia"/>
          <w:color w:val="000000" w:themeColor="text1"/>
        </w:rPr>
        <w:t>「</w:t>
      </w:r>
      <w:r w:rsidR="00F27815" w:rsidRPr="008B619A">
        <w:rPr>
          <w:rFonts w:hAnsi="標楷體" w:hint="eastAsia"/>
          <w:color w:val="000000" w:themeColor="text1"/>
        </w:rPr>
        <w:t>在PISA的2012調查裡，臺灣學生的高</w:t>
      </w:r>
      <w:r w:rsidR="00F27815" w:rsidRPr="008B619A">
        <w:rPr>
          <w:rFonts w:hAnsi="標楷體" w:hint="eastAsia"/>
          <w:color w:val="000000" w:themeColor="text1"/>
        </w:rPr>
        <w:lastRenderedPageBreak/>
        <w:t>低差距，校間差距，皆為全球最大；校內差距，則是經濟競爭國家最大</w:t>
      </w:r>
      <w:r w:rsidR="00B42FE7" w:rsidRPr="008B619A">
        <w:rPr>
          <w:rFonts w:hAnsi="標楷體" w:hint="eastAsia"/>
          <w:color w:val="000000" w:themeColor="text1"/>
        </w:rPr>
        <w:t>」</w:t>
      </w:r>
      <w:r w:rsidR="00547E28" w:rsidRPr="008B619A">
        <w:rPr>
          <w:rFonts w:hAnsi="標楷體" w:hint="eastAsia"/>
          <w:color w:val="000000" w:themeColor="text1"/>
        </w:rPr>
        <w:t>及「</w:t>
      </w:r>
      <w:r w:rsidR="00547E28" w:rsidRPr="008B619A">
        <w:rPr>
          <w:rFonts w:hAnsi="標楷體"/>
          <w:color w:val="000000" w:themeColor="text1"/>
        </w:rPr>
        <w:t>數學成就受到社會經濟文化地位的影響，也是經濟競爭國家中最大的</w:t>
      </w:r>
      <w:r w:rsidR="00547E28" w:rsidRPr="008B619A">
        <w:rPr>
          <w:rFonts w:hAnsi="標楷體" w:hint="eastAsia"/>
          <w:color w:val="000000" w:themeColor="text1"/>
        </w:rPr>
        <w:t>」</w:t>
      </w:r>
      <w:r w:rsidR="00C17FFC" w:rsidRPr="008B619A">
        <w:rPr>
          <w:rFonts w:hAnsi="標楷體" w:hint="eastAsia"/>
          <w:color w:val="000000" w:themeColor="text1"/>
        </w:rPr>
        <w:t>。此與</w:t>
      </w:r>
      <w:r w:rsidR="0094441F" w:rsidRPr="008B619A">
        <w:rPr>
          <w:rFonts w:hAnsi="標楷體" w:hint="eastAsia"/>
          <w:color w:val="000000" w:themeColor="text1"/>
        </w:rPr>
        <w:t>「2018教學與學習國際調查臺灣報告」之綜整報告</w:t>
      </w:r>
      <w:r w:rsidR="00C17FFC" w:rsidRPr="008B619A">
        <w:rPr>
          <w:rFonts w:hAnsi="標楷體" w:hint="eastAsia"/>
          <w:color w:val="000000" w:themeColor="text1"/>
        </w:rPr>
        <w:t>指</w:t>
      </w:r>
      <w:r w:rsidR="0094441F" w:rsidRPr="008B619A">
        <w:rPr>
          <w:rFonts w:hAnsi="標楷體" w:hint="eastAsia"/>
          <w:color w:val="000000" w:themeColor="text1"/>
        </w:rPr>
        <w:t>明，</w:t>
      </w:r>
      <w:r w:rsidR="009E4997" w:rsidRPr="008B619A">
        <w:rPr>
          <w:rFonts w:hAnsi="標楷體" w:hint="eastAsia"/>
          <w:color w:val="000000" w:themeColor="text1"/>
        </w:rPr>
        <w:t>「</w:t>
      </w:r>
      <w:r w:rsidR="009E4997" w:rsidRPr="008B619A">
        <w:rPr>
          <w:color w:val="000000" w:themeColor="text1"/>
        </w:rPr>
        <w:t>基於師培課程的修習與教師日後教學準備度有關，應加強配合新世紀教學與學習需求的項目，</w:t>
      </w:r>
      <w:r w:rsidR="009E4997" w:rsidRPr="008B619A">
        <w:rPr>
          <w:rFonts w:hint="eastAsia"/>
          <w:color w:val="000000" w:themeColor="text1"/>
        </w:rPr>
        <w:t>……</w:t>
      </w:r>
      <w:r w:rsidR="009E4997" w:rsidRPr="008B619A">
        <w:rPr>
          <w:color w:val="000000" w:themeColor="text1"/>
        </w:rPr>
        <w:t>、跨學科學習技能、應用於教學的ICT技能等</w:t>
      </w:r>
      <w:r w:rsidR="009E4997" w:rsidRPr="008B619A">
        <w:rPr>
          <w:rFonts w:hAnsi="標楷體" w:hint="eastAsia"/>
          <w:color w:val="000000" w:themeColor="text1"/>
        </w:rPr>
        <w:t>」</w:t>
      </w:r>
      <w:r w:rsidR="00A31822" w:rsidRPr="008B619A">
        <w:rPr>
          <w:rFonts w:hAnsi="標楷體" w:hint="eastAsia"/>
          <w:color w:val="000000" w:themeColor="text1"/>
        </w:rPr>
        <w:t>亦可相互</w:t>
      </w:r>
      <w:r w:rsidR="00D94C54" w:rsidRPr="008B619A">
        <w:rPr>
          <w:rFonts w:hAnsi="標楷體" w:hint="eastAsia"/>
          <w:color w:val="000000" w:themeColor="text1"/>
        </w:rPr>
        <w:t>參酌</w:t>
      </w:r>
      <w:r w:rsidR="00C17FFC" w:rsidRPr="008B619A">
        <w:rPr>
          <w:rFonts w:hAnsi="標楷體" w:hint="eastAsia"/>
          <w:color w:val="000000" w:themeColor="text1"/>
        </w:rPr>
        <w:t>。</w:t>
      </w:r>
      <w:r w:rsidR="001A7859" w:rsidRPr="008B619A">
        <w:rPr>
          <w:rFonts w:hAnsi="標楷體" w:hint="eastAsia"/>
          <w:color w:val="000000" w:themeColor="text1"/>
        </w:rPr>
        <w:t>是以，</w:t>
      </w:r>
      <w:r w:rsidR="00F666EE" w:rsidRPr="008B619A">
        <w:rPr>
          <w:rFonts w:hAnsi="標楷體" w:hint="eastAsia"/>
          <w:color w:val="000000" w:themeColor="text1"/>
        </w:rPr>
        <w:t>基於現況發展，</w:t>
      </w:r>
      <w:r w:rsidR="007316D5" w:rsidRPr="008B619A">
        <w:rPr>
          <w:rFonts w:hAnsi="標楷體" w:hint="eastAsia"/>
          <w:color w:val="000000" w:themeColor="text1"/>
        </w:rPr>
        <w:t>未來如何提升</w:t>
      </w:r>
      <w:r w:rsidR="008A3579" w:rsidRPr="008B619A">
        <w:rPr>
          <w:rFonts w:hAnsi="標楷體" w:hint="eastAsia"/>
          <w:color w:val="000000" w:themeColor="text1"/>
        </w:rPr>
        <w:t>科技</w:t>
      </w:r>
      <w:r w:rsidR="00BB1FC5" w:rsidRPr="008B619A">
        <w:rPr>
          <w:rFonts w:hAnsi="標楷體" w:hint="eastAsia"/>
          <w:color w:val="000000" w:themeColor="text1"/>
        </w:rPr>
        <w:t>、數學</w:t>
      </w:r>
      <w:r w:rsidR="008A3579" w:rsidRPr="008B619A">
        <w:rPr>
          <w:rFonts w:hAnsi="標楷體" w:hint="eastAsia"/>
          <w:color w:val="000000" w:themeColor="text1"/>
        </w:rPr>
        <w:t>教育乃至</w:t>
      </w:r>
      <w:r w:rsidR="007316D5" w:rsidRPr="008B619A">
        <w:rPr>
          <w:rFonts w:hAnsi="標楷體" w:hint="eastAsia"/>
          <w:color w:val="000000" w:themeColor="text1"/>
        </w:rPr>
        <w:t>STEM</w:t>
      </w:r>
      <w:r w:rsidR="008A3579" w:rsidRPr="008B619A">
        <w:rPr>
          <w:rFonts w:hAnsi="標楷體" w:hint="eastAsia"/>
          <w:color w:val="000000" w:themeColor="text1"/>
        </w:rPr>
        <w:t>人才向下紮根</w:t>
      </w:r>
      <w:r w:rsidR="00F32055" w:rsidRPr="008B619A">
        <w:rPr>
          <w:rFonts w:hAnsi="標楷體" w:hint="eastAsia"/>
          <w:color w:val="000000" w:themeColor="text1"/>
        </w:rPr>
        <w:t>之模式</w:t>
      </w:r>
      <w:r w:rsidR="008A3579" w:rsidRPr="008B619A">
        <w:rPr>
          <w:rFonts w:hAnsi="標楷體" w:hint="eastAsia"/>
          <w:color w:val="000000" w:themeColor="text1"/>
        </w:rPr>
        <w:t>，均待政府積極深入研議。</w:t>
      </w:r>
    </w:p>
    <w:p w14:paraId="6C73E663" w14:textId="7588890B" w:rsidR="001863A1" w:rsidRPr="008B619A" w:rsidRDefault="001863A1" w:rsidP="0014614F">
      <w:pPr>
        <w:pStyle w:val="3"/>
        <w:ind w:leftChars="200"/>
        <w:rPr>
          <w:color w:val="000000" w:themeColor="text1"/>
        </w:rPr>
      </w:pPr>
      <w:r w:rsidRPr="008B619A">
        <w:rPr>
          <w:rFonts w:hint="eastAsia"/>
          <w:color w:val="000000" w:themeColor="text1"/>
        </w:rPr>
        <w:t>復</w:t>
      </w:r>
      <w:r w:rsidR="00291063" w:rsidRPr="008B619A">
        <w:rPr>
          <w:rFonts w:hint="eastAsia"/>
          <w:color w:val="000000" w:themeColor="text1"/>
        </w:rPr>
        <w:t>研究</w:t>
      </w:r>
      <w:r w:rsidRPr="008B619A">
        <w:rPr>
          <w:rFonts w:hint="eastAsia"/>
          <w:color w:val="000000" w:themeColor="text1"/>
        </w:rPr>
        <w:t>國際比較教育趨勢</w:t>
      </w:r>
      <w:r w:rsidR="00BF6E77" w:rsidRPr="008B619A">
        <w:rPr>
          <w:rStyle w:val="aff1"/>
          <w:color w:val="000000" w:themeColor="text1"/>
        </w:rPr>
        <w:footnoteReference w:id="33"/>
      </w:r>
      <w:r w:rsidRPr="008B619A">
        <w:rPr>
          <w:rFonts w:hint="eastAsia"/>
          <w:color w:val="000000" w:themeColor="text1"/>
        </w:rPr>
        <w:t>，</w:t>
      </w:r>
      <w:r w:rsidR="006535D5" w:rsidRPr="008B619A">
        <w:rPr>
          <w:rFonts w:hAnsi="標楷體" w:hint="eastAsia"/>
          <w:color w:val="000000" w:themeColor="text1"/>
        </w:rPr>
        <w:t>「</w:t>
      </w:r>
      <w:r w:rsidR="00532A59" w:rsidRPr="008B619A">
        <w:rPr>
          <w:color w:val="000000" w:themeColor="text1"/>
        </w:rPr>
        <w:t>日本2021年1月實施新制</w:t>
      </w:r>
      <w:r w:rsidR="006535D5" w:rsidRPr="008B619A">
        <w:rPr>
          <w:rFonts w:hAnsi="標楷體" w:hint="eastAsia"/>
          <w:color w:val="000000" w:themeColor="text1"/>
        </w:rPr>
        <w:t>『</w:t>
      </w:r>
      <w:r w:rsidR="00532A59" w:rsidRPr="008B619A">
        <w:rPr>
          <w:color w:val="000000" w:themeColor="text1"/>
        </w:rPr>
        <w:t>大學共通入學考試</w:t>
      </w:r>
      <w:r w:rsidR="006535D5" w:rsidRPr="008B619A">
        <w:rPr>
          <w:rFonts w:hAnsi="標楷體" w:hint="eastAsia"/>
          <w:color w:val="000000" w:themeColor="text1"/>
        </w:rPr>
        <w:t>』</w:t>
      </w:r>
      <w:r w:rsidR="00532A59" w:rsidRPr="008B619A">
        <w:rPr>
          <w:color w:val="000000" w:themeColor="text1"/>
        </w:rPr>
        <w:t>，計劃</w:t>
      </w:r>
      <w:r w:rsidR="00110C30" w:rsidRPr="008B619A">
        <w:rPr>
          <w:rFonts w:hint="eastAsia"/>
          <w:color w:val="000000" w:themeColor="text1"/>
        </w:rPr>
        <w:t>將</w:t>
      </w:r>
      <w:r w:rsidR="00532A59" w:rsidRPr="008B619A">
        <w:rPr>
          <w:color w:val="000000" w:themeColor="text1"/>
        </w:rPr>
        <w:t>於2025年度起變更考試科目，除原有之國語、數學等教科外，新增加</w:t>
      </w:r>
      <w:r w:rsidR="0036309F" w:rsidRPr="008B619A">
        <w:rPr>
          <w:rFonts w:hAnsi="標楷體" w:hint="eastAsia"/>
          <w:color w:val="000000" w:themeColor="text1"/>
        </w:rPr>
        <w:t>『</w:t>
      </w:r>
      <w:r w:rsidR="00532A59" w:rsidRPr="008B619A">
        <w:rPr>
          <w:color w:val="000000" w:themeColor="text1"/>
        </w:rPr>
        <w:t>資訊</w:t>
      </w:r>
      <w:r w:rsidR="00CA3D72" w:rsidRPr="008B619A">
        <w:rPr>
          <w:rFonts w:hAnsi="標楷體" w:hint="eastAsia"/>
          <w:color w:val="000000" w:themeColor="text1"/>
        </w:rPr>
        <w:t>』</w:t>
      </w:r>
      <w:r w:rsidR="00532A59" w:rsidRPr="008B619A">
        <w:rPr>
          <w:color w:val="000000" w:themeColor="text1"/>
        </w:rPr>
        <w:t>科，目前就讀國中</w:t>
      </w:r>
      <w:r w:rsidR="00AF1697" w:rsidRPr="008B619A">
        <w:rPr>
          <w:rFonts w:hint="eastAsia"/>
          <w:color w:val="000000" w:themeColor="text1"/>
        </w:rPr>
        <w:t>2</w:t>
      </w:r>
      <w:r w:rsidR="00532A59" w:rsidRPr="008B619A">
        <w:rPr>
          <w:color w:val="000000" w:themeColor="text1"/>
        </w:rPr>
        <w:t>年級之學生屆時適用。</w:t>
      </w:r>
      <w:r w:rsidR="0036309F" w:rsidRPr="008B619A">
        <w:rPr>
          <w:rFonts w:hAnsi="標楷體" w:hint="eastAsia"/>
          <w:color w:val="000000" w:themeColor="text1"/>
        </w:rPr>
        <w:t>『</w:t>
      </w:r>
      <w:r w:rsidR="00532A59" w:rsidRPr="008B619A">
        <w:rPr>
          <w:color w:val="000000" w:themeColor="text1"/>
        </w:rPr>
        <w:t>大學共通入學考試</w:t>
      </w:r>
      <w:r w:rsidR="00590235" w:rsidRPr="008B619A">
        <w:rPr>
          <w:rFonts w:hAnsi="標楷體" w:hint="eastAsia"/>
          <w:color w:val="000000" w:themeColor="text1"/>
        </w:rPr>
        <w:t>』</w:t>
      </w:r>
      <w:r w:rsidR="00532A59" w:rsidRPr="008B619A">
        <w:rPr>
          <w:color w:val="000000" w:themeColor="text1"/>
        </w:rPr>
        <w:t>前身為迄今年實施30年之</w:t>
      </w:r>
      <w:r w:rsidR="0036309F" w:rsidRPr="008B619A">
        <w:rPr>
          <w:rFonts w:hAnsi="標楷體" w:hint="eastAsia"/>
          <w:color w:val="000000" w:themeColor="text1"/>
        </w:rPr>
        <w:t>『</w:t>
      </w:r>
      <w:r w:rsidR="00532A59" w:rsidRPr="008B619A">
        <w:rPr>
          <w:color w:val="000000" w:themeColor="text1"/>
        </w:rPr>
        <w:t>大學入學考試中心測驗</w:t>
      </w:r>
      <w:r w:rsidR="00590235" w:rsidRPr="008B619A">
        <w:rPr>
          <w:rFonts w:hAnsi="標楷體" w:hint="eastAsia"/>
          <w:color w:val="000000" w:themeColor="text1"/>
        </w:rPr>
        <w:t>』</w:t>
      </w:r>
      <w:r w:rsidR="00532A59" w:rsidRPr="008B619A">
        <w:rPr>
          <w:color w:val="000000" w:themeColor="text1"/>
        </w:rPr>
        <w:t>，為測驗考生之思考能力及判斷能力，改革出題方式及內容而成為明年將實施之</w:t>
      </w:r>
      <w:r w:rsidR="0036309F" w:rsidRPr="008B619A">
        <w:rPr>
          <w:rFonts w:hAnsi="標楷體" w:hint="eastAsia"/>
          <w:color w:val="000000" w:themeColor="text1"/>
        </w:rPr>
        <w:t>『</w:t>
      </w:r>
      <w:r w:rsidR="00532A59" w:rsidRPr="008B619A">
        <w:rPr>
          <w:color w:val="000000" w:themeColor="text1"/>
        </w:rPr>
        <w:t>大學共通入學考試</w:t>
      </w:r>
      <w:r w:rsidR="00590235" w:rsidRPr="008B619A">
        <w:rPr>
          <w:rFonts w:hAnsi="標楷體" w:hint="eastAsia"/>
          <w:color w:val="000000" w:themeColor="text1"/>
        </w:rPr>
        <w:t>』</w:t>
      </w:r>
      <w:r w:rsidR="00543AB2" w:rsidRPr="008B619A">
        <w:rPr>
          <w:rFonts w:hint="eastAsia"/>
          <w:color w:val="000000" w:themeColor="text1"/>
        </w:rPr>
        <w:t>」。</w:t>
      </w:r>
      <w:r w:rsidR="00D25F2E" w:rsidRPr="008B619A">
        <w:rPr>
          <w:rFonts w:hint="eastAsia"/>
          <w:color w:val="000000" w:themeColor="text1"/>
        </w:rPr>
        <w:t>足見</w:t>
      </w:r>
      <w:r w:rsidR="00D25F2E" w:rsidRPr="008B619A">
        <w:rPr>
          <w:rFonts w:hint="eastAsia"/>
          <w:color w:val="000000" w:themeColor="text1"/>
          <w:sz w:val="28"/>
        </w:rPr>
        <w:t>，</w:t>
      </w:r>
      <w:r w:rsidR="006E4DDA" w:rsidRPr="008B619A">
        <w:rPr>
          <w:rFonts w:hAnsi="標楷體" w:hint="eastAsia"/>
          <w:color w:val="000000" w:themeColor="text1"/>
        </w:rPr>
        <w:t>向下紮根STEM</w:t>
      </w:r>
      <w:r w:rsidR="006F61E4" w:rsidRPr="008B619A">
        <w:rPr>
          <w:rFonts w:hAnsi="標楷體" w:hint="eastAsia"/>
          <w:color w:val="000000" w:themeColor="text1"/>
        </w:rPr>
        <w:t>領域</w:t>
      </w:r>
      <w:r w:rsidR="00760090" w:rsidRPr="008B619A">
        <w:rPr>
          <w:rFonts w:hAnsi="標楷體" w:hint="eastAsia"/>
          <w:color w:val="000000" w:themeColor="text1"/>
        </w:rPr>
        <w:t>亦成為國際教育趨勢之一，殊值正視。</w:t>
      </w:r>
    </w:p>
    <w:p w14:paraId="5B75C69D" w14:textId="79DC742E" w:rsidR="007D62DC" w:rsidRPr="008B619A" w:rsidRDefault="00CA49EC" w:rsidP="002C6DCE">
      <w:pPr>
        <w:pStyle w:val="3"/>
        <w:rPr>
          <w:color w:val="000000" w:themeColor="text1"/>
        </w:rPr>
      </w:pPr>
      <w:r w:rsidRPr="008B619A">
        <w:rPr>
          <w:rFonts w:hint="eastAsia"/>
          <w:color w:val="000000" w:themeColor="text1"/>
        </w:rPr>
        <w:t>綜上，</w:t>
      </w:r>
      <w:r w:rsidR="007D62DC" w:rsidRPr="008B619A">
        <w:rPr>
          <w:rFonts w:hint="eastAsia"/>
          <w:color w:val="000000" w:themeColor="text1"/>
        </w:rPr>
        <w:t>現行科技及產業發展策略藍圖係將「以人為本」為核心理念之一，彰顯科技與人文之跨領域價值，惟我國近10年博士班學科人數結構趨勢顯示，108學年度科技類學生數為</w:t>
      </w:r>
      <w:r w:rsidR="007D62DC" w:rsidRPr="008B619A">
        <w:rPr>
          <w:color w:val="000000" w:themeColor="text1"/>
        </w:rPr>
        <w:t>16,853</w:t>
      </w:r>
      <w:r w:rsidR="007D62DC" w:rsidRPr="008B619A">
        <w:rPr>
          <w:rFonts w:hint="eastAsia"/>
          <w:color w:val="000000" w:themeColor="text1"/>
        </w:rPr>
        <w:t>人（占</w:t>
      </w:r>
      <w:r w:rsidR="007D62DC" w:rsidRPr="008B619A">
        <w:rPr>
          <w:color w:val="000000" w:themeColor="text1"/>
        </w:rPr>
        <w:t>59.1</w:t>
      </w:r>
      <w:r w:rsidR="007D62DC" w:rsidRPr="008B619A">
        <w:rPr>
          <w:rFonts w:hint="eastAsia"/>
          <w:color w:val="000000" w:themeColor="text1"/>
        </w:rPr>
        <w:t>%），與99學年</w:t>
      </w:r>
      <w:r w:rsidR="007D62DC" w:rsidRPr="008B619A">
        <w:rPr>
          <w:color w:val="000000" w:themeColor="text1"/>
        </w:rPr>
        <w:t>23,261</w:t>
      </w:r>
      <w:r w:rsidR="007D62DC" w:rsidRPr="008B619A">
        <w:rPr>
          <w:rFonts w:hint="eastAsia"/>
          <w:color w:val="000000" w:themeColor="text1"/>
        </w:rPr>
        <w:t>人（占68.1%）相較，已減少6,405人，科技類（即理工領域</w:t>
      </w:r>
      <w:r w:rsidR="007D62DC" w:rsidRPr="008B619A">
        <w:rPr>
          <w:rFonts w:ascii="新細明體" w:eastAsia="新細明體" w:hAnsi="新細明體" w:cs="新細明體" w:hint="eastAsia"/>
          <w:color w:val="000000" w:themeColor="text1"/>
        </w:rPr>
        <w:t>）</w:t>
      </w:r>
      <w:r w:rsidR="007D62DC" w:rsidRPr="008B619A">
        <w:rPr>
          <w:rFonts w:hint="eastAsia"/>
          <w:color w:val="000000" w:themeColor="text1"/>
        </w:rPr>
        <w:t>人才因就業相對容易，且創新創業氛圍濃厚，降低攻讀博士班意願，學生數占比下降9%；人文類及社會類則分別上升5.6%及</w:t>
      </w:r>
      <w:r w:rsidR="007D62DC" w:rsidRPr="008B619A">
        <w:rPr>
          <w:rFonts w:hint="eastAsia"/>
          <w:color w:val="000000" w:themeColor="text1"/>
        </w:rPr>
        <w:lastRenderedPageBreak/>
        <w:t>3.3%，差距逐年提升，</w:t>
      </w:r>
      <w:r w:rsidR="007D62DC" w:rsidRPr="008B619A">
        <w:rPr>
          <w:rFonts w:hAnsi="標楷體" w:hint="eastAsia"/>
          <w:color w:val="000000" w:themeColor="text1"/>
        </w:rPr>
        <w:t>且依</w:t>
      </w:r>
      <w:r w:rsidR="007D62DC" w:rsidRPr="008B619A">
        <w:rPr>
          <w:rFonts w:hAnsi="標楷體"/>
          <w:color w:val="000000" w:themeColor="text1"/>
        </w:rPr>
        <w:t>瑞士洛桑管理學院（IMD）</w:t>
      </w:r>
      <w:r w:rsidR="007D62DC" w:rsidRPr="008B619A">
        <w:rPr>
          <w:rFonts w:hAnsi="標楷體" w:hint="eastAsia"/>
          <w:color w:val="000000" w:themeColor="text1"/>
        </w:rPr>
        <w:t>「2020年IMD世界人才排名報告」資料顯示，我國學校科學教育STEM領域之大學畢業生占比，自2019年33.2%降至2020年32.9%，顯示數位人才培育仍待強化，況</w:t>
      </w:r>
      <w:r w:rsidR="007D62DC" w:rsidRPr="008B619A">
        <w:rPr>
          <w:rFonts w:hint="eastAsia"/>
          <w:color w:val="000000" w:themeColor="text1"/>
        </w:rPr>
        <w:t>市場雖趨勢逐漸趨向跨域整合學習，並導入國際視野，</w:t>
      </w:r>
      <w:r w:rsidR="007D62DC" w:rsidRPr="008B619A">
        <w:rPr>
          <w:rFonts w:hint="eastAsia"/>
          <w:color w:val="000000" w:themeColor="text1"/>
          <w:szCs w:val="32"/>
        </w:rPr>
        <w:t>然</w:t>
      </w:r>
      <w:r w:rsidR="007D62DC" w:rsidRPr="008B619A">
        <w:rPr>
          <w:rFonts w:hint="eastAsia"/>
          <w:color w:val="000000" w:themeColor="text1"/>
        </w:rPr>
        <w:t>整合型博士領域之相對機會未見明顯提升，</w:t>
      </w:r>
      <w:r w:rsidR="007D62DC" w:rsidRPr="008B619A">
        <w:rPr>
          <w:rFonts w:hint="eastAsia"/>
          <w:color w:val="000000" w:themeColor="text1"/>
          <w:szCs w:val="32"/>
        </w:rPr>
        <w:t>除產業科技領域博士就業尚無虞外，</w:t>
      </w:r>
      <w:r w:rsidR="007D62DC" w:rsidRPr="008B619A">
        <w:rPr>
          <w:rFonts w:hint="eastAsia"/>
          <w:color w:val="000000" w:themeColor="text1"/>
        </w:rPr>
        <w:t>未來強調科技人文共融之前提，宜紮根STEM教育，培育教師</w:t>
      </w:r>
      <w:r w:rsidR="0035679C" w:rsidRPr="008B619A">
        <w:rPr>
          <w:rFonts w:hint="eastAsia"/>
          <w:color w:val="000000" w:themeColor="text1"/>
        </w:rPr>
        <w:t>教導跨學科學習技能</w:t>
      </w:r>
      <w:r w:rsidR="007D62DC" w:rsidRPr="008B619A">
        <w:rPr>
          <w:rFonts w:hint="eastAsia"/>
          <w:color w:val="000000" w:themeColor="text1"/>
        </w:rPr>
        <w:t>，</w:t>
      </w:r>
      <w:r w:rsidR="007D62DC" w:rsidRPr="008B619A">
        <w:rPr>
          <w:color w:val="000000" w:themeColor="text1"/>
        </w:rPr>
        <w:t>關注人文創新及其與科技</w:t>
      </w:r>
      <w:r w:rsidR="007D62DC" w:rsidRPr="008B619A">
        <w:rPr>
          <w:rFonts w:hint="eastAsia"/>
          <w:color w:val="000000" w:themeColor="text1"/>
        </w:rPr>
        <w:t>領域</w:t>
      </w:r>
      <w:r w:rsidR="007D62DC" w:rsidRPr="008B619A">
        <w:rPr>
          <w:color w:val="000000" w:themeColor="text1"/>
        </w:rPr>
        <w:t>的連結</w:t>
      </w:r>
      <w:r w:rsidR="007D62DC" w:rsidRPr="008B619A">
        <w:rPr>
          <w:rFonts w:hint="eastAsia"/>
          <w:color w:val="000000" w:themeColor="text1"/>
        </w:rPr>
        <w:t>，</w:t>
      </w:r>
      <w:r w:rsidR="002C6DCE" w:rsidRPr="008B619A">
        <w:rPr>
          <w:rFonts w:hint="eastAsia"/>
          <w:color w:val="000000" w:themeColor="text1"/>
        </w:rPr>
        <w:t>促進人文、科技跨域共融，深耕科研能量，促成產業積極進用跨域博士人才，整合產學研能量與跨域資源，厚植未來高階人才就業及產業之前景。</w:t>
      </w:r>
    </w:p>
    <w:p w14:paraId="4FC819FF" w14:textId="77777777" w:rsidR="005726DB" w:rsidRPr="008B619A" w:rsidRDefault="005726DB" w:rsidP="005726DB">
      <w:pPr>
        <w:rPr>
          <w:color w:val="000000" w:themeColor="text1"/>
        </w:rPr>
      </w:pPr>
    </w:p>
    <w:p w14:paraId="1BDAE01E" w14:textId="7C475369" w:rsidR="00EB076A" w:rsidRPr="008B619A" w:rsidRDefault="0098790D" w:rsidP="00437135">
      <w:pPr>
        <w:pStyle w:val="2"/>
        <w:overflowPunct/>
        <w:ind w:left="1020" w:hanging="680"/>
        <w:rPr>
          <w:color w:val="000000" w:themeColor="text1"/>
        </w:rPr>
      </w:pPr>
      <w:bookmarkStart w:id="78" w:name="_Toc76980139"/>
      <w:bookmarkStart w:id="79" w:name="_Toc59803653"/>
      <w:r w:rsidRPr="008B619A">
        <w:rPr>
          <w:rFonts w:hint="eastAsia"/>
          <w:b/>
          <w:bCs w:val="0"/>
          <w:color w:val="000000" w:themeColor="text1"/>
        </w:rPr>
        <w:t>在中美貿易戰及經濟政治實體威脅下，</w:t>
      </w:r>
      <w:r w:rsidR="00077D61" w:rsidRPr="008B619A">
        <w:rPr>
          <w:rFonts w:hint="eastAsia"/>
          <w:b/>
          <w:bCs w:val="0"/>
          <w:color w:val="000000" w:themeColor="text1"/>
        </w:rPr>
        <w:t>國內博士級理工領域人才整體就業雖尚屬無礙，未見明顯失業困境，惟</w:t>
      </w:r>
      <w:r w:rsidRPr="008B619A">
        <w:rPr>
          <w:rFonts w:hint="eastAsia"/>
          <w:b/>
          <w:bCs w:val="0"/>
          <w:color w:val="000000" w:themeColor="text1"/>
        </w:rPr>
        <w:t>高教人才出走</w:t>
      </w:r>
      <w:r w:rsidR="00BD026F" w:rsidRPr="008B619A">
        <w:rPr>
          <w:rFonts w:hAnsi="標楷體" w:hint="eastAsia"/>
          <w:b/>
          <w:bCs w:val="0"/>
          <w:color w:val="000000" w:themeColor="text1"/>
        </w:rPr>
        <w:t>（</w:t>
      </w:r>
      <w:r w:rsidR="00B80CFF" w:rsidRPr="008B619A">
        <w:rPr>
          <w:rFonts w:hint="eastAsia"/>
          <w:b/>
          <w:bCs w:val="0"/>
          <w:color w:val="000000" w:themeColor="text1"/>
        </w:rPr>
        <w:t>外流</w:t>
      </w:r>
      <w:r w:rsidR="00BD026F" w:rsidRPr="008B619A">
        <w:rPr>
          <w:rFonts w:hAnsi="標楷體" w:hint="eastAsia"/>
          <w:b/>
          <w:bCs w:val="0"/>
          <w:color w:val="000000" w:themeColor="text1"/>
        </w:rPr>
        <w:t>）</w:t>
      </w:r>
      <w:r w:rsidR="002C621C" w:rsidRPr="008B619A">
        <w:rPr>
          <w:rFonts w:hAnsi="標楷體" w:hint="eastAsia"/>
          <w:b/>
          <w:bCs w:val="0"/>
          <w:color w:val="000000" w:themeColor="text1"/>
        </w:rPr>
        <w:t>中國</w:t>
      </w:r>
      <w:r w:rsidR="00AF4441" w:rsidRPr="008B619A">
        <w:rPr>
          <w:rFonts w:hAnsi="標楷體" w:hint="eastAsia"/>
          <w:b/>
          <w:bCs w:val="0"/>
          <w:color w:val="000000" w:themeColor="text1"/>
        </w:rPr>
        <w:t>之</w:t>
      </w:r>
      <w:r w:rsidRPr="008B619A">
        <w:rPr>
          <w:rFonts w:hint="eastAsia"/>
          <w:b/>
          <w:bCs w:val="0"/>
          <w:color w:val="000000" w:themeColor="text1"/>
        </w:rPr>
        <w:t>情況</w:t>
      </w:r>
      <w:r w:rsidR="00975BAB" w:rsidRPr="008B619A">
        <w:rPr>
          <w:rFonts w:hint="eastAsia"/>
          <w:b/>
          <w:bCs w:val="0"/>
          <w:color w:val="000000" w:themeColor="text1"/>
        </w:rPr>
        <w:t>層出不窮</w:t>
      </w:r>
      <w:r w:rsidRPr="008B619A">
        <w:rPr>
          <w:rFonts w:hint="eastAsia"/>
          <w:b/>
          <w:bCs w:val="0"/>
          <w:color w:val="000000" w:themeColor="text1"/>
        </w:rPr>
        <w:t>，除</w:t>
      </w:r>
      <w:r w:rsidR="00077D61" w:rsidRPr="008B619A">
        <w:rPr>
          <w:rFonts w:hint="eastAsia"/>
          <w:b/>
          <w:bCs w:val="0"/>
          <w:color w:val="000000" w:themeColor="text1"/>
        </w:rPr>
        <w:t>理工及科技類</w:t>
      </w:r>
      <w:r w:rsidRPr="008B619A">
        <w:rPr>
          <w:rFonts w:hint="eastAsia"/>
          <w:b/>
          <w:bCs w:val="0"/>
          <w:color w:val="000000" w:themeColor="text1"/>
        </w:rPr>
        <w:t>重點產業高階人才之挖角恐涉及國安或營業秘密等違法事實外，許多</w:t>
      </w:r>
      <w:r w:rsidR="00077D61" w:rsidRPr="008B619A">
        <w:rPr>
          <w:rFonts w:hint="eastAsia"/>
          <w:b/>
          <w:bCs w:val="0"/>
          <w:color w:val="000000" w:themeColor="text1"/>
        </w:rPr>
        <w:t>人文社會領域之</w:t>
      </w:r>
      <w:r w:rsidRPr="008B619A">
        <w:rPr>
          <w:rFonts w:hint="eastAsia"/>
          <w:b/>
          <w:bCs w:val="0"/>
          <w:color w:val="000000" w:themeColor="text1"/>
        </w:rPr>
        <w:t>年輕學者</w:t>
      </w:r>
      <w:r w:rsidR="004F1300" w:rsidRPr="008B619A">
        <w:rPr>
          <w:rFonts w:hint="eastAsia"/>
          <w:b/>
          <w:bCs w:val="0"/>
          <w:color w:val="000000" w:themeColor="text1"/>
        </w:rPr>
        <w:t>恐</w:t>
      </w:r>
      <w:r w:rsidRPr="008B619A">
        <w:rPr>
          <w:rFonts w:hint="eastAsia"/>
          <w:b/>
          <w:bCs w:val="0"/>
          <w:color w:val="000000" w:themeColor="text1"/>
        </w:rPr>
        <w:t>因臺灣教職難覓或求職不易等因素，轉而赴陸或港澳擔任教職</w:t>
      </w:r>
      <w:r w:rsidR="00AE59B2" w:rsidRPr="008B619A">
        <w:rPr>
          <w:rFonts w:hint="eastAsia"/>
          <w:b/>
          <w:bCs w:val="0"/>
          <w:color w:val="000000" w:themeColor="text1"/>
        </w:rPr>
        <w:t>，</w:t>
      </w:r>
      <w:r w:rsidR="00932310" w:rsidRPr="008B619A">
        <w:rPr>
          <w:rFonts w:hint="eastAsia"/>
          <w:b/>
          <w:bCs w:val="0"/>
          <w:color w:val="000000" w:themeColor="text1"/>
        </w:rPr>
        <w:t>108年疑有1</w:t>
      </w:r>
      <w:r w:rsidR="00932310" w:rsidRPr="008B619A">
        <w:rPr>
          <w:b/>
          <w:bCs w:val="0"/>
          <w:color w:val="000000" w:themeColor="text1"/>
        </w:rPr>
        <w:t>,600</w:t>
      </w:r>
      <w:r w:rsidR="00932310" w:rsidRPr="008B619A">
        <w:rPr>
          <w:rFonts w:hint="eastAsia"/>
          <w:b/>
          <w:bCs w:val="0"/>
          <w:color w:val="000000" w:themeColor="text1"/>
        </w:rPr>
        <w:t>名</w:t>
      </w:r>
      <w:r w:rsidR="00EE3DCB" w:rsidRPr="008B619A">
        <w:rPr>
          <w:rFonts w:hint="eastAsia"/>
          <w:b/>
          <w:bCs w:val="0"/>
          <w:color w:val="000000" w:themeColor="text1"/>
        </w:rPr>
        <w:t>在陸臺師</w:t>
      </w:r>
      <w:r w:rsidR="00932310" w:rsidRPr="008B619A">
        <w:rPr>
          <w:rFonts w:hint="eastAsia"/>
          <w:b/>
          <w:bCs w:val="0"/>
          <w:color w:val="000000" w:themeColor="text1"/>
        </w:rPr>
        <w:t>，雖</w:t>
      </w:r>
      <w:r w:rsidR="00CD33B4" w:rsidRPr="008B619A">
        <w:rPr>
          <w:rFonts w:hint="eastAsia"/>
          <w:b/>
          <w:bCs w:val="0"/>
          <w:color w:val="000000" w:themeColor="text1"/>
        </w:rPr>
        <w:t>尚</w:t>
      </w:r>
      <w:r w:rsidR="00932310" w:rsidRPr="008B619A">
        <w:rPr>
          <w:rFonts w:hint="eastAsia"/>
          <w:b/>
          <w:bCs w:val="0"/>
          <w:color w:val="000000" w:themeColor="text1"/>
        </w:rPr>
        <w:t>未見大規模磁吸效應，然</w:t>
      </w:r>
      <w:r w:rsidR="00807F77" w:rsidRPr="008B619A">
        <w:rPr>
          <w:rFonts w:hint="eastAsia"/>
          <w:b/>
          <w:bCs w:val="0"/>
          <w:color w:val="000000" w:themeColor="text1"/>
        </w:rPr>
        <w:t>評估</w:t>
      </w:r>
      <w:r w:rsidR="00932310" w:rsidRPr="008B619A">
        <w:rPr>
          <w:rFonts w:hint="eastAsia"/>
          <w:b/>
          <w:bCs w:val="0"/>
          <w:color w:val="000000" w:themeColor="text1"/>
        </w:rPr>
        <w:t>未來不排除中國將透過互動連結，伺機進行人才磁吸及技術竊取，且渠等待遇</w:t>
      </w:r>
      <w:r w:rsidR="00932310" w:rsidRPr="008B619A">
        <w:rPr>
          <w:rFonts w:hAnsi="標楷體" w:hint="eastAsia"/>
          <w:b/>
          <w:bCs w:val="0"/>
          <w:color w:val="000000" w:themeColor="text1"/>
        </w:rPr>
        <w:t>、</w:t>
      </w:r>
      <w:r w:rsidR="00932310" w:rsidRPr="008B619A">
        <w:rPr>
          <w:rFonts w:hint="eastAsia"/>
          <w:b/>
          <w:bCs w:val="0"/>
          <w:color w:val="000000" w:themeColor="text1"/>
        </w:rPr>
        <w:t>處境及保障堪憂，除任職身分多屬編制外教師(約占目前在陸臺師總人數之95%以上)，與學校簽訂1年或3年一聘之協議書，相關安全資訊及權益透明度</w:t>
      </w:r>
      <w:r w:rsidR="00307551" w:rsidRPr="008B619A">
        <w:rPr>
          <w:rFonts w:hint="eastAsia"/>
          <w:b/>
          <w:bCs w:val="0"/>
          <w:color w:val="000000" w:themeColor="text1"/>
        </w:rPr>
        <w:t>均有</w:t>
      </w:r>
      <w:r w:rsidR="00932310" w:rsidRPr="008B619A">
        <w:rPr>
          <w:rFonts w:hint="eastAsia"/>
          <w:b/>
          <w:bCs w:val="0"/>
          <w:color w:val="000000" w:themeColor="text1"/>
        </w:rPr>
        <w:t>不足；爰</w:t>
      </w:r>
      <w:r w:rsidR="006612F5" w:rsidRPr="008B619A">
        <w:rPr>
          <w:rFonts w:hint="eastAsia"/>
          <w:b/>
          <w:bCs w:val="0"/>
          <w:color w:val="000000" w:themeColor="text1"/>
        </w:rPr>
        <w:t>未來</w:t>
      </w:r>
      <w:r w:rsidR="00932310" w:rsidRPr="008B619A">
        <w:rPr>
          <w:rFonts w:hint="eastAsia"/>
          <w:b/>
          <w:bCs w:val="0"/>
          <w:color w:val="000000" w:themeColor="text1"/>
        </w:rPr>
        <w:t>如何嚴防重點高教人才外流，</w:t>
      </w:r>
      <w:r w:rsidR="00B71C2C" w:rsidRPr="008B619A">
        <w:rPr>
          <w:rFonts w:hint="eastAsia"/>
          <w:b/>
          <w:bCs w:val="0"/>
          <w:color w:val="000000" w:themeColor="text1"/>
        </w:rPr>
        <w:t>避免</w:t>
      </w:r>
      <w:r w:rsidR="00932310" w:rsidRPr="008B619A">
        <w:rPr>
          <w:rFonts w:hint="eastAsia"/>
          <w:b/>
          <w:bCs w:val="0"/>
          <w:color w:val="000000" w:themeColor="text1"/>
        </w:rPr>
        <w:t>減損我國學術研發能量，甚成為協助陸方提升整體學研能量、產業</w:t>
      </w:r>
      <w:r w:rsidR="000C7A92" w:rsidRPr="008B619A">
        <w:rPr>
          <w:rFonts w:hint="eastAsia"/>
          <w:b/>
          <w:bCs w:val="0"/>
          <w:color w:val="000000" w:themeColor="text1"/>
        </w:rPr>
        <w:t>及技術</w:t>
      </w:r>
      <w:r w:rsidR="00932310" w:rsidRPr="008B619A">
        <w:rPr>
          <w:rFonts w:hint="eastAsia"/>
          <w:b/>
          <w:bCs w:val="0"/>
          <w:color w:val="000000" w:themeColor="text1"/>
        </w:rPr>
        <w:t>升級之風險，此與我國文化</w:t>
      </w:r>
      <w:r w:rsidR="00932310" w:rsidRPr="008B619A">
        <w:rPr>
          <w:rFonts w:hAnsi="標楷體" w:hint="eastAsia"/>
          <w:b/>
          <w:bCs w:val="0"/>
          <w:color w:val="000000" w:themeColor="text1"/>
        </w:rPr>
        <w:t>、</w:t>
      </w:r>
      <w:r w:rsidR="00932310" w:rsidRPr="008B619A">
        <w:rPr>
          <w:rFonts w:hint="eastAsia"/>
          <w:b/>
          <w:bCs w:val="0"/>
          <w:color w:val="000000" w:themeColor="text1"/>
        </w:rPr>
        <w:t>經濟</w:t>
      </w:r>
      <w:r w:rsidR="00932310" w:rsidRPr="008B619A">
        <w:rPr>
          <w:rFonts w:hAnsi="標楷體" w:hint="eastAsia"/>
          <w:b/>
          <w:bCs w:val="0"/>
          <w:color w:val="000000" w:themeColor="text1"/>
        </w:rPr>
        <w:t>、</w:t>
      </w:r>
      <w:r w:rsidR="00932310" w:rsidRPr="008B619A">
        <w:rPr>
          <w:rFonts w:hint="eastAsia"/>
          <w:b/>
          <w:bCs w:val="0"/>
          <w:color w:val="000000" w:themeColor="text1"/>
        </w:rPr>
        <w:t>產業發展政策及國家安全息息相關，宜予高度重視；政府</w:t>
      </w:r>
      <w:r w:rsidR="00932310" w:rsidRPr="008B619A">
        <w:rPr>
          <w:rFonts w:hint="eastAsia"/>
          <w:b/>
          <w:bCs w:val="0"/>
          <w:color w:val="000000" w:themeColor="text1"/>
        </w:rPr>
        <w:lastRenderedPageBreak/>
        <w:t>允宜強化橫向聯繫及權責分工，並</w:t>
      </w:r>
      <w:r w:rsidR="00C75293" w:rsidRPr="008B619A">
        <w:rPr>
          <w:rFonts w:hint="eastAsia"/>
          <w:b/>
          <w:bCs w:val="0"/>
          <w:color w:val="000000" w:themeColor="text1"/>
        </w:rPr>
        <w:t>指定</w:t>
      </w:r>
      <w:r w:rsidR="00932310" w:rsidRPr="008B619A">
        <w:rPr>
          <w:rFonts w:hint="eastAsia"/>
          <w:b/>
          <w:bCs w:val="0"/>
          <w:color w:val="000000" w:themeColor="text1"/>
        </w:rPr>
        <w:t>單一調查</w:t>
      </w:r>
      <w:r w:rsidR="00583726" w:rsidRPr="008B619A">
        <w:rPr>
          <w:rFonts w:hint="eastAsia"/>
          <w:b/>
          <w:bCs w:val="0"/>
          <w:color w:val="000000" w:themeColor="text1"/>
        </w:rPr>
        <w:t>單位</w:t>
      </w:r>
      <w:r w:rsidR="00932310" w:rsidRPr="008B619A">
        <w:rPr>
          <w:rFonts w:hint="eastAsia"/>
          <w:b/>
          <w:bCs w:val="0"/>
          <w:color w:val="000000" w:themeColor="text1"/>
        </w:rPr>
        <w:t>或專責</w:t>
      </w:r>
      <w:r w:rsidR="00583726" w:rsidRPr="008B619A">
        <w:rPr>
          <w:rFonts w:hint="eastAsia"/>
          <w:b/>
          <w:bCs w:val="0"/>
          <w:color w:val="000000" w:themeColor="text1"/>
        </w:rPr>
        <w:t>窗口</w:t>
      </w:r>
      <w:r w:rsidR="00932310" w:rsidRPr="008B619A">
        <w:rPr>
          <w:rFonts w:hint="eastAsia"/>
          <w:b/>
          <w:bCs w:val="0"/>
          <w:color w:val="000000" w:themeColor="text1"/>
        </w:rPr>
        <w:t>，以全盤掌握人才出走因素</w:t>
      </w:r>
      <w:r w:rsidR="00932310" w:rsidRPr="008B619A">
        <w:rPr>
          <w:rFonts w:hAnsi="標楷體" w:hint="eastAsia"/>
          <w:b/>
          <w:bCs w:val="0"/>
          <w:color w:val="000000" w:themeColor="text1"/>
        </w:rPr>
        <w:t>、</w:t>
      </w:r>
      <w:r w:rsidR="00932310" w:rsidRPr="008B619A">
        <w:rPr>
          <w:rFonts w:hint="eastAsia"/>
          <w:b/>
          <w:bCs w:val="0"/>
          <w:color w:val="000000" w:themeColor="text1"/>
        </w:rPr>
        <w:t>現況以茲</w:t>
      </w:r>
      <w:r w:rsidR="00E12AE6" w:rsidRPr="008B619A">
        <w:rPr>
          <w:rFonts w:hint="eastAsia"/>
          <w:b/>
          <w:bCs w:val="0"/>
          <w:color w:val="000000" w:themeColor="text1"/>
        </w:rPr>
        <w:t>統籌評估</w:t>
      </w:r>
      <w:r w:rsidR="00932310" w:rsidRPr="008B619A">
        <w:rPr>
          <w:rFonts w:hint="eastAsia"/>
          <w:b/>
          <w:bCs w:val="0"/>
          <w:color w:val="000000" w:themeColor="text1"/>
        </w:rPr>
        <w:t>因應，</w:t>
      </w:r>
      <w:r w:rsidR="00B73844" w:rsidRPr="008B619A">
        <w:rPr>
          <w:rFonts w:hint="eastAsia"/>
          <w:b/>
          <w:bCs w:val="0"/>
          <w:color w:val="000000" w:themeColor="text1"/>
        </w:rPr>
        <w:t>並能</w:t>
      </w:r>
      <w:r w:rsidR="00932310" w:rsidRPr="008B619A">
        <w:rPr>
          <w:rFonts w:hint="eastAsia"/>
          <w:b/>
          <w:bCs w:val="0"/>
          <w:color w:val="000000" w:themeColor="text1"/>
        </w:rPr>
        <w:t>及時提供關懷或協助，整體調查</w:t>
      </w:r>
      <w:r w:rsidR="0099653E" w:rsidRPr="008B619A">
        <w:rPr>
          <w:rFonts w:hint="eastAsia"/>
          <w:b/>
          <w:bCs w:val="0"/>
          <w:color w:val="000000" w:themeColor="text1"/>
        </w:rPr>
        <w:t>方法</w:t>
      </w:r>
      <w:r w:rsidR="00932310" w:rsidRPr="008B619A">
        <w:rPr>
          <w:rFonts w:hint="eastAsia"/>
          <w:b/>
          <w:bCs w:val="0"/>
          <w:color w:val="000000" w:themeColor="text1"/>
        </w:rPr>
        <w:t>及配套機制亟待儘速思忖建立</w:t>
      </w:r>
      <w:bookmarkEnd w:id="78"/>
    </w:p>
    <w:p w14:paraId="63F19E0D" w14:textId="5A87E900" w:rsidR="00B44E4F" w:rsidRPr="008B619A" w:rsidRDefault="00B44E4F" w:rsidP="008F3405">
      <w:pPr>
        <w:pStyle w:val="3"/>
        <w:rPr>
          <w:color w:val="000000" w:themeColor="text1"/>
        </w:rPr>
      </w:pPr>
      <w:r w:rsidRPr="008B619A">
        <w:rPr>
          <w:rFonts w:hint="eastAsia"/>
          <w:color w:val="000000" w:themeColor="text1"/>
        </w:rPr>
        <w:t>按</w:t>
      </w:r>
      <w:r w:rsidR="00C50FA1" w:rsidRPr="008B619A">
        <w:rPr>
          <w:rFonts w:hAnsi="標楷體" w:hint="eastAsia"/>
          <w:color w:val="000000" w:themeColor="text1"/>
        </w:rPr>
        <w:t>「</w:t>
      </w:r>
      <w:r w:rsidRPr="008B619A">
        <w:rPr>
          <w:rFonts w:hint="eastAsia"/>
          <w:color w:val="000000" w:themeColor="text1"/>
        </w:rPr>
        <w:t>臺灣地區與大陸地區人民關係條例（下稱兩岸條例）</w:t>
      </w:r>
      <w:r w:rsidR="00C50FA1" w:rsidRPr="008B619A">
        <w:rPr>
          <w:rFonts w:hAnsi="標楷體" w:hint="eastAsia"/>
          <w:color w:val="000000" w:themeColor="text1"/>
        </w:rPr>
        <w:t>」</w:t>
      </w:r>
      <w:r w:rsidRPr="008B619A">
        <w:rPr>
          <w:rFonts w:hint="eastAsia"/>
          <w:color w:val="000000" w:themeColor="text1"/>
        </w:rPr>
        <w:t>第</w:t>
      </w:r>
      <w:r w:rsidRPr="008B619A">
        <w:rPr>
          <w:color w:val="000000" w:themeColor="text1"/>
        </w:rPr>
        <w:t>33</w:t>
      </w:r>
      <w:r w:rsidRPr="008B619A">
        <w:rPr>
          <w:rFonts w:hint="eastAsia"/>
          <w:color w:val="000000" w:themeColor="text1"/>
        </w:rPr>
        <w:t>條之</w:t>
      </w:r>
      <w:r w:rsidRPr="008B619A">
        <w:rPr>
          <w:color w:val="000000" w:themeColor="text1"/>
        </w:rPr>
        <w:t>1</w:t>
      </w:r>
      <w:r w:rsidRPr="008B619A">
        <w:rPr>
          <w:rFonts w:hint="eastAsia"/>
          <w:color w:val="000000" w:themeColor="text1"/>
        </w:rPr>
        <w:t>，臺灣地區人民、法人、團體或其他機構，非經各該主管機關許可，不得與大陸地區黨務、軍事、行政之機關（構）進行合作行為。</w:t>
      </w:r>
      <w:r w:rsidR="00151250" w:rsidRPr="008B619A">
        <w:rPr>
          <w:rFonts w:hint="eastAsia"/>
          <w:color w:val="000000" w:themeColor="text1"/>
        </w:rPr>
        <w:t>教育部指稱，</w:t>
      </w:r>
      <w:r w:rsidR="00243765" w:rsidRPr="008B619A">
        <w:rPr>
          <w:rFonts w:hint="eastAsia"/>
          <w:color w:val="000000" w:themeColor="text1"/>
        </w:rPr>
        <w:t>國內大專校院人員赴陸僅限於常態性之短期客座講學</w:t>
      </w:r>
      <w:r w:rsidR="0080654E" w:rsidRPr="008B619A">
        <w:rPr>
          <w:rFonts w:hint="eastAsia"/>
          <w:color w:val="000000" w:themeColor="text1"/>
        </w:rPr>
        <w:t>，如該</w:t>
      </w:r>
      <w:r w:rsidR="00243765" w:rsidRPr="008B619A">
        <w:rPr>
          <w:rFonts w:hint="eastAsia"/>
          <w:color w:val="000000" w:themeColor="text1"/>
        </w:rPr>
        <w:t>部主動發現或接獲檢舉等疑似個案，應先由任職學校或機構參考各領域學術交流之合理方式，並查核是否完備請假手續及交流具體事實後，視個案認定，再由主管機關作適法性之監督</w:t>
      </w:r>
      <w:r w:rsidR="00A36B5A" w:rsidRPr="008B619A">
        <w:rPr>
          <w:rFonts w:hint="eastAsia"/>
          <w:color w:val="000000" w:themeColor="text1"/>
        </w:rPr>
        <w:t>。</w:t>
      </w:r>
    </w:p>
    <w:p w14:paraId="753C418A" w14:textId="487871C1" w:rsidR="008F3405" w:rsidRPr="008B619A" w:rsidRDefault="00B44E4F" w:rsidP="008F3405">
      <w:pPr>
        <w:pStyle w:val="3"/>
        <w:rPr>
          <w:color w:val="000000" w:themeColor="text1"/>
        </w:rPr>
      </w:pPr>
      <w:r w:rsidRPr="008B619A">
        <w:rPr>
          <w:rFonts w:hint="eastAsia"/>
          <w:color w:val="000000" w:themeColor="text1"/>
        </w:rPr>
        <w:t>另，</w:t>
      </w:r>
      <w:r w:rsidR="00744D20" w:rsidRPr="008B619A">
        <w:rPr>
          <w:rFonts w:hint="eastAsia"/>
          <w:color w:val="000000" w:themeColor="text1"/>
        </w:rPr>
        <w:t>依據現行兩岸法規、交流政策及原則，</w:t>
      </w:r>
      <w:r w:rsidR="008F3405" w:rsidRPr="008B619A">
        <w:rPr>
          <w:rFonts w:hint="eastAsia"/>
          <w:color w:val="000000" w:themeColor="text1"/>
        </w:rPr>
        <w:t>針對大學教師赴陸任教之相關政策演進如下</w:t>
      </w:r>
      <w:r w:rsidR="00B162B2" w:rsidRPr="008B619A">
        <w:rPr>
          <w:rFonts w:hint="eastAsia"/>
          <w:color w:val="000000" w:themeColor="text1"/>
        </w:rPr>
        <w:t>所述</w:t>
      </w:r>
      <w:r w:rsidR="008F3405" w:rsidRPr="008B619A">
        <w:rPr>
          <w:rFonts w:hint="eastAsia"/>
          <w:color w:val="000000" w:themeColor="text1"/>
        </w:rPr>
        <w:t>：</w:t>
      </w:r>
    </w:p>
    <w:p w14:paraId="65DD5BD1" w14:textId="35BEA4F4" w:rsidR="00BB1976" w:rsidRPr="008B619A" w:rsidRDefault="006D52E7" w:rsidP="008F3405">
      <w:pPr>
        <w:pStyle w:val="4"/>
        <w:rPr>
          <w:color w:val="000000" w:themeColor="text1"/>
        </w:rPr>
      </w:pPr>
      <w:r w:rsidRPr="008B619A">
        <w:rPr>
          <w:rFonts w:hint="eastAsia"/>
          <w:color w:val="000000" w:themeColor="text1"/>
        </w:rPr>
        <w:t>按</w:t>
      </w:r>
      <w:r w:rsidR="00984A54" w:rsidRPr="008B619A">
        <w:rPr>
          <w:rFonts w:hint="eastAsia"/>
          <w:color w:val="000000" w:themeColor="text1"/>
        </w:rPr>
        <w:t>「教育人員任用條例」第</w:t>
      </w:r>
      <w:r w:rsidR="00072297" w:rsidRPr="008B619A">
        <w:rPr>
          <w:rFonts w:hint="eastAsia"/>
          <w:color w:val="000000" w:themeColor="text1"/>
        </w:rPr>
        <w:t>34條規定，</w:t>
      </w:r>
      <w:r w:rsidR="006F0E56" w:rsidRPr="008B619A">
        <w:rPr>
          <w:rFonts w:hAnsi="標楷體" w:hint="eastAsia"/>
          <w:color w:val="000000" w:themeColor="text1"/>
        </w:rPr>
        <w:t>「</w:t>
      </w:r>
      <w:r w:rsidR="00072297" w:rsidRPr="008B619A">
        <w:rPr>
          <w:rFonts w:hint="eastAsia"/>
          <w:color w:val="000000" w:themeColor="text1"/>
        </w:rPr>
        <w:t>專任教育人員，除法令另有規定外，不得在外兼課或兼職。</w:t>
      </w:r>
      <w:r w:rsidR="006F0E56" w:rsidRPr="008B619A">
        <w:rPr>
          <w:rFonts w:hAnsi="標楷體" w:hint="eastAsia"/>
          <w:color w:val="000000" w:themeColor="text1"/>
        </w:rPr>
        <w:t>」</w:t>
      </w:r>
      <w:r w:rsidR="00D50DD0" w:rsidRPr="008B619A">
        <w:rPr>
          <w:rFonts w:hint="eastAsia"/>
          <w:color w:val="000000" w:themeColor="text1"/>
        </w:rPr>
        <w:t>另依</w:t>
      </w:r>
      <w:r w:rsidR="00297A5E" w:rsidRPr="008B619A">
        <w:rPr>
          <w:rFonts w:hint="eastAsia"/>
          <w:color w:val="000000" w:themeColor="text1"/>
        </w:rPr>
        <w:t>教育</w:t>
      </w:r>
      <w:r w:rsidR="00D50DD0" w:rsidRPr="008B619A">
        <w:rPr>
          <w:rFonts w:hint="eastAsia"/>
          <w:color w:val="000000" w:themeColor="text1"/>
        </w:rPr>
        <w:t>部107年6月20日臺教文（二）字第1070089425號函略以，我國現職公私立專任教師，不得應聘赴</w:t>
      </w:r>
      <w:r w:rsidR="002C621C" w:rsidRPr="008B619A">
        <w:rPr>
          <w:rFonts w:hint="eastAsia"/>
          <w:color w:val="000000" w:themeColor="text1"/>
        </w:rPr>
        <w:t>中國</w:t>
      </w:r>
      <w:r w:rsidR="00D50DD0" w:rsidRPr="008B619A">
        <w:rPr>
          <w:rFonts w:hint="eastAsia"/>
          <w:color w:val="000000" w:themeColor="text1"/>
        </w:rPr>
        <w:t>任教</w:t>
      </w:r>
      <w:r w:rsidR="005D67A0" w:rsidRPr="008B619A">
        <w:rPr>
          <w:rFonts w:hint="eastAsia"/>
          <w:color w:val="000000" w:themeColor="text1"/>
        </w:rPr>
        <w:t>。</w:t>
      </w:r>
    </w:p>
    <w:p w14:paraId="1032AD47" w14:textId="1F272B25" w:rsidR="008F3405" w:rsidRPr="008B619A" w:rsidRDefault="00A46454" w:rsidP="008F3405">
      <w:pPr>
        <w:pStyle w:val="4"/>
        <w:rPr>
          <w:color w:val="000000" w:themeColor="text1"/>
        </w:rPr>
      </w:pPr>
      <w:r w:rsidRPr="008B619A">
        <w:rPr>
          <w:rFonts w:hint="eastAsia"/>
          <w:color w:val="000000" w:themeColor="text1"/>
        </w:rPr>
        <w:t>行政院107年3月16日針對「中國大陸對臺31項措施」政策指示，我國公私立科研機構及大學校院現職專任教師及相關人員，未經許可不得參與</w:t>
      </w:r>
      <w:r w:rsidR="002C621C" w:rsidRPr="008B619A">
        <w:rPr>
          <w:rFonts w:hint="eastAsia"/>
          <w:color w:val="000000" w:themeColor="text1"/>
        </w:rPr>
        <w:t>中國</w:t>
      </w:r>
      <w:r w:rsidRPr="008B619A">
        <w:rPr>
          <w:rFonts w:hint="eastAsia"/>
          <w:color w:val="000000" w:themeColor="text1"/>
        </w:rPr>
        <w:t>各項國家基金及國家重點研發計畫（含千人計畫、萬人計畫）。陸委會已於同年4月23日請教育部、科技部函轉前揭行政院政策指示，該二部已於4月及6月函轉各公私立科研機構及大學院校。</w:t>
      </w:r>
    </w:p>
    <w:p w14:paraId="367F6E5D" w14:textId="1B509460" w:rsidR="0067539E" w:rsidRPr="008B619A" w:rsidRDefault="0067539E" w:rsidP="001E7F82">
      <w:pPr>
        <w:pStyle w:val="3"/>
        <w:rPr>
          <w:color w:val="000000" w:themeColor="text1"/>
        </w:rPr>
      </w:pPr>
      <w:r w:rsidRPr="008B619A">
        <w:rPr>
          <w:rFonts w:hint="eastAsia"/>
          <w:color w:val="000000" w:themeColor="text1"/>
        </w:rPr>
        <w:t>近年</w:t>
      </w:r>
      <w:r w:rsidR="002C621C" w:rsidRPr="008B619A">
        <w:rPr>
          <w:rFonts w:hint="eastAsia"/>
          <w:color w:val="000000" w:themeColor="text1"/>
        </w:rPr>
        <w:t>中國</w:t>
      </w:r>
      <w:r w:rsidRPr="008B619A">
        <w:rPr>
          <w:rFonts w:hint="eastAsia"/>
          <w:color w:val="000000" w:themeColor="text1"/>
        </w:rPr>
        <w:t>為擴大對臺人才引進，並吸引臺灣高等教育人才赴陸任教，相繼提出多項「招才引智」政策</w:t>
      </w:r>
      <w:r w:rsidRPr="008B619A">
        <w:rPr>
          <w:rFonts w:hint="eastAsia"/>
          <w:color w:val="000000" w:themeColor="text1"/>
        </w:rPr>
        <w:lastRenderedPageBreak/>
        <w:t>措施，期提升臺灣青年博士赴陸任教之誘因，分述如下</w:t>
      </w:r>
      <w:r w:rsidR="00A45758" w:rsidRPr="008B619A">
        <w:rPr>
          <w:rFonts w:hint="eastAsia"/>
          <w:color w:val="000000" w:themeColor="text1"/>
        </w:rPr>
        <w:t>：</w:t>
      </w:r>
    </w:p>
    <w:p w14:paraId="78F9E61D" w14:textId="77777777" w:rsidR="000B2D48" w:rsidRPr="008B619A" w:rsidRDefault="000B2D48" w:rsidP="000B2D48">
      <w:pPr>
        <w:pStyle w:val="4"/>
        <w:rPr>
          <w:color w:val="000000" w:themeColor="text1"/>
        </w:rPr>
      </w:pPr>
      <w:r w:rsidRPr="008B619A">
        <w:rPr>
          <w:rFonts w:hint="eastAsia"/>
          <w:color w:val="000000" w:themeColor="text1"/>
        </w:rPr>
        <w:t>推動人才引進計畫措施：</w:t>
      </w:r>
    </w:p>
    <w:p w14:paraId="25FDED8F" w14:textId="23364F03" w:rsidR="000B2D48" w:rsidRPr="008B619A" w:rsidRDefault="000B2D48" w:rsidP="000B2D48">
      <w:pPr>
        <w:pStyle w:val="5"/>
        <w:rPr>
          <w:color w:val="000000" w:themeColor="text1"/>
        </w:rPr>
      </w:pPr>
      <w:r w:rsidRPr="008B619A">
        <w:rPr>
          <w:rFonts w:hint="eastAsia"/>
          <w:color w:val="000000" w:themeColor="text1"/>
        </w:rPr>
        <w:t>106年10月16日「十九大」</w:t>
      </w:r>
      <w:r w:rsidR="00EA0F3A" w:rsidRPr="008B619A">
        <w:rPr>
          <w:rFonts w:hint="eastAsia"/>
          <w:color w:val="000000" w:themeColor="text1"/>
        </w:rPr>
        <w:t>習近平</w:t>
      </w:r>
      <w:r w:rsidRPr="008B619A">
        <w:rPr>
          <w:rFonts w:hint="eastAsia"/>
          <w:color w:val="000000" w:themeColor="text1"/>
        </w:rPr>
        <w:t>政治報告時指出，加快建設「人才強國」，並積極實行更加開放、有效的人才政策。同年10月17日，福建省教育廳公布「關於進一步深化閩臺教育交流與合作的若干意見」，內容提及將在109年前，引進1,000名臺灣師資，並支持在福建高校任教的全職臺師開展科學研究和技術開發，可承接</w:t>
      </w:r>
      <w:r w:rsidR="002C621C" w:rsidRPr="008B619A">
        <w:rPr>
          <w:rFonts w:hint="eastAsia"/>
          <w:color w:val="000000" w:themeColor="text1"/>
        </w:rPr>
        <w:t>中國</w:t>
      </w:r>
      <w:r w:rsidRPr="008B619A">
        <w:rPr>
          <w:rFonts w:hint="eastAsia"/>
          <w:color w:val="000000" w:themeColor="text1"/>
        </w:rPr>
        <w:t>國家級科研專案。另依陸媒報導，104年至106年，福建省安排專項資金人民幣3,000餘萬元，資助從臺灣引進全職教師338人次，其中99</w:t>
      </w:r>
      <w:r w:rsidR="00EA0F3A" w:rsidRPr="008B619A">
        <w:rPr>
          <w:rFonts w:hint="eastAsia"/>
          <w:color w:val="000000" w:themeColor="text1"/>
        </w:rPr>
        <w:t>%</w:t>
      </w:r>
      <w:r w:rsidRPr="008B619A">
        <w:rPr>
          <w:rFonts w:hint="eastAsia"/>
          <w:color w:val="000000" w:themeColor="text1"/>
        </w:rPr>
        <w:t>以上具有博士學位，52</w:t>
      </w:r>
      <w:r w:rsidR="00EA0F3A" w:rsidRPr="008B619A">
        <w:rPr>
          <w:rFonts w:hint="eastAsia"/>
          <w:color w:val="000000" w:themeColor="text1"/>
        </w:rPr>
        <w:t>%</w:t>
      </w:r>
      <w:r w:rsidRPr="008B619A">
        <w:rPr>
          <w:rFonts w:hint="eastAsia"/>
          <w:color w:val="000000" w:themeColor="text1"/>
        </w:rPr>
        <w:t>以上取得副教授以上職位，促進兩岸高等教育領域的交流合作。</w:t>
      </w:r>
    </w:p>
    <w:p w14:paraId="198F46B7" w14:textId="544A858A" w:rsidR="000B2D48" w:rsidRPr="008B619A" w:rsidRDefault="000B2D48" w:rsidP="000B2D48">
      <w:pPr>
        <w:pStyle w:val="5"/>
        <w:rPr>
          <w:color w:val="000000" w:themeColor="text1"/>
        </w:rPr>
      </w:pPr>
      <w:r w:rsidRPr="008B619A">
        <w:rPr>
          <w:rFonts w:hint="eastAsia"/>
          <w:color w:val="000000" w:themeColor="text1"/>
        </w:rPr>
        <w:t>自109年7月1日起，</w:t>
      </w:r>
      <w:r w:rsidR="002C621C" w:rsidRPr="008B619A">
        <w:rPr>
          <w:rFonts w:hint="eastAsia"/>
          <w:color w:val="000000" w:themeColor="text1"/>
        </w:rPr>
        <w:t>中國</w:t>
      </w:r>
      <w:r w:rsidRPr="008B619A">
        <w:rPr>
          <w:rFonts w:hint="eastAsia"/>
          <w:color w:val="000000" w:themeColor="text1"/>
        </w:rPr>
        <w:t>福建省實施「福建省高層次人才認定和支持辦法（試行）」，整合該省既有人才引進政策，並針對我高端人才提供優惠措施，吸引其赴陸任職（例如獲選該省「引進臺灣高層次人才百人計畫」者可申請該辦法之獎補助，且申請人不受年齡限制等）。</w:t>
      </w:r>
    </w:p>
    <w:p w14:paraId="2898A410" w14:textId="77777777" w:rsidR="000B2D48" w:rsidRPr="008B619A" w:rsidRDefault="000B2D48" w:rsidP="000B2D48">
      <w:pPr>
        <w:pStyle w:val="4"/>
        <w:rPr>
          <w:color w:val="000000" w:themeColor="text1"/>
        </w:rPr>
      </w:pPr>
      <w:r w:rsidRPr="008B619A">
        <w:rPr>
          <w:rFonts w:hint="eastAsia"/>
          <w:color w:val="000000" w:themeColor="text1"/>
        </w:rPr>
        <w:t>舉辦師資招聘及交流活動：</w:t>
      </w:r>
    </w:p>
    <w:p w14:paraId="02DABB87" w14:textId="77777777" w:rsidR="000B2D48" w:rsidRPr="008B619A" w:rsidRDefault="000B2D48" w:rsidP="000B2D48">
      <w:pPr>
        <w:pStyle w:val="5"/>
        <w:rPr>
          <w:color w:val="000000" w:themeColor="text1"/>
        </w:rPr>
      </w:pPr>
      <w:r w:rsidRPr="008B619A">
        <w:rPr>
          <w:rFonts w:hint="eastAsia"/>
          <w:color w:val="000000" w:themeColor="text1"/>
        </w:rPr>
        <w:t>中共福建省人力資源和社會保障廳等單位自106年起辦理「臺灣博士人才交流合作對接會」，由陸方博士後科研流動（工作）站或在閩高校與我博士人才洽談。</w:t>
      </w:r>
    </w:p>
    <w:p w14:paraId="1C58E8FC" w14:textId="77777777" w:rsidR="000B2D48" w:rsidRPr="008B619A" w:rsidRDefault="000B2D48" w:rsidP="000B2D48">
      <w:pPr>
        <w:pStyle w:val="5"/>
        <w:rPr>
          <w:color w:val="000000" w:themeColor="text1"/>
        </w:rPr>
      </w:pPr>
      <w:r w:rsidRPr="008B619A">
        <w:rPr>
          <w:rFonts w:hint="eastAsia"/>
          <w:color w:val="000000" w:themeColor="text1"/>
        </w:rPr>
        <w:t>上海市臺灣同胞聯誼會、上海市海外聯誼會滬臺交流委員會聯合舉辦自106年起辦理「英才匯聚、滬上築夢－臺灣優秀博士上海高校交流會」，邀請我博士或在學博士生赴陸，並安排與</w:t>
      </w:r>
      <w:r w:rsidRPr="008B619A">
        <w:rPr>
          <w:rFonts w:hint="eastAsia"/>
          <w:color w:val="000000" w:themeColor="text1"/>
        </w:rPr>
        <w:lastRenderedPageBreak/>
        <w:t>當地高校直接面談。</w:t>
      </w:r>
    </w:p>
    <w:p w14:paraId="19EED535" w14:textId="5FC706FD" w:rsidR="000B2D48" w:rsidRPr="008B619A" w:rsidRDefault="002C621C" w:rsidP="000B2D48">
      <w:pPr>
        <w:pStyle w:val="5"/>
        <w:rPr>
          <w:color w:val="000000" w:themeColor="text1"/>
        </w:rPr>
      </w:pPr>
      <w:r w:rsidRPr="008B619A">
        <w:rPr>
          <w:rFonts w:hint="eastAsia"/>
          <w:color w:val="000000" w:themeColor="text1"/>
        </w:rPr>
        <w:t>中國</w:t>
      </w:r>
      <w:r w:rsidR="000B2D48" w:rsidRPr="008B619A">
        <w:rPr>
          <w:rFonts w:hint="eastAsia"/>
          <w:color w:val="000000" w:themeColor="text1"/>
        </w:rPr>
        <w:t>高等院校展示會組委會109年1月4日於上海召開「2020海峽兩岸師資招聘會」，邀請7所高校與會</w:t>
      </w:r>
      <w:r w:rsidR="00ED3CDC" w:rsidRPr="008B619A">
        <w:rPr>
          <w:rFonts w:hAnsi="標楷體" w:hint="eastAsia"/>
          <w:color w:val="000000" w:themeColor="text1"/>
        </w:rPr>
        <w:t>（</w:t>
      </w:r>
      <w:r w:rsidR="000B2D48" w:rsidRPr="008B619A">
        <w:rPr>
          <w:rFonts w:hint="eastAsia"/>
          <w:color w:val="000000" w:themeColor="text1"/>
        </w:rPr>
        <w:t>包括廣東惠州學院、江蘇南京曉莊學院、湖北荊楚理工學院、河南南陽工學院、廣西電力職業技術學院、福建泉州黎明職業大學、四川文化藝術學院等</w:t>
      </w:r>
      <w:r w:rsidR="001C46C2" w:rsidRPr="008B619A">
        <w:rPr>
          <w:rFonts w:hAnsi="標楷體" w:hint="eastAsia"/>
          <w:color w:val="000000" w:themeColor="text1"/>
        </w:rPr>
        <w:t>）</w:t>
      </w:r>
      <w:r w:rsidR="000B2D48" w:rsidRPr="008B619A">
        <w:rPr>
          <w:rFonts w:hint="eastAsia"/>
          <w:color w:val="000000" w:themeColor="text1"/>
        </w:rPr>
        <w:t>，並開出年薪最高人民幣30萬元</w:t>
      </w:r>
      <w:r w:rsidR="001C46C2" w:rsidRPr="008B619A">
        <w:rPr>
          <w:rFonts w:hAnsi="標楷體" w:hint="eastAsia"/>
          <w:color w:val="000000" w:themeColor="text1"/>
        </w:rPr>
        <w:t>（</w:t>
      </w:r>
      <w:r w:rsidR="000B2D48" w:rsidRPr="008B619A">
        <w:rPr>
          <w:rFonts w:hint="eastAsia"/>
          <w:color w:val="000000" w:themeColor="text1"/>
        </w:rPr>
        <w:t>約新臺幣135萬元</w:t>
      </w:r>
      <w:r w:rsidR="001C46C2" w:rsidRPr="008B619A">
        <w:rPr>
          <w:rFonts w:hAnsi="標楷體" w:hint="eastAsia"/>
          <w:color w:val="000000" w:themeColor="text1"/>
        </w:rPr>
        <w:t>）</w:t>
      </w:r>
      <w:r w:rsidR="000B2D48" w:rsidRPr="008B619A">
        <w:rPr>
          <w:rFonts w:hint="eastAsia"/>
          <w:color w:val="000000" w:themeColor="text1"/>
        </w:rPr>
        <w:t>及其他優惠待遇，活動吸引約50名臺籍博士參加。惟陸方後續並未公布媒合結果，顯示陸方期藉「集中招募」活動宣介「惠臺措施」與赴陸誘因，增加我臺青對陸之認同，政治宣傳考量大於實效。</w:t>
      </w:r>
    </w:p>
    <w:p w14:paraId="7A760B92" w14:textId="2D01EC69" w:rsidR="000B2D48" w:rsidRPr="008B619A" w:rsidRDefault="000B2D48" w:rsidP="000B2D48">
      <w:pPr>
        <w:pStyle w:val="4"/>
        <w:rPr>
          <w:color w:val="000000" w:themeColor="text1"/>
        </w:rPr>
      </w:pPr>
      <w:r w:rsidRPr="008B619A">
        <w:rPr>
          <w:rFonts w:hint="eastAsia"/>
          <w:color w:val="000000" w:themeColor="text1"/>
        </w:rPr>
        <w:t>透過臺師人脈引薦，或利用樣版人物進行宣傳</w:t>
      </w:r>
      <w:r w:rsidR="00B50AF9" w:rsidRPr="008B619A">
        <w:rPr>
          <w:rFonts w:hAnsi="標楷體" w:hint="eastAsia"/>
          <w:color w:val="000000" w:themeColor="text1"/>
        </w:rPr>
        <w:t>：</w:t>
      </w:r>
    </w:p>
    <w:p w14:paraId="1DA6DE85" w14:textId="77777777" w:rsidR="000B2D48" w:rsidRPr="008B619A" w:rsidRDefault="000B2D48" w:rsidP="000B2D48">
      <w:pPr>
        <w:pStyle w:val="5"/>
        <w:rPr>
          <w:color w:val="000000" w:themeColor="text1"/>
        </w:rPr>
      </w:pPr>
      <w:r w:rsidRPr="008B619A">
        <w:rPr>
          <w:rFonts w:hint="eastAsia"/>
          <w:color w:val="000000" w:themeColor="text1"/>
        </w:rPr>
        <w:t>經查陸方高校公開資訊，部分同校臺師多有關係連結；媒體亦曾披露，我部份學者赴陸取得教職後，居中介紹同儕前往任教，顯示透過臺師人脈網絡引薦，較能提高我高教人才赴陸意願。中共不斷強化「以臺引臺」策略，利用臺師私人關係網絡引薦、與我大專院校合辦課程等途徑，增加與我臺師交流機會，吸引我臺師赴陸任教。</w:t>
      </w:r>
    </w:p>
    <w:p w14:paraId="25B35F2C" w14:textId="5C9DC013" w:rsidR="000B2D48" w:rsidRPr="008B619A" w:rsidRDefault="000B2D48" w:rsidP="000B2D48">
      <w:pPr>
        <w:pStyle w:val="5"/>
        <w:rPr>
          <w:color w:val="000000" w:themeColor="text1"/>
        </w:rPr>
      </w:pPr>
      <w:r w:rsidRPr="008B619A">
        <w:rPr>
          <w:rFonts w:hint="eastAsia"/>
          <w:color w:val="000000" w:themeColor="text1"/>
        </w:rPr>
        <w:t>陸方透過官媒報導臺師成功赴陸發展樣板，突顯對臺措施成效顯著。例如廣西師範大學臺師王孟筠</w:t>
      </w:r>
      <w:r w:rsidRPr="008B619A">
        <w:rPr>
          <w:color w:val="000000" w:themeColor="text1"/>
        </w:rPr>
        <w:t>(</w:t>
      </w:r>
      <w:r w:rsidRPr="008B619A">
        <w:rPr>
          <w:rFonts w:hint="eastAsia"/>
          <w:color w:val="000000" w:themeColor="text1"/>
        </w:rPr>
        <w:t>東海大學政治系博士，</w:t>
      </w:r>
      <w:r w:rsidRPr="008B619A">
        <w:rPr>
          <w:color w:val="000000" w:themeColor="text1"/>
        </w:rPr>
        <w:t>106</w:t>
      </w:r>
      <w:r w:rsidRPr="008B619A">
        <w:rPr>
          <w:rFonts w:hint="eastAsia"/>
          <w:color w:val="000000" w:themeColor="text1"/>
        </w:rPr>
        <w:t>年</w:t>
      </w:r>
      <w:r w:rsidRPr="008B619A">
        <w:rPr>
          <w:color w:val="000000" w:themeColor="text1"/>
        </w:rPr>
        <w:t>7</w:t>
      </w:r>
      <w:r w:rsidRPr="008B619A">
        <w:rPr>
          <w:rFonts w:hint="eastAsia"/>
          <w:color w:val="000000" w:themeColor="text1"/>
        </w:rPr>
        <w:t>月赴廣西任教</w:t>
      </w:r>
      <w:r w:rsidRPr="008B619A">
        <w:rPr>
          <w:color w:val="000000" w:themeColor="text1"/>
        </w:rPr>
        <w:t>)</w:t>
      </w:r>
      <w:r w:rsidRPr="008B619A">
        <w:rPr>
          <w:rFonts w:hint="eastAsia"/>
          <w:color w:val="000000" w:themeColor="text1"/>
        </w:rPr>
        <w:t>，因近年積極配合陸方宣傳「對臺</w:t>
      </w:r>
      <w:r w:rsidRPr="008B619A">
        <w:rPr>
          <w:color w:val="000000" w:themeColor="text1"/>
        </w:rPr>
        <w:t>31</w:t>
      </w:r>
      <w:r w:rsidRPr="008B619A">
        <w:rPr>
          <w:rFonts w:hint="eastAsia"/>
          <w:color w:val="000000" w:themeColor="text1"/>
        </w:rPr>
        <w:t>項措施」，主動申領居住證及招攬其他臺青赴陸交流，獲頒陸方榮譽稱號</w:t>
      </w:r>
      <w:r w:rsidRPr="008B619A">
        <w:rPr>
          <w:rStyle w:val="aff1"/>
          <w:color w:val="000000" w:themeColor="text1"/>
        </w:rPr>
        <w:footnoteReference w:id="34"/>
      </w:r>
      <w:r w:rsidRPr="008B619A">
        <w:rPr>
          <w:rFonts w:hint="eastAsia"/>
          <w:color w:val="000000" w:themeColor="text1"/>
        </w:rPr>
        <w:t>。</w:t>
      </w:r>
    </w:p>
    <w:p w14:paraId="2ADE8C25" w14:textId="6812BD91" w:rsidR="000C0431" w:rsidRPr="008B619A" w:rsidRDefault="000C0431" w:rsidP="000C0431">
      <w:pPr>
        <w:pStyle w:val="3"/>
        <w:rPr>
          <w:color w:val="000000" w:themeColor="text1"/>
        </w:rPr>
      </w:pPr>
      <w:r w:rsidRPr="008B619A">
        <w:rPr>
          <w:rFonts w:hint="eastAsia"/>
          <w:color w:val="000000" w:themeColor="text1"/>
        </w:rPr>
        <w:lastRenderedPageBreak/>
        <w:t>此外，目前政府針對</w:t>
      </w:r>
      <w:r w:rsidR="002C621C" w:rsidRPr="008B619A">
        <w:rPr>
          <w:rFonts w:hint="eastAsia"/>
          <w:color w:val="000000" w:themeColor="text1"/>
        </w:rPr>
        <w:t>中國</w:t>
      </w:r>
      <w:r w:rsidRPr="008B619A">
        <w:rPr>
          <w:rFonts w:hint="eastAsia"/>
          <w:color w:val="000000" w:themeColor="text1"/>
        </w:rPr>
        <w:t>學校來臺舉辦人才招聘會，及我國大專校院教師赴</w:t>
      </w:r>
      <w:r w:rsidR="002C621C" w:rsidRPr="008B619A">
        <w:rPr>
          <w:rFonts w:hint="eastAsia"/>
          <w:color w:val="000000" w:themeColor="text1"/>
        </w:rPr>
        <w:t>中國</w:t>
      </w:r>
      <w:r w:rsidRPr="008B619A">
        <w:rPr>
          <w:rFonts w:hint="eastAsia"/>
          <w:color w:val="000000" w:themeColor="text1"/>
        </w:rPr>
        <w:t>與會之處理情形如下：</w:t>
      </w:r>
    </w:p>
    <w:p w14:paraId="0DEC1403" w14:textId="55836EFF" w:rsidR="000C0431" w:rsidRPr="008B619A" w:rsidRDefault="000C0431" w:rsidP="000C0431">
      <w:pPr>
        <w:pStyle w:val="4"/>
        <w:rPr>
          <w:color w:val="000000" w:themeColor="text1"/>
        </w:rPr>
      </w:pPr>
      <w:r w:rsidRPr="008B619A">
        <w:rPr>
          <w:rFonts w:hint="eastAsia"/>
          <w:color w:val="000000" w:themeColor="text1"/>
        </w:rPr>
        <w:t>招生就學：依據</w:t>
      </w:r>
      <w:r w:rsidR="00E956BE" w:rsidRPr="008B619A">
        <w:rPr>
          <w:rFonts w:hAnsi="標楷體" w:hint="eastAsia"/>
          <w:color w:val="000000" w:themeColor="text1"/>
        </w:rPr>
        <w:t>「</w:t>
      </w:r>
      <w:r w:rsidRPr="008B619A">
        <w:rPr>
          <w:rFonts w:hint="eastAsia"/>
          <w:color w:val="000000" w:themeColor="text1"/>
        </w:rPr>
        <w:t>兩岸</w:t>
      </w:r>
      <w:r w:rsidR="00E956BE" w:rsidRPr="008B619A">
        <w:rPr>
          <w:rFonts w:hint="eastAsia"/>
          <w:color w:val="000000" w:themeColor="text1"/>
        </w:rPr>
        <w:t>人民關係</w:t>
      </w:r>
      <w:r w:rsidRPr="008B619A">
        <w:rPr>
          <w:rFonts w:hint="eastAsia"/>
          <w:color w:val="000000" w:themeColor="text1"/>
        </w:rPr>
        <w:t>條例</w:t>
      </w:r>
      <w:r w:rsidR="00E956BE" w:rsidRPr="008B619A">
        <w:rPr>
          <w:rFonts w:hAnsi="標楷體" w:hint="eastAsia"/>
          <w:color w:val="000000" w:themeColor="text1"/>
        </w:rPr>
        <w:t>」</w:t>
      </w:r>
      <w:r w:rsidRPr="008B619A">
        <w:rPr>
          <w:rFonts w:hint="eastAsia"/>
          <w:color w:val="000000" w:themeColor="text1"/>
        </w:rPr>
        <w:t>第23條之規定，臺灣地區、大陸地區及其他地區人民、法人、團體或其他機構，為大陸地區之教育機構在臺灣地區辦理招生事宜或從事居間介紹之行為須經教育部許可，惟目前政府政策並未開放。復依同條例第82條</w:t>
      </w:r>
      <w:r w:rsidR="007205FE" w:rsidRPr="008B619A">
        <w:rPr>
          <w:rFonts w:hint="eastAsia"/>
          <w:color w:val="000000" w:themeColor="text1"/>
        </w:rPr>
        <w:t>規定，</w:t>
      </w:r>
      <w:r w:rsidR="008151F2" w:rsidRPr="008B619A">
        <w:rPr>
          <w:rFonts w:hAnsi="標楷體" w:hint="eastAsia"/>
          <w:color w:val="000000" w:themeColor="text1"/>
        </w:rPr>
        <w:t>「</w:t>
      </w:r>
      <w:r w:rsidRPr="008B619A">
        <w:rPr>
          <w:rFonts w:hint="eastAsia"/>
          <w:color w:val="000000" w:themeColor="text1"/>
        </w:rPr>
        <w:t>違反第23條規定從事招生或居間介紹行為者，處</w:t>
      </w:r>
      <w:r w:rsidR="00FD13DF" w:rsidRPr="008B619A">
        <w:rPr>
          <w:rFonts w:hint="eastAsia"/>
          <w:color w:val="000000" w:themeColor="text1"/>
        </w:rPr>
        <w:t>1</w:t>
      </w:r>
      <w:r w:rsidRPr="008B619A">
        <w:rPr>
          <w:rFonts w:hint="eastAsia"/>
          <w:color w:val="000000" w:themeColor="text1"/>
        </w:rPr>
        <w:t>年以下有期徒刑、拘役或科或併科新臺幣</w:t>
      </w:r>
      <w:r w:rsidR="00FD13DF" w:rsidRPr="008B619A">
        <w:rPr>
          <w:rFonts w:hint="eastAsia"/>
          <w:color w:val="000000" w:themeColor="text1"/>
        </w:rPr>
        <w:t>1</w:t>
      </w:r>
      <w:r w:rsidRPr="008B619A">
        <w:rPr>
          <w:rFonts w:hint="eastAsia"/>
          <w:color w:val="000000" w:themeColor="text1"/>
        </w:rPr>
        <w:t>百萬元以下罰金。</w:t>
      </w:r>
      <w:r w:rsidR="008151F2" w:rsidRPr="008B619A">
        <w:rPr>
          <w:rFonts w:hAnsi="標楷體" w:hint="eastAsia"/>
          <w:color w:val="000000" w:themeColor="text1"/>
        </w:rPr>
        <w:t>」</w:t>
      </w:r>
    </w:p>
    <w:p w14:paraId="34C85F1A" w14:textId="77777777" w:rsidR="000C0431" w:rsidRPr="008B619A" w:rsidRDefault="000C0431" w:rsidP="000C0431">
      <w:pPr>
        <w:pStyle w:val="4"/>
        <w:rPr>
          <w:color w:val="000000" w:themeColor="text1"/>
        </w:rPr>
      </w:pPr>
      <w:r w:rsidRPr="008B619A">
        <w:rPr>
          <w:rFonts w:hint="eastAsia"/>
          <w:color w:val="000000" w:themeColor="text1"/>
        </w:rPr>
        <w:t>招募教師：有關招募教師部分涉及人力仲介應屬勞動部權責，宜由行政院大陸委員、內政部移民署（是否符合許可入境目的與行程）與勞動部（涉及違反兩岸條例第35條「人力仲介」）視個案實際情形處理。</w:t>
      </w:r>
    </w:p>
    <w:p w14:paraId="05F54223" w14:textId="2D8AC1B4" w:rsidR="000C0431" w:rsidRPr="008B619A" w:rsidRDefault="000C0431" w:rsidP="000C0431">
      <w:pPr>
        <w:pStyle w:val="4"/>
        <w:rPr>
          <w:color w:val="000000" w:themeColor="text1"/>
        </w:rPr>
      </w:pPr>
      <w:r w:rsidRPr="008B619A">
        <w:rPr>
          <w:rFonts w:hint="eastAsia"/>
          <w:color w:val="000000" w:themeColor="text1"/>
        </w:rPr>
        <w:t>對於</w:t>
      </w:r>
      <w:r w:rsidR="002C621C" w:rsidRPr="008B619A">
        <w:rPr>
          <w:rFonts w:hint="eastAsia"/>
          <w:color w:val="000000" w:themeColor="text1"/>
        </w:rPr>
        <w:t>中國</w:t>
      </w:r>
      <w:r w:rsidRPr="008B619A">
        <w:rPr>
          <w:rFonts w:hint="eastAsia"/>
          <w:color w:val="000000" w:themeColor="text1"/>
        </w:rPr>
        <w:t>學校來臺招募教師及招生案件，</w:t>
      </w:r>
      <w:r w:rsidR="00AA4C9B" w:rsidRPr="008B619A">
        <w:rPr>
          <w:rFonts w:hint="eastAsia"/>
          <w:color w:val="000000" w:themeColor="text1"/>
        </w:rPr>
        <w:t>教育部稱，</w:t>
      </w:r>
      <w:r w:rsidRPr="008B619A">
        <w:rPr>
          <w:rFonts w:hint="eastAsia"/>
          <w:color w:val="000000" w:themeColor="text1"/>
        </w:rPr>
        <w:t>倘發現或接獲檢舉業者疑似有上揭仲介行為，將依行政程序蒐集及查核相關證據，即時函請相關機構予以說明並立即停止違法作為；另因此類案件涉及</w:t>
      </w:r>
      <w:r w:rsidR="00D60D33" w:rsidRPr="008B619A">
        <w:rPr>
          <w:rFonts w:hAnsi="標楷體" w:hint="eastAsia"/>
          <w:color w:val="000000" w:themeColor="text1"/>
        </w:rPr>
        <w:t>「</w:t>
      </w:r>
      <w:r w:rsidR="00D60D33" w:rsidRPr="008B619A">
        <w:rPr>
          <w:rFonts w:hint="eastAsia"/>
          <w:color w:val="000000" w:themeColor="text1"/>
        </w:rPr>
        <w:t>兩岸人民關係條例</w:t>
      </w:r>
      <w:r w:rsidR="00D60D33" w:rsidRPr="008B619A">
        <w:rPr>
          <w:rFonts w:hAnsi="標楷體" w:hint="eastAsia"/>
          <w:color w:val="000000" w:themeColor="text1"/>
        </w:rPr>
        <w:t>」</w:t>
      </w:r>
      <w:r w:rsidR="00D60D33" w:rsidRPr="008B619A">
        <w:rPr>
          <w:rFonts w:hint="eastAsia"/>
          <w:color w:val="000000" w:themeColor="text1"/>
        </w:rPr>
        <w:t>第</w:t>
      </w:r>
      <w:r w:rsidRPr="008B619A">
        <w:rPr>
          <w:rFonts w:hint="eastAsia"/>
          <w:color w:val="000000" w:themeColor="text1"/>
        </w:rPr>
        <w:t>82條之刑責規範，</w:t>
      </w:r>
      <w:r w:rsidR="0060732D" w:rsidRPr="008B619A">
        <w:rPr>
          <w:rFonts w:hint="eastAsia"/>
          <w:color w:val="000000" w:themeColor="text1"/>
        </w:rPr>
        <w:t>該</w:t>
      </w:r>
      <w:r w:rsidRPr="008B619A">
        <w:rPr>
          <w:rFonts w:hint="eastAsia"/>
          <w:color w:val="000000" w:themeColor="text1"/>
        </w:rPr>
        <w:t>部亦將移請檢調單位調查、蒐集事證，由檢調單位移送法院審理。並將持續關注並配合行政院大陸委員會、內政部移民署及相關部會予以因應。</w:t>
      </w:r>
    </w:p>
    <w:p w14:paraId="7303F798" w14:textId="72156253" w:rsidR="001F1356" w:rsidRPr="008B619A" w:rsidRDefault="0099395D" w:rsidP="001F1356">
      <w:pPr>
        <w:pStyle w:val="3"/>
        <w:rPr>
          <w:color w:val="000000" w:themeColor="text1"/>
        </w:rPr>
      </w:pPr>
      <w:r w:rsidRPr="008B619A">
        <w:rPr>
          <w:rFonts w:hint="eastAsia"/>
          <w:color w:val="000000" w:themeColor="text1"/>
        </w:rPr>
        <w:t>然而，</w:t>
      </w:r>
      <w:r w:rsidR="000733E0" w:rsidRPr="008B619A">
        <w:rPr>
          <w:rFonts w:hint="eastAsia"/>
          <w:color w:val="000000" w:themeColor="text1"/>
        </w:rPr>
        <w:t>依國安局109年7月31日函</w:t>
      </w:r>
      <w:r w:rsidR="004922D6" w:rsidRPr="008B619A">
        <w:rPr>
          <w:rFonts w:hint="eastAsia"/>
          <w:color w:val="000000" w:themeColor="text1"/>
        </w:rPr>
        <w:t>稱</w:t>
      </w:r>
      <w:r w:rsidR="000733E0" w:rsidRPr="008B619A">
        <w:rPr>
          <w:rFonts w:hint="eastAsia"/>
          <w:color w:val="000000" w:themeColor="text1"/>
        </w:rPr>
        <w:t>，據</w:t>
      </w:r>
      <w:r w:rsidR="008D2997" w:rsidRPr="008B619A">
        <w:rPr>
          <w:rFonts w:hint="eastAsia"/>
          <w:color w:val="000000" w:themeColor="text1"/>
        </w:rPr>
        <w:t>中國大陸國務院臺灣事務辦公室（下稱國臺辦）</w:t>
      </w:r>
      <w:r w:rsidR="000733E0" w:rsidRPr="008B619A">
        <w:rPr>
          <w:rFonts w:hint="eastAsia"/>
          <w:color w:val="000000" w:themeColor="text1"/>
        </w:rPr>
        <w:t>108年統計在陸臺師計有1,600人。</w:t>
      </w:r>
      <w:r w:rsidR="00C0761C" w:rsidRPr="008B619A">
        <w:rPr>
          <w:rFonts w:hint="eastAsia"/>
          <w:color w:val="000000" w:themeColor="text1"/>
        </w:rPr>
        <w:t>且</w:t>
      </w:r>
      <w:r w:rsidR="00661484" w:rsidRPr="008B619A">
        <w:rPr>
          <w:rFonts w:hint="eastAsia"/>
          <w:color w:val="000000" w:themeColor="text1"/>
        </w:rPr>
        <w:t>國臺辦於108年11月27日國臺辦例行記者會聲稱，我國現有72名專家進入「千人計畫」。</w:t>
      </w:r>
      <w:r w:rsidR="00C32932" w:rsidRPr="008B619A">
        <w:rPr>
          <w:rFonts w:hint="eastAsia"/>
          <w:color w:val="000000" w:themeColor="text1"/>
        </w:rPr>
        <w:t>對此，</w:t>
      </w:r>
      <w:r w:rsidR="00661484" w:rsidRPr="008B619A">
        <w:rPr>
          <w:rFonts w:hint="eastAsia"/>
          <w:color w:val="000000" w:themeColor="text1"/>
        </w:rPr>
        <w:t>行政院前</w:t>
      </w:r>
      <w:r w:rsidR="004B26F3" w:rsidRPr="008B619A">
        <w:rPr>
          <w:rFonts w:hint="eastAsia"/>
          <w:color w:val="000000" w:themeColor="text1"/>
        </w:rPr>
        <w:t>雖</w:t>
      </w:r>
      <w:r w:rsidR="00661484" w:rsidRPr="008B619A">
        <w:rPr>
          <w:rFonts w:hint="eastAsia"/>
          <w:color w:val="000000" w:themeColor="text1"/>
        </w:rPr>
        <w:t>已責成教育部、科技部等業管部會持續蒐整相關資訊，陸委會</w:t>
      </w:r>
      <w:r w:rsidR="002033D3" w:rsidRPr="008B619A">
        <w:rPr>
          <w:rFonts w:hint="eastAsia"/>
          <w:color w:val="000000" w:themeColor="text1"/>
        </w:rPr>
        <w:t>則</w:t>
      </w:r>
      <w:r w:rsidR="00661484" w:rsidRPr="008B619A">
        <w:rPr>
          <w:rFonts w:hint="eastAsia"/>
          <w:color w:val="000000" w:themeColor="text1"/>
        </w:rPr>
        <w:t>表示亦協同</w:t>
      </w:r>
      <w:r w:rsidR="00637316" w:rsidRPr="008B619A">
        <w:rPr>
          <w:rFonts w:hint="eastAsia"/>
          <w:color w:val="000000" w:themeColor="text1"/>
        </w:rPr>
        <w:lastRenderedPageBreak/>
        <w:t>上開二</w:t>
      </w:r>
      <w:r w:rsidR="00661484" w:rsidRPr="008B619A">
        <w:rPr>
          <w:rFonts w:hint="eastAsia"/>
          <w:color w:val="000000" w:themeColor="text1"/>
        </w:rPr>
        <w:t>部持續清查，有無現任政府科研人員或大學專任教職人員加入「千人計畫」，倘發現個案有違反相關法令規定情形，將依法查處</w:t>
      </w:r>
      <w:r w:rsidR="004B16C3" w:rsidRPr="008B619A">
        <w:rPr>
          <w:rFonts w:hint="eastAsia"/>
          <w:color w:val="000000" w:themeColor="text1"/>
        </w:rPr>
        <w:t>等語</w:t>
      </w:r>
      <w:r w:rsidR="00661484" w:rsidRPr="008B619A">
        <w:rPr>
          <w:rFonts w:hint="eastAsia"/>
          <w:color w:val="000000" w:themeColor="text1"/>
        </w:rPr>
        <w:t>。</w:t>
      </w:r>
      <w:r w:rsidR="001F1356" w:rsidRPr="008B619A">
        <w:rPr>
          <w:rFonts w:hint="eastAsia"/>
          <w:color w:val="000000" w:themeColor="text1"/>
        </w:rPr>
        <w:t>且為強化資訊揭露與落實計畫管理，科技部則表示，業於109年11月修訂專題研究計畫作業要點等規範，增列對計畫主持人及申請機構課以應詳實揭露近3年執行計畫資訊(含國內外、大陸地區及港澳)，並有配合科技部執行業務需要提供相關資料之義務，如未依規定辦理，科技部得追回計畫補助款。此外，每半年召開國家安全網科技小組業務協調會議，要求政府資助機關提報過去半年間，受管制計劃研發成果及資料之公開活動情形。並因應科技發展變化及管理實務所需，「政府資助國家核心科技研究計畫安全管制作業手冊」歷經幾次修正，以隨時因應技術革新動態調整。</w:t>
      </w:r>
    </w:p>
    <w:p w14:paraId="5ABED4AB" w14:textId="13A9D4F8" w:rsidR="00D30679" w:rsidRPr="008B619A" w:rsidRDefault="00475B29" w:rsidP="00D0023E">
      <w:pPr>
        <w:pStyle w:val="3"/>
        <w:rPr>
          <w:color w:val="000000" w:themeColor="text1"/>
        </w:rPr>
      </w:pPr>
      <w:r w:rsidRPr="008B619A">
        <w:rPr>
          <w:rFonts w:hint="eastAsia"/>
          <w:color w:val="000000" w:themeColor="text1"/>
        </w:rPr>
        <w:t>然</w:t>
      </w:r>
      <w:r w:rsidR="00E07E54" w:rsidRPr="008B619A">
        <w:rPr>
          <w:rFonts w:hint="eastAsia"/>
          <w:color w:val="000000" w:themeColor="text1"/>
        </w:rPr>
        <w:t>查</w:t>
      </w:r>
      <w:r w:rsidR="00211557" w:rsidRPr="008B619A">
        <w:rPr>
          <w:rFonts w:hint="eastAsia"/>
          <w:color w:val="000000" w:themeColor="text1"/>
        </w:rPr>
        <w:t>，</w:t>
      </w:r>
      <w:r w:rsidR="00D30679" w:rsidRPr="008B619A">
        <w:rPr>
          <w:rFonts w:hint="eastAsia"/>
          <w:color w:val="000000" w:themeColor="text1"/>
        </w:rPr>
        <w:t>針對</w:t>
      </w:r>
      <w:r w:rsidR="00D30679" w:rsidRPr="008B619A">
        <w:rPr>
          <w:rFonts w:hAnsi="標楷體" w:hint="eastAsia"/>
          <w:color w:val="000000" w:themeColor="text1"/>
          <w:szCs w:val="28"/>
        </w:rPr>
        <w:t>我國大專校院教師赴</w:t>
      </w:r>
      <w:r w:rsidR="002C621C" w:rsidRPr="008B619A">
        <w:rPr>
          <w:rFonts w:hint="eastAsia"/>
          <w:color w:val="000000" w:themeColor="text1"/>
        </w:rPr>
        <w:t>中國</w:t>
      </w:r>
      <w:r w:rsidR="00D30679" w:rsidRPr="008B619A">
        <w:rPr>
          <w:rFonts w:hAnsi="標楷體" w:hint="eastAsia"/>
          <w:color w:val="000000" w:themeColor="text1"/>
          <w:szCs w:val="28"/>
        </w:rPr>
        <w:t>與會情形，</w:t>
      </w:r>
      <w:r w:rsidR="005E10C0" w:rsidRPr="008B619A">
        <w:rPr>
          <w:rFonts w:hAnsi="標楷體" w:hint="eastAsia"/>
          <w:color w:val="000000" w:themeColor="text1"/>
          <w:szCs w:val="28"/>
        </w:rPr>
        <w:t>教育部</w:t>
      </w:r>
      <w:r w:rsidR="00466452" w:rsidRPr="008B619A">
        <w:rPr>
          <w:rFonts w:hAnsi="標楷體" w:hint="eastAsia"/>
          <w:color w:val="000000" w:themeColor="text1"/>
          <w:szCs w:val="28"/>
        </w:rPr>
        <w:t>雖</w:t>
      </w:r>
      <w:r w:rsidR="005E10C0" w:rsidRPr="008B619A">
        <w:rPr>
          <w:rFonts w:hAnsi="標楷體" w:hint="eastAsia"/>
          <w:color w:val="000000" w:themeColor="text1"/>
          <w:szCs w:val="28"/>
        </w:rPr>
        <w:t>於</w:t>
      </w:r>
      <w:r w:rsidR="005E10C0" w:rsidRPr="008B619A">
        <w:rPr>
          <w:rFonts w:hAnsi="標楷體"/>
          <w:color w:val="000000" w:themeColor="text1"/>
          <w:szCs w:val="28"/>
        </w:rPr>
        <w:t>107</w:t>
      </w:r>
      <w:r w:rsidR="005E10C0" w:rsidRPr="008B619A">
        <w:rPr>
          <w:rFonts w:hAnsi="標楷體" w:hint="eastAsia"/>
          <w:color w:val="000000" w:themeColor="text1"/>
          <w:szCs w:val="28"/>
        </w:rPr>
        <w:t>年</w:t>
      </w:r>
      <w:r w:rsidR="005E10C0" w:rsidRPr="008B619A">
        <w:rPr>
          <w:rFonts w:hAnsi="標楷體"/>
          <w:color w:val="000000" w:themeColor="text1"/>
          <w:szCs w:val="28"/>
        </w:rPr>
        <w:t>6</w:t>
      </w:r>
      <w:r w:rsidR="005E10C0" w:rsidRPr="008B619A">
        <w:rPr>
          <w:rFonts w:hAnsi="標楷體" w:hint="eastAsia"/>
          <w:color w:val="000000" w:themeColor="text1"/>
          <w:szCs w:val="28"/>
        </w:rPr>
        <w:t>月</w:t>
      </w:r>
      <w:r w:rsidR="005E10C0" w:rsidRPr="008B619A">
        <w:rPr>
          <w:rFonts w:hAnsi="標楷體"/>
          <w:color w:val="000000" w:themeColor="text1"/>
          <w:szCs w:val="28"/>
        </w:rPr>
        <w:t>20</w:t>
      </w:r>
      <w:r w:rsidR="005E10C0" w:rsidRPr="008B619A">
        <w:rPr>
          <w:rFonts w:hAnsi="標楷體" w:hint="eastAsia"/>
          <w:color w:val="000000" w:themeColor="text1"/>
          <w:szCs w:val="28"/>
        </w:rPr>
        <w:t>日臺教文（二）字第</w:t>
      </w:r>
      <w:r w:rsidR="005E10C0" w:rsidRPr="008B619A">
        <w:rPr>
          <w:rFonts w:hAnsi="標楷體"/>
          <w:color w:val="000000" w:themeColor="text1"/>
          <w:szCs w:val="28"/>
        </w:rPr>
        <w:t>1070089425</w:t>
      </w:r>
      <w:r w:rsidR="005E10C0" w:rsidRPr="008B619A">
        <w:rPr>
          <w:rFonts w:hAnsi="標楷體" w:hint="eastAsia"/>
          <w:color w:val="000000" w:themeColor="text1"/>
          <w:szCs w:val="28"/>
        </w:rPr>
        <w:t>號函提醒各級學校，兩岸教育交流活動逐趨頻繁，學校宜適時提醒所屬人員確依兩岸條例與教育人員任用條例等相關法規，以及現行兩岸政策規範辦理。學校及人員辦理與參加相關兩岸教育交流活動應注意其活動目的、辦理單位、行程安排與文宣資料等，不應有政治目的及政治性內容，以及有損我方之尊嚴與立場</w:t>
      </w:r>
      <w:r w:rsidR="008475EA" w:rsidRPr="008B619A">
        <w:rPr>
          <w:rFonts w:hAnsi="標楷體" w:hint="eastAsia"/>
          <w:color w:val="000000" w:themeColor="text1"/>
          <w:szCs w:val="28"/>
        </w:rPr>
        <w:t>。</w:t>
      </w:r>
      <w:r w:rsidR="002A111C" w:rsidRPr="008B619A">
        <w:rPr>
          <w:rFonts w:hint="eastAsia"/>
          <w:color w:val="000000" w:themeColor="text1"/>
          <w:szCs w:val="28"/>
        </w:rPr>
        <w:t>如有違背兩岸條例或相關法規，該部將協同行政院大陸委員會、內政部移民署及相關部會就其事實審認後處置。</w:t>
      </w:r>
      <w:r w:rsidR="000E7F7A" w:rsidRPr="008B619A">
        <w:rPr>
          <w:rFonts w:hint="eastAsia"/>
          <w:color w:val="000000" w:themeColor="text1"/>
          <w:szCs w:val="28"/>
        </w:rPr>
        <w:t>惟該部雖</w:t>
      </w:r>
      <w:r w:rsidR="000E7F7A" w:rsidRPr="008B619A">
        <w:rPr>
          <w:rFonts w:hAnsi="標楷體" w:hint="eastAsia"/>
          <w:color w:val="000000" w:themeColor="text1"/>
          <w:szCs w:val="28"/>
        </w:rPr>
        <w:t>依可能涉及參與「千人計畫」教師名單，曾函請服務學校及會同相關部會查核，結果尚無具體事證顯示其參與上揭計畫</w:t>
      </w:r>
      <w:r w:rsidR="00242E11" w:rsidRPr="008B619A">
        <w:rPr>
          <w:rFonts w:hAnsi="標楷體" w:hint="eastAsia"/>
          <w:color w:val="000000" w:themeColor="text1"/>
          <w:szCs w:val="28"/>
        </w:rPr>
        <w:t>。</w:t>
      </w:r>
      <w:r w:rsidR="00473C04" w:rsidRPr="008B619A">
        <w:rPr>
          <w:rFonts w:hint="eastAsia"/>
          <w:color w:val="000000" w:themeColor="text1"/>
        </w:rPr>
        <w:t>足見，針對博士人才或教師赴</w:t>
      </w:r>
      <w:r w:rsidR="002C621C" w:rsidRPr="008B619A">
        <w:rPr>
          <w:rFonts w:hint="eastAsia"/>
          <w:color w:val="000000" w:themeColor="text1"/>
        </w:rPr>
        <w:t>中國</w:t>
      </w:r>
      <w:r w:rsidR="00473C04" w:rsidRPr="008B619A">
        <w:rPr>
          <w:rFonts w:hint="eastAsia"/>
          <w:color w:val="000000" w:themeColor="text1"/>
        </w:rPr>
        <w:t>之</w:t>
      </w:r>
      <w:r w:rsidR="00323FD3" w:rsidRPr="008B619A">
        <w:rPr>
          <w:rFonts w:hint="eastAsia"/>
          <w:color w:val="000000" w:themeColor="text1"/>
        </w:rPr>
        <w:t>現況</w:t>
      </w:r>
      <w:r w:rsidR="00F47057" w:rsidRPr="008B619A">
        <w:rPr>
          <w:rFonts w:hint="eastAsia"/>
          <w:color w:val="000000" w:themeColor="text1"/>
        </w:rPr>
        <w:t>真實性</w:t>
      </w:r>
      <w:r w:rsidR="00473C04" w:rsidRPr="008B619A">
        <w:rPr>
          <w:rFonts w:hint="eastAsia"/>
          <w:color w:val="000000" w:themeColor="text1"/>
        </w:rPr>
        <w:t>，教育部</w:t>
      </w:r>
      <w:r w:rsidR="00323FD3" w:rsidRPr="008B619A">
        <w:rPr>
          <w:rFonts w:hint="eastAsia"/>
          <w:color w:val="000000" w:themeColor="text1"/>
        </w:rPr>
        <w:t>調查</w:t>
      </w:r>
      <w:r w:rsidR="00473C04" w:rsidRPr="008B619A">
        <w:rPr>
          <w:rFonts w:hint="eastAsia"/>
          <w:color w:val="000000" w:themeColor="text1"/>
        </w:rPr>
        <w:t>未果；而科技部雖已</w:t>
      </w:r>
      <w:r w:rsidR="00473C04" w:rsidRPr="008B619A">
        <w:rPr>
          <w:rFonts w:hint="eastAsia"/>
          <w:color w:val="000000" w:themeColor="text1"/>
        </w:rPr>
        <w:lastRenderedPageBreak/>
        <w:t>訂定關於資訊揭露及人員流動之管理，然</w:t>
      </w:r>
      <w:r w:rsidR="00DC6310" w:rsidRPr="008B619A">
        <w:rPr>
          <w:rFonts w:hint="eastAsia"/>
          <w:color w:val="000000" w:themeColor="text1"/>
        </w:rPr>
        <w:t>仍</w:t>
      </w:r>
      <w:r w:rsidR="00473C04" w:rsidRPr="008B619A">
        <w:rPr>
          <w:rFonts w:hint="eastAsia"/>
          <w:color w:val="000000" w:themeColor="text1"/>
        </w:rPr>
        <w:t>未見歷年查核結果及分析，況各機關相關措施橫向聯繫仍有未明</w:t>
      </w:r>
      <w:r w:rsidR="00C1569D" w:rsidRPr="008B619A">
        <w:rPr>
          <w:rFonts w:hint="eastAsia"/>
          <w:color w:val="000000" w:themeColor="text1"/>
        </w:rPr>
        <w:t>。</w:t>
      </w:r>
      <w:r w:rsidR="00473C04" w:rsidRPr="008B619A">
        <w:rPr>
          <w:rFonts w:hint="eastAsia"/>
          <w:color w:val="000000" w:themeColor="text1"/>
        </w:rPr>
        <w:t>爰我國各主管機關及學校如何嚴防重點高教人才外流，減損我國學術研發能量，甚成為協助陸方提升整體學研能量、產業升級之風險，允宜積極發展研議。</w:t>
      </w:r>
    </w:p>
    <w:p w14:paraId="5CC720A2" w14:textId="09D4BE83" w:rsidR="00092C49" w:rsidRPr="008B619A" w:rsidRDefault="00074D96" w:rsidP="00306FE7">
      <w:pPr>
        <w:pStyle w:val="3"/>
        <w:rPr>
          <w:color w:val="000000" w:themeColor="text1"/>
        </w:rPr>
      </w:pPr>
      <w:r w:rsidRPr="008B619A">
        <w:rPr>
          <w:rFonts w:hint="eastAsia"/>
          <w:color w:val="000000" w:themeColor="text1"/>
        </w:rPr>
        <w:t>復次，</w:t>
      </w:r>
      <w:r w:rsidR="00F54B09" w:rsidRPr="008B619A">
        <w:rPr>
          <w:rFonts w:hint="eastAsia"/>
          <w:color w:val="000000" w:themeColor="text1"/>
        </w:rPr>
        <w:t>陸委會</w:t>
      </w:r>
      <w:r w:rsidR="00092C49" w:rsidRPr="008B619A">
        <w:rPr>
          <w:rFonts w:hint="eastAsia"/>
          <w:color w:val="000000" w:themeColor="text1"/>
        </w:rPr>
        <w:t>委託</w:t>
      </w:r>
      <w:r w:rsidR="006E041C" w:rsidRPr="008B619A">
        <w:rPr>
          <w:rFonts w:hAnsi="標楷體" w:hint="eastAsia"/>
          <w:color w:val="000000" w:themeColor="text1"/>
        </w:rPr>
        <w:t>財團法人台灣經濟研究院之</w:t>
      </w:r>
      <w:r w:rsidR="00092C49" w:rsidRPr="008B619A">
        <w:rPr>
          <w:rFonts w:hint="eastAsia"/>
          <w:color w:val="000000" w:themeColor="text1"/>
        </w:rPr>
        <w:t>研究</w:t>
      </w:r>
      <w:r w:rsidR="006E041C" w:rsidRPr="008B619A">
        <w:rPr>
          <w:rFonts w:hint="eastAsia"/>
          <w:color w:val="000000" w:themeColor="text1"/>
        </w:rPr>
        <w:t>報告發現</w:t>
      </w:r>
      <w:r w:rsidR="00092C49" w:rsidRPr="008B619A">
        <w:rPr>
          <w:rFonts w:hint="eastAsia"/>
          <w:color w:val="000000" w:themeColor="text1"/>
        </w:rPr>
        <w:t>載明</w:t>
      </w:r>
      <w:r w:rsidR="009B5AEC" w:rsidRPr="008B619A">
        <w:rPr>
          <w:rFonts w:hint="eastAsia"/>
          <w:color w:val="000000" w:themeColor="text1"/>
        </w:rPr>
        <w:t>略以</w:t>
      </w:r>
      <w:r w:rsidR="00645650" w:rsidRPr="008B619A">
        <w:rPr>
          <w:rStyle w:val="aff1"/>
          <w:color w:val="000000" w:themeColor="text1"/>
        </w:rPr>
        <w:footnoteReference w:id="35"/>
      </w:r>
      <w:r w:rsidR="00092C49" w:rsidRPr="008B619A">
        <w:rPr>
          <w:rFonts w:hint="eastAsia"/>
          <w:color w:val="000000" w:themeColor="text1"/>
        </w:rPr>
        <w:t>，</w:t>
      </w:r>
      <w:r w:rsidR="00BE40EE" w:rsidRPr="008B619A">
        <w:rPr>
          <w:rFonts w:hAnsi="標楷體" w:hint="eastAsia"/>
          <w:color w:val="000000" w:themeColor="text1"/>
        </w:rPr>
        <w:t>「</w:t>
      </w:r>
      <w:r w:rsidR="00092C49" w:rsidRPr="008B619A">
        <w:rPr>
          <w:color w:val="000000" w:themeColor="text1"/>
        </w:rPr>
        <w:t>中央推動、地方響應，因應地方特色適性發展，針對臺灣人才進行</w:t>
      </w:r>
      <w:r w:rsidR="000D27E1" w:rsidRPr="008B619A">
        <w:rPr>
          <w:rFonts w:hAnsi="標楷體" w:hint="eastAsia"/>
          <w:color w:val="000000" w:themeColor="text1"/>
        </w:rPr>
        <w:t>『</w:t>
      </w:r>
      <w:r w:rsidR="00092C49" w:rsidRPr="008B619A">
        <w:rPr>
          <w:color w:val="000000" w:themeColor="text1"/>
        </w:rPr>
        <w:t>遍地開花</w:t>
      </w:r>
      <w:r w:rsidR="000D27E1" w:rsidRPr="008B619A">
        <w:rPr>
          <w:rFonts w:hAnsi="標楷體" w:hint="eastAsia"/>
          <w:color w:val="000000" w:themeColor="text1"/>
        </w:rPr>
        <w:t>』</w:t>
      </w:r>
      <w:r w:rsidR="00092C49" w:rsidRPr="008B619A">
        <w:rPr>
          <w:color w:val="000000" w:themeColor="text1"/>
        </w:rPr>
        <w:t>的全面吸納，這些政策誘因可能加速我國產業的中高階人才外流至</w:t>
      </w:r>
      <w:r w:rsidR="002C621C" w:rsidRPr="008B619A">
        <w:rPr>
          <w:rFonts w:hint="eastAsia"/>
          <w:color w:val="000000" w:themeColor="text1"/>
        </w:rPr>
        <w:t>中國</w:t>
      </w:r>
      <w:r w:rsidR="00092C49" w:rsidRPr="008B619A">
        <w:rPr>
          <w:color w:val="000000" w:themeColor="text1"/>
        </w:rPr>
        <w:t>二、三線城市</w:t>
      </w:r>
      <w:r w:rsidR="00F46678" w:rsidRPr="008B619A">
        <w:rPr>
          <w:rFonts w:hAnsi="標楷體" w:hint="eastAsia"/>
          <w:color w:val="000000" w:themeColor="text1"/>
        </w:rPr>
        <w:t>」及</w:t>
      </w:r>
      <w:r w:rsidR="009273C5" w:rsidRPr="008B619A">
        <w:rPr>
          <w:rFonts w:hAnsi="標楷體" w:hint="eastAsia"/>
          <w:color w:val="000000" w:themeColor="text1"/>
        </w:rPr>
        <w:t>「</w:t>
      </w:r>
      <w:r w:rsidR="002C621C" w:rsidRPr="008B619A">
        <w:rPr>
          <w:rFonts w:hint="eastAsia"/>
          <w:color w:val="000000" w:themeColor="text1"/>
        </w:rPr>
        <w:t>中國</w:t>
      </w:r>
      <w:r w:rsidR="009273C5" w:rsidRPr="008B619A">
        <w:rPr>
          <w:color w:val="000000" w:themeColor="text1"/>
        </w:rPr>
        <w:t>對臺引才政策係以促進</w:t>
      </w:r>
      <w:r w:rsidR="000E7B1B" w:rsidRPr="008B619A">
        <w:rPr>
          <w:rFonts w:hAnsi="標楷體" w:hint="eastAsia"/>
          <w:color w:val="000000" w:themeColor="text1"/>
        </w:rPr>
        <w:t>『</w:t>
      </w:r>
      <w:r w:rsidR="009273C5" w:rsidRPr="008B619A">
        <w:rPr>
          <w:color w:val="000000" w:themeColor="text1"/>
        </w:rPr>
        <w:t>中國製造2025</w:t>
      </w:r>
      <w:r w:rsidR="000E7B1B" w:rsidRPr="008B619A">
        <w:rPr>
          <w:rFonts w:hAnsi="標楷體" w:hint="eastAsia"/>
          <w:color w:val="000000" w:themeColor="text1"/>
        </w:rPr>
        <w:t>』</w:t>
      </w:r>
      <w:r w:rsidR="009273C5" w:rsidRPr="008B619A">
        <w:rPr>
          <w:color w:val="000000" w:themeColor="text1"/>
        </w:rPr>
        <w:t>計畫的推動與落實為目標，吸納臺灣高階及中高階人才以取得臺灣產業先進技術或協助</w:t>
      </w:r>
      <w:r w:rsidR="002C621C" w:rsidRPr="008B619A">
        <w:rPr>
          <w:rFonts w:hint="eastAsia"/>
          <w:color w:val="000000" w:themeColor="text1"/>
        </w:rPr>
        <w:t>中國</w:t>
      </w:r>
      <w:r w:rsidR="009273C5" w:rsidRPr="008B619A">
        <w:rPr>
          <w:color w:val="000000" w:themeColor="text1"/>
        </w:rPr>
        <w:t>研發先進技術，當前引才之對象集中在青年學生與白領人才，包括高科技、金融、生技醫療、文化創新之產業人才，其中又以高科技產業人才為主</w:t>
      </w:r>
      <w:r w:rsidR="009273C5" w:rsidRPr="008B619A">
        <w:rPr>
          <w:rFonts w:hAnsi="標楷體" w:hint="eastAsia"/>
          <w:color w:val="000000" w:themeColor="text1"/>
        </w:rPr>
        <w:t>」</w:t>
      </w:r>
      <w:r w:rsidR="00C47BAF" w:rsidRPr="008B619A">
        <w:rPr>
          <w:rFonts w:hAnsi="標楷體" w:hint="eastAsia"/>
          <w:color w:val="000000" w:themeColor="text1"/>
        </w:rPr>
        <w:t>等，顯示本議題</w:t>
      </w:r>
      <w:r w:rsidR="00D571A0" w:rsidRPr="008B619A">
        <w:rPr>
          <w:rFonts w:hAnsi="標楷體" w:hint="eastAsia"/>
          <w:color w:val="000000" w:themeColor="text1"/>
        </w:rPr>
        <w:t>除牽涉誘吸人才問題外，</w:t>
      </w:r>
      <w:r w:rsidR="00C47BAF" w:rsidRPr="008B619A">
        <w:rPr>
          <w:rFonts w:hAnsi="標楷體" w:hint="eastAsia"/>
          <w:color w:val="000000" w:themeColor="text1"/>
        </w:rPr>
        <w:t>尚有</w:t>
      </w:r>
      <w:r w:rsidR="00052339" w:rsidRPr="008B619A">
        <w:rPr>
          <w:rFonts w:hAnsi="標楷體" w:hint="eastAsia"/>
          <w:color w:val="000000" w:themeColor="text1"/>
        </w:rPr>
        <w:t>引發國</w:t>
      </w:r>
      <w:r w:rsidR="00FE0E6B" w:rsidRPr="008B619A">
        <w:rPr>
          <w:rFonts w:hAnsi="標楷體" w:hint="eastAsia"/>
          <w:color w:val="000000" w:themeColor="text1"/>
        </w:rPr>
        <w:t>家安全</w:t>
      </w:r>
      <w:r w:rsidR="00052339" w:rsidRPr="008B619A">
        <w:rPr>
          <w:rFonts w:hAnsi="標楷體" w:hint="eastAsia"/>
          <w:color w:val="000000" w:themeColor="text1"/>
        </w:rPr>
        <w:t>危機之疑慮，</w:t>
      </w:r>
      <w:r w:rsidR="00306FE7" w:rsidRPr="008B619A">
        <w:rPr>
          <w:rFonts w:hAnsi="標楷體" w:hint="eastAsia"/>
          <w:color w:val="000000" w:themeColor="text1"/>
        </w:rPr>
        <w:t>況我國目前就相關人才外流</w:t>
      </w:r>
      <w:r w:rsidR="00652EA9" w:rsidRPr="008B619A">
        <w:rPr>
          <w:rFonts w:hAnsi="標楷體" w:hint="eastAsia"/>
          <w:color w:val="000000" w:themeColor="text1"/>
        </w:rPr>
        <w:t>及其外流隱憂未見全面掌握，亟待</w:t>
      </w:r>
      <w:r w:rsidR="00DF7426" w:rsidRPr="008B619A">
        <w:rPr>
          <w:rFonts w:hAnsi="標楷體" w:hint="eastAsia"/>
          <w:color w:val="000000" w:themeColor="text1"/>
        </w:rPr>
        <w:t>政府整合思忖</w:t>
      </w:r>
      <w:r w:rsidR="00652EA9" w:rsidRPr="008B619A">
        <w:rPr>
          <w:rFonts w:hAnsi="標楷體" w:hint="eastAsia"/>
          <w:color w:val="000000" w:themeColor="text1"/>
        </w:rPr>
        <w:t>研議</w:t>
      </w:r>
      <w:r w:rsidR="00092C49" w:rsidRPr="008B619A">
        <w:rPr>
          <w:rFonts w:hint="eastAsia"/>
          <w:color w:val="000000" w:themeColor="text1"/>
        </w:rPr>
        <w:t>。</w:t>
      </w:r>
    </w:p>
    <w:p w14:paraId="5505672A" w14:textId="193D9C9B" w:rsidR="00E4013E" w:rsidRPr="008B619A" w:rsidRDefault="00E4013E" w:rsidP="00932310">
      <w:pPr>
        <w:pStyle w:val="3"/>
        <w:rPr>
          <w:color w:val="000000" w:themeColor="text1"/>
        </w:rPr>
      </w:pPr>
      <w:r w:rsidRPr="008B619A">
        <w:rPr>
          <w:rFonts w:hint="eastAsia"/>
          <w:color w:val="000000" w:themeColor="text1"/>
        </w:rPr>
        <w:t>綜上，近年</w:t>
      </w:r>
      <w:r w:rsidR="002C621C" w:rsidRPr="008B619A">
        <w:rPr>
          <w:rFonts w:hint="eastAsia"/>
          <w:color w:val="000000" w:themeColor="text1"/>
        </w:rPr>
        <w:t>中國</w:t>
      </w:r>
      <w:r w:rsidRPr="008B619A">
        <w:rPr>
          <w:rFonts w:hint="eastAsia"/>
          <w:color w:val="000000" w:themeColor="text1"/>
        </w:rPr>
        <w:t>誘吸我高教人才赴陸發展</w:t>
      </w:r>
      <w:r w:rsidR="00A01339" w:rsidRPr="008B619A">
        <w:rPr>
          <w:rFonts w:hint="eastAsia"/>
          <w:color w:val="000000" w:themeColor="text1"/>
        </w:rPr>
        <w:t>整體現況未見政府全盤掌握</w:t>
      </w:r>
      <w:r w:rsidRPr="008B619A">
        <w:rPr>
          <w:rFonts w:hint="eastAsia"/>
          <w:color w:val="000000" w:themeColor="text1"/>
        </w:rPr>
        <w:t>，目前雖並未形成大規模群聚效應，惟仍應嚴防我重點高教人才西進，協助陸方提升整體學研能量之風險。未來陸方除深化「引才」、「留才」配套措施，期使我專業人才落地生根，加速融入陸方當地生活；亦不排除透過調升薪資、安家費、科研經費等措施及臺師人脈加強對我教育體</w:t>
      </w:r>
      <w:r w:rsidRPr="008B619A">
        <w:rPr>
          <w:rFonts w:hint="eastAsia"/>
          <w:color w:val="000000" w:themeColor="text1"/>
        </w:rPr>
        <w:lastRenderedPageBreak/>
        <w:t>系之互動連結，伺機進行人才磁吸及技術竊取，藉此深化兩岸融合發展及對我之可能影響</w:t>
      </w:r>
      <w:r w:rsidR="00712FBF" w:rsidRPr="008B619A">
        <w:rPr>
          <w:rFonts w:hint="eastAsia"/>
          <w:color w:val="000000" w:themeColor="text1"/>
        </w:rPr>
        <w:t>。</w:t>
      </w:r>
      <w:r w:rsidR="00D070F4" w:rsidRPr="008B619A">
        <w:rPr>
          <w:rFonts w:hint="eastAsia"/>
          <w:bCs w:val="0"/>
          <w:color w:val="000000" w:themeColor="text1"/>
        </w:rPr>
        <w:t>爰未來如何嚴防重點高教人才外流，避免減損我國學術研發能量，甚成為協助陸方提升整體學研能量、產業及技術升級之風險，此與我國文化</w:t>
      </w:r>
      <w:r w:rsidR="00D070F4" w:rsidRPr="008B619A">
        <w:rPr>
          <w:rFonts w:hAnsi="標楷體" w:hint="eastAsia"/>
          <w:bCs w:val="0"/>
          <w:color w:val="000000" w:themeColor="text1"/>
        </w:rPr>
        <w:t>、</w:t>
      </w:r>
      <w:r w:rsidR="00D070F4" w:rsidRPr="008B619A">
        <w:rPr>
          <w:rFonts w:hint="eastAsia"/>
          <w:bCs w:val="0"/>
          <w:color w:val="000000" w:themeColor="text1"/>
        </w:rPr>
        <w:t>經濟</w:t>
      </w:r>
      <w:r w:rsidR="00D070F4" w:rsidRPr="008B619A">
        <w:rPr>
          <w:rFonts w:hAnsi="標楷體" w:hint="eastAsia"/>
          <w:bCs w:val="0"/>
          <w:color w:val="000000" w:themeColor="text1"/>
        </w:rPr>
        <w:t>、</w:t>
      </w:r>
      <w:r w:rsidR="00D070F4" w:rsidRPr="008B619A">
        <w:rPr>
          <w:rFonts w:hint="eastAsia"/>
          <w:bCs w:val="0"/>
          <w:color w:val="000000" w:themeColor="text1"/>
        </w:rPr>
        <w:t>產業發展政策及國家安全息息相關，宜予高度重視；政府允宜強化橫向聯繫及權責分工，並指定單一調查單位或專責窗口，以全盤掌握人才出走因素</w:t>
      </w:r>
      <w:r w:rsidR="00D070F4" w:rsidRPr="008B619A">
        <w:rPr>
          <w:rFonts w:hAnsi="標楷體" w:hint="eastAsia"/>
          <w:bCs w:val="0"/>
          <w:color w:val="000000" w:themeColor="text1"/>
        </w:rPr>
        <w:t>、</w:t>
      </w:r>
      <w:r w:rsidR="00D070F4" w:rsidRPr="008B619A">
        <w:rPr>
          <w:rFonts w:hint="eastAsia"/>
          <w:bCs w:val="0"/>
          <w:color w:val="000000" w:themeColor="text1"/>
        </w:rPr>
        <w:t>現況以茲統籌評估因應，並能及時提供關懷或協助，整體調查方法及配套機制亟待儘速思忖建</w:t>
      </w:r>
      <w:r w:rsidR="001C1870" w:rsidRPr="008B619A">
        <w:rPr>
          <w:rFonts w:hint="eastAsia"/>
          <w:bCs w:val="0"/>
          <w:color w:val="000000" w:themeColor="text1"/>
        </w:rPr>
        <w:t>立</w:t>
      </w:r>
      <w:r w:rsidR="00C74D44" w:rsidRPr="008B619A">
        <w:rPr>
          <w:rFonts w:hint="eastAsia"/>
          <w:color w:val="000000" w:themeColor="text1"/>
        </w:rPr>
        <w:t>。</w:t>
      </w:r>
    </w:p>
    <w:p w14:paraId="5205AE3B" w14:textId="77777777" w:rsidR="00A13799" w:rsidRPr="008B619A" w:rsidRDefault="00A13799" w:rsidP="00A13799">
      <w:pPr>
        <w:rPr>
          <w:color w:val="000000" w:themeColor="text1"/>
        </w:rPr>
      </w:pPr>
    </w:p>
    <w:p w14:paraId="28B25D46" w14:textId="1C047823" w:rsidR="005A3AB2" w:rsidRPr="008B619A" w:rsidRDefault="00516B61" w:rsidP="009430A5">
      <w:pPr>
        <w:pStyle w:val="2"/>
        <w:rPr>
          <w:color w:val="000000" w:themeColor="text1"/>
        </w:rPr>
      </w:pPr>
      <w:bookmarkStart w:id="80" w:name="_Toc76980140"/>
      <w:bookmarkStart w:id="81" w:name="_Toc59803656"/>
      <w:bookmarkEnd w:id="79"/>
      <w:r w:rsidRPr="008B619A">
        <w:rPr>
          <w:rFonts w:hint="eastAsia"/>
          <w:b/>
          <w:bCs w:val="0"/>
          <w:color w:val="000000" w:themeColor="text1"/>
        </w:rPr>
        <w:t>全球化及知識經濟之脈絡下，</w:t>
      </w:r>
      <w:r w:rsidRPr="008B619A">
        <w:rPr>
          <w:rFonts w:hAnsi="標楷體" w:hint="eastAsia"/>
          <w:b/>
          <w:bCs w:val="0"/>
          <w:color w:val="000000" w:themeColor="text1"/>
        </w:rPr>
        <w:t>博士級人才牽動國家研發能量，</w:t>
      </w:r>
      <w:r w:rsidR="007E6649" w:rsidRPr="008B619A">
        <w:rPr>
          <w:rFonts w:hAnsi="標楷體" w:hint="eastAsia"/>
          <w:b/>
          <w:bCs w:val="0"/>
          <w:color w:val="000000" w:themeColor="text1"/>
        </w:rPr>
        <w:t>是</w:t>
      </w:r>
      <w:r w:rsidRPr="008B619A">
        <w:rPr>
          <w:rFonts w:hint="eastAsia"/>
          <w:b/>
          <w:bCs w:val="0"/>
          <w:color w:val="000000" w:themeColor="text1"/>
        </w:rPr>
        <w:t>我國科研及學術發展</w:t>
      </w:r>
      <w:r w:rsidR="007E6649" w:rsidRPr="008B619A">
        <w:rPr>
          <w:rFonts w:hint="eastAsia"/>
          <w:b/>
          <w:bCs w:val="0"/>
          <w:color w:val="000000" w:themeColor="text1"/>
        </w:rPr>
        <w:t>之</w:t>
      </w:r>
      <w:r w:rsidRPr="008B619A">
        <w:rPr>
          <w:rFonts w:hint="eastAsia"/>
          <w:b/>
          <w:bCs w:val="0"/>
          <w:color w:val="000000" w:themeColor="text1"/>
        </w:rPr>
        <w:t>重要基石</w:t>
      </w:r>
      <w:r w:rsidR="00AB766C" w:rsidRPr="008B619A">
        <w:rPr>
          <w:rFonts w:hint="eastAsia"/>
          <w:b/>
          <w:bCs w:val="0"/>
          <w:color w:val="000000" w:themeColor="text1"/>
        </w:rPr>
        <w:t>，</w:t>
      </w:r>
      <w:r w:rsidR="008D5988" w:rsidRPr="008B619A">
        <w:rPr>
          <w:rFonts w:hAnsi="標楷體" w:hint="eastAsia"/>
          <w:b/>
          <w:bCs w:val="0"/>
          <w:color w:val="000000" w:themeColor="text1"/>
        </w:rPr>
        <w:t>107年我國研究所學歷的</w:t>
      </w:r>
      <w:r w:rsidR="005F0082" w:rsidRPr="008B619A">
        <w:rPr>
          <w:rFonts w:hAnsi="標楷體" w:hint="eastAsia"/>
          <w:b/>
          <w:bCs w:val="0"/>
          <w:color w:val="000000" w:themeColor="text1"/>
        </w:rPr>
        <w:t>勞動力參與率</w:t>
      </w:r>
      <w:r w:rsidR="008D5988" w:rsidRPr="008B619A">
        <w:rPr>
          <w:rFonts w:hAnsi="標楷體" w:hint="eastAsia"/>
          <w:b/>
          <w:bCs w:val="0"/>
          <w:color w:val="000000" w:themeColor="text1"/>
        </w:rPr>
        <w:t>首度跌破</w:t>
      </w:r>
      <w:r w:rsidR="00573C3F" w:rsidRPr="008B619A">
        <w:rPr>
          <w:rFonts w:hAnsi="標楷體" w:hint="eastAsia"/>
          <w:b/>
          <w:bCs w:val="0"/>
          <w:color w:val="000000" w:themeColor="text1"/>
        </w:rPr>
        <w:t>7</w:t>
      </w:r>
      <w:r w:rsidR="008D5988" w:rsidRPr="008B619A">
        <w:rPr>
          <w:rFonts w:hAnsi="標楷體" w:hint="eastAsia"/>
          <w:b/>
          <w:bCs w:val="0"/>
          <w:color w:val="000000" w:themeColor="text1"/>
        </w:rPr>
        <w:t>成</w:t>
      </w:r>
      <w:r w:rsidR="00D2276D" w:rsidRPr="008B619A">
        <w:rPr>
          <w:rFonts w:hAnsi="標楷體" w:hint="eastAsia"/>
          <w:b/>
          <w:bCs w:val="0"/>
          <w:color w:val="000000" w:themeColor="text1"/>
        </w:rPr>
        <w:t>（68.97%），</w:t>
      </w:r>
      <w:r w:rsidR="009335AA" w:rsidRPr="008B619A">
        <w:rPr>
          <w:rFonts w:hAnsi="標楷體" w:hint="eastAsia"/>
          <w:b/>
          <w:bCs w:val="0"/>
          <w:color w:val="000000" w:themeColor="text1"/>
        </w:rPr>
        <w:t>至</w:t>
      </w:r>
      <w:r w:rsidR="00D2276D" w:rsidRPr="008B619A">
        <w:rPr>
          <w:rFonts w:hAnsi="標楷體" w:hint="eastAsia"/>
          <w:b/>
          <w:bCs w:val="0"/>
          <w:color w:val="000000" w:themeColor="text1"/>
        </w:rPr>
        <w:t>109年</w:t>
      </w:r>
      <w:r w:rsidR="0042490A" w:rsidRPr="008B619A">
        <w:rPr>
          <w:rFonts w:hAnsi="標楷體" w:hint="eastAsia"/>
          <w:b/>
          <w:bCs w:val="0"/>
          <w:color w:val="000000" w:themeColor="text1"/>
        </w:rPr>
        <w:t>再</w:t>
      </w:r>
      <w:r w:rsidR="009335AA" w:rsidRPr="008B619A">
        <w:rPr>
          <w:rFonts w:hAnsi="標楷體" w:hint="eastAsia"/>
          <w:b/>
          <w:bCs w:val="0"/>
          <w:color w:val="000000" w:themeColor="text1"/>
        </w:rPr>
        <w:t>降</w:t>
      </w:r>
      <w:r w:rsidR="00F175C9" w:rsidRPr="008B619A">
        <w:rPr>
          <w:rFonts w:hAnsi="標楷體" w:hint="eastAsia"/>
          <w:b/>
          <w:bCs w:val="0"/>
          <w:color w:val="000000" w:themeColor="text1"/>
        </w:rPr>
        <w:t>為</w:t>
      </w:r>
      <w:r w:rsidR="00BE2BEA" w:rsidRPr="008B619A">
        <w:rPr>
          <w:rFonts w:hAnsi="標楷體" w:hint="eastAsia"/>
          <w:b/>
          <w:bCs w:val="0"/>
          <w:color w:val="000000" w:themeColor="text1"/>
        </w:rPr>
        <w:t>68.9</w:t>
      </w:r>
      <w:r w:rsidR="004E3BF1" w:rsidRPr="008B619A">
        <w:rPr>
          <w:rFonts w:hAnsi="標楷體" w:hint="eastAsia"/>
          <w:b/>
          <w:bCs w:val="0"/>
          <w:color w:val="000000" w:themeColor="text1"/>
        </w:rPr>
        <w:t>0</w:t>
      </w:r>
      <w:r w:rsidR="00BE2BEA" w:rsidRPr="008B619A">
        <w:rPr>
          <w:rFonts w:hAnsi="標楷體" w:hint="eastAsia"/>
          <w:b/>
          <w:bCs w:val="0"/>
          <w:color w:val="000000" w:themeColor="text1"/>
        </w:rPr>
        <w:t>%</w:t>
      </w:r>
      <w:r w:rsidR="008C053D" w:rsidRPr="008B619A">
        <w:rPr>
          <w:rFonts w:hAnsi="標楷體" w:hint="eastAsia"/>
          <w:b/>
          <w:bCs w:val="0"/>
          <w:color w:val="000000" w:themeColor="text1"/>
        </w:rPr>
        <w:t>，</w:t>
      </w:r>
      <w:r w:rsidR="008D5988" w:rsidRPr="008B619A">
        <w:rPr>
          <w:rFonts w:hAnsi="標楷體" w:hint="eastAsia"/>
          <w:b/>
          <w:bCs w:val="0"/>
          <w:color w:val="000000" w:themeColor="text1"/>
        </w:rPr>
        <w:t>復依</w:t>
      </w:r>
      <w:r w:rsidR="008D5988" w:rsidRPr="008B619A">
        <w:rPr>
          <w:rFonts w:hAnsi="標楷體"/>
          <w:b/>
          <w:bCs w:val="0"/>
          <w:color w:val="000000" w:themeColor="text1"/>
        </w:rPr>
        <w:t>主計總處</w:t>
      </w:r>
      <w:r w:rsidR="008D5988" w:rsidRPr="008B619A">
        <w:rPr>
          <w:rFonts w:hAnsi="標楷體" w:hint="eastAsia"/>
          <w:b/>
          <w:bCs w:val="0"/>
          <w:color w:val="000000" w:themeColor="text1"/>
        </w:rPr>
        <w:t>調查統計，</w:t>
      </w:r>
      <w:r w:rsidR="008D5988" w:rsidRPr="008B619A">
        <w:rPr>
          <w:rFonts w:hAnsi="標楷體"/>
          <w:b/>
          <w:bCs w:val="0"/>
          <w:color w:val="000000" w:themeColor="text1"/>
        </w:rPr>
        <w:t>109年</w:t>
      </w:r>
      <w:r w:rsidR="008D5988" w:rsidRPr="008B619A">
        <w:rPr>
          <w:rFonts w:hAnsi="標楷體" w:hint="eastAsia"/>
          <w:b/>
          <w:bCs w:val="0"/>
          <w:color w:val="000000" w:themeColor="text1"/>
        </w:rPr>
        <w:t>國人</w:t>
      </w:r>
      <w:r w:rsidR="008D5988" w:rsidRPr="008B619A">
        <w:rPr>
          <w:rFonts w:hAnsi="標楷體"/>
          <w:b/>
          <w:bCs w:val="0"/>
          <w:color w:val="000000" w:themeColor="text1"/>
        </w:rPr>
        <w:t>研究所以上學歷者失業率為3.04%</w:t>
      </w:r>
      <w:r w:rsidR="00F22378" w:rsidRPr="008B619A">
        <w:rPr>
          <w:rFonts w:hAnsi="標楷體" w:hint="eastAsia"/>
          <w:b/>
          <w:bCs w:val="0"/>
          <w:color w:val="000000" w:themeColor="text1"/>
        </w:rPr>
        <w:t>、</w:t>
      </w:r>
      <w:r w:rsidR="008D5988" w:rsidRPr="008B619A">
        <w:rPr>
          <w:rFonts w:hAnsi="標楷體" w:hint="eastAsia"/>
          <w:b/>
          <w:bCs w:val="0"/>
          <w:color w:val="000000" w:themeColor="text1"/>
        </w:rPr>
        <w:t>非典型就業人數為3.7萬人，占非典型就業人數4.6%</w:t>
      </w:r>
      <w:r w:rsidR="00963587" w:rsidRPr="008B619A">
        <w:rPr>
          <w:rFonts w:hAnsi="標楷體" w:hint="eastAsia"/>
          <w:b/>
          <w:bCs w:val="0"/>
          <w:color w:val="000000" w:themeColor="text1"/>
        </w:rPr>
        <w:t>，足見</w:t>
      </w:r>
      <w:r w:rsidR="004D3B37" w:rsidRPr="008B619A">
        <w:rPr>
          <w:rFonts w:hAnsi="標楷體" w:hint="eastAsia"/>
          <w:b/>
          <w:bCs w:val="0"/>
          <w:color w:val="000000" w:themeColor="text1"/>
        </w:rPr>
        <w:t>整體高學歷者</w:t>
      </w:r>
      <w:r w:rsidR="00963587" w:rsidRPr="008B619A">
        <w:rPr>
          <w:rFonts w:hAnsi="標楷體"/>
          <w:b/>
          <w:bCs w:val="0"/>
          <w:color w:val="000000" w:themeColor="text1"/>
        </w:rPr>
        <w:t>就業環境日趨嚴峻</w:t>
      </w:r>
      <w:r w:rsidR="00350902" w:rsidRPr="008B619A">
        <w:rPr>
          <w:rFonts w:hint="eastAsia"/>
          <w:b/>
          <w:bCs w:val="0"/>
          <w:color w:val="000000" w:themeColor="text1"/>
        </w:rPr>
        <w:t>；</w:t>
      </w:r>
      <w:r w:rsidR="00361066" w:rsidRPr="008B619A">
        <w:rPr>
          <w:rFonts w:hint="eastAsia"/>
          <w:b/>
          <w:bCs w:val="0"/>
          <w:color w:val="000000" w:themeColor="text1"/>
        </w:rPr>
        <w:t>其中，</w:t>
      </w:r>
      <w:r w:rsidR="00350902" w:rsidRPr="008B619A">
        <w:rPr>
          <w:rFonts w:hint="eastAsia"/>
          <w:b/>
          <w:bCs w:val="0"/>
          <w:color w:val="000000" w:themeColor="text1"/>
        </w:rPr>
        <w:t>理工類博士</w:t>
      </w:r>
      <w:r w:rsidR="002226DA" w:rsidRPr="008B619A">
        <w:rPr>
          <w:rFonts w:hint="eastAsia"/>
          <w:b/>
          <w:bCs w:val="0"/>
          <w:color w:val="000000" w:themeColor="text1"/>
        </w:rPr>
        <w:t>之</w:t>
      </w:r>
      <w:r w:rsidR="00350902" w:rsidRPr="008B619A">
        <w:rPr>
          <w:rFonts w:hint="eastAsia"/>
          <w:b/>
          <w:bCs w:val="0"/>
          <w:color w:val="000000" w:themeColor="text1"/>
        </w:rPr>
        <w:t>就業</w:t>
      </w:r>
      <w:r w:rsidR="00A145C3" w:rsidRPr="008B619A">
        <w:rPr>
          <w:rFonts w:hint="eastAsia"/>
          <w:b/>
          <w:bCs w:val="0"/>
          <w:color w:val="000000" w:themeColor="text1"/>
        </w:rPr>
        <w:t>機會雖</w:t>
      </w:r>
      <w:r w:rsidR="00350902" w:rsidRPr="008B619A">
        <w:rPr>
          <w:rFonts w:hint="eastAsia"/>
          <w:b/>
          <w:bCs w:val="0"/>
          <w:color w:val="000000" w:themeColor="text1"/>
        </w:rPr>
        <w:t>尚未見明顯困境，然</w:t>
      </w:r>
      <w:r w:rsidR="00350902" w:rsidRPr="008B619A">
        <w:rPr>
          <w:rFonts w:hAnsi="標楷體" w:hint="eastAsia"/>
          <w:b/>
          <w:bCs w:val="0"/>
          <w:color w:val="000000" w:themeColor="text1"/>
        </w:rPr>
        <w:t>因就學</w:t>
      </w:r>
      <w:r w:rsidR="0004716C" w:rsidRPr="008B619A">
        <w:rPr>
          <w:rFonts w:hAnsi="標楷體" w:hint="eastAsia"/>
          <w:b/>
          <w:bCs w:val="0"/>
          <w:color w:val="000000" w:themeColor="text1"/>
        </w:rPr>
        <w:t>年限</w:t>
      </w:r>
      <w:r w:rsidR="00350902" w:rsidRPr="008B619A">
        <w:rPr>
          <w:rFonts w:hAnsi="標楷體" w:hint="eastAsia"/>
          <w:b/>
          <w:bCs w:val="0"/>
          <w:color w:val="000000" w:themeColor="text1"/>
        </w:rPr>
        <w:t>延後職場累積年資</w:t>
      </w:r>
      <w:r w:rsidR="00E109F3" w:rsidRPr="008B619A">
        <w:rPr>
          <w:rFonts w:hAnsi="標楷體" w:hint="eastAsia"/>
          <w:b/>
          <w:bCs w:val="0"/>
          <w:color w:val="000000" w:themeColor="text1"/>
        </w:rPr>
        <w:t>等因</w:t>
      </w:r>
      <w:r w:rsidR="003E19F2" w:rsidRPr="008B619A">
        <w:rPr>
          <w:rFonts w:hAnsi="標楷體" w:hint="eastAsia"/>
          <w:b/>
          <w:bCs w:val="0"/>
          <w:color w:val="000000" w:themeColor="text1"/>
        </w:rPr>
        <w:t>，</w:t>
      </w:r>
      <w:r w:rsidR="00E109F3" w:rsidRPr="008B619A">
        <w:rPr>
          <w:rFonts w:hAnsi="標楷體" w:hint="eastAsia"/>
          <w:b/>
          <w:bCs w:val="0"/>
          <w:color w:val="000000" w:themeColor="text1"/>
        </w:rPr>
        <w:t>均不利其養成</w:t>
      </w:r>
      <w:r w:rsidR="00443BB5" w:rsidRPr="008B619A">
        <w:rPr>
          <w:rFonts w:hAnsi="標楷體" w:hint="eastAsia"/>
          <w:b/>
          <w:bCs w:val="0"/>
          <w:color w:val="000000" w:themeColor="text1"/>
        </w:rPr>
        <w:t>，</w:t>
      </w:r>
      <w:r w:rsidR="00C54749" w:rsidRPr="008B619A">
        <w:rPr>
          <w:rFonts w:hAnsi="標楷體" w:hint="eastAsia"/>
          <w:b/>
          <w:bCs w:val="0"/>
          <w:color w:val="000000" w:themeColor="text1"/>
        </w:rPr>
        <w:t>況</w:t>
      </w:r>
      <w:r w:rsidR="002F6F01" w:rsidRPr="008B619A">
        <w:rPr>
          <w:rFonts w:hAnsi="標楷體" w:hint="eastAsia"/>
          <w:b/>
          <w:bCs w:val="0"/>
          <w:color w:val="000000" w:themeColor="text1"/>
        </w:rPr>
        <w:t>相較於</w:t>
      </w:r>
      <w:r w:rsidR="009011B7" w:rsidRPr="008B619A">
        <w:rPr>
          <w:rFonts w:hAnsi="標楷體" w:hint="eastAsia"/>
          <w:b/>
          <w:bCs w:val="0"/>
          <w:color w:val="000000" w:themeColor="text1"/>
        </w:rPr>
        <w:t>國外</w:t>
      </w:r>
      <w:r w:rsidR="00393E0E" w:rsidRPr="008B619A">
        <w:rPr>
          <w:rFonts w:hAnsi="標楷體" w:hint="eastAsia"/>
          <w:b/>
          <w:bCs w:val="0"/>
          <w:color w:val="000000" w:themeColor="text1"/>
        </w:rPr>
        <w:t>先進國家</w:t>
      </w:r>
      <w:r w:rsidR="0091230A" w:rsidRPr="008B619A">
        <w:rPr>
          <w:rFonts w:hAnsi="標楷體" w:hint="eastAsia"/>
          <w:b/>
          <w:bCs w:val="0"/>
          <w:color w:val="000000" w:themeColor="text1"/>
        </w:rPr>
        <w:t>博士</w:t>
      </w:r>
      <w:r w:rsidR="00D00DAE" w:rsidRPr="008B619A">
        <w:rPr>
          <w:rFonts w:hAnsi="標楷體" w:hint="eastAsia"/>
          <w:b/>
          <w:bCs w:val="0"/>
          <w:color w:val="000000" w:themeColor="text1"/>
        </w:rPr>
        <w:t>級人才</w:t>
      </w:r>
      <w:r w:rsidR="009011B7" w:rsidRPr="008B619A">
        <w:rPr>
          <w:rFonts w:hAnsi="標楷體" w:hint="eastAsia"/>
          <w:b/>
          <w:bCs w:val="0"/>
          <w:color w:val="000000" w:themeColor="text1"/>
        </w:rPr>
        <w:t>薪資，</w:t>
      </w:r>
      <w:r w:rsidR="0067267B" w:rsidRPr="008B619A">
        <w:rPr>
          <w:rFonts w:hAnsi="標楷體" w:hint="eastAsia"/>
          <w:b/>
          <w:bCs w:val="0"/>
          <w:color w:val="000000" w:themeColor="text1"/>
        </w:rPr>
        <w:t>顯然外界對於</w:t>
      </w:r>
      <w:r w:rsidR="001E1F10" w:rsidRPr="008B619A">
        <w:rPr>
          <w:rFonts w:hAnsi="標楷體" w:hint="eastAsia"/>
          <w:b/>
          <w:bCs w:val="0"/>
          <w:color w:val="000000" w:themeColor="text1"/>
        </w:rPr>
        <w:t>我國</w:t>
      </w:r>
      <w:r w:rsidR="002C2859" w:rsidRPr="008B619A">
        <w:rPr>
          <w:rFonts w:hAnsi="標楷體" w:hint="eastAsia"/>
          <w:b/>
          <w:bCs w:val="0"/>
          <w:color w:val="000000" w:themeColor="text1"/>
        </w:rPr>
        <w:t>各領域</w:t>
      </w:r>
      <w:r w:rsidR="00B65F41" w:rsidRPr="008B619A">
        <w:rPr>
          <w:rFonts w:hAnsi="標楷體" w:hint="eastAsia"/>
          <w:b/>
          <w:bCs w:val="0"/>
          <w:color w:val="000000" w:themeColor="text1"/>
        </w:rPr>
        <w:t>博士薪資</w:t>
      </w:r>
      <w:r w:rsidR="009011B7" w:rsidRPr="008B619A">
        <w:rPr>
          <w:rFonts w:hAnsi="標楷體" w:hint="eastAsia"/>
          <w:b/>
          <w:bCs w:val="0"/>
          <w:color w:val="000000" w:themeColor="text1"/>
        </w:rPr>
        <w:t>均</w:t>
      </w:r>
      <w:r w:rsidR="00B65F41" w:rsidRPr="008B619A">
        <w:rPr>
          <w:rFonts w:hAnsi="標楷體" w:hint="eastAsia"/>
          <w:b/>
          <w:bCs w:val="0"/>
          <w:color w:val="000000" w:themeColor="text1"/>
        </w:rPr>
        <w:t>有期待提升</w:t>
      </w:r>
      <w:r w:rsidR="00877146" w:rsidRPr="008B619A">
        <w:rPr>
          <w:rFonts w:hAnsi="標楷體" w:hint="eastAsia"/>
          <w:b/>
          <w:bCs w:val="0"/>
          <w:color w:val="000000" w:themeColor="text1"/>
        </w:rPr>
        <w:t>之</w:t>
      </w:r>
      <w:r w:rsidR="00B65F41" w:rsidRPr="008B619A">
        <w:rPr>
          <w:rFonts w:hAnsi="標楷體" w:hint="eastAsia"/>
          <w:b/>
          <w:bCs w:val="0"/>
          <w:color w:val="000000" w:themeColor="text1"/>
        </w:rPr>
        <w:t>空間</w:t>
      </w:r>
      <w:r w:rsidR="00350902" w:rsidRPr="008B619A">
        <w:rPr>
          <w:rFonts w:hAnsi="標楷體" w:hint="eastAsia"/>
          <w:b/>
          <w:bCs w:val="0"/>
          <w:color w:val="000000" w:themeColor="text1"/>
        </w:rPr>
        <w:t>，而</w:t>
      </w:r>
      <w:r w:rsidR="00350902" w:rsidRPr="008B619A">
        <w:rPr>
          <w:rFonts w:hint="eastAsia"/>
          <w:b/>
          <w:bCs w:val="0"/>
          <w:color w:val="000000" w:themeColor="text1"/>
        </w:rPr>
        <w:t>部分領域博士班畢業後難尋合適職位，實為全球共同現象之一</w:t>
      </w:r>
      <w:r w:rsidR="00776686" w:rsidRPr="008B619A">
        <w:rPr>
          <w:rFonts w:hAnsi="標楷體" w:hint="eastAsia"/>
          <w:b/>
          <w:bCs w:val="0"/>
          <w:color w:val="000000" w:themeColor="text1"/>
        </w:rPr>
        <w:t>，</w:t>
      </w:r>
      <w:r w:rsidR="00FC7156" w:rsidRPr="008B619A">
        <w:rPr>
          <w:b/>
          <w:bCs w:val="0"/>
          <w:color w:val="000000" w:themeColor="text1"/>
        </w:rPr>
        <w:t>近年</w:t>
      </w:r>
      <w:r w:rsidR="00833A3F" w:rsidRPr="008B619A">
        <w:rPr>
          <w:rFonts w:hint="eastAsia"/>
          <w:b/>
          <w:bCs w:val="0"/>
          <w:color w:val="000000" w:themeColor="text1"/>
        </w:rPr>
        <w:t>研究報導</w:t>
      </w:r>
      <w:r w:rsidR="00FC7156" w:rsidRPr="008B619A">
        <w:rPr>
          <w:b/>
          <w:bCs w:val="0"/>
          <w:color w:val="000000" w:themeColor="text1"/>
        </w:rPr>
        <w:t>不乏以</w:t>
      </w:r>
      <w:r w:rsidR="00833A3F" w:rsidRPr="008B619A">
        <w:rPr>
          <w:rFonts w:hAnsi="標楷體" w:hint="eastAsia"/>
          <w:b/>
          <w:bCs w:val="0"/>
          <w:color w:val="000000" w:themeColor="text1"/>
        </w:rPr>
        <w:t>臺灣博士失業及低度就業等為</w:t>
      </w:r>
      <w:r w:rsidR="00FC7156" w:rsidRPr="008B619A">
        <w:rPr>
          <w:rFonts w:hAnsi="標楷體"/>
          <w:b/>
          <w:bCs w:val="0"/>
          <w:color w:val="000000" w:themeColor="text1"/>
        </w:rPr>
        <w:t>題</w:t>
      </w:r>
      <w:r w:rsidR="00833A3F" w:rsidRPr="008B619A">
        <w:rPr>
          <w:rFonts w:hAnsi="標楷體" w:hint="eastAsia"/>
          <w:b/>
          <w:bCs w:val="0"/>
          <w:color w:val="000000" w:themeColor="text1"/>
        </w:rPr>
        <w:t>材</w:t>
      </w:r>
      <w:r w:rsidR="00FC7156" w:rsidRPr="008B619A">
        <w:rPr>
          <w:rFonts w:hAnsi="標楷體"/>
          <w:b/>
          <w:bCs w:val="0"/>
          <w:color w:val="000000" w:themeColor="text1"/>
        </w:rPr>
        <w:t>，</w:t>
      </w:r>
      <w:r w:rsidR="00833A3F" w:rsidRPr="008B619A">
        <w:rPr>
          <w:rFonts w:hAnsi="標楷體" w:hint="eastAsia"/>
          <w:b/>
          <w:bCs w:val="0"/>
          <w:color w:val="000000" w:themeColor="text1"/>
        </w:rPr>
        <w:t>然</w:t>
      </w:r>
      <w:r w:rsidR="00FC7156" w:rsidRPr="008B619A">
        <w:rPr>
          <w:rFonts w:hAnsi="標楷體"/>
          <w:b/>
          <w:bCs w:val="0"/>
          <w:color w:val="000000" w:themeColor="text1"/>
        </w:rPr>
        <w:t>多</w:t>
      </w:r>
      <w:r w:rsidR="00833A3F" w:rsidRPr="008B619A">
        <w:rPr>
          <w:rFonts w:hAnsi="標楷體" w:hint="eastAsia"/>
          <w:b/>
          <w:bCs w:val="0"/>
          <w:color w:val="000000" w:themeColor="text1"/>
        </w:rPr>
        <w:t>屬個案探討，尚難</w:t>
      </w:r>
      <w:r w:rsidR="00A87CB8" w:rsidRPr="008B619A">
        <w:rPr>
          <w:rFonts w:hAnsi="標楷體" w:hint="eastAsia"/>
          <w:b/>
          <w:bCs w:val="0"/>
          <w:color w:val="000000" w:themeColor="text1"/>
        </w:rPr>
        <w:t>梳理</w:t>
      </w:r>
      <w:r w:rsidR="00FC7156" w:rsidRPr="008B619A">
        <w:rPr>
          <w:rFonts w:hAnsi="標楷體"/>
          <w:b/>
          <w:bCs w:val="0"/>
          <w:color w:val="000000" w:themeColor="text1"/>
        </w:rPr>
        <w:t>整體</w:t>
      </w:r>
      <w:r w:rsidR="007E144C" w:rsidRPr="008B619A">
        <w:rPr>
          <w:rFonts w:hAnsi="標楷體" w:hint="eastAsia"/>
          <w:b/>
          <w:bCs w:val="0"/>
          <w:color w:val="000000" w:themeColor="text1"/>
        </w:rPr>
        <w:t>現況及趨勢</w:t>
      </w:r>
      <w:r w:rsidR="00FC7156" w:rsidRPr="008B619A">
        <w:rPr>
          <w:rFonts w:hAnsi="標楷體"/>
          <w:b/>
          <w:bCs w:val="0"/>
          <w:color w:val="000000" w:themeColor="text1"/>
        </w:rPr>
        <w:t>全貌，</w:t>
      </w:r>
      <w:r w:rsidR="00877146" w:rsidRPr="008B619A">
        <w:rPr>
          <w:rFonts w:hint="eastAsia"/>
          <w:b/>
          <w:color w:val="000000" w:themeColor="text1"/>
        </w:rPr>
        <w:t>且</w:t>
      </w:r>
      <w:r w:rsidR="006E0B92" w:rsidRPr="008B619A">
        <w:rPr>
          <w:rFonts w:hAnsi="標楷體" w:hint="eastAsia"/>
          <w:b/>
          <w:color w:val="000000" w:themeColor="text1"/>
        </w:rPr>
        <w:t>各機關統計區分表達博士類數據</w:t>
      </w:r>
      <w:r w:rsidR="00262389" w:rsidRPr="008B619A">
        <w:rPr>
          <w:rFonts w:hAnsi="標楷體" w:hint="eastAsia"/>
          <w:b/>
          <w:color w:val="000000" w:themeColor="text1"/>
        </w:rPr>
        <w:t>及產業需求</w:t>
      </w:r>
      <w:r w:rsidR="006E0B92" w:rsidRPr="008B619A">
        <w:rPr>
          <w:rFonts w:hAnsi="標楷體" w:hint="eastAsia"/>
          <w:b/>
          <w:color w:val="000000" w:themeColor="text1"/>
        </w:rPr>
        <w:t>仍</w:t>
      </w:r>
      <w:r w:rsidR="00262389" w:rsidRPr="008B619A">
        <w:rPr>
          <w:rFonts w:hAnsi="標楷體" w:hint="eastAsia"/>
          <w:b/>
          <w:color w:val="000000" w:themeColor="text1"/>
        </w:rPr>
        <w:t>有</w:t>
      </w:r>
      <w:r w:rsidR="006E0B92" w:rsidRPr="008B619A">
        <w:rPr>
          <w:rFonts w:hAnsi="標楷體" w:hint="eastAsia"/>
          <w:b/>
          <w:color w:val="000000" w:themeColor="text1"/>
        </w:rPr>
        <w:t>各自為政</w:t>
      </w:r>
      <w:r w:rsidR="00262389" w:rsidRPr="008B619A">
        <w:rPr>
          <w:rFonts w:hAnsi="標楷體" w:hint="eastAsia"/>
          <w:b/>
          <w:color w:val="000000" w:themeColor="text1"/>
        </w:rPr>
        <w:t>情形</w:t>
      </w:r>
      <w:r w:rsidR="006E0B92" w:rsidRPr="008B619A">
        <w:rPr>
          <w:rFonts w:hAnsi="標楷體" w:hint="eastAsia"/>
          <w:b/>
          <w:color w:val="000000" w:themeColor="text1"/>
        </w:rPr>
        <w:t>，整合平台付之闕如，</w:t>
      </w:r>
      <w:r w:rsidR="007C1110" w:rsidRPr="008B619A">
        <w:rPr>
          <w:rFonts w:hint="eastAsia"/>
          <w:b/>
          <w:color w:val="000000" w:themeColor="text1"/>
        </w:rPr>
        <w:t>各類</w:t>
      </w:r>
      <w:r w:rsidR="008322EC" w:rsidRPr="008B619A">
        <w:rPr>
          <w:rFonts w:hint="eastAsia"/>
          <w:b/>
          <w:color w:val="000000" w:themeColor="text1"/>
        </w:rPr>
        <w:t>統計</w:t>
      </w:r>
      <w:r w:rsidR="007C1110" w:rsidRPr="008B619A">
        <w:rPr>
          <w:rFonts w:hint="eastAsia"/>
          <w:b/>
          <w:color w:val="000000" w:themeColor="text1"/>
        </w:rPr>
        <w:t>資訊</w:t>
      </w:r>
      <w:r w:rsidR="008322EC" w:rsidRPr="008B619A">
        <w:rPr>
          <w:rFonts w:hint="eastAsia"/>
          <w:b/>
          <w:color w:val="000000" w:themeColor="text1"/>
        </w:rPr>
        <w:t>及</w:t>
      </w:r>
      <w:r w:rsidR="006E0B92" w:rsidRPr="008B619A">
        <w:rPr>
          <w:rFonts w:hAnsi="標楷體" w:hint="eastAsia"/>
          <w:b/>
          <w:color w:val="000000" w:themeColor="text1"/>
        </w:rPr>
        <w:t>相關橫向聯繫亟待</w:t>
      </w:r>
      <w:r w:rsidR="007C1110" w:rsidRPr="008B619A">
        <w:rPr>
          <w:rFonts w:hAnsi="標楷體" w:hint="eastAsia"/>
          <w:b/>
          <w:color w:val="000000" w:themeColor="text1"/>
        </w:rPr>
        <w:t>積極</w:t>
      </w:r>
      <w:r w:rsidR="008322EC" w:rsidRPr="008B619A">
        <w:rPr>
          <w:rFonts w:hAnsi="標楷體" w:hint="eastAsia"/>
          <w:b/>
          <w:color w:val="000000" w:themeColor="text1"/>
        </w:rPr>
        <w:t>整合及</w:t>
      </w:r>
      <w:r w:rsidR="006E0B92" w:rsidRPr="008B619A">
        <w:rPr>
          <w:rFonts w:hAnsi="標楷體" w:hint="eastAsia"/>
          <w:b/>
          <w:color w:val="000000" w:themeColor="text1"/>
        </w:rPr>
        <w:t>強化</w:t>
      </w:r>
      <w:bookmarkEnd w:id="80"/>
    </w:p>
    <w:p w14:paraId="4A6EFE06" w14:textId="2AB32352" w:rsidR="00B97F19" w:rsidRPr="008B619A" w:rsidRDefault="00684AC3" w:rsidP="000460AC">
      <w:pPr>
        <w:pStyle w:val="3"/>
        <w:rPr>
          <w:color w:val="000000" w:themeColor="text1"/>
        </w:rPr>
      </w:pPr>
      <w:r w:rsidRPr="008B619A">
        <w:rPr>
          <w:rFonts w:hint="eastAsia"/>
          <w:color w:val="000000" w:themeColor="text1"/>
        </w:rPr>
        <w:t>依據</w:t>
      </w:r>
      <w:r w:rsidR="00B97F19" w:rsidRPr="008B619A">
        <w:rPr>
          <w:color w:val="000000" w:themeColor="text1"/>
        </w:rPr>
        <w:t>世界經濟論壇</w:t>
      </w:r>
      <w:r w:rsidR="0008101A" w:rsidRPr="008B619A">
        <w:rPr>
          <w:rFonts w:ascii="Times New Roman" w:hAnsi="Times New Roman"/>
          <w:color w:val="000000" w:themeColor="text1"/>
        </w:rPr>
        <w:t>（</w:t>
      </w:r>
      <w:r w:rsidR="0008101A" w:rsidRPr="008B619A">
        <w:rPr>
          <w:rFonts w:ascii="Times New Roman" w:hAnsi="Times New Roman"/>
          <w:color w:val="000000" w:themeColor="text1"/>
        </w:rPr>
        <w:t>WEF</w:t>
      </w:r>
      <w:r w:rsidR="0008101A" w:rsidRPr="008B619A">
        <w:rPr>
          <w:rFonts w:ascii="Times New Roman" w:hAnsi="Times New Roman"/>
          <w:color w:val="000000" w:themeColor="text1"/>
        </w:rPr>
        <w:t>）</w:t>
      </w:r>
      <w:r w:rsidR="00AF7EA5" w:rsidRPr="008B619A">
        <w:rPr>
          <w:rFonts w:hint="eastAsia"/>
          <w:color w:val="000000" w:themeColor="text1"/>
        </w:rPr>
        <w:t>2021年</w:t>
      </w:r>
      <w:r w:rsidR="00B97F19" w:rsidRPr="008B619A">
        <w:rPr>
          <w:rFonts w:hint="eastAsia"/>
          <w:color w:val="000000" w:themeColor="text1"/>
        </w:rPr>
        <w:t>發表《全球風險</w:t>
      </w:r>
      <w:r w:rsidR="00B97F19" w:rsidRPr="008B619A">
        <w:rPr>
          <w:rFonts w:hint="eastAsia"/>
          <w:color w:val="000000" w:themeColor="text1"/>
        </w:rPr>
        <w:lastRenderedPageBreak/>
        <w:t>報告》</w:t>
      </w:r>
      <w:r w:rsidR="00B0413C" w:rsidRPr="008B619A">
        <w:rPr>
          <w:rFonts w:ascii="Times New Roman" w:hAnsi="Times New Roman"/>
          <w:color w:val="000000" w:themeColor="text1"/>
        </w:rPr>
        <w:t>（</w:t>
      </w:r>
      <w:r w:rsidR="00B0413C" w:rsidRPr="008B619A">
        <w:rPr>
          <w:rFonts w:ascii="Times New Roman" w:hAnsi="Times New Roman"/>
          <w:color w:val="000000" w:themeColor="text1"/>
        </w:rPr>
        <w:t>The Global Risks Report 2021</w:t>
      </w:r>
      <w:r w:rsidR="00B0413C" w:rsidRPr="008B619A">
        <w:rPr>
          <w:rFonts w:ascii="Times New Roman" w:hAnsi="Times New Roman"/>
          <w:color w:val="000000" w:themeColor="text1"/>
        </w:rPr>
        <w:t>）</w:t>
      </w:r>
      <w:r w:rsidR="00137949" w:rsidRPr="008B619A">
        <w:rPr>
          <w:rStyle w:val="aff1"/>
          <w:color w:val="000000" w:themeColor="text1"/>
        </w:rPr>
        <w:footnoteReference w:id="36"/>
      </w:r>
      <w:r w:rsidR="00B97F19" w:rsidRPr="008B619A">
        <w:rPr>
          <w:rFonts w:hint="eastAsia"/>
          <w:color w:val="000000" w:themeColor="text1"/>
        </w:rPr>
        <w:t>，透過「全球風險認知調查</w:t>
      </w:r>
      <w:r w:rsidR="00B97F19" w:rsidRPr="008B619A">
        <w:rPr>
          <w:rFonts w:ascii="Times New Roman" w:hAnsi="Times New Roman"/>
          <w:color w:val="000000" w:themeColor="text1"/>
        </w:rPr>
        <w:t>（</w:t>
      </w:r>
      <w:r w:rsidR="00B97F19" w:rsidRPr="008B619A">
        <w:rPr>
          <w:rFonts w:ascii="Times New Roman" w:hAnsi="Times New Roman"/>
          <w:color w:val="000000" w:themeColor="text1"/>
        </w:rPr>
        <w:t>The Global Risks Perception Survey, GRPS</w:t>
      </w:r>
      <w:r w:rsidR="00B97F19" w:rsidRPr="008B619A">
        <w:rPr>
          <w:rFonts w:ascii="Times New Roman" w:hAnsi="Times New Roman"/>
          <w:color w:val="000000" w:themeColor="text1"/>
        </w:rPr>
        <w:t>）</w:t>
      </w:r>
      <w:r w:rsidR="00B97F19" w:rsidRPr="008B619A">
        <w:rPr>
          <w:rFonts w:hint="eastAsia"/>
          <w:color w:val="000000" w:themeColor="text1"/>
        </w:rPr>
        <w:t>」，蒐集來自公、私部門、學術界與民間社會的重要決策者的看法，評估全球人類所面臨的風險</w:t>
      </w:r>
      <w:r w:rsidR="00AF7EA5" w:rsidRPr="008B619A">
        <w:rPr>
          <w:rFonts w:hint="eastAsia"/>
          <w:color w:val="000000" w:themeColor="text1"/>
        </w:rPr>
        <w:t>。該</w:t>
      </w:r>
      <w:r w:rsidR="00137949" w:rsidRPr="008B619A">
        <w:rPr>
          <w:rFonts w:hint="eastAsia"/>
          <w:color w:val="000000" w:themeColor="text1"/>
        </w:rPr>
        <w:t>報告</w:t>
      </w:r>
      <w:r w:rsidR="007E2EBD" w:rsidRPr="008B619A">
        <w:rPr>
          <w:rFonts w:hint="eastAsia"/>
          <w:color w:val="000000" w:themeColor="text1"/>
        </w:rPr>
        <w:t>論述</w:t>
      </w:r>
      <w:r w:rsidR="009F7E2F" w:rsidRPr="008B619A">
        <w:rPr>
          <w:rFonts w:hint="eastAsia"/>
          <w:color w:val="000000" w:themeColor="text1"/>
        </w:rPr>
        <w:t>針對疫情影響下被毀壞的未來</w:t>
      </w:r>
      <w:r w:rsidR="006235AF" w:rsidRPr="008B619A">
        <w:rPr>
          <w:rFonts w:hint="eastAsia"/>
          <w:color w:val="000000" w:themeColor="text1"/>
        </w:rPr>
        <w:t>，</w:t>
      </w:r>
      <w:r w:rsidR="00AA5E8E" w:rsidRPr="008B619A">
        <w:rPr>
          <w:rFonts w:hint="eastAsia"/>
          <w:color w:val="000000" w:themeColor="text1"/>
        </w:rPr>
        <w:t>其中</w:t>
      </w:r>
      <w:r w:rsidR="00AA5E8E" w:rsidRPr="008B619A">
        <w:rPr>
          <w:color w:val="000000" w:themeColor="text1"/>
        </w:rPr>
        <w:t>年輕人口面臨到社會</w:t>
      </w:r>
      <w:r w:rsidR="00B73D62" w:rsidRPr="008B619A">
        <w:rPr>
          <w:rFonts w:hint="eastAsia"/>
          <w:color w:val="000000" w:themeColor="text1"/>
        </w:rPr>
        <w:t>流動</w:t>
      </w:r>
      <w:r w:rsidR="00AA5E8E" w:rsidRPr="008B619A">
        <w:rPr>
          <w:rFonts w:ascii="Times New Roman" w:hAnsi="Times New Roman"/>
          <w:color w:val="000000" w:themeColor="text1"/>
        </w:rPr>
        <w:t>（</w:t>
      </w:r>
      <w:r w:rsidR="00AA5E8E" w:rsidRPr="008B619A">
        <w:rPr>
          <w:rFonts w:ascii="Times New Roman" w:hAnsi="Times New Roman"/>
          <w:color w:val="000000" w:themeColor="text1"/>
        </w:rPr>
        <w:t>social mobility</w:t>
      </w:r>
      <w:r w:rsidR="00AA5E8E" w:rsidRPr="008B619A">
        <w:rPr>
          <w:rFonts w:ascii="Times New Roman" w:hAnsi="Times New Roman"/>
          <w:color w:val="000000" w:themeColor="text1"/>
        </w:rPr>
        <w:t>）</w:t>
      </w:r>
      <w:r w:rsidR="00AA5E8E" w:rsidRPr="008B619A">
        <w:rPr>
          <w:color w:val="000000" w:themeColor="text1"/>
        </w:rPr>
        <w:t>、心理健康壓力、經濟前景不確定與地球環境持續退化等的新障礙。</w:t>
      </w:r>
      <w:r w:rsidR="00AF4516" w:rsidRPr="008B619A">
        <w:rPr>
          <w:rFonts w:hint="eastAsia"/>
          <w:color w:val="000000" w:themeColor="text1"/>
        </w:rPr>
        <w:t>此外，</w:t>
      </w:r>
      <w:r w:rsidR="00AF4516" w:rsidRPr="008B619A">
        <w:rPr>
          <w:color w:val="000000" w:themeColor="text1"/>
        </w:rPr>
        <w:t>全球經濟陷入承平時期的最重大危機，</w:t>
      </w:r>
      <w:r w:rsidR="000E354F" w:rsidRPr="008B619A">
        <w:rPr>
          <w:color w:val="000000" w:themeColor="text1"/>
        </w:rPr>
        <w:t>疫情之後不均衡的經濟反彈更是會加劇不平等</w:t>
      </w:r>
      <w:r w:rsidR="00451A31" w:rsidRPr="008B619A">
        <w:rPr>
          <w:rFonts w:hint="eastAsia"/>
          <w:color w:val="000000" w:themeColor="text1"/>
        </w:rPr>
        <w:t>。對於疫情世代</w:t>
      </w:r>
      <w:r w:rsidR="00451A31" w:rsidRPr="008B619A">
        <w:rPr>
          <w:rFonts w:ascii="Times New Roman" w:hAnsi="Times New Roman"/>
          <w:color w:val="000000" w:themeColor="text1"/>
        </w:rPr>
        <w:t>（</w:t>
      </w:r>
      <w:r w:rsidR="00451A31" w:rsidRPr="008B619A">
        <w:rPr>
          <w:rFonts w:ascii="Times New Roman" w:hAnsi="Times New Roman"/>
          <w:color w:val="000000" w:themeColor="text1"/>
        </w:rPr>
        <w:t>pandemial</w:t>
      </w:r>
      <w:r w:rsidR="00451A31" w:rsidRPr="008B619A">
        <w:rPr>
          <w:rFonts w:ascii="Times New Roman" w:hAnsi="Times New Roman"/>
          <w:color w:val="000000" w:themeColor="text1"/>
        </w:rPr>
        <w:t>）</w:t>
      </w:r>
      <w:r w:rsidR="00451A31" w:rsidRPr="008B619A">
        <w:rPr>
          <w:rFonts w:hint="eastAsia"/>
          <w:color w:val="000000" w:themeColor="text1"/>
        </w:rPr>
        <w:t>，即目前處於約15到24歲的年輕人，</w:t>
      </w:r>
      <w:r w:rsidR="00910A82" w:rsidRPr="008B619A">
        <w:rPr>
          <w:rFonts w:hint="eastAsia"/>
          <w:color w:val="000000" w:themeColor="text1"/>
        </w:rPr>
        <w:t>將面臨教育、經濟前景和心理健康的重大挑戰</w:t>
      </w:r>
      <w:r w:rsidR="005D2C7C" w:rsidRPr="008B619A">
        <w:rPr>
          <w:rFonts w:hint="eastAsia"/>
          <w:color w:val="000000" w:themeColor="text1"/>
        </w:rPr>
        <w:t>（</w:t>
      </w:r>
      <w:r w:rsidR="00CA1DC4" w:rsidRPr="008B619A">
        <w:rPr>
          <w:rFonts w:ascii="Times New Roman" w:hAnsi="Times New Roman"/>
          <w:color w:val="000000" w:themeColor="text1"/>
        </w:rPr>
        <w:t>World Economic Forum</w:t>
      </w:r>
      <w:r w:rsidR="00E97BB2" w:rsidRPr="008B619A">
        <w:rPr>
          <w:rFonts w:ascii="Times New Roman" w:hAnsi="Times New Roman"/>
          <w:color w:val="000000" w:themeColor="text1"/>
        </w:rPr>
        <w:t xml:space="preserve"> </w:t>
      </w:r>
      <w:r w:rsidR="00CA1DC4" w:rsidRPr="008B619A">
        <w:rPr>
          <w:color w:val="000000" w:themeColor="text1"/>
        </w:rPr>
        <w:t>202</w:t>
      </w:r>
      <w:r w:rsidR="00CA1DC4" w:rsidRPr="008B619A">
        <w:rPr>
          <w:rFonts w:hint="eastAsia"/>
          <w:color w:val="000000" w:themeColor="text1"/>
        </w:rPr>
        <w:t>1；</w:t>
      </w:r>
      <w:r w:rsidR="00B922FE" w:rsidRPr="008B619A">
        <w:rPr>
          <w:rFonts w:hint="eastAsia"/>
          <w:color w:val="000000" w:themeColor="text1"/>
        </w:rPr>
        <w:t>科技部</w:t>
      </w:r>
      <w:r w:rsidR="00BD052F" w:rsidRPr="008B619A">
        <w:rPr>
          <w:rFonts w:hint="eastAsia"/>
          <w:color w:val="000000" w:themeColor="text1"/>
        </w:rPr>
        <w:t>，2021</w:t>
      </w:r>
      <w:r w:rsidR="005D2C7C" w:rsidRPr="008B619A">
        <w:rPr>
          <w:rFonts w:hint="eastAsia"/>
          <w:color w:val="000000" w:themeColor="text1"/>
        </w:rPr>
        <w:t>）</w:t>
      </w:r>
      <w:r w:rsidR="00910A82" w:rsidRPr="008B619A">
        <w:rPr>
          <w:rFonts w:hint="eastAsia"/>
          <w:color w:val="000000" w:themeColor="text1"/>
        </w:rPr>
        <w:t>。</w:t>
      </w:r>
      <w:r w:rsidR="00250A30" w:rsidRPr="008B619A">
        <w:rPr>
          <w:rFonts w:hint="eastAsia"/>
          <w:color w:val="000000" w:themeColor="text1"/>
        </w:rPr>
        <w:t>足見，過去</w:t>
      </w:r>
      <w:r w:rsidR="00741B4E" w:rsidRPr="008B619A">
        <w:rPr>
          <w:rFonts w:hint="eastAsia"/>
          <w:color w:val="000000" w:themeColor="text1"/>
        </w:rPr>
        <w:t>2020年</w:t>
      </w:r>
      <w:r w:rsidR="00250A30" w:rsidRPr="008B619A">
        <w:rPr>
          <w:rFonts w:hint="eastAsia"/>
          <w:color w:val="000000" w:themeColor="text1"/>
        </w:rPr>
        <w:t>即以經濟</w:t>
      </w:r>
      <w:r w:rsidR="00EA6EE7" w:rsidRPr="008B619A">
        <w:rPr>
          <w:rFonts w:hint="eastAsia"/>
          <w:color w:val="000000" w:themeColor="text1"/>
        </w:rPr>
        <w:t>對立</w:t>
      </w:r>
      <w:r w:rsidR="00250A30" w:rsidRPr="008B619A">
        <w:rPr>
          <w:rFonts w:hint="eastAsia"/>
          <w:color w:val="000000" w:themeColor="text1"/>
        </w:rPr>
        <w:t>為</w:t>
      </w:r>
      <w:r w:rsidR="009D48DB" w:rsidRPr="008B619A">
        <w:rPr>
          <w:rFonts w:hint="eastAsia"/>
          <w:color w:val="000000" w:themeColor="text1"/>
        </w:rPr>
        <w:t>重大風險</w:t>
      </w:r>
      <w:r w:rsidR="00250A30" w:rsidRPr="008B619A">
        <w:rPr>
          <w:rFonts w:hint="eastAsia"/>
          <w:color w:val="000000" w:themeColor="text1"/>
        </w:rPr>
        <w:t>，因疫情影響</w:t>
      </w:r>
      <w:r w:rsidR="00283CA8" w:rsidRPr="008B619A">
        <w:rPr>
          <w:rFonts w:hint="eastAsia"/>
          <w:color w:val="000000" w:themeColor="text1"/>
        </w:rPr>
        <w:t>下</w:t>
      </w:r>
      <w:r w:rsidR="00250A30" w:rsidRPr="008B619A">
        <w:rPr>
          <w:rFonts w:hint="eastAsia"/>
          <w:color w:val="000000" w:themeColor="text1"/>
        </w:rPr>
        <w:t>，恐</w:t>
      </w:r>
      <w:r w:rsidR="00283CA8" w:rsidRPr="008B619A">
        <w:rPr>
          <w:rFonts w:hint="eastAsia"/>
          <w:color w:val="000000" w:themeColor="text1"/>
        </w:rPr>
        <w:t>再</w:t>
      </w:r>
      <w:r w:rsidR="00250A30" w:rsidRPr="008B619A">
        <w:rPr>
          <w:rFonts w:hint="eastAsia"/>
          <w:color w:val="000000" w:themeColor="text1"/>
        </w:rPr>
        <w:t>加劇落差</w:t>
      </w:r>
      <w:r w:rsidR="00283CA8" w:rsidRPr="008B619A">
        <w:rPr>
          <w:rFonts w:hint="eastAsia"/>
          <w:color w:val="000000" w:themeColor="text1"/>
        </w:rPr>
        <w:t>幅度</w:t>
      </w:r>
      <w:r w:rsidR="000460AC" w:rsidRPr="008B619A">
        <w:rPr>
          <w:rFonts w:hint="eastAsia"/>
          <w:color w:val="000000" w:themeColor="text1"/>
        </w:rPr>
        <w:t>，爰</w:t>
      </w:r>
      <w:r w:rsidR="001F3E7A" w:rsidRPr="008B619A">
        <w:rPr>
          <w:rFonts w:hint="eastAsia"/>
          <w:color w:val="000000" w:themeColor="text1"/>
        </w:rPr>
        <w:t>政府</w:t>
      </w:r>
      <w:r w:rsidR="000460AC" w:rsidRPr="008B619A">
        <w:rPr>
          <w:rFonts w:hint="eastAsia"/>
          <w:color w:val="000000" w:themeColor="text1"/>
        </w:rPr>
        <w:t>對於相關高階人才之就業</w:t>
      </w:r>
      <w:r w:rsidR="009273EE" w:rsidRPr="008B619A">
        <w:rPr>
          <w:rFonts w:hint="eastAsia"/>
          <w:color w:val="000000" w:themeColor="text1"/>
        </w:rPr>
        <w:t>情況</w:t>
      </w:r>
      <w:r w:rsidR="007B53FD" w:rsidRPr="008B619A">
        <w:rPr>
          <w:rFonts w:hint="eastAsia"/>
          <w:color w:val="000000" w:themeColor="text1"/>
        </w:rPr>
        <w:t>亦</w:t>
      </w:r>
      <w:r w:rsidR="004C24CA" w:rsidRPr="008B619A">
        <w:rPr>
          <w:rFonts w:hint="eastAsia"/>
          <w:color w:val="000000" w:themeColor="text1"/>
        </w:rPr>
        <w:t>允宜</w:t>
      </w:r>
      <w:r w:rsidR="000460AC" w:rsidRPr="008B619A">
        <w:rPr>
          <w:rFonts w:hint="eastAsia"/>
          <w:color w:val="000000" w:themeColor="text1"/>
        </w:rPr>
        <w:t>積極觀察評估</w:t>
      </w:r>
      <w:r w:rsidR="00250A30" w:rsidRPr="008B619A">
        <w:rPr>
          <w:rFonts w:hint="eastAsia"/>
          <w:color w:val="000000" w:themeColor="text1"/>
        </w:rPr>
        <w:t>。</w:t>
      </w:r>
    </w:p>
    <w:p w14:paraId="329D13B2" w14:textId="630E4639" w:rsidR="000B5045" w:rsidRPr="008B619A" w:rsidRDefault="0096755A" w:rsidP="005A3AB2">
      <w:pPr>
        <w:pStyle w:val="3"/>
        <w:rPr>
          <w:color w:val="000000" w:themeColor="text1"/>
        </w:rPr>
      </w:pPr>
      <w:r w:rsidRPr="008B619A">
        <w:rPr>
          <w:rFonts w:hint="eastAsia"/>
          <w:color w:val="000000" w:themeColor="text1"/>
        </w:rPr>
        <w:t>目前我國就業統計未見僅針對博士學歷者之資料，係以</w:t>
      </w:r>
      <w:r w:rsidR="000B5045" w:rsidRPr="008B619A">
        <w:rPr>
          <w:rFonts w:hint="eastAsia"/>
          <w:color w:val="000000" w:themeColor="text1"/>
        </w:rPr>
        <w:t>針對</w:t>
      </w:r>
      <w:r w:rsidRPr="008B619A">
        <w:rPr>
          <w:rFonts w:hint="eastAsia"/>
          <w:color w:val="000000" w:themeColor="text1"/>
        </w:rPr>
        <w:t>研究所以上學歷者</w:t>
      </w:r>
      <w:r w:rsidR="000B5045" w:rsidRPr="008B619A">
        <w:rPr>
          <w:rFonts w:hint="eastAsia"/>
          <w:color w:val="000000" w:themeColor="text1"/>
        </w:rPr>
        <w:t>就業之情形</w:t>
      </w:r>
      <w:r w:rsidRPr="008B619A">
        <w:rPr>
          <w:rFonts w:hint="eastAsia"/>
          <w:color w:val="000000" w:themeColor="text1"/>
        </w:rPr>
        <w:t>為主</w:t>
      </w:r>
      <w:r w:rsidR="000B5045" w:rsidRPr="008B619A">
        <w:rPr>
          <w:rFonts w:hint="eastAsia"/>
          <w:color w:val="000000" w:themeColor="text1"/>
        </w:rPr>
        <w:t>，經查詢</w:t>
      </w:r>
      <w:r w:rsidR="003F0FB5" w:rsidRPr="008B619A">
        <w:rPr>
          <w:rFonts w:hint="eastAsia"/>
          <w:color w:val="000000" w:themeColor="text1"/>
        </w:rPr>
        <w:t>主計總處</w:t>
      </w:r>
      <w:r w:rsidR="000B5045" w:rsidRPr="008B619A">
        <w:rPr>
          <w:rFonts w:hint="eastAsia"/>
          <w:color w:val="000000" w:themeColor="text1"/>
        </w:rPr>
        <w:t>「人力資源調查」統計</w:t>
      </w:r>
      <w:r w:rsidR="000B5045" w:rsidRPr="008B619A">
        <w:rPr>
          <w:rStyle w:val="aff1"/>
          <w:rFonts w:hAnsi="標楷體"/>
          <w:color w:val="000000" w:themeColor="text1"/>
        </w:rPr>
        <w:footnoteReference w:id="37"/>
      </w:r>
      <w:r w:rsidR="000B5045" w:rsidRPr="008B619A">
        <w:rPr>
          <w:rFonts w:hint="eastAsia"/>
          <w:color w:val="000000" w:themeColor="text1"/>
        </w:rPr>
        <w:t>，109年10月就業人數1,151萬人，失業人數45萬5千人，失業率3.80%，季調失業率3.77%，整體</w:t>
      </w:r>
      <w:r w:rsidR="000B5045" w:rsidRPr="008B619A">
        <w:rPr>
          <w:rFonts w:hAnsi="標楷體" w:hint="eastAsia"/>
          <w:color w:val="000000" w:themeColor="text1"/>
        </w:rPr>
        <w:t>「</w:t>
      </w:r>
      <w:r w:rsidR="000B5045" w:rsidRPr="008B619A">
        <w:rPr>
          <w:rFonts w:hint="eastAsia"/>
          <w:color w:val="000000" w:themeColor="text1"/>
        </w:rPr>
        <w:t>勞動力參與率</w:t>
      </w:r>
      <w:r w:rsidR="000B5045" w:rsidRPr="008B619A">
        <w:rPr>
          <w:rFonts w:hAnsi="標楷體" w:hint="eastAsia"/>
          <w:color w:val="000000" w:themeColor="text1"/>
        </w:rPr>
        <w:t>」</w:t>
      </w:r>
      <w:r w:rsidR="000B5045" w:rsidRPr="008B619A">
        <w:rPr>
          <w:rFonts w:hint="eastAsia"/>
          <w:color w:val="000000" w:themeColor="text1"/>
        </w:rPr>
        <w:t>為59.13%。</w:t>
      </w:r>
      <w:r w:rsidR="000B5045" w:rsidRPr="008B619A">
        <w:rPr>
          <w:rFonts w:hAnsi="標楷體" w:hint="eastAsia"/>
          <w:color w:val="000000" w:themeColor="text1"/>
        </w:rPr>
        <w:t>至研究所學歷</w:t>
      </w:r>
      <w:r w:rsidR="000B5045" w:rsidRPr="008B619A">
        <w:rPr>
          <w:rFonts w:hint="eastAsia"/>
          <w:color w:val="000000" w:themeColor="text1"/>
        </w:rPr>
        <w:t>（含碩博士）</w:t>
      </w:r>
      <w:r w:rsidR="000B5045" w:rsidRPr="008B619A">
        <w:rPr>
          <w:rFonts w:hAnsi="標楷體" w:hint="eastAsia"/>
          <w:color w:val="000000" w:themeColor="text1"/>
        </w:rPr>
        <w:t>以上之勞動情形，摘要</w:t>
      </w:r>
      <w:r w:rsidR="00527593" w:rsidRPr="008B619A">
        <w:rPr>
          <w:rFonts w:hAnsi="標楷體" w:hint="eastAsia"/>
          <w:color w:val="000000" w:themeColor="text1"/>
        </w:rPr>
        <w:t>列</w:t>
      </w:r>
      <w:r w:rsidR="000B5045" w:rsidRPr="008B619A">
        <w:rPr>
          <w:rFonts w:hAnsi="標楷體" w:hint="eastAsia"/>
          <w:color w:val="000000" w:themeColor="text1"/>
        </w:rPr>
        <w:t>舉如下：</w:t>
      </w:r>
    </w:p>
    <w:p w14:paraId="4F095AD8" w14:textId="4D6ED683" w:rsidR="000B5045" w:rsidRPr="008B619A" w:rsidRDefault="000B5045" w:rsidP="000B5045">
      <w:pPr>
        <w:pStyle w:val="4"/>
        <w:rPr>
          <w:color w:val="000000" w:themeColor="text1"/>
        </w:rPr>
      </w:pPr>
      <w:r w:rsidRPr="008B619A">
        <w:rPr>
          <w:rFonts w:hint="eastAsia"/>
          <w:color w:val="000000" w:themeColor="text1"/>
        </w:rPr>
        <w:t>茲以教育程度區分，行政院主計總處調查</w:t>
      </w:r>
      <w:r w:rsidR="00027628" w:rsidRPr="008B619A">
        <w:rPr>
          <w:rFonts w:hint="eastAsia"/>
          <w:color w:val="000000" w:themeColor="text1"/>
        </w:rPr>
        <w:t>顯示，</w:t>
      </w:r>
      <w:r w:rsidRPr="008B619A">
        <w:rPr>
          <w:rFonts w:hint="eastAsia"/>
          <w:color w:val="000000" w:themeColor="text1"/>
        </w:rPr>
        <w:t>研究所學歷之勞動</w:t>
      </w:r>
      <w:r w:rsidR="00203221" w:rsidRPr="008B619A">
        <w:rPr>
          <w:rFonts w:hint="eastAsia"/>
          <w:color w:val="000000" w:themeColor="text1"/>
        </w:rPr>
        <w:t>力</w:t>
      </w:r>
      <w:r w:rsidRPr="008B619A">
        <w:rPr>
          <w:rFonts w:hint="eastAsia"/>
          <w:color w:val="000000" w:themeColor="text1"/>
        </w:rPr>
        <w:t>參與率自107年跌破7成後（68.97</w:t>
      </w:r>
      <w:r w:rsidR="001F5A76" w:rsidRPr="008B619A">
        <w:rPr>
          <w:rFonts w:hint="eastAsia"/>
          <w:color w:val="000000" w:themeColor="text1"/>
        </w:rPr>
        <w:t>%</w:t>
      </w:r>
      <w:r w:rsidRPr="008B619A">
        <w:rPr>
          <w:rFonts w:hint="eastAsia"/>
          <w:color w:val="000000" w:themeColor="text1"/>
        </w:rPr>
        <w:t>），至109年降為68.</w:t>
      </w:r>
      <w:r w:rsidR="00FA0997" w:rsidRPr="008B619A">
        <w:rPr>
          <w:rFonts w:hint="eastAsia"/>
          <w:color w:val="000000" w:themeColor="text1"/>
        </w:rPr>
        <w:t>88</w:t>
      </w:r>
      <w:r w:rsidRPr="008B619A">
        <w:rPr>
          <w:rFonts w:hint="eastAsia"/>
          <w:color w:val="000000" w:themeColor="text1"/>
        </w:rPr>
        <w:t>%。</w:t>
      </w:r>
      <w:r w:rsidRPr="008B619A">
        <w:rPr>
          <w:rFonts w:hAnsi="標楷體" w:hint="eastAsia"/>
          <w:color w:val="000000" w:themeColor="text1"/>
        </w:rPr>
        <w:t>呈現如下：</w:t>
      </w:r>
    </w:p>
    <w:p w14:paraId="34EEFFBD" w14:textId="462218FE" w:rsidR="000B5045" w:rsidRPr="008B619A" w:rsidRDefault="00675728" w:rsidP="00675728">
      <w:pPr>
        <w:pStyle w:val="a3"/>
        <w:ind w:left="567" w:hanging="567"/>
        <w:jc w:val="center"/>
        <w:rPr>
          <w:b/>
          <w:color w:val="000000" w:themeColor="text1"/>
        </w:rPr>
      </w:pPr>
      <w:r w:rsidRPr="008B619A">
        <w:rPr>
          <w:rFonts w:hint="eastAsia"/>
          <w:b/>
          <w:color w:val="000000" w:themeColor="text1"/>
        </w:rPr>
        <w:lastRenderedPageBreak/>
        <w:t>勞動力參與率按教育程度分（含各程度之在學及肄業者）</w:t>
      </w:r>
    </w:p>
    <w:p w14:paraId="25259C1F" w14:textId="179C7F9B" w:rsidR="000834E0" w:rsidRPr="008B619A" w:rsidRDefault="000C5EC9" w:rsidP="000834E0">
      <w:pPr>
        <w:jc w:val="right"/>
        <w:rPr>
          <w:color w:val="000000" w:themeColor="text1"/>
          <w:sz w:val="24"/>
          <w:szCs w:val="24"/>
        </w:rPr>
      </w:pPr>
      <w:r w:rsidRPr="008B619A">
        <w:rPr>
          <w:rFonts w:hint="eastAsia"/>
          <w:color w:val="000000" w:themeColor="text1"/>
          <w:sz w:val="24"/>
          <w:szCs w:val="24"/>
        </w:rPr>
        <w:t>單位：%</w:t>
      </w:r>
    </w:p>
    <w:tbl>
      <w:tblPr>
        <w:tblW w:w="10153" w:type="dxa"/>
        <w:jc w:val="center"/>
        <w:tblCellMar>
          <w:left w:w="28" w:type="dxa"/>
          <w:right w:w="28" w:type="dxa"/>
        </w:tblCellMar>
        <w:tblLook w:val="04A0" w:firstRow="1" w:lastRow="0" w:firstColumn="1" w:lastColumn="0" w:noHBand="0" w:noVBand="1"/>
      </w:tblPr>
      <w:tblGrid>
        <w:gridCol w:w="1833"/>
        <w:gridCol w:w="1040"/>
        <w:gridCol w:w="1040"/>
        <w:gridCol w:w="1040"/>
        <w:gridCol w:w="882"/>
        <w:gridCol w:w="882"/>
        <w:gridCol w:w="1396"/>
        <w:gridCol w:w="882"/>
        <w:gridCol w:w="1158"/>
      </w:tblGrid>
      <w:tr w:rsidR="000D6093" w:rsidRPr="008B619A" w14:paraId="67ABD472" w14:textId="77777777" w:rsidTr="00AB6246">
        <w:trPr>
          <w:trHeight w:val="402"/>
          <w:tblHeader/>
          <w:jc w:val="center"/>
        </w:trPr>
        <w:tc>
          <w:tcPr>
            <w:tcW w:w="1833" w:type="dxa"/>
            <w:vMerge w:val="restart"/>
            <w:tcBorders>
              <w:top w:val="single" w:sz="8" w:space="0" w:color="auto"/>
              <w:left w:val="nil"/>
              <w:bottom w:val="single" w:sz="8" w:space="0" w:color="000000"/>
              <w:right w:val="single" w:sz="8" w:space="0" w:color="auto"/>
            </w:tcBorders>
            <w:shd w:val="clear" w:color="auto" w:fill="auto"/>
            <w:vAlign w:val="center"/>
            <w:hideMark/>
          </w:tcPr>
          <w:p w14:paraId="4FE2E0EB" w14:textId="77777777" w:rsidR="000D6093" w:rsidRPr="008B619A" w:rsidRDefault="000D6093" w:rsidP="0053467D">
            <w:pPr>
              <w:widowControl/>
              <w:overflowPunct/>
              <w:autoSpaceDE/>
              <w:autoSpaceDN/>
              <w:jc w:val="center"/>
              <w:rPr>
                <w:rFonts w:ascii="Times New Roman" w:eastAsia="新細明體"/>
                <w:b/>
                <w:color w:val="000000" w:themeColor="text1"/>
                <w:kern w:val="0"/>
                <w:sz w:val="26"/>
                <w:szCs w:val="26"/>
              </w:rPr>
            </w:pPr>
            <w:r w:rsidRPr="008B619A">
              <w:rPr>
                <w:rFonts w:ascii="Times New Roman" w:eastAsia="新細明體"/>
                <w:b/>
                <w:color w:val="000000" w:themeColor="text1"/>
                <w:kern w:val="0"/>
                <w:sz w:val="26"/>
                <w:szCs w:val="26"/>
              </w:rPr>
              <w:t xml:space="preserve">　</w:t>
            </w:r>
          </w:p>
        </w:tc>
        <w:tc>
          <w:tcPr>
            <w:tcW w:w="1040" w:type="dxa"/>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14:paraId="4DDB8298" w14:textId="77777777" w:rsidR="000D6093" w:rsidRPr="008B619A" w:rsidRDefault="000D6093" w:rsidP="0053467D">
            <w:pPr>
              <w:widowControl/>
              <w:overflowPunct/>
              <w:autoSpaceDE/>
              <w:autoSpaceDN/>
              <w:jc w:val="center"/>
              <w:rPr>
                <w:rFonts w:ascii="Times New Roman" w:eastAsia="新細明體"/>
                <w:b/>
                <w:color w:val="000000" w:themeColor="text1"/>
                <w:kern w:val="0"/>
                <w:sz w:val="26"/>
                <w:szCs w:val="26"/>
              </w:rPr>
            </w:pPr>
            <w:r w:rsidRPr="008B619A">
              <w:rPr>
                <w:rFonts w:hAnsi="標楷體" w:hint="eastAsia"/>
                <w:b/>
                <w:color w:val="000000" w:themeColor="text1"/>
                <w:kern w:val="0"/>
                <w:sz w:val="26"/>
                <w:szCs w:val="26"/>
              </w:rPr>
              <w:t>總計</w:t>
            </w:r>
          </w:p>
        </w:tc>
        <w:tc>
          <w:tcPr>
            <w:tcW w:w="1040"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hideMark/>
          </w:tcPr>
          <w:p w14:paraId="792DD848" w14:textId="77777777" w:rsidR="000D6093" w:rsidRPr="008B619A" w:rsidRDefault="000D6093" w:rsidP="0053467D">
            <w:pPr>
              <w:widowControl/>
              <w:overflowPunct/>
              <w:autoSpaceDE/>
              <w:autoSpaceDN/>
              <w:jc w:val="center"/>
              <w:rPr>
                <w:rFonts w:ascii="Times New Roman" w:eastAsia="新細明體"/>
                <w:b/>
                <w:color w:val="000000" w:themeColor="text1"/>
                <w:kern w:val="0"/>
                <w:sz w:val="26"/>
                <w:szCs w:val="26"/>
              </w:rPr>
            </w:pPr>
            <w:r w:rsidRPr="008B619A">
              <w:rPr>
                <w:rFonts w:hAnsi="標楷體" w:hint="eastAsia"/>
                <w:b/>
                <w:color w:val="000000" w:themeColor="text1"/>
                <w:kern w:val="0"/>
                <w:sz w:val="26"/>
                <w:szCs w:val="26"/>
              </w:rPr>
              <w:t>男</w:t>
            </w:r>
          </w:p>
        </w:tc>
        <w:tc>
          <w:tcPr>
            <w:tcW w:w="1040" w:type="dxa"/>
            <w:vMerge w:val="restart"/>
            <w:tcBorders>
              <w:top w:val="single" w:sz="8" w:space="0" w:color="auto"/>
              <w:left w:val="single" w:sz="4" w:space="0" w:color="auto"/>
              <w:bottom w:val="single" w:sz="8" w:space="0" w:color="000000"/>
              <w:right w:val="double" w:sz="6" w:space="0" w:color="auto"/>
            </w:tcBorders>
            <w:shd w:val="clear" w:color="auto" w:fill="auto"/>
            <w:noWrap/>
            <w:vAlign w:val="center"/>
            <w:hideMark/>
          </w:tcPr>
          <w:p w14:paraId="6ECF44E7" w14:textId="77777777" w:rsidR="000D6093" w:rsidRPr="008B619A" w:rsidRDefault="000D6093" w:rsidP="0053467D">
            <w:pPr>
              <w:widowControl/>
              <w:overflowPunct/>
              <w:autoSpaceDE/>
              <w:autoSpaceDN/>
              <w:jc w:val="center"/>
              <w:rPr>
                <w:rFonts w:ascii="Times New Roman" w:eastAsia="新細明體"/>
                <w:b/>
                <w:color w:val="000000" w:themeColor="text1"/>
                <w:kern w:val="0"/>
                <w:sz w:val="26"/>
                <w:szCs w:val="26"/>
              </w:rPr>
            </w:pPr>
            <w:r w:rsidRPr="008B619A">
              <w:rPr>
                <w:rFonts w:hAnsi="標楷體" w:hint="eastAsia"/>
                <w:b/>
                <w:color w:val="000000" w:themeColor="text1"/>
                <w:kern w:val="0"/>
                <w:sz w:val="26"/>
                <w:szCs w:val="26"/>
              </w:rPr>
              <w:t>女</w:t>
            </w:r>
          </w:p>
        </w:tc>
        <w:tc>
          <w:tcPr>
            <w:tcW w:w="5200" w:type="dxa"/>
            <w:gridSpan w:val="5"/>
            <w:tcBorders>
              <w:top w:val="single" w:sz="8" w:space="0" w:color="auto"/>
              <w:left w:val="nil"/>
              <w:bottom w:val="nil"/>
              <w:right w:val="nil"/>
            </w:tcBorders>
            <w:shd w:val="clear" w:color="auto" w:fill="auto"/>
            <w:noWrap/>
            <w:vAlign w:val="center"/>
            <w:hideMark/>
          </w:tcPr>
          <w:p w14:paraId="4C51580D" w14:textId="77777777" w:rsidR="000D6093" w:rsidRPr="008B619A" w:rsidRDefault="000D6093" w:rsidP="0053467D">
            <w:pPr>
              <w:widowControl/>
              <w:overflowPunct/>
              <w:autoSpaceDE/>
              <w:autoSpaceDN/>
              <w:jc w:val="center"/>
              <w:rPr>
                <w:rFonts w:ascii="Times New Roman" w:eastAsia="新細明體"/>
                <w:b/>
                <w:color w:val="000000" w:themeColor="text1"/>
                <w:kern w:val="0"/>
                <w:sz w:val="26"/>
                <w:szCs w:val="26"/>
              </w:rPr>
            </w:pPr>
            <w:r w:rsidRPr="008B619A">
              <w:rPr>
                <w:rFonts w:hAnsi="標楷體" w:hint="eastAsia"/>
                <w:b/>
                <w:color w:val="000000" w:themeColor="text1"/>
                <w:kern w:val="0"/>
                <w:sz w:val="26"/>
                <w:szCs w:val="26"/>
              </w:rPr>
              <w:t>大專及以上</w:t>
            </w:r>
          </w:p>
        </w:tc>
      </w:tr>
      <w:tr w:rsidR="000D6093" w:rsidRPr="008B619A" w14:paraId="76F1EDF2" w14:textId="77777777" w:rsidTr="00AB6246">
        <w:trPr>
          <w:trHeight w:val="402"/>
          <w:tblHeader/>
          <w:jc w:val="center"/>
        </w:trPr>
        <w:tc>
          <w:tcPr>
            <w:tcW w:w="1833" w:type="dxa"/>
            <w:vMerge/>
            <w:tcBorders>
              <w:top w:val="single" w:sz="8" w:space="0" w:color="auto"/>
              <w:left w:val="nil"/>
              <w:bottom w:val="single" w:sz="8" w:space="0" w:color="000000"/>
              <w:right w:val="single" w:sz="8" w:space="0" w:color="auto"/>
            </w:tcBorders>
            <w:vAlign w:val="center"/>
            <w:hideMark/>
          </w:tcPr>
          <w:p w14:paraId="4601FE91" w14:textId="77777777" w:rsidR="000D6093" w:rsidRPr="008B619A" w:rsidRDefault="000D6093" w:rsidP="0053467D">
            <w:pPr>
              <w:widowControl/>
              <w:overflowPunct/>
              <w:autoSpaceDE/>
              <w:autoSpaceDN/>
              <w:jc w:val="left"/>
              <w:rPr>
                <w:rFonts w:ascii="Times New Roman" w:eastAsia="新細明體"/>
                <w:b/>
                <w:color w:val="000000" w:themeColor="text1"/>
                <w:kern w:val="0"/>
                <w:sz w:val="26"/>
                <w:szCs w:val="26"/>
              </w:rPr>
            </w:pPr>
          </w:p>
        </w:tc>
        <w:tc>
          <w:tcPr>
            <w:tcW w:w="1040" w:type="dxa"/>
            <w:vMerge/>
            <w:tcBorders>
              <w:top w:val="single" w:sz="8" w:space="0" w:color="auto"/>
              <w:left w:val="single" w:sz="8" w:space="0" w:color="auto"/>
              <w:bottom w:val="single" w:sz="8" w:space="0" w:color="000000"/>
              <w:right w:val="single" w:sz="4" w:space="0" w:color="auto"/>
            </w:tcBorders>
            <w:vAlign w:val="center"/>
            <w:hideMark/>
          </w:tcPr>
          <w:p w14:paraId="558FE2C2" w14:textId="77777777" w:rsidR="000D6093" w:rsidRPr="008B619A" w:rsidRDefault="000D6093" w:rsidP="0053467D">
            <w:pPr>
              <w:widowControl/>
              <w:overflowPunct/>
              <w:autoSpaceDE/>
              <w:autoSpaceDN/>
              <w:jc w:val="left"/>
              <w:rPr>
                <w:rFonts w:ascii="Times New Roman" w:eastAsia="新細明體"/>
                <w:b/>
                <w:color w:val="000000" w:themeColor="text1"/>
                <w:kern w:val="0"/>
                <w:sz w:val="26"/>
                <w:szCs w:val="26"/>
              </w:rPr>
            </w:pPr>
          </w:p>
        </w:tc>
        <w:tc>
          <w:tcPr>
            <w:tcW w:w="1040" w:type="dxa"/>
            <w:vMerge/>
            <w:tcBorders>
              <w:top w:val="single" w:sz="8" w:space="0" w:color="auto"/>
              <w:left w:val="single" w:sz="4" w:space="0" w:color="auto"/>
              <w:bottom w:val="single" w:sz="8" w:space="0" w:color="000000"/>
              <w:right w:val="single" w:sz="4" w:space="0" w:color="auto"/>
            </w:tcBorders>
            <w:vAlign w:val="center"/>
            <w:hideMark/>
          </w:tcPr>
          <w:p w14:paraId="0BFAFD67" w14:textId="77777777" w:rsidR="000D6093" w:rsidRPr="008B619A" w:rsidRDefault="000D6093" w:rsidP="0053467D">
            <w:pPr>
              <w:widowControl/>
              <w:overflowPunct/>
              <w:autoSpaceDE/>
              <w:autoSpaceDN/>
              <w:jc w:val="left"/>
              <w:rPr>
                <w:rFonts w:ascii="Times New Roman" w:eastAsia="新細明體"/>
                <w:b/>
                <w:color w:val="000000" w:themeColor="text1"/>
                <w:kern w:val="0"/>
                <w:sz w:val="26"/>
                <w:szCs w:val="26"/>
              </w:rPr>
            </w:pPr>
          </w:p>
        </w:tc>
        <w:tc>
          <w:tcPr>
            <w:tcW w:w="1040" w:type="dxa"/>
            <w:vMerge/>
            <w:tcBorders>
              <w:top w:val="single" w:sz="8" w:space="0" w:color="auto"/>
              <w:left w:val="single" w:sz="4" w:space="0" w:color="auto"/>
              <w:bottom w:val="single" w:sz="8" w:space="0" w:color="000000"/>
              <w:right w:val="double" w:sz="6" w:space="0" w:color="auto"/>
            </w:tcBorders>
            <w:vAlign w:val="center"/>
            <w:hideMark/>
          </w:tcPr>
          <w:p w14:paraId="36D8127D" w14:textId="77777777" w:rsidR="000D6093" w:rsidRPr="008B619A" w:rsidRDefault="000D6093" w:rsidP="0053467D">
            <w:pPr>
              <w:widowControl/>
              <w:overflowPunct/>
              <w:autoSpaceDE/>
              <w:autoSpaceDN/>
              <w:jc w:val="left"/>
              <w:rPr>
                <w:rFonts w:ascii="Times New Roman" w:eastAsia="新細明體"/>
                <w:b/>
                <w:color w:val="000000" w:themeColor="text1"/>
                <w:kern w:val="0"/>
                <w:sz w:val="26"/>
                <w:szCs w:val="26"/>
              </w:rPr>
            </w:pPr>
          </w:p>
        </w:tc>
        <w:tc>
          <w:tcPr>
            <w:tcW w:w="882" w:type="dxa"/>
            <w:vMerge w:val="restart"/>
            <w:tcBorders>
              <w:top w:val="single" w:sz="4" w:space="0" w:color="auto"/>
              <w:left w:val="nil"/>
              <w:bottom w:val="single" w:sz="8" w:space="0" w:color="000000"/>
              <w:right w:val="single" w:sz="4" w:space="0" w:color="auto"/>
            </w:tcBorders>
            <w:shd w:val="clear" w:color="auto" w:fill="auto"/>
            <w:noWrap/>
            <w:vAlign w:val="center"/>
            <w:hideMark/>
          </w:tcPr>
          <w:p w14:paraId="69E823C6" w14:textId="77777777" w:rsidR="000D6093" w:rsidRPr="008B619A" w:rsidRDefault="000D6093" w:rsidP="0053467D">
            <w:pPr>
              <w:widowControl/>
              <w:overflowPunct/>
              <w:autoSpaceDE/>
              <w:autoSpaceDN/>
              <w:jc w:val="center"/>
              <w:rPr>
                <w:rFonts w:ascii="Times New Roman" w:eastAsia="新細明體"/>
                <w:b/>
                <w:color w:val="000000" w:themeColor="text1"/>
                <w:kern w:val="0"/>
                <w:sz w:val="26"/>
                <w:szCs w:val="26"/>
              </w:rPr>
            </w:pPr>
            <w:r w:rsidRPr="008B619A">
              <w:rPr>
                <w:rFonts w:hAnsi="標楷體" w:hint="eastAsia"/>
                <w:b/>
                <w:color w:val="000000" w:themeColor="text1"/>
                <w:kern w:val="0"/>
                <w:sz w:val="26"/>
                <w:szCs w:val="26"/>
              </w:rPr>
              <w:t>合計</w:t>
            </w:r>
          </w:p>
        </w:tc>
        <w:tc>
          <w:tcPr>
            <w:tcW w:w="882" w:type="dxa"/>
            <w:vMerge w:val="restart"/>
            <w:tcBorders>
              <w:top w:val="single" w:sz="4" w:space="0" w:color="auto"/>
              <w:left w:val="single" w:sz="4" w:space="0" w:color="auto"/>
              <w:bottom w:val="single" w:sz="8" w:space="0" w:color="000000"/>
              <w:right w:val="single" w:sz="4" w:space="0" w:color="auto"/>
            </w:tcBorders>
            <w:shd w:val="clear" w:color="auto" w:fill="auto"/>
            <w:noWrap/>
            <w:vAlign w:val="center"/>
            <w:hideMark/>
          </w:tcPr>
          <w:p w14:paraId="09B14F35" w14:textId="77777777" w:rsidR="000D6093" w:rsidRPr="008B619A" w:rsidRDefault="000D6093" w:rsidP="0053467D">
            <w:pPr>
              <w:widowControl/>
              <w:overflowPunct/>
              <w:autoSpaceDE/>
              <w:autoSpaceDN/>
              <w:jc w:val="center"/>
              <w:rPr>
                <w:rFonts w:ascii="Times New Roman" w:eastAsia="新細明體"/>
                <w:b/>
                <w:color w:val="000000" w:themeColor="text1"/>
                <w:kern w:val="0"/>
                <w:sz w:val="26"/>
                <w:szCs w:val="26"/>
              </w:rPr>
            </w:pPr>
            <w:r w:rsidRPr="008B619A">
              <w:rPr>
                <w:rFonts w:hAnsi="標楷體" w:hint="eastAsia"/>
                <w:b/>
                <w:color w:val="000000" w:themeColor="text1"/>
                <w:kern w:val="0"/>
                <w:sz w:val="26"/>
                <w:szCs w:val="26"/>
              </w:rPr>
              <w:t>專科</w:t>
            </w:r>
          </w:p>
        </w:tc>
        <w:tc>
          <w:tcPr>
            <w:tcW w:w="3436" w:type="dxa"/>
            <w:gridSpan w:val="3"/>
            <w:tcBorders>
              <w:top w:val="single" w:sz="4" w:space="0" w:color="auto"/>
              <w:left w:val="nil"/>
              <w:bottom w:val="single" w:sz="4" w:space="0" w:color="auto"/>
              <w:right w:val="single" w:sz="4" w:space="0" w:color="auto"/>
            </w:tcBorders>
            <w:shd w:val="clear" w:color="auto" w:fill="auto"/>
            <w:noWrap/>
            <w:vAlign w:val="center"/>
            <w:hideMark/>
          </w:tcPr>
          <w:p w14:paraId="72385A6D" w14:textId="77777777" w:rsidR="000D6093" w:rsidRPr="008B619A" w:rsidRDefault="000D6093" w:rsidP="0053467D">
            <w:pPr>
              <w:widowControl/>
              <w:overflowPunct/>
              <w:autoSpaceDE/>
              <w:autoSpaceDN/>
              <w:jc w:val="center"/>
              <w:rPr>
                <w:rFonts w:ascii="Times New Roman" w:eastAsia="新細明體"/>
                <w:b/>
                <w:color w:val="000000" w:themeColor="text1"/>
                <w:kern w:val="0"/>
                <w:sz w:val="26"/>
                <w:szCs w:val="26"/>
              </w:rPr>
            </w:pPr>
            <w:r w:rsidRPr="008B619A">
              <w:rPr>
                <w:rFonts w:hAnsi="標楷體" w:hint="eastAsia"/>
                <w:b/>
                <w:color w:val="000000" w:themeColor="text1"/>
                <w:kern w:val="0"/>
                <w:sz w:val="26"/>
                <w:szCs w:val="26"/>
              </w:rPr>
              <w:t>大學及以上</w:t>
            </w:r>
          </w:p>
        </w:tc>
      </w:tr>
      <w:tr w:rsidR="000D6093" w:rsidRPr="008B619A" w14:paraId="41E8C1C5" w14:textId="77777777" w:rsidTr="00AB6246">
        <w:trPr>
          <w:trHeight w:val="402"/>
          <w:tblHeader/>
          <w:jc w:val="center"/>
        </w:trPr>
        <w:tc>
          <w:tcPr>
            <w:tcW w:w="1833" w:type="dxa"/>
            <w:vMerge/>
            <w:tcBorders>
              <w:top w:val="single" w:sz="8" w:space="0" w:color="auto"/>
              <w:left w:val="nil"/>
              <w:bottom w:val="single" w:sz="8" w:space="0" w:color="000000"/>
              <w:right w:val="single" w:sz="8" w:space="0" w:color="auto"/>
            </w:tcBorders>
            <w:vAlign w:val="center"/>
            <w:hideMark/>
          </w:tcPr>
          <w:p w14:paraId="3A4261EA" w14:textId="77777777" w:rsidR="000D6093" w:rsidRPr="008B619A" w:rsidRDefault="000D6093" w:rsidP="0053467D">
            <w:pPr>
              <w:widowControl/>
              <w:overflowPunct/>
              <w:autoSpaceDE/>
              <w:autoSpaceDN/>
              <w:jc w:val="left"/>
              <w:rPr>
                <w:rFonts w:ascii="Times New Roman" w:eastAsia="新細明體"/>
                <w:b/>
                <w:color w:val="000000" w:themeColor="text1"/>
                <w:kern w:val="0"/>
                <w:sz w:val="26"/>
                <w:szCs w:val="26"/>
              </w:rPr>
            </w:pPr>
          </w:p>
        </w:tc>
        <w:tc>
          <w:tcPr>
            <w:tcW w:w="1040" w:type="dxa"/>
            <w:vMerge/>
            <w:tcBorders>
              <w:top w:val="single" w:sz="8" w:space="0" w:color="auto"/>
              <w:left w:val="single" w:sz="8" w:space="0" w:color="auto"/>
              <w:bottom w:val="single" w:sz="8" w:space="0" w:color="000000"/>
              <w:right w:val="single" w:sz="4" w:space="0" w:color="auto"/>
            </w:tcBorders>
            <w:vAlign w:val="center"/>
            <w:hideMark/>
          </w:tcPr>
          <w:p w14:paraId="1FB3115F" w14:textId="77777777" w:rsidR="000D6093" w:rsidRPr="008B619A" w:rsidRDefault="000D6093" w:rsidP="0053467D">
            <w:pPr>
              <w:widowControl/>
              <w:overflowPunct/>
              <w:autoSpaceDE/>
              <w:autoSpaceDN/>
              <w:jc w:val="left"/>
              <w:rPr>
                <w:rFonts w:ascii="Times New Roman" w:eastAsia="新細明體"/>
                <w:b/>
                <w:color w:val="000000" w:themeColor="text1"/>
                <w:kern w:val="0"/>
                <w:sz w:val="26"/>
                <w:szCs w:val="26"/>
              </w:rPr>
            </w:pPr>
          </w:p>
        </w:tc>
        <w:tc>
          <w:tcPr>
            <w:tcW w:w="1040" w:type="dxa"/>
            <w:vMerge/>
            <w:tcBorders>
              <w:top w:val="single" w:sz="8" w:space="0" w:color="auto"/>
              <w:left w:val="single" w:sz="4" w:space="0" w:color="auto"/>
              <w:bottom w:val="single" w:sz="8" w:space="0" w:color="000000"/>
              <w:right w:val="single" w:sz="4" w:space="0" w:color="auto"/>
            </w:tcBorders>
            <w:vAlign w:val="center"/>
            <w:hideMark/>
          </w:tcPr>
          <w:p w14:paraId="33AE284D" w14:textId="77777777" w:rsidR="000D6093" w:rsidRPr="008B619A" w:rsidRDefault="000D6093" w:rsidP="0053467D">
            <w:pPr>
              <w:widowControl/>
              <w:overflowPunct/>
              <w:autoSpaceDE/>
              <w:autoSpaceDN/>
              <w:jc w:val="left"/>
              <w:rPr>
                <w:rFonts w:ascii="Times New Roman" w:eastAsia="新細明體"/>
                <w:b/>
                <w:color w:val="000000" w:themeColor="text1"/>
                <w:kern w:val="0"/>
                <w:sz w:val="26"/>
                <w:szCs w:val="26"/>
              </w:rPr>
            </w:pPr>
          </w:p>
        </w:tc>
        <w:tc>
          <w:tcPr>
            <w:tcW w:w="1040" w:type="dxa"/>
            <w:vMerge/>
            <w:tcBorders>
              <w:top w:val="single" w:sz="8" w:space="0" w:color="auto"/>
              <w:left w:val="single" w:sz="4" w:space="0" w:color="auto"/>
              <w:bottom w:val="single" w:sz="8" w:space="0" w:color="000000"/>
              <w:right w:val="double" w:sz="6" w:space="0" w:color="auto"/>
            </w:tcBorders>
            <w:vAlign w:val="center"/>
            <w:hideMark/>
          </w:tcPr>
          <w:p w14:paraId="3B4CF40E" w14:textId="77777777" w:rsidR="000D6093" w:rsidRPr="008B619A" w:rsidRDefault="000D6093" w:rsidP="0053467D">
            <w:pPr>
              <w:widowControl/>
              <w:overflowPunct/>
              <w:autoSpaceDE/>
              <w:autoSpaceDN/>
              <w:jc w:val="left"/>
              <w:rPr>
                <w:rFonts w:ascii="Times New Roman" w:eastAsia="新細明體"/>
                <w:b/>
                <w:color w:val="000000" w:themeColor="text1"/>
                <w:kern w:val="0"/>
                <w:sz w:val="26"/>
                <w:szCs w:val="26"/>
              </w:rPr>
            </w:pPr>
          </w:p>
        </w:tc>
        <w:tc>
          <w:tcPr>
            <w:tcW w:w="882" w:type="dxa"/>
            <w:vMerge/>
            <w:tcBorders>
              <w:top w:val="single" w:sz="4" w:space="0" w:color="auto"/>
              <w:left w:val="nil"/>
              <w:bottom w:val="single" w:sz="8" w:space="0" w:color="000000"/>
              <w:right w:val="single" w:sz="4" w:space="0" w:color="auto"/>
            </w:tcBorders>
            <w:vAlign w:val="center"/>
            <w:hideMark/>
          </w:tcPr>
          <w:p w14:paraId="740FC446" w14:textId="77777777" w:rsidR="000D6093" w:rsidRPr="008B619A" w:rsidRDefault="000D6093" w:rsidP="0053467D">
            <w:pPr>
              <w:widowControl/>
              <w:overflowPunct/>
              <w:autoSpaceDE/>
              <w:autoSpaceDN/>
              <w:jc w:val="left"/>
              <w:rPr>
                <w:rFonts w:ascii="Times New Roman" w:eastAsia="新細明體"/>
                <w:b/>
                <w:color w:val="000000" w:themeColor="text1"/>
                <w:kern w:val="0"/>
                <w:sz w:val="26"/>
                <w:szCs w:val="26"/>
              </w:rPr>
            </w:pPr>
          </w:p>
        </w:tc>
        <w:tc>
          <w:tcPr>
            <w:tcW w:w="882" w:type="dxa"/>
            <w:vMerge/>
            <w:tcBorders>
              <w:top w:val="single" w:sz="4" w:space="0" w:color="auto"/>
              <w:left w:val="single" w:sz="4" w:space="0" w:color="auto"/>
              <w:bottom w:val="single" w:sz="8" w:space="0" w:color="000000"/>
              <w:right w:val="single" w:sz="4" w:space="0" w:color="auto"/>
            </w:tcBorders>
            <w:vAlign w:val="center"/>
            <w:hideMark/>
          </w:tcPr>
          <w:p w14:paraId="1BE9A08D" w14:textId="77777777" w:rsidR="000D6093" w:rsidRPr="008B619A" w:rsidRDefault="000D6093" w:rsidP="0053467D">
            <w:pPr>
              <w:widowControl/>
              <w:overflowPunct/>
              <w:autoSpaceDE/>
              <w:autoSpaceDN/>
              <w:jc w:val="left"/>
              <w:rPr>
                <w:rFonts w:ascii="Times New Roman" w:eastAsia="新細明體"/>
                <w:b/>
                <w:color w:val="000000" w:themeColor="text1"/>
                <w:kern w:val="0"/>
                <w:sz w:val="26"/>
                <w:szCs w:val="26"/>
              </w:rPr>
            </w:pPr>
          </w:p>
        </w:tc>
        <w:tc>
          <w:tcPr>
            <w:tcW w:w="1396" w:type="dxa"/>
            <w:tcBorders>
              <w:top w:val="nil"/>
              <w:left w:val="nil"/>
              <w:bottom w:val="single" w:sz="8" w:space="0" w:color="auto"/>
              <w:right w:val="single" w:sz="4" w:space="0" w:color="auto"/>
            </w:tcBorders>
            <w:shd w:val="clear" w:color="auto" w:fill="auto"/>
            <w:vAlign w:val="center"/>
            <w:hideMark/>
          </w:tcPr>
          <w:p w14:paraId="6CC10315" w14:textId="77777777" w:rsidR="000D6093" w:rsidRPr="008B619A" w:rsidRDefault="000D6093" w:rsidP="0053467D">
            <w:pPr>
              <w:widowControl/>
              <w:overflowPunct/>
              <w:autoSpaceDE/>
              <w:autoSpaceDN/>
              <w:jc w:val="center"/>
              <w:rPr>
                <w:rFonts w:ascii="Times New Roman" w:eastAsia="新細明體"/>
                <w:b/>
                <w:color w:val="000000" w:themeColor="text1"/>
                <w:kern w:val="0"/>
                <w:sz w:val="26"/>
                <w:szCs w:val="26"/>
              </w:rPr>
            </w:pPr>
            <w:r w:rsidRPr="008B619A">
              <w:rPr>
                <w:rFonts w:hAnsi="標楷體" w:hint="eastAsia"/>
                <w:b/>
                <w:color w:val="000000" w:themeColor="text1"/>
                <w:kern w:val="0"/>
                <w:sz w:val="26"/>
                <w:szCs w:val="26"/>
              </w:rPr>
              <w:t>小計</w:t>
            </w:r>
          </w:p>
        </w:tc>
        <w:tc>
          <w:tcPr>
            <w:tcW w:w="882" w:type="dxa"/>
            <w:tcBorders>
              <w:top w:val="nil"/>
              <w:left w:val="nil"/>
              <w:bottom w:val="single" w:sz="8" w:space="0" w:color="auto"/>
              <w:right w:val="single" w:sz="4" w:space="0" w:color="auto"/>
            </w:tcBorders>
            <w:shd w:val="clear" w:color="auto" w:fill="auto"/>
            <w:noWrap/>
            <w:vAlign w:val="center"/>
            <w:hideMark/>
          </w:tcPr>
          <w:p w14:paraId="43A02FDE" w14:textId="77777777" w:rsidR="000D6093" w:rsidRPr="008B619A" w:rsidRDefault="000D6093" w:rsidP="0053467D">
            <w:pPr>
              <w:widowControl/>
              <w:overflowPunct/>
              <w:autoSpaceDE/>
              <w:autoSpaceDN/>
              <w:jc w:val="center"/>
              <w:rPr>
                <w:rFonts w:ascii="Times New Roman" w:eastAsia="新細明體"/>
                <w:b/>
                <w:color w:val="000000" w:themeColor="text1"/>
                <w:kern w:val="0"/>
                <w:sz w:val="26"/>
                <w:szCs w:val="26"/>
              </w:rPr>
            </w:pPr>
            <w:r w:rsidRPr="008B619A">
              <w:rPr>
                <w:rFonts w:hAnsi="標楷體" w:hint="eastAsia"/>
                <w:b/>
                <w:color w:val="000000" w:themeColor="text1"/>
                <w:kern w:val="0"/>
                <w:sz w:val="26"/>
                <w:szCs w:val="26"/>
              </w:rPr>
              <w:t>大學</w:t>
            </w:r>
          </w:p>
        </w:tc>
        <w:tc>
          <w:tcPr>
            <w:tcW w:w="1158" w:type="dxa"/>
            <w:tcBorders>
              <w:top w:val="nil"/>
              <w:left w:val="nil"/>
              <w:bottom w:val="single" w:sz="8" w:space="0" w:color="auto"/>
              <w:right w:val="nil"/>
            </w:tcBorders>
            <w:shd w:val="clear" w:color="auto" w:fill="E5DFEC" w:themeFill="accent4" w:themeFillTint="33"/>
            <w:noWrap/>
            <w:vAlign w:val="center"/>
            <w:hideMark/>
          </w:tcPr>
          <w:p w14:paraId="73593F92" w14:textId="77777777" w:rsidR="000D6093" w:rsidRPr="008B619A" w:rsidRDefault="000D6093" w:rsidP="0053467D">
            <w:pPr>
              <w:widowControl/>
              <w:overflowPunct/>
              <w:autoSpaceDE/>
              <w:autoSpaceDN/>
              <w:jc w:val="center"/>
              <w:rPr>
                <w:rFonts w:ascii="Times New Roman" w:eastAsia="新細明體"/>
                <w:b/>
                <w:color w:val="000000" w:themeColor="text1"/>
                <w:kern w:val="0"/>
                <w:sz w:val="26"/>
                <w:szCs w:val="26"/>
              </w:rPr>
            </w:pPr>
            <w:r w:rsidRPr="008B619A">
              <w:rPr>
                <w:rFonts w:hAnsi="標楷體" w:hint="eastAsia"/>
                <w:b/>
                <w:color w:val="000000" w:themeColor="text1"/>
                <w:kern w:val="0"/>
                <w:sz w:val="26"/>
                <w:szCs w:val="26"/>
              </w:rPr>
              <w:t>研究所</w:t>
            </w:r>
          </w:p>
        </w:tc>
      </w:tr>
      <w:tr w:rsidR="000D6093" w:rsidRPr="008B619A" w14:paraId="2E604BC7" w14:textId="77777777" w:rsidTr="00AB6246">
        <w:trPr>
          <w:trHeight w:val="300"/>
          <w:jc w:val="center"/>
        </w:trPr>
        <w:tc>
          <w:tcPr>
            <w:tcW w:w="1833" w:type="dxa"/>
            <w:tcBorders>
              <w:top w:val="nil"/>
              <w:left w:val="nil"/>
              <w:bottom w:val="nil"/>
              <w:right w:val="single" w:sz="8" w:space="0" w:color="auto"/>
            </w:tcBorders>
            <w:shd w:val="clear" w:color="auto" w:fill="auto"/>
            <w:noWrap/>
            <w:vAlign w:val="bottom"/>
            <w:hideMark/>
          </w:tcPr>
          <w:p w14:paraId="195E749E" w14:textId="77777777" w:rsidR="000D6093" w:rsidRPr="008B619A" w:rsidRDefault="000D6093" w:rsidP="0053467D">
            <w:pPr>
              <w:widowControl/>
              <w:overflowPunct/>
              <w:autoSpaceDE/>
              <w:autoSpaceDN/>
              <w:jc w:val="center"/>
              <w:rPr>
                <w:rFonts w:ascii="Times New Roman" w:eastAsia="新細明體"/>
                <w:color w:val="000000" w:themeColor="text1"/>
                <w:kern w:val="0"/>
                <w:sz w:val="26"/>
                <w:szCs w:val="26"/>
              </w:rPr>
            </w:pPr>
            <w:r w:rsidRPr="008B619A">
              <w:rPr>
                <w:rFonts w:ascii="Times New Roman" w:eastAsia="新細明體"/>
                <w:color w:val="000000" w:themeColor="text1"/>
                <w:kern w:val="0"/>
                <w:sz w:val="26"/>
                <w:szCs w:val="26"/>
              </w:rPr>
              <w:t>97</w:t>
            </w:r>
            <w:r w:rsidRPr="008B619A">
              <w:rPr>
                <w:rFonts w:hAnsi="標楷體" w:hint="eastAsia"/>
                <w:color w:val="000000" w:themeColor="text1"/>
                <w:kern w:val="0"/>
                <w:sz w:val="26"/>
                <w:szCs w:val="26"/>
              </w:rPr>
              <w:t>年平均</w:t>
            </w:r>
          </w:p>
        </w:tc>
        <w:tc>
          <w:tcPr>
            <w:tcW w:w="1040" w:type="dxa"/>
            <w:tcBorders>
              <w:top w:val="nil"/>
              <w:left w:val="nil"/>
              <w:bottom w:val="nil"/>
              <w:right w:val="nil"/>
            </w:tcBorders>
            <w:shd w:val="clear" w:color="auto" w:fill="auto"/>
            <w:noWrap/>
            <w:vAlign w:val="bottom"/>
            <w:hideMark/>
          </w:tcPr>
          <w:p w14:paraId="57AC80E7" w14:textId="77777777" w:rsidR="000D6093" w:rsidRPr="008B619A" w:rsidRDefault="000D6093" w:rsidP="0053467D">
            <w:pPr>
              <w:widowControl/>
              <w:overflowPunct/>
              <w:autoSpaceDE/>
              <w:autoSpaceDN/>
              <w:jc w:val="right"/>
              <w:rPr>
                <w:rFonts w:ascii="Times New Roman" w:eastAsia="新細明體"/>
                <w:color w:val="000000" w:themeColor="text1"/>
                <w:kern w:val="0"/>
                <w:sz w:val="26"/>
                <w:szCs w:val="26"/>
              </w:rPr>
            </w:pPr>
            <w:r w:rsidRPr="008B619A">
              <w:rPr>
                <w:rFonts w:ascii="Times New Roman" w:eastAsia="新細明體"/>
                <w:color w:val="000000" w:themeColor="text1"/>
                <w:kern w:val="0"/>
                <w:sz w:val="26"/>
                <w:szCs w:val="26"/>
              </w:rPr>
              <w:t>58.28</w:t>
            </w:r>
          </w:p>
        </w:tc>
        <w:tc>
          <w:tcPr>
            <w:tcW w:w="1040" w:type="dxa"/>
            <w:tcBorders>
              <w:top w:val="nil"/>
              <w:left w:val="nil"/>
              <w:bottom w:val="nil"/>
              <w:right w:val="nil"/>
            </w:tcBorders>
            <w:shd w:val="clear" w:color="auto" w:fill="auto"/>
            <w:noWrap/>
            <w:vAlign w:val="bottom"/>
            <w:hideMark/>
          </w:tcPr>
          <w:p w14:paraId="0FD9FDE8" w14:textId="77777777" w:rsidR="000D6093" w:rsidRPr="008B619A" w:rsidRDefault="000D6093" w:rsidP="0053467D">
            <w:pPr>
              <w:widowControl/>
              <w:overflowPunct/>
              <w:autoSpaceDE/>
              <w:autoSpaceDN/>
              <w:jc w:val="right"/>
              <w:rPr>
                <w:rFonts w:ascii="Times New Roman" w:eastAsia="新細明體"/>
                <w:color w:val="000000" w:themeColor="text1"/>
                <w:kern w:val="0"/>
                <w:sz w:val="26"/>
                <w:szCs w:val="26"/>
              </w:rPr>
            </w:pPr>
            <w:r w:rsidRPr="008B619A">
              <w:rPr>
                <w:rFonts w:ascii="Times New Roman" w:eastAsia="新細明體"/>
                <w:color w:val="000000" w:themeColor="text1"/>
                <w:kern w:val="0"/>
                <w:sz w:val="26"/>
                <w:szCs w:val="26"/>
              </w:rPr>
              <w:t>67.09</w:t>
            </w:r>
          </w:p>
        </w:tc>
        <w:tc>
          <w:tcPr>
            <w:tcW w:w="1040" w:type="dxa"/>
            <w:tcBorders>
              <w:top w:val="nil"/>
              <w:left w:val="nil"/>
              <w:bottom w:val="nil"/>
              <w:right w:val="nil"/>
            </w:tcBorders>
            <w:shd w:val="clear" w:color="auto" w:fill="auto"/>
            <w:noWrap/>
            <w:vAlign w:val="bottom"/>
            <w:hideMark/>
          </w:tcPr>
          <w:p w14:paraId="38EE548B" w14:textId="77777777" w:rsidR="000D6093" w:rsidRPr="008B619A" w:rsidRDefault="000D6093" w:rsidP="0053467D">
            <w:pPr>
              <w:widowControl/>
              <w:overflowPunct/>
              <w:autoSpaceDE/>
              <w:autoSpaceDN/>
              <w:jc w:val="right"/>
              <w:rPr>
                <w:rFonts w:ascii="Times New Roman" w:eastAsia="新細明體"/>
                <w:color w:val="000000" w:themeColor="text1"/>
                <w:kern w:val="0"/>
                <w:sz w:val="26"/>
                <w:szCs w:val="26"/>
              </w:rPr>
            </w:pPr>
            <w:r w:rsidRPr="008B619A">
              <w:rPr>
                <w:rFonts w:ascii="Times New Roman" w:eastAsia="新細明體"/>
                <w:color w:val="000000" w:themeColor="text1"/>
                <w:kern w:val="0"/>
                <w:sz w:val="26"/>
                <w:szCs w:val="26"/>
              </w:rPr>
              <w:t>49.67</w:t>
            </w:r>
          </w:p>
        </w:tc>
        <w:tc>
          <w:tcPr>
            <w:tcW w:w="882" w:type="dxa"/>
            <w:tcBorders>
              <w:top w:val="nil"/>
              <w:left w:val="nil"/>
              <w:bottom w:val="nil"/>
              <w:right w:val="nil"/>
            </w:tcBorders>
            <w:shd w:val="clear" w:color="auto" w:fill="auto"/>
            <w:noWrap/>
            <w:vAlign w:val="bottom"/>
            <w:hideMark/>
          </w:tcPr>
          <w:p w14:paraId="0DD966DC" w14:textId="77777777" w:rsidR="000D6093" w:rsidRPr="008B619A" w:rsidRDefault="000D6093" w:rsidP="0053467D">
            <w:pPr>
              <w:widowControl/>
              <w:overflowPunct/>
              <w:autoSpaceDE/>
              <w:autoSpaceDN/>
              <w:jc w:val="right"/>
              <w:rPr>
                <w:rFonts w:ascii="Times New Roman" w:eastAsia="新細明體"/>
                <w:color w:val="000000" w:themeColor="text1"/>
                <w:kern w:val="0"/>
                <w:sz w:val="26"/>
                <w:szCs w:val="26"/>
              </w:rPr>
            </w:pPr>
            <w:r w:rsidRPr="008B619A">
              <w:rPr>
                <w:rFonts w:ascii="Times New Roman" w:eastAsia="新細明體"/>
                <w:color w:val="000000" w:themeColor="text1"/>
                <w:kern w:val="0"/>
                <w:sz w:val="26"/>
                <w:szCs w:val="26"/>
              </w:rPr>
              <w:t>68.18</w:t>
            </w:r>
          </w:p>
        </w:tc>
        <w:tc>
          <w:tcPr>
            <w:tcW w:w="882" w:type="dxa"/>
            <w:tcBorders>
              <w:top w:val="nil"/>
              <w:left w:val="nil"/>
              <w:bottom w:val="nil"/>
              <w:right w:val="nil"/>
            </w:tcBorders>
            <w:shd w:val="clear" w:color="auto" w:fill="auto"/>
            <w:noWrap/>
            <w:vAlign w:val="bottom"/>
            <w:hideMark/>
          </w:tcPr>
          <w:p w14:paraId="684BC216" w14:textId="77777777" w:rsidR="000D6093" w:rsidRPr="008B619A" w:rsidRDefault="000D6093" w:rsidP="0053467D">
            <w:pPr>
              <w:widowControl/>
              <w:overflowPunct/>
              <w:autoSpaceDE/>
              <w:autoSpaceDN/>
              <w:jc w:val="right"/>
              <w:rPr>
                <w:rFonts w:ascii="Times New Roman" w:eastAsia="新細明體"/>
                <w:color w:val="000000" w:themeColor="text1"/>
                <w:kern w:val="0"/>
                <w:sz w:val="26"/>
                <w:szCs w:val="26"/>
              </w:rPr>
            </w:pPr>
            <w:r w:rsidRPr="008B619A">
              <w:rPr>
                <w:rFonts w:ascii="Times New Roman" w:eastAsia="新細明體"/>
                <w:color w:val="000000" w:themeColor="text1"/>
                <w:kern w:val="0"/>
                <w:sz w:val="26"/>
                <w:szCs w:val="26"/>
              </w:rPr>
              <w:t>77.47</w:t>
            </w:r>
          </w:p>
        </w:tc>
        <w:tc>
          <w:tcPr>
            <w:tcW w:w="1396" w:type="dxa"/>
            <w:tcBorders>
              <w:top w:val="nil"/>
              <w:left w:val="nil"/>
              <w:bottom w:val="nil"/>
              <w:right w:val="nil"/>
            </w:tcBorders>
            <w:shd w:val="clear" w:color="auto" w:fill="auto"/>
            <w:noWrap/>
            <w:vAlign w:val="bottom"/>
            <w:hideMark/>
          </w:tcPr>
          <w:p w14:paraId="3D61C0BA" w14:textId="77777777" w:rsidR="000D6093" w:rsidRPr="008B619A" w:rsidRDefault="000D6093" w:rsidP="0053467D">
            <w:pPr>
              <w:widowControl/>
              <w:overflowPunct/>
              <w:autoSpaceDE/>
              <w:autoSpaceDN/>
              <w:jc w:val="right"/>
              <w:rPr>
                <w:rFonts w:ascii="Times New Roman" w:eastAsia="新細明體"/>
                <w:color w:val="000000" w:themeColor="text1"/>
                <w:kern w:val="0"/>
                <w:sz w:val="26"/>
                <w:szCs w:val="26"/>
              </w:rPr>
            </w:pPr>
            <w:r w:rsidRPr="008B619A">
              <w:rPr>
                <w:rFonts w:ascii="Times New Roman" w:eastAsia="新細明體"/>
                <w:color w:val="000000" w:themeColor="text1"/>
                <w:kern w:val="0"/>
                <w:sz w:val="26"/>
                <w:szCs w:val="26"/>
              </w:rPr>
              <w:t>62.63</w:t>
            </w:r>
          </w:p>
        </w:tc>
        <w:tc>
          <w:tcPr>
            <w:tcW w:w="882" w:type="dxa"/>
            <w:tcBorders>
              <w:top w:val="nil"/>
              <w:left w:val="nil"/>
              <w:bottom w:val="nil"/>
              <w:right w:val="nil"/>
            </w:tcBorders>
            <w:shd w:val="clear" w:color="auto" w:fill="auto"/>
            <w:noWrap/>
            <w:vAlign w:val="bottom"/>
            <w:hideMark/>
          </w:tcPr>
          <w:p w14:paraId="6A2B6746" w14:textId="77777777" w:rsidR="000D6093" w:rsidRPr="008B619A" w:rsidRDefault="000D6093" w:rsidP="0053467D">
            <w:pPr>
              <w:widowControl/>
              <w:overflowPunct/>
              <w:autoSpaceDE/>
              <w:autoSpaceDN/>
              <w:jc w:val="right"/>
              <w:rPr>
                <w:rFonts w:ascii="Times New Roman" w:eastAsia="新細明體"/>
                <w:color w:val="000000" w:themeColor="text1"/>
                <w:kern w:val="0"/>
                <w:sz w:val="26"/>
                <w:szCs w:val="26"/>
              </w:rPr>
            </w:pPr>
            <w:r w:rsidRPr="008B619A">
              <w:rPr>
                <w:rFonts w:ascii="Times New Roman" w:eastAsia="新細明體"/>
                <w:color w:val="000000" w:themeColor="text1"/>
                <w:kern w:val="0"/>
                <w:sz w:val="26"/>
                <w:szCs w:val="26"/>
              </w:rPr>
              <w:t>62.63</w:t>
            </w:r>
          </w:p>
        </w:tc>
        <w:tc>
          <w:tcPr>
            <w:tcW w:w="1158" w:type="dxa"/>
            <w:tcBorders>
              <w:top w:val="nil"/>
              <w:left w:val="nil"/>
              <w:bottom w:val="nil"/>
              <w:right w:val="nil"/>
            </w:tcBorders>
            <w:shd w:val="clear" w:color="auto" w:fill="E5DFEC" w:themeFill="accent4" w:themeFillTint="33"/>
            <w:noWrap/>
            <w:vAlign w:val="bottom"/>
            <w:hideMark/>
          </w:tcPr>
          <w:p w14:paraId="1E25E21E" w14:textId="77777777" w:rsidR="000D6093" w:rsidRPr="008B619A" w:rsidRDefault="000D6093" w:rsidP="0053467D">
            <w:pPr>
              <w:widowControl/>
              <w:overflowPunct/>
              <w:autoSpaceDE/>
              <w:autoSpaceDN/>
              <w:jc w:val="right"/>
              <w:rPr>
                <w:rFonts w:ascii="Times New Roman" w:eastAsia="新細明體"/>
                <w:b/>
                <w:color w:val="000000" w:themeColor="text1"/>
                <w:kern w:val="0"/>
                <w:sz w:val="26"/>
                <w:szCs w:val="26"/>
              </w:rPr>
            </w:pPr>
            <w:r w:rsidRPr="008B619A">
              <w:rPr>
                <w:rFonts w:ascii="Times New Roman" w:eastAsia="新細明體"/>
                <w:b/>
                <w:color w:val="000000" w:themeColor="text1"/>
                <w:kern w:val="0"/>
                <w:sz w:val="26"/>
                <w:szCs w:val="26"/>
              </w:rPr>
              <w:t>-</w:t>
            </w:r>
          </w:p>
        </w:tc>
      </w:tr>
      <w:tr w:rsidR="000D6093" w:rsidRPr="008B619A" w14:paraId="7C83B6AE" w14:textId="77777777" w:rsidTr="00AB6246">
        <w:trPr>
          <w:trHeight w:val="300"/>
          <w:jc w:val="center"/>
        </w:trPr>
        <w:tc>
          <w:tcPr>
            <w:tcW w:w="1833" w:type="dxa"/>
            <w:tcBorders>
              <w:top w:val="nil"/>
              <w:left w:val="nil"/>
              <w:bottom w:val="nil"/>
              <w:right w:val="single" w:sz="8" w:space="0" w:color="auto"/>
            </w:tcBorders>
            <w:shd w:val="clear" w:color="auto" w:fill="auto"/>
            <w:noWrap/>
            <w:vAlign w:val="bottom"/>
            <w:hideMark/>
          </w:tcPr>
          <w:p w14:paraId="3F47D195" w14:textId="77777777" w:rsidR="000D6093" w:rsidRPr="008B619A" w:rsidRDefault="000D6093" w:rsidP="0053467D">
            <w:pPr>
              <w:widowControl/>
              <w:overflowPunct/>
              <w:autoSpaceDE/>
              <w:autoSpaceDN/>
              <w:jc w:val="center"/>
              <w:rPr>
                <w:rFonts w:ascii="Times New Roman" w:eastAsia="新細明體"/>
                <w:color w:val="000000" w:themeColor="text1"/>
                <w:kern w:val="0"/>
                <w:sz w:val="26"/>
                <w:szCs w:val="26"/>
              </w:rPr>
            </w:pPr>
            <w:r w:rsidRPr="008B619A">
              <w:rPr>
                <w:rFonts w:ascii="Times New Roman" w:eastAsia="新細明體"/>
                <w:color w:val="000000" w:themeColor="text1"/>
                <w:kern w:val="0"/>
                <w:sz w:val="26"/>
                <w:szCs w:val="26"/>
              </w:rPr>
              <w:t>98</w:t>
            </w:r>
            <w:r w:rsidRPr="008B619A">
              <w:rPr>
                <w:rFonts w:hAnsi="標楷體" w:hint="eastAsia"/>
                <w:color w:val="000000" w:themeColor="text1"/>
                <w:kern w:val="0"/>
                <w:sz w:val="26"/>
                <w:szCs w:val="26"/>
              </w:rPr>
              <w:t>年平均</w:t>
            </w:r>
          </w:p>
        </w:tc>
        <w:tc>
          <w:tcPr>
            <w:tcW w:w="1040" w:type="dxa"/>
            <w:tcBorders>
              <w:top w:val="nil"/>
              <w:left w:val="nil"/>
              <w:bottom w:val="nil"/>
              <w:right w:val="nil"/>
            </w:tcBorders>
            <w:shd w:val="clear" w:color="auto" w:fill="auto"/>
            <w:noWrap/>
            <w:vAlign w:val="bottom"/>
            <w:hideMark/>
          </w:tcPr>
          <w:p w14:paraId="41401520" w14:textId="77777777" w:rsidR="000D6093" w:rsidRPr="008B619A" w:rsidRDefault="000D6093" w:rsidP="0053467D">
            <w:pPr>
              <w:widowControl/>
              <w:overflowPunct/>
              <w:autoSpaceDE/>
              <w:autoSpaceDN/>
              <w:jc w:val="right"/>
              <w:rPr>
                <w:rFonts w:ascii="Times New Roman" w:eastAsia="新細明體"/>
                <w:color w:val="000000" w:themeColor="text1"/>
                <w:kern w:val="0"/>
                <w:sz w:val="26"/>
                <w:szCs w:val="26"/>
              </w:rPr>
            </w:pPr>
            <w:r w:rsidRPr="008B619A">
              <w:rPr>
                <w:rFonts w:ascii="Times New Roman" w:eastAsia="新細明體"/>
                <w:color w:val="000000" w:themeColor="text1"/>
                <w:kern w:val="0"/>
                <w:sz w:val="26"/>
                <w:szCs w:val="26"/>
              </w:rPr>
              <w:t>57.90</w:t>
            </w:r>
          </w:p>
        </w:tc>
        <w:tc>
          <w:tcPr>
            <w:tcW w:w="1040" w:type="dxa"/>
            <w:tcBorders>
              <w:top w:val="nil"/>
              <w:left w:val="nil"/>
              <w:bottom w:val="nil"/>
              <w:right w:val="nil"/>
            </w:tcBorders>
            <w:shd w:val="clear" w:color="auto" w:fill="auto"/>
            <w:noWrap/>
            <w:vAlign w:val="bottom"/>
            <w:hideMark/>
          </w:tcPr>
          <w:p w14:paraId="527737DA" w14:textId="77777777" w:rsidR="000D6093" w:rsidRPr="008B619A" w:rsidRDefault="000D6093" w:rsidP="0053467D">
            <w:pPr>
              <w:widowControl/>
              <w:overflowPunct/>
              <w:autoSpaceDE/>
              <w:autoSpaceDN/>
              <w:jc w:val="right"/>
              <w:rPr>
                <w:rFonts w:ascii="Times New Roman" w:eastAsia="新細明體"/>
                <w:color w:val="000000" w:themeColor="text1"/>
                <w:kern w:val="0"/>
                <w:sz w:val="26"/>
                <w:szCs w:val="26"/>
              </w:rPr>
            </w:pPr>
            <w:r w:rsidRPr="008B619A">
              <w:rPr>
                <w:rFonts w:ascii="Times New Roman" w:eastAsia="新細明體"/>
                <w:color w:val="000000" w:themeColor="text1"/>
                <w:kern w:val="0"/>
                <w:sz w:val="26"/>
                <w:szCs w:val="26"/>
              </w:rPr>
              <w:t>66.40</w:t>
            </w:r>
          </w:p>
        </w:tc>
        <w:tc>
          <w:tcPr>
            <w:tcW w:w="1040" w:type="dxa"/>
            <w:tcBorders>
              <w:top w:val="nil"/>
              <w:left w:val="nil"/>
              <w:bottom w:val="nil"/>
              <w:right w:val="nil"/>
            </w:tcBorders>
            <w:shd w:val="clear" w:color="auto" w:fill="auto"/>
            <w:noWrap/>
            <w:vAlign w:val="bottom"/>
            <w:hideMark/>
          </w:tcPr>
          <w:p w14:paraId="42A68E1F" w14:textId="77777777" w:rsidR="000D6093" w:rsidRPr="008B619A" w:rsidRDefault="000D6093" w:rsidP="0053467D">
            <w:pPr>
              <w:widowControl/>
              <w:overflowPunct/>
              <w:autoSpaceDE/>
              <w:autoSpaceDN/>
              <w:jc w:val="right"/>
              <w:rPr>
                <w:rFonts w:ascii="Times New Roman" w:eastAsia="新細明體"/>
                <w:color w:val="000000" w:themeColor="text1"/>
                <w:kern w:val="0"/>
                <w:sz w:val="26"/>
                <w:szCs w:val="26"/>
              </w:rPr>
            </w:pPr>
            <w:r w:rsidRPr="008B619A">
              <w:rPr>
                <w:rFonts w:ascii="Times New Roman" w:eastAsia="新細明體"/>
                <w:color w:val="000000" w:themeColor="text1"/>
                <w:kern w:val="0"/>
                <w:sz w:val="26"/>
                <w:szCs w:val="26"/>
              </w:rPr>
              <w:t>49.62</w:t>
            </w:r>
          </w:p>
        </w:tc>
        <w:tc>
          <w:tcPr>
            <w:tcW w:w="882" w:type="dxa"/>
            <w:tcBorders>
              <w:top w:val="nil"/>
              <w:left w:val="nil"/>
              <w:bottom w:val="nil"/>
              <w:right w:val="nil"/>
            </w:tcBorders>
            <w:shd w:val="clear" w:color="auto" w:fill="auto"/>
            <w:noWrap/>
            <w:vAlign w:val="bottom"/>
            <w:hideMark/>
          </w:tcPr>
          <w:p w14:paraId="51BE3BBF" w14:textId="77777777" w:rsidR="000D6093" w:rsidRPr="008B619A" w:rsidRDefault="000D6093" w:rsidP="0053467D">
            <w:pPr>
              <w:widowControl/>
              <w:overflowPunct/>
              <w:autoSpaceDE/>
              <w:autoSpaceDN/>
              <w:jc w:val="right"/>
              <w:rPr>
                <w:rFonts w:ascii="Times New Roman" w:eastAsia="新細明體"/>
                <w:color w:val="000000" w:themeColor="text1"/>
                <w:kern w:val="0"/>
                <w:sz w:val="26"/>
                <w:szCs w:val="26"/>
              </w:rPr>
            </w:pPr>
            <w:r w:rsidRPr="008B619A">
              <w:rPr>
                <w:rFonts w:ascii="Times New Roman" w:eastAsia="新細明體"/>
                <w:color w:val="000000" w:themeColor="text1"/>
                <w:kern w:val="0"/>
                <w:sz w:val="26"/>
                <w:szCs w:val="26"/>
              </w:rPr>
              <w:t>68.40</w:t>
            </w:r>
          </w:p>
        </w:tc>
        <w:tc>
          <w:tcPr>
            <w:tcW w:w="882" w:type="dxa"/>
            <w:tcBorders>
              <w:top w:val="nil"/>
              <w:left w:val="nil"/>
              <w:bottom w:val="nil"/>
              <w:right w:val="nil"/>
            </w:tcBorders>
            <w:shd w:val="clear" w:color="auto" w:fill="auto"/>
            <w:noWrap/>
            <w:vAlign w:val="bottom"/>
            <w:hideMark/>
          </w:tcPr>
          <w:p w14:paraId="0A06F62B" w14:textId="77777777" w:rsidR="000D6093" w:rsidRPr="008B619A" w:rsidRDefault="000D6093" w:rsidP="0053467D">
            <w:pPr>
              <w:widowControl/>
              <w:overflowPunct/>
              <w:autoSpaceDE/>
              <w:autoSpaceDN/>
              <w:jc w:val="right"/>
              <w:rPr>
                <w:rFonts w:ascii="Times New Roman" w:eastAsia="新細明體"/>
                <w:color w:val="000000" w:themeColor="text1"/>
                <w:kern w:val="0"/>
                <w:sz w:val="26"/>
                <w:szCs w:val="26"/>
              </w:rPr>
            </w:pPr>
            <w:r w:rsidRPr="008B619A">
              <w:rPr>
                <w:rFonts w:ascii="Times New Roman" w:eastAsia="新細明體"/>
                <w:color w:val="000000" w:themeColor="text1"/>
                <w:kern w:val="0"/>
                <w:sz w:val="26"/>
                <w:szCs w:val="26"/>
              </w:rPr>
              <w:t>76.99</w:t>
            </w:r>
          </w:p>
        </w:tc>
        <w:tc>
          <w:tcPr>
            <w:tcW w:w="1396" w:type="dxa"/>
            <w:tcBorders>
              <w:top w:val="nil"/>
              <w:left w:val="nil"/>
              <w:bottom w:val="nil"/>
              <w:right w:val="nil"/>
            </w:tcBorders>
            <w:shd w:val="clear" w:color="auto" w:fill="auto"/>
            <w:noWrap/>
            <w:vAlign w:val="bottom"/>
            <w:hideMark/>
          </w:tcPr>
          <w:p w14:paraId="481E72B0" w14:textId="77777777" w:rsidR="000D6093" w:rsidRPr="008B619A" w:rsidRDefault="000D6093" w:rsidP="0053467D">
            <w:pPr>
              <w:widowControl/>
              <w:overflowPunct/>
              <w:autoSpaceDE/>
              <w:autoSpaceDN/>
              <w:jc w:val="right"/>
              <w:rPr>
                <w:rFonts w:ascii="Times New Roman" w:eastAsia="新細明體"/>
                <w:color w:val="000000" w:themeColor="text1"/>
                <w:kern w:val="0"/>
                <w:sz w:val="26"/>
                <w:szCs w:val="26"/>
              </w:rPr>
            </w:pPr>
            <w:r w:rsidRPr="008B619A">
              <w:rPr>
                <w:rFonts w:ascii="Times New Roman" w:eastAsia="新細明體"/>
                <w:color w:val="000000" w:themeColor="text1"/>
                <w:kern w:val="0"/>
                <w:sz w:val="26"/>
                <w:szCs w:val="26"/>
              </w:rPr>
              <w:t>63.58</w:t>
            </w:r>
          </w:p>
        </w:tc>
        <w:tc>
          <w:tcPr>
            <w:tcW w:w="882" w:type="dxa"/>
            <w:tcBorders>
              <w:top w:val="nil"/>
              <w:left w:val="nil"/>
              <w:bottom w:val="nil"/>
              <w:right w:val="nil"/>
            </w:tcBorders>
            <w:shd w:val="clear" w:color="auto" w:fill="auto"/>
            <w:noWrap/>
            <w:vAlign w:val="bottom"/>
            <w:hideMark/>
          </w:tcPr>
          <w:p w14:paraId="5322A413" w14:textId="77777777" w:rsidR="000D6093" w:rsidRPr="008B619A" w:rsidRDefault="000D6093" w:rsidP="0053467D">
            <w:pPr>
              <w:widowControl/>
              <w:overflowPunct/>
              <w:autoSpaceDE/>
              <w:autoSpaceDN/>
              <w:jc w:val="right"/>
              <w:rPr>
                <w:rFonts w:ascii="Times New Roman" w:eastAsia="新細明體"/>
                <w:color w:val="000000" w:themeColor="text1"/>
                <w:kern w:val="0"/>
                <w:sz w:val="26"/>
                <w:szCs w:val="26"/>
              </w:rPr>
            </w:pPr>
            <w:r w:rsidRPr="008B619A">
              <w:rPr>
                <w:rFonts w:ascii="Times New Roman" w:eastAsia="新細明體"/>
                <w:color w:val="000000" w:themeColor="text1"/>
                <w:kern w:val="0"/>
                <w:sz w:val="26"/>
                <w:szCs w:val="26"/>
              </w:rPr>
              <w:t>63.58</w:t>
            </w:r>
          </w:p>
        </w:tc>
        <w:tc>
          <w:tcPr>
            <w:tcW w:w="1158" w:type="dxa"/>
            <w:tcBorders>
              <w:top w:val="nil"/>
              <w:left w:val="nil"/>
              <w:bottom w:val="nil"/>
              <w:right w:val="nil"/>
            </w:tcBorders>
            <w:shd w:val="clear" w:color="auto" w:fill="E5DFEC" w:themeFill="accent4" w:themeFillTint="33"/>
            <w:noWrap/>
            <w:vAlign w:val="bottom"/>
            <w:hideMark/>
          </w:tcPr>
          <w:p w14:paraId="72FD5A72" w14:textId="77777777" w:rsidR="000D6093" w:rsidRPr="008B619A" w:rsidRDefault="000D6093" w:rsidP="0053467D">
            <w:pPr>
              <w:widowControl/>
              <w:overflowPunct/>
              <w:autoSpaceDE/>
              <w:autoSpaceDN/>
              <w:jc w:val="right"/>
              <w:rPr>
                <w:rFonts w:ascii="Times New Roman" w:eastAsia="新細明體"/>
                <w:b/>
                <w:color w:val="000000" w:themeColor="text1"/>
                <w:kern w:val="0"/>
                <w:sz w:val="26"/>
                <w:szCs w:val="26"/>
              </w:rPr>
            </w:pPr>
            <w:r w:rsidRPr="008B619A">
              <w:rPr>
                <w:rFonts w:ascii="Times New Roman" w:eastAsia="新細明體"/>
                <w:b/>
                <w:color w:val="000000" w:themeColor="text1"/>
                <w:kern w:val="0"/>
                <w:sz w:val="26"/>
                <w:szCs w:val="26"/>
              </w:rPr>
              <w:t>-</w:t>
            </w:r>
          </w:p>
        </w:tc>
      </w:tr>
      <w:tr w:rsidR="000D6093" w:rsidRPr="008B619A" w14:paraId="4730BAAF" w14:textId="77777777" w:rsidTr="00AB6246">
        <w:trPr>
          <w:trHeight w:val="300"/>
          <w:jc w:val="center"/>
        </w:trPr>
        <w:tc>
          <w:tcPr>
            <w:tcW w:w="1833" w:type="dxa"/>
            <w:tcBorders>
              <w:top w:val="nil"/>
              <w:left w:val="nil"/>
              <w:bottom w:val="nil"/>
              <w:right w:val="single" w:sz="8" w:space="0" w:color="auto"/>
            </w:tcBorders>
            <w:shd w:val="clear" w:color="auto" w:fill="auto"/>
            <w:noWrap/>
            <w:vAlign w:val="bottom"/>
            <w:hideMark/>
          </w:tcPr>
          <w:p w14:paraId="6404275F" w14:textId="77777777" w:rsidR="000D6093" w:rsidRPr="008B619A" w:rsidRDefault="000D6093" w:rsidP="0053467D">
            <w:pPr>
              <w:widowControl/>
              <w:overflowPunct/>
              <w:autoSpaceDE/>
              <w:autoSpaceDN/>
              <w:jc w:val="center"/>
              <w:rPr>
                <w:rFonts w:ascii="Times New Roman" w:eastAsia="新細明體"/>
                <w:color w:val="000000" w:themeColor="text1"/>
                <w:kern w:val="0"/>
                <w:sz w:val="26"/>
                <w:szCs w:val="26"/>
              </w:rPr>
            </w:pPr>
            <w:r w:rsidRPr="008B619A">
              <w:rPr>
                <w:rFonts w:ascii="Times New Roman" w:eastAsia="新細明體"/>
                <w:color w:val="000000" w:themeColor="text1"/>
                <w:kern w:val="0"/>
                <w:sz w:val="26"/>
                <w:szCs w:val="26"/>
              </w:rPr>
              <w:t>99</w:t>
            </w:r>
            <w:r w:rsidRPr="008B619A">
              <w:rPr>
                <w:rFonts w:hAnsi="標楷體" w:hint="eastAsia"/>
                <w:color w:val="000000" w:themeColor="text1"/>
                <w:kern w:val="0"/>
                <w:sz w:val="26"/>
                <w:szCs w:val="26"/>
              </w:rPr>
              <w:t>年平均</w:t>
            </w:r>
          </w:p>
        </w:tc>
        <w:tc>
          <w:tcPr>
            <w:tcW w:w="1040" w:type="dxa"/>
            <w:tcBorders>
              <w:top w:val="nil"/>
              <w:left w:val="nil"/>
              <w:bottom w:val="nil"/>
              <w:right w:val="nil"/>
            </w:tcBorders>
            <w:shd w:val="clear" w:color="auto" w:fill="auto"/>
            <w:noWrap/>
            <w:vAlign w:val="bottom"/>
            <w:hideMark/>
          </w:tcPr>
          <w:p w14:paraId="0E675296" w14:textId="77777777" w:rsidR="000D6093" w:rsidRPr="008B619A" w:rsidRDefault="000D6093" w:rsidP="0053467D">
            <w:pPr>
              <w:widowControl/>
              <w:overflowPunct/>
              <w:autoSpaceDE/>
              <w:autoSpaceDN/>
              <w:jc w:val="right"/>
              <w:rPr>
                <w:rFonts w:ascii="Times New Roman" w:eastAsia="新細明體"/>
                <w:color w:val="000000" w:themeColor="text1"/>
                <w:kern w:val="0"/>
                <w:sz w:val="26"/>
                <w:szCs w:val="26"/>
              </w:rPr>
            </w:pPr>
            <w:r w:rsidRPr="008B619A">
              <w:rPr>
                <w:rFonts w:ascii="Times New Roman" w:eastAsia="新細明體"/>
                <w:color w:val="000000" w:themeColor="text1"/>
                <w:kern w:val="0"/>
                <w:sz w:val="26"/>
                <w:szCs w:val="26"/>
              </w:rPr>
              <w:t>58.07</w:t>
            </w:r>
          </w:p>
        </w:tc>
        <w:tc>
          <w:tcPr>
            <w:tcW w:w="1040" w:type="dxa"/>
            <w:tcBorders>
              <w:top w:val="nil"/>
              <w:left w:val="nil"/>
              <w:bottom w:val="nil"/>
              <w:right w:val="nil"/>
            </w:tcBorders>
            <w:shd w:val="clear" w:color="auto" w:fill="auto"/>
            <w:noWrap/>
            <w:vAlign w:val="bottom"/>
            <w:hideMark/>
          </w:tcPr>
          <w:p w14:paraId="2CD80DA0" w14:textId="77777777" w:rsidR="000D6093" w:rsidRPr="008B619A" w:rsidRDefault="000D6093" w:rsidP="0053467D">
            <w:pPr>
              <w:widowControl/>
              <w:overflowPunct/>
              <w:autoSpaceDE/>
              <w:autoSpaceDN/>
              <w:jc w:val="right"/>
              <w:rPr>
                <w:rFonts w:ascii="Times New Roman" w:eastAsia="新細明體"/>
                <w:color w:val="000000" w:themeColor="text1"/>
                <w:kern w:val="0"/>
                <w:sz w:val="26"/>
                <w:szCs w:val="26"/>
              </w:rPr>
            </w:pPr>
            <w:r w:rsidRPr="008B619A">
              <w:rPr>
                <w:rFonts w:ascii="Times New Roman" w:eastAsia="新細明體"/>
                <w:color w:val="000000" w:themeColor="text1"/>
                <w:kern w:val="0"/>
                <w:sz w:val="26"/>
                <w:szCs w:val="26"/>
              </w:rPr>
              <w:t>66.51</w:t>
            </w:r>
          </w:p>
        </w:tc>
        <w:tc>
          <w:tcPr>
            <w:tcW w:w="1040" w:type="dxa"/>
            <w:tcBorders>
              <w:top w:val="nil"/>
              <w:left w:val="nil"/>
              <w:bottom w:val="nil"/>
              <w:right w:val="nil"/>
            </w:tcBorders>
            <w:shd w:val="clear" w:color="auto" w:fill="auto"/>
            <w:noWrap/>
            <w:vAlign w:val="bottom"/>
            <w:hideMark/>
          </w:tcPr>
          <w:p w14:paraId="778F7163" w14:textId="77777777" w:rsidR="000D6093" w:rsidRPr="008B619A" w:rsidRDefault="000D6093" w:rsidP="0053467D">
            <w:pPr>
              <w:widowControl/>
              <w:overflowPunct/>
              <w:autoSpaceDE/>
              <w:autoSpaceDN/>
              <w:jc w:val="right"/>
              <w:rPr>
                <w:rFonts w:ascii="Times New Roman" w:eastAsia="新細明體"/>
                <w:color w:val="000000" w:themeColor="text1"/>
                <w:kern w:val="0"/>
                <w:sz w:val="26"/>
                <w:szCs w:val="26"/>
              </w:rPr>
            </w:pPr>
            <w:r w:rsidRPr="008B619A">
              <w:rPr>
                <w:rFonts w:ascii="Times New Roman" w:eastAsia="新細明體"/>
                <w:color w:val="000000" w:themeColor="text1"/>
                <w:kern w:val="0"/>
                <w:sz w:val="26"/>
                <w:szCs w:val="26"/>
              </w:rPr>
              <w:t>49.89</w:t>
            </w:r>
          </w:p>
        </w:tc>
        <w:tc>
          <w:tcPr>
            <w:tcW w:w="882" w:type="dxa"/>
            <w:tcBorders>
              <w:top w:val="nil"/>
              <w:left w:val="nil"/>
              <w:bottom w:val="nil"/>
              <w:right w:val="nil"/>
            </w:tcBorders>
            <w:shd w:val="clear" w:color="auto" w:fill="auto"/>
            <w:noWrap/>
            <w:vAlign w:val="bottom"/>
            <w:hideMark/>
          </w:tcPr>
          <w:p w14:paraId="73414C81" w14:textId="77777777" w:rsidR="000D6093" w:rsidRPr="008B619A" w:rsidRDefault="000D6093" w:rsidP="0053467D">
            <w:pPr>
              <w:widowControl/>
              <w:overflowPunct/>
              <w:autoSpaceDE/>
              <w:autoSpaceDN/>
              <w:jc w:val="right"/>
              <w:rPr>
                <w:rFonts w:ascii="Times New Roman" w:eastAsia="新細明體"/>
                <w:color w:val="000000" w:themeColor="text1"/>
                <w:kern w:val="0"/>
                <w:sz w:val="26"/>
                <w:szCs w:val="26"/>
              </w:rPr>
            </w:pPr>
            <w:r w:rsidRPr="008B619A">
              <w:rPr>
                <w:rFonts w:ascii="Times New Roman" w:eastAsia="新細明體"/>
                <w:color w:val="000000" w:themeColor="text1"/>
                <w:kern w:val="0"/>
                <w:sz w:val="26"/>
                <w:szCs w:val="26"/>
              </w:rPr>
              <w:t>68.43</w:t>
            </w:r>
          </w:p>
        </w:tc>
        <w:tc>
          <w:tcPr>
            <w:tcW w:w="882" w:type="dxa"/>
            <w:tcBorders>
              <w:top w:val="nil"/>
              <w:left w:val="nil"/>
              <w:bottom w:val="nil"/>
              <w:right w:val="nil"/>
            </w:tcBorders>
            <w:shd w:val="clear" w:color="auto" w:fill="auto"/>
            <w:noWrap/>
            <w:vAlign w:val="bottom"/>
            <w:hideMark/>
          </w:tcPr>
          <w:p w14:paraId="2B20F244" w14:textId="77777777" w:rsidR="000D6093" w:rsidRPr="008B619A" w:rsidRDefault="000D6093" w:rsidP="0053467D">
            <w:pPr>
              <w:widowControl/>
              <w:overflowPunct/>
              <w:autoSpaceDE/>
              <w:autoSpaceDN/>
              <w:jc w:val="right"/>
              <w:rPr>
                <w:rFonts w:ascii="Times New Roman" w:eastAsia="新細明體"/>
                <w:color w:val="000000" w:themeColor="text1"/>
                <w:kern w:val="0"/>
                <w:sz w:val="26"/>
                <w:szCs w:val="26"/>
              </w:rPr>
            </w:pPr>
            <w:r w:rsidRPr="008B619A">
              <w:rPr>
                <w:rFonts w:ascii="Times New Roman" w:eastAsia="新細明體"/>
                <w:color w:val="000000" w:themeColor="text1"/>
                <w:kern w:val="0"/>
                <w:sz w:val="26"/>
                <w:szCs w:val="26"/>
              </w:rPr>
              <w:t>76.87</w:t>
            </w:r>
          </w:p>
        </w:tc>
        <w:tc>
          <w:tcPr>
            <w:tcW w:w="1396" w:type="dxa"/>
            <w:tcBorders>
              <w:top w:val="nil"/>
              <w:left w:val="nil"/>
              <w:bottom w:val="nil"/>
              <w:right w:val="nil"/>
            </w:tcBorders>
            <w:shd w:val="clear" w:color="auto" w:fill="auto"/>
            <w:noWrap/>
            <w:vAlign w:val="bottom"/>
            <w:hideMark/>
          </w:tcPr>
          <w:p w14:paraId="29FAE8DB" w14:textId="77777777" w:rsidR="000D6093" w:rsidRPr="008B619A" w:rsidRDefault="000D6093" w:rsidP="0053467D">
            <w:pPr>
              <w:widowControl/>
              <w:overflowPunct/>
              <w:autoSpaceDE/>
              <w:autoSpaceDN/>
              <w:jc w:val="right"/>
              <w:rPr>
                <w:rFonts w:ascii="Times New Roman" w:eastAsia="新細明體"/>
                <w:color w:val="000000" w:themeColor="text1"/>
                <w:kern w:val="0"/>
                <w:sz w:val="26"/>
                <w:szCs w:val="26"/>
              </w:rPr>
            </w:pPr>
            <w:r w:rsidRPr="008B619A">
              <w:rPr>
                <w:rFonts w:ascii="Times New Roman" w:eastAsia="新細明體"/>
                <w:color w:val="000000" w:themeColor="text1"/>
                <w:kern w:val="0"/>
                <w:sz w:val="26"/>
                <w:szCs w:val="26"/>
              </w:rPr>
              <w:t>63.91</w:t>
            </w:r>
          </w:p>
        </w:tc>
        <w:tc>
          <w:tcPr>
            <w:tcW w:w="882" w:type="dxa"/>
            <w:tcBorders>
              <w:top w:val="nil"/>
              <w:left w:val="nil"/>
              <w:bottom w:val="nil"/>
              <w:right w:val="nil"/>
            </w:tcBorders>
            <w:shd w:val="clear" w:color="auto" w:fill="auto"/>
            <w:noWrap/>
            <w:vAlign w:val="bottom"/>
            <w:hideMark/>
          </w:tcPr>
          <w:p w14:paraId="19C3DE58" w14:textId="77777777" w:rsidR="000D6093" w:rsidRPr="008B619A" w:rsidRDefault="000D6093" w:rsidP="0053467D">
            <w:pPr>
              <w:widowControl/>
              <w:overflowPunct/>
              <w:autoSpaceDE/>
              <w:autoSpaceDN/>
              <w:jc w:val="right"/>
              <w:rPr>
                <w:rFonts w:ascii="Times New Roman" w:eastAsia="新細明體"/>
                <w:color w:val="000000" w:themeColor="text1"/>
                <w:kern w:val="0"/>
                <w:sz w:val="26"/>
                <w:szCs w:val="26"/>
              </w:rPr>
            </w:pPr>
            <w:r w:rsidRPr="008B619A">
              <w:rPr>
                <w:rFonts w:ascii="Times New Roman" w:eastAsia="新細明體"/>
                <w:color w:val="000000" w:themeColor="text1"/>
                <w:kern w:val="0"/>
                <w:sz w:val="26"/>
                <w:szCs w:val="26"/>
              </w:rPr>
              <w:t>63.91</w:t>
            </w:r>
          </w:p>
        </w:tc>
        <w:tc>
          <w:tcPr>
            <w:tcW w:w="1158" w:type="dxa"/>
            <w:tcBorders>
              <w:top w:val="nil"/>
              <w:left w:val="nil"/>
              <w:bottom w:val="nil"/>
              <w:right w:val="nil"/>
            </w:tcBorders>
            <w:shd w:val="clear" w:color="auto" w:fill="E5DFEC" w:themeFill="accent4" w:themeFillTint="33"/>
            <w:noWrap/>
            <w:vAlign w:val="bottom"/>
            <w:hideMark/>
          </w:tcPr>
          <w:p w14:paraId="0A35A612" w14:textId="77777777" w:rsidR="000D6093" w:rsidRPr="008B619A" w:rsidRDefault="000D6093" w:rsidP="0053467D">
            <w:pPr>
              <w:widowControl/>
              <w:overflowPunct/>
              <w:autoSpaceDE/>
              <w:autoSpaceDN/>
              <w:jc w:val="right"/>
              <w:rPr>
                <w:rFonts w:ascii="Times New Roman" w:eastAsia="新細明體"/>
                <w:b/>
                <w:color w:val="000000" w:themeColor="text1"/>
                <w:kern w:val="0"/>
                <w:sz w:val="26"/>
                <w:szCs w:val="26"/>
              </w:rPr>
            </w:pPr>
            <w:r w:rsidRPr="008B619A">
              <w:rPr>
                <w:rFonts w:ascii="Times New Roman" w:eastAsia="新細明體"/>
                <w:b/>
                <w:color w:val="000000" w:themeColor="text1"/>
                <w:kern w:val="0"/>
                <w:sz w:val="26"/>
                <w:szCs w:val="26"/>
              </w:rPr>
              <w:t>-</w:t>
            </w:r>
          </w:p>
        </w:tc>
      </w:tr>
      <w:tr w:rsidR="000D6093" w:rsidRPr="008B619A" w14:paraId="0E4FEA9F" w14:textId="77777777" w:rsidTr="00AB6246">
        <w:trPr>
          <w:trHeight w:val="300"/>
          <w:jc w:val="center"/>
        </w:trPr>
        <w:tc>
          <w:tcPr>
            <w:tcW w:w="1833" w:type="dxa"/>
            <w:tcBorders>
              <w:top w:val="nil"/>
              <w:left w:val="nil"/>
              <w:bottom w:val="nil"/>
              <w:right w:val="single" w:sz="8" w:space="0" w:color="auto"/>
            </w:tcBorders>
            <w:shd w:val="clear" w:color="auto" w:fill="auto"/>
            <w:noWrap/>
            <w:vAlign w:val="bottom"/>
            <w:hideMark/>
          </w:tcPr>
          <w:p w14:paraId="3376A39E" w14:textId="77777777" w:rsidR="000D6093" w:rsidRPr="008B619A" w:rsidRDefault="000D6093" w:rsidP="0053467D">
            <w:pPr>
              <w:widowControl/>
              <w:overflowPunct/>
              <w:autoSpaceDE/>
              <w:autoSpaceDN/>
              <w:jc w:val="center"/>
              <w:rPr>
                <w:rFonts w:ascii="Times New Roman" w:eastAsia="新細明體"/>
                <w:color w:val="000000" w:themeColor="text1"/>
                <w:kern w:val="0"/>
                <w:sz w:val="26"/>
                <w:szCs w:val="26"/>
              </w:rPr>
            </w:pPr>
            <w:r w:rsidRPr="008B619A">
              <w:rPr>
                <w:rFonts w:ascii="Times New Roman" w:eastAsia="新細明體"/>
                <w:color w:val="000000" w:themeColor="text1"/>
                <w:kern w:val="0"/>
                <w:sz w:val="26"/>
                <w:szCs w:val="26"/>
              </w:rPr>
              <w:t>100</w:t>
            </w:r>
            <w:r w:rsidRPr="008B619A">
              <w:rPr>
                <w:rFonts w:hAnsi="標楷體" w:hint="eastAsia"/>
                <w:color w:val="000000" w:themeColor="text1"/>
                <w:kern w:val="0"/>
                <w:sz w:val="26"/>
                <w:szCs w:val="26"/>
              </w:rPr>
              <w:t>年平均</w:t>
            </w:r>
          </w:p>
        </w:tc>
        <w:tc>
          <w:tcPr>
            <w:tcW w:w="1040" w:type="dxa"/>
            <w:tcBorders>
              <w:top w:val="nil"/>
              <w:left w:val="nil"/>
              <w:bottom w:val="nil"/>
              <w:right w:val="nil"/>
            </w:tcBorders>
            <w:shd w:val="clear" w:color="auto" w:fill="auto"/>
            <w:noWrap/>
            <w:vAlign w:val="bottom"/>
            <w:hideMark/>
          </w:tcPr>
          <w:p w14:paraId="696FA848" w14:textId="77777777" w:rsidR="000D6093" w:rsidRPr="008B619A" w:rsidRDefault="000D6093" w:rsidP="0053467D">
            <w:pPr>
              <w:widowControl/>
              <w:overflowPunct/>
              <w:autoSpaceDE/>
              <w:autoSpaceDN/>
              <w:jc w:val="right"/>
              <w:rPr>
                <w:rFonts w:ascii="Times New Roman" w:eastAsia="新細明體"/>
                <w:color w:val="000000" w:themeColor="text1"/>
                <w:kern w:val="0"/>
                <w:sz w:val="26"/>
                <w:szCs w:val="26"/>
              </w:rPr>
            </w:pPr>
            <w:r w:rsidRPr="008B619A">
              <w:rPr>
                <w:rFonts w:ascii="Times New Roman" w:eastAsia="新細明體"/>
                <w:color w:val="000000" w:themeColor="text1"/>
                <w:kern w:val="0"/>
                <w:sz w:val="26"/>
                <w:szCs w:val="26"/>
              </w:rPr>
              <w:t>58.17</w:t>
            </w:r>
          </w:p>
        </w:tc>
        <w:tc>
          <w:tcPr>
            <w:tcW w:w="1040" w:type="dxa"/>
            <w:tcBorders>
              <w:top w:val="nil"/>
              <w:left w:val="nil"/>
              <w:bottom w:val="nil"/>
              <w:right w:val="nil"/>
            </w:tcBorders>
            <w:shd w:val="clear" w:color="auto" w:fill="auto"/>
            <w:noWrap/>
            <w:vAlign w:val="bottom"/>
            <w:hideMark/>
          </w:tcPr>
          <w:p w14:paraId="7B97C1B9" w14:textId="77777777" w:rsidR="000D6093" w:rsidRPr="008B619A" w:rsidRDefault="000D6093" w:rsidP="0053467D">
            <w:pPr>
              <w:widowControl/>
              <w:overflowPunct/>
              <w:autoSpaceDE/>
              <w:autoSpaceDN/>
              <w:jc w:val="right"/>
              <w:rPr>
                <w:rFonts w:ascii="Times New Roman" w:eastAsia="新細明體"/>
                <w:color w:val="000000" w:themeColor="text1"/>
                <w:kern w:val="0"/>
                <w:sz w:val="26"/>
                <w:szCs w:val="26"/>
              </w:rPr>
            </w:pPr>
            <w:r w:rsidRPr="008B619A">
              <w:rPr>
                <w:rFonts w:ascii="Times New Roman" w:eastAsia="新細明體"/>
                <w:color w:val="000000" w:themeColor="text1"/>
                <w:kern w:val="0"/>
                <w:sz w:val="26"/>
                <w:szCs w:val="26"/>
              </w:rPr>
              <w:t>66.67</w:t>
            </w:r>
          </w:p>
        </w:tc>
        <w:tc>
          <w:tcPr>
            <w:tcW w:w="1040" w:type="dxa"/>
            <w:tcBorders>
              <w:top w:val="nil"/>
              <w:left w:val="nil"/>
              <w:bottom w:val="nil"/>
              <w:right w:val="nil"/>
            </w:tcBorders>
            <w:shd w:val="clear" w:color="auto" w:fill="auto"/>
            <w:noWrap/>
            <w:vAlign w:val="bottom"/>
            <w:hideMark/>
          </w:tcPr>
          <w:p w14:paraId="07EFC1CF" w14:textId="77777777" w:rsidR="000D6093" w:rsidRPr="008B619A" w:rsidRDefault="000D6093" w:rsidP="0053467D">
            <w:pPr>
              <w:widowControl/>
              <w:overflowPunct/>
              <w:autoSpaceDE/>
              <w:autoSpaceDN/>
              <w:jc w:val="right"/>
              <w:rPr>
                <w:rFonts w:ascii="Times New Roman" w:eastAsia="新細明體"/>
                <w:color w:val="000000" w:themeColor="text1"/>
                <w:kern w:val="0"/>
                <w:sz w:val="26"/>
                <w:szCs w:val="26"/>
              </w:rPr>
            </w:pPr>
            <w:r w:rsidRPr="008B619A">
              <w:rPr>
                <w:rFonts w:ascii="Times New Roman" w:eastAsia="新細明體"/>
                <w:color w:val="000000" w:themeColor="text1"/>
                <w:kern w:val="0"/>
                <w:sz w:val="26"/>
                <w:szCs w:val="26"/>
              </w:rPr>
              <w:t>49.97</w:t>
            </w:r>
          </w:p>
        </w:tc>
        <w:tc>
          <w:tcPr>
            <w:tcW w:w="882" w:type="dxa"/>
            <w:tcBorders>
              <w:top w:val="nil"/>
              <w:left w:val="nil"/>
              <w:bottom w:val="nil"/>
              <w:right w:val="nil"/>
            </w:tcBorders>
            <w:shd w:val="clear" w:color="auto" w:fill="auto"/>
            <w:noWrap/>
            <w:vAlign w:val="bottom"/>
            <w:hideMark/>
          </w:tcPr>
          <w:p w14:paraId="765EB0F0" w14:textId="77777777" w:rsidR="000D6093" w:rsidRPr="008B619A" w:rsidRDefault="000D6093" w:rsidP="0053467D">
            <w:pPr>
              <w:widowControl/>
              <w:overflowPunct/>
              <w:autoSpaceDE/>
              <w:autoSpaceDN/>
              <w:jc w:val="right"/>
              <w:rPr>
                <w:rFonts w:ascii="Times New Roman" w:eastAsia="新細明體"/>
                <w:color w:val="000000" w:themeColor="text1"/>
                <w:kern w:val="0"/>
                <w:sz w:val="26"/>
                <w:szCs w:val="26"/>
              </w:rPr>
            </w:pPr>
            <w:r w:rsidRPr="008B619A">
              <w:rPr>
                <w:rFonts w:ascii="Times New Roman" w:eastAsia="新細明體"/>
                <w:color w:val="000000" w:themeColor="text1"/>
                <w:kern w:val="0"/>
                <w:sz w:val="26"/>
                <w:szCs w:val="26"/>
              </w:rPr>
              <w:t>68.23</w:t>
            </w:r>
          </w:p>
        </w:tc>
        <w:tc>
          <w:tcPr>
            <w:tcW w:w="882" w:type="dxa"/>
            <w:tcBorders>
              <w:top w:val="nil"/>
              <w:left w:val="nil"/>
              <w:bottom w:val="nil"/>
              <w:right w:val="nil"/>
            </w:tcBorders>
            <w:shd w:val="clear" w:color="auto" w:fill="auto"/>
            <w:noWrap/>
            <w:vAlign w:val="bottom"/>
            <w:hideMark/>
          </w:tcPr>
          <w:p w14:paraId="29B6DE07" w14:textId="77777777" w:rsidR="000D6093" w:rsidRPr="008B619A" w:rsidRDefault="000D6093" w:rsidP="0053467D">
            <w:pPr>
              <w:widowControl/>
              <w:overflowPunct/>
              <w:autoSpaceDE/>
              <w:autoSpaceDN/>
              <w:jc w:val="right"/>
              <w:rPr>
                <w:rFonts w:ascii="Times New Roman" w:eastAsia="新細明體"/>
                <w:color w:val="000000" w:themeColor="text1"/>
                <w:kern w:val="0"/>
                <w:sz w:val="26"/>
                <w:szCs w:val="26"/>
              </w:rPr>
            </w:pPr>
            <w:r w:rsidRPr="008B619A">
              <w:rPr>
                <w:rFonts w:ascii="Times New Roman" w:eastAsia="新細明體"/>
                <w:color w:val="000000" w:themeColor="text1"/>
                <w:kern w:val="0"/>
                <w:sz w:val="26"/>
                <w:szCs w:val="26"/>
              </w:rPr>
              <w:t>76.28</w:t>
            </w:r>
          </w:p>
        </w:tc>
        <w:tc>
          <w:tcPr>
            <w:tcW w:w="1396" w:type="dxa"/>
            <w:tcBorders>
              <w:top w:val="nil"/>
              <w:left w:val="nil"/>
              <w:bottom w:val="nil"/>
              <w:right w:val="nil"/>
            </w:tcBorders>
            <w:shd w:val="clear" w:color="auto" w:fill="auto"/>
            <w:noWrap/>
            <w:vAlign w:val="bottom"/>
            <w:hideMark/>
          </w:tcPr>
          <w:p w14:paraId="67706950" w14:textId="77777777" w:rsidR="000D6093" w:rsidRPr="008B619A" w:rsidRDefault="000D6093" w:rsidP="0053467D">
            <w:pPr>
              <w:widowControl/>
              <w:overflowPunct/>
              <w:autoSpaceDE/>
              <w:autoSpaceDN/>
              <w:jc w:val="right"/>
              <w:rPr>
                <w:rFonts w:ascii="Times New Roman" w:eastAsia="新細明體"/>
                <w:color w:val="000000" w:themeColor="text1"/>
                <w:kern w:val="0"/>
                <w:sz w:val="26"/>
                <w:szCs w:val="26"/>
              </w:rPr>
            </w:pPr>
            <w:r w:rsidRPr="008B619A">
              <w:rPr>
                <w:rFonts w:ascii="Times New Roman" w:eastAsia="新細明體"/>
                <w:color w:val="000000" w:themeColor="text1"/>
                <w:kern w:val="0"/>
                <w:sz w:val="26"/>
                <w:szCs w:val="26"/>
              </w:rPr>
              <w:t>64.13</w:t>
            </w:r>
          </w:p>
        </w:tc>
        <w:tc>
          <w:tcPr>
            <w:tcW w:w="882" w:type="dxa"/>
            <w:tcBorders>
              <w:top w:val="nil"/>
              <w:left w:val="nil"/>
              <w:bottom w:val="nil"/>
              <w:right w:val="nil"/>
            </w:tcBorders>
            <w:shd w:val="clear" w:color="auto" w:fill="auto"/>
            <w:noWrap/>
            <w:vAlign w:val="bottom"/>
            <w:hideMark/>
          </w:tcPr>
          <w:p w14:paraId="5E8519CC" w14:textId="77777777" w:rsidR="000D6093" w:rsidRPr="008B619A" w:rsidRDefault="000D6093" w:rsidP="0053467D">
            <w:pPr>
              <w:widowControl/>
              <w:overflowPunct/>
              <w:autoSpaceDE/>
              <w:autoSpaceDN/>
              <w:jc w:val="right"/>
              <w:rPr>
                <w:rFonts w:ascii="Times New Roman" w:eastAsia="新細明體"/>
                <w:color w:val="000000" w:themeColor="text1"/>
                <w:kern w:val="0"/>
                <w:sz w:val="26"/>
                <w:szCs w:val="26"/>
              </w:rPr>
            </w:pPr>
            <w:r w:rsidRPr="008B619A">
              <w:rPr>
                <w:rFonts w:ascii="Times New Roman" w:eastAsia="新細明體"/>
                <w:color w:val="000000" w:themeColor="text1"/>
                <w:kern w:val="0"/>
                <w:sz w:val="26"/>
                <w:szCs w:val="26"/>
              </w:rPr>
              <w:t>62.40</w:t>
            </w:r>
          </w:p>
        </w:tc>
        <w:tc>
          <w:tcPr>
            <w:tcW w:w="1158" w:type="dxa"/>
            <w:tcBorders>
              <w:top w:val="nil"/>
              <w:left w:val="nil"/>
              <w:bottom w:val="nil"/>
              <w:right w:val="nil"/>
            </w:tcBorders>
            <w:shd w:val="clear" w:color="auto" w:fill="E5DFEC" w:themeFill="accent4" w:themeFillTint="33"/>
            <w:noWrap/>
            <w:vAlign w:val="bottom"/>
            <w:hideMark/>
          </w:tcPr>
          <w:p w14:paraId="333B8AFD" w14:textId="77777777" w:rsidR="000D6093" w:rsidRPr="008B619A" w:rsidRDefault="000D6093" w:rsidP="0053467D">
            <w:pPr>
              <w:widowControl/>
              <w:overflowPunct/>
              <w:autoSpaceDE/>
              <w:autoSpaceDN/>
              <w:jc w:val="right"/>
              <w:rPr>
                <w:rFonts w:ascii="Times New Roman" w:eastAsia="新細明體"/>
                <w:b/>
                <w:color w:val="000000" w:themeColor="text1"/>
                <w:kern w:val="0"/>
                <w:sz w:val="26"/>
                <w:szCs w:val="26"/>
              </w:rPr>
            </w:pPr>
            <w:r w:rsidRPr="008B619A">
              <w:rPr>
                <w:rFonts w:ascii="Times New Roman" w:eastAsia="新細明體"/>
                <w:b/>
                <w:color w:val="000000" w:themeColor="text1"/>
                <w:kern w:val="0"/>
                <w:sz w:val="26"/>
                <w:szCs w:val="26"/>
              </w:rPr>
              <w:t>71.26</w:t>
            </w:r>
          </w:p>
        </w:tc>
      </w:tr>
      <w:tr w:rsidR="000D6093" w:rsidRPr="008B619A" w14:paraId="0685F9B4" w14:textId="77777777" w:rsidTr="00AB6246">
        <w:trPr>
          <w:trHeight w:val="300"/>
          <w:jc w:val="center"/>
        </w:trPr>
        <w:tc>
          <w:tcPr>
            <w:tcW w:w="1833" w:type="dxa"/>
            <w:tcBorders>
              <w:top w:val="nil"/>
              <w:left w:val="nil"/>
              <w:bottom w:val="nil"/>
              <w:right w:val="single" w:sz="8" w:space="0" w:color="auto"/>
            </w:tcBorders>
            <w:shd w:val="clear" w:color="auto" w:fill="auto"/>
            <w:noWrap/>
            <w:vAlign w:val="bottom"/>
            <w:hideMark/>
          </w:tcPr>
          <w:p w14:paraId="2AE8A004" w14:textId="77777777" w:rsidR="000D6093" w:rsidRPr="008B619A" w:rsidRDefault="000D6093" w:rsidP="0053467D">
            <w:pPr>
              <w:widowControl/>
              <w:overflowPunct/>
              <w:autoSpaceDE/>
              <w:autoSpaceDN/>
              <w:jc w:val="center"/>
              <w:rPr>
                <w:rFonts w:ascii="Times New Roman" w:eastAsia="新細明體"/>
                <w:color w:val="000000" w:themeColor="text1"/>
                <w:kern w:val="0"/>
                <w:sz w:val="26"/>
                <w:szCs w:val="26"/>
              </w:rPr>
            </w:pPr>
            <w:r w:rsidRPr="008B619A">
              <w:rPr>
                <w:rFonts w:ascii="Times New Roman" w:eastAsia="新細明體"/>
                <w:color w:val="000000" w:themeColor="text1"/>
                <w:kern w:val="0"/>
                <w:sz w:val="26"/>
                <w:szCs w:val="26"/>
              </w:rPr>
              <w:t>101</w:t>
            </w:r>
            <w:r w:rsidRPr="008B619A">
              <w:rPr>
                <w:rFonts w:hAnsi="標楷體" w:hint="eastAsia"/>
                <w:color w:val="000000" w:themeColor="text1"/>
                <w:kern w:val="0"/>
                <w:sz w:val="26"/>
                <w:szCs w:val="26"/>
              </w:rPr>
              <w:t>年平均</w:t>
            </w:r>
          </w:p>
        </w:tc>
        <w:tc>
          <w:tcPr>
            <w:tcW w:w="1040" w:type="dxa"/>
            <w:tcBorders>
              <w:top w:val="nil"/>
              <w:left w:val="nil"/>
              <w:bottom w:val="nil"/>
              <w:right w:val="nil"/>
            </w:tcBorders>
            <w:shd w:val="clear" w:color="auto" w:fill="auto"/>
            <w:noWrap/>
            <w:vAlign w:val="bottom"/>
            <w:hideMark/>
          </w:tcPr>
          <w:p w14:paraId="394F9385" w14:textId="77777777" w:rsidR="000D6093" w:rsidRPr="008B619A" w:rsidRDefault="000D6093" w:rsidP="0053467D">
            <w:pPr>
              <w:widowControl/>
              <w:overflowPunct/>
              <w:autoSpaceDE/>
              <w:autoSpaceDN/>
              <w:jc w:val="right"/>
              <w:rPr>
                <w:rFonts w:ascii="Times New Roman" w:eastAsia="新細明體"/>
                <w:color w:val="000000" w:themeColor="text1"/>
                <w:kern w:val="0"/>
                <w:sz w:val="26"/>
                <w:szCs w:val="26"/>
              </w:rPr>
            </w:pPr>
            <w:r w:rsidRPr="008B619A">
              <w:rPr>
                <w:rFonts w:ascii="Times New Roman" w:eastAsia="新細明體"/>
                <w:color w:val="000000" w:themeColor="text1"/>
                <w:kern w:val="0"/>
                <w:sz w:val="26"/>
                <w:szCs w:val="26"/>
              </w:rPr>
              <w:t>58.35</w:t>
            </w:r>
          </w:p>
        </w:tc>
        <w:tc>
          <w:tcPr>
            <w:tcW w:w="1040" w:type="dxa"/>
            <w:tcBorders>
              <w:top w:val="nil"/>
              <w:left w:val="nil"/>
              <w:bottom w:val="nil"/>
              <w:right w:val="nil"/>
            </w:tcBorders>
            <w:shd w:val="clear" w:color="auto" w:fill="auto"/>
            <w:noWrap/>
            <w:vAlign w:val="bottom"/>
            <w:hideMark/>
          </w:tcPr>
          <w:p w14:paraId="3CDB1588" w14:textId="77777777" w:rsidR="000D6093" w:rsidRPr="008B619A" w:rsidRDefault="000D6093" w:rsidP="0053467D">
            <w:pPr>
              <w:widowControl/>
              <w:overflowPunct/>
              <w:autoSpaceDE/>
              <w:autoSpaceDN/>
              <w:jc w:val="right"/>
              <w:rPr>
                <w:rFonts w:ascii="Times New Roman" w:eastAsia="新細明體"/>
                <w:color w:val="000000" w:themeColor="text1"/>
                <w:kern w:val="0"/>
                <w:sz w:val="26"/>
                <w:szCs w:val="26"/>
              </w:rPr>
            </w:pPr>
            <w:r w:rsidRPr="008B619A">
              <w:rPr>
                <w:rFonts w:ascii="Times New Roman" w:eastAsia="新細明體"/>
                <w:color w:val="000000" w:themeColor="text1"/>
                <w:kern w:val="0"/>
                <w:sz w:val="26"/>
                <w:szCs w:val="26"/>
              </w:rPr>
              <w:t>66.83</w:t>
            </w:r>
          </w:p>
        </w:tc>
        <w:tc>
          <w:tcPr>
            <w:tcW w:w="1040" w:type="dxa"/>
            <w:tcBorders>
              <w:top w:val="nil"/>
              <w:left w:val="nil"/>
              <w:bottom w:val="nil"/>
              <w:right w:val="nil"/>
            </w:tcBorders>
            <w:shd w:val="clear" w:color="auto" w:fill="auto"/>
            <w:noWrap/>
            <w:vAlign w:val="bottom"/>
            <w:hideMark/>
          </w:tcPr>
          <w:p w14:paraId="3BD5CF6F" w14:textId="77777777" w:rsidR="000D6093" w:rsidRPr="008B619A" w:rsidRDefault="000D6093" w:rsidP="0053467D">
            <w:pPr>
              <w:widowControl/>
              <w:overflowPunct/>
              <w:autoSpaceDE/>
              <w:autoSpaceDN/>
              <w:jc w:val="right"/>
              <w:rPr>
                <w:rFonts w:ascii="Times New Roman" w:eastAsia="新細明體"/>
                <w:color w:val="000000" w:themeColor="text1"/>
                <w:kern w:val="0"/>
                <w:sz w:val="26"/>
                <w:szCs w:val="26"/>
              </w:rPr>
            </w:pPr>
            <w:r w:rsidRPr="008B619A">
              <w:rPr>
                <w:rFonts w:ascii="Times New Roman" w:eastAsia="新細明體"/>
                <w:color w:val="000000" w:themeColor="text1"/>
                <w:kern w:val="0"/>
                <w:sz w:val="26"/>
                <w:szCs w:val="26"/>
              </w:rPr>
              <w:t>50.19</w:t>
            </w:r>
          </w:p>
        </w:tc>
        <w:tc>
          <w:tcPr>
            <w:tcW w:w="882" w:type="dxa"/>
            <w:tcBorders>
              <w:top w:val="nil"/>
              <w:left w:val="nil"/>
              <w:bottom w:val="nil"/>
              <w:right w:val="nil"/>
            </w:tcBorders>
            <w:shd w:val="clear" w:color="auto" w:fill="auto"/>
            <w:noWrap/>
            <w:vAlign w:val="bottom"/>
            <w:hideMark/>
          </w:tcPr>
          <w:p w14:paraId="259A6E54" w14:textId="77777777" w:rsidR="000D6093" w:rsidRPr="008B619A" w:rsidRDefault="000D6093" w:rsidP="0053467D">
            <w:pPr>
              <w:widowControl/>
              <w:overflowPunct/>
              <w:autoSpaceDE/>
              <w:autoSpaceDN/>
              <w:jc w:val="right"/>
              <w:rPr>
                <w:rFonts w:ascii="Times New Roman" w:eastAsia="新細明體"/>
                <w:color w:val="000000" w:themeColor="text1"/>
                <w:kern w:val="0"/>
                <w:sz w:val="26"/>
                <w:szCs w:val="26"/>
              </w:rPr>
            </w:pPr>
            <w:r w:rsidRPr="008B619A">
              <w:rPr>
                <w:rFonts w:ascii="Times New Roman" w:eastAsia="新細明體"/>
                <w:color w:val="000000" w:themeColor="text1"/>
                <w:kern w:val="0"/>
                <w:sz w:val="26"/>
                <w:szCs w:val="26"/>
              </w:rPr>
              <w:t>68.00</w:t>
            </w:r>
          </w:p>
        </w:tc>
        <w:tc>
          <w:tcPr>
            <w:tcW w:w="882" w:type="dxa"/>
            <w:tcBorders>
              <w:top w:val="nil"/>
              <w:left w:val="nil"/>
              <w:bottom w:val="nil"/>
              <w:right w:val="nil"/>
            </w:tcBorders>
            <w:shd w:val="clear" w:color="auto" w:fill="auto"/>
            <w:noWrap/>
            <w:vAlign w:val="bottom"/>
            <w:hideMark/>
          </w:tcPr>
          <w:p w14:paraId="30875FFD" w14:textId="77777777" w:rsidR="000D6093" w:rsidRPr="008B619A" w:rsidRDefault="000D6093" w:rsidP="0053467D">
            <w:pPr>
              <w:widowControl/>
              <w:overflowPunct/>
              <w:autoSpaceDE/>
              <w:autoSpaceDN/>
              <w:jc w:val="right"/>
              <w:rPr>
                <w:rFonts w:ascii="Times New Roman" w:eastAsia="新細明體"/>
                <w:color w:val="000000" w:themeColor="text1"/>
                <w:kern w:val="0"/>
                <w:sz w:val="26"/>
                <w:szCs w:val="26"/>
              </w:rPr>
            </w:pPr>
            <w:r w:rsidRPr="008B619A">
              <w:rPr>
                <w:rFonts w:ascii="Times New Roman" w:eastAsia="新細明體"/>
                <w:color w:val="000000" w:themeColor="text1"/>
                <w:kern w:val="0"/>
                <w:sz w:val="26"/>
                <w:szCs w:val="26"/>
              </w:rPr>
              <w:t>75.51</w:t>
            </w:r>
          </w:p>
        </w:tc>
        <w:tc>
          <w:tcPr>
            <w:tcW w:w="1396" w:type="dxa"/>
            <w:tcBorders>
              <w:top w:val="nil"/>
              <w:left w:val="nil"/>
              <w:bottom w:val="nil"/>
              <w:right w:val="nil"/>
            </w:tcBorders>
            <w:shd w:val="clear" w:color="auto" w:fill="auto"/>
            <w:noWrap/>
            <w:vAlign w:val="bottom"/>
            <w:hideMark/>
          </w:tcPr>
          <w:p w14:paraId="547A2DB9" w14:textId="77777777" w:rsidR="000D6093" w:rsidRPr="008B619A" w:rsidRDefault="000D6093" w:rsidP="0053467D">
            <w:pPr>
              <w:widowControl/>
              <w:overflowPunct/>
              <w:autoSpaceDE/>
              <w:autoSpaceDN/>
              <w:jc w:val="right"/>
              <w:rPr>
                <w:rFonts w:ascii="Times New Roman" w:eastAsia="新細明體"/>
                <w:color w:val="000000" w:themeColor="text1"/>
                <w:kern w:val="0"/>
                <w:sz w:val="26"/>
                <w:szCs w:val="26"/>
              </w:rPr>
            </w:pPr>
            <w:r w:rsidRPr="008B619A">
              <w:rPr>
                <w:rFonts w:ascii="Times New Roman" w:eastAsia="新細明體"/>
                <w:color w:val="000000" w:themeColor="text1"/>
                <w:kern w:val="0"/>
                <w:sz w:val="26"/>
                <w:szCs w:val="26"/>
              </w:rPr>
              <w:t>64.35</w:t>
            </w:r>
          </w:p>
        </w:tc>
        <w:tc>
          <w:tcPr>
            <w:tcW w:w="882" w:type="dxa"/>
            <w:tcBorders>
              <w:top w:val="nil"/>
              <w:left w:val="nil"/>
              <w:bottom w:val="nil"/>
              <w:right w:val="nil"/>
            </w:tcBorders>
            <w:shd w:val="clear" w:color="auto" w:fill="auto"/>
            <w:noWrap/>
            <w:vAlign w:val="bottom"/>
            <w:hideMark/>
          </w:tcPr>
          <w:p w14:paraId="6E38F09D" w14:textId="77777777" w:rsidR="000D6093" w:rsidRPr="008B619A" w:rsidRDefault="000D6093" w:rsidP="0053467D">
            <w:pPr>
              <w:widowControl/>
              <w:overflowPunct/>
              <w:autoSpaceDE/>
              <w:autoSpaceDN/>
              <w:jc w:val="right"/>
              <w:rPr>
                <w:rFonts w:ascii="Times New Roman" w:eastAsia="新細明體"/>
                <w:color w:val="000000" w:themeColor="text1"/>
                <w:kern w:val="0"/>
                <w:sz w:val="26"/>
                <w:szCs w:val="26"/>
              </w:rPr>
            </w:pPr>
            <w:r w:rsidRPr="008B619A">
              <w:rPr>
                <w:rFonts w:ascii="Times New Roman" w:eastAsia="新細明體"/>
                <w:color w:val="000000" w:themeColor="text1"/>
                <w:kern w:val="0"/>
                <w:sz w:val="26"/>
                <w:szCs w:val="26"/>
              </w:rPr>
              <w:t>62.65</w:t>
            </w:r>
          </w:p>
        </w:tc>
        <w:tc>
          <w:tcPr>
            <w:tcW w:w="1158" w:type="dxa"/>
            <w:tcBorders>
              <w:top w:val="nil"/>
              <w:left w:val="nil"/>
              <w:bottom w:val="nil"/>
              <w:right w:val="nil"/>
            </w:tcBorders>
            <w:shd w:val="clear" w:color="auto" w:fill="E5DFEC" w:themeFill="accent4" w:themeFillTint="33"/>
            <w:noWrap/>
            <w:vAlign w:val="bottom"/>
            <w:hideMark/>
          </w:tcPr>
          <w:p w14:paraId="1973B225" w14:textId="77777777" w:rsidR="000D6093" w:rsidRPr="008B619A" w:rsidRDefault="000D6093" w:rsidP="0053467D">
            <w:pPr>
              <w:widowControl/>
              <w:overflowPunct/>
              <w:autoSpaceDE/>
              <w:autoSpaceDN/>
              <w:jc w:val="right"/>
              <w:rPr>
                <w:rFonts w:ascii="Times New Roman" w:eastAsia="新細明體"/>
                <w:b/>
                <w:color w:val="000000" w:themeColor="text1"/>
                <w:kern w:val="0"/>
                <w:sz w:val="26"/>
                <w:szCs w:val="26"/>
              </w:rPr>
            </w:pPr>
            <w:r w:rsidRPr="008B619A">
              <w:rPr>
                <w:rFonts w:ascii="Times New Roman" w:eastAsia="新細明體"/>
                <w:b/>
                <w:color w:val="000000" w:themeColor="text1"/>
                <w:kern w:val="0"/>
                <w:sz w:val="26"/>
                <w:szCs w:val="26"/>
              </w:rPr>
              <w:t>71.24</w:t>
            </w:r>
          </w:p>
        </w:tc>
      </w:tr>
      <w:tr w:rsidR="000D6093" w:rsidRPr="008B619A" w14:paraId="13DE5544" w14:textId="77777777" w:rsidTr="00AB6246">
        <w:trPr>
          <w:trHeight w:val="300"/>
          <w:jc w:val="center"/>
        </w:trPr>
        <w:tc>
          <w:tcPr>
            <w:tcW w:w="1833" w:type="dxa"/>
            <w:tcBorders>
              <w:top w:val="nil"/>
              <w:left w:val="nil"/>
              <w:bottom w:val="nil"/>
              <w:right w:val="single" w:sz="8" w:space="0" w:color="auto"/>
            </w:tcBorders>
            <w:shd w:val="clear" w:color="auto" w:fill="auto"/>
            <w:noWrap/>
            <w:vAlign w:val="bottom"/>
            <w:hideMark/>
          </w:tcPr>
          <w:p w14:paraId="5CC93413" w14:textId="77777777" w:rsidR="000D6093" w:rsidRPr="008B619A" w:rsidRDefault="000D6093" w:rsidP="0053467D">
            <w:pPr>
              <w:widowControl/>
              <w:overflowPunct/>
              <w:autoSpaceDE/>
              <w:autoSpaceDN/>
              <w:jc w:val="center"/>
              <w:rPr>
                <w:rFonts w:ascii="Times New Roman" w:eastAsia="新細明體"/>
                <w:color w:val="000000" w:themeColor="text1"/>
                <w:kern w:val="0"/>
                <w:sz w:val="26"/>
                <w:szCs w:val="26"/>
              </w:rPr>
            </w:pPr>
            <w:r w:rsidRPr="008B619A">
              <w:rPr>
                <w:rFonts w:ascii="Times New Roman" w:eastAsia="新細明體"/>
                <w:color w:val="000000" w:themeColor="text1"/>
                <w:kern w:val="0"/>
                <w:sz w:val="26"/>
                <w:szCs w:val="26"/>
              </w:rPr>
              <w:t>102</w:t>
            </w:r>
            <w:r w:rsidRPr="008B619A">
              <w:rPr>
                <w:rFonts w:hAnsi="標楷體" w:hint="eastAsia"/>
                <w:color w:val="000000" w:themeColor="text1"/>
                <w:kern w:val="0"/>
                <w:sz w:val="26"/>
                <w:szCs w:val="26"/>
              </w:rPr>
              <w:t>年平均</w:t>
            </w:r>
          </w:p>
        </w:tc>
        <w:tc>
          <w:tcPr>
            <w:tcW w:w="1040" w:type="dxa"/>
            <w:tcBorders>
              <w:top w:val="nil"/>
              <w:left w:val="nil"/>
              <w:bottom w:val="nil"/>
              <w:right w:val="nil"/>
            </w:tcBorders>
            <w:shd w:val="clear" w:color="auto" w:fill="auto"/>
            <w:noWrap/>
            <w:vAlign w:val="bottom"/>
            <w:hideMark/>
          </w:tcPr>
          <w:p w14:paraId="2DDF93E5" w14:textId="77777777" w:rsidR="000D6093" w:rsidRPr="008B619A" w:rsidRDefault="000D6093" w:rsidP="0053467D">
            <w:pPr>
              <w:widowControl/>
              <w:overflowPunct/>
              <w:autoSpaceDE/>
              <w:autoSpaceDN/>
              <w:jc w:val="right"/>
              <w:rPr>
                <w:rFonts w:ascii="Times New Roman" w:eastAsia="新細明體"/>
                <w:color w:val="000000" w:themeColor="text1"/>
                <w:kern w:val="0"/>
                <w:sz w:val="26"/>
                <w:szCs w:val="26"/>
              </w:rPr>
            </w:pPr>
            <w:r w:rsidRPr="008B619A">
              <w:rPr>
                <w:rFonts w:ascii="Times New Roman" w:eastAsia="新細明體"/>
                <w:color w:val="000000" w:themeColor="text1"/>
                <w:kern w:val="0"/>
                <w:sz w:val="26"/>
                <w:szCs w:val="26"/>
              </w:rPr>
              <w:t>58.43</w:t>
            </w:r>
          </w:p>
        </w:tc>
        <w:tc>
          <w:tcPr>
            <w:tcW w:w="1040" w:type="dxa"/>
            <w:tcBorders>
              <w:top w:val="nil"/>
              <w:left w:val="nil"/>
              <w:bottom w:val="nil"/>
              <w:right w:val="nil"/>
            </w:tcBorders>
            <w:shd w:val="clear" w:color="auto" w:fill="auto"/>
            <w:noWrap/>
            <w:vAlign w:val="bottom"/>
            <w:hideMark/>
          </w:tcPr>
          <w:p w14:paraId="75398D9B" w14:textId="77777777" w:rsidR="000D6093" w:rsidRPr="008B619A" w:rsidRDefault="000D6093" w:rsidP="0053467D">
            <w:pPr>
              <w:widowControl/>
              <w:overflowPunct/>
              <w:autoSpaceDE/>
              <w:autoSpaceDN/>
              <w:jc w:val="right"/>
              <w:rPr>
                <w:rFonts w:ascii="Times New Roman" w:eastAsia="新細明體"/>
                <w:color w:val="000000" w:themeColor="text1"/>
                <w:kern w:val="0"/>
                <w:sz w:val="26"/>
                <w:szCs w:val="26"/>
              </w:rPr>
            </w:pPr>
            <w:r w:rsidRPr="008B619A">
              <w:rPr>
                <w:rFonts w:ascii="Times New Roman" w:eastAsia="新細明體"/>
                <w:color w:val="000000" w:themeColor="text1"/>
                <w:kern w:val="0"/>
                <w:sz w:val="26"/>
                <w:szCs w:val="26"/>
              </w:rPr>
              <w:t>66.74</w:t>
            </w:r>
          </w:p>
        </w:tc>
        <w:tc>
          <w:tcPr>
            <w:tcW w:w="1040" w:type="dxa"/>
            <w:tcBorders>
              <w:top w:val="nil"/>
              <w:left w:val="nil"/>
              <w:bottom w:val="nil"/>
              <w:right w:val="nil"/>
            </w:tcBorders>
            <w:shd w:val="clear" w:color="auto" w:fill="auto"/>
            <w:noWrap/>
            <w:vAlign w:val="bottom"/>
            <w:hideMark/>
          </w:tcPr>
          <w:p w14:paraId="3BFA7635" w14:textId="77777777" w:rsidR="000D6093" w:rsidRPr="008B619A" w:rsidRDefault="000D6093" w:rsidP="0053467D">
            <w:pPr>
              <w:widowControl/>
              <w:overflowPunct/>
              <w:autoSpaceDE/>
              <w:autoSpaceDN/>
              <w:jc w:val="right"/>
              <w:rPr>
                <w:rFonts w:ascii="Times New Roman" w:eastAsia="新細明體"/>
                <w:color w:val="000000" w:themeColor="text1"/>
                <w:kern w:val="0"/>
                <w:sz w:val="26"/>
                <w:szCs w:val="26"/>
              </w:rPr>
            </w:pPr>
            <w:r w:rsidRPr="008B619A">
              <w:rPr>
                <w:rFonts w:ascii="Times New Roman" w:eastAsia="新細明體"/>
                <w:color w:val="000000" w:themeColor="text1"/>
                <w:kern w:val="0"/>
                <w:sz w:val="26"/>
                <w:szCs w:val="26"/>
              </w:rPr>
              <w:t>50.46</w:t>
            </w:r>
          </w:p>
        </w:tc>
        <w:tc>
          <w:tcPr>
            <w:tcW w:w="882" w:type="dxa"/>
            <w:tcBorders>
              <w:top w:val="nil"/>
              <w:left w:val="nil"/>
              <w:bottom w:val="nil"/>
              <w:right w:val="nil"/>
            </w:tcBorders>
            <w:shd w:val="clear" w:color="auto" w:fill="auto"/>
            <w:noWrap/>
            <w:vAlign w:val="bottom"/>
            <w:hideMark/>
          </w:tcPr>
          <w:p w14:paraId="4C195948" w14:textId="77777777" w:rsidR="000D6093" w:rsidRPr="008B619A" w:rsidRDefault="000D6093" w:rsidP="0053467D">
            <w:pPr>
              <w:widowControl/>
              <w:overflowPunct/>
              <w:autoSpaceDE/>
              <w:autoSpaceDN/>
              <w:jc w:val="right"/>
              <w:rPr>
                <w:rFonts w:ascii="Times New Roman" w:eastAsia="新細明體"/>
                <w:color w:val="000000" w:themeColor="text1"/>
                <w:kern w:val="0"/>
                <w:sz w:val="26"/>
                <w:szCs w:val="26"/>
              </w:rPr>
            </w:pPr>
            <w:r w:rsidRPr="008B619A">
              <w:rPr>
                <w:rFonts w:ascii="Times New Roman" w:eastAsia="新細明體"/>
                <w:color w:val="000000" w:themeColor="text1"/>
                <w:kern w:val="0"/>
                <w:sz w:val="26"/>
                <w:szCs w:val="26"/>
              </w:rPr>
              <w:t>67.77</w:t>
            </w:r>
          </w:p>
        </w:tc>
        <w:tc>
          <w:tcPr>
            <w:tcW w:w="882" w:type="dxa"/>
            <w:tcBorders>
              <w:top w:val="nil"/>
              <w:left w:val="nil"/>
              <w:bottom w:val="nil"/>
              <w:right w:val="nil"/>
            </w:tcBorders>
            <w:shd w:val="clear" w:color="auto" w:fill="auto"/>
            <w:noWrap/>
            <w:vAlign w:val="bottom"/>
            <w:hideMark/>
          </w:tcPr>
          <w:p w14:paraId="03830882" w14:textId="77777777" w:rsidR="000D6093" w:rsidRPr="008B619A" w:rsidRDefault="000D6093" w:rsidP="0053467D">
            <w:pPr>
              <w:widowControl/>
              <w:overflowPunct/>
              <w:autoSpaceDE/>
              <w:autoSpaceDN/>
              <w:jc w:val="right"/>
              <w:rPr>
                <w:rFonts w:ascii="Times New Roman" w:eastAsia="新細明體"/>
                <w:color w:val="000000" w:themeColor="text1"/>
                <w:kern w:val="0"/>
                <w:sz w:val="26"/>
                <w:szCs w:val="26"/>
              </w:rPr>
            </w:pPr>
            <w:r w:rsidRPr="008B619A">
              <w:rPr>
                <w:rFonts w:ascii="Times New Roman" w:eastAsia="新細明體"/>
                <w:color w:val="000000" w:themeColor="text1"/>
                <w:kern w:val="0"/>
                <w:sz w:val="26"/>
                <w:szCs w:val="26"/>
              </w:rPr>
              <w:t>74.92</w:t>
            </w:r>
          </w:p>
        </w:tc>
        <w:tc>
          <w:tcPr>
            <w:tcW w:w="1396" w:type="dxa"/>
            <w:tcBorders>
              <w:top w:val="nil"/>
              <w:left w:val="nil"/>
              <w:bottom w:val="nil"/>
              <w:right w:val="nil"/>
            </w:tcBorders>
            <w:shd w:val="clear" w:color="auto" w:fill="auto"/>
            <w:noWrap/>
            <w:vAlign w:val="bottom"/>
            <w:hideMark/>
          </w:tcPr>
          <w:p w14:paraId="54EA258A" w14:textId="77777777" w:rsidR="000D6093" w:rsidRPr="008B619A" w:rsidRDefault="000D6093" w:rsidP="0053467D">
            <w:pPr>
              <w:widowControl/>
              <w:overflowPunct/>
              <w:autoSpaceDE/>
              <w:autoSpaceDN/>
              <w:jc w:val="right"/>
              <w:rPr>
                <w:rFonts w:ascii="Times New Roman" w:eastAsia="新細明體"/>
                <w:color w:val="000000" w:themeColor="text1"/>
                <w:kern w:val="0"/>
                <w:sz w:val="26"/>
                <w:szCs w:val="26"/>
              </w:rPr>
            </w:pPr>
            <w:r w:rsidRPr="008B619A">
              <w:rPr>
                <w:rFonts w:ascii="Times New Roman" w:eastAsia="新細明體"/>
                <w:color w:val="000000" w:themeColor="text1"/>
                <w:kern w:val="0"/>
                <w:sz w:val="26"/>
                <w:szCs w:val="26"/>
              </w:rPr>
              <w:t>64.44</w:t>
            </w:r>
          </w:p>
        </w:tc>
        <w:tc>
          <w:tcPr>
            <w:tcW w:w="882" w:type="dxa"/>
            <w:tcBorders>
              <w:top w:val="nil"/>
              <w:left w:val="nil"/>
              <w:bottom w:val="nil"/>
              <w:right w:val="nil"/>
            </w:tcBorders>
            <w:shd w:val="clear" w:color="auto" w:fill="auto"/>
            <w:noWrap/>
            <w:vAlign w:val="bottom"/>
            <w:hideMark/>
          </w:tcPr>
          <w:p w14:paraId="35AEEF75" w14:textId="77777777" w:rsidR="000D6093" w:rsidRPr="008B619A" w:rsidRDefault="000D6093" w:rsidP="0053467D">
            <w:pPr>
              <w:widowControl/>
              <w:overflowPunct/>
              <w:autoSpaceDE/>
              <w:autoSpaceDN/>
              <w:jc w:val="right"/>
              <w:rPr>
                <w:rFonts w:ascii="Times New Roman" w:eastAsia="新細明體"/>
                <w:color w:val="000000" w:themeColor="text1"/>
                <w:kern w:val="0"/>
                <w:sz w:val="26"/>
                <w:szCs w:val="26"/>
              </w:rPr>
            </w:pPr>
            <w:r w:rsidRPr="008B619A">
              <w:rPr>
                <w:rFonts w:ascii="Times New Roman" w:eastAsia="新細明體"/>
                <w:color w:val="000000" w:themeColor="text1"/>
                <w:kern w:val="0"/>
                <w:sz w:val="26"/>
                <w:szCs w:val="26"/>
              </w:rPr>
              <w:t>62.84</w:t>
            </w:r>
          </w:p>
        </w:tc>
        <w:tc>
          <w:tcPr>
            <w:tcW w:w="1158" w:type="dxa"/>
            <w:tcBorders>
              <w:top w:val="nil"/>
              <w:left w:val="nil"/>
              <w:bottom w:val="nil"/>
              <w:right w:val="nil"/>
            </w:tcBorders>
            <w:shd w:val="clear" w:color="auto" w:fill="E5DFEC" w:themeFill="accent4" w:themeFillTint="33"/>
            <w:noWrap/>
            <w:vAlign w:val="bottom"/>
            <w:hideMark/>
          </w:tcPr>
          <w:p w14:paraId="13252A8E" w14:textId="77777777" w:rsidR="000D6093" w:rsidRPr="008B619A" w:rsidRDefault="000D6093" w:rsidP="0053467D">
            <w:pPr>
              <w:widowControl/>
              <w:overflowPunct/>
              <w:autoSpaceDE/>
              <w:autoSpaceDN/>
              <w:jc w:val="right"/>
              <w:rPr>
                <w:rFonts w:ascii="Times New Roman" w:eastAsia="新細明體"/>
                <w:b/>
                <w:color w:val="000000" w:themeColor="text1"/>
                <w:kern w:val="0"/>
                <w:sz w:val="26"/>
                <w:szCs w:val="26"/>
              </w:rPr>
            </w:pPr>
            <w:r w:rsidRPr="008B619A">
              <w:rPr>
                <w:rFonts w:ascii="Times New Roman" w:eastAsia="新細明體"/>
                <w:b/>
                <w:color w:val="000000" w:themeColor="text1"/>
                <w:kern w:val="0"/>
                <w:sz w:val="26"/>
                <w:szCs w:val="26"/>
              </w:rPr>
              <w:t>70.85</w:t>
            </w:r>
          </w:p>
        </w:tc>
      </w:tr>
      <w:tr w:rsidR="000D6093" w:rsidRPr="008B619A" w14:paraId="3D0AD506" w14:textId="77777777" w:rsidTr="00AB6246">
        <w:trPr>
          <w:trHeight w:val="300"/>
          <w:jc w:val="center"/>
        </w:trPr>
        <w:tc>
          <w:tcPr>
            <w:tcW w:w="1833" w:type="dxa"/>
            <w:tcBorders>
              <w:top w:val="nil"/>
              <w:left w:val="nil"/>
              <w:bottom w:val="nil"/>
              <w:right w:val="single" w:sz="8" w:space="0" w:color="auto"/>
            </w:tcBorders>
            <w:shd w:val="clear" w:color="auto" w:fill="auto"/>
            <w:noWrap/>
            <w:vAlign w:val="bottom"/>
            <w:hideMark/>
          </w:tcPr>
          <w:p w14:paraId="5379D6B6" w14:textId="77777777" w:rsidR="000D6093" w:rsidRPr="008B619A" w:rsidRDefault="000D6093" w:rsidP="0053467D">
            <w:pPr>
              <w:widowControl/>
              <w:overflowPunct/>
              <w:autoSpaceDE/>
              <w:autoSpaceDN/>
              <w:jc w:val="center"/>
              <w:rPr>
                <w:rFonts w:ascii="Times New Roman" w:eastAsia="新細明體"/>
                <w:color w:val="000000" w:themeColor="text1"/>
                <w:kern w:val="0"/>
                <w:sz w:val="26"/>
                <w:szCs w:val="26"/>
              </w:rPr>
            </w:pPr>
            <w:r w:rsidRPr="008B619A">
              <w:rPr>
                <w:rFonts w:ascii="Times New Roman" w:eastAsia="新細明體"/>
                <w:color w:val="000000" w:themeColor="text1"/>
                <w:kern w:val="0"/>
                <w:sz w:val="26"/>
                <w:szCs w:val="26"/>
              </w:rPr>
              <w:t>103</w:t>
            </w:r>
            <w:r w:rsidRPr="008B619A">
              <w:rPr>
                <w:rFonts w:hAnsi="標楷體" w:hint="eastAsia"/>
                <w:color w:val="000000" w:themeColor="text1"/>
                <w:kern w:val="0"/>
                <w:sz w:val="26"/>
                <w:szCs w:val="26"/>
              </w:rPr>
              <w:t>年平均</w:t>
            </w:r>
          </w:p>
        </w:tc>
        <w:tc>
          <w:tcPr>
            <w:tcW w:w="1040" w:type="dxa"/>
            <w:tcBorders>
              <w:top w:val="nil"/>
              <w:left w:val="nil"/>
              <w:bottom w:val="nil"/>
              <w:right w:val="nil"/>
            </w:tcBorders>
            <w:shd w:val="clear" w:color="auto" w:fill="auto"/>
            <w:noWrap/>
            <w:vAlign w:val="bottom"/>
            <w:hideMark/>
          </w:tcPr>
          <w:p w14:paraId="042EE920" w14:textId="77777777" w:rsidR="000D6093" w:rsidRPr="008B619A" w:rsidRDefault="000D6093" w:rsidP="0053467D">
            <w:pPr>
              <w:widowControl/>
              <w:overflowPunct/>
              <w:autoSpaceDE/>
              <w:autoSpaceDN/>
              <w:jc w:val="right"/>
              <w:rPr>
                <w:rFonts w:ascii="Times New Roman" w:eastAsia="新細明體"/>
                <w:color w:val="000000" w:themeColor="text1"/>
                <w:kern w:val="0"/>
                <w:sz w:val="26"/>
                <w:szCs w:val="26"/>
              </w:rPr>
            </w:pPr>
            <w:r w:rsidRPr="008B619A">
              <w:rPr>
                <w:rFonts w:ascii="Times New Roman" w:eastAsia="新細明體"/>
                <w:color w:val="000000" w:themeColor="text1"/>
                <w:kern w:val="0"/>
                <w:sz w:val="26"/>
                <w:szCs w:val="26"/>
              </w:rPr>
              <w:t>58.54</w:t>
            </w:r>
          </w:p>
        </w:tc>
        <w:tc>
          <w:tcPr>
            <w:tcW w:w="1040" w:type="dxa"/>
            <w:tcBorders>
              <w:top w:val="nil"/>
              <w:left w:val="nil"/>
              <w:bottom w:val="nil"/>
              <w:right w:val="nil"/>
            </w:tcBorders>
            <w:shd w:val="clear" w:color="auto" w:fill="auto"/>
            <w:noWrap/>
            <w:vAlign w:val="bottom"/>
            <w:hideMark/>
          </w:tcPr>
          <w:p w14:paraId="16B21E69" w14:textId="77777777" w:rsidR="000D6093" w:rsidRPr="008B619A" w:rsidRDefault="000D6093" w:rsidP="0053467D">
            <w:pPr>
              <w:widowControl/>
              <w:overflowPunct/>
              <w:autoSpaceDE/>
              <w:autoSpaceDN/>
              <w:jc w:val="right"/>
              <w:rPr>
                <w:rFonts w:ascii="Times New Roman" w:eastAsia="新細明體"/>
                <w:color w:val="000000" w:themeColor="text1"/>
                <w:kern w:val="0"/>
                <w:sz w:val="26"/>
                <w:szCs w:val="26"/>
              </w:rPr>
            </w:pPr>
            <w:r w:rsidRPr="008B619A">
              <w:rPr>
                <w:rFonts w:ascii="Times New Roman" w:eastAsia="新細明體"/>
                <w:color w:val="000000" w:themeColor="text1"/>
                <w:kern w:val="0"/>
                <w:sz w:val="26"/>
                <w:szCs w:val="26"/>
              </w:rPr>
              <w:t>66.78</w:t>
            </w:r>
          </w:p>
        </w:tc>
        <w:tc>
          <w:tcPr>
            <w:tcW w:w="1040" w:type="dxa"/>
            <w:tcBorders>
              <w:top w:val="nil"/>
              <w:left w:val="nil"/>
              <w:bottom w:val="nil"/>
              <w:right w:val="nil"/>
            </w:tcBorders>
            <w:shd w:val="clear" w:color="auto" w:fill="auto"/>
            <w:noWrap/>
            <w:vAlign w:val="bottom"/>
            <w:hideMark/>
          </w:tcPr>
          <w:p w14:paraId="4A4554F2" w14:textId="77777777" w:rsidR="000D6093" w:rsidRPr="008B619A" w:rsidRDefault="000D6093" w:rsidP="0053467D">
            <w:pPr>
              <w:widowControl/>
              <w:overflowPunct/>
              <w:autoSpaceDE/>
              <w:autoSpaceDN/>
              <w:jc w:val="right"/>
              <w:rPr>
                <w:rFonts w:ascii="Times New Roman" w:eastAsia="新細明體"/>
                <w:color w:val="000000" w:themeColor="text1"/>
                <w:kern w:val="0"/>
                <w:sz w:val="26"/>
                <w:szCs w:val="26"/>
              </w:rPr>
            </w:pPr>
            <w:r w:rsidRPr="008B619A">
              <w:rPr>
                <w:rFonts w:ascii="Times New Roman" w:eastAsia="新細明體"/>
                <w:color w:val="000000" w:themeColor="text1"/>
                <w:kern w:val="0"/>
                <w:sz w:val="26"/>
                <w:szCs w:val="26"/>
              </w:rPr>
              <w:t>50.64</w:t>
            </w:r>
          </w:p>
        </w:tc>
        <w:tc>
          <w:tcPr>
            <w:tcW w:w="882" w:type="dxa"/>
            <w:tcBorders>
              <w:top w:val="nil"/>
              <w:left w:val="nil"/>
              <w:bottom w:val="nil"/>
              <w:right w:val="nil"/>
            </w:tcBorders>
            <w:shd w:val="clear" w:color="auto" w:fill="auto"/>
            <w:noWrap/>
            <w:vAlign w:val="bottom"/>
            <w:hideMark/>
          </w:tcPr>
          <w:p w14:paraId="0FE982EB" w14:textId="77777777" w:rsidR="000D6093" w:rsidRPr="008B619A" w:rsidRDefault="000D6093" w:rsidP="0053467D">
            <w:pPr>
              <w:widowControl/>
              <w:overflowPunct/>
              <w:autoSpaceDE/>
              <w:autoSpaceDN/>
              <w:jc w:val="right"/>
              <w:rPr>
                <w:rFonts w:ascii="Times New Roman" w:eastAsia="新細明體"/>
                <w:color w:val="000000" w:themeColor="text1"/>
                <w:kern w:val="0"/>
                <w:sz w:val="26"/>
                <w:szCs w:val="26"/>
              </w:rPr>
            </w:pPr>
            <w:r w:rsidRPr="008B619A">
              <w:rPr>
                <w:rFonts w:ascii="Times New Roman" w:eastAsia="新細明體"/>
                <w:color w:val="000000" w:themeColor="text1"/>
                <w:kern w:val="0"/>
                <w:sz w:val="26"/>
                <w:szCs w:val="26"/>
              </w:rPr>
              <w:t>68.03</w:t>
            </w:r>
          </w:p>
        </w:tc>
        <w:tc>
          <w:tcPr>
            <w:tcW w:w="882" w:type="dxa"/>
            <w:tcBorders>
              <w:top w:val="nil"/>
              <w:left w:val="nil"/>
              <w:bottom w:val="nil"/>
              <w:right w:val="nil"/>
            </w:tcBorders>
            <w:shd w:val="clear" w:color="auto" w:fill="auto"/>
            <w:noWrap/>
            <w:vAlign w:val="bottom"/>
            <w:hideMark/>
          </w:tcPr>
          <w:p w14:paraId="0C503D47" w14:textId="77777777" w:rsidR="000D6093" w:rsidRPr="008B619A" w:rsidRDefault="000D6093" w:rsidP="0053467D">
            <w:pPr>
              <w:widowControl/>
              <w:overflowPunct/>
              <w:autoSpaceDE/>
              <w:autoSpaceDN/>
              <w:jc w:val="right"/>
              <w:rPr>
                <w:rFonts w:ascii="Times New Roman" w:eastAsia="新細明體"/>
                <w:color w:val="000000" w:themeColor="text1"/>
                <w:kern w:val="0"/>
                <w:sz w:val="26"/>
                <w:szCs w:val="26"/>
              </w:rPr>
            </w:pPr>
            <w:r w:rsidRPr="008B619A">
              <w:rPr>
                <w:rFonts w:ascii="Times New Roman" w:eastAsia="新細明體"/>
                <w:color w:val="000000" w:themeColor="text1"/>
                <w:kern w:val="0"/>
                <w:sz w:val="26"/>
                <w:szCs w:val="26"/>
              </w:rPr>
              <w:t>74.52</w:t>
            </w:r>
          </w:p>
        </w:tc>
        <w:tc>
          <w:tcPr>
            <w:tcW w:w="1396" w:type="dxa"/>
            <w:tcBorders>
              <w:top w:val="nil"/>
              <w:left w:val="nil"/>
              <w:bottom w:val="nil"/>
              <w:right w:val="nil"/>
            </w:tcBorders>
            <w:shd w:val="clear" w:color="auto" w:fill="auto"/>
            <w:noWrap/>
            <w:vAlign w:val="bottom"/>
            <w:hideMark/>
          </w:tcPr>
          <w:p w14:paraId="7D4B8057" w14:textId="77777777" w:rsidR="000D6093" w:rsidRPr="008B619A" w:rsidRDefault="000D6093" w:rsidP="0053467D">
            <w:pPr>
              <w:widowControl/>
              <w:overflowPunct/>
              <w:autoSpaceDE/>
              <w:autoSpaceDN/>
              <w:jc w:val="right"/>
              <w:rPr>
                <w:rFonts w:ascii="Times New Roman" w:eastAsia="新細明體"/>
                <w:color w:val="000000" w:themeColor="text1"/>
                <w:kern w:val="0"/>
                <w:sz w:val="26"/>
                <w:szCs w:val="26"/>
              </w:rPr>
            </w:pPr>
            <w:r w:rsidRPr="008B619A">
              <w:rPr>
                <w:rFonts w:ascii="Times New Roman" w:eastAsia="新細明體"/>
                <w:color w:val="000000" w:themeColor="text1"/>
                <w:kern w:val="0"/>
                <w:sz w:val="26"/>
                <w:szCs w:val="26"/>
              </w:rPr>
              <w:t>65.14</w:t>
            </w:r>
          </w:p>
        </w:tc>
        <w:tc>
          <w:tcPr>
            <w:tcW w:w="882" w:type="dxa"/>
            <w:tcBorders>
              <w:top w:val="nil"/>
              <w:left w:val="nil"/>
              <w:bottom w:val="nil"/>
              <w:right w:val="nil"/>
            </w:tcBorders>
            <w:shd w:val="clear" w:color="auto" w:fill="auto"/>
            <w:noWrap/>
            <w:vAlign w:val="bottom"/>
            <w:hideMark/>
          </w:tcPr>
          <w:p w14:paraId="5487889C" w14:textId="77777777" w:rsidR="000D6093" w:rsidRPr="008B619A" w:rsidRDefault="000D6093" w:rsidP="0053467D">
            <w:pPr>
              <w:widowControl/>
              <w:overflowPunct/>
              <w:autoSpaceDE/>
              <w:autoSpaceDN/>
              <w:jc w:val="right"/>
              <w:rPr>
                <w:rFonts w:ascii="Times New Roman" w:eastAsia="新細明體"/>
                <w:color w:val="000000" w:themeColor="text1"/>
                <w:kern w:val="0"/>
                <w:sz w:val="26"/>
                <w:szCs w:val="26"/>
              </w:rPr>
            </w:pPr>
            <w:r w:rsidRPr="008B619A">
              <w:rPr>
                <w:rFonts w:ascii="Times New Roman" w:eastAsia="新細明體"/>
                <w:color w:val="000000" w:themeColor="text1"/>
                <w:kern w:val="0"/>
                <w:sz w:val="26"/>
                <w:szCs w:val="26"/>
              </w:rPr>
              <w:t>63.32</w:t>
            </w:r>
          </w:p>
        </w:tc>
        <w:tc>
          <w:tcPr>
            <w:tcW w:w="1158" w:type="dxa"/>
            <w:tcBorders>
              <w:top w:val="nil"/>
              <w:left w:val="nil"/>
              <w:bottom w:val="nil"/>
              <w:right w:val="nil"/>
            </w:tcBorders>
            <w:shd w:val="clear" w:color="auto" w:fill="E5DFEC" w:themeFill="accent4" w:themeFillTint="33"/>
            <w:noWrap/>
            <w:vAlign w:val="bottom"/>
            <w:hideMark/>
          </w:tcPr>
          <w:p w14:paraId="6E909E03" w14:textId="77777777" w:rsidR="000D6093" w:rsidRPr="008B619A" w:rsidRDefault="000D6093" w:rsidP="0053467D">
            <w:pPr>
              <w:widowControl/>
              <w:overflowPunct/>
              <w:autoSpaceDE/>
              <w:autoSpaceDN/>
              <w:jc w:val="right"/>
              <w:rPr>
                <w:rFonts w:ascii="Times New Roman" w:eastAsia="新細明體"/>
                <w:b/>
                <w:color w:val="000000" w:themeColor="text1"/>
                <w:kern w:val="0"/>
                <w:sz w:val="26"/>
                <w:szCs w:val="26"/>
              </w:rPr>
            </w:pPr>
            <w:r w:rsidRPr="008B619A">
              <w:rPr>
                <w:rFonts w:ascii="Times New Roman" w:eastAsia="新細明體"/>
                <w:b/>
                <w:color w:val="000000" w:themeColor="text1"/>
                <w:kern w:val="0"/>
                <w:sz w:val="26"/>
                <w:szCs w:val="26"/>
              </w:rPr>
              <w:t>72.35</w:t>
            </w:r>
          </w:p>
        </w:tc>
      </w:tr>
      <w:tr w:rsidR="000D6093" w:rsidRPr="008B619A" w14:paraId="00570E29" w14:textId="77777777" w:rsidTr="00AB6246">
        <w:trPr>
          <w:trHeight w:val="300"/>
          <w:jc w:val="center"/>
        </w:trPr>
        <w:tc>
          <w:tcPr>
            <w:tcW w:w="1833" w:type="dxa"/>
            <w:tcBorders>
              <w:top w:val="nil"/>
              <w:left w:val="nil"/>
              <w:bottom w:val="nil"/>
              <w:right w:val="single" w:sz="8" w:space="0" w:color="auto"/>
            </w:tcBorders>
            <w:shd w:val="clear" w:color="auto" w:fill="auto"/>
            <w:noWrap/>
            <w:vAlign w:val="bottom"/>
            <w:hideMark/>
          </w:tcPr>
          <w:p w14:paraId="639B0B70" w14:textId="77777777" w:rsidR="000D6093" w:rsidRPr="008B619A" w:rsidRDefault="000D6093" w:rsidP="0053467D">
            <w:pPr>
              <w:widowControl/>
              <w:overflowPunct/>
              <w:autoSpaceDE/>
              <w:autoSpaceDN/>
              <w:jc w:val="center"/>
              <w:rPr>
                <w:rFonts w:ascii="Times New Roman" w:eastAsia="新細明體"/>
                <w:color w:val="000000" w:themeColor="text1"/>
                <w:kern w:val="0"/>
                <w:sz w:val="26"/>
                <w:szCs w:val="26"/>
              </w:rPr>
            </w:pPr>
            <w:r w:rsidRPr="008B619A">
              <w:rPr>
                <w:rFonts w:ascii="Times New Roman" w:eastAsia="新細明體"/>
                <w:color w:val="000000" w:themeColor="text1"/>
                <w:kern w:val="0"/>
                <w:sz w:val="26"/>
                <w:szCs w:val="26"/>
              </w:rPr>
              <w:t>104</w:t>
            </w:r>
            <w:r w:rsidRPr="008B619A">
              <w:rPr>
                <w:rFonts w:hAnsi="標楷體" w:hint="eastAsia"/>
                <w:color w:val="000000" w:themeColor="text1"/>
                <w:kern w:val="0"/>
                <w:sz w:val="26"/>
                <w:szCs w:val="26"/>
              </w:rPr>
              <w:t>年平均</w:t>
            </w:r>
          </w:p>
        </w:tc>
        <w:tc>
          <w:tcPr>
            <w:tcW w:w="1040" w:type="dxa"/>
            <w:tcBorders>
              <w:top w:val="nil"/>
              <w:left w:val="nil"/>
              <w:bottom w:val="nil"/>
              <w:right w:val="nil"/>
            </w:tcBorders>
            <w:shd w:val="clear" w:color="auto" w:fill="auto"/>
            <w:noWrap/>
            <w:vAlign w:val="bottom"/>
            <w:hideMark/>
          </w:tcPr>
          <w:p w14:paraId="4E12B3BC" w14:textId="77777777" w:rsidR="000D6093" w:rsidRPr="008B619A" w:rsidRDefault="000D6093" w:rsidP="0053467D">
            <w:pPr>
              <w:widowControl/>
              <w:overflowPunct/>
              <w:autoSpaceDE/>
              <w:autoSpaceDN/>
              <w:jc w:val="right"/>
              <w:rPr>
                <w:rFonts w:ascii="Times New Roman" w:eastAsia="新細明體"/>
                <w:color w:val="000000" w:themeColor="text1"/>
                <w:kern w:val="0"/>
                <w:sz w:val="26"/>
                <w:szCs w:val="26"/>
              </w:rPr>
            </w:pPr>
            <w:r w:rsidRPr="008B619A">
              <w:rPr>
                <w:rFonts w:ascii="Times New Roman" w:eastAsia="新細明體"/>
                <w:color w:val="000000" w:themeColor="text1"/>
                <w:kern w:val="0"/>
                <w:sz w:val="26"/>
                <w:szCs w:val="26"/>
              </w:rPr>
              <w:t>58.65</w:t>
            </w:r>
          </w:p>
        </w:tc>
        <w:tc>
          <w:tcPr>
            <w:tcW w:w="1040" w:type="dxa"/>
            <w:tcBorders>
              <w:top w:val="nil"/>
              <w:left w:val="nil"/>
              <w:bottom w:val="nil"/>
              <w:right w:val="nil"/>
            </w:tcBorders>
            <w:shd w:val="clear" w:color="auto" w:fill="auto"/>
            <w:noWrap/>
            <w:vAlign w:val="bottom"/>
            <w:hideMark/>
          </w:tcPr>
          <w:p w14:paraId="3E860A4A" w14:textId="77777777" w:rsidR="000D6093" w:rsidRPr="008B619A" w:rsidRDefault="000D6093" w:rsidP="0053467D">
            <w:pPr>
              <w:widowControl/>
              <w:overflowPunct/>
              <w:autoSpaceDE/>
              <w:autoSpaceDN/>
              <w:jc w:val="right"/>
              <w:rPr>
                <w:rFonts w:ascii="Times New Roman" w:eastAsia="新細明體"/>
                <w:color w:val="000000" w:themeColor="text1"/>
                <w:kern w:val="0"/>
                <w:sz w:val="26"/>
                <w:szCs w:val="26"/>
              </w:rPr>
            </w:pPr>
            <w:r w:rsidRPr="008B619A">
              <w:rPr>
                <w:rFonts w:ascii="Times New Roman" w:eastAsia="新細明體"/>
                <w:color w:val="000000" w:themeColor="text1"/>
                <w:kern w:val="0"/>
                <w:sz w:val="26"/>
                <w:szCs w:val="26"/>
              </w:rPr>
              <w:t>66.91</w:t>
            </w:r>
          </w:p>
        </w:tc>
        <w:tc>
          <w:tcPr>
            <w:tcW w:w="1040" w:type="dxa"/>
            <w:tcBorders>
              <w:top w:val="nil"/>
              <w:left w:val="nil"/>
              <w:bottom w:val="nil"/>
              <w:right w:val="nil"/>
            </w:tcBorders>
            <w:shd w:val="clear" w:color="auto" w:fill="auto"/>
            <w:noWrap/>
            <w:vAlign w:val="bottom"/>
            <w:hideMark/>
          </w:tcPr>
          <w:p w14:paraId="37458E4D" w14:textId="77777777" w:rsidR="000D6093" w:rsidRPr="008B619A" w:rsidRDefault="000D6093" w:rsidP="0053467D">
            <w:pPr>
              <w:widowControl/>
              <w:overflowPunct/>
              <w:autoSpaceDE/>
              <w:autoSpaceDN/>
              <w:jc w:val="right"/>
              <w:rPr>
                <w:rFonts w:ascii="Times New Roman" w:eastAsia="新細明體"/>
                <w:color w:val="000000" w:themeColor="text1"/>
                <w:kern w:val="0"/>
                <w:sz w:val="26"/>
                <w:szCs w:val="26"/>
              </w:rPr>
            </w:pPr>
            <w:r w:rsidRPr="008B619A">
              <w:rPr>
                <w:rFonts w:ascii="Times New Roman" w:eastAsia="新細明體"/>
                <w:color w:val="000000" w:themeColor="text1"/>
                <w:kern w:val="0"/>
                <w:sz w:val="26"/>
                <w:szCs w:val="26"/>
              </w:rPr>
              <w:t>50.74</w:t>
            </w:r>
          </w:p>
        </w:tc>
        <w:tc>
          <w:tcPr>
            <w:tcW w:w="882" w:type="dxa"/>
            <w:tcBorders>
              <w:top w:val="nil"/>
              <w:left w:val="nil"/>
              <w:bottom w:val="nil"/>
              <w:right w:val="nil"/>
            </w:tcBorders>
            <w:shd w:val="clear" w:color="auto" w:fill="auto"/>
            <w:noWrap/>
            <w:vAlign w:val="bottom"/>
            <w:hideMark/>
          </w:tcPr>
          <w:p w14:paraId="2723B318" w14:textId="77777777" w:rsidR="000D6093" w:rsidRPr="008B619A" w:rsidRDefault="000D6093" w:rsidP="0053467D">
            <w:pPr>
              <w:widowControl/>
              <w:overflowPunct/>
              <w:autoSpaceDE/>
              <w:autoSpaceDN/>
              <w:jc w:val="right"/>
              <w:rPr>
                <w:rFonts w:ascii="Times New Roman" w:eastAsia="新細明體"/>
                <w:color w:val="000000" w:themeColor="text1"/>
                <w:kern w:val="0"/>
                <w:sz w:val="26"/>
                <w:szCs w:val="26"/>
              </w:rPr>
            </w:pPr>
            <w:r w:rsidRPr="008B619A">
              <w:rPr>
                <w:rFonts w:ascii="Times New Roman" w:eastAsia="新細明體"/>
                <w:color w:val="000000" w:themeColor="text1"/>
                <w:kern w:val="0"/>
                <w:sz w:val="26"/>
                <w:szCs w:val="26"/>
              </w:rPr>
              <w:t>67.79</w:t>
            </w:r>
          </w:p>
        </w:tc>
        <w:tc>
          <w:tcPr>
            <w:tcW w:w="882" w:type="dxa"/>
            <w:tcBorders>
              <w:top w:val="nil"/>
              <w:left w:val="nil"/>
              <w:bottom w:val="nil"/>
              <w:right w:val="nil"/>
            </w:tcBorders>
            <w:shd w:val="clear" w:color="auto" w:fill="auto"/>
            <w:noWrap/>
            <w:vAlign w:val="bottom"/>
            <w:hideMark/>
          </w:tcPr>
          <w:p w14:paraId="1F9A5FA3" w14:textId="77777777" w:rsidR="000D6093" w:rsidRPr="008B619A" w:rsidRDefault="000D6093" w:rsidP="0053467D">
            <w:pPr>
              <w:widowControl/>
              <w:overflowPunct/>
              <w:autoSpaceDE/>
              <w:autoSpaceDN/>
              <w:jc w:val="right"/>
              <w:rPr>
                <w:rFonts w:ascii="Times New Roman" w:eastAsia="新細明體"/>
                <w:color w:val="000000" w:themeColor="text1"/>
                <w:kern w:val="0"/>
                <w:sz w:val="26"/>
                <w:szCs w:val="26"/>
              </w:rPr>
            </w:pPr>
            <w:r w:rsidRPr="008B619A">
              <w:rPr>
                <w:rFonts w:ascii="Times New Roman" w:eastAsia="新細明體"/>
                <w:color w:val="000000" w:themeColor="text1"/>
                <w:kern w:val="0"/>
                <w:sz w:val="26"/>
                <w:szCs w:val="26"/>
              </w:rPr>
              <w:t>74.02</w:t>
            </w:r>
          </w:p>
        </w:tc>
        <w:tc>
          <w:tcPr>
            <w:tcW w:w="1396" w:type="dxa"/>
            <w:tcBorders>
              <w:top w:val="nil"/>
              <w:left w:val="nil"/>
              <w:bottom w:val="nil"/>
              <w:right w:val="nil"/>
            </w:tcBorders>
            <w:shd w:val="clear" w:color="auto" w:fill="auto"/>
            <w:noWrap/>
            <w:vAlign w:val="bottom"/>
            <w:hideMark/>
          </w:tcPr>
          <w:p w14:paraId="0053A15F" w14:textId="77777777" w:rsidR="000D6093" w:rsidRPr="008B619A" w:rsidRDefault="000D6093" w:rsidP="0053467D">
            <w:pPr>
              <w:widowControl/>
              <w:overflowPunct/>
              <w:autoSpaceDE/>
              <w:autoSpaceDN/>
              <w:jc w:val="right"/>
              <w:rPr>
                <w:rFonts w:ascii="Times New Roman" w:eastAsia="新細明體"/>
                <w:color w:val="000000" w:themeColor="text1"/>
                <w:kern w:val="0"/>
                <w:sz w:val="26"/>
                <w:szCs w:val="26"/>
              </w:rPr>
            </w:pPr>
            <w:r w:rsidRPr="008B619A">
              <w:rPr>
                <w:rFonts w:ascii="Times New Roman" w:eastAsia="新細明體"/>
                <w:color w:val="000000" w:themeColor="text1"/>
                <w:kern w:val="0"/>
                <w:sz w:val="26"/>
                <w:szCs w:val="26"/>
              </w:rPr>
              <w:t>65.13</w:t>
            </w:r>
          </w:p>
        </w:tc>
        <w:tc>
          <w:tcPr>
            <w:tcW w:w="882" w:type="dxa"/>
            <w:tcBorders>
              <w:top w:val="nil"/>
              <w:left w:val="nil"/>
              <w:bottom w:val="nil"/>
              <w:right w:val="nil"/>
            </w:tcBorders>
            <w:shd w:val="clear" w:color="auto" w:fill="auto"/>
            <w:noWrap/>
            <w:vAlign w:val="bottom"/>
            <w:hideMark/>
          </w:tcPr>
          <w:p w14:paraId="236272FC" w14:textId="77777777" w:rsidR="000D6093" w:rsidRPr="008B619A" w:rsidRDefault="000D6093" w:rsidP="0053467D">
            <w:pPr>
              <w:widowControl/>
              <w:overflowPunct/>
              <w:autoSpaceDE/>
              <w:autoSpaceDN/>
              <w:jc w:val="right"/>
              <w:rPr>
                <w:rFonts w:ascii="Times New Roman" w:eastAsia="新細明體"/>
                <w:color w:val="000000" w:themeColor="text1"/>
                <w:kern w:val="0"/>
                <w:sz w:val="26"/>
                <w:szCs w:val="26"/>
              </w:rPr>
            </w:pPr>
            <w:r w:rsidRPr="008B619A">
              <w:rPr>
                <w:rFonts w:ascii="Times New Roman" w:eastAsia="新細明體"/>
                <w:color w:val="000000" w:themeColor="text1"/>
                <w:kern w:val="0"/>
                <w:sz w:val="26"/>
                <w:szCs w:val="26"/>
              </w:rPr>
              <w:t>63.26</w:t>
            </w:r>
          </w:p>
        </w:tc>
        <w:tc>
          <w:tcPr>
            <w:tcW w:w="1158" w:type="dxa"/>
            <w:tcBorders>
              <w:top w:val="nil"/>
              <w:left w:val="nil"/>
              <w:bottom w:val="nil"/>
              <w:right w:val="nil"/>
            </w:tcBorders>
            <w:shd w:val="clear" w:color="auto" w:fill="E5DFEC" w:themeFill="accent4" w:themeFillTint="33"/>
            <w:noWrap/>
            <w:vAlign w:val="bottom"/>
            <w:hideMark/>
          </w:tcPr>
          <w:p w14:paraId="12E1ED3E" w14:textId="77777777" w:rsidR="000D6093" w:rsidRPr="008B619A" w:rsidRDefault="000D6093" w:rsidP="0053467D">
            <w:pPr>
              <w:widowControl/>
              <w:overflowPunct/>
              <w:autoSpaceDE/>
              <w:autoSpaceDN/>
              <w:jc w:val="right"/>
              <w:rPr>
                <w:rFonts w:ascii="Times New Roman" w:eastAsia="新細明體"/>
                <w:b/>
                <w:color w:val="000000" w:themeColor="text1"/>
                <w:kern w:val="0"/>
                <w:sz w:val="26"/>
                <w:szCs w:val="26"/>
              </w:rPr>
            </w:pPr>
            <w:r w:rsidRPr="008B619A">
              <w:rPr>
                <w:rFonts w:ascii="Times New Roman" w:eastAsia="新細明體"/>
                <w:b/>
                <w:color w:val="000000" w:themeColor="text1"/>
                <w:kern w:val="0"/>
                <w:sz w:val="26"/>
                <w:szCs w:val="26"/>
              </w:rPr>
              <w:t>72.47</w:t>
            </w:r>
          </w:p>
        </w:tc>
      </w:tr>
      <w:tr w:rsidR="000D6093" w:rsidRPr="008B619A" w14:paraId="24CEE042" w14:textId="77777777" w:rsidTr="00AB6246">
        <w:trPr>
          <w:trHeight w:val="300"/>
          <w:jc w:val="center"/>
        </w:trPr>
        <w:tc>
          <w:tcPr>
            <w:tcW w:w="1833" w:type="dxa"/>
            <w:tcBorders>
              <w:top w:val="nil"/>
              <w:left w:val="nil"/>
              <w:bottom w:val="nil"/>
              <w:right w:val="single" w:sz="8" w:space="0" w:color="auto"/>
            </w:tcBorders>
            <w:shd w:val="clear" w:color="auto" w:fill="auto"/>
            <w:noWrap/>
            <w:vAlign w:val="bottom"/>
            <w:hideMark/>
          </w:tcPr>
          <w:p w14:paraId="26C6FBEF" w14:textId="77777777" w:rsidR="000D6093" w:rsidRPr="008B619A" w:rsidRDefault="000D6093" w:rsidP="0053467D">
            <w:pPr>
              <w:widowControl/>
              <w:overflowPunct/>
              <w:autoSpaceDE/>
              <w:autoSpaceDN/>
              <w:jc w:val="center"/>
              <w:rPr>
                <w:rFonts w:ascii="Times New Roman" w:eastAsia="新細明體"/>
                <w:color w:val="000000" w:themeColor="text1"/>
                <w:kern w:val="0"/>
                <w:sz w:val="26"/>
                <w:szCs w:val="26"/>
              </w:rPr>
            </w:pPr>
            <w:r w:rsidRPr="008B619A">
              <w:rPr>
                <w:rFonts w:ascii="Times New Roman" w:eastAsia="新細明體"/>
                <w:color w:val="000000" w:themeColor="text1"/>
                <w:kern w:val="0"/>
                <w:sz w:val="26"/>
                <w:szCs w:val="26"/>
              </w:rPr>
              <w:t>105</w:t>
            </w:r>
            <w:r w:rsidRPr="008B619A">
              <w:rPr>
                <w:rFonts w:hAnsi="標楷體" w:hint="eastAsia"/>
                <w:color w:val="000000" w:themeColor="text1"/>
                <w:kern w:val="0"/>
                <w:sz w:val="26"/>
                <w:szCs w:val="26"/>
              </w:rPr>
              <w:t>年平均</w:t>
            </w:r>
          </w:p>
        </w:tc>
        <w:tc>
          <w:tcPr>
            <w:tcW w:w="1040" w:type="dxa"/>
            <w:tcBorders>
              <w:top w:val="nil"/>
              <w:left w:val="nil"/>
              <w:bottom w:val="nil"/>
              <w:right w:val="nil"/>
            </w:tcBorders>
            <w:shd w:val="clear" w:color="auto" w:fill="auto"/>
            <w:noWrap/>
            <w:vAlign w:val="bottom"/>
            <w:hideMark/>
          </w:tcPr>
          <w:p w14:paraId="3ABBCCC7" w14:textId="77777777" w:rsidR="000D6093" w:rsidRPr="008B619A" w:rsidRDefault="000D6093" w:rsidP="0053467D">
            <w:pPr>
              <w:widowControl/>
              <w:overflowPunct/>
              <w:autoSpaceDE/>
              <w:autoSpaceDN/>
              <w:jc w:val="right"/>
              <w:rPr>
                <w:rFonts w:ascii="Times New Roman" w:eastAsia="新細明體"/>
                <w:color w:val="000000" w:themeColor="text1"/>
                <w:kern w:val="0"/>
                <w:sz w:val="26"/>
                <w:szCs w:val="26"/>
              </w:rPr>
            </w:pPr>
            <w:r w:rsidRPr="008B619A">
              <w:rPr>
                <w:rFonts w:ascii="Times New Roman" w:eastAsia="新細明體"/>
                <w:color w:val="000000" w:themeColor="text1"/>
                <w:kern w:val="0"/>
                <w:sz w:val="26"/>
                <w:szCs w:val="26"/>
              </w:rPr>
              <w:t>58.75</w:t>
            </w:r>
          </w:p>
        </w:tc>
        <w:tc>
          <w:tcPr>
            <w:tcW w:w="1040" w:type="dxa"/>
            <w:tcBorders>
              <w:top w:val="nil"/>
              <w:left w:val="nil"/>
              <w:bottom w:val="nil"/>
              <w:right w:val="nil"/>
            </w:tcBorders>
            <w:shd w:val="clear" w:color="auto" w:fill="auto"/>
            <w:noWrap/>
            <w:vAlign w:val="bottom"/>
            <w:hideMark/>
          </w:tcPr>
          <w:p w14:paraId="51ABC50F" w14:textId="77777777" w:rsidR="000D6093" w:rsidRPr="008B619A" w:rsidRDefault="000D6093" w:rsidP="0053467D">
            <w:pPr>
              <w:widowControl/>
              <w:overflowPunct/>
              <w:autoSpaceDE/>
              <w:autoSpaceDN/>
              <w:jc w:val="right"/>
              <w:rPr>
                <w:rFonts w:ascii="Times New Roman" w:eastAsia="新細明體"/>
                <w:color w:val="000000" w:themeColor="text1"/>
                <w:kern w:val="0"/>
                <w:sz w:val="26"/>
                <w:szCs w:val="26"/>
              </w:rPr>
            </w:pPr>
            <w:r w:rsidRPr="008B619A">
              <w:rPr>
                <w:rFonts w:ascii="Times New Roman" w:eastAsia="新細明體"/>
                <w:color w:val="000000" w:themeColor="text1"/>
                <w:kern w:val="0"/>
                <w:sz w:val="26"/>
                <w:szCs w:val="26"/>
              </w:rPr>
              <w:t>67.05</w:t>
            </w:r>
          </w:p>
        </w:tc>
        <w:tc>
          <w:tcPr>
            <w:tcW w:w="1040" w:type="dxa"/>
            <w:tcBorders>
              <w:top w:val="nil"/>
              <w:left w:val="nil"/>
              <w:bottom w:val="nil"/>
              <w:right w:val="nil"/>
            </w:tcBorders>
            <w:shd w:val="clear" w:color="auto" w:fill="auto"/>
            <w:noWrap/>
            <w:vAlign w:val="bottom"/>
            <w:hideMark/>
          </w:tcPr>
          <w:p w14:paraId="45B3B753" w14:textId="77777777" w:rsidR="000D6093" w:rsidRPr="008B619A" w:rsidRDefault="000D6093" w:rsidP="0053467D">
            <w:pPr>
              <w:widowControl/>
              <w:overflowPunct/>
              <w:autoSpaceDE/>
              <w:autoSpaceDN/>
              <w:jc w:val="right"/>
              <w:rPr>
                <w:rFonts w:ascii="Times New Roman" w:eastAsia="新細明體"/>
                <w:color w:val="000000" w:themeColor="text1"/>
                <w:kern w:val="0"/>
                <w:sz w:val="26"/>
                <w:szCs w:val="26"/>
              </w:rPr>
            </w:pPr>
            <w:r w:rsidRPr="008B619A">
              <w:rPr>
                <w:rFonts w:ascii="Times New Roman" w:eastAsia="新細明體"/>
                <w:color w:val="000000" w:themeColor="text1"/>
                <w:kern w:val="0"/>
                <w:sz w:val="26"/>
                <w:szCs w:val="26"/>
              </w:rPr>
              <w:t>50.80</w:t>
            </w:r>
          </w:p>
        </w:tc>
        <w:tc>
          <w:tcPr>
            <w:tcW w:w="882" w:type="dxa"/>
            <w:tcBorders>
              <w:top w:val="nil"/>
              <w:left w:val="nil"/>
              <w:bottom w:val="nil"/>
              <w:right w:val="nil"/>
            </w:tcBorders>
            <w:shd w:val="clear" w:color="auto" w:fill="auto"/>
            <w:noWrap/>
            <w:vAlign w:val="bottom"/>
            <w:hideMark/>
          </w:tcPr>
          <w:p w14:paraId="138C6D3C" w14:textId="77777777" w:rsidR="000D6093" w:rsidRPr="008B619A" w:rsidRDefault="000D6093" w:rsidP="0053467D">
            <w:pPr>
              <w:widowControl/>
              <w:overflowPunct/>
              <w:autoSpaceDE/>
              <w:autoSpaceDN/>
              <w:jc w:val="right"/>
              <w:rPr>
                <w:rFonts w:ascii="Times New Roman" w:eastAsia="新細明體"/>
                <w:color w:val="000000" w:themeColor="text1"/>
                <w:kern w:val="0"/>
                <w:sz w:val="26"/>
                <w:szCs w:val="26"/>
              </w:rPr>
            </w:pPr>
            <w:r w:rsidRPr="008B619A">
              <w:rPr>
                <w:rFonts w:ascii="Times New Roman" w:eastAsia="新細明體"/>
                <w:color w:val="000000" w:themeColor="text1"/>
                <w:kern w:val="0"/>
                <w:sz w:val="26"/>
                <w:szCs w:val="26"/>
              </w:rPr>
              <w:t>67.29</w:t>
            </w:r>
          </w:p>
        </w:tc>
        <w:tc>
          <w:tcPr>
            <w:tcW w:w="882" w:type="dxa"/>
            <w:tcBorders>
              <w:top w:val="nil"/>
              <w:left w:val="nil"/>
              <w:bottom w:val="nil"/>
              <w:right w:val="nil"/>
            </w:tcBorders>
            <w:shd w:val="clear" w:color="auto" w:fill="auto"/>
            <w:noWrap/>
            <w:vAlign w:val="bottom"/>
            <w:hideMark/>
          </w:tcPr>
          <w:p w14:paraId="0D47645A" w14:textId="77777777" w:rsidR="000D6093" w:rsidRPr="008B619A" w:rsidRDefault="000D6093" w:rsidP="0053467D">
            <w:pPr>
              <w:widowControl/>
              <w:overflowPunct/>
              <w:autoSpaceDE/>
              <w:autoSpaceDN/>
              <w:jc w:val="right"/>
              <w:rPr>
                <w:rFonts w:ascii="Times New Roman" w:eastAsia="新細明體"/>
                <w:color w:val="000000" w:themeColor="text1"/>
                <w:kern w:val="0"/>
                <w:sz w:val="26"/>
                <w:szCs w:val="26"/>
              </w:rPr>
            </w:pPr>
            <w:r w:rsidRPr="008B619A">
              <w:rPr>
                <w:rFonts w:ascii="Times New Roman" w:eastAsia="新細明體"/>
                <w:color w:val="000000" w:themeColor="text1"/>
                <w:kern w:val="0"/>
                <w:sz w:val="26"/>
                <w:szCs w:val="26"/>
              </w:rPr>
              <w:t>74.04</w:t>
            </w:r>
          </w:p>
        </w:tc>
        <w:tc>
          <w:tcPr>
            <w:tcW w:w="1396" w:type="dxa"/>
            <w:tcBorders>
              <w:top w:val="nil"/>
              <w:left w:val="nil"/>
              <w:bottom w:val="nil"/>
              <w:right w:val="nil"/>
            </w:tcBorders>
            <w:shd w:val="clear" w:color="auto" w:fill="auto"/>
            <w:noWrap/>
            <w:vAlign w:val="bottom"/>
            <w:hideMark/>
          </w:tcPr>
          <w:p w14:paraId="06E1841A" w14:textId="77777777" w:rsidR="000D6093" w:rsidRPr="008B619A" w:rsidRDefault="000D6093" w:rsidP="0053467D">
            <w:pPr>
              <w:widowControl/>
              <w:overflowPunct/>
              <w:autoSpaceDE/>
              <w:autoSpaceDN/>
              <w:jc w:val="right"/>
              <w:rPr>
                <w:rFonts w:ascii="Times New Roman" w:eastAsia="新細明體"/>
                <w:color w:val="000000" w:themeColor="text1"/>
                <w:kern w:val="0"/>
                <w:sz w:val="26"/>
                <w:szCs w:val="26"/>
              </w:rPr>
            </w:pPr>
            <w:r w:rsidRPr="008B619A">
              <w:rPr>
                <w:rFonts w:ascii="Times New Roman" w:eastAsia="新細明體"/>
                <w:color w:val="000000" w:themeColor="text1"/>
                <w:kern w:val="0"/>
                <w:sz w:val="26"/>
                <w:szCs w:val="26"/>
              </w:rPr>
              <w:t>64.53</w:t>
            </w:r>
          </w:p>
        </w:tc>
        <w:tc>
          <w:tcPr>
            <w:tcW w:w="882" w:type="dxa"/>
            <w:tcBorders>
              <w:top w:val="nil"/>
              <w:left w:val="nil"/>
              <w:bottom w:val="nil"/>
              <w:right w:val="nil"/>
            </w:tcBorders>
            <w:shd w:val="clear" w:color="auto" w:fill="auto"/>
            <w:noWrap/>
            <w:vAlign w:val="bottom"/>
            <w:hideMark/>
          </w:tcPr>
          <w:p w14:paraId="14957DCA" w14:textId="77777777" w:rsidR="000D6093" w:rsidRPr="008B619A" w:rsidRDefault="000D6093" w:rsidP="0053467D">
            <w:pPr>
              <w:widowControl/>
              <w:overflowPunct/>
              <w:autoSpaceDE/>
              <w:autoSpaceDN/>
              <w:jc w:val="right"/>
              <w:rPr>
                <w:rFonts w:ascii="Times New Roman" w:eastAsia="新細明體"/>
                <w:color w:val="000000" w:themeColor="text1"/>
                <w:kern w:val="0"/>
                <w:sz w:val="26"/>
                <w:szCs w:val="26"/>
              </w:rPr>
            </w:pPr>
            <w:r w:rsidRPr="008B619A">
              <w:rPr>
                <w:rFonts w:ascii="Times New Roman" w:eastAsia="新細明體"/>
                <w:color w:val="000000" w:themeColor="text1"/>
                <w:kern w:val="0"/>
                <w:sz w:val="26"/>
                <w:szCs w:val="26"/>
              </w:rPr>
              <w:t>62.83</w:t>
            </w:r>
          </w:p>
        </w:tc>
        <w:tc>
          <w:tcPr>
            <w:tcW w:w="1158" w:type="dxa"/>
            <w:tcBorders>
              <w:top w:val="nil"/>
              <w:left w:val="nil"/>
              <w:bottom w:val="nil"/>
              <w:right w:val="nil"/>
            </w:tcBorders>
            <w:shd w:val="clear" w:color="auto" w:fill="E5DFEC" w:themeFill="accent4" w:themeFillTint="33"/>
            <w:noWrap/>
            <w:vAlign w:val="bottom"/>
            <w:hideMark/>
          </w:tcPr>
          <w:p w14:paraId="46076588" w14:textId="77777777" w:rsidR="000D6093" w:rsidRPr="008B619A" w:rsidRDefault="000D6093" w:rsidP="0053467D">
            <w:pPr>
              <w:widowControl/>
              <w:overflowPunct/>
              <w:autoSpaceDE/>
              <w:autoSpaceDN/>
              <w:jc w:val="right"/>
              <w:rPr>
                <w:rFonts w:ascii="Times New Roman" w:eastAsia="新細明體"/>
                <w:b/>
                <w:color w:val="000000" w:themeColor="text1"/>
                <w:kern w:val="0"/>
                <w:sz w:val="26"/>
                <w:szCs w:val="26"/>
              </w:rPr>
            </w:pPr>
            <w:r w:rsidRPr="008B619A">
              <w:rPr>
                <w:rFonts w:ascii="Times New Roman" w:eastAsia="新細明體"/>
                <w:b/>
                <w:color w:val="000000" w:themeColor="text1"/>
                <w:kern w:val="0"/>
                <w:sz w:val="26"/>
                <w:szCs w:val="26"/>
              </w:rPr>
              <w:t>71.14</w:t>
            </w:r>
          </w:p>
        </w:tc>
      </w:tr>
      <w:tr w:rsidR="000D6093" w:rsidRPr="008B619A" w14:paraId="72C1F589" w14:textId="77777777" w:rsidTr="00AB6246">
        <w:trPr>
          <w:trHeight w:val="300"/>
          <w:jc w:val="center"/>
        </w:trPr>
        <w:tc>
          <w:tcPr>
            <w:tcW w:w="1833" w:type="dxa"/>
            <w:tcBorders>
              <w:top w:val="nil"/>
              <w:left w:val="nil"/>
              <w:bottom w:val="nil"/>
              <w:right w:val="single" w:sz="8" w:space="0" w:color="auto"/>
            </w:tcBorders>
            <w:shd w:val="clear" w:color="auto" w:fill="auto"/>
            <w:noWrap/>
            <w:vAlign w:val="bottom"/>
            <w:hideMark/>
          </w:tcPr>
          <w:p w14:paraId="2F7E1341" w14:textId="77777777" w:rsidR="000D6093" w:rsidRPr="008B619A" w:rsidRDefault="000D6093" w:rsidP="0053467D">
            <w:pPr>
              <w:widowControl/>
              <w:overflowPunct/>
              <w:autoSpaceDE/>
              <w:autoSpaceDN/>
              <w:jc w:val="center"/>
              <w:rPr>
                <w:rFonts w:ascii="Times New Roman" w:eastAsia="新細明體"/>
                <w:color w:val="000000" w:themeColor="text1"/>
                <w:kern w:val="0"/>
                <w:sz w:val="26"/>
                <w:szCs w:val="26"/>
              </w:rPr>
            </w:pPr>
            <w:r w:rsidRPr="008B619A">
              <w:rPr>
                <w:rFonts w:ascii="Times New Roman" w:eastAsia="新細明體"/>
                <w:color w:val="000000" w:themeColor="text1"/>
                <w:kern w:val="0"/>
                <w:sz w:val="26"/>
                <w:szCs w:val="26"/>
              </w:rPr>
              <w:t>106</w:t>
            </w:r>
            <w:r w:rsidRPr="008B619A">
              <w:rPr>
                <w:rFonts w:hAnsi="標楷體" w:hint="eastAsia"/>
                <w:color w:val="000000" w:themeColor="text1"/>
                <w:kern w:val="0"/>
                <w:sz w:val="26"/>
                <w:szCs w:val="26"/>
              </w:rPr>
              <w:t>年平均</w:t>
            </w:r>
          </w:p>
        </w:tc>
        <w:tc>
          <w:tcPr>
            <w:tcW w:w="1040" w:type="dxa"/>
            <w:tcBorders>
              <w:top w:val="nil"/>
              <w:left w:val="nil"/>
              <w:bottom w:val="nil"/>
              <w:right w:val="nil"/>
            </w:tcBorders>
            <w:shd w:val="clear" w:color="auto" w:fill="auto"/>
            <w:noWrap/>
            <w:vAlign w:val="bottom"/>
            <w:hideMark/>
          </w:tcPr>
          <w:p w14:paraId="12B55ED6" w14:textId="77777777" w:rsidR="000D6093" w:rsidRPr="008B619A" w:rsidRDefault="000D6093" w:rsidP="0053467D">
            <w:pPr>
              <w:widowControl/>
              <w:overflowPunct/>
              <w:autoSpaceDE/>
              <w:autoSpaceDN/>
              <w:jc w:val="right"/>
              <w:rPr>
                <w:rFonts w:ascii="Times New Roman" w:eastAsia="新細明體"/>
                <w:color w:val="000000" w:themeColor="text1"/>
                <w:kern w:val="0"/>
                <w:sz w:val="26"/>
                <w:szCs w:val="26"/>
              </w:rPr>
            </w:pPr>
            <w:r w:rsidRPr="008B619A">
              <w:rPr>
                <w:rFonts w:ascii="Times New Roman" w:eastAsia="新細明體"/>
                <w:color w:val="000000" w:themeColor="text1"/>
                <w:kern w:val="0"/>
                <w:sz w:val="26"/>
                <w:szCs w:val="26"/>
              </w:rPr>
              <w:t>58.83</w:t>
            </w:r>
          </w:p>
        </w:tc>
        <w:tc>
          <w:tcPr>
            <w:tcW w:w="1040" w:type="dxa"/>
            <w:tcBorders>
              <w:top w:val="nil"/>
              <w:left w:val="nil"/>
              <w:bottom w:val="nil"/>
              <w:right w:val="nil"/>
            </w:tcBorders>
            <w:shd w:val="clear" w:color="auto" w:fill="auto"/>
            <w:noWrap/>
            <w:vAlign w:val="bottom"/>
            <w:hideMark/>
          </w:tcPr>
          <w:p w14:paraId="5303F063" w14:textId="77777777" w:rsidR="000D6093" w:rsidRPr="008B619A" w:rsidRDefault="000D6093" w:rsidP="0053467D">
            <w:pPr>
              <w:widowControl/>
              <w:overflowPunct/>
              <w:autoSpaceDE/>
              <w:autoSpaceDN/>
              <w:jc w:val="right"/>
              <w:rPr>
                <w:rFonts w:ascii="Times New Roman" w:eastAsia="新細明體"/>
                <w:color w:val="000000" w:themeColor="text1"/>
                <w:kern w:val="0"/>
                <w:sz w:val="26"/>
                <w:szCs w:val="26"/>
              </w:rPr>
            </w:pPr>
            <w:r w:rsidRPr="008B619A">
              <w:rPr>
                <w:rFonts w:ascii="Times New Roman" w:eastAsia="新細明體"/>
                <w:color w:val="000000" w:themeColor="text1"/>
                <w:kern w:val="0"/>
                <w:sz w:val="26"/>
                <w:szCs w:val="26"/>
              </w:rPr>
              <w:t>67.13</w:t>
            </w:r>
          </w:p>
        </w:tc>
        <w:tc>
          <w:tcPr>
            <w:tcW w:w="1040" w:type="dxa"/>
            <w:tcBorders>
              <w:top w:val="nil"/>
              <w:left w:val="nil"/>
              <w:bottom w:val="nil"/>
              <w:right w:val="nil"/>
            </w:tcBorders>
            <w:shd w:val="clear" w:color="auto" w:fill="auto"/>
            <w:noWrap/>
            <w:vAlign w:val="bottom"/>
            <w:hideMark/>
          </w:tcPr>
          <w:p w14:paraId="5929EC17" w14:textId="77777777" w:rsidR="000D6093" w:rsidRPr="008B619A" w:rsidRDefault="000D6093" w:rsidP="0053467D">
            <w:pPr>
              <w:widowControl/>
              <w:overflowPunct/>
              <w:autoSpaceDE/>
              <w:autoSpaceDN/>
              <w:jc w:val="right"/>
              <w:rPr>
                <w:rFonts w:ascii="Times New Roman" w:eastAsia="新細明體"/>
                <w:color w:val="000000" w:themeColor="text1"/>
                <w:kern w:val="0"/>
                <w:sz w:val="26"/>
                <w:szCs w:val="26"/>
              </w:rPr>
            </w:pPr>
            <w:r w:rsidRPr="008B619A">
              <w:rPr>
                <w:rFonts w:ascii="Times New Roman" w:eastAsia="新細明體"/>
                <w:color w:val="000000" w:themeColor="text1"/>
                <w:kern w:val="0"/>
                <w:sz w:val="26"/>
                <w:szCs w:val="26"/>
              </w:rPr>
              <w:t>50.92</w:t>
            </w:r>
          </w:p>
        </w:tc>
        <w:tc>
          <w:tcPr>
            <w:tcW w:w="882" w:type="dxa"/>
            <w:tcBorders>
              <w:top w:val="nil"/>
              <w:left w:val="nil"/>
              <w:bottom w:val="nil"/>
              <w:right w:val="nil"/>
            </w:tcBorders>
            <w:shd w:val="clear" w:color="auto" w:fill="auto"/>
            <w:noWrap/>
            <w:vAlign w:val="bottom"/>
            <w:hideMark/>
          </w:tcPr>
          <w:p w14:paraId="77024B5E" w14:textId="77777777" w:rsidR="000D6093" w:rsidRPr="008B619A" w:rsidRDefault="000D6093" w:rsidP="0053467D">
            <w:pPr>
              <w:widowControl/>
              <w:overflowPunct/>
              <w:autoSpaceDE/>
              <w:autoSpaceDN/>
              <w:jc w:val="right"/>
              <w:rPr>
                <w:rFonts w:ascii="Times New Roman" w:eastAsia="新細明體"/>
                <w:color w:val="000000" w:themeColor="text1"/>
                <w:kern w:val="0"/>
                <w:sz w:val="26"/>
                <w:szCs w:val="26"/>
              </w:rPr>
            </w:pPr>
            <w:r w:rsidRPr="008B619A">
              <w:rPr>
                <w:rFonts w:ascii="Times New Roman" w:eastAsia="新細明體"/>
                <w:color w:val="000000" w:themeColor="text1"/>
                <w:kern w:val="0"/>
                <w:sz w:val="26"/>
                <w:szCs w:val="26"/>
              </w:rPr>
              <w:t>66.67</w:t>
            </w:r>
          </w:p>
        </w:tc>
        <w:tc>
          <w:tcPr>
            <w:tcW w:w="882" w:type="dxa"/>
            <w:tcBorders>
              <w:top w:val="nil"/>
              <w:left w:val="nil"/>
              <w:bottom w:val="nil"/>
              <w:right w:val="nil"/>
            </w:tcBorders>
            <w:shd w:val="clear" w:color="auto" w:fill="auto"/>
            <w:noWrap/>
            <w:vAlign w:val="bottom"/>
            <w:hideMark/>
          </w:tcPr>
          <w:p w14:paraId="2E125CB2" w14:textId="77777777" w:rsidR="000D6093" w:rsidRPr="008B619A" w:rsidRDefault="000D6093" w:rsidP="0053467D">
            <w:pPr>
              <w:widowControl/>
              <w:overflowPunct/>
              <w:autoSpaceDE/>
              <w:autoSpaceDN/>
              <w:jc w:val="right"/>
              <w:rPr>
                <w:rFonts w:ascii="Times New Roman" w:eastAsia="新細明體"/>
                <w:color w:val="000000" w:themeColor="text1"/>
                <w:kern w:val="0"/>
                <w:sz w:val="26"/>
                <w:szCs w:val="26"/>
              </w:rPr>
            </w:pPr>
            <w:r w:rsidRPr="008B619A">
              <w:rPr>
                <w:rFonts w:ascii="Times New Roman" w:eastAsia="新細明體"/>
                <w:color w:val="000000" w:themeColor="text1"/>
                <w:kern w:val="0"/>
                <w:sz w:val="26"/>
                <w:szCs w:val="26"/>
              </w:rPr>
              <w:t>74.11</w:t>
            </w:r>
          </w:p>
        </w:tc>
        <w:tc>
          <w:tcPr>
            <w:tcW w:w="1396" w:type="dxa"/>
            <w:tcBorders>
              <w:top w:val="nil"/>
              <w:left w:val="nil"/>
              <w:bottom w:val="nil"/>
              <w:right w:val="nil"/>
            </w:tcBorders>
            <w:shd w:val="clear" w:color="auto" w:fill="auto"/>
            <w:noWrap/>
            <w:vAlign w:val="bottom"/>
            <w:hideMark/>
          </w:tcPr>
          <w:p w14:paraId="117AE2C5" w14:textId="77777777" w:rsidR="000D6093" w:rsidRPr="008B619A" w:rsidRDefault="000D6093" w:rsidP="0053467D">
            <w:pPr>
              <w:widowControl/>
              <w:overflowPunct/>
              <w:autoSpaceDE/>
              <w:autoSpaceDN/>
              <w:jc w:val="right"/>
              <w:rPr>
                <w:rFonts w:ascii="Times New Roman" w:eastAsia="新細明體"/>
                <w:color w:val="000000" w:themeColor="text1"/>
                <w:kern w:val="0"/>
                <w:sz w:val="26"/>
                <w:szCs w:val="26"/>
              </w:rPr>
            </w:pPr>
            <w:r w:rsidRPr="008B619A">
              <w:rPr>
                <w:rFonts w:ascii="Times New Roman" w:eastAsia="新細明體"/>
                <w:color w:val="000000" w:themeColor="text1"/>
                <w:kern w:val="0"/>
                <w:sz w:val="26"/>
                <w:szCs w:val="26"/>
              </w:rPr>
              <w:t>63.76</w:t>
            </w:r>
          </w:p>
        </w:tc>
        <w:tc>
          <w:tcPr>
            <w:tcW w:w="882" w:type="dxa"/>
            <w:tcBorders>
              <w:top w:val="nil"/>
              <w:left w:val="nil"/>
              <w:bottom w:val="nil"/>
              <w:right w:val="nil"/>
            </w:tcBorders>
            <w:shd w:val="clear" w:color="auto" w:fill="auto"/>
            <w:noWrap/>
            <w:vAlign w:val="bottom"/>
            <w:hideMark/>
          </w:tcPr>
          <w:p w14:paraId="325A6BB2" w14:textId="77777777" w:rsidR="000D6093" w:rsidRPr="008B619A" w:rsidRDefault="000D6093" w:rsidP="0053467D">
            <w:pPr>
              <w:widowControl/>
              <w:overflowPunct/>
              <w:autoSpaceDE/>
              <w:autoSpaceDN/>
              <w:jc w:val="right"/>
              <w:rPr>
                <w:rFonts w:ascii="Times New Roman" w:eastAsia="新細明體"/>
                <w:color w:val="000000" w:themeColor="text1"/>
                <w:kern w:val="0"/>
                <w:sz w:val="26"/>
                <w:szCs w:val="26"/>
              </w:rPr>
            </w:pPr>
            <w:r w:rsidRPr="008B619A">
              <w:rPr>
                <w:rFonts w:ascii="Times New Roman" w:eastAsia="新細明體"/>
                <w:color w:val="000000" w:themeColor="text1"/>
                <w:kern w:val="0"/>
                <w:sz w:val="26"/>
                <w:szCs w:val="26"/>
              </w:rPr>
              <w:t>62.11</w:t>
            </w:r>
          </w:p>
        </w:tc>
        <w:tc>
          <w:tcPr>
            <w:tcW w:w="1158" w:type="dxa"/>
            <w:tcBorders>
              <w:top w:val="nil"/>
              <w:left w:val="nil"/>
              <w:bottom w:val="nil"/>
              <w:right w:val="nil"/>
            </w:tcBorders>
            <w:shd w:val="clear" w:color="auto" w:fill="E5DFEC" w:themeFill="accent4" w:themeFillTint="33"/>
            <w:noWrap/>
            <w:vAlign w:val="bottom"/>
            <w:hideMark/>
          </w:tcPr>
          <w:p w14:paraId="51E2541E" w14:textId="77777777" w:rsidR="000D6093" w:rsidRPr="008B619A" w:rsidRDefault="000D6093" w:rsidP="0053467D">
            <w:pPr>
              <w:widowControl/>
              <w:overflowPunct/>
              <w:autoSpaceDE/>
              <w:autoSpaceDN/>
              <w:jc w:val="right"/>
              <w:rPr>
                <w:rFonts w:ascii="Times New Roman" w:eastAsia="新細明體"/>
                <w:b/>
                <w:color w:val="000000" w:themeColor="text1"/>
                <w:kern w:val="0"/>
                <w:sz w:val="26"/>
                <w:szCs w:val="26"/>
              </w:rPr>
            </w:pPr>
            <w:r w:rsidRPr="008B619A">
              <w:rPr>
                <w:rFonts w:ascii="Times New Roman" w:eastAsia="新細明體"/>
                <w:b/>
                <w:color w:val="000000" w:themeColor="text1"/>
                <w:kern w:val="0"/>
                <w:sz w:val="26"/>
                <w:szCs w:val="26"/>
              </w:rPr>
              <w:t>70.08</w:t>
            </w:r>
          </w:p>
        </w:tc>
      </w:tr>
      <w:tr w:rsidR="000D6093" w:rsidRPr="008B619A" w14:paraId="7E1ABE0B" w14:textId="77777777" w:rsidTr="00AB6246">
        <w:trPr>
          <w:trHeight w:val="300"/>
          <w:jc w:val="center"/>
        </w:trPr>
        <w:tc>
          <w:tcPr>
            <w:tcW w:w="1833" w:type="dxa"/>
            <w:tcBorders>
              <w:top w:val="nil"/>
              <w:left w:val="nil"/>
              <w:bottom w:val="nil"/>
              <w:right w:val="single" w:sz="8" w:space="0" w:color="auto"/>
            </w:tcBorders>
            <w:shd w:val="clear" w:color="auto" w:fill="auto"/>
            <w:noWrap/>
            <w:vAlign w:val="bottom"/>
            <w:hideMark/>
          </w:tcPr>
          <w:p w14:paraId="15F58587" w14:textId="77777777" w:rsidR="000D6093" w:rsidRPr="008B619A" w:rsidRDefault="000D6093" w:rsidP="0053467D">
            <w:pPr>
              <w:widowControl/>
              <w:overflowPunct/>
              <w:autoSpaceDE/>
              <w:autoSpaceDN/>
              <w:jc w:val="center"/>
              <w:rPr>
                <w:rFonts w:ascii="Times New Roman" w:eastAsia="新細明體"/>
                <w:color w:val="000000" w:themeColor="text1"/>
                <w:kern w:val="0"/>
                <w:sz w:val="26"/>
                <w:szCs w:val="26"/>
              </w:rPr>
            </w:pPr>
            <w:r w:rsidRPr="008B619A">
              <w:rPr>
                <w:rFonts w:ascii="Times New Roman" w:eastAsia="新細明體"/>
                <w:color w:val="000000" w:themeColor="text1"/>
                <w:kern w:val="0"/>
                <w:sz w:val="26"/>
                <w:szCs w:val="26"/>
              </w:rPr>
              <w:t>107</w:t>
            </w:r>
            <w:r w:rsidRPr="008B619A">
              <w:rPr>
                <w:rFonts w:hAnsi="標楷體" w:hint="eastAsia"/>
                <w:color w:val="000000" w:themeColor="text1"/>
                <w:kern w:val="0"/>
                <w:sz w:val="26"/>
                <w:szCs w:val="26"/>
              </w:rPr>
              <w:t>年平均</w:t>
            </w:r>
          </w:p>
        </w:tc>
        <w:tc>
          <w:tcPr>
            <w:tcW w:w="1040" w:type="dxa"/>
            <w:tcBorders>
              <w:top w:val="nil"/>
              <w:left w:val="nil"/>
              <w:bottom w:val="nil"/>
              <w:right w:val="nil"/>
            </w:tcBorders>
            <w:shd w:val="clear" w:color="auto" w:fill="auto"/>
            <w:noWrap/>
            <w:vAlign w:val="bottom"/>
            <w:hideMark/>
          </w:tcPr>
          <w:p w14:paraId="07105028" w14:textId="77777777" w:rsidR="000D6093" w:rsidRPr="008B619A" w:rsidRDefault="000D6093" w:rsidP="0053467D">
            <w:pPr>
              <w:widowControl/>
              <w:overflowPunct/>
              <w:autoSpaceDE/>
              <w:autoSpaceDN/>
              <w:jc w:val="right"/>
              <w:rPr>
                <w:rFonts w:ascii="Times New Roman" w:eastAsia="新細明體"/>
                <w:color w:val="000000" w:themeColor="text1"/>
                <w:kern w:val="0"/>
                <w:sz w:val="26"/>
                <w:szCs w:val="26"/>
              </w:rPr>
            </w:pPr>
            <w:r w:rsidRPr="008B619A">
              <w:rPr>
                <w:rFonts w:ascii="Times New Roman" w:eastAsia="新細明體"/>
                <w:color w:val="000000" w:themeColor="text1"/>
                <w:kern w:val="0"/>
                <w:sz w:val="26"/>
                <w:szCs w:val="26"/>
              </w:rPr>
              <w:t>58.99</w:t>
            </w:r>
          </w:p>
        </w:tc>
        <w:tc>
          <w:tcPr>
            <w:tcW w:w="1040" w:type="dxa"/>
            <w:tcBorders>
              <w:top w:val="nil"/>
              <w:left w:val="nil"/>
              <w:bottom w:val="nil"/>
              <w:right w:val="nil"/>
            </w:tcBorders>
            <w:shd w:val="clear" w:color="auto" w:fill="auto"/>
            <w:noWrap/>
            <w:vAlign w:val="bottom"/>
            <w:hideMark/>
          </w:tcPr>
          <w:p w14:paraId="17DFC648" w14:textId="77777777" w:rsidR="000D6093" w:rsidRPr="008B619A" w:rsidRDefault="000D6093" w:rsidP="0053467D">
            <w:pPr>
              <w:widowControl/>
              <w:overflowPunct/>
              <w:autoSpaceDE/>
              <w:autoSpaceDN/>
              <w:jc w:val="right"/>
              <w:rPr>
                <w:rFonts w:ascii="Times New Roman" w:eastAsia="新細明體"/>
                <w:color w:val="000000" w:themeColor="text1"/>
                <w:kern w:val="0"/>
                <w:sz w:val="26"/>
                <w:szCs w:val="26"/>
              </w:rPr>
            </w:pPr>
            <w:r w:rsidRPr="008B619A">
              <w:rPr>
                <w:rFonts w:ascii="Times New Roman" w:eastAsia="新細明體"/>
                <w:color w:val="000000" w:themeColor="text1"/>
                <w:kern w:val="0"/>
                <w:sz w:val="26"/>
                <w:szCs w:val="26"/>
              </w:rPr>
              <w:t>67.24</w:t>
            </w:r>
          </w:p>
        </w:tc>
        <w:tc>
          <w:tcPr>
            <w:tcW w:w="1040" w:type="dxa"/>
            <w:tcBorders>
              <w:top w:val="nil"/>
              <w:left w:val="nil"/>
              <w:bottom w:val="nil"/>
              <w:right w:val="nil"/>
            </w:tcBorders>
            <w:shd w:val="clear" w:color="auto" w:fill="auto"/>
            <w:noWrap/>
            <w:vAlign w:val="bottom"/>
            <w:hideMark/>
          </w:tcPr>
          <w:p w14:paraId="7EC67106" w14:textId="77777777" w:rsidR="000D6093" w:rsidRPr="008B619A" w:rsidRDefault="000D6093" w:rsidP="0053467D">
            <w:pPr>
              <w:widowControl/>
              <w:overflowPunct/>
              <w:autoSpaceDE/>
              <w:autoSpaceDN/>
              <w:jc w:val="right"/>
              <w:rPr>
                <w:rFonts w:ascii="Times New Roman" w:eastAsia="新細明體"/>
                <w:color w:val="000000" w:themeColor="text1"/>
                <w:kern w:val="0"/>
                <w:sz w:val="26"/>
                <w:szCs w:val="26"/>
              </w:rPr>
            </w:pPr>
            <w:r w:rsidRPr="008B619A">
              <w:rPr>
                <w:rFonts w:ascii="Times New Roman" w:eastAsia="新細明體"/>
                <w:color w:val="000000" w:themeColor="text1"/>
                <w:kern w:val="0"/>
                <w:sz w:val="26"/>
                <w:szCs w:val="26"/>
              </w:rPr>
              <w:t>51.14</w:t>
            </w:r>
          </w:p>
        </w:tc>
        <w:tc>
          <w:tcPr>
            <w:tcW w:w="882" w:type="dxa"/>
            <w:tcBorders>
              <w:top w:val="nil"/>
              <w:left w:val="nil"/>
              <w:bottom w:val="nil"/>
              <w:right w:val="nil"/>
            </w:tcBorders>
            <w:shd w:val="clear" w:color="auto" w:fill="auto"/>
            <w:noWrap/>
            <w:vAlign w:val="bottom"/>
            <w:hideMark/>
          </w:tcPr>
          <w:p w14:paraId="1F9003A7" w14:textId="77777777" w:rsidR="000D6093" w:rsidRPr="008B619A" w:rsidRDefault="000D6093" w:rsidP="0053467D">
            <w:pPr>
              <w:widowControl/>
              <w:overflowPunct/>
              <w:autoSpaceDE/>
              <w:autoSpaceDN/>
              <w:jc w:val="right"/>
              <w:rPr>
                <w:rFonts w:ascii="Times New Roman" w:eastAsia="新細明體"/>
                <w:color w:val="000000" w:themeColor="text1"/>
                <w:kern w:val="0"/>
                <w:sz w:val="26"/>
                <w:szCs w:val="26"/>
              </w:rPr>
            </w:pPr>
            <w:r w:rsidRPr="008B619A">
              <w:rPr>
                <w:rFonts w:ascii="Times New Roman" w:eastAsia="新細明體"/>
                <w:color w:val="000000" w:themeColor="text1"/>
                <w:kern w:val="0"/>
                <w:sz w:val="26"/>
                <w:szCs w:val="26"/>
              </w:rPr>
              <w:t>66.10</w:t>
            </w:r>
          </w:p>
        </w:tc>
        <w:tc>
          <w:tcPr>
            <w:tcW w:w="882" w:type="dxa"/>
            <w:tcBorders>
              <w:top w:val="nil"/>
              <w:left w:val="nil"/>
              <w:bottom w:val="nil"/>
              <w:right w:val="nil"/>
            </w:tcBorders>
            <w:shd w:val="clear" w:color="auto" w:fill="auto"/>
            <w:noWrap/>
            <w:vAlign w:val="bottom"/>
            <w:hideMark/>
          </w:tcPr>
          <w:p w14:paraId="72E8E4EC" w14:textId="77777777" w:rsidR="000D6093" w:rsidRPr="008B619A" w:rsidRDefault="000D6093" w:rsidP="0053467D">
            <w:pPr>
              <w:widowControl/>
              <w:overflowPunct/>
              <w:autoSpaceDE/>
              <w:autoSpaceDN/>
              <w:jc w:val="right"/>
              <w:rPr>
                <w:rFonts w:ascii="Times New Roman" w:eastAsia="新細明體"/>
                <w:color w:val="000000" w:themeColor="text1"/>
                <w:kern w:val="0"/>
                <w:sz w:val="26"/>
                <w:szCs w:val="26"/>
              </w:rPr>
            </w:pPr>
            <w:r w:rsidRPr="008B619A">
              <w:rPr>
                <w:rFonts w:ascii="Times New Roman" w:eastAsia="新細明體"/>
                <w:color w:val="000000" w:themeColor="text1"/>
                <w:kern w:val="0"/>
                <w:sz w:val="26"/>
                <w:szCs w:val="26"/>
              </w:rPr>
              <w:t>74.32</w:t>
            </w:r>
          </w:p>
        </w:tc>
        <w:tc>
          <w:tcPr>
            <w:tcW w:w="1396" w:type="dxa"/>
            <w:tcBorders>
              <w:top w:val="nil"/>
              <w:left w:val="nil"/>
              <w:bottom w:val="nil"/>
              <w:right w:val="nil"/>
            </w:tcBorders>
            <w:shd w:val="clear" w:color="auto" w:fill="auto"/>
            <w:noWrap/>
            <w:vAlign w:val="bottom"/>
            <w:hideMark/>
          </w:tcPr>
          <w:p w14:paraId="6BA327F8" w14:textId="77777777" w:rsidR="000D6093" w:rsidRPr="008B619A" w:rsidRDefault="000D6093" w:rsidP="0053467D">
            <w:pPr>
              <w:widowControl/>
              <w:overflowPunct/>
              <w:autoSpaceDE/>
              <w:autoSpaceDN/>
              <w:jc w:val="right"/>
              <w:rPr>
                <w:rFonts w:ascii="Times New Roman" w:eastAsia="新細明體"/>
                <w:color w:val="000000" w:themeColor="text1"/>
                <w:kern w:val="0"/>
                <w:sz w:val="26"/>
                <w:szCs w:val="26"/>
              </w:rPr>
            </w:pPr>
            <w:r w:rsidRPr="008B619A">
              <w:rPr>
                <w:rFonts w:ascii="Times New Roman" w:eastAsia="新細明體"/>
                <w:color w:val="000000" w:themeColor="text1"/>
                <w:kern w:val="0"/>
                <w:sz w:val="26"/>
                <w:szCs w:val="26"/>
              </w:rPr>
              <w:t>63.00</w:t>
            </w:r>
          </w:p>
        </w:tc>
        <w:tc>
          <w:tcPr>
            <w:tcW w:w="882" w:type="dxa"/>
            <w:tcBorders>
              <w:top w:val="nil"/>
              <w:left w:val="nil"/>
              <w:bottom w:val="nil"/>
              <w:right w:val="nil"/>
            </w:tcBorders>
            <w:shd w:val="clear" w:color="auto" w:fill="auto"/>
            <w:noWrap/>
            <w:vAlign w:val="bottom"/>
            <w:hideMark/>
          </w:tcPr>
          <w:p w14:paraId="6D414735" w14:textId="77777777" w:rsidR="000D6093" w:rsidRPr="008B619A" w:rsidRDefault="000D6093" w:rsidP="0053467D">
            <w:pPr>
              <w:widowControl/>
              <w:overflowPunct/>
              <w:autoSpaceDE/>
              <w:autoSpaceDN/>
              <w:jc w:val="right"/>
              <w:rPr>
                <w:rFonts w:ascii="Times New Roman" w:eastAsia="新細明體"/>
                <w:color w:val="000000" w:themeColor="text1"/>
                <w:kern w:val="0"/>
                <w:sz w:val="26"/>
                <w:szCs w:val="26"/>
              </w:rPr>
            </w:pPr>
            <w:r w:rsidRPr="008B619A">
              <w:rPr>
                <w:rFonts w:ascii="Times New Roman" w:eastAsia="新細明體"/>
                <w:color w:val="000000" w:themeColor="text1"/>
                <w:kern w:val="0"/>
                <w:sz w:val="26"/>
                <w:szCs w:val="26"/>
              </w:rPr>
              <w:t>61.42</w:t>
            </w:r>
          </w:p>
        </w:tc>
        <w:tc>
          <w:tcPr>
            <w:tcW w:w="1158" w:type="dxa"/>
            <w:tcBorders>
              <w:top w:val="nil"/>
              <w:left w:val="nil"/>
              <w:bottom w:val="nil"/>
              <w:right w:val="nil"/>
            </w:tcBorders>
            <w:shd w:val="clear" w:color="auto" w:fill="E5DFEC" w:themeFill="accent4" w:themeFillTint="33"/>
            <w:noWrap/>
            <w:vAlign w:val="bottom"/>
            <w:hideMark/>
          </w:tcPr>
          <w:p w14:paraId="7C55AEAB" w14:textId="77777777" w:rsidR="000D6093" w:rsidRPr="008B619A" w:rsidRDefault="000D6093" w:rsidP="0053467D">
            <w:pPr>
              <w:widowControl/>
              <w:overflowPunct/>
              <w:autoSpaceDE/>
              <w:autoSpaceDN/>
              <w:jc w:val="right"/>
              <w:rPr>
                <w:rFonts w:ascii="Times New Roman" w:eastAsia="新細明體"/>
                <w:b/>
                <w:color w:val="000000" w:themeColor="text1"/>
                <w:kern w:val="0"/>
                <w:sz w:val="26"/>
                <w:szCs w:val="26"/>
              </w:rPr>
            </w:pPr>
            <w:r w:rsidRPr="008B619A">
              <w:rPr>
                <w:rFonts w:ascii="Times New Roman" w:eastAsia="新細明體"/>
                <w:b/>
                <w:color w:val="000000" w:themeColor="text1"/>
                <w:kern w:val="0"/>
                <w:sz w:val="26"/>
                <w:szCs w:val="26"/>
              </w:rPr>
              <w:t>68.97</w:t>
            </w:r>
          </w:p>
        </w:tc>
      </w:tr>
      <w:tr w:rsidR="000D6093" w:rsidRPr="008B619A" w14:paraId="4533011C" w14:textId="77777777" w:rsidTr="00AB6246">
        <w:trPr>
          <w:trHeight w:val="300"/>
          <w:jc w:val="center"/>
        </w:trPr>
        <w:tc>
          <w:tcPr>
            <w:tcW w:w="1833" w:type="dxa"/>
            <w:tcBorders>
              <w:top w:val="nil"/>
              <w:left w:val="nil"/>
              <w:bottom w:val="nil"/>
              <w:right w:val="single" w:sz="8" w:space="0" w:color="auto"/>
            </w:tcBorders>
            <w:shd w:val="clear" w:color="auto" w:fill="auto"/>
            <w:noWrap/>
            <w:vAlign w:val="bottom"/>
            <w:hideMark/>
          </w:tcPr>
          <w:p w14:paraId="62F9A9CD" w14:textId="77777777" w:rsidR="000D6093" w:rsidRPr="008B619A" w:rsidRDefault="000D6093" w:rsidP="0053467D">
            <w:pPr>
              <w:widowControl/>
              <w:overflowPunct/>
              <w:autoSpaceDE/>
              <w:autoSpaceDN/>
              <w:jc w:val="center"/>
              <w:rPr>
                <w:rFonts w:ascii="Times New Roman" w:eastAsia="新細明體"/>
                <w:color w:val="000000" w:themeColor="text1"/>
                <w:kern w:val="0"/>
                <w:sz w:val="26"/>
                <w:szCs w:val="26"/>
              </w:rPr>
            </w:pPr>
            <w:r w:rsidRPr="008B619A">
              <w:rPr>
                <w:rFonts w:ascii="Times New Roman" w:eastAsia="新細明體"/>
                <w:color w:val="000000" w:themeColor="text1"/>
                <w:kern w:val="0"/>
                <w:sz w:val="26"/>
                <w:szCs w:val="26"/>
              </w:rPr>
              <w:t xml:space="preserve">　</w:t>
            </w:r>
          </w:p>
        </w:tc>
        <w:tc>
          <w:tcPr>
            <w:tcW w:w="1040" w:type="dxa"/>
            <w:tcBorders>
              <w:top w:val="nil"/>
              <w:left w:val="nil"/>
              <w:bottom w:val="nil"/>
              <w:right w:val="nil"/>
            </w:tcBorders>
            <w:shd w:val="clear" w:color="auto" w:fill="auto"/>
            <w:noWrap/>
            <w:vAlign w:val="bottom"/>
            <w:hideMark/>
          </w:tcPr>
          <w:p w14:paraId="1EF3F66A" w14:textId="77777777" w:rsidR="000D6093" w:rsidRPr="008B619A" w:rsidRDefault="000D6093" w:rsidP="0053467D">
            <w:pPr>
              <w:widowControl/>
              <w:overflowPunct/>
              <w:autoSpaceDE/>
              <w:autoSpaceDN/>
              <w:jc w:val="right"/>
              <w:rPr>
                <w:rFonts w:ascii="Times New Roman" w:eastAsia="新細明體"/>
                <w:color w:val="000000" w:themeColor="text1"/>
                <w:kern w:val="0"/>
                <w:sz w:val="26"/>
                <w:szCs w:val="26"/>
              </w:rPr>
            </w:pPr>
            <w:r w:rsidRPr="008B619A">
              <w:rPr>
                <w:rFonts w:ascii="Times New Roman" w:eastAsia="新細明體"/>
                <w:color w:val="000000" w:themeColor="text1"/>
                <w:kern w:val="0"/>
                <w:sz w:val="26"/>
                <w:szCs w:val="26"/>
              </w:rPr>
              <w:t xml:space="preserve">　</w:t>
            </w:r>
          </w:p>
        </w:tc>
        <w:tc>
          <w:tcPr>
            <w:tcW w:w="1040" w:type="dxa"/>
            <w:tcBorders>
              <w:top w:val="nil"/>
              <w:left w:val="nil"/>
              <w:bottom w:val="nil"/>
              <w:right w:val="nil"/>
            </w:tcBorders>
            <w:shd w:val="clear" w:color="auto" w:fill="auto"/>
            <w:noWrap/>
            <w:vAlign w:val="bottom"/>
            <w:hideMark/>
          </w:tcPr>
          <w:p w14:paraId="10410B4A" w14:textId="77777777" w:rsidR="000D6093" w:rsidRPr="008B619A" w:rsidRDefault="000D6093" w:rsidP="0053467D">
            <w:pPr>
              <w:widowControl/>
              <w:overflowPunct/>
              <w:autoSpaceDE/>
              <w:autoSpaceDN/>
              <w:jc w:val="right"/>
              <w:rPr>
                <w:rFonts w:ascii="Times New Roman" w:eastAsia="新細明體"/>
                <w:color w:val="000000" w:themeColor="text1"/>
                <w:kern w:val="0"/>
                <w:sz w:val="26"/>
                <w:szCs w:val="26"/>
              </w:rPr>
            </w:pPr>
          </w:p>
        </w:tc>
        <w:tc>
          <w:tcPr>
            <w:tcW w:w="1040" w:type="dxa"/>
            <w:tcBorders>
              <w:top w:val="nil"/>
              <w:left w:val="nil"/>
              <w:bottom w:val="nil"/>
              <w:right w:val="nil"/>
            </w:tcBorders>
            <w:shd w:val="clear" w:color="auto" w:fill="auto"/>
            <w:noWrap/>
            <w:vAlign w:val="bottom"/>
            <w:hideMark/>
          </w:tcPr>
          <w:p w14:paraId="2A5AD400" w14:textId="77777777" w:rsidR="000D6093" w:rsidRPr="008B619A" w:rsidRDefault="000D6093" w:rsidP="0053467D">
            <w:pPr>
              <w:widowControl/>
              <w:overflowPunct/>
              <w:autoSpaceDE/>
              <w:autoSpaceDN/>
              <w:jc w:val="right"/>
              <w:rPr>
                <w:rFonts w:ascii="Times New Roman" w:eastAsia="Times New Roman"/>
                <w:color w:val="000000" w:themeColor="text1"/>
                <w:kern w:val="0"/>
                <w:sz w:val="26"/>
                <w:szCs w:val="26"/>
              </w:rPr>
            </w:pPr>
          </w:p>
        </w:tc>
        <w:tc>
          <w:tcPr>
            <w:tcW w:w="882" w:type="dxa"/>
            <w:tcBorders>
              <w:top w:val="nil"/>
              <w:left w:val="nil"/>
              <w:bottom w:val="nil"/>
              <w:right w:val="nil"/>
            </w:tcBorders>
            <w:shd w:val="clear" w:color="auto" w:fill="auto"/>
            <w:noWrap/>
            <w:vAlign w:val="bottom"/>
            <w:hideMark/>
          </w:tcPr>
          <w:p w14:paraId="0ECF75C9" w14:textId="77777777" w:rsidR="000D6093" w:rsidRPr="008B619A" w:rsidRDefault="000D6093" w:rsidP="0053467D">
            <w:pPr>
              <w:widowControl/>
              <w:overflowPunct/>
              <w:autoSpaceDE/>
              <w:autoSpaceDN/>
              <w:jc w:val="right"/>
              <w:rPr>
                <w:rFonts w:ascii="Times New Roman" w:eastAsia="Times New Roman"/>
                <w:color w:val="000000" w:themeColor="text1"/>
                <w:kern w:val="0"/>
                <w:sz w:val="26"/>
                <w:szCs w:val="26"/>
              </w:rPr>
            </w:pPr>
          </w:p>
        </w:tc>
        <w:tc>
          <w:tcPr>
            <w:tcW w:w="882" w:type="dxa"/>
            <w:tcBorders>
              <w:top w:val="nil"/>
              <w:left w:val="nil"/>
              <w:bottom w:val="nil"/>
              <w:right w:val="nil"/>
            </w:tcBorders>
            <w:shd w:val="clear" w:color="auto" w:fill="auto"/>
            <w:noWrap/>
            <w:vAlign w:val="bottom"/>
            <w:hideMark/>
          </w:tcPr>
          <w:p w14:paraId="47E6585E" w14:textId="77777777" w:rsidR="000D6093" w:rsidRPr="008B619A" w:rsidRDefault="000D6093" w:rsidP="0053467D">
            <w:pPr>
              <w:widowControl/>
              <w:overflowPunct/>
              <w:autoSpaceDE/>
              <w:autoSpaceDN/>
              <w:jc w:val="right"/>
              <w:rPr>
                <w:rFonts w:ascii="Times New Roman" w:eastAsia="Times New Roman"/>
                <w:color w:val="000000" w:themeColor="text1"/>
                <w:kern w:val="0"/>
                <w:sz w:val="26"/>
                <w:szCs w:val="26"/>
              </w:rPr>
            </w:pPr>
          </w:p>
        </w:tc>
        <w:tc>
          <w:tcPr>
            <w:tcW w:w="1396" w:type="dxa"/>
            <w:tcBorders>
              <w:top w:val="nil"/>
              <w:left w:val="nil"/>
              <w:bottom w:val="nil"/>
              <w:right w:val="nil"/>
            </w:tcBorders>
            <w:shd w:val="clear" w:color="auto" w:fill="auto"/>
            <w:noWrap/>
            <w:vAlign w:val="bottom"/>
            <w:hideMark/>
          </w:tcPr>
          <w:p w14:paraId="6AD8D866" w14:textId="77777777" w:rsidR="000D6093" w:rsidRPr="008B619A" w:rsidRDefault="000D6093" w:rsidP="0053467D">
            <w:pPr>
              <w:widowControl/>
              <w:overflowPunct/>
              <w:autoSpaceDE/>
              <w:autoSpaceDN/>
              <w:jc w:val="right"/>
              <w:rPr>
                <w:rFonts w:ascii="Times New Roman" w:eastAsia="Times New Roman"/>
                <w:color w:val="000000" w:themeColor="text1"/>
                <w:kern w:val="0"/>
                <w:sz w:val="26"/>
                <w:szCs w:val="26"/>
              </w:rPr>
            </w:pPr>
          </w:p>
        </w:tc>
        <w:tc>
          <w:tcPr>
            <w:tcW w:w="882" w:type="dxa"/>
            <w:tcBorders>
              <w:top w:val="nil"/>
              <w:left w:val="nil"/>
              <w:bottom w:val="nil"/>
              <w:right w:val="nil"/>
            </w:tcBorders>
            <w:shd w:val="clear" w:color="auto" w:fill="auto"/>
            <w:noWrap/>
            <w:vAlign w:val="bottom"/>
            <w:hideMark/>
          </w:tcPr>
          <w:p w14:paraId="1BF2C17C" w14:textId="77777777" w:rsidR="000D6093" w:rsidRPr="008B619A" w:rsidRDefault="000D6093" w:rsidP="0053467D">
            <w:pPr>
              <w:widowControl/>
              <w:overflowPunct/>
              <w:autoSpaceDE/>
              <w:autoSpaceDN/>
              <w:jc w:val="right"/>
              <w:rPr>
                <w:rFonts w:ascii="Times New Roman" w:eastAsia="Times New Roman"/>
                <w:color w:val="000000" w:themeColor="text1"/>
                <w:kern w:val="0"/>
                <w:sz w:val="26"/>
                <w:szCs w:val="26"/>
              </w:rPr>
            </w:pPr>
          </w:p>
        </w:tc>
        <w:tc>
          <w:tcPr>
            <w:tcW w:w="1158" w:type="dxa"/>
            <w:tcBorders>
              <w:top w:val="nil"/>
              <w:left w:val="nil"/>
              <w:bottom w:val="nil"/>
              <w:right w:val="nil"/>
            </w:tcBorders>
            <w:shd w:val="clear" w:color="auto" w:fill="E5DFEC" w:themeFill="accent4" w:themeFillTint="33"/>
            <w:noWrap/>
            <w:vAlign w:val="bottom"/>
            <w:hideMark/>
          </w:tcPr>
          <w:p w14:paraId="4AF57269" w14:textId="77777777" w:rsidR="000D6093" w:rsidRPr="008B619A" w:rsidRDefault="000D6093" w:rsidP="0053467D">
            <w:pPr>
              <w:widowControl/>
              <w:overflowPunct/>
              <w:autoSpaceDE/>
              <w:autoSpaceDN/>
              <w:jc w:val="right"/>
              <w:rPr>
                <w:rFonts w:ascii="Times New Roman" w:eastAsia="Times New Roman"/>
                <w:b/>
                <w:color w:val="000000" w:themeColor="text1"/>
                <w:kern w:val="0"/>
                <w:sz w:val="26"/>
                <w:szCs w:val="26"/>
              </w:rPr>
            </w:pPr>
          </w:p>
        </w:tc>
      </w:tr>
      <w:tr w:rsidR="000D6093" w:rsidRPr="008B619A" w14:paraId="357DF736" w14:textId="77777777" w:rsidTr="00AB6246">
        <w:trPr>
          <w:trHeight w:val="300"/>
          <w:jc w:val="center"/>
        </w:trPr>
        <w:tc>
          <w:tcPr>
            <w:tcW w:w="1833" w:type="dxa"/>
            <w:tcBorders>
              <w:top w:val="nil"/>
              <w:left w:val="nil"/>
              <w:bottom w:val="nil"/>
              <w:right w:val="single" w:sz="8" w:space="0" w:color="auto"/>
            </w:tcBorders>
            <w:shd w:val="clear" w:color="auto" w:fill="auto"/>
            <w:noWrap/>
            <w:vAlign w:val="bottom"/>
            <w:hideMark/>
          </w:tcPr>
          <w:p w14:paraId="50BE5647" w14:textId="77777777" w:rsidR="000D6093" w:rsidRPr="008B619A" w:rsidRDefault="000D6093" w:rsidP="0053467D">
            <w:pPr>
              <w:widowControl/>
              <w:overflowPunct/>
              <w:autoSpaceDE/>
              <w:autoSpaceDN/>
              <w:jc w:val="center"/>
              <w:rPr>
                <w:rFonts w:ascii="Times New Roman" w:eastAsia="新細明體"/>
                <w:color w:val="000000" w:themeColor="text1"/>
                <w:kern w:val="0"/>
                <w:sz w:val="26"/>
                <w:szCs w:val="26"/>
              </w:rPr>
            </w:pPr>
            <w:r w:rsidRPr="008B619A">
              <w:rPr>
                <w:rFonts w:ascii="Times New Roman" w:eastAsia="新細明體"/>
                <w:color w:val="000000" w:themeColor="text1"/>
                <w:kern w:val="0"/>
                <w:sz w:val="26"/>
                <w:szCs w:val="26"/>
              </w:rPr>
              <w:t>108</w:t>
            </w:r>
            <w:r w:rsidRPr="008B619A">
              <w:rPr>
                <w:rFonts w:hAnsi="標楷體" w:hint="eastAsia"/>
                <w:color w:val="000000" w:themeColor="text1"/>
                <w:kern w:val="0"/>
                <w:sz w:val="26"/>
                <w:szCs w:val="26"/>
              </w:rPr>
              <w:t>年平均</w:t>
            </w:r>
          </w:p>
        </w:tc>
        <w:tc>
          <w:tcPr>
            <w:tcW w:w="1040" w:type="dxa"/>
            <w:tcBorders>
              <w:top w:val="nil"/>
              <w:left w:val="nil"/>
              <w:bottom w:val="nil"/>
              <w:right w:val="nil"/>
            </w:tcBorders>
            <w:shd w:val="clear" w:color="auto" w:fill="auto"/>
            <w:noWrap/>
            <w:vAlign w:val="bottom"/>
            <w:hideMark/>
          </w:tcPr>
          <w:p w14:paraId="3100CA18" w14:textId="77777777" w:rsidR="000D6093" w:rsidRPr="008B619A" w:rsidRDefault="000D6093" w:rsidP="0053467D">
            <w:pPr>
              <w:widowControl/>
              <w:overflowPunct/>
              <w:autoSpaceDE/>
              <w:autoSpaceDN/>
              <w:jc w:val="right"/>
              <w:rPr>
                <w:rFonts w:ascii="Times New Roman" w:eastAsia="新細明體"/>
                <w:color w:val="000000" w:themeColor="text1"/>
                <w:kern w:val="0"/>
                <w:sz w:val="26"/>
                <w:szCs w:val="26"/>
              </w:rPr>
            </w:pPr>
            <w:r w:rsidRPr="008B619A">
              <w:rPr>
                <w:rFonts w:ascii="Times New Roman" w:eastAsia="新細明體"/>
                <w:color w:val="000000" w:themeColor="text1"/>
                <w:kern w:val="0"/>
                <w:sz w:val="26"/>
                <w:szCs w:val="26"/>
              </w:rPr>
              <w:t>59.17</w:t>
            </w:r>
          </w:p>
        </w:tc>
        <w:tc>
          <w:tcPr>
            <w:tcW w:w="1040" w:type="dxa"/>
            <w:tcBorders>
              <w:top w:val="nil"/>
              <w:left w:val="nil"/>
              <w:bottom w:val="nil"/>
              <w:right w:val="nil"/>
            </w:tcBorders>
            <w:shd w:val="clear" w:color="auto" w:fill="auto"/>
            <w:noWrap/>
            <w:vAlign w:val="bottom"/>
            <w:hideMark/>
          </w:tcPr>
          <w:p w14:paraId="0655CE91" w14:textId="77777777" w:rsidR="000D6093" w:rsidRPr="008B619A" w:rsidRDefault="000D6093" w:rsidP="0053467D">
            <w:pPr>
              <w:widowControl/>
              <w:overflowPunct/>
              <w:autoSpaceDE/>
              <w:autoSpaceDN/>
              <w:jc w:val="right"/>
              <w:rPr>
                <w:rFonts w:ascii="Times New Roman" w:eastAsia="新細明體"/>
                <w:color w:val="000000" w:themeColor="text1"/>
                <w:kern w:val="0"/>
                <w:sz w:val="26"/>
                <w:szCs w:val="26"/>
              </w:rPr>
            </w:pPr>
            <w:r w:rsidRPr="008B619A">
              <w:rPr>
                <w:rFonts w:ascii="Times New Roman" w:eastAsia="新細明體"/>
                <w:color w:val="000000" w:themeColor="text1"/>
                <w:kern w:val="0"/>
                <w:sz w:val="26"/>
                <w:szCs w:val="26"/>
              </w:rPr>
              <w:t>67.34</w:t>
            </w:r>
          </w:p>
        </w:tc>
        <w:tc>
          <w:tcPr>
            <w:tcW w:w="1040" w:type="dxa"/>
            <w:tcBorders>
              <w:top w:val="nil"/>
              <w:left w:val="nil"/>
              <w:bottom w:val="nil"/>
              <w:right w:val="nil"/>
            </w:tcBorders>
            <w:shd w:val="clear" w:color="auto" w:fill="auto"/>
            <w:noWrap/>
            <w:vAlign w:val="bottom"/>
            <w:hideMark/>
          </w:tcPr>
          <w:p w14:paraId="24E24DF8" w14:textId="77777777" w:rsidR="000D6093" w:rsidRPr="008B619A" w:rsidRDefault="000D6093" w:rsidP="0053467D">
            <w:pPr>
              <w:widowControl/>
              <w:overflowPunct/>
              <w:autoSpaceDE/>
              <w:autoSpaceDN/>
              <w:jc w:val="right"/>
              <w:rPr>
                <w:rFonts w:ascii="Times New Roman" w:eastAsia="新細明體"/>
                <w:color w:val="000000" w:themeColor="text1"/>
                <w:kern w:val="0"/>
                <w:sz w:val="26"/>
                <w:szCs w:val="26"/>
              </w:rPr>
            </w:pPr>
            <w:r w:rsidRPr="008B619A">
              <w:rPr>
                <w:rFonts w:ascii="Times New Roman" w:eastAsia="新細明體"/>
                <w:color w:val="000000" w:themeColor="text1"/>
                <w:kern w:val="0"/>
                <w:sz w:val="26"/>
                <w:szCs w:val="26"/>
              </w:rPr>
              <w:t>51.39</w:t>
            </w:r>
          </w:p>
        </w:tc>
        <w:tc>
          <w:tcPr>
            <w:tcW w:w="882" w:type="dxa"/>
            <w:tcBorders>
              <w:top w:val="nil"/>
              <w:left w:val="nil"/>
              <w:bottom w:val="nil"/>
              <w:right w:val="nil"/>
            </w:tcBorders>
            <w:shd w:val="clear" w:color="auto" w:fill="auto"/>
            <w:noWrap/>
            <w:vAlign w:val="bottom"/>
            <w:hideMark/>
          </w:tcPr>
          <w:p w14:paraId="72B7EDDA" w14:textId="77777777" w:rsidR="000D6093" w:rsidRPr="008B619A" w:rsidRDefault="000D6093" w:rsidP="0053467D">
            <w:pPr>
              <w:widowControl/>
              <w:overflowPunct/>
              <w:autoSpaceDE/>
              <w:autoSpaceDN/>
              <w:jc w:val="right"/>
              <w:rPr>
                <w:rFonts w:ascii="Times New Roman" w:eastAsia="新細明體"/>
                <w:color w:val="000000" w:themeColor="text1"/>
                <w:kern w:val="0"/>
                <w:sz w:val="26"/>
                <w:szCs w:val="26"/>
              </w:rPr>
            </w:pPr>
            <w:r w:rsidRPr="008B619A">
              <w:rPr>
                <w:rFonts w:ascii="Times New Roman" w:eastAsia="新細明體"/>
                <w:color w:val="000000" w:themeColor="text1"/>
                <w:kern w:val="0"/>
                <w:sz w:val="26"/>
                <w:szCs w:val="26"/>
              </w:rPr>
              <w:t>65.83</w:t>
            </w:r>
          </w:p>
        </w:tc>
        <w:tc>
          <w:tcPr>
            <w:tcW w:w="882" w:type="dxa"/>
            <w:tcBorders>
              <w:top w:val="nil"/>
              <w:left w:val="nil"/>
              <w:bottom w:val="nil"/>
              <w:right w:val="nil"/>
            </w:tcBorders>
            <w:shd w:val="clear" w:color="auto" w:fill="auto"/>
            <w:noWrap/>
            <w:vAlign w:val="bottom"/>
            <w:hideMark/>
          </w:tcPr>
          <w:p w14:paraId="152CB45E" w14:textId="77777777" w:rsidR="000D6093" w:rsidRPr="008B619A" w:rsidRDefault="000D6093" w:rsidP="0053467D">
            <w:pPr>
              <w:widowControl/>
              <w:overflowPunct/>
              <w:autoSpaceDE/>
              <w:autoSpaceDN/>
              <w:jc w:val="right"/>
              <w:rPr>
                <w:rFonts w:ascii="Times New Roman" w:eastAsia="新細明體"/>
                <w:color w:val="000000" w:themeColor="text1"/>
                <w:kern w:val="0"/>
                <w:sz w:val="26"/>
                <w:szCs w:val="26"/>
              </w:rPr>
            </w:pPr>
            <w:r w:rsidRPr="008B619A">
              <w:rPr>
                <w:rFonts w:ascii="Times New Roman" w:eastAsia="新細明體"/>
                <w:color w:val="000000" w:themeColor="text1"/>
                <w:kern w:val="0"/>
                <w:sz w:val="26"/>
                <w:szCs w:val="26"/>
              </w:rPr>
              <w:t>74.52</w:t>
            </w:r>
          </w:p>
        </w:tc>
        <w:tc>
          <w:tcPr>
            <w:tcW w:w="1396" w:type="dxa"/>
            <w:tcBorders>
              <w:top w:val="nil"/>
              <w:left w:val="nil"/>
              <w:bottom w:val="nil"/>
              <w:right w:val="nil"/>
            </w:tcBorders>
            <w:shd w:val="clear" w:color="auto" w:fill="auto"/>
            <w:noWrap/>
            <w:vAlign w:val="bottom"/>
            <w:hideMark/>
          </w:tcPr>
          <w:p w14:paraId="6F102A7A" w14:textId="77777777" w:rsidR="000D6093" w:rsidRPr="008B619A" w:rsidRDefault="000D6093" w:rsidP="0053467D">
            <w:pPr>
              <w:widowControl/>
              <w:overflowPunct/>
              <w:autoSpaceDE/>
              <w:autoSpaceDN/>
              <w:jc w:val="right"/>
              <w:rPr>
                <w:rFonts w:ascii="Times New Roman" w:eastAsia="新細明體"/>
                <w:color w:val="000000" w:themeColor="text1"/>
                <w:kern w:val="0"/>
                <w:sz w:val="26"/>
                <w:szCs w:val="26"/>
              </w:rPr>
            </w:pPr>
            <w:r w:rsidRPr="008B619A">
              <w:rPr>
                <w:rFonts w:ascii="Times New Roman" w:eastAsia="新細明體"/>
                <w:color w:val="000000" w:themeColor="text1"/>
                <w:kern w:val="0"/>
                <w:sz w:val="26"/>
                <w:szCs w:val="26"/>
              </w:rPr>
              <w:t>62.68</w:t>
            </w:r>
          </w:p>
        </w:tc>
        <w:tc>
          <w:tcPr>
            <w:tcW w:w="882" w:type="dxa"/>
            <w:tcBorders>
              <w:top w:val="nil"/>
              <w:left w:val="nil"/>
              <w:bottom w:val="nil"/>
              <w:right w:val="nil"/>
            </w:tcBorders>
            <w:shd w:val="clear" w:color="auto" w:fill="auto"/>
            <w:noWrap/>
            <w:vAlign w:val="bottom"/>
            <w:hideMark/>
          </w:tcPr>
          <w:p w14:paraId="5A3A6A3A" w14:textId="77777777" w:rsidR="000D6093" w:rsidRPr="008B619A" w:rsidRDefault="000D6093" w:rsidP="0053467D">
            <w:pPr>
              <w:widowControl/>
              <w:overflowPunct/>
              <w:autoSpaceDE/>
              <w:autoSpaceDN/>
              <w:jc w:val="right"/>
              <w:rPr>
                <w:rFonts w:ascii="Times New Roman" w:eastAsia="新細明體"/>
                <w:color w:val="000000" w:themeColor="text1"/>
                <w:kern w:val="0"/>
                <w:sz w:val="26"/>
                <w:szCs w:val="26"/>
              </w:rPr>
            </w:pPr>
            <w:r w:rsidRPr="008B619A">
              <w:rPr>
                <w:rFonts w:ascii="Times New Roman" w:eastAsia="新細明體"/>
                <w:color w:val="000000" w:themeColor="text1"/>
                <w:kern w:val="0"/>
                <w:sz w:val="26"/>
                <w:szCs w:val="26"/>
              </w:rPr>
              <w:t>61.14</w:t>
            </w:r>
          </w:p>
        </w:tc>
        <w:tc>
          <w:tcPr>
            <w:tcW w:w="1158" w:type="dxa"/>
            <w:tcBorders>
              <w:top w:val="nil"/>
              <w:left w:val="nil"/>
              <w:bottom w:val="nil"/>
              <w:right w:val="nil"/>
            </w:tcBorders>
            <w:shd w:val="clear" w:color="auto" w:fill="E5DFEC" w:themeFill="accent4" w:themeFillTint="33"/>
            <w:noWrap/>
            <w:vAlign w:val="bottom"/>
            <w:hideMark/>
          </w:tcPr>
          <w:p w14:paraId="0E0A2018" w14:textId="77777777" w:rsidR="000D6093" w:rsidRPr="008B619A" w:rsidRDefault="000D6093" w:rsidP="0053467D">
            <w:pPr>
              <w:widowControl/>
              <w:overflowPunct/>
              <w:autoSpaceDE/>
              <w:autoSpaceDN/>
              <w:jc w:val="right"/>
              <w:rPr>
                <w:rFonts w:ascii="Times New Roman" w:eastAsia="新細明體"/>
                <w:b/>
                <w:color w:val="000000" w:themeColor="text1"/>
                <w:kern w:val="0"/>
                <w:sz w:val="26"/>
                <w:szCs w:val="26"/>
              </w:rPr>
            </w:pPr>
            <w:r w:rsidRPr="008B619A">
              <w:rPr>
                <w:rFonts w:ascii="Times New Roman" w:eastAsia="新細明體"/>
                <w:b/>
                <w:color w:val="000000" w:themeColor="text1"/>
                <w:kern w:val="0"/>
                <w:sz w:val="26"/>
                <w:szCs w:val="26"/>
              </w:rPr>
              <w:t>68.40</w:t>
            </w:r>
          </w:p>
        </w:tc>
      </w:tr>
      <w:tr w:rsidR="000D6093" w:rsidRPr="008B619A" w14:paraId="6D2B9983" w14:textId="77777777" w:rsidTr="00AB6246">
        <w:trPr>
          <w:trHeight w:val="300"/>
          <w:jc w:val="center"/>
        </w:trPr>
        <w:tc>
          <w:tcPr>
            <w:tcW w:w="1833" w:type="dxa"/>
            <w:tcBorders>
              <w:top w:val="nil"/>
              <w:left w:val="nil"/>
              <w:bottom w:val="nil"/>
              <w:right w:val="single" w:sz="8" w:space="0" w:color="auto"/>
            </w:tcBorders>
            <w:shd w:val="clear" w:color="auto" w:fill="auto"/>
            <w:noWrap/>
            <w:vAlign w:val="bottom"/>
            <w:hideMark/>
          </w:tcPr>
          <w:p w14:paraId="3C8198D3" w14:textId="77777777" w:rsidR="000D6093" w:rsidRPr="008B619A" w:rsidRDefault="000D6093" w:rsidP="0053467D">
            <w:pPr>
              <w:widowControl/>
              <w:overflowPunct/>
              <w:autoSpaceDE/>
              <w:autoSpaceDN/>
              <w:jc w:val="center"/>
              <w:rPr>
                <w:rFonts w:ascii="Times New Roman" w:eastAsia="新細明體"/>
                <w:color w:val="000000" w:themeColor="text1"/>
                <w:kern w:val="0"/>
                <w:sz w:val="26"/>
                <w:szCs w:val="26"/>
              </w:rPr>
            </w:pPr>
            <w:r w:rsidRPr="008B619A">
              <w:rPr>
                <w:rFonts w:ascii="Times New Roman" w:eastAsia="新細明體"/>
                <w:color w:val="000000" w:themeColor="text1"/>
                <w:kern w:val="0"/>
                <w:sz w:val="26"/>
                <w:szCs w:val="26"/>
              </w:rPr>
              <w:t>12</w:t>
            </w:r>
            <w:r w:rsidRPr="008B619A">
              <w:rPr>
                <w:rFonts w:hAnsi="標楷體" w:hint="eastAsia"/>
                <w:color w:val="000000" w:themeColor="text1"/>
                <w:kern w:val="0"/>
                <w:sz w:val="26"/>
                <w:szCs w:val="26"/>
              </w:rPr>
              <w:t>月</w:t>
            </w:r>
          </w:p>
        </w:tc>
        <w:tc>
          <w:tcPr>
            <w:tcW w:w="1040" w:type="dxa"/>
            <w:tcBorders>
              <w:top w:val="nil"/>
              <w:left w:val="nil"/>
              <w:bottom w:val="nil"/>
              <w:right w:val="nil"/>
            </w:tcBorders>
            <w:shd w:val="clear" w:color="auto" w:fill="auto"/>
            <w:noWrap/>
            <w:vAlign w:val="bottom"/>
            <w:hideMark/>
          </w:tcPr>
          <w:p w14:paraId="52D0B80F" w14:textId="77777777" w:rsidR="000D6093" w:rsidRPr="008B619A" w:rsidRDefault="000D6093" w:rsidP="0053467D">
            <w:pPr>
              <w:widowControl/>
              <w:overflowPunct/>
              <w:autoSpaceDE/>
              <w:autoSpaceDN/>
              <w:jc w:val="right"/>
              <w:rPr>
                <w:rFonts w:ascii="Times New Roman" w:eastAsia="新細明體"/>
                <w:color w:val="000000" w:themeColor="text1"/>
                <w:kern w:val="0"/>
                <w:sz w:val="26"/>
                <w:szCs w:val="26"/>
              </w:rPr>
            </w:pPr>
            <w:r w:rsidRPr="008B619A">
              <w:rPr>
                <w:rFonts w:ascii="Times New Roman" w:eastAsia="新細明體"/>
                <w:color w:val="000000" w:themeColor="text1"/>
                <w:kern w:val="0"/>
                <w:sz w:val="26"/>
                <w:szCs w:val="26"/>
              </w:rPr>
              <w:t>59.22</w:t>
            </w:r>
          </w:p>
        </w:tc>
        <w:tc>
          <w:tcPr>
            <w:tcW w:w="1040" w:type="dxa"/>
            <w:tcBorders>
              <w:top w:val="nil"/>
              <w:left w:val="nil"/>
              <w:bottom w:val="nil"/>
              <w:right w:val="nil"/>
            </w:tcBorders>
            <w:shd w:val="clear" w:color="auto" w:fill="auto"/>
            <w:noWrap/>
            <w:vAlign w:val="bottom"/>
            <w:hideMark/>
          </w:tcPr>
          <w:p w14:paraId="2C31F663" w14:textId="77777777" w:rsidR="000D6093" w:rsidRPr="008B619A" w:rsidRDefault="000D6093" w:rsidP="0053467D">
            <w:pPr>
              <w:widowControl/>
              <w:overflowPunct/>
              <w:autoSpaceDE/>
              <w:autoSpaceDN/>
              <w:jc w:val="right"/>
              <w:rPr>
                <w:rFonts w:ascii="Times New Roman" w:eastAsia="新細明體"/>
                <w:color w:val="000000" w:themeColor="text1"/>
                <w:kern w:val="0"/>
                <w:sz w:val="26"/>
                <w:szCs w:val="26"/>
              </w:rPr>
            </w:pPr>
            <w:r w:rsidRPr="008B619A">
              <w:rPr>
                <w:rFonts w:ascii="Times New Roman" w:eastAsia="新細明體"/>
                <w:color w:val="000000" w:themeColor="text1"/>
                <w:kern w:val="0"/>
                <w:sz w:val="26"/>
                <w:szCs w:val="26"/>
              </w:rPr>
              <w:t>67.34</w:t>
            </w:r>
          </w:p>
        </w:tc>
        <w:tc>
          <w:tcPr>
            <w:tcW w:w="1040" w:type="dxa"/>
            <w:tcBorders>
              <w:top w:val="nil"/>
              <w:left w:val="nil"/>
              <w:bottom w:val="nil"/>
              <w:right w:val="nil"/>
            </w:tcBorders>
            <w:shd w:val="clear" w:color="auto" w:fill="auto"/>
            <w:noWrap/>
            <w:vAlign w:val="bottom"/>
            <w:hideMark/>
          </w:tcPr>
          <w:p w14:paraId="13C5ECC3" w14:textId="77777777" w:rsidR="000D6093" w:rsidRPr="008B619A" w:rsidRDefault="000D6093" w:rsidP="0053467D">
            <w:pPr>
              <w:widowControl/>
              <w:overflowPunct/>
              <w:autoSpaceDE/>
              <w:autoSpaceDN/>
              <w:jc w:val="right"/>
              <w:rPr>
                <w:rFonts w:ascii="Times New Roman" w:eastAsia="新細明體"/>
                <w:color w:val="000000" w:themeColor="text1"/>
                <w:kern w:val="0"/>
                <w:sz w:val="26"/>
                <w:szCs w:val="26"/>
              </w:rPr>
            </w:pPr>
            <w:r w:rsidRPr="008B619A">
              <w:rPr>
                <w:rFonts w:ascii="Times New Roman" w:eastAsia="新細明體"/>
                <w:color w:val="000000" w:themeColor="text1"/>
                <w:kern w:val="0"/>
                <w:sz w:val="26"/>
                <w:szCs w:val="26"/>
              </w:rPr>
              <w:t>51.47</w:t>
            </w:r>
          </w:p>
        </w:tc>
        <w:tc>
          <w:tcPr>
            <w:tcW w:w="882" w:type="dxa"/>
            <w:tcBorders>
              <w:top w:val="nil"/>
              <w:left w:val="nil"/>
              <w:bottom w:val="nil"/>
              <w:right w:val="nil"/>
            </w:tcBorders>
            <w:shd w:val="clear" w:color="auto" w:fill="auto"/>
            <w:noWrap/>
            <w:vAlign w:val="bottom"/>
            <w:hideMark/>
          </w:tcPr>
          <w:p w14:paraId="15B7A2D9" w14:textId="77777777" w:rsidR="000D6093" w:rsidRPr="008B619A" w:rsidRDefault="000D6093" w:rsidP="0053467D">
            <w:pPr>
              <w:widowControl/>
              <w:overflowPunct/>
              <w:autoSpaceDE/>
              <w:autoSpaceDN/>
              <w:jc w:val="right"/>
              <w:rPr>
                <w:rFonts w:ascii="Times New Roman" w:eastAsia="新細明體"/>
                <w:color w:val="000000" w:themeColor="text1"/>
                <w:kern w:val="0"/>
                <w:sz w:val="26"/>
                <w:szCs w:val="26"/>
              </w:rPr>
            </w:pPr>
            <w:r w:rsidRPr="008B619A">
              <w:rPr>
                <w:rFonts w:ascii="Times New Roman" w:eastAsia="新細明體"/>
                <w:color w:val="000000" w:themeColor="text1"/>
                <w:kern w:val="0"/>
                <w:sz w:val="26"/>
                <w:szCs w:val="26"/>
              </w:rPr>
              <w:t>65.90</w:t>
            </w:r>
          </w:p>
        </w:tc>
        <w:tc>
          <w:tcPr>
            <w:tcW w:w="882" w:type="dxa"/>
            <w:tcBorders>
              <w:top w:val="nil"/>
              <w:left w:val="nil"/>
              <w:bottom w:val="nil"/>
              <w:right w:val="nil"/>
            </w:tcBorders>
            <w:shd w:val="clear" w:color="auto" w:fill="auto"/>
            <w:noWrap/>
            <w:vAlign w:val="bottom"/>
            <w:hideMark/>
          </w:tcPr>
          <w:p w14:paraId="40EF274A" w14:textId="77777777" w:rsidR="000D6093" w:rsidRPr="008B619A" w:rsidRDefault="000D6093" w:rsidP="0053467D">
            <w:pPr>
              <w:widowControl/>
              <w:overflowPunct/>
              <w:autoSpaceDE/>
              <w:autoSpaceDN/>
              <w:jc w:val="right"/>
              <w:rPr>
                <w:rFonts w:ascii="Times New Roman" w:eastAsia="新細明體"/>
                <w:color w:val="000000" w:themeColor="text1"/>
                <w:kern w:val="0"/>
                <w:sz w:val="26"/>
                <w:szCs w:val="26"/>
              </w:rPr>
            </w:pPr>
            <w:r w:rsidRPr="008B619A">
              <w:rPr>
                <w:rFonts w:ascii="Times New Roman" w:eastAsia="新細明體"/>
                <w:color w:val="000000" w:themeColor="text1"/>
                <w:kern w:val="0"/>
                <w:sz w:val="26"/>
                <w:szCs w:val="26"/>
              </w:rPr>
              <w:t>74.41</w:t>
            </w:r>
          </w:p>
        </w:tc>
        <w:tc>
          <w:tcPr>
            <w:tcW w:w="1396" w:type="dxa"/>
            <w:tcBorders>
              <w:top w:val="nil"/>
              <w:left w:val="nil"/>
              <w:bottom w:val="nil"/>
              <w:right w:val="nil"/>
            </w:tcBorders>
            <w:shd w:val="clear" w:color="auto" w:fill="auto"/>
            <w:noWrap/>
            <w:vAlign w:val="bottom"/>
            <w:hideMark/>
          </w:tcPr>
          <w:p w14:paraId="31C30E29" w14:textId="77777777" w:rsidR="000D6093" w:rsidRPr="008B619A" w:rsidRDefault="000D6093" w:rsidP="0053467D">
            <w:pPr>
              <w:widowControl/>
              <w:overflowPunct/>
              <w:autoSpaceDE/>
              <w:autoSpaceDN/>
              <w:jc w:val="right"/>
              <w:rPr>
                <w:rFonts w:ascii="Times New Roman" w:eastAsia="新細明體"/>
                <w:color w:val="000000" w:themeColor="text1"/>
                <w:kern w:val="0"/>
                <w:sz w:val="26"/>
                <w:szCs w:val="26"/>
              </w:rPr>
            </w:pPr>
            <w:r w:rsidRPr="008B619A">
              <w:rPr>
                <w:rFonts w:ascii="Times New Roman" w:eastAsia="新細明體"/>
                <w:color w:val="000000" w:themeColor="text1"/>
                <w:kern w:val="0"/>
                <w:sz w:val="26"/>
                <w:szCs w:val="26"/>
              </w:rPr>
              <w:t>62.88</w:t>
            </w:r>
          </w:p>
        </w:tc>
        <w:tc>
          <w:tcPr>
            <w:tcW w:w="882" w:type="dxa"/>
            <w:tcBorders>
              <w:top w:val="nil"/>
              <w:left w:val="nil"/>
              <w:bottom w:val="nil"/>
              <w:right w:val="nil"/>
            </w:tcBorders>
            <w:shd w:val="clear" w:color="auto" w:fill="auto"/>
            <w:noWrap/>
            <w:vAlign w:val="bottom"/>
            <w:hideMark/>
          </w:tcPr>
          <w:p w14:paraId="2303114A" w14:textId="77777777" w:rsidR="000D6093" w:rsidRPr="008B619A" w:rsidRDefault="000D6093" w:rsidP="0053467D">
            <w:pPr>
              <w:widowControl/>
              <w:overflowPunct/>
              <w:autoSpaceDE/>
              <w:autoSpaceDN/>
              <w:jc w:val="right"/>
              <w:rPr>
                <w:rFonts w:ascii="Times New Roman" w:eastAsia="新細明體"/>
                <w:color w:val="000000" w:themeColor="text1"/>
                <w:kern w:val="0"/>
                <w:sz w:val="26"/>
                <w:szCs w:val="26"/>
              </w:rPr>
            </w:pPr>
            <w:r w:rsidRPr="008B619A">
              <w:rPr>
                <w:rFonts w:ascii="Times New Roman" w:eastAsia="新細明體"/>
                <w:color w:val="000000" w:themeColor="text1"/>
                <w:kern w:val="0"/>
                <w:sz w:val="26"/>
                <w:szCs w:val="26"/>
              </w:rPr>
              <w:t>61.23</w:t>
            </w:r>
          </w:p>
        </w:tc>
        <w:tc>
          <w:tcPr>
            <w:tcW w:w="1158" w:type="dxa"/>
            <w:tcBorders>
              <w:top w:val="nil"/>
              <w:left w:val="nil"/>
              <w:bottom w:val="nil"/>
              <w:right w:val="nil"/>
            </w:tcBorders>
            <w:shd w:val="clear" w:color="auto" w:fill="E5DFEC" w:themeFill="accent4" w:themeFillTint="33"/>
            <w:noWrap/>
            <w:vAlign w:val="bottom"/>
            <w:hideMark/>
          </w:tcPr>
          <w:p w14:paraId="47BB07EB" w14:textId="77777777" w:rsidR="000D6093" w:rsidRPr="008B619A" w:rsidRDefault="000D6093" w:rsidP="0053467D">
            <w:pPr>
              <w:widowControl/>
              <w:overflowPunct/>
              <w:autoSpaceDE/>
              <w:autoSpaceDN/>
              <w:jc w:val="right"/>
              <w:rPr>
                <w:rFonts w:ascii="Times New Roman" w:eastAsia="新細明體"/>
                <w:b/>
                <w:color w:val="000000" w:themeColor="text1"/>
                <w:kern w:val="0"/>
                <w:sz w:val="26"/>
                <w:szCs w:val="26"/>
              </w:rPr>
            </w:pPr>
            <w:r w:rsidRPr="008B619A">
              <w:rPr>
                <w:rFonts w:ascii="Times New Roman" w:eastAsia="新細明體"/>
                <w:b/>
                <w:color w:val="000000" w:themeColor="text1"/>
                <w:kern w:val="0"/>
                <w:sz w:val="26"/>
                <w:szCs w:val="26"/>
              </w:rPr>
              <w:t>69.01</w:t>
            </w:r>
          </w:p>
        </w:tc>
      </w:tr>
      <w:tr w:rsidR="000D6093" w:rsidRPr="008B619A" w14:paraId="6C257DC2" w14:textId="77777777" w:rsidTr="00AB6246">
        <w:trPr>
          <w:trHeight w:val="300"/>
          <w:jc w:val="center"/>
        </w:trPr>
        <w:tc>
          <w:tcPr>
            <w:tcW w:w="1833" w:type="dxa"/>
            <w:tcBorders>
              <w:top w:val="nil"/>
              <w:left w:val="nil"/>
              <w:bottom w:val="nil"/>
              <w:right w:val="single" w:sz="8" w:space="0" w:color="auto"/>
            </w:tcBorders>
            <w:shd w:val="clear" w:color="auto" w:fill="auto"/>
            <w:noWrap/>
            <w:vAlign w:val="bottom"/>
            <w:hideMark/>
          </w:tcPr>
          <w:p w14:paraId="3CAD19F2" w14:textId="77777777" w:rsidR="000D6093" w:rsidRPr="008B619A" w:rsidRDefault="000D6093" w:rsidP="0053467D">
            <w:pPr>
              <w:widowControl/>
              <w:overflowPunct/>
              <w:autoSpaceDE/>
              <w:autoSpaceDN/>
              <w:jc w:val="center"/>
              <w:rPr>
                <w:rFonts w:ascii="Times New Roman" w:eastAsia="新細明體"/>
                <w:color w:val="000000" w:themeColor="text1"/>
                <w:kern w:val="0"/>
                <w:sz w:val="20"/>
              </w:rPr>
            </w:pPr>
            <w:r w:rsidRPr="008B619A">
              <w:rPr>
                <w:rFonts w:ascii="Times New Roman" w:eastAsia="新細明體"/>
                <w:color w:val="000000" w:themeColor="text1"/>
                <w:kern w:val="0"/>
                <w:sz w:val="20"/>
              </w:rPr>
              <w:t xml:space="preserve">　</w:t>
            </w:r>
          </w:p>
        </w:tc>
        <w:tc>
          <w:tcPr>
            <w:tcW w:w="1040" w:type="dxa"/>
            <w:tcBorders>
              <w:top w:val="nil"/>
              <w:left w:val="nil"/>
              <w:bottom w:val="nil"/>
              <w:right w:val="nil"/>
            </w:tcBorders>
            <w:shd w:val="clear" w:color="auto" w:fill="auto"/>
            <w:noWrap/>
            <w:vAlign w:val="bottom"/>
            <w:hideMark/>
          </w:tcPr>
          <w:p w14:paraId="57C92D5B" w14:textId="77777777" w:rsidR="000D6093" w:rsidRPr="008B619A" w:rsidRDefault="000D6093" w:rsidP="0053467D">
            <w:pPr>
              <w:widowControl/>
              <w:overflowPunct/>
              <w:autoSpaceDE/>
              <w:autoSpaceDN/>
              <w:jc w:val="right"/>
              <w:rPr>
                <w:rFonts w:ascii="Times New Roman" w:eastAsia="新細明體"/>
                <w:color w:val="000000" w:themeColor="text1"/>
                <w:kern w:val="0"/>
                <w:sz w:val="20"/>
              </w:rPr>
            </w:pPr>
            <w:r w:rsidRPr="008B619A">
              <w:rPr>
                <w:rFonts w:ascii="Times New Roman" w:eastAsia="新細明體"/>
                <w:color w:val="000000" w:themeColor="text1"/>
                <w:kern w:val="0"/>
                <w:sz w:val="20"/>
              </w:rPr>
              <w:t xml:space="preserve">　</w:t>
            </w:r>
          </w:p>
        </w:tc>
        <w:tc>
          <w:tcPr>
            <w:tcW w:w="1040" w:type="dxa"/>
            <w:tcBorders>
              <w:top w:val="nil"/>
              <w:left w:val="nil"/>
              <w:bottom w:val="nil"/>
              <w:right w:val="nil"/>
            </w:tcBorders>
            <w:shd w:val="clear" w:color="auto" w:fill="auto"/>
            <w:noWrap/>
            <w:vAlign w:val="bottom"/>
            <w:hideMark/>
          </w:tcPr>
          <w:p w14:paraId="5BDDF118" w14:textId="77777777" w:rsidR="000D6093" w:rsidRPr="008B619A" w:rsidRDefault="000D6093" w:rsidP="0053467D">
            <w:pPr>
              <w:widowControl/>
              <w:overflowPunct/>
              <w:autoSpaceDE/>
              <w:autoSpaceDN/>
              <w:jc w:val="right"/>
              <w:rPr>
                <w:rFonts w:ascii="Times New Roman" w:eastAsia="新細明體"/>
                <w:color w:val="000000" w:themeColor="text1"/>
                <w:kern w:val="0"/>
                <w:sz w:val="20"/>
              </w:rPr>
            </w:pPr>
          </w:p>
        </w:tc>
        <w:tc>
          <w:tcPr>
            <w:tcW w:w="1040" w:type="dxa"/>
            <w:tcBorders>
              <w:top w:val="nil"/>
              <w:left w:val="nil"/>
              <w:bottom w:val="nil"/>
              <w:right w:val="nil"/>
            </w:tcBorders>
            <w:shd w:val="clear" w:color="auto" w:fill="auto"/>
            <w:noWrap/>
            <w:vAlign w:val="bottom"/>
            <w:hideMark/>
          </w:tcPr>
          <w:p w14:paraId="6C771B47" w14:textId="77777777" w:rsidR="000D6093" w:rsidRPr="008B619A" w:rsidRDefault="000D6093" w:rsidP="0053467D">
            <w:pPr>
              <w:widowControl/>
              <w:overflowPunct/>
              <w:autoSpaceDE/>
              <w:autoSpaceDN/>
              <w:jc w:val="right"/>
              <w:rPr>
                <w:rFonts w:ascii="Times New Roman" w:eastAsia="Times New Roman"/>
                <w:color w:val="000000" w:themeColor="text1"/>
                <w:kern w:val="0"/>
                <w:sz w:val="20"/>
              </w:rPr>
            </w:pPr>
          </w:p>
        </w:tc>
        <w:tc>
          <w:tcPr>
            <w:tcW w:w="882" w:type="dxa"/>
            <w:tcBorders>
              <w:top w:val="nil"/>
              <w:left w:val="nil"/>
              <w:bottom w:val="nil"/>
              <w:right w:val="nil"/>
            </w:tcBorders>
            <w:shd w:val="clear" w:color="auto" w:fill="auto"/>
            <w:noWrap/>
            <w:vAlign w:val="bottom"/>
            <w:hideMark/>
          </w:tcPr>
          <w:p w14:paraId="513243C6" w14:textId="77777777" w:rsidR="000D6093" w:rsidRPr="008B619A" w:rsidRDefault="000D6093" w:rsidP="0053467D">
            <w:pPr>
              <w:widowControl/>
              <w:overflowPunct/>
              <w:autoSpaceDE/>
              <w:autoSpaceDN/>
              <w:jc w:val="right"/>
              <w:rPr>
                <w:rFonts w:ascii="Times New Roman" w:eastAsia="Times New Roman"/>
                <w:color w:val="000000" w:themeColor="text1"/>
                <w:kern w:val="0"/>
                <w:sz w:val="20"/>
              </w:rPr>
            </w:pPr>
          </w:p>
        </w:tc>
        <w:tc>
          <w:tcPr>
            <w:tcW w:w="882" w:type="dxa"/>
            <w:tcBorders>
              <w:top w:val="nil"/>
              <w:left w:val="nil"/>
              <w:bottom w:val="nil"/>
              <w:right w:val="nil"/>
            </w:tcBorders>
            <w:shd w:val="clear" w:color="auto" w:fill="auto"/>
            <w:noWrap/>
            <w:vAlign w:val="bottom"/>
            <w:hideMark/>
          </w:tcPr>
          <w:p w14:paraId="105EE65D" w14:textId="77777777" w:rsidR="000D6093" w:rsidRPr="008B619A" w:rsidRDefault="000D6093" w:rsidP="0053467D">
            <w:pPr>
              <w:widowControl/>
              <w:overflowPunct/>
              <w:autoSpaceDE/>
              <w:autoSpaceDN/>
              <w:jc w:val="right"/>
              <w:rPr>
                <w:rFonts w:ascii="Times New Roman" w:eastAsia="Times New Roman"/>
                <w:color w:val="000000" w:themeColor="text1"/>
                <w:kern w:val="0"/>
                <w:sz w:val="20"/>
              </w:rPr>
            </w:pPr>
          </w:p>
        </w:tc>
        <w:tc>
          <w:tcPr>
            <w:tcW w:w="1396" w:type="dxa"/>
            <w:tcBorders>
              <w:top w:val="nil"/>
              <w:left w:val="nil"/>
              <w:bottom w:val="nil"/>
              <w:right w:val="nil"/>
            </w:tcBorders>
            <w:shd w:val="clear" w:color="auto" w:fill="auto"/>
            <w:noWrap/>
            <w:vAlign w:val="bottom"/>
            <w:hideMark/>
          </w:tcPr>
          <w:p w14:paraId="23B832B0" w14:textId="77777777" w:rsidR="000D6093" w:rsidRPr="008B619A" w:rsidRDefault="000D6093" w:rsidP="0053467D">
            <w:pPr>
              <w:widowControl/>
              <w:overflowPunct/>
              <w:autoSpaceDE/>
              <w:autoSpaceDN/>
              <w:jc w:val="right"/>
              <w:rPr>
                <w:rFonts w:ascii="Times New Roman" w:eastAsia="Times New Roman"/>
                <w:color w:val="000000" w:themeColor="text1"/>
                <w:kern w:val="0"/>
                <w:sz w:val="20"/>
              </w:rPr>
            </w:pPr>
          </w:p>
        </w:tc>
        <w:tc>
          <w:tcPr>
            <w:tcW w:w="882" w:type="dxa"/>
            <w:tcBorders>
              <w:top w:val="nil"/>
              <w:left w:val="nil"/>
              <w:bottom w:val="nil"/>
              <w:right w:val="nil"/>
            </w:tcBorders>
            <w:shd w:val="clear" w:color="auto" w:fill="auto"/>
            <w:noWrap/>
            <w:vAlign w:val="bottom"/>
            <w:hideMark/>
          </w:tcPr>
          <w:p w14:paraId="6C7D468D" w14:textId="77777777" w:rsidR="000D6093" w:rsidRPr="008B619A" w:rsidRDefault="000D6093" w:rsidP="0053467D">
            <w:pPr>
              <w:widowControl/>
              <w:overflowPunct/>
              <w:autoSpaceDE/>
              <w:autoSpaceDN/>
              <w:jc w:val="right"/>
              <w:rPr>
                <w:rFonts w:ascii="Times New Roman" w:eastAsia="Times New Roman"/>
                <w:color w:val="000000" w:themeColor="text1"/>
                <w:kern w:val="0"/>
                <w:sz w:val="20"/>
              </w:rPr>
            </w:pPr>
          </w:p>
        </w:tc>
        <w:tc>
          <w:tcPr>
            <w:tcW w:w="1158" w:type="dxa"/>
            <w:tcBorders>
              <w:top w:val="nil"/>
              <w:left w:val="nil"/>
              <w:bottom w:val="nil"/>
              <w:right w:val="nil"/>
            </w:tcBorders>
            <w:shd w:val="clear" w:color="auto" w:fill="E5DFEC" w:themeFill="accent4" w:themeFillTint="33"/>
            <w:noWrap/>
            <w:vAlign w:val="bottom"/>
            <w:hideMark/>
          </w:tcPr>
          <w:p w14:paraId="1D088D68" w14:textId="77777777" w:rsidR="000D6093" w:rsidRPr="008B619A" w:rsidRDefault="000D6093" w:rsidP="0053467D">
            <w:pPr>
              <w:widowControl/>
              <w:overflowPunct/>
              <w:autoSpaceDE/>
              <w:autoSpaceDN/>
              <w:jc w:val="right"/>
              <w:rPr>
                <w:rFonts w:ascii="Times New Roman" w:eastAsia="Times New Roman"/>
                <w:b/>
                <w:color w:val="000000" w:themeColor="text1"/>
                <w:kern w:val="0"/>
                <w:sz w:val="20"/>
              </w:rPr>
            </w:pPr>
          </w:p>
        </w:tc>
      </w:tr>
      <w:tr w:rsidR="000D6093" w:rsidRPr="008B619A" w14:paraId="708C0853" w14:textId="77777777" w:rsidTr="00AB6246">
        <w:trPr>
          <w:trHeight w:val="300"/>
          <w:jc w:val="center"/>
        </w:trPr>
        <w:tc>
          <w:tcPr>
            <w:tcW w:w="1833" w:type="dxa"/>
            <w:tcBorders>
              <w:top w:val="nil"/>
              <w:left w:val="nil"/>
              <w:bottom w:val="nil"/>
              <w:right w:val="single" w:sz="8" w:space="0" w:color="auto"/>
            </w:tcBorders>
            <w:shd w:val="clear" w:color="auto" w:fill="auto"/>
            <w:noWrap/>
            <w:vAlign w:val="bottom"/>
            <w:hideMark/>
          </w:tcPr>
          <w:p w14:paraId="75567768" w14:textId="77777777" w:rsidR="000D6093" w:rsidRPr="008B619A" w:rsidRDefault="000D6093" w:rsidP="0053467D">
            <w:pPr>
              <w:widowControl/>
              <w:overflowPunct/>
              <w:autoSpaceDE/>
              <w:autoSpaceDN/>
              <w:jc w:val="center"/>
              <w:rPr>
                <w:rFonts w:ascii="Times New Roman" w:eastAsia="新細明體"/>
                <w:color w:val="000000" w:themeColor="text1"/>
                <w:kern w:val="0"/>
                <w:sz w:val="26"/>
                <w:szCs w:val="26"/>
              </w:rPr>
            </w:pPr>
            <w:r w:rsidRPr="008B619A">
              <w:rPr>
                <w:rFonts w:ascii="Times New Roman" w:eastAsia="新細明體"/>
                <w:color w:val="000000" w:themeColor="text1"/>
                <w:kern w:val="0"/>
                <w:sz w:val="26"/>
                <w:szCs w:val="26"/>
              </w:rPr>
              <w:t>109</w:t>
            </w:r>
            <w:r w:rsidRPr="008B619A">
              <w:rPr>
                <w:rFonts w:hAnsi="標楷體" w:hint="eastAsia"/>
                <w:color w:val="000000" w:themeColor="text1"/>
                <w:kern w:val="0"/>
                <w:sz w:val="26"/>
                <w:szCs w:val="26"/>
              </w:rPr>
              <w:t>年平均</w:t>
            </w:r>
          </w:p>
        </w:tc>
        <w:tc>
          <w:tcPr>
            <w:tcW w:w="1040" w:type="dxa"/>
            <w:tcBorders>
              <w:top w:val="nil"/>
              <w:left w:val="nil"/>
              <w:bottom w:val="nil"/>
              <w:right w:val="nil"/>
            </w:tcBorders>
            <w:shd w:val="clear" w:color="auto" w:fill="auto"/>
            <w:noWrap/>
            <w:vAlign w:val="bottom"/>
            <w:hideMark/>
          </w:tcPr>
          <w:p w14:paraId="112FBB68" w14:textId="77777777" w:rsidR="000D6093" w:rsidRPr="008B619A" w:rsidRDefault="000D6093" w:rsidP="0053467D">
            <w:pPr>
              <w:widowControl/>
              <w:overflowPunct/>
              <w:autoSpaceDE/>
              <w:autoSpaceDN/>
              <w:jc w:val="right"/>
              <w:rPr>
                <w:rFonts w:ascii="Times New Roman" w:eastAsia="新細明體"/>
                <w:color w:val="000000" w:themeColor="text1"/>
                <w:kern w:val="0"/>
                <w:sz w:val="26"/>
                <w:szCs w:val="26"/>
              </w:rPr>
            </w:pPr>
            <w:r w:rsidRPr="008B619A">
              <w:rPr>
                <w:rFonts w:ascii="Times New Roman" w:eastAsia="新細明體"/>
                <w:color w:val="000000" w:themeColor="text1"/>
                <w:kern w:val="0"/>
                <w:sz w:val="26"/>
                <w:szCs w:val="26"/>
              </w:rPr>
              <w:t>59.14</w:t>
            </w:r>
          </w:p>
        </w:tc>
        <w:tc>
          <w:tcPr>
            <w:tcW w:w="1040" w:type="dxa"/>
            <w:tcBorders>
              <w:top w:val="nil"/>
              <w:left w:val="nil"/>
              <w:bottom w:val="nil"/>
              <w:right w:val="nil"/>
            </w:tcBorders>
            <w:shd w:val="clear" w:color="auto" w:fill="auto"/>
            <w:noWrap/>
            <w:vAlign w:val="bottom"/>
            <w:hideMark/>
          </w:tcPr>
          <w:p w14:paraId="6F354A89" w14:textId="77777777" w:rsidR="000D6093" w:rsidRPr="008B619A" w:rsidRDefault="000D6093" w:rsidP="0053467D">
            <w:pPr>
              <w:widowControl/>
              <w:overflowPunct/>
              <w:autoSpaceDE/>
              <w:autoSpaceDN/>
              <w:jc w:val="right"/>
              <w:rPr>
                <w:rFonts w:ascii="Times New Roman" w:eastAsia="新細明體"/>
                <w:color w:val="000000" w:themeColor="text1"/>
                <w:kern w:val="0"/>
                <w:sz w:val="26"/>
                <w:szCs w:val="26"/>
              </w:rPr>
            </w:pPr>
            <w:r w:rsidRPr="008B619A">
              <w:rPr>
                <w:rFonts w:ascii="Times New Roman" w:eastAsia="新細明體"/>
                <w:color w:val="000000" w:themeColor="text1"/>
                <w:kern w:val="0"/>
                <w:sz w:val="26"/>
                <w:szCs w:val="26"/>
              </w:rPr>
              <w:t>67.24</w:t>
            </w:r>
          </w:p>
        </w:tc>
        <w:tc>
          <w:tcPr>
            <w:tcW w:w="1040" w:type="dxa"/>
            <w:tcBorders>
              <w:top w:val="nil"/>
              <w:left w:val="nil"/>
              <w:bottom w:val="nil"/>
              <w:right w:val="nil"/>
            </w:tcBorders>
            <w:shd w:val="clear" w:color="auto" w:fill="auto"/>
            <w:noWrap/>
            <w:vAlign w:val="bottom"/>
            <w:hideMark/>
          </w:tcPr>
          <w:p w14:paraId="6A796E17" w14:textId="77777777" w:rsidR="000D6093" w:rsidRPr="008B619A" w:rsidRDefault="000D6093" w:rsidP="0053467D">
            <w:pPr>
              <w:widowControl/>
              <w:overflowPunct/>
              <w:autoSpaceDE/>
              <w:autoSpaceDN/>
              <w:jc w:val="right"/>
              <w:rPr>
                <w:rFonts w:ascii="Times New Roman" w:eastAsia="新細明體"/>
                <w:color w:val="000000" w:themeColor="text1"/>
                <w:kern w:val="0"/>
                <w:sz w:val="26"/>
                <w:szCs w:val="26"/>
              </w:rPr>
            </w:pPr>
            <w:r w:rsidRPr="008B619A">
              <w:rPr>
                <w:rFonts w:ascii="Times New Roman" w:eastAsia="新細明體"/>
                <w:color w:val="000000" w:themeColor="text1"/>
                <w:kern w:val="0"/>
                <w:sz w:val="26"/>
                <w:szCs w:val="26"/>
              </w:rPr>
              <w:t>51.41</w:t>
            </w:r>
          </w:p>
        </w:tc>
        <w:tc>
          <w:tcPr>
            <w:tcW w:w="882" w:type="dxa"/>
            <w:tcBorders>
              <w:top w:val="nil"/>
              <w:left w:val="nil"/>
              <w:bottom w:val="nil"/>
              <w:right w:val="nil"/>
            </w:tcBorders>
            <w:shd w:val="clear" w:color="auto" w:fill="auto"/>
            <w:noWrap/>
            <w:vAlign w:val="bottom"/>
            <w:hideMark/>
          </w:tcPr>
          <w:p w14:paraId="750DFB1D" w14:textId="77777777" w:rsidR="000D6093" w:rsidRPr="008B619A" w:rsidRDefault="000D6093" w:rsidP="0053467D">
            <w:pPr>
              <w:widowControl/>
              <w:overflowPunct/>
              <w:autoSpaceDE/>
              <w:autoSpaceDN/>
              <w:jc w:val="right"/>
              <w:rPr>
                <w:rFonts w:ascii="Times New Roman" w:eastAsia="新細明體"/>
                <w:color w:val="000000" w:themeColor="text1"/>
                <w:kern w:val="0"/>
                <w:sz w:val="26"/>
                <w:szCs w:val="26"/>
              </w:rPr>
            </w:pPr>
            <w:r w:rsidRPr="008B619A">
              <w:rPr>
                <w:rFonts w:ascii="Times New Roman" w:eastAsia="新細明體"/>
                <w:color w:val="000000" w:themeColor="text1"/>
                <w:kern w:val="0"/>
                <w:sz w:val="26"/>
                <w:szCs w:val="26"/>
              </w:rPr>
              <w:t>66.00</w:t>
            </w:r>
          </w:p>
        </w:tc>
        <w:tc>
          <w:tcPr>
            <w:tcW w:w="882" w:type="dxa"/>
            <w:tcBorders>
              <w:top w:val="nil"/>
              <w:left w:val="nil"/>
              <w:bottom w:val="nil"/>
              <w:right w:val="nil"/>
            </w:tcBorders>
            <w:shd w:val="clear" w:color="auto" w:fill="auto"/>
            <w:noWrap/>
            <w:vAlign w:val="bottom"/>
            <w:hideMark/>
          </w:tcPr>
          <w:p w14:paraId="34677FF2" w14:textId="77777777" w:rsidR="000D6093" w:rsidRPr="008B619A" w:rsidRDefault="000D6093" w:rsidP="0053467D">
            <w:pPr>
              <w:widowControl/>
              <w:overflowPunct/>
              <w:autoSpaceDE/>
              <w:autoSpaceDN/>
              <w:jc w:val="right"/>
              <w:rPr>
                <w:rFonts w:ascii="Times New Roman" w:eastAsia="新細明體"/>
                <w:color w:val="000000" w:themeColor="text1"/>
                <w:kern w:val="0"/>
                <w:sz w:val="26"/>
                <w:szCs w:val="26"/>
              </w:rPr>
            </w:pPr>
            <w:r w:rsidRPr="008B619A">
              <w:rPr>
                <w:rFonts w:ascii="Times New Roman" w:eastAsia="新細明體"/>
                <w:color w:val="000000" w:themeColor="text1"/>
                <w:kern w:val="0"/>
                <w:sz w:val="26"/>
                <w:szCs w:val="26"/>
              </w:rPr>
              <w:t>74.13</w:t>
            </w:r>
          </w:p>
        </w:tc>
        <w:tc>
          <w:tcPr>
            <w:tcW w:w="1396" w:type="dxa"/>
            <w:tcBorders>
              <w:top w:val="nil"/>
              <w:left w:val="nil"/>
              <w:bottom w:val="nil"/>
              <w:right w:val="nil"/>
            </w:tcBorders>
            <w:shd w:val="clear" w:color="auto" w:fill="auto"/>
            <w:noWrap/>
            <w:vAlign w:val="bottom"/>
            <w:hideMark/>
          </w:tcPr>
          <w:p w14:paraId="01A43CDC" w14:textId="77777777" w:rsidR="000D6093" w:rsidRPr="008B619A" w:rsidRDefault="000D6093" w:rsidP="0053467D">
            <w:pPr>
              <w:widowControl/>
              <w:overflowPunct/>
              <w:autoSpaceDE/>
              <w:autoSpaceDN/>
              <w:jc w:val="right"/>
              <w:rPr>
                <w:rFonts w:ascii="Times New Roman" w:eastAsia="新細明體"/>
                <w:color w:val="000000" w:themeColor="text1"/>
                <w:kern w:val="0"/>
                <w:sz w:val="26"/>
                <w:szCs w:val="26"/>
              </w:rPr>
            </w:pPr>
            <w:r w:rsidRPr="008B619A">
              <w:rPr>
                <w:rFonts w:ascii="Times New Roman" w:eastAsia="新細明體"/>
                <w:color w:val="000000" w:themeColor="text1"/>
                <w:kern w:val="0"/>
                <w:sz w:val="26"/>
                <w:szCs w:val="26"/>
              </w:rPr>
              <w:t>63.17</w:t>
            </w:r>
          </w:p>
        </w:tc>
        <w:tc>
          <w:tcPr>
            <w:tcW w:w="882" w:type="dxa"/>
            <w:tcBorders>
              <w:top w:val="nil"/>
              <w:left w:val="nil"/>
              <w:bottom w:val="nil"/>
              <w:right w:val="nil"/>
            </w:tcBorders>
            <w:shd w:val="clear" w:color="auto" w:fill="auto"/>
            <w:noWrap/>
            <w:vAlign w:val="bottom"/>
            <w:hideMark/>
          </w:tcPr>
          <w:p w14:paraId="14BF8483" w14:textId="77777777" w:rsidR="000D6093" w:rsidRPr="008B619A" w:rsidRDefault="000D6093" w:rsidP="0053467D">
            <w:pPr>
              <w:widowControl/>
              <w:overflowPunct/>
              <w:autoSpaceDE/>
              <w:autoSpaceDN/>
              <w:jc w:val="right"/>
              <w:rPr>
                <w:rFonts w:ascii="Times New Roman" w:eastAsia="新細明體"/>
                <w:color w:val="000000" w:themeColor="text1"/>
                <w:kern w:val="0"/>
                <w:sz w:val="26"/>
                <w:szCs w:val="26"/>
              </w:rPr>
            </w:pPr>
            <w:r w:rsidRPr="008B619A">
              <w:rPr>
                <w:rFonts w:ascii="Times New Roman" w:eastAsia="新細明體"/>
                <w:color w:val="000000" w:themeColor="text1"/>
                <w:kern w:val="0"/>
                <w:sz w:val="26"/>
                <w:szCs w:val="26"/>
              </w:rPr>
              <w:t>61.61</w:t>
            </w:r>
          </w:p>
        </w:tc>
        <w:tc>
          <w:tcPr>
            <w:tcW w:w="1158" w:type="dxa"/>
            <w:tcBorders>
              <w:top w:val="nil"/>
              <w:left w:val="nil"/>
              <w:bottom w:val="nil"/>
              <w:right w:val="nil"/>
            </w:tcBorders>
            <w:shd w:val="clear" w:color="auto" w:fill="E5DFEC" w:themeFill="accent4" w:themeFillTint="33"/>
            <w:noWrap/>
            <w:vAlign w:val="bottom"/>
            <w:hideMark/>
          </w:tcPr>
          <w:p w14:paraId="124B5F19" w14:textId="77777777" w:rsidR="000D6093" w:rsidRPr="008B619A" w:rsidRDefault="000D6093" w:rsidP="0053467D">
            <w:pPr>
              <w:widowControl/>
              <w:overflowPunct/>
              <w:autoSpaceDE/>
              <w:autoSpaceDN/>
              <w:jc w:val="right"/>
              <w:rPr>
                <w:rFonts w:ascii="Times New Roman" w:eastAsia="新細明體"/>
                <w:b/>
                <w:color w:val="000000" w:themeColor="text1"/>
                <w:kern w:val="0"/>
                <w:sz w:val="26"/>
                <w:szCs w:val="26"/>
              </w:rPr>
            </w:pPr>
            <w:r w:rsidRPr="008B619A">
              <w:rPr>
                <w:rFonts w:ascii="Times New Roman" w:eastAsia="新細明體"/>
                <w:b/>
                <w:color w:val="000000" w:themeColor="text1"/>
                <w:kern w:val="0"/>
                <w:sz w:val="26"/>
                <w:szCs w:val="26"/>
              </w:rPr>
              <w:t>68.88</w:t>
            </w:r>
          </w:p>
        </w:tc>
      </w:tr>
    </w:tbl>
    <w:p w14:paraId="739F5C05" w14:textId="04DC7E5C" w:rsidR="0053467D" w:rsidRPr="008B619A" w:rsidRDefault="002B2484" w:rsidP="00065F84">
      <w:pPr>
        <w:spacing w:afterLines="50" w:after="228"/>
        <w:ind w:leftChars="-166" w:left="2" w:hangingChars="218" w:hanging="567"/>
        <w:rPr>
          <w:color w:val="000000" w:themeColor="text1"/>
          <w:sz w:val="24"/>
          <w:szCs w:val="24"/>
        </w:rPr>
      </w:pPr>
      <w:r w:rsidRPr="008B619A">
        <w:rPr>
          <w:rFonts w:hint="eastAsia"/>
          <w:color w:val="000000" w:themeColor="text1"/>
          <w:sz w:val="24"/>
          <w:szCs w:val="24"/>
        </w:rPr>
        <w:t>資料來源：</w:t>
      </w:r>
      <w:r w:rsidR="00B61E64" w:rsidRPr="008B619A">
        <w:rPr>
          <w:rFonts w:hint="eastAsia"/>
          <w:color w:val="000000" w:themeColor="text1"/>
          <w:sz w:val="24"/>
          <w:szCs w:val="24"/>
        </w:rPr>
        <w:t>摘錄自</w:t>
      </w:r>
      <w:r w:rsidR="00065F84" w:rsidRPr="008B619A">
        <w:rPr>
          <w:rFonts w:hint="eastAsia"/>
          <w:color w:val="000000" w:themeColor="text1"/>
          <w:sz w:val="24"/>
          <w:szCs w:val="24"/>
        </w:rPr>
        <w:t>行政院主計總處調查。</w:t>
      </w:r>
    </w:p>
    <w:p w14:paraId="4FD5C562" w14:textId="1D97DE4F" w:rsidR="000B5045" w:rsidRPr="008B619A" w:rsidRDefault="00D31458" w:rsidP="000B5045">
      <w:pPr>
        <w:pStyle w:val="4"/>
        <w:rPr>
          <w:color w:val="000000" w:themeColor="text1"/>
        </w:rPr>
      </w:pPr>
      <w:r w:rsidRPr="008B619A">
        <w:rPr>
          <w:rFonts w:hint="eastAsia"/>
          <w:color w:val="000000" w:themeColor="text1"/>
        </w:rPr>
        <w:t>依</w:t>
      </w:r>
      <w:r w:rsidR="000B5045" w:rsidRPr="008B619A">
        <w:rPr>
          <w:rFonts w:hint="eastAsia"/>
          <w:color w:val="000000" w:themeColor="text1"/>
        </w:rPr>
        <w:t>勞動部調查青年就業之狀況</w:t>
      </w:r>
      <w:r w:rsidR="000B5045" w:rsidRPr="008B619A">
        <w:rPr>
          <w:rStyle w:val="aff1"/>
          <w:color w:val="000000" w:themeColor="text1"/>
        </w:rPr>
        <w:footnoteReference w:id="38"/>
      </w:r>
      <w:r w:rsidR="000B5045" w:rsidRPr="008B619A">
        <w:rPr>
          <w:rFonts w:hint="eastAsia"/>
          <w:color w:val="000000" w:themeColor="text1"/>
        </w:rPr>
        <w:t>，針對</w:t>
      </w:r>
      <w:r w:rsidR="000B5045" w:rsidRPr="008B619A">
        <w:rPr>
          <w:rFonts w:hAnsi="標楷體" w:hint="eastAsia"/>
          <w:color w:val="000000" w:themeColor="text1"/>
        </w:rPr>
        <w:t>「</w:t>
      </w:r>
      <w:r w:rsidR="000B5045" w:rsidRPr="008B619A">
        <w:rPr>
          <w:rFonts w:hint="eastAsia"/>
          <w:color w:val="000000" w:themeColor="text1"/>
        </w:rPr>
        <w:t>青年勞工覺得學校所學與現職工作學以致用的程度</w:t>
      </w:r>
      <w:r w:rsidR="000B5045" w:rsidRPr="008B619A">
        <w:rPr>
          <w:rFonts w:hAnsi="標楷體" w:hint="eastAsia"/>
          <w:color w:val="000000" w:themeColor="text1"/>
        </w:rPr>
        <w:t>」</w:t>
      </w:r>
      <w:r w:rsidR="000B5045" w:rsidRPr="008B619A">
        <w:rPr>
          <w:rFonts w:hint="eastAsia"/>
          <w:color w:val="000000" w:themeColor="text1"/>
        </w:rPr>
        <w:t>，以五點式量表呈現</w:t>
      </w:r>
      <w:r w:rsidR="000B5045" w:rsidRPr="008B619A">
        <w:rPr>
          <w:rFonts w:hAnsi="標楷體" w:hint="eastAsia"/>
          <w:color w:val="000000" w:themeColor="text1"/>
        </w:rPr>
        <w:t>「很低」、「低」、「普通」、「高」、「</w:t>
      </w:r>
      <w:r w:rsidR="000B5045" w:rsidRPr="008B619A">
        <w:rPr>
          <w:rFonts w:hint="eastAsia"/>
          <w:color w:val="000000" w:themeColor="text1"/>
        </w:rPr>
        <w:t>很高</w:t>
      </w:r>
      <w:r w:rsidR="000B5045" w:rsidRPr="008B619A">
        <w:rPr>
          <w:rFonts w:hAnsi="標楷體" w:hint="eastAsia"/>
          <w:color w:val="000000" w:themeColor="text1"/>
        </w:rPr>
        <w:t>」，依序分別占</w:t>
      </w:r>
      <w:r w:rsidR="000B5045" w:rsidRPr="008B619A">
        <w:rPr>
          <w:rFonts w:hAnsi="標楷體"/>
          <w:color w:val="000000" w:themeColor="text1"/>
        </w:rPr>
        <w:t>5.65</w:t>
      </w:r>
      <w:r w:rsidR="000B5045" w:rsidRPr="008B619A">
        <w:rPr>
          <w:rFonts w:hAnsi="標楷體" w:hint="eastAsia"/>
          <w:color w:val="000000" w:themeColor="text1"/>
        </w:rPr>
        <w:t>%、</w:t>
      </w:r>
      <w:r w:rsidR="000B5045" w:rsidRPr="008B619A">
        <w:rPr>
          <w:rFonts w:hAnsi="標楷體"/>
          <w:color w:val="000000" w:themeColor="text1"/>
        </w:rPr>
        <w:t>8.67</w:t>
      </w:r>
      <w:r w:rsidR="000B5045" w:rsidRPr="008B619A">
        <w:rPr>
          <w:rFonts w:hAnsi="標楷體" w:hint="eastAsia"/>
          <w:color w:val="000000" w:themeColor="text1"/>
        </w:rPr>
        <w:t>%、</w:t>
      </w:r>
      <w:r w:rsidR="000B5045" w:rsidRPr="008B619A">
        <w:rPr>
          <w:rFonts w:hAnsi="標楷體"/>
          <w:color w:val="000000" w:themeColor="text1"/>
        </w:rPr>
        <w:t>36.26</w:t>
      </w:r>
      <w:r w:rsidR="000B5045" w:rsidRPr="008B619A">
        <w:rPr>
          <w:rFonts w:hAnsi="標楷體" w:hint="eastAsia"/>
          <w:color w:val="000000" w:themeColor="text1"/>
        </w:rPr>
        <w:t>%、</w:t>
      </w:r>
      <w:r w:rsidR="000B5045" w:rsidRPr="008B619A">
        <w:rPr>
          <w:rFonts w:hAnsi="標楷體"/>
          <w:color w:val="000000" w:themeColor="text1"/>
        </w:rPr>
        <w:t>34.08</w:t>
      </w:r>
      <w:r w:rsidR="000B5045" w:rsidRPr="008B619A">
        <w:rPr>
          <w:rFonts w:hAnsi="標楷體" w:hint="eastAsia"/>
          <w:color w:val="000000" w:themeColor="text1"/>
        </w:rPr>
        <w:t>%及15.34%。</w:t>
      </w:r>
      <w:r w:rsidR="000B5045" w:rsidRPr="008B619A">
        <w:rPr>
          <w:color w:val="000000" w:themeColor="text1"/>
        </w:rPr>
        <w:t>整體而言，教育程度為專科以上者，感到學以致用程度較高。</w:t>
      </w:r>
      <w:r w:rsidR="000B5045" w:rsidRPr="008B619A">
        <w:rPr>
          <w:rFonts w:hint="eastAsia"/>
          <w:color w:val="000000" w:themeColor="text1"/>
        </w:rPr>
        <w:t>與107年之調查結果相較，研究所以上認為學以致用之程度（</w:t>
      </w:r>
      <w:r w:rsidR="000B5045" w:rsidRPr="008B619A">
        <w:rPr>
          <w:rFonts w:hAnsi="標楷體" w:hint="eastAsia"/>
          <w:color w:val="000000" w:themeColor="text1"/>
        </w:rPr>
        <w:t>「普通」、「高」、「</w:t>
      </w:r>
      <w:r w:rsidR="000B5045" w:rsidRPr="008B619A">
        <w:rPr>
          <w:rFonts w:hint="eastAsia"/>
          <w:color w:val="000000" w:themeColor="text1"/>
        </w:rPr>
        <w:t>很高</w:t>
      </w:r>
      <w:r w:rsidR="000B5045" w:rsidRPr="008B619A">
        <w:rPr>
          <w:rFonts w:hAnsi="標楷體" w:hint="eastAsia"/>
          <w:color w:val="000000" w:themeColor="text1"/>
        </w:rPr>
        <w:t>」分別占41.1%、32.5%及14.1%</w:t>
      </w:r>
      <w:r w:rsidR="000B5045" w:rsidRPr="008B619A">
        <w:rPr>
          <w:rFonts w:hint="eastAsia"/>
          <w:color w:val="000000" w:themeColor="text1"/>
        </w:rPr>
        <w:t>），偏高群略增，而整體未見明顯提升。</w:t>
      </w:r>
    </w:p>
    <w:p w14:paraId="570224A1" w14:textId="77777777" w:rsidR="000B5045" w:rsidRPr="008B619A" w:rsidRDefault="000B5045" w:rsidP="00AC21D6">
      <w:pPr>
        <w:jc w:val="center"/>
        <w:rPr>
          <w:color w:val="000000" w:themeColor="text1"/>
        </w:rPr>
      </w:pPr>
      <w:r w:rsidRPr="008B619A">
        <w:rPr>
          <w:noProof/>
          <w:color w:val="000000" w:themeColor="text1"/>
        </w:rPr>
        <w:lastRenderedPageBreak/>
        <w:drawing>
          <wp:inline distT="0" distB="0" distL="0" distR="0" wp14:anchorId="55191537" wp14:editId="52893CAB">
            <wp:extent cx="5955527" cy="2851392"/>
            <wp:effectExtent l="0" t="0" r="7620" b="6350"/>
            <wp:docPr id="19" name="圖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圖片 19"/>
                    <pic:cNvPicPr/>
                  </pic:nvPicPr>
                  <pic:blipFill>
                    <a:blip r:embed="rId13">
                      <a:extLst>
                        <a:ext uri="{28A0092B-C50C-407E-A947-70E740481C1C}">
                          <a14:useLocalDpi xmlns:a14="http://schemas.microsoft.com/office/drawing/2010/main" val="0"/>
                        </a:ext>
                      </a:extLst>
                    </a:blip>
                    <a:stretch>
                      <a:fillRect/>
                    </a:stretch>
                  </pic:blipFill>
                  <pic:spPr>
                    <a:xfrm>
                      <a:off x="0" y="0"/>
                      <a:ext cx="5973073" cy="2859793"/>
                    </a:xfrm>
                    <a:prstGeom prst="rect">
                      <a:avLst/>
                    </a:prstGeom>
                  </pic:spPr>
                </pic:pic>
              </a:graphicData>
            </a:graphic>
          </wp:inline>
        </w:drawing>
      </w:r>
    </w:p>
    <w:p w14:paraId="08442123" w14:textId="77777777" w:rsidR="000B5045" w:rsidRPr="008B619A" w:rsidRDefault="000B5045" w:rsidP="000B5045">
      <w:pPr>
        <w:pStyle w:val="a1"/>
        <w:spacing w:after="120"/>
        <w:ind w:left="482" w:hanging="482"/>
        <w:rPr>
          <w:b/>
          <w:bCs w:val="0"/>
          <w:color w:val="000000" w:themeColor="text1"/>
        </w:rPr>
      </w:pPr>
      <w:r w:rsidRPr="008B619A">
        <w:rPr>
          <w:rFonts w:hint="eastAsia"/>
          <w:b/>
          <w:bCs w:val="0"/>
          <w:color w:val="000000" w:themeColor="text1"/>
        </w:rPr>
        <w:t>青年勞工覺得學校所學與現職工作學以致用的程度-學歷別</w:t>
      </w:r>
    </w:p>
    <w:p w14:paraId="38B7FDBA" w14:textId="77777777" w:rsidR="000B5045" w:rsidRPr="008B619A" w:rsidRDefault="000B5045" w:rsidP="000B5045">
      <w:pPr>
        <w:spacing w:afterLines="50" w:after="228" w:line="240" w:lineRule="exact"/>
        <w:jc w:val="center"/>
        <w:rPr>
          <w:color w:val="000000" w:themeColor="text1"/>
          <w:sz w:val="24"/>
          <w:szCs w:val="24"/>
        </w:rPr>
      </w:pPr>
      <w:r w:rsidRPr="008B619A">
        <w:rPr>
          <w:rFonts w:hint="eastAsia"/>
          <w:color w:val="000000" w:themeColor="text1"/>
          <w:sz w:val="24"/>
          <w:szCs w:val="24"/>
        </w:rPr>
        <w:t>資料來源：勞動部統計結果提要分析。</w:t>
      </w:r>
    </w:p>
    <w:p w14:paraId="058DA363" w14:textId="169AC787" w:rsidR="000B5045" w:rsidRPr="008B619A" w:rsidRDefault="00A13549" w:rsidP="00A13549">
      <w:pPr>
        <w:pStyle w:val="3"/>
        <w:ind w:leftChars="200"/>
        <w:rPr>
          <w:color w:val="000000" w:themeColor="text1"/>
        </w:rPr>
      </w:pPr>
      <w:r w:rsidRPr="008B619A">
        <w:rPr>
          <w:rFonts w:hint="eastAsia"/>
          <w:color w:val="000000" w:themeColor="text1"/>
        </w:rPr>
        <w:t>其次，</w:t>
      </w:r>
      <w:r w:rsidR="000B5045" w:rsidRPr="008B619A">
        <w:rPr>
          <w:rFonts w:hint="eastAsia"/>
          <w:color w:val="000000" w:themeColor="text1"/>
        </w:rPr>
        <w:t>關於博士非典型就業</w:t>
      </w:r>
      <w:r w:rsidR="005704D3" w:rsidRPr="008B619A">
        <w:rPr>
          <w:rFonts w:hint="eastAsia"/>
          <w:color w:val="000000" w:themeColor="text1"/>
        </w:rPr>
        <w:t>之</w:t>
      </w:r>
      <w:r w:rsidR="000B5045" w:rsidRPr="008B619A">
        <w:rPr>
          <w:rFonts w:hint="eastAsia"/>
          <w:color w:val="000000" w:themeColor="text1"/>
        </w:rPr>
        <w:t>情形，目前查詢官方相關統計仍以學歷研究所以上（含碩</w:t>
      </w:r>
      <w:r w:rsidR="000B5045" w:rsidRPr="008B619A">
        <w:rPr>
          <w:rFonts w:hAnsi="標楷體" w:hint="eastAsia"/>
          <w:color w:val="000000" w:themeColor="text1"/>
        </w:rPr>
        <w:t>、</w:t>
      </w:r>
      <w:r w:rsidR="000B5045" w:rsidRPr="008B619A">
        <w:rPr>
          <w:rFonts w:hint="eastAsia"/>
          <w:color w:val="000000" w:themeColor="text1"/>
        </w:rPr>
        <w:t>博士）為基礎，</w:t>
      </w:r>
      <w:r w:rsidR="00495475" w:rsidRPr="008B619A">
        <w:rPr>
          <w:rFonts w:hAnsi="標楷體"/>
          <w:color w:val="000000" w:themeColor="text1"/>
        </w:rPr>
        <w:t>109年</w:t>
      </w:r>
      <w:r w:rsidR="00495475" w:rsidRPr="008B619A">
        <w:rPr>
          <w:rFonts w:hAnsi="標楷體" w:hint="eastAsia"/>
          <w:color w:val="000000" w:themeColor="text1"/>
        </w:rPr>
        <w:t>國人</w:t>
      </w:r>
      <w:r w:rsidR="00495475" w:rsidRPr="008B619A">
        <w:rPr>
          <w:rFonts w:hAnsi="標楷體"/>
          <w:color w:val="000000" w:themeColor="text1"/>
        </w:rPr>
        <w:t>研究所以上學歷者失業率為3.04%</w:t>
      </w:r>
      <w:r w:rsidR="00495475" w:rsidRPr="008B619A">
        <w:rPr>
          <w:rFonts w:hAnsi="標楷體" w:hint="eastAsia"/>
          <w:color w:val="000000" w:themeColor="text1"/>
        </w:rPr>
        <w:t>、非典型就業人數為3.7萬人</w:t>
      </w:r>
      <w:r w:rsidR="00495475" w:rsidRPr="008B619A">
        <w:rPr>
          <w:rFonts w:hint="eastAsia"/>
          <w:color w:val="000000" w:themeColor="text1"/>
        </w:rPr>
        <w:t>，</w:t>
      </w:r>
      <w:r w:rsidR="000B5045" w:rsidRPr="008B619A">
        <w:rPr>
          <w:rFonts w:hint="eastAsia"/>
          <w:color w:val="000000" w:themeColor="text1"/>
        </w:rPr>
        <w:t>整體</w:t>
      </w:r>
      <w:r w:rsidR="00495475" w:rsidRPr="008B619A">
        <w:rPr>
          <w:rFonts w:hint="eastAsia"/>
          <w:color w:val="000000" w:themeColor="text1"/>
        </w:rPr>
        <w:t>趨勢</w:t>
      </w:r>
      <w:r w:rsidR="001A776D" w:rsidRPr="008B619A">
        <w:rPr>
          <w:rFonts w:hint="eastAsia"/>
          <w:color w:val="000000" w:themeColor="text1"/>
        </w:rPr>
        <w:t>及就業概況</w:t>
      </w:r>
      <w:r w:rsidR="009800F3" w:rsidRPr="008B619A">
        <w:rPr>
          <w:rFonts w:hint="eastAsia"/>
          <w:color w:val="000000" w:themeColor="text1"/>
        </w:rPr>
        <w:t>摘要</w:t>
      </w:r>
      <w:r w:rsidR="000B5045" w:rsidRPr="008B619A">
        <w:rPr>
          <w:rFonts w:hint="eastAsia"/>
          <w:color w:val="000000" w:themeColor="text1"/>
        </w:rPr>
        <w:t>如后：</w:t>
      </w:r>
    </w:p>
    <w:p w14:paraId="25C1C623" w14:textId="77777777" w:rsidR="000B5045" w:rsidRPr="008B619A" w:rsidRDefault="000B5045" w:rsidP="000B5045">
      <w:pPr>
        <w:pStyle w:val="4"/>
        <w:rPr>
          <w:color w:val="000000" w:themeColor="text1"/>
        </w:rPr>
      </w:pPr>
      <w:r w:rsidRPr="008B619A">
        <w:rPr>
          <w:rFonts w:hint="eastAsia"/>
          <w:color w:val="000000" w:themeColor="text1"/>
        </w:rPr>
        <w:t>依據行政院主計總處「人力資源調查」統計，109年國人研究所以上學歷者失業率為3.04%，較108年上升0.15%，較大學學歷者之5.46%為低；109年研究所以上學歷非典型就業人數為3.7萬人，占非典型就業人數4.6%。</w:t>
      </w:r>
    </w:p>
    <w:p w14:paraId="15DAF6E6" w14:textId="25816730" w:rsidR="000B5045" w:rsidRPr="008B619A" w:rsidRDefault="000B5045" w:rsidP="000B5045">
      <w:pPr>
        <w:pStyle w:val="4"/>
        <w:rPr>
          <w:color w:val="000000" w:themeColor="text1"/>
        </w:rPr>
      </w:pPr>
      <w:r w:rsidRPr="008B619A">
        <w:rPr>
          <w:rFonts w:hint="eastAsia"/>
          <w:color w:val="000000" w:themeColor="text1"/>
        </w:rPr>
        <w:t>復依勞動部「薪資行情及大專生就業導航」統計，109年10月博士畢業生平均尋職期間為1.29個月，較專科畢業生3.30個月及大學畢業生3.18個月為低；且74.2%的博士畢業生畢業後立即就業之比率亦較專科畢業生(約50%)與大學畢業生(約41%)高出甚多，顯示我國博士畢業生在就業市場仍具優勢。</w:t>
      </w:r>
    </w:p>
    <w:p w14:paraId="70605275" w14:textId="2BE8A367" w:rsidR="00F920C1" w:rsidRPr="008B619A" w:rsidRDefault="00F920C1" w:rsidP="000B5045">
      <w:pPr>
        <w:pStyle w:val="4"/>
        <w:rPr>
          <w:color w:val="000000" w:themeColor="text1"/>
        </w:rPr>
      </w:pPr>
      <w:r w:rsidRPr="008B619A">
        <w:rPr>
          <w:rFonts w:hint="eastAsia"/>
          <w:color w:val="000000" w:themeColor="text1"/>
        </w:rPr>
        <w:lastRenderedPageBreak/>
        <w:t>此外，據國發會分析勞動部「薪資行情及大專生就業導航」統計，108年7月底，博士畢業生平均薪資69,145元，較專科畢業生31,388元</w:t>
      </w:r>
      <w:r w:rsidRPr="008B619A">
        <w:rPr>
          <w:rFonts w:hAnsi="標楷體" w:hint="eastAsia"/>
          <w:color w:val="000000" w:themeColor="text1"/>
        </w:rPr>
        <w:t>、</w:t>
      </w:r>
      <w:r w:rsidRPr="008B619A">
        <w:rPr>
          <w:rFonts w:hint="eastAsia"/>
          <w:color w:val="000000" w:themeColor="text1"/>
        </w:rPr>
        <w:t>與大學畢業生30,632元為高；至109年7月底，博士畢業生平均薪資則達</w:t>
      </w:r>
      <w:r w:rsidRPr="008B619A">
        <w:rPr>
          <w:color w:val="000000" w:themeColor="text1"/>
        </w:rPr>
        <w:t>70,395</w:t>
      </w:r>
      <w:r w:rsidRPr="008B619A">
        <w:rPr>
          <w:rFonts w:hint="eastAsia"/>
          <w:color w:val="000000" w:themeColor="text1"/>
        </w:rPr>
        <w:t>元，亦明顯高於專科畢業生</w:t>
      </w:r>
      <w:r w:rsidRPr="008B619A">
        <w:rPr>
          <w:color w:val="000000" w:themeColor="text1"/>
        </w:rPr>
        <w:t>31,790</w:t>
      </w:r>
      <w:r w:rsidRPr="008B619A">
        <w:rPr>
          <w:rFonts w:hint="eastAsia"/>
          <w:color w:val="000000" w:themeColor="text1"/>
        </w:rPr>
        <w:t>及大學生</w:t>
      </w:r>
      <w:r w:rsidRPr="008B619A">
        <w:rPr>
          <w:color w:val="000000" w:themeColor="text1"/>
        </w:rPr>
        <w:t>32,025</w:t>
      </w:r>
      <w:r w:rsidRPr="008B619A">
        <w:rPr>
          <w:color w:val="000000" w:themeColor="text1"/>
        </w:rPr>
        <w:tab/>
      </w:r>
      <w:r w:rsidRPr="008B619A">
        <w:rPr>
          <w:rFonts w:hint="eastAsia"/>
          <w:color w:val="000000" w:themeColor="text1"/>
        </w:rPr>
        <w:t>元，顯示整體博士畢業生因專業度高，仍較易獲得高薪工作</w:t>
      </w:r>
      <w:r w:rsidR="00B2056C" w:rsidRPr="008B619A">
        <w:rPr>
          <w:rFonts w:hint="eastAsia"/>
          <w:color w:val="000000" w:themeColor="text1"/>
        </w:rPr>
        <w:t>。</w:t>
      </w:r>
    </w:p>
    <w:p w14:paraId="2124D9CF" w14:textId="5EC49210" w:rsidR="00446BD5" w:rsidRPr="008B619A" w:rsidRDefault="00D84262" w:rsidP="000B5045">
      <w:pPr>
        <w:pStyle w:val="3"/>
        <w:rPr>
          <w:color w:val="000000" w:themeColor="text1"/>
        </w:rPr>
      </w:pPr>
      <w:r w:rsidRPr="008B619A">
        <w:rPr>
          <w:rFonts w:hint="eastAsia"/>
          <w:color w:val="000000" w:themeColor="text1"/>
        </w:rPr>
        <w:t>復</w:t>
      </w:r>
      <w:r w:rsidR="000B5045" w:rsidRPr="008B619A">
        <w:rPr>
          <w:rFonts w:hint="eastAsia"/>
          <w:color w:val="000000" w:themeColor="text1"/>
        </w:rPr>
        <w:tab/>
      </w:r>
      <w:r w:rsidR="003C2175" w:rsidRPr="008B619A">
        <w:rPr>
          <w:rFonts w:hint="eastAsia"/>
          <w:color w:val="000000" w:themeColor="text1"/>
        </w:rPr>
        <w:t>依</w:t>
      </w:r>
      <w:r w:rsidR="00446BD5" w:rsidRPr="008B619A">
        <w:rPr>
          <w:rFonts w:hint="eastAsia"/>
          <w:color w:val="000000" w:themeColor="text1"/>
        </w:rPr>
        <w:t>國發會針對</w:t>
      </w:r>
      <w:r w:rsidR="00446BD5" w:rsidRPr="008B619A">
        <w:rPr>
          <w:color w:val="000000" w:themeColor="text1"/>
        </w:rPr>
        <w:t>2019</w:t>
      </w:r>
      <w:r w:rsidR="00446BD5" w:rsidRPr="008B619A">
        <w:rPr>
          <w:rFonts w:hint="eastAsia"/>
          <w:color w:val="000000" w:themeColor="text1"/>
        </w:rPr>
        <w:t>-2030年</w:t>
      </w:r>
      <w:r w:rsidR="00156E0D" w:rsidRPr="008B619A">
        <w:rPr>
          <w:rFonts w:hint="eastAsia"/>
          <w:color w:val="000000" w:themeColor="text1"/>
        </w:rPr>
        <w:t>整體</w:t>
      </w:r>
      <w:r w:rsidR="00446BD5" w:rsidRPr="008B619A">
        <w:rPr>
          <w:rFonts w:hint="eastAsia"/>
          <w:color w:val="000000" w:themeColor="text1"/>
        </w:rPr>
        <w:t>人力需求推估</w:t>
      </w:r>
      <w:r w:rsidR="00446BD5" w:rsidRPr="008B619A">
        <w:rPr>
          <w:rStyle w:val="aff1"/>
          <w:color w:val="000000" w:themeColor="text1"/>
        </w:rPr>
        <w:footnoteReference w:id="39"/>
      </w:r>
      <w:r w:rsidR="00446BD5" w:rsidRPr="008B619A">
        <w:rPr>
          <w:rFonts w:hint="eastAsia"/>
          <w:color w:val="000000" w:themeColor="text1"/>
        </w:rPr>
        <w:t>，指出如以高、中、低三階職業技術層次</w:t>
      </w:r>
      <w:r w:rsidR="00446BD5" w:rsidRPr="008B619A">
        <w:rPr>
          <w:rStyle w:val="aff1"/>
          <w:color w:val="000000" w:themeColor="text1"/>
        </w:rPr>
        <w:footnoteReference w:id="40"/>
      </w:r>
      <w:r w:rsidR="00446BD5" w:rsidRPr="008B619A">
        <w:rPr>
          <w:rFonts w:hint="eastAsia"/>
          <w:color w:val="000000" w:themeColor="text1"/>
        </w:rPr>
        <w:t>觀察，發現我國未來人力需求之結構變動將朝向高階及低階技術兩極化需求成長，而中階技術占比將逐漸降低；高、中及低階技術職業占比預估分別由2018年32.1%、35.7%、32.3%轉變為2030年之32.8%、34.7%及32.5%。</w:t>
      </w:r>
      <w:r w:rsidR="00163D87" w:rsidRPr="008B619A">
        <w:rPr>
          <w:rFonts w:hint="eastAsia"/>
          <w:color w:val="000000" w:themeColor="text1"/>
        </w:rPr>
        <w:t>基此</w:t>
      </w:r>
      <w:r w:rsidR="00446BD5" w:rsidRPr="008B619A">
        <w:rPr>
          <w:rFonts w:hint="eastAsia"/>
          <w:color w:val="000000" w:themeColor="text1"/>
        </w:rPr>
        <w:t>，針對人力需求高階結構之變化，有待各級機關及大專校院積極聯繫面對，以資因應。</w:t>
      </w:r>
    </w:p>
    <w:p w14:paraId="50AC1E91" w14:textId="47C0016E" w:rsidR="00A847B9" w:rsidRPr="008B619A" w:rsidRDefault="00A847B9" w:rsidP="000B5045">
      <w:pPr>
        <w:pStyle w:val="3"/>
        <w:rPr>
          <w:color w:val="000000" w:themeColor="text1"/>
        </w:rPr>
      </w:pPr>
      <w:r w:rsidRPr="008B619A">
        <w:rPr>
          <w:rFonts w:hint="eastAsia"/>
          <w:color w:val="000000" w:themeColor="text1"/>
        </w:rPr>
        <w:t>此外，</w:t>
      </w:r>
      <w:r w:rsidR="00E05057" w:rsidRPr="008B619A">
        <w:rPr>
          <w:rFonts w:hint="eastAsia"/>
          <w:color w:val="000000" w:themeColor="text1"/>
        </w:rPr>
        <w:t>依據</w:t>
      </w:r>
      <w:r w:rsidRPr="008B619A">
        <w:rPr>
          <w:rFonts w:hint="eastAsia"/>
          <w:color w:val="000000" w:themeColor="text1"/>
        </w:rPr>
        <w:t>國發會</w:t>
      </w:r>
      <w:r w:rsidRPr="008B619A">
        <w:rPr>
          <w:color w:val="000000" w:themeColor="text1"/>
        </w:rPr>
        <w:t>110-112年重點產業需跨部會協商解決之人才供需重要議題</w:t>
      </w:r>
      <w:r w:rsidR="0006344C" w:rsidRPr="008B619A">
        <w:rPr>
          <w:rFonts w:hint="eastAsia"/>
          <w:color w:val="000000" w:themeColor="text1"/>
        </w:rPr>
        <w:t>載明，</w:t>
      </w:r>
      <w:r w:rsidR="00314F45" w:rsidRPr="008B619A">
        <w:rPr>
          <w:color w:val="000000" w:themeColor="text1"/>
        </w:rPr>
        <w:t>隨著科技日新月異，各產業人才需求變化快速且愈趨複雜，人力供需相關對策也需採跨部會協商合作以達最佳效果，例如經濟部已與教育部、勞動部建立次長級平台會議、產學交流座談會等溝通平臺，如有需與教育部、勞動部協商解決之人才問題，將於平臺提案討論。</w:t>
      </w:r>
      <w:r w:rsidR="00314F45" w:rsidRPr="008B619A">
        <w:rPr>
          <w:rFonts w:hint="eastAsia"/>
          <w:color w:val="000000" w:themeColor="text1"/>
        </w:rPr>
        <w:t>然而，</w:t>
      </w:r>
      <w:r w:rsidR="00597654" w:rsidRPr="008B619A">
        <w:rPr>
          <w:rFonts w:hint="eastAsia"/>
          <w:color w:val="000000" w:themeColor="text1"/>
        </w:rPr>
        <w:t>該內容雖應</w:t>
      </w:r>
      <w:r w:rsidR="00597654" w:rsidRPr="008B619A">
        <w:rPr>
          <w:color w:val="000000" w:themeColor="text1"/>
        </w:rPr>
        <w:t>綜整</w:t>
      </w:r>
      <w:r w:rsidR="00597654" w:rsidRPr="008B619A">
        <w:rPr>
          <w:rFonts w:hint="eastAsia"/>
          <w:color w:val="000000" w:themeColor="text1"/>
        </w:rPr>
        <w:t>1</w:t>
      </w:r>
      <w:r w:rsidR="00597654" w:rsidRPr="008B619A">
        <w:rPr>
          <w:color w:val="000000" w:themeColor="text1"/>
        </w:rPr>
        <w:t>09年各部會辦理本案所提需跨部會協商解決之人才議題</w:t>
      </w:r>
      <w:r w:rsidR="00597654" w:rsidRPr="008B619A">
        <w:rPr>
          <w:rFonts w:hint="eastAsia"/>
          <w:color w:val="000000" w:themeColor="text1"/>
        </w:rPr>
        <w:t>，惟亦</w:t>
      </w:r>
      <w:r w:rsidR="003E532E" w:rsidRPr="008B619A">
        <w:rPr>
          <w:rFonts w:hint="eastAsia"/>
          <w:color w:val="000000" w:themeColor="text1"/>
        </w:rPr>
        <w:t>指明</w:t>
      </w:r>
      <w:r w:rsidR="003E532E" w:rsidRPr="008B619A">
        <w:rPr>
          <w:rFonts w:hAnsi="標楷體" w:hint="eastAsia"/>
          <w:color w:val="000000" w:themeColor="text1"/>
        </w:rPr>
        <w:t>「</w:t>
      </w:r>
      <w:r w:rsidR="009824E4" w:rsidRPr="008B619A">
        <w:rPr>
          <w:color w:val="000000" w:themeColor="text1"/>
        </w:rPr>
        <w:t>僅交通部觀光局針對觀光產業（旅行業、旅宿業及觀光遊</w:t>
      </w:r>
      <w:r w:rsidR="009824E4" w:rsidRPr="008B619A">
        <w:rPr>
          <w:color w:val="000000" w:themeColor="text1"/>
        </w:rPr>
        <w:lastRenderedPageBreak/>
        <w:t>樂業）提出相關議題如下：</w:t>
      </w:r>
      <w:r w:rsidR="00F67887" w:rsidRPr="008B619A">
        <w:rPr>
          <w:color w:val="000000" w:themeColor="text1"/>
        </w:rPr>
        <w:t>一、引進創新教學模式，縮減學用落差</w:t>
      </w:r>
      <w:r w:rsidR="007E07CD" w:rsidRPr="008B619A">
        <w:rPr>
          <w:rFonts w:hint="eastAsia"/>
          <w:color w:val="000000" w:themeColor="text1"/>
        </w:rPr>
        <w:t>……</w:t>
      </w:r>
      <w:r w:rsidR="005B0EB8" w:rsidRPr="008B619A">
        <w:rPr>
          <w:color w:val="000000" w:themeColor="text1"/>
        </w:rPr>
        <w:t>。</w:t>
      </w:r>
      <w:r w:rsidR="00D51503" w:rsidRPr="008B619A">
        <w:rPr>
          <w:color w:val="000000" w:themeColor="text1"/>
        </w:rPr>
        <w:t>二</w:t>
      </w:r>
      <w:r w:rsidR="007E07CD" w:rsidRPr="008B619A">
        <w:rPr>
          <w:color w:val="000000" w:themeColor="text1"/>
        </w:rPr>
        <w:t>、</w:t>
      </w:r>
      <w:r w:rsidR="005B0EB8" w:rsidRPr="008B619A">
        <w:rPr>
          <w:color w:val="000000" w:themeColor="text1"/>
        </w:rPr>
        <w:t>開設跨領域課程，訓練多元職能人才</w:t>
      </w:r>
      <w:r w:rsidR="005B0EB8" w:rsidRPr="008B619A">
        <w:rPr>
          <w:rFonts w:hint="eastAsia"/>
          <w:color w:val="000000" w:themeColor="text1"/>
        </w:rPr>
        <w:t>……</w:t>
      </w:r>
      <w:r w:rsidR="00AA61B7" w:rsidRPr="008B619A">
        <w:rPr>
          <w:rFonts w:hAnsi="標楷體" w:hint="eastAsia"/>
          <w:color w:val="000000" w:themeColor="text1"/>
        </w:rPr>
        <w:t>」</w:t>
      </w:r>
      <w:r w:rsidR="00AA61B7" w:rsidRPr="008B619A">
        <w:rPr>
          <w:rFonts w:hint="eastAsia"/>
          <w:color w:val="000000" w:themeColor="text1"/>
        </w:rPr>
        <w:t>等</w:t>
      </w:r>
      <w:r w:rsidR="000A6048" w:rsidRPr="008B619A">
        <w:rPr>
          <w:rFonts w:hint="eastAsia"/>
          <w:color w:val="000000" w:themeColor="text1"/>
        </w:rPr>
        <w:t>。</w:t>
      </w:r>
      <w:r w:rsidR="009E18C0" w:rsidRPr="008B619A">
        <w:rPr>
          <w:rFonts w:hint="eastAsia"/>
          <w:color w:val="000000" w:themeColor="text1"/>
        </w:rPr>
        <w:t>況</w:t>
      </w:r>
      <w:r w:rsidR="00D73252" w:rsidRPr="008B619A">
        <w:rPr>
          <w:rFonts w:hint="eastAsia"/>
          <w:color w:val="000000" w:themeColor="text1"/>
        </w:rPr>
        <w:t>本調查研究過程</w:t>
      </w:r>
      <w:r w:rsidR="006247F8" w:rsidRPr="008B619A">
        <w:rPr>
          <w:rFonts w:hint="eastAsia"/>
          <w:color w:val="000000" w:themeColor="text1"/>
        </w:rPr>
        <w:t>中，針對</w:t>
      </w:r>
      <w:r w:rsidR="00663900" w:rsidRPr="008B619A">
        <w:rPr>
          <w:rFonts w:hAnsi="標楷體" w:hint="eastAsia"/>
          <w:color w:val="000000" w:themeColor="text1"/>
        </w:rPr>
        <w:t>各機關統計區分表達博士類大數據仍</w:t>
      </w:r>
      <w:r w:rsidR="006247F8" w:rsidRPr="008B619A">
        <w:rPr>
          <w:rFonts w:hAnsi="標楷體" w:hint="eastAsia"/>
          <w:color w:val="000000" w:themeColor="text1"/>
        </w:rPr>
        <w:t>見</w:t>
      </w:r>
      <w:r w:rsidR="00663900" w:rsidRPr="008B619A">
        <w:rPr>
          <w:rFonts w:hAnsi="標楷體" w:hint="eastAsia"/>
          <w:color w:val="000000" w:themeColor="text1"/>
        </w:rPr>
        <w:t>各自為政，整合平台付之闕如，</w:t>
      </w:r>
      <w:r w:rsidR="004B5AE9" w:rsidRPr="008B619A">
        <w:rPr>
          <w:rFonts w:hAnsi="標楷體" w:hint="eastAsia"/>
          <w:color w:val="000000" w:themeColor="text1"/>
        </w:rPr>
        <w:t>相關</w:t>
      </w:r>
      <w:r w:rsidR="00663900" w:rsidRPr="008B619A">
        <w:rPr>
          <w:rFonts w:hAnsi="標楷體" w:hint="eastAsia"/>
          <w:color w:val="000000" w:themeColor="text1"/>
        </w:rPr>
        <w:t>橫向聯繫亟待強化</w:t>
      </w:r>
      <w:r w:rsidR="004B5AE9" w:rsidRPr="008B619A">
        <w:rPr>
          <w:rFonts w:hAnsi="標楷體" w:hint="eastAsia"/>
          <w:color w:val="000000" w:themeColor="text1"/>
        </w:rPr>
        <w:t>。</w:t>
      </w:r>
    </w:p>
    <w:p w14:paraId="6BD8A9EB" w14:textId="64BA679F" w:rsidR="00216BA9" w:rsidRPr="008B619A" w:rsidRDefault="00F1106B" w:rsidP="006611DE">
      <w:pPr>
        <w:pStyle w:val="3"/>
        <w:rPr>
          <w:color w:val="000000" w:themeColor="text1"/>
        </w:rPr>
      </w:pPr>
      <w:r w:rsidRPr="008B619A">
        <w:rPr>
          <w:rFonts w:hint="eastAsia"/>
          <w:color w:val="000000" w:themeColor="text1"/>
        </w:rPr>
        <w:t>本院</w:t>
      </w:r>
      <w:r w:rsidR="00216BA9" w:rsidRPr="008B619A">
        <w:rPr>
          <w:rFonts w:hint="eastAsia"/>
          <w:color w:val="000000" w:themeColor="text1"/>
        </w:rPr>
        <w:t>除辦理履勘座談會議</w:t>
      </w:r>
      <w:r w:rsidR="00592DA0" w:rsidRPr="008B619A">
        <w:rPr>
          <w:rFonts w:hint="eastAsia"/>
          <w:color w:val="000000" w:themeColor="text1"/>
        </w:rPr>
        <w:t>，與學界及產業界代表進行對談</w:t>
      </w:r>
      <w:r w:rsidR="00216BA9" w:rsidRPr="008B619A">
        <w:rPr>
          <w:rFonts w:hint="eastAsia"/>
          <w:color w:val="000000" w:themeColor="text1"/>
        </w:rPr>
        <w:t>外，並曾</w:t>
      </w:r>
      <w:r w:rsidR="006D1362" w:rsidRPr="008B619A">
        <w:rPr>
          <w:rFonts w:hint="eastAsia"/>
          <w:color w:val="000000" w:themeColor="text1"/>
        </w:rPr>
        <w:t>就博士就業議題曾</w:t>
      </w:r>
      <w:r w:rsidRPr="008B619A">
        <w:rPr>
          <w:rFonts w:hint="eastAsia"/>
          <w:color w:val="000000" w:themeColor="text1"/>
        </w:rPr>
        <w:t>諮詢專家學者</w:t>
      </w:r>
      <w:r w:rsidR="00216BA9" w:rsidRPr="008B619A">
        <w:rPr>
          <w:rFonts w:hint="eastAsia"/>
          <w:color w:val="000000" w:themeColor="text1"/>
        </w:rPr>
        <w:t>，相關</w:t>
      </w:r>
      <w:r w:rsidR="007514BC" w:rsidRPr="008B619A">
        <w:rPr>
          <w:rFonts w:hint="eastAsia"/>
          <w:color w:val="000000" w:themeColor="text1"/>
        </w:rPr>
        <w:t>實務</w:t>
      </w:r>
      <w:r w:rsidR="00216BA9" w:rsidRPr="008B619A">
        <w:rPr>
          <w:rFonts w:hint="eastAsia"/>
          <w:color w:val="000000" w:themeColor="text1"/>
        </w:rPr>
        <w:t>意見</w:t>
      </w:r>
      <w:r w:rsidR="00D12460" w:rsidRPr="008B619A">
        <w:rPr>
          <w:rFonts w:hint="eastAsia"/>
          <w:color w:val="000000" w:themeColor="text1"/>
        </w:rPr>
        <w:t>多</w:t>
      </w:r>
      <w:r w:rsidR="00216BA9" w:rsidRPr="008B619A">
        <w:rPr>
          <w:rFonts w:hint="eastAsia"/>
          <w:color w:val="000000" w:themeColor="text1"/>
        </w:rPr>
        <w:t>指出，</w:t>
      </w:r>
      <w:r w:rsidR="007514BC" w:rsidRPr="008B619A">
        <w:rPr>
          <w:rFonts w:hint="eastAsia"/>
          <w:color w:val="000000" w:themeColor="text1"/>
        </w:rPr>
        <w:t>現行碩博士之薪水差距仍有期待提升之空間，</w:t>
      </w:r>
      <w:r w:rsidR="00D12460" w:rsidRPr="008B619A">
        <w:rPr>
          <w:rFonts w:hint="eastAsia"/>
          <w:color w:val="000000" w:themeColor="text1"/>
        </w:rPr>
        <w:t>舉體內容摘要</w:t>
      </w:r>
      <w:r w:rsidR="007514BC" w:rsidRPr="008B619A">
        <w:rPr>
          <w:rFonts w:hint="eastAsia"/>
          <w:color w:val="000000" w:themeColor="text1"/>
        </w:rPr>
        <w:t>臚列如下：</w:t>
      </w:r>
    </w:p>
    <w:p w14:paraId="2CAA07F3" w14:textId="3523FA8A" w:rsidR="006611DE" w:rsidRPr="008B619A" w:rsidRDefault="00F1106B" w:rsidP="00216BA9">
      <w:pPr>
        <w:pStyle w:val="4"/>
        <w:rPr>
          <w:color w:val="000000" w:themeColor="text1"/>
        </w:rPr>
      </w:pPr>
      <w:r w:rsidRPr="008B619A">
        <w:rPr>
          <w:rFonts w:hint="eastAsia"/>
          <w:color w:val="000000" w:themeColor="text1"/>
        </w:rPr>
        <w:t>「很多人說博士找不到工作，但是理工博士比較好找，反而是博士教師人才被其他國家挖角。我們工程領域的老師有很多對岸、香港來挖的，大學教師的薪水應該要跟軍公教脫鉤</w:t>
      </w:r>
      <w:r w:rsidR="005A0E5D" w:rsidRPr="008B619A">
        <w:rPr>
          <w:rFonts w:hint="eastAsia"/>
          <w:color w:val="000000" w:themeColor="text1"/>
        </w:rPr>
        <w:t>，否則會降低臺灣的競爭力。</w:t>
      </w:r>
      <w:r w:rsidRPr="008B619A">
        <w:rPr>
          <w:rFonts w:hint="eastAsia"/>
          <w:color w:val="000000" w:themeColor="text1"/>
        </w:rPr>
        <w:t>」</w:t>
      </w:r>
    </w:p>
    <w:p w14:paraId="25B5E90D" w14:textId="6F812BC4" w:rsidR="00985000" w:rsidRPr="008B619A" w:rsidRDefault="001B1265" w:rsidP="00985000">
      <w:pPr>
        <w:pStyle w:val="4"/>
        <w:rPr>
          <w:color w:val="000000" w:themeColor="text1"/>
        </w:rPr>
      </w:pPr>
      <w:r w:rsidRPr="008B619A">
        <w:rPr>
          <w:rFonts w:hint="eastAsia"/>
          <w:color w:val="000000" w:themeColor="text1"/>
        </w:rPr>
        <w:t>據</w:t>
      </w:r>
      <w:r w:rsidR="00A13515" w:rsidRPr="008B619A">
        <w:rPr>
          <w:rFonts w:hint="eastAsia"/>
          <w:color w:val="000000" w:themeColor="text1"/>
        </w:rPr>
        <w:t>產業界代表指稱，</w:t>
      </w:r>
      <w:r w:rsidR="00856129" w:rsidRPr="008B619A">
        <w:rPr>
          <w:rFonts w:hint="eastAsia"/>
          <w:color w:val="000000" w:themeColor="text1"/>
        </w:rPr>
        <w:t>「</w:t>
      </w:r>
      <w:r w:rsidR="00985000" w:rsidRPr="008B619A">
        <w:rPr>
          <w:rFonts w:hint="eastAsia"/>
          <w:color w:val="000000" w:themeColor="text1"/>
        </w:rPr>
        <w:t>博士生的專長是研究跟開發，博士的薪資普遍會較高，而企業的研究經費比例必須要提高，才能負擔進用更多博士生，目前聘用中部的碩士生大部分是進用國立中興大學、逢甲大學等學校。目前碩士生供給已經足夠滿足</w:t>
      </w:r>
      <w:r w:rsidR="00533DA5" w:rsidRPr="008B619A">
        <w:rPr>
          <w:rFonts w:hint="eastAsia"/>
          <w:color w:val="000000" w:themeColor="text1"/>
        </w:rPr>
        <w:t>該</w:t>
      </w:r>
      <w:r w:rsidR="00856129" w:rsidRPr="008B619A">
        <w:rPr>
          <w:rFonts w:hint="eastAsia"/>
          <w:color w:val="000000" w:themeColor="text1"/>
        </w:rPr>
        <w:t>公</w:t>
      </w:r>
      <w:r w:rsidR="00985000" w:rsidRPr="008B619A">
        <w:rPr>
          <w:rFonts w:hint="eastAsia"/>
          <w:color w:val="000000" w:themeColor="text1"/>
        </w:rPr>
        <w:t>司</w:t>
      </w:r>
      <w:r w:rsidR="00533DA5" w:rsidRPr="008B619A">
        <w:rPr>
          <w:rFonts w:hint="eastAsia"/>
          <w:color w:val="000000" w:themeColor="text1"/>
        </w:rPr>
        <w:t>之</w:t>
      </w:r>
      <w:r w:rsidR="00985000" w:rsidRPr="008B619A">
        <w:rPr>
          <w:rFonts w:hint="eastAsia"/>
          <w:color w:val="000000" w:themeColor="text1"/>
        </w:rPr>
        <w:t>需求</w:t>
      </w:r>
      <w:r w:rsidR="00856129" w:rsidRPr="008B619A">
        <w:rPr>
          <w:rFonts w:hint="eastAsia"/>
          <w:color w:val="000000" w:themeColor="text1"/>
        </w:rPr>
        <w:t>。」</w:t>
      </w:r>
    </w:p>
    <w:p w14:paraId="03A722E3" w14:textId="426DA6B5" w:rsidR="00356B84" w:rsidRPr="008B619A" w:rsidRDefault="00356B84" w:rsidP="00356B84">
      <w:pPr>
        <w:pStyle w:val="4"/>
        <w:rPr>
          <w:color w:val="000000" w:themeColor="text1"/>
        </w:rPr>
      </w:pPr>
      <w:r w:rsidRPr="008B619A">
        <w:rPr>
          <w:rFonts w:hint="eastAsia"/>
          <w:color w:val="000000" w:themeColor="text1"/>
        </w:rPr>
        <w:t>「本校近年成立產業博士班（智慧機械與智慧製造產業博士學位學程及前瞻電資科技產業博士學位學程），就業之後未來的方向是比較確定的。從一開始的3位，目前一年11位，註冊率迄今都是百分之百。我們也很希望優秀的碩士生能夠深造博士，但是學生仍會考量經濟問題及未來薪資效益。」</w:t>
      </w:r>
    </w:p>
    <w:p w14:paraId="7F3B1889" w14:textId="2B44C01D" w:rsidR="00356B84" w:rsidRPr="008B619A" w:rsidRDefault="008E4A1A" w:rsidP="00216BA9">
      <w:pPr>
        <w:pStyle w:val="4"/>
        <w:rPr>
          <w:color w:val="000000" w:themeColor="text1"/>
        </w:rPr>
      </w:pPr>
      <w:r w:rsidRPr="008B619A">
        <w:rPr>
          <w:rFonts w:hAnsi="標楷體" w:hint="eastAsia"/>
          <w:color w:val="000000" w:themeColor="text1"/>
        </w:rPr>
        <w:t>「</w:t>
      </w:r>
      <w:r w:rsidRPr="008B619A">
        <w:rPr>
          <w:rFonts w:hAnsi="標楷體" w:hint="eastAsia"/>
          <w:color w:val="000000" w:themeColor="text1"/>
          <w:szCs w:val="32"/>
        </w:rPr>
        <w:t>來唸本校博士班主要是已經就業，且是為了尋求職涯發展來念博士班，所以在薪資調查部分，沒有比博士剛畢業的調查結果來的滿意</w:t>
      </w:r>
      <w:r w:rsidRPr="008B619A">
        <w:rPr>
          <w:rFonts w:hAnsi="標楷體" w:hint="eastAsia"/>
          <w:color w:val="000000" w:themeColor="text1"/>
        </w:rPr>
        <w:t>。」</w:t>
      </w:r>
    </w:p>
    <w:p w14:paraId="3D7D7B07" w14:textId="36C6ED1F" w:rsidR="0077548C" w:rsidRPr="008B619A" w:rsidRDefault="0077548C" w:rsidP="0077548C">
      <w:pPr>
        <w:pStyle w:val="4"/>
        <w:rPr>
          <w:color w:val="000000" w:themeColor="text1"/>
        </w:rPr>
      </w:pPr>
      <w:r w:rsidRPr="008B619A">
        <w:rPr>
          <w:rFonts w:hAnsi="標楷體" w:hint="eastAsia"/>
          <w:color w:val="000000" w:themeColor="text1"/>
        </w:rPr>
        <w:lastRenderedPageBreak/>
        <w:t>「</w:t>
      </w:r>
      <w:r w:rsidRPr="008B619A">
        <w:rPr>
          <w:rFonts w:hint="eastAsia"/>
          <w:color w:val="000000" w:themeColor="text1"/>
        </w:rPr>
        <w:t>目前還有很多家庭成長環境較不佳的學生，但是相當上進，從大學、出國等相關政策，都需要國家幫忙、政策幫忙。除了醫學體系相當完整，其他產業較沒有完整的培育及就業薪資保障的體系</w:t>
      </w:r>
      <w:r w:rsidRPr="008B619A">
        <w:rPr>
          <w:rFonts w:hAnsi="標楷體" w:hint="eastAsia"/>
          <w:color w:val="000000" w:themeColor="text1"/>
        </w:rPr>
        <w:t>。」</w:t>
      </w:r>
    </w:p>
    <w:p w14:paraId="45E492BF" w14:textId="2FDA3A0A" w:rsidR="00873A0F" w:rsidRPr="008B619A" w:rsidRDefault="00873A0F" w:rsidP="000A2F47">
      <w:pPr>
        <w:pStyle w:val="3"/>
        <w:rPr>
          <w:color w:val="000000" w:themeColor="text1"/>
        </w:rPr>
      </w:pPr>
      <w:r w:rsidRPr="008B619A">
        <w:rPr>
          <w:rFonts w:hint="eastAsia"/>
          <w:color w:val="000000" w:themeColor="text1"/>
        </w:rPr>
        <w:t>揆諸我國政府針對博士就業分析之整體數據資料尚有改善空間，參考學者</w:t>
      </w:r>
      <w:r w:rsidR="000B5680" w:rsidRPr="008B619A">
        <w:rPr>
          <w:rFonts w:hint="eastAsia"/>
          <w:color w:val="000000" w:themeColor="text1"/>
        </w:rPr>
        <w:t>林怡君</w:t>
      </w:r>
      <w:r w:rsidR="000B5680" w:rsidRPr="008B619A">
        <w:rPr>
          <w:rFonts w:hAnsi="標楷體" w:hint="eastAsia"/>
          <w:color w:val="000000" w:themeColor="text1"/>
        </w:rPr>
        <w:t>、</w:t>
      </w:r>
      <w:r w:rsidR="000B5680" w:rsidRPr="008B619A">
        <w:rPr>
          <w:rFonts w:hint="eastAsia"/>
          <w:color w:val="000000" w:themeColor="text1"/>
        </w:rPr>
        <w:t>林仁傑（民110）</w:t>
      </w:r>
      <w:r w:rsidR="002D618D" w:rsidRPr="008B619A">
        <w:rPr>
          <w:rFonts w:hint="eastAsia"/>
          <w:color w:val="000000" w:themeColor="text1"/>
        </w:rPr>
        <w:t>甫</w:t>
      </w:r>
      <w:r w:rsidRPr="008B619A">
        <w:rPr>
          <w:rFonts w:hint="eastAsia"/>
          <w:color w:val="000000" w:themeColor="text1"/>
        </w:rPr>
        <w:t>提出之</w:t>
      </w:r>
      <w:r w:rsidR="00CF3275" w:rsidRPr="008B619A">
        <w:rPr>
          <w:rFonts w:hint="eastAsia"/>
          <w:color w:val="000000" w:themeColor="text1"/>
        </w:rPr>
        <w:t>國際比較及</w:t>
      </w:r>
      <w:r w:rsidR="002D618D" w:rsidRPr="008B619A">
        <w:rPr>
          <w:rFonts w:hint="eastAsia"/>
          <w:color w:val="000000" w:themeColor="text1"/>
        </w:rPr>
        <w:t>針對</w:t>
      </w:r>
      <w:r w:rsidR="000E3011" w:rsidRPr="008B619A">
        <w:rPr>
          <w:rFonts w:hint="eastAsia"/>
          <w:color w:val="000000" w:themeColor="text1"/>
        </w:rPr>
        <w:t>政府</w:t>
      </w:r>
      <w:r w:rsidR="00A831D1" w:rsidRPr="008B619A">
        <w:rPr>
          <w:rFonts w:hint="eastAsia"/>
          <w:color w:val="000000" w:themeColor="text1"/>
        </w:rPr>
        <w:t>發展</w:t>
      </w:r>
      <w:r w:rsidR="002D618D" w:rsidRPr="008B619A">
        <w:rPr>
          <w:rFonts w:hint="eastAsia"/>
          <w:color w:val="000000" w:themeColor="text1"/>
        </w:rPr>
        <w:t>博士</w:t>
      </w:r>
      <w:r w:rsidR="000E3011" w:rsidRPr="008B619A">
        <w:rPr>
          <w:rFonts w:hint="eastAsia"/>
          <w:color w:val="000000" w:themeColor="text1"/>
        </w:rPr>
        <w:t>政策</w:t>
      </w:r>
      <w:r w:rsidR="002D618D" w:rsidRPr="008B619A">
        <w:rPr>
          <w:rFonts w:hint="eastAsia"/>
          <w:color w:val="000000" w:themeColor="text1"/>
        </w:rPr>
        <w:t>之</w:t>
      </w:r>
      <w:r w:rsidR="006C5DDD" w:rsidRPr="008B619A">
        <w:rPr>
          <w:rFonts w:hint="eastAsia"/>
          <w:color w:val="000000" w:themeColor="text1"/>
        </w:rPr>
        <w:t>相關</w:t>
      </w:r>
      <w:r w:rsidR="00785977" w:rsidRPr="008B619A">
        <w:rPr>
          <w:rFonts w:hint="eastAsia"/>
          <w:color w:val="000000" w:themeColor="text1"/>
        </w:rPr>
        <w:t>建議略以</w:t>
      </w:r>
      <w:r w:rsidR="00CF3275" w:rsidRPr="008B619A">
        <w:rPr>
          <w:rStyle w:val="aff1"/>
          <w:color w:val="000000" w:themeColor="text1"/>
        </w:rPr>
        <w:footnoteReference w:id="41"/>
      </w:r>
      <w:r w:rsidR="00EF7C95" w:rsidRPr="008B619A">
        <w:rPr>
          <w:rFonts w:hint="eastAsia"/>
          <w:color w:val="000000" w:themeColor="text1"/>
        </w:rPr>
        <w:t>：</w:t>
      </w:r>
      <w:r w:rsidR="00785977" w:rsidRPr="008B619A">
        <w:rPr>
          <w:rFonts w:hAnsi="標楷體" w:hint="eastAsia"/>
          <w:color w:val="000000" w:themeColor="text1"/>
        </w:rPr>
        <w:t>「</w:t>
      </w:r>
      <w:r w:rsidR="00785977" w:rsidRPr="008B619A">
        <w:rPr>
          <w:color w:val="000000" w:themeColor="text1"/>
        </w:rPr>
        <w:t>對照美國的</w:t>
      </w:r>
      <w:r w:rsidR="00C417AC" w:rsidRPr="008B619A">
        <w:rPr>
          <w:rFonts w:hAnsi="標楷體" w:hint="eastAsia"/>
          <w:color w:val="000000" w:themeColor="text1"/>
        </w:rPr>
        <w:t>『</w:t>
      </w:r>
      <w:r w:rsidR="00785977" w:rsidRPr="008B619A">
        <w:rPr>
          <w:rFonts w:ascii="Times New Roman" w:hAnsi="Times New Roman"/>
          <w:color w:val="000000" w:themeColor="text1"/>
        </w:rPr>
        <w:t>Cheeky Scientist</w:t>
      </w:r>
      <w:r w:rsidR="00785977" w:rsidRPr="008B619A">
        <w:rPr>
          <w:color w:val="000000" w:themeColor="text1"/>
        </w:rPr>
        <w:t>網站</w:t>
      </w:r>
      <w:r w:rsidR="00C417AC" w:rsidRPr="008B619A">
        <w:rPr>
          <w:rFonts w:hAnsi="標楷體" w:hint="eastAsia"/>
          <w:color w:val="000000" w:themeColor="text1"/>
        </w:rPr>
        <w:t>』</w:t>
      </w:r>
      <w:r w:rsidR="00785977" w:rsidRPr="008B619A">
        <w:rPr>
          <w:color w:val="000000" w:themeColor="text1"/>
        </w:rPr>
        <w:t>（</w:t>
      </w:r>
      <w:r w:rsidR="00785977" w:rsidRPr="008B619A">
        <w:rPr>
          <w:rFonts w:ascii="Times New Roman" w:hAnsi="Times New Roman"/>
          <w:color w:val="000000" w:themeColor="text1"/>
        </w:rPr>
        <w:t>http://cheekyscientist.com/</w:t>
      </w:r>
      <w:r w:rsidR="00785977" w:rsidRPr="008B619A">
        <w:rPr>
          <w:color w:val="000000" w:themeColor="text1"/>
        </w:rPr>
        <w:t>），運用物聯網之概念將產業中的上游人力資源，鏈結至下游之研發資訊發布與銷售，</w:t>
      </w:r>
      <w:r w:rsidR="00E90BA6" w:rsidRPr="008B619A">
        <w:rPr>
          <w:color w:val="000000" w:themeColor="text1"/>
        </w:rPr>
        <w:t>以推廣研究成果之應用，</w:t>
      </w:r>
      <w:r w:rsidR="00785977" w:rsidRPr="008B619A">
        <w:rPr>
          <w:rFonts w:ascii="Times New Roman" w:hAnsi="Times New Roman"/>
          <w:color w:val="000000" w:themeColor="text1"/>
        </w:rPr>
        <w:t>Cheeky Scientist</w:t>
      </w:r>
      <w:r w:rsidR="00785977" w:rsidRPr="008B619A">
        <w:rPr>
          <w:color w:val="000000" w:themeColor="text1"/>
        </w:rPr>
        <w:t>網站因此得服務博士生轉銜進入職場之就業活動。這類網站之出現，提供目前正在國內就業市場上夾縫中求生的教育學門新科博士，一個欣羨的他山之石，也成為若有心協助青年就業問題的政府單位，一個參酌的施力之點</w:t>
      </w:r>
      <w:r w:rsidR="00785977" w:rsidRPr="008B619A">
        <w:rPr>
          <w:rFonts w:hAnsi="標楷體" w:hint="eastAsia"/>
          <w:color w:val="000000" w:themeColor="text1"/>
        </w:rPr>
        <w:t>」</w:t>
      </w:r>
      <w:r w:rsidR="00702A05" w:rsidRPr="008B619A">
        <w:rPr>
          <w:rFonts w:hAnsi="標楷體" w:hint="eastAsia"/>
          <w:color w:val="000000" w:themeColor="text1"/>
        </w:rPr>
        <w:t>、「</w:t>
      </w:r>
      <w:r w:rsidR="00702A05" w:rsidRPr="008B619A">
        <w:rPr>
          <w:color w:val="000000" w:themeColor="text1"/>
        </w:rPr>
        <w:t>即便以主管機關教育部而言，也未能提供人才需求量的真實數據，而僅能提供不包含取得國外學位之本地博士人力供給總量</w:t>
      </w:r>
      <w:r w:rsidR="00702A05" w:rsidRPr="008B619A">
        <w:rPr>
          <w:rFonts w:hAnsi="標楷體" w:hint="eastAsia"/>
          <w:color w:val="000000" w:themeColor="text1"/>
        </w:rPr>
        <w:t>」</w:t>
      </w:r>
      <w:r w:rsidR="008556F1" w:rsidRPr="008B619A">
        <w:rPr>
          <w:rFonts w:hAnsi="標楷體" w:hint="eastAsia"/>
          <w:color w:val="000000" w:themeColor="text1"/>
        </w:rPr>
        <w:t>及「</w:t>
      </w:r>
      <w:r w:rsidR="00B034B7" w:rsidRPr="008B619A">
        <w:rPr>
          <w:color w:val="000000" w:themeColor="text1"/>
        </w:rPr>
        <w:t>教育部相關數據的未能直接公開使用乙事，仍倍感惋惜，也會因此受到審閱的質疑，所以仍建議在未來可允許的空間下，盡可能地向大眾開放這些大數據外，也能簡易化資料獲取的方便性，同時亦利於教育部的政策從研究的發表中向外界政策散布</w:t>
      </w:r>
      <w:r w:rsidR="008556F1" w:rsidRPr="008B619A">
        <w:rPr>
          <w:rFonts w:hAnsi="標楷體" w:hint="eastAsia"/>
          <w:color w:val="000000" w:themeColor="text1"/>
        </w:rPr>
        <w:t>」</w:t>
      </w:r>
      <w:r w:rsidRPr="008B619A">
        <w:rPr>
          <w:rFonts w:hint="eastAsia"/>
          <w:color w:val="000000" w:themeColor="text1"/>
        </w:rPr>
        <w:t>，</w:t>
      </w:r>
      <w:r w:rsidR="009C7C93" w:rsidRPr="008B619A">
        <w:rPr>
          <w:rFonts w:hint="eastAsia"/>
          <w:color w:val="000000" w:themeColor="text1"/>
        </w:rPr>
        <w:t>足見，無論實務或研究需求，各機關統計區分表達博士類數據及產業需求仍有各自為政情形，整合平台付之闕如，</w:t>
      </w:r>
      <w:r w:rsidR="00785977" w:rsidRPr="008B619A">
        <w:rPr>
          <w:rFonts w:hint="eastAsia"/>
          <w:color w:val="000000" w:themeColor="text1"/>
        </w:rPr>
        <w:t>亟待政府參酌，以</w:t>
      </w:r>
      <w:r w:rsidR="00CF5310" w:rsidRPr="008B619A">
        <w:rPr>
          <w:rFonts w:hint="eastAsia"/>
          <w:color w:val="000000" w:themeColor="text1"/>
        </w:rPr>
        <w:t>積極</w:t>
      </w:r>
      <w:r w:rsidR="00785977" w:rsidRPr="008B619A">
        <w:rPr>
          <w:rFonts w:hint="eastAsia"/>
          <w:color w:val="000000" w:themeColor="text1"/>
        </w:rPr>
        <w:t>強化各類</w:t>
      </w:r>
      <w:r w:rsidR="00785977" w:rsidRPr="008B619A">
        <w:rPr>
          <w:rFonts w:hint="eastAsia"/>
          <w:color w:val="000000" w:themeColor="text1"/>
        </w:rPr>
        <w:lastRenderedPageBreak/>
        <w:t>資訊聯繫</w:t>
      </w:r>
      <w:r w:rsidR="00B034B7" w:rsidRPr="008B619A">
        <w:rPr>
          <w:rFonts w:hint="eastAsia"/>
          <w:color w:val="000000" w:themeColor="text1"/>
        </w:rPr>
        <w:t>。</w:t>
      </w:r>
    </w:p>
    <w:p w14:paraId="64A67D8D" w14:textId="00F3E309" w:rsidR="00136446" w:rsidRPr="008B619A" w:rsidRDefault="000A2F47" w:rsidP="008322EC">
      <w:pPr>
        <w:pStyle w:val="3"/>
        <w:rPr>
          <w:color w:val="000000" w:themeColor="text1"/>
        </w:rPr>
      </w:pPr>
      <w:r w:rsidRPr="008B619A">
        <w:rPr>
          <w:rFonts w:hint="eastAsia"/>
          <w:color w:val="000000" w:themeColor="text1"/>
        </w:rPr>
        <w:t>綜上，</w:t>
      </w:r>
      <w:r w:rsidR="00136446" w:rsidRPr="008B619A">
        <w:rPr>
          <w:rFonts w:hint="eastAsia"/>
          <w:color w:val="000000" w:themeColor="text1"/>
        </w:rPr>
        <w:t>全球化及知識經濟之脈絡下，博士級人才牽動國家研發能量，是我國科研及學術發展之重要基石，107年我國研究所學歷的勞動力參與率首度跌破7成（68.97%），至109年再降為68.90%，復依</w:t>
      </w:r>
      <w:r w:rsidR="00136446" w:rsidRPr="008B619A">
        <w:rPr>
          <w:color w:val="000000" w:themeColor="text1"/>
        </w:rPr>
        <w:t>主計總處</w:t>
      </w:r>
      <w:r w:rsidR="00136446" w:rsidRPr="008B619A">
        <w:rPr>
          <w:rFonts w:hint="eastAsia"/>
          <w:color w:val="000000" w:themeColor="text1"/>
        </w:rPr>
        <w:t>調查統計，</w:t>
      </w:r>
      <w:r w:rsidR="00136446" w:rsidRPr="008B619A">
        <w:rPr>
          <w:color w:val="000000" w:themeColor="text1"/>
        </w:rPr>
        <w:t>109年</w:t>
      </w:r>
      <w:r w:rsidR="00136446" w:rsidRPr="008B619A">
        <w:rPr>
          <w:rFonts w:hint="eastAsia"/>
          <w:color w:val="000000" w:themeColor="text1"/>
        </w:rPr>
        <w:t>國人</w:t>
      </w:r>
      <w:r w:rsidR="00136446" w:rsidRPr="008B619A">
        <w:rPr>
          <w:color w:val="000000" w:themeColor="text1"/>
        </w:rPr>
        <w:t>研究所以上學歷者失業率為3.04%</w:t>
      </w:r>
      <w:r w:rsidR="00136446" w:rsidRPr="008B619A">
        <w:rPr>
          <w:rFonts w:hint="eastAsia"/>
          <w:color w:val="000000" w:themeColor="text1"/>
        </w:rPr>
        <w:t>、非典型就業人數為3.7萬人，占非典型就業人數4.6%，足見整體高學歷者</w:t>
      </w:r>
      <w:r w:rsidR="00136446" w:rsidRPr="008B619A">
        <w:rPr>
          <w:color w:val="000000" w:themeColor="text1"/>
        </w:rPr>
        <w:t>就業環境日趨嚴峻</w:t>
      </w:r>
      <w:r w:rsidR="00136446" w:rsidRPr="008B619A">
        <w:rPr>
          <w:rFonts w:hint="eastAsia"/>
          <w:color w:val="000000" w:themeColor="text1"/>
        </w:rPr>
        <w:t>；</w:t>
      </w:r>
      <w:r w:rsidR="008703B7" w:rsidRPr="008B619A">
        <w:rPr>
          <w:rFonts w:hint="eastAsia"/>
          <w:color w:val="000000" w:themeColor="text1"/>
        </w:rPr>
        <w:t>其中，理工類博士之就業機會雖尚未見明顯困境，然</w:t>
      </w:r>
      <w:r w:rsidR="008703B7" w:rsidRPr="008B619A">
        <w:rPr>
          <w:rFonts w:hAnsi="標楷體" w:hint="eastAsia"/>
          <w:color w:val="000000" w:themeColor="text1"/>
        </w:rPr>
        <w:t>因就學年限延後職場累積年資等因，均不利其養成，況相較於國外先進國家博士級人才薪資，我國各領域博士薪資均有期待提升之空間，而</w:t>
      </w:r>
      <w:r w:rsidR="008703B7" w:rsidRPr="008B619A">
        <w:rPr>
          <w:rFonts w:hint="eastAsia"/>
          <w:color w:val="000000" w:themeColor="text1"/>
        </w:rPr>
        <w:t>部分領域博士班畢業後難尋合適職位，實為全球共同現象之一</w:t>
      </w:r>
      <w:r w:rsidR="008703B7" w:rsidRPr="008B619A">
        <w:rPr>
          <w:rFonts w:hAnsi="標楷體" w:hint="eastAsia"/>
          <w:color w:val="000000" w:themeColor="text1"/>
        </w:rPr>
        <w:t>，</w:t>
      </w:r>
      <w:r w:rsidR="008703B7" w:rsidRPr="008B619A">
        <w:rPr>
          <w:color w:val="000000" w:themeColor="text1"/>
        </w:rPr>
        <w:t>近年</w:t>
      </w:r>
      <w:r w:rsidR="008703B7" w:rsidRPr="008B619A">
        <w:rPr>
          <w:rFonts w:hint="eastAsia"/>
          <w:color w:val="000000" w:themeColor="text1"/>
        </w:rPr>
        <w:t>研究報導</w:t>
      </w:r>
      <w:r w:rsidR="008703B7" w:rsidRPr="008B619A">
        <w:rPr>
          <w:color w:val="000000" w:themeColor="text1"/>
        </w:rPr>
        <w:t>不乏以</w:t>
      </w:r>
      <w:r w:rsidR="008703B7" w:rsidRPr="008B619A">
        <w:rPr>
          <w:rFonts w:hAnsi="標楷體" w:hint="eastAsia"/>
          <w:color w:val="000000" w:themeColor="text1"/>
        </w:rPr>
        <w:t>臺灣博士失業及低度就業等為</w:t>
      </w:r>
      <w:r w:rsidR="008703B7" w:rsidRPr="008B619A">
        <w:rPr>
          <w:rFonts w:hAnsi="標楷體"/>
          <w:color w:val="000000" w:themeColor="text1"/>
        </w:rPr>
        <w:t>題</w:t>
      </w:r>
      <w:r w:rsidR="008703B7" w:rsidRPr="008B619A">
        <w:rPr>
          <w:rFonts w:hAnsi="標楷體" w:hint="eastAsia"/>
          <w:color w:val="000000" w:themeColor="text1"/>
        </w:rPr>
        <w:t>材</w:t>
      </w:r>
      <w:r w:rsidR="008703B7" w:rsidRPr="008B619A">
        <w:rPr>
          <w:rFonts w:hAnsi="標楷體"/>
          <w:color w:val="000000" w:themeColor="text1"/>
        </w:rPr>
        <w:t>，</w:t>
      </w:r>
      <w:r w:rsidR="008703B7" w:rsidRPr="008B619A">
        <w:rPr>
          <w:rFonts w:hAnsi="標楷體" w:hint="eastAsia"/>
          <w:color w:val="000000" w:themeColor="text1"/>
        </w:rPr>
        <w:t>然</w:t>
      </w:r>
      <w:r w:rsidR="008703B7" w:rsidRPr="008B619A">
        <w:rPr>
          <w:rFonts w:hAnsi="標楷體"/>
          <w:color w:val="000000" w:themeColor="text1"/>
        </w:rPr>
        <w:t>多</w:t>
      </w:r>
      <w:r w:rsidR="008703B7" w:rsidRPr="008B619A">
        <w:rPr>
          <w:rFonts w:hAnsi="標楷體" w:hint="eastAsia"/>
          <w:color w:val="000000" w:themeColor="text1"/>
        </w:rPr>
        <w:t>屬個案探討，尚難梳理</w:t>
      </w:r>
      <w:r w:rsidR="008703B7" w:rsidRPr="008B619A">
        <w:rPr>
          <w:rFonts w:hAnsi="標楷體"/>
          <w:color w:val="000000" w:themeColor="text1"/>
        </w:rPr>
        <w:t>整體全貌，</w:t>
      </w:r>
      <w:r w:rsidR="008703B7" w:rsidRPr="008B619A">
        <w:rPr>
          <w:rFonts w:hint="eastAsia"/>
          <w:color w:val="000000" w:themeColor="text1"/>
        </w:rPr>
        <w:t>且</w:t>
      </w:r>
      <w:r w:rsidR="008703B7" w:rsidRPr="008B619A">
        <w:rPr>
          <w:rFonts w:hAnsi="標楷體" w:hint="eastAsia"/>
          <w:color w:val="000000" w:themeColor="text1"/>
        </w:rPr>
        <w:t>各機關統計區分表達博士類數據及產業需求仍有各自為政情形，整合平台付之闕如，</w:t>
      </w:r>
      <w:r w:rsidR="008322EC" w:rsidRPr="008B619A">
        <w:rPr>
          <w:rFonts w:hint="eastAsia"/>
          <w:color w:val="000000" w:themeColor="text1"/>
        </w:rPr>
        <w:t>各類統計資訊及相關橫向聯繫亟待積極整合及強化</w:t>
      </w:r>
      <w:r w:rsidR="000B6DB2" w:rsidRPr="008B619A">
        <w:rPr>
          <w:rFonts w:hint="eastAsia"/>
          <w:color w:val="000000" w:themeColor="text1"/>
        </w:rPr>
        <w:t>。</w:t>
      </w:r>
    </w:p>
    <w:p w14:paraId="27598B8A" w14:textId="77777777" w:rsidR="001C1870" w:rsidRPr="008B619A" w:rsidRDefault="001C1870" w:rsidP="001C1870">
      <w:pPr>
        <w:rPr>
          <w:color w:val="000000" w:themeColor="text1"/>
        </w:rPr>
      </w:pPr>
    </w:p>
    <w:p w14:paraId="142B0148" w14:textId="3DA28EA4" w:rsidR="008D5988" w:rsidRPr="008B619A" w:rsidRDefault="00BD1247" w:rsidP="003A7D36">
      <w:pPr>
        <w:pStyle w:val="2"/>
        <w:rPr>
          <w:color w:val="000000" w:themeColor="text1"/>
        </w:rPr>
      </w:pPr>
      <w:bookmarkStart w:id="82" w:name="_Toc76980141"/>
      <w:r w:rsidRPr="008B619A">
        <w:rPr>
          <w:rFonts w:hAnsi="標楷體" w:hint="eastAsia"/>
          <w:b/>
          <w:bCs w:val="0"/>
          <w:color w:val="000000" w:themeColor="text1"/>
        </w:rPr>
        <w:t>博士</w:t>
      </w:r>
      <w:r w:rsidR="005C51CF" w:rsidRPr="008B619A">
        <w:rPr>
          <w:rFonts w:hAnsi="標楷體" w:hint="eastAsia"/>
          <w:b/>
          <w:bCs w:val="0"/>
          <w:color w:val="000000" w:themeColor="text1"/>
        </w:rPr>
        <w:t>研發人力</w:t>
      </w:r>
      <w:r w:rsidR="00CC0A41" w:rsidRPr="008B619A">
        <w:rPr>
          <w:b/>
          <w:bCs w:val="0"/>
          <w:color w:val="000000" w:themeColor="text1"/>
        </w:rPr>
        <w:t>是衡量國家科技實力</w:t>
      </w:r>
      <w:r w:rsidR="00CC0A41" w:rsidRPr="008B619A">
        <w:rPr>
          <w:rFonts w:hint="eastAsia"/>
          <w:b/>
          <w:bCs w:val="0"/>
          <w:color w:val="000000" w:themeColor="text1"/>
        </w:rPr>
        <w:t>之</w:t>
      </w:r>
      <w:r w:rsidR="00CC0A41" w:rsidRPr="008B619A">
        <w:rPr>
          <w:b/>
          <w:bCs w:val="0"/>
          <w:color w:val="000000" w:themeColor="text1"/>
        </w:rPr>
        <w:t>重要指標之一，</w:t>
      </w:r>
      <w:r w:rsidR="00681A51" w:rsidRPr="008B619A">
        <w:rPr>
          <w:rFonts w:hint="eastAsia"/>
          <w:b/>
          <w:bCs w:val="0"/>
          <w:color w:val="000000" w:themeColor="text1"/>
        </w:rPr>
        <w:t>研</w:t>
      </w:r>
      <w:r w:rsidR="0021732A" w:rsidRPr="008B619A">
        <w:rPr>
          <w:rFonts w:hint="eastAsia"/>
          <w:b/>
          <w:bCs w:val="0"/>
          <w:color w:val="000000" w:themeColor="text1"/>
        </w:rPr>
        <w:t>發與創新</w:t>
      </w:r>
      <w:r w:rsidR="0032546E" w:rsidRPr="008B619A">
        <w:rPr>
          <w:rFonts w:hint="eastAsia"/>
          <w:b/>
          <w:bCs w:val="0"/>
          <w:color w:val="000000" w:themeColor="text1"/>
        </w:rPr>
        <w:t>需求</w:t>
      </w:r>
      <w:r w:rsidR="00681A51" w:rsidRPr="008B619A">
        <w:rPr>
          <w:rFonts w:hint="eastAsia"/>
          <w:b/>
          <w:bCs w:val="0"/>
          <w:color w:val="000000" w:themeColor="text1"/>
        </w:rPr>
        <w:t>迫切</w:t>
      </w:r>
      <w:r w:rsidR="0021732A" w:rsidRPr="008B619A">
        <w:rPr>
          <w:rFonts w:hint="eastAsia"/>
          <w:b/>
          <w:bCs w:val="0"/>
          <w:color w:val="000000" w:themeColor="text1"/>
        </w:rPr>
        <w:t>，</w:t>
      </w:r>
      <w:r w:rsidR="00B577E4" w:rsidRPr="008B619A">
        <w:rPr>
          <w:rFonts w:hint="eastAsia"/>
          <w:b/>
          <w:bCs w:val="0"/>
          <w:color w:val="000000" w:themeColor="text1"/>
        </w:rPr>
        <w:t>目前</w:t>
      </w:r>
      <w:r w:rsidR="00DC4FA6" w:rsidRPr="008B619A">
        <w:rPr>
          <w:rFonts w:hint="eastAsia"/>
          <w:b/>
          <w:bCs w:val="0"/>
          <w:color w:val="000000" w:themeColor="text1"/>
        </w:rPr>
        <w:t>我國</w:t>
      </w:r>
      <w:r w:rsidR="00DB6DDD" w:rsidRPr="008B619A">
        <w:rPr>
          <w:rFonts w:hint="eastAsia"/>
          <w:b/>
          <w:bCs w:val="0"/>
          <w:color w:val="000000" w:themeColor="text1"/>
        </w:rPr>
        <w:t>博士學歷之研發人力雖有逐年</w:t>
      </w:r>
      <w:r w:rsidR="00B66965" w:rsidRPr="008B619A">
        <w:rPr>
          <w:rFonts w:hint="eastAsia"/>
          <w:b/>
          <w:bCs w:val="0"/>
          <w:color w:val="000000" w:themeColor="text1"/>
        </w:rPr>
        <w:t>略</w:t>
      </w:r>
      <w:r w:rsidR="00DB6DDD" w:rsidRPr="008B619A">
        <w:rPr>
          <w:rFonts w:hint="eastAsia"/>
          <w:b/>
          <w:bCs w:val="0"/>
          <w:color w:val="000000" w:themeColor="text1"/>
        </w:rPr>
        <w:t>增，</w:t>
      </w:r>
      <w:r w:rsidR="00225F93" w:rsidRPr="008B619A">
        <w:rPr>
          <w:rFonts w:hint="eastAsia"/>
          <w:b/>
          <w:bCs w:val="0"/>
          <w:color w:val="000000" w:themeColor="text1"/>
        </w:rPr>
        <w:t>惟產業界長期依賴碩士人才，與國外博士高階人才競爭實屬相對不利；況</w:t>
      </w:r>
      <w:r w:rsidRPr="008B619A">
        <w:rPr>
          <w:rFonts w:hAnsi="標楷體"/>
          <w:b/>
          <w:bCs w:val="0"/>
          <w:color w:val="000000" w:themeColor="text1"/>
        </w:rPr>
        <w:t>103-10</w:t>
      </w:r>
      <w:r w:rsidRPr="008B619A">
        <w:rPr>
          <w:rFonts w:hAnsi="標楷體" w:hint="eastAsia"/>
          <w:b/>
          <w:bCs w:val="0"/>
          <w:color w:val="000000" w:themeColor="text1"/>
        </w:rPr>
        <w:t>9年</w:t>
      </w:r>
      <w:r w:rsidR="00A157E4" w:rsidRPr="008B619A">
        <w:rPr>
          <w:rFonts w:hAnsi="標楷體" w:hint="eastAsia"/>
          <w:b/>
          <w:bCs w:val="0"/>
          <w:color w:val="000000" w:themeColor="text1"/>
        </w:rPr>
        <w:t>博士人才</w:t>
      </w:r>
      <w:r w:rsidR="001D48EB" w:rsidRPr="008B619A">
        <w:rPr>
          <w:rFonts w:hAnsi="標楷體" w:hint="eastAsia"/>
          <w:b/>
          <w:bCs w:val="0"/>
          <w:color w:val="000000" w:themeColor="text1"/>
        </w:rPr>
        <w:t>就業結構</w:t>
      </w:r>
      <w:r w:rsidR="00915354" w:rsidRPr="008B619A">
        <w:rPr>
          <w:rFonts w:hAnsi="標楷體" w:hint="eastAsia"/>
          <w:b/>
          <w:bCs w:val="0"/>
          <w:color w:val="000000" w:themeColor="text1"/>
        </w:rPr>
        <w:t>相對集中於政府部門及高等教育部門</w:t>
      </w:r>
      <w:r w:rsidR="00C422B5" w:rsidRPr="008B619A">
        <w:rPr>
          <w:rFonts w:hAnsi="標楷體" w:hint="eastAsia"/>
          <w:b/>
          <w:bCs w:val="0"/>
          <w:color w:val="000000" w:themeColor="text1"/>
        </w:rPr>
        <w:t>（合計</w:t>
      </w:r>
      <w:r w:rsidR="007667A2" w:rsidRPr="008B619A">
        <w:rPr>
          <w:rFonts w:hAnsi="標楷體" w:hint="eastAsia"/>
          <w:b/>
          <w:bCs w:val="0"/>
          <w:color w:val="000000" w:themeColor="text1"/>
        </w:rPr>
        <w:t>占比</w:t>
      </w:r>
      <w:r w:rsidR="00C422B5" w:rsidRPr="008B619A">
        <w:rPr>
          <w:rFonts w:hAnsi="標楷體" w:hint="eastAsia"/>
          <w:b/>
          <w:bCs w:val="0"/>
          <w:color w:val="000000" w:themeColor="text1"/>
        </w:rPr>
        <w:t>約8成）</w:t>
      </w:r>
      <w:r w:rsidR="00915354" w:rsidRPr="008B619A">
        <w:rPr>
          <w:rFonts w:hAnsi="標楷體" w:hint="eastAsia"/>
          <w:b/>
          <w:bCs w:val="0"/>
          <w:color w:val="000000" w:themeColor="text1"/>
        </w:rPr>
        <w:t>，</w:t>
      </w:r>
      <w:r w:rsidR="00882C29" w:rsidRPr="008B619A">
        <w:rPr>
          <w:rFonts w:hAnsi="標楷體" w:hint="eastAsia"/>
          <w:b/>
          <w:bCs w:val="0"/>
          <w:color w:val="000000" w:themeColor="text1"/>
        </w:rPr>
        <w:t>僅</w:t>
      </w:r>
      <w:r w:rsidR="00EC1FB6" w:rsidRPr="008B619A">
        <w:rPr>
          <w:rFonts w:hAnsi="標楷體" w:hint="eastAsia"/>
          <w:b/>
          <w:bCs w:val="0"/>
          <w:color w:val="000000" w:themeColor="text1"/>
        </w:rPr>
        <w:t>未達</w:t>
      </w:r>
      <w:r w:rsidR="009356EE" w:rsidRPr="008B619A">
        <w:rPr>
          <w:rFonts w:hAnsi="標楷體" w:hint="eastAsia"/>
          <w:b/>
          <w:bCs w:val="0"/>
          <w:color w:val="000000" w:themeColor="text1"/>
        </w:rPr>
        <w:t>2</w:t>
      </w:r>
      <w:r w:rsidRPr="008B619A">
        <w:rPr>
          <w:rFonts w:hAnsi="標楷體" w:hint="eastAsia"/>
          <w:b/>
          <w:bCs w:val="0"/>
          <w:color w:val="000000" w:themeColor="text1"/>
        </w:rPr>
        <w:t>成投入產業就業</w:t>
      </w:r>
      <w:r w:rsidR="00A472FF" w:rsidRPr="008B619A">
        <w:rPr>
          <w:rFonts w:hAnsi="標楷體" w:hint="eastAsia"/>
          <w:b/>
          <w:bCs w:val="0"/>
          <w:color w:val="000000" w:themeColor="text1"/>
        </w:rPr>
        <w:t>，雖有逐年上升趨勢</w:t>
      </w:r>
      <w:r w:rsidRPr="008B619A">
        <w:rPr>
          <w:rFonts w:hAnsi="標楷體" w:hint="eastAsia"/>
          <w:b/>
          <w:bCs w:val="0"/>
          <w:color w:val="000000" w:themeColor="text1"/>
        </w:rPr>
        <w:t>，</w:t>
      </w:r>
      <w:r w:rsidR="004F00D4" w:rsidRPr="008B619A">
        <w:rPr>
          <w:rFonts w:hAnsi="標楷體" w:hint="eastAsia"/>
          <w:b/>
          <w:bCs w:val="0"/>
          <w:color w:val="000000" w:themeColor="text1"/>
        </w:rPr>
        <w:t>然</w:t>
      </w:r>
      <w:r w:rsidR="004A2B6E" w:rsidRPr="008B619A">
        <w:rPr>
          <w:rFonts w:hAnsi="標楷體" w:hint="eastAsia"/>
          <w:b/>
          <w:bCs w:val="0"/>
          <w:color w:val="000000" w:themeColor="text1"/>
        </w:rPr>
        <w:t>高階</w:t>
      </w:r>
      <w:r w:rsidR="00DB268C" w:rsidRPr="008B619A">
        <w:rPr>
          <w:rFonts w:hAnsi="標楷體" w:hint="eastAsia"/>
          <w:b/>
          <w:bCs w:val="0"/>
          <w:color w:val="000000" w:themeColor="text1"/>
        </w:rPr>
        <w:t>研究人力亦多</w:t>
      </w:r>
      <w:r w:rsidR="00BC6EE0" w:rsidRPr="008B619A">
        <w:rPr>
          <w:rFonts w:hAnsi="標楷體" w:hint="eastAsia"/>
          <w:b/>
          <w:bCs w:val="0"/>
          <w:color w:val="000000" w:themeColor="text1"/>
        </w:rPr>
        <w:t>集中於</w:t>
      </w:r>
      <w:r w:rsidR="00F37DE7" w:rsidRPr="008B619A">
        <w:rPr>
          <w:rFonts w:hAnsi="標楷體" w:hint="eastAsia"/>
          <w:b/>
          <w:bCs w:val="0"/>
          <w:color w:val="000000" w:themeColor="text1"/>
        </w:rPr>
        <w:t>前20大廠商，</w:t>
      </w:r>
      <w:r w:rsidR="00997827" w:rsidRPr="008B619A">
        <w:rPr>
          <w:rFonts w:hAnsi="標楷體" w:hint="eastAsia"/>
          <w:b/>
          <w:bCs w:val="0"/>
          <w:color w:val="000000" w:themeColor="text1"/>
        </w:rPr>
        <w:t>反觀</w:t>
      </w:r>
      <w:r w:rsidR="00AB030E" w:rsidRPr="008B619A">
        <w:rPr>
          <w:rFonts w:hint="eastAsia"/>
          <w:b/>
          <w:bCs w:val="0"/>
          <w:color w:val="000000" w:themeColor="text1"/>
          <w:szCs w:val="32"/>
        </w:rPr>
        <w:t>占我國產業結構</w:t>
      </w:r>
      <w:r w:rsidR="000B743D" w:rsidRPr="008B619A">
        <w:rPr>
          <w:rFonts w:hint="eastAsia"/>
          <w:b/>
          <w:bCs w:val="0"/>
          <w:color w:val="000000" w:themeColor="text1"/>
          <w:szCs w:val="32"/>
        </w:rPr>
        <w:t>逾</w:t>
      </w:r>
      <w:r w:rsidR="000B743D" w:rsidRPr="008B619A">
        <w:rPr>
          <w:b/>
          <w:bCs w:val="0"/>
          <w:color w:val="000000" w:themeColor="text1"/>
          <w:szCs w:val="32"/>
        </w:rPr>
        <w:t>9</w:t>
      </w:r>
      <w:r w:rsidR="000B743D" w:rsidRPr="008B619A">
        <w:rPr>
          <w:rFonts w:hint="eastAsia"/>
          <w:b/>
          <w:bCs w:val="0"/>
          <w:color w:val="000000" w:themeColor="text1"/>
          <w:szCs w:val="32"/>
        </w:rPr>
        <w:t>8</w:t>
      </w:r>
      <w:r w:rsidR="000B743D" w:rsidRPr="008B619A">
        <w:rPr>
          <w:b/>
          <w:bCs w:val="0"/>
          <w:color w:val="000000" w:themeColor="text1"/>
          <w:szCs w:val="32"/>
        </w:rPr>
        <w:t>%</w:t>
      </w:r>
      <w:r w:rsidR="00AB030E" w:rsidRPr="008B619A">
        <w:rPr>
          <w:rFonts w:hint="eastAsia"/>
          <w:b/>
          <w:bCs w:val="0"/>
          <w:color w:val="000000" w:themeColor="text1"/>
          <w:szCs w:val="32"/>
        </w:rPr>
        <w:t>的中小企業</w:t>
      </w:r>
      <w:r w:rsidR="00D77F56" w:rsidRPr="008B619A">
        <w:rPr>
          <w:rFonts w:hAnsi="標楷體" w:hint="eastAsia"/>
          <w:b/>
          <w:bCs w:val="0"/>
          <w:color w:val="000000" w:themeColor="text1"/>
        </w:rPr>
        <w:t>之</w:t>
      </w:r>
      <w:r w:rsidR="004F33DA" w:rsidRPr="008B619A">
        <w:rPr>
          <w:rFonts w:hAnsi="標楷體" w:hint="eastAsia"/>
          <w:b/>
          <w:bCs w:val="0"/>
          <w:color w:val="000000" w:themeColor="text1"/>
        </w:rPr>
        <w:t>高階研發</w:t>
      </w:r>
      <w:r w:rsidR="00F37DE7" w:rsidRPr="008B619A">
        <w:rPr>
          <w:rFonts w:hAnsi="標楷體" w:hint="eastAsia"/>
          <w:b/>
          <w:bCs w:val="0"/>
          <w:color w:val="000000" w:themeColor="text1"/>
        </w:rPr>
        <w:t>人才</w:t>
      </w:r>
      <w:r w:rsidR="004F33DA" w:rsidRPr="008B619A">
        <w:rPr>
          <w:rFonts w:hAnsi="標楷體" w:hint="eastAsia"/>
          <w:b/>
          <w:bCs w:val="0"/>
          <w:color w:val="000000" w:themeColor="text1"/>
        </w:rPr>
        <w:t>需求</w:t>
      </w:r>
      <w:r w:rsidR="00522FE9" w:rsidRPr="008B619A">
        <w:rPr>
          <w:rFonts w:hAnsi="標楷體" w:hint="eastAsia"/>
          <w:b/>
          <w:bCs w:val="0"/>
          <w:color w:val="000000" w:themeColor="text1"/>
        </w:rPr>
        <w:t>相對貧乏</w:t>
      </w:r>
      <w:r w:rsidR="00AB030E" w:rsidRPr="008B619A">
        <w:rPr>
          <w:rFonts w:hAnsi="標楷體" w:hint="eastAsia"/>
          <w:b/>
          <w:bCs w:val="0"/>
          <w:color w:val="000000" w:themeColor="text1"/>
        </w:rPr>
        <w:t>，</w:t>
      </w:r>
      <w:r w:rsidR="00FE06C5" w:rsidRPr="008B619A">
        <w:rPr>
          <w:rFonts w:hint="eastAsia"/>
          <w:b/>
          <w:bCs w:val="0"/>
          <w:color w:val="000000" w:themeColor="text1"/>
          <w:szCs w:val="32"/>
        </w:rPr>
        <w:t>亟</w:t>
      </w:r>
      <w:r w:rsidR="00AB030E" w:rsidRPr="008B619A">
        <w:rPr>
          <w:rFonts w:hint="eastAsia"/>
          <w:b/>
          <w:bCs w:val="0"/>
          <w:color w:val="000000" w:themeColor="text1"/>
          <w:szCs w:val="32"/>
        </w:rPr>
        <w:t>待開拓與提升</w:t>
      </w:r>
      <w:r w:rsidR="004F33DA" w:rsidRPr="008B619A">
        <w:rPr>
          <w:rFonts w:hint="eastAsia"/>
          <w:b/>
          <w:bCs w:val="0"/>
          <w:color w:val="000000" w:themeColor="text1"/>
          <w:szCs w:val="32"/>
        </w:rPr>
        <w:t>博士</w:t>
      </w:r>
      <w:r w:rsidR="00AB030E" w:rsidRPr="008B619A">
        <w:rPr>
          <w:rFonts w:hint="eastAsia"/>
          <w:b/>
          <w:bCs w:val="0"/>
          <w:color w:val="000000" w:themeColor="text1"/>
          <w:szCs w:val="32"/>
        </w:rPr>
        <w:t>人才</w:t>
      </w:r>
      <w:r w:rsidR="004F33DA" w:rsidRPr="008B619A">
        <w:rPr>
          <w:rFonts w:hint="eastAsia"/>
          <w:b/>
          <w:bCs w:val="0"/>
          <w:color w:val="000000" w:themeColor="text1"/>
          <w:szCs w:val="32"/>
        </w:rPr>
        <w:t>進用</w:t>
      </w:r>
      <w:r w:rsidR="00AB030E" w:rsidRPr="008B619A">
        <w:rPr>
          <w:rFonts w:hint="eastAsia"/>
          <w:b/>
          <w:bCs w:val="0"/>
          <w:color w:val="000000" w:themeColor="text1"/>
          <w:szCs w:val="32"/>
        </w:rPr>
        <w:t>機制</w:t>
      </w:r>
      <w:r w:rsidR="00522FE9" w:rsidRPr="008B619A">
        <w:rPr>
          <w:rFonts w:hAnsi="標楷體" w:hint="eastAsia"/>
          <w:b/>
          <w:bCs w:val="0"/>
          <w:color w:val="000000" w:themeColor="text1"/>
        </w:rPr>
        <w:t>，</w:t>
      </w:r>
      <w:r w:rsidR="00D77F56" w:rsidRPr="008B619A">
        <w:rPr>
          <w:rFonts w:hAnsi="標楷體" w:hint="eastAsia"/>
          <w:b/>
          <w:bCs w:val="0"/>
          <w:color w:val="000000" w:themeColor="text1"/>
        </w:rPr>
        <w:t>且</w:t>
      </w:r>
      <w:r w:rsidR="003F2458" w:rsidRPr="008B619A">
        <w:rPr>
          <w:rFonts w:hAnsi="標楷體" w:hint="eastAsia"/>
          <w:b/>
          <w:bCs w:val="0"/>
          <w:color w:val="000000" w:themeColor="text1"/>
        </w:rPr>
        <w:t>近5年</w:t>
      </w:r>
      <w:r w:rsidR="00417267" w:rsidRPr="008B619A">
        <w:rPr>
          <w:rFonts w:hAnsi="標楷體" w:hint="eastAsia"/>
          <w:b/>
          <w:bCs w:val="0"/>
          <w:color w:val="000000" w:themeColor="text1"/>
        </w:rPr>
        <w:t>年輕研究人力</w:t>
      </w:r>
      <w:r w:rsidR="00D362CD" w:rsidRPr="008B619A">
        <w:rPr>
          <w:rFonts w:hAnsi="標楷體" w:hint="eastAsia"/>
          <w:b/>
          <w:bCs w:val="0"/>
          <w:color w:val="000000" w:themeColor="text1"/>
        </w:rPr>
        <w:t>有</w:t>
      </w:r>
      <w:r w:rsidR="00417267" w:rsidRPr="008B619A">
        <w:rPr>
          <w:rFonts w:hAnsi="標楷體" w:hint="eastAsia"/>
          <w:b/>
          <w:bCs w:val="0"/>
          <w:color w:val="000000" w:themeColor="text1"/>
        </w:rPr>
        <w:t>快速流失</w:t>
      </w:r>
      <w:r w:rsidR="00D362CD" w:rsidRPr="008B619A">
        <w:rPr>
          <w:rFonts w:hAnsi="標楷體" w:hint="eastAsia"/>
          <w:b/>
          <w:bCs w:val="0"/>
          <w:color w:val="000000" w:themeColor="text1"/>
        </w:rPr>
        <w:t>現象</w:t>
      </w:r>
      <w:r w:rsidR="00417267" w:rsidRPr="008B619A">
        <w:rPr>
          <w:rFonts w:hAnsi="標楷體" w:hint="eastAsia"/>
          <w:b/>
          <w:bCs w:val="0"/>
          <w:color w:val="000000" w:themeColor="text1"/>
        </w:rPr>
        <w:t>，</w:t>
      </w:r>
      <w:r w:rsidR="00392167" w:rsidRPr="008B619A">
        <w:rPr>
          <w:rFonts w:hAnsi="標楷體" w:hint="eastAsia"/>
          <w:b/>
          <w:bCs w:val="0"/>
          <w:color w:val="000000" w:themeColor="text1"/>
        </w:rPr>
        <w:t>均不利國家科研尖端</w:t>
      </w:r>
      <w:r w:rsidR="00D362CD" w:rsidRPr="008B619A">
        <w:rPr>
          <w:rFonts w:hAnsi="標楷體" w:hint="eastAsia"/>
          <w:b/>
          <w:bCs w:val="0"/>
          <w:color w:val="000000" w:themeColor="text1"/>
        </w:rPr>
        <w:t>發展</w:t>
      </w:r>
      <w:r w:rsidR="00392167" w:rsidRPr="008B619A">
        <w:rPr>
          <w:rFonts w:hAnsi="標楷體" w:hint="eastAsia"/>
          <w:b/>
          <w:bCs w:val="0"/>
          <w:color w:val="000000" w:themeColor="text1"/>
        </w:rPr>
        <w:t>及學研能量</w:t>
      </w:r>
      <w:r w:rsidR="00D362CD" w:rsidRPr="008B619A">
        <w:rPr>
          <w:rFonts w:hAnsi="標楷體" w:hint="eastAsia"/>
          <w:b/>
          <w:bCs w:val="0"/>
          <w:color w:val="000000" w:themeColor="text1"/>
        </w:rPr>
        <w:t>提升</w:t>
      </w:r>
      <w:r w:rsidR="00392167" w:rsidRPr="008B619A">
        <w:rPr>
          <w:rFonts w:hAnsi="標楷體" w:hint="eastAsia"/>
          <w:b/>
          <w:bCs w:val="0"/>
          <w:color w:val="000000" w:themeColor="text1"/>
        </w:rPr>
        <w:t>，爰政府</w:t>
      </w:r>
      <w:r w:rsidR="00C85839" w:rsidRPr="008B619A">
        <w:rPr>
          <w:rFonts w:hAnsi="標楷體" w:hint="eastAsia"/>
          <w:b/>
          <w:bCs w:val="0"/>
          <w:color w:val="000000" w:themeColor="text1"/>
        </w:rPr>
        <w:t>允宜</w:t>
      </w:r>
      <w:r w:rsidR="008322EC" w:rsidRPr="008B619A">
        <w:rPr>
          <w:rFonts w:hAnsi="標楷體" w:hint="eastAsia"/>
          <w:b/>
          <w:bCs w:val="0"/>
          <w:color w:val="000000" w:themeColor="text1"/>
        </w:rPr>
        <w:t>務實</w:t>
      </w:r>
      <w:r w:rsidR="008322EC" w:rsidRPr="008B619A">
        <w:rPr>
          <w:rFonts w:hAnsi="標楷體" w:hint="eastAsia"/>
          <w:b/>
          <w:bCs w:val="0"/>
          <w:color w:val="000000" w:themeColor="text1"/>
        </w:rPr>
        <w:lastRenderedPageBreak/>
        <w:t>協助</w:t>
      </w:r>
      <w:r w:rsidR="002C6DCE" w:rsidRPr="008B619A">
        <w:rPr>
          <w:rFonts w:hAnsi="標楷體" w:hint="eastAsia"/>
          <w:b/>
          <w:bCs w:val="0"/>
          <w:color w:val="000000" w:themeColor="text1"/>
        </w:rPr>
        <w:t>產業</w:t>
      </w:r>
      <w:r w:rsidR="008322EC" w:rsidRPr="008B619A">
        <w:rPr>
          <w:rFonts w:hAnsi="標楷體" w:hint="eastAsia"/>
          <w:b/>
          <w:bCs w:val="0"/>
          <w:color w:val="000000" w:themeColor="text1"/>
        </w:rPr>
        <w:t>升級</w:t>
      </w:r>
      <w:r w:rsidR="002C6DCE" w:rsidRPr="008B619A">
        <w:rPr>
          <w:rFonts w:hAnsi="標楷體" w:hint="eastAsia"/>
          <w:b/>
          <w:bCs w:val="0"/>
          <w:color w:val="000000" w:themeColor="text1"/>
        </w:rPr>
        <w:t>轉型</w:t>
      </w:r>
      <w:r w:rsidR="00301D95" w:rsidRPr="008B619A">
        <w:rPr>
          <w:rFonts w:hAnsi="標楷體" w:hint="eastAsia"/>
          <w:b/>
          <w:bCs w:val="0"/>
          <w:color w:val="000000" w:themeColor="text1"/>
        </w:rPr>
        <w:t>，</w:t>
      </w:r>
      <w:r w:rsidR="00AD46E1" w:rsidRPr="008B619A">
        <w:rPr>
          <w:rFonts w:hAnsi="標楷體" w:hint="eastAsia"/>
          <w:b/>
          <w:bCs w:val="0"/>
          <w:color w:val="000000" w:themeColor="text1"/>
        </w:rPr>
        <w:t>超前佈署</w:t>
      </w:r>
      <w:r w:rsidR="00BF3C96" w:rsidRPr="008B619A">
        <w:rPr>
          <w:rFonts w:hAnsi="標楷體" w:hint="eastAsia"/>
          <w:b/>
          <w:bCs w:val="0"/>
          <w:color w:val="000000" w:themeColor="text1"/>
        </w:rPr>
        <w:t>國內外高階人力供需</w:t>
      </w:r>
      <w:r w:rsidR="00AD46E1" w:rsidRPr="008B619A">
        <w:rPr>
          <w:rFonts w:hAnsi="標楷體" w:hint="eastAsia"/>
          <w:b/>
          <w:bCs w:val="0"/>
          <w:color w:val="000000" w:themeColor="text1"/>
        </w:rPr>
        <w:t>實況</w:t>
      </w:r>
      <w:r w:rsidR="00BF3C96" w:rsidRPr="008B619A">
        <w:rPr>
          <w:rFonts w:hAnsi="標楷體" w:hint="eastAsia"/>
          <w:b/>
          <w:bCs w:val="0"/>
          <w:color w:val="000000" w:themeColor="text1"/>
        </w:rPr>
        <w:t>，</w:t>
      </w:r>
      <w:r w:rsidR="008322EC" w:rsidRPr="008B619A">
        <w:rPr>
          <w:rFonts w:hAnsi="標楷體" w:hint="eastAsia"/>
          <w:b/>
          <w:bCs w:val="0"/>
          <w:color w:val="000000" w:themeColor="text1"/>
        </w:rPr>
        <w:t>協助產業聘僱高階研發人力，</w:t>
      </w:r>
      <w:r w:rsidR="00AD46E1" w:rsidRPr="008B619A">
        <w:rPr>
          <w:rFonts w:hAnsi="標楷體" w:hint="eastAsia"/>
          <w:b/>
          <w:bCs w:val="0"/>
          <w:color w:val="000000" w:themeColor="text1"/>
        </w:rPr>
        <w:t>以期</w:t>
      </w:r>
      <w:r w:rsidR="008670B8" w:rsidRPr="008B619A">
        <w:rPr>
          <w:rFonts w:hAnsi="標楷體" w:hint="eastAsia"/>
          <w:b/>
          <w:bCs w:val="0"/>
          <w:color w:val="000000" w:themeColor="text1"/>
        </w:rPr>
        <w:t>開創博士多元就業局面</w:t>
      </w:r>
      <w:r w:rsidR="00022C79" w:rsidRPr="008B619A">
        <w:rPr>
          <w:rFonts w:hAnsi="標楷體" w:hint="eastAsia"/>
          <w:b/>
          <w:bCs w:val="0"/>
          <w:color w:val="000000" w:themeColor="text1"/>
        </w:rPr>
        <w:t>，</w:t>
      </w:r>
      <w:r w:rsidR="00301D95" w:rsidRPr="008B619A">
        <w:rPr>
          <w:rFonts w:hAnsi="標楷體" w:hint="eastAsia"/>
          <w:b/>
          <w:bCs w:val="0"/>
          <w:color w:val="000000" w:themeColor="text1"/>
        </w:rPr>
        <w:t>助推我國總體競爭力</w:t>
      </w:r>
      <w:bookmarkEnd w:id="82"/>
    </w:p>
    <w:p w14:paraId="697B5574" w14:textId="292E6B0C" w:rsidR="009159F2" w:rsidRPr="008B619A" w:rsidRDefault="00066D26" w:rsidP="001E266A">
      <w:pPr>
        <w:pStyle w:val="3"/>
        <w:rPr>
          <w:color w:val="000000" w:themeColor="text1"/>
        </w:rPr>
      </w:pPr>
      <w:r w:rsidRPr="008B619A">
        <w:rPr>
          <w:color w:val="000000" w:themeColor="text1"/>
        </w:rPr>
        <w:t>研發人力是衡量一個國家科技實力</w:t>
      </w:r>
      <w:r w:rsidRPr="008B619A">
        <w:rPr>
          <w:rFonts w:hint="eastAsia"/>
          <w:color w:val="000000" w:themeColor="text1"/>
        </w:rPr>
        <w:t>之</w:t>
      </w:r>
      <w:r w:rsidRPr="008B619A">
        <w:rPr>
          <w:color w:val="000000" w:themeColor="text1"/>
        </w:rPr>
        <w:t>重要指標之一，影響國家競爭力的高低和</w:t>
      </w:r>
      <w:r w:rsidR="008402C5" w:rsidRPr="008B619A">
        <w:rPr>
          <w:color w:val="000000" w:themeColor="text1"/>
        </w:rPr>
        <w:t>競爭優勢的發揮</w:t>
      </w:r>
      <w:r w:rsidR="00120AC3" w:rsidRPr="008B619A">
        <w:rPr>
          <w:rFonts w:hint="eastAsia"/>
          <w:color w:val="000000" w:themeColor="text1"/>
        </w:rPr>
        <w:t>，</w:t>
      </w:r>
      <w:r w:rsidR="00120AC3" w:rsidRPr="008B619A">
        <w:rPr>
          <w:color w:val="000000" w:themeColor="text1"/>
        </w:rPr>
        <w:t>研發人力依人力別可分為研究人員、技術人員及支援人員。</w:t>
      </w:r>
      <w:r w:rsidR="00887FFB" w:rsidRPr="008B619A">
        <w:rPr>
          <w:rFonts w:ascii="Times New Roman" w:hAnsi="Times New Roman" w:hint="eastAsia"/>
          <w:color w:val="000000" w:themeColor="text1"/>
          <w:szCs w:val="32"/>
        </w:rPr>
        <w:t>博士級研發</w:t>
      </w:r>
      <w:r w:rsidR="00887FFB" w:rsidRPr="008B619A">
        <w:rPr>
          <w:rFonts w:ascii="Times New Roman" w:hAnsi="Times New Roman"/>
          <w:color w:val="000000" w:themeColor="text1"/>
          <w:szCs w:val="32"/>
        </w:rPr>
        <w:t>人才投入業界</w:t>
      </w:r>
      <w:r w:rsidR="00887FFB" w:rsidRPr="008B619A">
        <w:rPr>
          <w:rFonts w:ascii="Times New Roman" w:hAnsi="Times New Roman" w:hint="eastAsia"/>
          <w:color w:val="000000" w:themeColor="text1"/>
          <w:szCs w:val="32"/>
        </w:rPr>
        <w:t>工作，有助於挹注國內</w:t>
      </w:r>
      <w:r w:rsidR="00887FFB" w:rsidRPr="008B619A">
        <w:rPr>
          <w:rFonts w:ascii="Times New Roman" w:hAnsi="Times New Roman"/>
          <w:color w:val="000000" w:themeColor="text1"/>
          <w:szCs w:val="32"/>
        </w:rPr>
        <w:t>業者進行產業升級轉型</w:t>
      </w:r>
      <w:r w:rsidR="001E266A" w:rsidRPr="008B619A">
        <w:rPr>
          <w:rFonts w:ascii="Times New Roman" w:hAnsi="Times New Roman" w:hint="eastAsia"/>
          <w:color w:val="000000" w:themeColor="text1"/>
          <w:szCs w:val="32"/>
        </w:rPr>
        <w:t>。</w:t>
      </w:r>
      <w:r w:rsidR="00332B42" w:rsidRPr="008B619A">
        <w:rPr>
          <w:rFonts w:ascii="Times New Roman" w:hAnsi="Times New Roman" w:hint="eastAsia"/>
          <w:color w:val="000000" w:themeColor="text1"/>
          <w:szCs w:val="32"/>
        </w:rPr>
        <w:t>根據</w:t>
      </w:r>
      <w:r w:rsidR="001E266A" w:rsidRPr="008B619A">
        <w:rPr>
          <w:rFonts w:ascii="Times New Roman" w:hAnsi="Times New Roman"/>
          <w:color w:val="000000" w:themeColor="text1"/>
          <w:szCs w:val="32"/>
        </w:rPr>
        <w:t>科技部</w:t>
      </w:r>
      <w:r w:rsidR="001313E7" w:rsidRPr="008B619A">
        <w:rPr>
          <w:rFonts w:ascii="Times New Roman" w:hAnsi="Times New Roman" w:hint="eastAsia"/>
          <w:color w:val="000000" w:themeColor="text1"/>
          <w:szCs w:val="32"/>
        </w:rPr>
        <w:t>之</w:t>
      </w:r>
      <w:r w:rsidR="00CF4949" w:rsidRPr="008B619A">
        <w:rPr>
          <w:rFonts w:hAnsi="標楷體" w:hint="eastAsia"/>
          <w:color w:val="000000" w:themeColor="text1"/>
          <w:szCs w:val="32"/>
        </w:rPr>
        <w:t>「</w:t>
      </w:r>
      <w:r w:rsidR="001E266A" w:rsidRPr="008B619A">
        <w:rPr>
          <w:rFonts w:ascii="Times New Roman" w:hAnsi="Times New Roman"/>
          <w:color w:val="000000" w:themeColor="text1"/>
          <w:szCs w:val="32"/>
        </w:rPr>
        <w:t>全國科技動態調查</w:t>
      </w:r>
      <w:r w:rsidR="00CF4949" w:rsidRPr="008B619A">
        <w:rPr>
          <w:rFonts w:hAnsi="標楷體" w:hint="eastAsia"/>
          <w:color w:val="000000" w:themeColor="text1"/>
          <w:szCs w:val="32"/>
        </w:rPr>
        <w:t>」</w:t>
      </w:r>
      <w:r w:rsidR="001B77BF" w:rsidRPr="008B619A">
        <w:rPr>
          <w:rFonts w:hAnsi="標楷體"/>
          <w:color w:val="000000" w:themeColor="text1"/>
          <w:vertAlign w:val="superscript"/>
        </w:rPr>
        <w:footnoteReference w:id="42"/>
      </w:r>
      <w:r w:rsidR="001E266A" w:rsidRPr="008B619A">
        <w:rPr>
          <w:rFonts w:ascii="Times New Roman" w:hAnsi="Times New Roman"/>
          <w:color w:val="000000" w:themeColor="text1"/>
          <w:szCs w:val="32"/>
        </w:rPr>
        <w:t>係針對</w:t>
      </w:r>
      <w:r w:rsidR="00FB0682" w:rsidRPr="008B619A">
        <w:rPr>
          <w:rFonts w:ascii="Times New Roman" w:hAnsi="Times New Roman" w:hint="eastAsia"/>
          <w:color w:val="000000" w:themeColor="text1"/>
          <w:szCs w:val="32"/>
        </w:rPr>
        <w:t>全國</w:t>
      </w:r>
      <w:r w:rsidR="001E266A" w:rsidRPr="008B619A">
        <w:rPr>
          <w:rFonts w:ascii="Times New Roman" w:hAnsi="Times New Roman"/>
          <w:color w:val="000000" w:themeColor="text1"/>
          <w:szCs w:val="32"/>
        </w:rPr>
        <w:t>企業部門、政府部門、高等教育部門、私人非營利部門等</w:t>
      </w:r>
      <w:r w:rsidR="00490B41" w:rsidRPr="008B619A">
        <w:rPr>
          <w:rFonts w:ascii="Times New Roman" w:hAnsi="Times New Roman" w:hint="eastAsia"/>
          <w:color w:val="000000" w:themeColor="text1"/>
          <w:szCs w:val="32"/>
        </w:rPr>
        <w:t>4</w:t>
      </w:r>
      <w:r w:rsidR="001E266A" w:rsidRPr="008B619A">
        <w:rPr>
          <w:rFonts w:ascii="Times New Roman" w:hAnsi="Times New Roman"/>
          <w:color w:val="000000" w:themeColor="text1"/>
          <w:szCs w:val="32"/>
        </w:rPr>
        <w:t>類對象，進行研究發展人力調查及分析</w:t>
      </w:r>
      <w:r w:rsidR="001E266A" w:rsidRPr="008B619A">
        <w:rPr>
          <w:rFonts w:ascii="Times New Roman" w:hAnsi="Times New Roman" w:hint="eastAsia"/>
          <w:color w:val="000000" w:themeColor="text1"/>
          <w:szCs w:val="32"/>
        </w:rPr>
        <w:t>。</w:t>
      </w:r>
      <w:r w:rsidR="00336109" w:rsidRPr="008B619A">
        <w:rPr>
          <w:rFonts w:ascii="Times New Roman" w:hAnsi="Times New Roman" w:hint="eastAsia"/>
          <w:color w:val="000000" w:themeColor="text1"/>
          <w:szCs w:val="32"/>
        </w:rPr>
        <w:t>研究</w:t>
      </w:r>
      <w:r w:rsidR="009159F2" w:rsidRPr="008B619A">
        <w:rPr>
          <w:rFonts w:hint="eastAsia"/>
          <w:color w:val="000000" w:themeColor="text1"/>
        </w:rPr>
        <w:t>依</w:t>
      </w:r>
      <w:r w:rsidR="00336109" w:rsidRPr="008B619A">
        <w:rPr>
          <w:rFonts w:hint="eastAsia"/>
          <w:color w:val="000000" w:themeColor="text1"/>
        </w:rPr>
        <w:t>歷年統計</w:t>
      </w:r>
      <w:r w:rsidR="009159F2" w:rsidRPr="008B619A">
        <w:rPr>
          <w:rFonts w:hint="eastAsia"/>
          <w:color w:val="000000" w:themeColor="text1"/>
        </w:rPr>
        <w:t>結果</w:t>
      </w:r>
      <w:r w:rsidR="00336109" w:rsidRPr="008B619A">
        <w:rPr>
          <w:rFonts w:hint="eastAsia"/>
          <w:color w:val="000000" w:themeColor="text1"/>
        </w:rPr>
        <w:t>析論</w:t>
      </w:r>
      <w:r w:rsidR="009159F2" w:rsidRPr="008B619A">
        <w:rPr>
          <w:rFonts w:hint="eastAsia"/>
          <w:color w:val="000000" w:themeColor="text1"/>
        </w:rPr>
        <w:t>，全國博士</w:t>
      </w:r>
      <w:r w:rsidR="004C304D" w:rsidRPr="008B619A">
        <w:rPr>
          <w:rFonts w:hint="eastAsia"/>
          <w:color w:val="000000" w:themeColor="text1"/>
        </w:rPr>
        <w:t>學歷之</w:t>
      </w:r>
      <w:r w:rsidR="009159F2" w:rsidRPr="008B619A">
        <w:rPr>
          <w:rFonts w:hint="eastAsia"/>
          <w:color w:val="000000" w:themeColor="text1"/>
        </w:rPr>
        <w:t>研發人力逐年增加，由1</w:t>
      </w:r>
      <w:r w:rsidR="004C304D" w:rsidRPr="008B619A">
        <w:rPr>
          <w:rFonts w:hint="eastAsia"/>
          <w:color w:val="000000" w:themeColor="text1"/>
        </w:rPr>
        <w:t>00</w:t>
      </w:r>
      <w:r w:rsidR="009159F2" w:rsidRPr="008B619A">
        <w:rPr>
          <w:rFonts w:hint="eastAsia"/>
          <w:color w:val="000000" w:themeColor="text1"/>
        </w:rPr>
        <w:t>年</w:t>
      </w:r>
      <w:r w:rsidR="004C304D" w:rsidRPr="008B619A">
        <w:rPr>
          <w:color w:val="000000" w:themeColor="text1"/>
        </w:rPr>
        <w:t>38,065</w:t>
      </w:r>
      <w:r w:rsidR="009159F2" w:rsidRPr="008B619A">
        <w:rPr>
          <w:rFonts w:hint="eastAsia"/>
          <w:color w:val="000000" w:themeColor="text1"/>
        </w:rPr>
        <w:t>人，</w:t>
      </w:r>
      <w:r w:rsidR="0071575E" w:rsidRPr="008B619A">
        <w:rPr>
          <w:rFonts w:hint="eastAsia"/>
          <w:color w:val="000000" w:themeColor="text1"/>
        </w:rPr>
        <w:t>逐年</w:t>
      </w:r>
      <w:r w:rsidR="009159F2" w:rsidRPr="008B619A">
        <w:rPr>
          <w:rFonts w:hint="eastAsia"/>
          <w:color w:val="000000" w:themeColor="text1"/>
        </w:rPr>
        <w:t>上升至10</w:t>
      </w:r>
      <w:r w:rsidR="0071575E" w:rsidRPr="008B619A">
        <w:rPr>
          <w:rFonts w:hint="eastAsia"/>
          <w:color w:val="000000" w:themeColor="text1"/>
        </w:rPr>
        <w:t>8</w:t>
      </w:r>
      <w:r w:rsidR="009159F2" w:rsidRPr="008B619A">
        <w:rPr>
          <w:rFonts w:hint="eastAsia"/>
          <w:color w:val="000000" w:themeColor="text1"/>
        </w:rPr>
        <w:t>年</w:t>
      </w:r>
      <w:r w:rsidR="0071575E" w:rsidRPr="008B619A">
        <w:rPr>
          <w:color w:val="000000" w:themeColor="text1"/>
        </w:rPr>
        <w:t>43,332</w:t>
      </w:r>
      <w:r w:rsidR="0071575E" w:rsidRPr="008B619A">
        <w:rPr>
          <w:color w:val="000000" w:themeColor="text1"/>
        </w:rPr>
        <w:tab/>
      </w:r>
      <w:r w:rsidR="009159F2" w:rsidRPr="008B619A">
        <w:rPr>
          <w:rFonts w:hint="eastAsia"/>
          <w:color w:val="000000" w:themeColor="text1"/>
        </w:rPr>
        <w:t>人</w:t>
      </w:r>
      <w:r w:rsidR="001F0D31" w:rsidRPr="008B619A">
        <w:rPr>
          <w:rFonts w:hint="eastAsia"/>
          <w:color w:val="000000" w:themeColor="text1"/>
        </w:rPr>
        <w:t>。</w:t>
      </w:r>
      <w:r w:rsidR="009159F2" w:rsidRPr="008B619A">
        <w:rPr>
          <w:rFonts w:hint="eastAsia"/>
          <w:color w:val="000000" w:themeColor="text1"/>
        </w:rPr>
        <w:t>其中</w:t>
      </w:r>
      <w:r w:rsidR="001F0D31" w:rsidRPr="008B619A">
        <w:rPr>
          <w:rFonts w:hint="eastAsia"/>
          <w:color w:val="000000" w:themeColor="text1"/>
        </w:rPr>
        <w:t>，108年</w:t>
      </w:r>
      <w:r w:rsidR="009159F2" w:rsidRPr="008B619A">
        <w:rPr>
          <w:rFonts w:hint="eastAsia"/>
          <w:color w:val="000000" w:themeColor="text1"/>
        </w:rPr>
        <w:t>近8成</w:t>
      </w:r>
      <w:r w:rsidR="001522E9" w:rsidRPr="008B619A">
        <w:rPr>
          <w:rFonts w:hint="eastAsia"/>
          <w:color w:val="000000" w:themeColor="text1"/>
        </w:rPr>
        <w:t>（7</w:t>
      </w:r>
      <w:r w:rsidR="001522E9" w:rsidRPr="008B619A">
        <w:rPr>
          <w:color w:val="000000" w:themeColor="text1"/>
        </w:rPr>
        <w:t>8.7%</w:t>
      </w:r>
      <w:r w:rsidR="001522E9" w:rsidRPr="008B619A">
        <w:rPr>
          <w:rFonts w:hint="eastAsia"/>
          <w:color w:val="000000" w:themeColor="text1"/>
        </w:rPr>
        <w:t>）</w:t>
      </w:r>
      <w:r w:rsidR="009159F2" w:rsidRPr="008B619A">
        <w:rPr>
          <w:rFonts w:hint="eastAsia"/>
          <w:color w:val="000000" w:themeColor="text1"/>
        </w:rPr>
        <w:t>集中於學界與政府部門，進入企業任職者僅占2成；值得關注的是，高等教育部門之博士研發人力占比雖達</w:t>
      </w:r>
      <w:r w:rsidR="009A1A05" w:rsidRPr="008B619A">
        <w:rPr>
          <w:rFonts w:hint="eastAsia"/>
          <w:color w:val="000000" w:themeColor="text1"/>
        </w:rPr>
        <w:t>61.4%</w:t>
      </w:r>
      <w:r w:rsidR="009159F2" w:rsidRPr="008B619A">
        <w:rPr>
          <w:rFonts w:hint="eastAsia"/>
          <w:color w:val="000000" w:themeColor="text1"/>
        </w:rPr>
        <w:t>，但近年呈逐年下降趨勢，10</w:t>
      </w:r>
      <w:r w:rsidR="00D91CED" w:rsidRPr="008B619A">
        <w:rPr>
          <w:color w:val="000000" w:themeColor="text1"/>
        </w:rPr>
        <w:t>8</w:t>
      </w:r>
      <w:r w:rsidR="009159F2" w:rsidRPr="008B619A">
        <w:rPr>
          <w:rFonts w:hint="eastAsia"/>
          <w:color w:val="000000" w:themeColor="text1"/>
        </w:rPr>
        <w:t>年較10</w:t>
      </w:r>
      <w:r w:rsidR="00D91CED" w:rsidRPr="008B619A">
        <w:rPr>
          <w:color w:val="000000" w:themeColor="text1"/>
        </w:rPr>
        <w:t>0</w:t>
      </w:r>
      <w:r w:rsidR="009159F2" w:rsidRPr="008B619A">
        <w:rPr>
          <w:rFonts w:hint="eastAsia"/>
          <w:color w:val="000000" w:themeColor="text1"/>
        </w:rPr>
        <w:t>年</w:t>
      </w:r>
      <w:r w:rsidR="00156B89" w:rsidRPr="008B619A">
        <w:rPr>
          <w:rFonts w:hint="eastAsia"/>
          <w:color w:val="000000" w:themeColor="text1"/>
        </w:rPr>
        <w:t>（</w:t>
      </w:r>
      <w:r w:rsidR="00FA49D0" w:rsidRPr="008B619A">
        <w:rPr>
          <w:rFonts w:hint="eastAsia"/>
          <w:color w:val="000000" w:themeColor="text1"/>
        </w:rPr>
        <w:t>6</w:t>
      </w:r>
      <w:r w:rsidR="00FA49D0" w:rsidRPr="008B619A">
        <w:rPr>
          <w:color w:val="000000" w:themeColor="text1"/>
        </w:rPr>
        <w:t>9.3%</w:t>
      </w:r>
      <w:r w:rsidR="00156B89" w:rsidRPr="008B619A">
        <w:rPr>
          <w:rFonts w:hint="eastAsia"/>
          <w:color w:val="000000" w:themeColor="text1"/>
        </w:rPr>
        <w:t>）</w:t>
      </w:r>
      <w:r w:rsidR="009159F2" w:rsidRPr="008B619A">
        <w:rPr>
          <w:rFonts w:hint="eastAsia"/>
          <w:color w:val="000000" w:themeColor="text1"/>
        </w:rPr>
        <w:t>減少</w:t>
      </w:r>
      <w:r w:rsidR="00B05F8A" w:rsidRPr="008B619A">
        <w:rPr>
          <w:rFonts w:hint="eastAsia"/>
          <w:color w:val="000000" w:themeColor="text1"/>
        </w:rPr>
        <w:t>7</w:t>
      </w:r>
      <w:r w:rsidR="009159F2" w:rsidRPr="008B619A">
        <w:rPr>
          <w:rFonts w:hint="eastAsia"/>
          <w:color w:val="000000" w:themeColor="text1"/>
        </w:rPr>
        <w:t>.9</w:t>
      </w:r>
      <w:r w:rsidR="00B05F8A" w:rsidRPr="008B619A">
        <w:rPr>
          <w:rFonts w:hint="eastAsia"/>
          <w:color w:val="000000" w:themeColor="text1"/>
        </w:rPr>
        <w:t>%</w:t>
      </w:r>
      <w:r w:rsidR="009159F2" w:rsidRPr="008B619A">
        <w:rPr>
          <w:rFonts w:hint="eastAsia"/>
          <w:color w:val="000000" w:themeColor="text1"/>
        </w:rPr>
        <w:t>，至企業部門之博士研發人力占比則穩定上升，由10</w:t>
      </w:r>
      <w:r w:rsidR="00F0233F" w:rsidRPr="008B619A">
        <w:rPr>
          <w:rFonts w:hint="eastAsia"/>
          <w:color w:val="000000" w:themeColor="text1"/>
        </w:rPr>
        <w:t>0</w:t>
      </w:r>
      <w:r w:rsidR="009159F2" w:rsidRPr="008B619A">
        <w:rPr>
          <w:rFonts w:hint="eastAsia"/>
          <w:color w:val="000000" w:themeColor="text1"/>
        </w:rPr>
        <w:t>年</w:t>
      </w:r>
      <w:r w:rsidR="00F0233F" w:rsidRPr="008B619A">
        <w:rPr>
          <w:rFonts w:hint="eastAsia"/>
          <w:color w:val="000000" w:themeColor="text1"/>
        </w:rPr>
        <w:t>13</w:t>
      </w:r>
      <w:r w:rsidR="009159F2" w:rsidRPr="008B619A">
        <w:rPr>
          <w:rFonts w:hint="eastAsia"/>
          <w:color w:val="000000" w:themeColor="text1"/>
        </w:rPr>
        <w:t>.</w:t>
      </w:r>
      <w:r w:rsidR="00F0233F" w:rsidRPr="008B619A">
        <w:rPr>
          <w:rFonts w:hint="eastAsia"/>
          <w:color w:val="000000" w:themeColor="text1"/>
        </w:rPr>
        <w:t>8</w:t>
      </w:r>
      <w:r w:rsidR="009159F2" w:rsidRPr="008B619A">
        <w:rPr>
          <w:rFonts w:hint="eastAsia"/>
          <w:color w:val="000000" w:themeColor="text1"/>
        </w:rPr>
        <w:t>%上升至10</w:t>
      </w:r>
      <w:r w:rsidR="00F0233F" w:rsidRPr="008B619A">
        <w:rPr>
          <w:rFonts w:hint="eastAsia"/>
          <w:color w:val="000000" w:themeColor="text1"/>
        </w:rPr>
        <w:t>8</w:t>
      </w:r>
      <w:r w:rsidR="009159F2" w:rsidRPr="008B619A">
        <w:rPr>
          <w:rFonts w:hint="eastAsia"/>
          <w:color w:val="000000" w:themeColor="text1"/>
        </w:rPr>
        <w:t>年20.</w:t>
      </w:r>
      <w:r w:rsidR="00F0233F" w:rsidRPr="008B619A">
        <w:rPr>
          <w:rFonts w:hint="eastAsia"/>
          <w:color w:val="000000" w:themeColor="text1"/>
        </w:rPr>
        <w:t>9</w:t>
      </w:r>
      <w:r w:rsidR="009159F2" w:rsidRPr="008B619A">
        <w:rPr>
          <w:rFonts w:hint="eastAsia"/>
          <w:color w:val="000000" w:themeColor="text1"/>
        </w:rPr>
        <w:t>%，增加</w:t>
      </w:r>
      <w:r w:rsidR="00F0233F" w:rsidRPr="008B619A">
        <w:rPr>
          <w:rFonts w:hint="eastAsia"/>
          <w:color w:val="000000" w:themeColor="text1"/>
        </w:rPr>
        <w:t>7</w:t>
      </w:r>
      <w:r w:rsidR="009159F2" w:rsidRPr="008B619A">
        <w:rPr>
          <w:rFonts w:hint="eastAsia"/>
          <w:color w:val="000000" w:themeColor="text1"/>
        </w:rPr>
        <w:t>.</w:t>
      </w:r>
      <w:r w:rsidR="00F0233F" w:rsidRPr="008B619A">
        <w:rPr>
          <w:rFonts w:hint="eastAsia"/>
          <w:color w:val="000000" w:themeColor="text1"/>
        </w:rPr>
        <w:t>1%</w:t>
      </w:r>
      <w:r w:rsidR="0043500F" w:rsidRPr="008B619A">
        <w:rPr>
          <w:rFonts w:hint="eastAsia"/>
          <w:color w:val="000000" w:themeColor="text1"/>
        </w:rPr>
        <w:t>。</w:t>
      </w:r>
      <w:r w:rsidR="00DE2EB4" w:rsidRPr="008B619A">
        <w:rPr>
          <w:rFonts w:hint="eastAsia"/>
          <w:color w:val="000000" w:themeColor="text1"/>
        </w:rPr>
        <w:t>顯示政府近年鼓勵我國高階人才能量與產業連結，已獲初步成效。</w:t>
      </w:r>
      <w:r w:rsidR="00793FA5" w:rsidRPr="008B619A">
        <w:rPr>
          <w:rFonts w:hint="eastAsia"/>
          <w:color w:val="000000" w:themeColor="text1"/>
        </w:rPr>
        <w:t>詳</w:t>
      </w:r>
      <w:r w:rsidR="00DE2EB4" w:rsidRPr="008B619A">
        <w:rPr>
          <w:rFonts w:hint="eastAsia"/>
          <w:color w:val="000000" w:themeColor="text1"/>
        </w:rPr>
        <w:t>如下表所示：</w:t>
      </w:r>
    </w:p>
    <w:p w14:paraId="75C0C144" w14:textId="41FE3057" w:rsidR="0043500F" w:rsidRPr="008B619A" w:rsidRDefault="0043500F" w:rsidP="0043500F">
      <w:pPr>
        <w:pStyle w:val="a3"/>
        <w:ind w:left="1021" w:hanging="681"/>
        <w:jc w:val="center"/>
        <w:rPr>
          <w:rFonts w:hAnsi="標楷體"/>
          <w:b/>
          <w:bCs w:val="0"/>
          <w:color w:val="000000" w:themeColor="text1"/>
          <w:kern w:val="0"/>
          <w:szCs w:val="32"/>
        </w:rPr>
      </w:pPr>
      <w:r w:rsidRPr="008B619A">
        <w:rPr>
          <w:rFonts w:hAnsi="標楷體" w:hint="eastAsia"/>
          <w:b/>
          <w:bCs w:val="0"/>
          <w:color w:val="000000" w:themeColor="text1"/>
          <w:kern w:val="0"/>
          <w:szCs w:val="32"/>
        </w:rPr>
        <w:t>1</w:t>
      </w:r>
      <w:r w:rsidR="00BC0DD8" w:rsidRPr="008B619A">
        <w:rPr>
          <w:rFonts w:hAnsi="標楷體"/>
          <w:b/>
          <w:bCs w:val="0"/>
          <w:color w:val="000000" w:themeColor="text1"/>
          <w:kern w:val="0"/>
          <w:szCs w:val="32"/>
        </w:rPr>
        <w:t>00</w:t>
      </w:r>
      <w:r w:rsidRPr="008B619A">
        <w:rPr>
          <w:rFonts w:hAnsi="標楷體"/>
          <w:b/>
          <w:bCs w:val="0"/>
          <w:color w:val="000000" w:themeColor="text1"/>
          <w:kern w:val="0"/>
          <w:szCs w:val="32"/>
        </w:rPr>
        <w:t>-10</w:t>
      </w:r>
      <w:r w:rsidR="00BC0DD8" w:rsidRPr="008B619A">
        <w:rPr>
          <w:rFonts w:hAnsi="標楷體"/>
          <w:b/>
          <w:bCs w:val="0"/>
          <w:color w:val="000000" w:themeColor="text1"/>
          <w:kern w:val="0"/>
          <w:szCs w:val="32"/>
        </w:rPr>
        <w:t>8</w:t>
      </w:r>
      <w:r w:rsidRPr="008B619A">
        <w:rPr>
          <w:rFonts w:hAnsi="標楷體"/>
          <w:b/>
          <w:bCs w:val="0"/>
          <w:color w:val="000000" w:themeColor="text1"/>
          <w:kern w:val="0"/>
          <w:szCs w:val="32"/>
        </w:rPr>
        <w:t>年</w:t>
      </w:r>
      <w:r w:rsidRPr="008B619A">
        <w:rPr>
          <w:rFonts w:hAnsi="標楷體" w:hint="eastAsia"/>
          <w:b/>
          <w:bCs w:val="0"/>
          <w:color w:val="000000" w:themeColor="text1"/>
          <w:kern w:val="0"/>
          <w:szCs w:val="32"/>
        </w:rPr>
        <w:t>全國</w:t>
      </w:r>
      <w:r w:rsidRPr="008B619A">
        <w:rPr>
          <w:rFonts w:hAnsi="標楷體"/>
          <w:b/>
          <w:bCs w:val="0"/>
          <w:color w:val="000000" w:themeColor="text1"/>
          <w:kern w:val="0"/>
          <w:szCs w:val="32"/>
        </w:rPr>
        <w:t>博士研發人力</w:t>
      </w:r>
      <w:r w:rsidRPr="008B619A">
        <w:rPr>
          <w:rFonts w:hAnsi="標楷體" w:hint="eastAsia"/>
          <w:b/>
          <w:bCs w:val="0"/>
          <w:color w:val="000000" w:themeColor="text1"/>
          <w:kern w:val="0"/>
          <w:szCs w:val="32"/>
        </w:rPr>
        <w:t>服務</w:t>
      </w:r>
      <w:r w:rsidRPr="008B619A">
        <w:rPr>
          <w:rFonts w:hAnsi="標楷體"/>
          <w:b/>
          <w:bCs w:val="0"/>
          <w:color w:val="000000" w:themeColor="text1"/>
          <w:kern w:val="0"/>
          <w:szCs w:val="32"/>
        </w:rPr>
        <w:t>部門別</w:t>
      </w:r>
    </w:p>
    <w:p w14:paraId="7EC3437D" w14:textId="3DCDF884" w:rsidR="0043500F" w:rsidRPr="008B619A" w:rsidRDefault="0043500F" w:rsidP="00844F21">
      <w:pPr>
        <w:spacing w:line="340" w:lineRule="exact"/>
        <w:ind w:leftChars="-295" w:left="-236" w:rightChars="-150" w:right="-510" w:hangingChars="295" w:hanging="767"/>
        <w:jc w:val="right"/>
        <w:rPr>
          <w:rFonts w:ascii="Times New Roman"/>
          <w:color w:val="000000" w:themeColor="text1"/>
          <w:kern w:val="0"/>
          <w:sz w:val="24"/>
          <w:szCs w:val="24"/>
        </w:rPr>
      </w:pPr>
      <w:r w:rsidRPr="008B619A">
        <w:rPr>
          <w:rFonts w:ascii="Times New Roman" w:hint="eastAsia"/>
          <w:color w:val="000000" w:themeColor="text1"/>
          <w:kern w:val="0"/>
          <w:sz w:val="24"/>
          <w:szCs w:val="24"/>
        </w:rPr>
        <w:t>單位：人</w:t>
      </w:r>
    </w:p>
    <w:tbl>
      <w:tblPr>
        <w:tblStyle w:val="5-6"/>
        <w:tblW w:w="10113" w:type="dxa"/>
        <w:jc w:val="center"/>
        <w:tblLook w:val="04A0" w:firstRow="1" w:lastRow="0" w:firstColumn="1" w:lastColumn="0" w:noHBand="0" w:noVBand="1"/>
      </w:tblPr>
      <w:tblGrid>
        <w:gridCol w:w="851"/>
        <w:gridCol w:w="2126"/>
        <w:gridCol w:w="1424"/>
        <w:gridCol w:w="1057"/>
        <w:gridCol w:w="1197"/>
        <w:gridCol w:w="1197"/>
        <w:gridCol w:w="1204"/>
        <w:gridCol w:w="1057"/>
      </w:tblGrid>
      <w:tr w:rsidR="001300D1" w:rsidRPr="008B619A" w14:paraId="1ED67C20" w14:textId="77777777" w:rsidTr="00AC21D6">
        <w:trPr>
          <w:cnfStyle w:val="100000000000" w:firstRow="1" w:lastRow="0" w:firstColumn="0" w:lastColumn="0" w:oddVBand="0" w:evenVBand="0" w:oddHBand="0" w:evenHBand="0" w:firstRowFirstColumn="0" w:firstRowLastColumn="0" w:lastRowFirstColumn="0" w:lastRowLastColumn="0"/>
          <w:trHeight w:val="330"/>
          <w:tblHeader/>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FBD4B4" w:themeFill="accent6" w:themeFillTint="66"/>
            <w:noWrap/>
            <w:hideMark/>
          </w:tcPr>
          <w:p w14:paraId="1892A5F0" w14:textId="6EBBE7A1" w:rsidR="001300D1" w:rsidRPr="008B619A" w:rsidRDefault="001300D1" w:rsidP="00326F81">
            <w:pPr>
              <w:widowControl/>
              <w:jc w:val="center"/>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年度</w:t>
            </w:r>
          </w:p>
        </w:tc>
        <w:tc>
          <w:tcPr>
            <w:tcW w:w="2126" w:type="dxa"/>
            <w:noWrap/>
            <w:hideMark/>
          </w:tcPr>
          <w:p w14:paraId="4CF4A7A7" w14:textId="77777777" w:rsidR="001300D1" w:rsidRPr="008B619A" w:rsidRDefault="001300D1" w:rsidP="006400F0">
            <w:pPr>
              <w:widowControl/>
              <w:jc w:val="center"/>
              <w:cnfStyle w:val="100000000000" w:firstRow="1" w:lastRow="0" w:firstColumn="0" w:lastColumn="0" w:oddVBand="0" w:evenVBand="0" w:oddHBand="0"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執行部門</w:t>
            </w:r>
          </w:p>
        </w:tc>
        <w:tc>
          <w:tcPr>
            <w:tcW w:w="1424" w:type="dxa"/>
            <w:noWrap/>
            <w:hideMark/>
          </w:tcPr>
          <w:p w14:paraId="60D085BC" w14:textId="77777777" w:rsidR="001300D1" w:rsidRPr="008B619A" w:rsidRDefault="001300D1" w:rsidP="006400F0">
            <w:pPr>
              <w:widowControl/>
              <w:jc w:val="center"/>
              <w:cnfStyle w:val="100000000000" w:firstRow="1" w:lastRow="0" w:firstColumn="0" w:lastColumn="0" w:oddVBand="0" w:evenVBand="0" w:oddHBand="0"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研發人力</w:t>
            </w:r>
          </w:p>
        </w:tc>
        <w:tc>
          <w:tcPr>
            <w:tcW w:w="1057" w:type="dxa"/>
            <w:noWrap/>
            <w:hideMark/>
          </w:tcPr>
          <w:p w14:paraId="3AA775DB" w14:textId="77777777" w:rsidR="001300D1" w:rsidRPr="008B619A" w:rsidRDefault="001300D1" w:rsidP="006400F0">
            <w:pPr>
              <w:widowControl/>
              <w:jc w:val="center"/>
              <w:cnfStyle w:val="100000000000" w:firstRow="1" w:lastRow="0" w:firstColumn="0" w:lastColumn="0" w:oddVBand="0" w:evenVBand="0" w:oddHBand="0"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博士</w:t>
            </w:r>
          </w:p>
        </w:tc>
        <w:tc>
          <w:tcPr>
            <w:tcW w:w="1197" w:type="dxa"/>
            <w:noWrap/>
            <w:hideMark/>
          </w:tcPr>
          <w:p w14:paraId="4561365D" w14:textId="77777777" w:rsidR="001300D1" w:rsidRPr="008B619A" w:rsidRDefault="001300D1" w:rsidP="006400F0">
            <w:pPr>
              <w:widowControl/>
              <w:jc w:val="center"/>
              <w:cnfStyle w:val="100000000000" w:firstRow="1" w:lastRow="0" w:firstColumn="0" w:lastColumn="0" w:oddVBand="0" w:evenVBand="0" w:oddHBand="0"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碩士</w:t>
            </w:r>
          </w:p>
        </w:tc>
        <w:tc>
          <w:tcPr>
            <w:tcW w:w="1197" w:type="dxa"/>
            <w:noWrap/>
            <w:hideMark/>
          </w:tcPr>
          <w:p w14:paraId="3D6F6587" w14:textId="77777777" w:rsidR="001300D1" w:rsidRPr="008B619A" w:rsidRDefault="001300D1" w:rsidP="006400F0">
            <w:pPr>
              <w:widowControl/>
              <w:jc w:val="center"/>
              <w:cnfStyle w:val="100000000000" w:firstRow="1" w:lastRow="0" w:firstColumn="0" w:lastColumn="0" w:oddVBand="0" w:evenVBand="0" w:oddHBand="0"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學士</w:t>
            </w:r>
          </w:p>
        </w:tc>
        <w:tc>
          <w:tcPr>
            <w:tcW w:w="1204" w:type="dxa"/>
            <w:noWrap/>
            <w:hideMark/>
          </w:tcPr>
          <w:p w14:paraId="7596BA6A" w14:textId="77777777" w:rsidR="001300D1" w:rsidRPr="008B619A" w:rsidRDefault="001300D1" w:rsidP="006400F0">
            <w:pPr>
              <w:widowControl/>
              <w:jc w:val="center"/>
              <w:cnfStyle w:val="100000000000" w:firstRow="1" w:lastRow="0" w:firstColumn="0" w:lastColumn="0" w:oddVBand="0" w:evenVBand="0" w:oddHBand="0"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專科</w:t>
            </w:r>
          </w:p>
        </w:tc>
        <w:tc>
          <w:tcPr>
            <w:tcW w:w="1057" w:type="dxa"/>
            <w:noWrap/>
            <w:hideMark/>
          </w:tcPr>
          <w:p w14:paraId="327A7490" w14:textId="77777777" w:rsidR="001300D1" w:rsidRPr="008B619A" w:rsidRDefault="001300D1" w:rsidP="006400F0">
            <w:pPr>
              <w:widowControl/>
              <w:jc w:val="center"/>
              <w:cnfStyle w:val="100000000000" w:firstRow="1" w:lastRow="0" w:firstColumn="0" w:lastColumn="0" w:oddVBand="0" w:evenVBand="0" w:oddHBand="0"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其他</w:t>
            </w:r>
          </w:p>
        </w:tc>
      </w:tr>
      <w:tr w:rsidR="001300D1" w:rsidRPr="008B619A" w14:paraId="092B05F4" w14:textId="77777777" w:rsidTr="00AC21D6">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851" w:type="dxa"/>
            <w:vMerge w:val="restart"/>
            <w:shd w:val="clear" w:color="auto" w:fill="FBD4B4" w:themeFill="accent6" w:themeFillTint="66"/>
            <w:noWrap/>
            <w:hideMark/>
          </w:tcPr>
          <w:p w14:paraId="256499DD" w14:textId="77777777" w:rsidR="001300D1" w:rsidRPr="008B619A" w:rsidRDefault="001300D1" w:rsidP="00326F81">
            <w:pPr>
              <w:widowControl/>
              <w:jc w:val="center"/>
              <w:rPr>
                <w:rFonts w:hAnsi="標楷體" w:cs="新細明體"/>
                <w:color w:val="000000" w:themeColor="text1"/>
                <w:kern w:val="0"/>
                <w:sz w:val="26"/>
                <w:szCs w:val="26"/>
              </w:rPr>
            </w:pPr>
            <w:r w:rsidRPr="008B619A">
              <w:rPr>
                <w:rFonts w:hAnsi="標楷體" w:cs="新細明體"/>
                <w:color w:val="000000" w:themeColor="text1"/>
                <w:kern w:val="0"/>
                <w:sz w:val="26"/>
                <w:szCs w:val="26"/>
              </w:rPr>
              <w:t>100</w:t>
            </w:r>
          </w:p>
        </w:tc>
        <w:tc>
          <w:tcPr>
            <w:tcW w:w="2126" w:type="dxa"/>
            <w:noWrap/>
            <w:hideMark/>
          </w:tcPr>
          <w:p w14:paraId="1F6F7CA4" w14:textId="77777777" w:rsidR="001300D1" w:rsidRPr="008B619A" w:rsidRDefault="001300D1" w:rsidP="006400F0">
            <w:pPr>
              <w:widowControl/>
              <w:cnfStyle w:val="000000100000" w:firstRow="0" w:lastRow="0" w:firstColumn="0" w:lastColumn="0" w:oddVBand="0" w:evenVBand="0" w:oddHBand="1"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全國</w:t>
            </w:r>
          </w:p>
        </w:tc>
        <w:tc>
          <w:tcPr>
            <w:tcW w:w="1424" w:type="dxa"/>
            <w:shd w:val="clear" w:color="auto" w:fill="C2D69B" w:themeFill="accent3" w:themeFillTint="99"/>
            <w:noWrap/>
            <w:hideMark/>
          </w:tcPr>
          <w:p w14:paraId="130D72C0" w14:textId="77777777" w:rsidR="001300D1" w:rsidRPr="008B619A" w:rsidRDefault="001300D1" w:rsidP="006400F0">
            <w:pPr>
              <w:widowControl/>
              <w:jc w:val="right"/>
              <w:cnfStyle w:val="000000100000" w:firstRow="0" w:lastRow="0" w:firstColumn="0" w:lastColumn="0" w:oddVBand="0" w:evenVBand="0" w:oddHBand="1"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288,311 </w:t>
            </w:r>
          </w:p>
        </w:tc>
        <w:tc>
          <w:tcPr>
            <w:tcW w:w="1057" w:type="dxa"/>
            <w:shd w:val="clear" w:color="auto" w:fill="CCC0D9" w:themeFill="accent4" w:themeFillTint="66"/>
            <w:noWrap/>
            <w:hideMark/>
          </w:tcPr>
          <w:p w14:paraId="05F7FB0F" w14:textId="77777777" w:rsidR="001300D1" w:rsidRPr="008B619A" w:rsidRDefault="001300D1" w:rsidP="006400F0">
            <w:pPr>
              <w:widowControl/>
              <w:jc w:val="right"/>
              <w:cnfStyle w:val="000000100000" w:firstRow="0" w:lastRow="0" w:firstColumn="0" w:lastColumn="0" w:oddVBand="0" w:evenVBand="0" w:oddHBand="1"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38,065 </w:t>
            </w:r>
          </w:p>
        </w:tc>
        <w:tc>
          <w:tcPr>
            <w:tcW w:w="1197" w:type="dxa"/>
            <w:noWrap/>
            <w:hideMark/>
          </w:tcPr>
          <w:p w14:paraId="1567109F" w14:textId="77777777" w:rsidR="001300D1" w:rsidRPr="008B619A" w:rsidRDefault="001300D1" w:rsidP="006400F0">
            <w:pPr>
              <w:widowControl/>
              <w:jc w:val="right"/>
              <w:cnfStyle w:val="000000100000" w:firstRow="0" w:lastRow="0" w:firstColumn="0" w:lastColumn="0" w:oddVBand="0" w:evenVBand="0" w:oddHBand="1"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115,482 </w:t>
            </w:r>
          </w:p>
        </w:tc>
        <w:tc>
          <w:tcPr>
            <w:tcW w:w="1197" w:type="dxa"/>
            <w:noWrap/>
            <w:hideMark/>
          </w:tcPr>
          <w:p w14:paraId="2DF550A5" w14:textId="77777777" w:rsidR="001300D1" w:rsidRPr="008B619A" w:rsidRDefault="001300D1" w:rsidP="006400F0">
            <w:pPr>
              <w:widowControl/>
              <w:jc w:val="right"/>
              <w:cnfStyle w:val="000000100000" w:firstRow="0" w:lastRow="0" w:firstColumn="0" w:lastColumn="0" w:oddVBand="0" w:evenVBand="0" w:oddHBand="1"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91,705 </w:t>
            </w:r>
          </w:p>
        </w:tc>
        <w:tc>
          <w:tcPr>
            <w:tcW w:w="1204" w:type="dxa"/>
            <w:noWrap/>
            <w:hideMark/>
          </w:tcPr>
          <w:p w14:paraId="37239C37" w14:textId="77777777" w:rsidR="001300D1" w:rsidRPr="008B619A" w:rsidRDefault="001300D1" w:rsidP="006400F0">
            <w:pPr>
              <w:widowControl/>
              <w:jc w:val="right"/>
              <w:cnfStyle w:val="000000100000" w:firstRow="0" w:lastRow="0" w:firstColumn="0" w:lastColumn="0" w:oddVBand="0" w:evenVBand="0" w:oddHBand="1"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30,555 </w:t>
            </w:r>
          </w:p>
        </w:tc>
        <w:tc>
          <w:tcPr>
            <w:tcW w:w="1057" w:type="dxa"/>
            <w:noWrap/>
            <w:hideMark/>
          </w:tcPr>
          <w:p w14:paraId="6C2CAE63" w14:textId="77777777" w:rsidR="001300D1" w:rsidRPr="008B619A" w:rsidRDefault="001300D1" w:rsidP="006400F0">
            <w:pPr>
              <w:widowControl/>
              <w:jc w:val="right"/>
              <w:cnfStyle w:val="000000100000" w:firstRow="0" w:lastRow="0" w:firstColumn="0" w:lastColumn="0" w:oddVBand="0" w:evenVBand="0" w:oddHBand="1"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12,504 </w:t>
            </w:r>
          </w:p>
        </w:tc>
      </w:tr>
      <w:tr w:rsidR="001300D1" w:rsidRPr="008B619A" w14:paraId="1898C51F" w14:textId="77777777" w:rsidTr="00AC21D6">
        <w:trPr>
          <w:trHeight w:val="330"/>
          <w:jc w:val="center"/>
        </w:trPr>
        <w:tc>
          <w:tcPr>
            <w:cnfStyle w:val="001000000000" w:firstRow="0" w:lastRow="0" w:firstColumn="1" w:lastColumn="0" w:oddVBand="0" w:evenVBand="0" w:oddHBand="0" w:evenHBand="0" w:firstRowFirstColumn="0" w:firstRowLastColumn="0" w:lastRowFirstColumn="0" w:lastRowLastColumn="0"/>
            <w:tcW w:w="851" w:type="dxa"/>
            <w:vMerge/>
            <w:shd w:val="clear" w:color="auto" w:fill="FBD4B4" w:themeFill="accent6" w:themeFillTint="66"/>
            <w:hideMark/>
          </w:tcPr>
          <w:p w14:paraId="52900A07" w14:textId="77777777" w:rsidR="001300D1" w:rsidRPr="008B619A" w:rsidRDefault="001300D1" w:rsidP="00326F81">
            <w:pPr>
              <w:widowControl/>
              <w:jc w:val="center"/>
              <w:rPr>
                <w:rFonts w:hAnsi="標楷體" w:cs="新細明體"/>
                <w:color w:val="000000" w:themeColor="text1"/>
                <w:kern w:val="0"/>
                <w:sz w:val="26"/>
                <w:szCs w:val="26"/>
              </w:rPr>
            </w:pPr>
          </w:p>
        </w:tc>
        <w:tc>
          <w:tcPr>
            <w:tcW w:w="2126" w:type="dxa"/>
            <w:noWrap/>
            <w:hideMark/>
          </w:tcPr>
          <w:p w14:paraId="7ADD84B5" w14:textId="77777777" w:rsidR="001300D1" w:rsidRPr="008B619A" w:rsidRDefault="001300D1" w:rsidP="006400F0">
            <w:pPr>
              <w:widowControl/>
              <w:cnfStyle w:val="000000000000" w:firstRow="0" w:lastRow="0" w:firstColumn="0" w:lastColumn="0" w:oddVBand="0" w:evenVBand="0" w:oddHBand="0"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企業部門</w:t>
            </w:r>
          </w:p>
        </w:tc>
        <w:tc>
          <w:tcPr>
            <w:tcW w:w="1424" w:type="dxa"/>
            <w:shd w:val="clear" w:color="auto" w:fill="C2D69B" w:themeFill="accent3" w:themeFillTint="99"/>
            <w:noWrap/>
            <w:hideMark/>
          </w:tcPr>
          <w:p w14:paraId="1F390F9D" w14:textId="77777777" w:rsidR="001300D1" w:rsidRPr="008B619A" w:rsidRDefault="001300D1" w:rsidP="006400F0">
            <w:pPr>
              <w:widowControl/>
              <w:jc w:val="right"/>
              <w:cnfStyle w:val="000000000000" w:firstRow="0" w:lastRow="0" w:firstColumn="0" w:lastColumn="0" w:oddVBand="0" w:evenVBand="0" w:oddHBand="0"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190,770 </w:t>
            </w:r>
          </w:p>
        </w:tc>
        <w:tc>
          <w:tcPr>
            <w:tcW w:w="1057" w:type="dxa"/>
            <w:shd w:val="clear" w:color="auto" w:fill="CCC0D9" w:themeFill="accent4" w:themeFillTint="66"/>
            <w:noWrap/>
            <w:hideMark/>
          </w:tcPr>
          <w:p w14:paraId="6B18B740" w14:textId="77777777" w:rsidR="001300D1" w:rsidRPr="008B619A" w:rsidRDefault="001300D1" w:rsidP="006400F0">
            <w:pPr>
              <w:widowControl/>
              <w:jc w:val="right"/>
              <w:cnfStyle w:val="000000000000" w:firstRow="0" w:lastRow="0" w:firstColumn="0" w:lastColumn="0" w:oddVBand="0" w:evenVBand="0" w:oddHBand="0"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5,264 </w:t>
            </w:r>
          </w:p>
        </w:tc>
        <w:tc>
          <w:tcPr>
            <w:tcW w:w="1197" w:type="dxa"/>
            <w:noWrap/>
            <w:hideMark/>
          </w:tcPr>
          <w:p w14:paraId="2E3AFB73" w14:textId="77777777" w:rsidR="001300D1" w:rsidRPr="008B619A" w:rsidRDefault="001300D1" w:rsidP="006400F0">
            <w:pPr>
              <w:widowControl/>
              <w:jc w:val="right"/>
              <w:cnfStyle w:val="000000000000" w:firstRow="0" w:lastRow="0" w:firstColumn="0" w:lastColumn="0" w:oddVBand="0" w:evenVBand="0" w:oddHBand="0"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71,705 </w:t>
            </w:r>
          </w:p>
        </w:tc>
        <w:tc>
          <w:tcPr>
            <w:tcW w:w="1197" w:type="dxa"/>
            <w:noWrap/>
            <w:hideMark/>
          </w:tcPr>
          <w:p w14:paraId="27CD4584" w14:textId="77777777" w:rsidR="001300D1" w:rsidRPr="008B619A" w:rsidRDefault="001300D1" w:rsidP="006400F0">
            <w:pPr>
              <w:widowControl/>
              <w:jc w:val="right"/>
              <w:cnfStyle w:val="000000000000" w:firstRow="0" w:lastRow="0" w:firstColumn="0" w:lastColumn="0" w:oddVBand="0" w:evenVBand="0" w:oddHBand="0"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77,938 </w:t>
            </w:r>
          </w:p>
        </w:tc>
        <w:tc>
          <w:tcPr>
            <w:tcW w:w="1204" w:type="dxa"/>
            <w:noWrap/>
            <w:hideMark/>
          </w:tcPr>
          <w:p w14:paraId="08F0B186" w14:textId="77777777" w:rsidR="001300D1" w:rsidRPr="008B619A" w:rsidRDefault="001300D1" w:rsidP="006400F0">
            <w:pPr>
              <w:widowControl/>
              <w:jc w:val="right"/>
              <w:cnfStyle w:val="000000000000" w:firstRow="0" w:lastRow="0" w:firstColumn="0" w:lastColumn="0" w:oddVBand="0" w:evenVBand="0" w:oddHBand="0"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26,243 </w:t>
            </w:r>
          </w:p>
        </w:tc>
        <w:tc>
          <w:tcPr>
            <w:tcW w:w="1057" w:type="dxa"/>
            <w:noWrap/>
            <w:hideMark/>
          </w:tcPr>
          <w:p w14:paraId="14D7099F" w14:textId="77777777" w:rsidR="001300D1" w:rsidRPr="008B619A" w:rsidRDefault="001300D1" w:rsidP="006400F0">
            <w:pPr>
              <w:widowControl/>
              <w:jc w:val="right"/>
              <w:cnfStyle w:val="000000000000" w:firstRow="0" w:lastRow="0" w:firstColumn="0" w:lastColumn="0" w:oddVBand="0" w:evenVBand="0" w:oddHBand="0"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9,620 </w:t>
            </w:r>
          </w:p>
        </w:tc>
      </w:tr>
      <w:tr w:rsidR="001300D1" w:rsidRPr="008B619A" w14:paraId="24CC654D" w14:textId="77777777" w:rsidTr="00AC21D6">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851" w:type="dxa"/>
            <w:vMerge/>
            <w:shd w:val="clear" w:color="auto" w:fill="FBD4B4" w:themeFill="accent6" w:themeFillTint="66"/>
            <w:hideMark/>
          </w:tcPr>
          <w:p w14:paraId="37CEFE1E" w14:textId="77777777" w:rsidR="001300D1" w:rsidRPr="008B619A" w:rsidRDefault="001300D1" w:rsidP="00326F81">
            <w:pPr>
              <w:widowControl/>
              <w:jc w:val="center"/>
              <w:rPr>
                <w:rFonts w:hAnsi="標楷體" w:cs="新細明體"/>
                <w:color w:val="000000" w:themeColor="text1"/>
                <w:kern w:val="0"/>
                <w:sz w:val="26"/>
                <w:szCs w:val="26"/>
              </w:rPr>
            </w:pPr>
          </w:p>
        </w:tc>
        <w:tc>
          <w:tcPr>
            <w:tcW w:w="2126" w:type="dxa"/>
            <w:noWrap/>
            <w:hideMark/>
          </w:tcPr>
          <w:p w14:paraId="1AF7A628" w14:textId="77777777" w:rsidR="001300D1" w:rsidRPr="008B619A" w:rsidRDefault="001300D1" w:rsidP="006400F0">
            <w:pPr>
              <w:widowControl/>
              <w:cnfStyle w:val="000000100000" w:firstRow="0" w:lastRow="0" w:firstColumn="0" w:lastColumn="0" w:oddVBand="0" w:evenVBand="0" w:oddHBand="1"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政府部門</w:t>
            </w:r>
          </w:p>
        </w:tc>
        <w:tc>
          <w:tcPr>
            <w:tcW w:w="1424" w:type="dxa"/>
            <w:shd w:val="clear" w:color="auto" w:fill="C2D69B" w:themeFill="accent3" w:themeFillTint="99"/>
            <w:noWrap/>
            <w:hideMark/>
          </w:tcPr>
          <w:p w14:paraId="29AE1D88" w14:textId="77777777" w:rsidR="001300D1" w:rsidRPr="008B619A" w:rsidRDefault="001300D1" w:rsidP="006400F0">
            <w:pPr>
              <w:widowControl/>
              <w:jc w:val="right"/>
              <w:cnfStyle w:val="000000100000" w:firstRow="0" w:lastRow="0" w:firstColumn="0" w:lastColumn="0" w:oddVBand="0" w:evenVBand="0" w:oddHBand="1"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34,828 </w:t>
            </w:r>
          </w:p>
        </w:tc>
        <w:tc>
          <w:tcPr>
            <w:tcW w:w="1057" w:type="dxa"/>
            <w:shd w:val="clear" w:color="auto" w:fill="CCC0D9" w:themeFill="accent4" w:themeFillTint="66"/>
            <w:noWrap/>
            <w:hideMark/>
          </w:tcPr>
          <w:p w14:paraId="17AFAB72" w14:textId="77777777" w:rsidR="001300D1" w:rsidRPr="008B619A" w:rsidRDefault="001300D1" w:rsidP="006400F0">
            <w:pPr>
              <w:widowControl/>
              <w:jc w:val="right"/>
              <w:cnfStyle w:val="000000100000" w:firstRow="0" w:lastRow="0" w:firstColumn="0" w:lastColumn="0" w:oddVBand="0" w:evenVBand="0" w:oddHBand="1"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6,049 </w:t>
            </w:r>
          </w:p>
        </w:tc>
        <w:tc>
          <w:tcPr>
            <w:tcW w:w="1197" w:type="dxa"/>
            <w:noWrap/>
            <w:hideMark/>
          </w:tcPr>
          <w:p w14:paraId="4951015D" w14:textId="77777777" w:rsidR="001300D1" w:rsidRPr="008B619A" w:rsidRDefault="001300D1" w:rsidP="006400F0">
            <w:pPr>
              <w:widowControl/>
              <w:jc w:val="right"/>
              <w:cnfStyle w:val="000000100000" w:firstRow="0" w:lastRow="0" w:firstColumn="0" w:lastColumn="0" w:oddVBand="0" w:evenVBand="0" w:oddHBand="1"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14,332 </w:t>
            </w:r>
          </w:p>
        </w:tc>
        <w:tc>
          <w:tcPr>
            <w:tcW w:w="1197" w:type="dxa"/>
            <w:noWrap/>
            <w:hideMark/>
          </w:tcPr>
          <w:p w14:paraId="43AE3B87" w14:textId="77777777" w:rsidR="001300D1" w:rsidRPr="008B619A" w:rsidRDefault="001300D1" w:rsidP="006400F0">
            <w:pPr>
              <w:widowControl/>
              <w:jc w:val="right"/>
              <w:cnfStyle w:val="000000100000" w:firstRow="0" w:lastRow="0" w:firstColumn="0" w:lastColumn="0" w:oddVBand="0" w:evenVBand="0" w:oddHBand="1"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8,257 </w:t>
            </w:r>
          </w:p>
        </w:tc>
        <w:tc>
          <w:tcPr>
            <w:tcW w:w="1204" w:type="dxa"/>
            <w:noWrap/>
            <w:hideMark/>
          </w:tcPr>
          <w:p w14:paraId="0E2E95B8" w14:textId="77777777" w:rsidR="001300D1" w:rsidRPr="008B619A" w:rsidRDefault="001300D1" w:rsidP="006400F0">
            <w:pPr>
              <w:widowControl/>
              <w:jc w:val="right"/>
              <w:cnfStyle w:val="000000100000" w:firstRow="0" w:lastRow="0" w:firstColumn="0" w:lastColumn="0" w:oddVBand="0" w:evenVBand="0" w:oddHBand="1"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3,534 </w:t>
            </w:r>
          </w:p>
        </w:tc>
        <w:tc>
          <w:tcPr>
            <w:tcW w:w="1057" w:type="dxa"/>
            <w:noWrap/>
            <w:hideMark/>
          </w:tcPr>
          <w:p w14:paraId="2C3267FF" w14:textId="77777777" w:rsidR="001300D1" w:rsidRPr="008B619A" w:rsidRDefault="001300D1" w:rsidP="006400F0">
            <w:pPr>
              <w:widowControl/>
              <w:jc w:val="right"/>
              <w:cnfStyle w:val="000000100000" w:firstRow="0" w:lastRow="0" w:firstColumn="0" w:lastColumn="0" w:oddVBand="0" w:evenVBand="0" w:oddHBand="1"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2,656 </w:t>
            </w:r>
          </w:p>
        </w:tc>
      </w:tr>
      <w:tr w:rsidR="001300D1" w:rsidRPr="008B619A" w14:paraId="338459C4" w14:textId="77777777" w:rsidTr="00AC21D6">
        <w:trPr>
          <w:trHeight w:val="330"/>
          <w:jc w:val="center"/>
        </w:trPr>
        <w:tc>
          <w:tcPr>
            <w:cnfStyle w:val="001000000000" w:firstRow="0" w:lastRow="0" w:firstColumn="1" w:lastColumn="0" w:oddVBand="0" w:evenVBand="0" w:oddHBand="0" w:evenHBand="0" w:firstRowFirstColumn="0" w:firstRowLastColumn="0" w:lastRowFirstColumn="0" w:lastRowLastColumn="0"/>
            <w:tcW w:w="851" w:type="dxa"/>
            <w:vMerge/>
            <w:shd w:val="clear" w:color="auto" w:fill="FBD4B4" w:themeFill="accent6" w:themeFillTint="66"/>
            <w:hideMark/>
          </w:tcPr>
          <w:p w14:paraId="5056EF46" w14:textId="77777777" w:rsidR="001300D1" w:rsidRPr="008B619A" w:rsidRDefault="001300D1" w:rsidP="00326F81">
            <w:pPr>
              <w:widowControl/>
              <w:jc w:val="center"/>
              <w:rPr>
                <w:rFonts w:hAnsi="標楷體" w:cs="新細明體"/>
                <w:color w:val="000000" w:themeColor="text1"/>
                <w:kern w:val="0"/>
                <w:sz w:val="26"/>
                <w:szCs w:val="26"/>
              </w:rPr>
            </w:pPr>
          </w:p>
        </w:tc>
        <w:tc>
          <w:tcPr>
            <w:tcW w:w="2126" w:type="dxa"/>
            <w:noWrap/>
            <w:hideMark/>
          </w:tcPr>
          <w:p w14:paraId="32262207" w14:textId="77777777" w:rsidR="001300D1" w:rsidRPr="008B619A" w:rsidRDefault="001300D1" w:rsidP="006400F0">
            <w:pPr>
              <w:widowControl/>
              <w:cnfStyle w:val="000000000000" w:firstRow="0" w:lastRow="0" w:firstColumn="0" w:lastColumn="0" w:oddVBand="0" w:evenVBand="0" w:oddHBand="0"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高等教育部門</w:t>
            </w:r>
          </w:p>
        </w:tc>
        <w:tc>
          <w:tcPr>
            <w:tcW w:w="1424" w:type="dxa"/>
            <w:shd w:val="clear" w:color="auto" w:fill="C2D69B" w:themeFill="accent3" w:themeFillTint="99"/>
            <w:noWrap/>
            <w:hideMark/>
          </w:tcPr>
          <w:p w14:paraId="7BF438F6" w14:textId="77777777" w:rsidR="001300D1" w:rsidRPr="008B619A" w:rsidRDefault="001300D1" w:rsidP="006400F0">
            <w:pPr>
              <w:widowControl/>
              <w:jc w:val="right"/>
              <w:cnfStyle w:val="000000000000" w:firstRow="0" w:lastRow="0" w:firstColumn="0" w:lastColumn="0" w:oddVBand="0" w:evenVBand="0" w:oddHBand="0"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61,262 </w:t>
            </w:r>
          </w:p>
        </w:tc>
        <w:tc>
          <w:tcPr>
            <w:tcW w:w="1057" w:type="dxa"/>
            <w:shd w:val="clear" w:color="auto" w:fill="CCC0D9" w:themeFill="accent4" w:themeFillTint="66"/>
            <w:noWrap/>
            <w:hideMark/>
          </w:tcPr>
          <w:p w14:paraId="633A2E13" w14:textId="77777777" w:rsidR="001300D1" w:rsidRPr="008B619A" w:rsidRDefault="001300D1" w:rsidP="006400F0">
            <w:pPr>
              <w:widowControl/>
              <w:jc w:val="right"/>
              <w:cnfStyle w:val="000000000000" w:firstRow="0" w:lastRow="0" w:firstColumn="0" w:lastColumn="0" w:oddVBand="0" w:evenVBand="0" w:oddHBand="0"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26,416 </w:t>
            </w:r>
          </w:p>
        </w:tc>
        <w:tc>
          <w:tcPr>
            <w:tcW w:w="1197" w:type="dxa"/>
            <w:noWrap/>
            <w:hideMark/>
          </w:tcPr>
          <w:p w14:paraId="4A0680B8" w14:textId="77777777" w:rsidR="001300D1" w:rsidRPr="008B619A" w:rsidRDefault="001300D1" w:rsidP="006400F0">
            <w:pPr>
              <w:widowControl/>
              <w:jc w:val="right"/>
              <w:cnfStyle w:val="000000000000" w:firstRow="0" w:lastRow="0" w:firstColumn="0" w:lastColumn="0" w:oddVBand="0" w:evenVBand="0" w:oddHBand="0"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28,953 </w:t>
            </w:r>
          </w:p>
        </w:tc>
        <w:tc>
          <w:tcPr>
            <w:tcW w:w="1197" w:type="dxa"/>
            <w:noWrap/>
            <w:hideMark/>
          </w:tcPr>
          <w:p w14:paraId="7684E94F" w14:textId="77777777" w:rsidR="001300D1" w:rsidRPr="008B619A" w:rsidRDefault="001300D1" w:rsidP="006400F0">
            <w:pPr>
              <w:widowControl/>
              <w:jc w:val="right"/>
              <w:cnfStyle w:val="000000000000" w:firstRow="0" w:lastRow="0" w:firstColumn="0" w:lastColumn="0" w:oddVBand="0" w:evenVBand="0" w:oddHBand="0"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5,116 </w:t>
            </w:r>
          </w:p>
        </w:tc>
        <w:tc>
          <w:tcPr>
            <w:tcW w:w="1204" w:type="dxa"/>
            <w:noWrap/>
            <w:hideMark/>
          </w:tcPr>
          <w:p w14:paraId="63F76D10" w14:textId="77777777" w:rsidR="001300D1" w:rsidRPr="008B619A" w:rsidRDefault="001300D1" w:rsidP="006400F0">
            <w:pPr>
              <w:widowControl/>
              <w:jc w:val="right"/>
              <w:cnfStyle w:val="000000000000" w:firstRow="0" w:lastRow="0" w:firstColumn="0" w:lastColumn="0" w:oddVBand="0" w:evenVBand="0" w:oddHBand="0"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646 </w:t>
            </w:r>
          </w:p>
        </w:tc>
        <w:tc>
          <w:tcPr>
            <w:tcW w:w="1057" w:type="dxa"/>
            <w:noWrap/>
            <w:hideMark/>
          </w:tcPr>
          <w:p w14:paraId="261FF846" w14:textId="77777777" w:rsidR="001300D1" w:rsidRPr="008B619A" w:rsidRDefault="001300D1" w:rsidP="006400F0">
            <w:pPr>
              <w:widowControl/>
              <w:jc w:val="right"/>
              <w:cnfStyle w:val="000000000000" w:firstRow="0" w:lastRow="0" w:firstColumn="0" w:lastColumn="0" w:oddVBand="0" w:evenVBand="0" w:oddHBand="0"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131 </w:t>
            </w:r>
          </w:p>
        </w:tc>
      </w:tr>
      <w:tr w:rsidR="001300D1" w:rsidRPr="008B619A" w14:paraId="534FE53C" w14:textId="77777777" w:rsidTr="00AC21D6">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851" w:type="dxa"/>
            <w:vMerge/>
            <w:shd w:val="clear" w:color="auto" w:fill="FBD4B4" w:themeFill="accent6" w:themeFillTint="66"/>
            <w:hideMark/>
          </w:tcPr>
          <w:p w14:paraId="777480DA" w14:textId="77777777" w:rsidR="001300D1" w:rsidRPr="008B619A" w:rsidRDefault="001300D1" w:rsidP="00326F81">
            <w:pPr>
              <w:widowControl/>
              <w:jc w:val="center"/>
              <w:rPr>
                <w:rFonts w:hAnsi="標楷體" w:cs="新細明體"/>
                <w:color w:val="000000" w:themeColor="text1"/>
                <w:kern w:val="0"/>
                <w:sz w:val="26"/>
                <w:szCs w:val="26"/>
              </w:rPr>
            </w:pPr>
          </w:p>
        </w:tc>
        <w:tc>
          <w:tcPr>
            <w:tcW w:w="2126" w:type="dxa"/>
            <w:noWrap/>
            <w:hideMark/>
          </w:tcPr>
          <w:p w14:paraId="4B80246E" w14:textId="77777777" w:rsidR="001300D1" w:rsidRPr="008B619A" w:rsidRDefault="001300D1" w:rsidP="006400F0">
            <w:pPr>
              <w:widowControl/>
              <w:cnfStyle w:val="000000100000" w:firstRow="0" w:lastRow="0" w:firstColumn="0" w:lastColumn="0" w:oddVBand="0" w:evenVBand="0" w:oddHBand="1"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私人非營利部門</w:t>
            </w:r>
          </w:p>
        </w:tc>
        <w:tc>
          <w:tcPr>
            <w:tcW w:w="1424" w:type="dxa"/>
            <w:shd w:val="clear" w:color="auto" w:fill="C2D69B" w:themeFill="accent3" w:themeFillTint="99"/>
            <w:noWrap/>
            <w:hideMark/>
          </w:tcPr>
          <w:p w14:paraId="0E0265E8" w14:textId="77777777" w:rsidR="001300D1" w:rsidRPr="008B619A" w:rsidRDefault="001300D1" w:rsidP="006400F0">
            <w:pPr>
              <w:widowControl/>
              <w:jc w:val="right"/>
              <w:cnfStyle w:val="000000100000" w:firstRow="0" w:lastRow="0" w:firstColumn="0" w:lastColumn="0" w:oddVBand="0" w:evenVBand="0" w:oddHBand="1"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1,451 </w:t>
            </w:r>
          </w:p>
        </w:tc>
        <w:tc>
          <w:tcPr>
            <w:tcW w:w="1057" w:type="dxa"/>
            <w:shd w:val="clear" w:color="auto" w:fill="CCC0D9" w:themeFill="accent4" w:themeFillTint="66"/>
            <w:noWrap/>
            <w:hideMark/>
          </w:tcPr>
          <w:p w14:paraId="0D0C35DF" w14:textId="77777777" w:rsidR="001300D1" w:rsidRPr="008B619A" w:rsidRDefault="001300D1" w:rsidP="006400F0">
            <w:pPr>
              <w:widowControl/>
              <w:jc w:val="right"/>
              <w:cnfStyle w:val="000000100000" w:firstRow="0" w:lastRow="0" w:firstColumn="0" w:lastColumn="0" w:oddVBand="0" w:evenVBand="0" w:oddHBand="1"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336 </w:t>
            </w:r>
          </w:p>
        </w:tc>
        <w:tc>
          <w:tcPr>
            <w:tcW w:w="1197" w:type="dxa"/>
            <w:noWrap/>
            <w:hideMark/>
          </w:tcPr>
          <w:p w14:paraId="287B7585" w14:textId="77777777" w:rsidR="001300D1" w:rsidRPr="008B619A" w:rsidRDefault="001300D1" w:rsidP="006400F0">
            <w:pPr>
              <w:widowControl/>
              <w:jc w:val="right"/>
              <w:cnfStyle w:val="000000100000" w:firstRow="0" w:lastRow="0" w:firstColumn="0" w:lastColumn="0" w:oddVBand="0" w:evenVBand="0" w:oddHBand="1"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492 </w:t>
            </w:r>
          </w:p>
        </w:tc>
        <w:tc>
          <w:tcPr>
            <w:tcW w:w="1197" w:type="dxa"/>
            <w:noWrap/>
            <w:hideMark/>
          </w:tcPr>
          <w:p w14:paraId="23582A10" w14:textId="77777777" w:rsidR="001300D1" w:rsidRPr="008B619A" w:rsidRDefault="001300D1" w:rsidP="006400F0">
            <w:pPr>
              <w:widowControl/>
              <w:jc w:val="right"/>
              <w:cnfStyle w:val="000000100000" w:firstRow="0" w:lastRow="0" w:firstColumn="0" w:lastColumn="0" w:oddVBand="0" w:evenVBand="0" w:oddHBand="1"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394 </w:t>
            </w:r>
          </w:p>
        </w:tc>
        <w:tc>
          <w:tcPr>
            <w:tcW w:w="1204" w:type="dxa"/>
            <w:noWrap/>
            <w:hideMark/>
          </w:tcPr>
          <w:p w14:paraId="08526AE1" w14:textId="77777777" w:rsidR="001300D1" w:rsidRPr="008B619A" w:rsidRDefault="001300D1" w:rsidP="006400F0">
            <w:pPr>
              <w:widowControl/>
              <w:jc w:val="right"/>
              <w:cnfStyle w:val="000000100000" w:firstRow="0" w:lastRow="0" w:firstColumn="0" w:lastColumn="0" w:oddVBand="0" w:evenVBand="0" w:oddHBand="1"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132 </w:t>
            </w:r>
          </w:p>
        </w:tc>
        <w:tc>
          <w:tcPr>
            <w:tcW w:w="1057" w:type="dxa"/>
            <w:noWrap/>
            <w:hideMark/>
          </w:tcPr>
          <w:p w14:paraId="5CDADCA7" w14:textId="77777777" w:rsidR="001300D1" w:rsidRPr="008B619A" w:rsidRDefault="001300D1" w:rsidP="006400F0">
            <w:pPr>
              <w:widowControl/>
              <w:jc w:val="right"/>
              <w:cnfStyle w:val="000000100000" w:firstRow="0" w:lastRow="0" w:firstColumn="0" w:lastColumn="0" w:oddVBand="0" w:evenVBand="0" w:oddHBand="1"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97 </w:t>
            </w:r>
          </w:p>
        </w:tc>
      </w:tr>
      <w:tr w:rsidR="001300D1" w:rsidRPr="008B619A" w14:paraId="1300F03F" w14:textId="77777777" w:rsidTr="00AC21D6">
        <w:trPr>
          <w:trHeight w:val="330"/>
          <w:jc w:val="center"/>
        </w:trPr>
        <w:tc>
          <w:tcPr>
            <w:cnfStyle w:val="001000000000" w:firstRow="0" w:lastRow="0" w:firstColumn="1" w:lastColumn="0" w:oddVBand="0" w:evenVBand="0" w:oddHBand="0" w:evenHBand="0" w:firstRowFirstColumn="0" w:firstRowLastColumn="0" w:lastRowFirstColumn="0" w:lastRowLastColumn="0"/>
            <w:tcW w:w="851" w:type="dxa"/>
            <w:vMerge w:val="restart"/>
            <w:shd w:val="clear" w:color="auto" w:fill="FBD4B4" w:themeFill="accent6" w:themeFillTint="66"/>
            <w:noWrap/>
            <w:hideMark/>
          </w:tcPr>
          <w:p w14:paraId="3B19FE39" w14:textId="77777777" w:rsidR="001300D1" w:rsidRPr="008B619A" w:rsidRDefault="001300D1" w:rsidP="00326F81">
            <w:pPr>
              <w:widowControl/>
              <w:jc w:val="center"/>
              <w:rPr>
                <w:rFonts w:hAnsi="標楷體" w:cs="新細明體"/>
                <w:color w:val="000000" w:themeColor="text1"/>
                <w:kern w:val="0"/>
                <w:sz w:val="26"/>
                <w:szCs w:val="26"/>
              </w:rPr>
            </w:pPr>
            <w:r w:rsidRPr="008B619A">
              <w:rPr>
                <w:rFonts w:hAnsi="標楷體" w:cs="新細明體"/>
                <w:color w:val="000000" w:themeColor="text1"/>
                <w:kern w:val="0"/>
                <w:sz w:val="26"/>
                <w:szCs w:val="26"/>
              </w:rPr>
              <w:t>101</w:t>
            </w:r>
          </w:p>
        </w:tc>
        <w:tc>
          <w:tcPr>
            <w:tcW w:w="2126" w:type="dxa"/>
            <w:noWrap/>
            <w:hideMark/>
          </w:tcPr>
          <w:p w14:paraId="6F3A98DC" w14:textId="77777777" w:rsidR="001300D1" w:rsidRPr="008B619A" w:rsidRDefault="001300D1" w:rsidP="006400F0">
            <w:pPr>
              <w:widowControl/>
              <w:cnfStyle w:val="000000000000" w:firstRow="0" w:lastRow="0" w:firstColumn="0" w:lastColumn="0" w:oddVBand="0" w:evenVBand="0" w:oddHBand="0"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全國</w:t>
            </w:r>
          </w:p>
        </w:tc>
        <w:tc>
          <w:tcPr>
            <w:tcW w:w="1424" w:type="dxa"/>
            <w:shd w:val="clear" w:color="auto" w:fill="C2D69B" w:themeFill="accent3" w:themeFillTint="99"/>
            <w:noWrap/>
            <w:hideMark/>
          </w:tcPr>
          <w:p w14:paraId="36072D0E" w14:textId="77777777" w:rsidR="001300D1" w:rsidRPr="008B619A" w:rsidRDefault="001300D1" w:rsidP="006400F0">
            <w:pPr>
              <w:widowControl/>
              <w:jc w:val="right"/>
              <w:cnfStyle w:val="000000000000" w:firstRow="0" w:lastRow="0" w:firstColumn="0" w:lastColumn="0" w:oddVBand="0" w:evenVBand="0" w:oddHBand="0"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296,288 </w:t>
            </w:r>
          </w:p>
        </w:tc>
        <w:tc>
          <w:tcPr>
            <w:tcW w:w="1057" w:type="dxa"/>
            <w:shd w:val="clear" w:color="auto" w:fill="CCC0D9" w:themeFill="accent4" w:themeFillTint="66"/>
            <w:noWrap/>
            <w:hideMark/>
          </w:tcPr>
          <w:p w14:paraId="4C5832C0" w14:textId="77777777" w:rsidR="001300D1" w:rsidRPr="008B619A" w:rsidRDefault="001300D1" w:rsidP="006400F0">
            <w:pPr>
              <w:widowControl/>
              <w:jc w:val="right"/>
              <w:cnfStyle w:val="000000000000" w:firstRow="0" w:lastRow="0" w:firstColumn="0" w:lastColumn="0" w:oddVBand="0" w:evenVBand="0" w:oddHBand="0"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39,680 </w:t>
            </w:r>
          </w:p>
        </w:tc>
        <w:tc>
          <w:tcPr>
            <w:tcW w:w="1197" w:type="dxa"/>
            <w:noWrap/>
            <w:hideMark/>
          </w:tcPr>
          <w:p w14:paraId="6E9FC038" w14:textId="77777777" w:rsidR="001300D1" w:rsidRPr="008B619A" w:rsidRDefault="001300D1" w:rsidP="006400F0">
            <w:pPr>
              <w:widowControl/>
              <w:jc w:val="right"/>
              <w:cnfStyle w:val="000000000000" w:firstRow="0" w:lastRow="0" w:firstColumn="0" w:lastColumn="0" w:oddVBand="0" w:evenVBand="0" w:oddHBand="0"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120,110 </w:t>
            </w:r>
          </w:p>
        </w:tc>
        <w:tc>
          <w:tcPr>
            <w:tcW w:w="1197" w:type="dxa"/>
            <w:noWrap/>
            <w:hideMark/>
          </w:tcPr>
          <w:p w14:paraId="019E27B2" w14:textId="77777777" w:rsidR="001300D1" w:rsidRPr="008B619A" w:rsidRDefault="001300D1" w:rsidP="006400F0">
            <w:pPr>
              <w:widowControl/>
              <w:jc w:val="right"/>
              <w:cnfStyle w:val="000000000000" w:firstRow="0" w:lastRow="0" w:firstColumn="0" w:lastColumn="0" w:oddVBand="0" w:evenVBand="0" w:oddHBand="0"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94,151 </w:t>
            </w:r>
          </w:p>
        </w:tc>
        <w:tc>
          <w:tcPr>
            <w:tcW w:w="1204" w:type="dxa"/>
            <w:noWrap/>
            <w:hideMark/>
          </w:tcPr>
          <w:p w14:paraId="2B659B2D" w14:textId="77777777" w:rsidR="001300D1" w:rsidRPr="008B619A" w:rsidRDefault="001300D1" w:rsidP="006400F0">
            <w:pPr>
              <w:widowControl/>
              <w:jc w:val="right"/>
              <w:cnfStyle w:val="000000000000" w:firstRow="0" w:lastRow="0" w:firstColumn="0" w:lastColumn="0" w:oddVBand="0" w:evenVBand="0" w:oddHBand="0"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30,737 </w:t>
            </w:r>
          </w:p>
        </w:tc>
        <w:tc>
          <w:tcPr>
            <w:tcW w:w="1057" w:type="dxa"/>
            <w:noWrap/>
            <w:hideMark/>
          </w:tcPr>
          <w:p w14:paraId="73FEDA13" w14:textId="77777777" w:rsidR="001300D1" w:rsidRPr="008B619A" w:rsidRDefault="001300D1" w:rsidP="006400F0">
            <w:pPr>
              <w:widowControl/>
              <w:jc w:val="right"/>
              <w:cnfStyle w:val="000000000000" w:firstRow="0" w:lastRow="0" w:firstColumn="0" w:lastColumn="0" w:oddVBand="0" w:evenVBand="0" w:oddHBand="0"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11,610 </w:t>
            </w:r>
          </w:p>
        </w:tc>
      </w:tr>
      <w:tr w:rsidR="001300D1" w:rsidRPr="008B619A" w14:paraId="12DF4920" w14:textId="77777777" w:rsidTr="00AC21D6">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851" w:type="dxa"/>
            <w:vMerge/>
            <w:shd w:val="clear" w:color="auto" w:fill="FBD4B4" w:themeFill="accent6" w:themeFillTint="66"/>
            <w:hideMark/>
          </w:tcPr>
          <w:p w14:paraId="260D5AF5" w14:textId="77777777" w:rsidR="001300D1" w:rsidRPr="008B619A" w:rsidRDefault="001300D1" w:rsidP="00326F81">
            <w:pPr>
              <w:widowControl/>
              <w:jc w:val="center"/>
              <w:rPr>
                <w:rFonts w:hAnsi="標楷體" w:cs="新細明體"/>
                <w:color w:val="000000" w:themeColor="text1"/>
                <w:kern w:val="0"/>
                <w:sz w:val="26"/>
                <w:szCs w:val="26"/>
              </w:rPr>
            </w:pPr>
          </w:p>
        </w:tc>
        <w:tc>
          <w:tcPr>
            <w:tcW w:w="2126" w:type="dxa"/>
            <w:noWrap/>
            <w:hideMark/>
          </w:tcPr>
          <w:p w14:paraId="69673A13" w14:textId="77777777" w:rsidR="001300D1" w:rsidRPr="008B619A" w:rsidRDefault="001300D1" w:rsidP="006400F0">
            <w:pPr>
              <w:widowControl/>
              <w:cnfStyle w:val="000000100000" w:firstRow="0" w:lastRow="0" w:firstColumn="0" w:lastColumn="0" w:oddVBand="0" w:evenVBand="0" w:oddHBand="1"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企業部門</w:t>
            </w:r>
          </w:p>
        </w:tc>
        <w:tc>
          <w:tcPr>
            <w:tcW w:w="1424" w:type="dxa"/>
            <w:shd w:val="clear" w:color="auto" w:fill="C2D69B" w:themeFill="accent3" w:themeFillTint="99"/>
            <w:noWrap/>
            <w:hideMark/>
          </w:tcPr>
          <w:p w14:paraId="382BD946" w14:textId="77777777" w:rsidR="001300D1" w:rsidRPr="008B619A" w:rsidRDefault="001300D1" w:rsidP="006400F0">
            <w:pPr>
              <w:widowControl/>
              <w:jc w:val="right"/>
              <w:cnfStyle w:val="000000100000" w:firstRow="0" w:lastRow="0" w:firstColumn="0" w:lastColumn="0" w:oddVBand="0" w:evenVBand="0" w:oddHBand="1"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198,679 </w:t>
            </w:r>
          </w:p>
        </w:tc>
        <w:tc>
          <w:tcPr>
            <w:tcW w:w="1057" w:type="dxa"/>
            <w:shd w:val="clear" w:color="auto" w:fill="CCC0D9" w:themeFill="accent4" w:themeFillTint="66"/>
            <w:noWrap/>
            <w:hideMark/>
          </w:tcPr>
          <w:p w14:paraId="053B1B44" w14:textId="77777777" w:rsidR="001300D1" w:rsidRPr="008B619A" w:rsidRDefault="001300D1" w:rsidP="006400F0">
            <w:pPr>
              <w:widowControl/>
              <w:jc w:val="right"/>
              <w:cnfStyle w:val="000000100000" w:firstRow="0" w:lastRow="0" w:firstColumn="0" w:lastColumn="0" w:oddVBand="0" w:evenVBand="0" w:oddHBand="1"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5,773 </w:t>
            </w:r>
          </w:p>
        </w:tc>
        <w:tc>
          <w:tcPr>
            <w:tcW w:w="1197" w:type="dxa"/>
            <w:noWrap/>
            <w:hideMark/>
          </w:tcPr>
          <w:p w14:paraId="4791A218" w14:textId="77777777" w:rsidR="001300D1" w:rsidRPr="008B619A" w:rsidRDefault="001300D1" w:rsidP="006400F0">
            <w:pPr>
              <w:widowControl/>
              <w:jc w:val="right"/>
              <w:cnfStyle w:val="000000100000" w:firstRow="0" w:lastRow="0" w:firstColumn="0" w:lastColumn="0" w:oddVBand="0" w:evenVBand="0" w:oddHBand="1"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77,045 </w:t>
            </w:r>
          </w:p>
        </w:tc>
        <w:tc>
          <w:tcPr>
            <w:tcW w:w="1197" w:type="dxa"/>
            <w:noWrap/>
            <w:hideMark/>
          </w:tcPr>
          <w:p w14:paraId="39045ADF" w14:textId="77777777" w:rsidR="001300D1" w:rsidRPr="008B619A" w:rsidRDefault="001300D1" w:rsidP="006400F0">
            <w:pPr>
              <w:widowControl/>
              <w:jc w:val="right"/>
              <w:cnfStyle w:val="000000100000" w:firstRow="0" w:lastRow="0" w:firstColumn="0" w:lastColumn="0" w:oddVBand="0" w:evenVBand="0" w:oddHBand="1"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80,352 </w:t>
            </w:r>
          </w:p>
        </w:tc>
        <w:tc>
          <w:tcPr>
            <w:tcW w:w="1204" w:type="dxa"/>
            <w:noWrap/>
            <w:hideMark/>
          </w:tcPr>
          <w:p w14:paraId="771EE2EB" w14:textId="77777777" w:rsidR="001300D1" w:rsidRPr="008B619A" w:rsidRDefault="001300D1" w:rsidP="006400F0">
            <w:pPr>
              <w:widowControl/>
              <w:jc w:val="right"/>
              <w:cnfStyle w:val="000000100000" w:firstRow="0" w:lastRow="0" w:firstColumn="0" w:lastColumn="0" w:oddVBand="0" w:evenVBand="0" w:oddHBand="1"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26,688 </w:t>
            </w:r>
          </w:p>
        </w:tc>
        <w:tc>
          <w:tcPr>
            <w:tcW w:w="1057" w:type="dxa"/>
            <w:noWrap/>
            <w:hideMark/>
          </w:tcPr>
          <w:p w14:paraId="76F43D44" w14:textId="77777777" w:rsidR="001300D1" w:rsidRPr="008B619A" w:rsidRDefault="001300D1" w:rsidP="006400F0">
            <w:pPr>
              <w:widowControl/>
              <w:jc w:val="right"/>
              <w:cnfStyle w:val="000000100000" w:firstRow="0" w:lastRow="0" w:firstColumn="0" w:lastColumn="0" w:oddVBand="0" w:evenVBand="0" w:oddHBand="1"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8,820 </w:t>
            </w:r>
          </w:p>
        </w:tc>
      </w:tr>
      <w:tr w:rsidR="001300D1" w:rsidRPr="008B619A" w14:paraId="2D90F644" w14:textId="77777777" w:rsidTr="00AC21D6">
        <w:trPr>
          <w:trHeight w:val="330"/>
          <w:jc w:val="center"/>
        </w:trPr>
        <w:tc>
          <w:tcPr>
            <w:cnfStyle w:val="001000000000" w:firstRow="0" w:lastRow="0" w:firstColumn="1" w:lastColumn="0" w:oddVBand="0" w:evenVBand="0" w:oddHBand="0" w:evenHBand="0" w:firstRowFirstColumn="0" w:firstRowLastColumn="0" w:lastRowFirstColumn="0" w:lastRowLastColumn="0"/>
            <w:tcW w:w="851" w:type="dxa"/>
            <w:vMerge/>
            <w:shd w:val="clear" w:color="auto" w:fill="FBD4B4" w:themeFill="accent6" w:themeFillTint="66"/>
            <w:hideMark/>
          </w:tcPr>
          <w:p w14:paraId="1B050800" w14:textId="77777777" w:rsidR="001300D1" w:rsidRPr="008B619A" w:rsidRDefault="001300D1" w:rsidP="00326F81">
            <w:pPr>
              <w:widowControl/>
              <w:jc w:val="center"/>
              <w:rPr>
                <w:rFonts w:hAnsi="標楷體" w:cs="新細明體"/>
                <w:color w:val="000000" w:themeColor="text1"/>
                <w:kern w:val="0"/>
                <w:sz w:val="26"/>
                <w:szCs w:val="26"/>
              </w:rPr>
            </w:pPr>
          </w:p>
        </w:tc>
        <w:tc>
          <w:tcPr>
            <w:tcW w:w="2126" w:type="dxa"/>
            <w:noWrap/>
            <w:hideMark/>
          </w:tcPr>
          <w:p w14:paraId="2B10A465" w14:textId="77777777" w:rsidR="001300D1" w:rsidRPr="008B619A" w:rsidRDefault="001300D1" w:rsidP="006400F0">
            <w:pPr>
              <w:widowControl/>
              <w:cnfStyle w:val="000000000000" w:firstRow="0" w:lastRow="0" w:firstColumn="0" w:lastColumn="0" w:oddVBand="0" w:evenVBand="0" w:oddHBand="0"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政府部門</w:t>
            </w:r>
          </w:p>
        </w:tc>
        <w:tc>
          <w:tcPr>
            <w:tcW w:w="1424" w:type="dxa"/>
            <w:shd w:val="clear" w:color="auto" w:fill="C2D69B" w:themeFill="accent3" w:themeFillTint="99"/>
            <w:noWrap/>
            <w:hideMark/>
          </w:tcPr>
          <w:p w14:paraId="387F799A" w14:textId="77777777" w:rsidR="001300D1" w:rsidRPr="008B619A" w:rsidRDefault="001300D1" w:rsidP="006400F0">
            <w:pPr>
              <w:widowControl/>
              <w:jc w:val="right"/>
              <w:cnfStyle w:val="000000000000" w:firstRow="0" w:lastRow="0" w:firstColumn="0" w:lastColumn="0" w:oddVBand="0" w:evenVBand="0" w:oddHBand="0"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34,686 </w:t>
            </w:r>
          </w:p>
        </w:tc>
        <w:tc>
          <w:tcPr>
            <w:tcW w:w="1057" w:type="dxa"/>
            <w:shd w:val="clear" w:color="auto" w:fill="CCC0D9" w:themeFill="accent4" w:themeFillTint="66"/>
            <w:noWrap/>
            <w:hideMark/>
          </w:tcPr>
          <w:p w14:paraId="0D68EAA8" w14:textId="77777777" w:rsidR="001300D1" w:rsidRPr="008B619A" w:rsidRDefault="001300D1" w:rsidP="006400F0">
            <w:pPr>
              <w:widowControl/>
              <w:jc w:val="right"/>
              <w:cnfStyle w:val="000000000000" w:firstRow="0" w:lastRow="0" w:firstColumn="0" w:lastColumn="0" w:oddVBand="0" w:evenVBand="0" w:oddHBand="0"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6,244 </w:t>
            </w:r>
          </w:p>
        </w:tc>
        <w:tc>
          <w:tcPr>
            <w:tcW w:w="1197" w:type="dxa"/>
            <w:noWrap/>
            <w:hideMark/>
          </w:tcPr>
          <w:p w14:paraId="0CFEDD1E" w14:textId="77777777" w:rsidR="001300D1" w:rsidRPr="008B619A" w:rsidRDefault="001300D1" w:rsidP="006400F0">
            <w:pPr>
              <w:widowControl/>
              <w:jc w:val="right"/>
              <w:cnfStyle w:val="000000000000" w:firstRow="0" w:lastRow="0" w:firstColumn="0" w:lastColumn="0" w:oddVBand="0" w:evenVBand="0" w:oddHBand="0"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14,300 </w:t>
            </w:r>
          </w:p>
        </w:tc>
        <w:tc>
          <w:tcPr>
            <w:tcW w:w="1197" w:type="dxa"/>
            <w:noWrap/>
            <w:hideMark/>
          </w:tcPr>
          <w:p w14:paraId="28757036" w14:textId="77777777" w:rsidR="001300D1" w:rsidRPr="008B619A" w:rsidRDefault="001300D1" w:rsidP="006400F0">
            <w:pPr>
              <w:widowControl/>
              <w:jc w:val="right"/>
              <w:cnfStyle w:val="000000000000" w:firstRow="0" w:lastRow="0" w:firstColumn="0" w:lastColumn="0" w:oddVBand="0" w:evenVBand="0" w:oddHBand="0"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8,252 </w:t>
            </w:r>
          </w:p>
        </w:tc>
        <w:tc>
          <w:tcPr>
            <w:tcW w:w="1204" w:type="dxa"/>
            <w:noWrap/>
            <w:hideMark/>
          </w:tcPr>
          <w:p w14:paraId="3C5E96D1" w14:textId="77777777" w:rsidR="001300D1" w:rsidRPr="008B619A" w:rsidRDefault="001300D1" w:rsidP="006400F0">
            <w:pPr>
              <w:widowControl/>
              <w:jc w:val="right"/>
              <w:cnfStyle w:val="000000000000" w:firstRow="0" w:lastRow="0" w:firstColumn="0" w:lastColumn="0" w:oddVBand="0" w:evenVBand="0" w:oddHBand="0"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3,322 </w:t>
            </w:r>
          </w:p>
        </w:tc>
        <w:tc>
          <w:tcPr>
            <w:tcW w:w="1057" w:type="dxa"/>
            <w:noWrap/>
            <w:hideMark/>
          </w:tcPr>
          <w:p w14:paraId="13CCA98B" w14:textId="77777777" w:rsidR="001300D1" w:rsidRPr="008B619A" w:rsidRDefault="001300D1" w:rsidP="006400F0">
            <w:pPr>
              <w:widowControl/>
              <w:jc w:val="right"/>
              <w:cnfStyle w:val="000000000000" w:firstRow="0" w:lastRow="0" w:firstColumn="0" w:lastColumn="0" w:oddVBand="0" w:evenVBand="0" w:oddHBand="0"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2,568 </w:t>
            </w:r>
          </w:p>
        </w:tc>
      </w:tr>
      <w:tr w:rsidR="001300D1" w:rsidRPr="008B619A" w14:paraId="337FED36" w14:textId="77777777" w:rsidTr="00AC21D6">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851" w:type="dxa"/>
            <w:vMerge/>
            <w:shd w:val="clear" w:color="auto" w:fill="FBD4B4" w:themeFill="accent6" w:themeFillTint="66"/>
            <w:hideMark/>
          </w:tcPr>
          <w:p w14:paraId="2D444E18" w14:textId="77777777" w:rsidR="001300D1" w:rsidRPr="008B619A" w:rsidRDefault="001300D1" w:rsidP="00326F81">
            <w:pPr>
              <w:widowControl/>
              <w:jc w:val="center"/>
              <w:rPr>
                <w:rFonts w:hAnsi="標楷體" w:cs="新細明體"/>
                <w:color w:val="000000" w:themeColor="text1"/>
                <w:kern w:val="0"/>
                <w:sz w:val="26"/>
                <w:szCs w:val="26"/>
              </w:rPr>
            </w:pPr>
          </w:p>
        </w:tc>
        <w:tc>
          <w:tcPr>
            <w:tcW w:w="2126" w:type="dxa"/>
            <w:noWrap/>
            <w:hideMark/>
          </w:tcPr>
          <w:p w14:paraId="3074BBD2" w14:textId="77777777" w:rsidR="001300D1" w:rsidRPr="008B619A" w:rsidRDefault="001300D1" w:rsidP="006400F0">
            <w:pPr>
              <w:widowControl/>
              <w:cnfStyle w:val="000000100000" w:firstRow="0" w:lastRow="0" w:firstColumn="0" w:lastColumn="0" w:oddVBand="0" w:evenVBand="0" w:oddHBand="1"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高等教育部門</w:t>
            </w:r>
          </w:p>
        </w:tc>
        <w:tc>
          <w:tcPr>
            <w:tcW w:w="1424" w:type="dxa"/>
            <w:shd w:val="clear" w:color="auto" w:fill="C2D69B" w:themeFill="accent3" w:themeFillTint="99"/>
            <w:noWrap/>
            <w:hideMark/>
          </w:tcPr>
          <w:p w14:paraId="09563D9C" w14:textId="77777777" w:rsidR="001300D1" w:rsidRPr="008B619A" w:rsidRDefault="001300D1" w:rsidP="006400F0">
            <w:pPr>
              <w:widowControl/>
              <w:jc w:val="right"/>
              <w:cnfStyle w:val="000000100000" w:firstRow="0" w:lastRow="0" w:firstColumn="0" w:lastColumn="0" w:oddVBand="0" w:evenVBand="0" w:oddHBand="1"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61,337 </w:t>
            </w:r>
          </w:p>
        </w:tc>
        <w:tc>
          <w:tcPr>
            <w:tcW w:w="1057" w:type="dxa"/>
            <w:shd w:val="clear" w:color="auto" w:fill="CCC0D9" w:themeFill="accent4" w:themeFillTint="66"/>
            <w:noWrap/>
            <w:hideMark/>
          </w:tcPr>
          <w:p w14:paraId="4C8646BD" w14:textId="77777777" w:rsidR="001300D1" w:rsidRPr="008B619A" w:rsidRDefault="001300D1" w:rsidP="006400F0">
            <w:pPr>
              <w:widowControl/>
              <w:jc w:val="right"/>
              <w:cnfStyle w:val="000000100000" w:firstRow="0" w:lastRow="0" w:firstColumn="0" w:lastColumn="0" w:oddVBand="0" w:evenVBand="0" w:oddHBand="1"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27,272 </w:t>
            </w:r>
          </w:p>
        </w:tc>
        <w:tc>
          <w:tcPr>
            <w:tcW w:w="1197" w:type="dxa"/>
            <w:noWrap/>
            <w:hideMark/>
          </w:tcPr>
          <w:p w14:paraId="56549BEC" w14:textId="77777777" w:rsidR="001300D1" w:rsidRPr="008B619A" w:rsidRDefault="001300D1" w:rsidP="006400F0">
            <w:pPr>
              <w:widowControl/>
              <w:jc w:val="right"/>
              <w:cnfStyle w:val="000000100000" w:firstRow="0" w:lastRow="0" w:firstColumn="0" w:lastColumn="0" w:oddVBand="0" w:evenVBand="0" w:oddHBand="1"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28,226 </w:t>
            </w:r>
          </w:p>
        </w:tc>
        <w:tc>
          <w:tcPr>
            <w:tcW w:w="1197" w:type="dxa"/>
            <w:noWrap/>
            <w:hideMark/>
          </w:tcPr>
          <w:p w14:paraId="06EE8FB8" w14:textId="77777777" w:rsidR="001300D1" w:rsidRPr="008B619A" w:rsidRDefault="001300D1" w:rsidP="006400F0">
            <w:pPr>
              <w:widowControl/>
              <w:jc w:val="right"/>
              <w:cnfStyle w:val="000000100000" w:firstRow="0" w:lastRow="0" w:firstColumn="0" w:lastColumn="0" w:oddVBand="0" w:evenVBand="0" w:oddHBand="1"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5,095 </w:t>
            </w:r>
          </w:p>
        </w:tc>
        <w:tc>
          <w:tcPr>
            <w:tcW w:w="1204" w:type="dxa"/>
            <w:noWrap/>
            <w:hideMark/>
          </w:tcPr>
          <w:p w14:paraId="090C374D" w14:textId="77777777" w:rsidR="001300D1" w:rsidRPr="008B619A" w:rsidRDefault="001300D1" w:rsidP="006400F0">
            <w:pPr>
              <w:widowControl/>
              <w:jc w:val="right"/>
              <w:cnfStyle w:val="000000100000" w:firstRow="0" w:lastRow="0" w:firstColumn="0" w:lastColumn="0" w:oddVBand="0" w:evenVBand="0" w:oddHBand="1"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614 </w:t>
            </w:r>
          </w:p>
        </w:tc>
        <w:tc>
          <w:tcPr>
            <w:tcW w:w="1057" w:type="dxa"/>
            <w:noWrap/>
            <w:hideMark/>
          </w:tcPr>
          <w:p w14:paraId="34B233F4" w14:textId="77777777" w:rsidR="001300D1" w:rsidRPr="008B619A" w:rsidRDefault="001300D1" w:rsidP="006400F0">
            <w:pPr>
              <w:widowControl/>
              <w:jc w:val="right"/>
              <w:cnfStyle w:val="000000100000" w:firstRow="0" w:lastRow="0" w:firstColumn="0" w:lastColumn="0" w:oddVBand="0" w:evenVBand="0" w:oddHBand="1"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130 </w:t>
            </w:r>
          </w:p>
        </w:tc>
      </w:tr>
      <w:tr w:rsidR="001300D1" w:rsidRPr="008B619A" w14:paraId="2E90BEA3" w14:textId="77777777" w:rsidTr="00AC21D6">
        <w:trPr>
          <w:trHeight w:val="330"/>
          <w:jc w:val="center"/>
        </w:trPr>
        <w:tc>
          <w:tcPr>
            <w:cnfStyle w:val="001000000000" w:firstRow="0" w:lastRow="0" w:firstColumn="1" w:lastColumn="0" w:oddVBand="0" w:evenVBand="0" w:oddHBand="0" w:evenHBand="0" w:firstRowFirstColumn="0" w:firstRowLastColumn="0" w:lastRowFirstColumn="0" w:lastRowLastColumn="0"/>
            <w:tcW w:w="851" w:type="dxa"/>
            <w:vMerge/>
            <w:shd w:val="clear" w:color="auto" w:fill="FBD4B4" w:themeFill="accent6" w:themeFillTint="66"/>
            <w:hideMark/>
          </w:tcPr>
          <w:p w14:paraId="4DBBF4BA" w14:textId="77777777" w:rsidR="001300D1" w:rsidRPr="008B619A" w:rsidRDefault="001300D1" w:rsidP="00326F81">
            <w:pPr>
              <w:widowControl/>
              <w:jc w:val="center"/>
              <w:rPr>
                <w:rFonts w:hAnsi="標楷體" w:cs="新細明體"/>
                <w:color w:val="000000" w:themeColor="text1"/>
                <w:kern w:val="0"/>
                <w:sz w:val="26"/>
                <w:szCs w:val="26"/>
              </w:rPr>
            </w:pPr>
          </w:p>
        </w:tc>
        <w:tc>
          <w:tcPr>
            <w:tcW w:w="2126" w:type="dxa"/>
            <w:noWrap/>
            <w:hideMark/>
          </w:tcPr>
          <w:p w14:paraId="3EA861AE" w14:textId="77777777" w:rsidR="001300D1" w:rsidRPr="008B619A" w:rsidRDefault="001300D1" w:rsidP="006400F0">
            <w:pPr>
              <w:widowControl/>
              <w:cnfStyle w:val="000000000000" w:firstRow="0" w:lastRow="0" w:firstColumn="0" w:lastColumn="0" w:oddVBand="0" w:evenVBand="0" w:oddHBand="0"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私人非營利部門</w:t>
            </w:r>
          </w:p>
        </w:tc>
        <w:tc>
          <w:tcPr>
            <w:tcW w:w="1424" w:type="dxa"/>
            <w:shd w:val="clear" w:color="auto" w:fill="C2D69B" w:themeFill="accent3" w:themeFillTint="99"/>
            <w:noWrap/>
            <w:hideMark/>
          </w:tcPr>
          <w:p w14:paraId="5CB82F72" w14:textId="77777777" w:rsidR="001300D1" w:rsidRPr="008B619A" w:rsidRDefault="001300D1" w:rsidP="006400F0">
            <w:pPr>
              <w:widowControl/>
              <w:jc w:val="right"/>
              <w:cnfStyle w:val="000000000000" w:firstRow="0" w:lastRow="0" w:firstColumn="0" w:lastColumn="0" w:oddVBand="0" w:evenVBand="0" w:oddHBand="0"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1,586 </w:t>
            </w:r>
          </w:p>
        </w:tc>
        <w:tc>
          <w:tcPr>
            <w:tcW w:w="1057" w:type="dxa"/>
            <w:shd w:val="clear" w:color="auto" w:fill="CCC0D9" w:themeFill="accent4" w:themeFillTint="66"/>
            <w:noWrap/>
            <w:hideMark/>
          </w:tcPr>
          <w:p w14:paraId="2100FD16" w14:textId="77777777" w:rsidR="001300D1" w:rsidRPr="008B619A" w:rsidRDefault="001300D1" w:rsidP="006400F0">
            <w:pPr>
              <w:widowControl/>
              <w:jc w:val="right"/>
              <w:cnfStyle w:val="000000000000" w:firstRow="0" w:lastRow="0" w:firstColumn="0" w:lastColumn="0" w:oddVBand="0" w:evenVBand="0" w:oddHBand="0"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391 </w:t>
            </w:r>
          </w:p>
        </w:tc>
        <w:tc>
          <w:tcPr>
            <w:tcW w:w="1197" w:type="dxa"/>
            <w:noWrap/>
            <w:hideMark/>
          </w:tcPr>
          <w:p w14:paraId="3DF9F236" w14:textId="77777777" w:rsidR="001300D1" w:rsidRPr="008B619A" w:rsidRDefault="001300D1" w:rsidP="006400F0">
            <w:pPr>
              <w:widowControl/>
              <w:jc w:val="right"/>
              <w:cnfStyle w:val="000000000000" w:firstRow="0" w:lastRow="0" w:firstColumn="0" w:lastColumn="0" w:oddVBand="0" w:evenVBand="0" w:oddHBand="0"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538 </w:t>
            </w:r>
          </w:p>
        </w:tc>
        <w:tc>
          <w:tcPr>
            <w:tcW w:w="1197" w:type="dxa"/>
            <w:noWrap/>
            <w:hideMark/>
          </w:tcPr>
          <w:p w14:paraId="38CDC474" w14:textId="77777777" w:rsidR="001300D1" w:rsidRPr="008B619A" w:rsidRDefault="001300D1" w:rsidP="006400F0">
            <w:pPr>
              <w:widowControl/>
              <w:jc w:val="right"/>
              <w:cnfStyle w:val="000000000000" w:firstRow="0" w:lastRow="0" w:firstColumn="0" w:lastColumn="0" w:oddVBand="0" w:evenVBand="0" w:oddHBand="0"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452 </w:t>
            </w:r>
          </w:p>
        </w:tc>
        <w:tc>
          <w:tcPr>
            <w:tcW w:w="1204" w:type="dxa"/>
            <w:noWrap/>
            <w:hideMark/>
          </w:tcPr>
          <w:p w14:paraId="48F670E1" w14:textId="77777777" w:rsidR="001300D1" w:rsidRPr="008B619A" w:rsidRDefault="001300D1" w:rsidP="006400F0">
            <w:pPr>
              <w:widowControl/>
              <w:jc w:val="right"/>
              <w:cnfStyle w:val="000000000000" w:firstRow="0" w:lastRow="0" w:firstColumn="0" w:lastColumn="0" w:oddVBand="0" w:evenVBand="0" w:oddHBand="0"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113 </w:t>
            </w:r>
          </w:p>
        </w:tc>
        <w:tc>
          <w:tcPr>
            <w:tcW w:w="1057" w:type="dxa"/>
            <w:noWrap/>
            <w:hideMark/>
          </w:tcPr>
          <w:p w14:paraId="3155404E" w14:textId="77777777" w:rsidR="001300D1" w:rsidRPr="008B619A" w:rsidRDefault="001300D1" w:rsidP="006400F0">
            <w:pPr>
              <w:widowControl/>
              <w:jc w:val="right"/>
              <w:cnfStyle w:val="000000000000" w:firstRow="0" w:lastRow="0" w:firstColumn="0" w:lastColumn="0" w:oddVBand="0" w:evenVBand="0" w:oddHBand="0"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92 </w:t>
            </w:r>
          </w:p>
        </w:tc>
      </w:tr>
      <w:tr w:rsidR="001300D1" w:rsidRPr="008B619A" w14:paraId="7D460FBA" w14:textId="77777777" w:rsidTr="00AC21D6">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851" w:type="dxa"/>
            <w:vMerge w:val="restart"/>
            <w:shd w:val="clear" w:color="auto" w:fill="FBD4B4" w:themeFill="accent6" w:themeFillTint="66"/>
            <w:noWrap/>
            <w:hideMark/>
          </w:tcPr>
          <w:p w14:paraId="01EE45F1" w14:textId="77777777" w:rsidR="001300D1" w:rsidRPr="008B619A" w:rsidRDefault="001300D1" w:rsidP="00326F81">
            <w:pPr>
              <w:widowControl/>
              <w:jc w:val="center"/>
              <w:rPr>
                <w:rFonts w:hAnsi="標楷體" w:cs="新細明體"/>
                <w:color w:val="000000" w:themeColor="text1"/>
                <w:kern w:val="0"/>
                <w:sz w:val="26"/>
                <w:szCs w:val="26"/>
              </w:rPr>
            </w:pPr>
            <w:r w:rsidRPr="008B619A">
              <w:rPr>
                <w:rFonts w:hAnsi="標楷體" w:cs="新細明體"/>
                <w:color w:val="000000" w:themeColor="text1"/>
                <w:kern w:val="0"/>
                <w:sz w:val="26"/>
                <w:szCs w:val="26"/>
              </w:rPr>
              <w:t>102</w:t>
            </w:r>
          </w:p>
        </w:tc>
        <w:tc>
          <w:tcPr>
            <w:tcW w:w="2126" w:type="dxa"/>
            <w:noWrap/>
            <w:hideMark/>
          </w:tcPr>
          <w:p w14:paraId="2CFDD00C" w14:textId="77777777" w:rsidR="001300D1" w:rsidRPr="008B619A" w:rsidRDefault="001300D1" w:rsidP="006400F0">
            <w:pPr>
              <w:widowControl/>
              <w:cnfStyle w:val="000000100000" w:firstRow="0" w:lastRow="0" w:firstColumn="0" w:lastColumn="0" w:oddVBand="0" w:evenVBand="0" w:oddHBand="1"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全國</w:t>
            </w:r>
          </w:p>
        </w:tc>
        <w:tc>
          <w:tcPr>
            <w:tcW w:w="1424" w:type="dxa"/>
            <w:shd w:val="clear" w:color="auto" w:fill="C2D69B" w:themeFill="accent3" w:themeFillTint="99"/>
            <w:noWrap/>
            <w:hideMark/>
          </w:tcPr>
          <w:p w14:paraId="20231742" w14:textId="77777777" w:rsidR="001300D1" w:rsidRPr="008B619A" w:rsidRDefault="001300D1" w:rsidP="006400F0">
            <w:pPr>
              <w:widowControl/>
              <w:jc w:val="right"/>
              <w:cnfStyle w:val="000000100000" w:firstRow="0" w:lastRow="0" w:firstColumn="0" w:lastColumn="0" w:oddVBand="0" w:evenVBand="0" w:oddHBand="1"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300,514 </w:t>
            </w:r>
          </w:p>
        </w:tc>
        <w:tc>
          <w:tcPr>
            <w:tcW w:w="1057" w:type="dxa"/>
            <w:shd w:val="clear" w:color="auto" w:fill="CCC0D9" w:themeFill="accent4" w:themeFillTint="66"/>
            <w:noWrap/>
            <w:hideMark/>
          </w:tcPr>
          <w:p w14:paraId="7D40009C" w14:textId="77777777" w:rsidR="001300D1" w:rsidRPr="008B619A" w:rsidRDefault="001300D1" w:rsidP="006400F0">
            <w:pPr>
              <w:widowControl/>
              <w:jc w:val="right"/>
              <w:cnfStyle w:val="000000100000" w:firstRow="0" w:lastRow="0" w:firstColumn="0" w:lastColumn="0" w:oddVBand="0" w:evenVBand="0" w:oddHBand="1"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40,860 </w:t>
            </w:r>
          </w:p>
        </w:tc>
        <w:tc>
          <w:tcPr>
            <w:tcW w:w="1197" w:type="dxa"/>
            <w:noWrap/>
            <w:hideMark/>
          </w:tcPr>
          <w:p w14:paraId="1B64655F" w14:textId="77777777" w:rsidR="001300D1" w:rsidRPr="008B619A" w:rsidRDefault="001300D1" w:rsidP="006400F0">
            <w:pPr>
              <w:widowControl/>
              <w:jc w:val="right"/>
              <w:cnfStyle w:val="000000100000" w:firstRow="0" w:lastRow="0" w:firstColumn="0" w:lastColumn="0" w:oddVBand="0" w:evenVBand="0" w:oddHBand="1"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124,301 </w:t>
            </w:r>
          </w:p>
        </w:tc>
        <w:tc>
          <w:tcPr>
            <w:tcW w:w="1197" w:type="dxa"/>
            <w:noWrap/>
            <w:hideMark/>
          </w:tcPr>
          <w:p w14:paraId="7591BB5C" w14:textId="77777777" w:rsidR="001300D1" w:rsidRPr="008B619A" w:rsidRDefault="001300D1" w:rsidP="006400F0">
            <w:pPr>
              <w:widowControl/>
              <w:jc w:val="right"/>
              <w:cnfStyle w:val="000000100000" w:firstRow="0" w:lastRow="0" w:firstColumn="0" w:lastColumn="0" w:oddVBand="0" w:evenVBand="0" w:oddHBand="1"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94,761 </w:t>
            </w:r>
          </w:p>
        </w:tc>
        <w:tc>
          <w:tcPr>
            <w:tcW w:w="1204" w:type="dxa"/>
            <w:noWrap/>
            <w:hideMark/>
          </w:tcPr>
          <w:p w14:paraId="72CDAE0E" w14:textId="77777777" w:rsidR="001300D1" w:rsidRPr="008B619A" w:rsidRDefault="001300D1" w:rsidP="006400F0">
            <w:pPr>
              <w:widowControl/>
              <w:jc w:val="right"/>
              <w:cnfStyle w:val="000000100000" w:firstRow="0" w:lastRow="0" w:firstColumn="0" w:lastColumn="0" w:oddVBand="0" w:evenVBand="0" w:oddHBand="1"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29,357 </w:t>
            </w:r>
          </w:p>
        </w:tc>
        <w:tc>
          <w:tcPr>
            <w:tcW w:w="1057" w:type="dxa"/>
            <w:noWrap/>
            <w:hideMark/>
          </w:tcPr>
          <w:p w14:paraId="579B562E" w14:textId="77777777" w:rsidR="001300D1" w:rsidRPr="008B619A" w:rsidRDefault="001300D1" w:rsidP="006400F0">
            <w:pPr>
              <w:widowControl/>
              <w:jc w:val="right"/>
              <w:cnfStyle w:val="000000100000" w:firstRow="0" w:lastRow="0" w:firstColumn="0" w:lastColumn="0" w:oddVBand="0" w:evenVBand="0" w:oddHBand="1"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11,235 </w:t>
            </w:r>
          </w:p>
        </w:tc>
      </w:tr>
      <w:tr w:rsidR="001300D1" w:rsidRPr="008B619A" w14:paraId="01FEF0D2" w14:textId="77777777" w:rsidTr="00AC21D6">
        <w:trPr>
          <w:trHeight w:val="330"/>
          <w:jc w:val="center"/>
        </w:trPr>
        <w:tc>
          <w:tcPr>
            <w:cnfStyle w:val="001000000000" w:firstRow="0" w:lastRow="0" w:firstColumn="1" w:lastColumn="0" w:oddVBand="0" w:evenVBand="0" w:oddHBand="0" w:evenHBand="0" w:firstRowFirstColumn="0" w:firstRowLastColumn="0" w:lastRowFirstColumn="0" w:lastRowLastColumn="0"/>
            <w:tcW w:w="851" w:type="dxa"/>
            <w:vMerge/>
            <w:shd w:val="clear" w:color="auto" w:fill="FBD4B4" w:themeFill="accent6" w:themeFillTint="66"/>
            <w:hideMark/>
          </w:tcPr>
          <w:p w14:paraId="03D65DCB" w14:textId="77777777" w:rsidR="001300D1" w:rsidRPr="008B619A" w:rsidRDefault="001300D1" w:rsidP="00326F81">
            <w:pPr>
              <w:widowControl/>
              <w:jc w:val="center"/>
              <w:rPr>
                <w:rFonts w:hAnsi="標楷體" w:cs="新細明體"/>
                <w:color w:val="000000" w:themeColor="text1"/>
                <w:kern w:val="0"/>
                <w:sz w:val="26"/>
                <w:szCs w:val="26"/>
              </w:rPr>
            </w:pPr>
          </w:p>
        </w:tc>
        <w:tc>
          <w:tcPr>
            <w:tcW w:w="2126" w:type="dxa"/>
            <w:noWrap/>
            <w:hideMark/>
          </w:tcPr>
          <w:p w14:paraId="51D8D4BD" w14:textId="77777777" w:rsidR="001300D1" w:rsidRPr="008B619A" w:rsidRDefault="001300D1" w:rsidP="006400F0">
            <w:pPr>
              <w:widowControl/>
              <w:cnfStyle w:val="000000000000" w:firstRow="0" w:lastRow="0" w:firstColumn="0" w:lastColumn="0" w:oddVBand="0" w:evenVBand="0" w:oddHBand="0"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企業部門</w:t>
            </w:r>
          </w:p>
        </w:tc>
        <w:tc>
          <w:tcPr>
            <w:tcW w:w="1424" w:type="dxa"/>
            <w:shd w:val="clear" w:color="auto" w:fill="C2D69B" w:themeFill="accent3" w:themeFillTint="99"/>
            <w:noWrap/>
            <w:hideMark/>
          </w:tcPr>
          <w:p w14:paraId="06664602" w14:textId="77777777" w:rsidR="001300D1" w:rsidRPr="008B619A" w:rsidRDefault="001300D1" w:rsidP="006400F0">
            <w:pPr>
              <w:widowControl/>
              <w:jc w:val="right"/>
              <w:cnfStyle w:val="000000000000" w:firstRow="0" w:lastRow="0" w:firstColumn="0" w:lastColumn="0" w:oddVBand="0" w:evenVBand="0" w:oddHBand="0"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205,575 </w:t>
            </w:r>
          </w:p>
        </w:tc>
        <w:tc>
          <w:tcPr>
            <w:tcW w:w="1057" w:type="dxa"/>
            <w:shd w:val="clear" w:color="auto" w:fill="CCC0D9" w:themeFill="accent4" w:themeFillTint="66"/>
            <w:noWrap/>
            <w:hideMark/>
          </w:tcPr>
          <w:p w14:paraId="1C986B0F" w14:textId="77777777" w:rsidR="001300D1" w:rsidRPr="008B619A" w:rsidRDefault="001300D1" w:rsidP="006400F0">
            <w:pPr>
              <w:widowControl/>
              <w:jc w:val="right"/>
              <w:cnfStyle w:val="000000000000" w:firstRow="0" w:lastRow="0" w:firstColumn="0" w:lastColumn="0" w:oddVBand="0" w:evenVBand="0" w:oddHBand="0"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6,614 </w:t>
            </w:r>
          </w:p>
        </w:tc>
        <w:tc>
          <w:tcPr>
            <w:tcW w:w="1197" w:type="dxa"/>
            <w:noWrap/>
            <w:hideMark/>
          </w:tcPr>
          <w:p w14:paraId="1E4FD7FF" w14:textId="77777777" w:rsidR="001300D1" w:rsidRPr="008B619A" w:rsidRDefault="001300D1" w:rsidP="006400F0">
            <w:pPr>
              <w:widowControl/>
              <w:jc w:val="right"/>
              <w:cnfStyle w:val="000000000000" w:firstRow="0" w:lastRow="0" w:firstColumn="0" w:lastColumn="0" w:oddVBand="0" w:evenVBand="0" w:oddHBand="0"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83,297 </w:t>
            </w:r>
          </w:p>
        </w:tc>
        <w:tc>
          <w:tcPr>
            <w:tcW w:w="1197" w:type="dxa"/>
            <w:noWrap/>
            <w:hideMark/>
          </w:tcPr>
          <w:p w14:paraId="781E184A" w14:textId="77777777" w:rsidR="001300D1" w:rsidRPr="008B619A" w:rsidRDefault="001300D1" w:rsidP="006400F0">
            <w:pPr>
              <w:widowControl/>
              <w:jc w:val="right"/>
              <w:cnfStyle w:val="000000000000" w:firstRow="0" w:lastRow="0" w:firstColumn="0" w:lastColumn="0" w:oddVBand="0" w:evenVBand="0" w:oddHBand="0"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81,389 </w:t>
            </w:r>
          </w:p>
        </w:tc>
        <w:tc>
          <w:tcPr>
            <w:tcW w:w="1204" w:type="dxa"/>
            <w:noWrap/>
            <w:hideMark/>
          </w:tcPr>
          <w:p w14:paraId="3596DA1A" w14:textId="77777777" w:rsidR="001300D1" w:rsidRPr="008B619A" w:rsidRDefault="001300D1" w:rsidP="006400F0">
            <w:pPr>
              <w:widowControl/>
              <w:jc w:val="right"/>
              <w:cnfStyle w:val="000000000000" w:firstRow="0" w:lastRow="0" w:firstColumn="0" w:lastColumn="0" w:oddVBand="0" w:evenVBand="0" w:oddHBand="0"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25,625 </w:t>
            </w:r>
          </w:p>
        </w:tc>
        <w:tc>
          <w:tcPr>
            <w:tcW w:w="1057" w:type="dxa"/>
            <w:noWrap/>
            <w:hideMark/>
          </w:tcPr>
          <w:p w14:paraId="7739DDCD" w14:textId="77777777" w:rsidR="001300D1" w:rsidRPr="008B619A" w:rsidRDefault="001300D1" w:rsidP="006400F0">
            <w:pPr>
              <w:widowControl/>
              <w:jc w:val="right"/>
              <w:cnfStyle w:val="000000000000" w:firstRow="0" w:lastRow="0" w:firstColumn="0" w:lastColumn="0" w:oddVBand="0" w:evenVBand="0" w:oddHBand="0"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8,650 </w:t>
            </w:r>
          </w:p>
        </w:tc>
      </w:tr>
      <w:tr w:rsidR="001300D1" w:rsidRPr="008B619A" w14:paraId="303D6232" w14:textId="77777777" w:rsidTr="00AC21D6">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851" w:type="dxa"/>
            <w:vMerge/>
            <w:shd w:val="clear" w:color="auto" w:fill="FBD4B4" w:themeFill="accent6" w:themeFillTint="66"/>
            <w:hideMark/>
          </w:tcPr>
          <w:p w14:paraId="2C6958C5" w14:textId="77777777" w:rsidR="001300D1" w:rsidRPr="008B619A" w:rsidRDefault="001300D1" w:rsidP="00326F81">
            <w:pPr>
              <w:widowControl/>
              <w:jc w:val="center"/>
              <w:rPr>
                <w:rFonts w:hAnsi="標楷體" w:cs="新細明體"/>
                <w:color w:val="000000" w:themeColor="text1"/>
                <w:kern w:val="0"/>
                <w:sz w:val="26"/>
                <w:szCs w:val="26"/>
              </w:rPr>
            </w:pPr>
          </w:p>
        </w:tc>
        <w:tc>
          <w:tcPr>
            <w:tcW w:w="2126" w:type="dxa"/>
            <w:noWrap/>
            <w:hideMark/>
          </w:tcPr>
          <w:p w14:paraId="607F450C" w14:textId="77777777" w:rsidR="001300D1" w:rsidRPr="008B619A" w:rsidRDefault="001300D1" w:rsidP="006400F0">
            <w:pPr>
              <w:widowControl/>
              <w:cnfStyle w:val="000000100000" w:firstRow="0" w:lastRow="0" w:firstColumn="0" w:lastColumn="0" w:oddVBand="0" w:evenVBand="0" w:oddHBand="1"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政府部門</w:t>
            </w:r>
          </w:p>
        </w:tc>
        <w:tc>
          <w:tcPr>
            <w:tcW w:w="1424" w:type="dxa"/>
            <w:shd w:val="clear" w:color="auto" w:fill="C2D69B" w:themeFill="accent3" w:themeFillTint="99"/>
            <w:noWrap/>
            <w:hideMark/>
          </w:tcPr>
          <w:p w14:paraId="0D88D925" w14:textId="77777777" w:rsidR="001300D1" w:rsidRPr="008B619A" w:rsidRDefault="001300D1" w:rsidP="006400F0">
            <w:pPr>
              <w:widowControl/>
              <w:jc w:val="right"/>
              <w:cnfStyle w:val="000000100000" w:firstRow="0" w:lastRow="0" w:firstColumn="0" w:lastColumn="0" w:oddVBand="0" w:evenVBand="0" w:oddHBand="1"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34,092 </w:t>
            </w:r>
          </w:p>
        </w:tc>
        <w:tc>
          <w:tcPr>
            <w:tcW w:w="1057" w:type="dxa"/>
            <w:shd w:val="clear" w:color="auto" w:fill="CCC0D9" w:themeFill="accent4" w:themeFillTint="66"/>
            <w:noWrap/>
            <w:hideMark/>
          </w:tcPr>
          <w:p w14:paraId="55FF169D" w14:textId="77777777" w:rsidR="001300D1" w:rsidRPr="008B619A" w:rsidRDefault="001300D1" w:rsidP="006400F0">
            <w:pPr>
              <w:widowControl/>
              <w:jc w:val="right"/>
              <w:cnfStyle w:val="000000100000" w:firstRow="0" w:lastRow="0" w:firstColumn="0" w:lastColumn="0" w:oddVBand="0" w:evenVBand="0" w:oddHBand="1"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6,499 </w:t>
            </w:r>
          </w:p>
        </w:tc>
        <w:tc>
          <w:tcPr>
            <w:tcW w:w="1197" w:type="dxa"/>
            <w:noWrap/>
            <w:hideMark/>
          </w:tcPr>
          <w:p w14:paraId="36136B63" w14:textId="77777777" w:rsidR="001300D1" w:rsidRPr="008B619A" w:rsidRDefault="001300D1" w:rsidP="006400F0">
            <w:pPr>
              <w:widowControl/>
              <w:jc w:val="right"/>
              <w:cnfStyle w:val="000000100000" w:firstRow="0" w:lastRow="0" w:firstColumn="0" w:lastColumn="0" w:oddVBand="0" w:evenVBand="0" w:oddHBand="1"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14,138 </w:t>
            </w:r>
          </w:p>
        </w:tc>
        <w:tc>
          <w:tcPr>
            <w:tcW w:w="1197" w:type="dxa"/>
            <w:noWrap/>
            <w:hideMark/>
          </w:tcPr>
          <w:p w14:paraId="220B9374" w14:textId="77777777" w:rsidR="001300D1" w:rsidRPr="008B619A" w:rsidRDefault="001300D1" w:rsidP="006400F0">
            <w:pPr>
              <w:widowControl/>
              <w:jc w:val="right"/>
              <w:cnfStyle w:val="000000100000" w:firstRow="0" w:lastRow="0" w:firstColumn="0" w:lastColumn="0" w:oddVBand="0" w:evenVBand="0" w:oddHBand="1"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8,076 </w:t>
            </w:r>
          </w:p>
        </w:tc>
        <w:tc>
          <w:tcPr>
            <w:tcW w:w="1204" w:type="dxa"/>
            <w:noWrap/>
            <w:hideMark/>
          </w:tcPr>
          <w:p w14:paraId="31247E7E" w14:textId="77777777" w:rsidR="001300D1" w:rsidRPr="008B619A" w:rsidRDefault="001300D1" w:rsidP="006400F0">
            <w:pPr>
              <w:widowControl/>
              <w:jc w:val="right"/>
              <w:cnfStyle w:val="000000100000" w:firstRow="0" w:lastRow="0" w:firstColumn="0" w:lastColumn="0" w:oddVBand="0" w:evenVBand="0" w:oddHBand="1"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3,031 </w:t>
            </w:r>
          </w:p>
        </w:tc>
        <w:tc>
          <w:tcPr>
            <w:tcW w:w="1057" w:type="dxa"/>
            <w:noWrap/>
            <w:hideMark/>
          </w:tcPr>
          <w:p w14:paraId="601567D6" w14:textId="77777777" w:rsidR="001300D1" w:rsidRPr="008B619A" w:rsidRDefault="001300D1" w:rsidP="006400F0">
            <w:pPr>
              <w:widowControl/>
              <w:jc w:val="right"/>
              <w:cnfStyle w:val="000000100000" w:firstRow="0" w:lastRow="0" w:firstColumn="0" w:lastColumn="0" w:oddVBand="0" w:evenVBand="0" w:oddHBand="1"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2,348 </w:t>
            </w:r>
          </w:p>
        </w:tc>
      </w:tr>
      <w:tr w:rsidR="001300D1" w:rsidRPr="008B619A" w14:paraId="32B8C0FD" w14:textId="77777777" w:rsidTr="00AC21D6">
        <w:trPr>
          <w:trHeight w:val="330"/>
          <w:jc w:val="center"/>
        </w:trPr>
        <w:tc>
          <w:tcPr>
            <w:cnfStyle w:val="001000000000" w:firstRow="0" w:lastRow="0" w:firstColumn="1" w:lastColumn="0" w:oddVBand="0" w:evenVBand="0" w:oddHBand="0" w:evenHBand="0" w:firstRowFirstColumn="0" w:firstRowLastColumn="0" w:lastRowFirstColumn="0" w:lastRowLastColumn="0"/>
            <w:tcW w:w="851" w:type="dxa"/>
            <w:vMerge/>
            <w:shd w:val="clear" w:color="auto" w:fill="FBD4B4" w:themeFill="accent6" w:themeFillTint="66"/>
            <w:hideMark/>
          </w:tcPr>
          <w:p w14:paraId="3DECEFC1" w14:textId="77777777" w:rsidR="001300D1" w:rsidRPr="008B619A" w:rsidRDefault="001300D1" w:rsidP="00326F81">
            <w:pPr>
              <w:widowControl/>
              <w:jc w:val="center"/>
              <w:rPr>
                <w:rFonts w:hAnsi="標楷體" w:cs="新細明體"/>
                <w:color w:val="000000" w:themeColor="text1"/>
                <w:kern w:val="0"/>
                <w:sz w:val="26"/>
                <w:szCs w:val="26"/>
              </w:rPr>
            </w:pPr>
          </w:p>
        </w:tc>
        <w:tc>
          <w:tcPr>
            <w:tcW w:w="2126" w:type="dxa"/>
            <w:noWrap/>
            <w:hideMark/>
          </w:tcPr>
          <w:p w14:paraId="45B6A5EA" w14:textId="77777777" w:rsidR="001300D1" w:rsidRPr="008B619A" w:rsidRDefault="001300D1" w:rsidP="006400F0">
            <w:pPr>
              <w:widowControl/>
              <w:cnfStyle w:val="000000000000" w:firstRow="0" w:lastRow="0" w:firstColumn="0" w:lastColumn="0" w:oddVBand="0" w:evenVBand="0" w:oddHBand="0"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高等教育部門</w:t>
            </w:r>
          </w:p>
        </w:tc>
        <w:tc>
          <w:tcPr>
            <w:tcW w:w="1424" w:type="dxa"/>
            <w:shd w:val="clear" w:color="auto" w:fill="C2D69B" w:themeFill="accent3" w:themeFillTint="99"/>
            <w:noWrap/>
            <w:hideMark/>
          </w:tcPr>
          <w:p w14:paraId="0B07E3F1" w14:textId="77777777" w:rsidR="001300D1" w:rsidRPr="008B619A" w:rsidRDefault="001300D1" w:rsidP="006400F0">
            <w:pPr>
              <w:widowControl/>
              <w:jc w:val="right"/>
              <w:cnfStyle w:val="000000000000" w:firstRow="0" w:lastRow="0" w:firstColumn="0" w:lastColumn="0" w:oddVBand="0" w:evenVBand="0" w:oddHBand="0"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59,367 </w:t>
            </w:r>
          </w:p>
        </w:tc>
        <w:tc>
          <w:tcPr>
            <w:tcW w:w="1057" w:type="dxa"/>
            <w:shd w:val="clear" w:color="auto" w:fill="CCC0D9" w:themeFill="accent4" w:themeFillTint="66"/>
            <w:noWrap/>
            <w:hideMark/>
          </w:tcPr>
          <w:p w14:paraId="48C05789" w14:textId="77777777" w:rsidR="001300D1" w:rsidRPr="008B619A" w:rsidRDefault="001300D1" w:rsidP="006400F0">
            <w:pPr>
              <w:widowControl/>
              <w:jc w:val="right"/>
              <w:cnfStyle w:val="000000000000" w:firstRow="0" w:lastRow="0" w:firstColumn="0" w:lastColumn="0" w:oddVBand="0" w:evenVBand="0" w:oddHBand="0"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27,226 </w:t>
            </w:r>
          </w:p>
        </w:tc>
        <w:tc>
          <w:tcPr>
            <w:tcW w:w="1197" w:type="dxa"/>
            <w:noWrap/>
            <w:hideMark/>
          </w:tcPr>
          <w:p w14:paraId="15EB0B72" w14:textId="77777777" w:rsidR="001300D1" w:rsidRPr="008B619A" w:rsidRDefault="001300D1" w:rsidP="006400F0">
            <w:pPr>
              <w:widowControl/>
              <w:jc w:val="right"/>
              <w:cnfStyle w:val="000000000000" w:firstRow="0" w:lastRow="0" w:firstColumn="0" w:lastColumn="0" w:oddVBand="0" w:evenVBand="0" w:oddHBand="0"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26,424 </w:t>
            </w:r>
          </w:p>
        </w:tc>
        <w:tc>
          <w:tcPr>
            <w:tcW w:w="1197" w:type="dxa"/>
            <w:noWrap/>
            <w:hideMark/>
          </w:tcPr>
          <w:p w14:paraId="7522E4BC" w14:textId="77777777" w:rsidR="001300D1" w:rsidRPr="008B619A" w:rsidRDefault="001300D1" w:rsidP="006400F0">
            <w:pPr>
              <w:widowControl/>
              <w:jc w:val="right"/>
              <w:cnfStyle w:val="000000000000" w:firstRow="0" w:lastRow="0" w:firstColumn="0" w:lastColumn="0" w:oddVBand="0" w:evenVBand="0" w:oddHBand="0"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4,946 </w:t>
            </w:r>
          </w:p>
        </w:tc>
        <w:tc>
          <w:tcPr>
            <w:tcW w:w="1204" w:type="dxa"/>
            <w:noWrap/>
            <w:hideMark/>
          </w:tcPr>
          <w:p w14:paraId="56ADF5B5" w14:textId="77777777" w:rsidR="001300D1" w:rsidRPr="008B619A" w:rsidRDefault="001300D1" w:rsidP="006400F0">
            <w:pPr>
              <w:widowControl/>
              <w:jc w:val="right"/>
              <w:cnfStyle w:val="000000000000" w:firstRow="0" w:lastRow="0" w:firstColumn="0" w:lastColumn="0" w:oddVBand="0" w:evenVBand="0" w:oddHBand="0"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614 </w:t>
            </w:r>
          </w:p>
        </w:tc>
        <w:tc>
          <w:tcPr>
            <w:tcW w:w="1057" w:type="dxa"/>
            <w:noWrap/>
            <w:hideMark/>
          </w:tcPr>
          <w:p w14:paraId="6AB812DE" w14:textId="77777777" w:rsidR="001300D1" w:rsidRPr="008B619A" w:rsidRDefault="001300D1" w:rsidP="006400F0">
            <w:pPr>
              <w:widowControl/>
              <w:jc w:val="right"/>
              <w:cnfStyle w:val="000000000000" w:firstRow="0" w:lastRow="0" w:firstColumn="0" w:lastColumn="0" w:oddVBand="0" w:evenVBand="0" w:oddHBand="0"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157 </w:t>
            </w:r>
          </w:p>
        </w:tc>
      </w:tr>
      <w:tr w:rsidR="001300D1" w:rsidRPr="008B619A" w14:paraId="1C9A4414" w14:textId="77777777" w:rsidTr="00AC21D6">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851" w:type="dxa"/>
            <w:vMerge/>
            <w:shd w:val="clear" w:color="auto" w:fill="FBD4B4" w:themeFill="accent6" w:themeFillTint="66"/>
            <w:hideMark/>
          </w:tcPr>
          <w:p w14:paraId="74D08ACA" w14:textId="77777777" w:rsidR="001300D1" w:rsidRPr="008B619A" w:rsidRDefault="001300D1" w:rsidP="00326F81">
            <w:pPr>
              <w:widowControl/>
              <w:jc w:val="center"/>
              <w:rPr>
                <w:rFonts w:hAnsi="標楷體" w:cs="新細明體"/>
                <w:color w:val="000000" w:themeColor="text1"/>
                <w:kern w:val="0"/>
                <w:sz w:val="26"/>
                <w:szCs w:val="26"/>
              </w:rPr>
            </w:pPr>
          </w:p>
        </w:tc>
        <w:tc>
          <w:tcPr>
            <w:tcW w:w="2126" w:type="dxa"/>
            <w:noWrap/>
            <w:hideMark/>
          </w:tcPr>
          <w:p w14:paraId="7F696243" w14:textId="77777777" w:rsidR="001300D1" w:rsidRPr="008B619A" w:rsidRDefault="001300D1" w:rsidP="006400F0">
            <w:pPr>
              <w:widowControl/>
              <w:cnfStyle w:val="000000100000" w:firstRow="0" w:lastRow="0" w:firstColumn="0" w:lastColumn="0" w:oddVBand="0" w:evenVBand="0" w:oddHBand="1"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私人非營利部門</w:t>
            </w:r>
          </w:p>
        </w:tc>
        <w:tc>
          <w:tcPr>
            <w:tcW w:w="1424" w:type="dxa"/>
            <w:shd w:val="clear" w:color="auto" w:fill="C2D69B" w:themeFill="accent3" w:themeFillTint="99"/>
            <w:noWrap/>
            <w:hideMark/>
          </w:tcPr>
          <w:p w14:paraId="08EBA05A" w14:textId="77777777" w:rsidR="001300D1" w:rsidRPr="008B619A" w:rsidRDefault="001300D1" w:rsidP="006400F0">
            <w:pPr>
              <w:widowControl/>
              <w:jc w:val="right"/>
              <w:cnfStyle w:val="000000100000" w:firstRow="0" w:lastRow="0" w:firstColumn="0" w:lastColumn="0" w:oddVBand="0" w:evenVBand="0" w:oddHBand="1"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1,480 </w:t>
            </w:r>
          </w:p>
        </w:tc>
        <w:tc>
          <w:tcPr>
            <w:tcW w:w="1057" w:type="dxa"/>
            <w:shd w:val="clear" w:color="auto" w:fill="CCC0D9" w:themeFill="accent4" w:themeFillTint="66"/>
            <w:noWrap/>
            <w:hideMark/>
          </w:tcPr>
          <w:p w14:paraId="5273417C" w14:textId="77777777" w:rsidR="001300D1" w:rsidRPr="008B619A" w:rsidRDefault="001300D1" w:rsidP="006400F0">
            <w:pPr>
              <w:widowControl/>
              <w:jc w:val="right"/>
              <w:cnfStyle w:val="000000100000" w:firstRow="0" w:lastRow="0" w:firstColumn="0" w:lastColumn="0" w:oddVBand="0" w:evenVBand="0" w:oddHBand="1"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521 </w:t>
            </w:r>
          </w:p>
        </w:tc>
        <w:tc>
          <w:tcPr>
            <w:tcW w:w="1197" w:type="dxa"/>
            <w:noWrap/>
            <w:hideMark/>
          </w:tcPr>
          <w:p w14:paraId="2AA41301" w14:textId="77777777" w:rsidR="001300D1" w:rsidRPr="008B619A" w:rsidRDefault="001300D1" w:rsidP="006400F0">
            <w:pPr>
              <w:widowControl/>
              <w:jc w:val="right"/>
              <w:cnfStyle w:val="000000100000" w:firstRow="0" w:lastRow="0" w:firstColumn="0" w:lastColumn="0" w:oddVBand="0" w:evenVBand="0" w:oddHBand="1"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442 </w:t>
            </w:r>
          </w:p>
        </w:tc>
        <w:tc>
          <w:tcPr>
            <w:tcW w:w="1197" w:type="dxa"/>
            <w:noWrap/>
            <w:hideMark/>
          </w:tcPr>
          <w:p w14:paraId="7379E8D9" w14:textId="77777777" w:rsidR="001300D1" w:rsidRPr="008B619A" w:rsidRDefault="001300D1" w:rsidP="006400F0">
            <w:pPr>
              <w:widowControl/>
              <w:jc w:val="right"/>
              <w:cnfStyle w:val="000000100000" w:firstRow="0" w:lastRow="0" w:firstColumn="0" w:lastColumn="0" w:oddVBand="0" w:evenVBand="0" w:oddHBand="1"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350 </w:t>
            </w:r>
          </w:p>
        </w:tc>
        <w:tc>
          <w:tcPr>
            <w:tcW w:w="1204" w:type="dxa"/>
            <w:noWrap/>
            <w:hideMark/>
          </w:tcPr>
          <w:p w14:paraId="26E6C4B8" w14:textId="77777777" w:rsidR="001300D1" w:rsidRPr="008B619A" w:rsidRDefault="001300D1" w:rsidP="006400F0">
            <w:pPr>
              <w:widowControl/>
              <w:jc w:val="right"/>
              <w:cnfStyle w:val="000000100000" w:firstRow="0" w:lastRow="0" w:firstColumn="0" w:lastColumn="0" w:oddVBand="0" w:evenVBand="0" w:oddHBand="1"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87 </w:t>
            </w:r>
          </w:p>
        </w:tc>
        <w:tc>
          <w:tcPr>
            <w:tcW w:w="1057" w:type="dxa"/>
            <w:noWrap/>
            <w:hideMark/>
          </w:tcPr>
          <w:p w14:paraId="7E15924B" w14:textId="77777777" w:rsidR="001300D1" w:rsidRPr="008B619A" w:rsidRDefault="001300D1" w:rsidP="006400F0">
            <w:pPr>
              <w:widowControl/>
              <w:jc w:val="right"/>
              <w:cnfStyle w:val="000000100000" w:firstRow="0" w:lastRow="0" w:firstColumn="0" w:lastColumn="0" w:oddVBand="0" w:evenVBand="0" w:oddHBand="1"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80 </w:t>
            </w:r>
          </w:p>
        </w:tc>
      </w:tr>
      <w:tr w:rsidR="001300D1" w:rsidRPr="008B619A" w14:paraId="66277108" w14:textId="77777777" w:rsidTr="00AC21D6">
        <w:trPr>
          <w:trHeight w:val="330"/>
          <w:jc w:val="center"/>
        </w:trPr>
        <w:tc>
          <w:tcPr>
            <w:cnfStyle w:val="001000000000" w:firstRow="0" w:lastRow="0" w:firstColumn="1" w:lastColumn="0" w:oddVBand="0" w:evenVBand="0" w:oddHBand="0" w:evenHBand="0" w:firstRowFirstColumn="0" w:firstRowLastColumn="0" w:lastRowFirstColumn="0" w:lastRowLastColumn="0"/>
            <w:tcW w:w="851" w:type="dxa"/>
            <w:vMerge w:val="restart"/>
            <w:shd w:val="clear" w:color="auto" w:fill="FBD4B4" w:themeFill="accent6" w:themeFillTint="66"/>
            <w:noWrap/>
            <w:hideMark/>
          </w:tcPr>
          <w:p w14:paraId="65327E6B" w14:textId="77777777" w:rsidR="001300D1" w:rsidRPr="008B619A" w:rsidRDefault="001300D1" w:rsidP="00326F81">
            <w:pPr>
              <w:widowControl/>
              <w:jc w:val="center"/>
              <w:rPr>
                <w:rFonts w:hAnsi="標楷體" w:cs="新細明體"/>
                <w:color w:val="000000" w:themeColor="text1"/>
                <w:kern w:val="0"/>
                <w:sz w:val="26"/>
                <w:szCs w:val="26"/>
              </w:rPr>
            </w:pPr>
            <w:r w:rsidRPr="008B619A">
              <w:rPr>
                <w:rFonts w:hAnsi="標楷體" w:cs="新細明體"/>
                <w:color w:val="000000" w:themeColor="text1"/>
                <w:kern w:val="0"/>
                <w:sz w:val="26"/>
                <w:szCs w:val="26"/>
              </w:rPr>
              <w:t>103</w:t>
            </w:r>
          </w:p>
        </w:tc>
        <w:tc>
          <w:tcPr>
            <w:tcW w:w="2126" w:type="dxa"/>
            <w:noWrap/>
            <w:hideMark/>
          </w:tcPr>
          <w:p w14:paraId="5D28AFD4" w14:textId="77777777" w:rsidR="001300D1" w:rsidRPr="008B619A" w:rsidRDefault="001300D1" w:rsidP="006400F0">
            <w:pPr>
              <w:widowControl/>
              <w:cnfStyle w:val="000000000000" w:firstRow="0" w:lastRow="0" w:firstColumn="0" w:lastColumn="0" w:oddVBand="0" w:evenVBand="0" w:oddHBand="0"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全國</w:t>
            </w:r>
          </w:p>
        </w:tc>
        <w:tc>
          <w:tcPr>
            <w:tcW w:w="1424" w:type="dxa"/>
            <w:shd w:val="clear" w:color="auto" w:fill="C2D69B" w:themeFill="accent3" w:themeFillTint="99"/>
            <w:noWrap/>
            <w:hideMark/>
          </w:tcPr>
          <w:p w14:paraId="7CEE3380" w14:textId="77777777" w:rsidR="001300D1" w:rsidRPr="008B619A" w:rsidRDefault="001300D1" w:rsidP="006400F0">
            <w:pPr>
              <w:widowControl/>
              <w:jc w:val="right"/>
              <w:cnfStyle w:val="000000000000" w:firstRow="0" w:lastRow="0" w:firstColumn="0" w:lastColumn="0" w:oddVBand="0" w:evenVBand="0" w:oddHBand="0"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307,379 </w:t>
            </w:r>
          </w:p>
        </w:tc>
        <w:tc>
          <w:tcPr>
            <w:tcW w:w="1057" w:type="dxa"/>
            <w:shd w:val="clear" w:color="auto" w:fill="CCC0D9" w:themeFill="accent4" w:themeFillTint="66"/>
            <w:noWrap/>
            <w:hideMark/>
          </w:tcPr>
          <w:p w14:paraId="593AAD62" w14:textId="77777777" w:rsidR="001300D1" w:rsidRPr="008B619A" w:rsidRDefault="001300D1" w:rsidP="006400F0">
            <w:pPr>
              <w:widowControl/>
              <w:jc w:val="right"/>
              <w:cnfStyle w:val="000000000000" w:firstRow="0" w:lastRow="0" w:firstColumn="0" w:lastColumn="0" w:oddVBand="0" w:evenVBand="0" w:oddHBand="0"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41,332 </w:t>
            </w:r>
          </w:p>
        </w:tc>
        <w:tc>
          <w:tcPr>
            <w:tcW w:w="1197" w:type="dxa"/>
            <w:noWrap/>
            <w:hideMark/>
          </w:tcPr>
          <w:p w14:paraId="3B1A7A6B" w14:textId="77777777" w:rsidR="001300D1" w:rsidRPr="008B619A" w:rsidRDefault="001300D1" w:rsidP="006400F0">
            <w:pPr>
              <w:widowControl/>
              <w:jc w:val="right"/>
              <w:cnfStyle w:val="000000000000" w:firstRow="0" w:lastRow="0" w:firstColumn="0" w:lastColumn="0" w:oddVBand="0" w:evenVBand="0" w:oddHBand="0"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129,650 </w:t>
            </w:r>
          </w:p>
        </w:tc>
        <w:tc>
          <w:tcPr>
            <w:tcW w:w="1197" w:type="dxa"/>
            <w:noWrap/>
            <w:hideMark/>
          </w:tcPr>
          <w:p w14:paraId="01D73158" w14:textId="77777777" w:rsidR="001300D1" w:rsidRPr="008B619A" w:rsidRDefault="001300D1" w:rsidP="006400F0">
            <w:pPr>
              <w:widowControl/>
              <w:jc w:val="right"/>
              <w:cnfStyle w:val="000000000000" w:firstRow="0" w:lastRow="0" w:firstColumn="0" w:lastColumn="0" w:oddVBand="0" w:evenVBand="0" w:oddHBand="0"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96,950 </w:t>
            </w:r>
          </w:p>
        </w:tc>
        <w:tc>
          <w:tcPr>
            <w:tcW w:w="1204" w:type="dxa"/>
            <w:noWrap/>
            <w:hideMark/>
          </w:tcPr>
          <w:p w14:paraId="378CA19C" w14:textId="77777777" w:rsidR="001300D1" w:rsidRPr="008B619A" w:rsidRDefault="001300D1" w:rsidP="006400F0">
            <w:pPr>
              <w:widowControl/>
              <w:jc w:val="right"/>
              <w:cnfStyle w:val="000000000000" w:firstRow="0" w:lastRow="0" w:firstColumn="0" w:lastColumn="0" w:oddVBand="0" w:evenVBand="0" w:oddHBand="0"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28,679 </w:t>
            </w:r>
          </w:p>
        </w:tc>
        <w:tc>
          <w:tcPr>
            <w:tcW w:w="1057" w:type="dxa"/>
            <w:noWrap/>
            <w:hideMark/>
          </w:tcPr>
          <w:p w14:paraId="2920B0B2" w14:textId="77777777" w:rsidR="001300D1" w:rsidRPr="008B619A" w:rsidRDefault="001300D1" w:rsidP="006400F0">
            <w:pPr>
              <w:widowControl/>
              <w:jc w:val="right"/>
              <w:cnfStyle w:val="000000000000" w:firstRow="0" w:lastRow="0" w:firstColumn="0" w:lastColumn="0" w:oddVBand="0" w:evenVBand="0" w:oddHBand="0"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10,768 </w:t>
            </w:r>
          </w:p>
        </w:tc>
      </w:tr>
      <w:tr w:rsidR="001300D1" w:rsidRPr="008B619A" w14:paraId="02A20992" w14:textId="77777777" w:rsidTr="00AC21D6">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851" w:type="dxa"/>
            <w:vMerge/>
            <w:shd w:val="clear" w:color="auto" w:fill="FBD4B4" w:themeFill="accent6" w:themeFillTint="66"/>
            <w:hideMark/>
          </w:tcPr>
          <w:p w14:paraId="12282DFB" w14:textId="77777777" w:rsidR="001300D1" w:rsidRPr="008B619A" w:rsidRDefault="001300D1" w:rsidP="00326F81">
            <w:pPr>
              <w:widowControl/>
              <w:jc w:val="center"/>
              <w:rPr>
                <w:rFonts w:hAnsi="標楷體" w:cs="新細明體"/>
                <w:color w:val="000000" w:themeColor="text1"/>
                <w:kern w:val="0"/>
                <w:sz w:val="26"/>
                <w:szCs w:val="26"/>
              </w:rPr>
            </w:pPr>
          </w:p>
        </w:tc>
        <w:tc>
          <w:tcPr>
            <w:tcW w:w="2126" w:type="dxa"/>
            <w:noWrap/>
            <w:hideMark/>
          </w:tcPr>
          <w:p w14:paraId="2A78A324" w14:textId="77777777" w:rsidR="001300D1" w:rsidRPr="008B619A" w:rsidRDefault="001300D1" w:rsidP="006400F0">
            <w:pPr>
              <w:widowControl/>
              <w:cnfStyle w:val="000000100000" w:firstRow="0" w:lastRow="0" w:firstColumn="0" w:lastColumn="0" w:oddVBand="0" w:evenVBand="0" w:oddHBand="1"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企業部門</w:t>
            </w:r>
          </w:p>
        </w:tc>
        <w:tc>
          <w:tcPr>
            <w:tcW w:w="1424" w:type="dxa"/>
            <w:shd w:val="clear" w:color="auto" w:fill="C2D69B" w:themeFill="accent3" w:themeFillTint="99"/>
            <w:noWrap/>
            <w:hideMark/>
          </w:tcPr>
          <w:p w14:paraId="71177551" w14:textId="77777777" w:rsidR="001300D1" w:rsidRPr="008B619A" w:rsidRDefault="001300D1" w:rsidP="006400F0">
            <w:pPr>
              <w:widowControl/>
              <w:jc w:val="right"/>
              <w:cnfStyle w:val="000000100000" w:firstRow="0" w:lastRow="0" w:firstColumn="0" w:lastColumn="0" w:oddVBand="0" w:evenVBand="0" w:oddHBand="1"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213,843 </w:t>
            </w:r>
          </w:p>
        </w:tc>
        <w:tc>
          <w:tcPr>
            <w:tcW w:w="1057" w:type="dxa"/>
            <w:shd w:val="clear" w:color="auto" w:fill="CCC0D9" w:themeFill="accent4" w:themeFillTint="66"/>
            <w:noWrap/>
            <w:hideMark/>
          </w:tcPr>
          <w:p w14:paraId="2BFC8B14" w14:textId="77777777" w:rsidR="001300D1" w:rsidRPr="008B619A" w:rsidRDefault="001300D1" w:rsidP="006400F0">
            <w:pPr>
              <w:widowControl/>
              <w:jc w:val="right"/>
              <w:cnfStyle w:val="000000100000" w:firstRow="0" w:lastRow="0" w:firstColumn="0" w:lastColumn="0" w:oddVBand="0" w:evenVBand="0" w:oddHBand="1"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7,069 </w:t>
            </w:r>
          </w:p>
        </w:tc>
        <w:tc>
          <w:tcPr>
            <w:tcW w:w="1197" w:type="dxa"/>
            <w:noWrap/>
            <w:hideMark/>
          </w:tcPr>
          <w:p w14:paraId="1270526A" w14:textId="77777777" w:rsidR="001300D1" w:rsidRPr="008B619A" w:rsidRDefault="001300D1" w:rsidP="006400F0">
            <w:pPr>
              <w:widowControl/>
              <w:jc w:val="right"/>
              <w:cnfStyle w:val="000000100000" w:firstRow="0" w:lastRow="0" w:firstColumn="0" w:lastColumn="0" w:oddVBand="0" w:evenVBand="0" w:oddHBand="1"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89,971 </w:t>
            </w:r>
          </w:p>
        </w:tc>
        <w:tc>
          <w:tcPr>
            <w:tcW w:w="1197" w:type="dxa"/>
            <w:noWrap/>
            <w:hideMark/>
          </w:tcPr>
          <w:p w14:paraId="7A165F4E" w14:textId="77777777" w:rsidR="001300D1" w:rsidRPr="008B619A" w:rsidRDefault="001300D1" w:rsidP="006400F0">
            <w:pPr>
              <w:widowControl/>
              <w:jc w:val="right"/>
              <w:cnfStyle w:val="000000100000" w:firstRow="0" w:lastRow="0" w:firstColumn="0" w:lastColumn="0" w:oddVBand="0" w:evenVBand="0" w:oddHBand="1"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83,446 </w:t>
            </w:r>
          </w:p>
        </w:tc>
        <w:tc>
          <w:tcPr>
            <w:tcW w:w="1204" w:type="dxa"/>
            <w:noWrap/>
            <w:hideMark/>
          </w:tcPr>
          <w:p w14:paraId="47533962" w14:textId="77777777" w:rsidR="001300D1" w:rsidRPr="008B619A" w:rsidRDefault="001300D1" w:rsidP="006400F0">
            <w:pPr>
              <w:widowControl/>
              <w:jc w:val="right"/>
              <w:cnfStyle w:val="000000100000" w:firstRow="0" w:lastRow="0" w:firstColumn="0" w:lastColumn="0" w:oddVBand="0" w:evenVBand="0" w:oddHBand="1"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25,069 </w:t>
            </w:r>
          </w:p>
        </w:tc>
        <w:tc>
          <w:tcPr>
            <w:tcW w:w="1057" w:type="dxa"/>
            <w:noWrap/>
            <w:hideMark/>
          </w:tcPr>
          <w:p w14:paraId="5ECD3CCA" w14:textId="77777777" w:rsidR="001300D1" w:rsidRPr="008B619A" w:rsidRDefault="001300D1" w:rsidP="006400F0">
            <w:pPr>
              <w:widowControl/>
              <w:jc w:val="right"/>
              <w:cnfStyle w:val="000000100000" w:firstRow="0" w:lastRow="0" w:firstColumn="0" w:lastColumn="0" w:oddVBand="0" w:evenVBand="0" w:oddHBand="1"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8,288 </w:t>
            </w:r>
          </w:p>
        </w:tc>
      </w:tr>
      <w:tr w:rsidR="001300D1" w:rsidRPr="008B619A" w14:paraId="26A7F38B" w14:textId="77777777" w:rsidTr="00AC21D6">
        <w:trPr>
          <w:trHeight w:val="330"/>
          <w:jc w:val="center"/>
        </w:trPr>
        <w:tc>
          <w:tcPr>
            <w:cnfStyle w:val="001000000000" w:firstRow="0" w:lastRow="0" w:firstColumn="1" w:lastColumn="0" w:oddVBand="0" w:evenVBand="0" w:oddHBand="0" w:evenHBand="0" w:firstRowFirstColumn="0" w:firstRowLastColumn="0" w:lastRowFirstColumn="0" w:lastRowLastColumn="0"/>
            <w:tcW w:w="851" w:type="dxa"/>
            <w:vMerge/>
            <w:shd w:val="clear" w:color="auto" w:fill="FBD4B4" w:themeFill="accent6" w:themeFillTint="66"/>
            <w:hideMark/>
          </w:tcPr>
          <w:p w14:paraId="1D55E701" w14:textId="77777777" w:rsidR="001300D1" w:rsidRPr="008B619A" w:rsidRDefault="001300D1" w:rsidP="00326F81">
            <w:pPr>
              <w:widowControl/>
              <w:jc w:val="center"/>
              <w:rPr>
                <w:rFonts w:hAnsi="標楷體" w:cs="新細明體"/>
                <w:color w:val="000000" w:themeColor="text1"/>
                <w:kern w:val="0"/>
                <w:sz w:val="26"/>
                <w:szCs w:val="26"/>
              </w:rPr>
            </w:pPr>
          </w:p>
        </w:tc>
        <w:tc>
          <w:tcPr>
            <w:tcW w:w="2126" w:type="dxa"/>
            <w:noWrap/>
            <w:hideMark/>
          </w:tcPr>
          <w:p w14:paraId="038BD75A" w14:textId="77777777" w:rsidR="001300D1" w:rsidRPr="008B619A" w:rsidRDefault="001300D1" w:rsidP="006400F0">
            <w:pPr>
              <w:widowControl/>
              <w:cnfStyle w:val="000000000000" w:firstRow="0" w:lastRow="0" w:firstColumn="0" w:lastColumn="0" w:oddVBand="0" w:evenVBand="0" w:oddHBand="0"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政府部門</w:t>
            </w:r>
          </w:p>
        </w:tc>
        <w:tc>
          <w:tcPr>
            <w:tcW w:w="1424" w:type="dxa"/>
            <w:shd w:val="clear" w:color="auto" w:fill="C2D69B" w:themeFill="accent3" w:themeFillTint="99"/>
            <w:noWrap/>
            <w:hideMark/>
          </w:tcPr>
          <w:p w14:paraId="26D154D7" w14:textId="77777777" w:rsidR="001300D1" w:rsidRPr="008B619A" w:rsidRDefault="001300D1" w:rsidP="006400F0">
            <w:pPr>
              <w:widowControl/>
              <w:jc w:val="right"/>
              <w:cnfStyle w:val="000000000000" w:firstRow="0" w:lastRow="0" w:firstColumn="0" w:lastColumn="0" w:oddVBand="0" w:evenVBand="0" w:oddHBand="0"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34,651 </w:t>
            </w:r>
          </w:p>
        </w:tc>
        <w:tc>
          <w:tcPr>
            <w:tcW w:w="1057" w:type="dxa"/>
            <w:shd w:val="clear" w:color="auto" w:fill="CCC0D9" w:themeFill="accent4" w:themeFillTint="66"/>
            <w:noWrap/>
            <w:hideMark/>
          </w:tcPr>
          <w:p w14:paraId="47B077F9" w14:textId="77777777" w:rsidR="001300D1" w:rsidRPr="008B619A" w:rsidRDefault="001300D1" w:rsidP="006400F0">
            <w:pPr>
              <w:widowControl/>
              <w:jc w:val="right"/>
              <w:cnfStyle w:val="000000000000" w:firstRow="0" w:lastRow="0" w:firstColumn="0" w:lastColumn="0" w:oddVBand="0" w:evenVBand="0" w:oddHBand="0"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6,592 </w:t>
            </w:r>
          </w:p>
        </w:tc>
        <w:tc>
          <w:tcPr>
            <w:tcW w:w="1197" w:type="dxa"/>
            <w:noWrap/>
            <w:hideMark/>
          </w:tcPr>
          <w:p w14:paraId="57F76A51" w14:textId="77777777" w:rsidR="001300D1" w:rsidRPr="008B619A" w:rsidRDefault="001300D1" w:rsidP="006400F0">
            <w:pPr>
              <w:widowControl/>
              <w:jc w:val="right"/>
              <w:cnfStyle w:val="000000000000" w:firstRow="0" w:lastRow="0" w:firstColumn="0" w:lastColumn="0" w:oddVBand="0" w:evenVBand="0" w:oddHBand="0"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14,538 </w:t>
            </w:r>
          </w:p>
        </w:tc>
        <w:tc>
          <w:tcPr>
            <w:tcW w:w="1197" w:type="dxa"/>
            <w:noWrap/>
            <w:hideMark/>
          </w:tcPr>
          <w:p w14:paraId="49B67D9E" w14:textId="77777777" w:rsidR="001300D1" w:rsidRPr="008B619A" w:rsidRDefault="001300D1" w:rsidP="006400F0">
            <w:pPr>
              <w:widowControl/>
              <w:jc w:val="right"/>
              <w:cnfStyle w:val="000000000000" w:firstRow="0" w:lastRow="0" w:firstColumn="0" w:lastColumn="0" w:oddVBand="0" w:evenVBand="0" w:oddHBand="0"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8,324 </w:t>
            </w:r>
          </w:p>
        </w:tc>
        <w:tc>
          <w:tcPr>
            <w:tcW w:w="1204" w:type="dxa"/>
            <w:noWrap/>
            <w:hideMark/>
          </w:tcPr>
          <w:p w14:paraId="78FDE838" w14:textId="77777777" w:rsidR="001300D1" w:rsidRPr="008B619A" w:rsidRDefault="001300D1" w:rsidP="006400F0">
            <w:pPr>
              <w:widowControl/>
              <w:jc w:val="right"/>
              <w:cnfStyle w:val="000000000000" w:firstRow="0" w:lastRow="0" w:firstColumn="0" w:lastColumn="0" w:oddVBand="0" w:evenVBand="0" w:oddHBand="0"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2,945 </w:t>
            </w:r>
          </w:p>
        </w:tc>
        <w:tc>
          <w:tcPr>
            <w:tcW w:w="1057" w:type="dxa"/>
            <w:noWrap/>
            <w:hideMark/>
          </w:tcPr>
          <w:p w14:paraId="3FC293AC" w14:textId="77777777" w:rsidR="001300D1" w:rsidRPr="008B619A" w:rsidRDefault="001300D1" w:rsidP="006400F0">
            <w:pPr>
              <w:widowControl/>
              <w:jc w:val="right"/>
              <w:cnfStyle w:val="000000000000" w:firstRow="0" w:lastRow="0" w:firstColumn="0" w:lastColumn="0" w:oddVBand="0" w:evenVBand="0" w:oddHBand="0"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2,252 </w:t>
            </w:r>
          </w:p>
        </w:tc>
      </w:tr>
      <w:tr w:rsidR="001300D1" w:rsidRPr="008B619A" w14:paraId="0FF29C89" w14:textId="77777777" w:rsidTr="00AC21D6">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851" w:type="dxa"/>
            <w:vMerge/>
            <w:shd w:val="clear" w:color="auto" w:fill="FBD4B4" w:themeFill="accent6" w:themeFillTint="66"/>
            <w:hideMark/>
          </w:tcPr>
          <w:p w14:paraId="1436EEF8" w14:textId="77777777" w:rsidR="001300D1" w:rsidRPr="008B619A" w:rsidRDefault="001300D1" w:rsidP="00326F81">
            <w:pPr>
              <w:widowControl/>
              <w:jc w:val="center"/>
              <w:rPr>
                <w:rFonts w:hAnsi="標楷體" w:cs="新細明體"/>
                <w:color w:val="000000" w:themeColor="text1"/>
                <w:kern w:val="0"/>
                <w:sz w:val="26"/>
                <w:szCs w:val="26"/>
              </w:rPr>
            </w:pPr>
          </w:p>
        </w:tc>
        <w:tc>
          <w:tcPr>
            <w:tcW w:w="2126" w:type="dxa"/>
            <w:noWrap/>
            <w:hideMark/>
          </w:tcPr>
          <w:p w14:paraId="1A7A60E9" w14:textId="77777777" w:rsidR="001300D1" w:rsidRPr="008B619A" w:rsidRDefault="001300D1" w:rsidP="006400F0">
            <w:pPr>
              <w:widowControl/>
              <w:cnfStyle w:val="000000100000" w:firstRow="0" w:lastRow="0" w:firstColumn="0" w:lastColumn="0" w:oddVBand="0" w:evenVBand="0" w:oddHBand="1"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高等教育部門</w:t>
            </w:r>
          </w:p>
        </w:tc>
        <w:tc>
          <w:tcPr>
            <w:tcW w:w="1424" w:type="dxa"/>
            <w:shd w:val="clear" w:color="auto" w:fill="C2D69B" w:themeFill="accent3" w:themeFillTint="99"/>
            <w:noWrap/>
            <w:hideMark/>
          </w:tcPr>
          <w:p w14:paraId="63E482B0" w14:textId="77777777" w:rsidR="001300D1" w:rsidRPr="008B619A" w:rsidRDefault="001300D1" w:rsidP="006400F0">
            <w:pPr>
              <w:widowControl/>
              <w:jc w:val="right"/>
              <w:cnfStyle w:val="000000100000" w:firstRow="0" w:lastRow="0" w:firstColumn="0" w:lastColumn="0" w:oddVBand="0" w:evenVBand="0" w:oddHBand="1"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57,328 </w:t>
            </w:r>
          </w:p>
        </w:tc>
        <w:tc>
          <w:tcPr>
            <w:tcW w:w="1057" w:type="dxa"/>
            <w:shd w:val="clear" w:color="auto" w:fill="CCC0D9" w:themeFill="accent4" w:themeFillTint="66"/>
            <w:noWrap/>
            <w:hideMark/>
          </w:tcPr>
          <w:p w14:paraId="5076950B" w14:textId="77777777" w:rsidR="001300D1" w:rsidRPr="008B619A" w:rsidRDefault="001300D1" w:rsidP="006400F0">
            <w:pPr>
              <w:widowControl/>
              <w:jc w:val="right"/>
              <w:cnfStyle w:val="000000100000" w:firstRow="0" w:lastRow="0" w:firstColumn="0" w:lastColumn="0" w:oddVBand="0" w:evenVBand="0" w:oddHBand="1"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27,248 </w:t>
            </w:r>
          </w:p>
        </w:tc>
        <w:tc>
          <w:tcPr>
            <w:tcW w:w="1197" w:type="dxa"/>
            <w:noWrap/>
            <w:hideMark/>
          </w:tcPr>
          <w:p w14:paraId="7040B18B" w14:textId="77777777" w:rsidR="001300D1" w:rsidRPr="008B619A" w:rsidRDefault="001300D1" w:rsidP="006400F0">
            <w:pPr>
              <w:widowControl/>
              <w:jc w:val="right"/>
              <w:cnfStyle w:val="000000100000" w:firstRow="0" w:lastRow="0" w:firstColumn="0" w:lastColumn="0" w:oddVBand="0" w:evenVBand="0" w:oddHBand="1"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24,601 </w:t>
            </w:r>
          </w:p>
        </w:tc>
        <w:tc>
          <w:tcPr>
            <w:tcW w:w="1197" w:type="dxa"/>
            <w:noWrap/>
            <w:hideMark/>
          </w:tcPr>
          <w:p w14:paraId="7CE80692" w14:textId="77777777" w:rsidR="001300D1" w:rsidRPr="008B619A" w:rsidRDefault="001300D1" w:rsidP="006400F0">
            <w:pPr>
              <w:widowControl/>
              <w:jc w:val="right"/>
              <w:cnfStyle w:val="000000100000" w:firstRow="0" w:lastRow="0" w:firstColumn="0" w:lastColumn="0" w:oddVBand="0" w:evenVBand="0" w:oddHBand="1"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4,763 </w:t>
            </w:r>
          </w:p>
        </w:tc>
        <w:tc>
          <w:tcPr>
            <w:tcW w:w="1204" w:type="dxa"/>
            <w:noWrap/>
            <w:hideMark/>
          </w:tcPr>
          <w:p w14:paraId="6C511096" w14:textId="77777777" w:rsidR="001300D1" w:rsidRPr="008B619A" w:rsidRDefault="001300D1" w:rsidP="006400F0">
            <w:pPr>
              <w:widowControl/>
              <w:jc w:val="right"/>
              <w:cnfStyle w:val="000000100000" w:firstRow="0" w:lastRow="0" w:firstColumn="0" w:lastColumn="0" w:oddVBand="0" w:evenVBand="0" w:oddHBand="1"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560 </w:t>
            </w:r>
          </w:p>
        </w:tc>
        <w:tc>
          <w:tcPr>
            <w:tcW w:w="1057" w:type="dxa"/>
            <w:noWrap/>
            <w:hideMark/>
          </w:tcPr>
          <w:p w14:paraId="7CF64CF0" w14:textId="77777777" w:rsidR="001300D1" w:rsidRPr="008B619A" w:rsidRDefault="001300D1" w:rsidP="006400F0">
            <w:pPr>
              <w:widowControl/>
              <w:jc w:val="right"/>
              <w:cnfStyle w:val="000000100000" w:firstRow="0" w:lastRow="0" w:firstColumn="0" w:lastColumn="0" w:oddVBand="0" w:evenVBand="0" w:oddHBand="1"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156 </w:t>
            </w:r>
          </w:p>
        </w:tc>
      </w:tr>
      <w:tr w:rsidR="001300D1" w:rsidRPr="008B619A" w14:paraId="1AE24749" w14:textId="77777777" w:rsidTr="00AC21D6">
        <w:trPr>
          <w:trHeight w:val="330"/>
          <w:jc w:val="center"/>
        </w:trPr>
        <w:tc>
          <w:tcPr>
            <w:cnfStyle w:val="001000000000" w:firstRow="0" w:lastRow="0" w:firstColumn="1" w:lastColumn="0" w:oddVBand="0" w:evenVBand="0" w:oddHBand="0" w:evenHBand="0" w:firstRowFirstColumn="0" w:firstRowLastColumn="0" w:lastRowFirstColumn="0" w:lastRowLastColumn="0"/>
            <w:tcW w:w="851" w:type="dxa"/>
            <w:vMerge/>
            <w:shd w:val="clear" w:color="auto" w:fill="FBD4B4" w:themeFill="accent6" w:themeFillTint="66"/>
            <w:hideMark/>
          </w:tcPr>
          <w:p w14:paraId="696BE54C" w14:textId="77777777" w:rsidR="001300D1" w:rsidRPr="008B619A" w:rsidRDefault="001300D1" w:rsidP="00326F81">
            <w:pPr>
              <w:widowControl/>
              <w:jc w:val="center"/>
              <w:rPr>
                <w:rFonts w:hAnsi="標楷體" w:cs="新細明體"/>
                <w:color w:val="000000" w:themeColor="text1"/>
                <w:kern w:val="0"/>
                <w:sz w:val="26"/>
                <w:szCs w:val="26"/>
              </w:rPr>
            </w:pPr>
          </w:p>
        </w:tc>
        <w:tc>
          <w:tcPr>
            <w:tcW w:w="2126" w:type="dxa"/>
            <w:noWrap/>
            <w:hideMark/>
          </w:tcPr>
          <w:p w14:paraId="6B4870EB" w14:textId="77777777" w:rsidR="001300D1" w:rsidRPr="008B619A" w:rsidRDefault="001300D1" w:rsidP="006400F0">
            <w:pPr>
              <w:widowControl/>
              <w:cnfStyle w:val="000000000000" w:firstRow="0" w:lastRow="0" w:firstColumn="0" w:lastColumn="0" w:oddVBand="0" w:evenVBand="0" w:oddHBand="0"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私人非營利部門</w:t>
            </w:r>
          </w:p>
        </w:tc>
        <w:tc>
          <w:tcPr>
            <w:tcW w:w="1424" w:type="dxa"/>
            <w:shd w:val="clear" w:color="auto" w:fill="C2D69B" w:themeFill="accent3" w:themeFillTint="99"/>
            <w:noWrap/>
            <w:hideMark/>
          </w:tcPr>
          <w:p w14:paraId="5520DF2E" w14:textId="77777777" w:rsidR="001300D1" w:rsidRPr="008B619A" w:rsidRDefault="001300D1" w:rsidP="006400F0">
            <w:pPr>
              <w:widowControl/>
              <w:jc w:val="right"/>
              <w:cnfStyle w:val="000000000000" w:firstRow="0" w:lastRow="0" w:firstColumn="0" w:lastColumn="0" w:oddVBand="0" w:evenVBand="0" w:oddHBand="0"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1,557 </w:t>
            </w:r>
          </w:p>
        </w:tc>
        <w:tc>
          <w:tcPr>
            <w:tcW w:w="1057" w:type="dxa"/>
            <w:shd w:val="clear" w:color="auto" w:fill="CCC0D9" w:themeFill="accent4" w:themeFillTint="66"/>
            <w:noWrap/>
            <w:hideMark/>
          </w:tcPr>
          <w:p w14:paraId="691ED2A2" w14:textId="77777777" w:rsidR="001300D1" w:rsidRPr="008B619A" w:rsidRDefault="001300D1" w:rsidP="006400F0">
            <w:pPr>
              <w:widowControl/>
              <w:jc w:val="right"/>
              <w:cnfStyle w:val="000000000000" w:firstRow="0" w:lastRow="0" w:firstColumn="0" w:lastColumn="0" w:oddVBand="0" w:evenVBand="0" w:oddHBand="0"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423 </w:t>
            </w:r>
          </w:p>
        </w:tc>
        <w:tc>
          <w:tcPr>
            <w:tcW w:w="1197" w:type="dxa"/>
            <w:noWrap/>
            <w:hideMark/>
          </w:tcPr>
          <w:p w14:paraId="5E837268" w14:textId="77777777" w:rsidR="001300D1" w:rsidRPr="008B619A" w:rsidRDefault="001300D1" w:rsidP="006400F0">
            <w:pPr>
              <w:widowControl/>
              <w:jc w:val="right"/>
              <w:cnfStyle w:val="000000000000" w:firstRow="0" w:lastRow="0" w:firstColumn="0" w:lastColumn="0" w:oddVBand="0" w:evenVBand="0" w:oddHBand="0"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540 </w:t>
            </w:r>
          </w:p>
        </w:tc>
        <w:tc>
          <w:tcPr>
            <w:tcW w:w="1197" w:type="dxa"/>
            <w:noWrap/>
            <w:hideMark/>
          </w:tcPr>
          <w:p w14:paraId="73C8ECA6" w14:textId="77777777" w:rsidR="001300D1" w:rsidRPr="008B619A" w:rsidRDefault="001300D1" w:rsidP="006400F0">
            <w:pPr>
              <w:widowControl/>
              <w:jc w:val="right"/>
              <w:cnfStyle w:val="000000000000" w:firstRow="0" w:lastRow="0" w:firstColumn="0" w:lastColumn="0" w:oddVBand="0" w:evenVBand="0" w:oddHBand="0"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417 </w:t>
            </w:r>
          </w:p>
        </w:tc>
        <w:tc>
          <w:tcPr>
            <w:tcW w:w="1204" w:type="dxa"/>
            <w:noWrap/>
            <w:hideMark/>
          </w:tcPr>
          <w:p w14:paraId="7E2B9995" w14:textId="77777777" w:rsidR="001300D1" w:rsidRPr="008B619A" w:rsidRDefault="001300D1" w:rsidP="006400F0">
            <w:pPr>
              <w:widowControl/>
              <w:jc w:val="right"/>
              <w:cnfStyle w:val="000000000000" w:firstRow="0" w:lastRow="0" w:firstColumn="0" w:lastColumn="0" w:oddVBand="0" w:evenVBand="0" w:oddHBand="0"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105 </w:t>
            </w:r>
          </w:p>
        </w:tc>
        <w:tc>
          <w:tcPr>
            <w:tcW w:w="1057" w:type="dxa"/>
            <w:noWrap/>
            <w:hideMark/>
          </w:tcPr>
          <w:p w14:paraId="69AFDDF1" w14:textId="77777777" w:rsidR="001300D1" w:rsidRPr="008B619A" w:rsidRDefault="001300D1" w:rsidP="006400F0">
            <w:pPr>
              <w:widowControl/>
              <w:jc w:val="right"/>
              <w:cnfStyle w:val="000000000000" w:firstRow="0" w:lastRow="0" w:firstColumn="0" w:lastColumn="0" w:oddVBand="0" w:evenVBand="0" w:oddHBand="0"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72 </w:t>
            </w:r>
          </w:p>
        </w:tc>
      </w:tr>
      <w:tr w:rsidR="001300D1" w:rsidRPr="008B619A" w14:paraId="59A3ABB4" w14:textId="77777777" w:rsidTr="00AC21D6">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851" w:type="dxa"/>
            <w:vMerge w:val="restart"/>
            <w:shd w:val="clear" w:color="auto" w:fill="FBD4B4" w:themeFill="accent6" w:themeFillTint="66"/>
            <w:noWrap/>
            <w:hideMark/>
          </w:tcPr>
          <w:p w14:paraId="75D58219" w14:textId="77777777" w:rsidR="001300D1" w:rsidRPr="008B619A" w:rsidRDefault="001300D1" w:rsidP="00326F81">
            <w:pPr>
              <w:widowControl/>
              <w:jc w:val="center"/>
              <w:rPr>
                <w:rFonts w:hAnsi="標楷體" w:cs="新細明體"/>
                <w:color w:val="000000" w:themeColor="text1"/>
                <w:kern w:val="0"/>
                <w:sz w:val="26"/>
                <w:szCs w:val="26"/>
              </w:rPr>
            </w:pPr>
            <w:r w:rsidRPr="008B619A">
              <w:rPr>
                <w:rFonts w:hAnsi="標楷體" w:cs="新細明體"/>
                <w:color w:val="000000" w:themeColor="text1"/>
                <w:kern w:val="0"/>
                <w:sz w:val="26"/>
                <w:szCs w:val="26"/>
              </w:rPr>
              <w:t>104</w:t>
            </w:r>
          </w:p>
        </w:tc>
        <w:tc>
          <w:tcPr>
            <w:tcW w:w="2126" w:type="dxa"/>
            <w:noWrap/>
            <w:hideMark/>
          </w:tcPr>
          <w:p w14:paraId="1AECFD55" w14:textId="77777777" w:rsidR="001300D1" w:rsidRPr="008B619A" w:rsidRDefault="001300D1" w:rsidP="006400F0">
            <w:pPr>
              <w:widowControl/>
              <w:cnfStyle w:val="000000100000" w:firstRow="0" w:lastRow="0" w:firstColumn="0" w:lastColumn="0" w:oddVBand="0" w:evenVBand="0" w:oddHBand="1"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全國</w:t>
            </w:r>
          </w:p>
        </w:tc>
        <w:tc>
          <w:tcPr>
            <w:tcW w:w="1424" w:type="dxa"/>
            <w:shd w:val="clear" w:color="auto" w:fill="C2D69B" w:themeFill="accent3" w:themeFillTint="99"/>
            <w:noWrap/>
            <w:hideMark/>
          </w:tcPr>
          <w:p w14:paraId="10BF7049" w14:textId="77777777" w:rsidR="001300D1" w:rsidRPr="008B619A" w:rsidRDefault="001300D1" w:rsidP="006400F0">
            <w:pPr>
              <w:widowControl/>
              <w:jc w:val="right"/>
              <w:cnfStyle w:val="000000100000" w:firstRow="0" w:lastRow="0" w:firstColumn="0" w:lastColumn="0" w:oddVBand="0" w:evenVBand="0" w:oddHBand="1"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312,923 </w:t>
            </w:r>
          </w:p>
        </w:tc>
        <w:tc>
          <w:tcPr>
            <w:tcW w:w="1057" w:type="dxa"/>
            <w:shd w:val="clear" w:color="auto" w:fill="CCC0D9" w:themeFill="accent4" w:themeFillTint="66"/>
            <w:noWrap/>
            <w:hideMark/>
          </w:tcPr>
          <w:p w14:paraId="1B436229" w14:textId="77777777" w:rsidR="001300D1" w:rsidRPr="008B619A" w:rsidRDefault="001300D1" w:rsidP="006400F0">
            <w:pPr>
              <w:widowControl/>
              <w:jc w:val="right"/>
              <w:cnfStyle w:val="000000100000" w:firstRow="0" w:lastRow="0" w:firstColumn="0" w:lastColumn="0" w:oddVBand="0" w:evenVBand="0" w:oddHBand="1"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42,108 </w:t>
            </w:r>
          </w:p>
        </w:tc>
        <w:tc>
          <w:tcPr>
            <w:tcW w:w="1197" w:type="dxa"/>
            <w:noWrap/>
            <w:hideMark/>
          </w:tcPr>
          <w:p w14:paraId="031976DF" w14:textId="77777777" w:rsidR="001300D1" w:rsidRPr="008B619A" w:rsidRDefault="001300D1" w:rsidP="006400F0">
            <w:pPr>
              <w:widowControl/>
              <w:jc w:val="right"/>
              <w:cnfStyle w:val="000000100000" w:firstRow="0" w:lastRow="0" w:firstColumn="0" w:lastColumn="0" w:oddVBand="0" w:evenVBand="0" w:oddHBand="1"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133,854 </w:t>
            </w:r>
          </w:p>
        </w:tc>
        <w:tc>
          <w:tcPr>
            <w:tcW w:w="1197" w:type="dxa"/>
            <w:noWrap/>
            <w:hideMark/>
          </w:tcPr>
          <w:p w14:paraId="02F1F06E" w14:textId="77777777" w:rsidR="001300D1" w:rsidRPr="008B619A" w:rsidRDefault="001300D1" w:rsidP="006400F0">
            <w:pPr>
              <w:widowControl/>
              <w:jc w:val="right"/>
              <w:cnfStyle w:val="000000100000" w:firstRow="0" w:lastRow="0" w:firstColumn="0" w:lastColumn="0" w:oddVBand="0" w:evenVBand="0" w:oddHBand="1"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98,461 </w:t>
            </w:r>
          </w:p>
        </w:tc>
        <w:tc>
          <w:tcPr>
            <w:tcW w:w="1204" w:type="dxa"/>
            <w:noWrap/>
            <w:hideMark/>
          </w:tcPr>
          <w:p w14:paraId="16A14DE9" w14:textId="77777777" w:rsidR="001300D1" w:rsidRPr="008B619A" w:rsidRDefault="001300D1" w:rsidP="006400F0">
            <w:pPr>
              <w:widowControl/>
              <w:jc w:val="right"/>
              <w:cnfStyle w:val="000000100000" w:firstRow="0" w:lastRow="0" w:firstColumn="0" w:lastColumn="0" w:oddVBand="0" w:evenVBand="0" w:oddHBand="1"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27,794 </w:t>
            </w:r>
          </w:p>
        </w:tc>
        <w:tc>
          <w:tcPr>
            <w:tcW w:w="1057" w:type="dxa"/>
            <w:noWrap/>
            <w:hideMark/>
          </w:tcPr>
          <w:p w14:paraId="4536929F" w14:textId="77777777" w:rsidR="001300D1" w:rsidRPr="008B619A" w:rsidRDefault="001300D1" w:rsidP="006400F0">
            <w:pPr>
              <w:widowControl/>
              <w:jc w:val="right"/>
              <w:cnfStyle w:val="000000100000" w:firstRow="0" w:lastRow="0" w:firstColumn="0" w:lastColumn="0" w:oddVBand="0" w:evenVBand="0" w:oddHBand="1"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10,706 </w:t>
            </w:r>
          </w:p>
        </w:tc>
      </w:tr>
      <w:tr w:rsidR="001300D1" w:rsidRPr="008B619A" w14:paraId="57DFBF83" w14:textId="77777777" w:rsidTr="00AC21D6">
        <w:trPr>
          <w:trHeight w:val="330"/>
          <w:jc w:val="center"/>
        </w:trPr>
        <w:tc>
          <w:tcPr>
            <w:cnfStyle w:val="001000000000" w:firstRow="0" w:lastRow="0" w:firstColumn="1" w:lastColumn="0" w:oddVBand="0" w:evenVBand="0" w:oddHBand="0" w:evenHBand="0" w:firstRowFirstColumn="0" w:firstRowLastColumn="0" w:lastRowFirstColumn="0" w:lastRowLastColumn="0"/>
            <w:tcW w:w="851" w:type="dxa"/>
            <w:vMerge/>
            <w:shd w:val="clear" w:color="auto" w:fill="FBD4B4" w:themeFill="accent6" w:themeFillTint="66"/>
            <w:hideMark/>
          </w:tcPr>
          <w:p w14:paraId="76FF0D20" w14:textId="77777777" w:rsidR="001300D1" w:rsidRPr="008B619A" w:rsidRDefault="001300D1" w:rsidP="00326F81">
            <w:pPr>
              <w:widowControl/>
              <w:jc w:val="center"/>
              <w:rPr>
                <w:rFonts w:hAnsi="標楷體" w:cs="新細明體"/>
                <w:color w:val="000000" w:themeColor="text1"/>
                <w:kern w:val="0"/>
                <w:sz w:val="26"/>
                <w:szCs w:val="26"/>
              </w:rPr>
            </w:pPr>
          </w:p>
        </w:tc>
        <w:tc>
          <w:tcPr>
            <w:tcW w:w="2126" w:type="dxa"/>
            <w:noWrap/>
            <w:hideMark/>
          </w:tcPr>
          <w:p w14:paraId="31A784AE" w14:textId="77777777" w:rsidR="001300D1" w:rsidRPr="008B619A" w:rsidRDefault="001300D1" w:rsidP="006400F0">
            <w:pPr>
              <w:widowControl/>
              <w:cnfStyle w:val="000000000000" w:firstRow="0" w:lastRow="0" w:firstColumn="0" w:lastColumn="0" w:oddVBand="0" w:evenVBand="0" w:oddHBand="0"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企業部門</w:t>
            </w:r>
          </w:p>
        </w:tc>
        <w:tc>
          <w:tcPr>
            <w:tcW w:w="1424" w:type="dxa"/>
            <w:shd w:val="clear" w:color="auto" w:fill="C2D69B" w:themeFill="accent3" w:themeFillTint="99"/>
            <w:noWrap/>
            <w:hideMark/>
          </w:tcPr>
          <w:p w14:paraId="0299CB06" w14:textId="77777777" w:rsidR="001300D1" w:rsidRPr="008B619A" w:rsidRDefault="001300D1" w:rsidP="006400F0">
            <w:pPr>
              <w:widowControl/>
              <w:jc w:val="right"/>
              <w:cnfStyle w:val="000000000000" w:firstRow="0" w:lastRow="0" w:firstColumn="0" w:lastColumn="0" w:oddVBand="0" w:evenVBand="0" w:oddHBand="0"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220,212 </w:t>
            </w:r>
          </w:p>
        </w:tc>
        <w:tc>
          <w:tcPr>
            <w:tcW w:w="1057" w:type="dxa"/>
            <w:shd w:val="clear" w:color="auto" w:fill="CCC0D9" w:themeFill="accent4" w:themeFillTint="66"/>
            <w:noWrap/>
            <w:hideMark/>
          </w:tcPr>
          <w:p w14:paraId="610E676A" w14:textId="77777777" w:rsidR="001300D1" w:rsidRPr="008B619A" w:rsidRDefault="001300D1" w:rsidP="006400F0">
            <w:pPr>
              <w:widowControl/>
              <w:jc w:val="right"/>
              <w:cnfStyle w:val="000000000000" w:firstRow="0" w:lastRow="0" w:firstColumn="0" w:lastColumn="0" w:oddVBand="0" w:evenVBand="0" w:oddHBand="0"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7,647 </w:t>
            </w:r>
          </w:p>
        </w:tc>
        <w:tc>
          <w:tcPr>
            <w:tcW w:w="1197" w:type="dxa"/>
            <w:noWrap/>
            <w:hideMark/>
          </w:tcPr>
          <w:p w14:paraId="00A23D3C" w14:textId="77777777" w:rsidR="001300D1" w:rsidRPr="008B619A" w:rsidRDefault="001300D1" w:rsidP="006400F0">
            <w:pPr>
              <w:widowControl/>
              <w:jc w:val="right"/>
              <w:cnfStyle w:val="000000000000" w:firstRow="0" w:lastRow="0" w:firstColumn="0" w:lastColumn="0" w:oddVBand="0" w:evenVBand="0" w:oddHBand="0"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95,165 </w:t>
            </w:r>
          </w:p>
        </w:tc>
        <w:tc>
          <w:tcPr>
            <w:tcW w:w="1197" w:type="dxa"/>
            <w:noWrap/>
            <w:hideMark/>
          </w:tcPr>
          <w:p w14:paraId="6B13C43E" w14:textId="77777777" w:rsidR="001300D1" w:rsidRPr="008B619A" w:rsidRDefault="001300D1" w:rsidP="006400F0">
            <w:pPr>
              <w:widowControl/>
              <w:jc w:val="right"/>
              <w:cnfStyle w:val="000000000000" w:firstRow="0" w:lastRow="0" w:firstColumn="0" w:lastColumn="0" w:oddVBand="0" w:evenVBand="0" w:oddHBand="0"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84,829 </w:t>
            </w:r>
          </w:p>
        </w:tc>
        <w:tc>
          <w:tcPr>
            <w:tcW w:w="1204" w:type="dxa"/>
            <w:noWrap/>
            <w:hideMark/>
          </w:tcPr>
          <w:p w14:paraId="705C671F" w14:textId="77777777" w:rsidR="001300D1" w:rsidRPr="008B619A" w:rsidRDefault="001300D1" w:rsidP="006400F0">
            <w:pPr>
              <w:widowControl/>
              <w:jc w:val="right"/>
              <w:cnfStyle w:val="000000000000" w:firstRow="0" w:lastRow="0" w:firstColumn="0" w:lastColumn="0" w:oddVBand="0" w:evenVBand="0" w:oddHBand="0"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24,286 </w:t>
            </w:r>
          </w:p>
        </w:tc>
        <w:tc>
          <w:tcPr>
            <w:tcW w:w="1057" w:type="dxa"/>
            <w:noWrap/>
            <w:hideMark/>
          </w:tcPr>
          <w:p w14:paraId="23ED0B85" w14:textId="77777777" w:rsidR="001300D1" w:rsidRPr="008B619A" w:rsidRDefault="001300D1" w:rsidP="006400F0">
            <w:pPr>
              <w:widowControl/>
              <w:jc w:val="right"/>
              <w:cnfStyle w:val="000000000000" w:firstRow="0" w:lastRow="0" w:firstColumn="0" w:lastColumn="0" w:oddVBand="0" w:evenVBand="0" w:oddHBand="0"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8,285 </w:t>
            </w:r>
          </w:p>
        </w:tc>
      </w:tr>
      <w:tr w:rsidR="001300D1" w:rsidRPr="008B619A" w14:paraId="172C00F0" w14:textId="77777777" w:rsidTr="00AC21D6">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851" w:type="dxa"/>
            <w:vMerge/>
            <w:shd w:val="clear" w:color="auto" w:fill="FBD4B4" w:themeFill="accent6" w:themeFillTint="66"/>
            <w:hideMark/>
          </w:tcPr>
          <w:p w14:paraId="3DC2E865" w14:textId="77777777" w:rsidR="001300D1" w:rsidRPr="008B619A" w:rsidRDefault="001300D1" w:rsidP="00326F81">
            <w:pPr>
              <w:widowControl/>
              <w:jc w:val="center"/>
              <w:rPr>
                <w:rFonts w:hAnsi="標楷體" w:cs="新細明體"/>
                <w:color w:val="000000" w:themeColor="text1"/>
                <w:kern w:val="0"/>
                <w:sz w:val="26"/>
                <w:szCs w:val="26"/>
              </w:rPr>
            </w:pPr>
          </w:p>
        </w:tc>
        <w:tc>
          <w:tcPr>
            <w:tcW w:w="2126" w:type="dxa"/>
            <w:noWrap/>
            <w:hideMark/>
          </w:tcPr>
          <w:p w14:paraId="795A426E" w14:textId="77777777" w:rsidR="001300D1" w:rsidRPr="008B619A" w:rsidRDefault="001300D1" w:rsidP="006400F0">
            <w:pPr>
              <w:widowControl/>
              <w:cnfStyle w:val="000000100000" w:firstRow="0" w:lastRow="0" w:firstColumn="0" w:lastColumn="0" w:oddVBand="0" w:evenVBand="0" w:oddHBand="1"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政府部門</w:t>
            </w:r>
          </w:p>
        </w:tc>
        <w:tc>
          <w:tcPr>
            <w:tcW w:w="1424" w:type="dxa"/>
            <w:shd w:val="clear" w:color="auto" w:fill="C2D69B" w:themeFill="accent3" w:themeFillTint="99"/>
            <w:noWrap/>
            <w:hideMark/>
          </w:tcPr>
          <w:p w14:paraId="16B36AB4" w14:textId="77777777" w:rsidR="001300D1" w:rsidRPr="008B619A" w:rsidRDefault="001300D1" w:rsidP="006400F0">
            <w:pPr>
              <w:widowControl/>
              <w:jc w:val="right"/>
              <w:cnfStyle w:val="000000100000" w:firstRow="0" w:lastRow="0" w:firstColumn="0" w:lastColumn="0" w:oddVBand="0" w:evenVBand="0" w:oddHBand="1"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35,438 </w:t>
            </w:r>
          </w:p>
        </w:tc>
        <w:tc>
          <w:tcPr>
            <w:tcW w:w="1057" w:type="dxa"/>
            <w:shd w:val="clear" w:color="auto" w:fill="CCC0D9" w:themeFill="accent4" w:themeFillTint="66"/>
            <w:noWrap/>
            <w:hideMark/>
          </w:tcPr>
          <w:p w14:paraId="7C112EDD" w14:textId="77777777" w:rsidR="001300D1" w:rsidRPr="008B619A" w:rsidRDefault="001300D1" w:rsidP="006400F0">
            <w:pPr>
              <w:widowControl/>
              <w:jc w:val="right"/>
              <w:cnfStyle w:val="000000100000" w:firstRow="0" w:lastRow="0" w:firstColumn="0" w:lastColumn="0" w:oddVBand="0" w:evenVBand="0" w:oddHBand="1"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6,755 </w:t>
            </w:r>
          </w:p>
        </w:tc>
        <w:tc>
          <w:tcPr>
            <w:tcW w:w="1197" w:type="dxa"/>
            <w:noWrap/>
            <w:hideMark/>
          </w:tcPr>
          <w:p w14:paraId="3A3FCC52" w14:textId="77777777" w:rsidR="001300D1" w:rsidRPr="008B619A" w:rsidRDefault="001300D1" w:rsidP="006400F0">
            <w:pPr>
              <w:widowControl/>
              <w:jc w:val="right"/>
              <w:cnfStyle w:val="000000100000" w:firstRow="0" w:lastRow="0" w:firstColumn="0" w:lastColumn="0" w:oddVBand="0" w:evenVBand="0" w:oddHBand="1"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15,131 </w:t>
            </w:r>
          </w:p>
        </w:tc>
        <w:tc>
          <w:tcPr>
            <w:tcW w:w="1197" w:type="dxa"/>
            <w:noWrap/>
            <w:hideMark/>
          </w:tcPr>
          <w:p w14:paraId="3C8E3F54" w14:textId="77777777" w:rsidR="001300D1" w:rsidRPr="008B619A" w:rsidRDefault="001300D1" w:rsidP="006400F0">
            <w:pPr>
              <w:widowControl/>
              <w:jc w:val="right"/>
              <w:cnfStyle w:val="000000100000" w:firstRow="0" w:lastRow="0" w:firstColumn="0" w:lastColumn="0" w:oddVBand="0" w:evenVBand="0" w:oddHBand="1"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8,465 </w:t>
            </w:r>
          </w:p>
        </w:tc>
        <w:tc>
          <w:tcPr>
            <w:tcW w:w="1204" w:type="dxa"/>
            <w:noWrap/>
            <w:hideMark/>
          </w:tcPr>
          <w:p w14:paraId="382055AE" w14:textId="77777777" w:rsidR="001300D1" w:rsidRPr="008B619A" w:rsidRDefault="001300D1" w:rsidP="006400F0">
            <w:pPr>
              <w:widowControl/>
              <w:jc w:val="right"/>
              <w:cnfStyle w:val="000000100000" w:firstRow="0" w:lastRow="0" w:firstColumn="0" w:lastColumn="0" w:oddVBand="0" w:evenVBand="0" w:oddHBand="1"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2,878 </w:t>
            </w:r>
          </w:p>
        </w:tc>
        <w:tc>
          <w:tcPr>
            <w:tcW w:w="1057" w:type="dxa"/>
            <w:noWrap/>
            <w:hideMark/>
          </w:tcPr>
          <w:p w14:paraId="4B83B7B9" w14:textId="77777777" w:rsidR="001300D1" w:rsidRPr="008B619A" w:rsidRDefault="001300D1" w:rsidP="006400F0">
            <w:pPr>
              <w:widowControl/>
              <w:jc w:val="right"/>
              <w:cnfStyle w:val="000000100000" w:firstRow="0" w:lastRow="0" w:firstColumn="0" w:lastColumn="0" w:oddVBand="0" w:evenVBand="0" w:oddHBand="1"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2,209 </w:t>
            </w:r>
          </w:p>
        </w:tc>
      </w:tr>
      <w:tr w:rsidR="001300D1" w:rsidRPr="008B619A" w14:paraId="733E6948" w14:textId="77777777" w:rsidTr="00AC21D6">
        <w:trPr>
          <w:trHeight w:val="330"/>
          <w:jc w:val="center"/>
        </w:trPr>
        <w:tc>
          <w:tcPr>
            <w:cnfStyle w:val="001000000000" w:firstRow="0" w:lastRow="0" w:firstColumn="1" w:lastColumn="0" w:oddVBand="0" w:evenVBand="0" w:oddHBand="0" w:evenHBand="0" w:firstRowFirstColumn="0" w:firstRowLastColumn="0" w:lastRowFirstColumn="0" w:lastRowLastColumn="0"/>
            <w:tcW w:w="851" w:type="dxa"/>
            <w:vMerge/>
            <w:shd w:val="clear" w:color="auto" w:fill="FBD4B4" w:themeFill="accent6" w:themeFillTint="66"/>
            <w:hideMark/>
          </w:tcPr>
          <w:p w14:paraId="0E2CAAAB" w14:textId="77777777" w:rsidR="001300D1" w:rsidRPr="008B619A" w:rsidRDefault="001300D1" w:rsidP="00326F81">
            <w:pPr>
              <w:widowControl/>
              <w:jc w:val="center"/>
              <w:rPr>
                <w:rFonts w:hAnsi="標楷體" w:cs="新細明體"/>
                <w:color w:val="000000" w:themeColor="text1"/>
                <w:kern w:val="0"/>
                <w:sz w:val="26"/>
                <w:szCs w:val="26"/>
              </w:rPr>
            </w:pPr>
          </w:p>
        </w:tc>
        <w:tc>
          <w:tcPr>
            <w:tcW w:w="2126" w:type="dxa"/>
            <w:noWrap/>
            <w:hideMark/>
          </w:tcPr>
          <w:p w14:paraId="629C0D6E" w14:textId="77777777" w:rsidR="001300D1" w:rsidRPr="008B619A" w:rsidRDefault="001300D1" w:rsidP="006400F0">
            <w:pPr>
              <w:widowControl/>
              <w:cnfStyle w:val="000000000000" w:firstRow="0" w:lastRow="0" w:firstColumn="0" w:lastColumn="0" w:oddVBand="0" w:evenVBand="0" w:oddHBand="0"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高等教育部門</w:t>
            </w:r>
          </w:p>
        </w:tc>
        <w:tc>
          <w:tcPr>
            <w:tcW w:w="1424" w:type="dxa"/>
            <w:shd w:val="clear" w:color="auto" w:fill="C2D69B" w:themeFill="accent3" w:themeFillTint="99"/>
            <w:noWrap/>
            <w:hideMark/>
          </w:tcPr>
          <w:p w14:paraId="17BC0E5A" w14:textId="77777777" w:rsidR="001300D1" w:rsidRPr="008B619A" w:rsidRDefault="001300D1" w:rsidP="006400F0">
            <w:pPr>
              <w:widowControl/>
              <w:jc w:val="right"/>
              <w:cnfStyle w:val="000000000000" w:firstRow="0" w:lastRow="0" w:firstColumn="0" w:lastColumn="0" w:oddVBand="0" w:evenVBand="0" w:oddHBand="0"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55,776 </w:t>
            </w:r>
          </w:p>
        </w:tc>
        <w:tc>
          <w:tcPr>
            <w:tcW w:w="1057" w:type="dxa"/>
            <w:shd w:val="clear" w:color="auto" w:fill="CCC0D9" w:themeFill="accent4" w:themeFillTint="66"/>
            <w:noWrap/>
            <w:hideMark/>
          </w:tcPr>
          <w:p w14:paraId="247F60EC" w14:textId="77777777" w:rsidR="001300D1" w:rsidRPr="008B619A" w:rsidRDefault="001300D1" w:rsidP="006400F0">
            <w:pPr>
              <w:widowControl/>
              <w:jc w:val="right"/>
              <w:cnfStyle w:val="000000000000" w:firstRow="0" w:lastRow="0" w:firstColumn="0" w:lastColumn="0" w:oddVBand="0" w:evenVBand="0" w:oddHBand="0"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27,245 </w:t>
            </w:r>
          </w:p>
        </w:tc>
        <w:tc>
          <w:tcPr>
            <w:tcW w:w="1197" w:type="dxa"/>
            <w:noWrap/>
            <w:hideMark/>
          </w:tcPr>
          <w:p w14:paraId="45B6097D" w14:textId="77777777" w:rsidR="001300D1" w:rsidRPr="008B619A" w:rsidRDefault="001300D1" w:rsidP="006400F0">
            <w:pPr>
              <w:widowControl/>
              <w:jc w:val="right"/>
              <w:cnfStyle w:val="000000000000" w:firstRow="0" w:lastRow="0" w:firstColumn="0" w:lastColumn="0" w:oddVBand="0" w:evenVBand="0" w:oddHBand="0"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23,067 </w:t>
            </w:r>
          </w:p>
        </w:tc>
        <w:tc>
          <w:tcPr>
            <w:tcW w:w="1197" w:type="dxa"/>
            <w:noWrap/>
            <w:hideMark/>
          </w:tcPr>
          <w:p w14:paraId="7396CC62" w14:textId="77777777" w:rsidR="001300D1" w:rsidRPr="008B619A" w:rsidRDefault="001300D1" w:rsidP="006400F0">
            <w:pPr>
              <w:widowControl/>
              <w:jc w:val="right"/>
              <w:cnfStyle w:val="000000000000" w:firstRow="0" w:lastRow="0" w:firstColumn="0" w:lastColumn="0" w:oddVBand="0" w:evenVBand="0" w:oddHBand="0"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4,785 </w:t>
            </w:r>
          </w:p>
        </w:tc>
        <w:tc>
          <w:tcPr>
            <w:tcW w:w="1204" w:type="dxa"/>
            <w:noWrap/>
            <w:hideMark/>
          </w:tcPr>
          <w:p w14:paraId="7B2BD2D8" w14:textId="77777777" w:rsidR="001300D1" w:rsidRPr="008B619A" w:rsidRDefault="001300D1" w:rsidP="006400F0">
            <w:pPr>
              <w:widowControl/>
              <w:jc w:val="right"/>
              <w:cnfStyle w:val="000000000000" w:firstRow="0" w:lastRow="0" w:firstColumn="0" w:lastColumn="0" w:oddVBand="0" w:evenVBand="0" w:oddHBand="0"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551 </w:t>
            </w:r>
          </w:p>
        </w:tc>
        <w:tc>
          <w:tcPr>
            <w:tcW w:w="1057" w:type="dxa"/>
            <w:noWrap/>
            <w:hideMark/>
          </w:tcPr>
          <w:p w14:paraId="5B44A36D" w14:textId="77777777" w:rsidR="001300D1" w:rsidRPr="008B619A" w:rsidRDefault="001300D1" w:rsidP="006400F0">
            <w:pPr>
              <w:widowControl/>
              <w:jc w:val="right"/>
              <w:cnfStyle w:val="000000000000" w:firstRow="0" w:lastRow="0" w:firstColumn="0" w:lastColumn="0" w:oddVBand="0" w:evenVBand="0" w:oddHBand="0"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128 </w:t>
            </w:r>
          </w:p>
        </w:tc>
      </w:tr>
      <w:tr w:rsidR="001300D1" w:rsidRPr="008B619A" w14:paraId="725D61AD" w14:textId="77777777" w:rsidTr="00AC21D6">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851" w:type="dxa"/>
            <w:vMerge/>
            <w:shd w:val="clear" w:color="auto" w:fill="FBD4B4" w:themeFill="accent6" w:themeFillTint="66"/>
            <w:hideMark/>
          </w:tcPr>
          <w:p w14:paraId="3C59E372" w14:textId="77777777" w:rsidR="001300D1" w:rsidRPr="008B619A" w:rsidRDefault="001300D1" w:rsidP="00326F81">
            <w:pPr>
              <w:widowControl/>
              <w:jc w:val="center"/>
              <w:rPr>
                <w:rFonts w:hAnsi="標楷體" w:cs="新細明體"/>
                <w:color w:val="000000" w:themeColor="text1"/>
                <w:kern w:val="0"/>
                <w:sz w:val="26"/>
                <w:szCs w:val="26"/>
              </w:rPr>
            </w:pPr>
          </w:p>
        </w:tc>
        <w:tc>
          <w:tcPr>
            <w:tcW w:w="2126" w:type="dxa"/>
            <w:noWrap/>
            <w:hideMark/>
          </w:tcPr>
          <w:p w14:paraId="5F7762A8" w14:textId="77777777" w:rsidR="001300D1" w:rsidRPr="008B619A" w:rsidRDefault="001300D1" w:rsidP="006400F0">
            <w:pPr>
              <w:widowControl/>
              <w:cnfStyle w:val="000000100000" w:firstRow="0" w:lastRow="0" w:firstColumn="0" w:lastColumn="0" w:oddVBand="0" w:evenVBand="0" w:oddHBand="1"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私人非營利部門</w:t>
            </w:r>
          </w:p>
        </w:tc>
        <w:tc>
          <w:tcPr>
            <w:tcW w:w="1424" w:type="dxa"/>
            <w:shd w:val="clear" w:color="auto" w:fill="C2D69B" w:themeFill="accent3" w:themeFillTint="99"/>
            <w:noWrap/>
            <w:hideMark/>
          </w:tcPr>
          <w:p w14:paraId="0210A37F" w14:textId="77777777" w:rsidR="001300D1" w:rsidRPr="008B619A" w:rsidRDefault="001300D1" w:rsidP="006400F0">
            <w:pPr>
              <w:widowControl/>
              <w:jc w:val="right"/>
              <w:cnfStyle w:val="000000100000" w:firstRow="0" w:lastRow="0" w:firstColumn="0" w:lastColumn="0" w:oddVBand="0" w:evenVBand="0" w:oddHBand="1"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1,497 </w:t>
            </w:r>
          </w:p>
        </w:tc>
        <w:tc>
          <w:tcPr>
            <w:tcW w:w="1057" w:type="dxa"/>
            <w:shd w:val="clear" w:color="auto" w:fill="CCC0D9" w:themeFill="accent4" w:themeFillTint="66"/>
            <w:noWrap/>
            <w:hideMark/>
          </w:tcPr>
          <w:p w14:paraId="535CF828" w14:textId="77777777" w:rsidR="001300D1" w:rsidRPr="008B619A" w:rsidRDefault="001300D1" w:rsidP="006400F0">
            <w:pPr>
              <w:widowControl/>
              <w:jc w:val="right"/>
              <w:cnfStyle w:val="000000100000" w:firstRow="0" w:lastRow="0" w:firstColumn="0" w:lastColumn="0" w:oddVBand="0" w:evenVBand="0" w:oddHBand="1"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461 </w:t>
            </w:r>
          </w:p>
        </w:tc>
        <w:tc>
          <w:tcPr>
            <w:tcW w:w="1197" w:type="dxa"/>
            <w:noWrap/>
            <w:hideMark/>
          </w:tcPr>
          <w:p w14:paraId="30A8F924" w14:textId="77777777" w:rsidR="001300D1" w:rsidRPr="008B619A" w:rsidRDefault="001300D1" w:rsidP="006400F0">
            <w:pPr>
              <w:widowControl/>
              <w:jc w:val="right"/>
              <w:cnfStyle w:val="000000100000" w:firstRow="0" w:lastRow="0" w:firstColumn="0" w:lastColumn="0" w:oddVBand="0" w:evenVBand="0" w:oddHBand="1"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491 </w:t>
            </w:r>
          </w:p>
        </w:tc>
        <w:tc>
          <w:tcPr>
            <w:tcW w:w="1197" w:type="dxa"/>
            <w:noWrap/>
            <w:hideMark/>
          </w:tcPr>
          <w:p w14:paraId="5D6AA60E" w14:textId="77777777" w:rsidR="001300D1" w:rsidRPr="008B619A" w:rsidRDefault="001300D1" w:rsidP="006400F0">
            <w:pPr>
              <w:widowControl/>
              <w:jc w:val="right"/>
              <w:cnfStyle w:val="000000100000" w:firstRow="0" w:lastRow="0" w:firstColumn="0" w:lastColumn="0" w:oddVBand="0" w:evenVBand="0" w:oddHBand="1"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382 </w:t>
            </w:r>
          </w:p>
        </w:tc>
        <w:tc>
          <w:tcPr>
            <w:tcW w:w="1204" w:type="dxa"/>
            <w:noWrap/>
            <w:hideMark/>
          </w:tcPr>
          <w:p w14:paraId="5F7147F7" w14:textId="77777777" w:rsidR="001300D1" w:rsidRPr="008B619A" w:rsidRDefault="001300D1" w:rsidP="006400F0">
            <w:pPr>
              <w:widowControl/>
              <w:jc w:val="right"/>
              <w:cnfStyle w:val="000000100000" w:firstRow="0" w:lastRow="0" w:firstColumn="0" w:lastColumn="0" w:oddVBand="0" w:evenVBand="0" w:oddHBand="1"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79 </w:t>
            </w:r>
          </w:p>
        </w:tc>
        <w:tc>
          <w:tcPr>
            <w:tcW w:w="1057" w:type="dxa"/>
            <w:noWrap/>
            <w:hideMark/>
          </w:tcPr>
          <w:p w14:paraId="17E2C99E" w14:textId="77777777" w:rsidR="001300D1" w:rsidRPr="008B619A" w:rsidRDefault="001300D1" w:rsidP="006400F0">
            <w:pPr>
              <w:widowControl/>
              <w:jc w:val="right"/>
              <w:cnfStyle w:val="000000100000" w:firstRow="0" w:lastRow="0" w:firstColumn="0" w:lastColumn="0" w:oddVBand="0" w:evenVBand="0" w:oddHBand="1"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84 </w:t>
            </w:r>
          </w:p>
        </w:tc>
      </w:tr>
      <w:tr w:rsidR="001300D1" w:rsidRPr="008B619A" w14:paraId="60E0B246" w14:textId="77777777" w:rsidTr="00AC21D6">
        <w:trPr>
          <w:trHeight w:val="330"/>
          <w:jc w:val="center"/>
        </w:trPr>
        <w:tc>
          <w:tcPr>
            <w:cnfStyle w:val="001000000000" w:firstRow="0" w:lastRow="0" w:firstColumn="1" w:lastColumn="0" w:oddVBand="0" w:evenVBand="0" w:oddHBand="0" w:evenHBand="0" w:firstRowFirstColumn="0" w:firstRowLastColumn="0" w:lastRowFirstColumn="0" w:lastRowLastColumn="0"/>
            <w:tcW w:w="851" w:type="dxa"/>
            <w:vMerge w:val="restart"/>
            <w:shd w:val="clear" w:color="auto" w:fill="FBD4B4" w:themeFill="accent6" w:themeFillTint="66"/>
            <w:noWrap/>
            <w:hideMark/>
          </w:tcPr>
          <w:p w14:paraId="03791B4B" w14:textId="77777777" w:rsidR="001300D1" w:rsidRPr="008B619A" w:rsidRDefault="001300D1" w:rsidP="00326F81">
            <w:pPr>
              <w:widowControl/>
              <w:jc w:val="center"/>
              <w:rPr>
                <w:rFonts w:hAnsi="標楷體" w:cs="新細明體"/>
                <w:color w:val="000000" w:themeColor="text1"/>
                <w:kern w:val="0"/>
                <w:sz w:val="26"/>
                <w:szCs w:val="26"/>
              </w:rPr>
            </w:pPr>
            <w:r w:rsidRPr="008B619A">
              <w:rPr>
                <w:rFonts w:hAnsi="標楷體" w:cs="新細明體"/>
                <w:color w:val="000000" w:themeColor="text1"/>
                <w:kern w:val="0"/>
                <w:sz w:val="26"/>
                <w:szCs w:val="26"/>
              </w:rPr>
              <w:t>105</w:t>
            </w:r>
          </w:p>
        </w:tc>
        <w:tc>
          <w:tcPr>
            <w:tcW w:w="2126" w:type="dxa"/>
            <w:noWrap/>
            <w:hideMark/>
          </w:tcPr>
          <w:p w14:paraId="5818C005" w14:textId="77777777" w:rsidR="001300D1" w:rsidRPr="008B619A" w:rsidRDefault="001300D1" w:rsidP="006400F0">
            <w:pPr>
              <w:widowControl/>
              <w:cnfStyle w:val="000000000000" w:firstRow="0" w:lastRow="0" w:firstColumn="0" w:lastColumn="0" w:oddVBand="0" w:evenVBand="0" w:oddHBand="0"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全國</w:t>
            </w:r>
          </w:p>
        </w:tc>
        <w:tc>
          <w:tcPr>
            <w:tcW w:w="1424" w:type="dxa"/>
            <w:shd w:val="clear" w:color="auto" w:fill="C2D69B" w:themeFill="accent3" w:themeFillTint="99"/>
            <w:noWrap/>
            <w:hideMark/>
          </w:tcPr>
          <w:p w14:paraId="488B6D5D" w14:textId="77777777" w:rsidR="001300D1" w:rsidRPr="008B619A" w:rsidRDefault="001300D1" w:rsidP="006400F0">
            <w:pPr>
              <w:widowControl/>
              <w:jc w:val="right"/>
              <w:cnfStyle w:val="000000000000" w:firstRow="0" w:lastRow="0" w:firstColumn="0" w:lastColumn="0" w:oddVBand="0" w:evenVBand="0" w:oddHBand="0"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316,467 </w:t>
            </w:r>
          </w:p>
        </w:tc>
        <w:tc>
          <w:tcPr>
            <w:tcW w:w="1057" w:type="dxa"/>
            <w:shd w:val="clear" w:color="auto" w:fill="CCC0D9" w:themeFill="accent4" w:themeFillTint="66"/>
            <w:noWrap/>
            <w:hideMark/>
          </w:tcPr>
          <w:p w14:paraId="27EF51B1" w14:textId="77777777" w:rsidR="001300D1" w:rsidRPr="008B619A" w:rsidRDefault="001300D1" w:rsidP="006400F0">
            <w:pPr>
              <w:widowControl/>
              <w:jc w:val="right"/>
              <w:cnfStyle w:val="000000000000" w:firstRow="0" w:lastRow="0" w:firstColumn="0" w:lastColumn="0" w:oddVBand="0" w:evenVBand="0" w:oddHBand="0"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42,455 </w:t>
            </w:r>
          </w:p>
        </w:tc>
        <w:tc>
          <w:tcPr>
            <w:tcW w:w="1197" w:type="dxa"/>
            <w:noWrap/>
            <w:hideMark/>
          </w:tcPr>
          <w:p w14:paraId="231DC307" w14:textId="77777777" w:rsidR="001300D1" w:rsidRPr="008B619A" w:rsidRDefault="001300D1" w:rsidP="006400F0">
            <w:pPr>
              <w:widowControl/>
              <w:jc w:val="right"/>
              <w:cnfStyle w:val="000000000000" w:firstRow="0" w:lastRow="0" w:firstColumn="0" w:lastColumn="0" w:oddVBand="0" w:evenVBand="0" w:oddHBand="0"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138,112 </w:t>
            </w:r>
          </w:p>
        </w:tc>
        <w:tc>
          <w:tcPr>
            <w:tcW w:w="1197" w:type="dxa"/>
            <w:noWrap/>
            <w:hideMark/>
          </w:tcPr>
          <w:p w14:paraId="47CFA135" w14:textId="77777777" w:rsidR="001300D1" w:rsidRPr="008B619A" w:rsidRDefault="001300D1" w:rsidP="006400F0">
            <w:pPr>
              <w:widowControl/>
              <w:jc w:val="right"/>
              <w:cnfStyle w:val="000000000000" w:firstRow="0" w:lastRow="0" w:firstColumn="0" w:lastColumn="0" w:oddVBand="0" w:evenVBand="0" w:oddHBand="0"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99,273 </w:t>
            </w:r>
          </w:p>
        </w:tc>
        <w:tc>
          <w:tcPr>
            <w:tcW w:w="1204" w:type="dxa"/>
            <w:noWrap/>
            <w:hideMark/>
          </w:tcPr>
          <w:p w14:paraId="03685AE7" w14:textId="77777777" w:rsidR="001300D1" w:rsidRPr="008B619A" w:rsidRDefault="001300D1" w:rsidP="006400F0">
            <w:pPr>
              <w:widowControl/>
              <w:jc w:val="right"/>
              <w:cnfStyle w:val="000000000000" w:firstRow="0" w:lastRow="0" w:firstColumn="0" w:lastColumn="0" w:oddVBand="0" w:evenVBand="0" w:oddHBand="0"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26,679 </w:t>
            </w:r>
          </w:p>
        </w:tc>
        <w:tc>
          <w:tcPr>
            <w:tcW w:w="1057" w:type="dxa"/>
            <w:noWrap/>
            <w:hideMark/>
          </w:tcPr>
          <w:p w14:paraId="557411EE" w14:textId="77777777" w:rsidR="001300D1" w:rsidRPr="008B619A" w:rsidRDefault="001300D1" w:rsidP="006400F0">
            <w:pPr>
              <w:widowControl/>
              <w:jc w:val="right"/>
              <w:cnfStyle w:val="000000000000" w:firstRow="0" w:lastRow="0" w:firstColumn="0" w:lastColumn="0" w:oddVBand="0" w:evenVBand="0" w:oddHBand="0"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9,947 </w:t>
            </w:r>
          </w:p>
        </w:tc>
      </w:tr>
      <w:tr w:rsidR="001300D1" w:rsidRPr="008B619A" w14:paraId="77A51178" w14:textId="77777777" w:rsidTr="00AC21D6">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851" w:type="dxa"/>
            <w:vMerge/>
            <w:shd w:val="clear" w:color="auto" w:fill="FBD4B4" w:themeFill="accent6" w:themeFillTint="66"/>
            <w:hideMark/>
          </w:tcPr>
          <w:p w14:paraId="272406F7" w14:textId="77777777" w:rsidR="001300D1" w:rsidRPr="008B619A" w:rsidRDefault="001300D1" w:rsidP="00326F81">
            <w:pPr>
              <w:widowControl/>
              <w:jc w:val="center"/>
              <w:rPr>
                <w:rFonts w:hAnsi="標楷體" w:cs="新細明體"/>
                <w:color w:val="000000" w:themeColor="text1"/>
                <w:kern w:val="0"/>
                <w:sz w:val="26"/>
                <w:szCs w:val="26"/>
              </w:rPr>
            </w:pPr>
          </w:p>
        </w:tc>
        <w:tc>
          <w:tcPr>
            <w:tcW w:w="2126" w:type="dxa"/>
            <w:noWrap/>
            <w:hideMark/>
          </w:tcPr>
          <w:p w14:paraId="2C2BFBE9" w14:textId="77777777" w:rsidR="001300D1" w:rsidRPr="008B619A" w:rsidRDefault="001300D1" w:rsidP="006400F0">
            <w:pPr>
              <w:widowControl/>
              <w:cnfStyle w:val="000000100000" w:firstRow="0" w:lastRow="0" w:firstColumn="0" w:lastColumn="0" w:oddVBand="0" w:evenVBand="0" w:oddHBand="1"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企業部門</w:t>
            </w:r>
          </w:p>
        </w:tc>
        <w:tc>
          <w:tcPr>
            <w:tcW w:w="1424" w:type="dxa"/>
            <w:shd w:val="clear" w:color="auto" w:fill="C2D69B" w:themeFill="accent3" w:themeFillTint="99"/>
            <w:noWrap/>
            <w:hideMark/>
          </w:tcPr>
          <w:p w14:paraId="2E6BECBE" w14:textId="77777777" w:rsidR="001300D1" w:rsidRPr="008B619A" w:rsidRDefault="001300D1" w:rsidP="006400F0">
            <w:pPr>
              <w:widowControl/>
              <w:jc w:val="right"/>
              <w:cnfStyle w:val="000000100000" w:firstRow="0" w:lastRow="0" w:firstColumn="0" w:lastColumn="0" w:oddVBand="0" w:evenVBand="0" w:oddHBand="1"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223,856 </w:t>
            </w:r>
          </w:p>
        </w:tc>
        <w:tc>
          <w:tcPr>
            <w:tcW w:w="1057" w:type="dxa"/>
            <w:shd w:val="clear" w:color="auto" w:fill="CCC0D9" w:themeFill="accent4" w:themeFillTint="66"/>
            <w:noWrap/>
            <w:hideMark/>
          </w:tcPr>
          <w:p w14:paraId="7D65F95B" w14:textId="77777777" w:rsidR="001300D1" w:rsidRPr="008B619A" w:rsidRDefault="001300D1" w:rsidP="006400F0">
            <w:pPr>
              <w:widowControl/>
              <w:jc w:val="right"/>
              <w:cnfStyle w:val="000000100000" w:firstRow="0" w:lastRow="0" w:firstColumn="0" w:lastColumn="0" w:oddVBand="0" w:evenVBand="0" w:oddHBand="1"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7,929 </w:t>
            </w:r>
          </w:p>
        </w:tc>
        <w:tc>
          <w:tcPr>
            <w:tcW w:w="1197" w:type="dxa"/>
            <w:noWrap/>
            <w:hideMark/>
          </w:tcPr>
          <w:p w14:paraId="4C1C0B13" w14:textId="77777777" w:rsidR="001300D1" w:rsidRPr="008B619A" w:rsidRDefault="001300D1" w:rsidP="006400F0">
            <w:pPr>
              <w:widowControl/>
              <w:jc w:val="right"/>
              <w:cnfStyle w:val="000000100000" w:firstRow="0" w:lastRow="0" w:firstColumn="0" w:lastColumn="0" w:oddVBand="0" w:evenVBand="0" w:oddHBand="1"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99,294 </w:t>
            </w:r>
          </w:p>
        </w:tc>
        <w:tc>
          <w:tcPr>
            <w:tcW w:w="1197" w:type="dxa"/>
            <w:noWrap/>
            <w:hideMark/>
          </w:tcPr>
          <w:p w14:paraId="6AE1AAD8" w14:textId="77777777" w:rsidR="001300D1" w:rsidRPr="008B619A" w:rsidRDefault="001300D1" w:rsidP="006400F0">
            <w:pPr>
              <w:widowControl/>
              <w:jc w:val="right"/>
              <w:cnfStyle w:val="000000100000" w:firstRow="0" w:lastRow="0" w:firstColumn="0" w:lastColumn="0" w:oddVBand="0" w:evenVBand="0" w:oddHBand="1"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85,606 </w:t>
            </w:r>
          </w:p>
        </w:tc>
        <w:tc>
          <w:tcPr>
            <w:tcW w:w="1204" w:type="dxa"/>
            <w:noWrap/>
            <w:hideMark/>
          </w:tcPr>
          <w:p w14:paraId="6E642397" w14:textId="77777777" w:rsidR="001300D1" w:rsidRPr="008B619A" w:rsidRDefault="001300D1" w:rsidP="006400F0">
            <w:pPr>
              <w:widowControl/>
              <w:jc w:val="right"/>
              <w:cnfStyle w:val="000000100000" w:firstRow="0" w:lastRow="0" w:firstColumn="0" w:lastColumn="0" w:oddVBand="0" w:evenVBand="0" w:oddHBand="1"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23,343 </w:t>
            </w:r>
          </w:p>
        </w:tc>
        <w:tc>
          <w:tcPr>
            <w:tcW w:w="1057" w:type="dxa"/>
            <w:noWrap/>
            <w:hideMark/>
          </w:tcPr>
          <w:p w14:paraId="12B65344" w14:textId="77777777" w:rsidR="001300D1" w:rsidRPr="008B619A" w:rsidRDefault="001300D1" w:rsidP="006400F0">
            <w:pPr>
              <w:widowControl/>
              <w:jc w:val="right"/>
              <w:cnfStyle w:val="000000100000" w:firstRow="0" w:lastRow="0" w:firstColumn="0" w:lastColumn="0" w:oddVBand="0" w:evenVBand="0" w:oddHBand="1"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7,683 </w:t>
            </w:r>
          </w:p>
        </w:tc>
      </w:tr>
      <w:tr w:rsidR="001300D1" w:rsidRPr="008B619A" w14:paraId="0E108BEC" w14:textId="77777777" w:rsidTr="00AC21D6">
        <w:trPr>
          <w:trHeight w:val="330"/>
          <w:jc w:val="center"/>
        </w:trPr>
        <w:tc>
          <w:tcPr>
            <w:cnfStyle w:val="001000000000" w:firstRow="0" w:lastRow="0" w:firstColumn="1" w:lastColumn="0" w:oddVBand="0" w:evenVBand="0" w:oddHBand="0" w:evenHBand="0" w:firstRowFirstColumn="0" w:firstRowLastColumn="0" w:lastRowFirstColumn="0" w:lastRowLastColumn="0"/>
            <w:tcW w:w="851" w:type="dxa"/>
            <w:vMerge/>
            <w:shd w:val="clear" w:color="auto" w:fill="FBD4B4" w:themeFill="accent6" w:themeFillTint="66"/>
            <w:hideMark/>
          </w:tcPr>
          <w:p w14:paraId="129C2A86" w14:textId="77777777" w:rsidR="001300D1" w:rsidRPr="008B619A" w:rsidRDefault="001300D1" w:rsidP="00326F81">
            <w:pPr>
              <w:widowControl/>
              <w:jc w:val="center"/>
              <w:rPr>
                <w:rFonts w:hAnsi="標楷體" w:cs="新細明體"/>
                <w:color w:val="000000" w:themeColor="text1"/>
                <w:kern w:val="0"/>
                <w:sz w:val="26"/>
                <w:szCs w:val="26"/>
              </w:rPr>
            </w:pPr>
          </w:p>
        </w:tc>
        <w:tc>
          <w:tcPr>
            <w:tcW w:w="2126" w:type="dxa"/>
            <w:noWrap/>
            <w:hideMark/>
          </w:tcPr>
          <w:p w14:paraId="0C1808F6" w14:textId="77777777" w:rsidR="001300D1" w:rsidRPr="008B619A" w:rsidRDefault="001300D1" w:rsidP="006400F0">
            <w:pPr>
              <w:widowControl/>
              <w:cnfStyle w:val="000000000000" w:firstRow="0" w:lastRow="0" w:firstColumn="0" w:lastColumn="0" w:oddVBand="0" w:evenVBand="0" w:oddHBand="0"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政府部門</w:t>
            </w:r>
          </w:p>
        </w:tc>
        <w:tc>
          <w:tcPr>
            <w:tcW w:w="1424" w:type="dxa"/>
            <w:shd w:val="clear" w:color="auto" w:fill="C2D69B" w:themeFill="accent3" w:themeFillTint="99"/>
            <w:noWrap/>
            <w:hideMark/>
          </w:tcPr>
          <w:p w14:paraId="111C7447" w14:textId="77777777" w:rsidR="001300D1" w:rsidRPr="008B619A" w:rsidRDefault="001300D1" w:rsidP="006400F0">
            <w:pPr>
              <w:widowControl/>
              <w:jc w:val="right"/>
              <w:cnfStyle w:val="000000000000" w:firstRow="0" w:lastRow="0" w:firstColumn="0" w:lastColumn="0" w:oddVBand="0" w:evenVBand="0" w:oddHBand="0"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36,429 </w:t>
            </w:r>
          </w:p>
        </w:tc>
        <w:tc>
          <w:tcPr>
            <w:tcW w:w="1057" w:type="dxa"/>
            <w:shd w:val="clear" w:color="auto" w:fill="CCC0D9" w:themeFill="accent4" w:themeFillTint="66"/>
            <w:noWrap/>
            <w:hideMark/>
          </w:tcPr>
          <w:p w14:paraId="0BA57008" w14:textId="77777777" w:rsidR="001300D1" w:rsidRPr="008B619A" w:rsidRDefault="001300D1" w:rsidP="006400F0">
            <w:pPr>
              <w:widowControl/>
              <w:jc w:val="right"/>
              <w:cnfStyle w:val="000000000000" w:firstRow="0" w:lastRow="0" w:firstColumn="0" w:lastColumn="0" w:oddVBand="0" w:evenVBand="0" w:oddHBand="0"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7,009 </w:t>
            </w:r>
          </w:p>
        </w:tc>
        <w:tc>
          <w:tcPr>
            <w:tcW w:w="1197" w:type="dxa"/>
            <w:noWrap/>
            <w:hideMark/>
          </w:tcPr>
          <w:p w14:paraId="64C7AB23" w14:textId="77777777" w:rsidR="001300D1" w:rsidRPr="008B619A" w:rsidRDefault="001300D1" w:rsidP="006400F0">
            <w:pPr>
              <w:widowControl/>
              <w:jc w:val="right"/>
              <w:cnfStyle w:val="000000000000" w:firstRow="0" w:lastRow="0" w:firstColumn="0" w:lastColumn="0" w:oddVBand="0" w:evenVBand="0" w:oddHBand="0"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16,041 </w:t>
            </w:r>
          </w:p>
        </w:tc>
        <w:tc>
          <w:tcPr>
            <w:tcW w:w="1197" w:type="dxa"/>
            <w:noWrap/>
            <w:hideMark/>
          </w:tcPr>
          <w:p w14:paraId="5AFD3B73" w14:textId="77777777" w:rsidR="001300D1" w:rsidRPr="008B619A" w:rsidRDefault="001300D1" w:rsidP="006400F0">
            <w:pPr>
              <w:widowControl/>
              <w:jc w:val="right"/>
              <w:cnfStyle w:val="000000000000" w:firstRow="0" w:lastRow="0" w:firstColumn="0" w:lastColumn="0" w:oddVBand="0" w:evenVBand="0" w:oddHBand="0"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8,537 </w:t>
            </w:r>
          </w:p>
        </w:tc>
        <w:tc>
          <w:tcPr>
            <w:tcW w:w="1204" w:type="dxa"/>
            <w:noWrap/>
            <w:hideMark/>
          </w:tcPr>
          <w:p w14:paraId="3FDE8D88" w14:textId="77777777" w:rsidR="001300D1" w:rsidRPr="008B619A" w:rsidRDefault="001300D1" w:rsidP="006400F0">
            <w:pPr>
              <w:widowControl/>
              <w:jc w:val="right"/>
              <w:cnfStyle w:val="000000000000" w:firstRow="0" w:lastRow="0" w:firstColumn="0" w:lastColumn="0" w:oddVBand="0" w:evenVBand="0" w:oddHBand="0"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2,778 </w:t>
            </w:r>
          </w:p>
        </w:tc>
        <w:tc>
          <w:tcPr>
            <w:tcW w:w="1057" w:type="dxa"/>
            <w:noWrap/>
            <w:hideMark/>
          </w:tcPr>
          <w:p w14:paraId="57E883AE" w14:textId="77777777" w:rsidR="001300D1" w:rsidRPr="008B619A" w:rsidRDefault="001300D1" w:rsidP="006400F0">
            <w:pPr>
              <w:widowControl/>
              <w:jc w:val="right"/>
              <w:cnfStyle w:val="000000000000" w:firstRow="0" w:lastRow="0" w:firstColumn="0" w:lastColumn="0" w:oddVBand="0" w:evenVBand="0" w:oddHBand="0"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2,064 </w:t>
            </w:r>
          </w:p>
        </w:tc>
      </w:tr>
      <w:tr w:rsidR="001300D1" w:rsidRPr="008B619A" w14:paraId="2B0C64F1" w14:textId="77777777" w:rsidTr="00AC21D6">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851" w:type="dxa"/>
            <w:vMerge/>
            <w:shd w:val="clear" w:color="auto" w:fill="FBD4B4" w:themeFill="accent6" w:themeFillTint="66"/>
            <w:hideMark/>
          </w:tcPr>
          <w:p w14:paraId="2BD48AD1" w14:textId="77777777" w:rsidR="001300D1" w:rsidRPr="008B619A" w:rsidRDefault="001300D1" w:rsidP="00326F81">
            <w:pPr>
              <w:widowControl/>
              <w:jc w:val="center"/>
              <w:rPr>
                <w:rFonts w:hAnsi="標楷體" w:cs="新細明體"/>
                <w:color w:val="000000" w:themeColor="text1"/>
                <w:kern w:val="0"/>
                <w:sz w:val="26"/>
                <w:szCs w:val="26"/>
              </w:rPr>
            </w:pPr>
          </w:p>
        </w:tc>
        <w:tc>
          <w:tcPr>
            <w:tcW w:w="2126" w:type="dxa"/>
            <w:noWrap/>
            <w:hideMark/>
          </w:tcPr>
          <w:p w14:paraId="13DE429A" w14:textId="77777777" w:rsidR="001300D1" w:rsidRPr="008B619A" w:rsidRDefault="001300D1" w:rsidP="006400F0">
            <w:pPr>
              <w:widowControl/>
              <w:cnfStyle w:val="000000100000" w:firstRow="0" w:lastRow="0" w:firstColumn="0" w:lastColumn="0" w:oddVBand="0" w:evenVBand="0" w:oddHBand="1"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高等教育部門</w:t>
            </w:r>
          </w:p>
        </w:tc>
        <w:tc>
          <w:tcPr>
            <w:tcW w:w="1424" w:type="dxa"/>
            <w:shd w:val="clear" w:color="auto" w:fill="C2D69B" w:themeFill="accent3" w:themeFillTint="99"/>
            <w:noWrap/>
            <w:hideMark/>
          </w:tcPr>
          <w:p w14:paraId="50ADDD25" w14:textId="77777777" w:rsidR="001300D1" w:rsidRPr="008B619A" w:rsidRDefault="001300D1" w:rsidP="006400F0">
            <w:pPr>
              <w:widowControl/>
              <w:jc w:val="right"/>
              <w:cnfStyle w:val="000000100000" w:firstRow="0" w:lastRow="0" w:firstColumn="0" w:lastColumn="0" w:oddVBand="0" w:evenVBand="0" w:oddHBand="1"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54,791 </w:t>
            </w:r>
          </w:p>
        </w:tc>
        <w:tc>
          <w:tcPr>
            <w:tcW w:w="1057" w:type="dxa"/>
            <w:shd w:val="clear" w:color="auto" w:fill="CCC0D9" w:themeFill="accent4" w:themeFillTint="66"/>
            <w:noWrap/>
            <w:hideMark/>
          </w:tcPr>
          <w:p w14:paraId="3909AE0E" w14:textId="77777777" w:rsidR="001300D1" w:rsidRPr="008B619A" w:rsidRDefault="001300D1" w:rsidP="006400F0">
            <w:pPr>
              <w:widowControl/>
              <w:jc w:val="right"/>
              <w:cnfStyle w:val="000000100000" w:firstRow="0" w:lastRow="0" w:firstColumn="0" w:lastColumn="0" w:oddVBand="0" w:evenVBand="0" w:oddHBand="1"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27,109 </w:t>
            </w:r>
          </w:p>
        </w:tc>
        <w:tc>
          <w:tcPr>
            <w:tcW w:w="1197" w:type="dxa"/>
            <w:noWrap/>
            <w:hideMark/>
          </w:tcPr>
          <w:p w14:paraId="43673237" w14:textId="77777777" w:rsidR="001300D1" w:rsidRPr="008B619A" w:rsidRDefault="001300D1" w:rsidP="006400F0">
            <w:pPr>
              <w:widowControl/>
              <w:jc w:val="right"/>
              <w:cnfStyle w:val="000000100000" w:firstRow="0" w:lastRow="0" w:firstColumn="0" w:lastColumn="0" w:oddVBand="0" w:evenVBand="0" w:oddHBand="1"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22,247 </w:t>
            </w:r>
          </w:p>
        </w:tc>
        <w:tc>
          <w:tcPr>
            <w:tcW w:w="1197" w:type="dxa"/>
            <w:noWrap/>
            <w:hideMark/>
          </w:tcPr>
          <w:p w14:paraId="68FE4DBB" w14:textId="77777777" w:rsidR="001300D1" w:rsidRPr="008B619A" w:rsidRDefault="001300D1" w:rsidP="006400F0">
            <w:pPr>
              <w:widowControl/>
              <w:jc w:val="right"/>
              <w:cnfStyle w:val="000000100000" w:firstRow="0" w:lastRow="0" w:firstColumn="0" w:lastColumn="0" w:oddVBand="0" w:evenVBand="0" w:oddHBand="1"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4,808 </w:t>
            </w:r>
          </w:p>
        </w:tc>
        <w:tc>
          <w:tcPr>
            <w:tcW w:w="1204" w:type="dxa"/>
            <w:noWrap/>
            <w:hideMark/>
          </w:tcPr>
          <w:p w14:paraId="7EF8F265" w14:textId="77777777" w:rsidR="001300D1" w:rsidRPr="008B619A" w:rsidRDefault="001300D1" w:rsidP="006400F0">
            <w:pPr>
              <w:widowControl/>
              <w:jc w:val="right"/>
              <w:cnfStyle w:val="000000100000" w:firstRow="0" w:lastRow="0" w:firstColumn="0" w:lastColumn="0" w:oddVBand="0" w:evenVBand="0" w:oddHBand="1"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492 </w:t>
            </w:r>
          </w:p>
        </w:tc>
        <w:tc>
          <w:tcPr>
            <w:tcW w:w="1057" w:type="dxa"/>
            <w:noWrap/>
            <w:hideMark/>
          </w:tcPr>
          <w:p w14:paraId="2F780960" w14:textId="77777777" w:rsidR="001300D1" w:rsidRPr="008B619A" w:rsidRDefault="001300D1" w:rsidP="006400F0">
            <w:pPr>
              <w:widowControl/>
              <w:jc w:val="right"/>
              <w:cnfStyle w:val="000000100000" w:firstRow="0" w:lastRow="0" w:firstColumn="0" w:lastColumn="0" w:oddVBand="0" w:evenVBand="0" w:oddHBand="1"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135 </w:t>
            </w:r>
          </w:p>
        </w:tc>
      </w:tr>
      <w:tr w:rsidR="001300D1" w:rsidRPr="008B619A" w14:paraId="54D6479F" w14:textId="77777777" w:rsidTr="00AC21D6">
        <w:trPr>
          <w:trHeight w:val="330"/>
          <w:jc w:val="center"/>
        </w:trPr>
        <w:tc>
          <w:tcPr>
            <w:cnfStyle w:val="001000000000" w:firstRow="0" w:lastRow="0" w:firstColumn="1" w:lastColumn="0" w:oddVBand="0" w:evenVBand="0" w:oddHBand="0" w:evenHBand="0" w:firstRowFirstColumn="0" w:firstRowLastColumn="0" w:lastRowFirstColumn="0" w:lastRowLastColumn="0"/>
            <w:tcW w:w="851" w:type="dxa"/>
            <w:vMerge/>
            <w:shd w:val="clear" w:color="auto" w:fill="FBD4B4" w:themeFill="accent6" w:themeFillTint="66"/>
            <w:hideMark/>
          </w:tcPr>
          <w:p w14:paraId="15894CD1" w14:textId="77777777" w:rsidR="001300D1" w:rsidRPr="008B619A" w:rsidRDefault="001300D1" w:rsidP="00326F81">
            <w:pPr>
              <w:widowControl/>
              <w:jc w:val="center"/>
              <w:rPr>
                <w:rFonts w:hAnsi="標楷體" w:cs="新細明體"/>
                <w:color w:val="000000" w:themeColor="text1"/>
                <w:kern w:val="0"/>
                <w:sz w:val="26"/>
                <w:szCs w:val="26"/>
              </w:rPr>
            </w:pPr>
          </w:p>
        </w:tc>
        <w:tc>
          <w:tcPr>
            <w:tcW w:w="2126" w:type="dxa"/>
            <w:noWrap/>
            <w:hideMark/>
          </w:tcPr>
          <w:p w14:paraId="4F54AA8B" w14:textId="77777777" w:rsidR="001300D1" w:rsidRPr="008B619A" w:rsidRDefault="001300D1" w:rsidP="006400F0">
            <w:pPr>
              <w:widowControl/>
              <w:cnfStyle w:val="000000000000" w:firstRow="0" w:lastRow="0" w:firstColumn="0" w:lastColumn="0" w:oddVBand="0" w:evenVBand="0" w:oddHBand="0"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私人非營利部門</w:t>
            </w:r>
          </w:p>
        </w:tc>
        <w:tc>
          <w:tcPr>
            <w:tcW w:w="1424" w:type="dxa"/>
            <w:shd w:val="clear" w:color="auto" w:fill="C2D69B" w:themeFill="accent3" w:themeFillTint="99"/>
            <w:noWrap/>
            <w:hideMark/>
          </w:tcPr>
          <w:p w14:paraId="7E1F6E4F" w14:textId="77777777" w:rsidR="001300D1" w:rsidRPr="008B619A" w:rsidRDefault="001300D1" w:rsidP="006400F0">
            <w:pPr>
              <w:widowControl/>
              <w:jc w:val="right"/>
              <w:cnfStyle w:val="000000000000" w:firstRow="0" w:lastRow="0" w:firstColumn="0" w:lastColumn="0" w:oddVBand="0" w:evenVBand="0" w:oddHBand="0"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1,391 </w:t>
            </w:r>
          </w:p>
        </w:tc>
        <w:tc>
          <w:tcPr>
            <w:tcW w:w="1057" w:type="dxa"/>
            <w:shd w:val="clear" w:color="auto" w:fill="CCC0D9" w:themeFill="accent4" w:themeFillTint="66"/>
            <w:noWrap/>
            <w:hideMark/>
          </w:tcPr>
          <w:p w14:paraId="16D7C869" w14:textId="77777777" w:rsidR="001300D1" w:rsidRPr="008B619A" w:rsidRDefault="001300D1" w:rsidP="006400F0">
            <w:pPr>
              <w:widowControl/>
              <w:jc w:val="right"/>
              <w:cnfStyle w:val="000000000000" w:firstRow="0" w:lastRow="0" w:firstColumn="0" w:lastColumn="0" w:oddVBand="0" w:evenVBand="0" w:oddHBand="0"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408 </w:t>
            </w:r>
          </w:p>
        </w:tc>
        <w:tc>
          <w:tcPr>
            <w:tcW w:w="1197" w:type="dxa"/>
            <w:noWrap/>
            <w:hideMark/>
          </w:tcPr>
          <w:p w14:paraId="6F30136C" w14:textId="77777777" w:rsidR="001300D1" w:rsidRPr="008B619A" w:rsidRDefault="001300D1" w:rsidP="006400F0">
            <w:pPr>
              <w:widowControl/>
              <w:jc w:val="right"/>
              <w:cnfStyle w:val="000000000000" w:firstRow="0" w:lastRow="0" w:firstColumn="0" w:lastColumn="0" w:oddVBand="0" w:evenVBand="0" w:oddHBand="0"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530 </w:t>
            </w:r>
          </w:p>
        </w:tc>
        <w:tc>
          <w:tcPr>
            <w:tcW w:w="1197" w:type="dxa"/>
            <w:noWrap/>
            <w:hideMark/>
          </w:tcPr>
          <w:p w14:paraId="226607AE" w14:textId="77777777" w:rsidR="001300D1" w:rsidRPr="008B619A" w:rsidRDefault="001300D1" w:rsidP="006400F0">
            <w:pPr>
              <w:widowControl/>
              <w:jc w:val="right"/>
              <w:cnfStyle w:val="000000000000" w:firstRow="0" w:lastRow="0" w:firstColumn="0" w:lastColumn="0" w:oddVBand="0" w:evenVBand="0" w:oddHBand="0"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322 </w:t>
            </w:r>
          </w:p>
        </w:tc>
        <w:tc>
          <w:tcPr>
            <w:tcW w:w="1204" w:type="dxa"/>
            <w:noWrap/>
            <w:hideMark/>
          </w:tcPr>
          <w:p w14:paraId="3F4151FD" w14:textId="77777777" w:rsidR="001300D1" w:rsidRPr="008B619A" w:rsidRDefault="001300D1" w:rsidP="006400F0">
            <w:pPr>
              <w:widowControl/>
              <w:jc w:val="right"/>
              <w:cnfStyle w:val="000000000000" w:firstRow="0" w:lastRow="0" w:firstColumn="0" w:lastColumn="0" w:oddVBand="0" w:evenVBand="0" w:oddHBand="0"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66 </w:t>
            </w:r>
          </w:p>
        </w:tc>
        <w:tc>
          <w:tcPr>
            <w:tcW w:w="1057" w:type="dxa"/>
            <w:noWrap/>
            <w:hideMark/>
          </w:tcPr>
          <w:p w14:paraId="47F31E18" w14:textId="77777777" w:rsidR="001300D1" w:rsidRPr="008B619A" w:rsidRDefault="001300D1" w:rsidP="006400F0">
            <w:pPr>
              <w:widowControl/>
              <w:jc w:val="right"/>
              <w:cnfStyle w:val="000000000000" w:firstRow="0" w:lastRow="0" w:firstColumn="0" w:lastColumn="0" w:oddVBand="0" w:evenVBand="0" w:oddHBand="0"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65 </w:t>
            </w:r>
          </w:p>
        </w:tc>
      </w:tr>
      <w:tr w:rsidR="001300D1" w:rsidRPr="008B619A" w14:paraId="47B6F70F" w14:textId="77777777" w:rsidTr="00AC21D6">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851" w:type="dxa"/>
            <w:vMerge w:val="restart"/>
            <w:shd w:val="clear" w:color="auto" w:fill="FBD4B4" w:themeFill="accent6" w:themeFillTint="66"/>
            <w:noWrap/>
            <w:hideMark/>
          </w:tcPr>
          <w:p w14:paraId="3B8694D9" w14:textId="77777777" w:rsidR="001300D1" w:rsidRPr="008B619A" w:rsidRDefault="001300D1" w:rsidP="00326F81">
            <w:pPr>
              <w:widowControl/>
              <w:jc w:val="center"/>
              <w:rPr>
                <w:rFonts w:hAnsi="標楷體" w:cs="新細明體"/>
                <w:color w:val="000000" w:themeColor="text1"/>
                <w:kern w:val="0"/>
                <w:sz w:val="26"/>
                <w:szCs w:val="26"/>
              </w:rPr>
            </w:pPr>
            <w:r w:rsidRPr="008B619A">
              <w:rPr>
                <w:rFonts w:hAnsi="標楷體" w:cs="新細明體"/>
                <w:color w:val="000000" w:themeColor="text1"/>
                <w:kern w:val="0"/>
                <w:sz w:val="26"/>
                <w:szCs w:val="26"/>
              </w:rPr>
              <w:t>106</w:t>
            </w:r>
          </w:p>
        </w:tc>
        <w:tc>
          <w:tcPr>
            <w:tcW w:w="2126" w:type="dxa"/>
            <w:noWrap/>
            <w:hideMark/>
          </w:tcPr>
          <w:p w14:paraId="35092CDD" w14:textId="77777777" w:rsidR="001300D1" w:rsidRPr="008B619A" w:rsidRDefault="001300D1" w:rsidP="006400F0">
            <w:pPr>
              <w:widowControl/>
              <w:cnfStyle w:val="000000100000" w:firstRow="0" w:lastRow="0" w:firstColumn="0" w:lastColumn="0" w:oddVBand="0" w:evenVBand="0" w:oddHBand="1"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全國</w:t>
            </w:r>
          </w:p>
        </w:tc>
        <w:tc>
          <w:tcPr>
            <w:tcW w:w="1424" w:type="dxa"/>
            <w:shd w:val="clear" w:color="auto" w:fill="C2D69B" w:themeFill="accent3" w:themeFillTint="99"/>
            <w:noWrap/>
            <w:hideMark/>
          </w:tcPr>
          <w:p w14:paraId="3C0AE092" w14:textId="77777777" w:rsidR="001300D1" w:rsidRPr="008B619A" w:rsidRDefault="001300D1" w:rsidP="006400F0">
            <w:pPr>
              <w:widowControl/>
              <w:jc w:val="right"/>
              <w:cnfStyle w:val="000000100000" w:firstRow="0" w:lastRow="0" w:firstColumn="0" w:lastColumn="0" w:oddVBand="0" w:evenVBand="0" w:oddHBand="1"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321,877 </w:t>
            </w:r>
          </w:p>
        </w:tc>
        <w:tc>
          <w:tcPr>
            <w:tcW w:w="1057" w:type="dxa"/>
            <w:shd w:val="clear" w:color="auto" w:fill="CCC0D9" w:themeFill="accent4" w:themeFillTint="66"/>
            <w:noWrap/>
            <w:hideMark/>
          </w:tcPr>
          <w:p w14:paraId="0856030E" w14:textId="77777777" w:rsidR="001300D1" w:rsidRPr="008B619A" w:rsidRDefault="001300D1" w:rsidP="006400F0">
            <w:pPr>
              <w:widowControl/>
              <w:jc w:val="right"/>
              <w:cnfStyle w:val="000000100000" w:firstRow="0" w:lastRow="0" w:firstColumn="0" w:lastColumn="0" w:oddVBand="0" w:evenVBand="0" w:oddHBand="1"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42,934 </w:t>
            </w:r>
          </w:p>
        </w:tc>
        <w:tc>
          <w:tcPr>
            <w:tcW w:w="1197" w:type="dxa"/>
            <w:noWrap/>
            <w:hideMark/>
          </w:tcPr>
          <w:p w14:paraId="66BFE489" w14:textId="77777777" w:rsidR="001300D1" w:rsidRPr="008B619A" w:rsidRDefault="001300D1" w:rsidP="006400F0">
            <w:pPr>
              <w:widowControl/>
              <w:jc w:val="right"/>
              <w:cnfStyle w:val="000000100000" w:firstRow="0" w:lastRow="0" w:firstColumn="0" w:lastColumn="0" w:oddVBand="0" w:evenVBand="0" w:oddHBand="1"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141,506 </w:t>
            </w:r>
          </w:p>
        </w:tc>
        <w:tc>
          <w:tcPr>
            <w:tcW w:w="1197" w:type="dxa"/>
            <w:noWrap/>
            <w:hideMark/>
          </w:tcPr>
          <w:p w14:paraId="6AAF3B4D" w14:textId="77777777" w:rsidR="001300D1" w:rsidRPr="008B619A" w:rsidRDefault="001300D1" w:rsidP="006400F0">
            <w:pPr>
              <w:widowControl/>
              <w:jc w:val="right"/>
              <w:cnfStyle w:val="000000100000" w:firstRow="0" w:lastRow="0" w:firstColumn="0" w:lastColumn="0" w:oddVBand="0" w:evenVBand="0" w:oddHBand="1"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102,092 </w:t>
            </w:r>
          </w:p>
        </w:tc>
        <w:tc>
          <w:tcPr>
            <w:tcW w:w="1204" w:type="dxa"/>
            <w:noWrap/>
            <w:hideMark/>
          </w:tcPr>
          <w:p w14:paraId="5F82E983" w14:textId="77777777" w:rsidR="001300D1" w:rsidRPr="008B619A" w:rsidRDefault="001300D1" w:rsidP="006400F0">
            <w:pPr>
              <w:widowControl/>
              <w:jc w:val="right"/>
              <w:cnfStyle w:val="000000100000" w:firstRow="0" w:lastRow="0" w:firstColumn="0" w:lastColumn="0" w:oddVBand="0" w:evenVBand="0" w:oddHBand="1"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25,295 </w:t>
            </w:r>
          </w:p>
        </w:tc>
        <w:tc>
          <w:tcPr>
            <w:tcW w:w="1057" w:type="dxa"/>
            <w:noWrap/>
            <w:hideMark/>
          </w:tcPr>
          <w:p w14:paraId="3C45400D" w14:textId="77777777" w:rsidR="001300D1" w:rsidRPr="008B619A" w:rsidRDefault="001300D1" w:rsidP="006400F0">
            <w:pPr>
              <w:widowControl/>
              <w:jc w:val="right"/>
              <w:cnfStyle w:val="000000100000" w:firstRow="0" w:lastRow="0" w:firstColumn="0" w:lastColumn="0" w:oddVBand="0" w:evenVBand="0" w:oddHBand="1"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10,050 </w:t>
            </w:r>
          </w:p>
        </w:tc>
      </w:tr>
      <w:tr w:rsidR="001300D1" w:rsidRPr="008B619A" w14:paraId="34BABA8C" w14:textId="77777777" w:rsidTr="00AC21D6">
        <w:trPr>
          <w:trHeight w:val="330"/>
          <w:jc w:val="center"/>
        </w:trPr>
        <w:tc>
          <w:tcPr>
            <w:cnfStyle w:val="001000000000" w:firstRow="0" w:lastRow="0" w:firstColumn="1" w:lastColumn="0" w:oddVBand="0" w:evenVBand="0" w:oddHBand="0" w:evenHBand="0" w:firstRowFirstColumn="0" w:firstRowLastColumn="0" w:lastRowFirstColumn="0" w:lastRowLastColumn="0"/>
            <w:tcW w:w="851" w:type="dxa"/>
            <w:vMerge/>
            <w:shd w:val="clear" w:color="auto" w:fill="FBD4B4" w:themeFill="accent6" w:themeFillTint="66"/>
            <w:hideMark/>
          </w:tcPr>
          <w:p w14:paraId="5130C71A" w14:textId="77777777" w:rsidR="001300D1" w:rsidRPr="008B619A" w:rsidRDefault="001300D1" w:rsidP="00326F81">
            <w:pPr>
              <w:widowControl/>
              <w:jc w:val="center"/>
              <w:rPr>
                <w:rFonts w:hAnsi="標楷體" w:cs="新細明體"/>
                <w:color w:val="000000" w:themeColor="text1"/>
                <w:kern w:val="0"/>
                <w:sz w:val="26"/>
                <w:szCs w:val="26"/>
              </w:rPr>
            </w:pPr>
          </w:p>
        </w:tc>
        <w:tc>
          <w:tcPr>
            <w:tcW w:w="2126" w:type="dxa"/>
            <w:noWrap/>
            <w:hideMark/>
          </w:tcPr>
          <w:p w14:paraId="57530351" w14:textId="77777777" w:rsidR="001300D1" w:rsidRPr="008B619A" w:rsidRDefault="001300D1" w:rsidP="006400F0">
            <w:pPr>
              <w:widowControl/>
              <w:cnfStyle w:val="000000000000" w:firstRow="0" w:lastRow="0" w:firstColumn="0" w:lastColumn="0" w:oddVBand="0" w:evenVBand="0" w:oddHBand="0"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企業部門</w:t>
            </w:r>
          </w:p>
        </w:tc>
        <w:tc>
          <w:tcPr>
            <w:tcW w:w="1424" w:type="dxa"/>
            <w:shd w:val="clear" w:color="auto" w:fill="C2D69B" w:themeFill="accent3" w:themeFillTint="99"/>
            <w:noWrap/>
            <w:hideMark/>
          </w:tcPr>
          <w:p w14:paraId="26B31038" w14:textId="77777777" w:rsidR="001300D1" w:rsidRPr="008B619A" w:rsidRDefault="001300D1" w:rsidP="006400F0">
            <w:pPr>
              <w:widowControl/>
              <w:jc w:val="right"/>
              <w:cnfStyle w:val="000000000000" w:firstRow="0" w:lastRow="0" w:firstColumn="0" w:lastColumn="0" w:oddVBand="0" w:evenVBand="0" w:oddHBand="0"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229,150 </w:t>
            </w:r>
          </w:p>
        </w:tc>
        <w:tc>
          <w:tcPr>
            <w:tcW w:w="1057" w:type="dxa"/>
            <w:shd w:val="clear" w:color="auto" w:fill="CCC0D9" w:themeFill="accent4" w:themeFillTint="66"/>
            <w:noWrap/>
            <w:hideMark/>
          </w:tcPr>
          <w:p w14:paraId="3E820D5C" w14:textId="77777777" w:rsidR="001300D1" w:rsidRPr="008B619A" w:rsidRDefault="001300D1" w:rsidP="006400F0">
            <w:pPr>
              <w:widowControl/>
              <w:jc w:val="right"/>
              <w:cnfStyle w:val="000000000000" w:firstRow="0" w:lastRow="0" w:firstColumn="0" w:lastColumn="0" w:oddVBand="0" w:evenVBand="0" w:oddHBand="0"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8,538 </w:t>
            </w:r>
          </w:p>
        </w:tc>
        <w:tc>
          <w:tcPr>
            <w:tcW w:w="1197" w:type="dxa"/>
            <w:noWrap/>
            <w:hideMark/>
          </w:tcPr>
          <w:p w14:paraId="1E47542C" w14:textId="77777777" w:rsidR="001300D1" w:rsidRPr="008B619A" w:rsidRDefault="001300D1" w:rsidP="006400F0">
            <w:pPr>
              <w:widowControl/>
              <w:jc w:val="right"/>
              <w:cnfStyle w:val="000000000000" w:firstRow="0" w:lastRow="0" w:firstColumn="0" w:lastColumn="0" w:oddVBand="0" w:evenVBand="0" w:oddHBand="0"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102,605 </w:t>
            </w:r>
          </w:p>
        </w:tc>
        <w:tc>
          <w:tcPr>
            <w:tcW w:w="1197" w:type="dxa"/>
            <w:noWrap/>
            <w:hideMark/>
          </w:tcPr>
          <w:p w14:paraId="3174D5FB" w14:textId="77777777" w:rsidR="001300D1" w:rsidRPr="008B619A" w:rsidRDefault="001300D1" w:rsidP="006400F0">
            <w:pPr>
              <w:widowControl/>
              <w:jc w:val="right"/>
              <w:cnfStyle w:val="000000000000" w:firstRow="0" w:lastRow="0" w:firstColumn="0" w:lastColumn="0" w:oddVBand="0" w:evenVBand="0" w:oddHBand="0"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87,854 </w:t>
            </w:r>
          </w:p>
        </w:tc>
        <w:tc>
          <w:tcPr>
            <w:tcW w:w="1204" w:type="dxa"/>
            <w:noWrap/>
            <w:hideMark/>
          </w:tcPr>
          <w:p w14:paraId="6A41C849" w14:textId="77777777" w:rsidR="001300D1" w:rsidRPr="008B619A" w:rsidRDefault="001300D1" w:rsidP="006400F0">
            <w:pPr>
              <w:widowControl/>
              <w:jc w:val="right"/>
              <w:cnfStyle w:val="000000000000" w:firstRow="0" w:lastRow="0" w:firstColumn="0" w:lastColumn="0" w:oddVBand="0" w:evenVBand="0" w:oddHBand="0"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22,106 </w:t>
            </w:r>
          </w:p>
        </w:tc>
        <w:tc>
          <w:tcPr>
            <w:tcW w:w="1057" w:type="dxa"/>
            <w:noWrap/>
            <w:hideMark/>
          </w:tcPr>
          <w:p w14:paraId="78AD8B02" w14:textId="77777777" w:rsidR="001300D1" w:rsidRPr="008B619A" w:rsidRDefault="001300D1" w:rsidP="006400F0">
            <w:pPr>
              <w:widowControl/>
              <w:jc w:val="right"/>
              <w:cnfStyle w:val="000000000000" w:firstRow="0" w:lastRow="0" w:firstColumn="0" w:lastColumn="0" w:oddVBand="0" w:evenVBand="0" w:oddHBand="0"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8,047 </w:t>
            </w:r>
          </w:p>
        </w:tc>
      </w:tr>
      <w:tr w:rsidR="001300D1" w:rsidRPr="008B619A" w14:paraId="12FE4D39" w14:textId="77777777" w:rsidTr="00AC21D6">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851" w:type="dxa"/>
            <w:vMerge/>
            <w:shd w:val="clear" w:color="auto" w:fill="FBD4B4" w:themeFill="accent6" w:themeFillTint="66"/>
            <w:hideMark/>
          </w:tcPr>
          <w:p w14:paraId="7A935935" w14:textId="77777777" w:rsidR="001300D1" w:rsidRPr="008B619A" w:rsidRDefault="001300D1" w:rsidP="00326F81">
            <w:pPr>
              <w:widowControl/>
              <w:jc w:val="center"/>
              <w:rPr>
                <w:rFonts w:hAnsi="標楷體" w:cs="新細明體"/>
                <w:color w:val="000000" w:themeColor="text1"/>
                <w:kern w:val="0"/>
                <w:sz w:val="26"/>
                <w:szCs w:val="26"/>
              </w:rPr>
            </w:pPr>
          </w:p>
        </w:tc>
        <w:tc>
          <w:tcPr>
            <w:tcW w:w="2126" w:type="dxa"/>
            <w:noWrap/>
            <w:hideMark/>
          </w:tcPr>
          <w:p w14:paraId="01D249FB" w14:textId="77777777" w:rsidR="001300D1" w:rsidRPr="008B619A" w:rsidRDefault="001300D1" w:rsidP="006400F0">
            <w:pPr>
              <w:widowControl/>
              <w:cnfStyle w:val="000000100000" w:firstRow="0" w:lastRow="0" w:firstColumn="0" w:lastColumn="0" w:oddVBand="0" w:evenVBand="0" w:oddHBand="1"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政府部門</w:t>
            </w:r>
          </w:p>
        </w:tc>
        <w:tc>
          <w:tcPr>
            <w:tcW w:w="1424" w:type="dxa"/>
            <w:shd w:val="clear" w:color="auto" w:fill="C2D69B" w:themeFill="accent3" w:themeFillTint="99"/>
            <w:noWrap/>
            <w:hideMark/>
          </w:tcPr>
          <w:p w14:paraId="7B6CE23E" w14:textId="77777777" w:rsidR="001300D1" w:rsidRPr="008B619A" w:rsidRDefault="001300D1" w:rsidP="006400F0">
            <w:pPr>
              <w:widowControl/>
              <w:jc w:val="right"/>
              <w:cnfStyle w:val="000000100000" w:firstRow="0" w:lastRow="0" w:firstColumn="0" w:lastColumn="0" w:oddVBand="0" w:evenVBand="0" w:oddHBand="1"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36,838 </w:t>
            </w:r>
          </w:p>
        </w:tc>
        <w:tc>
          <w:tcPr>
            <w:tcW w:w="1057" w:type="dxa"/>
            <w:shd w:val="clear" w:color="auto" w:fill="CCC0D9" w:themeFill="accent4" w:themeFillTint="66"/>
            <w:noWrap/>
            <w:hideMark/>
          </w:tcPr>
          <w:p w14:paraId="1B307058" w14:textId="77777777" w:rsidR="001300D1" w:rsidRPr="008B619A" w:rsidRDefault="001300D1" w:rsidP="006400F0">
            <w:pPr>
              <w:widowControl/>
              <w:jc w:val="right"/>
              <w:cnfStyle w:val="000000100000" w:firstRow="0" w:lastRow="0" w:firstColumn="0" w:lastColumn="0" w:oddVBand="0" w:evenVBand="0" w:oddHBand="1"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7,105 </w:t>
            </w:r>
          </w:p>
        </w:tc>
        <w:tc>
          <w:tcPr>
            <w:tcW w:w="1197" w:type="dxa"/>
            <w:noWrap/>
            <w:hideMark/>
          </w:tcPr>
          <w:p w14:paraId="2C52A847" w14:textId="77777777" w:rsidR="001300D1" w:rsidRPr="008B619A" w:rsidRDefault="001300D1" w:rsidP="006400F0">
            <w:pPr>
              <w:widowControl/>
              <w:jc w:val="right"/>
              <w:cnfStyle w:val="000000100000" w:firstRow="0" w:lastRow="0" w:firstColumn="0" w:lastColumn="0" w:oddVBand="0" w:evenVBand="0" w:oddHBand="1"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16,396 </w:t>
            </w:r>
          </w:p>
        </w:tc>
        <w:tc>
          <w:tcPr>
            <w:tcW w:w="1197" w:type="dxa"/>
            <w:noWrap/>
            <w:hideMark/>
          </w:tcPr>
          <w:p w14:paraId="7A0E6A21" w14:textId="77777777" w:rsidR="001300D1" w:rsidRPr="008B619A" w:rsidRDefault="001300D1" w:rsidP="006400F0">
            <w:pPr>
              <w:widowControl/>
              <w:jc w:val="right"/>
              <w:cnfStyle w:val="000000100000" w:firstRow="0" w:lastRow="0" w:firstColumn="0" w:lastColumn="0" w:oddVBand="0" w:evenVBand="0" w:oddHBand="1"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8,840 </w:t>
            </w:r>
          </w:p>
        </w:tc>
        <w:tc>
          <w:tcPr>
            <w:tcW w:w="1204" w:type="dxa"/>
            <w:noWrap/>
            <w:hideMark/>
          </w:tcPr>
          <w:p w14:paraId="160A78FD" w14:textId="77777777" w:rsidR="001300D1" w:rsidRPr="008B619A" w:rsidRDefault="001300D1" w:rsidP="006400F0">
            <w:pPr>
              <w:widowControl/>
              <w:jc w:val="right"/>
              <w:cnfStyle w:val="000000100000" w:firstRow="0" w:lastRow="0" w:firstColumn="0" w:lastColumn="0" w:oddVBand="0" w:evenVBand="0" w:oddHBand="1"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2,680 </w:t>
            </w:r>
          </w:p>
        </w:tc>
        <w:tc>
          <w:tcPr>
            <w:tcW w:w="1057" w:type="dxa"/>
            <w:noWrap/>
            <w:hideMark/>
          </w:tcPr>
          <w:p w14:paraId="2AD04546" w14:textId="77777777" w:rsidR="001300D1" w:rsidRPr="008B619A" w:rsidRDefault="001300D1" w:rsidP="006400F0">
            <w:pPr>
              <w:widowControl/>
              <w:jc w:val="right"/>
              <w:cnfStyle w:val="000000100000" w:firstRow="0" w:lastRow="0" w:firstColumn="0" w:lastColumn="0" w:oddVBand="0" w:evenVBand="0" w:oddHBand="1"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1,817 </w:t>
            </w:r>
          </w:p>
        </w:tc>
      </w:tr>
      <w:tr w:rsidR="001300D1" w:rsidRPr="008B619A" w14:paraId="0A458D7C" w14:textId="77777777" w:rsidTr="00AC21D6">
        <w:trPr>
          <w:trHeight w:val="330"/>
          <w:jc w:val="center"/>
        </w:trPr>
        <w:tc>
          <w:tcPr>
            <w:cnfStyle w:val="001000000000" w:firstRow="0" w:lastRow="0" w:firstColumn="1" w:lastColumn="0" w:oddVBand="0" w:evenVBand="0" w:oddHBand="0" w:evenHBand="0" w:firstRowFirstColumn="0" w:firstRowLastColumn="0" w:lastRowFirstColumn="0" w:lastRowLastColumn="0"/>
            <w:tcW w:w="851" w:type="dxa"/>
            <w:vMerge/>
            <w:shd w:val="clear" w:color="auto" w:fill="FBD4B4" w:themeFill="accent6" w:themeFillTint="66"/>
            <w:hideMark/>
          </w:tcPr>
          <w:p w14:paraId="40E53F6D" w14:textId="77777777" w:rsidR="001300D1" w:rsidRPr="008B619A" w:rsidRDefault="001300D1" w:rsidP="00326F81">
            <w:pPr>
              <w:widowControl/>
              <w:jc w:val="center"/>
              <w:rPr>
                <w:rFonts w:hAnsi="標楷體" w:cs="新細明體"/>
                <w:color w:val="000000" w:themeColor="text1"/>
                <w:kern w:val="0"/>
                <w:sz w:val="26"/>
                <w:szCs w:val="26"/>
              </w:rPr>
            </w:pPr>
          </w:p>
        </w:tc>
        <w:tc>
          <w:tcPr>
            <w:tcW w:w="2126" w:type="dxa"/>
            <w:noWrap/>
            <w:hideMark/>
          </w:tcPr>
          <w:p w14:paraId="35BF0985" w14:textId="77777777" w:rsidR="001300D1" w:rsidRPr="008B619A" w:rsidRDefault="001300D1" w:rsidP="006400F0">
            <w:pPr>
              <w:widowControl/>
              <w:cnfStyle w:val="000000000000" w:firstRow="0" w:lastRow="0" w:firstColumn="0" w:lastColumn="0" w:oddVBand="0" w:evenVBand="0" w:oddHBand="0"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高等教育部門</w:t>
            </w:r>
          </w:p>
        </w:tc>
        <w:tc>
          <w:tcPr>
            <w:tcW w:w="1424" w:type="dxa"/>
            <w:shd w:val="clear" w:color="auto" w:fill="C2D69B" w:themeFill="accent3" w:themeFillTint="99"/>
            <w:noWrap/>
            <w:hideMark/>
          </w:tcPr>
          <w:p w14:paraId="7CDD13BF" w14:textId="77777777" w:rsidR="001300D1" w:rsidRPr="008B619A" w:rsidRDefault="001300D1" w:rsidP="006400F0">
            <w:pPr>
              <w:widowControl/>
              <w:jc w:val="right"/>
              <w:cnfStyle w:val="000000000000" w:firstRow="0" w:lastRow="0" w:firstColumn="0" w:lastColumn="0" w:oddVBand="0" w:evenVBand="0" w:oddHBand="0"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54,480 </w:t>
            </w:r>
          </w:p>
        </w:tc>
        <w:tc>
          <w:tcPr>
            <w:tcW w:w="1057" w:type="dxa"/>
            <w:shd w:val="clear" w:color="auto" w:fill="CCC0D9" w:themeFill="accent4" w:themeFillTint="66"/>
            <w:noWrap/>
            <w:hideMark/>
          </w:tcPr>
          <w:p w14:paraId="484B7DD2" w14:textId="77777777" w:rsidR="001300D1" w:rsidRPr="008B619A" w:rsidRDefault="001300D1" w:rsidP="006400F0">
            <w:pPr>
              <w:widowControl/>
              <w:jc w:val="right"/>
              <w:cnfStyle w:val="000000000000" w:firstRow="0" w:lastRow="0" w:firstColumn="0" w:lastColumn="0" w:oddVBand="0" w:evenVBand="0" w:oddHBand="0"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26,937 </w:t>
            </w:r>
          </w:p>
        </w:tc>
        <w:tc>
          <w:tcPr>
            <w:tcW w:w="1197" w:type="dxa"/>
            <w:noWrap/>
            <w:hideMark/>
          </w:tcPr>
          <w:p w14:paraId="1326CFD0" w14:textId="77777777" w:rsidR="001300D1" w:rsidRPr="008B619A" w:rsidRDefault="001300D1" w:rsidP="006400F0">
            <w:pPr>
              <w:widowControl/>
              <w:jc w:val="right"/>
              <w:cnfStyle w:val="000000000000" w:firstRow="0" w:lastRow="0" w:firstColumn="0" w:lastColumn="0" w:oddVBand="0" w:evenVBand="0" w:oddHBand="0"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22,035 </w:t>
            </w:r>
          </w:p>
        </w:tc>
        <w:tc>
          <w:tcPr>
            <w:tcW w:w="1197" w:type="dxa"/>
            <w:noWrap/>
            <w:hideMark/>
          </w:tcPr>
          <w:p w14:paraId="52FF0EF7" w14:textId="77777777" w:rsidR="001300D1" w:rsidRPr="008B619A" w:rsidRDefault="001300D1" w:rsidP="006400F0">
            <w:pPr>
              <w:widowControl/>
              <w:jc w:val="right"/>
              <w:cnfStyle w:val="000000000000" w:firstRow="0" w:lastRow="0" w:firstColumn="0" w:lastColumn="0" w:oddVBand="0" w:evenVBand="0" w:oddHBand="0"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4,939 </w:t>
            </w:r>
          </w:p>
        </w:tc>
        <w:tc>
          <w:tcPr>
            <w:tcW w:w="1204" w:type="dxa"/>
            <w:noWrap/>
            <w:hideMark/>
          </w:tcPr>
          <w:p w14:paraId="1DEE009C" w14:textId="77777777" w:rsidR="001300D1" w:rsidRPr="008B619A" w:rsidRDefault="001300D1" w:rsidP="006400F0">
            <w:pPr>
              <w:widowControl/>
              <w:jc w:val="right"/>
              <w:cnfStyle w:val="000000000000" w:firstRow="0" w:lastRow="0" w:firstColumn="0" w:lastColumn="0" w:oddVBand="0" w:evenVBand="0" w:oddHBand="0"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444 </w:t>
            </w:r>
          </w:p>
        </w:tc>
        <w:tc>
          <w:tcPr>
            <w:tcW w:w="1057" w:type="dxa"/>
            <w:noWrap/>
            <w:hideMark/>
          </w:tcPr>
          <w:p w14:paraId="4E9A2335" w14:textId="77777777" w:rsidR="001300D1" w:rsidRPr="008B619A" w:rsidRDefault="001300D1" w:rsidP="006400F0">
            <w:pPr>
              <w:widowControl/>
              <w:jc w:val="right"/>
              <w:cnfStyle w:val="000000000000" w:firstRow="0" w:lastRow="0" w:firstColumn="0" w:lastColumn="0" w:oddVBand="0" w:evenVBand="0" w:oddHBand="0"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125 </w:t>
            </w:r>
          </w:p>
        </w:tc>
      </w:tr>
      <w:tr w:rsidR="001300D1" w:rsidRPr="008B619A" w14:paraId="37B86CD3" w14:textId="77777777" w:rsidTr="00AC21D6">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851" w:type="dxa"/>
            <w:vMerge/>
            <w:shd w:val="clear" w:color="auto" w:fill="FBD4B4" w:themeFill="accent6" w:themeFillTint="66"/>
            <w:hideMark/>
          </w:tcPr>
          <w:p w14:paraId="295190BC" w14:textId="77777777" w:rsidR="001300D1" w:rsidRPr="008B619A" w:rsidRDefault="001300D1" w:rsidP="00326F81">
            <w:pPr>
              <w:widowControl/>
              <w:jc w:val="center"/>
              <w:rPr>
                <w:rFonts w:hAnsi="標楷體" w:cs="新細明體"/>
                <w:color w:val="000000" w:themeColor="text1"/>
                <w:kern w:val="0"/>
                <w:sz w:val="26"/>
                <w:szCs w:val="26"/>
              </w:rPr>
            </w:pPr>
          </w:p>
        </w:tc>
        <w:tc>
          <w:tcPr>
            <w:tcW w:w="2126" w:type="dxa"/>
            <w:noWrap/>
            <w:hideMark/>
          </w:tcPr>
          <w:p w14:paraId="392A4919" w14:textId="77777777" w:rsidR="001300D1" w:rsidRPr="008B619A" w:rsidRDefault="001300D1" w:rsidP="006400F0">
            <w:pPr>
              <w:widowControl/>
              <w:cnfStyle w:val="000000100000" w:firstRow="0" w:lastRow="0" w:firstColumn="0" w:lastColumn="0" w:oddVBand="0" w:evenVBand="0" w:oddHBand="1"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私人非營利部門</w:t>
            </w:r>
          </w:p>
        </w:tc>
        <w:tc>
          <w:tcPr>
            <w:tcW w:w="1424" w:type="dxa"/>
            <w:shd w:val="clear" w:color="auto" w:fill="C2D69B" w:themeFill="accent3" w:themeFillTint="99"/>
            <w:noWrap/>
            <w:hideMark/>
          </w:tcPr>
          <w:p w14:paraId="264324E4" w14:textId="77777777" w:rsidR="001300D1" w:rsidRPr="008B619A" w:rsidRDefault="001300D1" w:rsidP="006400F0">
            <w:pPr>
              <w:widowControl/>
              <w:jc w:val="right"/>
              <w:cnfStyle w:val="000000100000" w:firstRow="0" w:lastRow="0" w:firstColumn="0" w:lastColumn="0" w:oddVBand="0" w:evenVBand="0" w:oddHBand="1"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1,409 </w:t>
            </w:r>
          </w:p>
        </w:tc>
        <w:tc>
          <w:tcPr>
            <w:tcW w:w="1057" w:type="dxa"/>
            <w:shd w:val="clear" w:color="auto" w:fill="CCC0D9" w:themeFill="accent4" w:themeFillTint="66"/>
            <w:noWrap/>
            <w:hideMark/>
          </w:tcPr>
          <w:p w14:paraId="78EB0C60" w14:textId="77777777" w:rsidR="001300D1" w:rsidRPr="008B619A" w:rsidRDefault="001300D1" w:rsidP="006400F0">
            <w:pPr>
              <w:widowControl/>
              <w:jc w:val="right"/>
              <w:cnfStyle w:val="000000100000" w:firstRow="0" w:lastRow="0" w:firstColumn="0" w:lastColumn="0" w:oddVBand="0" w:evenVBand="0" w:oddHBand="1"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354 </w:t>
            </w:r>
          </w:p>
        </w:tc>
        <w:tc>
          <w:tcPr>
            <w:tcW w:w="1197" w:type="dxa"/>
            <w:noWrap/>
            <w:hideMark/>
          </w:tcPr>
          <w:p w14:paraId="6C46BF00" w14:textId="77777777" w:rsidR="001300D1" w:rsidRPr="008B619A" w:rsidRDefault="001300D1" w:rsidP="006400F0">
            <w:pPr>
              <w:widowControl/>
              <w:jc w:val="right"/>
              <w:cnfStyle w:val="000000100000" w:firstRow="0" w:lastRow="0" w:firstColumn="0" w:lastColumn="0" w:oddVBand="0" w:evenVBand="0" w:oddHBand="1"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470 </w:t>
            </w:r>
          </w:p>
        </w:tc>
        <w:tc>
          <w:tcPr>
            <w:tcW w:w="1197" w:type="dxa"/>
            <w:noWrap/>
            <w:hideMark/>
          </w:tcPr>
          <w:p w14:paraId="711A5437" w14:textId="77777777" w:rsidR="001300D1" w:rsidRPr="008B619A" w:rsidRDefault="001300D1" w:rsidP="006400F0">
            <w:pPr>
              <w:widowControl/>
              <w:jc w:val="right"/>
              <w:cnfStyle w:val="000000100000" w:firstRow="0" w:lastRow="0" w:firstColumn="0" w:lastColumn="0" w:oddVBand="0" w:evenVBand="0" w:oddHBand="1"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459 </w:t>
            </w:r>
          </w:p>
        </w:tc>
        <w:tc>
          <w:tcPr>
            <w:tcW w:w="1204" w:type="dxa"/>
            <w:noWrap/>
            <w:hideMark/>
          </w:tcPr>
          <w:p w14:paraId="1A1DAD81" w14:textId="77777777" w:rsidR="001300D1" w:rsidRPr="008B619A" w:rsidRDefault="001300D1" w:rsidP="006400F0">
            <w:pPr>
              <w:widowControl/>
              <w:jc w:val="right"/>
              <w:cnfStyle w:val="000000100000" w:firstRow="0" w:lastRow="0" w:firstColumn="0" w:lastColumn="0" w:oddVBand="0" w:evenVBand="0" w:oddHBand="1"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65 </w:t>
            </w:r>
          </w:p>
        </w:tc>
        <w:tc>
          <w:tcPr>
            <w:tcW w:w="1057" w:type="dxa"/>
            <w:noWrap/>
            <w:hideMark/>
          </w:tcPr>
          <w:p w14:paraId="7F95FA83" w14:textId="77777777" w:rsidR="001300D1" w:rsidRPr="008B619A" w:rsidRDefault="001300D1" w:rsidP="006400F0">
            <w:pPr>
              <w:widowControl/>
              <w:jc w:val="right"/>
              <w:cnfStyle w:val="000000100000" w:firstRow="0" w:lastRow="0" w:firstColumn="0" w:lastColumn="0" w:oddVBand="0" w:evenVBand="0" w:oddHBand="1"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61 </w:t>
            </w:r>
          </w:p>
        </w:tc>
      </w:tr>
      <w:tr w:rsidR="001300D1" w:rsidRPr="008B619A" w14:paraId="16C8EA2F" w14:textId="77777777" w:rsidTr="00AC21D6">
        <w:trPr>
          <w:trHeight w:val="330"/>
          <w:jc w:val="center"/>
        </w:trPr>
        <w:tc>
          <w:tcPr>
            <w:cnfStyle w:val="001000000000" w:firstRow="0" w:lastRow="0" w:firstColumn="1" w:lastColumn="0" w:oddVBand="0" w:evenVBand="0" w:oddHBand="0" w:evenHBand="0" w:firstRowFirstColumn="0" w:firstRowLastColumn="0" w:lastRowFirstColumn="0" w:lastRowLastColumn="0"/>
            <w:tcW w:w="851" w:type="dxa"/>
            <w:vMerge w:val="restart"/>
            <w:shd w:val="clear" w:color="auto" w:fill="FBD4B4" w:themeFill="accent6" w:themeFillTint="66"/>
            <w:noWrap/>
            <w:hideMark/>
          </w:tcPr>
          <w:p w14:paraId="3933B099" w14:textId="77777777" w:rsidR="001300D1" w:rsidRPr="008B619A" w:rsidRDefault="001300D1" w:rsidP="00326F81">
            <w:pPr>
              <w:widowControl/>
              <w:jc w:val="center"/>
              <w:rPr>
                <w:rFonts w:hAnsi="標楷體" w:cs="新細明體"/>
                <w:color w:val="000000" w:themeColor="text1"/>
                <w:kern w:val="0"/>
                <w:sz w:val="26"/>
                <w:szCs w:val="26"/>
              </w:rPr>
            </w:pPr>
            <w:r w:rsidRPr="008B619A">
              <w:rPr>
                <w:rFonts w:hAnsi="標楷體" w:cs="新細明體"/>
                <w:color w:val="000000" w:themeColor="text1"/>
                <w:kern w:val="0"/>
                <w:sz w:val="26"/>
                <w:szCs w:val="26"/>
              </w:rPr>
              <w:lastRenderedPageBreak/>
              <w:t>107</w:t>
            </w:r>
          </w:p>
        </w:tc>
        <w:tc>
          <w:tcPr>
            <w:tcW w:w="2126" w:type="dxa"/>
            <w:noWrap/>
            <w:hideMark/>
          </w:tcPr>
          <w:p w14:paraId="0F0A9E2C" w14:textId="77777777" w:rsidR="001300D1" w:rsidRPr="008B619A" w:rsidRDefault="001300D1" w:rsidP="006400F0">
            <w:pPr>
              <w:widowControl/>
              <w:cnfStyle w:val="000000000000" w:firstRow="0" w:lastRow="0" w:firstColumn="0" w:lastColumn="0" w:oddVBand="0" w:evenVBand="0" w:oddHBand="0"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全國</w:t>
            </w:r>
          </w:p>
        </w:tc>
        <w:tc>
          <w:tcPr>
            <w:tcW w:w="1424" w:type="dxa"/>
            <w:shd w:val="clear" w:color="auto" w:fill="C2D69B" w:themeFill="accent3" w:themeFillTint="99"/>
            <w:noWrap/>
            <w:hideMark/>
          </w:tcPr>
          <w:p w14:paraId="2562C77E" w14:textId="77777777" w:rsidR="001300D1" w:rsidRPr="008B619A" w:rsidRDefault="001300D1" w:rsidP="006400F0">
            <w:pPr>
              <w:widowControl/>
              <w:jc w:val="right"/>
              <w:cnfStyle w:val="000000000000" w:firstRow="0" w:lastRow="0" w:firstColumn="0" w:lastColumn="0" w:oddVBand="0" w:evenVBand="0" w:oddHBand="0"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330,579 </w:t>
            </w:r>
          </w:p>
        </w:tc>
        <w:tc>
          <w:tcPr>
            <w:tcW w:w="1057" w:type="dxa"/>
            <w:shd w:val="clear" w:color="auto" w:fill="CCC0D9" w:themeFill="accent4" w:themeFillTint="66"/>
            <w:noWrap/>
            <w:hideMark/>
          </w:tcPr>
          <w:p w14:paraId="598BE784" w14:textId="77777777" w:rsidR="001300D1" w:rsidRPr="008B619A" w:rsidRDefault="001300D1" w:rsidP="006400F0">
            <w:pPr>
              <w:widowControl/>
              <w:jc w:val="right"/>
              <w:cnfStyle w:val="000000000000" w:firstRow="0" w:lastRow="0" w:firstColumn="0" w:lastColumn="0" w:oddVBand="0" w:evenVBand="0" w:oddHBand="0"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42,941 </w:t>
            </w:r>
          </w:p>
        </w:tc>
        <w:tc>
          <w:tcPr>
            <w:tcW w:w="1197" w:type="dxa"/>
            <w:noWrap/>
            <w:hideMark/>
          </w:tcPr>
          <w:p w14:paraId="673D9C60" w14:textId="77777777" w:rsidR="001300D1" w:rsidRPr="008B619A" w:rsidRDefault="001300D1" w:rsidP="006400F0">
            <w:pPr>
              <w:widowControl/>
              <w:jc w:val="right"/>
              <w:cnfStyle w:val="000000000000" w:firstRow="0" w:lastRow="0" w:firstColumn="0" w:lastColumn="0" w:oddVBand="0" w:evenVBand="0" w:oddHBand="0"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146,895 </w:t>
            </w:r>
          </w:p>
        </w:tc>
        <w:tc>
          <w:tcPr>
            <w:tcW w:w="1197" w:type="dxa"/>
            <w:noWrap/>
            <w:hideMark/>
          </w:tcPr>
          <w:p w14:paraId="41A4FE85" w14:textId="77777777" w:rsidR="001300D1" w:rsidRPr="008B619A" w:rsidRDefault="001300D1" w:rsidP="006400F0">
            <w:pPr>
              <w:widowControl/>
              <w:jc w:val="right"/>
              <w:cnfStyle w:val="000000000000" w:firstRow="0" w:lastRow="0" w:firstColumn="0" w:lastColumn="0" w:oddVBand="0" w:evenVBand="0" w:oddHBand="0"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106,228 </w:t>
            </w:r>
          </w:p>
        </w:tc>
        <w:tc>
          <w:tcPr>
            <w:tcW w:w="1204" w:type="dxa"/>
            <w:noWrap/>
            <w:hideMark/>
          </w:tcPr>
          <w:p w14:paraId="71C50084" w14:textId="77777777" w:rsidR="001300D1" w:rsidRPr="008B619A" w:rsidRDefault="001300D1" w:rsidP="006400F0">
            <w:pPr>
              <w:widowControl/>
              <w:jc w:val="right"/>
              <w:cnfStyle w:val="000000000000" w:firstRow="0" w:lastRow="0" w:firstColumn="0" w:lastColumn="0" w:oddVBand="0" w:evenVBand="0" w:oddHBand="0"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24,346 </w:t>
            </w:r>
          </w:p>
        </w:tc>
        <w:tc>
          <w:tcPr>
            <w:tcW w:w="1057" w:type="dxa"/>
            <w:noWrap/>
            <w:hideMark/>
          </w:tcPr>
          <w:p w14:paraId="2DB1BDBE" w14:textId="77777777" w:rsidR="001300D1" w:rsidRPr="008B619A" w:rsidRDefault="001300D1" w:rsidP="006400F0">
            <w:pPr>
              <w:widowControl/>
              <w:jc w:val="right"/>
              <w:cnfStyle w:val="000000000000" w:firstRow="0" w:lastRow="0" w:firstColumn="0" w:lastColumn="0" w:oddVBand="0" w:evenVBand="0" w:oddHBand="0"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10,168 </w:t>
            </w:r>
          </w:p>
        </w:tc>
      </w:tr>
      <w:tr w:rsidR="001300D1" w:rsidRPr="008B619A" w14:paraId="026B0765" w14:textId="77777777" w:rsidTr="00AC21D6">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851" w:type="dxa"/>
            <w:vMerge/>
            <w:shd w:val="clear" w:color="auto" w:fill="FBD4B4" w:themeFill="accent6" w:themeFillTint="66"/>
            <w:hideMark/>
          </w:tcPr>
          <w:p w14:paraId="34CCBD7B" w14:textId="77777777" w:rsidR="001300D1" w:rsidRPr="008B619A" w:rsidRDefault="001300D1" w:rsidP="00326F81">
            <w:pPr>
              <w:widowControl/>
              <w:jc w:val="center"/>
              <w:rPr>
                <w:rFonts w:hAnsi="標楷體" w:cs="新細明體"/>
                <w:color w:val="000000" w:themeColor="text1"/>
                <w:kern w:val="0"/>
                <w:sz w:val="26"/>
                <w:szCs w:val="26"/>
              </w:rPr>
            </w:pPr>
          </w:p>
        </w:tc>
        <w:tc>
          <w:tcPr>
            <w:tcW w:w="2126" w:type="dxa"/>
            <w:noWrap/>
            <w:hideMark/>
          </w:tcPr>
          <w:p w14:paraId="2D8DD833" w14:textId="77777777" w:rsidR="001300D1" w:rsidRPr="008B619A" w:rsidRDefault="001300D1" w:rsidP="006400F0">
            <w:pPr>
              <w:widowControl/>
              <w:cnfStyle w:val="000000100000" w:firstRow="0" w:lastRow="0" w:firstColumn="0" w:lastColumn="0" w:oddVBand="0" w:evenVBand="0" w:oddHBand="1"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企業部門</w:t>
            </w:r>
          </w:p>
        </w:tc>
        <w:tc>
          <w:tcPr>
            <w:tcW w:w="1424" w:type="dxa"/>
            <w:shd w:val="clear" w:color="auto" w:fill="C2D69B" w:themeFill="accent3" w:themeFillTint="99"/>
            <w:noWrap/>
            <w:hideMark/>
          </w:tcPr>
          <w:p w14:paraId="35ABDF11" w14:textId="77777777" w:rsidR="001300D1" w:rsidRPr="008B619A" w:rsidRDefault="001300D1" w:rsidP="006400F0">
            <w:pPr>
              <w:widowControl/>
              <w:jc w:val="right"/>
              <w:cnfStyle w:val="000000100000" w:firstRow="0" w:lastRow="0" w:firstColumn="0" w:lastColumn="0" w:oddVBand="0" w:evenVBand="0" w:oddHBand="1"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236,839 </w:t>
            </w:r>
          </w:p>
        </w:tc>
        <w:tc>
          <w:tcPr>
            <w:tcW w:w="1057" w:type="dxa"/>
            <w:shd w:val="clear" w:color="auto" w:fill="CCC0D9" w:themeFill="accent4" w:themeFillTint="66"/>
            <w:noWrap/>
            <w:hideMark/>
          </w:tcPr>
          <w:p w14:paraId="1D994E0B" w14:textId="77777777" w:rsidR="001300D1" w:rsidRPr="008B619A" w:rsidRDefault="001300D1" w:rsidP="006400F0">
            <w:pPr>
              <w:widowControl/>
              <w:jc w:val="right"/>
              <w:cnfStyle w:val="000000100000" w:firstRow="0" w:lastRow="0" w:firstColumn="0" w:lastColumn="0" w:oddVBand="0" w:evenVBand="0" w:oddHBand="1"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8,741 </w:t>
            </w:r>
          </w:p>
        </w:tc>
        <w:tc>
          <w:tcPr>
            <w:tcW w:w="1197" w:type="dxa"/>
            <w:noWrap/>
            <w:hideMark/>
          </w:tcPr>
          <w:p w14:paraId="1D53BEAF" w14:textId="77777777" w:rsidR="001300D1" w:rsidRPr="008B619A" w:rsidRDefault="001300D1" w:rsidP="006400F0">
            <w:pPr>
              <w:widowControl/>
              <w:jc w:val="right"/>
              <w:cnfStyle w:val="000000100000" w:firstRow="0" w:lastRow="0" w:firstColumn="0" w:lastColumn="0" w:oddVBand="0" w:evenVBand="0" w:oddHBand="1"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106,972 </w:t>
            </w:r>
          </w:p>
        </w:tc>
        <w:tc>
          <w:tcPr>
            <w:tcW w:w="1197" w:type="dxa"/>
            <w:noWrap/>
            <w:hideMark/>
          </w:tcPr>
          <w:p w14:paraId="30C70C61" w14:textId="77777777" w:rsidR="001300D1" w:rsidRPr="008B619A" w:rsidRDefault="001300D1" w:rsidP="006400F0">
            <w:pPr>
              <w:widowControl/>
              <w:jc w:val="right"/>
              <w:cnfStyle w:val="000000100000" w:firstRow="0" w:lastRow="0" w:firstColumn="0" w:lastColumn="0" w:oddVBand="0" w:evenVBand="0" w:oddHBand="1"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91,619 </w:t>
            </w:r>
          </w:p>
        </w:tc>
        <w:tc>
          <w:tcPr>
            <w:tcW w:w="1204" w:type="dxa"/>
            <w:noWrap/>
            <w:hideMark/>
          </w:tcPr>
          <w:p w14:paraId="5F329FAE" w14:textId="77777777" w:rsidR="001300D1" w:rsidRPr="008B619A" w:rsidRDefault="001300D1" w:rsidP="006400F0">
            <w:pPr>
              <w:widowControl/>
              <w:jc w:val="right"/>
              <w:cnfStyle w:val="000000100000" w:firstRow="0" w:lastRow="0" w:firstColumn="0" w:lastColumn="0" w:oddVBand="0" w:evenVBand="0" w:oddHBand="1"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21,270 </w:t>
            </w:r>
          </w:p>
        </w:tc>
        <w:tc>
          <w:tcPr>
            <w:tcW w:w="1057" w:type="dxa"/>
            <w:noWrap/>
            <w:hideMark/>
          </w:tcPr>
          <w:p w14:paraId="3424CA20" w14:textId="77777777" w:rsidR="001300D1" w:rsidRPr="008B619A" w:rsidRDefault="001300D1" w:rsidP="006400F0">
            <w:pPr>
              <w:widowControl/>
              <w:jc w:val="right"/>
              <w:cnfStyle w:val="000000100000" w:firstRow="0" w:lastRow="0" w:firstColumn="0" w:lastColumn="0" w:oddVBand="0" w:evenVBand="0" w:oddHBand="1"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8,236 </w:t>
            </w:r>
          </w:p>
        </w:tc>
      </w:tr>
      <w:tr w:rsidR="001300D1" w:rsidRPr="008B619A" w14:paraId="3779AE9E" w14:textId="77777777" w:rsidTr="00AC21D6">
        <w:trPr>
          <w:trHeight w:val="330"/>
          <w:jc w:val="center"/>
        </w:trPr>
        <w:tc>
          <w:tcPr>
            <w:cnfStyle w:val="001000000000" w:firstRow="0" w:lastRow="0" w:firstColumn="1" w:lastColumn="0" w:oddVBand="0" w:evenVBand="0" w:oddHBand="0" w:evenHBand="0" w:firstRowFirstColumn="0" w:firstRowLastColumn="0" w:lastRowFirstColumn="0" w:lastRowLastColumn="0"/>
            <w:tcW w:w="851" w:type="dxa"/>
            <w:vMerge/>
            <w:shd w:val="clear" w:color="auto" w:fill="FBD4B4" w:themeFill="accent6" w:themeFillTint="66"/>
            <w:hideMark/>
          </w:tcPr>
          <w:p w14:paraId="5F075208" w14:textId="77777777" w:rsidR="001300D1" w:rsidRPr="008B619A" w:rsidRDefault="001300D1" w:rsidP="00326F81">
            <w:pPr>
              <w:widowControl/>
              <w:jc w:val="center"/>
              <w:rPr>
                <w:rFonts w:hAnsi="標楷體" w:cs="新細明體"/>
                <w:color w:val="000000" w:themeColor="text1"/>
                <w:kern w:val="0"/>
                <w:sz w:val="26"/>
                <w:szCs w:val="26"/>
              </w:rPr>
            </w:pPr>
          </w:p>
        </w:tc>
        <w:tc>
          <w:tcPr>
            <w:tcW w:w="2126" w:type="dxa"/>
            <w:noWrap/>
            <w:hideMark/>
          </w:tcPr>
          <w:p w14:paraId="36E2DA6C" w14:textId="77777777" w:rsidR="001300D1" w:rsidRPr="008B619A" w:rsidRDefault="001300D1" w:rsidP="006400F0">
            <w:pPr>
              <w:widowControl/>
              <w:cnfStyle w:val="000000000000" w:firstRow="0" w:lastRow="0" w:firstColumn="0" w:lastColumn="0" w:oddVBand="0" w:evenVBand="0" w:oddHBand="0"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政府部門</w:t>
            </w:r>
          </w:p>
        </w:tc>
        <w:tc>
          <w:tcPr>
            <w:tcW w:w="1424" w:type="dxa"/>
            <w:shd w:val="clear" w:color="auto" w:fill="C2D69B" w:themeFill="accent3" w:themeFillTint="99"/>
            <w:noWrap/>
            <w:hideMark/>
          </w:tcPr>
          <w:p w14:paraId="37E21FBA" w14:textId="77777777" w:rsidR="001300D1" w:rsidRPr="008B619A" w:rsidRDefault="001300D1" w:rsidP="006400F0">
            <w:pPr>
              <w:widowControl/>
              <w:jc w:val="right"/>
              <w:cnfStyle w:val="000000000000" w:firstRow="0" w:lastRow="0" w:firstColumn="0" w:lastColumn="0" w:oddVBand="0" w:evenVBand="0" w:oddHBand="0"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38,744 </w:t>
            </w:r>
          </w:p>
        </w:tc>
        <w:tc>
          <w:tcPr>
            <w:tcW w:w="1057" w:type="dxa"/>
            <w:shd w:val="clear" w:color="auto" w:fill="CCC0D9" w:themeFill="accent4" w:themeFillTint="66"/>
            <w:noWrap/>
            <w:hideMark/>
          </w:tcPr>
          <w:p w14:paraId="78E7E8C6" w14:textId="77777777" w:rsidR="001300D1" w:rsidRPr="008B619A" w:rsidRDefault="001300D1" w:rsidP="006400F0">
            <w:pPr>
              <w:widowControl/>
              <w:jc w:val="right"/>
              <w:cnfStyle w:val="000000000000" w:firstRow="0" w:lastRow="0" w:firstColumn="0" w:lastColumn="0" w:oddVBand="0" w:evenVBand="0" w:oddHBand="0"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7,370 </w:t>
            </w:r>
          </w:p>
        </w:tc>
        <w:tc>
          <w:tcPr>
            <w:tcW w:w="1197" w:type="dxa"/>
            <w:noWrap/>
            <w:hideMark/>
          </w:tcPr>
          <w:p w14:paraId="73D9FBB2" w14:textId="77777777" w:rsidR="001300D1" w:rsidRPr="008B619A" w:rsidRDefault="001300D1" w:rsidP="006400F0">
            <w:pPr>
              <w:widowControl/>
              <w:jc w:val="right"/>
              <w:cnfStyle w:val="000000000000" w:firstRow="0" w:lastRow="0" w:firstColumn="0" w:lastColumn="0" w:oddVBand="0" w:evenVBand="0" w:oddHBand="0"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17,570 </w:t>
            </w:r>
          </w:p>
        </w:tc>
        <w:tc>
          <w:tcPr>
            <w:tcW w:w="1197" w:type="dxa"/>
            <w:noWrap/>
            <w:hideMark/>
          </w:tcPr>
          <w:p w14:paraId="0C99E0F7" w14:textId="77777777" w:rsidR="001300D1" w:rsidRPr="008B619A" w:rsidRDefault="001300D1" w:rsidP="006400F0">
            <w:pPr>
              <w:widowControl/>
              <w:jc w:val="right"/>
              <w:cnfStyle w:val="000000000000" w:firstRow="0" w:lastRow="0" w:firstColumn="0" w:lastColumn="0" w:oddVBand="0" w:evenVBand="0" w:oddHBand="0"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9,435 </w:t>
            </w:r>
          </w:p>
        </w:tc>
        <w:tc>
          <w:tcPr>
            <w:tcW w:w="1204" w:type="dxa"/>
            <w:noWrap/>
            <w:hideMark/>
          </w:tcPr>
          <w:p w14:paraId="06581C9B" w14:textId="77777777" w:rsidR="001300D1" w:rsidRPr="008B619A" w:rsidRDefault="001300D1" w:rsidP="006400F0">
            <w:pPr>
              <w:widowControl/>
              <w:jc w:val="right"/>
              <w:cnfStyle w:val="000000000000" w:firstRow="0" w:lastRow="0" w:firstColumn="0" w:lastColumn="0" w:oddVBand="0" w:evenVBand="0" w:oddHBand="0"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2,604 </w:t>
            </w:r>
          </w:p>
        </w:tc>
        <w:tc>
          <w:tcPr>
            <w:tcW w:w="1057" w:type="dxa"/>
            <w:noWrap/>
            <w:hideMark/>
          </w:tcPr>
          <w:p w14:paraId="7D4E149C" w14:textId="77777777" w:rsidR="001300D1" w:rsidRPr="008B619A" w:rsidRDefault="001300D1" w:rsidP="006400F0">
            <w:pPr>
              <w:widowControl/>
              <w:jc w:val="right"/>
              <w:cnfStyle w:val="000000000000" w:firstRow="0" w:lastRow="0" w:firstColumn="0" w:lastColumn="0" w:oddVBand="0" w:evenVBand="0" w:oddHBand="0"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1,765 </w:t>
            </w:r>
          </w:p>
        </w:tc>
      </w:tr>
      <w:tr w:rsidR="001300D1" w:rsidRPr="008B619A" w14:paraId="77454063" w14:textId="77777777" w:rsidTr="00AC21D6">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851" w:type="dxa"/>
            <w:vMerge/>
            <w:shd w:val="clear" w:color="auto" w:fill="FBD4B4" w:themeFill="accent6" w:themeFillTint="66"/>
            <w:hideMark/>
          </w:tcPr>
          <w:p w14:paraId="522CA64F" w14:textId="77777777" w:rsidR="001300D1" w:rsidRPr="008B619A" w:rsidRDefault="001300D1" w:rsidP="00326F81">
            <w:pPr>
              <w:widowControl/>
              <w:jc w:val="center"/>
              <w:rPr>
                <w:rFonts w:hAnsi="標楷體" w:cs="新細明體"/>
                <w:color w:val="000000" w:themeColor="text1"/>
                <w:kern w:val="0"/>
                <w:sz w:val="26"/>
                <w:szCs w:val="26"/>
              </w:rPr>
            </w:pPr>
          </w:p>
        </w:tc>
        <w:tc>
          <w:tcPr>
            <w:tcW w:w="2126" w:type="dxa"/>
            <w:noWrap/>
            <w:hideMark/>
          </w:tcPr>
          <w:p w14:paraId="15F50669" w14:textId="77777777" w:rsidR="001300D1" w:rsidRPr="008B619A" w:rsidRDefault="001300D1" w:rsidP="006400F0">
            <w:pPr>
              <w:widowControl/>
              <w:cnfStyle w:val="000000100000" w:firstRow="0" w:lastRow="0" w:firstColumn="0" w:lastColumn="0" w:oddVBand="0" w:evenVBand="0" w:oddHBand="1"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高等教育部門</w:t>
            </w:r>
          </w:p>
        </w:tc>
        <w:tc>
          <w:tcPr>
            <w:tcW w:w="1424" w:type="dxa"/>
            <w:shd w:val="clear" w:color="auto" w:fill="C2D69B" w:themeFill="accent3" w:themeFillTint="99"/>
            <w:noWrap/>
            <w:hideMark/>
          </w:tcPr>
          <w:p w14:paraId="74039839" w14:textId="77777777" w:rsidR="001300D1" w:rsidRPr="008B619A" w:rsidRDefault="001300D1" w:rsidP="006400F0">
            <w:pPr>
              <w:widowControl/>
              <w:jc w:val="right"/>
              <w:cnfStyle w:val="000000100000" w:firstRow="0" w:lastRow="0" w:firstColumn="0" w:lastColumn="0" w:oddVBand="0" w:evenVBand="0" w:oddHBand="1"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54,262 </w:t>
            </w:r>
          </w:p>
        </w:tc>
        <w:tc>
          <w:tcPr>
            <w:tcW w:w="1057" w:type="dxa"/>
            <w:shd w:val="clear" w:color="auto" w:fill="CCC0D9" w:themeFill="accent4" w:themeFillTint="66"/>
            <w:noWrap/>
            <w:hideMark/>
          </w:tcPr>
          <w:p w14:paraId="48F3B7BF" w14:textId="77777777" w:rsidR="001300D1" w:rsidRPr="008B619A" w:rsidRDefault="001300D1" w:rsidP="006400F0">
            <w:pPr>
              <w:widowControl/>
              <w:jc w:val="right"/>
              <w:cnfStyle w:val="000000100000" w:firstRow="0" w:lastRow="0" w:firstColumn="0" w:lastColumn="0" w:oddVBand="0" w:evenVBand="0" w:oddHBand="1"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26,604 </w:t>
            </w:r>
          </w:p>
        </w:tc>
        <w:tc>
          <w:tcPr>
            <w:tcW w:w="1197" w:type="dxa"/>
            <w:noWrap/>
            <w:hideMark/>
          </w:tcPr>
          <w:p w14:paraId="48DCE9BC" w14:textId="77777777" w:rsidR="001300D1" w:rsidRPr="008B619A" w:rsidRDefault="001300D1" w:rsidP="006400F0">
            <w:pPr>
              <w:widowControl/>
              <w:jc w:val="right"/>
              <w:cnfStyle w:val="000000100000" w:firstRow="0" w:lastRow="0" w:firstColumn="0" w:lastColumn="0" w:oddVBand="0" w:evenVBand="0" w:oddHBand="1"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22,123 </w:t>
            </w:r>
          </w:p>
        </w:tc>
        <w:tc>
          <w:tcPr>
            <w:tcW w:w="1197" w:type="dxa"/>
            <w:noWrap/>
            <w:hideMark/>
          </w:tcPr>
          <w:p w14:paraId="5DFFB8D9" w14:textId="77777777" w:rsidR="001300D1" w:rsidRPr="008B619A" w:rsidRDefault="001300D1" w:rsidP="006400F0">
            <w:pPr>
              <w:widowControl/>
              <w:jc w:val="right"/>
              <w:cnfStyle w:val="000000100000" w:firstRow="0" w:lastRow="0" w:firstColumn="0" w:lastColumn="0" w:oddVBand="0" w:evenVBand="0" w:oddHBand="1"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4,990 </w:t>
            </w:r>
          </w:p>
        </w:tc>
        <w:tc>
          <w:tcPr>
            <w:tcW w:w="1204" w:type="dxa"/>
            <w:noWrap/>
            <w:hideMark/>
          </w:tcPr>
          <w:p w14:paraId="366337B9" w14:textId="77777777" w:rsidR="001300D1" w:rsidRPr="008B619A" w:rsidRDefault="001300D1" w:rsidP="006400F0">
            <w:pPr>
              <w:widowControl/>
              <w:jc w:val="right"/>
              <w:cnfStyle w:val="000000100000" w:firstRow="0" w:lastRow="0" w:firstColumn="0" w:lastColumn="0" w:oddVBand="0" w:evenVBand="0" w:oddHBand="1"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435 </w:t>
            </w:r>
          </w:p>
        </w:tc>
        <w:tc>
          <w:tcPr>
            <w:tcW w:w="1057" w:type="dxa"/>
            <w:noWrap/>
            <w:hideMark/>
          </w:tcPr>
          <w:p w14:paraId="175D7459" w14:textId="77777777" w:rsidR="001300D1" w:rsidRPr="008B619A" w:rsidRDefault="001300D1" w:rsidP="006400F0">
            <w:pPr>
              <w:widowControl/>
              <w:jc w:val="right"/>
              <w:cnfStyle w:val="000000100000" w:firstRow="0" w:lastRow="0" w:firstColumn="0" w:lastColumn="0" w:oddVBand="0" w:evenVBand="0" w:oddHBand="1"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110 </w:t>
            </w:r>
          </w:p>
        </w:tc>
      </w:tr>
      <w:tr w:rsidR="001300D1" w:rsidRPr="008B619A" w14:paraId="29917464" w14:textId="77777777" w:rsidTr="00AC21D6">
        <w:trPr>
          <w:trHeight w:val="330"/>
          <w:jc w:val="center"/>
        </w:trPr>
        <w:tc>
          <w:tcPr>
            <w:cnfStyle w:val="001000000000" w:firstRow="0" w:lastRow="0" w:firstColumn="1" w:lastColumn="0" w:oddVBand="0" w:evenVBand="0" w:oddHBand="0" w:evenHBand="0" w:firstRowFirstColumn="0" w:firstRowLastColumn="0" w:lastRowFirstColumn="0" w:lastRowLastColumn="0"/>
            <w:tcW w:w="851" w:type="dxa"/>
            <w:vMerge/>
            <w:shd w:val="clear" w:color="auto" w:fill="FBD4B4" w:themeFill="accent6" w:themeFillTint="66"/>
            <w:hideMark/>
          </w:tcPr>
          <w:p w14:paraId="36C40FCD" w14:textId="77777777" w:rsidR="001300D1" w:rsidRPr="008B619A" w:rsidRDefault="001300D1" w:rsidP="00326F81">
            <w:pPr>
              <w:widowControl/>
              <w:jc w:val="center"/>
              <w:rPr>
                <w:rFonts w:hAnsi="標楷體" w:cs="新細明體"/>
                <w:color w:val="000000" w:themeColor="text1"/>
                <w:kern w:val="0"/>
                <w:sz w:val="26"/>
                <w:szCs w:val="26"/>
              </w:rPr>
            </w:pPr>
          </w:p>
        </w:tc>
        <w:tc>
          <w:tcPr>
            <w:tcW w:w="2126" w:type="dxa"/>
            <w:noWrap/>
            <w:hideMark/>
          </w:tcPr>
          <w:p w14:paraId="1A9EEC70" w14:textId="77777777" w:rsidR="001300D1" w:rsidRPr="008B619A" w:rsidRDefault="001300D1" w:rsidP="006400F0">
            <w:pPr>
              <w:widowControl/>
              <w:cnfStyle w:val="000000000000" w:firstRow="0" w:lastRow="0" w:firstColumn="0" w:lastColumn="0" w:oddVBand="0" w:evenVBand="0" w:oddHBand="0"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私人非營利部門</w:t>
            </w:r>
          </w:p>
        </w:tc>
        <w:tc>
          <w:tcPr>
            <w:tcW w:w="1424" w:type="dxa"/>
            <w:shd w:val="clear" w:color="auto" w:fill="C2D69B" w:themeFill="accent3" w:themeFillTint="99"/>
            <w:noWrap/>
            <w:hideMark/>
          </w:tcPr>
          <w:p w14:paraId="5DE14AAB" w14:textId="77777777" w:rsidR="001300D1" w:rsidRPr="008B619A" w:rsidRDefault="001300D1" w:rsidP="006400F0">
            <w:pPr>
              <w:widowControl/>
              <w:jc w:val="right"/>
              <w:cnfStyle w:val="000000000000" w:firstRow="0" w:lastRow="0" w:firstColumn="0" w:lastColumn="0" w:oddVBand="0" w:evenVBand="0" w:oddHBand="0"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734 </w:t>
            </w:r>
          </w:p>
        </w:tc>
        <w:tc>
          <w:tcPr>
            <w:tcW w:w="1057" w:type="dxa"/>
            <w:shd w:val="clear" w:color="auto" w:fill="CCC0D9" w:themeFill="accent4" w:themeFillTint="66"/>
            <w:noWrap/>
            <w:hideMark/>
          </w:tcPr>
          <w:p w14:paraId="26FA74FD" w14:textId="77777777" w:rsidR="001300D1" w:rsidRPr="008B619A" w:rsidRDefault="001300D1" w:rsidP="006400F0">
            <w:pPr>
              <w:widowControl/>
              <w:jc w:val="right"/>
              <w:cnfStyle w:val="000000000000" w:firstRow="0" w:lastRow="0" w:firstColumn="0" w:lastColumn="0" w:oddVBand="0" w:evenVBand="0" w:oddHBand="0"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226 </w:t>
            </w:r>
          </w:p>
        </w:tc>
        <w:tc>
          <w:tcPr>
            <w:tcW w:w="1197" w:type="dxa"/>
            <w:noWrap/>
            <w:hideMark/>
          </w:tcPr>
          <w:p w14:paraId="7166D2D7" w14:textId="77777777" w:rsidR="001300D1" w:rsidRPr="008B619A" w:rsidRDefault="001300D1" w:rsidP="006400F0">
            <w:pPr>
              <w:widowControl/>
              <w:jc w:val="right"/>
              <w:cnfStyle w:val="000000000000" w:firstRow="0" w:lastRow="0" w:firstColumn="0" w:lastColumn="0" w:oddVBand="0" w:evenVBand="0" w:oddHBand="0"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230 </w:t>
            </w:r>
          </w:p>
        </w:tc>
        <w:tc>
          <w:tcPr>
            <w:tcW w:w="1197" w:type="dxa"/>
            <w:noWrap/>
            <w:hideMark/>
          </w:tcPr>
          <w:p w14:paraId="10B38682" w14:textId="77777777" w:rsidR="001300D1" w:rsidRPr="008B619A" w:rsidRDefault="001300D1" w:rsidP="006400F0">
            <w:pPr>
              <w:widowControl/>
              <w:jc w:val="right"/>
              <w:cnfStyle w:val="000000000000" w:firstRow="0" w:lastRow="0" w:firstColumn="0" w:lastColumn="0" w:oddVBand="0" w:evenVBand="0" w:oddHBand="0"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184 </w:t>
            </w:r>
          </w:p>
        </w:tc>
        <w:tc>
          <w:tcPr>
            <w:tcW w:w="1204" w:type="dxa"/>
            <w:noWrap/>
            <w:hideMark/>
          </w:tcPr>
          <w:p w14:paraId="523BDB34" w14:textId="77777777" w:rsidR="001300D1" w:rsidRPr="008B619A" w:rsidRDefault="001300D1" w:rsidP="006400F0">
            <w:pPr>
              <w:widowControl/>
              <w:jc w:val="right"/>
              <w:cnfStyle w:val="000000000000" w:firstRow="0" w:lastRow="0" w:firstColumn="0" w:lastColumn="0" w:oddVBand="0" w:evenVBand="0" w:oddHBand="0"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37 </w:t>
            </w:r>
          </w:p>
        </w:tc>
        <w:tc>
          <w:tcPr>
            <w:tcW w:w="1057" w:type="dxa"/>
            <w:noWrap/>
            <w:hideMark/>
          </w:tcPr>
          <w:p w14:paraId="5D5539A6" w14:textId="77777777" w:rsidR="001300D1" w:rsidRPr="008B619A" w:rsidRDefault="001300D1" w:rsidP="006400F0">
            <w:pPr>
              <w:widowControl/>
              <w:jc w:val="right"/>
              <w:cnfStyle w:val="000000000000" w:firstRow="0" w:lastRow="0" w:firstColumn="0" w:lastColumn="0" w:oddVBand="0" w:evenVBand="0" w:oddHBand="0"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57 </w:t>
            </w:r>
          </w:p>
        </w:tc>
      </w:tr>
      <w:tr w:rsidR="001300D1" w:rsidRPr="008B619A" w14:paraId="7614A944" w14:textId="77777777" w:rsidTr="00AC21D6">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851" w:type="dxa"/>
            <w:vMerge w:val="restart"/>
            <w:shd w:val="clear" w:color="auto" w:fill="FBD4B4" w:themeFill="accent6" w:themeFillTint="66"/>
            <w:noWrap/>
            <w:hideMark/>
          </w:tcPr>
          <w:p w14:paraId="4C2AE70F" w14:textId="77777777" w:rsidR="001300D1" w:rsidRPr="008B619A" w:rsidRDefault="001300D1" w:rsidP="00326F81">
            <w:pPr>
              <w:widowControl/>
              <w:jc w:val="center"/>
              <w:rPr>
                <w:rFonts w:hAnsi="標楷體" w:cs="新細明體"/>
                <w:color w:val="000000" w:themeColor="text1"/>
                <w:kern w:val="0"/>
                <w:sz w:val="26"/>
                <w:szCs w:val="26"/>
              </w:rPr>
            </w:pPr>
            <w:r w:rsidRPr="008B619A">
              <w:rPr>
                <w:rFonts w:hAnsi="標楷體" w:cs="新細明體"/>
                <w:color w:val="000000" w:themeColor="text1"/>
                <w:kern w:val="0"/>
                <w:sz w:val="26"/>
                <w:szCs w:val="26"/>
              </w:rPr>
              <w:t>108</w:t>
            </w:r>
          </w:p>
        </w:tc>
        <w:tc>
          <w:tcPr>
            <w:tcW w:w="2126" w:type="dxa"/>
            <w:noWrap/>
            <w:hideMark/>
          </w:tcPr>
          <w:p w14:paraId="24EF1646" w14:textId="77777777" w:rsidR="001300D1" w:rsidRPr="008B619A" w:rsidRDefault="001300D1" w:rsidP="006400F0">
            <w:pPr>
              <w:widowControl/>
              <w:cnfStyle w:val="000000100000" w:firstRow="0" w:lastRow="0" w:firstColumn="0" w:lastColumn="0" w:oddVBand="0" w:evenVBand="0" w:oddHBand="1"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全國</w:t>
            </w:r>
          </w:p>
        </w:tc>
        <w:tc>
          <w:tcPr>
            <w:tcW w:w="1424" w:type="dxa"/>
            <w:shd w:val="clear" w:color="auto" w:fill="C2D69B" w:themeFill="accent3" w:themeFillTint="99"/>
            <w:noWrap/>
            <w:hideMark/>
          </w:tcPr>
          <w:p w14:paraId="03363D85" w14:textId="77777777" w:rsidR="001300D1" w:rsidRPr="008B619A" w:rsidRDefault="001300D1" w:rsidP="006400F0">
            <w:pPr>
              <w:widowControl/>
              <w:jc w:val="right"/>
              <w:cnfStyle w:val="000000100000" w:firstRow="0" w:lastRow="0" w:firstColumn="0" w:lastColumn="0" w:oddVBand="0" w:evenVBand="0" w:oddHBand="1"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342,476 </w:t>
            </w:r>
          </w:p>
        </w:tc>
        <w:tc>
          <w:tcPr>
            <w:tcW w:w="1057" w:type="dxa"/>
            <w:shd w:val="clear" w:color="auto" w:fill="CCC0D9" w:themeFill="accent4" w:themeFillTint="66"/>
            <w:noWrap/>
            <w:hideMark/>
          </w:tcPr>
          <w:p w14:paraId="52E2D2BC" w14:textId="77777777" w:rsidR="001300D1" w:rsidRPr="008B619A" w:rsidRDefault="001300D1" w:rsidP="006400F0">
            <w:pPr>
              <w:widowControl/>
              <w:jc w:val="right"/>
              <w:cnfStyle w:val="000000100000" w:firstRow="0" w:lastRow="0" w:firstColumn="0" w:lastColumn="0" w:oddVBand="0" w:evenVBand="0" w:oddHBand="1"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43,332 </w:t>
            </w:r>
          </w:p>
        </w:tc>
        <w:tc>
          <w:tcPr>
            <w:tcW w:w="1197" w:type="dxa"/>
            <w:noWrap/>
            <w:hideMark/>
          </w:tcPr>
          <w:p w14:paraId="62BB51B6" w14:textId="77777777" w:rsidR="001300D1" w:rsidRPr="008B619A" w:rsidRDefault="001300D1" w:rsidP="006400F0">
            <w:pPr>
              <w:widowControl/>
              <w:jc w:val="right"/>
              <w:cnfStyle w:val="000000100000" w:firstRow="0" w:lastRow="0" w:firstColumn="0" w:lastColumn="0" w:oddVBand="0" w:evenVBand="0" w:oddHBand="1"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153,807 </w:t>
            </w:r>
          </w:p>
        </w:tc>
        <w:tc>
          <w:tcPr>
            <w:tcW w:w="1197" w:type="dxa"/>
            <w:noWrap/>
            <w:hideMark/>
          </w:tcPr>
          <w:p w14:paraId="473A94AC" w14:textId="77777777" w:rsidR="001300D1" w:rsidRPr="008B619A" w:rsidRDefault="001300D1" w:rsidP="006400F0">
            <w:pPr>
              <w:widowControl/>
              <w:jc w:val="right"/>
              <w:cnfStyle w:val="000000100000" w:firstRow="0" w:lastRow="0" w:firstColumn="0" w:lastColumn="0" w:oddVBand="0" w:evenVBand="0" w:oddHBand="1"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111,329 </w:t>
            </w:r>
          </w:p>
        </w:tc>
        <w:tc>
          <w:tcPr>
            <w:tcW w:w="1204" w:type="dxa"/>
            <w:noWrap/>
            <w:hideMark/>
          </w:tcPr>
          <w:p w14:paraId="2D66775B" w14:textId="77777777" w:rsidR="001300D1" w:rsidRPr="008B619A" w:rsidRDefault="001300D1" w:rsidP="006400F0">
            <w:pPr>
              <w:widowControl/>
              <w:jc w:val="right"/>
              <w:cnfStyle w:val="000000100000" w:firstRow="0" w:lastRow="0" w:firstColumn="0" w:lastColumn="0" w:oddVBand="0" w:evenVBand="0" w:oddHBand="1"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23,879 </w:t>
            </w:r>
          </w:p>
        </w:tc>
        <w:tc>
          <w:tcPr>
            <w:tcW w:w="1057" w:type="dxa"/>
            <w:noWrap/>
            <w:hideMark/>
          </w:tcPr>
          <w:p w14:paraId="4EFDB4FA" w14:textId="77777777" w:rsidR="001300D1" w:rsidRPr="008B619A" w:rsidRDefault="001300D1" w:rsidP="006400F0">
            <w:pPr>
              <w:widowControl/>
              <w:jc w:val="right"/>
              <w:cnfStyle w:val="000000100000" w:firstRow="0" w:lastRow="0" w:firstColumn="0" w:lastColumn="0" w:oddVBand="0" w:evenVBand="0" w:oddHBand="1"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10,130 </w:t>
            </w:r>
          </w:p>
        </w:tc>
      </w:tr>
      <w:tr w:rsidR="001300D1" w:rsidRPr="008B619A" w14:paraId="60EC5A97" w14:textId="77777777" w:rsidTr="00AC21D6">
        <w:trPr>
          <w:trHeight w:val="330"/>
          <w:jc w:val="center"/>
        </w:trPr>
        <w:tc>
          <w:tcPr>
            <w:cnfStyle w:val="001000000000" w:firstRow="0" w:lastRow="0" w:firstColumn="1" w:lastColumn="0" w:oddVBand="0" w:evenVBand="0" w:oddHBand="0" w:evenHBand="0" w:firstRowFirstColumn="0" w:firstRowLastColumn="0" w:lastRowFirstColumn="0" w:lastRowLastColumn="0"/>
            <w:tcW w:w="851" w:type="dxa"/>
            <w:vMerge/>
            <w:shd w:val="clear" w:color="auto" w:fill="FBD4B4" w:themeFill="accent6" w:themeFillTint="66"/>
            <w:hideMark/>
          </w:tcPr>
          <w:p w14:paraId="11AE9CBA" w14:textId="77777777" w:rsidR="001300D1" w:rsidRPr="008B619A" w:rsidRDefault="001300D1" w:rsidP="00326F81">
            <w:pPr>
              <w:widowControl/>
              <w:jc w:val="center"/>
              <w:rPr>
                <w:rFonts w:hAnsi="標楷體" w:cs="新細明體"/>
                <w:color w:val="000000" w:themeColor="text1"/>
                <w:kern w:val="0"/>
                <w:sz w:val="26"/>
                <w:szCs w:val="26"/>
              </w:rPr>
            </w:pPr>
          </w:p>
        </w:tc>
        <w:tc>
          <w:tcPr>
            <w:tcW w:w="2126" w:type="dxa"/>
            <w:noWrap/>
            <w:hideMark/>
          </w:tcPr>
          <w:p w14:paraId="72BF4B55" w14:textId="77777777" w:rsidR="001300D1" w:rsidRPr="008B619A" w:rsidRDefault="001300D1" w:rsidP="006400F0">
            <w:pPr>
              <w:widowControl/>
              <w:cnfStyle w:val="000000000000" w:firstRow="0" w:lastRow="0" w:firstColumn="0" w:lastColumn="0" w:oddVBand="0" w:evenVBand="0" w:oddHBand="0"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企業部門</w:t>
            </w:r>
          </w:p>
        </w:tc>
        <w:tc>
          <w:tcPr>
            <w:tcW w:w="1424" w:type="dxa"/>
            <w:shd w:val="clear" w:color="auto" w:fill="C2D69B" w:themeFill="accent3" w:themeFillTint="99"/>
            <w:noWrap/>
            <w:hideMark/>
          </w:tcPr>
          <w:p w14:paraId="2FB9EBD3" w14:textId="77777777" w:rsidR="001300D1" w:rsidRPr="008B619A" w:rsidRDefault="001300D1" w:rsidP="006400F0">
            <w:pPr>
              <w:widowControl/>
              <w:jc w:val="right"/>
              <w:cnfStyle w:val="000000000000" w:firstRow="0" w:lastRow="0" w:firstColumn="0" w:lastColumn="0" w:oddVBand="0" w:evenVBand="0" w:oddHBand="0"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246,354 </w:t>
            </w:r>
          </w:p>
        </w:tc>
        <w:tc>
          <w:tcPr>
            <w:tcW w:w="1057" w:type="dxa"/>
            <w:shd w:val="clear" w:color="auto" w:fill="CCC0D9" w:themeFill="accent4" w:themeFillTint="66"/>
            <w:noWrap/>
            <w:hideMark/>
          </w:tcPr>
          <w:p w14:paraId="0A98BF85" w14:textId="77777777" w:rsidR="001300D1" w:rsidRPr="008B619A" w:rsidRDefault="001300D1" w:rsidP="006400F0">
            <w:pPr>
              <w:widowControl/>
              <w:jc w:val="right"/>
              <w:cnfStyle w:val="000000000000" w:firstRow="0" w:lastRow="0" w:firstColumn="0" w:lastColumn="0" w:oddVBand="0" w:evenVBand="0" w:oddHBand="0"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9,039 </w:t>
            </w:r>
          </w:p>
        </w:tc>
        <w:tc>
          <w:tcPr>
            <w:tcW w:w="1197" w:type="dxa"/>
            <w:noWrap/>
            <w:hideMark/>
          </w:tcPr>
          <w:p w14:paraId="20F7F7D5" w14:textId="77777777" w:rsidR="001300D1" w:rsidRPr="008B619A" w:rsidRDefault="001300D1" w:rsidP="006400F0">
            <w:pPr>
              <w:widowControl/>
              <w:jc w:val="right"/>
              <w:cnfStyle w:val="000000000000" w:firstRow="0" w:lastRow="0" w:firstColumn="0" w:lastColumn="0" w:oddVBand="0" w:evenVBand="0" w:oddHBand="0"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112,517 </w:t>
            </w:r>
          </w:p>
        </w:tc>
        <w:tc>
          <w:tcPr>
            <w:tcW w:w="1197" w:type="dxa"/>
            <w:noWrap/>
            <w:hideMark/>
          </w:tcPr>
          <w:p w14:paraId="63EB67CA" w14:textId="77777777" w:rsidR="001300D1" w:rsidRPr="008B619A" w:rsidRDefault="001300D1" w:rsidP="006400F0">
            <w:pPr>
              <w:widowControl/>
              <w:jc w:val="right"/>
              <w:cnfStyle w:val="000000000000" w:firstRow="0" w:lastRow="0" w:firstColumn="0" w:lastColumn="0" w:oddVBand="0" w:evenVBand="0" w:oddHBand="0"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95,753 </w:t>
            </w:r>
          </w:p>
        </w:tc>
        <w:tc>
          <w:tcPr>
            <w:tcW w:w="1204" w:type="dxa"/>
            <w:noWrap/>
            <w:hideMark/>
          </w:tcPr>
          <w:p w14:paraId="58F9A02D" w14:textId="77777777" w:rsidR="001300D1" w:rsidRPr="008B619A" w:rsidRDefault="001300D1" w:rsidP="006400F0">
            <w:pPr>
              <w:widowControl/>
              <w:jc w:val="right"/>
              <w:cnfStyle w:val="000000000000" w:firstRow="0" w:lastRow="0" w:firstColumn="0" w:lastColumn="0" w:oddVBand="0" w:evenVBand="0" w:oddHBand="0"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20,733 </w:t>
            </w:r>
          </w:p>
        </w:tc>
        <w:tc>
          <w:tcPr>
            <w:tcW w:w="1057" w:type="dxa"/>
            <w:noWrap/>
            <w:hideMark/>
          </w:tcPr>
          <w:p w14:paraId="7B82B87C" w14:textId="77777777" w:rsidR="001300D1" w:rsidRPr="008B619A" w:rsidRDefault="001300D1" w:rsidP="006400F0">
            <w:pPr>
              <w:widowControl/>
              <w:jc w:val="right"/>
              <w:cnfStyle w:val="000000000000" w:firstRow="0" w:lastRow="0" w:firstColumn="0" w:lastColumn="0" w:oddVBand="0" w:evenVBand="0" w:oddHBand="0"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8,313 </w:t>
            </w:r>
          </w:p>
        </w:tc>
      </w:tr>
      <w:tr w:rsidR="001300D1" w:rsidRPr="008B619A" w14:paraId="5C83D90D" w14:textId="77777777" w:rsidTr="00AC21D6">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851" w:type="dxa"/>
            <w:vMerge/>
            <w:shd w:val="clear" w:color="auto" w:fill="FBD4B4" w:themeFill="accent6" w:themeFillTint="66"/>
            <w:hideMark/>
          </w:tcPr>
          <w:p w14:paraId="665C4246" w14:textId="77777777" w:rsidR="001300D1" w:rsidRPr="008B619A" w:rsidRDefault="001300D1" w:rsidP="00326F81">
            <w:pPr>
              <w:widowControl/>
              <w:jc w:val="center"/>
              <w:rPr>
                <w:rFonts w:hAnsi="標楷體" w:cs="新細明體"/>
                <w:color w:val="000000" w:themeColor="text1"/>
                <w:kern w:val="0"/>
                <w:sz w:val="26"/>
                <w:szCs w:val="26"/>
              </w:rPr>
            </w:pPr>
          </w:p>
        </w:tc>
        <w:tc>
          <w:tcPr>
            <w:tcW w:w="2126" w:type="dxa"/>
            <w:noWrap/>
            <w:hideMark/>
          </w:tcPr>
          <w:p w14:paraId="7C675516" w14:textId="77777777" w:rsidR="001300D1" w:rsidRPr="008B619A" w:rsidRDefault="001300D1" w:rsidP="006400F0">
            <w:pPr>
              <w:widowControl/>
              <w:cnfStyle w:val="000000100000" w:firstRow="0" w:lastRow="0" w:firstColumn="0" w:lastColumn="0" w:oddVBand="0" w:evenVBand="0" w:oddHBand="1"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政府部門</w:t>
            </w:r>
          </w:p>
        </w:tc>
        <w:tc>
          <w:tcPr>
            <w:tcW w:w="1424" w:type="dxa"/>
            <w:shd w:val="clear" w:color="auto" w:fill="C2D69B" w:themeFill="accent3" w:themeFillTint="99"/>
            <w:noWrap/>
            <w:hideMark/>
          </w:tcPr>
          <w:p w14:paraId="23382F25" w14:textId="77777777" w:rsidR="001300D1" w:rsidRPr="008B619A" w:rsidRDefault="001300D1" w:rsidP="006400F0">
            <w:pPr>
              <w:widowControl/>
              <w:jc w:val="right"/>
              <w:cnfStyle w:val="000000100000" w:firstRow="0" w:lastRow="0" w:firstColumn="0" w:lastColumn="0" w:oddVBand="0" w:evenVBand="0" w:oddHBand="1"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41,054 </w:t>
            </w:r>
          </w:p>
        </w:tc>
        <w:tc>
          <w:tcPr>
            <w:tcW w:w="1057" w:type="dxa"/>
            <w:shd w:val="clear" w:color="auto" w:fill="CCC0D9" w:themeFill="accent4" w:themeFillTint="66"/>
            <w:noWrap/>
            <w:hideMark/>
          </w:tcPr>
          <w:p w14:paraId="3D75658D" w14:textId="77777777" w:rsidR="001300D1" w:rsidRPr="008B619A" w:rsidRDefault="001300D1" w:rsidP="006400F0">
            <w:pPr>
              <w:widowControl/>
              <w:jc w:val="right"/>
              <w:cnfStyle w:val="000000100000" w:firstRow="0" w:lastRow="0" w:firstColumn="0" w:lastColumn="0" w:oddVBand="0" w:evenVBand="0" w:oddHBand="1"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7,495 </w:t>
            </w:r>
          </w:p>
        </w:tc>
        <w:tc>
          <w:tcPr>
            <w:tcW w:w="1197" w:type="dxa"/>
            <w:noWrap/>
            <w:hideMark/>
          </w:tcPr>
          <w:p w14:paraId="5BC59428" w14:textId="77777777" w:rsidR="001300D1" w:rsidRPr="008B619A" w:rsidRDefault="001300D1" w:rsidP="006400F0">
            <w:pPr>
              <w:widowControl/>
              <w:jc w:val="right"/>
              <w:cnfStyle w:val="000000100000" w:firstRow="0" w:lastRow="0" w:firstColumn="0" w:lastColumn="0" w:oddVBand="0" w:evenVBand="0" w:oddHBand="1"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18,903 </w:t>
            </w:r>
          </w:p>
        </w:tc>
        <w:tc>
          <w:tcPr>
            <w:tcW w:w="1197" w:type="dxa"/>
            <w:noWrap/>
            <w:hideMark/>
          </w:tcPr>
          <w:p w14:paraId="45D1BCBD" w14:textId="77777777" w:rsidR="001300D1" w:rsidRPr="008B619A" w:rsidRDefault="001300D1" w:rsidP="006400F0">
            <w:pPr>
              <w:widowControl/>
              <w:jc w:val="right"/>
              <w:cnfStyle w:val="000000100000" w:firstRow="0" w:lastRow="0" w:firstColumn="0" w:lastColumn="0" w:oddVBand="0" w:evenVBand="0" w:oddHBand="1"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10,355 </w:t>
            </w:r>
          </w:p>
        </w:tc>
        <w:tc>
          <w:tcPr>
            <w:tcW w:w="1204" w:type="dxa"/>
            <w:noWrap/>
            <w:hideMark/>
          </w:tcPr>
          <w:p w14:paraId="1A428251" w14:textId="77777777" w:rsidR="001300D1" w:rsidRPr="008B619A" w:rsidRDefault="001300D1" w:rsidP="006400F0">
            <w:pPr>
              <w:widowControl/>
              <w:jc w:val="right"/>
              <w:cnfStyle w:val="000000100000" w:firstRow="0" w:lastRow="0" w:firstColumn="0" w:lastColumn="0" w:oddVBand="0" w:evenVBand="0" w:oddHBand="1"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2,637 </w:t>
            </w:r>
          </w:p>
        </w:tc>
        <w:tc>
          <w:tcPr>
            <w:tcW w:w="1057" w:type="dxa"/>
            <w:noWrap/>
            <w:hideMark/>
          </w:tcPr>
          <w:p w14:paraId="048E273C" w14:textId="77777777" w:rsidR="001300D1" w:rsidRPr="008B619A" w:rsidRDefault="001300D1" w:rsidP="006400F0">
            <w:pPr>
              <w:widowControl/>
              <w:jc w:val="right"/>
              <w:cnfStyle w:val="000000100000" w:firstRow="0" w:lastRow="0" w:firstColumn="0" w:lastColumn="0" w:oddVBand="0" w:evenVBand="0" w:oddHBand="1"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1,664 </w:t>
            </w:r>
          </w:p>
        </w:tc>
      </w:tr>
      <w:tr w:rsidR="001300D1" w:rsidRPr="008B619A" w14:paraId="60E11A69" w14:textId="77777777" w:rsidTr="00AC21D6">
        <w:trPr>
          <w:trHeight w:val="330"/>
          <w:jc w:val="center"/>
        </w:trPr>
        <w:tc>
          <w:tcPr>
            <w:cnfStyle w:val="001000000000" w:firstRow="0" w:lastRow="0" w:firstColumn="1" w:lastColumn="0" w:oddVBand="0" w:evenVBand="0" w:oddHBand="0" w:evenHBand="0" w:firstRowFirstColumn="0" w:firstRowLastColumn="0" w:lastRowFirstColumn="0" w:lastRowLastColumn="0"/>
            <w:tcW w:w="851" w:type="dxa"/>
            <w:vMerge/>
            <w:shd w:val="clear" w:color="auto" w:fill="FBD4B4" w:themeFill="accent6" w:themeFillTint="66"/>
            <w:hideMark/>
          </w:tcPr>
          <w:p w14:paraId="492AA0AA" w14:textId="77777777" w:rsidR="001300D1" w:rsidRPr="008B619A" w:rsidRDefault="001300D1" w:rsidP="00326F81">
            <w:pPr>
              <w:widowControl/>
              <w:jc w:val="center"/>
              <w:rPr>
                <w:rFonts w:hAnsi="標楷體" w:cs="新細明體"/>
                <w:color w:val="000000" w:themeColor="text1"/>
                <w:kern w:val="0"/>
                <w:sz w:val="26"/>
                <w:szCs w:val="26"/>
              </w:rPr>
            </w:pPr>
          </w:p>
        </w:tc>
        <w:tc>
          <w:tcPr>
            <w:tcW w:w="2126" w:type="dxa"/>
            <w:noWrap/>
            <w:hideMark/>
          </w:tcPr>
          <w:p w14:paraId="0362648A" w14:textId="77777777" w:rsidR="001300D1" w:rsidRPr="008B619A" w:rsidRDefault="001300D1" w:rsidP="006400F0">
            <w:pPr>
              <w:widowControl/>
              <w:cnfStyle w:val="000000000000" w:firstRow="0" w:lastRow="0" w:firstColumn="0" w:lastColumn="0" w:oddVBand="0" w:evenVBand="0" w:oddHBand="0"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高等教育部門</w:t>
            </w:r>
          </w:p>
        </w:tc>
        <w:tc>
          <w:tcPr>
            <w:tcW w:w="1424" w:type="dxa"/>
            <w:shd w:val="clear" w:color="auto" w:fill="C2D69B" w:themeFill="accent3" w:themeFillTint="99"/>
            <w:noWrap/>
            <w:hideMark/>
          </w:tcPr>
          <w:p w14:paraId="70B7C03F" w14:textId="77777777" w:rsidR="001300D1" w:rsidRPr="008B619A" w:rsidRDefault="001300D1" w:rsidP="006400F0">
            <w:pPr>
              <w:widowControl/>
              <w:jc w:val="right"/>
              <w:cnfStyle w:val="000000000000" w:firstRow="0" w:lastRow="0" w:firstColumn="0" w:lastColumn="0" w:oddVBand="0" w:evenVBand="0" w:oddHBand="0"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54,345 </w:t>
            </w:r>
          </w:p>
        </w:tc>
        <w:tc>
          <w:tcPr>
            <w:tcW w:w="1057" w:type="dxa"/>
            <w:shd w:val="clear" w:color="auto" w:fill="CCC0D9" w:themeFill="accent4" w:themeFillTint="66"/>
            <w:noWrap/>
            <w:hideMark/>
          </w:tcPr>
          <w:p w14:paraId="545720FB" w14:textId="77777777" w:rsidR="001300D1" w:rsidRPr="008B619A" w:rsidRDefault="001300D1" w:rsidP="006400F0">
            <w:pPr>
              <w:widowControl/>
              <w:jc w:val="right"/>
              <w:cnfStyle w:val="000000000000" w:firstRow="0" w:lastRow="0" w:firstColumn="0" w:lastColumn="0" w:oddVBand="0" w:evenVBand="0" w:oddHBand="0"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26,593 </w:t>
            </w:r>
          </w:p>
        </w:tc>
        <w:tc>
          <w:tcPr>
            <w:tcW w:w="1197" w:type="dxa"/>
            <w:noWrap/>
            <w:hideMark/>
          </w:tcPr>
          <w:p w14:paraId="2D990CD5" w14:textId="77777777" w:rsidR="001300D1" w:rsidRPr="008B619A" w:rsidRDefault="001300D1" w:rsidP="006400F0">
            <w:pPr>
              <w:widowControl/>
              <w:jc w:val="right"/>
              <w:cnfStyle w:val="000000000000" w:firstRow="0" w:lastRow="0" w:firstColumn="0" w:lastColumn="0" w:oddVBand="0" w:evenVBand="0" w:oddHBand="0"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22,156 </w:t>
            </w:r>
          </w:p>
        </w:tc>
        <w:tc>
          <w:tcPr>
            <w:tcW w:w="1197" w:type="dxa"/>
            <w:noWrap/>
            <w:hideMark/>
          </w:tcPr>
          <w:p w14:paraId="638E2470" w14:textId="77777777" w:rsidR="001300D1" w:rsidRPr="008B619A" w:rsidRDefault="001300D1" w:rsidP="006400F0">
            <w:pPr>
              <w:widowControl/>
              <w:jc w:val="right"/>
              <w:cnfStyle w:val="000000000000" w:firstRow="0" w:lastRow="0" w:firstColumn="0" w:lastColumn="0" w:oddVBand="0" w:evenVBand="0" w:oddHBand="0"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5,027 </w:t>
            </w:r>
          </w:p>
        </w:tc>
        <w:tc>
          <w:tcPr>
            <w:tcW w:w="1204" w:type="dxa"/>
            <w:noWrap/>
            <w:hideMark/>
          </w:tcPr>
          <w:p w14:paraId="5F18CD74" w14:textId="77777777" w:rsidR="001300D1" w:rsidRPr="008B619A" w:rsidRDefault="001300D1" w:rsidP="006400F0">
            <w:pPr>
              <w:widowControl/>
              <w:jc w:val="right"/>
              <w:cnfStyle w:val="000000000000" w:firstRow="0" w:lastRow="0" w:firstColumn="0" w:lastColumn="0" w:oddVBand="0" w:evenVBand="0" w:oddHBand="0"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470 </w:t>
            </w:r>
          </w:p>
        </w:tc>
        <w:tc>
          <w:tcPr>
            <w:tcW w:w="1057" w:type="dxa"/>
            <w:noWrap/>
            <w:hideMark/>
          </w:tcPr>
          <w:p w14:paraId="558EC324" w14:textId="77777777" w:rsidR="001300D1" w:rsidRPr="008B619A" w:rsidRDefault="001300D1" w:rsidP="006400F0">
            <w:pPr>
              <w:widowControl/>
              <w:jc w:val="right"/>
              <w:cnfStyle w:val="000000000000" w:firstRow="0" w:lastRow="0" w:firstColumn="0" w:lastColumn="0" w:oddVBand="0" w:evenVBand="0" w:oddHBand="0"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99 </w:t>
            </w:r>
          </w:p>
        </w:tc>
      </w:tr>
      <w:tr w:rsidR="001300D1" w:rsidRPr="008B619A" w14:paraId="43875451" w14:textId="77777777" w:rsidTr="00AC21D6">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851" w:type="dxa"/>
            <w:vMerge/>
            <w:shd w:val="clear" w:color="auto" w:fill="FBD4B4" w:themeFill="accent6" w:themeFillTint="66"/>
            <w:hideMark/>
          </w:tcPr>
          <w:p w14:paraId="36BF2249" w14:textId="77777777" w:rsidR="001300D1" w:rsidRPr="008B619A" w:rsidRDefault="001300D1" w:rsidP="00326F81">
            <w:pPr>
              <w:widowControl/>
              <w:jc w:val="center"/>
              <w:rPr>
                <w:rFonts w:hAnsi="標楷體" w:cs="新細明體"/>
                <w:color w:val="000000" w:themeColor="text1"/>
                <w:kern w:val="0"/>
                <w:sz w:val="26"/>
                <w:szCs w:val="26"/>
              </w:rPr>
            </w:pPr>
          </w:p>
        </w:tc>
        <w:tc>
          <w:tcPr>
            <w:tcW w:w="2126" w:type="dxa"/>
            <w:noWrap/>
            <w:hideMark/>
          </w:tcPr>
          <w:p w14:paraId="5D9312D3" w14:textId="77777777" w:rsidR="001300D1" w:rsidRPr="008B619A" w:rsidRDefault="001300D1" w:rsidP="006400F0">
            <w:pPr>
              <w:widowControl/>
              <w:cnfStyle w:val="000000100000" w:firstRow="0" w:lastRow="0" w:firstColumn="0" w:lastColumn="0" w:oddVBand="0" w:evenVBand="0" w:oddHBand="1"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私人非營利部門</w:t>
            </w:r>
          </w:p>
        </w:tc>
        <w:tc>
          <w:tcPr>
            <w:tcW w:w="1424" w:type="dxa"/>
            <w:shd w:val="clear" w:color="auto" w:fill="C2D69B" w:themeFill="accent3" w:themeFillTint="99"/>
            <w:noWrap/>
            <w:hideMark/>
          </w:tcPr>
          <w:p w14:paraId="6E460D5A" w14:textId="77777777" w:rsidR="001300D1" w:rsidRPr="008B619A" w:rsidRDefault="001300D1" w:rsidP="006400F0">
            <w:pPr>
              <w:widowControl/>
              <w:jc w:val="right"/>
              <w:cnfStyle w:val="000000100000" w:firstRow="0" w:lastRow="0" w:firstColumn="0" w:lastColumn="0" w:oddVBand="0" w:evenVBand="0" w:oddHBand="1"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723 </w:t>
            </w:r>
          </w:p>
        </w:tc>
        <w:tc>
          <w:tcPr>
            <w:tcW w:w="1057" w:type="dxa"/>
            <w:shd w:val="clear" w:color="auto" w:fill="CCC0D9" w:themeFill="accent4" w:themeFillTint="66"/>
            <w:noWrap/>
            <w:hideMark/>
          </w:tcPr>
          <w:p w14:paraId="107B3AB2" w14:textId="77777777" w:rsidR="001300D1" w:rsidRPr="008B619A" w:rsidRDefault="001300D1" w:rsidP="006400F0">
            <w:pPr>
              <w:widowControl/>
              <w:jc w:val="right"/>
              <w:cnfStyle w:val="000000100000" w:firstRow="0" w:lastRow="0" w:firstColumn="0" w:lastColumn="0" w:oddVBand="0" w:evenVBand="0" w:oddHBand="1"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205 </w:t>
            </w:r>
          </w:p>
        </w:tc>
        <w:tc>
          <w:tcPr>
            <w:tcW w:w="1197" w:type="dxa"/>
            <w:noWrap/>
            <w:hideMark/>
          </w:tcPr>
          <w:p w14:paraId="62878206" w14:textId="77777777" w:rsidR="001300D1" w:rsidRPr="008B619A" w:rsidRDefault="001300D1" w:rsidP="006400F0">
            <w:pPr>
              <w:widowControl/>
              <w:jc w:val="right"/>
              <w:cnfStyle w:val="000000100000" w:firstRow="0" w:lastRow="0" w:firstColumn="0" w:lastColumn="0" w:oddVBand="0" w:evenVBand="0" w:oddHBand="1"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231 </w:t>
            </w:r>
          </w:p>
        </w:tc>
        <w:tc>
          <w:tcPr>
            <w:tcW w:w="1197" w:type="dxa"/>
            <w:noWrap/>
            <w:hideMark/>
          </w:tcPr>
          <w:p w14:paraId="03940556" w14:textId="77777777" w:rsidR="001300D1" w:rsidRPr="008B619A" w:rsidRDefault="001300D1" w:rsidP="006400F0">
            <w:pPr>
              <w:widowControl/>
              <w:jc w:val="right"/>
              <w:cnfStyle w:val="000000100000" w:firstRow="0" w:lastRow="0" w:firstColumn="0" w:lastColumn="0" w:oddVBand="0" w:evenVBand="0" w:oddHBand="1"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194 </w:t>
            </w:r>
          </w:p>
        </w:tc>
        <w:tc>
          <w:tcPr>
            <w:tcW w:w="1204" w:type="dxa"/>
            <w:noWrap/>
            <w:hideMark/>
          </w:tcPr>
          <w:p w14:paraId="609D6FF5" w14:textId="77777777" w:rsidR="001300D1" w:rsidRPr="008B619A" w:rsidRDefault="001300D1" w:rsidP="006400F0">
            <w:pPr>
              <w:widowControl/>
              <w:jc w:val="right"/>
              <w:cnfStyle w:val="000000100000" w:firstRow="0" w:lastRow="0" w:firstColumn="0" w:lastColumn="0" w:oddVBand="0" w:evenVBand="0" w:oddHBand="1"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39 </w:t>
            </w:r>
          </w:p>
        </w:tc>
        <w:tc>
          <w:tcPr>
            <w:tcW w:w="1057" w:type="dxa"/>
            <w:noWrap/>
            <w:hideMark/>
          </w:tcPr>
          <w:p w14:paraId="12DD014B" w14:textId="77777777" w:rsidR="001300D1" w:rsidRPr="008B619A" w:rsidRDefault="001300D1" w:rsidP="006400F0">
            <w:pPr>
              <w:widowControl/>
              <w:jc w:val="right"/>
              <w:cnfStyle w:val="000000100000" w:firstRow="0" w:lastRow="0" w:firstColumn="0" w:lastColumn="0" w:oddVBand="0" w:evenVBand="0" w:oddHBand="1" w:evenHBand="0" w:firstRowFirstColumn="0" w:firstRowLastColumn="0" w:lastRowFirstColumn="0" w:lastRowLastColumn="0"/>
              <w:rPr>
                <w:rFonts w:hAnsi="標楷體" w:cs="新細明體"/>
                <w:color w:val="000000" w:themeColor="text1"/>
                <w:kern w:val="0"/>
                <w:sz w:val="26"/>
                <w:szCs w:val="26"/>
              </w:rPr>
            </w:pPr>
            <w:r w:rsidRPr="008B619A">
              <w:rPr>
                <w:rFonts w:hAnsi="標楷體" w:cs="新細明體" w:hint="eastAsia"/>
                <w:color w:val="000000" w:themeColor="text1"/>
                <w:kern w:val="0"/>
                <w:sz w:val="26"/>
                <w:szCs w:val="26"/>
              </w:rPr>
              <w:t xml:space="preserve">54 </w:t>
            </w:r>
          </w:p>
        </w:tc>
      </w:tr>
    </w:tbl>
    <w:p w14:paraId="33FD0341" w14:textId="0C9117F8" w:rsidR="0043500F" w:rsidRPr="008B619A" w:rsidRDefault="00387E1F" w:rsidP="00DA6435">
      <w:pPr>
        <w:pStyle w:val="afb"/>
        <w:spacing w:afterLines="50" w:after="228" w:line="440" w:lineRule="exact"/>
        <w:ind w:leftChars="-263" w:left="-4" w:right="680" w:hangingChars="262" w:hanging="891"/>
        <w:rPr>
          <w:rFonts w:ascii="Times New Roman"/>
          <w:color w:val="000000" w:themeColor="text1"/>
          <w:kern w:val="0"/>
          <w:sz w:val="24"/>
          <w:szCs w:val="24"/>
        </w:rPr>
      </w:pPr>
      <w:r w:rsidRPr="008B619A">
        <w:rPr>
          <w:rFonts w:ascii="Times New Roman" w:hint="eastAsia"/>
          <w:color w:val="000000" w:themeColor="text1"/>
          <w:kern w:val="0"/>
          <w:szCs w:val="24"/>
        </w:rPr>
        <w:t xml:space="preserve">  </w:t>
      </w:r>
      <w:r w:rsidR="00CC3166" w:rsidRPr="008B619A">
        <w:rPr>
          <w:rFonts w:ascii="Times New Roman" w:hint="eastAsia"/>
          <w:color w:val="000000" w:themeColor="text1"/>
          <w:kern w:val="0"/>
          <w:szCs w:val="24"/>
        </w:rPr>
        <w:t xml:space="preserve">  </w:t>
      </w:r>
      <w:r w:rsidR="00C315FF" w:rsidRPr="008B619A">
        <w:rPr>
          <w:rFonts w:ascii="Times New Roman" w:hint="eastAsia"/>
          <w:color w:val="000000" w:themeColor="text1"/>
          <w:kern w:val="0"/>
          <w:sz w:val="24"/>
          <w:szCs w:val="24"/>
        </w:rPr>
        <w:t>資料來源：科技部全國科技動態調查。</w:t>
      </w:r>
    </w:p>
    <w:p w14:paraId="184037AB" w14:textId="07B43C8D" w:rsidR="00243C74" w:rsidRPr="008B619A" w:rsidRDefault="00326F81" w:rsidP="00DA6435">
      <w:pPr>
        <w:pStyle w:val="3"/>
        <w:rPr>
          <w:rFonts w:hAnsi="標楷體"/>
          <w:color w:val="000000" w:themeColor="text1"/>
          <w:szCs w:val="32"/>
        </w:rPr>
      </w:pPr>
      <w:r w:rsidRPr="008B619A">
        <w:rPr>
          <w:rFonts w:hAnsi="標楷體" w:hint="eastAsia"/>
          <w:color w:val="000000" w:themeColor="text1"/>
          <w:szCs w:val="32"/>
        </w:rPr>
        <w:t>然而</w:t>
      </w:r>
      <w:r w:rsidR="00DA6435" w:rsidRPr="008B619A">
        <w:rPr>
          <w:rFonts w:hAnsi="標楷體" w:hint="eastAsia"/>
          <w:color w:val="000000" w:themeColor="text1"/>
          <w:szCs w:val="32"/>
        </w:rPr>
        <w:t>，</w:t>
      </w:r>
      <w:r w:rsidR="003459BD" w:rsidRPr="008B619A">
        <w:rPr>
          <w:rFonts w:hAnsi="標楷體" w:hint="eastAsia"/>
          <w:color w:val="000000" w:themeColor="text1"/>
          <w:szCs w:val="32"/>
        </w:rPr>
        <w:t>我國高階</w:t>
      </w:r>
      <w:r w:rsidR="000308D3" w:rsidRPr="008B619A">
        <w:rPr>
          <w:rFonts w:hAnsi="標楷體" w:hint="eastAsia"/>
          <w:color w:val="000000" w:themeColor="text1"/>
          <w:szCs w:val="32"/>
        </w:rPr>
        <w:t>科研人員</w:t>
      </w:r>
      <w:r w:rsidR="00891AA7" w:rsidRPr="008B619A">
        <w:rPr>
          <w:rFonts w:hAnsi="標楷體" w:hint="eastAsia"/>
          <w:color w:val="000000" w:themeColor="text1"/>
          <w:szCs w:val="32"/>
        </w:rPr>
        <w:t>之</w:t>
      </w:r>
      <w:r w:rsidR="0048310F" w:rsidRPr="008B619A">
        <w:rPr>
          <w:rFonts w:hAnsi="標楷體" w:hint="eastAsia"/>
          <w:color w:val="000000" w:themeColor="text1"/>
          <w:szCs w:val="32"/>
        </w:rPr>
        <w:t>分布</w:t>
      </w:r>
      <w:r w:rsidR="00891AA7" w:rsidRPr="008B619A">
        <w:rPr>
          <w:rFonts w:hAnsi="標楷體" w:hint="eastAsia"/>
          <w:color w:val="000000" w:themeColor="text1"/>
          <w:szCs w:val="32"/>
        </w:rPr>
        <w:t>逐漸</w:t>
      </w:r>
      <w:r w:rsidR="001E7B78" w:rsidRPr="008B619A">
        <w:rPr>
          <w:rFonts w:hAnsi="標楷體" w:hint="eastAsia"/>
          <w:color w:val="000000" w:themeColor="text1"/>
          <w:szCs w:val="32"/>
        </w:rPr>
        <w:t>呈</w:t>
      </w:r>
      <w:r w:rsidR="00891AA7" w:rsidRPr="008B619A">
        <w:rPr>
          <w:rFonts w:hAnsi="標楷體" w:hint="eastAsia"/>
          <w:color w:val="000000" w:themeColor="text1"/>
          <w:szCs w:val="32"/>
        </w:rPr>
        <w:t>高齡化趨勢</w:t>
      </w:r>
      <w:r w:rsidR="000308D3" w:rsidRPr="008B619A">
        <w:rPr>
          <w:rFonts w:hAnsi="標楷體" w:hint="eastAsia"/>
          <w:color w:val="000000" w:themeColor="text1"/>
          <w:szCs w:val="32"/>
        </w:rPr>
        <w:t>，</w:t>
      </w:r>
      <w:r w:rsidR="00666A4E" w:rsidRPr="008B619A">
        <w:rPr>
          <w:rFonts w:hAnsi="標楷體" w:hint="eastAsia"/>
          <w:color w:val="000000" w:themeColor="text1"/>
          <w:szCs w:val="32"/>
        </w:rPr>
        <w:t>年輕</w:t>
      </w:r>
      <w:r w:rsidR="000308D3" w:rsidRPr="008B619A">
        <w:rPr>
          <w:rFonts w:hAnsi="標楷體" w:hint="eastAsia"/>
          <w:color w:val="000000" w:themeColor="text1"/>
          <w:szCs w:val="32"/>
        </w:rPr>
        <w:t>學者就業</w:t>
      </w:r>
      <w:r w:rsidR="00896DB9" w:rsidRPr="008B619A">
        <w:rPr>
          <w:rFonts w:hAnsi="標楷體" w:hint="eastAsia"/>
          <w:color w:val="000000" w:themeColor="text1"/>
          <w:szCs w:val="32"/>
        </w:rPr>
        <w:t>議題待正視</w:t>
      </w:r>
      <w:r w:rsidR="00243C74" w:rsidRPr="008B619A">
        <w:rPr>
          <w:rFonts w:hAnsi="標楷體" w:hint="eastAsia"/>
          <w:color w:val="000000" w:themeColor="text1"/>
          <w:szCs w:val="32"/>
        </w:rPr>
        <w:t>，數據</w:t>
      </w:r>
      <w:r w:rsidR="00291794" w:rsidRPr="008B619A">
        <w:rPr>
          <w:rFonts w:hAnsi="標楷體" w:hint="eastAsia"/>
          <w:color w:val="000000" w:themeColor="text1"/>
          <w:szCs w:val="32"/>
        </w:rPr>
        <w:t>分析</w:t>
      </w:r>
      <w:r w:rsidR="00243C74" w:rsidRPr="008B619A">
        <w:rPr>
          <w:rFonts w:hAnsi="標楷體" w:hint="eastAsia"/>
          <w:color w:val="000000" w:themeColor="text1"/>
          <w:szCs w:val="32"/>
        </w:rPr>
        <w:t>如下</w:t>
      </w:r>
      <w:r w:rsidR="006F207E" w:rsidRPr="008B619A">
        <w:rPr>
          <w:rStyle w:val="aff1"/>
          <w:rFonts w:hAnsi="標楷體"/>
          <w:color w:val="000000" w:themeColor="text1"/>
          <w:szCs w:val="32"/>
        </w:rPr>
        <w:footnoteReference w:id="43"/>
      </w:r>
      <w:r w:rsidR="00243C74" w:rsidRPr="008B619A">
        <w:rPr>
          <w:rFonts w:hAnsi="標楷體" w:hint="eastAsia"/>
          <w:color w:val="000000" w:themeColor="text1"/>
          <w:szCs w:val="32"/>
        </w:rPr>
        <w:t>：</w:t>
      </w:r>
    </w:p>
    <w:p w14:paraId="63084027" w14:textId="71F180B6" w:rsidR="00291794" w:rsidRPr="008B619A" w:rsidRDefault="00326F81" w:rsidP="00243C74">
      <w:pPr>
        <w:pStyle w:val="4"/>
        <w:rPr>
          <w:rFonts w:hAnsi="標楷體"/>
          <w:color w:val="000000" w:themeColor="text1"/>
          <w:szCs w:val="32"/>
        </w:rPr>
      </w:pPr>
      <w:r w:rsidRPr="008B619A">
        <w:rPr>
          <w:rFonts w:hAnsi="標楷體" w:hint="eastAsia"/>
          <w:color w:val="000000" w:themeColor="text1"/>
          <w:szCs w:val="32"/>
        </w:rPr>
        <w:t>按</w:t>
      </w:r>
      <w:r w:rsidR="00DA6435" w:rsidRPr="008B619A">
        <w:rPr>
          <w:rFonts w:hAnsi="標楷體" w:hint="eastAsia"/>
          <w:color w:val="000000" w:themeColor="text1"/>
          <w:szCs w:val="32"/>
        </w:rPr>
        <w:t>科技部</w:t>
      </w:r>
      <w:r w:rsidR="009A3E53" w:rsidRPr="008B619A">
        <w:rPr>
          <w:rFonts w:hAnsi="標楷體" w:hint="eastAsia"/>
          <w:color w:val="000000" w:themeColor="text1"/>
          <w:szCs w:val="32"/>
        </w:rPr>
        <w:t>109年</w:t>
      </w:r>
      <w:r w:rsidR="007A4553" w:rsidRPr="008B619A">
        <w:rPr>
          <w:rFonts w:hAnsi="標楷體" w:hint="eastAsia"/>
          <w:color w:val="000000" w:themeColor="text1"/>
          <w:szCs w:val="32"/>
        </w:rPr>
        <w:t>「</w:t>
      </w:r>
      <w:r w:rsidR="00DA6435" w:rsidRPr="008B619A">
        <w:rPr>
          <w:rFonts w:hAnsi="標楷體" w:hint="eastAsia"/>
          <w:color w:val="000000" w:themeColor="text1"/>
          <w:szCs w:val="32"/>
        </w:rPr>
        <w:t>研究人員</w:t>
      </w:r>
      <w:r w:rsidR="007A4553" w:rsidRPr="008B619A">
        <w:rPr>
          <w:rFonts w:hAnsi="標楷體" w:hint="eastAsia"/>
          <w:color w:val="000000" w:themeColor="text1"/>
          <w:szCs w:val="32"/>
        </w:rPr>
        <w:t>」</w:t>
      </w:r>
      <w:r w:rsidR="007A4553" w:rsidRPr="008B619A">
        <w:rPr>
          <w:rStyle w:val="aff1"/>
          <w:rFonts w:hAnsi="標楷體"/>
          <w:color w:val="000000" w:themeColor="text1"/>
          <w:szCs w:val="32"/>
        </w:rPr>
        <w:footnoteReference w:id="44"/>
      </w:r>
      <w:r w:rsidR="00DA6435" w:rsidRPr="008B619A">
        <w:rPr>
          <w:rFonts w:hAnsi="標楷體" w:hint="eastAsia"/>
          <w:color w:val="000000" w:themeColor="text1"/>
          <w:szCs w:val="32"/>
        </w:rPr>
        <w:t>年齡統計</w:t>
      </w:r>
      <w:r w:rsidR="00142132" w:rsidRPr="008B619A">
        <w:rPr>
          <w:rFonts w:hAnsi="標楷體" w:hint="eastAsia"/>
          <w:color w:val="000000" w:themeColor="text1"/>
          <w:szCs w:val="32"/>
        </w:rPr>
        <w:t>分析</w:t>
      </w:r>
      <w:r w:rsidR="00DA6435" w:rsidRPr="008B619A">
        <w:rPr>
          <w:rFonts w:hAnsi="標楷體" w:hint="eastAsia"/>
          <w:color w:val="000000" w:themeColor="text1"/>
          <w:szCs w:val="32"/>
        </w:rPr>
        <w:t>顯示，</w:t>
      </w:r>
      <w:r w:rsidR="000D2754" w:rsidRPr="008B619A">
        <w:rPr>
          <w:color w:val="000000" w:themeColor="text1"/>
        </w:rPr>
        <w:t>歷年研究人員年齡分布以34歲以下人數最多，但近年占比有逐年下降之趨勢，由</w:t>
      </w:r>
      <w:r w:rsidR="000D2754" w:rsidRPr="008B619A">
        <w:rPr>
          <w:rFonts w:hint="eastAsia"/>
          <w:color w:val="000000" w:themeColor="text1"/>
        </w:rPr>
        <w:t>104</w:t>
      </w:r>
      <w:r w:rsidR="000D2754" w:rsidRPr="008B619A">
        <w:rPr>
          <w:color w:val="000000" w:themeColor="text1"/>
        </w:rPr>
        <w:t>年占42.1%至</w:t>
      </w:r>
      <w:r w:rsidR="000D2754" w:rsidRPr="008B619A">
        <w:rPr>
          <w:rFonts w:hint="eastAsia"/>
          <w:color w:val="000000" w:themeColor="text1"/>
        </w:rPr>
        <w:t>108</w:t>
      </w:r>
      <w:r w:rsidR="000D2754" w:rsidRPr="008B619A">
        <w:rPr>
          <w:color w:val="000000" w:themeColor="text1"/>
        </w:rPr>
        <w:t>年降為38.9%，占比較上年減少0.3</w:t>
      </w:r>
      <w:r w:rsidR="000D2754" w:rsidRPr="008B619A">
        <w:rPr>
          <w:rFonts w:hint="eastAsia"/>
          <w:color w:val="000000" w:themeColor="text1"/>
        </w:rPr>
        <w:t>%</w:t>
      </w:r>
      <w:r w:rsidR="000D2754" w:rsidRPr="008B619A">
        <w:rPr>
          <w:color w:val="000000" w:themeColor="text1"/>
        </w:rPr>
        <w:t>，35-44歲年齡層占比也較上年減少0.4</w:t>
      </w:r>
      <w:r w:rsidR="000D2754" w:rsidRPr="008B619A">
        <w:rPr>
          <w:rFonts w:hint="eastAsia"/>
          <w:color w:val="000000" w:themeColor="text1"/>
        </w:rPr>
        <w:t>%</w:t>
      </w:r>
      <w:r w:rsidR="00DA6435" w:rsidRPr="008B619A">
        <w:rPr>
          <w:rFonts w:hAnsi="標楷體" w:hint="eastAsia"/>
          <w:color w:val="000000" w:themeColor="text1"/>
          <w:szCs w:val="32"/>
        </w:rPr>
        <w:t>，顯見我國研究人員逐年有呈現高齡化趨勢。</w:t>
      </w:r>
    </w:p>
    <w:p w14:paraId="58E3C5B8" w14:textId="580FB688" w:rsidR="00C621CE" w:rsidRPr="008B619A" w:rsidRDefault="00C621CE" w:rsidP="00243C74">
      <w:pPr>
        <w:pStyle w:val="4"/>
        <w:rPr>
          <w:rFonts w:hAnsi="標楷體"/>
          <w:color w:val="000000" w:themeColor="text1"/>
          <w:szCs w:val="32"/>
        </w:rPr>
      </w:pPr>
      <w:r w:rsidRPr="008B619A">
        <w:rPr>
          <w:color w:val="000000" w:themeColor="text1"/>
        </w:rPr>
        <w:t>博士學歷的研究人員由</w:t>
      </w:r>
      <w:r w:rsidRPr="008B619A">
        <w:rPr>
          <w:rFonts w:hint="eastAsia"/>
          <w:color w:val="000000" w:themeColor="text1"/>
        </w:rPr>
        <w:t>104</w:t>
      </w:r>
      <w:r w:rsidRPr="008B619A">
        <w:rPr>
          <w:color w:val="000000" w:themeColor="text1"/>
        </w:rPr>
        <w:t>年的26,661人年增 加至</w:t>
      </w:r>
      <w:r w:rsidRPr="008B619A">
        <w:rPr>
          <w:rFonts w:hint="eastAsia"/>
          <w:color w:val="000000" w:themeColor="text1"/>
        </w:rPr>
        <w:t>105</w:t>
      </w:r>
      <w:r w:rsidRPr="008B619A">
        <w:rPr>
          <w:color w:val="000000" w:themeColor="text1"/>
        </w:rPr>
        <w:t>年27,349人年，年平均成長率1.0%</w:t>
      </w:r>
      <w:r w:rsidRPr="008B619A">
        <w:rPr>
          <w:rFonts w:hint="eastAsia"/>
          <w:color w:val="000000" w:themeColor="text1"/>
        </w:rPr>
        <w:t>；</w:t>
      </w:r>
      <w:r w:rsidRPr="008B619A">
        <w:rPr>
          <w:color w:val="000000" w:themeColor="text1"/>
        </w:rPr>
        <w:t>就各執行部門而論，</w:t>
      </w:r>
      <w:r w:rsidRPr="008B619A">
        <w:rPr>
          <w:rFonts w:hint="eastAsia"/>
          <w:color w:val="000000" w:themeColor="text1"/>
        </w:rPr>
        <w:t>108</w:t>
      </w:r>
      <w:r w:rsidRPr="008B619A">
        <w:rPr>
          <w:color w:val="000000" w:themeColor="text1"/>
        </w:rPr>
        <w:t>年企業部門研究人員中博士學歷占比僅6.3%，但企業部門博士學歷研究人員近5年平均成長率，明顯高於其他學歷別，顯示企業對於博士人才之需求已逐年增加。</w:t>
      </w:r>
    </w:p>
    <w:p w14:paraId="7ECAA095" w14:textId="2955D072" w:rsidR="00F66212" w:rsidRPr="008B619A" w:rsidRDefault="00291794" w:rsidP="00243C74">
      <w:pPr>
        <w:pStyle w:val="4"/>
        <w:rPr>
          <w:rFonts w:hAnsi="標楷體"/>
          <w:color w:val="000000" w:themeColor="text1"/>
          <w:szCs w:val="32"/>
        </w:rPr>
      </w:pPr>
      <w:r w:rsidRPr="008B619A">
        <w:rPr>
          <w:rFonts w:hAnsi="標楷體" w:hint="eastAsia"/>
          <w:color w:val="000000" w:themeColor="text1"/>
          <w:szCs w:val="32"/>
        </w:rPr>
        <w:lastRenderedPageBreak/>
        <w:t>復</w:t>
      </w:r>
      <w:r w:rsidR="00DB147D" w:rsidRPr="008B619A">
        <w:rPr>
          <w:color w:val="000000" w:themeColor="text1"/>
        </w:rPr>
        <w:t>觀察各執行部門年齡結構變化，企業部門34歲以下研究人員占比由</w:t>
      </w:r>
      <w:r w:rsidR="00EE7AB1" w:rsidRPr="008B619A">
        <w:rPr>
          <w:rFonts w:hint="eastAsia"/>
          <w:color w:val="000000" w:themeColor="text1"/>
        </w:rPr>
        <w:t>104</w:t>
      </w:r>
      <w:r w:rsidR="00DB147D" w:rsidRPr="008B619A">
        <w:rPr>
          <w:color w:val="000000" w:themeColor="text1"/>
        </w:rPr>
        <w:t>年占47.2%快速下降至</w:t>
      </w:r>
      <w:r w:rsidR="00422AC9" w:rsidRPr="008B619A">
        <w:rPr>
          <w:rFonts w:hint="eastAsia"/>
          <w:color w:val="000000" w:themeColor="text1"/>
        </w:rPr>
        <w:t>108</w:t>
      </w:r>
      <w:r w:rsidR="00DB147D" w:rsidRPr="008B619A">
        <w:rPr>
          <w:color w:val="000000" w:themeColor="text1"/>
        </w:rPr>
        <w:t>年占42.7%，5年減少4.5個百分點，高等教育部門34歲以下研究人員占比由</w:t>
      </w:r>
      <w:r w:rsidR="00422AC9" w:rsidRPr="008B619A">
        <w:rPr>
          <w:rFonts w:hint="eastAsia"/>
          <w:color w:val="000000" w:themeColor="text1"/>
        </w:rPr>
        <w:t>104</w:t>
      </w:r>
      <w:r w:rsidR="00DB147D" w:rsidRPr="008B619A">
        <w:rPr>
          <w:color w:val="000000" w:themeColor="text1"/>
        </w:rPr>
        <w:t>年占36.5%下降至</w:t>
      </w:r>
      <w:r w:rsidR="00422AC9" w:rsidRPr="008B619A">
        <w:rPr>
          <w:rFonts w:hint="eastAsia"/>
          <w:color w:val="000000" w:themeColor="text1"/>
        </w:rPr>
        <w:t>108</w:t>
      </w:r>
      <w:r w:rsidR="00DB147D" w:rsidRPr="008B619A">
        <w:rPr>
          <w:color w:val="000000" w:themeColor="text1"/>
        </w:rPr>
        <w:t>年占34.4%，5年減少2.1個百分點</w:t>
      </w:r>
      <w:r w:rsidR="00422AC9" w:rsidRPr="008B619A">
        <w:rPr>
          <w:rFonts w:hint="eastAsia"/>
          <w:color w:val="000000" w:themeColor="text1"/>
        </w:rPr>
        <w:t>。</w:t>
      </w:r>
    </w:p>
    <w:p w14:paraId="2E66E912" w14:textId="77777777" w:rsidR="00291794" w:rsidRPr="008B619A" w:rsidRDefault="00291794" w:rsidP="00243C74">
      <w:pPr>
        <w:pStyle w:val="4"/>
        <w:rPr>
          <w:rFonts w:hAnsi="標楷體"/>
          <w:color w:val="000000" w:themeColor="text1"/>
          <w:szCs w:val="32"/>
        </w:rPr>
      </w:pPr>
      <w:r w:rsidRPr="008B619A">
        <w:rPr>
          <w:color w:val="000000" w:themeColor="text1"/>
        </w:rPr>
        <w:t>根據各年齡層資料，34歲以下之研究人員一向為企業研發之主力，</w:t>
      </w:r>
      <w:r w:rsidRPr="008B619A">
        <w:rPr>
          <w:rFonts w:hint="eastAsia"/>
          <w:color w:val="000000" w:themeColor="text1"/>
        </w:rPr>
        <w:t>105</w:t>
      </w:r>
      <w:r w:rsidRPr="008B619A">
        <w:rPr>
          <w:color w:val="000000" w:themeColor="text1"/>
        </w:rPr>
        <w:t>年起該年齡層占比已低於4成5，該年齡層研究人員正在快速流失中。</w:t>
      </w:r>
    </w:p>
    <w:p w14:paraId="7A889535" w14:textId="3DFCCA02" w:rsidR="00FF0928" w:rsidRPr="008B619A" w:rsidRDefault="00291794" w:rsidP="00243C74">
      <w:pPr>
        <w:pStyle w:val="4"/>
        <w:rPr>
          <w:rFonts w:hAnsi="標楷體"/>
          <w:color w:val="000000" w:themeColor="text1"/>
          <w:szCs w:val="32"/>
        </w:rPr>
      </w:pPr>
      <w:r w:rsidRPr="008B619A">
        <w:rPr>
          <w:color w:val="000000" w:themeColor="text1"/>
        </w:rPr>
        <w:t>在高等教育部門中，34歲以下與45~54歲研究人員占比也呈現逐年降低之趨勢，55歲以上研究人員占比逐年增加；高等教育部門34歲以下的研究人員歷年占比在34.4%~36.5%之間，高於一般的印象，主要是因為依OECD定義，博士班學生投入研發者均屬於研究人員。</w:t>
      </w:r>
    </w:p>
    <w:p w14:paraId="5C2A6075" w14:textId="774ABDD8" w:rsidR="00291794" w:rsidRPr="008B619A" w:rsidRDefault="00291794" w:rsidP="00243C74">
      <w:pPr>
        <w:pStyle w:val="4"/>
        <w:rPr>
          <w:rFonts w:hAnsi="標楷體"/>
          <w:color w:val="000000" w:themeColor="text1"/>
          <w:szCs w:val="32"/>
        </w:rPr>
      </w:pPr>
      <w:r w:rsidRPr="008B619A">
        <w:rPr>
          <w:color w:val="000000" w:themeColor="text1"/>
        </w:rPr>
        <w:t>政府部門在34歲以下及45~54歲年齡層呈現下降趨勢，35~44歲及55歲以上年齡層研究人員則呈現上升趨勢；至於私人及非營利部門年齡層變化趨勢不明顯，由於該部門多數屬於規模較小之機構，研究人員也常因計畫多寡增減聘任，</w:t>
      </w:r>
      <w:r w:rsidR="001A01F8" w:rsidRPr="008B619A">
        <w:rPr>
          <w:color w:val="000000" w:themeColor="text1"/>
        </w:rPr>
        <w:t>也因此年齡層占比相較於其他部門變動較大且無規律性</w:t>
      </w:r>
      <w:r w:rsidRPr="008B619A">
        <w:rPr>
          <w:color w:val="000000" w:themeColor="text1"/>
        </w:rPr>
        <w:t>。</w:t>
      </w:r>
    </w:p>
    <w:p w14:paraId="3B301AA6" w14:textId="0C76946C" w:rsidR="00643169" w:rsidRPr="008B619A" w:rsidRDefault="00643169" w:rsidP="00243C74">
      <w:pPr>
        <w:pStyle w:val="4"/>
        <w:rPr>
          <w:rFonts w:hAnsi="標楷體"/>
          <w:color w:val="000000" w:themeColor="text1"/>
          <w:szCs w:val="32"/>
        </w:rPr>
      </w:pPr>
      <w:r w:rsidRPr="008B619A">
        <w:rPr>
          <w:rFonts w:hint="eastAsia"/>
          <w:color w:val="000000" w:themeColor="text1"/>
        </w:rPr>
        <w:t>此外，</w:t>
      </w:r>
      <w:r w:rsidRPr="008B619A">
        <w:rPr>
          <w:color w:val="000000" w:themeColor="text1"/>
        </w:rPr>
        <w:t>整體而言，企業研究人員仍主要集中在前20大廠商，平均每家廠商聘任研究人員在</w:t>
      </w:r>
      <w:r w:rsidR="00FE1FF2" w:rsidRPr="008B619A">
        <w:rPr>
          <w:color w:val="000000" w:themeColor="text1"/>
        </w:rPr>
        <w:t>1,463人以上</w:t>
      </w:r>
      <w:r w:rsidRPr="008B619A">
        <w:rPr>
          <w:rFonts w:hint="eastAsia"/>
          <w:color w:val="000000" w:themeColor="text1"/>
        </w:rPr>
        <w:t>。</w:t>
      </w:r>
    </w:p>
    <w:p w14:paraId="6A770E66" w14:textId="16D41785" w:rsidR="008913B8" w:rsidRPr="008B619A" w:rsidRDefault="00963940" w:rsidP="003034D7">
      <w:pPr>
        <w:pStyle w:val="3"/>
        <w:rPr>
          <w:bCs w:val="0"/>
          <w:color w:val="000000" w:themeColor="text1"/>
        </w:rPr>
      </w:pPr>
      <w:r w:rsidRPr="008B619A">
        <w:rPr>
          <w:rFonts w:hint="eastAsia"/>
          <w:bCs w:val="0"/>
          <w:color w:val="000000" w:themeColor="text1"/>
        </w:rPr>
        <w:t>對此，</w:t>
      </w:r>
      <w:r w:rsidR="0094395D" w:rsidRPr="008B619A">
        <w:rPr>
          <w:rFonts w:hint="eastAsia"/>
          <w:bCs w:val="0"/>
          <w:color w:val="000000" w:themeColor="text1"/>
        </w:rPr>
        <w:t>國發會</w:t>
      </w:r>
      <w:r w:rsidR="009044DC" w:rsidRPr="008B619A">
        <w:rPr>
          <w:rFonts w:hint="eastAsia"/>
          <w:bCs w:val="0"/>
          <w:color w:val="000000" w:themeColor="text1"/>
        </w:rPr>
        <w:t>針對</w:t>
      </w:r>
      <w:r w:rsidRPr="008B619A">
        <w:rPr>
          <w:rFonts w:hint="eastAsia"/>
          <w:bCs w:val="0"/>
          <w:color w:val="000000" w:themeColor="text1"/>
        </w:rPr>
        <w:t>政府</w:t>
      </w:r>
      <w:r w:rsidR="009044DC" w:rsidRPr="008B619A">
        <w:rPr>
          <w:rFonts w:hint="eastAsia"/>
          <w:bCs w:val="0"/>
          <w:color w:val="000000" w:themeColor="text1"/>
        </w:rPr>
        <w:t>之</w:t>
      </w:r>
      <w:r w:rsidRPr="008B619A">
        <w:rPr>
          <w:rFonts w:hint="eastAsia"/>
          <w:bCs w:val="0"/>
          <w:color w:val="000000" w:themeColor="text1"/>
        </w:rPr>
        <w:t>政策研析顯示，</w:t>
      </w:r>
      <w:r w:rsidRPr="008B619A">
        <w:rPr>
          <w:bCs w:val="0"/>
          <w:color w:val="000000" w:themeColor="text1"/>
        </w:rPr>
        <w:t>近年來</w:t>
      </w:r>
      <w:r w:rsidRPr="008B619A">
        <w:rPr>
          <w:rFonts w:hint="eastAsia"/>
          <w:bCs w:val="0"/>
          <w:color w:val="000000" w:themeColor="text1"/>
        </w:rPr>
        <w:t>我國博士人才培育模式，逐漸由學術導向往產學合作策略邁進，舉如科技部及教育部皆鼓勵博士生或博士後研究人員赴海外蹲點實習或受訓；另現有教育部產學合作培育計畫，亦透過提供經費補助，鼓勵博士生於校內修課外，於一定時間內赴企業累積實</w:t>
      </w:r>
      <w:r w:rsidRPr="008B619A">
        <w:rPr>
          <w:rFonts w:hint="eastAsia"/>
          <w:bCs w:val="0"/>
          <w:color w:val="000000" w:themeColor="text1"/>
        </w:rPr>
        <w:lastRenderedPageBreak/>
        <w:t>作研發經驗並完成論文後，授予博士學位。未來政府將參考國際高階研發人才培育之策略與經驗，善用產業創新資源，持續推動產學合作博士培育政策，期能鼓勵更多高階研發人才投入產業界，強化產業創新研發能量</w:t>
      </w:r>
      <w:r w:rsidR="005D2D76" w:rsidRPr="008B619A">
        <w:rPr>
          <w:rFonts w:hint="eastAsia"/>
          <w:bCs w:val="0"/>
          <w:color w:val="000000" w:themeColor="text1"/>
        </w:rPr>
        <w:t>。</w:t>
      </w:r>
    </w:p>
    <w:p w14:paraId="0BAB1338" w14:textId="22251361" w:rsidR="00AF3EED" w:rsidRPr="008B619A" w:rsidRDefault="00AF3EED" w:rsidP="00AF3EED">
      <w:pPr>
        <w:pStyle w:val="3"/>
        <w:rPr>
          <w:color w:val="000000" w:themeColor="text1"/>
        </w:rPr>
      </w:pPr>
      <w:r w:rsidRPr="008B619A">
        <w:rPr>
          <w:rFonts w:hint="eastAsia"/>
          <w:color w:val="000000" w:themeColor="text1"/>
        </w:rPr>
        <w:t>依教育部針對博士人才現況復指稱，企業薪資結構及中小企業對高階研發人員需求不高等原因，亦為博士生招生名額逐年降低之原因。查</w:t>
      </w:r>
      <w:r w:rsidRPr="008B619A">
        <w:rPr>
          <w:rFonts w:hAnsi="標楷體"/>
          <w:color w:val="000000" w:themeColor="text1"/>
          <w:szCs w:val="32"/>
        </w:rPr>
        <w:t>我國企業結構中，中小企業</w:t>
      </w:r>
      <w:r w:rsidRPr="008B619A">
        <w:rPr>
          <w:rFonts w:hAnsi="標楷體" w:hint="eastAsia"/>
          <w:color w:val="000000" w:themeColor="text1"/>
          <w:szCs w:val="32"/>
        </w:rPr>
        <w:t>歷年均</w:t>
      </w:r>
      <w:r w:rsidRPr="008B619A">
        <w:rPr>
          <w:rFonts w:hAnsi="標楷體"/>
          <w:color w:val="000000" w:themeColor="text1"/>
          <w:szCs w:val="32"/>
        </w:rPr>
        <w:t>占有極重之比率</w:t>
      </w:r>
      <w:r w:rsidRPr="008B619A">
        <w:rPr>
          <w:rFonts w:hAnsi="標楷體" w:hint="eastAsia"/>
          <w:color w:val="000000" w:themeColor="text1"/>
          <w:szCs w:val="32"/>
        </w:rPr>
        <w:t>，且</w:t>
      </w:r>
      <w:r w:rsidRPr="008B619A">
        <w:rPr>
          <w:rFonts w:hint="eastAsia"/>
          <w:color w:val="000000" w:themeColor="text1"/>
        </w:rPr>
        <w:t>45歲以上</w:t>
      </w:r>
      <w:r w:rsidR="008C092A" w:rsidRPr="008B619A">
        <w:rPr>
          <w:rFonts w:hint="eastAsia"/>
          <w:color w:val="000000" w:themeColor="text1"/>
        </w:rPr>
        <w:t>人員</w:t>
      </w:r>
      <w:r w:rsidRPr="008B619A">
        <w:rPr>
          <w:rFonts w:hint="eastAsia"/>
          <w:color w:val="000000" w:themeColor="text1"/>
        </w:rPr>
        <w:t>之占比正逐年提高</w:t>
      </w:r>
      <w:r w:rsidRPr="008B619A">
        <w:rPr>
          <w:rFonts w:hAnsi="標楷體" w:hint="eastAsia"/>
          <w:color w:val="000000" w:themeColor="text1"/>
          <w:szCs w:val="32"/>
        </w:rPr>
        <w:t>，尚待</w:t>
      </w:r>
      <w:r w:rsidR="00745B90" w:rsidRPr="008B619A">
        <w:rPr>
          <w:rFonts w:hAnsi="標楷體" w:hint="eastAsia"/>
          <w:color w:val="000000" w:themeColor="text1"/>
          <w:szCs w:val="32"/>
        </w:rPr>
        <w:t>持續關注研議</w:t>
      </w:r>
      <w:r w:rsidRPr="008B619A">
        <w:rPr>
          <w:rFonts w:hAnsi="標楷體" w:hint="eastAsia"/>
          <w:color w:val="000000" w:themeColor="text1"/>
          <w:szCs w:val="32"/>
        </w:rPr>
        <w:t>高階博士人才機制。茲列整體概況如后：</w:t>
      </w:r>
    </w:p>
    <w:p w14:paraId="3D0D0DBB" w14:textId="77777777" w:rsidR="00AF3EED" w:rsidRPr="008B619A" w:rsidRDefault="00AF3EED" w:rsidP="00AF3EED">
      <w:pPr>
        <w:pStyle w:val="4"/>
        <w:rPr>
          <w:color w:val="000000" w:themeColor="text1"/>
        </w:rPr>
      </w:pPr>
      <w:r w:rsidRPr="008B619A">
        <w:rPr>
          <w:rFonts w:hint="eastAsia"/>
          <w:color w:val="000000" w:themeColor="text1"/>
        </w:rPr>
        <w:t>依據經濟部所公布「</w:t>
      </w:r>
      <w:r w:rsidRPr="008B619A">
        <w:rPr>
          <w:color w:val="000000" w:themeColor="text1"/>
        </w:rPr>
        <w:t>10</w:t>
      </w:r>
      <w:r w:rsidRPr="008B619A">
        <w:rPr>
          <w:rFonts w:hint="eastAsia"/>
          <w:color w:val="000000" w:themeColor="text1"/>
        </w:rPr>
        <w:t>9</w:t>
      </w:r>
      <w:r w:rsidRPr="008B619A">
        <w:rPr>
          <w:color w:val="000000" w:themeColor="text1"/>
        </w:rPr>
        <w:t>年中小企業重要統計表</w:t>
      </w:r>
      <w:r w:rsidRPr="008B619A">
        <w:rPr>
          <w:rFonts w:hint="eastAsia"/>
          <w:color w:val="000000" w:themeColor="text1"/>
        </w:rPr>
        <w:t>」</w:t>
      </w:r>
      <w:r w:rsidRPr="008B619A">
        <w:rPr>
          <w:rStyle w:val="aff1"/>
          <w:rFonts w:hAnsi="標楷體"/>
          <w:color w:val="000000" w:themeColor="text1"/>
        </w:rPr>
        <w:footnoteReference w:id="45"/>
      </w:r>
      <w:r w:rsidRPr="008B619A">
        <w:rPr>
          <w:rFonts w:hint="eastAsia"/>
          <w:color w:val="000000" w:themeColor="text1"/>
        </w:rPr>
        <w:t>資料，我國109年底全部企業家數計</w:t>
      </w:r>
      <w:r w:rsidRPr="008B619A">
        <w:rPr>
          <w:color w:val="000000" w:themeColor="text1"/>
        </w:rPr>
        <w:t>1,565,637</w:t>
      </w:r>
      <w:r w:rsidRPr="008B619A">
        <w:rPr>
          <w:rFonts w:hint="eastAsia"/>
          <w:color w:val="000000" w:themeColor="text1"/>
        </w:rPr>
        <w:t>家，其中中小企業</w:t>
      </w:r>
      <w:r w:rsidRPr="008B619A">
        <w:rPr>
          <w:rStyle w:val="aff1"/>
          <w:rFonts w:hAnsi="標楷體"/>
          <w:color w:val="000000" w:themeColor="text1"/>
          <w:szCs w:val="32"/>
        </w:rPr>
        <w:footnoteReference w:id="46"/>
      </w:r>
      <w:r w:rsidRPr="008B619A">
        <w:rPr>
          <w:color w:val="000000" w:themeColor="text1"/>
        </w:rPr>
        <w:t>1,548,835</w:t>
      </w:r>
      <w:r w:rsidRPr="008B619A">
        <w:rPr>
          <w:rFonts w:hint="eastAsia"/>
          <w:color w:val="000000" w:themeColor="text1"/>
        </w:rPr>
        <w:t>家，占比高達98.93%；全部企業就業人數</w:t>
      </w:r>
      <w:r w:rsidRPr="008B619A">
        <w:rPr>
          <w:color w:val="000000" w:themeColor="text1"/>
        </w:rPr>
        <w:t>11,504</w:t>
      </w:r>
      <w:r w:rsidRPr="008B619A">
        <w:rPr>
          <w:rFonts w:hint="eastAsia"/>
          <w:color w:val="000000" w:themeColor="text1"/>
        </w:rPr>
        <w:t>千人，其中中小企業</w:t>
      </w:r>
      <w:r w:rsidRPr="008B619A">
        <w:rPr>
          <w:color w:val="000000" w:themeColor="text1"/>
        </w:rPr>
        <w:t>9,311</w:t>
      </w:r>
      <w:r w:rsidRPr="008B619A">
        <w:rPr>
          <w:rFonts w:hint="eastAsia"/>
          <w:color w:val="000000" w:themeColor="text1"/>
        </w:rPr>
        <w:t>千人，占比80.94%；全部企業年度銷售額</w:t>
      </w:r>
      <w:r w:rsidRPr="008B619A">
        <w:rPr>
          <w:color w:val="000000" w:themeColor="text1"/>
        </w:rPr>
        <w:t>43,629,308</w:t>
      </w:r>
      <w:r w:rsidRPr="008B619A">
        <w:rPr>
          <w:rFonts w:hint="eastAsia"/>
          <w:color w:val="000000" w:themeColor="text1"/>
        </w:rPr>
        <w:t>百萬元，其中中小企業</w:t>
      </w:r>
      <w:r w:rsidRPr="008B619A">
        <w:rPr>
          <w:color w:val="000000" w:themeColor="text1"/>
        </w:rPr>
        <w:t>23,555,513</w:t>
      </w:r>
      <w:r w:rsidRPr="008B619A">
        <w:rPr>
          <w:rFonts w:hint="eastAsia"/>
          <w:color w:val="000000" w:themeColor="text1"/>
        </w:rPr>
        <w:t>百萬元，占比為</w:t>
      </w:r>
      <w:r w:rsidRPr="008B619A">
        <w:rPr>
          <w:color w:val="000000" w:themeColor="text1"/>
        </w:rPr>
        <w:t>53.99</w:t>
      </w:r>
      <w:r w:rsidRPr="008B619A">
        <w:rPr>
          <w:rFonts w:hint="eastAsia"/>
          <w:color w:val="000000" w:themeColor="text1"/>
        </w:rPr>
        <w:t>%；全部企業出口額</w:t>
      </w:r>
      <w:r w:rsidRPr="008B619A">
        <w:rPr>
          <w:color w:val="000000" w:themeColor="text1"/>
        </w:rPr>
        <w:t>10,252,980</w:t>
      </w:r>
      <w:r w:rsidRPr="008B619A">
        <w:rPr>
          <w:rFonts w:hint="eastAsia"/>
          <w:color w:val="000000" w:themeColor="text1"/>
        </w:rPr>
        <w:t>百萬元，其中中小企業</w:t>
      </w:r>
      <w:r w:rsidRPr="008B619A">
        <w:rPr>
          <w:color w:val="000000" w:themeColor="text1"/>
        </w:rPr>
        <w:t>2,694,174</w:t>
      </w:r>
      <w:r w:rsidRPr="008B619A">
        <w:rPr>
          <w:rFonts w:hint="eastAsia"/>
          <w:color w:val="000000" w:themeColor="text1"/>
        </w:rPr>
        <w:t>百萬元，占比</w:t>
      </w:r>
      <w:r w:rsidRPr="008B619A">
        <w:rPr>
          <w:color w:val="000000" w:themeColor="text1"/>
        </w:rPr>
        <w:t>26.28</w:t>
      </w:r>
      <w:r w:rsidRPr="008B619A">
        <w:rPr>
          <w:rFonts w:hint="eastAsia"/>
          <w:color w:val="000000" w:themeColor="text1"/>
        </w:rPr>
        <w:t>%</w:t>
      </w:r>
      <w:r w:rsidRPr="008B619A">
        <w:rPr>
          <w:rFonts w:hAnsi="標楷體" w:hint="eastAsia"/>
          <w:color w:val="000000" w:themeColor="text1"/>
        </w:rPr>
        <w:t>。</w:t>
      </w:r>
    </w:p>
    <w:p w14:paraId="38D4963A" w14:textId="5574E976" w:rsidR="00AF3EED" w:rsidRPr="008B619A" w:rsidRDefault="00AF3EED" w:rsidP="00AF3EED">
      <w:pPr>
        <w:pStyle w:val="4"/>
        <w:rPr>
          <w:color w:val="000000" w:themeColor="text1"/>
        </w:rPr>
      </w:pPr>
      <w:r w:rsidRPr="008B619A">
        <w:rPr>
          <w:rFonts w:hint="eastAsia"/>
          <w:color w:val="000000" w:themeColor="text1"/>
        </w:rPr>
        <w:t>復依經濟部</w:t>
      </w:r>
      <w:r w:rsidRPr="008B619A">
        <w:rPr>
          <w:rFonts w:hAnsi="標楷體" w:hint="eastAsia"/>
          <w:color w:val="000000" w:themeColor="text1"/>
        </w:rPr>
        <w:t>「</w:t>
      </w:r>
      <w:r w:rsidRPr="008B619A">
        <w:rPr>
          <w:rFonts w:hint="eastAsia"/>
          <w:color w:val="000000" w:themeColor="text1"/>
        </w:rPr>
        <w:t>2020年中小企業白皮書</w:t>
      </w:r>
      <w:r w:rsidRPr="008B619A">
        <w:rPr>
          <w:rFonts w:hAnsi="標楷體" w:hint="eastAsia"/>
          <w:color w:val="000000" w:themeColor="text1"/>
        </w:rPr>
        <w:t>」</w:t>
      </w:r>
      <w:r w:rsidRPr="008B619A">
        <w:rPr>
          <w:rFonts w:hint="eastAsia"/>
          <w:color w:val="000000" w:themeColor="text1"/>
        </w:rPr>
        <w:t>針對</w:t>
      </w:r>
      <w:r w:rsidRPr="008B619A">
        <w:rPr>
          <w:color w:val="000000" w:themeColor="text1"/>
        </w:rPr>
        <w:t>中小企業</w:t>
      </w:r>
      <w:r w:rsidRPr="008B619A">
        <w:rPr>
          <w:rFonts w:hint="eastAsia"/>
          <w:color w:val="000000" w:themeColor="text1"/>
        </w:rPr>
        <w:t>之</w:t>
      </w:r>
      <w:r w:rsidRPr="008B619A">
        <w:rPr>
          <w:color w:val="000000" w:themeColor="text1"/>
        </w:rPr>
        <w:t>人力資源</w:t>
      </w:r>
      <w:r w:rsidRPr="008B619A">
        <w:rPr>
          <w:rFonts w:hint="eastAsia"/>
          <w:color w:val="000000" w:themeColor="text1"/>
        </w:rPr>
        <w:t>載明略以，2019年中小企業之就業者及受僱者之學歷結構，就業者中以高職畢業者所占比重最高，其次為大學，再其次為專科；而受僱者占比最高者為大學，其次為高職，再其</w:t>
      </w:r>
      <w:r w:rsidRPr="008B619A">
        <w:rPr>
          <w:rFonts w:hint="eastAsia"/>
          <w:color w:val="000000" w:themeColor="text1"/>
        </w:rPr>
        <w:lastRenderedPageBreak/>
        <w:t>次則為專科；另外，近年來</w:t>
      </w:r>
      <w:r w:rsidR="00D16166" w:rsidRPr="008B619A">
        <w:rPr>
          <w:rFonts w:hint="eastAsia"/>
          <w:color w:val="000000" w:themeColor="text1"/>
        </w:rPr>
        <w:t>中小企業中，</w:t>
      </w:r>
      <w:r w:rsidRPr="008B619A">
        <w:rPr>
          <w:rFonts w:hint="eastAsia"/>
          <w:color w:val="000000" w:themeColor="text1"/>
        </w:rPr>
        <w:t>45歲以上之中高齡就業者與受僱者，占比正逐年提高</w:t>
      </w:r>
      <w:r w:rsidR="001C67B4" w:rsidRPr="008B619A">
        <w:rPr>
          <w:rFonts w:hint="eastAsia"/>
          <w:color w:val="000000" w:themeColor="text1"/>
        </w:rPr>
        <w:t>。</w:t>
      </w:r>
      <w:r w:rsidR="001944C2" w:rsidRPr="008B619A">
        <w:rPr>
          <w:rFonts w:hint="eastAsia"/>
          <w:color w:val="000000" w:themeColor="text1"/>
        </w:rPr>
        <w:t>基於</w:t>
      </w:r>
      <w:r w:rsidR="00F62EDC" w:rsidRPr="008B619A">
        <w:rPr>
          <w:rFonts w:hint="eastAsia"/>
          <w:color w:val="000000" w:themeColor="text1"/>
        </w:rPr>
        <w:t>上述兩種趨勢</w:t>
      </w:r>
      <w:r w:rsidR="003C0160" w:rsidRPr="008B619A">
        <w:rPr>
          <w:rFonts w:hint="eastAsia"/>
          <w:color w:val="000000" w:themeColor="text1"/>
        </w:rPr>
        <w:t>，</w:t>
      </w:r>
      <w:r w:rsidRPr="008B619A">
        <w:rPr>
          <w:rFonts w:hint="eastAsia"/>
          <w:color w:val="000000" w:themeColor="text1"/>
        </w:rPr>
        <w:t>顯見中小企業之就業者與受僱者，已呈現高齡化與高教育程度化的現象。</w:t>
      </w:r>
    </w:p>
    <w:bookmarkEnd w:id="81"/>
    <w:p w14:paraId="133271E0" w14:textId="0DC50630" w:rsidR="001D038C" w:rsidRPr="008B619A" w:rsidRDefault="00A701C8" w:rsidP="008322EC">
      <w:pPr>
        <w:pStyle w:val="3"/>
        <w:rPr>
          <w:color w:val="000000" w:themeColor="text1"/>
        </w:rPr>
      </w:pPr>
      <w:r w:rsidRPr="008B619A">
        <w:rPr>
          <w:rFonts w:hint="eastAsia"/>
          <w:color w:val="000000" w:themeColor="text1"/>
        </w:rPr>
        <w:t>綜上</w:t>
      </w:r>
      <w:r w:rsidR="00FA5DA0" w:rsidRPr="008B619A">
        <w:rPr>
          <w:rFonts w:hint="eastAsia"/>
          <w:color w:val="000000" w:themeColor="text1"/>
        </w:rPr>
        <w:t>論述</w:t>
      </w:r>
      <w:r w:rsidRPr="008B619A">
        <w:rPr>
          <w:rFonts w:hint="eastAsia"/>
          <w:color w:val="000000" w:themeColor="text1"/>
        </w:rPr>
        <w:t>，</w:t>
      </w:r>
      <w:r w:rsidR="001D038C" w:rsidRPr="008B619A">
        <w:rPr>
          <w:rFonts w:hint="eastAsia"/>
          <w:color w:val="000000" w:themeColor="text1"/>
        </w:rPr>
        <w:t>博士就業及研發人力流向</w:t>
      </w:r>
      <w:r w:rsidR="0056198D" w:rsidRPr="008B619A">
        <w:rPr>
          <w:rFonts w:hint="eastAsia"/>
          <w:color w:val="000000" w:themeColor="text1"/>
        </w:rPr>
        <w:t>因</w:t>
      </w:r>
      <w:r w:rsidR="001D038C" w:rsidRPr="008B619A">
        <w:rPr>
          <w:rFonts w:hint="eastAsia"/>
          <w:color w:val="000000" w:themeColor="text1"/>
        </w:rPr>
        <w:t>各領域就業結構及產業特性</w:t>
      </w:r>
      <w:r w:rsidR="00F41146" w:rsidRPr="008B619A">
        <w:rPr>
          <w:rFonts w:hint="eastAsia"/>
          <w:color w:val="000000" w:themeColor="text1"/>
        </w:rPr>
        <w:t>而有</w:t>
      </w:r>
      <w:r w:rsidR="001D038C" w:rsidRPr="008B619A">
        <w:rPr>
          <w:rFonts w:hint="eastAsia"/>
          <w:color w:val="000000" w:themeColor="text1"/>
        </w:rPr>
        <w:t>殊異，</w:t>
      </w:r>
      <w:r w:rsidR="0069159E" w:rsidRPr="008B619A">
        <w:rPr>
          <w:rFonts w:hAnsi="標楷體" w:hint="eastAsia"/>
          <w:color w:val="000000" w:themeColor="text1"/>
        </w:rPr>
        <w:t>研發人力</w:t>
      </w:r>
      <w:r w:rsidR="0069159E" w:rsidRPr="008B619A">
        <w:rPr>
          <w:color w:val="000000" w:themeColor="text1"/>
        </w:rPr>
        <w:t>是衡量國家科技實力</w:t>
      </w:r>
      <w:r w:rsidR="0069159E" w:rsidRPr="008B619A">
        <w:rPr>
          <w:rFonts w:hint="eastAsia"/>
          <w:color w:val="000000" w:themeColor="text1"/>
        </w:rPr>
        <w:t>之</w:t>
      </w:r>
      <w:r w:rsidR="0069159E" w:rsidRPr="008B619A">
        <w:rPr>
          <w:color w:val="000000" w:themeColor="text1"/>
        </w:rPr>
        <w:t>重要指標之一，</w:t>
      </w:r>
      <w:r w:rsidR="0069159E" w:rsidRPr="008B619A">
        <w:rPr>
          <w:rFonts w:hint="eastAsia"/>
          <w:color w:val="000000" w:themeColor="text1"/>
        </w:rPr>
        <w:t>研發與創新需求</w:t>
      </w:r>
      <w:r w:rsidR="005B1DCC" w:rsidRPr="008B619A">
        <w:rPr>
          <w:rFonts w:hint="eastAsia"/>
          <w:color w:val="000000" w:themeColor="text1"/>
        </w:rPr>
        <w:t>均屬</w:t>
      </w:r>
      <w:r w:rsidR="0069159E" w:rsidRPr="008B619A">
        <w:rPr>
          <w:rFonts w:hint="eastAsia"/>
          <w:color w:val="000000" w:themeColor="text1"/>
        </w:rPr>
        <w:t>迫切，</w:t>
      </w:r>
      <w:r w:rsidR="005B7659" w:rsidRPr="008B619A">
        <w:rPr>
          <w:rFonts w:hint="eastAsia"/>
          <w:color w:val="000000" w:themeColor="text1"/>
        </w:rPr>
        <w:t>目前我國博士學歷之研發人力雖有逐年略增，惟產業界長期依賴碩士人才，與國外博士高階人才競爭實屬相對不利；況</w:t>
      </w:r>
      <w:r w:rsidR="005B7659" w:rsidRPr="008B619A">
        <w:rPr>
          <w:rFonts w:hAnsi="標楷體"/>
          <w:color w:val="000000" w:themeColor="text1"/>
        </w:rPr>
        <w:t>103-10</w:t>
      </w:r>
      <w:r w:rsidR="005B7659" w:rsidRPr="008B619A">
        <w:rPr>
          <w:rFonts w:hAnsi="標楷體" w:hint="eastAsia"/>
          <w:color w:val="000000" w:themeColor="text1"/>
        </w:rPr>
        <w:t>9年博士人才就業結構相對集中於政府部門及高等教育部門（合計占比約8成），僅未達</w:t>
      </w:r>
      <w:r w:rsidR="007A1849" w:rsidRPr="008B619A">
        <w:rPr>
          <w:rFonts w:hAnsi="標楷體" w:hint="eastAsia"/>
          <w:color w:val="000000" w:themeColor="text1"/>
        </w:rPr>
        <w:t>2</w:t>
      </w:r>
      <w:r w:rsidR="005B7659" w:rsidRPr="008B619A">
        <w:rPr>
          <w:rFonts w:hAnsi="標楷體" w:hint="eastAsia"/>
          <w:color w:val="000000" w:themeColor="text1"/>
        </w:rPr>
        <w:t>成投入產業就業，雖有逐年上升趨勢，然高階研究人力亦多集中於前20大廠商，反觀</w:t>
      </w:r>
      <w:r w:rsidR="005B7659" w:rsidRPr="008B619A">
        <w:rPr>
          <w:rFonts w:hint="eastAsia"/>
          <w:color w:val="000000" w:themeColor="text1"/>
          <w:szCs w:val="32"/>
        </w:rPr>
        <w:t>占我國產業結構</w:t>
      </w:r>
      <w:r w:rsidR="00C72A0D" w:rsidRPr="008B619A">
        <w:rPr>
          <w:rFonts w:hint="eastAsia"/>
          <w:bCs w:val="0"/>
          <w:color w:val="000000" w:themeColor="text1"/>
          <w:szCs w:val="32"/>
        </w:rPr>
        <w:t>逾</w:t>
      </w:r>
      <w:r w:rsidR="00C72A0D" w:rsidRPr="008B619A">
        <w:rPr>
          <w:bCs w:val="0"/>
          <w:color w:val="000000" w:themeColor="text1"/>
          <w:szCs w:val="32"/>
        </w:rPr>
        <w:t>9</w:t>
      </w:r>
      <w:r w:rsidR="00C72A0D" w:rsidRPr="008B619A">
        <w:rPr>
          <w:rFonts w:hint="eastAsia"/>
          <w:bCs w:val="0"/>
          <w:color w:val="000000" w:themeColor="text1"/>
          <w:szCs w:val="32"/>
        </w:rPr>
        <w:t>8</w:t>
      </w:r>
      <w:r w:rsidR="00C72A0D" w:rsidRPr="008B619A">
        <w:rPr>
          <w:bCs w:val="0"/>
          <w:color w:val="000000" w:themeColor="text1"/>
          <w:szCs w:val="32"/>
        </w:rPr>
        <w:t>%</w:t>
      </w:r>
      <w:r w:rsidR="005B7659" w:rsidRPr="008B619A">
        <w:rPr>
          <w:rFonts w:hint="eastAsia"/>
          <w:color w:val="000000" w:themeColor="text1"/>
          <w:szCs w:val="32"/>
        </w:rPr>
        <w:t>的中小企業</w:t>
      </w:r>
      <w:r w:rsidR="005B7659" w:rsidRPr="008B619A">
        <w:rPr>
          <w:rFonts w:hAnsi="標楷體" w:hint="eastAsia"/>
          <w:color w:val="000000" w:themeColor="text1"/>
        </w:rPr>
        <w:t>之高階研發人才需求相對貧乏，</w:t>
      </w:r>
      <w:r w:rsidR="005B7659" w:rsidRPr="008B619A">
        <w:rPr>
          <w:rFonts w:hint="eastAsia"/>
          <w:color w:val="000000" w:themeColor="text1"/>
          <w:szCs w:val="32"/>
        </w:rPr>
        <w:t>亟待開拓與提升博士人才進用機制</w:t>
      </w:r>
      <w:r w:rsidR="005B7659" w:rsidRPr="008B619A">
        <w:rPr>
          <w:rFonts w:hAnsi="標楷體" w:hint="eastAsia"/>
          <w:color w:val="000000" w:themeColor="text1"/>
        </w:rPr>
        <w:t>，且近5年年輕研究人力有快速流失現象，均不利國家科研尖端發展及學研能量提升，</w:t>
      </w:r>
      <w:r w:rsidR="008322EC" w:rsidRPr="008B619A">
        <w:rPr>
          <w:rFonts w:hint="eastAsia"/>
          <w:color w:val="000000" w:themeColor="text1"/>
        </w:rPr>
        <w:t>爰政府</w:t>
      </w:r>
      <w:r w:rsidR="002C6DCE" w:rsidRPr="008B619A">
        <w:rPr>
          <w:rFonts w:hint="eastAsia"/>
          <w:color w:val="000000" w:themeColor="text1"/>
        </w:rPr>
        <w:t>允宜務實協助產業</w:t>
      </w:r>
      <w:r w:rsidR="008322EC" w:rsidRPr="008B619A">
        <w:rPr>
          <w:rFonts w:hint="eastAsia"/>
          <w:color w:val="000000" w:themeColor="text1"/>
        </w:rPr>
        <w:t>升級</w:t>
      </w:r>
      <w:r w:rsidR="002C6DCE" w:rsidRPr="008B619A">
        <w:rPr>
          <w:rFonts w:hint="eastAsia"/>
          <w:color w:val="000000" w:themeColor="text1"/>
        </w:rPr>
        <w:t>轉型</w:t>
      </w:r>
      <w:r w:rsidR="008322EC" w:rsidRPr="008B619A">
        <w:rPr>
          <w:rFonts w:hint="eastAsia"/>
          <w:color w:val="000000" w:themeColor="text1"/>
        </w:rPr>
        <w:t>，超前佈署國內外高階人力供需實況，協助產業聘僱高階研發人力，</w:t>
      </w:r>
      <w:r w:rsidR="005B7659" w:rsidRPr="008B619A">
        <w:rPr>
          <w:rFonts w:hAnsi="標楷體" w:hint="eastAsia"/>
          <w:color w:val="000000" w:themeColor="text1"/>
        </w:rPr>
        <w:t>以期開創博士多元就業局面，助推我國總體競爭力</w:t>
      </w:r>
      <w:r w:rsidR="00590181" w:rsidRPr="008B619A">
        <w:rPr>
          <w:rFonts w:hint="eastAsia"/>
          <w:color w:val="000000" w:themeColor="text1"/>
        </w:rPr>
        <w:t>。</w:t>
      </w:r>
    </w:p>
    <w:p w14:paraId="5A8B214C" w14:textId="77777777" w:rsidR="00107F07" w:rsidRPr="008B619A" w:rsidRDefault="00107F07" w:rsidP="00107F07">
      <w:pPr>
        <w:rPr>
          <w:color w:val="000000" w:themeColor="text1"/>
        </w:rPr>
      </w:pPr>
    </w:p>
    <w:p w14:paraId="34F5766C" w14:textId="24508C12" w:rsidR="00A22725" w:rsidRPr="008B619A" w:rsidRDefault="00283DF7" w:rsidP="002666E8">
      <w:pPr>
        <w:pStyle w:val="2"/>
        <w:ind w:leftChars="101" w:left="1025"/>
        <w:rPr>
          <w:b/>
          <w:bCs w:val="0"/>
          <w:color w:val="000000" w:themeColor="text1"/>
        </w:rPr>
      </w:pPr>
      <w:bookmarkStart w:id="83" w:name="_Toc59803657"/>
      <w:bookmarkStart w:id="84" w:name="_Toc76980142"/>
      <w:r w:rsidRPr="008B619A">
        <w:rPr>
          <w:rFonts w:hint="eastAsia"/>
          <w:b/>
          <w:bCs w:val="0"/>
          <w:color w:val="000000" w:themeColor="text1"/>
        </w:rPr>
        <w:t>博士級人才是</w:t>
      </w:r>
      <w:r w:rsidRPr="008B619A">
        <w:rPr>
          <w:b/>
          <w:bCs w:val="0"/>
          <w:color w:val="000000" w:themeColor="text1"/>
        </w:rPr>
        <w:t>奠定國家競爭力不可或缺的關鍵要素，而培育</w:t>
      </w:r>
      <w:r w:rsidR="00E76868" w:rsidRPr="008B619A">
        <w:rPr>
          <w:rFonts w:hint="eastAsia"/>
          <w:b/>
          <w:bCs w:val="0"/>
          <w:color w:val="000000" w:themeColor="text1"/>
        </w:rPr>
        <w:t>此類</w:t>
      </w:r>
      <w:r w:rsidRPr="008B619A">
        <w:rPr>
          <w:b/>
          <w:bCs w:val="0"/>
          <w:color w:val="000000" w:themeColor="text1"/>
        </w:rPr>
        <w:t>高階人才</w:t>
      </w:r>
      <w:r w:rsidR="00226857" w:rsidRPr="008B619A">
        <w:rPr>
          <w:rFonts w:hint="eastAsia"/>
          <w:b/>
          <w:bCs w:val="0"/>
          <w:color w:val="000000" w:themeColor="text1"/>
        </w:rPr>
        <w:t>之</w:t>
      </w:r>
      <w:r w:rsidRPr="008B619A">
        <w:rPr>
          <w:b/>
          <w:bCs w:val="0"/>
          <w:color w:val="000000" w:themeColor="text1"/>
        </w:rPr>
        <w:t>師資更</w:t>
      </w:r>
      <w:r w:rsidR="00E9535C" w:rsidRPr="008B619A">
        <w:rPr>
          <w:rFonts w:hint="eastAsia"/>
          <w:b/>
          <w:bCs w:val="0"/>
          <w:color w:val="000000" w:themeColor="text1"/>
        </w:rPr>
        <w:t>應</w:t>
      </w:r>
      <w:r w:rsidRPr="008B619A">
        <w:rPr>
          <w:b/>
          <w:bCs w:val="0"/>
          <w:color w:val="000000" w:themeColor="text1"/>
        </w:rPr>
        <w:t>扮演帶動</w:t>
      </w:r>
      <w:r w:rsidR="00226857" w:rsidRPr="008B619A">
        <w:rPr>
          <w:rFonts w:hint="eastAsia"/>
          <w:b/>
          <w:bCs w:val="0"/>
          <w:color w:val="000000" w:themeColor="text1"/>
        </w:rPr>
        <w:t>學研創新領頭羊</w:t>
      </w:r>
      <w:r w:rsidRPr="008B619A">
        <w:rPr>
          <w:b/>
          <w:bCs w:val="0"/>
          <w:color w:val="000000" w:themeColor="text1"/>
        </w:rPr>
        <w:t>之角色</w:t>
      </w:r>
      <w:r w:rsidRPr="008B619A">
        <w:rPr>
          <w:rFonts w:hint="eastAsia"/>
          <w:b/>
          <w:bCs w:val="0"/>
          <w:color w:val="000000" w:themeColor="text1"/>
        </w:rPr>
        <w:t>，</w:t>
      </w:r>
      <w:r w:rsidR="00F9137A" w:rsidRPr="008B619A">
        <w:rPr>
          <w:rFonts w:hint="eastAsia"/>
          <w:b/>
          <w:bCs w:val="0"/>
          <w:color w:val="000000" w:themeColor="text1"/>
        </w:rPr>
        <w:t>國內大學</w:t>
      </w:r>
      <w:r w:rsidR="004A128F" w:rsidRPr="008B619A">
        <w:rPr>
          <w:rFonts w:hint="eastAsia"/>
          <w:b/>
          <w:bCs w:val="0"/>
          <w:color w:val="000000" w:themeColor="text1"/>
        </w:rPr>
        <w:t>教研</w:t>
      </w:r>
      <w:r w:rsidR="00F9137A" w:rsidRPr="008B619A">
        <w:rPr>
          <w:rFonts w:hint="eastAsia"/>
          <w:b/>
          <w:bCs w:val="0"/>
          <w:color w:val="000000" w:themeColor="text1"/>
        </w:rPr>
        <w:t>機構過去係吸納博士人才之</w:t>
      </w:r>
      <w:r w:rsidR="00A90EA7" w:rsidRPr="008B619A">
        <w:rPr>
          <w:rFonts w:hint="eastAsia"/>
          <w:b/>
          <w:bCs w:val="0"/>
          <w:color w:val="000000" w:themeColor="text1"/>
        </w:rPr>
        <w:t>重要</w:t>
      </w:r>
      <w:r w:rsidR="00F9137A" w:rsidRPr="008B619A">
        <w:rPr>
          <w:rFonts w:hint="eastAsia"/>
          <w:b/>
          <w:bCs w:val="0"/>
          <w:color w:val="000000" w:themeColor="text1"/>
        </w:rPr>
        <w:t>單位，</w:t>
      </w:r>
      <w:r w:rsidR="00500117" w:rsidRPr="008B619A">
        <w:rPr>
          <w:rFonts w:hint="eastAsia"/>
          <w:b/>
          <w:bCs w:val="0"/>
          <w:color w:val="000000" w:themeColor="text1"/>
        </w:rPr>
        <w:t>鑒於過往20多年來</w:t>
      </w:r>
      <w:r w:rsidR="00484A78" w:rsidRPr="008B619A">
        <w:rPr>
          <w:rFonts w:hint="eastAsia"/>
          <w:b/>
          <w:bCs w:val="0"/>
          <w:color w:val="000000" w:themeColor="text1"/>
        </w:rPr>
        <w:t>，</w:t>
      </w:r>
      <w:r w:rsidR="0082028A" w:rsidRPr="008B619A">
        <w:rPr>
          <w:rFonts w:hint="eastAsia"/>
          <w:b/>
          <w:bCs w:val="0"/>
          <w:color w:val="000000" w:themeColor="text1"/>
        </w:rPr>
        <w:t>高</w:t>
      </w:r>
      <w:r w:rsidR="00EA3096" w:rsidRPr="008B619A">
        <w:rPr>
          <w:rFonts w:hint="eastAsia"/>
          <w:b/>
          <w:bCs w:val="0"/>
          <w:color w:val="000000" w:themeColor="text1"/>
        </w:rPr>
        <w:t>教</w:t>
      </w:r>
      <w:r w:rsidR="00500117" w:rsidRPr="008B619A">
        <w:rPr>
          <w:rFonts w:hint="eastAsia"/>
          <w:b/>
          <w:bCs w:val="0"/>
          <w:color w:val="000000" w:themeColor="text1"/>
        </w:rPr>
        <w:t>擴張伴隨生師比惡化、教師聘任不足額等現象，</w:t>
      </w:r>
      <w:r w:rsidR="00210E51" w:rsidRPr="008B619A">
        <w:rPr>
          <w:rFonts w:hint="eastAsia"/>
          <w:b/>
          <w:bCs w:val="0"/>
          <w:color w:val="000000" w:themeColor="text1"/>
        </w:rPr>
        <w:t>學校</w:t>
      </w:r>
      <w:r w:rsidR="00500117" w:rsidRPr="008B619A">
        <w:rPr>
          <w:rFonts w:hint="eastAsia"/>
          <w:b/>
          <w:bCs w:val="0"/>
          <w:color w:val="000000" w:themeColor="text1"/>
        </w:rPr>
        <w:t>因應少子化改變經營模式</w:t>
      </w:r>
      <w:r w:rsidR="00A22725" w:rsidRPr="008B619A">
        <w:rPr>
          <w:rFonts w:hint="eastAsia"/>
          <w:b/>
          <w:bCs w:val="0"/>
          <w:color w:val="000000" w:themeColor="text1"/>
        </w:rPr>
        <w:t>，</w:t>
      </w:r>
      <w:r w:rsidR="00731DD9" w:rsidRPr="008B619A">
        <w:rPr>
          <w:b/>
          <w:bCs w:val="0"/>
          <w:color w:val="000000" w:themeColor="text1"/>
        </w:rPr>
        <w:t>我國大專校院</w:t>
      </w:r>
      <w:r w:rsidR="003230C8" w:rsidRPr="008B619A">
        <w:rPr>
          <w:b/>
          <w:bCs w:val="0"/>
          <w:color w:val="000000" w:themeColor="text1"/>
        </w:rPr>
        <w:t>50歲以上教師</w:t>
      </w:r>
      <w:r w:rsidR="00A058E8" w:rsidRPr="008B619A">
        <w:rPr>
          <w:rFonts w:hint="eastAsia"/>
          <w:b/>
          <w:bCs w:val="0"/>
          <w:color w:val="000000" w:themeColor="text1"/>
        </w:rPr>
        <w:t>占</w:t>
      </w:r>
      <w:r w:rsidR="00731DD9" w:rsidRPr="008B619A">
        <w:rPr>
          <w:b/>
          <w:bCs w:val="0"/>
          <w:color w:val="000000" w:themeColor="text1"/>
        </w:rPr>
        <w:t>56.6%，占比</w:t>
      </w:r>
      <w:r w:rsidR="006319DE" w:rsidRPr="008B619A">
        <w:rPr>
          <w:rFonts w:hint="eastAsia"/>
          <w:b/>
          <w:bCs w:val="0"/>
          <w:color w:val="000000" w:themeColor="text1"/>
        </w:rPr>
        <w:t>除</w:t>
      </w:r>
      <w:r w:rsidR="007C6E90" w:rsidRPr="008B619A">
        <w:rPr>
          <w:rFonts w:hint="eastAsia"/>
          <w:b/>
          <w:bCs w:val="0"/>
          <w:color w:val="000000" w:themeColor="text1"/>
        </w:rPr>
        <w:t>已</w:t>
      </w:r>
      <w:r w:rsidR="00731DD9" w:rsidRPr="008B619A">
        <w:rPr>
          <w:b/>
          <w:bCs w:val="0"/>
          <w:color w:val="000000" w:themeColor="text1"/>
        </w:rPr>
        <w:t>居各</w:t>
      </w:r>
      <w:r w:rsidR="00542DA2" w:rsidRPr="008B619A">
        <w:rPr>
          <w:rFonts w:hint="eastAsia"/>
          <w:b/>
          <w:bCs w:val="0"/>
          <w:color w:val="000000" w:themeColor="text1"/>
        </w:rPr>
        <w:t>學制</w:t>
      </w:r>
      <w:r w:rsidR="00731DD9" w:rsidRPr="008B619A">
        <w:rPr>
          <w:b/>
          <w:bCs w:val="0"/>
          <w:color w:val="000000" w:themeColor="text1"/>
        </w:rPr>
        <w:t>之首</w:t>
      </w:r>
      <w:r w:rsidR="006319DE" w:rsidRPr="008B619A">
        <w:rPr>
          <w:rFonts w:hint="eastAsia"/>
          <w:b/>
          <w:bCs w:val="0"/>
          <w:color w:val="000000" w:themeColor="text1"/>
        </w:rPr>
        <w:t>外</w:t>
      </w:r>
      <w:r w:rsidR="00731DD9" w:rsidRPr="008B619A">
        <w:rPr>
          <w:b/>
          <w:bCs w:val="0"/>
          <w:color w:val="000000" w:themeColor="text1"/>
        </w:rPr>
        <w:t>，</w:t>
      </w:r>
      <w:r w:rsidR="006319DE" w:rsidRPr="008B619A">
        <w:rPr>
          <w:rFonts w:hint="eastAsia"/>
          <w:b/>
          <w:bCs w:val="0"/>
          <w:color w:val="000000" w:themeColor="text1"/>
        </w:rPr>
        <w:t>亦</w:t>
      </w:r>
      <w:r w:rsidR="00731DD9" w:rsidRPr="008B619A">
        <w:rPr>
          <w:b/>
          <w:bCs w:val="0"/>
          <w:color w:val="000000" w:themeColor="text1"/>
        </w:rPr>
        <w:t>高於日本之45.7%及南韓之46.2%</w:t>
      </w:r>
      <w:r w:rsidR="00731DD9" w:rsidRPr="008B619A">
        <w:rPr>
          <w:rFonts w:hint="eastAsia"/>
          <w:b/>
          <w:bCs w:val="0"/>
          <w:color w:val="000000" w:themeColor="text1"/>
        </w:rPr>
        <w:t>，</w:t>
      </w:r>
      <w:r w:rsidR="0077536F" w:rsidRPr="008B619A">
        <w:rPr>
          <w:rFonts w:hint="eastAsia"/>
          <w:b/>
          <w:bCs w:val="0"/>
          <w:color w:val="000000" w:themeColor="text1"/>
        </w:rPr>
        <w:t>且</w:t>
      </w:r>
      <w:r w:rsidR="00956631" w:rsidRPr="008B619A">
        <w:rPr>
          <w:rFonts w:hint="eastAsia"/>
          <w:b/>
          <w:bCs w:val="0"/>
          <w:color w:val="000000" w:themeColor="text1"/>
        </w:rPr>
        <w:t>生師比</w:t>
      </w:r>
      <w:r w:rsidR="00391349" w:rsidRPr="008B619A">
        <w:rPr>
          <w:rFonts w:hint="eastAsia"/>
          <w:b/>
          <w:bCs w:val="0"/>
          <w:color w:val="000000" w:themeColor="text1"/>
        </w:rPr>
        <w:t>達</w:t>
      </w:r>
      <w:r w:rsidR="00956631" w:rsidRPr="008B619A">
        <w:rPr>
          <w:rFonts w:hint="eastAsia"/>
          <w:b/>
          <w:bCs w:val="0"/>
          <w:color w:val="000000" w:themeColor="text1"/>
        </w:rPr>
        <w:t>22.3人，</w:t>
      </w:r>
      <w:r w:rsidR="00776AA6" w:rsidRPr="008B619A">
        <w:rPr>
          <w:rFonts w:hint="eastAsia"/>
          <w:b/>
          <w:bCs w:val="0"/>
          <w:color w:val="000000" w:themeColor="text1"/>
        </w:rPr>
        <w:t>大幅</w:t>
      </w:r>
      <w:r w:rsidR="00956631" w:rsidRPr="008B619A">
        <w:rPr>
          <w:rFonts w:hint="eastAsia"/>
          <w:b/>
          <w:bCs w:val="0"/>
          <w:color w:val="000000" w:themeColor="text1"/>
        </w:rPr>
        <w:t>高於</w:t>
      </w:r>
      <w:r w:rsidR="00956631" w:rsidRPr="008B619A">
        <w:rPr>
          <w:b/>
          <w:bCs w:val="0"/>
          <w:color w:val="000000" w:themeColor="text1"/>
        </w:rPr>
        <w:t>美國</w:t>
      </w:r>
      <w:r w:rsidR="00BE56DE" w:rsidRPr="008B619A">
        <w:rPr>
          <w:rFonts w:hint="eastAsia"/>
          <w:b/>
          <w:bCs w:val="0"/>
          <w:color w:val="000000" w:themeColor="text1"/>
        </w:rPr>
        <w:t>與</w:t>
      </w:r>
      <w:r w:rsidR="00956631" w:rsidRPr="008B619A">
        <w:rPr>
          <w:b/>
          <w:bCs w:val="0"/>
          <w:color w:val="000000" w:themeColor="text1"/>
        </w:rPr>
        <w:t>OECD國家</w:t>
      </w:r>
      <w:r w:rsidR="00956631" w:rsidRPr="008B619A">
        <w:rPr>
          <w:rFonts w:hint="eastAsia"/>
          <w:b/>
          <w:bCs w:val="0"/>
          <w:color w:val="000000" w:themeColor="text1"/>
        </w:rPr>
        <w:t>之</w:t>
      </w:r>
      <w:r w:rsidR="00956631" w:rsidRPr="008B619A">
        <w:rPr>
          <w:b/>
          <w:bCs w:val="0"/>
          <w:color w:val="000000" w:themeColor="text1"/>
        </w:rPr>
        <w:t>8.5人及7.1人</w:t>
      </w:r>
      <w:r w:rsidR="00731DD9" w:rsidRPr="008B619A">
        <w:rPr>
          <w:rFonts w:hint="eastAsia"/>
          <w:b/>
          <w:bCs w:val="0"/>
          <w:color w:val="000000" w:themeColor="text1"/>
        </w:rPr>
        <w:t>；</w:t>
      </w:r>
      <w:r w:rsidR="00F96BE7" w:rsidRPr="008B619A">
        <w:rPr>
          <w:rFonts w:hint="eastAsia"/>
          <w:b/>
          <w:bCs w:val="0"/>
          <w:color w:val="000000" w:themeColor="text1"/>
        </w:rPr>
        <w:t>況</w:t>
      </w:r>
      <w:r w:rsidR="00B81DE8" w:rsidRPr="008B619A">
        <w:rPr>
          <w:rFonts w:hint="eastAsia"/>
          <w:b/>
          <w:bCs w:val="0"/>
          <w:color w:val="000000" w:themeColor="text1"/>
        </w:rPr>
        <w:t>部分學校</w:t>
      </w:r>
      <w:r w:rsidR="0064636F" w:rsidRPr="008B619A">
        <w:rPr>
          <w:rFonts w:hint="eastAsia"/>
          <w:b/>
          <w:bCs w:val="0"/>
          <w:color w:val="000000" w:themeColor="text1"/>
        </w:rPr>
        <w:t>為節省</w:t>
      </w:r>
      <w:r w:rsidR="001B76A2" w:rsidRPr="008B619A">
        <w:rPr>
          <w:rFonts w:hint="eastAsia"/>
          <w:b/>
          <w:bCs w:val="0"/>
          <w:color w:val="000000" w:themeColor="text1"/>
        </w:rPr>
        <w:t>經費成本</w:t>
      </w:r>
      <w:r w:rsidR="0064636F" w:rsidRPr="008B619A">
        <w:rPr>
          <w:rFonts w:hint="eastAsia"/>
          <w:b/>
          <w:bCs w:val="0"/>
          <w:color w:val="000000" w:themeColor="text1"/>
        </w:rPr>
        <w:t>、</w:t>
      </w:r>
      <w:r w:rsidR="0064636F" w:rsidRPr="008B619A">
        <w:rPr>
          <w:rFonts w:hint="eastAsia"/>
          <w:b/>
          <w:bCs w:val="0"/>
          <w:color w:val="000000" w:themeColor="text1"/>
        </w:rPr>
        <w:lastRenderedPageBreak/>
        <w:t>調整師資人力，</w:t>
      </w:r>
      <w:r w:rsidR="00CD65F9" w:rsidRPr="008B619A">
        <w:rPr>
          <w:rFonts w:hint="eastAsia"/>
          <w:b/>
          <w:bCs w:val="0"/>
          <w:color w:val="000000" w:themeColor="text1"/>
        </w:rPr>
        <w:t>恐</w:t>
      </w:r>
      <w:r w:rsidR="008D039F" w:rsidRPr="008B619A">
        <w:rPr>
          <w:rFonts w:hint="eastAsia"/>
          <w:b/>
          <w:bCs w:val="0"/>
          <w:color w:val="000000" w:themeColor="text1"/>
        </w:rPr>
        <w:t>以專案老師取代專任老師</w:t>
      </w:r>
      <w:r w:rsidR="00F03035" w:rsidRPr="008B619A">
        <w:rPr>
          <w:rFonts w:hint="eastAsia"/>
          <w:b/>
          <w:bCs w:val="0"/>
          <w:color w:val="000000" w:themeColor="text1"/>
        </w:rPr>
        <w:t>，</w:t>
      </w:r>
      <w:r w:rsidR="00707D41" w:rsidRPr="008B619A">
        <w:rPr>
          <w:rFonts w:hint="eastAsia"/>
          <w:b/>
          <w:bCs w:val="0"/>
          <w:color w:val="000000" w:themeColor="text1"/>
        </w:rPr>
        <w:t>專案教師比</w:t>
      </w:r>
      <w:r w:rsidR="00702E8E" w:rsidRPr="008B619A">
        <w:rPr>
          <w:rFonts w:hint="eastAsia"/>
          <w:b/>
          <w:bCs w:val="0"/>
          <w:color w:val="000000" w:themeColor="text1"/>
        </w:rPr>
        <w:t>最嚴重</w:t>
      </w:r>
      <w:r w:rsidR="00FA55ED" w:rsidRPr="008B619A">
        <w:rPr>
          <w:rFonts w:hint="eastAsia"/>
          <w:b/>
          <w:bCs w:val="0"/>
          <w:color w:val="000000" w:themeColor="text1"/>
        </w:rPr>
        <w:t>之學校已</w:t>
      </w:r>
      <w:r w:rsidR="00F03035" w:rsidRPr="008B619A">
        <w:rPr>
          <w:rFonts w:hint="eastAsia"/>
          <w:b/>
          <w:bCs w:val="0"/>
          <w:color w:val="000000" w:themeColor="text1"/>
        </w:rPr>
        <w:t>高</w:t>
      </w:r>
      <w:r w:rsidR="00702E8E" w:rsidRPr="008B619A">
        <w:rPr>
          <w:rFonts w:hint="eastAsia"/>
          <w:b/>
          <w:bCs w:val="0"/>
          <w:color w:val="000000" w:themeColor="text1"/>
        </w:rPr>
        <w:t>達到8</w:t>
      </w:r>
      <w:r w:rsidR="008D039F" w:rsidRPr="008B619A">
        <w:rPr>
          <w:rFonts w:hint="eastAsia"/>
          <w:b/>
          <w:bCs w:val="0"/>
          <w:color w:val="000000" w:themeColor="text1"/>
        </w:rPr>
        <w:t>成，且</w:t>
      </w:r>
      <w:r w:rsidR="00FC1E0E" w:rsidRPr="008B619A">
        <w:rPr>
          <w:rFonts w:hint="eastAsia"/>
          <w:b/>
          <w:bCs w:val="0"/>
          <w:color w:val="000000" w:themeColor="text1"/>
        </w:rPr>
        <w:t>全國</w:t>
      </w:r>
      <w:r w:rsidR="008D039F" w:rsidRPr="008B619A">
        <w:rPr>
          <w:rFonts w:hint="eastAsia"/>
          <w:b/>
          <w:bCs w:val="0"/>
          <w:color w:val="000000" w:themeColor="text1"/>
        </w:rPr>
        <w:t>有20幾</w:t>
      </w:r>
      <w:r w:rsidR="00FD19CC" w:rsidRPr="008B619A">
        <w:rPr>
          <w:rFonts w:hint="eastAsia"/>
          <w:b/>
          <w:bCs w:val="0"/>
          <w:color w:val="000000" w:themeColor="text1"/>
        </w:rPr>
        <w:t>校</w:t>
      </w:r>
      <w:r w:rsidR="00886ED0" w:rsidRPr="008B619A">
        <w:rPr>
          <w:rFonts w:hint="eastAsia"/>
          <w:b/>
          <w:bCs w:val="0"/>
          <w:color w:val="000000" w:themeColor="text1"/>
        </w:rPr>
        <w:t>占比</w:t>
      </w:r>
      <w:r w:rsidR="00945BD0" w:rsidRPr="008B619A">
        <w:rPr>
          <w:rFonts w:hint="eastAsia"/>
          <w:b/>
          <w:bCs w:val="0"/>
          <w:color w:val="000000" w:themeColor="text1"/>
        </w:rPr>
        <w:t>高</w:t>
      </w:r>
      <w:r w:rsidR="008D039F" w:rsidRPr="008B619A">
        <w:rPr>
          <w:rFonts w:hint="eastAsia"/>
          <w:b/>
          <w:bCs w:val="0"/>
          <w:color w:val="000000" w:themeColor="text1"/>
        </w:rPr>
        <w:t>達</w:t>
      </w:r>
      <w:r w:rsidR="00702E8E" w:rsidRPr="008B619A">
        <w:rPr>
          <w:rFonts w:hint="eastAsia"/>
          <w:b/>
          <w:bCs w:val="0"/>
          <w:color w:val="000000" w:themeColor="text1"/>
        </w:rPr>
        <w:t>4至6</w:t>
      </w:r>
      <w:r w:rsidR="008D039F" w:rsidRPr="008B619A">
        <w:rPr>
          <w:rFonts w:hint="eastAsia"/>
          <w:b/>
          <w:bCs w:val="0"/>
          <w:color w:val="000000" w:themeColor="text1"/>
        </w:rPr>
        <w:t>成</w:t>
      </w:r>
      <w:r w:rsidR="00E37EA8" w:rsidRPr="008B619A">
        <w:rPr>
          <w:rFonts w:hint="eastAsia"/>
          <w:b/>
          <w:bCs w:val="0"/>
          <w:color w:val="000000" w:themeColor="text1"/>
        </w:rPr>
        <w:t>，</w:t>
      </w:r>
      <w:r w:rsidR="00517385" w:rsidRPr="008B619A">
        <w:rPr>
          <w:rFonts w:hint="eastAsia"/>
          <w:b/>
          <w:bCs w:val="0"/>
          <w:color w:val="000000" w:themeColor="text1"/>
        </w:rPr>
        <w:t>加</w:t>
      </w:r>
      <w:r w:rsidR="00FE40A1" w:rsidRPr="008B619A">
        <w:rPr>
          <w:rFonts w:hint="eastAsia"/>
          <w:b/>
          <w:bCs w:val="0"/>
          <w:color w:val="000000" w:themeColor="text1"/>
        </w:rPr>
        <w:t>以</w:t>
      </w:r>
      <w:r w:rsidR="00D241BE" w:rsidRPr="008B619A">
        <w:rPr>
          <w:rFonts w:hint="eastAsia"/>
          <w:b/>
          <w:bCs w:val="0"/>
          <w:color w:val="000000" w:themeColor="text1"/>
        </w:rPr>
        <w:t>延退趨勢</w:t>
      </w:r>
      <w:r w:rsidR="00155749" w:rsidRPr="008B619A">
        <w:rPr>
          <w:rFonts w:hint="eastAsia"/>
          <w:b/>
          <w:bCs w:val="0"/>
          <w:color w:val="000000" w:themeColor="text1"/>
        </w:rPr>
        <w:t>、教師退休或計畫約聘人力離職及企業對博士級研發人力需求增加等因素</w:t>
      </w:r>
      <w:r w:rsidR="001673BF" w:rsidRPr="008B619A">
        <w:rPr>
          <w:rFonts w:hint="eastAsia"/>
          <w:b/>
          <w:bCs w:val="0"/>
          <w:color w:val="000000" w:themeColor="text1"/>
        </w:rPr>
        <w:t>，致</w:t>
      </w:r>
      <w:r w:rsidR="004805DD" w:rsidRPr="008B619A">
        <w:rPr>
          <w:rFonts w:hint="eastAsia"/>
          <w:b/>
          <w:bCs w:val="0"/>
          <w:color w:val="000000" w:themeColor="text1"/>
        </w:rPr>
        <w:t>高教</w:t>
      </w:r>
      <w:r w:rsidR="001673BF" w:rsidRPr="008B619A">
        <w:rPr>
          <w:rFonts w:hint="eastAsia"/>
          <w:b/>
          <w:bCs w:val="0"/>
          <w:color w:val="000000" w:themeColor="text1"/>
        </w:rPr>
        <w:t>師資結構失衡</w:t>
      </w:r>
      <w:r w:rsidR="00155749" w:rsidRPr="008B619A">
        <w:rPr>
          <w:rFonts w:hint="eastAsia"/>
          <w:b/>
          <w:bCs w:val="0"/>
          <w:color w:val="000000" w:themeColor="text1"/>
        </w:rPr>
        <w:t>，高教研發人力呈現下降狀況，</w:t>
      </w:r>
      <w:r w:rsidR="00EA3F57" w:rsidRPr="008B619A">
        <w:rPr>
          <w:rFonts w:ascii="Segoe UI" w:hAnsi="Segoe UI" w:cs="Segoe UI" w:hint="eastAsia"/>
          <w:b/>
          <w:bCs w:val="0"/>
          <w:color w:val="000000" w:themeColor="text1"/>
        </w:rPr>
        <w:t>衍生</w:t>
      </w:r>
      <w:r w:rsidR="004E6502" w:rsidRPr="008B619A">
        <w:rPr>
          <w:rFonts w:ascii="Segoe UI" w:hAnsi="Segoe UI" w:cs="Segoe UI" w:hint="eastAsia"/>
          <w:b/>
          <w:bCs w:val="0"/>
          <w:color w:val="000000" w:themeColor="text1"/>
        </w:rPr>
        <w:t>年輕學者</w:t>
      </w:r>
      <w:r w:rsidR="00D453C9" w:rsidRPr="008B619A">
        <w:rPr>
          <w:rFonts w:ascii="Segoe UI" w:hAnsi="Segoe UI" w:cs="Segoe UI" w:hint="eastAsia"/>
          <w:b/>
          <w:bCs w:val="0"/>
          <w:color w:val="000000" w:themeColor="text1"/>
        </w:rPr>
        <w:t>及教師之人力</w:t>
      </w:r>
      <w:r w:rsidR="002279AA" w:rsidRPr="008B619A">
        <w:rPr>
          <w:rFonts w:ascii="Segoe UI" w:hAnsi="Segoe UI" w:cs="Segoe UI"/>
          <w:b/>
          <w:bCs w:val="0"/>
          <w:color w:val="000000" w:themeColor="text1"/>
        </w:rPr>
        <w:t>斷層，</w:t>
      </w:r>
      <w:r w:rsidR="00750349" w:rsidRPr="008B619A">
        <w:rPr>
          <w:rFonts w:ascii="Segoe UI" w:hAnsi="Segoe UI" w:cs="Segoe UI" w:hint="eastAsia"/>
          <w:b/>
          <w:bCs w:val="0"/>
          <w:color w:val="000000" w:themeColor="text1"/>
        </w:rPr>
        <w:t>恐</w:t>
      </w:r>
      <w:r w:rsidR="004E6502" w:rsidRPr="008B619A">
        <w:rPr>
          <w:rFonts w:ascii="Segoe UI" w:hAnsi="Segoe UI" w:cs="Segoe UI" w:hint="eastAsia"/>
          <w:b/>
          <w:bCs w:val="0"/>
          <w:color w:val="000000" w:themeColor="text1"/>
        </w:rPr>
        <w:t>扼殺</w:t>
      </w:r>
      <w:r w:rsidR="002279AA" w:rsidRPr="008B619A">
        <w:rPr>
          <w:rFonts w:ascii="Segoe UI" w:hAnsi="Segoe UI" w:cs="Segoe UI"/>
          <w:b/>
          <w:bCs w:val="0"/>
          <w:color w:val="000000" w:themeColor="text1"/>
        </w:rPr>
        <w:t>研究創新</w:t>
      </w:r>
      <w:r w:rsidR="003C61C3" w:rsidRPr="008B619A">
        <w:rPr>
          <w:rFonts w:hint="eastAsia"/>
          <w:b/>
          <w:bCs w:val="0"/>
          <w:color w:val="000000" w:themeColor="text1"/>
        </w:rPr>
        <w:t>，損及學生</w:t>
      </w:r>
      <w:r w:rsidR="005A6397" w:rsidRPr="008B619A">
        <w:rPr>
          <w:rFonts w:hint="eastAsia"/>
          <w:b/>
          <w:bCs w:val="0"/>
          <w:color w:val="000000" w:themeColor="text1"/>
        </w:rPr>
        <w:t>之</w:t>
      </w:r>
      <w:r w:rsidR="003C61C3" w:rsidRPr="008B619A">
        <w:rPr>
          <w:rFonts w:hint="eastAsia"/>
          <w:b/>
          <w:bCs w:val="0"/>
          <w:color w:val="000000" w:themeColor="text1"/>
        </w:rPr>
        <w:t>受教權益</w:t>
      </w:r>
      <w:bookmarkEnd w:id="83"/>
      <w:r w:rsidR="00932310" w:rsidRPr="008B619A">
        <w:rPr>
          <w:rFonts w:hint="eastAsia"/>
          <w:b/>
          <w:bCs w:val="0"/>
          <w:color w:val="000000" w:themeColor="text1"/>
        </w:rPr>
        <w:t>；又釋字第783號解釋針對</w:t>
      </w:r>
      <w:r w:rsidR="00932310" w:rsidRPr="008B619A">
        <w:rPr>
          <w:b/>
          <w:bCs w:val="0"/>
          <w:color w:val="000000" w:themeColor="text1"/>
        </w:rPr>
        <w:t>公立學校教職員退休資遣撫卹條例</w:t>
      </w:r>
      <w:r w:rsidR="00932310" w:rsidRPr="008B619A">
        <w:rPr>
          <w:rFonts w:hint="eastAsia"/>
          <w:b/>
          <w:bCs w:val="0"/>
          <w:color w:val="000000" w:themeColor="text1"/>
        </w:rPr>
        <w:t>相關規定宣告違憲後，教育部已</w:t>
      </w:r>
      <w:r w:rsidR="00D6009E" w:rsidRPr="008B619A">
        <w:rPr>
          <w:rFonts w:hint="eastAsia"/>
          <w:b/>
          <w:bCs w:val="0"/>
          <w:color w:val="000000" w:themeColor="text1"/>
        </w:rPr>
        <w:t>研擬</w:t>
      </w:r>
      <w:r w:rsidR="00932310" w:rsidRPr="008B619A">
        <w:rPr>
          <w:rFonts w:hint="eastAsia"/>
          <w:b/>
          <w:bCs w:val="0"/>
          <w:color w:val="000000" w:themeColor="text1"/>
        </w:rPr>
        <w:t>修正獎補助款措施及儲金負擔措施，相關</w:t>
      </w:r>
      <w:r w:rsidR="007F33DF" w:rsidRPr="008B619A">
        <w:rPr>
          <w:rFonts w:hint="eastAsia"/>
          <w:b/>
          <w:bCs w:val="0"/>
          <w:color w:val="000000" w:themeColor="text1"/>
        </w:rPr>
        <w:t>成</w:t>
      </w:r>
      <w:r w:rsidR="00932310" w:rsidRPr="008B619A">
        <w:rPr>
          <w:rFonts w:hint="eastAsia"/>
          <w:b/>
          <w:bCs w:val="0"/>
          <w:color w:val="000000" w:themeColor="text1"/>
        </w:rPr>
        <w:t>效尚待評估</w:t>
      </w:r>
      <w:r w:rsidR="004E5A09" w:rsidRPr="008B619A">
        <w:rPr>
          <w:rFonts w:hint="eastAsia"/>
          <w:b/>
          <w:bCs w:val="0"/>
          <w:color w:val="000000" w:themeColor="text1"/>
        </w:rPr>
        <w:t>追蹤</w:t>
      </w:r>
      <w:r w:rsidR="00932310" w:rsidRPr="008B619A">
        <w:rPr>
          <w:rFonts w:hint="eastAsia"/>
          <w:b/>
          <w:bCs w:val="0"/>
          <w:color w:val="000000" w:themeColor="text1"/>
        </w:rPr>
        <w:t>，爰未來政府允宜</w:t>
      </w:r>
      <w:r w:rsidR="00A43C9C" w:rsidRPr="008B619A">
        <w:rPr>
          <w:rFonts w:hint="eastAsia"/>
          <w:b/>
          <w:bCs w:val="0"/>
          <w:color w:val="000000" w:themeColor="text1"/>
        </w:rPr>
        <w:t>立</w:t>
      </w:r>
      <w:r w:rsidR="008B304F" w:rsidRPr="008B619A">
        <w:rPr>
          <w:rFonts w:hint="eastAsia"/>
          <w:b/>
          <w:bCs w:val="0"/>
          <w:color w:val="000000" w:themeColor="text1"/>
        </w:rPr>
        <w:t>基教育權，</w:t>
      </w:r>
      <w:r w:rsidR="00805425" w:rsidRPr="008B619A">
        <w:rPr>
          <w:rFonts w:hint="eastAsia"/>
          <w:b/>
          <w:bCs w:val="0"/>
          <w:color w:val="000000" w:themeColor="text1"/>
        </w:rPr>
        <w:t>持續</w:t>
      </w:r>
      <w:r w:rsidR="00932310" w:rsidRPr="008B619A">
        <w:rPr>
          <w:rFonts w:hint="eastAsia"/>
          <w:b/>
          <w:bCs w:val="0"/>
          <w:color w:val="000000" w:themeColor="text1"/>
        </w:rPr>
        <w:t>監督</w:t>
      </w:r>
      <w:r w:rsidR="00481DF1" w:rsidRPr="008B619A">
        <w:rPr>
          <w:rFonts w:hint="eastAsia"/>
          <w:b/>
          <w:bCs w:val="0"/>
          <w:color w:val="000000" w:themeColor="text1"/>
        </w:rPr>
        <w:t>改善</w:t>
      </w:r>
      <w:r w:rsidR="00932310" w:rsidRPr="008B619A">
        <w:rPr>
          <w:rFonts w:hint="eastAsia"/>
          <w:b/>
          <w:bCs w:val="0"/>
          <w:color w:val="000000" w:themeColor="text1"/>
        </w:rPr>
        <w:t>生師比措施</w:t>
      </w:r>
      <w:r w:rsidR="00932310" w:rsidRPr="008B619A">
        <w:rPr>
          <w:rFonts w:hAnsi="標楷體" w:hint="eastAsia"/>
          <w:b/>
          <w:bCs w:val="0"/>
          <w:color w:val="000000" w:themeColor="text1"/>
        </w:rPr>
        <w:t>、</w:t>
      </w:r>
      <w:r w:rsidR="00932310" w:rsidRPr="008B619A">
        <w:rPr>
          <w:rFonts w:hint="eastAsia"/>
          <w:b/>
          <w:bCs w:val="0"/>
          <w:color w:val="000000" w:themeColor="text1"/>
        </w:rPr>
        <w:t>年輕教師工作權益，鼓勵</w:t>
      </w:r>
      <w:r w:rsidR="005421B8" w:rsidRPr="008B619A">
        <w:rPr>
          <w:rFonts w:hint="eastAsia"/>
          <w:b/>
          <w:bCs w:val="0"/>
          <w:color w:val="000000" w:themeColor="text1"/>
        </w:rPr>
        <w:t>年輕</w:t>
      </w:r>
      <w:r w:rsidR="00932310" w:rsidRPr="008B619A">
        <w:rPr>
          <w:rFonts w:hint="eastAsia"/>
          <w:b/>
          <w:bCs w:val="0"/>
          <w:color w:val="000000" w:themeColor="text1"/>
        </w:rPr>
        <w:t>專任</w:t>
      </w:r>
      <w:r w:rsidR="00932310" w:rsidRPr="008B619A">
        <w:rPr>
          <w:b/>
          <w:bCs w:val="0"/>
          <w:color w:val="000000" w:themeColor="text1"/>
        </w:rPr>
        <w:t>師資延攬</w:t>
      </w:r>
      <w:r w:rsidR="00932310" w:rsidRPr="008B619A">
        <w:rPr>
          <w:rFonts w:hint="eastAsia"/>
          <w:b/>
          <w:bCs w:val="0"/>
          <w:color w:val="000000" w:themeColor="text1"/>
        </w:rPr>
        <w:t>，以均衡優質教育體系及學術能量之發展</w:t>
      </w:r>
      <w:bookmarkEnd w:id="84"/>
    </w:p>
    <w:p w14:paraId="360B51F5" w14:textId="7BA0A569" w:rsidR="00AB3C79" w:rsidRPr="008B619A" w:rsidRDefault="00511C07" w:rsidP="006400F0">
      <w:pPr>
        <w:pStyle w:val="3"/>
        <w:numPr>
          <w:ilvl w:val="2"/>
          <w:numId w:val="12"/>
        </w:numPr>
        <w:rPr>
          <w:color w:val="000000" w:themeColor="text1"/>
        </w:rPr>
      </w:pPr>
      <w:r w:rsidRPr="008B619A">
        <w:rPr>
          <w:rFonts w:hint="eastAsia"/>
          <w:color w:val="000000" w:themeColor="text1"/>
        </w:rPr>
        <w:t>按</w:t>
      </w:r>
      <w:r w:rsidR="00FF0211" w:rsidRPr="008B619A">
        <w:rPr>
          <w:rFonts w:hAnsi="標楷體" w:hint="eastAsia"/>
          <w:color w:val="000000" w:themeColor="text1"/>
        </w:rPr>
        <w:t>「</w:t>
      </w:r>
      <w:r w:rsidR="004571A6" w:rsidRPr="008B619A">
        <w:rPr>
          <w:rFonts w:hint="eastAsia"/>
          <w:color w:val="000000" w:themeColor="text1"/>
        </w:rPr>
        <w:t>學校法人及其所屬私立學校教職員退休撫卹離職資遣條例</w:t>
      </w:r>
      <w:r w:rsidR="00FF0211" w:rsidRPr="008B619A">
        <w:rPr>
          <w:rFonts w:hAnsi="標楷體" w:hint="eastAsia"/>
          <w:color w:val="000000" w:themeColor="text1"/>
        </w:rPr>
        <w:t>」</w:t>
      </w:r>
      <w:r w:rsidR="004571A6" w:rsidRPr="008B619A">
        <w:rPr>
          <w:rFonts w:hint="eastAsia"/>
          <w:color w:val="000000" w:themeColor="text1"/>
        </w:rPr>
        <w:t>第16條規定略以，</w:t>
      </w:r>
      <w:r w:rsidR="00AD61FD" w:rsidRPr="008B619A">
        <w:rPr>
          <w:rFonts w:hAnsi="標楷體" w:hint="eastAsia"/>
          <w:color w:val="000000" w:themeColor="text1"/>
        </w:rPr>
        <w:t>「</w:t>
      </w:r>
      <w:r w:rsidR="004571A6" w:rsidRPr="008B619A">
        <w:rPr>
          <w:rFonts w:hint="eastAsia"/>
          <w:color w:val="000000" w:themeColor="text1"/>
        </w:rPr>
        <w:t>私立學校教師年滿65歲，但有下列情形之一者，得予以延長服務：一、校長聘期未屆滿者，得任職至聘期屆滿；其聘期屆滿而獲續聘者，亦同。但不得逾70歲。二、專科以上學校教授經學校基於教學需要，並徵得當事人同意繼續服務者。但每次延長不得逾</w:t>
      </w:r>
      <w:r w:rsidR="004571A6" w:rsidRPr="008B619A">
        <w:rPr>
          <w:color w:val="000000" w:themeColor="text1"/>
        </w:rPr>
        <w:t>1</w:t>
      </w:r>
      <w:r w:rsidR="004571A6" w:rsidRPr="008B619A">
        <w:rPr>
          <w:rFonts w:hint="eastAsia"/>
          <w:color w:val="000000" w:themeColor="text1"/>
        </w:rPr>
        <w:t>年，至多延長至屆滿</w:t>
      </w:r>
      <w:r w:rsidR="004571A6" w:rsidRPr="008B619A">
        <w:rPr>
          <w:color w:val="000000" w:themeColor="text1"/>
        </w:rPr>
        <w:t>70</w:t>
      </w:r>
      <w:r w:rsidR="004571A6" w:rsidRPr="008B619A">
        <w:rPr>
          <w:rFonts w:hint="eastAsia"/>
          <w:color w:val="000000" w:themeColor="text1"/>
        </w:rPr>
        <w:t>歲當學期為止。又有關私立學校教師延長服務之條件、期限、審核程序等事項，係由各私立大專校院自行訂定相關規定</w:t>
      </w:r>
      <w:r w:rsidR="00AD61FD" w:rsidRPr="008B619A">
        <w:rPr>
          <w:rFonts w:hAnsi="標楷體" w:hint="eastAsia"/>
          <w:color w:val="000000" w:themeColor="text1"/>
        </w:rPr>
        <w:t>」</w:t>
      </w:r>
      <w:r w:rsidR="004571A6" w:rsidRPr="008B619A">
        <w:rPr>
          <w:rFonts w:hint="eastAsia"/>
          <w:color w:val="000000" w:themeColor="text1"/>
        </w:rPr>
        <w:t>。復按</w:t>
      </w:r>
      <w:r w:rsidR="008273B0" w:rsidRPr="008B619A">
        <w:rPr>
          <w:rFonts w:hAnsi="標楷體" w:hint="eastAsia"/>
          <w:color w:val="000000" w:themeColor="text1"/>
        </w:rPr>
        <w:t>「總量標準」</w:t>
      </w:r>
      <w:r w:rsidR="00EE24B0" w:rsidRPr="008B619A">
        <w:rPr>
          <w:rFonts w:hint="eastAsia"/>
          <w:color w:val="000000" w:themeColor="text1"/>
        </w:rPr>
        <w:t>第</w:t>
      </w:r>
      <w:r w:rsidR="007D6CD9" w:rsidRPr="008B619A">
        <w:rPr>
          <w:rFonts w:hint="eastAsia"/>
          <w:color w:val="000000" w:themeColor="text1"/>
        </w:rPr>
        <w:t>4條附表1規定，專任師資包括專任教授、專任副教授、專任助理教授、專任講師、依大學聘任專業技術人員擔任教學辦法規定聘任之專任專業技術人員、</w:t>
      </w:r>
      <w:r w:rsidR="00A04201" w:rsidRPr="008B619A">
        <w:rPr>
          <w:rFonts w:hint="eastAsia"/>
          <w:color w:val="000000" w:themeColor="text1"/>
        </w:rPr>
        <w:t>教育</w:t>
      </w:r>
      <w:r w:rsidR="007D6CD9" w:rsidRPr="008B619A">
        <w:rPr>
          <w:rFonts w:hint="eastAsia"/>
          <w:color w:val="000000" w:themeColor="text1"/>
        </w:rPr>
        <w:t>部介派擔任軍護課程之軍訓教官及護理教師、講（客）座教授符合專任教授聘用規定及資格且聘約達</w:t>
      </w:r>
      <w:r w:rsidR="00544D0B" w:rsidRPr="008B619A">
        <w:rPr>
          <w:rFonts w:hint="eastAsia"/>
          <w:color w:val="000000" w:themeColor="text1"/>
        </w:rPr>
        <w:t>1</w:t>
      </w:r>
      <w:r w:rsidR="007D6CD9" w:rsidRPr="008B619A">
        <w:rPr>
          <w:rFonts w:hint="eastAsia"/>
          <w:color w:val="000000" w:themeColor="text1"/>
        </w:rPr>
        <w:t>年以上者</w:t>
      </w:r>
      <w:r w:rsidR="00544D0B" w:rsidRPr="008B619A">
        <w:rPr>
          <w:rFonts w:hint="eastAsia"/>
          <w:color w:val="000000" w:themeColor="text1"/>
        </w:rPr>
        <w:t>等。針對</w:t>
      </w:r>
      <w:r w:rsidR="00AB3C79" w:rsidRPr="008B619A">
        <w:rPr>
          <w:rFonts w:hint="eastAsia"/>
          <w:color w:val="000000" w:themeColor="text1"/>
        </w:rPr>
        <w:t>大專校院專任教師、兼任教師數及專案教師之定義及法令</w:t>
      </w:r>
      <w:r w:rsidR="00242909" w:rsidRPr="008B619A">
        <w:rPr>
          <w:rFonts w:hint="eastAsia"/>
          <w:color w:val="000000" w:themeColor="text1"/>
        </w:rPr>
        <w:t>摘要如下</w:t>
      </w:r>
      <w:r w:rsidR="00AB3C79" w:rsidRPr="008B619A">
        <w:rPr>
          <w:rFonts w:hint="eastAsia"/>
          <w:color w:val="000000" w:themeColor="text1"/>
        </w:rPr>
        <w:t>：</w:t>
      </w:r>
    </w:p>
    <w:p w14:paraId="55424C56" w14:textId="7776ED15" w:rsidR="00330D0A" w:rsidRPr="008B619A" w:rsidRDefault="00330D0A" w:rsidP="00AB3C79">
      <w:pPr>
        <w:pStyle w:val="4"/>
        <w:rPr>
          <w:color w:val="000000" w:themeColor="text1"/>
        </w:rPr>
      </w:pPr>
      <w:r w:rsidRPr="008B619A">
        <w:rPr>
          <w:rFonts w:ascii="Times New Roman" w:hint="eastAsia"/>
          <w:color w:val="000000" w:themeColor="text1"/>
          <w:szCs w:val="28"/>
        </w:rPr>
        <w:lastRenderedPageBreak/>
        <w:t>專任教師</w:t>
      </w:r>
      <w:r w:rsidR="009618AD" w:rsidRPr="008B619A">
        <w:rPr>
          <w:rFonts w:ascii="Times New Roman" w:hint="eastAsia"/>
          <w:color w:val="000000" w:themeColor="text1"/>
          <w:szCs w:val="28"/>
        </w:rPr>
        <w:t>係</w:t>
      </w:r>
      <w:r w:rsidR="009618AD" w:rsidRPr="008B619A">
        <w:rPr>
          <w:rFonts w:hint="eastAsia"/>
          <w:color w:val="000000" w:themeColor="text1"/>
        </w:rPr>
        <w:t>依</w:t>
      </w:r>
      <w:r w:rsidR="00393E15" w:rsidRPr="008B619A">
        <w:rPr>
          <w:rFonts w:hAnsi="標楷體" w:hint="eastAsia"/>
          <w:color w:val="000000" w:themeColor="text1"/>
        </w:rPr>
        <w:t>「</w:t>
      </w:r>
      <w:r w:rsidR="009618AD" w:rsidRPr="008B619A">
        <w:rPr>
          <w:rFonts w:hint="eastAsia"/>
          <w:color w:val="000000" w:themeColor="text1"/>
        </w:rPr>
        <w:t>教師法</w:t>
      </w:r>
      <w:r w:rsidR="00393E15" w:rsidRPr="008B619A">
        <w:rPr>
          <w:rFonts w:hAnsi="標楷體" w:hint="eastAsia"/>
          <w:color w:val="000000" w:themeColor="text1"/>
        </w:rPr>
        <w:t>」</w:t>
      </w:r>
      <w:r w:rsidR="009618AD" w:rsidRPr="008B619A">
        <w:rPr>
          <w:rFonts w:hint="eastAsia"/>
          <w:color w:val="000000" w:themeColor="text1"/>
        </w:rPr>
        <w:t>第3條第1項規定，係指於公立及已立案之私立學校編制內，按月支給待遇，並依法取得教師資格之專任教師。</w:t>
      </w:r>
      <w:r w:rsidR="00614DFF" w:rsidRPr="008B619A">
        <w:rPr>
          <w:rFonts w:hint="eastAsia"/>
          <w:color w:val="000000" w:themeColor="text1"/>
        </w:rPr>
        <w:t>權利義務及退休資遣撫卹等事項，依「教師法」、「教育人員任用條例」、「公立學校教職員退休資遣撫卹條例」、「學校法人及其所屬私立學校教職員退休撫卹離職資遣條例」等相關法令規範，另有關教師分級及聘用，依</w:t>
      </w:r>
      <w:r w:rsidR="006D5972" w:rsidRPr="008B619A">
        <w:rPr>
          <w:rFonts w:hint="eastAsia"/>
          <w:color w:val="000000" w:themeColor="text1"/>
        </w:rPr>
        <w:t>「大學法」</w:t>
      </w:r>
      <w:r w:rsidR="00614DFF" w:rsidRPr="008B619A">
        <w:rPr>
          <w:rFonts w:hint="eastAsia"/>
          <w:color w:val="000000" w:themeColor="text1"/>
        </w:rPr>
        <w:t>(第17至22條)相關規定。</w:t>
      </w:r>
    </w:p>
    <w:p w14:paraId="723625DC" w14:textId="589F29BA" w:rsidR="00C27C37" w:rsidRPr="008B619A" w:rsidRDefault="00374937" w:rsidP="00AB3C79">
      <w:pPr>
        <w:pStyle w:val="4"/>
        <w:rPr>
          <w:color w:val="000000" w:themeColor="text1"/>
        </w:rPr>
      </w:pPr>
      <w:r w:rsidRPr="008B619A">
        <w:rPr>
          <w:rFonts w:hint="eastAsia"/>
          <w:color w:val="000000" w:themeColor="text1"/>
        </w:rPr>
        <w:t>大專校院編制外專任教師（即專案教師）</w:t>
      </w:r>
      <w:r w:rsidR="00646013" w:rsidRPr="008B619A">
        <w:rPr>
          <w:rFonts w:hint="eastAsia"/>
          <w:color w:val="000000" w:themeColor="text1"/>
        </w:rPr>
        <w:t>：</w:t>
      </w:r>
      <w:r w:rsidRPr="008B619A">
        <w:rPr>
          <w:rFonts w:hint="eastAsia"/>
          <w:color w:val="000000" w:themeColor="text1"/>
        </w:rPr>
        <w:t>整體制度</w:t>
      </w:r>
      <w:r w:rsidR="004B3EBF" w:rsidRPr="008B619A">
        <w:rPr>
          <w:rFonts w:hint="eastAsia"/>
          <w:color w:val="000000" w:themeColor="text1"/>
        </w:rPr>
        <w:t>係</w:t>
      </w:r>
      <w:r w:rsidRPr="008B619A">
        <w:rPr>
          <w:rFonts w:hint="eastAsia"/>
          <w:color w:val="000000" w:themeColor="text1"/>
        </w:rPr>
        <w:t>源自教育部87年</w:t>
      </w:r>
      <w:r w:rsidRPr="008B619A">
        <w:rPr>
          <w:rFonts w:hint="eastAsia"/>
          <w:color w:val="000000" w:themeColor="text1"/>
          <w:szCs w:val="28"/>
        </w:rPr>
        <w:t>「國立大學校院進用專案計畫教學人員研究人員暨工作人員實施原則(草案)」</w:t>
      </w:r>
      <w:r w:rsidRPr="008B619A">
        <w:rPr>
          <w:rFonts w:hint="eastAsia"/>
          <w:color w:val="000000" w:themeColor="text1"/>
        </w:rPr>
        <w:t>。</w:t>
      </w:r>
      <w:r w:rsidR="00966F49" w:rsidRPr="008B619A">
        <w:rPr>
          <w:rFonts w:hint="eastAsia"/>
          <w:color w:val="000000" w:themeColor="text1"/>
        </w:rPr>
        <w:t>目前指依「國立大學校務基金進用教學人員研究人員及工作人員實施原則」聘任者，或私立大學校院依校內聘任規定有全部時間擔任學校教學職務者</w:t>
      </w:r>
      <w:r w:rsidR="008C31DC" w:rsidRPr="008B619A">
        <w:rPr>
          <w:rFonts w:hint="eastAsia"/>
          <w:color w:val="000000" w:themeColor="text1"/>
        </w:rPr>
        <w:t>。</w:t>
      </w:r>
    </w:p>
    <w:p w14:paraId="24B5B724" w14:textId="6393630A" w:rsidR="000F3AFC" w:rsidRPr="008B619A" w:rsidRDefault="00060840" w:rsidP="00072096">
      <w:pPr>
        <w:pStyle w:val="4"/>
        <w:rPr>
          <w:color w:val="000000" w:themeColor="text1"/>
        </w:rPr>
      </w:pPr>
      <w:r w:rsidRPr="008B619A">
        <w:rPr>
          <w:rFonts w:hint="eastAsia"/>
          <w:color w:val="000000" w:themeColor="text1"/>
        </w:rPr>
        <w:t>而</w:t>
      </w:r>
      <w:r w:rsidR="00C27C37" w:rsidRPr="008B619A">
        <w:rPr>
          <w:rFonts w:hAnsi="標楷體" w:hint="eastAsia"/>
          <w:color w:val="000000" w:themeColor="text1"/>
          <w:kern w:val="0"/>
        </w:rPr>
        <w:t>兼任教師係指</w:t>
      </w:r>
      <w:r w:rsidR="00D25670" w:rsidRPr="008B619A">
        <w:rPr>
          <w:rFonts w:hint="eastAsia"/>
          <w:color w:val="000000" w:themeColor="text1"/>
        </w:rPr>
        <w:t>依</w:t>
      </w:r>
      <w:r w:rsidR="000C5D9D" w:rsidRPr="008B619A">
        <w:rPr>
          <w:rFonts w:hint="eastAsia"/>
          <w:color w:val="000000" w:themeColor="text1"/>
        </w:rPr>
        <w:t>「專科以上學校兼任教師聘任辦法」</w:t>
      </w:r>
      <w:r w:rsidR="00D25670" w:rsidRPr="008B619A">
        <w:rPr>
          <w:rFonts w:hint="eastAsia"/>
          <w:color w:val="000000" w:themeColor="text1"/>
        </w:rPr>
        <w:t>第2條規定，指以部分時間在專科以上學校擔任教學工作，並依大學法及專科學校法之教師分級，及教育人員任用條例所定資格聘任者</w:t>
      </w:r>
      <w:r w:rsidR="002B3A0A" w:rsidRPr="008B619A">
        <w:rPr>
          <w:rFonts w:hAnsi="標楷體" w:hint="eastAsia"/>
          <w:color w:val="000000" w:themeColor="text1"/>
          <w:szCs w:val="32"/>
        </w:rPr>
        <w:t>。</w:t>
      </w:r>
      <w:r w:rsidR="008F208F" w:rsidRPr="008B619A">
        <w:rPr>
          <w:rFonts w:hint="eastAsia"/>
          <w:color w:val="000000" w:themeColor="text1"/>
        </w:rPr>
        <w:t>權利義務依「專科以上學校兼任教師聘任辦法」規範。</w:t>
      </w:r>
    </w:p>
    <w:p w14:paraId="577B7A36" w14:textId="3324B11F" w:rsidR="002E3DC6" w:rsidRPr="008B619A" w:rsidRDefault="00F0757B" w:rsidP="00EE24B0">
      <w:pPr>
        <w:pStyle w:val="3"/>
        <w:rPr>
          <w:color w:val="000000" w:themeColor="text1"/>
        </w:rPr>
      </w:pPr>
      <w:r w:rsidRPr="008B619A">
        <w:rPr>
          <w:rFonts w:hint="eastAsia"/>
          <w:color w:val="000000" w:themeColor="text1"/>
        </w:rPr>
        <w:t>復按</w:t>
      </w:r>
      <w:r w:rsidR="00246790" w:rsidRPr="008B619A">
        <w:rPr>
          <w:rFonts w:hint="eastAsia"/>
          <w:color w:val="000000" w:themeColor="text1"/>
        </w:rPr>
        <w:t>「總量標準」</w:t>
      </w:r>
      <w:r w:rsidR="002E3DC6" w:rsidRPr="008B619A">
        <w:rPr>
          <w:rFonts w:hint="eastAsia"/>
          <w:color w:val="000000" w:themeColor="text1"/>
        </w:rPr>
        <w:t>第4條附表1規定，專科以上學校之全校生師比值、日間學制生師比值及研究生生師比值，應達下列基準：</w:t>
      </w:r>
    </w:p>
    <w:p w14:paraId="4022C941" w14:textId="5C571F3F" w:rsidR="00F0757B" w:rsidRPr="008B619A" w:rsidRDefault="00715542" w:rsidP="00F0757B">
      <w:pPr>
        <w:pStyle w:val="a3"/>
        <w:ind w:left="1021" w:hanging="681"/>
        <w:jc w:val="center"/>
        <w:rPr>
          <w:b/>
          <w:bCs w:val="0"/>
          <w:color w:val="000000" w:themeColor="text1"/>
          <w:szCs w:val="36"/>
        </w:rPr>
      </w:pPr>
      <w:r w:rsidRPr="008B619A">
        <w:rPr>
          <w:rFonts w:hint="eastAsia"/>
          <w:b/>
          <w:bCs w:val="0"/>
          <w:color w:val="000000" w:themeColor="text1"/>
        </w:rPr>
        <w:t>生師比值基準表</w:t>
      </w:r>
    </w:p>
    <w:tbl>
      <w:tblPr>
        <w:tblW w:w="489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8"/>
        <w:gridCol w:w="2978"/>
        <w:gridCol w:w="4251"/>
      </w:tblGrid>
      <w:tr w:rsidR="002E3DC6" w:rsidRPr="008B619A" w14:paraId="502B086D" w14:textId="77777777" w:rsidTr="001C3F5B">
        <w:trPr>
          <w:trHeight w:val="397"/>
          <w:tblHeader/>
          <w:jc w:val="center"/>
        </w:trPr>
        <w:tc>
          <w:tcPr>
            <w:tcW w:w="820" w:type="pct"/>
            <w:shd w:val="clear" w:color="auto" w:fill="EAF1DD" w:themeFill="accent3" w:themeFillTint="33"/>
            <w:vAlign w:val="center"/>
          </w:tcPr>
          <w:p w14:paraId="370C4AA6" w14:textId="77777777" w:rsidR="002E3DC6" w:rsidRPr="008B619A" w:rsidRDefault="002E3DC6" w:rsidP="001C3F5B">
            <w:pPr>
              <w:snapToGrid w:val="0"/>
              <w:spacing w:line="440" w:lineRule="exact"/>
              <w:jc w:val="center"/>
              <w:rPr>
                <w:rFonts w:hAnsi="標楷體"/>
                <w:b/>
                <w:bCs/>
                <w:color w:val="000000" w:themeColor="text1"/>
                <w:sz w:val="26"/>
                <w:szCs w:val="26"/>
              </w:rPr>
            </w:pPr>
            <w:r w:rsidRPr="008B619A">
              <w:rPr>
                <w:rFonts w:hAnsi="標楷體"/>
                <w:b/>
                <w:bCs/>
                <w:color w:val="000000" w:themeColor="text1"/>
                <w:sz w:val="26"/>
                <w:szCs w:val="26"/>
              </w:rPr>
              <w:t>類型</w:t>
            </w:r>
          </w:p>
        </w:tc>
        <w:tc>
          <w:tcPr>
            <w:tcW w:w="1722" w:type="pct"/>
            <w:shd w:val="clear" w:color="auto" w:fill="EAF1DD" w:themeFill="accent3" w:themeFillTint="33"/>
            <w:vAlign w:val="center"/>
          </w:tcPr>
          <w:p w14:paraId="6D98A4C2" w14:textId="77777777" w:rsidR="002E3DC6" w:rsidRPr="008B619A" w:rsidRDefault="002E3DC6" w:rsidP="001C3F5B">
            <w:pPr>
              <w:snapToGrid w:val="0"/>
              <w:spacing w:line="440" w:lineRule="exact"/>
              <w:jc w:val="center"/>
              <w:rPr>
                <w:rFonts w:hAnsi="標楷體"/>
                <w:b/>
                <w:bCs/>
                <w:color w:val="000000" w:themeColor="text1"/>
                <w:sz w:val="26"/>
                <w:szCs w:val="26"/>
              </w:rPr>
            </w:pPr>
            <w:r w:rsidRPr="008B619A">
              <w:rPr>
                <w:rFonts w:hAnsi="標楷體"/>
                <w:b/>
                <w:bCs/>
                <w:color w:val="000000" w:themeColor="text1"/>
                <w:sz w:val="26"/>
                <w:szCs w:val="26"/>
              </w:rPr>
              <w:t>基準</w:t>
            </w:r>
          </w:p>
        </w:tc>
        <w:tc>
          <w:tcPr>
            <w:tcW w:w="2458" w:type="pct"/>
            <w:shd w:val="clear" w:color="auto" w:fill="EAF1DD" w:themeFill="accent3" w:themeFillTint="33"/>
            <w:vAlign w:val="center"/>
          </w:tcPr>
          <w:p w14:paraId="13F59A3E" w14:textId="77777777" w:rsidR="002E3DC6" w:rsidRPr="008B619A" w:rsidRDefault="002E3DC6" w:rsidP="001C3F5B">
            <w:pPr>
              <w:snapToGrid w:val="0"/>
              <w:spacing w:line="440" w:lineRule="exact"/>
              <w:jc w:val="center"/>
              <w:rPr>
                <w:rFonts w:hAnsi="標楷體"/>
                <w:b/>
                <w:bCs/>
                <w:color w:val="000000" w:themeColor="text1"/>
                <w:sz w:val="26"/>
                <w:szCs w:val="26"/>
              </w:rPr>
            </w:pPr>
            <w:r w:rsidRPr="008B619A">
              <w:rPr>
                <w:rFonts w:hAnsi="標楷體"/>
                <w:b/>
                <w:bCs/>
                <w:color w:val="000000" w:themeColor="text1"/>
                <w:sz w:val="26"/>
                <w:szCs w:val="26"/>
              </w:rPr>
              <w:t>計算方式</w:t>
            </w:r>
          </w:p>
        </w:tc>
      </w:tr>
      <w:tr w:rsidR="002E3DC6" w:rsidRPr="008B619A" w14:paraId="2C00DE41" w14:textId="77777777" w:rsidTr="001C3F5B">
        <w:trPr>
          <w:trHeight w:val="397"/>
          <w:jc w:val="center"/>
        </w:trPr>
        <w:tc>
          <w:tcPr>
            <w:tcW w:w="820" w:type="pct"/>
            <w:shd w:val="clear" w:color="auto" w:fill="EAF1DD" w:themeFill="accent3" w:themeFillTint="33"/>
            <w:vAlign w:val="center"/>
          </w:tcPr>
          <w:p w14:paraId="1DEF1784" w14:textId="77777777" w:rsidR="002E3DC6" w:rsidRPr="008B619A" w:rsidRDefault="002E3DC6" w:rsidP="001C3F5B">
            <w:pPr>
              <w:snapToGrid w:val="0"/>
              <w:spacing w:line="440" w:lineRule="exact"/>
              <w:jc w:val="center"/>
              <w:rPr>
                <w:rFonts w:hAnsi="標楷體"/>
                <w:b/>
                <w:bCs/>
                <w:color w:val="000000" w:themeColor="text1"/>
                <w:sz w:val="26"/>
                <w:szCs w:val="26"/>
              </w:rPr>
            </w:pPr>
            <w:r w:rsidRPr="008B619A">
              <w:rPr>
                <w:rFonts w:hAnsi="標楷體"/>
                <w:b/>
                <w:bCs/>
                <w:color w:val="000000" w:themeColor="text1"/>
                <w:sz w:val="26"/>
                <w:szCs w:val="26"/>
              </w:rPr>
              <w:t>全校</w:t>
            </w:r>
          </w:p>
          <w:p w14:paraId="7865D53A" w14:textId="77777777" w:rsidR="002E3DC6" w:rsidRPr="008B619A" w:rsidRDefault="002E3DC6" w:rsidP="001C3F5B">
            <w:pPr>
              <w:snapToGrid w:val="0"/>
              <w:spacing w:line="440" w:lineRule="exact"/>
              <w:jc w:val="center"/>
              <w:rPr>
                <w:rFonts w:hAnsi="標楷體"/>
                <w:b/>
                <w:bCs/>
                <w:color w:val="000000" w:themeColor="text1"/>
                <w:sz w:val="26"/>
                <w:szCs w:val="26"/>
              </w:rPr>
            </w:pPr>
            <w:r w:rsidRPr="008B619A">
              <w:rPr>
                <w:rFonts w:hAnsi="標楷體"/>
                <w:b/>
                <w:bCs/>
                <w:color w:val="000000" w:themeColor="text1"/>
                <w:sz w:val="26"/>
                <w:szCs w:val="26"/>
              </w:rPr>
              <w:t>生師比值</w:t>
            </w:r>
          </w:p>
        </w:tc>
        <w:tc>
          <w:tcPr>
            <w:tcW w:w="1722" w:type="pct"/>
          </w:tcPr>
          <w:p w14:paraId="75B20DB3" w14:textId="77777777" w:rsidR="002E3DC6" w:rsidRPr="008B619A" w:rsidRDefault="002E3DC6" w:rsidP="00B532AF">
            <w:pPr>
              <w:numPr>
                <w:ilvl w:val="0"/>
                <w:numId w:val="14"/>
              </w:numPr>
              <w:overflowPunct/>
              <w:autoSpaceDE/>
              <w:autoSpaceDN/>
              <w:snapToGrid w:val="0"/>
              <w:spacing w:line="440" w:lineRule="exact"/>
              <w:ind w:left="0" w:firstLine="0"/>
              <w:rPr>
                <w:rFonts w:hAnsi="標楷體"/>
                <w:color w:val="000000" w:themeColor="text1"/>
                <w:sz w:val="26"/>
                <w:szCs w:val="26"/>
              </w:rPr>
            </w:pPr>
            <w:r w:rsidRPr="008B619A">
              <w:rPr>
                <w:rFonts w:hAnsi="標楷體"/>
                <w:color w:val="000000" w:themeColor="text1"/>
                <w:sz w:val="26"/>
                <w:szCs w:val="26"/>
              </w:rPr>
              <w:t>一般大學、科技大學及技術學院應低於27。</w:t>
            </w:r>
          </w:p>
          <w:p w14:paraId="4AC48124" w14:textId="77777777" w:rsidR="002E3DC6" w:rsidRPr="008B619A" w:rsidRDefault="002E3DC6" w:rsidP="00B532AF">
            <w:pPr>
              <w:numPr>
                <w:ilvl w:val="0"/>
                <w:numId w:val="14"/>
              </w:numPr>
              <w:overflowPunct/>
              <w:autoSpaceDE/>
              <w:autoSpaceDN/>
              <w:snapToGrid w:val="0"/>
              <w:spacing w:line="440" w:lineRule="exact"/>
              <w:ind w:left="0" w:firstLine="0"/>
              <w:rPr>
                <w:rFonts w:hAnsi="標楷體"/>
                <w:color w:val="000000" w:themeColor="text1"/>
                <w:sz w:val="26"/>
                <w:szCs w:val="26"/>
              </w:rPr>
            </w:pPr>
            <w:r w:rsidRPr="008B619A">
              <w:rPr>
                <w:rFonts w:hAnsi="標楷體"/>
                <w:color w:val="000000" w:themeColor="text1"/>
                <w:sz w:val="26"/>
                <w:szCs w:val="26"/>
              </w:rPr>
              <w:lastRenderedPageBreak/>
              <w:t>專科學校應低於35。</w:t>
            </w:r>
          </w:p>
        </w:tc>
        <w:tc>
          <w:tcPr>
            <w:tcW w:w="2458" w:type="pct"/>
          </w:tcPr>
          <w:p w14:paraId="6F9B1851" w14:textId="77777777" w:rsidR="002E3DC6" w:rsidRPr="008B619A" w:rsidRDefault="002E3DC6" w:rsidP="006400F0">
            <w:pPr>
              <w:snapToGrid w:val="0"/>
              <w:spacing w:line="440" w:lineRule="exact"/>
              <w:rPr>
                <w:rFonts w:hAnsi="標楷體"/>
                <w:color w:val="000000" w:themeColor="text1"/>
                <w:sz w:val="26"/>
                <w:szCs w:val="26"/>
              </w:rPr>
            </w:pPr>
            <w:r w:rsidRPr="008B619A">
              <w:rPr>
                <w:rFonts w:hAnsi="標楷體"/>
                <w:color w:val="000000" w:themeColor="text1"/>
                <w:sz w:val="26"/>
                <w:szCs w:val="26"/>
              </w:rPr>
              <w:lastRenderedPageBreak/>
              <w:t>全校加權學生數（包括進修學院、專科進修學校學生數）除以全校</w:t>
            </w:r>
            <w:r w:rsidRPr="008B619A">
              <w:rPr>
                <w:rFonts w:hAnsi="標楷體"/>
                <w:color w:val="000000" w:themeColor="text1"/>
                <w:sz w:val="26"/>
                <w:szCs w:val="26"/>
              </w:rPr>
              <w:lastRenderedPageBreak/>
              <w:t>專任、兼任師資數總和。</w:t>
            </w:r>
          </w:p>
        </w:tc>
      </w:tr>
      <w:tr w:rsidR="002E3DC6" w:rsidRPr="008B619A" w14:paraId="571C5985" w14:textId="77777777" w:rsidTr="001C3F5B">
        <w:trPr>
          <w:trHeight w:val="397"/>
          <w:jc w:val="center"/>
        </w:trPr>
        <w:tc>
          <w:tcPr>
            <w:tcW w:w="820" w:type="pct"/>
            <w:shd w:val="clear" w:color="auto" w:fill="EAF1DD" w:themeFill="accent3" w:themeFillTint="33"/>
            <w:vAlign w:val="center"/>
          </w:tcPr>
          <w:p w14:paraId="385B1CC9" w14:textId="77777777" w:rsidR="002E3DC6" w:rsidRPr="008B619A" w:rsidRDefault="002E3DC6" w:rsidP="001C3F5B">
            <w:pPr>
              <w:snapToGrid w:val="0"/>
              <w:spacing w:line="440" w:lineRule="exact"/>
              <w:jc w:val="center"/>
              <w:rPr>
                <w:rFonts w:hAnsi="標楷體"/>
                <w:b/>
                <w:bCs/>
                <w:color w:val="000000" w:themeColor="text1"/>
                <w:sz w:val="26"/>
                <w:szCs w:val="26"/>
              </w:rPr>
            </w:pPr>
            <w:r w:rsidRPr="008B619A">
              <w:rPr>
                <w:rFonts w:hAnsi="標楷體"/>
                <w:b/>
                <w:bCs/>
                <w:color w:val="000000" w:themeColor="text1"/>
                <w:sz w:val="26"/>
                <w:szCs w:val="26"/>
              </w:rPr>
              <w:lastRenderedPageBreak/>
              <w:t>日間學制</w:t>
            </w:r>
          </w:p>
          <w:p w14:paraId="1A6C1533" w14:textId="77777777" w:rsidR="002E3DC6" w:rsidRPr="008B619A" w:rsidRDefault="002E3DC6" w:rsidP="001C3F5B">
            <w:pPr>
              <w:snapToGrid w:val="0"/>
              <w:spacing w:line="440" w:lineRule="exact"/>
              <w:jc w:val="center"/>
              <w:rPr>
                <w:rFonts w:hAnsi="標楷體"/>
                <w:b/>
                <w:bCs/>
                <w:color w:val="000000" w:themeColor="text1"/>
                <w:sz w:val="26"/>
                <w:szCs w:val="26"/>
              </w:rPr>
            </w:pPr>
            <w:r w:rsidRPr="008B619A">
              <w:rPr>
                <w:rFonts w:hAnsi="標楷體"/>
                <w:b/>
                <w:bCs/>
                <w:color w:val="000000" w:themeColor="text1"/>
                <w:sz w:val="26"/>
                <w:szCs w:val="26"/>
              </w:rPr>
              <w:t>生師比值</w:t>
            </w:r>
          </w:p>
        </w:tc>
        <w:tc>
          <w:tcPr>
            <w:tcW w:w="1722" w:type="pct"/>
            <w:vAlign w:val="center"/>
          </w:tcPr>
          <w:p w14:paraId="3F7618A0" w14:textId="77777777" w:rsidR="002E3DC6" w:rsidRPr="008B619A" w:rsidRDefault="002E3DC6" w:rsidP="006400F0">
            <w:pPr>
              <w:snapToGrid w:val="0"/>
              <w:spacing w:line="440" w:lineRule="exact"/>
              <w:rPr>
                <w:rFonts w:hAnsi="標楷體"/>
                <w:color w:val="000000" w:themeColor="text1"/>
                <w:sz w:val="26"/>
                <w:szCs w:val="26"/>
              </w:rPr>
            </w:pPr>
            <w:r w:rsidRPr="008B619A">
              <w:rPr>
                <w:rFonts w:hAnsi="標楷體"/>
                <w:color w:val="000000" w:themeColor="text1"/>
                <w:sz w:val="26"/>
                <w:szCs w:val="26"/>
              </w:rPr>
              <w:t>應低於23。</w:t>
            </w:r>
          </w:p>
        </w:tc>
        <w:tc>
          <w:tcPr>
            <w:tcW w:w="2458" w:type="pct"/>
          </w:tcPr>
          <w:p w14:paraId="309B7676" w14:textId="77777777" w:rsidR="002E3DC6" w:rsidRPr="008B619A" w:rsidRDefault="002E3DC6" w:rsidP="006400F0">
            <w:pPr>
              <w:snapToGrid w:val="0"/>
              <w:spacing w:line="440" w:lineRule="exact"/>
              <w:rPr>
                <w:rFonts w:hAnsi="標楷體"/>
                <w:color w:val="000000" w:themeColor="text1"/>
                <w:sz w:val="26"/>
                <w:szCs w:val="26"/>
              </w:rPr>
            </w:pPr>
            <w:r w:rsidRPr="008B619A">
              <w:rPr>
                <w:rFonts w:hAnsi="標楷體"/>
                <w:color w:val="000000" w:themeColor="text1"/>
                <w:sz w:val="26"/>
                <w:szCs w:val="26"/>
              </w:rPr>
              <w:t>全校日間學制加權學生數除以全校專任、兼任師資數總和。</w:t>
            </w:r>
          </w:p>
        </w:tc>
      </w:tr>
      <w:tr w:rsidR="002E3DC6" w:rsidRPr="008B619A" w14:paraId="4A1260EE" w14:textId="77777777" w:rsidTr="001C3F5B">
        <w:trPr>
          <w:trHeight w:val="397"/>
          <w:jc w:val="center"/>
        </w:trPr>
        <w:tc>
          <w:tcPr>
            <w:tcW w:w="820" w:type="pct"/>
            <w:shd w:val="clear" w:color="auto" w:fill="EAF1DD" w:themeFill="accent3" w:themeFillTint="33"/>
            <w:vAlign w:val="center"/>
          </w:tcPr>
          <w:p w14:paraId="75A3162F" w14:textId="77777777" w:rsidR="002E3DC6" w:rsidRPr="008B619A" w:rsidRDefault="002E3DC6" w:rsidP="001C3F5B">
            <w:pPr>
              <w:snapToGrid w:val="0"/>
              <w:spacing w:line="440" w:lineRule="exact"/>
              <w:jc w:val="center"/>
              <w:rPr>
                <w:rFonts w:hAnsi="標楷體"/>
                <w:b/>
                <w:bCs/>
                <w:color w:val="000000" w:themeColor="text1"/>
                <w:sz w:val="26"/>
                <w:szCs w:val="26"/>
              </w:rPr>
            </w:pPr>
            <w:r w:rsidRPr="008B619A">
              <w:rPr>
                <w:rFonts w:hAnsi="標楷體"/>
                <w:b/>
                <w:bCs/>
                <w:color w:val="000000" w:themeColor="text1"/>
                <w:sz w:val="26"/>
                <w:szCs w:val="26"/>
              </w:rPr>
              <w:t>研究生</w:t>
            </w:r>
          </w:p>
          <w:p w14:paraId="0C97053C" w14:textId="77777777" w:rsidR="002E3DC6" w:rsidRPr="008B619A" w:rsidRDefault="002E3DC6" w:rsidP="001C3F5B">
            <w:pPr>
              <w:snapToGrid w:val="0"/>
              <w:spacing w:line="440" w:lineRule="exact"/>
              <w:jc w:val="center"/>
              <w:rPr>
                <w:rFonts w:hAnsi="標楷體"/>
                <w:b/>
                <w:bCs/>
                <w:color w:val="000000" w:themeColor="text1"/>
                <w:sz w:val="26"/>
                <w:szCs w:val="26"/>
              </w:rPr>
            </w:pPr>
            <w:r w:rsidRPr="008B619A">
              <w:rPr>
                <w:rFonts w:hAnsi="標楷體"/>
                <w:b/>
                <w:bCs/>
                <w:color w:val="000000" w:themeColor="text1"/>
                <w:sz w:val="26"/>
                <w:szCs w:val="26"/>
              </w:rPr>
              <w:t>生師比值</w:t>
            </w:r>
          </w:p>
        </w:tc>
        <w:tc>
          <w:tcPr>
            <w:tcW w:w="1722" w:type="pct"/>
            <w:vAlign w:val="center"/>
          </w:tcPr>
          <w:p w14:paraId="18B08187" w14:textId="77777777" w:rsidR="002E3DC6" w:rsidRPr="008B619A" w:rsidRDefault="002E3DC6" w:rsidP="006400F0">
            <w:pPr>
              <w:snapToGrid w:val="0"/>
              <w:spacing w:line="440" w:lineRule="exact"/>
              <w:rPr>
                <w:rFonts w:hAnsi="標楷體"/>
                <w:color w:val="000000" w:themeColor="text1"/>
                <w:sz w:val="26"/>
                <w:szCs w:val="26"/>
              </w:rPr>
            </w:pPr>
            <w:r w:rsidRPr="008B619A">
              <w:rPr>
                <w:rFonts w:hAnsi="標楷體"/>
                <w:color w:val="000000" w:themeColor="text1"/>
                <w:sz w:val="26"/>
                <w:szCs w:val="26"/>
              </w:rPr>
              <w:t>應低於10。</w:t>
            </w:r>
          </w:p>
        </w:tc>
        <w:tc>
          <w:tcPr>
            <w:tcW w:w="2458" w:type="pct"/>
          </w:tcPr>
          <w:p w14:paraId="4665CA65" w14:textId="77777777" w:rsidR="002E3DC6" w:rsidRPr="008B619A" w:rsidRDefault="002E3DC6" w:rsidP="006400F0">
            <w:pPr>
              <w:snapToGrid w:val="0"/>
              <w:spacing w:line="440" w:lineRule="exact"/>
              <w:rPr>
                <w:rFonts w:hAnsi="標楷體"/>
                <w:color w:val="000000" w:themeColor="text1"/>
                <w:sz w:val="26"/>
                <w:szCs w:val="26"/>
              </w:rPr>
            </w:pPr>
            <w:r w:rsidRPr="008B619A">
              <w:rPr>
                <w:rFonts w:hAnsi="標楷體"/>
                <w:color w:val="000000" w:themeColor="text1"/>
                <w:sz w:val="26"/>
                <w:szCs w:val="26"/>
              </w:rPr>
              <w:t>全校日間、進修學制碩士班、博士班未加權學生數除以全校專任助理教授級以上師資數總和。</w:t>
            </w:r>
          </w:p>
        </w:tc>
      </w:tr>
    </w:tbl>
    <w:p w14:paraId="79128B6B" w14:textId="74558C31" w:rsidR="002E3DC6" w:rsidRPr="008B619A" w:rsidRDefault="00651C55" w:rsidP="00651C55">
      <w:pPr>
        <w:spacing w:afterLines="50" w:after="228"/>
        <w:rPr>
          <w:color w:val="000000" w:themeColor="text1"/>
        </w:rPr>
      </w:pPr>
      <w:r w:rsidRPr="008B619A">
        <w:rPr>
          <w:rFonts w:ascii="Times New Roman" w:hint="eastAsia"/>
          <w:color w:val="000000" w:themeColor="text1"/>
          <w:kern w:val="0"/>
          <w:sz w:val="24"/>
          <w:szCs w:val="24"/>
        </w:rPr>
        <w:t xml:space="preserve"> </w:t>
      </w:r>
      <w:r w:rsidRPr="008B619A">
        <w:rPr>
          <w:rFonts w:ascii="Times New Roman" w:hint="eastAsia"/>
          <w:color w:val="000000" w:themeColor="text1"/>
          <w:kern w:val="0"/>
          <w:sz w:val="24"/>
          <w:szCs w:val="24"/>
        </w:rPr>
        <w:t>資料來源：專科以上學校總量發展規模與資源條件標準</w:t>
      </w:r>
      <w:r w:rsidR="00C11ED9" w:rsidRPr="008B619A">
        <w:rPr>
          <w:rFonts w:ascii="Times New Roman" w:hint="eastAsia"/>
          <w:color w:val="000000" w:themeColor="text1"/>
          <w:kern w:val="0"/>
          <w:sz w:val="24"/>
          <w:szCs w:val="24"/>
        </w:rPr>
        <w:t>；教育部調卷資料</w:t>
      </w:r>
      <w:r w:rsidRPr="008B619A">
        <w:rPr>
          <w:rFonts w:ascii="Times New Roman" w:hint="eastAsia"/>
          <w:color w:val="000000" w:themeColor="text1"/>
          <w:kern w:val="0"/>
          <w:sz w:val="24"/>
          <w:szCs w:val="24"/>
        </w:rPr>
        <w:t>。</w:t>
      </w:r>
    </w:p>
    <w:p w14:paraId="52C752B7" w14:textId="191FC61F" w:rsidR="007D5086" w:rsidRPr="008B619A" w:rsidRDefault="00BE27E1" w:rsidP="00BE27E1">
      <w:pPr>
        <w:pStyle w:val="3"/>
        <w:rPr>
          <w:color w:val="000000" w:themeColor="text1"/>
        </w:rPr>
      </w:pPr>
      <w:r w:rsidRPr="008B619A">
        <w:rPr>
          <w:rFonts w:hint="eastAsia"/>
          <w:color w:val="000000" w:themeColor="text1"/>
        </w:rPr>
        <w:t>對於</w:t>
      </w:r>
      <w:r w:rsidR="007D5086" w:rsidRPr="008B619A">
        <w:rPr>
          <w:color w:val="000000" w:themeColor="text1"/>
        </w:rPr>
        <w:t>優化生師比</w:t>
      </w:r>
      <w:r w:rsidRPr="008B619A">
        <w:rPr>
          <w:rFonts w:hint="eastAsia"/>
          <w:color w:val="000000" w:themeColor="text1"/>
        </w:rPr>
        <w:t>之要求，教育部表示，</w:t>
      </w:r>
      <w:r w:rsidR="007D5086" w:rsidRPr="008B619A">
        <w:rPr>
          <w:color w:val="000000" w:themeColor="text1"/>
        </w:rPr>
        <w:t>為避免因少子女化趨勢，使各大專校院減少聘用專任教師，業於108年1月28日修正發布總量標準，引導各大</w:t>
      </w:r>
      <w:r w:rsidR="007D5086" w:rsidRPr="008B619A">
        <w:rPr>
          <w:rFonts w:hint="eastAsia"/>
          <w:color w:val="000000" w:themeColor="text1"/>
        </w:rPr>
        <w:t>專校院</w:t>
      </w:r>
      <w:r w:rsidR="007D5086" w:rsidRPr="008B619A">
        <w:rPr>
          <w:color w:val="000000" w:themeColor="text1"/>
        </w:rPr>
        <w:t>聘用足額專任教師，</w:t>
      </w:r>
      <w:r w:rsidR="004E4CFC" w:rsidRPr="008B619A">
        <w:rPr>
          <w:rFonts w:hint="eastAsia"/>
          <w:color w:val="000000" w:themeColor="text1"/>
        </w:rPr>
        <w:t>相關</w:t>
      </w:r>
      <w:r w:rsidR="007D5086" w:rsidRPr="008B619A">
        <w:rPr>
          <w:color w:val="000000" w:themeColor="text1"/>
        </w:rPr>
        <w:t>修正重點如下：</w:t>
      </w:r>
    </w:p>
    <w:p w14:paraId="43BD1112" w14:textId="77777777" w:rsidR="007D5086" w:rsidRPr="008B619A" w:rsidRDefault="007D5086" w:rsidP="00720D44">
      <w:pPr>
        <w:pStyle w:val="4"/>
        <w:rPr>
          <w:color w:val="000000" w:themeColor="text1"/>
        </w:rPr>
      </w:pPr>
      <w:r w:rsidRPr="008B619A">
        <w:rPr>
          <w:color w:val="000000" w:themeColor="text1"/>
        </w:rPr>
        <w:t>下修院、所、系、科、學位學程生師比基準(從40降至35)</w:t>
      </w:r>
      <w:r w:rsidRPr="008B619A">
        <w:rPr>
          <w:rFonts w:hint="eastAsia"/>
          <w:color w:val="000000" w:themeColor="text1"/>
        </w:rPr>
        <w:t>。</w:t>
      </w:r>
    </w:p>
    <w:p w14:paraId="4744AA2B" w14:textId="77777777" w:rsidR="007D5086" w:rsidRPr="008B619A" w:rsidRDefault="007D5086" w:rsidP="00720D44">
      <w:pPr>
        <w:pStyle w:val="4"/>
        <w:rPr>
          <w:color w:val="000000" w:themeColor="text1"/>
        </w:rPr>
      </w:pPr>
      <w:r w:rsidRPr="008B619A">
        <w:rPr>
          <w:color w:val="000000" w:themeColor="text1"/>
        </w:rPr>
        <w:t>將全學年於校外或附屬機構實習學生及境外學生數超過全校在學學生數3%者，納入計算生師比値。</w:t>
      </w:r>
    </w:p>
    <w:p w14:paraId="052E0D77" w14:textId="74756F47" w:rsidR="007D5086" w:rsidRPr="008B619A" w:rsidRDefault="007D5086" w:rsidP="00351150">
      <w:pPr>
        <w:pStyle w:val="4"/>
        <w:rPr>
          <w:color w:val="000000" w:themeColor="text1"/>
        </w:rPr>
      </w:pPr>
      <w:r w:rsidRPr="008B619A">
        <w:rPr>
          <w:rFonts w:hint="eastAsia"/>
          <w:color w:val="000000" w:themeColor="text1"/>
          <w:szCs w:val="28"/>
        </w:rPr>
        <w:t>學生數是以提報時</w:t>
      </w:r>
      <w:r w:rsidRPr="008B619A">
        <w:rPr>
          <w:rFonts w:hint="eastAsia"/>
          <w:color w:val="000000" w:themeColor="text1"/>
        </w:rPr>
        <w:t>最近</w:t>
      </w:r>
      <w:r w:rsidRPr="008B619A">
        <w:rPr>
          <w:rFonts w:hint="eastAsia"/>
          <w:color w:val="000000" w:themeColor="text1"/>
          <w:szCs w:val="28"/>
        </w:rPr>
        <w:t>一學年度具正式學籍在學學生（不包括休學生、全學年均於國外之學生）計算。但全學年均於校外或附屬機構實習之學士班學生以加權數0.8列計、專科班學生以加權數0.5列計。</w:t>
      </w:r>
    </w:p>
    <w:p w14:paraId="583ADD98" w14:textId="72BFD71D" w:rsidR="0016671A" w:rsidRPr="008B619A" w:rsidRDefault="001806A7" w:rsidP="0016671A">
      <w:pPr>
        <w:pStyle w:val="3"/>
        <w:rPr>
          <w:color w:val="000000" w:themeColor="text1"/>
          <w:szCs w:val="28"/>
        </w:rPr>
      </w:pPr>
      <w:r w:rsidRPr="008B619A">
        <w:rPr>
          <w:rFonts w:hint="eastAsia"/>
          <w:color w:val="000000" w:themeColor="text1"/>
          <w:szCs w:val="28"/>
        </w:rPr>
        <w:t>針對</w:t>
      </w:r>
      <w:r w:rsidR="00A77217" w:rsidRPr="008B619A">
        <w:rPr>
          <w:rFonts w:hint="eastAsia"/>
          <w:color w:val="000000" w:themeColor="text1"/>
          <w:szCs w:val="28"/>
        </w:rPr>
        <w:t>部分大學</w:t>
      </w:r>
      <w:r w:rsidR="00DA2D91" w:rsidRPr="008B619A">
        <w:rPr>
          <w:rFonts w:hint="eastAsia"/>
          <w:color w:val="000000" w:themeColor="text1"/>
          <w:szCs w:val="28"/>
        </w:rPr>
        <w:t>為因應少子女化衝擊調整控管專任教師員額，</w:t>
      </w:r>
      <w:r w:rsidR="001011C6" w:rsidRPr="008B619A">
        <w:rPr>
          <w:rFonts w:hint="eastAsia"/>
          <w:color w:val="000000" w:themeColor="text1"/>
          <w:szCs w:val="28"/>
        </w:rPr>
        <w:t>經詢</w:t>
      </w:r>
      <w:r w:rsidR="00B61FC1" w:rsidRPr="008B619A">
        <w:rPr>
          <w:rFonts w:hint="eastAsia"/>
          <w:color w:val="000000" w:themeColor="text1"/>
          <w:szCs w:val="28"/>
        </w:rPr>
        <w:t>教育部表示</w:t>
      </w:r>
      <w:r w:rsidR="007E5647" w:rsidRPr="008B619A">
        <w:rPr>
          <w:rFonts w:hint="eastAsia"/>
          <w:color w:val="000000" w:themeColor="text1"/>
          <w:szCs w:val="28"/>
        </w:rPr>
        <w:t>，</w:t>
      </w:r>
      <w:r w:rsidR="00DA2D91" w:rsidRPr="008B619A">
        <w:rPr>
          <w:rFonts w:hint="eastAsia"/>
          <w:color w:val="000000" w:themeColor="text1"/>
          <w:szCs w:val="28"/>
        </w:rPr>
        <w:t>私立學校專任教師員額由各校自行訂定，</w:t>
      </w:r>
      <w:r w:rsidR="008C4425" w:rsidRPr="008B619A">
        <w:rPr>
          <w:rFonts w:hint="eastAsia"/>
          <w:color w:val="000000" w:themeColor="text1"/>
          <w:szCs w:val="28"/>
        </w:rPr>
        <w:t>爰</w:t>
      </w:r>
      <w:r w:rsidR="00B61FC1" w:rsidRPr="008B619A">
        <w:rPr>
          <w:rFonts w:hint="eastAsia"/>
          <w:color w:val="000000" w:themeColor="text1"/>
          <w:szCs w:val="28"/>
        </w:rPr>
        <w:t>僅針對</w:t>
      </w:r>
      <w:r w:rsidR="0016671A" w:rsidRPr="008B619A">
        <w:rPr>
          <w:rFonts w:hint="eastAsia"/>
          <w:color w:val="000000" w:themeColor="text1"/>
          <w:szCs w:val="28"/>
        </w:rPr>
        <w:t>國立學校專任教師員額核給及控管機制</w:t>
      </w:r>
      <w:r w:rsidR="00B61FC1" w:rsidRPr="008B619A">
        <w:rPr>
          <w:rFonts w:hint="eastAsia"/>
          <w:color w:val="000000" w:themeColor="text1"/>
          <w:szCs w:val="28"/>
        </w:rPr>
        <w:t>，摘要</w:t>
      </w:r>
      <w:r w:rsidR="0016671A" w:rsidRPr="008B619A">
        <w:rPr>
          <w:rFonts w:hint="eastAsia"/>
          <w:color w:val="000000" w:themeColor="text1"/>
          <w:szCs w:val="28"/>
        </w:rPr>
        <w:t>說明如下：</w:t>
      </w:r>
    </w:p>
    <w:p w14:paraId="2EE098BE" w14:textId="704C11DF" w:rsidR="00835068" w:rsidRPr="008B619A" w:rsidRDefault="00835068" w:rsidP="00835068">
      <w:pPr>
        <w:pStyle w:val="4"/>
        <w:rPr>
          <w:color w:val="000000" w:themeColor="text1"/>
        </w:rPr>
      </w:pPr>
      <w:r w:rsidRPr="008B619A">
        <w:rPr>
          <w:rFonts w:hint="eastAsia"/>
          <w:color w:val="000000" w:themeColor="text1"/>
        </w:rPr>
        <w:t>行政院92至93年間同意</w:t>
      </w:r>
      <w:r w:rsidR="00F1548D" w:rsidRPr="008B619A">
        <w:rPr>
          <w:rFonts w:hint="eastAsia"/>
          <w:color w:val="000000" w:themeColor="text1"/>
        </w:rPr>
        <w:t>教育</w:t>
      </w:r>
      <w:r w:rsidRPr="008B619A">
        <w:rPr>
          <w:rFonts w:hint="eastAsia"/>
          <w:color w:val="000000" w:themeColor="text1"/>
        </w:rPr>
        <w:t>部就國立大學校院總員額內調整運用，行政院不再進行個案審查，並亦同意學校未來5年（95年至99年）員額每年得</w:t>
      </w:r>
      <w:r w:rsidRPr="008B619A">
        <w:rPr>
          <w:rFonts w:hint="eastAsia"/>
          <w:color w:val="000000" w:themeColor="text1"/>
        </w:rPr>
        <w:lastRenderedPageBreak/>
        <w:t>以2%成長，各該年度未分配完竣之員額並得保留至往後年度運用。</w:t>
      </w:r>
    </w:p>
    <w:p w14:paraId="79508AB6" w14:textId="28B3F94A" w:rsidR="00835068" w:rsidRPr="008B619A" w:rsidRDefault="00835068" w:rsidP="00835068">
      <w:pPr>
        <w:pStyle w:val="4"/>
        <w:rPr>
          <w:color w:val="000000" w:themeColor="text1"/>
        </w:rPr>
      </w:pPr>
      <w:r w:rsidRPr="008B619A">
        <w:rPr>
          <w:rFonts w:hint="eastAsia"/>
          <w:color w:val="000000" w:themeColor="text1"/>
        </w:rPr>
        <w:t>97年</w:t>
      </w:r>
      <w:r w:rsidR="00641FF0" w:rsidRPr="008B619A">
        <w:rPr>
          <w:rFonts w:hint="eastAsia"/>
          <w:color w:val="000000" w:themeColor="text1"/>
        </w:rPr>
        <w:t>教育部</w:t>
      </w:r>
      <w:r w:rsidRPr="008B619A">
        <w:rPr>
          <w:rFonts w:hint="eastAsia"/>
          <w:color w:val="000000" w:themeColor="text1"/>
        </w:rPr>
        <w:t>配合員額精簡政策及國立大學法人化政策，業調整各校經費補助基礎，由「預算員額數」改以「學生人數」計算，各校員額增減，不影響補助額度，亦得透過校務基金自籌收入一定比例支應人事費，自此增加用人彈性。惟因學校員額運用取決於總人事費編列額度，故10年來各大專校院預算員額數均維持在2萬4千餘人。</w:t>
      </w:r>
    </w:p>
    <w:p w14:paraId="1777FFDC" w14:textId="57C4CA18" w:rsidR="00121B20" w:rsidRPr="008B619A" w:rsidRDefault="00835068" w:rsidP="00835068">
      <w:pPr>
        <w:pStyle w:val="4"/>
        <w:rPr>
          <w:color w:val="000000" w:themeColor="text1"/>
        </w:rPr>
      </w:pPr>
      <w:r w:rsidRPr="008B619A">
        <w:rPr>
          <w:rFonts w:hint="eastAsia"/>
          <w:color w:val="000000" w:themeColor="text1"/>
        </w:rPr>
        <w:t>近年來配合行政院相關員額裁減政策或專案核給學校員額(如食安人才培育、發展再生綠能政策)等措施，</w:t>
      </w:r>
      <w:r w:rsidR="00EA1797" w:rsidRPr="008B619A">
        <w:rPr>
          <w:rFonts w:hint="eastAsia"/>
          <w:color w:val="000000" w:themeColor="text1"/>
        </w:rPr>
        <w:t>教育部</w:t>
      </w:r>
      <w:r w:rsidRPr="008B619A">
        <w:rPr>
          <w:rFonts w:hint="eastAsia"/>
          <w:color w:val="000000" w:themeColor="text1"/>
        </w:rPr>
        <w:t>前保留之國立大學校院未分配預算員額數，均已悉數配合各項需求調整，邇來如為推動國家整體政策規劃，學校配合開設專班或新增系所所需師資員額，因校內既有員額（含控留）均已規劃用途，且</w:t>
      </w:r>
      <w:r w:rsidR="00EE5300" w:rsidRPr="008B619A">
        <w:rPr>
          <w:rFonts w:hint="eastAsia"/>
          <w:color w:val="000000" w:themeColor="text1"/>
        </w:rPr>
        <w:t>該</w:t>
      </w:r>
      <w:r w:rsidRPr="008B619A">
        <w:rPr>
          <w:rFonts w:hint="eastAsia"/>
          <w:color w:val="000000" w:themeColor="text1"/>
        </w:rPr>
        <w:t>部亦無未分配員額時，皆係透過補助經費提供學校進用專案教師。為協助學校延攬人才，</w:t>
      </w:r>
      <w:r w:rsidR="00856B9B" w:rsidRPr="008B619A">
        <w:rPr>
          <w:rFonts w:hint="eastAsia"/>
          <w:color w:val="000000" w:themeColor="text1"/>
        </w:rPr>
        <w:t>該部</w:t>
      </w:r>
      <w:r w:rsidRPr="008B619A">
        <w:rPr>
          <w:rFonts w:hint="eastAsia"/>
          <w:color w:val="000000" w:themeColor="text1"/>
        </w:rPr>
        <w:t>已專案報請行政院同意建立機制進行控管，以即時反映學校及政策需求</w:t>
      </w:r>
      <w:r w:rsidR="00F53F0A" w:rsidRPr="008B619A">
        <w:rPr>
          <w:rFonts w:hint="eastAsia"/>
          <w:color w:val="000000" w:themeColor="text1"/>
        </w:rPr>
        <w:t>。</w:t>
      </w:r>
    </w:p>
    <w:p w14:paraId="426ABEEC" w14:textId="20A10752" w:rsidR="005F2E49" w:rsidRPr="008B619A" w:rsidRDefault="00A932E2" w:rsidP="006400F0">
      <w:pPr>
        <w:pStyle w:val="3"/>
        <w:rPr>
          <w:color w:val="000000" w:themeColor="text1"/>
        </w:rPr>
      </w:pPr>
      <w:r w:rsidRPr="008B619A">
        <w:rPr>
          <w:rFonts w:ascii="Times New Roman" w:hint="eastAsia"/>
          <w:color w:val="000000" w:themeColor="text1"/>
          <w:szCs w:val="28"/>
        </w:rPr>
        <w:t>整體而言</w:t>
      </w:r>
      <w:r w:rsidR="007408E3" w:rsidRPr="008B619A">
        <w:rPr>
          <w:rFonts w:ascii="Times New Roman" w:hint="eastAsia"/>
          <w:color w:val="000000" w:themeColor="text1"/>
          <w:szCs w:val="28"/>
        </w:rPr>
        <w:t>，</w:t>
      </w:r>
      <w:r w:rsidR="00336939" w:rsidRPr="008B619A">
        <w:rPr>
          <w:rFonts w:ascii="Times New Roman" w:hint="eastAsia"/>
          <w:color w:val="000000" w:themeColor="text1"/>
          <w:szCs w:val="28"/>
        </w:rPr>
        <w:t>108</w:t>
      </w:r>
      <w:r w:rsidR="00336939" w:rsidRPr="008B619A">
        <w:rPr>
          <w:rFonts w:ascii="Times New Roman" w:hint="eastAsia"/>
          <w:color w:val="000000" w:themeColor="text1"/>
          <w:szCs w:val="28"/>
        </w:rPr>
        <w:t>學年度</w:t>
      </w:r>
      <w:r w:rsidR="00CE50FC" w:rsidRPr="008B619A">
        <w:rPr>
          <w:rFonts w:ascii="Times New Roman" w:hint="eastAsia"/>
          <w:color w:val="000000" w:themeColor="text1"/>
          <w:szCs w:val="28"/>
        </w:rPr>
        <w:t>大專校院專任教師數</w:t>
      </w:r>
      <w:r w:rsidR="00597C29" w:rsidRPr="008B619A">
        <w:rPr>
          <w:rFonts w:hint="eastAsia"/>
          <w:color w:val="000000" w:themeColor="text1"/>
          <w:szCs w:val="28"/>
        </w:rPr>
        <w:t>（</w:t>
      </w:r>
      <w:r w:rsidR="00CE50FC" w:rsidRPr="008B619A">
        <w:rPr>
          <w:rFonts w:ascii="Times New Roman" w:hint="eastAsia"/>
          <w:color w:val="000000" w:themeColor="text1"/>
          <w:szCs w:val="28"/>
        </w:rPr>
        <w:t>含助教</w:t>
      </w:r>
      <w:r w:rsidR="006A0FF4" w:rsidRPr="008B619A">
        <w:rPr>
          <w:rFonts w:hint="eastAsia"/>
          <w:color w:val="000000" w:themeColor="text1"/>
          <w:szCs w:val="28"/>
        </w:rPr>
        <w:t>）</w:t>
      </w:r>
      <w:r w:rsidR="00CE50FC" w:rsidRPr="008B619A">
        <w:rPr>
          <w:rFonts w:ascii="Times New Roman"/>
          <w:color w:val="000000" w:themeColor="text1"/>
          <w:szCs w:val="28"/>
        </w:rPr>
        <w:t xml:space="preserve"> </w:t>
      </w:r>
      <w:r w:rsidR="00336939" w:rsidRPr="008B619A">
        <w:rPr>
          <w:rFonts w:ascii="Times New Roman"/>
          <w:color w:val="000000" w:themeColor="text1"/>
          <w:szCs w:val="28"/>
        </w:rPr>
        <w:t>46,137</w:t>
      </w:r>
      <w:r w:rsidR="00CE50FC" w:rsidRPr="008B619A">
        <w:rPr>
          <w:rFonts w:ascii="Times New Roman" w:hint="eastAsia"/>
          <w:color w:val="000000" w:themeColor="text1"/>
          <w:szCs w:val="28"/>
        </w:rPr>
        <w:t>人</w:t>
      </w:r>
      <w:r w:rsidR="00E403E7" w:rsidRPr="008B619A">
        <w:rPr>
          <w:rFonts w:ascii="Times New Roman" w:hint="eastAsia"/>
          <w:color w:val="000000" w:themeColor="text1"/>
          <w:szCs w:val="28"/>
        </w:rPr>
        <w:t>，兼任教師數</w:t>
      </w:r>
      <w:r w:rsidR="00EB2542" w:rsidRPr="008B619A">
        <w:rPr>
          <w:rFonts w:ascii="Times New Roman"/>
          <w:color w:val="000000" w:themeColor="text1"/>
          <w:szCs w:val="28"/>
        </w:rPr>
        <w:t>42,088</w:t>
      </w:r>
      <w:r w:rsidR="00EB2542" w:rsidRPr="008B619A">
        <w:rPr>
          <w:rFonts w:ascii="Times New Roman" w:hint="eastAsia"/>
          <w:color w:val="000000" w:themeColor="text1"/>
          <w:szCs w:val="28"/>
        </w:rPr>
        <w:t>人</w:t>
      </w:r>
      <w:r w:rsidR="008B4DAA" w:rsidRPr="008B619A">
        <w:rPr>
          <w:rFonts w:ascii="Times New Roman" w:hint="eastAsia"/>
          <w:color w:val="000000" w:themeColor="text1"/>
          <w:szCs w:val="28"/>
        </w:rPr>
        <w:t>；</w:t>
      </w:r>
      <w:r w:rsidR="008B4DAA" w:rsidRPr="008B619A">
        <w:rPr>
          <w:rFonts w:ascii="Times New Roman" w:hint="eastAsia"/>
          <w:color w:val="000000" w:themeColor="text1"/>
          <w:szCs w:val="28"/>
        </w:rPr>
        <w:t>109</w:t>
      </w:r>
      <w:r w:rsidR="008B4DAA" w:rsidRPr="008B619A">
        <w:rPr>
          <w:rFonts w:ascii="Times New Roman" w:hint="eastAsia"/>
          <w:color w:val="000000" w:themeColor="text1"/>
          <w:szCs w:val="28"/>
        </w:rPr>
        <w:t>學年專任教師總數</w:t>
      </w:r>
      <w:r w:rsidR="008B4DAA" w:rsidRPr="008B619A">
        <w:rPr>
          <w:rFonts w:ascii="Times New Roman" w:hint="eastAsia"/>
          <w:color w:val="000000" w:themeColor="text1"/>
          <w:szCs w:val="28"/>
        </w:rPr>
        <w:t>45,811</w:t>
      </w:r>
      <w:r w:rsidR="008B4DAA" w:rsidRPr="008B619A">
        <w:rPr>
          <w:rFonts w:ascii="Times New Roman" w:hint="eastAsia"/>
          <w:color w:val="000000" w:themeColor="text1"/>
          <w:szCs w:val="28"/>
        </w:rPr>
        <w:t>人</w:t>
      </w:r>
      <w:r w:rsidR="004A7D29" w:rsidRPr="008B619A">
        <w:rPr>
          <w:rFonts w:ascii="Times New Roman" w:hint="eastAsia"/>
          <w:color w:val="000000" w:themeColor="text1"/>
          <w:szCs w:val="28"/>
        </w:rPr>
        <w:t>，兼任教師總數</w:t>
      </w:r>
      <w:r w:rsidR="004A7D29" w:rsidRPr="008B619A">
        <w:rPr>
          <w:rFonts w:ascii="Times New Roman" w:hint="eastAsia"/>
          <w:color w:val="000000" w:themeColor="text1"/>
          <w:szCs w:val="28"/>
        </w:rPr>
        <w:t>42,360</w:t>
      </w:r>
      <w:r w:rsidR="006239EE" w:rsidRPr="008B619A">
        <w:rPr>
          <w:rFonts w:ascii="Times New Roman" w:hint="eastAsia"/>
          <w:color w:val="000000" w:themeColor="text1"/>
          <w:szCs w:val="28"/>
        </w:rPr>
        <w:t>人</w:t>
      </w:r>
      <w:r w:rsidR="0044568B" w:rsidRPr="008B619A">
        <w:rPr>
          <w:rStyle w:val="aff1"/>
          <w:rFonts w:ascii="Times New Roman"/>
          <w:color w:val="000000" w:themeColor="text1"/>
          <w:szCs w:val="28"/>
        </w:rPr>
        <w:footnoteReference w:id="47"/>
      </w:r>
      <w:r w:rsidR="00CE50FC" w:rsidRPr="008B619A">
        <w:rPr>
          <w:rFonts w:ascii="Times New Roman" w:hint="eastAsia"/>
          <w:color w:val="000000" w:themeColor="text1"/>
          <w:szCs w:val="28"/>
        </w:rPr>
        <w:t>。茲</w:t>
      </w:r>
      <w:r w:rsidR="009A09E7" w:rsidRPr="008B619A">
        <w:rPr>
          <w:rFonts w:ascii="Times New Roman" w:hint="eastAsia"/>
          <w:color w:val="000000" w:themeColor="text1"/>
          <w:szCs w:val="28"/>
        </w:rPr>
        <w:t>統計目前</w:t>
      </w:r>
      <w:r w:rsidR="00D82411" w:rsidRPr="008B619A">
        <w:rPr>
          <w:rFonts w:ascii="Times New Roman" w:hint="eastAsia"/>
          <w:color w:val="000000" w:themeColor="text1"/>
          <w:szCs w:val="28"/>
        </w:rPr>
        <w:t>公私立大專校院教師結構（含專任教師、</w:t>
      </w:r>
      <w:r w:rsidR="003E6BAC" w:rsidRPr="008B619A">
        <w:rPr>
          <w:rFonts w:ascii="Times New Roman" w:hint="eastAsia"/>
          <w:color w:val="000000" w:themeColor="text1"/>
          <w:szCs w:val="28"/>
        </w:rPr>
        <w:t>專案教師及</w:t>
      </w:r>
      <w:r w:rsidR="00D82411" w:rsidRPr="008B619A">
        <w:rPr>
          <w:rFonts w:ascii="Times New Roman" w:hint="eastAsia"/>
          <w:color w:val="000000" w:themeColor="text1"/>
          <w:szCs w:val="28"/>
        </w:rPr>
        <w:t>兼任教師）</w:t>
      </w:r>
      <w:r w:rsidR="002677EC" w:rsidRPr="008B619A">
        <w:rPr>
          <w:rFonts w:ascii="Times New Roman" w:hint="eastAsia"/>
          <w:color w:val="000000" w:themeColor="text1"/>
          <w:szCs w:val="28"/>
        </w:rPr>
        <w:t>歷年</w:t>
      </w:r>
      <w:r w:rsidR="00D82411" w:rsidRPr="008B619A">
        <w:rPr>
          <w:rFonts w:ascii="Times New Roman" w:hint="eastAsia"/>
          <w:color w:val="000000" w:themeColor="text1"/>
          <w:szCs w:val="28"/>
        </w:rPr>
        <w:t>消長趨勢分析</w:t>
      </w:r>
      <w:r w:rsidR="003E6BAC" w:rsidRPr="008B619A">
        <w:rPr>
          <w:rFonts w:ascii="Times New Roman" w:hint="eastAsia"/>
          <w:color w:val="000000" w:themeColor="text1"/>
          <w:szCs w:val="28"/>
        </w:rPr>
        <w:t>，</w:t>
      </w:r>
      <w:r w:rsidR="002201B0" w:rsidRPr="008B619A">
        <w:rPr>
          <w:rFonts w:ascii="Times New Roman" w:hint="eastAsia"/>
          <w:color w:val="000000" w:themeColor="text1"/>
          <w:szCs w:val="28"/>
        </w:rPr>
        <w:t>則見</w:t>
      </w:r>
      <w:r w:rsidR="00636ABA" w:rsidRPr="008B619A">
        <w:rPr>
          <w:rFonts w:ascii="Times New Roman" w:hint="eastAsia"/>
          <w:color w:val="000000" w:themeColor="text1"/>
          <w:szCs w:val="28"/>
        </w:rPr>
        <w:t>教師結構偏移之情形，公私立專任教師均呈現下降狀況，</w:t>
      </w:r>
      <w:r w:rsidR="00D51B6B" w:rsidRPr="008B619A">
        <w:rPr>
          <w:rFonts w:ascii="Times New Roman" w:hint="eastAsia"/>
          <w:color w:val="000000" w:themeColor="text1"/>
          <w:szCs w:val="28"/>
        </w:rPr>
        <w:t>兼任及專案教師則呈</w:t>
      </w:r>
      <w:r w:rsidR="000D403E" w:rsidRPr="008B619A">
        <w:rPr>
          <w:rFonts w:ascii="Times New Roman" w:hint="eastAsia"/>
          <w:color w:val="000000" w:themeColor="text1"/>
          <w:szCs w:val="28"/>
        </w:rPr>
        <w:t>反之</w:t>
      </w:r>
      <w:r w:rsidR="00D51B6B" w:rsidRPr="008B619A">
        <w:rPr>
          <w:rFonts w:ascii="Times New Roman" w:hint="eastAsia"/>
          <w:color w:val="000000" w:themeColor="text1"/>
          <w:szCs w:val="28"/>
        </w:rPr>
        <w:t>成長，又以私校更</w:t>
      </w:r>
      <w:r w:rsidR="000D403E" w:rsidRPr="008B619A">
        <w:rPr>
          <w:rFonts w:ascii="Times New Roman" w:hint="eastAsia"/>
          <w:color w:val="000000" w:themeColor="text1"/>
          <w:szCs w:val="28"/>
        </w:rPr>
        <w:t>顯著</w:t>
      </w:r>
      <w:r w:rsidR="00D51B6B" w:rsidRPr="008B619A">
        <w:rPr>
          <w:rFonts w:ascii="Times New Roman" w:hint="eastAsia"/>
          <w:color w:val="000000" w:themeColor="text1"/>
          <w:szCs w:val="28"/>
        </w:rPr>
        <w:t>。</w:t>
      </w:r>
      <w:r w:rsidR="00DA23CF" w:rsidRPr="008B619A">
        <w:rPr>
          <w:color w:val="000000" w:themeColor="text1"/>
        </w:rPr>
        <w:t>大專校院教師具博士學歷者占78.4%，與100學年比</w:t>
      </w:r>
      <w:r w:rsidR="00DA23CF" w:rsidRPr="008B619A">
        <w:rPr>
          <w:color w:val="000000" w:themeColor="text1"/>
        </w:rPr>
        <w:lastRenderedPageBreak/>
        <w:t>較</w:t>
      </w:r>
      <w:r w:rsidR="00DA23CF" w:rsidRPr="008B619A">
        <w:rPr>
          <w:rFonts w:hint="eastAsia"/>
          <w:color w:val="000000" w:themeColor="text1"/>
        </w:rPr>
        <w:t>，增加8.5%。</w:t>
      </w:r>
      <w:r w:rsidR="00D51B6B" w:rsidRPr="008B619A">
        <w:rPr>
          <w:rFonts w:hint="eastAsia"/>
          <w:color w:val="000000" w:themeColor="text1"/>
        </w:rPr>
        <w:t>彙整分述之：</w:t>
      </w:r>
    </w:p>
    <w:p w14:paraId="4E7905DD" w14:textId="0D337BBA" w:rsidR="005F2E49" w:rsidRPr="008B619A" w:rsidRDefault="00A9557B" w:rsidP="005F2E49">
      <w:pPr>
        <w:pStyle w:val="4"/>
        <w:rPr>
          <w:color w:val="000000" w:themeColor="text1"/>
        </w:rPr>
      </w:pPr>
      <w:r w:rsidRPr="008B619A">
        <w:rPr>
          <w:rFonts w:hint="eastAsia"/>
          <w:color w:val="000000" w:themeColor="text1"/>
        </w:rPr>
        <w:t>大專校院</w:t>
      </w:r>
      <w:r w:rsidR="00D82411" w:rsidRPr="008B619A">
        <w:rPr>
          <w:rFonts w:hint="eastAsia"/>
          <w:color w:val="000000" w:themeColor="text1"/>
        </w:rPr>
        <w:t>專任教師部分</w:t>
      </w:r>
      <w:r w:rsidRPr="008B619A">
        <w:rPr>
          <w:rFonts w:hint="eastAsia"/>
          <w:color w:val="000000" w:themeColor="text1"/>
        </w:rPr>
        <w:t>之</w:t>
      </w:r>
      <w:r w:rsidR="00D82411" w:rsidRPr="008B619A">
        <w:rPr>
          <w:rFonts w:hint="eastAsia"/>
          <w:color w:val="000000" w:themeColor="text1"/>
        </w:rPr>
        <w:t>消長</w:t>
      </w:r>
      <w:r w:rsidR="00526B30" w:rsidRPr="008B619A">
        <w:rPr>
          <w:rStyle w:val="aff1"/>
          <w:color w:val="000000" w:themeColor="text1"/>
        </w:rPr>
        <w:footnoteReference w:id="48"/>
      </w:r>
      <w:r w:rsidR="00D82411" w:rsidRPr="008B619A">
        <w:rPr>
          <w:rFonts w:hint="eastAsia"/>
          <w:color w:val="000000" w:themeColor="text1"/>
        </w:rPr>
        <w:t>，</w:t>
      </w:r>
      <w:r w:rsidR="007E466E" w:rsidRPr="008B619A">
        <w:rPr>
          <w:rFonts w:hint="eastAsia"/>
          <w:color w:val="000000" w:themeColor="text1"/>
        </w:rPr>
        <w:t>99學年度至10</w:t>
      </w:r>
      <w:r w:rsidR="00DF040B" w:rsidRPr="008B619A">
        <w:rPr>
          <w:rFonts w:hint="eastAsia"/>
          <w:color w:val="000000" w:themeColor="text1"/>
        </w:rPr>
        <w:t>8</w:t>
      </w:r>
      <w:r w:rsidR="007E466E" w:rsidRPr="008B619A">
        <w:rPr>
          <w:rFonts w:hint="eastAsia"/>
          <w:color w:val="000000" w:themeColor="text1"/>
        </w:rPr>
        <w:t>學年度，</w:t>
      </w:r>
      <w:r w:rsidR="003B284A" w:rsidRPr="008B619A">
        <w:rPr>
          <w:rFonts w:hint="eastAsia"/>
          <w:color w:val="000000" w:themeColor="text1"/>
        </w:rPr>
        <w:t>從</w:t>
      </w:r>
      <w:r w:rsidR="003B284A" w:rsidRPr="008B619A">
        <w:rPr>
          <w:color w:val="000000" w:themeColor="text1"/>
        </w:rPr>
        <w:t>50,684</w:t>
      </w:r>
      <w:r w:rsidR="00925472" w:rsidRPr="008B619A">
        <w:rPr>
          <w:rFonts w:hint="eastAsia"/>
          <w:color w:val="000000" w:themeColor="text1"/>
        </w:rPr>
        <w:t>人</w:t>
      </w:r>
      <w:r w:rsidR="00626EA1" w:rsidRPr="008B619A">
        <w:rPr>
          <w:rFonts w:hint="eastAsia"/>
          <w:color w:val="000000" w:themeColor="text1"/>
        </w:rPr>
        <w:t>降</w:t>
      </w:r>
      <w:r w:rsidR="00925472" w:rsidRPr="008B619A">
        <w:rPr>
          <w:rFonts w:hint="eastAsia"/>
          <w:color w:val="000000" w:themeColor="text1"/>
        </w:rPr>
        <w:t>為</w:t>
      </w:r>
      <w:r w:rsidR="00925472" w:rsidRPr="008B619A">
        <w:rPr>
          <w:color w:val="000000" w:themeColor="text1"/>
        </w:rPr>
        <w:t>46,137</w:t>
      </w:r>
      <w:r w:rsidR="00925472" w:rsidRPr="008B619A">
        <w:rPr>
          <w:rFonts w:hint="eastAsia"/>
          <w:color w:val="000000" w:themeColor="text1"/>
        </w:rPr>
        <w:t>人</w:t>
      </w:r>
      <w:r w:rsidR="003B284A" w:rsidRPr="008B619A">
        <w:rPr>
          <w:rFonts w:hint="eastAsia"/>
          <w:color w:val="000000" w:themeColor="text1"/>
        </w:rPr>
        <w:t>。</w:t>
      </w:r>
      <w:r w:rsidR="00925472" w:rsidRPr="008B619A">
        <w:rPr>
          <w:rFonts w:hint="eastAsia"/>
          <w:color w:val="000000" w:themeColor="text1"/>
        </w:rPr>
        <w:t>其中，</w:t>
      </w:r>
      <w:r w:rsidR="00D82411" w:rsidRPr="008B619A">
        <w:rPr>
          <w:rFonts w:hint="eastAsia"/>
          <w:color w:val="000000" w:themeColor="text1"/>
        </w:rPr>
        <w:t>公校</w:t>
      </w:r>
      <w:r w:rsidR="00DF040B" w:rsidRPr="008B619A">
        <w:rPr>
          <w:rFonts w:hint="eastAsia"/>
          <w:color w:val="000000" w:themeColor="text1"/>
        </w:rPr>
        <w:t>自</w:t>
      </w:r>
      <w:r w:rsidR="00F247C7" w:rsidRPr="008B619A">
        <w:rPr>
          <w:rFonts w:hint="eastAsia"/>
          <w:color w:val="000000" w:themeColor="text1"/>
        </w:rPr>
        <w:t>19</w:t>
      </w:r>
      <w:r w:rsidR="006A420B" w:rsidRPr="008B619A">
        <w:rPr>
          <w:color w:val="000000" w:themeColor="text1"/>
        </w:rPr>
        <w:t>,</w:t>
      </w:r>
      <w:r w:rsidR="00F247C7" w:rsidRPr="008B619A">
        <w:rPr>
          <w:rFonts w:hint="eastAsia"/>
          <w:color w:val="000000" w:themeColor="text1"/>
        </w:rPr>
        <w:t>375</w:t>
      </w:r>
      <w:r w:rsidR="0080146F" w:rsidRPr="008B619A">
        <w:rPr>
          <w:rFonts w:hint="eastAsia"/>
          <w:color w:val="000000" w:themeColor="text1"/>
        </w:rPr>
        <w:t>人</w:t>
      </w:r>
      <w:r w:rsidR="006A420B" w:rsidRPr="008B619A">
        <w:rPr>
          <w:rFonts w:hint="eastAsia"/>
          <w:color w:val="000000" w:themeColor="text1"/>
        </w:rPr>
        <w:t>（占比38.2%）</w:t>
      </w:r>
      <w:r w:rsidR="0080146F" w:rsidRPr="008B619A">
        <w:rPr>
          <w:rFonts w:hint="eastAsia"/>
          <w:color w:val="000000" w:themeColor="text1"/>
        </w:rPr>
        <w:t>增為</w:t>
      </w:r>
      <w:r w:rsidR="00F247C7" w:rsidRPr="008B619A">
        <w:rPr>
          <w:rFonts w:hint="eastAsia"/>
          <w:color w:val="000000" w:themeColor="text1"/>
        </w:rPr>
        <w:t>19</w:t>
      </w:r>
      <w:r w:rsidR="006A420B" w:rsidRPr="008B619A">
        <w:rPr>
          <w:color w:val="000000" w:themeColor="text1"/>
        </w:rPr>
        <w:t>,</w:t>
      </w:r>
      <w:r w:rsidR="00F247C7" w:rsidRPr="008B619A">
        <w:rPr>
          <w:rFonts w:hint="eastAsia"/>
          <w:color w:val="000000" w:themeColor="text1"/>
        </w:rPr>
        <w:t>880</w:t>
      </w:r>
      <w:r w:rsidR="0080146F" w:rsidRPr="008B619A">
        <w:rPr>
          <w:rFonts w:hint="eastAsia"/>
          <w:color w:val="000000" w:themeColor="text1"/>
        </w:rPr>
        <w:t>人</w:t>
      </w:r>
      <w:r w:rsidR="00D23929" w:rsidRPr="008B619A">
        <w:rPr>
          <w:rFonts w:hint="eastAsia"/>
          <w:color w:val="000000" w:themeColor="text1"/>
        </w:rPr>
        <w:t>（占比</w:t>
      </w:r>
      <w:r w:rsidR="001625F9" w:rsidRPr="008B619A">
        <w:rPr>
          <w:rFonts w:hint="eastAsia"/>
          <w:color w:val="000000" w:themeColor="text1"/>
        </w:rPr>
        <w:t>43</w:t>
      </w:r>
      <w:r w:rsidR="00D23929" w:rsidRPr="008B619A">
        <w:rPr>
          <w:rFonts w:hint="eastAsia"/>
          <w:color w:val="000000" w:themeColor="text1"/>
        </w:rPr>
        <w:t>.</w:t>
      </w:r>
      <w:r w:rsidR="001625F9" w:rsidRPr="008B619A">
        <w:rPr>
          <w:rFonts w:hint="eastAsia"/>
          <w:color w:val="000000" w:themeColor="text1"/>
        </w:rPr>
        <w:t>1</w:t>
      </w:r>
      <w:r w:rsidR="00D23929" w:rsidRPr="008B619A">
        <w:rPr>
          <w:rFonts w:hint="eastAsia"/>
          <w:color w:val="000000" w:themeColor="text1"/>
        </w:rPr>
        <w:t>%）</w:t>
      </w:r>
      <w:r w:rsidR="00F247C7" w:rsidRPr="008B619A">
        <w:rPr>
          <w:rFonts w:hint="eastAsia"/>
          <w:color w:val="000000" w:themeColor="text1"/>
        </w:rPr>
        <w:t>，私校從</w:t>
      </w:r>
      <w:r w:rsidR="00B05B0E" w:rsidRPr="008B619A">
        <w:rPr>
          <w:rFonts w:hint="eastAsia"/>
          <w:color w:val="000000" w:themeColor="text1"/>
        </w:rPr>
        <w:t>31</w:t>
      </w:r>
      <w:r w:rsidR="00DB5FB0" w:rsidRPr="008B619A">
        <w:rPr>
          <w:color w:val="000000" w:themeColor="text1"/>
        </w:rPr>
        <w:t>,</w:t>
      </w:r>
      <w:r w:rsidR="00B05B0E" w:rsidRPr="008B619A">
        <w:rPr>
          <w:rFonts w:hint="eastAsia"/>
          <w:color w:val="000000" w:themeColor="text1"/>
        </w:rPr>
        <w:t>309</w:t>
      </w:r>
      <w:r w:rsidR="00DB5FB0" w:rsidRPr="008B619A">
        <w:rPr>
          <w:rFonts w:hint="eastAsia"/>
          <w:color w:val="000000" w:themeColor="text1"/>
        </w:rPr>
        <w:t>人</w:t>
      </w:r>
      <w:r w:rsidR="00203BD1" w:rsidRPr="008B619A">
        <w:rPr>
          <w:rFonts w:hint="eastAsia"/>
          <w:color w:val="000000" w:themeColor="text1"/>
        </w:rPr>
        <w:t>（占比61.8%）</w:t>
      </w:r>
      <w:r w:rsidR="00B05B0E" w:rsidRPr="008B619A">
        <w:rPr>
          <w:rFonts w:hint="eastAsia"/>
          <w:color w:val="000000" w:themeColor="text1"/>
        </w:rPr>
        <w:t>減為26</w:t>
      </w:r>
      <w:r w:rsidR="004A38CF" w:rsidRPr="008B619A">
        <w:rPr>
          <w:color w:val="000000" w:themeColor="text1"/>
        </w:rPr>
        <w:t>,</w:t>
      </w:r>
      <w:r w:rsidR="00B05B0E" w:rsidRPr="008B619A">
        <w:rPr>
          <w:rFonts w:hint="eastAsia"/>
          <w:color w:val="000000" w:themeColor="text1"/>
        </w:rPr>
        <w:t>257</w:t>
      </w:r>
      <w:r w:rsidR="000E7722" w:rsidRPr="008B619A">
        <w:rPr>
          <w:rFonts w:hint="eastAsia"/>
          <w:color w:val="000000" w:themeColor="text1"/>
        </w:rPr>
        <w:t>（占比</w:t>
      </w:r>
      <w:r w:rsidR="000E7722" w:rsidRPr="008B619A">
        <w:rPr>
          <w:color w:val="000000" w:themeColor="text1"/>
        </w:rPr>
        <w:t>56.9</w:t>
      </w:r>
      <w:r w:rsidR="000E7722" w:rsidRPr="008B619A">
        <w:rPr>
          <w:rFonts w:hint="eastAsia"/>
          <w:color w:val="000000" w:themeColor="text1"/>
        </w:rPr>
        <w:t>%）</w:t>
      </w:r>
      <w:r w:rsidR="001C185D" w:rsidRPr="008B619A">
        <w:rPr>
          <w:rFonts w:hint="eastAsia"/>
          <w:color w:val="000000" w:themeColor="text1"/>
        </w:rPr>
        <w:t>。</w:t>
      </w:r>
      <w:r w:rsidR="00253FE2" w:rsidRPr="008B619A">
        <w:rPr>
          <w:rFonts w:hint="eastAsia"/>
          <w:color w:val="000000" w:themeColor="text1"/>
        </w:rPr>
        <w:t>其中</w:t>
      </w:r>
      <w:r w:rsidR="00A56978" w:rsidRPr="008B619A">
        <w:rPr>
          <w:rFonts w:hint="eastAsia"/>
          <w:color w:val="000000" w:themeColor="text1"/>
        </w:rPr>
        <w:t>，</w:t>
      </w:r>
      <w:r w:rsidR="00257269" w:rsidRPr="008B619A">
        <w:rPr>
          <w:rFonts w:hint="eastAsia"/>
          <w:color w:val="000000" w:themeColor="text1"/>
        </w:rPr>
        <w:t>具博士學位之</w:t>
      </w:r>
      <w:r w:rsidR="009172B3" w:rsidRPr="008B619A">
        <w:rPr>
          <w:rFonts w:hint="eastAsia"/>
          <w:color w:val="000000" w:themeColor="text1"/>
        </w:rPr>
        <w:t>專任</w:t>
      </w:r>
      <w:r w:rsidR="00257269" w:rsidRPr="008B619A">
        <w:rPr>
          <w:rFonts w:hint="eastAsia"/>
          <w:color w:val="000000" w:themeColor="text1"/>
        </w:rPr>
        <w:t>師資部分，</w:t>
      </w:r>
      <w:r w:rsidR="00A03A12" w:rsidRPr="008B619A">
        <w:rPr>
          <w:rFonts w:hint="eastAsia"/>
          <w:color w:val="000000" w:themeColor="text1"/>
        </w:rPr>
        <w:t>公校</w:t>
      </w:r>
      <w:r w:rsidR="00D82411" w:rsidRPr="008B619A">
        <w:rPr>
          <w:rFonts w:hint="eastAsia"/>
          <w:color w:val="000000" w:themeColor="text1"/>
        </w:rPr>
        <w:t>自</w:t>
      </w:r>
      <w:r w:rsidR="009D1388" w:rsidRPr="008B619A">
        <w:rPr>
          <w:color w:val="000000" w:themeColor="text1"/>
        </w:rPr>
        <w:t>15,338</w:t>
      </w:r>
      <w:r w:rsidR="00D82411" w:rsidRPr="008B619A">
        <w:rPr>
          <w:rFonts w:hint="eastAsia"/>
          <w:color w:val="000000" w:themeColor="text1"/>
        </w:rPr>
        <w:t>人增為</w:t>
      </w:r>
      <w:r w:rsidR="00365CFE" w:rsidRPr="008B619A">
        <w:rPr>
          <w:color w:val="000000" w:themeColor="text1"/>
        </w:rPr>
        <w:t>16,840</w:t>
      </w:r>
      <w:r w:rsidR="00D82411" w:rsidRPr="008B619A">
        <w:rPr>
          <w:rFonts w:hint="eastAsia"/>
          <w:color w:val="000000" w:themeColor="text1"/>
        </w:rPr>
        <w:t>人，私校</w:t>
      </w:r>
      <w:r w:rsidR="00A03A12" w:rsidRPr="008B619A">
        <w:rPr>
          <w:rFonts w:hint="eastAsia"/>
          <w:color w:val="000000" w:themeColor="text1"/>
        </w:rPr>
        <w:t>則</w:t>
      </w:r>
      <w:r w:rsidR="00D82411" w:rsidRPr="008B619A">
        <w:rPr>
          <w:rFonts w:hint="eastAsia"/>
          <w:color w:val="000000" w:themeColor="text1"/>
        </w:rPr>
        <w:t>自</w:t>
      </w:r>
      <w:r w:rsidR="00E120D1" w:rsidRPr="008B619A">
        <w:rPr>
          <w:color w:val="000000" w:themeColor="text1"/>
        </w:rPr>
        <w:t>18,190</w:t>
      </w:r>
      <w:r w:rsidR="00D82411" w:rsidRPr="008B619A">
        <w:rPr>
          <w:rFonts w:hint="eastAsia"/>
          <w:color w:val="000000" w:themeColor="text1"/>
        </w:rPr>
        <w:t>人降為</w:t>
      </w:r>
      <w:r w:rsidR="00E120D1" w:rsidRPr="008B619A">
        <w:rPr>
          <w:color w:val="000000" w:themeColor="text1"/>
        </w:rPr>
        <w:t>17,093</w:t>
      </w:r>
      <w:r w:rsidR="00D82411" w:rsidRPr="008B619A">
        <w:rPr>
          <w:rFonts w:hint="eastAsia"/>
          <w:color w:val="000000" w:themeColor="text1"/>
        </w:rPr>
        <w:t>人</w:t>
      </w:r>
      <w:r w:rsidR="005F2E49" w:rsidRPr="008B619A">
        <w:rPr>
          <w:rFonts w:hint="eastAsia"/>
          <w:color w:val="000000" w:themeColor="text1"/>
        </w:rPr>
        <w:t>。</w:t>
      </w:r>
    </w:p>
    <w:p w14:paraId="30F23107" w14:textId="4DF197A2" w:rsidR="00153713" w:rsidRPr="008B619A" w:rsidRDefault="00153713" w:rsidP="00153713">
      <w:pPr>
        <w:rPr>
          <w:color w:val="000000" w:themeColor="text1"/>
        </w:rPr>
      </w:pPr>
      <w:r w:rsidRPr="008B619A">
        <w:rPr>
          <w:noProof/>
          <w:color w:val="000000" w:themeColor="text1"/>
        </w:rPr>
        <w:drawing>
          <wp:inline distT="0" distB="0" distL="0" distR="0" wp14:anchorId="145D3698" wp14:editId="01111D4F">
            <wp:extent cx="5456914" cy="2565564"/>
            <wp:effectExtent l="0" t="0" r="0" b="6350"/>
            <wp:docPr id="23" name="圖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圖片 23"/>
                    <pic:cNvPicPr/>
                  </pic:nvPicPr>
                  <pic:blipFill>
                    <a:blip r:embed="rId14">
                      <a:extLst>
                        <a:ext uri="{28A0092B-C50C-407E-A947-70E740481C1C}">
                          <a14:useLocalDpi xmlns:a14="http://schemas.microsoft.com/office/drawing/2010/main" val="0"/>
                        </a:ext>
                      </a:extLst>
                    </a:blip>
                    <a:stretch>
                      <a:fillRect/>
                    </a:stretch>
                  </pic:blipFill>
                  <pic:spPr>
                    <a:xfrm>
                      <a:off x="0" y="0"/>
                      <a:ext cx="5463733" cy="2568770"/>
                    </a:xfrm>
                    <a:prstGeom prst="rect">
                      <a:avLst/>
                    </a:prstGeom>
                  </pic:spPr>
                </pic:pic>
              </a:graphicData>
            </a:graphic>
          </wp:inline>
        </w:drawing>
      </w:r>
    </w:p>
    <w:p w14:paraId="35FE1F66" w14:textId="64F1332D" w:rsidR="00737E3E" w:rsidRPr="008B619A" w:rsidRDefault="00737E3E" w:rsidP="00737E3E">
      <w:pPr>
        <w:pStyle w:val="a1"/>
        <w:spacing w:after="120"/>
        <w:ind w:left="482" w:hanging="482"/>
        <w:rPr>
          <w:b/>
          <w:bCs w:val="0"/>
          <w:color w:val="000000" w:themeColor="text1"/>
        </w:rPr>
      </w:pPr>
      <w:r w:rsidRPr="008B619A">
        <w:rPr>
          <w:b/>
          <w:bCs w:val="0"/>
          <w:color w:val="000000" w:themeColor="text1"/>
        </w:rPr>
        <w:t>大學校院</w:t>
      </w:r>
      <w:r w:rsidR="007467B9" w:rsidRPr="008B619A">
        <w:rPr>
          <w:rFonts w:hint="eastAsia"/>
          <w:b/>
          <w:bCs w:val="0"/>
          <w:color w:val="000000" w:themeColor="text1"/>
        </w:rPr>
        <w:t>歷年</w:t>
      </w:r>
      <w:r w:rsidR="00236283" w:rsidRPr="008B619A">
        <w:rPr>
          <w:rFonts w:hint="eastAsia"/>
          <w:b/>
          <w:bCs w:val="0"/>
          <w:color w:val="000000" w:themeColor="text1"/>
        </w:rPr>
        <w:t>專任</w:t>
      </w:r>
      <w:r w:rsidR="007467B9" w:rsidRPr="008B619A">
        <w:rPr>
          <w:rFonts w:hint="eastAsia"/>
          <w:b/>
          <w:bCs w:val="0"/>
          <w:color w:val="000000" w:themeColor="text1"/>
        </w:rPr>
        <w:t>教師人數</w:t>
      </w:r>
    </w:p>
    <w:p w14:paraId="71076A63" w14:textId="77777777" w:rsidR="00737E3E" w:rsidRPr="008B619A" w:rsidRDefault="00737E3E" w:rsidP="00737E3E">
      <w:pPr>
        <w:spacing w:afterLines="50" w:after="228" w:line="240" w:lineRule="exact"/>
        <w:jc w:val="center"/>
        <w:rPr>
          <w:color w:val="000000" w:themeColor="text1"/>
          <w:sz w:val="24"/>
          <w:szCs w:val="24"/>
        </w:rPr>
      </w:pPr>
      <w:r w:rsidRPr="008B619A">
        <w:rPr>
          <w:rFonts w:hint="eastAsia"/>
          <w:color w:val="000000" w:themeColor="text1"/>
          <w:sz w:val="24"/>
          <w:szCs w:val="24"/>
        </w:rPr>
        <w:t>資料來源：教育部統計處。</w:t>
      </w:r>
    </w:p>
    <w:p w14:paraId="7C60699A" w14:textId="12A4CBE6" w:rsidR="005A2B63" w:rsidRPr="008B619A" w:rsidRDefault="00D82411" w:rsidP="005F2E49">
      <w:pPr>
        <w:pStyle w:val="4"/>
        <w:rPr>
          <w:color w:val="000000" w:themeColor="text1"/>
        </w:rPr>
      </w:pPr>
      <w:r w:rsidRPr="008B619A">
        <w:rPr>
          <w:rFonts w:hint="eastAsia"/>
          <w:color w:val="000000" w:themeColor="text1"/>
        </w:rPr>
        <w:t>兼任教師部分</w:t>
      </w:r>
      <w:r w:rsidR="00146E72" w:rsidRPr="008B619A">
        <w:rPr>
          <w:rFonts w:hint="eastAsia"/>
          <w:color w:val="000000" w:themeColor="text1"/>
        </w:rPr>
        <w:t>自99學年</w:t>
      </w:r>
      <w:r w:rsidR="00146E72" w:rsidRPr="008B619A">
        <w:rPr>
          <w:color w:val="000000" w:themeColor="text1"/>
        </w:rPr>
        <w:t>45,147</w:t>
      </w:r>
      <w:r w:rsidR="00146E72" w:rsidRPr="008B619A">
        <w:rPr>
          <w:rFonts w:hint="eastAsia"/>
          <w:color w:val="000000" w:themeColor="text1"/>
        </w:rPr>
        <w:t>人，至10</w:t>
      </w:r>
      <w:r w:rsidR="006D5D91" w:rsidRPr="008B619A">
        <w:rPr>
          <w:rFonts w:hint="eastAsia"/>
          <w:color w:val="000000" w:themeColor="text1"/>
        </w:rPr>
        <w:t>8</w:t>
      </w:r>
      <w:r w:rsidR="00146E72" w:rsidRPr="008B619A">
        <w:rPr>
          <w:rFonts w:hint="eastAsia"/>
          <w:color w:val="000000" w:themeColor="text1"/>
        </w:rPr>
        <w:t>學年</w:t>
      </w:r>
      <w:r w:rsidR="00127365" w:rsidRPr="008B619A">
        <w:rPr>
          <w:rFonts w:hint="eastAsia"/>
          <w:color w:val="000000" w:themeColor="text1"/>
        </w:rPr>
        <w:t>減少</w:t>
      </w:r>
      <w:r w:rsidR="007E69AF" w:rsidRPr="008B619A">
        <w:rPr>
          <w:rFonts w:hint="eastAsia"/>
          <w:color w:val="000000" w:themeColor="text1"/>
        </w:rPr>
        <w:t>為</w:t>
      </w:r>
      <w:r w:rsidR="006A7330" w:rsidRPr="008B619A">
        <w:rPr>
          <w:color w:val="000000" w:themeColor="text1"/>
        </w:rPr>
        <w:t>42,088</w:t>
      </w:r>
      <w:r w:rsidR="006A7330" w:rsidRPr="008B619A">
        <w:rPr>
          <w:rFonts w:hint="eastAsia"/>
          <w:color w:val="000000" w:themeColor="text1"/>
        </w:rPr>
        <w:t>人</w:t>
      </w:r>
      <w:r w:rsidR="001953DA" w:rsidRPr="008B619A">
        <w:rPr>
          <w:rFonts w:hint="eastAsia"/>
          <w:color w:val="000000" w:themeColor="text1"/>
        </w:rPr>
        <w:t>；</w:t>
      </w:r>
      <w:r w:rsidR="001953DA" w:rsidRPr="008B619A">
        <w:rPr>
          <w:rFonts w:hAnsi="標楷體" w:hint="eastAsia"/>
          <w:bCs/>
          <w:color w:val="000000" w:themeColor="text1"/>
          <w:szCs w:val="32"/>
        </w:rPr>
        <w:t>其中，具博士學位</w:t>
      </w:r>
      <w:r w:rsidR="0080673B" w:rsidRPr="008B619A">
        <w:rPr>
          <w:rFonts w:hAnsi="標楷體" w:hint="eastAsia"/>
          <w:bCs/>
          <w:color w:val="000000" w:themeColor="text1"/>
          <w:szCs w:val="32"/>
        </w:rPr>
        <w:t>任職</w:t>
      </w:r>
      <w:r w:rsidR="001953DA" w:rsidRPr="008B619A">
        <w:rPr>
          <w:rFonts w:hAnsi="標楷體" w:hint="eastAsia"/>
          <w:bCs/>
          <w:color w:val="000000" w:themeColor="text1"/>
          <w:szCs w:val="32"/>
        </w:rPr>
        <w:t>之</w:t>
      </w:r>
      <w:r w:rsidR="000B1844" w:rsidRPr="008B619A">
        <w:rPr>
          <w:rFonts w:hAnsi="標楷體" w:hint="eastAsia"/>
          <w:bCs/>
          <w:color w:val="000000" w:themeColor="text1"/>
          <w:szCs w:val="32"/>
        </w:rPr>
        <w:t>兼任</w:t>
      </w:r>
      <w:r w:rsidR="001953DA" w:rsidRPr="008B619A">
        <w:rPr>
          <w:rFonts w:hAnsi="標楷體" w:hint="eastAsia"/>
          <w:bCs/>
          <w:color w:val="000000" w:themeColor="text1"/>
          <w:szCs w:val="32"/>
        </w:rPr>
        <w:t>師資部分，</w:t>
      </w:r>
      <w:r w:rsidRPr="008B619A">
        <w:rPr>
          <w:rFonts w:hAnsi="標楷體" w:hint="eastAsia"/>
          <w:bCs/>
          <w:color w:val="000000" w:themeColor="text1"/>
          <w:szCs w:val="32"/>
        </w:rPr>
        <w:t>公校</w:t>
      </w:r>
      <w:r w:rsidR="00593041" w:rsidRPr="008B619A">
        <w:rPr>
          <w:rFonts w:hAnsi="標楷體" w:hint="eastAsia"/>
          <w:bCs/>
          <w:color w:val="000000" w:themeColor="text1"/>
          <w:szCs w:val="32"/>
        </w:rPr>
        <w:t>從5,469人</w:t>
      </w:r>
      <w:r w:rsidRPr="008B619A">
        <w:rPr>
          <w:rFonts w:hAnsi="標楷體" w:hint="eastAsia"/>
          <w:bCs/>
          <w:color w:val="000000" w:themeColor="text1"/>
          <w:szCs w:val="32"/>
        </w:rPr>
        <w:t>增</w:t>
      </w:r>
      <w:r w:rsidR="00593041" w:rsidRPr="008B619A">
        <w:rPr>
          <w:rFonts w:hAnsi="標楷體" w:hint="eastAsia"/>
          <w:bCs/>
          <w:color w:val="000000" w:themeColor="text1"/>
          <w:szCs w:val="32"/>
        </w:rPr>
        <w:t>為</w:t>
      </w:r>
      <w:r w:rsidR="003436FA" w:rsidRPr="008B619A">
        <w:rPr>
          <w:rFonts w:hAnsi="標楷體"/>
          <w:bCs/>
          <w:color w:val="000000" w:themeColor="text1"/>
          <w:szCs w:val="32"/>
        </w:rPr>
        <w:t>6,805</w:t>
      </w:r>
      <w:r w:rsidRPr="008B619A">
        <w:rPr>
          <w:rFonts w:hAnsi="標楷體" w:hint="eastAsia"/>
          <w:bCs/>
          <w:color w:val="000000" w:themeColor="text1"/>
          <w:szCs w:val="32"/>
        </w:rPr>
        <w:t>人，私校</w:t>
      </w:r>
      <w:r w:rsidR="00DC2CC3" w:rsidRPr="008B619A">
        <w:rPr>
          <w:rFonts w:hAnsi="標楷體" w:hint="eastAsia"/>
          <w:bCs/>
          <w:color w:val="000000" w:themeColor="text1"/>
          <w:szCs w:val="32"/>
        </w:rPr>
        <w:t>從5,328人增為</w:t>
      </w:r>
      <w:r w:rsidR="0072505A" w:rsidRPr="008B619A">
        <w:rPr>
          <w:rFonts w:hAnsi="標楷體"/>
          <w:bCs/>
          <w:color w:val="000000" w:themeColor="text1"/>
          <w:szCs w:val="32"/>
        </w:rPr>
        <w:t>7,454</w:t>
      </w:r>
      <w:r w:rsidRPr="008B619A">
        <w:rPr>
          <w:rFonts w:hAnsi="標楷體" w:hint="eastAsia"/>
          <w:bCs/>
          <w:color w:val="000000" w:themeColor="text1"/>
          <w:szCs w:val="32"/>
        </w:rPr>
        <w:t>人</w:t>
      </w:r>
      <w:r w:rsidR="005A2B63" w:rsidRPr="008B619A">
        <w:rPr>
          <w:rFonts w:hAnsi="標楷體" w:hint="eastAsia"/>
          <w:bCs/>
          <w:color w:val="000000" w:themeColor="text1"/>
          <w:szCs w:val="32"/>
        </w:rPr>
        <w:t>。</w:t>
      </w:r>
    </w:p>
    <w:p w14:paraId="64AE55DE" w14:textId="2F8F9E1A" w:rsidR="005A2B63" w:rsidRPr="008B619A" w:rsidRDefault="00D82411" w:rsidP="005F2E49">
      <w:pPr>
        <w:pStyle w:val="4"/>
        <w:rPr>
          <w:color w:val="000000" w:themeColor="text1"/>
        </w:rPr>
      </w:pPr>
      <w:r w:rsidRPr="008B619A">
        <w:rPr>
          <w:rFonts w:hint="eastAsia"/>
          <w:color w:val="000000" w:themeColor="text1"/>
        </w:rPr>
        <w:t>專案教師部分則有明顯增幅，</w:t>
      </w:r>
      <w:r w:rsidR="007C1DC5" w:rsidRPr="008B619A">
        <w:rPr>
          <w:rFonts w:hint="eastAsia"/>
          <w:color w:val="000000" w:themeColor="text1"/>
        </w:rPr>
        <w:t>大專校院</w:t>
      </w:r>
      <w:r w:rsidR="007B341A" w:rsidRPr="008B619A">
        <w:rPr>
          <w:rFonts w:hint="eastAsia"/>
          <w:color w:val="000000" w:themeColor="text1"/>
        </w:rPr>
        <w:t>自</w:t>
      </w:r>
      <w:r w:rsidR="007B341A" w:rsidRPr="008B619A">
        <w:rPr>
          <w:color w:val="000000" w:themeColor="text1"/>
        </w:rPr>
        <w:t>106</w:t>
      </w:r>
      <w:r w:rsidR="007B341A" w:rsidRPr="008B619A">
        <w:rPr>
          <w:rFonts w:hint="eastAsia"/>
          <w:color w:val="000000" w:themeColor="text1"/>
        </w:rPr>
        <w:t>至</w:t>
      </w:r>
      <w:r w:rsidR="007B341A" w:rsidRPr="008B619A">
        <w:rPr>
          <w:color w:val="000000" w:themeColor="text1"/>
        </w:rPr>
        <w:t>10</w:t>
      </w:r>
      <w:r w:rsidR="007B341A" w:rsidRPr="008B619A">
        <w:rPr>
          <w:rFonts w:hint="eastAsia"/>
          <w:color w:val="000000" w:themeColor="text1"/>
        </w:rPr>
        <w:t>9學年度分別聘任</w:t>
      </w:r>
      <w:r w:rsidR="007B341A" w:rsidRPr="008B619A">
        <w:rPr>
          <w:color w:val="000000" w:themeColor="text1"/>
        </w:rPr>
        <w:t>2,705</w:t>
      </w:r>
      <w:r w:rsidR="007B341A" w:rsidRPr="008B619A">
        <w:rPr>
          <w:rFonts w:hint="eastAsia"/>
          <w:color w:val="000000" w:themeColor="text1"/>
        </w:rPr>
        <w:t>、</w:t>
      </w:r>
      <w:r w:rsidR="007B341A" w:rsidRPr="008B619A">
        <w:rPr>
          <w:color w:val="000000" w:themeColor="text1"/>
        </w:rPr>
        <w:t>3,097</w:t>
      </w:r>
      <w:r w:rsidR="007B341A" w:rsidRPr="008B619A">
        <w:rPr>
          <w:rFonts w:hint="eastAsia"/>
          <w:color w:val="000000" w:themeColor="text1"/>
        </w:rPr>
        <w:t>、</w:t>
      </w:r>
      <w:r w:rsidR="007B341A" w:rsidRPr="008B619A">
        <w:rPr>
          <w:color w:val="000000" w:themeColor="text1"/>
        </w:rPr>
        <w:t>3,412</w:t>
      </w:r>
      <w:r w:rsidR="007B341A" w:rsidRPr="008B619A">
        <w:rPr>
          <w:rFonts w:hint="eastAsia"/>
          <w:color w:val="000000" w:themeColor="text1"/>
        </w:rPr>
        <w:t>及</w:t>
      </w:r>
      <w:r w:rsidR="007B341A" w:rsidRPr="008B619A">
        <w:rPr>
          <w:color w:val="000000" w:themeColor="text1"/>
        </w:rPr>
        <w:t>3,747</w:t>
      </w:r>
      <w:r w:rsidR="007B341A" w:rsidRPr="008B619A">
        <w:rPr>
          <w:rFonts w:hint="eastAsia"/>
          <w:color w:val="000000" w:themeColor="text1"/>
        </w:rPr>
        <w:t>名專案教師，各占當年度全體專任教師</w:t>
      </w:r>
      <w:r w:rsidR="007B341A" w:rsidRPr="008B619A">
        <w:rPr>
          <w:color w:val="000000" w:themeColor="text1"/>
        </w:rPr>
        <w:t>5.91%</w:t>
      </w:r>
      <w:r w:rsidR="007B341A" w:rsidRPr="008B619A">
        <w:rPr>
          <w:rFonts w:hint="eastAsia"/>
          <w:color w:val="000000" w:themeColor="text1"/>
        </w:rPr>
        <w:t>、</w:t>
      </w:r>
      <w:r w:rsidR="007B341A" w:rsidRPr="008B619A">
        <w:rPr>
          <w:color w:val="000000" w:themeColor="text1"/>
        </w:rPr>
        <w:t>6.85%</w:t>
      </w:r>
      <w:r w:rsidR="007B341A" w:rsidRPr="008B619A">
        <w:rPr>
          <w:rFonts w:hint="eastAsia"/>
          <w:color w:val="000000" w:themeColor="text1"/>
        </w:rPr>
        <w:t>、</w:t>
      </w:r>
      <w:r w:rsidR="007B341A" w:rsidRPr="008B619A">
        <w:rPr>
          <w:color w:val="000000" w:themeColor="text1"/>
        </w:rPr>
        <w:t>7.64%</w:t>
      </w:r>
      <w:r w:rsidR="007B341A" w:rsidRPr="008B619A">
        <w:rPr>
          <w:rFonts w:hint="eastAsia"/>
          <w:color w:val="000000" w:themeColor="text1"/>
        </w:rPr>
        <w:t>及</w:t>
      </w:r>
      <w:r w:rsidR="007B341A" w:rsidRPr="008B619A">
        <w:rPr>
          <w:color w:val="000000" w:themeColor="text1"/>
        </w:rPr>
        <w:t>8.45%</w:t>
      </w:r>
      <w:r w:rsidR="007B341A" w:rsidRPr="008B619A">
        <w:rPr>
          <w:rFonts w:hint="eastAsia"/>
          <w:color w:val="000000" w:themeColor="text1"/>
        </w:rPr>
        <w:t>，呈逐年</w:t>
      </w:r>
      <w:r w:rsidR="00AA5BC2" w:rsidRPr="008B619A">
        <w:rPr>
          <w:rFonts w:hint="eastAsia"/>
          <w:color w:val="000000" w:themeColor="text1"/>
        </w:rPr>
        <w:t>增加</w:t>
      </w:r>
      <w:r w:rsidR="007B341A" w:rsidRPr="008B619A">
        <w:rPr>
          <w:rFonts w:hint="eastAsia"/>
          <w:color w:val="000000" w:themeColor="text1"/>
        </w:rPr>
        <w:t>現象。</w:t>
      </w:r>
      <w:r w:rsidR="00E073A6" w:rsidRPr="008B619A">
        <w:rPr>
          <w:rFonts w:hint="eastAsia"/>
          <w:color w:val="000000" w:themeColor="text1"/>
        </w:rPr>
        <w:t>而</w:t>
      </w:r>
      <w:r w:rsidR="00DE0C9F" w:rsidRPr="008B619A">
        <w:rPr>
          <w:rFonts w:hAnsi="標楷體" w:hint="eastAsia"/>
          <w:bCs/>
          <w:color w:val="000000" w:themeColor="text1"/>
          <w:szCs w:val="32"/>
        </w:rPr>
        <w:t>99至</w:t>
      </w:r>
      <w:r w:rsidR="00DE0C9F" w:rsidRPr="008B619A">
        <w:rPr>
          <w:rFonts w:hAnsi="標楷體" w:hint="eastAsia"/>
          <w:bCs/>
          <w:color w:val="000000" w:themeColor="text1"/>
          <w:szCs w:val="32"/>
        </w:rPr>
        <w:lastRenderedPageBreak/>
        <w:t>108學年度</w:t>
      </w:r>
      <w:r w:rsidR="007C1DC5" w:rsidRPr="008B619A">
        <w:rPr>
          <w:rFonts w:hAnsi="標楷體" w:hint="eastAsia"/>
          <w:bCs/>
          <w:color w:val="000000" w:themeColor="text1"/>
          <w:szCs w:val="32"/>
        </w:rPr>
        <w:t>，</w:t>
      </w:r>
      <w:r w:rsidR="0080673B" w:rsidRPr="008B619A">
        <w:rPr>
          <w:rFonts w:hAnsi="標楷體" w:hint="eastAsia"/>
          <w:bCs/>
          <w:color w:val="000000" w:themeColor="text1"/>
          <w:szCs w:val="32"/>
        </w:rPr>
        <w:t>具博士學位任職之</w:t>
      </w:r>
      <w:r w:rsidR="00DD07D4" w:rsidRPr="008B619A">
        <w:rPr>
          <w:rFonts w:hAnsi="標楷體" w:hint="eastAsia"/>
          <w:bCs/>
          <w:color w:val="000000" w:themeColor="text1"/>
          <w:szCs w:val="32"/>
        </w:rPr>
        <w:t>專案教師部分，</w:t>
      </w:r>
      <w:r w:rsidRPr="008B619A">
        <w:rPr>
          <w:rFonts w:hint="eastAsia"/>
          <w:color w:val="000000" w:themeColor="text1"/>
        </w:rPr>
        <w:t>公校由</w:t>
      </w:r>
      <w:r w:rsidR="00F80CFF" w:rsidRPr="008B619A">
        <w:rPr>
          <w:rFonts w:hint="eastAsia"/>
          <w:color w:val="000000" w:themeColor="text1"/>
        </w:rPr>
        <w:t>155</w:t>
      </w:r>
      <w:r w:rsidRPr="008B619A">
        <w:rPr>
          <w:rFonts w:hint="eastAsia"/>
          <w:color w:val="000000" w:themeColor="text1"/>
        </w:rPr>
        <w:t>人增為</w:t>
      </w:r>
      <w:r w:rsidR="00F80CFF" w:rsidRPr="008B619A">
        <w:rPr>
          <w:rFonts w:hint="eastAsia"/>
          <w:color w:val="000000" w:themeColor="text1"/>
        </w:rPr>
        <w:t>770</w:t>
      </w:r>
      <w:r w:rsidRPr="008B619A">
        <w:rPr>
          <w:rFonts w:hint="eastAsia"/>
          <w:color w:val="000000" w:themeColor="text1"/>
        </w:rPr>
        <w:t>人，私校由</w:t>
      </w:r>
      <w:r w:rsidR="006F7E02" w:rsidRPr="008B619A">
        <w:rPr>
          <w:rFonts w:hint="eastAsia"/>
          <w:color w:val="000000" w:themeColor="text1"/>
        </w:rPr>
        <w:t>33</w:t>
      </w:r>
      <w:r w:rsidRPr="008B619A">
        <w:rPr>
          <w:rFonts w:hint="eastAsia"/>
          <w:color w:val="000000" w:themeColor="text1"/>
        </w:rPr>
        <w:t>人增為1</w:t>
      </w:r>
      <w:r w:rsidRPr="008B619A">
        <w:rPr>
          <w:color w:val="000000" w:themeColor="text1"/>
        </w:rPr>
        <w:t>,</w:t>
      </w:r>
      <w:r w:rsidR="006F7E02" w:rsidRPr="008B619A">
        <w:rPr>
          <w:rFonts w:hint="eastAsia"/>
          <w:color w:val="000000" w:themeColor="text1"/>
        </w:rPr>
        <w:t>096</w:t>
      </w:r>
      <w:r w:rsidRPr="008B619A">
        <w:rPr>
          <w:rFonts w:hint="eastAsia"/>
          <w:color w:val="000000" w:themeColor="text1"/>
        </w:rPr>
        <w:t>人。</w:t>
      </w:r>
    </w:p>
    <w:p w14:paraId="71D74240" w14:textId="7112F20E" w:rsidR="009A3F9D" w:rsidRPr="008B619A" w:rsidRDefault="003D08D6" w:rsidP="005F2E49">
      <w:pPr>
        <w:pStyle w:val="4"/>
        <w:rPr>
          <w:color w:val="000000" w:themeColor="text1"/>
        </w:rPr>
      </w:pPr>
      <w:r w:rsidRPr="008B619A">
        <w:rPr>
          <w:rFonts w:hint="eastAsia"/>
          <w:color w:val="000000" w:themeColor="text1"/>
        </w:rPr>
        <w:t>關於</w:t>
      </w:r>
      <w:r w:rsidR="001E5EB1" w:rsidRPr="008B619A">
        <w:rPr>
          <w:rFonts w:hint="eastAsia"/>
          <w:color w:val="000000" w:themeColor="text1"/>
        </w:rPr>
        <w:t>大專校院</w:t>
      </w:r>
      <w:r w:rsidR="009A3F9D" w:rsidRPr="008B619A">
        <w:rPr>
          <w:rFonts w:hint="eastAsia"/>
          <w:color w:val="000000" w:themeColor="text1"/>
        </w:rPr>
        <w:t>專任教師和兼任教師</w:t>
      </w:r>
      <w:r w:rsidRPr="008B619A">
        <w:rPr>
          <w:rFonts w:hint="eastAsia"/>
          <w:color w:val="000000" w:themeColor="text1"/>
        </w:rPr>
        <w:t>專兼任教師</w:t>
      </w:r>
      <w:r w:rsidR="00C65ECC" w:rsidRPr="008B619A">
        <w:rPr>
          <w:rFonts w:hint="eastAsia"/>
          <w:color w:val="000000" w:themeColor="text1"/>
        </w:rPr>
        <w:t>之學校</w:t>
      </w:r>
      <w:r w:rsidRPr="008B619A">
        <w:rPr>
          <w:rFonts w:hint="eastAsia"/>
          <w:color w:val="000000" w:themeColor="text1"/>
        </w:rPr>
        <w:t>結構</w:t>
      </w:r>
      <w:r w:rsidR="00292295" w:rsidRPr="008B619A">
        <w:rPr>
          <w:rFonts w:hint="eastAsia"/>
          <w:color w:val="000000" w:themeColor="text1"/>
        </w:rPr>
        <w:t>，</w:t>
      </w:r>
      <w:r w:rsidR="0055196F" w:rsidRPr="008B619A">
        <w:rPr>
          <w:rFonts w:hint="eastAsia"/>
          <w:color w:val="000000" w:themeColor="text1"/>
        </w:rPr>
        <w:t>則分</w:t>
      </w:r>
      <w:r w:rsidR="003B6BA2" w:rsidRPr="008B619A">
        <w:rPr>
          <w:rFonts w:hint="eastAsia"/>
          <w:color w:val="000000" w:themeColor="text1"/>
        </w:rPr>
        <w:t>述</w:t>
      </w:r>
      <w:r w:rsidRPr="008B619A">
        <w:rPr>
          <w:rFonts w:hint="eastAsia"/>
          <w:color w:val="000000" w:themeColor="text1"/>
        </w:rPr>
        <w:t>如下</w:t>
      </w:r>
      <w:r w:rsidR="00B66D78" w:rsidRPr="008B619A">
        <w:rPr>
          <w:rStyle w:val="aff1"/>
          <w:color w:val="000000" w:themeColor="text1"/>
        </w:rPr>
        <w:footnoteReference w:id="49"/>
      </w:r>
      <w:r w:rsidRPr="008B619A">
        <w:rPr>
          <w:rFonts w:hint="eastAsia"/>
          <w:color w:val="000000" w:themeColor="text1"/>
        </w:rPr>
        <w:t>：</w:t>
      </w:r>
    </w:p>
    <w:p w14:paraId="628461D6" w14:textId="2A8B7A12" w:rsidR="003D08D6" w:rsidRPr="008B619A" w:rsidRDefault="00C65ECC" w:rsidP="003322E6">
      <w:pPr>
        <w:pStyle w:val="5"/>
        <w:rPr>
          <w:color w:val="000000" w:themeColor="text1"/>
        </w:rPr>
      </w:pPr>
      <w:r w:rsidRPr="008B619A">
        <w:rPr>
          <w:rFonts w:hint="eastAsia"/>
          <w:color w:val="000000" w:themeColor="text1"/>
        </w:rPr>
        <w:t>109學年專任教師總數45,811</w:t>
      </w:r>
      <w:r w:rsidR="003322E6" w:rsidRPr="008B619A">
        <w:rPr>
          <w:rFonts w:hint="eastAsia"/>
          <w:color w:val="000000" w:themeColor="text1"/>
        </w:rPr>
        <w:t>人</w:t>
      </w:r>
      <w:r w:rsidRPr="008B619A">
        <w:rPr>
          <w:rFonts w:hint="eastAsia"/>
          <w:color w:val="000000" w:themeColor="text1"/>
        </w:rPr>
        <w:t>，分布結構如下：</w:t>
      </w:r>
      <w:r w:rsidR="00B50B09" w:rsidRPr="008B619A">
        <w:rPr>
          <w:rFonts w:hint="eastAsia"/>
          <w:color w:val="000000" w:themeColor="text1"/>
        </w:rPr>
        <w:t>一般大學43,137</w:t>
      </w:r>
      <w:r w:rsidR="00B616DA" w:rsidRPr="008B619A">
        <w:rPr>
          <w:rFonts w:hint="eastAsia"/>
          <w:color w:val="000000" w:themeColor="text1"/>
        </w:rPr>
        <w:t>人</w:t>
      </w:r>
      <w:r w:rsidR="00B50B09" w:rsidRPr="008B619A">
        <w:rPr>
          <w:rFonts w:hint="eastAsia"/>
          <w:color w:val="000000" w:themeColor="text1"/>
        </w:rPr>
        <w:t>(國立19,525</w:t>
      </w:r>
      <w:r w:rsidR="00B616DA" w:rsidRPr="008B619A">
        <w:rPr>
          <w:rFonts w:hint="eastAsia"/>
          <w:color w:val="000000" w:themeColor="text1"/>
        </w:rPr>
        <w:t>人</w:t>
      </w:r>
      <w:r w:rsidR="00B50B09" w:rsidRPr="008B619A">
        <w:rPr>
          <w:rFonts w:hint="eastAsia"/>
          <w:color w:val="000000" w:themeColor="text1"/>
        </w:rPr>
        <w:t>+直轄市立323</w:t>
      </w:r>
      <w:r w:rsidR="00B616DA" w:rsidRPr="008B619A">
        <w:rPr>
          <w:rFonts w:hint="eastAsia"/>
          <w:color w:val="000000" w:themeColor="text1"/>
        </w:rPr>
        <w:t>人</w:t>
      </w:r>
      <w:r w:rsidR="00B50B09" w:rsidRPr="008B619A">
        <w:rPr>
          <w:rFonts w:hint="eastAsia"/>
          <w:color w:val="000000" w:themeColor="text1"/>
        </w:rPr>
        <w:t>+私立23,289</w:t>
      </w:r>
      <w:r w:rsidR="00B616DA" w:rsidRPr="008B619A">
        <w:rPr>
          <w:rFonts w:hint="eastAsia"/>
          <w:color w:val="000000" w:themeColor="text1"/>
        </w:rPr>
        <w:t>人</w:t>
      </w:r>
      <w:r w:rsidR="00B50B09" w:rsidRPr="008B619A">
        <w:rPr>
          <w:rFonts w:hint="eastAsia"/>
          <w:color w:val="000000" w:themeColor="text1"/>
        </w:rPr>
        <w:t>)；專科學校1,673</w:t>
      </w:r>
      <w:r w:rsidR="00B616DA" w:rsidRPr="008B619A">
        <w:rPr>
          <w:rFonts w:hint="eastAsia"/>
          <w:color w:val="000000" w:themeColor="text1"/>
        </w:rPr>
        <w:t>人</w:t>
      </w:r>
      <w:r w:rsidR="00B50B09" w:rsidRPr="008B619A">
        <w:rPr>
          <w:rFonts w:hint="eastAsia"/>
          <w:color w:val="000000" w:themeColor="text1"/>
        </w:rPr>
        <w:t xml:space="preserve"> (國立159</w:t>
      </w:r>
      <w:r w:rsidR="00B616DA" w:rsidRPr="008B619A">
        <w:rPr>
          <w:rFonts w:hint="eastAsia"/>
          <w:color w:val="000000" w:themeColor="text1"/>
        </w:rPr>
        <w:t>人</w:t>
      </w:r>
      <w:r w:rsidR="00B50B09" w:rsidRPr="008B619A">
        <w:rPr>
          <w:rFonts w:hint="eastAsia"/>
          <w:color w:val="000000" w:themeColor="text1"/>
        </w:rPr>
        <w:t>+私立1,514</w:t>
      </w:r>
      <w:r w:rsidR="00B616DA" w:rsidRPr="008B619A">
        <w:rPr>
          <w:rFonts w:hint="eastAsia"/>
          <w:color w:val="000000" w:themeColor="text1"/>
        </w:rPr>
        <w:t>人</w:t>
      </w:r>
      <w:r w:rsidR="00B50B09" w:rsidRPr="008B619A">
        <w:rPr>
          <w:rFonts w:hint="eastAsia"/>
          <w:color w:val="000000" w:themeColor="text1"/>
        </w:rPr>
        <w:t>)及獨立學院1,001</w:t>
      </w:r>
      <w:r w:rsidR="00B616DA" w:rsidRPr="008B619A">
        <w:rPr>
          <w:rFonts w:hint="eastAsia"/>
          <w:color w:val="000000" w:themeColor="text1"/>
        </w:rPr>
        <w:t>人</w:t>
      </w:r>
      <w:r w:rsidR="00B50B09" w:rsidRPr="008B619A">
        <w:rPr>
          <w:rFonts w:hint="eastAsia"/>
          <w:color w:val="000000" w:themeColor="text1"/>
        </w:rPr>
        <w:t>(國立32</w:t>
      </w:r>
      <w:r w:rsidR="00B616DA" w:rsidRPr="008B619A">
        <w:rPr>
          <w:rFonts w:hint="eastAsia"/>
          <w:color w:val="000000" w:themeColor="text1"/>
        </w:rPr>
        <w:t>人</w:t>
      </w:r>
      <w:r w:rsidR="00B50B09" w:rsidRPr="008B619A">
        <w:rPr>
          <w:rFonts w:hint="eastAsia"/>
          <w:color w:val="000000" w:themeColor="text1"/>
        </w:rPr>
        <w:t>+私立969</w:t>
      </w:r>
      <w:r w:rsidR="00B616DA" w:rsidRPr="008B619A">
        <w:rPr>
          <w:rFonts w:hint="eastAsia"/>
          <w:color w:val="000000" w:themeColor="text1"/>
        </w:rPr>
        <w:t>人</w:t>
      </w:r>
      <w:r w:rsidR="00B50B09" w:rsidRPr="008B619A">
        <w:rPr>
          <w:rFonts w:hint="eastAsia"/>
          <w:color w:val="000000" w:themeColor="text1"/>
        </w:rPr>
        <w:t>)</w:t>
      </w:r>
      <w:r w:rsidR="00B616DA" w:rsidRPr="008B619A">
        <w:rPr>
          <w:rFonts w:hint="eastAsia"/>
          <w:color w:val="000000" w:themeColor="text1"/>
        </w:rPr>
        <w:t>。</w:t>
      </w:r>
    </w:p>
    <w:p w14:paraId="4E9B347B" w14:textId="45C335D2" w:rsidR="00B50B09" w:rsidRPr="008B619A" w:rsidRDefault="00B66D78" w:rsidP="00163B1A">
      <w:pPr>
        <w:pStyle w:val="5"/>
        <w:rPr>
          <w:color w:val="000000" w:themeColor="text1"/>
        </w:rPr>
      </w:pPr>
      <w:r w:rsidRPr="008B619A">
        <w:rPr>
          <w:rFonts w:hint="eastAsia"/>
          <w:color w:val="000000" w:themeColor="text1"/>
        </w:rPr>
        <w:t>109學年兼任教師總數42,360</w:t>
      </w:r>
      <w:r w:rsidR="00163B1A" w:rsidRPr="008B619A">
        <w:rPr>
          <w:rFonts w:hint="eastAsia"/>
          <w:color w:val="000000" w:themeColor="text1"/>
        </w:rPr>
        <w:t>人</w:t>
      </w:r>
      <w:r w:rsidRPr="008B619A">
        <w:rPr>
          <w:rFonts w:hint="eastAsia"/>
          <w:color w:val="000000" w:themeColor="text1"/>
        </w:rPr>
        <w:t>，</w:t>
      </w:r>
      <w:r w:rsidR="009D223D" w:rsidRPr="008B619A">
        <w:rPr>
          <w:rFonts w:hint="eastAsia"/>
          <w:color w:val="000000" w:themeColor="text1"/>
        </w:rPr>
        <w:t>分布結構如下：</w:t>
      </w:r>
      <w:r w:rsidRPr="008B619A">
        <w:rPr>
          <w:rFonts w:hint="eastAsia"/>
          <w:color w:val="000000" w:themeColor="text1"/>
        </w:rPr>
        <w:t>大學39,133</w:t>
      </w:r>
      <w:r w:rsidR="00163B1A" w:rsidRPr="008B619A">
        <w:rPr>
          <w:rFonts w:hint="eastAsia"/>
          <w:color w:val="000000" w:themeColor="text1"/>
        </w:rPr>
        <w:t>人</w:t>
      </w:r>
      <w:r w:rsidRPr="008B619A">
        <w:rPr>
          <w:rFonts w:hint="eastAsia"/>
          <w:color w:val="000000" w:themeColor="text1"/>
        </w:rPr>
        <w:t>(國立14,664</w:t>
      </w:r>
      <w:r w:rsidR="00163B1A" w:rsidRPr="008B619A">
        <w:rPr>
          <w:rFonts w:hint="eastAsia"/>
          <w:color w:val="000000" w:themeColor="text1"/>
        </w:rPr>
        <w:t>人</w:t>
      </w:r>
      <w:r w:rsidRPr="008B619A">
        <w:rPr>
          <w:rFonts w:hint="eastAsia"/>
          <w:color w:val="000000" w:themeColor="text1"/>
        </w:rPr>
        <w:t>+直轄市立414</w:t>
      </w:r>
      <w:r w:rsidR="00163B1A" w:rsidRPr="008B619A">
        <w:rPr>
          <w:rFonts w:hint="eastAsia"/>
          <w:color w:val="000000" w:themeColor="text1"/>
        </w:rPr>
        <w:t>人</w:t>
      </w:r>
      <w:r w:rsidRPr="008B619A">
        <w:rPr>
          <w:rFonts w:hint="eastAsia"/>
          <w:color w:val="000000" w:themeColor="text1"/>
        </w:rPr>
        <w:t>+私立24,055</w:t>
      </w:r>
      <w:r w:rsidR="00163B1A" w:rsidRPr="008B619A">
        <w:rPr>
          <w:rFonts w:hint="eastAsia"/>
          <w:color w:val="000000" w:themeColor="text1"/>
        </w:rPr>
        <w:t>人)；</w:t>
      </w:r>
      <w:r w:rsidRPr="008B619A">
        <w:rPr>
          <w:rFonts w:hint="eastAsia"/>
          <w:color w:val="000000" w:themeColor="text1"/>
        </w:rPr>
        <w:t>專科學校2,054</w:t>
      </w:r>
      <w:r w:rsidR="00163B1A" w:rsidRPr="008B619A">
        <w:rPr>
          <w:rFonts w:hint="eastAsia"/>
          <w:color w:val="000000" w:themeColor="text1"/>
        </w:rPr>
        <w:t>人</w:t>
      </w:r>
      <w:r w:rsidRPr="008B619A">
        <w:rPr>
          <w:rFonts w:hint="eastAsia"/>
          <w:color w:val="000000" w:themeColor="text1"/>
        </w:rPr>
        <w:t>(國立157</w:t>
      </w:r>
      <w:r w:rsidR="00163B1A" w:rsidRPr="008B619A">
        <w:rPr>
          <w:rFonts w:hint="eastAsia"/>
          <w:color w:val="000000" w:themeColor="text1"/>
        </w:rPr>
        <w:t>人</w:t>
      </w:r>
      <w:r w:rsidRPr="008B619A">
        <w:rPr>
          <w:rFonts w:hint="eastAsia"/>
          <w:color w:val="000000" w:themeColor="text1"/>
        </w:rPr>
        <w:t>+私立1,897</w:t>
      </w:r>
      <w:r w:rsidR="00163B1A" w:rsidRPr="008B619A">
        <w:rPr>
          <w:rFonts w:hint="eastAsia"/>
          <w:color w:val="000000" w:themeColor="text1"/>
        </w:rPr>
        <w:t>人</w:t>
      </w:r>
      <w:r w:rsidRPr="008B619A">
        <w:rPr>
          <w:rFonts w:hint="eastAsia"/>
          <w:color w:val="000000" w:themeColor="text1"/>
        </w:rPr>
        <w:t>)</w:t>
      </w:r>
      <w:r w:rsidR="00163B1A" w:rsidRPr="008B619A">
        <w:rPr>
          <w:rFonts w:hint="eastAsia"/>
          <w:color w:val="000000" w:themeColor="text1"/>
        </w:rPr>
        <w:t>；</w:t>
      </w:r>
      <w:r w:rsidRPr="008B619A">
        <w:rPr>
          <w:rFonts w:hint="eastAsia"/>
          <w:color w:val="000000" w:themeColor="text1"/>
        </w:rPr>
        <w:t>獨立學院1,173</w:t>
      </w:r>
      <w:r w:rsidR="00163B1A" w:rsidRPr="008B619A">
        <w:rPr>
          <w:rFonts w:hint="eastAsia"/>
          <w:color w:val="000000" w:themeColor="text1"/>
        </w:rPr>
        <w:t>人</w:t>
      </w:r>
      <w:r w:rsidRPr="008B619A">
        <w:rPr>
          <w:rFonts w:hint="eastAsia"/>
          <w:color w:val="000000" w:themeColor="text1"/>
        </w:rPr>
        <w:t>(國立124</w:t>
      </w:r>
      <w:r w:rsidR="00163B1A" w:rsidRPr="008B619A">
        <w:rPr>
          <w:rFonts w:hint="eastAsia"/>
          <w:color w:val="000000" w:themeColor="text1"/>
        </w:rPr>
        <w:t>人</w:t>
      </w:r>
      <w:r w:rsidRPr="008B619A">
        <w:rPr>
          <w:rFonts w:hint="eastAsia"/>
          <w:color w:val="000000" w:themeColor="text1"/>
        </w:rPr>
        <w:t>+私立1,049</w:t>
      </w:r>
      <w:r w:rsidR="00163B1A" w:rsidRPr="008B619A">
        <w:rPr>
          <w:rFonts w:hint="eastAsia"/>
          <w:color w:val="000000" w:themeColor="text1"/>
        </w:rPr>
        <w:t>人</w:t>
      </w:r>
      <w:r w:rsidRPr="008B619A">
        <w:rPr>
          <w:rFonts w:hint="eastAsia"/>
          <w:color w:val="000000" w:themeColor="text1"/>
        </w:rPr>
        <w:t>)</w:t>
      </w:r>
      <w:r w:rsidR="00163B1A" w:rsidRPr="008B619A">
        <w:rPr>
          <w:rFonts w:hint="eastAsia"/>
          <w:color w:val="000000" w:themeColor="text1"/>
        </w:rPr>
        <w:t>。</w:t>
      </w:r>
    </w:p>
    <w:p w14:paraId="271448E7" w14:textId="78CBD97A" w:rsidR="008863EE" w:rsidRPr="008B619A" w:rsidRDefault="00C106D8" w:rsidP="006400F0">
      <w:pPr>
        <w:pStyle w:val="3"/>
        <w:rPr>
          <w:bCs w:val="0"/>
          <w:color w:val="000000" w:themeColor="text1"/>
        </w:rPr>
      </w:pPr>
      <w:r w:rsidRPr="008B619A">
        <w:rPr>
          <w:rFonts w:hint="eastAsia"/>
          <w:color w:val="000000" w:themeColor="text1"/>
        </w:rPr>
        <w:t>此外，</w:t>
      </w:r>
      <w:r w:rsidR="00282B8A" w:rsidRPr="008B619A">
        <w:rPr>
          <w:rFonts w:hint="eastAsia"/>
          <w:color w:val="000000" w:themeColor="text1"/>
        </w:rPr>
        <w:t>值得注意</w:t>
      </w:r>
      <w:r w:rsidR="00D865DC" w:rsidRPr="008B619A">
        <w:rPr>
          <w:rFonts w:hint="eastAsia"/>
          <w:color w:val="000000" w:themeColor="text1"/>
        </w:rPr>
        <w:t>歷來</w:t>
      </w:r>
      <w:r w:rsidR="00282B8A" w:rsidRPr="008B619A">
        <w:rPr>
          <w:rFonts w:hint="eastAsia"/>
          <w:color w:val="000000" w:themeColor="text1"/>
        </w:rPr>
        <w:t>高等教育師資人力</w:t>
      </w:r>
      <w:r w:rsidR="00160EDC" w:rsidRPr="008B619A">
        <w:rPr>
          <w:rFonts w:hint="eastAsia"/>
          <w:color w:val="000000" w:themeColor="text1"/>
        </w:rPr>
        <w:t>持續</w:t>
      </w:r>
      <w:r w:rsidR="00282B8A" w:rsidRPr="008B619A">
        <w:rPr>
          <w:rFonts w:hint="eastAsia"/>
          <w:color w:val="000000" w:themeColor="text1"/>
        </w:rPr>
        <w:t>老化</w:t>
      </w:r>
      <w:r w:rsidR="00160EDC" w:rsidRPr="008B619A">
        <w:rPr>
          <w:rFonts w:hint="eastAsia"/>
          <w:color w:val="000000" w:themeColor="text1"/>
        </w:rPr>
        <w:t>之延燒</w:t>
      </w:r>
      <w:r w:rsidR="00282B8A" w:rsidRPr="008B619A">
        <w:rPr>
          <w:rFonts w:hint="eastAsia"/>
          <w:color w:val="000000" w:themeColor="text1"/>
        </w:rPr>
        <w:t>趨勢</w:t>
      </w:r>
      <w:r w:rsidR="00033E29" w:rsidRPr="008B619A">
        <w:rPr>
          <w:rFonts w:hint="eastAsia"/>
          <w:color w:val="000000" w:themeColor="text1"/>
        </w:rPr>
        <w:t>，況</w:t>
      </w:r>
      <w:r w:rsidR="00D865DC" w:rsidRPr="008B619A">
        <w:rPr>
          <w:rFonts w:hint="eastAsia"/>
          <w:color w:val="000000" w:themeColor="text1"/>
        </w:rPr>
        <w:t>及與</w:t>
      </w:r>
      <w:r w:rsidR="008863EE" w:rsidRPr="008B619A">
        <w:rPr>
          <w:rFonts w:hint="eastAsia"/>
          <w:color w:val="000000" w:themeColor="text1"/>
        </w:rPr>
        <w:t>國際比較</w:t>
      </w:r>
      <w:r w:rsidR="00546C83" w:rsidRPr="008B619A">
        <w:rPr>
          <w:rFonts w:hint="eastAsia"/>
          <w:color w:val="000000" w:themeColor="text1"/>
        </w:rPr>
        <w:t>分析顯示</w:t>
      </w:r>
      <w:r w:rsidR="00C23C01" w:rsidRPr="008B619A">
        <w:rPr>
          <w:rFonts w:hint="eastAsia"/>
          <w:color w:val="000000" w:themeColor="text1"/>
        </w:rPr>
        <w:t>，我國大專校院</w:t>
      </w:r>
      <w:r w:rsidR="00C23C01" w:rsidRPr="008B619A">
        <w:rPr>
          <w:color w:val="000000" w:themeColor="text1"/>
        </w:rPr>
        <w:t>50歲以上教師比率</w:t>
      </w:r>
      <w:r w:rsidR="00C23C01" w:rsidRPr="008B619A">
        <w:rPr>
          <w:rFonts w:hint="eastAsia"/>
          <w:color w:val="000000" w:themeColor="text1"/>
        </w:rPr>
        <w:t>仍屬偏</w:t>
      </w:r>
      <w:r w:rsidR="00C23C01" w:rsidRPr="008B619A">
        <w:rPr>
          <w:color w:val="000000" w:themeColor="text1"/>
        </w:rPr>
        <w:t>高</w:t>
      </w:r>
      <w:r w:rsidR="00041E44" w:rsidRPr="008B619A">
        <w:rPr>
          <w:rFonts w:hint="eastAsia"/>
          <w:color w:val="000000" w:themeColor="text1"/>
        </w:rPr>
        <w:t>等</w:t>
      </w:r>
      <w:r w:rsidR="008863EE" w:rsidRPr="008B619A">
        <w:rPr>
          <w:rFonts w:hint="eastAsia"/>
          <w:color w:val="000000" w:themeColor="text1"/>
        </w:rPr>
        <w:t>情</w:t>
      </w:r>
      <w:r w:rsidR="00C23C01" w:rsidRPr="008B619A">
        <w:rPr>
          <w:rFonts w:hint="eastAsia"/>
          <w:color w:val="000000" w:themeColor="text1"/>
        </w:rPr>
        <w:t>，</w:t>
      </w:r>
      <w:r w:rsidR="00B339B7" w:rsidRPr="008B619A">
        <w:rPr>
          <w:rFonts w:hint="eastAsia"/>
          <w:color w:val="000000" w:themeColor="text1"/>
        </w:rPr>
        <w:t>綜整</w:t>
      </w:r>
      <w:r w:rsidR="003C15EE" w:rsidRPr="008B619A">
        <w:rPr>
          <w:rFonts w:hint="eastAsia"/>
          <w:color w:val="000000" w:themeColor="text1"/>
        </w:rPr>
        <w:t>各項研究結果</w:t>
      </w:r>
      <w:r w:rsidR="00C23C01" w:rsidRPr="008B619A">
        <w:rPr>
          <w:rFonts w:hint="eastAsia"/>
          <w:color w:val="000000" w:themeColor="text1"/>
        </w:rPr>
        <w:t>摘要如后</w:t>
      </w:r>
      <w:r w:rsidR="008863EE" w:rsidRPr="008B619A">
        <w:rPr>
          <w:rFonts w:hint="eastAsia"/>
          <w:color w:val="000000" w:themeColor="text1"/>
        </w:rPr>
        <w:t>：</w:t>
      </w:r>
    </w:p>
    <w:p w14:paraId="79C0D6E1" w14:textId="28BC2807" w:rsidR="00ED2E26" w:rsidRPr="008B619A" w:rsidRDefault="005B7BA2" w:rsidP="008863EE">
      <w:pPr>
        <w:pStyle w:val="4"/>
        <w:rPr>
          <w:color w:val="000000" w:themeColor="text1"/>
        </w:rPr>
      </w:pPr>
      <w:r w:rsidRPr="008B619A">
        <w:rPr>
          <w:rFonts w:hint="eastAsia"/>
          <w:color w:val="000000" w:themeColor="text1"/>
        </w:rPr>
        <w:t>99學年</w:t>
      </w:r>
      <w:r w:rsidR="00EA3A62" w:rsidRPr="008B619A">
        <w:rPr>
          <w:rFonts w:hint="eastAsia"/>
          <w:color w:val="000000" w:themeColor="text1"/>
        </w:rPr>
        <w:t>度我國大專校院</w:t>
      </w:r>
      <w:r w:rsidR="00EA3A62" w:rsidRPr="008B619A">
        <w:rPr>
          <w:color w:val="000000" w:themeColor="text1"/>
        </w:rPr>
        <w:t>50歲以上教師</w:t>
      </w:r>
      <w:r w:rsidR="00EA3A62" w:rsidRPr="008B619A">
        <w:rPr>
          <w:rFonts w:hint="eastAsia"/>
          <w:color w:val="000000" w:themeColor="text1"/>
        </w:rPr>
        <w:t>人數為</w:t>
      </w:r>
      <w:r w:rsidR="006C7755" w:rsidRPr="008B619A">
        <w:rPr>
          <w:rFonts w:hint="eastAsia"/>
          <w:color w:val="000000" w:themeColor="text1"/>
        </w:rPr>
        <w:t>18</w:t>
      </w:r>
      <w:r w:rsidR="006C7755" w:rsidRPr="008B619A">
        <w:rPr>
          <w:color w:val="000000" w:themeColor="text1"/>
        </w:rPr>
        <w:t>,188</w:t>
      </w:r>
      <w:r w:rsidR="00EA3A62" w:rsidRPr="008B619A">
        <w:rPr>
          <w:rFonts w:hint="eastAsia"/>
          <w:color w:val="000000" w:themeColor="text1"/>
        </w:rPr>
        <w:t>人，占</w:t>
      </w:r>
      <w:r w:rsidR="00F45AC2" w:rsidRPr="008B619A">
        <w:rPr>
          <w:rFonts w:hint="eastAsia"/>
          <w:color w:val="000000" w:themeColor="text1"/>
        </w:rPr>
        <w:t>整體專任教師數</w:t>
      </w:r>
      <w:r w:rsidR="001316DF" w:rsidRPr="008B619A">
        <w:rPr>
          <w:color w:val="000000" w:themeColor="text1"/>
        </w:rPr>
        <w:t>50,684</w:t>
      </w:r>
      <w:r w:rsidR="001316DF" w:rsidRPr="008B619A">
        <w:rPr>
          <w:rFonts w:hint="eastAsia"/>
          <w:color w:val="000000" w:themeColor="text1"/>
        </w:rPr>
        <w:t>人之</w:t>
      </w:r>
      <w:r w:rsidR="00D71523" w:rsidRPr="008B619A">
        <w:rPr>
          <w:rFonts w:hint="eastAsia"/>
          <w:color w:val="000000" w:themeColor="text1"/>
        </w:rPr>
        <w:t>36.0</w:t>
      </w:r>
      <w:r w:rsidR="00EA3A62" w:rsidRPr="008B619A">
        <w:rPr>
          <w:rFonts w:hint="eastAsia"/>
          <w:color w:val="000000" w:themeColor="text1"/>
        </w:rPr>
        <w:t>%</w:t>
      </w:r>
      <w:r w:rsidRPr="008B619A">
        <w:rPr>
          <w:rFonts w:hint="eastAsia"/>
          <w:color w:val="000000" w:themeColor="text1"/>
        </w:rPr>
        <w:t>；</w:t>
      </w:r>
      <w:r w:rsidR="00B1183E" w:rsidRPr="008B619A">
        <w:rPr>
          <w:rFonts w:hint="eastAsia"/>
          <w:color w:val="000000" w:themeColor="text1"/>
        </w:rPr>
        <w:t>104學年度我國大專校院</w:t>
      </w:r>
      <w:r w:rsidR="00B1183E" w:rsidRPr="008B619A">
        <w:rPr>
          <w:color w:val="000000" w:themeColor="text1"/>
        </w:rPr>
        <w:t>50歲以上教師</w:t>
      </w:r>
      <w:r w:rsidR="00B1183E" w:rsidRPr="008B619A">
        <w:rPr>
          <w:rFonts w:hint="eastAsia"/>
          <w:color w:val="000000" w:themeColor="text1"/>
        </w:rPr>
        <w:t>人數為</w:t>
      </w:r>
      <w:r w:rsidR="00AB32AB" w:rsidRPr="008B619A">
        <w:rPr>
          <w:color w:val="000000" w:themeColor="text1"/>
        </w:rPr>
        <w:t>24,035</w:t>
      </w:r>
      <w:r w:rsidR="00B1183E" w:rsidRPr="008B619A">
        <w:rPr>
          <w:rFonts w:hint="eastAsia"/>
          <w:color w:val="000000" w:themeColor="text1"/>
        </w:rPr>
        <w:t>人，占整體專任教師數</w:t>
      </w:r>
      <w:r w:rsidR="000A124F" w:rsidRPr="008B619A">
        <w:rPr>
          <w:color w:val="000000" w:themeColor="text1"/>
        </w:rPr>
        <w:t>48,696</w:t>
      </w:r>
      <w:r w:rsidR="00B1183E" w:rsidRPr="008B619A">
        <w:rPr>
          <w:rFonts w:hint="eastAsia"/>
          <w:color w:val="000000" w:themeColor="text1"/>
        </w:rPr>
        <w:t>人之</w:t>
      </w:r>
      <w:r w:rsidR="002529CF" w:rsidRPr="008B619A">
        <w:rPr>
          <w:color w:val="000000" w:themeColor="text1"/>
        </w:rPr>
        <w:t>49.3</w:t>
      </w:r>
      <w:r w:rsidR="00B1183E" w:rsidRPr="008B619A">
        <w:rPr>
          <w:rFonts w:hint="eastAsia"/>
          <w:color w:val="000000" w:themeColor="text1"/>
        </w:rPr>
        <w:t>%</w:t>
      </w:r>
      <w:r w:rsidR="00850E0F" w:rsidRPr="008B619A">
        <w:rPr>
          <w:rFonts w:hint="eastAsia"/>
          <w:color w:val="000000" w:themeColor="text1"/>
        </w:rPr>
        <w:t>，</w:t>
      </w:r>
      <w:r w:rsidRPr="008B619A">
        <w:rPr>
          <w:rFonts w:hint="eastAsia"/>
          <w:color w:val="000000" w:themeColor="text1"/>
        </w:rPr>
        <w:t>至</w:t>
      </w:r>
      <w:r w:rsidR="00FA1DA1" w:rsidRPr="008B619A">
        <w:rPr>
          <w:rFonts w:hint="eastAsia"/>
          <w:color w:val="000000" w:themeColor="text1"/>
        </w:rPr>
        <w:t>1</w:t>
      </w:r>
      <w:r w:rsidR="00A1075B" w:rsidRPr="008B619A">
        <w:rPr>
          <w:rFonts w:hint="eastAsia"/>
          <w:color w:val="000000" w:themeColor="text1"/>
        </w:rPr>
        <w:t>08學年度</w:t>
      </w:r>
      <w:r w:rsidR="006B2EFA" w:rsidRPr="008B619A">
        <w:rPr>
          <w:rFonts w:hint="eastAsia"/>
          <w:color w:val="000000" w:themeColor="text1"/>
        </w:rPr>
        <w:t>我國大專校院</w:t>
      </w:r>
      <w:r w:rsidR="006B2EFA" w:rsidRPr="008B619A">
        <w:rPr>
          <w:color w:val="000000" w:themeColor="text1"/>
        </w:rPr>
        <w:t>50歲以上教師</w:t>
      </w:r>
      <w:r w:rsidR="006B2EFA" w:rsidRPr="008B619A">
        <w:rPr>
          <w:rFonts w:hint="eastAsia"/>
          <w:color w:val="000000" w:themeColor="text1"/>
        </w:rPr>
        <w:t>人數為</w:t>
      </w:r>
      <w:r w:rsidR="005E4218" w:rsidRPr="008B619A">
        <w:rPr>
          <w:rFonts w:hint="eastAsia"/>
          <w:color w:val="000000" w:themeColor="text1"/>
        </w:rPr>
        <w:t>27</w:t>
      </w:r>
      <w:r w:rsidR="005E4218" w:rsidRPr="008B619A">
        <w:rPr>
          <w:color w:val="000000" w:themeColor="text1"/>
        </w:rPr>
        <w:t>,10</w:t>
      </w:r>
      <w:r w:rsidR="005E4218" w:rsidRPr="008B619A">
        <w:rPr>
          <w:rFonts w:hint="eastAsia"/>
          <w:color w:val="000000" w:themeColor="text1"/>
        </w:rPr>
        <w:t>7人，</w:t>
      </w:r>
      <w:r w:rsidR="0044560F" w:rsidRPr="008B619A">
        <w:rPr>
          <w:rFonts w:hint="eastAsia"/>
          <w:color w:val="000000" w:themeColor="text1"/>
        </w:rPr>
        <w:t>占比</w:t>
      </w:r>
      <w:r w:rsidR="00C9079A" w:rsidRPr="008B619A">
        <w:rPr>
          <w:rFonts w:hint="eastAsia"/>
          <w:color w:val="000000" w:themeColor="text1"/>
        </w:rPr>
        <w:t>已</w:t>
      </w:r>
      <w:r w:rsidR="0044560F" w:rsidRPr="008B619A">
        <w:rPr>
          <w:rFonts w:hint="eastAsia"/>
          <w:color w:val="000000" w:themeColor="text1"/>
        </w:rPr>
        <w:t>達</w:t>
      </w:r>
      <w:r w:rsidR="0039108E" w:rsidRPr="008B619A">
        <w:rPr>
          <w:rFonts w:hint="eastAsia"/>
          <w:color w:val="000000" w:themeColor="text1"/>
        </w:rPr>
        <w:t>58.8%。</w:t>
      </w:r>
    </w:p>
    <w:p w14:paraId="24AF6A0F" w14:textId="77777777" w:rsidR="00FA1DA1" w:rsidRPr="008B619A" w:rsidRDefault="00FA1DA1" w:rsidP="00FA1DA1">
      <w:pPr>
        <w:rPr>
          <w:color w:val="000000" w:themeColor="text1"/>
        </w:rPr>
      </w:pPr>
      <w:r w:rsidRPr="008B619A">
        <w:rPr>
          <w:noProof/>
          <w:color w:val="000000" w:themeColor="text1"/>
        </w:rPr>
        <w:lastRenderedPageBreak/>
        <w:drawing>
          <wp:inline distT="0" distB="0" distL="0" distR="0" wp14:anchorId="1F83E0C7" wp14:editId="154C8CF6">
            <wp:extent cx="5518406" cy="3359071"/>
            <wp:effectExtent l="0" t="0" r="6350" b="0"/>
            <wp:docPr id="15" name="圖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圖片 15"/>
                    <pic:cNvPicPr/>
                  </pic:nvPicPr>
                  <pic:blipFill>
                    <a:blip r:embed="rId15">
                      <a:extLst>
                        <a:ext uri="{28A0092B-C50C-407E-A947-70E740481C1C}">
                          <a14:useLocalDpi xmlns:a14="http://schemas.microsoft.com/office/drawing/2010/main" val="0"/>
                        </a:ext>
                      </a:extLst>
                    </a:blip>
                    <a:stretch>
                      <a:fillRect/>
                    </a:stretch>
                  </pic:blipFill>
                  <pic:spPr>
                    <a:xfrm>
                      <a:off x="0" y="0"/>
                      <a:ext cx="5544541" cy="3374980"/>
                    </a:xfrm>
                    <a:prstGeom prst="rect">
                      <a:avLst/>
                    </a:prstGeom>
                  </pic:spPr>
                </pic:pic>
              </a:graphicData>
            </a:graphic>
          </wp:inline>
        </w:drawing>
      </w:r>
    </w:p>
    <w:p w14:paraId="7884863B" w14:textId="77777777" w:rsidR="00FA1DA1" w:rsidRPr="008B619A" w:rsidRDefault="00FA1DA1" w:rsidP="00FA1DA1">
      <w:pPr>
        <w:pStyle w:val="a1"/>
        <w:spacing w:after="120"/>
        <w:ind w:left="482" w:hanging="482"/>
        <w:rPr>
          <w:b/>
          <w:bCs w:val="0"/>
          <w:color w:val="000000" w:themeColor="text1"/>
        </w:rPr>
      </w:pPr>
      <w:r w:rsidRPr="008B619A">
        <w:rPr>
          <w:b/>
          <w:bCs w:val="0"/>
          <w:color w:val="000000" w:themeColor="text1"/>
        </w:rPr>
        <w:t>大學校院教師年齡分配結構</w:t>
      </w:r>
    </w:p>
    <w:p w14:paraId="0F1E7BE6" w14:textId="77777777" w:rsidR="00FA1DA1" w:rsidRPr="008B619A" w:rsidRDefault="00FA1DA1" w:rsidP="00FA1DA1">
      <w:pPr>
        <w:spacing w:afterLines="50" w:after="228" w:line="240" w:lineRule="exact"/>
        <w:jc w:val="center"/>
        <w:rPr>
          <w:color w:val="000000" w:themeColor="text1"/>
          <w:sz w:val="24"/>
          <w:szCs w:val="24"/>
        </w:rPr>
      </w:pPr>
      <w:r w:rsidRPr="008B619A">
        <w:rPr>
          <w:rFonts w:hint="eastAsia"/>
          <w:color w:val="000000" w:themeColor="text1"/>
          <w:sz w:val="24"/>
          <w:szCs w:val="24"/>
        </w:rPr>
        <w:t>資料來源：教育部統計處。</w:t>
      </w:r>
    </w:p>
    <w:p w14:paraId="622C0234" w14:textId="754DC6C7" w:rsidR="00C106D8" w:rsidRPr="008B619A" w:rsidRDefault="00AE0C7D" w:rsidP="008863EE">
      <w:pPr>
        <w:pStyle w:val="4"/>
        <w:rPr>
          <w:color w:val="000000" w:themeColor="text1"/>
        </w:rPr>
      </w:pPr>
      <w:r w:rsidRPr="008B619A">
        <w:rPr>
          <w:rFonts w:hint="eastAsia"/>
          <w:color w:val="000000" w:themeColor="text1"/>
        </w:rPr>
        <w:t>反之，</w:t>
      </w:r>
      <w:r w:rsidR="0050106B" w:rsidRPr="008B619A">
        <w:rPr>
          <w:rFonts w:hint="eastAsia"/>
          <w:color w:val="000000" w:themeColor="text1"/>
        </w:rPr>
        <w:t>國際比較</w:t>
      </w:r>
      <w:r w:rsidR="00C106D8" w:rsidRPr="008B619A">
        <w:rPr>
          <w:rFonts w:hint="eastAsia"/>
          <w:color w:val="000000" w:themeColor="text1"/>
        </w:rPr>
        <w:t>研究</w:t>
      </w:r>
      <w:r w:rsidR="0050106B" w:rsidRPr="008B619A">
        <w:rPr>
          <w:rFonts w:hint="eastAsia"/>
          <w:color w:val="000000" w:themeColor="text1"/>
        </w:rPr>
        <w:t>顯示，</w:t>
      </w:r>
      <w:r w:rsidR="00C106D8" w:rsidRPr="008B619A">
        <w:rPr>
          <w:color w:val="000000" w:themeColor="text1"/>
        </w:rPr>
        <w:t>我國</w:t>
      </w:r>
      <w:r w:rsidR="008863EE" w:rsidRPr="008B619A">
        <w:rPr>
          <w:color w:val="000000" w:themeColor="text1"/>
        </w:rPr>
        <w:t>大專校院</w:t>
      </w:r>
      <w:r w:rsidR="00C106D8" w:rsidRPr="008B619A">
        <w:rPr>
          <w:color w:val="000000" w:themeColor="text1"/>
        </w:rPr>
        <w:t>50歲以上教師比率高於日本及南韓</w:t>
      </w:r>
      <w:r w:rsidR="00C106D8" w:rsidRPr="008B619A">
        <w:rPr>
          <w:rStyle w:val="aff1"/>
          <w:color w:val="000000" w:themeColor="text1"/>
        </w:rPr>
        <w:footnoteReference w:id="50"/>
      </w:r>
      <w:r w:rsidR="00C106D8" w:rsidRPr="008B619A">
        <w:rPr>
          <w:rFonts w:hint="eastAsia"/>
          <w:color w:val="000000" w:themeColor="text1"/>
        </w:rPr>
        <w:t>：</w:t>
      </w:r>
      <w:r w:rsidR="00956730" w:rsidRPr="008B619A">
        <w:rPr>
          <w:color w:val="000000" w:themeColor="text1"/>
        </w:rPr>
        <w:t>觀察2018年主要國家各級學校50歲以上教師所占比率，我國國小為18.2%，較南韓高3.2個百分點，惟低於美、日及OECD國家平均逾10</w:t>
      </w:r>
      <w:r w:rsidR="00956730" w:rsidRPr="008B619A">
        <w:rPr>
          <w:rFonts w:hint="eastAsia"/>
          <w:color w:val="000000" w:themeColor="text1"/>
        </w:rPr>
        <w:t>%</w:t>
      </w:r>
      <w:r w:rsidR="00956730" w:rsidRPr="008B619A">
        <w:rPr>
          <w:color w:val="000000" w:themeColor="text1"/>
        </w:rPr>
        <w:t>；國中及高級中等學校分別為15.7%及21.7%，皆顯著低於美、日、韓及OECD國家平均；至我國大專校院為56.6%，占比居各等級之首，且高於日本之45.7%及南韓之46.2%</w:t>
      </w:r>
      <w:r w:rsidR="00C106D8" w:rsidRPr="008B619A">
        <w:rPr>
          <w:color w:val="000000" w:themeColor="text1"/>
        </w:rPr>
        <w:t>。</w:t>
      </w:r>
    </w:p>
    <w:p w14:paraId="4D5D61CD" w14:textId="77777777" w:rsidR="00C106D8" w:rsidRPr="008B619A" w:rsidRDefault="00C106D8" w:rsidP="00AC21D6">
      <w:pPr>
        <w:jc w:val="center"/>
        <w:rPr>
          <w:color w:val="000000" w:themeColor="text1"/>
        </w:rPr>
      </w:pPr>
      <w:r w:rsidRPr="008B619A">
        <w:rPr>
          <w:noProof/>
          <w:color w:val="000000" w:themeColor="text1"/>
        </w:rPr>
        <w:lastRenderedPageBreak/>
        <w:drawing>
          <wp:inline distT="0" distB="0" distL="0" distR="0" wp14:anchorId="1EF745B5" wp14:editId="796A6CA1">
            <wp:extent cx="5653377" cy="2976243"/>
            <wp:effectExtent l="0" t="0" r="5080" b="0"/>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圖片 12"/>
                    <pic:cNvPicPr/>
                  </pic:nvPicPr>
                  <pic:blipFill>
                    <a:blip r:embed="rId16">
                      <a:extLst>
                        <a:ext uri="{28A0092B-C50C-407E-A947-70E740481C1C}">
                          <a14:useLocalDpi xmlns:a14="http://schemas.microsoft.com/office/drawing/2010/main" val="0"/>
                        </a:ext>
                      </a:extLst>
                    </a:blip>
                    <a:stretch>
                      <a:fillRect/>
                    </a:stretch>
                  </pic:blipFill>
                  <pic:spPr>
                    <a:xfrm>
                      <a:off x="0" y="0"/>
                      <a:ext cx="5669627" cy="2984798"/>
                    </a:xfrm>
                    <a:prstGeom prst="rect">
                      <a:avLst/>
                    </a:prstGeom>
                  </pic:spPr>
                </pic:pic>
              </a:graphicData>
            </a:graphic>
          </wp:inline>
        </w:drawing>
      </w:r>
    </w:p>
    <w:p w14:paraId="127DD84E" w14:textId="77777777" w:rsidR="00C106D8" w:rsidRPr="008B619A" w:rsidRDefault="00C106D8" w:rsidP="00C106D8">
      <w:pPr>
        <w:pStyle w:val="a1"/>
        <w:spacing w:after="120"/>
        <w:ind w:left="482" w:hanging="482"/>
        <w:rPr>
          <w:b/>
          <w:bCs w:val="0"/>
          <w:color w:val="000000" w:themeColor="text1"/>
        </w:rPr>
      </w:pPr>
      <w:r w:rsidRPr="008B619A">
        <w:rPr>
          <w:rFonts w:hint="eastAsia"/>
          <w:b/>
          <w:bCs w:val="0"/>
          <w:color w:val="000000" w:themeColor="text1"/>
        </w:rPr>
        <w:t>2018年主要國家各級學校50歲以上教師比率</w:t>
      </w:r>
    </w:p>
    <w:p w14:paraId="00DFF238" w14:textId="77777777" w:rsidR="00C106D8" w:rsidRPr="008B619A" w:rsidRDefault="00C106D8" w:rsidP="00C106D8">
      <w:pPr>
        <w:spacing w:afterLines="50" w:after="228" w:line="240" w:lineRule="exact"/>
        <w:jc w:val="center"/>
        <w:rPr>
          <w:color w:val="000000" w:themeColor="text1"/>
          <w:sz w:val="24"/>
          <w:szCs w:val="24"/>
        </w:rPr>
      </w:pPr>
      <w:r w:rsidRPr="008B619A">
        <w:rPr>
          <w:rFonts w:hint="eastAsia"/>
          <w:color w:val="000000" w:themeColor="text1"/>
          <w:sz w:val="24"/>
          <w:szCs w:val="24"/>
        </w:rPr>
        <w:t>資料來源：教育部統計處。</w:t>
      </w:r>
    </w:p>
    <w:p w14:paraId="74D042F5" w14:textId="77777777" w:rsidR="0046300B" w:rsidRPr="008B619A" w:rsidRDefault="0046300B" w:rsidP="0046300B">
      <w:pPr>
        <w:pStyle w:val="4"/>
        <w:rPr>
          <w:color w:val="000000" w:themeColor="text1"/>
        </w:rPr>
      </w:pPr>
      <w:r w:rsidRPr="008B619A">
        <w:rPr>
          <w:rFonts w:hint="eastAsia"/>
          <w:color w:val="000000" w:themeColor="text1"/>
        </w:rPr>
        <w:t>復以NPHRST之博士趨勢觀察</w:t>
      </w:r>
      <w:r w:rsidRPr="008B619A">
        <w:rPr>
          <w:rStyle w:val="aff1"/>
          <w:color w:val="000000" w:themeColor="text1"/>
        </w:rPr>
        <w:footnoteReference w:id="51"/>
      </w:r>
      <w:r w:rsidRPr="008B619A">
        <w:rPr>
          <w:rFonts w:hint="eastAsia"/>
          <w:color w:val="000000" w:themeColor="text1"/>
        </w:rPr>
        <w:t>，近10年</w:t>
      </w:r>
      <w:r w:rsidRPr="008B619A">
        <w:rPr>
          <w:rFonts w:hAnsi="標楷體" w:hint="eastAsia"/>
          <w:color w:val="000000" w:themeColor="text1"/>
        </w:rPr>
        <w:t>（</w:t>
      </w:r>
      <w:r w:rsidRPr="008B619A">
        <w:rPr>
          <w:rFonts w:hint="eastAsia"/>
          <w:color w:val="000000" w:themeColor="text1"/>
        </w:rPr>
        <w:t>99年至108年</w:t>
      </w:r>
      <w:r w:rsidRPr="008B619A">
        <w:rPr>
          <w:rFonts w:hAnsi="標楷體" w:hint="eastAsia"/>
          <w:color w:val="000000" w:themeColor="text1"/>
        </w:rPr>
        <w:t>）</w:t>
      </w:r>
      <w:r w:rsidRPr="008B619A">
        <w:rPr>
          <w:color w:val="000000" w:themeColor="text1"/>
        </w:rPr>
        <w:t>44歲以下年輕博士占比，男性由99年的38.2%降至108年的23.9%，降幅達14.3%，女性則由99年的50.2%下滑至108年的27.0%，下降比率超過兩成</w:t>
      </w:r>
      <w:r w:rsidRPr="008B619A">
        <w:rPr>
          <w:rFonts w:hAnsi="標楷體" w:hint="eastAsia"/>
          <w:color w:val="000000" w:themeColor="text1"/>
        </w:rPr>
        <w:t>（</w:t>
      </w:r>
      <w:r w:rsidRPr="008B619A">
        <w:rPr>
          <w:color w:val="000000" w:themeColor="text1"/>
        </w:rPr>
        <w:t>23.2%</w:t>
      </w:r>
      <w:r w:rsidRPr="008B619A">
        <w:rPr>
          <w:rFonts w:hAnsi="標楷體" w:hint="eastAsia"/>
          <w:color w:val="000000" w:themeColor="text1"/>
        </w:rPr>
        <w:t>）</w:t>
      </w:r>
      <w:r w:rsidRPr="008B619A">
        <w:rPr>
          <w:rFonts w:hint="eastAsia"/>
          <w:color w:val="000000" w:themeColor="text1"/>
        </w:rPr>
        <w:t>。</w:t>
      </w:r>
    </w:p>
    <w:p w14:paraId="2226F0C6" w14:textId="542A17F5" w:rsidR="0039059A" w:rsidRPr="008B619A" w:rsidRDefault="001B0984" w:rsidP="006400F0">
      <w:pPr>
        <w:pStyle w:val="3"/>
        <w:rPr>
          <w:color w:val="000000" w:themeColor="text1"/>
        </w:rPr>
      </w:pPr>
      <w:r w:rsidRPr="008B619A">
        <w:rPr>
          <w:rFonts w:hint="eastAsia"/>
          <w:color w:val="000000" w:themeColor="text1"/>
        </w:rPr>
        <w:t>探究</w:t>
      </w:r>
      <w:r w:rsidR="002F3F4B" w:rsidRPr="008B619A">
        <w:rPr>
          <w:rFonts w:hint="eastAsia"/>
          <w:bCs w:val="0"/>
          <w:color w:val="000000" w:themeColor="text1"/>
          <w:szCs w:val="32"/>
        </w:rPr>
        <w:t>104</w:t>
      </w:r>
      <w:r w:rsidR="0039059A" w:rsidRPr="008B619A">
        <w:rPr>
          <w:rFonts w:hint="eastAsia"/>
          <w:bCs w:val="0"/>
          <w:color w:val="000000" w:themeColor="text1"/>
          <w:szCs w:val="32"/>
        </w:rPr>
        <w:t>至109學年大專校院教授延長服務</w:t>
      </w:r>
      <w:r w:rsidR="003A16FA" w:rsidRPr="008B619A">
        <w:rPr>
          <w:rFonts w:hint="eastAsia"/>
          <w:bCs w:val="0"/>
          <w:color w:val="000000" w:themeColor="text1"/>
          <w:szCs w:val="32"/>
        </w:rPr>
        <w:t>情形，</w:t>
      </w:r>
      <w:r w:rsidR="002F3F4B" w:rsidRPr="008B619A">
        <w:rPr>
          <w:rFonts w:hint="eastAsia"/>
          <w:bCs w:val="0"/>
          <w:color w:val="000000" w:themeColor="text1"/>
          <w:szCs w:val="32"/>
        </w:rPr>
        <w:t>公立大學部分逐年攀升，尤其以一般大學數量較高，</w:t>
      </w:r>
      <w:r w:rsidR="001F5653" w:rsidRPr="008B619A">
        <w:rPr>
          <w:rFonts w:hint="eastAsia"/>
          <w:bCs w:val="0"/>
          <w:color w:val="000000" w:themeColor="text1"/>
          <w:szCs w:val="32"/>
        </w:rPr>
        <w:t>私立大學則逐年降低</w:t>
      </w:r>
      <w:r w:rsidR="00C01DB4" w:rsidRPr="008B619A">
        <w:rPr>
          <w:rFonts w:hint="eastAsia"/>
          <w:bCs w:val="0"/>
          <w:color w:val="000000" w:themeColor="text1"/>
          <w:szCs w:val="32"/>
        </w:rPr>
        <w:t>；</w:t>
      </w:r>
      <w:r w:rsidR="002F3F4B" w:rsidRPr="008B619A">
        <w:rPr>
          <w:rFonts w:hint="eastAsia"/>
          <w:bCs w:val="0"/>
          <w:color w:val="000000" w:themeColor="text1"/>
          <w:szCs w:val="32"/>
        </w:rPr>
        <w:t>實際情形詳如下表：</w:t>
      </w:r>
    </w:p>
    <w:p w14:paraId="40FBFB19" w14:textId="2FDE82A6" w:rsidR="00905D88" w:rsidRPr="008B619A" w:rsidRDefault="00264E15" w:rsidP="00905D88">
      <w:pPr>
        <w:pStyle w:val="a3"/>
        <w:ind w:left="1281" w:hanging="1281"/>
        <w:jc w:val="center"/>
        <w:rPr>
          <w:color w:val="000000" w:themeColor="text1"/>
        </w:rPr>
      </w:pPr>
      <w:r w:rsidRPr="008B619A">
        <w:rPr>
          <w:rFonts w:hint="eastAsia"/>
          <w:b/>
          <w:color w:val="000000" w:themeColor="text1"/>
          <w:szCs w:val="32"/>
        </w:rPr>
        <w:t>104</w:t>
      </w:r>
      <w:r w:rsidR="00B850C4" w:rsidRPr="008B619A">
        <w:rPr>
          <w:rFonts w:hint="eastAsia"/>
          <w:b/>
          <w:color w:val="000000" w:themeColor="text1"/>
          <w:szCs w:val="32"/>
        </w:rPr>
        <w:t>至109學年大專校院教授延長服務之實際情形</w:t>
      </w:r>
    </w:p>
    <w:p w14:paraId="5074544D" w14:textId="1C9661FE" w:rsidR="003417DA" w:rsidRPr="008B619A" w:rsidRDefault="003417DA" w:rsidP="00643D6C">
      <w:pPr>
        <w:jc w:val="right"/>
        <w:rPr>
          <w:color w:val="000000" w:themeColor="text1"/>
          <w:sz w:val="24"/>
          <w:szCs w:val="24"/>
        </w:rPr>
      </w:pPr>
      <w:r w:rsidRPr="008B619A">
        <w:rPr>
          <w:rFonts w:hint="eastAsia"/>
          <w:color w:val="000000" w:themeColor="text1"/>
          <w:sz w:val="24"/>
          <w:szCs w:val="24"/>
        </w:rPr>
        <w:t>單位：人；%</w:t>
      </w:r>
    </w:p>
    <w:tbl>
      <w:tblPr>
        <w:tblStyle w:val="54"/>
        <w:tblW w:w="5614" w:type="pct"/>
        <w:jc w:val="center"/>
        <w:tblLayout w:type="fixed"/>
        <w:tblLook w:val="0000" w:firstRow="0" w:lastRow="0" w:firstColumn="0" w:lastColumn="0" w:noHBand="0" w:noVBand="0"/>
      </w:tblPr>
      <w:tblGrid>
        <w:gridCol w:w="628"/>
        <w:gridCol w:w="771"/>
        <w:gridCol w:w="773"/>
        <w:gridCol w:w="772"/>
        <w:gridCol w:w="774"/>
        <w:gridCol w:w="768"/>
        <w:gridCol w:w="772"/>
        <w:gridCol w:w="770"/>
        <w:gridCol w:w="772"/>
        <w:gridCol w:w="768"/>
        <w:gridCol w:w="772"/>
        <w:gridCol w:w="770"/>
        <w:gridCol w:w="809"/>
      </w:tblGrid>
      <w:tr w:rsidR="003417DA" w:rsidRPr="008B619A" w14:paraId="241FBDE3" w14:textId="77777777" w:rsidTr="00643D6C">
        <w:trPr>
          <w:trHeight w:val="330"/>
          <w:tblHeader/>
          <w:jc w:val="center"/>
        </w:trPr>
        <w:tc>
          <w:tcPr>
            <w:tcW w:w="317" w:type="pct"/>
            <w:vMerge w:val="restart"/>
            <w:shd w:val="clear" w:color="auto" w:fill="FFF2CC"/>
            <w:vAlign w:val="center"/>
          </w:tcPr>
          <w:p w14:paraId="19D2EF9B" w14:textId="77777777" w:rsidR="003417DA" w:rsidRPr="008B619A" w:rsidRDefault="003417DA" w:rsidP="005F4AB4">
            <w:pPr>
              <w:snapToGrid w:val="0"/>
              <w:spacing w:line="460" w:lineRule="atLeast"/>
              <w:jc w:val="center"/>
              <w:rPr>
                <w:rFonts w:hAnsi="標楷體" w:cs="新細明體"/>
                <w:b/>
                <w:color w:val="000000" w:themeColor="text1"/>
                <w:sz w:val="24"/>
                <w:szCs w:val="24"/>
                <w:lang w:bidi="hi-IN"/>
              </w:rPr>
            </w:pPr>
            <w:r w:rsidRPr="008B619A">
              <w:rPr>
                <w:rFonts w:hAnsi="標楷體" w:cs="新細明體"/>
                <w:b/>
                <w:color w:val="000000" w:themeColor="text1"/>
                <w:sz w:val="24"/>
                <w:szCs w:val="24"/>
                <w:lang w:bidi="hi-IN"/>
              </w:rPr>
              <w:t>年</w:t>
            </w:r>
          </w:p>
          <w:p w14:paraId="4C3EDAC9" w14:textId="77777777" w:rsidR="003417DA" w:rsidRPr="008B619A" w:rsidRDefault="003417DA" w:rsidP="005F4AB4">
            <w:pPr>
              <w:snapToGrid w:val="0"/>
              <w:spacing w:line="460" w:lineRule="atLeast"/>
              <w:jc w:val="center"/>
              <w:rPr>
                <w:rFonts w:hAnsi="標楷體"/>
                <w:b/>
                <w:color w:val="000000" w:themeColor="text1"/>
                <w:sz w:val="24"/>
                <w:szCs w:val="24"/>
              </w:rPr>
            </w:pPr>
            <w:r w:rsidRPr="008B619A">
              <w:rPr>
                <w:rFonts w:hAnsi="標楷體" w:cs="新細明體"/>
                <w:b/>
                <w:color w:val="000000" w:themeColor="text1"/>
                <w:sz w:val="24"/>
                <w:szCs w:val="24"/>
                <w:lang w:bidi="hi-IN"/>
              </w:rPr>
              <w:t>度</w:t>
            </w:r>
          </w:p>
        </w:tc>
        <w:tc>
          <w:tcPr>
            <w:tcW w:w="2334" w:type="pct"/>
            <w:gridSpan w:val="6"/>
            <w:tcBorders>
              <w:right w:val="double" w:sz="4" w:space="0" w:color="auto"/>
            </w:tcBorders>
            <w:shd w:val="clear" w:color="auto" w:fill="FFF2CC"/>
            <w:vAlign w:val="center"/>
          </w:tcPr>
          <w:p w14:paraId="225C23D1" w14:textId="77777777" w:rsidR="003417DA" w:rsidRPr="008B619A" w:rsidRDefault="003417DA" w:rsidP="005F4AB4">
            <w:pPr>
              <w:widowControl/>
              <w:jc w:val="center"/>
              <w:rPr>
                <w:rFonts w:hAnsi="標楷體" w:cs="新細明體"/>
                <w:b/>
                <w:color w:val="000000" w:themeColor="text1"/>
                <w:sz w:val="24"/>
                <w:szCs w:val="24"/>
                <w:lang w:bidi="hi-IN"/>
              </w:rPr>
            </w:pPr>
            <w:r w:rsidRPr="008B619A">
              <w:rPr>
                <w:rFonts w:hAnsi="標楷體" w:cs="新細明體" w:hint="eastAsia"/>
                <w:b/>
                <w:color w:val="000000" w:themeColor="text1"/>
                <w:sz w:val="24"/>
                <w:szCs w:val="24"/>
                <w:lang w:bidi="hi-IN"/>
              </w:rPr>
              <w:t>公立大學（教授、副教授）</w:t>
            </w:r>
          </w:p>
        </w:tc>
        <w:tc>
          <w:tcPr>
            <w:tcW w:w="2350" w:type="pct"/>
            <w:gridSpan w:val="6"/>
            <w:tcBorders>
              <w:left w:val="double" w:sz="4" w:space="0" w:color="auto"/>
            </w:tcBorders>
            <w:shd w:val="clear" w:color="auto" w:fill="FFF2CC"/>
          </w:tcPr>
          <w:p w14:paraId="43D6D7C0" w14:textId="77777777" w:rsidR="003417DA" w:rsidRPr="008B619A" w:rsidRDefault="003417DA" w:rsidP="005F4AB4">
            <w:pPr>
              <w:widowControl/>
              <w:jc w:val="center"/>
              <w:rPr>
                <w:rFonts w:hAnsi="標楷體" w:cs="新細明體"/>
                <w:b/>
                <w:bCs/>
                <w:color w:val="000000" w:themeColor="text1"/>
                <w:sz w:val="24"/>
                <w:szCs w:val="24"/>
                <w:lang w:bidi="hi-IN"/>
              </w:rPr>
            </w:pPr>
            <w:r w:rsidRPr="008B619A">
              <w:rPr>
                <w:rFonts w:hAnsi="標楷體" w:cs="新細明體" w:hint="eastAsia"/>
                <w:b/>
                <w:bCs/>
                <w:color w:val="000000" w:themeColor="text1"/>
                <w:sz w:val="24"/>
                <w:szCs w:val="24"/>
                <w:lang w:bidi="hi-IN"/>
              </w:rPr>
              <w:t>私立大學（教授）</w:t>
            </w:r>
          </w:p>
        </w:tc>
      </w:tr>
      <w:tr w:rsidR="00643D6C" w:rsidRPr="008B619A" w14:paraId="186A0E7F" w14:textId="77777777" w:rsidTr="00643D6C">
        <w:trPr>
          <w:trHeight w:val="330"/>
          <w:tblHeader/>
          <w:jc w:val="center"/>
        </w:trPr>
        <w:tc>
          <w:tcPr>
            <w:tcW w:w="317" w:type="pct"/>
            <w:vMerge/>
            <w:shd w:val="clear" w:color="auto" w:fill="FFF2CC"/>
            <w:vAlign w:val="center"/>
          </w:tcPr>
          <w:p w14:paraId="70C47ED6" w14:textId="77777777" w:rsidR="003417DA" w:rsidRPr="008B619A" w:rsidRDefault="003417DA" w:rsidP="005F4AB4">
            <w:pPr>
              <w:snapToGrid w:val="0"/>
              <w:spacing w:line="460" w:lineRule="atLeast"/>
              <w:jc w:val="center"/>
              <w:rPr>
                <w:rFonts w:hAnsi="標楷體" w:cs="新細明體"/>
                <w:b/>
                <w:color w:val="000000" w:themeColor="text1"/>
                <w:sz w:val="24"/>
                <w:szCs w:val="24"/>
                <w:lang w:bidi="hi-IN"/>
              </w:rPr>
            </w:pPr>
          </w:p>
        </w:tc>
        <w:tc>
          <w:tcPr>
            <w:tcW w:w="778" w:type="pct"/>
            <w:gridSpan w:val="2"/>
            <w:shd w:val="clear" w:color="auto" w:fill="FFF2CC"/>
            <w:vAlign w:val="center"/>
          </w:tcPr>
          <w:p w14:paraId="4424A18C" w14:textId="272D9615" w:rsidR="003417DA" w:rsidRPr="008B619A" w:rsidRDefault="003417DA" w:rsidP="00643D6C">
            <w:pPr>
              <w:snapToGrid w:val="0"/>
              <w:spacing w:line="360" w:lineRule="atLeast"/>
              <w:jc w:val="center"/>
              <w:rPr>
                <w:rFonts w:hAnsi="標楷體"/>
                <w:b/>
                <w:color w:val="000000" w:themeColor="text1"/>
                <w:sz w:val="24"/>
                <w:szCs w:val="24"/>
              </w:rPr>
            </w:pPr>
            <w:r w:rsidRPr="008B619A">
              <w:rPr>
                <w:rFonts w:hAnsi="標楷體"/>
                <w:b/>
                <w:color w:val="000000" w:themeColor="text1"/>
                <w:sz w:val="24"/>
                <w:szCs w:val="24"/>
              </w:rPr>
              <w:t>大學校院</w:t>
            </w:r>
          </w:p>
        </w:tc>
        <w:tc>
          <w:tcPr>
            <w:tcW w:w="779" w:type="pct"/>
            <w:gridSpan w:val="2"/>
            <w:shd w:val="clear" w:color="auto" w:fill="FFF2CC"/>
            <w:vAlign w:val="center"/>
          </w:tcPr>
          <w:p w14:paraId="253E8093" w14:textId="200627B2" w:rsidR="003417DA" w:rsidRPr="008B619A" w:rsidRDefault="003417DA" w:rsidP="00643D6C">
            <w:pPr>
              <w:snapToGrid w:val="0"/>
              <w:spacing w:line="360" w:lineRule="atLeast"/>
              <w:jc w:val="center"/>
              <w:rPr>
                <w:rFonts w:hAnsi="標楷體"/>
                <w:b/>
                <w:color w:val="000000" w:themeColor="text1"/>
                <w:sz w:val="24"/>
                <w:szCs w:val="24"/>
              </w:rPr>
            </w:pPr>
            <w:r w:rsidRPr="008B619A">
              <w:rPr>
                <w:rFonts w:hAnsi="標楷體"/>
                <w:b/>
                <w:color w:val="000000" w:themeColor="text1"/>
                <w:sz w:val="24"/>
                <w:szCs w:val="24"/>
              </w:rPr>
              <w:t>技職校院</w:t>
            </w:r>
          </w:p>
        </w:tc>
        <w:tc>
          <w:tcPr>
            <w:tcW w:w="776" w:type="pct"/>
            <w:gridSpan w:val="2"/>
            <w:tcBorders>
              <w:right w:val="double" w:sz="4" w:space="0" w:color="auto"/>
            </w:tcBorders>
            <w:shd w:val="clear" w:color="auto" w:fill="FFF2CC"/>
            <w:vAlign w:val="center"/>
          </w:tcPr>
          <w:p w14:paraId="69D747FD" w14:textId="77777777" w:rsidR="003417DA" w:rsidRPr="008B619A" w:rsidRDefault="003417DA" w:rsidP="005F4AB4">
            <w:pPr>
              <w:snapToGrid w:val="0"/>
              <w:spacing w:line="360" w:lineRule="atLeast"/>
              <w:jc w:val="center"/>
              <w:rPr>
                <w:rFonts w:hAnsi="標楷體"/>
                <w:b/>
                <w:color w:val="000000" w:themeColor="text1"/>
                <w:sz w:val="24"/>
                <w:szCs w:val="24"/>
              </w:rPr>
            </w:pPr>
            <w:r w:rsidRPr="008B619A">
              <w:rPr>
                <w:rFonts w:hAnsi="標楷體"/>
                <w:b/>
                <w:color w:val="000000" w:themeColor="text1"/>
                <w:sz w:val="24"/>
                <w:szCs w:val="24"/>
              </w:rPr>
              <w:t>小計</w:t>
            </w:r>
          </w:p>
        </w:tc>
        <w:tc>
          <w:tcPr>
            <w:tcW w:w="777" w:type="pct"/>
            <w:gridSpan w:val="2"/>
            <w:tcBorders>
              <w:left w:val="double" w:sz="4" w:space="0" w:color="auto"/>
            </w:tcBorders>
            <w:shd w:val="clear" w:color="auto" w:fill="FFF2CC"/>
            <w:vAlign w:val="center"/>
          </w:tcPr>
          <w:p w14:paraId="0B4B4767" w14:textId="1C2DB1AE" w:rsidR="003417DA" w:rsidRPr="008B619A" w:rsidRDefault="003417DA" w:rsidP="00643D6C">
            <w:pPr>
              <w:snapToGrid w:val="0"/>
              <w:spacing w:line="360" w:lineRule="atLeast"/>
              <w:jc w:val="center"/>
              <w:rPr>
                <w:rFonts w:hAnsi="標楷體"/>
                <w:b/>
                <w:color w:val="000000" w:themeColor="text1"/>
                <w:sz w:val="24"/>
                <w:szCs w:val="24"/>
              </w:rPr>
            </w:pPr>
            <w:r w:rsidRPr="008B619A">
              <w:rPr>
                <w:rFonts w:hAnsi="標楷體"/>
                <w:b/>
                <w:color w:val="000000" w:themeColor="text1"/>
                <w:sz w:val="24"/>
                <w:szCs w:val="24"/>
              </w:rPr>
              <w:t>大學校院</w:t>
            </w:r>
          </w:p>
        </w:tc>
        <w:tc>
          <w:tcPr>
            <w:tcW w:w="776" w:type="pct"/>
            <w:gridSpan w:val="2"/>
            <w:shd w:val="clear" w:color="auto" w:fill="FFF2CC"/>
            <w:vAlign w:val="center"/>
          </w:tcPr>
          <w:p w14:paraId="0E4F37F6" w14:textId="29722CCE" w:rsidR="003417DA" w:rsidRPr="008B619A" w:rsidRDefault="003417DA" w:rsidP="00643D6C">
            <w:pPr>
              <w:snapToGrid w:val="0"/>
              <w:spacing w:line="360" w:lineRule="atLeast"/>
              <w:jc w:val="center"/>
              <w:rPr>
                <w:rFonts w:hAnsi="標楷體"/>
                <w:b/>
                <w:color w:val="000000" w:themeColor="text1"/>
                <w:sz w:val="24"/>
                <w:szCs w:val="24"/>
              </w:rPr>
            </w:pPr>
            <w:r w:rsidRPr="008B619A">
              <w:rPr>
                <w:rFonts w:hAnsi="標楷體"/>
                <w:b/>
                <w:color w:val="000000" w:themeColor="text1"/>
                <w:sz w:val="24"/>
                <w:szCs w:val="24"/>
              </w:rPr>
              <w:t>技職校院</w:t>
            </w:r>
          </w:p>
        </w:tc>
        <w:tc>
          <w:tcPr>
            <w:tcW w:w="796" w:type="pct"/>
            <w:gridSpan w:val="2"/>
            <w:shd w:val="clear" w:color="auto" w:fill="FFF2CC"/>
            <w:vAlign w:val="center"/>
          </w:tcPr>
          <w:p w14:paraId="10228C39" w14:textId="77777777" w:rsidR="003417DA" w:rsidRPr="008B619A" w:rsidRDefault="003417DA" w:rsidP="005F4AB4">
            <w:pPr>
              <w:snapToGrid w:val="0"/>
              <w:spacing w:line="360" w:lineRule="atLeast"/>
              <w:jc w:val="center"/>
              <w:rPr>
                <w:rFonts w:hAnsi="標楷體"/>
                <w:b/>
                <w:color w:val="000000" w:themeColor="text1"/>
                <w:sz w:val="24"/>
                <w:szCs w:val="24"/>
              </w:rPr>
            </w:pPr>
            <w:r w:rsidRPr="008B619A">
              <w:rPr>
                <w:rFonts w:hAnsi="標楷體"/>
                <w:b/>
                <w:color w:val="000000" w:themeColor="text1"/>
                <w:sz w:val="24"/>
                <w:szCs w:val="24"/>
              </w:rPr>
              <w:t>小計</w:t>
            </w:r>
          </w:p>
        </w:tc>
      </w:tr>
      <w:tr w:rsidR="00643D6C" w:rsidRPr="008B619A" w14:paraId="7D3037E0" w14:textId="77777777" w:rsidTr="00643D6C">
        <w:trPr>
          <w:trHeight w:val="70"/>
          <w:tblHeader/>
          <w:jc w:val="center"/>
        </w:trPr>
        <w:tc>
          <w:tcPr>
            <w:tcW w:w="317" w:type="pct"/>
            <w:vMerge/>
            <w:vAlign w:val="center"/>
          </w:tcPr>
          <w:p w14:paraId="37BAE2EC" w14:textId="77777777" w:rsidR="003417DA" w:rsidRPr="008B619A" w:rsidRDefault="003417DA" w:rsidP="005F4AB4">
            <w:pPr>
              <w:snapToGrid w:val="0"/>
              <w:spacing w:line="460" w:lineRule="atLeast"/>
              <w:jc w:val="center"/>
              <w:rPr>
                <w:rFonts w:hAnsi="標楷體"/>
                <w:b/>
                <w:color w:val="000000" w:themeColor="text1"/>
                <w:sz w:val="24"/>
                <w:szCs w:val="24"/>
              </w:rPr>
            </w:pPr>
          </w:p>
        </w:tc>
        <w:tc>
          <w:tcPr>
            <w:tcW w:w="389" w:type="pct"/>
            <w:vAlign w:val="center"/>
          </w:tcPr>
          <w:p w14:paraId="17A047D6" w14:textId="77777777" w:rsidR="003417DA" w:rsidRPr="008B619A" w:rsidRDefault="003417DA" w:rsidP="00643D6C">
            <w:pPr>
              <w:widowControl/>
              <w:spacing w:line="240" w:lineRule="exact"/>
              <w:jc w:val="center"/>
              <w:rPr>
                <w:rFonts w:hAnsi="標楷體" w:cs="新細明體"/>
                <w:b/>
                <w:bCs/>
                <w:color w:val="000000" w:themeColor="text1"/>
                <w:sz w:val="20"/>
                <w:lang w:bidi="hi-IN"/>
              </w:rPr>
            </w:pPr>
            <w:r w:rsidRPr="008B619A">
              <w:rPr>
                <w:rFonts w:hAnsi="標楷體" w:cs="新細明體" w:hint="eastAsia"/>
                <w:b/>
                <w:bCs/>
                <w:color w:val="000000" w:themeColor="text1"/>
                <w:sz w:val="20"/>
                <w:lang w:bidi="hi-IN"/>
              </w:rPr>
              <w:t>人數</w:t>
            </w:r>
          </w:p>
        </w:tc>
        <w:tc>
          <w:tcPr>
            <w:tcW w:w="390" w:type="pct"/>
            <w:vAlign w:val="center"/>
          </w:tcPr>
          <w:p w14:paraId="7AF096E2" w14:textId="77777777" w:rsidR="003417DA" w:rsidRPr="008B619A" w:rsidRDefault="003417DA" w:rsidP="00643D6C">
            <w:pPr>
              <w:widowControl/>
              <w:spacing w:line="240" w:lineRule="exact"/>
              <w:jc w:val="center"/>
              <w:rPr>
                <w:rFonts w:hAnsi="標楷體" w:cs="新細明體"/>
                <w:b/>
                <w:bCs/>
                <w:color w:val="000000" w:themeColor="text1"/>
                <w:sz w:val="20"/>
                <w:lang w:bidi="hi-IN"/>
              </w:rPr>
            </w:pPr>
            <w:r w:rsidRPr="008B619A">
              <w:rPr>
                <w:rFonts w:hAnsi="標楷體" w:cs="新細明體" w:hint="eastAsia"/>
                <w:b/>
                <w:bCs/>
                <w:color w:val="000000" w:themeColor="text1"/>
                <w:sz w:val="20"/>
                <w:lang w:bidi="hi-IN"/>
              </w:rPr>
              <w:t>比率%</w:t>
            </w:r>
          </w:p>
        </w:tc>
        <w:tc>
          <w:tcPr>
            <w:tcW w:w="389" w:type="pct"/>
            <w:vAlign w:val="center"/>
          </w:tcPr>
          <w:p w14:paraId="7AD95A81" w14:textId="77777777" w:rsidR="003417DA" w:rsidRPr="008B619A" w:rsidRDefault="003417DA" w:rsidP="00643D6C">
            <w:pPr>
              <w:widowControl/>
              <w:spacing w:line="240" w:lineRule="exact"/>
              <w:jc w:val="center"/>
              <w:rPr>
                <w:rFonts w:hAnsi="標楷體" w:cs="新細明體"/>
                <w:b/>
                <w:bCs/>
                <w:color w:val="000000" w:themeColor="text1"/>
                <w:sz w:val="20"/>
                <w:lang w:bidi="hi-IN"/>
              </w:rPr>
            </w:pPr>
            <w:r w:rsidRPr="008B619A">
              <w:rPr>
                <w:rFonts w:hAnsi="標楷體" w:cs="新細明體" w:hint="eastAsia"/>
                <w:b/>
                <w:bCs/>
                <w:color w:val="000000" w:themeColor="text1"/>
                <w:sz w:val="20"/>
                <w:lang w:bidi="hi-IN"/>
              </w:rPr>
              <w:t>人數</w:t>
            </w:r>
          </w:p>
        </w:tc>
        <w:tc>
          <w:tcPr>
            <w:tcW w:w="390" w:type="pct"/>
            <w:vAlign w:val="center"/>
          </w:tcPr>
          <w:p w14:paraId="7F71F12F" w14:textId="77777777" w:rsidR="003417DA" w:rsidRPr="008B619A" w:rsidRDefault="003417DA" w:rsidP="00643D6C">
            <w:pPr>
              <w:widowControl/>
              <w:spacing w:line="240" w:lineRule="exact"/>
              <w:jc w:val="center"/>
              <w:rPr>
                <w:rFonts w:hAnsi="標楷體" w:cs="新細明體"/>
                <w:b/>
                <w:bCs/>
                <w:color w:val="000000" w:themeColor="text1"/>
                <w:sz w:val="20"/>
                <w:lang w:bidi="hi-IN"/>
              </w:rPr>
            </w:pPr>
            <w:r w:rsidRPr="008B619A">
              <w:rPr>
                <w:rFonts w:hAnsi="標楷體" w:cs="新細明體" w:hint="eastAsia"/>
                <w:b/>
                <w:bCs/>
                <w:color w:val="000000" w:themeColor="text1"/>
                <w:sz w:val="20"/>
                <w:lang w:bidi="hi-IN"/>
              </w:rPr>
              <w:t>比率%</w:t>
            </w:r>
          </w:p>
        </w:tc>
        <w:tc>
          <w:tcPr>
            <w:tcW w:w="387" w:type="pct"/>
            <w:vAlign w:val="center"/>
          </w:tcPr>
          <w:p w14:paraId="513E8EAF" w14:textId="77777777" w:rsidR="003417DA" w:rsidRPr="008B619A" w:rsidRDefault="003417DA" w:rsidP="00643D6C">
            <w:pPr>
              <w:widowControl/>
              <w:spacing w:line="240" w:lineRule="exact"/>
              <w:jc w:val="center"/>
              <w:rPr>
                <w:rFonts w:hAnsi="標楷體" w:cs="新細明體"/>
                <w:b/>
                <w:bCs/>
                <w:color w:val="000000" w:themeColor="text1"/>
                <w:sz w:val="20"/>
                <w:lang w:bidi="hi-IN"/>
              </w:rPr>
            </w:pPr>
            <w:r w:rsidRPr="008B619A">
              <w:rPr>
                <w:rFonts w:hAnsi="標楷體" w:cs="新細明體" w:hint="eastAsia"/>
                <w:b/>
                <w:bCs/>
                <w:color w:val="000000" w:themeColor="text1"/>
                <w:sz w:val="20"/>
                <w:lang w:bidi="hi-IN"/>
              </w:rPr>
              <w:t>人數</w:t>
            </w:r>
          </w:p>
        </w:tc>
        <w:tc>
          <w:tcPr>
            <w:tcW w:w="389" w:type="pct"/>
            <w:tcBorders>
              <w:right w:val="double" w:sz="4" w:space="0" w:color="auto"/>
            </w:tcBorders>
            <w:vAlign w:val="center"/>
          </w:tcPr>
          <w:p w14:paraId="67F4BE17" w14:textId="77777777" w:rsidR="003417DA" w:rsidRPr="008B619A" w:rsidRDefault="003417DA" w:rsidP="00643D6C">
            <w:pPr>
              <w:widowControl/>
              <w:spacing w:line="240" w:lineRule="exact"/>
              <w:jc w:val="center"/>
              <w:rPr>
                <w:rFonts w:hAnsi="標楷體" w:cs="新細明體"/>
                <w:b/>
                <w:bCs/>
                <w:color w:val="000000" w:themeColor="text1"/>
                <w:sz w:val="20"/>
                <w:lang w:bidi="hi-IN"/>
              </w:rPr>
            </w:pPr>
            <w:r w:rsidRPr="008B619A">
              <w:rPr>
                <w:rFonts w:hAnsi="標楷體" w:cs="新細明體" w:hint="eastAsia"/>
                <w:b/>
                <w:bCs/>
                <w:color w:val="000000" w:themeColor="text1"/>
                <w:sz w:val="20"/>
                <w:lang w:bidi="hi-IN"/>
              </w:rPr>
              <w:t>比率%</w:t>
            </w:r>
          </w:p>
        </w:tc>
        <w:tc>
          <w:tcPr>
            <w:tcW w:w="388" w:type="pct"/>
            <w:tcBorders>
              <w:left w:val="double" w:sz="4" w:space="0" w:color="auto"/>
            </w:tcBorders>
            <w:vAlign w:val="center"/>
          </w:tcPr>
          <w:p w14:paraId="332D757D" w14:textId="77777777" w:rsidR="003417DA" w:rsidRPr="008B619A" w:rsidRDefault="003417DA" w:rsidP="00643D6C">
            <w:pPr>
              <w:widowControl/>
              <w:spacing w:line="240" w:lineRule="exact"/>
              <w:jc w:val="center"/>
              <w:rPr>
                <w:rFonts w:hAnsi="標楷體" w:cs="新細明體"/>
                <w:b/>
                <w:bCs/>
                <w:color w:val="000000" w:themeColor="text1"/>
                <w:sz w:val="20"/>
                <w:lang w:bidi="hi-IN"/>
              </w:rPr>
            </w:pPr>
            <w:r w:rsidRPr="008B619A">
              <w:rPr>
                <w:rFonts w:hAnsi="標楷體" w:cs="新細明體" w:hint="eastAsia"/>
                <w:b/>
                <w:bCs/>
                <w:color w:val="000000" w:themeColor="text1"/>
                <w:sz w:val="20"/>
                <w:lang w:bidi="hi-IN"/>
              </w:rPr>
              <w:t>人數</w:t>
            </w:r>
          </w:p>
        </w:tc>
        <w:tc>
          <w:tcPr>
            <w:tcW w:w="389" w:type="pct"/>
            <w:vAlign w:val="center"/>
          </w:tcPr>
          <w:p w14:paraId="7200FCEC" w14:textId="77777777" w:rsidR="003417DA" w:rsidRPr="008B619A" w:rsidRDefault="003417DA" w:rsidP="00643D6C">
            <w:pPr>
              <w:widowControl/>
              <w:spacing w:line="240" w:lineRule="exact"/>
              <w:jc w:val="center"/>
              <w:rPr>
                <w:rFonts w:hAnsi="標楷體" w:cs="新細明體"/>
                <w:b/>
                <w:bCs/>
                <w:color w:val="000000" w:themeColor="text1"/>
                <w:sz w:val="20"/>
                <w:lang w:bidi="hi-IN"/>
              </w:rPr>
            </w:pPr>
            <w:r w:rsidRPr="008B619A">
              <w:rPr>
                <w:rFonts w:hAnsi="標楷體" w:cs="新細明體" w:hint="eastAsia"/>
                <w:b/>
                <w:bCs/>
                <w:color w:val="000000" w:themeColor="text1"/>
                <w:sz w:val="20"/>
                <w:lang w:bidi="hi-IN"/>
              </w:rPr>
              <w:t>比率%</w:t>
            </w:r>
          </w:p>
        </w:tc>
        <w:tc>
          <w:tcPr>
            <w:tcW w:w="387" w:type="pct"/>
            <w:vAlign w:val="center"/>
          </w:tcPr>
          <w:p w14:paraId="2AF3D2A3" w14:textId="77777777" w:rsidR="003417DA" w:rsidRPr="008B619A" w:rsidRDefault="003417DA" w:rsidP="00643D6C">
            <w:pPr>
              <w:widowControl/>
              <w:spacing w:line="240" w:lineRule="exact"/>
              <w:jc w:val="center"/>
              <w:rPr>
                <w:rFonts w:hAnsi="標楷體" w:cs="新細明體"/>
                <w:b/>
                <w:bCs/>
                <w:color w:val="000000" w:themeColor="text1"/>
                <w:sz w:val="20"/>
                <w:lang w:bidi="hi-IN"/>
              </w:rPr>
            </w:pPr>
            <w:r w:rsidRPr="008B619A">
              <w:rPr>
                <w:rFonts w:hAnsi="標楷體" w:cs="新細明體" w:hint="eastAsia"/>
                <w:b/>
                <w:bCs/>
                <w:color w:val="000000" w:themeColor="text1"/>
                <w:sz w:val="20"/>
                <w:lang w:bidi="hi-IN"/>
              </w:rPr>
              <w:t>人數</w:t>
            </w:r>
          </w:p>
        </w:tc>
        <w:tc>
          <w:tcPr>
            <w:tcW w:w="389" w:type="pct"/>
            <w:vAlign w:val="center"/>
          </w:tcPr>
          <w:p w14:paraId="66E47614" w14:textId="77777777" w:rsidR="003417DA" w:rsidRPr="008B619A" w:rsidRDefault="003417DA" w:rsidP="00643D6C">
            <w:pPr>
              <w:widowControl/>
              <w:spacing w:line="240" w:lineRule="exact"/>
              <w:jc w:val="center"/>
              <w:rPr>
                <w:rFonts w:hAnsi="標楷體" w:cs="新細明體"/>
                <w:b/>
                <w:bCs/>
                <w:color w:val="000000" w:themeColor="text1"/>
                <w:sz w:val="20"/>
                <w:lang w:bidi="hi-IN"/>
              </w:rPr>
            </w:pPr>
            <w:r w:rsidRPr="008B619A">
              <w:rPr>
                <w:rFonts w:hAnsi="標楷體" w:cs="新細明體" w:hint="eastAsia"/>
                <w:b/>
                <w:bCs/>
                <w:color w:val="000000" w:themeColor="text1"/>
                <w:sz w:val="20"/>
                <w:lang w:bidi="hi-IN"/>
              </w:rPr>
              <w:t>比率%</w:t>
            </w:r>
          </w:p>
        </w:tc>
        <w:tc>
          <w:tcPr>
            <w:tcW w:w="388" w:type="pct"/>
            <w:vAlign w:val="center"/>
          </w:tcPr>
          <w:p w14:paraId="6592C650" w14:textId="77777777" w:rsidR="003417DA" w:rsidRPr="008B619A" w:rsidRDefault="003417DA" w:rsidP="00643D6C">
            <w:pPr>
              <w:widowControl/>
              <w:spacing w:line="240" w:lineRule="exact"/>
              <w:jc w:val="center"/>
              <w:rPr>
                <w:rFonts w:hAnsi="標楷體" w:cs="新細明體"/>
                <w:b/>
                <w:bCs/>
                <w:color w:val="000000" w:themeColor="text1"/>
                <w:sz w:val="20"/>
                <w:lang w:bidi="hi-IN"/>
              </w:rPr>
            </w:pPr>
            <w:r w:rsidRPr="008B619A">
              <w:rPr>
                <w:rFonts w:hAnsi="標楷體" w:cs="新細明體" w:hint="eastAsia"/>
                <w:b/>
                <w:bCs/>
                <w:color w:val="000000" w:themeColor="text1"/>
                <w:sz w:val="20"/>
                <w:lang w:bidi="hi-IN"/>
              </w:rPr>
              <w:t>人數</w:t>
            </w:r>
          </w:p>
        </w:tc>
        <w:tc>
          <w:tcPr>
            <w:tcW w:w="408" w:type="pct"/>
            <w:vAlign w:val="center"/>
          </w:tcPr>
          <w:p w14:paraId="4ACEDE3A" w14:textId="77777777" w:rsidR="003417DA" w:rsidRPr="008B619A" w:rsidRDefault="003417DA" w:rsidP="00643D6C">
            <w:pPr>
              <w:widowControl/>
              <w:spacing w:line="240" w:lineRule="exact"/>
              <w:jc w:val="center"/>
              <w:rPr>
                <w:rFonts w:hAnsi="標楷體" w:cs="新細明體"/>
                <w:b/>
                <w:bCs/>
                <w:color w:val="000000" w:themeColor="text1"/>
                <w:sz w:val="20"/>
                <w:lang w:bidi="hi-IN"/>
              </w:rPr>
            </w:pPr>
            <w:r w:rsidRPr="008B619A">
              <w:rPr>
                <w:rFonts w:hAnsi="標楷體" w:cs="新細明體" w:hint="eastAsia"/>
                <w:b/>
                <w:bCs/>
                <w:color w:val="000000" w:themeColor="text1"/>
                <w:sz w:val="20"/>
                <w:lang w:bidi="hi-IN"/>
              </w:rPr>
              <w:t>比率%</w:t>
            </w:r>
          </w:p>
        </w:tc>
      </w:tr>
      <w:tr w:rsidR="00643D6C" w:rsidRPr="008B619A" w14:paraId="2235C881" w14:textId="77777777" w:rsidTr="00643D6C">
        <w:trPr>
          <w:trHeight w:val="70"/>
          <w:jc w:val="center"/>
        </w:trPr>
        <w:tc>
          <w:tcPr>
            <w:tcW w:w="317" w:type="pct"/>
            <w:vAlign w:val="center"/>
          </w:tcPr>
          <w:p w14:paraId="3DDC804A" w14:textId="77777777" w:rsidR="003417DA" w:rsidRPr="008B619A" w:rsidRDefault="003417DA" w:rsidP="005F4AB4">
            <w:pPr>
              <w:snapToGrid w:val="0"/>
              <w:spacing w:line="460" w:lineRule="atLeast"/>
              <w:jc w:val="center"/>
              <w:rPr>
                <w:rFonts w:hAnsi="標楷體"/>
                <w:b/>
                <w:color w:val="000000" w:themeColor="text1"/>
                <w:sz w:val="24"/>
                <w:szCs w:val="24"/>
              </w:rPr>
            </w:pPr>
            <w:r w:rsidRPr="008B619A">
              <w:rPr>
                <w:rFonts w:hAnsi="標楷體"/>
                <w:b/>
                <w:color w:val="000000" w:themeColor="text1"/>
                <w:sz w:val="24"/>
                <w:szCs w:val="24"/>
              </w:rPr>
              <w:t>104</w:t>
            </w:r>
          </w:p>
        </w:tc>
        <w:tc>
          <w:tcPr>
            <w:tcW w:w="389" w:type="pct"/>
            <w:vAlign w:val="center"/>
          </w:tcPr>
          <w:p w14:paraId="4F3270B9" w14:textId="77777777" w:rsidR="003417DA" w:rsidRPr="008B619A" w:rsidRDefault="003417DA" w:rsidP="005F4AB4">
            <w:pPr>
              <w:jc w:val="center"/>
              <w:rPr>
                <w:rFonts w:hAnsi="標楷體"/>
                <w:color w:val="000000" w:themeColor="text1"/>
                <w:sz w:val="24"/>
                <w:szCs w:val="24"/>
              </w:rPr>
            </w:pPr>
            <w:r w:rsidRPr="008B619A">
              <w:rPr>
                <w:rFonts w:hAnsi="標楷體"/>
                <w:color w:val="000000" w:themeColor="text1"/>
                <w:sz w:val="24"/>
                <w:szCs w:val="24"/>
              </w:rPr>
              <w:t>134</w:t>
            </w:r>
          </w:p>
        </w:tc>
        <w:tc>
          <w:tcPr>
            <w:tcW w:w="390" w:type="pct"/>
            <w:vAlign w:val="center"/>
          </w:tcPr>
          <w:p w14:paraId="5D1B3AE1" w14:textId="77777777" w:rsidR="003417DA" w:rsidRPr="008B619A" w:rsidRDefault="003417DA" w:rsidP="005F4AB4">
            <w:pPr>
              <w:jc w:val="center"/>
              <w:rPr>
                <w:rFonts w:hAnsi="標楷體"/>
                <w:color w:val="000000" w:themeColor="text1"/>
                <w:sz w:val="24"/>
                <w:szCs w:val="24"/>
              </w:rPr>
            </w:pPr>
            <w:r w:rsidRPr="008B619A">
              <w:rPr>
                <w:rFonts w:hAnsi="標楷體"/>
                <w:color w:val="000000" w:themeColor="text1"/>
                <w:sz w:val="24"/>
                <w:szCs w:val="24"/>
              </w:rPr>
              <w:t>0.87</w:t>
            </w:r>
          </w:p>
        </w:tc>
        <w:tc>
          <w:tcPr>
            <w:tcW w:w="389" w:type="pct"/>
            <w:tcBorders>
              <w:top w:val="nil"/>
              <w:left w:val="nil"/>
              <w:bottom w:val="single" w:sz="8" w:space="0" w:color="auto"/>
              <w:right w:val="single" w:sz="8" w:space="0" w:color="auto"/>
            </w:tcBorders>
            <w:shd w:val="clear" w:color="auto" w:fill="auto"/>
            <w:vAlign w:val="center"/>
          </w:tcPr>
          <w:p w14:paraId="78AEA320" w14:textId="77777777" w:rsidR="003417DA" w:rsidRPr="008B619A" w:rsidRDefault="003417DA" w:rsidP="005F4AB4">
            <w:pPr>
              <w:jc w:val="center"/>
              <w:rPr>
                <w:rFonts w:hAnsi="標楷體"/>
                <w:color w:val="000000" w:themeColor="text1"/>
                <w:sz w:val="24"/>
                <w:szCs w:val="24"/>
              </w:rPr>
            </w:pPr>
            <w:r w:rsidRPr="008B619A">
              <w:rPr>
                <w:rFonts w:hAnsi="標楷體"/>
                <w:color w:val="000000" w:themeColor="text1"/>
                <w:sz w:val="24"/>
                <w:szCs w:val="24"/>
              </w:rPr>
              <w:t>5</w:t>
            </w:r>
          </w:p>
        </w:tc>
        <w:tc>
          <w:tcPr>
            <w:tcW w:w="390" w:type="pct"/>
            <w:vAlign w:val="center"/>
          </w:tcPr>
          <w:p w14:paraId="5EB4F736" w14:textId="77777777" w:rsidR="003417DA" w:rsidRPr="008B619A" w:rsidRDefault="003417DA" w:rsidP="005F4AB4">
            <w:pPr>
              <w:jc w:val="center"/>
              <w:rPr>
                <w:rFonts w:hAnsi="標楷體"/>
                <w:color w:val="000000" w:themeColor="text1"/>
                <w:sz w:val="24"/>
                <w:szCs w:val="24"/>
              </w:rPr>
            </w:pPr>
            <w:r w:rsidRPr="008B619A">
              <w:rPr>
                <w:rFonts w:hAnsi="標楷體" w:hint="eastAsia"/>
                <w:color w:val="000000" w:themeColor="text1"/>
                <w:sz w:val="24"/>
                <w:szCs w:val="24"/>
              </w:rPr>
              <w:t>0.11</w:t>
            </w:r>
          </w:p>
        </w:tc>
        <w:tc>
          <w:tcPr>
            <w:tcW w:w="387" w:type="pct"/>
            <w:vAlign w:val="center"/>
          </w:tcPr>
          <w:p w14:paraId="5F7CC4BB" w14:textId="77777777" w:rsidR="003417DA" w:rsidRPr="008B619A" w:rsidRDefault="003417DA" w:rsidP="005F4AB4">
            <w:pPr>
              <w:jc w:val="center"/>
              <w:rPr>
                <w:rFonts w:hAnsi="標楷體"/>
                <w:color w:val="000000" w:themeColor="text1"/>
                <w:sz w:val="24"/>
                <w:szCs w:val="24"/>
              </w:rPr>
            </w:pPr>
            <w:r w:rsidRPr="008B619A">
              <w:rPr>
                <w:rFonts w:hAnsi="標楷體"/>
                <w:color w:val="000000" w:themeColor="text1"/>
                <w:sz w:val="24"/>
                <w:szCs w:val="24"/>
              </w:rPr>
              <w:t>139</w:t>
            </w:r>
          </w:p>
        </w:tc>
        <w:tc>
          <w:tcPr>
            <w:tcW w:w="389" w:type="pct"/>
            <w:tcBorders>
              <w:right w:val="double" w:sz="4" w:space="0" w:color="auto"/>
            </w:tcBorders>
            <w:vAlign w:val="center"/>
          </w:tcPr>
          <w:p w14:paraId="50942C46" w14:textId="77777777" w:rsidR="003417DA" w:rsidRPr="008B619A" w:rsidRDefault="003417DA" w:rsidP="005F4AB4">
            <w:pPr>
              <w:jc w:val="center"/>
              <w:rPr>
                <w:rFonts w:hAnsi="標楷體"/>
                <w:color w:val="000000" w:themeColor="text1"/>
                <w:sz w:val="24"/>
                <w:szCs w:val="24"/>
              </w:rPr>
            </w:pPr>
            <w:r w:rsidRPr="008B619A">
              <w:rPr>
                <w:rFonts w:hAnsi="標楷體"/>
                <w:color w:val="000000" w:themeColor="text1"/>
                <w:sz w:val="24"/>
                <w:szCs w:val="24"/>
              </w:rPr>
              <w:t>0.70</w:t>
            </w:r>
          </w:p>
        </w:tc>
        <w:tc>
          <w:tcPr>
            <w:tcW w:w="388" w:type="pct"/>
            <w:tcBorders>
              <w:left w:val="double" w:sz="4" w:space="0" w:color="auto"/>
            </w:tcBorders>
            <w:vAlign w:val="center"/>
          </w:tcPr>
          <w:p w14:paraId="5F735A4F" w14:textId="77777777" w:rsidR="003417DA" w:rsidRPr="008B619A" w:rsidRDefault="003417DA" w:rsidP="005F4AB4">
            <w:pPr>
              <w:jc w:val="center"/>
              <w:rPr>
                <w:rFonts w:hAnsi="標楷體"/>
                <w:color w:val="000000" w:themeColor="text1"/>
                <w:sz w:val="24"/>
                <w:szCs w:val="24"/>
              </w:rPr>
            </w:pPr>
            <w:r w:rsidRPr="008B619A">
              <w:rPr>
                <w:rFonts w:hAnsi="標楷體" w:hint="eastAsia"/>
                <w:color w:val="000000" w:themeColor="text1"/>
                <w:sz w:val="24"/>
                <w:szCs w:val="24"/>
              </w:rPr>
              <w:t>308</w:t>
            </w:r>
          </w:p>
        </w:tc>
        <w:tc>
          <w:tcPr>
            <w:tcW w:w="389" w:type="pct"/>
            <w:vAlign w:val="center"/>
          </w:tcPr>
          <w:p w14:paraId="675C8394" w14:textId="77777777" w:rsidR="003417DA" w:rsidRPr="008B619A" w:rsidRDefault="003417DA" w:rsidP="005F4AB4">
            <w:pPr>
              <w:jc w:val="center"/>
              <w:rPr>
                <w:rFonts w:hAnsi="標楷體"/>
                <w:color w:val="000000" w:themeColor="text1"/>
                <w:sz w:val="24"/>
                <w:szCs w:val="24"/>
              </w:rPr>
            </w:pPr>
            <w:r w:rsidRPr="008B619A">
              <w:rPr>
                <w:rFonts w:hAnsi="標楷體" w:hint="eastAsia"/>
                <w:color w:val="000000" w:themeColor="text1"/>
                <w:sz w:val="24"/>
                <w:szCs w:val="24"/>
              </w:rPr>
              <w:t>2.42</w:t>
            </w:r>
          </w:p>
        </w:tc>
        <w:tc>
          <w:tcPr>
            <w:tcW w:w="387" w:type="pct"/>
            <w:vAlign w:val="center"/>
          </w:tcPr>
          <w:p w14:paraId="6330C0C5" w14:textId="77777777" w:rsidR="003417DA" w:rsidRPr="008B619A" w:rsidRDefault="003417DA" w:rsidP="005F4AB4">
            <w:pPr>
              <w:jc w:val="center"/>
              <w:rPr>
                <w:rFonts w:hAnsi="標楷體"/>
                <w:color w:val="000000" w:themeColor="text1"/>
                <w:sz w:val="24"/>
                <w:szCs w:val="24"/>
              </w:rPr>
            </w:pPr>
            <w:r w:rsidRPr="008B619A">
              <w:rPr>
                <w:rFonts w:hAnsi="標楷體" w:hint="eastAsia"/>
                <w:color w:val="000000" w:themeColor="text1"/>
                <w:sz w:val="24"/>
                <w:szCs w:val="24"/>
              </w:rPr>
              <w:t>66</w:t>
            </w:r>
          </w:p>
        </w:tc>
        <w:tc>
          <w:tcPr>
            <w:tcW w:w="389" w:type="pct"/>
            <w:vAlign w:val="center"/>
          </w:tcPr>
          <w:p w14:paraId="60603702" w14:textId="77777777" w:rsidR="003417DA" w:rsidRPr="008B619A" w:rsidRDefault="003417DA" w:rsidP="005F4AB4">
            <w:pPr>
              <w:jc w:val="center"/>
              <w:rPr>
                <w:rFonts w:hAnsi="標楷體"/>
                <w:color w:val="000000" w:themeColor="text1"/>
                <w:sz w:val="24"/>
                <w:szCs w:val="24"/>
              </w:rPr>
            </w:pPr>
            <w:r w:rsidRPr="008B619A">
              <w:rPr>
                <w:rFonts w:hAnsi="標楷體" w:hint="eastAsia"/>
                <w:color w:val="000000" w:themeColor="text1"/>
                <w:sz w:val="24"/>
                <w:szCs w:val="24"/>
              </w:rPr>
              <w:t>0.47</w:t>
            </w:r>
          </w:p>
        </w:tc>
        <w:tc>
          <w:tcPr>
            <w:tcW w:w="388" w:type="pct"/>
            <w:vAlign w:val="center"/>
          </w:tcPr>
          <w:p w14:paraId="662B21B7" w14:textId="77777777" w:rsidR="003417DA" w:rsidRPr="008B619A" w:rsidRDefault="003417DA" w:rsidP="005F4AB4">
            <w:pPr>
              <w:jc w:val="center"/>
              <w:rPr>
                <w:rFonts w:hAnsi="標楷體"/>
                <w:color w:val="000000" w:themeColor="text1"/>
                <w:sz w:val="24"/>
                <w:szCs w:val="24"/>
              </w:rPr>
            </w:pPr>
            <w:r w:rsidRPr="008B619A">
              <w:rPr>
                <w:rFonts w:hAnsi="標楷體" w:hint="eastAsia"/>
                <w:color w:val="000000" w:themeColor="text1"/>
                <w:sz w:val="24"/>
                <w:szCs w:val="24"/>
              </w:rPr>
              <w:t>374</w:t>
            </w:r>
          </w:p>
        </w:tc>
        <w:tc>
          <w:tcPr>
            <w:tcW w:w="408" w:type="pct"/>
            <w:vAlign w:val="center"/>
          </w:tcPr>
          <w:p w14:paraId="1FB94917" w14:textId="77777777" w:rsidR="003417DA" w:rsidRPr="008B619A" w:rsidRDefault="003417DA" w:rsidP="005F4AB4">
            <w:pPr>
              <w:jc w:val="center"/>
              <w:rPr>
                <w:rFonts w:hAnsi="標楷體"/>
                <w:color w:val="000000" w:themeColor="text1"/>
                <w:sz w:val="24"/>
                <w:szCs w:val="24"/>
              </w:rPr>
            </w:pPr>
            <w:r w:rsidRPr="008B619A">
              <w:rPr>
                <w:rFonts w:hAnsi="標楷體" w:hint="eastAsia"/>
                <w:color w:val="000000" w:themeColor="text1"/>
                <w:sz w:val="24"/>
                <w:szCs w:val="24"/>
              </w:rPr>
              <w:t>1.40</w:t>
            </w:r>
          </w:p>
        </w:tc>
      </w:tr>
      <w:tr w:rsidR="00643D6C" w:rsidRPr="008B619A" w14:paraId="14EC67EE" w14:textId="77777777" w:rsidTr="00643D6C">
        <w:trPr>
          <w:trHeight w:val="60"/>
          <w:jc w:val="center"/>
        </w:trPr>
        <w:tc>
          <w:tcPr>
            <w:tcW w:w="317" w:type="pct"/>
            <w:vAlign w:val="center"/>
          </w:tcPr>
          <w:p w14:paraId="0459CBD7" w14:textId="77777777" w:rsidR="003417DA" w:rsidRPr="008B619A" w:rsidRDefault="003417DA" w:rsidP="005F4AB4">
            <w:pPr>
              <w:snapToGrid w:val="0"/>
              <w:spacing w:line="460" w:lineRule="atLeast"/>
              <w:jc w:val="center"/>
              <w:rPr>
                <w:rFonts w:hAnsi="標楷體"/>
                <w:b/>
                <w:color w:val="000000" w:themeColor="text1"/>
                <w:sz w:val="24"/>
                <w:szCs w:val="24"/>
              </w:rPr>
            </w:pPr>
            <w:r w:rsidRPr="008B619A">
              <w:rPr>
                <w:rFonts w:hAnsi="標楷體"/>
                <w:b/>
                <w:color w:val="000000" w:themeColor="text1"/>
                <w:sz w:val="24"/>
                <w:szCs w:val="24"/>
              </w:rPr>
              <w:t>105</w:t>
            </w:r>
          </w:p>
        </w:tc>
        <w:tc>
          <w:tcPr>
            <w:tcW w:w="389" w:type="pct"/>
            <w:vAlign w:val="center"/>
          </w:tcPr>
          <w:p w14:paraId="03EDBBD2" w14:textId="77777777" w:rsidR="003417DA" w:rsidRPr="008B619A" w:rsidRDefault="003417DA" w:rsidP="005F4AB4">
            <w:pPr>
              <w:jc w:val="center"/>
              <w:rPr>
                <w:rFonts w:hAnsi="標楷體"/>
                <w:color w:val="000000" w:themeColor="text1"/>
                <w:sz w:val="24"/>
                <w:szCs w:val="24"/>
              </w:rPr>
            </w:pPr>
            <w:r w:rsidRPr="008B619A">
              <w:rPr>
                <w:rFonts w:hAnsi="標楷體"/>
                <w:color w:val="000000" w:themeColor="text1"/>
                <w:sz w:val="24"/>
                <w:szCs w:val="24"/>
              </w:rPr>
              <w:t>154</w:t>
            </w:r>
          </w:p>
        </w:tc>
        <w:tc>
          <w:tcPr>
            <w:tcW w:w="390" w:type="pct"/>
            <w:vAlign w:val="center"/>
          </w:tcPr>
          <w:p w14:paraId="524B0A0E" w14:textId="77777777" w:rsidR="003417DA" w:rsidRPr="008B619A" w:rsidRDefault="003417DA" w:rsidP="005F4AB4">
            <w:pPr>
              <w:jc w:val="center"/>
              <w:rPr>
                <w:rFonts w:hAnsi="標楷體"/>
                <w:color w:val="000000" w:themeColor="text1"/>
                <w:sz w:val="24"/>
                <w:szCs w:val="24"/>
              </w:rPr>
            </w:pPr>
            <w:r w:rsidRPr="008B619A">
              <w:rPr>
                <w:rFonts w:hAnsi="標楷體"/>
                <w:color w:val="000000" w:themeColor="text1"/>
                <w:sz w:val="24"/>
                <w:szCs w:val="24"/>
              </w:rPr>
              <w:t>1.00</w:t>
            </w:r>
          </w:p>
        </w:tc>
        <w:tc>
          <w:tcPr>
            <w:tcW w:w="389" w:type="pct"/>
            <w:tcBorders>
              <w:top w:val="nil"/>
              <w:left w:val="nil"/>
              <w:bottom w:val="single" w:sz="8" w:space="0" w:color="auto"/>
              <w:right w:val="single" w:sz="8" w:space="0" w:color="auto"/>
            </w:tcBorders>
            <w:shd w:val="clear" w:color="auto" w:fill="auto"/>
            <w:vAlign w:val="center"/>
          </w:tcPr>
          <w:p w14:paraId="23CD9FB7" w14:textId="77777777" w:rsidR="003417DA" w:rsidRPr="008B619A" w:rsidRDefault="003417DA" w:rsidP="005F4AB4">
            <w:pPr>
              <w:jc w:val="center"/>
              <w:rPr>
                <w:rFonts w:hAnsi="標楷體"/>
                <w:color w:val="000000" w:themeColor="text1"/>
                <w:sz w:val="24"/>
                <w:szCs w:val="24"/>
              </w:rPr>
            </w:pPr>
            <w:r w:rsidRPr="008B619A">
              <w:rPr>
                <w:rFonts w:hAnsi="標楷體"/>
                <w:color w:val="000000" w:themeColor="text1"/>
                <w:sz w:val="24"/>
                <w:szCs w:val="24"/>
              </w:rPr>
              <w:t>7</w:t>
            </w:r>
          </w:p>
        </w:tc>
        <w:tc>
          <w:tcPr>
            <w:tcW w:w="390" w:type="pct"/>
            <w:vAlign w:val="center"/>
          </w:tcPr>
          <w:p w14:paraId="22750726" w14:textId="77777777" w:rsidR="003417DA" w:rsidRPr="008B619A" w:rsidRDefault="003417DA" w:rsidP="005F4AB4">
            <w:pPr>
              <w:jc w:val="center"/>
              <w:rPr>
                <w:rFonts w:hAnsi="標楷體"/>
                <w:color w:val="000000" w:themeColor="text1"/>
                <w:sz w:val="24"/>
                <w:szCs w:val="24"/>
              </w:rPr>
            </w:pPr>
            <w:r w:rsidRPr="008B619A">
              <w:rPr>
                <w:rFonts w:hAnsi="標楷體" w:hint="eastAsia"/>
                <w:color w:val="000000" w:themeColor="text1"/>
                <w:sz w:val="24"/>
                <w:szCs w:val="24"/>
              </w:rPr>
              <w:t>0.16</w:t>
            </w:r>
          </w:p>
        </w:tc>
        <w:tc>
          <w:tcPr>
            <w:tcW w:w="387" w:type="pct"/>
            <w:vAlign w:val="center"/>
          </w:tcPr>
          <w:p w14:paraId="7EA00435" w14:textId="77777777" w:rsidR="003417DA" w:rsidRPr="008B619A" w:rsidRDefault="003417DA" w:rsidP="005F4AB4">
            <w:pPr>
              <w:jc w:val="center"/>
              <w:rPr>
                <w:rFonts w:hAnsi="標楷體"/>
                <w:color w:val="000000" w:themeColor="text1"/>
                <w:sz w:val="24"/>
                <w:szCs w:val="24"/>
              </w:rPr>
            </w:pPr>
            <w:r w:rsidRPr="008B619A">
              <w:rPr>
                <w:rFonts w:hAnsi="標楷體"/>
                <w:color w:val="000000" w:themeColor="text1"/>
                <w:sz w:val="24"/>
                <w:szCs w:val="24"/>
              </w:rPr>
              <w:t>161</w:t>
            </w:r>
          </w:p>
        </w:tc>
        <w:tc>
          <w:tcPr>
            <w:tcW w:w="389" w:type="pct"/>
            <w:tcBorders>
              <w:right w:val="double" w:sz="4" w:space="0" w:color="auto"/>
            </w:tcBorders>
            <w:vAlign w:val="center"/>
          </w:tcPr>
          <w:p w14:paraId="5BCE696D" w14:textId="77777777" w:rsidR="003417DA" w:rsidRPr="008B619A" w:rsidRDefault="003417DA" w:rsidP="005F4AB4">
            <w:pPr>
              <w:jc w:val="center"/>
              <w:rPr>
                <w:rFonts w:hAnsi="標楷體"/>
                <w:color w:val="000000" w:themeColor="text1"/>
                <w:sz w:val="24"/>
                <w:szCs w:val="24"/>
              </w:rPr>
            </w:pPr>
            <w:r w:rsidRPr="008B619A">
              <w:rPr>
                <w:rFonts w:hAnsi="標楷體"/>
                <w:color w:val="000000" w:themeColor="text1"/>
                <w:sz w:val="24"/>
                <w:szCs w:val="24"/>
              </w:rPr>
              <w:t>0.82</w:t>
            </w:r>
          </w:p>
        </w:tc>
        <w:tc>
          <w:tcPr>
            <w:tcW w:w="388" w:type="pct"/>
            <w:tcBorders>
              <w:left w:val="double" w:sz="4" w:space="0" w:color="auto"/>
            </w:tcBorders>
            <w:vAlign w:val="center"/>
          </w:tcPr>
          <w:p w14:paraId="18AF6453" w14:textId="77777777" w:rsidR="003417DA" w:rsidRPr="008B619A" w:rsidRDefault="003417DA" w:rsidP="005F4AB4">
            <w:pPr>
              <w:jc w:val="center"/>
              <w:rPr>
                <w:rFonts w:hAnsi="標楷體"/>
                <w:color w:val="000000" w:themeColor="text1"/>
                <w:sz w:val="24"/>
                <w:szCs w:val="24"/>
              </w:rPr>
            </w:pPr>
            <w:r w:rsidRPr="008B619A">
              <w:rPr>
                <w:rFonts w:hAnsi="標楷體" w:hint="eastAsia"/>
                <w:color w:val="000000" w:themeColor="text1"/>
                <w:sz w:val="24"/>
                <w:szCs w:val="24"/>
              </w:rPr>
              <w:t>282</w:t>
            </w:r>
          </w:p>
        </w:tc>
        <w:tc>
          <w:tcPr>
            <w:tcW w:w="389" w:type="pct"/>
            <w:vAlign w:val="center"/>
          </w:tcPr>
          <w:p w14:paraId="1BA882F2" w14:textId="77777777" w:rsidR="003417DA" w:rsidRPr="008B619A" w:rsidRDefault="003417DA" w:rsidP="005F4AB4">
            <w:pPr>
              <w:jc w:val="center"/>
              <w:rPr>
                <w:rFonts w:hAnsi="標楷體"/>
                <w:color w:val="000000" w:themeColor="text1"/>
                <w:sz w:val="24"/>
                <w:szCs w:val="24"/>
              </w:rPr>
            </w:pPr>
            <w:r w:rsidRPr="008B619A">
              <w:rPr>
                <w:rFonts w:hAnsi="標楷體" w:hint="eastAsia"/>
                <w:color w:val="000000" w:themeColor="text1"/>
                <w:sz w:val="24"/>
                <w:szCs w:val="24"/>
              </w:rPr>
              <w:t>2.25</w:t>
            </w:r>
          </w:p>
        </w:tc>
        <w:tc>
          <w:tcPr>
            <w:tcW w:w="387" w:type="pct"/>
            <w:vAlign w:val="center"/>
          </w:tcPr>
          <w:p w14:paraId="2AB439A2" w14:textId="77777777" w:rsidR="003417DA" w:rsidRPr="008B619A" w:rsidRDefault="003417DA" w:rsidP="005F4AB4">
            <w:pPr>
              <w:jc w:val="center"/>
              <w:rPr>
                <w:rFonts w:hAnsi="標楷體"/>
                <w:color w:val="000000" w:themeColor="text1"/>
                <w:sz w:val="24"/>
                <w:szCs w:val="24"/>
              </w:rPr>
            </w:pPr>
            <w:r w:rsidRPr="008B619A">
              <w:rPr>
                <w:rFonts w:hAnsi="標楷體" w:hint="eastAsia"/>
                <w:color w:val="000000" w:themeColor="text1"/>
                <w:sz w:val="24"/>
                <w:szCs w:val="24"/>
              </w:rPr>
              <w:t>70</w:t>
            </w:r>
          </w:p>
        </w:tc>
        <w:tc>
          <w:tcPr>
            <w:tcW w:w="389" w:type="pct"/>
            <w:vAlign w:val="center"/>
          </w:tcPr>
          <w:p w14:paraId="5F13CCC6" w14:textId="77777777" w:rsidR="003417DA" w:rsidRPr="008B619A" w:rsidRDefault="003417DA" w:rsidP="005F4AB4">
            <w:pPr>
              <w:jc w:val="center"/>
              <w:rPr>
                <w:rFonts w:hAnsi="標楷體"/>
                <w:color w:val="000000" w:themeColor="text1"/>
                <w:sz w:val="24"/>
                <w:szCs w:val="24"/>
              </w:rPr>
            </w:pPr>
            <w:r w:rsidRPr="008B619A">
              <w:rPr>
                <w:rFonts w:hAnsi="標楷體" w:hint="eastAsia"/>
                <w:color w:val="000000" w:themeColor="text1"/>
                <w:sz w:val="24"/>
                <w:szCs w:val="24"/>
              </w:rPr>
              <w:t>0.52</w:t>
            </w:r>
          </w:p>
        </w:tc>
        <w:tc>
          <w:tcPr>
            <w:tcW w:w="388" w:type="pct"/>
            <w:vAlign w:val="center"/>
          </w:tcPr>
          <w:p w14:paraId="15A3A85E" w14:textId="77777777" w:rsidR="003417DA" w:rsidRPr="008B619A" w:rsidRDefault="003417DA" w:rsidP="005F4AB4">
            <w:pPr>
              <w:jc w:val="center"/>
              <w:rPr>
                <w:rFonts w:hAnsi="標楷體"/>
                <w:color w:val="000000" w:themeColor="text1"/>
                <w:sz w:val="24"/>
                <w:szCs w:val="24"/>
              </w:rPr>
            </w:pPr>
            <w:r w:rsidRPr="008B619A">
              <w:rPr>
                <w:rFonts w:hAnsi="標楷體" w:hint="eastAsia"/>
                <w:color w:val="000000" w:themeColor="text1"/>
                <w:sz w:val="24"/>
                <w:szCs w:val="24"/>
              </w:rPr>
              <w:t>352</w:t>
            </w:r>
          </w:p>
        </w:tc>
        <w:tc>
          <w:tcPr>
            <w:tcW w:w="408" w:type="pct"/>
            <w:vAlign w:val="center"/>
          </w:tcPr>
          <w:p w14:paraId="427EC8DC" w14:textId="77777777" w:rsidR="003417DA" w:rsidRPr="008B619A" w:rsidRDefault="003417DA" w:rsidP="005F4AB4">
            <w:pPr>
              <w:jc w:val="center"/>
              <w:rPr>
                <w:rFonts w:hAnsi="標楷體"/>
                <w:color w:val="000000" w:themeColor="text1"/>
                <w:sz w:val="24"/>
                <w:szCs w:val="24"/>
              </w:rPr>
            </w:pPr>
            <w:r w:rsidRPr="008B619A">
              <w:rPr>
                <w:rFonts w:hAnsi="標楷體" w:hint="eastAsia"/>
                <w:color w:val="000000" w:themeColor="text1"/>
                <w:sz w:val="24"/>
                <w:szCs w:val="24"/>
              </w:rPr>
              <w:t>1.35</w:t>
            </w:r>
          </w:p>
        </w:tc>
      </w:tr>
      <w:tr w:rsidR="00643D6C" w:rsidRPr="008B619A" w14:paraId="5C676AAA" w14:textId="77777777" w:rsidTr="00643D6C">
        <w:trPr>
          <w:trHeight w:val="60"/>
          <w:jc w:val="center"/>
        </w:trPr>
        <w:tc>
          <w:tcPr>
            <w:tcW w:w="317" w:type="pct"/>
            <w:noWrap/>
            <w:vAlign w:val="center"/>
          </w:tcPr>
          <w:p w14:paraId="4C5BDE4A" w14:textId="77777777" w:rsidR="003417DA" w:rsidRPr="008B619A" w:rsidRDefault="003417DA" w:rsidP="005F4AB4">
            <w:pPr>
              <w:snapToGrid w:val="0"/>
              <w:spacing w:line="460" w:lineRule="atLeast"/>
              <w:jc w:val="center"/>
              <w:rPr>
                <w:rFonts w:hAnsi="標楷體"/>
                <w:b/>
                <w:color w:val="000000" w:themeColor="text1"/>
                <w:sz w:val="24"/>
                <w:szCs w:val="24"/>
              </w:rPr>
            </w:pPr>
            <w:r w:rsidRPr="008B619A">
              <w:rPr>
                <w:rFonts w:hAnsi="標楷體"/>
                <w:b/>
                <w:color w:val="000000" w:themeColor="text1"/>
                <w:sz w:val="24"/>
                <w:szCs w:val="24"/>
              </w:rPr>
              <w:lastRenderedPageBreak/>
              <w:t>106</w:t>
            </w:r>
          </w:p>
        </w:tc>
        <w:tc>
          <w:tcPr>
            <w:tcW w:w="389" w:type="pct"/>
            <w:vAlign w:val="center"/>
          </w:tcPr>
          <w:p w14:paraId="7B6BAC00" w14:textId="77777777" w:rsidR="003417DA" w:rsidRPr="008B619A" w:rsidRDefault="003417DA" w:rsidP="005F4AB4">
            <w:pPr>
              <w:jc w:val="center"/>
              <w:rPr>
                <w:rFonts w:hAnsi="標楷體"/>
                <w:color w:val="000000" w:themeColor="text1"/>
                <w:sz w:val="24"/>
                <w:szCs w:val="24"/>
              </w:rPr>
            </w:pPr>
            <w:r w:rsidRPr="008B619A">
              <w:rPr>
                <w:rFonts w:hAnsi="標楷體"/>
                <w:color w:val="000000" w:themeColor="text1"/>
                <w:sz w:val="24"/>
                <w:szCs w:val="24"/>
              </w:rPr>
              <w:t>161</w:t>
            </w:r>
          </w:p>
        </w:tc>
        <w:tc>
          <w:tcPr>
            <w:tcW w:w="390" w:type="pct"/>
            <w:vAlign w:val="center"/>
          </w:tcPr>
          <w:p w14:paraId="6CB26426" w14:textId="77777777" w:rsidR="003417DA" w:rsidRPr="008B619A" w:rsidRDefault="003417DA" w:rsidP="005F4AB4">
            <w:pPr>
              <w:jc w:val="center"/>
              <w:rPr>
                <w:rFonts w:hAnsi="標楷體"/>
                <w:color w:val="000000" w:themeColor="text1"/>
                <w:sz w:val="24"/>
                <w:szCs w:val="24"/>
              </w:rPr>
            </w:pPr>
            <w:r w:rsidRPr="008B619A">
              <w:rPr>
                <w:rFonts w:hAnsi="標楷體"/>
                <w:color w:val="000000" w:themeColor="text1"/>
                <w:sz w:val="24"/>
                <w:szCs w:val="24"/>
              </w:rPr>
              <w:t>1.06</w:t>
            </w:r>
          </w:p>
        </w:tc>
        <w:tc>
          <w:tcPr>
            <w:tcW w:w="389" w:type="pct"/>
            <w:tcBorders>
              <w:top w:val="nil"/>
              <w:left w:val="nil"/>
              <w:bottom w:val="single" w:sz="8" w:space="0" w:color="auto"/>
              <w:right w:val="single" w:sz="8" w:space="0" w:color="auto"/>
            </w:tcBorders>
            <w:shd w:val="clear" w:color="auto" w:fill="auto"/>
            <w:vAlign w:val="center"/>
          </w:tcPr>
          <w:p w14:paraId="12B8F23B" w14:textId="77777777" w:rsidR="003417DA" w:rsidRPr="008B619A" w:rsidRDefault="003417DA" w:rsidP="005F4AB4">
            <w:pPr>
              <w:jc w:val="center"/>
              <w:rPr>
                <w:rFonts w:hAnsi="標楷體"/>
                <w:color w:val="000000" w:themeColor="text1"/>
                <w:sz w:val="24"/>
                <w:szCs w:val="24"/>
              </w:rPr>
            </w:pPr>
            <w:r w:rsidRPr="008B619A">
              <w:rPr>
                <w:rFonts w:hAnsi="標楷體"/>
                <w:color w:val="000000" w:themeColor="text1"/>
                <w:sz w:val="24"/>
                <w:szCs w:val="24"/>
              </w:rPr>
              <w:t>8</w:t>
            </w:r>
          </w:p>
        </w:tc>
        <w:tc>
          <w:tcPr>
            <w:tcW w:w="390" w:type="pct"/>
            <w:vAlign w:val="center"/>
          </w:tcPr>
          <w:p w14:paraId="5C316E9D" w14:textId="77777777" w:rsidR="003417DA" w:rsidRPr="008B619A" w:rsidRDefault="003417DA" w:rsidP="005F4AB4">
            <w:pPr>
              <w:jc w:val="center"/>
              <w:rPr>
                <w:rFonts w:hAnsi="標楷體"/>
                <w:color w:val="000000" w:themeColor="text1"/>
                <w:sz w:val="24"/>
                <w:szCs w:val="24"/>
              </w:rPr>
            </w:pPr>
            <w:r w:rsidRPr="008B619A">
              <w:rPr>
                <w:rFonts w:hAnsi="標楷體" w:hint="eastAsia"/>
                <w:color w:val="000000" w:themeColor="text1"/>
                <w:sz w:val="24"/>
                <w:szCs w:val="24"/>
              </w:rPr>
              <w:t>0.18</w:t>
            </w:r>
          </w:p>
        </w:tc>
        <w:tc>
          <w:tcPr>
            <w:tcW w:w="387" w:type="pct"/>
            <w:vAlign w:val="center"/>
          </w:tcPr>
          <w:p w14:paraId="6F6D6B2D" w14:textId="77777777" w:rsidR="003417DA" w:rsidRPr="008B619A" w:rsidRDefault="003417DA" w:rsidP="005F4AB4">
            <w:pPr>
              <w:jc w:val="center"/>
              <w:rPr>
                <w:rFonts w:hAnsi="標楷體"/>
                <w:color w:val="000000" w:themeColor="text1"/>
                <w:sz w:val="24"/>
                <w:szCs w:val="24"/>
              </w:rPr>
            </w:pPr>
            <w:r w:rsidRPr="008B619A">
              <w:rPr>
                <w:rFonts w:hAnsi="標楷體"/>
                <w:color w:val="000000" w:themeColor="text1"/>
                <w:sz w:val="24"/>
                <w:szCs w:val="24"/>
              </w:rPr>
              <w:t>169</w:t>
            </w:r>
          </w:p>
        </w:tc>
        <w:tc>
          <w:tcPr>
            <w:tcW w:w="389" w:type="pct"/>
            <w:tcBorders>
              <w:right w:val="double" w:sz="4" w:space="0" w:color="auto"/>
            </w:tcBorders>
            <w:vAlign w:val="center"/>
          </w:tcPr>
          <w:p w14:paraId="53B59E00" w14:textId="77777777" w:rsidR="003417DA" w:rsidRPr="008B619A" w:rsidRDefault="003417DA" w:rsidP="005F4AB4">
            <w:pPr>
              <w:jc w:val="center"/>
              <w:rPr>
                <w:rFonts w:hAnsi="標楷體"/>
                <w:color w:val="000000" w:themeColor="text1"/>
                <w:sz w:val="24"/>
                <w:szCs w:val="24"/>
              </w:rPr>
            </w:pPr>
            <w:r w:rsidRPr="008B619A">
              <w:rPr>
                <w:rFonts w:hAnsi="標楷體"/>
                <w:color w:val="000000" w:themeColor="text1"/>
                <w:sz w:val="24"/>
                <w:szCs w:val="24"/>
              </w:rPr>
              <w:t>0.86</w:t>
            </w:r>
          </w:p>
        </w:tc>
        <w:tc>
          <w:tcPr>
            <w:tcW w:w="388" w:type="pct"/>
            <w:tcBorders>
              <w:left w:val="double" w:sz="4" w:space="0" w:color="auto"/>
            </w:tcBorders>
            <w:vAlign w:val="center"/>
          </w:tcPr>
          <w:p w14:paraId="797B3B31" w14:textId="77777777" w:rsidR="003417DA" w:rsidRPr="008B619A" w:rsidRDefault="003417DA" w:rsidP="005F4AB4">
            <w:pPr>
              <w:jc w:val="center"/>
              <w:rPr>
                <w:rFonts w:hAnsi="標楷體"/>
                <w:color w:val="000000" w:themeColor="text1"/>
                <w:sz w:val="24"/>
                <w:szCs w:val="24"/>
              </w:rPr>
            </w:pPr>
            <w:r w:rsidRPr="008B619A">
              <w:rPr>
                <w:rFonts w:hAnsi="標楷體" w:hint="eastAsia"/>
                <w:color w:val="000000" w:themeColor="text1"/>
                <w:sz w:val="24"/>
                <w:szCs w:val="24"/>
              </w:rPr>
              <w:t>247</w:t>
            </w:r>
          </w:p>
        </w:tc>
        <w:tc>
          <w:tcPr>
            <w:tcW w:w="389" w:type="pct"/>
            <w:vAlign w:val="center"/>
          </w:tcPr>
          <w:p w14:paraId="079AB4CD" w14:textId="77777777" w:rsidR="003417DA" w:rsidRPr="008B619A" w:rsidRDefault="003417DA" w:rsidP="005F4AB4">
            <w:pPr>
              <w:jc w:val="center"/>
              <w:rPr>
                <w:rFonts w:hAnsi="標楷體"/>
                <w:color w:val="000000" w:themeColor="text1"/>
                <w:sz w:val="24"/>
                <w:szCs w:val="24"/>
              </w:rPr>
            </w:pPr>
            <w:r w:rsidRPr="008B619A">
              <w:rPr>
                <w:rFonts w:hAnsi="標楷體" w:hint="eastAsia"/>
                <w:color w:val="000000" w:themeColor="text1"/>
                <w:sz w:val="24"/>
                <w:szCs w:val="24"/>
              </w:rPr>
              <w:t>2.02</w:t>
            </w:r>
          </w:p>
        </w:tc>
        <w:tc>
          <w:tcPr>
            <w:tcW w:w="387" w:type="pct"/>
            <w:vAlign w:val="center"/>
          </w:tcPr>
          <w:p w14:paraId="5516C276" w14:textId="77777777" w:rsidR="003417DA" w:rsidRPr="008B619A" w:rsidRDefault="003417DA" w:rsidP="005F4AB4">
            <w:pPr>
              <w:jc w:val="center"/>
              <w:rPr>
                <w:rFonts w:hAnsi="標楷體"/>
                <w:color w:val="000000" w:themeColor="text1"/>
                <w:sz w:val="24"/>
                <w:szCs w:val="24"/>
              </w:rPr>
            </w:pPr>
            <w:r w:rsidRPr="008B619A">
              <w:rPr>
                <w:rFonts w:hAnsi="標楷體" w:hint="eastAsia"/>
                <w:color w:val="000000" w:themeColor="text1"/>
                <w:sz w:val="24"/>
                <w:szCs w:val="24"/>
              </w:rPr>
              <w:t>65</w:t>
            </w:r>
          </w:p>
        </w:tc>
        <w:tc>
          <w:tcPr>
            <w:tcW w:w="389" w:type="pct"/>
            <w:vAlign w:val="center"/>
          </w:tcPr>
          <w:p w14:paraId="652F063A" w14:textId="77777777" w:rsidR="003417DA" w:rsidRPr="008B619A" w:rsidRDefault="003417DA" w:rsidP="005F4AB4">
            <w:pPr>
              <w:jc w:val="center"/>
              <w:rPr>
                <w:rFonts w:hAnsi="標楷體"/>
                <w:color w:val="000000" w:themeColor="text1"/>
                <w:sz w:val="24"/>
                <w:szCs w:val="24"/>
              </w:rPr>
            </w:pPr>
            <w:r w:rsidRPr="008B619A">
              <w:rPr>
                <w:rFonts w:hAnsi="標楷體" w:hint="eastAsia"/>
                <w:color w:val="000000" w:themeColor="text1"/>
                <w:sz w:val="24"/>
                <w:szCs w:val="24"/>
              </w:rPr>
              <w:t>0.50</w:t>
            </w:r>
          </w:p>
        </w:tc>
        <w:tc>
          <w:tcPr>
            <w:tcW w:w="388" w:type="pct"/>
            <w:vAlign w:val="center"/>
          </w:tcPr>
          <w:p w14:paraId="580EC559" w14:textId="77777777" w:rsidR="003417DA" w:rsidRPr="008B619A" w:rsidRDefault="003417DA" w:rsidP="005F4AB4">
            <w:pPr>
              <w:jc w:val="center"/>
              <w:rPr>
                <w:rFonts w:hAnsi="標楷體"/>
                <w:color w:val="000000" w:themeColor="text1"/>
                <w:sz w:val="24"/>
                <w:szCs w:val="24"/>
              </w:rPr>
            </w:pPr>
            <w:r w:rsidRPr="008B619A">
              <w:rPr>
                <w:rFonts w:hAnsi="標楷體" w:hint="eastAsia"/>
                <w:color w:val="000000" w:themeColor="text1"/>
                <w:sz w:val="24"/>
                <w:szCs w:val="24"/>
              </w:rPr>
              <w:t>312</w:t>
            </w:r>
          </w:p>
        </w:tc>
        <w:tc>
          <w:tcPr>
            <w:tcW w:w="408" w:type="pct"/>
            <w:vAlign w:val="center"/>
          </w:tcPr>
          <w:p w14:paraId="49B5BED9" w14:textId="77777777" w:rsidR="003417DA" w:rsidRPr="008B619A" w:rsidRDefault="003417DA" w:rsidP="005F4AB4">
            <w:pPr>
              <w:jc w:val="center"/>
              <w:rPr>
                <w:rFonts w:hAnsi="標楷體"/>
                <w:color w:val="000000" w:themeColor="text1"/>
                <w:sz w:val="24"/>
                <w:szCs w:val="24"/>
              </w:rPr>
            </w:pPr>
            <w:r w:rsidRPr="008B619A">
              <w:rPr>
                <w:rFonts w:hAnsi="標楷體" w:hint="eastAsia"/>
                <w:color w:val="000000" w:themeColor="text1"/>
                <w:sz w:val="24"/>
                <w:szCs w:val="24"/>
              </w:rPr>
              <w:t>1.24</w:t>
            </w:r>
          </w:p>
        </w:tc>
      </w:tr>
      <w:tr w:rsidR="00643D6C" w:rsidRPr="008B619A" w14:paraId="25C91A0E" w14:textId="77777777" w:rsidTr="00643D6C">
        <w:trPr>
          <w:trHeight w:val="60"/>
          <w:jc w:val="center"/>
        </w:trPr>
        <w:tc>
          <w:tcPr>
            <w:tcW w:w="317" w:type="pct"/>
            <w:noWrap/>
            <w:vAlign w:val="center"/>
          </w:tcPr>
          <w:p w14:paraId="0673E1D0" w14:textId="77777777" w:rsidR="003417DA" w:rsidRPr="008B619A" w:rsidRDefault="003417DA" w:rsidP="005F4AB4">
            <w:pPr>
              <w:snapToGrid w:val="0"/>
              <w:spacing w:line="460" w:lineRule="atLeast"/>
              <w:jc w:val="center"/>
              <w:rPr>
                <w:rFonts w:hAnsi="標楷體"/>
                <w:b/>
                <w:color w:val="000000" w:themeColor="text1"/>
                <w:sz w:val="24"/>
                <w:szCs w:val="24"/>
              </w:rPr>
            </w:pPr>
            <w:r w:rsidRPr="008B619A">
              <w:rPr>
                <w:rFonts w:hAnsi="標楷體"/>
                <w:b/>
                <w:color w:val="000000" w:themeColor="text1"/>
                <w:sz w:val="24"/>
                <w:szCs w:val="24"/>
              </w:rPr>
              <w:t>107</w:t>
            </w:r>
          </w:p>
        </w:tc>
        <w:tc>
          <w:tcPr>
            <w:tcW w:w="389" w:type="pct"/>
            <w:tcBorders>
              <w:top w:val="nil"/>
              <w:left w:val="nil"/>
              <w:bottom w:val="single" w:sz="8" w:space="0" w:color="auto"/>
              <w:right w:val="single" w:sz="8" w:space="0" w:color="auto"/>
            </w:tcBorders>
            <w:shd w:val="clear" w:color="auto" w:fill="auto"/>
            <w:vAlign w:val="center"/>
          </w:tcPr>
          <w:p w14:paraId="26AAAB2D" w14:textId="77777777" w:rsidR="003417DA" w:rsidRPr="008B619A" w:rsidRDefault="003417DA" w:rsidP="005F4AB4">
            <w:pPr>
              <w:jc w:val="center"/>
              <w:rPr>
                <w:rFonts w:hAnsi="標楷體"/>
                <w:color w:val="000000" w:themeColor="text1"/>
                <w:sz w:val="24"/>
                <w:szCs w:val="24"/>
              </w:rPr>
            </w:pPr>
            <w:r w:rsidRPr="008B619A">
              <w:rPr>
                <w:rFonts w:hAnsi="標楷體"/>
                <w:color w:val="000000" w:themeColor="text1"/>
                <w:sz w:val="24"/>
                <w:szCs w:val="24"/>
              </w:rPr>
              <w:t>186</w:t>
            </w:r>
          </w:p>
        </w:tc>
        <w:tc>
          <w:tcPr>
            <w:tcW w:w="390" w:type="pct"/>
            <w:tcBorders>
              <w:top w:val="nil"/>
              <w:left w:val="nil"/>
              <w:bottom w:val="single" w:sz="8" w:space="0" w:color="auto"/>
              <w:right w:val="single" w:sz="8" w:space="0" w:color="auto"/>
            </w:tcBorders>
            <w:shd w:val="clear" w:color="auto" w:fill="auto"/>
            <w:vAlign w:val="center"/>
          </w:tcPr>
          <w:p w14:paraId="7C75A32D" w14:textId="77777777" w:rsidR="003417DA" w:rsidRPr="008B619A" w:rsidRDefault="003417DA" w:rsidP="005F4AB4">
            <w:pPr>
              <w:jc w:val="center"/>
              <w:rPr>
                <w:rFonts w:hAnsi="標楷體"/>
                <w:color w:val="000000" w:themeColor="text1"/>
                <w:sz w:val="24"/>
                <w:szCs w:val="24"/>
              </w:rPr>
            </w:pPr>
            <w:r w:rsidRPr="008B619A">
              <w:rPr>
                <w:rFonts w:hAnsi="標楷體" w:hint="eastAsia"/>
                <w:color w:val="000000" w:themeColor="text1"/>
                <w:sz w:val="24"/>
                <w:szCs w:val="24"/>
              </w:rPr>
              <w:t>1.23</w:t>
            </w:r>
          </w:p>
        </w:tc>
        <w:tc>
          <w:tcPr>
            <w:tcW w:w="389" w:type="pct"/>
            <w:tcBorders>
              <w:top w:val="nil"/>
              <w:left w:val="nil"/>
              <w:bottom w:val="single" w:sz="8" w:space="0" w:color="auto"/>
              <w:right w:val="single" w:sz="8" w:space="0" w:color="auto"/>
            </w:tcBorders>
            <w:shd w:val="clear" w:color="auto" w:fill="auto"/>
            <w:vAlign w:val="center"/>
          </w:tcPr>
          <w:p w14:paraId="480200A4" w14:textId="77777777" w:rsidR="003417DA" w:rsidRPr="008B619A" w:rsidRDefault="003417DA" w:rsidP="005F4AB4">
            <w:pPr>
              <w:jc w:val="center"/>
              <w:rPr>
                <w:rFonts w:hAnsi="標楷體"/>
                <w:color w:val="000000" w:themeColor="text1"/>
                <w:sz w:val="24"/>
                <w:szCs w:val="24"/>
              </w:rPr>
            </w:pPr>
            <w:r w:rsidRPr="008B619A">
              <w:rPr>
                <w:rFonts w:hAnsi="標楷體"/>
                <w:color w:val="000000" w:themeColor="text1"/>
                <w:sz w:val="24"/>
                <w:szCs w:val="24"/>
              </w:rPr>
              <w:t>12</w:t>
            </w:r>
          </w:p>
        </w:tc>
        <w:tc>
          <w:tcPr>
            <w:tcW w:w="390" w:type="pct"/>
            <w:vAlign w:val="center"/>
          </w:tcPr>
          <w:p w14:paraId="0FDF60D5" w14:textId="77777777" w:rsidR="003417DA" w:rsidRPr="008B619A" w:rsidRDefault="003417DA" w:rsidP="005F4AB4">
            <w:pPr>
              <w:jc w:val="center"/>
              <w:rPr>
                <w:rFonts w:hAnsi="標楷體"/>
                <w:color w:val="000000" w:themeColor="text1"/>
                <w:sz w:val="24"/>
                <w:szCs w:val="24"/>
              </w:rPr>
            </w:pPr>
            <w:r w:rsidRPr="008B619A">
              <w:rPr>
                <w:rFonts w:hAnsi="標楷體" w:hint="eastAsia"/>
                <w:color w:val="000000" w:themeColor="text1"/>
                <w:sz w:val="24"/>
                <w:szCs w:val="24"/>
              </w:rPr>
              <w:t>0.27</w:t>
            </w:r>
          </w:p>
        </w:tc>
        <w:tc>
          <w:tcPr>
            <w:tcW w:w="387" w:type="pct"/>
            <w:tcBorders>
              <w:top w:val="nil"/>
              <w:left w:val="nil"/>
              <w:bottom w:val="single" w:sz="8" w:space="0" w:color="auto"/>
              <w:right w:val="single" w:sz="8" w:space="0" w:color="auto"/>
            </w:tcBorders>
            <w:shd w:val="clear" w:color="auto" w:fill="auto"/>
            <w:vAlign w:val="center"/>
          </w:tcPr>
          <w:p w14:paraId="07928946" w14:textId="77777777" w:rsidR="003417DA" w:rsidRPr="008B619A" w:rsidRDefault="003417DA" w:rsidP="005F4AB4">
            <w:pPr>
              <w:jc w:val="center"/>
              <w:rPr>
                <w:rFonts w:hAnsi="標楷體"/>
                <w:color w:val="000000" w:themeColor="text1"/>
                <w:sz w:val="24"/>
                <w:szCs w:val="24"/>
              </w:rPr>
            </w:pPr>
            <w:r w:rsidRPr="008B619A">
              <w:rPr>
                <w:rFonts w:hAnsi="標楷體"/>
                <w:color w:val="000000" w:themeColor="text1"/>
                <w:sz w:val="24"/>
                <w:szCs w:val="24"/>
              </w:rPr>
              <w:t>198</w:t>
            </w:r>
          </w:p>
        </w:tc>
        <w:tc>
          <w:tcPr>
            <w:tcW w:w="389" w:type="pct"/>
            <w:tcBorders>
              <w:top w:val="nil"/>
              <w:left w:val="nil"/>
              <w:bottom w:val="single" w:sz="8" w:space="0" w:color="auto"/>
              <w:right w:val="single" w:sz="8" w:space="0" w:color="auto"/>
            </w:tcBorders>
            <w:shd w:val="clear" w:color="auto" w:fill="auto"/>
            <w:vAlign w:val="center"/>
          </w:tcPr>
          <w:p w14:paraId="1BA8F742" w14:textId="77777777" w:rsidR="003417DA" w:rsidRPr="008B619A" w:rsidRDefault="003417DA" w:rsidP="005F4AB4">
            <w:pPr>
              <w:jc w:val="center"/>
              <w:rPr>
                <w:rFonts w:hAnsi="標楷體"/>
                <w:color w:val="000000" w:themeColor="text1"/>
                <w:sz w:val="24"/>
                <w:szCs w:val="24"/>
              </w:rPr>
            </w:pPr>
            <w:r w:rsidRPr="008B619A">
              <w:rPr>
                <w:rFonts w:hAnsi="標楷體"/>
                <w:color w:val="000000" w:themeColor="text1"/>
                <w:sz w:val="24"/>
                <w:szCs w:val="24"/>
              </w:rPr>
              <w:t>1.01</w:t>
            </w:r>
          </w:p>
        </w:tc>
        <w:tc>
          <w:tcPr>
            <w:tcW w:w="388" w:type="pct"/>
            <w:tcBorders>
              <w:left w:val="double" w:sz="4" w:space="0" w:color="auto"/>
            </w:tcBorders>
            <w:vAlign w:val="center"/>
          </w:tcPr>
          <w:p w14:paraId="3C2254A0" w14:textId="77777777" w:rsidR="003417DA" w:rsidRPr="008B619A" w:rsidRDefault="003417DA" w:rsidP="005F4AB4">
            <w:pPr>
              <w:jc w:val="center"/>
              <w:rPr>
                <w:rFonts w:hAnsi="標楷體"/>
                <w:color w:val="000000" w:themeColor="text1"/>
                <w:sz w:val="24"/>
                <w:szCs w:val="24"/>
              </w:rPr>
            </w:pPr>
            <w:r w:rsidRPr="008B619A">
              <w:rPr>
                <w:rFonts w:hAnsi="標楷體" w:hint="eastAsia"/>
                <w:color w:val="000000" w:themeColor="text1"/>
                <w:sz w:val="24"/>
                <w:szCs w:val="24"/>
              </w:rPr>
              <w:t>245</w:t>
            </w:r>
          </w:p>
        </w:tc>
        <w:tc>
          <w:tcPr>
            <w:tcW w:w="389" w:type="pct"/>
            <w:vAlign w:val="center"/>
          </w:tcPr>
          <w:p w14:paraId="0C155A11" w14:textId="77777777" w:rsidR="003417DA" w:rsidRPr="008B619A" w:rsidRDefault="003417DA" w:rsidP="005F4AB4">
            <w:pPr>
              <w:jc w:val="center"/>
              <w:rPr>
                <w:rFonts w:hAnsi="標楷體"/>
                <w:color w:val="000000" w:themeColor="text1"/>
                <w:sz w:val="24"/>
                <w:szCs w:val="24"/>
              </w:rPr>
            </w:pPr>
            <w:r w:rsidRPr="008B619A">
              <w:rPr>
                <w:rFonts w:hAnsi="標楷體" w:hint="eastAsia"/>
                <w:color w:val="000000" w:themeColor="text1"/>
                <w:sz w:val="24"/>
                <w:szCs w:val="24"/>
              </w:rPr>
              <w:t>2.13</w:t>
            </w:r>
          </w:p>
        </w:tc>
        <w:tc>
          <w:tcPr>
            <w:tcW w:w="387" w:type="pct"/>
            <w:vAlign w:val="center"/>
          </w:tcPr>
          <w:p w14:paraId="2A2CECC8" w14:textId="77777777" w:rsidR="003417DA" w:rsidRPr="008B619A" w:rsidRDefault="003417DA" w:rsidP="005F4AB4">
            <w:pPr>
              <w:jc w:val="center"/>
              <w:rPr>
                <w:rFonts w:hAnsi="標楷體"/>
                <w:color w:val="000000" w:themeColor="text1"/>
                <w:sz w:val="24"/>
                <w:szCs w:val="24"/>
              </w:rPr>
            </w:pPr>
            <w:r w:rsidRPr="008B619A">
              <w:rPr>
                <w:rFonts w:hAnsi="標楷體" w:hint="eastAsia"/>
                <w:color w:val="000000" w:themeColor="text1"/>
                <w:sz w:val="24"/>
                <w:szCs w:val="24"/>
              </w:rPr>
              <w:t>6</w:t>
            </w:r>
            <w:r w:rsidRPr="008B619A">
              <w:rPr>
                <w:rFonts w:hAnsi="標楷體"/>
                <w:color w:val="000000" w:themeColor="text1"/>
                <w:sz w:val="24"/>
                <w:szCs w:val="24"/>
              </w:rPr>
              <w:t>1</w:t>
            </w:r>
          </w:p>
        </w:tc>
        <w:tc>
          <w:tcPr>
            <w:tcW w:w="389" w:type="pct"/>
            <w:vAlign w:val="center"/>
          </w:tcPr>
          <w:p w14:paraId="18848DC0" w14:textId="77777777" w:rsidR="003417DA" w:rsidRPr="008B619A" w:rsidRDefault="003417DA" w:rsidP="005F4AB4">
            <w:pPr>
              <w:jc w:val="center"/>
              <w:rPr>
                <w:rFonts w:hAnsi="標楷體"/>
                <w:color w:val="000000" w:themeColor="text1"/>
                <w:sz w:val="24"/>
                <w:szCs w:val="24"/>
              </w:rPr>
            </w:pPr>
            <w:r w:rsidRPr="008B619A">
              <w:rPr>
                <w:rFonts w:hAnsi="標楷體" w:hint="eastAsia"/>
                <w:color w:val="000000" w:themeColor="text1"/>
                <w:sz w:val="24"/>
                <w:szCs w:val="24"/>
              </w:rPr>
              <w:t>0.5</w:t>
            </w:r>
            <w:r w:rsidRPr="008B619A">
              <w:rPr>
                <w:rFonts w:hAnsi="標楷體"/>
                <w:color w:val="000000" w:themeColor="text1"/>
                <w:sz w:val="24"/>
                <w:szCs w:val="24"/>
              </w:rPr>
              <w:t>3</w:t>
            </w:r>
          </w:p>
        </w:tc>
        <w:tc>
          <w:tcPr>
            <w:tcW w:w="388" w:type="pct"/>
            <w:vAlign w:val="center"/>
          </w:tcPr>
          <w:p w14:paraId="303EB11A" w14:textId="77777777" w:rsidR="003417DA" w:rsidRPr="008B619A" w:rsidRDefault="003417DA" w:rsidP="005F4AB4">
            <w:pPr>
              <w:jc w:val="center"/>
              <w:rPr>
                <w:rFonts w:hAnsi="標楷體"/>
                <w:color w:val="000000" w:themeColor="text1"/>
                <w:sz w:val="24"/>
                <w:szCs w:val="24"/>
              </w:rPr>
            </w:pPr>
            <w:r w:rsidRPr="008B619A">
              <w:rPr>
                <w:rFonts w:hAnsi="標楷體" w:hint="eastAsia"/>
                <w:color w:val="000000" w:themeColor="text1"/>
                <w:sz w:val="24"/>
                <w:szCs w:val="24"/>
              </w:rPr>
              <w:t>30</w:t>
            </w:r>
            <w:r w:rsidRPr="008B619A">
              <w:rPr>
                <w:rFonts w:hAnsi="標楷體"/>
                <w:color w:val="000000" w:themeColor="text1"/>
                <w:sz w:val="24"/>
                <w:szCs w:val="24"/>
              </w:rPr>
              <w:t>6</w:t>
            </w:r>
          </w:p>
        </w:tc>
        <w:tc>
          <w:tcPr>
            <w:tcW w:w="408" w:type="pct"/>
            <w:vAlign w:val="center"/>
          </w:tcPr>
          <w:p w14:paraId="701D0EAE" w14:textId="77777777" w:rsidR="003417DA" w:rsidRPr="008B619A" w:rsidRDefault="003417DA" w:rsidP="005F4AB4">
            <w:pPr>
              <w:jc w:val="center"/>
              <w:rPr>
                <w:rFonts w:hAnsi="標楷體"/>
                <w:color w:val="000000" w:themeColor="text1"/>
                <w:sz w:val="24"/>
                <w:szCs w:val="24"/>
              </w:rPr>
            </w:pPr>
            <w:r w:rsidRPr="008B619A">
              <w:rPr>
                <w:rFonts w:hAnsi="標楷體" w:hint="eastAsia"/>
                <w:color w:val="000000" w:themeColor="text1"/>
                <w:sz w:val="24"/>
                <w:szCs w:val="24"/>
              </w:rPr>
              <w:t>1.33</w:t>
            </w:r>
          </w:p>
        </w:tc>
      </w:tr>
      <w:tr w:rsidR="00643D6C" w:rsidRPr="008B619A" w14:paraId="61BF442A" w14:textId="77777777" w:rsidTr="00643D6C">
        <w:trPr>
          <w:trHeight w:val="60"/>
          <w:jc w:val="center"/>
        </w:trPr>
        <w:tc>
          <w:tcPr>
            <w:tcW w:w="317" w:type="pct"/>
            <w:noWrap/>
            <w:vAlign w:val="center"/>
          </w:tcPr>
          <w:p w14:paraId="2EF953D8" w14:textId="77777777" w:rsidR="003417DA" w:rsidRPr="008B619A" w:rsidRDefault="003417DA" w:rsidP="005F4AB4">
            <w:pPr>
              <w:widowControl/>
              <w:jc w:val="center"/>
              <w:rPr>
                <w:rFonts w:hAnsi="標楷體" w:cs="新細明體"/>
                <w:b/>
                <w:color w:val="000000" w:themeColor="text1"/>
                <w:sz w:val="24"/>
                <w:szCs w:val="24"/>
                <w:lang w:bidi="hi-IN"/>
              </w:rPr>
            </w:pPr>
            <w:r w:rsidRPr="008B619A">
              <w:rPr>
                <w:rFonts w:hAnsi="標楷體" w:cs="新細明體"/>
                <w:b/>
                <w:color w:val="000000" w:themeColor="text1"/>
                <w:sz w:val="24"/>
                <w:szCs w:val="24"/>
                <w:lang w:bidi="hi-IN"/>
              </w:rPr>
              <w:t>108</w:t>
            </w:r>
          </w:p>
        </w:tc>
        <w:tc>
          <w:tcPr>
            <w:tcW w:w="389" w:type="pct"/>
            <w:tcBorders>
              <w:top w:val="nil"/>
              <w:left w:val="nil"/>
              <w:bottom w:val="single" w:sz="8" w:space="0" w:color="auto"/>
              <w:right w:val="single" w:sz="8" w:space="0" w:color="auto"/>
            </w:tcBorders>
            <w:shd w:val="clear" w:color="auto" w:fill="auto"/>
            <w:vAlign w:val="center"/>
          </w:tcPr>
          <w:p w14:paraId="2E124742" w14:textId="77777777" w:rsidR="003417DA" w:rsidRPr="008B619A" w:rsidRDefault="003417DA" w:rsidP="005F4AB4">
            <w:pPr>
              <w:jc w:val="center"/>
              <w:rPr>
                <w:rFonts w:hAnsi="標楷體"/>
                <w:color w:val="000000" w:themeColor="text1"/>
                <w:sz w:val="24"/>
                <w:szCs w:val="24"/>
              </w:rPr>
            </w:pPr>
            <w:r w:rsidRPr="008B619A">
              <w:rPr>
                <w:rFonts w:hAnsi="標楷體"/>
                <w:color w:val="000000" w:themeColor="text1"/>
                <w:sz w:val="24"/>
                <w:szCs w:val="24"/>
              </w:rPr>
              <w:t>243</w:t>
            </w:r>
          </w:p>
        </w:tc>
        <w:tc>
          <w:tcPr>
            <w:tcW w:w="390" w:type="pct"/>
            <w:tcBorders>
              <w:top w:val="nil"/>
              <w:left w:val="nil"/>
              <w:bottom w:val="single" w:sz="8" w:space="0" w:color="auto"/>
              <w:right w:val="single" w:sz="8" w:space="0" w:color="auto"/>
            </w:tcBorders>
            <w:shd w:val="clear" w:color="auto" w:fill="auto"/>
            <w:vAlign w:val="center"/>
          </w:tcPr>
          <w:p w14:paraId="0E4474E3" w14:textId="77777777" w:rsidR="003417DA" w:rsidRPr="008B619A" w:rsidRDefault="003417DA" w:rsidP="005F4AB4">
            <w:pPr>
              <w:jc w:val="center"/>
              <w:rPr>
                <w:rFonts w:hAnsi="標楷體"/>
                <w:color w:val="000000" w:themeColor="text1"/>
                <w:sz w:val="24"/>
                <w:szCs w:val="24"/>
              </w:rPr>
            </w:pPr>
            <w:r w:rsidRPr="008B619A">
              <w:rPr>
                <w:rFonts w:hAnsi="標楷體" w:hint="eastAsia"/>
                <w:color w:val="000000" w:themeColor="text1"/>
                <w:sz w:val="24"/>
                <w:szCs w:val="24"/>
              </w:rPr>
              <w:t>1.60</w:t>
            </w:r>
          </w:p>
        </w:tc>
        <w:tc>
          <w:tcPr>
            <w:tcW w:w="389" w:type="pct"/>
            <w:tcBorders>
              <w:top w:val="nil"/>
              <w:left w:val="nil"/>
              <w:bottom w:val="single" w:sz="8" w:space="0" w:color="auto"/>
              <w:right w:val="single" w:sz="8" w:space="0" w:color="auto"/>
            </w:tcBorders>
            <w:shd w:val="clear" w:color="auto" w:fill="auto"/>
            <w:vAlign w:val="center"/>
          </w:tcPr>
          <w:p w14:paraId="7344EDFF" w14:textId="77777777" w:rsidR="003417DA" w:rsidRPr="008B619A" w:rsidRDefault="003417DA" w:rsidP="005F4AB4">
            <w:pPr>
              <w:jc w:val="center"/>
              <w:rPr>
                <w:rFonts w:hAnsi="標楷體"/>
                <w:color w:val="000000" w:themeColor="text1"/>
                <w:sz w:val="24"/>
                <w:szCs w:val="24"/>
              </w:rPr>
            </w:pPr>
            <w:r w:rsidRPr="008B619A">
              <w:rPr>
                <w:rFonts w:hAnsi="標楷體"/>
                <w:color w:val="000000" w:themeColor="text1"/>
                <w:sz w:val="24"/>
                <w:szCs w:val="24"/>
              </w:rPr>
              <w:t>16</w:t>
            </w:r>
          </w:p>
        </w:tc>
        <w:tc>
          <w:tcPr>
            <w:tcW w:w="390" w:type="pct"/>
            <w:vAlign w:val="center"/>
          </w:tcPr>
          <w:p w14:paraId="366B3F0E" w14:textId="77777777" w:rsidR="003417DA" w:rsidRPr="008B619A" w:rsidRDefault="003417DA" w:rsidP="005F4AB4">
            <w:pPr>
              <w:jc w:val="center"/>
              <w:rPr>
                <w:rFonts w:hAnsi="標楷體"/>
                <w:color w:val="000000" w:themeColor="text1"/>
                <w:sz w:val="24"/>
                <w:szCs w:val="24"/>
              </w:rPr>
            </w:pPr>
            <w:r w:rsidRPr="008B619A">
              <w:rPr>
                <w:rFonts w:hAnsi="標楷體" w:hint="eastAsia"/>
                <w:color w:val="000000" w:themeColor="text1"/>
                <w:sz w:val="24"/>
                <w:szCs w:val="24"/>
              </w:rPr>
              <w:t>0.35</w:t>
            </w:r>
          </w:p>
        </w:tc>
        <w:tc>
          <w:tcPr>
            <w:tcW w:w="387" w:type="pct"/>
            <w:tcBorders>
              <w:top w:val="nil"/>
              <w:left w:val="nil"/>
              <w:bottom w:val="single" w:sz="8" w:space="0" w:color="auto"/>
              <w:right w:val="single" w:sz="8" w:space="0" w:color="auto"/>
            </w:tcBorders>
            <w:shd w:val="clear" w:color="auto" w:fill="auto"/>
            <w:vAlign w:val="center"/>
          </w:tcPr>
          <w:p w14:paraId="4B5ED9D2" w14:textId="77777777" w:rsidR="003417DA" w:rsidRPr="008B619A" w:rsidRDefault="003417DA" w:rsidP="005F4AB4">
            <w:pPr>
              <w:jc w:val="center"/>
              <w:rPr>
                <w:rFonts w:hAnsi="標楷體"/>
                <w:color w:val="000000" w:themeColor="text1"/>
                <w:sz w:val="24"/>
                <w:szCs w:val="24"/>
              </w:rPr>
            </w:pPr>
            <w:r w:rsidRPr="008B619A">
              <w:rPr>
                <w:rFonts w:hAnsi="標楷體"/>
                <w:color w:val="000000" w:themeColor="text1"/>
                <w:sz w:val="24"/>
                <w:szCs w:val="24"/>
              </w:rPr>
              <w:t>259</w:t>
            </w:r>
          </w:p>
        </w:tc>
        <w:tc>
          <w:tcPr>
            <w:tcW w:w="389" w:type="pct"/>
            <w:tcBorders>
              <w:top w:val="nil"/>
              <w:left w:val="nil"/>
              <w:bottom w:val="single" w:sz="8" w:space="0" w:color="auto"/>
              <w:right w:val="single" w:sz="8" w:space="0" w:color="auto"/>
            </w:tcBorders>
            <w:shd w:val="clear" w:color="auto" w:fill="auto"/>
            <w:vAlign w:val="center"/>
          </w:tcPr>
          <w:p w14:paraId="10D7300C" w14:textId="77777777" w:rsidR="003417DA" w:rsidRPr="008B619A" w:rsidRDefault="003417DA" w:rsidP="005F4AB4">
            <w:pPr>
              <w:jc w:val="center"/>
              <w:rPr>
                <w:rFonts w:hAnsi="標楷體"/>
                <w:color w:val="000000" w:themeColor="text1"/>
                <w:sz w:val="24"/>
                <w:szCs w:val="24"/>
              </w:rPr>
            </w:pPr>
            <w:r w:rsidRPr="008B619A">
              <w:rPr>
                <w:rFonts w:hAnsi="標楷體"/>
                <w:color w:val="000000" w:themeColor="text1"/>
                <w:sz w:val="24"/>
                <w:szCs w:val="24"/>
              </w:rPr>
              <w:t>1.31</w:t>
            </w:r>
          </w:p>
        </w:tc>
        <w:tc>
          <w:tcPr>
            <w:tcW w:w="388" w:type="pct"/>
            <w:tcBorders>
              <w:left w:val="double" w:sz="4" w:space="0" w:color="auto"/>
            </w:tcBorders>
            <w:vAlign w:val="center"/>
          </w:tcPr>
          <w:p w14:paraId="2A5AFF46" w14:textId="77777777" w:rsidR="003417DA" w:rsidRPr="008B619A" w:rsidRDefault="003417DA" w:rsidP="005F4AB4">
            <w:pPr>
              <w:jc w:val="center"/>
              <w:rPr>
                <w:rFonts w:hAnsi="標楷體"/>
                <w:color w:val="000000" w:themeColor="text1"/>
                <w:sz w:val="24"/>
                <w:szCs w:val="24"/>
              </w:rPr>
            </w:pPr>
            <w:r w:rsidRPr="008B619A">
              <w:rPr>
                <w:rFonts w:hAnsi="標楷體" w:hint="eastAsia"/>
                <w:color w:val="000000" w:themeColor="text1"/>
                <w:sz w:val="24"/>
                <w:szCs w:val="24"/>
              </w:rPr>
              <w:t>186</w:t>
            </w:r>
          </w:p>
        </w:tc>
        <w:tc>
          <w:tcPr>
            <w:tcW w:w="389" w:type="pct"/>
            <w:vAlign w:val="center"/>
          </w:tcPr>
          <w:p w14:paraId="7FFFDBC5" w14:textId="77777777" w:rsidR="003417DA" w:rsidRPr="008B619A" w:rsidRDefault="003417DA" w:rsidP="005F4AB4">
            <w:pPr>
              <w:jc w:val="center"/>
              <w:rPr>
                <w:rFonts w:hAnsi="標楷體"/>
                <w:color w:val="000000" w:themeColor="text1"/>
                <w:sz w:val="24"/>
                <w:szCs w:val="24"/>
              </w:rPr>
            </w:pPr>
            <w:r w:rsidRPr="008B619A">
              <w:rPr>
                <w:rFonts w:hAnsi="標楷體" w:hint="eastAsia"/>
                <w:color w:val="000000" w:themeColor="text1"/>
                <w:sz w:val="24"/>
                <w:szCs w:val="24"/>
              </w:rPr>
              <w:t>1.58</w:t>
            </w:r>
          </w:p>
        </w:tc>
        <w:tc>
          <w:tcPr>
            <w:tcW w:w="387" w:type="pct"/>
            <w:vAlign w:val="center"/>
          </w:tcPr>
          <w:p w14:paraId="159F0F60" w14:textId="77777777" w:rsidR="003417DA" w:rsidRPr="008B619A" w:rsidRDefault="003417DA" w:rsidP="005F4AB4">
            <w:pPr>
              <w:jc w:val="center"/>
              <w:rPr>
                <w:rFonts w:hAnsi="標楷體"/>
                <w:color w:val="000000" w:themeColor="text1"/>
                <w:sz w:val="24"/>
                <w:szCs w:val="24"/>
              </w:rPr>
            </w:pPr>
            <w:r w:rsidRPr="008B619A">
              <w:rPr>
                <w:rFonts w:hAnsi="標楷體" w:hint="eastAsia"/>
                <w:color w:val="000000" w:themeColor="text1"/>
                <w:sz w:val="24"/>
                <w:szCs w:val="24"/>
              </w:rPr>
              <w:t>45</w:t>
            </w:r>
          </w:p>
        </w:tc>
        <w:tc>
          <w:tcPr>
            <w:tcW w:w="389" w:type="pct"/>
            <w:vAlign w:val="center"/>
          </w:tcPr>
          <w:p w14:paraId="121DA4A1" w14:textId="77777777" w:rsidR="003417DA" w:rsidRPr="008B619A" w:rsidRDefault="003417DA" w:rsidP="005F4AB4">
            <w:pPr>
              <w:jc w:val="center"/>
              <w:rPr>
                <w:rFonts w:hAnsi="標楷體"/>
                <w:color w:val="000000" w:themeColor="text1"/>
                <w:sz w:val="24"/>
                <w:szCs w:val="24"/>
              </w:rPr>
            </w:pPr>
            <w:r w:rsidRPr="008B619A">
              <w:rPr>
                <w:rFonts w:hAnsi="標楷體" w:hint="eastAsia"/>
                <w:color w:val="000000" w:themeColor="text1"/>
                <w:sz w:val="24"/>
                <w:szCs w:val="24"/>
              </w:rPr>
              <w:t>0.39</w:t>
            </w:r>
          </w:p>
        </w:tc>
        <w:tc>
          <w:tcPr>
            <w:tcW w:w="388" w:type="pct"/>
            <w:vAlign w:val="center"/>
          </w:tcPr>
          <w:p w14:paraId="1641644C" w14:textId="77777777" w:rsidR="003417DA" w:rsidRPr="008B619A" w:rsidRDefault="003417DA" w:rsidP="005F4AB4">
            <w:pPr>
              <w:jc w:val="center"/>
              <w:rPr>
                <w:rFonts w:hAnsi="標楷體"/>
                <w:color w:val="000000" w:themeColor="text1"/>
                <w:sz w:val="24"/>
                <w:szCs w:val="24"/>
              </w:rPr>
            </w:pPr>
            <w:r w:rsidRPr="008B619A">
              <w:rPr>
                <w:rFonts w:hAnsi="標楷體" w:hint="eastAsia"/>
                <w:color w:val="000000" w:themeColor="text1"/>
                <w:sz w:val="24"/>
                <w:szCs w:val="24"/>
              </w:rPr>
              <w:t>231</w:t>
            </w:r>
          </w:p>
        </w:tc>
        <w:tc>
          <w:tcPr>
            <w:tcW w:w="408" w:type="pct"/>
            <w:vAlign w:val="center"/>
          </w:tcPr>
          <w:p w14:paraId="65B166BD" w14:textId="77777777" w:rsidR="003417DA" w:rsidRPr="008B619A" w:rsidRDefault="003417DA" w:rsidP="005F4AB4">
            <w:pPr>
              <w:jc w:val="center"/>
              <w:rPr>
                <w:rFonts w:hAnsi="標楷體"/>
                <w:color w:val="000000" w:themeColor="text1"/>
                <w:sz w:val="24"/>
                <w:szCs w:val="24"/>
              </w:rPr>
            </w:pPr>
            <w:r w:rsidRPr="008B619A">
              <w:rPr>
                <w:rFonts w:hAnsi="標楷體" w:hint="eastAsia"/>
                <w:color w:val="000000" w:themeColor="text1"/>
                <w:sz w:val="24"/>
                <w:szCs w:val="24"/>
              </w:rPr>
              <w:t>0.99</w:t>
            </w:r>
          </w:p>
        </w:tc>
      </w:tr>
      <w:tr w:rsidR="00643D6C" w:rsidRPr="008B619A" w14:paraId="31FA17A7" w14:textId="77777777" w:rsidTr="00643D6C">
        <w:trPr>
          <w:trHeight w:val="60"/>
          <w:jc w:val="center"/>
        </w:trPr>
        <w:tc>
          <w:tcPr>
            <w:tcW w:w="317" w:type="pct"/>
            <w:noWrap/>
            <w:vAlign w:val="center"/>
          </w:tcPr>
          <w:p w14:paraId="01A6E17E" w14:textId="77777777" w:rsidR="003417DA" w:rsidRPr="008B619A" w:rsidRDefault="003417DA" w:rsidP="005F4AB4">
            <w:pPr>
              <w:widowControl/>
              <w:jc w:val="center"/>
              <w:rPr>
                <w:rFonts w:hAnsi="標楷體" w:cs="新細明體"/>
                <w:b/>
                <w:color w:val="000000" w:themeColor="text1"/>
                <w:sz w:val="24"/>
                <w:szCs w:val="24"/>
                <w:lang w:bidi="hi-IN"/>
              </w:rPr>
            </w:pPr>
            <w:r w:rsidRPr="008B619A">
              <w:rPr>
                <w:rFonts w:hAnsi="標楷體" w:cs="新細明體" w:hint="eastAsia"/>
                <w:b/>
                <w:color w:val="000000" w:themeColor="text1"/>
                <w:sz w:val="24"/>
                <w:szCs w:val="24"/>
                <w:lang w:bidi="hi-IN"/>
              </w:rPr>
              <w:t>109</w:t>
            </w:r>
          </w:p>
        </w:tc>
        <w:tc>
          <w:tcPr>
            <w:tcW w:w="389" w:type="pct"/>
            <w:tcBorders>
              <w:top w:val="nil"/>
              <w:left w:val="nil"/>
              <w:bottom w:val="single" w:sz="8" w:space="0" w:color="auto"/>
              <w:right w:val="single" w:sz="8" w:space="0" w:color="auto"/>
            </w:tcBorders>
            <w:shd w:val="clear" w:color="auto" w:fill="auto"/>
            <w:vAlign w:val="center"/>
          </w:tcPr>
          <w:p w14:paraId="7A255744" w14:textId="77777777" w:rsidR="003417DA" w:rsidRPr="008B619A" w:rsidRDefault="003417DA" w:rsidP="005F4AB4">
            <w:pPr>
              <w:jc w:val="center"/>
              <w:rPr>
                <w:rFonts w:hAnsi="標楷體"/>
                <w:color w:val="000000" w:themeColor="text1"/>
                <w:sz w:val="24"/>
                <w:szCs w:val="24"/>
              </w:rPr>
            </w:pPr>
            <w:r w:rsidRPr="008B619A">
              <w:rPr>
                <w:rFonts w:hAnsi="標楷體"/>
                <w:color w:val="000000" w:themeColor="text1"/>
                <w:sz w:val="24"/>
                <w:szCs w:val="24"/>
              </w:rPr>
              <w:t>334</w:t>
            </w:r>
          </w:p>
        </w:tc>
        <w:tc>
          <w:tcPr>
            <w:tcW w:w="390" w:type="pct"/>
            <w:tcBorders>
              <w:top w:val="nil"/>
              <w:left w:val="nil"/>
              <w:bottom w:val="single" w:sz="8" w:space="0" w:color="auto"/>
              <w:right w:val="single" w:sz="8" w:space="0" w:color="auto"/>
            </w:tcBorders>
            <w:shd w:val="clear" w:color="auto" w:fill="auto"/>
            <w:vAlign w:val="center"/>
          </w:tcPr>
          <w:p w14:paraId="0591CA43" w14:textId="77777777" w:rsidR="003417DA" w:rsidRPr="008B619A" w:rsidRDefault="003417DA" w:rsidP="005F4AB4">
            <w:pPr>
              <w:jc w:val="center"/>
              <w:rPr>
                <w:rFonts w:hAnsi="標楷體"/>
                <w:color w:val="000000" w:themeColor="text1"/>
                <w:sz w:val="24"/>
                <w:szCs w:val="24"/>
              </w:rPr>
            </w:pPr>
            <w:r w:rsidRPr="008B619A">
              <w:rPr>
                <w:rFonts w:hAnsi="標楷體" w:hint="eastAsia"/>
                <w:color w:val="000000" w:themeColor="text1"/>
                <w:sz w:val="24"/>
                <w:szCs w:val="24"/>
              </w:rPr>
              <w:t>2.19</w:t>
            </w:r>
          </w:p>
        </w:tc>
        <w:tc>
          <w:tcPr>
            <w:tcW w:w="389" w:type="pct"/>
            <w:tcBorders>
              <w:top w:val="nil"/>
              <w:left w:val="nil"/>
              <w:bottom w:val="single" w:sz="8" w:space="0" w:color="auto"/>
              <w:right w:val="single" w:sz="8" w:space="0" w:color="auto"/>
            </w:tcBorders>
            <w:shd w:val="clear" w:color="auto" w:fill="auto"/>
            <w:vAlign w:val="center"/>
          </w:tcPr>
          <w:p w14:paraId="4509236A" w14:textId="77777777" w:rsidR="003417DA" w:rsidRPr="008B619A" w:rsidRDefault="003417DA" w:rsidP="005F4AB4">
            <w:pPr>
              <w:jc w:val="center"/>
              <w:rPr>
                <w:rFonts w:hAnsi="標楷體"/>
                <w:color w:val="000000" w:themeColor="text1"/>
                <w:sz w:val="24"/>
                <w:szCs w:val="24"/>
              </w:rPr>
            </w:pPr>
            <w:r w:rsidRPr="008B619A">
              <w:rPr>
                <w:rFonts w:hAnsi="標楷體"/>
                <w:color w:val="000000" w:themeColor="text1"/>
                <w:sz w:val="24"/>
                <w:szCs w:val="24"/>
              </w:rPr>
              <w:t>35</w:t>
            </w:r>
          </w:p>
        </w:tc>
        <w:tc>
          <w:tcPr>
            <w:tcW w:w="390" w:type="pct"/>
            <w:vAlign w:val="center"/>
          </w:tcPr>
          <w:p w14:paraId="0AA06065" w14:textId="77777777" w:rsidR="003417DA" w:rsidRPr="008B619A" w:rsidRDefault="003417DA" w:rsidP="005F4AB4">
            <w:pPr>
              <w:jc w:val="center"/>
              <w:rPr>
                <w:rFonts w:hAnsi="標楷體"/>
                <w:color w:val="000000" w:themeColor="text1"/>
                <w:sz w:val="24"/>
                <w:szCs w:val="24"/>
              </w:rPr>
            </w:pPr>
            <w:r w:rsidRPr="008B619A">
              <w:rPr>
                <w:rFonts w:hAnsi="標楷體" w:hint="eastAsia"/>
                <w:color w:val="000000" w:themeColor="text1"/>
                <w:sz w:val="24"/>
                <w:szCs w:val="24"/>
              </w:rPr>
              <w:t>0.75</w:t>
            </w:r>
          </w:p>
        </w:tc>
        <w:tc>
          <w:tcPr>
            <w:tcW w:w="387" w:type="pct"/>
            <w:tcBorders>
              <w:top w:val="nil"/>
              <w:left w:val="nil"/>
              <w:bottom w:val="single" w:sz="8" w:space="0" w:color="auto"/>
              <w:right w:val="single" w:sz="8" w:space="0" w:color="auto"/>
            </w:tcBorders>
            <w:shd w:val="clear" w:color="auto" w:fill="auto"/>
            <w:vAlign w:val="center"/>
          </w:tcPr>
          <w:p w14:paraId="459EAFB9" w14:textId="77777777" w:rsidR="003417DA" w:rsidRPr="008B619A" w:rsidRDefault="003417DA" w:rsidP="005F4AB4">
            <w:pPr>
              <w:jc w:val="center"/>
              <w:rPr>
                <w:rFonts w:hAnsi="標楷體"/>
                <w:color w:val="000000" w:themeColor="text1"/>
                <w:sz w:val="24"/>
                <w:szCs w:val="24"/>
              </w:rPr>
            </w:pPr>
            <w:r w:rsidRPr="008B619A">
              <w:rPr>
                <w:rFonts w:hAnsi="標楷體"/>
                <w:color w:val="000000" w:themeColor="text1"/>
                <w:sz w:val="24"/>
                <w:szCs w:val="24"/>
              </w:rPr>
              <w:t>369</w:t>
            </w:r>
          </w:p>
        </w:tc>
        <w:tc>
          <w:tcPr>
            <w:tcW w:w="389" w:type="pct"/>
            <w:tcBorders>
              <w:top w:val="nil"/>
              <w:left w:val="nil"/>
              <w:bottom w:val="single" w:sz="8" w:space="0" w:color="auto"/>
              <w:right w:val="single" w:sz="8" w:space="0" w:color="auto"/>
            </w:tcBorders>
            <w:shd w:val="clear" w:color="auto" w:fill="auto"/>
            <w:vAlign w:val="center"/>
          </w:tcPr>
          <w:p w14:paraId="73C82C6A" w14:textId="77777777" w:rsidR="003417DA" w:rsidRPr="008B619A" w:rsidRDefault="003417DA" w:rsidP="005F4AB4">
            <w:pPr>
              <w:jc w:val="center"/>
              <w:rPr>
                <w:rFonts w:hAnsi="標楷體"/>
                <w:color w:val="000000" w:themeColor="text1"/>
                <w:sz w:val="24"/>
                <w:szCs w:val="24"/>
              </w:rPr>
            </w:pPr>
            <w:r w:rsidRPr="008B619A">
              <w:rPr>
                <w:rFonts w:hAnsi="標楷體"/>
                <w:color w:val="000000" w:themeColor="text1"/>
                <w:sz w:val="24"/>
                <w:szCs w:val="24"/>
              </w:rPr>
              <w:t>1.86</w:t>
            </w:r>
          </w:p>
        </w:tc>
        <w:tc>
          <w:tcPr>
            <w:tcW w:w="388" w:type="pct"/>
            <w:tcBorders>
              <w:left w:val="double" w:sz="4" w:space="0" w:color="auto"/>
            </w:tcBorders>
            <w:vAlign w:val="center"/>
          </w:tcPr>
          <w:p w14:paraId="615CC109" w14:textId="77777777" w:rsidR="003417DA" w:rsidRPr="008B619A" w:rsidRDefault="003417DA" w:rsidP="005F4AB4">
            <w:pPr>
              <w:jc w:val="center"/>
              <w:rPr>
                <w:rFonts w:hAnsi="標楷體"/>
                <w:color w:val="000000" w:themeColor="text1"/>
                <w:sz w:val="24"/>
                <w:szCs w:val="24"/>
              </w:rPr>
            </w:pPr>
            <w:r w:rsidRPr="008B619A">
              <w:rPr>
                <w:rFonts w:hAnsi="標楷體" w:hint="eastAsia"/>
                <w:color w:val="000000" w:themeColor="text1"/>
                <w:sz w:val="24"/>
                <w:szCs w:val="24"/>
              </w:rPr>
              <w:t>182</w:t>
            </w:r>
          </w:p>
        </w:tc>
        <w:tc>
          <w:tcPr>
            <w:tcW w:w="389" w:type="pct"/>
            <w:vAlign w:val="center"/>
          </w:tcPr>
          <w:p w14:paraId="3E667114" w14:textId="77777777" w:rsidR="003417DA" w:rsidRPr="008B619A" w:rsidRDefault="003417DA" w:rsidP="005F4AB4">
            <w:pPr>
              <w:jc w:val="center"/>
              <w:rPr>
                <w:rFonts w:hAnsi="標楷體"/>
                <w:color w:val="000000" w:themeColor="text1"/>
                <w:sz w:val="24"/>
                <w:szCs w:val="24"/>
              </w:rPr>
            </w:pPr>
            <w:r w:rsidRPr="008B619A">
              <w:rPr>
                <w:rFonts w:hAnsi="標楷體" w:hint="eastAsia"/>
                <w:color w:val="000000" w:themeColor="text1"/>
                <w:sz w:val="24"/>
                <w:szCs w:val="24"/>
              </w:rPr>
              <w:t>1.58</w:t>
            </w:r>
          </w:p>
        </w:tc>
        <w:tc>
          <w:tcPr>
            <w:tcW w:w="387" w:type="pct"/>
            <w:vAlign w:val="center"/>
          </w:tcPr>
          <w:p w14:paraId="7B0CDAF0" w14:textId="77777777" w:rsidR="003417DA" w:rsidRPr="008B619A" w:rsidRDefault="003417DA" w:rsidP="005F4AB4">
            <w:pPr>
              <w:jc w:val="center"/>
              <w:rPr>
                <w:rFonts w:hAnsi="標楷體"/>
                <w:color w:val="000000" w:themeColor="text1"/>
                <w:sz w:val="24"/>
                <w:szCs w:val="24"/>
              </w:rPr>
            </w:pPr>
            <w:r w:rsidRPr="008B619A">
              <w:rPr>
                <w:rFonts w:hAnsi="標楷體" w:hint="eastAsia"/>
                <w:color w:val="000000" w:themeColor="text1"/>
                <w:sz w:val="24"/>
                <w:szCs w:val="24"/>
              </w:rPr>
              <w:t>30</w:t>
            </w:r>
          </w:p>
        </w:tc>
        <w:tc>
          <w:tcPr>
            <w:tcW w:w="389" w:type="pct"/>
            <w:vAlign w:val="center"/>
          </w:tcPr>
          <w:p w14:paraId="37381EC0" w14:textId="77777777" w:rsidR="003417DA" w:rsidRPr="008B619A" w:rsidRDefault="003417DA" w:rsidP="005F4AB4">
            <w:pPr>
              <w:jc w:val="center"/>
              <w:rPr>
                <w:rFonts w:hAnsi="標楷體"/>
                <w:color w:val="000000" w:themeColor="text1"/>
                <w:sz w:val="24"/>
                <w:szCs w:val="24"/>
              </w:rPr>
            </w:pPr>
            <w:r w:rsidRPr="008B619A">
              <w:rPr>
                <w:rFonts w:hAnsi="標楷體" w:hint="eastAsia"/>
                <w:color w:val="000000" w:themeColor="text1"/>
                <w:sz w:val="24"/>
                <w:szCs w:val="24"/>
              </w:rPr>
              <w:t>0.27</w:t>
            </w:r>
          </w:p>
        </w:tc>
        <w:tc>
          <w:tcPr>
            <w:tcW w:w="388" w:type="pct"/>
            <w:vAlign w:val="center"/>
          </w:tcPr>
          <w:p w14:paraId="7F008570" w14:textId="77777777" w:rsidR="003417DA" w:rsidRPr="008B619A" w:rsidRDefault="003417DA" w:rsidP="005F4AB4">
            <w:pPr>
              <w:jc w:val="center"/>
              <w:rPr>
                <w:rFonts w:hAnsi="標楷體"/>
                <w:color w:val="000000" w:themeColor="text1"/>
                <w:sz w:val="24"/>
                <w:szCs w:val="24"/>
              </w:rPr>
            </w:pPr>
            <w:r w:rsidRPr="008B619A">
              <w:rPr>
                <w:rFonts w:hAnsi="標楷體" w:hint="eastAsia"/>
                <w:color w:val="000000" w:themeColor="text1"/>
                <w:sz w:val="24"/>
                <w:szCs w:val="24"/>
              </w:rPr>
              <w:t>212</w:t>
            </w:r>
          </w:p>
        </w:tc>
        <w:tc>
          <w:tcPr>
            <w:tcW w:w="408" w:type="pct"/>
            <w:vAlign w:val="center"/>
          </w:tcPr>
          <w:p w14:paraId="520C03C9" w14:textId="77777777" w:rsidR="003417DA" w:rsidRPr="008B619A" w:rsidRDefault="003417DA" w:rsidP="005F4AB4">
            <w:pPr>
              <w:jc w:val="center"/>
              <w:rPr>
                <w:rFonts w:hAnsi="標楷體"/>
                <w:color w:val="000000" w:themeColor="text1"/>
                <w:sz w:val="24"/>
                <w:szCs w:val="24"/>
              </w:rPr>
            </w:pPr>
            <w:r w:rsidRPr="008B619A">
              <w:rPr>
                <w:rFonts w:hAnsi="標楷體" w:hint="eastAsia"/>
                <w:color w:val="000000" w:themeColor="text1"/>
                <w:sz w:val="24"/>
                <w:szCs w:val="24"/>
              </w:rPr>
              <w:t>0.94</w:t>
            </w:r>
          </w:p>
        </w:tc>
      </w:tr>
    </w:tbl>
    <w:p w14:paraId="17EE0A74" w14:textId="77777777" w:rsidR="00C054FD" w:rsidRPr="008B619A" w:rsidRDefault="003417DA" w:rsidP="00C054FD">
      <w:pPr>
        <w:spacing w:line="240" w:lineRule="exact"/>
        <w:ind w:leftChars="-167" w:left="1131" w:hangingChars="653" w:hanging="1699"/>
        <w:rPr>
          <w:rFonts w:hAnsi="標楷體"/>
          <w:color w:val="000000" w:themeColor="text1"/>
          <w:sz w:val="24"/>
          <w:szCs w:val="24"/>
        </w:rPr>
      </w:pPr>
      <w:r w:rsidRPr="008B619A">
        <w:rPr>
          <w:rFonts w:hAnsi="標楷體" w:hint="eastAsia"/>
          <w:color w:val="000000" w:themeColor="text1"/>
          <w:sz w:val="24"/>
          <w:szCs w:val="24"/>
        </w:rPr>
        <w:t>註：1.資料日期：109年7月31日</w:t>
      </w:r>
      <w:r w:rsidR="00643D6C" w:rsidRPr="008B619A">
        <w:rPr>
          <w:rFonts w:hAnsi="標楷體" w:hint="eastAsia"/>
          <w:color w:val="000000" w:themeColor="text1"/>
          <w:sz w:val="24"/>
          <w:szCs w:val="24"/>
        </w:rPr>
        <w:t>。</w:t>
      </w:r>
    </w:p>
    <w:p w14:paraId="4DF9A24D" w14:textId="77777777" w:rsidR="00C054FD" w:rsidRPr="008B619A" w:rsidRDefault="00C054FD" w:rsidP="00C054FD">
      <w:pPr>
        <w:spacing w:line="240" w:lineRule="exact"/>
        <w:ind w:leftChars="-167" w:left="1131" w:hangingChars="653" w:hanging="1699"/>
        <w:rPr>
          <w:rFonts w:hAnsi="標楷體"/>
          <w:color w:val="000000" w:themeColor="text1"/>
          <w:sz w:val="24"/>
          <w:szCs w:val="24"/>
        </w:rPr>
      </w:pPr>
      <w:r w:rsidRPr="008B619A">
        <w:rPr>
          <w:rFonts w:hAnsi="標楷體" w:hint="eastAsia"/>
          <w:color w:val="000000" w:themeColor="text1"/>
          <w:sz w:val="24"/>
          <w:szCs w:val="24"/>
        </w:rPr>
        <w:t xml:space="preserve">    2.</w:t>
      </w:r>
      <w:r w:rsidR="003417DA" w:rsidRPr="008B619A">
        <w:rPr>
          <w:rFonts w:hAnsi="標楷體" w:hint="eastAsia"/>
          <w:color w:val="000000" w:themeColor="text1"/>
          <w:sz w:val="24"/>
          <w:szCs w:val="24"/>
        </w:rPr>
        <w:t>比率計算方式：</w:t>
      </w:r>
    </w:p>
    <w:p w14:paraId="44B443AF" w14:textId="46F0F8C0" w:rsidR="003417DA" w:rsidRPr="008B619A" w:rsidRDefault="00C054FD" w:rsidP="00B20001">
      <w:pPr>
        <w:spacing w:line="240" w:lineRule="exact"/>
        <w:ind w:leftChars="-167" w:left="566" w:hangingChars="436" w:hanging="1134"/>
        <w:rPr>
          <w:rFonts w:hAnsi="標楷體"/>
          <w:color w:val="000000" w:themeColor="text1"/>
          <w:sz w:val="24"/>
          <w:szCs w:val="24"/>
        </w:rPr>
      </w:pPr>
      <w:r w:rsidRPr="008B619A">
        <w:rPr>
          <w:rFonts w:hAnsi="標楷體" w:hint="eastAsia"/>
          <w:color w:val="000000" w:themeColor="text1"/>
          <w:sz w:val="24"/>
          <w:szCs w:val="24"/>
        </w:rPr>
        <w:t xml:space="preserve">      </w:t>
      </w:r>
      <w:r w:rsidR="00B20001" w:rsidRPr="008B619A">
        <w:rPr>
          <w:rFonts w:hAnsi="標楷體" w:hint="eastAsia"/>
          <w:color w:val="000000" w:themeColor="text1"/>
          <w:sz w:val="24"/>
          <w:szCs w:val="24"/>
        </w:rPr>
        <w:t>(1)</w:t>
      </w:r>
      <w:r w:rsidR="003417DA" w:rsidRPr="008B619A">
        <w:rPr>
          <w:rFonts w:hAnsi="標楷體" w:hint="eastAsia"/>
          <w:color w:val="000000" w:themeColor="text1"/>
          <w:sz w:val="24"/>
          <w:szCs w:val="24"/>
        </w:rPr>
        <w:t>公立大學：大學校院(技職校院)延長服務人數/全國公立大專校院(全國公立技職校院)專任教師數，採</w:t>
      </w:r>
      <w:r w:rsidR="00465145" w:rsidRPr="008B619A">
        <w:rPr>
          <w:rFonts w:hAnsi="標楷體" w:hint="eastAsia"/>
          <w:color w:val="000000" w:themeColor="text1"/>
          <w:sz w:val="24"/>
          <w:szCs w:val="24"/>
        </w:rPr>
        <w:t>4</w:t>
      </w:r>
      <w:r w:rsidR="003417DA" w:rsidRPr="008B619A">
        <w:rPr>
          <w:rFonts w:hAnsi="標楷體" w:hint="eastAsia"/>
          <w:color w:val="000000" w:themeColor="text1"/>
          <w:sz w:val="24"/>
          <w:szCs w:val="24"/>
        </w:rPr>
        <w:t>捨</w:t>
      </w:r>
      <w:r w:rsidR="00465145" w:rsidRPr="008B619A">
        <w:rPr>
          <w:rFonts w:hAnsi="標楷體" w:hint="eastAsia"/>
          <w:color w:val="000000" w:themeColor="text1"/>
          <w:sz w:val="24"/>
          <w:szCs w:val="24"/>
        </w:rPr>
        <w:t>5</w:t>
      </w:r>
      <w:r w:rsidR="003417DA" w:rsidRPr="008B619A">
        <w:rPr>
          <w:rFonts w:hAnsi="標楷體" w:hint="eastAsia"/>
          <w:color w:val="000000" w:themeColor="text1"/>
          <w:sz w:val="24"/>
          <w:szCs w:val="24"/>
        </w:rPr>
        <w:t>入至小數點第</w:t>
      </w:r>
      <w:r w:rsidR="00465145" w:rsidRPr="008B619A">
        <w:rPr>
          <w:rFonts w:hAnsi="標楷體" w:hint="eastAsia"/>
          <w:color w:val="000000" w:themeColor="text1"/>
          <w:sz w:val="24"/>
          <w:szCs w:val="24"/>
        </w:rPr>
        <w:t>2</w:t>
      </w:r>
      <w:r w:rsidR="003417DA" w:rsidRPr="008B619A">
        <w:rPr>
          <w:rFonts w:hAnsi="標楷體" w:hint="eastAsia"/>
          <w:color w:val="000000" w:themeColor="text1"/>
          <w:sz w:val="24"/>
          <w:szCs w:val="24"/>
        </w:rPr>
        <w:t>位。</w:t>
      </w:r>
    </w:p>
    <w:p w14:paraId="529561F2" w14:textId="0AAE66B4" w:rsidR="003417DA" w:rsidRPr="008B619A" w:rsidRDefault="00B20001" w:rsidP="00B20001">
      <w:pPr>
        <w:spacing w:line="240" w:lineRule="exact"/>
        <w:ind w:leftChars="-167" w:left="566" w:hangingChars="436" w:hanging="1134"/>
        <w:rPr>
          <w:rFonts w:hAnsi="標楷體"/>
          <w:color w:val="000000" w:themeColor="text1"/>
          <w:sz w:val="24"/>
          <w:szCs w:val="24"/>
        </w:rPr>
      </w:pPr>
      <w:r w:rsidRPr="008B619A">
        <w:rPr>
          <w:rFonts w:hAnsi="標楷體" w:hint="eastAsia"/>
          <w:color w:val="000000" w:themeColor="text1"/>
          <w:sz w:val="24"/>
          <w:szCs w:val="24"/>
        </w:rPr>
        <w:t xml:space="preserve">      (2)</w:t>
      </w:r>
      <w:r w:rsidR="003417DA" w:rsidRPr="008B619A">
        <w:rPr>
          <w:rFonts w:hAnsi="標楷體" w:hint="eastAsia"/>
          <w:color w:val="000000" w:themeColor="text1"/>
          <w:sz w:val="24"/>
          <w:szCs w:val="24"/>
        </w:rPr>
        <w:t>私立大學：大學校院(技職校院)延長服務人數/全國私立大專校院(全國私立技職校院)專任教師（包含教授、副教授、助理教授及講師）數，採</w:t>
      </w:r>
      <w:r w:rsidR="00465145" w:rsidRPr="008B619A">
        <w:rPr>
          <w:rFonts w:hAnsi="標楷體" w:hint="eastAsia"/>
          <w:color w:val="000000" w:themeColor="text1"/>
          <w:sz w:val="24"/>
          <w:szCs w:val="24"/>
        </w:rPr>
        <w:t>4</w:t>
      </w:r>
      <w:r w:rsidR="003417DA" w:rsidRPr="008B619A">
        <w:rPr>
          <w:rFonts w:hAnsi="標楷體" w:hint="eastAsia"/>
          <w:color w:val="000000" w:themeColor="text1"/>
          <w:sz w:val="24"/>
          <w:szCs w:val="24"/>
        </w:rPr>
        <w:t>捨</w:t>
      </w:r>
      <w:r w:rsidR="00465145" w:rsidRPr="008B619A">
        <w:rPr>
          <w:rFonts w:hAnsi="標楷體" w:hint="eastAsia"/>
          <w:color w:val="000000" w:themeColor="text1"/>
          <w:sz w:val="24"/>
          <w:szCs w:val="24"/>
        </w:rPr>
        <w:t>5</w:t>
      </w:r>
      <w:r w:rsidR="003417DA" w:rsidRPr="008B619A">
        <w:rPr>
          <w:rFonts w:hAnsi="標楷體" w:hint="eastAsia"/>
          <w:color w:val="000000" w:themeColor="text1"/>
          <w:sz w:val="24"/>
          <w:szCs w:val="24"/>
        </w:rPr>
        <w:t>入至小數點第</w:t>
      </w:r>
      <w:r w:rsidR="00465145" w:rsidRPr="008B619A">
        <w:rPr>
          <w:rFonts w:hAnsi="標楷體" w:hint="eastAsia"/>
          <w:color w:val="000000" w:themeColor="text1"/>
          <w:sz w:val="24"/>
          <w:szCs w:val="24"/>
        </w:rPr>
        <w:t>2</w:t>
      </w:r>
      <w:r w:rsidR="003417DA" w:rsidRPr="008B619A">
        <w:rPr>
          <w:rFonts w:hAnsi="標楷體" w:hint="eastAsia"/>
          <w:color w:val="000000" w:themeColor="text1"/>
          <w:sz w:val="24"/>
          <w:szCs w:val="24"/>
        </w:rPr>
        <w:t>位。</w:t>
      </w:r>
    </w:p>
    <w:p w14:paraId="22A487DF" w14:textId="26A7E212" w:rsidR="00066D4F" w:rsidRPr="008B619A" w:rsidRDefault="00066D4F" w:rsidP="00C054FD">
      <w:pPr>
        <w:spacing w:afterLines="50" w:after="228" w:line="240" w:lineRule="exact"/>
        <w:ind w:leftChars="-167" w:left="707" w:hangingChars="490" w:hanging="1275"/>
        <w:rPr>
          <w:rFonts w:hAnsi="標楷體"/>
          <w:color w:val="000000" w:themeColor="text1"/>
          <w:sz w:val="24"/>
          <w:szCs w:val="24"/>
        </w:rPr>
      </w:pPr>
      <w:r w:rsidRPr="008B619A">
        <w:rPr>
          <w:rFonts w:hAnsi="標楷體" w:hint="eastAsia"/>
          <w:color w:val="000000" w:themeColor="text1"/>
          <w:sz w:val="24"/>
          <w:szCs w:val="24"/>
        </w:rPr>
        <w:t>資料來源：教育部統計處及教育人員退休撫卹管理系統、私校儲金管理系統</w:t>
      </w:r>
      <w:r w:rsidR="00051989" w:rsidRPr="008B619A">
        <w:rPr>
          <w:rFonts w:hAnsi="標楷體" w:hint="eastAsia"/>
          <w:color w:val="000000" w:themeColor="text1"/>
          <w:sz w:val="24"/>
          <w:szCs w:val="24"/>
        </w:rPr>
        <w:t>。</w:t>
      </w:r>
    </w:p>
    <w:p w14:paraId="274E607F" w14:textId="6A5A3818" w:rsidR="00C106D8" w:rsidRPr="008B619A" w:rsidRDefault="00C106D8" w:rsidP="006400F0">
      <w:pPr>
        <w:pStyle w:val="3"/>
        <w:rPr>
          <w:color w:val="000000" w:themeColor="text1"/>
        </w:rPr>
      </w:pPr>
      <w:r w:rsidRPr="008B619A">
        <w:rPr>
          <w:rFonts w:hint="eastAsia"/>
          <w:color w:val="000000" w:themeColor="text1"/>
        </w:rPr>
        <w:t>又</w:t>
      </w:r>
      <w:r w:rsidR="008353ED" w:rsidRPr="008B619A">
        <w:rPr>
          <w:rFonts w:hint="eastAsia"/>
          <w:color w:val="000000" w:themeColor="text1"/>
        </w:rPr>
        <w:t>詢</w:t>
      </w:r>
      <w:r w:rsidR="000208ED" w:rsidRPr="008B619A">
        <w:rPr>
          <w:rFonts w:hint="eastAsia"/>
          <w:color w:val="000000" w:themeColor="text1"/>
        </w:rPr>
        <w:t>據</w:t>
      </w:r>
      <w:r w:rsidRPr="008B619A">
        <w:rPr>
          <w:rFonts w:hint="eastAsia"/>
          <w:color w:val="000000" w:themeColor="text1"/>
        </w:rPr>
        <w:t>教育部表示，未來10年全國公私立大專院校專任教師屆滿65歲人數，</w:t>
      </w:r>
      <w:r w:rsidR="000208ED" w:rsidRPr="008B619A">
        <w:rPr>
          <w:rFonts w:hint="eastAsia"/>
          <w:color w:val="000000" w:themeColor="text1"/>
        </w:rPr>
        <w:t>推估未來10年全國專任教師屆滿65歲之人數顯示，119學年度公立大專校院為898人，私立則為1</w:t>
      </w:r>
      <w:r w:rsidR="000208ED" w:rsidRPr="008B619A">
        <w:rPr>
          <w:color w:val="000000" w:themeColor="text1"/>
        </w:rPr>
        <w:t>,</w:t>
      </w:r>
      <w:r w:rsidR="000208ED" w:rsidRPr="008B619A">
        <w:rPr>
          <w:rFonts w:hint="eastAsia"/>
          <w:color w:val="000000" w:themeColor="text1"/>
        </w:rPr>
        <w:t>164人，顯尚難彌補或因應現行博士非典型就業之缺口。</w:t>
      </w:r>
      <w:r w:rsidR="00C17C93" w:rsidRPr="008B619A">
        <w:rPr>
          <w:rFonts w:hint="eastAsia"/>
          <w:color w:val="000000" w:themeColor="text1"/>
        </w:rPr>
        <w:t>經依教育人員管理資訊系統及私校退撫儲金管理系統資料推估如下表：</w:t>
      </w:r>
    </w:p>
    <w:p w14:paraId="04D8BECC" w14:textId="77777777" w:rsidR="00C106D8" w:rsidRPr="008B619A" w:rsidRDefault="00C106D8" w:rsidP="00C106D8">
      <w:pPr>
        <w:pStyle w:val="a3"/>
        <w:ind w:left="1281" w:hanging="1281"/>
        <w:jc w:val="center"/>
        <w:rPr>
          <w:b/>
          <w:color w:val="000000" w:themeColor="text1"/>
        </w:rPr>
      </w:pPr>
      <w:r w:rsidRPr="008B619A">
        <w:rPr>
          <w:rFonts w:hint="eastAsia"/>
          <w:b/>
          <w:color w:val="000000" w:themeColor="text1"/>
        </w:rPr>
        <w:t>未來10年全國專任教師屆滿65歲之人數推估</w:t>
      </w:r>
    </w:p>
    <w:p w14:paraId="0A1C3AFE" w14:textId="77777777" w:rsidR="00C106D8" w:rsidRPr="008B619A" w:rsidRDefault="00C106D8" w:rsidP="00C106D8">
      <w:pPr>
        <w:rPr>
          <w:rFonts w:hAnsi="標楷體"/>
          <w:color w:val="000000" w:themeColor="text1"/>
          <w:sz w:val="24"/>
          <w:szCs w:val="24"/>
        </w:rPr>
      </w:pPr>
      <w:r w:rsidRPr="008B619A">
        <w:rPr>
          <w:rFonts w:hint="eastAsia"/>
          <w:color w:val="000000" w:themeColor="text1"/>
          <w:szCs w:val="24"/>
        </w:rPr>
        <w:t xml:space="preserve">                                            </w:t>
      </w:r>
      <w:r w:rsidRPr="008B619A">
        <w:rPr>
          <w:rFonts w:hAnsi="標楷體" w:hint="eastAsia"/>
          <w:color w:val="000000" w:themeColor="text1"/>
          <w:sz w:val="24"/>
          <w:szCs w:val="24"/>
        </w:rPr>
        <w:t>單位：人數</w:t>
      </w:r>
    </w:p>
    <w:tbl>
      <w:tblPr>
        <w:tblW w:w="8128"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0"/>
        <w:gridCol w:w="2944"/>
        <w:gridCol w:w="2944"/>
      </w:tblGrid>
      <w:tr w:rsidR="00C106D8" w:rsidRPr="008B619A" w14:paraId="556E75DC" w14:textId="77777777" w:rsidTr="006400F0">
        <w:trPr>
          <w:tblHeader/>
        </w:trPr>
        <w:tc>
          <w:tcPr>
            <w:tcW w:w="2240" w:type="dxa"/>
            <w:shd w:val="clear" w:color="auto" w:fill="FFF2CC"/>
            <w:vAlign w:val="center"/>
          </w:tcPr>
          <w:p w14:paraId="780FD7CE" w14:textId="77777777" w:rsidR="00C106D8" w:rsidRPr="008B619A" w:rsidRDefault="00C106D8" w:rsidP="006400F0">
            <w:pPr>
              <w:spacing w:line="400" w:lineRule="exact"/>
              <w:jc w:val="center"/>
              <w:rPr>
                <w:rFonts w:hAnsi="標楷體"/>
                <w:b/>
                <w:color w:val="000000" w:themeColor="text1"/>
                <w:sz w:val="26"/>
                <w:szCs w:val="26"/>
              </w:rPr>
            </w:pPr>
            <w:r w:rsidRPr="008B619A">
              <w:rPr>
                <w:rFonts w:hAnsi="標楷體" w:hint="eastAsia"/>
                <w:b/>
                <w:color w:val="000000" w:themeColor="text1"/>
                <w:sz w:val="26"/>
                <w:szCs w:val="26"/>
              </w:rPr>
              <w:t>年度</w:t>
            </w:r>
          </w:p>
        </w:tc>
        <w:tc>
          <w:tcPr>
            <w:tcW w:w="2944" w:type="dxa"/>
            <w:shd w:val="clear" w:color="auto" w:fill="FFF2CC"/>
            <w:vAlign w:val="center"/>
          </w:tcPr>
          <w:p w14:paraId="12D704DE" w14:textId="77777777" w:rsidR="00C106D8" w:rsidRPr="008B619A" w:rsidRDefault="00C106D8" w:rsidP="006400F0">
            <w:pPr>
              <w:spacing w:line="400" w:lineRule="exact"/>
              <w:jc w:val="center"/>
              <w:rPr>
                <w:rFonts w:hAnsi="標楷體"/>
                <w:b/>
                <w:color w:val="000000" w:themeColor="text1"/>
                <w:sz w:val="26"/>
                <w:szCs w:val="26"/>
              </w:rPr>
            </w:pPr>
            <w:r w:rsidRPr="008B619A">
              <w:rPr>
                <w:rFonts w:hAnsi="標楷體" w:hint="eastAsia"/>
                <w:b/>
                <w:color w:val="000000" w:themeColor="text1"/>
                <w:sz w:val="26"/>
                <w:szCs w:val="26"/>
              </w:rPr>
              <w:t>公立大專校院</w:t>
            </w:r>
          </w:p>
        </w:tc>
        <w:tc>
          <w:tcPr>
            <w:tcW w:w="2944" w:type="dxa"/>
            <w:shd w:val="clear" w:color="auto" w:fill="FFF2CC"/>
            <w:vAlign w:val="center"/>
          </w:tcPr>
          <w:p w14:paraId="5DE280A7" w14:textId="77777777" w:rsidR="00C106D8" w:rsidRPr="008B619A" w:rsidRDefault="00C106D8" w:rsidP="006400F0">
            <w:pPr>
              <w:spacing w:line="400" w:lineRule="exact"/>
              <w:jc w:val="center"/>
              <w:rPr>
                <w:rFonts w:hAnsi="標楷體"/>
                <w:b/>
                <w:color w:val="000000" w:themeColor="text1"/>
                <w:sz w:val="26"/>
                <w:szCs w:val="26"/>
              </w:rPr>
            </w:pPr>
            <w:r w:rsidRPr="008B619A">
              <w:rPr>
                <w:rFonts w:hAnsi="標楷體" w:hint="eastAsia"/>
                <w:b/>
                <w:color w:val="000000" w:themeColor="text1"/>
                <w:sz w:val="26"/>
                <w:szCs w:val="26"/>
              </w:rPr>
              <w:t>私立大專校院</w:t>
            </w:r>
          </w:p>
        </w:tc>
      </w:tr>
      <w:tr w:rsidR="00C106D8" w:rsidRPr="008B619A" w14:paraId="2A952AFF" w14:textId="77777777" w:rsidTr="00D51081">
        <w:trPr>
          <w:trHeight w:val="64"/>
        </w:trPr>
        <w:tc>
          <w:tcPr>
            <w:tcW w:w="2240" w:type="dxa"/>
            <w:shd w:val="clear" w:color="auto" w:fill="auto"/>
            <w:vAlign w:val="center"/>
          </w:tcPr>
          <w:p w14:paraId="09AC680B" w14:textId="77777777" w:rsidR="00C106D8" w:rsidRPr="008B619A" w:rsidRDefault="00C106D8" w:rsidP="006400F0">
            <w:pPr>
              <w:spacing w:line="400" w:lineRule="exact"/>
              <w:jc w:val="center"/>
              <w:rPr>
                <w:rFonts w:hAnsi="標楷體" w:cs="新細明體"/>
                <w:b/>
                <w:color w:val="000000" w:themeColor="text1"/>
                <w:sz w:val="26"/>
                <w:szCs w:val="26"/>
              </w:rPr>
            </w:pPr>
            <w:r w:rsidRPr="008B619A">
              <w:rPr>
                <w:rFonts w:hAnsi="標楷體" w:cs="新細明體" w:hint="eastAsia"/>
                <w:b/>
                <w:color w:val="000000" w:themeColor="text1"/>
                <w:sz w:val="26"/>
                <w:szCs w:val="26"/>
              </w:rPr>
              <w:t>110</w:t>
            </w:r>
          </w:p>
        </w:tc>
        <w:tc>
          <w:tcPr>
            <w:tcW w:w="2944" w:type="dxa"/>
            <w:shd w:val="clear" w:color="auto" w:fill="auto"/>
            <w:vAlign w:val="center"/>
          </w:tcPr>
          <w:p w14:paraId="36202FC9" w14:textId="77777777" w:rsidR="00C106D8" w:rsidRPr="008B619A" w:rsidRDefault="00C106D8" w:rsidP="006400F0">
            <w:pPr>
              <w:spacing w:line="400" w:lineRule="exact"/>
              <w:jc w:val="center"/>
              <w:rPr>
                <w:rFonts w:hAnsi="標楷體" w:cs="新細明體"/>
                <w:color w:val="000000" w:themeColor="text1"/>
                <w:sz w:val="26"/>
                <w:szCs w:val="26"/>
              </w:rPr>
            </w:pPr>
            <w:r w:rsidRPr="008B619A">
              <w:rPr>
                <w:rFonts w:hAnsi="標楷體" w:cs="新細明體" w:hint="eastAsia"/>
                <w:color w:val="000000" w:themeColor="text1"/>
                <w:sz w:val="26"/>
                <w:szCs w:val="26"/>
              </w:rPr>
              <w:t>549</w:t>
            </w:r>
          </w:p>
        </w:tc>
        <w:tc>
          <w:tcPr>
            <w:tcW w:w="2944" w:type="dxa"/>
            <w:shd w:val="clear" w:color="auto" w:fill="auto"/>
            <w:vAlign w:val="center"/>
          </w:tcPr>
          <w:p w14:paraId="0BD5F7EE" w14:textId="77777777" w:rsidR="00C106D8" w:rsidRPr="008B619A" w:rsidRDefault="00C106D8" w:rsidP="006400F0">
            <w:pPr>
              <w:spacing w:line="400" w:lineRule="exact"/>
              <w:jc w:val="center"/>
              <w:rPr>
                <w:rFonts w:hAnsi="標楷體" w:cs="新細明體"/>
                <w:color w:val="000000" w:themeColor="text1"/>
                <w:sz w:val="26"/>
                <w:szCs w:val="26"/>
              </w:rPr>
            </w:pPr>
            <w:r w:rsidRPr="008B619A">
              <w:rPr>
                <w:rFonts w:hAnsi="標楷體" w:cs="新細明體" w:hint="eastAsia"/>
                <w:color w:val="000000" w:themeColor="text1"/>
                <w:sz w:val="26"/>
                <w:szCs w:val="26"/>
              </w:rPr>
              <w:t>533</w:t>
            </w:r>
          </w:p>
        </w:tc>
      </w:tr>
      <w:tr w:rsidR="00C106D8" w:rsidRPr="008B619A" w14:paraId="3480FAA4" w14:textId="77777777" w:rsidTr="006400F0">
        <w:tc>
          <w:tcPr>
            <w:tcW w:w="2240" w:type="dxa"/>
            <w:shd w:val="clear" w:color="auto" w:fill="auto"/>
            <w:vAlign w:val="center"/>
          </w:tcPr>
          <w:p w14:paraId="379F41B1" w14:textId="77777777" w:rsidR="00C106D8" w:rsidRPr="008B619A" w:rsidRDefault="00C106D8" w:rsidP="006400F0">
            <w:pPr>
              <w:spacing w:line="400" w:lineRule="exact"/>
              <w:jc w:val="center"/>
              <w:rPr>
                <w:rFonts w:hAnsi="標楷體" w:cs="新細明體"/>
                <w:b/>
                <w:color w:val="000000" w:themeColor="text1"/>
                <w:sz w:val="26"/>
                <w:szCs w:val="26"/>
              </w:rPr>
            </w:pPr>
            <w:r w:rsidRPr="008B619A">
              <w:rPr>
                <w:rFonts w:hAnsi="標楷體" w:cs="新細明體" w:hint="eastAsia"/>
                <w:b/>
                <w:color w:val="000000" w:themeColor="text1"/>
                <w:sz w:val="26"/>
                <w:szCs w:val="26"/>
              </w:rPr>
              <w:t>111</w:t>
            </w:r>
          </w:p>
        </w:tc>
        <w:tc>
          <w:tcPr>
            <w:tcW w:w="2944" w:type="dxa"/>
            <w:shd w:val="clear" w:color="auto" w:fill="auto"/>
            <w:vAlign w:val="center"/>
          </w:tcPr>
          <w:p w14:paraId="73A800F5" w14:textId="77777777" w:rsidR="00C106D8" w:rsidRPr="008B619A" w:rsidRDefault="00C106D8" w:rsidP="006400F0">
            <w:pPr>
              <w:spacing w:line="400" w:lineRule="exact"/>
              <w:jc w:val="center"/>
              <w:rPr>
                <w:rFonts w:hAnsi="標楷體" w:cs="新細明體"/>
                <w:color w:val="000000" w:themeColor="text1"/>
                <w:sz w:val="26"/>
                <w:szCs w:val="26"/>
              </w:rPr>
            </w:pPr>
            <w:r w:rsidRPr="008B619A">
              <w:rPr>
                <w:rFonts w:hAnsi="標楷體" w:cs="新細明體" w:hint="eastAsia"/>
                <w:color w:val="000000" w:themeColor="text1"/>
                <w:sz w:val="26"/>
                <w:szCs w:val="26"/>
              </w:rPr>
              <w:t>584</w:t>
            </w:r>
          </w:p>
        </w:tc>
        <w:tc>
          <w:tcPr>
            <w:tcW w:w="2944" w:type="dxa"/>
            <w:shd w:val="clear" w:color="auto" w:fill="auto"/>
            <w:vAlign w:val="center"/>
          </w:tcPr>
          <w:p w14:paraId="0F39B928" w14:textId="77777777" w:rsidR="00C106D8" w:rsidRPr="008B619A" w:rsidRDefault="00C106D8" w:rsidP="006400F0">
            <w:pPr>
              <w:spacing w:line="400" w:lineRule="exact"/>
              <w:jc w:val="center"/>
              <w:rPr>
                <w:rFonts w:hAnsi="標楷體" w:cs="新細明體"/>
                <w:color w:val="000000" w:themeColor="text1"/>
                <w:sz w:val="26"/>
                <w:szCs w:val="26"/>
              </w:rPr>
            </w:pPr>
            <w:r w:rsidRPr="008B619A">
              <w:rPr>
                <w:rFonts w:hAnsi="標楷體" w:cs="新細明體" w:hint="eastAsia"/>
                <w:color w:val="000000" w:themeColor="text1"/>
                <w:sz w:val="26"/>
                <w:szCs w:val="26"/>
              </w:rPr>
              <w:t>553</w:t>
            </w:r>
          </w:p>
        </w:tc>
      </w:tr>
      <w:tr w:rsidR="00C106D8" w:rsidRPr="008B619A" w14:paraId="345F2029" w14:textId="77777777" w:rsidTr="006400F0">
        <w:tc>
          <w:tcPr>
            <w:tcW w:w="2240" w:type="dxa"/>
            <w:shd w:val="clear" w:color="auto" w:fill="auto"/>
            <w:vAlign w:val="center"/>
          </w:tcPr>
          <w:p w14:paraId="531C2784" w14:textId="77777777" w:rsidR="00C106D8" w:rsidRPr="008B619A" w:rsidRDefault="00C106D8" w:rsidP="006400F0">
            <w:pPr>
              <w:spacing w:line="400" w:lineRule="exact"/>
              <w:jc w:val="center"/>
              <w:rPr>
                <w:rFonts w:hAnsi="標楷體" w:cs="新細明體"/>
                <w:b/>
                <w:color w:val="000000" w:themeColor="text1"/>
                <w:sz w:val="26"/>
                <w:szCs w:val="26"/>
              </w:rPr>
            </w:pPr>
            <w:r w:rsidRPr="008B619A">
              <w:rPr>
                <w:rFonts w:hAnsi="標楷體" w:cs="新細明體" w:hint="eastAsia"/>
                <w:b/>
                <w:color w:val="000000" w:themeColor="text1"/>
                <w:sz w:val="26"/>
                <w:szCs w:val="26"/>
              </w:rPr>
              <w:t>112</w:t>
            </w:r>
          </w:p>
        </w:tc>
        <w:tc>
          <w:tcPr>
            <w:tcW w:w="2944" w:type="dxa"/>
            <w:shd w:val="clear" w:color="auto" w:fill="auto"/>
            <w:vAlign w:val="center"/>
          </w:tcPr>
          <w:p w14:paraId="7A24C6CB" w14:textId="77777777" w:rsidR="00C106D8" w:rsidRPr="008B619A" w:rsidRDefault="00C106D8" w:rsidP="006400F0">
            <w:pPr>
              <w:spacing w:line="400" w:lineRule="exact"/>
              <w:jc w:val="center"/>
              <w:rPr>
                <w:rFonts w:hAnsi="標楷體" w:cs="新細明體"/>
                <w:color w:val="000000" w:themeColor="text1"/>
                <w:sz w:val="26"/>
                <w:szCs w:val="26"/>
              </w:rPr>
            </w:pPr>
            <w:r w:rsidRPr="008B619A">
              <w:rPr>
                <w:rFonts w:hAnsi="標楷體" w:cs="新細明體" w:hint="eastAsia"/>
                <w:color w:val="000000" w:themeColor="text1"/>
                <w:sz w:val="26"/>
                <w:szCs w:val="26"/>
              </w:rPr>
              <w:t>583</w:t>
            </w:r>
          </w:p>
        </w:tc>
        <w:tc>
          <w:tcPr>
            <w:tcW w:w="2944" w:type="dxa"/>
            <w:shd w:val="clear" w:color="auto" w:fill="auto"/>
            <w:vAlign w:val="center"/>
          </w:tcPr>
          <w:p w14:paraId="6FEB63C3" w14:textId="77777777" w:rsidR="00C106D8" w:rsidRPr="008B619A" w:rsidRDefault="00C106D8" w:rsidP="006400F0">
            <w:pPr>
              <w:spacing w:line="400" w:lineRule="exact"/>
              <w:jc w:val="center"/>
              <w:rPr>
                <w:rFonts w:hAnsi="標楷體" w:cs="新細明體"/>
                <w:color w:val="000000" w:themeColor="text1"/>
                <w:sz w:val="26"/>
                <w:szCs w:val="26"/>
              </w:rPr>
            </w:pPr>
            <w:r w:rsidRPr="008B619A">
              <w:rPr>
                <w:rFonts w:hAnsi="標楷體" w:cs="新細明體" w:hint="eastAsia"/>
                <w:color w:val="000000" w:themeColor="text1"/>
                <w:sz w:val="26"/>
                <w:szCs w:val="26"/>
              </w:rPr>
              <w:t>646</w:t>
            </w:r>
          </w:p>
        </w:tc>
      </w:tr>
      <w:tr w:rsidR="00C106D8" w:rsidRPr="008B619A" w14:paraId="4358EABB" w14:textId="77777777" w:rsidTr="006400F0">
        <w:tc>
          <w:tcPr>
            <w:tcW w:w="2240" w:type="dxa"/>
            <w:shd w:val="clear" w:color="auto" w:fill="auto"/>
            <w:vAlign w:val="center"/>
          </w:tcPr>
          <w:p w14:paraId="40618329" w14:textId="77777777" w:rsidR="00C106D8" w:rsidRPr="008B619A" w:rsidRDefault="00C106D8" w:rsidP="006400F0">
            <w:pPr>
              <w:spacing w:line="400" w:lineRule="exact"/>
              <w:jc w:val="center"/>
              <w:rPr>
                <w:rFonts w:hAnsi="標楷體" w:cs="新細明體"/>
                <w:b/>
                <w:color w:val="000000" w:themeColor="text1"/>
                <w:sz w:val="26"/>
                <w:szCs w:val="26"/>
              </w:rPr>
            </w:pPr>
            <w:r w:rsidRPr="008B619A">
              <w:rPr>
                <w:rFonts w:hAnsi="標楷體" w:cs="新細明體" w:hint="eastAsia"/>
                <w:b/>
                <w:color w:val="000000" w:themeColor="text1"/>
                <w:sz w:val="26"/>
                <w:szCs w:val="26"/>
              </w:rPr>
              <w:t>113</w:t>
            </w:r>
          </w:p>
        </w:tc>
        <w:tc>
          <w:tcPr>
            <w:tcW w:w="2944" w:type="dxa"/>
            <w:shd w:val="clear" w:color="auto" w:fill="auto"/>
            <w:vAlign w:val="center"/>
          </w:tcPr>
          <w:p w14:paraId="77F1938F" w14:textId="77777777" w:rsidR="00C106D8" w:rsidRPr="008B619A" w:rsidRDefault="00C106D8" w:rsidP="006400F0">
            <w:pPr>
              <w:spacing w:line="400" w:lineRule="exact"/>
              <w:jc w:val="center"/>
              <w:rPr>
                <w:rFonts w:hAnsi="標楷體" w:cs="新細明體"/>
                <w:color w:val="000000" w:themeColor="text1"/>
                <w:sz w:val="26"/>
                <w:szCs w:val="26"/>
              </w:rPr>
            </w:pPr>
            <w:r w:rsidRPr="008B619A">
              <w:rPr>
                <w:rFonts w:hAnsi="標楷體" w:cs="新細明體" w:hint="eastAsia"/>
                <w:color w:val="000000" w:themeColor="text1"/>
                <w:sz w:val="26"/>
                <w:szCs w:val="26"/>
              </w:rPr>
              <w:t>626</w:t>
            </w:r>
          </w:p>
        </w:tc>
        <w:tc>
          <w:tcPr>
            <w:tcW w:w="2944" w:type="dxa"/>
            <w:shd w:val="clear" w:color="auto" w:fill="auto"/>
            <w:vAlign w:val="center"/>
          </w:tcPr>
          <w:p w14:paraId="09B6C2B9" w14:textId="77777777" w:rsidR="00C106D8" w:rsidRPr="008B619A" w:rsidRDefault="00C106D8" w:rsidP="006400F0">
            <w:pPr>
              <w:spacing w:line="400" w:lineRule="exact"/>
              <w:jc w:val="center"/>
              <w:rPr>
                <w:rFonts w:hAnsi="標楷體" w:cs="新細明體"/>
                <w:color w:val="000000" w:themeColor="text1"/>
                <w:sz w:val="26"/>
                <w:szCs w:val="26"/>
              </w:rPr>
            </w:pPr>
            <w:r w:rsidRPr="008B619A">
              <w:rPr>
                <w:rFonts w:hAnsi="標楷體" w:cs="新細明體" w:hint="eastAsia"/>
                <w:color w:val="000000" w:themeColor="text1"/>
                <w:sz w:val="26"/>
                <w:szCs w:val="26"/>
              </w:rPr>
              <w:t>739</w:t>
            </w:r>
          </w:p>
        </w:tc>
      </w:tr>
      <w:tr w:rsidR="00C106D8" w:rsidRPr="008B619A" w14:paraId="5C067A7E" w14:textId="77777777" w:rsidTr="006400F0">
        <w:tc>
          <w:tcPr>
            <w:tcW w:w="2240" w:type="dxa"/>
            <w:shd w:val="clear" w:color="auto" w:fill="auto"/>
            <w:vAlign w:val="center"/>
          </w:tcPr>
          <w:p w14:paraId="4531D243" w14:textId="77777777" w:rsidR="00C106D8" w:rsidRPr="008B619A" w:rsidRDefault="00C106D8" w:rsidP="006400F0">
            <w:pPr>
              <w:spacing w:line="400" w:lineRule="exact"/>
              <w:jc w:val="center"/>
              <w:rPr>
                <w:rFonts w:hAnsi="標楷體" w:cs="新細明體"/>
                <w:b/>
                <w:color w:val="000000" w:themeColor="text1"/>
                <w:sz w:val="26"/>
                <w:szCs w:val="26"/>
              </w:rPr>
            </w:pPr>
            <w:r w:rsidRPr="008B619A">
              <w:rPr>
                <w:rFonts w:hAnsi="標楷體" w:cs="新細明體" w:hint="eastAsia"/>
                <w:b/>
                <w:color w:val="000000" w:themeColor="text1"/>
                <w:sz w:val="26"/>
                <w:szCs w:val="26"/>
              </w:rPr>
              <w:t>114</w:t>
            </w:r>
          </w:p>
        </w:tc>
        <w:tc>
          <w:tcPr>
            <w:tcW w:w="2944" w:type="dxa"/>
            <w:shd w:val="clear" w:color="auto" w:fill="auto"/>
            <w:vAlign w:val="center"/>
          </w:tcPr>
          <w:p w14:paraId="235C3560" w14:textId="77777777" w:rsidR="00C106D8" w:rsidRPr="008B619A" w:rsidRDefault="00C106D8" w:rsidP="006400F0">
            <w:pPr>
              <w:spacing w:line="400" w:lineRule="exact"/>
              <w:jc w:val="center"/>
              <w:rPr>
                <w:rFonts w:hAnsi="標楷體" w:cs="新細明體"/>
                <w:color w:val="000000" w:themeColor="text1"/>
                <w:sz w:val="26"/>
                <w:szCs w:val="26"/>
              </w:rPr>
            </w:pPr>
            <w:r w:rsidRPr="008B619A">
              <w:rPr>
                <w:rFonts w:hAnsi="標楷體" w:cs="新細明體" w:hint="eastAsia"/>
                <w:color w:val="000000" w:themeColor="text1"/>
                <w:sz w:val="26"/>
                <w:szCs w:val="26"/>
              </w:rPr>
              <w:t>681</w:t>
            </w:r>
          </w:p>
        </w:tc>
        <w:tc>
          <w:tcPr>
            <w:tcW w:w="2944" w:type="dxa"/>
            <w:shd w:val="clear" w:color="auto" w:fill="auto"/>
            <w:vAlign w:val="center"/>
          </w:tcPr>
          <w:p w14:paraId="23785FF8" w14:textId="77777777" w:rsidR="00C106D8" w:rsidRPr="008B619A" w:rsidRDefault="00C106D8" w:rsidP="006400F0">
            <w:pPr>
              <w:spacing w:line="400" w:lineRule="exact"/>
              <w:jc w:val="center"/>
              <w:rPr>
                <w:rFonts w:hAnsi="標楷體" w:cs="新細明體"/>
                <w:color w:val="000000" w:themeColor="text1"/>
                <w:sz w:val="26"/>
                <w:szCs w:val="26"/>
              </w:rPr>
            </w:pPr>
            <w:r w:rsidRPr="008B619A">
              <w:rPr>
                <w:rFonts w:hAnsi="標楷體" w:cs="新細明體" w:hint="eastAsia"/>
                <w:color w:val="000000" w:themeColor="text1"/>
                <w:sz w:val="26"/>
                <w:szCs w:val="26"/>
              </w:rPr>
              <w:t>865</w:t>
            </w:r>
          </w:p>
        </w:tc>
      </w:tr>
      <w:tr w:rsidR="00C106D8" w:rsidRPr="008B619A" w14:paraId="5309D96F" w14:textId="77777777" w:rsidTr="006400F0">
        <w:tc>
          <w:tcPr>
            <w:tcW w:w="2240" w:type="dxa"/>
            <w:shd w:val="clear" w:color="auto" w:fill="auto"/>
            <w:vAlign w:val="center"/>
          </w:tcPr>
          <w:p w14:paraId="7F9625F6" w14:textId="77777777" w:rsidR="00C106D8" w:rsidRPr="008B619A" w:rsidRDefault="00C106D8" w:rsidP="006400F0">
            <w:pPr>
              <w:spacing w:line="400" w:lineRule="exact"/>
              <w:jc w:val="center"/>
              <w:rPr>
                <w:rFonts w:hAnsi="標楷體" w:cs="新細明體"/>
                <w:b/>
                <w:color w:val="000000" w:themeColor="text1"/>
                <w:sz w:val="26"/>
                <w:szCs w:val="26"/>
              </w:rPr>
            </w:pPr>
            <w:r w:rsidRPr="008B619A">
              <w:rPr>
                <w:rFonts w:hAnsi="標楷體" w:cs="新細明體" w:hint="eastAsia"/>
                <w:b/>
                <w:color w:val="000000" w:themeColor="text1"/>
                <w:sz w:val="26"/>
                <w:szCs w:val="26"/>
              </w:rPr>
              <w:t>115</w:t>
            </w:r>
          </w:p>
        </w:tc>
        <w:tc>
          <w:tcPr>
            <w:tcW w:w="2944" w:type="dxa"/>
            <w:shd w:val="clear" w:color="auto" w:fill="auto"/>
            <w:vAlign w:val="center"/>
          </w:tcPr>
          <w:p w14:paraId="3E3B47AD" w14:textId="77777777" w:rsidR="00C106D8" w:rsidRPr="008B619A" w:rsidRDefault="00C106D8" w:rsidP="006400F0">
            <w:pPr>
              <w:spacing w:line="400" w:lineRule="exact"/>
              <w:jc w:val="center"/>
              <w:rPr>
                <w:rFonts w:hAnsi="標楷體" w:cs="新細明體"/>
                <w:color w:val="000000" w:themeColor="text1"/>
                <w:sz w:val="26"/>
                <w:szCs w:val="26"/>
              </w:rPr>
            </w:pPr>
            <w:r w:rsidRPr="008B619A">
              <w:rPr>
                <w:rFonts w:hAnsi="標楷體" w:cs="新細明體" w:hint="eastAsia"/>
                <w:color w:val="000000" w:themeColor="text1"/>
                <w:sz w:val="26"/>
                <w:szCs w:val="26"/>
              </w:rPr>
              <w:t>765</w:t>
            </w:r>
          </w:p>
        </w:tc>
        <w:tc>
          <w:tcPr>
            <w:tcW w:w="2944" w:type="dxa"/>
            <w:shd w:val="clear" w:color="auto" w:fill="auto"/>
            <w:vAlign w:val="center"/>
          </w:tcPr>
          <w:p w14:paraId="033994B0" w14:textId="77777777" w:rsidR="00C106D8" w:rsidRPr="008B619A" w:rsidRDefault="00C106D8" w:rsidP="006400F0">
            <w:pPr>
              <w:spacing w:line="400" w:lineRule="exact"/>
              <w:jc w:val="center"/>
              <w:rPr>
                <w:rFonts w:hAnsi="標楷體" w:cs="新細明體"/>
                <w:color w:val="000000" w:themeColor="text1"/>
                <w:sz w:val="26"/>
                <w:szCs w:val="26"/>
              </w:rPr>
            </w:pPr>
            <w:r w:rsidRPr="008B619A">
              <w:rPr>
                <w:rFonts w:hAnsi="標楷體" w:cs="新細明體" w:hint="eastAsia"/>
                <w:color w:val="000000" w:themeColor="text1"/>
                <w:sz w:val="26"/>
                <w:szCs w:val="26"/>
              </w:rPr>
              <w:t>839</w:t>
            </w:r>
          </w:p>
        </w:tc>
      </w:tr>
      <w:tr w:rsidR="00C106D8" w:rsidRPr="008B619A" w14:paraId="64B085A2" w14:textId="77777777" w:rsidTr="006400F0">
        <w:tc>
          <w:tcPr>
            <w:tcW w:w="2240" w:type="dxa"/>
            <w:shd w:val="clear" w:color="auto" w:fill="auto"/>
            <w:vAlign w:val="center"/>
          </w:tcPr>
          <w:p w14:paraId="3BE76BB1" w14:textId="77777777" w:rsidR="00C106D8" w:rsidRPr="008B619A" w:rsidRDefault="00C106D8" w:rsidP="006400F0">
            <w:pPr>
              <w:spacing w:line="400" w:lineRule="exact"/>
              <w:jc w:val="center"/>
              <w:rPr>
                <w:rFonts w:hAnsi="標楷體" w:cs="新細明體"/>
                <w:b/>
                <w:color w:val="000000" w:themeColor="text1"/>
                <w:sz w:val="26"/>
                <w:szCs w:val="26"/>
              </w:rPr>
            </w:pPr>
            <w:r w:rsidRPr="008B619A">
              <w:rPr>
                <w:rFonts w:hAnsi="標楷體" w:cs="新細明體" w:hint="eastAsia"/>
                <w:b/>
                <w:color w:val="000000" w:themeColor="text1"/>
                <w:sz w:val="26"/>
                <w:szCs w:val="26"/>
              </w:rPr>
              <w:t>116</w:t>
            </w:r>
          </w:p>
        </w:tc>
        <w:tc>
          <w:tcPr>
            <w:tcW w:w="2944" w:type="dxa"/>
            <w:shd w:val="clear" w:color="auto" w:fill="auto"/>
            <w:vAlign w:val="center"/>
          </w:tcPr>
          <w:p w14:paraId="381B3327" w14:textId="77777777" w:rsidR="00C106D8" w:rsidRPr="008B619A" w:rsidRDefault="00C106D8" w:rsidP="006400F0">
            <w:pPr>
              <w:spacing w:line="400" w:lineRule="exact"/>
              <w:jc w:val="center"/>
              <w:rPr>
                <w:rFonts w:hAnsi="標楷體" w:cs="新細明體"/>
                <w:color w:val="000000" w:themeColor="text1"/>
                <w:sz w:val="26"/>
                <w:szCs w:val="26"/>
              </w:rPr>
            </w:pPr>
            <w:r w:rsidRPr="008B619A">
              <w:rPr>
                <w:rFonts w:hAnsi="標楷體" w:cs="新細明體" w:hint="eastAsia"/>
                <w:color w:val="000000" w:themeColor="text1"/>
                <w:sz w:val="26"/>
                <w:szCs w:val="26"/>
              </w:rPr>
              <w:t>754</w:t>
            </w:r>
          </w:p>
        </w:tc>
        <w:tc>
          <w:tcPr>
            <w:tcW w:w="2944" w:type="dxa"/>
            <w:shd w:val="clear" w:color="auto" w:fill="auto"/>
            <w:vAlign w:val="center"/>
          </w:tcPr>
          <w:p w14:paraId="06862E72" w14:textId="77777777" w:rsidR="00C106D8" w:rsidRPr="008B619A" w:rsidRDefault="00C106D8" w:rsidP="006400F0">
            <w:pPr>
              <w:spacing w:line="400" w:lineRule="exact"/>
              <w:jc w:val="center"/>
              <w:rPr>
                <w:rFonts w:hAnsi="標楷體" w:cs="新細明體"/>
                <w:color w:val="000000" w:themeColor="text1"/>
                <w:sz w:val="26"/>
                <w:szCs w:val="26"/>
              </w:rPr>
            </w:pPr>
            <w:r w:rsidRPr="008B619A">
              <w:rPr>
                <w:rFonts w:hAnsi="標楷體" w:cs="新細明體" w:hint="eastAsia"/>
                <w:color w:val="000000" w:themeColor="text1"/>
                <w:sz w:val="26"/>
                <w:szCs w:val="26"/>
              </w:rPr>
              <w:t>1</w:t>
            </w:r>
            <w:r w:rsidRPr="008B619A">
              <w:rPr>
                <w:rFonts w:hAnsi="標楷體" w:cs="新細明體"/>
                <w:color w:val="000000" w:themeColor="text1"/>
                <w:sz w:val="26"/>
                <w:szCs w:val="26"/>
              </w:rPr>
              <w:t>,</w:t>
            </w:r>
            <w:r w:rsidRPr="008B619A">
              <w:rPr>
                <w:rFonts w:hAnsi="標楷體" w:cs="新細明體" w:hint="eastAsia"/>
                <w:color w:val="000000" w:themeColor="text1"/>
                <w:sz w:val="26"/>
                <w:szCs w:val="26"/>
              </w:rPr>
              <w:t>033</w:t>
            </w:r>
          </w:p>
        </w:tc>
      </w:tr>
      <w:tr w:rsidR="00C106D8" w:rsidRPr="008B619A" w14:paraId="5A855A0C" w14:textId="77777777" w:rsidTr="006400F0">
        <w:tc>
          <w:tcPr>
            <w:tcW w:w="2240" w:type="dxa"/>
            <w:shd w:val="clear" w:color="auto" w:fill="auto"/>
            <w:vAlign w:val="center"/>
          </w:tcPr>
          <w:p w14:paraId="630376DC" w14:textId="77777777" w:rsidR="00C106D8" w:rsidRPr="008B619A" w:rsidRDefault="00C106D8" w:rsidP="006400F0">
            <w:pPr>
              <w:spacing w:line="400" w:lineRule="exact"/>
              <w:jc w:val="center"/>
              <w:rPr>
                <w:rFonts w:hAnsi="標楷體" w:cs="新細明體"/>
                <w:b/>
                <w:color w:val="000000" w:themeColor="text1"/>
                <w:sz w:val="26"/>
                <w:szCs w:val="26"/>
              </w:rPr>
            </w:pPr>
            <w:r w:rsidRPr="008B619A">
              <w:rPr>
                <w:rFonts w:hAnsi="標楷體" w:cs="新細明體" w:hint="eastAsia"/>
                <w:b/>
                <w:color w:val="000000" w:themeColor="text1"/>
                <w:sz w:val="26"/>
                <w:szCs w:val="26"/>
              </w:rPr>
              <w:t>117</w:t>
            </w:r>
          </w:p>
        </w:tc>
        <w:tc>
          <w:tcPr>
            <w:tcW w:w="2944" w:type="dxa"/>
            <w:shd w:val="clear" w:color="auto" w:fill="auto"/>
            <w:vAlign w:val="center"/>
          </w:tcPr>
          <w:p w14:paraId="16F3BC0D" w14:textId="77777777" w:rsidR="00C106D8" w:rsidRPr="008B619A" w:rsidRDefault="00C106D8" w:rsidP="006400F0">
            <w:pPr>
              <w:spacing w:line="400" w:lineRule="exact"/>
              <w:jc w:val="center"/>
              <w:rPr>
                <w:rFonts w:hAnsi="標楷體" w:cs="新細明體"/>
                <w:color w:val="000000" w:themeColor="text1"/>
                <w:sz w:val="26"/>
                <w:szCs w:val="26"/>
              </w:rPr>
            </w:pPr>
            <w:r w:rsidRPr="008B619A">
              <w:rPr>
                <w:rFonts w:hAnsi="標楷體" w:cs="新細明體" w:hint="eastAsia"/>
                <w:color w:val="000000" w:themeColor="text1"/>
                <w:sz w:val="26"/>
                <w:szCs w:val="26"/>
              </w:rPr>
              <w:t>865</w:t>
            </w:r>
          </w:p>
        </w:tc>
        <w:tc>
          <w:tcPr>
            <w:tcW w:w="2944" w:type="dxa"/>
            <w:shd w:val="clear" w:color="auto" w:fill="auto"/>
            <w:vAlign w:val="center"/>
          </w:tcPr>
          <w:p w14:paraId="1F82084E" w14:textId="77777777" w:rsidR="00C106D8" w:rsidRPr="008B619A" w:rsidRDefault="00C106D8" w:rsidP="006400F0">
            <w:pPr>
              <w:spacing w:line="400" w:lineRule="exact"/>
              <w:jc w:val="center"/>
              <w:rPr>
                <w:rFonts w:hAnsi="標楷體" w:cs="新細明體"/>
                <w:color w:val="000000" w:themeColor="text1"/>
                <w:sz w:val="26"/>
                <w:szCs w:val="26"/>
              </w:rPr>
            </w:pPr>
            <w:r w:rsidRPr="008B619A">
              <w:rPr>
                <w:rFonts w:hAnsi="標楷體" w:cs="新細明體" w:hint="eastAsia"/>
                <w:color w:val="000000" w:themeColor="text1"/>
                <w:sz w:val="26"/>
                <w:szCs w:val="26"/>
              </w:rPr>
              <w:t>1</w:t>
            </w:r>
            <w:r w:rsidRPr="008B619A">
              <w:rPr>
                <w:rFonts w:hAnsi="標楷體" w:cs="新細明體"/>
                <w:color w:val="000000" w:themeColor="text1"/>
                <w:sz w:val="26"/>
                <w:szCs w:val="26"/>
              </w:rPr>
              <w:t>,</w:t>
            </w:r>
            <w:r w:rsidRPr="008B619A">
              <w:rPr>
                <w:rFonts w:hAnsi="標楷體" w:cs="新細明體" w:hint="eastAsia"/>
                <w:color w:val="000000" w:themeColor="text1"/>
                <w:sz w:val="26"/>
                <w:szCs w:val="26"/>
              </w:rPr>
              <w:t>088</w:t>
            </w:r>
          </w:p>
        </w:tc>
      </w:tr>
      <w:tr w:rsidR="00C106D8" w:rsidRPr="008B619A" w14:paraId="7607BB9E" w14:textId="77777777" w:rsidTr="006400F0">
        <w:tc>
          <w:tcPr>
            <w:tcW w:w="2240" w:type="dxa"/>
            <w:shd w:val="clear" w:color="auto" w:fill="auto"/>
            <w:vAlign w:val="center"/>
          </w:tcPr>
          <w:p w14:paraId="48DC63AA" w14:textId="77777777" w:rsidR="00C106D8" w:rsidRPr="008B619A" w:rsidRDefault="00C106D8" w:rsidP="006400F0">
            <w:pPr>
              <w:spacing w:line="400" w:lineRule="exact"/>
              <w:jc w:val="center"/>
              <w:rPr>
                <w:rFonts w:hAnsi="標楷體" w:cs="新細明體"/>
                <w:b/>
                <w:color w:val="000000" w:themeColor="text1"/>
                <w:sz w:val="26"/>
                <w:szCs w:val="26"/>
              </w:rPr>
            </w:pPr>
            <w:r w:rsidRPr="008B619A">
              <w:rPr>
                <w:rFonts w:hAnsi="標楷體" w:cs="新細明體" w:hint="eastAsia"/>
                <w:b/>
                <w:color w:val="000000" w:themeColor="text1"/>
                <w:sz w:val="26"/>
                <w:szCs w:val="26"/>
              </w:rPr>
              <w:t>118</w:t>
            </w:r>
          </w:p>
        </w:tc>
        <w:tc>
          <w:tcPr>
            <w:tcW w:w="2944" w:type="dxa"/>
            <w:shd w:val="clear" w:color="auto" w:fill="auto"/>
            <w:vAlign w:val="center"/>
          </w:tcPr>
          <w:p w14:paraId="49E83A69" w14:textId="77777777" w:rsidR="00C106D8" w:rsidRPr="008B619A" w:rsidRDefault="00C106D8" w:rsidP="006400F0">
            <w:pPr>
              <w:spacing w:line="400" w:lineRule="exact"/>
              <w:jc w:val="center"/>
              <w:rPr>
                <w:rFonts w:hAnsi="標楷體" w:cs="新細明體"/>
                <w:color w:val="000000" w:themeColor="text1"/>
                <w:sz w:val="26"/>
                <w:szCs w:val="26"/>
              </w:rPr>
            </w:pPr>
            <w:r w:rsidRPr="008B619A">
              <w:rPr>
                <w:rFonts w:hAnsi="標楷體" w:cs="新細明體" w:hint="eastAsia"/>
                <w:color w:val="000000" w:themeColor="text1"/>
                <w:sz w:val="26"/>
                <w:szCs w:val="26"/>
              </w:rPr>
              <w:t>887</w:t>
            </w:r>
          </w:p>
        </w:tc>
        <w:tc>
          <w:tcPr>
            <w:tcW w:w="2944" w:type="dxa"/>
            <w:shd w:val="clear" w:color="auto" w:fill="auto"/>
            <w:vAlign w:val="center"/>
          </w:tcPr>
          <w:p w14:paraId="6D15BD30" w14:textId="77777777" w:rsidR="00C106D8" w:rsidRPr="008B619A" w:rsidRDefault="00C106D8" w:rsidP="006400F0">
            <w:pPr>
              <w:spacing w:line="400" w:lineRule="exact"/>
              <w:jc w:val="center"/>
              <w:rPr>
                <w:rFonts w:hAnsi="標楷體" w:cs="新細明體"/>
                <w:color w:val="000000" w:themeColor="text1"/>
                <w:sz w:val="26"/>
                <w:szCs w:val="26"/>
              </w:rPr>
            </w:pPr>
            <w:r w:rsidRPr="008B619A">
              <w:rPr>
                <w:rFonts w:hAnsi="標楷體" w:cs="新細明體" w:hint="eastAsia"/>
                <w:color w:val="000000" w:themeColor="text1"/>
                <w:sz w:val="26"/>
                <w:szCs w:val="26"/>
              </w:rPr>
              <w:t>1</w:t>
            </w:r>
            <w:r w:rsidRPr="008B619A">
              <w:rPr>
                <w:rFonts w:hAnsi="標楷體" w:cs="新細明體"/>
                <w:color w:val="000000" w:themeColor="text1"/>
                <w:sz w:val="26"/>
                <w:szCs w:val="26"/>
              </w:rPr>
              <w:t>,</w:t>
            </w:r>
            <w:r w:rsidRPr="008B619A">
              <w:rPr>
                <w:rFonts w:hAnsi="標楷體" w:cs="新細明體" w:hint="eastAsia"/>
                <w:color w:val="000000" w:themeColor="text1"/>
                <w:sz w:val="26"/>
                <w:szCs w:val="26"/>
              </w:rPr>
              <w:t>205</w:t>
            </w:r>
          </w:p>
        </w:tc>
      </w:tr>
      <w:tr w:rsidR="00C106D8" w:rsidRPr="008B619A" w14:paraId="65AC39EA" w14:textId="77777777" w:rsidTr="006400F0">
        <w:tc>
          <w:tcPr>
            <w:tcW w:w="2240" w:type="dxa"/>
            <w:shd w:val="clear" w:color="auto" w:fill="auto"/>
            <w:vAlign w:val="center"/>
          </w:tcPr>
          <w:p w14:paraId="21B58CDE" w14:textId="77777777" w:rsidR="00C106D8" w:rsidRPr="008B619A" w:rsidRDefault="00C106D8" w:rsidP="006400F0">
            <w:pPr>
              <w:spacing w:line="400" w:lineRule="exact"/>
              <w:jc w:val="center"/>
              <w:rPr>
                <w:rFonts w:hAnsi="標楷體" w:cs="新細明體"/>
                <w:b/>
                <w:color w:val="000000" w:themeColor="text1"/>
                <w:sz w:val="26"/>
                <w:szCs w:val="26"/>
              </w:rPr>
            </w:pPr>
            <w:r w:rsidRPr="008B619A">
              <w:rPr>
                <w:rFonts w:hAnsi="標楷體" w:cs="新細明體" w:hint="eastAsia"/>
                <w:b/>
                <w:color w:val="000000" w:themeColor="text1"/>
                <w:sz w:val="26"/>
                <w:szCs w:val="26"/>
              </w:rPr>
              <w:t>119</w:t>
            </w:r>
          </w:p>
        </w:tc>
        <w:tc>
          <w:tcPr>
            <w:tcW w:w="2944" w:type="dxa"/>
            <w:shd w:val="clear" w:color="auto" w:fill="auto"/>
            <w:vAlign w:val="center"/>
          </w:tcPr>
          <w:p w14:paraId="4CE9ECDA" w14:textId="77777777" w:rsidR="00C106D8" w:rsidRPr="008B619A" w:rsidRDefault="00C106D8" w:rsidP="006400F0">
            <w:pPr>
              <w:spacing w:line="400" w:lineRule="exact"/>
              <w:jc w:val="center"/>
              <w:rPr>
                <w:rFonts w:hAnsi="標楷體" w:cs="新細明體"/>
                <w:color w:val="000000" w:themeColor="text1"/>
                <w:sz w:val="26"/>
                <w:szCs w:val="26"/>
              </w:rPr>
            </w:pPr>
            <w:r w:rsidRPr="008B619A">
              <w:rPr>
                <w:rFonts w:hAnsi="標楷體" w:cs="新細明體" w:hint="eastAsia"/>
                <w:color w:val="000000" w:themeColor="text1"/>
                <w:sz w:val="26"/>
                <w:szCs w:val="26"/>
              </w:rPr>
              <w:t>898</w:t>
            </w:r>
          </w:p>
        </w:tc>
        <w:tc>
          <w:tcPr>
            <w:tcW w:w="2944" w:type="dxa"/>
            <w:shd w:val="clear" w:color="auto" w:fill="auto"/>
            <w:vAlign w:val="center"/>
          </w:tcPr>
          <w:p w14:paraId="4530369F" w14:textId="77777777" w:rsidR="00C106D8" w:rsidRPr="008B619A" w:rsidRDefault="00C106D8" w:rsidP="006400F0">
            <w:pPr>
              <w:spacing w:line="400" w:lineRule="exact"/>
              <w:jc w:val="center"/>
              <w:rPr>
                <w:rFonts w:hAnsi="標楷體" w:cs="新細明體"/>
                <w:color w:val="000000" w:themeColor="text1"/>
                <w:sz w:val="26"/>
                <w:szCs w:val="26"/>
              </w:rPr>
            </w:pPr>
            <w:r w:rsidRPr="008B619A">
              <w:rPr>
                <w:rFonts w:hAnsi="標楷體" w:cs="新細明體" w:hint="eastAsia"/>
                <w:color w:val="000000" w:themeColor="text1"/>
                <w:sz w:val="26"/>
                <w:szCs w:val="26"/>
              </w:rPr>
              <w:t>1</w:t>
            </w:r>
            <w:r w:rsidRPr="008B619A">
              <w:rPr>
                <w:rFonts w:hAnsi="標楷體" w:cs="新細明體"/>
                <w:color w:val="000000" w:themeColor="text1"/>
                <w:sz w:val="26"/>
                <w:szCs w:val="26"/>
              </w:rPr>
              <w:t>,</w:t>
            </w:r>
            <w:r w:rsidRPr="008B619A">
              <w:rPr>
                <w:rFonts w:hAnsi="標楷體" w:cs="新細明體" w:hint="eastAsia"/>
                <w:color w:val="000000" w:themeColor="text1"/>
                <w:sz w:val="26"/>
                <w:szCs w:val="26"/>
              </w:rPr>
              <w:t>164</w:t>
            </w:r>
          </w:p>
        </w:tc>
      </w:tr>
    </w:tbl>
    <w:p w14:paraId="1EE8FC98" w14:textId="77C5EE68" w:rsidR="00C106D8" w:rsidRPr="008B619A" w:rsidRDefault="00C106D8" w:rsidP="00C106D8">
      <w:pPr>
        <w:spacing w:afterLines="50" w:after="228" w:line="240" w:lineRule="exact"/>
        <w:ind w:leftChars="208" w:left="708"/>
        <w:rPr>
          <w:rFonts w:hAnsi="標楷體"/>
          <w:color w:val="000000" w:themeColor="text1"/>
          <w:sz w:val="24"/>
          <w:szCs w:val="24"/>
        </w:rPr>
      </w:pPr>
      <w:r w:rsidRPr="008B619A">
        <w:rPr>
          <w:rFonts w:hAnsi="標楷體" w:hint="eastAsia"/>
          <w:color w:val="000000" w:themeColor="text1"/>
          <w:sz w:val="24"/>
          <w:szCs w:val="24"/>
        </w:rPr>
        <w:t>資料日期：109年10月6日。</w:t>
      </w:r>
    </w:p>
    <w:p w14:paraId="7F5809A8" w14:textId="6F77783A" w:rsidR="00DD0AB8" w:rsidRPr="008B619A" w:rsidRDefault="00DD0AB8" w:rsidP="00C106D8">
      <w:pPr>
        <w:spacing w:afterLines="50" w:after="228" w:line="240" w:lineRule="exact"/>
        <w:ind w:leftChars="208" w:left="708"/>
        <w:rPr>
          <w:rFonts w:hAnsi="標楷體"/>
          <w:color w:val="000000" w:themeColor="text1"/>
          <w:szCs w:val="24"/>
        </w:rPr>
      </w:pPr>
      <w:r w:rsidRPr="008B619A">
        <w:rPr>
          <w:rFonts w:hAnsi="標楷體" w:hint="eastAsia"/>
          <w:color w:val="000000" w:themeColor="text1"/>
          <w:sz w:val="24"/>
          <w:szCs w:val="24"/>
        </w:rPr>
        <w:lastRenderedPageBreak/>
        <w:t>資料來源：教育部函復資料，取自教育人員管理資訊系統、私校退撫儲金管理系統。</w:t>
      </w:r>
    </w:p>
    <w:p w14:paraId="753888CD" w14:textId="15E0DC20" w:rsidR="00972702" w:rsidRPr="008B619A" w:rsidRDefault="00A93AF6" w:rsidP="006400F0">
      <w:pPr>
        <w:pStyle w:val="3"/>
        <w:numPr>
          <w:ilvl w:val="2"/>
          <w:numId w:val="12"/>
        </w:numPr>
        <w:rPr>
          <w:color w:val="000000" w:themeColor="text1"/>
        </w:rPr>
      </w:pPr>
      <w:r w:rsidRPr="008B619A">
        <w:rPr>
          <w:rFonts w:hAnsi="標楷體" w:hint="eastAsia"/>
          <w:color w:val="000000" w:themeColor="text1"/>
        </w:rPr>
        <w:t>再比較歷年</w:t>
      </w:r>
      <w:r w:rsidRPr="008B619A">
        <w:rPr>
          <w:color w:val="000000" w:themeColor="text1"/>
        </w:rPr>
        <w:t>各級學校平均每位教師教導學生人數(</w:t>
      </w:r>
      <w:r w:rsidR="00AB2286" w:rsidRPr="008B619A">
        <w:rPr>
          <w:rFonts w:hint="eastAsia"/>
          <w:color w:val="000000" w:themeColor="text1"/>
        </w:rPr>
        <w:t>即</w:t>
      </w:r>
      <w:r w:rsidRPr="008B619A">
        <w:rPr>
          <w:color w:val="000000" w:themeColor="text1"/>
        </w:rPr>
        <w:t>生師比</w:t>
      </w:r>
      <w:r w:rsidR="00D22B23" w:rsidRPr="008B619A">
        <w:rPr>
          <w:rFonts w:hint="eastAsia"/>
          <w:color w:val="000000" w:themeColor="text1"/>
        </w:rPr>
        <w:t>，如下表</w:t>
      </w:r>
      <w:r w:rsidRPr="008B619A">
        <w:rPr>
          <w:color w:val="000000" w:themeColor="text1"/>
        </w:rPr>
        <w:t>)</w:t>
      </w:r>
      <w:r w:rsidR="00AB2286" w:rsidRPr="008B619A">
        <w:rPr>
          <w:rFonts w:hint="eastAsia"/>
          <w:color w:val="000000" w:themeColor="text1"/>
        </w:rPr>
        <w:t>，</w:t>
      </w:r>
      <w:r w:rsidR="001A3278" w:rsidRPr="008B619A">
        <w:rPr>
          <w:rFonts w:hint="eastAsia"/>
          <w:color w:val="000000" w:themeColor="text1"/>
        </w:rPr>
        <w:t>大專校院生師比並未如</w:t>
      </w:r>
      <w:r w:rsidR="00BB49A0" w:rsidRPr="008B619A">
        <w:rPr>
          <w:rFonts w:hint="eastAsia"/>
          <w:color w:val="000000" w:themeColor="text1"/>
        </w:rPr>
        <w:t>高</w:t>
      </w:r>
      <w:r w:rsidR="00BB49A0" w:rsidRPr="008B619A">
        <w:rPr>
          <w:color w:val="000000" w:themeColor="text1"/>
        </w:rPr>
        <w:t>級中等以下學校之生師比</w:t>
      </w:r>
      <w:r w:rsidR="00DE7A79" w:rsidRPr="008B619A">
        <w:rPr>
          <w:rFonts w:hint="eastAsia"/>
          <w:color w:val="000000" w:themeColor="text1"/>
        </w:rPr>
        <w:t>有明顯</w:t>
      </w:r>
      <w:r w:rsidR="00BB49A0" w:rsidRPr="008B619A">
        <w:rPr>
          <w:color w:val="000000" w:themeColor="text1"/>
        </w:rPr>
        <w:t>逐年減少</w:t>
      </w:r>
      <w:r w:rsidR="00DE7A79" w:rsidRPr="008B619A">
        <w:rPr>
          <w:rFonts w:hint="eastAsia"/>
          <w:color w:val="000000" w:themeColor="text1"/>
        </w:rPr>
        <w:t>之</w:t>
      </w:r>
      <w:r w:rsidR="009D75B8" w:rsidRPr="008B619A">
        <w:rPr>
          <w:rFonts w:hint="eastAsia"/>
          <w:color w:val="000000" w:themeColor="text1"/>
        </w:rPr>
        <w:t>情形，況仍</w:t>
      </w:r>
      <w:r w:rsidR="00E4238F" w:rsidRPr="008B619A">
        <w:rPr>
          <w:rFonts w:hint="eastAsia"/>
          <w:color w:val="000000" w:themeColor="text1"/>
        </w:rPr>
        <w:t>明顯高於美國及OECD國家平均</w:t>
      </w:r>
      <w:r w:rsidR="008E1DC1" w:rsidRPr="008B619A">
        <w:rPr>
          <w:rStyle w:val="aff1"/>
          <w:color w:val="000000" w:themeColor="text1"/>
        </w:rPr>
        <w:footnoteReference w:id="52"/>
      </w:r>
      <w:r w:rsidR="00E4238F" w:rsidRPr="008B619A">
        <w:rPr>
          <w:rFonts w:hint="eastAsia"/>
          <w:color w:val="000000" w:themeColor="text1"/>
        </w:rPr>
        <w:t>，</w:t>
      </w:r>
      <w:r w:rsidR="00DC3577" w:rsidRPr="008B619A">
        <w:rPr>
          <w:rFonts w:hint="eastAsia"/>
          <w:color w:val="000000" w:themeColor="text1"/>
        </w:rPr>
        <w:t>茲論述如后：</w:t>
      </w:r>
    </w:p>
    <w:p w14:paraId="697AA5AC" w14:textId="6F3ED1B1" w:rsidR="00972702" w:rsidRPr="008B619A" w:rsidRDefault="000D564F" w:rsidP="00972702">
      <w:pPr>
        <w:pStyle w:val="4"/>
        <w:rPr>
          <w:color w:val="000000" w:themeColor="text1"/>
        </w:rPr>
      </w:pPr>
      <w:r w:rsidRPr="008B619A">
        <w:rPr>
          <w:color w:val="000000" w:themeColor="text1"/>
        </w:rPr>
        <w:t>大專校院先由100學年21.7人增至105學年23.3人，後逐年遞減至109學年 21.7人</w:t>
      </w:r>
      <w:r w:rsidR="00DC670D" w:rsidRPr="008B619A">
        <w:rPr>
          <w:rFonts w:hint="eastAsia"/>
          <w:color w:val="000000" w:themeColor="text1"/>
        </w:rPr>
        <w:t>，然係究</w:t>
      </w:r>
      <w:r w:rsidR="00310105" w:rsidRPr="008B619A">
        <w:rPr>
          <w:rFonts w:hint="eastAsia"/>
          <w:color w:val="000000" w:themeColor="text1"/>
        </w:rPr>
        <w:t>私立學校</w:t>
      </w:r>
      <w:r w:rsidR="004E17EA" w:rsidRPr="008B619A">
        <w:rPr>
          <w:rFonts w:hint="eastAsia"/>
          <w:color w:val="000000" w:themeColor="text1"/>
        </w:rPr>
        <w:t>，</w:t>
      </w:r>
      <w:r w:rsidRPr="008B619A">
        <w:rPr>
          <w:rFonts w:hint="eastAsia"/>
          <w:color w:val="000000" w:themeColor="text1"/>
        </w:rPr>
        <w:t>則從100學年度</w:t>
      </w:r>
      <w:r w:rsidR="000845C0" w:rsidRPr="008B619A">
        <w:rPr>
          <w:rFonts w:hint="eastAsia"/>
          <w:color w:val="000000" w:themeColor="text1"/>
        </w:rPr>
        <w:t>23.5</w:t>
      </w:r>
      <w:r w:rsidR="00237802" w:rsidRPr="008B619A">
        <w:rPr>
          <w:rFonts w:hint="eastAsia"/>
          <w:color w:val="000000" w:themeColor="text1"/>
        </w:rPr>
        <w:t>人</w:t>
      </w:r>
      <w:r w:rsidR="00DB263E" w:rsidRPr="008B619A">
        <w:rPr>
          <w:color w:val="000000" w:themeColor="text1"/>
        </w:rPr>
        <w:t>增至105學年2</w:t>
      </w:r>
      <w:r w:rsidR="0026456E" w:rsidRPr="008B619A">
        <w:rPr>
          <w:rFonts w:hint="eastAsia"/>
          <w:color w:val="000000" w:themeColor="text1"/>
        </w:rPr>
        <w:t>6.0</w:t>
      </w:r>
      <w:r w:rsidR="00DB263E" w:rsidRPr="008B619A">
        <w:rPr>
          <w:color w:val="000000" w:themeColor="text1"/>
        </w:rPr>
        <w:t>人，</w:t>
      </w:r>
      <w:r w:rsidR="007014FE" w:rsidRPr="008B619A">
        <w:rPr>
          <w:rFonts w:hint="eastAsia"/>
          <w:color w:val="000000" w:themeColor="text1"/>
        </w:rPr>
        <w:t>雖有逐年遞減趨勢</w:t>
      </w:r>
      <w:r w:rsidR="00310105" w:rsidRPr="008B619A">
        <w:rPr>
          <w:rFonts w:hint="eastAsia"/>
          <w:color w:val="000000" w:themeColor="text1"/>
        </w:rPr>
        <w:t>，</w:t>
      </w:r>
      <w:r w:rsidR="007014FE" w:rsidRPr="008B619A">
        <w:rPr>
          <w:rFonts w:hint="eastAsia"/>
          <w:color w:val="000000" w:themeColor="text1"/>
        </w:rPr>
        <w:t>然至</w:t>
      </w:r>
      <w:r w:rsidR="00310105" w:rsidRPr="008B619A">
        <w:rPr>
          <w:rFonts w:hint="eastAsia"/>
          <w:color w:val="000000" w:themeColor="text1"/>
        </w:rPr>
        <w:t>109學年度</w:t>
      </w:r>
      <w:r w:rsidR="007014FE" w:rsidRPr="008B619A">
        <w:rPr>
          <w:rFonts w:hint="eastAsia"/>
          <w:color w:val="000000" w:themeColor="text1"/>
        </w:rPr>
        <w:t>24.0仍高於100學年度</w:t>
      </w:r>
      <w:r w:rsidR="00635437" w:rsidRPr="008B619A">
        <w:rPr>
          <w:rFonts w:hint="eastAsia"/>
          <w:color w:val="000000" w:themeColor="text1"/>
        </w:rPr>
        <w:t>。</w:t>
      </w:r>
    </w:p>
    <w:p w14:paraId="5AA85891" w14:textId="7F9A4900" w:rsidR="00A93AF6" w:rsidRPr="008B619A" w:rsidRDefault="003A3966" w:rsidP="00972702">
      <w:pPr>
        <w:pStyle w:val="4"/>
        <w:rPr>
          <w:color w:val="000000" w:themeColor="text1"/>
        </w:rPr>
      </w:pPr>
      <w:r w:rsidRPr="008B619A">
        <w:rPr>
          <w:color w:val="000000" w:themeColor="text1"/>
        </w:rPr>
        <w:t>觀察主要國家各級學校生師比情形，</w:t>
      </w:r>
      <w:r w:rsidR="00E25086" w:rsidRPr="008B619A">
        <w:rPr>
          <w:rFonts w:hint="eastAsia"/>
          <w:color w:val="000000" w:themeColor="text1"/>
        </w:rPr>
        <w:t>201</w:t>
      </w:r>
      <w:r w:rsidR="007C66C1" w:rsidRPr="008B619A">
        <w:rPr>
          <w:rFonts w:hint="eastAsia"/>
          <w:color w:val="000000" w:themeColor="text1"/>
        </w:rPr>
        <w:t>8</w:t>
      </w:r>
      <w:r w:rsidR="00E25086" w:rsidRPr="008B619A">
        <w:rPr>
          <w:rFonts w:hint="eastAsia"/>
          <w:color w:val="000000" w:themeColor="text1"/>
        </w:rPr>
        <w:t>年</w:t>
      </w:r>
      <w:r w:rsidR="007D7207" w:rsidRPr="008B619A">
        <w:rPr>
          <w:color w:val="000000" w:themeColor="text1"/>
        </w:rPr>
        <w:t>大專校院</w:t>
      </w:r>
      <w:r w:rsidR="007C66C1" w:rsidRPr="008B619A">
        <w:rPr>
          <w:rFonts w:hint="eastAsia"/>
          <w:color w:val="000000" w:themeColor="text1"/>
        </w:rPr>
        <w:t>22.3人，</w:t>
      </w:r>
      <w:r w:rsidR="007D7207" w:rsidRPr="008B619A">
        <w:rPr>
          <w:color w:val="000000" w:themeColor="text1"/>
        </w:rPr>
        <w:t>亦分別較美國及OECD國家平均高8.5人及7.1人</w:t>
      </w:r>
      <w:r w:rsidR="007D7207" w:rsidRPr="008B619A">
        <w:rPr>
          <w:rFonts w:hint="eastAsia"/>
          <w:color w:val="000000" w:themeColor="text1"/>
        </w:rPr>
        <w:t>。</w:t>
      </w:r>
    </w:p>
    <w:p w14:paraId="3B8613C1" w14:textId="66E37813" w:rsidR="004C15F3" w:rsidRPr="008B619A" w:rsidRDefault="00727942" w:rsidP="004C15F3">
      <w:pPr>
        <w:pStyle w:val="a3"/>
        <w:ind w:left="1281" w:hanging="1281"/>
        <w:jc w:val="center"/>
        <w:rPr>
          <w:b/>
          <w:bCs w:val="0"/>
          <w:color w:val="000000" w:themeColor="text1"/>
        </w:rPr>
      </w:pPr>
      <w:r w:rsidRPr="008B619A">
        <w:rPr>
          <w:rFonts w:hint="eastAsia"/>
          <w:b/>
          <w:bCs w:val="0"/>
          <w:color w:val="000000" w:themeColor="text1"/>
        </w:rPr>
        <w:t>100-109學年度</w:t>
      </w:r>
      <w:r w:rsidR="004C15F3" w:rsidRPr="008B619A">
        <w:rPr>
          <w:rFonts w:hint="eastAsia"/>
          <w:b/>
          <w:bCs w:val="0"/>
          <w:color w:val="000000" w:themeColor="text1"/>
        </w:rPr>
        <w:t>各級學校生師比</w:t>
      </w:r>
    </w:p>
    <w:p w14:paraId="21B0A277" w14:textId="77777777" w:rsidR="004C15F3" w:rsidRPr="008B619A" w:rsidRDefault="004C15F3" w:rsidP="004C15F3">
      <w:pPr>
        <w:spacing w:line="240" w:lineRule="exact"/>
        <w:jc w:val="right"/>
        <w:rPr>
          <w:color w:val="000000" w:themeColor="text1"/>
        </w:rPr>
      </w:pPr>
      <w:r w:rsidRPr="008B619A">
        <w:rPr>
          <w:rFonts w:hAnsi="標楷體" w:hint="eastAsia"/>
          <w:color w:val="000000" w:themeColor="text1"/>
          <w:sz w:val="24"/>
          <w:szCs w:val="24"/>
        </w:rPr>
        <w:t>單位：人</w:t>
      </w:r>
    </w:p>
    <w:p w14:paraId="1055706C" w14:textId="77777777" w:rsidR="004C15F3" w:rsidRPr="008B619A" w:rsidRDefault="004C15F3" w:rsidP="004C15F3">
      <w:pPr>
        <w:rPr>
          <w:color w:val="000000" w:themeColor="text1"/>
        </w:rPr>
      </w:pPr>
      <w:r w:rsidRPr="008B619A">
        <w:rPr>
          <w:noProof/>
          <w:color w:val="000000" w:themeColor="text1"/>
        </w:rPr>
        <w:drawing>
          <wp:inline distT="0" distB="0" distL="0" distR="0" wp14:anchorId="7E051672" wp14:editId="243B1830">
            <wp:extent cx="5615940" cy="1943735"/>
            <wp:effectExtent l="0" t="0" r="3810" b="0"/>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圖片 13"/>
                    <pic:cNvPicPr/>
                  </pic:nvPicPr>
                  <pic:blipFill>
                    <a:blip r:embed="rId17">
                      <a:extLst>
                        <a:ext uri="{28A0092B-C50C-407E-A947-70E740481C1C}">
                          <a14:useLocalDpi xmlns:a14="http://schemas.microsoft.com/office/drawing/2010/main" val="0"/>
                        </a:ext>
                      </a:extLst>
                    </a:blip>
                    <a:stretch>
                      <a:fillRect/>
                    </a:stretch>
                  </pic:blipFill>
                  <pic:spPr>
                    <a:xfrm>
                      <a:off x="0" y="0"/>
                      <a:ext cx="5615940" cy="1943735"/>
                    </a:xfrm>
                    <a:prstGeom prst="rect">
                      <a:avLst/>
                    </a:prstGeom>
                  </pic:spPr>
                </pic:pic>
              </a:graphicData>
            </a:graphic>
          </wp:inline>
        </w:drawing>
      </w:r>
    </w:p>
    <w:p w14:paraId="38C693C3" w14:textId="540A2DB6" w:rsidR="004C15F3" w:rsidRPr="008B619A" w:rsidRDefault="004C15F3" w:rsidP="00EF7E63">
      <w:pPr>
        <w:overflowPunct/>
        <w:spacing w:afterLines="50" w:after="228" w:line="300" w:lineRule="exact"/>
        <w:jc w:val="center"/>
        <w:rPr>
          <w:rFonts w:hAnsi="標楷體"/>
          <w:color w:val="000000" w:themeColor="text1"/>
          <w:sz w:val="24"/>
          <w:szCs w:val="24"/>
        </w:rPr>
      </w:pPr>
      <w:r w:rsidRPr="008B619A">
        <w:rPr>
          <w:rFonts w:hAnsi="標楷體" w:hint="eastAsia"/>
          <w:color w:val="000000" w:themeColor="text1"/>
          <w:sz w:val="24"/>
          <w:szCs w:val="24"/>
        </w:rPr>
        <w:t>資料來源：</w:t>
      </w:r>
      <w:r w:rsidR="00EF7E63" w:rsidRPr="008B619A">
        <w:rPr>
          <w:rFonts w:hAnsi="標楷體" w:hint="eastAsia"/>
          <w:color w:val="000000" w:themeColor="text1"/>
          <w:sz w:val="24"/>
          <w:szCs w:val="24"/>
        </w:rPr>
        <w:t>教育部統計處（民110）。</w:t>
      </w:r>
    </w:p>
    <w:p w14:paraId="351F5FFB" w14:textId="77777777" w:rsidR="004C15F3" w:rsidRPr="008B619A" w:rsidRDefault="004C15F3" w:rsidP="004C15F3">
      <w:pPr>
        <w:rPr>
          <w:color w:val="000000" w:themeColor="text1"/>
        </w:rPr>
      </w:pPr>
      <w:r w:rsidRPr="008B619A">
        <w:rPr>
          <w:noProof/>
          <w:color w:val="000000" w:themeColor="text1"/>
        </w:rPr>
        <w:lastRenderedPageBreak/>
        <w:drawing>
          <wp:inline distT="0" distB="0" distL="0" distR="0" wp14:anchorId="0A1BBE2F" wp14:editId="655BD542">
            <wp:extent cx="5615940" cy="2120900"/>
            <wp:effectExtent l="0" t="0" r="3810" b="0"/>
            <wp:docPr id="14"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圖片 14"/>
                    <pic:cNvPicPr/>
                  </pic:nvPicPr>
                  <pic:blipFill>
                    <a:blip r:embed="rId18">
                      <a:extLst>
                        <a:ext uri="{28A0092B-C50C-407E-A947-70E740481C1C}">
                          <a14:useLocalDpi xmlns:a14="http://schemas.microsoft.com/office/drawing/2010/main" val="0"/>
                        </a:ext>
                      </a:extLst>
                    </a:blip>
                    <a:stretch>
                      <a:fillRect/>
                    </a:stretch>
                  </pic:blipFill>
                  <pic:spPr>
                    <a:xfrm>
                      <a:off x="0" y="0"/>
                      <a:ext cx="5615940" cy="2120900"/>
                    </a:xfrm>
                    <a:prstGeom prst="rect">
                      <a:avLst/>
                    </a:prstGeom>
                  </pic:spPr>
                </pic:pic>
              </a:graphicData>
            </a:graphic>
          </wp:inline>
        </w:drawing>
      </w:r>
    </w:p>
    <w:p w14:paraId="0FB1E63F" w14:textId="77777777" w:rsidR="004C15F3" w:rsidRPr="008B619A" w:rsidRDefault="004C15F3" w:rsidP="004C15F3">
      <w:pPr>
        <w:pStyle w:val="a1"/>
        <w:spacing w:after="120"/>
        <w:ind w:left="482" w:hanging="482"/>
        <w:rPr>
          <w:b/>
          <w:bCs w:val="0"/>
          <w:color w:val="000000" w:themeColor="text1"/>
        </w:rPr>
      </w:pPr>
      <w:r w:rsidRPr="008B619A">
        <w:rPr>
          <w:rFonts w:hint="eastAsia"/>
          <w:b/>
          <w:bCs w:val="0"/>
          <w:color w:val="000000" w:themeColor="text1"/>
        </w:rPr>
        <w:t>2018年主要國家各級學校生師比</w:t>
      </w:r>
    </w:p>
    <w:p w14:paraId="3943A1DA" w14:textId="4749E1D0" w:rsidR="00034588" w:rsidRPr="008B619A" w:rsidRDefault="004C15F3" w:rsidP="000D78A8">
      <w:pPr>
        <w:spacing w:afterLines="50" w:after="228"/>
        <w:jc w:val="center"/>
        <w:rPr>
          <w:color w:val="000000" w:themeColor="text1"/>
        </w:rPr>
      </w:pPr>
      <w:r w:rsidRPr="008B619A">
        <w:rPr>
          <w:rFonts w:hint="eastAsia"/>
          <w:color w:val="000000" w:themeColor="text1"/>
          <w:sz w:val="24"/>
          <w:szCs w:val="24"/>
        </w:rPr>
        <w:t>資料來源：</w:t>
      </w:r>
      <w:r w:rsidR="001F167F" w:rsidRPr="008B619A">
        <w:rPr>
          <w:rFonts w:hAnsi="標楷體" w:hint="eastAsia"/>
          <w:color w:val="000000" w:themeColor="text1"/>
          <w:sz w:val="24"/>
          <w:szCs w:val="24"/>
        </w:rPr>
        <w:t>同上</w:t>
      </w:r>
      <w:r w:rsidR="00C614CD" w:rsidRPr="008B619A">
        <w:rPr>
          <w:rFonts w:hAnsi="標楷體" w:hint="eastAsia"/>
          <w:color w:val="000000" w:themeColor="text1"/>
          <w:sz w:val="24"/>
          <w:szCs w:val="24"/>
        </w:rPr>
        <w:t>表</w:t>
      </w:r>
      <w:r w:rsidR="001F167F" w:rsidRPr="008B619A">
        <w:rPr>
          <w:rFonts w:hAnsi="標楷體" w:hint="eastAsia"/>
          <w:color w:val="000000" w:themeColor="text1"/>
          <w:sz w:val="24"/>
          <w:szCs w:val="24"/>
        </w:rPr>
        <w:t>註</w:t>
      </w:r>
      <w:r w:rsidRPr="008B619A">
        <w:rPr>
          <w:rFonts w:hAnsi="標楷體" w:hint="eastAsia"/>
          <w:color w:val="000000" w:themeColor="text1"/>
          <w:sz w:val="24"/>
          <w:szCs w:val="24"/>
        </w:rPr>
        <w:t>。</w:t>
      </w:r>
    </w:p>
    <w:p w14:paraId="2CBB2FE3" w14:textId="03C8E4CF" w:rsidR="00B77D3A" w:rsidRPr="008B619A" w:rsidRDefault="00B77D3A" w:rsidP="0032171E">
      <w:pPr>
        <w:pStyle w:val="3"/>
        <w:numPr>
          <w:ilvl w:val="2"/>
          <w:numId w:val="12"/>
        </w:numPr>
        <w:rPr>
          <w:color w:val="000000" w:themeColor="text1"/>
        </w:rPr>
      </w:pPr>
      <w:r w:rsidRPr="008B619A">
        <w:rPr>
          <w:rFonts w:hint="eastAsia"/>
          <w:color w:val="000000" w:themeColor="text1"/>
        </w:rPr>
        <w:t>據台灣高等教育產業工會林柏儀（民106）研究指出</w:t>
      </w:r>
      <w:r w:rsidRPr="008B619A">
        <w:rPr>
          <w:rStyle w:val="aff1"/>
          <w:color w:val="000000" w:themeColor="text1"/>
        </w:rPr>
        <w:footnoteReference w:id="53"/>
      </w:r>
      <w:r w:rsidRPr="008B619A">
        <w:rPr>
          <w:rFonts w:hint="eastAsia"/>
          <w:color w:val="000000" w:themeColor="text1"/>
        </w:rPr>
        <w:t>，</w:t>
      </w:r>
      <w:r w:rsidRPr="008B619A">
        <w:rPr>
          <w:rFonts w:hAnsi="標楷體" w:hint="eastAsia"/>
          <w:color w:val="000000" w:themeColor="text1"/>
        </w:rPr>
        <w:t>「</w:t>
      </w:r>
      <w:r w:rsidR="00086D7F" w:rsidRPr="008B619A">
        <w:rPr>
          <w:rFonts w:hAnsi="標楷體" w:hint="eastAsia"/>
          <w:color w:val="000000" w:themeColor="text1"/>
        </w:rPr>
        <w:t>總</w:t>
      </w:r>
      <w:r w:rsidRPr="008B619A">
        <w:rPr>
          <w:rFonts w:hint="eastAsia"/>
          <w:color w:val="000000" w:themeColor="text1"/>
        </w:rPr>
        <w:t>結來看，臺灣各大專院校的教師員額刪減，不只是源自於</w:t>
      </w:r>
      <w:r w:rsidRPr="008B619A">
        <w:rPr>
          <w:rFonts w:hAnsi="標楷體" w:hint="eastAsia"/>
          <w:color w:val="000000" w:themeColor="text1"/>
        </w:rPr>
        <w:t>『</w:t>
      </w:r>
      <w:r w:rsidRPr="008B619A">
        <w:rPr>
          <w:rFonts w:hint="eastAsia"/>
          <w:color w:val="000000" w:themeColor="text1"/>
        </w:rPr>
        <w:t>少子女化</w:t>
      </w:r>
      <w:r w:rsidRPr="008B619A">
        <w:rPr>
          <w:rFonts w:hAnsi="標楷體" w:hint="eastAsia"/>
          <w:color w:val="000000" w:themeColor="text1"/>
        </w:rPr>
        <w:t>』</w:t>
      </w:r>
      <w:r w:rsidRPr="008B619A">
        <w:rPr>
          <w:rFonts w:hint="eastAsia"/>
          <w:color w:val="000000" w:themeColor="text1"/>
        </w:rPr>
        <w:t>的生源不足，更是當前大專院校紛紛採用企業邏輯撙節人力、不顧教育品質、試圖增加</w:t>
      </w:r>
      <w:r w:rsidRPr="008B619A">
        <w:rPr>
          <w:rFonts w:hAnsi="標楷體" w:hint="eastAsia"/>
          <w:color w:val="000000" w:themeColor="text1"/>
        </w:rPr>
        <w:t>『</w:t>
      </w:r>
      <w:r w:rsidRPr="008B619A">
        <w:rPr>
          <w:rFonts w:hint="eastAsia"/>
          <w:color w:val="000000" w:themeColor="text1"/>
        </w:rPr>
        <w:t>獲利</w:t>
      </w:r>
      <w:r w:rsidRPr="008B619A">
        <w:rPr>
          <w:rFonts w:hAnsi="標楷體" w:hint="eastAsia"/>
          <w:color w:val="000000" w:themeColor="text1"/>
        </w:rPr>
        <w:t>』</w:t>
      </w:r>
      <w:r w:rsidRPr="008B619A">
        <w:rPr>
          <w:rFonts w:hint="eastAsia"/>
          <w:color w:val="000000" w:themeColor="text1"/>
        </w:rPr>
        <w:t>所導致的結果。政府在這過程甚至是扮演加劇惡化的角色，一面長期不顧高教公共資源的投入責任，一面則放任大專院校以</w:t>
      </w:r>
      <w:r w:rsidRPr="008B619A">
        <w:rPr>
          <w:rFonts w:hAnsi="標楷體" w:hint="eastAsia"/>
          <w:color w:val="000000" w:themeColor="text1"/>
        </w:rPr>
        <w:t>『</w:t>
      </w:r>
      <w:r w:rsidRPr="008B619A">
        <w:rPr>
          <w:rFonts w:hint="eastAsia"/>
          <w:color w:val="000000" w:themeColor="text1"/>
        </w:rPr>
        <w:t>獲利</w:t>
      </w:r>
      <w:r w:rsidRPr="008B619A">
        <w:rPr>
          <w:rFonts w:hAnsi="標楷體" w:hint="eastAsia"/>
          <w:color w:val="000000" w:themeColor="text1"/>
        </w:rPr>
        <w:t>』</w:t>
      </w:r>
      <w:r w:rsidRPr="008B619A">
        <w:rPr>
          <w:rFonts w:hint="eastAsia"/>
          <w:color w:val="000000" w:themeColor="text1"/>
        </w:rPr>
        <w:t>優先而犧牲師生權益。新自由主義浪潮下的高教發展，是當前困局的背景</w:t>
      </w:r>
      <w:r w:rsidRPr="008B619A">
        <w:rPr>
          <w:rFonts w:hAnsi="標楷體" w:hint="eastAsia"/>
          <w:color w:val="000000" w:themeColor="text1"/>
        </w:rPr>
        <w:t>」等語，殊值反思借鏡。</w:t>
      </w:r>
    </w:p>
    <w:p w14:paraId="0D33B8D5" w14:textId="68713D43" w:rsidR="00B74B48" w:rsidRPr="008B619A" w:rsidRDefault="00B77D3A" w:rsidP="00B77D3A">
      <w:pPr>
        <w:pStyle w:val="3"/>
        <w:rPr>
          <w:color w:val="000000" w:themeColor="text1"/>
        </w:rPr>
      </w:pPr>
      <w:r w:rsidRPr="008B619A">
        <w:rPr>
          <w:rFonts w:hint="eastAsia"/>
          <w:color w:val="000000" w:themeColor="text1"/>
        </w:rPr>
        <w:t>綜上論述，博士級人才是奠定國家競爭力不可或缺的關鍵要素，而培育此類高階人才之師資更應扮演帶動學研創新領頭羊之角色，國內大學教研機構過去係吸納博士人才之重要單位，鑒於過往20多年來，高教擴張伴隨生師比惡化、教師聘任不足額等現象，學校因應少子化改變經營模式，107學年度我國大專校院50歲以上教師占56.6%，占比除已居各學制之首外，亦高於日本之45.7%及南韓之46.2%，</w:t>
      </w:r>
      <w:r w:rsidRPr="008B619A">
        <w:rPr>
          <w:rFonts w:hint="eastAsia"/>
          <w:color w:val="000000" w:themeColor="text1"/>
        </w:rPr>
        <w:lastRenderedPageBreak/>
        <w:t>且生師比達22.3人，大幅高於美國與OECD國家之8.5人及7.1人；</w:t>
      </w:r>
      <w:r w:rsidR="00673097" w:rsidRPr="008B619A">
        <w:rPr>
          <w:rFonts w:hint="eastAsia"/>
          <w:bCs w:val="0"/>
          <w:color w:val="000000" w:themeColor="text1"/>
        </w:rPr>
        <w:t>況部分學校為節省經費成本、調整師資人力，恐以專案老師取代專任老師，專案教師比最嚴重之學校已高達到8成，且全國有20幾校</w:t>
      </w:r>
      <w:r w:rsidR="007048A0" w:rsidRPr="008B619A">
        <w:rPr>
          <w:rFonts w:hint="eastAsia"/>
          <w:bCs w:val="0"/>
          <w:color w:val="000000" w:themeColor="text1"/>
        </w:rPr>
        <w:t>之</w:t>
      </w:r>
      <w:r w:rsidR="00673097" w:rsidRPr="008B619A">
        <w:rPr>
          <w:rFonts w:hint="eastAsia"/>
          <w:bCs w:val="0"/>
          <w:color w:val="000000" w:themeColor="text1"/>
        </w:rPr>
        <w:t>占比高達4至6成，</w:t>
      </w:r>
      <w:r w:rsidRPr="008B619A">
        <w:rPr>
          <w:rFonts w:hint="eastAsia"/>
          <w:color w:val="000000" w:themeColor="text1"/>
        </w:rPr>
        <w:t>加以延退趨勢、教師退休或計畫約聘人力離職及企業對博士級研發人力需求增加等因素，致高教師資結構失衡，高教研發人力呈現下降狀況，衍生年輕學者及教師之人力斷層，恐扼殺研究創新，損及學生之受教權益</w:t>
      </w:r>
      <w:r w:rsidR="00932310" w:rsidRPr="008B619A">
        <w:rPr>
          <w:rFonts w:hint="eastAsia"/>
          <w:color w:val="000000" w:themeColor="text1"/>
        </w:rPr>
        <w:t>；</w:t>
      </w:r>
      <w:r w:rsidR="00A375CB" w:rsidRPr="008B619A">
        <w:rPr>
          <w:rFonts w:hint="eastAsia"/>
          <w:color w:val="000000" w:themeColor="text1"/>
        </w:rPr>
        <w:t>又釋字第783號解釋針對</w:t>
      </w:r>
      <w:r w:rsidR="00A375CB" w:rsidRPr="008B619A">
        <w:rPr>
          <w:color w:val="000000" w:themeColor="text1"/>
        </w:rPr>
        <w:t>公立學校教職員退休資遣撫卹條例</w:t>
      </w:r>
      <w:r w:rsidR="00A375CB" w:rsidRPr="008B619A">
        <w:rPr>
          <w:rFonts w:hint="eastAsia"/>
          <w:color w:val="000000" w:themeColor="text1"/>
        </w:rPr>
        <w:t>相關規定宣告違憲後，教育部已研擬修正獎補助款措施及儲金負擔措施，相關成效尚待評估追蹤，爰未來政府允宜立基教育權，持續監督改善生師比措施、年輕教師工作權益，鼓勵年輕專任</w:t>
      </w:r>
      <w:r w:rsidR="00A375CB" w:rsidRPr="008B619A">
        <w:rPr>
          <w:color w:val="000000" w:themeColor="text1"/>
        </w:rPr>
        <w:t>師資延攬</w:t>
      </w:r>
      <w:r w:rsidR="00A375CB" w:rsidRPr="008B619A">
        <w:rPr>
          <w:rFonts w:hint="eastAsia"/>
          <w:color w:val="000000" w:themeColor="text1"/>
        </w:rPr>
        <w:t>，以均衡優質教育體系及學術能量之發展</w:t>
      </w:r>
      <w:r w:rsidR="00932310" w:rsidRPr="008B619A">
        <w:rPr>
          <w:rFonts w:hint="eastAsia"/>
          <w:color w:val="000000" w:themeColor="text1"/>
        </w:rPr>
        <w:t>。</w:t>
      </w:r>
    </w:p>
    <w:p w14:paraId="1DDA570D" w14:textId="77777777" w:rsidR="00B74B48" w:rsidRPr="008B619A" w:rsidRDefault="00B74B48" w:rsidP="00B74B48">
      <w:pPr>
        <w:rPr>
          <w:color w:val="000000" w:themeColor="text1"/>
        </w:rPr>
      </w:pPr>
    </w:p>
    <w:p w14:paraId="3B95F8A7" w14:textId="243FF52A" w:rsidR="005A1C7D" w:rsidRPr="008B619A" w:rsidRDefault="000F4EA8" w:rsidP="005F4AB4">
      <w:pPr>
        <w:pStyle w:val="2"/>
        <w:rPr>
          <w:rFonts w:hAnsi="標楷體"/>
          <w:b/>
          <w:bCs w:val="0"/>
          <w:color w:val="000000" w:themeColor="text1"/>
        </w:rPr>
      </w:pPr>
      <w:bookmarkStart w:id="85" w:name="_Toc76980143"/>
      <w:r w:rsidRPr="008B619A">
        <w:rPr>
          <w:rFonts w:hAnsi="標楷體" w:hint="eastAsia"/>
          <w:b/>
          <w:bCs w:val="0"/>
          <w:color w:val="000000" w:themeColor="text1"/>
        </w:rPr>
        <w:t>為因應全球人口老化及少子女化，歐、美等傳統高等教育輸出大國，及日、韓、新加坡與</w:t>
      </w:r>
      <w:r w:rsidR="002C621C" w:rsidRPr="008B619A">
        <w:rPr>
          <w:rFonts w:hint="eastAsia"/>
          <w:b/>
          <w:color w:val="000000" w:themeColor="text1"/>
        </w:rPr>
        <w:t>中國</w:t>
      </w:r>
      <w:r w:rsidRPr="008B619A">
        <w:rPr>
          <w:rFonts w:hAnsi="標楷體" w:hint="eastAsia"/>
          <w:b/>
          <w:bCs w:val="0"/>
          <w:color w:val="000000" w:themeColor="text1"/>
        </w:rPr>
        <w:t>等亞洲新興高等教育輸出國家</w:t>
      </w:r>
      <w:r w:rsidR="00BC2A27" w:rsidRPr="008B619A">
        <w:rPr>
          <w:rFonts w:hAnsi="標楷體" w:hint="eastAsia"/>
          <w:b/>
          <w:bCs w:val="0"/>
          <w:color w:val="000000" w:themeColor="text1"/>
        </w:rPr>
        <w:t>，</w:t>
      </w:r>
      <w:r w:rsidR="00982178" w:rsidRPr="008B619A">
        <w:rPr>
          <w:rFonts w:hAnsi="標楷體" w:hint="eastAsia"/>
          <w:b/>
          <w:bCs w:val="0"/>
          <w:color w:val="000000" w:themeColor="text1"/>
        </w:rPr>
        <w:t>均</w:t>
      </w:r>
      <w:r w:rsidR="000D33B0" w:rsidRPr="008B619A">
        <w:rPr>
          <w:rFonts w:hAnsi="標楷體" w:hint="eastAsia"/>
          <w:b/>
          <w:bCs w:val="0"/>
          <w:color w:val="000000" w:themeColor="text1"/>
        </w:rPr>
        <w:t>已積極招收境外學生及</w:t>
      </w:r>
      <w:r w:rsidR="00035E26" w:rsidRPr="008B619A">
        <w:rPr>
          <w:rFonts w:hAnsi="標楷體" w:hint="eastAsia"/>
          <w:b/>
          <w:bCs w:val="0"/>
          <w:color w:val="000000" w:themeColor="text1"/>
        </w:rPr>
        <w:t>實施</w:t>
      </w:r>
      <w:r w:rsidR="00A761C2" w:rsidRPr="008B619A">
        <w:rPr>
          <w:rFonts w:hAnsi="標楷體" w:hint="eastAsia"/>
          <w:b/>
          <w:bCs w:val="0"/>
          <w:color w:val="000000" w:themeColor="text1"/>
        </w:rPr>
        <w:t>高階人力</w:t>
      </w:r>
      <w:r w:rsidR="000D33B0" w:rsidRPr="008B619A">
        <w:rPr>
          <w:rFonts w:hAnsi="標楷體" w:hint="eastAsia"/>
          <w:b/>
          <w:bCs w:val="0"/>
          <w:color w:val="000000" w:themeColor="text1"/>
        </w:rPr>
        <w:t>學成留才之具體措施</w:t>
      </w:r>
      <w:r w:rsidRPr="008B619A">
        <w:rPr>
          <w:rFonts w:hAnsi="標楷體" w:hint="eastAsia"/>
          <w:b/>
          <w:bCs w:val="0"/>
          <w:color w:val="000000" w:themeColor="text1"/>
        </w:rPr>
        <w:t>，</w:t>
      </w:r>
      <w:r w:rsidR="00035E26" w:rsidRPr="008B619A">
        <w:rPr>
          <w:rFonts w:hAnsi="標楷體" w:hint="eastAsia"/>
          <w:b/>
          <w:bCs w:val="0"/>
          <w:color w:val="000000" w:themeColor="text1"/>
        </w:rPr>
        <w:t>而</w:t>
      </w:r>
      <w:r w:rsidR="006425CC" w:rsidRPr="008B619A">
        <w:rPr>
          <w:rFonts w:hAnsi="標楷體" w:hint="eastAsia"/>
          <w:b/>
          <w:bCs w:val="0"/>
          <w:color w:val="000000" w:themeColor="text1"/>
        </w:rPr>
        <w:t>我國</w:t>
      </w:r>
      <w:r w:rsidR="000261E8" w:rsidRPr="008B619A">
        <w:rPr>
          <w:rFonts w:hAnsi="標楷體" w:hint="eastAsia"/>
          <w:b/>
          <w:bCs w:val="0"/>
          <w:color w:val="000000" w:themeColor="text1"/>
        </w:rPr>
        <w:t>近年</w:t>
      </w:r>
      <w:r w:rsidR="0090039C" w:rsidRPr="008B619A">
        <w:rPr>
          <w:rFonts w:hAnsi="標楷體" w:hint="eastAsia"/>
          <w:b/>
          <w:bCs w:val="0"/>
          <w:color w:val="000000" w:themeColor="text1"/>
        </w:rPr>
        <w:t>高教國際教育輸出</w:t>
      </w:r>
      <w:r w:rsidR="00B8281B" w:rsidRPr="008B619A">
        <w:rPr>
          <w:rFonts w:hAnsi="標楷體" w:hint="eastAsia"/>
          <w:b/>
          <w:bCs w:val="0"/>
          <w:color w:val="000000" w:themeColor="text1"/>
        </w:rPr>
        <w:t>亦</w:t>
      </w:r>
      <w:r w:rsidR="0090039C" w:rsidRPr="008B619A">
        <w:rPr>
          <w:rFonts w:hAnsi="標楷體" w:hint="eastAsia"/>
          <w:b/>
          <w:bCs w:val="0"/>
          <w:color w:val="000000" w:themeColor="text1"/>
        </w:rPr>
        <w:t>逐年攀升，大專校院境外博士生來臺人數至109學年度已達</w:t>
      </w:r>
      <w:r w:rsidR="0090039C" w:rsidRPr="008B619A">
        <w:rPr>
          <w:rFonts w:hAnsi="標楷體"/>
          <w:b/>
          <w:bCs w:val="0"/>
          <w:color w:val="000000" w:themeColor="text1"/>
        </w:rPr>
        <w:t>5,578</w:t>
      </w:r>
      <w:r w:rsidR="0090039C" w:rsidRPr="008B619A">
        <w:rPr>
          <w:rFonts w:hAnsi="標楷體" w:hint="eastAsia"/>
          <w:b/>
          <w:bCs w:val="0"/>
          <w:color w:val="000000" w:themeColor="text1"/>
        </w:rPr>
        <w:t>人，占整體日間學制境外學位生人數</w:t>
      </w:r>
      <w:r w:rsidR="00A4505E" w:rsidRPr="008B619A">
        <w:rPr>
          <w:rFonts w:hAnsi="標楷體" w:hint="eastAsia"/>
          <w:b/>
          <w:bCs w:val="0"/>
          <w:color w:val="000000" w:themeColor="text1"/>
        </w:rPr>
        <w:t>之</w:t>
      </w:r>
      <w:r w:rsidR="0090039C" w:rsidRPr="008B619A">
        <w:rPr>
          <w:rFonts w:hAnsi="標楷體" w:hint="eastAsia"/>
          <w:b/>
          <w:bCs w:val="0"/>
          <w:color w:val="000000" w:themeColor="text1"/>
        </w:rPr>
        <w:t>9.06</w:t>
      </w:r>
      <w:r w:rsidR="00574FD0" w:rsidRPr="008B619A">
        <w:rPr>
          <w:rFonts w:hAnsi="標楷體" w:hint="eastAsia"/>
          <w:b/>
          <w:bCs w:val="0"/>
          <w:color w:val="000000" w:themeColor="text1"/>
        </w:rPr>
        <w:t>%</w:t>
      </w:r>
      <w:r w:rsidR="0090039C" w:rsidRPr="008B619A">
        <w:rPr>
          <w:rFonts w:hAnsi="標楷體" w:hint="eastAsia"/>
          <w:b/>
          <w:bCs w:val="0"/>
          <w:color w:val="000000" w:themeColor="text1"/>
        </w:rPr>
        <w:t>，</w:t>
      </w:r>
      <w:r w:rsidR="00603D55" w:rsidRPr="008B619A">
        <w:rPr>
          <w:rFonts w:hAnsi="標楷體" w:hint="eastAsia"/>
          <w:b/>
          <w:bCs w:val="0"/>
          <w:color w:val="000000" w:themeColor="text1"/>
        </w:rPr>
        <w:t>相較於</w:t>
      </w:r>
      <w:r w:rsidR="0090039C" w:rsidRPr="008B619A">
        <w:rPr>
          <w:rFonts w:hAnsi="標楷體" w:hint="eastAsia"/>
          <w:b/>
          <w:bCs w:val="0"/>
          <w:color w:val="000000" w:themeColor="text1"/>
        </w:rPr>
        <w:t>98年</w:t>
      </w:r>
      <w:r w:rsidR="009905B1" w:rsidRPr="008B619A">
        <w:rPr>
          <w:rFonts w:hAnsi="標楷體"/>
          <w:b/>
          <w:bCs w:val="0"/>
          <w:color w:val="000000" w:themeColor="text1"/>
        </w:rPr>
        <w:t>1,228</w:t>
      </w:r>
      <w:r w:rsidR="009905B1" w:rsidRPr="008B619A">
        <w:rPr>
          <w:rFonts w:hAnsi="標楷體" w:hint="eastAsia"/>
          <w:b/>
          <w:bCs w:val="0"/>
          <w:color w:val="000000" w:themeColor="text1"/>
        </w:rPr>
        <w:t>人</w:t>
      </w:r>
      <w:r w:rsidR="004E2701" w:rsidRPr="008B619A">
        <w:rPr>
          <w:rFonts w:hAnsi="標楷體"/>
          <w:b/>
          <w:bCs w:val="0"/>
          <w:color w:val="000000" w:themeColor="text1"/>
        </w:rPr>
        <w:t>(6.41%)</w:t>
      </w:r>
      <w:r w:rsidR="0090039C" w:rsidRPr="008B619A">
        <w:rPr>
          <w:rFonts w:hAnsi="標楷體" w:hint="eastAsia"/>
          <w:b/>
          <w:bCs w:val="0"/>
          <w:color w:val="000000" w:themeColor="text1"/>
        </w:rPr>
        <w:t>，近6年</w:t>
      </w:r>
      <w:r w:rsidR="001F1EBA" w:rsidRPr="008B619A">
        <w:rPr>
          <w:rFonts w:hAnsi="標楷體" w:hint="eastAsia"/>
          <w:b/>
          <w:bCs w:val="0"/>
          <w:color w:val="000000" w:themeColor="text1"/>
        </w:rPr>
        <w:t>來</w:t>
      </w:r>
      <w:r w:rsidR="0090039C" w:rsidRPr="008B619A">
        <w:rPr>
          <w:rFonts w:hAnsi="標楷體" w:hint="eastAsia"/>
          <w:b/>
          <w:bCs w:val="0"/>
          <w:color w:val="000000" w:themeColor="text1"/>
        </w:rPr>
        <w:t>成長</w:t>
      </w:r>
      <w:r w:rsidR="004F0D10" w:rsidRPr="008B619A">
        <w:rPr>
          <w:rFonts w:hAnsi="標楷體" w:hint="eastAsia"/>
          <w:b/>
          <w:bCs w:val="0"/>
          <w:color w:val="000000" w:themeColor="text1"/>
        </w:rPr>
        <w:t>達</w:t>
      </w:r>
      <w:r w:rsidR="0090039C" w:rsidRPr="008B619A">
        <w:rPr>
          <w:rFonts w:hAnsi="標楷體" w:hint="eastAsia"/>
          <w:b/>
          <w:bCs w:val="0"/>
          <w:color w:val="000000" w:themeColor="text1"/>
        </w:rPr>
        <w:t>約2.9倍</w:t>
      </w:r>
      <w:r w:rsidR="007328A6" w:rsidRPr="008B619A">
        <w:rPr>
          <w:rFonts w:hAnsi="標楷體" w:hint="eastAsia"/>
          <w:b/>
          <w:bCs w:val="0"/>
          <w:color w:val="000000" w:themeColor="text1"/>
        </w:rPr>
        <w:t>，</w:t>
      </w:r>
      <w:r w:rsidR="00C42C1F" w:rsidRPr="008B619A">
        <w:rPr>
          <w:rFonts w:hAnsi="標楷體" w:hint="eastAsia"/>
          <w:b/>
          <w:bCs w:val="0"/>
          <w:color w:val="000000" w:themeColor="text1"/>
        </w:rPr>
        <w:t>儼然已成為大學國際化的重要指標之一；</w:t>
      </w:r>
      <w:r w:rsidR="00DE46CC" w:rsidRPr="008B619A">
        <w:rPr>
          <w:rFonts w:hAnsi="標楷體" w:hint="eastAsia"/>
          <w:b/>
          <w:bCs w:val="0"/>
          <w:color w:val="000000" w:themeColor="text1"/>
        </w:rPr>
        <w:t>政府</w:t>
      </w:r>
      <w:r w:rsidR="00D245DB" w:rsidRPr="008B619A">
        <w:rPr>
          <w:rFonts w:hAnsi="標楷體" w:hint="eastAsia"/>
          <w:b/>
          <w:bCs w:val="0"/>
          <w:color w:val="000000" w:themeColor="text1"/>
        </w:rPr>
        <w:t>為網羅各國高階人才留任貢獻，</w:t>
      </w:r>
      <w:r w:rsidR="00103B0F" w:rsidRPr="008B619A">
        <w:rPr>
          <w:rFonts w:hAnsi="標楷體" w:hint="eastAsia"/>
          <w:b/>
          <w:bCs w:val="0"/>
          <w:color w:val="000000" w:themeColor="text1"/>
        </w:rPr>
        <w:t>國發會</w:t>
      </w:r>
      <w:r w:rsidR="004A2717" w:rsidRPr="008B619A">
        <w:rPr>
          <w:rFonts w:hAnsi="標楷體" w:hint="eastAsia"/>
          <w:b/>
          <w:bCs w:val="0"/>
          <w:color w:val="000000" w:themeColor="text1"/>
        </w:rPr>
        <w:t>暨相關部會</w:t>
      </w:r>
      <w:r w:rsidR="009B5852" w:rsidRPr="008B619A">
        <w:rPr>
          <w:rFonts w:hAnsi="標楷體" w:hint="eastAsia"/>
          <w:b/>
          <w:bCs w:val="0"/>
          <w:color w:val="000000" w:themeColor="text1"/>
        </w:rPr>
        <w:t>近</w:t>
      </w:r>
      <w:r w:rsidR="00A03BD6" w:rsidRPr="008B619A">
        <w:rPr>
          <w:rFonts w:hAnsi="標楷體" w:hint="eastAsia"/>
          <w:b/>
          <w:bCs w:val="0"/>
          <w:color w:val="000000" w:themeColor="text1"/>
        </w:rPr>
        <w:t>年</w:t>
      </w:r>
      <w:r w:rsidR="00103B0F" w:rsidRPr="008B619A">
        <w:rPr>
          <w:rFonts w:hAnsi="標楷體" w:hint="eastAsia"/>
          <w:b/>
          <w:bCs w:val="0"/>
          <w:color w:val="000000" w:themeColor="text1"/>
        </w:rPr>
        <w:t>持續推動</w:t>
      </w:r>
      <w:r w:rsidR="00AA2CC6" w:rsidRPr="008B619A">
        <w:rPr>
          <w:rFonts w:hAnsi="標楷體" w:hint="eastAsia"/>
          <w:b/>
          <w:bCs w:val="0"/>
          <w:color w:val="000000" w:themeColor="text1"/>
        </w:rPr>
        <w:t>外國人才專法修法作業</w:t>
      </w:r>
      <w:r w:rsidR="00720C4F" w:rsidRPr="008B619A">
        <w:rPr>
          <w:rFonts w:hAnsi="標楷體" w:hint="eastAsia"/>
          <w:b/>
          <w:bCs w:val="0"/>
          <w:color w:val="000000" w:themeColor="text1"/>
        </w:rPr>
        <w:t>、</w:t>
      </w:r>
      <w:r w:rsidR="00103B0F" w:rsidRPr="008B619A">
        <w:rPr>
          <w:rFonts w:hAnsi="標楷體" w:hint="eastAsia"/>
          <w:b/>
          <w:bCs w:val="0"/>
          <w:color w:val="000000" w:themeColor="text1"/>
        </w:rPr>
        <w:t>就業金卡</w:t>
      </w:r>
      <w:r w:rsidR="00DB3093" w:rsidRPr="008B619A">
        <w:rPr>
          <w:rFonts w:hAnsi="標楷體" w:hint="eastAsia"/>
          <w:b/>
          <w:bCs w:val="0"/>
          <w:color w:val="000000" w:themeColor="text1"/>
        </w:rPr>
        <w:t>，提供高階關鍵人才一條龍專案服務</w:t>
      </w:r>
      <w:r w:rsidR="00103B0F" w:rsidRPr="008B619A">
        <w:rPr>
          <w:rFonts w:hAnsi="標楷體" w:hint="eastAsia"/>
          <w:b/>
          <w:bCs w:val="0"/>
          <w:color w:val="000000" w:themeColor="text1"/>
        </w:rPr>
        <w:t>，</w:t>
      </w:r>
      <w:r w:rsidR="00BD4F6C" w:rsidRPr="008B619A">
        <w:rPr>
          <w:rFonts w:hAnsi="標楷體" w:hint="eastAsia"/>
          <w:b/>
          <w:bCs w:val="0"/>
          <w:color w:val="000000" w:themeColor="text1"/>
        </w:rPr>
        <w:t>具</w:t>
      </w:r>
      <w:r w:rsidR="00103B0F" w:rsidRPr="008B619A">
        <w:rPr>
          <w:rFonts w:hAnsi="標楷體" w:hint="eastAsia"/>
          <w:b/>
          <w:bCs w:val="0"/>
          <w:color w:val="000000" w:themeColor="text1"/>
        </w:rPr>
        <w:t>初步成效，</w:t>
      </w:r>
      <w:r w:rsidR="007B71C2" w:rsidRPr="008B619A">
        <w:rPr>
          <w:rFonts w:hAnsi="標楷體" w:hint="eastAsia"/>
          <w:b/>
          <w:bCs w:val="0"/>
          <w:color w:val="000000" w:themeColor="text1"/>
        </w:rPr>
        <w:t>惟</w:t>
      </w:r>
      <w:r w:rsidR="00BD4F6C" w:rsidRPr="008B619A">
        <w:rPr>
          <w:rFonts w:hAnsi="標楷體" w:hint="eastAsia"/>
          <w:b/>
          <w:bCs w:val="0"/>
          <w:color w:val="000000" w:themeColor="text1"/>
        </w:rPr>
        <w:t>後續</w:t>
      </w:r>
      <w:r w:rsidR="007B71C2" w:rsidRPr="008B619A">
        <w:rPr>
          <w:rFonts w:hAnsi="標楷體" w:hint="eastAsia"/>
          <w:b/>
          <w:bCs w:val="0"/>
          <w:color w:val="000000" w:themeColor="text1"/>
        </w:rPr>
        <w:t>高教博士輸出之</w:t>
      </w:r>
      <w:r w:rsidR="00EF0323" w:rsidRPr="008B619A">
        <w:rPr>
          <w:rFonts w:hAnsi="標楷體" w:hint="eastAsia"/>
          <w:b/>
          <w:bCs w:val="0"/>
          <w:color w:val="000000" w:themeColor="text1"/>
        </w:rPr>
        <w:t>生</w:t>
      </w:r>
      <w:r w:rsidR="007B71C2" w:rsidRPr="008B619A">
        <w:rPr>
          <w:rFonts w:hAnsi="標楷體" w:hint="eastAsia"/>
          <w:b/>
          <w:bCs w:val="0"/>
          <w:color w:val="000000" w:themeColor="text1"/>
        </w:rPr>
        <w:t>源國</w:t>
      </w:r>
      <w:r w:rsidR="00F50DEF" w:rsidRPr="008B619A">
        <w:rPr>
          <w:rFonts w:hAnsi="標楷體" w:hint="eastAsia"/>
          <w:b/>
          <w:bCs w:val="0"/>
          <w:color w:val="000000" w:themeColor="text1"/>
        </w:rPr>
        <w:t>、</w:t>
      </w:r>
      <w:r w:rsidR="009B2A9D" w:rsidRPr="008B619A">
        <w:rPr>
          <w:rFonts w:hAnsi="標楷體" w:hint="eastAsia"/>
          <w:b/>
          <w:bCs w:val="0"/>
          <w:color w:val="000000" w:themeColor="text1"/>
        </w:rPr>
        <w:t>主要</w:t>
      </w:r>
      <w:r w:rsidR="009C4FBA" w:rsidRPr="008B619A">
        <w:rPr>
          <w:rFonts w:hAnsi="標楷體" w:hint="eastAsia"/>
          <w:b/>
          <w:bCs w:val="0"/>
          <w:color w:val="000000" w:themeColor="text1"/>
        </w:rPr>
        <w:t>攻讀</w:t>
      </w:r>
      <w:r w:rsidR="009B2A9D" w:rsidRPr="008B619A">
        <w:rPr>
          <w:rFonts w:hAnsi="標楷體" w:hint="eastAsia"/>
          <w:b/>
          <w:bCs w:val="0"/>
          <w:color w:val="000000" w:themeColor="text1"/>
        </w:rPr>
        <w:t>學門</w:t>
      </w:r>
      <w:r w:rsidR="00F50DEF" w:rsidRPr="008B619A">
        <w:rPr>
          <w:rFonts w:hAnsi="標楷體" w:hint="eastAsia"/>
          <w:b/>
          <w:bCs w:val="0"/>
          <w:color w:val="000000" w:themeColor="text1"/>
        </w:rPr>
        <w:t>領域</w:t>
      </w:r>
      <w:r w:rsidR="007B71C2" w:rsidRPr="008B619A">
        <w:rPr>
          <w:rFonts w:hAnsi="標楷體" w:hint="eastAsia"/>
          <w:b/>
          <w:bCs w:val="0"/>
          <w:color w:val="000000" w:themeColor="text1"/>
        </w:rPr>
        <w:t>及</w:t>
      </w:r>
      <w:r w:rsidR="00496298" w:rsidRPr="008B619A">
        <w:rPr>
          <w:rFonts w:hAnsi="標楷體" w:hint="eastAsia"/>
          <w:b/>
          <w:bCs w:val="0"/>
          <w:color w:val="000000" w:themeColor="text1"/>
        </w:rPr>
        <w:t>相關</w:t>
      </w:r>
      <w:r w:rsidR="007B71C2" w:rsidRPr="008B619A">
        <w:rPr>
          <w:rFonts w:hAnsi="標楷體" w:hint="eastAsia"/>
          <w:b/>
          <w:bCs w:val="0"/>
          <w:color w:val="000000" w:themeColor="text1"/>
        </w:rPr>
        <w:t>留才</w:t>
      </w:r>
      <w:r w:rsidR="00496298" w:rsidRPr="008B619A">
        <w:rPr>
          <w:rFonts w:hAnsi="標楷體" w:hint="eastAsia"/>
          <w:b/>
          <w:bCs w:val="0"/>
          <w:color w:val="000000" w:themeColor="text1"/>
        </w:rPr>
        <w:t>配套</w:t>
      </w:r>
      <w:r w:rsidR="007B71C2" w:rsidRPr="008B619A">
        <w:rPr>
          <w:rFonts w:hAnsi="標楷體" w:hint="eastAsia"/>
          <w:b/>
          <w:bCs w:val="0"/>
          <w:color w:val="000000" w:themeColor="text1"/>
        </w:rPr>
        <w:t>機制仍待</w:t>
      </w:r>
      <w:r w:rsidR="009965BE" w:rsidRPr="008B619A">
        <w:rPr>
          <w:rFonts w:hAnsi="標楷體" w:hint="eastAsia"/>
          <w:b/>
          <w:bCs w:val="0"/>
          <w:color w:val="000000" w:themeColor="text1"/>
        </w:rPr>
        <w:t>與時俱進</w:t>
      </w:r>
      <w:r w:rsidR="00EC4783" w:rsidRPr="008B619A">
        <w:rPr>
          <w:rFonts w:hAnsi="標楷體" w:hint="eastAsia"/>
          <w:b/>
          <w:bCs w:val="0"/>
          <w:color w:val="000000" w:themeColor="text1"/>
        </w:rPr>
        <w:t>，</w:t>
      </w:r>
      <w:r w:rsidR="00F277B7" w:rsidRPr="008B619A">
        <w:rPr>
          <w:rFonts w:hAnsi="標楷體" w:hint="eastAsia"/>
          <w:b/>
          <w:bCs w:val="0"/>
          <w:color w:val="000000" w:themeColor="text1"/>
        </w:rPr>
        <w:t>以期</w:t>
      </w:r>
      <w:r w:rsidR="006F46DD" w:rsidRPr="008B619A">
        <w:rPr>
          <w:rFonts w:hAnsi="標楷體" w:hint="eastAsia"/>
          <w:b/>
          <w:bCs w:val="0"/>
          <w:color w:val="000000" w:themeColor="text1"/>
        </w:rPr>
        <w:t>持續提升</w:t>
      </w:r>
      <w:r w:rsidR="008343D2" w:rsidRPr="008B619A">
        <w:rPr>
          <w:rFonts w:hAnsi="標楷體" w:hint="eastAsia"/>
          <w:b/>
          <w:bCs w:val="0"/>
          <w:color w:val="000000" w:themeColor="text1"/>
        </w:rPr>
        <w:t>整體效益</w:t>
      </w:r>
      <w:r w:rsidR="005710D5" w:rsidRPr="008B619A">
        <w:rPr>
          <w:rFonts w:hAnsi="標楷體" w:hint="eastAsia"/>
          <w:b/>
          <w:bCs w:val="0"/>
          <w:color w:val="000000" w:themeColor="text1"/>
        </w:rPr>
        <w:t>及</w:t>
      </w:r>
      <w:r w:rsidR="00417CF5" w:rsidRPr="008B619A">
        <w:rPr>
          <w:rFonts w:hAnsi="標楷體" w:hint="eastAsia"/>
          <w:b/>
          <w:bCs w:val="0"/>
          <w:color w:val="000000" w:themeColor="text1"/>
        </w:rPr>
        <w:t>厚實我國人才資本</w:t>
      </w:r>
      <w:bookmarkEnd w:id="85"/>
    </w:p>
    <w:p w14:paraId="5E2965B8" w14:textId="442A9F3F" w:rsidR="00660024" w:rsidRPr="008B619A" w:rsidRDefault="00660024" w:rsidP="00660024">
      <w:pPr>
        <w:pStyle w:val="3"/>
        <w:rPr>
          <w:color w:val="000000" w:themeColor="text1"/>
        </w:rPr>
      </w:pPr>
      <w:r w:rsidRPr="008B619A">
        <w:rPr>
          <w:rFonts w:hint="eastAsia"/>
          <w:color w:val="000000" w:themeColor="text1"/>
        </w:rPr>
        <w:lastRenderedPageBreak/>
        <w:t>瑞士洛桑管理學院(IMD)</w:t>
      </w:r>
      <w:r w:rsidR="00F55767" w:rsidRPr="008B619A">
        <w:rPr>
          <w:rFonts w:hint="eastAsia"/>
          <w:color w:val="000000" w:themeColor="text1"/>
        </w:rPr>
        <w:t xml:space="preserve"> 於</w:t>
      </w:r>
      <w:r w:rsidR="00FE012E" w:rsidRPr="008B619A">
        <w:rPr>
          <w:rFonts w:hint="eastAsia"/>
          <w:color w:val="000000" w:themeColor="text1"/>
        </w:rPr>
        <w:t>2020</w:t>
      </w:r>
      <w:r w:rsidRPr="008B619A">
        <w:rPr>
          <w:rFonts w:hint="eastAsia"/>
          <w:color w:val="000000" w:themeColor="text1"/>
        </w:rPr>
        <w:t>年11月12日發布「2020年IMD世界人才排名報告」(IMD World Talent Ranking 2020)顯示，在亞洲地區，我國排名保持第3名，僅次於新加坡(第9名)、香港(第14名)，優於韓國(第31名)、日本(第38名)及</w:t>
      </w:r>
      <w:r w:rsidR="002C621C" w:rsidRPr="008B619A">
        <w:rPr>
          <w:rFonts w:hint="eastAsia"/>
          <w:color w:val="000000" w:themeColor="text1"/>
        </w:rPr>
        <w:t>中國</w:t>
      </w:r>
      <w:r w:rsidRPr="008B619A">
        <w:rPr>
          <w:rFonts w:hint="eastAsia"/>
          <w:color w:val="000000" w:themeColor="text1"/>
        </w:rPr>
        <w:t>(第40名)</w:t>
      </w:r>
      <w:r w:rsidRPr="008B619A">
        <w:rPr>
          <w:rStyle w:val="aff1"/>
          <w:color w:val="000000" w:themeColor="text1"/>
        </w:rPr>
        <w:footnoteReference w:id="54"/>
      </w:r>
      <w:r w:rsidRPr="008B619A">
        <w:rPr>
          <w:rFonts w:hint="eastAsia"/>
          <w:color w:val="000000" w:themeColor="text1"/>
        </w:rPr>
        <w:t>。「吸引與留住人才」由</w:t>
      </w:r>
      <w:r w:rsidR="00C608C9" w:rsidRPr="008B619A">
        <w:rPr>
          <w:rFonts w:hint="eastAsia"/>
          <w:color w:val="000000" w:themeColor="text1"/>
        </w:rPr>
        <w:t>前一</w:t>
      </w:r>
      <w:r w:rsidRPr="008B619A">
        <w:rPr>
          <w:rFonts w:hint="eastAsia"/>
          <w:color w:val="000000" w:themeColor="text1"/>
        </w:rPr>
        <w:t>年第29名晉升至第26名，本類指標是評比一國對於人才吸引與留用方面的努力，共分11細項指標。</w:t>
      </w:r>
      <w:r w:rsidR="00907E8C" w:rsidRPr="008B619A">
        <w:rPr>
          <w:rFonts w:hint="eastAsia"/>
          <w:color w:val="000000" w:themeColor="text1"/>
        </w:rPr>
        <w:t>茲</w:t>
      </w:r>
      <w:r w:rsidR="006A201C" w:rsidRPr="008B619A">
        <w:rPr>
          <w:rFonts w:hint="eastAsia"/>
          <w:color w:val="000000" w:themeColor="text1"/>
        </w:rPr>
        <w:t>摘要相關議題如后：</w:t>
      </w:r>
    </w:p>
    <w:p w14:paraId="75301BF5" w14:textId="77777777" w:rsidR="00660024" w:rsidRPr="008B619A" w:rsidRDefault="00660024" w:rsidP="00660024">
      <w:pPr>
        <w:pStyle w:val="4"/>
        <w:rPr>
          <w:color w:val="000000" w:themeColor="text1"/>
        </w:rPr>
      </w:pPr>
      <w:r w:rsidRPr="008B619A">
        <w:rPr>
          <w:rFonts w:hint="eastAsia"/>
          <w:color w:val="000000" w:themeColor="text1"/>
        </w:rPr>
        <w:t>此次排名上升，主要是「生活品質」及「企業員工士氣」及等2項，分別進步8、4名，反映我國醫療保健、基礎建設成果及政府持續完善攬才及留才環境的努力。</w:t>
      </w:r>
    </w:p>
    <w:p w14:paraId="51AD7738" w14:textId="77777777" w:rsidR="00660024" w:rsidRPr="008B619A" w:rsidRDefault="00660024" w:rsidP="00660024">
      <w:pPr>
        <w:pStyle w:val="4"/>
        <w:rPr>
          <w:color w:val="000000" w:themeColor="text1"/>
        </w:rPr>
      </w:pPr>
      <w:r w:rsidRPr="008B619A">
        <w:rPr>
          <w:rFonts w:hint="eastAsia"/>
          <w:color w:val="000000" w:themeColor="text1"/>
        </w:rPr>
        <w:t>至於在「攬才與留才在企業的優先順位」及「對外籍技術人才的吸引力」等2項，雖分別進步4、1名，惟排名分別為34及47名，名次不盡理想，顯示我國攬才政策仍有進步的空間。</w:t>
      </w:r>
    </w:p>
    <w:p w14:paraId="5AF78997" w14:textId="5BECEEC7" w:rsidR="007733DE" w:rsidRPr="008B619A" w:rsidRDefault="00020B56" w:rsidP="009430A5">
      <w:pPr>
        <w:pStyle w:val="3"/>
        <w:rPr>
          <w:rFonts w:hAnsi="標楷體"/>
          <w:color w:val="000000" w:themeColor="text1"/>
        </w:rPr>
      </w:pPr>
      <w:r w:rsidRPr="008B619A">
        <w:rPr>
          <w:rFonts w:hint="eastAsia"/>
          <w:color w:val="000000" w:themeColor="text1"/>
        </w:rPr>
        <w:t>我國</w:t>
      </w:r>
      <w:r w:rsidR="00582F8E" w:rsidRPr="008B619A">
        <w:rPr>
          <w:rFonts w:hint="eastAsia"/>
          <w:color w:val="000000" w:themeColor="text1"/>
        </w:rPr>
        <w:t>自</w:t>
      </w:r>
      <w:r w:rsidR="00671AA8" w:rsidRPr="008B619A">
        <w:rPr>
          <w:rFonts w:hint="eastAsia"/>
          <w:color w:val="000000" w:themeColor="text1"/>
        </w:rPr>
        <w:t>行政院</w:t>
      </w:r>
      <w:r w:rsidR="001C5FE6" w:rsidRPr="008B619A">
        <w:rPr>
          <w:rFonts w:hint="eastAsia"/>
          <w:color w:val="000000" w:themeColor="text1"/>
        </w:rPr>
        <w:t>93</w:t>
      </w:r>
      <w:r w:rsidR="00671AA8" w:rsidRPr="008B619A">
        <w:rPr>
          <w:rFonts w:hint="eastAsia"/>
          <w:color w:val="000000" w:themeColor="text1"/>
        </w:rPr>
        <w:t>年「擴大招收外國學生來臺留學」列入「國家發展重點計畫」</w:t>
      </w:r>
      <w:r w:rsidR="008C263E" w:rsidRPr="008B619A">
        <w:rPr>
          <w:rFonts w:hint="eastAsia"/>
          <w:color w:val="000000" w:themeColor="text1"/>
        </w:rPr>
        <w:t>起</w:t>
      </w:r>
      <w:r w:rsidR="00417F8B" w:rsidRPr="008B619A">
        <w:rPr>
          <w:rFonts w:hint="eastAsia"/>
          <w:color w:val="000000" w:themeColor="text1"/>
        </w:rPr>
        <w:t>，政策</w:t>
      </w:r>
      <w:r w:rsidR="007A3933" w:rsidRPr="008B619A">
        <w:rPr>
          <w:rFonts w:hint="eastAsia"/>
          <w:color w:val="000000" w:themeColor="text1"/>
        </w:rPr>
        <w:t>演變</w:t>
      </w:r>
      <w:r w:rsidR="00417F8B" w:rsidRPr="008B619A">
        <w:rPr>
          <w:rFonts w:hint="eastAsia"/>
          <w:color w:val="000000" w:themeColor="text1"/>
        </w:rPr>
        <w:t>更迭</w:t>
      </w:r>
      <w:r w:rsidR="00284AAF" w:rsidRPr="008B619A">
        <w:rPr>
          <w:rFonts w:hint="eastAsia"/>
          <w:color w:val="000000" w:themeColor="text1"/>
        </w:rPr>
        <w:t>至今，</w:t>
      </w:r>
      <w:r w:rsidR="007733DE" w:rsidRPr="008B619A">
        <w:rPr>
          <w:rFonts w:hAnsi="標楷體" w:hint="eastAsia"/>
          <w:color w:val="000000" w:themeColor="text1"/>
        </w:rPr>
        <w:t>近年博士境外學位生人</w:t>
      </w:r>
      <w:r w:rsidR="00192972" w:rsidRPr="008B619A">
        <w:rPr>
          <w:rFonts w:hAnsi="標楷體" w:hint="eastAsia"/>
          <w:color w:val="000000" w:themeColor="text1"/>
        </w:rPr>
        <w:t>數逐</w:t>
      </w:r>
      <w:r w:rsidR="00B45DB7" w:rsidRPr="008B619A">
        <w:rPr>
          <w:rFonts w:hAnsi="標楷體" w:hint="eastAsia"/>
          <w:color w:val="000000" w:themeColor="text1"/>
        </w:rPr>
        <w:t>年呈現攀</w:t>
      </w:r>
      <w:r w:rsidR="00192972" w:rsidRPr="008B619A">
        <w:rPr>
          <w:rFonts w:hAnsi="標楷體" w:hint="eastAsia"/>
          <w:color w:val="000000" w:themeColor="text1"/>
        </w:rPr>
        <w:t>升</w:t>
      </w:r>
      <w:r w:rsidR="00B45DB7" w:rsidRPr="008B619A">
        <w:rPr>
          <w:rFonts w:hAnsi="標楷體" w:hint="eastAsia"/>
          <w:color w:val="000000" w:themeColor="text1"/>
        </w:rPr>
        <w:t>趨勢</w:t>
      </w:r>
      <w:r w:rsidR="00192972" w:rsidRPr="008B619A">
        <w:rPr>
          <w:rFonts w:hAnsi="標楷體" w:hint="eastAsia"/>
          <w:color w:val="000000" w:themeColor="text1"/>
        </w:rPr>
        <w:t>，</w:t>
      </w:r>
      <w:r w:rsidR="007733DE" w:rsidRPr="008B619A">
        <w:rPr>
          <w:rFonts w:hAnsi="標楷體" w:hint="eastAsia"/>
          <w:color w:val="000000" w:themeColor="text1"/>
        </w:rPr>
        <w:t>自98學年度1,228人，至107學年度</w:t>
      </w:r>
      <w:r w:rsidR="00924AC8" w:rsidRPr="008B619A">
        <w:rPr>
          <w:rFonts w:hAnsi="標楷體" w:hint="eastAsia"/>
          <w:color w:val="000000" w:themeColor="text1"/>
        </w:rPr>
        <w:t>為</w:t>
      </w:r>
      <w:r w:rsidR="007733DE" w:rsidRPr="008B619A">
        <w:rPr>
          <w:rFonts w:hAnsi="標楷體" w:hint="eastAsia"/>
          <w:color w:val="000000" w:themeColor="text1"/>
        </w:rPr>
        <w:t>4,827人，又109學年度</w:t>
      </w:r>
      <w:r w:rsidR="00924AC8" w:rsidRPr="008B619A">
        <w:rPr>
          <w:rFonts w:hAnsi="標楷體" w:hint="eastAsia"/>
          <w:color w:val="000000" w:themeColor="text1"/>
        </w:rPr>
        <w:t>達</w:t>
      </w:r>
      <w:r w:rsidR="007733DE" w:rsidRPr="008B619A">
        <w:rPr>
          <w:rFonts w:hAnsi="標楷體" w:hint="eastAsia"/>
          <w:color w:val="000000" w:themeColor="text1"/>
        </w:rPr>
        <w:t>5,578人，且占整體日間學制境外學位生人數9.06</w:t>
      </w:r>
      <w:r w:rsidR="00BF54CA" w:rsidRPr="008B619A">
        <w:rPr>
          <w:rFonts w:hAnsi="標楷體" w:hint="eastAsia"/>
          <w:color w:val="000000" w:themeColor="text1"/>
        </w:rPr>
        <w:t>%</w:t>
      </w:r>
      <w:r w:rsidR="007733DE" w:rsidRPr="008B619A">
        <w:rPr>
          <w:rFonts w:hAnsi="標楷體" w:hint="eastAsia"/>
          <w:color w:val="000000" w:themeColor="text1"/>
        </w:rPr>
        <w:t>，其中</w:t>
      </w:r>
      <w:r w:rsidR="009E4703" w:rsidRPr="008B619A">
        <w:rPr>
          <w:rFonts w:hint="eastAsia"/>
          <w:color w:val="000000" w:themeColor="text1"/>
        </w:rPr>
        <w:t>學科3分類</w:t>
      </w:r>
      <w:r w:rsidR="007733DE" w:rsidRPr="008B619A">
        <w:rPr>
          <w:rFonts w:hAnsi="標楷體" w:hint="eastAsia"/>
          <w:color w:val="000000" w:themeColor="text1"/>
        </w:rPr>
        <w:t>統計，又以科技類博士境外學位生人數最高計有3</w:t>
      </w:r>
      <w:r w:rsidR="007733DE" w:rsidRPr="008B619A">
        <w:rPr>
          <w:rFonts w:hAnsi="標楷體"/>
          <w:color w:val="000000" w:themeColor="text1"/>
        </w:rPr>
        <w:t>,</w:t>
      </w:r>
      <w:r w:rsidR="007733DE" w:rsidRPr="008B619A">
        <w:rPr>
          <w:rFonts w:hAnsi="標楷體" w:hint="eastAsia"/>
          <w:color w:val="000000" w:themeColor="text1"/>
        </w:rPr>
        <w:t>618人，詳如下表：</w:t>
      </w:r>
    </w:p>
    <w:p w14:paraId="72E36D74" w14:textId="2CE941E4" w:rsidR="00607307" w:rsidRPr="008B619A" w:rsidRDefault="00607307" w:rsidP="00607307">
      <w:pPr>
        <w:pStyle w:val="a3"/>
        <w:ind w:left="1281" w:hanging="1281"/>
        <w:jc w:val="center"/>
        <w:rPr>
          <w:b/>
          <w:bCs w:val="0"/>
          <w:color w:val="000000" w:themeColor="text1"/>
        </w:rPr>
      </w:pPr>
      <w:r w:rsidRPr="008B619A">
        <w:rPr>
          <w:rFonts w:hint="eastAsia"/>
          <w:b/>
          <w:color w:val="000000" w:themeColor="text1"/>
        </w:rPr>
        <w:t>博士境外學生數占日間學制學生數之統計</w:t>
      </w:r>
    </w:p>
    <w:p w14:paraId="19EAF5CD" w14:textId="2348561C" w:rsidR="00607307" w:rsidRPr="008B619A" w:rsidRDefault="00E30DF8" w:rsidP="008F453B">
      <w:pPr>
        <w:spacing w:line="240" w:lineRule="exact"/>
        <w:ind w:rightChars="-150" w:right="-510"/>
        <w:jc w:val="right"/>
        <w:rPr>
          <w:color w:val="000000" w:themeColor="text1"/>
        </w:rPr>
      </w:pPr>
      <w:r w:rsidRPr="008B619A">
        <w:rPr>
          <w:rFonts w:hAnsi="標楷體" w:hint="eastAsia"/>
          <w:color w:val="000000" w:themeColor="text1"/>
          <w:sz w:val="24"/>
          <w:szCs w:val="24"/>
        </w:rPr>
        <w:t xml:space="preserve"> </w:t>
      </w:r>
      <w:r w:rsidR="00607307" w:rsidRPr="008B619A">
        <w:rPr>
          <w:rFonts w:hAnsi="標楷體" w:hint="eastAsia"/>
          <w:color w:val="000000" w:themeColor="text1"/>
          <w:sz w:val="24"/>
          <w:szCs w:val="24"/>
        </w:rPr>
        <w:t>單位：人</w:t>
      </w:r>
      <w:r w:rsidR="00446E65" w:rsidRPr="008B619A">
        <w:rPr>
          <w:rFonts w:hAnsi="標楷體" w:hint="eastAsia"/>
          <w:color w:val="000000" w:themeColor="text1"/>
          <w:sz w:val="24"/>
          <w:szCs w:val="24"/>
        </w:rPr>
        <w:t>；</w:t>
      </w:r>
      <w:r w:rsidR="000F1DEF" w:rsidRPr="008B619A">
        <w:rPr>
          <w:rFonts w:hAnsi="標楷體" w:hint="eastAsia"/>
          <w:color w:val="000000" w:themeColor="text1"/>
          <w:sz w:val="24"/>
          <w:szCs w:val="24"/>
        </w:rPr>
        <w:t>%</w:t>
      </w:r>
    </w:p>
    <w:tbl>
      <w:tblPr>
        <w:tblW w:w="93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6"/>
        <w:gridCol w:w="1842"/>
        <w:gridCol w:w="1560"/>
        <w:gridCol w:w="1417"/>
        <w:gridCol w:w="1701"/>
        <w:gridCol w:w="1734"/>
      </w:tblGrid>
      <w:tr w:rsidR="007733DE" w:rsidRPr="008B619A" w14:paraId="1EF6DDB8" w14:textId="77777777" w:rsidTr="00302336">
        <w:trPr>
          <w:trHeight w:val="20"/>
          <w:tblHeader/>
        </w:trPr>
        <w:tc>
          <w:tcPr>
            <w:tcW w:w="9360" w:type="dxa"/>
            <w:gridSpan w:val="6"/>
            <w:shd w:val="clear" w:color="auto" w:fill="C5E0B3"/>
            <w:vAlign w:val="center"/>
          </w:tcPr>
          <w:p w14:paraId="656641CA" w14:textId="77777777" w:rsidR="007733DE" w:rsidRPr="008B619A" w:rsidRDefault="007733DE" w:rsidP="00485EF7">
            <w:pPr>
              <w:spacing w:line="440" w:lineRule="exact"/>
              <w:jc w:val="center"/>
              <w:rPr>
                <w:rFonts w:hAnsi="標楷體" w:cs="Arial"/>
                <w:b/>
                <w:color w:val="000000" w:themeColor="text1"/>
                <w:sz w:val="26"/>
                <w:szCs w:val="26"/>
              </w:rPr>
            </w:pPr>
            <w:r w:rsidRPr="008B619A">
              <w:rPr>
                <w:rFonts w:hAnsi="標楷體" w:cs="Arial" w:hint="eastAsia"/>
                <w:b/>
                <w:color w:val="000000" w:themeColor="text1"/>
                <w:sz w:val="26"/>
                <w:szCs w:val="26"/>
              </w:rPr>
              <w:lastRenderedPageBreak/>
              <w:t>博士境外學生數占日間學制學生數之統計</w:t>
            </w:r>
          </w:p>
        </w:tc>
      </w:tr>
      <w:tr w:rsidR="007733DE" w:rsidRPr="008B619A" w14:paraId="3BF6F62D" w14:textId="77777777" w:rsidTr="00302336">
        <w:trPr>
          <w:trHeight w:val="20"/>
          <w:tblHeader/>
        </w:trPr>
        <w:tc>
          <w:tcPr>
            <w:tcW w:w="1106" w:type="dxa"/>
            <w:vMerge w:val="restart"/>
            <w:shd w:val="clear" w:color="auto" w:fill="C5E0B3"/>
            <w:vAlign w:val="center"/>
          </w:tcPr>
          <w:p w14:paraId="7FA48E91" w14:textId="77777777" w:rsidR="007733DE" w:rsidRPr="008B619A" w:rsidRDefault="007733DE" w:rsidP="00485EF7">
            <w:pPr>
              <w:spacing w:line="440" w:lineRule="exact"/>
              <w:jc w:val="center"/>
              <w:rPr>
                <w:rFonts w:hAnsi="標楷體" w:cs="Arial"/>
                <w:b/>
                <w:color w:val="000000" w:themeColor="text1"/>
                <w:sz w:val="26"/>
                <w:szCs w:val="26"/>
              </w:rPr>
            </w:pPr>
            <w:r w:rsidRPr="008B619A">
              <w:rPr>
                <w:rFonts w:hAnsi="標楷體" w:cs="Arial"/>
                <w:b/>
                <w:color w:val="000000" w:themeColor="text1"/>
                <w:sz w:val="26"/>
                <w:szCs w:val="26"/>
              </w:rPr>
              <w:t>學年度</w:t>
            </w:r>
          </w:p>
        </w:tc>
        <w:tc>
          <w:tcPr>
            <w:tcW w:w="3402" w:type="dxa"/>
            <w:gridSpan w:val="2"/>
            <w:shd w:val="clear" w:color="auto" w:fill="C5E0B3"/>
            <w:vAlign w:val="center"/>
          </w:tcPr>
          <w:p w14:paraId="66FE4FC1" w14:textId="77777777" w:rsidR="007733DE" w:rsidRPr="008B619A" w:rsidRDefault="007733DE" w:rsidP="00485EF7">
            <w:pPr>
              <w:spacing w:line="440" w:lineRule="exact"/>
              <w:jc w:val="center"/>
              <w:rPr>
                <w:rFonts w:hAnsi="標楷體" w:cs="Arial"/>
                <w:b/>
                <w:color w:val="000000" w:themeColor="text1"/>
                <w:sz w:val="26"/>
                <w:szCs w:val="26"/>
              </w:rPr>
            </w:pPr>
            <w:r w:rsidRPr="008B619A">
              <w:rPr>
                <w:rFonts w:hAnsi="標楷體" w:cs="Arial" w:hint="eastAsia"/>
                <w:b/>
                <w:color w:val="000000" w:themeColor="text1"/>
                <w:sz w:val="26"/>
                <w:szCs w:val="26"/>
              </w:rPr>
              <w:t>博士</w:t>
            </w:r>
            <w:r w:rsidRPr="008B619A">
              <w:rPr>
                <w:rFonts w:hAnsi="標楷體" w:cs="Arial"/>
                <w:b/>
                <w:color w:val="000000" w:themeColor="text1"/>
                <w:sz w:val="26"/>
                <w:szCs w:val="26"/>
              </w:rPr>
              <w:t>境外學位生</w:t>
            </w:r>
            <w:r w:rsidRPr="008B619A">
              <w:rPr>
                <w:rFonts w:hAnsi="標楷體" w:cs="Arial" w:hint="eastAsia"/>
                <w:b/>
                <w:color w:val="000000" w:themeColor="text1"/>
                <w:sz w:val="26"/>
                <w:szCs w:val="26"/>
              </w:rPr>
              <w:t>人數</w:t>
            </w:r>
          </w:p>
        </w:tc>
        <w:tc>
          <w:tcPr>
            <w:tcW w:w="4852" w:type="dxa"/>
            <w:gridSpan w:val="3"/>
            <w:shd w:val="clear" w:color="auto" w:fill="C5E0B3"/>
            <w:vAlign w:val="center"/>
          </w:tcPr>
          <w:p w14:paraId="45467B5A" w14:textId="77777777" w:rsidR="007733DE" w:rsidRPr="008B619A" w:rsidRDefault="007733DE" w:rsidP="00485EF7">
            <w:pPr>
              <w:spacing w:line="440" w:lineRule="exact"/>
              <w:rPr>
                <w:rFonts w:hAnsi="標楷體" w:cs="Arial"/>
                <w:b/>
                <w:color w:val="000000" w:themeColor="text1"/>
                <w:sz w:val="26"/>
                <w:szCs w:val="26"/>
              </w:rPr>
            </w:pPr>
            <w:r w:rsidRPr="008B619A">
              <w:rPr>
                <w:rFonts w:hAnsi="標楷體" w:cs="Arial"/>
                <w:b/>
                <w:color w:val="000000" w:themeColor="text1"/>
                <w:sz w:val="26"/>
                <w:szCs w:val="26"/>
              </w:rPr>
              <w:t>境外博士學位生人數(三分類)</w:t>
            </w:r>
          </w:p>
        </w:tc>
      </w:tr>
      <w:tr w:rsidR="007733DE" w:rsidRPr="008B619A" w14:paraId="51F1F350" w14:textId="77777777" w:rsidTr="00401B8D">
        <w:trPr>
          <w:trHeight w:val="20"/>
          <w:tblHeader/>
        </w:trPr>
        <w:tc>
          <w:tcPr>
            <w:tcW w:w="1106" w:type="dxa"/>
            <w:vMerge/>
            <w:shd w:val="clear" w:color="auto" w:fill="C5E0B3"/>
            <w:vAlign w:val="center"/>
          </w:tcPr>
          <w:p w14:paraId="0C4EE4F5" w14:textId="77777777" w:rsidR="007733DE" w:rsidRPr="008B619A" w:rsidRDefault="007733DE" w:rsidP="00485EF7">
            <w:pPr>
              <w:spacing w:line="440" w:lineRule="exact"/>
              <w:jc w:val="center"/>
              <w:rPr>
                <w:rFonts w:hAnsi="標楷體" w:cs="Arial"/>
                <w:b/>
                <w:color w:val="000000" w:themeColor="text1"/>
                <w:sz w:val="26"/>
                <w:szCs w:val="26"/>
              </w:rPr>
            </w:pPr>
          </w:p>
        </w:tc>
        <w:tc>
          <w:tcPr>
            <w:tcW w:w="1842" w:type="dxa"/>
            <w:shd w:val="clear" w:color="auto" w:fill="C5E0B3"/>
            <w:vAlign w:val="center"/>
          </w:tcPr>
          <w:p w14:paraId="49B23EDB" w14:textId="77777777" w:rsidR="007733DE" w:rsidRPr="008B619A" w:rsidRDefault="007733DE" w:rsidP="00485EF7">
            <w:pPr>
              <w:spacing w:line="440" w:lineRule="exact"/>
              <w:jc w:val="center"/>
              <w:rPr>
                <w:rFonts w:hAnsi="標楷體" w:cs="Arial"/>
                <w:b/>
                <w:color w:val="000000" w:themeColor="text1"/>
                <w:sz w:val="26"/>
                <w:szCs w:val="26"/>
              </w:rPr>
            </w:pPr>
            <w:r w:rsidRPr="008B619A">
              <w:rPr>
                <w:rFonts w:hAnsi="標楷體" w:cs="Arial" w:hint="eastAsia"/>
                <w:b/>
                <w:color w:val="000000" w:themeColor="text1"/>
                <w:sz w:val="26"/>
                <w:szCs w:val="26"/>
              </w:rPr>
              <w:t>日間</w:t>
            </w:r>
          </w:p>
          <w:p w14:paraId="562225B5" w14:textId="77777777" w:rsidR="007733DE" w:rsidRPr="008B619A" w:rsidRDefault="007733DE" w:rsidP="00485EF7">
            <w:pPr>
              <w:spacing w:line="440" w:lineRule="exact"/>
              <w:jc w:val="center"/>
              <w:rPr>
                <w:rFonts w:hAnsi="標楷體" w:cs="Arial"/>
                <w:b/>
                <w:color w:val="000000" w:themeColor="text1"/>
                <w:sz w:val="26"/>
                <w:szCs w:val="26"/>
              </w:rPr>
            </w:pPr>
            <w:r w:rsidRPr="008B619A">
              <w:rPr>
                <w:rFonts w:hAnsi="標楷體" w:cs="Arial" w:hint="eastAsia"/>
                <w:b/>
                <w:color w:val="000000" w:themeColor="text1"/>
                <w:sz w:val="26"/>
                <w:szCs w:val="26"/>
              </w:rPr>
              <w:t>學位生人數</w:t>
            </w:r>
          </w:p>
        </w:tc>
        <w:tc>
          <w:tcPr>
            <w:tcW w:w="1560" w:type="dxa"/>
            <w:shd w:val="clear" w:color="auto" w:fill="E5DFEC" w:themeFill="accent4" w:themeFillTint="33"/>
            <w:vAlign w:val="center"/>
          </w:tcPr>
          <w:p w14:paraId="770D7BE6" w14:textId="77777777" w:rsidR="007733DE" w:rsidRPr="008B619A" w:rsidRDefault="007733DE" w:rsidP="00485EF7">
            <w:pPr>
              <w:spacing w:line="440" w:lineRule="exact"/>
              <w:jc w:val="center"/>
              <w:rPr>
                <w:rFonts w:hAnsi="標楷體" w:cs="Arial"/>
                <w:color w:val="000000" w:themeColor="text1"/>
                <w:sz w:val="26"/>
                <w:szCs w:val="26"/>
              </w:rPr>
            </w:pPr>
            <w:r w:rsidRPr="008B619A">
              <w:rPr>
                <w:rFonts w:hAnsi="標楷體" w:cs="Arial"/>
                <w:color w:val="000000" w:themeColor="text1"/>
                <w:sz w:val="26"/>
                <w:szCs w:val="26"/>
              </w:rPr>
              <w:t>博士</w:t>
            </w:r>
            <w:r w:rsidRPr="008B619A">
              <w:rPr>
                <w:rFonts w:hAnsi="標楷體" w:cs="Arial" w:hint="eastAsia"/>
                <w:color w:val="000000" w:themeColor="text1"/>
                <w:sz w:val="26"/>
                <w:szCs w:val="26"/>
              </w:rPr>
              <w:t>境外學位生數</w:t>
            </w:r>
          </w:p>
        </w:tc>
        <w:tc>
          <w:tcPr>
            <w:tcW w:w="1417" w:type="dxa"/>
            <w:shd w:val="clear" w:color="auto" w:fill="C5E0B3"/>
            <w:vAlign w:val="center"/>
          </w:tcPr>
          <w:p w14:paraId="5B571D04" w14:textId="77777777" w:rsidR="007733DE" w:rsidRPr="008B619A" w:rsidRDefault="007733DE" w:rsidP="00485EF7">
            <w:pPr>
              <w:spacing w:line="440" w:lineRule="exact"/>
              <w:jc w:val="center"/>
              <w:rPr>
                <w:rFonts w:hAnsi="標楷體" w:cs="Arial"/>
                <w:b/>
                <w:color w:val="000000" w:themeColor="text1"/>
                <w:sz w:val="26"/>
                <w:szCs w:val="26"/>
              </w:rPr>
            </w:pPr>
            <w:r w:rsidRPr="008B619A">
              <w:rPr>
                <w:rFonts w:hAnsi="標楷體" w:cs="Arial"/>
                <w:b/>
                <w:color w:val="000000" w:themeColor="text1"/>
                <w:sz w:val="26"/>
                <w:szCs w:val="26"/>
              </w:rPr>
              <w:t>三分類</w:t>
            </w:r>
          </w:p>
        </w:tc>
        <w:tc>
          <w:tcPr>
            <w:tcW w:w="1701" w:type="dxa"/>
            <w:shd w:val="clear" w:color="auto" w:fill="C5E0B3"/>
            <w:vAlign w:val="center"/>
          </w:tcPr>
          <w:p w14:paraId="38010309" w14:textId="77777777" w:rsidR="007733DE" w:rsidRPr="008B619A" w:rsidRDefault="007733DE" w:rsidP="00485EF7">
            <w:pPr>
              <w:spacing w:line="440" w:lineRule="exact"/>
              <w:jc w:val="center"/>
              <w:rPr>
                <w:rFonts w:hAnsi="標楷體" w:cs="Arial"/>
                <w:b/>
                <w:color w:val="000000" w:themeColor="text1"/>
                <w:sz w:val="26"/>
                <w:szCs w:val="26"/>
              </w:rPr>
            </w:pPr>
            <w:r w:rsidRPr="008B619A">
              <w:rPr>
                <w:rFonts w:hAnsi="標楷體" w:cs="Arial" w:hint="eastAsia"/>
                <w:b/>
                <w:color w:val="000000" w:themeColor="text1"/>
                <w:sz w:val="26"/>
                <w:szCs w:val="26"/>
              </w:rPr>
              <w:t>日間</w:t>
            </w:r>
          </w:p>
          <w:p w14:paraId="19DE4F48" w14:textId="77777777" w:rsidR="007733DE" w:rsidRPr="008B619A" w:rsidRDefault="007733DE" w:rsidP="00485EF7">
            <w:pPr>
              <w:spacing w:line="440" w:lineRule="exact"/>
              <w:jc w:val="center"/>
              <w:rPr>
                <w:rFonts w:hAnsi="標楷體" w:cs="Arial"/>
                <w:b/>
                <w:color w:val="000000" w:themeColor="text1"/>
                <w:sz w:val="26"/>
                <w:szCs w:val="26"/>
              </w:rPr>
            </w:pPr>
            <w:r w:rsidRPr="008B619A">
              <w:rPr>
                <w:rFonts w:hAnsi="標楷體" w:cs="Arial" w:hint="eastAsia"/>
                <w:b/>
                <w:color w:val="000000" w:themeColor="text1"/>
                <w:sz w:val="26"/>
                <w:szCs w:val="26"/>
              </w:rPr>
              <w:t>學位生人數</w:t>
            </w:r>
          </w:p>
        </w:tc>
        <w:tc>
          <w:tcPr>
            <w:tcW w:w="1734" w:type="dxa"/>
            <w:shd w:val="clear" w:color="auto" w:fill="C5E0B3"/>
            <w:vAlign w:val="center"/>
          </w:tcPr>
          <w:p w14:paraId="00943CED" w14:textId="77777777" w:rsidR="007733DE" w:rsidRPr="008B619A" w:rsidRDefault="007733DE" w:rsidP="00485EF7">
            <w:pPr>
              <w:spacing w:line="440" w:lineRule="exact"/>
              <w:jc w:val="center"/>
              <w:rPr>
                <w:rFonts w:hAnsi="標楷體" w:cs="Arial"/>
                <w:b/>
                <w:color w:val="000000" w:themeColor="text1"/>
                <w:sz w:val="26"/>
                <w:szCs w:val="26"/>
              </w:rPr>
            </w:pPr>
            <w:r w:rsidRPr="008B619A">
              <w:rPr>
                <w:rFonts w:hAnsi="標楷體" w:cs="Arial"/>
                <w:b/>
                <w:color w:val="000000" w:themeColor="text1"/>
                <w:sz w:val="26"/>
                <w:szCs w:val="26"/>
              </w:rPr>
              <w:t>博士</w:t>
            </w:r>
            <w:r w:rsidRPr="008B619A">
              <w:rPr>
                <w:rFonts w:hAnsi="標楷體" w:cs="Arial" w:hint="eastAsia"/>
                <w:b/>
                <w:color w:val="000000" w:themeColor="text1"/>
                <w:sz w:val="26"/>
                <w:szCs w:val="26"/>
              </w:rPr>
              <w:t>境外學位生</w:t>
            </w:r>
            <w:r w:rsidRPr="008B619A">
              <w:rPr>
                <w:rFonts w:hAnsi="標楷體" w:cs="Arial"/>
                <w:b/>
                <w:color w:val="000000" w:themeColor="text1"/>
                <w:sz w:val="26"/>
                <w:szCs w:val="26"/>
              </w:rPr>
              <w:t>數</w:t>
            </w:r>
          </w:p>
        </w:tc>
      </w:tr>
      <w:tr w:rsidR="007733DE" w:rsidRPr="008B619A" w14:paraId="1E061961" w14:textId="77777777" w:rsidTr="00401B8D">
        <w:trPr>
          <w:trHeight w:val="20"/>
        </w:trPr>
        <w:tc>
          <w:tcPr>
            <w:tcW w:w="1106" w:type="dxa"/>
            <w:vMerge w:val="restart"/>
            <w:shd w:val="clear" w:color="auto" w:fill="auto"/>
            <w:vAlign w:val="center"/>
          </w:tcPr>
          <w:p w14:paraId="4A102C24" w14:textId="77777777" w:rsidR="007733DE" w:rsidRPr="008B619A" w:rsidRDefault="007733DE" w:rsidP="00485EF7">
            <w:pPr>
              <w:widowControl/>
              <w:spacing w:line="440" w:lineRule="exact"/>
              <w:jc w:val="center"/>
              <w:rPr>
                <w:rFonts w:hAnsi="標楷體" w:cs="Arial"/>
                <w:b/>
                <w:bCs/>
                <w:color w:val="000000" w:themeColor="text1"/>
                <w:kern w:val="0"/>
                <w:sz w:val="26"/>
                <w:szCs w:val="26"/>
              </w:rPr>
            </w:pPr>
            <w:r w:rsidRPr="008B619A">
              <w:rPr>
                <w:rFonts w:hAnsi="標楷體" w:cs="Arial"/>
                <w:b/>
                <w:bCs/>
                <w:color w:val="000000" w:themeColor="text1"/>
                <w:kern w:val="0"/>
                <w:sz w:val="26"/>
                <w:szCs w:val="26"/>
              </w:rPr>
              <w:t>109</w:t>
            </w:r>
          </w:p>
        </w:tc>
        <w:tc>
          <w:tcPr>
            <w:tcW w:w="1842" w:type="dxa"/>
            <w:vMerge w:val="restart"/>
            <w:shd w:val="clear" w:color="auto" w:fill="auto"/>
            <w:vAlign w:val="center"/>
          </w:tcPr>
          <w:p w14:paraId="697A2B7B" w14:textId="77777777" w:rsidR="007733DE" w:rsidRPr="008B619A" w:rsidRDefault="007733DE" w:rsidP="00485EF7">
            <w:pPr>
              <w:spacing w:line="440" w:lineRule="exact"/>
              <w:jc w:val="right"/>
              <w:rPr>
                <w:rFonts w:hAnsi="標楷體" w:cs="Arial"/>
                <w:bCs/>
                <w:color w:val="000000" w:themeColor="text1"/>
                <w:sz w:val="26"/>
                <w:szCs w:val="26"/>
              </w:rPr>
            </w:pPr>
            <w:r w:rsidRPr="008B619A">
              <w:rPr>
                <w:rFonts w:hAnsi="標楷體" w:cs="Arial"/>
                <w:bCs/>
                <w:color w:val="000000" w:themeColor="text1"/>
                <w:sz w:val="26"/>
                <w:szCs w:val="26"/>
              </w:rPr>
              <w:t>61,552</w:t>
            </w:r>
          </w:p>
        </w:tc>
        <w:tc>
          <w:tcPr>
            <w:tcW w:w="1560" w:type="dxa"/>
            <w:vMerge w:val="restart"/>
            <w:shd w:val="clear" w:color="auto" w:fill="E5DFEC" w:themeFill="accent4" w:themeFillTint="33"/>
            <w:vAlign w:val="center"/>
          </w:tcPr>
          <w:p w14:paraId="0EE2F5B0" w14:textId="77777777" w:rsidR="007733DE" w:rsidRPr="008B619A" w:rsidRDefault="007733DE" w:rsidP="00485EF7">
            <w:pPr>
              <w:spacing w:line="440" w:lineRule="exact"/>
              <w:jc w:val="right"/>
              <w:rPr>
                <w:rFonts w:hAnsi="標楷體" w:cs="Arial"/>
                <w:bCs/>
                <w:color w:val="000000" w:themeColor="text1"/>
                <w:sz w:val="26"/>
                <w:szCs w:val="26"/>
              </w:rPr>
            </w:pPr>
            <w:r w:rsidRPr="008B619A">
              <w:rPr>
                <w:rFonts w:hAnsi="標楷體" w:cs="Arial"/>
                <w:bCs/>
                <w:color w:val="000000" w:themeColor="text1"/>
                <w:sz w:val="26"/>
                <w:szCs w:val="26"/>
              </w:rPr>
              <w:t>5,578</w:t>
            </w:r>
          </w:p>
          <w:p w14:paraId="33F818E9" w14:textId="77777777" w:rsidR="007733DE" w:rsidRPr="008B619A" w:rsidRDefault="007733DE" w:rsidP="00485EF7">
            <w:pPr>
              <w:spacing w:line="440" w:lineRule="exact"/>
              <w:jc w:val="right"/>
              <w:rPr>
                <w:rFonts w:hAnsi="標楷體" w:cs="Arial"/>
                <w:bCs/>
                <w:color w:val="000000" w:themeColor="text1"/>
                <w:sz w:val="26"/>
                <w:szCs w:val="26"/>
              </w:rPr>
            </w:pPr>
            <w:r w:rsidRPr="008B619A">
              <w:rPr>
                <w:rFonts w:hAnsi="標楷體" w:cs="Arial"/>
                <w:color w:val="000000" w:themeColor="text1"/>
                <w:sz w:val="26"/>
                <w:szCs w:val="26"/>
              </w:rPr>
              <w:t>(9.06%)</w:t>
            </w:r>
          </w:p>
        </w:tc>
        <w:tc>
          <w:tcPr>
            <w:tcW w:w="1417" w:type="dxa"/>
            <w:shd w:val="clear" w:color="auto" w:fill="auto"/>
            <w:vAlign w:val="center"/>
          </w:tcPr>
          <w:p w14:paraId="4FE0706B" w14:textId="77777777" w:rsidR="007733DE" w:rsidRPr="008B619A" w:rsidRDefault="007733DE" w:rsidP="00485EF7">
            <w:pPr>
              <w:spacing w:line="440" w:lineRule="exact"/>
              <w:jc w:val="center"/>
              <w:rPr>
                <w:rFonts w:hAnsi="標楷體" w:cs="Arial"/>
                <w:bCs/>
                <w:color w:val="000000" w:themeColor="text1"/>
                <w:sz w:val="26"/>
                <w:szCs w:val="26"/>
              </w:rPr>
            </w:pPr>
            <w:r w:rsidRPr="008B619A">
              <w:rPr>
                <w:rFonts w:hAnsi="標楷體" w:cs="Arial"/>
                <w:bCs/>
                <w:color w:val="000000" w:themeColor="text1"/>
                <w:sz w:val="26"/>
                <w:szCs w:val="26"/>
              </w:rPr>
              <w:t>人文類</w:t>
            </w:r>
          </w:p>
        </w:tc>
        <w:tc>
          <w:tcPr>
            <w:tcW w:w="1701" w:type="dxa"/>
            <w:shd w:val="clear" w:color="auto" w:fill="auto"/>
            <w:vAlign w:val="center"/>
          </w:tcPr>
          <w:p w14:paraId="7045A78A" w14:textId="77777777" w:rsidR="007733DE" w:rsidRPr="008B619A" w:rsidRDefault="007733DE" w:rsidP="00485EF7">
            <w:pPr>
              <w:spacing w:line="440" w:lineRule="exact"/>
              <w:jc w:val="right"/>
              <w:rPr>
                <w:rFonts w:hAnsi="標楷體" w:cs="Arial"/>
                <w:bCs/>
                <w:color w:val="000000" w:themeColor="text1"/>
                <w:sz w:val="26"/>
                <w:szCs w:val="26"/>
              </w:rPr>
            </w:pPr>
            <w:r w:rsidRPr="008B619A">
              <w:rPr>
                <w:rFonts w:hAnsi="標楷體" w:cs="Arial" w:hint="eastAsia"/>
                <w:bCs/>
                <w:color w:val="000000" w:themeColor="text1"/>
                <w:sz w:val="26"/>
                <w:szCs w:val="26"/>
              </w:rPr>
              <w:t>13,537</w:t>
            </w:r>
          </w:p>
        </w:tc>
        <w:tc>
          <w:tcPr>
            <w:tcW w:w="1734" w:type="dxa"/>
            <w:shd w:val="clear" w:color="auto" w:fill="auto"/>
            <w:vAlign w:val="center"/>
          </w:tcPr>
          <w:p w14:paraId="3B393DD6" w14:textId="77777777" w:rsidR="007733DE" w:rsidRPr="008B619A" w:rsidRDefault="007733DE" w:rsidP="00485EF7">
            <w:pPr>
              <w:spacing w:line="440" w:lineRule="exact"/>
              <w:jc w:val="right"/>
              <w:rPr>
                <w:rFonts w:hAnsi="標楷體" w:cs="Arial"/>
                <w:bCs/>
                <w:color w:val="000000" w:themeColor="text1"/>
                <w:sz w:val="26"/>
                <w:szCs w:val="26"/>
              </w:rPr>
            </w:pPr>
            <w:r w:rsidRPr="008B619A">
              <w:rPr>
                <w:rFonts w:hAnsi="標楷體" w:cs="Arial"/>
                <w:bCs/>
                <w:color w:val="000000" w:themeColor="text1"/>
                <w:sz w:val="26"/>
                <w:szCs w:val="26"/>
              </w:rPr>
              <w:t>920</w:t>
            </w:r>
          </w:p>
        </w:tc>
      </w:tr>
      <w:tr w:rsidR="007733DE" w:rsidRPr="008B619A" w14:paraId="22D5EB3A" w14:textId="77777777" w:rsidTr="00401B8D">
        <w:trPr>
          <w:trHeight w:val="20"/>
        </w:trPr>
        <w:tc>
          <w:tcPr>
            <w:tcW w:w="1106" w:type="dxa"/>
            <w:vMerge/>
            <w:shd w:val="clear" w:color="auto" w:fill="auto"/>
            <w:vAlign w:val="center"/>
          </w:tcPr>
          <w:p w14:paraId="6B086186" w14:textId="77777777" w:rsidR="007733DE" w:rsidRPr="008B619A" w:rsidRDefault="007733DE" w:rsidP="00485EF7">
            <w:pPr>
              <w:spacing w:line="440" w:lineRule="exact"/>
              <w:ind w:firstLineChars="100" w:firstLine="280"/>
              <w:jc w:val="center"/>
              <w:rPr>
                <w:rFonts w:hAnsi="標楷體" w:cs="Arial"/>
                <w:b/>
                <w:color w:val="000000" w:themeColor="text1"/>
                <w:sz w:val="26"/>
                <w:szCs w:val="26"/>
              </w:rPr>
            </w:pPr>
          </w:p>
        </w:tc>
        <w:tc>
          <w:tcPr>
            <w:tcW w:w="1842" w:type="dxa"/>
            <w:vMerge/>
            <w:shd w:val="clear" w:color="auto" w:fill="auto"/>
            <w:vAlign w:val="center"/>
          </w:tcPr>
          <w:p w14:paraId="3B922FDD" w14:textId="77777777" w:rsidR="007733DE" w:rsidRPr="008B619A" w:rsidRDefault="007733DE" w:rsidP="00485EF7">
            <w:pPr>
              <w:spacing w:line="440" w:lineRule="exact"/>
              <w:jc w:val="right"/>
              <w:rPr>
                <w:rFonts w:hAnsi="標楷體" w:cs="Arial"/>
                <w:bCs/>
                <w:color w:val="000000" w:themeColor="text1"/>
                <w:sz w:val="26"/>
                <w:szCs w:val="26"/>
              </w:rPr>
            </w:pPr>
          </w:p>
        </w:tc>
        <w:tc>
          <w:tcPr>
            <w:tcW w:w="1560" w:type="dxa"/>
            <w:vMerge/>
            <w:shd w:val="clear" w:color="auto" w:fill="E5DFEC" w:themeFill="accent4" w:themeFillTint="33"/>
            <w:vAlign w:val="center"/>
          </w:tcPr>
          <w:p w14:paraId="7243178F" w14:textId="77777777" w:rsidR="007733DE" w:rsidRPr="008B619A" w:rsidRDefault="007733DE" w:rsidP="00485EF7">
            <w:pPr>
              <w:spacing w:line="440" w:lineRule="exact"/>
              <w:jc w:val="right"/>
              <w:rPr>
                <w:rFonts w:hAnsi="標楷體" w:cs="Arial"/>
                <w:bCs/>
                <w:color w:val="000000" w:themeColor="text1"/>
                <w:sz w:val="26"/>
                <w:szCs w:val="26"/>
              </w:rPr>
            </w:pPr>
          </w:p>
        </w:tc>
        <w:tc>
          <w:tcPr>
            <w:tcW w:w="1417" w:type="dxa"/>
            <w:shd w:val="clear" w:color="auto" w:fill="auto"/>
            <w:vAlign w:val="center"/>
          </w:tcPr>
          <w:p w14:paraId="12EBC6D5" w14:textId="77777777" w:rsidR="007733DE" w:rsidRPr="008B619A" w:rsidRDefault="007733DE" w:rsidP="00485EF7">
            <w:pPr>
              <w:spacing w:line="440" w:lineRule="exact"/>
              <w:jc w:val="center"/>
              <w:rPr>
                <w:rFonts w:hAnsi="標楷體" w:cs="Arial"/>
                <w:bCs/>
                <w:color w:val="000000" w:themeColor="text1"/>
                <w:sz w:val="26"/>
                <w:szCs w:val="26"/>
              </w:rPr>
            </w:pPr>
            <w:r w:rsidRPr="008B619A">
              <w:rPr>
                <w:rFonts w:hAnsi="標楷體" w:cs="Arial"/>
                <w:bCs/>
                <w:color w:val="000000" w:themeColor="text1"/>
                <w:sz w:val="26"/>
                <w:szCs w:val="26"/>
              </w:rPr>
              <w:t>社會類</w:t>
            </w:r>
          </w:p>
        </w:tc>
        <w:tc>
          <w:tcPr>
            <w:tcW w:w="1701" w:type="dxa"/>
            <w:shd w:val="clear" w:color="auto" w:fill="auto"/>
            <w:vAlign w:val="center"/>
          </w:tcPr>
          <w:p w14:paraId="7A3792D8" w14:textId="77777777" w:rsidR="007733DE" w:rsidRPr="008B619A" w:rsidRDefault="007733DE" w:rsidP="00485EF7">
            <w:pPr>
              <w:spacing w:line="440" w:lineRule="exact"/>
              <w:jc w:val="right"/>
              <w:rPr>
                <w:rFonts w:hAnsi="標楷體" w:cs="Arial"/>
                <w:bCs/>
                <w:color w:val="000000" w:themeColor="text1"/>
                <w:sz w:val="26"/>
                <w:szCs w:val="26"/>
              </w:rPr>
            </w:pPr>
            <w:r w:rsidRPr="008B619A">
              <w:rPr>
                <w:rFonts w:hAnsi="標楷體" w:cs="Arial" w:hint="eastAsia"/>
                <w:bCs/>
                <w:color w:val="000000" w:themeColor="text1"/>
                <w:sz w:val="26"/>
                <w:szCs w:val="26"/>
              </w:rPr>
              <w:t>23,764</w:t>
            </w:r>
          </w:p>
        </w:tc>
        <w:tc>
          <w:tcPr>
            <w:tcW w:w="1734" w:type="dxa"/>
            <w:shd w:val="clear" w:color="auto" w:fill="auto"/>
            <w:vAlign w:val="center"/>
          </w:tcPr>
          <w:p w14:paraId="410974E2" w14:textId="77777777" w:rsidR="007733DE" w:rsidRPr="008B619A" w:rsidRDefault="007733DE" w:rsidP="00485EF7">
            <w:pPr>
              <w:spacing w:line="440" w:lineRule="exact"/>
              <w:jc w:val="right"/>
              <w:rPr>
                <w:rFonts w:hAnsi="標楷體" w:cs="Arial"/>
                <w:bCs/>
                <w:color w:val="000000" w:themeColor="text1"/>
                <w:sz w:val="26"/>
                <w:szCs w:val="26"/>
              </w:rPr>
            </w:pPr>
            <w:r w:rsidRPr="008B619A">
              <w:rPr>
                <w:rFonts w:hAnsi="標楷體" w:cs="Arial"/>
                <w:bCs/>
                <w:color w:val="000000" w:themeColor="text1"/>
                <w:sz w:val="26"/>
                <w:szCs w:val="26"/>
              </w:rPr>
              <w:t>1,040</w:t>
            </w:r>
          </w:p>
        </w:tc>
      </w:tr>
      <w:tr w:rsidR="007733DE" w:rsidRPr="008B619A" w14:paraId="165E233C" w14:textId="77777777" w:rsidTr="00401B8D">
        <w:trPr>
          <w:trHeight w:val="20"/>
        </w:trPr>
        <w:tc>
          <w:tcPr>
            <w:tcW w:w="1106" w:type="dxa"/>
            <w:vMerge/>
            <w:shd w:val="clear" w:color="auto" w:fill="auto"/>
            <w:vAlign w:val="center"/>
          </w:tcPr>
          <w:p w14:paraId="03ADE3D8" w14:textId="77777777" w:rsidR="007733DE" w:rsidRPr="008B619A" w:rsidRDefault="007733DE" w:rsidP="00485EF7">
            <w:pPr>
              <w:spacing w:line="440" w:lineRule="exact"/>
              <w:ind w:firstLineChars="100" w:firstLine="280"/>
              <w:jc w:val="center"/>
              <w:rPr>
                <w:rFonts w:hAnsi="標楷體" w:cs="Arial"/>
                <w:b/>
                <w:color w:val="000000" w:themeColor="text1"/>
                <w:sz w:val="26"/>
                <w:szCs w:val="26"/>
              </w:rPr>
            </w:pPr>
          </w:p>
        </w:tc>
        <w:tc>
          <w:tcPr>
            <w:tcW w:w="1842" w:type="dxa"/>
            <w:vMerge/>
            <w:shd w:val="clear" w:color="auto" w:fill="auto"/>
            <w:vAlign w:val="center"/>
          </w:tcPr>
          <w:p w14:paraId="410A8BCB" w14:textId="77777777" w:rsidR="007733DE" w:rsidRPr="008B619A" w:rsidRDefault="007733DE" w:rsidP="00485EF7">
            <w:pPr>
              <w:spacing w:line="440" w:lineRule="exact"/>
              <w:jc w:val="right"/>
              <w:rPr>
                <w:rFonts w:hAnsi="標楷體" w:cs="Arial"/>
                <w:bCs/>
                <w:color w:val="000000" w:themeColor="text1"/>
                <w:sz w:val="26"/>
                <w:szCs w:val="26"/>
              </w:rPr>
            </w:pPr>
          </w:p>
        </w:tc>
        <w:tc>
          <w:tcPr>
            <w:tcW w:w="1560" w:type="dxa"/>
            <w:vMerge/>
            <w:shd w:val="clear" w:color="auto" w:fill="E5DFEC" w:themeFill="accent4" w:themeFillTint="33"/>
            <w:vAlign w:val="center"/>
          </w:tcPr>
          <w:p w14:paraId="4CA1B8AC" w14:textId="77777777" w:rsidR="007733DE" w:rsidRPr="008B619A" w:rsidRDefault="007733DE" w:rsidP="00485EF7">
            <w:pPr>
              <w:spacing w:line="440" w:lineRule="exact"/>
              <w:jc w:val="right"/>
              <w:rPr>
                <w:rFonts w:hAnsi="標楷體" w:cs="Arial"/>
                <w:bCs/>
                <w:color w:val="000000" w:themeColor="text1"/>
                <w:sz w:val="26"/>
                <w:szCs w:val="26"/>
              </w:rPr>
            </w:pPr>
          </w:p>
        </w:tc>
        <w:tc>
          <w:tcPr>
            <w:tcW w:w="1417" w:type="dxa"/>
            <w:shd w:val="clear" w:color="auto" w:fill="auto"/>
            <w:vAlign w:val="center"/>
          </w:tcPr>
          <w:p w14:paraId="733674B9" w14:textId="77777777" w:rsidR="007733DE" w:rsidRPr="008B619A" w:rsidRDefault="007733DE" w:rsidP="00485EF7">
            <w:pPr>
              <w:spacing w:line="440" w:lineRule="exact"/>
              <w:jc w:val="center"/>
              <w:rPr>
                <w:rFonts w:hAnsi="標楷體" w:cs="Arial"/>
                <w:bCs/>
                <w:color w:val="000000" w:themeColor="text1"/>
                <w:sz w:val="26"/>
                <w:szCs w:val="26"/>
              </w:rPr>
            </w:pPr>
            <w:r w:rsidRPr="008B619A">
              <w:rPr>
                <w:rFonts w:hAnsi="標楷體" w:cs="Arial"/>
                <w:bCs/>
                <w:color w:val="000000" w:themeColor="text1"/>
                <w:sz w:val="26"/>
                <w:szCs w:val="26"/>
              </w:rPr>
              <w:t>科技類</w:t>
            </w:r>
          </w:p>
        </w:tc>
        <w:tc>
          <w:tcPr>
            <w:tcW w:w="1701" w:type="dxa"/>
            <w:shd w:val="clear" w:color="auto" w:fill="auto"/>
            <w:vAlign w:val="center"/>
          </w:tcPr>
          <w:p w14:paraId="0B28E009" w14:textId="77777777" w:rsidR="007733DE" w:rsidRPr="008B619A" w:rsidRDefault="007733DE" w:rsidP="00485EF7">
            <w:pPr>
              <w:spacing w:line="440" w:lineRule="exact"/>
              <w:jc w:val="right"/>
              <w:rPr>
                <w:rFonts w:hAnsi="標楷體" w:cs="Arial"/>
                <w:bCs/>
                <w:color w:val="000000" w:themeColor="text1"/>
                <w:sz w:val="26"/>
                <w:szCs w:val="26"/>
              </w:rPr>
            </w:pPr>
            <w:r w:rsidRPr="008B619A">
              <w:rPr>
                <w:rFonts w:hAnsi="標楷體" w:cs="Arial" w:hint="eastAsia"/>
                <w:bCs/>
                <w:color w:val="000000" w:themeColor="text1"/>
                <w:sz w:val="26"/>
                <w:szCs w:val="26"/>
              </w:rPr>
              <w:t>24,251</w:t>
            </w:r>
          </w:p>
        </w:tc>
        <w:tc>
          <w:tcPr>
            <w:tcW w:w="1734" w:type="dxa"/>
            <w:shd w:val="clear" w:color="auto" w:fill="auto"/>
            <w:vAlign w:val="center"/>
          </w:tcPr>
          <w:p w14:paraId="3A277271" w14:textId="77777777" w:rsidR="007733DE" w:rsidRPr="008B619A" w:rsidRDefault="007733DE" w:rsidP="00485EF7">
            <w:pPr>
              <w:spacing w:line="440" w:lineRule="exact"/>
              <w:jc w:val="right"/>
              <w:rPr>
                <w:rFonts w:hAnsi="標楷體" w:cs="Arial"/>
                <w:bCs/>
                <w:color w:val="000000" w:themeColor="text1"/>
                <w:sz w:val="26"/>
                <w:szCs w:val="26"/>
              </w:rPr>
            </w:pPr>
            <w:r w:rsidRPr="008B619A">
              <w:rPr>
                <w:rFonts w:hAnsi="標楷體" w:cs="Arial"/>
                <w:bCs/>
                <w:color w:val="000000" w:themeColor="text1"/>
                <w:sz w:val="26"/>
                <w:szCs w:val="26"/>
              </w:rPr>
              <w:t>3,618</w:t>
            </w:r>
          </w:p>
        </w:tc>
      </w:tr>
      <w:tr w:rsidR="007733DE" w:rsidRPr="008B619A" w14:paraId="63A58A11" w14:textId="77777777" w:rsidTr="00401B8D">
        <w:trPr>
          <w:trHeight w:val="20"/>
        </w:trPr>
        <w:tc>
          <w:tcPr>
            <w:tcW w:w="1106" w:type="dxa"/>
            <w:vMerge w:val="restart"/>
            <w:shd w:val="clear" w:color="auto" w:fill="FFF2CC"/>
            <w:vAlign w:val="center"/>
          </w:tcPr>
          <w:p w14:paraId="347A6188" w14:textId="77777777" w:rsidR="007733DE" w:rsidRPr="008B619A" w:rsidRDefault="007733DE" w:rsidP="00485EF7">
            <w:pPr>
              <w:spacing w:line="440" w:lineRule="exact"/>
              <w:jc w:val="center"/>
              <w:rPr>
                <w:rFonts w:hAnsi="標楷體" w:cs="Arial"/>
                <w:b/>
                <w:bCs/>
                <w:color w:val="000000" w:themeColor="text1"/>
                <w:sz w:val="26"/>
                <w:szCs w:val="26"/>
              </w:rPr>
            </w:pPr>
            <w:r w:rsidRPr="008B619A">
              <w:rPr>
                <w:rFonts w:hAnsi="標楷體" w:cs="Arial"/>
                <w:b/>
                <w:bCs/>
                <w:color w:val="000000" w:themeColor="text1"/>
                <w:sz w:val="26"/>
                <w:szCs w:val="26"/>
              </w:rPr>
              <w:t>108</w:t>
            </w:r>
          </w:p>
        </w:tc>
        <w:tc>
          <w:tcPr>
            <w:tcW w:w="1842" w:type="dxa"/>
            <w:vMerge w:val="restart"/>
            <w:shd w:val="clear" w:color="auto" w:fill="FFF2CC"/>
            <w:vAlign w:val="center"/>
          </w:tcPr>
          <w:p w14:paraId="55FC62BD" w14:textId="77777777" w:rsidR="007733DE" w:rsidRPr="008B619A" w:rsidRDefault="007733DE" w:rsidP="00485EF7">
            <w:pPr>
              <w:spacing w:line="440" w:lineRule="exact"/>
              <w:jc w:val="right"/>
              <w:rPr>
                <w:rFonts w:hAnsi="標楷體" w:cs="Arial"/>
                <w:bCs/>
                <w:color w:val="000000" w:themeColor="text1"/>
                <w:sz w:val="26"/>
                <w:szCs w:val="26"/>
              </w:rPr>
            </w:pPr>
            <w:r w:rsidRPr="008B619A">
              <w:rPr>
                <w:rFonts w:hAnsi="標楷體" w:cs="Arial"/>
                <w:bCs/>
                <w:color w:val="000000" w:themeColor="text1"/>
                <w:sz w:val="26"/>
                <w:szCs w:val="26"/>
              </w:rPr>
              <w:t>62,760</w:t>
            </w:r>
          </w:p>
        </w:tc>
        <w:tc>
          <w:tcPr>
            <w:tcW w:w="1560" w:type="dxa"/>
            <w:vMerge w:val="restart"/>
            <w:shd w:val="clear" w:color="auto" w:fill="E5DFEC" w:themeFill="accent4" w:themeFillTint="33"/>
            <w:vAlign w:val="center"/>
          </w:tcPr>
          <w:p w14:paraId="4E64DFAD" w14:textId="77777777" w:rsidR="007733DE" w:rsidRPr="008B619A" w:rsidRDefault="007733DE" w:rsidP="00485EF7">
            <w:pPr>
              <w:spacing w:line="440" w:lineRule="exact"/>
              <w:jc w:val="right"/>
              <w:rPr>
                <w:rFonts w:hAnsi="標楷體" w:cs="Arial"/>
                <w:bCs/>
                <w:color w:val="000000" w:themeColor="text1"/>
                <w:sz w:val="26"/>
                <w:szCs w:val="26"/>
              </w:rPr>
            </w:pPr>
            <w:r w:rsidRPr="008B619A">
              <w:rPr>
                <w:rFonts w:hAnsi="標楷體" w:cs="Arial"/>
                <w:bCs/>
                <w:color w:val="000000" w:themeColor="text1"/>
                <w:sz w:val="26"/>
                <w:szCs w:val="26"/>
              </w:rPr>
              <w:t>5,523</w:t>
            </w:r>
          </w:p>
          <w:p w14:paraId="0EE5C2B9" w14:textId="77777777" w:rsidR="007733DE" w:rsidRPr="008B619A" w:rsidRDefault="007733DE" w:rsidP="00485EF7">
            <w:pPr>
              <w:spacing w:line="440" w:lineRule="exact"/>
              <w:jc w:val="right"/>
              <w:rPr>
                <w:rFonts w:hAnsi="標楷體" w:cs="Arial"/>
                <w:bCs/>
                <w:color w:val="000000" w:themeColor="text1"/>
                <w:sz w:val="26"/>
                <w:szCs w:val="26"/>
              </w:rPr>
            </w:pPr>
            <w:r w:rsidRPr="008B619A">
              <w:rPr>
                <w:rFonts w:hAnsi="標楷體" w:cs="Arial"/>
                <w:bCs/>
                <w:color w:val="000000" w:themeColor="text1"/>
                <w:sz w:val="26"/>
                <w:szCs w:val="26"/>
              </w:rPr>
              <w:t>(8.80%)</w:t>
            </w:r>
          </w:p>
        </w:tc>
        <w:tc>
          <w:tcPr>
            <w:tcW w:w="1417" w:type="dxa"/>
            <w:shd w:val="clear" w:color="auto" w:fill="FFF2CC"/>
            <w:vAlign w:val="center"/>
          </w:tcPr>
          <w:p w14:paraId="1F6BE2A4" w14:textId="77777777" w:rsidR="007733DE" w:rsidRPr="008B619A" w:rsidRDefault="007733DE" w:rsidP="00485EF7">
            <w:pPr>
              <w:spacing w:line="440" w:lineRule="exact"/>
              <w:jc w:val="center"/>
              <w:rPr>
                <w:rFonts w:hAnsi="標楷體" w:cs="Arial"/>
                <w:bCs/>
                <w:color w:val="000000" w:themeColor="text1"/>
                <w:sz w:val="26"/>
                <w:szCs w:val="26"/>
              </w:rPr>
            </w:pPr>
            <w:r w:rsidRPr="008B619A">
              <w:rPr>
                <w:rFonts w:hAnsi="標楷體" w:cs="Arial"/>
                <w:bCs/>
                <w:color w:val="000000" w:themeColor="text1"/>
                <w:sz w:val="26"/>
                <w:szCs w:val="26"/>
              </w:rPr>
              <w:t>人文類</w:t>
            </w:r>
          </w:p>
        </w:tc>
        <w:tc>
          <w:tcPr>
            <w:tcW w:w="1701" w:type="dxa"/>
            <w:shd w:val="clear" w:color="auto" w:fill="FFF2CC"/>
            <w:vAlign w:val="center"/>
          </w:tcPr>
          <w:p w14:paraId="08E2603C" w14:textId="77777777" w:rsidR="007733DE" w:rsidRPr="008B619A" w:rsidRDefault="007733DE" w:rsidP="00485EF7">
            <w:pPr>
              <w:spacing w:line="440" w:lineRule="exact"/>
              <w:jc w:val="right"/>
              <w:rPr>
                <w:rFonts w:hAnsi="標楷體" w:cs="Arial"/>
                <w:bCs/>
                <w:color w:val="000000" w:themeColor="text1"/>
                <w:sz w:val="26"/>
                <w:szCs w:val="26"/>
              </w:rPr>
            </w:pPr>
            <w:r w:rsidRPr="008B619A">
              <w:rPr>
                <w:rFonts w:hAnsi="標楷體" w:cs="Arial" w:hint="eastAsia"/>
                <w:bCs/>
                <w:color w:val="000000" w:themeColor="text1"/>
                <w:sz w:val="26"/>
                <w:szCs w:val="26"/>
              </w:rPr>
              <w:t>13,936</w:t>
            </w:r>
          </w:p>
        </w:tc>
        <w:tc>
          <w:tcPr>
            <w:tcW w:w="1734" w:type="dxa"/>
            <w:shd w:val="clear" w:color="auto" w:fill="FFF2CC"/>
            <w:vAlign w:val="center"/>
          </w:tcPr>
          <w:p w14:paraId="6F92892E" w14:textId="77777777" w:rsidR="007733DE" w:rsidRPr="008B619A" w:rsidRDefault="007733DE" w:rsidP="00485EF7">
            <w:pPr>
              <w:spacing w:line="440" w:lineRule="exact"/>
              <w:jc w:val="right"/>
              <w:rPr>
                <w:rFonts w:hAnsi="標楷體" w:cs="Arial"/>
                <w:bCs/>
                <w:color w:val="000000" w:themeColor="text1"/>
                <w:sz w:val="26"/>
                <w:szCs w:val="26"/>
              </w:rPr>
            </w:pPr>
            <w:r w:rsidRPr="008B619A">
              <w:rPr>
                <w:rFonts w:hAnsi="標楷體" w:cs="Arial"/>
                <w:bCs/>
                <w:color w:val="000000" w:themeColor="text1"/>
                <w:sz w:val="26"/>
                <w:szCs w:val="26"/>
              </w:rPr>
              <w:t>958</w:t>
            </w:r>
          </w:p>
        </w:tc>
      </w:tr>
      <w:tr w:rsidR="007733DE" w:rsidRPr="008B619A" w14:paraId="6E19BF97" w14:textId="77777777" w:rsidTr="00401B8D">
        <w:trPr>
          <w:trHeight w:val="20"/>
        </w:trPr>
        <w:tc>
          <w:tcPr>
            <w:tcW w:w="1106" w:type="dxa"/>
            <w:vMerge/>
            <w:shd w:val="clear" w:color="auto" w:fill="FFF2CC"/>
            <w:vAlign w:val="center"/>
          </w:tcPr>
          <w:p w14:paraId="60AE9ECB" w14:textId="77777777" w:rsidR="007733DE" w:rsidRPr="008B619A" w:rsidRDefault="007733DE" w:rsidP="00485EF7">
            <w:pPr>
              <w:spacing w:line="440" w:lineRule="exact"/>
              <w:jc w:val="center"/>
              <w:rPr>
                <w:rFonts w:hAnsi="標楷體" w:cs="Arial"/>
                <w:b/>
                <w:bCs/>
                <w:color w:val="000000" w:themeColor="text1"/>
                <w:sz w:val="26"/>
                <w:szCs w:val="26"/>
              </w:rPr>
            </w:pPr>
          </w:p>
        </w:tc>
        <w:tc>
          <w:tcPr>
            <w:tcW w:w="1842" w:type="dxa"/>
            <w:vMerge/>
            <w:shd w:val="clear" w:color="auto" w:fill="FFF2CC"/>
            <w:vAlign w:val="center"/>
          </w:tcPr>
          <w:p w14:paraId="260EABD0" w14:textId="77777777" w:rsidR="007733DE" w:rsidRPr="008B619A" w:rsidRDefault="007733DE" w:rsidP="00485EF7">
            <w:pPr>
              <w:spacing w:line="440" w:lineRule="exact"/>
              <w:jc w:val="right"/>
              <w:rPr>
                <w:rFonts w:hAnsi="標楷體" w:cs="Arial"/>
                <w:bCs/>
                <w:color w:val="000000" w:themeColor="text1"/>
                <w:sz w:val="26"/>
                <w:szCs w:val="26"/>
              </w:rPr>
            </w:pPr>
          </w:p>
        </w:tc>
        <w:tc>
          <w:tcPr>
            <w:tcW w:w="1560" w:type="dxa"/>
            <w:vMerge/>
            <w:shd w:val="clear" w:color="auto" w:fill="E5DFEC" w:themeFill="accent4" w:themeFillTint="33"/>
            <w:vAlign w:val="center"/>
          </w:tcPr>
          <w:p w14:paraId="1BE20AC7" w14:textId="77777777" w:rsidR="007733DE" w:rsidRPr="008B619A" w:rsidRDefault="007733DE" w:rsidP="00485EF7">
            <w:pPr>
              <w:spacing w:line="440" w:lineRule="exact"/>
              <w:jc w:val="right"/>
              <w:rPr>
                <w:rFonts w:hAnsi="標楷體" w:cs="Arial"/>
                <w:bCs/>
                <w:color w:val="000000" w:themeColor="text1"/>
                <w:sz w:val="26"/>
                <w:szCs w:val="26"/>
              </w:rPr>
            </w:pPr>
          </w:p>
        </w:tc>
        <w:tc>
          <w:tcPr>
            <w:tcW w:w="1417" w:type="dxa"/>
            <w:shd w:val="clear" w:color="auto" w:fill="FFF2CC"/>
            <w:vAlign w:val="center"/>
          </w:tcPr>
          <w:p w14:paraId="49C44152" w14:textId="77777777" w:rsidR="007733DE" w:rsidRPr="008B619A" w:rsidRDefault="007733DE" w:rsidP="00485EF7">
            <w:pPr>
              <w:spacing w:line="440" w:lineRule="exact"/>
              <w:jc w:val="center"/>
              <w:rPr>
                <w:rFonts w:hAnsi="標楷體" w:cs="Arial"/>
                <w:bCs/>
                <w:color w:val="000000" w:themeColor="text1"/>
                <w:sz w:val="26"/>
                <w:szCs w:val="26"/>
              </w:rPr>
            </w:pPr>
            <w:r w:rsidRPr="008B619A">
              <w:rPr>
                <w:rFonts w:hAnsi="標楷體" w:cs="Arial"/>
                <w:bCs/>
                <w:color w:val="000000" w:themeColor="text1"/>
                <w:sz w:val="26"/>
                <w:szCs w:val="26"/>
              </w:rPr>
              <w:t>社會類</w:t>
            </w:r>
          </w:p>
        </w:tc>
        <w:tc>
          <w:tcPr>
            <w:tcW w:w="1701" w:type="dxa"/>
            <w:shd w:val="clear" w:color="auto" w:fill="FFF2CC"/>
            <w:vAlign w:val="center"/>
          </w:tcPr>
          <w:p w14:paraId="090AB624" w14:textId="77777777" w:rsidR="007733DE" w:rsidRPr="008B619A" w:rsidRDefault="007733DE" w:rsidP="00485EF7">
            <w:pPr>
              <w:spacing w:line="440" w:lineRule="exact"/>
              <w:jc w:val="right"/>
              <w:rPr>
                <w:rFonts w:hAnsi="標楷體" w:cs="Arial"/>
                <w:bCs/>
                <w:color w:val="000000" w:themeColor="text1"/>
                <w:sz w:val="26"/>
                <w:szCs w:val="26"/>
              </w:rPr>
            </w:pPr>
            <w:r w:rsidRPr="008B619A">
              <w:rPr>
                <w:rFonts w:hAnsi="標楷體" w:cs="Arial" w:hint="eastAsia"/>
                <w:bCs/>
                <w:color w:val="000000" w:themeColor="text1"/>
                <w:sz w:val="26"/>
                <w:szCs w:val="26"/>
              </w:rPr>
              <w:t>24,073</w:t>
            </w:r>
          </w:p>
        </w:tc>
        <w:tc>
          <w:tcPr>
            <w:tcW w:w="1734" w:type="dxa"/>
            <w:shd w:val="clear" w:color="auto" w:fill="FFF2CC"/>
            <w:vAlign w:val="center"/>
          </w:tcPr>
          <w:p w14:paraId="7AFA4443" w14:textId="77777777" w:rsidR="007733DE" w:rsidRPr="008B619A" w:rsidRDefault="007733DE" w:rsidP="00485EF7">
            <w:pPr>
              <w:spacing w:line="440" w:lineRule="exact"/>
              <w:jc w:val="right"/>
              <w:rPr>
                <w:rFonts w:hAnsi="標楷體" w:cs="Arial"/>
                <w:bCs/>
                <w:color w:val="000000" w:themeColor="text1"/>
                <w:sz w:val="26"/>
                <w:szCs w:val="26"/>
              </w:rPr>
            </w:pPr>
            <w:r w:rsidRPr="008B619A">
              <w:rPr>
                <w:rFonts w:hAnsi="標楷體" w:cs="Arial"/>
                <w:bCs/>
                <w:color w:val="000000" w:themeColor="text1"/>
                <w:sz w:val="26"/>
                <w:szCs w:val="26"/>
              </w:rPr>
              <w:t>1,057</w:t>
            </w:r>
          </w:p>
        </w:tc>
      </w:tr>
      <w:tr w:rsidR="007733DE" w:rsidRPr="008B619A" w14:paraId="41510350" w14:textId="77777777" w:rsidTr="00401B8D">
        <w:trPr>
          <w:trHeight w:val="20"/>
        </w:trPr>
        <w:tc>
          <w:tcPr>
            <w:tcW w:w="1106" w:type="dxa"/>
            <w:vMerge/>
            <w:shd w:val="clear" w:color="auto" w:fill="FFF2CC"/>
            <w:vAlign w:val="center"/>
          </w:tcPr>
          <w:p w14:paraId="6CD7EA6E" w14:textId="77777777" w:rsidR="007733DE" w:rsidRPr="008B619A" w:rsidRDefault="007733DE" w:rsidP="00485EF7">
            <w:pPr>
              <w:spacing w:line="440" w:lineRule="exact"/>
              <w:jc w:val="center"/>
              <w:rPr>
                <w:rFonts w:hAnsi="標楷體" w:cs="Arial"/>
                <w:b/>
                <w:bCs/>
                <w:color w:val="000000" w:themeColor="text1"/>
                <w:sz w:val="26"/>
                <w:szCs w:val="26"/>
              </w:rPr>
            </w:pPr>
          </w:p>
        </w:tc>
        <w:tc>
          <w:tcPr>
            <w:tcW w:w="1842" w:type="dxa"/>
            <w:vMerge/>
            <w:shd w:val="clear" w:color="auto" w:fill="FFF2CC"/>
            <w:vAlign w:val="center"/>
          </w:tcPr>
          <w:p w14:paraId="3249716D" w14:textId="77777777" w:rsidR="007733DE" w:rsidRPr="008B619A" w:rsidRDefault="007733DE" w:rsidP="00485EF7">
            <w:pPr>
              <w:spacing w:line="440" w:lineRule="exact"/>
              <w:jc w:val="right"/>
              <w:rPr>
                <w:rFonts w:hAnsi="標楷體" w:cs="Arial"/>
                <w:bCs/>
                <w:color w:val="000000" w:themeColor="text1"/>
                <w:sz w:val="26"/>
                <w:szCs w:val="26"/>
              </w:rPr>
            </w:pPr>
          </w:p>
        </w:tc>
        <w:tc>
          <w:tcPr>
            <w:tcW w:w="1560" w:type="dxa"/>
            <w:vMerge/>
            <w:shd w:val="clear" w:color="auto" w:fill="E5DFEC" w:themeFill="accent4" w:themeFillTint="33"/>
            <w:vAlign w:val="center"/>
          </w:tcPr>
          <w:p w14:paraId="469138FD" w14:textId="77777777" w:rsidR="007733DE" w:rsidRPr="008B619A" w:rsidRDefault="007733DE" w:rsidP="00485EF7">
            <w:pPr>
              <w:spacing w:line="440" w:lineRule="exact"/>
              <w:jc w:val="right"/>
              <w:rPr>
                <w:rFonts w:hAnsi="標楷體" w:cs="Arial"/>
                <w:bCs/>
                <w:color w:val="000000" w:themeColor="text1"/>
                <w:sz w:val="26"/>
                <w:szCs w:val="26"/>
              </w:rPr>
            </w:pPr>
          </w:p>
        </w:tc>
        <w:tc>
          <w:tcPr>
            <w:tcW w:w="1417" w:type="dxa"/>
            <w:shd w:val="clear" w:color="auto" w:fill="FFF2CC"/>
            <w:vAlign w:val="center"/>
          </w:tcPr>
          <w:p w14:paraId="4C442C4F" w14:textId="77777777" w:rsidR="007733DE" w:rsidRPr="008B619A" w:rsidRDefault="007733DE" w:rsidP="00485EF7">
            <w:pPr>
              <w:spacing w:line="440" w:lineRule="exact"/>
              <w:jc w:val="center"/>
              <w:rPr>
                <w:rFonts w:hAnsi="標楷體" w:cs="Arial"/>
                <w:bCs/>
                <w:color w:val="000000" w:themeColor="text1"/>
                <w:sz w:val="26"/>
                <w:szCs w:val="26"/>
              </w:rPr>
            </w:pPr>
            <w:r w:rsidRPr="008B619A">
              <w:rPr>
                <w:rFonts w:hAnsi="標楷體" w:cs="Arial"/>
                <w:bCs/>
                <w:color w:val="000000" w:themeColor="text1"/>
                <w:sz w:val="26"/>
                <w:szCs w:val="26"/>
              </w:rPr>
              <w:t>科技類</w:t>
            </w:r>
          </w:p>
        </w:tc>
        <w:tc>
          <w:tcPr>
            <w:tcW w:w="1701" w:type="dxa"/>
            <w:shd w:val="clear" w:color="auto" w:fill="FFF2CC"/>
            <w:vAlign w:val="center"/>
          </w:tcPr>
          <w:p w14:paraId="6E64A9D7" w14:textId="77777777" w:rsidR="007733DE" w:rsidRPr="008B619A" w:rsidRDefault="007733DE" w:rsidP="00485EF7">
            <w:pPr>
              <w:spacing w:line="440" w:lineRule="exact"/>
              <w:jc w:val="right"/>
              <w:rPr>
                <w:rFonts w:hAnsi="標楷體" w:cs="Arial"/>
                <w:bCs/>
                <w:color w:val="000000" w:themeColor="text1"/>
                <w:sz w:val="26"/>
                <w:szCs w:val="26"/>
              </w:rPr>
            </w:pPr>
            <w:r w:rsidRPr="008B619A">
              <w:rPr>
                <w:rFonts w:hAnsi="標楷體" w:cs="Arial" w:hint="eastAsia"/>
                <w:bCs/>
                <w:color w:val="000000" w:themeColor="text1"/>
                <w:sz w:val="26"/>
                <w:szCs w:val="26"/>
              </w:rPr>
              <w:t>24,751</w:t>
            </w:r>
          </w:p>
        </w:tc>
        <w:tc>
          <w:tcPr>
            <w:tcW w:w="1734" w:type="dxa"/>
            <w:shd w:val="clear" w:color="auto" w:fill="FFF2CC"/>
            <w:vAlign w:val="center"/>
          </w:tcPr>
          <w:p w14:paraId="26D48076" w14:textId="77777777" w:rsidR="007733DE" w:rsidRPr="008B619A" w:rsidRDefault="007733DE" w:rsidP="00485EF7">
            <w:pPr>
              <w:spacing w:line="440" w:lineRule="exact"/>
              <w:jc w:val="right"/>
              <w:rPr>
                <w:rFonts w:hAnsi="標楷體" w:cs="Arial"/>
                <w:bCs/>
                <w:color w:val="000000" w:themeColor="text1"/>
                <w:sz w:val="26"/>
                <w:szCs w:val="26"/>
              </w:rPr>
            </w:pPr>
            <w:r w:rsidRPr="008B619A">
              <w:rPr>
                <w:rFonts w:hAnsi="標楷體" w:cs="Arial"/>
                <w:bCs/>
                <w:color w:val="000000" w:themeColor="text1"/>
                <w:sz w:val="26"/>
                <w:szCs w:val="26"/>
              </w:rPr>
              <w:t>3,508</w:t>
            </w:r>
          </w:p>
        </w:tc>
      </w:tr>
      <w:tr w:rsidR="007733DE" w:rsidRPr="008B619A" w14:paraId="792654CF" w14:textId="77777777" w:rsidTr="00401B8D">
        <w:trPr>
          <w:trHeight w:val="20"/>
        </w:trPr>
        <w:tc>
          <w:tcPr>
            <w:tcW w:w="1106" w:type="dxa"/>
            <w:vMerge w:val="restart"/>
            <w:shd w:val="clear" w:color="auto" w:fill="auto"/>
            <w:vAlign w:val="center"/>
          </w:tcPr>
          <w:p w14:paraId="5BF8E2BC" w14:textId="77777777" w:rsidR="007733DE" w:rsidRPr="008B619A" w:rsidRDefault="007733DE" w:rsidP="00485EF7">
            <w:pPr>
              <w:spacing w:line="440" w:lineRule="exact"/>
              <w:jc w:val="center"/>
              <w:rPr>
                <w:rFonts w:hAnsi="標楷體" w:cs="Arial"/>
                <w:b/>
                <w:bCs/>
                <w:color w:val="000000" w:themeColor="text1"/>
                <w:sz w:val="26"/>
                <w:szCs w:val="26"/>
              </w:rPr>
            </w:pPr>
            <w:r w:rsidRPr="008B619A">
              <w:rPr>
                <w:rFonts w:hAnsi="標楷體" w:cs="Arial"/>
                <w:b/>
                <w:bCs/>
                <w:color w:val="000000" w:themeColor="text1"/>
                <w:sz w:val="26"/>
                <w:szCs w:val="26"/>
              </w:rPr>
              <w:t>107</w:t>
            </w:r>
          </w:p>
        </w:tc>
        <w:tc>
          <w:tcPr>
            <w:tcW w:w="1842" w:type="dxa"/>
            <w:vMerge w:val="restart"/>
            <w:shd w:val="clear" w:color="auto" w:fill="auto"/>
            <w:vAlign w:val="center"/>
          </w:tcPr>
          <w:p w14:paraId="761F3BDB" w14:textId="77777777" w:rsidR="007733DE" w:rsidRPr="008B619A" w:rsidRDefault="007733DE" w:rsidP="00485EF7">
            <w:pPr>
              <w:spacing w:line="440" w:lineRule="exact"/>
              <w:jc w:val="right"/>
              <w:rPr>
                <w:rFonts w:hAnsi="標楷體" w:cs="Arial"/>
                <w:bCs/>
                <w:color w:val="000000" w:themeColor="text1"/>
                <w:sz w:val="26"/>
                <w:szCs w:val="26"/>
              </w:rPr>
            </w:pPr>
            <w:r w:rsidRPr="008B619A">
              <w:rPr>
                <w:rFonts w:hAnsi="標楷體" w:cs="Arial"/>
                <w:bCs/>
                <w:color w:val="000000" w:themeColor="text1"/>
                <w:sz w:val="26"/>
                <w:szCs w:val="26"/>
              </w:rPr>
              <w:t>61,201</w:t>
            </w:r>
          </w:p>
        </w:tc>
        <w:tc>
          <w:tcPr>
            <w:tcW w:w="1560" w:type="dxa"/>
            <w:vMerge w:val="restart"/>
            <w:shd w:val="clear" w:color="auto" w:fill="E5DFEC" w:themeFill="accent4" w:themeFillTint="33"/>
            <w:vAlign w:val="center"/>
          </w:tcPr>
          <w:p w14:paraId="2748408A" w14:textId="77777777" w:rsidR="007733DE" w:rsidRPr="008B619A" w:rsidRDefault="007733DE" w:rsidP="00485EF7">
            <w:pPr>
              <w:spacing w:line="440" w:lineRule="exact"/>
              <w:jc w:val="right"/>
              <w:rPr>
                <w:rFonts w:hAnsi="標楷體" w:cs="Arial"/>
                <w:bCs/>
                <w:color w:val="000000" w:themeColor="text1"/>
                <w:sz w:val="26"/>
                <w:szCs w:val="26"/>
              </w:rPr>
            </w:pPr>
            <w:r w:rsidRPr="008B619A">
              <w:rPr>
                <w:rFonts w:hAnsi="標楷體" w:cs="Arial"/>
                <w:bCs/>
                <w:color w:val="000000" w:themeColor="text1"/>
                <w:sz w:val="26"/>
                <w:szCs w:val="26"/>
              </w:rPr>
              <w:t>4,827</w:t>
            </w:r>
          </w:p>
          <w:p w14:paraId="19E0AAE7" w14:textId="77777777" w:rsidR="007733DE" w:rsidRPr="008B619A" w:rsidRDefault="007733DE" w:rsidP="00485EF7">
            <w:pPr>
              <w:spacing w:line="440" w:lineRule="exact"/>
              <w:jc w:val="right"/>
              <w:rPr>
                <w:rFonts w:hAnsi="標楷體" w:cs="Arial"/>
                <w:bCs/>
                <w:color w:val="000000" w:themeColor="text1"/>
                <w:sz w:val="26"/>
                <w:szCs w:val="26"/>
              </w:rPr>
            </w:pPr>
            <w:r w:rsidRPr="008B619A">
              <w:rPr>
                <w:rFonts w:hAnsi="標楷體" w:cs="Arial"/>
                <w:bCs/>
                <w:color w:val="000000" w:themeColor="text1"/>
                <w:sz w:val="26"/>
                <w:szCs w:val="26"/>
              </w:rPr>
              <w:t>(7.89%)</w:t>
            </w:r>
          </w:p>
        </w:tc>
        <w:tc>
          <w:tcPr>
            <w:tcW w:w="1417" w:type="dxa"/>
            <w:shd w:val="clear" w:color="auto" w:fill="auto"/>
            <w:vAlign w:val="center"/>
          </w:tcPr>
          <w:p w14:paraId="5B091F4E" w14:textId="77777777" w:rsidR="007733DE" w:rsidRPr="008B619A" w:rsidRDefault="007733DE" w:rsidP="00485EF7">
            <w:pPr>
              <w:spacing w:line="440" w:lineRule="exact"/>
              <w:jc w:val="center"/>
              <w:rPr>
                <w:rFonts w:hAnsi="標楷體" w:cs="Arial"/>
                <w:bCs/>
                <w:color w:val="000000" w:themeColor="text1"/>
                <w:sz w:val="26"/>
                <w:szCs w:val="26"/>
              </w:rPr>
            </w:pPr>
            <w:r w:rsidRPr="008B619A">
              <w:rPr>
                <w:rFonts w:hAnsi="標楷體" w:cs="Arial"/>
                <w:bCs/>
                <w:color w:val="000000" w:themeColor="text1"/>
                <w:sz w:val="26"/>
                <w:szCs w:val="26"/>
              </w:rPr>
              <w:t>人文類</w:t>
            </w:r>
          </w:p>
        </w:tc>
        <w:tc>
          <w:tcPr>
            <w:tcW w:w="1701" w:type="dxa"/>
            <w:shd w:val="clear" w:color="auto" w:fill="auto"/>
            <w:vAlign w:val="center"/>
          </w:tcPr>
          <w:p w14:paraId="0802E6CE" w14:textId="77777777" w:rsidR="007733DE" w:rsidRPr="008B619A" w:rsidRDefault="007733DE" w:rsidP="00485EF7">
            <w:pPr>
              <w:spacing w:line="440" w:lineRule="exact"/>
              <w:jc w:val="right"/>
              <w:rPr>
                <w:rFonts w:hAnsi="標楷體" w:cs="Arial"/>
                <w:bCs/>
                <w:color w:val="000000" w:themeColor="text1"/>
                <w:sz w:val="26"/>
                <w:szCs w:val="26"/>
              </w:rPr>
            </w:pPr>
            <w:r w:rsidRPr="008B619A">
              <w:rPr>
                <w:rFonts w:hAnsi="標楷體" w:cs="Arial" w:hint="eastAsia"/>
                <w:bCs/>
                <w:color w:val="000000" w:themeColor="text1"/>
                <w:sz w:val="26"/>
                <w:szCs w:val="26"/>
              </w:rPr>
              <w:t>14,010</w:t>
            </w:r>
          </w:p>
        </w:tc>
        <w:tc>
          <w:tcPr>
            <w:tcW w:w="1734" w:type="dxa"/>
            <w:shd w:val="clear" w:color="auto" w:fill="auto"/>
            <w:vAlign w:val="center"/>
          </w:tcPr>
          <w:p w14:paraId="725D1CCA" w14:textId="77777777" w:rsidR="007733DE" w:rsidRPr="008B619A" w:rsidRDefault="007733DE" w:rsidP="00485EF7">
            <w:pPr>
              <w:spacing w:line="440" w:lineRule="exact"/>
              <w:jc w:val="right"/>
              <w:rPr>
                <w:rFonts w:hAnsi="標楷體" w:cs="Arial"/>
                <w:bCs/>
                <w:color w:val="000000" w:themeColor="text1"/>
                <w:sz w:val="26"/>
                <w:szCs w:val="26"/>
              </w:rPr>
            </w:pPr>
            <w:r w:rsidRPr="008B619A">
              <w:rPr>
                <w:rFonts w:hAnsi="標楷體" w:cs="Arial"/>
                <w:bCs/>
                <w:color w:val="000000" w:themeColor="text1"/>
                <w:sz w:val="26"/>
                <w:szCs w:val="26"/>
              </w:rPr>
              <w:t>823</w:t>
            </w:r>
          </w:p>
        </w:tc>
      </w:tr>
      <w:tr w:rsidR="007733DE" w:rsidRPr="008B619A" w14:paraId="241C6960" w14:textId="77777777" w:rsidTr="00401B8D">
        <w:trPr>
          <w:trHeight w:val="20"/>
        </w:trPr>
        <w:tc>
          <w:tcPr>
            <w:tcW w:w="1106" w:type="dxa"/>
            <w:vMerge/>
            <w:shd w:val="clear" w:color="auto" w:fill="auto"/>
            <w:vAlign w:val="center"/>
          </w:tcPr>
          <w:p w14:paraId="4E908AE6" w14:textId="77777777" w:rsidR="007733DE" w:rsidRPr="008B619A" w:rsidRDefault="007733DE" w:rsidP="00485EF7">
            <w:pPr>
              <w:spacing w:line="440" w:lineRule="exact"/>
              <w:jc w:val="center"/>
              <w:rPr>
                <w:rFonts w:hAnsi="標楷體" w:cs="Arial"/>
                <w:b/>
                <w:bCs/>
                <w:color w:val="000000" w:themeColor="text1"/>
                <w:sz w:val="26"/>
                <w:szCs w:val="26"/>
              </w:rPr>
            </w:pPr>
          </w:p>
        </w:tc>
        <w:tc>
          <w:tcPr>
            <w:tcW w:w="1842" w:type="dxa"/>
            <w:vMerge/>
            <w:shd w:val="clear" w:color="auto" w:fill="auto"/>
            <w:vAlign w:val="center"/>
          </w:tcPr>
          <w:p w14:paraId="1A2D8395" w14:textId="77777777" w:rsidR="007733DE" w:rsidRPr="008B619A" w:rsidRDefault="007733DE" w:rsidP="00485EF7">
            <w:pPr>
              <w:spacing w:line="440" w:lineRule="exact"/>
              <w:jc w:val="right"/>
              <w:rPr>
                <w:rFonts w:hAnsi="標楷體" w:cs="Arial"/>
                <w:bCs/>
                <w:color w:val="000000" w:themeColor="text1"/>
                <w:sz w:val="26"/>
                <w:szCs w:val="26"/>
              </w:rPr>
            </w:pPr>
          </w:p>
        </w:tc>
        <w:tc>
          <w:tcPr>
            <w:tcW w:w="1560" w:type="dxa"/>
            <w:vMerge/>
            <w:shd w:val="clear" w:color="auto" w:fill="E5DFEC" w:themeFill="accent4" w:themeFillTint="33"/>
            <w:vAlign w:val="center"/>
          </w:tcPr>
          <w:p w14:paraId="5F1D9F6D" w14:textId="77777777" w:rsidR="007733DE" w:rsidRPr="008B619A" w:rsidRDefault="007733DE" w:rsidP="00485EF7">
            <w:pPr>
              <w:spacing w:line="440" w:lineRule="exact"/>
              <w:jc w:val="right"/>
              <w:rPr>
                <w:rFonts w:hAnsi="標楷體" w:cs="Arial"/>
                <w:bCs/>
                <w:color w:val="000000" w:themeColor="text1"/>
                <w:sz w:val="26"/>
                <w:szCs w:val="26"/>
              </w:rPr>
            </w:pPr>
          </w:p>
        </w:tc>
        <w:tc>
          <w:tcPr>
            <w:tcW w:w="1417" w:type="dxa"/>
            <w:shd w:val="clear" w:color="auto" w:fill="auto"/>
            <w:vAlign w:val="center"/>
          </w:tcPr>
          <w:p w14:paraId="0E7A1090" w14:textId="77777777" w:rsidR="007733DE" w:rsidRPr="008B619A" w:rsidRDefault="007733DE" w:rsidP="00485EF7">
            <w:pPr>
              <w:spacing w:line="440" w:lineRule="exact"/>
              <w:jc w:val="center"/>
              <w:rPr>
                <w:rFonts w:hAnsi="標楷體" w:cs="Arial"/>
                <w:bCs/>
                <w:color w:val="000000" w:themeColor="text1"/>
                <w:sz w:val="26"/>
                <w:szCs w:val="26"/>
              </w:rPr>
            </w:pPr>
            <w:r w:rsidRPr="008B619A">
              <w:rPr>
                <w:rFonts w:hAnsi="標楷體" w:cs="Arial"/>
                <w:bCs/>
                <w:color w:val="000000" w:themeColor="text1"/>
                <w:sz w:val="26"/>
                <w:szCs w:val="26"/>
              </w:rPr>
              <w:t>社會類</w:t>
            </w:r>
          </w:p>
        </w:tc>
        <w:tc>
          <w:tcPr>
            <w:tcW w:w="1701" w:type="dxa"/>
            <w:shd w:val="clear" w:color="auto" w:fill="auto"/>
            <w:vAlign w:val="center"/>
          </w:tcPr>
          <w:p w14:paraId="7BDA105E" w14:textId="77777777" w:rsidR="007733DE" w:rsidRPr="008B619A" w:rsidRDefault="007733DE" w:rsidP="00485EF7">
            <w:pPr>
              <w:spacing w:line="440" w:lineRule="exact"/>
              <w:jc w:val="right"/>
              <w:rPr>
                <w:rFonts w:hAnsi="標楷體" w:cs="Arial"/>
                <w:bCs/>
                <w:color w:val="000000" w:themeColor="text1"/>
                <w:sz w:val="26"/>
                <w:szCs w:val="26"/>
              </w:rPr>
            </w:pPr>
            <w:r w:rsidRPr="008B619A">
              <w:rPr>
                <w:rFonts w:hAnsi="標楷體" w:cs="Arial" w:hint="eastAsia"/>
                <w:bCs/>
                <w:color w:val="000000" w:themeColor="text1"/>
                <w:sz w:val="26"/>
                <w:szCs w:val="26"/>
              </w:rPr>
              <w:t>23,664</w:t>
            </w:r>
          </w:p>
        </w:tc>
        <w:tc>
          <w:tcPr>
            <w:tcW w:w="1734" w:type="dxa"/>
            <w:shd w:val="clear" w:color="auto" w:fill="auto"/>
            <w:vAlign w:val="center"/>
          </w:tcPr>
          <w:p w14:paraId="77B2DEDB" w14:textId="77777777" w:rsidR="007733DE" w:rsidRPr="008B619A" w:rsidRDefault="007733DE" w:rsidP="00485EF7">
            <w:pPr>
              <w:spacing w:line="440" w:lineRule="exact"/>
              <w:jc w:val="right"/>
              <w:rPr>
                <w:rFonts w:hAnsi="標楷體" w:cs="Arial"/>
                <w:bCs/>
                <w:color w:val="000000" w:themeColor="text1"/>
                <w:sz w:val="26"/>
                <w:szCs w:val="26"/>
              </w:rPr>
            </w:pPr>
            <w:r w:rsidRPr="008B619A">
              <w:rPr>
                <w:rFonts w:hAnsi="標楷體" w:cs="Arial"/>
                <w:bCs/>
                <w:color w:val="000000" w:themeColor="text1"/>
                <w:sz w:val="26"/>
                <w:szCs w:val="26"/>
              </w:rPr>
              <w:t>930</w:t>
            </w:r>
          </w:p>
        </w:tc>
      </w:tr>
      <w:tr w:rsidR="007733DE" w:rsidRPr="008B619A" w14:paraId="724FEB0E" w14:textId="77777777" w:rsidTr="00401B8D">
        <w:trPr>
          <w:trHeight w:val="20"/>
        </w:trPr>
        <w:tc>
          <w:tcPr>
            <w:tcW w:w="1106" w:type="dxa"/>
            <w:vMerge/>
            <w:shd w:val="clear" w:color="auto" w:fill="auto"/>
            <w:vAlign w:val="center"/>
          </w:tcPr>
          <w:p w14:paraId="71035E6A" w14:textId="77777777" w:rsidR="007733DE" w:rsidRPr="008B619A" w:rsidRDefault="007733DE" w:rsidP="00485EF7">
            <w:pPr>
              <w:spacing w:line="440" w:lineRule="exact"/>
              <w:jc w:val="center"/>
              <w:rPr>
                <w:rFonts w:hAnsi="標楷體" w:cs="Arial"/>
                <w:b/>
                <w:bCs/>
                <w:color w:val="000000" w:themeColor="text1"/>
                <w:sz w:val="26"/>
                <w:szCs w:val="26"/>
              </w:rPr>
            </w:pPr>
          </w:p>
        </w:tc>
        <w:tc>
          <w:tcPr>
            <w:tcW w:w="1842" w:type="dxa"/>
            <w:vMerge/>
            <w:shd w:val="clear" w:color="auto" w:fill="auto"/>
            <w:vAlign w:val="center"/>
          </w:tcPr>
          <w:p w14:paraId="294A00D8" w14:textId="77777777" w:rsidR="007733DE" w:rsidRPr="008B619A" w:rsidRDefault="007733DE" w:rsidP="00485EF7">
            <w:pPr>
              <w:spacing w:line="440" w:lineRule="exact"/>
              <w:jc w:val="right"/>
              <w:rPr>
                <w:rFonts w:hAnsi="標楷體" w:cs="Arial"/>
                <w:bCs/>
                <w:color w:val="000000" w:themeColor="text1"/>
                <w:sz w:val="26"/>
                <w:szCs w:val="26"/>
              </w:rPr>
            </w:pPr>
          </w:p>
        </w:tc>
        <w:tc>
          <w:tcPr>
            <w:tcW w:w="1560" w:type="dxa"/>
            <w:vMerge/>
            <w:shd w:val="clear" w:color="auto" w:fill="E5DFEC" w:themeFill="accent4" w:themeFillTint="33"/>
            <w:vAlign w:val="center"/>
          </w:tcPr>
          <w:p w14:paraId="170F2D85" w14:textId="77777777" w:rsidR="007733DE" w:rsidRPr="008B619A" w:rsidRDefault="007733DE" w:rsidP="00485EF7">
            <w:pPr>
              <w:spacing w:line="440" w:lineRule="exact"/>
              <w:jc w:val="right"/>
              <w:rPr>
                <w:rFonts w:hAnsi="標楷體" w:cs="Arial"/>
                <w:bCs/>
                <w:color w:val="000000" w:themeColor="text1"/>
                <w:sz w:val="26"/>
                <w:szCs w:val="26"/>
              </w:rPr>
            </w:pPr>
          </w:p>
        </w:tc>
        <w:tc>
          <w:tcPr>
            <w:tcW w:w="1417" w:type="dxa"/>
            <w:shd w:val="clear" w:color="auto" w:fill="auto"/>
            <w:vAlign w:val="center"/>
          </w:tcPr>
          <w:p w14:paraId="3C5212FF" w14:textId="77777777" w:rsidR="007733DE" w:rsidRPr="008B619A" w:rsidRDefault="007733DE" w:rsidP="00485EF7">
            <w:pPr>
              <w:spacing w:line="440" w:lineRule="exact"/>
              <w:jc w:val="center"/>
              <w:rPr>
                <w:rFonts w:hAnsi="標楷體" w:cs="Arial"/>
                <w:bCs/>
                <w:color w:val="000000" w:themeColor="text1"/>
                <w:sz w:val="26"/>
                <w:szCs w:val="26"/>
              </w:rPr>
            </w:pPr>
            <w:r w:rsidRPr="008B619A">
              <w:rPr>
                <w:rFonts w:hAnsi="標楷體" w:cs="Arial"/>
                <w:bCs/>
                <w:color w:val="000000" w:themeColor="text1"/>
                <w:sz w:val="26"/>
                <w:szCs w:val="26"/>
              </w:rPr>
              <w:t>科技類</w:t>
            </w:r>
          </w:p>
        </w:tc>
        <w:tc>
          <w:tcPr>
            <w:tcW w:w="1701" w:type="dxa"/>
            <w:shd w:val="clear" w:color="auto" w:fill="auto"/>
            <w:vAlign w:val="center"/>
          </w:tcPr>
          <w:p w14:paraId="33AF85A6" w14:textId="77777777" w:rsidR="007733DE" w:rsidRPr="008B619A" w:rsidRDefault="007733DE" w:rsidP="00485EF7">
            <w:pPr>
              <w:spacing w:line="440" w:lineRule="exact"/>
              <w:jc w:val="right"/>
              <w:rPr>
                <w:rFonts w:hAnsi="標楷體" w:cs="Arial"/>
                <w:bCs/>
                <w:color w:val="000000" w:themeColor="text1"/>
                <w:sz w:val="26"/>
                <w:szCs w:val="26"/>
              </w:rPr>
            </w:pPr>
            <w:r w:rsidRPr="008B619A">
              <w:rPr>
                <w:rFonts w:hAnsi="標楷體" w:cs="Arial" w:hint="eastAsia"/>
                <w:bCs/>
                <w:color w:val="000000" w:themeColor="text1"/>
                <w:sz w:val="26"/>
                <w:szCs w:val="26"/>
              </w:rPr>
              <w:t>23,527</w:t>
            </w:r>
          </w:p>
        </w:tc>
        <w:tc>
          <w:tcPr>
            <w:tcW w:w="1734" w:type="dxa"/>
            <w:shd w:val="clear" w:color="auto" w:fill="auto"/>
            <w:vAlign w:val="center"/>
          </w:tcPr>
          <w:p w14:paraId="6FA6EFF1" w14:textId="77777777" w:rsidR="007733DE" w:rsidRPr="008B619A" w:rsidRDefault="007733DE" w:rsidP="00485EF7">
            <w:pPr>
              <w:spacing w:line="440" w:lineRule="exact"/>
              <w:jc w:val="right"/>
              <w:rPr>
                <w:rFonts w:hAnsi="標楷體" w:cs="Arial"/>
                <w:bCs/>
                <w:color w:val="000000" w:themeColor="text1"/>
                <w:sz w:val="26"/>
                <w:szCs w:val="26"/>
              </w:rPr>
            </w:pPr>
            <w:r w:rsidRPr="008B619A">
              <w:rPr>
                <w:rFonts w:hAnsi="標楷體" w:cs="Arial"/>
                <w:bCs/>
                <w:color w:val="000000" w:themeColor="text1"/>
                <w:sz w:val="26"/>
                <w:szCs w:val="26"/>
              </w:rPr>
              <w:t>3,074</w:t>
            </w:r>
          </w:p>
        </w:tc>
      </w:tr>
      <w:tr w:rsidR="007733DE" w:rsidRPr="008B619A" w14:paraId="0D4BD44C" w14:textId="77777777" w:rsidTr="00401B8D">
        <w:trPr>
          <w:trHeight w:val="20"/>
        </w:trPr>
        <w:tc>
          <w:tcPr>
            <w:tcW w:w="1106" w:type="dxa"/>
            <w:vMerge w:val="restart"/>
            <w:shd w:val="clear" w:color="auto" w:fill="FFF2CC"/>
            <w:vAlign w:val="center"/>
          </w:tcPr>
          <w:p w14:paraId="7EF977AF" w14:textId="77777777" w:rsidR="007733DE" w:rsidRPr="008B619A" w:rsidRDefault="007733DE" w:rsidP="00485EF7">
            <w:pPr>
              <w:spacing w:line="440" w:lineRule="exact"/>
              <w:jc w:val="center"/>
              <w:rPr>
                <w:rFonts w:hAnsi="標楷體" w:cs="Arial"/>
                <w:b/>
                <w:bCs/>
                <w:color w:val="000000" w:themeColor="text1"/>
                <w:sz w:val="26"/>
                <w:szCs w:val="26"/>
              </w:rPr>
            </w:pPr>
            <w:r w:rsidRPr="008B619A">
              <w:rPr>
                <w:rFonts w:hAnsi="標楷體" w:cs="Arial"/>
                <w:b/>
                <w:bCs/>
                <w:color w:val="000000" w:themeColor="text1"/>
                <w:sz w:val="26"/>
                <w:szCs w:val="26"/>
              </w:rPr>
              <w:t>98</w:t>
            </w:r>
          </w:p>
        </w:tc>
        <w:tc>
          <w:tcPr>
            <w:tcW w:w="1842" w:type="dxa"/>
            <w:vMerge w:val="restart"/>
            <w:shd w:val="clear" w:color="auto" w:fill="FFF2CC"/>
            <w:vAlign w:val="center"/>
          </w:tcPr>
          <w:p w14:paraId="437181AA" w14:textId="77777777" w:rsidR="007733DE" w:rsidRPr="008B619A" w:rsidRDefault="007733DE" w:rsidP="00485EF7">
            <w:pPr>
              <w:widowControl/>
              <w:spacing w:line="440" w:lineRule="exact"/>
              <w:jc w:val="right"/>
              <w:rPr>
                <w:rFonts w:hAnsi="標楷體" w:cs="Arial"/>
                <w:bCs/>
                <w:color w:val="000000" w:themeColor="text1"/>
                <w:sz w:val="26"/>
                <w:szCs w:val="26"/>
              </w:rPr>
            </w:pPr>
            <w:r w:rsidRPr="008B619A">
              <w:rPr>
                <w:rFonts w:hAnsi="標楷體" w:cs="Arial"/>
                <w:bCs/>
                <w:color w:val="000000" w:themeColor="text1"/>
                <w:sz w:val="26"/>
                <w:szCs w:val="26"/>
              </w:rPr>
              <w:t>19,144</w:t>
            </w:r>
          </w:p>
        </w:tc>
        <w:tc>
          <w:tcPr>
            <w:tcW w:w="1560" w:type="dxa"/>
            <w:vMerge w:val="restart"/>
            <w:shd w:val="clear" w:color="auto" w:fill="E5DFEC" w:themeFill="accent4" w:themeFillTint="33"/>
            <w:vAlign w:val="center"/>
          </w:tcPr>
          <w:p w14:paraId="748831CB" w14:textId="77777777" w:rsidR="007733DE" w:rsidRPr="008B619A" w:rsidRDefault="007733DE" w:rsidP="00485EF7">
            <w:pPr>
              <w:spacing w:line="440" w:lineRule="exact"/>
              <w:jc w:val="right"/>
              <w:rPr>
                <w:rFonts w:hAnsi="標楷體" w:cs="Arial"/>
                <w:bCs/>
                <w:color w:val="000000" w:themeColor="text1"/>
                <w:sz w:val="26"/>
                <w:szCs w:val="26"/>
              </w:rPr>
            </w:pPr>
            <w:r w:rsidRPr="008B619A">
              <w:rPr>
                <w:rFonts w:hAnsi="標楷體" w:cs="Arial"/>
                <w:bCs/>
                <w:color w:val="000000" w:themeColor="text1"/>
                <w:sz w:val="26"/>
                <w:szCs w:val="26"/>
              </w:rPr>
              <w:t>1,228</w:t>
            </w:r>
          </w:p>
          <w:p w14:paraId="27EB2D30" w14:textId="77777777" w:rsidR="007733DE" w:rsidRPr="008B619A" w:rsidRDefault="007733DE" w:rsidP="00485EF7">
            <w:pPr>
              <w:spacing w:line="440" w:lineRule="exact"/>
              <w:jc w:val="right"/>
              <w:rPr>
                <w:rFonts w:hAnsi="標楷體" w:cs="Arial"/>
                <w:bCs/>
                <w:color w:val="000000" w:themeColor="text1"/>
                <w:sz w:val="26"/>
                <w:szCs w:val="26"/>
              </w:rPr>
            </w:pPr>
            <w:r w:rsidRPr="008B619A">
              <w:rPr>
                <w:rFonts w:hAnsi="標楷體" w:cs="Arial"/>
                <w:bCs/>
                <w:color w:val="000000" w:themeColor="text1"/>
                <w:sz w:val="26"/>
                <w:szCs w:val="26"/>
              </w:rPr>
              <w:t>(6.41%)</w:t>
            </w:r>
          </w:p>
        </w:tc>
        <w:tc>
          <w:tcPr>
            <w:tcW w:w="1417" w:type="dxa"/>
            <w:shd w:val="clear" w:color="auto" w:fill="FFF2CC"/>
            <w:vAlign w:val="center"/>
          </w:tcPr>
          <w:p w14:paraId="04314868" w14:textId="77777777" w:rsidR="007733DE" w:rsidRPr="008B619A" w:rsidRDefault="007733DE" w:rsidP="00485EF7">
            <w:pPr>
              <w:spacing w:line="440" w:lineRule="exact"/>
              <w:jc w:val="center"/>
              <w:rPr>
                <w:rFonts w:hAnsi="標楷體" w:cs="Arial"/>
                <w:bCs/>
                <w:color w:val="000000" w:themeColor="text1"/>
                <w:sz w:val="26"/>
                <w:szCs w:val="26"/>
              </w:rPr>
            </w:pPr>
            <w:r w:rsidRPr="008B619A">
              <w:rPr>
                <w:rFonts w:hAnsi="標楷體" w:cs="Arial"/>
                <w:bCs/>
                <w:color w:val="000000" w:themeColor="text1"/>
                <w:sz w:val="26"/>
                <w:szCs w:val="26"/>
              </w:rPr>
              <w:t>人文類</w:t>
            </w:r>
          </w:p>
        </w:tc>
        <w:tc>
          <w:tcPr>
            <w:tcW w:w="3435" w:type="dxa"/>
            <w:gridSpan w:val="2"/>
            <w:vMerge w:val="restart"/>
            <w:shd w:val="clear" w:color="auto" w:fill="FFF2CC"/>
            <w:vAlign w:val="center"/>
          </w:tcPr>
          <w:p w14:paraId="71B37992" w14:textId="77777777" w:rsidR="007733DE" w:rsidRPr="008B619A" w:rsidRDefault="007733DE" w:rsidP="00485EF7">
            <w:pPr>
              <w:spacing w:line="440" w:lineRule="exact"/>
              <w:ind w:firstLineChars="100" w:firstLine="280"/>
              <w:jc w:val="center"/>
              <w:rPr>
                <w:rFonts w:hAnsi="標楷體" w:cs="Arial"/>
                <w:bCs/>
                <w:color w:val="000000" w:themeColor="text1"/>
                <w:sz w:val="26"/>
                <w:szCs w:val="26"/>
              </w:rPr>
            </w:pPr>
            <w:r w:rsidRPr="008B619A">
              <w:rPr>
                <w:rFonts w:hAnsi="標楷體" w:cs="Arial" w:hint="eastAsia"/>
                <w:bCs/>
                <w:color w:val="000000" w:themeColor="text1"/>
                <w:sz w:val="26"/>
                <w:szCs w:val="26"/>
              </w:rPr>
              <w:t>無相關資料</w:t>
            </w:r>
          </w:p>
        </w:tc>
      </w:tr>
      <w:tr w:rsidR="007733DE" w:rsidRPr="008B619A" w14:paraId="14D3D2EF" w14:textId="77777777" w:rsidTr="00401B8D">
        <w:trPr>
          <w:trHeight w:val="20"/>
        </w:trPr>
        <w:tc>
          <w:tcPr>
            <w:tcW w:w="1106" w:type="dxa"/>
            <w:vMerge/>
            <w:shd w:val="clear" w:color="auto" w:fill="FFF2CC"/>
            <w:vAlign w:val="center"/>
          </w:tcPr>
          <w:p w14:paraId="311C1DA2" w14:textId="77777777" w:rsidR="007733DE" w:rsidRPr="008B619A" w:rsidRDefault="007733DE" w:rsidP="00485EF7">
            <w:pPr>
              <w:spacing w:line="440" w:lineRule="exact"/>
              <w:jc w:val="center"/>
              <w:rPr>
                <w:rFonts w:hAnsi="標楷體" w:cs="Arial"/>
                <w:bCs/>
                <w:color w:val="000000" w:themeColor="text1"/>
                <w:sz w:val="26"/>
                <w:szCs w:val="26"/>
              </w:rPr>
            </w:pPr>
          </w:p>
        </w:tc>
        <w:tc>
          <w:tcPr>
            <w:tcW w:w="1842" w:type="dxa"/>
            <w:vMerge/>
            <w:shd w:val="clear" w:color="auto" w:fill="FFF2CC"/>
            <w:vAlign w:val="center"/>
          </w:tcPr>
          <w:p w14:paraId="1EA9A845" w14:textId="77777777" w:rsidR="007733DE" w:rsidRPr="008B619A" w:rsidRDefault="007733DE" w:rsidP="00485EF7">
            <w:pPr>
              <w:spacing w:line="440" w:lineRule="exact"/>
              <w:jc w:val="right"/>
              <w:rPr>
                <w:rFonts w:hAnsi="標楷體" w:cs="Arial"/>
                <w:bCs/>
                <w:color w:val="000000" w:themeColor="text1"/>
                <w:sz w:val="26"/>
                <w:szCs w:val="26"/>
              </w:rPr>
            </w:pPr>
          </w:p>
        </w:tc>
        <w:tc>
          <w:tcPr>
            <w:tcW w:w="1560" w:type="dxa"/>
            <w:vMerge/>
            <w:shd w:val="clear" w:color="auto" w:fill="E5DFEC" w:themeFill="accent4" w:themeFillTint="33"/>
            <w:vAlign w:val="center"/>
          </w:tcPr>
          <w:p w14:paraId="6DA91F6D" w14:textId="77777777" w:rsidR="007733DE" w:rsidRPr="008B619A" w:rsidRDefault="007733DE" w:rsidP="00485EF7">
            <w:pPr>
              <w:spacing w:line="440" w:lineRule="exact"/>
              <w:jc w:val="right"/>
              <w:rPr>
                <w:rFonts w:hAnsi="標楷體" w:cs="Arial"/>
                <w:bCs/>
                <w:color w:val="000000" w:themeColor="text1"/>
                <w:sz w:val="26"/>
                <w:szCs w:val="26"/>
              </w:rPr>
            </w:pPr>
          </w:p>
        </w:tc>
        <w:tc>
          <w:tcPr>
            <w:tcW w:w="1417" w:type="dxa"/>
            <w:shd w:val="clear" w:color="auto" w:fill="FFF2CC"/>
            <w:vAlign w:val="center"/>
          </w:tcPr>
          <w:p w14:paraId="0C2799ED" w14:textId="77777777" w:rsidR="007733DE" w:rsidRPr="008B619A" w:rsidRDefault="007733DE" w:rsidP="00485EF7">
            <w:pPr>
              <w:spacing w:line="440" w:lineRule="exact"/>
              <w:jc w:val="center"/>
              <w:rPr>
                <w:rFonts w:hAnsi="標楷體" w:cs="Arial"/>
                <w:bCs/>
                <w:color w:val="000000" w:themeColor="text1"/>
                <w:sz w:val="26"/>
                <w:szCs w:val="26"/>
              </w:rPr>
            </w:pPr>
            <w:r w:rsidRPr="008B619A">
              <w:rPr>
                <w:rFonts w:hAnsi="標楷體" w:cs="Arial"/>
                <w:bCs/>
                <w:color w:val="000000" w:themeColor="text1"/>
                <w:sz w:val="26"/>
                <w:szCs w:val="26"/>
              </w:rPr>
              <w:t>社會類</w:t>
            </w:r>
          </w:p>
        </w:tc>
        <w:tc>
          <w:tcPr>
            <w:tcW w:w="3435" w:type="dxa"/>
            <w:gridSpan w:val="2"/>
            <w:vMerge/>
            <w:shd w:val="clear" w:color="auto" w:fill="FFF2CC"/>
            <w:vAlign w:val="center"/>
          </w:tcPr>
          <w:p w14:paraId="6648E05A" w14:textId="77777777" w:rsidR="007733DE" w:rsidRPr="008B619A" w:rsidRDefault="007733DE" w:rsidP="00485EF7">
            <w:pPr>
              <w:spacing w:line="440" w:lineRule="exact"/>
              <w:jc w:val="right"/>
              <w:rPr>
                <w:rFonts w:hAnsi="標楷體" w:cs="Arial"/>
                <w:bCs/>
                <w:color w:val="000000" w:themeColor="text1"/>
                <w:sz w:val="26"/>
                <w:szCs w:val="26"/>
              </w:rPr>
            </w:pPr>
          </w:p>
        </w:tc>
      </w:tr>
      <w:tr w:rsidR="007733DE" w:rsidRPr="008B619A" w14:paraId="71B4A629" w14:textId="77777777" w:rsidTr="00401B8D">
        <w:trPr>
          <w:trHeight w:val="20"/>
        </w:trPr>
        <w:tc>
          <w:tcPr>
            <w:tcW w:w="1106" w:type="dxa"/>
            <w:vMerge/>
            <w:shd w:val="clear" w:color="auto" w:fill="FFF2CC"/>
            <w:vAlign w:val="center"/>
          </w:tcPr>
          <w:p w14:paraId="1D4FE66E" w14:textId="77777777" w:rsidR="007733DE" w:rsidRPr="008B619A" w:rsidRDefault="007733DE" w:rsidP="00485EF7">
            <w:pPr>
              <w:spacing w:line="440" w:lineRule="exact"/>
              <w:jc w:val="center"/>
              <w:rPr>
                <w:rFonts w:hAnsi="標楷體" w:cs="Arial"/>
                <w:bCs/>
                <w:color w:val="000000" w:themeColor="text1"/>
                <w:sz w:val="26"/>
                <w:szCs w:val="26"/>
              </w:rPr>
            </w:pPr>
          </w:p>
        </w:tc>
        <w:tc>
          <w:tcPr>
            <w:tcW w:w="1842" w:type="dxa"/>
            <w:vMerge/>
            <w:shd w:val="clear" w:color="auto" w:fill="FFF2CC"/>
            <w:vAlign w:val="center"/>
          </w:tcPr>
          <w:p w14:paraId="1D47C801" w14:textId="77777777" w:rsidR="007733DE" w:rsidRPr="008B619A" w:rsidRDefault="007733DE" w:rsidP="00485EF7">
            <w:pPr>
              <w:spacing w:line="440" w:lineRule="exact"/>
              <w:jc w:val="right"/>
              <w:rPr>
                <w:rFonts w:hAnsi="標楷體" w:cs="Arial"/>
                <w:bCs/>
                <w:color w:val="000000" w:themeColor="text1"/>
                <w:sz w:val="26"/>
                <w:szCs w:val="26"/>
              </w:rPr>
            </w:pPr>
          </w:p>
        </w:tc>
        <w:tc>
          <w:tcPr>
            <w:tcW w:w="1560" w:type="dxa"/>
            <w:vMerge/>
            <w:shd w:val="clear" w:color="auto" w:fill="E5DFEC" w:themeFill="accent4" w:themeFillTint="33"/>
            <w:vAlign w:val="center"/>
          </w:tcPr>
          <w:p w14:paraId="65D0911F" w14:textId="77777777" w:rsidR="007733DE" w:rsidRPr="008B619A" w:rsidRDefault="007733DE" w:rsidP="00485EF7">
            <w:pPr>
              <w:spacing w:line="440" w:lineRule="exact"/>
              <w:jc w:val="right"/>
              <w:rPr>
                <w:rFonts w:hAnsi="標楷體" w:cs="Arial"/>
                <w:bCs/>
                <w:color w:val="000000" w:themeColor="text1"/>
                <w:sz w:val="26"/>
                <w:szCs w:val="26"/>
              </w:rPr>
            </w:pPr>
          </w:p>
        </w:tc>
        <w:tc>
          <w:tcPr>
            <w:tcW w:w="1417" w:type="dxa"/>
            <w:shd w:val="clear" w:color="auto" w:fill="FFF2CC"/>
            <w:vAlign w:val="center"/>
          </w:tcPr>
          <w:p w14:paraId="0D5C4C66" w14:textId="77777777" w:rsidR="007733DE" w:rsidRPr="008B619A" w:rsidRDefault="007733DE" w:rsidP="00485EF7">
            <w:pPr>
              <w:spacing w:line="440" w:lineRule="exact"/>
              <w:jc w:val="center"/>
              <w:rPr>
                <w:rFonts w:hAnsi="標楷體" w:cs="Arial"/>
                <w:bCs/>
                <w:color w:val="000000" w:themeColor="text1"/>
                <w:sz w:val="26"/>
                <w:szCs w:val="26"/>
              </w:rPr>
            </w:pPr>
            <w:r w:rsidRPr="008B619A">
              <w:rPr>
                <w:rFonts w:hAnsi="標楷體" w:cs="Arial"/>
                <w:bCs/>
                <w:color w:val="000000" w:themeColor="text1"/>
                <w:sz w:val="26"/>
                <w:szCs w:val="26"/>
              </w:rPr>
              <w:t>科技類</w:t>
            </w:r>
          </w:p>
        </w:tc>
        <w:tc>
          <w:tcPr>
            <w:tcW w:w="3435" w:type="dxa"/>
            <w:gridSpan w:val="2"/>
            <w:vMerge/>
            <w:shd w:val="clear" w:color="auto" w:fill="FFF2CC"/>
            <w:vAlign w:val="center"/>
          </w:tcPr>
          <w:p w14:paraId="28EB9B61" w14:textId="77777777" w:rsidR="007733DE" w:rsidRPr="008B619A" w:rsidRDefault="007733DE" w:rsidP="00485EF7">
            <w:pPr>
              <w:spacing w:line="440" w:lineRule="exact"/>
              <w:jc w:val="right"/>
              <w:rPr>
                <w:rFonts w:hAnsi="標楷體" w:cs="Arial"/>
                <w:bCs/>
                <w:color w:val="000000" w:themeColor="text1"/>
                <w:sz w:val="26"/>
                <w:szCs w:val="26"/>
              </w:rPr>
            </w:pPr>
          </w:p>
        </w:tc>
      </w:tr>
      <w:tr w:rsidR="007733DE" w:rsidRPr="008B619A" w14:paraId="63ED659F" w14:textId="77777777" w:rsidTr="00302336">
        <w:trPr>
          <w:trHeight w:val="20"/>
        </w:trPr>
        <w:tc>
          <w:tcPr>
            <w:tcW w:w="9360" w:type="dxa"/>
            <w:gridSpan w:val="6"/>
            <w:shd w:val="clear" w:color="auto" w:fill="auto"/>
            <w:vAlign w:val="center"/>
          </w:tcPr>
          <w:p w14:paraId="475D5E09" w14:textId="3207970C" w:rsidR="007733DE" w:rsidRPr="008B619A" w:rsidRDefault="007733DE" w:rsidP="00485EF7">
            <w:pPr>
              <w:spacing w:line="440" w:lineRule="exact"/>
              <w:rPr>
                <w:rFonts w:hAnsi="標楷體" w:cs="Arial"/>
                <w:bCs/>
                <w:color w:val="000000" w:themeColor="text1"/>
                <w:sz w:val="26"/>
                <w:szCs w:val="26"/>
              </w:rPr>
            </w:pPr>
            <w:r w:rsidRPr="008B619A">
              <w:rPr>
                <w:rFonts w:hAnsi="標楷體" w:cs="Arial" w:hint="eastAsia"/>
                <w:bCs/>
                <w:color w:val="000000" w:themeColor="text1"/>
                <w:sz w:val="26"/>
                <w:szCs w:val="26"/>
              </w:rPr>
              <w:t>註：境外學位生係指各大專校院外國學生、僑生、港澳生、大陸地區來臺學位生數，不含境外專班之外國學生。</w:t>
            </w:r>
          </w:p>
        </w:tc>
      </w:tr>
    </w:tbl>
    <w:p w14:paraId="4E84E2A4" w14:textId="264A4D9A" w:rsidR="007733DE" w:rsidRPr="008B619A" w:rsidRDefault="00080D94" w:rsidP="00B156A3">
      <w:pPr>
        <w:spacing w:afterLines="50" w:after="228"/>
        <w:rPr>
          <w:color w:val="000000" w:themeColor="text1"/>
          <w:sz w:val="24"/>
          <w:szCs w:val="24"/>
        </w:rPr>
      </w:pPr>
      <w:r w:rsidRPr="008B619A">
        <w:rPr>
          <w:rFonts w:hint="eastAsia"/>
          <w:color w:val="000000" w:themeColor="text1"/>
          <w:sz w:val="24"/>
          <w:szCs w:val="24"/>
        </w:rPr>
        <w:t>資料來源：教育部統計處提供。</w:t>
      </w:r>
    </w:p>
    <w:p w14:paraId="1C79ED3F" w14:textId="6295DFB6" w:rsidR="00E920E6" w:rsidRPr="008B619A" w:rsidRDefault="00B015D4" w:rsidP="00E920E6">
      <w:pPr>
        <w:pStyle w:val="3"/>
        <w:rPr>
          <w:color w:val="000000" w:themeColor="text1"/>
        </w:rPr>
      </w:pPr>
      <w:r w:rsidRPr="008B619A">
        <w:rPr>
          <w:rFonts w:hAnsi="標楷體" w:hint="eastAsia"/>
          <w:color w:val="000000" w:themeColor="text1"/>
        </w:rPr>
        <w:t>以主要學制區分</w:t>
      </w:r>
      <w:r w:rsidR="00E920E6" w:rsidRPr="008B619A">
        <w:rPr>
          <w:color w:val="000000" w:themeColor="text1"/>
        </w:rPr>
        <w:t>109學年主要學制之新生註冊率中，境外新生占比則以博士班17.0%為最高</w:t>
      </w:r>
      <w:r w:rsidR="00E920E6" w:rsidRPr="008B619A">
        <w:rPr>
          <w:rStyle w:val="aff1"/>
          <w:color w:val="000000" w:themeColor="text1"/>
        </w:rPr>
        <w:footnoteReference w:id="55"/>
      </w:r>
      <w:r w:rsidR="00E920E6" w:rsidRPr="008B619A">
        <w:rPr>
          <w:rFonts w:hAnsi="標楷體" w:hint="eastAsia"/>
          <w:color w:val="000000" w:themeColor="text1"/>
        </w:rPr>
        <w:t>，整體高教境外生就讀領域分布如后：</w:t>
      </w:r>
    </w:p>
    <w:p w14:paraId="25F533FA" w14:textId="19BFED5B" w:rsidR="0037276C" w:rsidRPr="008B619A" w:rsidRDefault="0037276C" w:rsidP="00B015D4">
      <w:pPr>
        <w:pStyle w:val="4"/>
        <w:rPr>
          <w:color w:val="000000" w:themeColor="text1"/>
        </w:rPr>
      </w:pPr>
      <w:r w:rsidRPr="008B619A">
        <w:rPr>
          <w:color w:val="000000" w:themeColor="text1"/>
        </w:rPr>
        <w:t>109年</w:t>
      </w:r>
      <w:r w:rsidR="00BE62D3" w:rsidRPr="008B619A">
        <w:rPr>
          <w:color w:val="000000" w:themeColor="text1"/>
        </w:rPr>
        <w:t>博士班</w:t>
      </w:r>
      <w:r w:rsidR="00D91078" w:rsidRPr="008B619A">
        <w:rPr>
          <w:rFonts w:hint="eastAsia"/>
          <w:color w:val="000000" w:themeColor="text1"/>
        </w:rPr>
        <w:t>「</w:t>
      </w:r>
      <w:r w:rsidRPr="008B619A">
        <w:rPr>
          <w:color w:val="000000" w:themeColor="text1"/>
        </w:rPr>
        <w:t>境外學位生</w:t>
      </w:r>
      <w:r w:rsidR="00D91078" w:rsidRPr="008B619A">
        <w:rPr>
          <w:rFonts w:hint="eastAsia"/>
          <w:color w:val="000000" w:themeColor="text1"/>
        </w:rPr>
        <w:t>」</w:t>
      </w:r>
      <w:r w:rsidR="00BE62D3" w:rsidRPr="008B619A">
        <w:rPr>
          <w:rFonts w:hint="eastAsia"/>
          <w:color w:val="000000" w:themeColor="text1"/>
        </w:rPr>
        <w:t>有</w:t>
      </w:r>
      <w:r w:rsidRPr="008B619A">
        <w:rPr>
          <w:rFonts w:hint="eastAsia"/>
          <w:color w:val="000000" w:themeColor="text1"/>
        </w:rPr>
        <w:t>4</w:t>
      </w:r>
      <w:r w:rsidRPr="008B619A">
        <w:rPr>
          <w:color w:val="000000" w:themeColor="text1"/>
        </w:rPr>
        <w:t>,551</w:t>
      </w:r>
      <w:r w:rsidRPr="008B619A">
        <w:rPr>
          <w:rFonts w:hint="eastAsia"/>
          <w:color w:val="000000" w:themeColor="text1"/>
        </w:rPr>
        <w:t>人，就讀</w:t>
      </w:r>
      <w:r w:rsidRPr="008B619A">
        <w:rPr>
          <w:color w:val="000000" w:themeColor="text1"/>
        </w:rPr>
        <w:t>領域人數前</w:t>
      </w:r>
      <w:r w:rsidRPr="008B619A">
        <w:rPr>
          <w:rFonts w:hint="eastAsia"/>
          <w:color w:val="000000" w:themeColor="text1"/>
        </w:rPr>
        <w:t>5</w:t>
      </w:r>
      <w:r w:rsidRPr="008B619A">
        <w:rPr>
          <w:color w:val="000000" w:themeColor="text1"/>
        </w:rPr>
        <w:t>名依序為工程及工程業學門1,340人、物理、化學及地球科學學門578人、醫藥衛生學門493人、商業及管理學門417人以及生命科學學門2,88人</w:t>
      </w:r>
      <w:r w:rsidRPr="008B619A">
        <w:rPr>
          <w:rFonts w:hint="eastAsia"/>
          <w:color w:val="000000" w:themeColor="text1"/>
        </w:rPr>
        <w:t>，詳如下表</w:t>
      </w:r>
      <w:r w:rsidRPr="008B619A">
        <w:rPr>
          <w:color w:val="000000" w:themeColor="text1"/>
        </w:rPr>
        <w:t>。</w:t>
      </w:r>
    </w:p>
    <w:p w14:paraId="282CE08E" w14:textId="27E87244" w:rsidR="00AB6DD8" w:rsidRPr="008B619A" w:rsidRDefault="00DD3E36" w:rsidP="00AB6DD8">
      <w:pPr>
        <w:pStyle w:val="a3"/>
        <w:ind w:left="1281" w:hanging="1281"/>
        <w:jc w:val="center"/>
        <w:rPr>
          <w:b/>
          <w:bCs w:val="0"/>
          <w:color w:val="000000" w:themeColor="text1"/>
        </w:rPr>
      </w:pPr>
      <w:r w:rsidRPr="008B619A">
        <w:rPr>
          <w:rFonts w:hint="eastAsia"/>
          <w:b/>
          <w:color w:val="000000" w:themeColor="text1"/>
        </w:rPr>
        <w:lastRenderedPageBreak/>
        <w:t>109年境外學位生博士班</w:t>
      </w:r>
      <w:r w:rsidR="00AB6DD8" w:rsidRPr="008B619A">
        <w:rPr>
          <w:rFonts w:hint="eastAsia"/>
          <w:b/>
          <w:color w:val="000000" w:themeColor="text1"/>
        </w:rPr>
        <w:t>統計</w:t>
      </w:r>
    </w:p>
    <w:p w14:paraId="5CAF8133" w14:textId="77777777" w:rsidR="00AB6DD8" w:rsidRPr="008B619A" w:rsidRDefault="00AB6DD8" w:rsidP="00AB6DD8">
      <w:pPr>
        <w:spacing w:line="240" w:lineRule="exact"/>
        <w:jc w:val="right"/>
        <w:rPr>
          <w:color w:val="000000" w:themeColor="text1"/>
        </w:rPr>
      </w:pPr>
      <w:r w:rsidRPr="008B619A">
        <w:rPr>
          <w:rFonts w:hAnsi="標楷體" w:hint="eastAsia"/>
          <w:color w:val="000000" w:themeColor="text1"/>
          <w:sz w:val="24"/>
          <w:szCs w:val="24"/>
        </w:rPr>
        <w:t>單位：人；%</w:t>
      </w:r>
    </w:p>
    <w:tbl>
      <w:tblPr>
        <w:tblW w:w="8839" w:type="dxa"/>
        <w:tblInd w:w="-5" w:type="dxa"/>
        <w:tblCellMar>
          <w:left w:w="28" w:type="dxa"/>
          <w:right w:w="28" w:type="dxa"/>
        </w:tblCellMar>
        <w:tblLook w:val="04A0" w:firstRow="1" w:lastRow="0" w:firstColumn="1" w:lastColumn="0" w:noHBand="0" w:noVBand="1"/>
      </w:tblPr>
      <w:tblGrid>
        <w:gridCol w:w="4002"/>
        <w:gridCol w:w="2944"/>
        <w:gridCol w:w="1893"/>
      </w:tblGrid>
      <w:tr w:rsidR="00EF5C6E" w:rsidRPr="008B619A" w14:paraId="616FFBC4" w14:textId="2F14AAF4" w:rsidTr="00EF5C6E">
        <w:trPr>
          <w:trHeight w:val="330"/>
          <w:tblHeader/>
        </w:trPr>
        <w:tc>
          <w:tcPr>
            <w:tcW w:w="4002" w:type="dxa"/>
            <w:tcBorders>
              <w:top w:val="single" w:sz="4" w:space="0" w:color="auto"/>
              <w:left w:val="single" w:sz="4" w:space="0" w:color="auto"/>
              <w:bottom w:val="single" w:sz="4" w:space="0" w:color="auto"/>
              <w:right w:val="single" w:sz="4" w:space="0" w:color="auto"/>
            </w:tcBorders>
            <w:shd w:val="clear" w:color="000000" w:fill="B7DEE8"/>
            <w:noWrap/>
            <w:vAlign w:val="bottom"/>
            <w:hideMark/>
          </w:tcPr>
          <w:p w14:paraId="4AD7BABD" w14:textId="77777777" w:rsidR="00EF5C6E" w:rsidRPr="008B619A" w:rsidRDefault="00EF5C6E" w:rsidP="00485EF7">
            <w:pPr>
              <w:widowControl/>
              <w:snapToGrid w:val="0"/>
              <w:jc w:val="center"/>
              <w:rPr>
                <w:b/>
                <w:color w:val="000000" w:themeColor="text1"/>
                <w:kern w:val="0"/>
                <w:sz w:val="26"/>
                <w:szCs w:val="26"/>
              </w:rPr>
            </w:pPr>
            <w:r w:rsidRPr="008B619A">
              <w:rPr>
                <w:b/>
                <w:color w:val="000000" w:themeColor="text1"/>
                <w:kern w:val="0"/>
                <w:sz w:val="26"/>
                <w:szCs w:val="26"/>
              </w:rPr>
              <w:t>學門名稱</w:t>
            </w:r>
          </w:p>
        </w:tc>
        <w:tc>
          <w:tcPr>
            <w:tcW w:w="2944" w:type="dxa"/>
            <w:tcBorders>
              <w:top w:val="single" w:sz="4" w:space="0" w:color="auto"/>
              <w:left w:val="nil"/>
              <w:bottom w:val="single" w:sz="4" w:space="0" w:color="auto"/>
              <w:right w:val="single" w:sz="4" w:space="0" w:color="auto"/>
            </w:tcBorders>
            <w:shd w:val="clear" w:color="000000" w:fill="B7DEE8"/>
            <w:noWrap/>
            <w:vAlign w:val="bottom"/>
            <w:hideMark/>
          </w:tcPr>
          <w:p w14:paraId="5123B1FC" w14:textId="77777777" w:rsidR="00EF5C6E" w:rsidRPr="008B619A" w:rsidRDefault="00EF5C6E" w:rsidP="00485EF7">
            <w:pPr>
              <w:widowControl/>
              <w:snapToGrid w:val="0"/>
              <w:jc w:val="center"/>
              <w:rPr>
                <w:b/>
                <w:color w:val="000000" w:themeColor="text1"/>
                <w:kern w:val="0"/>
                <w:sz w:val="26"/>
                <w:szCs w:val="26"/>
              </w:rPr>
            </w:pPr>
            <w:r w:rsidRPr="008B619A">
              <w:rPr>
                <w:b/>
                <w:color w:val="000000" w:themeColor="text1"/>
                <w:kern w:val="0"/>
                <w:sz w:val="26"/>
                <w:szCs w:val="26"/>
              </w:rPr>
              <w:t>109年境外博士生人數</w:t>
            </w:r>
          </w:p>
        </w:tc>
        <w:tc>
          <w:tcPr>
            <w:tcW w:w="1893" w:type="dxa"/>
            <w:tcBorders>
              <w:top w:val="single" w:sz="4" w:space="0" w:color="auto"/>
              <w:left w:val="nil"/>
              <w:bottom w:val="single" w:sz="4" w:space="0" w:color="auto"/>
              <w:right w:val="single" w:sz="4" w:space="0" w:color="auto"/>
            </w:tcBorders>
            <w:shd w:val="clear" w:color="000000" w:fill="B7DEE8"/>
          </w:tcPr>
          <w:p w14:paraId="46EF1687" w14:textId="2D08163F" w:rsidR="00EF5C6E" w:rsidRPr="008B619A" w:rsidRDefault="00EF5C6E" w:rsidP="00485EF7">
            <w:pPr>
              <w:widowControl/>
              <w:snapToGrid w:val="0"/>
              <w:jc w:val="center"/>
              <w:rPr>
                <w:b/>
                <w:color w:val="000000" w:themeColor="text1"/>
                <w:kern w:val="0"/>
                <w:sz w:val="26"/>
                <w:szCs w:val="26"/>
              </w:rPr>
            </w:pPr>
            <w:r w:rsidRPr="008B619A">
              <w:rPr>
                <w:rFonts w:hint="eastAsia"/>
                <w:b/>
                <w:color w:val="000000" w:themeColor="text1"/>
                <w:kern w:val="0"/>
                <w:sz w:val="26"/>
                <w:szCs w:val="26"/>
              </w:rPr>
              <w:t>占比</w:t>
            </w:r>
          </w:p>
        </w:tc>
      </w:tr>
      <w:tr w:rsidR="007D3158" w:rsidRPr="008B619A" w14:paraId="7D3BD692" w14:textId="5D40023F" w:rsidTr="00EF5C6E">
        <w:trPr>
          <w:trHeight w:val="330"/>
        </w:trPr>
        <w:tc>
          <w:tcPr>
            <w:tcW w:w="4002" w:type="dxa"/>
            <w:tcBorders>
              <w:top w:val="nil"/>
              <w:left w:val="single" w:sz="4" w:space="0" w:color="auto"/>
              <w:bottom w:val="single" w:sz="4" w:space="0" w:color="auto"/>
              <w:right w:val="single" w:sz="4" w:space="0" w:color="auto"/>
            </w:tcBorders>
            <w:shd w:val="clear" w:color="auto" w:fill="auto"/>
            <w:noWrap/>
            <w:vAlign w:val="bottom"/>
            <w:hideMark/>
          </w:tcPr>
          <w:p w14:paraId="201A8BA3" w14:textId="77777777" w:rsidR="007D3158" w:rsidRPr="008B619A" w:rsidRDefault="007D3158" w:rsidP="007D3158">
            <w:pPr>
              <w:widowControl/>
              <w:snapToGrid w:val="0"/>
              <w:rPr>
                <w:b/>
                <w:color w:val="000000" w:themeColor="text1"/>
                <w:kern w:val="0"/>
                <w:sz w:val="26"/>
                <w:szCs w:val="26"/>
              </w:rPr>
            </w:pPr>
            <w:r w:rsidRPr="008B619A">
              <w:rPr>
                <w:b/>
                <w:color w:val="000000" w:themeColor="text1"/>
                <w:kern w:val="0"/>
                <w:sz w:val="26"/>
                <w:szCs w:val="26"/>
              </w:rPr>
              <w:t>工程及工程業學門</w:t>
            </w:r>
          </w:p>
        </w:tc>
        <w:tc>
          <w:tcPr>
            <w:tcW w:w="2944" w:type="dxa"/>
            <w:tcBorders>
              <w:top w:val="nil"/>
              <w:left w:val="nil"/>
              <w:bottom w:val="single" w:sz="4" w:space="0" w:color="auto"/>
              <w:right w:val="single" w:sz="4" w:space="0" w:color="auto"/>
            </w:tcBorders>
            <w:shd w:val="clear" w:color="auto" w:fill="auto"/>
            <w:noWrap/>
            <w:vAlign w:val="bottom"/>
            <w:hideMark/>
          </w:tcPr>
          <w:p w14:paraId="356BA23D" w14:textId="77777777" w:rsidR="007D3158" w:rsidRPr="008B619A" w:rsidRDefault="007D3158" w:rsidP="007D3158">
            <w:pPr>
              <w:widowControl/>
              <w:snapToGrid w:val="0"/>
              <w:jc w:val="right"/>
              <w:rPr>
                <w:color w:val="000000" w:themeColor="text1"/>
                <w:kern w:val="0"/>
                <w:sz w:val="26"/>
                <w:szCs w:val="26"/>
              </w:rPr>
            </w:pPr>
            <w:r w:rsidRPr="008B619A">
              <w:rPr>
                <w:color w:val="000000" w:themeColor="text1"/>
                <w:kern w:val="0"/>
                <w:sz w:val="26"/>
                <w:szCs w:val="26"/>
              </w:rPr>
              <w:t>1,340</w:t>
            </w:r>
          </w:p>
        </w:tc>
        <w:tc>
          <w:tcPr>
            <w:tcW w:w="1893" w:type="dxa"/>
            <w:tcBorders>
              <w:top w:val="nil"/>
              <w:left w:val="nil"/>
              <w:bottom w:val="single" w:sz="4" w:space="0" w:color="auto"/>
              <w:right w:val="single" w:sz="4" w:space="0" w:color="auto"/>
            </w:tcBorders>
          </w:tcPr>
          <w:p w14:paraId="7BA3167B" w14:textId="4B3C9D70" w:rsidR="007D3158" w:rsidRPr="008B619A" w:rsidRDefault="007D3158" w:rsidP="007D3158">
            <w:pPr>
              <w:widowControl/>
              <w:snapToGrid w:val="0"/>
              <w:jc w:val="center"/>
              <w:rPr>
                <w:color w:val="000000" w:themeColor="text1"/>
                <w:kern w:val="0"/>
                <w:sz w:val="26"/>
                <w:szCs w:val="26"/>
              </w:rPr>
            </w:pPr>
            <w:r w:rsidRPr="008B619A">
              <w:rPr>
                <w:color w:val="000000" w:themeColor="text1"/>
                <w:sz w:val="26"/>
                <w:szCs w:val="26"/>
              </w:rPr>
              <w:t>29.44</w:t>
            </w:r>
            <w:r w:rsidR="00C41E14" w:rsidRPr="008B619A">
              <w:rPr>
                <w:rFonts w:hAnsi="標楷體" w:hint="eastAsia"/>
                <w:color w:val="000000" w:themeColor="text1"/>
                <w:sz w:val="26"/>
                <w:szCs w:val="26"/>
              </w:rPr>
              <w:t>%</w:t>
            </w:r>
          </w:p>
        </w:tc>
      </w:tr>
      <w:tr w:rsidR="007D3158" w:rsidRPr="008B619A" w14:paraId="52715FB1" w14:textId="3AA26698" w:rsidTr="00EF5C6E">
        <w:trPr>
          <w:trHeight w:val="330"/>
        </w:trPr>
        <w:tc>
          <w:tcPr>
            <w:tcW w:w="4002" w:type="dxa"/>
            <w:tcBorders>
              <w:top w:val="nil"/>
              <w:left w:val="single" w:sz="4" w:space="0" w:color="auto"/>
              <w:bottom w:val="single" w:sz="4" w:space="0" w:color="auto"/>
              <w:right w:val="single" w:sz="4" w:space="0" w:color="auto"/>
            </w:tcBorders>
            <w:shd w:val="clear" w:color="auto" w:fill="auto"/>
            <w:noWrap/>
            <w:vAlign w:val="bottom"/>
            <w:hideMark/>
          </w:tcPr>
          <w:p w14:paraId="7BA3AC20" w14:textId="77777777" w:rsidR="007D3158" w:rsidRPr="008B619A" w:rsidRDefault="007D3158" w:rsidP="007D3158">
            <w:pPr>
              <w:widowControl/>
              <w:snapToGrid w:val="0"/>
              <w:rPr>
                <w:b/>
                <w:color w:val="000000" w:themeColor="text1"/>
                <w:kern w:val="0"/>
                <w:sz w:val="26"/>
                <w:szCs w:val="26"/>
              </w:rPr>
            </w:pPr>
            <w:r w:rsidRPr="008B619A">
              <w:rPr>
                <w:b/>
                <w:color w:val="000000" w:themeColor="text1"/>
                <w:kern w:val="0"/>
                <w:sz w:val="26"/>
                <w:szCs w:val="26"/>
              </w:rPr>
              <w:t>物理、化學及地球科學學門</w:t>
            </w:r>
          </w:p>
        </w:tc>
        <w:tc>
          <w:tcPr>
            <w:tcW w:w="2944" w:type="dxa"/>
            <w:tcBorders>
              <w:top w:val="nil"/>
              <w:left w:val="nil"/>
              <w:bottom w:val="single" w:sz="4" w:space="0" w:color="auto"/>
              <w:right w:val="single" w:sz="4" w:space="0" w:color="auto"/>
            </w:tcBorders>
            <w:shd w:val="clear" w:color="auto" w:fill="auto"/>
            <w:noWrap/>
            <w:vAlign w:val="bottom"/>
            <w:hideMark/>
          </w:tcPr>
          <w:p w14:paraId="510F4907" w14:textId="77777777" w:rsidR="007D3158" w:rsidRPr="008B619A" w:rsidRDefault="007D3158" w:rsidP="007D3158">
            <w:pPr>
              <w:widowControl/>
              <w:snapToGrid w:val="0"/>
              <w:jc w:val="right"/>
              <w:rPr>
                <w:color w:val="000000" w:themeColor="text1"/>
                <w:kern w:val="0"/>
                <w:sz w:val="26"/>
                <w:szCs w:val="26"/>
              </w:rPr>
            </w:pPr>
            <w:r w:rsidRPr="008B619A">
              <w:rPr>
                <w:color w:val="000000" w:themeColor="text1"/>
                <w:kern w:val="0"/>
                <w:sz w:val="26"/>
                <w:szCs w:val="26"/>
              </w:rPr>
              <w:t>578</w:t>
            </w:r>
          </w:p>
        </w:tc>
        <w:tc>
          <w:tcPr>
            <w:tcW w:w="1893" w:type="dxa"/>
            <w:tcBorders>
              <w:top w:val="nil"/>
              <w:left w:val="nil"/>
              <w:bottom w:val="single" w:sz="4" w:space="0" w:color="auto"/>
              <w:right w:val="single" w:sz="4" w:space="0" w:color="auto"/>
            </w:tcBorders>
          </w:tcPr>
          <w:p w14:paraId="03469D14" w14:textId="6F709D36" w:rsidR="007D3158" w:rsidRPr="008B619A" w:rsidRDefault="007D3158" w:rsidP="007D3158">
            <w:pPr>
              <w:widowControl/>
              <w:snapToGrid w:val="0"/>
              <w:jc w:val="center"/>
              <w:rPr>
                <w:color w:val="000000" w:themeColor="text1"/>
                <w:kern w:val="0"/>
                <w:sz w:val="26"/>
                <w:szCs w:val="26"/>
              </w:rPr>
            </w:pPr>
            <w:r w:rsidRPr="008B619A">
              <w:rPr>
                <w:color w:val="000000" w:themeColor="text1"/>
                <w:sz w:val="26"/>
                <w:szCs w:val="26"/>
              </w:rPr>
              <w:t>12.70</w:t>
            </w:r>
            <w:r w:rsidR="00C41E14" w:rsidRPr="008B619A">
              <w:rPr>
                <w:rFonts w:hAnsi="標楷體" w:hint="eastAsia"/>
                <w:color w:val="000000" w:themeColor="text1"/>
                <w:sz w:val="26"/>
                <w:szCs w:val="26"/>
              </w:rPr>
              <w:t>%</w:t>
            </w:r>
            <w:r w:rsidRPr="008B619A">
              <w:rPr>
                <w:color w:val="000000" w:themeColor="text1"/>
                <w:sz w:val="26"/>
                <w:szCs w:val="26"/>
              </w:rPr>
              <w:t xml:space="preserve"> </w:t>
            </w:r>
          </w:p>
        </w:tc>
      </w:tr>
      <w:tr w:rsidR="007D3158" w:rsidRPr="008B619A" w14:paraId="258E04E2" w14:textId="4704C329" w:rsidTr="00EF5C6E">
        <w:trPr>
          <w:trHeight w:val="330"/>
        </w:trPr>
        <w:tc>
          <w:tcPr>
            <w:tcW w:w="4002" w:type="dxa"/>
            <w:tcBorders>
              <w:top w:val="nil"/>
              <w:left w:val="single" w:sz="4" w:space="0" w:color="auto"/>
              <w:bottom w:val="single" w:sz="4" w:space="0" w:color="auto"/>
              <w:right w:val="single" w:sz="4" w:space="0" w:color="auto"/>
            </w:tcBorders>
            <w:shd w:val="clear" w:color="auto" w:fill="auto"/>
            <w:noWrap/>
            <w:vAlign w:val="bottom"/>
            <w:hideMark/>
          </w:tcPr>
          <w:p w14:paraId="6270F472" w14:textId="77777777" w:rsidR="007D3158" w:rsidRPr="008B619A" w:rsidRDefault="007D3158" w:rsidP="007D3158">
            <w:pPr>
              <w:widowControl/>
              <w:snapToGrid w:val="0"/>
              <w:rPr>
                <w:b/>
                <w:color w:val="000000" w:themeColor="text1"/>
                <w:kern w:val="0"/>
                <w:sz w:val="26"/>
                <w:szCs w:val="26"/>
              </w:rPr>
            </w:pPr>
            <w:r w:rsidRPr="008B619A">
              <w:rPr>
                <w:b/>
                <w:color w:val="000000" w:themeColor="text1"/>
                <w:kern w:val="0"/>
                <w:sz w:val="26"/>
                <w:szCs w:val="26"/>
              </w:rPr>
              <w:t>醫藥衛生學門</w:t>
            </w:r>
          </w:p>
        </w:tc>
        <w:tc>
          <w:tcPr>
            <w:tcW w:w="2944" w:type="dxa"/>
            <w:tcBorders>
              <w:top w:val="nil"/>
              <w:left w:val="nil"/>
              <w:bottom w:val="single" w:sz="4" w:space="0" w:color="auto"/>
              <w:right w:val="single" w:sz="4" w:space="0" w:color="auto"/>
            </w:tcBorders>
            <w:shd w:val="clear" w:color="auto" w:fill="auto"/>
            <w:noWrap/>
            <w:vAlign w:val="bottom"/>
            <w:hideMark/>
          </w:tcPr>
          <w:p w14:paraId="225EAFE1" w14:textId="77777777" w:rsidR="007D3158" w:rsidRPr="008B619A" w:rsidRDefault="007D3158" w:rsidP="007D3158">
            <w:pPr>
              <w:widowControl/>
              <w:snapToGrid w:val="0"/>
              <w:jc w:val="right"/>
              <w:rPr>
                <w:color w:val="000000" w:themeColor="text1"/>
                <w:kern w:val="0"/>
                <w:sz w:val="26"/>
                <w:szCs w:val="26"/>
              </w:rPr>
            </w:pPr>
            <w:r w:rsidRPr="008B619A">
              <w:rPr>
                <w:color w:val="000000" w:themeColor="text1"/>
                <w:kern w:val="0"/>
                <w:sz w:val="26"/>
                <w:szCs w:val="26"/>
              </w:rPr>
              <w:t>493</w:t>
            </w:r>
          </w:p>
        </w:tc>
        <w:tc>
          <w:tcPr>
            <w:tcW w:w="1893" w:type="dxa"/>
            <w:tcBorders>
              <w:top w:val="nil"/>
              <w:left w:val="nil"/>
              <w:bottom w:val="single" w:sz="4" w:space="0" w:color="auto"/>
              <w:right w:val="single" w:sz="4" w:space="0" w:color="auto"/>
            </w:tcBorders>
          </w:tcPr>
          <w:p w14:paraId="1CBFCCE6" w14:textId="4E4C246A" w:rsidR="007D3158" w:rsidRPr="008B619A" w:rsidRDefault="007D3158" w:rsidP="007D3158">
            <w:pPr>
              <w:widowControl/>
              <w:snapToGrid w:val="0"/>
              <w:jc w:val="center"/>
              <w:rPr>
                <w:color w:val="000000" w:themeColor="text1"/>
                <w:kern w:val="0"/>
                <w:sz w:val="26"/>
                <w:szCs w:val="26"/>
              </w:rPr>
            </w:pPr>
            <w:r w:rsidRPr="008B619A">
              <w:rPr>
                <w:color w:val="000000" w:themeColor="text1"/>
                <w:sz w:val="26"/>
                <w:szCs w:val="26"/>
              </w:rPr>
              <w:t>10.83</w:t>
            </w:r>
            <w:r w:rsidR="00C41E14" w:rsidRPr="008B619A">
              <w:rPr>
                <w:rFonts w:hAnsi="標楷體" w:hint="eastAsia"/>
                <w:color w:val="000000" w:themeColor="text1"/>
                <w:sz w:val="26"/>
                <w:szCs w:val="26"/>
              </w:rPr>
              <w:t>%</w:t>
            </w:r>
            <w:r w:rsidRPr="008B619A">
              <w:rPr>
                <w:color w:val="000000" w:themeColor="text1"/>
                <w:sz w:val="26"/>
                <w:szCs w:val="26"/>
              </w:rPr>
              <w:t xml:space="preserve"> </w:t>
            </w:r>
          </w:p>
        </w:tc>
      </w:tr>
      <w:tr w:rsidR="007D3158" w:rsidRPr="008B619A" w14:paraId="416B0CB9" w14:textId="0524453C" w:rsidTr="00EF5C6E">
        <w:trPr>
          <w:trHeight w:val="330"/>
        </w:trPr>
        <w:tc>
          <w:tcPr>
            <w:tcW w:w="4002" w:type="dxa"/>
            <w:tcBorders>
              <w:top w:val="nil"/>
              <w:left w:val="single" w:sz="4" w:space="0" w:color="auto"/>
              <w:bottom w:val="single" w:sz="4" w:space="0" w:color="auto"/>
              <w:right w:val="single" w:sz="4" w:space="0" w:color="auto"/>
            </w:tcBorders>
            <w:shd w:val="clear" w:color="auto" w:fill="auto"/>
            <w:noWrap/>
            <w:vAlign w:val="bottom"/>
            <w:hideMark/>
          </w:tcPr>
          <w:p w14:paraId="545E2A24" w14:textId="77777777" w:rsidR="007D3158" w:rsidRPr="008B619A" w:rsidRDefault="007D3158" w:rsidP="007D3158">
            <w:pPr>
              <w:widowControl/>
              <w:snapToGrid w:val="0"/>
              <w:rPr>
                <w:b/>
                <w:color w:val="000000" w:themeColor="text1"/>
                <w:kern w:val="0"/>
                <w:sz w:val="26"/>
                <w:szCs w:val="26"/>
              </w:rPr>
            </w:pPr>
            <w:r w:rsidRPr="008B619A">
              <w:rPr>
                <w:b/>
                <w:color w:val="000000" w:themeColor="text1"/>
                <w:kern w:val="0"/>
                <w:sz w:val="26"/>
                <w:szCs w:val="26"/>
              </w:rPr>
              <w:t>商業及管理學門</w:t>
            </w:r>
          </w:p>
        </w:tc>
        <w:tc>
          <w:tcPr>
            <w:tcW w:w="2944" w:type="dxa"/>
            <w:tcBorders>
              <w:top w:val="nil"/>
              <w:left w:val="nil"/>
              <w:bottom w:val="single" w:sz="4" w:space="0" w:color="auto"/>
              <w:right w:val="single" w:sz="4" w:space="0" w:color="auto"/>
            </w:tcBorders>
            <w:shd w:val="clear" w:color="auto" w:fill="auto"/>
            <w:noWrap/>
            <w:vAlign w:val="bottom"/>
            <w:hideMark/>
          </w:tcPr>
          <w:p w14:paraId="3B839154" w14:textId="77777777" w:rsidR="007D3158" w:rsidRPr="008B619A" w:rsidRDefault="007D3158" w:rsidP="007D3158">
            <w:pPr>
              <w:widowControl/>
              <w:snapToGrid w:val="0"/>
              <w:jc w:val="right"/>
              <w:rPr>
                <w:color w:val="000000" w:themeColor="text1"/>
                <w:kern w:val="0"/>
                <w:sz w:val="26"/>
                <w:szCs w:val="26"/>
              </w:rPr>
            </w:pPr>
            <w:r w:rsidRPr="008B619A">
              <w:rPr>
                <w:color w:val="000000" w:themeColor="text1"/>
                <w:kern w:val="0"/>
                <w:sz w:val="26"/>
                <w:szCs w:val="26"/>
              </w:rPr>
              <w:t>417</w:t>
            </w:r>
          </w:p>
        </w:tc>
        <w:tc>
          <w:tcPr>
            <w:tcW w:w="1893" w:type="dxa"/>
            <w:tcBorders>
              <w:top w:val="nil"/>
              <w:left w:val="nil"/>
              <w:bottom w:val="single" w:sz="4" w:space="0" w:color="auto"/>
              <w:right w:val="single" w:sz="4" w:space="0" w:color="auto"/>
            </w:tcBorders>
          </w:tcPr>
          <w:p w14:paraId="5B80D2AE" w14:textId="5A1DE3D4" w:rsidR="007D3158" w:rsidRPr="008B619A" w:rsidRDefault="007D3158" w:rsidP="007D3158">
            <w:pPr>
              <w:widowControl/>
              <w:snapToGrid w:val="0"/>
              <w:jc w:val="center"/>
              <w:rPr>
                <w:color w:val="000000" w:themeColor="text1"/>
                <w:kern w:val="0"/>
                <w:sz w:val="26"/>
                <w:szCs w:val="26"/>
              </w:rPr>
            </w:pPr>
            <w:r w:rsidRPr="008B619A">
              <w:rPr>
                <w:color w:val="000000" w:themeColor="text1"/>
                <w:sz w:val="26"/>
                <w:szCs w:val="26"/>
              </w:rPr>
              <w:t>9.16</w:t>
            </w:r>
            <w:r w:rsidR="00C41E14" w:rsidRPr="008B619A">
              <w:rPr>
                <w:rFonts w:hAnsi="標楷體" w:hint="eastAsia"/>
                <w:color w:val="000000" w:themeColor="text1"/>
                <w:sz w:val="26"/>
                <w:szCs w:val="26"/>
              </w:rPr>
              <w:t>%</w:t>
            </w:r>
            <w:r w:rsidRPr="008B619A">
              <w:rPr>
                <w:color w:val="000000" w:themeColor="text1"/>
                <w:sz w:val="26"/>
                <w:szCs w:val="26"/>
              </w:rPr>
              <w:t xml:space="preserve"> </w:t>
            </w:r>
          </w:p>
        </w:tc>
      </w:tr>
      <w:tr w:rsidR="007D3158" w:rsidRPr="008B619A" w14:paraId="6607595D" w14:textId="781F4CC7" w:rsidTr="00EF5C6E">
        <w:trPr>
          <w:trHeight w:val="330"/>
        </w:trPr>
        <w:tc>
          <w:tcPr>
            <w:tcW w:w="4002" w:type="dxa"/>
            <w:tcBorders>
              <w:top w:val="nil"/>
              <w:left w:val="single" w:sz="4" w:space="0" w:color="auto"/>
              <w:bottom w:val="single" w:sz="4" w:space="0" w:color="auto"/>
              <w:right w:val="single" w:sz="4" w:space="0" w:color="auto"/>
            </w:tcBorders>
            <w:shd w:val="clear" w:color="auto" w:fill="auto"/>
            <w:noWrap/>
            <w:vAlign w:val="bottom"/>
            <w:hideMark/>
          </w:tcPr>
          <w:p w14:paraId="42D3DA71" w14:textId="77777777" w:rsidR="007D3158" w:rsidRPr="008B619A" w:rsidRDefault="007D3158" w:rsidP="007D3158">
            <w:pPr>
              <w:widowControl/>
              <w:snapToGrid w:val="0"/>
              <w:rPr>
                <w:b/>
                <w:color w:val="000000" w:themeColor="text1"/>
                <w:kern w:val="0"/>
                <w:sz w:val="26"/>
                <w:szCs w:val="26"/>
              </w:rPr>
            </w:pPr>
            <w:r w:rsidRPr="008B619A">
              <w:rPr>
                <w:b/>
                <w:color w:val="000000" w:themeColor="text1"/>
                <w:kern w:val="0"/>
                <w:sz w:val="26"/>
                <w:szCs w:val="26"/>
              </w:rPr>
              <w:t>生命科學學門</w:t>
            </w:r>
          </w:p>
        </w:tc>
        <w:tc>
          <w:tcPr>
            <w:tcW w:w="2944" w:type="dxa"/>
            <w:tcBorders>
              <w:top w:val="nil"/>
              <w:left w:val="nil"/>
              <w:bottom w:val="single" w:sz="4" w:space="0" w:color="auto"/>
              <w:right w:val="single" w:sz="4" w:space="0" w:color="auto"/>
            </w:tcBorders>
            <w:shd w:val="clear" w:color="auto" w:fill="auto"/>
            <w:noWrap/>
            <w:vAlign w:val="bottom"/>
            <w:hideMark/>
          </w:tcPr>
          <w:p w14:paraId="546FF498" w14:textId="77777777" w:rsidR="007D3158" w:rsidRPr="008B619A" w:rsidRDefault="007D3158" w:rsidP="007D3158">
            <w:pPr>
              <w:widowControl/>
              <w:snapToGrid w:val="0"/>
              <w:jc w:val="right"/>
              <w:rPr>
                <w:color w:val="000000" w:themeColor="text1"/>
                <w:kern w:val="0"/>
                <w:sz w:val="26"/>
                <w:szCs w:val="26"/>
              </w:rPr>
            </w:pPr>
            <w:r w:rsidRPr="008B619A">
              <w:rPr>
                <w:color w:val="000000" w:themeColor="text1"/>
                <w:kern w:val="0"/>
                <w:sz w:val="26"/>
                <w:szCs w:val="26"/>
              </w:rPr>
              <w:t>288</w:t>
            </w:r>
          </w:p>
        </w:tc>
        <w:tc>
          <w:tcPr>
            <w:tcW w:w="1893" w:type="dxa"/>
            <w:tcBorders>
              <w:top w:val="nil"/>
              <w:left w:val="nil"/>
              <w:bottom w:val="single" w:sz="4" w:space="0" w:color="auto"/>
              <w:right w:val="single" w:sz="4" w:space="0" w:color="auto"/>
            </w:tcBorders>
          </w:tcPr>
          <w:p w14:paraId="63D159E3" w14:textId="47BA1661" w:rsidR="007D3158" w:rsidRPr="008B619A" w:rsidRDefault="007D3158" w:rsidP="007D3158">
            <w:pPr>
              <w:widowControl/>
              <w:snapToGrid w:val="0"/>
              <w:jc w:val="center"/>
              <w:rPr>
                <w:color w:val="000000" w:themeColor="text1"/>
                <w:kern w:val="0"/>
                <w:sz w:val="26"/>
                <w:szCs w:val="26"/>
              </w:rPr>
            </w:pPr>
            <w:r w:rsidRPr="008B619A">
              <w:rPr>
                <w:color w:val="000000" w:themeColor="text1"/>
                <w:sz w:val="26"/>
                <w:szCs w:val="26"/>
              </w:rPr>
              <w:t>6.33</w:t>
            </w:r>
            <w:r w:rsidR="00C41E14" w:rsidRPr="008B619A">
              <w:rPr>
                <w:rFonts w:hAnsi="標楷體" w:hint="eastAsia"/>
                <w:color w:val="000000" w:themeColor="text1"/>
                <w:sz w:val="26"/>
                <w:szCs w:val="26"/>
              </w:rPr>
              <w:t>%</w:t>
            </w:r>
            <w:r w:rsidRPr="008B619A">
              <w:rPr>
                <w:color w:val="000000" w:themeColor="text1"/>
                <w:sz w:val="26"/>
                <w:szCs w:val="26"/>
              </w:rPr>
              <w:t xml:space="preserve"> </w:t>
            </w:r>
          </w:p>
        </w:tc>
      </w:tr>
      <w:tr w:rsidR="007D3158" w:rsidRPr="008B619A" w14:paraId="1F6B33D8" w14:textId="7172535F" w:rsidTr="00EF5C6E">
        <w:trPr>
          <w:trHeight w:val="330"/>
        </w:trPr>
        <w:tc>
          <w:tcPr>
            <w:tcW w:w="4002" w:type="dxa"/>
            <w:tcBorders>
              <w:top w:val="nil"/>
              <w:left w:val="single" w:sz="4" w:space="0" w:color="auto"/>
              <w:bottom w:val="single" w:sz="4" w:space="0" w:color="auto"/>
              <w:right w:val="single" w:sz="4" w:space="0" w:color="auto"/>
            </w:tcBorders>
            <w:shd w:val="clear" w:color="auto" w:fill="auto"/>
            <w:noWrap/>
            <w:vAlign w:val="bottom"/>
            <w:hideMark/>
          </w:tcPr>
          <w:p w14:paraId="42FC1F13" w14:textId="77777777" w:rsidR="007D3158" w:rsidRPr="008B619A" w:rsidRDefault="007D3158" w:rsidP="007D3158">
            <w:pPr>
              <w:widowControl/>
              <w:snapToGrid w:val="0"/>
              <w:rPr>
                <w:b/>
                <w:color w:val="000000" w:themeColor="text1"/>
                <w:kern w:val="0"/>
                <w:sz w:val="26"/>
                <w:szCs w:val="26"/>
              </w:rPr>
            </w:pPr>
            <w:r w:rsidRPr="008B619A">
              <w:rPr>
                <w:b/>
                <w:color w:val="000000" w:themeColor="text1"/>
                <w:kern w:val="0"/>
                <w:sz w:val="26"/>
                <w:szCs w:val="26"/>
              </w:rPr>
              <w:t>資訊通訊科技學門</w:t>
            </w:r>
          </w:p>
        </w:tc>
        <w:tc>
          <w:tcPr>
            <w:tcW w:w="2944" w:type="dxa"/>
            <w:tcBorders>
              <w:top w:val="nil"/>
              <w:left w:val="nil"/>
              <w:bottom w:val="single" w:sz="4" w:space="0" w:color="auto"/>
              <w:right w:val="single" w:sz="4" w:space="0" w:color="auto"/>
            </w:tcBorders>
            <w:shd w:val="clear" w:color="auto" w:fill="auto"/>
            <w:noWrap/>
            <w:vAlign w:val="bottom"/>
            <w:hideMark/>
          </w:tcPr>
          <w:p w14:paraId="5D40F105" w14:textId="77777777" w:rsidR="007D3158" w:rsidRPr="008B619A" w:rsidRDefault="007D3158" w:rsidP="007D3158">
            <w:pPr>
              <w:widowControl/>
              <w:snapToGrid w:val="0"/>
              <w:jc w:val="right"/>
              <w:rPr>
                <w:color w:val="000000" w:themeColor="text1"/>
                <w:kern w:val="0"/>
                <w:sz w:val="26"/>
                <w:szCs w:val="26"/>
              </w:rPr>
            </w:pPr>
            <w:r w:rsidRPr="008B619A">
              <w:rPr>
                <w:color w:val="000000" w:themeColor="text1"/>
                <w:kern w:val="0"/>
                <w:sz w:val="26"/>
                <w:szCs w:val="26"/>
              </w:rPr>
              <w:t>263</w:t>
            </w:r>
          </w:p>
        </w:tc>
        <w:tc>
          <w:tcPr>
            <w:tcW w:w="1893" w:type="dxa"/>
            <w:tcBorders>
              <w:top w:val="nil"/>
              <w:left w:val="nil"/>
              <w:bottom w:val="single" w:sz="4" w:space="0" w:color="auto"/>
              <w:right w:val="single" w:sz="4" w:space="0" w:color="auto"/>
            </w:tcBorders>
          </w:tcPr>
          <w:p w14:paraId="49F551A8" w14:textId="48F96353" w:rsidR="007D3158" w:rsidRPr="008B619A" w:rsidRDefault="007D3158" w:rsidP="007D3158">
            <w:pPr>
              <w:widowControl/>
              <w:snapToGrid w:val="0"/>
              <w:jc w:val="center"/>
              <w:rPr>
                <w:color w:val="000000" w:themeColor="text1"/>
                <w:kern w:val="0"/>
                <w:sz w:val="26"/>
                <w:szCs w:val="26"/>
              </w:rPr>
            </w:pPr>
            <w:r w:rsidRPr="008B619A">
              <w:rPr>
                <w:color w:val="000000" w:themeColor="text1"/>
                <w:sz w:val="26"/>
                <w:szCs w:val="26"/>
              </w:rPr>
              <w:t>5.78</w:t>
            </w:r>
            <w:r w:rsidR="00C41E14" w:rsidRPr="008B619A">
              <w:rPr>
                <w:rFonts w:hAnsi="標楷體" w:hint="eastAsia"/>
                <w:color w:val="000000" w:themeColor="text1"/>
                <w:sz w:val="26"/>
                <w:szCs w:val="26"/>
              </w:rPr>
              <w:t>%</w:t>
            </w:r>
            <w:r w:rsidRPr="008B619A">
              <w:rPr>
                <w:color w:val="000000" w:themeColor="text1"/>
                <w:sz w:val="26"/>
                <w:szCs w:val="26"/>
              </w:rPr>
              <w:t xml:space="preserve"> </w:t>
            </w:r>
          </w:p>
        </w:tc>
      </w:tr>
      <w:tr w:rsidR="007D3158" w:rsidRPr="008B619A" w14:paraId="2A6760A5" w14:textId="634A7478" w:rsidTr="00EF5C6E">
        <w:trPr>
          <w:trHeight w:val="330"/>
        </w:trPr>
        <w:tc>
          <w:tcPr>
            <w:tcW w:w="4002" w:type="dxa"/>
            <w:tcBorders>
              <w:top w:val="nil"/>
              <w:left w:val="single" w:sz="4" w:space="0" w:color="auto"/>
              <w:bottom w:val="single" w:sz="4" w:space="0" w:color="auto"/>
              <w:right w:val="single" w:sz="4" w:space="0" w:color="auto"/>
            </w:tcBorders>
            <w:shd w:val="clear" w:color="auto" w:fill="auto"/>
            <w:noWrap/>
            <w:vAlign w:val="bottom"/>
            <w:hideMark/>
          </w:tcPr>
          <w:p w14:paraId="6EB0B5F0" w14:textId="77777777" w:rsidR="007D3158" w:rsidRPr="008B619A" w:rsidRDefault="007D3158" w:rsidP="007D3158">
            <w:pPr>
              <w:widowControl/>
              <w:snapToGrid w:val="0"/>
              <w:rPr>
                <w:b/>
                <w:color w:val="000000" w:themeColor="text1"/>
                <w:kern w:val="0"/>
                <w:sz w:val="26"/>
                <w:szCs w:val="26"/>
              </w:rPr>
            </w:pPr>
            <w:r w:rsidRPr="008B619A">
              <w:rPr>
                <w:b/>
                <w:color w:val="000000" w:themeColor="text1"/>
                <w:kern w:val="0"/>
                <w:sz w:val="26"/>
                <w:szCs w:val="26"/>
              </w:rPr>
              <w:t>社會及行為科學學門</w:t>
            </w:r>
          </w:p>
        </w:tc>
        <w:tc>
          <w:tcPr>
            <w:tcW w:w="2944" w:type="dxa"/>
            <w:tcBorders>
              <w:top w:val="nil"/>
              <w:left w:val="nil"/>
              <w:bottom w:val="single" w:sz="4" w:space="0" w:color="auto"/>
              <w:right w:val="single" w:sz="4" w:space="0" w:color="auto"/>
            </w:tcBorders>
            <w:shd w:val="clear" w:color="auto" w:fill="auto"/>
            <w:noWrap/>
            <w:vAlign w:val="bottom"/>
            <w:hideMark/>
          </w:tcPr>
          <w:p w14:paraId="0C40BB8A" w14:textId="77777777" w:rsidR="007D3158" w:rsidRPr="008B619A" w:rsidRDefault="007D3158" w:rsidP="007D3158">
            <w:pPr>
              <w:widowControl/>
              <w:snapToGrid w:val="0"/>
              <w:jc w:val="right"/>
              <w:rPr>
                <w:color w:val="000000" w:themeColor="text1"/>
                <w:kern w:val="0"/>
                <w:sz w:val="26"/>
                <w:szCs w:val="26"/>
              </w:rPr>
            </w:pPr>
            <w:r w:rsidRPr="008B619A">
              <w:rPr>
                <w:color w:val="000000" w:themeColor="text1"/>
                <w:kern w:val="0"/>
                <w:sz w:val="26"/>
                <w:szCs w:val="26"/>
              </w:rPr>
              <w:t>207</w:t>
            </w:r>
          </w:p>
        </w:tc>
        <w:tc>
          <w:tcPr>
            <w:tcW w:w="1893" w:type="dxa"/>
            <w:tcBorders>
              <w:top w:val="nil"/>
              <w:left w:val="nil"/>
              <w:bottom w:val="single" w:sz="4" w:space="0" w:color="auto"/>
              <w:right w:val="single" w:sz="4" w:space="0" w:color="auto"/>
            </w:tcBorders>
          </w:tcPr>
          <w:p w14:paraId="3A6302A6" w14:textId="3EA50BBC" w:rsidR="007D3158" w:rsidRPr="008B619A" w:rsidRDefault="007D3158" w:rsidP="007D3158">
            <w:pPr>
              <w:widowControl/>
              <w:snapToGrid w:val="0"/>
              <w:jc w:val="center"/>
              <w:rPr>
                <w:color w:val="000000" w:themeColor="text1"/>
                <w:kern w:val="0"/>
                <w:sz w:val="26"/>
                <w:szCs w:val="26"/>
              </w:rPr>
            </w:pPr>
            <w:r w:rsidRPr="008B619A">
              <w:rPr>
                <w:color w:val="000000" w:themeColor="text1"/>
                <w:sz w:val="26"/>
                <w:szCs w:val="26"/>
              </w:rPr>
              <w:t>4.55</w:t>
            </w:r>
            <w:r w:rsidR="00B8233B" w:rsidRPr="008B619A">
              <w:rPr>
                <w:rFonts w:hAnsi="標楷體" w:hint="eastAsia"/>
                <w:color w:val="000000" w:themeColor="text1"/>
                <w:sz w:val="26"/>
                <w:szCs w:val="26"/>
              </w:rPr>
              <w:t>%</w:t>
            </w:r>
            <w:r w:rsidRPr="008B619A">
              <w:rPr>
                <w:color w:val="000000" w:themeColor="text1"/>
                <w:sz w:val="26"/>
                <w:szCs w:val="26"/>
              </w:rPr>
              <w:t xml:space="preserve"> </w:t>
            </w:r>
          </w:p>
        </w:tc>
      </w:tr>
      <w:tr w:rsidR="007D3158" w:rsidRPr="008B619A" w14:paraId="638ABA0A" w14:textId="03697918" w:rsidTr="00EF5C6E">
        <w:trPr>
          <w:trHeight w:val="330"/>
        </w:trPr>
        <w:tc>
          <w:tcPr>
            <w:tcW w:w="4002" w:type="dxa"/>
            <w:tcBorders>
              <w:top w:val="nil"/>
              <w:left w:val="single" w:sz="4" w:space="0" w:color="auto"/>
              <w:bottom w:val="single" w:sz="4" w:space="0" w:color="auto"/>
              <w:right w:val="single" w:sz="4" w:space="0" w:color="auto"/>
            </w:tcBorders>
            <w:shd w:val="clear" w:color="auto" w:fill="auto"/>
            <w:noWrap/>
            <w:vAlign w:val="bottom"/>
            <w:hideMark/>
          </w:tcPr>
          <w:p w14:paraId="5AF366AB" w14:textId="77777777" w:rsidR="007D3158" w:rsidRPr="008B619A" w:rsidRDefault="007D3158" w:rsidP="007D3158">
            <w:pPr>
              <w:widowControl/>
              <w:snapToGrid w:val="0"/>
              <w:rPr>
                <w:b/>
                <w:color w:val="000000" w:themeColor="text1"/>
                <w:kern w:val="0"/>
                <w:sz w:val="26"/>
                <w:szCs w:val="26"/>
              </w:rPr>
            </w:pPr>
            <w:r w:rsidRPr="008B619A">
              <w:rPr>
                <w:b/>
                <w:color w:val="000000" w:themeColor="text1"/>
                <w:kern w:val="0"/>
                <w:sz w:val="26"/>
                <w:szCs w:val="26"/>
              </w:rPr>
              <w:t>建築及營建工程學門</w:t>
            </w:r>
          </w:p>
        </w:tc>
        <w:tc>
          <w:tcPr>
            <w:tcW w:w="2944" w:type="dxa"/>
            <w:tcBorders>
              <w:top w:val="nil"/>
              <w:left w:val="nil"/>
              <w:bottom w:val="single" w:sz="4" w:space="0" w:color="auto"/>
              <w:right w:val="single" w:sz="4" w:space="0" w:color="auto"/>
            </w:tcBorders>
            <w:shd w:val="clear" w:color="auto" w:fill="auto"/>
            <w:noWrap/>
            <w:vAlign w:val="bottom"/>
            <w:hideMark/>
          </w:tcPr>
          <w:p w14:paraId="46B687F6" w14:textId="77777777" w:rsidR="007D3158" w:rsidRPr="008B619A" w:rsidRDefault="007D3158" w:rsidP="007D3158">
            <w:pPr>
              <w:widowControl/>
              <w:snapToGrid w:val="0"/>
              <w:jc w:val="right"/>
              <w:rPr>
                <w:color w:val="000000" w:themeColor="text1"/>
                <w:kern w:val="0"/>
                <w:sz w:val="26"/>
                <w:szCs w:val="26"/>
              </w:rPr>
            </w:pPr>
            <w:r w:rsidRPr="008B619A">
              <w:rPr>
                <w:color w:val="000000" w:themeColor="text1"/>
                <w:kern w:val="0"/>
                <w:sz w:val="26"/>
                <w:szCs w:val="26"/>
              </w:rPr>
              <w:t>177</w:t>
            </w:r>
          </w:p>
        </w:tc>
        <w:tc>
          <w:tcPr>
            <w:tcW w:w="1893" w:type="dxa"/>
            <w:tcBorders>
              <w:top w:val="nil"/>
              <w:left w:val="nil"/>
              <w:bottom w:val="single" w:sz="4" w:space="0" w:color="auto"/>
              <w:right w:val="single" w:sz="4" w:space="0" w:color="auto"/>
            </w:tcBorders>
          </w:tcPr>
          <w:p w14:paraId="00573895" w14:textId="5CC01133" w:rsidR="007D3158" w:rsidRPr="008B619A" w:rsidRDefault="007D3158" w:rsidP="007D3158">
            <w:pPr>
              <w:widowControl/>
              <w:snapToGrid w:val="0"/>
              <w:jc w:val="center"/>
              <w:rPr>
                <w:color w:val="000000" w:themeColor="text1"/>
                <w:kern w:val="0"/>
                <w:sz w:val="26"/>
                <w:szCs w:val="26"/>
              </w:rPr>
            </w:pPr>
            <w:r w:rsidRPr="008B619A">
              <w:rPr>
                <w:color w:val="000000" w:themeColor="text1"/>
                <w:sz w:val="26"/>
                <w:szCs w:val="26"/>
              </w:rPr>
              <w:t>3.89</w:t>
            </w:r>
            <w:r w:rsidR="00B8233B" w:rsidRPr="008B619A">
              <w:rPr>
                <w:rFonts w:hAnsi="標楷體" w:hint="eastAsia"/>
                <w:color w:val="000000" w:themeColor="text1"/>
                <w:sz w:val="26"/>
                <w:szCs w:val="26"/>
              </w:rPr>
              <w:t>%</w:t>
            </w:r>
            <w:r w:rsidRPr="008B619A">
              <w:rPr>
                <w:color w:val="000000" w:themeColor="text1"/>
                <w:sz w:val="26"/>
                <w:szCs w:val="26"/>
              </w:rPr>
              <w:t xml:space="preserve"> </w:t>
            </w:r>
          </w:p>
        </w:tc>
      </w:tr>
      <w:tr w:rsidR="007D3158" w:rsidRPr="008B619A" w14:paraId="55CD4888" w14:textId="2D225BB6" w:rsidTr="00EF5C6E">
        <w:trPr>
          <w:trHeight w:val="330"/>
        </w:trPr>
        <w:tc>
          <w:tcPr>
            <w:tcW w:w="4002" w:type="dxa"/>
            <w:tcBorders>
              <w:top w:val="nil"/>
              <w:left w:val="single" w:sz="4" w:space="0" w:color="auto"/>
              <w:bottom w:val="single" w:sz="4" w:space="0" w:color="auto"/>
              <w:right w:val="single" w:sz="4" w:space="0" w:color="auto"/>
            </w:tcBorders>
            <w:shd w:val="clear" w:color="auto" w:fill="auto"/>
            <w:noWrap/>
            <w:vAlign w:val="bottom"/>
            <w:hideMark/>
          </w:tcPr>
          <w:p w14:paraId="5C0FEB05" w14:textId="77777777" w:rsidR="007D3158" w:rsidRPr="008B619A" w:rsidRDefault="007D3158" w:rsidP="007D3158">
            <w:pPr>
              <w:widowControl/>
              <w:snapToGrid w:val="0"/>
              <w:rPr>
                <w:b/>
                <w:color w:val="000000" w:themeColor="text1"/>
                <w:kern w:val="0"/>
                <w:sz w:val="26"/>
                <w:szCs w:val="26"/>
              </w:rPr>
            </w:pPr>
            <w:r w:rsidRPr="008B619A">
              <w:rPr>
                <w:b/>
                <w:color w:val="000000" w:themeColor="text1"/>
                <w:kern w:val="0"/>
                <w:sz w:val="26"/>
                <w:szCs w:val="26"/>
              </w:rPr>
              <w:t>語文學門</w:t>
            </w:r>
          </w:p>
        </w:tc>
        <w:tc>
          <w:tcPr>
            <w:tcW w:w="2944" w:type="dxa"/>
            <w:tcBorders>
              <w:top w:val="nil"/>
              <w:left w:val="nil"/>
              <w:bottom w:val="single" w:sz="4" w:space="0" w:color="auto"/>
              <w:right w:val="single" w:sz="4" w:space="0" w:color="auto"/>
            </w:tcBorders>
            <w:shd w:val="clear" w:color="auto" w:fill="auto"/>
            <w:noWrap/>
            <w:vAlign w:val="bottom"/>
            <w:hideMark/>
          </w:tcPr>
          <w:p w14:paraId="69B81367" w14:textId="77777777" w:rsidR="007D3158" w:rsidRPr="008B619A" w:rsidRDefault="007D3158" w:rsidP="007D3158">
            <w:pPr>
              <w:widowControl/>
              <w:snapToGrid w:val="0"/>
              <w:jc w:val="right"/>
              <w:rPr>
                <w:color w:val="000000" w:themeColor="text1"/>
                <w:kern w:val="0"/>
                <w:sz w:val="26"/>
                <w:szCs w:val="26"/>
              </w:rPr>
            </w:pPr>
            <w:r w:rsidRPr="008B619A">
              <w:rPr>
                <w:color w:val="000000" w:themeColor="text1"/>
                <w:kern w:val="0"/>
                <w:sz w:val="26"/>
                <w:szCs w:val="26"/>
              </w:rPr>
              <w:t>176</w:t>
            </w:r>
          </w:p>
        </w:tc>
        <w:tc>
          <w:tcPr>
            <w:tcW w:w="1893" w:type="dxa"/>
            <w:tcBorders>
              <w:top w:val="nil"/>
              <w:left w:val="nil"/>
              <w:bottom w:val="single" w:sz="4" w:space="0" w:color="auto"/>
              <w:right w:val="single" w:sz="4" w:space="0" w:color="auto"/>
            </w:tcBorders>
          </w:tcPr>
          <w:p w14:paraId="1A2515B6" w14:textId="4F60AC91" w:rsidR="007D3158" w:rsidRPr="008B619A" w:rsidRDefault="007D3158" w:rsidP="007D3158">
            <w:pPr>
              <w:widowControl/>
              <w:snapToGrid w:val="0"/>
              <w:jc w:val="center"/>
              <w:rPr>
                <w:color w:val="000000" w:themeColor="text1"/>
                <w:kern w:val="0"/>
                <w:sz w:val="26"/>
                <w:szCs w:val="26"/>
              </w:rPr>
            </w:pPr>
            <w:r w:rsidRPr="008B619A">
              <w:rPr>
                <w:color w:val="000000" w:themeColor="text1"/>
                <w:sz w:val="26"/>
                <w:szCs w:val="26"/>
              </w:rPr>
              <w:t>3.87</w:t>
            </w:r>
            <w:r w:rsidR="00B8233B" w:rsidRPr="008B619A">
              <w:rPr>
                <w:rFonts w:hAnsi="標楷體" w:hint="eastAsia"/>
                <w:color w:val="000000" w:themeColor="text1"/>
                <w:sz w:val="26"/>
                <w:szCs w:val="26"/>
              </w:rPr>
              <w:t>%</w:t>
            </w:r>
            <w:r w:rsidRPr="008B619A">
              <w:rPr>
                <w:color w:val="000000" w:themeColor="text1"/>
                <w:sz w:val="26"/>
                <w:szCs w:val="26"/>
              </w:rPr>
              <w:t xml:space="preserve"> </w:t>
            </w:r>
          </w:p>
        </w:tc>
      </w:tr>
      <w:tr w:rsidR="007D3158" w:rsidRPr="008B619A" w14:paraId="5BDE3E96" w14:textId="1BBE98A6" w:rsidTr="00EF5C6E">
        <w:trPr>
          <w:trHeight w:val="330"/>
        </w:trPr>
        <w:tc>
          <w:tcPr>
            <w:tcW w:w="4002" w:type="dxa"/>
            <w:tcBorders>
              <w:top w:val="nil"/>
              <w:left w:val="single" w:sz="4" w:space="0" w:color="auto"/>
              <w:bottom w:val="single" w:sz="4" w:space="0" w:color="auto"/>
              <w:right w:val="single" w:sz="4" w:space="0" w:color="auto"/>
            </w:tcBorders>
            <w:shd w:val="clear" w:color="auto" w:fill="auto"/>
            <w:noWrap/>
            <w:vAlign w:val="bottom"/>
            <w:hideMark/>
          </w:tcPr>
          <w:p w14:paraId="3F647BBF" w14:textId="77777777" w:rsidR="007D3158" w:rsidRPr="008B619A" w:rsidRDefault="007D3158" w:rsidP="007D3158">
            <w:pPr>
              <w:widowControl/>
              <w:snapToGrid w:val="0"/>
              <w:rPr>
                <w:b/>
                <w:color w:val="000000" w:themeColor="text1"/>
                <w:kern w:val="0"/>
                <w:sz w:val="26"/>
                <w:szCs w:val="26"/>
              </w:rPr>
            </w:pPr>
            <w:r w:rsidRPr="008B619A">
              <w:rPr>
                <w:b/>
                <w:color w:val="000000" w:themeColor="text1"/>
                <w:kern w:val="0"/>
                <w:sz w:val="26"/>
                <w:szCs w:val="26"/>
              </w:rPr>
              <w:t>教育學門</w:t>
            </w:r>
          </w:p>
        </w:tc>
        <w:tc>
          <w:tcPr>
            <w:tcW w:w="2944" w:type="dxa"/>
            <w:tcBorders>
              <w:top w:val="nil"/>
              <w:left w:val="nil"/>
              <w:bottom w:val="single" w:sz="4" w:space="0" w:color="auto"/>
              <w:right w:val="single" w:sz="4" w:space="0" w:color="auto"/>
            </w:tcBorders>
            <w:shd w:val="clear" w:color="auto" w:fill="auto"/>
            <w:noWrap/>
            <w:vAlign w:val="bottom"/>
            <w:hideMark/>
          </w:tcPr>
          <w:p w14:paraId="0CEC2F46" w14:textId="77777777" w:rsidR="007D3158" w:rsidRPr="008B619A" w:rsidRDefault="007D3158" w:rsidP="007D3158">
            <w:pPr>
              <w:widowControl/>
              <w:snapToGrid w:val="0"/>
              <w:jc w:val="right"/>
              <w:rPr>
                <w:color w:val="000000" w:themeColor="text1"/>
                <w:kern w:val="0"/>
                <w:sz w:val="26"/>
                <w:szCs w:val="26"/>
              </w:rPr>
            </w:pPr>
            <w:r w:rsidRPr="008B619A">
              <w:rPr>
                <w:color w:val="000000" w:themeColor="text1"/>
                <w:kern w:val="0"/>
                <w:sz w:val="26"/>
                <w:szCs w:val="26"/>
              </w:rPr>
              <w:t>148</w:t>
            </w:r>
          </w:p>
        </w:tc>
        <w:tc>
          <w:tcPr>
            <w:tcW w:w="1893" w:type="dxa"/>
            <w:tcBorders>
              <w:top w:val="nil"/>
              <w:left w:val="nil"/>
              <w:bottom w:val="single" w:sz="4" w:space="0" w:color="auto"/>
              <w:right w:val="single" w:sz="4" w:space="0" w:color="auto"/>
            </w:tcBorders>
          </w:tcPr>
          <w:p w14:paraId="79F2CE40" w14:textId="4AC904C0" w:rsidR="007D3158" w:rsidRPr="008B619A" w:rsidRDefault="007D3158" w:rsidP="007D3158">
            <w:pPr>
              <w:widowControl/>
              <w:snapToGrid w:val="0"/>
              <w:jc w:val="center"/>
              <w:rPr>
                <w:color w:val="000000" w:themeColor="text1"/>
                <w:kern w:val="0"/>
                <w:sz w:val="26"/>
                <w:szCs w:val="26"/>
              </w:rPr>
            </w:pPr>
            <w:r w:rsidRPr="008B619A">
              <w:rPr>
                <w:color w:val="000000" w:themeColor="text1"/>
                <w:sz w:val="26"/>
                <w:szCs w:val="26"/>
              </w:rPr>
              <w:t>3.25</w:t>
            </w:r>
            <w:r w:rsidR="00B8233B" w:rsidRPr="008B619A">
              <w:rPr>
                <w:rFonts w:hAnsi="標楷體" w:hint="eastAsia"/>
                <w:color w:val="000000" w:themeColor="text1"/>
                <w:sz w:val="26"/>
                <w:szCs w:val="26"/>
              </w:rPr>
              <w:t>%</w:t>
            </w:r>
            <w:r w:rsidRPr="008B619A">
              <w:rPr>
                <w:color w:val="000000" w:themeColor="text1"/>
                <w:sz w:val="26"/>
                <w:szCs w:val="26"/>
              </w:rPr>
              <w:t xml:space="preserve"> </w:t>
            </w:r>
          </w:p>
        </w:tc>
      </w:tr>
      <w:tr w:rsidR="007D3158" w:rsidRPr="008B619A" w14:paraId="349F90E3" w14:textId="72DF650F" w:rsidTr="00EF5C6E">
        <w:trPr>
          <w:trHeight w:val="330"/>
        </w:trPr>
        <w:tc>
          <w:tcPr>
            <w:tcW w:w="4002" w:type="dxa"/>
            <w:tcBorders>
              <w:top w:val="nil"/>
              <w:left w:val="single" w:sz="4" w:space="0" w:color="auto"/>
              <w:bottom w:val="single" w:sz="4" w:space="0" w:color="auto"/>
              <w:right w:val="single" w:sz="4" w:space="0" w:color="auto"/>
            </w:tcBorders>
            <w:shd w:val="clear" w:color="auto" w:fill="auto"/>
            <w:noWrap/>
            <w:vAlign w:val="bottom"/>
            <w:hideMark/>
          </w:tcPr>
          <w:p w14:paraId="7813D622" w14:textId="77777777" w:rsidR="007D3158" w:rsidRPr="008B619A" w:rsidRDefault="007D3158" w:rsidP="007D3158">
            <w:pPr>
              <w:widowControl/>
              <w:snapToGrid w:val="0"/>
              <w:rPr>
                <w:b/>
                <w:color w:val="000000" w:themeColor="text1"/>
                <w:kern w:val="0"/>
                <w:sz w:val="26"/>
                <w:szCs w:val="26"/>
              </w:rPr>
            </w:pPr>
            <w:r w:rsidRPr="008B619A">
              <w:rPr>
                <w:b/>
                <w:color w:val="000000" w:themeColor="text1"/>
                <w:kern w:val="0"/>
                <w:sz w:val="26"/>
                <w:szCs w:val="26"/>
              </w:rPr>
              <w:t>農業學門</w:t>
            </w:r>
          </w:p>
        </w:tc>
        <w:tc>
          <w:tcPr>
            <w:tcW w:w="2944" w:type="dxa"/>
            <w:tcBorders>
              <w:top w:val="nil"/>
              <w:left w:val="nil"/>
              <w:bottom w:val="single" w:sz="4" w:space="0" w:color="auto"/>
              <w:right w:val="single" w:sz="4" w:space="0" w:color="auto"/>
            </w:tcBorders>
            <w:shd w:val="clear" w:color="auto" w:fill="auto"/>
            <w:noWrap/>
            <w:vAlign w:val="bottom"/>
            <w:hideMark/>
          </w:tcPr>
          <w:p w14:paraId="2C0AC7CB" w14:textId="77777777" w:rsidR="007D3158" w:rsidRPr="008B619A" w:rsidRDefault="007D3158" w:rsidP="007D3158">
            <w:pPr>
              <w:widowControl/>
              <w:snapToGrid w:val="0"/>
              <w:jc w:val="right"/>
              <w:rPr>
                <w:color w:val="000000" w:themeColor="text1"/>
                <w:kern w:val="0"/>
                <w:sz w:val="26"/>
                <w:szCs w:val="26"/>
              </w:rPr>
            </w:pPr>
            <w:r w:rsidRPr="008B619A">
              <w:rPr>
                <w:color w:val="000000" w:themeColor="text1"/>
                <w:kern w:val="0"/>
                <w:sz w:val="26"/>
                <w:szCs w:val="26"/>
              </w:rPr>
              <w:t>115</w:t>
            </w:r>
          </w:p>
        </w:tc>
        <w:tc>
          <w:tcPr>
            <w:tcW w:w="1893" w:type="dxa"/>
            <w:tcBorders>
              <w:top w:val="nil"/>
              <w:left w:val="nil"/>
              <w:bottom w:val="single" w:sz="4" w:space="0" w:color="auto"/>
              <w:right w:val="single" w:sz="4" w:space="0" w:color="auto"/>
            </w:tcBorders>
          </w:tcPr>
          <w:p w14:paraId="7F34DB5E" w14:textId="1CC81DEE" w:rsidR="007D3158" w:rsidRPr="008B619A" w:rsidRDefault="007D3158" w:rsidP="007D3158">
            <w:pPr>
              <w:widowControl/>
              <w:snapToGrid w:val="0"/>
              <w:jc w:val="center"/>
              <w:rPr>
                <w:color w:val="000000" w:themeColor="text1"/>
                <w:kern w:val="0"/>
                <w:sz w:val="26"/>
                <w:szCs w:val="26"/>
              </w:rPr>
            </w:pPr>
            <w:r w:rsidRPr="008B619A">
              <w:rPr>
                <w:color w:val="000000" w:themeColor="text1"/>
                <w:sz w:val="26"/>
                <w:szCs w:val="26"/>
              </w:rPr>
              <w:t>2.53</w:t>
            </w:r>
            <w:r w:rsidR="00B8233B" w:rsidRPr="008B619A">
              <w:rPr>
                <w:rFonts w:hAnsi="標楷體" w:hint="eastAsia"/>
                <w:color w:val="000000" w:themeColor="text1"/>
                <w:sz w:val="26"/>
                <w:szCs w:val="26"/>
              </w:rPr>
              <w:t>%</w:t>
            </w:r>
            <w:r w:rsidRPr="008B619A">
              <w:rPr>
                <w:color w:val="000000" w:themeColor="text1"/>
                <w:sz w:val="26"/>
                <w:szCs w:val="26"/>
              </w:rPr>
              <w:t xml:space="preserve"> </w:t>
            </w:r>
          </w:p>
        </w:tc>
      </w:tr>
      <w:tr w:rsidR="007D3158" w:rsidRPr="008B619A" w14:paraId="47137F57" w14:textId="29D0AD25" w:rsidTr="00EF5C6E">
        <w:trPr>
          <w:trHeight w:val="330"/>
        </w:trPr>
        <w:tc>
          <w:tcPr>
            <w:tcW w:w="4002" w:type="dxa"/>
            <w:tcBorders>
              <w:top w:val="nil"/>
              <w:left w:val="single" w:sz="4" w:space="0" w:color="auto"/>
              <w:bottom w:val="single" w:sz="4" w:space="0" w:color="auto"/>
              <w:right w:val="single" w:sz="4" w:space="0" w:color="auto"/>
            </w:tcBorders>
            <w:shd w:val="clear" w:color="auto" w:fill="auto"/>
            <w:noWrap/>
            <w:vAlign w:val="bottom"/>
            <w:hideMark/>
          </w:tcPr>
          <w:p w14:paraId="68861BA5" w14:textId="77777777" w:rsidR="007D3158" w:rsidRPr="008B619A" w:rsidRDefault="007D3158" w:rsidP="007D3158">
            <w:pPr>
              <w:widowControl/>
              <w:snapToGrid w:val="0"/>
              <w:rPr>
                <w:b/>
                <w:color w:val="000000" w:themeColor="text1"/>
                <w:kern w:val="0"/>
                <w:sz w:val="26"/>
                <w:szCs w:val="26"/>
              </w:rPr>
            </w:pPr>
            <w:r w:rsidRPr="008B619A">
              <w:rPr>
                <w:b/>
                <w:color w:val="000000" w:themeColor="text1"/>
                <w:kern w:val="0"/>
                <w:sz w:val="26"/>
                <w:szCs w:val="26"/>
              </w:rPr>
              <w:t>人文學門</w:t>
            </w:r>
          </w:p>
        </w:tc>
        <w:tc>
          <w:tcPr>
            <w:tcW w:w="2944" w:type="dxa"/>
            <w:tcBorders>
              <w:top w:val="nil"/>
              <w:left w:val="nil"/>
              <w:bottom w:val="single" w:sz="4" w:space="0" w:color="auto"/>
              <w:right w:val="single" w:sz="4" w:space="0" w:color="auto"/>
            </w:tcBorders>
            <w:shd w:val="clear" w:color="auto" w:fill="auto"/>
            <w:noWrap/>
            <w:vAlign w:val="bottom"/>
            <w:hideMark/>
          </w:tcPr>
          <w:p w14:paraId="7BDF7835" w14:textId="77777777" w:rsidR="007D3158" w:rsidRPr="008B619A" w:rsidRDefault="007D3158" w:rsidP="007D3158">
            <w:pPr>
              <w:widowControl/>
              <w:snapToGrid w:val="0"/>
              <w:jc w:val="right"/>
              <w:rPr>
                <w:color w:val="000000" w:themeColor="text1"/>
                <w:kern w:val="0"/>
                <w:sz w:val="26"/>
                <w:szCs w:val="26"/>
              </w:rPr>
            </w:pPr>
            <w:r w:rsidRPr="008B619A">
              <w:rPr>
                <w:color w:val="000000" w:themeColor="text1"/>
                <w:kern w:val="0"/>
                <w:sz w:val="26"/>
                <w:szCs w:val="26"/>
              </w:rPr>
              <w:t>99</w:t>
            </w:r>
          </w:p>
        </w:tc>
        <w:tc>
          <w:tcPr>
            <w:tcW w:w="1893" w:type="dxa"/>
            <w:tcBorders>
              <w:top w:val="nil"/>
              <w:left w:val="nil"/>
              <w:bottom w:val="single" w:sz="4" w:space="0" w:color="auto"/>
              <w:right w:val="single" w:sz="4" w:space="0" w:color="auto"/>
            </w:tcBorders>
          </w:tcPr>
          <w:p w14:paraId="458F31FE" w14:textId="443107AE" w:rsidR="007D3158" w:rsidRPr="008B619A" w:rsidRDefault="007D3158" w:rsidP="007D3158">
            <w:pPr>
              <w:widowControl/>
              <w:snapToGrid w:val="0"/>
              <w:jc w:val="center"/>
              <w:rPr>
                <w:color w:val="000000" w:themeColor="text1"/>
                <w:kern w:val="0"/>
                <w:sz w:val="26"/>
                <w:szCs w:val="26"/>
              </w:rPr>
            </w:pPr>
            <w:r w:rsidRPr="008B619A">
              <w:rPr>
                <w:color w:val="000000" w:themeColor="text1"/>
                <w:sz w:val="26"/>
                <w:szCs w:val="26"/>
              </w:rPr>
              <w:t>2.18</w:t>
            </w:r>
            <w:r w:rsidR="00B8233B" w:rsidRPr="008B619A">
              <w:rPr>
                <w:rFonts w:hAnsi="標楷體" w:hint="eastAsia"/>
                <w:color w:val="000000" w:themeColor="text1"/>
                <w:sz w:val="26"/>
                <w:szCs w:val="26"/>
              </w:rPr>
              <w:t>%</w:t>
            </w:r>
            <w:r w:rsidRPr="008B619A">
              <w:rPr>
                <w:color w:val="000000" w:themeColor="text1"/>
                <w:sz w:val="26"/>
                <w:szCs w:val="26"/>
              </w:rPr>
              <w:t xml:space="preserve"> </w:t>
            </w:r>
          </w:p>
        </w:tc>
      </w:tr>
      <w:tr w:rsidR="007D3158" w:rsidRPr="008B619A" w14:paraId="07230784" w14:textId="217DB70A" w:rsidTr="00EF5C6E">
        <w:trPr>
          <w:trHeight w:val="330"/>
        </w:trPr>
        <w:tc>
          <w:tcPr>
            <w:tcW w:w="4002" w:type="dxa"/>
            <w:tcBorders>
              <w:top w:val="nil"/>
              <w:left w:val="single" w:sz="4" w:space="0" w:color="auto"/>
              <w:bottom w:val="single" w:sz="4" w:space="0" w:color="auto"/>
              <w:right w:val="single" w:sz="4" w:space="0" w:color="auto"/>
            </w:tcBorders>
            <w:shd w:val="clear" w:color="auto" w:fill="auto"/>
            <w:noWrap/>
            <w:vAlign w:val="bottom"/>
            <w:hideMark/>
          </w:tcPr>
          <w:p w14:paraId="520910A2" w14:textId="77777777" w:rsidR="007D3158" w:rsidRPr="008B619A" w:rsidRDefault="007D3158" w:rsidP="007D3158">
            <w:pPr>
              <w:widowControl/>
              <w:snapToGrid w:val="0"/>
              <w:rPr>
                <w:b/>
                <w:color w:val="000000" w:themeColor="text1"/>
                <w:kern w:val="0"/>
                <w:sz w:val="26"/>
                <w:szCs w:val="26"/>
              </w:rPr>
            </w:pPr>
            <w:r w:rsidRPr="008B619A">
              <w:rPr>
                <w:b/>
                <w:color w:val="000000" w:themeColor="text1"/>
                <w:kern w:val="0"/>
                <w:sz w:val="26"/>
                <w:szCs w:val="26"/>
              </w:rPr>
              <w:t>藝術學門</w:t>
            </w:r>
          </w:p>
        </w:tc>
        <w:tc>
          <w:tcPr>
            <w:tcW w:w="2944" w:type="dxa"/>
            <w:tcBorders>
              <w:top w:val="nil"/>
              <w:left w:val="nil"/>
              <w:bottom w:val="single" w:sz="4" w:space="0" w:color="auto"/>
              <w:right w:val="single" w:sz="4" w:space="0" w:color="auto"/>
            </w:tcBorders>
            <w:shd w:val="clear" w:color="auto" w:fill="auto"/>
            <w:noWrap/>
            <w:vAlign w:val="bottom"/>
            <w:hideMark/>
          </w:tcPr>
          <w:p w14:paraId="40D0037F" w14:textId="77777777" w:rsidR="007D3158" w:rsidRPr="008B619A" w:rsidRDefault="007D3158" w:rsidP="007D3158">
            <w:pPr>
              <w:widowControl/>
              <w:snapToGrid w:val="0"/>
              <w:jc w:val="right"/>
              <w:rPr>
                <w:color w:val="000000" w:themeColor="text1"/>
                <w:kern w:val="0"/>
                <w:sz w:val="26"/>
                <w:szCs w:val="26"/>
              </w:rPr>
            </w:pPr>
            <w:r w:rsidRPr="008B619A">
              <w:rPr>
                <w:color w:val="000000" w:themeColor="text1"/>
                <w:kern w:val="0"/>
                <w:sz w:val="26"/>
                <w:szCs w:val="26"/>
              </w:rPr>
              <w:t>56</w:t>
            </w:r>
          </w:p>
        </w:tc>
        <w:tc>
          <w:tcPr>
            <w:tcW w:w="1893" w:type="dxa"/>
            <w:tcBorders>
              <w:top w:val="nil"/>
              <w:left w:val="nil"/>
              <w:bottom w:val="single" w:sz="4" w:space="0" w:color="auto"/>
              <w:right w:val="single" w:sz="4" w:space="0" w:color="auto"/>
            </w:tcBorders>
          </w:tcPr>
          <w:p w14:paraId="6EE3C555" w14:textId="28007E59" w:rsidR="007D3158" w:rsidRPr="008B619A" w:rsidRDefault="007D3158" w:rsidP="007D3158">
            <w:pPr>
              <w:widowControl/>
              <w:snapToGrid w:val="0"/>
              <w:jc w:val="center"/>
              <w:rPr>
                <w:color w:val="000000" w:themeColor="text1"/>
                <w:kern w:val="0"/>
                <w:sz w:val="26"/>
                <w:szCs w:val="26"/>
              </w:rPr>
            </w:pPr>
            <w:r w:rsidRPr="008B619A">
              <w:rPr>
                <w:color w:val="000000" w:themeColor="text1"/>
                <w:sz w:val="26"/>
                <w:szCs w:val="26"/>
              </w:rPr>
              <w:t>1.23</w:t>
            </w:r>
            <w:r w:rsidR="00B8233B" w:rsidRPr="008B619A">
              <w:rPr>
                <w:rFonts w:hAnsi="標楷體" w:hint="eastAsia"/>
                <w:color w:val="000000" w:themeColor="text1"/>
                <w:sz w:val="26"/>
                <w:szCs w:val="26"/>
              </w:rPr>
              <w:t>%</w:t>
            </w:r>
            <w:r w:rsidRPr="008B619A">
              <w:rPr>
                <w:color w:val="000000" w:themeColor="text1"/>
                <w:sz w:val="26"/>
                <w:szCs w:val="26"/>
              </w:rPr>
              <w:t xml:space="preserve"> </w:t>
            </w:r>
          </w:p>
        </w:tc>
      </w:tr>
      <w:tr w:rsidR="007D3158" w:rsidRPr="008B619A" w14:paraId="3A422FD2" w14:textId="331651C1" w:rsidTr="00EF5C6E">
        <w:trPr>
          <w:trHeight w:val="330"/>
        </w:trPr>
        <w:tc>
          <w:tcPr>
            <w:tcW w:w="4002" w:type="dxa"/>
            <w:tcBorders>
              <w:top w:val="nil"/>
              <w:left w:val="single" w:sz="4" w:space="0" w:color="auto"/>
              <w:bottom w:val="single" w:sz="4" w:space="0" w:color="auto"/>
              <w:right w:val="single" w:sz="4" w:space="0" w:color="auto"/>
            </w:tcBorders>
            <w:shd w:val="clear" w:color="auto" w:fill="auto"/>
            <w:noWrap/>
            <w:vAlign w:val="bottom"/>
            <w:hideMark/>
          </w:tcPr>
          <w:p w14:paraId="65E40767" w14:textId="77777777" w:rsidR="007D3158" w:rsidRPr="008B619A" w:rsidRDefault="007D3158" w:rsidP="007D3158">
            <w:pPr>
              <w:widowControl/>
              <w:snapToGrid w:val="0"/>
              <w:rPr>
                <w:b/>
                <w:color w:val="000000" w:themeColor="text1"/>
                <w:kern w:val="0"/>
                <w:sz w:val="26"/>
                <w:szCs w:val="26"/>
              </w:rPr>
            </w:pPr>
            <w:r w:rsidRPr="008B619A">
              <w:rPr>
                <w:b/>
                <w:color w:val="000000" w:themeColor="text1"/>
                <w:kern w:val="0"/>
                <w:sz w:val="26"/>
                <w:szCs w:val="26"/>
              </w:rPr>
              <w:t>環境學門</w:t>
            </w:r>
          </w:p>
        </w:tc>
        <w:tc>
          <w:tcPr>
            <w:tcW w:w="2944" w:type="dxa"/>
            <w:tcBorders>
              <w:top w:val="nil"/>
              <w:left w:val="nil"/>
              <w:bottom w:val="single" w:sz="4" w:space="0" w:color="auto"/>
              <w:right w:val="single" w:sz="4" w:space="0" w:color="auto"/>
            </w:tcBorders>
            <w:shd w:val="clear" w:color="auto" w:fill="auto"/>
            <w:noWrap/>
            <w:vAlign w:val="bottom"/>
            <w:hideMark/>
          </w:tcPr>
          <w:p w14:paraId="77FCD9F3" w14:textId="77777777" w:rsidR="007D3158" w:rsidRPr="008B619A" w:rsidRDefault="007D3158" w:rsidP="007D3158">
            <w:pPr>
              <w:widowControl/>
              <w:snapToGrid w:val="0"/>
              <w:jc w:val="right"/>
              <w:rPr>
                <w:color w:val="000000" w:themeColor="text1"/>
                <w:kern w:val="0"/>
                <w:sz w:val="26"/>
                <w:szCs w:val="26"/>
              </w:rPr>
            </w:pPr>
            <w:r w:rsidRPr="008B619A">
              <w:rPr>
                <w:color w:val="000000" w:themeColor="text1"/>
                <w:kern w:val="0"/>
                <w:sz w:val="26"/>
                <w:szCs w:val="26"/>
              </w:rPr>
              <w:t>42</w:t>
            </w:r>
          </w:p>
        </w:tc>
        <w:tc>
          <w:tcPr>
            <w:tcW w:w="1893" w:type="dxa"/>
            <w:tcBorders>
              <w:top w:val="nil"/>
              <w:left w:val="nil"/>
              <w:bottom w:val="single" w:sz="4" w:space="0" w:color="auto"/>
              <w:right w:val="single" w:sz="4" w:space="0" w:color="auto"/>
            </w:tcBorders>
          </w:tcPr>
          <w:p w14:paraId="7A4B26F6" w14:textId="35FBD188" w:rsidR="007D3158" w:rsidRPr="008B619A" w:rsidRDefault="007D3158" w:rsidP="007D3158">
            <w:pPr>
              <w:widowControl/>
              <w:snapToGrid w:val="0"/>
              <w:jc w:val="center"/>
              <w:rPr>
                <w:color w:val="000000" w:themeColor="text1"/>
                <w:kern w:val="0"/>
                <w:sz w:val="26"/>
                <w:szCs w:val="26"/>
              </w:rPr>
            </w:pPr>
            <w:r w:rsidRPr="008B619A">
              <w:rPr>
                <w:color w:val="000000" w:themeColor="text1"/>
                <w:sz w:val="26"/>
                <w:szCs w:val="26"/>
              </w:rPr>
              <w:t>0.92</w:t>
            </w:r>
            <w:r w:rsidR="00B8233B" w:rsidRPr="008B619A">
              <w:rPr>
                <w:rFonts w:hAnsi="標楷體" w:hint="eastAsia"/>
                <w:color w:val="000000" w:themeColor="text1"/>
                <w:sz w:val="26"/>
                <w:szCs w:val="26"/>
              </w:rPr>
              <w:t>%</w:t>
            </w:r>
            <w:r w:rsidRPr="008B619A">
              <w:rPr>
                <w:color w:val="000000" w:themeColor="text1"/>
                <w:sz w:val="26"/>
                <w:szCs w:val="26"/>
              </w:rPr>
              <w:t xml:space="preserve"> </w:t>
            </w:r>
          </w:p>
        </w:tc>
      </w:tr>
      <w:tr w:rsidR="007D3158" w:rsidRPr="008B619A" w14:paraId="7CB0EA67" w14:textId="3022A102" w:rsidTr="00EF5C6E">
        <w:trPr>
          <w:trHeight w:val="330"/>
        </w:trPr>
        <w:tc>
          <w:tcPr>
            <w:tcW w:w="4002" w:type="dxa"/>
            <w:tcBorders>
              <w:top w:val="nil"/>
              <w:left w:val="single" w:sz="4" w:space="0" w:color="auto"/>
              <w:bottom w:val="single" w:sz="4" w:space="0" w:color="auto"/>
              <w:right w:val="single" w:sz="4" w:space="0" w:color="auto"/>
            </w:tcBorders>
            <w:shd w:val="clear" w:color="auto" w:fill="auto"/>
            <w:noWrap/>
            <w:vAlign w:val="bottom"/>
            <w:hideMark/>
          </w:tcPr>
          <w:p w14:paraId="18315E8A" w14:textId="77777777" w:rsidR="007D3158" w:rsidRPr="008B619A" w:rsidRDefault="007D3158" w:rsidP="007D3158">
            <w:pPr>
              <w:widowControl/>
              <w:snapToGrid w:val="0"/>
              <w:rPr>
                <w:b/>
                <w:color w:val="000000" w:themeColor="text1"/>
                <w:kern w:val="0"/>
                <w:sz w:val="26"/>
                <w:szCs w:val="26"/>
              </w:rPr>
            </w:pPr>
            <w:r w:rsidRPr="008B619A">
              <w:rPr>
                <w:b/>
                <w:color w:val="000000" w:themeColor="text1"/>
                <w:kern w:val="0"/>
                <w:sz w:val="26"/>
                <w:szCs w:val="26"/>
              </w:rPr>
              <w:t>數學及統計學門</w:t>
            </w:r>
          </w:p>
        </w:tc>
        <w:tc>
          <w:tcPr>
            <w:tcW w:w="2944" w:type="dxa"/>
            <w:tcBorders>
              <w:top w:val="nil"/>
              <w:left w:val="nil"/>
              <w:bottom w:val="single" w:sz="4" w:space="0" w:color="auto"/>
              <w:right w:val="single" w:sz="4" w:space="0" w:color="auto"/>
            </w:tcBorders>
            <w:shd w:val="clear" w:color="auto" w:fill="auto"/>
            <w:noWrap/>
            <w:vAlign w:val="bottom"/>
            <w:hideMark/>
          </w:tcPr>
          <w:p w14:paraId="3904800B" w14:textId="77777777" w:rsidR="007D3158" w:rsidRPr="008B619A" w:rsidRDefault="007D3158" w:rsidP="007D3158">
            <w:pPr>
              <w:widowControl/>
              <w:snapToGrid w:val="0"/>
              <w:jc w:val="right"/>
              <w:rPr>
                <w:color w:val="000000" w:themeColor="text1"/>
                <w:kern w:val="0"/>
                <w:sz w:val="26"/>
                <w:szCs w:val="26"/>
              </w:rPr>
            </w:pPr>
            <w:r w:rsidRPr="008B619A">
              <w:rPr>
                <w:color w:val="000000" w:themeColor="text1"/>
                <w:kern w:val="0"/>
                <w:sz w:val="26"/>
                <w:szCs w:val="26"/>
              </w:rPr>
              <w:t>33</w:t>
            </w:r>
          </w:p>
        </w:tc>
        <w:tc>
          <w:tcPr>
            <w:tcW w:w="1893" w:type="dxa"/>
            <w:tcBorders>
              <w:top w:val="nil"/>
              <w:left w:val="nil"/>
              <w:bottom w:val="single" w:sz="4" w:space="0" w:color="auto"/>
              <w:right w:val="single" w:sz="4" w:space="0" w:color="auto"/>
            </w:tcBorders>
          </w:tcPr>
          <w:p w14:paraId="3B878419" w14:textId="18A226E6" w:rsidR="007D3158" w:rsidRPr="008B619A" w:rsidRDefault="007D3158" w:rsidP="007D3158">
            <w:pPr>
              <w:widowControl/>
              <w:snapToGrid w:val="0"/>
              <w:jc w:val="center"/>
              <w:rPr>
                <w:color w:val="000000" w:themeColor="text1"/>
                <w:kern w:val="0"/>
                <w:sz w:val="26"/>
                <w:szCs w:val="26"/>
              </w:rPr>
            </w:pPr>
            <w:r w:rsidRPr="008B619A">
              <w:rPr>
                <w:color w:val="000000" w:themeColor="text1"/>
                <w:sz w:val="26"/>
                <w:szCs w:val="26"/>
              </w:rPr>
              <w:t>0.73</w:t>
            </w:r>
            <w:r w:rsidR="00B8233B" w:rsidRPr="008B619A">
              <w:rPr>
                <w:rFonts w:hAnsi="標楷體" w:hint="eastAsia"/>
                <w:color w:val="000000" w:themeColor="text1"/>
                <w:sz w:val="26"/>
                <w:szCs w:val="26"/>
              </w:rPr>
              <w:t>%</w:t>
            </w:r>
            <w:r w:rsidRPr="008B619A">
              <w:rPr>
                <w:color w:val="000000" w:themeColor="text1"/>
                <w:sz w:val="26"/>
                <w:szCs w:val="26"/>
              </w:rPr>
              <w:t xml:space="preserve"> </w:t>
            </w:r>
          </w:p>
        </w:tc>
      </w:tr>
      <w:tr w:rsidR="007D3158" w:rsidRPr="008B619A" w14:paraId="43A1D0CA" w14:textId="58E379AA" w:rsidTr="00EF5C6E">
        <w:trPr>
          <w:trHeight w:val="330"/>
        </w:trPr>
        <w:tc>
          <w:tcPr>
            <w:tcW w:w="4002" w:type="dxa"/>
            <w:tcBorders>
              <w:top w:val="nil"/>
              <w:left w:val="single" w:sz="4" w:space="0" w:color="auto"/>
              <w:bottom w:val="single" w:sz="4" w:space="0" w:color="auto"/>
              <w:right w:val="single" w:sz="4" w:space="0" w:color="auto"/>
            </w:tcBorders>
            <w:shd w:val="clear" w:color="auto" w:fill="auto"/>
            <w:noWrap/>
            <w:vAlign w:val="bottom"/>
            <w:hideMark/>
          </w:tcPr>
          <w:p w14:paraId="2A1D6B67" w14:textId="77777777" w:rsidR="007D3158" w:rsidRPr="008B619A" w:rsidRDefault="007D3158" w:rsidP="007D3158">
            <w:pPr>
              <w:widowControl/>
              <w:snapToGrid w:val="0"/>
              <w:rPr>
                <w:b/>
                <w:color w:val="000000" w:themeColor="text1"/>
                <w:kern w:val="0"/>
                <w:sz w:val="26"/>
                <w:szCs w:val="26"/>
              </w:rPr>
            </w:pPr>
            <w:r w:rsidRPr="008B619A">
              <w:rPr>
                <w:b/>
                <w:color w:val="000000" w:themeColor="text1"/>
                <w:kern w:val="0"/>
                <w:sz w:val="26"/>
                <w:szCs w:val="26"/>
              </w:rPr>
              <w:t>餐旅及民生服務學門</w:t>
            </w:r>
          </w:p>
        </w:tc>
        <w:tc>
          <w:tcPr>
            <w:tcW w:w="2944" w:type="dxa"/>
            <w:tcBorders>
              <w:top w:val="nil"/>
              <w:left w:val="nil"/>
              <w:bottom w:val="single" w:sz="4" w:space="0" w:color="auto"/>
              <w:right w:val="single" w:sz="4" w:space="0" w:color="auto"/>
            </w:tcBorders>
            <w:shd w:val="clear" w:color="auto" w:fill="auto"/>
            <w:noWrap/>
            <w:vAlign w:val="bottom"/>
            <w:hideMark/>
          </w:tcPr>
          <w:p w14:paraId="45AE1D2B" w14:textId="77777777" w:rsidR="007D3158" w:rsidRPr="008B619A" w:rsidRDefault="007D3158" w:rsidP="007D3158">
            <w:pPr>
              <w:widowControl/>
              <w:snapToGrid w:val="0"/>
              <w:jc w:val="right"/>
              <w:rPr>
                <w:color w:val="000000" w:themeColor="text1"/>
                <w:kern w:val="0"/>
                <w:sz w:val="26"/>
                <w:szCs w:val="26"/>
              </w:rPr>
            </w:pPr>
            <w:r w:rsidRPr="008B619A">
              <w:rPr>
                <w:color w:val="000000" w:themeColor="text1"/>
                <w:kern w:val="0"/>
                <w:sz w:val="26"/>
                <w:szCs w:val="26"/>
              </w:rPr>
              <w:t>23</w:t>
            </w:r>
          </w:p>
        </w:tc>
        <w:tc>
          <w:tcPr>
            <w:tcW w:w="1893" w:type="dxa"/>
            <w:tcBorders>
              <w:top w:val="nil"/>
              <w:left w:val="nil"/>
              <w:bottom w:val="single" w:sz="4" w:space="0" w:color="auto"/>
              <w:right w:val="single" w:sz="4" w:space="0" w:color="auto"/>
            </w:tcBorders>
          </w:tcPr>
          <w:p w14:paraId="29BF4CA5" w14:textId="1FBB0CE4" w:rsidR="007D3158" w:rsidRPr="008B619A" w:rsidRDefault="007D3158" w:rsidP="007D3158">
            <w:pPr>
              <w:widowControl/>
              <w:snapToGrid w:val="0"/>
              <w:jc w:val="center"/>
              <w:rPr>
                <w:color w:val="000000" w:themeColor="text1"/>
                <w:kern w:val="0"/>
                <w:sz w:val="26"/>
                <w:szCs w:val="26"/>
              </w:rPr>
            </w:pPr>
            <w:r w:rsidRPr="008B619A">
              <w:rPr>
                <w:color w:val="000000" w:themeColor="text1"/>
                <w:sz w:val="26"/>
                <w:szCs w:val="26"/>
              </w:rPr>
              <w:t>0.51</w:t>
            </w:r>
            <w:r w:rsidR="00B8233B" w:rsidRPr="008B619A">
              <w:rPr>
                <w:rFonts w:hAnsi="標楷體" w:hint="eastAsia"/>
                <w:color w:val="000000" w:themeColor="text1"/>
                <w:sz w:val="26"/>
                <w:szCs w:val="26"/>
              </w:rPr>
              <w:t>%</w:t>
            </w:r>
            <w:r w:rsidRPr="008B619A">
              <w:rPr>
                <w:color w:val="000000" w:themeColor="text1"/>
                <w:sz w:val="26"/>
                <w:szCs w:val="26"/>
              </w:rPr>
              <w:t xml:space="preserve"> </w:t>
            </w:r>
          </w:p>
        </w:tc>
      </w:tr>
      <w:tr w:rsidR="007D3158" w:rsidRPr="008B619A" w14:paraId="19F937F9" w14:textId="2AEC2046" w:rsidTr="00EF5C6E">
        <w:trPr>
          <w:trHeight w:val="330"/>
        </w:trPr>
        <w:tc>
          <w:tcPr>
            <w:tcW w:w="4002" w:type="dxa"/>
            <w:tcBorders>
              <w:top w:val="nil"/>
              <w:left w:val="single" w:sz="4" w:space="0" w:color="auto"/>
              <w:bottom w:val="single" w:sz="4" w:space="0" w:color="auto"/>
              <w:right w:val="single" w:sz="4" w:space="0" w:color="auto"/>
            </w:tcBorders>
            <w:shd w:val="clear" w:color="auto" w:fill="auto"/>
            <w:noWrap/>
            <w:vAlign w:val="bottom"/>
            <w:hideMark/>
          </w:tcPr>
          <w:p w14:paraId="31D3AAE1" w14:textId="77777777" w:rsidR="007D3158" w:rsidRPr="008B619A" w:rsidRDefault="007D3158" w:rsidP="007D3158">
            <w:pPr>
              <w:widowControl/>
              <w:snapToGrid w:val="0"/>
              <w:rPr>
                <w:b/>
                <w:color w:val="000000" w:themeColor="text1"/>
                <w:kern w:val="0"/>
                <w:sz w:val="26"/>
                <w:szCs w:val="26"/>
              </w:rPr>
            </w:pPr>
            <w:r w:rsidRPr="008B619A">
              <w:rPr>
                <w:b/>
                <w:color w:val="000000" w:themeColor="text1"/>
                <w:kern w:val="0"/>
                <w:sz w:val="26"/>
                <w:szCs w:val="26"/>
              </w:rPr>
              <w:t>其他學門</w:t>
            </w:r>
          </w:p>
        </w:tc>
        <w:tc>
          <w:tcPr>
            <w:tcW w:w="2944" w:type="dxa"/>
            <w:tcBorders>
              <w:top w:val="nil"/>
              <w:left w:val="nil"/>
              <w:bottom w:val="single" w:sz="4" w:space="0" w:color="auto"/>
              <w:right w:val="single" w:sz="4" w:space="0" w:color="auto"/>
            </w:tcBorders>
            <w:shd w:val="clear" w:color="auto" w:fill="auto"/>
            <w:noWrap/>
            <w:vAlign w:val="bottom"/>
            <w:hideMark/>
          </w:tcPr>
          <w:p w14:paraId="204F36E2" w14:textId="77777777" w:rsidR="007D3158" w:rsidRPr="008B619A" w:rsidRDefault="007D3158" w:rsidP="007D3158">
            <w:pPr>
              <w:widowControl/>
              <w:snapToGrid w:val="0"/>
              <w:jc w:val="right"/>
              <w:rPr>
                <w:color w:val="000000" w:themeColor="text1"/>
                <w:kern w:val="0"/>
                <w:sz w:val="26"/>
                <w:szCs w:val="26"/>
              </w:rPr>
            </w:pPr>
            <w:r w:rsidRPr="008B619A">
              <w:rPr>
                <w:color w:val="000000" w:themeColor="text1"/>
                <w:kern w:val="0"/>
                <w:sz w:val="26"/>
                <w:szCs w:val="26"/>
              </w:rPr>
              <w:t>22</w:t>
            </w:r>
          </w:p>
        </w:tc>
        <w:tc>
          <w:tcPr>
            <w:tcW w:w="1893" w:type="dxa"/>
            <w:tcBorders>
              <w:top w:val="nil"/>
              <w:left w:val="nil"/>
              <w:bottom w:val="single" w:sz="4" w:space="0" w:color="auto"/>
              <w:right w:val="single" w:sz="4" w:space="0" w:color="auto"/>
            </w:tcBorders>
          </w:tcPr>
          <w:p w14:paraId="3F9ED819" w14:textId="65EA374E" w:rsidR="007D3158" w:rsidRPr="008B619A" w:rsidRDefault="007D3158" w:rsidP="007D3158">
            <w:pPr>
              <w:widowControl/>
              <w:snapToGrid w:val="0"/>
              <w:jc w:val="center"/>
              <w:rPr>
                <w:color w:val="000000" w:themeColor="text1"/>
                <w:kern w:val="0"/>
                <w:sz w:val="26"/>
                <w:szCs w:val="26"/>
              </w:rPr>
            </w:pPr>
            <w:r w:rsidRPr="008B619A">
              <w:rPr>
                <w:color w:val="000000" w:themeColor="text1"/>
                <w:sz w:val="26"/>
                <w:szCs w:val="26"/>
              </w:rPr>
              <w:t>0.48</w:t>
            </w:r>
            <w:r w:rsidR="00B8233B" w:rsidRPr="008B619A">
              <w:rPr>
                <w:rFonts w:hAnsi="標楷體" w:hint="eastAsia"/>
                <w:color w:val="000000" w:themeColor="text1"/>
                <w:sz w:val="26"/>
                <w:szCs w:val="26"/>
              </w:rPr>
              <w:t>%</w:t>
            </w:r>
            <w:r w:rsidRPr="008B619A">
              <w:rPr>
                <w:color w:val="000000" w:themeColor="text1"/>
                <w:sz w:val="26"/>
                <w:szCs w:val="26"/>
              </w:rPr>
              <w:t xml:space="preserve"> </w:t>
            </w:r>
          </w:p>
        </w:tc>
      </w:tr>
      <w:tr w:rsidR="007D3158" w:rsidRPr="008B619A" w14:paraId="1D95E034" w14:textId="4BD5198A" w:rsidTr="00EF5C6E">
        <w:trPr>
          <w:trHeight w:val="330"/>
        </w:trPr>
        <w:tc>
          <w:tcPr>
            <w:tcW w:w="4002" w:type="dxa"/>
            <w:tcBorders>
              <w:top w:val="nil"/>
              <w:left w:val="single" w:sz="4" w:space="0" w:color="auto"/>
              <w:bottom w:val="single" w:sz="4" w:space="0" w:color="auto"/>
              <w:right w:val="single" w:sz="4" w:space="0" w:color="auto"/>
            </w:tcBorders>
            <w:shd w:val="clear" w:color="auto" w:fill="auto"/>
            <w:noWrap/>
            <w:vAlign w:val="bottom"/>
            <w:hideMark/>
          </w:tcPr>
          <w:p w14:paraId="08E503F5" w14:textId="77777777" w:rsidR="007D3158" w:rsidRPr="008B619A" w:rsidRDefault="007D3158" w:rsidP="007D3158">
            <w:pPr>
              <w:widowControl/>
              <w:snapToGrid w:val="0"/>
              <w:rPr>
                <w:b/>
                <w:color w:val="000000" w:themeColor="text1"/>
                <w:kern w:val="0"/>
                <w:sz w:val="26"/>
                <w:szCs w:val="26"/>
              </w:rPr>
            </w:pPr>
            <w:r w:rsidRPr="008B619A">
              <w:rPr>
                <w:b/>
                <w:color w:val="000000" w:themeColor="text1"/>
                <w:kern w:val="0"/>
                <w:sz w:val="26"/>
                <w:szCs w:val="26"/>
              </w:rPr>
              <w:t>漁業學門</w:t>
            </w:r>
          </w:p>
        </w:tc>
        <w:tc>
          <w:tcPr>
            <w:tcW w:w="2944" w:type="dxa"/>
            <w:tcBorders>
              <w:top w:val="nil"/>
              <w:left w:val="nil"/>
              <w:bottom w:val="single" w:sz="4" w:space="0" w:color="auto"/>
              <w:right w:val="single" w:sz="4" w:space="0" w:color="auto"/>
            </w:tcBorders>
            <w:shd w:val="clear" w:color="auto" w:fill="auto"/>
            <w:noWrap/>
            <w:vAlign w:val="bottom"/>
            <w:hideMark/>
          </w:tcPr>
          <w:p w14:paraId="54D57FD5" w14:textId="77777777" w:rsidR="007D3158" w:rsidRPr="008B619A" w:rsidRDefault="007D3158" w:rsidP="007D3158">
            <w:pPr>
              <w:widowControl/>
              <w:snapToGrid w:val="0"/>
              <w:jc w:val="right"/>
              <w:rPr>
                <w:color w:val="000000" w:themeColor="text1"/>
                <w:kern w:val="0"/>
                <w:sz w:val="26"/>
                <w:szCs w:val="26"/>
              </w:rPr>
            </w:pPr>
            <w:r w:rsidRPr="008B619A">
              <w:rPr>
                <w:color w:val="000000" w:themeColor="text1"/>
                <w:kern w:val="0"/>
                <w:sz w:val="26"/>
                <w:szCs w:val="26"/>
              </w:rPr>
              <w:t>17</w:t>
            </w:r>
          </w:p>
        </w:tc>
        <w:tc>
          <w:tcPr>
            <w:tcW w:w="1893" w:type="dxa"/>
            <w:tcBorders>
              <w:top w:val="nil"/>
              <w:left w:val="nil"/>
              <w:bottom w:val="single" w:sz="4" w:space="0" w:color="auto"/>
              <w:right w:val="single" w:sz="4" w:space="0" w:color="auto"/>
            </w:tcBorders>
          </w:tcPr>
          <w:p w14:paraId="49419089" w14:textId="6558992E" w:rsidR="007D3158" w:rsidRPr="008B619A" w:rsidRDefault="007D3158" w:rsidP="007D3158">
            <w:pPr>
              <w:widowControl/>
              <w:snapToGrid w:val="0"/>
              <w:jc w:val="center"/>
              <w:rPr>
                <w:color w:val="000000" w:themeColor="text1"/>
                <w:kern w:val="0"/>
                <w:sz w:val="26"/>
                <w:szCs w:val="26"/>
              </w:rPr>
            </w:pPr>
            <w:r w:rsidRPr="008B619A">
              <w:rPr>
                <w:color w:val="000000" w:themeColor="text1"/>
                <w:sz w:val="26"/>
                <w:szCs w:val="26"/>
              </w:rPr>
              <w:t>0.37</w:t>
            </w:r>
            <w:r w:rsidR="00B8233B" w:rsidRPr="008B619A">
              <w:rPr>
                <w:rFonts w:hAnsi="標楷體" w:hint="eastAsia"/>
                <w:color w:val="000000" w:themeColor="text1"/>
                <w:sz w:val="26"/>
                <w:szCs w:val="26"/>
              </w:rPr>
              <w:t>%</w:t>
            </w:r>
            <w:r w:rsidRPr="008B619A">
              <w:rPr>
                <w:color w:val="000000" w:themeColor="text1"/>
                <w:sz w:val="26"/>
                <w:szCs w:val="26"/>
              </w:rPr>
              <w:t xml:space="preserve"> </w:t>
            </w:r>
          </w:p>
        </w:tc>
      </w:tr>
      <w:tr w:rsidR="007D3158" w:rsidRPr="008B619A" w14:paraId="2CC8FF00" w14:textId="7352A398" w:rsidTr="00EF5C6E">
        <w:trPr>
          <w:trHeight w:val="330"/>
        </w:trPr>
        <w:tc>
          <w:tcPr>
            <w:tcW w:w="4002" w:type="dxa"/>
            <w:tcBorders>
              <w:top w:val="nil"/>
              <w:left w:val="single" w:sz="4" w:space="0" w:color="auto"/>
              <w:bottom w:val="single" w:sz="4" w:space="0" w:color="auto"/>
              <w:right w:val="single" w:sz="4" w:space="0" w:color="auto"/>
            </w:tcBorders>
            <w:shd w:val="clear" w:color="auto" w:fill="auto"/>
            <w:noWrap/>
            <w:vAlign w:val="bottom"/>
            <w:hideMark/>
          </w:tcPr>
          <w:p w14:paraId="19C6EBDB" w14:textId="77777777" w:rsidR="007D3158" w:rsidRPr="008B619A" w:rsidRDefault="007D3158" w:rsidP="007D3158">
            <w:pPr>
              <w:widowControl/>
              <w:snapToGrid w:val="0"/>
              <w:rPr>
                <w:b/>
                <w:color w:val="000000" w:themeColor="text1"/>
                <w:kern w:val="0"/>
                <w:sz w:val="26"/>
                <w:szCs w:val="26"/>
              </w:rPr>
            </w:pPr>
            <w:r w:rsidRPr="008B619A">
              <w:rPr>
                <w:b/>
                <w:color w:val="000000" w:themeColor="text1"/>
                <w:kern w:val="0"/>
                <w:sz w:val="26"/>
                <w:szCs w:val="26"/>
              </w:rPr>
              <w:t>製造及加工學門</w:t>
            </w:r>
          </w:p>
        </w:tc>
        <w:tc>
          <w:tcPr>
            <w:tcW w:w="2944" w:type="dxa"/>
            <w:tcBorders>
              <w:top w:val="nil"/>
              <w:left w:val="nil"/>
              <w:bottom w:val="single" w:sz="4" w:space="0" w:color="auto"/>
              <w:right w:val="single" w:sz="4" w:space="0" w:color="auto"/>
            </w:tcBorders>
            <w:shd w:val="clear" w:color="auto" w:fill="auto"/>
            <w:noWrap/>
            <w:vAlign w:val="bottom"/>
            <w:hideMark/>
          </w:tcPr>
          <w:p w14:paraId="7F52F68A" w14:textId="77777777" w:rsidR="007D3158" w:rsidRPr="008B619A" w:rsidRDefault="007D3158" w:rsidP="007D3158">
            <w:pPr>
              <w:widowControl/>
              <w:snapToGrid w:val="0"/>
              <w:jc w:val="right"/>
              <w:rPr>
                <w:color w:val="000000" w:themeColor="text1"/>
                <w:kern w:val="0"/>
                <w:sz w:val="26"/>
                <w:szCs w:val="26"/>
              </w:rPr>
            </w:pPr>
            <w:r w:rsidRPr="008B619A">
              <w:rPr>
                <w:color w:val="000000" w:themeColor="text1"/>
                <w:kern w:val="0"/>
                <w:sz w:val="26"/>
                <w:szCs w:val="26"/>
              </w:rPr>
              <w:t>17</w:t>
            </w:r>
          </w:p>
        </w:tc>
        <w:tc>
          <w:tcPr>
            <w:tcW w:w="1893" w:type="dxa"/>
            <w:tcBorders>
              <w:top w:val="nil"/>
              <w:left w:val="nil"/>
              <w:bottom w:val="single" w:sz="4" w:space="0" w:color="auto"/>
              <w:right w:val="single" w:sz="4" w:space="0" w:color="auto"/>
            </w:tcBorders>
          </w:tcPr>
          <w:p w14:paraId="445AF787" w14:textId="12F95E7E" w:rsidR="007D3158" w:rsidRPr="008B619A" w:rsidRDefault="007D3158" w:rsidP="007D3158">
            <w:pPr>
              <w:widowControl/>
              <w:snapToGrid w:val="0"/>
              <w:jc w:val="center"/>
              <w:rPr>
                <w:color w:val="000000" w:themeColor="text1"/>
                <w:kern w:val="0"/>
                <w:sz w:val="26"/>
                <w:szCs w:val="26"/>
              </w:rPr>
            </w:pPr>
            <w:r w:rsidRPr="008B619A">
              <w:rPr>
                <w:color w:val="000000" w:themeColor="text1"/>
                <w:sz w:val="26"/>
                <w:szCs w:val="26"/>
              </w:rPr>
              <w:t>0.37</w:t>
            </w:r>
            <w:r w:rsidR="00B8233B" w:rsidRPr="008B619A">
              <w:rPr>
                <w:rFonts w:hAnsi="標楷體" w:hint="eastAsia"/>
                <w:color w:val="000000" w:themeColor="text1"/>
                <w:sz w:val="26"/>
                <w:szCs w:val="26"/>
              </w:rPr>
              <w:t>%</w:t>
            </w:r>
            <w:r w:rsidRPr="008B619A">
              <w:rPr>
                <w:color w:val="000000" w:themeColor="text1"/>
                <w:sz w:val="26"/>
                <w:szCs w:val="26"/>
              </w:rPr>
              <w:t xml:space="preserve"> </w:t>
            </w:r>
          </w:p>
        </w:tc>
      </w:tr>
      <w:tr w:rsidR="007D3158" w:rsidRPr="008B619A" w14:paraId="1DD64F15" w14:textId="70D6D2E0" w:rsidTr="00EF5C6E">
        <w:trPr>
          <w:trHeight w:val="330"/>
        </w:trPr>
        <w:tc>
          <w:tcPr>
            <w:tcW w:w="4002" w:type="dxa"/>
            <w:tcBorders>
              <w:top w:val="nil"/>
              <w:left w:val="single" w:sz="4" w:space="0" w:color="auto"/>
              <w:bottom w:val="single" w:sz="4" w:space="0" w:color="auto"/>
              <w:right w:val="single" w:sz="4" w:space="0" w:color="auto"/>
            </w:tcBorders>
            <w:shd w:val="clear" w:color="auto" w:fill="auto"/>
            <w:noWrap/>
            <w:vAlign w:val="bottom"/>
            <w:hideMark/>
          </w:tcPr>
          <w:p w14:paraId="35EB6803" w14:textId="77777777" w:rsidR="007D3158" w:rsidRPr="008B619A" w:rsidRDefault="007D3158" w:rsidP="007D3158">
            <w:pPr>
              <w:widowControl/>
              <w:snapToGrid w:val="0"/>
              <w:rPr>
                <w:b/>
                <w:color w:val="000000" w:themeColor="text1"/>
                <w:kern w:val="0"/>
                <w:sz w:val="26"/>
                <w:szCs w:val="26"/>
              </w:rPr>
            </w:pPr>
            <w:r w:rsidRPr="008B619A">
              <w:rPr>
                <w:b/>
                <w:color w:val="000000" w:themeColor="text1"/>
                <w:kern w:val="0"/>
                <w:sz w:val="26"/>
                <w:szCs w:val="26"/>
              </w:rPr>
              <w:t>獸醫學門</w:t>
            </w:r>
          </w:p>
        </w:tc>
        <w:tc>
          <w:tcPr>
            <w:tcW w:w="2944" w:type="dxa"/>
            <w:tcBorders>
              <w:top w:val="nil"/>
              <w:left w:val="nil"/>
              <w:bottom w:val="single" w:sz="4" w:space="0" w:color="auto"/>
              <w:right w:val="single" w:sz="4" w:space="0" w:color="auto"/>
            </w:tcBorders>
            <w:shd w:val="clear" w:color="auto" w:fill="auto"/>
            <w:noWrap/>
            <w:vAlign w:val="bottom"/>
            <w:hideMark/>
          </w:tcPr>
          <w:p w14:paraId="2301F9BB" w14:textId="77777777" w:rsidR="007D3158" w:rsidRPr="008B619A" w:rsidRDefault="007D3158" w:rsidP="007D3158">
            <w:pPr>
              <w:widowControl/>
              <w:snapToGrid w:val="0"/>
              <w:jc w:val="right"/>
              <w:rPr>
                <w:color w:val="000000" w:themeColor="text1"/>
                <w:kern w:val="0"/>
                <w:sz w:val="26"/>
                <w:szCs w:val="26"/>
              </w:rPr>
            </w:pPr>
            <w:r w:rsidRPr="008B619A">
              <w:rPr>
                <w:color w:val="000000" w:themeColor="text1"/>
                <w:kern w:val="0"/>
                <w:sz w:val="26"/>
                <w:szCs w:val="26"/>
              </w:rPr>
              <w:t>15</w:t>
            </w:r>
          </w:p>
        </w:tc>
        <w:tc>
          <w:tcPr>
            <w:tcW w:w="1893" w:type="dxa"/>
            <w:tcBorders>
              <w:top w:val="nil"/>
              <w:left w:val="nil"/>
              <w:bottom w:val="single" w:sz="4" w:space="0" w:color="auto"/>
              <w:right w:val="single" w:sz="4" w:space="0" w:color="auto"/>
            </w:tcBorders>
          </w:tcPr>
          <w:p w14:paraId="7C64DD99" w14:textId="03AAC704" w:rsidR="007D3158" w:rsidRPr="008B619A" w:rsidRDefault="007D3158" w:rsidP="007D3158">
            <w:pPr>
              <w:widowControl/>
              <w:snapToGrid w:val="0"/>
              <w:jc w:val="center"/>
              <w:rPr>
                <w:color w:val="000000" w:themeColor="text1"/>
                <w:kern w:val="0"/>
                <w:sz w:val="26"/>
                <w:szCs w:val="26"/>
              </w:rPr>
            </w:pPr>
            <w:r w:rsidRPr="008B619A">
              <w:rPr>
                <w:color w:val="000000" w:themeColor="text1"/>
                <w:sz w:val="26"/>
                <w:szCs w:val="26"/>
              </w:rPr>
              <w:t>0.33</w:t>
            </w:r>
            <w:r w:rsidR="00B8233B" w:rsidRPr="008B619A">
              <w:rPr>
                <w:rFonts w:hAnsi="標楷體" w:hint="eastAsia"/>
                <w:color w:val="000000" w:themeColor="text1"/>
                <w:sz w:val="26"/>
                <w:szCs w:val="26"/>
              </w:rPr>
              <w:t>%</w:t>
            </w:r>
            <w:r w:rsidRPr="008B619A">
              <w:rPr>
                <w:color w:val="000000" w:themeColor="text1"/>
                <w:sz w:val="26"/>
                <w:szCs w:val="26"/>
              </w:rPr>
              <w:t xml:space="preserve"> </w:t>
            </w:r>
          </w:p>
        </w:tc>
      </w:tr>
      <w:tr w:rsidR="007D3158" w:rsidRPr="008B619A" w14:paraId="0A21C410" w14:textId="44962B18" w:rsidTr="00EF5C6E">
        <w:trPr>
          <w:trHeight w:val="330"/>
        </w:trPr>
        <w:tc>
          <w:tcPr>
            <w:tcW w:w="4002" w:type="dxa"/>
            <w:tcBorders>
              <w:top w:val="nil"/>
              <w:left w:val="single" w:sz="4" w:space="0" w:color="auto"/>
              <w:bottom w:val="single" w:sz="4" w:space="0" w:color="auto"/>
              <w:right w:val="single" w:sz="4" w:space="0" w:color="auto"/>
            </w:tcBorders>
            <w:shd w:val="clear" w:color="auto" w:fill="auto"/>
            <w:noWrap/>
            <w:vAlign w:val="bottom"/>
            <w:hideMark/>
          </w:tcPr>
          <w:p w14:paraId="41A48B6E" w14:textId="77777777" w:rsidR="007D3158" w:rsidRPr="008B619A" w:rsidRDefault="007D3158" w:rsidP="007D3158">
            <w:pPr>
              <w:widowControl/>
              <w:snapToGrid w:val="0"/>
              <w:rPr>
                <w:b/>
                <w:color w:val="000000" w:themeColor="text1"/>
                <w:kern w:val="0"/>
                <w:sz w:val="26"/>
                <w:szCs w:val="26"/>
              </w:rPr>
            </w:pPr>
            <w:r w:rsidRPr="008B619A">
              <w:rPr>
                <w:b/>
                <w:color w:val="000000" w:themeColor="text1"/>
                <w:kern w:val="0"/>
                <w:sz w:val="26"/>
                <w:szCs w:val="26"/>
              </w:rPr>
              <w:t>運輸服務學門</w:t>
            </w:r>
          </w:p>
        </w:tc>
        <w:tc>
          <w:tcPr>
            <w:tcW w:w="2944" w:type="dxa"/>
            <w:tcBorders>
              <w:top w:val="nil"/>
              <w:left w:val="nil"/>
              <w:bottom w:val="single" w:sz="4" w:space="0" w:color="auto"/>
              <w:right w:val="single" w:sz="4" w:space="0" w:color="auto"/>
            </w:tcBorders>
            <w:shd w:val="clear" w:color="auto" w:fill="auto"/>
            <w:noWrap/>
            <w:vAlign w:val="bottom"/>
            <w:hideMark/>
          </w:tcPr>
          <w:p w14:paraId="6085DAA5" w14:textId="77777777" w:rsidR="007D3158" w:rsidRPr="008B619A" w:rsidRDefault="007D3158" w:rsidP="007D3158">
            <w:pPr>
              <w:widowControl/>
              <w:snapToGrid w:val="0"/>
              <w:jc w:val="right"/>
              <w:rPr>
                <w:color w:val="000000" w:themeColor="text1"/>
                <w:kern w:val="0"/>
                <w:sz w:val="26"/>
                <w:szCs w:val="26"/>
              </w:rPr>
            </w:pPr>
            <w:r w:rsidRPr="008B619A">
              <w:rPr>
                <w:color w:val="000000" w:themeColor="text1"/>
                <w:kern w:val="0"/>
                <w:sz w:val="26"/>
                <w:szCs w:val="26"/>
              </w:rPr>
              <w:t>9</w:t>
            </w:r>
          </w:p>
        </w:tc>
        <w:tc>
          <w:tcPr>
            <w:tcW w:w="1893" w:type="dxa"/>
            <w:tcBorders>
              <w:top w:val="nil"/>
              <w:left w:val="nil"/>
              <w:bottom w:val="single" w:sz="4" w:space="0" w:color="auto"/>
              <w:right w:val="single" w:sz="4" w:space="0" w:color="auto"/>
            </w:tcBorders>
          </w:tcPr>
          <w:p w14:paraId="500022F1" w14:textId="49A1A39E" w:rsidR="007D3158" w:rsidRPr="008B619A" w:rsidRDefault="007D3158" w:rsidP="007D3158">
            <w:pPr>
              <w:widowControl/>
              <w:snapToGrid w:val="0"/>
              <w:jc w:val="center"/>
              <w:rPr>
                <w:color w:val="000000" w:themeColor="text1"/>
                <w:kern w:val="0"/>
                <w:sz w:val="26"/>
                <w:szCs w:val="26"/>
              </w:rPr>
            </w:pPr>
            <w:r w:rsidRPr="008B619A">
              <w:rPr>
                <w:color w:val="000000" w:themeColor="text1"/>
                <w:sz w:val="26"/>
                <w:szCs w:val="26"/>
              </w:rPr>
              <w:t>0.20</w:t>
            </w:r>
            <w:r w:rsidR="00B8233B" w:rsidRPr="008B619A">
              <w:rPr>
                <w:rFonts w:hAnsi="標楷體" w:hint="eastAsia"/>
                <w:color w:val="000000" w:themeColor="text1"/>
                <w:sz w:val="26"/>
                <w:szCs w:val="26"/>
              </w:rPr>
              <w:t>%</w:t>
            </w:r>
            <w:r w:rsidRPr="008B619A">
              <w:rPr>
                <w:color w:val="000000" w:themeColor="text1"/>
                <w:sz w:val="26"/>
                <w:szCs w:val="26"/>
              </w:rPr>
              <w:t xml:space="preserve"> </w:t>
            </w:r>
          </w:p>
        </w:tc>
      </w:tr>
      <w:tr w:rsidR="007D3158" w:rsidRPr="008B619A" w14:paraId="035723D9" w14:textId="30494E9E" w:rsidTr="00EF5C6E">
        <w:trPr>
          <w:trHeight w:val="330"/>
        </w:trPr>
        <w:tc>
          <w:tcPr>
            <w:tcW w:w="4002" w:type="dxa"/>
            <w:tcBorders>
              <w:top w:val="nil"/>
              <w:left w:val="single" w:sz="4" w:space="0" w:color="auto"/>
              <w:bottom w:val="single" w:sz="4" w:space="0" w:color="auto"/>
              <w:right w:val="single" w:sz="4" w:space="0" w:color="auto"/>
            </w:tcBorders>
            <w:shd w:val="clear" w:color="auto" w:fill="auto"/>
            <w:noWrap/>
            <w:vAlign w:val="bottom"/>
            <w:hideMark/>
          </w:tcPr>
          <w:p w14:paraId="4C6B3E4D" w14:textId="77777777" w:rsidR="007D3158" w:rsidRPr="008B619A" w:rsidRDefault="007D3158" w:rsidP="007D3158">
            <w:pPr>
              <w:widowControl/>
              <w:snapToGrid w:val="0"/>
              <w:rPr>
                <w:b/>
                <w:color w:val="000000" w:themeColor="text1"/>
                <w:kern w:val="0"/>
                <w:sz w:val="26"/>
                <w:szCs w:val="26"/>
              </w:rPr>
            </w:pPr>
            <w:r w:rsidRPr="008B619A">
              <w:rPr>
                <w:b/>
                <w:color w:val="000000" w:themeColor="text1"/>
                <w:kern w:val="0"/>
                <w:sz w:val="26"/>
                <w:szCs w:val="26"/>
              </w:rPr>
              <w:t>林業學門</w:t>
            </w:r>
          </w:p>
        </w:tc>
        <w:tc>
          <w:tcPr>
            <w:tcW w:w="2944" w:type="dxa"/>
            <w:tcBorders>
              <w:top w:val="nil"/>
              <w:left w:val="nil"/>
              <w:bottom w:val="single" w:sz="4" w:space="0" w:color="auto"/>
              <w:right w:val="single" w:sz="4" w:space="0" w:color="auto"/>
            </w:tcBorders>
            <w:shd w:val="clear" w:color="auto" w:fill="auto"/>
            <w:noWrap/>
            <w:vAlign w:val="bottom"/>
            <w:hideMark/>
          </w:tcPr>
          <w:p w14:paraId="4941FB6B" w14:textId="77777777" w:rsidR="007D3158" w:rsidRPr="008B619A" w:rsidRDefault="007D3158" w:rsidP="007D3158">
            <w:pPr>
              <w:widowControl/>
              <w:snapToGrid w:val="0"/>
              <w:jc w:val="right"/>
              <w:rPr>
                <w:color w:val="000000" w:themeColor="text1"/>
                <w:kern w:val="0"/>
                <w:sz w:val="26"/>
                <w:szCs w:val="26"/>
              </w:rPr>
            </w:pPr>
            <w:r w:rsidRPr="008B619A">
              <w:rPr>
                <w:color w:val="000000" w:themeColor="text1"/>
                <w:kern w:val="0"/>
                <w:sz w:val="26"/>
                <w:szCs w:val="26"/>
              </w:rPr>
              <w:t>5</w:t>
            </w:r>
          </w:p>
        </w:tc>
        <w:tc>
          <w:tcPr>
            <w:tcW w:w="1893" w:type="dxa"/>
            <w:tcBorders>
              <w:top w:val="nil"/>
              <w:left w:val="nil"/>
              <w:bottom w:val="single" w:sz="4" w:space="0" w:color="auto"/>
              <w:right w:val="single" w:sz="4" w:space="0" w:color="auto"/>
            </w:tcBorders>
          </w:tcPr>
          <w:p w14:paraId="0759DFCA" w14:textId="590EC2F5" w:rsidR="007D3158" w:rsidRPr="008B619A" w:rsidRDefault="007D3158" w:rsidP="007D3158">
            <w:pPr>
              <w:widowControl/>
              <w:snapToGrid w:val="0"/>
              <w:jc w:val="center"/>
              <w:rPr>
                <w:color w:val="000000" w:themeColor="text1"/>
                <w:kern w:val="0"/>
                <w:sz w:val="26"/>
                <w:szCs w:val="26"/>
              </w:rPr>
            </w:pPr>
            <w:r w:rsidRPr="008B619A">
              <w:rPr>
                <w:color w:val="000000" w:themeColor="text1"/>
                <w:sz w:val="26"/>
                <w:szCs w:val="26"/>
              </w:rPr>
              <w:t>0.11</w:t>
            </w:r>
            <w:r w:rsidR="00B8233B" w:rsidRPr="008B619A">
              <w:rPr>
                <w:rFonts w:hAnsi="標楷體" w:hint="eastAsia"/>
                <w:color w:val="000000" w:themeColor="text1"/>
                <w:sz w:val="26"/>
                <w:szCs w:val="26"/>
              </w:rPr>
              <w:t>%</w:t>
            </w:r>
            <w:r w:rsidRPr="008B619A">
              <w:rPr>
                <w:color w:val="000000" w:themeColor="text1"/>
                <w:sz w:val="26"/>
                <w:szCs w:val="26"/>
              </w:rPr>
              <w:t xml:space="preserve"> </w:t>
            </w:r>
          </w:p>
        </w:tc>
      </w:tr>
      <w:tr w:rsidR="007D3158" w:rsidRPr="008B619A" w14:paraId="2BDC953A" w14:textId="1DEAFA70" w:rsidTr="00EF5C6E">
        <w:trPr>
          <w:trHeight w:val="330"/>
        </w:trPr>
        <w:tc>
          <w:tcPr>
            <w:tcW w:w="4002" w:type="dxa"/>
            <w:tcBorders>
              <w:top w:val="nil"/>
              <w:left w:val="single" w:sz="4" w:space="0" w:color="auto"/>
              <w:bottom w:val="single" w:sz="4" w:space="0" w:color="auto"/>
              <w:right w:val="single" w:sz="4" w:space="0" w:color="auto"/>
            </w:tcBorders>
            <w:shd w:val="clear" w:color="auto" w:fill="auto"/>
            <w:noWrap/>
            <w:vAlign w:val="bottom"/>
            <w:hideMark/>
          </w:tcPr>
          <w:p w14:paraId="4106E57E" w14:textId="77777777" w:rsidR="007D3158" w:rsidRPr="008B619A" w:rsidRDefault="007D3158" w:rsidP="007D3158">
            <w:pPr>
              <w:widowControl/>
              <w:snapToGrid w:val="0"/>
              <w:rPr>
                <w:b/>
                <w:color w:val="000000" w:themeColor="text1"/>
                <w:kern w:val="0"/>
                <w:sz w:val="26"/>
                <w:szCs w:val="26"/>
              </w:rPr>
            </w:pPr>
            <w:r w:rsidRPr="008B619A">
              <w:rPr>
                <w:b/>
                <w:color w:val="000000" w:themeColor="text1"/>
                <w:kern w:val="0"/>
                <w:sz w:val="26"/>
                <w:szCs w:val="26"/>
              </w:rPr>
              <w:t>法律學門</w:t>
            </w:r>
          </w:p>
        </w:tc>
        <w:tc>
          <w:tcPr>
            <w:tcW w:w="2944" w:type="dxa"/>
            <w:tcBorders>
              <w:top w:val="nil"/>
              <w:left w:val="nil"/>
              <w:bottom w:val="single" w:sz="4" w:space="0" w:color="auto"/>
              <w:right w:val="single" w:sz="4" w:space="0" w:color="auto"/>
            </w:tcBorders>
            <w:shd w:val="clear" w:color="auto" w:fill="auto"/>
            <w:noWrap/>
            <w:vAlign w:val="bottom"/>
            <w:hideMark/>
          </w:tcPr>
          <w:p w14:paraId="409EEC50" w14:textId="77777777" w:rsidR="007D3158" w:rsidRPr="008B619A" w:rsidRDefault="007D3158" w:rsidP="007D3158">
            <w:pPr>
              <w:widowControl/>
              <w:snapToGrid w:val="0"/>
              <w:jc w:val="right"/>
              <w:rPr>
                <w:color w:val="000000" w:themeColor="text1"/>
                <w:kern w:val="0"/>
                <w:sz w:val="26"/>
                <w:szCs w:val="26"/>
              </w:rPr>
            </w:pPr>
            <w:r w:rsidRPr="008B619A">
              <w:rPr>
                <w:color w:val="000000" w:themeColor="text1"/>
                <w:kern w:val="0"/>
                <w:sz w:val="26"/>
                <w:szCs w:val="26"/>
              </w:rPr>
              <w:t>5</w:t>
            </w:r>
          </w:p>
        </w:tc>
        <w:tc>
          <w:tcPr>
            <w:tcW w:w="1893" w:type="dxa"/>
            <w:tcBorders>
              <w:top w:val="nil"/>
              <w:left w:val="nil"/>
              <w:bottom w:val="single" w:sz="4" w:space="0" w:color="auto"/>
              <w:right w:val="single" w:sz="4" w:space="0" w:color="auto"/>
            </w:tcBorders>
          </w:tcPr>
          <w:p w14:paraId="5A965B0D" w14:textId="265A13B0" w:rsidR="007D3158" w:rsidRPr="008B619A" w:rsidRDefault="007D3158" w:rsidP="007D3158">
            <w:pPr>
              <w:widowControl/>
              <w:snapToGrid w:val="0"/>
              <w:jc w:val="center"/>
              <w:rPr>
                <w:color w:val="000000" w:themeColor="text1"/>
                <w:kern w:val="0"/>
                <w:sz w:val="26"/>
                <w:szCs w:val="26"/>
              </w:rPr>
            </w:pPr>
            <w:r w:rsidRPr="008B619A">
              <w:rPr>
                <w:color w:val="000000" w:themeColor="text1"/>
                <w:sz w:val="26"/>
                <w:szCs w:val="26"/>
              </w:rPr>
              <w:t>0.11</w:t>
            </w:r>
            <w:r w:rsidR="00B8233B" w:rsidRPr="008B619A">
              <w:rPr>
                <w:rFonts w:hAnsi="標楷體" w:hint="eastAsia"/>
                <w:color w:val="000000" w:themeColor="text1"/>
                <w:sz w:val="26"/>
                <w:szCs w:val="26"/>
              </w:rPr>
              <w:t>%</w:t>
            </w:r>
            <w:r w:rsidRPr="008B619A">
              <w:rPr>
                <w:color w:val="000000" w:themeColor="text1"/>
                <w:sz w:val="26"/>
                <w:szCs w:val="26"/>
              </w:rPr>
              <w:t xml:space="preserve"> </w:t>
            </w:r>
          </w:p>
        </w:tc>
      </w:tr>
      <w:tr w:rsidR="007D3158" w:rsidRPr="008B619A" w14:paraId="52E34866" w14:textId="552FDCAF" w:rsidTr="00EF5C6E">
        <w:trPr>
          <w:trHeight w:val="330"/>
        </w:trPr>
        <w:tc>
          <w:tcPr>
            <w:tcW w:w="4002" w:type="dxa"/>
            <w:tcBorders>
              <w:top w:val="nil"/>
              <w:left w:val="single" w:sz="4" w:space="0" w:color="auto"/>
              <w:bottom w:val="single" w:sz="4" w:space="0" w:color="auto"/>
              <w:right w:val="single" w:sz="4" w:space="0" w:color="auto"/>
            </w:tcBorders>
            <w:shd w:val="clear" w:color="auto" w:fill="auto"/>
            <w:noWrap/>
            <w:vAlign w:val="bottom"/>
            <w:hideMark/>
          </w:tcPr>
          <w:p w14:paraId="48559595" w14:textId="77777777" w:rsidR="007D3158" w:rsidRPr="008B619A" w:rsidRDefault="007D3158" w:rsidP="007D3158">
            <w:pPr>
              <w:widowControl/>
              <w:snapToGrid w:val="0"/>
              <w:rPr>
                <w:b/>
                <w:color w:val="000000" w:themeColor="text1"/>
                <w:kern w:val="0"/>
                <w:sz w:val="26"/>
                <w:szCs w:val="26"/>
              </w:rPr>
            </w:pPr>
            <w:r w:rsidRPr="008B619A">
              <w:rPr>
                <w:b/>
                <w:color w:val="000000" w:themeColor="text1"/>
                <w:kern w:val="0"/>
                <w:sz w:val="26"/>
                <w:szCs w:val="26"/>
              </w:rPr>
              <w:t xml:space="preserve">社會福利學門 </w:t>
            </w:r>
          </w:p>
        </w:tc>
        <w:tc>
          <w:tcPr>
            <w:tcW w:w="2944" w:type="dxa"/>
            <w:tcBorders>
              <w:top w:val="nil"/>
              <w:left w:val="nil"/>
              <w:bottom w:val="single" w:sz="4" w:space="0" w:color="auto"/>
              <w:right w:val="single" w:sz="4" w:space="0" w:color="auto"/>
            </w:tcBorders>
            <w:shd w:val="clear" w:color="auto" w:fill="auto"/>
            <w:noWrap/>
            <w:vAlign w:val="bottom"/>
            <w:hideMark/>
          </w:tcPr>
          <w:p w14:paraId="165841DC" w14:textId="77777777" w:rsidR="007D3158" w:rsidRPr="008B619A" w:rsidRDefault="007D3158" w:rsidP="007D3158">
            <w:pPr>
              <w:widowControl/>
              <w:snapToGrid w:val="0"/>
              <w:jc w:val="right"/>
              <w:rPr>
                <w:color w:val="000000" w:themeColor="text1"/>
                <w:kern w:val="0"/>
                <w:sz w:val="26"/>
                <w:szCs w:val="26"/>
              </w:rPr>
            </w:pPr>
            <w:r w:rsidRPr="008B619A">
              <w:rPr>
                <w:color w:val="000000" w:themeColor="text1"/>
                <w:kern w:val="0"/>
                <w:sz w:val="26"/>
                <w:szCs w:val="26"/>
              </w:rPr>
              <w:t>4</w:t>
            </w:r>
          </w:p>
        </w:tc>
        <w:tc>
          <w:tcPr>
            <w:tcW w:w="1893" w:type="dxa"/>
            <w:tcBorders>
              <w:top w:val="nil"/>
              <w:left w:val="nil"/>
              <w:bottom w:val="single" w:sz="4" w:space="0" w:color="auto"/>
              <w:right w:val="single" w:sz="4" w:space="0" w:color="auto"/>
            </w:tcBorders>
          </w:tcPr>
          <w:p w14:paraId="2832130C" w14:textId="68B202E1" w:rsidR="007D3158" w:rsidRPr="008B619A" w:rsidRDefault="007D3158" w:rsidP="007D3158">
            <w:pPr>
              <w:widowControl/>
              <w:snapToGrid w:val="0"/>
              <w:jc w:val="center"/>
              <w:rPr>
                <w:color w:val="000000" w:themeColor="text1"/>
                <w:kern w:val="0"/>
                <w:sz w:val="26"/>
                <w:szCs w:val="26"/>
              </w:rPr>
            </w:pPr>
            <w:r w:rsidRPr="008B619A">
              <w:rPr>
                <w:color w:val="000000" w:themeColor="text1"/>
                <w:sz w:val="26"/>
                <w:szCs w:val="26"/>
              </w:rPr>
              <w:t>0.09</w:t>
            </w:r>
            <w:r w:rsidR="00B8233B" w:rsidRPr="008B619A">
              <w:rPr>
                <w:rFonts w:hAnsi="標楷體" w:hint="eastAsia"/>
                <w:color w:val="000000" w:themeColor="text1"/>
                <w:sz w:val="26"/>
                <w:szCs w:val="26"/>
              </w:rPr>
              <w:t>%</w:t>
            </w:r>
            <w:r w:rsidRPr="008B619A">
              <w:rPr>
                <w:color w:val="000000" w:themeColor="text1"/>
                <w:sz w:val="26"/>
                <w:szCs w:val="26"/>
              </w:rPr>
              <w:t xml:space="preserve"> </w:t>
            </w:r>
          </w:p>
        </w:tc>
      </w:tr>
      <w:tr w:rsidR="007D3158" w:rsidRPr="008B619A" w14:paraId="793F55AA" w14:textId="2411754C" w:rsidTr="00EF5C6E">
        <w:trPr>
          <w:trHeight w:val="330"/>
        </w:trPr>
        <w:tc>
          <w:tcPr>
            <w:tcW w:w="4002" w:type="dxa"/>
            <w:tcBorders>
              <w:top w:val="nil"/>
              <w:left w:val="single" w:sz="4" w:space="0" w:color="auto"/>
              <w:bottom w:val="single" w:sz="4" w:space="0" w:color="auto"/>
              <w:right w:val="single" w:sz="4" w:space="0" w:color="auto"/>
            </w:tcBorders>
            <w:shd w:val="clear" w:color="auto" w:fill="auto"/>
            <w:noWrap/>
            <w:vAlign w:val="bottom"/>
            <w:hideMark/>
          </w:tcPr>
          <w:p w14:paraId="745D42B9" w14:textId="77777777" w:rsidR="007D3158" w:rsidRPr="008B619A" w:rsidRDefault="007D3158" w:rsidP="007D3158">
            <w:pPr>
              <w:widowControl/>
              <w:snapToGrid w:val="0"/>
              <w:rPr>
                <w:b/>
                <w:color w:val="000000" w:themeColor="text1"/>
                <w:kern w:val="0"/>
                <w:sz w:val="26"/>
                <w:szCs w:val="26"/>
              </w:rPr>
            </w:pPr>
            <w:r w:rsidRPr="008B619A">
              <w:rPr>
                <w:b/>
                <w:color w:val="000000" w:themeColor="text1"/>
                <w:kern w:val="0"/>
                <w:sz w:val="26"/>
                <w:szCs w:val="26"/>
              </w:rPr>
              <w:t>新聞學及圖書資訊學門</w:t>
            </w:r>
          </w:p>
        </w:tc>
        <w:tc>
          <w:tcPr>
            <w:tcW w:w="2944" w:type="dxa"/>
            <w:tcBorders>
              <w:top w:val="nil"/>
              <w:left w:val="nil"/>
              <w:bottom w:val="single" w:sz="4" w:space="0" w:color="auto"/>
              <w:right w:val="single" w:sz="4" w:space="0" w:color="auto"/>
            </w:tcBorders>
            <w:shd w:val="clear" w:color="auto" w:fill="auto"/>
            <w:noWrap/>
            <w:vAlign w:val="bottom"/>
            <w:hideMark/>
          </w:tcPr>
          <w:p w14:paraId="38D5B2F6" w14:textId="77777777" w:rsidR="007D3158" w:rsidRPr="008B619A" w:rsidRDefault="007D3158" w:rsidP="007D3158">
            <w:pPr>
              <w:widowControl/>
              <w:snapToGrid w:val="0"/>
              <w:jc w:val="right"/>
              <w:rPr>
                <w:color w:val="000000" w:themeColor="text1"/>
                <w:kern w:val="0"/>
                <w:sz w:val="26"/>
                <w:szCs w:val="26"/>
              </w:rPr>
            </w:pPr>
            <w:r w:rsidRPr="008B619A">
              <w:rPr>
                <w:color w:val="000000" w:themeColor="text1"/>
                <w:kern w:val="0"/>
                <w:sz w:val="26"/>
                <w:szCs w:val="26"/>
              </w:rPr>
              <w:t>2</w:t>
            </w:r>
          </w:p>
        </w:tc>
        <w:tc>
          <w:tcPr>
            <w:tcW w:w="1893" w:type="dxa"/>
            <w:tcBorders>
              <w:top w:val="nil"/>
              <w:left w:val="nil"/>
              <w:bottom w:val="single" w:sz="4" w:space="0" w:color="auto"/>
              <w:right w:val="single" w:sz="4" w:space="0" w:color="auto"/>
            </w:tcBorders>
          </w:tcPr>
          <w:p w14:paraId="4CCDB874" w14:textId="10255792" w:rsidR="007D3158" w:rsidRPr="008B619A" w:rsidRDefault="007D3158" w:rsidP="007D3158">
            <w:pPr>
              <w:widowControl/>
              <w:snapToGrid w:val="0"/>
              <w:jc w:val="center"/>
              <w:rPr>
                <w:color w:val="000000" w:themeColor="text1"/>
                <w:kern w:val="0"/>
                <w:sz w:val="26"/>
                <w:szCs w:val="26"/>
              </w:rPr>
            </w:pPr>
            <w:r w:rsidRPr="008B619A">
              <w:rPr>
                <w:color w:val="000000" w:themeColor="text1"/>
                <w:sz w:val="26"/>
                <w:szCs w:val="26"/>
              </w:rPr>
              <w:t>0.04</w:t>
            </w:r>
            <w:r w:rsidR="00B8233B" w:rsidRPr="008B619A">
              <w:rPr>
                <w:rFonts w:hAnsi="標楷體" w:hint="eastAsia"/>
                <w:color w:val="000000" w:themeColor="text1"/>
                <w:sz w:val="26"/>
                <w:szCs w:val="26"/>
              </w:rPr>
              <w:t>%</w:t>
            </w:r>
            <w:r w:rsidRPr="008B619A">
              <w:rPr>
                <w:color w:val="000000" w:themeColor="text1"/>
                <w:sz w:val="26"/>
                <w:szCs w:val="26"/>
              </w:rPr>
              <w:t xml:space="preserve"> </w:t>
            </w:r>
          </w:p>
        </w:tc>
      </w:tr>
      <w:tr w:rsidR="00EF5C6E" w:rsidRPr="008B619A" w14:paraId="57224A68" w14:textId="0B2A1DCC" w:rsidTr="00370286">
        <w:trPr>
          <w:trHeight w:val="330"/>
        </w:trPr>
        <w:tc>
          <w:tcPr>
            <w:tcW w:w="4002" w:type="dxa"/>
            <w:tcBorders>
              <w:top w:val="nil"/>
              <w:left w:val="single" w:sz="4" w:space="0" w:color="auto"/>
              <w:bottom w:val="single" w:sz="4" w:space="0" w:color="auto"/>
              <w:right w:val="single" w:sz="4" w:space="0" w:color="auto"/>
            </w:tcBorders>
            <w:shd w:val="clear" w:color="auto" w:fill="EAF1DD" w:themeFill="accent3" w:themeFillTint="33"/>
            <w:noWrap/>
            <w:vAlign w:val="bottom"/>
            <w:hideMark/>
          </w:tcPr>
          <w:p w14:paraId="0DC653D8" w14:textId="77777777" w:rsidR="00EF5C6E" w:rsidRPr="008B619A" w:rsidRDefault="00EF5C6E" w:rsidP="00485EF7">
            <w:pPr>
              <w:widowControl/>
              <w:snapToGrid w:val="0"/>
              <w:rPr>
                <w:b/>
                <w:color w:val="000000" w:themeColor="text1"/>
                <w:kern w:val="0"/>
                <w:sz w:val="26"/>
                <w:szCs w:val="26"/>
              </w:rPr>
            </w:pPr>
            <w:r w:rsidRPr="008B619A">
              <w:rPr>
                <w:b/>
                <w:color w:val="000000" w:themeColor="text1"/>
                <w:kern w:val="0"/>
                <w:sz w:val="26"/>
                <w:szCs w:val="26"/>
              </w:rPr>
              <w:t>總人數</w:t>
            </w:r>
          </w:p>
        </w:tc>
        <w:tc>
          <w:tcPr>
            <w:tcW w:w="2944" w:type="dxa"/>
            <w:tcBorders>
              <w:top w:val="nil"/>
              <w:left w:val="nil"/>
              <w:bottom w:val="single" w:sz="4" w:space="0" w:color="auto"/>
              <w:right w:val="single" w:sz="4" w:space="0" w:color="auto"/>
            </w:tcBorders>
            <w:shd w:val="clear" w:color="auto" w:fill="EAF1DD" w:themeFill="accent3" w:themeFillTint="33"/>
            <w:noWrap/>
            <w:vAlign w:val="bottom"/>
            <w:hideMark/>
          </w:tcPr>
          <w:p w14:paraId="0C8B4D54" w14:textId="77777777" w:rsidR="00EF5C6E" w:rsidRPr="008B619A" w:rsidRDefault="00EF5C6E" w:rsidP="00763A30">
            <w:pPr>
              <w:widowControl/>
              <w:snapToGrid w:val="0"/>
              <w:jc w:val="right"/>
              <w:rPr>
                <w:color w:val="000000" w:themeColor="text1"/>
                <w:kern w:val="0"/>
                <w:sz w:val="26"/>
                <w:szCs w:val="26"/>
              </w:rPr>
            </w:pPr>
            <w:r w:rsidRPr="008B619A">
              <w:rPr>
                <w:color w:val="000000" w:themeColor="text1"/>
                <w:kern w:val="0"/>
                <w:sz w:val="26"/>
                <w:szCs w:val="26"/>
              </w:rPr>
              <w:t>4,551</w:t>
            </w:r>
          </w:p>
        </w:tc>
        <w:tc>
          <w:tcPr>
            <w:tcW w:w="1893" w:type="dxa"/>
            <w:tcBorders>
              <w:top w:val="nil"/>
              <w:left w:val="nil"/>
              <w:bottom w:val="single" w:sz="4" w:space="0" w:color="auto"/>
              <w:right w:val="single" w:sz="4" w:space="0" w:color="auto"/>
            </w:tcBorders>
            <w:shd w:val="clear" w:color="auto" w:fill="EAF1DD" w:themeFill="accent3" w:themeFillTint="33"/>
          </w:tcPr>
          <w:p w14:paraId="69C5E4E9" w14:textId="608624C2" w:rsidR="00EF5C6E" w:rsidRPr="008B619A" w:rsidRDefault="00FB30AE" w:rsidP="00485EF7">
            <w:pPr>
              <w:widowControl/>
              <w:snapToGrid w:val="0"/>
              <w:jc w:val="center"/>
              <w:rPr>
                <w:color w:val="000000" w:themeColor="text1"/>
                <w:kern w:val="0"/>
                <w:sz w:val="26"/>
                <w:szCs w:val="26"/>
              </w:rPr>
            </w:pPr>
            <w:r w:rsidRPr="008B619A">
              <w:rPr>
                <w:rFonts w:hint="eastAsia"/>
                <w:color w:val="000000" w:themeColor="text1"/>
                <w:kern w:val="0"/>
                <w:sz w:val="26"/>
                <w:szCs w:val="26"/>
              </w:rPr>
              <w:t>100</w:t>
            </w:r>
            <w:r w:rsidRPr="008B619A">
              <w:rPr>
                <w:rFonts w:hAnsi="標楷體" w:hint="eastAsia"/>
                <w:color w:val="000000" w:themeColor="text1"/>
                <w:sz w:val="26"/>
                <w:szCs w:val="26"/>
              </w:rPr>
              <w:t>%</w:t>
            </w:r>
          </w:p>
        </w:tc>
      </w:tr>
    </w:tbl>
    <w:p w14:paraId="007EB84F" w14:textId="26631F9F" w:rsidR="00F90805" w:rsidRPr="008B619A" w:rsidRDefault="00F90805" w:rsidP="00F90805">
      <w:pPr>
        <w:spacing w:afterLines="50" w:after="228"/>
        <w:rPr>
          <w:color w:val="000000" w:themeColor="text1"/>
          <w:sz w:val="24"/>
          <w:szCs w:val="24"/>
        </w:rPr>
      </w:pPr>
      <w:r w:rsidRPr="008B619A">
        <w:rPr>
          <w:rFonts w:hint="eastAsia"/>
          <w:color w:val="000000" w:themeColor="text1"/>
          <w:sz w:val="24"/>
          <w:szCs w:val="24"/>
        </w:rPr>
        <w:t>資料來源：</w:t>
      </w:r>
      <w:r w:rsidR="000F43B9" w:rsidRPr="008B619A">
        <w:rPr>
          <w:rFonts w:hint="eastAsia"/>
          <w:color w:val="000000" w:themeColor="text1"/>
          <w:sz w:val="24"/>
          <w:szCs w:val="24"/>
        </w:rPr>
        <w:t>彙整自</w:t>
      </w:r>
      <w:r w:rsidRPr="008B619A">
        <w:rPr>
          <w:rFonts w:hint="eastAsia"/>
          <w:color w:val="000000" w:themeColor="text1"/>
          <w:sz w:val="24"/>
          <w:szCs w:val="24"/>
        </w:rPr>
        <w:t>教育部</w:t>
      </w:r>
      <w:r w:rsidR="000F43B9" w:rsidRPr="008B619A">
        <w:rPr>
          <w:rFonts w:hint="eastAsia"/>
          <w:color w:val="000000" w:themeColor="text1"/>
          <w:sz w:val="24"/>
          <w:szCs w:val="24"/>
        </w:rPr>
        <w:t>調卷資料</w:t>
      </w:r>
      <w:r w:rsidRPr="008B619A">
        <w:rPr>
          <w:rFonts w:hint="eastAsia"/>
          <w:color w:val="000000" w:themeColor="text1"/>
          <w:sz w:val="24"/>
          <w:szCs w:val="24"/>
        </w:rPr>
        <w:t>。</w:t>
      </w:r>
    </w:p>
    <w:p w14:paraId="000F5557" w14:textId="08B9B887" w:rsidR="00CC5A2D" w:rsidRPr="008B619A" w:rsidRDefault="00DB248D" w:rsidP="00CC5A2D">
      <w:pPr>
        <w:pStyle w:val="4"/>
        <w:rPr>
          <w:color w:val="000000" w:themeColor="text1"/>
        </w:rPr>
      </w:pPr>
      <w:r w:rsidRPr="008B619A">
        <w:rPr>
          <w:rFonts w:hint="eastAsia"/>
          <w:color w:val="000000" w:themeColor="text1"/>
        </w:rPr>
        <w:tab/>
      </w:r>
      <w:r w:rsidR="00691985" w:rsidRPr="008B619A">
        <w:rPr>
          <w:rFonts w:hint="eastAsia"/>
          <w:color w:val="000000" w:themeColor="text1"/>
        </w:rPr>
        <w:t>此外，</w:t>
      </w:r>
      <w:r w:rsidRPr="008B619A">
        <w:rPr>
          <w:rFonts w:hint="eastAsia"/>
          <w:color w:val="000000" w:themeColor="text1"/>
        </w:rPr>
        <w:t>109年境外學位生學士班</w:t>
      </w:r>
      <w:r w:rsidR="00556B9E" w:rsidRPr="008B619A">
        <w:rPr>
          <w:rFonts w:hint="eastAsia"/>
          <w:color w:val="000000" w:themeColor="text1"/>
        </w:rPr>
        <w:t>部分計有</w:t>
      </w:r>
      <w:r w:rsidRPr="008B619A">
        <w:rPr>
          <w:rFonts w:hint="eastAsia"/>
          <w:color w:val="000000" w:themeColor="text1"/>
        </w:rPr>
        <w:t>42,923人，就讀領域人數前</w:t>
      </w:r>
      <w:r w:rsidR="00A1034C" w:rsidRPr="008B619A">
        <w:rPr>
          <w:rFonts w:hint="eastAsia"/>
          <w:color w:val="000000" w:themeColor="text1"/>
        </w:rPr>
        <w:t>5</w:t>
      </w:r>
      <w:r w:rsidRPr="008B619A">
        <w:rPr>
          <w:rFonts w:hint="eastAsia"/>
          <w:color w:val="000000" w:themeColor="text1"/>
        </w:rPr>
        <w:t>名依序為商業及管理學門7,558人、餐旅及民生服務學門6,920人、工程及工程業學門6,469人、藝術學門4,032人以及語文學門3,666人</w:t>
      </w:r>
      <w:r w:rsidR="00911243" w:rsidRPr="008B619A">
        <w:rPr>
          <w:rFonts w:hint="eastAsia"/>
          <w:color w:val="000000" w:themeColor="text1"/>
        </w:rPr>
        <w:t>。</w:t>
      </w:r>
    </w:p>
    <w:p w14:paraId="5F1A3D48" w14:textId="4344E68E" w:rsidR="00DD30FC" w:rsidRPr="008B619A" w:rsidRDefault="00DD30FC" w:rsidP="00DD30FC">
      <w:pPr>
        <w:pStyle w:val="3"/>
        <w:rPr>
          <w:color w:val="000000" w:themeColor="text1"/>
        </w:rPr>
      </w:pPr>
      <w:r w:rsidRPr="008B619A">
        <w:rPr>
          <w:rFonts w:hint="eastAsia"/>
          <w:color w:val="000000" w:themeColor="text1"/>
        </w:rPr>
        <w:t>教育部</w:t>
      </w:r>
      <w:r w:rsidR="000F79F5" w:rsidRPr="008B619A">
        <w:rPr>
          <w:rFonts w:hint="eastAsia"/>
          <w:color w:val="000000" w:themeColor="text1"/>
        </w:rPr>
        <w:t>高教</w:t>
      </w:r>
      <w:r w:rsidR="00D84C9D" w:rsidRPr="008B619A">
        <w:rPr>
          <w:rFonts w:hint="eastAsia"/>
          <w:color w:val="000000" w:themeColor="text1"/>
        </w:rPr>
        <w:t>國際</w:t>
      </w:r>
      <w:r w:rsidR="000F79F5" w:rsidRPr="008B619A">
        <w:rPr>
          <w:rFonts w:hint="eastAsia"/>
          <w:color w:val="000000" w:themeColor="text1"/>
        </w:rPr>
        <w:t>輸出</w:t>
      </w:r>
      <w:r w:rsidR="00AB152B" w:rsidRPr="008B619A">
        <w:rPr>
          <w:rFonts w:hint="eastAsia"/>
          <w:color w:val="000000" w:themeColor="text1"/>
        </w:rPr>
        <w:t>策略</w:t>
      </w:r>
      <w:r w:rsidR="009101D7" w:rsidRPr="008B619A">
        <w:rPr>
          <w:rFonts w:hint="eastAsia"/>
          <w:color w:val="000000" w:themeColor="text1"/>
        </w:rPr>
        <w:t>指出</w:t>
      </w:r>
      <w:r w:rsidR="000F79F5" w:rsidRPr="008B619A">
        <w:rPr>
          <w:rFonts w:hint="eastAsia"/>
          <w:color w:val="000000" w:themeColor="text1"/>
        </w:rPr>
        <w:t>，</w:t>
      </w:r>
      <w:r w:rsidR="00D84C9D" w:rsidRPr="008B619A">
        <w:rPr>
          <w:rFonts w:hint="eastAsia"/>
          <w:color w:val="000000" w:themeColor="text1"/>
        </w:rPr>
        <w:t>為</w:t>
      </w:r>
      <w:r w:rsidR="000F79F5" w:rsidRPr="008B619A">
        <w:rPr>
          <w:color w:val="000000" w:themeColor="text1"/>
        </w:rPr>
        <w:t>鼓勵各大學校</w:t>
      </w:r>
      <w:r w:rsidR="000F79F5" w:rsidRPr="008B619A">
        <w:rPr>
          <w:rFonts w:hint="eastAsia"/>
          <w:color w:val="000000" w:themeColor="text1"/>
        </w:rPr>
        <w:t>院</w:t>
      </w:r>
      <w:r w:rsidR="000F79F5" w:rsidRPr="008B619A">
        <w:rPr>
          <w:color w:val="000000" w:themeColor="text1"/>
        </w:rPr>
        <w:lastRenderedPageBreak/>
        <w:t>招收</w:t>
      </w:r>
      <w:r w:rsidR="000F79F5" w:rsidRPr="008B619A">
        <w:rPr>
          <w:rFonts w:hint="eastAsia"/>
          <w:color w:val="000000" w:themeColor="text1"/>
        </w:rPr>
        <w:t>各國優秀</w:t>
      </w:r>
      <w:r w:rsidR="000F79F5" w:rsidRPr="008B619A">
        <w:rPr>
          <w:color w:val="000000" w:themeColor="text1"/>
        </w:rPr>
        <w:t>境外生</w:t>
      </w:r>
      <w:r w:rsidR="000F79F5" w:rsidRPr="008B619A">
        <w:rPr>
          <w:rFonts w:hint="eastAsia"/>
          <w:color w:val="000000" w:themeColor="text1"/>
        </w:rPr>
        <w:t>來臺就學，</w:t>
      </w:r>
      <w:r w:rsidR="000F79F5" w:rsidRPr="008B619A">
        <w:rPr>
          <w:color w:val="000000" w:themeColor="text1"/>
        </w:rPr>
        <w:t>在嚴重特殊傳染性肺炎</w:t>
      </w:r>
      <w:r w:rsidR="00446981" w:rsidRPr="008B619A">
        <w:rPr>
          <w:rFonts w:hint="eastAsia"/>
          <w:color w:val="000000" w:themeColor="text1"/>
        </w:rPr>
        <w:t>（COVID-19）</w:t>
      </w:r>
      <w:r w:rsidR="000F79F5" w:rsidRPr="008B619A">
        <w:rPr>
          <w:color w:val="000000" w:themeColor="text1"/>
        </w:rPr>
        <w:t>疫情期間國際移動有所限制下，</w:t>
      </w:r>
      <w:r w:rsidR="000F79F5" w:rsidRPr="008B619A">
        <w:rPr>
          <w:rFonts w:hint="eastAsia"/>
          <w:color w:val="000000" w:themeColor="text1"/>
        </w:rPr>
        <w:t>鼓勵彈性實施安心就學方案</w:t>
      </w:r>
      <w:r w:rsidR="000F79F5" w:rsidRPr="008B619A">
        <w:rPr>
          <w:color w:val="000000" w:themeColor="text1"/>
        </w:rPr>
        <w:t>持續招收境外生</w:t>
      </w:r>
      <w:r w:rsidR="000F79F5" w:rsidRPr="008B619A">
        <w:rPr>
          <w:rFonts w:hint="eastAsia"/>
          <w:color w:val="000000" w:themeColor="text1"/>
        </w:rPr>
        <w:t>，以提升我高等教育國際競爭力，</w:t>
      </w:r>
      <w:r w:rsidR="000F79F5" w:rsidRPr="008B619A">
        <w:rPr>
          <w:color w:val="000000" w:themeColor="text1"/>
        </w:rPr>
        <w:t>重</w:t>
      </w:r>
      <w:r w:rsidR="000F79F5" w:rsidRPr="008B619A">
        <w:rPr>
          <w:rFonts w:hint="eastAsia"/>
          <w:color w:val="000000" w:themeColor="text1"/>
        </w:rPr>
        <w:t>要招生作為</w:t>
      </w:r>
      <w:r w:rsidR="00B93F9B" w:rsidRPr="008B619A">
        <w:rPr>
          <w:rFonts w:hint="eastAsia"/>
          <w:color w:val="000000" w:themeColor="text1"/>
        </w:rPr>
        <w:t>如下：</w:t>
      </w:r>
    </w:p>
    <w:p w14:paraId="396E01A1" w14:textId="77777777" w:rsidR="00333ECF" w:rsidRPr="008B619A" w:rsidRDefault="00333ECF" w:rsidP="00031172">
      <w:pPr>
        <w:pStyle w:val="4"/>
        <w:rPr>
          <w:color w:val="000000" w:themeColor="text1"/>
        </w:rPr>
      </w:pPr>
      <w:r w:rsidRPr="008B619A">
        <w:rPr>
          <w:color w:val="000000" w:themeColor="text1"/>
        </w:rPr>
        <w:t>舉辦線上臺灣高等教育展：受疫情影響，</w:t>
      </w:r>
      <w:r w:rsidRPr="008B619A">
        <w:rPr>
          <w:rFonts w:hint="eastAsia"/>
          <w:color w:val="000000" w:themeColor="text1"/>
        </w:rPr>
        <w:t>1</w:t>
      </w:r>
      <w:r w:rsidRPr="008B619A">
        <w:rPr>
          <w:color w:val="000000" w:themeColor="text1"/>
        </w:rPr>
        <w:t>09年臺灣高等教育展改以線上辦理，已陸續舉辦越南、印尼、菲律賓、馬來西亞、泰國、印度、蒙古等線上教育展或招生宣導說明會計12場，國內大專校院參展數超過200校次，吸引觀看及瀏覽約18萬人次，持續強化宣傳留學臺灣。</w:t>
      </w:r>
    </w:p>
    <w:p w14:paraId="4C414CC3" w14:textId="77777777" w:rsidR="00333ECF" w:rsidRPr="008B619A" w:rsidRDefault="00333ECF" w:rsidP="00031172">
      <w:pPr>
        <w:pStyle w:val="4"/>
        <w:rPr>
          <w:color w:val="000000" w:themeColor="text1"/>
        </w:rPr>
      </w:pPr>
      <w:r w:rsidRPr="008B619A">
        <w:rPr>
          <w:rFonts w:hint="eastAsia"/>
          <w:color w:val="000000" w:themeColor="text1"/>
        </w:rPr>
        <w:t>辦理留學臺灣行銷：由財團法人高等教育國際合作基金會（</w:t>
      </w:r>
      <w:r w:rsidRPr="008B619A">
        <w:rPr>
          <w:color w:val="000000" w:themeColor="text1"/>
        </w:rPr>
        <w:t>FICHET</w:t>
      </w:r>
      <w:r w:rsidRPr="008B619A">
        <w:rPr>
          <w:rFonts w:hint="eastAsia"/>
          <w:color w:val="000000" w:themeColor="text1"/>
        </w:rPr>
        <w:t>）擔任單一窗口整合各校海外招生工作，1</w:t>
      </w:r>
      <w:r w:rsidRPr="008B619A">
        <w:rPr>
          <w:color w:val="000000" w:themeColor="text1"/>
        </w:rPr>
        <w:t>09</w:t>
      </w:r>
      <w:r w:rsidRPr="008B619A">
        <w:rPr>
          <w:rFonts w:hint="eastAsia"/>
          <w:color w:val="000000" w:themeColor="text1"/>
        </w:rPr>
        <w:t>年特別製作臺灣防疫專題，拍攝在臺境外生分享臺灣校園成功防疫影片、專文採訪等，掌握受國際間肯定的防疫議題，有效行銷「留學臺灣」。</w:t>
      </w:r>
    </w:p>
    <w:p w14:paraId="002AB56D" w14:textId="77777777" w:rsidR="00333ECF" w:rsidRPr="008B619A" w:rsidRDefault="00333ECF" w:rsidP="00031172">
      <w:pPr>
        <w:pStyle w:val="4"/>
        <w:rPr>
          <w:color w:val="000000" w:themeColor="text1"/>
        </w:rPr>
      </w:pPr>
      <w:r w:rsidRPr="008B619A">
        <w:rPr>
          <w:rFonts w:hint="eastAsia"/>
          <w:color w:val="000000" w:themeColor="text1"/>
        </w:rPr>
        <w:t>辦理</w:t>
      </w:r>
      <w:r w:rsidRPr="008B619A">
        <w:rPr>
          <w:color w:val="000000" w:themeColor="text1"/>
        </w:rPr>
        <w:t>突顯臺灣高等教育特色教育展</w:t>
      </w:r>
      <w:r w:rsidRPr="008B619A">
        <w:rPr>
          <w:rFonts w:hint="eastAsia"/>
          <w:color w:val="000000" w:themeColor="text1"/>
        </w:rPr>
        <w:t>及雙邊教育論壇：於韓國、蒙古、美國、越南、菲律賓等國家辦理以臺灣高等教育特色為主的教育展，補助高教基金會參加亞洲、美洲、歐洲等重要教育者年會，同時辦理雙邊教育論壇，合作對象包括日本、</w:t>
      </w:r>
      <w:r w:rsidRPr="008B619A">
        <w:rPr>
          <w:color w:val="000000" w:themeColor="text1"/>
        </w:rPr>
        <w:t>美國、紐西蘭、匈牙利、德國、法國、英國及比利時</w:t>
      </w:r>
      <w:r w:rsidRPr="008B619A">
        <w:rPr>
          <w:rFonts w:hint="eastAsia"/>
          <w:color w:val="000000" w:themeColor="text1"/>
        </w:rPr>
        <w:t>等國家。</w:t>
      </w:r>
    </w:p>
    <w:p w14:paraId="017ECF3F" w14:textId="77777777" w:rsidR="00333ECF" w:rsidRPr="008B619A" w:rsidRDefault="00333ECF" w:rsidP="00031172">
      <w:pPr>
        <w:pStyle w:val="4"/>
        <w:rPr>
          <w:color w:val="000000" w:themeColor="text1"/>
        </w:rPr>
      </w:pPr>
      <w:r w:rsidRPr="008B619A">
        <w:rPr>
          <w:rFonts w:hint="eastAsia"/>
          <w:color w:val="000000" w:themeColor="text1"/>
        </w:rPr>
        <w:t>提供僑外生獎補助計畫：教育部設置臺灣獎學金、</w:t>
      </w:r>
      <w:r w:rsidRPr="008B619A">
        <w:rPr>
          <w:color w:val="000000" w:themeColor="text1"/>
        </w:rPr>
        <w:t>核發優秀（菁英）僑生獎學金、補助大學校院設置研究所優秀僑生獎學金</w:t>
      </w:r>
      <w:r w:rsidRPr="008B619A">
        <w:rPr>
          <w:rFonts w:hint="eastAsia"/>
          <w:color w:val="000000" w:themeColor="text1"/>
        </w:rPr>
        <w:t>等獎補助計畫，鼓勵僑外生來臺就學。</w:t>
      </w:r>
    </w:p>
    <w:p w14:paraId="78E163A6" w14:textId="77777777" w:rsidR="00333ECF" w:rsidRPr="008B619A" w:rsidRDefault="00333ECF" w:rsidP="00031172">
      <w:pPr>
        <w:pStyle w:val="4"/>
        <w:rPr>
          <w:color w:val="000000" w:themeColor="text1"/>
        </w:rPr>
      </w:pPr>
      <w:r w:rsidRPr="008B619A">
        <w:rPr>
          <w:rFonts w:hint="eastAsia"/>
          <w:color w:val="000000" w:themeColor="text1"/>
        </w:rPr>
        <w:t>強化僑外生輔導機制：建立接待家庭計畫、</w:t>
      </w:r>
      <w:r w:rsidRPr="008B619A">
        <w:rPr>
          <w:color w:val="000000" w:themeColor="text1"/>
        </w:rPr>
        <w:t>境外學生輔導人員</w:t>
      </w:r>
      <w:r w:rsidRPr="008B619A">
        <w:rPr>
          <w:rFonts w:hint="eastAsia"/>
          <w:color w:val="000000" w:themeColor="text1"/>
        </w:rPr>
        <w:t>支援體系、優化境外生輔導機制，協助僑外生在臺安心就學，</w:t>
      </w:r>
      <w:r w:rsidRPr="008B619A">
        <w:rPr>
          <w:color w:val="000000" w:themeColor="text1"/>
        </w:rPr>
        <w:t>建構境外學生友善學</w:t>
      </w:r>
      <w:r w:rsidRPr="008B619A">
        <w:rPr>
          <w:color w:val="000000" w:themeColor="text1"/>
        </w:rPr>
        <w:lastRenderedPageBreak/>
        <w:t>習環境，全面提升高等教育國際化形象</w:t>
      </w:r>
      <w:r w:rsidRPr="008B619A">
        <w:rPr>
          <w:rFonts w:hint="eastAsia"/>
          <w:color w:val="000000" w:themeColor="text1"/>
        </w:rPr>
        <w:t>。</w:t>
      </w:r>
    </w:p>
    <w:p w14:paraId="79B8D59E" w14:textId="77777777" w:rsidR="00333ECF" w:rsidRPr="008B619A" w:rsidRDefault="00333ECF" w:rsidP="00031172">
      <w:pPr>
        <w:pStyle w:val="4"/>
        <w:rPr>
          <w:color w:val="000000" w:themeColor="text1"/>
        </w:rPr>
      </w:pPr>
      <w:r w:rsidRPr="008B619A">
        <w:rPr>
          <w:color w:val="000000" w:themeColor="text1"/>
        </w:rPr>
        <w:t>推動外國青年來臺短期蹲點計畫</w:t>
      </w:r>
      <w:r w:rsidRPr="008B619A">
        <w:rPr>
          <w:rFonts w:hint="eastAsia"/>
          <w:color w:val="000000" w:themeColor="text1"/>
        </w:rPr>
        <w:t>及華語文獎學金：鼓勵歐美國家優秀學生來臺「短期蹲點」，</w:t>
      </w:r>
      <w:r w:rsidRPr="008B619A">
        <w:rPr>
          <w:color w:val="000000" w:themeColor="text1"/>
        </w:rPr>
        <w:t>瞭解臺灣高等及技職教育優勢，</w:t>
      </w:r>
      <w:r w:rsidRPr="008B619A">
        <w:rPr>
          <w:rFonts w:hint="eastAsia"/>
          <w:color w:val="000000" w:themeColor="text1"/>
        </w:rPr>
        <w:t>或學習華語文，認識</w:t>
      </w:r>
      <w:r w:rsidRPr="008B619A">
        <w:rPr>
          <w:color w:val="000000" w:themeColor="text1"/>
        </w:rPr>
        <w:t>臺灣文化社會</w:t>
      </w:r>
      <w:r w:rsidRPr="008B619A">
        <w:rPr>
          <w:rFonts w:hint="eastAsia"/>
          <w:color w:val="000000" w:themeColor="text1"/>
        </w:rPr>
        <w:t>，進而續留臺灣攻讀學位。</w:t>
      </w:r>
    </w:p>
    <w:p w14:paraId="42E80CCD" w14:textId="77777777" w:rsidR="00333ECF" w:rsidRPr="008B619A" w:rsidRDefault="00333ECF" w:rsidP="00031172">
      <w:pPr>
        <w:pStyle w:val="4"/>
        <w:rPr>
          <w:color w:val="000000" w:themeColor="text1"/>
        </w:rPr>
      </w:pPr>
      <w:r w:rsidRPr="008B619A">
        <w:rPr>
          <w:color w:val="000000" w:themeColor="text1"/>
        </w:rPr>
        <w:t>吸引外國學生來臺實習：已訂定要點協助外國大學學生於求學階段至我國各級學校或教育機構實習，108年共受理26所大學校院提出之來自42個國家共530名外籍生來臺實習</w:t>
      </w:r>
      <w:r w:rsidRPr="008B619A">
        <w:rPr>
          <w:rFonts w:hint="eastAsia"/>
          <w:color w:val="000000" w:themeColor="text1"/>
        </w:rPr>
        <w:t>，</w:t>
      </w:r>
      <w:r w:rsidRPr="008B619A">
        <w:rPr>
          <w:color w:val="000000" w:themeColor="text1"/>
        </w:rPr>
        <w:t>109</w:t>
      </w:r>
      <w:r w:rsidRPr="008B619A">
        <w:rPr>
          <w:rFonts w:hint="eastAsia"/>
          <w:color w:val="000000" w:themeColor="text1"/>
        </w:rPr>
        <w:t>年因受疫情影響，於邊境管制前受理</w:t>
      </w:r>
      <w:r w:rsidRPr="008B619A">
        <w:rPr>
          <w:color w:val="000000" w:themeColor="text1"/>
        </w:rPr>
        <w:t>11</w:t>
      </w:r>
      <w:r w:rsidRPr="008B619A">
        <w:rPr>
          <w:rFonts w:hint="eastAsia"/>
          <w:color w:val="000000" w:themeColor="text1"/>
        </w:rPr>
        <w:t>所大學校院提出來自</w:t>
      </w:r>
      <w:r w:rsidRPr="008B619A">
        <w:rPr>
          <w:color w:val="000000" w:themeColor="text1"/>
        </w:rPr>
        <w:t>9</w:t>
      </w:r>
      <w:r w:rsidRPr="008B619A">
        <w:rPr>
          <w:rFonts w:hint="eastAsia"/>
          <w:color w:val="000000" w:themeColor="text1"/>
        </w:rPr>
        <w:t>個國家共</w:t>
      </w:r>
      <w:r w:rsidRPr="008B619A">
        <w:rPr>
          <w:color w:val="000000" w:themeColor="text1"/>
        </w:rPr>
        <w:t>57</w:t>
      </w:r>
      <w:r w:rsidRPr="008B619A">
        <w:rPr>
          <w:rFonts w:hint="eastAsia"/>
          <w:color w:val="000000" w:themeColor="text1"/>
        </w:rPr>
        <w:t>名外籍生來臺實習</w:t>
      </w:r>
      <w:r w:rsidRPr="008B619A">
        <w:rPr>
          <w:color w:val="000000" w:themeColor="text1"/>
        </w:rPr>
        <w:t>。</w:t>
      </w:r>
    </w:p>
    <w:p w14:paraId="5B3FFECB" w14:textId="77777777" w:rsidR="00333ECF" w:rsidRPr="008B619A" w:rsidRDefault="00333ECF" w:rsidP="00031172">
      <w:pPr>
        <w:pStyle w:val="4"/>
        <w:rPr>
          <w:color w:val="000000" w:themeColor="text1"/>
        </w:rPr>
      </w:pPr>
      <w:r w:rsidRPr="008B619A">
        <w:rPr>
          <w:color w:val="000000" w:themeColor="text1"/>
        </w:rPr>
        <w:t>鼓勵僑外生留臺工作：通函各大學校院及</w:t>
      </w:r>
      <w:r w:rsidRPr="008B619A">
        <w:rPr>
          <w:rFonts w:hint="eastAsia"/>
          <w:color w:val="000000" w:themeColor="text1"/>
        </w:rPr>
        <w:t>教育</w:t>
      </w:r>
      <w:r w:rsidRPr="008B619A">
        <w:rPr>
          <w:color w:val="000000" w:themeColor="text1"/>
        </w:rPr>
        <w:t>部各駐境外機構將僑外生留臺工作評點制資訊登載於相關網頁並協助宣導，辦理僑外生就業講座，並於大專校院境外學生輔導人員資訊交流平臺及相關網頁登載評點制資訊，於相關場合持續宣導。</w:t>
      </w:r>
    </w:p>
    <w:p w14:paraId="411EA848" w14:textId="77777777" w:rsidR="00333ECF" w:rsidRPr="008B619A" w:rsidRDefault="00333ECF" w:rsidP="00031172">
      <w:pPr>
        <w:pStyle w:val="4"/>
        <w:rPr>
          <w:color w:val="000000" w:themeColor="text1"/>
        </w:rPr>
      </w:pPr>
      <w:r w:rsidRPr="008B619A">
        <w:rPr>
          <w:rFonts w:hint="eastAsia"/>
          <w:color w:val="000000" w:themeColor="text1"/>
        </w:rPr>
        <w:t>吸引外國優質大學學生來臺研習華語：雖疫情影響外國學生來臺研習華語，惟全球各地外籍人士仍有學習華語需求，其中尤以歐美地區學生為加強推動重點，爰我國對外將透過簽訂相關合作協議、提供華語文獎學金；對內將補助各大學華語中心，提升軟硬體及教學品質，以吸引美歐優質學生來臺研習華語。俟疫情緩和，即可加強宣傳推動，同時結合我雙語國家相關計畫，共同營造臺灣雙語環境。</w:t>
      </w:r>
    </w:p>
    <w:p w14:paraId="502AB9A2" w14:textId="77777777" w:rsidR="00333ECF" w:rsidRPr="008B619A" w:rsidRDefault="00333ECF" w:rsidP="00031172">
      <w:pPr>
        <w:pStyle w:val="4"/>
        <w:rPr>
          <w:color w:val="000000" w:themeColor="text1"/>
        </w:rPr>
      </w:pPr>
      <w:r w:rsidRPr="008B619A">
        <w:rPr>
          <w:rFonts w:hint="eastAsia"/>
          <w:color w:val="000000" w:themeColor="text1"/>
        </w:rPr>
        <w:t>配合防疫措施帶動之網路線上互動，業由海外聯合招生委員會規劃建置臺灣高等教育線上博覽會專屬網站，積極宣導我國各大學系所特色，吸引僑、港澳學生來臺攻讀博士學位。</w:t>
      </w:r>
    </w:p>
    <w:p w14:paraId="12204FC6" w14:textId="5F9901EA" w:rsidR="00333ECF" w:rsidRPr="008B619A" w:rsidRDefault="00333ECF" w:rsidP="00031172">
      <w:pPr>
        <w:pStyle w:val="4"/>
        <w:rPr>
          <w:color w:val="000000" w:themeColor="text1"/>
        </w:rPr>
      </w:pPr>
      <w:r w:rsidRPr="008B619A">
        <w:rPr>
          <w:rFonts w:hint="eastAsia"/>
          <w:color w:val="000000" w:themeColor="text1"/>
        </w:rPr>
        <w:lastRenderedPageBreak/>
        <w:t>因應</w:t>
      </w:r>
      <w:r w:rsidR="0041791A" w:rsidRPr="008B619A">
        <w:rPr>
          <w:rFonts w:hint="eastAsia"/>
          <w:color w:val="000000" w:themeColor="text1"/>
        </w:rPr>
        <w:t>嚴重特殊傳染性肺炎疫情影響，</w:t>
      </w:r>
      <w:r w:rsidRPr="008B619A">
        <w:rPr>
          <w:rFonts w:hint="eastAsia"/>
          <w:color w:val="000000" w:themeColor="text1"/>
        </w:rPr>
        <w:t>如學生於疫情期間，採遠距教學方式修讀國外課程，可認列該生停留於當地學校之修業時間。爰應可吸引國際學生來臺就學。</w:t>
      </w:r>
    </w:p>
    <w:p w14:paraId="2003B4BD" w14:textId="6B01CBE8" w:rsidR="009B29D7" w:rsidRPr="008B619A" w:rsidRDefault="00291007" w:rsidP="00291007">
      <w:pPr>
        <w:pStyle w:val="3"/>
        <w:rPr>
          <w:color w:val="000000" w:themeColor="text1"/>
        </w:rPr>
      </w:pPr>
      <w:r w:rsidRPr="008B619A">
        <w:rPr>
          <w:rFonts w:hAnsi="標楷體" w:hint="eastAsia"/>
          <w:color w:val="000000" w:themeColor="text1"/>
        </w:rPr>
        <w:t>關於</w:t>
      </w:r>
      <w:r w:rsidR="00CD22DF" w:rsidRPr="008B619A">
        <w:rPr>
          <w:rFonts w:hAnsi="標楷體" w:hint="eastAsia"/>
          <w:color w:val="000000" w:themeColor="text1"/>
        </w:rPr>
        <w:t>政府延攬國際人才之政策措</w:t>
      </w:r>
      <w:r w:rsidR="00812706" w:rsidRPr="008B619A">
        <w:rPr>
          <w:rFonts w:hAnsi="標楷體" w:hint="eastAsia"/>
          <w:color w:val="000000" w:themeColor="text1"/>
        </w:rPr>
        <w:t>施</w:t>
      </w:r>
      <w:r w:rsidRPr="008B619A">
        <w:rPr>
          <w:rFonts w:hAnsi="標楷體" w:hint="eastAsia"/>
          <w:color w:val="000000" w:themeColor="text1"/>
        </w:rPr>
        <w:t>，國發會</w:t>
      </w:r>
      <w:r w:rsidR="009B29D7" w:rsidRPr="008B619A">
        <w:rPr>
          <w:rFonts w:hAnsi="標楷體" w:hint="eastAsia"/>
          <w:color w:val="000000" w:themeColor="text1"/>
        </w:rPr>
        <w:t>協同各相關部會推動</w:t>
      </w:r>
      <w:r w:rsidR="005C4919" w:rsidRPr="008B619A">
        <w:rPr>
          <w:rFonts w:hAnsi="標楷體" w:hint="eastAsia"/>
          <w:color w:val="000000" w:themeColor="text1"/>
        </w:rPr>
        <w:t>之具體成果</w:t>
      </w:r>
      <w:r w:rsidR="002F7BC1" w:rsidRPr="008B619A">
        <w:rPr>
          <w:rFonts w:hAnsi="標楷體" w:hint="eastAsia"/>
          <w:color w:val="000000" w:themeColor="text1"/>
        </w:rPr>
        <w:t>列舉</w:t>
      </w:r>
      <w:r w:rsidR="009B29D7" w:rsidRPr="008B619A">
        <w:rPr>
          <w:rFonts w:hAnsi="標楷體" w:hint="eastAsia"/>
          <w:color w:val="000000" w:themeColor="text1"/>
        </w:rPr>
        <w:t>如下：</w:t>
      </w:r>
    </w:p>
    <w:p w14:paraId="3A99AE15" w14:textId="77777777" w:rsidR="0067739E" w:rsidRPr="008B619A" w:rsidRDefault="0037055E" w:rsidP="009B29D7">
      <w:pPr>
        <w:pStyle w:val="4"/>
        <w:rPr>
          <w:color w:val="000000" w:themeColor="text1"/>
        </w:rPr>
      </w:pPr>
      <w:r w:rsidRPr="008B619A">
        <w:rPr>
          <w:rFonts w:hint="eastAsia"/>
          <w:color w:val="000000" w:themeColor="text1"/>
        </w:rPr>
        <w:t>107年2月8日推動實施「外國專業人才延攬及僱用法」，鬆綁外國專業人才工作、簽證及居留，以及其父母配偶及子女停居留等規定，並提供退休、健保及租稅優惠，期打造更友善之工作及生活環境，以提升渠等來臺、留臺的誘因</w:t>
      </w:r>
      <w:r w:rsidR="00291007" w:rsidRPr="008B619A">
        <w:rPr>
          <w:rFonts w:hint="eastAsia"/>
          <w:color w:val="000000" w:themeColor="text1"/>
        </w:rPr>
        <w:t>。</w:t>
      </w:r>
    </w:p>
    <w:p w14:paraId="731D9429" w14:textId="77777777" w:rsidR="00ED2B17" w:rsidRPr="008B619A" w:rsidRDefault="00ED2B17" w:rsidP="00ED2B17">
      <w:pPr>
        <w:pStyle w:val="4"/>
        <w:rPr>
          <w:color w:val="000000" w:themeColor="text1"/>
        </w:rPr>
      </w:pPr>
      <w:r w:rsidRPr="008B619A">
        <w:rPr>
          <w:rFonts w:hint="eastAsia"/>
          <w:color w:val="000000" w:themeColor="text1"/>
        </w:rPr>
        <w:t>提供高階關鍵人才一條龍專案服務：該會109年10月成立「台灣就業金卡辦公室」，提供就業金卡持卡人子女教育、住屋等各類在臺生活的協助，使其能快速融入臺灣社會；至110年4月底，就業金卡已累計核發2,607張，成功延攬矽谷重量級新創家，以及資通訊、資安、生醫、航太等產業全球頂尖專業人士。截至110年3月31日，已核准外國特定專業人才聘僱許可計2,108人次；自由藝術家工作許可1</w:t>
      </w:r>
      <w:r w:rsidRPr="008B619A">
        <w:rPr>
          <w:color w:val="000000" w:themeColor="text1"/>
        </w:rPr>
        <w:t>84</w:t>
      </w:r>
      <w:r w:rsidRPr="008B619A">
        <w:rPr>
          <w:rFonts w:hint="eastAsia"/>
          <w:color w:val="000000" w:themeColor="text1"/>
        </w:rPr>
        <w:t>人次；成年子女個人工作許可</w:t>
      </w:r>
      <w:r w:rsidRPr="008B619A">
        <w:rPr>
          <w:color w:val="000000" w:themeColor="text1"/>
        </w:rPr>
        <w:t>41</w:t>
      </w:r>
      <w:r w:rsidRPr="008B619A">
        <w:rPr>
          <w:rFonts w:hint="eastAsia"/>
          <w:color w:val="000000" w:themeColor="text1"/>
        </w:rPr>
        <w:t>人次；尋職簽證</w:t>
      </w:r>
      <w:r w:rsidRPr="008B619A">
        <w:rPr>
          <w:color w:val="000000" w:themeColor="text1"/>
        </w:rPr>
        <w:t>194</w:t>
      </w:r>
      <w:r w:rsidRPr="008B619A">
        <w:rPr>
          <w:rFonts w:hint="eastAsia"/>
          <w:color w:val="000000" w:themeColor="text1"/>
        </w:rPr>
        <w:t>張；取得永居之外國專業人才之眷屬申請永久居留，已核准</w:t>
      </w:r>
      <w:r w:rsidRPr="008B619A">
        <w:rPr>
          <w:color w:val="000000" w:themeColor="text1"/>
        </w:rPr>
        <w:t>403</w:t>
      </w:r>
      <w:r w:rsidRPr="008B619A">
        <w:rPr>
          <w:rFonts w:hint="eastAsia"/>
          <w:color w:val="000000" w:themeColor="text1"/>
        </w:rPr>
        <w:t>位；高級專業人才之眷屬隨同申請永居，已核准2</w:t>
      </w:r>
      <w:r w:rsidRPr="008B619A">
        <w:rPr>
          <w:color w:val="000000" w:themeColor="text1"/>
        </w:rPr>
        <w:t>6</w:t>
      </w:r>
      <w:r w:rsidRPr="008B619A">
        <w:rPr>
          <w:rFonts w:hint="eastAsia"/>
          <w:color w:val="000000" w:themeColor="text1"/>
        </w:rPr>
        <w:t>位。</w:t>
      </w:r>
    </w:p>
    <w:p w14:paraId="23978669" w14:textId="44C2D47C" w:rsidR="00F2596A" w:rsidRPr="008B619A" w:rsidRDefault="00ED2B17" w:rsidP="00ED2B17">
      <w:pPr>
        <w:pStyle w:val="4"/>
        <w:rPr>
          <w:color w:val="000000" w:themeColor="text1"/>
        </w:rPr>
      </w:pPr>
      <w:r w:rsidRPr="008B619A">
        <w:rPr>
          <w:rFonts w:hint="eastAsia"/>
          <w:color w:val="000000" w:themeColor="text1"/>
        </w:rPr>
        <w:t>推動外國人才專法修法作業：</w:t>
      </w:r>
      <w:r w:rsidR="00115008" w:rsidRPr="008B619A">
        <w:rPr>
          <w:rFonts w:hint="eastAsia"/>
          <w:color w:val="000000" w:themeColor="text1"/>
        </w:rPr>
        <w:t>國發會</w:t>
      </w:r>
      <w:r w:rsidRPr="008B619A">
        <w:rPr>
          <w:rFonts w:hint="eastAsia"/>
          <w:color w:val="000000" w:themeColor="text1"/>
        </w:rPr>
        <w:t>為建構優質攬才、留才環境，進一步強化攬才力道，以強化延攬國際優秀專業人才，提供更具吸引力之工作及居留規定，並優化租稅及社會保障等相關權益，以提高攬才誘因，</w:t>
      </w:r>
      <w:r w:rsidR="00D00C27" w:rsidRPr="008B619A">
        <w:rPr>
          <w:rFonts w:hint="eastAsia"/>
          <w:color w:val="000000" w:themeColor="text1"/>
        </w:rPr>
        <w:t>擬具</w:t>
      </w:r>
      <w:r w:rsidR="00E74D77" w:rsidRPr="008B619A">
        <w:rPr>
          <w:rFonts w:hint="eastAsia"/>
          <w:color w:val="000000" w:themeColor="text1"/>
        </w:rPr>
        <w:t>「外國專業人才延攬及僱用法」</w:t>
      </w:r>
      <w:r w:rsidRPr="008B619A">
        <w:rPr>
          <w:rFonts w:hint="eastAsia"/>
          <w:color w:val="000000" w:themeColor="text1"/>
        </w:rPr>
        <w:t>，並於</w:t>
      </w:r>
      <w:r w:rsidR="00E74D77" w:rsidRPr="008B619A">
        <w:rPr>
          <w:rFonts w:hint="eastAsia"/>
          <w:color w:val="000000" w:themeColor="text1"/>
        </w:rPr>
        <w:t>110</w:t>
      </w:r>
      <w:r w:rsidRPr="008B619A">
        <w:rPr>
          <w:rFonts w:hint="eastAsia"/>
          <w:color w:val="000000" w:themeColor="text1"/>
        </w:rPr>
        <w:t>年6月18日經立法院三讀通過。</w:t>
      </w:r>
      <w:r w:rsidR="00FC2139" w:rsidRPr="008B619A">
        <w:rPr>
          <w:rFonts w:hint="eastAsia"/>
          <w:color w:val="000000" w:themeColor="text1"/>
        </w:rPr>
        <w:t>該</w:t>
      </w:r>
      <w:r w:rsidR="00056FE8" w:rsidRPr="008B619A">
        <w:rPr>
          <w:rFonts w:hint="eastAsia"/>
          <w:color w:val="000000" w:themeColor="text1"/>
        </w:rPr>
        <w:t>法之</w:t>
      </w:r>
      <w:r w:rsidRPr="008B619A">
        <w:rPr>
          <w:rFonts w:hint="eastAsia"/>
          <w:color w:val="000000" w:themeColor="text1"/>
        </w:rPr>
        <w:t>修正重點如下</w:t>
      </w:r>
      <w:r w:rsidR="00386FF2" w:rsidRPr="008B619A">
        <w:rPr>
          <w:rFonts w:hint="eastAsia"/>
          <w:color w:val="000000" w:themeColor="text1"/>
        </w:rPr>
        <w:t>：</w:t>
      </w:r>
    </w:p>
    <w:p w14:paraId="13C8ED17" w14:textId="77777777" w:rsidR="00036ABC" w:rsidRPr="008B619A" w:rsidRDefault="00036ABC" w:rsidP="00036ABC">
      <w:pPr>
        <w:pStyle w:val="5"/>
        <w:rPr>
          <w:color w:val="000000" w:themeColor="text1"/>
        </w:rPr>
      </w:pPr>
      <w:r w:rsidRPr="008B619A">
        <w:rPr>
          <w:rFonts w:hint="eastAsia"/>
          <w:color w:val="000000" w:themeColor="text1"/>
        </w:rPr>
        <w:lastRenderedPageBreak/>
        <w:t>放寬專業工作範疇：放寬教育部核定招收外國人才子女專班得聘僱外國學科教師，以因應2030雙語國家政策及海外人才回國子女教育需求；新增實驗教育工作為專業工作，以提升國際實驗教育工作者來臺動機等。</w:t>
      </w:r>
    </w:p>
    <w:p w14:paraId="1E3C4308" w14:textId="77777777" w:rsidR="00036ABC" w:rsidRPr="008B619A" w:rsidRDefault="00036ABC" w:rsidP="00036ABC">
      <w:pPr>
        <w:pStyle w:val="5"/>
        <w:rPr>
          <w:color w:val="000000" w:themeColor="text1"/>
        </w:rPr>
      </w:pPr>
      <w:r w:rsidRPr="008B619A">
        <w:rPr>
          <w:rFonts w:hint="eastAsia"/>
          <w:color w:val="000000" w:themeColor="text1"/>
        </w:rPr>
        <w:t>增列特定專業人才專長領域及認定規定：未來除完整列出8大領域，另增加國防領域及由主管機關會商認定之規定。</w:t>
      </w:r>
    </w:p>
    <w:p w14:paraId="08E43BD0" w14:textId="77777777" w:rsidR="00036ABC" w:rsidRPr="008B619A" w:rsidRDefault="00036ABC" w:rsidP="00036ABC">
      <w:pPr>
        <w:pStyle w:val="5"/>
        <w:rPr>
          <w:color w:val="000000" w:themeColor="text1"/>
        </w:rPr>
      </w:pPr>
      <w:r w:rsidRPr="008B619A">
        <w:rPr>
          <w:rFonts w:hint="eastAsia"/>
          <w:color w:val="000000" w:themeColor="text1"/>
        </w:rPr>
        <w:t>鬆綁優秀畢業生來臺工作資格：原外國人取得學士學位者，需有2年工作經驗始可在臺受聘僱從事專門性或技術性工作。</w:t>
      </w:r>
    </w:p>
    <w:p w14:paraId="36D74CFD" w14:textId="77777777" w:rsidR="00036ABC" w:rsidRPr="008B619A" w:rsidRDefault="00036ABC" w:rsidP="00036ABC">
      <w:pPr>
        <w:pStyle w:val="5"/>
        <w:rPr>
          <w:color w:val="000000" w:themeColor="text1"/>
        </w:rPr>
      </w:pPr>
      <w:r w:rsidRPr="008B619A">
        <w:rPr>
          <w:rFonts w:hint="eastAsia"/>
          <w:color w:val="000000" w:themeColor="text1"/>
        </w:rPr>
        <w:t>免申請工作許可：原許可永久居留者須逕向勞動部申請工作許可，未來無須申請。</w:t>
      </w:r>
    </w:p>
    <w:p w14:paraId="7CB1691D" w14:textId="77777777" w:rsidR="00036ABC" w:rsidRPr="008B619A" w:rsidRDefault="00036ABC" w:rsidP="00036ABC">
      <w:pPr>
        <w:pStyle w:val="5"/>
        <w:rPr>
          <w:color w:val="000000" w:themeColor="text1"/>
        </w:rPr>
      </w:pPr>
      <w:r w:rsidRPr="008B619A">
        <w:rPr>
          <w:rFonts w:hint="eastAsia"/>
          <w:color w:val="000000" w:themeColor="text1"/>
        </w:rPr>
        <w:t>就業金卡屆滿得申請延期：原就業金卡期滿須重新申請，未來得申請延期。</w:t>
      </w:r>
    </w:p>
    <w:p w14:paraId="3D1A6A42" w14:textId="77777777" w:rsidR="00036ABC" w:rsidRPr="008B619A" w:rsidRDefault="00036ABC" w:rsidP="00036ABC">
      <w:pPr>
        <w:pStyle w:val="5"/>
        <w:rPr>
          <w:color w:val="000000" w:themeColor="text1"/>
        </w:rPr>
      </w:pPr>
      <w:r w:rsidRPr="008B619A">
        <w:rPr>
          <w:rFonts w:hint="eastAsia"/>
          <w:color w:val="000000" w:themeColor="text1"/>
        </w:rPr>
        <w:t>免申請居留簽證：原以免簽或停簽入境者須申請適當期限之停留簽證或居留簽證，始可申請居留證，未來得直接改辦居留證。</w:t>
      </w:r>
    </w:p>
    <w:p w14:paraId="396B2F08" w14:textId="77777777" w:rsidR="00036ABC" w:rsidRPr="008B619A" w:rsidRDefault="00036ABC" w:rsidP="00036ABC">
      <w:pPr>
        <w:pStyle w:val="5"/>
        <w:rPr>
          <w:color w:val="000000" w:themeColor="text1"/>
        </w:rPr>
      </w:pPr>
      <w:r w:rsidRPr="008B619A">
        <w:rPr>
          <w:rFonts w:hint="eastAsia"/>
          <w:color w:val="000000" w:themeColor="text1"/>
        </w:rPr>
        <w:t>就業金卡得申請延期居留6+6個月：原就業金卡期滿僅得重新申請，未來得申請延期居留6+6個月。</w:t>
      </w:r>
    </w:p>
    <w:p w14:paraId="5FF82391" w14:textId="77777777" w:rsidR="00036ABC" w:rsidRPr="008B619A" w:rsidRDefault="00036ABC" w:rsidP="00036ABC">
      <w:pPr>
        <w:pStyle w:val="5"/>
        <w:rPr>
          <w:color w:val="000000" w:themeColor="text1"/>
        </w:rPr>
      </w:pPr>
      <w:r w:rsidRPr="008B619A">
        <w:rPr>
          <w:rFonts w:hint="eastAsia"/>
          <w:color w:val="000000" w:themeColor="text1"/>
        </w:rPr>
        <w:t>放寬申請永居規定：原外國專業人才須連續居留5年，每年183日，始可申請永久居留；未來申請永久居留期間，由每年183日，改為「平均」每年183日，且外國特定專業人才取得永居年限降為3年，另在臺取得碩博士學位者亦得折抵1~2年。</w:t>
      </w:r>
    </w:p>
    <w:p w14:paraId="2F33E9DC" w14:textId="4D794D76" w:rsidR="00386FF2" w:rsidRPr="008B619A" w:rsidRDefault="00036ABC" w:rsidP="00036ABC">
      <w:pPr>
        <w:pStyle w:val="5"/>
        <w:rPr>
          <w:color w:val="000000" w:themeColor="text1"/>
        </w:rPr>
      </w:pPr>
      <w:r w:rsidRPr="008B619A">
        <w:rPr>
          <w:rFonts w:hint="eastAsia"/>
          <w:color w:val="000000" w:themeColor="text1"/>
        </w:rPr>
        <w:t>優化社會保障：未來外國特定及高級專業人才為雇主及自營業主之本人及依親親屬亦可直接加保；外國特定專業人才租稅減免由3年延長至</w:t>
      </w:r>
      <w:r w:rsidRPr="008B619A">
        <w:rPr>
          <w:rFonts w:hint="eastAsia"/>
          <w:color w:val="000000" w:themeColor="text1"/>
        </w:rPr>
        <w:lastRenderedPageBreak/>
        <w:t>5年等</w:t>
      </w:r>
      <w:r w:rsidR="005B441B" w:rsidRPr="008B619A">
        <w:rPr>
          <w:rFonts w:hint="eastAsia"/>
          <w:color w:val="000000" w:themeColor="text1"/>
        </w:rPr>
        <w:t>。</w:t>
      </w:r>
    </w:p>
    <w:p w14:paraId="3A9CC221" w14:textId="0876D173" w:rsidR="003C7C2E" w:rsidRPr="008B619A" w:rsidRDefault="003C7C2E" w:rsidP="003C7C2E">
      <w:pPr>
        <w:pStyle w:val="4"/>
        <w:rPr>
          <w:color w:val="000000" w:themeColor="text1"/>
        </w:rPr>
      </w:pPr>
      <w:r w:rsidRPr="008B619A">
        <w:rPr>
          <w:rFonts w:hint="eastAsia"/>
          <w:color w:val="000000" w:themeColor="text1"/>
        </w:rPr>
        <w:t>修正外來人口新式統一證號：</w:t>
      </w:r>
      <w:r w:rsidR="00E27C3F" w:rsidRPr="008B619A">
        <w:rPr>
          <w:rFonts w:hint="eastAsia"/>
          <w:color w:val="000000" w:themeColor="text1"/>
        </w:rPr>
        <w:t>外籍人才、歐洲在台商會及美國商會等團體，過去經常反映外僑居留證證號與國人身分證字號格式不一致，造成生活上諸多不便。為加強提供外國人在臺生活服務(如網路訂票及購物等)，</w:t>
      </w:r>
      <w:r w:rsidR="008B678B" w:rsidRPr="008B619A">
        <w:rPr>
          <w:rFonts w:hint="eastAsia"/>
          <w:color w:val="000000" w:themeColor="text1"/>
        </w:rPr>
        <w:t>該</w:t>
      </w:r>
      <w:r w:rsidR="00E27C3F" w:rsidRPr="008B619A">
        <w:rPr>
          <w:rFonts w:hint="eastAsia"/>
          <w:color w:val="000000" w:themeColor="text1"/>
        </w:rPr>
        <w:t>會協調內政部移民署比照國民身分證的編碼格式，修正「外來人口統一證號」，已於</w:t>
      </w:r>
      <w:r w:rsidR="0010110A" w:rsidRPr="008B619A">
        <w:rPr>
          <w:rFonts w:hint="eastAsia"/>
          <w:color w:val="000000" w:themeColor="text1"/>
        </w:rPr>
        <w:t>110</w:t>
      </w:r>
      <w:r w:rsidR="00E27C3F" w:rsidRPr="008B619A">
        <w:rPr>
          <w:rFonts w:hint="eastAsia"/>
          <w:color w:val="000000" w:themeColor="text1"/>
        </w:rPr>
        <w:t>年1月正式實施推動</w:t>
      </w:r>
      <w:r w:rsidR="009D281D" w:rsidRPr="008B619A">
        <w:rPr>
          <w:rFonts w:hint="eastAsia"/>
          <w:color w:val="000000" w:themeColor="text1"/>
        </w:rPr>
        <w:t>。</w:t>
      </w:r>
    </w:p>
    <w:p w14:paraId="6CF643F5" w14:textId="2110AD5E" w:rsidR="00A67AB8" w:rsidRPr="008B619A" w:rsidRDefault="00A67AB8" w:rsidP="00A67AB8">
      <w:pPr>
        <w:pStyle w:val="4"/>
        <w:rPr>
          <w:color w:val="000000" w:themeColor="text1"/>
        </w:rPr>
      </w:pPr>
      <w:r w:rsidRPr="008B619A">
        <w:rPr>
          <w:rFonts w:hint="eastAsia"/>
          <w:color w:val="000000" w:themeColor="text1"/>
        </w:rPr>
        <w:t>強化友善生活環境的打造：</w:t>
      </w:r>
      <w:r w:rsidR="008707D9" w:rsidRPr="008B619A">
        <w:rPr>
          <w:rFonts w:hint="eastAsia"/>
          <w:color w:val="000000" w:themeColor="text1"/>
        </w:rPr>
        <w:t>擴大推動2030雙語國家政策，打造外國人便利居住環境；研議增設雙語班(部)，滿足海外人才來臺子女教育需求</w:t>
      </w:r>
      <w:r w:rsidR="008707D9" w:rsidRPr="008B619A">
        <w:rPr>
          <w:rFonts w:hAnsi="標楷體" w:hint="eastAsia"/>
          <w:color w:val="000000" w:themeColor="text1"/>
        </w:rPr>
        <w:t>。</w:t>
      </w:r>
    </w:p>
    <w:p w14:paraId="17D7AD7E" w14:textId="133B0BEF" w:rsidR="008627D3" w:rsidRPr="008B619A" w:rsidRDefault="00720401" w:rsidP="008627D3">
      <w:pPr>
        <w:pStyle w:val="3"/>
        <w:rPr>
          <w:color w:val="000000" w:themeColor="text1"/>
        </w:rPr>
      </w:pPr>
      <w:r w:rsidRPr="008B619A">
        <w:rPr>
          <w:rFonts w:hint="eastAsia"/>
          <w:color w:val="000000" w:themeColor="text1"/>
        </w:rPr>
        <w:t>然而，國際攬才涉及各國措施之競爭，針對此議題，110年5月5日教育部主管人員於本院座談則稱，</w:t>
      </w:r>
      <w:r w:rsidRPr="008B619A">
        <w:rPr>
          <w:rFonts w:hAnsi="標楷體" w:hint="eastAsia"/>
          <w:color w:val="000000" w:themeColor="text1"/>
        </w:rPr>
        <w:t>「</w:t>
      </w:r>
      <w:r w:rsidRPr="008B619A">
        <w:rPr>
          <w:color w:val="000000" w:themeColor="text1"/>
          <w:szCs w:val="32"/>
        </w:rPr>
        <w:t>英國也很重視博士人才，去年通過8億英鎊擴增研究環境能量、跟產業合作，以及吸引在英國就讀博士</w:t>
      </w:r>
      <w:r w:rsidRPr="008B619A">
        <w:rPr>
          <w:rFonts w:hint="eastAsia"/>
          <w:color w:val="000000" w:themeColor="text1"/>
          <w:szCs w:val="32"/>
        </w:rPr>
        <w:t>留</w:t>
      </w:r>
      <w:r w:rsidRPr="008B619A">
        <w:rPr>
          <w:color w:val="000000" w:themeColor="text1"/>
          <w:szCs w:val="32"/>
        </w:rPr>
        <w:t>在英國3年，畢業後可以馬上投入就業；也有提供跨國的創業天使基金。</w:t>
      </w:r>
      <w:r w:rsidRPr="008B619A">
        <w:rPr>
          <w:rFonts w:hint="eastAsia"/>
          <w:color w:val="000000" w:themeColor="text1"/>
          <w:szCs w:val="32"/>
        </w:rPr>
        <w:t>……</w:t>
      </w:r>
      <w:r w:rsidRPr="008B619A">
        <w:rPr>
          <w:color w:val="000000" w:themeColor="text1"/>
          <w:szCs w:val="32"/>
        </w:rPr>
        <w:t>會到英國念博士的本國學生，基本上都是目標很清楚，想要以研究為主，所以留下來的人才庫是比較優秀的。在臺灣，我們需要更多努力，也還有很多需要突破。政府在攬才時，也要考量是要吸引那些人才</w:t>
      </w:r>
      <w:r w:rsidRPr="008B619A">
        <w:rPr>
          <w:rFonts w:hAnsi="標楷體" w:hint="eastAsia"/>
          <w:color w:val="000000" w:themeColor="text1"/>
        </w:rPr>
        <w:t>」等語，亟待各部會後續參酌，以檢視各項措施之吸引力</w:t>
      </w:r>
      <w:r w:rsidR="00277CAA" w:rsidRPr="008B619A">
        <w:rPr>
          <w:rFonts w:hAnsi="標楷體" w:hint="eastAsia"/>
          <w:color w:val="000000" w:themeColor="text1"/>
        </w:rPr>
        <w:t>。</w:t>
      </w:r>
    </w:p>
    <w:p w14:paraId="2B389A1C" w14:textId="68FA01F1" w:rsidR="00817B4B" w:rsidRPr="008B619A" w:rsidRDefault="00817B4B" w:rsidP="005710D5">
      <w:pPr>
        <w:pStyle w:val="3"/>
        <w:rPr>
          <w:color w:val="000000" w:themeColor="text1"/>
        </w:rPr>
      </w:pPr>
      <w:r w:rsidRPr="008B619A">
        <w:rPr>
          <w:rFonts w:hint="eastAsia"/>
          <w:color w:val="000000" w:themeColor="text1"/>
        </w:rPr>
        <w:t>綜上，為因應全球人口老化及少子女化，歐、美等傳統高等教育輸出大國，及日、韓、新加坡與</w:t>
      </w:r>
      <w:r w:rsidR="002C621C" w:rsidRPr="008B619A">
        <w:rPr>
          <w:rFonts w:hint="eastAsia"/>
          <w:color w:val="000000" w:themeColor="text1"/>
        </w:rPr>
        <w:t>中國</w:t>
      </w:r>
      <w:r w:rsidRPr="008B619A">
        <w:rPr>
          <w:rFonts w:hint="eastAsia"/>
          <w:color w:val="000000" w:themeColor="text1"/>
        </w:rPr>
        <w:t>等亞洲新興高等教育輸出國家，</w:t>
      </w:r>
      <w:r w:rsidR="002C5A20" w:rsidRPr="008B619A">
        <w:rPr>
          <w:rFonts w:hAnsi="標楷體" w:hint="eastAsia"/>
          <w:color w:val="000000" w:themeColor="text1"/>
        </w:rPr>
        <w:t>均已積極招收境外學生及實施高階人力學成留才之具體措施，而我國近年高教國際教育輸出亦逐年攀升，大專校院境外博士生來臺人數至109學年度已達</w:t>
      </w:r>
      <w:r w:rsidR="002C5A20" w:rsidRPr="008B619A">
        <w:rPr>
          <w:rFonts w:hAnsi="標楷體"/>
          <w:color w:val="000000" w:themeColor="text1"/>
        </w:rPr>
        <w:t>5,578</w:t>
      </w:r>
      <w:r w:rsidR="002C5A20" w:rsidRPr="008B619A">
        <w:rPr>
          <w:rFonts w:hAnsi="標楷體" w:hint="eastAsia"/>
          <w:color w:val="000000" w:themeColor="text1"/>
        </w:rPr>
        <w:t>人，占整體日間學制境外學位生人數之9.06%，相較於98年</w:t>
      </w:r>
      <w:r w:rsidR="002C5A20" w:rsidRPr="008B619A">
        <w:rPr>
          <w:rFonts w:hAnsi="標楷體"/>
          <w:color w:val="000000" w:themeColor="text1"/>
        </w:rPr>
        <w:t>1,228</w:t>
      </w:r>
      <w:r w:rsidR="002C5A20" w:rsidRPr="008B619A">
        <w:rPr>
          <w:rFonts w:hAnsi="標楷體" w:hint="eastAsia"/>
          <w:color w:val="000000" w:themeColor="text1"/>
        </w:rPr>
        <w:t>人</w:t>
      </w:r>
      <w:r w:rsidR="002C5A20" w:rsidRPr="008B619A">
        <w:rPr>
          <w:rFonts w:hAnsi="標楷體"/>
          <w:color w:val="000000" w:themeColor="text1"/>
        </w:rPr>
        <w:t>(6.41%)</w:t>
      </w:r>
      <w:r w:rsidR="002C5A20" w:rsidRPr="008B619A">
        <w:rPr>
          <w:rFonts w:hAnsi="標楷體" w:hint="eastAsia"/>
          <w:color w:val="000000" w:themeColor="text1"/>
        </w:rPr>
        <w:t>，近6年來成長達約2.9倍，儼然已</w:t>
      </w:r>
      <w:r w:rsidR="002C5A20" w:rsidRPr="008B619A">
        <w:rPr>
          <w:rFonts w:hAnsi="標楷體" w:hint="eastAsia"/>
          <w:color w:val="000000" w:themeColor="text1"/>
        </w:rPr>
        <w:lastRenderedPageBreak/>
        <w:t>成為大學國際化的重要指標之一；政府為網羅各國高階人才留任貢獻，國發會暨相關部會近年持續推動外國人才專法修法作業、就業金卡，提供高階關鍵人才一條龍專案服務，具初步成效，惟後續高教博士輸出之生源國、主要攻讀學門領域及相關留才配套機制仍待與時俱進，</w:t>
      </w:r>
      <w:r w:rsidR="005710D5" w:rsidRPr="008B619A">
        <w:rPr>
          <w:rFonts w:hint="eastAsia"/>
          <w:color w:val="000000" w:themeColor="text1"/>
        </w:rPr>
        <w:t>以期持續提升整體效益及厚實我國人才資本。</w:t>
      </w:r>
    </w:p>
    <w:p w14:paraId="68E024D9" w14:textId="77777777" w:rsidR="00291007" w:rsidRPr="008B619A" w:rsidRDefault="00291007" w:rsidP="00BD4F6C">
      <w:pPr>
        <w:rPr>
          <w:color w:val="000000" w:themeColor="text1"/>
        </w:rPr>
      </w:pPr>
    </w:p>
    <w:p w14:paraId="6B62C1A5" w14:textId="70646C4D" w:rsidR="006C5CE2" w:rsidRPr="008B619A" w:rsidRDefault="00195C2F" w:rsidP="005F4AB4">
      <w:pPr>
        <w:pStyle w:val="2"/>
        <w:rPr>
          <w:b/>
          <w:bCs w:val="0"/>
          <w:color w:val="000000" w:themeColor="text1"/>
        </w:rPr>
      </w:pPr>
      <w:bookmarkStart w:id="86" w:name="_Toc76980144"/>
      <w:r w:rsidRPr="008B619A">
        <w:rPr>
          <w:rFonts w:hint="eastAsia"/>
          <w:b/>
          <w:bCs w:val="0"/>
          <w:color w:val="000000" w:themeColor="text1"/>
        </w:rPr>
        <w:t>跨國</w:t>
      </w:r>
      <w:r w:rsidR="00825F64" w:rsidRPr="008B619A">
        <w:rPr>
          <w:rFonts w:hint="eastAsia"/>
          <w:b/>
          <w:bCs w:val="0"/>
          <w:color w:val="000000" w:themeColor="text1"/>
        </w:rPr>
        <w:t>博士</w:t>
      </w:r>
      <w:r w:rsidR="006C5CE2" w:rsidRPr="008B619A">
        <w:rPr>
          <w:b/>
          <w:bCs w:val="0"/>
          <w:color w:val="000000" w:themeColor="text1"/>
        </w:rPr>
        <w:t>人才</w:t>
      </w:r>
      <w:r w:rsidR="0084458C" w:rsidRPr="008B619A">
        <w:rPr>
          <w:rFonts w:hint="eastAsia"/>
          <w:b/>
          <w:bCs w:val="0"/>
          <w:color w:val="000000" w:themeColor="text1"/>
        </w:rPr>
        <w:t>之</w:t>
      </w:r>
      <w:r w:rsidR="006C5CE2" w:rsidRPr="008B619A">
        <w:rPr>
          <w:rFonts w:hint="eastAsia"/>
          <w:b/>
          <w:bCs w:val="0"/>
          <w:color w:val="000000" w:themeColor="text1"/>
        </w:rPr>
        <w:t>移動</w:t>
      </w:r>
      <w:r w:rsidR="00C76722" w:rsidRPr="008B619A">
        <w:rPr>
          <w:rFonts w:hint="eastAsia"/>
          <w:b/>
          <w:bCs w:val="0"/>
          <w:color w:val="000000" w:themeColor="text1"/>
        </w:rPr>
        <w:t>係</w:t>
      </w:r>
      <w:r w:rsidR="006C5CE2" w:rsidRPr="008B619A">
        <w:rPr>
          <w:b/>
          <w:bCs w:val="0"/>
          <w:color w:val="000000" w:themeColor="text1"/>
        </w:rPr>
        <w:t>全球化</w:t>
      </w:r>
      <w:r w:rsidR="004F2CAA" w:rsidRPr="008B619A">
        <w:rPr>
          <w:rFonts w:hint="eastAsia"/>
          <w:b/>
          <w:bCs w:val="0"/>
          <w:color w:val="000000" w:themeColor="text1"/>
        </w:rPr>
        <w:t>及國際化</w:t>
      </w:r>
      <w:r w:rsidR="006C5CE2" w:rsidRPr="008B619A">
        <w:rPr>
          <w:b/>
          <w:bCs w:val="0"/>
          <w:color w:val="000000" w:themeColor="text1"/>
        </w:rPr>
        <w:t>常態，</w:t>
      </w:r>
      <w:r w:rsidR="00071742" w:rsidRPr="008B619A">
        <w:rPr>
          <w:rFonts w:hint="eastAsia"/>
          <w:b/>
          <w:bCs w:val="0"/>
          <w:color w:val="000000" w:themeColor="text1"/>
        </w:rPr>
        <w:t>有助於</w:t>
      </w:r>
      <w:r w:rsidR="00071742" w:rsidRPr="008B619A">
        <w:rPr>
          <w:rFonts w:hAnsi="標楷體"/>
          <w:b/>
          <w:bCs w:val="0"/>
          <w:color w:val="000000" w:themeColor="text1"/>
        </w:rPr>
        <w:t>國際合作關係</w:t>
      </w:r>
      <w:r w:rsidR="00071742" w:rsidRPr="008B619A">
        <w:rPr>
          <w:b/>
          <w:bCs w:val="0"/>
          <w:color w:val="000000" w:themeColor="text1"/>
        </w:rPr>
        <w:t>，</w:t>
      </w:r>
      <w:r w:rsidR="006C5CE2" w:rsidRPr="008B619A">
        <w:rPr>
          <w:rFonts w:hint="eastAsia"/>
          <w:b/>
          <w:bCs w:val="0"/>
          <w:color w:val="000000" w:themeColor="text1"/>
        </w:rPr>
        <w:t>我國過去亦藉由高階人才回流，</w:t>
      </w:r>
      <w:r w:rsidR="005208BC" w:rsidRPr="008B619A">
        <w:rPr>
          <w:rFonts w:hint="eastAsia"/>
          <w:b/>
          <w:bCs w:val="0"/>
          <w:color w:val="000000" w:themeColor="text1"/>
        </w:rPr>
        <w:t>促進</w:t>
      </w:r>
      <w:r w:rsidR="006C5CE2" w:rsidRPr="008B619A">
        <w:rPr>
          <w:rFonts w:hint="eastAsia"/>
          <w:b/>
          <w:bCs w:val="0"/>
          <w:color w:val="000000" w:themeColor="text1"/>
        </w:rPr>
        <w:t>科技產業興盛</w:t>
      </w:r>
      <w:r w:rsidR="006C5CE2" w:rsidRPr="008B619A">
        <w:rPr>
          <w:b/>
          <w:bCs w:val="0"/>
          <w:color w:val="000000" w:themeColor="text1"/>
        </w:rPr>
        <w:t>，</w:t>
      </w:r>
      <w:r w:rsidR="009B07C8" w:rsidRPr="008B619A">
        <w:rPr>
          <w:rFonts w:hint="eastAsia"/>
          <w:b/>
          <w:bCs w:val="0"/>
          <w:color w:val="000000" w:themeColor="text1"/>
        </w:rPr>
        <w:t>產業高階人才及學研人才投入，均挹注</w:t>
      </w:r>
      <w:r w:rsidR="006C5CE2" w:rsidRPr="008B619A">
        <w:rPr>
          <w:rFonts w:hint="eastAsia"/>
          <w:b/>
          <w:bCs w:val="0"/>
          <w:color w:val="000000" w:themeColor="text1"/>
        </w:rPr>
        <w:t>於學產</w:t>
      </w:r>
      <w:r w:rsidR="00841CCD" w:rsidRPr="008B619A">
        <w:rPr>
          <w:rFonts w:hint="eastAsia"/>
          <w:b/>
          <w:bCs w:val="0"/>
          <w:color w:val="000000" w:themeColor="text1"/>
        </w:rPr>
        <w:t>界</w:t>
      </w:r>
      <w:r w:rsidR="006C5CE2" w:rsidRPr="008B619A">
        <w:rPr>
          <w:rFonts w:hint="eastAsia"/>
          <w:b/>
          <w:bCs w:val="0"/>
          <w:color w:val="000000" w:themeColor="text1"/>
        </w:rPr>
        <w:t>新興</w:t>
      </w:r>
      <w:r w:rsidR="006C5CE2" w:rsidRPr="008B619A">
        <w:rPr>
          <w:b/>
          <w:bCs w:val="0"/>
          <w:color w:val="000000" w:themeColor="text1"/>
        </w:rPr>
        <w:t>知識、技術與創新思維</w:t>
      </w:r>
      <w:r w:rsidR="006C5CE2" w:rsidRPr="008B619A">
        <w:rPr>
          <w:rFonts w:hint="eastAsia"/>
          <w:b/>
          <w:bCs w:val="0"/>
          <w:color w:val="000000" w:themeColor="text1"/>
        </w:rPr>
        <w:t>；</w:t>
      </w:r>
      <w:r w:rsidR="00E44DDD" w:rsidRPr="008B619A">
        <w:rPr>
          <w:rFonts w:hint="eastAsia"/>
          <w:b/>
          <w:bCs w:val="0"/>
          <w:color w:val="000000" w:themeColor="text1"/>
        </w:rPr>
        <w:t>政府</w:t>
      </w:r>
      <w:r w:rsidR="000029E8" w:rsidRPr="008B619A">
        <w:rPr>
          <w:rFonts w:hint="eastAsia"/>
          <w:b/>
          <w:bCs w:val="0"/>
          <w:color w:val="000000" w:themeColor="text1"/>
        </w:rPr>
        <w:t>近年逐步</w:t>
      </w:r>
      <w:r w:rsidR="00E44DDD" w:rsidRPr="008B619A">
        <w:rPr>
          <w:rFonts w:hint="eastAsia"/>
          <w:b/>
          <w:bCs w:val="0"/>
          <w:color w:val="000000" w:themeColor="text1"/>
        </w:rPr>
        <w:t>推動</w:t>
      </w:r>
      <w:r w:rsidR="009518F5" w:rsidRPr="008B619A">
        <w:rPr>
          <w:rFonts w:hint="eastAsia"/>
          <w:b/>
          <w:bCs w:val="0"/>
          <w:color w:val="000000" w:themeColor="text1"/>
        </w:rPr>
        <w:t>之</w:t>
      </w:r>
      <w:r w:rsidR="00AE07F5" w:rsidRPr="008B619A">
        <w:rPr>
          <w:rFonts w:hint="eastAsia"/>
          <w:b/>
          <w:bCs w:val="0"/>
          <w:color w:val="000000" w:themeColor="text1"/>
        </w:rPr>
        <w:t>雙語</w:t>
      </w:r>
      <w:r w:rsidR="00D27AEE" w:rsidRPr="008B619A">
        <w:rPr>
          <w:rFonts w:hint="eastAsia"/>
          <w:b/>
          <w:bCs w:val="0"/>
          <w:color w:val="000000" w:themeColor="text1"/>
        </w:rPr>
        <w:t>國家</w:t>
      </w:r>
      <w:r w:rsidR="00AE07F5" w:rsidRPr="008B619A">
        <w:rPr>
          <w:rFonts w:hint="eastAsia"/>
          <w:b/>
          <w:bCs w:val="0"/>
          <w:color w:val="000000" w:themeColor="text1"/>
        </w:rPr>
        <w:t>政策</w:t>
      </w:r>
      <w:r w:rsidR="00FB35EA" w:rsidRPr="008B619A">
        <w:rPr>
          <w:rFonts w:hAnsi="標楷體" w:hint="eastAsia"/>
          <w:b/>
          <w:bCs w:val="0"/>
          <w:color w:val="000000" w:themeColor="text1"/>
        </w:rPr>
        <w:t>，及各</w:t>
      </w:r>
      <w:r w:rsidR="00AE07F5" w:rsidRPr="008B619A">
        <w:rPr>
          <w:rFonts w:hint="eastAsia"/>
          <w:b/>
          <w:bCs w:val="0"/>
          <w:color w:val="000000" w:themeColor="text1"/>
        </w:rPr>
        <w:t>大專校院跨國學位合作（又稱雙聯學制）</w:t>
      </w:r>
      <w:r w:rsidR="005164E0" w:rsidRPr="008B619A">
        <w:rPr>
          <w:rFonts w:hAnsi="標楷體" w:hint="eastAsia"/>
          <w:b/>
          <w:bCs w:val="0"/>
          <w:color w:val="000000" w:themeColor="text1"/>
        </w:rPr>
        <w:t>、</w:t>
      </w:r>
      <w:r w:rsidR="00BD4F6C" w:rsidRPr="008B619A">
        <w:rPr>
          <w:rFonts w:ascii="Helvetica" w:hAnsi="Helvetica" w:hint="eastAsia"/>
          <w:b/>
          <w:bCs w:val="0"/>
          <w:color w:val="000000" w:themeColor="text1"/>
        </w:rPr>
        <w:t>擴大博士人才國際交流</w:t>
      </w:r>
      <w:r w:rsidR="00AE07F5" w:rsidRPr="008B619A">
        <w:rPr>
          <w:rFonts w:ascii="Helvetica" w:hAnsi="Helvetica" w:hint="eastAsia"/>
          <w:b/>
          <w:bCs w:val="0"/>
          <w:color w:val="000000" w:themeColor="text1"/>
        </w:rPr>
        <w:t>等</w:t>
      </w:r>
      <w:r w:rsidR="00CE7A84" w:rsidRPr="008B619A">
        <w:rPr>
          <w:rFonts w:ascii="Helvetica" w:hAnsi="Helvetica" w:hint="eastAsia"/>
          <w:b/>
          <w:bCs w:val="0"/>
          <w:color w:val="000000" w:themeColor="text1"/>
        </w:rPr>
        <w:t>政策</w:t>
      </w:r>
      <w:r w:rsidR="00AE07F5" w:rsidRPr="008B619A">
        <w:rPr>
          <w:rFonts w:ascii="Helvetica" w:hAnsi="Helvetica" w:hint="eastAsia"/>
          <w:b/>
          <w:bCs w:val="0"/>
          <w:color w:val="000000" w:themeColor="text1"/>
        </w:rPr>
        <w:t>，有助於拓展國際視野及跨界</w:t>
      </w:r>
      <w:r w:rsidR="00700063" w:rsidRPr="008B619A">
        <w:rPr>
          <w:rFonts w:ascii="Helvetica" w:hAnsi="Helvetica" w:hint="eastAsia"/>
          <w:b/>
          <w:bCs w:val="0"/>
          <w:color w:val="000000" w:themeColor="text1"/>
        </w:rPr>
        <w:t>移動</w:t>
      </w:r>
      <w:r w:rsidR="00AE07F5" w:rsidRPr="008B619A">
        <w:rPr>
          <w:rFonts w:ascii="Helvetica" w:hAnsi="Helvetica" w:hint="eastAsia"/>
          <w:b/>
          <w:bCs w:val="0"/>
          <w:color w:val="000000" w:themeColor="text1"/>
        </w:rPr>
        <w:t>力</w:t>
      </w:r>
      <w:r w:rsidR="003861AC" w:rsidRPr="008B619A">
        <w:rPr>
          <w:rFonts w:ascii="Helvetica" w:hAnsi="Helvetica" w:hint="eastAsia"/>
          <w:b/>
          <w:bCs w:val="0"/>
          <w:color w:val="000000" w:themeColor="text1"/>
        </w:rPr>
        <w:t>，增加國際競爭力</w:t>
      </w:r>
      <w:r w:rsidR="00AE07F5" w:rsidRPr="008B619A">
        <w:rPr>
          <w:rFonts w:ascii="Helvetica" w:hAnsi="Helvetica" w:hint="eastAsia"/>
          <w:b/>
          <w:bCs w:val="0"/>
          <w:color w:val="000000" w:themeColor="text1"/>
        </w:rPr>
        <w:t>，</w:t>
      </w:r>
      <w:r w:rsidR="006F1BAA" w:rsidRPr="008B619A">
        <w:rPr>
          <w:rFonts w:ascii="Helvetica" w:hAnsi="Helvetica" w:hint="eastAsia"/>
          <w:b/>
          <w:bCs w:val="0"/>
          <w:color w:val="000000" w:themeColor="text1"/>
        </w:rPr>
        <w:t>然</w:t>
      </w:r>
      <w:r w:rsidR="00127132" w:rsidRPr="008B619A">
        <w:rPr>
          <w:rFonts w:ascii="Helvetica" w:hAnsi="Helvetica" w:hint="eastAsia"/>
          <w:b/>
          <w:bCs w:val="0"/>
          <w:color w:val="000000" w:themeColor="text1"/>
        </w:rPr>
        <w:t>因應數位經濟來臨、多元化社會的挑戰，</w:t>
      </w:r>
      <w:r w:rsidR="0051327B" w:rsidRPr="008B619A">
        <w:rPr>
          <w:rFonts w:ascii="Helvetica" w:hAnsi="Helvetica" w:hint="eastAsia"/>
          <w:b/>
          <w:bCs w:val="0"/>
          <w:color w:val="000000" w:themeColor="text1"/>
        </w:rPr>
        <w:t>高階</w:t>
      </w:r>
      <w:r w:rsidR="006C5CE2" w:rsidRPr="008B619A">
        <w:rPr>
          <w:rFonts w:ascii="Helvetica" w:hAnsi="Helvetica" w:hint="eastAsia"/>
          <w:b/>
          <w:bCs w:val="0"/>
          <w:color w:val="000000" w:themeColor="text1"/>
        </w:rPr>
        <w:t>人才議題除</w:t>
      </w:r>
      <w:r w:rsidR="00252428" w:rsidRPr="008B619A">
        <w:rPr>
          <w:rFonts w:ascii="Helvetica" w:hAnsi="Helvetica" w:hint="eastAsia"/>
          <w:b/>
          <w:bCs w:val="0"/>
          <w:color w:val="000000" w:themeColor="text1"/>
        </w:rPr>
        <w:t>對於</w:t>
      </w:r>
      <w:r w:rsidR="006C5CE2" w:rsidRPr="008B619A">
        <w:rPr>
          <w:rFonts w:ascii="Helvetica" w:hAnsi="Helvetica" w:hint="eastAsia"/>
          <w:b/>
          <w:bCs w:val="0"/>
          <w:color w:val="000000" w:themeColor="text1"/>
        </w:rPr>
        <w:t>外籍高階人才之延攬</w:t>
      </w:r>
      <w:r w:rsidR="00821070" w:rsidRPr="008B619A">
        <w:rPr>
          <w:rFonts w:ascii="Helvetica" w:hAnsi="Helvetica" w:hint="eastAsia"/>
          <w:b/>
          <w:bCs w:val="0"/>
          <w:color w:val="000000" w:themeColor="text1"/>
        </w:rPr>
        <w:t>留任</w:t>
      </w:r>
      <w:r w:rsidR="006C5CE2" w:rsidRPr="008B619A">
        <w:rPr>
          <w:rFonts w:ascii="Helvetica" w:hAnsi="Helvetica" w:hint="eastAsia"/>
          <w:b/>
          <w:bCs w:val="0"/>
          <w:color w:val="000000" w:themeColor="text1"/>
        </w:rPr>
        <w:t>外，亦</w:t>
      </w:r>
      <w:r w:rsidR="00066806" w:rsidRPr="008B619A">
        <w:rPr>
          <w:rFonts w:ascii="Helvetica" w:hAnsi="Helvetica" w:hint="eastAsia"/>
          <w:b/>
          <w:bCs w:val="0"/>
          <w:color w:val="000000" w:themeColor="text1"/>
        </w:rPr>
        <w:t>同步聚焦</w:t>
      </w:r>
      <w:r w:rsidR="006C5CE2" w:rsidRPr="008B619A">
        <w:rPr>
          <w:rFonts w:ascii="Helvetica" w:hAnsi="Helvetica" w:hint="eastAsia"/>
          <w:b/>
          <w:bCs w:val="0"/>
          <w:color w:val="000000" w:themeColor="text1"/>
        </w:rPr>
        <w:t>我國優秀</w:t>
      </w:r>
      <w:r w:rsidR="00220C44" w:rsidRPr="008B619A">
        <w:rPr>
          <w:rFonts w:ascii="Helvetica" w:hAnsi="Helvetica" w:hint="eastAsia"/>
          <w:b/>
          <w:bCs w:val="0"/>
          <w:color w:val="000000" w:themeColor="text1"/>
        </w:rPr>
        <w:t>博士</w:t>
      </w:r>
      <w:r w:rsidR="006C5CE2" w:rsidRPr="008B619A">
        <w:rPr>
          <w:rFonts w:ascii="Helvetica" w:hAnsi="Helvetica" w:hint="eastAsia"/>
          <w:b/>
          <w:bCs w:val="0"/>
          <w:color w:val="000000" w:themeColor="text1"/>
        </w:rPr>
        <w:t>人才之回流，</w:t>
      </w:r>
      <w:r w:rsidR="00777BAD" w:rsidRPr="008B619A">
        <w:rPr>
          <w:rFonts w:ascii="Helvetica" w:hAnsi="Helvetica" w:hint="eastAsia"/>
          <w:b/>
          <w:bCs w:val="0"/>
          <w:color w:val="000000" w:themeColor="text1"/>
        </w:rPr>
        <w:t>惟</w:t>
      </w:r>
      <w:r w:rsidR="00B60F8B" w:rsidRPr="008B619A">
        <w:rPr>
          <w:rFonts w:hint="eastAsia"/>
          <w:b/>
          <w:bCs w:val="0"/>
          <w:color w:val="000000" w:themeColor="text1"/>
        </w:rPr>
        <w:t>108年國人赴海外工作人數</w:t>
      </w:r>
      <w:r w:rsidR="006B0DAD" w:rsidRPr="008B619A">
        <w:rPr>
          <w:rFonts w:hint="eastAsia"/>
          <w:b/>
          <w:bCs w:val="0"/>
          <w:color w:val="000000" w:themeColor="text1"/>
        </w:rPr>
        <w:t>增至</w:t>
      </w:r>
      <w:r w:rsidR="00B60F8B" w:rsidRPr="008B619A">
        <w:rPr>
          <w:rFonts w:hint="eastAsia"/>
          <w:b/>
          <w:bCs w:val="0"/>
          <w:color w:val="000000" w:themeColor="text1"/>
        </w:rPr>
        <w:t>73萬9千人，</w:t>
      </w:r>
      <w:r w:rsidR="006E6A91" w:rsidRPr="008B619A">
        <w:rPr>
          <w:rFonts w:hint="eastAsia"/>
          <w:b/>
          <w:bCs w:val="0"/>
          <w:color w:val="000000" w:themeColor="text1"/>
        </w:rPr>
        <w:t>大專及以上程度者占76.2%</w:t>
      </w:r>
      <w:r w:rsidR="004E6A4D" w:rsidRPr="008B619A">
        <w:rPr>
          <w:rFonts w:hint="eastAsia"/>
          <w:b/>
          <w:bCs w:val="0"/>
          <w:color w:val="000000" w:themeColor="text1"/>
        </w:rPr>
        <w:t>，</w:t>
      </w:r>
      <w:r w:rsidR="00072DC4" w:rsidRPr="008B619A">
        <w:rPr>
          <w:rFonts w:hint="eastAsia"/>
          <w:b/>
          <w:bCs w:val="0"/>
          <w:color w:val="000000" w:themeColor="text1"/>
        </w:rPr>
        <w:t>30~49歲者36萬人</w:t>
      </w:r>
      <w:r w:rsidR="00334B8D" w:rsidRPr="008B619A">
        <w:rPr>
          <w:rFonts w:hint="eastAsia"/>
          <w:b/>
          <w:bCs w:val="0"/>
          <w:color w:val="000000" w:themeColor="text1"/>
        </w:rPr>
        <w:t>，</w:t>
      </w:r>
      <w:r w:rsidR="00072DC4" w:rsidRPr="008B619A">
        <w:rPr>
          <w:rFonts w:hint="eastAsia"/>
          <w:b/>
          <w:bCs w:val="0"/>
          <w:color w:val="000000" w:themeColor="text1"/>
        </w:rPr>
        <w:t>占48.7%</w:t>
      </w:r>
      <w:r w:rsidR="00824934" w:rsidRPr="008B619A">
        <w:rPr>
          <w:rFonts w:hint="eastAsia"/>
          <w:b/>
          <w:bCs w:val="0"/>
          <w:color w:val="000000" w:themeColor="text1"/>
        </w:rPr>
        <w:t>，</w:t>
      </w:r>
      <w:r w:rsidR="005B6B0B" w:rsidRPr="008B619A">
        <w:rPr>
          <w:b/>
          <w:bCs w:val="0"/>
          <w:color w:val="000000" w:themeColor="text1"/>
        </w:rPr>
        <w:t>人數</w:t>
      </w:r>
      <w:r w:rsidR="00533300" w:rsidRPr="008B619A">
        <w:rPr>
          <w:rFonts w:hint="eastAsia"/>
          <w:b/>
          <w:bCs w:val="0"/>
          <w:color w:val="000000" w:themeColor="text1"/>
        </w:rPr>
        <w:t>逐年</w:t>
      </w:r>
      <w:r w:rsidR="005B6B0B" w:rsidRPr="008B619A">
        <w:rPr>
          <w:b/>
          <w:bCs w:val="0"/>
          <w:color w:val="000000" w:themeColor="text1"/>
        </w:rPr>
        <w:t>增加</w:t>
      </w:r>
      <w:r w:rsidR="005B6B0B" w:rsidRPr="008B619A">
        <w:rPr>
          <w:rFonts w:hint="eastAsia"/>
          <w:b/>
          <w:bCs w:val="0"/>
          <w:color w:val="000000" w:themeColor="text1"/>
        </w:rPr>
        <w:t>，</w:t>
      </w:r>
      <w:r w:rsidR="00824934" w:rsidRPr="008B619A">
        <w:rPr>
          <w:rFonts w:hint="eastAsia"/>
          <w:b/>
          <w:bCs w:val="0"/>
          <w:color w:val="000000" w:themeColor="text1"/>
        </w:rPr>
        <w:t>此趨勢及現象為政府宜予正視並研析之課題</w:t>
      </w:r>
      <w:r w:rsidR="004E6A4D" w:rsidRPr="008B619A">
        <w:rPr>
          <w:rFonts w:hint="eastAsia"/>
          <w:b/>
          <w:bCs w:val="0"/>
          <w:color w:val="000000" w:themeColor="text1"/>
        </w:rPr>
        <w:t>；</w:t>
      </w:r>
      <w:r w:rsidR="006E6A91" w:rsidRPr="008B619A">
        <w:rPr>
          <w:rFonts w:hint="eastAsia"/>
          <w:b/>
          <w:bCs w:val="0"/>
          <w:color w:val="000000" w:themeColor="text1"/>
        </w:rPr>
        <w:t>復</w:t>
      </w:r>
      <w:r w:rsidR="006C5CE2" w:rsidRPr="008B619A">
        <w:rPr>
          <w:rFonts w:ascii="Helvetica" w:hAnsi="Helvetica" w:hint="eastAsia"/>
          <w:b/>
          <w:bCs w:val="0"/>
          <w:color w:val="000000" w:themeColor="text1"/>
        </w:rPr>
        <w:t>以博士人才回流</w:t>
      </w:r>
      <w:r w:rsidR="00CD493A" w:rsidRPr="008B619A">
        <w:rPr>
          <w:rFonts w:ascii="Helvetica" w:hAnsi="Helvetica" w:hint="eastAsia"/>
          <w:b/>
          <w:bCs w:val="0"/>
          <w:color w:val="000000" w:themeColor="text1"/>
        </w:rPr>
        <w:t>趨勢</w:t>
      </w:r>
      <w:r w:rsidR="006C5CE2" w:rsidRPr="008B619A">
        <w:rPr>
          <w:rFonts w:ascii="Helvetica" w:hAnsi="Helvetica" w:hint="eastAsia"/>
          <w:b/>
          <w:bCs w:val="0"/>
          <w:color w:val="000000" w:themeColor="text1"/>
        </w:rPr>
        <w:t>而言，</w:t>
      </w:r>
      <w:r w:rsidR="006C5CE2" w:rsidRPr="008B619A">
        <w:rPr>
          <w:rFonts w:ascii="Helvetica" w:hAnsi="Helvetica"/>
          <w:b/>
          <w:bCs w:val="0"/>
          <w:color w:val="000000" w:themeColor="text1"/>
        </w:rPr>
        <w:t>博士人才</w:t>
      </w:r>
      <w:r w:rsidR="006C5CE2" w:rsidRPr="008B619A">
        <w:rPr>
          <w:rFonts w:ascii="Helvetica" w:hAnsi="Helvetica" w:hint="eastAsia"/>
          <w:b/>
          <w:bCs w:val="0"/>
          <w:color w:val="000000" w:themeColor="text1"/>
        </w:rPr>
        <w:t>雖</w:t>
      </w:r>
      <w:r w:rsidR="006C5CE2" w:rsidRPr="008B619A">
        <w:rPr>
          <w:rFonts w:ascii="Helvetica" w:hAnsi="Helvetica"/>
          <w:b/>
          <w:bCs w:val="0"/>
          <w:color w:val="000000" w:themeColor="text1"/>
        </w:rPr>
        <w:t>具高度的流動意願，</w:t>
      </w:r>
      <w:r w:rsidR="006C5CE2" w:rsidRPr="008B619A">
        <w:rPr>
          <w:rFonts w:ascii="Helvetica" w:hAnsi="Helvetica" w:hint="eastAsia"/>
          <w:b/>
          <w:bCs w:val="0"/>
          <w:color w:val="000000" w:themeColor="text1"/>
        </w:rPr>
        <w:t>但</w:t>
      </w:r>
      <w:r w:rsidR="00CB7B65" w:rsidRPr="008B619A">
        <w:rPr>
          <w:rFonts w:ascii="Helvetica" w:hAnsi="Helvetica" w:hint="eastAsia"/>
          <w:b/>
          <w:bCs w:val="0"/>
          <w:color w:val="000000" w:themeColor="text1"/>
        </w:rPr>
        <w:t>實</w:t>
      </w:r>
      <w:r w:rsidR="006C5CE2" w:rsidRPr="008B619A">
        <w:rPr>
          <w:rFonts w:ascii="Helvetica" w:hAnsi="Helvetica"/>
          <w:b/>
          <w:bCs w:val="0"/>
          <w:color w:val="000000" w:themeColor="text1"/>
        </w:rPr>
        <w:t>存在流</w:t>
      </w:r>
      <w:r w:rsidR="00A24B9C" w:rsidRPr="008B619A">
        <w:rPr>
          <w:rFonts w:ascii="Helvetica" w:hAnsi="Helvetica" w:hint="eastAsia"/>
          <w:b/>
          <w:bCs w:val="0"/>
          <w:color w:val="000000" w:themeColor="text1"/>
        </w:rPr>
        <w:t>出大於流入之</w:t>
      </w:r>
      <w:r w:rsidR="006C5CE2" w:rsidRPr="008B619A">
        <w:rPr>
          <w:rFonts w:ascii="Helvetica" w:hAnsi="Helvetica"/>
          <w:b/>
          <w:bCs w:val="0"/>
          <w:color w:val="000000" w:themeColor="text1"/>
        </w:rPr>
        <w:t>失衡問題</w:t>
      </w:r>
      <w:r w:rsidR="006C5CE2" w:rsidRPr="008B619A">
        <w:rPr>
          <w:rFonts w:ascii="Helvetica" w:hAnsi="Helvetica" w:hint="eastAsia"/>
          <w:b/>
          <w:bCs w:val="0"/>
          <w:color w:val="000000" w:themeColor="text1"/>
        </w:rPr>
        <w:t>，</w:t>
      </w:r>
      <w:r w:rsidR="00183AEA" w:rsidRPr="008B619A">
        <w:rPr>
          <w:rFonts w:ascii="Helvetica" w:hAnsi="Helvetica" w:hint="eastAsia"/>
          <w:b/>
          <w:bCs w:val="0"/>
          <w:color w:val="000000" w:themeColor="text1"/>
        </w:rPr>
        <w:t>政府</w:t>
      </w:r>
      <w:r w:rsidR="006C5CE2" w:rsidRPr="008B619A">
        <w:rPr>
          <w:rFonts w:ascii="Helvetica" w:hAnsi="Helvetica" w:hint="eastAsia"/>
          <w:b/>
          <w:bCs w:val="0"/>
          <w:color w:val="000000" w:themeColor="text1"/>
        </w:rPr>
        <w:t>相關部會雖已推動人才橋接</w:t>
      </w:r>
      <w:r w:rsidR="004D5A84" w:rsidRPr="008B619A">
        <w:rPr>
          <w:rFonts w:ascii="Helvetica" w:hAnsi="Helvetica" w:hint="eastAsia"/>
          <w:b/>
          <w:bCs w:val="0"/>
          <w:color w:val="000000" w:themeColor="text1"/>
        </w:rPr>
        <w:t>計畫</w:t>
      </w:r>
      <w:r w:rsidR="006C5CE2" w:rsidRPr="008B619A">
        <w:rPr>
          <w:rFonts w:ascii="Helvetica" w:hAnsi="Helvetica" w:hint="eastAsia"/>
          <w:b/>
          <w:bCs w:val="0"/>
          <w:color w:val="000000" w:themeColor="text1"/>
        </w:rPr>
        <w:t>，</w:t>
      </w:r>
      <w:r w:rsidR="00C217AF" w:rsidRPr="008B619A">
        <w:rPr>
          <w:rFonts w:ascii="Helvetica" w:hAnsi="Helvetica" w:hint="eastAsia"/>
          <w:b/>
          <w:bCs w:val="0"/>
          <w:color w:val="000000" w:themeColor="text1"/>
        </w:rPr>
        <w:t>惟</w:t>
      </w:r>
      <w:r w:rsidR="00073114" w:rsidRPr="008B619A">
        <w:rPr>
          <w:rFonts w:ascii="Helvetica" w:hAnsi="Helvetica" w:hint="eastAsia"/>
          <w:b/>
          <w:bCs w:val="0"/>
          <w:color w:val="000000" w:themeColor="text1"/>
        </w:rPr>
        <w:t>針對</w:t>
      </w:r>
      <w:r w:rsidR="00C217AF" w:rsidRPr="008B619A">
        <w:rPr>
          <w:rFonts w:ascii="Helvetica" w:hAnsi="Helvetica" w:hint="eastAsia"/>
          <w:b/>
          <w:bCs w:val="0"/>
          <w:color w:val="000000" w:themeColor="text1"/>
        </w:rPr>
        <w:t>整體</w:t>
      </w:r>
      <w:r w:rsidR="00823D1F" w:rsidRPr="008B619A">
        <w:rPr>
          <w:rFonts w:ascii="Helvetica" w:hAnsi="Helvetica" w:hint="eastAsia"/>
          <w:b/>
          <w:bCs w:val="0"/>
          <w:color w:val="000000" w:themeColor="text1"/>
        </w:rPr>
        <w:t>薪資</w:t>
      </w:r>
      <w:r w:rsidR="00823D1F" w:rsidRPr="008B619A">
        <w:rPr>
          <w:rFonts w:hAnsi="標楷體" w:hint="eastAsia"/>
          <w:b/>
          <w:bCs w:val="0"/>
          <w:color w:val="000000" w:themeColor="text1"/>
        </w:rPr>
        <w:t>、</w:t>
      </w:r>
      <w:r w:rsidR="00C217AF" w:rsidRPr="008B619A">
        <w:rPr>
          <w:rFonts w:ascii="Helvetica" w:hAnsi="Helvetica" w:hint="eastAsia"/>
          <w:b/>
          <w:bCs w:val="0"/>
          <w:color w:val="000000" w:themeColor="text1"/>
        </w:rPr>
        <w:t>就業</w:t>
      </w:r>
      <w:r w:rsidR="00E44101" w:rsidRPr="008B619A">
        <w:rPr>
          <w:rFonts w:hAnsi="標楷體" w:hint="eastAsia"/>
          <w:b/>
          <w:bCs w:val="0"/>
          <w:color w:val="000000" w:themeColor="text1"/>
        </w:rPr>
        <w:t>、學研環境</w:t>
      </w:r>
      <w:r w:rsidR="00C217AF" w:rsidRPr="008B619A">
        <w:rPr>
          <w:rFonts w:ascii="Helvetica" w:hAnsi="Helvetica" w:hint="eastAsia"/>
          <w:b/>
          <w:bCs w:val="0"/>
          <w:color w:val="000000" w:themeColor="text1"/>
        </w:rPr>
        <w:t>及產業</w:t>
      </w:r>
      <w:r w:rsidR="00935156" w:rsidRPr="008B619A">
        <w:rPr>
          <w:rFonts w:ascii="Helvetica" w:hAnsi="Helvetica" w:hint="eastAsia"/>
          <w:b/>
          <w:bCs w:val="0"/>
          <w:color w:val="000000" w:themeColor="text1"/>
        </w:rPr>
        <w:t>結構</w:t>
      </w:r>
      <w:r w:rsidR="00C217AF" w:rsidRPr="008B619A">
        <w:rPr>
          <w:rFonts w:ascii="Helvetica" w:hAnsi="Helvetica" w:hint="eastAsia"/>
          <w:b/>
          <w:bCs w:val="0"/>
          <w:color w:val="000000" w:themeColor="text1"/>
        </w:rPr>
        <w:t>問題仍待</w:t>
      </w:r>
      <w:r w:rsidR="00935156" w:rsidRPr="008B619A">
        <w:rPr>
          <w:rFonts w:ascii="Helvetica" w:hAnsi="Helvetica" w:hint="eastAsia"/>
          <w:b/>
          <w:bCs w:val="0"/>
          <w:color w:val="000000" w:themeColor="text1"/>
        </w:rPr>
        <w:t>提升</w:t>
      </w:r>
      <w:r w:rsidR="00C217AF" w:rsidRPr="008B619A">
        <w:rPr>
          <w:rFonts w:ascii="Helvetica" w:hAnsi="Helvetica" w:hint="eastAsia"/>
          <w:b/>
          <w:bCs w:val="0"/>
          <w:color w:val="000000" w:themeColor="text1"/>
        </w:rPr>
        <w:t>，</w:t>
      </w:r>
      <w:r w:rsidR="006C5CE2" w:rsidRPr="008B619A">
        <w:rPr>
          <w:rFonts w:ascii="Helvetica" w:hAnsi="Helvetica" w:hint="eastAsia"/>
          <w:b/>
          <w:bCs w:val="0"/>
          <w:color w:val="000000" w:themeColor="text1"/>
        </w:rPr>
        <w:t>以激勵產業創新及科研發展</w:t>
      </w:r>
      <w:r w:rsidR="000C37F8" w:rsidRPr="008B619A">
        <w:rPr>
          <w:rFonts w:hint="eastAsia"/>
          <w:b/>
          <w:bCs w:val="0"/>
          <w:color w:val="000000" w:themeColor="text1"/>
        </w:rPr>
        <w:t>，</w:t>
      </w:r>
      <w:r w:rsidR="00C63667" w:rsidRPr="008B619A">
        <w:rPr>
          <w:rFonts w:hint="eastAsia"/>
          <w:b/>
          <w:color w:val="000000" w:themeColor="text1"/>
        </w:rPr>
        <w:t>提升整體留才及攬才吸引力</w:t>
      </w:r>
      <w:bookmarkEnd w:id="86"/>
    </w:p>
    <w:p w14:paraId="34364862" w14:textId="4F967993" w:rsidR="004914F3" w:rsidRPr="008B619A" w:rsidRDefault="000C1897" w:rsidP="006C5CE2">
      <w:pPr>
        <w:pStyle w:val="3"/>
        <w:rPr>
          <w:color w:val="000000" w:themeColor="text1"/>
        </w:rPr>
      </w:pPr>
      <w:r w:rsidRPr="008B619A">
        <w:rPr>
          <w:rFonts w:hint="eastAsia"/>
          <w:color w:val="000000" w:themeColor="text1"/>
        </w:rPr>
        <w:t>按</w:t>
      </w:r>
      <w:r w:rsidR="004914F3" w:rsidRPr="008B619A">
        <w:rPr>
          <w:rFonts w:hint="eastAsia"/>
          <w:color w:val="000000" w:themeColor="text1"/>
        </w:rPr>
        <w:t>教育部93年修正發布「國內大學校院與國外大專校院辦理雙聯學制實施要點」，規定修習雙聯學位之學生回國續修銜接國內學校課程，</w:t>
      </w:r>
      <w:r w:rsidR="00496A1B" w:rsidRPr="008B619A">
        <w:rPr>
          <w:rFonts w:hint="eastAsia"/>
          <w:color w:val="000000" w:themeColor="text1"/>
        </w:rPr>
        <w:t>且</w:t>
      </w:r>
      <w:r w:rsidR="004914F3" w:rsidRPr="008B619A">
        <w:rPr>
          <w:rFonts w:hint="eastAsia"/>
          <w:color w:val="000000" w:themeColor="text1"/>
        </w:rPr>
        <w:t>「依我國大學法修業期滿、成績及格且符合畢業條件者，得授</w:t>
      </w:r>
      <w:r w:rsidR="004914F3" w:rsidRPr="008B619A">
        <w:rPr>
          <w:rFonts w:hint="eastAsia"/>
          <w:color w:val="000000" w:themeColor="text1"/>
        </w:rPr>
        <w:lastRenderedPageBreak/>
        <w:t>予學士學位，但其在國內修業年限至少須滿</w:t>
      </w:r>
      <w:r w:rsidRPr="008B619A">
        <w:rPr>
          <w:rFonts w:hint="eastAsia"/>
          <w:color w:val="000000" w:themeColor="text1"/>
        </w:rPr>
        <w:t>2</w:t>
      </w:r>
      <w:r w:rsidR="004914F3" w:rsidRPr="008B619A">
        <w:rPr>
          <w:rFonts w:hint="eastAsia"/>
          <w:color w:val="000000" w:themeColor="text1"/>
        </w:rPr>
        <w:t>年」，</w:t>
      </w:r>
      <w:r w:rsidR="006F3E45" w:rsidRPr="008B619A">
        <w:rPr>
          <w:rFonts w:hint="eastAsia"/>
          <w:color w:val="000000" w:themeColor="text1"/>
        </w:rPr>
        <w:t>及</w:t>
      </w:r>
      <w:r w:rsidR="004914F3" w:rsidRPr="008B619A">
        <w:rPr>
          <w:rFonts w:hint="eastAsia"/>
          <w:color w:val="000000" w:themeColor="text1"/>
        </w:rPr>
        <w:t>「辦理雙聯學制之國外學校限外國當地有關權責機關或專業團體認可，並經駐外單位查證屬實之大專校院」。</w:t>
      </w:r>
      <w:r w:rsidR="00CC0777" w:rsidRPr="008B619A">
        <w:rPr>
          <w:rFonts w:hint="eastAsia"/>
          <w:color w:val="000000" w:themeColor="text1"/>
        </w:rPr>
        <w:t>跨國學位合作（雙聯學制）之</w:t>
      </w:r>
      <w:r w:rsidR="004914F3" w:rsidRPr="008B619A">
        <w:rPr>
          <w:rFonts w:hint="eastAsia"/>
          <w:color w:val="000000" w:themeColor="text1"/>
        </w:rPr>
        <w:t>定義則可參酌財團法人高等教育評鑑中心基金會之研究</w:t>
      </w:r>
      <w:r w:rsidR="00811553" w:rsidRPr="008B619A">
        <w:rPr>
          <w:rFonts w:hint="eastAsia"/>
          <w:color w:val="000000" w:themeColor="text1"/>
        </w:rPr>
        <w:t>敘明</w:t>
      </w:r>
      <w:r w:rsidR="004914F3" w:rsidRPr="008B619A">
        <w:rPr>
          <w:rStyle w:val="aff1"/>
          <w:color w:val="000000" w:themeColor="text1"/>
        </w:rPr>
        <w:footnoteReference w:id="56"/>
      </w:r>
      <w:r w:rsidR="004914F3" w:rsidRPr="008B619A">
        <w:rPr>
          <w:rFonts w:hint="eastAsia"/>
          <w:color w:val="000000" w:themeColor="text1"/>
        </w:rPr>
        <w:t>，雙聯學位意指兩所大學獨立的系所課程之結合，當學生完成雙聯學位之學程，便可同時獲得來自兩個分屬不同大學之獨立系所授予的雙學位。</w:t>
      </w:r>
      <w:r w:rsidR="000960DC" w:rsidRPr="008B619A">
        <w:rPr>
          <w:rFonts w:hint="eastAsia"/>
          <w:color w:val="000000" w:themeColor="text1"/>
        </w:rPr>
        <w:t>基此</w:t>
      </w:r>
      <w:r w:rsidR="00DA2624" w:rsidRPr="008B619A">
        <w:rPr>
          <w:rFonts w:hint="eastAsia"/>
          <w:color w:val="000000" w:themeColor="text1"/>
        </w:rPr>
        <w:t>，面臨全球化的衝擊與挑戰，雙聯學制為全球先進國家及區域</w:t>
      </w:r>
      <w:r w:rsidR="00A33CDA" w:rsidRPr="008B619A">
        <w:rPr>
          <w:rFonts w:hint="eastAsia"/>
          <w:color w:val="000000" w:themeColor="text1"/>
        </w:rPr>
        <w:t>新興國家</w:t>
      </w:r>
      <w:r w:rsidR="005F5103" w:rsidRPr="008B619A">
        <w:rPr>
          <w:rFonts w:hint="eastAsia"/>
          <w:color w:val="000000" w:themeColor="text1"/>
        </w:rPr>
        <w:t>重要</w:t>
      </w:r>
      <w:r w:rsidR="00A33CDA" w:rsidRPr="008B619A">
        <w:rPr>
          <w:rFonts w:hint="eastAsia"/>
          <w:color w:val="000000" w:themeColor="text1"/>
        </w:rPr>
        <w:t>之</w:t>
      </w:r>
      <w:r w:rsidR="00DA2624" w:rsidRPr="008B619A">
        <w:rPr>
          <w:rFonts w:hint="eastAsia"/>
          <w:color w:val="000000" w:themeColor="text1"/>
        </w:rPr>
        <w:t>高教發展趨勢</w:t>
      </w:r>
      <w:r w:rsidR="005F5103" w:rsidRPr="008B619A">
        <w:rPr>
          <w:rFonts w:hint="eastAsia"/>
          <w:color w:val="000000" w:themeColor="text1"/>
        </w:rPr>
        <w:t>之一</w:t>
      </w:r>
      <w:r w:rsidR="00DA2624" w:rsidRPr="008B619A">
        <w:rPr>
          <w:rFonts w:hint="eastAsia"/>
          <w:color w:val="000000" w:themeColor="text1"/>
        </w:rPr>
        <w:t>。</w:t>
      </w:r>
    </w:p>
    <w:p w14:paraId="51EC9089" w14:textId="170D2D23" w:rsidR="00EF517F" w:rsidRPr="008B619A" w:rsidRDefault="00EF517F" w:rsidP="006C5CE2">
      <w:pPr>
        <w:pStyle w:val="3"/>
        <w:rPr>
          <w:color w:val="000000" w:themeColor="text1"/>
        </w:rPr>
      </w:pPr>
      <w:r w:rsidRPr="008B619A">
        <w:rPr>
          <w:rFonts w:hAnsi="標楷體" w:hint="eastAsia"/>
          <w:color w:val="000000" w:themeColor="text1"/>
        </w:rPr>
        <w:t>究本議題，依本院諮詢學者提出書面意見指稱，「</w:t>
      </w:r>
      <w:r w:rsidRPr="008B619A">
        <w:rPr>
          <w:rFonts w:hint="eastAsia"/>
          <w:color w:val="000000" w:themeColor="text1"/>
        </w:rPr>
        <w:t>建議可增加一些重點領域的博士班學生獎學金，協助博士班的國際交流補助，促進國際雙聯博士班，博士學生的國際教學培訓，例如國際高等教育培訓與認證等……</w:t>
      </w:r>
      <w:r w:rsidRPr="008B619A">
        <w:rPr>
          <w:rFonts w:hAnsi="標楷體" w:hint="eastAsia"/>
          <w:color w:val="000000" w:themeColor="text1"/>
        </w:rPr>
        <w:t>」。而國家教育研究院</w:t>
      </w:r>
      <w:r w:rsidR="002A56D4" w:rsidRPr="008B619A">
        <w:rPr>
          <w:rFonts w:hAnsi="標楷體" w:hint="eastAsia"/>
          <w:color w:val="000000" w:themeColor="text1"/>
        </w:rPr>
        <w:t>研究</w:t>
      </w:r>
      <w:r w:rsidR="00990291" w:rsidRPr="008B619A">
        <w:rPr>
          <w:rFonts w:hAnsi="標楷體" w:hint="eastAsia"/>
          <w:color w:val="000000" w:themeColor="text1"/>
        </w:rPr>
        <w:t>復</w:t>
      </w:r>
      <w:r w:rsidRPr="008B619A">
        <w:rPr>
          <w:rFonts w:hAnsi="標楷體" w:hint="eastAsia"/>
          <w:color w:val="000000" w:themeColor="text1"/>
        </w:rPr>
        <w:t>指出</w:t>
      </w:r>
      <w:r w:rsidRPr="008B619A">
        <w:rPr>
          <w:rStyle w:val="aff1"/>
          <w:rFonts w:hAnsi="標楷體"/>
          <w:color w:val="000000" w:themeColor="text1"/>
        </w:rPr>
        <w:footnoteReference w:id="57"/>
      </w:r>
      <w:r w:rsidRPr="008B619A">
        <w:rPr>
          <w:rFonts w:hAnsi="標楷體" w:hint="eastAsia"/>
          <w:color w:val="000000" w:themeColor="text1"/>
        </w:rPr>
        <w:t>，針對政府挹注雙聯學制之國際比較作法包括，「若要系統性鼓勵大規模推動國際雙聯學制，由政府適度經費挹注鼓勵推動也有其重要性。</w:t>
      </w:r>
      <w:r w:rsidR="004564BF" w:rsidRPr="008B619A">
        <w:rPr>
          <w:rFonts w:hAnsi="標楷體" w:hint="eastAsia"/>
          <w:color w:val="000000" w:themeColor="text1"/>
          <w:szCs w:val="32"/>
        </w:rPr>
        <w:t>美國教育委員會（</w:t>
      </w:r>
      <w:r w:rsidR="004564BF" w:rsidRPr="008B619A">
        <w:rPr>
          <w:rFonts w:ascii="Times New Roman" w:hAnsi="Times New Roman" w:hint="eastAsia"/>
          <w:bCs w:val="0"/>
          <w:color w:val="000000" w:themeColor="text1"/>
          <w:kern w:val="2"/>
          <w:szCs w:val="32"/>
        </w:rPr>
        <w:t>American Council on Education,</w:t>
      </w:r>
      <w:r w:rsidR="00AD63B5" w:rsidRPr="008B619A">
        <w:rPr>
          <w:rFonts w:ascii="Times New Roman" w:hAnsi="Times New Roman" w:hint="eastAsia"/>
          <w:bCs w:val="0"/>
          <w:color w:val="000000" w:themeColor="text1"/>
          <w:kern w:val="2"/>
          <w:szCs w:val="32"/>
        </w:rPr>
        <w:t xml:space="preserve"> </w:t>
      </w:r>
      <w:r w:rsidR="004564BF" w:rsidRPr="008B619A">
        <w:rPr>
          <w:rFonts w:ascii="Times New Roman" w:hAnsi="Times New Roman" w:hint="eastAsia"/>
          <w:bCs w:val="0"/>
          <w:color w:val="000000" w:themeColor="text1"/>
          <w:kern w:val="2"/>
          <w:szCs w:val="32"/>
        </w:rPr>
        <w:t>ACE</w:t>
      </w:r>
      <w:r w:rsidR="005A4B27" w:rsidRPr="008B619A">
        <w:rPr>
          <w:rFonts w:hint="eastAsia"/>
          <w:color w:val="000000" w:themeColor="text1"/>
          <w:szCs w:val="32"/>
        </w:rPr>
        <w:t>）</w:t>
      </w:r>
      <w:r w:rsidR="004564BF" w:rsidRPr="008B619A">
        <w:rPr>
          <w:rFonts w:hint="eastAsia"/>
          <w:color w:val="000000" w:themeColor="text1"/>
          <w:szCs w:val="32"/>
        </w:rPr>
        <w:t>（</w:t>
      </w:r>
      <w:r w:rsidR="004564BF" w:rsidRPr="008B619A">
        <w:rPr>
          <w:color w:val="000000" w:themeColor="text1"/>
          <w:szCs w:val="32"/>
        </w:rPr>
        <w:t>2011</w:t>
      </w:r>
      <w:r w:rsidR="004564BF" w:rsidRPr="008B619A">
        <w:rPr>
          <w:rFonts w:hint="eastAsia"/>
          <w:color w:val="000000" w:themeColor="text1"/>
          <w:szCs w:val="32"/>
        </w:rPr>
        <w:t>）</w:t>
      </w:r>
      <w:r w:rsidRPr="008B619A">
        <w:rPr>
          <w:rFonts w:hAnsi="標楷體" w:hint="eastAsia"/>
          <w:color w:val="000000" w:themeColor="text1"/>
        </w:rPr>
        <w:t>調查報告指出：除了法規層面、財務問題是許多大學所面臨的的大挑戰。歐盟因其跨國組織屬性而財源豐厚，</w:t>
      </w:r>
      <w:r w:rsidR="00121492" w:rsidRPr="008B619A">
        <w:rPr>
          <w:rFonts w:hAnsi="標楷體" w:hint="eastAsia"/>
          <w:color w:val="000000" w:themeColor="text1"/>
        </w:rPr>
        <w:t>「</w:t>
      </w:r>
      <w:r w:rsidRPr="008B619A">
        <w:rPr>
          <w:rFonts w:hAnsi="標楷體" w:hint="eastAsia"/>
          <w:color w:val="000000" w:themeColor="text1"/>
        </w:rPr>
        <w:t>伊拉斯謨斯的雙聯碩士學位學程</w:t>
      </w:r>
      <w:r w:rsidR="00121492" w:rsidRPr="008B619A">
        <w:rPr>
          <w:rFonts w:hAnsi="標楷體" w:hint="eastAsia"/>
          <w:color w:val="000000" w:themeColor="text1"/>
        </w:rPr>
        <w:t>」</w:t>
      </w:r>
      <w:r w:rsidR="00412B25" w:rsidRPr="008B619A">
        <w:rPr>
          <w:rStyle w:val="aff1"/>
          <w:rFonts w:hAnsi="標楷體"/>
          <w:color w:val="000000" w:themeColor="text1"/>
        </w:rPr>
        <w:footnoteReference w:id="58"/>
      </w:r>
      <w:r w:rsidRPr="008B619A">
        <w:rPr>
          <w:rFonts w:hAnsi="標楷體" w:hint="eastAsia"/>
          <w:color w:val="000000" w:themeColor="text1"/>
        </w:rPr>
        <w:t>共7年計畫可以資助高達</w:t>
      </w:r>
      <w:r w:rsidRPr="008B619A">
        <w:rPr>
          <w:rFonts w:hAnsi="標楷體"/>
          <w:color w:val="000000" w:themeColor="text1"/>
        </w:rPr>
        <w:t>350</w:t>
      </w:r>
      <w:r w:rsidRPr="008B619A">
        <w:rPr>
          <w:rFonts w:hAnsi="標楷體" w:hint="eastAsia"/>
          <w:color w:val="000000" w:themeColor="text1"/>
        </w:rPr>
        <w:t>項學程計</w:t>
      </w:r>
      <w:r w:rsidRPr="008B619A">
        <w:rPr>
          <w:rFonts w:hAnsi="標楷體"/>
          <w:color w:val="000000" w:themeColor="text1"/>
        </w:rPr>
        <w:t>3</w:t>
      </w:r>
      <w:r w:rsidRPr="008B619A">
        <w:rPr>
          <w:rFonts w:hAnsi="標楷體" w:hint="eastAsia"/>
          <w:color w:val="000000" w:themeColor="text1"/>
        </w:rPr>
        <w:t>萬名學生，每年提供最多</w:t>
      </w:r>
      <w:r w:rsidRPr="008B619A">
        <w:rPr>
          <w:rFonts w:hAnsi="標楷體"/>
          <w:color w:val="000000" w:themeColor="text1"/>
        </w:rPr>
        <w:t>25,000</w:t>
      </w:r>
      <w:r w:rsidRPr="008B619A">
        <w:rPr>
          <w:rFonts w:hAnsi="標楷體" w:hint="eastAsia"/>
          <w:color w:val="000000" w:themeColor="text1"/>
        </w:rPr>
        <w:t>歐元就讀1至2年的時間。即便是歐盟與</w:t>
      </w:r>
      <w:r w:rsidRPr="008B619A">
        <w:rPr>
          <w:rFonts w:hAnsi="標楷體" w:hint="eastAsia"/>
          <w:color w:val="000000" w:themeColor="text1"/>
        </w:rPr>
        <w:lastRenderedPageBreak/>
        <w:t>日本合作的歐盟</w:t>
      </w:r>
      <w:r w:rsidRPr="008B619A">
        <w:rPr>
          <w:rFonts w:hAnsi="標楷體"/>
          <w:color w:val="000000" w:themeColor="text1"/>
        </w:rPr>
        <w:t>-</w:t>
      </w:r>
      <w:r w:rsidRPr="008B619A">
        <w:rPr>
          <w:rFonts w:hAnsi="標楷體" w:hint="eastAsia"/>
          <w:color w:val="000000" w:themeColor="text1"/>
        </w:rPr>
        <w:t>日本</w:t>
      </w:r>
      <w:r w:rsidRPr="008B619A">
        <w:rPr>
          <w:rFonts w:ascii="Times New Roman" w:hAnsi="Times New Roman"/>
          <w:bCs w:val="0"/>
          <w:color w:val="000000" w:themeColor="text1"/>
          <w:kern w:val="2"/>
          <w:szCs w:val="32"/>
        </w:rPr>
        <w:t>Erasmus Mundus</w:t>
      </w:r>
      <w:r w:rsidRPr="008B619A">
        <w:rPr>
          <w:rFonts w:ascii="Times New Roman" w:hAnsi="Times New Roman" w:hint="eastAsia"/>
          <w:bCs w:val="0"/>
          <w:color w:val="000000" w:themeColor="text1"/>
          <w:kern w:val="2"/>
          <w:szCs w:val="32"/>
        </w:rPr>
        <w:t>計</w:t>
      </w:r>
      <w:r w:rsidRPr="008B619A">
        <w:rPr>
          <w:rFonts w:hAnsi="標楷體" w:hint="eastAsia"/>
          <w:color w:val="000000" w:themeColor="text1"/>
        </w:rPr>
        <w:t>畫，也是由雙方平均分攤</w:t>
      </w:r>
      <w:r w:rsidRPr="008B619A">
        <w:rPr>
          <w:rFonts w:hAnsi="標楷體"/>
          <w:color w:val="000000" w:themeColor="text1"/>
        </w:rPr>
        <w:t>900</w:t>
      </w:r>
      <w:r w:rsidRPr="008B619A">
        <w:rPr>
          <w:rFonts w:hAnsi="標楷體" w:hint="eastAsia"/>
          <w:color w:val="000000" w:themeColor="text1"/>
        </w:rPr>
        <w:t>萬歐元支持歐洲與日本的合作學校所提出的3項計畫、並各自提供獎學金名額</w:t>
      </w:r>
      <w:r w:rsidRPr="008B619A">
        <w:rPr>
          <w:rFonts w:hAnsi="標楷體"/>
          <w:color w:val="000000" w:themeColor="text1"/>
        </w:rPr>
        <w:t>64</w:t>
      </w:r>
      <w:r w:rsidRPr="008B619A">
        <w:rPr>
          <w:rFonts w:hAnsi="標楷體" w:hint="eastAsia"/>
          <w:color w:val="000000" w:themeColor="text1"/>
        </w:rPr>
        <w:t>位（駐歐盟兼駐比利時代表處教育組，</w:t>
      </w:r>
      <w:r w:rsidRPr="008B619A">
        <w:rPr>
          <w:rFonts w:hAnsi="標楷體"/>
          <w:color w:val="000000" w:themeColor="text1"/>
        </w:rPr>
        <w:t>2019</w:t>
      </w:r>
      <w:r w:rsidRPr="008B619A">
        <w:rPr>
          <w:rFonts w:hAnsi="標楷體" w:hint="eastAsia"/>
          <w:color w:val="000000" w:themeColor="text1"/>
        </w:rPr>
        <w:t>）。」基此，雙聯學制實</w:t>
      </w:r>
      <w:r w:rsidRPr="008B619A">
        <w:rPr>
          <w:rFonts w:hint="eastAsia"/>
          <w:color w:val="000000" w:themeColor="text1"/>
        </w:rPr>
        <w:t>有助於拓展國際視野及提升博士人才學術跨界流動能力，惟總體發展涉及區域學歷流動，尚需政府之支持及</w:t>
      </w:r>
      <w:r w:rsidR="00B3208C" w:rsidRPr="008B619A">
        <w:rPr>
          <w:rFonts w:hint="eastAsia"/>
          <w:color w:val="000000" w:themeColor="text1"/>
        </w:rPr>
        <w:t>持續</w:t>
      </w:r>
      <w:r w:rsidRPr="008B619A">
        <w:rPr>
          <w:rFonts w:hint="eastAsia"/>
          <w:color w:val="000000" w:themeColor="text1"/>
        </w:rPr>
        <w:t>挹注。</w:t>
      </w:r>
    </w:p>
    <w:p w14:paraId="46ABD33F" w14:textId="14BC6504" w:rsidR="006C5CE2" w:rsidRPr="008B619A" w:rsidRDefault="006C5CE2" w:rsidP="006C5CE2">
      <w:pPr>
        <w:pStyle w:val="3"/>
        <w:rPr>
          <w:color w:val="000000" w:themeColor="text1"/>
        </w:rPr>
      </w:pPr>
      <w:r w:rsidRPr="008B619A">
        <w:rPr>
          <w:color w:val="000000" w:themeColor="text1"/>
        </w:rPr>
        <w:t>瑞士洛桑管理學院</w:t>
      </w:r>
      <w:r w:rsidRPr="008B619A">
        <w:rPr>
          <w:rFonts w:hint="eastAsia"/>
          <w:color w:val="000000" w:themeColor="text1"/>
        </w:rPr>
        <w:t>發布「2020年IMD世界人才排名報告」（</w:t>
      </w:r>
      <w:r w:rsidRPr="008B619A">
        <w:rPr>
          <w:rFonts w:ascii="Times New Roman" w:hAnsi="Times New Roman" w:hint="eastAsia"/>
          <w:bCs w:val="0"/>
          <w:color w:val="000000" w:themeColor="text1"/>
          <w:kern w:val="2"/>
          <w:szCs w:val="32"/>
        </w:rPr>
        <w:t>IMD World Talent Ranking</w:t>
      </w:r>
      <w:r w:rsidRPr="008B619A">
        <w:rPr>
          <w:rFonts w:hint="eastAsia"/>
          <w:color w:val="000000" w:themeColor="text1"/>
        </w:rPr>
        <w:t xml:space="preserve"> 2020）顯示，我國「吸引與留住人才」雖從第29名晉升至26名，惟「人才外流」之細項指標從46名滑落至48名</w:t>
      </w:r>
      <w:r w:rsidRPr="008B619A">
        <w:rPr>
          <w:rStyle w:val="aff1"/>
          <w:rFonts w:hAnsi="標楷體"/>
          <w:color w:val="000000" w:themeColor="text1"/>
        </w:rPr>
        <w:footnoteReference w:id="59"/>
      </w:r>
      <w:r w:rsidRPr="008B619A">
        <w:rPr>
          <w:rFonts w:hint="eastAsia"/>
          <w:color w:val="000000" w:themeColor="text1"/>
        </w:rPr>
        <w:t>，成為臺灣競爭力之弱點。</w:t>
      </w:r>
      <w:r w:rsidR="00BC3783" w:rsidRPr="008B619A">
        <w:rPr>
          <w:rFonts w:hint="eastAsia"/>
          <w:color w:val="000000" w:themeColor="text1"/>
        </w:rPr>
        <w:t>復</w:t>
      </w:r>
      <w:r w:rsidR="00E221CF" w:rsidRPr="008B619A">
        <w:rPr>
          <w:rFonts w:hint="eastAsia"/>
          <w:color w:val="000000" w:themeColor="text1"/>
        </w:rPr>
        <w:t>依</w:t>
      </w:r>
      <w:r w:rsidR="00BC3783" w:rsidRPr="008B619A">
        <w:rPr>
          <w:rFonts w:hint="eastAsia"/>
          <w:color w:val="000000" w:themeColor="text1"/>
        </w:rPr>
        <w:t>主計總處109年12月公布</w:t>
      </w:r>
      <w:r w:rsidR="00593946" w:rsidRPr="008B619A">
        <w:rPr>
          <w:rFonts w:hint="eastAsia"/>
          <w:color w:val="000000" w:themeColor="text1"/>
        </w:rPr>
        <w:t>國人赴海外工作</w:t>
      </w:r>
      <w:r w:rsidR="00BC3783" w:rsidRPr="008B619A">
        <w:rPr>
          <w:rFonts w:hint="eastAsia"/>
          <w:color w:val="000000" w:themeColor="text1"/>
        </w:rPr>
        <w:t>統計結果</w:t>
      </w:r>
      <w:r w:rsidR="00BC3783" w:rsidRPr="008B619A">
        <w:rPr>
          <w:rStyle w:val="aff1"/>
          <w:rFonts w:hAnsi="標楷體"/>
          <w:color w:val="000000" w:themeColor="text1"/>
          <w:szCs w:val="32"/>
        </w:rPr>
        <w:footnoteReference w:id="60"/>
      </w:r>
      <w:r w:rsidR="00BC3783" w:rsidRPr="008B619A">
        <w:rPr>
          <w:rFonts w:hint="eastAsia"/>
          <w:color w:val="000000" w:themeColor="text1"/>
        </w:rPr>
        <w:t>，108年人數計73萬9千人，較107年增加2千人或0.4%</w:t>
      </w:r>
      <w:r w:rsidR="00E972F5" w:rsidRPr="008B619A">
        <w:rPr>
          <w:rFonts w:hint="eastAsia"/>
          <w:color w:val="000000" w:themeColor="text1"/>
        </w:rPr>
        <w:t>。</w:t>
      </w:r>
      <w:r w:rsidR="00BC3783" w:rsidRPr="008B619A">
        <w:rPr>
          <w:rFonts w:hint="eastAsia"/>
          <w:color w:val="000000" w:themeColor="text1"/>
        </w:rPr>
        <w:t>如按教育程度別分，大專及以上程度者占76.2%</w:t>
      </w:r>
      <w:r w:rsidR="00AB6EEB" w:rsidRPr="008B619A">
        <w:rPr>
          <w:rFonts w:hint="eastAsia"/>
          <w:color w:val="000000" w:themeColor="text1"/>
        </w:rPr>
        <w:t>（</w:t>
      </w:r>
      <w:r w:rsidR="00AB6EEB" w:rsidRPr="008B619A">
        <w:rPr>
          <w:color w:val="000000" w:themeColor="text1"/>
        </w:rPr>
        <w:t>其中，</w:t>
      </w:r>
      <w:r w:rsidR="00973D3F" w:rsidRPr="008B619A">
        <w:rPr>
          <w:rFonts w:hint="eastAsia"/>
          <w:color w:val="000000" w:themeColor="text1"/>
        </w:rPr>
        <w:t>大專</w:t>
      </w:r>
      <w:r w:rsidR="00214EE4" w:rsidRPr="008B619A">
        <w:rPr>
          <w:rFonts w:hint="eastAsia"/>
          <w:color w:val="000000" w:themeColor="text1"/>
        </w:rPr>
        <w:t>及以上</w:t>
      </w:r>
      <w:r w:rsidR="00F3079E" w:rsidRPr="008B619A">
        <w:rPr>
          <w:rFonts w:hint="eastAsia"/>
          <w:color w:val="000000" w:themeColor="text1"/>
        </w:rPr>
        <w:t>程度</w:t>
      </w:r>
      <w:r w:rsidR="00AB6EEB" w:rsidRPr="008B619A">
        <w:rPr>
          <w:color w:val="000000" w:themeColor="text1"/>
        </w:rPr>
        <w:t>赴美國者占全體赴美者之86.0%，赴</w:t>
      </w:r>
      <w:r w:rsidR="00AB6EEB" w:rsidRPr="008B619A">
        <w:rPr>
          <w:rFonts w:hint="eastAsia"/>
          <w:color w:val="000000" w:themeColor="text1"/>
        </w:rPr>
        <w:t>中國</w:t>
      </w:r>
      <w:r w:rsidR="00AB6EEB" w:rsidRPr="008B619A">
        <w:rPr>
          <w:color w:val="000000" w:themeColor="text1"/>
        </w:rPr>
        <w:t>與東南亞分占73.3%及71.0%</w:t>
      </w:r>
      <w:r w:rsidR="00AB6EEB" w:rsidRPr="008B619A">
        <w:rPr>
          <w:rFonts w:hint="eastAsia"/>
          <w:color w:val="000000" w:themeColor="text1"/>
        </w:rPr>
        <w:t>）</w:t>
      </w:r>
      <w:r w:rsidR="00BC3783" w:rsidRPr="008B619A">
        <w:rPr>
          <w:rFonts w:hint="eastAsia"/>
          <w:color w:val="000000" w:themeColor="text1"/>
        </w:rPr>
        <w:t>，計56萬3千人，較107年續增0.9個百分點，較98年增9.3個百分點；再按年齡別觀察，30~49歲者36萬人或占48.7%。粗估我國已有27萬餘名大學及以上學歷，且年齡在49歲以下學研人口赴海外工作，此趨勢及現象為政府宜予正視並研析之課題。</w:t>
      </w:r>
      <w:r w:rsidR="00741C08" w:rsidRPr="008B619A">
        <w:rPr>
          <w:rFonts w:hint="eastAsia"/>
          <w:color w:val="000000" w:themeColor="text1"/>
        </w:rPr>
        <w:t>相關圖表如下</w:t>
      </w:r>
      <w:r w:rsidR="0092240B" w:rsidRPr="008B619A">
        <w:rPr>
          <w:rStyle w:val="aff1"/>
          <w:color w:val="000000" w:themeColor="text1"/>
        </w:rPr>
        <w:footnoteReference w:id="61"/>
      </w:r>
      <w:r w:rsidR="00741C08" w:rsidRPr="008B619A">
        <w:rPr>
          <w:rFonts w:hint="eastAsia"/>
          <w:color w:val="000000" w:themeColor="text1"/>
        </w:rPr>
        <w:t>：</w:t>
      </w:r>
    </w:p>
    <w:p w14:paraId="504B9FD4" w14:textId="0226D743" w:rsidR="00107519" w:rsidRPr="008B619A" w:rsidRDefault="00A30C3E" w:rsidP="008A44D6">
      <w:pPr>
        <w:jc w:val="center"/>
        <w:rPr>
          <w:color w:val="000000" w:themeColor="text1"/>
        </w:rPr>
      </w:pPr>
      <w:r w:rsidRPr="008B619A">
        <w:rPr>
          <w:noProof/>
          <w:color w:val="000000" w:themeColor="text1"/>
        </w:rPr>
        <w:lastRenderedPageBreak/>
        <w:drawing>
          <wp:inline distT="0" distB="0" distL="0" distR="0" wp14:anchorId="5F91A63E" wp14:editId="01B67AB5">
            <wp:extent cx="6576460" cy="2225615"/>
            <wp:effectExtent l="0" t="0" r="0" b="3810"/>
            <wp:docPr id="25" name="圖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圖片 25"/>
                    <pic:cNvPicPr/>
                  </pic:nvPicPr>
                  <pic:blipFill>
                    <a:blip r:embed="rId19">
                      <a:extLst>
                        <a:ext uri="{28A0092B-C50C-407E-A947-70E740481C1C}">
                          <a14:useLocalDpi xmlns:a14="http://schemas.microsoft.com/office/drawing/2010/main" val="0"/>
                        </a:ext>
                      </a:extLst>
                    </a:blip>
                    <a:stretch>
                      <a:fillRect/>
                    </a:stretch>
                  </pic:blipFill>
                  <pic:spPr>
                    <a:xfrm>
                      <a:off x="0" y="0"/>
                      <a:ext cx="6588504" cy="2229691"/>
                    </a:xfrm>
                    <a:prstGeom prst="rect">
                      <a:avLst/>
                    </a:prstGeom>
                  </pic:spPr>
                </pic:pic>
              </a:graphicData>
            </a:graphic>
          </wp:inline>
        </w:drawing>
      </w:r>
    </w:p>
    <w:p w14:paraId="6F87A4B6" w14:textId="798E0A9D" w:rsidR="009A5750" w:rsidRPr="008B619A" w:rsidRDefault="009A5750" w:rsidP="009A5750">
      <w:pPr>
        <w:pStyle w:val="a1"/>
        <w:spacing w:after="120"/>
        <w:ind w:left="482" w:hanging="482"/>
        <w:rPr>
          <w:b/>
          <w:bCs w:val="0"/>
          <w:color w:val="000000" w:themeColor="text1"/>
        </w:rPr>
      </w:pPr>
      <w:r w:rsidRPr="008B619A">
        <w:rPr>
          <w:rFonts w:hint="eastAsia"/>
          <w:b/>
          <w:bCs w:val="0"/>
          <w:color w:val="000000" w:themeColor="text1"/>
        </w:rPr>
        <w:t>108年</w:t>
      </w:r>
      <w:r w:rsidRPr="008B619A">
        <w:rPr>
          <w:b/>
          <w:bCs w:val="0"/>
          <w:color w:val="000000" w:themeColor="text1"/>
        </w:rPr>
        <w:t>赴海外工作者特性</w:t>
      </w:r>
      <w:r w:rsidRPr="008B619A">
        <w:rPr>
          <w:rFonts w:hint="eastAsia"/>
          <w:b/>
          <w:bCs w:val="0"/>
          <w:color w:val="000000" w:themeColor="text1"/>
        </w:rPr>
        <w:t>-</w:t>
      </w:r>
      <w:r w:rsidR="009913DF" w:rsidRPr="008B619A">
        <w:rPr>
          <w:rFonts w:hint="eastAsia"/>
          <w:b/>
          <w:bCs w:val="0"/>
          <w:color w:val="000000" w:themeColor="text1"/>
        </w:rPr>
        <w:t>按年齡及教育程度分</w:t>
      </w:r>
    </w:p>
    <w:p w14:paraId="41C6D274" w14:textId="5B753017" w:rsidR="009A5750" w:rsidRPr="008B619A" w:rsidRDefault="009A5750" w:rsidP="009A5750">
      <w:pPr>
        <w:spacing w:afterLines="50" w:after="228"/>
        <w:jc w:val="center"/>
        <w:rPr>
          <w:color w:val="000000" w:themeColor="text1"/>
        </w:rPr>
      </w:pPr>
      <w:r w:rsidRPr="008B619A">
        <w:rPr>
          <w:rFonts w:hint="eastAsia"/>
          <w:color w:val="000000" w:themeColor="text1"/>
          <w:sz w:val="24"/>
          <w:szCs w:val="24"/>
        </w:rPr>
        <w:t>資料來源：</w:t>
      </w:r>
      <w:r w:rsidR="00D93BD7" w:rsidRPr="008B619A">
        <w:rPr>
          <w:rFonts w:hAnsi="標楷體" w:hint="eastAsia"/>
          <w:color w:val="000000" w:themeColor="text1"/>
          <w:sz w:val="24"/>
          <w:szCs w:val="24"/>
        </w:rPr>
        <w:t>行政院主計總處</w:t>
      </w:r>
      <w:r w:rsidR="00985B6C" w:rsidRPr="008B619A">
        <w:rPr>
          <w:rFonts w:hAnsi="標楷體" w:hint="eastAsia"/>
          <w:color w:val="000000" w:themeColor="text1"/>
          <w:sz w:val="24"/>
          <w:szCs w:val="24"/>
        </w:rPr>
        <w:t>(民109)</w:t>
      </w:r>
      <w:r w:rsidRPr="008B619A">
        <w:rPr>
          <w:rFonts w:hAnsi="標楷體" w:hint="eastAsia"/>
          <w:color w:val="000000" w:themeColor="text1"/>
          <w:sz w:val="24"/>
          <w:szCs w:val="24"/>
        </w:rPr>
        <w:t>。</w:t>
      </w:r>
    </w:p>
    <w:p w14:paraId="2B2BF8FA" w14:textId="53449041" w:rsidR="00AE305A" w:rsidRPr="008B619A" w:rsidRDefault="00DA2A4F" w:rsidP="009C0C53">
      <w:pPr>
        <w:pStyle w:val="3"/>
        <w:rPr>
          <w:color w:val="000000" w:themeColor="text1"/>
        </w:rPr>
      </w:pPr>
      <w:r w:rsidRPr="008B619A">
        <w:rPr>
          <w:rFonts w:hint="eastAsia"/>
          <w:color w:val="000000" w:themeColor="text1"/>
        </w:rPr>
        <w:t>而</w:t>
      </w:r>
      <w:r w:rsidR="00A9658D" w:rsidRPr="008B619A">
        <w:rPr>
          <w:rFonts w:hint="eastAsia"/>
          <w:color w:val="000000" w:themeColor="text1"/>
        </w:rPr>
        <w:t>政府推動擴大博士人才國際交流</w:t>
      </w:r>
      <w:r w:rsidR="00D420F6" w:rsidRPr="008B619A">
        <w:rPr>
          <w:rFonts w:hint="eastAsia"/>
          <w:color w:val="000000" w:themeColor="text1"/>
        </w:rPr>
        <w:t>各項措施</w:t>
      </w:r>
      <w:r w:rsidR="00A9658D" w:rsidRPr="008B619A">
        <w:rPr>
          <w:rFonts w:hint="eastAsia"/>
          <w:color w:val="000000" w:themeColor="text1"/>
        </w:rPr>
        <w:t>，</w:t>
      </w:r>
      <w:r w:rsidR="00D420F6" w:rsidRPr="008B619A">
        <w:rPr>
          <w:rFonts w:hint="eastAsia"/>
          <w:color w:val="000000" w:themeColor="text1"/>
        </w:rPr>
        <w:t>如</w:t>
      </w:r>
      <w:r w:rsidR="00426B63" w:rsidRPr="008B619A">
        <w:rPr>
          <w:rFonts w:hint="eastAsia"/>
          <w:color w:val="000000" w:themeColor="text1"/>
        </w:rPr>
        <w:t>教育部</w:t>
      </w:r>
      <w:r w:rsidR="00AE305A" w:rsidRPr="008B619A">
        <w:rPr>
          <w:rFonts w:hint="eastAsia"/>
          <w:color w:val="000000" w:themeColor="text1"/>
        </w:rPr>
        <w:t>辦理海外留學攻讀博士學位相關獎補助，包括公費留學考試、留學獎學金甄試及現況及與世界百大合作設置獎學金，</w:t>
      </w:r>
      <w:r w:rsidR="00087EA3" w:rsidRPr="008B619A">
        <w:rPr>
          <w:rFonts w:hint="eastAsia"/>
          <w:color w:val="000000" w:themeColor="text1"/>
        </w:rPr>
        <w:t>相關成效及辦理策略</w:t>
      </w:r>
      <w:r w:rsidR="00AE305A" w:rsidRPr="008B619A">
        <w:rPr>
          <w:rFonts w:hint="eastAsia"/>
          <w:color w:val="000000" w:themeColor="text1"/>
        </w:rPr>
        <w:t>如下</w:t>
      </w:r>
      <w:r w:rsidR="00C37303" w:rsidRPr="008B619A">
        <w:rPr>
          <w:rFonts w:hint="eastAsia"/>
          <w:color w:val="000000" w:themeColor="text1"/>
        </w:rPr>
        <w:t>：</w:t>
      </w:r>
    </w:p>
    <w:p w14:paraId="1BC35B75" w14:textId="77777777" w:rsidR="002A1AE3" w:rsidRPr="008B619A" w:rsidRDefault="002A1AE3" w:rsidP="002A1AE3">
      <w:pPr>
        <w:pStyle w:val="4"/>
        <w:rPr>
          <w:color w:val="000000" w:themeColor="text1"/>
        </w:rPr>
      </w:pPr>
      <w:r w:rsidRPr="008B619A">
        <w:rPr>
          <w:rFonts w:hint="eastAsia"/>
          <w:color w:val="000000" w:themeColor="text1"/>
        </w:rPr>
        <w:t>公費留學考試：公費留學考試除基礎學門外，配合國家發展需求及世界潮流趨勢，訂定新興學門領域，以培育具國際視野之高階專業人才。考試包括筆試及面試，配分分別占</w:t>
      </w:r>
      <w:r w:rsidRPr="008B619A">
        <w:rPr>
          <w:color w:val="000000" w:themeColor="text1"/>
        </w:rPr>
        <w:t>60%</w:t>
      </w:r>
      <w:r w:rsidRPr="008B619A">
        <w:rPr>
          <w:rFonts w:hint="eastAsia"/>
          <w:color w:val="000000" w:themeColor="text1"/>
        </w:rPr>
        <w:t>與</w:t>
      </w:r>
      <w:r w:rsidRPr="008B619A">
        <w:rPr>
          <w:color w:val="000000" w:themeColor="text1"/>
        </w:rPr>
        <w:t>40%</w:t>
      </w:r>
      <w:r w:rsidRPr="008B619A">
        <w:rPr>
          <w:rFonts w:hint="eastAsia"/>
          <w:color w:val="000000" w:themeColor="text1"/>
        </w:rPr>
        <w:t>，每年提供約</w:t>
      </w:r>
      <w:r w:rsidRPr="008B619A">
        <w:rPr>
          <w:color w:val="000000" w:themeColor="text1"/>
        </w:rPr>
        <w:t>90</w:t>
      </w:r>
      <w:r w:rsidRPr="008B619A">
        <w:rPr>
          <w:rFonts w:hint="eastAsia"/>
          <w:color w:val="000000" w:themeColor="text1"/>
        </w:rPr>
        <w:t>個應考學門及</w:t>
      </w:r>
      <w:r w:rsidRPr="008B619A">
        <w:rPr>
          <w:color w:val="000000" w:themeColor="text1"/>
        </w:rPr>
        <w:t>130</w:t>
      </w:r>
      <w:r w:rsidRPr="008B619A">
        <w:rPr>
          <w:rFonts w:hint="eastAsia"/>
          <w:color w:val="000000" w:themeColor="text1"/>
        </w:rPr>
        <w:t>個錄取名額。依學群類別分別獎助</w:t>
      </w:r>
      <w:r w:rsidRPr="008B619A">
        <w:rPr>
          <w:color w:val="000000" w:themeColor="text1"/>
        </w:rPr>
        <w:t>3</w:t>
      </w:r>
      <w:r w:rsidRPr="008B619A">
        <w:rPr>
          <w:rFonts w:hint="eastAsia"/>
          <w:color w:val="000000" w:themeColor="text1"/>
        </w:rPr>
        <w:t>至</w:t>
      </w:r>
      <w:r w:rsidRPr="008B619A">
        <w:rPr>
          <w:color w:val="000000" w:themeColor="text1"/>
        </w:rPr>
        <w:t>4</w:t>
      </w:r>
      <w:r w:rsidRPr="008B619A">
        <w:rPr>
          <w:rFonts w:hint="eastAsia"/>
          <w:color w:val="000000" w:themeColor="text1"/>
        </w:rPr>
        <w:t>年之學費及生活費。本考試選才兼顧弱勢族群、人文社科與理工生醫平衡，近</w:t>
      </w:r>
      <w:r w:rsidRPr="008B619A">
        <w:rPr>
          <w:color w:val="000000" w:themeColor="text1"/>
        </w:rPr>
        <w:t>5</w:t>
      </w:r>
      <w:r w:rsidRPr="008B619A">
        <w:rPr>
          <w:rFonts w:hint="eastAsia"/>
          <w:color w:val="000000" w:themeColor="text1"/>
        </w:rPr>
        <w:t>年（</w:t>
      </w:r>
      <w:r w:rsidRPr="008B619A">
        <w:rPr>
          <w:color w:val="000000" w:themeColor="text1"/>
        </w:rPr>
        <w:t>105-109</w:t>
      </w:r>
      <w:r w:rsidRPr="008B619A">
        <w:rPr>
          <w:rFonts w:hint="eastAsia"/>
          <w:color w:val="000000" w:themeColor="text1"/>
        </w:rPr>
        <w:t>年）公費留學考試錄取人數累計</w:t>
      </w:r>
      <w:r w:rsidRPr="008B619A">
        <w:rPr>
          <w:color w:val="000000" w:themeColor="text1"/>
        </w:rPr>
        <w:t>596</w:t>
      </w:r>
      <w:r w:rsidRPr="008B619A">
        <w:rPr>
          <w:rFonts w:hint="eastAsia"/>
          <w:color w:val="000000" w:themeColor="text1"/>
        </w:rPr>
        <w:t>人，若依錄取類別區分，一般公費留學</w:t>
      </w:r>
      <w:r w:rsidRPr="008B619A">
        <w:rPr>
          <w:color w:val="000000" w:themeColor="text1"/>
        </w:rPr>
        <w:t>456</w:t>
      </w:r>
      <w:r w:rsidRPr="008B619A">
        <w:rPr>
          <w:rFonts w:hint="eastAsia"/>
          <w:color w:val="000000" w:themeColor="text1"/>
        </w:rPr>
        <w:t>人，原住民公費留學</w:t>
      </w:r>
      <w:r w:rsidRPr="008B619A">
        <w:rPr>
          <w:color w:val="000000" w:themeColor="text1"/>
        </w:rPr>
        <w:t>66</w:t>
      </w:r>
      <w:r w:rsidRPr="008B619A">
        <w:rPr>
          <w:rFonts w:hint="eastAsia"/>
          <w:color w:val="000000" w:themeColor="text1"/>
        </w:rPr>
        <w:t>人，及勵學</w:t>
      </w:r>
      <w:r w:rsidRPr="008B619A">
        <w:rPr>
          <w:color w:val="000000" w:themeColor="text1"/>
        </w:rPr>
        <w:t>(</w:t>
      </w:r>
      <w:r w:rsidRPr="008B619A">
        <w:rPr>
          <w:rFonts w:hint="eastAsia"/>
          <w:color w:val="000000" w:themeColor="text1"/>
        </w:rPr>
        <w:t>低收入或中低收入戶</w:t>
      </w:r>
      <w:r w:rsidRPr="008B619A">
        <w:rPr>
          <w:color w:val="000000" w:themeColor="text1"/>
        </w:rPr>
        <w:t>)</w:t>
      </w:r>
      <w:r w:rsidRPr="008B619A">
        <w:rPr>
          <w:rFonts w:hint="eastAsia"/>
          <w:color w:val="000000" w:themeColor="text1"/>
        </w:rPr>
        <w:t>公費留學</w:t>
      </w:r>
      <w:r w:rsidRPr="008B619A">
        <w:rPr>
          <w:color w:val="000000" w:themeColor="text1"/>
        </w:rPr>
        <w:t>18</w:t>
      </w:r>
      <w:r w:rsidRPr="008B619A">
        <w:rPr>
          <w:rFonts w:hint="eastAsia"/>
          <w:color w:val="000000" w:themeColor="text1"/>
        </w:rPr>
        <w:t>人，身心障礙公費留學</w:t>
      </w:r>
      <w:r w:rsidRPr="008B619A">
        <w:rPr>
          <w:color w:val="000000" w:themeColor="text1"/>
        </w:rPr>
        <w:t>17</w:t>
      </w:r>
      <w:r w:rsidRPr="008B619A">
        <w:rPr>
          <w:rFonts w:hint="eastAsia"/>
          <w:color w:val="000000" w:themeColor="text1"/>
        </w:rPr>
        <w:t>人、赴新南向公費留學考試39人。</w:t>
      </w:r>
    </w:p>
    <w:p w14:paraId="30984DE7" w14:textId="77777777" w:rsidR="002A1AE3" w:rsidRPr="008B619A" w:rsidRDefault="002A1AE3" w:rsidP="002A1AE3">
      <w:pPr>
        <w:pStyle w:val="4"/>
        <w:rPr>
          <w:color w:val="000000" w:themeColor="text1"/>
        </w:rPr>
      </w:pPr>
      <w:r w:rsidRPr="008B619A">
        <w:rPr>
          <w:rFonts w:hint="eastAsia"/>
          <w:color w:val="000000" w:themeColor="text1"/>
        </w:rPr>
        <w:t>留學獎學金甄試：本計畫屬於部分獎助性質，以書面審查申請人之在學成績及研究計畫等文件，評選具研究潛力之優秀青年學子，赴海外攻讀博</w:t>
      </w:r>
      <w:r w:rsidRPr="008B619A">
        <w:rPr>
          <w:rFonts w:hint="eastAsia"/>
          <w:color w:val="000000" w:themeColor="text1"/>
        </w:rPr>
        <w:lastRenderedPageBreak/>
        <w:t>碩士學位，每年核予一般生</w:t>
      </w:r>
      <w:r w:rsidRPr="008B619A">
        <w:rPr>
          <w:color w:val="000000" w:themeColor="text1"/>
        </w:rPr>
        <w:t>1</w:t>
      </w:r>
      <w:r w:rsidRPr="008B619A">
        <w:rPr>
          <w:rFonts w:hint="eastAsia"/>
          <w:color w:val="000000" w:themeColor="text1"/>
        </w:rPr>
        <w:t>萬</w:t>
      </w:r>
      <w:r w:rsidRPr="008B619A">
        <w:rPr>
          <w:color w:val="000000" w:themeColor="text1"/>
        </w:rPr>
        <w:t>6,000</w:t>
      </w:r>
      <w:r w:rsidRPr="008B619A">
        <w:rPr>
          <w:rFonts w:hint="eastAsia"/>
          <w:color w:val="000000" w:themeColor="text1"/>
        </w:rPr>
        <w:t>美元，最長補助</w:t>
      </w:r>
      <w:r w:rsidRPr="008B619A">
        <w:rPr>
          <w:color w:val="000000" w:themeColor="text1"/>
        </w:rPr>
        <w:t>2</w:t>
      </w:r>
      <w:r w:rsidRPr="008B619A">
        <w:rPr>
          <w:rFonts w:hint="eastAsia"/>
          <w:color w:val="000000" w:themeColor="text1"/>
        </w:rPr>
        <w:t>年；特殊生可獲每年</w:t>
      </w:r>
      <w:r w:rsidRPr="008B619A">
        <w:rPr>
          <w:color w:val="000000" w:themeColor="text1"/>
        </w:rPr>
        <w:t>3</w:t>
      </w:r>
      <w:r w:rsidRPr="008B619A">
        <w:rPr>
          <w:rFonts w:hint="eastAsia"/>
          <w:color w:val="000000" w:themeColor="text1"/>
        </w:rPr>
        <w:t>萬美元，最長補助</w:t>
      </w:r>
      <w:r w:rsidRPr="008B619A">
        <w:rPr>
          <w:color w:val="000000" w:themeColor="text1"/>
        </w:rPr>
        <w:t>3</w:t>
      </w:r>
      <w:r w:rsidRPr="008B619A">
        <w:rPr>
          <w:rFonts w:hint="eastAsia"/>
          <w:color w:val="000000" w:themeColor="text1"/>
        </w:rPr>
        <w:t>年。本獎學金擇優獎助我國優秀青年及弱勢族群學子申請出國留學攻讀博</w:t>
      </w:r>
      <w:r w:rsidRPr="008B619A">
        <w:rPr>
          <w:color w:val="000000" w:themeColor="text1"/>
        </w:rPr>
        <w:t>(</w:t>
      </w:r>
      <w:r w:rsidRPr="008B619A">
        <w:rPr>
          <w:rFonts w:hint="eastAsia"/>
          <w:color w:val="000000" w:themeColor="text1"/>
        </w:rPr>
        <w:t>碩</w:t>
      </w:r>
      <w:r w:rsidRPr="008B619A">
        <w:rPr>
          <w:color w:val="000000" w:themeColor="text1"/>
        </w:rPr>
        <w:t>)</w:t>
      </w:r>
      <w:r w:rsidRPr="008B619A">
        <w:rPr>
          <w:rFonts w:hint="eastAsia"/>
          <w:color w:val="000000" w:themeColor="text1"/>
        </w:rPr>
        <w:t>士學位，近</w:t>
      </w:r>
      <w:r w:rsidRPr="008B619A">
        <w:rPr>
          <w:color w:val="000000" w:themeColor="text1"/>
        </w:rPr>
        <w:t>5</w:t>
      </w:r>
      <w:r w:rsidRPr="008B619A">
        <w:rPr>
          <w:rFonts w:hint="eastAsia"/>
          <w:color w:val="000000" w:themeColor="text1"/>
        </w:rPr>
        <w:t>年（</w:t>
      </w:r>
      <w:r w:rsidRPr="008B619A">
        <w:rPr>
          <w:color w:val="000000" w:themeColor="text1"/>
        </w:rPr>
        <w:t>105-109</w:t>
      </w:r>
      <w:r w:rsidRPr="008B619A">
        <w:rPr>
          <w:rFonts w:hint="eastAsia"/>
          <w:color w:val="000000" w:themeColor="text1"/>
        </w:rPr>
        <w:t>年）留學獎學金甄試錄取人數累計</w:t>
      </w:r>
      <w:r w:rsidRPr="008B619A">
        <w:rPr>
          <w:color w:val="000000" w:themeColor="text1"/>
        </w:rPr>
        <w:t>986</w:t>
      </w:r>
      <w:r w:rsidRPr="008B619A">
        <w:rPr>
          <w:rFonts w:hint="eastAsia"/>
          <w:color w:val="000000" w:themeColor="text1"/>
        </w:rPr>
        <w:t>人，若依錄取類別區分，一般生</w:t>
      </w:r>
      <w:r w:rsidRPr="008B619A">
        <w:rPr>
          <w:color w:val="000000" w:themeColor="text1"/>
        </w:rPr>
        <w:t>813</w:t>
      </w:r>
      <w:r w:rsidRPr="008B619A">
        <w:rPr>
          <w:rFonts w:hint="eastAsia"/>
          <w:color w:val="000000" w:themeColor="text1"/>
        </w:rPr>
        <w:t>人，原住民生</w:t>
      </w:r>
      <w:r w:rsidRPr="008B619A">
        <w:rPr>
          <w:color w:val="000000" w:themeColor="text1"/>
        </w:rPr>
        <w:t>33</w:t>
      </w:r>
      <w:r w:rsidRPr="008B619A">
        <w:rPr>
          <w:rFonts w:hint="eastAsia"/>
          <w:color w:val="000000" w:themeColor="text1"/>
        </w:rPr>
        <w:t>人，及勵學優秀生</w:t>
      </w:r>
      <w:r w:rsidRPr="008B619A">
        <w:rPr>
          <w:color w:val="000000" w:themeColor="text1"/>
        </w:rPr>
        <w:t>13</w:t>
      </w:r>
      <w:r w:rsidRPr="008B619A">
        <w:rPr>
          <w:rFonts w:hint="eastAsia"/>
          <w:color w:val="000000" w:themeColor="text1"/>
        </w:rPr>
        <w:t>人，身心障礙生</w:t>
      </w:r>
      <w:r w:rsidRPr="008B619A">
        <w:rPr>
          <w:color w:val="000000" w:themeColor="text1"/>
        </w:rPr>
        <w:t>20</w:t>
      </w:r>
      <w:r w:rsidRPr="008B619A">
        <w:rPr>
          <w:rFonts w:hint="eastAsia"/>
          <w:color w:val="000000" w:themeColor="text1"/>
        </w:rPr>
        <w:t>人、選送赴特定國家</w:t>
      </w:r>
      <w:r w:rsidRPr="008B619A">
        <w:rPr>
          <w:color w:val="000000" w:themeColor="text1"/>
        </w:rPr>
        <w:t>-</w:t>
      </w:r>
      <w:r w:rsidRPr="008B619A">
        <w:rPr>
          <w:rFonts w:hint="eastAsia"/>
          <w:color w:val="000000" w:themeColor="text1"/>
        </w:rPr>
        <w:t>北歐</w:t>
      </w:r>
      <w:r w:rsidRPr="008B619A">
        <w:rPr>
          <w:color w:val="000000" w:themeColor="text1"/>
        </w:rPr>
        <w:t>52</w:t>
      </w:r>
      <w:r w:rsidRPr="008B619A">
        <w:rPr>
          <w:rFonts w:hint="eastAsia"/>
          <w:color w:val="000000" w:themeColor="text1"/>
        </w:rPr>
        <w:t>人、新南向</w:t>
      </w:r>
      <w:r w:rsidRPr="008B619A">
        <w:rPr>
          <w:color w:val="000000" w:themeColor="text1"/>
        </w:rPr>
        <w:t>55</w:t>
      </w:r>
      <w:r w:rsidRPr="008B619A">
        <w:rPr>
          <w:rFonts w:hint="eastAsia"/>
          <w:color w:val="000000" w:themeColor="text1"/>
        </w:rPr>
        <w:t>人。</w:t>
      </w:r>
    </w:p>
    <w:p w14:paraId="708BF55D" w14:textId="6EAD8A8F" w:rsidR="002A1AE3" w:rsidRPr="008B619A" w:rsidRDefault="002A1AE3" w:rsidP="002A1AE3">
      <w:pPr>
        <w:pStyle w:val="4"/>
        <w:rPr>
          <w:color w:val="000000" w:themeColor="text1"/>
        </w:rPr>
      </w:pPr>
      <w:r w:rsidRPr="008B619A">
        <w:rPr>
          <w:rFonts w:hint="eastAsia"/>
          <w:color w:val="000000" w:themeColor="text1"/>
        </w:rPr>
        <w:t>與世界百大合作設置獎學金：迄109年業與英國、美國、澳洲、法國、比利時、瑞士及韓國科學技術院等15所世界百大合作設置獎學金。由雙方共同甄選，每年提供我國3-5名博士班新生獎學金，並基於平等互惠原則，平均分攤獎助期限3-4年之學費、生活費。</w:t>
      </w:r>
      <w:r w:rsidR="00671E89" w:rsidRPr="008B619A">
        <w:rPr>
          <w:rFonts w:hint="eastAsia"/>
          <w:color w:val="000000" w:themeColor="text1"/>
        </w:rPr>
        <w:t>並</w:t>
      </w:r>
      <w:r w:rsidRPr="008B619A">
        <w:rPr>
          <w:rFonts w:hint="eastAsia"/>
          <w:color w:val="000000" w:themeColor="text1"/>
        </w:rPr>
        <w:t>就合作學校提供名單進行審查，雙方合計評分(各占50%)依序公告正、備取名單。近5年（105-109年）累計受獎新生人數計154人。</w:t>
      </w:r>
    </w:p>
    <w:p w14:paraId="12A979AD" w14:textId="5AFDB640" w:rsidR="00EA52A6" w:rsidRPr="008B619A" w:rsidRDefault="00EA52A6" w:rsidP="002A1AE3">
      <w:pPr>
        <w:pStyle w:val="4"/>
        <w:rPr>
          <w:color w:val="000000" w:themeColor="text1"/>
        </w:rPr>
      </w:pPr>
      <w:r w:rsidRPr="008B619A">
        <w:rPr>
          <w:rFonts w:hint="eastAsia"/>
          <w:color w:val="000000" w:themeColor="text1"/>
        </w:rPr>
        <w:t>106年新增「博士後研究人員獎助計畫」，共同出資選送我國優秀研究人員赴國外從事博士後研究。</w:t>
      </w:r>
    </w:p>
    <w:p w14:paraId="5245A5A4" w14:textId="1C7EFAE2" w:rsidR="000F435E" w:rsidRPr="008B619A" w:rsidRDefault="000F435E" w:rsidP="002A1AE3">
      <w:pPr>
        <w:pStyle w:val="4"/>
        <w:rPr>
          <w:color w:val="000000" w:themeColor="text1"/>
        </w:rPr>
      </w:pPr>
      <w:r w:rsidRPr="008B619A">
        <w:rPr>
          <w:rFonts w:hint="eastAsia"/>
          <w:color w:val="000000" w:themeColor="text1"/>
        </w:rPr>
        <w:t>科技部自106年辦理「博士創新之星計畫」(LEAP)，選送博士赴美國矽谷企業、新創公司及知名學研機構進行專案合作研習，藉此開拓能力與創新思維，並在返臺後對臺灣產業或學研界有所貢獻。</w:t>
      </w:r>
    </w:p>
    <w:p w14:paraId="73E238F5" w14:textId="2A310D1E" w:rsidR="00223BB8" w:rsidRPr="008B619A" w:rsidRDefault="00111399" w:rsidP="005F4AB4">
      <w:pPr>
        <w:pStyle w:val="3"/>
        <w:rPr>
          <w:color w:val="000000" w:themeColor="text1"/>
        </w:rPr>
      </w:pPr>
      <w:r w:rsidRPr="008B619A">
        <w:rPr>
          <w:rFonts w:ascii="Helvetica" w:hAnsi="Helvetica" w:hint="eastAsia"/>
          <w:bCs w:val="0"/>
          <w:color w:val="000000" w:themeColor="text1"/>
        </w:rPr>
        <w:t>除此之外，</w:t>
      </w:r>
      <w:r w:rsidR="00223BB8" w:rsidRPr="008B619A">
        <w:rPr>
          <w:rFonts w:ascii="Helvetica" w:hAnsi="Helvetica" w:hint="eastAsia"/>
          <w:bCs w:val="0"/>
          <w:color w:val="000000" w:themeColor="text1"/>
        </w:rPr>
        <w:t>高階人才議題除外籍高階人才之留任及延攬外，亦包括我國優秀人才之回流，然依科技部國家實驗研究院</w:t>
      </w:r>
      <w:r w:rsidR="00160741" w:rsidRPr="008B619A">
        <w:rPr>
          <w:rFonts w:ascii="Helvetica" w:hAnsi="Helvetica" w:hint="eastAsia"/>
          <w:bCs w:val="0"/>
          <w:color w:val="000000" w:themeColor="text1"/>
        </w:rPr>
        <w:t>之</w:t>
      </w:r>
      <w:r w:rsidR="00223BB8" w:rsidRPr="008B619A">
        <w:rPr>
          <w:rFonts w:ascii="Helvetica" w:hAnsi="Helvetica" w:hint="eastAsia"/>
          <w:bCs w:val="0"/>
          <w:color w:val="000000" w:themeColor="text1"/>
        </w:rPr>
        <w:t>研究資料載明</w:t>
      </w:r>
      <w:r w:rsidR="00223BB8" w:rsidRPr="008B619A">
        <w:rPr>
          <w:rStyle w:val="aff1"/>
          <w:rFonts w:ascii="Times New Roman" w:hAnsi="Times New Roman"/>
          <w:bCs w:val="0"/>
          <w:color w:val="000000" w:themeColor="text1"/>
        </w:rPr>
        <w:footnoteReference w:id="62"/>
      </w:r>
      <w:r w:rsidR="00223BB8" w:rsidRPr="008B619A">
        <w:rPr>
          <w:rFonts w:ascii="Helvetica" w:hAnsi="Helvetica" w:hint="eastAsia"/>
          <w:bCs w:val="0"/>
          <w:color w:val="000000" w:themeColor="text1"/>
        </w:rPr>
        <w:t>，</w:t>
      </w:r>
      <w:r w:rsidR="00223BB8" w:rsidRPr="008B619A">
        <w:rPr>
          <w:rFonts w:hAnsi="標楷體" w:hint="eastAsia"/>
          <w:bCs w:val="0"/>
          <w:color w:val="000000" w:themeColor="text1"/>
        </w:rPr>
        <w:t>「</w:t>
      </w:r>
      <w:r w:rsidR="00223BB8" w:rsidRPr="008B619A">
        <w:rPr>
          <w:rFonts w:ascii="Helvetica" w:hAnsi="Helvetica" w:hint="eastAsia"/>
          <w:bCs w:val="0"/>
          <w:color w:val="000000" w:themeColor="text1"/>
        </w:rPr>
        <w:t>高階人才的國</w:t>
      </w:r>
      <w:r w:rsidR="00223BB8" w:rsidRPr="008B619A">
        <w:rPr>
          <w:rFonts w:ascii="Helvetica" w:hAnsi="Helvetica" w:hint="eastAsia"/>
          <w:bCs w:val="0"/>
          <w:color w:val="000000" w:themeColor="text1"/>
        </w:rPr>
        <w:lastRenderedPageBreak/>
        <w:t>際流動已是一種全球化下的常態，若能促成良性的人才循環流動，不只會對人才輸入國產生知識與技術的貢獻，也會因為國際網絡的合作關係，而對人才輸出國產生其他形式的貢獻。此外，若能促成人才回流，則等同於促進海外專業人才的流入，更能對原本的人才輸出國產生更多知識、技術與創新思維的貢獻</w:t>
      </w:r>
      <w:r w:rsidR="00223BB8" w:rsidRPr="008B619A">
        <w:rPr>
          <w:rFonts w:hAnsi="標楷體" w:hint="eastAsia"/>
          <w:bCs w:val="0"/>
          <w:color w:val="000000" w:themeColor="text1"/>
        </w:rPr>
        <w:t>」，然而研究亦指出，「</w:t>
      </w:r>
      <w:r w:rsidR="00223BB8" w:rsidRPr="008B619A">
        <w:rPr>
          <w:rFonts w:ascii="Helvetica" w:hAnsi="Helvetica" w:hint="eastAsia"/>
          <w:bCs w:val="0"/>
          <w:color w:val="000000" w:themeColor="text1"/>
        </w:rPr>
        <w:t>我國博士人才具有高度的流動意願，而</w:t>
      </w:r>
      <w:r w:rsidR="008E4940" w:rsidRPr="008B619A">
        <w:rPr>
          <w:rFonts w:hAnsi="標楷體" w:hint="eastAsia"/>
          <w:bCs w:val="0"/>
          <w:color w:val="000000" w:themeColor="text1"/>
        </w:rPr>
        <w:t>IMD</w:t>
      </w:r>
      <w:r w:rsidR="00223BB8" w:rsidRPr="008B619A">
        <w:rPr>
          <w:rFonts w:ascii="Helvetica" w:hAnsi="Helvetica" w:hint="eastAsia"/>
          <w:bCs w:val="0"/>
          <w:color w:val="000000" w:themeColor="text1"/>
        </w:rPr>
        <w:t>的人才流失與吸引國外高技能人才兩項指標排名也顯示我國存在人才流動失衡的問題，意即人才流出大於人才流入。但另一方面，有意願出國的人才也具有高度的回國</w:t>
      </w:r>
      <w:r w:rsidR="00B97090" w:rsidRPr="008B619A">
        <w:rPr>
          <w:rFonts w:ascii="Helvetica" w:hAnsi="Helvetica" w:hint="eastAsia"/>
          <w:bCs w:val="0"/>
          <w:color w:val="000000" w:themeColor="text1"/>
        </w:rPr>
        <w:t>意願</w:t>
      </w:r>
      <w:r w:rsidR="00223BB8" w:rsidRPr="008B619A">
        <w:rPr>
          <w:rFonts w:ascii="Helvetica" w:hAnsi="Helvetica" w:hint="eastAsia"/>
          <w:bCs w:val="0"/>
          <w:color w:val="000000" w:themeColor="text1"/>
        </w:rPr>
        <w:t>，我國應善用此一契機，以避免人才赤字的問題持續擴大</w:t>
      </w:r>
      <w:r w:rsidR="00223BB8" w:rsidRPr="008B619A">
        <w:rPr>
          <w:rFonts w:hAnsi="標楷體" w:hint="eastAsia"/>
          <w:color w:val="000000" w:themeColor="text1"/>
        </w:rPr>
        <w:t>」。</w:t>
      </w:r>
      <w:r w:rsidR="00223BB8" w:rsidRPr="008B619A">
        <w:rPr>
          <w:rFonts w:hint="eastAsia"/>
          <w:color w:val="000000" w:themeColor="text1"/>
        </w:rPr>
        <w:t>此與本調查研究結果勘符，</w:t>
      </w:r>
      <w:r w:rsidR="00223BB8" w:rsidRPr="008B619A">
        <w:rPr>
          <w:rFonts w:ascii="Helvetica" w:hAnsi="Helvetica" w:hint="eastAsia"/>
          <w:bCs w:val="0"/>
          <w:color w:val="000000" w:themeColor="text1"/>
        </w:rPr>
        <w:t>相關部會雖已推動人才橋接，仍待更積極之策略有效吸引博士級人才回流，以激勵產業創新及科研發展</w:t>
      </w:r>
      <w:r w:rsidR="00223BB8" w:rsidRPr="008B619A">
        <w:rPr>
          <w:rFonts w:hint="eastAsia"/>
          <w:color w:val="000000" w:themeColor="text1"/>
        </w:rPr>
        <w:t>。</w:t>
      </w:r>
    </w:p>
    <w:p w14:paraId="5317282D" w14:textId="6EC4CB11" w:rsidR="00B007B0" w:rsidRPr="008B619A" w:rsidRDefault="00223BB8" w:rsidP="00B007B0">
      <w:pPr>
        <w:pStyle w:val="3"/>
        <w:rPr>
          <w:color w:val="000000" w:themeColor="text1"/>
        </w:rPr>
      </w:pPr>
      <w:r w:rsidRPr="008B619A">
        <w:rPr>
          <w:rFonts w:hint="eastAsia"/>
          <w:color w:val="000000" w:themeColor="text1"/>
        </w:rPr>
        <w:t>承上，</w:t>
      </w:r>
      <w:r w:rsidR="001D6F0D" w:rsidRPr="008B619A">
        <w:rPr>
          <w:color w:val="000000" w:themeColor="text1"/>
        </w:rPr>
        <w:t>據</w:t>
      </w:r>
      <w:r w:rsidR="00E76EDF" w:rsidRPr="008B619A">
        <w:rPr>
          <w:rFonts w:hint="eastAsia"/>
          <w:color w:val="000000" w:themeColor="text1"/>
        </w:rPr>
        <w:t>上述</w:t>
      </w:r>
      <w:r w:rsidR="00434524" w:rsidRPr="008B619A">
        <w:rPr>
          <w:color w:val="000000" w:themeColor="text1"/>
        </w:rPr>
        <w:t>NPHRST</w:t>
      </w:r>
      <w:r w:rsidR="001D6F0D" w:rsidRPr="008B619A">
        <w:rPr>
          <w:color w:val="000000" w:themeColor="text1"/>
        </w:rPr>
        <w:t>博士人才流動調查與IMD評比指標結果顯示，我國</w:t>
      </w:r>
      <w:r w:rsidR="008168F0" w:rsidRPr="008B619A">
        <w:rPr>
          <w:rFonts w:hint="eastAsia"/>
          <w:color w:val="000000" w:themeColor="text1"/>
        </w:rPr>
        <w:t>已面臨</w:t>
      </w:r>
      <w:r w:rsidR="00CF61D4" w:rsidRPr="008B619A">
        <w:rPr>
          <w:rFonts w:hint="eastAsia"/>
          <w:color w:val="000000" w:themeColor="text1"/>
        </w:rPr>
        <w:t>高階</w:t>
      </w:r>
      <w:r w:rsidR="001D6F0D" w:rsidRPr="008B619A">
        <w:rPr>
          <w:color w:val="000000" w:themeColor="text1"/>
        </w:rPr>
        <w:t>人才有出無進的循環問題</w:t>
      </w:r>
      <w:r w:rsidR="001D6F0D" w:rsidRPr="008B619A">
        <w:rPr>
          <w:rFonts w:hint="eastAsia"/>
          <w:color w:val="000000" w:themeColor="text1"/>
        </w:rPr>
        <w:t>。</w:t>
      </w:r>
      <w:r w:rsidR="00037BC7" w:rsidRPr="008B619A">
        <w:rPr>
          <w:rFonts w:hint="eastAsia"/>
          <w:color w:val="000000" w:themeColor="text1"/>
        </w:rPr>
        <w:t>具體</w:t>
      </w:r>
      <w:r w:rsidR="00F15B72" w:rsidRPr="008B619A">
        <w:rPr>
          <w:rFonts w:hint="eastAsia"/>
          <w:color w:val="000000" w:themeColor="text1"/>
        </w:rPr>
        <w:t>數據</w:t>
      </w:r>
      <w:r w:rsidR="00037BC7" w:rsidRPr="008B619A">
        <w:rPr>
          <w:rFonts w:hint="eastAsia"/>
          <w:color w:val="000000" w:themeColor="text1"/>
        </w:rPr>
        <w:t>復參考</w:t>
      </w:r>
      <w:r w:rsidR="00AA45AB" w:rsidRPr="008B619A">
        <w:rPr>
          <w:color w:val="000000" w:themeColor="text1"/>
        </w:rPr>
        <w:t>NPHRST</w:t>
      </w:r>
      <w:r w:rsidR="00860AF3" w:rsidRPr="008B619A">
        <w:rPr>
          <w:color w:val="000000" w:themeColor="text1"/>
        </w:rPr>
        <w:t>自103年首次進行國內博士求學背景及就業環境全面性調查</w:t>
      </w:r>
      <w:r w:rsidR="00860AF3" w:rsidRPr="008B619A">
        <w:rPr>
          <w:rFonts w:hint="eastAsia"/>
          <w:color w:val="000000" w:themeColor="text1"/>
        </w:rPr>
        <w:t>，</w:t>
      </w:r>
      <w:r w:rsidR="00340F7E" w:rsidRPr="008B619A">
        <w:rPr>
          <w:rFonts w:hint="eastAsia"/>
          <w:color w:val="000000" w:themeColor="text1"/>
        </w:rPr>
        <w:t>107年針對</w:t>
      </w:r>
      <w:r w:rsidR="00AA48FF" w:rsidRPr="008B619A">
        <w:rPr>
          <w:color w:val="000000" w:themeColor="text1"/>
        </w:rPr>
        <w:t>博士畢業學校類型與畢業年</w:t>
      </w:r>
      <w:r w:rsidR="00AA48FF" w:rsidRPr="008B619A">
        <w:rPr>
          <w:rFonts w:hint="eastAsia"/>
          <w:color w:val="000000" w:themeColor="text1"/>
        </w:rPr>
        <w:t>限，及政府應採做為等進行研究</w:t>
      </w:r>
      <w:r w:rsidR="00B007B0" w:rsidRPr="008B619A">
        <w:rPr>
          <w:rStyle w:val="aff1"/>
          <w:color w:val="000000" w:themeColor="text1"/>
        </w:rPr>
        <w:footnoteReference w:id="63"/>
      </w:r>
      <w:r w:rsidR="00B007B0" w:rsidRPr="008B619A">
        <w:rPr>
          <w:color w:val="000000" w:themeColor="text1"/>
        </w:rPr>
        <w:t>，</w:t>
      </w:r>
      <w:r w:rsidR="00AA48FF" w:rsidRPr="008B619A">
        <w:rPr>
          <w:rFonts w:hint="eastAsia"/>
          <w:color w:val="000000" w:themeColor="text1"/>
        </w:rPr>
        <w:t>並</w:t>
      </w:r>
      <w:r w:rsidR="004F4A36" w:rsidRPr="008B619A">
        <w:rPr>
          <w:color w:val="000000" w:themeColor="text1"/>
        </w:rPr>
        <w:t>提出「未滿45歲且職級為助理教授流動意願較高」、「尋找海外職缺重視的工作條件與動機皆以工作環境、待遇與生活條件為考量重點之一」、「有流動意願者以美、中為特定偏好國家的第一選擇」、「擬流動師資中近</w:t>
      </w:r>
      <w:r w:rsidR="007E2384" w:rsidRPr="008B619A">
        <w:rPr>
          <w:rFonts w:hint="eastAsia"/>
          <w:color w:val="000000" w:themeColor="text1"/>
        </w:rPr>
        <w:t>6</w:t>
      </w:r>
      <w:r w:rsidR="004F4A36" w:rsidRPr="008B619A">
        <w:rPr>
          <w:color w:val="000000" w:themeColor="text1"/>
        </w:rPr>
        <w:t>成有回國意願，且以5</w:t>
      </w:r>
      <w:r w:rsidR="004F4A36" w:rsidRPr="008B619A">
        <w:rPr>
          <w:color w:val="000000" w:themeColor="text1"/>
        </w:rPr>
        <w:lastRenderedPageBreak/>
        <w:t>年內中短期工作為主」、「</w:t>
      </w:r>
      <w:r w:rsidR="00AF6D12" w:rsidRPr="008B619A">
        <w:rPr>
          <w:rFonts w:hint="eastAsia"/>
          <w:color w:val="000000" w:themeColor="text1"/>
        </w:rPr>
        <w:t>7</w:t>
      </w:r>
      <w:r w:rsidR="004F4A36" w:rsidRPr="008B619A">
        <w:rPr>
          <w:color w:val="000000" w:themeColor="text1"/>
        </w:rPr>
        <w:t>成以上師資未來五年無流動意願，</w:t>
      </w:r>
      <w:r w:rsidR="00670343" w:rsidRPr="008B619A">
        <w:rPr>
          <w:color w:val="000000" w:themeColor="text1"/>
        </w:rPr>
        <w:t>其中以65歲以上、年資10年（含）以上且教授職級者意願相對較低」，以及「有流動意願師資對自身流動抱持相對較正面看法，且高達</w:t>
      </w:r>
      <w:r w:rsidR="00670343" w:rsidRPr="008B619A">
        <w:rPr>
          <w:rFonts w:hint="eastAsia"/>
          <w:color w:val="000000" w:themeColor="text1"/>
        </w:rPr>
        <w:t>7</w:t>
      </w:r>
      <w:r w:rsidR="00670343" w:rsidRPr="008B619A">
        <w:rPr>
          <w:color w:val="000000" w:themeColor="text1"/>
        </w:rPr>
        <w:t>成以上贊成應積極引進國際人才」等</w:t>
      </w:r>
      <w:r w:rsidR="00670343" w:rsidRPr="008B619A">
        <w:rPr>
          <w:rFonts w:hint="eastAsia"/>
          <w:color w:val="000000" w:themeColor="text1"/>
        </w:rPr>
        <w:t>6</w:t>
      </w:r>
      <w:r w:rsidR="00670343" w:rsidRPr="008B619A">
        <w:rPr>
          <w:color w:val="000000" w:themeColor="text1"/>
        </w:rPr>
        <w:t>項重點</w:t>
      </w:r>
      <w:r w:rsidR="00670343" w:rsidRPr="008B619A">
        <w:rPr>
          <w:rFonts w:hint="eastAsia"/>
          <w:color w:val="000000" w:themeColor="text1"/>
        </w:rPr>
        <w:t>。相關具體內容摘要如后</w:t>
      </w:r>
      <w:r w:rsidR="002220DD" w:rsidRPr="008B619A">
        <w:rPr>
          <w:rFonts w:hint="eastAsia"/>
          <w:color w:val="000000" w:themeColor="text1"/>
        </w:rPr>
        <w:t>：</w:t>
      </w:r>
    </w:p>
    <w:p w14:paraId="3A6D232F" w14:textId="43310C0B" w:rsidR="00B007B0" w:rsidRPr="008B619A" w:rsidRDefault="00B007B0" w:rsidP="00B007B0">
      <w:pPr>
        <w:pStyle w:val="4"/>
        <w:rPr>
          <w:color w:val="000000" w:themeColor="text1"/>
        </w:rPr>
      </w:pPr>
      <w:r w:rsidRPr="008B619A">
        <w:rPr>
          <w:color w:val="000000" w:themeColor="text1"/>
        </w:rPr>
        <w:t>未滿45歲且職級為助理教授之大專校院師資，未來</w:t>
      </w:r>
      <w:r w:rsidRPr="008B619A">
        <w:rPr>
          <w:rFonts w:hint="eastAsia"/>
          <w:color w:val="000000" w:themeColor="text1"/>
        </w:rPr>
        <w:t>5</w:t>
      </w:r>
      <w:r w:rsidRPr="008B619A">
        <w:rPr>
          <w:color w:val="000000" w:themeColor="text1"/>
        </w:rPr>
        <w:t>年有意前往海外工作意願相對較高；雖然人文社會相關領域師資未來海外流動意願相對高於理工相關領域師資，但流動意願比率卻由工程 領域中的材料工程系居各系師資之冠。</w:t>
      </w:r>
    </w:p>
    <w:p w14:paraId="07EB9DF1" w14:textId="5600EEB3" w:rsidR="00B007B0" w:rsidRPr="008B619A" w:rsidRDefault="00B41B66" w:rsidP="00B007B0">
      <w:pPr>
        <w:pStyle w:val="4"/>
        <w:rPr>
          <w:color w:val="000000" w:themeColor="text1"/>
        </w:rPr>
      </w:pPr>
      <w:r w:rsidRPr="008B619A">
        <w:rPr>
          <w:rFonts w:hint="eastAsia"/>
          <w:color w:val="000000" w:themeColor="text1"/>
        </w:rPr>
        <w:t>7</w:t>
      </w:r>
      <w:r w:rsidRPr="008B619A">
        <w:rPr>
          <w:color w:val="000000" w:themeColor="text1"/>
        </w:rPr>
        <w:t>成以上</w:t>
      </w:r>
      <w:r w:rsidR="00B007B0" w:rsidRPr="008B619A">
        <w:rPr>
          <w:color w:val="000000" w:themeColor="text1"/>
        </w:rPr>
        <w:t>大專校院師資未來五年並無海外流動意願，其中以65歲以上、年資達10年（含）以上且教授職級者相對較無意願前往海外工作，不願前往原因除了目前情況符合個人生涯規劃及考量家庭因素外，亦須注意是否出現結構老化警訊。</w:t>
      </w:r>
    </w:p>
    <w:p w14:paraId="2F1F4E5E" w14:textId="1260A8BB" w:rsidR="005E0DC8" w:rsidRPr="008B619A" w:rsidRDefault="005E0DC8" w:rsidP="00B007B0">
      <w:pPr>
        <w:pStyle w:val="4"/>
        <w:rPr>
          <w:color w:val="000000" w:themeColor="text1"/>
        </w:rPr>
      </w:pPr>
      <w:r w:rsidRPr="008B619A">
        <w:rPr>
          <w:color w:val="000000" w:themeColor="text1"/>
        </w:rPr>
        <w:t>博士人才出國意願與未來回國意願</w:t>
      </w:r>
      <w:r w:rsidR="00CA0388" w:rsidRPr="008B619A">
        <w:rPr>
          <w:rFonts w:hint="eastAsia"/>
          <w:color w:val="000000" w:themeColor="text1"/>
        </w:rPr>
        <w:t>統計</w:t>
      </w:r>
      <w:r w:rsidRPr="008B619A">
        <w:rPr>
          <w:rFonts w:hint="eastAsia"/>
          <w:color w:val="000000" w:themeColor="text1"/>
        </w:rPr>
        <w:t>如下：</w:t>
      </w:r>
    </w:p>
    <w:p w14:paraId="1E9ACE8F" w14:textId="1ED2E4EC" w:rsidR="00CA0388" w:rsidRPr="008B619A" w:rsidRDefault="001868B1" w:rsidP="001868B1">
      <w:pPr>
        <w:jc w:val="center"/>
        <w:rPr>
          <w:color w:val="000000" w:themeColor="text1"/>
        </w:rPr>
      </w:pPr>
      <w:r w:rsidRPr="008B619A">
        <w:rPr>
          <w:noProof/>
          <w:color w:val="000000" w:themeColor="text1"/>
        </w:rPr>
        <w:drawing>
          <wp:inline distT="0" distB="0" distL="0" distR="0" wp14:anchorId="1BA4E54A" wp14:editId="3BBE0CF2">
            <wp:extent cx="4077408" cy="3048197"/>
            <wp:effectExtent l="0" t="0" r="0" b="0"/>
            <wp:docPr id="27" name="圖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圖片 27"/>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098006" cy="3063596"/>
                    </a:xfrm>
                    <a:prstGeom prst="rect">
                      <a:avLst/>
                    </a:prstGeom>
                  </pic:spPr>
                </pic:pic>
              </a:graphicData>
            </a:graphic>
          </wp:inline>
        </w:drawing>
      </w:r>
    </w:p>
    <w:p w14:paraId="0B6BEB3C" w14:textId="6670013D" w:rsidR="005E0DC8" w:rsidRPr="008B619A" w:rsidRDefault="00EC7603" w:rsidP="00BC1CE2">
      <w:pPr>
        <w:pStyle w:val="a1"/>
        <w:spacing w:after="120"/>
        <w:ind w:left="482" w:hanging="482"/>
        <w:rPr>
          <w:b/>
          <w:bCs w:val="0"/>
          <w:color w:val="000000" w:themeColor="text1"/>
        </w:rPr>
      </w:pPr>
      <w:r w:rsidRPr="008B619A">
        <w:rPr>
          <w:rFonts w:ascii="Helvetica" w:hAnsi="Helvetica" w:cs="Helvetica"/>
          <w:b/>
          <w:bCs w:val="0"/>
          <w:color w:val="000000" w:themeColor="text1"/>
          <w:sz w:val="30"/>
          <w:szCs w:val="30"/>
        </w:rPr>
        <w:t>博士人才出國意願與未來回國</w:t>
      </w:r>
      <w:r w:rsidRPr="008B619A">
        <w:rPr>
          <w:rFonts w:ascii="Helvetica" w:hAnsi="Helvetica" w:cs="Helvetica" w:hint="eastAsia"/>
          <w:b/>
          <w:bCs w:val="0"/>
          <w:color w:val="000000" w:themeColor="text1"/>
          <w:sz w:val="30"/>
          <w:szCs w:val="30"/>
        </w:rPr>
        <w:t>意願圖</w:t>
      </w:r>
    </w:p>
    <w:p w14:paraId="14D050A3" w14:textId="16F40AEE" w:rsidR="00846163" w:rsidRPr="008B619A" w:rsidRDefault="00846163" w:rsidP="00846163">
      <w:pPr>
        <w:spacing w:afterLines="50" w:after="228"/>
        <w:jc w:val="center"/>
        <w:rPr>
          <w:color w:val="000000" w:themeColor="text1"/>
          <w:sz w:val="24"/>
          <w:szCs w:val="24"/>
        </w:rPr>
      </w:pPr>
      <w:r w:rsidRPr="008B619A">
        <w:rPr>
          <w:rFonts w:hint="eastAsia"/>
          <w:color w:val="000000" w:themeColor="text1"/>
          <w:sz w:val="24"/>
          <w:szCs w:val="24"/>
        </w:rPr>
        <w:t>資料來源：</w:t>
      </w:r>
      <w:r w:rsidR="00E20DA2" w:rsidRPr="008B619A">
        <w:rPr>
          <w:rFonts w:hint="eastAsia"/>
          <w:color w:val="000000" w:themeColor="text1"/>
          <w:sz w:val="24"/>
          <w:szCs w:val="24"/>
        </w:rPr>
        <w:t>2017年NPHRST大專校院博士教師流動意向調查分析報告</w:t>
      </w:r>
      <w:r w:rsidRPr="008B619A">
        <w:rPr>
          <w:rFonts w:hint="eastAsia"/>
          <w:color w:val="000000" w:themeColor="text1"/>
          <w:sz w:val="24"/>
          <w:szCs w:val="24"/>
        </w:rPr>
        <w:t>。</w:t>
      </w:r>
    </w:p>
    <w:p w14:paraId="2FB28C47" w14:textId="7FAB6980" w:rsidR="005E1200" w:rsidRPr="008B619A" w:rsidRDefault="005E1200" w:rsidP="007E5E3E">
      <w:pPr>
        <w:pStyle w:val="3"/>
        <w:rPr>
          <w:color w:val="000000" w:themeColor="text1"/>
        </w:rPr>
      </w:pPr>
      <w:r w:rsidRPr="008B619A">
        <w:rPr>
          <w:rFonts w:hint="eastAsia"/>
          <w:color w:val="000000" w:themeColor="text1"/>
        </w:rPr>
        <w:lastRenderedPageBreak/>
        <w:t>復參酌國際高等教育比較研究</w:t>
      </w:r>
      <w:r w:rsidR="004D043F" w:rsidRPr="008B619A">
        <w:rPr>
          <w:rStyle w:val="aff1"/>
          <w:color w:val="000000" w:themeColor="text1"/>
        </w:rPr>
        <w:footnoteReference w:id="64"/>
      </w:r>
      <w:r w:rsidRPr="008B619A">
        <w:rPr>
          <w:rFonts w:hint="eastAsia"/>
          <w:color w:val="000000" w:themeColor="text1"/>
        </w:rPr>
        <w:t>，</w:t>
      </w:r>
      <w:r w:rsidR="00AD5BC0" w:rsidRPr="008B619A">
        <w:rPr>
          <w:rFonts w:hAnsi="標楷體" w:hint="eastAsia"/>
          <w:color w:val="000000" w:themeColor="text1"/>
        </w:rPr>
        <w:t>「</w:t>
      </w:r>
      <w:r w:rsidR="0022540F" w:rsidRPr="008B619A">
        <w:rPr>
          <w:rFonts w:hAnsi="標楷體" w:hint="eastAsia"/>
          <w:color w:val="000000" w:themeColor="text1"/>
        </w:rPr>
        <w:t>德國人工智慧研究中心（</w:t>
      </w:r>
      <w:r w:rsidR="0022540F" w:rsidRPr="008B619A">
        <w:rPr>
          <w:rFonts w:ascii="Times New Roman" w:hAnsi="Times New Roman"/>
          <w:color w:val="000000" w:themeColor="text1"/>
        </w:rPr>
        <w:t>Deutsche Forschungszentrum für Künstliche Intelligenz</w:t>
      </w:r>
      <w:r w:rsidR="0022540F" w:rsidRPr="008B619A">
        <w:rPr>
          <w:rFonts w:hAnsi="標楷體" w:hint="eastAsia"/>
          <w:color w:val="000000" w:themeColor="text1"/>
        </w:rPr>
        <w:t>，簡稱</w:t>
      </w:r>
      <w:r w:rsidR="0022540F" w:rsidRPr="008B619A">
        <w:rPr>
          <w:rFonts w:ascii="Times New Roman" w:hAnsi="Times New Roman" w:hint="eastAsia"/>
          <w:color w:val="000000" w:themeColor="text1"/>
        </w:rPr>
        <w:t>DFKI</w:t>
      </w:r>
      <w:r w:rsidR="0022540F" w:rsidRPr="008B619A">
        <w:rPr>
          <w:rFonts w:hAnsi="標楷體" w:hint="eastAsia"/>
          <w:color w:val="000000" w:themeColor="text1"/>
        </w:rPr>
        <w:t>）</w:t>
      </w:r>
      <w:r w:rsidR="00840A97" w:rsidRPr="008B619A">
        <w:rPr>
          <w:rFonts w:hAnsi="標楷體" w:hint="eastAsia"/>
          <w:color w:val="000000" w:themeColor="text1"/>
        </w:rPr>
        <w:t>雖成立於1988年，然而</w:t>
      </w:r>
      <w:r w:rsidR="00330134" w:rsidRPr="008B619A">
        <w:rPr>
          <w:rFonts w:hAnsi="標楷體" w:hint="eastAsia"/>
          <w:color w:val="000000" w:themeColor="text1"/>
        </w:rPr>
        <w:t>『</w:t>
      </w:r>
      <w:r w:rsidR="00840A97" w:rsidRPr="008B619A">
        <w:rPr>
          <w:rFonts w:hAnsi="標楷體" w:hint="eastAsia"/>
          <w:color w:val="000000" w:themeColor="text1"/>
        </w:rPr>
        <w:t>同級人員之同級工資費率規定</w:t>
      </w:r>
      <w:r w:rsidR="00330134" w:rsidRPr="008B619A">
        <w:rPr>
          <w:rFonts w:hAnsi="標楷體" w:hint="eastAsia"/>
          <w:color w:val="000000" w:themeColor="text1"/>
        </w:rPr>
        <w:t>』</w:t>
      </w:r>
      <w:r w:rsidR="00840A97" w:rsidRPr="008B619A">
        <w:rPr>
          <w:rFonts w:hAnsi="標楷體" w:hint="eastAsia"/>
          <w:color w:val="000000" w:themeColor="text1"/>
        </w:rPr>
        <w:t>自2012才生效，而AI的發展趨勢正好在過去幾年中加緊進步。Krüger所長表示</w:t>
      </w:r>
      <w:r w:rsidR="00611201" w:rsidRPr="008B619A">
        <w:rPr>
          <w:rFonts w:hAnsi="標楷體" w:hint="eastAsia"/>
          <w:color w:val="000000" w:themeColor="text1"/>
        </w:rPr>
        <w:t>『</w:t>
      </w:r>
      <w:r w:rsidR="00840A97" w:rsidRPr="008B619A">
        <w:rPr>
          <w:rFonts w:hAnsi="標楷體" w:hint="eastAsia"/>
          <w:color w:val="000000" w:themeColor="text1"/>
        </w:rPr>
        <w:t>薪資雖然並不代表全部，但是我們需要更多的彈性以能根據各別研究人員的需求進行配合。…</w:t>
      </w:r>
      <w:r w:rsidR="007B1D05" w:rsidRPr="008B619A">
        <w:rPr>
          <w:rFonts w:hAnsi="標楷體" w:hint="eastAsia"/>
          <w:color w:val="000000" w:themeColor="text1"/>
        </w:rPr>
        <w:t>…</w:t>
      </w:r>
      <w:r w:rsidR="00840A97" w:rsidRPr="008B619A">
        <w:rPr>
          <w:rFonts w:hAnsi="標楷體" w:hint="eastAsia"/>
          <w:color w:val="000000" w:themeColor="text1"/>
        </w:rPr>
        <w:t>因為我們過去在薪資上不夠彈性，而導致我們失去了研究人員。</w:t>
      </w:r>
      <w:r w:rsidR="00611201" w:rsidRPr="008B619A">
        <w:rPr>
          <w:rFonts w:hAnsi="標楷體" w:hint="eastAsia"/>
          <w:color w:val="000000" w:themeColor="text1"/>
        </w:rPr>
        <w:t>』相對而言，德國國家發展AI策略中央性基石的</w:t>
      </w:r>
      <w:r w:rsidR="00EA24DC" w:rsidRPr="008B619A">
        <w:rPr>
          <w:rFonts w:hAnsi="標楷體" w:hint="eastAsia"/>
          <w:color w:val="000000" w:themeColor="text1"/>
        </w:rPr>
        <w:t>『</w:t>
      </w:r>
      <w:r w:rsidR="00611201" w:rsidRPr="008B619A">
        <w:rPr>
          <w:rFonts w:hAnsi="標楷體" w:hint="eastAsia"/>
          <w:color w:val="000000" w:themeColor="text1"/>
        </w:rPr>
        <w:t>洪堡基金會（</w:t>
      </w:r>
      <w:r w:rsidR="00611201" w:rsidRPr="008B619A">
        <w:rPr>
          <w:rFonts w:ascii="Times New Roman" w:hAnsi="Times New Roman" w:hint="eastAsia"/>
          <w:color w:val="000000" w:themeColor="text1"/>
        </w:rPr>
        <w:t>Alexander von Humboldt Foundation</w:t>
      </w:r>
      <w:r w:rsidR="00611201" w:rsidRPr="008B619A">
        <w:rPr>
          <w:rFonts w:hAnsi="標楷體" w:hint="eastAsia"/>
          <w:color w:val="000000" w:themeColor="text1"/>
        </w:rPr>
        <w:t>）</w:t>
      </w:r>
      <w:r w:rsidR="00EA24DC" w:rsidRPr="008B619A">
        <w:rPr>
          <w:rFonts w:hAnsi="標楷體" w:hint="eastAsia"/>
          <w:color w:val="000000" w:themeColor="text1"/>
        </w:rPr>
        <w:t>』</w:t>
      </w:r>
      <w:r w:rsidR="00611201" w:rsidRPr="008B619A">
        <w:rPr>
          <w:rFonts w:hAnsi="標楷體" w:hint="eastAsia"/>
          <w:color w:val="000000" w:themeColor="text1"/>
        </w:rPr>
        <w:t>對其所擷選的科學家們提供最上乘薪資。</w:t>
      </w:r>
      <w:r w:rsidR="00F028D2" w:rsidRPr="008B619A">
        <w:rPr>
          <w:rFonts w:hAnsi="標楷體"/>
          <w:color w:val="000000" w:themeColor="text1"/>
        </w:rPr>
        <w:t>入選人將獲得由</w:t>
      </w:r>
      <w:r w:rsidR="00361A06" w:rsidRPr="008B619A">
        <w:rPr>
          <w:rFonts w:hAnsi="標楷體" w:hint="eastAsia"/>
          <w:color w:val="000000" w:themeColor="text1"/>
        </w:rPr>
        <w:t>該基金會</w:t>
      </w:r>
      <w:r w:rsidR="00F028D2" w:rsidRPr="008B619A">
        <w:rPr>
          <w:rFonts w:hAnsi="標楷體"/>
          <w:color w:val="000000" w:themeColor="text1"/>
        </w:rPr>
        <w:t>撥款的500萬歐元獎金。在AI教授進行研究、教學的各大學中，可根據該邦普遍的薪資再加上目前最多高達18萬歐元的獎金，未來獲獎各大學甚至能獲得25萬歐元的最高挹注金額。</w:t>
      </w:r>
      <w:r w:rsidR="005C4ECC" w:rsidRPr="008B619A">
        <w:rPr>
          <w:rFonts w:hAnsi="標楷體"/>
          <w:color w:val="000000" w:themeColor="text1"/>
        </w:rPr>
        <w:t>……</w:t>
      </w:r>
      <w:r w:rsidR="00BA799F" w:rsidRPr="008B619A">
        <w:rPr>
          <w:rFonts w:hAnsi="標楷體" w:hint="eastAsia"/>
          <w:color w:val="000000" w:themeColor="text1"/>
        </w:rPr>
        <w:t>而德國對於具備競爭力的薪資是重要的第一步，在走向第二步時還應著重所謂軟性因素</w:t>
      </w:r>
      <w:r w:rsidR="00633A78" w:rsidRPr="008B619A">
        <w:rPr>
          <w:rFonts w:hAnsi="標楷體" w:hint="eastAsia"/>
          <w:color w:val="000000" w:themeColor="text1"/>
        </w:rPr>
        <w:t>，</w:t>
      </w:r>
      <w:r w:rsidR="00BA799F" w:rsidRPr="008B619A">
        <w:rPr>
          <w:rFonts w:hAnsi="標楷體" w:hint="eastAsia"/>
          <w:color w:val="000000" w:themeColor="text1"/>
        </w:rPr>
        <w:t>以創造良好的工作環境</w:t>
      </w:r>
      <w:r w:rsidR="00BE59D2" w:rsidRPr="008B619A">
        <w:rPr>
          <w:rFonts w:hAnsi="標楷體" w:hint="eastAsia"/>
          <w:color w:val="000000" w:themeColor="text1"/>
        </w:rPr>
        <w:t>。</w:t>
      </w:r>
      <w:r w:rsidR="00AD5BC0" w:rsidRPr="008B619A">
        <w:rPr>
          <w:rFonts w:hAnsi="標楷體" w:hint="eastAsia"/>
          <w:color w:val="000000" w:themeColor="text1"/>
        </w:rPr>
        <w:t>」</w:t>
      </w:r>
      <w:r w:rsidR="00B95CC7" w:rsidRPr="008B619A">
        <w:rPr>
          <w:rFonts w:hAnsi="標楷體" w:hint="eastAsia"/>
          <w:color w:val="000000" w:themeColor="text1"/>
        </w:rPr>
        <w:t>是以</w:t>
      </w:r>
      <w:r w:rsidR="00B95CC7" w:rsidRPr="008B619A">
        <w:rPr>
          <w:rFonts w:hint="eastAsia"/>
          <w:color w:val="000000" w:themeColor="text1"/>
        </w:rPr>
        <w:t>，</w:t>
      </w:r>
      <w:r w:rsidR="002B4A90" w:rsidRPr="008B619A">
        <w:rPr>
          <w:rFonts w:hint="eastAsia"/>
          <w:color w:val="000000" w:themeColor="text1"/>
        </w:rPr>
        <w:t>德國大學暨研究機構</w:t>
      </w:r>
      <w:r w:rsidR="00255179" w:rsidRPr="008B619A">
        <w:rPr>
          <w:rFonts w:hint="eastAsia"/>
          <w:color w:val="000000" w:themeColor="text1"/>
        </w:rPr>
        <w:t>以</w:t>
      </w:r>
      <w:r w:rsidR="002B4A90" w:rsidRPr="008B619A">
        <w:rPr>
          <w:rFonts w:hint="eastAsia"/>
          <w:color w:val="000000" w:themeColor="text1"/>
        </w:rPr>
        <w:t>提高待遇留住AI專家</w:t>
      </w:r>
      <w:r w:rsidR="000E397D" w:rsidRPr="008B619A">
        <w:rPr>
          <w:rFonts w:hint="eastAsia"/>
          <w:color w:val="000000" w:themeColor="text1"/>
        </w:rPr>
        <w:t>之</w:t>
      </w:r>
      <w:r w:rsidR="00C62A38" w:rsidRPr="008B619A">
        <w:rPr>
          <w:rFonts w:hint="eastAsia"/>
          <w:color w:val="000000" w:themeColor="text1"/>
        </w:rPr>
        <w:t>作法</w:t>
      </w:r>
      <w:r w:rsidR="000E397D" w:rsidRPr="008B619A">
        <w:rPr>
          <w:rFonts w:hint="eastAsia"/>
          <w:color w:val="000000" w:themeColor="text1"/>
        </w:rPr>
        <w:t>分析</w:t>
      </w:r>
      <w:r w:rsidR="002B4A90" w:rsidRPr="008B619A">
        <w:rPr>
          <w:rFonts w:hint="eastAsia"/>
          <w:color w:val="000000" w:themeColor="text1"/>
        </w:rPr>
        <w:t>，亦值我國政府深思</w:t>
      </w:r>
      <w:r w:rsidR="00FA67F6" w:rsidRPr="008B619A">
        <w:rPr>
          <w:rFonts w:hint="eastAsia"/>
          <w:color w:val="000000" w:themeColor="text1"/>
        </w:rPr>
        <w:t>參</w:t>
      </w:r>
      <w:r w:rsidR="00B95CC7" w:rsidRPr="008B619A">
        <w:rPr>
          <w:rFonts w:hint="eastAsia"/>
          <w:color w:val="000000" w:themeColor="text1"/>
        </w:rPr>
        <w:t>採</w:t>
      </w:r>
      <w:r w:rsidR="002B4A90" w:rsidRPr="008B619A">
        <w:rPr>
          <w:rFonts w:hint="eastAsia"/>
          <w:color w:val="000000" w:themeColor="text1"/>
        </w:rPr>
        <w:t>。</w:t>
      </w:r>
    </w:p>
    <w:p w14:paraId="3D211F8A" w14:textId="40F83602" w:rsidR="007E5E3E" w:rsidRPr="008B619A" w:rsidRDefault="00550A75" w:rsidP="007E5E3E">
      <w:pPr>
        <w:pStyle w:val="3"/>
        <w:rPr>
          <w:color w:val="000000" w:themeColor="text1"/>
        </w:rPr>
      </w:pPr>
      <w:r w:rsidRPr="008B619A">
        <w:rPr>
          <w:rFonts w:hint="eastAsia"/>
          <w:color w:val="000000" w:themeColor="text1"/>
        </w:rPr>
        <w:t>立法院</w:t>
      </w:r>
      <w:r w:rsidR="0045486B" w:rsidRPr="008B619A">
        <w:rPr>
          <w:rFonts w:hint="eastAsia"/>
          <w:color w:val="000000" w:themeColor="text1"/>
        </w:rPr>
        <w:t>法制局</w:t>
      </w:r>
      <w:r w:rsidR="00F33C68" w:rsidRPr="008B619A">
        <w:rPr>
          <w:rFonts w:hint="eastAsia"/>
          <w:color w:val="000000" w:themeColor="text1"/>
        </w:rPr>
        <w:t>109年</w:t>
      </w:r>
      <w:r w:rsidR="00CE06AC" w:rsidRPr="008B619A">
        <w:rPr>
          <w:rFonts w:hAnsi="標楷體" w:hint="eastAsia"/>
          <w:color w:val="000000" w:themeColor="text1"/>
        </w:rPr>
        <w:t>提</w:t>
      </w:r>
      <w:r w:rsidR="00CE06AC" w:rsidRPr="008B619A">
        <w:rPr>
          <w:rFonts w:hint="eastAsia"/>
          <w:color w:val="000000" w:themeColor="text1"/>
        </w:rPr>
        <w:t>出</w:t>
      </w:r>
      <w:r w:rsidR="00F33C68" w:rsidRPr="008B619A">
        <w:rPr>
          <w:rFonts w:hAnsi="標楷體" w:hint="eastAsia"/>
          <w:color w:val="000000" w:themeColor="text1"/>
        </w:rPr>
        <w:t>「</w:t>
      </w:r>
      <w:r w:rsidR="007E5E3E" w:rsidRPr="008B619A">
        <w:rPr>
          <w:rFonts w:hint="eastAsia"/>
          <w:color w:val="000000" w:themeColor="text1"/>
        </w:rPr>
        <w:t>管制人才外流之研析</w:t>
      </w:r>
      <w:r w:rsidR="00F33C68" w:rsidRPr="008B619A">
        <w:rPr>
          <w:rFonts w:hAnsi="標楷體" w:hint="eastAsia"/>
          <w:color w:val="000000" w:themeColor="text1"/>
        </w:rPr>
        <w:t>」</w:t>
      </w:r>
      <w:r w:rsidR="00622EB4" w:rsidRPr="008B619A">
        <w:rPr>
          <w:rFonts w:hAnsi="標楷體" w:hint="eastAsia"/>
          <w:color w:val="000000" w:themeColor="text1"/>
        </w:rPr>
        <w:t>議題研析報告</w:t>
      </w:r>
      <w:r w:rsidR="00D81B3F" w:rsidRPr="008B619A">
        <w:rPr>
          <w:rFonts w:hAnsi="標楷體" w:hint="eastAsia"/>
          <w:color w:val="000000" w:themeColor="text1"/>
        </w:rPr>
        <w:t>，</w:t>
      </w:r>
      <w:r w:rsidR="00F311E0" w:rsidRPr="008B619A">
        <w:rPr>
          <w:rFonts w:hAnsi="標楷體" w:hint="eastAsia"/>
          <w:color w:val="000000" w:themeColor="text1"/>
        </w:rPr>
        <w:t>摘略</w:t>
      </w:r>
      <w:r w:rsidR="0005790E" w:rsidRPr="008B619A">
        <w:rPr>
          <w:rFonts w:hint="eastAsia"/>
          <w:color w:val="000000" w:themeColor="text1"/>
        </w:rPr>
        <w:t>建議事項略以</w:t>
      </w:r>
      <w:r w:rsidR="00622EB4" w:rsidRPr="008B619A">
        <w:rPr>
          <w:rFonts w:hint="eastAsia"/>
          <w:color w:val="000000" w:themeColor="text1"/>
        </w:rPr>
        <w:t>，</w:t>
      </w:r>
      <w:r w:rsidR="00D63A26" w:rsidRPr="008B619A">
        <w:rPr>
          <w:rFonts w:hint="eastAsia"/>
          <w:color w:val="000000" w:themeColor="text1"/>
        </w:rPr>
        <w:t>「</w:t>
      </w:r>
      <w:r w:rsidR="00330170" w:rsidRPr="008B619A">
        <w:rPr>
          <w:color w:val="000000" w:themeColor="text1"/>
        </w:rPr>
        <w:t>為免人才外流，宜著重如何留住人才在臺工作</w:t>
      </w:r>
      <w:r w:rsidR="00330170" w:rsidRPr="008B619A">
        <w:rPr>
          <w:rFonts w:hint="eastAsia"/>
          <w:color w:val="000000" w:themeColor="text1"/>
        </w:rPr>
        <w:t>：</w:t>
      </w:r>
      <w:r w:rsidR="00666FBE" w:rsidRPr="008B619A">
        <w:rPr>
          <w:color w:val="000000" w:themeColor="text1"/>
        </w:rPr>
        <w:t>薪資低是臺灣留不住人才最大的關鍵因素，</w:t>
      </w:r>
      <w:r w:rsidR="00AB37ED" w:rsidRPr="008B619A">
        <w:rPr>
          <w:color w:val="000000" w:themeColor="text1"/>
        </w:rPr>
        <w:t>國發會表示，</w:t>
      </w:r>
      <w:r w:rsidR="00666FBE" w:rsidRPr="008B619A">
        <w:rPr>
          <w:color w:val="000000" w:themeColor="text1"/>
        </w:rPr>
        <w:t>面臨國內低薪問題，以及</w:t>
      </w:r>
      <w:r w:rsidR="002C621C" w:rsidRPr="008B619A">
        <w:rPr>
          <w:rFonts w:hint="eastAsia"/>
          <w:color w:val="000000" w:themeColor="text1"/>
        </w:rPr>
        <w:t>中國</w:t>
      </w:r>
      <w:r w:rsidR="00666FBE" w:rsidRPr="008B619A">
        <w:rPr>
          <w:color w:val="000000" w:themeColor="text1"/>
        </w:rPr>
        <w:t>競逐人才，政府已採行因應措施並積極推動中，以打造人才</w:t>
      </w:r>
      <w:r w:rsidR="00BB1DBD" w:rsidRPr="008B619A">
        <w:rPr>
          <w:rFonts w:hAnsi="標楷體" w:hint="eastAsia"/>
          <w:color w:val="000000" w:themeColor="text1"/>
        </w:rPr>
        <w:t>『</w:t>
      </w:r>
      <w:r w:rsidR="00666FBE" w:rsidRPr="008B619A">
        <w:rPr>
          <w:color w:val="000000" w:themeColor="text1"/>
        </w:rPr>
        <w:t>進得來、留得住、樂工作</w:t>
      </w:r>
      <w:r w:rsidR="00BB1DBD" w:rsidRPr="008B619A">
        <w:rPr>
          <w:rFonts w:hAnsi="標楷體" w:hint="eastAsia"/>
          <w:color w:val="000000" w:themeColor="text1"/>
        </w:rPr>
        <w:t>』</w:t>
      </w:r>
      <w:r w:rsidR="00666FBE" w:rsidRPr="008B619A">
        <w:rPr>
          <w:color w:val="000000" w:themeColor="text1"/>
        </w:rPr>
        <w:t>的友善環境，鼓勵我國人才留臺發展。然從</w:t>
      </w:r>
      <w:r w:rsidR="00666FBE" w:rsidRPr="008B619A">
        <w:rPr>
          <w:color w:val="000000" w:themeColor="text1"/>
        </w:rPr>
        <w:lastRenderedPageBreak/>
        <w:t>主計處統計資料可見，臺灣近年來赴海外工作的人數仍處於不斷增加的情形，顯見留才成效並不彰</w:t>
      </w:r>
      <w:r w:rsidR="00D01D80" w:rsidRPr="008B619A">
        <w:rPr>
          <w:rFonts w:hint="eastAsia"/>
          <w:color w:val="000000" w:themeColor="text1"/>
        </w:rPr>
        <w:t>……</w:t>
      </w:r>
      <w:r w:rsidR="00D63A26" w:rsidRPr="008B619A">
        <w:rPr>
          <w:rFonts w:hint="eastAsia"/>
          <w:color w:val="000000" w:themeColor="text1"/>
        </w:rPr>
        <w:t>」</w:t>
      </w:r>
      <w:r w:rsidR="00DA3F58" w:rsidRPr="008B619A">
        <w:rPr>
          <w:rFonts w:hint="eastAsia"/>
          <w:color w:val="000000" w:themeColor="text1"/>
        </w:rPr>
        <w:t>等語</w:t>
      </w:r>
      <w:r w:rsidR="00F56255" w:rsidRPr="008B619A">
        <w:rPr>
          <w:rFonts w:hint="eastAsia"/>
          <w:color w:val="000000" w:themeColor="text1"/>
        </w:rPr>
        <w:t>，是以，</w:t>
      </w:r>
      <w:r w:rsidR="00AB04D7" w:rsidRPr="008B619A">
        <w:rPr>
          <w:rFonts w:hint="eastAsia"/>
          <w:color w:val="000000" w:themeColor="text1"/>
        </w:rPr>
        <w:t>仍待政府積極正視</w:t>
      </w:r>
      <w:r w:rsidR="00F56255" w:rsidRPr="008B619A">
        <w:rPr>
          <w:rFonts w:hint="eastAsia"/>
          <w:color w:val="000000" w:themeColor="text1"/>
        </w:rPr>
        <w:t>高階人才就業外流之議題</w:t>
      </w:r>
      <w:r w:rsidR="00AB04D7" w:rsidRPr="008B619A">
        <w:rPr>
          <w:rFonts w:hint="eastAsia"/>
          <w:color w:val="000000" w:themeColor="text1"/>
        </w:rPr>
        <w:t>及對策</w:t>
      </w:r>
      <w:r w:rsidR="00DA3F58" w:rsidRPr="008B619A">
        <w:rPr>
          <w:rFonts w:hint="eastAsia"/>
          <w:color w:val="000000" w:themeColor="text1"/>
        </w:rPr>
        <w:t>。</w:t>
      </w:r>
    </w:p>
    <w:p w14:paraId="5CF85C9A" w14:textId="7CFAC97D" w:rsidR="00C2563B" w:rsidRPr="008B619A" w:rsidRDefault="00C2563B" w:rsidP="00C2563B">
      <w:pPr>
        <w:pStyle w:val="3"/>
        <w:rPr>
          <w:color w:val="000000" w:themeColor="text1"/>
        </w:rPr>
      </w:pPr>
      <w:r w:rsidRPr="008B619A">
        <w:rPr>
          <w:rFonts w:hint="eastAsia"/>
          <w:color w:val="000000" w:themeColor="text1"/>
        </w:rPr>
        <w:t>綜上論述，</w:t>
      </w:r>
      <w:r w:rsidRPr="008B619A">
        <w:rPr>
          <w:color w:val="000000" w:themeColor="text1"/>
        </w:rPr>
        <w:t>高階人才</w:t>
      </w:r>
      <w:r w:rsidRPr="008B619A">
        <w:rPr>
          <w:rFonts w:hint="eastAsia"/>
          <w:color w:val="000000" w:themeColor="text1"/>
        </w:rPr>
        <w:t>移動</w:t>
      </w:r>
      <w:r w:rsidRPr="008B619A">
        <w:rPr>
          <w:color w:val="000000" w:themeColor="text1"/>
        </w:rPr>
        <w:t>已是全球化下常態，</w:t>
      </w:r>
      <w:r w:rsidR="000F5F65" w:rsidRPr="008B619A">
        <w:rPr>
          <w:rFonts w:hint="eastAsia"/>
          <w:color w:val="000000" w:themeColor="text1"/>
        </w:rPr>
        <w:t>博士人才之移動係全球化及國際化常態，有助於國際合作關係，我國過去亦藉由高階人才回流，</w:t>
      </w:r>
      <w:r w:rsidR="00497516" w:rsidRPr="008B619A">
        <w:rPr>
          <w:rFonts w:hint="eastAsia"/>
          <w:color w:val="000000" w:themeColor="text1"/>
        </w:rPr>
        <w:t>促進</w:t>
      </w:r>
      <w:r w:rsidR="000F5F65" w:rsidRPr="008B619A">
        <w:rPr>
          <w:rFonts w:hint="eastAsia"/>
          <w:color w:val="000000" w:themeColor="text1"/>
        </w:rPr>
        <w:t>科技產業興盛，產業高階人才及學研人才投入，均挹注於學產界新興知識、技術與創新思維；政府近年逐步推動之雙語國家政策，及各大專校院跨國學位合作（又稱雙聯學制）、擴大博士人才國際交流等政策，有助於拓展國際視野及跨界移動力，增加國際競爭力，然因應數位經濟來臨、多元化社會的挑戰，高階人才議題除對於外籍高階人才之延攬留任外，亦同步聚焦我國優秀博士人才之回流，惟108年國人赴海外工作人數增至73萬9千人，大專及以上程度者占76.2%，30~49歲者36萬人，占48.7%，人數逐年增加，此趨勢及現象為政府宜予正視並研析之課題；復以博士人才回流趨勢而言，博士人才雖具高度的流動意願，但實存在流出大於流入之失衡問題，政府相關部會雖已推動人才橋接計畫，惟針對整體薪資、就業、學研環境及產業結構問題仍待提升，以激勵產業創新及科研發展，提升整體留才及攬才吸引力</w:t>
      </w:r>
      <w:r w:rsidR="002E04B4" w:rsidRPr="008B619A">
        <w:rPr>
          <w:rFonts w:ascii="Helvetica" w:hAnsi="Helvetica" w:hint="eastAsia"/>
          <w:color w:val="000000" w:themeColor="text1"/>
        </w:rPr>
        <w:t>。</w:t>
      </w:r>
    </w:p>
    <w:p w14:paraId="2455DCD2" w14:textId="77777777" w:rsidR="00BF0CBB" w:rsidRPr="008B619A" w:rsidRDefault="00BF0CBB" w:rsidP="00232D06">
      <w:pPr>
        <w:rPr>
          <w:color w:val="000000" w:themeColor="text1"/>
        </w:rPr>
      </w:pPr>
    </w:p>
    <w:p w14:paraId="3DA52809" w14:textId="60DB7663" w:rsidR="000B2F25" w:rsidRPr="008B619A" w:rsidRDefault="00703800" w:rsidP="006B1013">
      <w:pPr>
        <w:pStyle w:val="2"/>
        <w:ind w:leftChars="101" w:left="1025"/>
        <w:rPr>
          <w:b/>
          <w:color w:val="000000" w:themeColor="text1"/>
        </w:rPr>
      </w:pPr>
      <w:bookmarkStart w:id="87" w:name="_Toc76980145"/>
      <w:r w:rsidRPr="008B619A">
        <w:rPr>
          <w:b/>
          <w:color w:val="000000" w:themeColor="text1"/>
        </w:rPr>
        <w:t>全球高等教育國際學生</w:t>
      </w:r>
      <w:r w:rsidRPr="008B619A">
        <w:rPr>
          <w:rFonts w:hint="eastAsia"/>
          <w:b/>
          <w:color w:val="000000" w:themeColor="text1"/>
        </w:rPr>
        <w:t>數逐年攀升，茲</w:t>
      </w:r>
      <w:r w:rsidR="005065AA" w:rsidRPr="008B619A">
        <w:rPr>
          <w:rFonts w:hint="eastAsia"/>
          <w:b/>
          <w:color w:val="000000" w:themeColor="text1"/>
        </w:rPr>
        <w:t>參考</w:t>
      </w:r>
      <w:r w:rsidR="0098639E" w:rsidRPr="008B619A">
        <w:rPr>
          <w:rFonts w:hint="eastAsia"/>
          <w:b/>
          <w:color w:val="000000" w:themeColor="text1"/>
        </w:rPr>
        <w:t>研究</w:t>
      </w:r>
      <w:r w:rsidR="00414BE3" w:rsidRPr="008B619A">
        <w:rPr>
          <w:rFonts w:hint="eastAsia"/>
          <w:b/>
          <w:color w:val="000000" w:themeColor="text1"/>
        </w:rPr>
        <w:t>主要國家推動</w:t>
      </w:r>
      <w:r w:rsidR="000D6EED" w:rsidRPr="008B619A">
        <w:rPr>
          <w:rFonts w:hint="eastAsia"/>
          <w:b/>
          <w:color w:val="000000" w:themeColor="text1"/>
        </w:rPr>
        <w:t>博士人才培育及就業</w:t>
      </w:r>
      <w:r w:rsidR="0098639E" w:rsidRPr="008B619A">
        <w:rPr>
          <w:rFonts w:hint="eastAsia"/>
          <w:b/>
          <w:color w:val="000000" w:themeColor="text1"/>
        </w:rPr>
        <w:t>之</w:t>
      </w:r>
      <w:r w:rsidR="00603DCC" w:rsidRPr="008B619A">
        <w:rPr>
          <w:rFonts w:hint="eastAsia"/>
          <w:b/>
          <w:color w:val="000000" w:themeColor="text1"/>
        </w:rPr>
        <w:t>國際</w:t>
      </w:r>
      <w:r w:rsidR="000B2F25" w:rsidRPr="008B619A">
        <w:rPr>
          <w:rFonts w:hint="eastAsia"/>
          <w:b/>
          <w:color w:val="000000" w:themeColor="text1"/>
        </w:rPr>
        <w:t>比較</w:t>
      </w:r>
      <w:r w:rsidR="006E4D5F" w:rsidRPr="008B619A">
        <w:rPr>
          <w:rFonts w:hint="eastAsia"/>
          <w:b/>
          <w:color w:val="000000" w:themeColor="text1"/>
        </w:rPr>
        <w:t>趨勢</w:t>
      </w:r>
      <w:r w:rsidR="002F0B2A" w:rsidRPr="008B619A">
        <w:rPr>
          <w:rFonts w:hint="eastAsia"/>
          <w:b/>
          <w:color w:val="000000" w:themeColor="text1"/>
        </w:rPr>
        <w:t>，美</w:t>
      </w:r>
      <w:r w:rsidR="00A71F9D" w:rsidRPr="008B619A">
        <w:rPr>
          <w:rFonts w:hAnsi="標楷體" w:hint="eastAsia"/>
          <w:b/>
          <w:color w:val="000000" w:themeColor="text1"/>
        </w:rPr>
        <w:t>、</w:t>
      </w:r>
      <w:r w:rsidR="002F0B2A" w:rsidRPr="008B619A">
        <w:rPr>
          <w:rFonts w:hint="eastAsia"/>
          <w:b/>
          <w:color w:val="000000" w:themeColor="text1"/>
        </w:rPr>
        <w:t>英等國均</w:t>
      </w:r>
      <w:r w:rsidR="00B54EE0" w:rsidRPr="008B619A">
        <w:rPr>
          <w:rFonts w:hint="eastAsia"/>
          <w:b/>
          <w:color w:val="000000" w:themeColor="text1"/>
        </w:rPr>
        <w:t>面臨博士</w:t>
      </w:r>
      <w:r w:rsidR="009833BE" w:rsidRPr="008B619A">
        <w:rPr>
          <w:rFonts w:hint="eastAsia"/>
          <w:b/>
          <w:color w:val="000000" w:themeColor="text1"/>
        </w:rPr>
        <w:t>依學門領域別而有不同</w:t>
      </w:r>
      <w:r w:rsidR="00C91F56" w:rsidRPr="008B619A">
        <w:rPr>
          <w:rFonts w:hint="eastAsia"/>
          <w:b/>
          <w:color w:val="000000" w:themeColor="text1"/>
        </w:rPr>
        <w:t>未充分就業情形</w:t>
      </w:r>
      <w:r w:rsidR="009833BE" w:rsidRPr="008B619A">
        <w:rPr>
          <w:rFonts w:hint="eastAsia"/>
          <w:b/>
          <w:color w:val="000000" w:themeColor="text1"/>
        </w:rPr>
        <w:t>之</w:t>
      </w:r>
      <w:r w:rsidR="00B54EE0" w:rsidRPr="008B619A">
        <w:rPr>
          <w:rFonts w:hint="eastAsia"/>
          <w:b/>
          <w:color w:val="000000" w:themeColor="text1"/>
        </w:rPr>
        <w:t>挑戰，</w:t>
      </w:r>
      <w:r w:rsidR="009430A5" w:rsidRPr="008B619A">
        <w:rPr>
          <w:rFonts w:hint="eastAsia"/>
          <w:b/>
          <w:color w:val="000000" w:themeColor="text1"/>
        </w:rPr>
        <w:t>亞洲以日本及新加坡為例，亦分別</w:t>
      </w:r>
      <w:r w:rsidR="00B54EE0" w:rsidRPr="008B619A">
        <w:rPr>
          <w:rFonts w:hint="eastAsia"/>
          <w:b/>
          <w:color w:val="000000" w:themeColor="text1"/>
        </w:rPr>
        <w:t>透過國家</w:t>
      </w:r>
      <w:r w:rsidR="009430A5" w:rsidRPr="008B619A">
        <w:rPr>
          <w:rFonts w:hint="eastAsia"/>
          <w:b/>
          <w:color w:val="000000" w:themeColor="text1"/>
        </w:rPr>
        <w:t>資源強力</w:t>
      </w:r>
      <w:r w:rsidR="00B54EE0" w:rsidRPr="008B619A">
        <w:rPr>
          <w:rFonts w:hint="eastAsia"/>
          <w:b/>
          <w:color w:val="000000" w:themeColor="text1"/>
        </w:rPr>
        <w:t>挹注</w:t>
      </w:r>
      <w:r w:rsidR="002F0B2A" w:rsidRPr="008B619A">
        <w:rPr>
          <w:rFonts w:hint="eastAsia"/>
          <w:b/>
          <w:color w:val="000000" w:themeColor="text1"/>
        </w:rPr>
        <w:t>於提升高階人才之</w:t>
      </w:r>
      <w:r w:rsidR="00A11A7B" w:rsidRPr="008B619A">
        <w:rPr>
          <w:rFonts w:hint="eastAsia"/>
          <w:b/>
          <w:color w:val="000000" w:themeColor="text1"/>
        </w:rPr>
        <w:t>就學及就</w:t>
      </w:r>
      <w:r w:rsidR="00A11A7B" w:rsidRPr="008B619A">
        <w:rPr>
          <w:rFonts w:hint="eastAsia"/>
          <w:b/>
          <w:color w:val="000000" w:themeColor="text1"/>
        </w:rPr>
        <w:lastRenderedPageBreak/>
        <w:t>業</w:t>
      </w:r>
      <w:r w:rsidR="002F5BA0" w:rsidRPr="008B619A">
        <w:rPr>
          <w:rFonts w:hint="eastAsia"/>
          <w:b/>
          <w:color w:val="000000" w:themeColor="text1"/>
        </w:rPr>
        <w:t>，並力求相關數據分析及資訊透明；</w:t>
      </w:r>
      <w:r w:rsidR="00163C0C" w:rsidRPr="008B619A">
        <w:rPr>
          <w:rFonts w:hint="eastAsia"/>
          <w:b/>
          <w:color w:val="000000" w:themeColor="text1"/>
        </w:rPr>
        <w:t>值此之際，</w:t>
      </w:r>
      <w:r w:rsidR="00C0297E" w:rsidRPr="008B619A">
        <w:rPr>
          <w:rFonts w:hint="eastAsia"/>
          <w:b/>
          <w:color w:val="000000" w:themeColor="text1"/>
        </w:rPr>
        <w:t>我國亦</w:t>
      </w:r>
      <w:r w:rsidR="00F961F0" w:rsidRPr="008B619A">
        <w:rPr>
          <w:rFonts w:hint="eastAsia"/>
          <w:b/>
          <w:color w:val="000000" w:themeColor="text1"/>
        </w:rPr>
        <w:t>刻正</w:t>
      </w:r>
      <w:r w:rsidR="00631B3E" w:rsidRPr="008B619A">
        <w:rPr>
          <w:rFonts w:hint="eastAsia"/>
          <w:b/>
          <w:color w:val="000000" w:themeColor="text1"/>
        </w:rPr>
        <w:t>持續配合產業與國家政策，</w:t>
      </w:r>
      <w:r w:rsidR="006B1013" w:rsidRPr="008B619A">
        <w:rPr>
          <w:rFonts w:hint="eastAsia"/>
          <w:b/>
          <w:color w:val="000000" w:themeColor="text1"/>
        </w:rPr>
        <w:t>推動</w:t>
      </w:r>
      <w:r w:rsidR="00631B3E" w:rsidRPr="008B619A">
        <w:rPr>
          <w:rFonts w:hint="eastAsia"/>
          <w:b/>
          <w:color w:val="000000" w:themeColor="text1"/>
        </w:rPr>
        <w:t>各項</w:t>
      </w:r>
      <w:r w:rsidR="006B1013" w:rsidRPr="008B619A">
        <w:rPr>
          <w:rFonts w:hint="eastAsia"/>
          <w:b/>
          <w:color w:val="000000" w:themeColor="text1"/>
        </w:rPr>
        <w:t>博士學研人才培育及就業之措施，惟</w:t>
      </w:r>
      <w:r w:rsidR="005914AC" w:rsidRPr="008B619A">
        <w:rPr>
          <w:rFonts w:hint="eastAsia"/>
          <w:b/>
          <w:color w:val="000000" w:themeColor="text1"/>
        </w:rPr>
        <w:t>宜</w:t>
      </w:r>
      <w:r w:rsidR="006B1013" w:rsidRPr="008B619A">
        <w:rPr>
          <w:rFonts w:hint="eastAsia"/>
          <w:b/>
          <w:color w:val="000000" w:themeColor="text1"/>
        </w:rPr>
        <w:t>再</w:t>
      </w:r>
      <w:r w:rsidR="006B1092" w:rsidRPr="008B619A">
        <w:rPr>
          <w:rFonts w:hint="eastAsia"/>
          <w:b/>
          <w:color w:val="000000" w:themeColor="text1"/>
        </w:rPr>
        <w:t>參酌擷取部分先進國家之發展經驗及特色，</w:t>
      </w:r>
      <w:r w:rsidR="001759FA" w:rsidRPr="008B619A">
        <w:rPr>
          <w:rFonts w:hint="eastAsia"/>
          <w:b/>
          <w:color w:val="000000" w:themeColor="text1"/>
        </w:rPr>
        <w:t>強化高階人才對接力道，</w:t>
      </w:r>
      <w:r w:rsidR="006B1092" w:rsidRPr="008B619A">
        <w:rPr>
          <w:rFonts w:hint="eastAsia"/>
          <w:b/>
          <w:color w:val="000000" w:themeColor="text1"/>
        </w:rPr>
        <w:t>如</w:t>
      </w:r>
      <w:r w:rsidR="008937F3" w:rsidRPr="008B619A">
        <w:rPr>
          <w:rFonts w:hint="eastAsia"/>
          <w:b/>
          <w:color w:val="000000" w:themeColor="text1"/>
        </w:rPr>
        <w:t>檢討</w:t>
      </w:r>
      <w:r w:rsidR="00B44E13" w:rsidRPr="008B619A">
        <w:rPr>
          <w:rFonts w:hint="eastAsia"/>
          <w:b/>
          <w:color w:val="000000" w:themeColor="text1"/>
        </w:rPr>
        <w:t>教育經費</w:t>
      </w:r>
      <w:r w:rsidR="008937F3" w:rsidRPr="008B619A">
        <w:rPr>
          <w:rFonts w:hint="eastAsia"/>
          <w:b/>
          <w:color w:val="000000" w:themeColor="text1"/>
        </w:rPr>
        <w:t>投入及配置</w:t>
      </w:r>
      <w:r w:rsidR="009068C1" w:rsidRPr="008B619A">
        <w:rPr>
          <w:rFonts w:hAnsi="標楷體" w:hint="eastAsia"/>
          <w:b/>
          <w:color w:val="000000" w:themeColor="text1"/>
        </w:rPr>
        <w:t>、</w:t>
      </w:r>
      <w:r w:rsidR="00631B3E" w:rsidRPr="008B619A">
        <w:rPr>
          <w:rFonts w:hint="eastAsia"/>
          <w:b/>
          <w:color w:val="000000" w:themeColor="text1"/>
        </w:rPr>
        <w:t>整合</w:t>
      </w:r>
      <w:r w:rsidR="006B1092" w:rsidRPr="008B619A">
        <w:rPr>
          <w:rFonts w:hint="eastAsia"/>
          <w:b/>
          <w:color w:val="000000" w:themeColor="text1"/>
        </w:rPr>
        <w:t>博士專職研究人力、提供</w:t>
      </w:r>
      <w:r w:rsidR="00302882" w:rsidRPr="008B619A">
        <w:rPr>
          <w:rFonts w:hint="eastAsia"/>
          <w:b/>
          <w:color w:val="000000" w:themeColor="text1"/>
        </w:rPr>
        <w:t>更優渥之</w:t>
      </w:r>
      <w:r w:rsidR="006B1092" w:rsidRPr="008B619A">
        <w:rPr>
          <w:rFonts w:hint="eastAsia"/>
          <w:b/>
          <w:color w:val="000000" w:themeColor="text1"/>
        </w:rPr>
        <w:t>績優或重點科學領域之博士獎學金、擴大</w:t>
      </w:r>
      <w:r w:rsidR="00302882" w:rsidRPr="008B619A">
        <w:rPr>
          <w:rFonts w:hint="eastAsia"/>
          <w:b/>
          <w:color w:val="000000" w:themeColor="text1"/>
        </w:rPr>
        <w:t>人文社會等領域之</w:t>
      </w:r>
      <w:r w:rsidR="00B11EA2" w:rsidRPr="008B619A">
        <w:rPr>
          <w:rFonts w:hint="eastAsia"/>
          <w:b/>
          <w:color w:val="000000" w:themeColor="text1"/>
        </w:rPr>
        <w:t>公費</w:t>
      </w:r>
      <w:r w:rsidR="006B1092" w:rsidRPr="008B619A">
        <w:rPr>
          <w:rFonts w:hint="eastAsia"/>
          <w:b/>
          <w:color w:val="000000" w:themeColor="text1"/>
        </w:rPr>
        <w:t>留學生獎學金政策、</w:t>
      </w:r>
      <w:r w:rsidR="00B00A27" w:rsidRPr="008B619A">
        <w:rPr>
          <w:rFonts w:hint="eastAsia"/>
          <w:b/>
          <w:color w:val="000000" w:themeColor="text1"/>
        </w:rPr>
        <w:t>鏈結</w:t>
      </w:r>
      <w:r w:rsidR="002F7FAC" w:rsidRPr="008B619A">
        <w:rPr>
          <w:rFonts w:hint="eastAsia"/>
          <w:b/>
          <w:color w:val="000000" w:themeColor="text1"/>
        </w:rPr>
        <w:t>產業</w:t>
      </w:r>
      <w:r w:rsidR="006B1092" w:rsidRPr="008B619A">
        <w:rPr>
          <w:rFonts w:hint="eastAsia"/>
          <w:b/>
          <w:color w:val="000000" w:themeColor="text1"/>
        </w:rPr>
        <w:t>合作夥伴等媒合系統、拓展與國際科技大廠或知名科研機構、</w:t>
      </w:r>
      <w:r w:rsidR="002F7FAC" w:rsidRPr="008B619A">
        <w:rPr>
          <w:rFonts w:hint="eastAsia"/>
          <w:b/>
          <w:color w:val="000000" w:themeColor="text1"/>
        </w:rPr>
        <w:t>國際知名</w:t>
      </w:r>
      <w:r w:rsidR="006B1092" w:rsidRPr="008B619A">
        <w:rPr>
          <w:rFonts w:hint="eastAsia"/>
          <w:b/>
          <w:color w:val="000000" w:themeColor="text1"/>
        </w:rPr>
        <w:t>學校之實習</w:t>
      </w:r>
      <w:r w:rsidR="002F7FAC" w:rsidRPr="008B619A">
        <w:rPr>
          <w:rFonts w:hint="eastAsia"/>
          <w:b/>
          <w:color w:val="000000" w:themeColor="text1"/>
        </w:rPr>
        <w:t>機會</w:t>
      </w:r>
      <w:r w:rsidR="006B1092" w:rsidRPr="008B619A">
        <w:rPr>
          <w:rFonts w:hint="eastAsia"/>
          <w:b/>
          <w:color w:val="000000" w:themeColor="text1"/>
        </w:rPr>
        <w:t>等，</w:t>
      </w:r>
      <w:r w:rsidR="00347E1E" w:rsidRPr="008B619A">
        <w:rPr>
          <w:rFonts w:hint="eastAsia"/>
          <w:b/>
          <w:color w:val="000000" w:themeColor="text1"/>
        </w:rPr>
        <w:t>以</w:t>
      </w:r>
      <w:r w:rsidR="00056340" w:rsidRPr="008B619A">
        <w:rPr>
          <w:rFonts w:hint="eastAsia"/>
          <w:b/>
          <w:color w:val="000000" w:themeColor="text1"/>
        </w:rPr>
        <w:t>厚植</w:t>
      </w:r>
      <w:r w:rsidR="00347E1E" w:rsidRPr="008B619A">
        <w:rPr>
          <w:rFonts w:hint="eastAsia"/>
          <w:b/>
          <w:color w:val="000000" w:themeColor="text1"/>
        </w:rPr>
        <w:t>我國優質高教環境，</w:t>
      </w:r>
      <w:r w:rsidR="00056340" w:rsidRPr="008B619A">
        <w:rPr>
          <w:rFonts w:hint="eastAsia"/>
          <w:b/>
          <w:color w:val="000000" w:themeColor="text1"/>
        </w:rPr>
        <w:t>促</w:t>
      </w:r>
      <w:r w:rsidR="00F462AE" w:rsidRPr="008B619A">
        <w:rPr>
          <w:rFonts w:hint="eastAsia"/>
          <w:b/>
          <w:color w:val="000000" w:themeColor="text1"/>
        </w:rPr>
        <w:t>使</w:t>
      </w:r>
      <w:r w:rsidR="002B373E" w:rsidRPr="008B619A">
        <w:rPr>
          <w:rFonts w:hint="eastAsia"/>
          <w:b/>
          <w:color w:val="000000" w:themeColor="text1"/>
        </w:rPr>
        <w:t>高階人才投入社會多元領域，</w:t>
      </w:r>
      <w:r w:rsidR="007D3326" w:rsidRPr="008B619A">
        <w:rPr>
          <w:rFonts w:hint="eastAsia"/>
          <w:b/>
          <w:color w:val="000000" w:themeColor="text1"/>
        </w:rPr>
        <w:t>暢通</w:t>
      </w:r>
      <w:r w:rsidR="009E61A3" w:rsidRPr="008B619A">
        <w:rPr>
          <w:rFonts w:hint="eastAsia"/>
          <w:b/>
          <w:color w:val="000000" w:themeColor="text1"/>
        </w:rPr>
        <w:t>國內外</w:t>
      </w:r>
      <w:r w:rsidR="002B373E" w:rsidRPr="008B619A">
        <w:rPr>
          <w:rFonts w:hint="eastAsia"/>
          <w:b/>
          <w:color w:val="000000" w:themeColor="text1"/>
        </w:rPr>
        <w:t>人才</w:t>
      </w:r>
      <w:r w:rsidR="00AF53D9" w:rsidRPr="008B619A">
        <w:rPr>
          <w:rFonts w:hint="eastAsia"/>
          <w:b/>
          <w:color w:val="000000" w:themeColor="text1"/>
        </w:rPr>
        <w:t>良性</w:t>
      </w:r>
      <w:r w:rsidR="002B373E" w:rsidRPr="008B619A">
        <w:rPr>
          <w:rFonts w:hint="eastAsia"/>
          <w:b/>
          <w:color w:val="000000" w:themeColor="text1"/>
        </w:rPr>
        <w:t>流</w:t>
      </w:r>
      <w:r w:rsidR="008B0DD4" w:rsidRPr="008B619A">
        <w:rPr>
          <w:rFonts w:hint="eastAsia"/>
          <w:b/>
          <w:color w:val="000000" w:themeColor="text1"/>
        </w:rPr>
        <w:t>動</w:t>
      </w:r>
      <w:r w:rsidR="002B373E" w:rsidRPr="008B619A">
        <w:rPr>
          <w:rFonts w:hint="eastAsia"/>
          <w:b/>
          <w:color w:val="000000" w:themeColor="text1"/>
        </w:rPr>
        <w:t>機制，</w:t>
      </w:r>
      <w:r w:rsidR="00327E93" w:rsidRPr="008B619A">
        <w:rPr>
          <w:rFonts w:hint="eastAsia"/>
          <w:b/>
          <w:color w:val="000000" w:themeColor="text1"/>
        </w:rPr>
        <w:t>以</w:t>
      </w:r>
      <w:r w:rsidR="002B373E" w:rsidRPr="008B619A">
        <w:rPr>
          <w:rFonts w:hint="eastAsia"/>
          <w:b/>
          <w:color w:val="000000" w:themeColor="text1"/>
        </w:rPr>
        <w:t>完善</w:t>
      </w:r>
      <w:r w:rsidR="00312B93" w:rsidRPr="008B619A">
        <w:rPr>
          <w:rFonts w:hint="eastAsia"/>
          <w:b/>
          <w:color w:val="000000" w:themeColor="text1"/>
        </w:rPr>
        <w:t>博士</w:t>
      </w:r>
      <w:r w:rsidR="00327E93" w:rsidRPr="008B619A">
        <w:rPr>
          <w:rFonts w:hint="eastAsia"/>
          <w:b/>
          <w:color w:val="000000" w:themeColor="text1"/>
        </w:rPr>
        <w:t>人才及</w:t>
      </w:r>
      <w:r w:rsidR="00D16318" w:rsidRPr="008B619A">
        <w:rPr>
          <w:rFonts w:hint="eastAsia"/>
          <w:b/>
          <w:color w:val="000000" w:themeColor="text1"/>
        </w:rPr>
        <w:t>產業結構</w:t>
      </w:r>
      <w:r w:rsidR="00327E93" w:rsidRPr="008B619A">
        <w:rPr>
          <w:rFonts w:hint="eastAsia"/>
          <w:b/>
          <w:color w:val="000000" w:themeColor="text1"/>
        </w:rPr>
        <w:t>之</w:t>
      </w:r>
      <w:r w:rsidR="00D16318" w:rsidRPr="008B619A">
        <w:rPr>
          <w:rFonts w:hint="eastAsia"/>
          <w:b/>
          <w:color w:val="000000" w:themeColor="text1"/>
        </w:rPr>
        <w:t>發展</w:t>
      </w:r>
      <w:r w:rsidR="00327E93" w:rsidRPr="008B619A">
        <w:rPr>
          <w:rFonts w:hint="eastAsia"/>
          <w:b/>
          <w:color w:val="000000" w:themeColor="text1"/>
        </w:rPr>
        <w:t>循環</w:t>
      </w:r>
      <w:r w:rsidR="00D16318" w:rsidRPr="008B619A">
        <w:rPr>
          <w:rFonts w:hint="eastAsia"/>
          <w:b/>
          <w:color w:val="000000" w:themeColor="text1"/>
        </w:rPr>
        <w:t>，提升整體國家競爭力</w:t>
      </w:r>
      <w:bookmarkEnd w:id="87"/>
    </w:p>
    <w:p w14:paraId="5853FB7E" w14:textId="39C668A4" w:rsidR="00DC701B" w:rsidRPr="008B619A" w:rsidRDefault="00DC701B" w:rsidP="000140A2">
      <w:pPr>
        <w:pStyle w:val="3"/>
        <w:rPr>
          <w:color w:val="000000" w:themeColor="text1"/>
        </w:rPr>
      </w:pPr>
      <w:r w:rsidRPr="008B619A">
        <w:rPr>
          <w:color w:val="000000" w:themeColor="text1"/>
        </w:rPr>
        <w:t>根據</w:t>
      </w:r>
      <w:r w:rsidR="000A1B19" w:rsidRPr="008B619A">
        <w:rPr>
          <w:color w:val="000000" w:themeColor="text1"/>
        </w:rPr>
        <w:t>全球高等教育國際學生流動概況</w:t>
      </w:r>
      <w:r w:rsidR="00865C42" w:rsidRPr="008B619A">
        <w:rPr>
          <w:rStyle w:val="aff1"/>
          <w:color w:val="000000" w:themeColor="text1"/>
        </w:rPr>
        <w:footnoteReference w:id="65"/>
      </w:r>
      <w:r w:rsidR="008349B0" w:rsidRPr="008B619A">
        <w:rPr>
          <w:rFonts w:hint="eastAsia"/>
          <w:color w:val="000000" w:themeColor="text1"/>
        </w:rPr>
        <w:t>，</w:t>
      </w:r>
      <w:r w:rsidR="002012AC" w:rsidRPr="008B619A">
        <w:rPr>
          <w:color w:val="000000" w:themeColor="text1"/>
        </w:rPr>
        <w:t>2000年全球高等教育國際學生計217萬人，2007年突破300萬人，5年後已超過400萬人，至2016年更高達485萬人，16年來增加268萬人，成長1.2倍。</w:t>
      </w:r>
      <w:r w:rsidR="000A1B19" w:rsidRPr="008B619A">
        <w:rPr>
          <w:rFonts w:hint="eastAsia"/>
          <w:color w:val="000000" w:themeColor="text1"/>
        </w:rPr>
        <w:t>再依</w:t>
      </w:r>
      <w:r w:rsidRPr="008B619A">
        <w:rPr>
          <w:rFonts w:ascii="Times New Roman" w:hAnsi="Times New Roman"/>
          <w:bCs w:val="0"/>
          <w:color w:val="000000" w:themeColor="text1"/>
        </w:rPr>
        <w:t>UNESCO</w:t>
      </w:r>
      <w:r w:rsidRPr="008B619A">
        <w:rPr>
          <w:color w:val="000000" w:themeColor="text1"/>
        </w:rPr>
        <w:t>統計</w:t>
      </w:r>
      <w:r w:rsidR="00FB3658" w:rsidRPr="008B619A">
        <w:rPr>
          <w:rStyle w:val="aff1"/>
          <w:color w:val="000000" w:themeColor="text1"/>
        </w:rPr>
        <w:footnoteReference w:id="66"/>
      </w:r>
      <w:r w:rsidRPr="008B619A">
        <w:rPr>
          <w:color w:val="000000" w:themeColor="text1"/>
        </w:rPr>
        <w:t>，2016年全球就讀高等教育學位之國際學生人數已高達485萬人，其中美國占近</w:t>
      </w:r>
      <w:r w:rsidR="00080392" w:rsidRPr="008B619A">
        <w:rPr>
          <w:rFonts w:hint="eastAsia"/>
          <w:color w:val="000000" w:themeColor="text1"/>
        </w:rPr>
        <w:t>2</w:t>
      </w:r>
      <w:r w:rsidRPr="008B619A">
        <w:rPr>
          <w:color w:val="000000" w:themeColor="text1"/>
        </w:rPr>
        <w:t>成，磁吸力居各國之冠。另由美國國際教育協會</w:t>
      </w:r>
      <w:r w:rsidR="002F5AF5" w:rsidRPr="008B619A">
        <w:rPr>
          <w:rFonts w:ascii="Times New Roman" w:hAnsi="Times New Roman" w:hint="eastAsia"/>
          <w:bCs w:val="0"/>
          <w:color w:val="000000" w:themeColor="text1"/>
        </w:rPr>
        <w:t>（</w:t>
      </w:r>
      <w:r w:rsidRPr="008B619A">
        <w:rPr>
          <w:rFonts w:ascii="Times New Roman" w:hAnsi="Times New Roman"/>
          <w:bCs w:val="0"/>
          <w:color w:val="000000" w:themeColor="text1"/>
        </w:rPr>
        <w:t>IIE</w:t>
      </w:r>
      <w:r w:rsidR="00B51272" w:rsidRPr="008B619A">
        <w:rPr>
          <w:rFonts w:ascii="Times New Roman" w:hAnsi="Times New Roman" w:hint="eastAsia"/>
          <w:bCs w:val="0"/>
          <w:color w:val="000000" w:themeColor="text1"/>
        </w:rPr>
        <w:t>)</w:t>
      </w:r>
      <w:r w:rsidRPr="008B619A">
        <w:rPr>
          <w:color w:val="000000" w:themeColor="text1"/>
        </w:rPr>
        <w:t>2018年資料亦顯示，美國的國際學生數</w:t>
      </w:r>
      <w:r w:rsidR="002F5AF5" w:rsidRPr="008B619A">
        <w:rPr>
          <w:rFonts w:hAnsi="標楷體" w:hint="eastAsia"/>
          <w:color w:val="000000" w:themeColor="text1"/>
        </w:rPr>
        <w:t>（</w:t>
      </w:r>
      <w:r w:rsidRPr="008B619A">
        <w:rPr>
          <w:color w:val="000000" w:themeColor="text1"/>
        </w:rPr>
        <w:t>含學生簽證及交流訪問簽證</w:t>
      </w:r>
      <w:r w:rsidR="00B51272" w:rsidRPr="008B619A">
        <w:rPr>
          <w:rFonts w:hAnsi="標楷體" w:hint="eastAsia"/>
          <w:color w:val="000000" w:themeColor="text1"/>
        </w:rPr>
        <w:t>)</w:t>
      </w:r>
      <w:r w:rsidRPr="008B619A">
        <w:rPr>
          <w:color w:val="000000" w:themeColor="text1"/>
        </w:rPr>
        <w:t>已於2015</w:t>
      </w:r>
      <w:r w:rsidR="00A62630" w:rsidRPr="008B619A">
        <w:rPr>
          <w:rFonts w:hint="eastAsia"/>
          <w:color w:val="000000" w:themeColor="text1"/>
        </w:rPr>
        <w:t>/</w:t>
      </w:r>
      <w:r w:rsidRPr="008B619A">
        <w:rPr>
          <w:color w:val="000000" w:themeColor="text1"/>
        </w:rPr>
        <w:t>16學年突破百萬人，</w:t>
      </w:r>
      <w:r w:rsidR="00250BF7" w:rsidRPr="008B619A">
        <w:rPr>
          <w:color w:val="000000" w:themeColor="text1"/>
        </w:rPr>
        <w:t>2017</w:t>
      </w:r>
      <w:r w:rsidR="00250BF7" w:rsidRPr="008B619A">
        <w:rPr>
          <w:rFonts w:hint="eastAsia"/>
          <w:color w:val="000000" w:themeColor="text1"/>
        </w:rPr>
        <w:t>/</w:t>
      </w:r>
      <w:r w:rsidR="00250BF7" w:rsidRPr="008B619A">
        <w:rPr>
          <w:color w:val="000000" w:themeColor="text1"/>
        </w:rPr>
        <w:t>18學年續增至109.5萬人，年增1.6萬人或1.5%，並為2008</w:t>
      </w:r>
      <w:r w:rsidR="00250BF7" w:rsidRPr="008B619A">
        <w:rPr>
          <w:rFonts w:hint="eastAsia"/>
          <w:color w:val="000000" w:themeColor="text1"/>
        </w:rPr>
        <w:t>/</w:t>
      </w:r>
      <w:r w:rsidR="00250BF7" w:rsidRPr="008B619A">
        <w:rPr>
          <w:color w:val="000000" w:themeColor="text1"/>
        </w:rPr>
        <w:t>09學年之1.6倍；而來自我國之國際學生數則由2008</w:t>
      </w:r>
      <w:r w:rsidR="00250BF7" w:rsidRPr="008B619A">
        <w:rPr>
          <w:rFonts w:hint="eastAsia"/>
          <w:color w:val="000000" w:themeColor="text1"/>
        </w:rPr>
        <w:t>/</w:t>
      </w:r>
      <w:r w:rsidR="00250BF7" w:rsidRPr="008B619A">
        <w:rPr>
          <w:color w:val="000000" w:themeColor="text1"/>
        </w:rPr>
        <w:t>09學年2.8萬人持續下滑至2014</w:t>
      </w:r>
      <w:r w:rsidR="00250BF7" w:rsidRPr="008B619A">
        <w:rPr>
          <w:rFonts w:hint="eastAsia"/>
          <w:color w:val="000000" w:themeColor="text1"/>
        </w:rPr>
        <w:t>/</w:t>
      </w:r>
      <w:r w:rsidR="00250BF7" w:rsidRPr="008B619A">
        <w:rPr>
          <w:color w:val="000000" w:themeColor="text1"/>
        </w:rPr>
        <w:t>15學年</w:t>
      </w:r>
      <w:r w:rsidR="00250BF7" w:rsidRPr="008B619A">
        <w:rPr>
          <w:color w:val="000000" w:themeColor="text1"/>
        </w:rPr>
        <w:lastRenderedPageBreak/>
        <w:t>2.1萬人，</w:t>
      </w:r>
      <w:r w:rsidRPr="008B619A">
        <w:rPr>
          <w:color w:val="000000" w:themeColor="text1"/>
        </w:rPr>
        <w:t>再反轉回升至</w:t>
      </w:r>
      <w:r w:rsidR="0070657D" w:rsidRPr="008B619A">
        <w:rPr>
          <w:color w:val="000000" w:themeColor="text1"/>
        </w:rPr>
        <w:t>2017</w:t>
      </w:r>
      <w:r w:rsidR="0070657D" w:rsidRPr="008B619A">
        <w:rPr>
          <w:rFonts w:hint="eastAsia"/>
          <w:color w:val="000000" w:themeColor="text1"/>
        </w:rPr>
        <w:t>/</w:t>
      </w:r>
      <w:r w:rsidR="0070657D" w:rsidRPr="008B619A">
        <w:rPr>
          <w:color w:val="000000" w:themeColor="text1"/>
        </w:rPr>
        <w:t>18學年2.2萬人</w:t>
      </w:r>
      <w:r w:rsidRPr="008B619A">
        <w:rPr>
          <w:color w:val="000000" w:themeColor="text1"/>
        </w:rPr>
        <w:t>，累計10年間來自我國學生數雖減少5,611人或減</w:t>
      </w:r>
      <w:r w:rsidR="00F50692" w:rsidRPr="008B619A">
        <w:rPr>
          <w:rFonts w:hint="eastAsia"/>
          <w:color w:val="000000" w:themeColor="text1"/>
        </w:rPr>
        <w:t>2</w:t>
      </w:r>
      <w:r w:rsidRPr="008B619A">
        <w:rPr>
          <w:color w:val="000000" w:themeColor="text1"/>
        </w:rPr>
        <w:t>成，占比亦減少2.1個百分點，惟已連續第4年為美國國際學生之第7大來源國。</w:t>
      </w:r>
      <w:r w:rsidR="00A11226" w:rsidRPr="008B619A">
        <w:rPr>
          <w:rFonts w:hint="eastAsia"/>
          <w:color w:val="000000" w:themeColor="text1"/>
        </w:rPr>
        <w:t>且觀察</w:t>
      </w:r>
      <w:r w:rsidR="00A11226" w:rsidRPr="008B619A">
        <w:rPr>
          <w:color w:val="000000" w:themeColor="text1"/>
        </w:rPr>
        <w:t>美國</w:t>
      </w:r>
      <w:r w:rsidR="0070657D" w:rsidRPr="008B619A">
        <w:rPr>
          <w:color w:val="000000" w:themeColor="text1"/>
        </w:rPr>
        <w:t>2017</w:t>
      </w:r>
      <w:r w:rsidR="0070657D" w:rsidRPr="008B619A">
        <w:rPr>
          <w:rFonts w:hint="eastAsia"/>
          <w:color w:val="000000" w:themeColor="text1"/>
        </w:rPr>
        <w:t>/</w:t>
      </w:r>
      <w:r w:rsidR="0070657D" w:rsidRPr="008B619A">
        <w:rPr>
          <w:color w:val="000000" w:themeColor="text1"/>
        </w:rPr>
        <w:t>18學年</w:t>
      </w:r>
      <w:r w:rsidR="00A11226" w:rsidRPr="008B619A">
        <w:rPr>
          <w:color w:val="000000" w:themeColor="text1"/>
        </w:rPr>
        <w:t>來自我國之國際學生就讀結構，以攻讀研究所者占41.1%最多</w:t>
      </w:r>
      <w:r w:rsidR="006377C3" w:rsidRPr="008B619A">
        <w:rPr>
          <w:rFonts w:hint="eastAsia"/>
          <w:color w:val="000000" w:themeColor="text1"/>
        </w:rPr>
        <w:t>，</w:t>
      </w:r>
      <w:r w:rsidR="005D7FC0" w:rsidRPr="008B619A">
        <w:rPr>
          <w:rFonts w:hint="eastAsia"/>
          <w:color w:val="000000" w:themeColor="text1"/>
        </w:rPr>
        <w:t>其中又</w:t>
      </w:r>
      <w:r w:rsidR="006377C3" w:rsidRPr="008B619A">
        <w:rPr>
          <w:rFonts w:hint="eastAsia"/>
          <w:color w:val="000000" w:themeColor="text1"/>
        </w:rPr>
        <w:t>以</w:t>
      </w:r>
      <w:r w:rsidR="006377C3" w:rsidRPr="008B619A">
        <w:rPr>
          <w:rFonts w:ascii="Times New Roman" w:hAnsi="Times New Roman"/>
          <w:bCs w:val="0"/>
          <w:color w:val="000000" w:themeColor="text1"/>
        </w:rPr>
        <w:t>STEM</w:t>
      </w:r>
      <w:r w:rsidR="006377C3" w:rsidRPr="008B619A">
        <w:rPr>
          <w:rFonts w:hint="eastAsia"/>
          <w:color w:val="000000" w:themeColor="text1"/>
        </w:rPr>
        <w:t>領域</w:t>
      </w:r>
      <w:r w:rsidR="00744F70" w:rsidRPr="008B619A">
        <w:rPr>
          <w:rFonts w:hAnsi="標楷體" w:hint="eastAsia"/>
          <w:color w:val="000000" w:themeColor="text1"/>
        </w:rPr>
        <w:t>（</w:t>
      </w:r>
      <w:r w:rsidR="00744F70" w:rsidRPr="008B619A">
        <w:rPr>
          <w:color w:val="000000" w:themeColor="text1"/>
        </w:rPr>
        <w:t>包含「工程」、「衛生專業」、「數學及電腦科學」及「物理及生命科學」</w:t>
      </w:r>
      <w:r w:rsidR="00744F70" w:rsidRPr="008B619A">
        <w:rPr>
          <w:rFonts w:hAnsi="標楷體" w:hint="eastAsia"/>
          <w:color w:val="000000" w:themeColor="text1"/>
        </w:rPr>
        <w:t>)</w:t>
      </w:r>
      <w:r w:rsidR="006377C3" w:rsidRPr="008B619A">
        <w:rPr>
          <w:rFonts w:hint="eastAsia"/>
          <w:color w:val="000000" w:themeColor="text1"/>
        </w:rPr>
        <w:t>占比</w:t>
      </w:r>
      <w:r w:rsidR="00744F70" w:rsidRPr="008B619A">
        <w:rPr>
          <w:rFonts w:hint="eastAsia"/>
          <w:color w:val="000000" w:themeColor="text1"/>
        </w:rPr>
        <w:t>42.8%</w:t>
      </w:r>
      <w:r w:rsidR="006377C3" w:rsidRPr="008B619A">
        <w:rPr>
          <w:rFonts w:hint="eastAsia"/>
          <w:color w:val="000000" w:themeColor="text1"/>
        </w:rPr>
        <w:t>較高</w:t>
      </w:r>
      <w:r w:rsidR="00A11226" w:rsidRPr="008B619A">
        <w:rPr>
          <w:color w:val="000000" w:themeColor="text1"/>
        </w:rPr>
        <w:t>，</w:t>
      </w:r>
      <w:r w:rsidR="00965201" w:rsidRPr="008B619A">
        <w:rPr>
          <w:rFonts w:hint="eastAsia"/>
          <w:color w:val="000000" w:themeColor="text1"/>
        </w:rPr>
        <w:t>顯示我國</w:t>
      </w:r>
      <w:r w:rsidR="00F66392" w:rsidRPr="008B619A">
        <w:rPr>
          <w:rFonts w:hint="eastAsia"/>
          <w:color w:val="000000" w:themeColor="text1"/>
        </w:rPr>
        <w:t>留美之</w:t>
      </w:r>
      <w:r w:rsidR="00965201" w:rsidRPr="008B619A">
        <w:rPr>
          <w:rFonts w:hint="eastAsia"/>
          <w:color w:val="000000" w:themeColor="text1"/>
        </w:rPr>
        <w:t>國際學生</w:t>
      </w:r>
      <w:r w:rsidR="006B6DF5" w:rsidRPr="008B619A">
        <w:rPr>
          <w:rFonts w:hint="eastAsia"/>
          <w:color w:val="000000" w:themeColor="text1"/>
        </w:rPr>
        <w:t>數</w:t>
      </w:r>
      <w:r w:rsidR="00246AC4" w:rsidRPr="008B619A">
        <w:rPr>
          <w:rFonts w:hint="eastAsia"/>
          <w:color w:val="000000" w:themeColor="text1"/>
        </w:rPr>
        <w:t>雖</w:t>
      </w:r>
      <w:r w:rsidR="006B6DF5" w:rsidRPr="008B619A">
        <w:rPr>
          <w:rFonts w:hint="eastAsia"/>
          <w:color w:val="000000" w:themeColor="text1"/>
        </w:rPr>
        <w:t>有下降</w:t>
      </w:r>
      <w:r w:rsidR="00246AC4" w:rsidRPr="008B619A">
        <w:rPr>
          <w:rFonts w:hint="eastAsia"/>
          <w:color w:val="000000" w:themeColor="text1"/>
        </w:rPr>
        <w:t>趨勢，惟仍</w:t>
      </w:r>
      <w:r w:rsidR="003504DC" w:rsidRPr="008B619A">
        <w:rPr>
          <w:rFonts w:hint="eastAsia"/>
          <w:color w:val="000000" w:themeColor="text1"/>
        </w:rPr>
        <w:t>屬</w:t>
      </w:r>
      <w:r w:rsidR="00246AC4" w:rsidRPr="008B619A">
        <w:rPr>
          <w:rFonts w:hint="eastAsia"/>
          <w:color w:val="000000" w:themeColor="text1"/>
        </w:rPr>
        <w:t>主要</w:t>
      </w:r>
      <w:r w:rsidR="00AB0FFE" w:rsidRPr="008B619A">
        <w:rPr>
          <w:rFonts w:hint="eastAsia"/>
          <w:color w:val="000000" w:themeColor="text1"/>
        </w:rPr>
        <w:t>留學</w:t>
      </w:r>
      <w:r w:rsidR="00246AC4" w:rsidRPr="008B619A">
        <w:rPr>
          <w:rFonts w:hint="eastAsia"/>
          <w:color w:val="000000" w:themeColor="text1"/>
        </w:rPr>
        <w:t>國之一</w:t>
      </w:r>
      <w:r w:rsidR="00640604" w:rsidRPr="008B619A">
        <w:rPr>
          <w:rFonts w:hint="eastAsia"/>
          <w:color w:val="000000" w:themeColor="text1"/>
        </w:rPr>
        <w:t>，</w:t>
      </w:r>
      <w:r w:rsidR="00C55786" w:rsidRPr="008B619A">
        <w:rPr>
          <w:rFonts w:hint="eastAsia"/>
          <w:color w:val="000000" w:themeColor="text1"/>
        </w:rPr>
        <w:t>是</w:t>
      </w:r>
      <w:r w:rsidR="00640604" w:rsidRPr="008B619A">
        <w:rPr>
          <w:rFonts w:hint="eastAsia"/>
          <w:color w:val="000000" w:themeColor="text1"/>
        </w:rPr>
        <w:t>針對國際相關高階人才培育之狀況及策略，殊值</w:t>
      </w:r>
      <w:r w:rsidR="00495AD7" w:rsidRPr="008B619A">
        <w:rPr>
          <w:rFonts w:hint="eastAsia"/>
          <w:color w:val="000000" w:themeColor="text1"/>
        </w:rPr>
        <w:t>深入</w:t>
      </w:r>
      <w:r w:rsidR="00640604" w:rsidRPr="008B619A">
        <w:rPr>
          <w:rFonts w:hint="eastAsia"/>
          <w:color w:val="000000" w:themeColor="text1"/>
        </w:rPr>
        <w:t>探討</w:t>
      </w:r>
      <w:r w:rsidR="00424907" w:rsidRPr="008B619A">
        <w:rPr>
          <w:rFonts w:hint="eastAsia"/>
          <w:color w:val="000000" w:themeColor="text1"/>
        </w:rPr>
        <w:t>。</w:t>
      </w:r>
    </w:p>
    <w:p w14:paraId="49056084" w14:textId="4D8CC021" w:rsidR="00677FC7" w:rsidRPr="008B619A" w:rsidRDefault="00677FC7" w:rsidP="00677FC7">
      <w:pPr>
        <w:jc w:val="center"/>
        <w:rPr>
          <w:color w:val="000000" w:themeColor="text1"/>
        </w:rPr>
      </w:pPr>
      <w:r w:rsidRPr="008B619A">
        <w:rPr>
          <w:noProof/>
          <w:color w:val="000000" w:themeColor="text1"/>
        </w:rPr>
        <w:drawing>
          <wp:inline distT="0" distB="0" distL="0" distR="0" wp14:anchorId="3985FEBE" wp14:editId="0C3879F0">
            <wp:extent cx="4633246" cy="2779411"/>
            <wp:effectExtent l="0" t="0" r="0" b="1905"/>
            <wp:docPr id="24" name="圖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33872" t="26569" r="19587" b="23799"/>
                    <a:stretch/>
                  </pic:blipFill>
                  <pic:spPr bwMode="auto">
                    <a:xfrm>
                      <a:off x="0" y="0"/>
                      <a:ext cx="4661875" cy="2796585"/>
                    </a:xfrm>
                    <a:prstGeom prst="rect">
                      <a:avLst/>
                    </a:prstGeom>
                    <a:ln>
                      <a:noFill/>
                    </a:ln>
                    <a:extLst>
                      <a:ext uri="{53640926-AAD7-44D8-BBD7-CCE9431645EC}">
                        <a14:shadowObscured xmlns:a14="http://schemas.microsoft.com/office/drawing/2010/main"/>
                      </a:ext>
                    </a:extLst>
                  </pic:spPr>
                </pic:pic>
              </a:graphicData>
            </a:graphic>
          </wp:inline>
        </w:drawing>
      </w:r>
    </w:p>
    <w:p w14:paraId="265E88D0" w14:textId="3FA268E2" w:rsidR="00FF7C5F" w:rsidRPr="008B619A" w:rsidRDefault="00FF7C5F" w:rsidP="00FF7C5F">
      <w:pPr>
        <w:pStyle w:val="a1"/>
        <w:spacing w:after="120"/>
        <w:ind w:left="482" w:hanging="482"/>
        <w:rPr>
          <w:b/>
          <w:bCs w:val="0"/>
          <w:color w:val="000000" w:themeColor="text1"/>
        </w:rPr>
      </w:pPr>
      <w:r w:rsidRPr="008B619A">
        <w:rPr>
          <w:rFonts w:ascii="Helvetica" w:hAnsi="Helvetica" w:cs="Helvetica" w:hint="eastAsia"/>
          <w:b/>
          <w:bCs w:val="0"/>
          <w:color w:val="000000" w:themeColor="text1"/>
          <w:sz w:val="30"/>
          <w:szCs w:val="30"/>
        </w:rPr>
        <w:t>國人在美取得博士學位人數</w:t>
      </w:r>
      <w:r w:rsidR="00536906" w:rsidRPr="008B619A">
        <w:rPr>
          <w:rFonts w:hAnsi="標楷體" w:cs="Helvetica" w:hint="eastAsia"/>
          <w:b/>
          <w:bCs w:val="0"/>
          <w:color w:val="000000" w:themeColor="text1"/>
          <w:sz w:val="30"/>
          <w:szCs w:val="30"/>
        </w:rPr>
        <w:t>（</w:t>
      </w:r>
      <w:r w:rsidR="00151F26" w:rsidRPr="008B619A">
        <w:rPr>
          <w:rFonts w:hAnsi="標楷體" w:cs="Helvetica" w:hint="eastAsia"/>
          <w:b/>
          <w:bCs w:val="0"/>
          <w:color w:val="000000" w:themeColor="text1"/>
          <w:sz w:val="30"/>
          <w:szCs w:val="30"/>
        </w:rPr>
        <w:t>2003-20</w:t>
      </w:r>
      <w:r w:rsidR="00D33560" w:rsidRPr="008B619A">
        <w:rPr>
          <w:rFonts w:hAnsi="標楷體" w:cs="Helvetica" w:hint="eastAsia"/>
          <w:b/>
          <w:bCs w:val="0"/>
          <w:color w:val="000000" w:themeColor="text1"/>
          <w:sz w:val="30"/>
          <w:szCs w:val="30"/>
        </w:rPr>
        <w:t>1</w:t>
      </w:r>
      <w:r w:rsidR="00151F26" w:rsidRPr="008B619A">
        <w:rPr>
          <w:rFonts w:hAnsi="標楷體" w:cs="Helvetica" w:hint="eastAsia"/>
          <w:b/>
          <w:bCs w:val="0"/>
          <w:color w:val="000000" w:themeColor="text1"/>
          <w:sz w:val="30"/>
          <w:szCs w:val="30"/>
        </w:rPr>
        <w:t>8</w:t>
      </w:r>
      <w:r w:rsidR="00536906" w:rsidRPr="008B619A">
        <w:rPr>
          <w:rFonts w:hAnsi="標楷體" w:cs="Helvetica" w:hint="eastAsia"/>
          <w:b/>
          <w:bCs w:val="0"/>
          <w:color w:val="000000" w:themeColor="text1"/>
          <w:sz w:val="30"/>
          <w:szCs w:val="30"/>
        </w:rPr>
        <w:t>）</w:t>
      </w:r>
    </w:p>
    <w:p w14:paraId="443D5215" w14:textId="0507A703" w:rsidR="00FA0E4F" w:rsidRPr="008B619A" w:rsidRDefault="00FA0E4F" w:rsidP="003921BD">
      <w:pPr>
        <w:spacing w:afterLines="50" w:after="228" w:line="240" w:lineRule="exact"/>
        <w:rPr>
          <w:color w:val="000000" w:themeColor="text1"/>
          <w:sz w:val="24"/>
          <w:szCs w:val="24"/>
        </w:rPr>
      </w:pPr>
      <w:r w:rsidRPr="008B619A">
        <w:rPr>
          <w:rFonts w:hint="eastAsia"/>
          <w:color w:val="000000" w:themeColor="text1"/>
          <w:sz w:val="24"/>
          <w:szCs w:val="24"/>
        </w:rPr>
        <w:t>資料來源：</w:t>
      </w:r>
      <w:r w:rsidR="00071914" w:rsidRPr="008B619A">
        <w:rPr>
          <w:rFonts w:ascii="Times New Roman"/>
          <w:color w:val="000000" w:themeColor="text1"/>
          <w:kern w:val="32"/>
          <w:sz w:val="24"/>
          <w:szCs w:val="24"/>
        </w:rPr>
        <w:t>National Center for Science and Engineering Statistics, Survey of Earned Doctorates (NSF, 2019</w:t>
      </w:r>
      <w:r w:rsidR="00071914" w:rsidRPr="008B619A">
        <w:rPr>
          <w:rFonts w:ascii="Times New Roman"/>
          <w:color w:val="000000" w:themeColor="text1"/>
          <w:kern w:val="32"/>
          <w:sz w:val="24"/>
          <w:szCs w:val="24"/>
        </w:rPr>
        <w:t>年</w:t>
      </w:r>
      <w:r w:rsidR="00071914" w:rsidRPr="008B619A">
        <w:rPr>
          <w:rFonts w:ascii="Times New Roman"/>
          <w:color w:val="000000" w:themeColor="text1"/>
          <w:kern w:val="32"/>
          <w:sz w:val="24"/>
          <w:szCs w:val="24"/>
        </w:rPr>
        <w:t>12</w:t>
      </w:r>
      <w:r w:rsidR="00071914" w:rsidRPr="008B619A">
        <w:rPr>
          <w:rFonts w:ascii="Times New Roman"/>
          <w:color w:val="000000" w:themeColor="text1"/>
          <w:kern w:val="32"/>
          <w:sz w:val="24"/>
          <w:szCs w:val="24"/>
        </w:rPr>
        <w:t>月</w:t>
      </w:r>
      <w:r w:rsidR="00071914" w:rsidRPr="008B619A">
        <w:rPr>
          <w:rFonts w:ascii="Times New Roman"/>
          <w:color w:val="000000" w:themeColor="text1"/>
          <w:kern w:val="32"/>
          <w:sz w:val="24"/>
          <w:szCs w:val="24"/>
        </w:rPr>
        <w:t>3</w:t>
      </w:r>
      <w:r w:rsidR="00071914" w:rsidRPr="008B619A">
        <w:rPr>
          <w:rFonts w:ascii="Times New Roman"/>
          <w:color w:val="000000" w:themeColor="text1"/>
          <w:kern w:val="32"/>
          <w:sz w:val="24"/>
          <w:szCs w:val="24"/>
        </w:rPr>
        <w:t>日</w:t>
      </w:r>
      <w:r w:rsidR="00071914" w:rsidRPr="008B619A">
        <w:rPr>
          <w:rFonts w:ascii="Times New Roman"/>
          <w:color w:val="000000" w:themeColor="text1"/>
          <w:kern w:val="32"/>
          <w:sz w:val="24"/>
          <w:szCs w:val="24"/>
        </w:rPr>
        <w:t>)</w:t>
      </w:r>
      <w:r w:rsidR="00E37E1A" w:rsidRPr="008B619A">
        <w:rPr>
          <w:rFonts w:hint="eastAsia"/>
          <w:color w:val="000000" w:themeColor="text1"/>
          <w:sz w:val="24"/>
          <w:szCs w:val="24"/>
        </w:rPr>
        <w:t>；</w:t>
      </w:r>
      <w:r w:rsidR="00421315" w:rsidRPr="008B619A">
        <w:rPr>
          <w:rFonts w:hint="eastAsia"/>
          <w:color w:val="000000" w:themeColor="text1"/>
          <w:sz w:val="24"/>
          <w:szCs w:val="24"/>
        </w:rPr>
        <w:t>本院專家諮詢會議與會委員提供（民109）。</w:t>
      </w:r>
    </w:p>
    <w:p w14:paraId="19E4A746" w14:textId="4BA43873" w:rsidR="005F2D06" w:rsidRPr="008B619A" w:rsidRDefault="005F2D06" w:rsidP="005F4AB4">
      <w:pPr>
        <w:pStyle w:val="3"/>
        <w:rPr>
          <w:color w:val="000000" w:themeColor="text1"/>
        </w:rPr>
      </w:pPr>
      <w:r w:rsidRPr="008B619A">
        <w:rPr>
          <w:rFonts w:hint="eastAsia"/>
          <w:color w:val="000000" w:themeColor="text1"/>
        </w:rPr>
        <w:t>茲</w:t>
      </w:r>
      <w:r w:rsidR="00E94150" w:rsidRPr="008B619A">
        <w:rPr>
          <w:rFonts w:hint="eastAsia"/>
          <w:color w:val="000000" w:themeColor="text1"/>
        </w:rPr>
        <w:t>針對</w:t>
      </w:r>
      <w:r w:rsidRPr="008B619A">
        <w:rPr>
          <w:rFonts w:hint="eastAsia"/>
          <w:color w:val="000000" w:themeColor="text1"/>
        </w:rPr>
        <w:t>美國及英國博士</w:t>
      </w:r>
      <w:r w:rsidR="000969C4" w:rsidRPr="008B619A">
        <w:rPr>
          <w:rFonts w:hint="eastAsia"/>
          <w:color w:val="000000" w:themeColor="text1"/>
        </w:rPr>
        <w:t>人才</w:t>
      </w:r>
      <w:r w:rsidRPr="008B619A">
        <w:rPr>
          <w:rFonts w:hint="eastAsia"/>
          <w:color w:val="000000" w:themeColor="text1"/>
        </w:rPr>
        <w:t>培育及就業</w:t>
      </w:r>
      <w:r w:rsidR="000969C4" w:rsidRPr="008B619A">
        <w:rPr>
          <w:rFonts w:hint="eastAsia"/>
          <w:color w:val="000000" w:themeColor="text1"/>
        </w:rPr>
        <w:t>現況</w:t>
      </w:r>
      <w:r w:rsidR="00FC1862" w:rsidRPr="008B619A">
        <w:rPr>
          <w:rFonts w:hint="eastAsia"/>
          <w:color w:val="000000" w:themeColor="text1"/>
        </w:rPr>
        <w:t>之</w:t>
      </w:r>
      <w:r w:rsidR="00A86618" w:rsidRPr="008B619A">
        <w:rPr>
          <w:rFonts w:hint="eastAsia"/>
          <w:color w:val="000000" w:themeColor="text1"/>
        </w:rPr>
        <w:t>國際政策，</w:t>
      </w:r>
      <w:r w:rsidR="00605C77" w:rsidRPr="008B619A">
        <w:rPr>
          <w:rFonts w:hint="eastAsia"/>
          <w:color w:val="000000" w:themeColor="text1"/>
        </w:rPr>
        <w:t>教育部</w:t>
      </w:r>
      <w:r w:rsidR="003E676F" w:rsidRPr="008B619A">
        <w:rPr>
          <w:rFonts w:hint="eastAsia"/>
          <w:color w:val="000000" w:themeColor="text1"/>
        </w:rPr>
        <w:t>研究顯示美國博士就讀人數近年均呈下降趨勢，</w:t>
      </w:r>
      <w:r w:rsidR="00774811" w:rsidRPr="008B619A">
        <w:rPr>
          <w:rFonts w:hint="eastAsia"/>
          <w:color w:val="000000" w:themeColor="text1"/>
        </w:rPr>
        <w:t>存在</w:t>
      </w:r>
      <w:r w:rsidR="003E676F" w:rsidRPr="008B619A">
        <w:rPr>
          <w:rFonts w:hint="eastAsia"/>
          <w:color w:val="000000" w:themeColor="text1"/>
        </w:rPr>
        <w:t>未充分就業之情形</w:t>
      </w:r>
      <w:r w:rsidR="00D6081D" w:rsidRPr="008B619A">
        <w:rPr>
          <w:rFonts w:hint="eastAsia"/>
          <w:color w:val="000000" w:themeColor="text1"/>
        </w:rPr>
        <w:t>。而英國博士人才則無生源壓力，近年博士生</w:t>
      </w:r>
      <w:r w:rsidR="00C2217B" w:rsidRPr="008B619A">
        <w:rPr>
          <w:rFonts w:hint="eastAsia"/>
          <w:color w:val="000000" w:themeColor="text1"/>
        </w:rPr>
        <w:t>甚</w:t>
      </w:r>
      <w:r w:rsidR="00D6081D" w:rsidRPr="008B619A">
        <w:rPr>
          <w:rFonts w:hint="eastAsia"/>
          <w:color w:val="000000" w:themeColor="text1"/>
        </w:rPr>
        <w:t>有增加趨勢，</w:t>
      </w:r>
      <w:r w:rsidR="00C2217B" w:rsidRPr="008B619A">
        <w:rPr>
          <w:rFonts w:hint="eastAsia"/>
          <w:color w:val="000000" w:themeColor="text1"/>
        </w:rPr>
        <w:t>然與我國現況類似，依然存在依</w:t>
      </w:r>
      <w:r w:rsidR="001D4BE7" w:rsidRPr="008B619A">
        <w:rPr>
          <w:rFonts w:hint="eastAsia"/>
          <w:color w:val="000000" w:themeColor="text1"/>
        </w:rPr>
        <w:t>學門</w:t>
      </w:r>
      <w:r w:rsidR="00C2217B" w:rsidRPr="008B619A">
        <w:rPr>
          <w:rFonts w:hint="eastAsia"/>
          <w:color w:val="000000" w:themeColor="text1"/>
        </w:rPr>
        <w:t>領域別</w:t>
      </w:r>
      <w:r w:rsidR="001D4BE7" w:rsidRPr="008B619A">
        <w:rPr>
          <w:rFonts w:hint="eastAsia"/>
          <w:color w:val="000000" w:themeColor="text1"/>
        </w:rPr>
        <w:t>而有</w:t>
      </w:r>
      <w:r w:rsidR="00C2217B" w:rsidRPr="008B619A">
        <w:rPr>
          <w:rFonts w:hint="eastAsia"/>
          <w:color w:val="000000" w:themeColor="text1"/>
        </w:rPr>
        <w:t>不同</w:t>
      </w:r>
      <w:r w:rsidR="001D4BE7" w:rsidRPr="008B619A">
        <w:rPr>
          <w:rFonts w:hint="eastAsia"/>
          <w:color w:val="000000" w:themeColor="text1"/>
        </w:rPr>
        <w:t>未</w:t>
      </w:r>
      <w:r w:rsidR="00C2217B" w:rsidRPr="008B619A">
        <w:rPr>
          <w:rFonts w:hint="eastAsia"/>
          <w:color w:val="000000" w:themeColor="text1"/>
        </w:rPr>
        <w:t>充分就業</w:t>
      </w:r>
      <w:r w:rsidR="00C520F6" w:rsidRPr="008B619A">
        <w:rPr>
          <w:rFonts w:hint="eastAsia"/>
          <w:color w:val="000000" w:themeColor="text1"/>
        </w:rPr>
        <w:t>之</w:t>
      </w:r>
      <w:r w:rsidR="00C2217B" w:rsidRPr="008B619A">
        <w:rPr>
          <w:rFonts w:hint="eastAsia"/>
          <w:color w:val="000000" w:themeColor="text1"/>
        </w:rPr>
        <w:t>情況。茲</w:t>
      </w:r>
      <w:r w:rsidR="000969C4" w:rsidRPr="008B619A">
        <w:rPr>
          <w:rFonts w:hint="eastAsia"/>
          <w:color w:val="000000" w:themeColor="text1"/>
        </w:rPr>
        <w:t>摘要</w:t>
      </w:r>
      <w:r w:rsidR="007B7970" w:rsidRPr="008B619A">
        <w:rPr>
          <w:rFonts w:hint="eastAsia"/>
          <w:color w:val="000000" w:themeColor="text1"/>
        </w:rPr>
        <w:t>比較</w:t>
      </w:r>
      <w:r w:rsidR="0040231B" w:rsidRPr="008B619A">
        <w:rPr>
          <w:rFonts w:hint="eastAsia"/>
          <w:color w:val="000000" w:themeColor="text1"/>
        </w:rPr>
        <w:t>相關數據</w:t>
      </w:r>
      <w:r w:rsidR="007B7970" w:rsidRPr="008B619A">
        <w:rPr>
          <w:rFonts w:hint="eastAsia"/>
          <w:color w:val="000000" w:themeColor="text1"/>
        </w:rPr>
        <w:t>如后：</w:t>
      </w:r>
    </w:p>
    <w:p w14:paraId="5E2FCEAE" w14:textId="77D25880" w:rsidR="000969C4" w:rsidRPr="008B619A" w:rsidRDefault="000969C4" w:rsidP="000969C4">
      <w:pPr>
        <w:pStyle w:val="4"/>
        <w:rPr>
          <w:color w:val="000000" w:themeColor="text1"/>
        </w:rPr>
      </w:pPr>
      <w:r w:rsidRPr="008B619A">
        <w:rPr>
          <w:rFonts w:hint="eastAsia"/>
          <w:color w:val="000000" w:themeColor="text1"/>
        </w:rPr>
        <w:t>美國博士人才培育政策</w:t>
      </w:r>
      <w:r w:rsidR="00E64362" w:rsidRPr="008B619A">
        <w:rPr>
          <w:rFonts w:hAnsi="標楷體" w:hint="eastAsia"/>
          <w:color w:val="000000" w:themeColor="text1"/>
        </w:rPr>
        <w:t>、</w:t>
      </w:r>
      <w:r w:rsidR="00E64362" w:rsidRPr="008B619A">
        <w:rPr>
          <w:rFonts w:hint="eastAsia"/>
          <w:color w:val="000000" w:themeColor="text1"/>
        </w:rPr>
        <w:t>現況</w:t>
      </w:r>
      <w:r w:rsidR="00A53F07" w:rsidRPr="008B619A">
        <w:rPr>
          <w:rFonts w:hint="eastAsia"/>
          <w:color w:val="000000" w:themeColor="text1"/>
        </w:rPr>
        <w:t>及</w:t>
      </w:r>
      <w:r w:rsidR="00F73D20" w:rsidRPr="008B619A">
        <w:rPr>
          <w:rFonts w:hint="eastAsia"/>
          <w:color w:val="000000" w:themeColor="text1"/>
        </w:rPr>
        <w:t>其</w:t>
      </w:r>
      <w:r w:rsidR="00A53F07" w:rsidRPr="008B619A">
        <w:rPr>
          <w:rFonts w:hint="eastAsia"/>
          <w:color w:val="000000" w:themeColor="text1"/>
        </w:rPr>
        <w:t>就業</w:t>
      </w:r>
      <w:r w:rsidRPr="008B619A">
        <w:rPr>
          <w:rFonts w:hint="eastAsia"/>
          <w:color w:val="000000" w:themeColor="text1"/>
        </w:rPr>
        <w:t>趨勢：</w:t>
      </w:r>
    </w:p>
    <w:p w14:paraId="5901E88B" w14:textId="1E86BEEB" w:rsidR="005737B6" w:rsidRPr="008B619A" w:rsidRDefault="005737B6" w:rsidP="00D23EF6">
      <w:pPr>
        <w:pStyle w:val="5"/>
        <w:rPr>
          <w:color w:val="000000" w:themeColor="text1"/>
        </w:rPr>
      </w:pPr>
      <w:r w:rsidRPr="008B619A">
        <w:rPr>
          <w:rFonts w:hint="eastAsia"/>
          <w:color w:val="000000" w:themeColor="text1"/>
        </w:rPr>
        <w:lastRenderedPageBreak/>
        <w:t>美國高等教育制度的特色在於地方分權、學校自主與開放式的入學制度，學術自由的風氣素為美國大學的傳統。聯邦雖設有教育部，但教育政策多由各州政府訂定與執行。美國州立/公立大專院校雖由各州州政府督導並挹注部分經費，但這些院校都有獨立自主的董事會。此外，其它私立大專院校更具獨立自主權，因此聯邦政府並未統一頒布博士人才培育政策，而是由各大學依其特色及標準，自主發展出多元的博士人才培育方向</w:t>
      </w:r>
      <w:r w:rsidR="00EC2A50" w:rsidRPr="008B619A">
        <w:rPr>
          <w:rFonts w:hint="eastAsia"/>
          <w:color w:val="000000" w:themeColor="text1"/>
        </w:rPr>
        <w:t>。</w:t>
      </w:r>
    </w:p>
    <w:p w14:paraId="3256FC9D" w14:textId="2AA61645" w:rsidR="00EC2A50" w:rsidRPr="008B619A" w:rsidRDefault="00EC2A50" w:rsidP="00EC2A50">
      <w:pPr>
        <w:pStyle w:val="5"/>
        <w:rPr>
          <w:color w:val="000000" w:themeColor="text1"/>
        </w:rPr>
      </w:pPr>
      <w:r w:rsidRPr="008B619A">
        <w:rPr>
          <w:rFonts w:hint="eastAsia"/>
          <w:color w:val="000000" w:themeColor="text1"/>
        </w:rPr>
        <w:t>近年來，美國學術界對於博士人才培育亦有不少改革聲浪，依據</w:t>
      </w:r>
      <w:r w:rsidR="00B54AE9" w:rsidRPr="008B619A">
        <w:rPr>
          <w:rFonts w:hint="eastAsia"/>
          <w:color w:val="000000" w:themeColor="text1"/>
        </w:rPr>
        <w:t>2020</w:t>
      </w:r>
      <w:r w:rsidRPr="008B619A">
        <w:rPr>
          <w:rFonts w:hint="eastAsia"/>
          <w:color w:val="000000" w:themeColor="text1"/>
        </w:rPr>
        <w:t>年2月16日高等教育紀事報（</w:t>
      </w:r>
      <w:r w:rsidRPr="008B619A">
        <w:rPr>
          <w:rFonts w:ascii="Times New Roman" w:hAnsi="Times New Roman" w:hint="eastAsia"/>
          <w:bCs w:val="0"/>
          <w:color w:val="000000" w:themeColor="text1"/>
        </w:rPr>
        <w:t>The Chronicle of Higher Education)</w:t>
      </w:r>
      <w:r w:rsidRPr="008B619A">
        <w:rPr>
          <w:rFonts w:hint="eastAsia"/>
          <w:color w:val="000000" w:themeColor="text1"/>
        </w:rPr>
        <w:t>刊載《</w:t>
      </w:r>
      <w:r w:rsidRPr="008B619A">
        <w:rPr>
          <w:rFonts w:ascii="Times New Roman" w:hAnsi="Times New Roman" w:hint="eastAsia"/>
          <w:bCs w:val="0"/>
          <w:color w:val="000000" w:themeColor="text1"/>
        </w:rPr>
        <w:t>The New Ph.D.</w:t>
      </w:r>
      <w:r w:rsidRPr="008B619A">
        <w:rPr>
          <w:rFonts w:hint="eastAsia"/>
          <w:color w:val="000000" w:themeColor="text1"/>
        </w:rPr>
        <w:t>》一文指出，鑒於越來越多博士生未必會以追求終生教職為目標，渠等質疑為何須致力生產僅限學術價值的傳統論文。</w:t>
      </w:r>
      <w:r w:rsidRPr="008B619A">
        <w:rPr>
          <w:rFonts w:hint="eastAsia"/>
          <w:color w:val="000000" w:themeColor="text1"/>
        </w:rPr>
        <w:tab/>
        <w:t>響應此改革呼籲的包括設立在華府的美洲大學協會（又稱美國大學協會，</w:t>
      </w:r>
      <w:r w:rsidRPr="008B619A">
        <w:rPr>
          <w:rFonts w:ascii="Times New Roman" w:hAnsi="Times New Roman" w:hint="eastAsia"/>
          <w:bCs w:val="0"/>
          <w:color w:val="000000" w:themeColor="text1"/>
        </w:rPr>
        <w:t>Association of American Universities, AAU</w:t>
      </w:r>
      <w:r w:rsidRPr="008B619A">
        <w:rPr>
          <w:rFonts w:hint="eastAsia"/>
          <w:color w:val="000000" w:themeColor="text1"/>
        </w:rPr>
        <w:t>），AAU係由美國和加拿大65所頂尖研究型大學所組成的一個教學和研究組織，其主要宗旨是致力於維持強大的學術研究和教育體系。目前有65所學校成員，其中63所位於美國境內(包含哈佛、耶魯、哥倫比亞大學等名校)，2所位於加拿大境內。該協會發起博士教育倡議(</w:t>
      </w:r>
      <w:r w:rsidRPr="008B619A">
        <w:rPr>
          <w:rFonts w:ascii="Times New Roman" w:hAnsi="Times New Roman" w:hint="eastAsia"/>
          <w:bCs w:val="0"/>
          <w:color w:val="000000" w:themeColor="text1"/>
        </w:rPr>
        <w:t>The PhD Education Initiative</w:t>
      </w:r>
      <w:r w:rsidRPr="008B619A">
        <w:rPr>
          <w:rFonts w:hint="eastAsia"/>
          <w:color w:val="000000" w:themeColor="text1"/>
        </w:rPr>
        <w:t>)，主要訴求目標係「使全面的博士生涯能被看得見、受重視及切實可行」</w:t>
      </w:r>
      <w:r w:rsidRPr="008B619A">
        <w:rPr>
          <w:rFonts w:ascii="Times New Roman" w:hAnsi="Times New Roman" w:hint="eastAsia"/>
          <w:bCs w:val="0"/>
          <w:color w:val="000000" w:themeColor="text1"/>
        </w:rPr>
        <w:t>(</w:t>
      </w:r>
      <w:r w:rsidRPr="008B619A">
        <w:rPr>
          <w:rFonts w:ascii="Times New Roman" w:hAnsi="Times New Roman" w:hint="eastAsia"/>
          <w:bCs w:val="0"/>
          <w:color w:val="000000" w:themeColor="text1"/>
        </w:rPr>
        <w:t>“</w:t>
      </w:r>
      <w:r w:rsidRPr="008B619A">
        <w:rPr>
          <w:rFonts w:ascii="Times New Roman" w:hAnsi="Times New Roman" w:hint="eastAsia"/>
          <w:bCs w:val="0"/>
          <w:color w:val="000000" w:themeColor="text1"/>
        </w:rPr>
        <w:t>to make the full range of PhD career pathways visible, valued, and viable for all students.</w:t>
      </w:r>
      <w:r w:rsidRPr="008B619A">
        <w:rPr>
          <w:rFonts w:ascii="Times New Roman" w:hAnsi="Times New Roman" w:hint="eastAsia"/>
          <w:bCs w:val="0"/>
          <w:color w:val="000000" w:themeColor="text1"/>
        </w:rPr>
        <w:t>”</w:t>
      </w:r>
      <w:r w:rsidRPr="008B619A">
        <w:rPr>
          <w:rFonts w:ascii="Times New Roman" w:hAnsi="Times New Roman" w:hint="eastAsia"/>
          <w:bCs w:val="0"/>
          <w:color w:val="000000" w:themeColor="text1"/>
        </w:rPr>
        <w:t>)</w:t>
      </w:r>
      <w:r w:rsidRPr="008B619A">
        <w:rPr>
          <w:rFonts w:hint="eastAsia"/>
          <w:color w:val="000000" w:themeColor="text1"/>
        </w:rPr>
        <w:t>，並期透過制度改革、資料透明等策略達成此目標，此項倡議亦成為數所美</w:t>
      </w:r>
      <w:r w:rsidRPr="008B619A">
        <w:rPr>
          <w:rFonts w:hint="eastAsia"/>
          <w:color w:val="000000" w:themeColor="text1"/>
        </w:rPr>
        <w:lastRenderedPageBreak/>
        <w:t>國頂尖大學對博士培育發展的一項共識</w:t>
      </w:r>
      <w:r w:rsidR="002C0E07" w:rsidRPr="008B619A">
        <w:rPr>
          <w:rFonts w:hint="eastAsia"/>
          <w:color w:val="000000" w:themeColor="text1"/>
        </w:rPr>
        <w:t>。</w:t>
      </w:r>
    </w:p>
    <w:p w14:paraId="34B14BED" w14:textId="5678DFC9" w:rsidR="000969C4" w:rsidRPr="008B619A" w:rsidRDefault="000969C4" w:rsidP="005737B6">
      <w:pPr>
        <w:pStyle w:val="5"/>
        <w:rPr>
          <w:color w:val="000000" w:themeColor="text1"/>
        </w:rPr>
      </w:pPr>
      <w:r w:rsidRPr="008B619A">
        <w:rPr>
          <w:rFonts w:hint="eastAsia"/>
          <w:color w:val="000000" w:themeColor="text1"/>
        </w:rPr>
        <w:t>美國多習慣性將學士後課程學位（含碩士及博士）合併統計，目前尚無美國具公信力之官方機構就有關近10年博士就學人數之單項統計資料。</w:t>
      </w:r>
      <w:r w:rsidRPr="008B619A">
        <w:rPr>
          <w:rFonts w:hint="eastAsia"/>
          <w:color w:val="000000" w:themeColor="text1"/>
        </w:rPr>
        <w:tab/>
        <w:t>依據美國國家教育統計中心</w:t>
      </w:r>
      <w:r w:rsidRPr="008B619A">
        <w:rPr>
          <w:rFonts w:ascii="Times New Roman" w:hAnsi="Times New Roman"/>
          <w:bCs w:val="0"/>
          <w:color w:val="000000" w:themeColor="text1"/>
        </w:rPr>
        <w:t>（</w:t>
      </w:r>
      <w:r w:rsidRPr="008B619A">
        <w:rPr>
          <w:rFonts w:ascii="Times New Roman" w:hAnsi="Times New Roman"/>
          <w:bCs w:val="0"/>
          <w:color w:val="000000" w:themeColor="text1"/>
        </w:rPr>
        <w:t>National Center for Education Statistics)</w:t>
      </w:r>
      <w:r w:rsidRPr="008B619A">
        <w:rPr>
          <w:rFonts w:hint="eastAsia"/>
          <w:color w:val="000000" w:themeColor="text1"/>
        </w:rPr>
        <w:t>教育統計摘要顯示，美國近10年博士畢業人數由 2008-09學年的15萬4,564人減至 2017-18學年的9萬8,506人；其中女性取得博士之比例由2008-09學年的51.0%略為上升至2017-18學年的53.5%</w:t>
      </w:r>
      <w:r w:rsidR="00D9431B" w:rsidRPr="008B619A">
        <w:rPr>
          <w:rFonts w:hint="eastAsia"/>
          <w:color w:val="000000" w:themeColor="text1"/>
        </w:rPr>
        <w:t>。</w:t>
      </w:r>
    </w:p>
    <w:p w14:paraId="0ABAA130" w14:textId="2F5E7D98" w:rsidR="00BD17FC" w:rsidRPr="008B619A" w:rsidRDefault="00DF319F" w:rsidP="005F4AB4">
      <w:pPr>
        <w:pStyle w:val="5"/>
        <w:rPr>
          <w:color w:val="000000" w:themeColor="text1"/>
        </w:rPr>
      </w:pPr>
      <w:r w:rsidRPr="008B619A">
        <w:rPr>
          <w:rFonts w:hint="eastAsia"/>
          <w:color w:val="000000" w:themeColor="text1"/>
        </w:rPr>
        <w:t>美國博士就業率及未充分就業之因</w:t>
      </w:r>
      <w:r w:rsidR="00C632F8" w:rsidRPr="008B619A">
        <w:rPr>
          <w:rFonts w:hint="eastAsia"/>
          <w:color w:val="000000" w:themeColor="text1"/>
        </w:rPr>
        <w:t>：</w:t>
      </w:r>
    </w:p>
    <w:p w14:paraId="157045BF" w14:textId="77777777" w:rsidR="00687E79" w:rsidRPr="008B619A" w:rsidRDefault="00687E79" w:rsidP="00687E79">
      <w:pPr>
        <w:pStyle w:val="6"/>
        <w:rPr>
          <w:color w:val="000000" w:themeColor="text1"/>
        </w:rPr>
      </w:pPr>
      <w:r w:rsidRPr="008B619A">
        <w:rPr>
          <w:rFonts w:hint="eastAsia"/>
          <w:color w:val="000000" w:themeColor="text1"/>
        </w:rPr>
        <w:t>依據美國勞工統計局</w:t>
      </w:r>
      <w:r w:rsidRPr="008B619A">
        <w:rPr>
          <w:rFonts w:ascii="Times New Roman" w:hAnsi="Times New Roman"/>
          <w:color w:val="000000" w:themeColor="text1"/>
        </w:rPr>
        <w:t>（</w:t>
      </w:r>
      <w:r w:rsidRPr="008B619A">
        <w:rPr>
          <w:rFonts w:ascii="Times New Roman" w:hAnsi="Times New Roman"/>
          <w:color w:val="000000" w:themeColor="text1"/>
        </w:rPr>
        <w:t>Bureau of Labor Statistics)</w:t>
      </w:r>
      <w:r w:rsidRPr="008B619A">
        <w:rPr>
          <w:rFonts w:hint="eastAsia"/>
          <w:color w:val="000000" w:themeColor="text1"/>
        </w:rPr>
        <w:t>2019年2月公布之統計資料顯示：教育程度越高，其失業率越低；2020年5月亦公布標題為「學得越多，賺得越多：教育使人獲得更高薪資，更低失業率」之統計資料。</w:t>
      </w:r>
    </w:p>
    <w:p w14:paraId="0F306B49" w14:textId="3D219FB6" w:rsidR="00687E79" w:rsidRPr="008B619A" w:rsidRDefault="00687E79" w:rsidP="00687E79">
      <w:pPr>
        <w:pStyle w:val="6"/>
        <w:rPr>
          <w:color w:val="000000" w:themeColor="text1"/>
        </w:rPr>
      </w:pPr>
      <w:r w:rsidRPr="008B619A">
        <w:rPr>
          <w:rFonts w:hint="eastAsia"/>
          <w:color w:val="000000" w:themeColor="text1"/>
        </w:rPr>
        <w:t>依據上揭2份資料：2018年及2019年博士失業率分別為1.6%及1.1%；換言之，其就業率分別為98.4%及98.9%，惟該局並未就失業原因進行探討。</w:t>
      </w:r>
    </w:p>
    <w:p w14:paraId="5704FD2B" w14:textId="501DF112" w:rsidR="00687E79" w:rsidRPr="008B619A" w:rsidRDefault="00687E79" w:rsidP="00687E79">
      <w:pPr>
        <w:pStyle w:val="6"/>
        <w:rPr>
          <w:color w:val="000000" w:themeColor="text1"/>
        </w:rPr>
      </w:pPr>
      <w:r w:rsidRPr="008B619A">
        <w:rPr>
          <w:rFonts w:hint="eastAsia"/>
          <w:color w:val="000000" w:themeColor="text1"/>
        </w:rPr>
        <w:t>另據美國國家科學基金會</w:t>
      </w:r>
      <w:r w:rsidRPr="008B619A">
        <w:rPr>
          <w:rFonts w:ascii="Times New Roman" w:hAnsi="Times New Roman" w:hint="eastAsia"/>
          <w:color w:val="000000" w:themeColor="text1"/>
        </w:rPr>
        <w:t>（</w:t>
      </w:r>
      <w:r w:rsidRPr="008B619A">
        <w:rPr>
          <w:rFonts w:ascii="Times New Roman" w:hAnsi="Times New Roman" w:hint="eastAsia"/>
          <w:color w:val="000000" w:themeColor="text1"/>
        </w:rPr>
        <w:t>National Science Foundation, NSF</w:t>
      </w:r>
      <w:r w:rsidRPr="008B619A">
        <w:rPr>
          <w:rFonts w:ascii="Times New Roman" w:hAnsi="Times New Roman" w:hint="eastAsia"/>
          <w:color w:val="000000" w:themeColor="text1"/>
        </w:rPr>
        <w:t>）</w:t>
      </w:r>
      <w:r w:rsidRPr="008B619A">
        <w:rPr>
          <w:rFonts w:hint="eastAsia"/>
          <w:color w:val="000000" w:themeColor="text1"/>
        </w:rPr>
        <w:t>針對科學家及工程師調查失業原因之目前最新報告顯示（僅更新至2015年），在無身心障礙情形下，科學家及工程師失業主因依序為退休、不需要或</w:t>
      </w:r>
      <w:r w:rsidR="004A1FC9" w:rsidRPr="008B619A">
        <w:rPr>
          <w:rFonts w:hint="eastAsia"/>
          <w:color w:val="000000" w:themeColor="text1"/>
        </w:rPr>
        <w:t>不</w:t>
      </w:r>
      <w:r w:rsidRPr="008B619A">
        <w:rPr>
          <w:rFonts w:hint="eastAsia"/>
          <w:color w:val="000000" w:themeColor="text1"/>
        </w:rPr>
        <w:t>想要工作、家庭責任、暫無合適職缺、學生因素、裁員、其它因素及慢性疾病或永久失能。</w:t>
      </w:r>
    </w:p>
    <w:p w14:paraId="52EC2F47" w14:textId="77B09F6B" w:rsidR="00FB66CD" w:rsidRPr="008B619A" w:rsidRDefault="00F73D20" w:rsidP="00FB66CD">
      <w:pPr>
        <w:pStyle w:val="4"/>
        <w:rPr>
          <w:color w:val="000000" w:themeColor="text1"/>
        </w:rPr>
      </w:pPr>
      <w:r w:rsidRPr="008B619A">
        <w:rPr>
          <w:rFonts w:hint="eastAsia"/>
          <w:color w:val="000000" w:themeColor="text1"/>
        </w:rPr>
        <w:t>英國</w:t>
      </w:r>
      <w:r w:rsidR="00C71E2B" w:rsidRPr="008B619A">
        <w:rPr>
          <w:rFonts w:hint="eastAsia"/>
          <w:color w:val="000000" w:themeColor="text1"/>
        </w:rPr>
        <w:t>博士人才培育政策</w:t>
      </w:r>
      <w:r w:rsidR="00C71E2B" w:rsidRPr="008B619A">
        <w:rPr>
          <w:rFonts w:hAnsi="標楷體" w:hint="eastAsia"/>
          <w:color w:val="000000" w:themeColor="text1"/>
        </w:rPr>
        <w:t>、</w:t>
      </w:r>
      <w:r w:rsidR="00C71E2B" w:rsidRPr="008B619A">
        <w:rPr>
          <w:rFonts w:hint="eastAsia"/>
          <w:color w:val="000000" w:themeColor="text1"/>
        </w:rPr>
        <w:t>現況及其就業趨勢：</w:t>
      </w:r>
    </w:p>
    <w:p w14:paraId="38C9157B" w14:textId="31426CFD" w:rsidR="00DD113C" w:rsidRPr="008B619A" w:rsidRDefault="00DD113C" w:rsidP="00B41AE7">
      <w:pPr>
        <w:pStyle w:val="5"/>
        <w:rPr>
          <w:rFonts w:ascii="Times New Roman"/>
          <w:color w:val="000000" w:themeColor="text1"/>
          <w:szCs w:val="28"/>
          <w:lang w:val="zh-TW"/>
        </w:rPr>
      </w:pPr>
      <w:r w:rsidRPr="008B619A">
        <w:rPr>
          <w:rFonts w:hint="eastAsia"/>
          <w:color w:val="000000" w:themeColor="text1"/>
        </w:rPr>
        <w:t>英國</w:t>
      </w:r>
      <w:r w:rsidR="00663E58" w:rsidRPr="008B619A">
        <w:rPr>
          <w:rFonts w:hint="eastAsia"/>
          <w:color w:val="000000" w:themeColor="text1"/>
        </w:rPr>
        <w:t>博士研究生</w:t>
      </w:r>
      <w:r w:rsidR="00904247" w:rsidRPr="008B619A">
        <w:rPr>
          <w:rFonts w:hint="eastAsia"/>
          <w:color w:val="000000" w:themeColor="text1"/>
        </w:rPr>
        <w:t>未</w:t>
      </w:r>
      <w:r w:rsidR="00DB6806" w:rsidRPr="008B619A">
        <w:rPr>
          <w:rFonts w:hint="eastAsia"/>
          <w:color w:val="000000" w:themeColor="text1"/>
        </w:rPr>
        <w:t>見</w:t>
      </w:r>
      <w:r w:rsidR="009547C4" w:rsidRPr="008B619A">
        <w:rPr>
          <w:rFonts w:hint="eastAsia"/>
          <w:color w:val="000000" w:themeColor="text1"/>
        </w:rPr>
        <w:t>明顯</w:t>
      </w:r>
      <w:r w:rsidR="00904247" w:rsidRPr="008B619A">
        <w:rPr>
          <w:rFonts w:hint="eastAsia"/>
          <w:color w:val="000000" w:themeColor="text1"/>
        </w:rPr>
        <w:t>生源壓力</w:t>
      </w:r>
      <w:r w:rsidRPr="008B619A">
        <w:rPr>
          <w:rFonts w:hint="eastAsia"/>
          <w:color w:val="000000" w:themeColor="text1"/>
        </w:rPr>
        <w:t>：</w:t>
      </w:r>
    </w:p>
    <w:p w14:paraId="03F39A17" w14:textId="2668A61E" w:rsidR="000A7175" w:rsidRPr="008B619A" w:rsidRDefault="00855A0F" w:rsidP="00DD113C">
      <w:pPr>
        <w:pStyle w:val="6"/>
        <w:rPr>
          <w:color w:val="000000" w:themeColor="text1"/>
          <w:lang w:val="zh-TW"/>
        </w:rPr>
      </w:pPr>
      <w:r w:rsidRPr="008B619A">
        <w:rPr>
          <w:color w:val="000000" w:themeColor="text1"/>
          <w:lang w:val="zh-TW"/>
        </w:rPr>
        <w:lastRenderedPageBreak/>
        <w:t>根據英國政府資訊網資料顯示</w:t>
      </w:r>
      <w:r w:rsidR="00D50EFA" w:rsidRPr="008B619A">
        <w:rPr>
          <w:color w:val="000000" w:themeColor="text1"/>
          <w:vertAlign w:val="superscript"/>
        </w:rPr>
        <w:footnoteReference w:id="67"/>
      </w:r>
      <w:r w:rsidR="000A7175" w:rsidRPr="008B619A">
        <w:rPr>
          <w:color w:val="000000" w:themeColor="text1"/>
        </w:rPr>
        <w:t>，</w:t>
      </w:r>
      <w:r w:rsidR="005C5FBB" w:rsidRPr="008B619A">
        <w:rPr>
          <w:color w:val="000000" w:themeColor="text1"/>
          <w:lang w:val="zh-TW"/>
        </w:rPr>
        <w:t>目前全英國計有</w:t>
      </w:r>
      <w:r w:rsidR="005C5FBB" w:rsidRPr="008B619A">
        <w:rPr>
          <w:color w:val="000000" w:themeColor="text1"/>
        </w:rPr>
        <w:t>170</w:t>
      </w:r>
      <w:r w:rsidR="005C5FBB" w:rsidRPr="008B619A">
        <w:rPr>
          <w:color w:val="000000" w:themeColor="text1"/>
          <w:lang w:val="zh-TW"/>
        </w:rPr>
        <w:t>所得以直接授予學位之大專校院</w:t>
      </w:r>
      <w:r w:rsidR="005C5FBB" w:rsidRPr="008B619A">
        <w:rPr>
          <w:rFonts w:ascii="Times New Roman" w:hAnsi="Times New Roman"/>
          <w:color w:val="000000" w:themeColor="text1"/>
        </w:rPr>
        <w:t>（</w:t>
      </w:r>
      <w:r w:rsidR="005C5FBB" w:rsidRPr="008B619A">
        <w:rPr>
          <w:rFonts w:ascii="Times New Roman" w:hAnsi="Times New Roman"/>
          <w:color w:val="000000" w:themeColor="text1"/>
        </w:rPr>
        <w:t>recognised bodies</w:t>
      </w:r>
      <w:r w:rsidR="005C5FBB" w:rsidRPr="008B619A">
        <w:rPr>
          <w:rFonts w:ascii="Times New Roman" w:hAnsi="Times New Roman"/>
          <w:color w:val="000000" w:themeColor="text1"/>
        </w:rPr>
        <w:t>）</w:t>
      </w:r>
      <w:r w:rsidR="000A7175" w:rsidRPr="008B619A">
        <w:rPr>
          <w:color w:val="000000" w:themeColor="text1"/>
          <w:lang w:val="zh-TW"/>
        </w:rPr>
        <w:t>。英國自</w:t>
      </w:r>
      <w:r w:rsidR="000A7175" w:rsidRPr="008B619A">
        <w:rPr>
          <w:color w:val="000000" w:themeColor="text1"/>
        </w:rPr>
        <w:t>2010</w:t>
      </w:r>
      <w:r w:rsidR="000A7175" w:rsidRPr="008B619A">
        <w:rPr>
          <w:color w:val="000000" w:themeColor="text1"/>
          <w:lang w:val="zh-TW"/>
        </w:rPr>
        <w:t>年至</w:t>
      </w:r>
      <w:r w:rsidR="000A7175" w:rsidRPr="008B619A">
        <w:rPr>
          <w:color w:val="000000" w:themeColor="text1"/>
        </w:rPr>
        <w:t>2019</w:t>
      </w:r>
      <w:r w:rsidR="000A7175" w:rsidRPr="008B619A">
        <w:rPr>
          <w:color w:val="000000" w:themeColor="text1"/>
          <w:lang w:val="zh-TW"/>
        </w:rPr>
        <w:t>年間人口從</w:t>
      </w:r>
      <w:r w:rsidR="000A7175" w:rsidRPr="008B619A">
        <w:rPr>
          <w:color w:val="000000" w:themeColor="text1"/>
        </w:rPr>
        <w:t>6,275</w:t>
      </w:r>
      <w:r w:rsidR="000A7175" w:rsidRPr="008B619A">
        <w:rPr>
          <w:color w:val="000000" w:themeColor="text1"/>
          <w:lang w:val="zh-TW"/>
        </w:rPr>
        <w:t>萬</w:t>
      </w:r>
      <w:r w:rsidR="000A7175" w:rsidRPr="008B619A">
        <w:rPr>
          <w:color w:val="000000" w:themeColor="text1"/>
        </w:rPr>
        <w:t>9,500</w:t>
      </w:r>
      <w:r w:rsidR="000A7175" w:rsidRPr="008B619A">
        <w:rPr>
          <w:color w:val="000000" w:themeColor="text1"/>
          <w:lang w:val="zh-TW"/>
        </w:rPr>
        <w:t>人增加至</w:t>
      </w:r>
      <w:r w:rsidR="000A7175" w:rsidRPr="008B619A">
        <w:rPr>
          <w:color w:val="000000" w:themeColor="text1"/>
        </w:rPr>
        <w:t>6,679</w:t>
      </w:r>
      <w:r w:rsidR="000A7175" w:rsidRPr="008B619A">
        <w:rPr>
          <w:color w:val="000000" w:themeColor="text1"/>
          <w:lang w:val="zh-TW"/>
        </w:rPr>
        <w:t>萬</w:t>
      </w:r>
      <w:r w:rsidR="000A7175" w:rsidRPr="008B619A">
        <w:rPr>
          <w:color w:val="000000" w:themeColor="text1"/>
        </w:rPr>
        <w:t>6,800</w:t>
      </w:r>
      <w:r w:rsidR="000A7175" w:rsidRPr="008B619A">
        <w:rPr>
          <w:color w:val="000000" w:themeColor="text1"/>
          <w:lang w:val="zh-TW"/>
        </w:rPr>
        <w:t>人，成長了</w:t>
      </w:r>
      <w:r w:rsidR="000A7175" w:rsidRPr="008B619A">
        <w:rPr>
          <w:color w:val="000000" w:themeColor="text1"/>
        </w:rPr>
        <w:t>6.5%</w:t>
      </w:r>
      <w:r w:rsidR="000A7175" w:rsidRPr="008B619A">
        <w:rPr>
          <w:color w:val="000000" w:themeColor="text1"/>
          <w:lang w:val="zh-TW"/>
        </w:rPr>
        <w:t>，增加的人口大部分來自外來移民，主要是歐盟移入人口。</w:t>
      </w:r>
      <w:r w:rsidR="000A7175" w:rsidRPr="008B619A">
        <w:rPr>
          <w:color w:val="000000" w:themeColor="text1"/>
          <w:vertAlign w:val="superscript"/>
        </w:rPr>
        <w:footnoteReference w:id="68"/>
      </w:r>
      <w:r w:rsidR="000A7175" w:rsidRPr="008B619A">
        <w:rPr>
          <w:color w:val="000000" w:themeColor="text1"/>
          <w:lang w:val="zh-TW"/>
        </w:rPr>
        <w:t>另依據英國高等教育統計局最新統計資料，</w:t>
      </w:r>
      <w:r w:rsidR="000A7175" w:rsidRPr="008B619A">
        <w:rPr>
          <w:color w:val="000000" w:themeColor="text1"/>
        </w:rPr>
        <w:t>2014/15</w:t>
      </w:r>
      <w:r w:rsidR="000A7175" w:rsidRPr="008B619A">
        <w:rPr>
          <w:color w:val="000000" w:themeColor="text1"/>
          <w:lang w:val="zh-TW"/>
        </w:rPr>
        <w:t>學年度全英國高等教育總在學人數為</w:t>
      </w:r>
      <w:r w:rsidR="000A7175" w:rsidRPr="008B619A">
        <w:rPr>
          <w:color w:val="000000" w:themeColor="text1"/>
        </w:rPr>
        <w:t>238</w:t>
      </w:r>
      <w:r w:rsidR="000A7175" w:rsidRPr="008B619A">
        <w:rPr>
          <w:color w:val="000000" w:themeColor="text1"/>
          <w:lang w:val="zh-TW"/>
        </w:rPr>
        <w:t>萬</w:t>
      </w:r>
      <w:r w:rsidR="000A7175" w:rsidRPr="008B619A">
        <w:rPr>
          <w:color w:val="000000" w:themeColor="text1"/>
        </w:rPr>
        <w:t>3,970</w:t>
      </w:r>
      <w:r w:rsidR="000A7175" w:rsidRPr="008B619A">
        <w:rPr>
          <w:color w:val="000000" w:themeColor="text1"/>
          <w:lang w:val="zh-TW"/>
        </w:rPr>
        <w:t>人，較上年度增加</w:t>
      </w:r>
      <w:r w:rsidR="000A7175" w:rsidRPr="008B619A">
        <w:rPr>
          <w:color w:val="000000" w:themeColor="text1"/>
        </w:rPr>
        <w:t>4</w:t>
      </w:r>
      <w:r w:rsidR="000A7175" w:rsidRPr="008B619A">
        <w:rPr>
          <w:color w:val="000000" w:themeColor="text1"/>
          <w:lang w:val="zh-TW"/>
        </w:rPr>
        <w:t>萬875人。此外，經查英國高等教育統計局統計，</w:t>
      </w:r>
      <w:r w:rsidR="000A7175" w:rsidRPr="008B619A">
        <w:rPr>
          <w:color w:val="000000" w:themeColor="text1"/>
        </w:rPr>
        <w:t>2018/19</w:t>
      </w:r>
      <w:r w:rsidR="000A7175" w:rsidRPr="008B619A">
        <w:rPr>
          <w:color w:val="000000" w:themeColor="text1"/>
          <w:lang w:val="zh-TW"/>
        </w:rPr>
        <w:t>學年度英國博士研究生</w:t>
      </w:r>
      <w:r w:rsidR="000A7175" w:rsidRPr="008B619A">
        <w:rPr>
          <w:rFonts w:ascii="Times New Roman" w:hAnsi="Times New Roman"/>
          <w:color w:val="000000" w:themeColor="text1"/>
        </w:rPr>
        <w:t>（</w:t>
      </w:r>
      <w:r w:rsidR="000A7175" w:rsidRPr="008B619A">
        <w:rPr>
          <w:rFonts w:ascii="Times New Roman" w:hAnsi="Times New Roman"/>
          <w:color w:val="000000" w:themeColor="text1"/>
        </w:rPr>
        <w:t>Doctorate research</w:t>
      </w:r>
      <w:r w:rsidR="000A7175" w:rsidRPr="008B619A">
        <w:rPr>
          <w:rFonts w:ascii="Times New Roman" w:hAnsi="Times New Roman"/>
          <w:color w:val="000000" w:themeColor="text1"/>
        </w:rPr>
        <w:t>）</w:t>
      </w:r>
      <w:r w:rsidR="000A7175" w:rsidRPr="008B619A">
        <w:rPr>
          <w:color w:val="000000" w:themeColor="text1"/>
          <w:lang w:val="zh-TW"/>
        </w:rPr>
        <w:t>在學人數為10萬1,885人，較</w:t>
      </w:r>
      <w:r w:rsidR="000A7175" w:rsidRPr="008B619A">
        <w:rPr>
          <w:color w:val="000000" w:themeColor="text1"/>
        </w:rPr>
        <w:t>2014/15</w:t>
      </w:r>
      <w:r w:rsidR="000A7175" w:rsidRPr="008B619A">
        <w:rPr>
          <w:color w:val="000000" w:themeColor="text1"/>
          <w:lang w:val="zh-TW"/>
        </w:rPr>
        <w:t>學年度（9萬8,555人）增加了3</w:t>
      </w:r>
      <w:r w:rsidR="000A7175" w:rsidRPr="008B619A">
        <w:rPr>
          <w:color w:val="000000" w:themeColor="text1"/>
        </w:rPr>
        <w:t>.4%</w:t>
      </w:r>
      <w:r w:rsidR="000A7175" w:rsidRPr="008B619A">
        <w:rPr>
          <w:color w:val="000000" w:themeColor="text1"/>
          <w:lang w:val="zh-TW"/>
        </w:rPr>
        <w:t>。綜上所述，英國高等教育機構並沒有生源減少的壓力，而英國博士研究生人數約穩定</w:t>
      </w:r>
      <w:r w:rsidR="00086D7F" w:rsidRPr="008B619A">
        <w:rPr>
          <w:rFonts w:hint="eastAsia"/>
          <w:color w:val="000000" w:themeColor="text1"/>
          <w:lang w:val="zh-TW"/>
        </w:rPr>
        <w:t>占</w:t>
      </w:r>
      <w:r w:rsidR="000A7175" w:rsidRPr="008B619A">
        <w:rPr>
          <w:color w:val="000000" w:themeColor="text1"/>
          <w:lang w:val="zh-TW"/>
        </w:rPr>
        <w:t>整體高等教育學生總數之4%。</w:t>
      </w:r>
    </w:p>
    <w:p w14:paraId="2327FC1E" w14:textId="4C68B834" w:rsidR="00F73D20" w:rsidRPr="008B619A" w:rsidRDefault="000A7175" w:rsidP="00DD113C">
      <w:pPr>
        <w:pStyle w:val="6"/>
        <w:rPr>
          <w:color w:val="000000" w:themeColor="text1"/>
        </w:rPr>
      </w:pPr>
      <w:r w:rsidRPr="008B619A">
        <w:rPr>
          <w:rFonts w:ascii="Times New Roman"/>
          <w:color w:val="000000" w:themeColor="text1"/>
          <w:szCs w:val="28"/>
          <w:lang w:val="zh-TW"/>
        </w:rPr>
        <w:t>另參英國高等教育統計局公告之近</w:t>
      </w:r>
      <w:r w:rsidRPr="008B619A">
        <w:rPr>
          <w:rFonts w:ascii="Times New Roman"/>
          <w:color w:val="000000" w:themeColor="text1"/>
          <w:szCs w:val="28"/>
          <w:lang w:val="zh-TW"/>
        </w:rPr>
        <w:t>3</w:t>
      </w:r>
      <w:r w:rsidRPr="008B619A">
        <w:rPr>
          <w:rFonts w:ascii="Times New Roman"/>
          <w:color w:val="000000" w:themeColor="text1"/>
          <w:szCs w:val="28"/>
          <w:lang w:val="zh-TW"/>
        </w:rPr>
        <w:t>年研究所階段研究型（</w:t>
      </w:r>
      <w:r w:rsidRPr="008B619A">
        <w:rPr>
          <w:rFonts w:ascii="Times New Roman"/>
          <w:color w:val="000000" w:themeColor="text1"/>
          <w:szCs w:val="28"/>
          <w:lang w:val="zh-TW"/>
        </w:rPr>
        <w:t>postgraduate research</w:t>
      </w:r>
      <w:r w:rsidRPr="008B619A">
        <w:rPr>
          <w:rFonts w:ascii="Times New Roman"/>
          <w:color w:val="000000" w:themeColor="text1"/>
          <w:szCs w:val="28"/>
          <w:lang w:val="zh-TW"/>
        </w:rPr>
        <w:t>）學生修讀領域</w:t>
      </w:r>
      <w:r w:rsidR="00B41AE7" w:rsidRPr="008B619A">
        <w:rPr>
          <w:rFonts w:ascii="Times New Roman"/>
          <w:color w:val="000000" w:themeColor="text1"/>
          <w:szCs w:val="28"/>
          <w:vertAlign w:val="superscript"/>
          <w:lang w:val="zh-TW"/>
        </w:rPr>
        <w:footnoteReference w:id="69"/>
      </w:r>
      <w:r w:rsidRPr="008B619A">
        <w:rPr>
          <w:rFonts w:ascii="Times New Roman"/>
          <w:color w:val="000000" w:themeColor="text1"/>
          <w:szCs w:val="28"/>
          <w:lang w:val="zh-TW"/>
        </w:rPr>
        <w:t>，可以看出超過</w:t>
      </w:r>
      <w:r w:rsidRPr="008B619A">
        <w:rPr>
          <w:rFonts w:ascii="Times New Roman"/>
          <w:color w:val="000000" w:themeColor="text1"/>
          <w:szCs w:val="28"/>
          <w:lang w:val="zh-TW"/>
        </w:rPr>
        <w:t>6</w:t>
      </w:r>
      <w:r w:rsidRPr="008B619A">
        <w:rPr>
          <w:rFonts w:ascii="Times New Roman"/>
          <w:color w:val="000000" w:themeColor="text1"/>
          <w:szCs w:val="28"/>
          <w:lang w:val="zh-TW"/>
        </w:rPr>
        <w:t>成的博士研究型學生都選擇投入科學相關領域，其中最受歡迎的前</w:t>
      </w:r>
      <w:r w:rsidR="00C04501" w:rsidRPr="008B619A">
        <w:rPr>
          <w:rFonts w:ascii="Times New Roman" w:hint="eastAsia"/>
          <w:color w:val="000000" w:themeColor="text1"/>
          <w:szCs w:val="28"/>
          <w:lang w:val="zh-TW"/>
        </w:rPr>
        <w:t>3</w:t>
      </w:r>
      <w:r w:rsidRPr="008B619A">
        <w:rPr>
          <w:rFonts w:ascii="Times New Roman"/>
          <w:color w:val="000000" w:themeColor="text1"/>
          <w:szCs w:val="28"/>
          <w:lang w:val="zh-TW"/>
        </w:rPr>
        <w:t>名類科依序為生物、工程及物理。</w:t>
      </w:r>
    </w:p>
    <w:p w14:paraId="67524BBE" w14:textId="21BE65EB" w:rsidR="00D20F99" w:rsidRPr="008B619A" w:rsidRDefault="00122A47" w:rsidP="00136B9C">
      <w:pPr>
        <w:pStyle w:val="6"/>
        <w:rPr>
          <w:color w:val="000000" w:themeColor="text1"/>
        </w:rPr>
      </w:pPr>
      <w:r w:rsidRPr="008B619A">
        <w:rPr>
          <w:rFonts w:ascii="Times New Roman"/>
          <w:color w:val="000000" w:themeColor="text1"/>
          <w:szCs w:val="28"/>
          <w:lang w:val="zh-TW"/>
        </w:rPr>
        <w:t>由於英國高等教育統計局</w:t>
      </w:r>
      <w:r w:rsidRPr="008B619A">
        <w:rPr>
          <w:rFonts w:ascii="Times New Roman"/>
          <w:color w:val="000000" w:themeColor="text1"/>
          <w:szCs w:val="28"/>
        </w:rPr>
        <w:t>（</w:t>
      </w:r>
      <w:r w:rsidRPr="008B619A">
        <w:rPr>
          <w:rFonts w:ascii="Times New Roman"/>
          <w:color w:val="000000" w:themeColor="text1"/>
          <w:szCs w:val="28"/>
        </w:rPr>
        <w:t>HESA</w:t>
      </w:r>
      <w:r w:rsidRPr="008B619A">
        <w:rPr>
          <w:rFonts w:ascii="Times New Roman"/>
          <w:color w:val="000000" w:themeColor="text1"/>
          <w:szCs w:val="28"/>
        </w:rPr>
        <w:t>）</w:t>
      </w:r>
      <w:r w:rsidR="00D20F99" w:rsidRPr="008B619A">
        <w:rPr>
          <w:rFonts w:ascii="Times New Roman"/>
          <w:color w:val="000000" w:themeColor="text1"/>
          <w:szCs w:val="28"/>
          <w:lang w:val="zh-TW"/>
        </w:rPr>
        <w:t>現行各學習階段學生人數統計分類與我國制度不同</w:t>
      </w:r>
      <w:r w:rsidR="00D20F99" w:rsidRPr="008B619A">
        <w:rPr>
          <w:rFonts w:ascii="Times New Roman"/>
          <w:color w:val="000000" w:themeColor="text1"/>
          <w:szCs w:val="28"/>
        </w:rPr>
        <w:t>，</w:t>
      </w:r>
      <w:r w:rsidR="00D20F99" w:rsidRPr="008B619A">
        <w:rPr>
          <w:rFonts w:ascii="Times New Roman"/>
          <w:color w:val="000000" w:themeColor="text1"/>
          <w:szCs w:val="28"/>
          <w:lang w:val="zh-TW"/>
        </w:rPr>
        <w:t>主要區分為大學階段</w:t>
      </w:r>
      <w:r w:rsidR="00D20F99" w:rsidRPr="008B619A">
        <w:rPr>
          <w:rFonts w:ascii="Times New Roman"/>
          <w:color w:val="000000" w:themeColor="text1"/>
          <w:szCs w:val="28"/>
        </w:rPr>
        <w:t>（</w:t>
      </w:r>
      <w:r w:rsidR="00D20F99" w:rsidRPr="008B619A">
        <w:rPr>
          <w:rFonts w:ascii="Times New Roman"/>
          <w:color w:val="000000" w:themeColor="text1"/>
          <w:szCs w:val="28"/>
        </w:rPr>
        <w:t>undergraduate</w:t>
      </w:r>
      <w:r w:rsidR="00D20F99" w:rsidRPr="008B619A">
        <w:rPr>
          <w:rFonts w:ascii="Times New Roman"/>
          <w:color w:val="000000" w:themeColor="text1"/>
          <w:szCs w:val="28"/>
        </w:rPr>
        <w:t>）</w:t>
      </w:r>
      <w:r w:rsidR="00D20F99" w:rsidRPr="008B619A">
        <w:rPr>
          <w:rFonts w:ascii="Times New Roman"/>
          <w:color w:val="000000" w:themeColor="text1"/>
          <w:szCs w:val="28"/>
          <w:lang w:val="zh-TW"/>
        </w:rPr>
        <w:t>及研究所階段</w:t>
      </w:r>
      <w:r w:rsidR="00D20F99" w:rsidRPr="008B619A">
        <w:rPr>
          <w:rFonts w:ascii="Times New Roman"/>
          <w:color w:val="000000" w:themeColor="text1"/>
          <w:szCs w:val="28"/>
        </w:rPr>
        <w:t>（</w:t>
      </w:r>
      <w:r w:rsidR="00D20F99" w:rsidRPr="008B619A">
        <w:rPr>
          <w:rFonts w:ascii="Times New Roman"/>
          <w:color w:val="000000" w:themeColor="text1"/>
          <w:szCs w:val="28"/>
        </w:rPr>
        <w:t>postgraduate</w:t>
      </w:r>
      <w:r w:rsidR="00D20F99" w:rsidRPr="008B619A">
        <w:rPr>
          <w:rFonts w:ascii="Times New Roman"/>
          <w:color w:val="000000" w:themeColor="text1"/>
          <w:szCs w:val="28"/>
        </w:rPr>
        <w:t>），</w:t>
      </w:r>
      <w:r w:rsidR="00D20F99" w:rsidRPr="008B619A">
        <w:rPr>
          <w:rFonts w:ascii="Times New Roman"/>
          <w:color w:val="000000" w:themeColor="text1"/>
          <w:szCs w:val="28"/>
          <w:lang w:val="zh-TW"/>
        </w:rPr>
        <w:t>而研究所階段則再區</w:t>
      </w:r>
      <w:r w:rsidR="00D20F99" w:rsidRPr="008B619A">
        <w:rPr>
          <w:rFonts w:ascii="Times New Roman"/>
          <w:color w:val="000000" w:themeColor="text1"/>
          <w:szCs w:val="28"/>
          <w:lang w:val="zh-TW"/>
        </w:rPr>
        <w:lastRenderedPageBreak/>
        <w:t>分為學習型</w:t>
      </w:r>
      <w:r w:rsidR="00D20F99" w:rsidRPr="008B619A">
        <w:rPr>
          <w:rFonts w:ascii="Times New Roman"/>
          <w:color w:val="000000" w:themeColor="text1"/>
          <w:szCs w:val="28"/>
        </w:rPr>
        <w:t>（</w:t>
      </w:r>
      <w:r w:rsidR="00D20F99" w:rsidRPr="008B619A">
        <w:rPr>
          <w:rFonts w:ascii="Times New Roman"/>
          <w:color w:val="000000" w:themeColor="text1"/>
          <w:szCs w:val="28"/>
        </w:rPr>
        <w:t>postgraduate taught</w:t>
      </w:r>
      <w:r w:rsidR="00D20F99" w:rsidRPr="008B619A">
        <w:rPr>
          <w:rFonts w:ascii="Times New Roman"/>
          <w:color w:val="000000" w:themeColor="text1"/>
          <w:szCs w:val="28"/>
        </w:rPr>
        <w:t>）</w:t>
      </w:r>
      <w:r w:rsidR="00D20F99" w:rsidRPr="008B619A">
        <w:rPr>
          <w:rFonts w:ascii="Times New Roman"/>
          <w:color w:val="000000" w:themeColor="text1"/>
          <w:szCs w:val="28"/>
          <w:lang w:val="zh-TW"/>
        </w:rPr>
        <w:t>及研究型</w:t>
      </w:r>
      <w:r w:rsidR="00D20F99" w:rsidRPr="008B619A">
        <w:rPr>
          <w:rFonts w:ascii="Times New Roman"/>
          <w:color w:val="000000" w:themeColor="text1"/>
          <w:szCs w:val="28"/>
        </w:rPr>
        <w:t>（</w:t>
      </w:r>
      <w:r w:rsidR="00D20F99" w:rsidRPr="008B619A">
        <w:rPr>
          <w:rFonts w:ascii="Times New Roman"/>
          <w:color w:val="000000" w:themeColor="text1"/>
          <w:szCs w:val="28"/>
        </w:rPr>
        <w:t>postgraduate research</w:t>
      </w:r>
      <w:r w:rsidR="00D20F99" w:rsidRPr="008B619A">
        <w:rPr>
          <w:rFonts w:ascii="Times New Roman"/>
          <w:color w:val="000000" w:themeColor="text1"/>
          <w:szCs w:val="28"/>
        </w:rPr>
        <w:t>）</w:t>
      </w:r>
      <w:r w:rsidR="00D20F99" w:rsidRPr="008B619A">
        <w:rPr>
          <w:rFonts w:ascii="Times New Roman"/>
          <w:color w:val="000000" w:themeColor="text1"/>
          <w:szCs w:val="28"/>
          <w:lang w:val="zh-TW"/>
        </w:rPr>
        <w:t>兩種類別</w:t>
      </w:r>
      <w:r w:rsidR="00D20F99" w:rsidRPr="008B619A">
        <w:rPr>
          <w:rFonts w:ascii="Times New Roman"/>
          <w:color w:val="000000" w:themeColor="text1"/>
          <w:szCs w:val="28"/>
        </w:rPr>
        <w:t>，</w:t>
      </w:r>
      <w:r w:rsidR="00D20F99" w:rsidRPr="008B619A">
        <w:rPr>
          <w:rFonts w:ascii="Times New Roman"/>
          <w:color w:val="000000" w:themeColor="text1"/>
          <w:szCs w:val="28"/>
          <w:lang w:val="zh-TW"/>
        </w:rPr>
        <w:t>部分博士生入學時會因為學校學習要求先修讀</w:t>
      </w:r>
      <w:r w:rsidR="00D20F99" w:rsidRPr="008B619A">
        <w:rPr>
          <w:rFonts w:ascii="Times New Roman"/>
          <w:color w:val="000000" w:themeColor="text1"/>
          <w:szCs w:val="28"/>
        </w:rPr>
        <w:t>MPhil</w:t>
      </w:r>
      <w:r w:rsidR="00D20F99" w:rsidRPr="008B619A">
        <w:rPr>
          <w:rFonts w:ascii="Times New Roman"/>
          <w:color w:val="000000" w:themeColor="text1"/>
          <w:szCs w:val="28"/>
          <w:lang w:val="zh-TW"/>
        </w:rPr>
        <w:t>、</w:t>
      </w:r>
      <w:r w:rsidR="00D20F99" w:rsidRPr="008B619A">
        <w:rPr>
          <w:rFonts w:ascii="Times New Roman"/>
          <w:color w:val="000000" w:themeColor="text1"/>
          <w:szCs w:val="28"/>
        </w:rPr>
        <w:t>MRes</w:t>
      </w:r>
      <w:r w:rsidR="00D20F99" w:rsidRPr="008B619A">
        <w:rPr>
          <w:rFonts w:ascii="Times New Roman"/>
          <w:color w:val="000000" w:themeColor="text1"/>
          <w:szCs w:val="28"/>
          <w:lang w:val="zh-TW"/>
        </w:rPr>
        <w:t>或其他研究所課程</w:t>
      </w:r>
      <w:r w:rsidR="00D20F99" w:rsidRPr="008B619A">
        <w:rPr>
          <w:rFonts w:ascii="Times New Roman"/>
          <w:color w:val="000000" w:themeColor="text1"/>
          <w:szCs w:val="28"/>
        </w:rPr>
        <w:t>，</w:t>
      </w:r>
      <w:r w:rsidR="00D20F99" w:rsidRPr="008B619A">
        <w:rPr>
          <w:rFonts w:ascii="Times New Roman"/>
          <w:color w:val="000000" w:themeColor="text1"/>
          <w:szCs w:val="28"/>
          <w:lang w:val="zh-TW"/>
        </w:rPr>
        <w:t>而被列為其他類型之學生</w:t>
      </w:r>
      <w:r w:rsidR="00D20F99" w:rsidRPr="008B619A">
        <w:rPr>
          <w:rFonts w:ascii="Times New Roman"/>
          <w:color w:val="000000" w:themeColor="text1"/>
          <w:szCs w:val="28"/>
        </w:rPr>
        <w:t>，</w:t>
      </w:r>
      <w:r w:rsidR="00D20F99" w:rsidRPr="008B619A">
        <w:rPr>
          <w:rFonts w:ascii="Times New Roman"/>
          <w:color w:val="000000" w:themeColor="text1"/>
          <w:szCs w:val="28"/>
          <w:lang w:val="zh-TW"/>
        </w:rPr>
        <w:t>完成後才可開始進行博士研究</w:t>
      </w:r>
      <w:r w:rsidR="00D20F99" w:rsidRPr="008B619A">
        <w:rPr>
          <w:rFonts w:ascii="Times New Roman"/>
          <w:color w:val="000000" w:themeColor="text1"/>
          <w:szCs w:val="28"/>
        </w:rPr>
        <w:t>，</w:t>
      </w:r>
      <w:r w:rsidR="00D20F99" w:rsidRPr="008B619A">
        <w:rPr>
          <w:rFonts w:ascii="Times New Roman"/>
          <w:color w:val="000000" w:themeColor="text1"/>
          <w:szCs w:val="28"/>
          <w:lang w:val="zh-TW"/>
        </w:rPr>
        <w:t>因此相關人數統計僅能提供在學之博士研究生</w:t>
      </w:r>
      <w:r w:rsidR="00D20F99" w:rsidRPr="008B619A">
        <w:rPr>
          <w:rFonts w:ascii="Times New Roman"/>
          <w:color w:val="000000" w:themeColor="text1"/>
          <w:szCs w:val="28"/>
        </w:rPr>
        <w:t>（</w:t>
      </w:r>
      <w:r w:rsidR="00D20F99" w:rsidRPr="008B619A">
        <w:rPr>
          <w:rFonts w:ascii="Times New Roman"/>
          <w:color w:val="000000" w:themeColor="text1"/>
          <w:szCs w:val="28"/>
        </w:rPr>
        <w:t>Doctorate research</w:t>
      </w:r>
      <w:r w:rsidR="00D20F99" w:rsidRPr="008B619A">
        <w:rPr>
          <w:rFonts w:ascii="Times New Roman"/>
          <w:color w:val="000000" w:themeColor="text1"/>
          <w:szCs w:val="28"/>
        </w:rPr>
        <w:t>）</w:t>
      </w:r>
      <w:r w:rsidR="00D20F99" w:rsidRPr="008B619A">
        <w:rPr>
          <w:rFonts w:ascii="Times New Roman"/>
          <w:color w:val="000000" w:themeColor="text1"/>
          <w:szCs w:val="28"/>
          <w:lang w:val="zh-TW"/>
        </w:rPr>
        <w:t>人數供參</w:t>
      </w:r>
      <w:r w:rsidR="00C015BC" w:rsidRPr="008B619A">
        <w:rPr>
          <w:rFonts w:ascii="Times New Roman" w:hint="eastAsia"/>
          <w:color w:val="000000" w:themeColor="text1"/>
          <w:szCs w:val="28"/>
          <w:lang w:val="zh-TW"/>
        </w:rPr>
        <w:t>。</w:t>
      </w:r>
    </w:p>
    <w:p w14:paraId="6343C073" w14:textId="70475385" w:rsidR="004E4190" w:rsidRPr="008B619A" w:rsidRDefault="004E4190" w:rsidP="004E4190">
      <w:pPr>
        <w:pStyle w:val="5"/>
        <w:rPr>
          <w:color w:val="000000" w:themeColor="text1"/>
          <w:lang w:val="zh-TW"/>
        </w:rPr>
      </w:pPr>
      <w:r w:rsidRPr="008B619A">
        <w:rPr>
          <w:color w:val="000000" w:themeColor="text1"/>
          <w:lang w:val="zh-TW"/>
        </w:rPr>
        <w:t>以下彙整</w:t>
      </w:r>
      <w:r w:rsidRPr="008B619A">
        <w:rPr>
          <w:rFonts w:hint="cs"/>
          <w:color w:val="000000" w:themeColor="text1"/>
          <w:lang w:val="zh-TW"/>
        </w:rPr>
        <w:t>英國高等教育統計局（</w:t>
      </w:r>
      <w:r w:rsidRPr="008B619A">
        <w:rPr>
          <w:color w:val="000000" w:themeColor="text1"/>
          <w:lang w:val="zh-TW"/>
        </w:rPr>
        <w:t>HESA）公告</w:t>
      </w:r>
      <w:r w:rsidR="004233B2" w:rsidRPr="008B619A">
        <w:rPr>
          <w:color w:val="000000" w:themeColor="text1"/>
          <w:vertAlign w:val="superscript"/>
          <w:lang w:val="zh-TW"/>
        </w:rPr>
        <w:footnoteReference w:id="70"/>
      </w:r>
      <w:r w:rsidR="005A6381" w:rsidRPr="008B619A">
        <w:rPr>
          <w:rFonts w:hint="eastAsia"/>
          <w:color w:val="000000" w:themeColor="text1"/>
          <w:lang w:val="zh-TW"/>
        </w:rPr>
        <w:t>，</w:t>
      </w:r>
      <w:r w:rsidRPr="008B619A">
        <w:rPr>
          <w:color w:val="000000" w:themeColor="text1"/>
          <w:lang w:val="zh-TW"/>
        </w:rPr>
        <w:t>近10年數據資料供參</w:t>
      </w:r>
      <w:r w:rsidR="004233B2" w:rsidRPr="008B619A">
        <w:rPr>
          <w:rFonts w:hint="eastAsia"/>
          <w:color w:val="000000" w:themeColor="text1"/>
          <w:lang w:val="zh-TW"/>
        </w:rPr>
        <w:t>：</w:t>
      </w:r>
    </w:p>
    <w:p w14:paraId="7D1BC5DF" w14:textId="29599D0A" w:rsidR="00C570DF" w:rsidRPr="008B619A" w:rsidRDefault="00403400" w:rsidP="00C570DF">
      <w:pPr>
        <w:pStyle w:val="a3"/>
        <w:ind w:left="1281" w:hanging="1281"/>
        <w:jc w:val="center"/>
        <w:rPr>
          <w:b/>
          <w:bCs w:val="0"/>
          <w:color w:val="000000" w:themeColor="text1"/>
          <w:lang w:val="zh-TW"/>
        </w:rPr>
      </w:pPr>
      <w:r w:rsidRPr="008B619A">
        <w:rPr>
          <w:rFonts w:hint="eastAsia"/>
          <w:b/>
          <w:bCs w:val="0"/>
          <w:color w:val="000000" w:themeColor="text1"/>
          <w:lang w:val="zh-TW"/>
        </w:rPr>
        <w:t>英國近10年博士研究生（Doctorate research）人數</w:t>
      </w:r>
    </w:p>
    <w:p w14:paraId="6DEA6072" w14:textId="7DAF830A" w:rsidR="00D5503B" w:rsidRPr="008B619A" w:rsidRDefault="00D5503B" w:rsidP="00C270D4">
      <w:pPr>
        <w:spacing w:line="240" w:lineRule="exact"/>
        <w:ind w:right="261"/>
        <w:jc w:val="right"/>
        <w:rPr>
          <w:color w:val="000000" w:themeColor="text1"/>
          <w:sz w:val="24"/>
          <w:szCs w:val="24"/>
          <w:lang w:val="zh-TW"/>
        </w:rPr>
      </w:pPr>
      <w:r w:rsidRPr="008B619A">
        <w:rPr>
          <w:rFonts w:hint="eastAsia"/>
          <w:color w:val="000000" w:themeColor="text1"/>
          <w:sz w:val="24"/>
          <w:szCs w:val="24"/>
          <w:lang w:val="zh-TW"/>
        </w:rPr>
        <w:t>單位：人數</w:t>
      </w:r>
    </w:p>
    <w:tbl>
      <w:tblPr>
        <w:tblStyle w:val="TableNormal"/>
        <w:tblpPr w:leftFromText="180" w:rightFromText="180" w:vertAnchor="text" w:horzAnchor="margin" w:tblpXSpec="center" w:tblpY="61"/>
        <w:tblW w:w="82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2760"/>
        <w:gridCol w:w="2760"/>
        <w:gridCol w:w="2760"/>
      </w:tblGrid>
      <w:tr w:rsidR="00DF69D7" w:rsidRPr="008B619A" w14:paraId="02697019" w14:textId="77777777" w:rsidTr="00571782">
        <w:trPr>
          <w:trHeight w:val="460"/>
          <w:tblHeader/>
        </w:trPr>
        <w:tc>
          <w:tcPr>
            <w:tcW w:w="2760" w:type="dxa"/>
            <w:tcBorders>
              <w:top w:val="single" w:sz="8" w:space="0" w:color="FFFFFF"/>
              <w:left w:val="single" w:sz="8" w:space="0" w:color="FFFFFF"/>
              <w:bottom w:val="single" w:sz="8" w:space="0" w:color="FFFFFF"/>
              <w:right w:val="single" w:sz="8" w:space="0" w:color="FFFFFF"/>
            </w:tcBorders>
            <w:shd w:val="clear" w:color="auto" w:fill="D0DDEF"/>
            <w:tcMar>
              <w:top w:w="0" w:type="dxa"/>
              <w:left w:w="0" w:type="dxa"/>
              <w:bottom w:w="0" w:type="dxa"/>
              <w:right w:w="0" w:type="dxa"/>
            </w:tcMar>
            <w:vAlign w:val="center"/>
          </w:tcPr>
          <w:p w14:paraId="393AF649" w14:textId="77777777" w:rsidR="004E4190" w:rsidRPr="008B619A" w:rsidRDefault="004E4190" w:rsidP="00DF69D7">
            <w:pPr>
              <w:jc w:val="center"/>
              <w:rPr>
                <w:rFonts w:hAnsi="標楷體"/>
                <w:b/>
                <w:bCs/>
                <w:color w:val="000000" w:themeColor="text1"/>
                <w:sz w:val="26"/>
                <w:szCs w:val="26"/>
              </w:rPr>
            </w:pPr>
            <w:r w:rsidRPr="008B619A">
              <w:rPr>
                <w:rFonts w:hAnsi="標楷體"/>
                <w:b/>
                <w:bCs/>
                <w:color w:val="000000" w:themeColor="text1"/>
                <w:sz w:val="26"/>
                <w:szCs w:val="26"/>
              </w:rPr>
              <w:t>年度</w:t>
            </w:r>
          </w:p>
        </w:tc>
        <w:tc>
          <w:tcPr>
            <w:tcW w:w="2760" w:type="dxa"/>
            <w:tcBorders>
              <w:top w:val="single" w:sz="8" w:space="0" w:color="FFFFFF"/>
              <w:left w:val="single" w:sz="8" w:space="0" w:color="FFFFFF"/>
              <w:bottom w:val="single" w:sz="8" w:space="0" w:color="FFFFFF"/>
              <w:right w:val="single" w:sz="8" w:space="0" w:color="FFFFFF"/>
            </w:tcBorders>
            <w:shd w:val="clear" w:color="auto" w:fill="D0DDEF"/>
            <w:tcMar>
              <w:top w:w="0" w:type="dxa"/>
              <w:left w:w="0" w:type="dxa"/>
              <w:bottom w:w="0" w:type="dxa"/>
              <w:right w:w="0" w:type="dxa"/>
            </w:tcMar>
            <w:vAlign w:val="center"/>
          </w:tcPr>
          <w:p w14:paraId="260727B0" w14:textId="77777777" w:rsidR="004E4190" w:rsidRPr="008B619A" w:rsidRDefault="004E4190" w:rsidP="00554AD9">
            <w:pPr>
              <w:jc w:val="center"/>
              <w:rPr>
                <w:rFonts w:hAnsi="標楷體"/>
                <w:b/>
                <w:bCs/>
                <w:color w:val="000000" w:themeColor="text1"/>
                <w:sz w:val="26"/>
                <w:szCs w:val="26"/>
              </w:rPr>
            </w:pPr>
            <w:r w:rsidRPr="008B619A">
              <w:rPr>
                <w:rFonts w:hAnsi="標楷體"/>
                <w:b/>
                <w:bCs/>
                <w:color w:val="000000" w:themeColor="text1"/>
                <w:sz w:val="26"/>
                <w:szCs w:val="26"/>
              </w:rPr>
              <w:t>人數</w:t>
            </w:r>
          </w:p>
        </w:tc>
        <w:tc>
          <w:tcPr>
            <w:tcW w:w="2760" w:type="dxa"/>
            <w:tcBorders>
              <w:top w:val="single" w:sz="8" w:space="0" w:color="FFFFFF"/>
              <w:left w:val="single" w:sz="8" w:space="0" w:color="FFFFFF"/>
              <w:bottom w:val="single" w:sz="8" w:space="0" w:color="FFFFFF"/>
              <w:right w:val="single" w:sz="8" w:space="0" w:color="FFFFFF"/>
            </w:tcBorders>
            <w:shd w:val="clear" w:color="auto" w:fill="D0DDEF"/>
            <w:tcMar>
              <w:top w:w="0" w:type="dxa"/>
              <w:left w:w="0" w:type="dxa"/>
              <w:bottom w:w="0" w:type="dxa"/>
              <w:right w:w="0" w:type="dxa"/>
            </w:tcMar>
            <w:vAlign w:val="center"/>
          </w:tcPr>
          <w:p w14:paraId="7B8A4441" w14:textId="77777777" w:rsidR="004E4190" w:rsidRPr="008B619A" w:rsidRDefault="004E4190" w:rsidP="00554AD9">
            <w:pPr>
              <w:jc w:val="center"/>
              <w:rPr>
                <w:rFonts w:hAnsi="標楷體"/>
                <w:b/>
                <w:bCs/>
                <w:color w:val="000000" w:themeColor="text1"/>
                <w:sz w:val="26"/>
                <w:szCs w:val="26"/>
              </w:rPr>
            </w:pPr>
            <w:r w:rsidRPr="008B619A">
              <w:rPr>
                <w:rFonts w:hAnsi="標楷體"/>
                <w:b/>
                <w:bCs/>
                <w:color w:val="000000" w:themeColor="text1"/>
                <w:sz w:val="26"/>
                <w:szCs w:val="26"/>
              </w:rPr>
              <w:t>較前年變化</w:t>
            </w:r>
          </w:p>
        </w:tc>
      </w:tr>
      <w:tr w:rsidR="00DF69D7" w:rsidRPr="008B619A" w14:paraId="2AD47023" w14:textId="77777777" w:rsidTr="00DB13FD">
        <w:trPr>
          <w:trHeight w:val="460"/>
        </w:trPr>
        <w:tc>
          <w:tcPr>
            <w:tcW w:w="2760" w:type="dxa"/>
            <w:tcBorders>
              <w:top w:val="single" w:sz="8" w:space="0" w:color="FFFFFF"/>
              <w:left w:val="single" w:sz="8" w:space="0" w:color="FFFFFF"/>
              <w:bottom w:val="single" w:sz="8" w:space="0" w:color="FFFFFF"/>
              <w:right w:val="single" w:sz="8" w:space="0" w:color="FFFFFF"/>
            </w:tcBorders>
            <w:shd w:val="clear" w:color="auto" w:fill="E9EEF7"/>
            <w:tcMar>
              <w:top w:w="0" w:type="dxa"/>
              <w:left w:w="0" w:type="dxa"/>
              <w:bottom w:w="0" w:type="dxa"/>
              <w:right w:w="0" w:type="dxa"/>
            </w:tcMar>
            <w:vAlign w:val="center"/>
          </w:tcPr>
          <w:p w14:paraId="21FE1393" w14:textId="77777777" w:rsidR="004E4190" w:rsidRPr="008B619A" w:rsidRDefault="004E4190" w:rsidP="00DF69D7">
            <w:pPr>
              <w:jc w:val="center"/>
              <w:rPr>
                <w:rFonts w:hAnsi="標楷體"/>
                <w:b/>
                <w:bCs/>
                <w:color w:val="000000" w:themeColor="text1"/>
                <w:sz w:val="26"/>
                <w:szCs w:val="26"/>
              </w:rPr>
            </w:pPr>
            <w:r w:rsidRPr="008B619A">
              <w:rPr>
                <w:rFonts w:hAnsi="標楷體"/>
                <w:b/>
                <w:bCs/>
                <w:color w:val="000000" w:themeColor="text1"/>
                <w:sz w:val="26"/>
                <w:szCs w:val="26"/>
              </w:rPr>
              <w:t>2008/09</w:t>
            </w:r>
          </w:p>
        </w:tc>
        <w:tc>
          <w:tcPr>
            <w:tcW w:w="2760" w:type="dxa"/>
            <w:tcBorders>
              <w:top w:val="single" w:sz="8" w:space="0" w:color="FFFFFF"/>
              <w:left w:val="single" w:sz="8" w:space="0" w:color="FFFFFF"/>
              <w:bottom w:val="single" w:sz="8" w:space="0" w:color="FFFFFF"/>
              <w:right w:val="single" w:sz="8" w:space="0" w:color="FFFFFF"/>
            </w:tcBorders>
            <w:shd w:val="clear" w:color="auto" w:fill="E9EEF7"/>
            <w:tcMar>
              <w:top w:w="0" w:type="dxa"/>
              <w:left w:w="0" w:type="dxa"/>
              <w:bottom w:w="0" w:type="dxa"/>
              <w:right w:w="0" w:type="dxa"/>
            </w:tcMar>
            <w:vAlign w:val="center"/>
          </w:tcPr>
          <w:p w14:paraId="2B41B37D" w14:textId="77777777" w:rsidR="004E4190" w:rsidRPr="008B619A" w:rsidRDefault="004E4190" w:rsidP="00DF69D7">
            <w:pPr>
              <w:jc w:val="right"/>
              <w:rPr>
                <w:rFonts w:hAnsi="標楷體"/>
                <w:color w:val="000000" w:themeColor="text1"/>
                <w:sz w:val="26"/>
                <w:szCs w:val="26"/>
              </w:rPr>
            </w:pPr>
            <w:r w:rsidRPr="008B619A">
              <w:rPr>
                <w:rFonts w:hAnsi="標楷體"/>
                <w:color w:val="000000" w:themeColor="text1"/>
                <w:sz w:val="26"/>
                <w:szCs w:val="26"/>
              </w:rPr>
              <w:t>78,915</w:t>
            </w:r>
          </w:p>
        </w:tc>
        <w:tc>
          <w:tcPr>
            <w:tcW w:w="2760" w:type="dxa"/>
            <w:tcBorders>
              <w:top w:val="single" w:sz="8" w:space="0" w:color="FFFFFF"/>
              <w:left w:val="single" w:sz="8" w:space="0" w:color="FFFFFF"/>
              <w:bottom w:val="single" w:sz="8" w:space="0" w:color="FFFFFF"/>
              <w:right w:val="single" w:sz="8" w:space="0" w:color="FFFFFF"/>
            </w:tcBorders>
            <w:shd w:val="clear" w:color="auto" w:fill="E9EEF7"/>
            <w:tcMar>
              <w:top w:w="0" w:type="dxa"/>
              <w:left w:w="0" w:type="dxa"/>
              <w:bottom w:w="0" w:type="dxa"/>
              <w:right w:w="0" w:type="dxa"/>
            </w:tcMar>
            <w:vAlign w:val="center"/>
          </w:tcPr>
          <w:p w14:paraId="128F9F06" w14:textId="77777777" w:rsidR="004E4190" w:rsidRPr="008B619A" w:rsidRDefault="004E4190" w:rsidP="00DF69D7">
            <w:pPr>
              <w:jc w:val="right"/>
              <w:rPr>
                <w:rFonts w:hAnsi="標楷體"/>
                <w:color w:val="000000" w:themeColor="text1"/>
                <w:sz w:val="26"/>
                <w:szCs w:val="26"/>
              </w:rPr>
            </w:pPr>
            <w:r w:rsidRPr="008B619A">
              <w:rPr>
                <w:rFonts w:hAnsi="標楷體"/>
                <w:color w:val="000000" w:themeColor="text1"/>
                <w:sz w:val="26"/>
                <w:szCs w:val="26"/>
              </w:rPr>
              <w:t>—</w:t>
            </w:r>
          </w:p>
        </w:tc>
      </w:tr>
      <w:tr w:rsidR="00DF69D7" w:rsidRPr="008B619A" w14:paraId="6D5647CA" w14:textId="77777777" w:rsidTr="00DB13FD">
        <w:trPr>
          <w:trHeight w:val="460"/>
        </w:trPr>
        <w:tc>
          <w:tcPr>
            <w:tcW w:w="2760" w:type="dxa"/>
            <w:tcBorders>
              <w:top w:val="single" w:sz="8" w:space="0" w:color="FFFFFF"/>
              <w:left w:val="single" w:sz="8" w:space="0" w:color="FFFFFF"/>
              <w:bottom w:val="single" w:sz="8" w:space="0" w:color="FFFFFF"/>
              <w:right w:val="single" w:sz="8" w:space="0" w:color="FFFFFF"/>
            </w:tcBorders>
            <w:shd w:val="clear" w:color="auto" w:fill="D0DDEF"/>
            <w:tcMar>
              <w:top w:w="0" w:type="dxa"/>
              <w:left w:w="0" w:type="dxa"/>
              <w:bottom w:w="0" w:type="dxa"/>
              <w:right w:w="0" w:type="dxa"/>
            </w:tcMar>
            <w:vAlign w:val="center"/>
          </w:tcPr>
          <w:p w14:paraId="32DEC914" w14:textId="77777777" w:rsidR="004E4190" w:rsidRPr="008B619A" w:rsidRDefault="004E4190" w:rsidP="00DF69D7">
            <w:pPr>
              <w:jc w:val="center"/>
              <w:rPr>
                <w:rFonts w:hAnsi="標楷體"/>
                <w:b/>
                <w:bCs/>
                <w:color w:val="000000" w:themeColor="text1"/>
                <w:sz w:val="26"/>
                <w:szCs w:val="26"/>
              </w:rPr>
            </w:pPr>
            <w:r w:rsidRPr="008B619A">
              <w:rPr>
                <w:rFonts w:hAnsi="標楷體"/>
                <w:b/>
                <w:bCs/>
                <w:color w:val="000000" w:themeColor="text1"/>
                <w:sz w:val="26"/>
                <w:szCs w:val="26"/>
              </w:rPr>
              <w:t>2009/10</w:t>
            </w:r>
          </w:p>
        </w:tc>
        <w:tc>
          <w:tcPr>
            <w:tcW w:w="2760" w:type="dxa"/>
            <w:tcBorders>
              <w:top w:val="single" w:sz="8" w:space="0" w:color="FFFFFF"/>
              <w:left w:val="single" w:sz="8" w:space="0" w:color="FFFFFF"/>
              <w:bottom w:val="single" w:sz="8" w:space="0" w:color="FFFFFF"/>
              <w:right w:val="single" w:sz="8" w:space="0" w:color="FFFFFF"/>
            </w:tcBorders>
            <w:shd w:val="clear" w:color="auto" w:fill="D0DDEF"/>
            <w:tcMar>
              <w:top w:w="0" w:type="dxa"/>
              <w:left w:w="0" w:type="dxa"/>
              <w:bottom w:w="0" w:type="dxa"/>
              <w:right w:w="0" w:type="dxa"/>
            </w:tcMar>
            <w:vAlign w:val="center"/>
          </w:tcPr>
          <w:p w14:paraId="27D4E05B" w14:textId="77777777" w:rsidR="004E4190" w:rsidRPr="008B619A" w:rsidRDefault="004E4190" w:rsidP="00DF69D7">
            <w:pPr>
              <w:jc w:val="right"/>
              <w:rPr>
                <w:rFonts w:hAnsi="標楷體"/>
                <w:color w:val="000000" w:themeColor="text1"/>
                <w:sz w:val="26"/>
                <w:szCs w:val="26"/>
              </w:rPr>
            </w:pPr>
            <w:r w:rsidRPr="008B619A">
              <w:rPr>
                <w:rFonts w:hAnsi="標楷體"/>
                <w:color w:val="000000" w:themeColor="text1"/>
                <w:sz w:val="26"/>
                <w:szCs w:val="26"/>
              </w:rPr>
              <w:t>82,615</w:t>
            </w:r>
          </w:p>
        </w:tc>
        <w:tc>
          <w:tcPr>
            <w:tcW w:w="2760" w:type="dxa"/>
            <w:tcBorders>
              <w:top w:val="single" w:sz="8" w:space="0" w:color="FFFFFF"/>
              <w:left w:val="single" w:sz="8" w:space="0" w:color="FFFFFF"/>
              <w:bottom w:val="single" w:sz="8" w:space="0" w:color="FFFFFF"/>
              <w:right w:val="single" w:sz="8" w:space="0" w:color="FFFFFF"/>
            </w:tcBorders>
            <w:shd w:val="clear" w:color="auto" w:fill="D0DDEF"/>
            <w:tcMar>
              <w:top w:w="0" w:type="dxa"/>
              <w:left w:w="0" w:type="dxa"/>
              <w:bottom w:w="0" w:type="dxa"/>
              <w:right w:w="0" w:type="dxa"/>
            </w:tcMar>
            <w:vAlign w:val="center"/>
          </w:tcPr>
          <w:p w14:paraId="2CAFBF9A" w14:textId="77777777" w:rsidR="004E4190" w:rsidRPr="008B619A" w:rsidRDefault="004E4190" w:rsidP="00DF69D7">
            <w:pPr>
              <w:jc w:val="right"/>
              <w:rPr>
                <w:rFonts w:hAnsi="標楷體"/>
                <w:color w:val="000000" w:themeColor="text1"/>
                <w:sz w:val="26"/>
                <w:szCs w:val="26"/>
              </w:rPr>
            </w:pPr>
            <w:r w:rsidRPr="008B619A">
              <w:rPr>
                <w:rFonts w:hAnsi="標楷體"/>
                <w:color w:val="000000" w:themeColor="text1"/>
                <w:sz w:val="26"/>
                <w:szCs w:val="26"/>
              </w:rPr>
              <w:t>3,700</w:t>
            </w:r>
          </w:p>
        </w:tc>
      </w:tr>
      <w:tr w:rsidR="00DF69D7" w:rsidRPr="008B619A" w14:paraId="3515014C" w14:textId="77777777" w:rsidTr="00DB13FD">
        <w:trPr>
          <w:trHeight w:val="460"/>
        </w:trPr>
        <w:tc>
          <w:tcPr>
            <w:tcW w:w="2760" w:type="dxa"/>
            <w:tcBorders>
              <w:top w:val="single" w:sz="8" w:space="0" w:color="FFFFFF"/>
              <w:left w:val="single" w:sz="8" w:space="0" w:color="FFFFFF"/>
              <w:bottom w:val="single" w:sz="8" w:space="0" w:color="FFFFFF"/>
              <w:right w:val="single" w:sz="8" w:space="0" w:color="FFFFFF"/>
            </w:tcBorders>
            <w:shd w:val="clear" w:color="auto" w:fill="E9EEF7"/>
            <w:tcMar>
              <w:top w:w="0" w:type="dxa"/>
              <w:left w:w="0" w:type="dxa"/>
              <w:bottom w:w="0" w:type="dxa"/>
              <w:right w:w="0" w:type="dxa"/>
            </w:tcMar>
            <w:vAlign w:val="center"/>
          </w:tcPr>
          <w:p w14:paraId="220D1036" w14:textId="77777777" w:rsidR="004E4190" w:rsidRPr="008B619A" w:rsidRDefault="004E4190" w:rsidP="00DF69D7">
            <w:pPr>
              <w:jc w:val="center"/>
              <w:rPr>
                <w:rFonts w:hAnsi="標楷體"/>
                <w:b/>
                <w:bCs/>
                <w:color w:val="000000" w:themeColor="text1"/>
                <w:sz w:val="26"/>
                <w:szCs w:val="26"/>
              </w:rPr>
            </w:pPr>
            <w:r w:rsidRPr="008B619A">
              <w:rPr>
                <w:rFonts w:hAnsi="標楷體"/>
                <w:b/>
                <w:bCs/>
                <w:color w:val="000000" w:themeColor="text1"/>
                <w:sz w:val="26"/>
                <w:szCs w:val="26"/>
              </w:rPr>
              <w:t>2010/11</w:t>
            </w:r>
          </w:p>
        </w:tc>
        <w:tc>
          <w:tcPr>
            <w:tcW w:w="2760" w:type="dxa"/>
            <w:tcBorders>
              <w:top w:val="single" w:sz="8" w:space="0" w:color="FFFFFF"/>
              <w:left w:val="single" w:sz="8" w:space="0" w:color="FFFFFF"/>
              <w:bottom w:val="single" w:sz="8" w:space="0" w:color="FFFFFF"/>
              <w:right w:val="single" w:sz="8" w:space="0" w:color="FFFFFF"/>
            </w:tcBorders>
            <w:shd w:val="clear" w:color="auto" w:fill="E9EEF7"/>
            <w:tcMar>
              <w:top w:w="0" w:type="dxa"/>
              <w:left w:w="0" w:type="dxa"/>
              <w:bottom w:w="0" w:type="dxa"/>
              <w:right w:w="0" w:type="dxa"/>
            </w:tcMar>
            <w:vAlign w:val="center"/>
          </w:tcPr>
          <w:p w14:paraId="6A33BCF5" w14:textId="77777777" w:rsidR="004E4190" w:rsidRPr="008B619A" w:rsidRDefault="004E4190" w:rsidP="00DF69D7">
            <w:pPr>
              <w:jc w:val="right"/>
              <w:rPr>
                <w:rFonts w:hAnsi="標楷體"/>
                <w:color w:val="000000" w:themeColor="text1"/>
                <w:sz w:val="26"/>
                <w:szCs w:val="26"/>
              </w:rPr>
            </w:pPr>
            <w:r w:rsidRPr="008B619A">
              <w:rPr>
                <w:rFonts w:hAnsi="標楷體"/>
                <w:color w:val="000000" w:themeColor="text1"/>
                <w:sz w:val="26"/>
                <w:szCs w:val="26"/>
              </w:rPr>
              <w:t>87,780</w:t>
            </w:r>
          </w:p>
        </w:tc>
        <w:tc>
          <w:tcPr>
            <w:tcW w:w="2760" w:type="dxa"/>
            <w:tcBorders>
              <w:top w:val="single" w:sz="8" w:space="0" w:color="FFFFFF"/>
              <w:left w:val="single" w:sz="8" w:space="0" w:color="FFFFFF"/>
              <w:bottom w:val="single" w:sz="8" w:space="0" w:color="FFFFFF"/>
              <w:right w:val="single" w:sz="8" w:space="0" w:color="FFFFFF"/>
            </w:tcBorders>
            <w:shd w:val="clear" w:color="auto" w:fill="E9EEF7"/>
            <w:tcMar>
              <w:top w:w="0" w:type="dxa"/>
              <w:left w:w="0" w:type="dxa"/>
              <w:bottom w:w="0" w:type="dxa"/>
              <w:right w:w="0" w:type="dxa"/>
            </w:tcMar>
            <w:vAlign w:val="center"/>
          </w:tcPr>
          <w:p w14:paraId="5DE4FEEF" w14:textId="77777777" w:rsidR="004E4190" w:rsidRPr="008B619A" w:rsidRDefault="004E4190" w:rsidP="00DF69D7">
            <w:pPr>
              <w:jc w:val="right"/>
              <w:rPr>
                <w:rFonts w:hAnsi="標楷體"/>
                <w:color w:val="000000" w:themeColor="text1"/>
                <w:sz w:val="26"/>
                <w:szCs w:val="26"/>
              </w:rPr>
            </w:pPr>
            <w:r w:rsidRPr="008B619A">
              <w:rPr>
                <w:rFonts w:hAnsi="標楷體"/>
                <w:color w:val="000000" w:themeColor="text1"/>
                <w:sz w:val="26"/>
                <w:szCs w:val="26"/>
              </w:rPr>
              <w:t>5,165</w:t>
            </w:r>
          </w:p>
        </w:tc>
      </w:tr>
      <w:tr w:rsidR="00DF69D7" w:rsidRPr="008B619A" w14:paraId="7CFC0A7A" w14:textId="77777777" w:rsidTr="00DB13FD">
        <w:trPr>
          <w:trHeight w:val="460"/>
        </w:trPr>
        <w:tc>
          <w:tcPr>
            <w:tcW w:w="2760" w:type="dxa"/>
            <w:tcBorders>
              <w:top w:val="single" w:sz="8" w:space="0" w:color="FFFFFF"/>
              <w:left w:val="single" w:sz="8" w:space="0" w:color="FFFFFF"/>
              <w:bottom w:val="single" w:sz="8" w:space="0" w:color="FFFFFF"/>
              <w:right w:val="single" w:sz="8" w:space="0" w:color="FFFFFF"/>
            </w:tcBorders>
            <w:shd w:val="clear" w:color="auto" w:fill="D0DDEF"/>
            <w:tcMar>
              <w:top w:w="0" w:type="dxa"/>
              <w:left w:w="0" w:type="dxa"/>
              <w:bottom w:w="0" w:type="dxa"/>
              <w:right w:w="0" w:type="dxa"/>
            </w:tcMar>
            <w:vAlign w:val="center"/>
          </w:tcPr>
          <w:p w14:paraId="01DF9EB9" w14:textId="77777777" w:rsidR="004E4190" w:rsidRPr="008B619A" w:rsidRDefault="004E4190" w:rsidP="00DF69D7">
            <w:pPr>
              <w:jc w:val="center"/>
              <w:rPr>
                <w:rFonts w:hAnsi="標楷體"/>
                <w:b/>
                <w:bCs/>
                <w:color w:val="000000" w:themeColor="text1"/>
                <w:sz w:val="26"/>
                <w:szCs w:val="26"/>
              </w:rPr>
            </w:pPr>
            <w:r w:rsidRPr="008B619A">
              <w:rPr>
                <w:rFonts w:hAnsi="標楷體"/>
                <w:b/>
                <w:bCs/>
                <w:color w:val="000000" w:themeColor="text1"/>
                <w:sz w:val="26"/>
                <w:szCs w:val="26"/>
              </w:rPr>
              <w:t>2011/12</w:t>
            </w:r>
          </w:p>
        </w:tc>
        <w:tc>
          <w:tcPr>
            <w:tcW w:w="2760" w:type="dxa"/>
            <w:tcBorders>
              <w:top w:val="single" w:sz="8" w:space="0" w:color="FFFFFF"/>
              <w:left w:val="single" w:sz="8" w:space="0" w:color="FFFFFF"/>
              <w:bottom w:val="single" w:sz="8" w:space="0" w:color="FFFFFF"/>
              <w:right w:val="single" w:sz="8" w:space="0" w:color="FFFFFF"/>
            </w:tcBorders>
            <w:shd w:val="clear" w:color="auto" w:fill="D0DDEF"/>
            <w:tcMar>
              <w:top w:w="0" w:type="dxa"/>
              <w:left w:w="0" w:type="dxa"/>
              <w:bottom w:w="0" w:type="dxa"/>
              <w:right w:w="0" w:type="dxa"/>
            </w:tcMar>
            <w:vAlign w:val="center"/>
          </w:tcPr>
          <w:p w14:paraId="7AD8D813" w14:textId="77777777" w:rsidR="004E4190" w:rsidRPr="008B619A" w:rsidRDefault="004E4190" w:rsidP="00DF69D7">
            <w:pPr>
              <w:jc w:val="right"/>
              <w:rPr>
                <w:rFonts w:hAnsi="標楷體"/>
                <w:color w:val="000000" w:themeColor="text1"/>
                <w:sz w:val="26"/>
                <w:szCs w:val="26"/>
              </w:rPr>
            </w:pPr>
            <w:r w:rsidRPr="008B619A">
              <w:rPr>
                <w:rFonts w:hAnsi="標楷體"/>
                <w:color w:val="000000" w:themeColor="text1"/>
                <w:sz w:val="26"/>
                <w:szCs w:val="26"/>
              </w:rPr>
              <w:t>92,755</w:t>
            </w:r>
          </w:p>
        </w:tc>
        <w:tc>
          <w:tcPr>
            <w:tcW w:w="2760" w:type="dxa"/>
            <w:tcBorders>
              <w:top w:val="single" w:sz="8" w:space="0" w:color="FFFFFF"/>
              <w:left w:val="single" w:sz="8" w:space="0" w:color="FFFFFF"/>
              <w:bottom w:val="single" w:sz="8" w:space="0" w:color="FFFFFF"/>
              <w:right w:val="single" w:sz="8" w:space="0" w:color="FFFFFF"/>
            </w:tcBorders>
            <w:shd w:val="clear" w:color="auto" w:fill="D0DDEF"/>
            <w:tcMar>
              <w:top w:w="0" w:type="dxa"/>
              <w:left w:w="0" w:type="dxa"/>
              <w:bottom w:w="0" w:type="dxa"/>
              <w:right w:w="0" w:type="dxa"/>
            </w:tcMar>
            <w:vAlign w:val="center"/>
          </w:tcPr>
          <w:p w14:paraId="6BE64BEF" w14:textId="77777777" w:rsidR="004E4190" w:rsidRPr="008B619A" w:rsidRDefault="004E4190" w:rsidP="00DF69D7">
            <w:pPr>
              <w:jc w:val="right"/>
              <w:rPr>
                <w:rFonts w:hAnsi="標楷體"/>
                <w:color w:val="000000" w:themeColor="text1"/>
                <w:sz w:val="26"/>
                <w:szCs w:val="26"/>
              </w:rPr>
            </w:pPr>
            <w:r w:rsidRPr="008B619A">
              <w:rPr>
                <w:rFonts w:hAnsi="標楷體"/>
                <w:color w:val="000000" w:themeColor="text1"/>
                <w:sz w:val="26"/>
                <w:szCs w:val="26"/>
              </w:rPr>
              <w:t>4,975</w:t>
            </w:r>
          </w:p>
        </w:tc>
      </w:tr>
      <w:tr w:rsidR="00DF69D7" w:rsidRPr="008B619A" w14:paraId="48078E12" w14:textId="77777777" w:rsidTr="00DB13FD">
        <w:trPr>
          <w:trHeight w:val="460"/>
        </w:trPr>
        <w:tc>
          <w:tcPr>
            <w:tcW w:w="2760" w:type="dxa"/>
            <w:tcBorders>
              <w:top w:val="single" w:sz="8" w:space="0" w:color="FFFFFF"/>
              <w:left w:val="single" w:sz="8" w:space="0" w:color="FFFFFF"/>
              <w:bottom w:val="single" w:sz="8" w:space="0" w:color="FFFFFF"/>
              <w:right w:val="single" w:sz="8" w:space="0" w:color="FFFFFF"/>
            </w:tcBorders>
            <w:shd w:val="clear" w:color="auto" w:fill="E9EEF7"/>
            <w:tcMar>
              <w:top w:w="0" w:type="dxa"/>
              <w:left w:w="0" w:type="dxa"/>
              <w:bottom w:w="0" w:type="dxa"/>
              <w:right w:w="0" w:type="dxa"/>
            </w:tcMar>
            <w:vAlign w:val="center"/>
          </w:tcPr>
          <w:p w14:paraId="6C2AF7DC" w14:textId="77777777" w:rsidR="004E4190" w:rsidRPr="008B619A" w:rsidRDefault="004E4190" w:rsidP="00DF69D7">
            <w:pPr>
              <w:jc w:val="center"/>
              <w:rPr>
                <w:rFonts w:hAnsi="標楷體"/>
                <w:b/>
                <w:bCs/>
                <w:color w:val="000000" w:themeColor="text1"/>
                <w:sz w:val="26"/>
                <w:szCs w:val="26"/>
              </w:rPr>
            </w:pPr>
            <w:r w:rsidRPr="008B619A">
              <w:rPr>
                <w:rFonts w:hAnsi="標楷體"/>
                <w:b/>
                <w:bCs/>
                <w:color w:val="000000" w:themeColor="text1"/>
                <w:sz w:val="26"/>
                <w:szCs w:val="26"/>
              </w:rPr>
              <w:t>2012/13</w:t>
            </w:r>
          </w:p>
        </w:tc>
        <w:tc>
          <w:tcPr>
            <w:tcW w:w="2760" w:type="dxa"/>
            <w:tcBorders>
              <w:top w:val="single" w:sz="8" w:space="0" w:color="FFFFFF"/>
              <w:left w:val="single" w:sz="8" w:space="0" w:color="FFFFFF"/>
              <w:bottom w:val="single" w:sz="8" w:space="0" w:color="FFFFFF"/>
              <w:right w:val="single" w:sz="8" w:space="0" w:color="FFFFFF"/>
            </w:tcBorders>
            <w:shd w:val="clear" w:color="auto" w:fill="E9EEF7"/>
            <w:tcMar>
              <w:top w:w="0" w:type="dxa"/>
              <w:left w:w="0" w:type="dxa"/>
              <w:bottom w:w="0" w:type="dxa"/>
              <w:right w:w="0" w:type="dxa"/>
            </w:tcMar>
            <w:vAlign w:val="center"/>
          </w:tcPr>
          <w:p w14:paraId="47739168" w14:textId="77777777" w:rsidR="004E4190" w:rsidRPr="008B619A" w:rsidRDefault="004E4190" w:rsidP="00DF69D7">
            <w:pPr>
              <w:jc w:val="right"/>
              <w:rPr>
                <w:rFonts w:hAnsi="標楷體"/>
                <w:color w:val="000000" w:themeColor="text1"/>
                <w:sz w:val="26"/>
                <w:szCs w:val="26"/>
              </w:rPr>
            </w:pPr>
            <w:r w:rsidRPr="008B619A">
              <w:rPr>
                <w:rFonts w:hAnsi="標楷體"/>
                <w:color w:val="000000" w:themeColor="text1"/>
                <w:sz w:val="26"/>
                <w:szCs w:val="26"/>
              </w:rPr>
              <w:t>94,595</w:t>
            </w:r>
          </w:p>
        </w:tc>
        <w:tc>
          <w:tcPr>
            <w:tcW w:w="2760" w:type="dxa"/>
            <w:tcBorders>
              <w:top w:val="single" w:sz="8" w:space="0" w:color="FFFFFF"/>
              <w:left w:val="single" w:sz="8" w:space="0" w:color="FFFFFF"/>
              <w:bottom w:val="single" w:sz="8" w:space="0" w:color="FFFFFF"/>
              <w:right w:val="single" w:sz="8" w:space="0" w:color="FFFFFF"/>
            </w:tcBorders>
            <w:shd w:val="clear" w:color="auto" w:fill="E9EEF7"/>
            <w:tcMar>
              <w:top w:w="0" w:type="dxa"/>
              <w:left w:w="0" w:type="dxa"/>
              <w:bottom w:w="0" w:type="dxa"/>
              <w:right w:w="0" w:type="dxa"/>
            </w:tcMar>
            <w:vAlign w:val="center"/>
          </w:tcPr>
          <w:p w14:paraId="379E1E92" w14:textId="77777777" w:rsidR="004E4190" w:rsidRPr="008B619A" w:rsidRDefault="004E4190" w:rsidP="00DF69D7">
            <w:pPr>
              <w:jc w:val="right"/>
              <w:rPr>
                <w:rFonts w:hAnsi="標楷體"/>
                <w:color w:val="000000" w:themeColor="text1"/>
                <w:sz w:val="26"/>
                <w:szCs w:val="26"/>
              </w:rPr>
            </w:pPr>
            <w:r w:rsidRPr="008B619A">
              <w:rPr>
                <w:rFonts w:hAnsi="標楷體"/>
                <w:color w:val="000000" w:themeColor="text1"/>
                <w:sz w:val="26"/>
                <w:szCs w:val="26"/>
              </w:rPr>
              <w:t>1,840</w:t>
            </w:r>
          </w:p>
        </w:tc>
      </w:tr>
      <w:tr w:rsidR="00DF69D7" w:rsidRPr="008B619A" w14:paraId="253603C6" w14:textId="77777777" w:rsidTr="00DB13FD">
        <w:trPr>
          <w:trHeight w:val="460"/>
        </w:trPr>
        <w:tc>
          <w:tcPr>
            <w:tcW w:w="2760" w:type="dxa"/>
            <w:tcBorders>
              <w:top w:val="single" w:sz="8" w:space="0" w:color="FFFFFF"/>
              <w:left w:val="single" w:sz="8" w:space="0" w:color="FFFFFF"/>
              <w:bottom w:val="single" w:sz="8" w:space="0" w:color="FFFFFF"/>
              <w:right w:val="single" w:sz="8" w:space="0" w:color="FFFFFF"/>
            </w:tcBorders>
            <w:shd w:val="clear" w:color="auto" w:fill="D0DDEF"/>
            <w:tcMar>
              <w:top w:w="0" w:type="dxa"/>
              <w:left w:w="0" w:type="dxa"/>
              <w:bottom w:w="0" w:type="dxa"/>
              <w:right w:w="0" w:type="dxa"/>
            </w:tcMar>
            <w:vAlign w:val="center"/>
          </w:tcPr>
          <w:p w14:paraId="64E229DE" w14:textId="77777777" w:rsidR="004E4190" w:rsidRPr="008B619A" w:rsidRDefault="004E4190" w:rsidP="00DF69D7">
            <w:pPr>
              <w:jc w:val="center"/>
              <w:rPr>
                <w:rFonts w:hAnsi="標楷體"/>
                <w:b/>
                <w:bCs/>
                <w:color w:val="000000" w:themeColor="text1"/>
                <w:sz w:val="26"/>
                <w:szCs w:val="26"/>
              </w:rPr>
            </w:pPr>
            <w:r w:rsidRPr="008B619A">
              <w:rPr>
                <w:rFonts w:hAnsi="標楷體"/>
                <w:b/>
                <w:bCs/>
                <w:color w:val="000000" w:themeColor="text1"/>
                <w:sz w:val="26"/>
                <w:szCs w:val="26"/>
              </w:rPr>
              <w:t>2013/14</w:t>
            </w:r>
          </w:p>
        </w:tc>
        <w:tc>
          <w:tcPr>
            <w:tcW w:w="2760" w:type="dxa"/>
            <w:tcBorders>
              <w:top w:val="single" w:sz="8" w:space="0" w:color="FFFFFF"/>
              <w:left w:val="single" w:sz="8" w:space="0" w:color="FFFFFF"/>
              <w:bottom w:val="single" w:sz="8" w:space="0" w:color="FFFFFF"/>
              <w:right w:val="single" w:sz="8" w:space="0" w:color="FFFFFF"/>
            </w:tcBorders>
            <w:shd w:val="clear" w:color="auto" w:fill="D0DDEF"/>
            <w:tcMar>
              <w:top w:w="0" w:type="dxa"/>
              <w:left w:w="0" w:type="dxa"/>
              <w:bottom w:w="0" w:type="dxa"/>
              <w:right w:w="0" w:type="dxa"/>
            </w:tcMar>
            <w:vAlign w:val="center"/>
          </w:tcPr>
          <w:p w14:paraId="536D27FA" w14:textId="77777777" w:rsidR="004E4190" w:rsidRPr="008B619A" w:rsidRDefault="004E4190" w:rsidP="00DF69D7">
            <w:pPr>
              <w:jc w:val="right"/>
              <w:rPr>
                <w:rFonts w:hAnsi="標楷體"/>
                <w:color w:val="000000" w:themeColor="text1"/>
                <w:sz w:val="26"/>
                <w:szCs w:val="26"/>
              </w:rPr>
            </w:pPr>
            <w:r w:rsidRPr="008B619A">
              <w:rPr>
                <w:rFonts w:hAnsi="標楷體"/>
                <w:color w:val="000000" w:themeColor="text1"/>
                <w:sz w:val="26"/>
                <w:szCs w:val="26"/>
              </w:rPr>
              <w:t>98,365</w:t>
            </w:r>
          </w:p>
        </w:tc>
        <w:tc>
          <w:tcPr>
            <w:tcW w:w="2760" w:type="dxa"/>
            <w:tcBorders>
              <w:top w:val="single" w:sz="8" w:space="0" w:color="FFFFFF"/>
              <w:left w:val="single" w:sz="8" w:space="0" w:color="FFFFFF"/>
              <w:bottom w:val="single" w:sz="8" w:space="0" w:color="FFFFFF"/>
              <w:right w:val="single" w:sz="8" w:space="0" w:color="FFFFFF"/>
            </w:tcBorders>
            <w:shd w:val="clear" w:color="auto" w:fill="D0DDEF"/>
            <w:tcMar>
              <w:top w:w="0" w:type="dxa"/>
              <w:left w:w="0" w:type="dxa"/>
              <w:bottom w:w="0" w:type="dxa"/>
              <w:right w:w="0" w:type="dxa"/>
            </w:tcMar>
            <w:vAlign w:val="center"/>
          </w:tcPr>
          <w:p w14:paraId="1DA3851A" w14:textId="77777777" w:rsidR="004E4190" w:rsidRPr="008B619A" w:rsidRDefault="004E4190" w:rsidP="00DF69D7">
            <w:pPr>
              <w:jc w:val="right"/>
              <w:rPr>
                <w:rFonts w:hAnsi="標楷體"/>
                <w:color w:val="000000" w:themeColor="text1"/>
                <w:sz w:val="26"/>
                <w:szCs w:val="26"/>
              </w:rPr>
            </w:pPr>
            <w:r w:rsidRPr="008B619A">
              <w:rPr>
                <w:rFonts w:hAnsi="標楷體"/>
                <w:color w:val="000000" w:themeColor="text1"/>
                <w:sz w:val="26"/>
                <w:szCs w:val="26"/>
              </w:rPr>
              <w:t>3,770</w:t>
            </w:r>
          </w:p>
        </w:tc>
      </w:tr>
      <w:tr w:rsidR="00DF69D7" w:rsidRPr="008B619A" w14:paraId="74B87AAC" w14:textId="77777777" w:rsidTr="00DB13FD">
        <w:trPr>
          <w:trHeight w:val="460"/>
        </w:trPr>
        <w:tc>
          <w:tcPr>
            <w:tcW w:w="2760" w:type="dxa"/>
            <w:tcBorders>
              <w:top w:val="single" w:sz="8" w:space="0" w:color="FFFFFF"/>
              <w:left w:val="single" w:sz="8" w:space="0" w:color="FFFFFF"/>
              <w:bottom w:val="single" w:sz="8" w:space="0" w:color="FFFFFF"/>
              <w:right w:val="single" w:sz="8" w:space="0" w:color="FFFFFF"/>
            </w:tcBorders>
            <w:shd w:val="clear" w:color="auto" w:fill="E9EEF7"/>
            <w:tcMar>
              <w:top w:w="0" w:type="dxa"/>
              <w:left w:w="0" w:type="dxa"/>
              <w:bottom w:w="0" w:type="dxa"/>
              <w:right w:w="0" w:type="dxa"/>
            </w:tcMar>
            <w:vAlign w:val="center"/>
          </w:tcPr>
          <w:p w14:paraId="243B87CA" w14:textId="77777777" w:rsidR="004E4190" w:rsidRPr="008B619A" w:rsidRDefault="004E4190" w:rsidP="00DF69D7">
            <w:pPr>
              <w:jc w:val="center"/>
              <w:rPr>
                <w:rFonts w:hAnsi="標楷體"/>
                <w:b/>
                <w:bCs/>
                <w:color w:val="000000" w:themeColor="text1"/>
                <w:sz w:val="26"/>
                <w:szCs w:val="26"/>
              </w:rPr>
            </w:pPr>
            <w:r w:rsidRPr="008B619A">
              <w:rPr>
                <w:rFonts w:hAnsi="標楷體"/>
                <w:b/>
                <w:bCs/>
                <w:color w:val="000000" w:themeColor="text1"/>
                <w:sz w:val="26"/>
                <w:szCs w:val="26"/>
              </w:rPr>
              <w:t>2014/15</w:t>
            </w:r>
          </w:p>
        </w:tc>
        <w:tc>
          <w:tcPr>
            <w:tcW w:w="2760" w:type="dxa"/>
            <w:tcBorders>
              <w:top w:val="single" w:sz="8" w:space="0" w:color="FFFFFF"/>
              <w:left w:val="single" w:sz="8" w:space="0" w:color="FFFFFF"/>
              <w:bottom w:val="single" w:sz="8" w:space="0" w:color="FFFFFF"/>
              <w:right w:val="single" w:sz="8" w:space="0" w:color="FFFFFF"/>
            </w:tcBorders>
            <w:shd w:val="clear" w:color="auto" w:fill="E9EEF7"/>
            <w:tcMar>
              <w:top w:w="0" w:type="dxa"/>
              <w:left w:w="0" w:type="dxa"/>
              <w:bottom w:w="0" w:type="dxa"/>
              <w:right w:w="0" w:type="dxa"/>
            </w:tcMar>
            <w:vAlign w:val="center"/>
          </w:tcPr>
          <w:p w14:paraId="1AD52774" w14:textId="77777777" w:rsidR="004E4190" w:rsidRPr="008B619A" w:rsidRDefault="004E4190" w:rsidP="00DF69D7">
            <w:pPr>
              <w:jc w:val="right"/>
              <w:rPr>
                <w:rFonts w:hAnsi="標楷體"/>
                <w:color w:val="000000" w:themeColor="text1"/>
                <w:sz w:val="26"/>
                <w:szCs w:val="26"/>
              </w:rPr>
            </w:pPr>
            <w:r w:rsidRPr="008B619A">
              <w:rPr>
                <w:rStyle w:val="aff5"/>
                <w:rFonts w:hAnsi="標楷體"/>
                <w:color w:val="000000" w:themeColor="text1"/>
                <w:sz w:val="26"/>
                <w:szCs w:val="26"/>
                <w14:textOutline w14:w="12700" w14:cap="flat" w14:cmpd="sng" w14:algn="ctr">
                  <w14:noFill/>
                  <w14:prstDash w14:val="solid"/>
                  <w14:miter w14:lim="400000"/>
                </w14:textOutline>
              </w:rPr>
              <w:t>98,555</w:t>
            </w:r>
          </w:p>
        </w:tc>
        <w:tc>
          <w:tcPr>
            <w:tcW w:w="2760" w:type="dxa"/>
            <w:tcBorders>
              <w:top w:val="single" w:sz="8" w:space="0" w:color="FFFFFF"/>
              <w:left w:val="single" w:sz="8" w:space="0" w:color="FFFFFF"/>
              <w:bottom w:val="single" w:sz="8" w:space="0" w:color="FFFFFF"/>
              <w:right w:val="single" w:sz="8" w:space="0" w:color="FFFFFF"/>
            </w:tcBorders>
            <w:shd w:val="clear" w:color="auto" w:fill="E9EEF7"/>
            <w:tcMar>
              <w:top w:w="0" w:type="dxa"/>
              <w:left w:w="0" w:type="dxa"/>
              <w:bottom w:w="0" w:type="dxa"/>
              <w:right w:w="0" w:type="dxa"/>
            </w:tcMar>
            <w:vAlign w:val="center"/>
          </w:tcPr>
          <w:p w14:paraId="7E574329" w14:textId="77777777" w:rsidR="004E4190" w:rsidRPr="008B619A" w:rsidRDefault="004E4190" w:rsidP="00DF69D7">
            <w:pPr>
              <w:jc w:val="right"/>
              <w:rPr>
                <w:rFonts w:hAnsi="標楷體"/>
                <w:color w:val="000000" w:themeColor="text1"/>
                <w:sz w:val="26"/>
                <w:szCs w:val="26"/>
              </w:rPr>
            </w:pPr>
            <w:r w:rsidRPr="008B619A">
              <w:rPr>
                <w:rFonts w:hAnsi="標楷體"/>
                <w:color w:val="000000" w:themeColor="text1"/>
                <w:sz w:val="26"/>
                <w:szCs w:val="26"/>
              </w:rPr>
              <w:t>190</w:t>
            </w:r>
          </w:p>
        </w:tc>
      </w:tr>
      <w:tr w:rsidR="00DF69D7" w:rsidRPr="008B619A" w14:paraId="7CD61BFC" w14:textId="77777777" w:rsidTr="00DB13FD">
        <w:trPr>
          <w:trHeight w:val="460"/>
        </w:trPr>
        <w:tc>
          <w:tcPr>
            <w:tcW w:w="2760" w:type="dxa"/>
            <w:tcBorders>
              <w:top w:val="single" w:sz="8" w:space="0" w:color="FFFFFF"/>
              <w:left w:val="single" w:sz="8" w:space="0" w:color="FFFFFF"/>
              <w:bottom w:val="single" w:sz="8" w:space="0" w:color="FFFFFF"/>
              <w:right w:val="single" w:sz="8" w:space="0" w:color="FFFFFF"/>
            </w:tcBorders>
            <w:shd w:val="clear" w:color="auto" w:fill="D0DDEF"/>
            <w:tcMar>
              <w:top w:w="0" w:type="dxa"/>
              <w:left w:w="0" w:type="dxa"/>
              <w:bottom w:w="0" w:type="dxa"/>
              <w:right w:w="0" w:type="dxa"/>
            </w:tcMar>
            <w:vAlign w:val="center"/>
          </w:tcPr>
          <w:p w14:paraId="6446FF36" w14:textId="77777777" w:rsidR="004E4190" w:rsidRPr="008B619A" w:rsidRDefault="004E4190" w:rsidP="00DF69D7">
            <w:pPr>
              <w:jc w:val="center"/>
              <w:rPr>
                <w:rFonts w:hAnsi="標楷體"/>
                <w:b/>
                <w:bCs/>
                <w:color w:val="000000" w:themeColor="text1"/>
                <w:sz w:val="26"/>
                <w:szCs w:val="26"/>
              </w:rPr>
            </w:pPr>
            <w:r w:rsidRPr="008B619A">
              <w:rPr>
                <w:rFonts w:hAnsi="標楷體"/>
                <w:b/>
                <w:bCs/>
                <w:color w:val="000000" w:themeColor="text1"/>
                <w:sz w:val="26"/>
                <w:szCs w:val="26"/>
              </w:rPr>
              <w:t>2015/16</w:t>
            </w:r>
          </w:p>
        </w:tc>
        <w:tc>
          <w:tcPr>
            <w:tcW w:w="2760" w:type="dxa"/>
            <w:tcBorders>
              <w:top w:val="single" w:sz="8" w:space="0" w:color="FFFFFF"/>
              <w:left w:val="single" w:sz="8" w:space="0" w:color="FFFFFF"/>
              <w:bottom w:val="single" w:sz="8" w:space="0" w:color="FFFFFF"/>
              <w:right w:val="single" w:sz="8" w:space="0" w:color="FFFFFF"/>
            </w:tcBorders>
            <w:shd w:val="clear" w:color="auto" w:fill="D0DDEF"/>
            <w:tcMar>
              <w:top w:w="0" w:type="dxa"/>
              <w:left w:w="0" w:type="dxa"/>
              <w:bottom w:w="0" w:type="dxa"/>
              <w:right w:w="0" w:type="dxa"/>
            </w:tcMar>
            <w:vAlign w:val="center"/>
          </w:tcPr>
          <w:p w14:paraId="12B995A8" w14:textId="77777777" w:rsidR="004E4190" w:rsidRPr="008B619A" w:rsidRDefault="004E4190" w:rsidP="00DF69D7">
            <w:pPr>
              <w:jc w:val="right"/>
              <w:rPr>
                <w:rFonts w:hAnsi="標楷體"/>
                <w:color w:val="000000" w:themeColor="text1"/>
                <w:sz w:val="26"/>
                <w:szCs w:val="26"/>
              </w:rPr>
            </w:pPr>
            <w:r w:rsidRPr="008B619A">
              <w:rPr>
                <w:rStyle w:val="aff5"/>
                <w:rFonts w:hAnsi="標楷體"/>
                <w:color w:val="000000" w:themeColor="text1"/>
                <w:sz w:val="26"/>
                <w:szCs w:val="26"/>
                <w14:textOutline w14:w="12700" w14:cap="flat" w14:cmpd="sng" w14:algn="ctr">
                  <w14:noFill/>
                  <w14:prstDash w14:val="solid"/>
                  <w14:miter w14:lim="400000"/>
                </w14:textOutline>
              </w:rPr>
              <w:t>98,525</w:t>
            </w:r>
          </w:p>
        </w:tc>
        <w:tc>
          <w:tcPr>
            <w:tcW w:w="2760" w:type="dxa"/>
            <w:tcBorders>
              <w:top w:val="single" w:sz="8" w:space="0" w:color="FFFFFF"/>
              <w:left w:val="single" w:sz="8" w:space="0" w:color="FFFFFF"/>
              <w:bottom w:val="single" w:sz="8" w:space="0" w:color="FFFFFF"/>
              <w:right w:val="single" w:sz="8" w:space="0" w:color="FFFFFF"/>
            </w:tcBorders>
            <w:shd w:val="clear" w:color="auto" w:fill="D0DDEF"/>
            <w:tcMar>
              <w:top w:w="0" w:type="dxa"/>
              <w:left w:w="0" w:type="dxa"/>
              <w:bottom w:w="0" w:type="dxa"/>
              <w:right w:w="0" w:type="dxa"/>
            </w:tcMar>
            <w:vAlign w:val="center"/>
          </w:tcPr>
          <w:p w14:paraId="74AF1C1B" w14:textId="77777777" w:rsidR="004E4190" w:rsidRPr="008B619A" w:rsidRDefault="004E4190" w:rsidP="00DF69D7">
            <w:pPr>
              <w:jc w:val="right"/>
              <w:rPr>
                <w:rFonts w:hAnsi="標楷體"/>
                <w:color w:val="000000" w:themeColor="text1"/>
                <w:sz w:val="26"/>
                <w:szCs w:val="26"/>
              </w:rPr>
            </w:pPr>
            <w:r w:rsidRPr="008B619A">
              <w:rPr>
                <w:rFonts w:hAnsi="標楷體"/>
                <w:color w:val="000000" w:themeColor="text1"/>
                <w:sz w:val="26"/>
                <w:szCs w:val="26"/>
              </w:rPr>
              <w:t>-30</w:t>
            </w:r>
          </w:p>
        </w:tc>
      </w:tr>
      <w:tr w:rsidR="00DF69D7" w:rsidRPr="008B619A" w14:paraId="4839543C" w14:textId="77777777" w:rsidTr="00DB13FD">
        <w:trPr>
          <w:trHeight w:val="460"/>
        </w:trPr>
        <w:tc>
          <w:tcPr>
            <w:tcW w:w="2760" w:type="dxa"/>
            <w:tcBorders>
              <w:top w:val="single" w:sz="8" w:space="0" w:color="FFFFFF"/>
              <w:left w:val="single" w:sz="8" w:space="0" w:color="FFFFFF"/>
              <w:bottom w:val="single" w:sz="8" w:space="0" w:color="FFFFFF"/>
              <w:right w:val="single" w:sz="8" w:space="0" w:color="FFFFFF"/>
            </w:tcBorders>
            <w:shd w:val="clear" w:color="auto" w:fill="E9EEF7"/>
            <w:tcMar>
              <w:top w:w="0" w:type="dxa"/>
              <w:left w:w="0" w:type="dxa"/>
              <w:bottom w:w="0" w:type="dxa"/>
              <w:right w:w="0" w:type="dxa"/>
            </w:tcMar>
            <w:vAlign w:val="center"/>
          </w:tcPr>
          <w:p w14:paraId="3CFC8D34" w14:textId="77777777" w:rsidR="004E4190" w:rsidRPr="008B619A" w:rsidRDefault="004E4190" w:rsidP="00DF69D7">
            <w:pPr>
              <w:jc w:val="center"/>
              <w:rPr>
                <w:rFonts w:hAnsi="標楷體"/>
                <w:b/>
                <w:bCs/>
                <w:color w:val="000000" w:themeColor="text1"/>
                <w:sz w:val="26"/>
                <w:szCs w:val="26"/>
              </w:rPr>
            </w:pPr>
            <w:r w:rsidRPr="008B619A">
              <w:rPr>
                <w:rFonts w:hAnsi="標楷體"/>
                <w:b/>
                <w:bCs/>
                <w:color w:val="000000" w:themeColor="text1"/>
                <w:sz w:val="26"/>
                <w:szCs w:val="26"/>
              </w:rPr>
              <w:t>2016/17</w:t>
            </w:r>
          </w:p>
        </w:tc>
        <w:tc>
          <w:tcPr>
            <w:tcW w:w="2760" w:type="dxa"/>
            <w:tcBorders>
              <w:top w:val="single" w:sz="8" w:space="0" w:color="FFFFFF"/>
              <w:left w:val="single" w:sz="8" w:space="0" w:color="FFFFFF"/>
              <w:bottom w:val="single" w:sz="8" w:space="0" w:color="FFFFFF"/>
              <w:right w:val="single" w:sz="8" w:space="0" w:color="FFFFFF"/>
            </w:tcBorders>
            <w:shd w:val="clear" w:color="auto" w:fill="E9EEF7"/>
            <w:tcMar>
              <w:top w:w="0" w:type="dxa"/>
              <w:left w:w="0" w:type="dxa"/>
              <w:bottom w:w="0" w:type="dxa"/>
              <w:right w:w="0" w:type="dxa"/>
            </w:tcMar>
            <w:vAlign w:val="center"/>
          </w:tcPr>
          <w:p w14:paraId="3FC1EB11" w14:textId="77777777" w:rsidR="004E4190" w:rsidRPr="008B619A" w:rsidRDefault="004E4190" w:rsidP="00DF69D7">
            <w:pPr>
              <w:jc w:val="right"/>
              <w:rPr>
                <w:rFonts w:hAnsi="標楷體"/>
                <w:color w:val="000000" w:themeColor="text1"/>
                <w:sz w:val="26"/>
                <w:szCs w:val="26"/>
              </w:rPr>
            </w:pPr>
            <w:r w:rsidRPr="008B619A">
              <w:rPr>
                <w:rStyle w:val="aff5"/>
                <w:rFonts w:hAnsi="標楷體"/>
                <w:color w:val="000000" w:themeColor="text1"/>
                <w:sz w:val="26"/>
                <w:szCs w:val="26"/>
                <w14:textOutline w14:w="12700" w14:cap="flat" w14:cmpd="sng" w14:algn="ctr">
                  <w14:noFill/>
                  <w14:prstDash w14:val="solid"/>
                  <w14:miter w14:lim="400000"/>
                </w14:textOutline>
              </w:rPr>
              <w:t>100,085</w:t>
            </w:r>
          </w:p>
        </w:tc>
        <w:tc>
          <w:tcPr>
            <w:tcW w:w="2760" w:type="dxa"/>
            <w:tcBorders>
              <w:top w:val="single" w:sz="8" w:space="0" w:color="FFFFFF"/>
              <w:left w:val="single" w:sz="8" w:space="0" w:color="FFFFFF"/>
              <w:bottom w:val="single" w:sz="8" w:space="0" w:color="FFFFFF"/>
              <w:right w:val="single" w:sz="8" w:space="0" w:color="FFFFFF"/>
            </w:tcBorders>
            <w:shd w:val="clear" w:color="auto" w:fill="E9EEF7"/>
            <w:tcMar>
              <w:top w:w="0" w:type="dxa"/>
              <w:left w:w="0" w:type="dxa"/>
              <w:bottom w:w="0" w:type="dxa"/>
              <w:right w:w="0" w:type="dxa"/>
            </w:tcMar>
            <w:vAlign w:val="center"/>
          </w:tcPr>
          <w:p w14:paraId="0D63C997" w14:textId="77777777" w:rsidR="004E4190" w:rsidRPr="008B619A" w:rsidRDefault="004E4190" w:rsidP="00DF69D7">
            <w:pPr>
              <w:jc w:val="right"/>
              <w:rPr>
                <w:rFonts w:hAnsi="標楷體"/>
                <w:color w:val="000000" w:themeColor="text1"/>
                <w:sz w:val="26"/>
                <w:szCs w:val="26"/>
              </w:rPr>
            </w:pPr>
            <w:r w:rsidRPr="008B619A">
              <w:rPr>
                <w:rStyle w:val="aff5"/>
                <w:rFonts w:hAnsi="標楷體"/>
                <w:color w:val="000000" w:themeColor="text1"/>
                <w:sz w:val="26"/>
                <w:szCs w:val="26"/>
                <w14:textOutline w14:w="12700" w14:cap="flat" w14:cmpd="sng" w14:algn="ctr">
                  <w14:noFill/>
                  <w14:prstDash w14:val="solid"/>
                  <w14:miter w14:lim="400000"/>
                </w14:textOutline>
              </w:rPr>
              <w:t>1,560</w:t>
            </w:r>
          </w:p>
        </w:tc>
      </w:tr>
      <w:tr w:rsidR="00DF69D7" w:rsidRPr="008B619A" w14:paraId="347E3B00" w14:textId="77777777" w:rsidTr="00DB13FD">
        <w:trPr>
          <w:trHeight w:val="460"/>
        </w:trPr>
        <w:tc>
          <w:tcPr>
            <w:tcW w:w="2760" w:type="dxa"/>
            <w:tcBorders>
              <w:top w:val="single" w:sz="8" w:space="0" w:color="FFFFFF"/>
              <w:left w:val="single" w:sz="8" w:space="0" w:color="FFFFFF"/>
              <w:bottom w:val="single" w:sz="8" w:space="0" w:color="FFFFFF"/>
              <w:right w:val="single" w:sz="8" w:space="0" w:color="FFFFFF"/>
            </w:tcBorders>
            <w:shd w:val="clear" w:color="auto" w:fill="D0DDEF"/>
            <w:tcMar>
              <w:top w:w="0" w:type="dxa"/>
              <w:left w:w="0" w:type="dxa"/>
              <w:bottom w:w="0" w:type="dxa"/>
              <w:right w:w="0" w:type="dxa"/>
            </w:tcMar>
            <w:vAlign w:val="center"/>
          </w:tcPr>
          <w:p w14:paraId="5A616C58" w14:textId="77777777" w:rsidR="004E4190" w:rsidRPr="008B619A" w:rsidRDefault="004E4190" w:rsidP="00DF69D7">
            <w:pPr>
              <w:jc w:val="center"/>
              <w:rPr>
                <w:rFonts w:hAnsi="標楷體"/>
                <w:b/>
                <w:bCs/>
                <w:color w:val="000000" w:themeColor="text1"/>
                <w:sz w:val="26"/>
                <w:szCs w:val="26"/>
              </w:rPr>
            </w:pPr>
            <w:r w:rsidRPr="008B619A">
              <w:rPr>
                <w:rFonts w:hAnsi="標楷體"/>
                <w:b/>
                <w:bCs/>
                <w:color w:val="000000" w:themeColor="text1"/>
                <w:sz w:val="26"/>
                <w:szCs w:val="26"/>
              </w:rPr>
              <w:t>2017/18</w:t>
            </w:r>
          </w:p>
        </w:tc>
        <w:tc>
          <w:tcPr>
            <w:tcW w:w="2760" w:type="dxa"/>
            <w:tcBorders>
              <w:top w:val="single" w:sz="8" w:space="0" w:color="FFFFFF"/>
              <w:left w:val="single" w:sz="8" w:space="0" w:color="FFFFFF"/>
              <w:bottom w:val="single" w:sz="8" w:space="0" w:color="FFFFFF"/>
              <w:right w:val="single" w:sz="8" w:space="0" w:color="FFFFFF"/>
            </w:tcBorders>
            <w:shd w:val="clear" w:color="auto" w:fill="D0DDEF"/>
            <w:tcMar>
              <w:top w:w="0" w:type="dxa"/>
              <w:left w:w="0" w:type="dxa"/>
              <w:bottom w:w="0" w:type="dxa"/>
              <w:right w:w="0" w:type="dxa"/>
            </w:tcMar>
            <w:vAlign w:val="center"/>
          </w:tcPr>
          <w:p w14:paraId="6686510C" w14:textId="77777777" w:rsidR="004E4190" w:rsidRPr="008B619A" w:rsidRDefault="004E4190" w:rsidP="00DF69D7">
            <w:pPr>
              <w:jc w:val="right"/>
              <w:rPr>
                <w:rFonts w:hAnsi="標楷體"/>
                <w:color w:val="000000" w:themeColor="text1"/>
                <w:sz w:val="26"/>
                <w:szCs w:val="26"/>
              </w:rPr>
            </w:pPr>
            <w:r w:rsidRPr="008B619A">
              <w:rPr>
                <w:rStyle w:val="aff5"/>
                <w:rFonts w:hAnsi="標楷體"/>
                <w:color w:val="000000" w:themeColor="text1"/>
                <w:sz w:val="26"/>
                <w:szCs w:val="26"/>
                <w14:textOutline w14:w="12700" w14:cap="flat" w14:cmpd="sng" w14:algn="ctr">
                  <w14:noFill/>
                  <w14:prstDash w14:val="solid"/>
                  <w14:miter w14:lim="400000"/>
                </w14:textOutline>
              </w:rPr>
              <w:t>100,275</w:t>
            </w:r>
          </w:p>
        </w:tc>
        <w:tc>
          <w:tcPr>
            <w:tcW w:w="2760" w:type="dxa"/>
            <w:tcBorders>
              <w:top w:val="single" w:sz="8" w:space="0" w:color="FFFFFF"/>
              <w:left w:val="single" w:sz="8" w:space="0" w:color="FFFFFF"/>
              <w:bottom w:val="single" w:sz="8" w:space="0" w:color="FFFFFF"/>
              <w:right w:val="single" w:sz="8" w:space="0" w:color="FFFFFF"/>
            </w:tcBorders>
            <w:shd w:val="clear" w:color="auto" w:fill="D0DDEF"/>
            <w:tcMar>
              <w:top w:w="0" w:type="dxa"/>
              <w:left w:w="0" w:type="dxa"/>
              <w:bottom w:w="0" w:type="dxa"/>
              <w:right w:w="0" w:type="dxa"/>
            </w:tcMar>
            <w:vAlign w:val="center"/>
          </w:tcPr>
          <w:p w14:paraId="49E01479" w14:textId="77777777" w:rsidR="004E4190" w:rsidRPr="008B619A" w:rsidRDefault="004E4190" w:rsidP="00DF69D7">
            <w:pPr>
              <w:jc w:val="right"/>
              <w:rPr>
                <w:rFonts w:hAnsi="標楷體"/>
                <w:color w:val="000000" w:themeColor="text1"/>
                <w:sz w:val="26"/>
                <w:szCs w:val="26"/>
              </w:rPr>
            </w:pPr>
            <w:r w:rsidRPr="008B619A">
              <w:rPr>
                <w:rFonts w:hAnsi="標楷體"/>
                <w:color w:val="000000" w:themeColor="text1"/>
                <w:sz w:val="26"/>
                <w:szCs w:val="26"/>
              </w:rPr>
              <w:t>190</w:t>
            </w:r>
          </w:p>
        </w:tc>
      </w:tr>
      <w:tr w:rsidR="00DF69D7" w:rsidRPr="008B619A" w14:paraId="1E5BA0A2" w14:textId="77777777" w:rsidTr="00DB13FD">
        <w:trPr>
          <w:trHeight w:val="460"/>
        </w:trPr>
        <w:tc>
          <w:tcPr>
            <w:tcW w:w="2760" w:type="dxa"/>
            <w:tcBorders>
              <w:top w:val="single" w:sz="8" w:space="0" w:color="FFFFFF"/>
              <w:left w:val="single" w:sz="8" w:space="0" w:color="FFFFFF"/>
              <w:bottom w:val="single" w:sz="8" w:space="0" w:color="FFFFFF"/>
              <w:right w:val="single" w:sz="8" w:space="0" w:color="FFFFFF"/>
            </w:tcBorders>
            <w:shd w:val="clear" w:color="auto" w:fill="E9EEF7"/>
            <w:tcMar>
              <w:top w:w="0" w:type="dxa"/>
              <w:left w:w="0" w:type="dxa"/>
              <w:bottom w:w="0" w:type="dxa"/>
              <w:right w:w="0" w:type="dxa"/>
            </w:tcMar>
            <w:vAlign w:val="center"/>
          </w:tcPr>
          <w:p w14:paraId="69AA4F0E" w14:textId="77777777" w:rsidR="004E4190" w:rsidRPr="008B619A" w:rsidRDefault="004E4190" w:rsidP="00DF69D7">
            <w:pPr>
              <w:jc w:val="center"/>
              <w:rPr>
                <w:rFonts w:hAnsi="標楷體"/>
                <w:b/>
                <w:bCs/>
                <w:color w:val="000000" w:themeColor="text1"/>
                <w:sz w:val="26"/>
                <w:szCs w:val="26"/>
              </w:rPr>
            </w:pPr>
            <w:r w:rsidRPr="008B619A">
              <w:rPr>
                <w:rFonts w:hAnsi="標楷體"/>
                <w:b/>
                <w:bCs/>
                <w:color w:val="000000" w:themeColor="text1"/>
                <w:sz w:val="26"/>
                <w:szCs w:val="26"/>
              </w:rPr>
              <w:t>2018/19</w:t>
            </w:r>
          </w:p>
        </w:tc>
        <w:tc>
          <w:tcPr>
            <w:tcW w:w="2760" w:type="dxa"/>
            <w:tcBorders>
              <w:top w:val="single" w:sz="8" w:space="0" w:color="FFFFFF"/>
              <w:left w:val="single" w:sz="8" w:space="0" w:color="FFFFFF"/>
              <w:bottom w:val="single" w:sz="8" w:space="0" w:color="FFFFFF"/>
              <w:right w:val="single" w:sz="8" w:space="0" w:color="FFFFFF"/>
            </w:tcBorders>
            <w:shd w:val="clear" w:color="auto" w:fill="E9EEF7"/>
            <w:tcMar>
              <w:top w:w="0" w:type="dxa"/>
              <w:left w:w="0" w:type="dxa"/>
              <w:bottom w:w="0" w:type="dxa"/>
              <w:right w:w="0" w:type="dxa"/>
            </w:tcMar>
            <w:vAlign w:val="center"/>
          </w:tcPr>
          <w:p w14:paraId="45A7C70B" w14:textId="77777777" w:rsidR="004E4190" w:rsidRPr="008B619A" w:rsidRDefault="004E4190" w:rsidP="00DF69D7">
            <w:pPr>
              <w:jc w:val="right"/>
              <w:rPr>
                <w:rFonts w:hAnsi="標楷體"/>
                <w:color w:val="000000" w:themeColor="text1"/>
                <w:sz w:val="26"/>
                <w:szCs w:val="26"/>
              </w:rPr>
            </w:pPr>
            <w:r w:rsidRPr="008B619A">
              <w:rPr>
                <w:rStyle w:val="aff5"/>
                <w:rFonts w:hAnsi="標楷體"/>
                <w:color w:val="000000" w:themeColor="text1"/>
                <w:sz w:val="26"/>
                <w:szCs w:val="26"/>
                <w14:textOutline w14:w="12700" w14:cap="flat" w14:cmpd="sng" w14:algn="ctr">
                  <w14:noFill/>
                  <w14:prstDash w14:val="solid"/>
                  <w14:miter w14:lim="400000"/>
                </w14:textOutline>
              </w:rPr>
              <w:t>101,885</w:t>
            </w:r>
          </w:p>
        </w:tc>
        <w:tc>
          <w:tcPr>
            <w:tcW w:w="2760" w:type="dxa"/>
            <w:tcBorders>
              <w:top w:val="single" w:sz="8" w:space="0" w:color="FFFFFF"/>
              <w:left w:val="single" w:sz="8" w:space="0" w:color="FFFFFF"/>
              <w:bottom w:val="single" w:sz="8" w:space="0" w:color="FFFFFF"/>
              <w:right w:val="single" w:sz="8" w:space="0" w:color="FFFFFF"/>
            </w:tcBorders>
            <w:shd w:val="clear" w:color="auto" w:fill="E9EEF7"/>
            <w:tcMar>
              <w:top w:w="0" w:type="dxa"/>
              <w:left w:w="0" w:type="dxa"/>
              <w:bottom w:w="0" w:type="dxa"/>
              <w:right w:w="0" w:type="dxa"/>
            </w:tcMar>
            <w:vAlign w:val="center"/>
          </w:tcPr>
          <w:p w14:paraId="508BCD9B" w14:textId="77777777" w:rsidR="004E4190" w:rsidRPr="008B619A" w:rsidRDefault="004E4190" w:rsidP="00DF69D7">
            <w:pPr>
              <w:jc w:val="right"/>
              <w:rPr>
                <w:rFonts w:hAnsi="標楷體"/>
                <w:color w:val="000000" w:themeColor="text1"/>
                <w:sz w:val="26"/>
                <w:szCs w:val="26"/>
              </w:rPr>
            </w:pPr>
            <w:r w:rsidRPr="008B619A">
              <w:rPr>
                <w:rStyle w:val="aff5"/>
                <w:rFonts w:hAnsi="標楷體"/>
                <w:color w:val="000000" w:themeColor="text1"/>
                <w:sz w:val="26"/>
                <w:szCs w:val="26"/>
                <w14:textOutline w14:w="12700" w14:cap="flat" w14:cmpd="sng" w14:algn="ctr">
                  <w14:noFill/>
                  <w14:prstDash w14:val="solid"/>
                  <w14:miter w14:lim="400000"/>
                </w14:textOutline>
              </w:rPr>
              <w:t>1,610</w:t>
            </w:r>
          </w:p>
        </w:tc>
      </w:tr>
    </w:tbl>
    <w:p w14:paraId="5C5A688D" w14:textId="39F0E293" w:rsidR="00BA675B" w:rsidRPr="008B619A" w:rsidRDefault="00DF69D7" w:rsidP="00BA675B">
      <w:pPr>
        <w:spacing w:afterLines="50" w:after="228"/>
        <w:rPr>
          <w:color w:val="000000" w:themeColor="text1"/>
          <w:sz w:val="24"/>
          <w:szCs w:val="24"/>
        </w:rPr>
      </w:pPr>
      <w:r w:rsidRPr="008B619A">
        <w:rPr>
          <w:rFonts w:hint="eastAsia"/>
          <w:color w:val="000000" w:themeColor="text1"/>
          <w:sz w:val="24"/>
          <w:szCs w:val="24"/>
        </w:rPr>
        <w:t xml:space="preserve">　</w:t>
      </w:r>
      <w:r w:rsidR="008A44D6" w:rsidRPr="008B619A">
        <w:rPr>
          <w:rFonts w:hint="eastAsia"/>
          <w:color w:val="000000" w:themeColor="text1"/>
          <w:sz w:val="24"/>
          <w:szCs w:val="24"/>
        </w:rPr>
        <w:t xml:space="preserve"> </w:t>
      </w:r>
      <w:r w:rsidR="00BA675B" w:rsidRPr="008B619A">
        <w:rPr>
          <w:rFonts w:hint="eastAsia"/>
          <w:color w:val="000000" w:themeColor="text1"/>
          <w:sz w:val="24"/>
          <w:szCs w:val="24"/>
        </w:rPr>
        <w:t>資料來源：彙整自教育部調卷資料。</w:t>
      </w:r>
    </w:p>
    <w:p w14:paraId="5770CE93" w14:textId="6DFB7667" w:rsidR="00000AE0" w:rsidRPr="008B619A" w:rsidRDefault="00856E78" w:rsidP="000A7175">
      <w:pPr>
        <w:pStyle w:val="5"/>
        <w:rPr>
          <w:color w:val="000000" w:themeColor="text1"/>
        </w:rPr>
      </w:pPr>
      <w:r w:rsidRPr="008B619A">
        <w:rPr>
          <w:rFonts w:hint="eastAsia"/>
          <w:color w:val="000000" w:themeColor="text1"/>
        </w:rPr>
        <w:t>深究</w:t>
      </w:r>
      <w:r w:rsidR="001C0454" w:rsidRPr="008B619A">
        <w:rPr>
          <w:rFonts w:hint="eastAsia"/>
          <w:color w:val="000000" w:themeColor="text1"/>
        </w:rPr>
        <w:t>英國</w:t>
      </w:r>
      <w:r w:rsidR="00837B7A" w:rsidRPr="008B619A">
        <w:rPr>
          <w:rFonts w:hint="eastAsia"/>
          <w:color w:val="000000" w:themeColor="text1"/>
        </w:rPr>
        <w:t>2016</w:t>
      </w:r>
      <w:r w:rsidR="00151AC4" w:rsidRPr="008B619A">
        <w:rPr>
          <w:rFonts w:hint="eastAsia"/>
          <w:color w:val="000000" w:themeColor="text1"/>
        </w:rPr>
        <w:t>/</w:t>
      </w:r>
      <w:r w:rsidR="00837B7A" w:rsidRPr="008B619A">
        <w:rPr>
          <w:rFonts w:hint="eastAsia"/>
          <w:color w:val="000000" w:themeColor="text1"/>
        </w:rPr>
        <w:t>17學年度</w:t>
      </w:r>
      <w:r w:rsidR="00062C12" w:rsidRPr="008B619A">
        <w:rPr>
          <w:rFonts w:hint="eastAsia"/>
          <w:color w:val="000000" w:themeColor="text1"/>
        </w:rPr>
        <w:t>博士</w:t>
      </w:r>
      <w:r w:rsidR="008F1E9A" w:rsidRPr="008B619A">
        <w:rPr>
          <w:color w:val="000000" w:themeColor="text1"/>
        </w:rPr>
        <w:t>研究生人數大幅增加，主要應係2015年11月英國專責高等教育</w:t>
      </w:r>
      <w:r w:rsidR="008F1E9A" w:rsidRPr="008B619A">
        <w:rPr>
          <w:color w:val="000000" w:themeColor="text1"/>
        </w:rPr>
        <w:lastRenderedPageBreak/>
        <w:t>事務之「商務、創新與技能部</w:t>
      </w:r>
      <w:r w:rsidR="000B6C2C" w:rsidRPr="008B619A">
        <w:rPr>
          <w:rFonts w:ascii="Times New Roman" w:hAnsi="Times New Roman"/>
          <w:color w:val="000000" w:themeColor="text1"/>
        </w:rPr>
        <w:t>（</w:t>
      </w:r>
      <w:r w:rsidR="008F1E9A" w:rsidRPr="008B619A">
        <w:rPr>
          <w:rFonts w:ascii="Times New Roman" w:hAnsi="Times New Roman"/>
          <w:color w:val="000000" w:themeColor="text1"/>
        </w:rPr>
        <w:t>Department for Business, Innovation and Skills</w:t>
      </w:r>
      <w:r w:rsidR="008F1E9A" w:rsidRPr="008B619A">
        <w:rPr>
          <w:color w:val="000000" w:themeColor="text1"/>
        </w:rPr>
        <w:t>（簡稱BIS）」出版有關對攻讀研究所以上學位資助需要之諮詢報告，基於提升碩士以上學位就業率及因應產業需求的考量，英國政府決定投入經費資助英國學生攻讀研究所以上學位。自2016學年度起，60歲以下之英國公民均可申請就讀英國研究所以上學位之就學貸款。碩士學位不限科系最多可貸1萬英鎊</w:t>
      </w:r>
      <w:r w:rsidR="008F1E9A" w:rsidRPr="008B619A">
        <w:rPr>
          <w:color w:val="000000" w:themeColor="text1"/>
          <w:vertAlign w:val="superscript"/>
        </w:rPr>
        <w:footnoteReference w:id="71"/>
      </w:r>
      <w:r w:rsidR="008F1E9A" w:rsidRPr="008B619A">
        <w:rPr>
          <w:color w:val="000000" w:themeColor="text1"/>
        </w:rPr>
        <w:t>；自2018學年度起，博士生最多可貸2萬5千萬鎊</w:t>
      </w:r>
      <w:r w:rsidR="006E7F71" w:rsidRPr="008B619A">
        <w:rPr>
          <w:color w:val="000000" w:themeColor="text1"/>
          <w:vertAlign w:val="superscript"/>
        </w:rPr>
        <w:footnoteReference w:id="72"/>
      </w:r>
      <w:r w:rsidR="008F1E9A" w:rsidRPr="008B619A">
        <w:rPr>
          <w:color w:val="000000" w:themeColor="text1"/>
          <w:sz w:val="28"/>
          <w:szCs w:val="28"/>
          <w:lang w:val="zh-TW"/>
        </w:rPr>
        <w:t>。</w:t>
      </w:r>
    </w:p>
    <w:p w14:paraId="23E5C0B8" w14:textId="19AEBC7E" w:rsidR="005D068E" w:rsidRPr="008B619A" w:rsidRDefault="005D068E" w:rsidP="005D068E">
      <w:pPr>
        <w:pStyle w:val="5"/>
        <w:rPr>
          <w:color w:val="000000" w:themeColor="text1"/>
        </w:rPr>
      </w:pPr>
      <w:r w:rsidRPr="008B619A">
        <w:rPr>
          <w:color w:val="000000" w:themeColor="text1"/>
        </w:rPr>
        <w:t>除此之外，英國博士生可以透過就讀學校向以下7大學術研究學會申請資助</w:t>
      </w:r>
      <w:r w:rsidRPr="008B619A">
        <w:rPr>
          <w:rFonts w:hAnsi="標楷體" w:hint="eastAsia"/>
          <w:color w:val="000000" w:themeColor="text1"/>
        </w:rPr>
        <w:t>：</w:t>
      </w:r>
    </w:p>
    <w:p w14:paraId="401F081E" w14:textId="77777777" w:rsidR="005D068E" w:rsidRPr="008B619A" w:rsidRDefault="005D068E" w:rsidP="001C3B73">
      <w:pPr>
        <w:pStyle w:val="6"/>
        <w:rPr>
          <w:rFonts w:ascii="Times New Roman" w:hAnsi="Times New Roman"/>
          <w:color w:val="000000" w:themeColor="text1"/>
        </w:rPr>
      </w:pPr>
      <w:r w:rsidRPr="008B619A">
        <w:rPr>
          <w:rFonts w:ascii="Times New Roman" w:hAnsi="Times New Roman"/>
          <w:color w:val="000000" w:themeColor="text1"/>
        </w:rPr>
        <w:t xml:space="preserve">Arts and Humanities Research Council </w:t>
      </w:r>
      <w:r w:rsidRPr="008B619A">
        <w:rPr>
          <w:rFonts w:ascii="Times New Roman" w:hAnsi="Times New Roman"/>
          <w:color w:val="000000" w:themeColor="text1"/>
        </w:rPr>
        <w:t>（</w:t>
      </w:r>
      <w:r w:rsidRPr="008B619A">
        <w:rPr>
          <w:rFonts w:ascii="Times New Roman" w:hAnsi="Times New Roman"/>
          <w:color w:val="000000" w:themeColor="text1"/>
        </w:rPr>
        <w:t>AHRC</w:t>
      </w:r>
      <w:r w:rsidRPr="008B619A">
        <w:rPr>
          <w:rFonts w:ascii="Times New Roman" w:hAnsi="Times New Roman"/>
          <w:color w:val="000000" w:themeColor="text1"/>
        </w:rPr>
        <w:t>）</w:t>
      </w:r>
    </w:p>
    <w:p w14:paraId="0187465C" w14:textId="77777777" w:rsidR="005D068E" w:rsidRPr="008B619A" w:rsidRDefault="005D068E" w:rsidP="001C3B73">
      <w:pPr>
        <w:pStyle w:val="6"/>
        <w:rPr>
          <w:rFonts w:ascii="Times New Roman" w:hAnsi="Times New Roman"/>
          <w:color w:val="000000" w:themeColor="text1"/>
        </w:rPr>
      </w:pPr>
      <w:r w:rsidRPr="008B619A">
        <w:rPr>
          <w:rFonts w:ascii="Times New Roman" w:hAnsi="Times New Roman"/>
          <w:color w:val="000000" w:themeColor="text1"/>
        </w:rPr>
        <w:t xml:space="preserve">Biotechnology and Biological Sciences Research Council </w:t>
      </w:r>
      <w:r w:rsidRPr="008B619A">
        <w:rPr>
          <w:rFonts w:ascii="Times New Roman" w:hAnsi="Times New Roman"/>
          <w:color w:val="000000" w:themeColor="text1"/>
        </w:rPr>
        <w:t>（</w:t>
      </w:r>
      <w:r w:rsidRPr="008B619A">
        <w:rPr>
          <w:rFonts w:ascii="Times New Roman" w:hAnsi="Times New Roman"/>
          <w:color w:val="000000" w:themeColor="text1"/>
        </w:rPr>
        <w:t>BBSRC</w:t>
      </w:r>
      <w:r w:rsidRPr="008B619A">
        <w:rPr>
          <w:rFonts w:ascii="Times New Roman" w:hAnsi="Times New Roman"/>
          <w:color w:val="000000" w:themeColor="text1"/>
        </w:rPr>
        <w:t>）</w:t>
      </w:r>
    </w:p>
    <w:p w14:paraId="3DA2FAA2" w14:textId="77777777" w:rsidR="005D068E" w:rsidRPr="008B619A" w:rsidRDefault="005D068E" w:rsidP="001C3B73">
      <w:pPr>
        <w:pStyle w:val="6"/>
        <w:rPr>
          <w:rFonts w:ascii="Times New Roman" w:hAnsi="Times New Roman"/>
          <w:color w:val="000000" w:themeColor="text1"/>
        </w:rPr>
      </w:pPr>
      <w:r w:rsidRPr="008B619A">
        <w:rPr>
          <w:rFonts w:ascii="Times New Roman" w:hAnsi="Times New Roman"/>
          <w:color w:val="000000" w:themeColor="text1"/>
        </w:rPr>
        <w:t xml:space="preserve">Engineering and Physical Sciences Research Council </w:t>
      </w:r>
      <w:r w:rsidRPr="008B619A">
        <w:rPr>
          <w:rFonts w:ascii="Times New Roman" w:hAnsi="Times New Roman"/>
          <w:color w:val="000000" w:themeColor="text1"/>
        </w:rPr>
        <w:t>（</w:t>
      </w:r>
      <w:r w:rsidRPr="008B619A">
        <w:rPr>
          <w:rFonts w:ascii="Times New Roman" w:hAnsi="Times New Roman"/>
          <w:color w:val="000000" w:themeColor="text1"/>
        </w:rPr>
        <w:t>EPSRC</w:t>
      </w:r>
      <w:r w:rsidRPr="008B619A">
        <w:rPr>
          <w:rFonts w:ascii="Times New Roman" w:hAnsi="Times New Roman"/>
          <w:color w:val="000000" w:themeColor="text1"/>
        </w:rPr>
        <w:t>）</w:t>
      </w:r>
    </w:p>
    <w:p w14:paraId="3075F012" w14:textId="77777777" w:rsidR="005D068E" w:rsidRPr="008B619A" w:rsidRDefault="005D068E" w:rsidP="001C3B73">
      <w:pPr>
        <w:pStyle w:val="6"/>
        <w:rPr>
          <w:rFonts w:ascii="Times New Roman" w:hAnsi="Times New Roman"/>
          <w:color w:val="000000" w:themeColor="text1"/>
        </w:rPr>
      </w:pPr>
      <w:r w:rsidRPr="008B619A">
        <w:rPr>
          <w:rFonts w:ascii="Times New Roman" w:hAnsi="Times New Roman"/>
          <w:color w:val="000000" w:themeColor="text1"/>
        </w:rPr>
        <w:t xml:space="preserve">Economic and Social Research Council </w:t>
      </w:r>
      <w:r w:rsidRPr="008B619A">
        <w:rPr>
          <w:rFonts w:ascii="Times New Roman" w:hAnsi="Times New Roman"/>
          <w:color w:val="000000" w:themeColor="text1"/>
        </w:rPr>
        <w:t>（</w:t>
      </w:r>
      <w:r w:rsidRPr="008B619A">
        <w:rPr>
          <w:rFonts w:ascii="Times New Roman" w:hAnsi="Times New Roman"/>
          <w:color w:val="000000" w:themeColor="text1"/>
        </w:rPr>
        <w:t>ESRC</w:t>
      </w:r>
      <w:r w:rsidRPr="008B619A">
        <w:rPr>
          <w:rFonts w:ascii="Times New Roman" w:hAnsi="Times New Roman"/>
          <w:color w:val="000000" w:themeColor="text1"/>
        </w:rPr>
        <w:t>）</w:t>
      </w:r>
    </w:p>
    <w:p w14:paraId="3787B1F7" w14:textId="77777777" w:rsidR="005D068E" w:rsidRPr="008B619A" w:rsidRDefault="005D068E" w:rsidP="001C3B73">
      <w:pPr>
        <w:pStyle w:val="6"/>
        <w:rPr>
          <w:rFonts w:ascii="Times New Roman" w:hAnsi="Times New Roman"/>
          <w:color w:val="000000" w:themeColor="text1"/>
        </w:rPr>
      </w:pPr>
      <w:r w:rsidRPr="008B619A">
        <w:rPr>
          <w:rFonts w:ascii="Times New Roman" w:hAnsi="Times New Roman"/>
          <w:color w:val="000000" w:themeColor="text1"/>
        </w:rPr>
        <w:t xml:space="preserve">Medical Research Council </w:t>
      </w:r>
      <w:r w:rsidRPr="008B619A">
        <w:rPr>
          <w:rFonts w:ascii="Times New Roman" w:hAnsi="Times New Roman"/>
          <w:color w:val="000000" w:themeColor="text1"/>
        </w:rPr>
        <w:t>（</w:t>
      </w:r>
      <w:r w:rsidRPr="008B619A">
        <w:rPr>
          <w:rFonts w:ascii="Times New Roman" w:hAnsi="Times New Roman"/>
          <w:color w:val="000000" w:themeColor="text1"/>
        </w:rPr>
        <w:t>MRC</w:t>
      </w:r>
      <w:r w:rsidRPr="008B619A">
        <w:rPr>
          <w:rFonts w:ascii="Times New Roman" w:hAnsi="Times New Roman"/>
          <w:color w:val="000000" w:themeColor="text1"/>
        </w:rPr>
        <w:t>）</w:t>
      </w:r>
    </w:p>
    <w:p w14:paraId="6BC318E2" w14:textId="77777777" w:rsidR="005D068E" w:rsidRPr="008B619A" w:rsidRDefault="005D068E" w:rsidP="001C3B73">
      <w:pPr>
        <w:pStyle w:val="6"/>
        <w:rPr>
          <w:rFonts w:ascii="Times New Roman" w:hAnsi="Times New Roman"/>
          <w:color w:val="000000" w:themeColor="text1"/>
        </w:rPr>
      </w:pPr>
      <w:r w:rsidRPr="008B619A">
        <w:rPr>
          <w:rFonts w:ascii="Times New Roman" w:hAnsi="Times New Roman"/>
          <w:color w:val="000000" w:themeColor="text1"/>
        </w:rPr>
        <w:t xml:space="preserve">Natural Environment Research Council </w:t>
      </w:r>
      <w:r w:rsidRPr="008B619A">
        <w:rPr>
          <w:rFonts w:ascii="Times New Roman" w:hAnsi="Times New Roman"/>
          <w:color w:val="000000" w:themeColor="text1"/>
        </w:rPr>
        <w:t>（</w:t>
      </w:r>
      <w:r w:rsidRPr="008B619A">
        <w:rPr>
          <w:rFonts w:ascii="Times New Roman" w:hAnsi="Times New Roman"/>
          <w:color w:val="000000" w:themeColor="text1"/>
        </w:rPr>
        <w:t>NERC</w:t>
      </w:r>
      <w:r w:rsidRPr="008B619A">
        <w:rPr>
          <w:rFonts w:ascii="Times New Roman" w:hAnsi="Times New Roman"/>
          <w:color w:val="000000" w:themeColor="text1"/>
        </w:rPr>
        <w:t>）</w:t>
      </w:r>
    </w:p>
    <w:p w14:paraId="369E933C" w14:textId="77777777" w:rsidR="005D068E" w:rsidRPr="008B619A" w:rsidRDefault="005D068E" w:rsidP="001C3B73">
      <w:pPr>
        <w:pStyle w:val="6"/>
        <w:rPr>
          <w:rFonts w:ascii="Times New Roman" w:hAnsi="Times New Roman"/>
          <w:color w:val="000000" w:themeColor="text1"/>
        </w:rPr>
      </w:pPr>
      <w:r w:rsidRPr="008B619A">
        <w:rPr>
          <w:rFonts w:ascii="Times New Roman" w:hAnsi="Times New Roman"/>
          <w:color w:val="000000" w:themeColor="text1"/>
        </w:rPr>
        <w:t xml:space="preserve">Science and Technology Facilities Council </w:t>
      </w:r>
      <w:r w:rsidRPr="008B619A">
        <w:rPr>
          <w:rFonts w:ascii="Times New Roman" w:hAnsi="Times New Roman"/>
          <w:color w:val="000000" w:themeColor="text1"/>
        </w:rPr>
        <w:t>（</w:t>
      </w:r>
      <w:r w:rsidRPr="008B619A">
        <w:rPr>
          <w:rFonts w:ascii="Times New Roman" w:hAnsi="Times New Roman"/>
          <w:color w:val="000000" w:themeColor="text1"/>
        </w:rPr>
        <w:t>STFC</w:t>
      </w:r>
      <w:r w:rsidRPr="008B619A">
        <w:rPr>
          <w:rFonts w:ascii="Times New Roman" w:hAnsi="Times New Roman"/>
          <w:color w:val="000000" w:themeColor="text1"/>
        </w:rPr>
        <w:t>）</w:t>
      </w:r>
    </w:p>
    <w:p w14:paraId="02176509" w14:textId="75A686B8" w:rsidR="00856E78" w:rsidRPr="008B619A" w:rsidRDefault="001C3B73" w:rsidP="005D068E">
      <w:pPr>
        <w:pStyle w:val="5"/>
        <w:rPr>
          <w:color w:val="000000" w:themeColor="text1"/>
        </w:rPr>
      </w:pPr>
      <w:r w:rsidRPr="008B619A">
        <w:rPr>
          <w:rFonts w:hint="eastAsia"/>
          <w:color w:val="000000" w:themeColor="text1"/>
        </w:rPr>
        <w:t>以</w:t>
      </w:r>
      <w:r w:rsidR="00945F7B" w:rsidRPr="008B619A">
        <w:rPr>
          <w:rFonts w:hint="eastAsia"/>
          <w:color w:val="000000" w:themeColor="text1"/>
        </w:rPr>
        <w:t>上</w:t>
      </w:r>
      <w:r w:rsidR="00945F7B" w:rsidRPr="008B619A">
        <w:rPr>
          <w:color w:val="000000" w:themeColor="text1"/>
        </w:rPr>
        <w:t>7個學術研究學會涵蓋所有學門領域，在2014</w:t>
      </w:r>
      <w:r w:rsidR="00945F7B" w:rsidRPr="008B619A">
        <w:rPr>
          <w:rFonts w:hint="eastAsia"/>
          <w:color w:val="000000" w:themeColor="text1"/>
        </w:rPr>
        <w:t>/</w:t>
      </w:r>
      <w:r w:rsidR="00945F7B" w:rsidRPr="008B619A">
        <w:rPr>
          <w:color w:val="000000" w:themeColor="text1"/>
        </w:rPr>
        <w:t>15年即資助約19,000名英國博士生，經費</w:t>
      </w:r>
      <w:r w:rsidR="00945F7B" w:rsidRPr="008B619A">
        <w:rPr>
          <w:color w:val="000000" w:themeColor="text1"/>
        </w:rPr>
        <w:lastRenderedPageBreak/>
        <w:t>高達27億8千萬英鎊。而英國商業、能源與產業策略部為統合當時英國的研發經費、知識交流與研究治理，於2018年根據</w:t>
      </w:r>
      <w:r w:rsidR="00945F7B" w:rsidRPr="008B619A">
        <w:rPr>
          <w:rFonts w:hint="eastAsia"/>
          <w:color w:val="000000" w:themeColor="text1"/>
        </w:rPr>
        <w:t>「</w:t>
      </w:r>
      <w:r w:rsidR="00945F7B" w:rsidRPr="008B619A">
        <w:rPr>
          <w:color w:val="000000" w:themeColor="text1"/>
        </w:rPr>
        <w:t>2017年高等教育與研究法</w:t>
      </w:r>
      <w:r w:rsidR="00945F7B" w:rsidRPr="008B619A">
        <w:rPr>
          <w:rFonts w:hint="eastAsia"/>
          <w:color w:val="000000" w:themeColor="text1"/>
        </w:rPr>
        <w:t>」</w:t>
      </w:r>
      <w:r w:rsidR="00945F7B" w:rsidRPr="008B619A">
        <w:rPr>
          <w:color w:val="000000" w:themeColor="text1"/>
        </w:rPr>
        <w:t>設立英國研究創新局（UK Research and Innovation，UKRI），前述7學會也一併被整合入該局，成為目前推動英國產學整合最重要的關鍵單位</w:t>
      </w:r>
      <w:r w:rsidR="005D068E" w:rsidRPr="008B619A">
        <w:rPr>
          <w:color w:val="000000" w:themeColor="text1"/>
        </w:rPr>
        <w:t>。</w:t>
      </w:r>
    </w:p>
    <w:p w14:paraId="13479366" w14:textId="558481B5" w:rsidR="00120C6A" w:rsidRPr="008B619A" w:rsidRDefault="00634DF8" w:rsidP="000A7175">
      <w:pPr>
        <w:pStyle w:val="5"/>
        <w:rPr>
          <w:color w:val="000000" w:themeColor="text1"/>
        </w:rPr>
      </w:pPr>
      <w:r w:rsidRPr="008B619A">
        <w:rPr>
          <w:rFonts w:hint="eastAsia"/>
          <w:color w:val="000000" w:themeColor="text1"/>
        </w:rPr>
        <w:t>英</w:t>
      </w:r>
      <w:r w:rsidR="00120C6A" w:rsidRPr="008B619A">
        <w:rPr>
          <w:rFonts w:hint="eastAsia"/>
          <w:color w:val="000000" w:themeColor="text1"/>
        </w:rPr>
        <w:t>國博士就業率及未充分就業之因：</w:t>
      </w:r>
    </w:p>
    <w:p w14:paraId="604E28BD" w14:textId="70094C1D" w:rsidR="007D690F" w:rsidRPr="008B619A" w:rsidRDefault="007D690F" w:rsidP="00CD1F33">
      <w:pPr>
        <w:pStyle w:val="6"/>
        <w:rPr>
          <w:color w:val="000000" w:themeColor="text1"/>
        </w:rPr>
      </w:pPr>
      <w:r w:rsidRPr="008B619A">
        <w:rPr>
          <w:color w:val="000000" w:themeColor="text1"/>
        </w:rPr>
        <w:t>英國政府網站公告之就業率資訊，僅有區分研究生、大學生及非高等教育體系畢業生就業率統計資訊</w:t>
      </w:r>
      <w:r w:rsidRPr="008B619A">
        <w:rPr>
          <w:color w:val="000000" w:themeColor="text1"/>
          <w:sz w:val="28"/>
          <w:szCs w:val="28"/>
          <w:vertAlign w:val="superscript"/>
          <w:lang w:val="zh-TW"/>
        </w:rPr>
        <w:footnoteReference w:id="73"/>
      </w:r>
      <w:r w:rsidRPr="008B619A">
        <w:rPr>
          <w:color w:val="000000" w:themeColor="text1"/>
        </w:rPr>
        <w:t>，相關數據摘要如下</w:t>
      </w:r>
      <w:r w:rsidRPr="008B619A">
        <w:rPr>
          <w:rFonts w:hint="eastAsia"/>
          <w:color w:val="000000" w:themeColor="text1"/>
        </w:rPr>
        <w:t>：</w:t>
      </w:r>
    </w:p>
    <w:p w14:paraId="2FB9E228" w14:textId="2ABF1EB6" w:rsidR="00462DD6" w:rsidRPr="008B619A" w:rsidRDefault="00EB59CA" w:rsidP="00462DD6">
      <w:pPr>
        <w:pStyle w:val="a3"/>
        <w:rPr>
          <w:b/>
          <w:bCs w:val="0"/>
          <w:color w:val="000000" w:themeColor="text1"/>
        </w:rPr>
      </w:pPr>
      <w:r w:rsidRPr="008B619A">
        <w:rPr>
          <w:rFonts w:hint="eastAsia"/>
          <w:b/>
          <w:bCs w:val="0"/>
          <w:color w:val="000000" w:themeColor="text1"/>
        </w:rPr>
        <w:t>英國</w:t>
      </w:r>
      <w:r w:rsidR="00EF0BBF" w:rsidRPr="008B619A">
        <w:rPr>
          <w:rFonts w:hint="eastAsia"/>
          <w:b/>
          <w:bCs w:val="0"/>
          <w:color w:val="000000" w:themeColor="text1"/>
        </w:rPr>
        <w:t>畢業生</w:t>
      </w:r>
      <w:r w:rsidRPr="008B619A">
        <w:rPr>
          <w:rFonts w:hint="eastAsia"/>
          <w:b/>
          <w:bCs w:val="0"/>
          <w:color w:val="000000" w:themeColor="text1"/>
        </w:rPr>
        <w:t>就業率</w:t>
      </w:r>
    </w:p>
    <w:p w14:paraId="10B7B998" w14:textId="7A27CE7B" w:rsidR="009442AF" w:rsidRPr="008B619A" w:rsidRDefault="009442AF" w:rsidP="00680F84">
      <w:pPr>
        <w:spacing w:line="240" w:lineRule="exact"/>
        <w:jc w:val="right"/>
        <w:rPr>
          <w:color w:val="000000" w:themeColor="text1"/>
          <w:sz w:val="24"/>
          <w:szCs w:val="24"/>
          <w:lang w:val="zh-TW"/>
        </w:rPr>
      </w:pPr>
      <w:r w:rsidRPr="008B619A">
        <w:rPr>
          <w:rFonts w:hint="eastAsia"/>
          <w:color w:val="000000" w:themeColor="text1"/>
          <w:sz w:val="24"/>
          <w:szCs w:val="24"/>
          <w:lang w:val="zh-TW"/>
        </w:rPr>
        <w:t>單位：</w:t>
      </w:r>
      <w:r w:rsidR="000C0EFE" w:rsidRPr="008B619A">
        <w:rPr>
          <w:color w:val="000000" w:themeColor="text1"/>
          <w:sz w:val="26"/>
          <w:szCs w:val="26"/>
          <w14:textOutline w14:w="12700" w14:cap="flat" w14:cmpd="sng" w14:algn="ctr">
            <w14:noFill/>
            <w14:prstDash w14:val="solid"/>
            <w14:miter w14:lim="400000"/>
          </w14:textOutline>
        </w:rPr>
        <w:t>%</w:t>
      </w:r>
    </w:p>
    <w:tbl>
      <w:tblPr>
        <w:tblStyle w:val="TableNormal"/>
        <w:tblW w:w="8408" w:type="dxa"/>
        <w:jc w:val="right"/>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5B9BD5"/>
        <w:tblLayout w:type="fixed"/>
        <w:tblLook w:val="04A0" w:firstRow="1" w:lastRow="0" w:firstColumn="1" w:lastColumn="0" w:noHBand="0" w:noVBand="1"/>
      </w:tblPr>
      <w:tblGrid>
        <w:gridCol w:w="1443"/>
        <w:gridCol w:w="1393"/>
        <w:gridCol w:w="1393"/>
        <w:gridCol w:w="1393"/>
        <w:gridCol w:w="1393"/>
        <w:gridCol w:w="1393"/>
      </w:tblGrid>
      <w:tr w:rsidR="00E34F58" w:rsidRPr="008B619A" w14:paraId="7D94F3BC" w14:textId="77777777" w:rsidTr="00FD02FB">
        <w:trPr>
          <w:trHeight w:val="452"/>
          <w:tblHeader/>
          <w:jc w:val="right"/>
        </w:trPr>
        <w:tc>
          <w:tcPr>
            <w:tcW w:w="1443" w:type="dxa"/>
            <w:tcBorders>
              <w:top w:val="single" w:sz="8" w:space="0" w:color="FFFFFF"/>
              <w:left w:val="single" w:sz="8" w:space="0" w:color="FFFFFF"/>
              <w:bottom w:val="single" w:sz="24" w:space="0" w:color="FFFFFF"/>
              <w:right w:val="single" w:sz="8" w:space="0" w:color="FFFFFF"/>
            </w:tcBorders>
            <w:shd w:val="clear" w:color="auto" w:fill="EAF1DD" w:themeFill="accent3" w:themeFillTint="33"/>
            <w:tcMar>
              <w:top w:w="0" w:type="dxa"/>
              <w:left w:w="0" w:type="dxa"/>
              <w:bottom w:w="0" w:type="dxa"/>
              <w:right w:w="0" w:type="dxa"/>
            </w:tcMar>
            <w:vAlign w:val="center"/>
          </w:tcPr>
          <w:p w14:paraId="522041E2" w14:textId="77777777" w:rsidR="005C7A03" w:rsidRPr="008B619A" w:rsidRDefault="005C7A03" w:rsidP="00DA7A36">
            <w:pPr>
              <w:jc w:val="center"/>
              <w:rPr>
                <w:color w:val="000000" w:themeColor="text1"/>
                <w:sz w:val="26"/>
                <w:szCs w:val="26"/>
              </w:rPr>
            </w:pPr>
          </w:p>
        </w:tc>
        <w:tc>
          <w:tcPr>
            <w:tcW w:w="1393" w:type="dxa"/>
            <w:tcBorders>
              <w:top w:val="single" w:sz="8" w:space="0" w:color="FFFFFF"/>
              <w:left w:val="single" w:sz="8" w:space="0" w:color="FFFFFF"/>
              <w:bottom w:val="single" w:sz="24" w:space="0" w:color="FFFFFF"/>
              <w:right w:val="single" w:sz="8" w:space="0" w:color="FFFFFF"/>
            </w:tcBorders>
            <w:shd w:val="clear" w:color="auto" w:fill="EAF1DD" w:themeFill="accent3" w:themeFillTint="33"/>
            <w:tcMar>
              <w:top w:w="0" w:type="dxa"/>
              <w:left w:w="0" w:type="dxa"/>
              <w:bottom w:w="0" w:type="dxa"/>
              <w:right w:w="0" w:type="dxa"/>
            </w:tcMar>
            <w:vAlign w:val="center"/>
          </w:tcPr>
          <w:p w14:paraId="3A8C5FA8" w14:textId="77777777" w:rsidR="005C7A03" w:rsidRPr="008B619A" w:rsidRDefault="005C7A03" w:rsidP="00DA7A36">
            <w:pPr>
              <w:jc w:val="center"/>
              <w:rPr>
                <w:b/>
                <w:bCs/>
                <w:color w:val="000000" w:themeColor="text1"/>
                <w:sz w:val="26"/>
                <w:szCs w:val="26"/>
              </w:rPr>
            </w:pPr>
            <w:r w:rsidRPr="008B619A">
              <w:rPr>
                <w:b/>
                <w:bCs/>
                <w:color w:val="000000" w:themeColor="text1"/>
                <w:sz w:val="26"/>
                <w:szCs w:val="26"/>
                <w14:textOutline w14:w="12700" w14:cap="flat" w14:cmpd="sng" w14:algn="ctr">
                  <w14:noFill/>
                  <w14:prstDash w14:val="solid"/>
                  <w14:miter w14:lim="400000"/>
                </w14:textOutline>
              </w:rPr>
              <w:t>2015</w:t>
            </w:r>
          </w:p>
        </w:tc>
        <w:tc>
          <w:tcPr>
            <w:tcW w:w="1393" w:type="dxa"/>
            <w:tcBorders>
              <w:top w:val="single" w:sz="8" w:space="0" w:color="FFFFFF"/>
              <w:left w:val="single" w:sz="8" w:space="0" w:color="FFFFFF"/>
              <w:bottom w:val="single" w:sz="24" w:space="0" w:color="FFFFFF"/>
              <w:right w:val="single" w:sz="8" w:space="0" w:color="FFFFFF"/>
            </w:tcBorders>
            <w:shd w:val="clear" w:color="auto" w:fill="EAF1DD" w:themeFill="accent3" w:themeFillTint="33"/>
            <w:tcMar>
              <w:top w:w="0" w:type="dxa"/>
              <w:left w:w="0" w:type="dxa"/>
              <w:bottom w:w="0" w:type="dxa"/>
              <w:right w:w="0" w:type="dxa"/>
            </w:tcMar>
            <w:vAlign w:val="center"/>
          </w:tcPr>
          <w:p w14:paraId="363E80BB" w14:textId="77777777" w:rsidR="005C7A03" w:rsidRPr="008B619A" w:rsidRDefault="005C7A03" w:rsidP="00DA7A36">
            <w:pPr>
              <w:jc w:val="center"/>
              <w:rPr>
                <w:b/>
                <w:bCs/>
                <w:color w:val="000000" w:themeColor="text1"/>
                <w:sz w:val="26"/>
                <w:szCs w:val="26"/>
              </w:rPr>
            </w:pPr>
            <w:r w:rsidRPr="008B619A">
              <w:rPr>
                <w:b/>
                <w:bCs/>
                <w:color w:val="000000" w:themeColor="text1"/>
                <w:sz w:val="26"/>
                <w:szCs w:val="26"/>
                <w14:textOutline w14:w="12700" w14:cap="flat" w14:cmpd="sng" w14:algn="ctr">
                  <w14:noFill/>
                  <w14:prstDash w14:val="solid"/>
                  <w14:miter w14:lim="400000"/>
                </w14:textOutline>
              </w:rPr>
              <w:t>2016</w:t>
            </w:r>
          </w:p>
        </w:tc>
        <w:tc>
          <w:tcPr>
            <w:tcW w:w="1393" w:type="dxa"/>
            <w:tcBorders>
              <w:top w:val="single" w:sz="8" w:space="0" w:color="FFFFFF"/>
              <w:left w:val="single" w:sz="8" w:space="0" w:color="FFFFFF"/>
              <w:bottom w:val="single" w:sz="24" w:space="0" w:color="FFFFFF"/>
              <w:right w:val="single" w:sz="8" w:space="0" w:color="FFFFFF"/>
            </w:tcBorders>
            <w:shd w:val="clear" w:color="auto" w:fill="EAF1DD" w:themeFill="accent3" w:themeFillTint="33"/>
            <w:tcMar>
              <w:top w:w="0" w:type="dxa"/>
              <w:left w:w="0" w:type="dxa"/>
              <w:bottom w:w="0" w:type="dxa"/>
              <w:right w:w="0" w:type="dxa"/>
            </w:tcMar>
            <w:vAlign w:val="center"/>
          </w:tcPr>
          <w:p w14:paraId="16DD5177" w14:textId="77777777" w:rsidR="005C7A03" w:rsidRPr="008B619A" w:rsidRDefault="005C7A03" w:rsidP="00DA7A36">
            <w:pPr>
              <w:jc w:val="center"/>
              <w:rPr>
                <w:b/>
                <w:bCs/>
                <w:color w:val="000000" w:themeColor="text1"/>
                <w:sz w:val="26"/>
                <w:szCs w:val="26"/>
              </w:rPr>
            </w:pPr>
            <w:r w:rsidRPr="008B619A">
              <w:rPr>
                <w:b/>
                <w:bCs/>
                <w:color w:val="000000" w:themeColor="text1"/>
                <w:sz w:val="26"/>
                <w:szCs w:val="26"/>
                <w14:textOutline w14:w="12700" w14:cap="flat" w14:cmpd="sng" w14:algn="ctr">
                  <w14:noFill/>
                  <w14:prstDash w14:val="solid"/>
                  <w14:miter w14:lim="400000"/>
                </w14:textOutline>
              </w:rPr>
              <w:t>2017</w:t>
            </w:r>
          </w:p>
        </w:tc>
        <w:tc>
          <w:tcPr>
            <w:tcW w:w="1393" w:type="dxa"/>
            <w:tcBorders>
              <w:top w:val="single" w:sz="8" w:space="0" w:color="FFFFFF"/>
              <w:left w:val="single" w:sz="8" w:space="0" w:color="FFFFFF"/>
              <w:bottom w:val="single" w:sz="24" w:space="0" w:color="FFFFFF"/>
              <w:right w:val="single" w:sz="8" w:space="0" w:color="FFFFFF"/>
            </w:tcBorders>
            <w:shd w:val="clear" w:color="auto" w:fill="EAF1DD" w:themeFill="accent3" w:themeFillTint="33"/>
            <w:tcMar>
              <w:top w:w="0" w:type="dxa"/>
              <w:left w:w="0" w:type="dxa"/>
              <w:bottom w:w="0" w:type="dxa"/>
              <w:right w:w="0" w:type="dxa"/>
            </w:tcMar>
            <w:vAlign w:val="center"/>
          </w:tcPr>
          <w:p w14:paraId="438AF94E" w14:textId="77777777" w:rsidR="005C7A03" w:rsidRPr="008B619A" w:rsidRDefault="005C7A03" w:rsidP="00DA7A36">
            <w:pPr>
              <w:jc w:val="center"/>
              <w:rPr>
                <w:b/>
                <w:bCs/>
                <w:color w:val="000000" w:themeColor="text1"/>
                <w:sz w:val="26"/>
                <w:szCs w:val="26"/>
              </w:rPr>
            </w:pPr>
            <w:r w:rsidRPr="008B619A">
              <w:rPr>
                <w:b/>
                <w:bCs/>
                <w:color w:val="000000" w:themeColor="text1"/>
                <w:sz w:val="26"/>
                <w:szCs w:val="26"/>
                <w14:textOutline w14:w="12700" w14:cap="flat" w14:cmpd="sng" w14:algn="ctr">
                  <w14:noFill/>
                  <w14:prstDash w14:val="solid"/>
                  <w14:miter w14:lim="400000"/>
                </w14:textOutline>
              </w:rPr>
              <w:t>2018</w:t>
            </w:r>
          </w:p>
        </w:tc>
        <w:tc>
          <w:tcPr>
            <w:tcW w:w="1393" w:type="dxa"/>
            <w:tcBorders>
              <w:top w:val="single" w:sz="8" w:space="0" w:color="FFFFFF"/>
              <w:left w:val="single" w:sz="8" w:space="0" w:color="FFFFFF"/>
              <w:bottom w:val="single" w:sz="24" w:space="0" w:color="FFFFFF"/>
              <w:right w:val="single" w:sz="8" w:space="0" w:color="FFFFFF"/>
            </w:tcBorders>
            <w:shd w:val="clear" w:color="auto" w:fill="EAF1DD" w:themeFill="accent3" w:themeFillTint="33"/>
            <w:tcMar>
              <w:top w:w="0" w:type="dxa"/>
              <w:left w:w="0" w:type="dxa"/>
              <w:bottom w:w="0" w:type="dxa"/>
              <w:right w:w="0" w:type="dxa"/>
            </w:tcMar>
            <w:vAlign w:val="center"/>
          </w:tcPr>
          <w:p w14:paraId="458AEC38" w14:textId="77777777" w:rsidR="005C7A03" w:rsidRPr="008B619A" w:rsidRDefault="005C7A03" w:rsidP="00DA7A36">
            <w:pPr>
              <w:jc w:val="center"/>
              <w:rPr>
                <w:b/>
                <w:bCs/>
                <w:color w:val="000000" w:themeColor="text1"/>
                <w:sz w:val="26"/>
                <w:szCs w:val="26"/>
              </w:rPr>
            </w:pPr>
            <w:r w:rsidRPr="008B619A">
              <w:rPr>
                <w:b/>
                <w:bCs/>
                <w:color w:val="000000" w:themeColor="text1"/>
                <w:sz w:val="26"/>
                <w:szCs w:val="26"/>
                <w14:textOutline w14:w="12700" w14:cap="flat" w14:cmpd="sng" w14:algn="ctr">
                  <w14:noFill/>
                  <w14:prstDash w14:val="solid"/>
                  <w14:miter w14:lim="400000"/>
                </w14:textOutline>
              </w:rPr>
              <w:t>2019</w:t>
            </w:r>
          </w:p>
        </w:tc>
      </w:tr>
      <w:tr w:rsidR="00E34F58" w:rsidRPr="008B619A" w14:paraId="7C78272B" w14:textId="77777777" w:rsidTr="00571782">
        <w:tblPrEx>
          <w:shd w:val="clear" w:color="auto" w:fill="D0DDEF"/>
        </w:tblPrEx>
        <w:trPr>
          <w:trHeight w:val="452"/>
          <w:jc w:val="right"/>
        </w:trPr>
        <w:tc>
          <w:tcPr>
            <w:tcW w:w="1443" w:type="dxa"/>
            <w:tcBorders>
              <w:top w:val="single" w:sz="24" w:space="0" w:color="FFFFFF"/>
              <w:left w:val="single" w:sz="8" w:space="0" w:color="FFFFFF"/>
              <w:bottom w:val="single" w:sz="8" w:space="0" w:color="FFFFFF"/>
              <w:right w:val="single" w:sz="8" w:space="0" w:color="FFFFFF"/>
            </w:tcBorders>
            <w:shd w:val="clear" w:color="auto" w:fill="D0DDEF"/>
            <w:tcMar>
              <w:top w:w="0" w:type="dxa"/>
              <w:left w:w="0" w:type="dxa"/>
              <w:bottom w:w="0" w:type="dxa"/>
              <w:right w:w="0" w:type="dxa"/>
            </w:tcMar>
            <w:vAlign w:val="center"/>
          </w:tcPr>
          <w:p w14:paraId="565779DE" w14:textId="77777777" w:rsidR="005C7A03" w:rsidRPr="008B619A" w:rsidRDefault="005C7A03" w:rsidP="00DA7A36">
            <w:pPr>
              <w:jc w:val="center"/>
              <w:rPr>
                <w:b/>
                <w:bCs/>
                <w:color w:val="000000" w:themeColor="text1"/>
                <w:sz w:val="26"/>
                <w:szCs w:val="26"/>
              </w:rPr>
            </w:pPr>
            <w:r w:rsidRPr="008B619A">
              <w:rPr>
                <w:b/>
                <w:bCs/>
                <w:color w:val="000000" w:themeColor="text1"/>
                <w:sz w:val="26"/>
                <w:szCs w:val="26"/>
                <w14:textOutline w14:w="12700" w14:cap="flat" w14:cmpd="sng" w14:algn="ctr">
                  <w14:noFill/>
                  <w14:prstDash w14:val="solid"/>
                  <w14:miter w14:lim="400000"/>
                </w14:textOutline>
              </w:rPr>
              <w:t>研究生</w:t>
            </w:r>
          </w:p>
        </w:tc>
        <w:tc>
          <w:tcPr>
            <w:tcW w:w="1393" w:type="dxa"/>
            <w:tcBorders>
              <w:top w:val="single" w:sz="24" w:space="0" w:color="FFFFFF"/>
              <w:left w:val="single" w:sz="8" w:space="0" w:color="FFFFFF"/>
              <w:bottom w:val="single" w:sz="8" w:space="0" w:color="FFFFFF"/>
              <w:right w:val="single" w:sz="8" w:space="0" w:color="FFFFFF"/>
            </w:tcBorders>
            <w:shd w:val="clear" w:color="auto" w:fill="D0DDEF"/>
            <w:tcMar>
              <w:top w:w="0" w:type="dxa"/>
              <w:left w:w="0" w:type="dxa"/>
              <w:bottom w:w="0" w:type="dxa"/>
              <w:right w:w="0" w:type="dxa"/>
            </w:tcMar>
            <w:vAlign w:val="center"/>
          </w:tcPr>
          <w:p w14:paraId="74EB1C2D" w14:textId="77777777" w:rsidR="005C7A03" w:rsidRPr="008B619A" w:rsidRDefault="005C7A03" w:rsidP="00DA7A36">
            <w:pPr>
              <w:jc w:val="center"/>
              <w:rPr>
                <w:color w:val="000000" w:themeColor="text1"/>
                <w:sz w:val="26"/>
                <w:szCs w:val="26"/>
              </w:rPr>
            </w:pPr>
            <w:r w:rsidRPr="008B619A">
              <w:rPr>
                <w:color w:val="000000" w:themeColor="text1"/>
                <w:sz w:val="26"/>
                <w:szCs w:val="26"/>
                <w14:textOutline w14:w="12700" w14:cap="flat" w14:cmpd="sng" w14:algn="ctr">
                  <w14:noFill/>
                  <w14:prstDash w14:val="solid"/>
                  <w14:miter w14:lim="400000"/>
                </w14:textOutline>
              </w:rPr>
              <w:t>87.1%</w:t>
            </w:r>
          </w:p>
        </w:tc>
        <w:tc>
          <w:tcPr>
            <w:tcW w:w="1393" w:type="dxa"/>
            <w:tcBorders>
              <w:top w:val="single" w:sz="24" w:space="0" w:color="FFFFFF"/>
              <w:left w:val="single" w:sz="8" w:space="0" w:color="FFFFFF"/>
              <w:bottom w:val="single" w:sz="8" w:space="0" w:color="FFFFFF"/>
              <w:right w:val="single" w:sz="8" w:space="0" w:color="FFFFFF"/>
            </w:tcBorders>
            <w:shd w:val="clear" w:color="auto" w:fill="D0DDEF"/>
            <w:tcMar>
              <w:top w:w="0" w:type="dxa"/>
              <w:left w:w="0" w:type="dxa"/>
              <w:bottom w:w="0" w:type="dxa"/>
              <w:right w:w="0" w:type="dxa"/>
            </w:tcMar>
            <w:vAlign w:val="center"/>
          </w:tcPr>
          <w:p w14:paraId="7AA4E514" w14:textId="77777777" w:rsidR="005C7A03" w:rsidRPr="008B619A" w:rsidRDefault="005C7A03" w:rsidP="00DA7A36">
            <w:pPr>
              <w:jc w:val="center"/>
              <w:rPr>
                <w:color w:val="000000" w:themeColor="text1"/>
                <w:sz w:val="26"/>
                <w:szCs w:val="26"/>
              </w:rPr>
            </w:pPr>
            <w:r w:rsidRPr="008B619A">
              <w:rPr>
                <w:color w:val="000000" w:themeColor="text1"/>
                <w:sz w:val="26"/>
                <w:szCs w:val="26"/>
                <w14:textOutline w14:w="12700" w14:cap="flat" w14:cmpd="sng" w14:algn="ctr">
                  <w14:noFill/>
                  <w14:prstDash w14:val="solid"/>
                  <w14:miter w14:lim="400000"/>
                </w14:textOutline>
              </w:rPr>
              <w:t>87.3%</w:t>
            </w:r>
          </w:p>
        </w:tc>
        <w:tc>
          <w:tcPr>
            <w:tcW w:w="1393" w:type="dxa"/>
            <w:tcBorders>
              <w:top w:val="single" w:sz="24" w:space="0" w:color="FFFFFF"/>
              <w:left w:val="single" w:sz="8" w:space="0" w:color="FFFFFF"/>
              <w:bottom w:val="single" w:sz="8" w:space="0" w:color="FFFFFF"/>
              <w:right w:val="single" w:sz="8" w:space="0" w:color="FFFFFF"/>
            </w:tcBorders>
            <w:shd w:val="clear" w:color="auto" w:fill="D0DDEF"/>
            <w:tcMar>
              <w:top w:w="0" w:type="dxa"/>
              <w:left w:w="0" w:type="dxa"/>
              <w:bottom w:w="0" w:type="dxa"/>
              <w:right w:w="0" w:type="dxa"/>
            </w:tcMar>
            <w:vAlign w:val="center"/>
          </w:tcPr>
          <w:p w14:paraId="22F51E7D" w14:textId="77777777" w:rsidR="005C7A03" w:rsidRPr="008B619A" w:rsidRDefault="005C7A03" w:rsidP="00DA7A36">
            <w:pPr>
              <w:jc w:val="center"/>
              <w:rPr>
                <w:color w:val="000000" w:themeColor="text1"/>
                <w:sz w:val="26"/>
                <w:szCs w:val="26"/>
              </w:rPr>
            </w:pPr>
            <w:r w:rsidRPr="008B619A">
              <w:rPr>
                <w:color w:val="000000" w:themeColor="text1"/>
                <w:sz w:val="26"/>
                <w:szCs w:val="26"/>
                <w14:textOutline w14:w="12700" w14:cap="flat" w14:cmpd="sng" w14:algn="ctr">
                  <w14:noFill/>
                  <w14:prstDash w14:val="solid"/>
                  <w14:miter w14:lim="400000"/>
                </w14:textOutline>
              </w:rPr>
              <w:t>87.4%</w:t>
            </w:r>
          </w:p>
        </w:tc>
        <w:tc>
          <w:tcPr>
            <w:tcW w:w="1393" w:type="dxa"/>
            <w:tcBorders>
              <w:top w:val="single" w:sz="24" w:space="0" w:color="FFFFFF"/>
              <w:left w:val="single" w:sz="8" w:space="0" w:color="FFFFFF"/>
              <w:bottom w:val="single" w:sz="8" w:space="0" w:color="FFFFFF"/>
              <w:right w:val="single" w:sz="8" w:space="0" w:color="FFFFFF"/>
            </w:tcBorders>
            <w:shd w:val="clear" w:color="auto" w:fill="D0DDEF"/>
            <w:tcMar>
              <w:top w:w="0" w:type="dxa"/>
              <w:left w:w="0" w:type="dxa"/>
              <w:bottom w:w="0" w:type="dxa"/>
              <w:right w:w="0" w:type="dxa"/>
            </w:tcMar>
            <w:vAlign w:val="center"/>
          </w:tcPr>
          <w:p w14:paraId="309F5C61" w14:textId="77777777" w:rsidR="005C7A03" w:rsidRPr="008B619A" w:rsidRDefault="005C7A03" w:rsidP="00DA7A36">
            <w:pPr>
              <w:jc w:val="center"/>
              <w:rPr>
                <w:color w:val="000000" w:themeColor="text1"/>
                <w:sz w:val="26"/>
                <w:szCs w:val="26"/>
              </w:rPr>
            </w:pPr>
            <w:r w:rsidRPr="008B619A">
              <w:rPr>
                <w:color w:val="000000" w:themeColor="text1"/>
                <w:sz w:val="26"/>
                <w:szCs w:val="26"/>
                <w14:textOutline w14:w="12700" w14:cap="flat" w14:cmpd="sng" w14:algn="ctr">
                  <w14:noFill/>
                  <w14:prstDash w14:val="solid"/>
                  <w14:miter w14:lim="400000"/>
                </w14:textOutline>
              </w:rPr>
              <w:t>87.7%</w:t>
            </w:r>
          </w:p>
        </w:tc>
        <w:tc>
          <w:tcPr>
            <w:tcW w:w="1393" w:type="dxa"/>
            <w:tcBorders>
              <w:top w:val="single" w:sz="24" w:space="0" w:color="FFFFFF"/>
              <w:left w:val="single" w:sz="8" w:space="0" w:color="FFFFFF"/>
              <w:bottom w:val="single" w:sz="8" w:space="0" w:color="FFFFFF"/>
              <w:right w:val="single" w:sz="8" w:space="0" w:color="FFFFFF"/>
            </w:tcBorders>
            <w:shd w:val="clear" w:color="auto" w:fill="D0DDEF"/>
            <w:tcMar>
              <w:top w:w="0" w:type="dxa"/>
              <w:left w:w="0" w:type="dxa"/>
              <w:bottom w:w="0" w:type="dxa"/>
              <w:right w:w="0" w:type="dxa"/>
            </w:tcMar>
            <w:vAlign w:val="center"/>
          </w:tcPr>
          <w:p w14:paraId="6CA7CD34" w14:textId="77777777" w:rsidR="005C7A03" w:rsidRPr="008B619A" w:rsidRDefault="005C7A03" w:rsidP="00DA7A36">
            <w:pPr>
              <w:jc w:val="center"/>
              <w:rPr>
                <w:color w:val="000000" w:themeColor="text1"/>
                <w:sz w:val="26"/>
                <w:szCs w:val="26"/>
              </w:rPr>
            </w:pPr>
            <w:r w:rsidRPr="008B619A">
              <w:rPr>
                <w:color w:val="000000" w:themeColor="text1"/>
                <w:sz w:val="26"/>
                <w:szCs w:val="26"/>
                <w14:textOutline w14:w="12700" w14:cap="flat" w14:cmpd="sng" w14:algn="ctr">
                  <w14:noFill/>
                  <w14:prstDash w14:val="solid"/>
                  <w14:miter w14:lim="400000"/>
                </w14:textOutline>
              </w:rPr>
              <w:t>87.5%</w:t>
            </w:r>
          </w:p>
        </w:tc>
      </w:tr>
      <w:tr w:rsidR="00E34F58" w:rsidRPr="008B619A" w14:paraId="14EFDC03" w14:textId="77777777" w:rsidTr="00571782">
        <w:tblPrEx>
          <w:shd w:val="clear" w:color="auto" w:fill="D0DDEF"/>
        </w:tblPrEx>
        <w:trPr>
          <w:trHeight w:val="452"/>
          <w:jc w:val="right"/>
        </w:trPr>
        <w:tc>
          <w:tcPr>
            <w:tcW w:w="1443" w:type="dxa"/>
            <w:tcBorders>
              <w:top w:val="single" w:sz="8" w:space="0" w:color="FFFFFF"/>
              <w:left w:val="single" w:sz="8" w:space="0" w:color="FFFFFF"/>
              <w:bottom w:val="single" w:sz="8" w:space="0" w:color="FFFFFF"/>
              <w:right w:val="single" w:sz="8" w:space="0" w:color="FFFFFF"/>
            </w:tcBorders>
            <w:shd w:val="clear" w:color="auto" w:fill="E9EEF7"/>
            <w:tcMar>
              <w:top w:w="0" w:type="dxa"/>
              <w:left w:w="0" w:type="dxa"/>
              <w:bottom w:w="0" w:type="dxa"/>
              <w:right w:w="0" w:type="dxa"/>
            </w:tcMar>
            <w:vAlign w:val="center"/>
          </w:tcPr>
          <w:p w14:paraId="28839063" w14:textId="77777777" w:rsidR="005C7A03" w:rsidRPr="008B619A" w:rsidRDefault="005C7A03" w:rsidP="00DA7A36">
            <w:pPr>
              <w:jc w:val="center"/>
              <w:rPr>
                <w:b/>
                <w:bCs/>
                <w:color w:val="000000" w:themeColor="text1"/>
                <w:sz w:val="26"/>
                <w:szCs w:val="26"/>
              </w:rPr>
            </w:pPr>
            <w:r w:rsidRPr="008B619A">
              <w:rPr>
                <w:b/>
                <w:bCs/>
                <w:color w:val="000000" w:themeColor="text1"/>
                <w:sz w:val="26"/>
                <w:szCs w:val="26"/>
                <w14:textOutline w14:w="12700" w14:cap="flat" w14:cmpd="sng" w14:algn="ctr">
                  <w14:noFill/>
                  <w14:prstDash w14:val="solid"/>
                  <w14:miter w14:lim="400000"/>
                </w14:textOutline>
              </w:rPr>
              <w:t>大學生</w:t>
            </w:r>
          </w:p>
        </w:tc>
        <w:tc>
          <w:tcPr>
            <w:tcW w:w="1393" w:type="dxa"/>
            <w:tcBorders>
              <w:top w:val="single" w:sz="8" w:space="0" w:color="FFFFFF"/>
              <w:left w:val="single" w:sz="8" w:space="0" w:color="FFFFFF"/>
              <w:bottom w:val="single" w:sz="8" w:space="0" w:color="FFFFFF"/>
              <w:right w:val="single" w:sz="8" w:space="0" w:color="FFFFFF"/>
            </w:tcBorders>
            <w:shd w:val="clear" w:color="auto" w:fill="E9EEF7"/>
            <w:tcMar>
              <w:top w:w="0" w:type="dxa"/>
              <w:left w:w="0" w:type="dxa"/>
              <w:bottom w:w="0" w:type="dxa"/>
              <w:right w:w="0" w:type="dxa"/>
            </w:tcMar>
            <w:vAlign w:val="center"/>
          </w:tcPr>
          <w:p w14:paraId="5A46F1DE" w14:textId="77777777" w:rsidR="005C7A03" w:rsidRPr="008B619A" w:rsidRDefault="005C7A03" w:rsidP="00DA7A36">
            <w:pPr>
              <w:jc w:val="center"/>
              <w:rPr>
                <w:color w:val="000000" w:themeColor="text1"/>
                <w:sz w:val="26"/>
                <w:szCs w:val="26"/>
              </w:rPr>
            </w:pPr>
            <w:r w:rsidRPr="008B619A">
              <w:rPr>
                <w:color w:val="000000" w:themeColor="text1"/>
                <w:sz w:val="26"/>
                <w:szCs w:val="26"/>
                <w14:textOutline w14:w="12700" w14:cap="flat" w14:cmpd="sng" w14:algn="ctr">
                  <w14:noFill/>
                  <w14:prstDash w14:val="solid"/>
                  <w14:miter w14:lim="400000"/>
                </w14:textOutline>
              </w:rPr>
              <w:t>87.5%</w:t>
            </w:r>
          </w:p>
        </w:tc>
        <w:tc>
          <w:tcPr>
            <w:tcW w:w="1393" w:type="dxa"/>
            <w:tcBorders>
              <w:top w:val="single" w:sz="8" w:space="0" w:color="FFFFFF"/>
              <w:left w:val="single" w:sz="8" w:space="0" w:color="FFFFFF"/>
              <w:bottom w:val="single" w:sz="8" w:space="0" w:color="FFFFFF"/>
              <w:right w:val="single" w:sz="8" w:space="0" w:color="FFFFFF"/>
            </w:tcBorders>
            <w:shd w:val="clear" w:color="auto" w:fill="E9EEF7"/>
            <w:tcMar>
              <w:top w:w="0" w:type="dxa"/>
              <w:left w:w="0" w:type="dxa"/>
              <w:bottom w:w="0" w:type="dxa"/>
              <w:right w:w="0" w:type="dxa"/>
            </w:tcMar>
            <w:vAlign w:val="center"/>
          </w:tcPr>
          <w:p w14:paraId="6EB9AB8F" w14:textId="77777777" w:rsidR="005C7A03" w:rsidRPr="008B619A" w:rsidRDefault="005C7A03" w:rsidP="00DA7A36">
            <w:pPr>
              <w:jc w:val="center"/>
              <w:rPr>
                <w:color w:val="000000" w:themeColor="text1"/>
                <w:sz w:val="26"/>
                <w:szCs w:val="26"/>
              </w:rPr>
            </w:pPr>
            <w:r w:rsidRPr="008B619A">
              <w:rPr>
                <w:color w:val="000000" w:themeColor="text1"/>
                <w:sz w:val="26"/>
                <w:szCs w:val="26"/>
                <w14:textOutline w14:w="12700" w14:cap="flat" w14:cmpd="sng" w14:algn="ctr">
                  <w14:noFill/>
                  <w14:prstDash w14:val="solid"/>
                  <w14:miter w14:lim="400000"/>
                </w14:textOutline>
              </w:rPr>
              <w:t>88.0%</w:t>
            </w:r>
          </w:p>
        </w:tc>
        <w:tc>
          <w:tcPr>
            <w:tcW w:w="1393" w:type="dxa"/>
            <w:tcBorders>
              <w:top w:val="single" w:sz="8" w:space="0" w:color="FFFFFF"/>
              <w:left w:val="single" w:sz="8" w:space="0" w:color="FFFFFF"/>
              <w:bottom w:val="single" w:sz="8" w:space="0" w:color="FFFFFF"/>
              <w:right w:val="single" w:sz="8" w:space="0" w:color="FFFFFF"/>
            </w:tcBorders>
            <w:shd w:val="clear" w:color="auto" w:fill="E9EEF7"/>
            <w:tcMar>
              <w:top w:w="0" w:type="dxa"/>
              <w:left w:w="0" w:type="dxa"/>
              <w:bottom w:w="0" w:type="dxa"/>
              <w:right w:w="0" w:type="dxa"/>
            </w:tcMar>
            <w:vAlign w:val="center"/>
          </w:tcPr>
          <w:p w14:paraId="63F78BF3" w14:textId="77777777" w:rsidR="005C7A03" w:rsidRPr="008B619A" w:rsidRDefault="005C7A03" w:rsidP="00DA7A36">
            <w:pPr>
              <w:jc w:val="center"/>
              <w:rPr>
                <w:color w:val="000000" w:themeColor="text1"/>
                <w:sz w:val="26"/>
                <w:szCs w:val="26"/>
              </w:rPr>
            </w:pPr>
            <w:r w:rsidRPr="008B619A">
              <w:rPr>
                <w:color w:val="000000" w:themeColor="text1"/>
                <w:sz w:val="26"/>
                <w:szCs w:val="26"/>
                <w14:textOutline w14:w="12700" w14:cap="flat" w14:cmpd="sng" w14:algn="ctr">
                  <w14:noFill/>
                  <w14:prstDash w14:val="solid"/>
                  <w14:miter w14:lim="400000"/>
                </w14:textOutline>
              </w:rPr>
              <w:t>87.7%</w:t>
            </w:r>
          </w:p>
        </w:tc>
        <w:tc>
          <w:tcPr>
            <w:tcW w:w="1393" w:type="dxa"/>
            <w:tcBorders>
              <w:top w:val="single" w:sz="8" w:space="0" w:color="FFFFFF"/>
              <w:left w:val="single" w:sz="8" w:space="0" w:color="FFFFFF"/>
              <w:bottom w:val="single" w:sz="8" w:space="0" w:color="FFFFFF"/>
              <w:right w:val="single" w:sz="8" w:space="0" w:color="FFFFFF"/>
            </w:tcBorders>
            <w:shd w:val="clear" w:color="auto" w:fill="E9EEF7"/>
            <w:tcMar>
              <w:top w:w="0" w:type="dxa"/>
              <w:left w:w="0" w:type="dxa"/>
              <w:bottom w:w="0" w:type="dxa"/>
              <w:right w:w="0" w:type="dxa"/>
            </w:tcMar>
            <w:vAlign w:val="center"/>
          </w:tcPr>
          <w:p w14:paraId="2AC0E4FC" w14:textId="77777777" w:rsidR="005C7A03" w:rsidRPr="008B619A" w:rsidRDefault="005C7A03" w:rsidP="00DA7A36">
            <w:pPr>
              <w:jc w:val="center"/>
              <w:rPr>
                <w:color w:val="000000" w:themeColor="text1"/>
                <w:sz w:val="26"/>
                <w:szCs w:val="26"/>
              </w:rPr>
            </w:pPr>
            <w:r w:rsidRPr="008B619A">
              <w:rPr>
                <w:color w:val="000000" w:themeColor="text1"/>
                <w:sz w:val="26"/>
                <w:szCs w:val="26"/>
                <w14:textOutline w14:w="12700" w14:cap="flat" w14:cmpd="sng" w14:algn="ctr">
                  <w14:noFill/>
                  <w14:prstDash w14:val="solid"/>
                  <w14:miter w14:lim="400000"/>
                </w14:textOutline>
              </w:rPr>
              <w:t>87.4%</w:t>
            </w:r>
          </w:p>
        </w:tc>
        <w:tc>
          <w:tcPr>
            <w:tcW w:w="1393" w:type="dxa"/>
            <w:tcBorders>
              <w:top w:val="single" w:sz="8" w:space="0" w:color="FFFFFF"/>
              <w:left w:val="single" w:sz="8" w:space="0" w:color="FFFFFF"/>
              <w:bottom w:val="single" w:sz="8" w:space="0" w:color="FFFFFF"/>
              <w:right w:val="single" w:sz="8" w:space="0" w:color="FFFFFF"/>
            </w:tcBorders>
            <w:shd w:val="clear" w:color="auto" w:fill="E9EEF7"/>
            <w:tcMar>
              <w:top w:w="0" w:type="dxa"/>
              <w:left w:w="0" w:type="dxa"/>
              <w:bottom w:w="0" w:type="dxa"/>
              <w:right w:w="0" w:type="dxa"/>
            </w:tcMar>
            <w:vAlign w:val="center"/>
          </w:tcPr>
          <w:p w14:paraId="451D6D1D" w14:textId="77777777" w:rsidR="005C7A03" w:rsidRPr="008B619A" w:rsidRDefault="005C7A03" w:rsidP="00DA7A36">
            <w:pPr>
              <w:jc w:val="center"/>
              <w:rPr>
                <w:color w:val="000000" w:themeColor="text1"/>
                <w:sz w:val="26"/>
                <w:szCs w:val="26"/>
              </w:rPr>
            </w:pPr>
            <w:r w:rsidRPr="008B619A">
              <w:rPr>
                <w:color w:val="000000" w:themeColor="text1"/>
                <w:sz w:val="26"/>
                <w:szCs w:val="26"/>
                <w14:textOutline w14:w="12700" w14:cap="flat" w14:cmpd="sng" w14:algn="ctr">
                  <w14:noFill/>
                  <w14:prstDash w14:val="solid"/>
                  <w14:miter w14:lim="400000"/>
                </w14:textOutline>
              </w:rPr>
              <w:t>88.7%</w:t>
            </w:r>
          </w:p>
        </w:tc>
      </w:tr>
      <w:tr w:rsidR="00E34F58" w:rsidRPr="008B619A" w14:paraId="38F67136" w14:textId="77777777" w:rsidTr="00571782">
        <w:tblPrEx>
          <w:shd w:val="clear" w:color="auto" w:fill="D0DDEF"/>
        </w:tblPrEx>
        <w:trPr>
          <w:trHeight w:val="907"/>
          <w:jc w:val="right"/>
        </w:trPr>
        <w:tc>
          <w:tcPr>
            <w:tcW w:w="1443" w:type="dxa"/>
            <w:tcBorders>
              <w:top w:val="single" w:sz="8" w:space="0" w:color="FFFFFF"/>
              <w:left w:val="single" w:sz="8" w:space="0" w:color="FFFFFF"/>
              <w:bottom w:val="single" w:sz="8" w:space="0" w:color="FFFFFF"/>
              <w:right w:val="single" w:sz="8" w:space="0" w:color="FFFFFF"/>
            </w:tcBorders>
            <w:shd w:val="clear" w:color="auto" w:fill="D0DDEF"/>
            <w:tcMar>
              <w:top w:w="0" w:type="dxa"/>
              <w:left w:w="0" w:type="dxa"/>
              <w:bottom w:w="0" w:type="dxa"/>
              <w:right w:w="0" w:type="dxa"/>
            </w:tcMar>
            <w:vAlign w:val="center"/>
          </w:tcPr>
          <w:p w14:paraId="50D816D6" w14:textId="77777777" w:rsidR="005C7A03" w:rsidRPr="008B619A" w:rsidRDefault="005C7A03" w:rsidP="00DA7A36">
            <w:pPr>
              <w:jc w:val="center"/>
              <w:rPr>
                <w:b/>
                <w:bCs/>
                <w:color w:val="000000" w:themeColor="text1"/>
                <w:sz w:val="26"/>
                <w:szCs w:val="26"/>
              </w:rPr>
            </w:pPr>
            <w:r w:rsidRPr="008B619A">
              <w:rPr>
                <w:b/>
                <w:bCs/>
                <w:color w:val="000000" w:themeColor="text1"/>
                <w:sz w:val="26"/>
                <w:szCs w:val="26"/>
                <w:lang w:val="zh-TW"/>
              </w:rPr>
              <w:t>非高等教育體系畢業生</w:t>
            </w:r>
          </w:p>
        </w:tc>
        <w:tc>
          <w:tcPr>
            <w:tcW w:w="1393" w:type="dxa"/>
            <w:tcBorders>
              <w:top w:val="single" w:sz="8" w:space="0" w:color="FFFFFF"/>
              <w:left w:val="single" w:sz="8" w:space="0" w:color="FFFFFF"/>
              <w:bottom w:val="single" w:sz="8" w:space="0" w:color="FFFFFF"/>
              <w:right w:val="single" w:sz="8" w:space="0" w:color="FFFFFF"/>
            </w:tcBorders>
            <w:shd w:val="clear" w:color="auto" w:fill="D0DDEF"/>
            <w:tcMar>
              <w:top w:w="0" w:type="dxa"/>
              <w:left w:w="0" w:type="dxa"/>
              <w:bottom w:w="0" w:type="dxa"/>
              <w:right w:w="0" w:type="dxa"/>
            </w:tcMar>
            <w:vAlign w:val="center"/>
          </w:tcPr>
          <w:p w14:paraId="0CF0EEFB" w14:textId="77777777" w:rsidR="005C7A03" w:rsidRPr="008B619A" w:rsidRDefault="005C7A03" w:rsidP="00DA7A36">
            <w:pPr>
              <w:jc w:val="center"/>
              <w:rPr>
                <w:color w:val="000000" w:themeColor="text1"/>
                <w:sz w:val="26"/>
                <w:szCs w:val="26"/>
              </w:rPr>
            </w:pPr>
            <w:r w:rsidRPr="008B619A">
              <w:rPr>
                <w:color w:val="000000" w:themeColor="text1"/>
                <w:sz w:val="26"/>
                <w:szCs w:val="26"/>
                <w14:textOutline w14:w="12700" w14:cap="flat" w14:cmpd="sng" w14:algn="ctr">
                  <w14:noFill/>
                  <w14:prstDash w14:val="solid"/>
                  <w14:miter w14:lim="400000"/>
                </w14:textOutline>
              </w:rPr>
              <w:t>69.8%</w:t>
            </w:r>
          </w:p>
        </w:tc>
        <w:tc>
          <w:tcPr>
            <w:tcW w:w="1393" w:type="dxa"/>
            <w:tcBorders>
              <w:top w:val="single" w:sz="8" w:space="0" w:color="FFFFFF"/>
              <w:left w:val="single" w:sz="8" w:space="0" w:color="FFFFFF"/>
              <w:bottom w:val="single" w:sz="8" w:space="0" w:color="FFFFFF"/>
              <w:right w:val="single" w:sz="8" w:space="0" w:color="FFFFFF"/>
            </w:tcBorders>
            <w:shd w:val="clear" w:color="auto" w:fill="D0DDEF"/>
            <w:tcMar>
              <w:top w:w="0" w:type="dxa"/>
              <w:left w:w="0" w:type="dxa"/>
              <w:bottom w:w="0" w:type="dxa"/>
              <w:right w:w="0" w:type="dxa"/>
            </w:tcMar>
            <w:vAlign w:val="center"/>
          </w:tcPr>
          <w:p w14:paraId="120CC17E" w14:textId="77777777" w:rsidR="005C7A03" w:rsidRPr="008B619A" w:rsidRDefault="005C7A03" w:rsidP="00DA7A36">
            <w:pPr>
              <w:jc w:val="center"/>
              <w:rPr>
                <w:color w:val="000000" w:themeColor="text1"/>
                <w:sz w:val="26"/>
                <w:szCs w:val="26"/>
              </w:rPr>
            </w:pPr>
            <w:r w:rsidRPr="008B619A">
              <w:rPr>
                <w:color w:val="000000" w:themeColor="text1"/>
                <w:sz w:val="26"/>
                <w:szCs w:val="26"/>
                <w14:textOutline w14:w="12700" w14:cap="flat" w14:cmpd="sng" w14:algn="ctr">
                  <w14:noFill/>
                  <w14:prstDash w14:val="solid"/>
                  <w14:miter w14:lim="400000"/>
                </w14:textOutline>
              </w:rPr>
              <w:t>70.4%</w:t>
            </w:r>
          </w:p>
        </w:tc>
        <w:tc>
          <w:tcPr>
            <w:tcW w:w="1393" w:type="dxa"/>
            <w:tcBorders>
              <w:top w:val="single" w:sz="8" w:space="0" w:color="FFFFFF"/>
              <w:left w:val="single" w:sz="8" w:space="0" w:color="FFFFFF"/>
              <w:bottom w:val="single" w:sz="8" w:space="0" w:color="FFFFFF"/>
              <w:right w:val="single" w:sz="8" w:space="0" w:color="FFFFFF"/>
            </w:tcBorders>
            <w:shd w:val="clear" w:color="auto" w:fill="D0DDEF"/>
            <w:tcMar>
              <w:top w:w="0" w:type="dxa"/>
              <w:left w:w="0" w:type="dxa"/>
              <w:bottom w:w="0" w:type="dxa"/>
              <w:right w:w="0" w:type="dxa"/>
            </w:tcMar>
            <w:vAlign w:val="center"/>
          </w:tcPr>
          <w:p w14:paraId="0E67BBFE" w14:textId="77777777" w:rsidR="005C7A03" w:rsidRPr="008B619A" w:rsidRDefault="005C7A03" w:rsidP="00DA7A36">
            <w:pPr>
              <w:jc w:val="center"/>
              <w:rPr>
                <w:color w:val="000000" w:themeColor="text1"/>
                <w:sz w:val="26"/>
                <w:szCs w:val="26"/>
              </w:rPr>
            </w:pPr>
            <w:r w:rsidRPr="008B619A">
              <w:rPr>
                <w:color w:val="000000" w:themeColor="text1"/>
                <w:sz w:val="26"/>
                <w:szCs w:val="26"/>
                <w14:textOutline w14:w="12700" w14:cap="flat" w14:cmpd="sng" w14:algn="ctr">
                  <w14:noFill/>
                  <w14:prstDash w14:val="solid"/>
                  <w14:miter w14:lim="400000"/>
                </w14:textOutline>
              </w:rPr>
              <w:t>71.1%</w:t>
            </w:r>
          </w:p>
        </w:tc>
        <w:tc>
          <w:tcPr>
            <w:tcW w:w="1393" w:type="dxa"/>
            <w:tcBorders>
              <w:top w:val="single" w:sz="8" w:space="0" w:color="FFFFFF"/>
              <w:left w:val="single" w:sz="8" w:space="0" w:color="FFFFFF"/>
              <w:bottom w:val="single" w:sz="8" w:space="0" w:color="FFFFFF"/>
              <w:right w:val="single" w:sz="8" w:space="0" w:color="FFFFFF"/>
            </w:tcBorders>
            <w:shd w:val="clear" w:color="auto" w:fill="D0DDEF"/>
            <w:tcMar>
              <w:top w:w="0" w:type="dxa"/>
              <w:left w:w="0" w:type="dxa"/>
              <w:bottom w:w="0" w:type="dxa"/>
              <w:right w:w="0" w:type="dxa"/>
            </w:tcMar>
            <w:vAlign w:val="center"/>
          </w:tcPr>
          <w:p w14:paraId="3CA3C21C" w14:textId="77777777" w:rsidR="005C7A03" w:rsidRPr="008B619A" w:rsidRDefault="005C7A03" w:rsidP="00DA7A36">
            <w:pPr>
              <w:jc w:val="center"/>
              <w:rPr>
                <w:color w:val="000000" w:themeColor="text1"/>
                <w:sz w:val="26"/>
                <w:szCs w:val="26"/>
              </w:rPr>
            </w:pPr>
            <w:r w:rsidRPr="008B619A">
              <w:rPr>
                <w:color w:val="000000" w:themeColor="text1"/>
                <w:sz w:val="26"/>
                <w:szCs w:val="26"/>
                <w14:textOutline w14:w="12700" w14:cap="flat" w14:cmpd="sng" w14:algn="ctr">
                  <w14:noFill/>
                  <w14:prstDash w14:val="solid"/>
                  <w14:miter w14:lim="400000"/>
                </w14:textOutline>
              </w:rPr>
              <w:t>71.6%</w:t>
            </w:r>
          </w:p>
        </w:tc>
        <w:tc>
          <w:tcPr>
            <w:tcW w:w="1393" w:type="dxa"/>
            <w:tcBorders>
              <w:top w:val="single" w:sz="8" w:space="0" w:color="FFFFFF"/>
              <w:left w:val="single" w:sz="8" w:space="0" w:color="FFFFFF"/>
              <w:bottom w:val="single" w:sz="8" w:space="0" w:color="FFFFFF"/>
              <w:right w:val="single" w:sz="8" w:space="0" w:color="FFFFFF"/>
            </w:tcBorders>
            <w:shd w:val="clear" w:color="auto" w:fill="D0DDEF"/>
            <w:tcMar>
              <w:top w:w="0" w:type="dxa"/>
              <w:left w:w="0" w:type="dxa"/>
              <w:bottom w:w="0" w:type="dxa"/>
              <w:right w:w="0" w:type="dxa"/>
            </w:tcMar>
            <w:vAlign w:val="center"/>
          </w:tcPr>
          <w:p w14:paraId="715A86E8" w14:textId="77777777" w:rsidR="005C7A03" w:rsidRPr="008B619A" w:rsidRDefault="005C7A03" w:rsidP="00DA7A36">
            <w:pPr>
              <w:jc w:val="center"/>
              <w:rPr>
                <w:color w:val="000000" w:themeColor="text1"/>
                <w:sz w:val="26"/>
                <w:szCs w:val="26"/>
              </w:rPr>
            </w:pPr>
            <w:r w:rsidRPr="008B619A">
              <w:rPr>
                <w:color w:val="000000" w:themeColor="text1"/>
                <w:sz w:val="26"/>
                <w:szCs w:val="26"/>
                <w14:textOutline w14:w="12700" w14:cap="flat" w14:cmpd="sng" w14:algn="ctr">
                  <w14:noFill/>
                  <w14:prstDash w14:val="solid"/>
                  <w14:miter w14:lim="400000"/>
                </w14:textOutline>
              </w:rPr>
              <w:t>72.0%</w:t>
            </w:r>
          </w:p>
        </w:tc>
      </w:tr>
    </w:tbl>
    <w:p w14:paraId="6DB3075A" w14:textId="59AAC2E4" w:rsidR="009442AF" w:rsidRPr="008B619A" w:rsidRDefault="009442AF" w:rsidP="009442AF">
      <w:pPr>
        <w:spacing w:afterLines="50" w:after="228"/>
        <w:rPr>
          <w:color w:val="000000" w:themeColor="text1"/>
          <w:sz w:val="24"/>
          <w:szCs w:val="24"/>
        </w:rPr>
      </w:pPr>
      <w:r w:rsidRPr="008B619A">
        <w:rPr>
          <w:rFonts w:hint="eastAsia"/>
          <w:color w:val="000000" w:themeColor="text1"/>
          <w:sz w:val="24"/>
          <w:szCs w:val="24"/>
        </w:rPr>
        <w:t xml:space="preserve">　</w:t>
      </w:r>
      <w:r w:rsidR="00462CB8" w:rsidRPr="008B619A">
        <w:rPr>
          <w:rFonts w:hint="eastAsia"/>
          <w:color w:val="000000" w:themeColor="text1"/>
          <w:sz w:val="24"/>
          <w:szCs w:val="24"/>
        </w:rPr>
        <w:t xml:space="preserve"> </w:t>
      </w:r>
      <w:r w:rsidRPr="008B619A">
        <w:rPr>
          <w:rFonts w:hint="eastAsia"/>
          <w:color w:val="000000" w:themeColor="text1"/>
          <w:sz w:val="24"/>
          <w:szCs w:val="24"/>
        </w:rPr>
        <w:t>資料來源：彙整自教育部調卷資料。</w:t>
      </w:r>
    </w:p>
    <w:p w14:paraId="17C1912E" w14:textId="35B145BA" w:rsidR="00CD1F33" w:rsidRPr="008B619A" w:rsidRDefault="00BD2E8C" w:rsidP="00CD1F33">
      <w:pPr>
        <w:pStyle w:val="6"/>
        <w:rPr>
          <w:color w:val="000000" w:themeColor="text1"/>
        </w:rPr>
      </w:pPr>
      <w:r w:rsidRPr="008B619A">
        <w:rPr>
          <w:rFonts w:hint="eastAsia"/>
          <w:color w:val="000000" w:themeColor="text1"/>
        </w:rPr>
        <w:t>根據高等教育政策研究機構</w:t>
      </w:r>
      <w:r w:rsidRPr="008B619A">
        <w:rPr>
          <w:rFonts w:ascii="Times New Roman" w:hAnsi="Times New Roman" w:hint="eastAsia"/>
          <w:color w:val="000000" w:themeColor="text1"/>
        </w:rPr>
        <w:t>（</w:t>
      </w:r>
      <w:r w:rsidRPr="008B619A">
        <w:rPr>
          <w:rFonts w:ascii="Times New Roman" w:hAnsi="Times New Roman" w:hint="eastAsia"/>
          <w:color w:val="000000" w:themeColor="text1"/>
        </w:rPr>
        <w:t>Higher Education Policy Institute, HEPI</w:t>
      </w:r>
      <w:r w:rsidRPr="008B619A">
        <w:rPr>
          <w:rFonts w:ascii="Times New Roman" w:hAnsi="Times New Roman" w:hint="eastAsia"/>
          <w:color w:val="000000" w:themeColor="text1"/>
        </w:rPr>
        <w:t>）</w:t>
      </w:r>
      <w:r w:rsidRPr="008B619A">
        <w:rPr>
          <w:rFonts w:hint="eastAsia"/>
          <w:color w:val="000000" w:themeColor="text1"/>
        </w:rPr>
        <w:t>報</w:t>
      </w:r>
      <w:r w:rsidRPr="008B619A">
        <w:rPr>
          <w:color w:val="000000" w:themeColor="text1"/>
        </w:rPr>
        <w:t>告指出</w:t>
      </w:r>
      <w:r w:rsidR="007164BF" w:rsidRPr="008B619A">
        <w:rPr>
          <w:rFonts w:hAnsi="標楷體" w:hint="eastAsia"/>
          <w:color w:val="000000" w:themeColor="text1"/>
        </w:rPr>
        <w:t>：</w:t>
      </w:r>
      <w:r w:rsidRPr="008B619A">
        <w:rPr>
          <w:color w:val="000000" w:themeColor="text1"/>
        </w:rPr>
        <w:t>88%博士生認為修讀博士課程對他們的事業發展有幫助，主要讓他們在分析、資料蒐集、技術等專業面向上有所成長；但開始修讀博士後，僅有33%確認自己未來想繼續從事研究工作（進入學術圈或產業圈）。但是這些學生</w:t>
      </w:r>
      <w:r w:rsidRPr="008B619A">
        <w:rPr>
          <w:color w:val="000000" w:themeColor="text1"/>
        </w:rPr>
        <w:lastRenderedPageBreak/>
        <w:t>在人際關係、尋求事業滿足、申請研究經費及經費管理等方面較缺乏信心，在討論到未來求職問題時，他們傾向參加求職工作坊（76%）、社交活動（60%）、做好自己的研究（64%），而較少考慮諮詢研究機構中職涯發展顧問的專業意見（13%）</w:t>
      </w:r>
      <w:r w:rsidRPr="008B619A">
        <w:rPr>
          <w:color w:val="000000" w:themeColor="text1"/>
          <w:sz w:val="28"/>
          <w:szCs w:val="28"/>
          <w:vertAlign w:val="superscript"/>
          <w:lang w:val="zh-TW"/>
        </w:rPr>
        <w:footnoteReference w:id="74"/>
      </w:r>
      <w:r w:rsidR="00E358EE" w:rsidRPr="008B619A">
        <w:rPr>
          <w:rFonts w:hint="eastAsia"/>
          <w:color w:val="000000" w:themeColor="text1"/>
        </w:rPr>
        <w:t>。</w:t>
      </w:r>
    </w:p>
    <w:p w14:paraId="22B32AB5" w14:textId="53326E1A" w:rsidR="00E358EE" w:rsidRPr="008B619A" w:rsidRDefault="00E358EE" w:rsidP="00CD1F33">
      <w:pPr>
        <w:pStyle w:val="6"/>
        <w:rPr>
          <w:color w:val="000000" w:themeColor="text1"/>
        </w:rPr>
      </w:pPr>
      <w:r w:rsidRPr="008B619A">
        <w:rPr>
          <w:rFonts w:hint="eastAsia"/>
          <w:color w:val="000000" w:themeColor="text1"/>
        </w:rPr>
        <w:t>為培養研發的領導人才，英國政府預期新的研發策略可提高對博士後研究的資助，包含增加研究培訓的投資、擴大補助名額、教學模式與薪資的改善，使畢業生無論在學界、產業或公部門，均可成功進入新的職涯階段。英國政府也將增加對新進研究人員</w:t>
      </w:r>
      <w:r w:rsidRPr="008B619A">
        <w:rPr>
          <w:rFonts w:ascii="Times New Roman" w:hAnsi="Times New Roman" w:hint="eastAsia"/>
          <w:color w:val="000000" w:themeColor="text1"/>
        </w:rPr>
        <w:t>（</w:t>
      </w:r>
      <w:r w:rsidRPr="008B619A">
        <w:rPr>
          <w:rFonts w:ascii="Times New Roman" w:hAnsi="Times New Roman" w:hint="eastAsia"/>
          <w:color w:val="000000" w:themeColor="text1"/>
        </w:rPr>
        <w:t>early career researchers</w:t>
      </w:r>
      <w:r w:rsidRPr="008B619A">
        <w:rPr>
          <w:rFonts w:ascii="Times New Roman" w:hAnsi="Times New Roman" w:hint="eastAsia"/>
          <w:color w:val="000000" w:themeColor="text1"/>
        </w:rPr>
        <w:t>）</w:t>
      </w:r>
      <w:r w:rsidRPr="008B619A">
        <w:rPr>
          <w:rFonts w:hint="eastAsia"/>
          <w:color w:val="000000" w:themeColor="text1"/>
        </w:rPr>
        <w:t>的支持，為其提供學術界內外所需的技能、知識與經驗，並為不同行業帶來嶄新的思考與視野。</w:t>
      </w:r>
    </w:p>
    <w:p w14:paraId="50B6B3A3" w14:textId="7F616307" w:rsidR="00E45D07" w:rsidRPr="008B619A" w:rsidRDefault="00E45D07" w:rsidP="00CD1F33">
      <w:pPr>
        <w:pStyle w:val="6"/>
        <w:rPr>
          <w:color w:val="000000" w:themeColor="text1"/>
        </w:rPr>
      </w:pPr>
      <w:r w:rsidRPr="008B619A">
        <w:rPr>
          <w:rFonts w:hint="cs"/>
          <w:color w:val="000000" w:themeColor="text1"/>
        </w:rPr>
        <w:t>能吸引國際人才將英國列為其首要目標，英國政府於</w:t>
      </w:r>
      <w:r w:rsidR="00066BD3" w:rsidRPr="008B619A">
        <w:rPr>
          <w:rFonts w:hint="eastAsia"/>
          <w:color w:val="000000" w:themeColor="text1"/>
        </w:rPr>
        <w:t>2020</w:t>
      </w:r>
      <w:r w:rsidRPr="008B619A">
        <w:rPr>
          <w:rFonts w:hint="cs"/>
          <w:color w:val="000000" w:themeColor="text1"/>
        </w:rPr>
        <w:t>年</w:t>
      </w:r>
      <w:r w:rsidRPr="008B619A">
        <w:rPr>
          <w:color w:val="000000" w:themeColor="text1"/>
        </w:rPr>
        <w:t>2月啟動「全球人才簽證</w:t>
      </w:r>
      <w:r w:rsidRPr="008B619A">
        <w:rPr>
          <w:rFonts w:ascii="Times New Roman" w:hAnsi="Times New Roman"/>
          <w:color w:val="000000" w:themeColor="text1"/>
        </w:rPr>
        <w:t>（</w:t>
      </w:r>
      <w:r w:rsidRPr="008B619A">
        <w:rPr>
          <w:rFonts w:ascii="Times New Roman" w:hAnsi="Times New Roman"/>
          <w:color w:val="000000" w:themeColor="text1"/>
        </w:rPr>
        <w:t>Global Talent Visa</w:t>
      </w:r>
      <w:r w:rsidRPr="008B619A">
        <w:rPr>
          <w:rFonts w:ascii="Times New Roman" w:hAnsi="Times New Roman"/>
          <w:color w:val="000000" w:themeColor="text1"/>
        </w:rPr>
        <w:t>）」</w:t>
      </w:r>
      <w:r w:rsidRPr="008B619A">
        <w:rPr>
          <w:color w:val="000000" w:themeColor="text1"/>
        </w:rPr>
        <w:t>。此路徑圖將擴大全球人才簽證的資格，允許全世界各地的高階科學家與研究人員，即使沒取得工作錄取亦可到英國。其次，英國政府也修改畢業生的居留期限，目前在2021年夏季完成博士學位的國際學生，將可繼續在英國居留3年；而大學部與碩士學位的國際學生，則可在畢業後繼續在英國停留2年</w:t>
      </w:r>
      <w:r w:rsidRPr="008B619A">
        <w:rPr>
          <w:rFonts w:hint="eastAsia"/>
          <w:color w:val="000000" w:themeColor="text1"/>
        </w:rPr>
        <w:t>。</w:t>
      </w:r>
    </w:p>
    <w:p w14:paraId="1C7C34DE" w14:textId="09518CB5" w:rsidR="00810A75" w:rsidRPr="008B619A" w:rsidRDefault="00810A75" w:rsidP="00810A75">
      <w:pPr>
        <w:pStyle w:val="3"/>
        <w:rPr>
          <w:color w:val="000000" w:themeColor="text1"/>
        </w:rPr>
      </w:pPr>
      <w:r w:rsidRPr="008B619A">
        <w:rPr>
          <w:rFonts w:hint="eastAsia"/>
          <w:color w:val="000000" w:themeColor="text1"/>
        </w:rPr>
        <w:t>亞洲國家博士級人才在培育面向之重點措施，茲以日本及新加坡為例，摘要如后：</w:t>
      </w:r>
    </w:p>
    <w:p w14:paraId="09EA8316" w14:textId="18799CC9" w:rsidR="00FC6857" w:rsidRPr="008B619A" w:rsidRDefault="00FC6857" w:rsidP="00FC6857">
      <w:pPr>
        <w:pStyle w:val="4"/>
        <w:rPr>
          <w:color w:val="000000" w:themeColor="text1"/>
        </w:rPr>
      </w:pPr>
      <w:r w:rsidRPr="008B619A">
        <w:rPr>
          <w:rFonts w:hint="eastAsia"/>
          <w:color w:val="000000" w:themeColor="text1"/>
        </w:rPr>
        <w:lastRenderedPageBreak/>
        <w:t>日本政府以研究能量的強化與就業環境的穩定為出發點，推出相關措施如下：</w:t>
      </w:r>
    </w:p>
    <w:p w14:paraId="5CDFEF8C" w14:textId="1BDBEACE" w:rsidR="00BF1AF4" w:rsidRPr="008B619A" w:rsidRDefault="00BF1AF4" w:rsidP="00BF1AF4">
      <w:pPr>
        <w:pStyle w:val="5"/>
        <w:rPr>
          <w:color w:val="000000" w:themeColor="text1"/>
        </w:rPr>
      </w:pPr>
      <w:r w:rsidRPr="008B619A">
        <w:rPr>
          <w:rFonts w:hint="eastAsia"/>
          <w:color w:val="000000" w:themeColor="text1"/>
        </w:rPr>
        <w:t>「卓越研究所」制度：為</w:t>
      </w:r>
      <w:r w:rsidR="0072646C" w:rsidRPr="008B619A">
        <w:rPr>
          <w:rFonts w:hint="eastAsia"/>
          <w:color w:val="000000" w:themeColor="text1"/>
        </w:rPr>
        <w:t>5</w:t>
      </w:r>
      <w:r w:rsidRPr="008B619A">
        <w:rPr>
          <w:rFonts w:hint="eastAsia"/>
          <w:color w:val="000000" w:themeColor="text1"/>
        </w:rPr>
        <w:t>年制一貫博士學制，旨在建構因應社會需求的研究所教育體制，以各大學的強項優勢為核心，與國內外大學、研究機構及民間企業進行組織層級合作，透過人才交流、新興共同研究、成果水平展開及交流合作，創造國際頂尖水準研究所教育。</w:t>
      </w:r>
    </w:p>
    <w:p w14:paraId="15F5C779" w14:textId="6A2F0666" w:rsidR="00BF1AF4" w:rsidRPr="008B619A" w:rsidRDefault="00BF1AF4" w:rsidP="00BF1AF4">
      <w:pPr>
        <w:pStyle w:val="5"/>
        <w:rPr>
          <w:color w:val="000000" w:themeColor="text1"/>
        </w:rPr>
      </w:pPr>
      <w:r w:rsidRPr="008B619A">
        <w:rPr>
          <w:rFonts w:hint="eastAsia"/>
          <w:color w:val="000000" w:themeColor="text1"/>
        </w:rPr>
        <w:t>「資料人才培育計畫」：旨在開發培訓計劃，培育產學所需頂尖專業人才，由大學與企業組成聯盟針對博士生與博士級人才設計開發研訓課程，使其獲得相關資料科學技能，支援職涯發展。</w:t>
      </w:r>
    </w:p>
    <w:p w14:paraId="2BB8795B" w14:textId="77777777" w:rsidR="00BF1AF4" w:rsidRPr="008B619A" w:rsidRDefault="00BF1AF4" w:rsidP="00BF1AF4">
      <w:pPr>
        <w:pStyle w:val="5"/>
        <w:rPr>
          <w:color w:val="000000" w:themeColor="text1"/>
        </w:rPr>
      </w:pPr>
      <w:r w:rsidRPr="008B619A">
        <w:rPr>
          <w:rFonts w:hint="eastAsia"/>
          <w:color w:val="000000" w:themeColor="text1"/>
        </w:rPr>
        <w:t>「博士課程教育</w:t>
      </w:r>
      <w:r w:rsidRPr="008B619A">
        <w:rPr>
          <w:color w:val="000000" w:themeColor="text1"/>
        </w:rPr>
        <w:t>Leading</w:t>
      </w:r>
      <w:r w:rsidRPr="008B619A">
        <w:rPr>
          <w:rFonts w:hint="eastAsia"/>
          <w:color w:val="000000" w:themeColor="text1"/>
        </w:rPr>
        <w:t>計畫」：旨在培訓在國際各界發揮積極作用的領導者，產官學合作發展跨領域碩博士一貫制課程，徹底改革研究所教育。</w:t>
      </w:r>
    </w:p>
    <w:p w14:paraId="5F146DB3" w14:textId="3A69DC9D" w:rsidR="00BF1AF4" w:rsidRPr="008B619A" w:rsidRDefault="00BF1AF4" w:rsidP="00BF1AF4">
      <w:pPr>
        <w:pStyle w:val="5"/>
        <w:rPr>
          <w:color w:val="000000" w:themeColor="text1"/>
        </w:rPr>
      </w:pPr>
      <w:r w:rsidRPr="008B619A">
        <w:rPr>
          <w:rFonts w:hint="eastAsia"/>
          <w:color w:val="000000" w:themeColor="text1"/>
        </w:rPr>
        <w:t>「產學共創平台共同研究推動計畫</w:t>
      </w:r>
      <w:r w:rsidRPr="008B619A">
        <w:rPr>
          <w:color w:val="000000" w:themeColor="text1"/>
        </w:rPr>
        <w:t>(OPERA)</w:t>
      </w:r>
      <w:r w:rsidRPr="008B619A">
        <w:rPr>
          <w:rFonts w:hint="eastAsia"/>
          <w:color w:val="000000" w:themeColor="text1"/>
        </w:rPr>
        <w:t>」：為政府補助產學共組研發聯盟</w:t>
      </w:r>
      <w:r w:rsidRPr="008B619A">
        <w:rPr>
          <w:color w:val="000000" w:themeColor="text1"/>
        </w:rPr>
        <w:t>(</w:t>
      </w:r>
      <w:r w:rsidRPr="008B619A">
        <w:rPr>
          <w:rFonts w:hint="eastAsia"/>
          <w:color w:val="000000" w:themeColor="text1"/>
        </w:rPr>
        <w:t>企業亦具出資義務</w:t>
      </w:r>
      <w:r w:rsidRPr="008B619A">
        <w:rPr>
          <w:color w:val="000000" w:themeColor="text1"/>
        </w:rPr>
        <w:t>)</w:t>
      </w:r>
      <w:r w:rsidRPr="008B619A">
        <w:rPr>
          <w:rFonts w:hint="eastAsia"/>
          <w:color w:val="000000" w:themeColor="text1"/>
        </w:rPr>
        <w:t>，主要策略之一為培育新興領域研發之明日之星，在企業的協助下，結合運用第一線的技術性課題及研究數據、大學知識財產實施</w:t>
      </w:r>
      <w:r w:rsidR="00CB1501" w:rsidRPr="008B619A">
        <w:rPr>
          <w:rFonts w:hint="eastAsia"/>
          <w:color w:val="000000" w:themeColor="text1"/>
        </w:rPr>
        <w:t>實踐教育</w:t>
      </w:r>
      <w:r w:rsidRPr="008B619A">
        <w:rPr>
          <w:rFonts w:hint="eastAsia"/>
          <w:color w:val="000000" w:themeColor="text1"/>
        </w:rPr>
        <w:t>。</w:t>
      </w:r>
    </w:p>
    <w:p w14:paraId="6FEF1127" w14:textId="77777777" w:rsidR="00566B83" w:rsidRPr="008B619A" w:rsidRDefault="00566B83" w:rsidP="00566B83">
      <w:pPr>
        <w:pStyle w:val="4"/>
        <w:rPr>
          <w:color w:val="000000" w:themeColor="text1"/>
        </w:rPr>
      </w:pPr>
      <w:r w:rsidRPr="008B619A">
        <w:rPr>
          <w:rFonts w:hint="eastAsia"/>
          <w:color w:val="000000" w:themeColor="text1"/>
        </w:rPr>
        <w:t>新加坡：推動博士教育之優勢在於扣合該國多年期之科技發展計畫或政策，並且提供高額的學費補助與津貼。</w:t>
      </w:r>
    </w:p>
    <w:p w14:paraId="797F4465" w14:textId="1281D8C9" w:rsidR="00C51AA1" w:rsidRPr="008B619A" w:rsidRDefault="00C51AA1" w:rsidP="00C51AA1">
      <w:pPr>
        <w:pStyle w:val="5"/>
        <w:rPr>
          <w:color w:val="000000" w:themeColor="text1"/>
        </w:rPr>
      </w:pPr>
      <w:r w:rsidRPr="008B619A">
        <w:rPr>
          <w:rFonts w:hint="eastAsia"/>
          <w:color w:val="000000" w:themeColor="text1"/>
        </w:rPr>
        <w:t>國家科學獎學金</w:t>
      </w:r>
      <w:r w:rsidR="00E446D8" w:rsidRPr="008B619A">
        <w:rPr>
          <w:rStyle w:val="aff1"/>
          <w:color w:val="000000" w:themeColor="text1"/>
        </w:rPr>
        <w:footnoteReference w:id="75"/>
      </w:r>
      <w:r w:rsidR="00A55C1B" w:rsidRPr="008B619A">
        <w:rPr>
          <w:rFonts w:hAnsi="標楷體" w:hint="eastAsia"/>
          <w:color w:val="000000" w:themeColor="text1"/>
        </w:rPr>
        <w:t>：</w:t>
      </w:r>
      <w:r w:rsidRPr="008B619A">
        <w:rPr>
          <w:rFonts w:hint="eastAsia"/>
          <w:color w:val="000000" w:themeColor="text1"/>
        </w:rPr>
        <w:t>資助生醫、物理、工程等領域，最高達</w:t>
      </w:r>
      <w:r w:rsidR="000754DD" w:rsidRPr="008B619A">
        <w:rPr>
          <w:rFonts w:hint="eastAsia"/>
          <w:color w:val="000000" w:themeColor="text1"/>
        </w:rPr>
        <w:t>5</w:t>
      </w:r>
      <w:r w:rsidRPr="008B619A">
        <w:rPr>
          <w:rFonts w:hint="eastAsia"/>
          <w:color w:val="000000" w:themeColor="text1"/>
        </w:rPr>
        <w:t>年博士獎學金（含學費、生活津貼、</w:t>
      </w:r>
      <w:r w:rsidRPr="008B619A">
        <w:rPr>
          <w:rFonts w:hint="eastAsia"/>
          <w:color w:val="000000" w:themeColor="text1"/>
        </w:rPr>
        <w:lastRenderedPageBreak/>
        <w:t>海外生活津貼、機票補助、會議津貼、電腦津貼等）。</w:t>
      </w:r>
    </w:p>
    <w:p w14:paraId="39C1EE98" w14:textId="444B2169" w:rsidR="00EA73CD" w:rsidRPr="008B619A" w:rsidRDefault="00EA73CD" w:rsidP="00EA73CD">
      <w:pPr>
        <w:pStyle w:val="5"/>
        <w:rPr>
          <w:color w:val="000000" w:themeColor="text1"/>
        </w:rPr>
      </w:pPr>
      <w:r w:rsidRPr="008B619A">
        <w:rPr>
          <w:color w:val="000000" w:themeColor="text1"/>
        </w:rPr>
        <w:t>A*STAR</w:t>
      </w:r>
      <w:r w:rsidRPr="008B619A">
        <w:rPr>
          <w:rFonts w:hint="eastAsia"/>
          <w:color w:val="000000" w:themeColor="text1"/>
        </w:rPr>
        <w:t>研究生獎學金</w:t>
      </w:r>
      <w:r w:rsidRPr="008B619A">
        <w:rPr>
          <w:rStyle w:val="aff1"/>
          <w:color w:val="000000" w:themeColor="text1"/>
        </w:rPr>
        <w:footnoteReference w:id="76"/>
      </w:r>
      <w:r w:rsidRPr="008B619A">
        <w:rPr>
          <w:rFonts w:hint="eastAsia"/>
          <w:color w:val="000000" w:themeColor="text1"/>
        </w:rPr>
        <w:t>：與部分大學合作，提供最高</w:t>
      </w:r>
      <w:r w:rsidR="00EE4C55" w:rsidRPr="008B619A">
        <w:rPr>
          <w:rFonts w:hint="eastAsia"/>
          <w:color w:val="000000" w:themeColor="text1"/>
        </w:rPr>
        <w:t>4</w:t>
      </w:r>
      <w:r w:rsidRPr="008B619A">
        <w:rPr>
          <w:rFonts w:hint="eastAsia"/>
          <w:color w:val="000000" w:themeColor="text1"/>
        </w:rPr>
        <w:t>年博士獎學金，在學期間，有機會獲得最高</w:t>
      </w:r>
      <w:r w:rsidRPr="008B619A">
        <w:rPr>
          <w:color w:val="000000" w:themeColor="text1"/>
        </w:rPr>
        <w:t>12</w:t>
      </w:r>
      <w:r w:rsidRPr="008B619A">
        <w:rPr>
          <w:rFonts w:hint="eastAsia"/>
          <w:color w:val="000000" w:themeColor="text1"/>
        </w:rPr>
        <w:t>個月的海外實習機會。</w:t>
      </w:r>
    </w:p>
    <w:p w14:paraId="5FEB16E8" w14:textId="1EC7A021" w:rsidR="00EA73CD" w:rsidRPr="008B619A" w:rsidRDefault="00EA73CD" w:rsidP="00EA73CD">
      <w:pPr>
        <w:pStyle w:val="5"/>
        <w:rPr>
          <w:color w:val="000000" w:themeColor="text1"/>
        </w:rPr>
      </w:pPr>
      <w:r w:rsidRPr="008B619A">
        <w:rPr>
          <w:color w:val="000000" w:themeColor="text1"/>
        </w:rPr>
        <w:t>A*STAR</w:t>
      </w:r>
      <w:r w:rsidRPr="008B619A">
        <w:rPr>
          <w:rFonts w:hint="eastAsia"/>
          <w:color w:val="000000" w:themeColor="text1"/>
        </w:rPr>
        <w:t>電腦與資訊科學獎學金</w:t>
      </w:r>
      <w:r w:rsidRPr="008B619A">
        <w:rPr>
          <w:rStyle w:val="aff1"/>
          <w:color w:val="000000" w:themeColor="text1"/>
        </w:rPr>
        <w:footnoteReference w:id="77"/>
      </w:r>
      <w:r w:rsidRPr="008B619A">
        <w:rPr>
          <w:rFonts w:hint="eastAsia"/>
          <w:color w:val="000000" w:themeColor="text1"/>
        </w:rPr>
        <w:t>：在指定學校就讀相關科系博士學位者，依國籍身分別每月提供最高</w:t>
      </w:r>
      <w:r w:rsidRPr="008B619A">
        <w:rPr>
          <w:color w:val="000000" w:themeColor="text1"/>
        </w:rPr>
        <w:t>5,000</w:t>
      </w:r>
      <w:r w:rsidRPr="008B619A">
        <w:rPr>
          <w:rFonts w:hint="eastAsia"/>
          <w:color w:val="000000" w:themeColor="text1"/>
        </w:rPr>
        <w:t>新幣津貼，並有機會獲得最高</w:t>
      </w:r>
      <w:r w:rsidRPr="008B619A">
        <w:rPr>
          <w:color w:val="000000" w:themeColor="text1"/>
        </w:rPr>
        <w:t>12</w:t>
      </w:r>
      <w:r w:rsidRPr="008B619A">
        <w:rPr>
          <w:rFonts w:hint="eastAsia"/>
          <w:color w:val="000000" w:themeColor="text1"/>
        </w:rPr>
        <w:t>個月的海外實習機會。</w:t>
      </w:r>
    </w:p>
    <w:p w14:paraId="58DAAC61" w14:textId="0DBD363F" w:rsidR="00EA73CD" w:rsidRPr="008B619A" w:rsidRDefault="00EA73CD" w:rsidP="00EA73CD">
      <w:pPr>
        <w:pStyle w:val="5"/>
        <w:rPr>
          <w:color w:val="000000" w:themeColor="text1"/>
        </w:rPr>
      </w:pPr>
      <w:r w:rsidRPr="008B619A">
        <w:rPr>
          <w:rFonts w:hint="eastAsia"/>
          <w:color w:val="000000" w:themeColor="text1"/>
        </w:rPr>
        <w:t>新加坡數位（</w:t>
      </w:r>
      <w:r w:rsidRPr="008B619A">
        <w:rPr>
          <w:color w:val="000000" w:themeColor="text1"/>
        </w:rPr>
        <w:t>SG</w:t>
      </w:r>
      <w:r w:rsidRPr="008B619A">
        <w:rPr>
          <w:rFonts w:hint="eastAsia"/>
          <w:color w:val="000000" w:themeColor="text1"/>
        </w:rPr>
        <w:t>：</w:t>
      </w:r>
      <w:r w:rsidRPr="008B619A">
        <w:rPr>
          <w:color w:val="000000" w:themeColor="text1"/>
        </w:rPr>
        <w:t>D</w:t>
      </w:r>
      <w:r w:rsidRPr="008B619A">
        <w:rPr>
          <w:rFonts w:hint="eastAsia"/>
          <w:color w:val="000000" w:themeColor="text1"/>
        </w:rPr>
        <w:t>）獎學金（研究生）</w:t>
      </w:r>
      <w:r w:rsidRPr="008B619A">
        <w:rPr>
          <w:rStyle w:val="aff1"/>
          <w:color w:val="000000" w:themeColor="text1"/>
        </w:rPr>
        <w:footnoteReference w:id="78"/>
      </w:r>
      <w:r w:rsidRPr="008B619A">
        <w:rPr>
          <w:rFonts w:hint="eastAsia"/>
          <w:color w:val="000000" w:themeColor="text1"/>
        </w:rPr>
        <w:t>：提供</w:t>
      </w:r>
      <w:r w:rsidRPr="008B619A">
        <w:rPr>
          <w:color w:val="000000" w:themeColor="text1"/>
        </w:rPr>
        <w:t>ICM</w:t>
      </w:r>
      <w:r w:rsidRPr="008B619A">
        <w:rPr>
          <w:rFonts w:hint="eastAsia"/>
          <w:color w:val="000000" w:themeColor="text1"/>
        </w:rPr>
        <w:t>相關領域（如人工智慧、網路安全、數位內容）碩博士生學費補助及相關津貼。</w:t>
      </w:r>
    </w:p>
    <w:p w14:paraId="71C4D8E2" w14:textId="508E223B" w:rsidR="008115CD" w:rsidRPr="008B619A" w:rsidRDefault="00D1306F" w:rsidP="00EF2F06">
      <w:pPr>
        <w:pStyle w:val="3"/>
        <w:kinsoku w:val="0"/>
        <w:overflowPunct/>
        <w:autoSpaceDE/>
        <w:autoSpaceDN/>
        <w:ind w:left="1393" w:hanging="697"/>
        <w:rPr>
          <w:color w:val="000000" w:themeColor="text1"/>
        </w:rPr>
      </w:pPr>
      <w:r w:rsidRPr="008B619A">
        <w:rPr>
          <w:rFonts w:hint="eastAsia"/>
          <w:color w:val="000000" w:themeColor="text1"/>
        </w:rPr>
        <w:t>其他</w:t>
      </w:r>
      <w:r w:rsidR="00AF0E58" w:rsidRPr="008B619A">
        <w:rPr>
          <w:rFonts w:hint="eastAsia"/>
          <w:color w:val="000000" w:themeColor="text1"/>
        </w:rPr>
        <w:t>相關</w:t>
      </w:r>
      <w:r w:rsidRPr="008B619A">
        <w:rPr>
          <w:rFonts w:hint="eastAsia"/>
          <w:color w:val="000000" w:themeColor="text1"/>
        </w:rPr>
        <w:t>作法部分，可參</w:t>
      </w:r>
      <w:r w:rsidR="0030769E" w:rsidRPr="008B619A">
        <w:rPr>
          <w:rFonts w:hint="eastAsia"/>
          <w:color w:val="000000" w:themeColor="text1"/>
        </w:rPr>
        <w:t>本院過去相關調查案件彙整之</w:t>
      </w:r>
      <w:r w:rsidR="005F4B1D" w:rsidRPr="008B619A">
        <w:rPr>
          <w:rFonts w:hint="eastAsia"/>
          <w:color w:val="000000" w:themeColor="text1"/>
        </w:rPr>
        <w:t>教育部駐外單位</w:t>
      </w:r>
      <w:r w:rsidR="0030769E" w:rsidRPr="008B619A">
        <w:rPr>
          <w:rFonts w:hint="eastAsia"/>
          <w:color w:val="000000" w:themeColor="text1"/>
        </w:rPr>
        <w:t>國際資料，</w:t>
      </w:r>
      <w:r w:rsidR="007826B4" w:rsidRPr="008B619A">
        <w:rPr>
          <w:rFonts w:hint="eastAsia"/>
          <w:color w:val="000000" w:themeColor="text1"/>
        </w:rPr>
        <w:t>針對</w:t>
      </w:r>
      <w:r w:rsidR="008115CD" w:rsidRPr="008B619A">
        <w:rPr>
          <w:rFonts w:hint="eastAsia"/>
          <w:color w:val="000000" w:themeColor="text1"/>
        </w:rPr>
        <w:t>國際間除提供獎學金獎助優秀研究生</w:t>
      </w:r>
      <w:r w:rsidR="007826B4" w:rsidRPr="008B619A">
        <w:rPr>
          <w:rFonts w:hint="eastAsia"/>
          <w:color w:val="000000" w:themeColor="text1"/>
        </w:rPr>
        <w:t>及</w:t>
      </w:r>
      <w:r w:rsidR="008115CD" w:rsidRPr="008B619A">
        <w:rPr>
          <w:rFonts w:hint="eastAsia"/>
          <w:color w:val="000000" w:themeColor="text1"/>
        </w:rPr>
        <w:t>鼓勵研究生至企業或研究機構實習之機制安排，</w:t>
      </w:r>
      <w:r w:rsidR="007826B4" w:rsidRPr="008B619A">
        <w:rPr>
          <w:rFonts w:hint="eastAsia"/>
          <w:color w:val="000000" w:themeColor="text1"/>
        </w:rPr>
        <w:t>政策彙整</w:t>
      </w:r>
      <w:r w:rsidR="008115CD" w:rsidRPr="008B619A">
        <w:rPr>
          <w:rFonts w:hint="eastAsia"/>
          <w:color w:val="000000" w:themeColor="text1"/>
        </w:rPr>
        <w:t>詳如下表</w:t>
      </w:r>
      <w:r w:rsidR="00071D13" w:rsidRPr="008B619A">
        <w:rPr>
          <w:rStyle w:val="aff1"/>
          <w:color w:val="000000" w:themeColor="text1"/>
        </w:rPr>
        <w:footnoteReference w:id="79"/>
      </w:r>
      <w:r w:rsidR="008115CD" w:rsidRPr="008B619A">
        <w:rPr>
          <w:rFonts w:hint="eastAsia"/>
          <w:color w:val="000000" w:themeColor="text1"/>
        </w:rPr>
        <w:t>：</w:t>
      </w:r>
    </w:p>
    <w:p w14:paraId="27C14F6A" w14:textId="29C3E735" w:rsidR="008115CD" w:rsidRPr="008B619A" w:rsidRDefault="008115CD" w:rsidP="008115CD">
      <w:pPr>
        <w:pStyle w:val="a3"/>
        <w:ind w:left="1021" w:hanging="681"/>
        <w:jc w:val="center"/>
        <w:rPr>
          <w:b/>
          <w:color w:val="000000" w:themeColor="text1"/>
        </w:rPr>
      </w:pPr>
      <w:r w:rsidRPr="008B619A">
        <w:rPr>
          <w:rFonts w:hint="eastAsia"/>
          <w:b/>
          <w:color w:val="000000" w:themeColor="text1"/>
        </w:rPr>
        <w:t>國際培育</w:t>
      </w:r>
      <w:r w:rsidR="00F75DE9" w:rsidRPr="008B619A">
        <w:rPr>
          <w:rFonts w:hint="eastAsia"/>
          <w:b/>
          <w:color w:val="000000" w:themeColor="text1"/>
        </w:rPr>
        <w:t>高階</w:t>
      </w:r>
      <w:r w:rsidRPr="008B619A">
        <w:rPr>
          <w:rFonts w:hint="eastAsia"/>
          <w:b/>
          <w:color w:val="000000" w:themeColor="text1"/>
        </w:rPr>
        <w:t>人才相關做法一覽表</w:t>
      </w:r>
    </w:p>
    <w:tbl>
      <w:tblPr>
        <w:tblStyle w:val="afa"/>
        <w:tblW w:w="10076" w:type="dxa"/>
        <w:jc w:val="center"/>
        <w:tblLayout w:type="fixed"/>
        <w:tblLook w:val="04A0" w:firstRow="1" w:lastRow="0" w:firstColumn="1" w:lastColumn="0" w:noHBand="0" w:noVBand="1"/>
      </w:tblPr>
      <w:tblGrid>
        <w:gridCol w:w="846"/>
        <w:gridCol w:w="2268"/>
        <w:gridCol w:w="2126"/>
        <w:gridCol w:w="4836"/>
      </w:tblGrid>
      <w:tr w:rsidR="008115CD" w:rsidRPr="008B619A" w14:paraId="1F9EEF32" w14:textId="77777777" w:rsidTr="00761B39">
        <w:trPr>
          <w:tblHeader/>
          <w:jc w:val="center"/>
        </w:trPr>
        <w:tc>
          <w:tcPr>
            <w:tcW w:w="846" w:type="dxa"/>
            <w:shd w:val="clear" w:color="auto" w:fill="E5DFEC" w:themeFill="accent4" w:themeFillTint="33"/>
            <w:vAlign w:val="center"/>
          </w:tcPr>
          <w:p w14:paraId="3E104BFB" w14:textId="77777777" w:rsidR="008115CD" w:rsidRPr="008B619A" w:rsidRDefault="008115CD" w:rsidP="00EF2F06">
            <w:pPr>
              <w:jc w:val="center"/>
              <w:rPr>
                <w:b/>
                <w:color w:val="000000" w:themeColor="text1"/>
                <w:sz w:val="26"/>
                <w:szCs w:val="26"/>
              </w:rPr>
            </w:pPr>
            <w:r w:rsidRPr="008B619A">
              <w:rPr>
                <w:rFonts w:hint="eastAsia"/>
                <w:b/>
                <w:color w:val="000000" w:themeColor="text1"/>
                <w:sz w:val="26"/>
                <w:szCs w:val="26"/>
              </w:rPr>
              <w:t>國家</w:t>
            </w:r>
          </w:p>
        </w:tc>
        <w:tc>
          <w:tcPr>
            <w:tcW w:w="2268" w:type="dxa"/>
            <w:shd w:val="clear" w:color="auto" w:fill="E5DFEC" w:themeFill="accent4" w:themeFillTint="33"/>
            <w:vAlign w:val="center"/>
          </w:tcPr>
          <w:p w14:paraId="123FB80C" w14:textId="77777777" w:rsidR="008115CD" w:rsidRPr="008B619A" w:rsidRDefault="008115CD" w:rsidP="00EF2F06">
            <w:pPr>
              <w:jc w:val="center"/>
              <w:rPr>
                <w:b/>
                <w:color w:val="000000" w:themeColor="text1"/>
                <w:sz w:val="26"/>
                <w:szCs w:val="26"/>
              </w:rPr>
            </w:pPr>
            <w:r w:rsidRPr="008B619A">
              <w:rPr>
                <w:rFonts w:hint="eastAsia"/>
                <w:b/>
                <w:color w:val="000000" w:themeColor="text1"/>
                <w:sz w:val="26"/>
                <w:szCs w:val="26"/>
              </w:rPr>
              <w:t>政策名稱</w:t>
            </w:r>
          </w:p>
        </w:tc>
        <w:tc>
          <w:tcPr>
            <w:tcW w:w="2126" w:type="dxa"/>
            <w:shd w:val="clear" w:color="auto" w:fill="E5DFEC" w:themeFill="accent4" w:themeFillTint="33"/>
            <w:vAlign w:val="center"/>
          </w:tcPr>
          <w:p w14:paraId="3184725C" w14:textId="77777777" w:rsidR="008115CD" w:rsidRPr="008B619A" w:rsidRDefault="008115CD" w:rsidP="00EF2F06">
            <w:pPr>
              <w:jc w:val="center"/>
              <w:rPr>
                <w:b/>
                <w:color w:val="000000" w:themeColor="text1"/>
                <w:sz w:val="26"/>
                <w:szCs w:val="26"/>
              </w:rPr>
            </w:pPr>
            <w:r w:rsidRPr="008B619A">
              <w:rPr>
                <w:rFonts w:hint="eastAsia"/>
                <w:b/>
                <w:color w:val="000000" w:themeColor="text1"/>
                <w:sz w:val="26"/>
                <w:szCs w:val="26"/>
              </w:rPr>
              <w:t>推動機構</w:t>
            </w:r>
          </w:p>
        </w:tc>
        <w:tc>
          <w:tcPr>
            <w:tcW w:w="4836" w:type="dxa"/>
            <w:shd w:val="clear" w:color="auto" w:fill="E5DFEC" w:themeFill="accent4" w:themeFillTint="33"/>
            <w:vAlign w:val="center"/>
          </w:tcPr>
          <w:p w14:paraId="412410A2" w14:textId="77777777" w:rsidR="008115CD" w:rsidRPr="008B619A" w:rsidRDefault="008115CD" w:rsidP="00EF2F06">
            <w:pPr>
              <w:jc w:val="center"/>
              <w:rPr>
                <w:b/>
                <w:color w:val="000000" w:themeColor="text1"/>
                <w:sz w:val="26"/>
                <w:szCs w:val="26"/>
              </w:rPr>
            </w:pPr>
            <w:r w:rsidRPr="008B619A">
              <w:rPr>
                <w:rFonts w:hint="eastAsia"/>
                <w:b/>
                <w:color w:val="000000" w:themeColor="text1"/>
                <w:sz w:val="26"/>
                <w:szCs w:val="26"/>
              </w:rPr>
              <w:t>推動機制說明</w:t>
            </w:r>
          </w:p>
        </w:tc>
      </w:tr>
      <w:tr w:rsidR="008115CD" w:rsidRPr="008B619A" w14:paraId="467D6940" w14:textId="77777777" w:rsidTr="00761B39">
        <w:trPr>
          <w:jc w:val="center"/>
        </w:trPr>
        <w:tc>
          <w:tcPr>
            <w:tcW w:w="846" w:type="dxa"/>
            <w:vAlign w:val="center"/>
          </w:tcPr>
          <w:p w14:paraId="4A4D0ACF" w14:textId="77777777" w:rsidR="008115CD" w:rsidRPr="008B619A" w:rsidRDefault="008115CD" w:rsidP="00EF2F06">
            <w:pPr>
              <w:jc w:val="center"/>
              <w:rPr>
                <w:b/>
                <w:color w:val="000000" w:themeColor="text1"/>
                <w:sz w:val="26"/>
                <w:szCs w:val="26"/>
              </w:rPr>
            </w:pPr>
            <w:r w:rsidRPr="008B619A">
              <w:rPr>
                <w:rFonts w:hint="eastAsia"/>
                <w:b/>
                <w:color w:val="000000" w:themeColor="text1"/>
                <w:sz w:val="26"/>
                <w:szCs w:val="26"/>
              </w:rPr>
              <w:t>澳</w:t>
            </w:r>
          </w:p>
          <w:p w14:paraId="08A484F0" w14:textId="77777777" w:rsidR="008115CD" w:rsidRPr="008B619A" w:rsidRDefault="008115CD" w:rsidP="00EF2F06">
            <w:pPr>
              <w:jc w:val="center"/>
              <w:rPr>
                <w:b/>
                <w:color w:val="000000" w:themeColor="text1"/>
                <w:sz w:val="26"/>
                <w:szCs w:val="26"/>
              </w:rPr>
            </w:pPr>
            <w:r w:rsidRPr="008B619A">
              <w:rPr>
                <w:rFonts w:hint="eastAsia"/>
                <w:b/>
                <w:color w:val="000000" w:themeColor="text1"/>
                <w:sz w:val="26"/>
                <w:szCs w:val="26"/>
              </w:rPr>
              <w:t>大</w:t>
            </w:r>
          </w:p>
          <w:p w14:paraId="2A8CA795" w14:textId="77777777" w:rsidR="008115CD" w:rsidRPr="008B619A" w:rsidRDefault="008115CD" w:rsidP="00EF2F06">
            <w:pPr>
              <w:jc w:val="center"/>
              <w:rPr>
                <w:b/>
                <w:color w:val="000000" w:themeColor="text1"/>
                <w:sz w:val="26"/>
                <w:szCs w:val="26"/>
              </w:rPr>
            </w:pPr>
            <w:r w:rsidRPr="008B619A">
              <w:rPr>
                <w:rFonts w:hint="eastAsia"/>
                <w:b/>
                <w:color w:val="000000" w:themeColor="text1"/>
                <w:sz w:val="26"/>
                <w:szCs w:val="26"/>
              </w:rPr>
              <w:t>利</w:t>
            </w:r>
          </w:p>
          <w:p w14:paraId="7105C20A" w14:textId="77777777" w:rsidR="008115CD" w:rsidRPr="008B619A" w:rsidRDefault="008115CD" w:rsidP="00EF2F06">
            <w:pPr>
              <w:jc w:val="center"/>
              <w:rPr>
                <w:b/>
                <w:color w:val="000000" w:themeColor="text1"/>
                <w:sz w:val="26"/>
                <w:szCs w:val="26"/>
              </w:rPr>
            </w:pPr>
            <w:r w:rsidRPr="008B619A">
              <w:rPr>
                <w:rFonts w:hint="eastAsia"/>
                <w:b/>
                <w:color w:val="000000" w:themeColor="text1"/>
                <w:sz w:val="26"/>
                <w:szCs w:val="26"/>
              </w:rPr>
              <w:t>亞</w:t>
            </w:r>
          </w:p>
        </w:tc>
        <w:tc>
          <w:tcPr>
            <w:tcW w:w="2268" w:type="dxa"/>
          </w:tcPr>
          <w:p w14:paraId="04F1DB58" w14:textId="77777777" w:rsidR="008115CD" w:rsidRPr="008B619A" w:rsidRDefault="008115CD" w:rsidP="00EF2F06">
            <w:pPr>
              <w:rPr>
                <w:color w:val="000000" w:themeColor="text1"/>
                <w:sz w:val="26"/>
                <w:szCs w:val="26"/>
              </w:rPr>
            </w:pPr>
            <w:r w:rsidRPr="008B619A">
              <w:rPr>
                <w:rFonts w:hint="eastAsia"/>
                <w:color w:val="000000" w:themeColor="text1"/>
                <w:sz w:val="26"/>
                <w:szCs w:val="26"/>
              </w:rPr>
              <w:t>研究型人才培訓執行計畫</w:t>
            </w:r>
          </w:p>
          <w:p w14:paraId="4D786D0D" w14:textId="77777777" w:rsidR="008115CD" w:rsidRPr="008B619A" w:rsidRDefault="008115CD" w:rsidP="00EF2F06">
            <w:pPr>
              <w:rPr>
                <w:rFonts w:ascii="Times New Roman"/>
                <w:color w:val="000000" w:themeColor="text1"/>
                <w:kern w:val="32"/>
                <w:sz w:val="26"/>
                <w:szCs w:val="26"/>
              </w:rPr>
            </w:pPr>
            <w:r w:rsidRPr="008B619A">
              <w:rPr>
                <w:rFonts w:ascii="Times New Roman"/>
                <w:color w:val="000000" w:themeColor="text1"/>
                <w:kern w:val="32"/>
                <w:sz w:val="26"/>
                <w:szCs w:val="26"/>
              </w:rPr>
              <w:t>Research Training Implementation Plan</w:t>
            </w:r>
          </w:p>
        </w:tc>
        <w:tc>
          <w:tcPr>
            <w:tcW w:w="2126" w:type="dxa"/>
          </w:tcPr>
          <w:p w14:paraId="1FFC5A66" w14:textId="77777777" w:rsidR="008115CD" w:rsidRPr="008B619A" w:rsidRDefault="008115CD" w:rsidP="00EF2F06">
            <w:pPr>
              <w:rPr>
                <w:color w:val="000000" w:themeColor="text1"/>
                <w:sz w:val="26"/>
                <w:szCs w:val="26"/>
              </w:rPr>
            </w:pPr>
            <w:r w:rsidRPr="008B619A">
              <w:rPr>
                <w:rFonts w:hint="eastAsia"/>
                <w:color w:val="000000" w:themeColor="text1"/>
                <w:sz w:val="26"/>
                <w:szCs w:val="26"/>
              </w:rPr>
              <w:t>澳洲聯邦教育部</w:t>
            </w:r>
          </w:p>
          <w:p w14:paraId="2F24CA41" w14:textId="77777777" w:rsidR="008115CD" w:rsidRPr="008B619A" w:rsidRDefault="008115CD" w:rsidP="00EF2F06">
            <w:pPr>
              <w:rPr>
                <w:color w:val="000000" w:themeColor="text1"/>
                <w:sz w:val="26"/>
                <w:szCs w:val="26"/>
              </w:rPr>
            </w:pPr>
          </w:p>
          <w:p w14:paraId="316FF93B" w14:textId="77777777" w:rsidR="008115CD" w:rsidRPr="008B619A" w:rsidRDefault="008115CD" w:rsidP="00EF2F06">
            <w:pPr>
              <w:rPr>
                <w:color w:val="000000" w:themeColor="text1"/>
                <w:sz w:val="26"/>
                <w:szCs w:val="26"/>
              </w:rPr>
            </w:pPr>
            <w:r w:rsidRPr="008B619A">
              <w:rPr>
                <w:rFonts w:hint="eastAsia"/>
                <w:color w:val="000000" w:themeColor="text1"/>
                <w:sz w:val="26"/>
                <w:szCs w:val="26"/>
              </w:rPr>
              <w:t>澳洲學術研究院委員會</w:t>
            </w:r>
            <w:r w:rsidRPr="008B619A">
              <w:rPr>
                <w:rFonts w:ascii="Times New Roman" w:hint="eastAsia"/>
                <w:color w:val="000000" w:themeColor="text1"/>
                <w:kern w:val="32"/>
                <w:sz w:val="26"/>
                <w:szCs w:val="26"/>
              </w:rPr>
              <w:t>( ACLA)</w:t>
            </w:r>
          </w:p>
          <w:p w14:paraId="2FB90934" w14:textId="77777777" w:rsidR="008115CD" w:rsidRPr="008B619A" w:rsidRDefault="008115CD" w:rsidP="00EF2F06">
            <w:pPr>
              <w:rPr>
                <w:color w:val="000000" w:themeColor="text1"/>
                <w:sz w:val="26"/>
                <w:szCs w:val="26"/>
              </w:rPr>
            </w:pPr>
          </w:p>
          <w:p w14:paraId="68A2CF47" w14:textId="77777777" w:rsidR="008115CD" w:rsidRPr="008B619A" w:rsidRDefault="008115CD" w:rsidP="00EF2F06">
            <w:pPr>
              <w:rPr>
                <w:color w:val="000000" w:themeColor="text1"/>
                <w:sz w:val="26"/>
                <w:szCs w:val="26"/>
              </w:rPr>
            </w:pPr>
            <w:r w:rsidRPr="008B619A">
              <w:rPr>
                <w:rFonts w:hint="eastAsia"/>
                <w:color w:val="000000" w:themeColor="text1"/>
                <w:sz w:val="26"/>
                <w:szCs w:val="26"/>
              </w:rPr>
              <w:t>澳洲畢業生研究委員會</w:t>
            </w:r>
            <w:r w:rsidRPr="008B619A">
              <w:rPr>
                <w:rFonts w:ascii="Times New Roman" w:hint="eastAsia"/>
                <w:color w:val="000000" w:themeColor="text1"/>
                <w:kern w:val="32"/>
                <w:sz w:val="26"/>
                <w:szCs w:val="26"/>
              </w:rPr>
              <w:t>(ACGR)</w:t>
            </w:r>
          </w:p>
          <w:p w14:paraId="48F6CA42" w14:textId="77777777" w:rsidR="008115CD" w:rsidRPr="008B619A" w:rsidRDefault="008115CD" w:rsidP="00EF2F06">
            <w:pPr>
              <w:rPr>
                <w:color w:val="000000" w:themeColor="text1"/>
                <w:sz w:val="26"/>
                <w:szCs w:val="26"/>
              </w:rPr>
            </w:pPr>
          </w:p>
          <w:p w14:paraId="3EBA1C4B" w14:textId="77777777" w:rsidR="008115CD" w:rsidRPr="008B619A" w:rsidRDefault="008115CD" w:rsidP="00EF2F06">
            <w:pPr>
              <w:rPr>
                <w:color w:val="000000" w:themeColor="text1"/>
                <w:sz w:val="26"/>
                <w:szCs w:val="26"/>
              </w:rPr>
            </w:pPr>
            <w:r w:rsidRPr="008B619A">
              <w:rPr>
                <w:rFonts w:hint="eastAsia"/>
                <w:color w:val="000000" w:themeColor="text1"/>
                <w:sz w:val="26"/>
                <w:szCs w:val="26"/>
              </w:rPr>
              <w:lastRenderedPageBreak/>
              <w:t>澳洲大學聯盟</w:t>
            </w:r>
            <w:r w:rsidRPr="008B619A">
              <w:rPr>
                <w:rFonts w:ascii="Times New Roman" w:hint="eastAsia"/>
                <w:color w:val="000000" w:themeColor="text1"/>
                <w:kern w:val="32"/>
                <w:sz w:val="26"/>
                <w:szCs w:val="26"/>
              </w:rPr>
              <w:t>(UA)</w:t>
            </w:r>
          </w:p>
          <w:p w14:paraId="04DC4CAE" w14:textId="77777777" w:rsidR="008115CD" w:rsidRPr="008B619A" w:rsidRDefault="008115CD" w:rsidP="00EF2F06">
            <w:pPr>
              <w:rPr>
                <w:color w:val="000000" w:themeColor="text1"/>
                <w:sz w:val="26"/>
                <w:szCs w:val="26"/>
              </w:rPr>
            </w:pPr>
          </w:p>
          <w:p w14:paraId="1276641D" w14:textId="77777777" w:rsidR="008115CD" w:rsidRPr="008B619A" w:rsidRDefault="008115CD" w:rsidP="00EF2F06">
            <w:pPr>
              <w:rPr>
                <w:color w:val="000000" w:themeColor="text1"/>
                <w:sz w:val="26"/>
                <w:szCs w:val="26"/>
              </w:rPr>
            </w:pPr>
            <w:r w:rsidRPr="008B619A">
              <w:rPr>
                <w:rFonts w:hint="eastAsia"/>
                <w:color w:val="000000" w:themeColor="text1"/>
                <w:sz w:val="26"/>
                <w:szCs w:val="26"/>
              </w:rPr>
              <w:t>澳洲工業集團</w:t>
            </w:r>
            <w:r w:rsidRPr="008B619A">
              <w:rPr>
                <w:rFonts w:ascii="Times New Roman" w:hint="eastAsia"/>
                <w:color w:val="000000" w:themeColor="text1"/>
                <w:kern w:val="32"/>
                <w:sz w:val="26"/>
                <w:szCs w:val="26"/>
              </w:rPr>
              <w:t>(Ai Group)</w:t>
            </w:r>
          </w:p>
        </w:tc>
        <w:tc>
          <w:tcPr>
            <w:tcW w:w="4836" w:type="dxa"/>
          </w:tcPr>
          <w:p w14:paraId="62EB6926" w14:textId="77777777" w:rsidR="008115CD" w:rsidRPr="008B619A" w:rsidRDefault="008115CD" w:rsidP="00EF2F06">
            <w:pPr>
              <w:spacing w:line="0" w:lineRule="atLeast"/>
              <w:ind w:left="532" w:hangingChars="190" w:hanging="532"/>
              <w:rPr>
                <w:rFonts w:hAnsi="標楷體"/>
                <w:color w:val="000000" w:themeColor="text1"/>
                <w:sz w:val="26"/>
                <w:szCs w:val="26"/>
              </w:rPr>
            </w:pPr>
            <w:r w:rsidRPr="008B619A">
              <w:rPr>
                <w:rFonts w:hAnsi="標楷體" w:hint="eastAsia"/>
                <w:color w:val="000000" w:themeColor="text1"/>
                <w:sz w:val="26"/>
                <w:szCs w:val="26"/>
              </w:rPr>
              <w:lastRenderedPageBreak/>
              <w:t>一、</w:t>
            </w:r>
            <w:r w:rsidRPr="008B619A">
              <w:rPr>
                <w:rFonts w:hAnsi="標楷體"/>
                <w:color w:val="000000" w:themeColor="text1"/>
                <w:sz w:val="26"/>
                <w:szCs w:val="26"/>
              </w:rPr>
              <w:t>2015年5月澳洲聯邦教育部委託澳洲學術研究院委員會(ACLA)進行澳洲高等研究體系的檢討回顧，以確保其符合國家21世紀研究發展所需。2016年3月ACLA向澳洲聯邦教育部提出檢討報告，內容涵蓋澳洲高等研究體系的人才培育及發展利基與提出評估與建議。</w:t>
            </w:r>
          </w:p>
          <w:p w14:paraId="7C2DD4FB" w14:textId="77777777" w:rsidR="008115CD" w:rsidRPr="008B619A" w:rsidRDefault="008115CD" w:rsidP="00EF2F06">
            <w:pPr>
              <w:spacing w:line="0" w:lineRule="atLeast"/>
              <w:ind w:leftChars="1" w:left="504" w:hangingChars="179" w:hanging="501"/>
              <w:rPr>
                <w:rFonts w:hAnsi="標楷體"/>
                <w:color w:val="000000" w:themeColor="text1"/>
                <w:sz w:val="26"/>
                <w:szCs w:val="26"/>
              </w:rPr>
            </w:pPr>
            <w:r w:rsidRPr="008B619A">
              <w:rPr>
                <w:rFonts w:hAnsi="標楷體" w:hint="eastAsia"/>
                <w:color w:val="000000" w:themeColor="text1"/>
                <w:sz w:val="26"/>
                <w:szCs w:val="26"/>
              </w:rPr>
              <w:t>二、</w:t>
            </w:r>
            <w:r w:rsidRPr="008B619A">
              <w:rPr>
                <w:rFonts w:hAnsi="標楷體"/>
                <w:color w:val="000000" w:themeColor="text1"/>
                <w:sz w:val="26"/>
                <w:szCs w:val="26"/>
              </w:rPr>
              <w:t>2016年11月澳洲政府接受6項改革建議並於2017年12月正式推動該</w:t>
            </w:r>
            <w:r w:rsidRPr="008B619A">
              <w:rPr>
                <w:rFonts w:hAnsi="標楷體"/>
                <w:color w:val="000000" w:themeColor="text1"/>
                <w:sz w:val="26"/>
                <w:szCs w:val="26"/>
              </w:rPr>
              <w:lastRenderedPageBreak/>
              <w:t>政策。</w:t>
            </w:r>
          </w:p>
          <w:p w14:paraId="05509CE5" w14:textId="77777777" w:rsidR="008115CD" w:rsidRPr="008B619A" w:rsidRDefault="008115CD" w:rsidP="00EF2F06">
            <w:pPr>
              <w:spacing w:line="0" w:lineRule="atLeast"/>
              <w:ind w:leftChars="1" w:left="504" w:hangingChars="179" w:hanging="501"/>
              <w:rPr>
                <w:rFonts w:hAnsi="標楷體"/>
                <w:color w:val="000000" w:themeColor="text1"/>
                <w:sz w:val="26"/>
                <w:szCs w:val="26"/>
              </w:rPr>
            </w:pPr>
            <w:r w:rsidRPr="008B619A">
              <w:rPr>
                <w:rFonts w:hAnsi="標楷體" w:hint="eastAsia"/>
                <w:color w:val="000000" w:themeColor="text1"/>
                <w:sz w:val="26"/>
                <w:szCs w:val="26"/>
              </w:rPr>
              <w:t>三、</w:t>
            </w:r>
            <w:r w:rsidRPr="008B619A">
              <w:rPr>
                <w:rFonts w:hAnsi="標楷體"/>
                <w:color w:val="000000" w:themeColor="text1"/>
                <w:sz w:val="26"/>
                <w:szCs w:val="26"/>
              </w:rPr>
              <w:t>根據第二階段最即期的執行報告書，列出已完成及尚在進行的</w:t>
            </w:r>
            <w:r w:rsidRPr="008B619A">
              <w:rPr>
                <w:rFonts w:hAnsi="標楷體" w:hint="eastAsia"/>
                <w:color w:val="000000" w:themeColor="text1"/>
                <w:sz w:val="26"/>
                <w:szCs w:val="26"/>
              </w:rPr>
              <w:t>重點工作</w:t>
            </w:r>
            <w:r w:rsidRPr="008B619A">
              <w:rPr>
                <w:rFonts w:hAnsi="標楷體"/>
                <w:color w:val="000000" w:themeColor="text1"/>
                <w:sz w:val="26"/>
                <w:szCs w:val="26"/>
              </w:rPr>
              <w:t>事項:</w:t>
            </w:r>
          </w:p>
          <w:p w14:paraId="009FAC7A" w14:textId="77777777" w:rsidR="008115CD" w:rsidRPr="008B619A" w:rsidRDefault="008115CD" w:rsidP="00EF2F06">
            <w:pPr>
              <w:spacing w:line="400" w:lineRule="exact"/>
              <w:ind w:left="504" w:hangingChars="180" w:hanging="504"/>
              <w:rPr>
                <w:rFonts w:hAnsi="標楷體"/>
                <w:color w:val="000000" w:themeColor="text1"/>
                <w:sz w:val="26"/>
                <w:szCs w:val="26"/>
              </w:rPr>
            </w:pPr>
            <w:r w:rsidRPr="008B619A">
              <w:rPr>
                <w:rFonts w:hAnsi="標楷體" w:hint="eastAsia"/>
                <w:color w:val="000000" w:themeColor="text1"/>
                <w:sz w:val="26"/>
                <w:szCs w:val="26"/>
              </w:rPr>
              <w:t>(一)</w:t>
            </w:r>
            <w:r w:rsidRPr="008B619A">
              <w:rPr>
                <w:rFonts w:hAnsi="標楷體"/>
                <w:color w:val="000000" w:themeColor="text1"/>
                <w:sz w:val="26"/>
                <w:szCs w:val="26"/>
              </w:rPr>
              <w:t>針對高等教育研究型學位，設計新的入學管道與進程。</w:t>
            </w:r>
          </w:p>
          <w:p w14:paraId="08A8690A" w14:textId="77777777" w:rsidR="008115CD" w:rsidRPr="008B619A" w:rsidRDefault="008115CD" w:rsidP="00EF2F06">
            <w:pPr>
              <w:spacing w:line="400" w:lineRule="exact"/>
              <w:ind w:left="504" w:hangingChars="180" w:hanging="504"/>
              <w:rPr>
                <w:rFonts w:hAnsi="標楷體"/>
                <w:color w:val="000000" w:themeColor="text1"/>
                <w:sz w:val="26"/>
                <w:szCs w:val="26"/>
              </w:rPr>
            </w:pPr>
            <w:r w:rsidRPr="008B619A">
              <w:rPr>
                <w:rFonts w:hAnsi="標楷體" w:hint="eastAsia"/>
                <w:color w:val="000000" w:themeColor="text1"/>
                <w:sz w:val="26"/>
                <w:szCs w:val="26"/>
              </w:rPr>
              <w:t>(二)</w:t>
            </w:r>
            <w:r w:rsidRPr="008B619A">
              <w:rPr>
                <w:rFonts w:hAnsi="標楷體"/>
                <w:color w:val="000000" w:themeColor="text1"/>
                <w:sz w:val="26"/>
                <w:szCs w:val="26"/>
              </w:rPr>
              <w:t>加強產學合作</w:t>
            </w:r>
          </w:p>
          <w:p w14:paraId="3FD25843" w14:textId="77777777" w:rsidR="008115CD" w:rsidRPr="008B619A" w:rsidRDefault="008115CD" w:rsidP="00EF2F06">
            <w:pPr>
              <w:ind w:leftChars="24" w:left="429" w:hangingChars="124" w:hanging="347"/>
              <w:rPr>
                <w:rFonts w:hAnsi="標楷體"/>
                <w:color w:val="000000" w:themeColor="text1"/>
                <w:sz w:val="26"/>
                <w:szCs w:val="26"/>
              </w:rPr>
            </w:pPr>
            <w:r w:rsidRPr="008B619A">
              <w:rPr>
                <w:rFonts w:hint="eastAsia"/>
                <w:color w:val="000000" w:themeColor="text1"/>
                <w:sz w:val="26"/>
                <w:szCs w:val="26"/>
              </w:rPr>
              <w:t xml:space="preserve"> </w:t>
            </w:r>
            <w:r w:rsidRPr="008B619A">
              <w:rPr>
                <w:rFonts w:hAnsi="標楷體" w:hint="eastAsia"/>
                <w:color w:val="000000" w:themeColor="text1"/>
                <w:sz w:val="26"/>
                <w:szCs w:val="26"/>
              </w:rPr>
              <w:t>1.</w:t>
            </w:r>
            <w:r w:rsidRPr="008B619A">
              <w:rPr>
                <w:rFonts w:hAnsi="標楷體"/>
                <w:color w:val="000000" w:themeColor="text1"/>
                <w:sz w:val="26"/>
                <w:szCs w:val="26"/>
              </w:rPr>
              <w:t>澳洲畢業生研究委員會(ACGR)與澳洲工業集</w:t>
            </w:r>
            <w:r w:rsidRPr="008B619A">
              <w:rPr>
                <w:rFonts w:hAnsi="標楷體" w:hint="eastAsia"/>
                <w:color w:val="000000" w:themeColor="text1"/>
                <w:sz w:val="26"/>
                <w:szCs w:val="26"/>
              </w:rPr>
              <w:t>團</w:t>
            </w:r>
            <w:r w:rsidRPr="008B619A">
              <w:rPr>
                <w:rFonts w:hAnsi="標楷體"/>
                <w:color w:val="000000" w:themeColor="text1"/>
                <w:sz w:val="26"/>
                <w:szCs w:val="26"/>
              </w:rPr>
              <w:t>(Ai group)訂定合作方針。</w:t>
            </w:r>
          </w:p>
          <w:p w14:paraId="0390C717" w14:textId="77777777" w:rsidR="008115CD" w:rsidRPr="008B619A" w:rsidRDefault="008115CD" w:rsidP="00EF2F06">
            <w:pPr>
              <w:ind w:leftChars="46" w:left="503" w:hangingChars="124" w:hanging="347"/>
              <w:rPr>
                <w:rFonts w:hAnsi="標楷體"/>
                <w:color w:val="000000" w:themeColor="text1"/>
                <w:sz w:val="26"/>
                <w:szCs w:val="26"/>
              </w:rPr>
            </w:pPr>
            <w:r w:rsidRPr="008B619A">
              <w:rPr>
                <w:rFonts w:hAnsi="標楷體" w:hint="eastAsia"/>
                <w:color w:val="000000" w:themeColor="text1"/>
                <w:sz w:val="26"/>
                <w:szCs w:val="26"/>
              </w:rPr>
              <w:t>2.</w:t>
            </w:r>
            <w:r w:rsidRPr="008B619A">
              <w:rPr>
                <w:rFonts w:hAnsi="標楷體"/>
                <w:color w:val="000000" w:themeColor="text1"/>
                <w:sz w:val="26"/>
                <w:szCs w:val="26"/>
              </w:rPr>
              <w:t>鼓勵企業提供實習機會與合</w:t>
            </w:r>
            <w:r w:rsidRPr="008B619A">
              <w:rPr>
                <w:rFonts w:hAnsi="標楷體" w:hint="eastAsia"/>
                <w:color w:val="000000" w:themeColor="text1"/>
                <w:sz w:val="26"/>
                <w:szCs w:val="26"/>
              </w:rPr>
              <w:t xml:space="preserve"> </w:t>
            </w:r>
            <w:r w:rsidRPr="008B619A">
              <w:rPr>
                <w:rFonts w:hAnsi="標楷體"/>
                <w:color w:val="000000" w:themeColor="text1"/>
                <w:sz w:val="26"/>
                <w:szCs w:val="26"/>
              </w:rPr>
              <w:t>作計畫。</w:t>
            </w:r>
          </w:p>
          <w:p w14:paraId="643276C0" w14:textId="77777777" w:rsidR="008115CD" w:rsidRPr="008B619A" w:rsidRDefault="008115CD" w:rsidP="00EF2F06">
            <w:pPr>
              <w:spacing w:line="0" w:lineRule="atLeast"/>
              <w:ind w:left="504" w:hangingChars="180" w:hanging="504"/>
              <w:rPr>
                <w:rFonts w:hAnsi="標楷體"/>
                <w:color w:val="000000" w:themeColor="text1"/>
                <w:sz w:val="26"/>
                <w:szCs w:val="26"/>
              </w:rPr>
            </w:pPr>
            <w:r w:rsidRPr="008B619A">
              <w:rPr>
                <w:rFonts w:hAnsi="標楷體" w:hint="eastAsia"/>
                <w:color w:val="000000" w:themeColor="text1"/>
                <w:sz w:val="26"/>
                <w:szCs w:val="26"/>
              </w:rPr>
              <w:t xml:space="preserve"> 3.</w:t>
            </w:r>
            <w:r w:rsidRPr="008B619A">
              <w:rPr>
                <w:rFonts w:hAnsi="標楷體"/>
                <w:color w:val="000000" w:themeColor="text1"/>
                <w:sz w:val="26"/>
                <w:szCs w:val="26"/>
              </w:rPr>
              <w:t>監督國家型研究實習計畫(NRIP)的執行</w:t>
            </w:r>
            <w:r w:rsidRPr="008B619A">
              <w:rPr>
                <w:rFonts w:hAnsi="標楷體" w:hint="eastAsia"/>
                <w:color w:val="000000" w:themeColor="text1"/>
                <w:sz w:val="26"/>
                <w:szCs w:val="26"/>
              </w:rPr>
              <w:t>：</w:t>
            </w:r>
            <w:r w:rsidRPr="008B619A">
              <w:rPr>
                <w:rFonts w:hAnsi="標楷體"/>
                <w:color w:val="000000" w:themeColor="text1"/>
                <w:sz w:val="26"/>
                <w:szCs w:val="26"/>
              </w:rPr>
              <w:t>2017年5月</w:t>
            </w:r>
            <w:r w:rsidRPr="008B619A">
              <w:rPr>
                <w:rFonts w:hAnsi="標楷體" w:hint="eastAsia"/>
                <w:color w:val="000000" w:themeColor="text1"/>
                <w:sz w:val="26"/>
                <w:szCs w:val="26"/>
              </w:rPr>
              <w:t>澳洲聯邦</w:t>
            </w:r>
            <w:r w:rsidRPr="008B619A">
              <w:rPr>
                <w:rFonts w:hAnsi="標楷體"/>
                <w:color w:val="000000" w:themeColor="text1"/>
                <w:sz w:val="26"/>
                <w:szCs w:val="26"/>
              </w:rPr>
              <w:t>教育部提出“支持更多女性從事STEM職業：澳大利亞數學科學研究所（AMSI）國家研究實習計畫”，撥款</w:t>
            </w:r>
            <w:r w:rsidRPr="008B619A">
              <w:rPr>
                <w:rFonts w:hAnsi="標楷體" w:hint="eastAsia"/>
                <w:color w:val="000000" w:themeColor="text1"/>
                <w:sz w:val="26"/>
                <w:szCs w:val="26"/>
              </w:rPr>
              <w:t>AMSI</w:t>
            </w:r>
            <w:r w:rsidRPr="008B619A">
              <w:rPr>
                <w:rFonts w:hAnsi="標楷體"/>
                <w:color w:val="000000" w:themeColor="text1"/>
                <w:sz w:val="26"/>
                <w:szCs w:val="26"/>
              </w:rPr>
              <w:t>計畫4年內提供1,400個博士研究的實習機會，特別加強著重女性參與STEM。2017年和2018年，NRIP獲得161個實習機會，而關鍵績效目標是300個實習機會。2018年，超過40%的STEM學生是女性，達到了2018年KPI。KPI在2019年和2020年依成效再增加。2018年教育部與澳大利亞數學科學研究所進一步鬆綁實習資格標準，允許非全日制博士生參與，因為超過30%的研究型學生為非全日制學位。2017至2018年期間，澳大利亞數學科學研究所與83個企業合作夥伴合作，並將該計畫的參與增加到27所大學，幾乎所有</w:t>
            </w:r>
            <w:r w:rsidRPr="008B619A">
              <w:rPr>
                <w:rFonts w:hAnsi="標楷體" w:hint="eastAsia"/>
                <w:color w:val="000000" w:themeColor="text1"/>
                <w:sz w:val="26"/>
                <w:szCs w:val="26"/>
              </w:rPr>
              <w:t>(</w:t>
            </w:r>
            <w:r w:rsidRPr="008B619A">
              <w:rPr>
                <w:rFonts w:hAnsi="標楷體"/>
                <w:color w:val="000000" w:themeColor="text1"/>
                <w:sz w:val="26"/>
                <w:szCs w:val="26"/>
              </w:rPr>
              <w:t>94％</w:t>
            </w:r>
            <w:r w:rsidRPr="008B619A">
              <w:rPr>
                <w:rFonts w:hAnsi="標楷體" w:hint="eastAsia"/>
                <w:color w:val="000000" w:themeColor="text1"/>
                <w:sz w:val="26"/>
                <w:szCs w:val="26"/>
              </w:rPr>
              <w:t>)</w:t>
            </w:r>
            <w:r w:rsidRPr="008B619A">
              <w:rPr>
                <w:rFonts w:hAnsi="標楷體"/>
                <w:color w:val="000000" w:themeColor="text1"/>
                <w:sz w:val="26"/>
                <w:szCs w:val="26"/>
              </w:rPr>
              <w:t>的實習崗位都在STEM領域。</w:t>
            </w:r>
          </w:p>
          <w:p w14:paraId="7F0282D5" w14:textId="77777777" w:rsidR="008115CD" w:rsidRPr="008B619A" w:rsidRDefault="008115CD" w:rsidP="00EF2F06">
            <w:pPr>
              <w:spacing w:line="0" w:lineRule="atLeast"/>
              <w:ind w:left="504" w:hangingChars="180" w:hanging="504"/>
              <w:rPr>
                <w:rFonts w:hAnsi="標楷體"/>
                <w:color w:val="000000" w:themeColor="text1"/>
                <w:sz w:val="26"/>
                <w:szCs w:val="26"/>
              </w:rPr>
            </w:pPr>
            <w:r w:rsidRPr="008B619A">
              <w:rPr>
                <w:rFonts w:hAnsi="標楷體" w:hint="eastAsia"/>
                <w:color w:val="000000" w:themeColor="text1"/>
                <w:sz w:val="26"/>
                <w:szCs w:val="26"/>
              </w:rPr>
              <w:t xml:space="preserve">  </w:t>
            </w:r>
            <w:r w:rsidRPr="008B619A">
              <w:rPr>
                <w:rFonts w:hAnsi="標楷體"/>
                <w:color w:val="000000" w:themeColor="text1"/>
                <w:sz w:val="26"/>
                <w:szCs w:val="26"/>
              </w:rPr>
              <w:t>4.教育部蒐集數據，建立有關各機構的合作計畫與實習機會</w:t>
            </w:r>
            <w:r w:rsidRPr="008B619A">
              <w:rPr>
                <w:rFonts w:hAnsi="標楷體" w:hint="eastAsia"/>
                <w:color w:val="000000" w:themeColor="text1"/>
                <w:sz w:val="26"/>
                <w:szCs w:val="26"/>
              </w:rPr>
              <w:t>以</w:t>
            </w:r>
            <w:r w:rsidRPr="008B619A">
              <w:rPr>
                <w:rFonts w:hAnsi="標楷體"/>
                <w:color w:val="000000" w:themeColor="text1"/>
                <w:sz w:val="26"/>
                <w:szCs w:val="26"/>
              </w:rPr>
              <w:t>供參</w:t>
            </w:r>
            <w:r w:rsidRPr="008B619A">
              <w:rPr>
                <w:rFonts w:hAnsi="標楷體" w:hint="eastAsia"/>
                <w:color w:val="000000" w:themeColor="text1"/>
                <w:sz w:val="26"/>
                <w:szCs w:val="26"/>
              </w:rPr>
              <w:t>。</w:t>
            </w:r>
          </w:p>
          <w:p w14:paraId="1E62127A" w14:textId="77777777" w:rsidR="008115CD" w:rsidRPr="008B619A" w:rsidRDefault="008115CD" w:rsidP="00EF2F06">
            <w:pPr>
              <w:spacing w:line="0" w:lineRule="atLeast"/>
              <w:ind w:left="504" w:hangingChars="180" w:hanging="504"/>
              <w:rPr>
                <w:rFonts w:hAnsi="標楷體"/>
                <w:color w:val="000000" w:themeColor="text1"/>
                <w:sz w:val="26"/>
                <w:szCs w:val="26"/>
              </w:rPr>
            </w:pPr>
            <w:r w:rsidRPr="008B619A">
              <w:rPr>
                <w:rFonts w:hAnsi="標楷體" w:hint="eastAsia"/>
                <w:color w:val="000000" w:themeColor="text1"/>
                <w:sz w:val="26"/>
                <w:szCs w:val="26"/>
              </w:rPr>
              <w:t xml:space="preserve">  </w:t>
            </w:r>
            <w:r w:rsidRPr="008B619A">
              <w:rPr>
                <w:rFonts w:hAnsi="標楷體"/>
                <w:color w:val="000000" w:themeColor="text1"/>
                <w:sz w:val="26"/>
                <w:szCs w:val="26"/>
              </w:rPr>
              <w:t>5.由教育部與企業創新部跨部會合作開發IP架構(IP Toolkit)以追</w:t>
            </w:r>
            <w:r w:rsidRPr="008B619A">
              <w:rPr>
                <w:rFonts w:hAnsi="標楷體"/>
                <w:color w:val="000000" w:themeColor="text1"/>
                <w:sz w:val="26"/>
                <w:szCs w:val="26"/>
              </w:rPr>
              <w:lastRenderedPageBreak/>
              <w:t>蹤碩博士生參與實習計畫的機會與執行情形</w:t>
            </w:r>
          </w:p>
          <w:p w14:paraId="336B97C8" w14:textId="77777777" w:rsidR="008115CD" w:rsidRPr="008B619A" w:rsidRDefault="008115CD" w:rsidP="00EF2F06">
            <w:pPr>
              <w:spacing w:line="400" w:lineRule="exact"/>
              <w:ind w:leftChars="1" w:left="504" w:hangingChars="179" w:hanging="501"/>
              <w:rPr>
                <w:rFonts w:hAnsi="標楷體"/>
                <w:color w:val="000000" w:themeColor="text1"/>
                <w:sz w:val="26"/>
                <w:szCs w:val="26"/>
              </w:rPr>
            </w:pPr>
            <w:r w:rsidRPr="008B619A">
              <w:rPr>
                <w:rFonts w:hAnsi="標楷體" w:hint="eastAsia"/>
                <w:color w:val="000000" w:themeColor="text1"/>
                <w:sz w:val="26"/>
                <w:szCs w:val="26"/>
              </w:rPr>
              <w:t>(三)</w:t>
            </w:r>
            <w:r w:rsidRPr="008B619A">
              <w:rPr>
                <w:rFonts w:hAnsi="標楷體"/>
                <w:color w:val="000000" w:themeColor="text1"/>
                <w:sz w:val="26"/>
                <w:szCs w:val="26"/>
              </w:rPr>
              <w:t>建立公平性，包括原住民學生參與率</w:t>
            </w:r>
          </w:p>
          <w:p w14:paraId="41AA95BE" w14:textId="77777777" w:rsidR="008115CD" w:rsidRPr="008B619A" w:rsidRDefault="008115CD" w:rsidP="00EF2F06">
            <w:pPr>
              <w:spacing w:line="400" w:lineRule="exact"/>
              <w:rPr>
                <w:rFonts w:hAnsi="標楷體"/>
                <w:color w:val="000000" w:themeColor="text1"/>
                <w:sz w:val="26"/>
                <w:szCs w:val="26"/>
              </w:rPr>
            </w:pPr>
            <w:r w:rsidRPr="008B619A">
              <w:rPr>
                <w:rFonts w:hAnsi="標楷體" w:hint="eastAsia"/>
                <w:color w:val="000000" w:themeColor="text1"/>
                <w:sz w:val="26"/>
                <w:szCs w:val="26"/>
              </w:rPr>
              <w:t>(四)加強</w:t>
            </w:r>
            <w:r w:rsidRPr="008B619A">
              <w:rPr>
                <w:rFonts w:hAnsi="標楷體"/>
                <w:color w:val="000000" w:themeColor="text1"/>
                <w:sz w:val="26"/>
                <w:szCs w:val="26"/>
              </w:rPr>
              <w:t>研究型學位的品質</w:t>
            </w:r>
          </w:p>
          <w:p w14:paraId="483F7BCE" w14:textId="77777777" w:rsidR="008115CD" w:rsidRPr="008B619A" w:rsidRDefault="008115CD" w:rsidP="00EF2F06">
            <w:pPr>
              <w:spacing w:line="400" w:lineRule="exact"/>
              <w:ind w:left="504" w:hangingChars="180" w:hanging="504"/>
              <w:rPr>
                <w:rFonts w:hAnsi="標楷體"/>
                <w:color w:val="000000" w:themeColor="text1"/>
                <w:sz w:val="26"/>
                <w:szCs w:val="26"/>
              </w:rPr>
            </w:pPr>
            <w:r w:rsidRPr="008B619A">
              <w:rPr>
                <w:rFonts w:hAnsi="標楷體" w:hint="eastAsia"/>
                <w:color w:val="000000" w:themeColor="text1"/>
                <w:sz w:val="26"/>
                <w:szCs w:val="26"/>
              </w:rPr>
              <w:t>(五)</w:t>
            </w:r>
            <w:r w:rsidRPr="008B619A">
              <w:rPr>
                <w:rFonts w:hAnsi="標楷體"/>
                <w:color w:val="000000" w:themeColor="text1"/>
                <w:sz w:val="26"/>
                <w:szCs w:val="26"/>
              </w:rPr>
              <w:t>建立數據與範例以利監督研究型學位的執行</w:t>
            </w:r>
          </w:p>
        </w:tc>
      </w:tr>
      <w:tr w:rsidR="008115CD" w:rsidRPr="008B619A" w14:paraId="75AC56E2" w14:textId="77777777" w:rsidTr="00761B39">
        <w:trPr>
          <w:jc w:val="center"/>
        </w:trPr>
        <w:tc>
          <w:tcPr>
            <w:tcW w:w="846" w:type="dxa"/>
            <w:vMerge w:val="restart"/>
            <w:vAlign w:val="center"/>
          </w:tcPr>
          <w:p w14:paraId="38BFECE4" w14:textId="77777777" w:rsidR="008115CD" w:rsidRPr="008B619A" w:rsidRDefault="008115CD" w:rsidP="00EF2F06">
            <w:pPr>
              <w:jc w:val="center"/>
              <w:rPr>
                <w:color w:val="000000" w:themeColor="text1"/>
                <w:sz w:val="26"/>
                <w:szCs w:val="26"/>
              </w:rPr>
            </w:pPr>
            <w:r w:rsidRPr="008B619A">
              <w:rPr>
                <w:rFonts w:hint="eastAsia"/>
                <w:color w:val="000000" w:themeColor="text1"/>
                <w:sz w:val="26"/>
                <w:szCs w:val="26"/>
              </w:rPr>
              <w:lastRenderedPageBreak/>
              <w:t>法國</w:t>
            </w:r>
          </w:p>
        </w:tc>
        <w:tc>
          <w:tcPr>
            <w:tcW w:w="2268" w:type="dxa"/>
          </w:tcPr>
          <w:p w14:paraId="35EFAEE9" w14:textId="77777777" w:rsidR="008115CD" w:rsidRPr="008B619A" w:rsidRDefault="008115CD" w:rsidP="00EF2F06">
            <w:pPr>
              <w:rPr>
                <w:color w:val="000000" w:themeColor="text1"/>
                <w:sz w:val="26"/>
                <w:szCs w:val="26"/>
              </w:rPr>
            </w:pPr>
            <w:r w:rsidRPr="008B619A">
              <w:rPr>
                <w:rFonts w:hint="eastAsia"/>
                <w:color w:val="000000" w:themeColor="text1"/>
                <w:sz w:val="26"/>
                <w:szCs w:val="26"/>
              </w:rPr>
              <w:t>企業研習契約制</w:t>
            </w:r>
            <w:r w:rsidRPr="008B619A">
              <w:rPr>
                <w:rFonts w:ascii="Times New Roman" w:hint="eastAsia"/>
                <w:color w:val="000000" w:themeColor="text1"/>
                <w:kern w:val="32"/>
                <w:sz w:val="26"/>
                <w:szCs w:val="26"/>
              </w:rPr>
              <w:t>（</w:t>
            </w:r>
            <w:r w:rsidRPr="008B619A">
              <w:rPr>
                <w:rFonts w:ascii="Times New Roman" w:hint="eastAsia"/>
                <w:color w:val="000000" w:themeColor="text1"/>
                <w:kern w:val="32"/>
                <w:sz w:val="26"/>
                <w:szCs w:val="26"/>
              </w:rPr>
              <w:t>Conventions Industrielles de Formation par la Recherche</w:t>
            </w:r>
            <w:r w:rsidRPr="008B619A">
              <w:rPr>
                <w:rFonts w:ascii="Times New Roman" w:hint="eastAsia"/>
                <w:color w:val="000000" w:themeColor="text1"/>
                <w:kern w:val="32"/>
                <w:sz w:val="26"/>
                <w:szCs w:val="26"/>
              </w:rPr>
              <w:t>，</w:t>
            </w:r>
            <w:r w:rsidRPr="008B619A">
              <w:rPr>
                <w:rFonts w:ascii="Times New Roman" w:hint="eastAsia"/>
                <w:color w:val="000000" w:themeColor="text1"/>
                <w:kern w:val="32"/>
                <w:sz w:val="26"/>
                <w:szCs w:val="26"/>
              </w:rPr>
              <w:t>CIFRE</w:t>
            </w:r>
            <w:r w:rsidRPr="008B619A">
              <w:rPr>
                <w:rFonts w:ascii="Times New Roman" w:hint="eastAsia"/>
                <w:color w:val="000000" w:themeColor="text1"/>
                <w:kern w:val="32"/>
                <w:sz w:val="26"/>
                <w:szCs w:val="26"/>
              </w:rPr>
              <w:t>）</w:t>
            </w:r>
          </w:p>
        </w:tc>
        <w:tc>
          <w:tcPr>
            <w:tcW w:w="2126" w:type="dxa"/>
          </w:tcPr>
          <w:p w14:paraId="4715F071" w14:textId="77777777" w:rsidR="008115CD" w:rsidRPr="008B619A" w:rsidRDefault="008115CD" w:rsidP="00EF2F06">
            <w:pPr>
              <w:rPr>
                <w:color w:val="000000" w:themeColor="text1"/>
                <w:sz w:val="26"/>
                <w:szCs w:val="26"/>
              </w:rPr>
            </w:pPr>
            <w:r w:rsidRPr="008B619A">
              <w:rPr>
                <w:rFonts w:hint="eastAsia"/>
                <w:color w:val="000000" w:themeColor="text1"/>
                <w:sz w:val="26"/>
                <w:szCs w:val="26"/>
              </w:rPr>
              <w:t>高等教育與研究創新部</w:t>
            </w:r>
          </w:p>
        </w:tc>
        <w:tc>
          <w:tcPr>
            <w:tcW w:w="4836" w:type="dxa"/>
          </w:tcPr>
          <w:p w14:paraId="2FB60A0D" w14:textId="77777777" w:rsidR="008115CD" w:rsidRPr="008B619A" w:rsidRDefault="008115CD" w:rsidP="00EF2F06">
            <w:pPr>
              <w:rPr>
                <w:rFonts w:hAnsi="標楷體" w:cs="Arial"/>
                <w:color w:val="000000" w:themeColor="text1"/>
                <w:sz w:val="26"/>
                <w:szCs w:val="26"/>
              </w:rPr>
            </w:pPr>
            <w:r w:rsidRPr="008B619A">
              <w:rPr>
                <w:rFonts w:hAnsi="標楷體" w:cs="Arial" w:hint="eastAsia"/>
                <w:color w:val="000000" w:themeColor="text1"/>
                <w:sz w:val="26"/>
                <w:szCs w:val="26"/>
              </w:rPr>
              <w:t>博士生可與和自身研究相關的私部門企業或研究機構簽約，約期為三年，且其年薪不可低於2萬3484歐元。報校方與政府同意後，政府將透過公法人「國立研究與科學基金會(A.N.R.T.)」補助企業或研究機構每年1萬4,000歐元。只要在法國大學註冊者皆可簽約，無國籍或年齡上之限制。</w:t>
            </w:r>
          </w:p>
        </w:tc>
      </w:tr>
      <w:tr w:rsidR="008115CD" w:rsidRPr="008B619A" w14:paraId="3BB4842E" w14:textId="77777777" w:rsidTr="00761B39">
        <w:trPr>
          <w:jc w:val="center"/>
        </w:trPr>
        <w:tc>
          <w:tcPr>
            <w:tcW w:w="846" w:type="dxa"/>
            <w:vMerge/>
            <w:vAlign w:val="center"/>
          </w:tcPr>
          <w:p w14:paraId="6F8E04D9" w14:textId="77777777" w:rsidR="008115CD" w:rsidRPr="008B619A" w:rsidRDefault="008115CD" w:rsidP="00EF2F06">
            <w:pPr>
              <w:jc w:val="center"/>
              <w:rPr>
                <w:b/>
                <w:color w:val="000000" w:themeColor="text1"/>
                <w:sz w:val="26"/>
                <w:szCs w:val="26"/>
              </w:rPr>
            </w:pPr>
          </w:p>
        </w:tc>
        <w:tc>
          <w:tcPr>
            <w:tcW w:w="2268" w:type="dxa"/>
          </w:tcPr>
          <w:p w14:paraId="365CF6A3" w14:textId="77777777" w:rsidR="008115CD" w:rsidRPr="008B619A" w:rsidRDefault="008115CD" w:rsidP="00EF2F06">
            <w:pPr>
              <w:rPr>
                <w:color w:val="000000" w:themeColor="text1"/>
                <w:sz w:val="26"/>
                <w:szCs w:val="26"/>
              </w:rPr>
            </w:pPr>
            <w:r w:rsidRPr="008B619A">
              <w:rPr>
                <w:rFonts w:hint="eastAsia"/>
                <w:color w:val="000000" w:themeColor="text1"/>
                <w:sz w:val="26"/>
                <w:szCs w:val="26"/>
              </w:rPr>
              <w:t>博士契約</w:t>
            </w:r>
            <w:r w:rsidRPr="008B619A">
              <w:rPr>
                <w:rFonts w:ascii="Times New Roman" w:hint="eastAsia"/>
                <w:color w:val="000000" w:themeColor="text1"/>
                <w:kern w:val="32"/>
                <w:sz w:val="26"/>
                <w:szCs w:val="26"/>
              </w:rPr>
              <w:t>(Contrat doctoral)</w:t>
            </w:r>
          </w:p>
        </w:tc>
        <w:tc>
          <w:tcPr>
            <w:tcW w:w="2126" w:type="dxa"/>
          </w:tcPr>
          <w:p w14:paraId="276EA428" w14:textId="77777777" w:rsidR="008115CD" w:rsidRPr="008B619A" w:rsidRDefault="008115CD" w:rsidP="00EF2F06">
            <w:pPr>
              <w:rPr>
                <w:color w:val="000000" w:themeColor="text1"/>
                <w:sz w:val="26"/>
                <w:szCs w:val="26"/>
              </w:rPr>
            </w:pPr>
            <w:r w:rsidRPr="008B619A">
              <w:rPr>
                <w:rFonts w:hint="eastAsia"/>
                <w:color w:val="000000" w:themeColor="text1"/>
                <w:sz w:val="26"/>
                <w:szCs w:val="26"/>
              </w:rPr>
              <w:t>高等教育與研究創新部</w:t>
            </w:r>
          </w:p>
        </w:tc>
        <w:tc>
          <w:tcPr>
            <w:tcW w:w="4836" w:type="dxa"/>
          </w:tcPr>
          <w:p w14:paraId="5A9C5D4F" w14:textId="00E43F1E" w:rsidR="008115CD" w:rsidRPr="008B619A" w:rsidRDefault="008115CD" w:rsidP="00EF2F06">
            <w:pPr>
              <w:rPr>
                <w:color w:val="000000" w:themeColor="text1"/>
                <w:sz w:val="26"/>
                <w:szCs w:val="26"/>
              </w:rPr>
            </w:pPr>
            <w:r w:rsidRPr="008B619A">
              <w:rPr>
                <w:rFonts w:hAnsi="標楷體" w:hint="eastAsia"/>
                <w:color w:val="000000" w:themeColor="text1"/>
                <w:sz w:val="26"/>
                <w:szCs w:val="26"/>
              </w:rPr>
              <w:t>博士生可與任何公法人(含中央與地方機關、國立研究機構、公立大學等)約定，經指導教授許可後，在該學校或機關投入研究或教學工作，薪資待遇之變化比照公務員辦理。此約約期為</w:t>
            </w:r>
            <w:r w:rsidR="00896588" w:rsidRPr="008B619A">
              <w:rPr>
                <w:rFonts w:hAnsi="標楷體" w:hint="eastAsia"/>
                <w:color w:val="000000" w:themeColor="text1"/>
                <w:sz w:val="26"/>
                <w:szCs w:val="26"/>
              </w:rPr>
              <w:t>3</w:t>
            </w:r>
            <w:r w:rsidRPr="008B619A">
              <w:rPr>
                <w:rFonts w:hAnsi="標楷體" w:hint="eastAsia"/>
                <w:color w:val="000000" w:themeColor="text1"/>
                <w:sz w:val="26"/>
                <w:szCs w:val="26"/>
              </w:rPr>
              <w:t>年(例外可延一年)，無國籍或年齡上之限制。</w:t>
            </w:r>
          </w:p>
        </w:tc>
      </w:tr>
    </w:tbl>
    <w:p w14:paraId="7D523BEC" w14:textId="7E977A58" w:rsidR="008115CD" w:rsidRPr="008B619A" w:rsidRDefault="008115CD" w:rsidP="008115CD">
      <w:pPr>
        <w:spacing w:afterLines="50" w:after="228"/>
        <w:ind w:leftChars="-208" w:hangingChars="272" w:hanging="708"/>
        <w:rPr>
          <w:color w:val="000000" w:themeColor="text1"/>
          <w:sz w:val="24"/>
          <w:szCs w:val="24"/>
        </w:rPr>
      </w:pPr>
      <w:r w:rsidRPr="008B619A">
        <w:rPr>
          <w:rFonts w:hint="eastAsia"/>
          <w:color w:val="000000" w:themeColor="text1"/>
          <w:sz w:val="24"/>
          <w:szCs w:val="24"/>
        </w:rPr>
        <w:t>資料來源：</w:t>
      </w:r>
      <w:r w:rsidR="0025054C" w:rsidRPr="008B619A">
        <w:rPr>
          <w:rFonts w:hint="eastAsia"/>
          <w:color w:val="000000" w:themeColor="text1"/>
          <w:sz w:val="24"/>
          <w:szCs w:val="24"/>
        </w:rPr>
        <w:t>摘</w:t>
      </w:r>
      <w:r w:rsidR="003A28C7" w:rsidRPr="008B619A">
        <w:rPr>
          <w:rFonts w:hint="eastAsia"/>
          <w:color w:val="000000" w:themeColor="text1"/>
          <w:sz w:val="24"/>
          <w:szCs w:val="24"/>
        </w:rPr>
        <w:t>錄</w:t>
      </w:r>
      <w:r w:rsidRPr="008B619A">
        <w:rPr>
          <w:rFonts w:hint="eastAsia"/>
          <w:color w:val="000000" w:themeColor="text1"/>
          <w:sz w:val="24"/>
          <w:szCs w:val="24"/>
        </w:rPr>
        <w:t>自教育部調卷資料</w:t>
      </w:r>
      <w:r w:rsidR="003C6769" w:rsidRPr="008B619A">
        <w:rPr>
          <w:rFonts w:hint="eastAsia"/>
          <w:color w:val="000000" w:themeColor="text1"/>
          <w:sz w:val="24"/>
          <w:szCs w:val="24"/>
        </w:rPr>
        <w:t>；</w:t>
      </w:r>
      <w:r w:rsidR="009045EA" w:rsidRPr="008B619A">
        <w:rPr>
          <w:rFonts w:hint="eastAsia"/>
          <w:color w:val="000000" w:themeColor="text1"/>
          <w:sz w:val="24"/>
          <w:szCs w:val="24"/>
        </w:rPr>
        <w:t>取自</w:t>
      </w:r>
      <w:r w:rsidR="003C6769" w:rsidRPr="008B619A">
        <w:rPr>
          <w:rFonts w:hint="eastAsia"/>
          <w:color w:val="000000" w:themeColor="text1"/>
          <w:sz w:val="24"/>
          <w:szCs w:val="24"/>
        </w:rPr>
        <w:t>監察院1080800218號案</w:t>
      </w:r>
      <w:r w:rsidRPr="008B619A">
        <w:rPr>
          <w:rFonts w:hint="eastAsia"/>
          <w:color w:val="000000" w:themeColor="text1"/>
          <w:sz w:val="24"/>
          <w:szCs w:val="24"/>
        </w:rPr>
        <w:t>。</w:t>
      </w:r>
    </w:p>
    <w:p w14:paraId="18387CDF" w14:textId="7EE4EEE5" w:rsidR="00CF2045" w:rsidRPr="008B619A" w:rsidRDefault="00DC43AB" w:rsidP="00765CA2">
      <w:pPr>
        <w:pStyle w:val="3"/>
        <w:rPr>
          <w:color w:val="000000" w:themeColor="text1"/>
        </w:rPr>
      </w:pPr>
      <w:r w:rsidRPr="008B619A">
        <w:rPr>
          <w:rFonts w:hint="eastAsia"/>
          <w:color w:val="000000" w:themeColor="text1"/>
        </w:rPr>
        <w:t>茲研究</w:t>
      </w:r>
      <w:r w:rsidR="002801DA" w:rsidRPr="008B619A">
        <w:rPr>
          <w:rFonts w:hint="eastAsia"/>
          <w:color w:val="000000" w:themeColor="text1"/>
        </w:rPr>
        <w:t>與OECD國家相較</w:t>
      </w:r>
      <w:r w:rsidRPr="008B619A">
        <w:rPr>
          <w:rFonts w:hint="eastAsia"/>
          <w:color w:val="000000" w:themeColor="text1"/>
        </w:rPr>
        <w:t>顯示</w:t>
      </w:r>
      <w:r w:rsidR="00164B20" w:rsidRPr="008B619A">
        <w:rPr>
          <w:rStyle w:val="aff1"/>
          <w:color w:val="000000" w:themeColor="text1"/>
        </w:rPr>
        <w:footnoteReference w:id="80"/>
      </w:r>
      <w:r w:rsidRPr="008B619A">
        <w:rPr>
          <w:rFonts w:hint="eastAsia"/>
          <w:color w:val="000000" w:themeColor="text1"/>
        </w:rPr>
        <w:t>，</w:t>
      </w:r>
      <w:r w:rsidR="002D2EFD" w:rsidRPr="008B619A">
        <w:rPr>
          <w:rFonts w:hint="eastAsia"/>
          <w:color w:val="000000" w:themeColor="text1"/>
        </w:rPr>
        <w:t>107年</w:t>
      </w:r>
      <w:r w:rsidR="00782BDE" w:rsidRPr="008B619A">
        <w:rPr>
          <w:rFonts w:hint="eastAsia"/>
          <w:color w:val="000000" w:themeColor="text1"/>
        </w:rPr>
        <w:t>我國大學及以上</w:t>
      </w:r>
      <w:r w:rsidR="008725A9" w:rsidRPr="008B619A">
        <w:rPr>
          <w:rFonts w:hint="eastAsia"/>
          <w:color w:val="000000" w:themeColor="text1"/>
        </w:rPr>
        <w:t>平均每生使用教育經費</w:t>
      </w:r>
      <w:r w:rsidR="00C90B49" w:rsidRPr="008B619A">
        <w:rPr>
          <w:rFonts w:hint="eastAsia"/>
          <w:color w:val="000000" w:themeColor="text1"/>
        </w:rPr>
        <w:t>為</w:t>
      </w:r>
      <w:r w:rsidR="0012565C" w:rsidRPr="008B619A">
        <w:rPr>
          <w:rFonts w:hint="eastAsia"/>
          <w:color w:val="000000" w:themeColor="text1"/>
        </w:rPr>
        <w:t>1</w:t>
      </w:r>
      <w:r w:rsidR="0012565C" w:rsidRPr="008B619A">
        <w:rPr>
          <w:color w:val="000000" w:themeColor="text1"/>
        </w:rPr>
        <w:t>4</w:t>
      </w:r>
      <w:r w:rsidR="0012565C" w:rsidRPr="008B619A">
        <w:rPr>
          <w:rFonts w:hint="eastAsia"/>
          <w:color w:val="000000" w:themeColor="text1"/>
        </w:rPr>
        <w:t>,</w:t>
      </w:r>
      <w:r w:rsidR="0012565C" w:rsidRPr="008B619A">
        <w:rPr>
          <w:color w:val="000000" w:themeColor="text1"/>
        </w:rPr>
        <w:t>103</w:t>
      </w:r>
      <w:r w:rsidR="00CF47D6" w:rsidRPr="008B619A">
        <w:rPr>
          <w:rFonts w:hint="eastAsia"/>
          <w:color w:val="000000" w:themeColor="text1"/>
        </w:rPr>
        <w:t>美元</w:t>
      </w:r>
      <w:r w:rsidR="002D0E42" w:rsidRPr="008B619A">
        <w:rPr>
          <w:rFonts w:hint="eastAsia"/>
          <w:color w:val="000000" w:themeColor="text1"/>
        </w:rPr>
        <w:t>，</w:t>
      </w:r>
      <w:r w:rsidR="008022DA" w:rsidRPr="008B619A">
        <w:rPr>
          <w:rFonts w:hint="eastAsia"/>
          <w:color w:val="000000" w:themeColor="text1"/>
        </w:rPr>
        <w:t>仍</w:t>
      </w:r>
      <w:r w:rsidR="006F2468" w:rsidRPr="008B619A">
        <w:rPr>
          <w:rFonts w:hint="eastAsia"/>
          <w:color w:val="000000" w:themeColor="text1"/>
        </w:rPr>
        <w:t>低於日本的20</w:t>
      </w:r>
      <w:r w:rsidR="006F2468" w:rsidRPr="008B619A">
        <w:rPr>
          <w:color w:val="000000" w:themeColor="text1"/>
        </w:rPr>
        <w:t>,537</w:t>
      </w:r>
      <w:r w:rsidR="006F2468" w:rsidRPr="008B619A">
        <w:rPr>
          <w:rFonts w:hint="eastAsia"/>
          <w:color w:val="000000" w:themeColor="text1"/>
        </w:rPr>
        <w:t>美元</w:t>
      </w:r>
      <w:r w:rsidR="0085276D" w:rsidRPr="008B619A">
        <w:rPr>
          <w:rFonts w:hAnsi="標楷體" w:hint="eastAsia"/>
          <w:color w:val="000000" w:themeColor="text1"/>
        </w:rPr>
        <w:t>、</w:t>
      </w:r>
      <w:r w:rsidR="0085276D" w:rsidRPr="008B619A">
        <w:rPr>
          <w:rFonts w:hint="eastAsia"/>
          <w:color w:val="000000" w:themeColor="text1"/>
        </w:rPr>
        <w:t>英國23</w:t>
      </w:r>
      <w:r w:rsidR="0085276D" w:rsidRPr="008B619A">
        <w:rPr>
          <w:color w:val="000000" w:themeColor="text1"/>
        </w:rPr>
        <w:t>,772</w:t>
      </w:r>
      <w:r w:rsidR="0085276D" w:rsidRPr="008B619A">
        <w:rPr>
          <w:rFonts w:hint="eastAsia"/>
          <w:color w:val="000000" w:themeColor="text1"/>
        </w:rPr>
        <w:t>美元</w:t>
      </w:r>
      <w:r w:rsidR="00A34721" w:rsidRPr="008B619A">
        <w:rPr>
          <w:rFonts w:hint="eastAsia"/>
          <w:color w:val="000000" w:themeColor="text1"/>
        </w:rPr>
        <w:t>及OECD國家平均</w:t>
      </w:r>
      <w:r w:rsidR="00A66EB2" w:rsidRPr="008B619A">
        <w:rPr>
          <w:rFonts w:hint="eastAsia"/>
          <w:color w:val="000000" w:themeColor="text1"/>
        </w:rPr>
        <w:t>16</w:t>
      </w:r>
      <w:r w:rsidR="00A66EB2" w:rsidRPr="008B619A">
        <w:rPr>
          <w:color w:val="000000" w:themeColor="text1"/>
        </w:rPr>
        <w:t>,756</w:t>
      </w:r>
      <w:r w:rsidR="00A66EB2" w:rsidRPr="008B619A">
        <w:rPr>
          <w:rFonts w:hint="eastAsia"/>
          <w:color w:val="000000" w:themeColor="text1"/>
        </w:rPr>
        <w:t>美元</w:t>
      </w:r>
      <w:r w:rsidR="008A13B4" w:rsidRPr="008B619A">
        <w:rPr>
          <w:rFonts w:hint="eastAsia"/>
          <w:color w:val="000000" w:themeColor="text1"/>
        </w:rPr>
        <w:t>等</w:t>
      </w:r>
      <w:r w:rsidRPr="008B619A">
        <w:rPr>
          <w:rFonts w:hint="eastAsia"/>
          <w:color w:val="000000" w:themeColor="text1"/>
        </w:rPr>
        <w:t>。</w:t>
      </w:r>
      <w:r w:rsidR="00052B28" w:rsidRPr="008B619A">
        <w:rPr>
          <w:rFonts w:hint="eastAsia"/>
          <w:color w:val="000000" w:themeColor="text1"/>
        </w:rPr>
        <w:t>再</w:t>
      </w:r>
      <w:r w:rsidR="000E1DA6" w:rsidRPr="008B619A">
        <w:rPr>
          <w:rFonts w:hint="eastAsia"/>
          <w:color w:val="000000" w:themeColor="text1"/>
        </w:rPr>
        <w:t>以本案諮詢專家學者意見指稱，</w:t>
      </w:r>
      <w:r w:rsidR="00394BD9" w:rsidRPr="008B619A">
        <w:rPr>
          <w:rFonts w:hAnsi="標楷體" w:hint="eastAsia"/>
          <w:color w:val="000000" w:themeColor="text1"/>
        </w:rPr>
        <w:t>「境外生移入及全球攬才：各國做法不一，我國在政策上應及早定調，以利配套研擬與推動方案」</w:t>
      </w:r>
      <w:r w:rsidR="00394BD9" w:rsidRPr="008B619A">
        <w:rPr>
          <w:rFonts w:hint="eastAsia"/>
          <w:color w:val="000000" w:themeColor="text1"/>
        </w:rPr>
        <w:t>及</w:t>
      </w:r>
      <w:r w:rsidR="000E1DA6" w:rsidRPr="008B619A">
        <w:rPr>
          <w:rFonts w:hAnsi="標楷體" w:hint="eastAsia"/>
          <w:color w:val="000000" w:themeColor="text1"/>
        </w:rPr>
        <w:t>「</w:t>
      </w:r>
      <w:r w:rsidR="000E1DA6" w:rsidRPr="008B619A">
        <w:rPr>
          <w:rFonts w:hAnsi="標楷體" w:hint="eastAsia"/>
          <w:color w:val="000000" w:themeColor="text1"/>
          <w:szCs w:val="32"/>
        </w:rPr>
        <w:t>產業的升級、國際智慧財產、全球</w:t>
      </w:r>
      <w:r w:rsidR="00E643D4" w:rsidRPr="008B619A">
        <w:rPr>
          <w:rFonts w:hAnsi="標楷體" w:hint="eastAsia"/>
          <w:color w:val="000000" w:themeColor="text1"/>
          <w:szCs w:val="32"/>
        </w:rPr>
        <w:t>金融</w:t>
      </w:r>
      <w:r w:rsidR="000E1DA6" w:rsidRPr="008B619A">
        <w:rPr>
          <w:rFonts w:hAnsi="標楷體" w:hint="eastAsia"/>
          <w:color w:val="000000" w:themeColor="text1"/>
          <w:szCs w:val="32"/>
        </w:rPr>
        <w:t>應該是臺灣未來的當務之急。今天討論的博士人才就是在這</w:t>
      </w:r>
      <w:r w:rsidR="00592728" w:rsidRPr="008B619A">
        <w:rPr>
          <w:rFonts w:hAnsi="標楷體" w:hint="eastAsia"/>
          <w:color w:val="000000" w:themeColor="text1"/>
          <w:szCs w:val="32"/>
        </w:rPr>
        <w:t>3</w:t>
      </w:r>
      <w:r w:rsidR="000E1DA6" w:rsidRPr="008B619A">
        <w:rPr>
          <w:rFonts w:hAnsi="標楷體" w:hint="eastAsia"/>
          <w:color w:val="000000" w:themeColor="text1"/>
          <w:szCs w:val="32"/>
        </w:rPr>
        <w:t>個領域的產業相當重要的人才。問題是，我們現在</w:t>
      </w:r>
      <w:r w:rsidR="000E1DA6" w:rsidRPr="008B619A">
        <w:rPr>
          <w:rFonts w:hAnsi="標楷體" w:hint="eastAsia"/>
          <w:color w:val="000000" w:themeColor="text1"/>
          <w:szCs w:val="32"/>
        </w:rPr>
        <w:lastRenderedPageBreak/>
        <w:t>鼓勵優秀的碩士班繼續深造，其實就是在跟產業拔河。在臺灣我們有創造出學術安全感的環境，我相信政府有看到這個問題，這一兩年科技部針對博士班學生有一個安心就學的經費，可以讓博士生安心念博士班，但是名額不多</w:t>
      </w:r>
      <w:r w:rsidR="000E1DA6" w:rsidRPr="008B619A">
        <w:rPr>
          <w:rFonts w:hAnsi="標楷體"/>
          <w:color w:val="000000" w:themeColor="text1"/>
          <w:szCs w:val="32"/>
        </w:rPr>
        <w:t>……</w:t>
      </w:r>
      <w:r w:rsidR="00EA7B09" w:rsidRPr="008B619A">
        <w:rPr>
          <w:rFonts w:hAnsi="標楷體" w:hint="eastAsia"/>
          <w:color w:val="000000" w:themeColor="text1"/>
          <w:szCs w:val="32"/>
        </w:rPr>
        <w:t>教育部分配經費的規定沒有辦法讓每個學校滿意</w:t>
      </w:r>
      <w:r w:rsidR="00255978" w:rsidRPr="008B619A">
        <w:rPr>
          <w:rFonts w:hAnsi="標楷體"/>
          <w:color w:val="000000" w:themeColor="text1"/>
          <w:szCs w:val="32"/>
        </w:rPr>
        <w:t>……</w:t>
      </w:r>
      <w:r w:rsidR="000E1DA6" w:rsidRPr="008B619A">
        <w:rPr>
          <w:rFonts w:hAnsi="標楷體" w:hint="eastAsia"/>
          <w:color w:val="000000" w:themeColor="text1"/>
          <w:szCs w:val="32"/>
        </w:rPr>
        <w:t>」</w:t>
      </w:r>
      <w:r w:rsidR="00EA7B09" w:rsidRPr="008B619A">
        <w:rPr>
          <w:rFonts w:hAnsi="標楷體" w:hint="eastAsia"/>
          <w:color w:val="000000" w:themeColor="text1"/>
          <w:szCs w:val="32"/>
        </w:rPr>
        <w:t>等語。顯示目前在</w:t>
      </w:r>
      <w:r w:rsidR="00840BBF" w:rsidRPr="008B619A">
        <w:rPr>
          <w:rFonts w:hAnsi="標楷體" w:hint="eastAsia"/>
          <w:color w:val="000000" w:themeColor="text1"/>
          <w:szCs w:val="32"/>
        </w:rPr>
        <w:t>政府強化博士就學就業之</w:t>
      </w:r>
      <w:r w:rsidR="00EA7B09" w:rsidRPr="008B619A">
        <w:rPr>
          <w:rFonts w:hAnsi="標楷體" w:hint="eastAsia"/>
          <w:color w:val="000000" w:themeColor="text1"/>
          <w:szCs w:val="32"/>
        </w:rPr>
        <w:t>政策</w:t>
      </w:r>
      <w:r w:rsidR="00E822B6" w:rsidRPr="008B619A">
        <w:rPr>
          <w:rFonts w:hAnsi="標楷體" w:hint="eastAsia"/>
          <w:color w:val="000000" w:themeColor="text1"/>
          <w:szCs w:val="32"/>
        </w:rPr>
        <w:t>實務</w:t>
      </w:r>
      <w:r w:rsidR="00D452EE" w:rsidRPr="008B619A">
        <w:rPr>
          <w:rFonts w:hAnsi="標楷體" w:hint="eastAsia"/>
          <w:color w:val="000000" w:themeColor="text1"/>
          <w:szCs w:val="32"/>
        </w:rPr>
        <w:t>推動上，</w:t>
      </w:r>
      <w:r w:rsidR="00E822B6" w:rsidRPr="008B619A">
        <w:rPr>
          <w:rFonts w:hAnsi="標楷體" w:hint="eastAsia"/>
          <w:color w:val="000000" w:themeColor="text1"/>
          <w:szCs w:val="32"/>
        </w:rPr>
        <w:t>學校</w:t>
      </w:r>
      <w:r w:rsidR="00840BBF" w:rsidRPr="008B619A">
        <w:rPr>
          <w:rFonts w:hAnsi="標楷體" w:hint="eastAsia"/>
          <w:color w:val="000000" w:themeColor="text1"/>
          <w:szCs w:val="32"/>
        </w:rPr>
        <w:t>端</w:t>
      </w:r>
      <w:r w:rsidR="00E822B6" w:rsidRPr="008B619A">
        <w:rPr>
          <w:rFonts w:hAnsi="標楷體" w:hint="eastAsia"/>
          <w:color w:val="000000" w:themeColor="text1"/>
          <w:szCs w:val="32"/>
        </w:rPr>
        <w:t>除憂心量能</w:t>
      </w:r>
      <w:r w:rsidR="00840BBF" w:rsidRPr="008B619A">
        <w:rPr>
          <w:rFonts w:hAnsi="標楷體" w:hint="eastAsia"/>
          <w:color w:val="000000" w:themeColor="text1"/>
          <w:szCs w:val="32"/>
        </w:rPr>
        <w:t>仍有不足</w:t>
      </w:r>
      <w:r w:rsidR="00E822B6" w:rsidRPr="008B619A">
        <w:rPr>
          <w:rFonts w:hAnsi="標楷體" w:hint="eastAsia"/>
          <w:color w:val="000000" w:themeColor="text1"/>
          <w:szCs w:val="32"/>
        </w:rPr>
        <w:t>外，亦</w:t>
      </w:r>
      <w:r w:rsidR="00840BBF" w:rsidRPr="008B619A">
        <w:rPr>
          <w:rFonts w:hAnsi="標楷體" w:hint="eastAsia"/>
          <w:color w:val="000000" w:themeColor="text1"/>
          <w:szCs w:val="32"/>
        </w:rPr>
        <w:t>有資源配置</w:t>
      </w:r>
      <w:r w:rsidR="00C04E0B" w:rsidRPr="008B619A">
        <w:rPr>
          <w:rFonts w:hAnsi="標楷體" w:hint="eastAsia"/>
          <w:color w:val="000000" w:themeColor="text1"/>
          <w:szCs w:val="32"/>
        </w:rPr>
        <w:t>公平</w:t>
      </w:r>
      <w:r w:rsidR="00E822B6" w:rsidRPr="008B619A">
        <w:rPr>
          <w:rFonts w:hAnsi="標楷體" w:hint="eastAsia"/>
          <w:color w:val="000000" w:themeColor="text1"/>
          <w:szCs w:val="32"/>
        </w:rPr>
        <w:t>之</w:t>
      </w:r>
      <w:r w:rsidR="00840BBF" w:rsidRPr="008B619A">
        <w:rPr>
          <w:rFonts w:hAnsi="標楷體" w:hint="eastAsia"/>
          <w:color w:val="000000" w:themeColor="text1"/>
          <w:szCs w:val="32"/>
        </w:rPr>
        <w:t>疑慮</w:t>
      </w:r>
      <w:r w:rsidR="00E822B6" w:rsidRPr="008B619A">
        <w:rPr>
          <w:rFonts w:hAnsi="標楷體" w:hint="eastAsia"/>
          <w:color w:val="000000" w:themeColor="text1"/>
          <w:szCs w:val="32"/>
        </w:rPr>
        <w:t>，可謂</w:t>
      </w:r>
      <w:r w:rsidR="0023725C" w:rsidRPr="008B619A">
        <w:rPr>
          <w:rFonts w:hAnsi="標楷體" w:hint="eastAsia"/>
          <w:color w:val="000000" w:themeColor="text1"/>
          <w:szCs w:val="32"/>
        </w:rPr>
        <w:t>既</w:t>
      </w:r>
      <w:r w:rsidR="00E822B6" w:rsidRPr="008B619A">
        <w:rPr>
          <w:rFonts w:hAnsi="標楷體" w:hint="eastAsia"/>
          <w:color w:val="000000" w:themeColor="text1"/>
          <w:szCs w:val="32"/>
        </w:rPr>
        <w:t>患寡又患不均。</w:t>
      </w:r>
    </w:p>
    <w:p w14:paraId="5332F932" w14:textId="261895D3" w:rsidR="00283561" w:rsidRPr="008B619A" w:rsidRDefault="008510D1" w:rsidP="00437710">
      <w:pPr>
        <w:pStyle w:val="3"/>
        <w:rPr>
          <w:color w:val="000000" w:themeColor="text1"/>
          <w:sz w:val="24"/>
          <w:szCs w:val="24"/>
        </w:rPr>
      </w:pPr>
      <w:r w:rsidRPr="008B619A">
        <w:rPr>
          <w:rFonts w:hint="eastAsia"/>
          <w:color w:val="000000" w:themeColor="text1"/>
        </w:rPr>
        <w:t>綜上</w:t>
      </w:r>
      <w:r w:rsidR="00896588" w:rsidRPr="008B619A">
        <w:rPr>
          <w:rFonts w:hint="eastAsia"/>
          <w:color w:val="000000" w:themeColor="text1"/>
        </w:rPr>
        <w:t>論述，研究主要國家推動博士人才培育及就業之國際比較趨勢，美</w:t>
      </w:r>
      <w:r w:rsidR="00896588" w:rsidRPr="008B619A">
        <w:rPr>
          <w:rFonts w:hAnsi="標楷體" w:hint="eastAsia"/>
          <w:color w:val="000000" w:themeColor="text1"/>
        </w:rPr>
        <w:t>、</w:t>
      </w:r>
      <w:r w:rsidR="00896588" w:rsidRPr="008B619A">
        <w:rPr>
          <w:rFonts w:hint="eastAsia"/>
          <w:color w:val="000000" w:themeColor="text1"/>
        </w:rPr>
        <w:t>英等國均面臨博士依學門領域別而有不同未充分就業情形之挑戰，亞洲以日本及新加坡為例，亦分別透過國家資源強力挹注於提升高階人才之就學及就業，並力求相關數據分析及資訊透明；值此之際，我國亦刻正持續配合產業與國家政策，推動各項博士學研人才培育及就業之措施，惟宜再參酌擷取部分先進國家之發展經驗及特色，強化高階人才對接力道，如整合博士專職研究人力、提供更優渥之績優或重點科學領域之博士獎學金、擴大人文社會等領域之公費留學生獎學金政策、鏈結產業合作夥伴等媒合系統、拓展與國際科技大廠或知名科研機構、國際知名學校之實習機會等，以厚植我國優質高教環境，促使高階人才投入社會多元領域，暢通國內外人才良性流動機制，以完善博士人才及產業結構之發展循環，提升整體國家競爭力</w:t>
      </w:r>
      <w:r w:rsidRPr="008B619A">
        <w:rPr>
          <w:rFonts w:hint="eastAsia"/>
          <w:color w:val="000000" w:themeColor="text1"/>
        </w:rPr>
        <w:t>。</w:t>
      </w:r>
    </w:p>
    <w:bookmarkEnd w:id="43"/>
    <w:bookmarkEnd w:id="44"/>
    <w:bookmarkEnd w:id="45"/>
    <w:bookmarkEnd w:id="46"/>
    <w:p w14:paraId="3004C5C6" w14:textId="77777777" w:rsidR="005B5FAE" w:rsidRDefault="005B5FAE" w:rsidP="00F205F8">
      <w:pPr>
        <w:spacing w:afterLines="50" w:after="228"/>
        <w:jc w:val="center"/>
        <w:rPr>
          <w:color w:val="000000" w:themeColor="text1"/>
        </w:rPr>
      </w:pPr>
    </w:p>
    <w:p w14:paraId="2E3C44D8" w14:textId="77777777" w:rsidR="00B553C5" w:rsidRDefault="00B553C5" w:rsidP="00F205F8">
      <w:pPr>
        <w:spacing w:afterLines="50" w:after="228"/>
        <w:jc w:val="center"/>
        <w:rPr>
          <w:color w:val="000000" w:themeColor="text1"/>
        </w:rPr>
      </w:pPr>
    </w:p>
    <w:p w14:paraId="5929DBBF" w14:textId="77777777" w:rsidR="00B553C5" w:rsidRPr="008B619A" w:rsidRDefault="00B553C5" w:rsidP="00F205F8">
      <w:pPr>
        <w:spacing w:afterLines="50" w:after="228"/>
        <w:jc w:val="center"/>
        <w:rPr>
          <w:rFonts w:hint="eastAsia"/>
          <w:color w:val="000000" w:themeColor="text1"/>
        </w:rPr>
      </w:pPr>
      <w:bookmarkStart w:id="88" w:name="_GoBack"/>
      <w:bookmarkEnd w:id="88"/>
    </w:p>
    <w:p w14:paraId="5E0B16F4" w14:textId="0B02073B" w:rsidR="005B5FAE" w:rsidRPr="008B619A" w:rsidRDefault="00CE5169" w:rsidP="005B5FAE">
      <w:pPr>
        <w:spacing w:beforeLines="50" w:before="228" w:afterLines="50" w:after="228"/>
        <w:jc w:val="center"/>
        <w:rPr>
          <w:b/>
          <w:color w:val="000000" w:themeColor="text1"/>
        </w:rPr>
      </w:pPr>
      <w:r w:rsidRPr="008B619A">
        <w:rPr>
          <w:rFonts w:hint="eastAsia"/>
          <w:b/>
          <w:color w:val="000000" w:themeColor="text1"/>
        </w:rPr>
        <w:lastRenderedPageBreak/>
        <w:t>調查研究委員：</w:t>
      </w:r>
      <w:r w:rsidR="005B5FAE" w:rsidRPr="008B619A">
        <w:rPr>
          <w:rFonts w:hint="eastAsia"/>
          <w:b/>
          <w:color w:val="000000" w:themeColor="text1"/>
        </w:rPr>
        <w:t>賴鼎銘</w:t>
      </w:r>
    </w:p>
    <w:p w14:paraId="6A7C70DF" w14:textId="0DDB1036" w:rsidR="005B5FAE" w:rsidRPr="008B619A" w:rsidRDefault="005B5FAE" w:rsidP="005B5FAE">
      <w:pPr>
        <w:spacing w:beforeLines="50" w:before="228" w:afterLines="50" w:after="228"/>
        <w:jc w:val="center"/>
        <w:rPr>
          <w:b/>
          <w:color w:val="000000" w:themeColor="text1"/>
        </w:rPr>
      </w:pPr>
      <w:r w:rsidRPr="008B619A">
        <w:rPr>
          <w:rFonts w:hint="eastAsia"/>
          <w:b/>
          <w:color w:val="000000" w:themeColor="text1"/>
        </w:rPr>
        <w:t xml:space="preserve">             </w:t>
      </w:r>
      <w:r w:rsidR="009D72EC" w:rsidRPr="008B619A">
        <w:rPr>
          <w:rFonts w:hint="eastAsia"/>
          <w:b/>
          <w:color w:val="000000" w:themeColor="text1"/>
        </w:rPr>
        <w:t xml:space="preserve"> </w:t>
      </w:r>
      <w:r w:rsidRPr="008B619A">
        <w:rPr>
          <w:rFonts w:hint="eastAsia"/>
          <w:b/>
          <w:color w:val="000000" w:themeColor="text1"/>
        </w:rPr>
        <w:t>賴振昌</w:t>
      </w:r>
    </w:p>
    <w:p w14:paraId="4302F9DF" w14:textId="2E4C6E2E" w:rsidR="005B5FAE" w:rsidRPr="008B619A" w:rsidRDefault="009D72EC" w:rsidP="005B5FAE">
      <w:pPr>
        <w:spacing w:beforeLines="50" w:before="228" w:afterLines="50" w:after="228"/>
        <w:jc w:val="center"/>
        <w:rPr>
          <w:b/>
          <w:color w:val="000000" w:themeColor="text1"/>
        </w:rPr>
      </w:pPr>
      <w:r w:rsidRPr="008B619A">
        <w:rPr>
          <w:rFonts w:hint="eastAsia"/>
          <w:b/>
          <w:color w:val="000000" w:themeColor="text1"/>
        </w:rPr>
        <w:t xml:space="preserve">              </w:t>
      </w:r>
      <w:r w:rsidR="005B5FAE" w:rsidRPr="008B619A">
        <w:rPr>
          <w:rFonts w:hint="eastAsia"/>
          <w:b/>
          <w:color w:val="000000" w:themeColor="text1"/>
        </w:rPr>
        <w:t>鴻義章</w:t>
      </w:r>
    </w:p>
    <w:p w14:paraId="6438B833" w14:textId="08883AB2" w:rsidR="005B5FAE" w:rsidRPr="008B619A" w:rsidRDefault="009D72EC" w:rsidP="005B5FAE">
      <w:pPr>
        <w:spacing w:beforeLines="50" w:before="228" w:afterLines="50" w:after="228"/>
        <w:jc w:val="center"/>
        <w:rPr>
          <w:b/>
          <w:color w:val="000000" w:themeColor="text1"/>
        </w:rPr>
      </w:pPr>
      <w:r w:rsidRPr="008B619A">
        <w:rPr>
          <w:rFonts w:hint="eastAsia"/>
          <w:b/>
          <w:color w:val="000000" w:themeColor="text1"/>
        </w:rPr>
        <w:t xml:space="preserve">              </w:t>
      </w:r>
      <w:r w:rsidR="005B5FAE" w:rsidRPr="008B619A">
        <w:rPr>
          <w:rFonts w:hint="eastAsia"/>
          <w:b/>
          <w:color w:val="000000" w:themeColor="text1"/>
        </w:rPr>
        <w:t>蘇麗瓊</w:t>
      </w:r>
    </w:p>
    <w:p w14:paraId="6EFF74B6" w14:textId="233DF10B" w:rsidR="005B5FAE" w:rsidRPr="008B619A" w:rsidRDefault="009D72EC" w:rsidP="005B5FAE">
      <w:pPr>
        <w:spacing w:beforeLines="50" w:before="228" w:afterLines="50" w:after="228"/>
        <w:jc w:val="center"/>
        <w:rPr>
          <w:b/>
          <w:color w:val="000000" w:themeColor="text1"/>
        </w:rPr>
      </w:pPr>
      <w:r w:rsidRPr="008B619A">
        <w:rPr>
          <w:rFonts w:hint="eastAsia"/>
          <w:b/>
          <w:color w:val="000000" w:themeColor="text1"/>
        </w:rPr>
        <w:t xml:space="preserve">              </w:t>
      </w:r>
      <w:r w:rsidR="005B5FAE" w:rsidRPr="008B619A">
        <w:rPr>
          <w:rFonts w:hint="eastAsia"/>
          <w:b/>
          <w:color w:val="000000" w:themeColor="text1"/>
        </w:rPr>
        <w:t>蕭自佑</w:t>
      </w:r>
    </w:p>
    <w:p w14:paraId="592D5171" w14:textId="1A55092B" w:rsidR="005B5FAE" w:rsidRPr="008B619A" w:rsidRDefault="009D72EC" w:rsidP="005B5FAE">
      <w:pPr>
        <w:spacing w:beforeLines="50" w:before="228" w:afterLines="50" w:after="228"/>
        <w:jc w:val="center"/>
        <w:rPr>
          <w:b/>
          <w:color w:val="000000" w:themeColor="text1"/>
        </w:rPr>
      </w:pPr>
      <w:r w:rsidRPr="008B619A">
        <w:rPr>
          <w:rFonts w:hint="eastAsia"/>
          <w:b/>
          <w:color w:val="000000" w:themeColor="text1"/>
        </w:rPr>
        <w:t xml:space="preserve">              </w:t>
      </w:r>
      <w:r w:rsidR="005B5FAE" w:rsidRPr="008B619A">
        <w:rPr>
          <w:rFonts w:hint="eastAsia"/>
          <w:b/>
          <w:color w:val="000000" w:themeColor="text1"/>
        </w:rPr>
        <w:t>范巽綠</w:t>
      </w:r>
    </w:p>
    <w:p w14:paraId="5E5A2F13" w14:textId="1EAF5342" w:rsidR="005B5FAE" w:rsidRPr="008B619A" w:rsidRDefault="009D72EC" w:rsidP="005B5FAE">
      <w:pPr>
        <w:spacing w:beforeLines="50" w:before="228" w:afterLines="50" w:after="228"/>
        <w:jc w:val="center"/>
        <w:rPr>
          <w:b/>
          <w:color w:val="000000" w:themeColor="text1"/>
        </w:rPr>
      </w:pPr>
      <w:r w:rsidRPr="008B619A">
        <w:rPr>
          <w:rFonts w:hint="eastAsia"/>
          <w:b/>
          <w:color w:val="000000" w:themeColor="text1"/>
        </w:rPr>
        <w:t xml:space="preserve">              </w:t>
      </w:r>
      <w:r w:rsidR="005B5FAE" w:rsidRPr="008B619A">
        <w:rPr>
          <w:rFonts w:hint="eastAsia"/>
          <w:b/>
          <w:color w:val="000000" w:themeColor="text1"/>
        </w:rPr>
        <w:t>浦忠成</w:t>
      </w:r>
    </w:p>
    <w:p w14:paraId="7FFB8DFC" w14:textId="77777777" w:rsidR="005B5FAE" w:rsidRPr="008B619A" w:rsidRDefault="005B5FAE" w:rsidP="00CF0843">
      <w:pPr>
        <w:spacing w:beforeLines="50" w:before="228" w:afterLines="50" w:after="228"/>
        <w:jc w:val="center"/>
        <w:rPr>
          <w:b/>
          <w:color w:val="000000" w:themeColor="text1"/>
        </w:rPr>
      </w:pPr>
    </w:p>
    <w:sectPr w:rsidR="005B5FAE" w:rsidRPr="008B619A" w:rsidSect="00CF0843">
      <w:footerReference w:type="default" r:id="rId22"/>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1AE1E1" w14:textId="77777777" w:rsidR="00225755" w:rsidRDefault="00225755">
      <w:r>
        <w:separator/>
      </w:r>
    </w:p>
  </w:endnote>
  <w:endnote w:type="continuationSeparator" w:id="0">
    <w:p w14:paraId="160D46F5" w14:textId="77777777" w:rsidR="00225755" w:rsidRDefault="002257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altName w:val="DF Kai Shu"/>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微軟正黑體"/>
    <w:panose1 w:val="03000500000000000000"/>
    <w:charset w:val="88"/>
    <w:family w:val="script"/>
    <w:pitch w:val="variable"/>
    <w:sig w:usb0="800002E3"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Mangal">
    <w:panose1 w:val="00000400000000000000"/>
    <w:charset w:val="01"/>
    <w:family w:val="roman"/>
    <w:notTrueType/>
    <w:pitch w:val="variable"/>
    <w:sig w:usb0="00002000" w:usb1="00000000" w:usb2="00000000" w:usb3="00000000" w:csb0="00000000" w:csb1="00000000"/>
  </w:font>
  <w:font w:name="微軟正黑體">
    <w:panose1 w:val="020B0604030504040204"/>
    <w:charset w:val="88"/>
    <w:family w:val="swiss"/>
    <w:pitch w:val="variable"/>
    <w:sig w:usb0="000002A7" w:usb1="28CF4400" w:usb2="00000016" w:usb3="00000000" w:csb0="00100009" w:csb1="00000000"/>
  </w:font>
  <w:font w:name="TimesNewRoman">
    <w:altName w:val="Times New Roman"/>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92971080"/>
      <w:docPartObj>
        <w:docPartGallery w:val="Page Numbers (Bottom of Page)"/>
        <w:docPartUnique/>
      </w:docPartObj>
    </w:sdtPr>
    <w:sdtEndPr/>
    <w:sdtContent>
      <w:p w14:paraId="4B539019" w14:textId="7EA77063" w:rsidR="008B5814" w:rsidRDefault="008B5814" w:rsidP="008B5814">
        <w:pPr>
          <w:pStyle w:val="af6"/>
          <w:jc w:val="center"/>
        </w:pPr>
        <w:r>
          <w:fldChar w:fldCharType="begin"/>
        </w:r>
        <w:r>
          <w:instrText>PAGE   \* MERGEFORMAT</w:instrText>
        </w:r>
        <w:r>
          <w:fldChar w:fldCharType="separate"/>
        </w:r>
        <w:r w:rsidR="00B553C5" w:rsidRPr="00B553C5">
          <w:rPr>
            <w:noProof/>
            <w:lang w:val="zh-TW"/>
          </w:rPr>
          <w:t>115</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D762FA" w14:textId="77777777" w:rsidR="00225755" w:rsidRDefault="00225755">
      <w:r>
        <w:separator/>
      </w:r>
    </w:p>
  </w:footnote>
  <w:footnote w:type="continuationSeparator" w:id="0">
    <w:p w14:paraId="6FD23475" w14:textId="77777777" w:rsidR="00225755" w:rsidRDefault="00225755">
      <w:r>
        <w:continuationSeparator/>
      </w:r>
    </w:p>
  </w:footnote>
  <w:footnote w:id="1">
    <w:p w14:paraId="36245EA2" w14:textId="4E3325A3" w:rsidR="008B5814" w:rsidRPr="008B619A" w:rsidRDefault="008B5814" w:rsidP="007A31C5">
      <w:pPr>
        <w:pStyle w:val="aff"/>
        <w:ind w:left="222" w:hangingChars="101" w:hanging="222"/>
        <w:jc w:val="both"/>
        <w:rPr>
          <w:rFonts w:ascii="標楷體" w:eastAsia="標楷體" w:hAnsi="標楷體"/>
          <w:color w:val="000000" w:themeColor="text1"/>
        </w:rPr>
      </w:pPr>
      <w:r w:rsidRPr="008B619A">
        <w:rPr>
          <w:rStyle w:val="aff1"/>
          <w:color w:val="000000" w:themeColor="text1"/>
        </w:rPr>
        <w:footnoteRef/>
      </w:r>
      <w:r w:rsidRPr="008B619A">
        <w:rPr>
          <w:rFonts w:hAnsi="標楷體" w:hint="eastAsia"/>
          <w:color w:val="000000" w:themeColor="text1"/>
          <w:szCs w:val="32"/>
        </w:rPr>
        <w:t xml:space="preserve"> </w:t>
      </w:r>
      <w:r w:rsidRPr="008B619A">
        <w:rPr>
          <w:rFonts w:ascii="標楷體" w:eastAsia="標楷體" w:hAnsi="標楷體" w:hint="eastAsia"/>
          <w:color w:val="000000" w:themeColor="text1"/>
        </w:rPr>
        <w:t>相關文號如下：教育部109年10月7日臺教高（一）字第1090141227號函、109年11月5日臺教高（一）字第1090157117號函、國家發展委員會1</w:t>
      </w:r>
      <w:r w:rsidRPr="008B619A">
        <w:rPr>
          <w:rFonts w:ascii="標楷體" w:eastAsia="標楷體" w:hAnsi="標楷體"/>
          <w:color w:val="000000" w:themeColor="text1"/>
        </w:rPr>
        <w:t>09</w:t>
      </w:r>
      <w:r w:rsidRPr="008B619A">
        <w:rPr>
          <w:rFonts w:ascii="標楷體" w:eastAsia="標楷體" w:hAnsi="標楷體" w:hint="eastAsia"/>
          <w:color w:val="000000" w:themeColor="text1"/>
        </w:rPr>
        <w:t>年10月8日發力字第1091100952號函、科技部109年10月13日科部科字第1090059425號函大陸委員會1</w:t>
      </w:r>
      <w:r w:rsidRPr="008B619A">
        <w:rPr>
          <w:rFonts w:ascii="標楷體" w:eastAsia="標楷體" w:hAnsi="標楷體"/>
          <w:color w:val="000000" w:themeColor="text1"/>
        </w:rPr>
        <w:t>09</w:t>
      </w:r>
      <w:r w:rsidRPr="008B619A">
        <w:rPr>
          <w:rFonts w:ascii="標楷體" w:eastAsia="標楷體" w:hAnsi="標楷體" w:hint="eastAsia"/>
          <w:color w:val="000000" w:themeColor="text1"/>
        </w:rPr>
        <w:t>年10月13日陸文字第1099910269號函、行政院主計總處109年9月30日主普薪字第1090015605號函、勞動部109年10月7日勞動粽3字第1090156468號函、考選部109年9月26日選統字第1090004331號函、外交部109年10月14日外國會二字第10951507450號函、科技部109年10月13日科部科字第1090059425號函。</w:t>
      </w:r>
    </w:p>
  </w:footnote>
  <w:footnote w:id="2">
    <w:p w14:paraId="1C070767" w14:textId="77777777" w:rsidR="008B5814" w:rsidRPr="008B619A" w:rsidRDefault="008B5814" w:rsidP="00512C6D">
      <w:pPr>
        <w:pStyle w:val="aff"/>
        <w:rPr>
          <w:color w:val="000000" w:themeColor="text1"/>
        </w:rPr>
      </w:pPr>
      <w:r w:rsidRPr="008B619A">
        <w:rPr>
          <w:rStyle w:val="aff1"/>
          <w:color w:val="000000" w:themeColor="text1"/>
        </w:rPr>
        <w:footnoteRef/>
      </w:r>
      <w:r w:rsidRPr="008B619A">
        <w:rPr>
          <w:color w:val="000000" w:themeColor="text1"/>
        </w:rPr>
        <w:t xml:space="preserve"> </w:t>
      </w:r>
      <w:r w:rsidRPr="008B619A">
        <w:rPr>
          <w:rFonts w:ascii="標楷體" w:eastAsia="標楷體" w:hAnsi="標楷體" w:hint="eastAsia"/>
          <w:color w:val="000000" w:themeColor="text1"/>
        </w:rPr>
        <w:t>本研究涉國際比較性質、涉外事務及人口(力)推估資料以公元紀年，餘均以民國紀年。</w:t>
      </w:r>
    </w:p>
  </w:footnote>
  <w:footnote w:id="3">
    <w:p w14:paraId="1939E9F9" w14:textId="77777777" w:rsidR="008B5814" w:rsidRPr="008B619A" w:rsidRDefault="008B5814" w:rsidP="00BE75FD">
      <w:pPr>
        <w:pStyle w:val="aff"/>
        <w:kinsoku w:val="0"/>
        <w:spacing w:line="240" w:lineRule="exact"/>
        <w:ind w:left="196" w:hangingChars="89" w:hanging="196"/>
        <w:jc w:val="both"/>
        <w:rPr>
          <w:color w:val="000000" w:themeColor="text1"/>
        </w:rPr>
      </w:pPr>
      <w:r w:rsidRPr="008B619A">
        <w:rPr>
          <w:rStyle w:val="aff1"/>
          <w:color w:val="000000" w:themeColor="text1"/>
        </w:rPr>
        <w:footnoteRef/>
      </w:r>
      <w:r w:rsidRPr="008B619A">
        <w:rPr>
          <w:color w:val="000000" w:themeColor="text1"/>
        </w:rPr>
        <w:t xml:space="preserve"> </w:t>
      </w:r>
      <w:r w:rsidRPr="008B619A">
        <w:rPr>
          <w:rFonts w:ascii="標楷體" w:eastAsia="標楷體" w:hAnsi="標楷體" w:hint="eastAsia"/>
          <w:color w:val="000000" w:themeColor="text1"/>
          <w:szCs w:val="32"/>
        </w:rPr>
        <w:t>國立交通大學與國立陽明大學自110年2月1日起合併為「國立陽明交通大學」。</w:t>
      </w:r>
    </w:p>
  </w:footnote>
  <w:footnote w:id="4">
    <w:p w14:paraId="4CC4D4F3" w14:textId="79FA35AA" w:rsidR="008B5814" w:rsidRPr="008B619A" w:rsidRDefault="008B5814" w:rsidP="0030453E">
      <w:pPr>
        <w:pStyle w:val="aff"/>
        <w:ind w:left="222" w:hangingChars="101" w:hanging="222"/>
        <w:jc w:val="both"/>
        <w:rPr>
          <w:color w:val="000000" w:themeColor="text1"/>
        </w:rPr>
      </w:pPr>
      <w:r w:rsidRPr="008B619A">
        <w:rPr>
          <w:rStyle w:val="aff1"/>
          <w:color w:val="000000" w:themeColor="text1"/>
        </w:rPr>
        <w:footnoteRef/>
      </w:r>
      <w:r w:rsidRPr="008B619A">
        <w:rPr>
          <w:rFonts w:ascii="標楷體" w:eastAsia="標楷體" w:hAnsi="標楷體" w:hint="eastAsia"/>
          <w:color w:val="000000" w:themeColor="text1"/>
          <w:szCs w:val="32"/>
        </w:rPr>
        <w:t xml:space="preserve"> 原「私立勤益工商專科學校」於81年改隸教育部，更名為「國立勤益工商專科學校」，88年改制「國立勤益技術學院」，於</w:t>
      </w:r>
      <w:r w:rsidRPr="008B619A">
        <w:rPr>
          <w:rFonts w:ascii="標楷體" w:eastAsia="標楷體" w:hAnsi="標楷體"/>
          <w:color w:val="000000" w:themeColor="text1"/>
          <w:szCs w:val="32"/>
        </w:rPr>
        <w:t>96</w:t>
      </w:r>
      <w:r w:rsidRPr="008B619A">
        <w:rPr>
          <w:rFonts w:ascii="標楷體" w:eastAsia="標楷體" w:hAnsi="標楷體" w:hint="eastAsia"/>
          <w:color w:val="000000" w:themeColor="text1"/>
          <w:szCs w:val="32"/>
        </w:rPr>
        <w:t>年正式</w:t>
      </w:r>
      <w:r w:rsidRPr="008B619A">
        <w:rPr>
          <w:rFonts w:ascii="標楷體" w:eastAsia="標楷體" w:hAnsi="標楷體"/>
          <w:color w:val="000000" w:themeColor="text1"/>
          <w:szCs w:val="32"/>
        </w:rPr>
        <w:t>改名為「國立勤益科技大學」</w:t>
      </w:r>
      <w:r w:rsidRPr="008B619A">
        <w:rPr>
          <w:rFonts w:ascii="標楷體" w:eastAsia="標楷體" w:hAnsi="標楷體" w:hint="eastAsia"/>
          <w:color w:val="000000" w:themeColor="text1"/>
          <w:szCs w:val="32"/>
        </w:rPr>
        <w:t>。</w:t>
      </w:r>
    </w:p>
  </w:footnote>
  <w:footnote w:id="5">
    <w:p w14:paraId="77E60A1B" w14:textId="0D2D065B" w:rsidR="008B5814" w:rsidRPr="008B619A" w:rsidRDefault="008B5814" w:rsidP="00754853">
      <w:pPr>
        <w:pStyle w:val="aff"/>
        <w:wordWrap w:val="0"/>
        <w:ind w:left="284" w:hangingChars="129" w:hanging="284"/>
        <w:rPr>
          <w:rFonts w:ascii="Times New Roman" w:eastAsia="標楷體" w:hAnsi="Times New Roman" w:cs="Times New Roman"/>
          <w:color w:val="000000" w:themeColor="text1"/>
          <w:szCs w:val="32"/>
        </w:rPr>
      </w:pPr>
      <w:r w:rsidRPr="008B619A">
        <w:rPr>
          <w:rStyle w:val="aff1"/>
          <w:color w:val="000000" w:themeColor="text1"/>
        </w:rPr>
        <w:footnoteRef/>
      </w:r>
      <w:r w:rsidRPr="008B619A">
        <w:rPr>
          <w:rFonts w:ascii="標楷體" w:eastAsia="標楷體" w:hAnsi="標楷體"/>
          <w:color w:val="000000" w:themeColor="text1"/>
        </w:rPr>
        <w:t xml:space="preserve"> </w:t>
      </w:r>
      <w:r w:rsidRPr="008B619A">
        <w:rPr>
          <w:rFonts w:ascii="標楷體" w:eastAsia="標楷體" w:hAnsi="標楷體" w:hint="eastAsia"/>
          <w:color w:val="000000" w:themeColor="text1"/>
        </w:rPr>
        <w:t>內政部戶政司（無日期）。</w:t>
      </w:r>
      <w:r w:rsidRPr="008B619A">
        <w:rPr>
          <w:rFonts w:ascii="標楷體" w:eastAsia="標楷體" w:hAnsi="標楷體" w:hint="eastAsia"/>
          <w:b/>
          <w:bCs/>
          <w:color w:val="000000" w:themeColor="text1"/>
        </w:rPr>
        <w:t>未來人口推估</w:t>
      </w:r>
      <w:r w:rsidRPr="008B619A">
        <w:rPr>
          <w:rFonts w:ascii="標楷體" w:eastAsia="標楷體" w:hAnsi="標楷體" w:hint="eastAsia"/>
          <w:color w:val="000000" w:themeColor="text1"/>
        </w:rPr>
        <w:t>。110年，取自</w:t>
      </w:r>
      <w:r w:rsidRPr="008B619A">
        <w:rPr>
          <w:rFonts w:ascii="Times New Roman" w:eastAsia="標楷體" w:hAnsi="Times New Roman" w:cs="Times New Roman"/>
          <w:color w:val="000000" w:themeColor="text1"/>
          <w:szCs w:val="32"/>
        </w:rPr>
        <w:t>https://www.ris.gov.tw/app/portal/673</w:t>
      </w:r>
    </w:p>
  </w:footnote>
  <w:footnote w:id="6">
    <w:p w14:paraId="4D56E512" w14:textId="77777777" w:rsidR="008B5814" w:rsidRPr="008B619A" w:rsidRDefault="008B5814" w:rsidP="00860285">
      <w:pPr>
        <w:pStyle w:val="aff"/>
        <w:ind w:left="284" w:hangingChars="129" w:hanging="284"/>
        <w:jc w:val="both"/>
        <w:rPr>
          <w:color w:val="000000" w:themeColor="text1"/>
        </w:rPr>
      </w:pPr>
      <w:r w:rsidRPr="008B619A">
        <w:rPr>
          <w:rStyle w:val="aff1"/>
          <w:color w:val="000000" w:themeColor="text1"/>
        </w:rPr>
        <w:footnoteRef/>
      </w:r>
      <w:r w:rsidRPr="008B619A">
        <w:rPr>
          <w:color w:val="000000" w:themeColor="text1"/>
        </w:rPr>
        <w:t xml:space="preserve"> </w:t>
      </w:r>
      <w:r w:rsidRPr="008B619A">
        <w:rPr>
          <w:rFonts w:ascii="標楷體" w:eastAsia="標楷體" w:hAnsi="標楷體" w:hint="eastAsia"/>
          <w:color w:val="000000" w:themeColor="text1"/>
        </w:rPr>
        <w:t>由於出生數是決定未來人口數量之關鍵因素，因此國發會於生育率推估模型中，設定高、中、低3種情境，並配合單一情境下之死亡及遷徙未來推估數，得到未來高、中、低推估之人口數。該會參考各國對於未來生育率之設定，高推估係假設國人對於生養下一代之意願提升，扭轉生育率下降趨勢；中推估則假設總生育率維持當前水準，主要係因我國長期處於超低生育率水準，假設在慣性效果之下，政府相關政策僅能終止生育率下滑趨勢，難以反轉回升；低推估則係假設國人晚婚、遲育及不婚、不育之現象持續存在，生育率仍將持續下降。</w:t>
      </w:r>
    </w:p>
  </w:footnote>
  <w:footnote w:id="7">
    <w:p w14:paraId="383A7402" w14:textId="6D5E007C" w:rsidR="008B5814" w:rsidRPr="008B619A" w:rsidRDefault="008B5814" w:rsidP="00852EFE">
      <w:pPr>
        <w:pStyle w:val="aff"/>
        <w:wordWrap w:val="0"/>
        <w:ind w:left="284" w:hangingChars="129" w:hanging="284"/>
        <w:rPr>
          <w:color w:val="000000" w:themeColor="text1"/>
        </w:rPr>
      </w:pPr>
      <w:r w:rsidRPr="008B619A">
        <w:rPr>
          <w:rStyle w:val="aff1"/>
          <w:color w:val="000000" w:themeColor="text1"/>
        </w:rPr>
        <w:footnoteRef/>
      </w:r>
      <w:r w:rsidRPr="008B619A">
        <w:rPr>
          <w:color w:val="000000" w:themeColor="text1"/>
        </w:rPr>
        <w:t xml:space="preserve"> </w:t>
      </w:r>
      <w:r w:rsidRPr="008B619A">
        <w:rPr>
          <w:rFonts w:ascii="標楷體" w:eastAsia="標楷體" w:hAnsi="標楷體" w:hint="eastAsia"/>
          <w:color w:val="000000" w:themeColor="text1"/>
        </w:rPr>
        <w:t>國際上將65歲以上人口占總人口比率達到7%、14%及20%，分別稱為高齡化社會、高齡社會及超高齡社會。資料來源:</w:t>
      </w:r>
      <w:r w:rsidRPr="008B619A">
        <w:rPr>
          <w:rFonts w:hint="eastAsia"/>
          <w:color w:val="000000" w:themeColor="text1"/>
        </w:rPr>
        <w:t xml:space="preserve"> </w:t>
      </w:r>
      <w:r w:rsidRPr="008B619A">
        <w:rPr>
          <w:rFonts w:ascii="標楷體" w:eastAsia="標楷體" w:hAnsi="標楷體" w:hint="eastAsia"/>
          <w:color w:val="000000" w:themeColor="text1"/>
        </w:rPr>
        <w:t>國發會「中華民國人口推估（2020至2070年）。</w:t>
      </w:r>
    </w:p>
  </w:footnote>
  <w:footnote w:id="8">
    <w:p w14:paraId="39BB9357" w14:textId="77777777" w:rsidR="008B5814" w:rsidRPr="008B619A" w:rsidRDefault="008B5814" w:rsidP="00D65ECF">
      <w:pPr>
        <w:pStyle w:val="aff"/>
        <w:rPr>
          <w:rFonts w:ascii="標楷體" w:eastAsia="標楷體" w:hAnsi="標楷體"/>
          <w:color w:val="000000" w:themeColor="text1"/>
        </w:rPr>
      </w:pPr>
      <w:r w:rsidRPr="008B619A">
        <w:rPr>
          <w:rStyle w:val="aff1"/>
          <w:color w:val="000000" w:themeColor="text1"/>
        </w:rPr>
        <w:footnoteRef/>
      </w:r>
      <w:r w:rsidRPr="008B619A">
        <w:rPr>
          <w:rStyle w:val="aff1"/>
          <w:rFonts w:hint="eastAsia"/>
          <w:color w:val="000000" w:themeColor="text1"/>
        </w:rPr>
        <w:t xml:space="preserve"> </w:t>
      </w:r>
      <w:r w:rsidRPr="008B619A">
        <w:rPr>
          <w:rFonts w:ascii="標楷體" w:eastAsia="標楷體" w:hAnsi="標楷體" w:hint="eastAsia"/>
          <w:color w:val="000000" w:themeColor="text1"/>
        </w:rPr>
        <w:t>1.粗在學率＝各該級教育學生人數÷各該相當學齡人口數 × 100%。</w:t>
      </w:r>
    </w:p>
    <w:p w14:paraId="6C10390F" w14:textId="77777777" w:rsidR="008B5814" w:rsidRPr="008B619A" w:rsidRDefault="008B5814" w:rsidP="001A5BD3">
      <w:pPr>
        <w:pStyle w:val="aff"/>
        <w:ind w:leftChars="8" w:left="452" w:hangingChars="193" w:hanging="425"/>
        <w:jc w:val="both"/>
        <w:rPr>
          <w:rFonts w:ascii="標楷體" w:eastAsia="標楷體" w:hAnsi="標楷體"/>
          <w:color w:val="000000" w:themeColor="text1"/>
        </w:rPr>
      </w:pPr>
      <w:r w:rsidRPr="008B619A">
        <w:rPr>
          <w:rFonts w:ascii="標楷體" w:eastAsia="標楷體" w:hAnsi="標楷體" w:hint="eastAsia"/>
          <w:color w:val="000000" w:themeColor="text1"/>
        </w:rPr>
        <w:t xml:space="preserve">  2.高等教育粗在學率包含宗教研修學院學生數，但不包含研究所及進修學校學生數，總在學率範圍亦同。</w:t>
      </w:r>
    </w:p>
  </w:footnote>
  <w:footnote w:id="9">
    <w:p w14:paraId="4E69B5C4" w14:textId="77777777" w:rsidR="008B5814" w:rsidRPr="008B619A" w:rsidRDefault="008B5814" w:rsidP="00BD2A99">
      <w:pPr>
        <w:pStyle w:val="aff"/>
        <w:wordWrap w:val="0"/>
        <w:ind w:left="284" w:hangingChars="129" w:hanging="284"/>
        <w:rPr>
          <w:color w:val="000000" w:themeColor="text1"/>
        </w:rPr>
      </w:pPr>
      <w:r w:rsidRPr="008B619A">
        <w:rPr>
          <w:rStyle w:val="aff1"/>
          <w:color w:val="000000" w:themeColor="text1"/>
        </w:rPr>
        <w:footnoteRef/>
      </w:r>
      <w:r w:rsidRPr="008B619A">
        <w:rPr>
          <w:rStyle w:val="aff1"/>
          <w:color w:val="000000" w:themeColor="text1"/>
        </w:rPr>
        <w:t xml:space="preserve"> </w:t>
      </w:r>
      <w:r w:rsidRPr="008B619A">
        <w:rPr>
          <w:rFonts w:ascii="標楷體" w:eastAsia="標楷體" w:hAnsi="標楷體"/>
          <w:color w:val="000000" w:themeColor="text1"/>
        </w:rPr>
        <w:t>為排除出生生肖之因素，故以12年之平均數，進行觀察比較。</w:t>
      </w:r>
    </w:p>
  </w:footnote>
  <w:footnote w:id="10">
    <w:p w14:paraId="01600672" w14:textId="77777777" w:rsidR="008B5814" w:rsidRPr="008B619A" w:rsidRDefault="008B5814" w:rsidP="005E3DB3">
      <w:pPr>
        <w:pStyle w:val="aff"/>
        <w:ind w:left="222" w:hangingChars="101" w:hanging="222"/>
        <w:jc w:val="both"/>
        <w:rPr>
          <w:rFonts w:ascii="Times New Roman" w:eastAsia="標楷體" w:hAnsi="Times New Roman" w:cs="Times New Roman"/>
          <w:color w:val="000000" w:themeColor="text1"/>
        </w:rPr>
      </w:pPr>
      <w:r w:rsidRPr="008B619A">
        <w:rPr>
          <w:rStyle w:val="aff1"/>
          <w:color w:val="000000" w:themeColor="text1"/>
        </w:rPr>
        <w:footnoteRef/>
      </w:r>
      <w:r w:rsidRPr="008B619A">
        <w:rPr>
          <w:rFonts w:ascii="Times New Roman" w:eastAsia="標楷體" w:hAnsi="Times New Roman" w:cs="Times New Roman"/>
          <w:color w:val="000000" w:themeColor="text1"/>
        </w:rPr>
        <w:t xml:space="preserve"> </w:t>
      </w:r>
      <w:r w:rsidRPr="008B619A">
        <w:rPr>
          <w:rFonts w:ascii="Times New Roman" w:eastAsia="標楷體" w:hAnsi="Times New Roman" w:cs="Times New Roman" w:hint="eastAsia"/>
          <w:color w:val="000000" w:themeColor="text1"/>
        </w:rPr>
        <w:t>陳仕誠、莊裕澤（民</w:t>
      </w:r>
      <w:r w:rsidRPr="008B619A">
        <w:rPr>
          <w:rFonts w:ascii="Times New Roman" w:eastAsia="標楷體" w:hAnsi="Times New Roman" w:cs="Times New Roman" w:hint="eastAsia"/>
          <w:color w:val="000000" w:themeColor="text1"/>
        </w:rPr>
        <w:t>108</w:t>
      </w:r>
      <w:r w:rsidRPr="008B619A">
        <w:rPr>
          <w:rFonts w:ascii="Times New Roman" w:eastAsia="標楷體" w:hAnsi="Times New Roman" w:cs="Times New Roman" w:hint="eastAsia"/>
          <w:color w:val="000000" w:themeColor="text1"/>
        </w:rPr>
        <w:t>年）。</w:t>
      </w:r>
      <w:r w:rsidRPr="008B619A">
        <w:rPr>
          <w:rFonts w:ascii="Times New Roman" w:eastAsia="標楷體" w:hAnsi="Times New Roman" w:cs="Times New Roman" w:hint="eastAsia"/>
          <w:b/>
          <w:bCs/>
          <w:color w:val="000000" w:themeColor="text1"/>
        </w:rPr>
        <w:t>我國高等教育人力培育及流向之研究</w:t>
      </w:r>
      <w:r w:rsidRPr="008B619A">
        <w:rPr>
          <w:rFonts w:ascii="Times New Roman" w:eastAsia="標楷體" w:hAnsi="Times New Roman" w:cs="Times New Roman" w:hint="eastAsia"/>
          <w:color w:val="000000" w:themeColor="text1"/>
        </w:rPr>
        <w:t>。國家實驗研究院科技政策研究與資訊中心出版。</w:t>
      </w:r>
    </w:p>
  </w:footnote>
  <w:footnote w:id="11">
    <w:p w14:paraId="2A37E061" w14:textId="263FA643" w:rsidR="008B5814" w:rsidRPr="008B619A" w:rsidRDefault="008B5814" w:rsidP="00E109EF">
      <w:pPr>
        <w:pStyle w:val="aff"/>
        <w:ind w:left="222" w:hangingChars="101" w:hanging="222"/>
        <w:rPr>
          <w:rFonts w:ascii="標楷體" w:eastAsia="標楷體" w:hAnsi="標楷體"/>
          <w:color w:val="000000" w:themeColor="text1"/>
        </w:rPr>
      </w:pPr>
      <w:r w:rsidRPr="008B619A">
        <w:rPr>
          <w:rStyle w:val="aff1"/>
          <w:color w:val="000000" w:themeColor="text1"/>
        </w:rPr>
        <w:footnoteRef/>
      </w:r>
      <w:r w:rsidRPr="008B619A">
        <w:rPr>
          <w:rStyle w:val="aff1"/>
          <w:color w:val="000000" w:themeColor="text1"/>
        </w:rPr>
        <w:t xml:space="preserve"> </w:t>
      </w:r>
      <w:r w:rsidRPr="008B619A">
        <w:rPr>
          <w:rFonts w:ascii="標楷體" w:eastAsia="標楷體" w:hAnsi="標楷體" w:hint="eastAsia"/>
          <w:color w:val="000000" w:themeColor="text1"/>
        </w:rPr>
        <w:t>劉秀曦（無日期）。</w:t>
      </w:r>
      <w:r w:rsidRPr="008B619A">
        <w:rPr>
          <w:rFonts w:ascii="標楷體" w:eastAsia="標楷體" w:hAnsi="標楷體" w:hint="eastAsia"/>
          <w:b/>
          <w:color w:val="000000" w:themeColor="text1"/>
        </w:rPr>
        <w:t>大學是否還值得投資？美國學界正反論述與政府降低投資風險的具體策略</w:t>
      </w:r>
      <w:r w:rsidRPr="008B619A">
        <w:rPr>
          <w:rFonts w:ascii="標楷體" w:eastAsia="標楷體" w:hAnsi="標楷體" w:hint="eastAsia"/>
          <w:color w:val="000000" w:themeColor="text1"/>
        </w:rPr>
        <w:t>。載於國家教育研究院電子報－國際教育訊息分析。</w:t>
      </w:r>
    </w:p>
  </w:footnote>
  <w:footnote w:id="12">
    <w:p w14:paraId="466814AE" w14:textId="352FA49A" w:rsidR="008B5814" w:rsidRPr="008B619A" w:rsidRDefault="008B5814" w:rsidP="00E5367E">
      <w:pPr>
        <w:pStyle w:val="aff"/>
        <w:ind w:left="222" w:hangingChars="101" w:hanging="222"/>
        <w:rPr>
          <w:color w:val="000000" w:themeColor="text1"/>
        </w:rPr>
      </w:pPr>
      <w:r w:rsidRPr="008B619A">
        <w:rPr>
          <w:rStyle w:val="aff1"/>
          <w:color w:val="000000" w:themeColor="text1"/>
        </w:rPr>
        <w:footnoteRef/>
      </w:r>
      <w:r w:rsidRPr="008B619A">
        <w:rPr>
          <w:rStyle w:val="aff1"/>
          <w:color w:val="000000" w:themeColor="text1"/>
        </w:rPr>
        <w:t xml:space="preserve"> </w:t>
      </w:r>
      <w:r w:rsidRPr="008B619A">
        <w:rPr>
          <w:rFonts w:ascii="標楷體" w:eastAsia="標楷體" w:hAnsi="標楷體" w:hint="eastAsia"/>
          <w:color w:val="000000" w:themeColor="text1"/>
        </w:rPr>
        <w:t>大專校院新生註冊率之定義：(1)107學年起：(新生註冊人數+境外新生註冊人數)/(總量核定招生名額–新生保留入學資格人數+境外新生註冊人數)×100%。(2)109學年起：</w:t>
      </w:r>
      <w:r w:rsidRPr="008B619A">
        <w:rPr>
          <w:rFonts w:ascii="標楷體" w:eastAsia="標楷體" w:hAnsi="標楷體"/>
          <w:color w:val="000000" w:themeColor="text1"/>
        </w:rPr>
        <w:t>(新生註冊人數 (含資通訊擴充名額)+境外新生註冊人數)/(總量核定招生名額 (不含資通訊擴充名額)–新生保留入學資格人數+境外新生註冊人數) × 100%。</w:t>
      </w:r>
    </w:p>
    <w:p w14:paraId="4C224B9A" w14:textId="163EE4A7" w:rsidR="008B5814" w:rsidRPr="008B619A" w:rsidRDefault="008B5814" w:rsidP="008D281A">
      <w:pPr>
        <w:pStyle w:val="aff"/>
        <w:wordWrap w:val="0"/>
        <w:ind w:left="227"/>
        <w:jc w:val="both"/>
        <w:rPr>
          <w:color w:val="000000" w:themeColor="text1"/>
        </w:rPr>
      </w:pPr>
      <w:r w:rsidRPr="008B619A">
        <w:rPr>
          <w:rFonts w:ascii="標楷體" w:eastAsia="標楷體" w:hAnsi="標楷體" w:hint="eastAsia"/>
          <w:color w:val="000000" w:themeColor="text1"/>
        </w:rPr>
        <w:t>資料來源：教育部統計處(民110)，</w:t>
      </w:r>
      <w:r w:rsidRPr="008B619A">
        <w:rPr>
          <w:rFonts w:ascii="標楷體" w:eastAsia="標楷體" w:hAnsi="標楷體" w:hint="eastAsia"/>
          <w:b/>
          <w:color w:val="000000" w:themeColor="text1"/>
        </w:rPr>
        <w:t>「</w:t>
      </w:r>
      <w:r w:rsidRPr="008B619A">
        <w:rPr>
          <w:rFonts w:ascii="標楷體" w:eastAsia="標楷體" w:hAnsi="標楷體" w:hint="eastAsia"/>
          <w:b/>
          <w:bCs/>
          <w:color w:val="000000" w:themeColor="text1"/>
        </w:rPr>
        <w:t>大專校院新生註冊率概況</w:t>
      </w:r>
      <w:r w:rsidRPr="008B619A">
        <w:rPr>
          <w:rFonts w:ascii="標楷體" w:eastAsia="標楷體" w:hAnsi="標楷體" w:hint="eastAsia"/>
          <w:b/>
          <w:color w:val="000000" w:themeColor="text1"/>
          <w:szCs w:val="36"/>
        </w:rPr>
        <w:t>」</w:t>
      </w:r>
      <w:r w:rsidRPr="008B619A">
        <w:rPr>
          <w:rFonts w:ascii="標楷體" w:eastAsia="標楷體" w:hAnsi="標楷體" w:hint="eastAsia"/>
          <w:color w:val="000000" w:themeColor="text1"/>
        </w:rPr>
        <w:t>，應用統計分析</w:t>
      </w:r>
      <w:r w:rsidRPr="008B619A">
        <w:rPr>
          <w:rFonts w:ascii="標楷體" w:eastAsia="標楷體" w:hAnsi="標楷體" w:hint="eastAsia"/>
          <w:bCs/>
          <w:color w:val="000000" w:themeColor="text1"/>
          <w:szCs w:val="36"/>
        </w:rPr>
        <w:t>。</w:t>
      </w:r>
      <w:r w:rsidRPr="008B619A">
        <w:rPr>
          <w:rFonts w:ascii="標楷體" w:eastAsia="標楷體" w:hAnsi="標楷體" w:hint="eastAsia"/>
          <w:color w:val="000000" w:themeColor="text1"/>
        </w:rPr>
        <w:t>110年，取自</w:t>
      </w:r>
      <w:r w:rsidRPr="008B619A">
        <w:rPr>
          <w:rFonts w:ascii="Times New Roman" w:eastAsia="標楷體" w:hAnsi="Times New Roman" w:cs="Times New Roman"/>
          <w:color w:val="000000" w:themeColor="text1"/>
          <w:szCs w:val="32"/>
        </w:rPr>
        <w:t>https://stats.moe.gov.tw/files/analysis/109register_rate.pdf</w:t>
      </w:r>
    </w:p>
  </w:footnote>
  <w:footnote w:id="13">
    <w:p w14:paraId="7CB9A939" w14:textId="77777777" w:rsidR="008B5814" w:rsidRPr="008B619A" w:rsidRDefault="008B5814" w:rsidP="00AC32AD">
      <w:pPr>
        <w:pStyle w:val="aff"/>
        <w:ind w:left="222" w:hangingChars="101" w:hanging="222"/>
        <w:rPr>
          <w:color w:val="000000" w:themeColor="text1"/>
        </w:rPr>
      </w:pPr>
      <w:r w:rsidRPr="008B619A">
        <w:rPr>
          <w:rStyle w:val="aff1"/>
          <w:color w:val="000000" w:themeColor="text1"/>
        </w:rPr>
        <w:footnoteRef/>
      </w:r>
      <w:r w:rsidRPr="008B619A">
        <w:rPr>
          <w:color w:val="000000" w:themeColor="text1"/>
        </w:rPr>
        <w:t xml:space="preserve"> </w:t>
      </w:r>
      <w:r w:rsidRPr="008B619A">
        <w:rPr>
          <w:rFonts w:ascii="標楷體" w:eastAsia="標楷體" w:hAnsi="標楷體" w:hint="eastAsia"/>
          <w:color w:val="000000" w:themeColor="text1"/>
        </w:rPr>
        <w:t>教育部統計處(民109)，</w:t>
      </w:r>
      <w:r w:rsidRPr="008B619A">
        <w:rPr>
          <w:rFonts w:ascii="標楷體" w:eastAsia="標楷體" w:hAnsi="標楷體" w:hint="eastAsia"/>
          <w:b/>
          <w:color w:val="000000" w:themeColor="text1"/>
        </w:rPr>
        <w:t>「108學年大專校院新生註冊率概況</w:t>
      </w:r>
      <w:r w:rsidRPr="008B619A">
        <w:rPr>
          <w:rFonts w:ascii="標楷體" w:eastAsia="標楷體" w:hAnsi="標楷體" w:hint="eastAsia"/>
          <w:b/>
          <w:color w:val="000000" w:themeColor="text1"/>
          <w:szCs w:val="36"/>
        </w:rPr>
        <w:t>」</w:t>
      </w:r>
      <w:r w:rsidRPr="008B619A">
        <w:rPr>
          <w:rFonts w:ascii="標楷體" w:eastAsia="標楷體" w:hAnsi="標楷體" w:hint="eastAsia"/>
          <w:color w:val="000000" w:themeColor="text1"/>
        </w:rPr>
        <w:t>，應用統計分析</w:t>
      </w:r>
      <w:r w:rsidRPr="008B619A">
        <w:rPr>
          <w:rFonts w:ascii="標楷體" w:eastAsia="標楷體" w:hAnsi="標楷體" w:hint="eastAsia"/>
          <w:b/>
          <w:color w:val="000000" w:themeColor="text1"/>
          <w:szCs w:val="36"/>
        </w:rPr>
        <w:t>。</w:t>
      </w:r>
      <w:r w:rsidRPr="008B619A">
        <w:rPr>
          <w:rFonts w:ascii="標楷體" w:eastAsia="標楷體" w:hAnsi="標楷體" w:hint="eastAsia"/>
          <w:color w:val="000000" w:themeColor="text1"/>
        </w:rPr>
        <w:t>110年6月，取自</w:t>
      </w:r>
      <w:r w:rsidRPr="008B619A">
        <w:rPr>
          <w:rFonts w:ascii="Times New Roman" w:eastAsia="標楷體" w:hAnsi="Times New Roman" w:cs="Times New Roman"/>
          <w:color w:val="000000" w:themeColor="text1"/>
          <w:szCs w:val="32"/>
        </w:rPr>
        <w:t>https://stats.moe.gov.tw/files/analysis/108register_rate.pdf</w:t>
      </w:r>
    </w:p>
  </w:footnote>
  <w:footnote w:id="14">
    <w:p w14:paraId="2076F292" w14:textId="4A75E2A6" w:rsidR="008B5814" w:rsidRPr="008B619A" w:rsidRDefault="008B5814" w:rsidP="000073AB">
      <w:pPr>
        <w:pStyle w:val="aff"/>
        <w:ind w:left="222" w:hangingChars="101" w:hanging="222"/>
        <w:jc w:val="both"/>
        <w:rPr>
          <w:rStyle w:val="aff1"/>
          <w:color w:val="000000" w:themeColor="text1"/>
        </w:rPr>
      </w:pPr>
      <w:r w:rsidRPr="008B619A">
        <w:rPr>
          <w:rStyle w:val="aff1"/>
          <w:color w:val="000000" w:themeColor="text1"/>
        </w:rPr>
        <w:footnoteRef/>
      </w:r>
      <w:r w:rsidRPr="008B619A">
        <w:rPr>
          <w:rStyle w:val="aff1"/>
          <w:color w:val="000000" w:themeColor="text1"/>
        </w:rPr>
        <w:t xml:space="preserve"> </w:t>
      </w:r>
      <w:r w:rsidRPr="008B619A">
        <w:rPr>
          <w:rFonts w:ascii="標楷體" w:eastAsia="標楷體" w:hAnsi="標楷體" w:hint="eastAsia"/>
          <w:color w:val="000000" w:themeColor="text1"/>
        </w:rPr>
        <w:t>中央社（民109）。</w:t>
      </w:r>
      <w:r w:rsidRPr="008B619A">
        <w:rPr>
          <w:rFonts w:ascii="標楷體" w:eastAsia="標楷體" w:hAnsi="標楷體" w:hint="eastAsia"/>
          <w:b/>
          <w:bCs/>
          <w:color w:val="000000" w:themeColor="text1"/>
        </w:rPr>
        <w:t>全台79碩博班註冊掛蛋；清、成、政大也入列</w:t>
      </w:r>
      <w:r w:rsidRPr="008B619A">
        <w:rPr>
          <w:rFonts w:ascii="標楷體" w:eastAsia="標楷體" w:hAnsi="標楷體" w:hint="eastAsia"/>
          <w:color w:val="000000" w:themeColor="text1"/>
        </w:rPr>
        <w:t>。110年，取自</w:t>
      </w:r>
      <w:r w:rsidRPr="008B619A">
        <w:rPr>
          <w:rFonts w:ascii="Times New Roman" w:eastAsia="標楷體" w:hAnsi="Times New Roman" w:cs="Times New Roman"/>
          <w:color w:val="000000" w:themeColor="text1"/>
          <w:szCs w:val="32"/>
        </w:rPr>
        <w:t>https://www.storm.mg/article/3344836</w:t>
      </w:r>
    </w:p>
  </w:footnote>
  <w:footnote w:id="15">
    <w:p w14:paraId="094ACB8C" w14:textId="73FE5633" w:rsidR="008B5814" w:rsidRPr="008B619A" w:rsidRDefault="008B5814" w:rsidP="00AF3CA8">
      <w:pPr>
        <w:pStyle w:val="aff"/>
        <w:ind w:left="141" w:hangingChars="64" w:hanging="141"/>
        <w:jc w:val="both"/>
        <w:rPr>
          <w:color w:val="000000" w:themeColor="text1"/>
        </w:rPr>
      </w:pPr>
      <w:r w:rsidRPr="008B619A">
        <w:rPr>
          <w:rStyle w:val="aff1"/>
          <w:color w:val="000000" w:themeColor="text1"/>
        </w:rPr>
        <w:footnoteRef/>
      </w:r>
      <w:r w:rsidRPr="008B619A">
        <w:rPr>
          <w:rStyle w:val="aff1"/>
          <w:color w:val="000000" w:themeColor="text1"/>
        </w:rPr>
        <w:t xml:space="preserve"> </w:t>
      </w:r>
      <w:r w:rsidRPr="008B619A">
        <w:rPr>
          <w:rFonts w:ascii="標楷體" w:eastAsia="標楷體" w:hAnsi="標楷體" w:hint="eastAsia"/>
          <w:color w:val="000000" w:themeColor="text1"/>
        </w:rPr>
        <w:t>頂尖大學計畫學校包括：國立臺灣大學、國立成功大學、國立清華大學、國立交通大學、國立中央大學、國立陽明大學、國立中山大學、國立中興大學、長庚大學、國立政治大學、國立臺灣師範大學。典範科技大學計畫學校包括：國立臺北科技大學、國立臺灣科技大學、國立屏東科技大學、國立雲林科技大學、國立高雄應用科技大學、南臺科技大學、崑山科技大學、國立高雄餐旅大學、正修科技大學、國立虎尾科技大學、國立高雄第一科技大學、國立勤益科技大學、國立高雄科技大學。</w:t>
      </w:r>
    </w:p>
  </w:footnote>
  <w:footnote w:id="16">
    <w:p w14:paraId="103380CD" w14:textId="206D3DCC" w:rsidR="008B5814" w:rsidRPr="008B619A" w:rsidRDefault="008B5814" w:rsidP="0067022A">
      <w:pPr>
        <w:pStyle w:val="aff"/>
        <w:ind w:left="284" w:hangingChars="129" w:hanging="284"/>
        <w:jc w:val="both"/>
        <w:rPr>
          <w:color w:val="000000" w:themeColor="text1"/>
        </w:rPr>
      </w:pPr>
      <w:r w:rsidRPr="008B619A">
        <w:rPr>
          <w:rStyle w:val="aff1"/>
          <w:color w:val="000000" w:themeColor="text1"/>
        </w:rPr>
        <w:footnoteRef/>
      </w:r>
      <w:r w:rsidRPr="008B619A">
        <w:rPr>
          <w:rStyle w:val="aff1"/>
          <w:rFonts w:hint="eastAsia"/>
          <w:color w:val="000000" w:themeColor="text1"/>
        </w:rPr>
        <w:t xml:space="preserve"> </w:t>
      </w:r>
      <w:r w:rsidRPr="008B619A">
        <w:rPr>
          <w:rFonts w:ascii="標楷體" w:eastAsia="標楷體" w:hAnsi="標楷體" w:hint="eastAsia"/>
          <w:color w:val="000000" w:themeColor="text1"/>
        </w:rPr>
        <w:t>李誠、詹火生等（民106）。載於</w:t>
      </w:r>
      <w:r w:rsidRPr="008B619A">
        <w:rPr>
          <w:rFonts w:ascii="標楷體" w:eastAsia="標楷體" w:hAnsi="標楷體"/>
          <w:i/>
          <w:iCs/>
          <w:color w:val="000000" w:themeColor="text1"/>
        </w:rPr>
        <w:t>改良教育體制，培養台灣科技人才：解決引進科技人才的困境</w:t>
      </w:r>
      <w:r w:rsidRPr="008B619A">
        <w:rPr>
          <w:rFonts w:ascii="標楷體" w:eastAsia="標楷體" w:hAnsi="標楷體" w:hint="eastAsia"/>
          <w:color w:val="000000" w:themeColor="text1"/>
        </w:rPr>
        <w:t>。臺北市，財團法人中技社出版，頁</w:t>
      </w:r>
      <w:r w:rsidRPr="008B619A">
        <w:rPr>
          <w:rFonts w:ascii="Times New Roman" w:eastAsia="標楷體" w:hAnsi="Times New Roman" w:cs="Times New Roman" w:hint="eastAsia"/>
          <w:color w:val="000000" w:themeColor="text1"/>
          <w:szCs w:val="32"/>
        </w:rPr>
        <w:t>III</w:t>
      </w:r>
      <w:r w:rsidRPr="008B619A">
        <w:rPr>
          <w:rFonts w:ascii="標楷體" w:eastAsia="標楷體" w:hAnsi="標楷體" w:hint="eastAsia"/>
          <w:color w:val="000000" w:themeColor="text1"/>
        </w:rPr>
        <w:t>。</w:t>
      </w:r>
    </w:p>
  </w:footnote>
  <w:footnote w:id="17">
    <w:p w14:paraId="7DF65A68" w14:textId="77777777" w:rsidR="008B5814" w:rsidRPr="008B619A" w:rsidRDefault="008B5814" w:rsidP="00C514C7">
      <w:pPr>
        <w:pStyle w:val="aff"/>
        <w:ind w:left="222" w:hangingChars="101" w:hanging="222"/>
        <w:jc w:val="both"/>
        <w:rPr>
          <w:color w:val="000000" w:themeColor="text1"/>
        </w:rPr>
      </w:pPr>
      <w:r w:rsidRPr="008B619A">
        <w:rPr>
          <w:rStyle w:val="aff1"/>
          <w:color w:val="000000" w:themeColor="text1"/>
        </w:rPr>
        <w:footnoteRef/>
      </w:r>
      <w:r w:rsidRPr="008B619A">
        <w:rPr>
          <w:rStyle w:val="aff1"/>
          <w:color w:val="000000" w:themeColor="text1"/>
        </w:rPr>
        <w:t xml:space="preserve"> </w:t>
      </w:r>
      <w:r w:rsidRPr="008B619A">
        <w:rPr>
          <w:rFonts w:ascii="標楷體" w:eastAsia="標楷體" w:hAnsi="標楷體" w:hint="eastAsia"/>
          <w:color w:val="000000" w:themeColor="text1"/>
        </w:rPr>
        <w:t>林志忠（民109）。</w:t>
      </w:r>
      <w:r w:rsidRPr="008B619A">
        <w:rPr>
          <w:rFonts w:ascii="標楷體" w:eastAsia="標楷體" w:hAnsi="標楷體" w:hint="eastAsia"/>
          <w:b/>
          <w:bCs/>
          <w:color w:val="000000" w:themeColor="text1"/>
        </w:rPr>
        <w:t>建請召開高教國是會議，徵召陳建仁為召集人</w:t>
      </w:r>
      <w:r w:rsidRPr="008B619A">
        <w:rPr>
          <w:rFonts w:ascii="標楷體" w:eastAsia="標楷體" w:hAnsi="標楷體" w:hint="eastAsia"/>
          <w:color w:val="000000" w:themeColor="text1"/>
        </w:rPr>
        <w:t>。110年，取自</w:t>
      </w:r>
      <w:r w:rsidRPr="008B619A">
        <w:rPr>
          <w:rFonts w:ascii="Times New Roman" w:eastAsia="標楷體" w:hAnsi="Times New Roman" w:cs="Times New Roman"/>
          <w:color w:val="000000" w:themeColor="text1"/>
          <w:szCs w:val="32"/>
        </w:rPr>
        <w:t>https://www.storm.mg/article/2679609</w:t>
      </w:r>
      <w:r w:rsidRPr="008B619A">
        <w:rPr>
          <w:rFonts w:ascii="標楷體" w:eastAsia="標楷體" w:hAnsi="標楷體" w:hint="eastAsia"/>
          <w:color w:val="000000" w:themeColor="text1"/>
        </w:rPr>
        <w:t>風傳媒。</w:t>
      </w:r>
    </w:p>
  </w:footnote>
  <w:footnote w:id="18">
    <w:p w14:paraId="32600721" w14:textId="77777777" w:rsidR="008B5814" w:rsidRPr="008B619A" w:rsidRDefault="008B5814" w:rsidP="003937FF">
      <w:pPr>
        <w:pStyle w:val="aff"/>
        <w:rPr>
          <w:color w:val="000000" w:themeColor="text1"/>
        </w:rPr>
      </w:pPr>
      <w:r w:rsidRPr="008B619A">
        <w:rPr>
          <w:rStyle w:val="aff1"/>
          <w:color w:val="000000" w:themeColor="text1"/>
        </w:rPr>
        <w:footnoteRef/>
      </w:r>
      <w:r w:rsidRPr="008B619A">
        <w:rPr>
          <w:rStyle w:val="aff1"/>
          <w:color w:val="000000" w:themeColor="text1"/>
        </w:rPr>
        <w:t xml:space="preserve"> </w:t>
      </w:r>
      <w:r w:rsidRPr="008B619A">
        <w:rPr>
          <w:rFonts w:ascii="標楷體" w:eastAsia="標楷體" w:hAnsi="標楷體" w:hint="eastAsia"/>
          <w:color w:val="000000" w:themeColor="text1"/>
        </w:rPr>
        <w:t>於此8次全國教育會議期間，另於92年間，曾由教育部召開全國教育</w:t>
      </w:r>
      <w:r w:rsidRPr="008B619A">
        <w:rPr>
          <w:rFonts w:ascii="標楷體" w:eastAsia="標楷體" w:hAnsi="標楷體" w:hint="eastAsia"/>
          <w:color w:val="000000" w:themeColor="text1"/>
          <w:u w:val="single"/>
        </w:rPr>
        <w:t>發展</w:t>
      </w:r>
      <w:r w:rsidRPr="008B619A">
        <w:rPr>
          <w:rFonts w:ascii="標楷體" w:eastAsia="標楷體" w:hAnsi="標楷體" w:hint="eastAsia"/>
          <w:color w:val="000000" w:themeColor="text1"/>
        </w:rPr>
        <w:t>會議。</w:t>
      </w:r>
    </w:p>
  </w:footnote>
  <w:footnote w:id="19">
    <w:p w14:paraId="621D7789" w14:textId="77777777" w:rsidR="008B5814" w:rsidRPr="008B619A" w:rsidRDefault="008B5814" w:rsidP="009F2F4A">
      <w:pPr>
        <w:pStyle w:val="aff"/>
        <w:ind w:leftChars="1" w:left="283" w:hangingChars="127" w:hanging="280"/>
        <w:rPr>
          <w:color w:val="000000" w:themeColor="text1"/>
        </w:rPr>
      </w:pPr>
      <w:r w:rsidRPr="008B619A">
        <w:rPr>
          <w:rStyle w:val="aff1"/>
          <w:color w:val="000000" w:themeColor="text1"/>
        </w:rPr>
        <w:footnoteRef/>
      </w:r>
      <w:r w:rsidRPr="008B619A">
        <w:rPr>
          <w:rStyle w:val="aff1"/>
          <w:color w:val="000000" w:themeColor="text1"/>
        </w:rPr>
        <w:t xml:space="preserve"> </w:t>
      </w:r>
      <w:r w:rsidRPr="008B619A">
        <w:rPr>
          <w:rFonts w:ascii="標楷體" w:eastAsia="標楷體" w:hAnsi="標楷體" w:hint="eastAsia"/>
          <w:color w:val="000000" w:themeColor="text1"/>
        </w:rPr>
        <w:t>陳益興(民89)。</w:t>
      </w:r>
      <w:r w:rsidRPr="008B619A">
        <w:rPr>
          <w:rFonts w:ascii="標楷體" w:eastAsia="標楷體" w:hAnsi="標楷體" w:hint="eastAsia"/>
          <w:b/>
          <w:bCs/>
          <w:color w:val="000000" w:themeColor="text1"/>
        </w:rPr>
        <w:t>全國教育會議</w:t>
      </w:r>
      <w:r w:rsidRPr="008B619A">
        <w:rPr>
          <w:rFonts w:ascii="標楷體" w:eastAsia="標楷體" w:hAnsi="標楷體" w:hint="eastAsia"/>
          <w:color w:val="000000" w:themeColor="text1"/>
        </w:rPr>
        <w:t>。載於國家教育研究院，雙語詞彙、學術名詞暨辭書資訊網。110年，取自</w:t>
      </w:r>
      <w:r w:rsidRPr="008B619A">
        <w:rPr>
          <w:rFonts w:ascii="Times New Roman" w:eastAsia="標楷體" w:hAnsi="Times New Roman" w:cs="Times New Roman"/>
          <w:color w:val="000000" w:themeColor="text1"/>
          <w:szCs w:val="32"/>
        </w:rPr>
        <w:t>https://terms.naer.edu.tw/detail/1304413/?index=5</w:t>
      </w:r>
    </w:p>
  </w:footnote>
  <w:footnote w:id="20">
    <w:p w14:paraId="224C9741" w14:textId="7C227613" w:rsidR="008B5814" w:rsidRPr="008B619A" w:rsidRDefault="008B5814" w:rsidP="008A29E3">
      <w:pPr>
        <w:pStyle w:val="aff"/>
        <w:ind w:left="222" w:hangingChars="101" w:hanging="222"/>
        <w:jc w:val="both"/>
        <w:rPr>
          <w:color w:val="000000" w:themeColor="text1"/>
        </w:rPr>
      </w:pPr>
      <w:r w:rsidRPr="008B619A">
        <w:rPr>
          <w:rStyle w:val="aff1"/>
          <w:color w:val="000000" w:themeColor="text1"/>
        </w:rPr>
        <w:footnoteRef/>
      </w:r>
      <w:r w:rsidRPr="008B619A">
        <w:rPr>
          <w:rStyle w:val="aff1"/>
          <w:color w:val="000000" w:themeColor="text1"/>
        </w:rPr>
        <w:t xml:space="preserve"> </w:t>
      </w:r>
      <w:r w:rsidRPr="008B619A">
        <w:rPr>
          <w:rFonts w:ascii="標楷體" w:eastAsia="標楷體" w:hAnsi="標楷體" w:hint="eastAsia"/>
          <w:color w:val="000000" w:themeColor="text1"/>
        </w:rPr>
        <w:t>陳淑娟（無日期）。</w:t>
      </w:r>
      <w:r w:rsidRPr="008B619A">
        <w:rPr>
          <w:rFonts w:ascii="標楷體" w:eastAsia="標楷體" w:hAnsi="標楷體" w:hint="eastAsia"/>
          <w:b/>
          <w:color w:val="000000" w:themeColor="text1"/>
        </w:rPr>
        <w:t>提升高等教育國際競爭力之策略</w:t>
      </w:r>
      <w:r w:rsidRPr="008B619A">
        <w:rPr>
          <w:rFonts w:ascii="標楷體" w:eastAsia="標楷體" w:hAnsi="標楷體" w:hint="eastAsia"/>
          <w:color w:val="000000" w:themeColor="text1"/>
        </w:rPr>
        <w:t>。載於國家教育研究院電子報－國際教育訊息分析。</w:t>
      </w:r>
    </w:p>
  </w:footnote>
  <w:footnote w:id="21">
    <w:p w14:paraId="15CDFC3E" w14:textId="77777777" w:rsidR="008B5814" w:rsidRPr="008B619A" w:rsidRDefault="008B5814" w:rsidP="0030159D">
      <w:pPr>
        <w:pStyle w:val="aff"/>
        <w:wordWrap w:val="0"/>
        <w:ind w:left="222" w:hangingChars="101" w:hanging="222"/>
        <w:rPr>
          <w:rFonts w:ascii="Times New Roman" w:eastAsia="標楷體" w:hAnsi="Times New Roman" w:cs="Times New Roman"/>
          <w:color w:val="000000" w:themeColor="text1"/>
          <w:szCs w:val="32"/>
        </w:rPr>
      </w:pPr>
      <w:r w:rsidRPr="008B619A">
        <w:rPr>
          <w:rStyle w:val="aff1"/>
          <w:color w:val="000000" w:themeColor="text1"/>
        </w:rPr>
        <w:footnoteRef/>
      </w:r>
      <w:r w:rsidRPr="008B619A">
        <w:rPr>
          <w:rStyle w:val="aff1"/>
          <w:color w:val="000000" w:themeColor="text1"/>
        </w:rPr>
        <w:t xml:space="preserve"> </w:t>
      </w:r>
      <w:r w:rsidRPr="008B619A">
        <w:rPr>
          <w:rFonts w:ascii="標楷體" w:eastAsia="標楷體" w:hAnsi="標楷體" w:hint="eastAsia"/>
          <w:color w:val="000000" w:themeColor="text1"/>
        </w:rPr>
        <w:t>行政院（民1</w:t>
      </w:r>
      <w:r w:rsidRPr="008B619A">
        <w:rPr>
          <w:rFonts w:ascii="標楷體" w:eastAsia="標楷體" w:hAnsi="標楷體"/>
          <w:color w:val="000000" w:themeColor="text1"/>
        </w:rPr>
        <w:t>06</w:t>
      </w:r>
      <w:r w:rsidRPr="008B619A">
        <w:rPr>
          <w:rFonts w:ascii="標楷體" w:eastAsia="標楷體" w:hAnsi="標楷體" w:hint="eastAsia"/>
          <w:color w:val="000000" w:themeColor="text1"/>
        </w:rPr>
        <w:t>）。排除企業投資五缺障礙。110年，取自</w:t>
      </w:r>
      <w:r w:rsidRPr="008B619A">
        <w:rPr>
          <w:rFonts w:ascii="Times New Roman" w:eastAsia="標楷體" w:hAnsi="Times New Roman" w:cs="Times New Roman"/>
          <w:color w:val="000000" w:themeColor="text1"/>
          <w:szCs w:val="32"/>
        </w:rPr>
        <w:t>https://www.ey.gov.tw/Page/5A8A0CB5B41DA11E/31d71971-d0d9-4a76-9862-af1922dea3ac</w:t>
      </w:r>
    </w:p>
  </w:footnote>
  <w:footnote w:id="22">
    <w:p w14:paraId="6B9AE439" w14:textId="0D856EF0" w:rsidR="008B5814" w:rsidRPr="008B619A" w:rsidRDefault="008B5814" w:rsidP="00E8343F">
      <w:pPr>
        <w:pStyle w:val="aff"/>
        <w:ind w:leftChars="1" w:left="142" w:hangingChars="63" w:hanging="139"/>
        <w:rPr>
          <w:rStyle w:val="aff1"/>
          <w:color w:val="000000" w:themeColor="text1"/>
        </w:rPr>
      </w:pPr>
      <w:r w:rsidRPr="008B619A">
        <w:rPr>
          <w:rStyle w:val="aff1"/>
          <w:color w:val="000000" w:themeColor="text1"/>
        </w:rPr>
        <w:footnoteRef/>
      </w:r>
      <w:r w:rsidRPr="008B619A">
        <w:rPr>
          <w:rStyle w:val="aff1"/>
          <w:color w:val="000000" w:themeColor="text1"/>
        </w:rPr>
        <w:t xml:space="preserve"> </w:t>
      </w:r>
      <w:r w:rsidRPr="008B619A">
        <w:rPr>
          <w:rFonts w:ascii="標楷體" w:eastAsia="標楷體" w:hAnsi="標楷體" w:hint="eastAsia"/>
          <w:color w:val="000000" w:themeColor="text1"/>
          <w:szCs w:val="32"/>
        </w:rPr>
        <w:t>李誠、詹火生等（民106）。載於</w:t>
      </w:r>
      <w:r w:rsidRPr="008B619A">
        <w:rPr>
          <w:rFonts w:ascii="標楷體" w:eastAsia="標楷體" w:hAnsi="標楷體"/>
          <w:b/>
          <w:bCs/>
          <w:i/>
          <w:iCs/>
          <w:color w:val="000000" w:themeColor="text1"/>
          <w:szCs w:val="32"/>
        </w:rPr>
        <w:t>改良教育體制，培養台灣科技人才：解決引進科技人才的困境</w:t>
      </w:r>
      <w:r w:rsidRPr="008B619A">
        <w:rPr>
          <w:rFonts w:ascii="標楷體" w:eastAsia="標楷體" w:hAnsi="標楷體" w:hint="eastAsia"/>
          <w:color w:val="000000" w:themeColor="text1"/>
          <w:szCs w:val="32"/>
        </w:rPr>
        <w:t>。臺北市，財團法人中技社出版，頁</w:t>
      </w:r>
      <w:r w:rsidRPr="008B619A">
        <w:rPr>
          <w:rFonts w:ascii="Times New Roman" w:eastAsia="標楷體" w:hAnsi="Times New Roman" w:cs="Times New Roman" w:hint="eastAsia"/>
          <w:color w:val="000000" w:themeColor="text1"/>
          <w:szCs w:val="32"/>
        </w:rPr>
        <w:t>III</w:t>
      </w:r>
    </w:p>
  </w:footnote>
  <w:footnote w:id="23">
    <w:p w14:paraId="15A97B4F" w14:textId="24D7E8AA" w:rsidR="008B5814" w:rsidRPr="008B619A" w:rsidRDefault="008B5814" w:rsidP="00E5559D">
      <w:pPr>
        <w:pStyle w:val="aff"/>
        <w:wordWrap w:val="0"/>
        <w:ind w:left="222" w:hangingChars="101" w:hanging="222"/>
        <w:rPr>
          <w:color w:val="000000" w:themeColor="text1"/>
        </w:rPr>
      </w:pPr>
      <w:r w:rsidRPr="008B619A">
        <w:rPr>
          <w:rStyle w:val="aff1"/>
          <w:color w:val="000000" w:themeColor="text1"/>
        </w:rPr>
        <w:footnoteRef/>
      </w:r>
      <w:r w:rsidRPr="008B619A">
        <w:rPr>
          <w:color w:val="000000" w:themeColor="text1"/>
        </w:rPr>
        <w:t xml:space="preserve"> </w:t>
      </w:r>
      <w:r w:rsidRPr="008B619A">
        <w:rPr>
          <w:rFonts w:ascii="標楷體" w:eastAsia="標楷體" w:hAnsi="標楷體" w:hint="eastAsia"/>
          <w:color w:val="000000" w:themeColor="text1"/>
        </w:rPr>
        <w:t>張效齊（無日期）。</w:t>
      </w:r>
      <w:r w:rsidRPr="008B619A">
        <w:rPr>
          <w:rFonts w:ascii="標楷體" w:eastAsia="標楷體" w:hAnsi="標楷體" w:hint="eastAsia"/>
          <w:b/>
          <w:color w:val="000000" w:themeColor="text1"/>
        </w:rPr>
        <w:t>大學協助就業推動策略</w:t>
      </w:r>
      <w:r w:rsidRPr="008B619A">
        <w:rPr>
          <w:rFonts w:ascii="標楷體" w:eastAsia="標楷體" w:hAnsi="標楷體" w:hint="eastAsia"/>
          <w:color w:val="000000" w:themeColor="text1"/>
        </w:rPr>
        <w:t>。載於國家教育研究院電子報－國際教育訊息分析。</w:t>
      </w:r>
    </w:p>
  </w:footnote>
  <w:footnote w:id="24">
    <w:p w14:paraId="16686FF7" w14:textId="6AA27441" w:rsidR="008B5814" w:rsidRPr="008B619A" w:rsidRDefault="008B5814" w:rsidP="00436138">
      <w:pPr>
        <w:pStyle w:val="aff"/>
        <w:rPr>
          <w:color w:val="000000" w:themeColor="text1"/>
        </w:rPr>
      </w:pPr>
      <w:r w:rsidRPr="008B619A">
        <w:rPr>
          <w:rStyle w:val="aff1"/>
          <w:color w:val="000000" w:themeColor="text1"/>
        </w:rPr>
        <w:footnoteRef/>
      </w:r>
      <w:r w:rsidRPr="008B619A">
        <w:rPr>
          <w:color w:val="000000" w:themeColor="text1"/>
        </w:rPr>
        <w:t xml:space="preserve"> </w:t>
      </w:r>
      <w:r w:rsidRPr="008B619A">
        <w:rPr>
          <w:rFonts w:ascii="標楷體" w:eastAsia="標楷體" w:hAnsi="標楷體" w:hint="eastAsia"/>
          <w:color w:val="000000" w:themeColor="text1"/>
        </w:rPr>
        <w:t>該平台網址為：</w:t>
      </w:r>
      <w:r w:rsidRPr="008B619A">
        <w:rPr>
          <w:rFonts w:ascii="Times New Roman" w:eastAsia="標楷體" w:hAnsi="Times New Roman" w:cs="Times New Roman" w:hint="eastAsia"/>
          <w:color w:val="000000" w:themeColor="text1"/>
          <w:szCs w:val="32"/>
        </w:rPr>
        <w:t>http</w:t>
      </w:r>
      <w:r w:rsidRPr="008B619A">
        <w:rPr>
          <w:rFonts w:ascii="Times New Roman" w:eastAsia="標楷體" w:hAnsi="Times New Roman" w:cs="Times New Roman" w:hint="eastAsia"/>
          <w:color w:val="000000" w:themeColor="text1"/>
          <w:szCs w:val="32"/>
        </w:rPr>
        <w:t>：</w:t>
      </w:r>
      <w:r w:rsidRPr="008B619A">
        <w:rPr>
          <w:rFonts w:ascii="Times New Roman" w:eastAsia="標楷體" w:hAnsi="Times New Roman" w:cs="Times New Roman" w:hint="eastAsia"/>
          <w:color w:val="000000" w:themeColor="text1"/>
          <w:szCs w:val="32"/>
        </w:rPr>
        <w:t>//www.phdmatch.org.tw</w:t>
      </w:r>
    </w:p>
  </w:footnote>
  <w:footnote w:id="25">
    <w:p w14:paraId="6EE3FE12" w14:textId="25896DE7" w:rsidR="008B5814" w:rsidRPr="008B619A" w:rsidRDefault="008B5814" w:rsidP="001147A4">
      <w:pPr>
        <w:pStyle w:val="aff"/>
        <w:wordWrap w:val="0"/>
        <w:ind w:left="282" w:hangingChars="128" w:hanging="282"/>
        <w:rPr>
          <w:color w:val="000000" w:themeColor="text1"/>
        </w:rPr>
      </w:pPr>
      <w:r w:rsidRPr="008B619A">
        <w:rPr>
          <w:rStyle w:val="aff1"/>
          <w:color w:val="000000" w:themeColor="text1"/>
        </w:rPr>
        <w:footnoteRef/>
      </w:r>
      <w:r w:rsidRPr="008B619A">
        <w:rPr>
          <w:color w:val="000000" w:themeColor="text1"/>
        </w:rPr>
        <w:t xml:space="preserve"> </w:t>
      </w:r>
      <w:r w:rsidRPr="008B619A">
        <w:rPr>
          <w:rFonts w:ascii="標楷體" w:eastAsia="標楷體" w:hAnsi="標楷體" w:hint="eastAsia"/>
          <w:color w:val="000000" w:themeColor="text1"/>
        </w:rPr>
        <w:t>行政院(民110年)。</w:t>
      </w:r>
      <w:r w:rsidRPr="008B619A">
        <w:rPr>
          <w:rFonts w:ascii="標楷體" w:eastAsia="標楷體" w:hAnsi="標楷體" w:hint="eastAsia"/>
          <w:b/>
          <w:bCs/>
          <w:color w:val="000000" w:themeColor="text1"/>
        </w:rPr>
        <w:t>第十一次全國科學技術會議總結</w:t>
      </w:r>
      <w:r w:rsidRPr="008B619A">
        <w:rPr>
          <w:rFonts w:ascii="標楷體" w:eastAsia="標楷體" w:hAnsi="標楷體" w:hint="eastAsia"/>
          <w:color w:val="000000" w:themeColor="text1"/>
        </w:rPr>
        <w:t>。110年，取自</w:t>
      </w:r>
      <w:r w:rsidRPr="008B619A">
        <w:rPr>
          <w:rFonts w:ascii="Times New Roman" w:eastAsia="標楷體" w:hAnsi="Times New Roman" w:cs="Times New Roman"/>
          <w:color w:val="000000" w:themeColor="text1"/>
          <w:szCs w:val="32"/>
        </w:rPr>
        <w:t>https://www.ey.gov.tw/Page/448DE008087A1971/b316701e-c0fa-40c8-bed6-08c5150b7d0a</w:t>
      </w:r>
    </w:p>
  </w:footnote>
  <w:footnote w:id="26">
    <w:p w14:paraId="0C9910FD" w14:textId="77777777" w:rsidR="008B5814" w:rsidRPr="008B619A" w:rsidRDefault="008B5814" w:rsidP="00357E03">
      <w:pPr>
        <w:pStyle w:val="aff"/>
        <w:wordWrap w:val="0"/>
        <w:ind w:left="282" w:hangingChars="128" w:hanging="282"/>
        <w:rPr>
          <w:color w:val="000000" w:themeColor="text1"/>
        </w:rPr>
      </w:pPr>
      <w:r w:rsidRPr="008B619A">
        <w:rPr>
          <w:rStyle w:val="aff1"/>
          <w:color w:val="000000" w:themeColor="text1"/>
        </w:rPr>
        <w:footnoteRef/>
      </w:r>
      <w:r w:rsidRPr="008B619A">
        <w:rPr>
          <w:color w:val="000000" w:themeColor="text1"/>
        </w:rPr>
        <w:t xml:space="preserve"> </w:t>
      </w:r>
      <w:r w:rsidRPr="008B619A">
        <w:rPr>
          <w:rFonts w:ascii="標楷體" w:eastAsia="標楷體" w:hAnsi="標楷體" w:hint="eastAsia"/>
          <w:color w:val="000000" w:themeColor="text1"/>
        </w:rPr>
        <w:t>國發會（民109）。</w:t>
      </w:r>
      <w:r w:rsidRPr="008B619A">
        <w:rPr>
          <w:rFonts w:ascii="標楷體" w:eastAsia="標楷體" w:hAnsi="標楷體" w:hint="eastAsia"/>
          <w:b/>
          <w:bCs/>
          <w:color w:val="000000" w:themeColor="text1"/>
        </w:rPr>
        <w:t>2020年IMD報告我國「吸引與留住人才」世界排名上升 整體人才排名持平</w:t>
      </w:r>
      <w:r w:rsidRPr="008B619A">
        <w:rPr>
          <w:rFonts w:ascii="標楷體" w:eastAsia="標楷體" w:hAnsi="標楷體" w:hint="eastAsia"/>
          <w:color w:val="000000" w:themeColor="text1"/>
        </w:rPr>
        <w:t>。110年，取自</w:t>
      </w:r>
      <w:r w:rsidRPr="008B619A">
        <w:rPr>
          <w:rFonts w:ascii="Times New Roman" w:eastAsia="標楷體" w:hAnsi="Times New Roman" w:cs="Times New Roman"/>
          <w:color w:val="000000" w:themeColor="text1"/>
          <w:szCs w:val="32"/>
        </w:rPr>
        <w:t>https://www.ndc.gov.tw/nc_27_34568</w:t>
      </w:r>
    </w:p>
  </w:footnote>
  <w:footnote w:id="27">
    <w:p w14:paraId="4FD1BBAB" w14:textId="037B022B" w:rsidR="008B5814" w:rsidRPr="008B619A" w:rsidRDefault="008B5814" w:rsidP="00962BAF">
      <w:pPr>
        <w:pStyle w:val="aff"/>
        <w:wordWrap w:val="0"/>
        <w:ind w:left="222" w:hangingChars="101" w:hanging="222"/>
        <w:jc w:val="both"/>
        <w:rPr>
          <w:color w:val="000000" w:themeColor="text1"/>
        </w:rPr>
      </w:pPr>
      <w:r w:rsidRPr="008B619A">
        <w:rPr>
          <w:rStyle w:val="aff1"/>
          <w:color w:val="000000" w:themeColor="text1"/>
        </w:rPr>
        <w:footnoteRef/>
      </w:r>
      <w:r w:rsidRPr="008B619A">
        <w:rPr>
          <w:color w:val="000000" w:themeColor="text1"/>
        </w:rPr>
        <w:t xml:space="preserve"> </w:t>
      </w:r>
      <w:r w:rsidRPr="008B619A">
        <w:rPr>
          <w:rFonts w:ascii="標楷體" w:eastAsia="標楷體" w:hAnsi="標楷體" w:hint="eastAsia"/>
          <w:color w:val="000000" w:themeColor="text1"/>
        </w:rPr>
        <w:t>教育部統計處（民109）。</w:t>
      </w:r>
      <w:r w:rsidRPr="008B619A">
        <w:rPr>
          <w:rFonts w:ascii="標楷體" w:eastAsia="標楷體" w:hAnsi="標楷體" w:hint="eastAsia"/>
          <w:b/>
          <w:bCs/>
          <w:color w:val="000000" w:themeColor="text1"/>
        </w:rPr>
        <w:t>108學年</w:t>
      </w:r>
      <w:r w:rsidRPr="008B619A">
        <w:rPr>
          <w:rFonts w:ascii="標楷體" w:eastAsia="標楷體" w:hAnsi="標楷體"/>
          <w:b/>
          <w:bCs/>
          <w:color w:val="000000" w:themeColor="text1"/>
        </w:rPr>
        <w:t>各級教育統計概況分析</w:t>
      </w:r>
      <w:r w:rsidRPr="008B619A">
        <w:rPr>
          <w:rFonts w:ascii="標楷體" w:eastAsia="標楷體" w:hAnsi="標楷體" w:hint="eastAsia"/>
          <w:color w:val="000000" w:themeColor="text1"/>
        </w:rPr>
        <w:t>。110年，取自</w:t>
      </w:r>
      <w:r w:rsidRPr="008B619A">
        <w:rPr>
          <w:rFonts w:ascii="Times New Roman" w:eastAsia="標楷體" w:hAnsi="Times New Roman" w:cs="Times New Roman"/>
          <w:color w:val="000000" w:themeColor="text1"/>
          <w:szCs w:val="32"/>
        </w:rPr>
        <w:t>https://stats.moe.gov.tw/files/analysis/108_all_level.pdf</w:t>
      </w:r>
    </w:p>
  </w:footnote>
  <w:footnote w:id="28">
    <w:p w14:paraId="3E5C8808" w14:textId="00C8D926" w:rsidR="008B5814" w:rsidRPr="008B619A" w:rsidRDefault="008B5814" w:rsidP="00274A22">
      <w:pPr>
        <w:pStyle w:val="aff"/>
        <w:ind w:left="284" w:hangingChars="129" w:hanging="284"/>
        <w:jc w:val="both"/>
        <w:rPr>
          <w:color w:val="000000" w:themeColor="text1"/>
        </w:rPr>
      </w:pPr>
      <w:r w:rsidRPr="008B619A">
        <w:rPr>
          <w:rStyle w:val="aff1"/>
          <w:color w:val="000000" w:themeColor="text1"/>
        </w:rPr>
        <w:footnoteRef/>
      </w:r>
      <w:r w:rsidRPr="008B619A">
        <w:rPr>
          <w:color w:val="000000" w:themeColor="text1"/>
        </w:rPr>
        <w:t xml:space="preserve"> </w:t>
      </w:r>
      <w:r w:rsidRPr="008B619A">
        <w:rPr>
          <w:rFonts w:ascii="標楷體" w:eastAsia="標楷體" w:hAnsi="標楷體" w:hint="eastAsia"/>
          <w:color w:val="000000" w:themeColor="text1"/>
        </w:rPr>
        <w:t>取自</w:t>
      </w:r>
      <w:r w:rsidRPr="008B619A">
        <w:rPr>
          <w:rFonts w:ascii="Times New Roman" w:eastAsia="標楷體" w:hAnsi="Times New Roman" w:cs="Times New Roman" w:hint="eastAsia"/>
          <w:color w:val="000000" w:themeColor="text1"/>
          <w:szCs w:val="32"/>
        </w:rPr>
        <w:t>2020</w:t>
      </w:r>
      <w:r w:rsidRPr="008B619A">
        <w:rPr>
          <w:rFonts w:ascii="Times New Roman" w:eastAsia="標楷體" w:hAnsi="Times New Roman" w:cs="Times New Roman" w:hint="eastAsia"/>
          <w:color w:val="000000" w:themeColor="text1"/>
          <w:szCs w:val="32"/>
        </w:rPr>
        <w:t>年</w:t>
      </w:r>
      <w:r w:rsidRPr="008B619A">
        <w:rPr>
          <w:rFonts w:ascii="Times New Roman" w:eastAsia="標楷體" w:hAnsi="Times New Roman" w:cs="Times New Roman" w:hint="eastAsia"/>
          <w:color w:val="000000" w:themeColor="text1"/>
          <w:szCs w:val="32"/>
        </w:rPr>
        <w:t>8</w:t>
      </w:r>
      <w:r w:rsidRPr="008B619A">
        <w:rPr>
          <w:rFonts w:ascii="Times New Roman" w:eastAsia="標楷體" w:hAnsi="Times New Roman" w:cs="Times New Roman" w:hint="eastAsia"/>
          <w:color w:val="000000" w:themeColor="text1"/>
          <w:szCs w:val="32"/>
        </w:rPr>
        <w:t>月</w:t>
      </w:r>
      <w:r w:rsidRPr="008B619A">
        <w:rPr>
          <w:rFonts w:ascii="Times New Roman" w:eastAsia="標楷體" w:hAnsi="Times New Roman" w:cs="Times New Roman" w:hint="eastAsia"/>
          <w:color w:val="000000" w:themeColor="text1"/>
          <w:szCs w:val="32"/>
        </w:rPr>
        <w:t>11</w:t>
      </w:r>
      <w:r w:rsidRPr="008B619A">
        <w:rPr>
          <w:rFonts w:ascii="Times New Roman" w:eastAsia="標楷體" w:hAnsi="Times New Roman" w:cs="Times New Roman" w:hint="eastAsia"/>
          <w:color w:val="000000" w:themeColor="text1"/>
          <w:szCs w:val="32"/>
        </w:rPr>
        <w:t>日《澳洲政策分析與觀察</w:t>
      </w:r>
      <w:r w:rsidRPr="008B619A">
        <w:rPr>
          <w:rFonts w:ascii="Times New Roman" w:eastAsia="標楷體" w:hAnsi="Times New Roman" w:cs="Times New Roman" w:hint="eastAsia"/>
          <w:color w:val="000000" w:themeColor="text1"/>
          <w:szCs w:val="32"/>
        </w:rPr>
        <w:t>APO</w:t>
      </w:r>
      <w:r w:rsidRPr="008B619A">
        <w:rPr>
          <w:rFonts w:ascii="Times New Roman" w:eastAsia="標楷體" w:hAnsi="Times New Roman" w:cs="Times New Roman" w:hint="eastAsia"/>
          <w:color w:val="000000" w:themeColor="text1"/>
          <w:szCs w:val="32"/>
        </w:rPr>
        <w:t>》</w:t>
      </w:r>
      <w:r w:rsidRPr="008B619A">
        <w:rPr>
          <w:rFonts w:ascii="Times New Roman" w:eastAsia="標楷體" w:hAnsi="Times New Roman" w:cs="Times New Roman" w:hint="eastAsia"/>
          <w:color w:val="000000" w:themeColor="text1"/>
          <w:szCs w:val="32"/>
        </w:rPr>
        <w:t>Implementing an integrated STEM education in schools: five key questions answered</w:t>
      </w:r>
      <w:r w:rsidRPr="008B619A">
        <w:rPr>
          <w:rFonts w:ascii="Times New Roman" w:eastAsia="標楷體" w:hAnsi="Times New Roman" w:cs="Times New Roman" w:hint="eastAsia"/>
          <w:color w:val="000000" w:themeColor="text1"/>
          <w:szCs w:val="32"/>
        </w:rPr>
        <w:t>；駐澳大利亞臺北經濟文化辦事處，</w:t>
      </w:r>
      <w:r w:rsidRPr="008B619A">
        <w:rPr>
          <w:rFonts w:ascii="Times New Roman" w:eastAsia="標楷體" w:hAnsi="Times New Roman" w:cs="Times New Roman" w:hint="eastAsia"/>
          <w:color w:val="000000" w:themeColor="text1"/>
          <w:szCs w:val="32"/>
        </w:rPr>
        <w:t>2020</w:t>
      </w:r>
      <w:r w:rsidRPr="008B619A">
        <w:rPr>
          <w:rFonts w:ascii="Times New Roman" w:eastAsia="標楷體" w:hAnsi="Times New Roman" w:cs="Times New Roman" w:hint="eastAsia"/>
          <w:color w:val="000000" w:themeColor="text1"/>
          <w:szCs w:val="32"/>
        </w:rPr>
        <w:t>。</w:t>
      </w:r>
    </w:p>
  </w:footnote>
  <w:footnote w:id="29">
    <w:p w14:paraId="506AC5BB" w14:textId="292DA22F" w:rsidR="008B5814" w:rsidRPr="008B619A" w:rsidRDefault="008B5814" w:rsidP="00484BD8">
      <w:pPr>
        <w:pStyle w:val="aff"/>
        <w:ind w:left="284" w:hangingChars="129" w:hanging="284"/>
        <w:jc w:val="both"/>
        <w:rPr>
          <w:color w:val="000000" w:themeColor="text1"/>
        </w:rPr>
      </w:pPr>
      <w:r w:rsidRPr="008B619A">
        <w:rPr>
          <w:rStyle w:val="aff1"/>
          <w:color w:val="000000" w:themeColor="text1"/>
        </w:rPr>
        <w:footnoteRef/>
      </w:r>
      <w:r w:rsidRPr="008B619A">
        <w:rPr>
          <w:color w:val="000000" w:themeColor="text1"/>
        </w:rPr>
        <w:t xml:space="preserve"> </w:t>
      </w:r>
      <w:r w:rsidRPr="008B619A">
        <w:rPr>
          <w:rFonts w:ascii="標楷體" w:eastAsia="標楷體" w:hAnsi="標楷體" w:hint="eastAsia"/>
          <w:color w:val="000000" w:themeColor="text1"/>
        </w:rPr>
        <w:t>國家教育研究院國際大型教育評比專案辦公室（無日期）。</w:t>
      </w:r>
      <w:r w:rsidRPr="008B619A">
        <w:rPr>
          <w:rFonts w:ascii="標楷體" w:eastAsia="標楷體" w:hAnsi="標楷體" w:hint="eastAsia"/>
          <w:b/>
          <w:color w:val="000000" w:themeColor="text1"/>
        </w:rPr>
        <w:t>調查結果與教育政策</w:t>
      </w:r>
      <w:r w:rsidRPr="008B619A">
        <w:rPr>
          <w:rFonts w:ascii="標楷體" w:eastAsia="標楷體" w:hAnsi="標楷體" w:hint="eastAsia"/>
          <w:color w:val="000000" w:themeColor="text1"/>
        </w:rPr>
        <w:t>。110年，取自</w:t>
      </w:r>
      <w:r w:rsidRPr="008B619A">
        <w:rPr>
          <w:rFonts w:ascii="Times New Roman" w:eastAsia="標楷體" w:hAnsi="Times New Roman" w:cs="Times New Roman"/>
          <w:color w:val="000000" w:themeColor="text1"/>
          <w:szCs w:val="32"/>
        </w:rPr>
        <w:t>https://tilssc.naer.edu.tw/report</w:t>
      </w:r>
    </w:p>
  </w:footnote>
  <w:footnote w:id="30">
    <w:p w14:paraId="413CF4CD" w14:textId="74C97A04" w:rsidR="008B5814" w:rsidRPr="008B619A" w:rsidRDefault="008B5814" w:rsidP="00642455">
      <w:pPr>
        <w:pStyle w:val="aff"/>
        <w:ind w:left="284" w:hangingChars="129" w:hanging="284"/>
        <w:rPr>
          <w:color w:val="000000" w:themeColor="text1"/>
        </w:rPr>
      </w:pPr>
      <w:r w:rsidRPr="008B619A">
        <w:rPr>
          <w:rStyle w:val="aff1"/>
          <w:color w:val="000000" w:themeColor="text1"/>
        </w:rPr>
        <w:footnoteRef/>
      </w:r>
      <w:r w:rsidRPr="008B619A">
        <w:rPr>
          <w:color w:val="000000" w:themeColor="text1"/>
        </w:rPr>
        <w:t xml:space="preserve"> </w:t>
      </w:r>
      <w:r w:rsidRPr="008B619A">
        <w:rPr>
          <w:rFonts w:ascii="標楷體" w:eastAsia="標楷體" w:hAnsi="標楷體" w:hint="eastAsia"/>
          <w:color w:val="000000" w:themeColor="text1"/>
        </w:rPr>
        <w:t>PISA是由OECD主辦的全球性學生評量。PISA自2000年起，每3年舉辦一次，其評量對象為15歲學生，評量內容涵蓋閱讀、數學和科學3個領域的基本素養程度。</w:t>
      </w:r>
    </w:p>
  </w:footnote>
  <w:footnote w:id="31">
    <w:p w14:paraId="13F173CF" w14:textId="06872D70" w:rsidR="008B5814" w:rsidRPr="008B619A" w:rsidRDefault="008B5814" w:rsidP="00137D3B">
      <w:pPr>
        <w:pStyle w:val="aff"/>
        <w:ind w:left="284" w:hangingChars="129" w:hanging="284"/>
        <w:jc w:val="both"/>
        <w:rPr>
          <w:color w:val="000000" w:themeColor="text1"/>
        </w:rPr>
      </w:pPr>
      <w:r w:rsidRPr="008B619A">
        <w:rPr>
          <w:rStyle w:val="aff1"/>
          <w:color w:val="000000" w:themeColor="text1"/>
        </w:rPr>
        <w:footnoteRef/>
      </w:r>
      <w:r w:rsidRPr="008B619A">
        <w:rPr>
          <w:color w:val="000000" w:themeColor="text1"/>
        </w:rPr>
        <w:t xml:space="preserve"> </w:t>
      </w:r>
      <w:r w:rsidRPr="008B619A">
        <w:rPr>
          <w:rFonts w:ascii="標楷體" w:eastAsia="標楷體" w:hAnsi="標楷體"/>
          <w:color w:val="000000" w:themeColor="text1"/>
        </w:rPr>
        <w:t>PIRLS是由國際教育成就評量學會（</w:t>
      </w:r>
      <w:r w:rsidRPr="008B619A">
        <w:rPr>
          <w:rFonts w:ascii="Times New Roman" w:eastAsia="標楷體" w:hAnsi="Times New Roman" w:cs="Times New Roman"/>
          <w:color w:val="000000" w:themeColor="text1"/>
          <w:szCs w:val="32"/>
        </w:rPr>
        <w:t>The International Association for the Evaluation of Educational Achievement</w:t>
      </w:r>
      <w:r w:rsidRPr="008B619A">
        <w:rPr>
          <w:rFonts w:ascii="標楷體" w:eastAsia="標楷體" w:hAnsi="標楷體"/>
          <w:color w:val="000000" w:themeColor="text1"/>
        </w:rPr>
        <w:t>，簡稱</w:t>
      </w:r>
      <w:r w:rsidRPr="008B619A">
        <w:rPr>
          <w:rFonts w:ascii="Times New Roman" w:eastAsia="標楷體" w:hAnsi="Times New Roman" w:cs="Times New Roman"/>
          <w:color w:val="000000" w:themeColor="text1"/>
          <w:szCs w:val="32"/>
        </w:rPr>
        <w:t>IEA</w:t>
      </w:r>
      <w:r w:rsidRPr="008B619A">
        <w:rPr>
          <w:rFonts w:ascii="標楷體" w:eastAsia="標楷體" w:hAnsi="標楷體"/>
          <w:color w:val="000000" w:themeColor="text1"/>
        </w:rPr>
        <w:t>）主辦的全球性學生評量。</w:t>
      </w:r>
    </w:p>
  </w:footnote>
  <w:footnote w:id="32">
    <w:p w14:paraId="036B97B8" w14:textId="137A1E54" w:rsidR="008B5814" w:rsidRPr="008B619A" w:rsidRDefault="008B5814" w:rsidP="00E21229">
      <w:pPr>
        <w:pStyle w:val="aff"/>
        <w:ind w:left="284" w:hangingChars="129" w:hanging="284"/>
        <w:jc w:val="both"/>
        <w:rPr>
          <w:color w:val="000000" w:themeColor="text1"/>
        </w:rPr>
      </w:pPr>
      <w:r w:rsidRPr="008B619A">
        <w:rPr>
          <w:rStyle w:val="aff1"/>
          <w:color w:val="000000" w:themeColor="text1"/>
        </w:rPr>
        <w:footnoteRef/>
      </w:r>
      <w:r w:rsidRPr="008B619A">
        <w:rPr>
          <w:color w:val="000000" w:themeColor="text1"/>
        </w:rPr>
        <w:t xml:space="preserve"> </w:t>
      </w:r>
      <w:r w:rsidRPr="008B619A">
        <w:rPr>
          <w:rFonts w:ascii="標楷體" w:eastAsia="標楷體" w:hAnsi="標楷體" w:hint="eastAsia"/>
          <w:color w:val="000000" w:themeColor="text1"/>
        </w:rPr>
        <w:t>TIMSS基本的評量內容為認知、應用以及推理。TIMSS主要目的在提供各國長期追蹤學生數學和科學成就的趨勢與課程、教學、學習環境、家庭背景、以及教師等影響因素的相關資料，以了解各國在其教育改革或課程改革等改進措施的成效。也提供各國在教育實務上執行方法不同而獲致不同教育成果的各項資訊，作為各國在從事教育改進的參考。</w:t>
      </w:r>
    </w:p>
  </w:footnote>
  <w:footnote w:id="33">
    <w:p w14:paraId="6CEAD556" w14:textId="44F88021" w:rsidR="008B5814" w:rsidRPr="008B619A" w:rsidRDefault="008B5814" w:rsidP="00E82840">
      <w:pPr>
        <w:pStyle w:val="aff"/>
        <w:ind w:left="284" w:hangingChars="129" w:hanging="284"/>
        <w:rPr>
          <w:color w:val="000000" w:themeColor="text1"/>
        </w:rPr>
      </w:pPr>
      <w:r w:rsidRPr="008B619A">
        <w:rPr>
          <w:rStyle w:val="aff1"/>
          <w:color w:val="000000" w:themeColor="text1"/>
        </w:rPr>
        <w:footnoteRef/>
      </w:r>
      <w:r w:rsidRPr="008B619A">
        <w:rPr>
          <w:color w:val="000000" w:themeColor="text1"/>
        </w:rPr>
        <w:t xml:space="preserve"> </w:t>
      </w:r>
      <w:r w:rsidRPr="008B619A">
        <w:rPr>
          <w:rFonts w:ascii="標楷體" w:eastAsia="標楷體" w:hAnsi="標楷體" w:hint="eastAsia"/>
          <w:color w:val="000000" w:themeColor="text1"/>
        </w:rPr>
        <w:t>駐日本代表處教育組（民109）。</w:t>
      </w:r>
      <w:r w:rsidRPr="008B619A">
        <w:rPr>
          <w:rFonts w:ascii="標楷體" w:eastAsia="標楷體" w:hAnsi="標楷體" w:hint="eastAsia"/>
          <w:b/>
          <w:color w:val="000000" w:themeColor="text1"/>
        </w:rPr>
        <w:t>日本大學共通入學考試科目擬於2025年起增設「資訊」科</w:t>
      </w:r>
      <w:r w:rsidRPr="008B619A">
        <w:rPr>
          <w:rFonts w:ascii="標楷體" w:eastAsia="標楷體" w:hAnsi="標楷體" w:hint="eastAsia"/>
          <w:color w:val="000000" w:themeColor="text1"/>
        </w:rPr>
        <w:t>。110年，取自</w:t>
      </w:r>
      <w:r w:rsidRPr="008B619A">
        <w:rPr>
          <w:rFonts w:ascii="Times New Roman" w:eastAsia="標楷體" w:hAnsi="Times New Roman" w:cs="Times New Roman"/>
          <w:color w:val="000000" w:themeColor="text1"/>
          <w:szCs w:val="32"/>
        </w:rPr>
        <w:t>https://epaper.edu.tw/windows.aspx?windows_sn=24179</w:t>
      </w:r>
    </w:p>
  </w:footnote>
  <w:footnote w:id="34">
    <w:p w14:paraId="38DED826" w14:textId="77777777" w:rsidR="008B5814" w:rsidRPr="008B619A" w:rsidRDefault="008B5814" w:rsidP="000B2D48">
      <w:pPr>
        <w:pStyle w:val="aff"/>
        <w:ind w:left="284" w:hangingChars="129" w:hanging="284"/>
        <w:rPr>
          <w:rFonts w:ascii="標楷體" w:eastAsia="標楷體" w:hAnsi="標楷體"/>
          <w:color w:val="000000" w:themeColor="text1"/>
        </w:rPr>
      </w:pPr>
      <w:r w:rsidRPr="008B619A">
        <w:rPr>
          <w:rStyle w:val="aff1"/>
          <w:rFonts w:eastAsia="標楷體" w:cstheme="minorHAnsi"/>
          <w:color w:val="000000" w:themeColor="text1"/>
        </w:rPr>
        <w:footnoteRef/>
      </w:r>
      <w:r w:rsidRPr="008B619A">
        <w:rPr>
          <w:rFonts w:ascii="標楷體" w:eastAsia="標楷體" w:hAnsi="標楷體"/>
          <w:color w:val="000000" w:themeColor="text1"/>
        </w:rPr>
        <w:t xml:space="preserve"> </w:t>
      </w:r>
      <w:r w:rsidRPr="008B619A">
        <w:rPr>
          <w:rFonts w:ascii="標楷體" w:eastAsia="標楷體" w:hAnsi="標楷體" w:hint="eastAsia"/>
          <w:color w:val="000000" w:themeColor="text1"/>
        </w:rPr>
        <w:t>去年獲廣西婦聯頒發「三八紅旗」、今年廣西省頒發「五四青年獎章」，成為第一個在廣西獲此稱謂的臺灣人士。</w:t>
      </w:r>
    </w:p>
  </w:footnote>
  <w:footnote w:id="35">
    <w:p w14:paraId="28B0048B" w14:textId="18881504" w:rsidR="008B5814" w:rsidRPr="008B619A" w:rsidRDefault="008B5814" w:rsidP="003B6CA9">
      <w:pPr>
        <w:pStyle w:val="aff"/>
        <w:wordWrap w:val="0"/>
        <w:ind w:leftChars="3" w:left="151" w:hangingChars="64" w:hanging="141"/>
        <w:jc w:val="both"/>
        <w:rPr>
          <w:rFonts w:ascii="Times New Roman" w:hAnsi="Times New Roman" w:cs="Times New Roman"/>
          <w:color w:val="000000" w:themeColor="text1"/>
        </w:rPr>
      </w:pPr>
      <w:r w:rsidRPr="008B619A">
        <w:rPr>
          <w:rStyle w:val="aff1"/>
          <w:color w:val="000000" w:themeColor="text1"/>
        </w:rPr>
        <w:footnoteRef/>
      </w:r>
      <w:r w:rsidRPr="008B619A">
        <w:rPr>
          <w:color w:val="000000" w:themeColor="text1"/>
        </w:rPr>
        <w:t xml:space="preserve"> </w:t>
      </w:r>
      <w:r w:rsidRPr="008B619A">
        <w:rPr>
          <w:rFonts w:ascii="標楷體" w:eastAsia="標楷體" w:hAnsi="標楷體" w:hint="eastAsia"/>
          <w:color w:val="000000" w:themeColor="text1"/>
        </w:rPr>
        <w:t>陳華昇，財團法人台灣經濟研究院（民1</w:t>
      </w:r>
      <w:r w:rsidRPr="008B619A">
        <w:rPr>
          <w:rFonts w:ascii="標楷體" w:eastAsia="標楷體" w:hAnsi="標楷體"/>
          <w:color w:val="000000" w:themeColor="text1"/>
        </w:rPr>
        <w:t>07</w:t>
      </w:r>
      <w:r w:rsidRPr="008B619A">
        <w:rPr>
          <w:rFonts w:ascii="標楷體" w:eastAsia="標楷體" w:hAnsi="標楷體" w:hint="eastAsia"/>
          <w:color w:val="000000" w:themeColor="text1"/>
        </w:rPr>
        <w:t>）。</w:t>
      </w:r>
      <w:r w:rsidRPr="008B619A">
        <w:rPr>
          <w:rFonts w:ascii="標楷體" w:eastAsia="標楷體" w:hAnsi="標楷體" w:hint="eastAsia"/>
          <w:b/>
          <w:color w:val="000000" w:themeColor="text1"/>
        </w:rPr>
        <w:t>大陸委員會委託研究報告：</w:t>
      </w:r>
      <w:r w:rsidRPr="008B619A">
        <w:rPr>
          <w:rFonts w:ascii="標楷體" w:eastAsia="標楷體" w:hAnsi="標楷體"/>
          <w:b/>
          <w:color w:val="000000" w:themeColor="text1"/>
        </w:rPr>
        <w:t>中國大陸引才政策及措施對臺灣人才磁吸之影響與因應</w:t>
      </w:r>
      <w:r w:rsidRPr="008B619A">
        <w:rPr>
          <w:rFonts w:ascii="標楷體" w:eastAsia="標楷體" w:hAnsi="標楷體" w:hint="eastAsia"/>
          <w:color w:val="000000" w:themeColor="text1"/>
        </w:rPr>
        <w:t>。</w:t>
      </w:r>
      <w:r w:rsidRPr="008B619A">
        <w:rPr>
          <w:rFonts w:ascii="標楷體" w:eastAsia="標楷體" w:hAnsi="標楷體"/>
          <w:color w:val="000000" w:themeColor="text1"/>
        </w:rPr>
        <w:t>110</w:t>
      </w:r>
      <w:r w:rsidRPr="008B619A">
        <w:rPr>
          <w:rFonts w:ascii="標楷體" w:eastAsia="標楷體" w:hAnsi="標楷體" w:hint="eastAsia"/>
          <w:color w:val="000000" w:themeColor="text1"/>
        </w:rPr>
        <w:t>年，取自</w:t>
      </w:r>
      <w:r w:rsidRPr="008B619A">
        <w:rPr>
          <w:rFonts w:ascii="Times New Roman" w:eastAsia="標楷體" w:hAnsi="Times New Roman" w:cs="Times New Roman"/>
          <w:color w:val="000000" w:themeColor="text1"/>
        </w:rPr>
        <w:t>https://ws.mac.gov.tw/001/Upload/295/relfile/7845/73806/b7a0cd2d-1e6c-4ce6-8fc4-4387eef7e778.pdf</w:t>
      </w:r>
    </w:p>
  </w:footnote>
  <w:footnote w:id="36">
    <w:p w14:paraId="761AE8A1" w14:textId="77777777" w:rsidR="008B5814" w:rsidRPr="008B619A" w:rsidRDefault="008B5814" w:rsidP="00372081">
      <w:pPr>
        <w:pStyle w:val="aff"/>
        <w:wordWrap w:val="0"/>
        <w:ind w:leftChars="3" w:left="151" w:hangingChars="64" w:hanging="141"/>
        <w:jc w:val="both"/>
        <w:rPr>
          <w:rFonts w:ascii="標楷體" w:eastAsia="標楷體" w:hAnsi="標楷體"/>
          <w:color w:val="000000" w:themeColor="text1"/>
        </w:rPr>
      </w:pPr>
      <w:r w:rsidRPr="008B619A">
        <w:rPr>
          <w:rStyle w:val="aff1"/>
          <w:color w:val="000000" w:themeColor="text1"/>
        </w:rPr>
        <w:footnoteRef/>
      </w:r>
      <w:r w:rsidRPr="008B619A">
        <w:rPr>
          <w:rStyle w:val="aff1"/>
          <w:color w:val="000000" w:themeColor="text1"/>
        </w:rPr>
        <w:t xml:space="preserve"> </w:t>
      </w:r>
      <w:r w:rsidRPr="008B619A">
        <w:rPr>
          <w:rFonts w:ascii="標楷體" w:eastAsia="標楷體" w:hAnsi="標楷體" w:hint="eastAsia"/>
          <w:color w:val="000000" w:themeColor="text1"/>
        </w:rPr>
        <w:t>科技部國家實驗研究院科技政策研究與資訊中心（民110）。</w:t>
      </w:r>
      <w:r w:rsidRPr="008B619A">
        <w:rPr>
          <w:rFonts w:ascii="標楷體" w:eastAsia="標楷體" w:hAnsi="標楷體" w:hint="eastAsia"/>
          <w:b/>
          <w:color w:val="000000" w:themeColor="text1"/>
        </w:rPr>
        <w:t>2021年全球風險報告</w:t>
      </w:r>
      <w:r w:rsidRPr="008B619A">
        <w:rPr>
          <w:rFonts w:ascii="標楷體" w:eastAsia="標楷體" w:hAnsi="標楷體" w:hint="eastAsia"/>
          <w:color w:val="000000" w:themeColor="text1"/>
        </w:rPr>
        <w:t>。</w:t>
      </w:r>
    </w:p>
    <w:p w14:paraId="00E2D13C" w14:textId="2A3C6684" w:rsidR="008B5814" w:rsidRPr="008B619A" w:rsidRDefault="008B5814" w:rsidP="00372081">
      <w:pPr>
        <w:pStyle w:val="aff"/>
        <w:wordWrap w:val="0"/>
        <w:ind w:leftChars="3" w:left="151" w:hangingChars="64" w:hanging="141"/>
        <w:jc w:val="both"/>
        <w:rPr>
          <w:rFonts w:ascii="Times New Roman" w:hAnsi="Times New Roman" w:cs="Times New Roman"/>
          <w:color w:val="000000" w:themeColor="text1"/>
        </w:rPr>
      </w:pPr>
      <w:r w:rsidRPr="008B619A">
        <w:rPr>
          <w:rFonts w:ascii="標楷體" w:eastAsia="標楷體" w:hAnsi="標楷體" w:hint="eastAsia"/>
          <w:color w:val="000000" w:themeColor="text1"/>
        </w:rPr>
        <w:t xml:space="preserve">  110年，</w:t>
      </w:r>
      <w:r w:rsidRPr="008B619A">
        <w:rPr>
          <w:rFonts w:ascii="Times New Roman" w:eastAsia="標楷體" w:hAnsi="Times New Roman" w:cs="Times New Roman"/>
          <w:color w:val="000000" w:themeColor="text1"/>
        </w:rPr>
        <w:t>取自</w:t>
      </w:r>
      <w:r w:rsidRPr="008B619A">
        <w:rPr>
          <w:rFonts w:ascii="Times New Roman" w:eastAsia="標楷體" w:hAnsi="Times New Roman" w:cs="Times New Roman"/>
          <w:color w:val="000000" w:themeColor="text1"/>
        </w:rPr>
        <w:t>https://outlook.stpi.narl.org.tw/index/focus-news?id=4b1141007843936801786d7f914c126b</w:t>
      </w:r>
    </w:p>
  </w:footnote>
  <w:footnote w:id="37">
    <w:p w14:paraId="1737F683" w14:textId="11138DF3" w:rsidR="008B5814" w:rsidRPr="008B619A" w:rsidRDefault="008B5814" w:rsidP="000B5045">
      <w:pPr>
        <w:pStyle w:val="aff"/>
        <w:wordWrap w:val="0"/>
        <w:ind w:left="284" w:hangingChars="129" w:hanging="284"/>
        <w:rPr>
          <w:color w:val="000000" w:themeColor="text1"/>
        </w:rPr>
      </w:pPr>
      <w:r w:rsidRPr="008B619A">
        <w:rPr>
          <w:rStyle w:val="aff1"/>
          <w:color w:val="000000" w:themeColor="text1"/>
        </w:rPr>
        <w:footnoteRef/>
      </w:r>
      <w:r w:rsidRPr="008B619A">
        <w:rPr>
          <w:rFonts w:hint="eastAsia"/>
          <w:color w:val="000000" w:themeColor="text1"/>
        </w:rPr>
        <w:t xml:space="preserve"> </w:t>
      </w:r>
      <w:r w:rsidRPr="008B619A">
        <w:rPr>
          <w:rFonts w:ascii="標楷體" w:eastAsia="標楷體" w:hAnsi="標楷體" w:hint="eastAsia"/>
          <w:color w:val="000000" w:themeColor="text1"/>
        </w:rPr>
        <w:t>行政院主計總處（民110）。</w:t>
      </w:r>
      <w:r w:rsidRPr="008B619A">
        <w:rPr>
          <w:rFonts w:ascii="標楷體" w:eastAsia="標楷體" w:hAnsi="標楷體" w:hint="eastAsia"/>
          <w:b/>
          <w:color w:val="000000" w:themeColor="text1"/>
        </w:rPr>
        <w:t>109年12月暨全年人力資源調查統計結果</w:t>
      </w:r>
      <w:r w:rsidRPr="008B619A">
        <w:rPr>
          <w:rFonts w:ascii="標楷體" w:eastAsia="標楷體" w:hAnsi="標楷體" w:hint="eastAsia"/>
          <w:color w:val="000000" w:themeColor="text1"/>
        </w:rPr>
        <w:t>。110年，取自</w:t>
      </w:r>
      <w:r w:rsidRPr="008B619A">
        <w:rPr>
          <w:rFonts w:ascii="Times New Roman" w:hAnsi="Times New Roman" w:cs="Times New Roman"/>
          <w:color w:val="000000" w:themeColor="text1"/>
        </w:rPr>
        <w:t>https://www.dgbas.gov.tw/ct.asp?xItem=46810&amp;ctNode=5624&amp;mp=1</w:t>
      </w:r>
    </w:p>
  </w:footnote>
  <w:footnote w:id="38">
    <w:p w14:paraId="58F8AF05" w14:textId="77777777" w:rsidR="008B5814" w:rsidRPr="008B619A" w:rsidRDefault="008B5814" w:rsidP="000B5045">
      <w:pPr>
        <w:pStyle w:val="aff"/>
        <w:wordWrap w:val="0"/>
        <w:ind w:left="284" w:hangingChars="129" w:hanging="284"/>
        <w:rPr>
          <w:color w:val="000000" w:themeColor="text1"/>
        </w:rPr>
      </w:pPr>
      <w:r w:rsidRPr="008B619A">
        <w:rPr>
          <w:rStyle w:val="aff1"/>
          <w:color w:val="000000" w:themeColor="text1"/>
        </w:rPr>
        <w:footnoteRef/>
      </w:r>
      <w:r w:rsidRPr="008B619A">
        <w:rPr>
          <w:rFonts w:ascii="標楷體" w:eastAsia="標楷體" w:hAnsi="標楷體"/>
          <w:color w:val="000000" w:themeColor="text1"/>
        </w:rPr>
        <w:t xml:space="preserve"> </w:t>
      </w:r>
      <w:r w:rsidRPr="008B619A">
        <w:rPr>
          <w:rFonts w:ascii="標楷體" w:eastAsia="標楷體" w:hAnsi="標楷體" w:hint="eastAsia"/>
          <w:color w:val="000000" w:themeColor="text1"/>
        </w:rPr>
        <w:t>勞動部（無日期）。</w:t>
      </w:r>
      <w:r w:rsidRPr="008B619A">
        <w:rPr>
          <w:rFonts w:ascii="標楷體" w:eastAsia="標楷體" w:hAnsi="標楷體" w:hint="eastAsia"/>
          <w:b/>
          <w:bCs/>
          <w:color w:val="000000" w:themeColor="text1"/>
        </w:rPr>
        <w:t>109年15-29歲青年勞工就業狀況調查</w:t>
      </w:r>
      <w:r w:rsidRPr="008B619A">
        <w:rPr>
          <w:rFonts w:ascii="標楷體" w:eastAsia="標楷體" w:hAnsi="標楷體" w:hint="eastAsia"/>
          <w:color w:val="000000" w:themeColor="text1"/>
        </w:rPr>
        <w:t>。110年，取自</w:t>
      </w:r>
      <w:r w:rsidRPr="008B619A">
        <w:rPr>
          <w:rFonts w:ascii="Times New Roman" w:hAnsi="Times New Roman" w:cs="Times New Roman"/>
          <w:color w:val="000000" w:themeColor="text1"/>
        </w:rPr>
        <w:t>https://statdb.mol.gov.tw/html/svy09/0911menu.htm</w:t>
      </w:r>
    </w:p>
  </w:footnote>
  <w:footnote w:id="39">
    <w:p w14:paraId="1CDD0516" w14:textId="32DE60B5" w:rsidR="008B5814" w:rsidRPr="008B619A" w:rsidRDefault="008B5814" w:rsidP="00446BD5">
      <w:pPr>
        <w:pStyle w:val="aff"/>
        <w:wordWrap w:val="0"/>
        <w:ind w:left="222" w:hangingChars="101" w:hanging="222"/>
        <w:rPr>
          <w:color w:val="000000" w:themeColor="text1"/>
        </w:rPr>
      </w:pPr>
      <w:r w:rsidRPr="008B619A">
        <w:rPr>
          <w:rStyle w:val="aff1"/>
          <w:color w:val="000000" w:themeColor="text1"/>
        </w:rPr>
        <w:footnoteRef/>
      </w:r>
      <w:r w:rsidRPr="008B619A">
        <w:rPr>
          <w:color w:val="000000" w:themeColor="text1"/>
        </w:rPr>
        <w:t xml:space="preserve"> </w:t>
      </w:r>
      <w:r w:rsidRPr="008B619A">
        <w:rPr>
          <w:rFonts w:ascii="標楷體" w:eastAsia="標楷體" w:hAnsi="標楷體" w:hint="eastAsia"/>
          <w:b/>
          <w:color w:val="000000" w:themeColor="text1"/>
        </w:rPr>
        <w:t>國發會2019-2030年最終人力需求推估</w:t>
      </w:r>
      <w:r w:rsidRPr="008B619A">
        <w:rPr>
          <w:rFonts w:ascii="標楷體" w:eastAsia="標楷體" w:hAnsi="標楷體" w:hint="eastAsia"/>
          <w:color w:val="000000" w:themeColor="text1"/>
        </w:rPr>
        <w:t>。110年，取自</w:t>
      </w:r>
      <w:r w:rsidRPr="008B619A">
        <w:rPr>
          <w:rFonts w:ascii="Times New Roman" w:hAnsi="Times New Roman" w:cs="Times New Roman"/>
          <w:color w:val="000000" w:themeColor="text1"/>
        </w:rPr>
        <w:t>https://ws.ndc.gov.tw/001/administrator/18/relfile/0/8591/66182941-3455-40b7-8380-857b5855c37f.pdf</w:t>
      </w:r>
    </w:p>
  </w:footnote>
  <w:footnote w:id="40">
    <w:p w14:paraId="6618D410" w14:textId="77777777" w:rsidR="008B5814" w:rsidRPr="008B619A" w:rsidRDefault="008B5814" w:rsidP="00BC5070">
      <w:pPr>
        <w:pStyle w:val="aff"/>
        <w:ind w:left="222" w:hangingChars="101" w:hanging="222"/>
        <w:jc w:val="both"/>
        <w:rPr>
          <w:color w:val="000000" w:themeColor="text1"/>
        </w:rPr>
      </w:pPr>
      <w:r w:rsidRPr="008B619A">
        <w:rPr>
          <w:rStyle w:val="aff1"/>
          <w:color w:val="000000" w:themeColor="text1"/>
        </w:rPr>
        <w:footnoteRef/>
      </w:r>
      <w:r w:rsidRPr="008B619A">
        <w:rPr>
          <w:rFonts w:ascii="標楷體" w:eastAsia="標楷體" w:hAnsi="標楷體"/>
          <w:color w:val="000000" w:themeColor="text1"/>
        </w:rPr>
        <w:t xml:space="preserve"> </w:t>
      </w:r>
      <w:r w:rsidRPr="008B619A">
        <w:rPr>
          <w:rFonts w:ascii="標楷體" w:eastAsia="標楷體" w:hAnsi="標楷體" w:hint="eastAsia"/>
          <w:color w:val="000000" w:themeColor="text1"/>
        </w:rPr>
        <w:t>根據行政院主計總處人力運用調查之受僱就業者每月主要工作收入之人數分布，將9大職業分為高階、中階、低階技術/薪資職業。高階技術/薪資職業包含「民意代表、主管及經理人員」、「專業人員」及「技術員及助理專業人員」；中階技術/薪資職業包含「事務支援人員」、「技藝有關工作人員」及「機械設備操作及組裝人員」；低階技術/薪資職業包含「服務及銷售工作人員」、「農林漁牧業生產人員」及「基層技術工及勞力工」。</w:t>
      </w:r>
    </w:p>
  </w:footnote>
  <w:footnote w:id="41">
    <w:p w14:paraId="58F470D0" w14:textId="72BBF312" w:rsidR="008B5814" w:rsidRPr="008B619A" w:rsidRDefault="008B5814" w:rsidP="00575520">
      <w:pPr>
        <w:pStyle w:val="aff"/>
        <w:ind w:left="222" w:hangingChars="101" w:hanging="222"/>
        <w:jc w:val="both"/>
        <w:rPr>
          <w:rFonts w:ascii="標楷體" w:eastAsia="標楷體" w:hAnsi="標楷體"/>
          <w:color w:val="000000" w:themeColor="text1"/>
        </w:rPr>
      </w:pPr>
      <w:r w:rsidRPr="008B619A">
        <w:rPr>
          <w:rStyle w:val="aff1"/>
          <w:color w:val="000000" w:themeColor="text1"/>
        </w:rPr>
        <w:footnoteRef/>
      </w:r>
      <w:r w:rsidRPr="008B619A">
        <w:rPr>
          <w:color w:val="000000" w:themeColor="text1"/>
        </w:rPr>
        <w:t xml:space="preserve"> </w:t>
      </w:r>
      <w:r w:rsidRPr="008B619A">
        <w:rPr>
          <w:rFonts w:ascii="標楷體" w:eastAsia="標楷體" w:hAnsi="標楷體" w:hint="eastAsia"/>
          <w:color w:val="000000" w:themeColor="text1"/>
        </w:rPr>
        <w:t>林怡君、林仁傑（民110）。</w:t>
      </w:r>
      <w:r w:rsidRPr="008B619A">
        <w:rPr>
          <w:rFonts w:ascii="標楷體" w:eastAsia="標楷體" w:hAnsi="標楷體" w:hint="eastAsia"/>
          <w:b/>
          <w:color w:val="000000" w:themeColor="text1"/>
        </w:rPr>
        <w:t>新科博士的工作在哪裡？我國教育學門大專校院教學職缺人力供需市場之研究</w:t>
      </w:r>
      <w:r w:rsidRPr="008B619A">
        <w:rPr>
          <w:rFonts w:ascii="標楷體" w:eastAsia="標楷體" w:hAnsi="標楷體" w:hint="eastAsia"/>
          <w:color w:val="000000" w:themeColor="text1"/>
        </w:rPr>
        <w:t>。載於</w:t>
      </w:r>
      <w:r w:rsidRPr="008B619A">
        <w:rPr>
          <w:rFonts w:ascii="標楷體" w:eastAsia="標楷體" w:hAnsi="標楷體"/>
          <w:i/>
          <w:iCs/>
          <w:color w:val="000000" w:themeColor="text1"/>
        </w:rPr>
        <w:t>臺灣教育評論月刊，</w:t>
      </w:r>
      <w:r w:rsidRPr="008B619A">
        <w:rPr>
          <w:rFonts w:ascii="標楷體" w:eastAsia="標楷體" w:hAnsi="標楷體"/>
          <w:b/>
          <w:i/>
          <w:iCs/>
          <w:color w:val="000000" w:themeColor="text1"/>
        </w:rPr>
        <w:t>10</w:t>
      </w:r>
      <w:r w:rsidRPr="008B619A">
        <w:rPr>
          <w:rFonts w:ascii="標楷體" w:eastAsia="標楷體" w:hAnsi="標楷體"/>
          <w:i/>
          <w:iCs/>
          <w:color w:val="000000" w:themeColor="text1"/>
        </w:rPr>
        <w:t>（2）</w:t>
      </w:r>
      <w:r w:rsidRPr="008B619A">
        <w:rPr>
          <w:rFonts w:ascii="標楷體" w:eastAsia="標楷體" w:hAnsi="標楷體"/>
          <w:color w:val="000000" w:themeColor="text1"/>
        </w:rPr>
        <w:t>，頁237-262</w:t>
      </w:r>
      <w:r w:rsidRPr="008B619A">
        <w:rPr>
          <w:rFonts w:ascii="標楷體" w:eastAsia="標楷體" w:hAnsi="標楷體" w:hint="eastAsia"/>
          <w:color w:val="000000" w:themeColor="text1"/>
        </w:rPr>
        <w:t>。</w:t>
      </w:r>
    </w:p>
  </w:footnote>
  <w:footnote w:id="42">
    <w:p w14:paraId="4E8DB4BC" w14:textId="14C98783" w:rsidR="008B5814" w:rsidRPr="008B619A" w:rsidRDefault="008B5814" w:rsidP="001B77BF">
      <w:pPr>
        <w:pStyle w:val="aff"/>
        <w:wordWrap w:val="0"/>
        <w:ind w:left="222" w:hangingChars="101" w:hanging="222"/>
        <w:jc w:val="both"/>
        <w:rPr>
          <w:rFonts w:ascii="Times New Roman" w:eastAsia="標楷體" w:hAnsi="Times New Roman" w:cs="Times New Roman"/>
          <w:color w:val="000000" w:themeColor="text1"/>
        </w:rPr>
      </w:pPr>
      <w:r w:rsidRPr="008B619A">
        <w:rPr>
          <w:rStyle w:val="aff1"/>
          <w:color w:val="000000" w:themeColor="text1"/>
        </w:rPr>
        <w:footnoteRef/>
      </w:r>
      <w:r w:rsidRPr="008B619A">
        <w:rPr>
          <w:rFonts w:ascii="Times New Roman" w:eastAsia="標楷體" w:hAnsi="Times New Roman" w:cs="Times New Roman" w:hint="eastAsia"/>
          <w:color w:val="000000" w:themeColor="text1"/>
        </w:rPr>
        <w:t xml:space="preserve"> </w:t>
      </w:r>
      <w:r w:rsidRPr="008B619A">
        <w:rPr>
          <w:rFonts w:ascii="Times New Roman" w:eastAsia="標楷體" w:hAnsi="Times New Roman" w:cs="Times New Roman" w:hint="eastAsia"/>
          <w:color w:val="000000" w:themeColor="text1"/>
        </w:rPr>
        <w:t>科技部。</w:t>
      </w:r>
      <w:r w:rsidRPr="008B619A">
        <w:rPr>
          <w:rFonts w:ascii="Times New Roman" w:eastAsia="標楷體" w:hAnsi="Times New Roman" w:cs="Times New Roman" w:hint="eastAsia"/>
          <w:b/>
          <w:bCs/>
          <w:color w:val="000000" w:themeColor="text1"/>
        </w:rPr>
        <w:t>全國科技動態調查</w:t>
      </w:r>
      <w:r w:rsidRPr="008B619A">
        <w:rPr>
          <w:rFonts w:ascii="Times New Roman" w:eastAsia="標楷體" w:hAnsi="Times New Roman" w:cs="Times New Roman" w:hint="eastAsia"/>
          <w:color w:val="000000" w:themeColor="text1"/>
        </w:rPr>
        <w:t>。</w:t>
      </w:r>
      <w:r w:rsidRPr="008B619A">
        <w:rPr>
          <w:rFonts w:ascii="Times New Roman" w:eastAsia="標楷體" w:hAnsi="Times New Roman" w:cs="Times New Roman" w:hint="eastAsia"/>
          <w:color w:val="000000" w:themeColor="text1"/>
        </w:rPr>
        <w:t>110</w:t>
      </w:r>
      <w:r w:rsidRPr="008B619A">
        <w:rPr>
          <w:rFonts w:ascii="Times New Roman" w:eastAsia="標楷體" w:hAnsi="Times New Roman" w:cs="Times New Roman" w:hint="eastAsia"/>
          <w:color w:val="000000" w:themeColor="text1"/>
        </w:rPr>
        <w:t>年取自，</w:t>
      </w:r>
      <w:r w:rsidRPr="008B619A">
        <w:rPr>
          <w:rFonts w:ascii="Times New Roman" w:eastAsia="標楷體" w:hAnsi="Times New Roman" w:cs="Times New Roman"/>
          <w:color w:val="000000" w:themeColor="text1"/>
        </w:rPr>
        <w:t>https://wsts.most.gov.tw/stsweb/technology/TechnologyStatistics.aspx?language=C&amp;ID=4</w:t>
      </w:r>
      <w:r w:rsidRPr="008B619A">
        <w:rPr>
          <w:rFonts w:ascii="Times New Roman" w:eastAsia="標楷體" w:hAnsi="Times New Roman" w:cs="Times New Roman" w:hint="eastAsia"/>
          <w:color w:val="000000" w:themeColor="text1"/>
        </w:rPr>
        <w:t>；及</w:t>
      </w:r>
      <w:r w:rsidRPr="008B619A">
        <w:rPr>
          <w:rFonts w:ascii="Times New Roman" w:eastAsia="標楷體" w:hAnsi="Times New Roman" w:cs="Times New Roman"/>
          <w:color w:val="000000" w:themeColor="text1"/>
        </w:rPr>
        <w:t xml:space="preserve">NPHRST </w:t>
      </w:r>
      <w:r w:rsidRPr="008B619A">
        <w:rPr>
          <w:rFonts w:ascii="Times New Roman" w:eastAsia="標楷體" w:hAnsi="Times New Roman" w:cs="Times New Roman" w:hint="eastAsia"/>
          <w:color w:val="000000" w:themeColor="text1"/>
        </w:rPr>
        <w:t>(</w:t>
      </w:r>
      <w:r w:rsidRPr="008B619A">
        <w:rPr>
          <w:rFonts w:ascii="Times New Roman" w:eastAsia="標楷體" w:hAnsi="Times New Roman" w:cs="Times New Roman" w:hint="eastAsia"/>
          <w:color w:val="000000" w:themeColor="text1"/>
        </w:rPr>
        <w:t>民</w:t>
      </w:r>
      <w:r w:rsidRPr="008B619A">
        <w:rPr>
          <w:rFonts w:ascii="Times New Roman" w:eastAsia="標楷體" w:hAnsi="Times New Roman" w:cs="Times New Roman" w:hint="eastAsia"/>
          <w:color w:val="000000" w:themeColor="text1"/>
        </w:rPr>
        <w:t>109)</w:t>
      </w:r>
      <w:r w:rsidRPr="008B619A">
        <w:rPr>
          <w:rFonts w:ascii="Times New Roman" w:eastAsia="標楷體" w:hAnsi="Times New Roman" w:cs="Times New Roman" w:hint="eastAsia"/>
          <w:color w:val="000000" w:themeColor="text1"/>
        </w:rPr>
        <w:t>，</w:t>
      </w:r>
      <w:r w:rsidRPr="008B619A">
        <w:rPr>
          <w:rFonts w:ascii="Times New Roman" w:eastAsia="標楷體" w:hAnsi="Times New Roman" w:cs="Times New Roman" w:hint="eastAsia"/>
          <w:color w:val="000000" w:themeColor="text1"/>
        </w:rPr>
        <w:t>109</w:t>
      </w:r>
      <w:r w:rsidRPr="008B619A">
        <w:rPr>
          <w:rFonts w:ascii="Times New Roman" w:eastAsia="標楷體" w:hAnsi="Times New Roman" w:cs="Times New Roman" w:hint="eastAsia"/>
          <w:color w:val="000000" w:themeColor="text1"/>
        </w:rPr>
        <w:t>年取自，</w:t>
      </w:r>
      <w:r w:rsidRPr="008B619A">
        <w:rPr>
          <w:rFonts w:ascii="Times New Roman" w:eastAsia="標楷體" w:hAnsi="Times New Roman" w:cs="Times New Roman"/>
          <w:color w:val="000000" w:themeColor="text1"/>
        </w:rPr>
        <w:t>https://hrst.stpi.narl.org.tw/li/3739/notice02.htm</w:t>
      </w:r>
      <w:r w:rsidRPr="008B619A">
        <w:rPr>
          <w:rFonts w:ascii="Times New Roman" w:eastAsia="標楷體" w:hAnsi="Times New Roman" w:cs="Times New Roman" w:hint="eastAsia"/>
          <w:color w:val="000000" w:themeColor="text1"/>
        </w:rPr>
        <w:t xml:space="preserve"> </w:t>
      </w:r>
    </w:p>
  </w:footnote>
  <w:footnote w:id="43">
    <w:p w14:paraId="6C10696D" w14:textId="43F613FF" w:rsidR="008B5814" w:rsidRPr="008B619A" w:rsidRDefault="008B5814" w:rsidP="00040857">
      <w:pPr>
        <w:pStyle w:val="aff"/>
        <w:wordWrap w:val="0"/>
        <w:ind w:left="222" w:hangingChars="101" w:hanging="222"/>
        <w:jc w:val="both"/>
        <w:rPr>
          <w:color w:val="000000" w:themeColor="text1"/>
        </w:rPr>
      </w:pPr>
      <w:r w:rsidRPr="008B619A">
        <w:rPr>
          <w:rStyle w:val="aff1"/>
          <w:color w:val="000000" w:themeColor="text1"/>
        </w:rPr>
        <w:footnoteRef/>
      </w:r>
      <w:r w:rsidRPr="008B619A">
        <w:rPr>
          <w:color w:val="000000" w:themeColor="text1"/>
        </w:rPr>
        <w:t xml:space="preserve"> </w:t>
      </w:r>
      <w:r w:rsidRPr="008B619A">
        <w:rPr>
          <w:rFonts w:ascii="標楷體" w:eastAsia="標楷體" w:hAnsi="標楷體" w:hint="eastAsia"/>
          <w:color w:val="000000" w:themeColor="text1"/>
        </w:rPr>
        <w:t>科技部（民109）。「</w:t>
      </w:r>
      <w:r w:rsidRPr="008B619A">
        <w:rPr>
          <w:rFonts w:ascii="標楷體" w:eastAsia="標楷體" w:hAnsi="標楷體" w:hint="eastAsia"/>
          <w:b/>
          <w:bCs/>
          <w:color w:val="000000" w:themeColor="text1"/>
        </w:rPr>
        <w:t>科學技術統計要覽」Indicators of Science and Technology(2020年版)</w:t>
      </w:r>
      <w:r w:rsidRPr="008B619A">
        <w:rPr>
          <w:rFonts w:ascii="標楷體" w:eastAsia="標楷體" w:hAnsi="標楷體" w:hint="eastAsia"/>
          <w:color w:val="000000" w:themeColor="text1"/>
        </w:rPr>
        <w:t>。取自，</w:t>
      </w:r>
      <w:r w:rsidRPr="008B619A">
        <w:rPr>
          <w:rFonts w:ascii="Times New Roman" w:eastAsia="標楷體" w:hAnsi="Times New Roman" w:cs="Times New Roman"/>
          <w:color w:val="000000" w:themeColor="text1"/>
        </w:rPr>
        <w:t>https</w:t>
      </w:r>
      <w:r w:rsidRPr="008B619A">
        <w:rPr>
          <w:rFonts w:ascii="Times New Roman" w:hAnsi="Times New Roman" w:cs="Times New Roman"/>
          <w:color w:val="000000" w:themeColor="text1"/>
        </w:rPr>
        <w:t>://wsts.most.gov.tw/stsweb/technology/TechnologyDataIndex.aspx?language=C</w:t>
      </w:r>
    </w:p>
  </w:footnote>
  <w:footnote w:id="44">
    <w:p w14:paraId="722F30C6" w14:textId="36443D26" w:rsidR="008B5814" w:rsidRPr="008B619A" w:rsidRDefault="008B5814" w:rsidP="00040857">
      <w:pPr>
        <w:pStyle w:val="aff"/>
        <w:wordWrap w:val="0"/>
        <w:ind w:left="222" w:hangingChars="101" w:hanging="222"/>
        <w:jc w:val="both"/>
        <w:rPr>
          <w:color w:val="000000" w:themeColor="text1"/>
        </w:rPr>
      </w:pPr>
      <w:r w:rsidRPr="008B619A">
        <w:rPr>
          <w:rStyle w:val="aff1"/>
          <w:color w:val="000000" w:themeColor="text1"/>
        </w:rPr>
        <w:footnoteRef/>
      </w:r>
      <w:r w:rsidRPr="008B619A">
        <w:rPr>
          <w:color w:val="000000" w:themeColor="text1"/>
        </w:rPr>
        <w:t xml:space="preserve"> </w:t>
      </w:r>
      <w:r w:rsidRPr="008B619A">
        <w:rPr>
          <w:rFonts w:ascii="標楷體" w:eastAsia="標楷體" w:hAnsi="標楷體" w:hint="eastAsia"/>
          <w:color w:val="000000" w:themeColor="text1"/>
        </w:rPr>
        <w:t>該統計之研究人員係指從事新知識之構思或創造之專業人員。研究人員主導研發，改良或發展概念、理論、模型、技術設備、軟體或作業方法。相關計畫專業管理階層亦屬之。</w:t>
      </w:r>
    </w:p>
  </w:footnote>
  <w:footnote w:id="45">
    <w:p w14:paraId="4E93F9FF" w14:textId="77777777" w:rsidR="008B5814" w:rsidRPr="008B619A" w:rsidRDefault="008B5814" w:rsidP="00AF3EED">
      <w:pPr>
        <w:pStyle w:val="aff"/>
        <w:wordWrap w:val="0"/>
        <w:ind w:left="222" w:hangingChars="101" w:hanging="222"/>
        <w:rPr>
          <w:rFonts w:ascii="標楷體" w:eastAsia="標楷體" w:hAnsi="標楷體"/>
          <w:color w:val="000000" w:themeColor="text1"/>
        </w:rPr>
      </w:pPr>
      <w:r w:rsidRPr="008B619A">
        <w:rPr>
          <w:rStyle w:val="aff1"/>
          <w:color w:val="000000" w:themeColor="text1"/>
        </w:rPr>
        <w:footnoteRef/>
      </w:r>
      <w:r w:rsidRPr="008B619A">
        <w:rPr>
          <w:color w:val="000000" w:themeColor="text1"/>
        </w:rPr>
        <w:t xml:space="preserve"> </w:t>
      </w:r>
      <w:r w:rsidRPr="008B619A">
        <w:rPr>
          <w:rFonts w:ascii="標楷體" w:eastAsia="標楷體" w:hAnsi="標楷體" w:hint="eastAsia"/>
          <w:color w:val="000000" w:themeColor="text1"/>
        </w:rPr>
        <w:t>經濟部中小企業處(民110)。</w:t>
      </w:r>
      <w:r w:rsidRPr="008B619A">
        <w:rPr>
          <w:rFonts w:ascii="標楷體" w:eastAsia="標楷體" w:hAnsi="標楷體" w:hint="eastAsia"/>
          <w:b/>
          <w:bCs/>
          <w:color w:val="000000" w:themeColor="text1"/>
        </w:rPr>
        <w:t>109年中小企業重要統計表</w:t>
      </w:r>
      <w:r w:rsidRPr="008B619A">
        <w:rPr>
          <w:rFonts w:ascii="標楷體" w:eastAsia="標楷體" w:hAnsi="標楷體" w:hint="eastAsia"/>
          <w:color w:val="000000" w:themeColor="text1"/>
        </w:rPr>
        <w:t>。110年，取自</w:t>
      </w:r>
      <w:r w:rsidRPr="008B619A">
        <w:rPr>
          <w:rFonts w:ascii="Times New Roman" w:eastAsia="標楷體" w:hAnsi="Times New Roman" w:cs="Times New Roman"/>
          <w:color w:val="000000" w:themeColor="text1"/>
        </w:rPr>
        <w:t>https://www.moeasmea.gov.tw/article-tw-2344-7063</w:t>
      </w:r>
    </w:p>
  </w:footnote>
  <w:footnote w:id="46">
    <w:p w14:paraId="1DEA9E0E" w14:textId="77777777" w:rsidR="008B5814" w:rsidRPr="008B619A" w:rsidRDefault="008B5814" w:rsidP="00AF3EED">
      <w:pPr>
        <w:pStyle w:val="aff"/>
        <w:ind w:left="238" w:hangingChars="108" w:hanging="238"/>
        <w:jc w:val="both"/>
        <w:rPr>
          <w:rFonts w:ascii="標楷體" w:hAnsi="標楷體"/>
          <w:color w:val="000000" w:themeColor="text1"/>
        </w:rPr>
      </w:pPr>
      <w:r w:rsidRPr="008B619A">
        <w:rPr>
          <w:rStyle w:val="aff1"/>
          <w:rFonts w:ascii="標楷體" w:eastAsia="標楷體" w:hAnsi="標楷體"/>
          <w:color w:val="000000" w:themeColor="text1"/>
        </w:rPr>
        <w:footnoteRef/>
      </w:r>
      <w:r w:rsidRPr="008B619A">
        <w:rPr>
          <w:rFonts w:ascii="標楷體" w:eastAsia="標楷體" w:hAnsi="標楷體"/>
          <w:color w:val="000000" w:themeColor="text1"/>
        </w:rPr>
        <w:t xml:space="preserve"> </w:t>
      </w:r>
      <w:r w:rsidRPr="008B619A">
        <w:rPr>
          <w:rFonts w:ascii="標楷體" w:eastAsia="標楷體" w:hAnsi="標楷體" w:hint="eastAsia"/>
          <w:color w:val="000000" w:themeColor="text1"/>
        </w:rPr>
        <w:t>按中小企業認定標準第2條規定，我國中小企業係指依法辦理公司登記或商業登記，並合於下列基準之事業：一、製造業、營造業、礦業及土石採取業實收資本額在新臺幣8千萬元以下，或經常僱用員工數未滿2百人者。二、除前款規定外之其他行業前一年營業額在新臺幣1億元以下，或經常僱用員工數未滿1人者。</w:t>
      </w:r>
    </w:p>
  </w:footnote>
  <w:footnote w:id="47">
    <w:p w14:paraId="1CD39371" w14:textId="269CC484" w:rsidR="008B5814" w:rsidRPr="008B619A" w:rsidRDefault="008B5814">
      <w:pPr>
        <w:pStyle w:val="aff"/>
        <w:rPr>
          <w:color w:val="000000" w:themeColor="text1"/>
        </w:rPr>
      </w:pPr>
      <w:r w:rsidRPr="008B619A">
        <w:rPr>
          <w:rStyle w:val="aff1"/>
          <w:color w:val="000000" w:themeColor="text1"/>
        </w:rPr>
        <w:footnoteRef/>
      </w:r>
      <w:r w:rsidRPr="008B619A">
        <w:rPr>
          <w:color w:val="000000" w:themeColor="text1"/>
        </w:rPr>
        <w:t xml:space="preserve"> </w:t>
      </w:r>
      <w:r w:rsidRPr="008B619A">
        <w:rPr>
          <w:rFonts w:ascii="標楷體" w:eastAsia="標楷體" w:hAnsi="標楷體" w:hint="eastAsia"/>
          <w:color w:val="000000" w:themeColor="text1"/>
        </w:rPr>
        <w:t>教育部（無日期）。</w:t>
      </w:r>
      <w:r w:rsidRPr="008B619A">
        <w:rPr>
          <w:rFonts w:ascii="標楷體" w:eastAsia="標楷體" w:hAnsi="標楷體" w:hint="eastAsia"/>
          <w:b/>
          <w:bCs/>
          <w:color w:val="000000" w:themeColor="text1"/>
        </w:rPr>
        <w:t>教育統計查詢網</w:t>
      </w:r>
      <w:r w:rsidRPr="008B619A">
        <w:rPr>
          <w:rFonts w:ascii="標楷體" w:eastAsia="標楷體" w:hAnsi="標楷體" w:hint="eastAsia"/>
          <w:color w:val="000000" w:themeColor="text1"/>
        </w:rPr>
        <w:t>。110年，取自</w:t>
      </w:r>
      <w:r w:rsidRPr="008B619A">
        <w:rPr>
          <w:rFonts w:ascii="Times New Roman" w:eastAsia="標楷體" w:hAnsi="Times New Roman" w:cs="Times New Roman"/>
          <w:color w:val="000000" w:themeColor="text1"/>
        </w:rPr>
        <w:t>https://stats.moe.gov.tw/</w:t>
      </w:r>
    </w:p>
  </w:footnote>
  <w:footnote w:id="48">
    <w:p w14:paraId="38BF16E9" w14:textId="0039BC44" w:rsidR="008B5814" w:rsidRPr="008B619A" w:rsidRDefault="008B5814" w:rsidP="00C82869">
      <w:pPr>
        <w:pStyle w:val="aff"/>
        <w:wordWrap w:val="0"/>
        <w:ind w:left="284" w:hangingChars="129" w:hanging="284"/>
        <w:rPr>
          <w:color w:val="000000" w:themeColor="text1"/>
        </w:rPr>
      </w:pPr>
      <w:r w:rsidRPr="008B619A">
        <w:rPr>
          <w:rStyle w:val="aff1"/>
          <w:color w:val="000000" w:themeColor="text1"/>
        </w:rPr>
        <w:footnoteRef/>
      </w:r>
      <w:r w:rsidRPr="008B619A">
        <w:rPr>
          <w:color w:val="000000" w:themeColor="text1"/>
        </w:rPr>
        <w:t xml:space="preserve"> </w:t>
      </w:r>
      <w:r w:rsidRPr="008B619A">
        <w:rPr>
          <w:rFonts w:ascii="標楷體" w:eastAsia="標楷體" w:hAnsi="標楷體" w:hint="eastAsia"/>
          <w:color w:val="000000" w:themeColor="text1"/>
        </w:rPr>
        <w:t>教育部（無日期）。</w:t>
      </w:r>
      <w:r w:rsidRPr="008B619A">
        <w:rPr>
          <w:rFonts w:ascii="標楷體" w:eastAsia="標楷體" w:hAnsi="標楷體" w:hint="eastAsia"/>
          <w:b/>
          <w:bCs/>
          <w:color w:val="000000" w:themeColor="text1"/>
        </w:rPr>
        <w:t>教育部主題式互動統計圖表</w:t>
      </w:r>
      <w:r w:rsidRPr="008B619A">
        <w:rPr>
          <w:rFonts w:ascii="標楷體" w:eastAsia="標楷體" w:hAnsi="標楷體" w:hint="eastAsia"/>
          <w:color w:val="000000" w:themeColor="text1"/>
        </w:rPr>
        <w:t>。110年，取自</w:t>
      </w:r>
      <w:r w:rsidRPr="008B619A">
        <w:rPr>
          <w:rFonts w:ascii="Times New Roman" w:eastAsia="標楷體" w:hAnsi="Times New Roman" w:cs="Times New Roman"/>
          <w:color w:val="000000" w:themeColor="text1"/>
        </w:rPr>
        <w:t>https://stats.moe.gov.tw/statedu/chart.aspx?pvalue=33</w:t>
      </w:r>
    </w:p>
  </w:footnote>
  <w:footnote w:id="49">
    <w:p w14:paraId="7EDCE936" w14:textId="3806A570" w:rsidR="008B5814" w:rsidRPr="008B619A" w:rsidRDefault="008B5814" w:rsidP="006A602B">
      <w:pPr>
        <w:pStyle w:val="aff"/>
        <w:wordWrap w:val="0"/>
        <w:ind w:left="284" w:hangingChars="129" w:hanging="284"/>
        <w:rPr>
          <w:color w:val="000000" w:themeColor="text1"/>
        </w:rPr>
      </w:pPr>
      <w:r w:rsidRPr="008B619A">
        <w:rPr>
          <w:rStyle w:val="aff1"/>
          <w:color w:val="000000" w:themeColor="text1"/>
        </w:rPr>
        <w:footnoteRef/>
      </w:r>
      <w:r w:rsidRPr="008B619A">
        <w:rPr>
          <w:color w:val="000000" w:themeColor="text1"/>
        </w:rPr>
        <w:t xml:space="preserve"> </w:t>
      </w:r>
      <w:r w:rsidRPr="008B619A">
        <w:rPr>
          <w:rFonts w:ascii="標楷體" w:eastAsia="標楷體" w:hAnsi="標楷體" w:hint="eastAsia"/>
          <w:color w:val="000000" w:themeColor="text1"/>
        </w:rPr>
        <w:t>教育部（無日期）。</w:t>
      </w:r>
      <w:r w:rsidRPr="008B619A">
        <w:rPr>
          <w:rFonts w:ascii="標楷體" w:eastAsia="標楷體" w:hAnsi="標楷體" w:hint="eastAsia"/>
          <w:b/>
          <w:bCs/>
          <w:color w:val="000000" w:themeColor="text1"/>
        </w:rPr>
        <w:t>教育統計查詢網</w:t>
      </w:r>
      <w:r w:rsidRPr="008B619A">
        <w:rPr>
          <w:rFonts w:ascii="標楷體" w:eastAsia="標楷體" w:hAnsi="標楷體" w:hint="eastAsia"/>
          <w:color w:val="000000" w:themeColor="text1"/>
        </w:rPr>
        <w:t>。110年，取自</w:t>
      </w:r>
      <w:r w:rsidRPr="008B619A">
        <w:rPr>
          <w:rFonts w:ascii="Times New Roman" w:eastAsia="標楷體" w:hAnsi="Times New Roman" w:cs="Times New Roman"/>
          <w:color w:val="000000" w:themeColor="text1"/>
        </w:rPr>
        <w:t>https://stats.moe.gov.tw/qframe.aspx?qno=MQAzAA2</w:t>
      </w:r>
    </w:p>
  </w:footnote>
  <w:footnote w:id="50">
    <w:p w14:paraId="3B62B831" w14:textId="78001BAA" w:rsidR="008B5814" w:rsidRPr="008B619A" w:rsidRDefault="008B5814" w:rsidP="001974E1">
      <w:pPr>
        <w:pStyle w:val="aff"/>
        <w:wordWrap w:val="0"/>
        <w:ind w:left="284" w:hangingChars="129" w:hanging="284"/>
        <w:rPr>
          <w:color w:val="000000" w:themeColor="text1"/>
        </w:rPr>
      </w:pPr>
      <w:r w:rsidRPr="008B619A">
        <w:rPr>
          <w:rStyle w:val="aff1"/>
          <w:color w:val="000000" w:themeColor="text1"/>
        </w:rPr>
        <w:footnoteRef/>
      </w:r>
      <w:r w:rsidRPr="008B619A">
        <w:rPr>
          <w:color w:val="000000" w:themeColor="text1"/>
        </w:rPr>
        <w:t xml:space="preserve"> </w:t>
      </w:r>
      <w:r w:rsidRPr="008B619A">
        <w:rPr>
          <w:rFonts w:ascii="標楷體" w:eastAsia="標楷體" w:hAnsi="標楷體" w:hint="eastAsia"/>
          <w:color w:val="000000" w:themeColor="text1"/>
        </w:rPr>
        <w:t>教育部（民110）。</w:t>
      </w:r>
      <w:r w:rsidRPr="008B619A">
        <w:rPr>
          <w:rFonts w:ascii="標楷體" w:eastAsia="標楷體" w:hAnsi="標楷體" w:hint="eastAsia"/>
          <w:b/>
          <w:bCs/>
          <w:color w:val="000000" w:themeColor="text1"/>
        </w:rPr>
        <w:t>109學年學校基本概況統計結果提要分析</w:t>
      </w:r>
      <w:r w:rsidRPr="008B619A">
        <w:rPr>
          <w:rFonts w:ascii="標楷體" w:eastAsia="標楷體" w:hAnsi="標楷體" w:hint="eastAsia"/>
          <w:color w:val="000000" w:themeColor="text1"/>
        </w:rPr>
        <w:t>。110年，取自</w:t>
      </w:r>
      <w:r w:rsidRPr="008B619A">
        <w:rPr>
          <w:rFonts w:ascii="Times New Roman" w:eastAsia="標楷體" w:hAnsi="Times New Roman" w:cs="Times New Roman"/>
          <w:color w:val="000000" w:themeColor="text1"/>
        </w:rPr>
        <w:t>https://stats.moe.gov.tw/files/analysis/109_all_level-1.pdf</w:t>
      </w:r>
    </w:p>
  </w:footnote>
  <w:footnote w:id="51">
    <w:p w14:paraId="74A5B852" w14:textId="77777777" w:rsidR="008B5814" w:rsidRPr="008B619A" w:rsidRDefault="008B5814" w:rsidP="0046300B">
      <w:pPr>
        <w:pStyle w:val="aff"/>
        <w:ind w:left="284" w:hangingChars="129" w:hanging="284"/>
        <w:rPr>
          <w:color w:val="000000" w:themeColor="text1"/>
        </w:rPr>
      </w:pPr>
      <w:r w:rsidRPr="008B619A">
        <w:rPr>
          <w:rStyle w:val="aff1"/>
          <w:rFonts w:ascii="Times New Roman" w:hAnsi="Times New Roman" w:cs="Times New Roman"/>
          <w:color w:val="000000" w:themeColor="text1"/>
        </w:rPr>
        <w:footnoteRef/>
      </w:r>
      <w:r w:rsidRPr="008B619A">
        <w:rPr>
          <w:rFonts w:ascii="Times New Roman" w:hAnsi="Times New Roman" w:cs="Times New Roman"/>
          <w:color w:val="000000" w:themeColor="text1"/>
        </w:rPr>
        <w:t xml:space="preserve"> </w:t>
      </w:r>
      <w:r w:rsidRPr="008B619A">
        <w:rPr>
          <w:rFonts w:ascii="標楷體" w:eastAsia="標楷體" w:hAnsi="標楷體" w:cs="Times New Roman" w:hint="eastAsia"/>
          <w:color w:val="000000" w:themeColor="text1"/>
        </w:rPr>
        <w:t>國家實驗研究院（民108）。</w:t>
      </w:r>
      <w:r w:rsidRPr="008B619A">
        <w:rPr>
          <w:rFonts w:ascii="標楷體" w:eastAsia="標楷體" w:hAnsi="標楷體" w:cs="Times New Roman" w:hint="eastAsia"/>
          <w:b/>
          <w:bCs/>
          <w:color w:val="000000" w:themeColor="text1"/>
        </w:rPr>
        <w:t>NPHRST博士人才歷年統計—近十年(99-108)趨勢觀察(I)性別&amp;年齡</w:t>
      </w:r>
      <w:r w:rsidRPr="008B619A">
        <w:rPr>
          <w:rFonts w:ascii="標楷體" w:eastAsia="標楷體" w:hAnsi="標楷體" w:cs="Times New Roman" w:hint="eastAsia"/>
          <w:color w:val="000000" w:themeColor="text1"/>
        </w:rPr>
        <w:t>。</w:t>
      </w:r>
      <w:r w:rsidRPr="008B619A">
        <w:rPr>
          <w:rFonts w:ascii="Times New Roman" w:hAnsi="Times New Roman" w:cs="Times New Roman"/>
          <w:color w:val="000000" w:themeColor="text1"/>
        </w:rPr>
        <w:t>1</w:t>
      </w:r>
      <w:r w:rsidRPr="008B619A">
        <w:rPr>
          <w:rFonts w:ascii="Times New Roman" w:hAnsi="Times New Roman" w:cs="Times New Roman" w:hint="eastAsia"/>
          <w:color w:val="000000" w:themeColor="text1"/>
        </w:rPr>
        <w:t>10</w:t>
      </w:r>
      <w:r w:rsidRPr="008B619A">
        <w:rPr>
          <w:rFonts w:ascii="Times New Roman" w:eastAsia="標楷體" w:hAnsi="Times New Roman" w:cs="Times New Roman"/>
          <w:color w:val="000000" w:themeColor="text1"/>
        </w:rPr>
        <w:t>年，取自</w:t>
      </w:r>
      <w:r w:rsidRPr="008B619A">
        <w:rPr>
          <w:rFonts w:ascii="Times New Roman" w:eastAsia="標楷體" w:hAnsi="Times New Roman" w:cs="Times New Roman"/>
          <w:color w:val="000000" w:themeColor="text1"/>
        </w:rPr>
        <w:t>https://hrst.stpi.narl.org.tw/li/3875/notice02.htm</w:t>
      </w:r>
    </w:p>
  </w:footnote>
  <w:footnote w:id="52">
    <w:p w14:paraId="37C7792D" w14:textId="46F5AB30" w:rsidR="008B5814" w:rsidRPr="008B619A" w:rsidRDefault="008B5814" w:rsidP="007B00D6">
      <w:pPr>
        <w:pStyle w:val="aff"/>
        <w:ind w:leftChars="1" w:left="283" w:hangingChars="127" w:hanging="280"/>
        <w:jc w:val="both"/>
        <w:rPr>
          <w:color w:val="000000" w:themeColor="text1"/>
        </w:rPr>
      </w:pPr>
      <w:r w:rsidRPr="008B619A">
        <w:rPr>
          <w:rStyle w:val="aff1"/>
          <w:color w:val="000000" w:themeColor="text1"/>
        </w:rPr>
        <w:footnoteRef/>
      </w:r>
      <w:r w:rsidRPr="008B619A">
        <w:rPr>
          <w:color w:val="000000" w:themeColor="text1"/>
        </w:rPr>
        <w:t xml:space="preserve"> </w:t>
      </w:r>
      <w:r w:rsidRPr="008B619A">
        <w:rPr>
          <w:rFonts w:ascii="標楷體" w:eastAsia="標楷體" w:hAnsi="標楷體" w:cs="Times New Roman" w:hint="eastAsia"/>
          <w:color w:val="000000" w:themeColor="text1"/>
        </w:rPr>
        <w:t>教育部統計處（民110），</w:t>
      </w:r>
      <w:r w:rsidRPr="008B619A">
        <w:rPr>
          <w:rFonts w:ascii="標楷體" w:eastAsia="標楷體" w:hAnsi="標楷體" w:cs="Times New Roman" w:hint="eastAsia"/>
          <w:b/>
          <w:bCs/>
          <w:color w:val="000000" w:themeColor="text1"/>
        </w:rPr>
        <w:t>109學年學校基本概況統計結果提要分析</w:t>
      </w:r>
      <w:r w:rsidRPr="008B619A">
        <w:rPr>
          <w:rFonts w:ascii="標楷體" w:eastAsia="標楷體" w:hAnsi="標楷體" w:cs="Times New Roman" w:hint="eastAsia"/>
          <w:color w:val="000000" w:themeColor="text1"/>
        </w:rPr>
        <w:t>。110年，取自</w:t>
      </w:r>
      <w:r w:rsidRPr="008B619A">
        <w:rPr>
          <w:rFonts w:ascii="Times New Roman" w:hAnsi="Times New Roman" w:cs="Times New Roman" w:hint="eastAsia"/>
          <w:color w:val="000000" w:themeColor="text1"/>
        </w:rPr>
        <w:t>https://stats.moe.gov.tw/files/analysis/109_all_level-1.pdf</w:t>
      </w:r>
    </w:p>
  </w:footnote>
  <w:footnote w:id="53">
    <w:p w14:paraId="5150D3EC" w14:textId="77777777" w:rsidR="008B5814" w:rsidRPr="008B619A" w:rsidRDefault="008B5814" w:rsidP="00B77D3A">
      <w:pPr>
        <w:pStyle w:val="aff"/>
        <w:rPr>
          <w:color w:val="000000" w:themeColor="text1"/>
        </w:rPr>
      </w:pPr>
      <w:r w:rsidRPr="008B619A">
        <w:rPr>
          <w:rStyle w:val="aff1"/>
          <w:color w:val="000000" w:themeColor="text1"/>
        </w:rPr>
        <w:footnoteRef/>
      </w:r>
      <w:r w:rsidRPr="008B619A">
        <w:rPr>
          <w:color w:val="000000" w:themeColor="text1"/>
        </w:rPr>
        <w:t xml:space="preserve"> </w:t>
      </w:r>
      <w:r w:rsidRPr="008B619A">
        <w:rPr>
          <w:rFonts w:ascii="標楷體" w:eastAsia="標楷體" w:hAnsi="標楷體" w:hint="eastAsia"/>
          <w:color w:val="000000" w:themeColor="text1"/>
        </w:rPr>
        <w:t>林柏儀（民106）。</w:t>
      </w:r>
      <w:r w:rsidRPr="008B619A">
        <w:rPr>
          <w:rFonts w:ascii="標楷體" w:eastAsia="標楷體" w:hAnsi="標楷體" w:hint="eastAsia"/>
          <w:b/>
          <w:bCs/>
          <w:color w:val="000000" w:themeColor="text1"/>
        </w:rPr>
        <w:t>消失中的青年學者</w:t>
      </w:r>
      <w:r w:rsidRPr="008B619A">
        <w:rPr>
          <w:rFonts w:ascii="標楷體" w:eastAsia="標楷體" w:hAnsi="標楷體" w:hint="eastAsia"/>
          <w:color w:val="000000" w:themeColor="text1"/>
        </w:rPr>
        <w:t>。載於</w:t>
      </w:r>
      <w:r w:rsidRPr="008B619A">
        <w:rPr>
          <w:rFonts w:ascii="標楷體" w:eastAsia="標楷體" w:hAnsi="標楷體" w:hint="eastAsia"/>
          <w:i/>
          <w:iCs/>
          <w:color w:val="000000" w:themeColor="text1"/>
        </w:rPr>
        <w:t>台灣社會研究季刊</w:t>
      </w:r>
      <w:r w:rsidRPr="008B619A">
        <w:rPr>
          <w:rFonts w:ascii="標楷體" w:eastAsia="標楷體" w:hAnsi="標楷體" w:hint="eastAsia"/>
          <w:color w:val="000000" w:themeColor="text1"/>
        </w:rPr>
        <w:t>，108期，頁247-256。</w:t>
      </w:r>
    </w:p>
  </w:footnote>
  <w:footnote w:id="54">
    <w:p w14:paraId="06C38ADF" w14:textId="64FE4B79" w:rsidR="008B5814" w:rsidRPr="008B619A" w:rsidRDefault="008B5814" w:rsidP="00C30EF3">
      <w:pPr>
        <w:pStyle w:val="aff"/>
        <w:ind w:left="222" w:hangingChars="101" w:hanging="222"/>
        <w:jc w:val="both"/>
        <w:rPr>
          <w:color w:val="000000" w:themeColor="text1"/>
        </w:rPr>
      </w:pPr>
      <w:r w:rsidRPr="008B619A">
        <w:rPr>
          <w:rStyle w:val="aff1"/>
          <w:color w:val="000000" w:themeColor="text1"/>
        </w:rPr>
        <w:footnoteRef/>
      </w:r>
      <w:r w:rsidRPr="008B619A">
        <w:rPr>
          <w:rFonts w:hint="eastAsia"/>
          <w:color w:val="000000" w:themeColor="text1"/>
        </w:rPr>
        <w:t xml:space="preserve"> </w:t>
      </w:r>
      <w:r w:rsidRPr="008B619A">
        <w:rPr>
          <w:rFonts w:ascii="標楷體" w:eastAsia="標楷體" w:hAnsi="標楷體" w:hint="eastAsia"/>
          <w:color w:val="000000" w:themeColor="text1"/>
        </w:rPr>
        <w:t>國發會（民109）。</w:t>
      </w:r>
      <w:r w:rsidRPr="008B619A">
        <w:rPr>
          <w:rFonts w:ascii="標楷體" w:eastAsia="標楷體" w:hAnsi="標楷體" w:hint="eastAsia"/>
          <w:b/>
          <w:bCs/>
          <w:color w:val="000000" w:themeColor="text1"/>
        </w:rPr>
        <w:t>2020年IMD報告我國「吸引與留住人才」世界排名上升；整體人才排名持平</w:t>
      </w:r>
      <w:r w:rsidRPr="008B619A">
        <w:rPr>
          <w:rFonts w:ascii="標楷體" w:eastAsia="標楷體" w:hAnsi="標楷體" w:hint="eastAsia"/>
          <w:color w:val="000000" w:themeColor="text1"/>
        </w:rPr>
        <w:t>。110年，取自</w:t>
      </w:r>
      <w:r w:rsidRPr="008B619A">
        <w:rPr>
          <w:rFonts w:ascii="Times New Roman" w:eastAsia="標楷體" w:hAnsi="Times New Roman" w:cs="Times New Roman"/>
          <w:color w:val="000000" w:themeColor="text1"/>
        </w:rPr>
        <w:t>https://www.ndc.gov.tw/nc_27_34568</w:t>
      </w:r>
    </w:p>
  </w:footnote>
  <w:footnote w:id="55">
    <w:p w14:paraId="0C8F5172" w14:textId="774F0673" w:rsidR="008B5814" w:rsidRPr="008B619A" w:rsidRDefault="008B5814" w:rsidP="00DC2781">
      <w:pPr>
        <w:pStyle w:val="aff"/>
        <w:ind w:left="222" w:hangingChars="101" w:hanging="222"/>
        <w:jc w:val="both"/>
        <w:rPr>
          <w:color w:val="000000" w:themeColor="text1"/>
        </w:rPr>
      </w:pPr>
      <w:r w:rsidRPr="008B619A">
        <w:rPr>
          <w:rStyle w:val="aff1"/>
          <w:color w:val="000000" w:themeColor="text1"/>
        </w:rPr>
        <w:footnoteRef/>
      </w:r>
      <w:r w:rsidRPr="008B619A">
        <w:rPr>
          <w:color w:val="000000" w:themeColor="text1"/>
        </w:rPr>
        <w:t xml:space="preserve"> </w:t>
      </w:r>
      <w:r w:rsidRPr="008B619A">
        <w:rPr>
          <w:rFonts w:ascii="標楷體" w:eastAsia="標楷體" w:hAnsi="標楷體" w:hint="eastAsia"/>
          <w:color w:val="000000" w:themeColor="text1"/>
        </w:rPr>
        <w:t>教育部(無日期)。</w:t>
      </w:r>
      <w:r w:rsidRPr="008B619A">
        <w:rPr>
          <w:rFonts w:ascii="標楷體" w:eastAsia="標楷體" w:hAnsi="標楷體" w:hint="eastAsia"/>
          <w:b/>
          <w:bCs/>
          <w:color w:val="000000" w:themeColor="text1"/>
        </w:rPr>
        <w:t>大專校院新生註冊率概況提要分析</w:t>
      </w:r>
      <w:r w:rsidRPr="008B619A">
        <w:rPr>
          <w:rFonts w:ascii="標楷體" w:eastAsia="標楷體" w:hAnsi="標楷體" w:hint="eastAsia"/>
          <w:color w:val="000000" w:themeColor="text1"/>
        </w:rPr>
        <w:t>。110年，取自</w:t>
      </w:r>
      <w:r w:rsidRPr="008B619A">
        <w:rPr>
          <w:rFonts w:ascii="Times New Roman" w:eastAsia="標楷體" w:hAnsi="Times New Roman" w:cs="Times New Roman"/>
          <w:color w:val="000000" w:themeColor="text1"/>
        </w:rPr>
        <w:t>https://stats.moe.gov.tw/files/analysis/109register_rate.pdf</w:t>
      </w:r>
    </w:p>
  </w:footnote>
  <w:footnote w:id="56">
    <w:p w14:paraId="5457CC6E" w14:textId="7BE72A4A" w:rsidR="008B5814" w:rsidRPr="008B619A" w:rsidRDefault="008B5814" w:rsidP="004914F3">
      <w:pPr>
        <w:pStyle w:val="aff"/>
        <w:ind w:left="222" w:hangingChars="101" w:hanging="222"/>
        <w:rPr>
          <w:color w:val="000000" w:themeColor="text1"/>
        </w:rPr>
      </w:pPr>
      <w:r w:rsidRPr="008B619A">
        <w:rPr>
          <w:rStyle w:val="aff1"/>
          <w:color w:val="000000" w:themeColor="text1"/>
        </w:rPr>
        <w:footnoteRef/>
      </w:r>
      <w:r w:rsidRPr="008B619A">
        <w:rPr>
          <w:color w:val="000000" w:themeColor="text1"/>
        </w:rPr>
        <w:t xml:space="preserve"> </w:t>
      </w:r>
      <w:r w:rsidRPr="008B619A">
        <w:rPr>
          <w:rFonts w:ascii="標楷體" w:eastAsia="標楷體" w:hAnsi="標楷體" w:hint="eastAsia"/>
          <w:color w:val="000000" w:themeColor="text1"/>
        </w:rPr>
        <w:t>財團法人高等教育評鑑中心基金會(民98)。</w:t>
      </w:r>
      <w:r w:rsidRPr="008B619A">
        <w:rPr>
          <w:rFonts w:ascii="標楷體" w:eastAsia="標楷體" w:hAnsi="標楷體" w:hint="eastAsia"/>
          <w:b/>
          <w:color w:val="000000" w:themeColor="text1"/>
        </w:rPr>
        <w:t>雙聯學位國際認證初探</w:t>
      </w:r>
      <w:r w:rsidRPr="008B619A">
        <w:rPr>
          <w:rFonts w:ascii="標楷體" w:eastAsia="標楷體" w:hAnsi="標楷體" w:hint="eastAsia"/>
          <w:color w:val="000000" w:themeColor="text1"/>
        </w:rPr>
        <w:t>。109年6月，取自</w:t>
      </w:r>
      <w:r w:rsidRPr="008B619A">
        <w:rPr>
          <w:rFonts w:ascii="Times New Roman" w:eastAsia="標楷體" w:hAnsi="Times New Roman" w:cs="Times New Roman"/>
          <w:color w:val="000000" w:themeColor="text1"/>
        </w:rPr>
        <w:t>http://epaper.heeact.edu.tw/archive/2009/01/01/1091.aspx</w:t>
      </w:r>
    </w:p>
  </w:footnote>
  <w:footnote w:id="57">
    <w:p w14:paraId="539500E5" w14:textId="5B5C7AED" w:rsidR="008B5814" w:rsidRPr="008B619A" w:rsidRDefault="008B5814" w:rsidP="00EF517F">
      <w:pPr>
        <w:pStyle w:val="aff"/>
        <w:wordWrap w:val="0"/>
        <w:ind w:left="284" w:hanging="284"/>
        <w:rPr>
          <w:color w:val="000000" w:themeColor="text1"/>
        </w:rPr>
      </w:pPr>
      <w:r w:rsidRPr="008B619A">
        <w:rPr>
          <w:rStyle w:val="aff1"/>
          <w:color w:val="000000" w:themeColor="text1"/>
        </w:rPr>
        <w:footnoteRef/>
      </w:r>
      <w:r w:rsidRPr="008B619A">
        <w:rPr>
          <w:color w:val="000000" w:themeColor="text1"/>
        </w:rPr>
        <w:t xml:space="preserve"> </w:t>
      </w:r>
      <w:r w:rsidRPr="008B619A">
        <w:rPr>
          <w:rFonts w:ascii="標楷體" w:eastAsia="標楷體" w:hAnsi="標楷體" w:hint="eastAsia"/>
          <w:color w:val="000000" w:themeColor="text1"/>
        </w:rPr>
        <w:t>陳昀萱(民109)。</w:t>
      </w:r>
      <w:r w:rsidRPr="008B619A">
        <w:rPr>
          <w:rFonts w:ascii="標楷體" w:eastAsia="標楷體" w:hAnsi="標楷體" w:hint="eastAsia"/>
          <w:b/>
          <w:color w:val="000000" w:themeColor="text1"/>
        </w:rPr>
        <w:t>推動「國際雙聯學位」應採取哪些做法？</w:t>
      </w:r>
      <w:r w:rsidRPr="008B619A">
        <w:rPr>
          <w:rFonts w:ascii="標楷體" w:eastAsia="標楷體" w:hAnsi="標楷體" w:hint="eastAsia"/>
          <w:color w:val="000000" w:themeColor="text1"/>
        </w:rPr>
        <w:t>載於</w:t>
      </w:r>
      <w:r w:rsidRPr="008B619A">
        <w:rPr>
          <w:rFonts w:ascii="標楷體" w:eastAsia="標楷體" w:hAnsi="標楷體" w:hint="eastAsia"/>
          <w:i/>
          <w:iCs/>
          <w:color w:val="000000" w:themeColor="text1"/>
        </w:rPr>
        <w:t>國家教育研究院電子報－國際教育訊息分析</w:t>
      </w:r>
      <w:r w:rsidRPr="008B619A">
        <w:rPr>
          <w:rFonts w:ascii="標楷體" w:eastAsia="標楷體" w:hAnsi="標楷體" w:hint="eastAsia"/>
          <w:color w:val="000000" w:themeColor="text1"/>
        </w:rPr>
        <w:t>，196期。110年，取自</w:t>
      </w:r>
      <w:r w:rsidRPr="008B619A">
        <w:rPr>
          <w:rFonts w:ascii="Times New Roman" w:eastAsia="標楷體" w:hAnsi="Times New Roman" w:cs="Times New Roman"/>
          <w:color w:val="000000" w:themeColor="text1"/>
        </w:rPr>
        <w:t>https://epaper.naer.edu.tw/search.php?search=%E5%9C%8B%E9%9A%9B%E9%9B%99%E8%81%AF%E5%AD%B8%E4%BD%8D</w:t>
      </w:r>
    </w:p>
  </w:footnote>
  <w:footnote w:id="58">
    <w:p w14:paraId="6F895993" w14:textId="12F336FA" w:rsidR="008B5814" w:rsidRPr="008B619A" w:rsidRDefault="008B5814" w:rsidP="0080725F">
      <w:pPr>
        <w:pStyle w:val="aff"/>
        <w:ind w:left="222" w:hangingChars="101" w:hanging="222"/>
        <w:jc w:val="both"/>
        <w:rPr>
          <w:color w:val="000000" w:themeColor="text1"/>
        </w:rPr>
      </w:pPr>
      <w:r w:rsidRPr="008B619A">
        <w:rPr>
          <w:rStyle w:val="aff1"/>
          <w:color w:val="000000" w:themeColor="text1"/>
        </w:rPr>
        <w:footnoteRef/>
      </w:r>
      <w:r w:rsidRPr="008B619A">
        <w:rPr>
          <w:rFonts w:ascii="標楷體" w:eastAsia="標楷體" w:hAnsi="標楷體" w:hint="eastAsia"/>
          <w:color w:val="000000" w:themeColor="text1"/>
        </w:rPr>
        <w:t xml:space="preserve"> 歐盟2009年設置「伊拉斯謨斯世界計畫（Erasmus Mundus）」，贊助共同碩士博士學程</w:t>
      </w:r>
      <w:r w:rsidRPr="008B619A">
        <w:rPr>
          <w:rFonts w:ascii="Times New Roman" w:eastAsia="標楷體" w:hAnsi="Times New Roman" w:cs="Times New Roman" w:hint="eastAsia"/>
          <w:color w:val="000000" w:themeColor="text1"/>
        </w:rPr>
        <w:t>（</w:t>
      </w:r>
      <w:r w:rsidRPr="008B619A">
        <w:rPr>
          <w:rFonts w:ascii="Times New Roman" w:eastAsia="標楷體" w:hAnsi="Times New Roman" w:cs="Times New Roman" w:hint="eastAsia"/>
          <w:color w:val="000000" w:themeColor="text1"/>
        </w:rPr>
        <w:t>Erasmus Mundus Joint Program</w:t>
      </w:r>
      <w:r w:rsidRPr="008B619A">
        <w:rPr>
          <w:rFonts w:ascii="Times New Roman" w:eastAsia="標楷體" w:hAnsi="Times New Roman" w:cs="Times New Roman" w:hint="eastAsia"/>
          <w:color w:val="000000" w:themeColor="text1"/>
        </w:rPr>
        <w:t>）</w:t>
      </w:r>
      <w:r w:rsidRPr="008B619A">
        <w:rPr>
          <w:rFonts w:ascii="標楷體" w:eastAsia="標楷體" w:hAnsi="標楷體" w:hint="eastAsia"/>
          <w:color w:val="000000" w:themeColor="text1"/>
        </w:rPr>
        <w:t>，2013年擴大設有「伊拉斯莫斯世界大學雙聯碩士課程」</w:t>
      </w:r>
      <w:r w:rsidRPr="008B619A">
        <w:rPr>
          <w:rFonts w:ascii="標楷體" w:eastAsia="標楷體" w:hAnsi="標楷體"/>
          <w:color w:val="000000" w:themeColor="text1"/>
        </w:rPr>
        <w:t>(</w:t>
      </w:r>
      <w:r w:rsidRPr="008B619A">
        <w:rPr>
          <w:rFonts w:ascii="Times New Roman" w:eastAsia="標楷體" w:hAnsi="Times New Roman" w:cs="Times New Roman"/>
          <w:color w:val="000000" w:themeColor="text1"/>
        </w:rPr>
        <w:t>Erasmus Mundus Joint Master Degree(EMJMD</w:t>
      </w:r>
      <w:r w:rsidRPr="008B619A">
        <w:rPr>
          <w:rFonts w:ascii="標楷體" w:eastAsia="標楷體" w:hAnsi="標楷體"/>
          <w:color w:val="000000" w:themeColor="text1"/>
        </w:rPr>
        <w:t>)</w:t>
      </w:r>
      <w:r w:rsidRPr="008B619A">
        <w:rPr>
          <w:rFonts w:ascii="標楷體" w:eastAsia="標楷體" w:hAnsi="標楷體" w:hint="eastAsia"/>
          <w:color w:val="000000" w:themeColor="text1"/>
        </w:rPr>
        <w:t>。</w:t>
      </w:r>
    </w:p>
  </w:footnote>
  <w:footnote w:id="59">
    <w:p w14:paraId="49E276AB" w14:textId="54B5625F" w:rsidR="008B5814" w:rsidRPr="008B619A" w:rsidRDefault="008B5814" w:rsidP="00331B3E">
      <w:pPr>
        <w:pStyle w:val="aff"/>
        <w:wordWrap w:val="0"/>
        <w:ind w:left="222" w:hangingChars="101" w:hanging="222"/>
        <w:rPr>
          <w:color w:val="000000" w:themeColor="text1"/>
        </w:rPr>
      </w:pPr>
      <w:r w:rsidRPr="008B619A">
        <w:rPr>
          <w:rStyle w:val="aff1"/>
          <w:color w:val="000000" w:themeColor="text1"/>
        </w:rPr>
        <w:footnoteRef/>
      </w:r>
      <w:r w:rsidRPr="008B619A">
        <w:rPr>
          <w:color w:val="000000" w:themeColor="text1"/>
        </w:rPr>
        <w:t xml:space="preserve"> </w:t>
      </w:r>
      <w:r w:rsidRPr="008B619A">
        <w:rPr>
          <w:rFonts w:ascii="標楷體" w:eastAsia="標楷體" w:hAnsi="標楷體" w:hint="eastAsia"/>
          <w:color w:val="000000" w:themeColor="text1"/>
        </w:rPr>
        <w:t>國發會（民109）。</w:t>
      </w:r>
      <w:r w:rsidRPr="008B619A">
        <w:rPr>
          <w:rFonts w:ascii="標楷體" w:eastAsia="標楷體" w:hAnsi="標楷體" w:hint="eastAsia"/>
          <w:b/>
          <w:bCs/>
          <w:color w:val="000000" w:themeColor="text1"/>
        </w:rPr>
        <w:t>IMD世界人才2020年報告；我維持第20名</w:t>
      </w:r>
      <w:r w:rsidRPr="008B619A">
        <w:rPr>
          <w:rFonts w:ascii="標楷體" w:eastAsia="標楷體" w:hAnsi="標楷體" w:hint="eastAsia"/>
          <w:color w:val="000000" w:themeColor="text1"/>
        </w:rPr>
        <w:t>。1</w:t>
      </w:r>
      <w:r w:rsidRPr="008B619A">
        <w:rPr>
          <w:rFonts w:ascii="標楷體" w:eastAsia="標楷體" w:hAnsi="標楷體"/>
          <w:color w:val="000000" w:themeColor="text1"/>
        </w:rPr>
        <w:t>10</w:t>
      </w:r>
      <w:r w:rsidRPr="008B619A">
        <w:rPr>
          <w:rFonts w:ascii="標楷體" w:eastAsia="標楷體" w:hAnsi="標楷體" w:hint="eastAsia"/>
          <w:color w:val="000000" w:themeColor="text1"/>
        </w:rPr>
        <w:t>年取自，</w:t>
      </w:r>
      <w:r w:rsidRPr="008B619A">
        <w:rPr>
          <w:rFonts w:ascii="Times New Roman" w:eastAsia="標楷體" w:hAnsi="Times New Roman" w:cs="Times New Roman"/>
          <w:color w:val="000000" w:themeColor="text1"/>
          <w:szCs w:val="32"/>
        </w:rPr>
        <w:t>https://iknow.stpi.narl.org.tw/Post/Read.aspx?PostID=17238</w:t>
      </w:r>
    </w:p>
  </w:footnote>
  <w:footnote w:id="60">
    <w:p w14:paraId="2DD7B2D5" w14:textId="44386FD2" w:rsidR="008B5814" w:rsidRPr="008B619A" w:rsidRDefault="008B5814" w:rsidP="00BC3783">
      <w:pPr>
        <w:pStyle w:val="aff"/>
        <w:wordWrap w:val="0"/>
        <w:ind w:left="222" w:hangingChars="101" w:hanging="222"/>
        <w:rPr>
          <w:color w:val="000000" w:themeColor="text1"/>
        </w:rPr>
      </w:pPr>
      <w:r w:rsidRPr="008B619A">
        <w:rPr>
          <w:rStyle w:val="aff1"/>
          <w:color w:val="000000" w:themeColor="text1"/>
        </w:rPr>
        <w:footnoteRef/>
      </w:r>
      <w:r w:rsidRPr="008B619A">
        <w:rPr>
          <w:color w:val="000000" w:themeColor="text1"/>
        </w:rPr>
        <w:t xml:space="preserve"> </w:t>
      </w:r>
      <w:r w:rsidRPr="008B619A">
        <w:rPr>
          <w:rFonts w:ascii="標楷體" w:eastAsia="標楷體" w:hAnsi="標楷體" w:hint="eastAsia"/>
          <w:color w:val="000000" w:themeColor="text1"/>
        </w:rPr>
        <w:t>行政院主計總處（民109）。</w:t>
      </w:r>
      <w:r w:rsidRPr="008B619A">
        <w:rPr>
          <w:rFonts w:ascii="標楷體" w:eastAsia="標楷體" w:hAnsi="標楷體" w:hint="eastAsia"/>
          <w:b/>
          <w:bCs/>
          <w:color w:val="000000" w:themeColor="text1"/>
        </w:rPr>
        <w:t>108年國人赴海外工作人數統計結果。</w:t>
      </w:r>
      <w:r w:rsidRPr="008B619A">
        <w:rPr>
          <w:rFonts w:ascii="標楷體" w:eastAsia="標楷體" w:hAnsi="標楷體" w:hint="eastAsia"/>
          <w:color w:val="000000" w:themeColor="text1"/>
        </w:rPr>
        <w:t>1</w:t>
      </w:r>
      <w:r w:rsidRPr="008B619A">
        <w:rPr>
          <w:rFonts w:ascii="標楷體" w:eastAsia="標楷體" w:hAnsi="標楷體"/>
          <w:color w:val="000000" w:themeColor="text1"/>
        </w:rPr>
        <w:t>10</w:t>
      </w:r>
      <w:r w:rsidRPr="008B619A">
        <w:rPr>
          <w:rFonts w:ascii="標楷體" w:eastAsia="標楷體" w:hAnsi="標楷體" w:hint="eastAsia"/>
          <w:color w:val="000000" w:themeColor="text1"/>
        </w:rPr>
        <w:t>年取自，</w:t>
      </w:r>
      <w:r w:rsidRPr="008B619A">
        <w:rPr>
          <w:rFonts w:ascii="Times New Roman" w:hAnsi="Times New Roman" w:cs="Times New Roman"/>
          <w:color w:val="000000" w:themeColor="text1"/>
        </w:rPr>
        <w:t>https://www.stat.gov.tw/public/Attachment/01217147167RLW6M7Z.pdf</w:t>
      </w:r>
    </w:p>
  </w:footnote>
  <w:footnote w:id="61">
    <w:p w14:paraId="393B475F" w14:textId="23C2B3B9" w:rsidR="008B5814" w:rsidRPr="008B619A" w:rsidRDefault="008B5814">
      <w:pPr>
        <w:pStyle w:val="aff"/>
        <w:rPr>
          <w:color w:val="000000" w:themeColor="text1"/>
        </w:rPr>
      </w:pPr>
      <w:r w:rsidRPr="008B619A">
        <w:rPr>
          <w:rStyle w:val="aff1"/>
          <w:color w:val="000000" w:themeColor="text1"/>
        </w:rPr>
        <w:footnoteRef/>
      </w:r>
      <w:r w:rsidRPr="008B619A">
        <w:rPr>
          <w:color w:val="000000" w:themeColor="text1"/>
        </w:rPr>
        <w:t xml:space="preserve"> </w:t>
      </w:r>
      <w:r w:rsidRPr="008B619A">
        <w:rPr>
          <w:rFonts w:ascii="標楷體" w:eastAsia="標楷體" w:hAnsi="標楷體" w:hint="eastAsia"/>
          <w:color w:val="000000" w:themeColor="text1"/>
        </w:rPr>
        <w:t>同註81。</w:t>
      </w:r>
    </w:p>
  </w:footnote>
  <w:footnote w:id="62">
    <w:p w14:paraId="628198E7" w14:textId="4A1ED43D" w:rsidR="008B5814" w:rsidRPr="008B619A" w:rsidRDefault="008B5814" w:rsidP="00223BB8">
      <w:pPr>
        <w:pStyle w:val="aff"/>
        <w:wordWrap w:val="0"/>
        <w:ind w:left="284" w:hanging="284"/>
        <w:rPr>
          <w:color w:val="000000" w:themeColor="text1"/>
        </w:rPr>
      </w:pPr>
      <w:r w:rsidRPr="008B619A">
        <w:rPr>
          <w:rStyle w:val="aff1"/>
          <w:color w:val="000000" w:themeColor="text1"/>
        </w:rPr>
        <w:footnoteRef/>
      </w:r>
      <w:r w:rsidRPr="008B619A">
        <w:rPr>
          <w:color w:val="000000" w:themeColor="text1"/>
        </w:rPr>
        <w:t xml:space="preserve"> </w:t>
      </w:r>
      <w:r w:rsidRPr="008B619A">
        <w:rPr>
          <w:rFonts w:ascii="標楷體" w:eastAsia="標楷體" w:hAnsi="標楷體" w:hint="eastAsia"/>
          <w:color w:val="000000" w:themeColor="text1"/>
        </w:rPr>
        <w:t>財團法人國家實驗研究院科技政策研究與資訊中心，李國安（民107）。</w:t>
      </w:r>
      <w:r w:rsidRPr="008B619A">
        <w:rPr>
          <w:rFonts w:ascii="標楷體" w:eastAsia="標楷體" w:hAnsi="標楷體" w:hint="eastAsia"/>
          <w:b/>
          <w:bCs/>
          <w:color w:val="000000" w:themeColor="text1"/>
        </w:rPr>
        <w:t>人才流動，就不是問題</w:t>
      </w:r>
      <w:r w:rsidRPr="008B619A">
        <w:rPr>
          <w:rFonts w:ascii="標楷體" w:eastAsia="標楷體" w:hAnsi="標楷體" w:hint="eastAsia"/>
          <w:color w:val="000000" w:themeColor="text1"/>
        </w:rPr>
        <w:t>。1</w:t>
      </w:r>
      <w:r w:rsidRPr="008B619A">
        <w:rPr>
          <w:rFonts w:ascii="標楷體" w:eastAsia="標楷體" w:hAnsi="標楷體"/>
          <w:color w:val="000000" w:themeColor="text1"/>
        </w:rPr>
        <w:t>10</w:t>
      </w:r>
      <w:r w:rsidRPr="008B619A">
        <w:rPr>
          <w:rFonts w:ascii="標楷體" w:eastAsia="標楷體" w:hAnsi="標楷體" w:hint="eastAsia"/>
          <w:color w:val="000000" w:themeColor="text1"/>
        </w:rPr>
        <w:t>年取自，</w:t>
      </w:r>
      <w:r w:rsidRPr="008B619A">
        <w:rPr>
          <w:rFonts w:ascii="Times New Roman" w:hAnsi="Times New Roman" w:cs="Times New Roman"/>
          <w:color w:val="000000" w:themeColor="text1"/>
        </w:rPr>
        <w:t>https://portal.stpi.narl.org.tw/index/article/10416</w:t>
      </w:r>
    </w:p>
  </w:footnote>
  <w:footnote w:id="63">
    <w:p w14:paraId="7516CE2F" w14:textId="29E98C93" w:rsidR="008B5814" w:rsidRPr="008B619A" w:rsidRDefault="008B5814" w:rsidP="00BE3F11">
      <w:pPr>
        <w:pStyle w:val="aff"/>
        <w:wordWrap w:val="0"/>
        <w:ind w:left="222" w:hangingChars="101" w:hanging="222"/>
        <w:rPr>
          <w:color w:val="000000" w:themeColor="text1"/>
        </w:rPr>
      </w:pPr>
      <w:r w:rsidRPr="008B619A">
        <w:rPr>
          <w:rStyle w:val="aff1"/>
          <w:color w:val="000000" w:themeColor="text1"/>
        </w:rPr>
        <w:footnoteRef/>
      </w:r>
      <w:r w:rsidRPr="008B619A">
        <w:rPr>
          <w:color w:val="000000" w:themeColor="text1"/>
        </w:rPr>
        <w:t xml:space="preserve"> </w:t>
      </w:r>
      <w:r w:rsidRPr="008B619A">
        <w:rPr>
          <w:rFonts w:ascii="標楷體" w:eastAsia="標楷體" w:hAnsi="標楷體" w:hint="eastAsia"/>
          <w:color w:val="000000" w:themeColor="text1"/>
        </w:rPr>
        <w:t>財團法人國家實驗研究院科技政策研究與資訊中心（民107）。</w:t>
      </w:r>
      <w:r w:rsidRPr="008B619A">
        <w:rPr>
          <w:rFonts w:ascii="標楷體" w:eastAsia="標楷體" w:hAnsi="標楷體"/>
          <w:b/>
          <w:bCs/>
          <w:color w:val="000000" w:themeColor="text1"/>
        </w:rPr>
        <w:t>2017年NPHRST大專校院博士教師流動意向調查分析報告</w:t>
      </w:r>
      <w:r w:rsidRPr="008B619A">
        <w:rPr>
          <w:rFonts w:ascii="標楷體" w:eastAsia="標楷體" w:hAnsi="標楷體" w:hint="eastAsia"/>
          <w:color w:val="000000" w:themeColor="text1"/>
        </w:rPr>
        <w:t>。1</w:t>
      </w:r>
      <w:r w:rsidRPr="008B619A">
        <w:rPr>
          <w:rFonts w:ascii="標楷體" w:eastAsia="標楷體" w:hAnsi="標楷體"/>
          <w:color w:val="000000" w:themeColor="text1"/>
        </w:rPr>
        <w:t>10</w:t>
      </w:r>
      <w:r w:rsidRPr="008B619A">
        <w:rPr>
          <w:rFonts w:ascii="標楷體" w:eastAsia="標楷體" w:hAnsi="標楷體" w:hint="eastAsia"/>
          <w:color w:val="000000" w:themeColor="text1"/>
        </w:rPr>
        <w:t>年取自，</w:t>
      </w:r>
      <w:r w:rsidRPr="008B619A">
        <w:rPr>
          <w:rFonts w:ascii="Times New Roman" w:hAnsi="Times New Roman" w:cs="Times New Roman"/>
          <w:color w:val="000000" w:themeColor="text1"/>
        </w:rPr>
        <w:t>https://hrst.stpi.narl.org.tw/report/101/2017%E5%B9%B4NPHRST%E5%A4%A7%E5%B0%88%E6%A0%A1%E9%99%A2%E5%8D%9A%E5%A3%AB%E6%95%99%E5%B8%AB%E6%B5%81%E5%8B%95%E6%84%8F%E5%90%91%E8%AA%BF%E6%9F%A5%E5%88%86%E6%9E%90%E5%A0%B1%E5%91%8A.htm</w:t>
      </w:r>
    </w:p>
  </w:footnote>
  <w:footnote w:id="64">
    <w:p w14:paraId="5F5CDF91" w14:textId="5F93DB8B" w:rsidR="008B5814" w:rsidRPr="008B619A" w:rsidRDefault="008B5814" w:rsidP="00E877D2">
      <w:pPr>
        <w:pStyle w:val="aff"/>
        <w:wordWrap w:val="0"/>
        <w:ind w:left="284" w:hanging="284"/>
        <w:rPr>
          <w:rFonts w:ascii="標楷體" w:eastAsia="標楷體" w:hAnsi="標楷體"/>
          <w:color w:val="000000" w:themeColor="text1"/>
        </w:rPr>
      </w:pPr>
      <w:r w:rsidRPr="008B619A">
        <w:rPr>
          <w:rStyle w:val="aff1"/>
          <w:color w:val="000000" w:themeColor="text1"/>
        </w:rPr>
        <w:footnoteRef/>
      </w:r>
      <w:r w:rsidRPr="008B619A">
        <w:rPr>
          <w:color w:val="000000" w:themeColor="text1"/>
        </w:rPr>
        <w:t xml:space="preserve"> </w:t>
      </w:r>
      <w:r w:rsidRPr="008B619A">
        <w:rPr>
          <w:rFonts w:ascii="標楷體" w:eastAsia="標楷體" w:hAnsi="標楷體" w:hint="eastAsia"/>
          <w:color w:val="000000" w:themeColor="text1"/>
        </w:rPr>
        <w:t>駐德國代表處教育組（民109）。</w:t>
      </w:r>
      <w:r w:rsidRPr="008B619A">
        <w:rPr>
          <w:rFonts w:ascii="標楷體" w:eastAsia="標楷體" w:hAnsi="標楷體" w:hint="eastAsia"/>
          <w:b/>
          <w:color w:val="000000" w:themeColor="text1"/>
        </w:rPr>
        <w:t>德國大學暨研究機構應提高待遇以留住AI專家</w:t>
      </w:r>
      <w:r w:rsidRPr="008B619A">
        <w:rPr>
          <w:rFonts w:ascii="標楷體" w:eastAsia="標楷體" w:hAnsi="標楷體" w:hint="eastAsia"/>
          <w:color w:val="000000" w:themeColor="text1"/>
        </w:rPr>
        <w:t>。110年，取自</w:t>
      </w:r>
      <w:r w:rsidRPr="008B619A">
        <w:rPr>
          <w:rFonts w:ascii="Times New Roman" w:eastAsia="標楷體" w:hAnsi="Times New Roman" w:cs="Times New Roman"/>
          <w:color w:val="000000" w:themeColor="text1"/>
        </w:rPr>
        <w:t>https://epaper.edu.tw/windows.aspx?windows_sn=23998</w:t>
      </w:r>
    </w:p>
  </w:footnote>
  <w:footnote w:id="65">
    <w:p w14:paraId="440E8A6B" w14:textId="6F8FC10D" w:rsidR="008B5814" w:rsidRPr="008B619A" w:rsidRDefault="008B5814" w:rsidP="00B604C7">
      <w:pPr>
        <w:pStyle w:val="aff"/>
        <w:wordWrap w:val="0"/>
        <w:ind w:left="222" w:hangingChars="101" w:hanging="222"/>
        <w:rPr>
          <w:rFonts w:ascii="標楷體" w:eastAsia="標楷體" w:hAnsi="標楷體"/>
          <w:color w:val="000000" w:themeColor="text1"/>
        </w:rPr>
      </w:pPr>
      <w:r w:rsidRPr="008B619A">
        <w:rPr>
          <w:rStyle w:val="aff1"/>
          <w:color w:val="000000" w:themeColor="text1"/>
        </w:rPr>
        <w:footnoteRef/>
      </w:r>
      <w:r w:rsidRPr="008B619A">
        <w:rPr>
          <w:color w:val="000000" w:themeColor="text1"/>
        </w:rPr>
        <w:t xml:space="preserve"> </w:t>
      </w:r>
      <w:r w:rsidRPr="008B619A">
        <w:rPr>
          <w:rFonts w:ascii="標楷體" w:eastAsia="標楷體" w:hAnsi="標楷體" w:hint="eastAsia"/>
          <w:color w:val="000000" w:themeColor="text1"/>
        </w:rPr>
        <w:t>教育部統計處（民1</w:t>
      </w:r>
      <w:r w:rsidRPr="008B619A">
        <w:rPr>
          <w:rFonts w:ascii="標楷體" w:eastAsia="標楷體" w:hAnsi="標楷體"/>
          <w:color w:val="000000" w:themeColor="text1"/>
        </w:rPr>
        <w:t>07</w:t>
      </w:r>
      <w:r w:rsidRPr="008B619A">
        <w:rPr>
          <w:rFonts w:ascii="標楷體" w:eastAsia="標楷體" w:hAnsi="標楷體" w:hint="eastAsia"/>
          <w:color w:val="000000" w:themeColor="text1"/>
        </w:rPr>
        <w:t>）。</w:t>
      </w:r>
      <w:r w:rsidRPr="008B619A">
        <w:rPr>
          <w:rFonts w:ascii="標楷體" w:eastAsia="標楷體" w:hAnsi="標楷體"/>
          <w:b/>
          <w:color w:val="000000" w:themeColor="text1"/>
        </w:rPr>
        <w:t>全球高等教育國際學生流動概況</w:t>
      </w:r>
      <w:r w:rsidRPr="008B619A">
        <w:rPr>
          <w:rFonts w:ascii="標楷體" w:eastAsia="標楷體" w:hAnsi="標楷體" w:hint="eastAsia"/>
          <w:color w:val="000000" w:themeColor="text1"/>
        </w:rPr>
        <w:t>。1</w:t>
      </w:r>
      <w:r w:rsidRPr="008B619A">
        <w:rPr>
          <w:rFonts w:ascii="標楷體" w:eastAsia="標楷體" w:hAnsi="標楷體"/>
          <w:color w:val="000000" w:themeColor="text1"/>
        </w:rPr>
        <w:t>10</w:t>
      </w:r>
      <w:r w:rsidRPr="008B619A">
        <w:rPr>
          <w:rFonts w:ascii="標楷體" w:eastAsia="標楷體" w:hAnsi="標楷體" w:hint="eastAsia"/>
          <w:color w:val="000000" w:themeColor="text1"/>
        </w:rPr>
        <w:t>年取自，</w:t>
      </w:r>
      <w:r w:rsidRPr="008B619A">
        <w:rPr>
          <w:rFonts w:ascii="Times New Roman" w:eastAsia="標楷體" w:hAnsi="Times New Roman" w:cs="Times New Roman"/>
          <w:color w:val="000000" w:themeColor="text1"/>
        </w:rPr>
        <w:t>https://stats.moe.gov.tw/files/brief/%e5%85%a8%e7%90%83%e9%ab%98%e7%ad%89%e6%95%99%e8%82%</w:t>
      </w:r>
      <w:r w:rsidRPr="008B619A">
        <w:rPr>
          <w:rFonts w:ascii="Times New Roman" w:hAnsi="Times New Roman" w:cs="Times New Roman"/>
          <w:color w:val="000000" w:themeColor="text1"/>
        </w:rPr>
        <w:t>b2</w:t>
      </w:r>
      <w:r w:rsidRPr="008B619A">
        <w:rPr>
          <w:rFonts w:ascii="Times New Roman" w:eastAsia="標楷體" w:hAnsi="Times New Roman" w:cs="Times New Roman"/>
          <w:color w:val="000000" w:themeColor="text1"/>
        </w:rPr>
        <w:t>%e5%9c%8b%e9%9a%9b%e5%ad%b8%e7%94%9f%e6%b5%81%e5%8b%95%e6%a6%82%e6%b3%81.pdf</w:t>
      </w:r>
    </w:p>
  </w:footnote>
  <w:footnote w:id="66">
    <w:p w14:paraId="03521A1F" w14:textId="5E245DA5" w:rsidR="008B5814" w:rsidRPr="008B619A" w:rsidRDefault="008B5814" w:rsidP="00B604C7">
      <w:pPr>
        <w:pStyle w:val="aff"/>
        <w:wordWrap w:val="0"/>
        <w:ind w:left="222" w:hangingChars="101" w:hanging="222"/>
        <w:rPr>
          <w:color w:val="000000" w:themeColor="text1"/>
        </w:rPr>
      </w:pPr>
      <w:r w:rsidRPr="008B619A">
        <w:rPr>
          <w:rStyle w:val="aff1"/>
          <w:color w:val="000000" w:themeColor="text1"/>
        </w:rPr>
        <w:footnoteRef/>
      </w:r>
      <w:r w:rsidRPr="008B619A">
        <w:rPr>
          <w:rFonts w:ascii="標楷體" w:eastAsia="標楷體" w:hAnsi="標楷體"/>
          <w:color w:val="000000" w:themeColor="text1"/>
        </w:rPr>
        <w:t xml:space="preserve"> </w:t>
      </w:r>
      <w:r w:rsidRPr="008B619A">
        <w:rPr>
          <w:rFonts w:ascii="標楷體" w:eastAsia="標楷體" w:hAnsi="標楷體" w:hint="eastAsia"/>
          <w:color w:val="000000" w:themeColor="text1"/>
        </w:rPr>
        <w:t>教育部統計處（民1</w:t>
      </w:r>
      <w:r w:rsidRPr="008B619A">
        <w:rPr>
          <w:rFonts w:ascii="標楷體" w:eastAsia="標楷體" w:hAnsi="標楷體"/>
          <w:color w:val="000000" w:themeColor="text1"/>
        </w:rPr>
        <w:t>07</w:t>
      </w:r>
      <w:r w:rsidRPr="008B619A">
        <w:rPr>
          <w:rFonts w:ascii="標楷體" w:eastAsia="標楷體" w:hAnsi="標楷體" w:hint="eastAsia"/>
          <w:color w:val="000000" w:themeColor="text1"/>
        </w:rPr>
        <w:t>）。</w:t>
      </w:r>
      <w:r w:rsidRPr="008B619A">
        <w:rPr>
          <w:rFonts w:ascii="標楷體" w:eastAsia="標楷體" w:hAnsi="標楷體" w:hint="eastAsia"/>
          <w:b/>
          <w:color w:val="000000" w:themeColor="text1"/>
        </w:rPr>
        <w:t>我國與美國之國際學生相互流動概況</w:t>
      </w:r>
      <w:r w:rsidRPr="008B619A">
        <w:rPr>
          <w:rFonts w:ascii="標楷體" w:eastAsia="標楷體" w:hAnsi="標楷體" w:hint="eastAsia"/>
          <w:color w:val="000000" w:themeColor="text1"/>
        </w:rPr>
        <w:t>。1</w:t>
      </w:r>
      <w:r w:rsidRPr="008B619A">
        <w:rPr>
          <w:rFonts w:ascii="標楷體" w:eastAsia="標楷體" w:hAnsi="標楷體"/>
          <w:color w:val="000000" w:themeColor="text1"/>
        </w:rPr>
        <w:t>10</w:t>
      </w:r>
      <w:r w:rsidRPr="008B619A">
        <w:rPr>
          <w:rFonts w:ascii="標楷體" w:eastAsia="標楷體" w:hAnsi="標楷體" w:hint="eastAsia"/>
          <w:color w:val="000000" w:themeColor="text1"/>
        </w:rPr>
        <w:t>年取自，</w:t>
      </w:r>
      <w:r w:rsidRPr="008B619A">
        <w:rPr>
          <w:rFonts w:ascii="Times New Roman" w:eastAsia="標楷體" w:hAnsi="Times New Roman" w:cs="Times New Roman"/>
          <w:color w:val="000000" w:themeColor="text1"/>
        </w:rPr>
        <w:t>https://stats.moe.gov.tw/files/brief/%e6%88%91%e5%9c%8b%e8%88%87%e7%be%8e%e5%9c%8b%e4%b9%8b%e5%9c%8b%e9%9a%9b%e5%ad%b8%e7%94%9f%e7%9b%b8%e4%ba%92%e6%b5%81%e5%8b%95%e6%a6%82%e6%b3%81.pdf</w:t>
      </w:r>
    </w:p>
  </w:footnote>
  <w:footnote w:id="67">
    <w:p w14:paraId="65534987" w14:textId="4AC066D9" w:rsidR="008B5814" w:rsidRPr="008B619A" w:rsidRDefault="008B5814" w:rsidP="00D50EFA">
      <w:pPr>
        <w:pStyle w:val="aff"/>
        <w:wordWrap w:val="0"/>
        <w:ind w:left="222" w:hangingChars="101" w:hanging="222"/>
        <w:rPr>
          <w:rFonts w:ascii="Times New Roman" w:hAnsi="Times New Roman" w:cs="Times New Roman"/>
          <w:color w:val="000000" w:themeColor="text1"/>
        </w:rPr>
      </w:pPr>
      <w:r w:rsidRPr="008B619A">
        <w:rPr>
          <w:rStyle w:val="aff1"/>
          <w:color w:val="000000" w:themeColor="text1"/>
        </w:rPr>
        <w:footnoteRef/>
      </w:r>
      <w:r w:rsidRPr="008B619A">
        <w:rPr>
          <w:rStyle w:val="aff1"/>
          <w:color w:val="000000" w:themeColor="text1"/>
        </w:rPr>
        <w:t xml:space="preserve"> </w:t>
      </w:r>
      <w:r w:rsidRPr="008B619A">
        <w:rPr>
          <w:rFonts w:ascii="Times New Roman" w:eastAsia="標楷體" w:hAnsi="Times New Roman" w:cs="Times New Roman"/>
          <w:color w:val="000000" w:themeColor="text1"/>
          <w:lang w:val="zh-TW"/>
        </w:rPr>
        <w:t>詳見英國政府</w:t>
      </w:r>
      <w:hyperlink r:id="rId1" w:history="1">
        <w:r w:rsidRPr="008B619A">
          <w:rPr>
            <w:rFonts w:eastAsia="標楷體"/>
            <w:color w:val="000000" w:themeColor="text1"/>
            <w:lang w:val="zh-TW"/>
          </w:rPr>
          <w:t>gov.uk</w:t>
        </w:r>
      </w:hyperlink>
      <w:r w:rsidRPr="008B619A">
        <w:rPr>
          <w:rFonts w:ascii="Times New Roman" w:eastAsia="標楷體" w:hAnsi="Times New Roman" w:cs="Times New Roman"/>
          <w:color w:val="000000" w:themeColor="text1"/>
          <w:lang w:val="zh-TW"/>
        </w:rPr>
        <w:t>網站</w:t>
      </w:r>
      <w:r w:rsidRPr="008B619A">
        <w:rPr>
          <w:rFonts w:ascii="Times New Roman" w:eastAsia="標楷體" w:hAnsi="Times New Roman" w:cs="Times New Roman" w:hint="eastAsia"/>
          <w:color w:val="000000" w:themeColor="text1"/>
          <w:lang w:val="zh-TW"/>
        </w:rPr>
        <w:t>。</w:t>
      </w:r>
      <w:r w:rsidRPr="008B619A">
        <w:rPr>
          <w:rFonts w:ascii="Times New Roman" w:eastAsia="標楷體" w:hAnsi="Times New Roman" w:cs="Times New Roman" w:hint="eastAsia"/>
          <w:color w:val="000000" w:themeColor="text1"/>
          <w:lang w:val="zh-TW"/>
        </w:rPr>
        <w:t>109</w:t>
      </w:r>
      <w:r w:rsidRPr="008B619A">
        <w:rPr>
          <w:rFonts w:ascii="Times New Roman" w:eastAsia="標楷體" w:hAnsi="Times New Roman" w:cs="Times New Roman" w:hint="eastAsia"/>
          <w:color w:val="000000" w:themeColor="text1"/>
          <w:lang w:val="zh-TW"/>
        </w:rPr>
        <w:t>年，取自</w:t>
      </w:r>
      <w:r w:rsidRPr="008B619A">
        <w:rPr>
          <w:rFonts w:ascii="Times New Roman" w:hAnsi="Times New Roman" w:cs="Times New Roman"/>
          <w:color w:val="000000" w:themeColor="text1"/>
        </w:rPr>
        <w:t>https://www.gov.uk/check-a-university-is-officially-recognised/recognised-bodies</w:t>
      </w:r>
    </w:p>
  </w:footnote>
  <w:footnote w:id="68">
    <w:p w14:paraId="1D185DC0" w14:textId="5E493F12" w:rsidR="008B5814" w:rsidRPr="008B619A" w:rsidRDefault="008B5814" w:rsidP="00185B61">
      <w:pPr>
        <w:pStyle w:val="aff"/>
        <w:wordWrap w:val="0"/>
        <w:ind w:left="222" w:hangingChars="101" w:hanging="222"/>
        <w:rPr>
          <w:rFonts w:ascii="Times New Roman" w:hAnsi="Times New Roman" w:cs="Times New Roman"/>
          <w:color w:val="000000" w:themeColor="text1"/>
        </w:rPr>
      </w:pPr>
      <w:r w:rsidRPr="008B619A">
        <w:rPr>
          <w:rStyle w:val="aff1"/>
          <w:color w:val="000000" w:themeColor="text1"/>
        </w:rPr>
        <w:footnoteRef/>
      </w:r>
      <w:r w:rsidRPr="008B619A">
        <w:rPr>
          <w:rStyle w:val="aff1"/>
          <w:color w:val="000000" w:themeColor="text1"/>
        </w:rPr>
        <w:t xml:space="preserve"> </w:t>
      </w:r>
      <w:r w:rsidRPr="008B619A">
        <w:rPr>
          <w:rFonts w:ascii="Times New Roman" w:eastAsia="標楷體" w:hAnsi="Times New Roman" w:cs="Times New Roman"/>
          <w:color w:val="000000" w:themeColor="text1"/>
          <w:lang w:val="zh-TW"/>
        </w:rPr>
        <w:t>詳英國國家統計局統計數據</w:t>
      </w:r>
      <w:r w:rsidRPr="008B619A">
        <w:rPr>
          <w:rFonts w:ascii="Times New Roman" w:eastAsia="標楷體" w:hAnsi="Times New Roman" w:cs="Times New Roman" w:hint="eastAsia"/>
          <w:color w:val="000000" w:themeColor="text1"/>
          <w:lang w:val="zh-TW"/>
        </w:rPr>
        <w:t>。</w:t>
      </w:r>
      <w:r w:rsidRPr="008B619A">
        <w:rPr>
          <w:rFonts w:ascii="Times New Roman" w:eastAsia="標楷體" w:hAnsi="Times New Roman" w:cs="Times New Roman" w:hint="eastAsia"/>
          <w:color w:val="000000" w:themeColor="text1"/>
          <w:lang w:val="zh-TW"/>
        </w:rPr>
        <w:t>109</w:t>
      </w:r>
      <w:r w:rsidRPr="008B619A">
        <w:rPr>
          <w:rFonts w:ascii="Times New Roman" w:eastAsia="標楷體" w:hAnsi="Times New Roman" w:cs="Times New Roman" w:hint="eastAsia"/>
          <w:color w:val="000000" w:themeColor="text1"/>
          <w:lang w:val="zh-TW"/>
        </w:rPr>
        <w:t>年，取自</w:t>
      </w:r>
      <w:r w:rsidRPr="008B619A">
        <w:rPr>
          <w:rFonts w:ascii="Times New Roman" w:hAnsi="Times New Roman" w:cs="Times New Roman"/>
          <w:color w:val="000000" w:themeColor="text1"/>
          <w:lang w:val="zh-TW"/>
        </w:rPr>
        <w:t>https://www.ons.gov.uk/peoplepopulationandcommunity/populationandmigration/populationestimates/timeseries/ukpop/pop</w:t>
      </w:r>
    </w:p>
  </w:footnote>
  <w:footnote w:id="69">
    <w:p w14:paraId="720D04E6" w14:textId="3B057F57" w:rsidR="008B5814" w:rsidRPr="008B619A" w:rsidRDefault="008B5814" w:rsidP="00682DDB">
      <w:pPr>
        <w:pStyle w:val="aff"/>
        <w:wordWrap w:val="0"/>
        <w:ind w:left="222" w:hangingChars="101" w:hanging="222"/>
        <w:rPr>
          <w:color w:val="000000" w:themeColor="text1"/>
        </w:rPr>
      </w:pPr>
      <w:r w:rsidRPr="008B619A">
        <w:rPr>
          <w:rStyle w:val="aff1"/>
          <w:color w:val="000000" w:themeColor="text1"/>
        </w:rPr>
        <w:footnoteRef/>
      </w:r>
      <w:r w:rsidRPr="008B619A">
        <w:rPr>
          <w:rFonts w:ascii="Times New Roman" w:eastAsia="標楷體" w:hAnsi="Times New Roman" w:cs="Times New Roman" w:hint="eastAsia"/>
          <w:color w:val="000000" w:themeColor="text1"/>
          <w:lang w:val="zh-TW"/>
        </w:rPr>
        <w:t xml:space="preserve"> </w:t>
      </w:r>
      <w:r w:rsidRPr="008B619A">
        <w:rPr>
          <w:rFonts w:ascii="Times New Roman" w:eastAsia="標楷體" w:hAnsi="Times New Roman" w:cs="Times New Roman"/>
          <w:color w:val="000000" w:themeColor="text1"/>
          <w:lang w:val="zh-TW"/>
        </w:rPr>
        <w:t>詳英國國家統計局統計數據</w:t>
      </w:r>
      <w:r w:rsidRPr="008B619A">
        <w:rPr>
          <w:rFonts w:ascii="Times New Roman" w:eastAsia="標楷體" w:hAnsi="Times New Roman" w:cs="Times New Roman" w:hint="eastAsia"/>
          <w:color w:val="000000" w:themeColor="text1"/>
          <w:lang w:val="zh-TW"/>
        </w:rPr>
        <w:t>。</w:t>
      </w:r>
      <w:r w:rsidRPr="008B619A">
        <w:rPr>
          <w:rFonts w:ascii="Times New Roman" w:eastAsia="標楷體" w:hAnsi="Times New Roman" w:cs="Times New Roman" w:hint="eastAsia"/>
          <w:color w:val="000000" w:themeColor="text1"/>
          <w:lang w:val="zh-TW"/>
        </w:rPr>
        <w:t>109</w:t>
      </w:r>
      <w:r w:rsidRPr="008B619A">
        <w:rPr>
          <w:rFonts w:ascii="Times New Roman" w:eastAsia="標楷體" w:hAnsi="Times New Roman" w:cs="Times New Roman" w:hint="eastAsia"/>
          <w:color w:val="000000" w:themeColor="text1"/>
          <w:lang w:val="zh-TW"/>
        </w:rPr>
        <w:t>年，取自</w:t>
      </w:r>
      <w:r w:rsidRPr="008B619A">
        <w:rPr>
          <w:rFonts w:ascii="Times New Roman" w:hAnsi="Times New Roman" w:cs="Times New Roman"/>
          <w:color w:val="000000" w:themeColor="text1"/>
          <w:lang w:val="zh-TW"/>
        </w:rPr>
        <w:t>https://www.hesa.ac.uk/data-and-analysis/sb255/figure-13</w:t>
      </w:r>
    </w:p>
  </w:footnote>
  <w:footnote w:id="70">
    <w:p w14:paraId="7E433E96" w14:textId="6CEC26BD" w:rsidR="008B5814" w:rsidRPr="008B619A" w:rsidRDefault="008B5814" w:rsidP="00F941A8">
      <w:pPr>
        <w:pStyle w:val="aff"/>
        <w:wordWrap w:val="0"/>
        <w:ind w:left="222" w:hangingChars="101" w:hanging="222"/>
        <w:rPr>
          <w:color w:val="000000" w:themeColor="text1"/>
        </w:rPr>
      </w:pPr>
      <w:r w:rsidRPr="008B619A">
        <w:rPr>
          <w:color w:val="000000" w:themeColor="text1"/>
          <w:vertAlign w:val="superscript"/>
        </w:rPr>
        <w:footnoteRef/>
      </w:r>
      <w:r w:rsidRPr="008B619A">
        <w:rPr>
          <w:color w:val="000000" w:themeColor="text1"/>
        </w:rPr>
        <w:t xml:space="preserve"> </w:t>
      </w:r>
      <w:r w:rsidRPr="008B619A">
        <w:rPr>
          <w:rFonts w:ascii="Times New Roman" w:eastAsia="標楷體" w:hAnsi="Times New Roman" w:cs="Times New Roman"/>
          <w:color w:val="000000" w:themeColor="text1"/>
          <w:lang w:val="zh-TW"/>
        </w:rPr>
        <w:t>詳</w:t>
      </w:r>
      <w:r w:rsidRPr="008B619A">
        <w:rPr>
          <w:rFonts w:ascii="Times New Roman" w:eastAsia="標楷體" w:hAnsi="Times New Roman" w:cs="Times New Roman" w:hint="eastAsia"/>
          <w:color w:val="000000" w:themeColor="text1"/>
          <w:lang w:val="zh-TW"/>
        </w:rPr>
        <w:t>英國高等教育統計局網站。</w:t>
      </w:r>
      <w:r w:rsidRPr="008B619A">
        <w:rPr>
          <w:rFonts w:ascii="Times New Roman" w:eastAsia="標楷體" w:hAnsi="Times New Roman" w:cs="Times New Roman" w:hint="eastAsia"/>
          <w:color w:val="000000" w:themeColor="text1"/>
          <w:lang w:val="zh-TW"/>
        </w:rPr>
        <w:t>109</w:t>
      </w:r>
      <w:r w:rsidRPr="008B619A">
        <w:rPr>
          <w:rFonts w:ascii="Times New Roman" w:eastAsia="標楷體" w:hAnsi="Times New Roman" w:cs="Times New Roman" w:hint="eastAsia"/>
          <w:color w:val="000000" w:themeColor="text1"/>
          <w:lang w:val="zh-TW"/>
        </w:rPr>
        <w:t>年取自，</w:t>
      </w:r>
      <w:hyperlink r:id="rId2" w:history="1">
        <w:r w:rsidRPr="008B619A">
          <w:rPr>
            <w:rFonts w:ascii="Times New Roman" w:eastAsia="標楷體" w:hAnsi="Times New Roman" w:cs="Times New Roman"/>
            <w:color w:val="000000" w:themeColor="text1"/>
            <w:lang w:val="zh-TW"/>
          </w:rPr>
          <w:t>https://www.hesa.ac.uk/data-and-analysis/sb255/figure-3</w:t>
        </w:r>
      </w:hyperlink>
      <w:r w:rsidRPr="008B619A">
        <w:rPr>
          <w:rFonts w:ascii="Times New Roman" w:eastAsia="標楷體" w:hAnsi="Times New Roman" w:cs="Times New Roman"/>
          <w:color w:val="000000" w:themeColor="text1"/>
          <w:lang w:val="zh-TW"/>
        </w:rPr>
        <w:t>；</w:t>
      </w:r>
      <w:hyperlink r:id="rId3" w:history="1">
        <w:r w:rsidRPr="008B619A">
          <w:rPr>
            <w:rFonts w:ascii="Times New Roman" w:eastAsia="標楷體" w:hAnsi="Times New Roman" w:cs="Times New Roman"/>
            <w:color w:val="000000" w:themeColor="text1"/>
            <w:lang w:val="zh-TW"/>
          </w:rPr>
          <w:t>https://www.hesa.ac.uk/data-and-analysis/publications</w:t>
        </w:r>
      </w:hyperlink>
    </w:p>
  </w:footnote>
  <w:footnote w:id="71">
    <w:p w14:paraId="4A49E09E" w14:textId="1FCFBFF6" w:rsidR="008B5814" w:rsidRPr="008B619A" w:rsidRDefault="008B5814" w:rsidP="008F1E9A">
      <w:pPr>
        <w:pStyle w:val="aff"/>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s>
        <w:rPr>
          <w:rFonts w:ascii="Times New Roman" w:eastAsia="標楷體" w:hAnsi="Times New Roman" w:cs="Times New Roman"/>
          <w:color w:val="000000" w:themeColor="text1"/>
        </w:rPr>
      </w:pPr>
      <w:r w:rsidRPr="008B619A">
        <w:rPr>
          <w:color w:val="000000" w:themeColor="text1"/>
          <w:vertAlign w:val="superscript"/>
        </w:rPr>
        <w:footnoteRef/>
      </w:r>
      <w:r w:rsidRPr="008B619A">
        <w:rPr>
          <w:rFonts w:hint="eastAsia"/>
          <w:color w:val="000000" w:themeColor="text1"/>
          <w:vertAlign w:val="superscript"/>
        </w:rPr>
        <w:t xml:space="preserve"> </w:t>
      </w:r>
      <w:r w:rsidRPr="008B619A">
        <w:rPr>
          <w:rFonts w:ascii="Times New Roman" w:eastAsia="標楷體" w:hAnsi="Times New Roman" w:cs="Times New Roman"/>
          <w:color w:val="000000" w:themeColor="text1"/>
          <w:lang w:val="zh-TW"/>
        </w:rPr>
        <w:t>詳英國政府資訊網</w:t>
      </w:r>
      <w:r w:rsidRPr="008B619A">
        <w:rPr>
          <w:rFonts w:ascii="Times New Roman" w:eastAsia="標楷體" w:hAnsi="Times New Roman" w:cs="Times New Roman" w:hint="eastAsia"/>
          <w:color w:val="000000" w:themeColor="text1"/>
          <w:lang w:val="zh-TW"/>
        </w:rPr>
        <w:t>。</w:t>
      </w:r>
      <w:r w:rsidRPr="008B619A">
        <w:rPr>
          <w:rFonts w:ascii="Times New Roman" w:eastAsia="標楷體" w:hAnsi="Times New Roman" w:cs="Times New Roman" w:hint="eastAsia"/>
          <w:color w:val="000000" w:themeColor="text1"/>
        </w:rPr>
        <w:t>109</w:t>
      </w:r>
      <w:r w:rsidRPr="008B619A">
        <w:rPr>
          <w:rFonts w:ascii="Times New Roman" w:eastAsia="標楷體" w:hAnsi="Times New Roman" w:cs="Times New Roman" w:hint="eastAsia"/>
          <w:color w:val="000000" w:themeColor="text1"/>
          <w:lang w:val="zh-TW"/>
        </w:rPr>
        <w:t>年取自</w:t>
      </w:r>
      <w:r w:rsidRPr="008B619A">
        <w:rPr>
          <w:rFonts w:ascii="Times New Roman" w:eastAsia="標楷體" w:hAnsi="Times New Roman" w:cs="Times New Roman" w:hint="eastAsia"/>
          <w:color w:val="000000" w:themeColor="text1"/>
        </w:rPr>
        <w:t>，</w:t>
      </w:r>
      <w:hyperlink r:id="rId4" w:history="1">
        <w:r w:rsidRPr="008B619A">
          <w:rPr>
            <w:rStyle w:val="af1"/>
            <w:rFonts w:ascii="Times New Roman" w:hAnsi="Times New Roman" w:cs="Times New Roman"/>
            <w:color w:val="000000" w:themeColor="text1"/>
            <w:u w:val="none"/>
          </w:rPr>
          <w:t>https://www.gov.uk/funding-for-postgraduate-study</w:t>
        </w:r>
      </w:hyperlink>
      <w:r w:rsidRPr="008B619A">
        <w:rPr>
          <w:rFonts w:ascii="Times New Roman" w:eastAsia="標楷體" w:hAnsi="Times New Roman" w:cs="Times New Roman" w:hint="eastAsia"/>
          <w:color w:val="000000" w:themeColor="text1"/>
        </w:rPr>
        <w:t xml:space="preserve"> </w:t>
      </w:r>
    </w:p>
  </w:footnote>
  <w:footnote w:id="72">
    <w:p w14:paraId="10472956" w14:textId="0004103F" w:rsidR="008B5814" w:rsidRPr="008B619A" w:rsidRDefault="008B5814" w:rsidP="006E7F71">
      <w:pPr>
        <w:pStyle w:val="aff"/>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s>
        <w:rPr>
          <w:color w:val="000000" w:themeColor="text1"/>
        </w:rPr>
      </w:pPr>
      <w:r w:rsidRPr="008B619A">
        <w:rPr>
          <w:color w:val="000000" w:themeColor="text1"/>
          <w:vertAlign w:val="superscript"/>
        </w:rPr>
        <w:footnoteRef/>
      </w:r>
      <w:r w:rsidRPr="008B619A">
        <w:rPr>
          <w:rFonts w:ascii="Times New Roman" w:eastAsia="標楷體" w:hAnsi="Times New Roman" w:cs="Times New Roman"/>
          <w:color w:val="000000" w:themeColor="text1"/>
        </w:rPr>
        <w:t xml:space="preserve"> </w:t>
      </w:r>
      <w:r w:rsidRPr="008B619A">
        <w:rPr>
          <w:rFonts w:ascii="Times New Roman" w:eastAsia="標楷體" w:hAnsi="Times New Roman" w:cs="Times New Roman" w:hint="eastAsia"/>
          <w:color w:val="000000" w:themeColor="text1"/>
        </w:rPr>
        <w:t>109</w:t>
      </w:r>
      <w:r w:rsidRPr="008B619A">
        <w:rPr>
          <w:rFonts w:ascii="Times New Roman" w:eastAsia="標楷體" w:hAnsi="Times New Roman" w:cs="Times New Roman" w:hint="eastAsia"/>
          <w:color w:val="000000" w:themeColor="text1"/>
          <w:lang w:val="zh-TW"/>
        </w:rPr>
        <w:t>年取自</w:t>
      </w:r>
      <w:r w:rsidRPr="008B619A">
        <w:rPr>
          <w:rFonts w:ascii="Times New Roman" w:eastAsia="標楷體" w:hAnsi="Times New Roman" w:cs="Times New Roman" w:hint="eastAsia"/>
          <w:color w:val="000000" w:themeColor="text1"/>
        </w:rPr>
        <w:t>，</w:t>
      </w:r>
      <w:hyperlink r:id="rId5" w:history="1">
        <w:r w:rsidRPr="008B619A">
          <w:rPr>
            <w:rStyle w:val="af1"/>
            <w:rFonts w:ascii="Times New Roman" w:hAnsi="Times New Roman" w:cs="Times New Roman"/>
            <w:color w:val="000000" w:themeColor="text1"/>
            <w:u w:val="none"/>
          </w:rPr>
          <w:t>https://www.findaphd.com/funding/guides/uk-phd-loans-scheme.aspx</w:t>
        </w:r>
      </w:hyperlink>
      <w:r w:rsidRPr="008B619A">
        <w:rPr>
          <w:rFonts w:ascii="Times New Roman" w:eastAsia="標楷體" w:hAnsi="Times New Roman" w:cs="Times New Roman"/>
          <w:color w:val="000000" w:themeColor="text1"/>
        </w:rPr>
        <w:t xml:space="preserve"> </w:t>
      </w:r>
    </w:p>
  </w:footnote>
  <w:footnote w:id="73">
    <w:p w14:paraId="65D4EAA1" w14:textId="13C186DD" w:rsidR="008B5814" w:rsidRPr="008B619A" w:rsidRDefault="008B5814" w:rsidP="00B25891">
      <w:pPr>
        <w:pStyle w:val="aff"/>
        <w:wordWrap w:val="0"/>
        <w:ind w:left="222" w:hangingChars="101" w:hanging="222"/>
        <w:rPr>
          <w:color w:val="000000" w:themeColor="text1"/>
        </w:rPr>
      </w:pPr>
      <w:r w:rsidRPr="008B619A">
        <w:rPr>
          <w:color w:val="000000" w:themeColor="text1"/>
          <w:vertAlign w:val="superscript"/>
        </w:rPr>
        <w:footnoteRef/>
      </w:r>
      <w:r w:rsidRPr="008B619A">
        <w:rPr>
          <w:rFonts w:ascii="Times New Roman" w:eastAsia="標楷體" w:hAnsi="Times New Roman" w:cs="Times New Roman"/>
          <w:color w:val="000000" w:themeColor="text1"/>
        </w:rPr>
        <w:t>英國政府網站</w:t>
      </w:r>
      <w:hyperlink r:id="rId6" w:history="1">
        <w:r w:rsidRPr="008B619A">
          <w:rPr>
            <w:rStyle w:val="Hyperlink1"/>
            <w:rFonts w:eastAsia="標楷體"/>
            <w:color w:val="000000" w:themeColor="text1"/>
            <w:u w:val="none"/>
          </w:rPr>
          <w:t>gov.uk</w:t>
        </w:r>
      </w:hyperlink>
      <w:r w:rsidRPr="008B619A">
        <w:rPr>
          <w:rFonts w:ascii="Times New Roman" w:eastAsia="標楷體" w:hAnsi="Times New Roman" w:cs="Times New Roman"/>
          <w:color w:val="000000" w:themeColor="text1"/>
        </w:rPr>
        <w:t xml:space="preserve"> </w:t>
      </w:r>
      <w:r w:rsidRPr="008B619A">
        <w:rPr>
          <w:rFonts w:ascii="Times New Roman" w:eastAsia="標楷體" w:hAnsi="Times New Roman" w:cs="Times New Roman"/>
          <w:color w:val="000000" w:themeColor="text1"/>
        </w:rPr>
        <w:t>：</w:t>
      </w:r>
      <w:r w:rsidRPr="008B619A">
        <w:rPr>
          <w:rFonts w:ascii="Times New Roman" w:eastAsia="標楷體" w:hAnsi="Times New Roman" w:cs="Times New Roman"/>
          <w:color w:val="000000" w:themeColor="text1"/>
        </w:rPr>
        <w:t xml:space="preserve">Graduate labour market statistics. </w:t>
      </w:r>
      <w:r w:rsidRPr="008B619A">
        <w:rPr>
          <w:rFonts w:ascii="Times New Roman" w:eastAsia="標楷體" w:hAnsi="Times New Roman" w:cs="Times New Roman" w:hint="eastAsia"/>
          <w:color w:val="000000" w:themeColor="text1"/>
        </w:rPr>
        <w:t>109</w:t>
      </w:r>
      <w:r w:rsidRPr="008B619A">
        <w:rPr>
          <w:rFonts w:ascii="Times New Roman" w:eastAsia="標楷體" w:hAnsi="Times New Roman" w:cs="Times New Roman" w:hint="eastAsia"/>
          <w:color w:val="000000" w:themeColor="text1"/>
        </w:rPr>
        <w:t>年</w:t>
      </w:r>
      <w:r w:rsidRPr="008B619A">
        <w:rPr>
          <w:rFonts w:ascii="Times New Roman" w:eastAsia="標楷體" w:hAnsi="Times New Roman" w:cs="Times New Roman"/>
          <w:color w:val="000000" w:themeColor="text1"/>
        </w:rPr>
        <w:t>，</w:t>
      </w:r>
      <w:r w:rsidRPr="008B619A">
        <w:rPr>
          <w:rFonts w:ascii="Times New Roman" w:eastAsia="標楷體" w:hAnsi="Times New Roman" w:cs="Times New Roman"/>
          <w:color w:val="000000" w:themeColor="text1"/>
          <w:lang w:val="zh-TW"/>
        </w:rPr>
        <w:t>取自</w:t>
      </w:r>
      <w:hyperlink r:id="rId7" w:anchor="dataBlock-7f754a2c-e071-4c19-96a3-3cd8f9e636e8-tables" w:history="1">
        <w:r w:rsidRPr="008B619A">
          <w:rPr>
            <w:rStyle w:val="af1"/>
            <w:rFonts w:ascii="Times New Roman" w:hAnsi="Times New Roman" w:cs="Times New Roman"/>
            <w:color w:val="000000" w:themeColor="text1"/>
            <w:u w:val="none"/>
          </w:rPr>
          <w:t>https://explore-education-statistics.service.gov.uk/find-statistics/graduate-labour-markets#dataBlock-7f754a2c-e071-4c19-96a3-3cd8f9e636e8-tables</w:t>
        </w:r>
      </w:hyperlink>
      <w:r w:rsidRPr="008B619A">
        <w:rPr>
          <w:rFonts w:ascii="Times New Roman" w:eastAsia="標楷體" w:hAnsi="Times New Roman" w:cs="Times New Roman"/>
          <w:color w:val="000000" w:themeColor="text1"/>
        </w:rPr>
        <w:t xml:space="preserve"> </w:t>
      </w:r>
    </w:p>
  </w:footnote>
  <w:footnote w:id="74">
    <w:p w14:paraId="1DBF0F58" w14:textId="12A71D46" w:rsidR="008B5814" w:rsidRPr="008B619A" w:rsidRDefault="008B5814" w:rsidP="00A86C81">
      <w:pPr>
        <w:pStyle w:val="aff"/>
        <w:ind w:left="222" w:hangingChars="101" w:hanging="222"/>
        <w:jc w:val="both"/>
        <w:rPr>
          <w:rFonts w:ascii="Times New Roman" w:hAnsi="Times New Roman" w:cs="Times New Roman"/>
          <w:color w:val="000000" w:themeColor="text1"/>
        </w:rPr>
      </w:pPr>
      <w:r w:rsidRPr="008B619A">
        <w:rPr>
          <w:color w:val="000000" w:themeColor="text1"/>
          <w:vertAlign w:val="superscript"/>
        </w:rPr>
        <w:footnoteRef/>
      </w:r>
      <w:r w:rsidRPr="008B619A">
        <w:rPr>
          <w:rFonts w:ascii="標楷體" w:hAnsi="標楷體"/>
          <w:color w:val="000000" w:themeColor="text1"/>
        </w:rPr>
        <w:t xml:space="preserve"> </w:t>
      </w:r>
      <w:r w:rsidRPr="008B619A">
        <w:rPr>
          <w:rFonts w:eastAsia="標楷體" w:hint="eastAsia"/>
          <w:color w:val="000000" w:themeColor="text1"/>
          <w:lang w:val="ja-JP" w:eastAsia="ja-JP"/>
        </w:rPr>
        <w:t>高等教育政策研究機構</w:t>
      </w:r>
      <w:r w:rsidRPr="008B619A">
        <w:rPr>
          <w:rFonts w:ascii="Times New Roman" w:eastAsia="標楷體" w:hAnsi="Times New Roman" w:cs="Times New Roman"/>
          <w:color w:val="000000" w:themeColor="text1"/>
          <w:lang w:val="ja-JP" w:eastAsia="ja-JP"/>
        </w:rPr>
        <w:t>（</w:t>
      </w:r>
      <w:r w:rsidRPr="008B619A">
        <w:rPr>
          <w:rFonts w:ascii="Times New Roman" w:hAnsi="Times New Roman" w:cs="Times New Roman"/>
          <w:color w:val="000000" w:themeColor="text1"/>
        </w:rPr>
        <w:t>Higher Education Policy Institute, HEPI</w:t>
      </w:r>
      <w:r w:rsidRPr="008B619A">
        <w:rPr>
          <w:rFonts w:ascii="Times New Roman" w:eastAsia="標楷體" w:hAnsi="Times New Roman" w:cs="Times New Roman"/>
          <w:color w:val="000000" w:themeColor="text1"/>
        </w:rPr>
        <w:t>）</w:t>
      </w:r>
      <w:r w:rsidRPr="008B619A">
        <w:rPr>
          <w:rFonts w:eastAsia="標楷體" w:hint="eastAsia"/>
          <w:color w:val="000000" w:themeColor="text1"/>
          <w:lang w:val="zh-TW"/>
        </w:rPr>
        <w:t>報告。</w:t>
      </w:r>
      <w:r w:rsidRPr="008B619A">
        <w:rPr>
          <w:rFonts w:eastAsia="標楷體" w:hint="eastAsia"/>
          <w:color w:val="000000" w:themeColor="text1"/>
        </w:rPr>
        <w:t>110</w:t>
      </w:r>
      <w:r w:rsidRPr="008B619A">
        <w:rPr>
          <w:rFonts w:eastAsia="標楷體" w:hint="eastAsia"/>
          <w:color w:val="000000" w:themeColor="text1"/>
          <w:lang w:val="zh-TW"/>
        </w:rPr>
        <w:t>年</w:t>
      </w:r>
      <w:r w:rsidRPr="008B619A">
        <w:rPr>
          <w:rFonts w:eastAsia="標楷體" w:hint="eastAsia"/>
          <w:color w:val="000000" w:themeColor="text1"/>
        </w:rPr>
        <w:t>，</w:t>
      </w:r>
      <w:r w:rsidRPr="008B619A">
        <w:rPr>
          <w:rFonts w:eastAsia="標楷體" w:hint="eastAsia"/>
          <w:color w:val="000000" w:themeColor="text1"/>
          <w:lang w:val="zh-TW"/>
        </w:rPr>
        <w:t>取自</w:t>
      </w:r>
      <w:hyperlink r:id="rId8" w:history="1">
        <w:r w:rsidRPr="008B619A">
          <w:rPr>
            <w:rStyle w:val="af1"/>
            <w:rFonts w:ascii="Times New Roman" w:hAnsi="Times New Roman" w:cs="Times New Roman"/>
            <w:color w:val="000000" w:themeColor="text1"/>
            <w:u w:val="none"/>
          </w:rPr>
          <w:t>https://www.hepi.ac.uk/2020/07/16/new-report-shows-67-of-phd-students-want-a-career-in-academic-research-but-only-30-stay-in-academia-three-years-on/</w:t>
        </w:r>
      </w:hyperlink>
      <w:r w:rsidRPr="008B619A">
        <w:rPr>
          <w:rStyle w:val="af1"/>
          <w:rFonts w:ascii="Times New Roman" w:hAnsi="Times New Roman" w:hint="eastAsia"/>
          <w:color w:val="000000" w:themeColor="text1"/>
          <w:u w:val="none"/>
        </w:rPr>
        <w:t xml:space="preserve"> </w:t>
      </w:r>
    </w:p>
  </w:footnote>
  <w:footnote w:id="75">
    <w:p w14:paraId="0DCF6DA3" w14:textId="4544F5B6" w:rsidR="008B5814" w:rsidRPr="008B619A" w:rsidRDefault="008B5814" w:rsidP="00BA39C7">
      <w:pPr>
        <w:pStyle w:val="aff"/>
        <w:ind w:left="222" w:hangingChars="101" w:hanging="222"/>
        <w:jc w:val="both"/>
        <w:rPr>
          <w:color w:val="000000" w:themeColor="text1"/>
        </w:rPr>
      </w:pPr>
      <w:r w:rsidRPr="008B619A">
        <w:rPr>
          <w:rStyle w:val="aff1"/>
          <w:color w:val="000000" w:themeColor="text1"/>
        </w:rPr>
        <w:footnoteRef/>
      </w:r>
      <w:r w:rsidRPr="008B619A">
        <w:rPr>
          <w:rFonts w:ascii="標楷體" w:eastAsia="標楷體" w:hAnsi="標楷體" w:hint="eastAsia"/>
          <w:color w:val="000000" w:themeColor="text1"/>
        </w:rPr>
        <w:t>109年，取自</w:t>
      </w:r>
      <w:r w:rsidRPr="008B619A">
        <w:rPr>
          <w:rFonts w:ascii="Times New Roman" w:hAnsi="Times New Roman" w:cs="Times New Roman"/>
          <w:color w:val="000000" w:themeColor="text1"/>
        </w:rPr>
        <w:t>https://www.a-star.edu.sg/Scholarships/for-graduate-studies/national-science-scholarship-phd</w:t>
      </w:r>
    </w:p>
  </w:footnote>
  <w:footnote w:id="76">
    <w:p w14:paraId="37172295" w14:textId="4AB06DEC" w:rsidR="008B5814" w:rsidRPr="008B619A" w:rsidRDefault="008B5814" w:rsidP="001505E6">
      <w:pPr>
        <w:pStyle w:val="aff"/>
        <w:ind w:left="222" w:hangingChars="101" w:hanging="222"/>
        <w:jc w:val="both"/>
        <w:rPr>
          <w:color w:val="000000" w:themeColor="text1"/>
        </w:rPr>
      </w:pPr>
      <w:r w:rsidRPr="008B619A">
        <w:rPr>
          <w:rStyle w:val="aff1"/>
          <w:color w:val="000000" w:themeColor="text1"/>
        </w:rPr>
        <w:footnoteRef/>
      </w:r>
      <w:r w:rsidRPr="008B619A">
        <w:rPr>
          <w:rFonts w:ascii="標楷體" w:eastAsia="標楷體" w:hAnsi="標楷體" w:hint="eastAsia"/>
          <w:color w:val="000000" w:themeColor="text1"/>
        </w:rPr>
        <w:t>109年，取自</w:t>
      </w:r>
      <w:r w:rsidRPr="008B619A">
        <w:rPr>
          <w:rFonts w:ascii="Times New Roman" w:hAnsi="Times New Roman" w:cs="Times New Roman"/>
          <w:color w:val="000000" w:themeColor="text1"/>
        </w:rPr>
        <w:t xml:space="preserve">https://www.a-star.edu.sg/Scholarships/for-graduate-studies/a-star-graduate-scholarship-singapore </w:t>
      </w:r>
    </w:p>
  </w:footnote>
  <w:footnote w:id="77">
    <w:p w14:paraId="6B56C9A8" w14:textId="15A71107" w:rsidR="008B5814" w:rsidRPr="008B619A" w:rsidRDefault="008B5814" w:rsidP="001505E6">
      <w:pPr>
        <w:pStyle w:val="aff"/>
        <w:ind w:left="222" w:hangingChars="101" w:hanging="222"/>
        <w:jc w:val="both"/>
        <w:rPr>
          <w:color w:val="000000" w:themeColor="text1"/>
        </w:rPr>
      </w:pPr>
      <w:r w:rsidRPr="008B619A">
        <w:rPr>
          <w:rStyle w:val="aff1"/>
          <w:color w:val="000000" w:themeColor="text1"/>
        </w:rPr>
        <w:footnoteRef/>
      </w:r>
      <w:r w:rsidRPr="008B619A">
        <w:rPr>
          <w:rFonts w:ascii="標楷體" w:eastAsia="標楷體" w:hAnsi="標楷體" w:hint="eastAsia"/>
          <w:color w:val="000000" w:themeColor="text1"/>
        </w:rPr>
        <w:t>109年，取自</w:t>
      </w:r>
      <w:r w:rsidRPr="008B619A">
        <w:rPr>
          <w:rFonts w:ascii="Times New Roman" w:hAnsi="Times New Roman" w:cs="Times New Roman"/>
          <w:color w:val="000000" w:themeColor="text1"/>
        </w:rPr>
        <w:t>https://www.a-star.edu.sg/Scholarships/for-graduate-studies/a-star-cis-scholarship</w:t>
      </w:r>
    </w:p>
  </w:footnote>
  <w:footnote w:id="78">
    <w:p w14:paraId="2ED6B51A" w14:textId="6D75DD45" w:rsidR="008B5814" w:rsidRPr="008B619A" w:rsidRDefault="008B5814">
      <w:pPr>
        <w:pStyle w:val="aff"/>
        <w:rPr>
          <w:color w:val="000000" w:themeColor="text1"/>
        </w:rPr>
      </w:pPr>
      <w:r w:rsidRPr="008B619A">
        <w:rPr>
          <w:rStyle w:val="aff1"/>
          <w:color w:val="000000" w:themeColor="text1"/>
        </w:rPr>
        <w:footnoteRef/>
      </w:r>
      <w:r w:rsidRPr="008B619A">
        <w:rPr>
          <w:rFonts w:ascii="標楷體" w:eastAsia="標楷體" w:hAnsi="標楷體" w:hint="eastAsia"/>
          <w:color w:val="000000" w:themeColor="text1"/>
        </w:rPr>
        <w:t>109年，取自</w:t>
      </w:r>
      <w:r w:rsidRPr="008B619A">
        <w:rPr>
          <w:rFonts w:ascii="Times New Roman" w:hAnsi="Times New Roman" w:cs="Times New Roman"/>
          <w:color w:val="000000" w:themeColor="text1"/>
        </w:rPr>
        <w:t xml:space="preserve">https://www.imda.gov.sg/IMTalent/programmes/sgd-postgraduate  </w:t>
      </w:r>
    </w:p>
  </w:footnote>
  <w:footnote w:id="79">
    <w:p w14:paraId="35CC832D" w14:textId="5DB6A330" w:rsidR="008B5814" w:rsidRPr="008B619A" w:rsidRDefault="008B5814">
      <w:pPr>
        <w:pStyle w:val="aff"/>
        <w:rPr>
          <w:color w:val="000000" w:themeColor="text1"/>
        </w:rPr>
      </w:pPr>
      <w:r w:rsidRPr="008B619A">
        <w:rPr>
          <w:rStyle w:val="aff1"/>
          <w:color w:val="000000" w:themeColor="text1"/>
        </w:rPr>
        <w:footnoteRef/>
      </w:r>
      <w:r w:rsidRPr="008B619A">
        <w:rPr>
          <w:rFonts w:ascii="標楷體" w:eastAsia="標楷體" w:hAnsi="標楷體" w:hint="eastAsia"/>
          <w:color w:val="000000" w:themeColor="text1"/>
        </w:rPr>
        <w:t>監察院108年10月24日院台調壹字第1080800218號案。</w:t>
      </w:r>
    </w:p>
  </w:footnote>
  <w:footnote w:id="80">
    <w:p w14:paraId="603B85FF" w14:textId="1B78329B" w:rsidR="008B5814" w:rsidRPr="008B619A" w:rsidRDefault="008B5814">
      <w:pPr>
        <w:pStyle w:val="aff"/>
        <w:rPr>
          <w:color w:val="000000" w:themeColor="text1"/>
        </w:rPr>
      </w:pPr>
      <w:r w:rsidRPr="008B619A">
        <w:rPr>
          <w:rStyle w:val="aff1"/>
          <w:color w:val="000000" w:themeColor="text1"/>
        </w:rPr>
        <w:footnoteRef/>
      </w:r>
      <w:r w:rsidRPr="008B619A">
        <w:rPr>
          <w:color w:val="000000" w:themeColor="text1"/>
        </w:rPr>
        <w:t xml:space="preserve"> </w:t>
      </w:r>
      <w:r w:rsidRPr="008B619A">
        <w:rPr>
          <w:rFonts w:ascii="標楷體" w:eastAsia="標楷體" w:hAnsi="標楷體" w:hint="eastAsia"/>
          <w:color w:val="000000" w:themeColor="text1"/>
        </w:rPr>
        <w:t>教育部（民109）。</w:t>
      </w:r>
      <w:r w:rsidRPr="008B619A">
        <w:rPr>
          <w:rFonts w:ascii="標楷體" w:eastAsia="標楷體" w:hAnsi="標楷體" w:hint="eastAsia"/>
          <w:b/>
          <w:color w:val="000000" w:themeColor="text1"/>
        </w:rPr>
        <w:t>教育統計指標之國際比較(2020年版)</w:t>
      </w:r>
      <w:r w:rsidRPr="008B619A">
        <w:rPr>
          <w:rFonts w:ascii="標楷體" w:eastAsia="標楷體" w:hAnsi="標楷體" w:hint="eastAsia"/>
          <w:color w:val="000000" w:themeColor="text1"/>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E13118D"/>
    <w:multiLevelType w:val="hybridMultilevel"/>
    <w:tmpl w:val="E4182B8A"/>
    <w:lvl w:ilvl="0" w:tplc="0409000F">
      <w:start w:val="1"/>
      <w:numFmt w:val="decimal"/>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2" w15:restartNumberingAfterBreak="0">
    <w:nsid w:val="140E010C"/>
    <w:multiLevelType w:val="multilevel"/>
    <w:tmpl w:val="C4300148"/>
    <w:lvl w:ilvl="0">
      <w:start w:val="1"/>
      <w:numFmt w:val="ideographLegalTraditional"/>
      <w:pStyle w:val="1"/>
      <w:suff w:val="nothing"/>
      <w:lvlText w:val="%1、"/>
      <w:lvlJc w:val="left"/>
      <w:pPr>
        <w:ind w:left="1701" w:hanging="1701"/>
      </w:pPr>
      <w:rPr>
        <w:rFonts w:ascii="標楷體" w:eastAsia="標楷體" w:hint="eastAsia"/>
        <w:b/>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trike w:val="0"/>
        <w:snapToGrid/>
        <w:color w:val="000000" w:themeColor="text1"/>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000000" w:themeColor="text1"/>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color w:val="000000" w:themeColor="text1"/>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color w:val="000000" w:themeColor="text1"/>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lang w:val="en-US"/>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1861092"/>
    <w:multiLevelType w:val="hybridMultilevel"/>
    <w:tmpl w:val="D56065D6"/>
    <w:lvl w:ilvl="0" w:tplc="261EBCC4">
      <w:start w:val="1"/>
      <w:numFmt w:val="decimal"/>
      <w:lvlText w:val="%1."/>
      <w:lvlJc w:val="left"/>
      <w:pPr>
        <w:tabs>
          <w:tab w:val="num" w:pos="720"/>
        </w:tabs>
        <w:ind w:left="720" w:hanging="360"/>
      </w:pPr>
    </w:lvl>
    <w:lvl w:ilvl="1" w:tplc="3182BBA4" w:tentative="1">
      <w:start w:val="1"/>
      <w:numFmt w:val="decimal"/>
      <w:lvlText w:val="%2."/>
      <w:lvlJc w:val="left"/>
      <w:pPr>
        <w:tabs>
          <w:tab w:val="num" w:pos="1440"/>
        </w:tabs>
        <w:ind w:left="1440" w:hanging="360"/>
      </w:pPr>
    </w:lvl>
    <w:lvl w:ilvl="2" w:tplc="F554380A" w:tentative="1">
      <w:start w:val="1"/>
      <w:numFmt w:val="decimal"/>
      <w:lvlText w:val="%3."/>
      <w:lvlJc w:val="left"/>
      <w:pPr>
        <w:tabs>
          <w:tab w:val="num" w:pos="2160"/>
        </w:tabs>
        <w:ind w:left="2160" w:hanging="360"/>
      </w:pPr>
    </w:lvl>
    <w:lvl w:ilvl="3" w:tplc="42D66152" w:tentative="1">
      <w:start w:val="1"/>
      <w:numFmt w:val="decimal"/>
      <w:lvlText w:val="%4."/>
      <w:lvlJc w:val="left"/>
      <w:pPr>
        <w:tabs>
          <w:tab w:val="num" w:pos="2880"/>
        </w:tabs>
        <w:ind w:left="2880" w:hanging="360"/>
      </w:pPr>
    </w:lvl>
    <w:lvl w:ilvl="4" w:tplc="21BCA70E" w:tentative="1">
      <w:start w:val="1"/>
      <w:numFmt w:val="decimal"/>
      <w:lvlText w:val="%5."/>
      <w:lvlJc w:val="left"/>
      <w:pPr>
        <w:tabs>
          <w:tab w:val="num" w:pos="3600"/>
        </w:tabs>
        <w:ind w:left="3600" w:hanging="360"/>
      </w:pPr>
    </w:lvl>
    <w:lvl w:ilvl="5" w:tplc="752E069A" w:tentative="1">
      <w:start w:val="1"/>
      <w:numFmt w:val="decimal"/>
      <w:lvlText w:val="%6."/>
      <w:lvlJc w:val="left"/>
      <w:pPr>
        <w:tabs>
          <w:tab w:val="num" w:pos="4320"/>
        </w:tabs>
        <w:ind w:left="4320" w:hanging="360"/>
      </w:pPr>
    </w:lvl>
    <w:lvl w:ilvl="6" w:tplc="9424D064" w:tentative="1">
      <w:start w:val="1"/>
      <w:numFmt w:val="decimal"/>
      <w:lvlText w:val="%7."/>
      <w:lvlJc w:val="left"/>
      <w:pPr>
        <w:tabs>
          <w:tab w:val="num" w:pos="5040"/>
        </w:tabs>
        <w:ind w:left="5040" w:hanging="360"/>
      </w:pPr>
    </w:lvl>
    <w:lvl w:ilvl="7" w:tplc="4002DE08" w:tentative="1">
      <w:start w:val="1"/>
      <w:numFmt w:val="decimal"/>
      <w:lvlText w:val="%8."/>
      <w:lvlJc w:val="left"/>
      <w:pPr>
        <w:tabs>
          <w:tab w:val="num" w:pos="5760"/>
        </w:tabs>
        <w:ind w:left="5760" w:hanging="360"/>
      </w:pPr>
    </w:lvl>
    <w:lvl w:ilvl="8" w:tplc="59F8EF8E" w:tentative="1">
      <w:start w:val="1"/>
      <w:numFmt w:val="decimal"/>
      <w:lvlText w:val="%9."/>
      <w:lvlJc w:val="left"/>
      <w:pPr>
        <w:tabs>
          <w:tab w:val="num" w:pos="6480"/>
        </w:tabs>
        <w:ind w:left="6480" w:hanging="360"/>
      </w:pPr>
    </w:lvl>
  </w:abstractNum>
  <w:abstractNum w:abstractNumId="5" w15:restartNumberingAfterBreak="0">
    <w:nsid w:val="3CFE143F"/>
    <w:multiLevelType w:val="hybridMultilevel"/>
    <w:tmpl w:val="367E06B4"/>
    <w:lvl w:ilvl="0" w:tplc="8AF2011C">
      <w:start w:val="1"/>
      <w:numFmt w:val="decimal"/>
      <w:pStyle w:val="a1"/>
      <w:lvlText w:val="圖%1　"/>
      <w:lvlJc w:val="left"/>
      <w:pPr>
        <w:ind w:left="480" w:hanging="480"/>
      </w:pPr>
      <w:rPr>
        <w:rFonts w:ascii="標楷體" w:eastAsia="標楷體" w:hint="eastAsia"/>
        <w:b/>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0972EC2"/>
    <w:multiLevelType w:val="hybridMultilevel"/>
    <w:tmpl w:val="FAC01FC6"/>
    <w:lvl w:ilvl="0" w:tplc="DFFC6830">
      <w:start w:val="1"/>
      <w:numFmt w:val="taiwaneseCountingThousand"/>
      <w:pStyle w:val="20"/>
      <w:lvlText w:val="(%1)"/>
      <w:lvlJc w:val="left"/>
      <w:pPr>
        <w:ind w:left="758" w:hanging="480"/>
      </w:pPr>
      <w:rPr>
        <w:rFonts w:ascii="標楷體" w:eastAsia="標楷體" w:hint="eastAsia"/>
        <w:b w:val="0"/>
        <w:i w:val="0"/>
        <w:caps w:val="0"/>
        <w:strike w:val="0"/>
        <w:dstrike w:val="0"/>
        <w:snapToGrid/>
        <w:vanish w:val="0"/>
        <w:color w:val="auto"/>
        <w:spacing w:val="0"/>
        <w:w w:val="100"/>
        <w:kern w:val="28"/>
        <w:position w:val="0"/>
        <w:sz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1238" w:hanging="480"/>
      </w:pPr>
    </w:lvl>
    <w:lvl w:ilvl="2" w:tplc="0409001B">
      <w:start w:val="1"/>
      <w:numFmt w:val="lowerRoman"/>
      <w:lvlText w:val="%3."/>
      <w:lvlJc w:val="right"/>
      <w:pPr>
        <w:ind w:left="1718" w:hanging="480"/>
      </w:pPr>
    </w:lvl>
    <w:lvl w:ilvl="3" w:tplc="0409000F">
      <w:start w:val="1"/>
      <w:numFmt w:val="decimal"/>
      <w:lvlText w:val="%4."/>
      <w:lvlJc w:val="left"/>
      <w:pPr>
        <w:ind w:left="2198" w:hanging="480"/>
      </w:pPr>
    </w:lvl>
    <w:lvl w:ilvl="4" w:tplc="04090019">
      <w:start w:val="1"/>
      <w:numFmt w:val="ideographTraditional"/>
      <w:lvlText w:val="%5、"/>
      <w:lvlJc w:val="left"/>
      <w:pPr>
        <w:ind w:left="2678" w:hanging="480"/>
      </w:pPr>
    </w:lvl>
    <w:lvl w:ilvl="5" w:tplc="0409001B" w:tentative="1">
      <w:start w:val="1"/>
      <w:numFmt w:val="lowerRoman"/>
      <w:lvlText w:val="%6."/>
      <w:lvlJc w:val="right"/>
      <w:pPr>
        <w:ind w:left="3158" w:hanging="480"/>
      </w:pPr>
    </w:lvl>
    <w:lvl w:ilvl="6" w:tplc="0409000F" w:tentative="1">
      <w:start w:val="1"/>
      <w:numFmt w:val="decimal"/>
      <w:lvlText w:val="%7."/>
      <w:lvlJc w:val="left"/>
      <w:pPr>
        <w:ind w:left="3638" w:hanging="480"/>
      </w:pPr>
    </w:lvl>
    <w:lvl w:ilvl="7" w:tplc="04090019" w:tentative="1">
      <w:start w:val="1"/>
      <w:numFmt w:val="ideographTraditional"/>
      <w:lvlText w:val="%8、"/>
      <w:lvlJc w:val="left"/>
      <w:pPr>
        <w:ind w:left="4118" w:hanging="480"/>
      </w:pPr>
    </w:lvl>
    <w:lvl w:ilvl="8" w:tplc="0409001B" w:tentative="1">
      <w:start w:val="1"/>
      <w:numFmt w:val="lowerRoman"/>
      <w:lvlText w:val="%9."/>
      <w:lvlJc w:val="right"/>
      <w:pPr>
        <w:ind w:left="4598" w:hanging="480"/>
      </w:pPr>
    </w:lvl>
  </w:abstractNum>
  <w:abstractNum w:abstractNumId="7" w15:restartNumberingAfterBreak="0">
    <w:nsid w:val="441523EB"/>
    <w:multiLevelType w:val="hybridMultilevel"/>
    <w:tmpl w:val="3856A5CC"/>
    <w:lvl w:ilvl="0" w:tplc="1F6260D8">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A5F5684"/>
    <w:multiLevelType w:val="hybridMultilevel"/>
    <w:tmpl w:val="6BEC9BF6"/>
    <w:lvl w:ilvl="0" w:tplc="BB38E792">
      <w:start w:val="1"/>
      <w:numFmt w:val="decimal"/>
      <w:pStyle w:val="a3"/>
      <w:lvlText w:val="表%1　"/>
      <w:lvlJc w:val="left"/>
      <w:pPr>
        <w:ind w:left="4167" w:hanging="480"/>
      </w:pPr>
      <w:rPr>
        <w:rFonts w:ascii="標楷體" w:eastAsia="標楷體" w:hint="eastAsia"/>
        <w:b/>
        <w:i w:val="0"/>
        <w:color w:val="000000" w:themeColor="text1"/>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4BCD3357"/>
    <w:multiLevelType w:val="hybridMultilevel"/>
    <w:tmpl w:val="F168AB0C"/>
    <w:lvl w:ilvl="0" w:tplc="87AA116E">
      <w:start w:val="1"/>
      <w:numFmt w:val="decimal"/>
      <w:lvlText w:val="%1."/>
      <w:lvlJc w:val="left"/>
      <w:pPr>
        <w:ind w:left="585" w:hanging="360"/>
      </w:pPr>
      <w:rPr>
        <w:rFonts w:hint="default"/>
      </w:rPr>
    </w:lvl>
    <w:lvl w:ilvl="1" w:tplc="04090019" w:tentative="1">
      <w:start w:val="1"/>
      <w:numFmt w:val="ideographTraditional"/>
      <w:lvlText w:val="%2、"/>
      <w:lvlJc w:val="left"/>
      <w:pPr>
        <w:ind w:left="1185" w:hanging="480"/>
      </w:pPr>
    </w:lvl>
    <w:lvl w:ilvl="2" w:tplc="0409001B" w:tentative="1">
      <w:start w:val="1"/>
      <w:numFmt w:val="lowerRoman"/>
      <w:lvlText w:val="%3."/>
      <w:lvlJc w:val="right"/>
      <w:pPr>
        <w:ind w:left="1665" w:hanging="480"/>
      </w:pPr>
    </w:lvl>
    <w:lvl w:ilvl="3" w:tplc="0409000F" w:tentative="1">
      <w:start w:val="1"/>
      <w:numFmt w:val="decimal"/>
      <w:lvlText w:val="%4."/>
      <w:lvlJc w:val="left"/>
      <w:pPr>
        <w:ind w:left="2145" w:hanging="480"/>
      </w:pPr>
    </w:lvl>
    <w:lvl w:ilvl="4" w:tplc="04090019" w:tentative="1">
      <w:start w:val="1"/>
      <w:numFmt w:val="ideographTraditional"/>
      <w:lvlText w:val="%5、"/>
      <w:lvlJc w:val="left"/>
      <w:pPr>
        <w:ind w:left="2625" w:hanging="480"/>
      </w:pPr>
    </w:lvl>
    <w:lvl w:ilvl="5" w:tplc="0409001B" w:tentative="1">
      <w:start w:val="1"/>
      <w:numFmt w:val="lowerRoman"/>
      <w:lvlText w:val="%6."/>
      <w:lvlJc w:val="right"/>
      <w:pPr>
        <w:ind w:left="3105" w:hanging="480"/>
      </w:pPr>
    </w:lvl>
    <w:lvl w:ilvl="6" w:tplc="0409000F" w:tentative="1">
      <w:start w:val="1"/>
      <w:numFmt w:val="decimal"/>
      <w:lvlText w:val="%7."/>
      <w:lvlJc w:val="left"/>
      <w:pPr>
        <w:ind w:left="3585" w:hanging="480"/>
      </w:pPr>
    </w:lvl>
    <w:lvl w:ilvl="7" w:tplc="04090019" w:tentative="1">
      <w:start w:val="1"/>
      <w:numFmt w:val="ideographTraditional"/>
      <w:lvlText w:val="%8、"/>
      <w:lvlJc w:val="left"/>
      <w:pPr>
        <w:ind w:left="4065" w:hanging="480"/>
      </w:pPr>
    </w:lvl>
    <w:lvl w:ilvl="8" w:tplc="0409001B" w:tentative="1">
      <w:start w:val="1"/>
      <w:numFmt w:val="lowerRoman"/>
      <w:lvlText w:val="%9."/>
      <w:lvlJc w:val="right"/>
      <w:pPr>
        <w:ind w:left="4545" w:hanging="480"/>
      </w:pPr>
    </w:lvl>
  </w:abstractNum>
  <w:abstractNum w:abstractNumId="10"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50309A3"/>
    <w:multiLevelType w:val="hybridMultilevel"/>
    <w:tmpl w:val="AA587AFC"/>
    <w:styleLink w:val="10"/>
    <w:lvl w:ilvl="0" w:tplc="A852FE02">
      <w:start w:val="1"/>
      <w:numFmt w:val="lowerRoman"/>
      <w:lvlText w:val="%1."/>
      <w:lvlJc w:val="left"/>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s>
        <w:ind w:left="325" w:hanging="325"/>
      </w:pPr>
      <w:rPr>
        <w:rFonts w:hAnsi="Arial Unicode MS"/>
        <w:caps w:val="0"/>
        <w:smallCaps w:val="0"/>
        <w:strike w:val="0"/>
        <w:dstrike w:val="0"/>
        <w:outline w:val="0"/>
        <w:emboss w:val="0"/>
        <w:imprint w:val="0"/>
        <w:spacing w:val="0"/>
        <w:w w:val="100"/>
        <w:kern w:val="0"/>
        <w:position w:val="0"/>
        <w:highlight w:val="none"/>
        <w:vertAlign w:val="baseline"/>
      </w:rPr>
    </w:lvl>
    <w:lvl w:ilvl="1" w:tplc="54C6AA6C">
      <w:start w:val="1"/>
      <w:numFmt w:val="bullet"/>
      <w:lvlText w:val="-"/>
      <w:lvlJc w:val="left"/>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s>
        <w:ind w:left="8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5CAC92C6">
      <w:start w:val="1"/>
      <w:numFmt w:val="bullet"/>
      <w:lvlText w:val="◆"/>
      <w:lvlJc w:val="left"/>
      <w:pPr>
        <w:tabs>
          <w:tab w:val="left" w:pos="480"/>
          <w:tab w:val="left" w:pos="96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s>
        <w:ind w:left="1480" w:hanging="5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8DEC284">
      <w:start w:val="1"/>
      <w:numFmt w:val="bullet"/>
      <w:lvlText w:val="●"/>
      <w:lvlJc w:val="left"/>
      <w:pPr>
        <w:tabs>
          <w:tab w:val="left" w:pos="480"/>
          <w:tab w:val="left" w:pos="960"/>
          <w:tab w:val="left" w:pos="144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s>
        <w:ind w:left="1960" w:hanging="5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B9789EA0">
      <w:start w:val="1"/>
      <w:numFmt w:val="bullet"/>
      <w:lvlText w:val="■"/>
      <w:lvlJc w:val="left"/>
      <w:pPr>
        <w:tabs>
          <w:tab w:val="left" w:pos="480"/>
          <w:tab w:val="left" w:pos="960"/>
          <w:tab w:val="left" w:pos="1440"/>
          <w:tab w:val="left" w:pos="192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s>
        <w:ind w:left="2440" w:hanging="5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F3E09CD4">
      <w:start w:val="1"/>
      <w:numFmt w:val="bullet"/>
      <w:lvlText w:val="◆"/>
      <w:lvlJc w:val="left"/>
      <w:pPr>
        <w:tabs>
          <w:tab w:val="left" w:pos="480"/>
          <w:tab w:val="left" w:pos="960"/>
          <w:tab w:val="left" w:pos="1440"/>
          <w:tab w:val="left" w:pos="1920"/>
          <w:tab w:val="left" w:pos="240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s>
        <w:ind w:left="2920" w:hanging="5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94ABBB8">
      <w:start w:val="1"/>
      <w:numFmt w:val="bullet"/>
      <w:lvlText w:val="●"/>
      <w:lvlJc w:val="left"/>
      <w:pPr>
        <w:tabs>
          <w:tab w:val="left" w:pos="480"/>
          <w:tab w:val="left" w:pos="960"/>
          <w:tab w:val="left" w:pos="1440"/>
          <w:tab w:val="left" w:pos="1920"/>
          <w:tab w:val="left" w:pos="2400"/>
          <w:tab w:val="left" w:pos="2880"/>
          <w:tab w:val="left" w:pos="3840"/>
          <w:tab w:val="left" w:pos="4320"/>
          <w:tab w:val="left" w:pos="4800"/>
          <w:tab w:val="left" w:pos="5280"/>
          <w:tab w:val="left" w:pos="5760"/>
          <w:tab w:val="left" w:pos="6240"/>
          <w:tab w:val="left" w:pos="6720"/>
          <w:tab w:val="left" w:pos="7200"/>
          <w:tab w:val="left" w:pos="7680"/>
          <w:tab w:val="left" w:pos="8160"/>
          <w:tab w:val="left" w:pos="8640"/>
        </w:tabs>
        <w:ind w:left="3400" w:hanging="5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F69A1FD4">
      <w:start w:val="1"/>
      <w:numFmt w:val="bullet"/>
      <w:lvlText w:val="■"/>
      <w:lvlJc w:val="left"/>
      <w:pPr>
        <w:tabs>
          <w:tab w:val="left" w:pos="480"/>
          <w:tab w:val="left" w:pos="960"/>
          <w:tab w:val="left" w:pos="1440"/>
          <w:tab w:val="left" w:pos="1920"/>
          <w:tab w:val="left" w:pos="2400"/>
          <w:tab w:val="left" w:pos="2880"/>
          <w:tab w:val="left" w:pos="3360"/>
          <w:tab w:val="left" w:pos="4320"/>
          <w:tab w:val="left" w:pos="4800"/>
          <w:tab w:val="left" w:pos="5280"/>
          <w:tab w:val="left" w:pos="5760"/>
          <w:tab w:val="left" w:pos="6240"/>
          <w:tab w:val="left" w:pos="6720"/>
          <w:tab w:val="left" w:pos="7200"/>
          <w:tab w:val="left" w:pos="7680"/>
          <w:tab w:val="left" w:pos="8160"/>
          <w:tab w:val="left" w:pos="8640"/>
        </w:tabs>
        <w:ind w:left="3880" w:hanging="5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4C606B34">
      <w:start w:val="1"/>
      <w:numFmt w:val="bullet"/>
      <w:lvlText w:val="◆"/>
      <w:lvlJc w:val="left"/>
      <w:pPr>
        <w:tabs>
          <w:tab w:val="left" w:pos="480"/>
          <w:tab w:val="left" w:pos="960"/>
          <w:tab w:val="left" w:pos="1440"/>
          <w:tab w:val="left" w:pos="1920"/>
          <w:tab w:val="left" w:pos="2400"/>
          <w:tab w:val="left" w:pos="2880"/>
          <w:tab w:val="left" w:pos="3360"/>
          <w:tab w:val="left" w:pos="3840"/>
          <w:tab w:val="left" w:pos="4800"/>
          <w:tab w:val="left" w:pos="5280"/>
          <w:tab w:val="left" w:pos="5760"/>
          <w:tab w:val="left" w:pos="6240"/>
          <w:tab w:val="left" w:pos="6720"/>
          <w:tab w:val="left" w:pos="7200"/>
          <w:tab w:val="left" w:pos="7680"/>
          <w:tab w:val="left" w:pos="8160"/>
          <w:tab w:val="left" w:pos="8640"/>
        </w:tabs>
        <w:ind w:left="4360" w:hanging="5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DC0503B"/>
    <w:multiLevelType w:val="hybridMultilevel"/>
    <w:tmpl w:val="46080B5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7E5B4F69"/>
    <w:multiLevelType w:val="multilevel"/>
    <w:tmpl w:val="BDDC1BC8"/>
    <w:lvl w:ilvl="0">
      <w:start w:val="1"/>
      <w:numFmt w:val="taiwaneseCountingThousand"/>
      <w:pStyle w:val="11"/>
      <w:suff w:val="nothing"/>
      <w:lvlText w:val="%1、"/>
      <w:lvlJc w:val="left"/>
      <w:pPr>
        <w:ind w:left="556" w:hanging="554"/>
      </w:pPr>
      <w:rPr>
        <w:rFonts w:ascii="標楷體" w:eastAsia="標楷體" w:hint="eastAsia"/>
        <w:b w:val="0"/>
        <w:i w:val="0"/>
        <w:caps w:val="0"/>
        <w:strike w:val="0"/>
        <w:dstrike w:val="0"/>
        <w:snapToGrid/>
        <w:vanish w:val="0"/>
        <w:color w:val="auto"/>
        <w:spacing w:val="0"/>
        <w:w w:val="100"/>
        <w:kern w:val="28"/>
        <w:position w:val="0"/>
        <w:sz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taiwaneseCountingThousand"/>
      <w:suff w:val="nothing"/>
      <w:lvlText w:val="(%2)"/>
      <w:lvlJc w:val="left"/>
      <w:pPr>
        <w:ind w:left="839" w:hanging="555"/>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0"/>
      <w:suff w:val="nothing"/>
      <w:lvlText w:val="%3、"/>
      <w:lvlJc w:val="left"/>
      <w:pPr>
        <w:ind w:left="1123" w:hanging="420"/>
      </w:pPr>
      <w:rPr>
        <w:rFonts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0"/>
      <w:suff w:val="nothing"/>
      <w:lvlText w:val="(%4)"/>
      <w:lvlJc w:val="left"/>
      <w:pPr>
        <w:ind w:left="1406" w:hanging="419"/>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0"/>
      <w:suff w:val="nothing"/>
      <w:lvlText w:val="&lt;%5&gt;"/>
      <w:lvlJc w:val="left"/>
      <w:pPr>
        <w:ind w:left="1690" w:hanging="420"/>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lvlText w:val="%6"/>
      <w:lvlJc w:val="right"/>
      <w:pPr>
        <w:ind w:left="2890" w:hanging="480"/>
      </w:pPr>
      <w:rPr>
        <w:rFonts w:hint="eastAsia"/>
      </w:rPr>
    </w:lvl>
    <w:lvl w:ilvl="6">
      <w:start w:val="1"/>
      <w:numFmt w:val="none"/>
      <w:lvlText w:val="%7"/>
      <w:lvlJc w:val="left"/>
      <w:pPr>
        <w:ind w:left="3370" w:hanging="480"/>
      </w:pPr>
      <w:rPr>
        <w:rFonts w:hint="eastAsia"/>
      </w:rPr>
    </w:lvl>
    <w:lvl w:ilvl="7">
      <w:start w:val="1"/>
      <w:numFmt w:val="none"/>
      <w:lvlText w:val="%8"/>
      <w:lvlJc w:val="left"/>
      <w:pPr>
        <w:ind w:left="3850" w:hanging="480"/>
      </w:pPr>
      <w:rPr>
        <w:rFonts w:hint="eastAsia"/>
      </w:rPr>
    </w:lvl>
    <w:lvl w:ilvl="8">
      <w:start w:val="1"/>
      <w:numFmt w:val="none"/>
      <w:lvlText w:val="%9"/>
      <w:lvlJc w:val="right"/>
      <w:pPr>
        <w:ind w:left="4330" w:hanging="480"/>
      </w:pPr>
      <w:rPr>
        <w:rFonts w:hint="eastAsia"/>
      </w:rPr>
    </w:lvl>
  </w:abstractNum>
  <w:num w:numId="1">
    <w:abstractNumId w:val="3"/>
  </w:num>
  <w:num w:numId="2">
    <w:abstractNumId w:val="0"/>
  </w:num>
  <w:num w:numId="3">
    <w:abstractNumId w:val="8"/>
  </w:num>
  <w:num w:numId="4">
    <w:abstractNumId w:val="5"/>
  </w:num>
  <w:num w:numId="5">
    <w:abstractNumId w:val="10"/>
  </w:num>
  <w:num w:numId="6">
    <w:abstractNumId w:val="2"/>
  </w:num>
  <w:num w:numId="7">
    <w:abstractNumId w:val="12"/>
  </w:num>
  <w:num w:numId="8">
    <w:abstractNumId w:val="7"/>
  </w:num>
  <w:num w:numId="9">
    <w:abstractNumId w:val="14"/>
  </w:num>
  <w:num w:numId="10">
    <w:abstractNumId w:val="6"/>
  </w:num>
  <w:num w:numId="11">
    <w:abstractNumId w:val="11"/>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13"/>
  </w:num>
  <w:num w:numId="15">
    <w:abstractNumId w:val="1"/>
  </w:num>
  <w:num w:numId="16">
    <w:abstractNumId w:val="8"/>
  </w:num>
  <w:num w:numId="17">
    <w:abstractNumId w:val="4"/>
  </w:num>
  <w:num w:numId="18">
    <w:abstractNumId w:val="2"/>
  </w:num>
  <w:num w:numId="19">
    <w:abstractNumId w:val="8"/>
  </w:num>
  <w:num w:numId="20">
    <w:abstractNumId w:val="2"/>
  </w:num>
  <w:num w:numId="21">
    <w:abstractNumId w:val="2"/>
  </w:num>
  <w:num w:numId="22">
    <w:abstractNumId w:val="2"/>
  </w:num>
  <w:num w:numId="23">
    <w:abstractNumId w:val="2"/>
  </w:num>
  <w:num w:numId="24">
    <w:abstractNumId w:val="2"/>
  </w:num>
  <w:num w:numId="25">
    <w:abstractNumId w:val="7"/>
  </w:num>
  <w:num w:numId="26">
    <w:abstractNumId w:val="7"/>
  </w:num>
  <w:num w:numId="27">
    <w:abstractNumId w:val="7"/>
  </w:num>
  <w:num w:numId="28">
    <w:abstractNumId w:val="7"/>
  </w:num>
  <w:num w:numId="29">
    <w:abstractNumId w:val="2"/>
  </w:num>
  <w:num w:numId="30">
    <w:abstractNumId w:val="2"/>
  </w:num>
  <w:num w:numId="3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
  </w:num>
  <w:num w:numId="33">
    <w:abstractNumId w:val="2"/>
  </w:num>
  <w:num w:numId="3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
  </w:num>
  <w:num w:numId="38">
    <w:abstractNumId w:val="2"/>
  </w:num>
  <w:num w:numId="39">
    <w:abstractNumId w:val="7"/>
  </w:num>
  <w:num w:numId="40">
    <w:abstractNumId w:val="7"/>
  </w:num>
  <w:num w:numId="41">
    <w:abstractNumId w:val="7"/>
  </w:num>
  <w:num w:numId="42">
    <w:abstractNumId w:val="2"/>
  </w:num>
  <w:num w:numId="43">
    <w:abstractNumId w:val="2"/>
  </w:num>
  <w:num w:numId="44">
    <w:abstractNumId w:val="2"/>
  </w:num>
  <w:num w:numId="45">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o:colormru v:ext="edit" colors="#b9edb9,#e1f7e1,#d4f4d4"/>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119"/>
    <w:rsid w:val="000001FE"/>
    <w:rsid w:val="00000394"/>
    <w:rsid w:val="00000925"/>
    <w:rsid w:val="00000AE0"/>
    <w:rsid w:val="00000DD4"/>
    <w:rsid w:val="0000115C"/>
    <w:rsid w:val="00001CCE"/>
    <w:rsid w:val="00001E0C"/>
    <w:rsid w:val="000028D4"/>
    <w:rsid w:val="000029E8"/>
    <w:rsid w:val="00002BF8"/>
    <w:rsid w:val="00002E16"/>
    <w:rsid w:val="00003584"/>
    <w:rsid w:val="000035B3"/>
    <w:rsid w:val="000035C1"/>
    <w:rsid w:val="000038D7"/>
    <w:rsid w:val="00003905"/>
    <w:rsid w:val="00003C62"/>
    <w:rsid w:val="00004375"/>
    <w:rsid w:val="000044C7"/>
    <w:rsid w:val="00004770"/>
    <w:rsid w:val="00004C8E"/>
    <w:rsid w:val="00004F4A"/>
    <w:rsid w:val="0000530E"/>
    <w:rsid w:val="0000538A"/>
    <w:rsid w:val="00005441"/>
    <w:rsid w:val="00005696"/>
    <w:rsid w:val="000056FF"/>
    <w:rsid w:val="00005BFF"/>
    <w:rsid w:val="00005EBD"/>
    <w:rsid w:val="00005F43"/>
    <w:rsid w:val="000060E2"/>
    <w:rsid w:val="00006682"/>
    <w:rsid w:val="00006961"/>
    <w:rsid w:val="00006B6F"/>
    <w:rsid w:val="00006C4D"/>
    <w:rsid w:val="0000716F"/>
    <w:rsid w:val="000073AB"/>
    <w:rsid w:val="000076CA"/>
    <w:rsid w:val="00007810"/>
    <w:rsid w:val="0000790C"/>
    <w:rsid w:val="00007995"/>
    <w:rsid w:val="00007C33"/>
    <w:rsid w:val="000112BF"/>
    <w:rsid w:val="00011A59"/>
    <w:rsid w:val="00012122"/>
    <w:rsid w:val="00012139"/>
    <w:rsid w:val="00012233"/>
    <w:rsid w:val="00012A97"/>
    <w:rsid w:val="0001398E"/>
    <w:rsid w:val="000139C3"/>
    <w:rsid w:val="00013D4F"/>
    <w:rsid w:val="00013D75"/>
    <w:rsid w:val="000140A2"/>
    <w:rsid w:val="000141CF"/>
    <w:rsid w:val="00014547"/>
    <w:rsid w:val="00014FB9"/>
    <w:rsid w:val="00015988"/>
    <w:rsid w:val="000160ED"/>
    <w:rsid w:val="0001653B"/>
    <w:rsid w:val="00016F01"/>
    <w:rsid w:val="000171A2"/>
    <w:rsid w:val="00017318"/>
    <w:rsid w:val="000173DD"/>
    <w:rsid w:val="00017630"/>
    <w:rsid w:val="0001767C"/>
    <w:rsid w:val="0001772E"/>
    <w:rsid w:val="00017CF0"/>
    <w:rsid w:val="00017D25"/>
    <w:rsid w:val="00017DC0"/>
    <w:rsid w:val="000208ED"/>
    <w:rsid w:val="00020989"/>
    <w:rsid w:val="00020B56"/>
    <w:rsid w:val="000218FF"/>
    <w:rsid w:val="000227DD"/>
    <w:rsid w:val="00022A91"/>
    <w:rsid w:val="00022C79"/>
    <w:rsid w:val="000230FC"/>
    <w:rsid w:val="00023208"/>
    <w:rsid w:val="00023848"/>
    <w:rsid w:val="00023860"/>
    <w:rsid w:val="00023B1B"/>
    <w:rsid w:val="000241DE"/>
    <w:rsid w:val="00024257"/>
    <w:rsid w:val="00024261"/>
    <w:rsid w:val="0002452B"/>
    <w:rsid w:val="00024601"/>
    <w:rsid w:val="000246F7"/>
    <w:rsid w:val="00024BD9"/>
    <w:rsid w:val="00024EC1"/>
    <w:rsid w:val="000257D3"/>
    <w:rsid w:val="000258FD"/>
    <w:rsid w:val="00025976"/>
    <w:rsid w:val="00025DB5"/>
    <w:rsid w:val="00025FA8"/>
    <w:rsid w:val="0002602A"/>
    <w:rsid w:val="000261E8"/>
    <w:rsid w:val="0002636D"/>
    <w:rsid w:val="000267EE"/>
    <w:rsid w:val="00026AAA"/>
    <w:rsid w:val="00026B2E"/>
    <w:rsid w:val="00026EE6"/>
    <w:rsid w:val="00027286"/>
    <w:rsid w:val="00027628"/>
    <w:rsid w:val="000276BD"/>
    <w:rsid w:val="00027A0C"/>
    <w:rsid w:val="00027AA8"/>
    <w:rsid w:val="00027AE0"/>
    <w:rsid w:val="00027E9B"/>
    <w:rsid w:val="00030391"/>
    <w:rsid w:val="000308D3"/>
    <w:rsid w:val="00030F45"/>
    <w:rsid w:val="0003114D"/>
    <w:rsid w:val="00031172"/>
    <w:rsid w:val="0003136D"/>
    <w:rsid w:val="00031484"/>
    <w:rsid w:val="00031904"/>
    <w:rsid w:val="00031993"/>
    <w:rsid w:val="000319C3"/>
    <w:rsid w:val="00031DE5"/>
    <w:rsid w:val="00032321"/>
    <w:rsid w:val="000328A9"/>
    <w:rsid w:val="00032EA9"/>
    <w:rsid w:val="00033049"/>
    <w:rsid w:val="0003326D"/>
    <w:rsid w:val="000332E6"/>
    <w:rsid w:val="000333EB"/>
    <w:rsid w:val="00033E29"/>
    <w:rsid w:val="000344D7"/>
    <w:rsid w:val="00034588"/>
    <w:rsid w:val="000348B7"/>
    <w:rsid w:val="00034B99"/>
    <w:rsid w:val="00035209"/>
    <w:rsid w:val="00035349"/>
    <w:rsid w:val="00035951"/>
    <w:rsid w:val="00035C39"/>
    <w:rsid w:val="00035E26"/>
    <w:rsid w:val="00035F1F"/>
    <w:rsid w:val="00036209"/>
    <w:rsid w:val="00036634"/>
    <w:rsid w:val="00036788"/>
    <w:rsid w:val="00036962"/>
    <w:rsid w:val="00036ABC"/>
    <w:rsid w:val="00036D76"/>
    <w:rsid w:val="000370A2"/>
    <w:rsid w:val="000374CF"/>
    <w:rsid w:val="00037937"/>
    <w:rsid w:val="000379B4"/>
    <w:rsid w:val="00037B19"/>
    <w:rsid w:val="00037BC7"/>
    <w:rsid w:val="00040390"/>
    <w:rsid w:val="0004052A"/>
    <w:rsid w:val="000406AA"/>
    <w:rsid w:val="00040857"/>
    <w:rsid w:val="00040D34"/>
    <w:rsid w:val="000418E0"/>
    <w:rsid w:val="00041CCD"/>
    <w:rsid w:val="00041E18"/>
    <w:rsid w:val="00041E44"/>
    <w:rsid w:val="00041F4E"/>
    <w:rsid w:val="0004205E"/>
    <w:rsid w:val="000427AB"/>
    <w:rsid w:val="00042AD5"/>
    <w:rsid w:val="00042EA5"/>
    <w:rsid w:val="00043414"/>
    <w:rsid w:val="000435BE"/>
    <w:rsid w:val="000445DF"/>
    <w:rsid w:val="00044EFE"/>
    <w:rsid w:val="000450BE"/>
    <w:rsid w:val="000452A9"/>
    <w:rsid w:val="000460AC"/>
    <w:rsid w:val="00046BE9"/>
    <w:rsid w:val="00046C04"/>
    <w:rsid w:val="00046F9C"/>
    <w:rsid w:val="0004716C"/>
    <w:rsid w:val="00047808"/>
    <w:rsid w:val="000506E4"/>
    <w:rsid w:val="000509A6"/>
    <w:rsid w:val="00050BCA"/>
    <w:rsid w:val="00050BE7"/>
    <w:rsid w:val="00051147"/>
    <w:rsid w:val="000511A2"/>
    <w:rsid w:val="00051989"/>
    <w:rsid w:val="00051E86"/>
    <w:rsid w:val="00052339"/>
    <w:rsid w:val="00052650"/>
    <w:rsid w:val="000526DA"/>
    <w:rsid w:val="00052B28"/>
    <w:rsid w:val="00052B63"/>
    <w:rsid w:val="00053105"/>
    <w:rsid w:val="000540B1"/>
    <w:rsid w:val="000543D2"/>
    <w:rsid w:val="000543F4"/>
    <w:rsid w:val="00054EA1"/>
    <w:rsid w:val="00054FB4"/>
    <w:rsid w:val="00055388"/>
    <w:rsid w:val="00055579"/>
    <w:rsid w:val="000557A8"/>
    <w:rsid w:val="000557C9"/>
    <w:rsid w:val="00055A41"/>
    <w:rsid w:val="00055ED3"/>
    <w:rsid w:val="00056340"/>
    <w:rsid w:val="00056E5D"/>
    <w:rsid w:val="00056E9B"/>
    <w:rsid w:val="00056EA3"/>
    <w:rsid w:val="00056FE8"/>
    <w:rsid w:val="000573EB"/>
    <w:rsid w:val="000575A9"/>
    <w:rsid w:val="0005790E"/>
    <w:rsid w:val="00057F32"/>
    <w:rsid w:val="00060385"/>
    <w:rsid w:val="0006044D"/>
    <w:rsid w:val="00060478"/>
    <w:rsid w:val="00060840"/>
    <w:rsid w:val="00060DFE"/>
    <w:rsid w:val="00061523"/>
    <w:rsid w:val="000615A9"/>
    <w:rsid w:val="00061BA0"/>
    <w:rsid w:val="000625C2"/>
    <w:rsid w:val="00062801"/>
    <w:rsid w:val="00062994"/>
    <w:rsid w:val="00062A25"/>
    <w:rsid w:val="00062C12"/>
    <w:rsid w:val="00063080"/>
    <w:rsid w:val="0006344C"/>
    <w:rsid w:val="0006367B"/>
    <w:rsid w:val="000636B4"/>
    <w:rsid w:val="00063BBB"/>
    <w:rsid w:val="0006420C"/>
    <w:rsid w:val="0006462B"/>
    <w:rsid w:val="00064743"/>
    <w:rsid w:val="00064A2B"/>
    <w:rsid w:val="00065688"/>
    <w:rsid w:val="0006571B"/>
    <w:rsid w:val="00065755"/>
    <w:rsid w:val="000657B6"/>
    <w:rsid w:val="00065988"/>
    <w:rsid w:val="00065D11"/>
    <w:rsid w:val="00065D9A"/>
    <w:rsid w:val="00065DB9"/>
    <w:rsid w:val="00065F84"/>
    <w:rsid w:val="00066262"/>
    <w:rsid w:val="000662F8"/>
    <w:rsid w:val="000663E4"/>
    <w:rsid w:val="000665CB"/>
    <w:rsid w:val="000667DC"/>
    <w:rsid w:val="00066806"/>
    <w:rsid w:val="00066AD6"/>
    <w:rsid w:val="00066BD3"/>
    <w:rsid w:val="00066D26"/>
    <w:rsid w:val="00066D4F"/>
    <w:rsid w:val="000705D6"/>
    <w:rsid w:val="00070F1F"/>
    <w:rsid w:val="00071482"/>
    <w:rsid w:val="0007148E"/>
    <w:rsid w:val="00071742"/>
    <w:rsid w:val="000718C7"/>
    <w:rsid w:val="00071914"/>
    <w:rsid w:val="00071D13"/>
    <w:rsid w:val="00072096"/>
    <w:rsid w:val="00072297"/>
    <w:rsid w:val="000725FA"/>
    <w:rsid w:val="00072768"/>
    <w:rsid w:val="00072911"/>
    <w:rsid w:val="00072C25"/>
    <w:rsid w:val="00072CF9"/>
    <w:rsid w:val="00072DC4"/>
    <w:rsid w:val="00072F8E"/>
    <w:rsid w:val="00072FE8"/>
    <w:rsid w:val="00073114"/>
    <w:rsid w:val="000733E0"/>
    <w:rsid w:val="00073960"/>
    <w:rsid w:val="00073CB5"/>
    <w:rsid w:val="00073CDB"/>
    <w:rsid w:val="00073F12"/>
    <w:rsid w:val="0007425C"/>
    <w:rsid w:val="00074631"/>
    <w:rsid w:val="00074CD2"/>
    <w:rsid w:val="00074D96"/>
    <w:rsid w:val="00074FC9"/>
    <w:rsid w:val="00075325"/>
    <w:rsid w:val="000754DD"/>
    <w:rsid w:val="00075618"/>
    <w:rsid w:val="000757AB"/>
    <w:rsid w:val="0007596A"/>
    <w:rsid w:val="000759FE"/>
    <w:rsid w:val="00075E63"/>
    <w:rsid w:val="00075F98"/>
    <w:rsid w:val="00076332"/>
    <w:rsid w:val="000765A6"/>
    <w:rsid w:val="0007661E"/>
    <w:rsid w:val="00076C9F"/>
    <w:rsid w:val="000771AB"/>
    <w:rsid w:val="000771D5"/>
    <w:rsid w:val="00077553"/>
    <w:rsid w:val="000776AC"/>
    <w:rsid w:val="0007785C"/>
    <w:rsid w:val="000779C3"/>
    <w:rsid w:val="00077D61"/>
    <w:rsid w:val="00080392"/>
    <w:rsid w:val="00080D15"/>
    <w:rsid w:val="00080D94"/>
    <w:rsid w:val="00080E73"/>
    <w:rsid w:val="00080EF7"/>
    <w:rsid w:val="0008101A"/>
    <w:rsid w:val="000810E0"/>
    <w:rsid w:val="000812AC"/>
    <w:rsid w:val="000816AF"/>
    <w:rsid w:val="0008183B"/>
    <w:rsid w:val="00081FBB"/>
    <w:rsid w:val="000824D9"/>
    <w:rsid w:val="00083450"/>
    <w:rsid w:val="000834E0"/>
    <w:rsid w:val="00083E4D"/>
    <w:rsid w:val="00083F74"/>
    <w:rsid w:val="000840BD"/>
    <w:rsid w:val="000845C0"/>
    <w:rsid w:val="00084ADE"/>
    <w:rsid w:val="00084B58"/>
    <w:rsid w:val="00084BDF"/>
    <w:rsid w:val="000851A2"/>
    <w:rsid w:val="00085415"/>
    <w:rsid w:val="00085D83"/>
    <w:rsid w:val="00085EBE"/>
    <w:rsid w:val="00086283"/>
    <w:rsid w:val="00086713"/>
    <w:rsid w:val="00086D7F"/>
    <w:rsid w:val="00086E45"/>
    <w:rsid w:val="00087077"/>
    <w:rsid w:val="000872AE"/>
    <w:rsid w:val="00087EA3"/>
    <w:rsid w:val="00090917"/>
    <w:rsid w:val="000916CF"/>
    <w:rsid w:val="000919A9"/>
    <w:rsid w:val="00091A54"/>
    <w:rsid w:val="000923FD"/>
    <w:rsid w:val="000925D6"/>
    <w:rsid w:val="00092B91"/>
    <w:rsid w:val="00092BF2"/>
    <w:rsid w:val="00092C49"/>
    <w:rsid w:val="00092CE2"/>
    <w:rsid w:val="00092FB7"/>
    <w:rsid w:val="000930E3"/>
    <w:rsid w:val="0009352E"/>
    <w:rsid w:val="000937AB"/>
    <w:rsid w:val="00093A42"/>
    <w:rsid w:val="00093CD8"/>
    <w:rsid w:val="00094090"/>
    <w:rsid w:val="000942A1"/>
    <w:rsid w:val="000945FF"/>
    <w:rsid w:val="0009472F"/>
    <w:rsid w:val="00094C6A"/>
    <w:rsid w:val="00094CC9"/>
    <w:rsid w:val="00094E94"/>
    <w:rsid w:val="000951D6"/>
    <w:rsid w:val="000957AC"/>
    <w:rsid w:val="00095CE9"/>
    <w:rsid w:val="000960DC"/>
    <w:rsid w:val="000967B3"/>
    <w:rsid w:val="000969C4"/>
    <w:rsid w:val="00096B96"/>
    <w:rsid w:val="00096C9B"/>
    <w:rsid w:val="00096D18"/>
    <w:rsid w:val="00096D2A"/>
    <w:rsid w:val="000972A3"/>
    <w:rsid w:val="000975D8"/>
    <w:rsid w:val="00097FDA"/>
    <w:rsid w:val="000A09BB"/>
    <w:rsid w:val="000A0D91"/>
    <w:rsid w:val="000A124F"/>
    <w:rsid w:val="000A1303"/>
    <w:rsid w:val="000A1571"/>
    <w:rsid w:val="000A1A98"/>
    <w:rsid w:val="000A1B19"/>
    <w:rsid w:val="000A1BCF"/>
    <w:rsid w:val="000A1F02"/>
    <w:rsid w:val="000A2049"/>
    <w:rsid w:val="000A2349"/>
    <w:rsid w:val="000A2469"/>
    <w:rsid w:val="000A2E29"/>
    <w:rsid w:val="000A2E83"/>
    <w:rsid w:val="000A2F3F"/>
    <w:rsid w:val="000A2F47"/>
    <w:rsid w:val="000A34BE"/>
    <w:rsid w:val="000A3C7E"/>
    <w:rsid w:val="000A3F5F"/>
    <w:rsid w:val="000A41EB"/>
    <w:rsid w:val="000A4671"/>
    <w:rsid w:val="000A4C88"/>
    <w:rsid w:val="000A4FA7"/>
    <w:rsid w:val="000A4FB9"/>
    <w:rsid w:val="000A5083"/>
    <w:rsid w:val="000A51BE"/>
    <w:rsid w:val="000A5700"/>
    <w:rsid w:val="000A5787"/>
    <w:rsid w:val="000A6048"/>
    <w:rsid w:val="000A627A"/>
    <w:rsid w:val="000A6430"/>
    <w:rsid w:val="000A6A6E"/>
    <w:rsid w:val="000A6B0D"/>
    <w:rsid w:val="000A6C65"/>
    <w:rsid w:val="000A6C9C"/>
    <w:rsid w:val="000A6DB1"/>
    <w:rsid w:val="000A6E38"/>
    <w:rsid w:val="000A6FB7"/>
    <w:rsid w:val="000A7175"/>
    <w:rsid w:val="000A73F3"/>
    <w:rsid w:val="000A744D"/>
    <w:rsid w:val="000A7AA8"/>
    <w:rsid w:val="000A7FEF"/>
    <w:rsid w:val="000B0647"/>
    <w:rsid w:val="000B0B18"/>
    <w:rsid w:val="000B0B4A"/>
    <w:rsid w:val="000B126F"/>
    <w:rsid w:val="000B1844"/>
    <w:rsid w:val="000B1A5F"/>
    <w:rsid w:val="000B1ACD"/>
    <w:rsid w:val="000B1CC3"/>
    <w:rsid w:val="000B279A"/>
    <w:rsid w:val="000B2D48"/>
    <w:rsid w:val="000B2DD5"/>
    <w:rsid w:val="000B2F25"/>
    <w:rsid w:val="000B2F43"/>
    <w:rsid w:val="000B3053"/>
    <w:rsid w:val="000B3281"/>
    <w:rsid w:val="000B3286"/>
    <w:rsid w:val="000B3427"/>
    <w:rsid w:val="000B4355"/>
    <w:rsid w:val="000B43D0"/>
    <w:rsid w:val="000B466E"/>
    <w:rsid w:val="000B481B"/>
    <w:rsid w:val="000B4A35"/>
    <w:rsid w:val="000B4B36"/>
    <w:rsid w:val="000B4BC0"/>
    <w:rsid w:val="000B4C7D"/>
    <w:rsid w:val="000B5045"/>
    <w:rsid w:val="000B515D"/>
    <w:rsid w:val="000B52B6"/>
    <w:rsid w:val="000B5419"/>
    <w:rsid w:val="000B54C3"/>
    <w:rsid w:val="000B5680"/>
    <w:rsid w:val="000B5732"/>
    <w:rsid w:val="000B5EE2"/>
    <w:rsid w:val="000B60D8"/>
    <w:rsid w:val="000B61BB"/>
    <w:rsid w:val="000B61D2"/>
    <w:rsid w:val="000B62BA"/>
    <w:rsid w:val="000B6304"/>
    <w:rsid w:val="000B6C2C"/>
    <w:rsid w:val="000B6DB2"/>
    <w:rsid w:val="000B6F77"/>
    <w:rsid w:val="000B70A7"/>
    <w:rsid w:val="000B7247"/>
    <w:rsid w:val="000B73DD"/>
    <w:rsid w:val="000B743D"/>
    <w:rsid w:val="000B7948"/>
    <w:rsid w:val="000B7C54"/>
    <w:rsid w:val="000C0043"/>
    <w:rsid w:val="000C03E2"/>
    <w:rsid w:val="000C0431"/>
    <w:rsid w:val="000C0DDE"/>
    <w:rsid w:val="000C0E5F"/>
    <w:rsid w:val="000C0EFE"/>
    <w:rsid w:val="000C163E"/>
    <w:rsid w:val="000C1830"/>
    <w:rsid w:val="000C1897"/>
    <w:rsid w:val="000C1B9C"/>
    <w:rsid w:val="000C1C02"/>
    <w:rsid w:val="000C253E"/>
    <w:rsid w:val="000C25CC"/>
    <w:rsid w:val="000C2607"/>
    <w:rsid w:val="000C26F2"/>
    <w:rsid w:val="000C2A22"/>
    <w:rsid w:val="000C2AF7"/>
    <w:rsid w:val="000C3428"/>
    <w:rsid w:val="000C36FF"/>
    <w:rsid w:val="000C37F8"/>
    <w:rsid w:val="000C3F21"/>
    <w:rsid w:val="000C3FDD"/>
    <w:rsid w:val="000C4013"/>
    <w:rsid w:val="000C4796"/>
    <w:rsid w:val="000C495F"/>
    <w:rsid w:val="000C4A36"/>
    <w:rsid w:val="000C4BCA"/>
    <w:rsid w:val="000C4CC1"/>
    <w:rsid w:val="000C4EC0"/>
    <w:rsid w:val="000C56A0"/>
    <w:rsid w:val="000C5761"/>
    <w:rsid w:val="000C57EA"/>
    <w:rsid w:val="000C5D9D"/>
    <w:rsid w:val="000C5EC9"/>
    <w:rsid w:val="000C65CE"/>
    <w:rsid w:val="000C66D2"/>
    <w:rsid w:val="000C6D98"/>
    <w:rsid w:val="000C79DE"/>
    <w:rsid w:val="000C7A92"/>
    <w:rsid w:val="000C7B7E"/>
    <w:rsid w:val="000D063D"/>
    <w:rsid w:val="000D0A6F"/>
    <w:rsid w:val="000D0CDC"/>
    <w:rsid w:val="000D0ED1"/>
    <w:rsid w:val="000D1B5D"/>
    <w:rsid w:val="000D2018"/>
    <w:rsid w:val="000D24A6"/>
    <w:rsid w:val="000D2754"/>
    <w:rsid w:val="000D27E1"/>
    <w:rsid w:val="000D2E0C"/>
    <w:rsid w:val="000D2F19"/>
    <w:rsid w:val="000D33B0"/>
    <w:rsid w:val="000D3EA8"/>
    <w:rsid w:val="000D403E"/>
    <w:rsid w:val="000D44CB"/>
    <w:rsid w:val="000D45F1"/>
    <w:rsid w:val="000D4A32"/>
    <w:rsid w:val="000D4B4F"/>
    <w:rsid w:val="000D564F"/>
    <w:rsid w:val="000D57A1"/>
    <w:rsid w:val="000D57F8"/>
    <w:rsid w:val="000D5E8F"/>
    <w:rsid w:val="000D5F05"/>
    <w:rsid w:val="000D5F44"/>
    <w:rsid w:val="000D602F"/>
    <w:rsid w:val="000D6093"/>
    <w:rsid w:val="000D610C"/>
    <w:rsid w:val="000D61A4"/>
    <w:rsid w:val="000D64D1"/>
    <w:rsid w:val="000D6921"/>
    <w:rsid w:val="000D6EED"/>
    <w:rsid w:val="000D787F"/>
    <w:rsid w:val="000D78A8"/>
    <w:rsid w:val="000D7B6A"/>
    <w:rsid w:val="000D7F2A"/>
    <w:rsid w:val="000E0105"/>
    <w:rsid w:val="000E0156"/>
    <w:rsid w:val="000E041B"/>
    <w:rsid w:val="000E0420"/>
    <w:rsid w:val="000E0557"/>
    <w:rsid w:val="000E08A7"/>
    <w:rsid w:val="000E091A"/>
    <w:rsid w:val="000E0B5E"/>
    <w:rsid w:val="000E0C15"/>
    <w:rsid w:val="000E10DD"/>
    <w:rsid w:val="000E1675"/>
    <w:rsid w:val="000E178F"/>
    <w:rsid w:val="000E185E"/>
    <w:rsid w:val="000E1CE8"/>
    <w:rsid w:val="000E1DA6"/>
    <w:rsid w:val="000E205F"/>
    <w:rsid w:val="000E20C7"/>
    <w:rsid w:val="000E244A"/>
    <w:rsid w:val="000E24ED"/>
    <w:rsid w:val="000E293F"/>
    <w:rsid w:val="000E29FA"/>
    <w:rsid w:val="000E2A5D"/>
    <w:rsid w:val="000E2A74"/>
    <w:rsid w:val="000E2B88"/>
    <w:rsid w:val="000E3011"/>
    <w:rsid w:val="000E354F"/>
    <w:rsid w:val="000E368E"/>
    <w:rsid w:val="000E38E9"/>
    <w:rsid w:val="000E397D"/>
    <w:rsid w:val="000E4012"/>
    <w:rsid w:val="000E40EB"/>
    <w:rsid w:val="000E4328"/>
    <w:rsid w:val="000E4C3F"/>
    <w:rsid w:val="000E560E"/>
    <w:rsid w:val="000E6049"/>
    <w:rsid w:val="000E6431"/>
    <w:rsid w:val="000E714B"/>
    <w:rsid w:val="000E71FB"/>
    <w:rsid w:val="000E72CB"/>
    <w:rsid w:val="000E7329"/>
    <w:rsid w:val="000E7722"/>
    <w:rsid w:val="000E7B1B"/>
    <w:rsid w:val="000E7ECA"/>
    <w:rsid w:val="000E7F7A"/>
    <w:rsid w:val="000F026D"/>
    <w:rsid w:val="000F05EF"/>
    <w:rsid w:val="000F090F"/>
    <w:rsid w:val="000F0C1A"/>
    <w:rsid w:val="000F0FAA"/>
    <w:rsid w:val="000F1554"/>
    <w:rsid w:val="000F19C8"/>
    <w:rsid w:val="000F1C3E"/>
    <w:rsid w:val="000F1DEF"/>
    <w:rsid w:val="000F2069"/>
    <w:rsid w:val="000F21A5"/>
    <w:rsid w:val="000F21C1"/>
    <w:rsid w:val="000F2386"/>
    <w:rsid w:val="000F2477"/>
    <w:rsid w:val="000F26EF"/>
    <w:rsid w:val="000F29AC"/>
    <w:rsid w:val="000F2A28"/>
    <w:rsid w:val="000F2E55"/>
    <w:rsid w:val="000F2FEF"/>
    <w:rsid w:val="000F31F0"/>
    <w:rsid w:val="000F3286"/>
    <w:rsid w:val="000F35A2"/>
    <w:rsid w:val="000F3710"/>
    <w:rsid w:val="000F3AFC"/>
    <w:rsid w:val="000F403C"/>
    <w:rsid w:val="000F4089"/>
    <w:rsid w:val="000F435E"/>
    <w:rsid w:val="000F43B9"/>
    <w:rsid w:val="000F45F9"/>
    <w:rsid w:val="000F464D"/>
    <w:rsid w:val="000F4815"/>
    <w:rsid w:val="000F4EA8"/>
    <w:rsid w:val="000F51B6"/>
    <w:rsid w:val="000F5298"/>
    <w:rsid w:val="000F52A6"/>
    <w:rsid w:val="000F541D"/>
    <w:rsid w:val="000F5890"/>
    <w:rsid w:val="000F59F1"/>
    <w:rsid w:val="000F5A87"/>
    <w:rsid w:val="000F5C75"/>
    <w:rsid w:val="000F5F65"/>
    <w:rsid w:val="000F62D9"/>
    <w:rsid w:val="000F6533"/>
    <w:rsid w:val="000F66BD"/>
    <w:rsid w:val="000F6940"/>
    <w:rsid w:val="000F7012"/>
    <w:rsid w:val="000F72EF"/>
    <w:rsid w:val="000F7564"/>
    <w:rsid w:val="000F785C"/>
    <w:rsid w:val="000F79F5"/>
    <w:rsid w:val="000F7BCD"/>
    <w:rsid w:val="000F7ECC"/>
    <w:rsid w:val="00100346"/>
    <w:rsid w:val="0010072A"/>
    <w:rsid w:val="001007A9"/>
    <w:rsid w:val="00100D9D"/>
    <w:rsid w:val="0010110A"/>
    <w:rsid w:val="00101184"/>
    <w:rsid w:val="001011C6"/>
    <w:rsid w:val="0010123C"/>
    <w:rsid w:val="0010177A"/>
    <w:rsid w:val="001017DB"/>
    <w:rsid w:val="001018AE"/>
    <w:rsid w:val="00101A3D"/>
    <w:rsid w:val="00102136"/>
    <w:rsid w:val="001022FE"/>
    <w:rsid w:val="00102383"/>
    <w:rsid w:val="001027F2"/>
    <w:rsid w:val="0010289F"/>
    <w:rsid w:val="00102B9F"/>
    <w:rsid w:val="00103AA8"/>
    <w:rsid w:val="00103B0F"/>
    <w:rsid w:val="00103BF9"/>
    <w:rsid w:val="00103E07"/>
    <w:rsid w:val="00104551"/>
    <w:rsid w:val="001048C1"/>
    <w:rsid w:val="00104BC4"/>
    <w:rsid w:val="00104CB0"/>
    <w:rsid w:val="00104FD9"/>
    <w:rsid w:val="001050F5"/>
    <w:rsid w:val="0010546B"/>
    <w:rsid w:val="00105831"/>
    <w:rsid w:val="00106088"/>
    <w:rsid w:val="00106446"/>
    <w:rsid w:val="001067A0"/>
    <w:rsid w:val="001068F3"/>
    <w:rsid w:val="00106B51"/>
    <w:rsid w:val="00106CAF"/>
    <w:rsid w:val="00106FD1"/>
    <w:rsid w:val="00107519"/>
    <w:rsid w:val="00107C48"/>
    <w:rsid w:val="00107F07"/>
    <w:rsid w:val="00110390"/>
    <w:rsid w:val="001103C1"/>
    <w:rsid w:val="00110930"/>
    <w:rsid w:val="00110A23"/>
    <w:rsid w:val="00110BDC"/>
    <w:rsid w:val="00110C30"/>
    <w:rsid w:val="00111399"/>
    <w:rsid w:val="00111468"/>
    <w:rsid w:val="0011146B"/>
    <w:rsid w:val="00111968"/>
    <w:rsid w:val="00111CC5"/>
    <w:rsid w:val="00111E9C"/>
    <w:rsid w:val="00112637"/>
    <w:rsid w:val="001126E4"/>
    <w:rsid w:val="0011277D"/>
    <w:rsid w:val="00112ABC"/>
    <w:rsid w:val="00112C5E"/>
    <w:rsid w:val="00112FB9"/>
    <w:rsid w:val="001131D2"/>
    <w:rsid w:val="001133F1"/>
    <w:rsid w:val="00113EB6"/>
    <w:rsid w:val="001140D3"/>
    <w:rsid w:val="001147A4"/>
    <w:rsid w:val="0011480F"/>
    <w:rsid w:val="00114902"/>
    <w:rsid w:val="00114988"/>
    <w:rsid w:val="00114FFD"/>
    <w:rsid w:val="00115003"/>
    <w:rsid w:val="00115008"/>
    <w:rsid w:val="0011588E"/>
    <w:rsid w:val="00115D1D"/>
    <w:rsid w:val="00115E85"/>
    <w:rsid w:val="00115F9A"/>
    <w:rsid w:val="001166C5"/>
    <w:rsid w:val="00116C5B"/>
    <w:rsid w:val="00117425"/>
    <w:rsid w:val="00117BA3"/>
    <w:rsid w:val="00117CE9"/>
    <w:rsid w:val="0012001E"/>
    <w:rsid w:val="00120171"/>
    <w:rsid w:val="0012029E"/>
    <w:rsid w:val="00120442"/>
    <w:rsid w:val="0012057A"/>
    <w:rsid w:val="00120AC3"/>
    <w:rsid w:val="00120C6A"/>
    <w:rsid w:val="00121058"/>
    <w:rsid w:val="001210BD"/>
    <w:rsid w:val="001211F5"/>
    <w:rsid w:val="00121492"/>
    <w:rsid w:val="00121604"/>
    <w:rsid w:val="00121B20"/>
    <w:rsid w:val="0012243C"/>
    <w:rsid w:val="00122A47"/>
    <w:rsid w:val="00122A84"/>
    <w:rsid w:val="00122B58"/>
    <w:rsid w:val="00122D7C"/>
    <w:rsid w:val="00123100"/>
    <w:rsid w:val="00123656"/>
    <w:rsid w:val="0012409F"/>
    <w:rsid w:val="001243F1"/>
    <w:rsid w:val="0012458A"/>
    <w:rsid w:val="0012486E"/>
    <w:rsid w:val="001248FE"/>
    <w:rsid w:val="00124E8F"/>
    <w:rsid w:val="00124FCA"/>
    <w:rsid w:val="00125375"/>
    <w:rsid w:val="001255F8"/>
    <w:rsid w:val="0012565C"/>
    <w:rsid w:val="001259F0"/>
    <w:rsid w:val="00126541"/>
    <w:rsid w:val="00126A0D"/>
    <w:rsid w:val="00126A55"/>
    <w:rsid w:val="00126D62"/>
    <w:rsid w:val="00127132"/>
    <w:rsid w:val="00127365"/>
    <w:rsid w:val="00127677"/>
    <w:rsid w:val="001277E1"/>
    <w:rsid w:val="00127B68"/>
    <w:rsid w:val="001300D1"/>
    <w:rsid w:val="001300E1"/>
    <w:rsid w:val="0013033D"/>
    <w:rsid w:val="0013040B"/>
    <w:rsid w:val="001305A5"/>
    <w:rsid w:val="001313E7"/>
    <w:rsid w:val="00131463"/>
    <w:rsid w:val="001316DF"/>
    <w:rsid w:val="00131C4F"/>
    <w:rsid w:val="001320C4"/>
    <w:rsid w:val="00132153"/>
    <w:rsid w:val="00132C5D"/>
    <w:rsid w:val="00133159"/>
    <w:rsid w:val="001331B6"/>
    <w:rsid w:val="001337AA"/>
    <w:rsid w:val="00133ED9"/>
    <w:rsid w:val="00133F08"/>
    <w:rsid w:val="0013427D"/>
    <w:rsid w:val="0013443F"/>
    <w:rsid w:val="001345E6"/>
    <w:rsid w:val="00134880"/>
    <w:rsid w:val="00134B90"/>
    <w:rsid w:val="00134D67"/>
    <w:rsid w:val="001350AE"/>
    <w:rsid w:val="0013556D"/>
    <w:rsid w:val="001357FE"/>
    <w:rsid w:val="00135BEA"/>
    <w:rsid w:val="00135C7E"/>
    <w:rsid w:val="00136446"/>
    <w:rsid w:val="00136489"/>
    <w:rsid w:val="00136B9C"/>
    <w:rsid w:val="00136CF7"/>
    <w:rsid w:val="00136D6A"/>
    <w:rsid w:val="00136FEA"/>
    <w:rsid w:val="00137677"/>
    <w:rsid w:val="001378B0"/>
    <w:rsid w:val="001378FB"/>
    <w:rsid w:val="00137949"/>
    <w:rsid w:val="00137A15"/>
    <w:rsid w:val="00137D3B"/>
    <w:rsid w:val="00137DD3"/>
    <w:rsid w:val="00137E59"/>
    <w:rsid w:val="001401ED"/>
    <w:rsid w:val="00140870"/>
    <w:rsid w:val="00141095"/>
    <w:rsid w:val="0014148E"/>
    <w:rsid w:val="001415A4"/>
    <w:rsid w:val="0014173A"/>
    <w:rsid w:val="00141917"/>
    <w:rsid w:val="001419A1"/>
    <w:rsid w:val="00141A69"/>
    <w:rsid w:val="00142132"/>
    <w:rsid w:val="00142511"/>
    <w:rsid w:val="001425A1"/>
    <w:rsid w:val="0014283F"/>
    <w:rsid w:val="00142ADF"/>
    <w:rsid w:val="00142E00"/>
    <w:rsid w:val="00142E88"/>
    <w:rsid w:val="00142E8E"/>
    <w:rsid w:val="001430E6"/>
    <w:rsid w:val="00143175"/>
    <w:rsid w:val="001431D5"/>
    <w:rsid w:val="001436DA"/>
    <w:rsid w:val="00143817"/>
    <w:rsid w:val="00143DDD"/>
    <w:rsid w:val="00144111"/>
    <w:rsid w:val="001447DF"/>
    <w:rsid w:val="00145155"/>
    <w:rsid w:val="0014534A"/>
    <w:rsid w:val="00145909"/>
    <w:rsid w:val="001459A0"/>
    <w:rsid w:val="00145A22"/>
    <w:rsid w:val="00145B74"/>
    <w:rsid w:val="00145E0A"/>
    <w:rsid w:val="00145EC5"/>
    <w:rsid w:val="00145F36"/>
    <w:rsid w:val="0014614F"/>
    <w:rsid w:val="00146C01"/>
    <w:rsid w:val="00146E72"/>
    <w:rsid w:val="00146F12"/>
    <w:rsid w:val="001476A8"/>
    <w:rsid w:val="00147931"/>
    <w:rsid w:val="00147B9D"/>
    <w:rsid w:val="00147E91"/>
    <w:rsid w:val="00147F36"/>
    <w:rsid w:val="00147FF3"/>
    <w:rsid w:val="00150104"/>
    <w:rsid w:val="00150113"/>
    <w:rsid w:val="00150159"/>
    <w:rsid w:val="0015057D"/>
    <w:rsid w:val="001505E6"/>
    <w:rsid w:val="00150A8B"/>
    <w:rsid w:val="00150FB2"/>
    <w:rsid w:val="00150FB9"/>
    <w:rsid w:val="00151250"/>
    <w:rsid w:val="0015172F"/>
    <w:rsid w:val="00151AC4"/>
    <w:rsid w:val="00151F26"/>
    <w:rsid w:val="00151F73"/>
    <w:rsid w:val="00152178"/>
    <w:rsid w:val="001522E9"/>
    <w:rsid w:val="00152793"/>
    <w:rsid w:val="00152888"/>
    <w:rsid w:val="001528DD"/>
    <w:rsid w:val="00152DCF"/>
    <w:rsid w:val="00152F6F"/>
    <w:rsid w:val="00153223"/>
    <w:rsid w:val="001533DC"/>
    <w:rsid w:val="001534E5"/>
    <w:rsid w:val="00153713"/>
    <w:rsid w:val="001539D2"/>
    <w:rsid w:val="00153B7E"/>
    <w:rsid w:val="00154295"/>
    <w:rsid w:val="001545A9"/>
    <w:rsid w:val="00154A24"/>
    <w:rsid w:val="00154F36"/>
    <w:rsid w:val="001550A3"/>
    <w:rsid w:val="00155749"/>
    <w:rsid w:val="00155EF4"/>
    <w:rsid w:val="00156033"/>
    <w:rsid w:val="001561DD"/>
    <w:rsid w:val="00156B89"/>
    <w:rsid w:val="00156E0D"/>
    <w:rsid w:val="00156F9D"/>
    <w:rsid w:val="001570CA"/>
    <w:rsid w:val="001570E5"/>
    <w:rsid w:val="00157502"/>
    <w:rsid w:val="001577BD"/>
    <w:rsid w:val="00157923"/>
    <w:rsid w:val="00157BDB"/>
    <w:rsid w:val="00157E9A"/>
    <w:rsid w:val="00160154"/>
    <w:rsid w:val="001601AE"/>
    <w:rsid w:val="001605E0"/>
    <w:rsid w:val="00160661"/>
    <w:rsid w:val="00160741"/>
    <w:rsid w:val="00160EDC"/>
    <w:rsid w:val="0016123D"/>
    <w:rsid w:val="00161372"/>
    <w:rsid w:val="001625F9"/>
    <w:rsid w:val="00162604"/>
    <w:rsid w:val="0016289C"/>
    <w:rsid w:val="00162F05"/>
    <w:rsid w:val="00163231"/>
    <w:rsid w:val="001637C7"/>
    <w:rsid w:val="001638A1"/>
    <w:rsid w:val="001639B8"/>
    <w:rsid w:val="00163B1A"/>
    <w:rsid w:val="00163C0C"/>
    <w:rsid w:val="00163D0F"/>
    <w:rsid w:val="00163D87"/>
    <w:rsid w:val="0016440C"/>
    <w:rsid w:val="0016480E"/>
    <w:rsid w:val="001649C7"/>
    <w:rsid w:val="00164A27"/>
    <w:rsid w:val="00164AE6"/>
    <w:rsid w:val="00164B20"/>
    <w:rsid w:val="00164C9F"/>
    <w:rsid w:val="0016518F"/>
    <w:rsid w:val="0016577C"/>
    <w:rsid w:val="00165FB9"/>
    <w:rsid w:val="00166207"/>
    <w:rsid w:val="00166329"/>
    <w:rsid w:val="001664B5"/>
    <w:rsid w:val="0016671A"/>
    <w:rsid w:val="00166789"/>
    <w:rsid w:val="00166CB2"/>
    <w:rsid w:val="001673BF"/>
    <w:rsid w:val="00167525"/>
    <w:rsid w:val="0017039B"/>
    <w:rsid w:val="001704AE"/>
    <w:rsid w:val="00170C29"/>
    <w:rsid w:val="00170E33"/>
    <w:rsid w:val="0017125E"/>
    <w:rsid w:val="001715E0"/>
    <w:rsid w:val="001717FE"/>
    <w:rsid w:val="00171B4A"/>
    <w:rsid w:val="00171DF7"/>
    <w:rsid w:val="0017201E"/>
    <w:rsid w:val="00172045"/>
    <w:rsid w:val="001722DE"/>
    <w:rsid w:val="0017305D"/>
    <w:rsid w:val="001734B9"/>
    <w:rsid w:val="0017363C"/>
    <w:rsid w:val="00173953"/>
    <w:rsid w:val="0017399B"/>
    <w:rsid w:val="00174297"/>
    <w:rsid w:val="001745A2"/>
    <w:rsid w:val="00174EB1"/>
    <w:rsid w:val="001754EA"/>
    <w:rsid w:val="00175657"/>
    <w:rsid w:val="001759FA"/>
    <w:rsid w:val="00176080"/>
    <w:rsid w:val="00176C2E"/>
    <w:rsid w:val="00177779"/>
    <w:rsid w:val="0017789F"/>
    <w:rsid w:val="00177D27"/>
    <w:rsid w:val="0018014A"/>
    <w:rsid w:val="001806A7"/>
    <w:rsid w:val="001807C7"/>
    <w:rsid w:val="00180E06"/>
    <w:rsid w:val="001810C2"/>
    <w:rsid w:val="001813B1"/>
    <w:rsid w:val="001817B3"/>
    <w:rsid w:val="0018185C"/>
    <w:rsid w:val="00181EC8"/>
    <w:rsid w:val="00182166"/>
    <w:rsid w:val="00182BC2"/>
    <w:rsid w:val="00182E8B"/>
    <w:rsid w:val="00182EBE"/>
    <w:rsid w:val="00183014"/>
    <w:rsid w:val="0018321E"/>
    <w:rsid w:val="00183AEA"/>
    <w:rsid w:val="00183B09"/>
    <w:rsid w:val="00183CD1"/>
    <w:rsid w:val="0018408F"/>
    <w:rsid w:val="00184100"/>
    <w:rsid w:val="001842B6"/>
    <w:rsid w:val="0018493A"/>
    <w:rsid w:val="00185021"/>
    <w:rsid w:val="00185B61"/>
    <w:rsid w:val="00185ECE"/>
    <w:rsid w:val="00185F74"/>
    <w:rsid w:val="001862D8"/>
    <w:rsid w:val="001863A1"/>
    <w:rsid w:val="001868B1"/>
    <w:rsid w:val="0018709A"/>
    <w:rsid w:val="0018717C"/>
    <w:rsid w:val="0018756B"/>
    <w:rsid w:val="00187C1E"/>
    <w:rsid w:val="00187F43"/>
    <w:rsid w:val="00190189"/>
    <w:rsid w:val="00190992"/>
    <w:rsid w:val="00190AA7"/>
    <w:rsid w:val="00191055"/>
    <w:rsid w:val="0019121D"/>
    <w:rsid w:val="001912FD"/>
    <w:rsid w:val="00191312"/>
    <w:rsid w:val="00191908"/>
    <w:rsid w:val="00191DD8"/>
    <w:rsid w:val="0019217F"/>
    <w:rsid w:val="001924BD"/>
    <w:rsid w:val="001925DA"/>
    <w:rsid w:val="00192972"/>
    <w:rsid w:val="00192F7D"/>
    <w:rsid w:val="001931A5"/>
    <w:rsid w:val="00193D41"/>
    <w:rsid w:val="00193F53"/>
    <w:rsid w:val="00194019"/>
    <w:rsid w:val="001944C2"/>
    <w:rsid w:val="0019469E"/>
    <w:rsid w:val="001948FC"/>
    <w:rsid w:val="00194A72"/>
    <w:rsid w:val="00194C61"/>
    <w:rsid w:val="00194F3B"/>
    <w:rsid w:val="00194FB5"/>
    <w:rsid w:val="001953DA"/>
    <w:rsid w:val="00195722"/>
    <w:rsid w:val="001959C2"/>
    <w:rsid w:val="001959ED"/>
    <w:rsid w:val="00195A7C"/>
    <w:rsid w:val="00195B93"/>
    <w:rsid w:val="00195C2F"/>
    <w:rsid w:val="00195CA4"/>
    <w:rsid w:val="00195F28"/>
    <w:rsid w:val="00196062"/>
    <w:rsid w:val="00196303"/>
    <w:rsid w:val="001963C1"/>
    <w:rsid w:val="0019685F"/>
    <w:rsid w:val="001969F3"/>
    <w:rsid w:val="001974E1"/>
    <w:rsid w:val="0019781D"/>
    <w:rsid w:val="00197A3E"/>
    <w:rsid w:val="00197A83"/>
    <w:rsid w:val="00197BC6"/>
    <w:rsid w:val="001A00CF"/>
    <w:rsid w:val="001A01F8"/>
    <w:rsid w:val="001A0E0F"/>
    <w:rsid w:val="001A1238"/>
    <w:rsid w:val="001A141B"/>
    <w:rsid w:val="001A1663"/>
    <w:rsid w:val="001A1777"/>
    <w:rsid w:val="001A2050"/>
    <w:rsid w:val="001A305A"/>
    <w:rsid w:val="001A3278"/>
    <w:rsid w:val="001A32A1"/>
    <w:rsid w:val="001A349F"/>
    <w:rsid w:val="001A4D84"/>
    <w:rsid w:val="001A4F73"/>
    <w:rsid w:val="001A51E3"/>
    <w:rsid w:val="001A52A9"/>
    <w:rsid w:val="001A5778"/>
    <w:rsid w:val="001A5BA0"/>
    <w:rsid w:val="001A5BD3"/>
    <w:rsid w:val="001A5CA1"/>
    <w:rsid w:val="001A6733"/>
    <w:rsid w:val="001A6BDB"/>
    <w:rsid w:val="001A7184"/>
    <w:rsid w:val="001A742F"/>
    <w:rsid w:val="001A7485"/>
    <w:rsid w:val="001A776D"/>
    <w:rsid w:val="001A7859"/>
    <w:rsid w:val="001A7968"/>
    <w:rsid w:val="001B07D5"/>
    <w:rsid w:val="001B07E5"/>
    <w:rsid w:val="001B0984"/>
    <w:rsid w:val="001B0DE7"/>
    <w:rsid w:val="001B1046"/>
    <w:rsid w:val="001B1265"/>
    <w:rsid w:val="001B1A96"/>
    <w:rsid w:val="001B1CF9"/>
    <w:rsid w:val="001B2876"/>
    <w:rsid w:val="001B2A59"/>
    <w:rsid w:val="001B2B96"/>
    <w:rsid w:val="001B2D6C"/>
    <w:rsid w:val="001B2E98"/>
    <w:rsid w:val="001B2F37"/>
    <w:rsid w:val="001B3483"/>
    <w:rsid w:val="001B36EC"/>
    <w:rsid w:val="001B3C1E"/>
    <w:rsid w:val="001B3C2F"/>
    <w:rsid w:val="001B3DC8"/>
    <w:rsid w:val="001B41D6"/>
    <w:rsid w:val="001B4494"/>
    <w:rsid w:val="001B48D5"/>
    <w:rsid w:val="001B5AAE"/>
    <w:rsid w:val="001B5C57"/>
    <w:rsid w:val="001B6570"/>
    <w:rsid w:val="001B67D1"/>
    <w:rsid w:val="001B6909"/>
    <w:rsid w:val="001B69C7"/>
    <w:rsid w:val="001B6C86"/>
    <w:rsid w:val="001B6F9F"/>
    <w:rsid w:val="001B707B"/>
    <w:rsid w:val="001B7204"/>
    <w:rsid w:val="001B7350"/>
    <w:rsid w:val="001B73CE"/>
    <w:rsid w:val="001B74CF"/>
    <w:rsid w:val="001B752B"/>
    <w:rsid w:val="001B76A2"/>
    <w:rsid w:val="001B76D1"/>
    <w:rsid w:val="001B77BF"/>
    <w:rsid w:val="001B7A35"/>
    <w:rsid w:val="001B7F73"/>
    <w:rsid w:val="001C0454"/>
    <w:rsid w:val="001C0652"/>
    <w:rsid w:val="001C097C"/>
    <w:rsid w:val="001C0D8B"/>
    <w:rsid w:val="001C0DA8"/>
    <w:rsid w:val="001C12B7"/>
    <w:rsid w:val="001C185D"/>
    <w:rsid w:val="001C1870"/>
    <w:rsid w:val="001C1ABA"/>
    <w:rsid w:val="001C1C56"/>
    <w:rsid w:val="001C211F"/>
    <w:rsid w:val="001C2198"/>
    <w:rsid w:val="001C294A"/>
    <w:rsid w:val="001C2AF9"/>
    <w:rsid w:val="001C2C39"/>
    <w:rsid w:val="001C328E"/>
    <w:rsid w:val="001C348E"/>
    <w:rsid w:val="001C34B4"/>
    <w:rsid w:val="001C34DD"/>
    <w:rsid w:val="001C37BB"/>
    <w:rsid w:val="001C383A"/>
    <w:rsid w:val="001C3B40"/>
    <w:rsid w:val="001C3B73"/>
    <w:rsid w:val="001C3F41"/>
    <w:rsid w:val="001C3F5B"/>
    <w:rsid w:val="001C4290"/>
    <w:rsid w:val="001C4341"/>
    <w:rsid w:val="001C45F4"/>
    <w:rsid w:val="001C46C2"/>
    <w:rsid w:val="001C5241"/>
    <w:rsid w:val="001C55BA"/>
    <w:rsid w:val="001C5FE6"/>
    <w:rsid w:val="001C67B4"/>
    <w:rsid w:val="001C6A0D"/>
    <w:rsid w:val="001C7BCA"/>
    <w:rsid w:val="001D038C"/>
    <w:rsid w:val="001D09C5"/>
    <w:rsid w:val="001D14EB"/>
    <w:rsid w:val="001D1624"/>
    <w:rsid w:val="001D168A"/>
    <w:rsid w:val="001D19A4"/>
    <w:rsid w:val="001D1D84"/>
    <w:rsid w:val="001D1F61"/>
    <w:rsid w:val="001D211C"/>
    <w:rsid w:val="001D2BBE"/>
    <w:rsid w:val="001D2D23"/>
    <w:rsid w:val="001D3AB6"/>
    <w:rsid w:val="001D3C71"/>
    <w:rsid w:val="001D47C4"/>
    <w:rsid w:val="001D48E0"/>
    <w:rsid w:val="001D48EB"/>
    <w:rsid w:val="001D4AD7"/>
    <w:rsid w:val="001D4BE7"/>
    <w:rsid w:val="001D4EA8"/>
    <w:rsid w:val="001D4F55"/>
    <w:rsid w:val="001D4F95"/>
    <w:rsid w:val="001D50A3"/>
    <w:rsid w:val="001D51CA"/>
    <w:rsid w:val="001D5573"/>
    <w:rsid w:val="001D58C7"/>
    <w:rsid w:val="001D5B3A"/>
    <w:rsid w:val="001D5DFB"/>
    <w:rsid w:val="001D6471"/>
    <w:rsid w:val="001D6768"/>
    <w:rsid w:val="001D681B"/>
    <w:rsid w:val="001D6D13"/>
    <w:rsid w:val="001D6F0D"/>
    <w:rsid w:val="001D7002"/>
    <w:rsid w:val="001D726C"/>
    <w:rsid w:val="001D72E8"/>
    <w:rsid w:val="001E008F"/>
    <w:rsid w:val="001E00C0"/>
    <w:rsid w:val="001E065E"/>
    <w:rsid w:val="001E0D8A"/>
    <w:rsid w:val="001E0F07"/>
    <w:rsid w:val="001E104A"/>
    <w:rsid w:val="001E1174"/>
    <w:rsid w:val="001E1987"/>
    <w:rsid w:val="001E19FF"/>
    <w:rsid w:val="001E1DB9"/>
    <w:rsid w:val="001E1F08"/>
    <w:rsid w:val="001E1F10"/>
    <w:rsid w:val="001E2559"/>
    <w:rsid w:val="001E266A"/>
    <w:rsid w:val="001E2967"/>
    <w:rsid w:val="001E2B6C"/>
    <w:rsid w:val="001E2FE6"/>
    <w:rsid w:val="001E367F"/>
    <w:rsid w:val="001E3A44"/>
    <w:rsid w:val="001E400A"/>
    <w:rsid w:val="001E4177"/>
    <w:rsid w:val="001E4983"/>
    <w:rsid w:val="001E4D46"/>
    <w:rsid w:val="001E5129"/>
    <w:rsid w:val="001E55FB"/>
    <w:rsid w:val="001E569D"/>
    <w:rsid w:val="001E57E6"/>
    <w:rsid w:val="001E5EB1"/>
    <w:rsid w:val="001E60E3"/>
    <w:rsid w:val="001E624C"/>
    <w:rsid w:val="001E635E"/>
    <w:rsid w:val="001E63D0"/>
    <w:rsid w:val="001E64C8"/>
    <w:rsid w:val="001E6754"/>
    <w:rsid w:val="001E67BA"/>
    <w:rsid w:val="001E69A5"/>
    <w:rsid w:val="001E6FA5"/>
    <w:rsid w:val="001E746D"/>
    <w:rsid w:val="001E74C2"/>
    <w:rsid w:val="001E7823"/>
    <w:rsid w:val="001E7A18"/>
    <w:rsid w:val="001E7AE0"/>
    <w:rsid w:val="001E7B78"/>
    <w:rsid w:val="001E7D25"/>
    <w:rsid w:val="001E7D50"/>
    <w:rsid w:val="001E7DBD"/>
    <w:rsid w:val="001E7F82"/>
    <w:rsid w:val="001F026C"/>
    <w:rsid w:val="001F03AF"/>
    <w:rsid w:val="001F06C9"/>
    <w:rsid w:val="001F0880"/>
    <w:rsid w:val="001F0CEF"/>
    <w:rsid w:val="001F0D31"/>
    <w:rsid w:val="001F0E0C"/>
    <w:rsid w:val="001F0FD3"/>
    <w:rsid w:val="001F1283"/>
    <w:rsid w:val="001F132E"/>
    <w:rsid w:val="001F1356"/>
    <w:rsid w:val="001F13EA"/>
    <w:rsid w:val="001F167F"/>
    <w:rsid w:val="001F1821"/>
    <w:rsid w:val="001F1EBA"/>
    <w:rsid w:val="001F21C1"/>
    <w:rsid w:val="001F252E"/>
    <w:rsid w:val="001F2C5C"/>
    <w:rsid w:val="001F2FF3"/>
    <w:rsid w:val="001F3074"/>
    <w:rsid w:val="001F3875"/>
    <w:rsid w:val="001F3A9D"/>
    <w:rsid w:val="001F3C4D"/>
    <w:rsid w:val="001F3E7A"/>
    <w:rsid w:val="001F40BE"/>
    <w:rsid w:val="001F43FA"/>
    <w:rsid w:val="001F4EDF"/>
    <w:rsid w:val="001F4F82"/>
    <w:rsid w:val="001F50BF"/>
    <w:rsid w:val="001F552E"/>
    <w:rsid w:val="001F5653"/>
    <w:rsid w:val="001F5750"/>
    <w:rsid w:val="001F5A48"/>
    <w:rsid w:val="001F5A76"/>
    <w:rsid w:val="001F5B4B"/>
    <w:rsid w:val="001F6260"/>
    <w:rsid w:val="001F7043"/>
    <w:rsid w:val="001F7056"/>
    <w:rsid w:val="001F7167"/>
    <w:rsid w:val="001F73A5"/>
    <w:rsid w:val="001F784F"/>
    <w:rsid w:val="001F7991"/>
    <w:rsid w:val="00200007"/>
    <w:rsid w:val="00200BC2"/>
    <w:rsid w:val="00200F16"/>
    <w:rsid w:val="0020118C"/>
    <w:rsid w:val="002012AC"/>
    <w:rsid w:val="00201322"/>
    <w:rsid w:val="00201A9B"/>
    <w:rsid w:val="00201B1F"/>
    <w:rsid w:val="00201B56"/>
    <w:rsid w:val="00201D37"/>
    <w:rsid w:val="00201E7F"/>
    <w:rsid w:val="002025D3"/>
    <w:rsid w:val="00202ACB"/>
    <w:rsid w:val="00202DFD"/>
    <w:rsid w:val="002030A5"/>
    <w:rsid w:val="00203131"/>
    <w:rsid w:val="00203221"/>
    <w:rsid w:val="002033D3"/>
    <w:rsid w:val="00203BD1"/>
    <w:rsid w:val="00204180"/>
    <w:rsid w:val="002046B0"/>
    <w:rsid w:val="002048AF"/>
    <w:rsid w:val="00204B0A"/>
    <w:rsid w:val="00204B4F"/>
    <w:rsid w:val="00205084"/>
    <w:rsid w:val="002052A1"/>
    <w:rsid w:val="0020570F"/>
    <w:rsid w:val="002065F7"/>
    <w:rsid w:val="00206BA0"/>
    <w:rsid w:val="00206E04"/>
    <w:rsid w:val="00206F62"/>
    <w:rsid w:val="0020712D"/>
    <w:rsid w:val="002071E1"/>
    <w:rsid w:val="00207AFD"/>
    <w:rsid w:val="00207DEF"/>
    <w:rsid w:val="00207ED0"/>
    <w:rsid w:val="0021012E"/>
    <w:rsid w:val="00210E51"/>
    <w:rsid w:val="00210ED2"/>
    <w:rsid w:val="0021109A"/>
    <w:rsid w:val="0021139B"/>
    <w:rsid w:val="00211557"/>
    <w:rsid w:val="00211A68"/>
    <w:rsid w:val="00211DD7"/>
    <w:rsid w:val="00212188"/>
    <w:rsid w:val="00212252"/>
    <w:rsid w:val="002125ED"/>
    <w:rsid w:val="00212800"/>
    <w:rsid w:val="00212E88"/>
    <w:rsid w:val="00213033"/>
    <w:rsid w:val="0021341D"/>
    <w:rsid w:val="002135C5"/>
    <w:rsid w:val="002137F9"/>
    <w:rsid w:val="00213C9C"/>
    <w:rsid w:val="00213F26"/>
    <w:rsid w:val="0021406E"/>
    <w:rsid w:val="00214EE4"/>
    <w:rsid w:val="00214FE2"/>
    <w:rsid w:val="00215683"/>
    <w:rsid w:val="002157B1"/>
    <w:rsid w:val="00215883"/>
    <w:rsid w:val="00215D85"/>
    <w:rsid w:val="00216122"/>
    <w:rsid w:val="00216BA9"/>
    <w:rsid w:val="00216D60"/>
    <w:rsid w:val="00217149"/>
    <w:rsid w:val="002172E5"/>
    <w:rsid w:val="0021732A"/>
    <w:rsid w:val="002175D5"/>
    <w:rsid w:val="002178D4"/>
    <w:rsid w:val="00217DDC"/>
    <w:rsid w:val="0022009E"/>
    <w:rsid w:val="002201B0"/>
    <w:rsid w:val="00220408"/>
    <w:rsid w:val="002207CB"/>
    <w:rsid w:val="00220C44"/>
    <w:rsid w:val="00220CB8"/>
    <w:rsid w:val="00220DBC"/>
    <w:rsid w:val="00221334"/>
    <w:rsid w:val="00221AE5"/>
    <w:rsid w:val="00221DA9"/>
    <w:rsid w:val="0022202D"/>
    <w:rsid w:val="002220DD"/>
    <w:rsid w:val="00222201"/>
    <w:rsid w:val="002223EE"/>
    <w:rsid w:val="00222605"/>
    <w:rsid w:val="002226DA"/>
    <w:rsid w:val="00222E37"/>
    <w:rsid w:val="00222E8A"/>
    <w:rsid w:val="00223035"/>
    <w:rsid w:val="00223241"/>
    <w:rsid w:val="002233DF"/>
    <w:rsid w:val="00223674"/>
    <w:rsid w:val="00223A7B"/>
    <w:rsid w:val="00223BB8"/>
    <w:rsid w:val="00223DF2"/>
    <w:rsid w:val="00223F50"/>
    <w:rsid w:val="0022425C"/>
    <w:rsid w:val="0022465D"/>
    <w:rsid w:val="002246DE"/>
    <w:rsid w:val="002248F0"/>
    <w:rsid w:val="00224E0C"/>
    <w:rsid w:val="00224F91"/>
    <w:rsid w:val="00224FAA"/>
    <w:rsid w:val="00225074"/>
    <w:rsid w:val="0022540F"/>
    <w:rsid w:val="00225428"/>
    <w:rsid w:val="00225463"/>
    <w:rsid w:val="00225527"/>
    <w:rsid w:val="00225755"/>
    <w:rsid w:val="00225880"/>
    <w:rsid w:val="00225C33"/>
    <w:rsid w:val="00225F93"/>
    <w:rsid w:val="00226350"/>
    <w:rsid w:val="002265D0"/>
    <w:rsid w:val="00226857"/>
    <w:rsid w:val="00226918"/>
    <w:rsid w:val="00226AF9"/>
    <w:rsid w:val="00226E95"/>
    <w:rsid w:val="002270F5"/>
    <w:rsid w:val="00227113"/>
    <w:rsid w:val="002271EF"/>
    <w:rsid w:val="002279AA"/>
    <w:rsid w:val="00227AB8"/>
    <w:rsid w:val="00230396"/>
    <w:rsid w:val="00230402"/>
    <w:rsid w:val="002304BB"/>
    <w:rsid w:val="002304EB"/>
    <w:rsid w:val="00231A12"/>
    <w:rsid w:val="00231B20"/>
    <w:rsid w:val="0023226C"/>
    <w:rsid w:val="002322F8"/>
    <w:rsid w:val="00232352"/>
    <w:rsid w:val="002324A5"/>
    <w:rsid w:val="00232860"/>
    <w:rsid w:val="00232D06"/>
    <w:rsid w:val="00232E84"/>
    <w:rsid w:val="00233715"/>
    <w:rsid w:val="00233793"/>
    <w:rsid w:val="00233930"/>
    <w:rsid w:val="00233A12"/>
    <w:rsid w:val="002342B2"/>
    <w:rsid w:val="0023470F"/>
    <w:rsid w:val="00234C14"/>
    <w:rsid w:val="00235255"/>
    <w:rsid w:val="0023557B"/>
    <w:rsid w:val="002358A4"/>
    <w:rsid w:val="00235A0C"/>
    <w:rsid w:val="00236283"/>
    <w:rsid w:val="0023671C"/>
    <w:rsid w:val="00236794"/>
    <w:rsid w:val="00236C5A"/>
    <w:rsid w:val="00236E8A"/>
    <w:rsid w:val="0023725C"/>
    <w:rsid w:val="0023735B"/>
    <w:rsid w:val="00237436"/>
    <w:rsid w:val="00237802"/>
    <w:rsid w:val="00237B29"/>
    <w:rsid w:val="00237C2E"/>
    <w:rsid w:val="00237D33"/>
    <w:rsid w:val="00237D6A"/>
    <w:rsid w:val="00240171"/>
    <w:rsid w:val="00240266"/>
    <w:rsid w:val="00240F55"/>
    <w:rsid w:val="00241B03"/>
    <w:rsid w:val="00241BC7"/>
    <w:rsid w:val="0024203B"/>
    <w:rsid w:val="002420E4"/>
    <w:rsid w:val="0024214C"/>
    <w:rsid w:val="0024236E"/>
    <w:rsid w:val="00242427"/>
    <w:rsid w:val="00242909"/>
    <w:rsid w:val="0024295F"/>
    <w:rsid w:val="00242A59"/>
    <w:rsid w:val="00242CAA"/>
    <w:rsid w:val="00242E11"/>
    <w:rsid w:val="00242E49"/>
    <w:rsid w:val="0024334D"/>
    <w:rsid w:val="00243765"/>
    <w:rsid w:val="00243C74"/>
    <w:rsid w:val="00244096"/>
    <w:rsid w:val="00244288"/>
    <w:rsid w:val="00244556"/>
    <w:rsid w:val="0024470D"/>
    <w:rsid w:val="00244966"/>
    <w:rsid w:val="00245041"/>
    <w:rsid w:val="002458D1"/>
    <w:rsid w:val="002458F2"/>
    <w:rsid w:val="00246058"/>
    <w:rsid w:val="002462DD"/>
    <w:rsid w:val="0024664B"/>
    <w:rsid w:val="00246790"/>
    <w:rsid w:val="0024696E"/>
    <w:rsid w:val="00246AC4"/>
    <w:rsid w:val="00246C1B"/>
    <w:rsid w:val="00246D54"/>
    <w:rsid w:val="00247E10"/>
    <w:rsid w:val="0025001D"/>
    <w:rsid w:val="002501B8"/>
    <w:rsid w:val="0025054C"/>
    <w:rsid w:val="00250859"/>
    <w:rsid w:val="00250A30"/>
    <w:rsid w:val="00250AF0"/>
    <w:rsid w:val="00250BF7"/>
    <w:rsid w:val="00250E07"/>
    <w:rsid w:val="00250EB2"/>
    <w:rsid w:val="00251151"/>
    <w:rsid w:val="0025130F"/>
    <w:rsid w:val="002520F1"/>
    <w:rsid w:val="002523BC"/>
    <w:rsid w:val="00252428"/>
    <w:rsid w:val="002527BE"/>
    <w:rsid w:val="002529CF"/>
    <w:rsid w:val="00252A45"/>
    <w:rsid w:val="00252BC4"/>
    <w:rsid w:val="00252FAB"/>
    <w:rsid w:val="002535E1"/>
    <w:rsid w:val="00253FE2"/>
    <w:rsid w:val="00254014"/>
    <w:rsid w:val="00254B39"/>
    <w:rsid w:val="00254BCC"/>
    <w:rsid w:val="00254ED9"/>
    <w:rsid w:val="00255179"/>
    <w:rsid w:val="0025522C"/>
    <w:rsid w:val="00255462"/>
    <w:rsid w:val="00255538"/>
    <w:rsid w:val="00255978"/>
    <w:rsid w:val="002563B4"/>
    <w:rsid w:val="002568E7"/>
    <w:rsid w:val="00256E15"/>
    <w:rsid w:val="00257205"/>
    <w:rsid w:val="00257269"/>
    <w:rsid w:val="002572A7"/>
    <w:rsid w:val="00257ED6"/>
    <w:rsid w:val="00260468"/>
    <w:rsid w:val="00260CBD"/>
    <w:rsid w:val="002618DF"/>
    <w:rsid w:val="00261CCA"/>
    <w:rsid w:val="00262389"/>
    <w:rsid w:val="0026243F"/>
    <w:rsid w:val="0026268B"/>
    <w:rsid w:val="002627EC"/>
    <w:rsid w:val="002629BF"/>
    <w:rsid w:val="00263E6E"/>
    <w:rsid w:val="00263EE8"/>
    <w:rsid w:val="00263FF0"/>
    <w:rsid w:val="002643F3"/>
    <w:rsid w:val="002644A0"/>
    <w:rsid w:val="0026456E"/>
    <w:rsid w:val="002646B8"/>
    <w:rsid w:val="00264E15"/>
    <w:rsid w:val="00264F6F"/>
    <w:rsid w:val="00265041"/>
    <w:rsid w:val="0026504D"/>
    <w:rsid w:val="00265BC7"/>
    <w:rsid w:val="00265CF8"/>
    <w:rsid w:val="00265D91"/>
    <w:rsid w:val="00265DA8"/>
    <w:rsid w:val="00265E96"/>
    <w:rsid w:val="002666E8"/>
    <w:rsid w:val="00266ACD"/>
    <w:rsid w:val="00266B5A"/>
    <w:rsid w:val="0026705C"/>
    <w:rsid w:val="002671C2"/>
    <w:rsid w:val="002677EC"/>
    <w:rsid w:val="00270217"/>
    <w:rsid w:val="002702A9"/>
    <w:rsid w:val="0027035B"/>
    <w:rsid w:val="00270413"/>
    <w:rsid w:val="0027055B"/>
    <w:rsid w:val="002706B8"/>
    <w:rsid w:val="00270A2D"/>
    <w:rsid w:val="00270D52"/>
    <w:rsid w:val="00271391"/>
    <w:rsid w:val="00271473"/>
    <w:rsid w:val="00271BDC"/>
    <w:rsid w:val="00271E38"/>
    <w:rsid w:val="00271F92"/>
    <w:rsid w:val="0027219A"/>
    <w:rsid w:val="00272F47"/>
    <w:rsid w:val="00273059"/>
    <w:rsid w:val="002731E0"/>
    <w:rsid w:val="00273A2F"/>
    <w:rsid w:val="00274442"/>
    <w:rsid w:val="0027479B"/>
    <w:rsid w:val="00274A22"/>
    <w:rsid w:val="002750D1"/>
    <w:rsid w:val="00275546"/>
    <w:rsid w:val="00275EDA"/>
    <w:rsid w:val="002764DB"/>
    <w:rsid w:val="0027672E"/>
    <w:rsid w:val="00276CBC"/>
    <w:rsid w:val="00276E9F"/>
    <w:rsid w:val="00277054"/>
    <w:rsid w:val="00277618"/>
    <w:rsid w:val="00277A72"/>
    <w:rsid w:val="00277CAA"/>
    <w:rsid w:val="00277EA0"/>
    <w:rsid w:val="002801DA"/>
    <w:rsid w:val="00280986"/>
    <w:rsid w:val="00280E53"/>
    <w:rsid w:val="002810AD"/>
    <w:rsid w:val="002818A0"/>
    <w:rsid w:val="00281A1B"/>
    <w:rsid w:val="00281ECE"/>
    <w:rsid w:val="0028222C"/>
    <w:rsid w:val="002823EB"/>
    <w:rsid w:val="0028298F"/>
    <w:rsid w:val="00282B46"/>
    <w:rsid w:val="00282B73"/>
    <w:rsid w:val="00282B8A"/>
    <w:rsid w:val="00282C64"/>
    <w:rsid w:val="00282C87"/>
    <w:rsid w:val="002831C7"/>
    <w:rsid w:val="002832AE"/>
    <w:rsid w:val="00283561"/>
    <w:rsid w:val="00283CA8"/>
    <w:rsid w:val="00283DF7"/>
    <w:rsid w:val="00283E71"/>
    <w:rsid w:val="00283FF2"/>
    <w:rsid w:val="0028402D"/>
    <w:rsid w:val="002840C6"/>
    <w:rsid w:val="00284564"/>
    <w:rsid w:val="002846A8"/>
    <w:rsid w:val="00284784"/>
    <w:rsid w:val="00284AAF"/>
    <w:rsid w:val="0028553F"/>
    <w:rsid w:val="00285C33"/>
    <w:rsid w:val="00286C4B"/>
    <w:rsid w:val="0028729A"/>
    <w:rsid w:val="00287B66"/>
    <w:rsid w:val="00287C85"/>
    <w:rsid w:val="00287FAB"/>
    <w:rsid w:val="00290429"/>
    <w:rsid w:val="002907B7"/>
    <w:rsid w:val="00290E3B"/>
    <w:rsid w:val="00290E7D"/>
    <w:rsid w:val="00291007"/>
    <w:rsid w:val="00291063"/>
    <w:rsid w:val="0029135B"/>
    <w:rsid w:val="00291794"/>
    <w:rsid w:val="00291E4C"/>
    <w:rsid w:val="00292295"/>
    <w:rsid w:val="002927E3"/>
    <w:rsid w:val="00292E6E"/>
    <w:rsid w:val="00292EDD"/>
    <w:rsid w:val="00293189"/>
    <w:rsid w:val="002932ED"/>
    <w:rsid w:val="00293A68"/>
    <w:rsid w:val="00293EDE"/>
    <w:rsid w:val="002943DF"/>
    <w:rsid w:val="00294767"/>
    <w:rsid w:val="002948AF"/>
    <w:rsid w:val="0029499F"/>
    <w:rsid w:val="00294A70"/>
    <w:rsid w:val="00294AB1"/>
    <w:rsid w:val="00295032"/>
    <w:rsid w:val="00295174"/>
    <w:rsid w:val="00295937"/>
    <w:rsid w:val="00295C74"/>
    <w:rsid w:val="00295D4A"/>
    <w:rsid w:val="00295DDC"/>
    <w:rsid w:val="00296011"/>
    <w:rsid w:val="00296172"/>
    <w:rsid w:val="00296737"/>
    <w:rsid w:val="002967EE"/>
    <w:rsid w:val="00296B92"/>
    <w:rsid w:val="00296BA5"/>
    <w:rsid w:val="00296BF7"/>
    <w:rsid w:val="00296CE2"/>
    <w:rsid w:val="00297263"/>
    <w:rsid w:val="002974D5"/>
    <w:rsid w:val="00297A5E"/>
    <w:rsid w:val="00297DBA"/>
    <w:rsid w:val="00297E21"/>
    <w:rsid w:val="002A02C9"/>
    <w:rsid w:val="002A083D"/>
    <w:rsid w:val="002A0EF8"/>
    <w:rsid w:val="002A111C"/>
    <w:rsid w:val="002A1481"/>
    <w:rsid w:val="002A15C1"/>
    <w:rsid w:val="002A1AE3"/>
    <w:rsid w:val="002A1DDF"/>
    <w:rsid w:val="002A1EFB"/>
    <w:rsid w:val="002A24B6"/>
    <w:rsid w:val="002A2607"/>
    <w:rsid w:val="002A27F1"/>
    <w:rsid w:val="002A28FC"/>
    <w:rsid w:val="002A2983"/>
    <w:rsid w:val="002A29D2"/>
    <w:rsid w:val="002A2C1E"/>
    <w:rsid w:val="002A2C22"/>
    <w:rsid w:val="002A3007"/>
    <w:rsid w:val="002A3B49"/>
    <w:rsid w:val="002A3FFF"/>
    <w:rsid w:val="002A4045"/>
    <w:rsid w:val="002A424E"/>
    <w:rsid w:val="002A43CF"/>
    <w:rsid w:val="002A45F8"/>
    <w:rsid w:val="002A4793"/>
    <w:rsid w:val="002A4C28"/>
    <w:rsid w:val="002A4CDF"/>
    <w:rsid w:val="002A522C"/>
    <w:rsid w:val="002A5472"/>
    <w:rsid w:val="002A5663"/>
    <w:rsid w:val="002A56D4"/>
    <w:rsid w:val="002A5A40"/>
    <w:rsid w:val="002A5A96"/>
    <w:rsid w:val="002A5D84"/>
    <w:rsid w:val="002A67D2"/>
    <w:rsid w:val="002A7722"/>
    <w:rsid w:val="002B0001"/>
    <w:rsid w:val="002B02EB"/>
    <w:rsid w:val="002B05C1"/>
    <w:rsid w:val="002B0EEB"/>
    <w:rsid w:val="002B0FC2"/>
    <w:rsid w:val="002B10EB"/>
    <w:rsid w:val="002B14A7"/>
    <w:rsid w:val="002B1976"/>
    <w:rsid w:val="002B1ADC"/>
    <w:rsid w:val="002B2484"/>
    <w:rsid w:val="002B2637"/>
    <w:rsid w:val="002B2AAB"/>
    <w:rsid w:val="002B2C54"/>
    <w:rsid w:val="002B373E"/>
    <w:rsid w:val="002B3813"/>
    <w:rsid w:val="002B390E"/>
    <w:rsid w:val="002B3A0A"/>
    <w:rsid w:val="002B3C52"/>
    <w:rsid w:val="002B4A90"/>
    <w:rsid w:val="002B4E40"/>
    <w:rsid w:val="002B50E3"/>
    <w:rsid w:val="002B50EF"/>
    <w:rsid w:val="002B53EE"/>
    <w:rsid w:val="002B54F2"/>
    <w:rsid w:val="002B5D4A"/>
    <w:rsid w:val="002B6726"/>
    <w:rsid w:val="002B6D4D"/>
    <w:rsid w:val="002B6EF4"/>
    <w:rsid w:val="002B6F6C"/>
    <w:rsid w:val="002B6FA3"/>
    <w:rsid w:val="002B701A"/>
    <w:rsid w:val="002B7101"/>
    <w:rsid w:val="002B752E"/>
    <w:rsid w:val="002B778A"/>
    <w:rsid w:val="002B797F"/>
    <w:rsid w:val="002C0509"/>
    <w:rsid w:val="002C0597"/>
    <w:rsid w:val="002C0602"/>
    <w:rsid w:val="002C0E07"/>
    <w:rsid w:val="002C0F09"/>
    <w:rsid w:val="002C106C"/>
    <w:rsid w:val="002C1A5A"/>
    <w:rsid w:val="002C1C5C"/>
    <w:rsid w:val="002C1CAF"/>
    <w:rsid w:val="002C23EC"/>
    <w:rsid w:val="002C2859"/>
    <w:rsid w:val="002C2BE5"/>
    <w:rsid w:val="002C30E4"/>
    <w:rsid w:val="002C3152"/>
    <w:rsid w:val="002C315E"/>
    <w:rsid w:val="002C35F3"/>
    <w:rsid w:val="002C3669"/>
    <w:rsid w:val="002C459F"/>
    <w:rsid w:val="002C4636"/>
    <w:rsid w:val="002C4800"/>
    <w:rsid w:val="002C4BCE"/>
    <w:rsid w:val="002C55CE"/>
    <w:rsid w:val="002C5A20"/>
    <w:rsid w:val="002C5DD5"/>
    <w:rsid w:val="002C621C"/>
    <w:rsid w:val="002C627E"/>
    <w:rsid w:val="002C682E"/>
    <w:rsid w:val="002C6DCE"/>
    <w:rsid w:val="002C70BE"/>
    <w:rsid w:val="002C7331"/>
    <w:rsid w:val="002C7DB5"/>
    <w:rsid w:val="002C7F9A"/>
    <w:rsid w:val="002D03B6"/>
    <w:rsid w:val="002D0452"/>
    <w:rsid w:val="002D04CF"/>
    <w:rsid w:val="002D0B79"/>
    <w:rsid w:val="002D0E42"/>
    <w:rsid w:val="002D0FF4"/>
    <w:rsid w:val="002D100A"/>
    <w:rsid w:val="002D1307"/>
    <w:rsid w:val="002D1505"/>
    <w:rsid w:val="002D182E"/>
    <w:rsid w:val="002D18CA"/>
    <w:rsid w:val="002D1DC9"/>
    <w:rsid w:val="002D26FB"/>
    <w:rsid w:val="002D2EFD"/>
    <w:rsid w:val="002D3109"/>
    <w:rsid w:val="002D36B6"/>
    <w:rsid w:val="002D372E"/>
    <w:rsid w:val="002D3C2D"/>
    <w:rsid w:val="002D3EFD"/>
    <w:rsid w:val="002D408E"/>
    <w:rsid w:val="002D40F3"/>
    <w:rsid w:val="002D41A6"/>
    <w:rsid w:val="002D46CE"/>
    <w:rsid w:val="002D56B7"/>
    <w:rsid w:val="002D589C"/>
    <w:rsid w:val="002D5C16"/>
    <w:rsid w:val="002D5CB5"/>
    <w:rsid w:val="002D618D"/>
    <w:rsid w:val="002D61ED"/>
    <w:rsid w:val="002D634B"/>
    <w:rsid w:val="002D63B6"/>
    <w:rsid w:val="002D716F"/>
    <w:rsid w:val="002D7381"/>
    <w:rsid w:val="002D78F3"/>
    <w:rsid w:val="002E00FD"/>
    <w:rsid w:val="002E04B4"/>
    <w:rsid w:val="002E0AA8"/>
    <w:rsid w:val="002E0EA1"/>
    <w:rsid w:val="002E1399"/>
    <w:rsid w:val="002E15A1"/>
    <w:rsid w:val="002E170B"/>
    <w:rsid w:val="002E17A6"/>
    <w:rsid w:val="002E1A0B"/>
    <w:rsid w:val="002E1C89"/>
    <w:rsid w:val="002E1D89"/>
    <w:rsid w:val="002E2C58"/>
    <w:rsid w:val="002E2EE0"/>
    <w:rsid w:val="002E2F6C"/>
    <w:rsid w:val="002E3731"/>
    <w:rsid w:val="002E3734"/>
    <w:rsid w:val="002E3DC6"/>
    <w:rsid w:val="002E3DFA"/>
    <w:rsid w:val="002E4947"/>
    <w:rsid w:val="002E4A7F"/>
    <w:rsid w:val="002E4B89"/>
    <w:rsid w:val="002E4CA1"/>
    <w:rsid w:val="002E4FD3"/>
    <w:rsid w:val="002E5357"/>
    <w:rsid w:val="002E585A"/>
    <w:rsid w:val="002E5AB2"/>
    <w:rsid w:val="002E5CA6"/>
    <w:rsid w:val="002E6371"/>
    <w:rsid w:val="002E6452"/>
    <w:rsid w:val="002E69E1"/>
    <w:rsid w:val="002E6F6F"/>
    <w:rsid w:val="002E7551"/>
    <w:rsid w:val="002E7907"/>
    <w:rsid w:val="002F062E"/>
    <w:rsid w:val="002F07DF"/>
    <w:rsid w:val="002F0B2A"/>
    <w:rsid w:val="002F0B83"/>
    <w:rsid w:val="002F144F"/>
    <w:rsid w:val="002F14F6"/>
    <w:rsid w:val="002F1BCD"/>
    <w:rsid w:val="002F1D3F"/>
    <w:rsid w:val="002F23B1"/>
    <w:rsid w:val="002F2476"/>
    <w:rsid w:val="002F2ADC"/>
    <w:rsid w:val="002F2E38"/>
    <w:rsid w:val="002F3022"/>
    <w:rsid w:val="002F33AE"/>
    <w:rsid w:val="002F3713"/>
    <w:rsid w:val="002F3734"/>
    <w:rsid w:val="002F3DFF"/>
    <w:rsid w:val="002F3F4B"/>
    <w:rsid w:val="002F3F75"/>
    <w:rsid w:val="002F40AD"/>
    <w:rsid w:val="002F42A8"/>
    <w:rsid w:val="002F49FF"/>
    <w:rsid w:val="002F5AF5"/>
    <w:rsid w:val="002F5B15"/>
    <w:rsid w:val="002F5BA0"/>
    <w:rsid w:val="002F5E05"/>
    <w:rsid w:val="002F5F73"/>
    <w:rsid w:val="002F605E"/>
    <w:rsid w:val="002F61B4"/>
    <w:rsid w:val="002F6304"/>
    <w:rsid w:val="002F6648"/>
    <w:rsid w:val="002F6CF3"/>
    <w:rsid w:val="002F6F01"/>
    <w:rsid w:val="002F77CF"/>
    <w:rsid w:val="002F7913"/>
    <w:rsid w:val="002F7A82"/>
    <w:rsid w:val="002F7BB3"/>
    <w:rsid w:val="002F7BC1"/>
    <w:rsid w:val="002F7FAC"/>
    <w:rsid w:val="003000E2"/>
    <w:rsid w:val="00300354"/>
    <w:rsid w:val="00301005"/>
    <w:rsid w:val="0030159D"/>
    <w:rsid w:val="00301BFF"/>
    <w:rsid w:val="00301C74"/>
    <w:rsid w:val="00301D8F"/>
    <w:rsid w:val="00301D95"/>
    <w:rsid w:val="00302336"/>
    <w:rsid w:val="00302882"/>
    <w:rsid w:val="00302905"/>
    <w:rsid w:val="00302CF0"/>
    <w:rsid w:val="003034D7"/>
    <w:rsid w:val="003034F4"/>
    <w:rsid w:val="003043E4"/>
    <w:rsid w:val="0030453E"/>
    <w:rsid w:val="003049F4"/>
    <w:rsid w:val="00304DE7"/>
    <w:rsid w:val="003051B2"/>
    <w:rsid w:val="0030565A"/>
    <w:rsid w:val="003056A8"/>
    <w:rsid w:val="00305B00"/>
    <w:rsid w:val="00305D0A"/>
    <w:rsid w:val="00305DB6"/>
    <w:rsid w:val="00306421"/>
    <w:rsid w:val="003065A9"/>
    <w:rsid w:val="00306CC5"/>
    <w:rsid w:val="00306FE7"/>
    <w:rsid w:val="00307551"/>
    <w:rsid w:val="0030769E"/>
    <w:rsid w:val="00307871"/>
    <w:rsid w:val="00307A23"/>
    <w:rsid w:val="00307A76"/>
    <w:rsid w:val="00307AAF"/>
    <w:rsid w:val="00307B7D"/>
    <w:rsid w:val="00307C1D"/>
    <w:rsid w:val="00307FE2"/>
    <w:rsid w:val="00310055"/>
    <w:rsid w:val="00310105"/>
    <w:rsid w:val="0031083D"/>
    <w:rsid w:val="003110BD"/>
    <w:rsid w:val="003111FA"/>
    <w:rsid w:val="003114B7"/>
    <w:rsid w:val="00311624"/>
    <w:rsid w:val="003118BA"/>
    <w:rsid w:val="00311F8A"/>
    <w:rsid w:val="003121C7"/>
    <w:rsid w:val="003127D3"/>
    <w:rsid w:val="00312B93"/>
    <w:rsid w:val="00312F2B"/>
    <w:rsid w:val="00313444"/>
    <w:rsid w:val="00313451"/>
    <w:rsid w:val="003138AF"/>
    <w:rsid w:val="00313A76"/>
    <w:rsid w:val="00313F6A"/>
    <w:rsid w:val="0031405A"/>
    <w:rsid w:val="00314179"/>
    <w:rsid w:val="003144D4"/>
    <w:rsid w:val="00314649"/>
    <w:rsid w:val="00314A5A"/>
    <w:rsid w:val="00314F45"/>
    <w:rsid w:val="00315A16"/>
    <w:rsid w:val="00315FBA"/>
    <w:rsid w:val="003167B4"/>
    <w:rsid w:val="00316B01"/>
    <w:rsid w:val="00317053"/>
    <w:rsid w:val="003177CB"/>
    <w:rsid w:val="00320019"/>
    <w:rsid w:val="00320142"/>
    <w:rsid w:val="003205B9"/>
    <w:rsid w:val="00320633"/>
    <w:rsid w:val="0032103B"/>
    <w:rsid w:val="0032109C"/>
    <w:rsid w:val="0032171E"/>
    <w:rsid w:val="003219C6"/>
    <w:rsid w:val="00321A81"/>
    <w:rsid w:val="00321DF7"/>
    <w:rsid w:val="00322443"/>
    <w:rsid w:val="003225F1"/>
    <w:rsid w:val="00322B45"/>
    <w:rsid w:val="00322CCB"/>
    <w:rsid w:val="003230C8"/>
    <w:rsid w:val="003235B7"/>
    <w:rsid w:val="00323809"/>
    <w:rsid w:val="00323841"/>
    <w:rsid w:val="00323997"/>
    <w:rsid w:val="00323CB4"/>
    <w:rsid w:val="00323D41"/>
    <w:rsid w:val="00323FD3"/>
    <w:rsid w:val="00324279"/>
    <w:rsid w:val="003244F2"/>
    <w:rsid w:val="003246D7"/>
    <w:rsid w:val="00325414"/>
    <w:rsid w:val="00325443"/>
    <w:rsid w:val="0032546E"/>
    <w:rsid w:val="003256EF"/>
    <w:rsid w:val="00325EF3"/>
    <w:rsid w:val="00325F20"/>
    <w:rsid w:val="0032677B"/>
    <w:rsid w:val="0032685E"/>
    <w:rsid w:val="00326F81"/>
    <w:rsid w:val="003272DA"/>
    <w:rsid w:val="00327604"/>
    <w:rsid w:val="00327E93"/>
    <w:rsid w:val="003300D4"/>
    <w:rsid w:val="00330134"/>
    <w:rsid w:val="00330170"/>
    <w:rsid w:val="003302F1"/>
    <w:rsid w:val="003304A9"/>
    <w:rsid w:val="003307ED"/>
    <w:rsid w:val="00330A73"/>
    <w:rsid w:val="00330BAB"/>
    <w:rsid w:val="00330D0A"/>
    <w:rsid w:val="00330D29"/>
    <w:rsid w:val="00330EEA"/>
    <w:rsid w:val="00331045"/>
    <w:rsid w:val="003315E6"/>
    <w:rsid w:val="00331B3E"/>
    <w:rsid w:val="00331C29"/>
    <w:rsid w:val="003322E6"/>
    <w:rsid w:val="00332B42"/>
    <w:rsid w:val="00332D09"/>
    <w:rsid w:val="00333018"/>
    <w:rsid w:val="00333391"/>
    <w:rsid w:val="00333417"/>
    <w:rsid w:val="003334DB"/>
    <w:rsid w:val="0033391D"/>
    <w:rsid w:val="00333EC1"/>
    <w:rsid w:val="00333ECF"/>
    <w:rsid w:val="003341F6"/>
    <w:rsid w:val="0033487E"/>
    <w:rsid w:val="00334B8D"/>
    <w:rsid w:val="00334F52"/>
    <w:rsid w:val="00335385"/>
    <w:rsid w:val="0033569A"/>
    <w:rsid w:val="003356D2"/>
    <w:rsid w:val="003357A9"/>
    <w:rsid w:val="003358E1"/>
    <w:rsid w:val="00335B18"/>
    <w:rsid w:val="00336109"/>
    <w:rsid w:val="003362AC"/>
    <w:rsid w:val="003363DE"/>
    <w:rsid w:val="003368B2"/>
    <w:rsid w:val="00336939"/>
    <w:rsid w:val="00336AB4"/>
    <w:rsid w:val="00336B3A"/>
    <w:rsid w:val="0033779C"/>
    <w:rsid w:val="00337913"/>
    <w:rsid w:val="00337948"/>
    <w:rsid w:val="00337CE3"/>
    <w:rsid w:val="003400FD"/>
    <w:rsid w:val="00340514"/>
    <w:rsid w:val="003407B3"/>
    <w:rsid w:val="00340CB3"/>
    <w:rsid w:val="00340DAF"/>
    <w:rsid w:val="00340EDC"/>
    <w:rsid w:val="00340F7E"/>
    <w:rsid w:val="00340F9F"/>
    <w:rsid w:val="0034119D"/>
    <w:rsid w:val="003414BC"/>
    <w:rsid w:val="003417DA"/>
    <w:rsid w:val="00342C6A"/>
    <w:rsid w:val="003431EB"/>
    <w:rsid w:val="0034323D"/>
    <w:rsid w:val="003436FA"/>
    <w:rsid w:val="0034389A"/>
    <w:rsid w:val="00343B8A"/>
    <w:rsid w:val="00344220"/>
    <w:rsid w:val="003442D7"/>
    <w:rsid w:val="0034470E"/>
    <w:rsid w:val="0034480B"/>
    <w:rsid w:val="00344857"/>
    <w:rsid w:val="00344A38"/>
    <w:rsid w:val="00344FB9"/>
    <w:rsid w:val="003459BD"/>
    <w:rsid w:val="00345A29"/>
    <w:rsid w:val="00346060"/>
    <w:rsid w:val="00346750"/>
    <w:rsid w:val="00346D65"/>
    <w:rsid w:val="00346F32"/>
    <w:rsid w:val="00347053"/>
    <w:rsid w:val="0034706F"/>
    <w:rsid w:val="003470D8"/>
    <w:rsid w:val="0034712E"/>
    <w:rsid w:val="00347359"/>
    <w:rsid w:val="00347CB4"/>
    <w:rsid w:val="00347CB6"/>
    <w:rsid w:val="00347E1E"/>
    <w:rsid w:val="00347E94"/>
    <w:rsid w:val="003504DC"/>
    <w:rsid w:val="00350902"/>
    <w:rsid w:val="00350A93"/>
    <w:rsid w:val="00350D6F"/>
    <w:rsid w:val="00351150"/>
    <w:rsid w:val="00351621"/>
    <w:rsid w:val="0035183F"/>
    <w:rsid w:val="0035184F"/>
    <w:rsid w:val="003519E5"/>
    <w:rsid w:val="00351DFC"/>
    <w:rsid w:val="00351F61"/>
    <w:rsid w:val="00352051"/>
    <w:rsid w:val="00352B40"/>
    <w:rsid w:val="00352BE6"/>
    <w:rsid w:val="00352BFC"/>
    <w:rsid w:val="00352DB0"/>
    <w:rsid w:val="00353190"/>
    <w:rsid w:val="00353879"/>
    <w:rsid w:val="003539A6"/>
    <w:rsid w:val="0035460B"/>
    <w:rsid w:val="00354D63"/>
    <w:rsid w:val="00354DAB"/>
    <w:rsid w:val="003550F9"/>
    <w:rsid w:val="003551CC"/>
    <w:rsid w:val="00355946"/>
    <w:rsid w:val="00355A28"/>
    <w:rsid w:val="00355AA8"/>
    <w:rsid w:val="00355D7E"/>
    <w:rsid w:val="00355F06"/>
    <w:rsid w:val="00355FCB"/>
    <w:rsid w:val="00356157"/>
    <w:rsid w:val="0035679C"/>
    <w:rsid w:val="00356B84"/>
    <w:rsid w:val="0035722A"/>
    <w:rsid w:val="003574FE"/>
    <w:rsid w:val="00357D89"/>
    <w:rsid w:val="00357E03"/>
    <w:rsid w:val="003600EC"/>
    <w:rsid w:val="00360444"/>
    <w:rsid w:val="003606C1"/>
    <w:rsid w:val="0036090C"/>
    <w:rsid w:val="00361063"/>
    <w:rsid w:val="00361066"/>
    <w:rsid w:val="00361123"/>
    <w:rsid w:val="003611EC"/>
    <w:rsid w:val="00361347"/>
    <w:rsid w:val="00361A06"/>
    <w:rsid w:val="00362590"/>
    <w:rsid w:val="0036309F"/>
    <w:rsid w:val="00363774"/>
    <w:rsid w:val="003638E1"/>
    <w:rsid w:val="00364171"/>
    <w:rsid w:val="0036439E"/>
    <w:rsid w:val="00364E8E"/>
    <w:rsid w:val="0036552C"/>
    <w:rsid w:val="00365CFE"/>
    <w:rsid w:val="00365E27"/>
    <w:rsid w:val="00365EC7"/>
    <w:rsid w:val="00365EEB"/>
    <w:rsid w:val="00366089"/>
    <w:rsid w:val="003662A9"/>
    <w:rsid w:val="003662AF"/>
    <w:rsid w:val="003665F2"/>
    <w:rsid w:val="00366C1C"/>
    <w:rsid w:val="00366D48"/>
    <w:rsid w:val="00367014"/>
    <w:rsid w:val="0036713B"/>
    <w:rsid w:val="00367179"/>
    <w:rsid w:val="00367605"/>
    <w:rsid w:val="00367EED"/>
    <w:rsid w:val="00370286"/>
    <w:rsid w:val="0037033E"/>
    <w:rsid w:val="0037055E"/>
    <w:rsid w:val="003708A3"/>
    <w:rsid w:val="0037094A"/>
    <w:rsid w:val="00370AB5"/>
    <w:rsid w:val="00371134"/>
    <w:rsid w:val="003713E2"/>
    <w:rsid w:val="0037193F"/>
    <w:rsid w:val="00371ED3"/>
    <w:rsid w:val="00372081"/>
    <w:rsid w:val="00372137"/>
    <w:rsid w:val="00372338"/>
    <w:rsid w:val="0037276C"/>
    <w:rsid w:val="00372FFC"/>
    <w:rsid w:val="00373578"/>
    <w:rsid w:val="0037377D"/>
    <w:rsid w:val="0037394C"/>
    <w:rsid w:val="0037401E"/>
    <w:rsid w:val="00374937"/>
    <w:rsid w:val="003759DF"/>
    <w:rsid w:val="00375C01"/>
    <w:rsid w:val="00375C6C"/>
    <w:rsid w:val="00376067"/>
    <w:rsid w:val="003763A7"/>
    <w:rsid w:val="003763D1"/>
    <w:rsid w:val="00376EC4"/>
    <w:rsid w:val="003771F5"/>
    <w:rsid w:val="0037728A"/>
    <w:rsid w:val="00377392"/>
    <w:rsid w:val="00377650"/>
    <w:rsid w:val="00377CE0"/>
    <w:rsid w:val="00377D65"/>
    <w:rsid w:val="00377E74"/>
    <w:rsid w:val="00380B7D"/>
    <w:rsid w:val="00380CB2"/>
    <w:rsid w:val="00380DD1"/>
    <w:rsid w:val="00381714"/>
    <w:rsid w:val="003819AA"/>
    <w:rsid w:val="00381A99"/>
    <w:rsid w:val="00381D64"/>
    <w:rsid w:val="00382356"/>
    <w:rsid w:val="003829C2"/>
    <w:rsid w:val="00382BDB"/>
    <w:rsid w:val="00382D73"/>
    <w:rsid w:val="00382E10"/>
    <w:rsid w:val="00382EF6"/>
    <w:rsid w:val="00382FDC"/>
    <w:rsid w:val="003830B2"/>
    <w:rsid w:val="003831F2"/>
    <w:rsid w:val="00383553"/>
    <w:rsid w:val="00383FAB"/>
    <w:rsid w:val="003845F6"/>
    <w:rsid w:val="00384724"/>
    <w:rsid w:val="00384843"/>
    <w:rsid w:val="00384C3C"/>
    <w:rsid w:val="003850F2"/>
    <w:rsid w:val="003854AC"/>
    <w:rsid w:val="003858DE"/>
    <w:rsid w:val="003861AC"/>
    <w:rsid w:val="00386203"/>
    <w:rsid w:val="0038630F"/>
    <w:rsid w:val="00386444"/>
    <w:rsid w:val="003864C8"/>
    <w:rsid w:val="00386553"/>
    <w:rsid w:val="003869AB"/>
    <w:rsid w:val="00386FF2"/>
    <w:rsid w:val="003876B8"/>
    <w:rsid w:val="00387E1F"/>
    <w:rsid w:val="00387F37"/>
    <w:rsid w:val="0039059A"/>
    <w:rsid w:val="0039073F"/>
    <w:rsid w:val="00390757"/>
    <w:rsid w:val="00390ED0"/>
    <w:rsid w:val="0039108E"/>
    <w:rsid w:val="00391201"/>
    <w:rsid w:val="00391349"/>
    <w:rsid w:val="003919B7"/>
    <w:rsid w:val="00391A26"/>
    <w:rsid w:val="00391D57"/>
    <w:rsid w:val="00391DF8"/>
    <w:rsid w:val="0039204F"/>
    <w:rsid w:val="00392167"/>
    <w:rsid w:val="003921BD"/>
    <w:rsid w:val="00392292"/>
    <w:rsid w:val="003925AB"/>
    <w:rsid w:val="0039296C"/>
    <w:rsid w:val="00392DB5"/>
    <w:rsid w:val="00392E85"/>
    <w:rsid w:val="00392E97"/>
    <w:rsid w:val="003937FF"/>
    <w:rsid w:val="00393E0E"/>
    <w:rsid w:val="00393E15"/>
    <w:rsid w:val="00393EFC"/>
    <w:rsid w:val="00394090"/>
    <w:rsid w:val="00394BD9"/>
    <w:rsid w:val="00395340"/>
    <w:rsid w:val="00395664"/>
    <w:rsid w:val="00395A0B"/>
    <w:rsid w:val="00395C98"/>
    <w:rsid w:val="00396218"/>
    <w:rsid w:val="003963C1"/>
    <w:rsid w:val="003963DA"/>
    <w:rsid w:val="0039681A"/>
    <w:rsid w:val="00396A0B"/>
    <w:rsid w:val="003A0C4D"/>
    <w:rsid w:val="003A16AE"/>
    <w:rsid w:val="003A16B7"/>
    <w:rsid w:val="003A16ED"/>
    <w:rsid w:val="003A16FA"/>
    <w:rsid w:val="003A1A58"/>
    <w:rsid w:val="003A1C57"/>
    <w:rsid w:val="003A1F89"/>
    <w:rsid w:val="003A2033"/>
    <w:rsid w:val="003A21A6"/>
    <w:rsid w:val="003A24CB"/>
    <w:rsid w:val="003A2689"/>
    <w:rsid w:val="003A26B5"/>
    <w:rsid w:val="003A282B"/>
    <w:rsid w:val="003A28C7"/>
    <w:rsid w:val="003A2D19"/>
    <w:rsid w:val="003A2D60"/>
    <w:rsid w:val="003A2FEE"/>
    <w:rsid w:val="003A30E8"/>
    <w:rsid w:val="003A3373"/>
    <w:rsid w:val="003A395D"/>
    <w:rsid w:val="003A3966"/>
    <w:rsid w:val="003A3D71"/>
    <w:rsid w:val="003A3EAD"/>
    <w:rsid w:val="003A48D2"/>
    <w:rsid w:val="003A49F0"/>
    <w:rsid w:val="003A5070"/>
    <w:rsid w:val="003A54E9"/>
    <w:rsid w:val="003A5927"/>
    <w:rsid w:val="003A5CB1"/>
    <w:rsid w:val="003A6C05"/>
    <w:rsid w:val="003A6E99"/>
    <w:rsid w:val="003A702A"/>
    <w:rsid w:val="003A72A0"/>
    <w:rsid w:val="003A7851"/>
    <w:rsid w:val="003A7970"/>
    <w:rsid w:val="003A79FD"/>
    <w:rsid w:val="003A7D36"/>
    <w:rsid w:val="003A7EBF"/>
    <w:rsid w:val="003B05C5"/>
    <w:rsid w:val="003B0AD0"/>
    <w:rsid w:val="003B1017"/>
    <w:rsid w:val="003B169A"/>
    <w:rsid w:val="003B1764"/>
    <w:rsid w:val="003B1CF0"/>
    <w:rsid w:val="003B1E76"/>
    <w:rsid w:val="003B1F86"/>
    <w:rsid w:val="003B284A"/>
    <w:rsid w:val="003B3133"/>
    <w:rsid w:val="003B31BC"/>
    <w:rsid w:val="003B3448"/>
    <w:rsid w:val="003B349C"/>
    <w:rsid w:val="003B3569"/>
    <w:rsid w:val="003B3AEF"/>
    <w:rsid w:val="003B3C07"/>
    <w:rsid w:val="003B3CA7"/>
    <w:rsid w:val="003B3D2F"/>
    <w:rsid w:val="003B44D9"/>
    <w:rsid w:val="003B47C2"/>
    <w:rsid w:val="003B4BA6"/>
    <w:rsid w:val="003B4DF6"/>
    <w:rsid w:val="003B50C5"/>
    <w:rsid w:val="003B53C3"/>
    <w:rsid w:val="003B53DC"/>
    <w:rsid w:val="003B59A0"/>
    <w:rsid w:val="003B5F4C"/>
    <w:rsid w:val="003B6081"/>
    <w:rsid w:val="003B6775"/>
    <w:rsid w:val="003B6913"/>
    <w:rsid w:val="003B69DA"/>
    <w:rsid w:val="003B6BA2"/>
    <w:rsid w:val="003B6CA9"/>
    <w:rsid w:val="003B6CE1"/>
    <w:rsid w:val="003B6DE7"/>
    <w:rsid w:val="003B6E7A"/>
    <w:rsid w:val="003B75B8"/>
    <w:rsid w:val="003B763B"/>
    <w:rsid w:val="003B77AD"/>
    <w:rsid w:val="003B7DBC"/>
    <w:rsid w:val="003C0160"/>
    <w:rsid w:val="003C0529"/>
    <w:rsid w:val="003C080A"/>
    <w:rsid w:val="003C0BA1"/>
    <w:rsid w:val="003C130E"/>
    <w:rsid w:val="003C156C"/>
    <w:rsid w:val="003C15EE"/>
    <w:rsid w:val="003C1841"/>
    <w:rsid w:val="003C1A6A"/>
    <w:rsid w:val="003C1E9B"/>
    <w:rsid w:val="003C2175"/>
    <w:rsid w:val="003C2652"/>
    <w:rsid w:val="003C278A"/>
    <w:rsid w:val="003C27D9"/>
    <w:rsid w:val="003C2D2F"/>
    <w:rsid w:val="003C2F68"/>
    <w:rsid w:val="003C3AF2"/>
    <w:rsid w:val="003C3B85"/>
    <w:rsid w:val="003C3C18"/>
    <w:rsid w:val="003C3C9C"/>
    <w:rsid w:val="003C3FF2"/>
    <w:rsid w:val="003C42A9"/>
    <w:rsid w:val="003C4487"/>
    <w:rsid w:val="003C45D5"/>
    <w:rsid w:val="003C47B7"/>
    <w:rsid w:val="003C4811"/>
    <w:rsid w:val="003C488B"/>
    <w:rsid w:val="003C4D74"/>
    <w:rsid w:val="003C51D2"/>
    <w:rsid w:val="003C52F8"/>
    <w:rsid w:val="003C5895"/>
    <w:rsid w:val="003C5D21"/>
    <w:rsid w:val="003C5DEC"/>
    <w:rsid w:val="003C5FE2"/>
    <w:rsid w:val="003C6077"/>
    <w:rsid w:val="003C61C3"/>
    <w:rsid w:val="003C6356"/>
    <w:rsid w:val="003C6769"/>
    <w:rsid w:val="003C714E"/>
    <w:rsid w:val="003C71E4"/>
    <w:rsid w:val="003C73DC"/>
    <w:rsid w:val="003C7C2E"/>
    <w:rsid w:val="003C7DEE"/>
    <w:rsid w:val="003D0559"/>
    <w:rsid w:val="003D05FB"/>
    <w:rsid w:val="003D08D6"/>
    <w:rsid w:val="003D0954"/>
    <w:rsid w:val="003D1B16"/>
    <w:rsid w:val="003D1D1F"/>
    <w:rsid w:val="003D208D"/>
    <w:rsid w:val="003D2D0D"/>
    <w:rsid w:val="003D2EC4"/>
    <w:rsid w:val="003D2FE9"/>
    <w:rsid w:val="003D34D6"/>
    <w:rsid w:val="003D35D6"/>
    <w:rsid w:val="003D375B"/>
    <w:rsid w:val="003D38EE"/>
    <w:rsid w:val="003D3CDA"/>
    <w:rsid w:val="003D42C0"/>
    <w:rsid w:val="003D45BF"/>
    <w:rsid w:val="003D4E6F"/>
    <w:rsid w:val="003D4E7E"/>
    <w:rsid w:val="003D4FDD"/>
    <w:rsid w:val="003D508A"/>
    <w:rsid w:val="003D5273"/>
    <w:rsid w:val="003D537F"/>
    <w:rsid w:val="003D5DCF"/>
    <w:rsid w:val="003D62ED"/>
    <w:rsid w:val="003D6A6E"/>
    <w:rsid w:val="003D6BCF"/>
    <w:rsid w:val="003D6C5E"/>
    <w:rsid w:val="003D712D"/>
    <w:rsid w:val="003D7896"/>
    <w:rsid w:val="003D7B44"/>
    <w:rsid w:val="003D7B75"/>
    <w:rsid w:val="003D7FD6"/>
    <w:rsid w:val="003E006E"/>
    <w:rsid w:val="003E0208"/>
    <w:rsid w:val="003E02D0"/>
    <w:rsid w:val="003E0990"/>
    <w:rsid w:val="003E111C"/>
    <w:rsid w:val="003E1837"/>
    <w:rsid w:val="003E187B"/>
    <w:rsid w:val="003E19F2"/>
    <w:rsid w:val="003E1C31"/>
    <w:rsid w:val="003E1C59"/>
    <w:rsid w:val="003E2622"/>
    <w:rsid w:val="003E299A"/>
    <w:rsid w:val="003E327E"/>
    <w:rsid w:val="003E3D14"/>
    <w:rsid w:val="003E3D84"/>
    <w:rsid w:val="003E422A"/>
    <w:rsid w:val="003E4236"/>
    <w:rsid w:val="003E423D"/>
    <w:rsid w:val="003E44E4"/>
    <w:rsid w:val="003E4651"/>
    <w:rsid w:val="003E48D8"/>
    <w:rsid w:val="003E4B11"/>
    <w:rsid w:val="003E4B1D"/>
    <w:rsid w:val="003E4B57"/>
    <w:rsid w:val="003E4E21"/>
    <w:rsid w:val="003E4F75"/>
    <w:rsid w:val="003E532E"/>
    <w:rsid w:val="003E58D3"/>
    <w:rsid w:val="003E5A8D"/>
    <w:rsid w:val="003E60A6"/>
    <w:rsid w:val="003E60B7"/>
    <w:rsid w:val="003E64E3"/>
    <w:rsid w:val="003E676F"/>
    <w:rsid w:val="003E6A7A"/>
    <w:rsid w:val="003E6ADE"/>
    <w:rsid w:val="003E6BAC"/>
    <w:rsid w:val="003E6C5F"/>
    <w:rsid w:val="003E6D67"/>
    <w:rsid w:val="003E71E4"/>
    <w:rsid w:val="003E747A"/>
    <w:rsid w:val="003E7491"/>
    <w:rsid w:val="003E7BF6"/>
    <w:rsid w:val="003F067C"/>
    <w:rsid w:val="003F0FB5"/>
    <w:rsid w:val="003F15E7"/>
    <w:rsid w:val="003F1D30"/>
    <w:rsid w:val="003F210E"/>
    <w:rsid w:val="003F2458"/>
    <w:rsid w:val="003F27E1"/>
    <w:rsid w:val="003F2A5D"/>
    <w:rsid w:val="003F2B1E"/>
    <w:rsid w:val="003F2EB3"/>
    <w:rsid w:val="003F3197"/>
    <w:rsid w:val="003F3A18"/>
    <w:rsid w:val="003F3F9D"/>
    <w:rsid w:val="003F437A"/>
    <w:rsid w:val="003F4698"/>
    <w:rsid w:val="003F46A0"/>
    <w:rsid w:val="003F48D5"/>
    <w:rsid w:val="003F551D"/>
    <w:rsid w:val="003F5927"/>
    <w:rsid w:val="003F5A1F"/>
    <w:rsid w:val="003F5C02"/>
    <w:rsid w:val="003F5C2B"/>
    <w:rsid w:val="003F5D78"/>
    <w:rsid w:val="003F5F42"/>
    <w:rsid w:val="003F627B"/>
    <w:rsid w:val="003F67A9"/>
    <w:rsid w:val="003F6922"/>
    <w:rsid w:val="003F6E90"/>
    <w:rsid w:val="003F6F8F"/>
    <w:rsid w:val="003F70CE"/>
    <w:rsid w:val="003F75B3"/>
    <w:rsid w:val="003F773F"/>
    <w:rsid w:val="003F7892"/>
    <w:rsid w:val="003F7B95"/>
    <w:rsid w:val="0040034A"/>
    <w:rsid w:val="00401B8D"/>
    <w:rsid w:val="00402240"/>
    <w:rsid w:val="0040231B"/>
    <w:rsid w:val="004023E9"/>
    <w:rsid w:val="004026BC"/>
    <w:rsid w:val="00402A71"/>
    <w:rsid w:val="00402F29"/>
    <w:rsid w:val="00403027"/>
    <w:rsid w:val="00403400"/>
    <w:rsid w:val="00403767"/>
    <w:rsid w:val="004037D3"/>
    <w:rsid w:val="0040447E"/>
    <w:rsid w:val="0040454A"/>
    <w:rsid w:val="004046C9"/>
    <w:rsid w:val="0040483E"/>
    <w:rsid w:val="00404E8A"/>
    <w:rsid w:val="00404FEC"/>
    <w:rsid w:val="00405839"/>
    <w:rsid w:val="004058D7"/>
    <w:rsid w:val="004059E0"/>
    <w:rsid w:val="00405CD0"/>
    <w:rsid w:val="00405D55"/>
    <w:rsid w:val="00406085"/>
    <w:rsid w:val="00406603"/>
    <w:rsid w:val="00406721"/>
    <w:rsid w:val="0040676B"/>
    <w:rsid w:val="0040688A"/>
    <w:rsid w:val="004068B9"/>
    <w:rsid w:val="00406962"/>
    <w:rsid w:val="00406E12"/>
    <w:rsid w:val="00406E69"/>
    <w:rsid w:val="0040728E"/>
    <w:rsid w:val="00407A0B"/>
    <w:rsid w:val="00407DEB"/>
    <w:rsid w:val="004106B4"/>
    <w:rsid w:val="004107E4"/>
    <w:rsid w:val="00410B8B"/>
    <w:rsid w:val="00410CA9"/>
    <w:rsid w:val="00410D56"/>
    <w:rsid w:val="00410DA7"/>
    <w:rsid w:val="0041197C"/>
    <w:rsid w:val="00412355"/>
    <w:rsid w:val="004128B4"/>
    <w:rsid w:val="00412AC6"/>
    <w:rsid w:val="00412AE1"/>
    <w:rsid w:val="00412B25"/>
    <w:rsid w:val="00412E2B"/>
    <w:rsid w:val="00412EBA"/>
    <w:rsid w:val="00412FCF"/>
    <w:rsid w:val="0041321A"/>
    <w:rsid w:val="004133AC"/>
    <w:rsid w:val="00413899"/>
    <w:rsid w:val="00413AA2"/>
    <w:rsid w:val="00413F2F"/>
    <w:rsid w:val="00413F83"/>
    <w:rsid w:val="0041490C"/>
    <w:rsid w:val="00414BE3"/>
    <w:rsid w:val="00415397"/>
    <w:rsid w:val="004154F5"/>
    <w:rsid w:val="00415C06"/>
    <w:rsid w:val="00415E31"/>
    <w:rsid w:val="00416191"/>
    <w:rsid w:val="004164F1"/>
    <w:rsid w:val="0041655A"/>
    <w:rsid w:val="004166CC"/>
    <w:rsid w:val="00416721"/>
    <w:rsid w:val="00416C65"/>
    <w:rsid w:val="00416DC3"/>
    <w:rsid w:val="00416F03"/>
    <w:rsid w:val="00417267"/>
    <w:rsid w:val="0041726F"/>
    <w:rsid w:val="004174AD"/>
    <w:rsid w:val="0041783A"/>
    <w:rsid w:val="0041791A"/>
    <w:rsid w:val="00417A4A"/>
    <w:rsid w:val="00417B57"/>
    <w:rsid w:val="00417CF5"/>
    <w:rsid w:val="00417F8B"/>
    <w:rsid w:val="004210C0"/>
    <w:rsid w:val="0042119A"/>
    <w:rsid w:val="00421315"/>
    <w:rsid w:val="004214B9"/>
    <w:rsid w:val="004215B7"/>
    <w:rsid w:val="00421686"/>
    <w:rsid w:val="00421802"/>
    <w:rsid w:val="004218F7"/>
    <w:rsid w:val="00421EF0"/>
    <w:rsid w:val="004223C8"/>
    <w:rsid w:val="004224FA"/>
    <w:rsid w:val="0042256F"/>
    <w:rsid w:val="00422AC9"/>
    <w:rsid w:val="00422BE4"/>
    <w:rsid w:val="004233B2"/>
    <w:rsid w:val="0042350E"/>
    <w:rsid w:val="00423548"/>
    <w:rsid w:val="004236F4"/>
    <w:rsid w:val="00423816"/>
    <w:rsid w:val="0042393A"/>
    <w:rsid w:val="00423D07"/>
    <w:rsid w:val="00423E0B"/>
    <w:rsid w:val="0042401B"/>
    <w:rsid w:val="0042431B"/>
    <w:rsid w:val="004243C7"/>
    <w:rsid w:val="00424907"/>
    <w:rsid w:val="0042490A"/>
    <w:rsid w:val="0042496D"/>
    <w:rsid w:val="00424E3A"/>
    <w:rsid w:val="00425141"/>
    <w:rsid w:val="00425722"/>
    <w:rsid w:val="00425837"/>
    <w:rsid w:val="00425AC6"/>
    <w:rsid w:val="00425CE2"/>
    <w:rsid w:val="00425D2D"/>
    <w:rsid w:val="00426B63"/>
    <w:rsid w:val="004273BF"/>
    <w:rsid w:val="00427936"/>
    <w:rsid w:val="00430048"/>
    <w:rsid w:val="00430624"/>
    <w:rsid w:val="004306AA"/>
    <w:rsid w:val="00430A7A"/>
    <w:rsid w:val="00430C6A"/>
    <w:rsid w:val="00430DF5"/>
    <w:rsid w:val="00430ED1"/>
    <w:rsid w:val="00431428"/>
    <w:rsid w:val="00431443"/>
    <w:rsid w:val="00431B18"/>
    <w:rsid w:val="00431B27"/>
    <w:rsid w:val="00431CBE"/>
    <w:rsid w:val="00431D84"/>
    <w:rsid w:val="00431F34"/>
    <w:rsid w:val="00431F90"/>
    <w:rsid w:val="00432288"/>
    <w:rsid w:val="004327B8"/>
    <w:rsid w:val="00432B0C"/>
    <w:rsid w:val="0043345F"/>
    <w:rsid w:val="004337A5"/>
    <w:rsid w:val="00433B15"/>
    <w:rsid w:val="0043434C"/>
    <w:rsid w:val="004343DE"/>
    <w:rsid w:val="00434524"/>
    <w:rsid w:val="00434742"/>
    <w:rsid w:val="00434BAC"/>
    <w:rsid w:val="00434DBF"/>
    <w:rsid w:val="00434FA6"/>
    <w:rsid w:val="00434FF0"/>
    <w:rsid w:val="0043500F"/>
    <w:rsid w:val="00435183"/>
    <w:rsid w:val="004354B3"/>
    <w:rsid w:val="004358C9"/>
    <w:rsid w:val="00435CF2"/>
    <w:rsid w:val="00436138"/>
    <w:rsid w:val="00436710"/>
    <w:rsid w:val="00436B50"/>
    <w:rsid w:val="00436C00"/>
    <w:rsid w:val="00437135"/>
    <w:rsid w:val="00437533"/>
    <w:rsid w:val="00437710"/>
    <w:rsid w:val="004379FD"/>
    <w:rsid w:val="00437C92"/>
    <w:rsid w:val="00437D23"/>
    <w:rsid w:val="00437EA7"/>
    <w:rsid w:val="00437FD3"/>
    <w:rsid w:val="004407B0"/>
    <w:rsid w:val="00440AA3"/>
    <w:rsid w:val="00440F22"/>
    <w:rsid w:val="00441643"/>
    <w:rsid w:val="00441939"/>
    <w:rsid w:val="00441FF1"/>
    <w:rsid w:val="00442151"/>
    <w:rsid w:val="0044232E"/>
    <w:rsid w:val="0044248D"/>
    <w:rsid w:val="004424C7"/>
    <w:rsid w:val="00442625"/>
    <w:rsid w:val="004428C3"/>
    <w:rsid w:val="00442F1D"/>
    <w:rsid w:val="0044346F"/>
    <w:rsid w:val="004436AA"/>
    <w:rsid w:val="00443896"/>
    <w:rsid w:val="00443B5A"/>
    <w:rsid w:val="00443BB5"/>
    <w:rsid w:val="00443BBB"/>
    <w:rsid w:val="00443E79"/>
    <w:rsid w:val="00443F78"/>
    <w:rsid w:val="00444161"/>
    <w:rsid w:val="004444C3"/>
    <w:rsid w:val="0044490C"/>
    <w:rsid w:val="00444E9E"/>
    <w:rsid w:val="00444EE1"/>
    <w:rsid w:val="00445155"/>
    <w:rsid w:val="0044560F"/>
    <w:rsid w:val="0044568B"/>
    <w:rsid w:val="0044570D"/>
    <w:rsid w:val="00445754"/>
    <w:rsid w:val="00445D94"/>
    <w:rsid w:val="00445F26"/>
    <w:rsid w:val="004460A0"/>
    <w:rsid w:val="00446356"/>
    <w:rsid w:val="0044657C"/>
    <w:rsid w:val="004467EE"/>
    <w:rsid w:val="00446981"/>
    <w:rsid w:val="00446AAB"/>
    <w:rsid w:val="00446BD5"/>
    <w:rsid w:val="00446E28"/>
    <w:rsid w:val="00446E65"/>
    <w:rsid w:val="00447069"/>
    <w:rsid w:val="0044708D"/>
    <w:rsid w:val="004472B8"/>
    <w:rsid w:val="00447474"/>
    <w:rsid w:val="0044755D"/>
    <w:rsid w:val="00450035"/>
    <w:rsid w:val="00450792"/>
    <w:rsid w:val="00450C05"/>
    <w:rsid w:val="00450E31"/>
    <w:rsid w:val="0045123C"/>
    <w:rsid w:val="00451A31"/>
    <w:rsid w:val="00451B25"/>
    <w:rsid w:val="00451E09"/>
    <w:rsid w:val="004525AF"/>
    <w:rsid w:val="004526A9"/>
    <w:rsid w:val="00452B27"/>
    <w:rsid w:val="00452DDE"/>
    <w:rsid w:val="00452F0B"/>
    <w:rsid w:val="00453538"/>
    <w:rsid w:val="004537E8"/>
    <w:rsid w:val="00453A51"/>
    <w:rsid w:val="00453FDF"/>
    <w:rsid w:val="00454675"/>
    <w:rsid w:val="0045475D"/>
    <w:rsid w:val="0045486B"/>
    <w:rsid w:val="00454D08"/>
    <w:rsid w:val="00454F13"/>
    <w:rsid w:val="00454F81"/>
    <w:rsid w:val="00455596"/>
    <w:rsid w:val="004557A3"/>
    <w:rsid w:val="004557AD"/>
    <w:rsid w:val="00455843"/>
    <w:rsid w:val="004559C3"/>
    <w:rsid w:val="0045610D"/>
    <w:rsid w:val="004564BF"/>
    <w:rsid w:val="00456512"/>
    <w:rsid w:val="00456720"/>
    <w:rsid w:val="004570BE"/>
    <w:rsid w:val="004570C4"/>
    <w:rsid w:val="004571A6"/>
    <w:rsid w:val="0045737D"/>
    <w:rsid w:val="0045769A"/>
    <w:rsid w:val="0045780A"/>
    <w:rsid w:val="00460443"/>
    <w:rsid w:val="0046052B"/>
    <w:rsid w:val="004612AD"/>
    <w:rsid w:val="004613DB"/>
    <w:rsid w:val="00461574"/>
    <w:rsid w:val="00461A6C"/>
    <w:rsid w:val="00461C6A"/>
    <w:rsid w:val="00461E5C"/>
    <w:rsid w:val="004626C5"/>
    <w:rsid w:val="00462C82"/>
    <w:rsid w:val="00462CB8"/>
    <w:rsid w:val="00462DD6"/>
    <w:rsid w:val="00462E48"/>
    <w:rsid w:val="0046300B"/>
    <w:rsid w:val="004631E1"/>
    <w:rsid w:val="004632FF"/>
    <w:rsid w:val="004633CB"/>
    <w:rsid w:val="00464415"/>
    <w:rsid w:val="00464CA9"/>
    <w:rsid w:val="00464DD3"/>
    <w:rsid w:val="00465145"/>
    <w:rsid w:val="0046520A"/>
    <w:rsid w:val="004653B9"/>
    <w:rsid w:val="00465763"/>
    <w:rsid w:val="004658C9"/>
    <w:rsid w:val="00465D71"/>
    <w:rsid w:val="00466004"/>
    <w:rsid w:val="00466452"/>
    <w:rsid w:val="00466C2E"/>
    <w:rsid w:val="00466D6D"/>
    <w:rsid w:val="00467135"/>
    <w:rsid w:val="004672AB"/>
    <w:rsid w:val="004673D2"/>
    <w:rsid w:val="004675D2"/>
    <w:rsid w:val="00467611"/>
    <w:rsid w:val="00470A9F"/>
    <w:rsid w:val="00470BB7"/>
    <w:rsid w:val="00470E70"/>
    <w:rsid w:val="00471100"/>
    <w:rsid w:val="004714C7"/>
    <w:rsid w:val="004714FE"/>
    <w:rsid w:val="0047164E"/>
    <w:rsid w:val="00471EE9"/>
    <w:rsid w:val="00472149"/>
    <w:rsid w:val="00472487"/>
    <w:rsid w:val="004727DD"/>
    <w:rsid w:val="004727FB"/>
    <w:rsid w:val="00472841"/>
    <w:rsid w:val="00472923"/>
    <w:rsid w:val="004734F7"/>
    <w:rsid w:val="0047363D"/>
    <w:rsid w:val="004736FE"/>
    <w:rsid w:val="00473C04"/>
    <w:rsid w:val="00474406"/>
    <w:rsid w:val="004744E8"/>
    <w:rsid w:val="00474907"/>
    <w:rsid w:val="00474B00"/>
    <w:rsid w:val="00474BF8"/>
    <w:rsid w:val="00474FED"/>
    <w:rsid w:val="004751BF"/>
    <w:rsid w:val="00475413"/>
    <w:rsid w:val="00475504"/>
    <w:rsid w:val="00475775"/>
    <w:rsid w:val="00475B29"/>
    <w:rsid w:val="00475ECF"/>
    <w:rsid w:val="00475F3E"/>
    <w:rsid w:val="0047620A"/>
    <w:rsid w:val="0047629F"/>
    <w:rsid w:val="004768FB"/>
    <w:rsid w:val="00476C78"/>
    <w:rsid w:val="00477251"/>
    <w:rsid w:val="0047761D"/>
    <w:rsid w:val="00477840"/>
    <w:rsid w:val="00477B6C"/>
    <w:rsid w:val="00477BAA"/>
    <w:rsid w:val="00480164"/>
    <w:rsid w:val="00480207"/>
    <w:rsid w:val="004803C0"/>
    <w:rsid w:val="004805DD"/>
    <w:rsid w:val="00480CAA"/>
    <w:rsid w:val="00481C04"/>
    <w:rsid w:val="00481DF1"/>
    <w:rsid w:val="004824C8"/>
    <w:rsid w:val="004825B3"/>
    <w:rsid w:val="0048279D"/>
    <w:rsid w:val="0048310F"/>
    <w:rsid w:val="004833E7"/>
    <w:rsid w:val="00483885"/>
    <w:rsid w:val="00483BA0"/>
    <w:rsid w:val="00483CEA"/>
    <w:rsid w:val="00484027"/>
    <w:rsid w:val="0048414C"/>
    <w:rsid w:val="004849FA"/>
    <w:rsid w:val="00484A78"/>
    <w:rsid w:val="00484BD8"/>
    <w:rsid w:val="00484E31"/>
    <w:rsid w:val="004856F6"/>
    <w:rsid w:val="00485BE8"/>
    <w:rsid w:val="00485C35"/>
    <w:rsid w:val="00485D35"/>
    <w:rsid w:val="00485EF7"/>
    <w:rsid w:val="00486082"/>
    <w:rsid w:val="004864EC"/>
    <w:rsid w:val="0048660E"/>
    <w:rsid w:val="0048713D"/>
    <w:rsid w:val="00487292"/>
    <w:rsid w:val="004874B9"/>
    <w:rsid w:val="00487CAD"/>
    <w:rsid w:val="00487CBF"/>
    <w:rsid w:val="004907DB"/>
    <w:rsid w:val="00490B08"/>
    <w:rsid w:val="00490B14"/>
    <w:rsid w:val="00490B41"/>
    <w:rsid w:val="00490CCD"/>
    <w:rsid w:val="00490DA8"/>
    <w:rsid w:val="00490DFE"/>
    <w:rsid w:val="00490E91"/>
    <w:rsid w:val="0049109D"/>
    <w:rsid w:val="00491247"/>
    <w:rsid w:val="004914F3"/>
    <w:rsid w:val="00492104"/>
    <w:rsid w:val="00492142"/>
    <w:rsid w:val="004922D6"/>
    <w:rsid w:val="004923EA"/>
    <w:rsid w:val="004924BD"/>
    <w:rsid w:val="0049398A"/>
    <w:rsid w:val="00493B32"/>
    <w:rsid w:val="00493F73"/>
    <w:rsid w:val="004946B7"/>
    <w:rsid w:val="0049493A"/>
    <w:rsid w:val="00494ACE"/>
    <w:rsid w:val="00495053"/>
    <w:rsid w:val="004950F6"/>
    <w:rsid w:val="00495475"/>
    <w:rsid w:val="0049565C"/>
    <w:rsid w:val="00495715"/>
    <w:rsid w:val="00495853"/>
    <w:rsid w:val="00495AD0"/>
    <w:rsid w:val="00495AD7"/>
    <w:rsid w:val="0049621C"/>
    <w:rsid w:val="00496298"/>
    <w:rsid w:val="004962DC"/>
    <w:rsid w:val="00496A1B"/>
    <w:rsid w:val="00496DF9"/>
    <w:rsid w:val="00497277"/>
    <w:rsid w:val="00497516"/>
    <w:rsid w:val="004977F9"/>
    <w:rsid w:val="00497839"/>
    <w:rsid w:val="00497A69"/>
    <w:rsid w:val="004A02EF"/>
    <w:rsid w:val="004A04CB"/>
    <w:rsid w:val="004A0939"/>
    <w:rsid w:val="004A0A20"/>
    <w:rsid w:val="004A0F7D"/>
    <w:rsid w:val="004A128F"/>
    <w:rsid w:val="004A14A4"/>
    <w:rsid w:val="004A1828"/>
    <w:rsid w:val="004A1D67"/>
    <w:rsid w:val="004A1F59"/>
    <w:rsid w:val="004A1FC9"/>
    <w:rsid w:val="004A2275"/>
    <w:rsid w:val="004A2493"/>
    <w:rsid w:val="004A26B3"/>
    <w:rsid w:val="004A2717"/>
    <w:rsid w:val="004A29BE"/>
    <w:rsid w:val="004A2B6E"/>
    <w:rsid w:val="004A2F45"/>
    <w:rsid w:val="004A3172"/>
    <w:rsid w:val="004A3225"/>
    <w:rsid w:val="004A339C"/>
    <w:rsid w:val="004A33EE"/>
    <w:rsid w:val="004A38CF"/>
    <w:rsid w:val="004A3AA8"/>
    <w:rsid w:val="004A3C9E"/>
    <w:rsid w:val="004A3F6D"/>
    <w:rsid w:val="004A4141"/>
    <w:rsid w:val="004A4143"/>
    <w:rsid w:val="004A4298"/>
    <w:rsid w:val="004A47B2"/>
    <w:rsid w:val="004A4841"/>
    <w:rsid w:val="004A49D6"/>
    <w:rsid w:val="004A4E92"/>
    <w:rsid w:val="004A50E1"/>
    <w:rsid w:val="004A5575"/>
    <w:rsid w:val="004A55DD"/>
    <w:rsid w:val="004A5F4F"/>
    <w:rsid w:val="004A6220"/>
    <w:rsid w:val="004A6668"/>
    <w:rsid w:val="004A68C7"/>
    <w:rsid w:val="004A6D66"/>
    <w:rsid w:val="004A71E4"/>
    <w:rsid w:val="004A72AB"/>
    <w:rsid w:val="004A735C"/>
    <w:rsid w:val="004A75DA"/>
    <w:rsid w:val="004A7794"/>
    <w:rsid w:val="004A77EA"/>
    <w:rsid w:val="004A7A4D"/>
    <w:rsid w:val="004A7D29"/>
    <w:rsid w:val="004A7ED6"/>
    <w:rsid w:val="004A7EF7"/>
    <w:rsid w:val="004B03B6"/>
    <w:rsid w:val="004B06AA"/>
    <w:rsid w:val="004B13C7"/>
    <w:rsid w:val="004B154D"/>
    <w:rsid w:val="004B16C3"/>
    <w:rsid w:val="004B1D32"/>
    <w:rsid w:val="004B1E23"/>
    <w:rsid w:val="004B1FCB"/>
    <w:rsid w:val="004B1FD1"/>
    <w:rsid w:val="004B2014"/>
    <w:rsid w:val="004B249E"/>
    <w:rsid w:val="004B26F3"/>
    <w:rsid w:val="004B2860"/>
    <w:rsid w:val="004B2B0D"/>
    <w:rsid w:val="004B2B73"/>
    <w:rsid w:val="004B2C4C"/>
    <w:rsid w:val="004B2F91"/>
    <w:rsid w:val="004B2FE2"/>
    <w:rsid w:val="004B32E4"/>
    <w:rsid w:val="004B3474"/>
    <w:rsid w:val="004B36C1"/>
    <w:rsid w:val="004B3C69"/>
    <w:rsid w:val="004B3EBF"/>
    <w:rsid w:val="004B46A1"/>
    <w:rsid w:val="004B4767"/>
    <w:rsid w:val="004B4BEF"/>
    <w:rsid w:val="004B4C57"/>
    <w:rsid w:val="004B4F4A"/>
    <w:rsid w:val="004B55FF"/>
    <w:rsid w:val="004B59C6"/>
    <w:rsid w:val="004B5A52"/>
    <w:rsid w:val="004B5AE9"/>
    <w:rsid w:val="004B5C7B"/>
    <w:rsid w:val="004B6121"/>
    <w:rsid w:val="004B63F4"/>
    <w:rsid w:val="004B6F17"/>
    <w:rsid w:val="004B778F"/>
    <w:rsid w:val="004B7911"/>
    <w:rsid w:val="004B7E22"/>
    <w:rsid w:val="004C00E2"/>
    <w:rsid w:val="004C0609"/>
    <w:rsid w:val="004C0D75"/>
    <w:rsid w:val="004C1114"/>
    <w:rsid w:val="004C15F3"/>
    <w:rsid w:val="004C175A"/>
    <w:rsid w:val="004C1852"/>
    <w:rsid w:val="004C1D72"/>
    <w:rsid w:val="004C2019"/>
    <w:rsid w:val="004C210E"/>
    <w:rsid w:val="004C24CA"/>
    <w:rsid w:val="004C280E"/>
    <w:rsid w:val="004C2A4B"/>
    <w:rsid w:val="004C2E86"/>
    <w:rsid w:val="004C304D"/>
    <w:rsid w:val="004C3D8D"/>
    <w:rsid w:val="004C418E"/>
    <w:rsid w:val="004C452F"/>
    <w:rsid w:val="004C46B3"/>
    <w:rsid w:val="004C4C55"/>
    <w:rsid w:val="004C4D4D"/>
    <w:rsid w:val="004C4E76"/>
    <w:rsid w:val="004C50C1"/>
    <w:rsid w:val="004C56B1"/>
    <w:rsid w:val="004C5E98"/>
    <w:rsid w:val="004C5E9E"/>
    <w:rsid w:val="004C6308"/>
    <w:rsid w:val="004C6CDF"/>
    <w:rsid w:val="004C6D6C"/>
    <w:rsid w:val="004C785C"/>
    <w:rsid w:val="004C7A54"/>
    <w:rsid w:val="004C7A82"/>
    <w:rsid w:val="004D043F"/>
    <w:rsid w:val="004D0823"/>
    <w:rsid w:val="004D0FEC"/>
    <w:rsid w:val="004D110F"/>
    <w:rsid w:val="004D1336"/>
    <w:rsid w:val="004D141F"/>
    <w:rsid w:val="004D1442"/>
    <w:rsid w:val="004D19DF"/>
    <w:rsid w:val="004D1F6F"/>
    <w:rsid w:val="004D2142"/>
    <w:rsid w:val="004D2155"/>
    <w:rsid w:val="004D23BF"/>
    <w:rsid w:val="004D25ED"/>
    <w:rsid w:val="004D267D"/>
    <w:rsid w:val="004D2742"/>
    <w:rsid w:val="004D37C6"/>
    <w:rsid w:val="004D3B37"/>
    <w:rsid w:val="004D3C67"/>
    <w:rsid w:val="004D44CB"/>
    <w:rsid w:val="004D4DDD"/>
    <w:rsid w:val="004D4E61"/>
    <w:rsid w:val="004D4E99"/>
    <w:rsid w:val="004D4F76"/>
    <w:rsid w:val="004D5A84"/>
    <w:rsid w:val="004D5AB9"/>
    <w:rsid w:val="004D5BB6"/>
    <w:rsid w:val="004D6002"/>
    <w:rsid w:val="004D616C"/>
    <w:rsid w:val="004D6310"/>
    <w:rsid w:val="004D6592"/>
    <w:rsid w:val="004D67A8"/>
    <w:rsid w:val="004D6CED"/>
    <w:rsid w:val="004D700B"/>
    <w:rsid w:val="004D71B2"/>
    <w:rsid w:val="004D7552"/>
    <w:rsid w:val="004D7A00"/>
    <w:rsid w:val="004E0062"/>
    <w:rsid w:val="004E01B7"/>
    <w:rsid w:val="004E0482"/>
    <w:rsid w:val="004E05A1"/>
    <w:rsid w:val="004E0DFB"/>
    <w:rsid w:val="004E0E15"/>
    <w:rsid w:val="004E17EA"/>
    <w:rsid w:val="004E19C2"/>
    <w:rsid w:val="004E238C"/>
    <w:rsid w:val="004E2701"/>
    <w:rsid w:val="004E2941"/>
    <w:rsid w:val="004E3032"/>
    <w:rsid w:val="004E366D"/>
    <w:rsid w:val="004E3B63"/>
    <w:rsid w:val="004E3B6B"/>
    <w:rsid w:val="004E3BF1"/>
    <w:rsid w:val="004E3DD4"/>
    <w:rsid w:val="004E4154"/>
    <w:rsid w:val="004E4190"/>
    <w:rsid w:val="004E4403"/>
    <w:rsid w:val="004E441C"/>
    <w:rsid w:val="004E4AFE"/>
    <w:rsid w:val="004E4C07"/>
    <w:rsid w:val="004E4CFC"/>
    <w:rsid w:val="004E55FD"/>
    <w:rsid w:val="004E56D9"/>
    <w:rsid w:val="004E5A09"/>
    <w:rsid w:val="004E614B"/>
    <w:rsid w:val="004E63C6"/>
    <w:rsid w:val="004E6502"/>
    <w:rsid w:val="004E6594"/>
    <w:rsid w:val="004E6855"/>
    <w:rsid w:val="004E6A4D"/>
    <w:rsid w:val="004E6DE1"/>
    <w:rsid w:val="004E6E2C"/>
    <w:rsid w:val="004E6F74"/>
    <w:rsid w:val="004E73A4"/>
    <w:rsid w:val="004E76E0"/>
    <w:rsid w:val="004E7B7E"/>
    <w:rsid w:val="004F00D4"/>
    <w:rsid w:val="004F0219"/>
    <w:rsid w:val="004F02CF"/>
    <w:rsid w:val="004F059E"/>
    <w:rsid w:val="004F05F5"/>
    <w:rsid w:val="004F095A"/>
    <w:rsid w:val="004F0973"/>
    <w:rsid w:val="004F0D10"/>
    <w:rsid w:val="004F1300"/>
    <w:rsid w:val="004F178C"/>
    <w:rsid w:val="004F1D03"/>
    <w:rsid w:val="004F20E2"/>
    <w:rsid w:val="004F2100"/>
    <w:rsid w:val="004F2532"/>
    <w:rsid w:val="004F2610"/>
    <w:rsid w:val="004F291B"/>
    <w:rsid w:val="004F2C8B"/>
    <w:rsid w:val="004F2CAA"/>
    <w:rsid w:val="004F2E92"/>
    <w:rsid w:val="004F3362"/>
    <w:rsid w:val="004F33DA"/>
    <w:rsid w:val="004F3561"/>
    <w:rsid w:val="004F3DA1"/>
    <w:rsid w:val="004F3F8B"/>
    <w:rsid w:val="004F4219"/>
    <w:rsid w:val="004F4A36"/>
    <w:rsid w:val="004F4A6C"/>
    <w:rsid w:val="004F4B2A"/>
    <w:rsid w:val="004F54CE"/>
    <w:rsid w:val="004F5A34"/>
    <w:rsid w:val="004F5B40"/>
    <w:rsid w:val="004F5E57"/>
    <w:rsid w:val="004F6710"/>
    <w:rsid w:val="004F678C"/>
    <w:rsid w:val="004F6A5D"/>
    <w:rsid w:val="004F7084"/>
    <w:rsid w:val="004F7245"/>
    <w:rsid w:val="004F7451"/>
    <w:rsid w:val="004F7664"/>
    <w:rsid w:val="004F779B"/>
    <w:rsid w:val="004F7B5E"/>
    <w:rsid w:val="004F7F21"/>
    <w:rsid w:val="00500117"/>
    <w:rsid w:val="005005F2"/>
    <w:rsid w:val="005006F9"/>
    <w:rsid w:val="0050071A"/>
    <w:rsid w:val="0050097D"/>
    <w:rsid w:val="00500AF3"/>
    <w:rsid w:val="00500C3E"/>
    <w:rsid w:val="0050106B"/>
    <w:rsid w:val="00501555"/>
    <w:rsid w:val="005019EB"/>
    <w:rsid w:val="00502267"/>
    <w:rsid w:val="005022FB"/>
    <w:rsid w:val="005024DB"/>
    <w:rsid w:val="0050252F"/>
    <w:rsid w:val="00502849"/>
    <w:rsid w:val="005028CB"/>
    <w:rsid w:val="00503A8C"/>
    <w:rsid w:val="00503D97"/>
    <w:rsid w:val="00503E4E"/>
    <w:rsid w:val="00504334"/>
    <w:rsid w:val="00504477"/>
    <w:rsid w:val="00504640"/>
    <w:rsid w:val="0050498D"/>
    <w:rsid w:val="00504E27"/>
    <w:rsid w:val="0050559A"/>
    <w:rsid w:val="00505B3F"/>
    <w:rsid w:val="00505DED"/>
    <w:rsid w:val="0050610A"/>
    <w:rsid w:val="005065AA"/>
    <w:rsid w:val="005065E6"/>
    <w:rsid w:val="005067FD"/>
    <w:rsid w:val="00507418"/>
    <w:rsid w:val="00507552"/>
    <w:rsid w:val="00510035"/>
    <w:rsid w:val="005100D7"/>
    <w:rsid w:val="00510155"/>
    <w:rsid w:val="00510270"/>
    <w:rsid w:val="005104D7"/>
    <w:rsid w:val="00510B9E"/>
    <w:rsid w:val="005110F7"/>
    <w:rsid w:val="005113DD"/>
    <w:rsid w:val="00511837"/>
    <w:rsid w:val="00511C07"/>
    <w:rsid w:val="00511DBA"/>
    <w:rsid w:val="00512C6D"/>
    <w:rsid w:val="0051327B"/>
    <w:rsid w:val="00513330"/>
    <w:rsid w:val="00513D63"/>
    <w:rsid w:val="00513F63"/>
    <w:rsid w:val="005144A5"/>
    <w:rsid w:val="00514556"/>
    <w:rsid w:val="00514893"/>
    <w:rsid w:val="00514C62"/>
    <w:rsid w:val="0051505B"/>
    <w:rsid w:val="00515E48"/>
    <w:rsid w:val="005160C3"/>
    <w:rsid w:val="005162A2"/>
    <w:rsid w:val="005164E0"/>
    <w:rsid w:val="00516AD0"/>
    <w:rsid w:val="00516B61"/>
    <w:rsid w:val="005170B8"/>
    <w:rsid w:val="00517385"/>
    <w:rsid w:val="00517BAE"/>
    <w:rsid w:val="00517C0A"/>
    <w:rsid w:val="00517DD9"/>
    <w:rsid w:val="00520248"/>
    <w:rsid w:val="00520479"/>
    <w:rsid w:val="005204DA"/>
    <w:rsid w:val="005208BC"/>
    <w:rsid w:val="00520CDA"/>
    <w:rsid w:val="00520E46"/>
    <w:rsid w:val="0052188D"/>
    <w:rsid w:val="00521F6F"/>
    <w:rsid w:val="005220C0"/>
    <w:rsid w:val="00522DA3"/>
    <w:rsid w:val="00522FE9"/>
    <w:rsid w:val="0052304C"/>
    <w:rsid w:val="005237A9"/>
    <w:rsid w:val="005238EB"/>
    <w:rsid w:val="005240E1"/>
    <w:rsid w:val="00524189"/>
    <w:rsid w:val="005241FF"/>
    <w:rsid w:val="00524BCA"/>
    <w:rsid w:val="00525975"/>
    <w:rsid w:val="00525AEF"/>
    <w:rsid w:val="00525E08"/>
    <w:rsid w:val="005264EE"/>
    <w:rsid w:val="0052668E"/>
    <w:rsid w:val="00526876"/>
    <w:rsid w:val="00526B30"/>
    <w:rsid w:val="0052713B"/>
    <w:rsid w:val="00527593"/>
    <w:rsid w:val="00527AF3"/>
    <w:rsid w:val="005309F5"/>
    <w:rsid w:val="00531123"/>
    <w:rsid w:val="00531334"/>
    <w:rsid w:val="005315C8"/>
    <w:rsid w:val="005323DB"/>
    <w:rsid w:val="00532725"/>
    <w:rsid w:val="00532A59"/>
    <w:rsid w:val="00532B45"/>
    <w:rsid w:val="00532E97"/>
    <w:rsid w:val="00532FD2"/>
    <w:rsid w:val="00532FE8"/>
    <w:rsid w:val="00533300"/>
    <w:rsid w:val="005333D0"/>
    <w:rsid w:val="0053387E"/>
    <w:rsid w:val="00533C09"/>
    <w:rsid w:val="00533DA5"/>
    <w:rsid w:val="005340A2"/>
    <w:rsid w:val="005342E1"/>
    <w:rsid w:val="0053467D"/>
    <w:rsid w:val="00534A80"/>
    <w:rsid w:val="00534B43"/>
    <w:rsid w:val="005353BA"/>
    <w:rsid w:val="0053547F"/>
    <w:rsid w:val="00535974"/>
    <w:rsid w:val="005359DB"/>
    <w:rsid w:val="00535D96"/>
    <w:rsid w:val="00535DD6"/>
    <w:rsid w:val="00536029"/>
    <w:rsid w:val="00536072"/>
    <w:rsid w:val="0053609A"/>
    <w:rsid w:val="005361CE"/>
    <w:rsid w:val="00536906"/>
    <w:rsid w:val="00536BC2"/>
    <w:rsid w:val="00536E3E"/>
    <w:rsid w:val="00536F7E"/>
    <w:rsid w:val="005370D2"/>
    <w:rsid w:val="00537414"/>
    <w:rsid w:val="00537833"/>
    <w:rsid w:val="005378A5"/>
    <w:rsid w:val="00537B44"/>
    <w:rsid w:val="00537B7C"/>
    <w:rsid w:val="00540352"/>
    <w:rsid w:val="0054042F"/>
    <w:rsid w:val="0054084F"/>
    <w:rsid w:val="00541077"/>
    <w:rsid w:val="0054140B"/>
    <w:rsid w:val="00541677"/>
    <w:rsid w:val="00541970"/>
    <w:rsid w:val="00541CE2"/>
    <w:rsid w:val="00541E8A"/>
    <w:rsid w:val="005421B8"/>
    <w:rsid w:val="00542503"/>
    <w:rsid w:val="005425E1"/>
    <w:rsid w:val="005427C5"/>
    <w:rsid w:val="005427C8"/>
    <w:rsid w:val="005428D1"/>
    <w:rsid w:val="00542911"/>
    <w:rsid w:val="00542A11"/>
    <w:rsid w:val="00542C00"/>
    <w:rsid w:val="00542CF6"/>
    <w:rsid w:val="00542DA2"/>
    <w:rsid w:val="00542DA4"/>
    <w:rsid w:val="00543250"/>
    <w:rsid w:val="005432E5"/>
    <w:rsid w:val="005435C1"/>
    <w:rsid w:val="00543916"/>
    <w:rsid w:val="00543AB2"/>
    <w:rsid w:val="0054410C"/>
    <w:rsid w:val="00544234"/>
    <w:rsid w:val="00544743"/>
    <w:rsid w:val="00544D0B"/>
    <w:rsid w:val="00544E6C"/>
    <w:rsid w:val="0054531E"/>
    <w:rsid w:val="0054533C"/>
    <w:rsid w:val="00545374"/>
    <w:rsid w:val="005456D1"/>
    <w:rsid w:val="0054582E"/>
    <w:rsid w:val="0054598D"/>
    <w:rsid w:val="00545CDD"/>
    <w:rsid w:val="00546415"/>
    <w:rsid w:val="00546C83"/>
    <w:rsid w:val="005470B5"/>
    <w:rsid w:val="00547E28"/>
    <w:rsid w:val="00550902"/>
    <w:rsid w:val="00550A75"/>
    <w:rsid w:val="005512D3"/>
    <w:rsid w:val="005512E5"/>
    <w:rsid w:val="005513C1"/>
    <w:rsid w:val="0055182B"/>
    <w:rsid w:val="0055196F"/>
    <w:rsid w:val="00551E5C"/>
    <w:rsid w:val="00551EA4"/>
    <w:rsid w:val="005524E9"/>
    <w:rsid w:val="00552984"/>
    <w:rsid w:val="00552B9A"/>
    <w:rsid w:val="00552EA1"/>
    <w:rsid w:val="00553652"/>
    <w:rsid w:val="00553C03"/>
    <w:rsid w:val="00554124"/>
    <w:rsid w:val="005542BA"/>
    <w:rsid w:val="005543B2"/>
    <w:rsid w:val="00554AD9"/>
    <w:rsid w:val="00554F96"/>
    <w:rsid w:val="00555EF6"/>
    <w:rsid w:val="00555FF4"/>
    <w:rsid w:val="00556296"/>
    <w:rsid w:val="00556397"/>
    <w:rsid w:val="005563AD"/>
    <w:rsid w:val="005563FC"/>
    <w:rsid w:val="005566B3"/>
    <w:rsid w:val="00556A2A"/>
    <w:rsid w:val="00556B10"/>
    <w:rsid w:val="00556B9E"/>
    <w:rsid w:val="00556C58"/>
    <w:rsid w:val="00556ECF"/>
    <w:rsid w:val="00557D36"/>
    <w:rsid w:val="00557EB4"/>
    <w:rsid w:val="005600DD"/>
    <w:rsid w:val="00560636"/>
    <w:rsid w:val="00560759"/>
    <w:rsid w:val="0056081E"/>
    <w:rsid w:val="005608B9"/>
    <w:rsid w:val="00560E55"/>
    <w:rsid w:val="00560F8E"/>
    <w:rsid w:val="00561642"/>
    <w:rsid w:val="0056198D"/>
    <w:rsid w:val="00562180"/>
    <w:rsid w:val="00562205"/>
    <w:rsid w:val="0056258B"/>
    <w:rsid w:val="00562593"/>
    <w:rsid w:val="0056263B"/>
    <w:rsid w:val="00562F05"/>
    <w:rsid w:val="00562F40"/>
    <w:rsid w:val="00563692"/>
    <w:rsid w:val="00563D50"/>
    <w:rsid w:val="005641B0"/>
    <w:rsid w:val="005644F1"/>
    <w:rsid w:val="0056454B"/>
    <w:rsid w:val="00564555"/>
    <w:rsid w:val="00564850"/>
    <w:rsid w:val="00564E55"/>
    <w:rsid w:val="00564FDF"/>
    <w:rsid w:val="0056532E"/>
    <w:rsid w:val="005659D3"/>
    <w:rsid w:val="00565F3E"/>
    <w:rsid w:val="00565F45"/>
    <w:rsid w:val="005667C3"/>
    <w:rsid w:val="00566B83"/>
    <w:rsid w:val="005676B6"/>
    <w:rsid w:val="005677CC"/>
    <w:rsid w:val="00567BD3"/>
    <w:rsid w:val="00567BF4"/>
    <w:rsid w:val="00570173"/>
    <w:rsid w:val="005704D3"/>
    <w:rsid w:val="00570743"/>
    <w:rsid w:val="0057085A"/>
    <w:rsid w:val="005710D5"/>
    <w:rsid w:val="0057113E"/>
    <w:rsid w:val="00571679"/>
    <w:rsid w:val="00571782"/>
    <w:rsid w:val="0057182D"/>
    <w:rsid w:val="005719C4"/>
    <w:rsid w:val="00571E9E"/>
    <w:rsid w:val="005724E3"/>
    <w:rsid w:val="00572683"/>
    <w:rsid w:val="005726DB"/>
    <w:rsid w:val="005732CF"/>
    <w:rsid w:val="0057342C"/>
    <w:rsid w:val="00573492"/>
    <w:rsid w:val="005737B6"/>
    <w:rsid w:val="005738D6"/>
    <w:rsid w:val="00573C3F"/>
    <w:rsid w:val="00573E58"/>
    <w:rsid w:val="005740D1"/>
    <w:rsid w:val="00574390"/>
    <w:rsid w:val="00574893"/>
    <w:rsid w:val="00574AAC"/>
    <w:rsid w:val="00574D97"/>
    <w:rsid w:val="00574E2C"/>
    <w:rsid w:val="00574FD0"/>
    <w:rsid w:val="00575520"/>
    <w:rsid w:val="005758F5"/>
    <w:rsid w:val="00575A17"/>
    <w:rsid w:val="00575AE5"/>
    <w:rsid w:val="00576247"/>
    <w:rsid w:val="005762BE"/>
    <w:rsid w:val="0057658C"/>
    <w:rsid w:val="00576917"/>
    <w:rsid w:val="00576F5F"/>
    <w:rsid w:val="00577065"/>
    <w:rsid w:val="005771F0"/>
    <w:rsid w:val="005777AE"/>
    <w:rsid w:val="00577848"/>
    <w:rsid w:val="00577D1D"/>
    <w:rsid w:val="00577EFA"/>
    <w:rsid w:val="0058029D"/>
    <w:rsid w:val="0058078B"/>
    <w:rsid w:val="00580AC8"/>
    <w:rsid w:val="00580C54"/>
    <w:rsid w:val="00580D33"/>
    <w:rsid w:val="00580E4A"/>
    <w:rsid w:val="00581117"/>
    <w:rsid w:val="005811E1"/>
    <w:rsid w:val="0058133A"/>
    <w:rsid w:val="0058146C"/>
    <w:rsid w:val="00581821"/>
    <w:rsid w:val="00581D07"/>
    <w:rsid w:val="0058226A"/>
    <w:rsid w:val="005825C6"/>
    <w:rsid w:val="005828C2"/>
    <w:rsid w:val="00582D1C"/>
    <w:rsid w:val="00582F8E"/>
    <w:rsid w:val="00583726"/>
    <w:rsid w:val="00583AAE"/>
    <w:rsid w:val="00583CDD"/>
    <w:rsid w:val="005844E7"/>
    <w:rsid w:val="00584B71"/>
    <w:rsid w:val="005850FB"/>
    <w:rsid w:val="005852C5"/>
    <w:rsid w:val="00586530"/>
    <w:rsid w:val="00586C14"/>
    <w:rsid w:val="00587549"/>
    <w:rsid w:val="005879F0"/>
    <w:rsid w:val="00590181"/>
    <w:rsid w:val="00590235"/>
    <w:rsid w:val="00590684"/>
    <w:rsid w:val="005908B8"/>
    <w:rsid w:val="00590D7F"/>
    <w:rsid w:val="005914AC"/>
    <w:rsid w:val="00591A18"/>
    <w:rsid w:val="00591D61"/>
    <w:rsid w:val="00592728"/>
    <w:rsid w:val="005928DB"/>
    <w:rsid w:val="00592DA0"/>
    <w:rsid w:val="00592E3C"/>
    <w:rsid w:val="00593041"/>
    <w:rsid w:val="00593121"/>
    <w:rsid w:val="005936A1"/>
    <w:rsid w:val="00593946"/>
    <w:rsid w:val="00593D47"/>
    <w:rsid w:val="0059512E"/>
    <w:rsid w:val="0059571B"/>
    <w:rsid w:val="00595795"/>
    <w:rsid w:val="005957FB"/>
    <w:rsid w:val="00595F24"/>
    <w:rsid w:val="00596383"/>
    <w:rsid w:val="0059691C"/>
    <w:rsid w:val="00596B00"/>
    <w:rsid w:val="00596BAD"/>
    <w:rsid w:val="00597580"/>
    <w:rsid w:val="00597654"/>
    <w:rsid w:val="00597727"/>
    <w:rsid w:val="00597C29"/>
    <w:rsid w:val="00597EC0"/>
    <w:rsid w:val="00597ED1"/>
    <w:rsid w:val="005A0349"/>
    <w:rsid w:val="005A0AE4"/>
    <w:rsid w:val="005A0E5D"/>
    <w:rsid w:val="005A1549"/>
    <w:rsid w:val="005A177E"/>
    <w:rsid w:val="005A1B27"/>
    <w:rsid w:val="005A1C7D"/>
    <w:rsid w:val="005A1E05"/>
    <w:rsid w:val="005A212E"/>
    <w:rsid w:val="005A2256"/>
    <w:rsid w:val="005A24C1"/>
    <w:rsid w:val="005A29B4"/>
    <w:rsid w:val="005A29C6"/>
    <w:rsid w:val="005A29DB"/>
    <w:rsid w:val="005A2A18"/>
    <w:rsid w:val="005A2B63"/>
    <w:rsid w:val="005A2FAF"/>
    <w:rsid w:val="005A3153"/>
    <w:rsid w:val="005A3350"/>
    <w:rsid w:val="005A3A39"/>
    <w:rsid w:val="005A3A4D"/>
    <w:rsid w:val="005A3AB2"/>
    <w:rsid w:val="005A4809"/>
    <w:rsid w:val="005A4B27"/>
    <w:rsid w:val="005A4E91"/>
    <w:rsid w:val="005A5153"/>
    <w:rsid w:val="005A5459"/>
    <w:rsid w:val="005A61D2"/>
    <w:rsid w:val="005A6381"/>
    <w:rsid w:val="005A6397"/>
    <w:rsid w:val="005A6DD2"/>
    <w:rsid w:val="005A739F"/>
    <w:rsid w:val="005A745B"/>
    <w:rsid w:val="005A75B0"/>
    <w:rsid w:val="005A7B0E"/>
    <w:rsid w:val="005B02B7"/>
    <w:rsid w:val="005B0677"/>
    <w:rsid w:val="005B09E1"/>
    <w:rsid w:val="005B0EB8"/>
    <w:rsid w:val="005B10E0"/>
    <w:rsid w:val="005B132F"/>
    <w:rsid w:val="005B13F8"/>
    <w:rsid w:val="005B14BB"/>
    <w:rsid w:val="005B1B96"/>
    <w:rsid w:val="005B1D0B"/>
    <w:rsid w:val="005B1DCC"/>
    <w:rsid w:val="005B3880"/>
    <w:rsid w:val="005B433B"/>
    <w:rsid w:val="005B4400"/>
    <w:rsid w:val="005B441B"/>
    <w:rsid w:val="005B494A"/>
    <w:rsid w:val="005B49DF"/>
    <w:rsid w:val="005B4AAD"/>
    <w:rsid w:val="005B4CEC"/>
    <w:rsid w:val="005B5434"/>
    <w:rsid w:val="005B55B7"/>
    <w:rsid w:val="005B5669"/>
    <w:rsid w:val="005B5DA0"/>
    <w:rsid w:val="005B5FAE"/>
    <w:rsid w:val="005B659B"/>
    <w:rsid w:val="005B6741"/>
    <w:rsid w:val="005B6B0B"/>
    <w:rsid w:val="005B6BEE"/>
    <w:rsid w:val="005B6C60"/>
    <w:rsid w:val="005B6D4F"/>
    <w:rsid w:val="005B6D8F"/>
    <w:rsid w:val="005B7659"/>
    <w:rsid w:val="005B77AF"/>
    <w:rsid w:val="005B7BA2"/>
    <w:rsid w:val="005B7FD2"/>
    <w:rsid w:val="005C0476"/>
    <w:rsid w:val="005C0ACA"/>
    <w:rsid w:val="005C0C7C"/>
    <w:rsid w:val="005C11A7"/>
    <w:rsid w:val="005C1508"/>
    <w:rsid w:val="005C17E9"/>
    <w:rsid w:val="005C1AD4"/>
    <w:rsid w:val="005C1CA3"/>
    <w:rsid w:val="005C1CE4"/>
    <w:rsid w:val="005C1E4A"/>
    <w:rsid w:val="005C21D2"/>
    <w:rsid w:val="005C234E"/>
    <w:rsid w:val="005C250B"/>
    <w:rsid w:val="005C2513"/>
    <w:rsid w:val="005C2F42"/>
    <w:rsid w:val="005C385D"/>
    <w:rsid w:val="005C3EBF"/>
    <w:rsid w:val="005C417E"/>
    <w:rsid w:val="005C439D"/>
    <w:rsid w:val="005C462B"/>
    <w:rsid w:val="005C487A"/>
    <w:rsid w:val="005C4919"/>
    <w:rsid w:val="005C4C20"/>
    <w:rsid w:val="005C4C22"/>
    <w:rsid w:val="005C4ECC"/>
    <w:rsid w:val="005C51CF"/>
    <w:rsid w:val="005C5375"/>
    <w:rsid w:val="005C5653"/>
    <w:rsid w:val="005C5FBB"/>
    <w:rsid w:val="005C603D"/>
    <w:rsid w:val="005C65DF"/>
    <w:rsid w:val="005C671F"/>
    <w:rsid w:val="005C693D"/>
    <w:rsid w:val="005C6DD6"/>
    <w:rsid w:val="005C72EE"/>
    <w:rsid w:val="005C77F2"/>
    <w:rsid w:val="005C7891"/>
    <w:rsid w:val="005C7A03"/>
    <w:rsid w:val="005C7AF5"/>
    <w:rsid w:val="005C7D1E"/>
    <w:rsid w:val="005D00E5"/>
    <w:rsid w:val="005D068E"/>
    <w:rsid w:val="005D088D"/>
    <w:rsid w:val="005D0AAF"/>
    <w:rsid w:val="005D0DDA"/>
    <w:rsid w:val="005D1229"/>
    <w:rsid w:val="005D1294"/>
    <w:rsid w:val="005D1950"/>
    <w:rsid w:val="005D1CFB"/>
    <w:rsid w:val="005D1D60"/>
    <w:rsid w:val="005D1F7F"/>
    <w:rsid w:val="005D204E"/>
    <w:rsid w:val="005D213B"/>
    <w:rsid w:val="005D26E9"/>
    <w:rsid w:val="005D29E5"/>
    <w:rsid w:val="005D2C7C"/>
    <w:rsid w:val="005D2D76"/>
    <w:rsid w:val="005D2F5D"/>
    <w:rsid w:val="005D30EF"/>
    <w:rsid w:val="005D3159"/>
    <w:rsid w:val="005D31A6"/>
    <w:rsid w:val="005D330D"/>
    <w:rsid w:val="005D3926"/>
    <w:rsid w:val="005D397D"/>
    <w:rsid w:val="005D3B20"/>
    <w:rsid w:val="005D475D"/>
    <w:rsid w:val="005D4B4A"/>
    <w:rsid w:val="005D4FFA"/>
    <w:rsid w:val="005D5AF6"/>
    <w:rsid w:val="005D5C97"/>
    <w:rsid w:val="005D67A0"/>
    <w:rsid w:val="005D68C4"/>
    <w:rsid w:val="005D706F"/>
    <w:rsid w:val="005D79B4"/>
    <w:rsid w:val="005D7C3C"/>
    <w:rsid w:val="005D7E22"/>
    <w:rsid w:val="005D7FC0"/>
    <w:rsid w:val="005E03F8"/>
    <w:rsid w:val="005E0521"/>
    <w:rsid w:val="005E05D2"/>
    <w:rsid w:val="005E0DC8"/>
    <w:rsid w:val="005E0E57"/>
    <w:rsid w:val="005E10C0"/>
    <w:rsid w:val="005E1200"/>
    <w:rsid w:val="005E13E9"/>
    <w:rsid w:val="005E1470"/>
    <w:rsid w:val="005E1FEA"/>
    <w:rsid w:val="005E277E"/>
    <w:rsid w:val="005E27B9"/>
    <w:rsid w:val="005E2A7E"/>
    <w:rsid w:val="005E2D58"/>
    <w:rsid w:val="005E2E72"/>
    <w:rsid w:val="005E2F3C"/>
    <w:rsid w:val="005E3135"/>
    <w:rsid w:val="005E397C"/>
    <w:rsid w:val="005E3DB3"/>
    <w:rsid w:val="005E4218"/>
    <w:rsid w:val="005E439B"/>
    <w:rsid w:val="005E45D1"/>
    <w:rsid w:val="005E4759"/>
    <w:rsid w:val="005E4FE7"/>
    <w:rsid w:val="005E509C"/>
    <w:rsid w:val="005E5798"/>
    <w:rsid w:val="005E5C2F"/>
    <w:rsid w:val="005E5C68"/>
    <w:rsid w:val="005E5F91"/>
    <w:rsid w:val="005E6417"/>
    <w:rsid w:val="005E65C0"/>
    <w:rsid w:val="005E68EA"/>
    <w:rsid w:val="005E6CAF"/>
    <w:rsid w:val="005E6E16"/>
    <w:rsid w:val="005E70BF"/>
    <w:rsid w:val="005E7587"/>
    <w:rsid w:val="005E78CA"/>
    <w:rsid w:val="005E7907"/>
    <w:rsid w:val="005E7C04"/>
    <w:rsid w:val="005F0082"/>
    <w:rsid w:val="005F0390"/>
    <w:rsid w:val="005F0522"/>
    <w:rsid w:val="005F063D"/>
    <w:rsid w:val="005F0719"/>
    <w:rsid w:val="005F0D7D"/>
    <w:rsid w:val="005F0DFB"/>
    <w:rsid w:val="005F0F6A"/>
    <w:rsid w:val="005F0FBE"/>
    <w:rsid w:val="005F157B"/>
    <w:rsid w:val="005F1953"/>
    <w:rsid w:val="005F1A74"/>
    <w:rsid w:val="005F262D"/>
    <w:rsid w:val="005F2725"/>
    <w:rsid w:val="005F29C9"/>
    <w:rsid w:val="005F2D06"/>
    <w:rsid w:val="005F2E49"/>
    <w:rsid w:val="005F35CF"/>
    <w:rsid w:val="005F39E8"/>
    <w:rsid w:val="005F3CFD"/>
    <w:rsid w:val="005F3D8D"/>
    <w:rsid w:val="005F45C8"/>
    <w:rsid w:val="005F471E"/>
    <w:rsid w:val="005F4AB4"/>
    <w:rsid w:val="005F4B1D"/>
    <w:rsid w:val="005F4C92"/>
    <w:rsid w:val="005F4D65"/>
    <w:rsid w:val="005F4E10"/>
    <w:rsid w:val="005F5103"/>
    <w:rsid w:val="005F5B97"/>
    <w:rsid w:val="005F62B2"/>
    <w:rsid w:val="005F66A3"/>
    <w:rsid w:val="005F6CC0"/>
    <w:rsid w:val="005F6ECD"/>
    <w:rsid w:val="005F7338"/>
    <w:rsid w:val="005F75BD"/>
    <w:rsid w:val="0060012F"/>
    <w:rsid w:val="0060037C"/>
    <w:rsid w:val="00600A39"/>
    <w:rsid w:val="00601009"/>
    <w:rsid w:val="00601327"/>
    <w:rsid w:val="0060153F"/>
    <w:rsid w:val="00601582"/>
    <w:rsid w:val="00601E56"/>
    <w:rsid w:val="0060230C"/>
    <w:rsid w:val="00602C6B"/>
    <w:rsid w:val="00603019"/>
    <w:rsid w:val="0060306D"/>
    <w:rsid w:val="0060348F"/>
    <w:rsid w:val="0060371E"/>
    <w:rsid w:val="00603921"/>
    <w:rsid w:val="00603D26"/>
    <w:rsid w:val="00603D55"/>
    <w:rsid w:val="00603DCC"/>
    <w:rsid w:val="00603E0E"/>
    <w:rsid w:val="00605772"/>
    <w:rsid w:val="00605812"/>
    <w:rsid w:val="00605C43"/>
    <w:rsid w:val="00605C77"/>
    <w:rsid w:val="00606136"/>
    <w:rsid w:val="00606174"/>
    <w:rsid w:val="006064DD"/>
    <w:rsid w:val="00606728"/>
    <w:rsid w:val="006069AB"/>
    <w:rsid w:val="00606BD9"/>
    <w:rsid w:val="006072CD"/>
    <w:rsid w:val="00607307"/>
    <w:rsid w:val="0060732D"/>
    <w:rsid w:val="006073BC"/>
    <w:rsid w:val="00607959"/>
    <w:rsid w:val="006101F0"/>
    <w:rsid w:val="00610AC7"/>
    <w:rsid w:val="00610EFF"/>
    <w:rsid w:val="00611201"/>
    <w:rsid w:val="00611346"/>
    <w:rsid w:val="00611814"/>
    <w:rsid w:val="00611828"/>
    <w:rsid w:val="006119BA"/>
    <w:rsid w:val="00611B9E"/>
    <w:rsid w:val="00611CBE"/>
    <w:rsid w:val="00611CDC"/>
    <w:rsid w:val="00611D2A"/>
    <w:rsid w:val="00611F58"/>
    <w:rsid w:val="00611F70"/>
    <w:rsid w:val="00612023"/>
    <w:rsid w:val="00612377"/>
    <w:rsid w:val="00612603"/>
    <w:rsid w:val="00612684"/>
    <w:rsid w:val="006129D0"/>
    <w:rsid w:val="00612F15"/>
    <w:rsid w:val="00612FC2"/>
    <w:rsid w:val="00612FC4"/>
    <w:rsid w:val="00613358"/>
    <w:rsid w:val="006134EC"/>
    <w:rsid w:val="00613723"/>
    <w:rsid w:val="006139BF"/>
    <w:rsid w:val="00613C3F"/>
    <w:rsid w:val="00613CE5"/>
    <w:rsid w:val="00613F9F"/>
    <w:rsid w:val="00614190"/>
    <w:rsid w:val="00614A4F"/>
    <w:rsid w:val="00614CD5"/>
    <w:rsid w:val="00614CEF"/>
    <w:rsid w:val="00614DFF"/>
    <w:rsid w:val="006153CB"/>
    <w:rsid w:val="00615430"/>
    <w:rsid w:val="00615446"/>
    <w:rsid w:val="00615A2B"/>
    <w:rsid w:val="006165F7"/>
    <w:rsid w:val="00616D30"/>
    <w:rsid w:val="00616F15"/>
    <w:rsid w:val="00617041"/>
    <w:rsid w:val="006177DC"/>
    <w:rsid w:val="00617858"/>
    <w:rsid w:val="00617876"/>
    <w:rsid w:val="00617EB7"/>
    <w:rsid w:val="00620039"/>
    <w:rsid w:val="00620109"/>
    <w:rsid w:val="00620188"/>
    <w:rsid w:val="006202C2"/>
    <w:rsid w:val="006206F2"/>
    <w:rsid w:val="006209A4"/>
    <w:rsid w:val="00620A0B"/>
    <w:rsid w:val="00620CB8"/>
    <w:rsid w:val="00620EAB"/>
    <w:rsid w:val="00621382"/>
    <w:rsid w:val="006213D2"/>
    <w:rsid w:val="006214B2"/>
    <w:rsid w:val="006215CC"/>
    <w:rsid w:val="00621640"/>
    <w:rsid w:val="00621714"/>
    <w:rsid w:val="006217B1"/>
    <w:rsid w:val="006218B6"/>
    <w:rsid w:val="00621A14"/>
    <w:rsid w:val="00621EEE"/>
    <w:rsid w:val="0062238B"/>
    <w:rsid w:val="0062242E"/>
    <w:rsid w:val="006225C5"/>
    <w:rsid w:val="00622A92"/>
    <w:rsid w:val="00622A99"/>
    <w:rsid w:val="00622ADC"/>
    <w:rsid w:val="00622E67"/>
    <w:rsid w:val="00622EB4"/>
    <w:rsid w:val="00622F2D"/>
    <w:rsid w:val="00623374"/>
    <w:rsid w:val="006235AF"/>
    <w:rsid w:val="006239EC"/>
    <w:rsid w:val="006239EE"/>
    <w:rsid w:val="00623D33"/>
    <w:rsid w:val="00623E33"/>
    <w:rsid w:val="00624308"/>
    <w:rsid w:val="006247F8"/>
    <w:rsid w:val="00624C31"/>
    <w:rsid w:val="006250C4"/>
    <w:rsid w:val="00625591"/>
    <w:rsid w:val="00625D44"/>
    <w:rsid w:val="00625D61"/>
    <w:rsid w:val="00625E8C"/>
    <w:rsid w:val="006262C7"/>
    <w:rsid w:val="0062659B"/>
    <w:rsid w:val="006267B6"/>
    <w:rsid w:val="006269FD"/>
    <w:rsid w:val="00626B67"/>
    <w:rsid w:val="00626D2B"/>
    <w:rsid w:val="00626EA1"/>
    <w:rsid w:val="00626EDC"/>
    <w:rsid w:val="00627328"/>
    <w:rsid w:val="0062736F"/>
    <w:rsid w:val="00627F67"/>
    <w:rsid w:val="00630163"/>
    <w:rsid w:val="006301EA"/>
    <w:rsid w:val="00630327"/>
    <w:rsid w:val="00630B15"/>
    <w:rsid w:val="00631411"/>
    <w:rsid w:val="00631550"/>
    <w:rsid w:val="006319DE"/>
    <w:rsid w:val="00631B3E"/>
    <w:rsid w:val="00632109"/>
    <w:rsid w:val="00632110"/>
    <w:rsid w:val="00632224"/>
    <w:rsid w:val="006322A9"/>
    <w:rsid w:val="006323CD"/>
    <w:rsid w:val="00632480"/>
    <w:rsid w:val="00632B63"/>
    <w:rsid w:val="006330CD"/>
    <w:rsid w:val="00633A63"/>
    <w:rsid w:val="00633A78"/>
    <w:rsid w:val="00633BA0"/>
    <w:rsid w:val="00634442"/>
    <w:rsid w:val="0063460F"/>
    <w:rsid w:val="0063473F"/>
    <w:rsid w:val="00634926"/>
    <w:rsid w:val="00634CF2"/>
    <w:rsid w:val="00634DF8"/>
    <w:rsid w:val="00635437"/>
    <w:rsid w:val="00636184"/>
    <w:rsid w:val="00636254"/>
    <w:rsid w:val="006369C1"/>
    <w:rsid w:val="00636ABA"/>
    <w:rsid w:val="00637316"/>
    <w:rsid w:val="00637528"/>
    <w:rsid w:val="006377C3"/>
    <w:rsid w:val="00637ABB"/>
    <w:rsid w:val="00637FA4"/>
    <w:rsid w:val="006400F0"/>
    <w:rsid w:val="00640604"/>
    <w:rsid w:val="00640B55"/>
    <w:rsid w:val="0064105F"/>
    <w:rsid w:val="00641750"/>
    <w:rsid w:val="00641992"/>
    <w:rsid w:val="00641E32"/>
    <w:rsid w:val="00641FF0"/>
    <w:rsid w:val="00642455"/>
    <w:rsid w:val="006425CC"/>
    <w:rsid w:val="00642632"/>
    <w:rsid w:val="00642B15"/>
    <w:rsid w:val="00642CBE"/>
    <w:rsid w:val="00642E09"/>
    <w:rsid w:val="00643169"/>
    <w:rsid w:val="006432E8"/>
    <w:rsid w:val="006435BD"/>
    <w:rsid w:val="00643603"/>
    <w:rsid w:val="00643D6C"/>
    <w:rsid w:val="00644420"/>
    <w:rsid w:val="0064442E"/>
    <w:rsid w:val="00644782"/>
    <w:rsid w:val="006449CF"/>
    <w:rsid w:val="00644C73"/>
    <w:rsid w:val="00644EE3"/>
    <w:rsid w:val="006452B3"/>
    <w:rsid w:val="00645650"/>
    <w:rsid w:val="00645700"/>
    <w:rsid w:val="00645746"/>
    <w:rsid w:val="0064579B"/>
    <w:rsid w:val="0064587A"/>
    <w:rsid w:val="00645C9D"/>
    <w:rsid w:val="00646013"/>
    <w:rsid w:val="006460D5"/>
    <w:rsid w:val="0064631D"/>
    <w:rsid w:val="0064636F"/>
    <w:rsid w:val="006464A7"/>
    <w:rsid w:val="0064653F"/>
    <w:rsid w:val="006465B3"/>
    <w:rsid w:val="0064678E"/>
    <w:rsid w:val="006467BA"/>
    <w:rsid w:val="006467F8"/>
    <w:rsid w:val="00646CA2"/>
    <w:rsid w:val="0064701F"/>
    <w:rsid w:val="00647069"/>
    <w:rsid w:val="006470EC"/>
    <w:rsid w:val="006473E5"/>
    <w:rsid w:val="00647775"/>
    <w:rsid w:val="00647E9F"/>
    <w:rsid w:val="00650378"/>
    <w:rsid w:val="006503AA"/>
    <w:rsid w:val="006503F8"/>
    <w:rsid w:val="006513ED"/>
    <w:rsid w:val="006514FD"/>
    <w:rsid w:val="00651779"/>
    <w:rsid w:val="00651C55"/>
    <w:rsid w:val="00651E17"/>
    <w:rsid w:val="00651EE5"/>
    <w:rsid w:val="0065200D"/>
    <w:rsid w:val="00652EA9"/>
    <w:rsid w:val="0065311B"/>
    <w:rsid w:val="00653413"/>
    <w:rsid w:val="00653415"/>
    <w:rsid w:val="006535D5"/>
    <w:rsid w:val="006542D6"/>
    <w:rsid w:val="00654A44"/>
    <w:rsid w:val="0065504D"/>
    <w:rsid w:val="0065557E"/>
    <w:rsid w:val="0065598E"/>
    <w:rsid w:val="00655A5C"/>
    <w:rsid w:val="00655AF2"/>
    <w:rsid w:val="00655BC5"/>
    <w:rsid w:val="00655D29"/>
    <w:rsid w:val="00655F2D"/>
    <w:rsid w:val="00655F83"/>
    <w:rsid w:val="006562D1"/>
    <w:rsid w:val="006562D3"/>
    <w:rsid w:val="0065642C"/>
    <w:rsid w:val="006568BE"/>
    <w:rsid w:val="00656A32"/>
    <w:rsid w:val="00656BB9"/>
    <w:rsid w:val="00657129"/>
    <w:rsid w:val="0065759B"/>
    <w:rsid w:val="0065767B"/>
    <w:rsid w:val="00657A8C"/>
    <w:rsid w:val="00657F37"/>
    <w:rsid w:val="00660024"/>
    <w:rsid w:val="00660211"/>
    <w:rsid w:val="0066025D"/>
    <w:rsid w:val="0066091A"/>
    <w:rsid w:val="006611DE"/>
    <w:rsid w:val="006612F5"/>
    <w:rsid w:val="00661484"/>
    <w:rsid w:val="006619C0"/>
    <w:rsid w:val="00661B4D"/>
    <w:rsid w:val="00661FBD"/>
    <w:rsid w:val="00662C2C"/>
    <w:rsid w:val="00663067"/>
    <w:rsid w:val="00663217"/>
    <w:rsid w:val="0066343E"/>
    <w:rsid w:val="00663637"/>
    <w:rsid w:val="00663900"/>
    <w:rsid w:val="00663950"/>
    <w:rsid w:val="006639E3"/>
    <w:rsid w:val="00663BE7"/>
    <w:rsid w:val="00663DE0"/>
    <w:rsid w:val="00663E58"/>
    <w:rsid w:val="006645A9"/>
    <w:rsid w:val="00664963"/>
    <w:rsid w:val="006653A8"/>
    <w:rsid w:val="006653CC"/>
    <w:rsid w:val="0066552E"/>
    <w:rsid w:val="0066570F"/>
    <w:rsid w:val="006658D5"/>
    <w:rsid w:val="006663F5"/>
    <w:rsid w:val="00666982"/>
    <w:rsid w:val="00666A4E"/>
    <w:rsid w:val="00666FBE"/>
    <w:rsid w:val="006673EB"/>
    <w:rsid w:val="006675CB"/>
    <w:rsid w:val="00667662"/>
    <w:rsid w:val="00667915"/>
    <w:rsid w:val="00667DA3"/>
    <w:rsid w:val="00667E04"/>
    <w:rsid w:val="0067022A"/>
    <w:rsid w:val="00670343"/>
    <w:rsid w:val="006707C9"/>
    <w:rsid w:val="00670B75"/>
    <w:rsid w:val="00671838"/>
    <w:rsid w:val="00671A99"/>
    <w:rsid w:val="00671AA8"/>
    <w:rsid w:val="00671B7F"/>
    <w:rsid w:val="00671E89"/>
    <w:rsid w:val="0067267B"/>
    <w:rsid w:val="00672FFF"/>
    <w:rsid w:val="00673097"/>
    <w:rsid w:val="0067312A"/>
    <w:rsid w:val="00673183"/>
    <w:rsid w:val="00673540"/>
    <w:rsid w:val="0067364D"/>
    <w:rsid w:val="00673B40"/>
    <w:rsid w:val="00673D48"/>
    <w:rsid w:val="0067419D"/>
    <w:rsid w:val="006745A4"/>
    <w:rsid w:val="006747FF"/>
    <w:rsid w:val="00674C1E"/>
    <w:rsid w:val="00674E0F"/>
    <w:rsid w:val="0067539E"/>
    <w:rsid w:val="006754DD"/>
    <w:rsid w:val="00675728"/>
    <w:rsid w:val="0067574C"/>
    <w:rsid w:val="00676962"/>
    <w:rsid w:val="00676989"/>
    <w:rsid w:val="00676AB0"/>
    <w:rsid w:val="00676ADF"/>
    <w:rsid w:val="00676F7B"/>
    <w:rsid w:val="0067739E"/>
    <w:rsid w:val="006773EC"/>
    <w:rsid w:val="00677FC7"/>
    <w:rsid w:val="00680504"/>
    <w:rsid w:val="0068086D"/>
    <w:rsid w:val="00680F84"/>
    <w:rsid w:val="006812A7"/>
    <w:rsid w:val="00681703"/>
    <w:rsid w:val="00681A51"/>
    <w:rsid w:val="00681CD9"/>
    <w:rsid w:val="00681ECD"/>
    <w:rsid w:val="00682421"/>
    <w:rsid w:val="00682B27"/>
    <w:rsid w:val="00682DDB"/>
    <w:rsid w:val="00682F00"/>
    <w:rsid w:val="006839F9"/>
    <w:rsid w:val="00683C3B"/>
    <w:rsid w:val="00683E30"/>
    <w:rsid w:val="0068447F"/>
    <w:rsid w:val="00684AC3"/>
    <w:rsid w:val="00684B33"/>
    <w:rsid w:val="00685025"/>
    <w:rsid w:val="0068538B"/>
    <w:rsid w:val="00685F2F"/>
    <w:rsid w:val="0068628F"/>
    <w:rsid w:val="00686710"/>
    <w:rsid w:val="00686966"/>
    <w:rsid w:val="00686A2B"/>
    <w:rsid w:val="00686E2A"/>
    <w:rsid w:val="00687024"/>
    <w:rsid w:val="006872D7"/>
    <w:rsid w:val="006873C5"/>
    <w:rsid w:val="006876E5"/>
    <w:rsid w:val="00687E79"/>
    <w:rsid w:val="006902B8"/>
    <w:rsid w:val="00690501"/>
    <w:rsid w:val="006910A1"/>
    <w:rsid w:val="00691483"/>
    <w:rsid w:val="0069159E"/>
    <w:rsid w:val="00691985"/>
    <w:rsid w:val="00691B09"/>
    <w:rsid w:val="00691EE8"/>
    <w:rsid w:val="00692A76"/>
    <w:rsid w:val="00692AF2"/>
    <w:rsid w:val="00692BAC"/>
    <w:rsid w:val="00693183"/>
    <w:rsid w:val="0069325D"/>
    <w:rsid w:val="0069326A"/>
    <w:rsid w:val="006932B2"/>
    <w:rsid w:val="0069383E"/>
    <w:rsid w:val="00693D0C"/>
    <w:rsid w:val="006945E4"/>
    <w:rsid w:val="00694983"/>
    <w:rsid w:val="00694B6F"/>
    <w:rsid w:val="00694DAD"/>
    <w:rsid w:val="00694DBF"/>
    <w:rsid w:val="006951D4"/>
    <w:rsid w:val="006959CE"/>
    <w:rsid w:val="00695E1C"/>
    <w:rsid w:val="00695E22"/>
    <w:rsid w:val="006960EA"/>
    <w:rsid w:val="006963B3"/>
    <w:rsid w:val="0069724D"/>
    <w:rsid w:val="00697E32"/>
    <w:rsid w:val="00697F42"/>
    <w:rsid w:val="006A01F7"/>
    <w:rsid w:val="006A054A"/>
    <w:rsid w:val="006A05D0"/>
    <w:rsid w:val="006A0EB1"/>
    <w:rsid w:val="006A0FF4"/>
    <w:rsid w:val="006A17D6"/>
    <w:rsid w:val="006A1B86"/>
    <w:rsid w:val="006A1BB2"/>
    <w:rsid w:val="006A1E70"/>
    <w:rsid w:val="006A201C"/>
    <w:rsid w:val="006A2449"/>
    <w:rsid w:val="006A2927"/>
    <w:rsid w:val="006A2D96"/>
    <w:rsid w:val="006A2E2B"/>
    <w:rsid w:val="006A2E71"/>
    <w:rsid w:val="006A33F1"/>
    <w:rsid w:val="006A3854"/>
    <w:rsid w:val="006A3ECB"/>
    <w:rsid w:val="006A420B"/>
    <w:rsid w:val="006A44D1"/>
    <w:rsid w:val="006A4601"/>
    <w:rsid w:val="006A4A54"/>
    <w:rsid w:val="006A5507"/>
    <w:rsid w:val="006A5704"/>
    <w:rsid w:val="006A5B99"/>
    <w:rsid w:val="006A602B"/>
    <w:rsid w:val="006A608E"/>
    <w:rsid w:val="006A60C7"/>
    <w:rsid w:val="006A6594"/>
    <w:rsid w:val="006A6A1F"/>
    <w:rsid w:val="006A6DDE"/>
    <w:rsid w:val="006A6F22"/>
    <w:rsid w:val="006A732F"/>
    <w:rsid w:val="006A7330"/>
    <w:rsid w:val="006A7741"/>
    <w:rsid w:val="006A7B14"/>
    <w:rsid w:val="006A7D5C"/>
    <w:rsid w:val="006B0447"/>
    <w:rsid w:val="006B04D4"/>
    <w:rsid w:val="006B0DAD"/>
    <w:rsid w:val="006B0E2E"/>
    <w:rsid w:val="006B1013"/>
    <w:rsid w:val="006B1092"/>
    <w:rsid w:val="006B10B7"/>
    <w:rsid w:val="006B1360"/>
    <w:rsid w:val="006B1A12"/>
    <w:rsid w:val="006B1C7B"/>
    <w:rsid w:val="006B1CF7"/>
    <w:rsid w:val="006B2171"/>
    <w:rsid w:val="006B2A13"/>
    <w:rsid w:val="006B2B60"/>
    <w:rsid w:val="006B2C2A"/>
    <w:rsid w:val="006B2EAD"/>
    <w:rsid w:val="006B2EFA"/>
    <w:rsid w:val="006B35A4"/>
    <w:rsid w:val="006B361F"/>
    <w:rsid w:val="006B39CB"/>
    <w:rsid w:val="006B4078"/>
    <w:rsid w:val="006B4474"/>
    <w:rsid w:val="006B5530"/>
    <w:rsid w:val="006B5906"/>
    <w:rsid w:val="006B60D8"/>
    <w:rsid w:val="006B6423"/>
    <w:rsid w:val="006B6564"/>
    <w:rsid w:val="006B6DF5"/>
    <w:rsid w:val="006B6F3B"/>
    <w:rsid w:val="006B6F3F"/>
    <w:rsid w:val="006B7093"/>
    <w:rsid w:val="006B7417"/>
    <w:rsid w:val="006B79E1"/>
    <w:rsid w:val="006C0042"/>
    <w:rsid w:val="006C04F7"/>
    <w:rsid w:val="006C0C19"/>
    <w:rsid w:val="006C0D90"/>
    <w:rsid w:val="006C1859"/>
    <w:rsid w:val="006C1AD8"/>
    <w:rsid w:val="006C210F"/>
    <w:rsid w:val="006C229C"/>
    <w:rsid w:val="006C2572"/>
    <w:rsid w:val="006C2703"/>
    <w:rsid w:val="006C2827"/>
    <w:rsid w:val="006C2992"/>
    <w:rsid w:val="006C2BD1"/>
    <w:rsid w:val="006C2EF4"/>
    <w:rsid w:val="006C3035"/>
    <w:rsid w:val="006C3064"/>
    <w:rsid w:val="006C3329"/>
    <w:rsid w:val="006C35A8"/>
    <w:rsid w:val="006C35EA"/>
    <w:rsid w:val="006C39B2"/>
    <w:rsid w:val="006C3D1A"/>
    <w:rsid w:val="006C3DD5"/>
    <w:rsid w:val="006C3EDD"/>
    <w:rsid w:val="006C439D"/>
    <w:rsid w:val="006C43F2"/>
    <w:rsid w:val="006C449E"/>
    <w:rsid w:val="006C5461"/>
    <w:rsid w:val="006C5CE2"/>
    <w:rsid w:val="006C5DDD"/>
    <w:rsid w:val="006C6E52"/>
    <w:rsid w:val="006C7130"/>
    <w:rsid w:val="006C7755"/>
    <w:rsid w:val="006D03C9"/>
    <w:rsid w:val="006D03CC"/>
    <w:rsid w:val="006D03CD"/>
    <w:rsid w:val="006D03F9"/>
    <w:rsid w:val="006D08FA"/>
    <w:rsid w:val="006D0909"/>
    <w:rsid w:val="006D0B9D"/>
    <w:rsid w:val="006D1239"/>
    <w:rsid w:val="006D1362"/>
    <w:rsid w:val="006D136A"/>
    <w:rsid w:val="006D1427"/>
    <w:rsid w:val="006D1690"/>
    <w:rsid w:val="006D1972"/>
    <w:rsid w:val="006D1A82"/>
    <w:rsid w:val="006D234C"/>
    <w:rsid w:val="006D27EF"/>
    <w:rsid w:val="006D2934"/>
    <w:rsid w:val="006D3036"/>
    <w:rsid w:val="006D3691"/>
    <w:rsid w:val="006D4082"/>
    <w:rsid w:val="006D4450"/>
    <w:rsid w:val="006D4779"/>
    <w:rsid w:val="006D47A5"/>
    <w:rsid w:val="006D4F1C"/>
    <w:rsid w:val="006D52E7"/>
    <w:rsid w:val="006D5972"/>
    <w:rsid w:val="006D5A6D"/>
    <w:rsid w:val="006D5D91"/>
    <w:rsid w:val="006D5DC5"/>
    <w:rsid w:val="006D6006"/>
    <w:rsid w:val="006D6AC0"/>
    <w:rsid w:val="006D6CAD"/>
    <w:rsid w:val="006D6DA5"/>
    <w:rsid w:val="006D6DB6"/>
    <w:rsid w:val="006D70C3"/>
    <w:rsid w:val="006D7401"/>
    <w:rsid w:val="006D7520"/>
    <w:rsid w:val="006D7BC5"/>
    <w:rsid w:val="006D7D1B"/>
    <w:rsid w:val="006D7F52"/>
    <w:rsid w:val="006D7FB4"/>
    <w:rsid w:val="006E006D"/>
    <w:rsid w:val="006E02E5"/>
    <w:rsid w:val="006E03B2"/>
    <w:rsid w:val="006E0419"/>
    <w:rsid w:val="006E041C"/>
    <w:rsid w:val="006E0543"/>
    <w:rsid w:val="006E09A0"/>
    <w:rsid w:val="006E0B92"/>
    <w:rsid w:val="006E0B9D"/>
    <w:rsid w:val="006E113A"/>
    <w:rsid w:val="006E1481"/>
    <w:rsid w:val="006E16A5"/>
    <w:rsid w:val="006E179D"/>
    <w:rsid w:val="006E20DD"/>
    <w:rsid w:val="006E2443"/>
    <w:rsid w:val="006E2601"/>
    <w:rsid w:val="006E3211"/>
    <w:rsid w:val="006E3356"/>
    <w:rsid w:val="006E3C23"/>
    <w:rsid w:val="006E3FD1"/>
    <w:rsid w:val="006E4582"/>
    <w:rsid w:val="006E45F9"/>
    <w:rsid w:val="006E4C53"/>
    <w:rsid w:val="006E4D5F"/>
    <w:rsid w:val="006E4DDA"/>
    <w:rsid w:val="006E5037"/>
    <w:rsid w:val="006E54F8"/>
    <w:rsid w:val="006E5CCB"/>
    <w:rsid w:val="006E5DDD"/>
    <w:rsid w:val="006E5E80"/>
    <w:rsid w:val="006E5EF0"/>
    <w:rsid w:val="006E64C2"/>
    <w:rsid w:val="006E65DE"/>
    <w:rsid w:val="006E6A91"/>
    <w:rsid w:val="006E6C71"/>
    <w:rsid w:val="006E7F71"/>
    <w:rsid w:val="006E7FA8"/>
    <w:rsid w:val="006E7FE1"/>
    <w:rsid w:val="006F014E"/>
    <w:rsid w:val="006F0752"/>
    <w:rsid w:val="006F0ADF"/>
    <w:rsid w:val="006F0E56"/>
    <w:rsid w:val="006F0F4C"/>
    <w:rsid w:val="006F13AC"/>
    <w:rsid w:val="006F1651"/>
    <w:rsid w:val="006F1680"/>
    <w:rsid w:val="006F17EB"/>
    <w:rsid w:val="006F18E6"/>
    <w:rsid w:val="006F19D4"/>
    <w:rsid w:val="006F1BAA"/>
    <w:rsid w:val="006F1DCC"/>
    <w:rsid w:val="006F207E"/>
    <w:rsid w:val="006F21F9"/>
    <w:rsid w:val="006F2468"/>
    <w:rsid w:val="006F3563"/>
    <w:rsid w:val="006F371C"/>
    <w:rsid w:val="006F39C1"/>
    <w:rsid w:val="006F3BB6"/>
    <w:rsid w:val="006F3E45"/>
    <w:rsid w:val="006F3E77"/>
    <w:rsid w:val="006F42B9"/>
    <w:rsid w:val="006F42F9"/>
    <w:rsid w:val="006F46DD"/>
    <w:rsid w:val="006F6103"/>
    <w:rsid w:val="006F61E4"/>
    <w:rsid w:val="006F65ED"/>
    <w:rsid w:val="006F669F"/>
    <w:rsid w:val="006F6BAA"/>
    <w:rsid w:val="006F72AC"/>
    <w:rsid w:val="006F75EF"/>
    <w:rsid w:val="006F7B15"/>
    <w:rsid w:val="006F7D5D"/>
    <w:rsid w:val="006F7E02"/>
    <w:rsid w:val="006F7F46"/>
    <w:rsid w:val="0070004D"/>
    <w:rsid w:val="00700063"/>
    <w:rsid w:val="007005E5"/>
    <w:rsid w:val="00700CF5"/>
    <w:rsid w:val="00701072"/>
    <w:rsid w:val="00701319"/>
    <w:rsid w:val="007014FE"/>
    <w:rsid w:val="007017B5"/>
    <w:rsid w:val="00702A05"/>
    <w:rsid w:val="00702BD8"/>
    <w:rsid w:val="00702C9E"/>
    <w:rsid w:val="00702D1B"/>
    <w:rsid w:val="00702E8E"/>
    <w:rsid w:val="0070308D"/>
    <w:rsid w:val="00703800"/>
    <w:rsid w:val="00703BB7"/>
    <w:rsid w:val="007043F1"/>
    <w:rsid w:val="007048A0"/>
    <w:rsid w:val="00704E00"/>
    <w:rsid w:val="007054F4"/>
    <w:rsid w:val="00705605"/>
    <w:rsid w:val="007056A1"/>
    <w:rsid w:val="00705A33"/>
    <w:rsid w:val="00705A4C"/>
    <w:rsid w:val="00705D3A"/>
    <w:rsid w:val="00705E60"/>
    <w:rsid w:val="0070620E"/>
    <w:rsid w:val="0070657D"/>
    <w:rsid w:val="00706601"/>
    <w:rsid w:val="00706B6F"/>
    <w:rsid w:val="007070AB"/>
    <w:rsid w:val="007072D5"/>
    <w:rsid w:val="00707977"/>
    <w:rsid w:val="00707D41"/>
    <w:rsid w:val="00707E66"/>
    <w:rsid w:val="00710099"/>
    <w:rsid w:val="0071022A"/>
    <w:rsid w:val="007104C3"/>
    <w:rsid w:val="007108B3"/>
    <w:rsid w:val="007109F3"/>
    <w:rsid w:val="00710C2B"/>
    <w:rsid w:val="00710CB5"/>
    <w:rsid w:val="00711210"/>
    <w:rsid w:val="00711AA9"/>
    <w:rsid w:val="00711C93"/>
    <w:rsid w:val="007123ED"/>
    <w:rsid w:val="007123F4"/>
    <w:rsid w:val="007126C2"/>
    <w:rsid w:val="00712749"/>
    <w:rsid w:val="007127D3"/>
    <w:rsid w:val="00712B9A"/>
    <w:rsid w:val="00712E66"/>
    <w:rsid w:val="00712ED9"/>
    <w:rsid w:val="00712FBF"/>
    <w:rsid w:val="0071340E"/>
    <w:rsid w:val="00713C96"/>
    <w:rsid w:val="00714499"/>
    <w:rsid w:val="007145F6"/>
    <w:rsid w:val="00714C5A"/>
    <w:rsid w:val="00714D01"/>
    <w:rsid w:val="0071521B"/>
    <w:rsid w:val="00715542"/>
    <w:rsid w:val="0071575E"/>
    <w:rsid w:val="00715E35"/>
    <w:rsid w:val="0071610C"/>
    <w:rsid w:val="007161F3"/>
    <w:rsid w:val="00716428"/>
    <w:rsid w:val="007164BF"/>
    <w:rsid w:val="0071668E"/>
    <w:rsid w:val="0071676C"/>
    <w:rsid w:val="00716CB2"/>
    <w:rsid w:val="00717239"/>
    <w:rsid w:val="00717ECB"/>
    <w:rsid w:val="00720401"/>
    <w:rsid w:val="00720438"/>
    <w:rsid w:val="007205FE"/>
    <w:rsid w:val="007209E7"/>
    <w:rsid w:val="00720A9F"/>
    <w:rsid w:val="00720B86"/>
    <w:rsid w:val="00720C4F"/>
    <w:rsid w:val="00720D44"/>
    <w:rsid w:val="00721282"/>
    <w:rsid w:val="007215AF"/>
    <w:rsid w:val="00721829"/>
    <w:rsid w:val="00721A3E"/>
    <w:rsid w:val="00722265"/>
    <w:rsid w:val="00722368"/>
    <w:rsid w:val="007226FB"/>
    <w:rsid w:val="00722A88"/>
    <w:rsid w:val="00722BD6"/>
    <w:rsid w:val="0072331B"/>
    <w:rsid w:val="0072362B"/>
    <w:rsid w:val="00723AA5"/>
    <w:rsid w:val="00723C38"/>
    <w:rsid w:val="00723E0C"/>
    <w:rsid w:val="00724153"/>
    <w:rsid w:val="00724191"/>
    <w:rsid w:val="0072461C"/>
    <w:rsid w:val="00724ADE"/>
    <w:rsid w:val="0072505A"/>
    <w:rsid w:val="0072554E"/>
    <w:rsid w:val="00725DBD"/>
    <w:rsid w:val="00726127"/>
    <w:rsid w:val="00726182"/>
    <w:rsid w:val="0072619A"/>
    <w:rsid w:val="0072646C"/>
    <w:rsid w:val="00726902"/>
    <w:rsid w:val="0072698D"/>
    <w:rsid w:val="00726C60"/>
    <w:rsid w:val="00726D4C"/>
    <w:rsid w:val="007271F9"/>
    <w:rsid w:val="00727635"/>
    <w:rsid w:val="00727942"/>
    <w:rsid w:val="00727C2C"/>
    <w:rsid w:val="0073008C"/>
    <w:rsid w:val="00730218"/>
    <w:rsid w:val="0073045C"/>
    <w:rsid w:val="007306BD"/>
    <w:rsid w:val="00730CEA"/>
    <w:rsid w:val="007316D5"/>
    <w:rsid w:val="007319FB"/>
    <w:rsid w:val="00731BF2"/>
    <w:rsid w:val="00731DD9"/>
    <w:rsid w:val="00731E11"/>
    <w:rsid w:val="00732329"/>
    <w:rsid w:val="007323F0"/>
    <w:rsid w:val="007328A6"/>
    <w:rsid w:val="00732B1C"/>
    <w:rsid w:val="00732BF2"/>
    <w:rsid w:val="007331CF"/>
    <w:rsid w:val="007337CA"/>
    <w:rsid w:val="0073449F"/>
    <w:rsid w:val="00734CE4"/>
    <w:rsid w:val="00735123"/>
    <w:rsid w:val="00735171"/>
    <w:rsid w:val="00735472"/>
    <w:rsid w:val="007358E1"/>
    <w:rsid w:val="00735E6B"/>
    <w:rsid w:val="00736048"/>
    <w:rsid w:val="00736563"/>
    <w:rsid w:val="0073658A"/>
    <w:rsid w:val="00736A20"/>
    <w:rsid w:val="00737259"/>
    <w:rsid w:val="007377D2"/>
    <w:rsid w:val="00737A97"/>
    <w:rsid w:val="00737E3E"/>
    <w:rsid w:val="007400C5"/>
    <w:rsid w:val="0074078C"/>
    <w:rsid w:val="007408E3"/>
    <w:rsid w:val="00740902"/>
    <w:rsid w:val="0074106C"/>
    <w:rsid w:val="007410C9"/>
    <w:rsid w:val="007411F0"/>
    <w:rsid w:val="0074121B"/>
    <w:rsid w:val="0074130C"/>
    <w:rsid w:val="007413E6"/>
    <w:rsid w:val="00741837"/>
    <w:rsid w:val="00741B4E"/>
    <w:rsid w:val="00741C08"/>
    <w:rsid w:val="00742DBF"/>
    <w:rsid w:val="00742F21"/>
    <w:rsid w:val="00742F81"/>
    <w:rsid w:val="007432E4"/>
    <w:rsid w:val="00743A75"/>
    <w:rsid w:val="007449E7"/>
    <w:rsid w:val="00744D20"/>
    <w:rsid w:val="00744F70"/>
    <w:rsid w:val="00745169"/>
    <w:rsid w:val="007453E6"/>
    <w:rsid w:val="00745511"/>
    <w:rsid w:val="00745B90"/>
    <w:rsid w:val="00745BD7"/>
    <w:rsid w:val="007460FA"/>
    <w:rsid w:val="007461A5"/>
    <w:rsid w:val="007467B9"/>
    <w:rsid w:val="00746FCA"/>
    <w:rsid w:val="007477D3"/>
    <w:rsid w:val="00747BA4"/>
    <w:rsid w:val="00747BF3"/>
    <w:rsid w:val="00747C6C"/>
    <w:rsid w:val="00750349"/>
    <w:rsid w:val="00750384"/>
    <w:rsid w:val="007505B8"/>
    <w:rsid w:val="00750CD2"/>
    <w:rsid w:val="00750FA9"/>
    <w:rsid w:val="007513E3"/>
    <w:rsid w:val="007514BC"/>
    <w:rsid w:val="007514D4"/>
    <w:rsid w:val="00751998"/>
    <w:rsid w:val="00751FF3"/>
    <w:rsid w:val="007522C5"/>
    <w:rsid w:val="0075251F"/>
    <w:rsid w:val="0075254D"/>
    <w:rsid w:val="00752E52"/>
    <w:rsid w:val="00753D62"/>
    <w:rsid w:val="00753EAA"/>
    <w:rsid w:val="00753ECF"/>
    <w:rsid w:val="00754802"/>
    <w:rsid w:val="00754853"/>
    <w:rsid w:val="007549E9"/>
    <w:rsid w:val="00755641"/>
    <w:rsid w:val="0075585C"/>
    <w:rsid w:val="00755A20"/>
    <w:rsid w:val="00756024"/>
    <w:rsid w:val="00756202"/>
    <w:rsid w:val="00756792"/>
    <w:rsid w:val="00756C3F"/>
    <w:rsid w:val="0075767B"/>
    <w:rsid w:val="00757695"/>
    <w:rsid w:val="00757B87"/>
    <w:rsid w:val="00760090"/>
    <w:rsid w:val="00760421"/>
    <w:rsid w:val="00760488"/>
    <w:rsid w:val="0076068B"/>
    <w:rsid w:val="00760921"/>
    <w:rsid w:val="00761B39"/>
    <w:rsid w:val="00762305"/>
    <w:rsid w:val="00762809"/>
    <w:rsid w:val="00763128"/>
    <w:rsid w:val="00763A30"/>
    <w:rsid w:val="00763B85"/>
    <w:rsid w:val="00763CB8"/>
    <w:rsid w:val="00763CF5"/>
    <w:rsid w:val="0076439C"/>
    <w:rsid w:val="00764717"/>
    <w:rsid w:val="0076492B"/>
    <w:rsid w:val="00764936"/>
    <w:rsid w:val="007652BF"/>
    <w:rsid w:val="0076558E"/>
    <w:rsid w:val="007658A1"/>
    <w:rsid w:val="00765CA2"/>
    <w:rsid w:val="00765F77"/>
    <w:rsid w:val="007660B6"/>
    <w:rsid w:val="007661FE"/>
    <w:rsid w:val="007663F8"/>
    <w:rsid w:val="0076642F"/>
    <w:rsid w:val="0076648C"/>
    <w:rsid w:val="007667A2"/>
    <w:rsid w:val="00767333"/>
    <w:rsid w:val="00767512"/>
    <w:rsid w:val="00767C39"/>
    <w:rsid w:val="00770DAC"/>
    <w:rsid w:val="007712DF"/>
    <w:rsid w:val="007717BF"/>
    <w:rsid w:val="00771A73"/>
    <w:rsid w:val="00771EF7"/>
    <w:rsid w:val="0077228F"/>
    <w:rsid w:val="0077232F"/>
    <w:rsid w:val="00772B4A"/>
    <w:rsid w:val="00772C56"/>
    <w:rsid w:val="00772DB5"/>
    <w:rsid w:val="00772E71"/>
    <w:rsid w:val="0077309D"/>
    <w:rsid w:val="007733DE"/>
    <w:rsid w:val="007733F7"/>
    <w:rsid w:val="00773E6E"/>
    <w:rsid w:val="0077402B"/>
    <w:rsid w:val="007746DE"/>
    <w:rsid w:val="00774737"/>
    <w:rsid w:val="00774811"/>
    <w:rsid w:val="007749DB"/>
    <w:rsid w:val="007750FF"/>
    <w:rsid w:val="007751F1"/>
    <w:rsid w:val="0077536F"/>
    <w:rsid w:val="0077548C"/>
    <w:rsid w:val="00775B98"/>
    <w:rsid w:val="00775BE8"/>
    <w:rsid w:val="00775D3F"/>
    <w:rsid w:val="00775DA3"/>
    <w:rsid w:val="007760E3"/>
    <w:rsid w:val="0077652C"/>
    <w:rsid w:val="00776686"/>
    <w:rsid w:val="0077684A"/>
    <w:rsid w:val="00776AA6"/>
    <w:rsid w:val="0077702B"/>
    <w:rsid w:val="007774EE"/>
    <w:rsid w:val="0077764A"/>
    <w:rsid w:val="007777E6"/>
    <w:rsid w:val="00777BAD"/>
    <w:rsid w:val="00777BE8"/>
    <w:rsid w:val="00777D7C"/>
    <w:rsid w:val="007800D6"/>
    <w:rsid w:val="007802BB"/>
    <w:rsid w:val="00780463"/>
    <w:rsid w:val="007804F2"/>
    <w:rsid w:val="007815FC"/>
    <w:rsid w:val="00781822"/>
    <w:rsid w:val="00781D52"/>
    <w:rsid w:val="007826B4"/>
    <w:rsid w:val="00782BDE"/>
    <w:rsid w:val="007835AE"/>
    <w:rsid w:val="00783B0C"/>
    <w:rsid w:val="00783F21"/>
    <w:rsid w:val="00784A05"/>
    <w:rsid w:val="007852C6"/>
    <w:rsid w:val="007852C9"/>
    <w:rsid w:val="007855F4"/>
    <w:rsid w:val="00785977"/>
    <w:rsid w:val="0078599E"/>
    <w:rsid w:val="00785ADB"/>
    <w:rsid w:val="007862C2"/>
    <w:rsid w:val="007862D4"/>
    <w:rsid w:val="0078634B"/>
    <w:rsid w:val="0078701B"/>
    <w:rsid w:val="00787159"/>
    <w:rsid w:val="007878AE"/>
    <w:rsid w:val="007879E1"/>
    <w:rsid w:val="0079043A"/>
    <w:rsid w:val="0079094B"/>
    <w:rsid w:val="00790B25"/>
    <w:rsid w:val="00791155"/>
    <w:rsid w:val="007913B9"/>
    <w:rsid w:val="0079162F"/>
    <w:rsid w:val="00791668"/>
    <w:rsid w:val="00791AA1"/>
    <w:rsid w:val="00791C46"/>
    <w:rsid w:val="00792036"/>
    <w:rsid w:val="00792439"/>
    <w:rsid w:val="00792C11"/>
    <w:rsid w:val="00792DE3"/>
    <w:rsid w:val="0079375C"/>
    <w:rsid w:val="00793A0D"/>
    <w:rsid w:val="00793BA6"/>
    <w:rsid w:val="00793C66"/>
    <w:rsid w:val="00793FA5"/>
    <w:rsid w:val="00794062"/>
    <w:rsid w:val="00794A31"/>
    <w:rsid w:val="00794D69"/>
    <w:rsid w:val="00794F74"/>
    <w:rsid w:val="007953A1"/>
    <w:rsid w:val="00795552"/>
    <w:rsid w:val="00795C9A"/>
    <w:rsid w:val="00795D87"/>
    <w:rsid w:val="00795E75"/>
    <w:rsid w:val="00795EB2"/>
    <w:rsid w:val="007966F7"/>
    <w:rsid w:val="00796D0A"/>
    <w:rsid w:val="007970AD"/>
    <w:rsid w:val="0079745E"/>
    <w:rsid w:val="0079778B"/>
    <w:rsid w:val="00797847"/>
    <w:rsid w:val="00797E90"/>
    <w:rsid w:val="00797E92"/>
    <w:rsid w:val="00797EEF"/>
    <w:rsid w:val="007A0232"/>
    <w:rsid w:val="007A0472"/>
    <w:rsid w:val="007A0797"/>
    <w:rsid w:val="007A0D83"/>
    <w:rsid w:val="007A1024"/>
    <w:rsid w:val="007A13A7"/>
    <w:rsid w:val="007A1677"/>
    <w:rsid w:val="007A1849"/>
    <w:rsid w:val="007A22D4"/>
    <w:rsid w:val="007A2626"/>
    <w:rsid w:val="007A2891"/>
    <w:rsid w:val="007A298B"/>
    <w:rsid w:val="007A2A64"/>
    <w:rsid w:val="007A2CF9"/>
    <w:rsid w:val="007A2D5A"/>
    <w:rsid w:val="007A2F5C"/>
    <w:rsid w:val="007A31C5"/>
    <w:rsid w:val="007A31D1"/>
    <w:rsid w:val="007A34EC"/>
    <w:rsid w:val="007A3793"/>
    <w:rsid w:val="007A37CC"/>
    <w:rsid w:val="007A383E"/>
    <w:rsid w:val="007A3933"/>
    <w:rsid w:val="007A4553"/>
    <w:rsid w:val="007A5094"/>
    <w:rsid w:val="007A50F6"/>
    <w:rsid w:val="007A51AD"/>
    <w:rsid w:val="007A5822"/>
    <w:rsid w:val="007A5C9E"/>
    <w:rsid w:val="007A609B"/>
    <w:rsid w:val="007A6288"/>
    <w:rsid w:val="007A65AC"/>
    <w:rsid w:val="007A6888"/>
    <w:rsid w:val="007A6B0F"/>
    <w:rsid w:val="007A6C27"/>
    <w:rsid w:val="007A6CA0"/>
    <w:rsid w:val="007A6D17"/>
    <w:rsid w:val="007A7008"/>
    <w:rsid w:val="007A76FA"/>
    <w:rsid w:val="007A7F8F"/>
    <w:rsid w:val="007B00D6"/>
    <w:rsid w:val="007B0574"/>
    <w:rsid w:val="007B0ACC"/>
    <w:rsid w:val="007B0EC6"/>
    <w:rsid w:val="007B0FFB"/>
    <w:rsid w:val="007B11FF"/>
    <w:rsid w:val="007B1673"/>
    <w:rsid w:val="007B18B8"/>
    <w:rsid w:val="007B1D05"/>
    <w:rsid w:val="007B2119"/>
    <w:rsid w:val="007B284B"/>
    <w:rsid w:val="007B28AC"/>
    <w:rsid w:val="007B2BBD"/>
    <w:rsid w:val="007B2BC0"/>
    <w:rsid w:val="007B332C"/>
    <w:rsid w:val="007B341A"/>
    <w:rsid w:val="007B3A97"/>
    <w:rsid w:val="007B3AE6"/>
    <w:rsid w:val="007B3C88"/>
    <w:rsid w:val="007B4289"/>
    <w:rsid w:val="007B4700"/>
    <w:rsid w:val="007B53FD"/>
    <w:rsid w:val="007B5769"/>
    <w:rsid w:val="007B5824"/>
    <w:rsid w:val="007B5853"/>
    <w:rsid w:val="007B5B30"/>
    <w:rsid w:val="007B6588"/>
    <w:rsid w:val="007B6899"/>
    <w:rsid w:val="007B6942"/>
    <w:rsid w:val="007B6CE2"/>
    <w:rsid w:val="007B71C2"/>
    <w:rsid w:val="007B730D"/>
    <w:rsid w:val="007B7651"/>
    <w:rsid w:val="007B7898"/>
    <w:rsid w:val="007B7970"/>
    <w:rsid w:val="007B7B4D"/>
    <w:rsid w:val="007B7D55"/>
    <w:rsid w:val="007C096E"/>
    <w:rsid w:val="007C0B64"/>
    <w:rsid w:val="007C1110"/>
    <w:rsid w:val="007C1434"/>
    <w:rsid w:val="007C1B78"/>
    <w:rsid w:val="007C1B99"/>
    <w:rsid w:val="007C1BA2"/>
    <w:rsid w:val="007C1DC5"/>
    <w:rsid w:val="007C23BC"/>
    <w:rsid w:val="007C2687"/>
    <w:rsid w:val="007C2B48"/>
    <w:rsid w:val="007C2C06"/>
    <w:rsid w:val="007C2D56"/>
    <w:rsid w:val="007C31C0"/>
    <w:rsid w:val="007C3B37"/>
    <w:rsid w:val="007C3BC7"/>
    <w:rsid w:val="007C400C"/>
    <w:rsid w:val="007C4259"/>
    <w:rsid w:val="007C42CE"/>
    <w:rsid w:val="007C47F8"/>
    <w:rsid w:val="007C49CC"/>
    <w:rsid w:val="007C4DCA"/>
    <w:rsid w:val="007C661E"/>
    <w:rsid w:val="007C66C1"/>
    <w:rsid w:val="007C6A50"/>
    <w:rsid w:val="007C6E90"/>
    <w:rsid w:val="007C7031"/>
    <w:rsid w:val="007C723D"/>
    <w:rsid w:val="007C73AE"/>
    <w:rsid w:val="007C7451"/>
    <w:rsid w:val="007D004B"/>
    <w:rsid w:val="007D0188"/>
    <w:rsid w:val="007D0C9A"/>
    <w:rsid w:val="007D20E9"/>
    <w:rsid w:val="007D2372"/>
    <w:rsid w:val="007D2668"/>
    <w:rsid w:val="007D2E4D"/>
    <w:rsid w:val="007D2F09"/>
    <w:rsid w:val="007D2FA7"/>
    <w:rsid w:val="007D3158"/>
    <w:rsid w:val="007D3170"/>
    <w:rsid w:val="007D3326"/>
    <w:rsid w:val="007D34CD"/>
    <w:rsid w:val="007D34F1"/>
    <w:rsid w:val="007D35FC"/>
    <w:rsid w:val="007D3E05"/>
    <w:rsid w:val="007D3E9D"/>
    <w:rsid w:val="007D3EEC"/>
    <w:rsid w:val="007D3F6C"/>
    <w:rsid w:val="007D465F"/>
    <w:rsid w:val="007D472E"/>
    <w:rsid w:val="007D474F"/>
    <w:rsid w:val="007D4B3D"/>
    <w:rsid w:val="007D4B92"/>
    <w:rsid w:val="007D4C90"/>
    <w:rsid w:val="007D4DCD"/>
    <w:rsid w:val="007D5086"/>
    <w:rsid w:val="007D51EE"/>
    <w:rsid w:val="007D54A2"/>
    <w:rsid w:val="007D5D48"/>
    <w:rsid w:val="007D62DC"/>
    <w:rsid w:val="007D690F"/>
    <w:rsid w:val="007D6CD9"/>
    <w:rsid w:val="007D71E2"/>
    <w:rsid w:val="007D7207"/>
    <w:rsid w:val="007D76BD"/>
    <w:rsid w:val="007D7839"/>
    <w:rsid w:val="007D7881"/>
    <w:rsid w:val="007D7C4C"/>
    <w:rsid w:val="007D7D2F"/>
    <w:rsid w:val="007D7E3A"/>
    <w:rsid w:val="007D7E3C"/>
    <w:rsid w:val="007E018C"/>
    <w:rsid w:val="007E0766"/>
    <w:rsid w:val="007E07CD"/>
    <w:rsid w:val="007E0C9D"/>
    <w:rsid w:val="007E0D47"/>
    <w:rsid w:val="007E0E10"/>
    <w:rsid w:val="007E0ED2"/>
    <w:rsid w:val="007E144C"/>
    <w:rsid w:val="007E1A21"/>
    <w:rsid w:val="007E1D47"/>
    <w:rsid w:val="007E22CA"/>
    <w:rsid w:val="007E2384"/>
    <w:rsid w:val="007E23D6"/>
    <w:rsid w:val="007E23FC"/>
    <w:rsid w:val="007E27ED"/>
    <w:rsid w:val="007E2EBD"/>
    <w:rsid w:val="007E2F49"/>
    <w:rsid w:val="007E3043"/>
    <w:rsid w:val="007E32E4"/>
    <w:rsid w:val="007E3C60"/>
    <w:rsid w:val="007E466E"/>
    <w:rsid w:val="007E4675"/>
    <w:rsid w:val="007E4768"/>
    <w:rsid w:val="007E4775"/>
    <w:rsid w:val="007E4977"/>
    <w:rsid w:val="007E4FC9"/>
    <w:rsid w:val="007E5180"/>
    <w:rsid w:val="007E5647"/>
    <w:rsid w:val="007E575F"/>
    <w:rsid w:val="007E5A73"/>
    <w:rsid w:val="007E5BA0"/>
    <w:rsid w:val="007E5E3E"/>
    <w:rsid w:val="007E65BE"/>
    <w:rsid w:val="007E6649"/>
    <w:rsid w:val="007E6737"/>
    <w:rsid w:val="007E69AF"/>
    <w:rsid w:val="007E71E8"/>
    <w:rsid w:val="007E777B"/>
    <w:rsid w:val="007E7B48"/>
    <w:rsid w:val="007F0139"/>
    <w:rsid w:val="007F039B"/>
    <w:rsid w:val="007F0D0D"/>
    <w:rsid w:val="007F1001"/>
    <w:rsid w:val="007F1305"/>
    <w:rsid w:val="007F173C"/>
    <w:rsid w:val="007F1EB0"/>
    <w:rsid w:val="007F1F84"/>
    <w:rsid w:val="007F2070"/>
    <w:rsid w:val="007F269B"/>
    <w:rsid w:val="007F27C4"/>
    <w:rsid w:val="007F294C"/>
    <w:rsid w:val="007F2A6E"/>
    <w:rsid w:val="007F2D1E"/>
    <w:rsid w:val="007F330D"/>
    <w:rsid w:val="007F33DF"/>
    <w:rsid w:val="007F3BD0"/>
    <w:rsid w:val="007F44C0"/>
    <w:rsid w:val="007F45E5"/>
    <w:rsid w:val="007F4DBC"/>
    <w:rsid w:val="007F504D"/>
    <w:rsid w:val="007F54B9"/>
    <w:rsid w:val="007F5889"/>
    <w:rsid w:val="007F5DD7"/>
    <w:rsid w:val="007F5DDD"/>
    <w:rsid w:val="007F6436"/>
    <w:rsid w:val="007F6C5A"/>
    <w:rsid w:val="007F6C6A"/>
    <w:rsid w:val="007F6D2E"/>
    <w:rsid w:val="007F6E4C"/>
    <w:rsid w:val="007F7279"/>
    <w:rsid w:val="007F7EBC"/>
    <w:rsid w:val="0080006D"/>
    <w:rsid w:val="0080015D"/>
    <w:rsid w:val="008005C2"/>
    <w:rsid w:val="008005EC"/>
    <w:rsid w:val="00800857"/>
    <w:rsid w:val="008010B3"/>
    <w:rsid w:val="0080146F"/>
    <w:rsid w:val="00801A15"/>
    <w:rsid w:val="00801ECE"/>
    <w:rsid w:val="008022DA"/>
    <w:rsid w:val="0080269E"/>
    <w:rsid w:val="00802908"/>
    <w:rsid w:val="008029A0"/>
    <w:rsid w:val="00802C9D"/>
    <w:rsid w:val="00803027"/>
    <w:rsid w:val="008030D2"/>
    <w:rsid w:val="0080392B"/>
    <w:rsid w:val="00803E8D"/>
    <w:rsid w:val="00804441"/>
    <w:rsid w:val="008044BB"/>
    <w:rsid w:val="0080489F"/>
    <w:rsid w:val="00804A68"/>
    <w:rsid w:val="00804A6D"/>
    <w:rsid w:val="00804C26"/>
    <w:rsid w:val="00804E0D"/>
    <w:rsid w:val="008052CA"/>
    <w:rsid w:val="008053F5"/>
    <w:rsid w:val="00805425"/>
    <w:rsid w:val="008055B8"/>
    <w:rsid w:val="00805C15"/>
    <w:rsid w:val="008060CD"/>
    <w:rsid w:val="00806278"/>
    <w:rsid w:val="0080628E"/>
    <w:rsid w:val="0080654E"/>
    <w:rsid w:val="0080673B"/>
    <w:rsid w:val="00806A53"/>
    <w:rsid w:val="008070BF"/>
    <w:rsid w:val="008071A9"/>
    <w:rsid w:val="00807212"/>
    <w:rsid w:val="0080725F"/>
    <w:rsid w:val="0080749D"/>
    <w:rsid w:val="008076F4"/>
    <w:rsid w:val="00807AF7"/>
    <w:rsid w:val="00807B50"/>
    <w:rsid w:val="00807F77"/>
    <w:rsid w:val="00810198"/>
    <w:rsid w:val="00810249"/>
    <w:rsid w:val="0081026E"/>
    <w:rsid w:val="00810399"/>
    <w:rsid w:val="00810A75"/>
    <w:rsid w:val="00810BC5"/>
    <w:rsid w:val="0081136B"/>
    <w:rsid w:val="00811553"/>
    <w:rsid w:val="008115CD"/>
    <w:rsid w:val="008115DF"/>
    <w:rsid w:val="0081168E"/>
    <w:rsid w:val="00811A3C"/>
    <w:rsid w:val="008120B2"/>
    <w:rsid w:val="0081232C"/>
    <w:rsid w:val="00812706"/>
    <w:rsid w:val="0081274F"/>
    <w:rsid w:val="00812753"/>
    <w:rsid w:val="008129D3"/>
    <w:rsid w:val="008129E1"/>
    <w:rsid w:val="00813538"/>
    <w:rsid w:val="008139C2"/>
    <w:rsid w:val="00813AB3"/>
    <w:rsid w:val="00813FF8"/>
    <w:rsid w:val="008140CE"/>
    <w:rsid w:val="00814128"/>
    <w:rsid w:val="008141B7"/>
    <w:rsid w:val="0081433F"/>
    <w:rsid w:val="00814895"/>
    <w:rsid w:val="00814958"/>
    <w:rsid w:val="00814BB3"/>
    <w:rsid w:val="00814C71"/>
    <w:rsid w:val="00814EBF"/>
    <w:rsid w:val="00814FA6"/>
    <w:rsid w:val="008151F2"/>
    <w:rsid w:val="008152F6"/>
    <w:rsid w:val="008157E4"/>
    <w:rsid w:val="0081581D"/>
    <w:rsid w:val="008158E3"/>
    <w:rsid w:val="00815AFD"/>
    <w:rsid w:val="00815CF8"/>
    <w:rsid w:val="00815DA8"/>
    <w:rsid w:val="0081617B"/>
    <w:rsid w:val="0081662C"/>
    <w:rsid w:val="008168F0"/>
    <w:rsid w:val="008172DA"/>
    <w:rsid w:val="008176F9"/>
    <w:rsid w:val="0081794E"/>
    <w:rsid w:val="00817B4B"/>
    <w:rsid w:val="00817D56"/>
    <w:rsid w:val="00820213"/>
    <w:rsid w:val="0082028A"/>
    <w:rsid w:val="00820694"/>
    <w:rsid w:val="00820A81"/>
    <w:rsid w:val="00820C0A"/>
    <w:rsid w:val="00820CA0"/>
    <w:rsid w:val="00821070"/>
    <w:rsid w:val="0082194D"/>
    <w:rsid w:val="00821BEB"/>
    <w:rsid w:val="00821ED9"/>
    <w:rsid w:val="008221F9"/>
    <w:rsid w:val="008225EA"/>
    <w:rsid w:val="00822E54"/>
    <w:rsid w:val="008231E8"/>
    <w:rsid w:val="0082332E"/>
    <w:rsid w:val="0082334F"/>
    <w:rsid w:val="00823CB6"/>
    <w:rsid w:val="00823D1F"/>
    <w:rsid w:val="008242D6"/>
    <w:rsid w:val="00824934"/>
    <w:rsid w:val="00824E4B"/>
    <w:rsid w:val="00825000"/>
    <w:rsid w:val="00825129"/>
    <w:rsid w:val="008252FB"/>
    <w:rsid w:val="008254D1"/>
    <w:rsid w:val="00825AE7"/>
    <w:rsid w:val="00825F16"/>
    <w:rsid w:val="00825F64"/>
    <w:rsid w:val="00826268"/>
    <w:rsid w:val="0082688D"/>
    <w:rsid w:val="008269A0"/>
    <w:rsid w:val="00826B07"/>
    <w:rsid w:val="00826EF5"/>
    <w:rsid w:val="00826EF8"/>
    <w:rsid w:val="00826F14"/>
    <w:rsid w:val="0082705D"/>
    <w:rsid w:val="008271C3"/>
    <w:rsid w:val="008273B0"/>
    <w:rsid w:val="00827894"/>
    <w:rsid w:val="00827F55"/>
    <w:rsid w:val="008304DD"/>
    <w:rsid w:val="008309CC"/>
    <w:rsid w:val="00830CA6"/>
    <w:rsid w:val="00830DD3"/>
    <w:rsid w:val="00830F45"/>
    <w:rsid w:val="0083152B"/>
    <w:rsid w:val="00831693"/>
    <w:rsid w:val="00831BEB"/>
    <w:rsid w:val="00831CBD"/>
    <w:rsid w:val="0083220E"/>
    <w:rsid w:val="008322EC"/>
    <w:rsid w:val="00832AA7"/>
    <w:rsid w:val="00832BB0"/>
    <w:rsid w:val="00833858"/>
    <w:rsid w:val="00833A05"/>
    <w:rsid w:val="00833A3F"/>
    <w:rsid w:val="00833D13"/>
    <w:rsid w:val="00833DB5"/>
    <w:rsid w:val="00833FF2"/>
    <w:rsid w:val="00834045"/>
    <w:rsid w:val="008342A3"/>
    <w:rsid w:val="008343D2"/>
    <w:rsid w:val="008347FF"/>
    <w:rsid w:val="008349B0"/>
    <w:rsid w:val="00834D7C"/>
    <w:rsid w:val="00835068"/>
    <w:rsid w:val="008353ED"/>
    <w:rsid w:val="008354E1"/>
    <w:rsid w:val="00835506"/>
    <w:rsid w:val="00835788"/>
    <w:rsid w:val="0083584A"/>
    <w:rsid w:val="0083584F"/>
    <w:rsid w:val="00835957"/>
    <w:rsid w:val="00835B4E"/>
    <w:rsid w:val="00835F0B"/>
    <w:rsid w:val="008364F0"/>
    <w:rsid w:val="00836BAE"/>
    <w:rsid w:val="008374AD"/>
    <w:rsid w:val="00837600"/>
    <w:rsid w:val="00837895"/>
    <w:rsid w:val="00837B7A"/>
    <w:rsid w:val="00840104"/>
    <w:rsid w:val="008402C5"/>
    <w:rsid w:val="00840A97"/>
    <w:rsid w:val="00840BBF"/>
    <w:rsid w:val="00840C1F"/>
    <w:rsid w:val="0084117F"/>
    <w:rsid w:val="00841362"/>
    <w:rsid w:val="0084161F"/>
    <w:rsid w:val="00841942"/>
    <w:rsid w:val="00841CCD"/>
    <w:rsid w:val="00841FC5"/>
    <w:rsid w:val="008423EB"/>
    <w:rsid w:val="008433FF"/>
    <w:rsid w:val="008435ED"/>
    <w:rsid w:val="00843A20"/>
    <w:rsid w:val="00843BB6"/>
    <w:rsid w:val="00843D19"/>
    <w:rsid w:val="00843EAB"/>
    <w:rsid w:val="00843F16"/>
    <w:rsid w:val="0084429A"/>
    <w:rsid w:val="0084454D"/>
    <w:rsid w:val="0084458C"/>
    <w:rsid w:val="0084464E"/>
    <w:rsid w:val="00844968"/>
    <w:rsid w:val="00844F21"/>
    <w:rsid w:val="008452A3"/>
    <w:rsid w:val="008452F0"/>
    <w:rsid w:val="0084545E"/>
    <w:rsid w:val="00845709"/>
    <w:rsid w:val="00845817"/>
    <w:rsid w:val="00845B11"/>
    <w:rsid w:val="008460FB"/>
    <w:rsid w:val="00846163"/>
    <w:rsid w:val="0084647F"/>
    <w:rsid w:val="008465D6"/>
    <w:rsid w:val="00846B4C"/>
    <w:rsid w:val="008474B8"/>
    <w:rsid w:val="008475EA"/>
    <w:rsid w:val="00847C5C"/>
    <w:rsid w:val="008500DF"/>
    <w:rsid w:val="00850932"/>
    <w:rsid w:val="008509F0"/>
    <w:rsid w:val="00850A63"/>
    <w:rsid w:val="00850B0B"/>
    <w:rsid w:val="00850C79"/>
    <w:rsid w:val="00850DD1"/>
    <w:rsid w:val="00850E0F"/>
    <w:rsid w:val="008510D1"/>
    <w:rsid w:val="008515E3"/>
    <w:rsid w:val="008516B2"/>
    <w:rsid w:val="00851D9E"/>
    <w:rsid w:val="00851DCE"/>
    <w:rsid w:val="00852121"/>
    <w:rsid w:val="0085276D"/>
    <w:rsid w:val="00852AD2"/>
    <w:rsid w:val="00852D06"/>
    <w:rsid w:val="00852E54"/>
    <w:rsid w:val="00852EFE"/>
    <w:rsid w:val="00853064"/>
    <w:rsid w:val="0085318C"/>
    <w:rsid w:val="00853845"/>
    <w:rsid w:val="00854051"/>
    <w:rsid w:val="008543AE"/>
    <w:rsid w:val="00854619"/>
    <w:rsid w:val="00854AD5"/>
    <w:rsid w:val="008556F1"/>
    <w:rsid w:val="00855A0F"/>
    <w:rsid w:val="00855A7A"/>
    <w:rsid w:val="00855D17"/>
    <w:rsid w:val="008560C0"/>
    <w:rsid w:val="00856129"/>
    <w:rsid w:val="008561EF"/>
    <w:rsid w:val="00856395"/>
    <w:rsid w:val="0085680B"/>
    <w:rsid w:val="00856B9B"/>
    <w:rsid w:val="00856B9C"/>
    <w:rsid w:val="00856C45"/>
    <w:rsid w:val="00856DB8"/>
    <w:rsid w:val="00856E6E"/>
    <w:rsid w:val="00856E78"/>
    <w:rsid w:val="00856FB1"/>
    <w:rsid w:val="00857546"/>
    <w:rsid w:val="008576BD"/>
    <w:rsid w:val="008600EC"/>
    <w:rsid w:val="00860285"/>
    <w:rsid w:val="008603E8"/>
    <w:rsid w:val="00860463"/>
    <w:rsid w:val="00860AF3"/>
    <w:rsid w:val="00860BC6"/>
    <w:rsid w:val="008613CD"/>
    <w:rsid w:val="00861887"/>
    <w:rsid w:val="00861B14"/>
    <w:rsid w:val="00861D1D"/>
    <w:rsid w:val="0086211F"/>
    <w:rsid w:val="008623CB"/>
    <w:rsid w:val="008624E6"/>
    <w:rsid w:val="008627D3"/>
    <w:rsid w:val="00862CB9"/>
    <w:rsid w:val="00863992"/>
    <w:rsid w:val="00864219"/>
    <w:rsid w:val="00864EBC"/>
    <w:rsid w:val="0086523B"/>
    <w:rsid w:val="008653E9"/>
    <w:rsid w:val="00865428"/>
    <w:rsid w:val="0086544F"/>
    <w:rsid w:val="00865574"/>
    <w:rsid w:val="0086570B"/>
    <w:rsid w:val="00865C42"/>
    <w:rsid w:val="008660EB"/>
    <w:rsid w:val="00866831"/>
    <w:rsid w:val="008669E3"/>
    <w:rsid w:val="00866BDE"/>
    <w:rsid w:val="00866C88"/>
    <w:rsid w:val="00866ED0"/>
    <w:rsid w:val="0086703B"/>
    <w:rsid w:val="008670B8"/>
    <w:rsid w:val="00867672"/>
    <w:rsid w:val="00867ADD"/>
    <w:rsid w:val="00867EAE"/>
    <w:rsid w:val="008701B6"/>
    <w:rsid w:val="008703B7"/>
    <w:rsid w:val="008707D9"/>
    <w:rsid w:val="00870C4F"/>
    <w:rsid w:val="00870EA3"/>
    <w:rsid w:val="008711B0"/>
    <w:rsid w:val="008712B8"/>
    <w:rsid w:val="00871756"/>
    <w:rsid w:val="00871AC3"/>
    <w:rsid w:val="00871EEA"/>
    <w:rsid w:val="008725A9"/>
    <w:rsid w:val="008728C3"/>
    <w:rsid w:val="0087312E"/>
    <w:rsid w:val="008733DA"/>
    <w:rsid w:val="00873675"/>
    <w:rsid w:val="00873973"/>
    <w:rsid w:val="00873A0F"/>
    <w:rsid w:val="00873A76"/>
    <w:rsid w:val="00874A1A"/>
    <w:rsid w:val="00874EB1"/>
    <w:rsid w:val="00875CBA"/>
    <w:rsid w:val="008768CE"/>
    <w:rsid w:val="00876A42"/>
    <w:rsid w:val="00876E02"/>
    <w:rsid w:val="00876E04"/>
    <w:rsid w:val="00877012"/>
    <w:rsid w:val="00877146"/>
    <w:rsid w:val="00877160"/>
    <w:rsid w:val="00877814"/>
    <w:rsid w:val="00877B70"/>
    <w:rsid w:val="0088095B"/>
    <w:rsid w:val="00880B14"/>
    <w:rsid w:val="00880C10"/>
    <w:rsid w:val="00880CD5"/>
    <w:rsid w:val="00880DC1"/>
    <w:rsid w:val="0088129F"/>
    <w:rsid w:val="00881F76"/>
    <w:rsid w:val="0088297E"/>
    <w:rsid w:val="00882C29"/>
    <w:rsid w:val="0088324D"/>
    <w:rsid w:val="00883293"/>
    <w:rsid w:val="0088355B"/>
    <w:rsid w:val="008835D8"/>
    <w:rsid w:val="00883719"/>
    <w:rsid w:val="00884741"/>
    <w:rsid w:val="008847BD"/>
    <w:rsid w:val="00884A16"/>
    <w:rsid w:val="00884EEC"/>
    <w:rsid w:val="008850E4"/>
    <w:rsid w:val="00885285"/>
    <w:rsid w:val="008852AD"/>
    <w:rsid w:val="0088561F"/>
    <w:rsid w:val="0088566D"/>
    <w:rsid w:val="00885FC7"/>
    <w:rsid w:val="008862EF"/>
    <w:rsid w:val="008863EE"/>
    <w:rsid w:val="00886A42"/>
    <w:rsid w:val="00886E59"/>
    <w:rsid w:val="00886ED0"/>
    <w:rsid w:val="00886F4D"/>
    <w:rsid w:val="00887192"/>
    <w:rsid w:val="008871A1"/>
    <w:rsid w:val="00887E0C"/>
    <w:rsid w:val="00887FFB"/>
    <w:rsid w:val="00890286"/>
    <w:rsid w:val="008904A3"/>
    <w:rsid w:val="0089073E"/>
    <w:rsid w:val="008907DA"/>
    <w:rsid w:val="00890C39"/>
    <w:rsid w:val="00890E33"/>
    <w:rsid w:val="00891207"/>
    <w:rsid w:val="008913B8"/>
    <w:rsid w:val="008916A9"/>
    <w:rsid w:val="00891AA7"/>
    <w:rsid w:val="00891C38"/>
    <w:rsid w:val="00891DC6"/>
    <w:rsid w:val="00891EF4"/>
    <w:rsid w:val="008921FC"/>
    <w:rsid w:val="0089281B"/>
    <w:rsid w:val="00892832"/>
    <w:rsid w:val="00892AD8"/>
    <w:rsid w:val="00892B18"/>
    <w:rsid w:val="00892FCB"/>
    <w:rsid w:val="00893470"/>
    <w:rsid w:val="008937F3"/>
    <w:rsid w:val="008939AB"/>
    <w:rsid w:val="008940B9"/>
    <w:rsid w:val="00894B22"/>
    <w:rsid w:val="008956F5"/>
    <w:rsid w:val="00895B6C"/>
    <w:rsid w:val="00895EEF"/>
    <w:rsid w:val="00896588"/>
    <w:rsid w:val="008966C7"/>
    <w:rsid w:val="00896DB9"/>
    <w:rsid w:val="00897492"/>
    <w:rsid w:val="00897AE4"/>
    <w:rsid w:val="008A0072"/>
    <w:rsid w:val="008A0074"/>
    <w:rsid w:val="008A03EA"/>
    <w:rsid w:val="008A05D3"/>
    <w:rsid w:val="008A0648"/>
    <w:rsid w:val="008A067E"/>
    <w:rsid w:val="008A07E9"/>
    <w:rsid w:val="008A12C4"/>
    <w:rsid w:val="008A12F5"/>
    <w:rsid w:val="008A13B4"/>
    <w:rsid w:val="008A13F8"/>
    <w:rsid w:val="008A1FAF"/>
    <w:rsid w:val="008A29E3"/>
    <w:rsid w:val="008A2B0D"/>
    <w:rsid w:val="008A2C67"/>
    <w:rsid w:val="008A2D8F"/>
    <w:rsid w:val="008A34D5"/>
    <w:rsid w:val="008A3579"/>
    <w:rsid w:val="008A376B"/>
    <w:rsid w:val="008A3BD3"/>
    <w:rsid w:val="008A439C"/>
    <w:rsid w:val="008A44AB"/>
    <w:rsid w:val="008A44D6"/>
    <w:rsid w:val="008A486D"/>
    <w:rsid w:val="008A4B00"/>
    <w:rsid w:val="008A5953"/>
    <w:rsid w:val="008A6346"/>
    <w:rsid w:val="008A68B7"/>
    <w:rsid w:val="008A69B9"/>
    <w:rsid w:val="008A6C96"/>
    <w:rsid w:val="008A6CD3"/>
    <w:rsid w:val="008A70DE"/>
    <w:rsid w:val="008A7C5E"/>
    <w:rsid w:val="008A7C82"/>
    <w:rsid w:val="008B00C5"/>
    <w:rsid w:val="008B0373"/>
    <w:rsid w:val="008B08AE"/>
    <w:rsid w:val="008B08D8"/>
    <w:rsid w:val="008B0B64"/>
    <w:rsid w:val="008B0DD4"/>
    <w:rsid w:val="008B0E05"/>
    <w:rsid w:val="008B0F91"/>
    <w:rsid w:val="008B1587"/>
    <w:rsid w:val="008B1B01"/>
    <w:rsid w:val="008B2768"/>
    <w:rsid w:val="008B2772"/>
    <w:rsid w:val="008B2AF8"/>
    <w:rsid w:val="008B2D10"/>
    <w:rsid w:val="008B2D3A"/>
    <w:rsid w:val="008B2E0D"/>
    <w:rsid w:val="008B2FAF"/>
    <w:rsid w:val="008B304F"/>
    <w:rsid w:val="008B3191"/>
    <w:rsid w:val="008B3431"/>
    <w:rsid w:val="008B3BCD"/>
    <w:rsid w:val="008B3ECC"/>
    <w:rsid w:val="008B45B5"/>
    <w:rsid w:val="008B494B"/>
    <w:rsid w:val="008B4DAA"/>
    <w:rsid w:val="008B4FAC"/>
    <w:rsid w:val="008B5814"/>
    <w:rsid w:val="008B5A92"/>
    <w:rsid w:val="008B60C3"/>
    <w:rsid w:val="008B614C"/>
    <w:rsid w:val="008B614E"/>
    <w:rsid w:val="008B619A"/>
    <w:rsid w:val="008B6571"/>
    <w:rsid w:val="008B678B"/>
    <w:rsid w:val="008B6DF8"/>
    <w:rsid w:val="008B704B"/>
    <w:rsid w:val="008B7238"/>
    <w:rsid w:val="008B7637"/>
    <w:rsid w:val="008B7960"/>
    <w:rsid w:val="008B7BF5"/>
    <w:rsid w:val="008B7C30"/>
    <w:rsid w:val="008B7C32"/>
    <w:rsid w:val="008B7FB6"/>
    <w:rsid w:val="008C038A"/>
    <w:rsid w:val="008C053D"/>
    <w:rsid w:val="008C0657"/>
    <w:rsid w:val="008C092A"/>
    <w:rsid w:val="008C0957"/>
    <w:rsid w:val="008C0A2E"/>
    <w:rsid w:val="008C0A32"/>
    <w:rsid w:val="008C0FF0"/>
    <w:rsid w:val="008C106C"/>
    <w:rsid w:val="008C10F1"/>
    <w:rsid w:val="008C143C"/>
    <w:rsid w:val="008C1926"/>
    <w:rsid w:val="008C1D78"/>
    <w:rsid w:val="008C1E99"/>
    <w:rsid w:val="008C1F03"/>
    <w:rsid w:val="008C222B"/>
    <w:rsid w:val="008C263E"/>
    <w:rsid w:val="008C2B0F"/>
    <w:rsid w:val="008C2F7A"/>
    <w:rsid w:val="008C314A"/>
    <w:rsid w:val="008C31DC"/>
    <w:rsid w:val="008C3526"/>
    <w:rsid w:val="008C39A3"/>
    <w:rsid w:val="008C39D0"/>
    <w:rsid w:val="008C42C7"/>
    <w:rsid w:val="008C4425"/>
    <w:rsid w:val="008C497D"/>
    <w:rsid w:val="008C4A8A"/>
    <w:rsid w:val="008C4D1E"/>
    <w:rsid w:val="008C5123"/>
    <w:rsid w:val="008C5BFE"/>
    <w:rsid w:val="008C624D"/>
    <w:rsid w:val="008C6279"/>
    <w:rsid w:val="008C6814"/>
    <w:rsid w:val="008C7C28"/>
    <w:rsid w:val="008C7FF9"/>
    <w:rsid w:val="008D010F"/>
    <w:rsid w:val="008D0315"/>
    <w:rsid w:val="008D039F"/>
    <w:rsid w:val="008D0BB1"/>
    <w:rsid w:val="008D108C"/>
    <w:rsid w:val="008D10E9"/>
    <w:rsid w:val="008D1213"/>
    <w:rsid w:val="008D12E4"/>
    <w:rsid w:val="008D16C4"/>
    <w:rsid w:val="008D23FA"/>
    <w:rsid w:val="008D27AA"/>
    <w:rsid w:val="008D281A"/>
    <w:rsid w:val="008D2997"/>
    <w:rsid w:val="008D2A4B"/>
    <w:rsid w:val="008D3583"/>
    <w:rsid w:val="008D3FB8"/>
    <w:rsid w:val="008D4442"/>
    <w:rsid w:val="008D45E2"/>
    <w:rsid w:val="008D4620"/>
    <w:rsid w:val="008D4DC4"/>
    <w:rsid w:val="008D4EE6"/>
    <w:rsid w:val="008D4FCD"/>
    <w:rsid w:val="008D520D"/>
    <w:rsid w:val="008D5300"/>
    <w:rsid w:val="008D5988"/>
    <w:rsid w:val="008D5A15"/>
    <w:rsid w:val="008D5F5D"/>
    <w:rsid w:val="008D62EB"/>
    <w:rsid w:val="008D663B"/>
    <w:rsid w:val="008D66AE"/>
    <w:rsid w:val="008D6F03"/>
    <w:rsid w:val="008D73F7"/>
    <w:rsid w:val="008D772C"/>
    <w:rsid w:val="008D7879"/>
    <w:rsid w:val="008E0085"/>
    <w:rsid w:val="008E00E5"/>
    <w:rsid w:val="008E00F9"/>
    <w:rsid w:val="008E0492"/>
    <w:rsid w:val="008E065A"/>
    <w:rsid w:val="008E0DA1"/>
    <w:rsid w:val="008E0DAE"/>
    <w:rsid w:val="008E1129"/>
    <w:rsid w:val="008E12E5"/>
    <w:rsid w:val="008E178B"/>
    <w:rsid w:val="008E1AC3"/>
    <w:rsid w:val="008E1B26"/>
    <w:rsid w:val="008E1DC1"/>
    <w:rsid w:val="008E238F"/>
    <w:rsid w:val="008E2680"/>
    <w:rsid w:val="008E2908"/>
    <w:rsid w:val="008E2AA6"/>
    <w:rsid w:val="008E2B93"/>
    <w:rsid w:val="008E2DC5"/>
    <w:rsid w:val="008E311B"/>
    <w:rsid w:val="008E321B"/>
    <w:rsid w:val="008E34DA"/>
    <w:rsid w:val="008E4059"/>
    <w:rsid w:val="008E42E7"/>
    <w:rsid w:val="008E4940"/>
    <w:rsid w:val="008E49CE"/>
    <w:rsid w:val="008E4A1A"/>
    <w:rsid w:val="008E4CDC"/>
    <w:rsid w:val="008E4E8D"/>
    <w:rsid w:val="008E5598"/>
    <w:rsid w:val="008E561B"/>
    <w:rsid w:val="008E5A57"/>
    <w:rsid w:val="008E5E94"/>
    <w:rsid w:val="008E63DE"/>
    <w:rsid w:val="008E6B47"/>
    <w:rsid w:val="008E6E05"/>
    <w:rsid w:val="008E701D"/>
    <w:rsid w:val="008E7F0D"/>
    <w:rsid w:val="008F0286"/>
    <w:rsid w:val="008F0434"/>
    <w:rsid w:val="008F0767"/>
    <w:rsid w:val="008F0B66"/>
    <w:rsid w:val="008F0BC5"/>
    <w:rsid w:val="008F167E"/>
    <w:rsid w:val="008F194D"/>
    <w:rsid w:val="008F1E9A"/>
    <w:rsid w:val="008F208F"/>
    <w:rsid w:val="008F2172"/>
    <w:rsid w:val="008F2877"/>
    <w:rsid w:val="008F29E8"/>
    <w:rsid w:val="008F3317"/>
    <w:rsid w:val="008F3405"/>
    <w:rsid w:val="008F36D0"/>
    <w:rsid w:val="008F3B17"/>
    <w:rsid w:val="008F3C7A"/>
    <w:rsid w:val="008F3CE6"/>
    <w:rsid w:val="008F3F0B"/>
    <w:rsid w:val="008F4117"/>
    <w:rsid w:val="008F43A5"/>
    <w:rsid w:val="008F453B"/>
    <w:rsid w:val="008F46E7"/>
    <w:rsid w:val="008F4E9E"/>
    <w:rsid w:val="008F4EAE"/>
    <w:rsid w:val="008F516C"/>
    <w:rsid w:val="008F54FE"/>
    <w:rsid w:val="008F550C"/>
    <w:rsid w:val="008F5DC4"/>
    <w:rsid w:val="008F5E36"/>
    <w:rsid w:val="008F5EDC"/>
    <w:rsid w:val="008F5FDF"/>
    <w:rsid w:val="008F6707"/>
    <w:rsid w:val="008F6F0B"/>
    <w:rsid w:val="008F7325"/>
    <w:rsid w:val="008F74F7"/>
    <w:rsid w:val="008F78EA"/>
    <w:rsid w:val="008F7DEB"/>
    <w:rsid w:val="008F7E21"/>
    <w:rsid w:val="00900191"/>
    <w:rsid w:val="0090039C"/>
    <w:rsid w:val="00900A59"/>
    <w:rsid w:val="00900A9D"/>
    <w:rsid w:val="00900C1A"/>
    <w:rsid w:val="00900CBE"/>
    <w:rsid w:val="009011B7"/>
    <w:rsid w:val="00901F0D"/>
    <w:rsid w:val="00901FD3"/>
    <w:rsid w:val="00902916"/>
    <w:rsid w:val="00902EBD"/>
    <w:rsid w:val="00903067"/>
    <w:rsid w:val="009033BE"/>
    <w:rsid w:val="00903E1D"/>
    <w:rsid w:val="00904247"/>
    <w:rsid w:val="009042DB"/>
    <w:rsid w:val="009044DC"/>
    <w:rsid w:val="009045EA"/>
    <w:rsid w:val="009046E4"/>
    <w:rsid w:val="00904E87"/>
    <w:rsid w:val="00905219"/>
    <w:rsid w:val="00905820"/>
    <w:rsid w:val="00905D88"/>
    <w:rsid w:val="0090606D"/>
    <w:rsid w:val="009061E7"/>
    <w:rsid w:val="009068C1"/>
    <w:rsid w:val="00906D8D"/>
    <w:rsid w:val="009070A9"/>
    <w:rsid w:val="0090717E"/>
    <w:rsid w:val="009071E7"/>
    <w:rsid w:val="00907BA7"/>
    <w:rsid w:val="00907E8C"/>
    <w:rsid w:val="00910009"/>
    <w:rsid w:val="009100E7"/>
    <w:rsid w:val="009101D7"/>
    <w:rsid w:val="0091064E"/>
    <w:rsid w:val="00910A82"/>
    <w:rsid w:val="00910C8A"/>
    <w:rsid w:val="009111F3"/>
    <w:rsid w:val="00911243"/>
    <w:rsid w:val="009116A2"/>
    <w:rsid w:val="00911B11"/>
    <w:rsid w:val="00911B99"/>
    <w:rsid w:val="00911C00"/>
    <w:rsid w:val="00911E52"/>
    <w:rsid w:val="00911FC5"/>
    <w:rsid w:val="0091230A"/>
    <w:rsid w:val="009124CF"/>
    <w:rsid w:val="00913597"/>
    <w:rsid w:val="00913DB4"/>
    <w:rsid w:val="0091402D"/>
    <w:rsid w:val="0091408D"/>
    <w:rsid w:val="00914111"/>
    <w:rsid w:val="0091436D"/>
    <w:rsid w:val="0091464A"/>
    <w:rsid w:val="00914A7E"/>
    <w:rsid w:val="00914D4B"/>
    <w:rsid w:val="00914F8D"/>
    <w:rsid w:val="00915354"/>
    <w:rsid w:val="009157E9"/>
    <w:rsid w:val="009159DA"/>
    <w:rsid w:val="009159F2"/>
    <w:rsid w:val="00915C1F"/>
    <w:rsid w:val="00915DEA"/>
    <w:rsid w:val="00915E91"/>
    <w:rsid w:val="009163CC"/>
    <w:rsid w:val="009167B3"/>
    <w:rsid w:val="00916C06"/>
    <w:rsid w:val="00916FCC"/>
    <w:rsid w:val="00917041"/>
    <w:rsid w:val="009172B3"/>
    <w:rsid w:val="00917B9C"/>
    <w:rsid w:val="00920063"/>
    <w:rsid w:val="0092053F"/>
    <w:rsid w:val="009209CE"/>
    <w:rsid w:val="00920A64"/>
    <w:rsid w:val="00920BCD"/>
    <w:rsid w:val="00920E01"/>
    <w:rsid w:val="00921907"/>
    <w:rsid w:val="0092240B"/>
    <w:rsid w:val="00922470"/>
    <w:rsid w:val="0092247B"/>
    <w:rsid w:val="0092294F"/>
    <w:rsid w:val="009236B1"/>
    <w:rsid w:val="009236E9"/>
    <w:rsid w:val="00923C13"/>
    <w:rsid w:val="009246CC"/>
    <w:rsid w:val="00924AC8"/>
    <w:rsid w:val="00924B07"/>
    <w:rsid w:val="00924DAF"/>
    <w:rsid w:val="009251E1"/>
    <w:rsid w:val="00925472"/>
    <w:rsid w:val="009258FA"/>
    <w:rsid w:val="00925958"/>
    <w:rsid w:val="00925DA1"/>
    <w:rsid w:val="00926040"/>
    <w:rsid w:val="00926181"/>
    <w:rsid w:val="0092624F"/>
    <w:rsid w:val="0092663B"/>
    <w:rsid w:val="00926646"/>
    <w:rsid w:val="0092668E"/>
    <w:rsid w:val="0092695B"/>
    <w:rsid w:val="009269F1"/>
    <w:rsid w:val="00926E03"/>
    <w:rsid w:val="009273C5"/>
    <w:rsid w:val="009273EE"/>
    <w:rsid w:val="0092761B"/>
    <w:rsid w:val="0093011D"/>
    <w:rsid w:val="00930549"/>
    <w:rsid w:val="00930A44"/>
    <w:rsid w:val="00930DD5"/>
    <w:rsid w:val="009310AF"/>
    <w:rsid w:val="009318D0"/>
    <w:rsid w:val="009318ED"/>
    <w:rsid w:val="00931A10"/>
    <w:rsid w:val="009322BA"/>
    <w:rsid w:val="00932310"/>
    <w:rsid w:val="009324F8"/>
    <w:rsid w:val="0093276C"/>
    <w:rsid w:val="00932EFC"/>
    <w:rsid w:val="009335AA"/>
    <w:rsid w:val="00933A6E"/>
    <w:rsid w:val="00933BE1"/>
    <w:rsid w:val="00933C5E"/>
    <w:rsid w:val="00933C67"/>
    <w:rsid w:val="009346C9"/>
    <w:rsid w:val="00935156"/>
    <w:rsid w:val="009356EE"/>
    <w:rsid w:val="00935C00"/>
    <w:rsid w:val="009364D0"/>
    <w:rsid w:val="009368D0"/>
    <w:rsid w:val="00936CF0"/>
    <w:rsid w:val="00937287"/>
    <w:rsid w:val="0093745D"/>
    <w:rsid w:val="00937F7B"/>
    <w:rsid w:val="0094003E"/>
    <w:rsid w:val="00940473"/>
    <w:rsid w:val="009409C6"/>
    <w:rsid w:val="009409D7"/>
    <w:rsid w:val="00940A0B"/>
    <w:rsid w:val="00940C62"/>
    <w:rsid w:val="009412D8"/>
    <w:rsid w:val="009412F9"/>
    <w:rsid w:val="009416B2"/>
    <w:rsid w:val="009418E5"/>
    <w:rsid w:val="00941E60"/>
    <w:rsid w:val="0094228A"/>
    <w:rsid w:val="009423D8"/>
    <w:rsid w:val="00942575"/>
    <w:rsid w:val="00942F93"/>
    <w:rsid w:val="009430A5"/>
    <w:rsid w:val="009434B7"/>
    <w:rsid w:val="0094395D"/>
    <w:rsid w:val="00943A78"/>
    <w:rsid w:val="00943DBD"/>
    <w:rsid w:val="009442AF"/>
    <w:rsid w:val="00944381"/>
    <w:rsid w:val="0094441F"/>
    <w:rsid w:val="0094473D"/>
    <w:rsid w:val="00944A6D"/>
    <w:rsid w:val="00945422"/>
    <w:rsid w:val="00945BD0"/>
    <w:rsid w:val="00945F15"/>
    <w:rsid w:val="00945F7B"/>
    <w:rsid w:val="009461A9"/>
    <w:rsid w:val="009467AD"/>
    <w:rsid w:val="009469DB"/>
    <w:rsid w:val="00946C63"/>
    <w:rsid w:val="00946DE7"/>
    <w:rsid w:val="00947226"/>
    <w:rsid w:val="00947409"/>
    <w:rsid w:val="009474C4"/>
    <w:rsid w:val="009475C2"/>
    <w:rsid w:val="00947941"/>
    <w:rsid w:val="00947967"/>
    <w:rsid w:val="00947F7F"/>
    <w:rsid w:val="009502F5"/>
    <w:rsid w:val="0095092D"/>
    <w:rsid w:val="009513A4"/>
    <w:rsid w:val="0095149D"/>
    <w:rsid w:val="009518F5"/>
    <w:rsid w:val="00952555"/>
    <w:rsid w:val="00953091"/>
    <w:rsid w:val="009531ED"/>
    <w:rsid w:val="009533A4"/>
    <w:rsid w:val="0095340E"/>
    <w:rsid w:val="0095397A"/>
    <w:rsid w:val="00953D96"/>
    <w:rsid w:val="00953ECB"/>
    <w:rsid w:val="00954399"/>
    <w:rsid w:val="009547C4"/>
    <w:rsid w:val="00954A65"/>
    <w:rsid w:val="00955201"/>
    <w:rsid w:val="009552BE"/>
    <w:rsid w:val="009558FD"/>
    <w:rsid w:val="0095602B"/>
    <w:rsid w:val="00956631"/>
    <w:rsid w:val="00956730"/>
    <w:rsid w:val="00956B58"/>
    <w:rsid w:val="00956C5A"/>
    <w:rsid w:val="00956CF1"/>
    <w:rsid w:val="00957041"/>
    <w:rsid w:val="009570B9"/>
    <w:rsid w:val="009575CC"/>
    <w:rsid w:val="00957A57"/>
    <w:rsid w:val="00957F06"/>
    <w:rsid w:val="009603CA"/>
    <w:rsid w:val="00960440"/>
    <w:rsid w:val="00960B51"/>
    <w:rsid w:val="0096104B"/>
    <w:rsid w:val="009618AD"/>
    <w:rsid w:val="0096205E"/>
    <w:rsid w:val="00962239"/>
    <w:rsid w:val="00962BAF"/>
    <w:rsid w:val="00963587"/>
    <w:rsid w:val="00963940"/>
    <w:rsid w:val="00963BC1"/>
    <w:rsid w:val="00964121"/>
    <w:rsid w:val="009644C0"/>
    <w:rsid w:val="00964E87"/>
    <w:rsid w:val="009651EF"/>
    <w:rsid w:val="00965200"/>
    <w:rsid w:val="00965201"/>
    <w:rsid w:val="00965377"/>
    <w:rsid w:val="0096547E"/>
    <w:rsid w:val="00965630"/>
    <w:rsid w:val="009662DA"/>
    <w:rsid w:val="0096641D"/>
    <w:rsid w:val="009668B3"/>
    <w:rsid w:val="00966D36"/>
    <w:rsid w:val="00966F49"/>
    <w:rsid w:val="0096755A"/>
    <w:rsid w:val="0096778B"/>
    <w:rsid w:val="00967877"/>
    <w:rsid w:val="0096789C"/>
    <w:rsid w:val="00967984"/>
    <w:rsid w:val="00967A46"/>
    <w:rsid w:val="00967E61"/>
    <w:rsid w:val="00967EA3"/>
    <w:rsid w:val="00970097"/>
    <w:rsid w:val="009709CE"/>
    <w:rsid w:val="00970B17"/>
    <w:rsid w:val="00970B55"/>
    <w:rsid w:val="00970DCE"/>
    <w:rsid w:val="00971471"/>
    <w:rsid w:val="00971493"/>
    <w:rsid w:val="009714B4"/>
    <w:rsid w:val="00971779"/>
    <w:rsid w:val="00971BE2"/>
    <w:rsid w:val="00971C73"/>
    <w:rsid w:val="00971F23"/>
    <w:rsid w:val="00972702"/>
    <w:rsid w:val="009728FB"/>
    <w:rsid w:val="00972A83"/>
    <w:rsid w:val="0097315D"/>
    <w:rsid w:val="00973573"/>
    <w:rsid w:val="00973971"/>
    <w:rsid w:val="00973D3F"/>
    <w:rsid w:val="00973FB2"/>
    <w:rsid w:val="00973FF7"/>
    <w:rsid w:val="009740D1"/>
    <w:rsid w:val="009746CD"/>
    <w:rsid w:val="00974B27"/>
    <w:rsid w:val="00975039"/>
    <w:rsid w:val="00975996"/>
    <w:rsid w:val="00975BAB"/>
    <w:rsid w:val="00976122"/>
    <w:rsid w:val="0097616F"/>
    <w:rsid w:val="0097653A"/>
    <w:rsid w:val="009766AB"/>
    <w:rsid w:val="00976C49"/>
    <w:rsid w:val="00976DEE"/>
    <w:rsid w:val="0097704F"/>
    <w:rsid w:val="0097724B"/>
    <w:rsid w:val="0097755F"/>
    <w:rsid w:val="009776E8"/>
    <w:rsid w:val="00977A8C"/>
    <w:rsid w:val="00977EF1"/>
    <w:rsid w:val="00980031"/>
    <w:rsid w:val="009800F3"/>
    <w:rsid w:val="00980184"/>
    <w:rsid w:val="0098093C"/>
    <w:rsid w:val="00980F63"/>
    <w:rsid w:val="0098101D"/>
    <w:rsid w:val="0098158A"/>
    <w:rsid w:val="00981959"/>
    <w:rsid w:val="009819A8"/>
    <w:rsid w:val="00981D29"/>
    <w:rsid w:val="00982178"/>
    <w:rsid w:val="009823BC"/>
    <w:rsid w:val="009824E4"/>
    <w:rsid w:val="00982A4C"/>
    <w:rsid w:val="00982E67"/>
    <w:rsid w:val="00982F87"/>
    <w:rsid w:val="009833BE"/>
    <w:rsid w:val="009837AA"/>
    <w:rsid w:val="00983AE5"/>
    <w:rsid w:val="00983EAF"/>
    <w:rsid w:val="00983ED3"/>
    <w:rsid w:val="00983F06"/>
    <w:rsid w:val="0098422A"/>
    <w:rsid w:val="00984387"/>
    <w:rsid w:val="009849C2"/>
    <w:rsid w:val="00984A54"/>
    <w:rsid w:val="00984D24"/>
    <w:rsid w:val="00985000"/>
    <w:rsid w:val="009850C7"/>
    <w:rsid w:val="009858EB"/>
    <w:rsid w:val="00985B12"/>
    <w:rsid w:val="00985B6C"/>
    <w:rsid w:val="00985BBD"/>
    <w:rsid w:val="00985F2B"/>
    <w:rsid w:val="00986348"/>
    <w:rsid w:val="0098639E"/>
    <w:rsid w:val="0098688E"/>
    <w:rsid w:val="00986F39"/>
    <w:rsid w:val="00987420"/>
    <w:rsid w:val="0098790D"/>
    <w:rsid w:val="00987B2E"/>
    <w:rsid w:val="00990284"/>
    <w:rsid w:val="00990291"/>
    <w:rsid w:val="009905A1"/>
    <w:rsid w:val="009905B1"/>
    <w:rsid w:val="009909B0"/>
    <w:rsid w:val="009913DF"/>
    <w:rsid w:val="00991649"/>
    <w:rsid w:val="00991764"/>
    <w:rsid w:val="0099191E"/>
    <w:rsid w:val="00991A3D"/>
    <w:rsid w:val="00991AA3"/>
    <w:rsid w:val="00991D48"/>
    <w:rsid w:val="009920CF"/>
    <w:rsid w:val="009923B2"/>
    <w:rsid w:val="00992550"/>
    <w:rsid w:val="00992C2C"/>
    <w:rsid w:val="00992F3C"/>
    <w:rsid w:val="0099369C"/>
    <w:rsid w:val="0099395D"/>
    <w:rsid w:val="00994264"/>
    <w:rsid w:val="00994325"/>
    <w:rsid w:val="009944DD"/>
    <w:rsid w:val="00995B8B"/>
    <w:rsid w:val="00995D27"/>
    <w:rsid w:val="00995E43"/>
    <w:rsid w:val="009960BF"/>
    <w:rsid w:val="0099617B"/>
    <w:rsid w:val="009962B2"/>
    <w:rsid w:val="00996380"/>
    <w:rsid w:val="0099652A"/>
    <w:rsid w:val="0099653E"/>
    <w:rsid w:val="0099658C"/>
    <w:rsid w:val="00996598"/>
    <w:rsid w:val="009965BE"/>
    <w:rsid w:val="00996B02"/>
    <w:rsid w:val="00997228"/>
    <w:rsid w:val="00997750"/>
    <w:rsid w:val="00997827"/>
    <w:rsid w:val="00997DD5"/>
    <w:rsid w:val="009A04FF"/>
    <w:rsid w:val="009A09E7"/>
    <w:rsid w:val="009A0B36"/>
    <w:rsid w:val="009A0E49"/>
    <w:rsid w:val="009A19FB"/>
    <w:rsid w:val="009A1A05"/>
    <w:rsid w:val="009A1AAB"/>
    <w:rsid w:val="009A1EDB"/>
    <w:rsid w:val="009A2722"/>
    <w:rsid w:val="009A2DD0"/>
    <w:rsid w:val="009A3129"/>
    <w:rsid w:val="009A3698"/>
    <w:rsid w:val="009A394B"/>
    <w:rsid w:val="009A3E53"/>
    <w:rsid w:val="009A3F47"/>
    <w:rsid w:val="009A3F9D"/>
    <w:rsid w:val="009A42AD"/>
    <w:rsid w:val="009A4346"/>
    <w:rsid w:val="009A447C"/>
    <w:rsid w:val="009A5096"/>
    <w:rsid w:val="009A5750"/>
    <w:rsid w:val="009A5BAD"/>
    <w:rsid w:val="009A634D"/>
    <w:rsid w:val="009A65B4"/>
    <w:rsid w:val="009A65D3"/>
    <w:rsid w:val="009A683D"/>
    <w:rsid w:val="009A6DC4"/>
    <w:rsid w:val="009A7248"/>
    <w:rsid w:val="009B0046"/>
    <w:rsid w:val="009B074C"/>
    <w:rsid w:val="009B07C8"/>
    <w:rsid w:val="009B1112"/>
    <w:rsid w:val="009B1D4A"/>
    <w:rsid w:val="009B1D51"/>
    <w:rsid w:val="009B29D7"/>
    <w:rsid w:val="009B2A9D"/>
    <w:rsid w:val="009B316B"/>
    <w:rsid w:val="009B321F"/>
    <w:rsid w:val="009B358E"/>
    <w:rsid w:val="009B3668"/>
    <w:rsid w:val="009B4279"/>
    <w:rsid w:val="009B4626"/>
    <w:rsid w:val="009B48B6"/>
    <w:rsid w:val="009B4B29"/>
    <w:rsid w:val="009B54AB"/>
    <w:rsid w:val="009B5852"/>
    <w:rsid w:val="009B5AEC"/>
    <w:rsid w:val="009B5B0C"/>
    <w:rsid w:val="009B68E9"/>
    <w:rsid w:val="009B6B21"/>
    <w:rsid w:val="009B71E2"/>
    <w:rsid w:val="009B7310"/>
    <w:rsid w:val="009B7B9C"/>
    <w:rsid w:val="009C07CD"/>
    <w:rsid w:val="009C0C53"/>
    <w:rsid w:val="009C0D59"/>
    <w:rsid w:val="009C1440"/>
    <w:rsid w:val="009C174F"/>
    <w:rsid w:val="009C2048"/>
    <w:rsid w:val="009C20A5"/>
    <w:rsid w:val="009C2107"/>
    <w:rsid w:val="009C2714"/>
    <w:rsid w:val="009C29FD"/>
    <w:rsid w:val="009C2AF4"/>
    <w:rsid w:val="009C2DE8"/>
    <w:rsid w:val="009C32E2"/>
    <w:rsid w:val="009C3AAF"/>
    <w:rsid w:val="009C3BCD"/>
    <w:rsid w:val="009C3F61"/>
    <w:rsid w:val="009C436E"/>
    <w:rsid w:val="009C4448"/>
    <w:rsid w:val="009C49C6"/>
    <w:rsid w:val="009C4A75"/>
    <w:rsid w:val="009C4D23"/>
    <w:rsid w:val="009C4FBA"/>
    <w:rsid w:val="009C53DD"/>
    <w:rsid w:val="009C5B93"/>
    <w:rsid w:val="009C5D9E"/>
    <w:rsid w:val="009C5FA6"/>
    <w:rsid w:val="009C640F"/>
    <w:rsid w:val="009C6E6C"/>
    <w:rsid w:val="009C6E7D"/>
    <w:rsid w:val="009C717A"/>
    <w:rsid w:val="009C76B5"/>
    <w:rsid w:val="009C77DB"/>
    <w:rsid w:val="009C77F0"/>
    <w:rsid w:val="009C7B44"/>
    <w:rsid w:val="009C7C93"/>
    <w:rsid w:val="009C7DA2"/>
    <w:rsid w:val="009C7E03"/>
    <w:rsid w:val="009D0129"/>
    <w:rsid w:val="009D05C2"/>
    <w:rsid w:val="009D063D"/>
    <w:rsid w:val="009D0A19"/>
    <w:rsid w:val="009D0B1A"/>
    <w:rsid w:val="009D0BF3"/>
    <w:rsid w:val="009D0CD1"/>
    <w:rsid w:val="009D0F68"/>
    <w:rsid w:val="009D0F93"/>
    <w:rsid w:val="009D1169"/>
    <w:rsid w:val="009D12C3"/>
    <w:rsid w:val="009D1388"/>
    <w:rsid w:val="009D1966"/>
    <w:rsid w:val="009D1CDF"/>
    <w:rsid w:val="009D1FFE"/>
    <w:rsid w:val="009D20F0"/>
    <w:rsid w:val="009D223D"/>
    <w:rsid w:val="009D26EF"/>
    <w:rsid w:val="009D281D"/>
    <w:rsid w:val="009D2A87"/>
    <w:rsid w:val="009D2C3E"/>
    <w:rsid w:val="009D2CB0"/>
    <w:rsid w:val="009D312F"/>
    <w:rsid w:val="009D37D6"/>
    <w:rsid w:val="009D3951"/>
    <w:rsid w:val="009D451D"/>
    <w:rsid w:val="009D48DB"/>
    <w:rsid w:val="009D49D7"/>
    <w:rsid w:val="009D4A07"/>
    <w:rsid w:val="009D516C"/>
    <w:rsid w:val="009D53F3"/>
    <w:rsid w:val="009D5935"/>
    <w:rsid w:val="009D5C66"/>
    <w:rsid w:val="009D5FD5"/>
    <w:rsid w:val="009D68DB"/>
    <w:rsid w:val="009D6D58"/>
    <w:rsid w:val="009D7023"/>
    <w:rsid w:val="009D7111"/>
    <w:rsid w:val="009D72EC"/>
    <w:rsid w:val="009D7364"/>
    <w:rsid w:val="009D7515"/>
    <w:rsid w:val="009D75B8"/>
    <w:rsid w:val="009D7903"/>
    <w:rsid w:val="009D7C71"/>
    <w:rsid w:val="009E02A6"/>
    <w:rsid w:val="009E0625"/>
    <w:rsid w:val="009E073C"/>
    <w:rsid w:val="009E0BED"/>
    <w:rsid w:val="009E0D11"/>
    <w:rsid w:val="009E18C0"/>
    <w:rsid w:val="009E1985"/>
    <w:rsid w:val="009E1F8C"/>
    <w:rsid w:val="009E21A1"/>
    <w:rsid w:val="009E22A9"/>
    <w:rsid w:val="009E24A3"/>
    <w:rsid w:val="009E27A9"/>
    <w:rsid w:val="009E27E2"/>
    <w:rsid w:val="009E2C27"/>
    <w:rsid w:val="009E2D70"/>
    <w:rsid w:val="009E2DB5"/>
    <w:rsid w:val="009E2E81"/>
    <w:rsid w:val="009E3034"/>
    <w:rsid w:val="009E3909"/>
    <w:rsid w:val="009E3BC5"/>
    <w:rsid w:val="009E4077"/>
    <w:rsid w:val="009E4214"/>
    <w:rsid w:val="009E452B"/>
    <w:rsid w:val="009E4703"/>
    <w:rsid w:val="009E4997"/>
    <w:rsid w:val="009E4BA8"/>
    <w:rsid w:val="009E4CF2"/>
    <w:rsid w:val="009E549F"/>
    <w:rsid w:val="009E5CB9"/>
    <w:rsid w:val="009E5D16"/>
    <w:rsid w:val="009E60C8"/>
    <w:rsid w:val="009E612D"/>
    <w:rsid w:val="009E61A3"/>
    <w:rsid w:val="009E6217"/>
    <w:rsid w:val="009E642E"/>
    <w:rsid w:val="009E66D1"/>
    <w:rsid w:val="009E6997"/>
    <w:rsid w:val="009E6B3F"/>
    <w:rsid w:val="009E6CE8"/>
    <w:rsid w:val="009E6DEF"/>
    <w:rsid w:val="009E6E1A"/>
    <w:rsid w:val="009E7838"/>
    <w:rsid w:val="009E7A4A"/>
    <w:rsid w:val="009F021C"/>
    <w:rsid w:val="009F0311"/>
    <w:rsid w:val="009F074B"/>
    <w:rsid w:val="009F1B09"/>
    <w:rsid w:val="009F1F76"/>
    <w:rsid w:val="009F20AE"/>
    <w:rsid w:val="009F2339"/>
    <w:rsid w:val="009F28A8"/>
    <w:rsid w:val="009F2904"/>
    <w:rsid w:val="009F2973"/>
    <w:rsid w:val="009F2E69"/>
    <w:rsid w:val="009F2F4A"/>
    <w:rsid w:val="009F361B"/>
    <w:rsid w:val="009F36A5"/>
    <w:rsid w:val="009F414F"/>
    <w:rsid w:val="009F4497"/>
    <w:rsid w:val="009F464B"/>
    <w:rsid w:val="009F473E"/>
    <w:rsid w:val="009F48D6"/>
    <w:rsid w:val="009F4A7E"/>
    <w:rsid w:val="009F4CC3"/>
    <w:rsid w:val="009F4E97"/>
    <w:rsid w:val="009F516D"/>
    <w:rsid w:val="009F59D1"/>
    <w:rsid w:val="009F5CC8"/>
    <w:rsid w:val="009F6098"/>
    <w:rsid w:val="009F6337"/>
    <w:rsid w:val="009F6575"/>
    <w:rsid w:val="009F672A"/>
    <w:rsid w:val="009F682A"/>
    <w:rsid w:val="009F68BC"/>
    <w:rsid w:val="009F7A6F"/>
    <w:rsid w:val="009F7E2F"/>
    <w:rsid w:val="00A0062A"/>
    <w:rsid w:val="00A008AE"/>
    <w:rsid w:val="00A00A7E"/>
    <w:rsid w:val="00A00CBD"/>
    <w:rsid w:val="00A00D41"/>
    <w:rsid w:val="00A00E6E"/>
    <w:rsid w:val="00A011DC"/>
    <w:rsid w:val="00A01339"/>
    <w:rsid w:val="00A01C93"/>
    <w:rsid w:val="00A01E84"/>
    <w:rsid w:val="00A01EC6"/>
    <w:rsid w:val="00A0216D"/>
    <w:rsid w:val="00A02195"/>
    <w:rsid w:val="00A022BE"/>
    <w:rsid w:val="00A023BD"/>
    <w:rsid w:val="00A024EC"/>
    <w:rsid w:val="00A02695"/>
    <w:rsid w:val="00A02857"/>
    <w:rsid w:val="00A0288A"/>
    <w:rsid w:val="00A029D8"/>
    <w:rsid w:val="00A02CCD"/>
    <w:rsid w:val="00A03030"/>
    <w:rsid w:val="00A03A12"/>
    <w:rsid w:val="00A03BD6"/>
    <w:rsid w:val="00A03CC0"/>
    <w:rsid w:val="00A03F1B"/>
    <w:rsid w:val="00A04201"/>
    <w:rsid w:val="00A0453A"/>
    <w:rsid w:val="00A058AF"/>
    <w:rsid w:val="00A058E8"/>
    <w:rsid w:val="00A05994"/>
    <w:rsid w:val="00A05FCA"/>
    <w:rsid w:val="00A06102"/>
    <w:rsid w:val="00A065C3"/>
    <w:rsid w:val="00A06CD5"/>
    <w:rsid w:val="00A06DE5"/>
    <w:rsid w:val="00A078D9"/>
    <w:rsid w:val="00A07B4B"/>
    <w:rsid w:val="00A07BB8"/>
    <w:rsid w:val="00A07CE0"/>
    <w:rsid w:val="00A07EE6"/>
    <w:rsid w:val="00A07FAF"/>
    <w:rsid w:val="00A100F0"/>
    <w:rsid w:val="00A1034C"/>
    <w:rsid w:val="00A10733"/>
    <w:rsid w:val="00A1075B"/>
    <w:rsid w:val="00A109B6"/>
    <w:rsid w:val="00A10A3D"/>
    <w:rsid w:val="00A1107D"/>
    <w:rsid w:val="00A11226"/>
    <w:rsid w:val="00A11A7B"/>
    <w:rsid w:val="00A126E7"/>
    <w:rsid w:val="00A12A1B"/>
    <w:rsid w:val="00A12BAC"/>
    <w:rsid w:val="00A12C23"/>
    <w:rsid w:val="00A12C72"/>
    <w:rsid w:val="00A13515"/>
    <w:rsid w:val="00A13549"/>
    <w:rsid w:val="00A13647"/>
    <w:rsid w:val="00A13799"/>
    <w:rsid w:val="00A13BBE"/>
    <w:rsid w:val="00A1410A"/>
    <w:rsid w:val="00A145C3"/>
    <w:rsid w:val="00A145F5"/>
    <w:rsid w:val="00A1474F"/>
    <w:rsid w:val="00A14DAD"/>
    <w:rsid w:val="00A157E4"/>
    <w:rsid w:val="00A15896"/>
    <w:rsid w:val="00A160EA"/>
    <w:rsid w:val="00A16102"/>
    <w:rsid w:val="00A1668D"/>
    <w:rsid w:val="00A17582"/>
    <w:rsid w:val="00A17733"/>
    <w:rsid w:val="00A17960"/>
    <w:rsid w:val="00A17D5F"/>
    <w:rsid w:val="00A21338"/>
    <w:rsid w:val="00A21755"/>
    <w:rsid w:val="00A2185F"/>
    <w:rsid w:val="00A21A5D"/>
    <w:rsid w:val="00A21AE2"/>
    <w:rsid w:val="00A2205B"/>
    <w:rsid w:val="00A22223"/>
    <w:rsid w:val="00A22725"/>
    <w:rsid w:val="00A22901"/>
    <w:rsid w:val="00A230E4"/>
    <w:rsid w:val="00A23507"/>
    <w:rsid w:val="00A23765"/>
    <w:rsid w:val="00A23BEF"/>
    <w:rsid w:val="00A23C48"/>
    <w:rsid w:val="00A241BC"/>
    <w:rsid w:val="00A2474B"/>
    <w:rsid w:val="00A24B98"/>
    <w:rsid w:val="00A24B9C"/>
    <w:rsid w:val="00A24C95"/>
    <w:rsid w:val="00A24F5A"/>
    <w:rsid w:val="00A254E3"/>
    <w:rsid w:val="00A25685"/>
    <w:rsid w:val="00A2599A"/>
    <w:rsid w:val="00A2601D"/>
    <w:rsid w:val="00A26094"/>
    <w:rsid w:val="00A26236"/>
    <w:rsid w:val="00A266CE"/>
    <w:rsid w:val="00A26881"/>
    <w:rsid w:val="00A26B14"/>
    <w:rsid w:val="00A26D06"/>
    <w:rsid w:val="00A27157"/>
    <w:rsid w:val="00A2767D"/>
    <w:rsid w:val="00A300C9"/>
    <w:rsid w:val="00A301BF"/>
    <w:rsid w:val="00A302B2"/>
    <w:rsid w:val="00A30319"/>
    <w:rsid w:val="00A3075E"/>
    <w:rsid w:val="00A30792"/>
    <w:rsid w:val="00A30A4A"/>
    <w:rsid w:val="00A30C3E"/>
    <w:rsid w:val="00A30F2A"/>
    <w:rsid w:val="00A30F46"/>
    <w:rsid w:val="00A31822"/>
    <w:rsid w:val="00A31A3D"/>
    <w:rsid w:val="00A31B90"/>
    <w:rsid w:val="00A31BF9"/>
    <w:rsid w:val="00A31C39"/>
    <w:rsid w:val="00A31CDF"/>
    <w:rsid w:val="00A32044"/>
    <w:rsid w:val="00A3264C"/>
    <w:rsid w:val="00A32AB9"/>
    <w:rsid w:val="00A331B4"/>
    <w:rsid w:val="00A33C1D"/>
    <w:rsid w:val="00A33CDA"/>
    <w:rsid w:val="00A34040"/>
    <w:rsid w:val="00A3454C"/>
    <w:rsid w:val="00A34721"/>
    <w:rsid w:val="00A3484E"/>
    <w:rsid w:val="00A34BAE"/>
    <w:rsid w:val="00A34C21"/>
    <w:rsid w:val="00A34E88"/>
    <w:rsid w:val="00A34F86"/>
    <w:rsid w:val="00A354FF"/>
    <w:rsid w:val="00A35577"/>
    <w:rsid w:val="00A355C3"/>
    <w:rsid w:val="00A356D3"/>
    <w:rsid w:val="00A35AB6"/>
    <w:rsid w:val="00A35EDF"/>
    <w:rsid w:val="00A3636D"/>
    <w:rsid w:val="00A3679D"/>
    <w:rsid w:val="00A36AD7"/>
    <w:rsid w:val="00A36ADA"/>
    <w:rsid w:val="00A36B5A"/>
    <w:rsid w:val="00A3705D"/>
    <w:rsid w:val="00A375CB"/>
    <w:rsid w:val="00A3795D"/>
    <w:rsid w:val="00A37A64"/>
    <w:rsid w:val="00A37D9D"/>
    <w:rsid w:val="00A37E9C"/>
    <w:rsid w:val="00A4013F"/>
    <w:rsid w:val="00A407FE"/>
    <w:rsid w:val="00A409BD"/>
    <w:rsid w:val="00A40A90"/>
    <w:rsid w:val="00A41463"/>
    <w:rsid w:val="00A414B4"/>
    <w:rsid w:val="00A415AF"/>
    <w:rsid w:val="00A421CD"/>
    <w:rsid w:val="00A4236A"/>
    <w:rsid w:val="00A42DA4"/>
    <w:rsid w:val="00A4305E"/>
    <w:rsid w:val="00A430A8"/>
    <w:rsid w:val="00A4345A"/>
    <w:rsid w:val="00A43733"/>
    <w:rsid w:val="00A438D8"/>
    <w:rsid w:val="00A43A42"/>
    <w:rsid w:val="00A43C9C"/>
    <w:rsid w:val="00A43FF3"/>
    <w:rsid w:val="00A4407D"/>
    <w:rsid w:val="00A4411A"/>
    <w:rsid w:val="00A446AE"/>
    <w:rsid w:val="00A446F9"/>
    <w:rsid w:val="00A44950"/>
    <w:rsid w:val="00A44D2A"/>
    <w:rsid w:val="00A4505E"/>
    <w:rsid w:val="00A455AE"/>
    <w:rsid w:val="00A45758"/>
    <w:rsid w:val="00A461EE"/>
    <w:rsid w:val="00A4625E"/>
    <w:rsid w:val="00A46454"/>
    <w:rsid w:val="00A468A9"/>
    <w:rsid w:val="00A46D39"/>
    <w:rsid w:val="00A472FF"/>
    <w:rsid w:val="00A473D3"/>
    <w:rsid w:val="00A473F5"/>
    <w:rsid w:val="00A47B2E"/>
    <w:rsid w:val="00A47C10"/>
    <w:rsid w:val="00A50029"/>
    <w:rsid w:val="00A5030D"/>
    <w:rsid w:val="00A5043C"/>
    <w:rsid w:val="00A50906"/>
    <w:rsid w:val="00A50A42"/>
    <w:rsid w:val="00A50EE0"/>
    <w:rsid w:val="00A51068"/>
    <w:rsid w:val="00A517BE"/>
    <w:rsid w:val="00A51C84"/>
    <w:rsid w:val="00A51F15"/>
    <w:rsid w:val="00A51F9D"/>
    <w:rsid w:val="00A521B2"/>
    <w:rsid w:val="00A527CE"/>
    <w:rsid w:val="00A530B9"/>
    <w:rsid w:val="00A5324A"/>
    <w:rsid w:val="00A53369"/>
    <w:rsid w:val="00A539E4"/>
    <w:rsid w:val="00A53A83"/>
    <w:rsid w:val="00A53E4E"/>
    <w:rsid w:val="00A53F07"/>
    <w:rsid w:val="00A53F30"/>
    <w:rsid w:val="00A53FA1"/>
    <w:rsid w:val="00A5416A"/>
    <w:rsid w:val="00A5432F"/>
    <w:rsid w:val="00A544EC"/>
    <w:rsid w:val="00A54510"/>
    <w:rsid w:val="00A54856"/>
    <w:rsid w:val="00A54C32"/>
    <w:rsid w:val="00A55188"/>
    <w:rsid w:val="00A553A8"/>
    <w:rsid w:val="00A555F0"/>
    <w:rsid w:val="00A5595F"/>
    <w:rsid w:val="00A55A0C"/>
    <w:rsid w:val="00A55C1B"/>
    <w:rsid w:val="00A55FEE"/>
    <w:rsid w:val="00A563EF"/>
    <w:rsid w:val="00A5680B"/>
    <w:rsid w:val="00A56978"/>
    <w:rsid w:val="00A56D01"/>
    <w:rsid w:val="00A57068"/>
    <w:rsid w:val="00A577C5"/>
    <w:rsid w:val="00A57AD1"/>
    <w:rsid w:val="00A57DC7"/>
    <w:rsid w:val="00A57F30"/>
    <w:rsid w:val="00A60161"/>
    <w:rsid w:val="00A60AA6"/>
    <w:rsid w:val="00A60B7C"/>
    <w:rsid w:val="00A61733"/>
    <w:rsid w:val="00A61C69"/>
    <w:rsid w:val="00A61EC5"/>
    <w:rsid w:val="00A62630"/>
    <w:rsid w:val="00A62A56"/>
    <w:rsid w:val="00A62B89"/>
    <w:rsid w:val="00A62E71"/>
    <w:rsid w:val="00A62EEB"/>
    <w:rsid w:val="00A6340E"/>
    <w:rsid w:val="00A634A5"/>
    <w:rsid w:val="00A639F4"/>
    <w:rsid w:val="00A63D80"/>
    <w:rsid w:val="00A64676"/>
    <w:rsid w:val="00A648DB"/>
    <w:rsid w:val="00A64ABF"/>
    <w:rsid w:val="00A64C61"/>
    <w:rsid w:val="00A6510C"/>
    <w:rsid w:val="00A654AF"/>
    <w:rsid w:val="00A65B16"/>
    <w:rsid w:val="00A66035"/>
    <w:rsid w:val="00A66EB2"/>
    <w:rsid w:val="00A67381"/>
    <w:rsid w:val="00A67557"/>
    <w:rsid w:val="00A67582"/>
    <w:rsid w:val="00A677E6"/>
    <w:rsid w:val="00A67AB8"/>
    <w:rsid w:val="00A67BEF"/>
    <w:rsid w:val="00A67FA6"/>
    <w:rsid w:val="00A7014B"/>
    <w:rsid w:val="00A701C8"/>
    <w:rsid w:val="00A703EE"/>
    <w:rsid w:val="00A7055B"/>
    <w:rsid w:val="00A70BAD"/>
    <w:rsid w:val="00A70C1F"/>
    <w:rsid w:val="00A710BF"/>
    <w:rsid w:val="00A7124E"/>
    <w:rsid w:val="00A71344"/>
    <w:rsid w:val="00A71876"/>
    <w:rsid w:val="00A71B9D"/>
    <w:rsid w:val="00A71D76"/>
    <w:rsid w:val="00A71E85"/>
    <w:rsid w:val="00A71F9D"/>
    <w:rsid w:val="00A720BF"/>
    <w:rsid w:val="00A72114"/>
    <w:rsid w:val="00A72254"/>
    <w:rsid w:val="00A72AB3"/>
    <w:rsid w:val="00A72E93"/>
    <w:rsid w:val="00A732E6"/>
    <w:rsid w:val="00A736FC"/>
    <w:rsid w:val="00A73D99"/>
    <w:rsid w:val="00A7406E"/>
    <w:rsid w:val="00A748F0"/>
    <w:rsid w:val="00A74ACD"/>
    <w:rsid w:val="00A74F10"/>
    <w:rsid w:val="00A74FB6"/>
    <w:rsid w:val="00A75031"/>
    <w:rsid w:val="00A75199"/>
    <w:rsid w:val="00A751D0"/>
    <w:rsid w:val="00A760AA"/>
    <w:rsid w:val="00A761C2"/>
    <w:rsid w:val="00A76493"/>
    <w:rsid w:val="00A76781"/>
    <w:rsid w:val="00A76963"/>
    <w:rsid w:val="00A769E0"/>
    <w:rsid w:val="00A76AE8"/>
    <w:rsid w:val="00A770CA"/>
    <w:rsid w:val="00A77217"/>
    <w:rsid w:val="00A8044C"/>
    <w:rsid w:val="00A80650"/>
    <w:rsid w:val="00A809A0"/>
    <w:rsid w:val="00A80BD1"/>
    <w:rsid w:val="00A80DBC"/>
    <w:rsid w:val="00A812E4"/>
    <w:rsid w:val="00A816A9"/>
    <w:rsid w:val="00A81A32"/>
    <w:rsid w:val="00A81E1B"/>
    <w:rsid w:val="00A8237F"/>
    <w:rsid w:val="00A82666"/>
    <w:rsid w:val="00A82CE0"/>
    <w:rsid w:val="00A83066"/>
    <w:rsid w:val="00A831D1"/>
    <w:rsid w:val="00A835BD"/>
    <w:rsid w:val="00A8375B"/>
    <w:rsid w:val="00A83FF8"/>
    <w:rsid w:val="00A84367"/>
    <w:rsid w:val="00A847B9"/>
    <w:rsid w:val="00A84AF4"/>
    <w:rsid w:val="00A85AC4"/>
    <w:rsid w:val="00A85B50"/>
    <w:rsid w:val="00A8644E"/>
    <w:rsid w:val="00A86618"/>
    <w:rsid w:val="00A8663C"/>
    <w:rsid w:val="00A8697B"/>
    <w:rsid w:val="00A86C81"/>
    <w:rsid w:val="00A86F90"/>
    <w:rsid w:val="00A87329"/>
    <w:rsid w:val="00A873EC"/>
    <w:rsid w:val="00A875B2"/>
    <w:rsid w:val="00A87927"/>
    <w:rsid w:val="00A87CB8"/>
    <w:rsid w:val="00A90270"/>
    <w:rsid w:val="00A903E1"/>
    <w:rsid w:val="00A903F4"/>
    <w:rsid w:val="00A90421"/>
    <w:rsid w:val="00A904E2"/>
    <w:rsid w:val="00A90561"/>
    <w:rsid w:val="00A905BF"/>
    <w:rsid w:val="00A90EA7"/>
    <w:rsid w:val="00A911C9"/>
    <w:rsid w:val="00A91D4F"/>
    <w:rsid w:val="00A9200E"/>
    <w:rsid w:val="00A92014"/>
    <w:rsid w:val="00A927DA"/>
    <w:rsid w:val="00A92B46"/>
    <w:rsid w:val="00A932E2"/>
    <w:rsid w:val="00A93596"/>
    <w:rsid w:val="00A9359A"/>
    <w:rsid w:val="00A9389A"/>
    <w:rsid w:val="00A938B6"/>
    <w:rsid w:val="00A93AF6"/>
    <w:rsid w:val="00A93EC9"/>
    <w:rsid w:val="00A93FE3"/>
    <w:rsid w:val="00A948A6"/>
    <w:rsid w:val="00A94DBB"/>
    <w:rsid w:val="00A950C2"/>
    <w:rsid w:val="00A95149"/>
    <w:rsid w:val="00A9557B"/>
    <w:rsid w:val="00A95A4E"/>
    <w:rsid w:val="00A95AB1"/>
    <w:rsid w:val="00A95B39"/>
    <w:rsid w:val="00A95B81"/>
    <w:rsid w:val="00A95F30"/>
    <w:rsid w:val="00A960A8"/>
    <w:rsid w:val="00A96206"/>
    <w:rsid w:val="00A962CE"/>
    <w:rsid w:val="00A9658D"/>
    <w:rsid w:val="00A96C8D"/>
    <w:rsid w:val="00A97606"/>
    <w:rsid w:val="00A97991"/>
    <w:rsid w:val="00A97A53"/>
    <w:rsid w:val="00A97B15"/>
    <w:rsid w:val="00A97F2A"/>
    <w:rsid w:val="00AA0385"/>
    <w:rsid w:val="00AA0872"/>
    <w:rsid w:val="00AA0A80"/>
    <w:rsid w:val="00AA128B"/>
    <w:rsid w:val="00AA1318"/>
    <w:rsid w:val="00AA138B"/>
    <w:rsid w:val="00AA17DE"/>
    <w:rsid w:val="00AA23CD"/>
    <w:rsid w:val="00AA24CF"/>
    <w:rsid w:val="00AA2834"/>
    <w:rsid w:val="00AA2BBD"/>
    <w:rsid w:val="00AA2CC6"/>
    <w:rsid w:val="00AA300B"/>
    <w:rsid w:val="00AA3D6E"/>
    <w:rsid w:val="00AA42D5"/>
    <w:rsid w:val="00AA45AB"/>
    <w:rsid w:val="00AA48FF"/>
    <w:rsid w:val="00AA4955"/>
    <w:rsid w:val="00AA4BA4"/>
    <w:rsid w:val="00AA4C9B"/>
    <w:rsid w:val="00AA4FFB"/>
    <w:rsid w:val="00AA50EC"/>
    <w:rsid w:val="00AA57E2"/>
    <w:rsid w:val="00AA589A"/>
    <w:rsid w:val="00AA5BC2"/>
    <w:rsid w:val="00AA5C41"/>
    <w:rsid w:val="00AA5E8E"/>
    <w:rsid w:val="00AA61B7"/>
    <w:rsid w:val="00AA66E0"/>
    <w:rsid w:val="00AA6825"/>
    <w:rsid w:val="00AA6B8E"/>
    <w:rsid w:val="00AA6C64"/>
    <w:rsid w:val="00AA6DBA"/>
    <w:rsid w:val="00AA72BE"/>
    <w:rsid w:val="00AA77D6"/>
    <w:rsid w:val="00AA7C76"/>
    <w:rsid w:val="00AB01D8"/>
    <w:rsid w:val="00AB01E1"/>
    <w:rsid w:val="00AB0250"/>
    <w:rsid w:val="00AB030E"/>
    <w:rsid w:val="00AB04D7"/>
    <w:rsid w:val="00AB0788"/>
    <w:rsid w:val="00AB0816"/>
    <w:rsid w:val="00AB0E9B"/>
    <w:rsid w:val="00AB0FFE"/>
    <w:rsid w:val="00AB128B"/>
    <w:rsid w:val="00AB152B"/>
    <w:rsid w:val="00AB152D"/>
    <w:rsid w:val="00AB156A"/>
    <w:rsid w:val="00AB1960"/>
    <w:rsid w:val="00AB19D1"/>
    <w:rsid w:val="00AB1F1C"/>
    <w:rsid w:val="00AB2286"/>
    <w:rsid w:val="00AB23F3"/>
    <w:rsid w:val="00AB2636"/>
    <w:rsid w:val="00AB2660"/>
    <w:rsid w:val="00AB2723"/>
    <w:rsid w:val="00AB2855"/>
    <w:rsid w:val="00AB2C28"/>
    <w:rsid w:val="00AB2C31"/>
    <w:rsid w:val="00AB2FAB"/>
    <w:rsid w:val="00AB32AB"/>
    <w:rsid w:val="00AB370B"/>
    <w:rsid w:val="00AB37ED"/>
    <w:rsid w:val="00AB385A"/>
    <w:rsid w:val="00AB3969"/>
    <w:rsid w:val="00AB3B65"/>
    <w:rsid w:val="00AB3C79"/>
    <w:rsid w:val="00AB3D66"/>
    <w:rsid w:val="00AB3E88"/>
    <w:rsid w:val="00AB3F6A"/>
    <w:rsid w:val="00AB437F"/>
    <w:rsid w:val="00AB4584"/>
    <w:rsid w:val="00AB4629"/>
    <w:rsid w:val="00AB46D6"/>
    <w:rsid w:val="00AB487C"/>
    <w:rsid w:val="00AB4BDA"/>
    <w:rsid w:val="00AB4BE4"/>
    <w:rsid w:val="00AB4F31"/>
    <w:rsid w:val="00AB5528"/>
    <w:rsid w:val="00AB5529"/>
    <w:rsid w:val="00AB5785"/>
    <w:rsid w:val="00AB5930"/>
    <w:rsid w:val="00AB5C14"/>
    <w:rsid w:val="00AB60D6"/>
    <w:rsid w:val="00AB6217"/>
    <w:rsid w:val="00AB6246"/>
    <w:rsid w:val="00AB6DD8"/>
    <w:rsid w:val="00AB6EEB"/>
    <w:rsid w:val="00AB7492"/>
    <w:rsid w:val="00AB766C"/>
    <w:rsid w:val="00AB78A1"/>
    <w:rsid w:val="00AB7B80"/>
    <w:rsid w:val="00AB7FE4"/>
    <w:rsid w:val="00AC0548"/>
    <w:rsid w:val="00AC09D2"/>
    <w:rsid w:val="00AC14D5"/>
    <w:rsid w:val="00AC19F5"/>
    <w:rsid w:val="00AC1BFA"/>
    <w:rsid w:val="00AC1EE7"/>
    <w:rsid w:val="00AC20D3"/>
    <w:rsid w:val="00AC21D6"/>
    <w:rsid w:val="00AC2C22"/>
    <w:rsid w:val="00AC32AD"/>
    <w:rsid w:val="00AC333F"/>
    <w:rsid w:val="00AC33B4"/>
    <w:rsid w:val="00AC39AC"/>
    <w:rsid w:val="00AC3A06"/>
    <w:rsid w:val="00AC3A17"/>
    <w:rsid w:val="00AC3B6D"/>
    <w:rsid w:val="00AC3D29"/>
    <w:rsid w:val="00AC4382"/>
    <w:rsid w:val="00AC4533"/>
    <w:rsid w:val="00AC4552"/>
    <w:rsid w:val="00AC465B"/>
    <w:rsid w:val="00AC4781"/>
    <w:rsid w:val="00AC4818"/>
    <w:rsid w:val="00AC49A9"/>
    <w:rsid w:val="00AC4CDF"/>
    <w:rsid w:val="00AC4DD8"/>
    <w:rsid w:val="00AC51BF"/>
    <w:rsid w:val="00AC51DB"/>
    <w:rsid w:val="00AC560B"/>
    <w:rsid w:val="00AC56D3"/>
    <w:rsid w:val="00AC585C"/>
    <w:rsid w:val="00AC5A4E"/>
    <w:rsid w:val="00AC6235"/>
    <w:rsid w:val="00AC6432"/>
    <w:rsid w:val="00AC6C64"/>
    <w:rsid w:val="00AC6CE2"/>
    <w:rsid w:val="00AC7054"/>
    <w:rsid w:val="00AC75A4"/>
    <w:rsid w:val="00AC7E39"/>
    <w:rsid w:val="00AC7ED0"/>
    <w:rsid w:val="00AD0613"/>
    <w:rsid w:val="00AD078A"/>
    <w:rsid w:val="00AD079B"/>
    <w:rsid w:val="00AD08EF"/>
    <w:rsid w:val="00AD0C8F"/>
    <w:rsid w:val="00AD0D1B"/>
    <w:rsid w:val="00AD1925"/>
    <w:rsid w:val="00AD262C"/>
    <w:rsid w:val="00AD27F3"/>
    <w:rsid w:val="00AD2C80"/>
    <w:rsid w:val="00AD30E6"/>
    <w:rsid w:val="00AD3271"/>
    <w:rsid w:val="00AD3599"/>
    <w:rsid w:val="00AD3988"/>
    <w:rsid w:val="00AD3D93"/>
    <w:rsid w:val="00AD3E80"/>
    <w:rsid w:val="00AD3E85"/>
    <w:rsid w:val="00AD46E1"/>
    <w:rsid w:val="00AD48C6"/>
    <w:rsid w:val="00AD52D3"/>
    <w:rsid w:val="00AD55B5"/>
    <w:rsid w:val="00AD5777"/>
    <w:rsid w:val="00AD5BC0"/>
    <w:rsid w:val="00AD5EF1"/>
    <w:rsid w:val="00AD61FD"/>
    <w:rsid w:val="00AD63B5"/>
    <w:rsid w:val="00AD6750"/>
    <w:rsid w:val="00AD6BC5"/>
    <w:rsid w:val="00AD7468"/>
    <w:rsid w:val="00AD79F9"/>
    <w:rsid w:val="00AE0007"/>
    <w:rsid w:val="00AE067D"/>
    <w:rsid w:val="00AE072E"/>
    <w:rsid w:val="00AE07F5"/>
    <w:rsid w:val="00AE0C7D"/>
    <w:rsid w:val="00AE1030"/>
    <w:rsid w:val="00AE1250"/>
    <w:rsid w:val="00AE1569"/>
    <w:rsid w:val="00AE16AA"/>
    <w:rsid w:val="00AE16DA"/>
    <w:rsid w:val="00AE1BB3"/>
    <w:rsid w:val="00AE1C83"/>
    <w:rsid w:val="00AE20FF"/>
    <w:rsid w:val="00AE2E5B"/>
    <w:rsid w:val="00AE2EFB"/>
    <w:rsid w:val="00AE305A"/>
    <w:rsid w:val="00AE392F"/>
    <w:rsid w:val="00AE3A8B"/>
    <w:rsid w:val="00AE4E2D"/>
    <w:rsid w:val="00AE4FA6"/>
    <w:rsid w:val="00AE52B0"/>
    <w:rsid w:val="00AE56EA"/>
    <w:rsid w:val="00AE57E8"/>
    <w:rsid w:val="00AE59B2"/>
    <w:rsid w:val="00AE5A29"/>
    <w:rsid w:val="00AE5BF7"/>
    <w:rsid w:val="00AE5DE6"/>
    <w:rsid w:val="00AE5FE1"/>
    <w:rsid w:val="00AE61CA"/>
    <w:rsid w:val="00AE62EB"/>
    <w:rsid w:val="00AE6863"/>
    <w:rsid w:val="00AE6D25"/>
    <w:rsid w:val="00AE6D8F"/>
    <w:rsid w:val="00AE6FBA"/>
    <w:rsid w:val="00AE713E"/>
    <w:rsid w:val="00AE72C0"/>
    <w:rsid w:val="00AE7537"/>
    <w:rsid w:val="00AE7742"/>
    <w:rsid w:val="00AE7E32"/>
    <w:rsid w:val="00AE7E98"/>
    <w:rsid w:val="00AE7FC2"/>
    <w:rsid w:val="00AF018C"/>
    <w:rsid w:val="00AF0309"/>
    <w:rsid w:val="00AF05ED"/>
    <w:rsid w:val="00AF0718"/>
    <w:rsid w:val="00AF07DA"/>
    <w:rsid w:val="00AF08A6"/>
    <w:rsid w:val="00AF0E58"/>
    <w:rsid w:val="00AF1181"/>
    <w:rsid w:val="00AF149E"/>
    <w:rsid w:val="00AF1697"/>
    <w:rsid w:val="00AF185D"/>
    <w:rsid w:val="00AF198C"/>
    <w:rsid w:val="00AF1B13"/>
    <w:rsid w:val="00AF1C63"/>
    <w:rsid w:val="00AF20A2"/>
    <w:rsid w:val="00AF22C1"/>
    <w:rsid w:val="00AF25CD"/>
    <w:rsid w:val="00AF267D"/>
    <w:rsid w:val="00AF27A3"/>
    <w:rsid w:val="00AF2A91"/>
    <w:rsid w:val="00AF2C15"/>
    <w:rsid w:val="00AF2D54"/>
    <w:rsid w:val="00AF2F79"/>
    <w:rsid w:val="00AF3632"/>
    <w:rsid w:val="00AF3894"/>
    <w:rsid w:val="00AF3912"/>
    <w:rsid w:val="00AF3BCA"/>
    <w:rsid w:val="00AF3C5B"/>
    <w:rsid w:val="00AF3CA8"/>
    <w:rsid w:val="00AF3EED"/>
    <w:rsid w:val="00AF4037"/>
    <w:rsid w:val="00AF4441"/>
    <w:rsid w:val="00AF4516"/>
    <w:rsid w:val="00AF4653"/>
    <w:rsid w:val="00AF4BD5"/>
    <w:rsid w:val="00AF4C86"/>
    <w:rsid w:val="00AF53D9"/>
    <w:rsid w:val="00AF59B7"/>
    <w:rsid w:val="00AF5F0E"/>
    <w:rsid w:val="00AF5F2A"/>
    <w:rsid w:val="00AF66A4"/>
    <w:rsid w:val="00AF66F1"/>
    <w:rsid w:val="00AF6B79"/>
    <w:rsid w:val="00AF6C8F"/>
    <w:rsid w:val="00AF6D12"/>
    <w:rsid w:val="00AF7312"/>
    <w:rsid w:val="00AF7DB7"/>
    <w:rsid w:val="00AF7EA5"/>
    <w:rsid w:val="00AF7FDC"/>
    <w:rsid w:val="00B000FA"/>
    <w:rsid w:val="00B0036C"/>
    <w:rsid w:val="00B0051B"/>
    <w:rsid w:val="00B007B0"/>
    <w:rsid w:val="00B00A27"/>
    <w:rsid w:val="00B00A59"/>
    <w:rsid w:val="00B00D3C"/>
    <w:rsid w:val="00B00DB7"/>
    <w:rsid w:val="00B015D4"/>
    <w:rsid w:val="00B01914"/>
    <w:rsid w:val="00B01AB0"/>
    <w:rsid w:val="00B01F48"/>
    <w:rsid w:val="00B022CA"/>
    <w:rsid w:val="00B027E4"/>
    <w:rsid w:val="00B034B7"/>
    <w:rsid w:val="00B0357D"/>
    <w:rsid w:val="00B037C6"/>
    <w:rsid w:val="00B0388F"/>
    <w:rsid w:val="00B040B0"/>
    <w:rsid w:val="00B040E2"/>
    <w:rsid w:val="00B0413C"/>
    <w:rsid w:val="00B052D1"/>
    <w:rsid w:val="00B05619"/>
    <w:rsid w:val="00B05630"/>
    <w:rsid w:val="00B0577E"/>
    <w:rsid w:val="00B058D6"/>
    <w:rsid w:val="00B05A4C"/>
    <w:rsid w:val="00B05A4E"/>
    <w:rsid w:val="00B05A8D"/>
    <w:rsid w:val="00B05B0E"/>
    <w:rsid w:val="00B05B2B"/>
    <w:rsid w:val="00B05CCF"/>
    <w:rsid w:val="00B05EAE"/>
    <w:rsid w:val="00B05F8A"/>
    <w:rsid w:val="00B065BB"/>
    <w:rsid w:val="00B0699F"/>
    <w:rsid w:val="00B06E19"/>
    <w:rsid w:val="00B07171"/>
    <w:rsid w:val="00B076E9"/>
    <w:rsid w:val="00B07AFA"/>
    <w:rsid w:val="00B106BC"/>
    <w:rsid w:val="00B107B5"/>
    <w:rsid w:val="00B1081B"/>
    <w:rsid w:val="00B10919"/>
    <w:rsid w:val="00B10D02"/>
    <w:rsid w:val="00B10DF6"/>
    <w:rsid w:val="00B1103A"/>
    <w:rsid w:val="00B1183E"/>
    <w:rsid w:val="00B11AA1"/>
    <w:rsid w:val="00B11B9F"/>
    <w:rsid w:val="00B11BA7"/>
    <w:rsid w:val="00B11C6C"/>
    <w:rsid w:val="00B11EA2"/>
    <w:rsid w:val="00B12965"/>
    <w:rsid w:val="00B13189"/>
    <w:rsid w:val="00B1362E"/>
    <w:rsid w:val="00B13818"/>
    <w:rsid w:val="00B13DC4"/>
    <w:rsid w:val="00B142B8"/>
    <w:rsid w:val="00B1451F"/>
    <w:rsid w:val="00B14E28"/>
    <w:rsid w:val="00B14F16"/>
    <w:rsid w:val="00B15093"/>
    <w:rsid w:val="00B1512F"/>
    <w:rsid w:val="00B156A3"/>
    <w:rsid w:val="00B15B3F"/>
    <w:rsid w:val="00B15DD3"/>
    <w:rsid w:val="00B162B2"/>
    <w:rsid w:val="00B16D61"/>
    <w:rsid w:val="00B17039"/>
    <w:rsid w:val="00B17AAE"/>
    <w:rsid w:val="00B17C58"/>
    <w:rsid w:val="00B17F0A"/>
    <w:rsid w:val="00B20001"/>
    <w:rsid w:val="00B201E2"/>
    <w:rsid w:val="00B20379"/>
    <w:rsid w:val="00B2056C"/>
    <w:rsid w:val="00B205CB"/>
    <w:rsid w:val="00B21C1D"/>
    <w:rsid w:val="00B22DA4"/>
    <w:rsid w:val="00B2372C"/>
    <w:rsid w:val="00B2427A"/>
    <w:rsid w:val="00B24CB4"/>
    <w:rsid w:val="00B24DCD"/>
    <w:rsid w:val="00B250C9"/>
    <w:rsid w:val="00B253AA"/>
    <w:rsid w:val="00B25891"/>
    <w:rsid w:val="00B25CB4"/>
    <w:rsid w:val="00B2633D"/>
    <w:rsid w:val="00B265F3"/>
    <w:rsid w:val="00B268AC"/>
    <w:rsid w:val="00B272A3"/>
    <w:rsid w:val="00B2734E"/>
    <w:rsid w:val="00B274C3"/>
    <w:rsid w:val="00B304A4"/>
    <w:rsid w:val="00B3051C"/>
    <w:rsid w:val="00B306F7"/>
    <w:rsid w:val="00B309A5"/>
    <w:rsid w:val="00B30C97"/>
    <w:rsid w:val="00B30E9B"/>
    <w:rsid w:val="00B31AB2"/>
    <w:rsid w:val="00B3208C"/>
    <w:rsid w:val="00B32219"/>
    <w:rsid w:val="00B324AF"/>
    <w:rsid w:val="00B339B7"/>
    <w:rsid w:val="00B33D7D"/>
    <w:rsid w:val="00B34195"/>
    <w:rsid w:val="00B34287"/>
    <w:rsid w:val="00B34FCB"/>
    <w:rsid w:val="00B3537E"/>
    <w:rsid w:val="00B3594A"/>
    <w:rsid w:val="00B359D2"/>
    <w:rsid w:val="00B35E61"/>
    <w:rsid w:val="00B35F90"/>
    <w:rsid w:val="00B35F99"/>
    <w:rsid w:val="00B36129"/>
    <w:rsid w:val="00B36180"/>
    <w:rsid w:val="00B3620D"/>
    <w:rsid w:val="00B36269"/>
    <w:rsid w:val="00B36291"/>
    <w:rsid w:val="00B36633"/>
    <w:rsid w:val="00B367A2"/>
    <w:rsid w:val="00B36897"/>
    <w:rsid w:val="00B36AAA"/>
    <w:rsid w:val="00B36B26"/>
    <w:rsid w:val="00B37333"/>
    <w:rsid w:val="00B374BB"/>
    <w:rsid w:val="00B37683"/>
    <w:rsid w:val="00B37890"/>
    <w:rsid w:val="00B37A54"/>
    <w:rsid w:val="00B37CDB"/>
    <w:rsid w:val="00B37D92"/>
    <w:rsid w:val="00B40020"/>
    <w:rsid w:val="00B40661"/>
    <w:rsid w:val="00B40754"/>
    <w:rsid w:val="00B40CF6"/>
    <w:rsid w:val="00B40CFF"/>
    <w:rsid w:val="00B40D89"/>
    <w:rsid w:val="00B4113F"/>
    <w:rsid w:val="00B411DC"/>
    <w:rsid w:val="00B4127B"/>
    <w:rsid w:val="00B419A0"/>
    <w:rsid w:val="00B41AE7"/>
    <w:rsid w:val="00B41B66"/>
    <w:rsid w:val="00B41C8B"/>
    <w:rsid w:val="00B41F2F"/>
    <w:rsid w:val="00B41F57"/>
    <w:rsid w:val="00B428F0"/>
    <w:rsid w:val="00B42C6B"/>
    <w:rsid w:val="00B42E05"/>
    <w:rsid w:val="00B42FE7"/>
    <w:rsid w:val="00B4326D"/>
    <w:rsid w:val="00B43570"/>
    <w:rsid w:val="00B437D0"/>
    <w:rsid w:val="00B43EDF"/>
    <w:rsid w:val="00B4413E"/>
    <w:rsid w:val="00B4424A"/>
    <w:rsid w:val="00B443E4"/>
    <w:rsid w:val="00B44515"/>
    <w:rsid w:val="00B44954"/>
    <w:rsid w:val="00B4496A"/>
    <w:rsid w:val="00B44C05"/>
    <w:rsid w:val="00B44C3C"/>
    <w:rsid w:val="00B44E13"/>
    <w:rsid w:val="00B44E4F"/>
    <w:rsid w:val="00B45382"/>
    <w:rsid w:val="00B4538F"/>
    <w:rsid w:val="00B45DB7"/>
    <w:rsid w:val="00B46163"/>
    <w:rsid w:val="00B468F7"/>
    <w:rsid w:val="00B46B87"/>
    <w:rsid w:val="00B46BB2"/>
    <w:rsid w:val="00B46D06"/>
    <w:rsid w:val="00B47223"/>
    <w:rsid w:val="00B47C6E"/>
    <w:rsid w:val="00B50AF9"/>
    <w:rsid w:val="00B50B09"/>
    <w:rsid w:val="00B51272"/>
    <w:rsid w:val="00B5151E"/>
    <w:rsid w:val="00B51A6D"/>
    <w:rsid w:val="00B51B68"/>
    <w:rsid w:val="00B51E90"/>
    <w:rsid w:val="00B52323"/>
    <w:rsid w:val="00B523CF"/>
    <w:rsid w:val="00B5251A"/>
    <w:rsid w:val="00B52566"/>
    <w:rsid w:val="00B5278A"/>
    <w:rsid w:val="00B532AF"/>
    <w:rsid w:val="00B54255"/>
    <w:rsid w:val="00B542D9"/>
    <w:rsid w:val="00B54598"/>
    <w:rsid w:val="00B5484D"/>
    <w:rsid w:val="00B548B5"/>
    <w:rsid w:val="00B54AE9"/>
    <w:rsid w:val="00B54DD1"/>
    <w:rsid w:val="00B54E2E"/>
    <w:rsid w:val="00B54EE0"/>
    <w:rsid w:val="00B55357"/>
    <w:rsid w:val="00B553C5"/>
    <w:rsid w:val="00B556AE"/>
    <w:rsid w:val="00B55902"/>
    <w:rsid w:val="00B55ACE"/>
    <w:rsid w:val="00B563EA"/>
    <w:rsid w:val="00B56401"/>
    <w:rsid w:val="00B56C2D"/>
    <w:rsid w:val="00B56CDF"/>
    <w:rsid w:val="00B570DF"/>
    <w:rsid w:val="00B5730F"/>
    <w:rsid w:val="00B577E4"/>
    <w:rsid w:val="00B57985"/>
    <w:rsid w:val="00B604C7"/>
    <w:rsid w:val="00B6077E"/>
    <w:rsid w:val="00B60DC5"/>
    <w:rsid w:val="00B60E51"/>
    <w:rsid w:val="00B60F8B"/>
    <w:rsid w:val="00B614D0"/>
    <w:rsid w:val="00B615D5"/>
    <w:rsid w:val="00B616DA"/>
    <w:rsid w:val="00B61C7B"/>
    <w:rsid w:val="00B61E13"/>
    <w:rsid w:val="00B61E64"/>
    <w:rsid w:val="00B61FC1"/>
    <w:rsid w:val="00B622CF"/>
    <w:rsid w:val="00B627D6"/>
    <w:rsid w:val="00B628A9"/>
    <w:rsid w:val="00B6299E"/>
    <w:rsid w:val="00B631A0"/>
    <w:rsid w:val="00B631BE"/>
    <w:rsid w:val="00B6330B"/>
    <w:rsid w:val="00B63A54"/>
    <w:rsid w:val="00B63B4E"/>
    <w:rsid w:val="00B6538F"/>
    <w:rsid w:val="00B65C04"/>
    <w:rsid w:val="00B65E26"/>
    <w:rsid w:val="00B65F41"/>
    <w:rsid w:val="00B6616E"/>
    <w:rsid w:val="00B6629D"/>
    <w:rsid w:val="00B663A6"/>
    <w:rsid w:val="00B66551"/>
    <w:rsid w:val="00B667DD"/>
    <w:rsid w:val="00B66965"/>
    <w:rsid w:val="00B66D78"/>
    <w:rsid w:val="00B67688"/>
    <w:rsid w:val="00B67991"/>
    <w:rsid w:val="00B67B48"/>
    <w:rsid w:val="00B67BF5"/>
    <w:rsid w:val="00B67CB4"/>
    <w:rsid w:val="00B67FF3"/>
    <w:rsid w:val="00B7069F"/>
    <w:rsid w:val="00B70D12"/>
    <w:rsid w:val="00B70D2B"/>
    <w:rsid w:val="00B70D94"/>
    <w:rsid w:val="00B71488"/>
    <w:rsid w:val="00B71C2C"/>
    <w:rsid w:val="00B71E4B"/>
    <w:rsid w:val="00B72BE0"/>
    <w:rsid w:val="00B72E2F"/>
    <w:rsid w:val="00B73844"/>
    <w:rsid w:val="00B7390B"/>
    <w:rsid w:val="00B73D62"/>
    <w:rsid w:val="00B743AC"/>
    <w:rsid w:val="00B74B1D"/>
    <w:rsid w:val="00B74B48"/>
    <w:rsid w:val="00B74DA4"/>
    <w:rsid w:val="00B74F39"/>
    <w:rsid w:val="00B7509F"/>
    <w:rsid w:val="00B7545A"/>
    <w:rsid w:val="00B75757"/>
    <w:rsid w:val="00B760D7"/>
    <w:rsid w:val="00B761FA"/>
    <w:rsid w:val="00B765F9"/>
    <w:rsid w:val="00B76A69"/>
    <w:rsid w:val="00B76AA4"/>
    <w:rsid w:val="00B773C5"/>
    <w:rsid w:val="00B7741C"/>
    <w:rsid w:val="00B77D18"/>
    <w:rsid w:val="00B77D3A"/>
    <w:rsid w:val="00B77D68"/>
    <w:rsid w:val="00B77EFE"/>
    <w:rsid w:val="00B801BF"/>
    <w:rsid w:val="00B804B5"/>
    <w:rsid w:val="00B804EF"/>
    <w:rsid w:val="00B808B2"/>
    <w:rsid w:val="00B809D8"/>
    <w:rsid w:val="00B80B5A"/>
    <w:rsid w:val="00B80CFF"/>
    <w:rsid w:val="00B80E15"/>
    <w:rsid w:val="00B81292"/>
    <w:rsid w:val="00B817E0"/>
    <w:rsid w:val="00B818A8"/>
    <w:rsid w:val="00B81DE8"/>
    <w:rsid w:val="00B820CF"/>
    <w:rsid w:val="00B8233B"/>
    <w:rsid w:val="00B8263C"/>
    <w:rsid w:val="00B8281B"/>
    <w:rsid w:val="00B82949"/>
    <w:rsid w:val="00B82A6C"/>
    <w:rsid w:val="00B83071"/>
    <w:rsid w:val="00B8313A"/>
    <w:rsid w:val="00B832F9"/>
    <w:rsid w:val="00B84730"/>
    <w:rsid w:val="00B848DF"/>
    <w:rsid w:val="00B84BA1"/>
    <w:rsid w:val="00B850C4"/>
    <w:rsid w:val="00B851B2"/>
    <w:rsid w:val="00B85A10"/>
    <w:rsid w:val="00B85CD4"/>
    <w:rsid w:val="00B86053"/>
    <w:rsid w:val="00B86B7F"/>
    <w:rsid w:val="00B86DB9"/>
    <w:rsid w:val="00B86DF5"/>
    <w:rsid w:val="00B87641"/>
    <w:rsid w:val="00B8778B"/>
    <w:rsid w:val="00B87C64"/>
    <w:rsid w:val="00B87CBB"/>
    <w:rsid w:val="00B87DE8"/>
    <w:rsid w:val="00B87F42"/>
    <w:rsid w:val="00B9064C"/>
    <w:rsid w:val="00B90652"/>
    <w:rsid w:val="00B907AF"/>
    <w:rsid w:val="00B909C3"/>
    <w:rsid w:val="00B910B8"/>
    <w:rsid w:val="00B91420"/>
    <w:rsid w:val="00B9153C"/>
    <w:rsid w:val="00B91568"/>
    <w:rsid w:val="00B918DD"/>
    <w:rsid w:val="00B922FE"/>
    <w:rsid w:val="00B92A74"/>
    <w:rsid w:val="00B92A76"/>
    <w:rsid w:val="00B933B1"/>
    <w:rsid w:val="00B93503"/>
    <w:rsid w:val="00B93F9B"/>
    <w:rsid w:val="00B9508A"/>
    <w:rsid w:val="00B95156"/>
    <w:rsid w:val="00B9544E"/>
    <w:rsid w:val="00B958E9"/>
    <w:rsid w:val="00B95CC7"/>
    <w:rsid w:val="00B96137"/>
    <w:rsid w:val="00B96EFC"/>
    <w:rsid w:val="00B97090"/>
    <w:rsid w:val="00B9713D"/>
    <w:rsid w:val="00B974A4"/>
    <w:rsid w:val="00B97721"/>
    <w:rsid w:val="00B97E96"/>
    <w:rsid w:val="00B97F19"/>
    <w:rsid w:val="00BA0058"/>
    <w:rsid w:val="00BA0885"/>
    <w:rsid w:val="00BA11F0"/>
    <w:rsid w:val="00BA124A"/>
    <w:rsid w:val="00BA144F"/>
    <w:rsid w:val="00BA16F2"/>
    <w:rsid w:val="00BA199F"/>
    <w:rsid w:val="00BA1F5E"/>
    <w:rsid w:val="00BA1F6B"/>
    <w:rsid w:val="00BA211D"/>
    <w:rsid w:val="00BA2926"/>
    <w:rsid w:val="00BA29FB"/>
    <w:rsid w:val="00BA2D78"/>
    <w:rsid w:val="00BA31E8"/>
    <w:rsid w:val="00BA33D4"/>
    <w:rsid w:val="00BA35FC"/>
    <w:rsid w:val="00BA3707"/>
    <w:rsid w:val="00BA380F"/>
    <w:rsid w:val="00BA39C7"/>
    <w:rsid w:val="00BA3BCF"/>
    <w:rsid w:val="00BA4053"/>
    <w:rsid w:val="00BA43D4"/>
    <w:rsid w:val="00BA473B"/>
    <w:rsid w:val="00BA495B"/>
    <w:rsid w:val="00BA55E0"/>
    <w:rsid w:val="00BA5ED4"/>
    <w:rsid w:val="00BA61EC"/>
    <w:rsid w:val="00BA62DC"/>
    <w:rsid w:val="00BA675B"/>
    <w:rsid w:val="00BA6A5B"/>
    <w:rsid w:val="00BA6BD4"/>
    <w:rsid w:val="00BA6C7A"/>
    <w:rsid w:val="00BA6F4F"/>
    <w:rsid w:val="00BA72C0"/>
    <w:rsid w:val="00BA76EA"/>
    <w:rsid w:val="00BA7827"/>
    <w:rsid w:val="00BA799F"/>
    <w:rsid w:val="00BA7BFF"/>
    <w:rsid w:val="00BA7EA2"/>
    <w:rsid w:val="00BA7EF5"/>
    <w:rsid w:val="00BB0445"/>
    <w:rsid w:val="00BB04D9"/>
    <w:rsid w:val="00BB095A"/>
    <w:rsid w:val="00BB0D55"/>
    <w:rsid w:val="00BB1274"/>
    <w:rsid w:val="00BB17BF"/>
    <w:rsid w:val="00BB17D1"/>
    <w:rsid w:val="00BB1976"/>
    <w:rsid w:val="00BB1DBD"/>
    <w:rsid w:val="00BB1FC5"/>
    <w:rsid w:val="00BB24DB"/>
    <w:rsid w:val="00BB29A2"/>
    <w:rsid w:val="00BB2AB5"/>
    <w:rsid w:val="00BB2CE9"/>
    <w:rsid w:val="00BB3062"/>
    <w:rsid w:val="00BB3498"/>
    <w:rsid w:val="00BB356E"/>
    <w:rsid w:val="00BB3752"/>
    <w:rsid w:val="00BB3C71"/>
    <w:rsid w:val="00BB415E"/>
    <w:rsid w:val="00BB42EF"/>
    <w:rsid w:val="00BB4630"/>
    <w:rsid w:val="00BB4760"/>
    <w:rsid w:val="00BB49A0"/>
    <w:rsid w:val="00BB5001"/>
    <w:rsid w:val="00BB5B53"/>
    <w:rsid w:val="00BB5C62"/>
    <w:rsid w:val="00BB64B8"/>
    <w:rsid w:val="00BB6688"/>
    <w:rsid w:val="00BB67DC"/>
    <w:rsid w:val="00BB6B82"/>
    <w:rsid w:val="00BB725B"/>
    <w:rsid w:val="00BB74D6"/>
    <w:rsid w:val="00BB7524"/>
    <w:rsid w:val="00BB7899"/>
    <w:rsid w:val="00BB7F8D"/>
    <w:rsid w:val="00BC0DD8"/>
    <w:rsid w:val="00BC14B9"/>
    <w:rsid w:val="00BC15F9"/>
    <w:rsid w:val="00BC17D5"/>
    <w:rsid w:val="00BC1CE2"/>
    <w:rsid w:val="00BC26D4"/>
    <w:rsid w:val="00BC2A27"/>
    <w:rsid w:val="00BC30BE"/>
    <w:rsid w:val="00BC366E"/>
    <w:rsid w:val="00BC3783"/>
    <w:rsid w:val="00BC3D49"/>
    <w:rsid w:val="00BC401D"/>
    <w:rsid w:val="00BC4583"/>
    <w:rsid w:val="00BC4A0E"/>
    <w:rsid w:val="00BC4BF6"/>
    <w:rsid w:val="00BC5070"/>
    <w:rsid w:val="00BC554F"/>
    <w:rsid w:val="00BC58F7"/>
    <w:rsid w:val="00BC5B39"/>
    <w:rsid w:val="00BC5F31"/>
    <w:rsid w:val="00BC6AC6"/>
    <w:rsid w:val="00BC6BA6"/>
    <w:rsid w:val="00BC6C18"/>
    <w:rsid w:val="00BC6DD7"/>
    <w:rsid w:val="00BC6EBF"/>
    <w:rsid w:val="00BC6EE0"/>
    <w:rsid w:val="00BC7322"/>
    <w:rsid w:val="00BC7999"/>
    <w:rsid w:val="00BC7C82"/>
    <w:rsid w:val="00BC7DA5"/>
    <w:rsid w:val="00BC7FA9"/>
    <w:rsid w:val="00BD008D"/>
    <w:rsid w:val="00BD026F"/>
    <w:rsid w:val="00BD0325"/>
    <w:rsid w:val="00BD052F"/>
    <w:rsid w:val="00BD0596"/>
    <w:rsid w:val="00BD0954"/>
    <w:rsid w:val="00BD0C33"/>
    <w:rsid w:val="00BD0E31"/>
    <w:rsid w:val="00BD0E7E"/>
    <w:rsid w:val="00BD0E82"/>
    <w:rsid w:val="00BD1247"/>
    <w:rsid w:val="00BD16AC"/>
    <w:rsid w:val="00BD17FC"/>
    <w:rsid w:val="00BD1DE7"/>
    <w:rsid w:val="00BD27F3"/>
    <w:rsid w:val="00BD2A99"/>
    <w:rsid w:val="00BD2D34"/>
    <w:rsid w:val="00BD2E78"/>
    <w:rsid w:val="00BD2E8C"/>
    <w:rsid w:val="00BD308F"/>
    <w:rsid w:val="00BD30A2"/>
    <w:rsid w:val="00BD346F"/>
    <w:rsid w:val="00BD3838"/>
    <w:rsid w:val="00BD3BE4"/>
    <w:rsid w:val="00BD3C6B"/>
    <w:rsid w:val="00BD3CF9"/>
    <w:rsid w:val="00BD4367"/>
    <w:rsid w:val="00BD4523"/>
    <w:rsid w:val="00BD4E1E"/>
    <w:rsid w:val="00BD4F6C"/>
    <w:rsid w:val="00BD5504"/>
    <w:rsid w:val="00BD5614"/>
    <w:rsid w:val="00BD58D1"/>
    <w:rsid w:val="00BD5E7E"/>
    <w:rsid w:val="00BD5EB2"/>
    <w:rsid w:val="00BD6745"/>
    <w:rsid w:val="00BD67CA"/>
    <w:rsid w:val="00BD68AF"/>
    <w:rsid w:val="00BD6A6B"/>
    <w:rsid w:val="00BD6B0C"/>
    <w:rsid w:val="00BD70E9"/>
    <w:rsid w:val="00BD730C"/>
    <w:rsid w:val="00BD7321"/>
    <w:rsid w:val="00BD7418"/>
    <w:rsid w:val="00BD74B9"/>
    <w:rsid w:val="00BD751E"/>
    <w:rsid w:val="00BD79AB"/>
    <w:rsid w:val="00BD7B9D"/>
    <w:rsid w:val="00BD7F18"/>
    <w:rsid w:val="00BE0041"/>
    <w:rsid w:val="00BE03E1"/>
    <w:rsid w:val="00BE03F9"/>
    <w:rsid w:val="00BE087F"/>
    <w:rsid w:val="00BE096C"/>
    <w:rsid w:val="00BE0C80"/>
    <w:rsid w:val="00BE1136"/>
    <w:rsid w:val="00BE11F7"/>
    <w:rsid w:val="00BE131C"/>
    <w:rsid w:val="00BE13DF"/>
    <w:rsid w:val="00BE1620"/>
    <w:rsid w:val="00BE1700"/>
    <w:rsid w:val="00BE1A29"/>
    <w:rsid w:val="00BE1A4C"/>
    <w:rsid w:val="00BE20BF"/>
    <w:rsid w:val="00BE27E1"/>
    <w:rsid w:val="00BE2BEA"/>
    <w:rsid w:val="00BE3380"/>
    <w:rsid w:val="00BE36B7"/>
    <w:rsid w:val="00BE39E7"/>
    <w:rsid w:val="00BE3F11"/>
    <w:rsid w:val="00BE40EE"/>
    <w:rsid w:val="00BE439F"/>
    <w:rsid w:val="00BE46AF"/>
    <w:rsid w:val="00BE55CA"/>
    <w:rsid w:val="00BE56DE"/>
    <w:rsid w:val="00BE571A"/>
    <w:rsid w:val="00BE578B"/>
    <w:rsid w:val="00BE57AE"/>
    <w:rsid w:val="00BE59D2"/>
    <w:rsid w:val="00BE5E67"/>
    <w:rsid w:val="00BE62D3"/>
    <w:rsid w:val="00BE671E"/>
    <w:rsid w:val="00BE69CB"/>
    <w:rsid w:val="00BE6C21"/>
    <w:rsid w:val="00BE6EA7"/>
    <w:rsid w:val="00BE73CE"/>
    <w:rsid w:val="00BE75FD"/>
    <w:rsid w:val="00BE7727"/>
    <w:rsid w:val="00BE7A55"/>
    <w:rsid w:val="00BE7B61"/>
    <w:rsid w:val="00BE7C9E"/>
    <w:rsid w:val="00BF0401"/>
    <w:rsid w:val="00BF0A8E"/>
    <w:rsid w:val="00BF0CBB"/>
    <w:rsid w:val="00BF0F5B"/>
    <w:rsid w:val="00BF12CE"/>
    <w:rsid w:val="00BF139F"/>
    <w:rsid w:val="00BF1929"/>
    <w:rsid w:val="00BF1951"/>
    <w:rsid w:val="00BF1AF4"/>
    <w:rsid w:val="00BF20E5"/>
    <w:rsid w:val="00BF2266"/>
    <w:rsid w:val="00BF2A42"/>
    <w:rsid w:val="00BF2A7A"/>
    <w:rsid w:val="00BF31B2"/>
    <w:rsid w:val="00BF3782"/>
    <w:rsid w:val="00BF3883"/>
    <w:rsid w:val="00BF3AD6"/>
    <w:rsid w:val="00BF3C96"/>
    <w:rsid w:val="00BF3CC1"/>
    <w:rsid w:val="00BF3FAA"/>
    <w:rsid w:val="00BF4507"/>
    <w:rsid w:val="00BF474D"/>
    <w:rsid w:val="00BF4A21"/>
    <w:rsid w:val="00BF530D"/>
    <w:rsid w:val="00BF5476"/>
    <w:rsid w:val="00BF54CA"/>
    <w:rsid w:val="00BF5ACC"/>
    <w:rsid w:val="00BF5B08"/>
    <w:rsid w:val="00BF5D51"/>
    <w:rsid w:val="00BF610E"/>
    <w:rsid w:val="00BF6122"/>
    <w:rsid w:val="00BF62C7"/>
    <w:rsid w:val="00BF657A"/>
    <w:rsid w:val="00BF671F"/>
    <w:rsid w:val="00BF67D2"/>
    <w:rsid w:val="00BF6E77"/>
    <w:rsid w:val="00BF7338"/>
    <w:rsid w:val="00BF755C"/>
    <w:rsid w:val="00BF77ED"/>
    <w:rsid w:val="00BF7932"/>
    <w:rsid w:val="00BF7A61"/>
    <w:rsid w:val="00BF7B14"/>
    <w:rsid w:val="00C000B9"/>
    <w:rsid w:val="00C0023C"/>
    <w:rsid w:val="00C00AE0"/>
    <w:rsid w:val="00C01404"/>
    <w:rsid w:val="00C0144B"/>
    <w:rsid w:val="00C015BC"/>
    <w:rsid w:val="00C017D7"/>
    <w:rsid w:val="00C01DB4"/>
    <w:rsid w:val="00C020A6"/>
    <w:rsid w:val="00C0233E"/>
    <w:rsid w:val="00C02352"/>
    <w:rsid w:val="00C0297E"/>
    <w:rsid w:val="00C02C95"/>
    <w:rsid w:val="00C033DC"/>
    <w:rsid w:val="00C03D8C"/>
    <w:rsid w:val="00C04501"/>
    <w:rsid w:val="00C04565"/>
    <w:rsid w:val="00C04650"/>
    <w:rsid w:val="00C0495C"/>
    <w:rsid w:val="00C04D4C"/>
    <w:rsid w:val="00C04DDA"/>
    <w:rsid w:val="00C04E0B"/>
    <w:rsid w:val="00C053CD"/>
    <w:rsid w:val="00C054FD"/>
    <w:rsid w:val="00C055EC"/>
    <w:rsid w:val="00C05B1A"/>
    <w:rsid w:val="00C06E80"/>
    <w:rsid w:val="00C06FDE"/>
    <w:rsid w:val="00C0761C"/>
    <w:rsid w:val="00C07844"/>
    <w:rsid w:val="00C079AD"/>
    <w:rsid w:val="00C07B96"/>
    <w:rsid w:val="00C106D8"/>
    <w:rsid w:val="00C10C83"/>
    <w:rsid w:val="00C10CFC"/>
    <w:rsid w:val="00C10D26"/>
    <w:rsid w:val="00C10DC9"/>
    <w:rsid w:val="00C11543"/>
    <w:rsid w:val="00C115C2"/>
    <w:rsid w:val="00C116B9"/>
    <w:rsid w:val="00C11ED9"/>
    <w:rsid w:val="00C121D3"/>
    <w:rsid w:val="00C12624"/>
    <w:rsid w:val="00C12992"/>
    <w:rsid w:val="00C12FB3"/>
    <w:rsid w:val="00C13044"/>
    <w:rsid w:val="00C130AF"/>
    <w:rsid w:val="00C132A9"/>
    <w:rsid w:val="00C13518"/>
    <w:rsid w:val="00C13664"/>
    <w:rsid w:val="00C13EAA"/>
    <w:rsid w:val="00C1447A"/>
    <w:rsid w:val="00C14BC7"/>
    <w:rsid w:val="00C1569D"/>
    <w:rsid w:val="00C15BC2"/>
    <w:rsid w:val="00C15D32"/>
    <w:rsid w:val="00C166F7"/>
    <w:rsid w:val="00C16B2F"/>
    <w:rsid w:val="00C16E04"/>
    <w:rsid w:val="00C16EAD"/>
    <w:rsid w:val="00C17064"/>
    <w:rsid w:val="00C17341"/>
    <w:rsid w:val="00C178E4"/>
    <w:rsid w:val="00C17C0D"/>
    <w:rsid w:val="00C17C93"/>
    <w:rsid w:val="00C17FFC"/>
    <w:rsid w:val="00C200C5"/>
    <w:rsid w:val="00C2034A"/>
    <w:rsid w:val="00C20543"/>
    <w:rsid w:val="00C20C33"/>
    <w:rsid w:val="00C20D93"/>
    <w:rsid w:val="00C20FCC"/>
    <w:rsid w:val="00C20FFF"/>
    <w:rsid w:val="00C21171"/>
    <w:rsid w:val="00C2168B"/>
    <w:rsid w:val="00C217AF"/>
    <w:rsid w:val="00C21849"/>
    <w:rsid w:val="00C219EB"/>
    <w:rsid w:val="00C219FC"/>
    <w:rsid w:val="00C21D17"/>
    <w:rsid w:val="00C21F95"/>
    <w:rsid w:val="00C2217B"/>
    <w:rsid w:val="00C2225B"/>
    <w:rsid w:val="00C2299F"/>
    <w:rsid w:val="00C23AE4"/>
    <w:rsid w:val="00C23C01"/>
    <w:rsid w:val="00C23C1C"/>
    <w:rsid w:val="00C23CE5"/>
    <w:rsid w:val="00C23EB7"/>
    <w:rsid w:val="00C241CD"/>
    <w:rsid w:val="00C24C17"/>
    <w:rsid w:val="00C24DA0"/>
    <w:rsid w:val="00C24EEF"/>
    <w:rsid w:val="00C252E7"/>
    <w:rsid w:val="00C2563B"/>
    <w:rsid w:val="00C25CF6"/>
    <w:rsid w:val="00C26B36"/>
    <w:rsid w:val="00C26C16"/>
    <w:rsid w:val="00C26C36"/>
    <w:rsid w:val="00C270D4"/>
    <w:rsid w:val="00C27158"/>
    <w:rsid w:val="00C2745A"/>
    <w:rsid w:val="00C2778C"/>
    <w:rsid w:val="00C27AB1"/>
    <w:rsid w:val="00C27C37"/>
    <w:rsid w:val="00C27E00"/>
    <w:rsid w:val="00C30EF3"/>
    <w:rsid w:val="00C311A6"/>
    <w:rsid w:val="00C315FF"/>
    <w:rsid w:val="00C317F3"/>
    <w:rsid w:val="00C318CE"/>
    <w:rsid w:val="00C31A58"/>
    <w:rsid w:val="00C31A87"/>
    <w:rsid w:val="00C322D8"/>
    <w:rsid w:val="00C3247B"/>
    <w:rsid w:val="00C32768"/>
    <w:rsid w:val="00C328D1"/>
    <w:rsid w:val="00C3290F"/>
    <w:rsid w:val="00C32932"/>
    <w:rsid w:val="00C32B9E"/>
    <w:rsid w:val="00C32F22"/>
    <w:rsid w:val="00C331FA"/>
    <w:rsid w:val="00C334F5"/>
    <w:rsid w:val="00C33678"/>
    <w:rsid w:val="00C34666"/>
    <w:rsid w:val="00C35846"/>
    <w:rsid w:val="00C35B6C"/>
    <w:rsid w:val="00C35ECD"/>
    <w:rsid w:val="00C36423"/>
    <w:rsid w:val="00C36692"/>
    <w:rsid w:val="00C36B55"/>
    <w:rsid w:val="00C36CDF"/>
    <w:rsid w:val="00C36D7F"/>
    <w:rsid w:val="00C37303"/>
    <w:rsid w:val="00C37843"/>
    <w:rsid w:val="00C378F0"/>
    <w:rsid w:val="00C37AF2"/>
    <w:rsid w:val="00C37BC4"/>
    <w:rsid w:val="00C40244"/>
    <w:rsid w:val="00C40367"/>
    <w:rsid w:val="00C40384"/>
    <w:rsid w:val="00C408BF"/>
    <w:rsid w:val="00C40E2B"/>
    <w:rsid w:val="00C412AC"/>
    <w:rsid w:val="00C4142C"/>
    <w:rsid w:val="00C4179C"/>
    <w:rsid w:val="00C417AC"/>
    <w:rsid w:val="00C418EF"/>
    <w:rsid w:val="00C41E14"/>
    <w:rsid w:val="00C42137"/>
    <w:rsid w:val="00C422B5"/>
    <w:rsid w:val="00C423EB"/>
    <w:rsid w:val="00C428A5"/>
    <w:rsid w:val="00C42C1F"/>
    <w:rsid w:val="00C43183"/>
    <w:rsid w:val="00C431DF"/>
    <w:rsid w:val="00C43205"/>
    <w:rsid w:val="00C434DD"/>
    <w:rsid w:val="00C4355C"/>
    <w:rsid w:val="00C43D53"/>
    <w:rsid w:val="00C43FA3"/>
    <w:rsid w:val="00C43FCF"/>
    <w:rsid w:val="00C4415F"/>
    <w:rsid w:val="00C450EE"/>
    <w:rsid w:val="00C45255"/>
    <w:rsid w:val="00C455B9"/>
    <w:rsid w:val="00C45618"/>
    <w:rsid w:val="00C456BD"/>
    <w:rsid w:val="00C457C1"/>
    <w:rsid w:val="00C45808"/>
    <w:rsid w:val="00C45E97"/>
    <w:rsid w:val="00C46213"/>
    <w:rsid w:val="00C46D65"/>
    <w:rsid w:val="00C47163"/>
    <w:rsid w:val="00C4785D"/>
    <w:rsid w:val="00C47BAF"/>
    <w:rsid w:val="00C47C29"/>
    <w:rsid w:val="00C47CE5"/>
    <w:rsid w:val="00C50156"/>
    <w:rsid w:val="00C501AA"/>
    <w:rsid w:val="00C5085D"/>
    <w:rsid w:val="00C50C00"/>
    <w:rsid w:val="00C50FA1"/>
    <w:rsid w:val="00C51341"/>
    <w:rsid w:val="00C514C7"/>
    <w:rsid w:val="00C5176B"/>
    <w:rsid w:val="00C51800"/>
    <w:rsid w:val="00C518FC"/>
    <w:rsid w:val="00C51AA1"/>
    <w:rsid w:val="00C51AFB"/>
    <w:rsid w:val="00C520F6"/>
    <w:rsid w:val="00C52601"/>
    <w:rsid w:val="00C52B11"/>
    <w:rsid w:val="00C530DC"/>
    <w:rsid w:val="00C5321B"/>
    <w:rsid w:val="00C53383"/>
    <w:rsid w:val="00C5344C"/>
    <w:rsid w:val="00C5350D"/>
    <w:rsid w:val="00C53634"/>
    <w:rsid w:val="00C53A35"/>
    <w:rsid w:val="00C53AAC"/>
    <w:rsid w:val="00C53C3C"/>
    <w:rsid w:val="00C53FA8"/>
    <w:rsid w:val="00C54334"/>
    <w:rsid w:val="00C544D0"/>
    <w:rsid w:val="00C54749"/>
    <w:rsid w:val="00C54D4D"/>
    <w:rsid w:val="00C55438"/>
    <w:rsid w:val="00C55786"/>
    <w:rsid w:val="00C5607B"/>
    <w:rsid w:val="00C564DA"/>
    <w:rsid w:val="00C56501"/>
    <w:rsid w:val="00C56A83"/>
    <w:rsid w:val="00C56C14"/>
    <w:rsid w:val="00C57096"/>
    <w:rsid w:val="00C570DF"/>
    <w:rsid w:val="00C5765C"/>
    <w:rsid w:val="00C57727"/>
    <w:rsid w:val="00C57E69"/>
    <w:rsid w:val="00C600FC"/>
    <w:rsid w:val="00C608C9"/>
    <w:rsid w:val="00C60AAF"/>
    <w:rsid w:val="00C6123C"/>
    <w:rsid w:val="00C6135C"/>
    <w:rsid w:val="00C614CD"/>
    <w:rsid w:val="00C615FE"/>
    <w:rsid w:val="00C619FD"/>
    <w:rsid w:val="00C61A14"/>
    <w:rsid w:val="00C61DFB"/>
    <w:rsid w:val="00C621CE"/>
    <w:rsid w:val="00C62A38"/>
    <w:rsid w:val="00C62C1E"/>
    <w:rsid w:val="00C630D6"/>
    <w:rsid w:val="00C6311A"/>
    <w:rsid w:val="00C632F8"/>
    <w:rsid w:val="00C63667"/>
    <w:rsid w:val="00C63EFF"/>
    <w:rsid w:val="00C643A8"/>
    <w:rsid w:val="00C6463D"/>
    <w:rsid w:val="00C648B4"/>
    <w:rsid w:val="00C64F57"/>
    <w:rsid w:val="00C6504C"/>
    <w:rsid w:val="00C6512C"/>
    <w:rsid w:val="00C653CA"/>
    <w:rsid w:val="00C65486"/>
    <w:rsid w:val="00C656FD"/>
    <w:rsid w:val="00C6573E"/>
    <w:rsid w:val="00C657BF"/>
    <w:rsid w:val="00C657D2"/>
    <w:rsid w:val="00C65BDC"/>
    <w:rsid w:val="00C65D0A"/>
    <w:rsid w:val="00C65D9D"/>
    <w:rsid w:val="00C65ECC"/>
    <w:rsid w:val="00C65F1E"/>
    <w:rsid w:val="00C669CB"/>
    <w:rsid w:val="00C66BAC"/>
    <w:rsid w:val="00C66E8B"/>
    <w:rsid w:val="00C672C1"/>
    <w:rsid w:val="00C67C2B"/>
    <w:rsid w:val="00C67D58"/>
    <w:rsid w:val="00C701A3"/>
    <w:rsid w:val="00C70407"/>
    <w:rsid w:val="00C705B5"/>
    <w:rsid w:val="00C70845"/>
    <w:rsid w:val="00C7084D"/>
    <w:rsid w:val="00C70940"/>
    <w:rsid w:val="00C70B11"/>
    <w:rsid w:val="00C70C6E"/>
    <w:rsid w:val="00C71333"/>
    <w:rsid w:val="00C713F1"/>
    <w:rsid w:val="00C71B59"/>
    <w:rsid w:val="00C71E2B"/>
    <w:rsid w:val="00C71EC7"/>
    <w:rsid w:val="00C723F7"/>
    <w:rsid w:val="00C7244C"/>
    <w:rsid w:val="00C72459"/>
    <w:rsid w:val="00C724A7"/>
    <w:rsid w:val="00C724EE"/>
    <w:rsid w:val="00C72721"/>
    <w:rsid w:val="00C72A0D"/>
    <w:rsid w:val="00C72C27"/>
    <w:rsid w:val="00C72F15"/>
    <w:rsid w:val="00C7315E"/>
    <w:rsid w:val="00C73192"/>
    <w:rsid w:val="00C734F9"/>
    <w:rsid w:val="00C73553"/>
    <w:rsid w:val="00C735FC"/>
    <w:rsid w:val="00C7364F"/>
    <w:rsid w:val="00C73841"/>
    <w:rsid w:val="00C7390A"/>
    <w:rsid w:val="00C73C46"/>
    <w:rsid w:val="00C73C55"/>
    <w:rsid w:val="00C73C81"/>
    <w:rsid w:val="00C73F78"/>
    <w:rsid w:val="00C73FA4"/>
    <w:rsid w:val="00C746F7"/>
    <w:rsid w:val="00C74D44"/>
    <w:rsid w:val="00C74D91"/>
    <w:rsid w:val="00C74DFF"/>
    <w:rsid w:val="00C75293"/>
    <w:rsid w:val="00C7529F"/>
    <w:rsid w:val="00C753DD"/>
    <w:rsid w:val="00C75598"/>
    <w:rsid w:val="00C75650"/>
    <w:rsid w:val="00C75895"/>
    <w:rsid w:val="00C75CD5"/>
    <w:rsid w:val="00C76722"/>
    <w:rsid w:val="00C768ED"/>
    <w:rsid w:val="00C77309"/>
    <w:rsid w:val="00C773A2"/>
    <w:rsid w:val="00C774BF"/>
    <w:rsid w:val="00C77D2E"/>
    <w:rsid w:val="00C8067B"/>
    <w:rsid w:val="00C80970"/>
    <w:rsid w:val="00C818CE"/>
    <w:rsid w:val="00C82632"/>
    <w:rsid w:val="00C826BC"/>
    <w:rsid w:val="00C82710"/>
    <w:rsid w:val="00C827C8"/>
    <w:rsid w:val="00C82869"/>
    <w:rsid w:val="00C828C2"/>
    <w:rsid w:val="00C839DC"/>
    <w:rsid w:val="00C83B06"/>
    <w:rsid w:val="00C83B28"/>
    <w:rsid w:val="00C83BCA"/>
    <w:rsid w:val="00C83C9F"/>
    <w:rsid w:val="00C83CA4"/>
    <w:rsid w:val="00C83CE1"/>
    <w:rsid w:val="00C84583"/>
    <w:rsid w:val="00C849F4"/>
    <w:rsid w:val="00C85409"/>
    <w:rsid w:val="00C85839"/>
    <w:rsid w:val="00C85A44"/>
    <w:rsid w:val="00C85BAA"/>
    <w:rsid w:val="00C85E36"/>
    <w:rsid w:val="00C8616E"/>
    <w:rsid w:val="00C86636"/>
    <w:rsid w:val="00C8723C"/>
    <w:rsid w:val="00C872B7"/>
    <w:rsid w:val="00C872DE"/>
    <w:rsid w:val="00C878E8"/>
    <w:rsid w:val="00C87DBB"/>
    <w:rsid w:val="00C87DEA"/>
    <w:rsid w:val="00C90502"/>
    <w:rsid w:val="00C90594"/>
    <w:rsid w:val="00C9079A"/>
    <w:rsid w:val="00C90B49"/>
    <w:rsid w:val="00C90D39"/>
    <w:rsid w:val="00C915FC"/>
    <w:rsid w:val="00C916A1"/>
    <w:rsid w:val="00C91F56"/>
    <w:rsid w:val="00C92893"/>
    <w:rsid w:val="00C92BD5"/>
    <w:rsid w:val="00C92F78"/>
    <w:rsid w:val="00C932AF"/>
    <w:rsid w:val="00C93B87"/>
    <w:rsid w:val="00C93EAE"/>
    <w:rsid w:val="00C94840"/>
    <w:rsid w:val="00C9486D"/>
    <w:rsid w:val="00C94F30"/>
    <w:rsid w:val="00C94FCD"/>
    <w:rsid w:val="00C95013"/>
    <w:rsid w:val="00C95ADE"/>
    <w:rsid w:val="00C96454"/>
    <w:rsid w:val="00C964AF"/>
    <w:rsid w:val="00C966B9"/>
    <w:rsid w:val="00C9675B"/>
    <w:rsid w:val="00C97049"/>
    <w:rsid w:val="00C97A09"/>
    <w:rsid w:val="00CA0039"/>
    <w:rsid w:val="00CA0388"/>
    <w:rsid w:val="00CA0507"/>
    <w:rsid w:val="00CA0881"/>
    <w:rsid w:val="00CA0C6E"/>
    <w:rsid w:val="00CA0F35"/>
    <w:rsid w:val="00CA11C0"/>
    <w:rsid w:val="00CA124A"/>
    <w:rsid w:val="00CA15C3"/>
    <w:rsid w:val="00CA18EE"/>
    <w:rsid w:val="00CA1CC1"/>
    <w:rsid w:val="00CA1DC4"/>
    <w:rsid w:val="00CA245B"/>
    <w:rsid w:val="00CA2F8B"/>
    <w:rsid w:val="00CA2F9E"/>
    <w:rsid w:val="00CA36B1"/>
    <w:rsid w:val="00CA36E8"/>
    <w:rsid w:val="00CA3814"/>
    <w:rsid w:val="00CA38BF"/>
    <w:rsid w:val="00CA3961"/>
    <w:rsid w:val="00CA3CF5"/>
    <w:rsid w:val="00CA3D6C"/>
    <w:rsid w:val="00CA3D72"/>
    <w:rsid w:val="00CA3D89"/>
    <w:rsid w:val="00CA475D"/>
    <w:rsid w:val="00CA49EC"/>
    <w:rsid w:val="00CA4EE3"/>
    <w:rsid w:val="00CA4F70"/>
    <w:rsid w:val="00CA54A5"/>
    <w:rsid w:val="00CA5649"/>
    <w:rsid w:val="00CA574F"/>
    <w:rsid w:val="00CA57CC"/>
    <w:rsid w:val="00CA5FDB"/>
    <w:rsid w:val="00CA627E"/>
    <w:rsid w:val="00CA6579"/>
    <w:rsid w:val="00CA6705"/>
    <w:rsid w:val="00CA6811"/>
    <w:rsid w:val="00CA6BD4"/>
    <w:rsid w:val="00CA6C9B"/>
    <w:rsid w:val="00CA6DE7"/>
    <w:rsid w:val="00CA6ECD"/>
    <w:rsid w:val="00CA73B2"/>
    <w:rsid w:val="00CA77D1"/>
    <w:rsid w:val="00CA791E"/>
    <w:rsid w:val="00CA7A94"/>
    <w:rsid w:val="00CA7DFA"/>
    <w:rsid w:val="00CB000D"/>
    <w:rsid w:val="00CB027F"/>
    <w:rsid w:val="00CB112A"/>
    <w:rsid w:val="00CB1486"/>
    <w:rsid w:val="00CB1501"/>
    <w:rsid w:val="00CB1749"/>
    <w:rsid w:val="00CB1BEA"/>
    <w:rsid w:val="00CB2113"/>
    <w:rsid w:val="00CB2267"/>
    <w:rsid w:val="00CB2377"/>
    <w:rsid w:val="00CB31EA"/>
    <w:rsid w:val="00CB3BF1"/>
    <w:rsid w:val="00CB3E1A"/>
    <w:rsid w:val="00CB4D93"/>
    <w:rsid w:val="00CB4E0E"/>
    <w:rsid w:val="00CB4E52"/>
    <w:rsid w:val="00CB4FAB"/>
    <w:rsid w:val="00CB5059"/>
    <w:rsid w:val="00CB597E"/>
    <w:rsid w:val="00CB6761"/>
    <w:rsid w:val="00CB6A45"/>
    <w:rsid w:val="00CB6A79"/>
    <w:rsid w:val="00CB6D09"/>
    <w:rsid w:val="00CB6DC6"/>
    <w:rsid w:val="00CB6F67"/>
    <w:rsid w:val="00CB6FD9"/>
    <w:rsid w:val="00CB757C"/>
    <w:rsid w:val="00CB7B65"/>
    <w:rsid w:val="00CC0777"/>
    <w:rsid w:val="00CC0A41"/>
    <w:rsid w:val="00CC0EBB"/>
    <w:rsid w:val="00CC0F21"/>
    <w:rsid w:val="00CC1428"/>
    <w:rsid w:val="00CC15BC"/>
    <w:rsid w:val="00CC1929"/>
    <w:rsid w:val="00CC1C5A"/>
    <w:rsid w:val="00CC26A8"/>
    <w:rsid w:val="00CC2702"/>
    <w:rsid w:val="00CC2CA6"/>
    <w:rsid w:val="00CC2CE0"/>
    <w:rsid w:val="00CC30F5"/>
    <w:rsid w:val="00CC3166"/>
    <w:rsid w:val="00CC3197"/>
    <w:rsid w:val="00CC3522"/>
    <w:rsid w:val="00CC3B69"/>
    <w:rsid w:val="00CC3CAA"/>
    <w:rsid w:val="00CC47BF"/>
    <w:rsid w:val="00CC4EDC"/>
    <w:rsid w:val="00CC5082"/>
    <w:rsid w:val="00CC5123"/>
    <w:rsid w:val="00CC597B"/>
    <w:rsid w:val="00CC5A2D"/>
    <w:rsid w:val="00CC5AC8"/>
    <w:rsid w:val="00CC5B00"/>
    <w:rsid w:val="00CC60EE"/>
    <w:rsid w:val="00CC6297"/>
    <w:rsid w:val="00CC644A"/>
    <w:rsid w:val="00CC6849"/>
    <w:rsid w:val="00CC6FEC"/>
    <w:rsid w:val="00CC712A"/>
    <w:rsid w:val="00CC7167"/>
    <w:rsid w:val="00CC72EE"/>
    <w:rsid w:val="00CC7690"/>
    <w:rsid w:val="00CC78FB"/>
    <w:rsid w:val="00CC7B0C"/>
    <w:rsid w:val="00CC7F16"/>
    <w:rsid w:val="00CD01E6"/>
    <w:rsid w:val="00CD04B4"/>
    <w:rsid w:val="00CD054F"/>
    <w:rsid w:val="00CD05F1"/>
    <w:rsid w:val="00CD0604"/>
    <w:rsid w:val="00CD0746"/>
    <w:rsid w:val="00CD09F4"/>
    <w:rsid w:val="00CD0B4A"/>
    <w:rsid w:val="00CD1986"/>
    <w:rsid w:val="00CD1F33"/>
    <w:rsid w:val="00CD20E2"/>
    <w:rsid w:val="00CD2120"/>
    <w:rsid w:val="00CD21F4"/>
    <w:rsid w:val="00CD22DF"/>
    <w:rsid w:val="00CD25D8"/>
    <w:rsid w:val="00CD2AAC"/>
    <w:rsid w:val="00CD2B11"/>
    <w:rsid w:val="00CD2D96"/>
    <w:rsid w:val="00CD3075"/>
    <w:rsid w:val="00CD30F0"/>
    <w:rsid w:val="00CD31AF"/>
    <w:rsid w:val="00CD3215"/>
    <w:rsid w:val="00CD33B4"/>
    <w:rsid w:val="00CD3527"/>
    <w:rsid w:val="00CD3BED"/>
    <w:rsid w:val="00CD474A"/>
    <w:rsid w:val="00CD490B"/>
    <w:rsid w:val="00CD493A"/>
    <w:rsid w:val="00CD5022"/>
    <w:rsid w:val="00CD51DA"/>
    <w:rsid w:val="00CD54BF"/>
    <w:rsid w:val="00CD5D13"/>
    <w:rsid w:val="00CD631D"/>
    <w:rsid w:val="00CD65F9"/>
    <w:rsid w:val="00CD6624"/>
    <w:rsid w:val="00CD67B6"/>
    <w:rsid w:val="00CD6828"/>
    <w:rsid w:val="00CD6D6D"/>
    <w:rsid w:val="00CD6D9B"/>
    <w:rsid w:val="00CD7037"/>
    <w:rsid w:val="00CD75C6"/>
    <w:rsid w:val="00CD7CB2"/>
    <w:rsid w:val="00CD7ED4"/>
    <w:rsid w:val="00CE012A"/>
    <w:rsid w:val="00CE06AC"/>
    <w:rsid w:val="00CE115E"/>
    <w:rsid w:val="00CE1343"/>
    <w:rsid w:val="00CE1E5C"/>
    <w:rsid w:val="00CE1F1C"/>
    <w:rsid w:val="00CE25A8"/>
    <w:rsid w:val="00CE25AC"/>
    <w:rsid w:val="00CE319A"/>
    <w:rsid w:val="00CE373D"/>
    <w:rsid w:val="00CE437F"/>
    <w:rsid w:val="00CE45CA"/>
    <w:rsid w:val="00CE49B7"/>
    <w:rsid w:val="00CE4A71"/>
    <w:rsid w:val="00CE4D5C"/>
    <w:rsid w:val="00CE50FC"/>
    <w:rsid w:val="00CE5169"/>
    <w:rsid w:val="00CE521F"/>
    <w:rsid w:val="00CE5839"/>
    <w:rsid w:val="00CE5E4E"/>
    <w:rsid w:val="00CE6A15"/>
    <w:rsid w:val="00CE7125"/>
    <w:rsid w:val="00CE724F"/>
    <w:rsid w:val="00CE72B2"/>
    <w:rsid w:val="00CE78F7"/>
    <w:rsid w:val="00CE79E3"/>
    <w:rsid w:val="00CE7A84"/>
    <w:rsid w:val="00CE7FAD"/>
    <w:rsid w:val="00CF02B4"/>
    <w:rsid w:val="00CF05DA"/>
    <w:rsid w:val="00CF0843"/>
    <w:rsid w:val="00CF16BA"/>
    <w:rsid w:val="00CF17B0"/>
    <w:rsid w:val="00CF192C"/>
    <w:rsid w:val="00CF1B0D"/>
    <w:rsid w:val="00CF1BFA"/>
    <w:rsid w:val="00CF2045"/>
    <w:rsid w:val="00CF21C1"/>
    <w:rsid w:val="00CF22F8"/>
    <w:rsid w:val="00CF2445"/>
    <w:rsid w:val="00CF27F0"/>
    <w:rsid w:val="00CF2A13"/>
    <w:rsid w:val="00CF2AB5"/>
    <w:rsid w:val="00CF2C80"/>
    <w:rsid w:val="00CF31B5"/>
    <w:rsid w:val="00CF3275"/>
    <w:rsid w:val="00CF352C"/>
    <w:rsid w:val="00CF3BEF"/>
    <w:rsid w:val="00CF47D6"/>
    <w:rsid w:val="00CF4949"/>
    <w:rsid w:val="00CF4C3D"/>
    <w:rsid w:val="00CF4FCE"/>
    <w:rsid w:val="00CF50B3"/>
    <w:rsid w:val="00CF525C"/>
    <w:rsid w:val="00CF5310"/>
    <w:rsid w:val="00CF54A9"/>
    <w:rsid w:val="00CF54C0"/>
    <w:rsid w:val="00CF56E8"/>
    <w:rsid w:val="00CF58EB"/>
    <w:rsid w:val="00CF5B67"/>
    <w:rsid w:val="00CF5C0F"/>
    <w:rsid w:val="00CF61D4"/>
    <w:rsid w:val="00CF6DC3"/>
    <w:rsid w:val="00CF6FEC"/>
    <w:rsid w:val="00CF70C2"/>
    <w:rsid w:val="00CF7125"/>
    <w:rsid w:val="00CF71FA"/>
    <w:rsid w:val="00CF74FE"/>
    <w:rsid w:val="00CF75C0"/>
    <w:rsid w:val="00D00175"/>
    <w:rsid w:val="00D0023E"/>
    <w:rsid w:val="00D00651"/>
    <w:rsid w:val="00D00957"/>
    <w:rsid w:val="00D00AA4"/>
    <w:rsid w:val="00D00C27"/>
    <w:rsid w:val="00D00DAE"/>
    <w:rsid w:val="00D0106E"/>
    <w:rsid w:val="00D01273"/>
    <w:rsid w:val="00D012C9"/>
    <w:rsid w:val="00D014BE"/>
    <w:rsid w:val="00D018C7"/>
    <w:rsid w:val="00D01D80"/>
    <w:rsid w:val="00D02146"/>
    <w:rsid w:val="00D02EAC"/>
    <w:rsid w:val="00D03470"/>
    <w:rsid w:val="00D0406D"/>
    <w:rsid w:val="00D04564"/>
    <w:rsid w:val="00D04A17"/>
    <w:rsid w:val="00D04FAE"/>
    <w:rsid w:val="00D054EB"/>
    <w:rsid w:val="00D05573"/>
    <w:rsid w:val="00D055AB"/>
    <w:rsid w:val="00D05700"/>
    <w:rsid w:val="00D05E62"/>
    <w:rsid w:val="00D05F21"/>
    <w:rsid w:val="00D05F69"/>
    <w:rsid w:val="00D06106"/>
    <w:rsid w:val="00D06383"/>
    <w:rsid w:val="00D065E6"/>
    <w:rsid w:val="00D066B0"/>
    <w:rsid w:val="00D06A71"/>
    <w:rsid w:val="00D06EF3"/>
    <w:rsid w:val="00D0701F"/>
    <w:rsid w:val="00D070F4"/>
    <w:rsid w:val="00D072E7"/>
    <w:rsid w:val="00D073E6"/>
    <w:rsid w:val="00D07CA7"/>
    <w:rsid w:val="00D07CCE"/>
    <w:rsid w:val="00D10646"/>
    <w:rsid w:val="00D10954"/>
    <w:rsid w:val="00D10E3C"/>
    <w:rsid w:val="00D10EBD"/>
    <w:rsid w:val="00D11135"/>
    <w:rsid w:val="00D11978"/>
    <w:rsid w:val="00D122CF"/>
    <w:rsid w:val="00D1243C"/>
    <w:rsid w:val="00D12460"/>
    <w:rsid w:val="00D12BE5"/>
    <w:rsid w:val="00D1306F"/>
    <w:rsid w:val="00D1332C"/>
    <w:rsid w:val="00D1334C"/>
    <w:rsid w:val="00D13442"/>
    <w:rsid w:val="00D14339"/>
    <w:rsid w:val="00D14B61"/>
    <w:rsid w:val="00D14DAC"/>
    <w:rsid w:val="00D14F1D"/>
    <w:rsid w:val="00D1500B"/>
    <w:rsid w:val="00D15766"/>
    <w:rsid w:val="00D16166"/>
    <w:rsid w:val="00D16318"/>
    <w:rsid w:val="00D1638A"/>
    <w:rsid w:val="00D16A3D"/>
    <w:rsid w:val="00D16F32"/>
    <w:rsid w:val="00D17254"/>
    <w:rsid w:val="00D17418"/>
    <w:rsid w:val="00D17CB9"/>
    <w:rsid w:val="00D20A07"/>
    <w:rsid w:val="00D20E85"/>
    <w:rsid w:val="00D20F99"/>
    <w:rsid w:val="00D21403"/>
    <w:rsid w:val="00D2143A"/>
    <w:rsid w:val="00D21B23"/>
    <w:rsid w:val="00D21E27"/>
    <w:rsid w:val="00D21F16"/>
    <w:rsid w:val="00D21FD1"/>
    <w:rsid w:val="00D224DC"/>
    <w:rsid w:val="00D2276D"/>
    <w:rsid w:val="00D227DC"/>
    <w:rsid w:val="00D22858"/>
    <w:rsid w:val="00D2294C"/>
    <w:rsid w:val="00D22B23"/>
    <w:rsid w:val="00D22C97"/>
    <w:rsid w:val="00D22E2B"/>
    <w:rsid w:val="00D2311D"/>
    <w:rsid w:val="00D234C6"/>
    <w:rsid w:val="00D2355D"/>
    <w:rsid w:val="00D23705"/>
    <w:rsid w:val="00D23805"/>
    <w:rsid w:val="00D23929"/>
    <w:rsid w:val="00D23BAF"/>
    <w:rsid w:val="00D23C68"/>
    <w:rsid w:val="00D23EF6"/>
    <w:rsid w:val="00D241BE"/>
    <w:rsid w:val="00D2424C"/>
    <w:rsid w:val="00D2452A"/>
    <w:rsid w:val="00D245DB"/>
    <w:rsid w:val="00D24615"/>
    <w:rsid w:val="00D249F8"/>
    <w:rsid w:val="00D24AD2"/>
    <w:rsid w:val="00D2519E"/>
    <w:rsid w:val="00D254F3"/>
    <w:rsid w:val="00D25670"/>
    <w:rsid w:val="00D25A5D"/>
    <w:rsid w:val="00D25F2E"/>
    <w:rsid w:val="00D260ED"/>
    <w:rsid w:val="00D2626C"/>
    <w:rsid w:val="00D26805"/>
    <w:rsid w:val="00D26867"/>
    <w:rsid w:val="00D26ACC"/>
    <w:rsid w:val="00D272D9"/>
    <w:rsid w:val="00D27A30"/>
    <w:rsid w:val="00D27AEE"/>
    <w:rsid w:val="00D301A9"/>
    <w:rsid w:val="00D30643"/>
    <w:rsid w:val="00D30679"/>
    <w:rsid w:val="00D30E39"/>
    <w:rsid w:val="00D3134F"/>
    <w:rsid w:val="00D31458"/>
    <w:rsid w:val="00D32637"/>
    <w:rsid w:val="00D327E1"/>
    <w:rsid w:val="00D329BA"/>
    <w:rsid w:val="00D32C46"/>
    <w:rsid w:val="00D33060"/>
    <w:rsid w:val="00D33560"/>
    <w:rsid w:val="00D337B7"/>
    <w:rsid w:val="00D33F80"/>
    <w:rsid w:val="00D34188"/>
    <w:rsid w:val="00D34F92"/>
    <w:rsid w:val="00D35021"/>
    <w:rsid w:val="00D35A43"/>
    <w:rsid w:val="00D35A6F"/>
    <w:rsid w:val="00D362CD"/>
    <w:rsid w:val="00D36A1D"/>
    <w:rsid w:val="00D36E35"/>
    <w:rsid w:val="00D36F2A"/>
    <w:rsid w:val="00D37842"/>
    <w:rsid w:val="00D37E0B"/>
    <w:rsid w:val="00D4050A"/>
    <w:rsid w:val="00D40E50"/>
    <w:rsid w:val="00D419FA"/>
    <w:rsid w:val="00D41AE0"/>
    <w:rsid w:val="00D41BA5"/>
    <w:rsid w:val="00D41E47"/>
    <w:rsid w:val="00D41E72"/>
    <w:rsid w:val="00D420F6"/>
    <w:rsid w:val="00D42559"/>
    <w:rsid w:val="00D42DC2"/>
    <w:rsid w:val="00D42F18"/>
    <w:rsid w:val="00D433A6"/>
    <w:rsid w:val="00D43C1D"/>
    <w:rsid w:val="00D43CAA"/>
    <w:rsid w:val="00D43D01"/>
    <w:rsid w:val="00D43F9C"/>
    <w:rsid w:val="00D4409D"/>
    <w:rsid w:val="00D44898"/>
    <w:rsid w:val="00D44AF4"/>
    <w:rsid w:val="00D452EE"/>
    <w:rsid w:val="00D452F1"/>
    <w:rsid w:val="00D453C9"/>
    <w:rsid w:val="00D458A5"/>
    <w:rsid w:val="00D45A51"/>
    <w:rsid w:val="00D4611A"/>
    <w:rsid w:val="00D46352"/>
    <w:rsid w:val="00D46586"/>
    <w:rsid w:val="00D46EF0"/>
    <w:rsid w:val="00D479AB"/>
    <w:rsid w:val="00D47A6D"/>
    <w:rsid w:val="00D47CC4"/>
    <w:rsid w:val="00D50364"/>
    <w:rsid w:val="00D5053A"/>
    <w:rsid w:val="00D50712"/>
    <w:rsid w:val="00D50ABD"/>
    <w:rsid w:val="00D50DD0"/>
    <w:rsid w:val="00D50EFA"/>
    <w:rsid w:val="00D51081"/>
    <w:rsid w:val="00D51503"/>
    <w:rsid w:val="00D51836"/>
    <w:rsid w:val="00D51B6B"/>
    <w:rsid w:val="00D51FAD"/>
    <w:rsid w:val="00D52543"/>
    <w:rsid w:val="00D52620"/>
    <w:rsid w:val="00D52714"/>
    <w:rsid w:val="00D52C6E"/>
    <w:rsid w:val="00D5319F"/>
    <w:rsid w:val="00D53625"/>
    <w:rsid w:val="00D536FC"/>
    <w:rsid w:val="00D537E1"/>
    <w:rsid w:val="00D53802"/>
    <w:rsid w:val="00D538DA"/>
    <w:rsid w:val="00D53F30"/>
    <w:rsid w:val="00D541D6"/>
    <w:rsid w:val="00D544DC"/>
    <w:rsid w:val="00D5466F"/>
    <w:rsid w:val="00D5489C"/>
    <w:rsid w:val="00D54906"/>
    <w:rsid w:val="00D54A0B"/>
    <w:rsid w:val="00D5503B"/>
    <w:rsid w:val="00D555C8"/>
    <w:rsid w:val="00D5581C"/>
    <w:rsid w:val="00D5599A"/>
    <w:rsid w:val="00D55BB2"/>
    <w:rsid w:val="00D5607B"/>
    <w:rsid w:val="00D560B5"/>
    <w:rsid w:val="00D5619D"/>
    <w:rsid w:val="00D563A3"/>
    <w:rsid w:val="00D564F5"/>
    <w:rsid w:val="00D571A0"/>
    <w:rsid w:val="00D57625"/>
    <w:rsid w:val="00D57B34"/>
    <w:rsid w:val="00D6009E"/>
    <w:rsid w:val="00D6011C"/>
    <w:rsid w:val="00D601E4"/>
    <w:rsid w:val="00D60502"/>
    <w:rsid w:val="00D6081D"/>
    <w:rsid w:val="00D60884"/>
    <w:rsid w:val="00D608F9"/>
    <w:rsid w:val="00D6091A"/>
    <w:rsid w:val="00D6098E"/>
    <w:rsid w:val="00D60D33"/>
    <w:rsid w:val="00D61023"/>
    <w:rsid w:val="00D61216"/>
    <w:rsid w:val="00D6166D"/>
    <w:rsid w:val="00D61688"/>
    <w:rsid w:val="00D6213B"/>
    <w:rsid w:val="00D6215B"/>
    <w:rsid w:val="00D624F1"/>
    <w:rsid w:val="00D62B9D"/>
    <w:rsid w:val="00D62C6D"/>
    <w:rsid w:val="00D62FA6"/>
    <w:rsid w:val="00D63245"/>
    <w:rsid w:val="00D6339A"/>
    <w:rsid w:val="00D636E8"/>
    <w:rsid w:val="00D63A26"/>
    <w:rsid w:val="00D640D0"/>
    <w:rsid w:val="00D649EA"/>
    <w:rsid w:val="00D64EFC"/>
    <w:rsid w:val="00D650E3"/>
    <w:rsid w:val="00D6522C"/>
    <w:rsid w:val="00D659E5"/>
    <w:rsid w:val="00D65C50"/>
    <w:rsid w:val="00D65CCA"/>
    <w:rsid w:val="00D65ECF"/>
    <w:rsid w:val="00D6605A"/>
    <w:rsid w:val="00D664F9"/>
    <w:rsid w:val="00D667AE"/>
    <w:rsid w:val="00D6695F"/>
    <w:rsid w:val="00D66A3C"/>
    <w:rsid w:val="00D66F48"/>
    <w:rsid w:val="00D67142"/>
    <w:rsid w:val="00D671ED"/>
    <w:rsid w:val="00D6765B"/>
    <w:rsid w:val="00D676CE"/>
    <w:rsid w:val="00D67904"/>
    <w:rsid w:val="00D67D59"/>
    <w:rsid w:val="00D70197"/>
    <w:rsid w:val="00D70333"/>
    <w:rsid w:val="00D70522"/>
    <w:rsid w:val="00D705E4"/>
    <w:rsid w:val="00D707D6"/>
    <w:rsid w:val="00D707FF"/>
    <w:rsid w:val="00D70BAF"/>
    <w:rsid w:val="00D70BEB"/>
    <w:rsid w:val="00D70F80"/>
    <w:rsid w:val="00D7108D"/>
    <w:rsid w:val="00D713A5"/>
    <w:rsid w:val="00D714CD"/>
    <w:rsid w:val="00D71523"/>
    <w:rsid w:val="00D71639"/>
    <w:rsid w:val="00D719E0"/>
    <w:rsid w:val="00D7286A"/>
    <w:rsid w:val="00D73252"/>
    <w:rsid w:val="00D7407A"/>
    <w:rsid w:val="00D74608"/>
    <w:rsid w:val="00D74770"/>
    <w:rsid w:val="00D752B9"/>
    <w:rsid w:val="00D75321"/>
    <w:rsid w:val="00D75644"/>
    <w:rsid w:val="00D75926"/>
    <w:rsid w:val="00D75A10"/>
    <w:rsid w:val="00D75D98"/>
    <w:rsid w:val="00D761B8"/>
    <w:rsid w:val="00D7697C"/>
    <w:rsid w:val="00D76B3A"/>
    <w:rsid w:val="00D773B2"/>
    <w:rsid w:val="00D77781"/>
    <w:rsid w:val="00D77AC1"/>
    <w:rsid w:val="00D77BC7"/>
    <w:rsid w:val="00D77EAF"/>
    <w:rsid w:val="00D77F56"/>
    <w:rsid w:val="00D80100"/>
    <w:rsid w:val="00D80184"/>
    <w:rsid w:val="00D803AF"/>
    <w:rsid w:val="00D806E7"/>
    <w:rsid w:val="00D8078E"/>
    <w:rsid w:val="00D809DE"/>
    <w:rsid w:val="00D80AE1"/>
    <w:rsid w:val="00D80F8D"/>
    <w:rsid w:val="00D810BE"/>
    <w:rsid w:val="00D81451"/>
    <w:rsid w:val="00D81656"/>
    <w:rsid w:val="00D817B3"/>
    <w:rsid w:val="00D819F4"/>
    <w:rsid w:val="00D81B3F"/>
    <w:rsid w:val="00D81E81"/>
    <w:rsid w:val="00D82411"/>
    <w:rsid w:val="00D82445"/>
    <w:rsid w:val="00D828F2"/>
    <w:rsid w:val="00D82D30"/>
    <w:rsid w:val="00D830CF"/>
    <w:rsid w:val="00D838B2"/>
    <w:rsid w:val="00D83D87"/>
    <w:rsid w:val="00D83E3A"/>
    <w:rsid w:val="00D83F4C"/>
    <w:rsid w:val="00D840C0"/>
    <w:rsid w:val="00D84123"/>
    <w:rsid w:val="00D84139"/>
    <w:rsid w:val="00D84203"/>
    <w:rsid w:val="00D84262"/>
    <w:rsid w:val="00D84481"/>
    <w:rsid w:val="00D84806"/>
    <w:rsid w:val="00D84881"/>
    <w:rsid w:val="00D84A6D"/>
    <w:rsid w:val="00D84C9D"/>
    <w:rsid w:val="00D84EE2"/>
    <w:rsid w:val="00D84F68"/>
    <w:rsid w:val="00D85510"/>
    <w:rsid w:val="00D85B74"/>
    <w:rsid w:val="00D85BE3"/>
    <w:rsid w:val="00D85C82"/>
    <w:rsid w:val="00D85D8D"/>
    <w:rsid w:val="00D85E9F"/>
    <w:rsid w:val="00D86220"/>
    <w:rsid w:val="00D86523"/>
    <w:rsid w:val="00D865DC"/>
    <w:rsid w:val="00D8662F"/>
    <w:rsid w:val="00D86A30"/>
    <w:rsid w:val="00D86C9F"/>
    <w:rsid w:val="00D87050"/>
    <w:rsid w:val="00D872CD"/>
    <w:rsid w:val="00D877D7"/>
    <w:rsid w:val="00D903D3"/>
    <w:rsid w:val="00D908DB"/>
    <w:rsid w:val="00D91078"/>
    <w:rsid w:val="00D91199"/>
    <w:rsid w:val="00D911B8"/>
    <w:rsid w:val="00D91327"/>
    <w:rsid w:val="00D91420"/>
    <w:rsid w:val="00D91A0E"/>
    <w:rsid w:val="00D91CED"/>
    <w:rsid w:val="00D920BA"/>
    <w:rsid w:val="00D9293C"/>
    <w:rsid w:val="00D9357E"/>
    <w:rsid w:val="00D93A64"/>
    <w:rsid w:val="00D93BD7"/>
    <w:rsid w:val="00D93BF3"/>
    <w:rsid w:val="00D93C56"/>
    <w:rsid w:val="00D940E0"/>
    <w:rsid w:val="00D940E6"/>
    <w:rsid w:val="00D9418E"/>
    <w:rsid w:val="00D9431B"/>
    <w:rsid w:val="00D945D6"/>
    <w:rsid w:val="00D9490A"/>
    <w:rsid w:val="00D9494F"/>
    <w:rsid w:val="00D94C54"/>
    <w:rsid w:val="00D950E4"/>
    <w:rsid w:val="00D9541C"/>
    <w:rsid w:val="00D962CA"/>
    <w:rsid w:val="00D964D0"/>
    <w:rsid w:val="00D9671B"/>
    <w:rsid w:val="00D96A9F"/>
    <w:rsid w:val="00D9715C"/>
    <w:rsid w:val="00D97846"/>
    <w:rsid w:val="00D97C3F"/>
    <w:rsid w:val="00D97CB4"/>
    <w:rsid w:val="00D97DD4"/>
    <w:rsid w:val="00DA05C1"/>
    <w:rsid w:val="00DA069F"/>
    <w:rsid w:val="00DA0B8D"/>
    <w:rsid w:val="00DA163F"/>
    <w:rsid w:val="00DA17BF"/>
    <w:rsid w:val="00DA1808"/>
    <w:rsid w:val="00DA1A29"/>
    <w:rsid w:val="00DA1DB8"/>
    <w:rsid w:val="00DA20EE"/>
    <w:rsid w:val="00DA232B"/>
    <w:rsid w:val="00DA23CF"/>
    <w:rsid w:val="00DA2624"/>
    <w:rsid w:val="00DA2A4F"/>
    <w:rsid w:val="00DA2BC3"/>
    <w:rsid w:val="00DA2D91"/>
    <w:rsid w:val="00DA32B3"/>
    <w:rsid w:val="00DA3528"/>
    <w:rsid w:val="00DA38B2"/>
    <w:rsid w:val="00DA38E0"/>
    <w:rsid w:val="00DA3F58"/>
    <w:rsid w:val="00DA41E1"/>
    <w:rsid w:val="00DA42B9"/>
    <w:rsid w:val="00DA48AA"/>
    <w:rsid w:val="00DA4B8A"/>
    <w:rsid w:val="00DA5991"/>
    <w:rsid w:val="00DA5A8A"/>
    <w:rsid w:val="00DA624E"/>
    <w:rsid w:val="00DA6435"/>
    <w:rsid w:val="00DA64A0"/>
    <w:rsid w:val="00DA65A9"/>
    <w:rsid w:val="00DA677E"/>
    <w:rsid w:val="00DA6D20"/>
    <w:rsid w:val="00DA77AB"/>
    <w:rsid w:val="00DA7A36"/>
    <w:rsid w:val="00DA7F61"/>
    <w:rsid w:val="00DB012B"/>
    <w:rsid w:val="00DB014A"/>
    <w:rsid w:val="00DB04E8"/>
    <w:rsid w:val="00DB063D"/>
    <w:rsid w:val="00DB0688"/>
    <w:rsid w:val="00DB08C9"/>
    <w:rsid w:val="00DB08DB"/>
    <w:rsid w:val="00DB0C4E"/>
    <w:rsid w:val="00DB0D1F"/>
    <w:rsid w:val="00DB0DD7"/>
    <w:rsid w:val="00DB0F0C"/>
    <w:rsid w:val="00DB1016"/>
    <w:rsid w:val="00DB1065"/>
    <w:rsid w:val="00DB1170"/>
    <w:rsid w:val="00DB13BA"/>
    <w:rsid w:val="00DB13FD"/>
    <w:rsid w:val="00DB147D"/>
    <w:rsid w:val="00DB1567"/>
    <w:rsid w:val="00DB19CC"/>
    <w:rsid w:val="00DB2122"/>
    <w:rsid w:val="00DB248D"/>
    <w:rsid w:val="00DB263E"/>
    <w:rsid w:val="00DB268C"/>
    <w:rsid w:val="00DB26CD"/>
    <w:rsid w:val="00DB2775"/>
    <w:rsid w:val="00DB2A5D"/>
    <w:rsid w:val="00DB3093"/>
    <w:rsid w:val="00DB328A"/>
    <w:rsid w:val="00DB33DB"/>
    <w:rsid w:val="00DB3E5F"/>
    <w:rsid w:val="00DB3F79"/>
    <w:rsid w:val="00DB40B5"/>
    <w:rsid w:val="00DB42F5"/>
    <w:rsid w:val="00DB441C"/>
    <w:rsid w:val="00DB44AF"/>
    <w:rsid w:val="00DB48DB"/>
    <w:rsid w:val="00DB4CAD"/>
    <w:rsid w:val="00DB51E7"/>
    <w:rsid w:val="00DB563E"/>
    <w:rsid w:val="00DB564D"/>
    <w:rsid w:val="00DB56CA"/>
    <w:rsid w:val="00DB5889"/>
    <w:rsid w:val="00DB5FB0"/>
    <w:rsid w:val="00DB62C8"/>
    <w:rsid w:val="00DB62DC"/>
    <w:rsid w:val="00DB6423"/>
    <w:rsid w:val="00DB6806"/>
    <w:rsid w:val="00DB6881"/>
    <w:rsid w:val="00DB6989"/>
    <w:rsid w:val="00DB6DDD"/>
    <w:rsid w:val="00DB6EB4"/>
    <w:rsid w:val="00DB71AC"/>
    <w:rsid w:val="00DB74A2"/>
    <w:rsid w:val="00DB7B1A"/>
    <w:rsid w:val="00DB7DF8"/>
    <w:rsid w:val="00DC0484"/>
    <w:rsid w:val="00DC0959"/>
    <w:rsid w:val="00DC0BF8"/>
    <w:rsid w:val="00DC133F"/>
    <w:rsid w:val="00DC157A"/>
    <w:rsid w:val="00DC1B2D"/>
    <w:rsid w:val="00DC1F58"/>
    <w:rsid w:val="00DC212A"/>
    <w:rsid w:val="00DC2296"/>
    <w:rsid w:val="00DC2781"/>
    <w:rsid w:val="00DC2CC3"/>
    <w:rsid w:val="00DC2EA3"/>
    <w:rsid w:val="00DC302F"/>
    <w:rsid w:val="00DC339B"/>
    <w:rsid w:val="00DC33C1"/>
    <w:rsid w:val="00DC3577"/>
    <w:rsid w:val="00DC3AAB"/>
    <w:rsid w:val="00DC3C8E"/>
    <w:rsid w:val="00DC43AB"/>
    <w:rsid w:val="00DC48A2"/>
    <w:rsid w:val="00DC4CF3"/>
    <w:rsid w:val="00DC4D4F"/>
    <w:rsid w:val="00DC4DAF"/>
    <w:rsid w:val="00DC4FA6"/>
    <w:rsid w:val="00DC568A"/>
    <w:rsid w:val="00DC598A"/>
    <w:rsid w:val="00DC5B96"/>
    <w:rsid w:val="00DC5BB7"/>
    <w:rsid w:val="00DC5D40"/>
    <w:rsid w:val="00DC5DB4"/>
    <w:rsid w:val="00DC6310"/>
    <w:rsid w:val="00DC647B"/>
    <w:rsid w:val="00DC670D"/>
    <w:rsid w:val="00DC69A7"/>
    <w:rsid w:val="00DC6F9C"/>
    <w:rsid w:val="00DC701B"/>
    <w:rsid w:val="00DC775E"/>
    <w:rsid w:val="00DC7C2C"/>
    <w:rsid w:val="00DD01F2"/>
    <w:rsid w:val="00DD07D4"/>
    <w:rsid w:val="00DD08FC"/>
    <w:rsid w:val="00DD0A30"/>
    <w:rsid w:val="00DD0A99"/>
    <w:rsid w:val="00DD0AB8"/>
    <w:rsid w:val="00DD113C"/>
    <w:rsid w:val="00DD262A"/>
    <w:rsid w:val="00DD2791"/>
    <w:rsid w:val="00DD2921"/>
    <w:rsid w:val="00DD30E9"/>
    <w:rsid w:val="00DD30FC"/>
    <w:rsid w:val="00DD3104"/>
    <w:rsid w:val="00DD312E"/>
    <w:rsid w:val="00DD36A8"/>
    <w:rsid w:val="00DD3E36"/>
    <w:rsid w:val="00DD3E40"/>
    <w:rsid w:val="00DD4107"/>
    <w:rsid w:val="00DD432E"/>
    <w:rsid w:val="00DD4A29"/>
    <w:rsid w:val="00DD4F47"/>
    <w:rsid w:val="00DD4FE7"/>
    <w:rsid w:val="00DD5A74"/>
    <w:rsid w:val="00DD5F45"/>
    <w:rsid w:val="00DD5FB8"/>
    <w:rsid w:val="00DD6009"/>
    <w:rsid w:val="00DD64F0"/>
    <w:rsid w:val="00DD68A1"/>
    <w:rsid w:val="00DD6E36"/>
    <w:rsid w:val="00DD6F3B"/>
    <w:rsid w:val="00DD71F8"/>
    <w:rsid w:val="00DD75F9"/>
    <w:rsid w:val="00DD77E7"/>
    <w:rsid w:val="00DD7D5F"/>
    <w:rsid w:val="00DD7D98"/>
    <w:rsid w:val="00DD7FBB"/>
    <w:rsid w:val="00DE03AF"/>
    <w:rsid w:val="00DE06D9"/>
    <w:rsid w:val="00DE089C"/>
    <w:rsid w:val="00DE090E"/>
    <w:rsid w:val="00DE093E"/>
    <w:rsid w:val="00DE0ABC"/>
    <w:rsid w:val="00DE0B9F"/>
    <w:rsid w:val="00DE0C9F"/>
    <w:rsid w:val="00DE2225"/>
    <w:rsid w:val="00DE2A9E"/>
    <w:rsid w:val="00DE2C3E"/>
    <w:rsid w:val="00DE2EB4"/>
    <w:rsid w:val="00DE2F3E"/>
    <w:rsid w:val="00DE303D"/>
    <w:rsid w:val="00DE31B7"/>
    <w:rsid w:val="00DE3C1C"/>
    <w:rsid w:val="00DE4238"/>
    <w:rsid w:val="00DE439A"/>
    <w:rsid w:val="00DE461E"/>
    <w:rsid w:val="00DE46CC"/>
    <w:rsid w:val="00DE4B01"/>
    <w:rsid w:val="00DE50E1"/>
    <w:rsid w:val="00DE531A"/>
    <w:rsid w:val="00DE5348"/>
    <w:rsid w:val="00DE53AA"/>
    <w:rsid w:val="00DE53B3"/>
    <w:rsid w:val="00DE55C6"/>
    <w:rsid w:val="00DE5988"/>
    <w:rsid w:val="00DE61BF"/>
    <w:rsid w:val="00DE62D2"/>
    <w:rsid w:val="00DE657F"/>
    <w:rsid w:val="00DE6A99"/>
    <w:rsid w:val="00DE6C14"/>
    <w:rsid w:val="00DE7A79"/>
    <w:rsid w:val="00DE7C5E"/>
    <w:rsid w:val="00DE7C5F"/>
    <w:rsid w:val="00DF03D2"/>
    <w:rsid w:val="00DF040B"/>
    <w:rsid w:val="00DF0738"/>
    <w:rsid w:val="00DF0B84"/>
    <w:rsid w:val="00DF0EEF"/>
    <w:rsid w:val="00DF114D"/>
    <w:rsid w:val="00DF1218"/>
    <w:rsid w:val="00DF191C"/>
    <w:rsid w:val="00DF1B7A"/>
    <w:rsid w:val="00DF1B84"/>
    <w:rsid w:val="00DF1DC3"/>
    <w:rsid w:val="00DF205A"/>
    <w:rsid w:val="00DF225B"/>
    <w:rsid w:val="00DF2D24"/>
    <w:rsid w:val="00DF319F"/>
    <w:rsid w:val="00DF34A1"/>
    <w:rsid w:val="00DF37B2"/>
    <w:rsid w:val="00DF38B2"/>
    <w:rsid w:val="00DF39B7"/>
    <w:rsid w:val="00DF3A17"/>
    <w:rsid w:val="00DF4382"/>
    <w:rsid w:val="00DF4857"/>
    <w:rsid w:val="00DF4B36"/>
    <w:rsid w:val="00DF4BE1"/>
    <w:rsid w:val="00DF4EF8"/>
    <w:rsid w:val="00DF501C"/>
    <w:rsid w:val="00DF5455"/>
    <w:rsid w:val="00DF5840"/>
    <w:rsid w:val="00DF5DF9"/>
    <w:rsid w:val="00DF6225"/>
    <w:rsid w:val="00DF6462"/>
    <w:rsid w:val="00DF6607"/>
    <w:rsid w:val="00DF68A5"/>
    <w:rsid w:val="00DF69D7"/>
    <w:rsid w:val="00DF6C7D"/>
    <w:rsid w:val="00DF6FA6"/>
    <w:rsid w:val="00DF71B7"/>
    <w:rsid w:val="00DF7426"/>
    <w:rsid w:val="00DF7E90"/>
    <w:rsid w:val="00E00063"/>
    <w:rsid w:val="00E0025D"/>
    <w:rsid w:val="00E00971"/>
    <w:rsid w:val="00E00C96"/>
    <w:rsid w:val="00E010B0"/>
    <w:rsid w:val="00E010F1"/>
    <w:rsid w:val="00E01F11"/>
    <w:rsid w:val="00E02775"/>
    <w:rsid w:val="00E02CD8"/>
    <w:rsid w:val="00E02FA0"/>
    <w:rsid w:val="00E031D1"/>
    <w:rsid w:val="00E036DC"/>
    <w:rsid w:val="00E03BA0"/>
    <w:rsid w:val="00E03CBE"/>
    <w:rsid w:val="00E0413A"/>
    <w:rsid w:val="00E04BF7"/>
    <w:rsid w:val="00E04C0A"/>
    <w:rsid w:val="00E04C6C"/>
    <w:rsid w:val="00E04D40"/>
    <w:rsid w:val="00E04F95"/>
    <w:rsid w:val="00E05057"/>
    <w:rsid w:val="00E050AD"/>
    <w:rsid w:val="00E0537C"/>
    <w:rsid w:val="00E05903"/>
    <w:rsid w:val="00E059ED"/>
    <w:rsid w:val="00E05A6E"/>
    <w:rsid w:val="00E05B40"/>
    <w:rsid w:val="00E060B8"/>
    <w:rsid w:val="00E06334"/>
    <w:rsid w:val="00E06D96"/>
    <w:rsid w:val="00E073A6"/>
    <w:rsid w:val="00E07535"/>
    <w:rsid w:val="00E07658"/>
    <w:rsid w:val="00E078FE"/>
    <w:rsid w:val="00E07AB9"/>
    <w:rsid w:val="00E07E54"/>
    <w:rsid w:val="00E07FF8"/>
    <w:rsid w:val="00E102F3"/>
    <w:rsid w:val="00E10454"/>
    <w:rsid w:val="00E10731"/>
    <w:rsid w:val="00E109EF"/>
    <w:rsid w:val="00E109F3"/>
    <w:rsid w:val="00E10A7D"/>
    <w:rsid w:val="00E10B9B"/>
    <w:rsid w:val="00E10C10"/>
    <w:rsid w:val="00E10D90"/>
    <w:rsid w:val="00E10FBE"/>
    <w:rsid w:val="00E112E5"/>
    <w:rsid w:val="00E11DEF"/>
    <w:rsid w:val="00E120D1"/>
    <w:rsid w:val="00E1212A"/>
    <w:rsid w:val="00E122D8"/>
    <w:rsid w:val="00E127AF"/>
    <w:rsid w:val="00E127FD"/>
    <w:rsid w:val="00E12AE6"/>
    <w:rsid w:val="00E12C3F"/>
    <w:rsid w:val="00E12CC8"/>
    <w:rsid w:val="00E12D1D"/>
    <w:rsid w:val="00E12DE1"/>
    <w:rsid w:val="00E13460"/>
    <w:rsid w:val="00E13976"/>
    <w:rsid w:val="00E13C26"/>
    <w:rsid w:val="00E14155"/>
    <w:rsid w:val="00E144AB"/>
    <w:rsid w:val="00E14885"/>
    <w:rsid w:val="00E14E45"/>
    <w:rsid w:val="00E15352"/>
    <w:rsid w:val="00E1538E"/>
    <w:rsid w:val="00E1556F"/>
    <w:rsid w:val="00E15629"/>
    <w:rsid w:val="00E15635"/>
    <w:rsid w:val="00E15ADE"/>
    <w:rsid w:val="00E15F95"/>
    <w:rsid w:val="00E16045"/>
    <w:rsid w:val="00E165A8"/>
    <w:rsid w:val="00E1667A"/>
    <w:rsid w:val="00E16B51"/>
    <w:rsid w:val="00E16FAA"/>
    <w:rsid w:val="00E17EE5"/>
    <w:rsid w:val="00E20148"/>
    <w:rsid w:val="00E20DA2"/>
    <w:rsid w:val="00E21192"/>
    <w:rsid w:val="00E21229"/>
    <w:rsid w:val="00E212ED"/>
    <w:rsid w:val="00E2148F"/>
    <w:rsid w:val="00E2166F"/>
    <w:rsid w:val="00E217C4"/>
    <w:rsid w:val="00E2194C"/>
    <w:rsid w:val="00E21A6D"/>
    <w:rsid w:val="00E21BD1"/>
    <w:rsid w:val="00E21C45"/>
    <w:rsid w:val="00E21CC7"/>
    <w:rsid w:val="00E221CF"/>
    <w:rsid w:val="00E224EB"/>
    <w:rsid w:val="00E227C7"/>
    <w:rsid w:val="00E228CA"/>
    <w:rsid w:val="00E22A10"/>
    <w:rsid w:val="00E233AB"/>
    <w:rsid w:val="00E234D4"/>
    <w:rsid w:val="00E236B5"/>
    <w:rsid w:val="00E238E7"/>
    <w:rsid w:val="00E23A3D"/>
    <w:rsid w:val="00E23BBB"/>
    <w:rsid w:val="00E23D9C"/>
    <w:rsid w:val="00E241D2"/>
    <w:rsid w:val="00E24D9E"/>
    <w:rsid w:val="00E24EC6"/>
    <w:rsid w:val="00E24F7B"/>
    <w:rsid w:val="00E24FA6"/>
    <w:rsid w:val="00E25086"/>
    <w:rsid w:val="00E2523D"/>
    <w:rsid w:val="00E25849"/>
    <w:rsid w:val="00E2590F"/>
    <w:rsid w:val="00E25FF6"/>
    <w:rsid w:val="00E26B34"/>
    <w:rsid w:val="00E26E1C"/>
    <w:rsid w:val="00E276F4"/>
    <w:rsid w:val="00E27C3F"/>
    <w:rsid w:val="00E27FAA"/>
    <w:rsid w:val="00E300C3"/>
    <w:rsid w:val="00E30160"/>
    <w:rsid w:val="00E3016A"/>
    <w:rsid w:val="00E30DF8"/>
    <w:rsid w:val="00E31398"/>
    <w:rsid w:val="00E31596"/>
    <w:rsid w:val="00E31729"/>
    <w:rsid w:val="00E31874"/>
    <w:rsid w:val="00E31889"/>
    <w:rsid w:val="00E3197E"/>
    <w:rsid w:val="00E31A4D"/>
    <w:rsid w:val="00E31AB2"/>
    <w:rsid w:val="00E31FE6"/>
    <w:rsid w:val="00E32094"/>
    <w:rsid w:val="00E3293B"/>
    <w:rsid w:val="00E32DD2"/>
    <w:rsid w:val="00E32E2B"/>
    <w:rsid w:val="00E32F0E"/>
    <w:rsid w:val="00E32F6C"/>
    <w:rsid w:val="00E32FE3"/>
    <w:rsid w:val="00E33480"/>
    <w:rsid w:val="00E33538"/>
    <w:rsid w:val="00E33DF2"/>
    <w:rsid w:val="00E342F8"/>
    <w:rsid w:val="00E34EA2"/>
    <w:rsid w:val="00E34F58"/>
    <w:rsid w:val="00E351ED"/>
    <w:rsid w:val="00E358EE"/>
    <w:rsid w:val="00E3590F"/>
    <w:rsid w:val="00E35D9F"/>
    <w:rsid w:val="00E36153"/>
    <w:rsid w:val="00E36664"/>
    <w:rsid w:val="00E3699C"/>
    <w:rsid w:val="00E36BC2"/>
    <w:rsid w:val="00E36C03"/>
    <w:rsid w:val="00E37043"/>
    <w:rsid w:val="00E370AE"/>
    <w:rsid w:val="00E370FD"/>
    <w:rsid w:val="00E37629"/>
    <w:rsid w:val="00E37B20"/>
    <w:rsid w:val="00E37E1A"/>
    <w:rsid w:val="00E37E4A"/>
    <w:rsid w:val="00E37E83"/>
    <w:rsid w:val="00E37EA8"/>
    <w:rsid w:val="00E4013E"/>
    <w:rsid w:val="00E402C3"/>
    <w:rsid w:val="00E403AC"/>
    <w:rsid w:val="00E403E7"/>
    <w:rsid w:val="00E4056E"/>
    <w:rsid w:val="00E40AB2"/>
    <w:rsid w:val="00E40BCF"/>
    <w:rsid w:val="00E410AB"/>
    <w:rsid w:val="00E418D4"/>
    <w:rsid w:val="00E4218B"/>
    <w:rsid w:val="00E4238F"/>
    <w:rsid w:val="00E42628"/>
    <w:rsid w:val="00E42A20"/>
    <w:rsid w:val="00E43079"/>
    <w:rsid w:val="00E43216"/>
    <w:rsid w:val="00E43479"/>
    <w:rsid w:val="00E4366B"/>
    <w:rsid w:val="00E43803"/>
    <w:rsid w:val="00E4392B"/>
    <w:rsid w:val="00E43AB6"/>
    <w:rsid w:val="00E43DD7"/>
    <w:rsid w:val="00E44101"/>
    <w:rsid w:val="00E44197"/>
    <w:rsid w:val="00E442C1"/>
    <w:rsid w:val="00E442C7"/>
    <w:rsid w:val="00E4445C"/>
    <w:rsid w:val="00E44686"/>
    <w:rsid w:val="00E446D8"/>
    <w:rsid w:val="00E448B4"/>
    <w:rsid w:val="00E44A02"/>
    <w:rsid w:val="00E44AAD"/>
    <w:rsid w:val="00E44DDD"/>
    <w:rsid w:val="00E45D07"/>
    <w:rsid w:val="00E4602E"/>
    <w:rsid w:val="00E4698A"/>
    <w:rsid w:val="00E46B76"/>
    <w:rsid w:val="00E471FA"/>
    <w:rsid w:val="00E47625"/>
    <w:rsid w:val="00E47B11"/>
    <w:rsid w:val="00E504CF"/>
    <w:rsid w:val="00E50CA8"/>
    <w:rsid w:val="00E50D1B"/>
    <w:rsid w:val="00E50D89"/>
    <w:rsid w:val="00E50EB2"/>
    <w:rsid w:val="00E50FB2"/>
    <w:rsid w:val="00E50FB3"/>
    <w:rsid w:val="00E518CB"/>
    <w:rsid w:val="00E52283"/>
    <w:rsid w:val="00E53078"/>
    <w:rsid w:val="00E5367E"/>
    <w:rsid w:val="00E536CE"/>
    <w:rsid w:val="00E5397C"/>
    <w:rsid w:val="00E53DA0"/>
    <w:rsid w:val="00E5407A"/>
    <w:rsid w:val="00E541EF"/>
    <w:rsid w:val="00E542DE"/>
    <w:rsid w:val="00E54D34"/>
    <w:rsid w:val="00E54EA5"/>
    <w:rsid w:val="00E54EB0"/>
    <w:rsid w:val="00E552AA"/>
    <w:rsid w:val="00E5559D"/>
    <w:rsid w:val="00E56113"/>
    <w:rsid w:val="00E5612E"/>
    <w:rsid w:val="00E56AD7"/>
    <w:rsid w:val="00E56D61"/>
    <w:rsid w:val="00E56E2D"/>
    <w:rsid w:val="00E56E6A"/>
    <w:rsid w:val="00E574DA"/>
    <w:rsid w:val="00E5775C"/>
    <w:rsid w:val="00E57D1D"/>
    <w:rsid w:val="00E57ECD"/>
    <w:rsid w:val="00E60106"/>
    <w:rsid w:val="00E60310"/>
    <w:rsid w:val="00E6034B"/>
    <w:rsid w:val="00E609C7"/>
    <w:rsid w:val="00E60DF3"/>
    <w:rsid w:val="00E61090"/>
    <w:rsid w:val="00E6131B"/>
    <w:rsid w:val="00E6161B"/>
    <w:rsid w:val="00E61A72"/>
    <w:rsid w:val="00E6213F"/>
    <w:rsid w:val="00E62609"/>
    <w:rsid w:val="00E62A78"/>
    <w:rsid w:val="00E62E1F"/>
    <w:rsid w:val="00E633F5"/>
    <w:rsid w:val="00E636A9"/>
    <w:rsid w:val="00E63891"/>
    <w:rsid w:val="00E63953"/>
    <w:rsid w:val="00E63CA9"/>
    <w:rsid w:val="00E63E18"/>
    <w:rsid w:val="00E63EF5"/>
    <w:rsid w:val="00E64115"/>
    <w:rsid w:val="00E641F5"/>
    <w:rsid w:val="00E642BC"/>
    <w:rsid w:val="00E64345"/>
    <w:rsid w:val="00E64362"/>
    <w:rsid w:val="00E6437D"/>
    <w:rsid w:val="00E643D4"/>
    <w:rsid w:val="00E643EE"/>
    <w:rsid w:val="00E64612"/>
    <w:rsid w:val="00E64E08"/>
    <w:rsid w:val="00E6549E"/>
    <w:rsid w:val="00E656C5"/>
    <w:rsid w:val="00E657B9"/>
    <w:rsid w:val="00E65EDE"/>
    <w:rsid w:val="00E667DD"/>
    <w:rsid w:val="00E66841"/>
    <w:rsid w:val="00E66BE2"/>
    <w:rsid w:val="00E66ECB"/>
    <w:rsid w:val="00E67347"/>
    <w:rsid w:val="00E70080"/>
    <w:rsid w:val="00E707D6"/>
    <w:rsid w:val="00E70F81"/>
    <w:rsid w:val="00E71101"/>
    <w:rsid w:val="00E72158"/>
    <w:rsid w:val="00E72BEE"/>
    <w:rsid w:val="00E72E2D"/>
    <w:rsid w:val="00E735E5"/>
    <w:rsid w:val="00E737B7"/>
    <w:rsid w:val="00E73BD9"/>
    <w:rsid w:val="00E74281"/>
    <w:rsid w:val="00E7474F"/>
    <w:rsid w:val="00E74B1F"/>
    <w:rsid w:val="00E74D77"/>
    <w:rsid w:val="00E74F46"/>
    <w:rsid w:val="00E75278"/>
    <w:rsid w:val="00E7548E"/>
    <w:rsid w:val="00E759F8"/>
    <w:rsid w:val="00E75B9E"/>
    <w:rsid w:val="00E75DB0"/>
    <w:rsid w:val="00E7630F"/>
    <w:rsid w:val="00E76592"/>
    <w:rsid w:val="00E76868"/>
    <w:rsid w:val="00E76CB3"/>
    <w:rsid w:val="00E76D0B"/>
    <w:rsid w:val="00E76EDF"/>
    <w:rsid w:val="00E76F62"/>
    <w:rsid w:val="00E77055"/>
    <w:rsid w:val="00E77460"/>
    <w:rsid w:val="00E775CA"/>
    <w:rsid w:val="00E77673"/>
    <w:rsid w:val="00E776C1"/>
    <w:rsid w:val="00E77A9C"/>
    <w:rsid w:val="00E806E2"/>
    <w:rsid w:val="00E80C55"/>
    <w:rsid w:val="00E80DB2"/>
    <w:rsid w:val="00E81284"/>
    <w:rsid w:val="00E8134C"/>
    <w:rsid w:val="00E81B9D"/>
    <w:rsid w:val="00E821B2"/>
    <w:rsid w:val="00E822B6"/>
    <w:rsid w:val="00E8256E"/>
    <w:rsid w:val="00E82840"/>
    <w:rsid w:val="00E82E24"/>
    <w:rsid w:val="00E8343F"/>
    <w:rsid w:val="00E83ABC"/>
    <w:rsid w:val="00E83BA7"/>
    <w:rsid w:val="00E84089"/>
    <w:rsid w:val="00E842EA"/>
    <w:rsid w:val="00E8431E"/>
    <w:rsid w:val="00E84475"/>
    <w:rsid w:val="00E844F2"/>
    <w:rsid w:val="00E85326"/>
    <w:rsid w:val="00E8537F"/>
    <w:rsid w:val="00E85ECE"/>
    <w:rsid w:val="00E86207"/>
    <w:rsid w:val="00E86312"/>
    <w:rsid w:val="00E86680"/>
    <w:rsid w:val="00E86801"/>
    <w:rsid w:val="00E86DA8"/>
    <w:rsid w:val="00E870E2"/>
    <w:rsid w:val="00E872DE"/>
    <w:rsid w:val="00E876EE"/>
    <w:rsid w:val="00E87712"/>
    <w:rsid w:val="00E877D2"/>
    <w:rsid w:val="00E87888"/>
    <w:rsid w:val="00E87B4A"/>
    <w:rsid w:val="00E87B5E"/>
    <w:rsid w:val="00E87EA1"/>
    <w:rsid w:val="00E90AD0"/>
    <w:rsid w:val="00E90BA6"/>
    <w:rsid w:val="00E90C6D"/>
    <w:rsid w:val="00E9167B"/>
    <w:rsid w:val="00E916CB"/>
    <w:rsid w:val="00E91CB8"/>
    <w:rsid w:val="00E91F0C"/>
    <w:rsid w:val="00E91FB7"/>
    <w:rsid w:val="00E920E6"/>
    <w:rsid w:val="00E92331"/>
    <w:rsid w:val="00E9293C"/>
    <w:rsid w:val="00E92AAA"/>
    <w:rsid w:val="00E92CC1"/>
    <w:rsid w:val="00E92DE8"/>
    <w:rsid w:val="00E92ECA"/>
    <w:rsid w:val="00E92FCB"/>
    <w:rsid w:val="00E92FED"/>
    <w:rsid w:val="00E9333D"/>
    <w:rsid w:val="00E93349"/>
    <w:rsid w:val="00E93638"/>
    <w:rsid w:val="00E9393E"/>
    <w:rsid w:val="00E93AF4"/>
    <w:rsid w:val="00E94138"/>
    <w:rsid w:val="00E94150"/>
    <w:rsid w:val="00E941EA"/>
    <w:rsid w:val="00E9535C"/>
    <w:rsid w:val="00E956BE"/>
    <w:rsid w:val="00E96225"/>
    <w:rsid w:val="00E9649C"/>
    <w:rsid w:val="00E96C1C"/>
    <w:rsid w:val="00E972F5"/>
    <w:rsid w:val="00E97796"/>
    <w:rsid w:val="00E97B9E"/>
    <w:rsid w:val="00E97BB2"/>
    <w:rsid w:val="00E97E30"/>
    <w:rsid w:val="00EA0199"/>
    <w:rsid w:val="00EA0B4F"/>
    <w:rsid w:val="00EA0CE8"/>
    <w:rsid w:val="00EA0F3A"/>
    <w:rsid w:val="00EA1304"/>
    <w:rsid w:val="00EA13BD"/>
    <w:rsid w:val="00EA147F"/>
    <w:rsid w:val="00EA1797"/>
    <w:rsid w:val="00EA1B0D"/>
    <w:rsid w:val="00EA1D58"/>
    <w:rsid w:val="00EA2332"/>
    <w:rsid w:val="00EA24DC"/>
    <w:rsid w:val="00EA252E"/>
    <w:rsid w:val="00EA2928"/>
    <w:rsid w:val="00EA3096"/>
    <w:rsid w:val="00EA32EF"/>
    <w:rsid w:val="00EA344F"/>
    <w:rsid w:val="00EA3A62"/>
    <w:rsid w:val="00EA3F57"/>
    <w:rsid w:val="00EA40CC"/>
    <w:rsid w:val="00EA48A6"/>
    <w:rsid w:val="00EA4A27"/>
    <w:rsid w:val="00EA4E0F"/>
    <w:rsid w:val="00EA4FA6"/>
    <w:rsid w:val="00EA52A6"/>
    <w:rsid w:val="00EA57BC"/>
    <w:rsid w:val="00EA5954"/>
    <w:rsid w:val="00EA59BA"/>
    <w:rsid w:val="00EA59FA"/>
    <w:rsid w:val="00EA6007"/>
    <w:rsid w:val="00EA601A"/>
    <w:rsid w:val="00EA6EE7"/>
    <w:rsid w:val="00EA7087"/>
    <w:rsid w:val="00EA73CD"/>
    <w:rsid w:val="00EA788F"/>
    <w:rsid w:val="00EA7A02"/>
    <w:rsid w:val="00EA7A9E"/>
    <w:rsid w:val="00EA7AF5"/>
    <w:rsid w:val="00EA7B09"/>
    <w:rsid w:val="00EA7B50"/>
    <w:rsid w:val="00EB0575"/>
    <w:rsid w:val="00EB06D6"/>
    <w:rsid w:val="00EB076A"/>
    <w:rsid w:val="00EB100A"/>
    <w:rsid w:val="00EB1223"/>
    <w:rsid w:val="00EB12CD"/>
    <w:rsid w:val="00EB1A25"/>
    <w:rsid w:val="00EB1DC8"/>
    <w:rsid w:val="00EB2542"/>
    <w:rsid w:val="00EB2BC0"/>
    <w:rsid w:val="00EB331D"/>
    <w:rsid w:val="00EB3B8F"/>
    <w:rsid w:val="00EB412F"/>
    <w:rsid w:val="00EB44A1"/>
    <w:rsid w:val="00EB4887"/>
    <w:rsid w:val="00EB5300"/>
    <w:rsid w:val="00EB59CA"/>
    <w:rsid w:val="00EB5A94"/>
    <w:rsid w:val="00EB6440"/>
    <w:rsid w:val="00EB688C"/>
    <w:rsid w:val="00EB6949"/>
    <w:rsid w:val="00EB6A36"/>
    <w:rsid w:val="00EB6A69"/>
    <w:rsid w:val="00EB6CDB"/>
    <w:rsid w:val="00EB6E41"/>
    <w:rsid w:val="00EB6EE4"/>
    <w:rsid w:val="00EB7466"/>
    <w:rsid w:val="00EB7A6B"/>
    <w:rsid w:val="00EB7F5F"/>
    <w:rsid w:val="00EC0055"/>
    <w:rsid w:val="00EC0261"/>
    <w:rsid w:val="00EC081E"/>
    <w:rsid w:val="00EC08FE"/>
    <w:rsid w:val="00EC1FB6"/>
    <w:rsid w:val="00EC232A"/>
    <w:rsid w:val="00EC2A50"/>
    <w:rsid w:val="00EC2D00"/>
    <w:rsid w:val="00EC34A9"/>
    <w:rsid w:val="00EC3E0C"/>
    <w:rsid w:val="00EC4783"/>
    <w:rsid w:val="00EC4CC4"/>
    <w:rsid w:val="00EC4CD9"/>
    <w:rsid w:val="00EC4DAE"/>
    <w:rsid w:val="00EC51F5"/>
    <w:rsid w:val="00EC5439"/>
    <w:rsid w:val="00EC57FB"/>
    <w:rsid w:val="00EC5BB1"/>
    <w:rsid w:val="00EC5C1D"/>
    <w:rsid w:val="00EC5FF1"/>
    <w:rsid w:val="00EC61E4"/>
    <w:rsid w:val="00EC6237"/>
    <w:rsid w:val="00EC64BE"/>
    <w:rsid w:val="00EC665B"/>
    <w:rsid w:val="00EC6C0B"/>
    <w:rsid w:val="00EC730D"/>
    <w:rsid w:val="00EC7363"/>
    <w:rsid w:val="00EC7603"/>
    <w:rsid w:val="00ED00C5"/>
    <w:rsid w:val="00ED01B7"/>
    <w:rsid w:val="00ED02CA"/>
    <w:rsid w:val="00ED0317"/>
    <w:rsid w:val="00ED03AB"/>
    <w:rsid w:val="00ED074F"/>
    <w:rsid w:val="00ED0918"/>
    <w:rsid w:val="00ED0BC0"/>
    <w:rsid w:val="00ED11A3"/>
    <w:rsid w:val="00ED1315"/>
    <w:rsid w:val="00ED14AA"/>
    <w:rsid w:val="00ED1685"/>
    <w:rsid w:val="00ED1953"/>
    <w:rsid w:val="00ED1963"/>
    <w:rsid w:val="00ED1CD4"/>
    <w:rsid w:val="00ED1D0C"/>
    <w:rsid w:val="00ED1D2B"/>
    <w:rsid w:val="00ED216B"/>
    <w:rsid w:val="00ED24C0"/>
    <w:rsid w:val="00ED2852"/>
    <w:rsid w:val="00ED2B17"/>
    <w:rsid w:val="00ED2B79"/>
    <w:rsid w:val="00ED2BF4"/>
    <w:rsid w:val="00ED2E26"/>
    <w:rsid w:val="00ED306A"/>
    <w:rsid w:val="00ED34E1"/>
    <w:rsid w:val="00ED3C77"/>
    <w:rsid w:val="00ED3C7B"/>
    <w:rsid w:val="00ED3CDC"/>
    <w:rsid w:val="00ED3E04"/>
    <w:rsid w:val="00ED438C"/>
    <w:rsid w:val="00ED4684"/>
    <w:rsid w:val="00ED47E7"/>
    <w:rsid w:val="00ED4AC3"/>
    <w:rsid w:val="00ED4CE6"/>
    <w:rsid w:val="00ED4DDC"/>
    <w:rsid w:val="00ED524A"/>
    <w:rsid w:val="00ED563F"/>
    <w:rsid w:val="00ED57A4"/>
    <w:rsid w:val="00ED6153"/>
    <w:rsid w:val="00ED641B"/>
    <w:rsid w:val="00ED648D"/>
    <w:rsid w:val="00ED64B5"/>
    <w:rsid w:val="00ED7071"/>
    <w:rsid w:val="00ED70E5"/>
    <w:rsid w:val="00ED77A8"/>
    <w:rsid w:val="00ED78B7"/>
    <w:rsid w:val="00ED7A13"/>
    <w:rsid w:val="00ED7F74"/>
    <w:rsid w:val="00EE001D"/>
    <w:rsid w:val="00EE0D2E"/>
    <w:rsid w:val="00EE125E"/>
    <w:rsid w:val="00EE1CD2"/>
    <w:rsid w:val="00EE1D49"/>
    <w:rsid w:val="00EE24B0"/>
    <w:rsid w:val="00EE2618"/>
    <w:rsid w:val="00EE2E5F"/>
    <w:rsid w:val="00EE3333"/>
    <w:rsid w:val="00EE3602"/>
    <w:rsid w:val="00EE3DCB"/>
    <w:rsid w:val="00EE409C"/>
    <w:rsid w:val="00EE4582"/>
    <w:rsid w:val="00EE4BD6"/>
    <w:rsid w:val="00EE4C55"/>
    <w:rsid w:val="00EE5018"/>
    <w:rsid w:val="00EE5300"/>
    <w:rsid w:val="00EE5B1C"/>
    <w:rsid w:val="00EE6056"/>
    <w:rsid w:val="00EE66E8"/>
    <w:rsid w:val="00EE6755"/>
    <w:rsid w:val="00EE6BB5"/>
    <w:rsid w:val="00EE6E1E"/>
    <w:rsid w:val="00EE6F8E"/>
    <w:rsid w:val="00EE7088"/>
    <w:rsid w:val="00EE727A"/>
    <w:rsid w:val="00EE7373"/>
    <w:rsid w:val="00EE7AB1"/>
    <w:rsid w:val="00EE7CC7"/>
    <w:rsid w:val="00EE7CCA"/>
    <w:rsid w:val="00EF00ED"/>
    <w:rsid w:val="00EF0323"/>
    <w:rsid w:val="00EF060B"/>
    <w:rsid w:val="00EF0647"/>
    <w:rsid w:val="00EF078A"/>
    <w:rsid w:val="00EF09F3"/>
    <w:rsid w:val="00EF0BBF"/>
    <w:rsid w:val="00EF0D06"/>
    <w:rsid w:val="00EF0DA6"/>
    <w:rsid w:val="00EF1507"/>
    <w:rsid w:val="00EF15A9"/>
    <w:rsid w:val="00EF201C"/>
    <w:rsid w:val="00EF208B"/>
    <w:rsid w:val="00EF252C"/>
    <w:rsid w:val="00EF2760"/>
    <w:rsid w:val="00EF2896"/>
    <w:rsid w:val="00EF2996"/>
    <w:rsid w:val="00EF2B6A"/>
    <w:rsid w:val="00EF2F06"/>
    <w:rsid w:val="00EF2F85"/>
    <w:rsid w:val="00EF318C"/>
    <w:rsid w:val="00EF3960"/>
    <w:rsid w:val="00EF3A55"/>
    <w:rsid w:val="00EF448B"/>
    <w:rsid w:val="00EF46DE"/>
    <w:rsid w:val="00EF475B"/>
    <w:rsid w:val="00EF47F7"/>
    <w:rsid w:val="00EF49B5"/>
    <w:rsid w:val="00EF50BA"/>
    <w:rsid w:val="00EF517F"/>
    <w:rsid w:val="00EF5281"/>
    <w:rsid w:val="00EF5436"/>
    <w:rsid w:val="00EF5994"/>
    <w:rsid w:val="00EF5C6E"/>
    <w:rsid w:val="00EF5D28"/>
    <w:rsid w:val="00EF5E41"/>
    <w:rsid w:val="00EF5F7E"/>
    <w:rsid w:val="00EF671D"/>
    <w:rsid w:val="00EF6737"/>
    <w:rsid w:val="00EF6810"/>
    <w:rsid w:val="00EF70C5"/>
    <w:rsid w:val="00EF72A4"/>
    <w:rsid w:val="00EF73F6"/>
    <w:rsid w:val="00EF7815"/>
    <w:rsid w:val="00EF78F9"/>
    <w:rsid w:val="00EF7C95"/>
    <w:rsid w:val="00EF7E63"/>
    <w:rsid w:val="00F002FC"/>
    <w:rsid w:val="00F00471"/>
    <w:rsid w:val="00F00D2A"/>
    <w:rsid w:val="00F012CE"/>
    <w:rsid w:val="00F01CD7"/>
    <w:rsid w:val="00F0213A"/>
    <w:rsid w:val="00F021E8"/>
    <w:rsid w:val="00F0233F"/>
    <w:rsid w:val="00F028D2"/>
    <w:rsid w:val="00F02BFE"/>
    <w:rsid w:val="00F02DD2"/>
    <w:rsid w:val="00F03035"/>
    <w:rsid w:val="00F03118"/>
    <w:rsid w:val="00F03279"/>
    <w:rsid w:val="00F03295"/>
    <w:rsid w:val="00F03DDE"/>
    <w:rsid w:val="00F04156"/>
    <w:rsid w:val="00F04436"/>
    <w:rsid w:val="00F04A77"/>
    <w:rsid w:val="00F04E4D"/>
    <w:rsid w:val="00F050A1"/>
    <w:rsid w:val="00F052A5"/>
    <w:rsid w:val="00F05409"/>
    <w:rsid w:val="00F05602"/>
    <w:rsid w:val="00F058CF"/>
    <w:rsid w:val="00F058D4"/>
    <w:rsid w:val="00F05FB1"/>
    <w:rsid w:val="00F062DA"/>
    <w:rsid w:val="00F06609"/>
    <w:rsid w:val="00F0669F"/>
    <w:rsid w:val="00F0679A"/>
    <w:rsid w:val="00F06BA8"/>
    <w:rsid w:val="00F0757B"/>
    <w:rsid w:val="00F0774C"/>
    <w:rsid w:val="00F07E50"/>
    <w:rsid w:val="00F10038"/>
    <w:rsid w:val="00F101FF"/>
    <w:rsid w:val="00F1106B"/>
    <w:rsid w:val="00F114EB"/>
    <w:rsid w:val="00F1151C"/>
    <w:rsid w:val="00F119A0"/>
    <w:rsid w:val="00F1287C"/>
    <w:rsid w:val="00F12BEA"/>
    <w:rsid w:val="00F12FDB"/>
    <w:rsid w:val="00F1321A"/>
    <w:rsid w:val="00F13278"/>
    <w:rsid w:val="00F13939"/>
    <w:rsid w:val="00F13A8B"/>
    <w:rsid w:val="00F14094"/>
    <w:rsid w:val="00F1411C"/>
    <w:rsid w:val="00F142BF"/>
    <w:rsid w:val="00F144CF"/>
    <w:rsid w:val="00F147B8"/>
    <w:rsid w:val="00F147BE"/>
    <w:rsid w:val="00F14896"/>
    <w:rsid w:val="00F150E0"/>
    <w:rsid w:val="00F1548D"/>
    <w:rsid w:val="00F154EA"/>
    <w:rsid w:val="00F15B72"/>
    <w:rsid w:val="00F15D7E"/>
    <w:rsid w:val="00F162E1"/>
    <w:rsid w:val="00F168C9"/>
    <w:rsid w:val="00F16A14"/>
    <w:rsid w:val="00F16DAD"/>
    <w:rsid w:val="00F175C9"/>
    <w:rsid w:val="00F17858"/>
    <w:rsid w:val="00F17E84"/>
    <w:rsid w:val="00F17EF2"/>
    <w:rsid w:val="00F20307"/>
    <w:rsid w:val="00F205E5"/>
    <w:rsid w:val="00F205F8"/>
    <w:rsid w:val="00F218CF"/>
    <w:rsid w:val="00F21B36"/>
    <w:rsid w:val="00F21F89"/>
    <w:rsid w:val="00F21FD8"/>
    <w:rsid w:val="00F22378"/>
    <w:rsid w:val="00F2249A"/>
    <w:rsid w:val="00F22E5F"/>
    <w:rsid w:val="00F22F52"/>
    <w:rsid w:val="00F230B6"/>
    <w:rsid w:val="00F236B2"/>
    <w:rsid w:val="00F236E9"/>
    <w:rsid w:val="00F23A7E"/>
    <w:rsid w:val="00F23FEE"/>
    <w:rsid w:val="00F2466F"/>
    <w:rsid w:val="00F247C7"/>
    <w:rsid w:val="00F24848"/>
    <w:rsid w:val="00F24B79"/>
    <w:rsid w:val="00F24CD9"/>
    <w:rsid w:val="00F24EFB"/>
    <w:rsid w:val="00F2534D"/>
    <w:rsid w:val="00F25612"/>
    <w:rsid w:val="00F257E5"/>
    <w:rsid w:val="00F2596A"/>
    <w:rsid w:val="00F26254"/>
    <w:rsid w:val="00F267AE"/>
    <w:rsid w:val="00F26BA1"/>
    <w:rsid w:val="00F26DDF"/>
    <w:rsid w:val="00F26E48"/>
    <w:rsid w:val="00F27564"/>
    <w:rsid w:val="00F277B7"/>
    <w:rsid w:val="00F27815"/>
    <w:rsid w:val="00F27A66"/>
    <w:rsid w:val="00F27EA5"/>
    <w:rsid w:val="00F304D2"/>
    <w:rsid w:val="00F30606"/>
    <w:rsid w:val="00F306BF"/>
    <w:rsid w:val="00F3079E"/>
    <w:rsid w:val="00F30857"/>
    <w:rsid w:val="00F311E0"/>
    <w:rsid w:val="00F3134C"/>
    <w:rsid w:val="00F3153F"/>
    <w:rsid w:val="00F31877"/>
    <w:rsid w:val="00F31F68"/>
    <w:rsid w:val="00F32055"/>
    <w:rsid w:val="00F324B8"/>
    <w:rsid w:val="00F32AA3"/>
    <w:rsid w:val="00F32BC5"/>
    <w:rsid w:val="00F3304D"/>
    <w:rsid w:val="00F3317D"/>
    <w:rsid w:val="00F33261"/>
    <w:rsid w:val="00F33403"/>
    <w:rsid w:val="00F33835"/>
    <w:rsid w:val="00F33B8E"/>
    <w:rsid w:val="00F33C68"/>
    <w:rsid w:val="00F33DA6"/>
    <w:rsid w:val="00F33FE5"/>
    <w:rsid w:val="00F34A4B"/>
    <w:rsid w:val="00F34B37"/>
    <w:rsid w:val="00F354E6"/>
    <w:rsid w:val="00F357DB"/>
    <w:rsid w:val="00F35A38"/>
    <w:rsid w:val="00F35BD3"/>
    <w:rsid w:val="00F35BEC"/>
    <w:rsid w:val="00F362D7"/>
    <w:rsid w:val="00F36354"/>
    <w:rsid w:val="00F36672"/>
    <w:rsid w:val="00F366CB"/>
    <w:rsid w:val="00F36C2E"/>
    <w:rsid w:val="00F36E5F"/>
    <w:rsid w:val="00F37030"/>
    <w:rsid w:val="00F37624"/>
    <w:rsid w:val="00F37A09"/>
    <w:rsid w:val="00F37B40"/>
    <w:rsid w:val="00F37D7B"/>
    <w:rsid w:val="00F37DE7"/>
    <w:rsid w:val="00F40299"/>
    <w:rsid w:val="00F409DF"/>
    <w:rsid w:val="00F40A36"/>
    <w:rsid w:val="00F40E91"/>
    <w:rsid w:val="00F41146"/>
    <w:rsid w:val="00F413A3"/>
    <w:rsid w:val="00F41580"/>
    <w:rsid w:val="00F4159D"/>
    <w:rsid w:val="00F415A4"/>
    <w:rsid w:val="00F41DB0"/>
    <w:rsid w:val="00F42062"/>
    <w:rsid w:val="00F42082"/>
    <w:rsid w:val="00F4211E"/>
    <w:rsid w:val="00F421D0"/>
    <w:rsid w:val="00F424E4"/>
    <w:rsid w:val="00F42F85"/>
    <w:rsid w:val="00F43206"/>
    <w:rsid w:val="00F433A0"/>
    <w:rsid w:val="00F4407E"/>
    <w:rsid w:val="00F4505B"/>
    <w:rsid w:val="00F45317"/>
    <w:rsid w:val="00F4560A"/>
    <w:rsid w:val="00F45663"/>
    <w:rsid w:val="00F458D3"/>
    <w:rsid w:val="00F45A56"/>
    <w:rsid w:val="00F45AC2"/>
    <w:rsid w:val="00F462AE"/>
    <w:rsid w:val="00F465D3"/>
    <w:rsid w:val="00F46678"/>
    <w:rsid w:val="00F46A5E"/>
    <w:rsid w:val="00F46BB9"/>
    <w:rsid w:val="00F46D5E"/>
    <w:rsid w:val="00F47057"/>
    <w:rsid w:val="00F470AF"/>
    <w:rsid w:val="00F47A25"/>
    <w:rsid w:val="00F5003F"/>
    <w:rsid w:val="00F5031B"/>
    <w:rsid w:val="00F50692"/>
    <w:rsid w:val="00F50BA4"/>
    <w:rsid w:val="00F50BC2"/>
    <w:rsid w:val="00F50C45"/>
    <w:rsid w:val="00F50DEF"/>
    <w:rsid w:val="00F51149"/>
    <w:rsid w:val="00F51329"/>
    <w:rsid w:val="00F51818"/>
    <w:rsid w:val="00F51921"/>
    <w:rsid w:val="00F51A62"/>
    <w:rsid w:val="00F52009"/>
    <w:rsid w:val="00F52ACC"/>
    <w:rsid w:val="00F53075"/>
    <w:rsid w:val="00F5314C"/>
    <w:rsid w:val="00F534E4"/>
    <w:rsid w:val="00F5358D"/>
    <w:rsid w:val="00F536D5"/>
    <w:rsid w:val="00F53825"/>
    <w:rsid w:val="00F5395F"/>
    <w:rsid w:val="00F53A8E"/>
    <w:rsid w:val="00F53B7A"/>
    <w:rsid w:val="00F53F0A"/>
    <w:rsid w:val="00F54697"/>
    <w:rsid w:val="00F54ACC"/>
    <w:rsid w:val="00F54B09"/>
    <w:rsid w:val="00F54E38"/>
    <w:rsid w:val="00F55024"/>
    <w:rsid w:val="00F5537D"/>
    <w:rsid w:val="00F556C6"/>
    <w:rsid w:val="00F55767"/>
    <w:rsid w:val="00F55CB2"/>
    <w:rsid w:val="00F56255"/>
    <w:rsid w:val="00F56435"/>
    <w:rsid w:val="00F5667A"/>
    <w:rsid w:val="00F56869"/>
    <w:rsid w:val="00F5688C"/>
    <w:rsid w:val="00F56894"/>
    <w:rsid w:val="00F57B36"/>
    <w:rsid w:val="00F60046"/>
    <w:rsid w:val="00F60048"/>
    <w:rsid w:val="00F60E34"/>
    <w:rsid w:val="00F60F86"/>
    <w:rsid w:val="00F61331"/>
    <w:rsid w:val="00F6164D"/>
    <w:rsid w:val="00F61675"/>
    <w:rsid w:val="00F61773"/>
    <w:rsid w:val="00F620B8"/>
    <w:rsid w:val="00F62254"/>
    <w:rsid w:val="00F62686"/>
    <w:rsid w:val="00F62EDC"/>
    <w:rsid w:val="00F6332F"/>
    <w:rsid w:val="00F635DD"/>
    <w:rsid w:val="00F639E0"/>
    <w:rsid w:val="00F639E3"/>
    <w:rsid w:val="00F63BC3"/>
    <w:rsid w:val="00F63CFD"/>
    <w:rsid w:val="00F64BF4"/>
    <w:rsid w:val="00F64D4B"/>
    <w:rsid w:val="00F64DB5"/>
    <w:rsid w:val="00F65453"/>
    <w:rsid w:val="00F65701"/>
    <w:rsid w:val="00F658DC"/>
    <w:rsid w:val="00F658FF"/>
    <w:rsid w:val="00F66212"/>
    <w:rsid w:val="00F6627B"/>
    <w:rsid w:val="00F66392"/>
    <w:rsid w:val="00F66507"/>
    <w:rsid w:val="00F6657C"/>
    <w:rsid w:val="00F666EE"/>
    <w:rsid w:val="00F67887"/>
    <w:rsid w:val="00F7002F"/>
    <w:rsid w:val="00F700E7"/>
    <w:rsid w:val="00F703F1"/>
    <w:rsid w:val="00F7059E"/>
    <w:rsid w:val="00F710B1"/>
    <w:rsid w:val="00F71A5D"/>
    <w:rsid w:val="00F71DEB"/>
    <w:rsid w:val="00F72200"/>
    <w:rsid w:val="00F723DB"/>
    <w:rsid w:val="00F72B30"/>
    <w:rsid w:val="00F72B61"/>
    <w:rsid w:val="00F72D36"/>
    <w:rsid w:val="00F7336E"/>
    <w:rsid w:val="00F734F2"/>
    <w:rsid w:val="00F73773"/>
    <w:rsid w:val="00F739B1"/>
    <w:rsid w:val="00F73CBD"/>
    <w:rsid w:val="00F73D20"/>
    <w:rsid w:val="00F75052"/>
    <w:rsid w:val="00F75281"/>
    <w:rsid w:val="00F752FF"/>
    <w:rsid w:val="00F75944"/>
    <w:rsid w:val="00F75AAF"/>
    <w:rsid w:val="00F75B50"/>
    <w:rsid w:val="00F75BEA"/>
    <w:rsid w:val="00F75DE9"/>
    <w:rsid w:val="00F75FCC"/>
    <w:rsid w:val="00F75FE4"/>
    <w:rsid w:val="00F76A92"/>
    <w:rsid w:val="00F7794D"/>
    <w:rsid w:val="00F77E14"/>
    <w:rsid w:val="00F80290"/>
    <w:rsid w:val="00F804D3"/>
    <w:rsid w:val="00F80CFF"/>
    <w:rsid w:val="00F814CA"/>
    <w:rsid w:val="00F816CB"/>
    <w:rsid w:val="00F819B9"/>
    <w:rsid w:val="00F81CD2"/>
    <w:rsid w:val="00F81FB2"/>
    <w:rsid w:val="00F822A6"/>
    <w:rsid w:val="00F82563"/>
    <w:rsid w:val="00F82641"/>
    <w:rsid w:val="00F82970"/>
    <w:rsid w:val="00F83530"/>
    <w:rsid w:val="00F836E5"/>
    <w:rsid w:val="00F83981"/>
    <w:rsid w:val="00F83CC9"/>
    <w:rsid w:val="00F841D5"/>
    <w:rsid w:val="00F8448D"/>
    <w:rsid w:val="00F84A1C"/>
    <w:rsid w:val="00F84B3C"/>
    <w:rsid w:val="00F84DF3"/>
    <w:rsid w:val="00F84EA6"/>
    <w:rsid w:val="00F850DA"/>
    <w:rsid w:val="00F8524B"/>
    <w:rsid w:val="00F85D96"/>
    <w:rsid w:val="00F85F84"/>
    <w:rsid w:val="00F862D5"/>
    <w:rsid w:val="00F86997"/>
    <w:rsid w:val="00F87064"/>
    <w:rsid w:val="00F877A9"/>
    <w:rsid w:val="00F8789E"/>
    <w:rsid w:val="00F87C2F"/>
    <w:rsid w:val="00F90805"/>
    <w:rsid w:val="00F90990"/>
    <w:rsid w:val="00F90A99"/>
    <w:rsid w:val="00F90BC2"/>
    <w:rsid w:val="00F90F18"/>
    <w:rsid w:val="00F9137A"/>
    <w:rsid w:val="00F91943"/>
    <w:rsid w:val="00F91C58"/>
    <w:rsid w:val="00F920C1"/>
    <w:rsid w:val="00F929E6"/>
    <w:rsid w:val="00F92A84"/>
    <w:rsid w:val="00F92C1E"/>
    <w:rsid w:val="00F92DF3"/>
    <w:rsid w:val="00F930A7"/>
    <w:rsid w:val="00F93469"/>
    <w:rsid w:val="00F937E4"/>
    <w:rsid w:val="00F93AFE"/>
    <w:rsid w:val="00F941A8"/>
    <w:rsid w:val="00F941DF"/>
    <w:rsid w:val="00F94635"/>
    <w:rsid w:val="00F94A8B"/>
    <w:rsid w:val="00F94C25"/>
    <w:rsid w:val="00F9526F"/>
    <w:rsid w:val="00F95271"/>
    <w:rsid w:val="00F957AC"/>
    <w:rsid w:val="00F95EE7"/>
    <w:rsid w:val="00F961F0"/>
    <w:rsid w:val="00F96A03"/>
    <w:rsid w:val="00F96BE7"/>
    <w:rsid w:val="00F97281"/>
    <w:rsid w:val="00F97417"/>
    <w:rsid w:val="00F97906"/>
    <w:rsid w:val="00F97B10"/>
    <w:rsid w:val="00F97DEF"/>
    <w:rsid w:val="00FA02B6"/>
    <w:rsid w:val="00FA0580"/>
    <w:rsid w:val="00FA07E4"/>
    <w:rsid w:val="00FA0997"/>
    <w:rsid w:val="00FA0E41"/>
    <w:rsid w:val="00FA0E4F"/>
    <w:rsid w:val="00FA1703"/>
    <w:rsid w:val="00FA1773"/>
    <w:rsid w:val="00FA1DA1"/>
    <w:rsid w:val="00FA22E9"/>
    <w:rsid w:val="00FA2869"/>
    <w:rsid w:val="00FA2C48"/>
    <w:rsid w:val="00FA3478"/>
    <w:rsid w:val="00FA37C4"/>
    <w:rsid w:val="00FA39E6"/>
    <w:rsid w:val="00FA3C23"/>
    <w:rsid w:val="00FA3C51"/>
    <w:rsid w:val="00FA49D0"/>
    <w:rsid w:val="00FA4C73"/>
    <w:rsid w:val="00FA5045"/>
    <w:rsid w:val="00FA55ED"/>
    <w:rsid w:val="00FA565F"/>
    <w:rsid w:val="00FA5926"/>
    <w:rsid w:val="00FA5CB6"/>
    <w:rsid w:val="00FA5DA0"/>
    <w:rsid w:val="00FA5DA1"/>
    <w:rsid w:val="00FA6009"/>
    <w:rsid w:val="00FA6406"/>
    <w:rsid w:val="00FA67F6"/>
    <w:rsid w:val="00FA6863"/>
    <w:rsid w:val="00FA6EB6"/>
    <w:rsid w:val="00FA7158"/>
    <w:rsid w:val="00FA75CB"/>
    <w:rsid w:val="00FA7623"/>
    <w:rsid w:val="00FA7625"/>
    <w:rsid w:val="00FA7BC9"/>
    <w:rsid w:val="00FB0682"/>
    <w:rsid w:val="00FB0BAD"/>
    <w:rsid w:val="00FB0D73"/>
    <w:rsid w:val="00FB1DF0"/>
    <w:rsid w:val="00FB2233"/>
    <w:rsid w:val="00FB2324"/>
    <w:rsid w:val="00FB2AE8"/>
    <w:rsid w:val="00FB2B81"/>
    <w:rsid w:val="00FB30AE"/>
    <w:rsid w:val="00FB32F0"/>
    <w:rsid w:val="00FB35EA"/>
    <w:rsid w:val="00FB3658"/>
    <w:rsid w:val="00FB3767"/>
    <w:rsid w:val="00FB378E"/>
    <w:rsid w:val="00FB37F1"/>
    <w:rsid w:val="00FB39BC"/>
    <w:rsid w:val="00FB3F5B"/>
    <w:rsid w:val="00FB413C"/>
    <w:rsid w:val="00FB459F"/>
    <w:rsid w:val="00FB47C0"/>
    <w:rsid w:val="00FB4D90"/>
    <w:rsid w:val="00FB4F39"/>
    <w:rsid w:val="00FB501B"/>
    <w:rsid w:val="00FB56DB"/>
    <w:rsid w:val="00FB5BB8"/>
    <w:rsid w:val="00FB66CD"/>
    <w:rsid w:val="00FB6796"/>
    <w:rsid w:val="00FB688C"/>
    <w:rsid w:val="00FB7239"/>
    <w:rsid w:val="00FB748B"/>
    <w:rsid w:val="00FB76A4"/>
    <w:rsid w:val="00FB7770"/>
    <w:rsid w:val="00FB784B"/>
    <w:rsid w:val="00FB7924"/>
    <w:rsid w:val="00FB7B65"/>
    <w:rsid w:val="00FC003E"/>
    <w:rsid w:val="00FC0926"/>
    <w:rsid w:val="00FC0D5D"/>
    <w:rsid w:val="00FC0F65"/>
    <w:rsid w:val="00FC145D"/>
    <w:rsid w:val="00FC1659"/>
    <w:rsid w:val="00FC16DA"/>
    <w:rsid w:val="00FC1862"/>
    <w:rsid w:val="00FC19A9"/>
    <w:rsid w:val="00FC1E0E"/>
    <w:rsid w:val="00FC2139"/>
    <w:rsid w:val="00FC217D"/>
    <w:rsid w:val="00FC2D98"/>
    <w:rsid w:val="00FC3155"/>
    <w:rsid w:val="00FC362B"/>
    <w:rsid w:val="00FC38D5"/>
    <w:rsid w:val="00FC3A03"/>
    <w:rsid w:val="00FC3FCE"/>
    <w:rsid w:val="00FC406C"/>
    <w:rsid w:val="00FC4232"/>
    <w:rsid w:val="00FC4318"/>
    <w:rsid w:val="00FC4CEE"/>
    <w:rsid w:val="00FC4FAF"/>
    <w:rsid w:val="00FC571B"/>
    <w:rsid w:val="00FC5BAA"/>
    <w:rsid w:val="00FC6153"/>
    <w:rsid w:val="00FC670C"/>
    <w:rsid w:val="00FC6857"/>
    <w:rsid w:val="00FC7156"/>
    <w:rsid w:val="00FC7727"/>
    <w:rsid w:val="00FC79F1"/>
    <w:rsid w:val="00FC7B05"/>
    <w:rsid w:val="00FC7FE5"/>
    <w:rsid w:val="00FD02FB"/>
    <w:rsid w:val="00FD06AF"/>
    <w:rsid w:val="00FD07A5"/>
    <w:rsid w:val="00FD0F14"/>
    <w:rsid w:val="00FD13DF"/>
    <w:rsid w:val="00FD1806"/>
    <w:rsid w:val="00FD18D8"/>
    <w:rsid w:val="00FD19CC"/>
    <w:rsid w:val="00FD2134"/>
    <w:rsid w:val="00FD255B"/>
    <w:rsid w:val="00FD28D2"/>
    <w:rsid w:val="00FD3076"/>
    <w:rsid w:val="00FD3B91"/>
    <w:rsid w:val="00FD41E9"/>
    <w:rsid w:val="00FD42FD"/>
    <w:rsid w:val="00FD48F0"/>
    <w:rsid w:val="00FD495C"/>
    <w:rsid w:val="00FD4E1D"/>
    <w:rsid w:val="00FD52CA"/>
    <w:rsid w:val="00FD52E1"/>
    <w:rsid w:val="00FD55BA"/>
    <w:rsid w:val="00FD576B"/>
    <w:rsid w:val="00FD579E"/>
    <w:rsid w:val="00FD59FB"/>
    <w:rsid w:val="00FD6845"/>
    <w:rsid w:val="00FD6900"/>
    <w:rsid w:val="00FD7099"/>
    <w:rsid w:val="00FD70E4"/>
    <w:rsid w:val="00FD71E6"/>
    <w:rsid w:val="00FD73C2"/>
    <w:rsid w:val="00FD77DD"/>
    <w:rsid w:val="00FE012E"/>
    <w:rsid w:val="00FE031B"/>
    <w:rsid w:val="00FE0329"/>
    <w:rsid w:val="00FE0387"/>
    <w:rsid w:val="00FE06C5"/>
    <w:rsid w:val="00FE0DDF"/>
    <w:rsid w:val="00FE0E6B"/>
    <w:rsid w:val="00FE17FF"/>
    <w:rsid w:val="00FE1F2D"/>
    <w:rsid w:val="00FE1FF2"/>
    <w:rsid w:val="00FE238E"/>
    <w:rsid w:val="00FE25B2"/>
    <w:rsid w:val="00FE3163"/>
    <w:rsid w:val="00FE40A1"/>
    <w:rsid w:val="00FE4516"/>
    <w:rsid w:val="00FE5118"/>
    <w:rsid w:val="00FE516E"/>
    <w:rsid w:val="00FE57F7"/>
    <w:rsid w:val="00FE5CDD"/>
    <w:rsid w:val="00FE6256"/>
    <w:rsid w:val="00FE64C8"/>
    <w:rsid w:val="00FE6B42"/>
    <w:rsid w:val="00FE72BA"/>
    <w:rsid w:val="00FE7326"/>
    <w:rsid w:val="00FE76B0"/>
    <w:rsid w:val="00FF002E"/>
    <w:rsid w:val="00FF0211"/>
    <w:rsid w:val="00FF02D4"/>
    <w:rsid w:val="00FF0928"/>
    <w:rsid w:val="00FF110F"/>
    <w:rsid w:val="00FF11D9"/>
    <w:rsid w:val="00FF22E9"/>
    <w:rsid w:val="00FF2382"/>
    <w:rsid w:val="00FF2CD3"/>
    <w:rsid w:val="00FF3251"/>
    <w:rsid w:val="00FF34FD"/>
    <w:rsid w:val="00FF39AB"/>
    <w:rsid w:val="00FF3A19"/>
    <w:rsid w:val="00FF42FC"/>
    <w:rsid w:val="00FF5091"/>
    <w:rsid w:val="00FF5198"/>
    <w:rsid w:val="00FF52F8"/>
    <w:rsid w:val="00FF55C8"/>
    <w:rsid w:val="00FF5940"/>
    <w:rsid w:val="00FF62D3"/>
    <w:rsid w:val="00FF63C5"/>
    <w:rsid w:val="00FF6ABE"/>
    <w:rsid w:val="00FF7586"/>
    <w:rsid w:val="00FF7C5F"/>
    <w:rsid w:val="00FF7D29"/>
    <w:rsid w:val="00FF7D7A"/>
    <w:rsid w:val="00FF7EF9"/>
    <w:rsid w:val="00FF7FA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b9edb9,#e1f7e1,#d4f4d4"/>
    </o:shapedefaults>
    <o:shapelayout v:ext="edit">
      <o:idmap v:ext="edit" data="1"/>
    </o:shapelayout>
  </w:shapeDefaults>
  <w:decimalSymbol w:val="."/>
  <w:listSeparator w:val=","/>
  <w14:docId w14:val="5EC50AD7"/>
  <w15:docId w15:val="{E5AAA313-6117-4BC0-AE24-E070F07DF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qFormat="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F1953"/>
    <w:pPr>
      <w:widowControl w:val="0"/>
      <w:overflowPunct w:val="0"/>
      <w:autoSpaceDE w:val="0"/>
      <w:autoSpaceDN w:val="0"/>
      <w:jc w:val="both"/>
    </w:pPr>
    <w:rPr>
      <w:rFonts w:ascii="標楷體" w:eastAsia="標楷體"/>
      <w:kern w:val="2"/>
      <w:sz w:val="32"/>
    </w:rPr>
  </w:style>
  <w:style w:type="paragraph" w:styleId="1">
    <w:name w:val="heading 1"/>
    <w:aliases w:val="題號1,壹"/>
    <w:basedOn w:val="a6"/>
    <w:link w:val="12"/>
    <w:qFormat/>
    <w:rsid w:val="005E509C"/>
    <w:pPr>
      <w:numPr>
        <w:numId w:val="6"/>
      </w:numPr>
      <w:outlineLvl w:val="0"/>
    </w:pPr>
    <w:rPr>
      <w:rFonts w:hAnsi="Arial"/>
      <w:bCs/>
      <w:kern w:val="32"/>
      <w:szCs w:val="52"/>
    </w:rPr>
  </w:style>
  <w:style w:type="paragraph" w:styleId="2">
    <w:name w:val="heading 2"/>
    <w:aliases w:val="標題110/111,節,節1,標題110/111 + 內文"/>
    <w:basedOn w:val="a6"/>
    <w:link w:val="21"/>
    <w:qFormat/>
    <w:rsid w:val="004F5E57"/>
    <w:pPr>
      <w:numPr>
        <w:ilvl w:val="1"/>
        <w:numId w:val="6"/>
      </w:numPr>
      <w:outlineLvl w:val="1"/>
    </w:pPr>
    <w:rPr>
      <w:rFonts w:hAnsi="Arial"/>
      <w:bCs/>
      <w:kern w:val="32"/>
      <w:szCs w:val="48"/>
    </w:rPr>
  </w:style>
  <w:style w:type="paragraph" w:styleId="3">
    <w:name w:val="heading 3"/>
    <w:aliases w:val="(一)"/>
    <w:basedOn w:val="a6"/>
    <w:link w:val="31"/>
    <w:qFormat/>
    <w:rsid w:val="004F5E57"/>
    <w:pPr>
      <w:numPr>
        <w:ilvl w:val="2"/>
        <w:numId w:val="6"/>
      </w:numPr>
      <w:outlineLvl w:val="2"/>
    </w:pPr>
    <w:rPr>
      <w:rFonts w:hAnsi="Arial"/>
      <w:bCs/>
      <w:kern w:val="32"/>
      <w:szCs w:val="36"/>
    </w:rPr>
  </w:style>
  <w:style w:type="paragraph" w:styleId="4">
    <w:name w:val="heading 4"/>
    <w:aliases w:val="表格,一"/>
    <w:basedOn w:val="a6"/>
    <w:link w:val="41"/>
    <w:qFormat/>
    <w:rsid w:val="004F5E57"/>
    <w:pPr>
      <w:numPr>
        <w:ilvl w:val="3"/>
        <w:numId w:val="6"/>
      </w:numPr>
      <w:outlineLvl w:val="3"/>
    </w:pPr>
    <w:rPr>
      <w:rFonts w:hAnsi="Arial"/>
      <w:kern w:val="32"/>
      <w:szCs w:val="36"/>
    </w:rPr>
  </w:style>
  <w:style w:type="paragraph" w:styleId="5">
    <w:name w:val="heading 5"/>
    <w:basedOn w:val="a6"/>
    <w:link w:val="51"/>
    <w:qFormat/>
    <w:rsid w:val="004F5E57"/>
    <w:pPr>
      <w:numPr>
        <w:ilvl w:val="4"/>
        <w:numId w:val="6"/>
      </w:numPr>
      <w:outlineLvl w:val="4"/>
    </w:pPr>
    <w:rPr>
      <w:rFonts w:hAnsi="Arial"/>
      <w:bCs/>
      <w:kern w:val="32"/>
      <w:szCs w:val="36"/>
    </w:rPr>
  </w:style>
  <w:style w:type="paragraph" w:styleId="6">
    <w:name w:val="heading 6"/>
    <w:aliases w:val="1"/>
    <w:basedOn w:val="a6"/>
    <w:link w:val="60"/>
    <w:qFormat/>
    <w:rsid w:val="004F5E57"/>
    <w:pPr>
      <w:numPr>
        <w:ilvl w:val="5"/>
        <w:numId w:val="6"/>
      </w:numPr>
      <w:tabs>
        <w:tab w:val="left" w:pos="2094"/>
      </w:tabs>
      <w:outlineLvl w:val="5"/>
    </w:pPr>
    <w:rPr>
      <w:rFonts w:hAnsi="Arial"/>
      <w:kern w:val="32"/>
      <w:szCs w:val="36"/>
    </w:rPr>
  </w:style>
  <w:style w:type="paragraph" w:styleId="7">
    <w:name w:val="heading 7"/>
    <w:aliases w:val="(1)"/>
    <w:basedOn w:val="a6"/>
    <w:link w:val="70"/>
    <w:qFormat/>
    <w:rsid w:val="004F5E57"/>
    <w:pPr>
      <w:numPr>
        <w:ilvl w:val="6"/>
        <w:numId w:val="6"/>
      </w:numPr>
      <w:outlineLvl w:val="6"/>
    </w:pPr>
    <w:rPr>
      <w:rFonts w:hAnsi="Arial"/>
      <w:bCs/>
      <w:kern w:val="32"/>
      <w:szCs w:val="36"/>
    </w:rPr>
  </w:style>
  <w:style w:type="paragraph" w:styleId="8">
    <w:name w:val="heading 8"/>
    <w:basedOn w:val="a6"/>
    <w:link w:val="80"/>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qFormat/>
    <w:rsid w:val="003E4F75"/>
    <w:pPr>
      <w:snapToGrid w:val="0"/>
      <w:spacing w:before="480" w:after="720"/>
      <w:ind w:left="4423"/>
    </w:pPr>
    <w:rPr>
      <w:b/>
      <w:snapToGrid w:val="0"/>
      <w:spacing w:val="12"/>
      <w:sz w:val="36"/>
    </w:rPr>
  </w:style>
  <w:style w:type="paragraph" w:styleId="ac">
    <w:name w:val="endnote text"/>
    <w:basedOn w:val="a6"/>
    <w:link w:val="ad"/>
    <w:semiHidden/>
    <w:rsid w:val="004E0062"/>
    <w:pPr>
      <w:kinsoku w:val="0"/>
      <w:autoSpaceDE/>
      <w:spacing w:before="240"/>
      <w:ind w:left="1021" w:hanging="1021"/>
    </w:pPr>
    <w:rPr>
      <w:snapToGrid w:val="0"/>
      <w:spacing w:val="10"/>
    </w:rPr>
  </w:style>
  <w:style w:type="paragraph" w:styleId="52">
    <w:name w:val="toc 5"/>
    <w:basedOn w:val="a6"/>
    <w:next w:val="a6"/>
    <w:autoRedefine/>
    <w:uiPriority w:val="39"/>
    <w:rsid w:val="004E0062"/>
    <w:pPr>
      <w:ind w:leftChars="400" w:left="600" w:rightChars="200" w:right="200" w:hangingChars="200" w:hanging="200"/>
    </w:pPr>
  </w:style>
  <w:style w:type="character" w:styleId="ae">
    <w:name w:val="page number"/>
    <w:basedOn w:val="a7"/>
    <w:semiHidden/>
    <w:rsid w:val="004E0062"/>
    <w:rPr>
      <w:rFonts w:ascii="標楷體" w:eastAsia="標楷體"/>
      <w:sz w:val="20"/>
    </w:rPr>
  </w:style>
  <w:style w:type="paragraph" w:styleId="61">
    <w:name w:val="toc 6"/>
    <w:basedOn w:val="a6"/>
    <w:next w:val="a6"/>
    <w:autoRedefine/>
    <w:uiPriority w:val="39"/>
    <w:rsid w:val="004E0062"/>
    <w:pPr>
      <w:ind w:leftChars="500" w:left="500"/>
    </w:pPr>
  </w:style>
  <w:style w:type="paragraph" w:customStyle="1" w:styleId="13">
    <w:name w:val="段落樣式1"/>
    <w:basedOn w:val="a6"/>
    <w:qFormat/>
    <w:rsid w:val="004F5E57"/>
    <w:pPr>
      <w:tabs>
        <w:tab w:val="left" w:pos="567"/>
      </w:tabs>
      <w:ind w:leftChars="200" w:left="200" w:firstLineChars="200" w:firstLine="200"/>
    </w:pPr>
    <w:rPr>
      <w:kern w:val="32"/>
    </w:rPr>
  </w:style>
  <w:style w:type="paragraph" w:customStyle="1" w:styleId="22">
    <w:name w:val="段落樣式2"/>
    <w:basedOn w:val="a6"/>
    <w:qFormat/>
    <w:rsid w:val="004F5E57"/>
    <w:pPr>
      <w:tabs>
        <w:tab w:val="left" w:pos="567"/>
      </w:tabs>
      <w:ind w:leftChars="300" w:left="300" w:firstLineChars="200" w:firstLine="200"/>
    </w:pPr>
    <w:rPr>
      <w:kern w:val="32"/>
    </w:rPr>
  </w:style>
  <w:style w:type="paragraph" w:styleId="14">
    <w:name w:val="toc 1"/>
    <w:basedOn w:val="a6"/>
    <w:next w:val="a6"/>
    <w:autoRedefine/>
    <w:uiPriority w:val="39"/>
    <w:rsid w:val="00BC6DD7"/>
    <w:pPr>
      <w:tabs>
        <w:tab w:val="right" w:leader="hyphen" w:pos="8834"/>
      </w:tabs>
      <w:kinsoku w:val="0"/>
      <w:ind w:left="1362" w:rightChars="100" w:right="340" w:hangingChars="400" w:hanging="1362"/>
      <w:jc w:val="center"/>
    </w:pPr>
    <w:rPr>
      <w:b/>
      <w:noProof/>
      <w:szCs w:val="32"/>
    </w:rPr>
  </w:style>
  <w:style w:type="paragraph" w:styleId="23">
    <w:name w:val="toc 2"/>
    <w:basedOn w:val="a6"/>
    <w:next w:val="a6"/>
    <w:autoRedefine/>
    <w:uiPriority w:val="39"/>
    <w:rsid w:val="000E560E"/>
    <w:pPr>
      <w:tabs>
        <w:tab w:val="right" w:leader="hyphen" w:pos="8834"/>
      </w:tabs>
      <w:ind w:leftChars="100" w:left="1020" w:rightChars="100" w:right="340" w:hangingChars="200" w:hanging="680"/>
    </w:pPr>
    <w:rPr>
      <w:noProof/>
    </w:rPr>
  </w:style>
  <w:style w:type="paragraph" w:styleId="32">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2">
    <w:name w:val="toc 4"/>
    <w:basedOn w:val="a6"/>
    <w:next w:val="a6"/>
    <w:autoRedefine/>
    <w:uiPriority w:val="39"/>
    <w:rsid w:val="004E0062"/>
    <w:pPr>
      <w:kinsoku w:val="0"/>
      <w:ind w:leftChars="300" w:left="500" w:rightChars="200" w:right="200" w:hangingChars="200" w:hanging="200"/>
    </w:pPr>
  </w:style>
  <w:style w:type="paragraph" w:styleId="71">
    <w:name w:val="toc 7"/>
    <w:basedOn w:val="a6"/>
    <w:next w:val="a6"/>
    <w:autoRedefine/>
    <w:uiPriority w:val="39"/>
    <w:rsid w:val="004E0062"/>
    <w:pPr>
      <w:ind w:leftChars="600" w:left="800" w:hangingChars="200" w:hanging="200"/>
    </w:pPr>
  </w:style>
  <w:style w:type="paragraph" w:styleId="81">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f">
    <w:name w:val="header"/>
    <w:basedOn w:val="a6"/>
    <w:link w:val="af0"/>
    <w:uiPriority w:val="99"/>
    <w:rsid w:val="004E0062"/>
    <w:pPr>
      <w:tabs>
        <w:tab w:val="center" w:pos="4153"/>
        <w:tab w:val="right" w:pos="8306"/>
      </w:tabs>
      <w:snapToGrid w:val="0"/>
    </w:pPr>
    <w:rPr>
      <w:sz w:val="20"/>
    </w:rPr>
  </w:style>
  <w:style w:type="paragraph" w:customStyle="1" w:styleId="33">
    <w:name w:val="段落樣式3"/>
    <w:basedOn w:val="22"/>
    <w:qFormat/>
    <w:rsid w:val="004F5E57"/>
    <w:pPr>
      <w:ind w:leftChars="400" w:left="400"/>
    </w:pPr>
  </w:style>
  <w:style w:type="character" w:styleId="af1">
    <w:name w:val="Hyperlink"/>
    <w:basedOn w:val="a7"/>
    <w:uiPriority w:val="99"/>
    <w:rsid w:val="004E0062"/>
    <w:rPr>
      <w:color w:val="0000FF"/>
      <w:u w:val="single"/>
    </w:rPr>
  </w:style>
  <w:style w:type="paragraph" w:customStyle="1" w:styleId="af2">
    <w:name w:val="簽名日期"/>
    <w:basedOn w:val="a6"/>
    <w:rsid w:val="004E0062"/>
    <w:pPr>
      <w:kinsoku w:val="0"/>
      <w:jc w:val="distribute"/>
    </w:pPr>
    <w:rPr>
      <w:kern w:val="0"/>
    </w:rPr>
  </w:style>
  <w:style w:type="paragraph" w:customStyle="1" w:styleId="0">
    <w:name w:val="段落樣式0"/>
    <w:basedOn w:val="22"/>
    <w:qFormat/>
    <w:rsid w:val="004F5E57"/>
    <w:pPr>
      <w:ind w:leftChars="200" w:left="200" w:firstLineChars="0" w:firstLine="0"/>
    </w:pPr>
  </w:style>
  <w:style w:type="paragraph" w:customStyle="1" w:styleId="af3">
    <w:name w:val="附件"/>
    <w:basedOn w:val="ac"/>
    <w:rsid w:val="004E0062"/>
    <w:pPr>
      <w:spacing w:before="0"/>
      <w:ind w:left="1047" w:hangingChars="300" w:hanging="1047"/>
    </w:pPr>
    <w:rPr>
      <w:snapToGrid/>
      <w:spacing w:val="0"/>
      <w:kern w:val="0"/>
    </w:rPr>
  </w:style>
  <w:style w:type="paragraph" w:customStyle="1" w:styleId="43">
    <w:name w:val="段落樣式4"/>
    <w:basedOn w:val="33"/>
    <w:qFormat/>
    <w:rsid w:val="004F5E57"/>
    <w:pPr>
      <w:ind w:leftChars="500" w:left="500"/>
    </w:pPr>
  </w:style>
  <w:style w:type="paragraph" w:customStyle="1" w:styleId="53">
    <w:name w:val="段落樣式5"/>
    <w:basedOn w:val="43"/>
    <w:qFormat/>
    <w:rsid w:val="004F5E57"/>
    <w:pPr>
      <w:ind w:leftChars="600" w:left="600"/>
    </w:pPr>
  </w:style>
  <w:style w:type="paragraph" w:customStyle="1" w:styleId="62">
    <w:name w:val="段落樣式6"/>
    <w:basedOn w:val="53"/>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4">
    <w:name w:val="Body Text Indent"/>
    <w:basedOn w:val="a6"/>
    <w:semiHidden/>
    <w:rsid w:val="004E0062"/>
    <w:pPr>
      <w:ind w:left="698" w:hangingChars="200" w:hanging="698"/>
    </w:pPr>
  </w:style>
  <w:style w:type="paragraph" w:customStyle="1" w:styleId="af5">
    <w:name w:val="調查報告"/>
    <w:basedOn w:val="ac"/>
    <w:rsid w:val="009D26EF"/>
    <w:pPr>
      <w:adjustRightInd w:val="0"/>
      <w:spacing w:before="0"/>
      <w:ind w:left="0" w:firstLine="0"/>
      <w:jc w:val="center"/>
    </w:pPr>
    <w:rPr>
      <w:b/>
      <w:snapToGrid/>
      <w:spacing w:val="20"/>
      <w:kern w:val="0"/>
      <w:sz w:val="36"/>
    </w:rPr>
  </w:style>
  <w:style w:type="paragraph" w:customStyle="1" w:styleId="140">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6">
    <w:name w:val="footer"/>
    <w:basedOn w:val="a6"/>
    <w:link w:val="af7"/>
    <w:uiPriority w:val="99"/>
    <w:rsid w:val="004E0062"/>
    <w:pPr>
      <w:tabs>
        <w:tab w:val="center" w:pos="4153"/>
        <w:tab w:val="right" w:pos="8306"/>
      </w:tabs>
      <w:snapToGrid w:val="0"/>
    </w:pPr>
    <w:rPr>
      <w:sz w:val="20"/>
    </w:rPr>
  </w:style>
  <w:style w:type="paragraph" w:styleId="af8">
    <w:name w:val="table of figures"/>
    <w:basedOn w:val="a6"/>
    <w:next w:val="a6"/>
    <w:semiHidden/>
    <w:rsid w:val="004E0062"/>
    <w:pPr>
      <w:ind w:left="400" w:hangingChars="400" w:hanging="400"/>
    </w:pPr>
  </w:style>
  <w:style w:type="paragraph" w:customStyle="1" w:styleId="141">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B13189"/>
    <w:pPr>
      <w:keepNext/>
      <w:widowControl w:val="0"/>
      <w:numPr>
        <w:numId w:val="3"/>
      </w:numPr>
      <w:kinsoku w:val="0"/>
      <w:overflowPunct w:val="0"/>
      <w:autoSpaceDE w:val="0"/>
      <w:autoSpaceDN w:val="0"/>
      <w:adjustRightInd w:val="0"/>
      <w:snapToGrid w:val="0"/>
      <w:spacing w:before="240" w:after="40" w:line="360" w:lineRule="exact"/>
      <w:textAlignment w:val="baseline"/>
    </w:pPr>
    <w:rPr>
      <w:rFonts w:ascii="標楷體" w:eastAsia="標楷體" w:hAnsi="華康楷書體W5(P)"/>
      <w:bCs/>
      <w:spacing w:val="-10"/>
      <w:kern w:val="28"/>
      <w:sz w:val="28"/>
      <w:szCs w:val="28"/>
    </w:rPr>
  </w:style>
  <w:style w:type="paragraph" w:customStyle="1" w:styleId="af9">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a">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1"/>
    <w:rsid w:val="00E15352"/>
    <w:pPr>
      <w:spacing w:line="240" w:lineRule="exact"/>
    </w:pPr>
    <w:rPr>
      <w:sz w:val="24"/>
      <w:szCs w:val="24"/>
    </w:rPr>
  </w:style>
  <w:style w:type="paragraph" w:customStyle="1" w:styleId="121">
    <w:name w:val="表格12"/>
    <w:basedOn w:val="140"/>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b">
    <w:name w:val="List Paragraph"/>
    <w:aliases w:val="標1,(1)(1)(1)(1)(1)(1)(1)(1),網推會說明清單,附錄1,1.2.3.,壹_二階,List Paragraph1,12 20,標11,標12,List Paragraph,卑南壹,標題 (4),1.1.1.1清單段落,列點,(二),貿易局(一),Recommendation,Footnote Sam,List Paragraph (numbered (a)),Text,Noise heading,RUS List,Rec para,Dot pt,No Spacing1"/>
    <w:basedOn w:val="a6"/>
    <w:link w:val="afc"/>
    <w:uiPriority w:val="34"/>
    <w:qFormat/>
    <w:rsid w:val="00687024"/>
    <w:pPr>
      <w:ind w:leftChars="200" w:left="480"/>
    </w:pPr>
  </w:style>
  <w:style w:type="paragraph" w:styleId="afd">
    <w:name w:val="Balloon Text"/>
    <w:basedOn w:val="a6"/>
    <w:link w:val="afe"/>
    <w:uiPriority w:val="99"/>
    <w:semiHidden/>
    <w:unhideWhenUsed/>
    <w:rsid w:val="00C530DC"/>
    <w:rPr>
      <w:rFonts w:asciiTheme="majorHAnsi" w:eastAsiaTheme="majorEastAsia" w:hAnsiTheme="majorHAnsi" w:cstheme="majorBidi"/>
      <w:sz w:val="18"/>
      <w:szCs w:val="18"/>
    </w:rPr>
  </w:style>
  <w:style w:type="character" w:customStyle="1" w:styleId="afe">
    <w:name w:val="註解方塊文字 字元"/>
    <w:basedOn w:val="a7"/>
    <w:link w:val="afd"/>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aff">
    <w:name w:val="footnote text"/>
    <w:basedOn w:val="a6"/>
    <w:link w:val="aff0"/>
    <w:uiPriority w:val="99"/>
    <w:unhideWhenUsed/>
    <w:rsid w:val="002E5CA6"/>
    <w:pPr>
      <w:overflowPunct/>
      <w:autoSpaceDE/>
      <w:autoSpaceDN/>
      <w:snapToGrid w:val="0"/>
      <w:jc w:val="left"/>
    </w:pPr>
    <w:rPr>
      <w:rFonts w:asciiTheme="minorHAnsi" w:eastAsiaTheme="minorEastAsia" w:hAnsiTheme="minorHAnsi" w:cstheme="minorBidi"/>
      <w:sz w:val="20"/>
    </w:rPr>
  </w:style>
  <w:style w:type="character" w:customStyle="1" w:styleId="aff0">
    <w:name w:val="註腳文字 字元"/>
    <w:basedOn w:val="a7"/>
    <w:link w:val="aff"/>
    <w:uiPriority w:val="99"/>
    <w:rsid w:val="002E5CA6"/>
    <w:rPr>
      <w:rFonts w:asciiTheme="minorHAnsi" w:eastAsiaTheme="minorEastAsia" w:hAnsiTheme="minorHAnsi" w:cstheme="minorBidi"/>
      <w:kern w:val="2"/>
    </w:rPr>
  </w:style>
  <w:style w:type="character" w:styleId="aff1">
    <w:name w:val="footnote reference"/>
    <w:aliases w:val="FR,Ref,de nota al pie,註腳內容,Error-Fußnotenzeichen5,Error-Fußnotenzeichen6,Error-Fußnotenzeichen3"/>
    <w:basedOn w:val="a7"/>
    <w:uiPriority w:val="99"/>
    <w:unhideWhenUsed/>
    <w:rsid w:val="002E5CA6"/>
    <w:rPr>
      <w:vertAlign w:val="superscript"/>
    </w:rPr>
  </w:style>
  <w:style w:type="character" w:customStyle="1" w:styleId="ab">
    <w:name w:val="簽名 字元"/>
    <w:link w:val="aa"/>
    <w:rsid w:val="00C02C95"/>
    <w:rPr>
      <w:rFonts w:ascii="標楷體" w:eastAsia="標楷體"/>
      <w:b/>
      <w:snapToGrid w:val="0"/>
      <w:spacing w:val="12"/>
      <w:kern w:val="2"/>
      <w:sz w:val="36"/>
    </w:rPr>
  </w:style>
  <w:style w:type="character" w:customStyle="1" w:styleId="afc">
    <w:name w:val="清單段落 字元"/>
    <w:aliases w:val="標1 字元,(1)(1)(1)(1)(1)(1)(1)(1) 字元,網推會說明清單 字元,附錄1 字元,1.2.3. 字元,壹_二階 字元,List Paragraph1 字元,12 20 字元,標11 字元,標12 字元,List Paragraph 字元,卑南壹 字元,標題 (4) 字元,1.1.1.1清單段落 字元,列點 字元,(二) 字元,貿易局(一) 字元,Recommendation 字元,Footnote Sam 字元,Text 字元,Noise heading 字元"/>
    <w:link w:val="afb"/>
    <w:uiPriority w:val="34"/>
    <w:locked/>
    <w:rsid w:val="0032677B"/>
    <w:rPr>
      <w:rFonts w:ascii="標楷體" w:eastAsia="標楷體"/>
      <w:kern w:val="2"/>
      <w:sz w:val="32"/>
    </w:rPr>
  </w:style>
  <w:style w:type="table" w:customStyle="1" w:styleId="24">
    <w:name w:val="表格格線2"/>
    <w:basedOn w:val="a8"/>
    <w:next w:val="afa"/>
    <w:uiPriority w:val="59"/>
    <w:rsid w:val="003267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表格格線3"/>
    <w:basedOn w:val="a8"/>
    <w:next w:val="afa"/>
    <w:uiPriority w:val="59"/>
    <w:rsid w:val="003267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692BAC"/>
    <w:pPr>
      <w:suppressAutoHyphens/>
      <w:autoSpaceDN w:val="0"/>
      <w:textAlignment w:val="baseline"/>
    </w:pPr>
    <w:rPr>
      <w:rFonts w:ascii="Liberation Serif" w:hAnsi="Liberation Serif" w:cs="Mangal"/>
      <w:kern w:val="3"/>
      <w:sz w:val="24"/>
      <w:szCs w:val="24"/>
      <w:lang w:bidi="hi-IN"/>
    </w:rPr>
  </w:style>
  <w:style w:type="character" w:customStyle="1" w:styleId="Hyperlink0">
    <w:name w:val="Hyperlink.0"/>
    <w:basedOn w:val="a7"/>
    <w:qFormat/>
    <w:rsid w:val="00692BAC"/>
    <w:rPr>
      <w:outline w:val="0"/>
      <w:color w:val="0563C1"/>
      <w:u w:val="single" w:color="0563C1"/>
    </w:rPr>
  </w:style>
  <w:style w:type="character" w:customStyle="1" w:styleId="aff2">
    <w:name w:val="註腳錨定"/>
    <w:rsid w:val="00692BAC"/>
    <w:rPr>
      <w:vertAlign w:val="superscript"/>
    </w:rPr>
  </w:style>
  <w:style w:type="character" w:customStyle="1" w:styleId="aff3">
    <w:name w:val="註腳字元"/>
    <w:qFormat/>
    <w:rsid w:val="00692BAC"/>
  </w:style>
  <w:style w:type="character" w:customStyle="1" w:styleId="aff4">
    <w:name w:val="網際網路連結"/>
    <w:rsid w:val="00692BAC"/>
    <w:rPr>
      <w:u w:val="single"/>
    </w:rPr>
  </w:style>
  <w:style w:type="character" w:customStyle="1" w:styleId="Hyperlink1">
    <w:name w:val="Hyperlink.1"/>
    <w:basedOn w:val="Hyperlink0"/>
    <w:qFormat/>
    <w:rsid w:val="00692BAC"/>
    <w:rPr>
      <w:rFonts w:ascii="Times New Roman" w:eastAsia="Times New Roman" w:hAnsi="Times New Roman" w:cs="Times New Roman"/>
      <w:outline w:val="0"/>
      <w:color w:val="0563C1"/>
      <w:u w:val="single" w:color="0563C1"/>
    </w:rPr>
  </w:style>
  <w:style w:type="character" w:customStyle="1" w:styleId="aff5">
    <w:name w:val="無"/>
    <w:qFormat/>
    <w:rsid w:val="00692BAC"/>
  </w:style>
  <w:style w:type="table" w:customStyle="1" w:styleId="TableNormal">
    <w:name w:val="Table Normal"/>
    <w:rsid w:val="00692BAC"/>
    <w:rPr>
      <w:rFonts w:eastAsiaTheme="minorEastAsia"/>
      <w:lang w:val="en-GB"/>
    </w:rPr>
    <w:tblPr>
      <w:tblInd w:w="0" w:type="dxa"/>
      <w:tblCellMar>
        <w:top w:w="0" w:type="dxa"/>
        <w:left w:w="0" w:type="dxa"/>
        <w:bottom w:w="0" w:type="dxa"/>
        <w:right w:w="0" w:type="dxa"/>
      </w:tblCellMar>
    </w:tblPr>
  </w:style>
  <w:style w:type="character" w:customStyle="1" w:styleId="12">
    <w:name w:val="標題 1 字元"/>
    <w:aliases w:val="題號1 字元,壹 字元"/>
    <w:basedOn w:val="a7"/>
    <w:link w:val="1"/>
    <w:rsid w:val="003138AF"/>
    <w:rPr>
      <w:rFonts w:ascii="標楷體" w:eastAsia="標楷體" w:hAnsi="Arial"/>
      <w:bCs/>
      <w:kern w:val="32"/>
      <w:sz w:val="32"/>
      <w:szCs w:val="52"/>
    </w:rPr>
  </w:style>
  <w:style w:type="character" w:customStyle="1" w:styleId="21">
    <w:name w:val="標題 2 字元"/>
    <w:aliases w:val="標題110/111 字元,節 字元,節1 字元,標題110/111 + 內文 字元"/>
    <w:basedOn w:val="a7"/>
    <w:link w:val="2"/>
    <w:rsid w:val="003138AF"/>
    <w:rPr>
      <w:rFonts w:ascii="標楷體" w:eastAsia="標楷體" w:hAnsi="Arial"/>
      <w:bCs/>
      <w:kern w:val="32"/>
      <w:sz w:val="32"/>
      <w:szCs w:val="48"/>
    </w:rPr>
  </w:style>
  <w:style w:type="character" w:customStyle="1" w:styleId="31">
    <w:name w:val="標題 3 字元"/>
    <w:aliases w:val="(一) 字元"/>
    <w:basedOn w:val="a7"/>
    <w:link w:val="3"/>
    <w:rsid w:val="003138AF"/>
    <w:rPr>
      <w:rFonts w:ascii="標楷體" w:eastAsia="標楷體" w:hAnsi="Arial"/>
      <w:bCs/>
      <w:kern w:val="32"/>
      <w:sz w:val="32"/>
      <w:szCs w:val="36"/>
    </w:rPr>
  </w:style>
  <w:style w:type="character" w:customStyle="1" w:styleId="41">
    <w:name w:val="標題 4 字元"/>
    <w:aliases w:val="表格 字元,一 字元"/>
    <w:basedOn w:val="a7"/>
    <w:link w:val="4"/>
    <w:rsid w:val="003138AF"/>
    <w:rPr>
      <w:rFonts w:ascii="標楷體" w:eastAsia="標楷體" w:hAnsi="Arial"/>
      <w:kern w:val="32"/>
      <w:sz w:val="32"/>
      <w:szCs w:val="36"/>
    </w:rPr>
  </w:style>
  <w:style w:type="character" w:customStyle="1" w:styleId="51">
    <w:name w:val="標題 5 字元"/>
    <w:basedOn w:val="a7"/>
    <w:link w:val="5"/>
    <w:rsid w:val="003138AF"/>
    <w:rPr>
      <w:rFonts w:ascii="標楷體" w:eastAsia="標楷體" w:hAnsi="Arial"/>
      <w:bCs/>
      <w:kern w:val="32"/>
      <w:sz w:val="32"/>
      <w:szCs w:val="36"/>
    </w:rPr>
  </w:style>
  <w:style w:type="character" w:customStyle="1" w:styleId="60">
    <w:name w:val="標題 6 字元"/>
    <w:aliases w:val="1 字元"/>
    <w:basedOn w:val="a7"/>
    <w:link w:val="6"/>
    <w:rsid w:val="003138AF"/>
    <w:rPr>
      <w:rFonts w:ascii="標楷體" w:eastAsia="標楷體" w:hAnsi="Arial"/>
      <w:kern w:val="32"/>
      <w:sz w:val="32"/>
      <w:szCs w:val="36"/>
    </w:rPr>
  </w:style>
  <w:style w:type="character" w:customStyle="1" w:styleId="70">
    <w:name w:val="標題 7 字元"/>
    <w:aliases w:val="(1) 字元"/>
    <w:basedOn w:val="a7"/>
    <w:link w:val="7"/>
    <w:rsid w:val="003138AF"/>
    <w:rPr>
      <w:rFonts w:ascii="標楷體" w:eastAsia="標楷體" w:hAnsi="Arial"/>
      <w:bCs/>
      <w:kern w:val="32"/>
      <w:sz w:val="32"/>
      <w:szCs w:val="36"/>
    </w:rPr>
  </w:style>
  <w:style w:type="character" w:customStyle="1" w:styleId="80">
    <w:name w:val="標題 8 字元"/>
    <w:basedOn w:val="a7"/>
    <w:link w:val="8"/>
    <w:rsid w:val="003138AF"/>
    <w:rPr>
      <w:rFonts w:ascii="標楷體" w:eastAsia="標楷體" w:hAnsi="Arial"/>
      <w:kern w:val="32"/>
      <w:sz w:val="32"/>
      <w:szCs w:val="36"/>
    </w:rPr>
  </w:style>
  <w:style w:type="character" w:customStyle="1" w:styleId="ad">
    <w:name w:val="章節附註文字 字元"/>
    <w:basedOn w:val="a7"/>
    <w:link w:val="ac"/>
    <w:semiHidden/>
    <w:rsid w:val="003138AF"/>
    <w:rPr>
      <w:rFonts w:ascii="標楷體" w:eastAsia="標楷體"/>
      <w:snapToGrid w:val="0"/>
      <w:spacing w:val="10"/>
      <w:kern w:val="2"/>
      <w:sz w:val="32"/>
    </w:rPr>
  </w:style>
  <w:style w:type="character" w:customStyle="1" w:styleId="af0">
    <w:name w:val="頁首 字元"/>
    <w:basedOn w:val="a7"/>
    <w:link w:val="af"/>
    <w:uiPriority w:val="99"/>
    <w:rsid w:val="003138AF"/>
    <w:rPr>
      <w:rFonts w:ascii="標楷體" w:eastAsia="標楷體"/>
      <w:kern w:val="2"/>
    </w:rPr>
  </w:style>
  <w:style w:type="paragraph" w:customStyle="1" w:styleId="aff6">
    <w:name w:val="表樣式"/>
    <w:basedOn w:val="a6"/>
    <w:next w:val="a6"/>
    <w:rsid w:val="003138AF"/>
    <w:pPr>
      <w:overflowPunct/>
      <w:autoSpaceDE/>
      <w:autoSpaceDN/>
      <w:ind w:left="400" w:hangingChars="400" w:hanging="400"/>
    </w:pPr>
    <w:rPr>
      <w:kern w:val="0"/>
    </w:rPr>
  </w:style>
  <w:style w:type="paragraph" w:styleId="25">
    <w:name w:val="Body Text Indent 2"/>
    <w:basedOn w:val="a6"/>
    <w:link w:val="26"/>
    <w:semiHidden/>
    <w:rsid w:val="003138AF"/>
    <w:pPr>
      <w:tabs>
        <w:tab w:val="left" w:pos="567"/>
      </w:tabs>
      <w:overflowPunct/>
      <w:autoSpaceDE/>
      <w:autoSpaceDN/>
      <w:ind w:left="663" w:firstLine="663"/>
    </w:pPr>
    <w:rPr>
      <w:rFonts w:ascii="Times New Roman"/>
    </w:rPr>
  </w:style>
  <w:style w:type="character" w:customStyle="1" w:styleId="26">
    <w:name w:val="本文縮排 2 字元"/>
    <w:basedOn w:val="a7"/>
    <w:link w:val="25"/>
    <w:semiHidden/>
    <w:rsid w:val="003138AF"/>
    <w:rPr>
      <w:rFonts w:eastAsia="標楷體"/>
      <w:kern w:val="2"/>
      <w:sz w:val="32"/>
    </w:rPr>
  </w:style>
  <w:style w:type="paragraph" w:customStyle="1" w:styleId="aff7">
    <w:name w:val="圖樣式"/>
    <w:basedOn w:val="a6"/>
    <w:next w:val="a6"/>
    <w:rsid w:val="003138AF"/>
    <w:pPr>
      <w:overflowPunct/>
      <w:autoSpaceDE/>
      <w:autoSpaceDN/>
      <w:ind w:left="400" w:hangingChars="400" w:hanging="400"/>
    </w:pPr>
  </w:style>
  <w:style w:type="character" w:customStyle="1" w:styleId="af7">
    <w:name w:val="頁尾 字元"/>
    <w:link w:val="af6"/>
    <w:uiPriority w:val="99"/>
    <w:rsid w:val="003138AF"/>
    <w:rPr>
      <w:rFonts w:ascii="標楷體" w:eastAsia="標楷體"/>
      <w:kern w:val="2"/>
    </w:rPr>
  </w:style>
  <w:style w:type="paragraph" w:customStyle="1" w:styleId="aff8">
    <w:name w:val="分項段落"/>
    <w:basedOn w:val="a6"/>
    <w:rsid w:val="003138AF"/>
    <w:pPr>
      <w:overflowPunct/>
      <w:autoSpaceDE/>
      <w:autoSpaceDN/>
      <w:jc w:val="left"/>
    </w:pPr>
    <w:rPr>
      <w:rFonts w:ascii="Times New Roman" w:eastAsia="新細明體"/>
      <w:sz w:val="24"/>
    </w:rPr>
  </w:style>
  <w:style w:type="paragraph" w:customStyle="1" w:styleId="11">
    <w:name w:val="標題1"/>
    <w:basedOn w:val="a6"/>
    <w:qFormat/>
    <w:rsid w:val="003138AF"/>
    <w:pPr>
      <w:numPr>
        <w:numId w:val="9"/>
      </w:numPr>
      <w:outlineLvl w:val="0"/>
    </w:pPr>
    <w:rPr>
      <w:kern w:val="28"/>
      <w:sz w:val="28"/>
      <w:szCs w:val="24"/>
    </w:rPr>
  </w:style>
  <w:style w:type="paragraph" w:customStyle="1" w:styleId="30">
    <w:name w:val="標題3"/>
    <w:basedOn w:val="a6"/>
    <w:qFormat/>
    <w:rsid w:val="003138AF"/>
    <w:pPr>
      <w:numPr>
        <w:ilvl w:val="2"/>
        <w:numId w:val="9"/>
      </w:numPr>
      <w:outlineLvl w:val="2"/>
    </w:pPr>
    <w:rPr>
      <w:kern w:val="28"/>
      <w:sz w:val="28"/>
      <w:szCs w:val="24"/>
    </w:rPr>
  </w:style>
  <w:style w:type="paragraph" w:customStyle="1" w:styleId="40">
    <w:name w:val="標題4"/>
    <w:basedOn w:val="30"/>
    <w:qFormat/>
    <w:rsid w:val="003138AF"/>
    <w:pPr>
      <w:numPr>
        <w:ilvl w:val="3"/>
      </w:numPr>
      <w:outlineLvl w:val="3"/>
    </w:pPr>
  </w:style>
  <w:style w:type="paragraph" w:customStyle="1" w:styleId="50">
    <w:name w:val="標題5"/>
    <w:basedOn w:val="40"/>
    <w:qFormat/>
    <w:rsid w:val="003138AF"/>
    <w:pPr>
      <w:numPr>
        <w:ilvl w:val="4"/>
      </w:numPr>
      <w:outlineLvl w:val="4"/>
    </w:pPr>
  </w:style>
  <w:style w:type="paragraph" w:customStyle="1" w:styleId="20">
    <w:name w:val="標題2"/>
    <w:basedOn w:val="11"/>
    <w:qFormat/>
    <w:rsid w:val="003138AF"/>
    <w:pPr>
      <w:numPr>
        <w:numId w:val="10"/>
      </w:numPr>
      <w:ind w:left="840" w:hanging="556"/>
      <w:outlineLvl w:val="1"/>
    </w:pPr>
  </w:style>
  <w:style w:type="paragraph" w:customStyle="1" w:styleId="15">
    <w:name w:val="樣式1"/>
    <w:basedOn w:val="a6"/>
    <w:qFormat/>
    <w:rsid w:val="003138AF"/>
    <w:pPr>
      <w:ind w:firstLineChars="200" w:firstLine="200"/>
    </w:pPr>
    <w:rPr>
      <w:kern w:val="28"/>
      <w:sz w:val="28"/>
      <w:szCs w:val="24"/>
    </w:rPr>
  </w:style>
  <w:style w:type="paragraph" w:customStyle="1" w:styleId="aff9">
    <w:name w:val="主旨"/>
    <w:basedOn w:val="a6"/>
    <w:rsid w:val="003138AF"/>
    <w:pPr>
      <w:overflowPunct/>
      <w:autoSpaceDE/>
      <w:autoSpaceDN/>
      <w:snapToGrid w:val="0"/>
      <w:ind w:left="964" w:hanging="964"/>
      <w:jc w:val="left"/>
    </w:pPr>
    <w:rPr>
      <w:rFonts w:ascii="Times New Roman"/>
    </w:rPr>
  </w:style>
  <w:style w:type="paragraph" w:customStyle="1" w:styleId="affa">
    <w:name w:val="說明辦法首行"/>
    <w:basedOn w:val="a6"/>
    <w:rsid w:val="003138AF"/>
    <w:pPr>
      <w:overflowPunct/>
      <w:autoSpaceDE/>
      <w:autoSpaceDN/>
      <w:snapToGrid w:val="0"/>
      <w:spacing w:line="500" w:lineRule="exact"/>
      <w:ind w:left="964" w:hanging="964"/>
      <w:jc w:val="left"/>
    </w:pPr>
    <w:rPr>
      <w:rFonts w:ascii="Times New Roman"/>
    </w:rPr>
  </w:style>
  <w:style w:type="character" w:styleId="affb">
    <w:name w:val="Strong"/>
    <w:basedOn w:val="a7"/>
    <w:uiPriority w:val="22"/>
    <w:qFormat/>
    <w:rsid w:val="003138AF"/>
    <w:rPr>
      <w:b/>
      <w:bCs/>
    </w:rPr>
  </w:style>
  <w:style w:type="character" w:styleId="affc">
    <w:name w:val="Emphasis"/>
    <w:basedOn w:val="a7"/>
    <w:uiPriority w:val="20"/>
    <w:qFormat/>
    <w:rsid w:val="003138AF"/>
    <w:rPr>
      <w:b w:val="0"/>
      <w:bCs w:val="0"/>
      <w:i w:val="0"/>
      <w:iCs w:val="0"/>
      <w:color w:val="DD4B39"/>
    </w:rPr>
  </w:style>
  <w:style w:type="character" w:customStyle="1" w:styleId="st1">
    <w:name w:val="st1"/>
    <w:basedOn w:val="a7"/>
    <w:rsid w:val="003138AF"/>
  </w:style>
  <w:style w:type="table" w:customStyle="1" w:styleId="16">
    <w:name w:val="表格格線1"/>
    <w:basedOn w:val="a8"/>
    <w:next w:val="afa"/>
    <w:uiPriority w:val="39"/>
    <w:rsid w:val="003138AF"/>
    <w:rPr>
      <w:rFonts w:ascii="微軟正黑體" w:eastAsia="微軟正黑體" w:hAnsi="微軟正黑體" w:cstheme="minorBidi"/>
      <w:kern w:val="2"/>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
    <w:name w:val="表格格線4"/>
    <w:basedOn w:val="a8"/>
    <w:next w:val="afa"/>
    <w:uiPriority w:val="39"/>
    <w:rsid w:val="003138AF"/>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表格格線5"/>
    <w:basedOn w:val="a8"/>
    <w:next w:val="afa"/>
    <w:uiPriority w:val="59"/>
    <w:rsid w:val="003138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已輸入樣式 1.0"/>
    <w:rsid w:val="003138AF"/>
    <w:pPr>
      <w:numPr>
        <w:numId w:val="11"/>
      </w:numPr>
    </w:pPr>
  </w:style>
  <w:style w:type="character" w:customStyle="1" w:styleId="acopre1">
    <w:name w:val="acopre1"/>
    <w:basedOn w:val="a7"/>
    <w:rsid w:val="00194C61"/>
  </w:style>
  <w:style w:type="character" w:customStyle="1" w:styleId="17">
    <w:name w:val="未解析的提及1"/>
    <w:basedOn w:val="a7"/>
    <w:uiPriority w:val="99"/>
    <w:semiHidden/>
    <w:unhideWhenUsed/>
    <w:rsid w:val="00E10B9B"/>
    <w:rPr>
      <w:color w:val="605E5C"/>
      <w:shd w:val="clear" w:color="auto" w:fill="E1DFDD"/>
    </w:rPr>
  </w:style>
  <w:style w:type="character" w:styleId="affd">
    <w:name w:val="FollowedHyperlink"/>
    <w:basedOn w:val="a7"/>
    <w:uiPriority w:val="99"/>
    <w:semiHidden/>
    <w:unhideWhenUsed/>
    <w:rsid w:val="00F54E38"/>
    <w:rPr>
      <w:color w:val="800080"/>
      <w:u w:val="single"/>
    </w:rPr>
  </w:style>
  <w:style w:type="paragraph" w:customStyle="1" w:styleId="msonormal0">
    <w:name w:val="msonormal"/>
    <w:basedOn w:val="a6"/>
    <w:rsid w:val="00F54E38"/>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xl66">
    <w:name w:val="xl66"/>
    <w:basedOn w:val="a6"/>
    <w:rsid w:val="00F54E38"/>
    <w:pPr>
      <w:widowControl/>
      <w:pBdr>
        <w:top w:val="single" w:sz="4" w:space="0" w:color="D8D7DA"/>
        <w:left w:val="single" w:sz="4" w:space="0" w:color="D8D7DA"/>
        <w:bottom w:val="single" w:sz="4" w:space="0" w:color="D8D7DA"/>
        <w:right w:val="single" w:sz="4" w:space="0" w:color="D8D7DA"/>
      </w:pBdr>
      <w:overflowPunct/>
      <w:autoSpaceDE/>
      <w:autoSpaceDN/>
      <w:spacing w:before="100" w:beforeAutospacing="1" w:after="100" w:afterAutospacing="1"/>
      <w:jc w:val="center"/>
    </w:pPr>
    <w:rPr>
      <w:rFonts w:ascii="新細明體" w:eastAsia="新細明體" w:hAnsi="新細明體" w:cs="新細明體"/>
      <w:kern w:val="0"/>
      <w:sz w:val="20"/>
    </w:rPr>
  </w:style>
  <w:style w:type="paragraph" w:customStyle="1" w:styleId="xl67">
    <w:name w:val="xl67"/>
    <w:basedOn w:val="a6"/>
    <w:rsid w:val="00F54E38"/>
    <w:pPr>
      <w:widowControl/>
      <w:pBdr>
        <w:top w:val="single" w:sz="4" w:space="0" w:color="D8D7DA"/>
        <w:left w:val="single" w:sz="4" w:space="0" w:color="D8D7DA"/>
        <w:bottom w:val="single" w:sz="4" w:space="0" w:color="D8D7DA"/>
        <w:right w:val="single" w:sz="4" w:space="0" w:color="D8D7DA"/>
      </w:pBdr>
      <w:overflowPunct/>
      <w:autoSpaceDE/>
      <w:autoSpaceDN/>
      <w:spacing w:before="100" w:beforeAutospacing="1" w:after="100" w:afterAutospacing="1"/>
      <w:jc w:val="left"/>
    </w:pPr>
    <w:rPr>
      <w:rFonts w:ascii="新細明體" w:eastAsia="新細明體" w:hAnsi="新細明體" w:cs="新細明體"/>
      <w:kern w:val="0"/>
      <w:sz w:val="20"/>
    </w:rPr>
  </w:style>
  <w:style w:type="paragraph" w:customStyle="1" w:styleId="xl68">
    <w:name w:val="xl68"/>
    <w:basedOn w:val="a6"/>
    <w:rsid w:val="00F54E38"/>
    <w:pPr>
      <w:widowControl/>
      <w:pBdr>
        <w:top w:val="single" w:sz="4" w:space="0" w:color="D8D7DA"/>
        <w:left w:val="single" w:sz="4" w:space="0" w:color="D8D7DA"/>
        <w:bottom w:val="single" w:sz="4" w:space="0" w:color="D8D7DA"/>
        <w:right w:val="single" w:sz="4" w:space="0" w:color="D8D7DA"/>
      </w:pBdr>
      <w:overflowPunct/>
      <w:autoSpaceDE/>
      <w:autoSpaceDN/>
      <w:spacing w:before="100" w:beforeAutospacing="1" w:after="100" w:afterAutospacing="1"/>
      <w:jc w:val="right"/>
    </w:pPr>
    <w:rPr>
      <w:rFonts w:ascii="新細明體" w:eastAsia="新細明體" w:hAnsi="新細明體" w:cs="新細明體"/>
      <w:kern w:val="0"/>
      <w:sz w:val="20"/>
    </w:rPr>
  </w:style>
  <w:style w:type="paragraph" w:customStyle="1" w:styleId="xl69">
    <w:name w:val="xl69"/>
    <w:basedOn w:val="a6"/>
    <w:rsid w:val="00F54E38"/>
    <w:pPr>
      <w:widowControl/>
      <w:pBdr>
        <w:top w:val="single" w:sz="4" w:space="0" w:color="D8D7DA"/>
        <w:left w:val="single" w:sz="4" w:space="0" w:color="D8D7DA"/>
        <w:bottom w:val="single" w:sz="4" w:space="0" w:color="D8D7DA"/>
      </w:pBdr>
      <w:overflowPunct/>
      <w:autoSpaceDE/>
      <w:autoSpaceDN/>
      <w:spacing w:before="100" w:beforeAutospacing="1" w:after="100" w:afterAutospacing="1"/>
      <w:jc w:val="center"/>
    </w:pPr>
    <w:rPr>
      <w:rFonts w:ascii="新細明體" w:eastAsia="新細明體" w:hAnsi="新細明體" w:cs="新細明體"/>
      <w:kern w:val="0"/>
      <w:sz w:val="20"/>
    </w:rPr>
  </w:style>
  <w:style w:type="paragraph" w:customStyle="1" w:styleId="xl70">
    <w:name w:val="xl70"/>
    <w:basedOn w:val="a6"/>
    <w:rsid w:val="00F54E38"/>
    <w:pPr>
      <w:widowControl/>
      <w:pBdr>
        <w:top w:val="single" w:sz="4" w:space="0" w:color="D8D7DA"/>
        <w:bottom w:val="single" w:sz="4" w:space="0" w:color="D8D7DA"/>
      </w:pBdr>
      <w:overflowPunct/>
      <w:autoSpaceDE/>
      <w:autoSpaceDN/>
      <w:spacing w:before="100" w:beforeAutospacing="1" w:after="100" w:afterAutospacing="1"/>
      <w:jc w:val="center"/>
    </w:pPr>
    <w:rPr>
      <w:rFonts w:ascii="新細明體" w:eastAsia="新細明體" w:hAnsi="新細明體" w:cs="新細明體"/>
      <w:kern w:val="0"/>
      <w:sz w:val="20"/>
    </w:rPr>
  </w:style>
  <w:style w:type="paragraph" w:customStyle="1" w:styleId="xl71">
    <w:name w:val="xl71"/>
    <w:basedOn w:val="a6"/>
    <w:rsid w:val="00F54E38"/>
    <w:pPr>
      <w:widowControl/>
      <w:pBdr>
        <w:top w:val="single" w:sz="4" w:space="0" w:color="D8D7DA"/>
        <w:bottom w:val="single" w:sz="4" w:space="0" w:color="D8D7DA"/>
        <w:right w:val="single" w:sz="4" w:space="0" w:color="D8D7DA"/>
      </w:pBdr>
      <w:overflowPunct/>
      <w:autoSpaceDE/>
      <w:autoSpaceDN/>
      <w:spacing w:before="100" w:beforeAutospacing="1" w:after="100" w:afterAutospacing="1"/>
      <w:jc w:val="center"/>
    </w:pPr>
    <w:rPr>
      <w:rFonts w:ascii="新細明體" w:eastAsia="新細明體" w:hAnsi="新細明體" w:cs="新細明體"/>
      <w:kern w:val="0"/>
      <w:sz w:val="20"/>
    </w:rPr>
  </w:style>
  <w:style w:type="paragraph" w:customStyle="1" w:styleId="xl72">
    <w:name w:val="xl72"/>
    <w:basedOn w:val="a6"/>
    <w:rsid w:val="00F54E38"/>
    <w:pPr>
      <w:widowControl/>
      <w:pBdr>
        <w:top w:val="single" w:sz="4" w:space="0" w:color="D8D7DA"/>
        <w:left w:val="single" w:sz="4" w:space="0" w:color="D8D7DA"/>
        <w:right w:val="single" w:sz="4" w:space="0" w:color="D8D7DA"/>
      </w:pBdr>
      <w:overflowPunct/>
      <w:autoSpaceDE/>
      <w:autoSpaceDN/>
      <w:spacing w:before="100" w:beforeAutospacing="1" w:after="100" w:afterAutospacing="1"/>
      <w:jc w:val="center"/>
    </w:pPr>
    <w:rPr>
      <w:rFonts w:ascii="新細明體" w:eastAsia="新細明體" w:hAnsi="新細明體" w:cs="新細明體"/>
      <w:kern w:val="0"/>
      <w:sz w:val="20"/>
    </w:rPr>
  </w:style>
  <w:style w:type="paragraph" w:customStyle="1" w:styleId="xl73">
    <w:name w:val="xl73"/>
    <w:basedOn w:val="a6"/>
    <w:rsid w:val="00F54E38"/>
    <w:pPr>
      <w:widowControl/>
      <w:pBdr>
        <w:left w:val="single" w:sz="4" w:space="0" w:color="D8D7DA"/>
        <w:bottom w:val="single" w:sz="4" w:space="0" w:color="D8D7DA"/>
        <w:right w:val="single" w:sz="4" w:space="0" w:color="D8D7DA"/>
      </w:pBdr>
      <w:overflowPunct/>
      <w:autoSpaceDE/>
      <w:autoSpaceDN/>
      <w:spacing w:before="100" w:beforeAutospacing="1" w:after="100" w:afterAutospacing="1"/>
      <w:jc w:val="center"/>
    </w:pPr>
    <w:rPr>
      <w:rFonts w:ascii="新細明體" w:eastAsia="新細明體" w:hAnsi="新細明體" w:cs="新細明體"/>
      <w:kern w:val="0"/>
      <w:sz w:val="20"/>
    </w:rPr>
  </w:style>
  <w:style w:type="paragraph" w:customStyle="1" w:styleId="xl74">
    <w:name w:val="xl74"/>
    <w:basedOn w:val="a6"/>
    <w:rsid w:val="00F54E38"/>
    <w:pPr>
      <w:widowControl/>
      <w:pBdr>
        <w:top w:val="single" w:sz="4" w:space="0" w:color="D8D7DA"/>
        <w:left w:val="single" w:sz="4" w:space="0" w:color="D8D7DA"/>
        <w:right w:val="single" w:sz="4" w:space="0" w:color="D8D7DA"/>
      </w:pBdr>
      <w:overflowPunct/>
      <w:autoSpaceDE/>
      <w:autoSpaceDN/>
      <w:spacing w:before="100" w:beforeAutospacing="1" w:after="100" w:afterAutospacing="1"/>
      <w:jc w:val="center"/>
    </w:pPr>
    <w:rPr>
      <w:rFonts w:ascii="新細明體" w:eastAsia="新細明體" w:hAnsi="新細明體" w:cs="新細明體"/>
      <w:color w:val="333333"/>
      <w:kern w:val="0"/>
      <w:sz w:val="20"/>
    </w:rPr>
  </w:style>
  <w:style w:type="paragraph" w:customStyle="1" w:styleId="xl75">
    <w:name w:val="xl75"/>
    <w:basedOn w:val="a6"/>
    <w:rsid w:val="00F54E38"/>
    <w:pPr>
      <w:widowControl/>
      <w:pBdr>
        <w:left w:val="single" w:sz="4" w:space="0" w:color="D8D7DA"/>
        <w:right w:val="single" w:sz="4" w:space="0" w:color="D8D7DA"/>
      </w:pBdr>
      <w:overflowPunct/>
      <w:autoSpaceDE/>
      <w:autoSpaceDN/>
      <w:spacing w:before="100" w:beforeAutospacing="1" w:after="100" w:afterAutospacing="1"/>
      <w:jc w:val="center"/>
    </w:pPr>
    <w:rPr>
      <w:rFonts w:ascii="新細明體" w:eastAsia="新細明體" w:hAnsi="新細明體" w:cs="新細明體"/>
      <w:color w:val="333333"/>
      <w:kern w:val="0"/>
      <w:sz w:val="20"/>
    </w:rPr>
  </w:style>
  <w:style w:type="paragraph" w:customStyle="1" w:styleId="xl76">
    <w:name w:val="xl76"/>
    <w:basedOn w:val="a6"/>
    <w:rsid w:val="00F54E38"/>
    <w:pPr>
      <w:widowControl/>
      <w:pBdr>
        <w:left w:val="single" w:sz="4" w:space="0" w:color="D8D7DA"/>
        <w:bottom w:val="single" w:sz="4" w:space="0" w:color="D8D7DA"/>
        <w:right w:val="single" w:sz="4" w:space="0" w:color="D8D7DA"/>
      </w:pBdr>
      <w:overflowPunct/>
      <w:autoSpaceDE/>
      <w:autoSpaceDN/>
      <w:spacing w:before="100" w:beforeAutospacing="1" w:after="100" w:afterAutospacing="1"/>
      <w:jc w:val="center"/>
    </w:pPr>
    <w:rPr>
      <w:rFonts w:ascii="新細明體" w:eastAsia="新細明體" w:hAnsi="新細明體" w:cs="新細明體"/>
      <w:color w:val="333333"/>
      <w:kern w:val="0"/>
      <w:sz w:val="20"/>
    </w:rPr>
  </w:style>
  <w:style w:type="paragraph" w:customStyle="1" w:styleId="xl77">
    <w:name w:val="xl77"/>
    <w:basedOn w:val="a6"/>
    <w:rsid w:val="00F54E38"/>
    <w:pPr>
      <w:widowControl/>
      <w:pBdr>
        <w:left w:val="single" w:sz="4" w:space="0" w:color="D8D7DA"/>
        <w:right w:val="single" w:sz="4" w:space="0" w:color="D8D7DA"/>
      </w:pBdr>
      <w:overflowPunct/>
      <w:autoSpaceDE/>
      <w:autoSpaceDN/>
      <w:spacing w:before="100" w:beforeAutospacing="1" w:after="100" w:afterAutospacing="1"/>
      <w:jc w:val="center"/>
    </w:pPr>
    <w:rPr>
      <w:rFonts w:ascii="新細明體" w:eastAsia="新細明體" w:hAnsi="新細明體" w:cs="新細明體"/>
      <w:kern w:val="0"/>
      <w:sz w:val="20"/>
    </w:rPr>
  </w:style>
  <w:style w:type="paragraph" w:customStyle="1" w:styleId="35">
    <w:name w:val="樣式3"/>
    <w:basedOn w:val="a6"/>
    <w:rsid w:val="003665F2"/>
    <w:pPr>
      <w:suppressAutoHyphens/>
      <w:overflowPunct/>
      <w:autoSpaceDE/>
      <w:autoSpaceDN/>
      <w:snapToGrid w:val="0"/>
      <w:spacing w:after="90" w:line="480" w:lineRule="exact"/>
      <w:ind w:left="640" w:hanging="640"/>
    </w:pPr>
    <w:rPr>
      <w:rFonts w:ascii="Times New Roman"/>
      <w:color w:val="000000"/>
      <w:szCs w:val="32"/>
    </w:rPr>
  </w:style>
  <w:style w:type="paragraph" w:customStyle="1" w:styleId="Footnote">
    <w:name w:val="Footnote"/>
    <w:basedOn w:val="Standard"/>
    <w:rsid w:val="00BD2A99"/>
    <w:pPr>
      <w:widowControl w:val="0"/>
      <w:suppressAutoHyphens w:val="0"/>
      <w:snapToGrid w:val="0"/>
    </w:pPr>
    <w:rPr>
      <w:rFonts w:ascii="Times New Roman" w:hAnsi="Times New Roman" w:cs="Times New Roman"/>
      <w:sz w:val="20"/>
      <w:szCs w:val="20"/>
      <w:lang w:bidi="ar-SA"/>
    </w:rPr>
  </w:style>
  <w:style w:type="character" w:customStyle="1" w:styleId="FootnoteCharacters">
    <w:name w:val="Footnote Characters"/>
    <w:rsid w:val="00BD2A99"/>
    <w:rPr>
      <w:position w:val="0"/>
      <w:vertAlign w:val="superscript"/>
    </w:rPr>
  </w:style>
  <w:style w:type="paragraph" w:customStyle="1" w:styleId="Textbody">
    <w:name w:val="Text body"/>
    <w:basedOn w:val="Standard"/>
    <w:rsid w:val="003B69DA"/>
    <w:pPr>
      <w:widowControl w:val="0"/>
      <w:suppressAutoHyphens w:val="0"/>
      <w:spacing w:after="96" w:line="360" w:lineRule="exact"/>
      <w:ind w:firstLine="520"/>
      <w:jc w:val="both"/>
    </w:pPr>
    <w:rPr>
      <w:rFonts w:ascii="Times New Roman" w:eastAsia="標楷體" w:hAnsi="Times New Roman" w:cs="Times New Roman"/>
      <w:color w:val="000000"/>
      <w:sz w:val="26"/>
      <w:lang w:bidi="ar-SA"/>
    </w:rPr>
  </w:style>
  <w:style w:type="table" w:styleId="5-6">
    <w:name w:val="Grid Table 5 Dark Accent 6"/>
    <w:basedOn w:val="a8"/>
    <w:uiPriority w:val="50"/>
    <w:rsid w:val="001300D1"/>
    <w:rPr>
      <w:rFonts w:asciiTheme="minorHAnsi" w:eastAsiaTheme="minorEastAsia" w:hAnsiTheme="minorHAnsi" w:cstheme="minorBidi"/>
      <w:kern w:val="2"/>
      <w:sz w:val="24"/>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character" w:customStyle="1" w:styleId="27">
    <w:name w:val="未解析的提及2"/>
    <w:basedOn w:val="a7"/>
    <w:uiPriority w:val="99"/>
    <w:semiHidden/>
    <w:unhideWhenUsed/>
    <w:rsid w:val="000B2F25"/>
    <w:rPr>
      <w:color w:val="605E5C"/>
      <w:shd w:val="clear" w:color="auto" w:fill="E1DFDD"/>
    </w:rPr>
  </w:style>
  <w:style w:type="paragraph" w:customStyle="1" w:styleId="Default">
    <w:name w:val="Default"/>
    <w:rsid w:val="00FC6857"/>
    <w:pPr>
      <w:widowControl w:val="0"/>
      <w:autoSpaceDE w:val="0"/>
      <w:autoSpaceDN w:val="0"/>
      <w:adjustRightInd w:val="0"/>
    </w:pPr>
    <w:rPr>
      <w:rFonts w:ascii="標楷體" w:eastAsia="標楷體" w:cs="標楷體"/>
      <w:color w:val="000000"/>
      <w:sz w:val="24"/>
      <w:szCs w:val="24"/>
    </w:rPr>
  </w:style>
  <w:style w:type="character" w:styleId="affe">
    <w:name w:val="Placeholder Text"/>
    <w:basedOn w:val="a7"/>
    <w:uiPriority w:val="99"/>
    <w:semiHidden/>
    <w:rsid w:val="00AD5BC0"/>
    <w:rPr>
      <w:color w:val="808080"/>
    </w:rPr>
  </w:style>
  <w:style w:type="character" w:styleId="afff">
    <w:name w:val="annotation reference"/>
    <w:basedOn w:val="a7"/>
    <w:uiPriority w:val="99"/>
    <w:semiHidden/>
    <w:unhideWhenUsed/>
    <w:rsid w:val="0067312A"/>
    <w:rPr>
      <w:sz w:val="18"/>
      <w:szCs w:val="18"/>
    </w:rPr>
  </w:style>
  <w:style w:type="paragraph" w:styleId="afff0">
    <w:name w:val="annotation text"/>
    <w:basedOn w:val="a6"/>
    <w:link w:val="afff1"/>
    <w:uiPriority w:val="99"/>
    <w:semiHidden/>
    <w:unhideWhenUsed/>
    <w:rsid w:val="0067312A"/>
    <w:pPr>
      <w:jc w:val="left"/>
    </w:pPr>
  </w:style>
  <w:style w:type="character" w:customStyle="1" w:styleId="afff1">
    <w:name w:val="註解文字 字元"/>
    <w:basedOn w:val="a7"/>
    <w:link w:val="afff0"/>
    <w:uiPriority w:val="99"/>
    <w:semiHidden/>
    <w:rsid w:val="0067312A"/>
    <w:rPr>
      <w:rFonts w:ascii="標楷體" w:eastAsia="標楷體"/>
      <w:kern w:val="2"/>
      <w:sz w:val="32"/>
    </w:rPr>
  </w:style>
  <w:style w:type="paragraph" w:styleId="afff2">
    <w:name w:val="annotation subject"/>
    <w:basedOn w:val="afff0"/>
    <w:next w:val="afff0"/>
    <w:link w:val="afff3"/>
    <w:uiPriority w:val="99"/>
    <w:semiHidden/>
    <w:unhideWhenUsed/>
    <w:rsid w:val="0067312A"/>
    <w:rPr>
      <w:b/>
      <w:bCs/>
    </w:rPr>
  </w:style>
  <w:style w:type="character" w:customStyle="1" w:styleId="afff3">
    <w:name w:val="註解主旨 字元"/>
    <w:basedOn w:val="afff1"/>
    <w:link w:val="afff2"/>
    <w:uiPriority w:val="99"/>
    <w:semiHidden/>
    <w:rsid w:val="0067312A"/>
    <w:rPr>
      <w:rFonts w:ascii="標楷體" w:eastAsia="標楷體"/>
      <w:b/>
      <w:bCs/>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159574">
      <w:bodyDiv w:val="1"/>
      <w:marLeft w:val="0"/>
      <w:marRight w:val="0"/>
      <w:marTop w:val="0"/>
      <w:marBottom w:val="0"/>
      <w:divBdr>
        <w:top w:val="none" w:sz="0" w:space="0" w:color="auto"/>
        <w:left w:val="none" w:sz="0" w:space="0" w:color="auto"/>
        <w:bottom w:val="none" w:sz="0" w:space="0" w:color="auto"/>
        <w:right w:val="none" w:sz="0" w:space="0" w:color="auto"/>
      </w:divBdr>
    </w:div>
    <w:div w:id="72437360">
      <w:bodyDiv w:val="1"/>
      <w:marLeft w:val="0"/>
      <w:marRight w:val="0"/>
      <w:marTop w:val="0"/>
      <w:marBottom w:val="0"/>
      <w:divBdr>
        <w:top w:val="none" w:sz="0" w:space="0" w:color="auto"/>
        <w:left w:val="none" w:sz="0" w:space="0" w:color="auto"/>
        <w:bottom w:val="none" w:sz="0" w:space="0" w:color="auto"/>
        <w:right w:val="none" w:sz="0" w:space="0" w:color="auto"/>
      </w:divBdr>
      <w:divsChild>
        <w:div w:id="75128736">
          <w:marLeft w:val="547"/>
          <w:marRight w:val="0"/>
          <w:marTop w:val="154"/>
          <w:marBottom w:val="0"/>
          <w:divBdr>
            <w:top w:val="none" w:sz="0" w:space="0" w:color="auto"/>
            <w:left w:val="none" w:sz="0" w:space="0" w:color="auto"/>
            <w:bottom w:val="none" w:sz="0" w:space="0" w:color="auto"/>
            <w:right w:val="none" w:sz="0" w:space="0" w:color="auto"/>
          </w:divBdr>
        </w:div>
        <w:div w:id="787433813">
          <w:marLeft w:val="1166"/>
          <w:marRight w:val="0"/>
          <w:marTop w:val="154"/>
          <w:marBottom w:val="0"/>
          <w:divBdr>
            <w:top w:val="none" w:sz="0" w:space="0" w:color="auto"/>
            <w:left w:val="none" w:sz="0" w:space="0" w:color="auto"/>
            <w:bottom w:val="none" w:sz="0" w:space="0" w:color="auto"/>
            <w:right w:val="none" w:sz="0" w:space="0" w:color="auto"/>
          </w:divBdr>
        </w:div>
        <w:div w:id="1053503005">
          <w:marLeft w:val="1166"/>
          <w:marRight w:val="0"/>
          <w:marTop w:val="154"/>
          <w:marBottom w:val="0"/>
          <w:divBdr>
            <w:top w:val="none" w:sz="0" w:space="0" w:color="auto"/>
            <w:left w:val="none" w:sz="0" w:space="0" w:color="auto"/>
            <w:bottom w:val="none" w:sz="0" w:space="0" w:color="auto"/>
            <w:right w:val="none" w:sz="0" w:space="0" w:color="auto"/>
          </w:divBdr>
        </w:div>
        <w:div w:id="1041979875">
          <w:marLeft w:val="1166"/>
          <w:marRight w:val="0"/>
          <w:marTop w:val="154"/>
          <w:marBottom w:val="0"/>
          <w:divBdr>
            <w:top w:val="none" w:sz="0" w:space="0" w:color="auto"/>
            <w:left w:val="none" w:sz="0" w:space="0" w:color="auto"/>
            <w:bottom w:val="none" w:sz="0" w:space="0" w:color="auto"/>
            <w:right w:val="none" w:sz="0" w:space="0" w:color="auto"/>
          </w:divBdr>
        </w:div>
      </w:divsChild>
    </w:div>
    <w:div w:id="110513868">
      <w:bodyDiv w:val="1"/>
      <w:marLeft w:val="0"/>
      <w:marRight w:val="0"/>
      <w:marTop w:val="0"/>
      <w:marBottom w:val="0"/>
      <w:divBdr>
        <w:top w:val="none" w:sz="0" w:space="0" w:color="auto"/>
        <w:left w:val="none" w:sz="0" w:space="0" w:color="auto"/>
        <w:bottom w:val="none" w:sz="0" w:space="0" w:color="auto"/>
        <w:right w:val="none" w:sz="0" w:space="0" w:color="auto"/>
      </w:divBdr>
    </w:div>
    <w:div w:id="124083459">
      <w:bodyDiv w:val="1"/>
      <w:marLeft w:val="0"/>
      <w:marRight w:val="0"/>
      <w:marTop w:val="0"/>
      <w:marBottom w:val="0"/>
      <w:divBdr>
        <w:top w:val="none" w:sz="0" w:space="0" w:color="auto"/>
        <w:left w:val="none" w:sz="0" w:space="0" w:color="auto"/>
        <w:bottom w:val="none" w:sz="0" w:space="0" w:color="auto"/>
        <w:right w:val="none" w:sz="0" w:space="0" w:color="auto"/>
      </w:divBdr>
    </w:div>
    <w:div w:id="137692297">
      <w:bodyDiv w:val="1"/>
      <w:marLeft w:val="0"/>
      <w:marRight w:val="0"/>
      <w:marTop w:val="0"/>
      <w:marBottom w:val="0"/>
      <w:divBdr>
        <w:top w:val="none" w:sz="0" w:space="0" w:color="auto"/>
        <w:left w:val="none" w:sz="0" w:space="0" w:color="auto"/>
        <w:bottom w:val="none" w:sz="0" w:space="0" w:color="auto"/>
        <w:right w:val="none" w:sz="0" w:space="0" w:color="auto"/>
      </w:divBdr>
    </w:div>
    <w:div w:id="144780959">
      <w:bodyDiv w:val="1"/>
      <w:marLeft w:val="0"/>
      <w:marRight w:val="0"/>
      <w:marTop w:val="0"/>
      <w:marBottom w:val="0"/>
      <w:divBdr>
        <w:top w:val="none" w:sz="0" w:space="0" w:color="auto"/>
        <w:left w:val="none" w:sz="0" w:space="0" w:color="auto"/>
        <w:bottom w:val="none" w:sz="0" w:space="0" w:color="auto"/>
        <w:right w:val="none" w:sz="0" w:space="0" w:color="auto"/>
      </w:divBdr>
    </w:div>
    <w:div w:id="154029987">
      <w:bodyDiv w:val="1"/>
      <w:marLeft w:val="0"/>
      <w:marRight w:val="0"/>
      <w:marTop w:val="0"/>
      <w:marBottom w:val="0"/>
      <w:divBdr>
        <w:top w:val="none" w:sz="0" w:space="0" w:color="auto"/>
        <w:left w:val="none" w:sz="0" w:space="0" w:color="auto"/>
        <w:bottom w:val="none" w:sz="0" w:space="0" w:color="auto"/>
        <w:right w:val="none" w:sz="0" w:space="0" w:color="auto"/>
      </w:divBdr>
    </w:div>
    <w:div w:id="164709351">
      <w:bodyDiv w:val="1"/>
      <w:marLeft w:val="0"/>
      <w:marRight w:val="0"/>
      <w:marTop w:val="0"/>
      <w:marBottom w:val="0"/>
      <w:divBdr>
        <w:top w:val="none" w:sz="0" w:space="0" w:color="auto"/>
        <w:left w:val="none" w:sz="0" w:space="0" w:color="auto"/>
        <w:bottom w:val="none" w:sz="0" w:space="0" w:color="auto"/>
        <w:right w:val="none" w:sz="0" w:space="0" w:color="auto"/>
      </w:divBdr>
    </w:div>
    <w:div w:id="262764324">
      <w:bodyDiv w:val="1"/>
      <w:marLeft w:val="0"/>
      <w:marRight w:val="0"/>
      <w:marTop w:val="0"/>
      <w:marBottom w:val="0"/>
      <w:divBdr>
        <w:top w:val="none" w:sz="0" w:space="0" w:color="auto"/>
        <w:left w:val="none" w:sz="0" w:space="0" w:color="auto"/>
        <w:bottom w:val="none" w:sz="0" w:space="0" w:color="auto"/>
        <w:right w:val="none" w:sz="0" w:space="0" w:color="auto"/>
      </w:divBdr>
      <w:divsChild>
        <w:div w:id="251166671">
          <w:marLeft w:val="768"/>
          <w:marRight w:val="0"/>
          <w:marTop w:val="0"/>
          <w:marBottom w:val="0"/>
          <w:divBdr>
            <w:top w:val="none" w:sz="0" w:space="0" w:color="auto"/>
            <w:left w:val="none" w:sz="0" w:space="0" w:color="auto"/>
            <w:bottom w:val="none" w:sz="0" w:space="0" w:color="auto"/>
            <w:right w:val="none" w:sz="0" w:space="0" w:color="auto"/>
          </w:divBdr>
        </w:div>
        <w:div w:id="1396464323">
          <w:marLeft w:val="768"/>
          <w:marRight w:val="0"/>
          <w:marTop w:val="0"/>
          <w:marBottom w:val="0"/>
          <w:divBdr>
            <w:top w:val="none" w:sz="0" w:space="0" w:color="auto"/>
            <w:left w:val="none" w:sz="0" w:space="0" w:color="auto"/>
            <w:bottom w:val="none" w:sz="0" w:space="0" w:color="auto"/>
            <w:right w:val="none" w:sz="0" w:space="0" w:color="auto"/>
          </w:divBdr>
        </w:div>
      </w:divsChild>
    </w:div>
    <w:div w:id="264002747">
      <w:bodyDiv w:val="1"/>
      <w:marLeft w:val="0"/>
      <w:marRight w:val="0"/>
      <w:marTop w:val="0"/>
      <w:marBottom w:val="0"/>
      <w:divBdr>
        <w:top w:val="none" w:sz="0" w:space="0" w:color="auto"/>
        <w:left w:val="none" w:sz="0" w:space="0" w:color="auto"/>
        <w:bottom w:val="none" w:sz="0" w:space="0" w:color="auto"/>
        <w:right w:val="none" w:sz="0" w:space="0" w:color="auto"/>
      </w:divBdr>
    </w:div>
    <w:div w:id="341710264">
      <w:bodyDiv w:val="1"/>
      <w:marLeft w:val="0"/>
      <w:marRight w:val="0"/>
      <w:marTop w:val="0"/>
      <w:marBottom w:val="0"/>
      <w:divBdr>
        <w:top w:val="none" w:sz="0" w:space="0" w:color="auto"/>
        <w:left w:val="none" w:sz="0" w:space="0" w:color="auto"/>
        <w:bottom w:val="none" w:sz="0" w:space="0" w:color="auto"/>
        <w:right w:val="none" w:sz="0" w:space="0" w:color="auto"/>
      </w:divBdr>
    </w:div>
    <w:div w:id="366298368">
      <w:bodyDiv w:val="1"/>
      <w:marLeft w:val="0"/>
      <w:marRight w:val="0"/>
      <w:marTop w:val="0"/>
      <w:marBottom w:val="0"/>
      <w:divBdr>
        <w:top w:val="none" w:sz="0" w:space="0" w:color="auto"/>
        <w:left w:val="none" w:sz="0" w:space="0" w:color="auto"/>
        <w:bottom w:val="none" w:sz="0" w:space="0" w:color="auto"/>
        <w:right w:val="none" w:sz="0" w:space="0" w:color="auto"/>
      </w:divBdr>
    </w:div>
    <w:div w:id="400754948">
      <w:bodyDiv w:val="1"/>
      <w:marLeft w:val="0"/>
      <w:marRight w:val="0"/>
      <w:marTop w:val="0"/>
      <w:marBottom w:val="0"/>
      <w:divBdr>
        <w:top w:val="none" w:sz="0" w:space="0" w:color="auto"/>
        <w:left w:val="none" w:sz="0" w:space="0" w:color="auto"/>
        <w:bottom w:val="none" w:sz="0" w:space="0" w:color="auto"/>
        <w:right w:val="none" w:sz="0" w:space="0" w:color="auto"/>
      </w:divBdr>
    </w:div>
    <w:div w:id="486089894">
      <w:bodyDiv w:val="1"/>
      <w:marLeft w:val="0"/>
      <w:marRight w:val="0"/>
      <w:marTop w:val="0"/>
      <w:marBottom w:val="0"/>
      <w:divBdr>
        <w:top w:val="none" w:sz="0" w:space="0" w:color="auto"/>
        <w:left w:val="none" w:sz="0" w:space="0" w:color="auto"/>
        <w:bottom w:val="none" w:sz="0" w:space="0" w:color="auto"/>
        <w:right w:val="none" w:sz="0" w:space="0" w:color="auto"/>
      </w:divBdr>
    </w:div>
    <w:div w:id="499858904">
      <w:bodyDiv w:val="1"/>
      <w:marLeft w:val="0"/>
      <w:marRight w:val="0"/>
      <w:marTop w:val="0"/>
      <w:marBottom w:val="0"/>
      <w:divBdr>
        <w:top w:val="none" w:sz="0" w:space="0" w:color="auto"/>
        <w:left w:val="none" w:sz="0" w:space="0" w:color="auto"/>
        <w:bottom w:val="none" w:sz="0" w:space="0" w:color="auto"/>
        <w:right w:val="none" w:sz="0" w:space="0" w:color="auto"/>
      </w:divBdr>
    </w:div>
    <w:div w:id="526063858">
      <w:bodyDiv w:val="1"/>
      <w:marLeft w:val="0"/>
      <w:marRight w:val="0"/>
      <w:marTop w:val="0"/>
      <w:marBottom w:val="0"/>
      <w:divBdr>
        <w:top w:val="none" w:sz="0" w:space="0" w:color="auto"/>
        <w:left w:val="none" w:sz="0" w:space="0" w:color="auto"/>
        <w:bottom w:val="none" w:sz="0" w:space="0" w:color="auto"/>
        <w:right w:val="none" w:sz="0" w:space="0" w:color="auto"/>
      </w:divBdr>
    </w:div>
    <w:div w:id="530069006">
      <w:bodyDiv w:val="1"/>
      <w:marLeft w:val="0"/>
      <w:marRight w:val="0"/>
      <w:marTop w:val="0"/>
      <w:marBottom w:val="0"/>
      <w:divBdr>
        <w:top w:val="none" w:sz="0" w:space="0" w:color="auto"/>
        <w:left w:val="none" w:sz="0" w:space="0" w:color="auto"/>
        <w:bottom w:val="none" w:sz="0" w:space="0" w:color="auto"/>
        <w:right w:val="none" w:sz="0" w:space="0" w:color="auto"/>
      </w:divBdr>
    </w:div>
    <w:div w:id="584341861">
      <w:bodyDiv w:val="1"/>
      <w:marLeft w:val="0"/>
      <w:marRight w:val="0"/>
      <w:marTop w:val="0"/>
      <w:marBottom w:val="0"/>
      <w:divBdr>
        <w:top w:val="none" w:sz="0" w:space="0" w:color="auto"/>
        <w:left w:val="none" w:sz="0" w:space="0" w:color="auto"/>
        <w:bottom w:val="none" w:sz="0" w:space="0" w:color="auto"/>
        <w:right w:val="none" w:sz="0" w:space="0" w:color="auto"/>
      </w:divBdr>
      <w:divsChild>
        <w:div w:id="2050959147">
          <w:marLeft w:val="547"/>
          <w:marRight w:val="0"/>
          <w:marTop w:val="120"/>
          <w:marBottom w:val="120"/>
          <w:divBdr>
            <w:top w:val="none" w:sz="0" w:space="0" w:color="auto"/>
            <w:left w:val="none" w:sz="0" w:space="0" w:color="auto"/>
            <w:bottom w:val="none" w:sz="0" w:space="0" w:color="auto"/>
            <w:right w:val="none" w:sz="0" w:space="0" w:color="auto"/>
          </w:divBdr>
        </w:div>
      </w:divsChild>
    </w:div>
    <w:div w:id="585311446">
      <w:bodyDiv w:val="1"/>
      <w:marLeft w:val="0"/>
      <w:marRight w:val="0"/>
      <w:marTop w:val="0"/>
      <w:marBottom w:val="0"/>
      <w:divBdr>
        <w:top w:val="none" w:sz="0" w:space="0" w:color="auto"/>
        <w:left w:val="none" w:sz="0" w:space="0" w:color="auto"/>
        <w:bottom w:val="none" w:sz="0" w:space="0" w:color="auto"/>
        <w:right w:val="none" w:sz="0" w:space="0" w:color="auto"/>
      </w:divBdr>
    </w:div>
    <w:div w:id="587081223">
      <w:bodyDiv w:val="1"/>
      <w:marLeft w:val="0"/>
      <w:marRight w:val="0"/>
      <w:marTop w:val="0"/>
      <w:marBottom w:val="0"/>
      <w:divBdr>
        <w:top w:val="none" w:sz="0" w:space="0" w:color="auto"/>
        <w:left w:val="none" w:sz="0" w:space="0" w:color="auto"/>
        <w:bottom w:val="none" w:sz="0" w:space="0" w:color="auto"/>
        <w:right w:val="none" w:sz="0" w:space="0" w:color="auto"/>
      </w:divBdr>
    </w:div>
    <w:div w:id="625352718">
      <w:bodyDiv w:val="1"/>
      <w:marLeft w:val="0"/>
      <w:marRight w:val="0"/>
      <w:marTop w:val="0"/>
      <w:marBottom w:val="0"/>
      <w:divBdr>
        <w:top w:val="none" w:sz="0" w:space="0" w:color="auto"/>
        <w:left w:val="none" w:sz="0" w:space="0" w:color="auto"/>
        <w:bottom w:val="none" w:sz="0" w:space="0" w:color="auto"/>
        <w:right w:val="none" w:sz="0" w:space="0" w:color="auto"/>
      </w:divBdr>
    </w:div>
    <w:div w:id="675807619">
      <w:bodyDiv w:val="1"/>
      <w:marLeft w:val="0"/>
      <w:marRight w:val="0"/>
      <w:marTop w:val="0"/>
      <w:marBottom w:val="0"/>
      <w:divBdr>
        <w:top w:val="none" w:sz="0" w:space="0" w:color="auto"/>
        <w:left w:val="none" w:sz="0" w:space="0" w:color="auto"/>
        <w:bottom w:val="none" w:sz="0" w:space="0" w:color="auto"/>
        <w:right w:val="none" w:sz="0" w:space="0" w:color="auto"/>
      </w:divBdr>
    </w:div>
    <w:div w:id="719938133">
      <w:bodyDiv w:val="1"/>
      <w:marLeft w:val="0"/>
      <w:marRight w:val="0"/>
      <w:marTop w:val="0"/>
      <w:marBottom w:val="0"/>
      <w:divBdr>
        <w:top w:val="none" w:sz="0" w:space="0" w:color="auto"/>
        <w:left w:val="none" w:sz="0" w:space="0" w:color="auto"/>
        <w:bottom w:val="none" w:sz="0" w:space="0" w:color="auto"/>
        <w:right w:val="none" w:sz="0" w:space="0" w:color="auto"/>
      </w:divBdr>
    </w:div>
    <w:div w:id="764307613">
      <w:bodyDiv w:val="1"/>
      <w:marLeft w:val="0"/>
      <w:marRight w:val="0"/>
      <w:marTop w:val="0"/>
      <w:marBottom w:val="0"/>
      <w:divBdr>
        <w:top w:val="none" w:sz="0" w:space="0" w:color="auto"/>
        <w:left w:val="none" w:sz="0" w:space="0" w:color="auto"/>
        <w:bottom w:val="none" w:sz="0" w:space="0" w:color="auto"/>
        <w:right w:val="none" w:sz="0" w:space="0" w:color="auto"/>
      </w:divBdr>
    </w:div>
    <w:div w:id="770244760">
      <w:bodyDiv w:val="1"/>
      <w:marLeft w:val="0"/>
      <w:marRight w:val="0"/>
      <w:marTop w:val="0"/>
      <w:marBottom w:val="0"/>
      <w:divBdr>
        <w:top w:val="none" w:sz="0" w:space="0" w:color="auto"/>
        <w:left w:val="none" w:sz="0" w:space="0" w:color="auto"/>
        <w:bottom w:val="none" w:sz="0" w:space="0" w:color="auto"/>
        <w:right w:val="none" w:sz="0" w:space="0" w:color="auto"/>
      </w:divBdr>
    </w:div>
    <w:div w:id="796802155">
      <w:bodyDiv w:val="1"/>
      <w:marLeft w:val="0"/>
      <w:marRight w:val="0"/>
      <w:marTop w:val="0"/>
      <w:marBottom w:val="0"/>
      <w:divBdr>
        <w:top w:val="none" w:sz="0" w:space="0" w:color="auto"/>
        <w:left w:val="none" w:sz="0" w:space="0" w:color="auto"/>
        <w:bottom w:val="none" w:sz="0" w:space="0" w:color="auto"/>
        <w:right w:val="none" w:sz="0" w:space="0" w:color="auto"/>
      </w:divBdr>
    </w:div>
    <w:div w:id="803157876">
      <w:bodyDiv w:val="1"/>
      <w:marLeft w:val="0"/>
      <w:marRight w:val="0"/>
      <w:marTop w:val="0"/>
      <w:marBottom w:val="0"/>
      <w:divBdr>
        <w:top w:val="none" w:sz="0" w:space="0" w:color="auto"/>
        <w:left w:val="none" w:sz="0" w:space="0" w:color="auto"/>
        <w:bottom w:val="none" w:sz="0" w:space="0" w:color="auto"/>
        <w:right w:val="none" w:sz="0" w:space="0" w:color="auto"/>
      </w:divBdr>
      <w:divsChild>
        <w:div w:id="1056204963">
          <w:marLeft w:val="1166"/>
          <w:marRight w:val="0"/>
          <w:marTop w:val="154"/>
          <w:marBottom w:val="0"/>
          <w:divBdr>
            <w:top w:val="none" w:sz="0" w:space="0" w:color="auto"/>
            <w:left w:val="none" w:sz="0" w:space="0" w:color="auto"/>
            <w:bottom w:val="none" w:sz="0" w:space="0" w:color="auto"/>
            <w:right w:val="none" w:sz="0" w:space="0" w:color="auto"/>
          </w:divBdr>
        </w:div>
        <w:div w:id="267126698">
          <w:marLeft w:val="1166"/>
          <w:marRight w:val="0"/>
          <w:marTop w:val="154"/>
          <w:marBottom w:val="0"/>
          <w:divBdr>
            <w:top w:val="none" w:sz="0" w:space="0" w:color="auto"/>
            <w:left w:val="none" w:sz="0" w:space="0" w:color="auto"/>
            <w:bottom w:val="none" w:sz="0" w:space="0" w:color="auto"/>
            <w:right w:val="none" w:sz="0" w:space="0" w:color="auto"/>
          </w:divBdr>
        </w:div>
        <w:div w:id="597560375">
          <w:marLeft w:val="1166"/>
          <w:marRight w:val="0"/>
          <w:marTop w:val="154"/>
          <w:marBottom w:val="0"/>
          <w:divBdr>
            <w:top w:val="none" w:sz="0" w:space="0" w:color="auto"/>
            <w:left w:val="none" w:sz="0" w:space="0" w:color="auto"/>
            <w:bottom w:val="none" w:sz="0" w:space="0" w:color="auto"/>
            <w:right w:val="none" w:sz="0" w:space="0" w:color="auto"/>
          </w:divBdr>
        </w:div>
      </w:divsChild>
    </w:div>
    <w:div w:id="829323135">
      <w:bodyDiv w:val="1"/>
      <w:marLeft w:val="0"/>
      <w:marRight w:val="0"/>
      <w:marTop w:val="0"/>
      <w:marBottom w:val="0"/>
      <w:divBdr>
        <w:top w:val="none" w:sz="0" w:space="0" w:color="auto"/>
        <w:left w:val="none" w:sz="0" w:space="0" w:color="auto"/>
        <w:bottom w:val="none" w:sz="0" w:space="0" w:color="auto"/>
        <w:right w:val="none" w:sz="0" w:space="0" w:color="auto"/>
      </w:divBdr>
    </w:div>
    <w:div w:id="832988150">
      <w:bodyDiv w:val="1"/>
      <w:marLeft w:val="0"/>
      <w:marRight w:val="0"/>
      <w:marTop w:val="0"/>
      <w:marBottom w:val="0"/>
      <w:divBdr>
        <w:top w:val="none" w:sz="0" w:space="0" w:color="auto"/>
        <w:left w:val="none" w:sz="0" w:space="0" w:color="auto"/>
        <w:bottom w:val="none" w:sz="0" w:space="0" w:color="auto"/>
        <w:right w:val="none" w:sz="0" w:space="0" w:color="auto"/>
      </w:divBdr>
    </w:div>
    <w:div w:id="861625328">
      <w:bodyDiv w:val="1"/>
      <w:marLeft w:val="0"/>
      <w:marRight w:val="0"/>
      <w:marTop w:val="0"/>
      <w:marBottom w:val="0"/>
      <w:divBdr>
        <w:top w:val="none" w:sz="0" w:space="0" w:color="auto"/>
        <w:left w:val="none" w:sz="0" w:space="0" w:color="auto"/>
        <w:bottom w:val="none" w:sz="0" w:space="0" w:color="auto"/>
        <w:right w:val="none" w:sz="0" w:space="0" w:color="auto"/>
      </w:divBdr>
      <w:divsChild>
        <w:div w:id="1752657205">
          <w:marLeft w:val="-225"/>
          <w:marRight w:val="-225"/>
          <w:marTop w:val="0"/>
          <w:marBottom w:val="0"/>
          <w:divBdr>
            <w:top w:val="none" w:sz="0" w:space="0" w:color="auto"/>
            <w:left w:val="none" w:sz="0" w:space="0" w:color="auto"/>
            <w:bottom w:val="none" w:sz="0" w:space="0" w:color="auto"/>
            <w:right w:val="none" w:sz="0" w:space="0" w:color="auto"/>
          </w:divBdr>
          <w:divsChild>
            <w:div w:id="1404379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873283">
      <w:bodyDiv w:val="1"/>
      <w:marLeft w:val="0"/>
      <w:marRight w:val="0"/>
      <w:marTop w:val="0"/>
      <w:marBottom w:val="0"/>
      <w:divBdr>
        <w:top w:val="none" w:sz="0" w:space="0" w:color="auto"/>
        <w:left w:val="none" w:sz="0" w:space="0" w:color="auto"/>
        <w:bottom w:val="none" w:sz="0" w:space="0" w:color="auto"/>
        <w:right w:val="none" w:sz="0" w:space="0" w:color="auto"/>
      </w:divBdr>
      <w:divsChild>
        <w:div w:id="1754471254">
          <w:marLeft w:val="0"/>
          <w:marRight w:val="0"/>
          <w:marTop w:val="0"/>
          <w:marBottom w:val="0"/>
          <w:divBdr>
            <w:top w:val="none" w:sz="0" w:space="0" w:color="auto"/>
            <w:left w:val="none" w:sz="0" w:space="0" w:color="auto"/>
            <w:bottom w:val="none" w:sz="0" w:space="0" w:color="auto"/>
            <w:right w:val="none" w:sz="0" w:space="0" w:color="auto"/>
          </w:divBdr>
          <w:divsChild>
            <w:div w:id="2048137714">
              <w:marLeft w:val="0"/>
              <w:marRight w:val="0"/>
              <w:marTop w:val="0"/>
              <w:marBottom w:val="0"/>
              <w:divBdr>
                <w:top w:val="none" w:sz="0" w:space="0" w:color="auto"/>
                <w:left w:val="none" w:sz="0" w:space="0" w:color="auto"/>
                <w:bottom w:val="none" w:sz="0" w:space="0" w:color="auto"/>
                <w:right w:val="none" w:sz="0" w:space="0" w:color="auto"/>
              </w:divBdr>
              <w:divsChild>
                <w:div w:id="1628320498">
                  <w:marLeft w:val="-300"/>
                  <w:marRight w:val="0"/>
                  <w:marTop w:val="0"/>
                  <w:marBottom w:val="0"/>
                  <w:divBdr>
                    <w:top w:val="none" w:sz="0" w:space="0" w:color="auto"/>
                    <w:left w:val="none" w:sz="0" w:space="0" w:color="auto"/>
                    <w:bottom w:val="none" w:sz="0" w:space="0" w:color="auto"/>
                    <w:right w:val="none" w:sz="0" w:space="0" w:color="auto"/>
                  </w:divBdr>
                  <w:divsChild>
                    <w:div w:id="494033005">
                      <w:marLeft w:val="0"/>
                      <w:marRight w:val="0"/>
                      <w:marTop w:val="0"/>
                      <w:marBottom w:val="0"/>
                      <w:divBdr>
                        <w:top w:val="none" w:sz="0" w:space="0" w:color="auto"/>
                        <w:left w:val="none" w:sz="0" w:space="0" w:color="auto"/>
                        <w:bottom w:val="none" w:sz="0" w:space="0" w:color="auto"/>
                        <w:right w:val="none" w:sz="0" w:space="0" w:color="auto"/>
                      </w:divBdr>
                      <w:divsChild>
                        <w:div w:id="1183739842">
                          <w:marLeft w:val="0"/>
                          <w:marRight w:val="0"/>
                          <w:marTop w:val="0"/>
                          <w:marBottom w:val="0"/>
                          <w:divBdr>
                            <w:top w:val="none" w:sz="0" w:space="0" w:color="auto"/>
                            <w:left w:val="none" w:sz="0" w:space="0" w:color="auto"/>
                            <w:bottom w:val="none" w:sz="0" w:space="0" w:color="auto"/>
                            <w:right w:val="none" w:sz="0" w:space="0" w:color="auto"/>
                          </w:divBdr>
                          <w:divsChild>
                            <w:div w:id="1344282711">
                              <w:marLeft w:val="0"/>
                              <w:marRight w:val="0"/>
                              <w:marTop w:val="0"/>
                              <w:marBottom w:val="0"/>
                              <w:divBdr>
                                <w:top w:val="single" w:sz="6" w:space="15" w:color="AAAAAA"/>
                                <w:left w:val="single" w:sz="6" w:space="15" w:color="DDDDDD"/>
                                <w:bottom w:val="single" w:sz="6" w:space="15" w:color="DDDDDD"/>
                                <w:right w:val="single" w:sz="6" w:space="15" w:color="DDDDDD"/>
                              </w:divBdr>
                              <w:divsChild>
                                <w:div w:id="554703235">
                                  <w:marLeft w:val="0"/>
                                  <w:marRight w:val="0"/>
                                  <w:marTop w:val="0"/>
                                  <w:marBottom w:val="0"/>
                                  <w:divBdr>
                                    <w:top w:val="none" w:sz="0" w:space="0" w:color="auto"/>
                                    <w:left w:val="none" w:sz="0" w:space="0" w:color="auto"/>
                                    <w:bottom w:val="none" w:sz="0" w:space="0" w:color="auto"/>
                                    <w:right w:val="none" w:sz="0" w:space="0" w:color="auto"/>
                                  </w:divBdr>
                                  <w:divsChild>
                                    <w:div w:id="1909029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22179774">
      <w:bodyDiv w:val="1"/>
      <w:marLeft w:val="0"/>
      <w:marRight w:val="0"/>
      <w:marTop w:val="0"/>
      <w:marBottom w:val="0"/>
      <w:divBdr>
        <w:top w:val="none" w:sz="0" w:space="0" w:color="auto"/>
        <w:left w:val="none" w:sz="0" w:space="0" w:color="auto"/>
        <w:bottom w:val="none" w:sz="0" w:space="0" w:color="auto"/>
        <w:right w:val="none" w:sz="0" w:space="0" w:color="auto"/>
      </w:divBdr>
    </w:div>
    <w:div w:id="925185751">
      <w:bodyDiv w:val="1"/>
      <w:marLeft w:val="0"/>
      <w:marRight w:val="0"/>
      <w:marTop w:val="0"/>
      <w:marBottom w:val="0"/>
      <w:divBdr>
        <w:top w:val="none" w:sz="0" w:space="0" w:color="auto"/>
        <w:left w:val="none" w:sz="0" w:space="0" w:color="auto"/>
        <w:bottom w:val="none" w:sz="0" w:space="0" w:color="auto"/>
        <w:right w:val="none" w:sz="0" w:space="0" w:color="auto"/>
      </w:divBdr>
      <w:divsChild>
        <w:div w:id="2078506728">
          <w:marLeft w:val="1166"/>
          <w:marRight w:val="0"/>
          <w:marTop w:val="154"/>
          <w:marBottom w:val="0"/>
          <w:divBdr>
            <w:top w:val="none" w:sz="0" w:space="0" w:color="auto"/>
            <w:left w:val="none" w:sz="0" w:space="0" w:color="auto"/>
            <w:bottom w:val="none" w:sz="0" w:space="0" w:color="auto"/>
            <w:right w:val="none" w:sz="0" w:space="0" w:color="auto"/>
          </w:divBdr>
        </w:div>
      </w:divsChild>
    </w:div>
    <w:div w:id="957836208">
      <w:bodyDiv w:val="1"/>
      <w:marLeft w:val="0"/>
      <w:marRight w:val="0"/>
      <w:marTop w:val="0"/>
      <w:marBottom w:val="0"/>
      <w:divBdr>
        <w:top w:val="none" w:sz="0" w:space="0" w:color="auto"/>
        <w:left w:val="none" w:sz="0" w:space="0" w:color="auto"/>
        <w:bottom w:val="none" w:sz="0" w:space="0" w:color="auto"/>
        <w:right w:val="none" w:sz="0" w:space="0" w:color="auto"/>
      </w:divBdr>
      <w:divsChild>
        <w:div w:id="1370494602">
          <w:marLeft w:val="0"/>
          <w:marRight w:val="0"/>
          <w:marTop w:val="0"/>
          <w:marBottom w:val="0"/>
          <w:divBdr>
            <w:top w:val="none" w:sz="0" w:space="0" w:color="auto"/>
            <w:left w:val="none" w:sz="0" w:space="0" w:color="auto"/>
            <w:bottom w:val="none" w:sz="0" w:space="0" w:color="auto"/>
            <w:right w:val="none" w:sz="0" w:space="0" w:color="auto"/>
          </w:divBdr>
          <w:divsChild>
            <w:div w:id="2755707">
              <w:marLeft w:val="0"/>
              <w:marRight w:val="0"/>
              <w:marTop w:val="0"/>
              <w:marBottom w:val="0"/>
              <w:divBdr>
                <w:top w:val="none" w:sz="0" w:space="0" w:color="auto"/>
                <w:left w:val="none" w:sz="0" w:space="0" w:color="auto"/>
                <w:bottom w:val="none" w:sz="0" w:space="0" w:color="auto"/>
                <w:right w:val="none" w:sz="0" w:space="0" w:color="auto"/>
              </w:divBdr>
              <w:divsChild>
                <w:div w:id="1826435823">
                  <w:marLeft w:val="0"/>
                  <w:marRight w:val="0"/>
                  <w:marTop w:val="0"/>
                  <w:marBottom w:val="0"/>
                  <w:divBdr>
                    <w:top w:val="none" w:sz="0" w:space="0" w:color="auto"/>
                    <w:left w:val="none" w:sz="0" w:space="0" w:color="auto"/>
                    <w:bottom w:val="none" w:sz="0" w:space="0" w:color="auto"/>
                    <w:right w:val="none" w:sz="0" w:space="0" w:color="auto"/>
                  </w:divBdr>
                  <w:divsChild>
                    <w:div w:id="568073441">
                      <w:marLeft w:val="0"/>
                      <w:marRight w:val="0"/>
                      <w:marTop w:val="0"/>
                      <w:marBottom w:val="450"/>
                      <w:divBdr>
                        <w:top w:val="single" w:sz="6" w:space="8" w:color="148383"/>
                        <w:left w:val="single" w:sz="36" w:space="8" w:color="148383"/>
                        <w:bottom w:val="single" w:sz="6" w:space="8" w:color="148383"/>
                        <w:right w:val="single" w:sz="6" w:space="8" w:color="148383"/>
                      </w:divBdr>
                    </w:div>
                  </w:divsChild>
                </w:div>
              </w:divsChild>
            </w:div>
          </w:divsChild>
        </w:div>
      </w:divsChild>
    </w:div>
    <w:div w:id="991251218">
      <w:bodyDiv w:val="1"/>
      <w:marLeft w:val="0"/>
      <w:marRight w:val="0"/>
      <w:marTop w:val="0"/>
      <w:marBottom w:val="0"/>
      <w:divBdr>
        <w:top w:val="none" w:sz="0" w:space="0" w:color="auto"/>
        <w:left w:val="none" w:sz="0" w:space="0" w:color="auto"/>
        <w:bottom w:val="none" w:sz="0" w:space="0" w:color="auto"/>
        <w:right w:val="none" w:sz="0" w:space="0" w:color="auto"/>
      </w:divBdr>
    </w:div>
    <w:div w:id="998272869">
      <w:bodyDiv w:val="1"/>
      <w:marLeft w:val="0"/>
      <w:marRight w:val="0"/>
      <w:marTop w:val="0"/>
      <w:marBottom w:val="0"/>
      <w:divBdr>
        <w:top w:val="none" w:sz="0" w:space="0" w:color="auto"/>
        <w:left w:val="none" w:sz="0" w:space="0" w:color="auto"/>
        <w:bottom w:val="none" w:sz="0" w:space="0" w:color="auto"/>
        <w:right w:val="none" w:sz="0" w:space="0" w:color="auto"/>
      </w:divBdr>
    </w:div>
    <w:div w:id="1003512371">
      <w:bodyDiv w:val="1"/>
      <w:marLeft w:val="0"/>
      <w:marRight w:val="0"/>
      <w:marTop w:val="0"/>
      <w:marBottom w:val="0"/>
      <w:divBdr>
        <w:top w:val="none" w:sz="0" w:space="0" w:color="auto"/>
        <w:left w:val="none" w:sz="0" w:space="0" w:color="auto"/>
        <w:bottom w:val="none" w:sz="0" w:space="0" w:color="auto"/>
        <w:right w:val="none" w:sz="0" w:space="0" w:color="auto"/>
      </w:divBdr>
      <w:divsChild>
        <w:div w:id="67652733">
          <w:marLeft w:val="1138"/>
          <w:marRight w:val="0"/>
          <w:marTop w:val="240"/>
          <w:marBottom w:val="0"/>
          <w:divBdr>
            <w:top w:val="none" w:sz="0" w:space="0" w:color="auto"/>
            <w:left w:val="none" w:sz="0" w:space="0" w:color="auto"/>
            <w:bottom w:val="none" w:sz="0" w:space="0" w:color="auto"/>
            <w:right w:val="none" w:sz="0" w:space="0" w:color="auto"/>
          </w:divBdr>
        </w:div>
        <w:div w:id="511606224">
          <w:marLeft w:val="1138"/>
          <w:marRight w:val="0"/>
          <w:marTop w:val="240"/>
          <w:marBottom w:val="0"/>
          <w:divBdr>
            <w:top w:val="none" w:sz="0" w:space="0" w:color="auto"/>
            <w:left w:val="none" w:sz="0" w:space="0" w:color="auto"/>
            <w:bottom w:val="none" w:sz="0" w:space="0" w:color="auto"/>
            <w:right w:val="none" w:sz="0" w:space="0" w:color="auto"/>
          </w:divBdr>
        </w:div>
      </w:divsChild>
    </w:div>
    <w:div w:id="1006909318">
      <w:bodyDiv w:val="1"/>
      <w:marLeft w:val="0"/>
      <w:marRight w:val="0"/>
      <w:marTop w:val="0"/>
      <w:marBottom w:val="0"/>
      <w:divBdr>
        <w:top w:val="none" w:sz="0" w:space="0" w:color="auto"/>
        <w:left w:val="none" w:sz="0" w:space="0" w:color="auto"/>
        <w:bottom w:val="none" w:sz="0" w:space="0" w:color="auto"/>
        <w:right w:val="none" w:sz="0" w:space="0" w:color="auto"/>
      </w:divBdr>
    </w:div>
    <w:div w:id="1013188819">
      <w:bodyDiv w:val="1"/>
      <w:marLeft w:val="0"/>
      <w:marRight w:val="0"/>
      <w:marTop w:val="0"/>
      <w:marBottom w:val="0"/>
      <w:divBdr>
        <w:top w:val="none" w:sz="0" w:space="0" w:color="auto"/>
        <w:left w:val="none" w:sz="0" w:space="0" w:color="auto"/>
        <w:bottom w:val="none" w:sz="0" w:space="0" w:color="auto"/>
        <w:right w:val="none" w:sz="0" w:space="0" w:color="auto"/>
      </w:divBdr>
    </w:div>
    <w:div w:id="1072119160">
      <w:bodyDiv w:val="1"/>
      <w:marLeft w:val="0"/>
      <w:marRight w:val="0"/>
      <w:marTop w:val="0"/>
      <w:marBottom w:val="0"/>
      <w:divBdr>
        <w:top w:val="none" w:sz="0" w:space="0" w:color="auto"/>
        <w:left w:val="none" w:sz="0" w:space="0" w:color="auto"/>
        <w:bottom w:val="none" w:sz="0" w:space="0" w:color="auto"/>
        <w:right w:val="none" w:sz="0" w:space="0" w:color="auto"/>
      </w:divBdr>
    </w:div>
    <w:div w:id="1088038608">
      <w:bodyDiv w:val="1"/>
      <w:marLeft w:val="0"/>
      <w:marRight w:val="0"/>
      <w:marTop w:val="0"/>
      <w:marBottom w:val="0"/>
      <w:divBdr>
        <w:top w:val="none" w:sz="0" w:space="0" w:color="auto"/>
        <w:left w:val="none" w:sz="0" w:space="0" w:color="auto"/>
        <w:bottom w:val="none" w:sz="0" w:space="0" w:color="auto"/>
        <w:right w:val="none" w:sz="0" w:space="0" w:color="auto"/>
      </w:divBdr>
    </w:div>
    <w:div w:id="1116678492">
      <w:bodyDiv w:val="1"/>
      <w:marLeft w:val="0"/>
      <w:marRight w:val="0"/>
      <w:marTop w:val="0"/>
      <w:marBottom w:val="0"/>
      <w:divBdr>
        <w:top w:val="none" w:sz="0" w:space="0" w:color="auto"/>
        <w:left w:val="none" w:sz="0" w:space="0" w:color="auto"/>
        <w:bottom w:val="none" w:sz="0" w:space="0" w:color="auto"/>
        <w:right w:val="none" w:sz="0" w:space="0" w:color="auto"/>
      </w:divBdr>
    </w:div>
    <w:div w:id="1122574258">
      <w:bodyDiv w:val="1"/>
      <w:marLeft w:val="0"/>
      <w:marRight w:val="0"/>
      <w:marTop w:val="0"/>
      <w:marBottom w:val="0"/>
      <w:divBdr>
        <w:top w:val="none" w:sz="0" w:space="0" w:color="auto"/>
        <w:left w:val="none" w:sz="0" w:space="0" w:color="auto"/>
        <w:bottom w:val="none" w:sz="0" w:space="0" w:color="auto"/>
        <w:right w:val="none" w:sz="0" w:space="0" w:color="auto"/>
      </w:divBdr>
    </w:div>
    <w:div w:id="1139765083">
      <w:bodyDiv w:val="1"/>
      <w:marLeft w:val="0"/>
      <w:marRight w:val="0"/>
      <w:marTop w:val="0"/>
      <w:marBottom w:val="0"/>
      <w:divBdr>
        <w:top w:val="none" w:sz="0" w:space="0" w:color="auto"/>
        <w:left w:val="none" w:sz="0" w:space="0" w:color="auto"/>
        <w:bottom w:val="none" w:sz="0" w:space="0" w:color="auto"/>
        <w:right w:val="none" w:sz="0" w:space="0" w:color="auto"/>
      </w:divBdr>
    </w:div>
    <w:div w:id="1151292465">
      <w:bodyDiv w:val="1"/>
      <w:marLeft w:val="0"/>
      <w:marRight w:val="0"/>
      <w:marTop w:val="0"/>
      <w:marBottom w:val="0"/>
      <w:divBdr>
        <w:top w:val="none" w:sz="0" w:space="0" w:color="auto"/>
        <w:left w:val="none" w:sz="0" w:space="0" w:color="auto"/>
        <w:bottom w:val="none" w:sz="0" w:space="0" w:color="auto"/>
        <w:right w:val="none" w:sz="0" w:space="0" w:color="auto"/>
      </w:divBdr>
    </w:div>
    <w:div w:id="1197424749">
      <w:bodyDiv w:val="1"/>
      <w:marLeft w:val="0"/>
      <w:marRight w:val="0"/>
      <w:marTop w:val="0"/>
      <w:marBottom w:val="0"/>
      <w:divBdr>
        <w:top w:val="none" w:sz="0" w:space="0" w:color="auto"/>
        <w:left w:val="none" w:sz="0" w:space="0" w:color="auto"/>
        <w:bottom w:val="none" w:sz="0" w:space="0" w:color="auto"/>
        <w:right w:val="none" w:sz="0" w:space="0" w:color="auto"/>
      </w:divBdr>
    </w:div>
    <w:div w:id="1216311280">
      <w:bodyDiv w:val="1"/>
      <w:marLeft w:val="0"/>
      <w:marRight w:val="0"/>
      <w:marTop w:val="0"/>
      <w:marBottom w:val="0"/>
      <w:divBdr>
        <w:top w:val="none" w:sz="0" w:space="0" w:color="auto"/>
        <w:left w:val="none" w:sz="0" w:space="0" w:color="auto"/>
        <w:bottom w:val="none" w:sz="0" w:space="0" w:color="auto"/>
        <w:right w:val="none" w:sz="0" w:space="0" w:color="auto"/>
      </w:divBdr>
    </w:div>
    <w:div w:id="1238707088">
      <w:bodyDiv w:val="1"/>
      <w:marLeft w:val="0"/>
      <w:marRight w:val="0"/>
      <w:marTop w:val="0"/>
      <w:marBottom w:val="0"/>
      <w:divBdr>
        <w:top w:val="none" w:sz="0" w:space="0" w:color="auto"/>
        <w:left w:val="none" w:sz="0" w:space="0" w:color="auto"/>
        <w:bottom w:val="none" w:sz="0" w:space="0" w:color="auto"/>
        <w:right w:val="none" w:sz="0" w:space="0" w:color="auto"/>
      </w:divBdr>
    </w:div>
    <w:div w:id="1239361319">
      <w:bodyDiv w:val="1"/>
      <w:marLeft w:val="0"/>
      <w:marRight w:val="0"/>
      <w:marTop w:val="0"/>
      <w:marBottom w:val="0"/>
      <w:divBdr>
        <w:top w:val="none" w:sz="0" w:space="0" w:color="auto"/>
        <w:left w:val="none" w:sz="0" w:space="0" w:color="auto"/>
        <w:bottom w:val="none" w:sz="0" w:space="0" w:color="auto"/>
        <w:right w:val="none" w:sz="0" w:space="0" w:color="auto"/>
      </w:divBdr>
    </w:div>
    <w:div w:id="1243492714">
      <w:bodyDiv w:val="1"/>
      <w:marLeft w:val="0"/>
      <w:marRight w:val="0"/>
      <w:marTop w:val="0"/>
      <w:marBottom w:val="0"/>
      <w:divBdr>
        <w:top w:val="none" w:sz="0" w:space="0" w:color="auto"/>
        <w:left w:val="none" w:sz="0" w:space="0" w:color="auto"/>
        <w:bottom w:val="none" w:sz="0" w:space="0" w:color="auto"/>
        <w:right w:val="none" w:sz="0" w:space="0" w:color="auto"/>
      </w:divBdr>
      <w:divsChild>
        <w:div w:id="1691107571">
          <w:marLeft w:val="0"/>
          <w:marRight w:val="0"/>
          <w:marTop w:val="0"/>
          <w:marBottom w:val="0"/>
          <w:divBdr>
            <w:top w:val="none" w:sz="0" w:space="0" w:color="auto"/>
            <w:left w:val="none" w:sz="0" w:space="0" w:color="auto"/>
            <w:bottom w:val="none" w:sz="0" w:space="0" w:color="auto"/>
            <w:right w:val="none" w:sz="0" w:space="0" w:color="auto"/>
          </w:divBdr>
          <w:divsChild>
            <w:div w:id="1773740374">
              <w:marLeft w:val="0"/>
              <w:marRight w:val="0"/>
              <w:marTop w:val="0"/>
              <w:marBottom w:val="0"/>
              <w:divBdr>
                <w:top w:val="none" w:sz="0" w:space="0" w:color="auto"/>
                <w:left w:val="none" w:sz="0" w:space="0" w:color="auto"/>
                <w:bottom w:val="none" w:sz="0" w:space="0" w:color="auto"/>
                <w:right w:val="none" w:sz="0" w:space="0" w:color="auto"/>
              </w:divBdr>
              <w:divsChild>
                <w:div w:id="1451167574">
                  <w:marLeft w:val="0"/>
                  <w:marRight w:val="0"/>
                  <w:marTop w:val="0"/>
                  <w:marBottom w:val="0"/>
                  <w:divBdr>
                    <w:top w:val="none" w:sz="0" w:space="0" w:color="auto"/>
                    <w:left w:val="none" w:sz="0" w:space="0" w:color="auto"/>
                    <w:bottom w:val="none" w:sz="0" w:space="0" w:color="auto"/>
                    <w:right w:val="none" w:sz="0" w:space="0" w:color="auto"/>
                  </w:divBdr>
                  <w:divsChild>
                    <w:div w:id="74087355">
                      <w:marLeft w:val="0"/>
                      <w:marRight w:val="0"/>
                      <w:marTop w:val="0"/>
                      <w:marBottom w:val="0"/>
                      <w:divBdr>
                        <w:top w:val="none" w:sz="0" w:space="0" w:color="auto"/>
                        <w:left w:val="none" w:sz="0" w:space="0" w:color="auto"/>
                        <w:bottom w:val="none" w:sz="0" w:space="0" w:color="auto"/>
                        <w:right w:val="none" w:sz="0" w:space="0" w:color="auto"/>
                      </w:divBdr>
                      <w:divsChild>
                        <w:div w:id="1042091493">
                          <w:marLeft w:val="13380"/>
                          <w:marRight w:val="0"/>
                          <w:marTop w:val="0"/>
                          <w:marBottom w:val="0"/>
                          <w:divBdr>
                            <w:top w:val="none" w:sz="0" w:space="0" w:color="auto"/>
                            <w:left w:val="none" w:sz="0" w:space="0" w:color="auto"/>
                            <w:bottom w:val="none" w:sz="0" w:space="0" w:color="auto"/>
                            <w:right w:val="none" w:sz="0" w:space="0" w:color="auto"/>
                          </w:divBdr>
                          <w:divsChild>
                            <w:div w:id="225649094">
                              <w:marLeft w:val="0"/>
                              <w:marRight w:val="0"/>
                              <w:marTop w:val="0"/>
                              <w:marBottom w:val="0"/>
                              <w:divBdr>
                                <w:top w:val="none" w:sz="0" w:space="0" w:color="auto"/>
                                <w:left w:val="none" w:sz="0" w:space="0" w:color="auto"/>
                                <w:bottom w:val="none" w:sz="0" w:space="0" w:color="auto"/>
                                <w:right w:val="none" w:sz="0" w:space="0" w:color="auto"/>
                              </w:divBdr>
                              <w:divsChild>
                                <w:div w:id="1488402279">
                                  <w:marLeft w:val="0"/>
                                  <w:marRight w:val="0"/>
                                  <w:marTop w:val="0"/>
                                  <w:marBottom w:val="0"/>
                                  <w:divBdr>
                                    <w:top w:val="none" w:sz="0" w:space="0" w:color="auto"/>
                                    <w:left w:val="none" w:sz="0" w:space="0" w:color="auto"/>
                                    <w:bottom w:val="none" w:sz="0" w:space="0" w:color="auto"/>
                                    <w:right w:val="none" w:sz="0" w:space="0" w:color="auto"/>
                                  </w:divBdr>
                                  <w:divsChild>
                                    <w:div w:id="1886134637">
                                      <w:marLeft w:val="0"/>
                                      <w:marRight w:val="0"/>
                                      <w:marTop w:val="0"/>
                                      <w:marBottom w:val="0"/>
                                      <w:divBdr>
                                        <w:top w:val="none" w:sz="0" w:space="0" w:color="auto"/>
                                        <w:left w:val="none" w:sz="0" w:space="0" w:color="auto"/>
                                        <w:bottom w:val="none" w:sz="0" w:space="0" w:color="auto"/>
                                        <w:right w:val="none" w:sz="0" w:space="0" w:color="auto"/>
                                      </w:divBdr>
                                      <w:divsChild>
                                        <w:div w:id="704717646">
                                          <w:marLeft w:val="0"/>
                                          <w:marRight w:val="0"/>
                                          <w:marTop w:val="0"/>
                                          <w:marBottom w:val="0"/>
                                          <w:divBdr>
                                            <w:top w:val="none" w:sz="0" w:space="0" w:color="auto"/>
                                            <w:left w:val="none" w:sz="0" w:space="0" w:color="auto"/>
                                            <w:bottom w:val="none" w:sz="0" w:space="0" w:color="auto"/>
                                            <w:right w:val="none" w:sz="0" w:space="0" w:color="auto"/>
                                          </w:divBdr>
                                          <w:divsChild>
                                            <w:div w:id="1401824309">
                                              <w:marLeft w:val="0"/>
                                              <w:marRight w:val="0"/>
                                              <w:marTop w:val="0"/>
                                              <w:marBottom w:val="0"/>
                                              <w:divBdr>
                                                <w:top w:val="none" w:sz="0" w:space="0" w:color="auto"/>
                                                <w:left w:val="none" w:sz="0" w:space="0" w:color="auto"/>
                                                <w:bottom w:val="none" w:sz="0" w:space="0" w:color="auto"/>
                                                <w:right w:val="none" w:sz="0" w:space="0" w:color="auto"/>
                                              </w:divBdr>
                                              <w:divsChild>
                                                <w:div w:id="1005593231">
                                                  <w:marLeft w:val="0"/>
                                                  <w:marRight w:val="0"/>
                                                  <w:marTop w:val="0"/>
                                                  <w:marBottom w:val="0"/>
                                                  <w:divBdr>
                                                    <w:top w:val="none" w:sz="0" w:space="0" w:color="auto"/>
                                                    <w:left w:val="none" w:sz="0" w:space="0" w:color="auto"/>
                                                    <w:bottom w:val="none" w:sz="0" w:space="0" w:color="auto"/>
                                                    <w:right w:val="none" w:sz="0" w:space="0" w:color="auto"/>
                                                  </w:divBdr>
                                                  <w:divsChild>
                                                    <w:div w:id="2133667424">
                                                      <w:marLeft w:val="0"/>
                                                      <w:marRight w:val="0"/>
                                                      <w:marTop w:val="0"/>
                                                      <w:marBottom w:val="0"/>
                                                      <w:divBdr>
                                                        <w:top w:val="none" w:sz="0" w:space="0" w:color="auto"/>
                                                        <w:left w:val="none" w:sz="0" w:space="0" w:color="auto"/>
                                                        <w:bottom w:val="none" w:sz="0" w:space="0" w:color="auto"/>
                                                        <w:right w:val="none" w:sz="0" w:space="0" w:color="auto"/>
                                                      </w:divBdr>
                                                      <w:divsChild>
                                                        <w:div w:id="1278097992">
                                                          <w:marLeft w:val="0"/>
                                                          <w:marRight w:val="0"/>
                                                          <w:marTop w:val="0"/>
                                                          <w:marBottom w:val="0"/>
                                                          <w:divBdr>
                                                            <w:top w:val="none" w:sz="0" w:space="0" w:color="auto"/>
                                                            <w:left w:val="none" w:sz="0" w:space="0" w:color="auto"/>
                                                            <w:bottom w:val="none" w:sz="0" w:space="0" w:color="auto"/>
                                                            <w:right w:val="none" w:sz="0" w:space="0" w:color="auto"/>
                                                          </w:divBdr>
                                                          <w:divsChild>
                                                            <w:div w:id="1358771519">
                                                              <w:marLeft w:val="0"/>
                                                              <w:marRight w:val="0"/>
                                                              <w:marTop w:val="0"/>
                                                              <w:marBottom w:val="0"/>
                                                              <w:divBdr>
                                                                <w:top w:val="none" w:sz="0" w:space="0" w:color="auto"/>
                                                                <w:left w:val="none" w:sz="0" w:space="0" w:color="auto"/>
                                                                <w:bottom w:val="none" w:sz="0" w:space="0" w:color="auto"/>
                                                                <w:right w:val="none" w:sz="0" w:space="0" w:color="auto"/>
                                                              </w:divBdr>
                                                              <w:divsChild>
                                                                <w:div w:id="755516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255746731">
      <w:bodyDiv w:val="1"/>
      <w:marLeft w:val="0"/>
      <w:marRight w:val="0"/>
      <w:marTop w:val="0"/>
      <w:marBottom w:val="0"/>
      <w:divBdr>
        <w:top w:val="none" w:sz="0" w:space="0" w:color="auto"/>
        <w:left w:val="none" w:sz="0" w:space="0" w:color="auto"/>
        <w:bottom w:val="none" w:sz="0" w:space="0" w:color="auto"/>
        <w:right w:val="none" w:sz="0" w:space="0" w:color="auto"/>
      </w:divBdr>
    </w:div>
    <w:div w:id="1288126820">
      <w:bodyDiv w:val="1"/>
      <w:marLeft w:val="0"/>
      <w:marRight w:val="0"/>
      <w:marTop w:val="0"/>
      <w:marBottom w:val="0"/>
      <w:divBdr>
        <w:top w:val="none" w:sz="0" w:space="0" w:color="auto"/>
        <w:left w:val="none" w:sz="0" w:space="0" w:color="auto"/>
        <w:bottom w:val="none" w:sz="0" w:space="0" w:color="auto"/>
        <w:right w:val="none" w:sz="0" w:space="0" w:color="auto"/>
      </w:divBdr>
    </w:div>
    <w:div w:id="1310328439">
      <w:bodyDiv w:val="1"/>
      <w:marLeft w:val="0"/>
      <w:marRight w:val="0"/>
      <w:marTop w:val="0"/>
      <w:marBottom w:val="0"/>
      <w:divBdr>
        <w:top w:val="none" w:sz="0" w:space="0" w:color="auto"/>
        <w:left w:val="none" w:sz="0" w:space="0" w:color="auto"/>
        <w:bottom w:val="none" w:sz="0" w:space="0" w:color="auto"/>
        <w:right w:val="none" w:sz="0" w:space="0" w:color="auto"/>
      </w:divBdr>
    </w:div>
    <w:div w:id="1348213549">
      <w:bodyDiv w:val="1"/>
      <w:marLeft w:val="0"/>
      <w:marRight w:val="0"/>
      <w:marTop w:val="0"/>
      <w:marBottom w:val="0"/>
      <w:divBdr>
        <w:top w:val="none" w:sz="0" w:space="0" w:color="auto"/>
        <w:left w:val="none" w:sz="0" w:space="0" w:color="auto"/>
        <w:bottom w:val="none" w:sz="0" w:space="0" w:color="auto"/>
        <w:right w:val="none" w:sz="0" w:space="0" w:color="auto"/>
      </w:divBdr>
    </w:div>
    <w:div w:id="1397630786">
      <w:bodyDiv w:val="1"/>
      <w:marLeft w:val="0"/>
      <w:marRight w:val="0"/>
      <w:marTop w:val="0"/>
      <w:marBottom w:val="0"/>
      <w:divBdr>
        <w:top w:val="none" w:sz="0" w:space="0" w:color="auto"/>
        <w:left w:val="none" w:sz="0" w:space="0" w:color="auto"/>
        <w:bottom w:val="none" w:sz="0" w:space="0" w:color="auto"/>
        <w:right w:val="none" w:sz="0" w:space="0" w:color="auto"/>
      </w:divBdr>
    </w:div>
    <w:div w:id="1428384196">
      <w:bodyDiv w:val="1"/>
      <w:marLeft w:val="0"/>
      <w:marRight w:val="0"/>
      <w:marTop w:val="0"/>
      <w:marBottom w:val="0"/>
      <w:divBdr>
        <w:top w:val="none" w:sz="0" w:space="0" w:color="auto"/>
        <w:left w:val="none" w:sz="0" w:space="0" w:color="auto"/>
        <w:bottom w:val="none" w:sz="0" w:space="0" w:color="auto"/>
        <w:right w:val="none" w:sz="0" w:space="0" w:color="auto"/>
      </w:divBdr>
    </w:div>
    <w:div w:id="1432890694">
      <w:bodyDiv w:val="1"/>
      <w:marLeft w:val="0"/>
      <w:marRight w:val="0"/>
      <w:marTop w:val="0"/>
      <w:marBottom w:val="0"/>
      <w:divBdr>
        <w:top w:val="none" w:sz="0" w:space="0" w:color="auto"/>
        <w:left w:val="none" w:sz="0" w:space="0" w:color="auto"/>
        <w:bottom w:val="none" w:sz="0" w:space="0" w:color="auto"/>
        <w:right w:val="none" w:sz="0" w:space="0" w:color="auto"/>
      </w:divBdr>
    </w:div>
    <w:div w:id="1472019373">
      <w:bodyDiv w:val="1"/>
      <w:marLeft w:val="0"/>
      <w:marRight w:val="0"/>
      <w:marTop w:val="0"/>
      <w:marBottom w:val="0"/>
      <w:divBdr>
        <w:top w:val="none" w:sz="0" w:space="0" w:color="auto"/>
        <w:left w:val="none" w:sz="0" w:space="0" w:color="auto"/>
        <w:bottom w:val="none" w:sz="0" w:space="0" w:color="auto"/>
        <w:right w:val="none" w:sz="0" w:space="0" w:color="auto"/>
      </w:divBdr>
    </w:div>
    <w:div w:id="1472477089">
      <w:bodyDiv w:val="1"/>
      <w:marLeft w:val="0"/>
      <w:marRight w:val="0"/>
      <w:marTop w:val="0"/>
      <w:marBottom w:val="0"/>
      <w:divBdr>
        <w:top w:val="none" w:sz="0" w:space="0" w:color="auto"/>
        <w:left w:val="none" w:sz="0" w:space="0" w:color="auto"/>
        <w:bottom w:val="none" w:sz="0" w:space="0" w:color="auto"/>
        <w:right w:val="none" w:sz="0" w:space="0" w:color="auto"/>
      </w:divBdr>
    </w:div>
    <w:div w:id="1486773201">
      <w:bodyDiv w:val="1"/>
      <w:marLeft w:val="0"/>
      <w:marRight w:val="0"/>
      <w:marTop w:val="0"/>
      <w:marBottom w:val="0"/>
      <w:divBdr>
        <w:top w:val="none" w:sz="0" w:space="0" w:color="auto"/>
        <w:left w:val="none" w:sz="0" w:space="0" w:color="auto"/>
        <w:bottom w:val="none" w:sz="0" w:space="0" w:color="auto"/>
        <w:right w:val="none" w:sz="0" w:space="0" w:color="auto"/>
      </w:divBdr>
    </w:div>
    <w:div w:id="1505048576">
      <w:bodyDiv w:val="1"/>
      <w:marLeft w:val="0"/>
      <w:marRight w:val="0"/>
      <w:marTop w:val="0"/>
      <w:marBottom w:val="0"/>
      <w:divBdr>
        <w:top w:val="none" w:sz="0" w:space="0" w:color="auto"/>
        <w:left w:val="none" w:sz="0" w:space="0" w:color="auto"/>
        <w:bottom w:val="none" w:sz="0" w:space="0" w:color="auto"/>
        <w:right w:val="none" w:sz="0" w:space="0" w:color="auto"/>
      </w:divBdr>
    </w:div>
    <w:div w:id="1515805475">
      <w:bodyDiv w:val="1"/>
      <w:marLeft w:val="0"/>
      <w:marRight w:val="0"/>
      <w:marTop w:val="0"/>
      <w:marBottom w:val="0"/>
      <w:divBdr>
        <w:top w:val="none" w:sz="0" w:space="0" w:color="auto"/>
        <w:left w:val="none" w:sz="0" w:space="0" w:color="auto"/>
        <w:bottom w:val="none" w:sz="0" w:space="0" w:color="auto"/>
        <w:right w:val="none" w:sz="0" w:space="0" w:color="auto"/>
      </w:divBdr>
      <w:divsChild>
        <w:div w:id="626744425">
          <w:marLeft w:val="0"/>
          <w:marRight w:val="0"/>
          <w:marTop w:val="0"/>
          <w:marBottom w:val="0"/>
          <w:divBdr>
            <w:top w:val="none" w:sz="0" w:space="0" w:color="auto"/>
            <w:left w:val="none" w:sz="0" w:space="0" w:color="auto"/>
            <w:bottom w:val="none" w:sz="0" w:space="0" w:color="auto"/>
            <w:right w:val="none" w:sz="0" w:space="0" w:color="auto"/>
          </w:divBdr>
          <w:divsChild>
            <w:div w:id="811289566">
              <w:marLeft w:val="0"/>
              <w:marRight w:val="0"/>
              <w:marTop w:val="0"/>
              <w:marBottom w:val="0"/>
              <w:divBdr>
                <w:top w:val="none" w:sz="0" w:space="0" w:color="auto"/>
                <w:left w:val="none" w:sz="0" w:space="0" w:color="auto"/>
                <w:bottom w:val="none" w:sz="0" w:space="0" w:color="auto"/>
                <w:right w:val="none" w:sz="0" w:space="0" w:color="auto"/>
              </w:divBdr>
              <w:divsChild>
                <w:div w:id="1012032717">
                  <w:marLeft w:val="-300"/>
                  <w:marRight w:val="0"/>
                  <w:marTop w:val="0"/>
                  <w:marBottom w:val="0"/>
                  <w:divBdr>
                    <w:top w:val="none" w:sz="0" w:space="0" w:color="auto"/>
                    <w:left w:val="none" w:sz="0" w:space="0" w:color="auto"/>
                    <w:bottom w:val="none" w:sz="0" w:space="0" w:color="auto"/>
                    <w:right w:val="none" w:sz="0" w:space="0" w:color="auto"/>
                  </w:divBdr>
                  <w:divsChild>
                    <w:div w:id="1598950125">
                      <w:marLeft w:val="0"/>
                      <w:marRight w:val="0"/>
                      <w:marTop w:val="0"/>
                      <w:marBottom w:val="0"/>
                      <w:divBdr>
                        <w:top w:val="none" w:sz="0" w:space="0" w:color="auto"/>
                        <w:left w:val="none" w:sz="0" w:space="0" w:color="auto"/>
                        <w:bottom w:val="none" w:sz="0" w:space="0" w:color="auto"/>
                        <w:right w:val="none" w:sz="0" w:space="0" w:color="auto"/>
                      </w:divBdr>
                      <w:divsChild>
                        <w:div w:id="688683259">
                          <w:marLeft w:val="0"/>
                          <w:marRight w:val="0"/>
                          <w:marTop w:val="0"/>
                          <w:marBottom w:val="0"/>
                          <w:divBdr>
                            <w:top w:val="none" w:sz="0" w:space="0" w:color="auto"/>
                            <w:left w:val="none" w:sz="0" w:space="0" w:color="auto"/>
                            <w:bottom w:val="none" w:sz="0" w:space="0" w:color="auto"/>
                            <w:right w:val="none" w:sz="0" w:space="0" w:color="auto"/>
                          </w:divBdr>
                          <w:divsChild>
                            <w:div w:id="1002779135">
                              <w:marLeft w:val="0"/>
                              <w:marRight w:val="0"/>
                              <w:marTop w:val="0"/>
                              <w:marBottom w:val="0"/>
                              <w:divBdr>
                                <w:top w:val="single" w:sz="6" w:space="15" w:color="AAAAAA"/>
                                <w:left w:val="single" w:sz="6" w:space="15" w:color="DDDDDD"/>
                                <w:bottom w:val="single" w:sz="6" w:space="15" w:color="DDDDDD"/>
                                <w:right w:val="single" w:sz="6" w:space="15" w:color="DDDDDD"/>
                              </w:divBdr>
                              <w:divsChild>
                                <w:div w:id="1556044327">
                                  <w:marLeft w:val="0"/>
                                  <w:marRight w:val="0"/>
                                  <w:marTop w:val="0"/>
                                  <w:marBottom w:val="0"/>
                                  <w:divBdr>
                                    <w:top w:val="none" w:sz="0" w:space="0" w:color="auto"/>
                                    <w:left w:val="none" w:sz="0" w:space="0" w:color="auto"/>
                                    <w:bottom w:val="none" w:sz="0" w:space="0" w:color="auto"/>
                                    <w:right w:val="none" w:sz="0" w:space="0" w:color="auto"/>
                                  </w:divBdr>
                                  <w:divsChild>
                                    <w:div w:id="1371610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19612928">
      <w:bodyDiv w:val="1"/>
      <w:marLeft w:val="0"/>
      <w:marRight w:val="0"/>
      <w:marTop w:val="0"/>
      <w:marBottom w:val="0"/>
      <w:divBdr>
        <w:top w:val="none" w:sz="0" w:space="0" w:color="auto"/>
        <w:left w:val="none" w:sz="0" w:space="0" w:color="auto"/>
        <w:bottom w:val="none" w:sz="0" w:space="0" w:color="auto"/>
        <w:right w:val="none" w:sz="0" w:space="0" w:color="auto"/>
      </w:divBdr>
    </w:div>
    <w:div w:id="1539969979">
      <w:bodyDiv w:val="1"/>
      <w:marLeft w:val="0"/>
      <w:marRight w:val="0"/>
      <w:marTop w:val="0"/>
      <w:marBottom w:val="0"/>
      <w:divBdr>
        <w:top w:val="none" w:sz="0" w:space="0" w:color="auto"/>
        <w:left w:val="none" w:sz="0" w:space="0" w:color="auto"/>
        <w:bottom w:val="none" w:sz="0" w:space="0" w:color="auto"/>
        <w:right w:val="none" w:sz="0" w:space="0" w:color="auto"/>
      </w:divBdr>
    </w:div>
    <w:div w:id="1601329286">
      <w:bodyDiv w:val="1"/>
      <w:marLeft w:val="0"/>
      <w:marRight w:val="0"/>
      <w:marTop w:val="0"/>
      <w:marBottom w:val="0"/>
      <w:divBdr>
        <w:top w:val="none" w:sz="0" w:space="0" w:color="auto"/>
        <w:left w:val="none" w:sz="0" w:space="0" w:color="auto"/>
        <w:bottom w:val="none" w:sz="0" w:space="0" w:color="auto"/>
        <w:right w:val="none" w:sz="0" w:space="0" w:color="auto"/>
      </w:divBdr>
    </w:div>
    <w:div w:id="1616206449">
      <w:bodyDiv w:val="1"/>
      <w:marLeft w:val="0"/>
      <w:marRight w:val="0"/>
      <w:marTop w:val="0"/>
      <w:marBottom w:val="0"/>
      <w:divBdr>
        <w:top w:val="none" w:sz="0" w:space="0" w:color="auto"/>
        <w:left w:val="none" w:sz="0" w:space="0" w:color="auto"/>
        <w:bottom w:val="none" w:sz="0" w:space="0" w:color="auto"/>
        <w:right w:val="none" w:sz="0" w:space="0" w:color="auto"/>
      </w:divBdr>
    </w:div>
    <w:div w:id="1628778366">
      <w:bodyDiv w:val="1"/>
      <w:marLeft w:val="0"/>
      <w:marRight w:val="0"/>
      <w:marTop w:val="0"/>
      <w:marBottom w:val="0"/>
      <w:divBdr>
        <w:top w:val="none" w:sz="0" w:space="0" w:color="auto"/>
        <w:left w:val="none" w:sz="0" w:space="0" w:color="auto"/>
        <w:bottom w:val="none" w:sz="0" w:space="0" w:color="auto"/>
        <w:right w:val="none" w:sz="0" w:space="0" w:color="auto"/>
      </w:divBdr>
    </w:div>
    <w:div w:id="1646352943">
      <w:bodyDiv w:val="1"/>
      <w:marLeft w:val="0"/>
      <w:marRight w:val="0"/>
      <w:marTop w:val="0"/>
      <w:marBottom w:val="0"/>
      <w:divBdr>
        <w:top w:val="none" w:sz="0" w:space="0" w:color="auto"/>
        <w:left w:val="none" w:sz="0" w:space="0" w:color="auto"/>
        <w:bottom w:val="none" w:sz="0" w:space="0" w:color="auto"/>
        <w:right w:val="none" w:sz="0" w:space="0" w:color="auto"/>
      </w:divBdr>
      <w:divsChild>
        <w:div w:id="603732138">
          <w:marLeft w:val="0"/>
          <w:marRight w:val="0"/>
          <w:marTop w:val="0"/>
          <w:marBottom w:val="0"/>
          <w:divBdr>
            <w:top w:val="none" w:sz="0" w:space="0" w:color="auto"/>
            <w:left w:val="none" w:sz="0" w:space="0" w:color="auto"/>
            <w:bottom w:val="none" w:sz="0" w:space="0" w:color="auto"/>
            <w:right w:val="none" w:sz="0" w:space="0" w:color="auto"/>
          </w:divBdr>
          <w:divsChild>
            <w:div w:id="712342251">
              <w:marLeft w:val="0"/>
              <w:marRight w:val="0"/>
              <w:marTop w:val="0"/>
              <w:marBottom w:val="0"/>
              <w:divBdr>
                <w:top w:val="none" w:sz="0" w:space="0" w:color="auto"/>
                <w:left w:val="none" w:sz="0" w:space="0" w:color="auto"/>
                <w:bottom w:val="none" w:sz="0" w:space="0" w:color="auto"/>
                <w:right w:val="none" w:sz="0" w:space="0" w:color="auto"/>
              </w:divBdr>
              <w:divsChild>
                <w:div w:id="960496711">
                  <w:marLeft w:val="-300"/>
                  <w:marRight w:val="0"/>
                  <w:marTop w:val="0"/>
                  <w:marBottom w:val="0"/>
                  <w:divBdr>
                    <w:top w:val="none" w:sz="0" w:space="0" w:color="auto"/>
                    <w:left w:val="none" w:sz="0" w:space="0" w:color="auto"/>
                    <w:bottom w:val="none" w:sz="0" w:space="0" w:color="auto"/>
                    <w:right w:val="none" w:sz="0" w:space="0" w:color="auto"/>
                  </w:divBdr>
                  <w:divsChild>
                    <w:div w:id="601232213">
                      <w:marLeft w:val="0"/>
                      <w:marRight w:val="0"/>
                      <w:marTop w:val="0"/>
                      <w:marBottom w:val="0"/>
                      <w:divBdr>
                        <w:top w:val="none" w:sz="0" w:space="0" w:color="auto"/>
                        <w:left w:val="none" w:sz="0" w:space="0" w:color="auto"/>
                        <w:bottom w:val="none" w:sz="0" w:space="0" w:color="auto"/>
                        <w:right w:val="none" w:sz="0" w:space="0" w:color="auto"/>
                      </w:divBdr>
                      <w:divsChild>
                        <w:div w:id="328604394">
                          <w:marLeft w:val="0"/>
                          <w:marRight w:val="0"/>
                          <w:marTop w:val="0"/>
                          <w:marBottom w:val="0"/>
                          <w:divBdr>
                            <w:top w:val="none" w:sz="0" w:space="0" w:color="auto"/>
                            <w:left w:val="none" w:sz="0" w:space="0" w:color="auto"/>
                            <w:bottom w:val="none" w:sz="0" w:space="0" w:color="auto"/>
                            <w:right w:val="none" w:sz="0" w:space="0" w:color="auto"/>
                          </w:divBdr>
                          <w:divsChild>
                            <w:div w:id="1687780381">
                              <w:marLeft w:val="0"/>
                              <w:marRight w:val="0"/>
                              <w:marTop w:val="0"/>
                              <w:marBottom w:val="0"/>
                              <w:divBdr>
                                <w:top w:val="single" w:sz="6" w:space="15" w:color="AAAAAA"/>
                                <w:left w:val="single" w:sz="6" w:space="15" w:color="DDDDDD"/>
                                <w:bottom w:val="single" w:sz="6" w:space="15" w:color="DDDDDD"/>
                                <w:right w:val="single" w:sz="6" w:space="15" w:color="DDDDDD"/>
                              </w:divBdr>
                              <w:divsChild>
                                <w:div w:id="623926731">
                                  <w:marLeft w:val="0"/>
                                  <w:marRight w:val="0"/>
                                  <w:marTop w:val="0"/>
                                  <w:marBottom w:val="0"/>
                                  <w:divBdr>
                                    <w:top w:val="none" w:sz="0" w:space="0" w:color="auto"/>
                                    <w:left w:val="none" w:sz="0" w:space="0" w:color="auto"/>
                                    <w:bottom w:val="none" w:sz="0" w:space="0" w:color="auto"/>
                                    <w:right w:val="none" w:sz="0" w:space="0" w:color="auto"/>
                                  </w:divBdr>
                                  <w:divsChild>
                                    <w:div w:id="1660426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64164469">
      <w:bodyDiv w:val="1"/>
      <w:marLeft w:val="0"/>
      <w:marRight w:val="0"/>
      <w:marTop w:val="0"/>
      <w:marBottom w:val="0"/>
      <w:divBdr>
        <w:top w:val="none" w:sz="0" w:space="0" w:color="auto"/>
        <w:left w:val="none" w:sz="0" w:space="0" w:color="auto"/>
        <w:bottom w:val="none" w:sz="0" w:space="0" w:color="auto"/>
        <w:right w:val="none" w:sz="0" w:space="0" w:color="auto"/>
      </w:divBdr>
    </w:div>
    <w:div w:id="1687170148">
      <w:bodyDiv w:val="1"/>
      <w:marLeft w:val="0"/>
      <w:marRight w:val="0"/>
      <w:marTop w:val="0"/>
      <w:marBottom w:val="0"/>
      <w:divBdr>
        <w:top w:val="none" w:sz="0" w:space="0" w:color="auto"/>
        <w:left w:val="none" w:sz="0" w:space="0" w:color="auto"/>
        <w:bottom w:val="none" w:sz="0" w:space="0" w:color="auto"/>
        <w:right w:val="none" w:sz="0" w:space="0" w:color="auto"/>
      </w:divBdr>
    </w:div>
    <w:div w:id="1731073973">
      <w:bodyDiv w:val="1"/>
      <w:marLeft w:val="0"/>
      <w:marRight w:val="0"/>
      <w:marTop w:val="0"/>
      <w:marBottom w:val="0"/>
      <w:divBdr>
        <w:top w:val="none" w:sz="0" w:space="0" w:color="auto"/>
        <w:left w:val="none" w:sz="0" w:space="0" w:color="auto"/>
        <w:bottom w:val="none" w:sz="0" w:space="0" w:color="auto"/>
        <w:right w:val="none" w:sz="0" w:space="0" w:color="auto"/>
      </w:divBdr>
    </w:div>
    <w:div w:id="1739281063">
      <w:bodyDiv w:val="1"/>
      <w:marLeft w:val="0"/>
      <w:marRight w:val="0"/>
      <w:marTop w:val="0"/>
      <w:marBottom w:val="0"/>
      <w:divBdr>
        <w:top w:val="none" w:sz="0" w:space="0" w:color="auto"/>
        <w:left w:val="none" w:sz="0" w:space="0" w:color="auto"/>
        <w:bottom w:val="none" w:sz="0" w:space="0" w:color="auto"/>
        <w:right w:val="none" w:sz="0" w:space="0" w:color="auto"/>
      </w:divBdr>
    </w:div>
    <w:div w:id="1745032378">
      <w:bodyDiv w:val="1"/>
      <w:marLeft w:val="0"/>
      <w:marRight w:val="0"/>
      <w:marTop w:val="0"/>
      <w:marBottom w:val="0"/>
      <w:divBdr>
        <w:top w:val="none" w:sz="0" w:space="0" w:color="auto"/>
        <w:left w:val="none" w:sz="0" w:space="0" w:color="auto"/>
        <w:bottom w:val="none" w:sz="0" w:space="0" w:color="auto"/>
        <w:right w:val="none" w:sz="0" w:space="0" w:color="auto"/>
      </w:divBdr>
    </w:div>
    <w:div w:id="1767992937">
      <w:bodyDiv w:val="1"/>
      <w:marLeft w:val="0"/>
      <w:marRight w:val="0"/>
      <w:marTop w:val="0"/>
      <w:marBottom w:val="0"/>
      <w:divBdr>
        <w:top w:val="none" w:sz="0" w:space="0" w:color="auto"/>
        <w:left w:val="none" w:sz="0" w:space="0" w:color="auto"/>
        <w:bottom w:val="none" w:sz="0" w:space="0" w:color="auto"/>
        <w:right w:val="none" w:sz="0" w:space="0" w:color="auto"/>
      </w:divBdr>
      <w:divsChild>
        <w:div w:id="1790393271">
          <w:marLeft w:val="806"/>
          <w:marRight w:val="0"/>
          <w:marTop w:val="360"/>
          <w:marBottom w:val="0"/>
          <w:divBdr>
            <w:top w:val="none" w:sz="0" w:space="0" w:color="auto"/>
            <w:left w:val="none" w:sz="0" w:space="0" w:color="auto"/>
            <w:bottom w:val="none" w:sz="0" w:space="0" w:color="auto"/>
            <w:right w:val="none" w:sz="0" w:space="0" w:color="auto"/>
          </w:divBdr>
        </w:div>
      </w:divsChild>
    </w:div>
    <w:div w:id="1781948955">
      <w:bodyDiv w:val="1"/>
      <w:marLeft w:val="0"/>
      <w:marRight w:val="0"/>
      <w:marTop w:val="0"/>
      <w:marBottom w:val="0"/>
      <w:divBdr>
        <w:top w:val="none" w:sz="0" w:space="0" w:color="auto"/>
        <w:left w:val="none" w:sz="0" w:space="0" w:color="auto"/>
        <w:bottom w:val="none" w:sz="0" w:space="0" w:color="auto"/>
        <w:right w:val="none" w:sz="0" w:space="0" w:color="auto"/>
      </w:divBdr>
    </w:div>
    <w:div w:id="1834494015">
      <w:bodyDiv w:val="1"/>
      <w:marLeft w:val="0"/>
      <w:marRight w:val="0"/>
      <w:marTop w:val="0"/>
      <w:marBottom w:val="0"/>
      <w:divBdr>
        <w:top w:val="none" w:sz="0" w:space="0" w:color="auto"/>
        <w:left w:val="none" w:sz="0" w:space="0" w:color="auto"/>
        <w:bottom w:val="none" w:sz="0" w:space="0" w:color="auto"/>
        <w:right w:val="none" w:sz="0" w:space="0" w:color="auto"/>
      </w:divBdr>
      <w:divsChild>
        <w:div w:id="1055736619">
          <w:marLeft w:val="0"/>
          <w:marRight w:val="0"/>
          <w:marTop w:val="0"/>
          <w:marBottom w:val="0"/>
          <w:divBdr>
            <w:top w:val="none" w:sz="0" w:space="0" w:color="auto"/>
            <w:left w:val="none" w:sz="0" w:space="0" w:color="auto"/>
            <w:bottom w:val="none" w:sz="0" w:space="0" w:color="auto"/>
            <w:right w:val="none" w:sz="0" w:space="0" w:color="auto"/>
          </w:divBdr>
        </w:div>
      </w:divsChild>
    </w:div>
    <w:div w:id="1838036198">
      <w:bodyDiv w:val="1"/>
      <w:marLeft w:val="0"/>
      <w:marRight w:val="0"/>
      <w:marTop w:val="0"/>
      <w:marBottom w:val="0"/>
      <w:divBdr>
        <w:top w:val="none" w:sz="0" w:space="0" w:color="auto"/>
        <w:left w:val="none" w:sz="0" w:space="0" w:color="auto"/>
        <w:bottom w:val="none" w:sz="0" w:space="0" w:color="auto"/>
        <w:right w:val="none" w:sz="0" w:space="0" w:color="auto"/>
      </w:divBdr>
    </w:div>
    <w:div w:id="1895576595">
      <w:bodyDiv w:val="1"/>
      <w:marLeft w:val="0"/>
      <w:marRight w:val="0"/>
      <w:marTop w:val="0"/>
      <w:marBottom w:val="0"/>
      <w:divBdr>
        <w:top w:val="none" w:sz="0" w:space="0" w:color="auto"/>
        <w:left w:val="none" w:sz="0" w:space="0" w:color="auto"/>
        <w:bottom w:val="none" w:sz="0" w:space="0" w:color="auto"/>
        <w:right w:val="none" w:sz="0" w:space="0" w:color="auto"/>
      </w:divBdr>
    </w:div>
    <w:div w:id="1951887298">
      <w:bodyDiv w:val="1"/>
      <w:marLeft w:val="0"/>
      <w:marRight w:val="0"/>
      <w:marTop w:val="0"/>
      <w:marBottom w:val="0"/>
      <w:divBdr>
        <w:top w:val="none" w:sz="0" w:space="0" w:color="auto"/>
        <w:left w:val="none" w:sz="0" w:space="0" w:color="auto"/>
        <w:bottom w:val="none" w:sz="0" w:space="0" w:color="auto"/>
        <w:right w:val="none" w:sz="0" w:space="0" w:color="auto"/>
      </w:divBdr>
    </w:div>
    <w:div w:id="1964270424">
      <w:bodyDiv w:val="1"/>
      <w:marLeft w:val="0"/>
      <w:marRight w:val="0"/>
      <w:marTop w:val="0"/>
      <w:marBottom w:val="0"/>
      <w:divBdr>
        <w:top w:val="none" w:sz="0" w:space="0" w:color="auto"/>
        <w:left w:val="none" w:sz="0" w:space="0" w:color="auto"/>
        <w:bottom w:val="none" w:sz="0" w:space="0" w:color="auto"/>
        <w:right w:val="none" w:sz="0" w:space="0" w:color="auto"/>
      </w:divBdr>
      <w:divsChild>
        <w:div w:id="2063283677">
          <w:marLeft w:val="0"/>
          <w:marRight w:val="0"/>
          <w:marTop w:val="0"/>
          <w:marBottom w:val="0"/>
          <w:divBdr>
            <w:top w:val="none" w:sz="0" w:space="0" w:color="auto"/>
            <w:left w:val="none" w:sz="0" w:space="0" w:color="auto"/>
            <w:bottom w:val="none" w:sz="0" w:space="0" w:color="auto"/>
            <w:right w:val="none" w:sz="0" w:space="0" w:color="auto"/>
          </w:divBdr>
          <w:divsChild>
            <w:div w:id="1905721667">
              <w:marLeft w:val="0"/>
              <w:marRight w:val="0"/>
              <w:marTop w:val="0"/>
              <w:marBottom w:val="0"/>
              <w:divBdr>
                <w:top w:val="none" w:sz="0" w:space="0" w:color="auto"/>
                <w:left w:val="none" w:sz="0" w:space="0" w:color="auto"/>
                <w:bottom w:val="none" w:sz="0" w:space="0" w:color="auto"/>
                <w:right w:val="none" w:sz="0" w:space="0" w:color="auto"/>
              </w:divBdr>
              <w:divsChild>
                <w:div w:id="746733655">
                  <w:marLeft w:val="-300"/>
                  <w:marRight w:val="0"/>
                  <w:marTop w:val="0"/>
                  <w:marBottom w:val="0"/>
                  <w:divBdr>
                    <w:top w:val="none" w:sz="0" w:space="0" w:color="auto"/>
                    <w:left w:val="none" w:sz="0" w:space="0" w:color="auto"/>
                    <w:bottom w:val="none" w:sz="0" w:space="0" w:color="auto"/>
                    <w:right w:val="none" w:sz="0" w:space="0" w:color="auto"/>
                  </w:divBdr>
                  <w:divsChild>
                    <w:div w:id="1965966962">
                      <w:marLeft w:val="0"/>
                      <w:marRight w:val="0"/>
                      <w:marTop w:val="0"/>
                      <w:marBottom w:val="0"/>
                      <w:divBdr>
                        <w:top w:val="none" w:sz="0" w:space="0" w:color="auto"/>
                        <w:left w:val="none" w:sz="0" w:space="0" w:color="auto"/>
                        <w:bottom w:val="none" w:sz="0" w:space="0" w:color="auto"/>
                        <w:right w:val="none" w:sz="0" w:space="0" w:color="auto"/>
                      </w:divBdr>
                      <w:divsChild>
                        <w:div w:id="1262908037">
                          <w:marLeft w:val="0"/>
                          <w:marRight w:val="0"/>
                          <w:marTop w:val="0"/>
                          <w:marBottom w:val="0"/>
                          <w:divBdr>
                            <w:top w:val="none" w:sz="0" w:space="0" w:color="auto"/>
                            <w:left w:val="none" w:sz="0" w:space="0" w:color="auto"/>
                            <w:bottom w:val="none" w:sz="0" w:space="0" w:color="auto"/>
                            <w:right w:val="none" w:sz="0" w:space="0" w:color="auto"/>
                          </w:divBdr>
                          <w:divsChild>
                            <w:div w:id="2052266675">
                              <w:marLeft w:val="0"/>
                              <w:marRight w:val="0"/>
                              <w:marTop w:val="0"/>
                              <w:marBottom w:val="0"/>
                              <w:divBdr>
                                <w:top w:val="single" w:sz="6" w:space="15" w:color="AAAAAA"/>
                                <w:left w:val="single" w:sz="6" w:space="15" w:color="DDDDDD"/>
                                <w:bottom w:val="single" w:sz="6" w:space="15" w:color="DDDDDD"/>
                                <w:right w:val="single" w:sz="6" w:space="15" w:color="DDDDDD"/>
                              </w:divBdr>
                              <w:divsChild>
                                <w:div w:id="224535424">
                                  <w:marLeft w:val="0"/>
                                  <w:marRight w:val="0"/>
                                  <w:marTop w:val="0"/>
                                  <w:marBottom w:val="0"/>
                                  <w:divBdr>
                                    <w:top w:val="none" w:sz="0" w:space="0" w:color="auto"/>
                                    <w:left w:val="none" w:sz="0" w:space="0" w:color="auto"/>
                                    <w:bottom w:val="none" w:sz="0" w:space="0" w:color="auto"/>
                                    <w:right w:val="none" w:sz="0" w:space="0" w:color="auto"/>
                                  </w:divBdr>
                                  <w:divsChild>
                                    <w:div w:id="1610502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9894521">
      <w:bodyDiv w:val="1"/>
      <w:marLeft w:val="0"/>
      <w:marRight w:val="0"/>
      <w:marTop w:val="0"/>
      <w:marBottom w:val="0"/>
      <w:divBdr>
        <w:top w:val="none" w:sz="0" w:space="0" w:color="auto"/>
        <w:left w:val="none" w:sz="0" w:space="0" w:color="auto"/>
        <w:bottom w:val="none" w:sz="0" w:space="0" w:color="auto"/>
        <w:right w:val="none" w:sz="0" w:space="0" w:color="auto"/>
      </w:divBdr>
    </w:div>
    <w:div w:id="2047564638">
      <w:bodyDiv w:val="1"/>
      <w:marLeft w:val="0"/>
      <w:marRight w:val="0"/>
      <w:marTop w:val="0"/>
      <w:marBottom w:val="0"/>
      <w:divBdr>
        <w:top w:val="none" w:sz="0" w:space="0" w:color="auto"/>
        <w:left w:val="none" w:sz="0" w:space="0" w:color="auto"/>
        <w:bottom w:val="none" w:sz="0" w:space="0" w:color="auto"/>
        <w:right w:val="none" w:sz="0" w:space="0" w:color="auto"/>
      </w:divBdr>
    </w:div>
    <w:div w:id="2049914097">
      <w:bodyDiv w:val="1"/>
      <w:marLeft w:val="0"/>
      <w:marRight w:val="0"/>
      <w:marTop w:val="0"/>
      <w:marBottom w:val="0"/>
      <w:divBdr>
        <w:top w:val="none" w:sz="0" w:space="0" w:color="auto"/>
        <w:left w:val="none" w:sz="0" w:space="0" w:color="auto"/>
        <w:bottom w:val="none" w:sz="0" w:space="0" w:color="auto"/>
        <w:right w:val="none" w:sz="0" w:space="0" w:color="auto"/>
      </w:divBdr>
      <w:divsChild>
        <w:div w:id="1679384249">
          <w:marLeft w:val="1166"/>
          <w:marRight w:val="0"/>
          <w:marTop w:val="154"/>
          <w:marBottom w:val="0"/>
          <w:divBdr>
            <w:top w:val="none" w:sz="0" w:space="0" w:color="auto"/>
            <w:left w:val="none" w:sz="0" w:space="0" w:color="auto"/>
            <w:bottom w:val="none" w:sz="0" w:space="0" w:color="auto"/>
            <w:right w:val="none" w:sz="0" w:space="0" w:color="auto"/>
          </w:divBdr>
        </w:div>
      </w:divsChild>
    </w:div>
    <w:div w:id="2050101613">
      <w:bodyDiv w:val="1"/>
      <w:marLeft w:val="0"/>
      <w:marRight w:val="0"/>
      <w:marTop w:val="0"/>
      <w:marBottom w:val="0"/>
      <w:divBdr>
        <w:top w:val="none" w:sz="0" w:space="0" w:color="auto"/>
        <w:left w:val="none" w:sz="0" w:space="0" w:color="auto"/>
        <w:bottom w:val="none" w:sz="0" w:space="0" w:color="auto"/>
        <w:right w:val="none" w:sz="0" w:space="0" w:color="auto"/>
      </w:divBdr>
      <w:divsChild>
        <w:div w:id="771970277">
          <w:marLeft w:val="0"/>
          <w:marRight w:val="0"/>
          <w:marTop w:val="0"/>
          <w:marBottom w:val="0"/>
          <w:divBdr>
            <w:top w:val="none" w:sz="0" w:space="0" w:color="auto"/>
            <w:left w:val="none" w:sz="0" w:space="0" w:color="auto"/>
            <w:bottom w:val="none" w:sz="0" w:space="0" w:color="auto"/>
            <w:right w:val="none" w:sz="0" w:space="0" w:color="auto"/>
          </w:divBdr>
          <w:divsChild>
            <w:div w:id="1578322473">
              <w:marLeft w:val="0"/>
              <w:marRight w:val="0"/>
              <w:marTop w:val="0"/>
              <w:marBottom w:val="0"/>
              <w:divBdr>
                <w:top w:val="none" w:sz="0" w:space="0" w:color="auto"/>
                <w:left w:val="none" w:sz="0" w:space="0" w:color="auto"/>
                <w:bottom w:val="none" w:sz="0" w:space="0" w:color="auto"/>
                <w:right w:val="none" w:sz="0" w:space="0" w:color="auto"/>
              </w:divBdr>
              <w:divsChild>
                <w:div w:id="459525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2088188989">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 w:id="2140607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g"/><Relationship Id="rId18" Type="http://schemas.openxmlformats.org/officeDocument/2006/relationships/image" Target="media/image10.jpg"/><Relationship Id="rId3" Type="http://schemas.openxmlformats.org/officeDocument/2006/relationships/numbering" Target="numbering.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jpg"/><Relationship Id="rId17" Type="http://schemas.openxmlformats.org/officeDocument/2006/relationships/image" Target="media/image9.jpg"/><Relationship Id="rId2" Type="http://schemas.openxmlformats.org/officeDocument/2006/relationships/customXml" Target="../customXml/item1.xml"/><Relationship Id="rId16" Type="http://schemas.openxmlformats.org/officeDocument/2006/relationships/image" Target="media/image8.jpg"/><Relationship Id="rId20" Type="http://schemas.openxmlformats.org/officeDocument/2006/relationships/image" Target="media/image12.png"/><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jp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jpg"/><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1.jp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jpg"/><Relationship Id="rId22"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www.hepi.ac.uk/2020/07/16/new-report-shows-67-of-phd-students-want-a-career-in-academic-research-but-only-30-stay-in-academia-three-years-on/" TargetMode="External"/><Relationship Id="rId3" Type="http://schemas.openxmlformats.org/officeDocument/2006/relationships/hyperlink" Target="https://www.hesa.ac.uk/data-and-analysis/publications" TargetMode="External"/><Relationship Id="rId7" Type="http://schemas.openxmlformats.org/officeDocument/2006/relationships/hyperlink" Target="https://explore-education-statistics.service.gov.uk/find-statistics/graduate-labour-markets" TargetMode="External"/><Relationship Id="rId2" Type="http://schemas.openxmlformats.org/officeDocument/2006/relationships/hyperlink" Target="https://www.hesa.ac.uk/data-and-analysis/sb255/figure-3" TargetMode="External"/><Relationship Id="rId1" Type="http://schemas.openxmlformats.org/officeDocument/2006/relationships/hyperlink" Target="http://gov.uk" TargetMode="External"/><Relationship Id="rId6" Type="http://schemas.openxmlformats.org/officeDocument/2006/relationships/hyperlink" Target="http://gov.uk" TargetMode="External"/><Relationship Id="rId5" Type="http://schemas.openxmlformats.org/officeDocument/2006/relationships/hyperlink" Target="https://www.findaphd.com/funding/guides/uk-phd-loans-scheme.aspx" TargetMode="External"/><Relationship Id="rId4" Type="http://schemas.openxmlformats.org/officeDocument/2006/relationships/hyperlink" Target="https://www.gov.uk/funding-for-postgraduate-stud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FC13F6-B736-41A1-A547-35DD89EBFD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115</Pages>
  <Words>10964</Words>
  <Characters>62501</Characters>
  <Application>Microsoft Office Word</Application>
  <DocSecurity>0</DocSecurity>
  <Lines>520</Lines>
  <Paragraphs>146</Paragraphs>
  <ScaleCrop>false</ScaleCrop>
  <Company>cy</Company>
  <LinksUpToDate>false</LinksUpToDate>
  <CharactersWithSpaces>73319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LAI</dc:creator>
  <cp:lastModifiedBy>江明潔</cp:lastModifiedBy>
  <cp:revision>3</cp:revision>
  <cp:lastPrinted>2021-01-06T07:26:00Z</cp:lastPrinted>
  <dcterms:created xsi:type="dcterms:W3CDTF">2021-09-02T03:19:00Z</dcterms:created>
  <dcterms:modified xsi:type="dcterms:W3CDTF">2021-09-06T00:57:00Z</dcterms:modified>
</cp:coreProperties>
</file>