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142003" w:rsidRDefault="00D75644" w:rsidP="00F37D7B">
      <w:pPr>
        <w:pStyle w:val="af2"/>
        <w:rPr>
          <w:color w:val="000000" w:themeColor="text1"/>
        </w:rPr>
      </w:pPr>
      <w:r w:rsidRPr="00142003">
        <w:rPr>
          <w:rFonts w:hint="eastAsia"/>
          <w:color w:val="000000" w:themeColor="text1"/>
        </w:rPr>
        <w:t>調查報告</w:t>
      </w:r>
    </w:p>
    <w:p w:rsidR="00E25849" w:rsidRPr="00142003" w:rsidRDefault="00E25849" w:rsidP="004E05A1">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142003">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FE1C95" w:rsidRPr="00142003">
        <w:rPr>
          <w:rFonts w:hint="eastAsia"/>
          <w:color w:val="000000" w:themeColor="text1"/>
        </w:rPr>
        <w:t>宜蘭縣五十</w:t>
      </w:r>
      <w:bookmarkStart w:id="25" w:name="_GoBack"/>
      <w:bookmarkEnd w:id="25"/>
      <w:r w:rsidR="00FE1C95" w:rsidRPr="00142003">
        <w:rPr>
          <w:rFonts w:hint="eastAsia"/>
          <w:color w:val="000000" w:themeColor="text1"/>
        </w:rPr>
        <w:t>二甲溼地已公告為國家級重要濕地，然濕地內的私人違法開發，經環保團體向主管機關宜蘭縣政府及內政部營建署檢舉後，卻開啟縣政府、營建署對主責管理業務互踢皮球及後續適用法規疑義等情形。森林若為大地之肺，濕地即為大地之腎，不但過濾人間諸多汙染，還原大地清淨，更是涵養生物多樣性之重要場域，五十二甲溼地既為國家級重要濕地是否有上述情形，值得重視，實有立案調查之必要案。</w:t>
      </w:r>
    </w:p>
    <w:p w:rsidR="00E25849" w:rsidRPr="00142003" w:rsidRDefault="00E25849" w:rsidP="004E05A1">
      <w:pPr>
        <w:pStyle w:val="1"/>
        <w:ind w:left="2380" w:hanging="2380"/>
        <w:rPr>
          <w:color w:val="000000" w:themeColor="text1"/>
        </w:rPr>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r w:rsidRPr="00142003">
        <w:rPr>
          <w:rFonts w:hint="eastAsia"/>
          <w:color w:val="000000" w:themeColor="text1"/>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4F6710" w:rsidRPr="00142003" w:rsidRDefault="00A8615C" w:rsidP="00A639F4">
      <w:pPr>
        <w:pStyle w:val="10"/>
        <w:ind w:left="680" w:firstLine="680"/>
        <w:rPr>
          <w:color w:val="000000" w:themeColor="text1"/>
        </w:rPr>
      </w:pPr>
      <w:bookmarkStart w:id="50" w:name="_Toc524902730"/>
      <w:r w:rsidRPr="00142003">
        <w:rPr>
          <w:rFonts w:hAnsi="標楷體" w:hint="eastAsia"/>
          <w:color w:val="000000" w:themeColor="text1"/>
          <w:szCs w:val="32"/>
        </w:rPr>
        <w:t>宜蘭縣五十二甲溼地已公告為國家級重要濕地，然濕地內的私人違法開發，經環保團體向主管機關宜蘭縣政府及內政部營建署（下稱營建署）檢舉後，卻開啟縣政府、營建署對主責管理業務互踢皮球及後續適用法規疑義等情形。森林若為大地之肺，濕地即為大地之腎，不但過濾人間諸多汙染，還原大地清淨，更是涵養生物多樣性之重要場域，五十二甲溼地既為國家級重要濕地是否有上述情形，值得重視，實有立案調查之必要案，為釐清事實，</w:t>
      </w:r>
      <w:r w:rsidRPr="00142003">
        <w:rPr>
          <w:rFonts w:hAnsi="標楷體" w:hint="eastAsia"/>
          <w:color w:val="000000" w:themeColor="text1"/>
        </w:rPr>
        <w:t>於民國(下同)</w:t>
      </w:r>
      <w:r w:rsidRPr="00142003">
        <w:rPr>
          <w:rFonts w:hAnsi="標楷體"/>
          <w:color w:val="000000" w:themeColor="text1"/>
        </w:rPr>
        <w:t>110</w:t>
      </w:r>
      <w:r w:rsidRPr="00142003">
        <w:rPr>
          <w:rFonts w:hAnsi="標楷體" w:hint="eastAsia"/>
          <w:color w:val="000000" w:themeColor="text1"/>
        </w:rPr>
        <w:t>年2月20日函請營建署到院簡報說明案情外，並諮詢方偉達教授、李培芬教授、邱文彥教授、梁明煌副教授等，1</w:t>
      </w:r>
      <w:r w:rsidRPr="00142003">
        <w:rPr>
          <w:rFonts w:hAnsi="標楷體"/>
          <w:color w:val="000000" w:themeColor="text1"/>
        </w:rPr>
        <w:t>1</w:t>
      </w:r>
      <w:r w:rsidRPr="00142003">
        <w:rPr>
          <w:rFonts w:hAnsi="標楷體" w:hint="eastAsia"/>
          <w:color w:val="000000" w:themeColor="text1"/>
        </w:rPr>
        <w:t>0年5月5日詢問宜蘭縣政府、營建署、行政院環境保護署（下稱環保署）、經濟部水利署、行政院農業委員會（</w:t>
      </w:r>
      <w:r w:rsidR="002137A6" w:rsidRPr="00142003">
        <w:rPr>
          <w:rFonts w:hAnsi="標楷體" w:hint="eastAsia"/>
          <w:color w:val="000000" w:themeColor="text1"/>
        </w:rPr>
        <w:t>下稱農委會</w:t>
      </w:r>
      <w:r w:rsidRPr="00142003">
        <w:rPr>
          <w:rFonts w:hAnsi="標楷體" w:hint="eastAsia"/>
          <w:color w:val="000000" w:themeColor="text1"/>
        </w:rPr>
        <w:t>）</w:t>
      </w:r>
      <w:r w:rsidRPr="00142003">
        <w:rPr>
          <w:rFonts w:hAnsi="標楷體" w:hint="eastAsia"/>
          <w:noProof/>
          <w:color w:val="000000" w:themeColor="text1"/>
          <w:szCs w:val="52"/>
        </w:rPr>
        <w:t>等</w:t>
      </w:r>
      <w:r w:rsidRPr="00142003">
        <w:rPr>
          <w:rFonts w:hAnsi="標楷體" w:hint="eastAsia"/>
          <w:color w:val="000000" w:themeColor="text1"/>
        </w:rPr>
        <w:t>相關人員後，</w:t>
      </w:r>
      <w:r w:rsidR="00406972" w:rsidRPr="00142003">
        <w:rPr>
          <w:rFonts w:hAnsi="標楷體" w:hint="eastAsia"/>
          <w:color w:val="000000" w:themeColor="text1"/>
        </w:rPr>
        <w:t>於1</w:t>
      </w:r>
      <w:r w:rsidR="00406972" w:rsidRPr="00142003">
        <w:rPr>
          <w:rFonts w:hAnsi="標楷體"/>
          <w:color w:val="000000" w:themeColor="text1"/>
        </w:rPr>
        <w:t>10</w:t>
      </w:r>
      <w:r w:rsidR="00406972" w:rsidRPr="00142003">
        <w:rPr>
          <w:rFonts w:hAnsi="標楷體" w:hint="eastAsia"/>
          <w:color w:val="000000" w:themeColor="text1"/>
        </w:rPr>
        <w:t>年7月完成調查報告，</w:t>
      </w:r>
      <w:r w:rsidRPr="00142003">
        <w:rPr>
          <w:rFonts w:hAnsi="標楷體" w:hint="eastAsia"/>
          <w:color w:val="000000" w:themeColor="text1"/>
        </w:rPr>
        <w:t>茲臚列調查意見如下：</w:t>
      </w:r>
    </w:p>
    <w:p w:rsidR="00073CB5" w:rsidRPr="00142003" w:rsidRDefault="00A8615C" w:rsidP="00DE4238">
      <w:pPr>
        <w:pStyle w:val="2"/>
        <w:rPr>
          <w:b/>
          <w:color w:val="000000" w:themeColor="text1"/>
        </w:rPr>
      </w:pPr>
      <w:r w:rsidRPr="00142003">
        <w:rPr>
          <w:rFonts w:hAnsi="標楷體" w:hint="eastAsia"/>
          <w:b/>
          <w:color w:val="000000" w:themeColor="text1"/>
        </w:rPr>
        <w:t>本案濕地於100年間公告為國家級重要濕地，並於104年範圍公告確認，濕地保育法</w:t>
      </w:r>
      <w:r w:rsidR="006C1845" w:rsidRPr="00142003">
        <w:rPr>
          <w:rFonts w:hAnsi="標楷體" w:hint="eastAsia"/>
          <w:b/>
          <w:color w:val="000000" w:themeColor="text1"/>
        </w:rPr>
        <w:t>自</w:t>
      </w:r>
      <w:r w:rsidRPr="00142003">
        <w:rPr>
          <w:rFonts w:hAnsi="標楷體" w:hint="eastAsia"/>
          <w:b/>
          <w:color w:val="000000" w:themeColor="text1"/>
        </w:rPr>
        <w:t>104年正式施行後，本應於一定期限完成濕地保育利用計畫，</w:t>
      </w:r>
      <w:r w:rsidR="00406972" w:rsidRPr="00142003">
        <w:rPr>
          <w:rFonts w:hAnsi="標楷體" w:hint="eastAsia"/>
          <w:b/>
          <w:color w:val="000000" w:themeColor="text1"/>
        </w:rPr>
        <w:t>然因九成皆為</w:t>
      </w:r>
      <w:r w:rsidR="00406972" w:rsidRPr="00142003">
        <w:rPr>
          <w:rFonts w:hAnsi="標楷體" w:hint="eastAsia"/>
          <w:b/>
          <w:color w:val="000000" w:themeColor="text1"/>
        </w:rPr>
        <w:lastRenderedPageBreak/>
        <w:t>私有地，</w:t>
      </w:r>
      <w:r w:rsidRPr="00142003">
        <w:rPr>
          <w:rFonts w:hAnsi="標楷體" w:hint="eastAsia"/>
          <w:b/>
          <w:color w:val="000000" w:themeColor="text1"/>
        </w:rPr>
        <w:t>土地所有權人</w:t>
      </w:r>
      <w:r w:rsidR="00406972" w:rsidRPr="00142003">
        <w:rPr>
          <w:rFonts w:hAnsi="標楷體" w:hint="eastAsia"/>
          <w:b/>
          <w:color w:val="000000" w:themeColor="text1"/>
        </w:rPr>
        <w:t>、營建署</w:t>
      </w:r>
      <w:r w:rsidRPr="00142003">
        <w:rPr>
          <w:rFonts w:hAnsi="標楷體" w:hint="eastAsia"/>
          <w:b/>
          <w:color w:val="000000" w:themeColor="text1"/>
        </w:rPr>
        <w:t>及NGO團體</w:t>
      </w:r>
      <w:r w:rsidR="00406972" w:rsidRPr="00142003">
        <w:rPr>
          <w:rFonts w:hAnsi="標楷體" w:hint="eastAsia"/>
          <w:b/>
          <w:color w:val="000000" w:themeColor="text1"/>
        </w:rPr>
        <w:t>遲遲</w:t>
      </w:r>
      <w:r w:rsidRPr="00142003">
        <w:rPr>
          <w:rFonts w:hAnsi="標楷體" w:hint="eastAsia"/>
          <w:b/>
          <w:color w:val="000000" w:themeColor="text1"/>
        </w:rPr>
        <w:t>未能達成共識，迄今仍未完成該區域</w:t>
      </w:r>
      <w:r w:rsidR="00406972" w:rsidRPr="00142003">
        <w:rPr>
          <w:rFonts w:hAnsi="標楷體" w:hint="eastAsia"/>
          <w:b/>
          <w:color w:val="000000" w:themeColor="text1"/>
        </w:rPr>
        <w:t>「</w:t>
      </w:r>
      <w:r w:rsidRPr="00142003">
        <w:rPr>
          <w:rFonts w:hAnsi="標楷體" w:hint="eastAsia"/>
          <w:b/>
          <w:color w:val="000000" w:themeColor="text1"/>
        </w:rPr>
        <w:t>濕地保育利用計畫</w:t>
      </w:r>
      <w:r w:rsidR="00406972" w:rsidRPr="00142003">
        <w:rPr>
          <w:rFonts w:hAnsi="標楷體" w:hint="eastAsia"/>
          <w:b/>
          <w:color w:val="000000" w:themeColor="text1"/>
        </w:rPr>
        <w:t>」</w:t>
      </w:r>
      <w:r w:rsidRPr="00142003">
        <w:rPr>
          <w:rFonts w:hAnsi="標楷體" w:hint="eastAsia"/>
          <w:b/>
          <w:color w:val="000000" w:themeColor="text1"/>
        </w:rPr>
        <w:t>核定</w:t>
      </w:r>
      <w:r w:rsidR="00406972" w:rsidRPr="00142003">
        <w:rPr>
          <w:rFonts w:hAnsi="標楷體" w:hint="eastAsia"/>
          <w:b/>
          <w:color w:val="000000" w:themeColor="text1"/>
        </w:rPr>
        <w:t>及公告</w:t>
      </w:r>
      <w:r w:rsidRPr="00142003">
        <w:rPr>
          <w:rFonts w:hAnsi="標楷體" w:hint="eastAsia"/>
          <w:b/>
          <w:color w:val="000000" w:themeColor="text1"/>
        </w:rPr>
        <w:t>，主管機關應加強溝通協調，依法儘速完成保育利用計畫核定程序，並盤點相關部會補助（貼）資源後納入該草案修正參考，俾利本案土地使用管制執行有明確依據，</w:t>
      </w:r>
      <w:r w:rsidR="000B52D3" w:rsidRPr="00142003">
        <w:rPr>
          <w:rFonts w:hAnsi="標楷體" w:hint="eastAsia"/>
          <w:b/>
          <w:color w:val="000000" w:themeColor="text1"/>
        </w:rPr>
        <w:t>並能</w:t>
      </w:r>
      <w:r w:rsidRPr="00142003">
        <w:rPr>
          <w:rFonts w:hAnsi="標楷體" w:hint="eastAsia"/>
          <w:b/>
          <w:color w:val="000000" w:themeColor="text1"/>
        </w:rPr>
        <w:t>保障人民財產應有權益。</w:t>
      </w:r>
    </w:p>
    <w:p w:rsidR="00406972" w:rsidRPr="00142003" w:rsidRDefault="005C7523" w:rsidP="005C7523">
      <w:pPr>
        <w:pStyle w:val="3"/>
        <w:rPr>
          <w:color w:val="000000" w:themeColor="text1"/>
        </w:rPr>
      </w:pPr>
      <w:bookmarkStart w:id="51" w:name="_Toc421794874"/>
      <w:bookmarkStart w:id="52" w:name="_Toc421795440"/>
      <w:bookmarkStart w:id="53" w:name="_Toc421796021"/>
      <w:bookmarkStart w:id="54" w:name="_Toc422834159"/>
      <w:r w:rsidRPr="00142003">
        <w:rPr>
          <w:rFonts w:hint="eastAsia"/>
          <w:color w:val="000000" w:themeColor="text1"/>
        </w:rPr>
        <w:t>按濕地保育法第1條規定：「為確保濕地天然滯洪等功能，維護生物多樣性，促進濕地生態保育及明智利用，特制定本法。」、第3條規定：「本法所稱主管機關：在中央為內政部；在直轄市為直轄市政府；在縣（市）為縣（市）政府。中央主管機關應辦理下列事項：……三、重要濕地之評定、變更、廢止及公告。四、國際級與國家級重要濕地保育利用計畫之擬訂、審議、變更、廢止、公告及實施。……</w:t>
      </w:r>
      <w:r w:rsidR="007240E9" w:rsidRPr="00142003">
        <w:rPr>
          <w:rFonts w:hint="eastAsia"/>
          <w:color w:val="000000" w:themeColor="text1"/>
        </w:rPr>
        <w:t>。</w:t>
      </w:r>
      <w:r w:rsidRPr="00142003">
        <w:rPr>
          <w:rFonts w:hint="eastAsia"/>
          <w:color w:val="000000" w:themeColor="text1"/>
        </w:rPr>
        <w:t>」、第8條規定：「重要濕地分為國際級、國家級及地方級三級，由中央主管機關考量該濕地之生物多樣性、自然性、代表性、特殊性及規劃合理性和土地所有權人意願等，並根據下列事項評定其等級：……</w:t>
      </w:r>
      <w:r w:rsidR="007240E9" w:rsidRPr="00142003">
        <w:rPr>
          <w:rFonts w:hint="eastAsia"/>
          <w:color w:val="000000" w:themeColor="text1"/>
        </w:rPr>
        <w:t>。</w:t>
      </w:r>
      <w:r w:rsidRPr="00142003">
        <w:rPr>
          <w:rFonts w:hint="eastAsia"/>
          <w:color w:val="000000" w:themeColor="text1"/>
        </w:rPr>
        <w:t>」、第13條規定：「中央主管機關應訂定國家濕地保育綱領，總體規劃與推動濕地之保育策略與機制，並報行政院備查。前項國家濕地保育綱領應每</w:t>
      </w:r>
      <w:r w:rsidR="00CC0F50" w:rsidRPr="00142003">
        <w:rPr>
          <w:rFonts w:hint="eastAsia"/>
          <w:color w:val="000000" w:themeColor="text1"/>
        </w:rPr>
        <w:t>5</w:t>
      </w:r>
      <w:r w:rsidRPr="00142003">
        <w:rPr>
          <w:rFonts w:hint="eastAsia"/>
          <w:color w:val="000000" w:themeColor="text1"/>
        </w:rPr>
        <w:t>年至少檢討</w:t>
      </w:r>
      <w:r w:rsidR="00CC0F50" w:rsidRPr="00142003">
        <w:rPr>
          <w:rFonts w:hint="eastAsia"/>
          <w:color w:val="000000" w:themeColor="text1"/>
        </w:rPr>
        <w:t>1</w:t>
      </w:r>
      <w:r w:rsidRPr="00142003">
        <w:rPr>
          <w:rFonts w:hint="eastAsia"/>
          <w:color w:val="000000" w:themeColor="text1"/>
        </w:rPr>
        <w:t>次。」、第15條規定：「重要濕地保育利用計畫，應載明下列事項：……八、允許明智利用項目及管理規定。……</w:t>
      </w:r>
      <w:r w:rsidR="007240E9" w:rsidRPr="00142003">
        <w:rPr>
          <w:rFonts w:hint="eastAsia"/>
          <w:color w:val="000000" w:themeColor="text1"/>
        </w:rPr>
        <w:t>。</w:t>
      </w:r>
      <w:r w:rsidRPr="00142003">
        <w:rPr>
          <w:rFonts w:hint="eastAsia"/>
          <w:color w:val="000000" w:themeColor="text1"/>
        </w:rPr>
        <w:t>」、第16條規定：「……功能分區，得視情況分類規劃如下，並依前條第</w:t>
      </w:r>
      <w:r w:rsidR="00784261" w:rsidRPr="00142003">
        <w:rPr>
          <w:rFonts w:hint="eastAsia"/>
          <w:color w:val="000000" w:themeColor="text1"/>
        </w:rPr>
        <w:t>1</w:t>
      </w:r>
      <w:r w:rsidRPr="00142003">
        <w:rPr>
          <w:rFonts w:hint="eastAsia"/>
          <w:color w:val="000000" w:themeColor="text1"/>
        </w:rPr>
        <w:t>項第</w:t>
      </w:r>
      <w:r w:rsidR="00CC0F50" w:rsidRPr="00142003">
        <w:rPr>
          <w:rFonts w:hint="eastAsia"/>
          <w:color w:val="000000" w:themeColor="text1"/>
        </w:rPr>
        <w:t>7</w:t>
      </w:r>
      <w:r w:rsidRPr="00142003">
        <w:rPr>
          <w:rFonts w:hint="eastAsia"/>
          <w:color w:val="000000" w:themeColor="text1"/>
        </w:rPr>
        <w:t>款及第</w:t>
      </w:r>
      <w:r w:rsidR="00CC0F50" w:rsidRPr="00142003">
        <w:rPr>
          <w:color w:val="000000" w:themeColor="text1"/>
        </w:rPr>
        <w:t>8</w:t>
      </w:r>
      <w:r w:rsidRPr="00142003">
        <w:rPr>
          <w:rFonts w:hint="eastAsia"/>
          <w:color w:val="000000" w:themeColor="text1"/>
        </w:rPr>
        <w:t>款規定實施分區管制：一、核心保育區：為保護濕地重要生態，以容許生態保護及研究使用為限。二、生態復育區：為復育遭受破壞區域，以容許生態復育及研究使用為限。三、環境教育區：為推動濕地環境教育，供環境展示解說使</w:t>
      </w:r>
      <w:r w:rsidRPr="00142003">
        <w:rPr>
          <w:rFonts w:hint="eastAsia"/>
          <w:color w:val="000000" w:themeColor="text1"/>
        </w:rPr>
        <w:lastRenderedPageBreak/>
        <w:t>用及設置必要設施。四、管理服務區：供濕地管理相關使用及設置必要設施。五、其他分區：其他供符合明智利用原則之使用。國際級、國家級重要濕地，除前項第</w:t>
      </w:r>
      <w:r w:rsidR="00CC0F50" w:rsidRPr="00142003">
        <w:rPr>
          <w:rFonts w:hint="eastAsia"/>
          <w:color w:val="000000" w:themeColor="text1"/>
        </w:rPr>
        <w:t>3</w:t>
      </w:r>
      <w:r w:rsidRPr="00142003">
        <w:rPr>
          <w:rFonts w:hint="eastAsia"/>
          <w:color w:val="000000" w:themeColor="text1"/>
        </w:rPr>
        <w:t>款至第</w:t>
      </w:r>
      <w:r w:rsidR="00CC0F50" w:rsidRPr="00142003">
        <w:rPr>
          <w:rFonts w:hint="eastAsia"/>
          <w:color w:val="000000" w:themeColor="text1"/>
        </w:rPr>
        <w:t>5</w:t>
      </w:r>
      <w:r w:rsidRPr="00142003">
        <w:rPr>
          <w:rFonts w:hint="eastAsia"/>
          <w:color w:val="000000" w:themeColor="text1"/>
        </w:rPr>
        <w:t>款之情形外，不得開發或建築。……</w:t>
      </w:r>
      <w:r w:rsidR="007240E9" w:rsidRPr="00142003">
        <w:rPr>
          <w:rFonts w:hint="eastAsia"/>
          <w:color w:val="000000" w:themeColor="text1"/>
        </w:rPr>
        <w:t>。</w:t>
      </w:r>
      <w:r w:rsidRPr="00142003">
        <w:rPr>
          <w:rFonts w:hint="eastAsia"/>
          <w:color w:val="000000" w:themeColor="text1"/>
        </w:rPr>
        <w:t>」、第17條第1項規定：「重要濕地保育利用計畫，應於重要濕地評定公告之日起算</w:t>
      </w:r>
      <w:r w:rsidR="00CC0F50" w:rsidRPr="00142003">
        <w:rPr>
          <w:rFonts w:hint="eastAsia"/>
          <w:color w:val="000000" w:themeColor="text1"/>
        </w:rPr>
        <w:t>1</w:t>
      </w:r>
      <w:r w:rsidRPr="00142003">
        <w:rPr>
          <w:rFonts w:hint="eastAsia"/>
          <w:color w:val="000000" w:themeColor="text1"/>
        </w:rPr>
        <w:t>年內擬訂完成，並辦理公開展覽。」、第22條規定：「重要濕地範圍內之土地，主管機關為實施保育利用計畫之必要，得依法徵收、撥用或租用。……</w:t>
      </w:r>
      <w:r w:rsidR="007240E9" w:rsidRPr="00142003">
        <w:rPr>
          <w:rFonts w:hint="eastAsia"/>
          <w:color w:val="000000" w:themeColor="text1"/>
        </w:rPr>
        <w:t>。</w:t>
      </w:r>
      <w:r w:rsidRPr="00142003">
        <w:rPr>
          <w:rFonts w:hint="eastAsia"/>
          <w:color w:val="000000" w:themeColor="text1"/>
        </w:rPr>
        <w:t>」第24條規定：「主管機關執行第</w:t>
      </w:r>
      <w:r w:rsidR="00CC0F50" w:rsidRPr="00142003">
        <w:rPr>
          <w:rFonts w:hint="eastAsia"/>
          <w:color w:val="000000" w:themeColor="text1"/>
        </w:rPr>
        <w:t>6</w:t>
      </w:r>
      <w:r w:rsidRPr="00142003">
        <w:rPr>
          <w:rFonts w:hint="eastAsia"/>
          <w:color w:val="000000" w:themeColor="text1"/>
        </w:rPr>
        <w:t>條第</w:t>
      </w:r>
      <w:r w:rsidR="00CC0F50" w:rsidRPr="00142003">
        <w:rPr>
          <w:rFonts w:hint="eastAsia"/>
          <w:color w:val="000000" w:themeColor="text1"/>
        </w:rPr>
        <w:t>2</w:t>
      </w:r>
      <w:r w:rsidRPr="00142003">
        <w:rPr>
          <w:rFonts w:hint="eastAsia"/>
          <w:color w:val="000000" w:themeColor="text1"/>
        </w:rPr>
        <w:t>項進入公私有土地、第</w:t>
      </w:r>
      <w:r w:rsidR="00CC0F50" w:rsidRPr="00142003">
        <w:rPr>
          <w:rFonts w:hint="eastAsia"/>
          <w:color w:val="000000" w:themeColor="text1"/>
        </w:rPr>
        <w:t>1</w:t>
      </w:r>
      <w:r w:rsidR="00CC0F50" w:rsidRPr="00142003">
        <w:rPr>
          <w:color w:val="000000" w:themeColor="text1"/>
        </w:rPr>
        <w:t>2</w:t>
      </w:r>
      <w:r w:rsidRPr="00142003">
        <w:rPr>
          <w:rFonts w:hint="eastAsia"/>
          <w:color w:val="000000" w:themeColor="text1"/>
        </w:rPr>
        <w:t>條第</w:t>
      </w:r>
      <w:r w:rsidR="00CC0F50" w:rsidRPr="00142003">
        <w:rPr>
          <w:rFonts w:hint="eastAsia"/>
          <w:color w:val="000000" w:themeColor="text1"/>
        </w:rPr>
        <w:t>4</w:t>
      </w:r>
      <w:r w:rsidRPr="00142003">
        <w:rPr>
          <w:rFonts w:hint="eastAsia"/>
          <w:color w:val="000000" w:themeColor="text1"/>
        </w:rPr>
        <w:t>項所定公告禁止或限制事項，或第</w:t>
      </w:r>
      <w:r w:rsidR="00CC0F50" w:rsidRPr="00142003">
        <w:rPr>
          <w:rFonts w:hint="eastAsia"/>
          <w:color w:val="000000" w:themeColor="text1"/>
        </w:rPr>
        <w:t>2</w:t>
      </w:r>
      <w:r w:rsidR="00CC0F50" w:rsidRPr="00142003">
        <w:rPr>
          <w:color w:val="000000" w:themeColor="text1"/>
        </w:rPr>
        <w:t>1</w:t>
      </w:r>
      <w:r w:rsidRPr="00142003">
        <w:rPr>
          <w:rFonts w:hint="eastAsia"/>
          <w:color w:val="000000" w:themeColor="text1"/>
        </w:rPr>
        <w:t>條第</w:t>
      </w:r>
      <w:r w:rsidR="00CC0F50" w:rsidRPr="00142003">
        <w:rPr>
          <w:rFonts w:hint="eastAsia"/>
          <w:color w:val="000000" w:themeColor="text1"/>
        </w:rPr>
        <w:t>4</w:t>
      </w:r>
      <w:r w:rsidRPr="00142003">
        <w:rPr>
          <w:rFonts w:hint="eastAsia"/>
          <w:color w:val="000000" w:themeColor="text1"/>
        </w:rPr>
        <w:t>項濕地保育輔導轉作明智利用項目規定，致土地所有權人、經營人、使用人或權利關係人受有損失者，應予合理補償。」</w:t>
      </w:r>
    </w:p>
    <w:p w:rsidR="005C7523" w:rsidRPr="00142003" w:rsidRDefault="005C7523" w:rsidP="00406972">
      <w:pPr>
        <w:pStyle w:val="31"/>
        <w:ind w:left="1361" w:firstLine="680"/>
        <w:rPr>
          <w:color w:val="000000" w:themeColor="text1"/>
        </w:rPr>
      </w:pPr>
      <w:r w:rsidRPr="00142003">
        <w:rPr>
          <w:rFonts w:hint="eastAsia"/>
          <w:color w:val="000000" w:themeColor="text1"/>
        </w:rPr>
        <w:t>爰此，本案國家級重要濕地係由內政部考量該濕地之生物多樣性、自然性、代表性、特殊性而公告並確定範圍，而為利本案濕地生態環境之永續，當儘速將</w:t>
      </w:r>
      <w:r w:rsidR="00406972" w:rsidRPr="00142003">
        <w:rPr>
          <w:rFonts w:hAnsi="標楷體" w:hint="eastAsia"/>
          <w:color w:val="000000" w:themeColor="text1"/>
        </w:rPr>
        <w:t>「</w:t>
      </w:r>
      <w:r w:rsidRPr="00142003">
        <w:rPr>
          <w:rFonts w:hint="eastAsia"/>
          <w:color w:val="000000" w:themeColor="text1"/>
        </w:rPr>
        <w:t>明智利用</w:t>
      </w:r>
      <w:r w:rsidR="00406972" w:rsidRPr="00142003">
        <w:rPr>
          <w:rFonts w:hAnsi="標楷體" w:hint="eastAsia"/>
          <w:color w:val="000000" w:themeColor="text1"/>
        </w:rPr>
        <w:t>」</w:t>
      </w:r>
      <w:r w:rsidRPr="00142003">
        <w:rPr>
          <w:rFonts w:hint="eastAsia"/>
          <w:color w:val="000000" w:themeColor="text1"/>
        </w:rPr>
        <w:t>項目原則落實於保育利用計畫，不僅有利於土地使用管制或執行，</w:t>
      </w:r>
      <w:r w:rsidR="00406972" w:rsidRPr="00142003">
        <w:rPr>
          <w:rFonts w:hint="eastAsia"/>
          <w:color w:val="000000" w:themeColor="text1"/>
        </w:rPr>
        <w:t>亦同時顧及</w:t>
      </w:r>
      <w:r w:rsidRPr="00142003">
        <w:rPr>
          <w:rFonts w:hint="eastAsia"/>
          <w:color w:val="000000" w:themeColor="text1"/>
        </w:rPr>
        <w:t>私有土地所有權人財產之權益。</w:t>
      </w:r>
    </w:p>
    <w:p w:rsidR="00406972" w:rsidRPr="00142003" w:rsidRDefault="005C7523" w:rsidP="005C7523">
      <w:pPr>
        <w:pStyle w:val="3"/>
        <w:rPr>
          <w:color w:val="000000" w:themeColor="text1"/>
        </w:rPr>
      </w:pPr>
      <w:r w:rsidRPr="00142003">
        <w:rPr>
          <w:rFonts w:hint="eastAsia"/>
          <w:color w:val="000000" w:themeColor="text1"/>
        </w:rPr>
        <w:t>關於本案濕地之選定過程，內政部說明濕地保育法立法前，係於</w:t>
      </w:r>
      <w:r w:rsidRPr="00142003">
        <w:rPr>
          <w:color w:val="000000" w:themeColor="text1"/>
        </w:rPr>
        <w:t>95</w:t>
      </w:r>
      <w:r w:rsidRPr="00142003">
        <w:rPr>
          <w:rFonts w:hint="eastAsia"/>
          <w:color w:val="000000" w:themeColor="text1"/>
        </w:rPr>
        <w:t>年籌組國家重要濕地評選小組時函請各方推薦濕地，其中五十二甲濕地為國家重要濕地評選小組共同推薦，經評選後，於</w:t>
      </w:r>
      <w:r w:rsidRPr="00142003">
        <w:rPr>
          <w:color w:val="000000" w:themeColor="text1"/>
        </w:rPr>
        <w:t>96</w:t>
      </w:r>
      <w:r w:rsidRPr="00142003">
        <w:rPr>
          <w:rFonts w:hint="eastAsia"/>
          <w:color w:val="000000" w:themeColor="text1"/>
        </w:rPr>
        <w:t>年</w:t>
      </w:r>
      <w:r w:rsidRPr="00142003">
        <w:rPr>
          <w:color w:val="000000" w:themeColor="text1"/>
        </w:rPr>
        <w:t>12</w:t>
      </w:r>
      <w:r w:rsidRPr="00142003">
        <w:rPr>
          <w:rFonts w:hint="eastAsia"/>
          <w:color w:val="000000" w:themeColor="text1"/>
        </w:rPr>
        <w:t>月</w:t>
      </w:r>
      <w:r w:rsidRPr="00142003">
        <w:rPr>
          <w:color w:val="000000" w:themeColor="text1"/>
        </w:rPr>
        <w:t>20</w:t>
      </w:r>
      <w:r w:rsidRPr="00142003">
        <w:rPr>
          <w:rFonts w:hint="eastAsia"/>
          <w:color w:val="000000" w:themeColor="text1"/>
        </w:rPr>
        <w:t>日「全國公園綠地會議」中公布</w:t>
      </w:r>
      <w:r w:rsidRPr="00142003">
        <w:rPr>
          <w:color w:val="000000" w:themeColor="text1"/>
        </w:rPr>
        <w:t>75</w:t>
      </w:r>
      <w:r w:rsidRPr="00142003">
        <w:rPr>
          <w:rFonts w:hint="eastAsia"/>
          <w:color w:val="000000" w:themeColor="text1"/>
        </w:rPr>
        <w:t>處國家重要濕地之一，並於</w:t>
      </w:r>
      <w:r w:rsidRPr="00142003">
        <w:rPr>
          <w:color w:val="000000" w:themeColor="text1"/>
        </w:rPr>
        <w:t>100</w:t>
      </w:r>
      <w:r w:rsidRPr="00142003">
        <w:rPr>
          <w:rFonts w:hint="eastAsia"/>
          <w:color w:val="000000" w:themeColor="text1"/>
        </w:rPr>
        <w:t>年</w:t>
      </w:r>
      <w:r w:rsidRPr="00142003">
        <w:rPr>
          <w:color w:val="000000" w:themeColor="text1"/>
        </w:rPr>
        <w:t>1</w:t>
      </w:r>
      <w:r w:rsidRPr="00142003">
        <w:rPr>
          <w:rFonts w:hint="eastAsia"/>
          <w:color w:val="000000" w:themeColor="text1"/>
        </w:rPr>
        <w:t>月</w:t>
      </w:r>
      <w:r w:rsidRPr="00142003">
        <w:rPr>
          <w:color w:val="000000" w:themeColor="text1"/>
        </w:rPr>
        <w:t>18</w:t>
      </w:r>
      <w:r w:rsidRPr="00142003">
        <w:rPr>
          <w:rFonts w:hint="eastAsia"/>
          <w:color w:val="000000" w:themeColor="text1"/>
        </w:rPr>
        <w:t>日正式公告本處濕地為國家重要濕地之一</w:t>
      </w:r>
      <w:r w:rsidR="00406972" w:rsidRPr="00142003">
        <w:rPr>
          <w:rFonts w:hint="eastAsia"/>
          <w:color w:val="000000" w:themeColor="text1"/>
        </w:rPr>
        <w:t>。</w:t>
      </w:r>
    </w:p>
    <w:p w:rsidR="00406972" w:rsidRPr="00142003" w:rsidRDefault="005C7523" w:rsidP="00AD2711">
      <w:pPr>
        <w:pStyle w:val="31"/>
        <w:ind w:left="1361" w:firstLineChars="0" w:firstLine="0"/>
        <w:rPr>
          <w:color w:val="000000" w:themeColor="text1"/>
        </w:rPr>
      </w:pPr>
      <w:r w:rsidRPr="00142003">
        <w:rPr>
          <w:rFonts w:hint="eastAsia"/>
          <w:color w:val="000000" w:themeColor="text1"/>
        </w:rPr>
        <w:t>濕地保育法</w:t>
      </w:r>
      <w:r w:rsidRPr="00142003">
        <w:rPr>
          <w:color w:val="000000" w:themeColor="text1"/>
        </w:rPr>
        <w:t>102</w:t>
      </w:r>
      <w:r w:rsidRPr="00142003">
        <w:rPr>
          <w:rFonts w:hint="eastAsia"/>
          <w:color w:val="000000" w:themeColor="text1"/>
        </w:rPr>
        <w:t>年公布後，為考量前述計畫與法律施行之銜接，爰辦理全國</w:t>
      </w:r>
      <w:r w:rsidRPr="00142003">
        <w:rPr>
          <w:color w:val="000000" w:themeColor="text1"/>
        </w:rPr>
        <w:t>42</w:t>
      </w:r>
      <w:r w:rsidRPr="00142003">
        <w:rPr>
          <w:rFonts w:hint="eastAsia"/>
          <w:color w:val="000000" w:themeColor="text1"/>
        </w:rPr>
        <w:t>處國際級與國家級國家重要濕地範圍確認作業，內政部並於</w:t>
      </w:r>
      <w:r w:rsidRPr="00142003">
        <w:rPr>
          <w:color w:val="000000" w:themeColor="text1"/>
        </w:rPr>
        <w:t>103</w:t>
      </w:r>
      <w:r w:rsidRPr="00142003">
        <w:rPr>
          <w:rFonts w:hint="eastAsia"/>
          <w:color w:val="000000" w:themeColor="text1"/>
        </w:rPr>
        <w:t>年</w:t>
      </w:r>
      <w:r w:rsidRPr="00142003">
        <w:rPr>
          <w:color w:val="000000" w:themeColor="text1"/>
        </w:rPr>
        <w:t>11</w:t>
      </w:r>
      <w:r w:rsidRPr="00142003">
        <w:rPr>
          <w:rFonts w:hint="eastAsia"/>
          <w:color w:val="000000" w:themeColor="text1"/>
        </w:rPr>
        <w:t>月</w:t>
      </w:r>
      <w:r w:rsidRPr="00142003">
        <w:rPr>
          <w:color w:val="000000" w:themeColor="text1"/>
        </w:rPr>
        <w:t>3</w:t>
      </w:r>
      <w:r w:rsidRPr="00142003">
        <w:rPr>
          <w:rFonts w:hint="eastAsia"/>
          <w:color w:val="000000" w:themeColor="text1"/>
        </w:rPr>
        <w:t>日</w:t>
      </w:r>
      <w:r w:rsidRPr="00142003">
        <w:rPr>
          <w:rFonts w:hint="eastAsia"/>
          <w:color w:val="000000" w:themeColor="text1"/>
        </w:rPr>
        <w:lastRenderedPageBreak/>
        <w:t>假宜蘭縣五結鄉利澤社區活動中心召開說明會</w:t>
      </w:r>
      <w:r w:rsidR="00406972" w:rsidRPr="00142003">
        <w:rPr>
          <w:rFonts w:hint="eastAsia"/>
          <w:color w:val="000000" w:themeColor="text1"/>
        </w:rPr>
        <w:t>。</w:t>
      </w:r>
    </w:p>
    <w:p w:rsidR="00406972" w:rsidRPr="00142003" w:rsidRDefault="005C7523" w:rsidP="00AD2711">
      <w:pPr>
        <w:pStyle w:val="31"/>
        <w:ind w:left="1361" w:firstLineChars="0" w:firstLine="0"/>
        <w:rPr>
          <w:color w:val="000000" w:themeColor="text1"/>
        </w:rPr>
      </w:pPr>
      <w:r w:rsidRPr="00142003">
        <w:rPr>
          <w:rFonts w:hint="eastAsia"/>
          <w:color w:val="000000" w:themeColor="text1"/>
        </w:rPr>
        <w:t>因宜蘭縣政府於</w:t>
      </w:r>
      <w:r w:rsidRPr="00142003">
        <w:rPr>
          <w:color w:val="000000" w:themeColor="text1"/>
        </w:rPr>
        <w:t>103</w:t>
      </w:r>
      <w:r w:rsidRPr="00142003">
        <w:rPr>
          <w:rFonts w:hint="eastAsia"/>
          <w:color w:val="000000" w:themeColor="text1"/>
        </w:rPr>
        <w:t>年</w:t>
      </w:r>
      <w:r w:rsidRPr="00142003">
        <w:rPr>
          <w:color w:val="000000" w:themeColor="text1"/>
        </w:rPr>
        <w:t>12</w:t>
      </w:r>
      <w:r w:rsidRPr="00142003">
        <w:rPr>
          <w:rFonts w:hint="eastAsia"/>
          <w:color w:val="000000" w:themeColor="text1"/>
        </w:rPr>
        <w:t>月</w:t>
      </w:r>
      <w:r w:rsidRPr="00142003">
        <w:rPr>
          <w:color w:val="000000" w:themeColor="text1"/>
        </w:rPr>
        <w:t>24</w:t>
      </w:r>
      <w:r w:rsidRPr="00142003">
        <w:rPr>
          <w:rFonts w:hint="eastAsia"/>
          <w:color w:val="000000" w:themeColor="text1"/>
        </w:rPr>
        <w:t>日函請內政部維持原100年1月18日公告範圍，有關地主權益將納入五十二甲重要濕地保育利用計畫檢討辦理，內政部考量前開因素後，重要濕地審議小組103年12月29日第6次會議決議依該府建議範圍確認，內政部並於104年1月28日台內營字第1040800278號函公告確認五十二甲濕地範圍。</w:t>
      </w:r>
    </w:p>
    <w:p w:rsidR="005C7523" w:rsidRPr="00142003" w:rsidRDefault="005C7523" w:rsidP="00AD2711">
      <w:pPr>
        <w:pStyle w:val="31"/>
        <w:ind w:left="1361" w:firstLineChars="0" w:firstLine="0"/>
        <w:rPr>
          <w:color w:val="000000" w:themeColor="text1"/>
        </w:rPr>
      </w:pPr>
      <w:r w:rsidRPr="00142003">
        <w:rPr>
          <w:rFonts w:hint="eastAsia"/>
          <w:color w:val="000000" w:themeColor="text1"/>
        </w:rPr>
        <w:t>該府自106年受內政部委託（濕地保育法第3條第2項第4款重要濕地保育利用計畫之研擬及規劃）修訂迄今，雖已完成草案公展及召開說明會，因協商期間部分地主對計畫草案內容仍有相當疑慮，也表達對濕地劃設之不滿，且秉持縮小或解除濕地劃設為最終目的；而NGO團體也質疑本計畫草案之內容（如分區劃設及管制規定、允許明智利用項目等），故該府現在仍極力與民眾及NGO團體溝通，在未取得地主與NGO間之最大利益及理想之情形下，仍將努力的朝地主權益維護及生態兼顧的方向調整計畫內容。</w:t>
      </w:r>
    </w:p>
    <w:p w:rsidR="00406972" w:rsidRPr="00142003" w:rsidRDefault="005C7523" w:rsidP="005C7523">
      <w:pPr>
        <w:pStyle w:val="3"/>
        <w:rPr>
          <w:color w:val="000000" w:themeColor="text1"/>
        </w:rPr>
      </w:pPr>
      <w:r w:rsidRPr="00142003">
        <w:rPr>
          <w:rFonts w:hint="eastAsia"/>
          <w:color w:val="000000" w:themeColor="text1"/>
        </w:rPr>
        <w:t>依濕地保育法第16條規定濕地保育利用計畫係可劃設為五種功能分區，特別是核心保育區及生態復育區均屬不得開發建築之分區，為能加強本案濕地永續利用，本當有核心保育區或生態復育區等功能分區之劃設，再輔以劃設其他使用功能分區，但因為核心保育區目的為保護濕地重要生態，僅以容許生態保護及研究使用為限，而生態復育區劃設為復育遭受破壞區域，亦以容許生態復育及研究使用為限。</w:t>
      </w:r>
    </w:p>
    <w:p w:rsidR="00406972" w:rsidRPr="00142003" w:rsidRDefault="005C7523" w:rsidP="00AD2711">
      <w:pPr>
        <w:pStyle w:val="31"/>
        <w:ind w:left="1361" w:firstLineChars="0" w:firstLine="0"/>
        <w:rPr>
          <w:color w:val="000000" w:themeColor="text1"/>
        </w:rPr>
      </w:pPr>
      <w:r w:rsidRPr="00142003">
        <w:rPr>
          <w:rFonts w:hint="eastAsia"/>
          <w:color w:val="000000" w:themeColor="text1"/>
        </w:rPr>
        <w:t>內政部也解釋如將成興大、小池劃設為核心保育區或生態復育區時，私有土地所有人使用權將受極大</w:t>
      </w:r>
      <w:r w:rsidRPr="00142003">
        <w:rPr>
          <w:rFonts w:hint="eastAsia"/>
          <w:color w:val="000000" w:themeColor="text1"/>
        </w:rPr>
        <w:lastRenderedPageBreak/>
        <w:t>之限制，而無法做任何利用，因此草案中使用分區之劃設，須考量五十二甲濕地之劃設對私權造成之鉅大影響，且濕地保育法的重要精神為「明智利用」，鼓勵農業用地繼續從事農業使用為主，爰108年內政部公開展覽之計畫草案將全區依其性質分別劃設為不同使用強度之「其他分區」(計有四種級數土地使用方式，分別為遊客休憩、生態景觀、生態教育及農民生產等)，以既有管制為主，並排除污染性工業使用</w:t>
      </w:r>
      <w:r w:rsidR="00406972" w:rsidRPr="00142003">
        <w:rPr>
          <w:rFonts w:hint="eastAsia"/>
          <w:color w:val="000000" w:themeColor="text1"/>
        </w:rPr>
        <w:t>。</w:t>
      </w:r>
    </w:p>
    <w:p w:rsidR="00B975C4" w:rsidRPr="00142003" w:rsidRDefault="005C7523" w:rsidP="00AD2711">
      <w:pPr>
        <w:pStyle w:val="31"/>
        <w:ind w:left="1361" w:firstLineChars="0" w:firstLine="0"/>
        <w:rPr>
          <w:color w:val="000000" w:themeColor="text1"/>
        </w:rPr>
      </w:pPr>
      <w:r w:rsidRPr="00142003">
        <w:rPr>
          <w:rFonts w:hint="eastAsia"/>
          <w:color w:val="000000" w:themeColor="text1"/>
        </w:rPr>
        <w:t>土地使用原有管制內容除非都市土地使用管制規則外，尚包含農業用地興建農舍辦法、宜蘭縣農業用地申請客土改良審查辦法等，希冀於原有使用限制架構下，加上土地使用前需有事先報核審查流程雙重管控，達到繼續從事農業使用的「明智利用」精神。</w:t>
      </w:r>
    </w:p>
    <w:p w:rsidR="005C7523" w:rsidRPr="00142003" w:rsidRDefault="005C7523" w:rsidP="00AD2711">
      <w:pPr>
        <w:pStyle w:val="31"/>
        <w:ind w:left="1361" w:firstLineChars="0" w:firstLine="0"/>
        <w:rPr>
          <w:color w:val="000000" w:themeColor="text1"/>
        </w:rPr>
      </w:pPr>
      <w:r w:rsidRPr="00142003">
        <w:rPr>
          <w:rFonts w:hint="eastAsia"/>
          <w:color w:val="000000" w:themeColor="text1"/>
        </w:rPr>
        <w:t>亦因本區土地在原有容許使用上已有相當程度之限制，故本案保育利用計畫草案中功能分區的規劃，未以限制土地高強度使用方式劃設核心保育區或生態復育區，僅劃分四種級數的</w:t>
      </w:r>
      <w:r w:rsidR="00B975C4" w:rsidRPr="00142003">
        <w:rPr>
          <w:rFonts w:hAnsi="標楷體" w:hint="eastAsia"/>
          <w:color w:val="000000" w:themeColor="text1"/>
        </w:rPr>
        <w:t>「</w:t>
      </w:r>
      <w:r w:rsidRPr="00142003">
        <w:rPr>
          <w:rFonts w:hint="eastAsia"/>
          <w:color w:val="000000" w:themeColor="text1"/>
        </w:rPr>
        <w:t>其他功能</w:t>
      </w:r>
      <w:r w:rsidR="00B975C4" w:rsidRPr="00142003">
        <w:rPr>
          <w:rFonts w:hAnsi="標楷體" w:hint="eastAsia"/>
          <w:color w:val="000000" w:themeColor="text1"/>
        </w:rPr>
        <w:t>」</w:t>
      </w:r>
      <w:r w:rsidRPr="00142003">
        <w:rPr>
          <w:rFonts w:hint="eastAsia"/>
          <w:color w:val="000000" w:themeColor="text1"/>
        </w:rPr>
        <w:t>分區。</w:t>
      </w:r>
    </w:p>
    <w:p w:rsidR="005C7523" w:rsidRPr="00142003" w:rsidRDefault="005C7523" w:rsidP="005C7523">
      <w:pPr>
        <w:pStyle w:val="3"/>
        <w:rPr>
          <w:color w:val="000000" w:themeColor="text1"/>
        </w:rPr>
      </w:pPr>
      <w:r w:rsidRPr="00142003">
        <w:rPr>
          <w:rFonts w:hint="eastAsia"/>
          <w:color w:val="000000" w:themeColor="text1"/>
        </w:rPr>
        <w:t>至於本案是否適宜以濕地保育法第22條規定將全範圍土地全部或部分徵收取得方式，經查以</w:t>
      </w:r>
      <w:r w:rsidRPr="00142003">
        <w:rPr>
          <w:rFonts w:hAnsi="Times New Roman" w:hint="eastAsia"/>
          <w:bCs w:val="0"/>
          <w:color w:val="000000" w:themeColor="text1"/>
          <w:szCs w:val="20"/>
        </w:rPr>
        <w:t>本案濕地全區範圍約297公頃範圍，若全部徵收</w:t>
      </w:r>
      <w:r w:rsidRPr="00142003">
        <w:rPr>
          <w:rFonts w:hint="eastAsia"/>
          <w:color w:val="000000" w:themeColor="text1"/>
        </w:rPr>
        <w:t>，初步以公告現值加4成計算（尚未以市價取得方式計算）</w:t>
      </w:r>
      <w:r w:rsidRPr="00142003">
        <w:rPr>
          <w:rFonts w:hAnsi="Times New Roman" w:hint="eastAsia"/>
          <w:bCs w:val="0"/>
          <w:color w:val="000000" w:themeColor="text1"/>
          <w:szCs w:val="20"/>
        </w:rPr>
        <w:t>約需新臺幣</w:t>
      </w:r>
      <w:r w:rsidR="004F470C" w:rsidRPr="00142003">
        <w:rPr>
          <w:rFonts w:hint="eastAsia"/>
          <w:color w:val="000000" w:themeColor="text1"/>
        </w:rPr>
        <w:t>（下同）</w:t>
      </w:r>
      <w:r w:rsidRPr="00142003">
        <w:rPr>
          <w:rFonts w:hAnsi="Times New Roman" w:hint="eastAsia"/>
          <w:bCs w:val="0"/>
          <w:color w:val="000000" w:themeColor="text1"/>
          <w:szCs w:val="20"/>
        </w:rPr>
        <w:t>63億元</w:t>
      </w:r>
      <w:r w:rsidRPr="00142003">
        <w:rPr>
          <w:rFonts w:hint="eastAsia"/>
          <w:color w:val="000000" w:themeColor="text1"/>
        </w:rPr>
        <w:t>;縱使先徵收取得成興大、小池（面積分別約25公頃及11.5公頃）方式，初步以公告現值加4成計算（尚未以市價取得方式計算），亦約需6億至7億元，</w:t>
      </w:r>
      <w:r w:rsidRPr="00142003">
        <w:rPr>
          <w:rFonts w:hAnsi="Times New Roman" w:hint="eastAsia"/>
          <w:bCs w:val="0"/>
          <w:color w:val="000000" w:themeColor="text1"/>
          <w:szCs w:val="20"/>
        </w:rPr>
        <w:t>主管機關營建署說明</w:t>
      </w:r>
      <w:r w:rsidRPr="00142003">
        <w:rPr>
          <w:rFonts w:hint="eastAsia"/>
          <w:color w:val="000000" w:themeColor="text1"/>
        </w:rPr>
        <w:t>102年濕地保育法通過時全國尚有1億2千餘萬元預算，</w:t>
      </w:r>
      <w:r w:rsidRPr="00142003">
        <w:rPr>
          <w:rFonts w:hAnsi="Times New Roman" w:hint="eastAsia"/>
          <w:bCs w:val="0"/>
          <w:color w:val="000000" w:themeColor="text1"/>
          <w:szCs w:val="20"/>
        </w:rPr>
        <w:t>目前僅有8千餘萬元，因此分配至全國的濕地保育經費實</w:t>
      </w:r>
      <w:r w:rsidRPr="00142003">
        <w:rPr>
          <w:rFonts w:hAnsi="Times New Roman" w:hint="eastAsia"/>
          <w:bCs w:val="0"/>
          <w:color w:val="000000" w:themeColor="text1"/>
          <w:szCs w:val="20"/>
        </w:rPr>
        <w:lastRenderedPageBreak/>
        <w:t>屬有限</w:t>
      </w:r>
      <w:r w:rsidRPr="00142003">
        <w:rPr>
          <w:rFonts w:hint="eastAsia"/>
          <w:color w:val="000000" w:themeColor="text1"/>
        </w:rPr>
        <w:t>，況如前述單一本案濕地預估費用即高達數</w:t>
      </w:r>
      <w:r w:rsidR="004F470C" w:rsidRPr="00142003">
        <w:rPr>
          <w:rFonts w:hint="eastAsia"/>
          <w:color w:val="000000" w:themeColor="text1"/>
        </w:rPr>
        <w:t>十</w:t>
      </w:r>
      <w:r w:rsidRPr="00142003">
        <w:rPr>
          <w:rFonts w:hint="eastAsia"/>
          <w:color w:val="000000" w:themeColor="text1"/>
        </w:rPr>
        <w:t>億元，其他公告濕地若要求比照辦理，恐造成主管機關預算上難以承受之鉅額負擔，政策上亦難以執行。</w:t>
      </w:r>
    </w:p>
    <w:p w:rsidR="00B975C4" w:rsidRPr="00142003" w:rsidRDefault="005C7523" w:rsidP="005C7523">
      <w:pPr>
        <w:pStyle w:val="3"/>
        <w:rPr>
          <w:color w:val="000000" w:themeColor="text1"/>
        </w:rPr>
      </w:pPr>
      <w:r w:rsidRPr="00142003">
        <w:rPr>
          <w:rFonts w:hint="eastAsia"/>
          <w:color w:val="000000" w:themeColor="text1"/>
        </w:rPr>
        <w:t>目前本案</w:t>
      </w:r>
      <w:r w:rsidR="00B975C4" w:rsidRPr="00142003">
        <w:rPr>
          <w:rFonts w:hAnsi="標楷體" w:hint="eastAsia"/>
          <w:color w:val="000000" w:themeColor="text1"/>
        </w:rPr>
        <w:t>「</w:t>
      </w:r>
      <w:r w:rsidRPr="00142003">
        <w:rPr>
          <w:rFonts w:hint="eastAsia"/>
          <w:color w:val="000000" w:themeColor="text1"/>
        </w:rPr>
        <w:t>濕地保育利用計畫</w:t>
      </w:r>
      <w:r w:rsidR="00B975C4" w:rsidRPr="00142003">
        <w:rPr>
          <w:rFonts w:hAnsi="標楷體" w:hint="eastAsia"/>
          <w:color w:val="000000" w:themeColor="text1"/>
        </w:rPr>
        <w:t>」</w:t>
      </w:r>
      <w:r w:rsidRPr="00142003">
        <w:rPr>
          <w:rFonts w:hint="eastAsia"/>
          <w:color w:val="000000" w:themeColor="text1"/>
        </w:rPr>
        <w:t>協商取得共識過程中，最大困難點主要係</w:t>
      </w:r>
      <w:r w:rsidR="00B975C4" w:rsidRPr="00142003">
        <w:rPr>
          <w:rFonts w:hint="eastAsia"/>
          <w:color w:val="000000" w:themeColor="text1"/>
        </w:rPr>
        <w:t>該區九成皆為私有地，</w:t>
      </w:r>
      <w:r w:rsidRPr="00142003">
        <w:rPr>
          <w:rFonts w:hint="eastAsia"/>
          <w:color w:val="000000" w:themeColor="text1"/>
        </w:rPr>
        <w:t>地主與地主間</w:t>
      </w:r>
      <w:r w:rsidR="00B975C4" w:rsidRPr="00142003">
        <w:rPr>
          <w:rFonts w:hint="eastAsia"/>
          <w:color w:val="000000" w:themeColor="text1"/>
        </w:rPr>
        <w:t>，以</w:t>
      </w:r>
      <w:r w:rsidRPr="00142003">
        <w:rPr>
          <w:rFonts w:hint="eastAsia"/>
          <w:color w:val="000000" w:themeColor="text1"/>
        </w:rPr>
        <w:t>及NGO團體與地主間之</w:t>
      </w:r>
      <w:r w:rsidR="00B975C4" w:rsidRPr="00142003">
        <w:rPr>
          <w:rFonts w:hint="eastAsia"/>
          <w:color w:val="000000" w:themeColor="text1"/>
        </w:rPr>
        <w:t>不同意見難以整合。</w:t>
      </w:r>
      <w:r w:rsidRPr="00142003">
        <w:rPr>
          <w:rFonts w:hint="eastAsia"/>
          <w:color w:val="000000" w:themeColor="text1"/>
        </w:rPr>
        <w:t>私有土地</w:t>
      </w:r>
      <w:r w:rsidR="00B975C4" w:rsidRPr="00142003">
        <w:rPr>
          <w:rFonts w:hint="eastAsia"/>
          <w:color w:val="000000" w:themeColor="text1"/>
        </w:rPr>
        <w:t>部分</w:t>
      </w:r>
      <w:r w:rsidRPr="00142003">
        <w:rPr>
          <w:rFonts w:hint="eastAsia"/>
          <w:color w:val="000000" w:themeColor="text1"/>
        </w:rPr>
        <w:t>地主希望保育利用計畫儘速通過後可明智利用，</w:t>
      </w:r>
      <w:r w:rsidR="00B975C4" w:rsidRPr="00142003">
        <w:rPr>
          <w:rFonts w:hint="eastAsia"/>
          <w:color w:val="000000" w:themeColor="text1"/>
        </w:rPr>
        <w:t>但</w:t>
      </w:r>
      <w:r w:rsidR="00CB2716" w:rsidRPr="00142003">
        <w:rPr>
          <w:rFonts w:hint="eastAsia"/>
          <w:color w:val="000000" w:themeColor="text1"/>
        </w:rPr>
        <w:t>亦有</w:t>
      </w:r>
      <w:r w:rsidR="00B975C4" w:rsidRPr="00142003">
        <w:rPr>
          <w:rFonts w:hint="eastAsia"/>
          <w:color w:val="000000" w:themeColor="text1"/>
        </w:rPr>
        <w:t>部分地主公開</w:t>
      </w:r>
      <w:r w:rsidR="0019096D" w:rsidRPr="00142003">
        <w:rPr>
          <w:rFonts w:hint="eastAsia"/>
          <w:color w:val="000000" w:themeColor="text1"/>
        </w:rPr>
        <w:t>表示</w:t>
      </w:r>
      <w:r w:rsidRPr="00142003">
        <w:rPr>
          <w:rFonts w:hint="eastAsia"/>
          <w:color w:val="000000" w:themeColor="text1"/>
        </w:rPr>
        <w:t>希望能將濕地解編。</w:t>
      </w:r>
    </w:p>
    <w:p w:rsidR="005C7523" w:rsidRPr="00142003" w:rsidRDefault="005C7523" w:rsidP="00AD2711">
      <w:pPr>
        <w:pStyle w:val="31"/>
        <w:ind w:left="1361" w:firstLineChars="0" w:firstLine="0"/>
        <w:rPr>
          <w:color w:val="000000" w:themeColor="text1"/>
        </w:rPr>
      </w:pPr>
      <w:r w:rsidRPr="00142003">
        <w:rPr>
          <w:rFonts w:hint="eastAsia"/>
          <w:color w:val="000000" w:themeColor="text1"/>
        </w:rPr>
        <w:t>本案於諮詢學者時表示，因</w:t>
      </w:r>
      <w:r w:rsidR="00B975C4" w:rsidRPr="00142003">
        <w:rPr>
          <w:rFonts w:hAnsi="標楷體" w:hint="eastAsia"/>
          <w:color w:val="000000" w:themeColor="text1"/>
        </w:rPr>
        <w:t>「</w:t>
      </w:r>
      <w:r w:rsidRPr="00142003">
        <w:rPr>
          <w:rFonts w:hint="eastAsia"/>
          <w:color w:val="000000" w:themeColor="text1"/>
        </w:rPr>
        <w:t>拉姆薩公約</w:t>
      </w:r>
      <w:r w:rsidR="00B975C4" w:rsidRPr="00142003">
        <w:rPr>
          <w:rFonts w:hAnsi="標楷體" w:hint="eastAsia"/>
          <w:color w:val="000000" w:themeColor="text1"/>
        </w:rPr>
        <w:t>」</w:t>
      </w:r>
      <w:r w:rsidRPr="00142003">
        <w:rPr>
          <w:rFonts w:hint="eastAsia"/>
          <w:color w:val="000000" w:themeColor="text1"/>
        </w:rPr>
        <w:t>是以明智利用為</w:t>
      </w:r>
      <w:r w:rsidR="00DD5209" w:rsidRPr="00142003">
        <w:rPr>
          <w:rFonts w:hint="eastAsia"/>
          <w:color w:val="000000" w:themeColor="text1"/>
        </w:rPr>
        <w:t>核心</w:t>
      </w:r>
      <w:r w:rsidRPr="00142003">
        <w:rPr>
          <w:rFonts w:hint="eastAsia"/>
          <w:color w:val="000000" w:themeColor="text1"/>
        </w:rPr>
        <w:t>，</w:t>
      </w:r>
      <w:r w:rsidR="00DD5209" w:rsidRPr="00142003">
        <w:rPr>
          <w:rFonts w:hint="eastAsia"/>
          <w:color w:val="000000" w:themeColor="text1"/>
        </w:rPr>
        <w:t>以</w:t>
      </w:r>
      <w:r w:rsidRPr="00142003">
        <w:rPr>
          <w:rFonts w:hint="eastAsia"/>
          <w:color w:val="000000" w:themeColor="text1"/>
        </w:rPr>
        <w:t>從來既有使用</w:t>
      </w:r>
      <w:r w:rsidR="00DD5209" w:rsidRPr="00142003">
        <w:rPr>
          <w:rFonts w:hint="eastAsia"/>
          <w:color w:val="000000" w:themeColor="text1"/>
        </w:rPr>
        <w:t>為目的</w:t>
      </w:r>
      <w:r w:rsidRPr="00142003">
        <w:rPr>
          <w:rFonts w:hint="eastAsia"/>
          <w:color w:val="000000" w:themeColor="text1"/>
        </w:rPr>
        <w:t>，</w:t>
      </w:r>
      <w:r w:rsidR="002137A6" w:rsidRPr="00142003">
        <w:rPr>
          <w:rFonts w:hint="eastAsia"/>
          <w:color w:val="000000" w:themeColor="text1"/>
        </w:rPr>
        <w:t>進行</w:t>
      </w:r>
      <w:r w:rsidRPr="00142003">
        <w:rPr>
          <w:rFonts w:hint="eastAsia"/>
          <w:color w:val="000000" w:themeColor="text1"/>
        </w:rPr>
        <w:t>友善的養殖或農耕使用，</w:t>
      </w:r>
      <w:r w:rsidR="0009036B" w:rsidRPr="00142003">
        <w:rPr>
          <w:rFonts w:hint="eastAsia"/>
          <w:color w:val="000000" w:themeColor="text1"/>
        </w:rPr>
        <w:t>但只要</w:t>
      </w:r>
      <w:r w:rsidRPr="00142003">
        <w:rPr>
          <w:rFonts w:hint="eastAsia"/>
          <w:color w:val="000000" w:themeColor="text1"/>
        </w:rPr>
        <w:t>五十二甲濕地的保育利用計畫仍為草案</w:t>
      </w:r>
      <w:r w:rsidR="009469D6" w:rsidRPr="00142003">
        <w:rPr>
          <w:rFonts w:hint="eastAsia"/>
          <w:color w:val="000000" w:themeColor="text1"/>
        </w:rPr>
        <w:t>、</w:t>
      </w:r>
      <w:r w:rsidRPr="00142003">
        <w:rPr>
          <w:rFonts w:hint="eastAsia"/>
          <w:color w:val="000000" w:themeColor="text1"/>
        </w:rPr>
        <w:t>尚未通過，</w:t>
      </w:r>
      <w:r w:rsidR="003E5D2F" w:rsidRPr="00142003">
        <w:rPr>
          <w:rFonts w:hint="eastAsia"/>
          <w:color w:val="000000" w:themeColor="text1"/>
        </w:rPr>
        <w:t>政府</w:t>
      </w:r>
      <w:r w:rsidRPr="00142003">
        <w:rPr>
          <w:rFonts w:hint="eastAsia"/>
          <w:color w:val="000000" w:themeColor="text1"/>
        </w:rPr>
        <w:t>就沒有管理的依據</w:t>
      </w:r>
      <w:r w:rsidR="0009036B" w:rsidRPr="00142003">
        <w:rPr>
          <w:rFonts w:hint="eastAsia"/>
          <w:color w:val="000000" w:themeColor="text1"/>
        </w:rPr>
        <w:t>。</w:t>
      </w:r>
    </w:p>
    <w:p w:rsidR="00A635EB" w:rsidRPr="00142003" w:rsidRDefault="00A635EB" w:rsidP="005C7523">
      <w:pPr>
        <w:pStyle w:val="3"/>
        <w:rPr>
          <w:color w:val="000000" w:themeColor="text1"/>
        </w:rPr>
      </w:pPr>
      <w:r w:rsidRPr="00142003">
        <w:rPr>
          <w:rFonts w:hint="eastAsia"/>
          <w:color w:val="000000" w:themeColor="text1"/>
        </w:rPr>
        <w:t>約詢各官員時，本院嘗試</w:t>
      </w:r>
      <w:r w:rsidR="005C7523" w:rsidRPr="00142003">
        <w:rPr>
          <w:rFonts w:hint="eastAsia"/>
          <w:color w:val="000000" w:themeColor="text1"/>
        </w:rPr>
        <w:t>瞭解各部會及機關資源，希冀未來內政部主動整合資源，將各種有利資源融入獎勵、補助方式，融入本案保育利用計畫（草案）內容中，或可減少私有地主疑慮及紛爭，且未來草案正式通過後，亦有助於地方主管機關進行各種實質獎勵、補助執行依據，甚至對於違法行為之裁處亦能有區域計畫法或非都市土地使用管制外之選擇。</w:t>
      </w:r>
    </w:p>
    <w:p w:rsidR="005C7523" w:rsidRPr="00142003" w:rsidRDefault="005C7523" w:rsidP="00A635EB">
      <w:pPr>
        <w:pStyle w:val="3"/>
        <w:numPr>
          <w:ilvl w:val="0"/>
          <w:numId w:val="0"/>
        </w:numPr>
        <w:ind w:left="1361"/>
        <w:rPr>
          <w:color w:val="000000" w:themeColor="text1"/>
        </w:rPr>
      </w:pPr>
      <w:r w:rsidRPr="00142003">
        <w:rPr>
          <w:rFonts w:hint="eastAsia"/>
          <w:color w:val="000000" w:themeColor="text1"/>
        </w:rPr>
        <w:t>經詢據相關部會後，除內政部已有之例行性委辦、獎補助事項外，農委會暨林務局、水土保持局均有相關計畫可對濕地（農地）補助，例如：「實施重要濕地保育至權益受損補償辦法」、「有機農業促進法及有機農業獎勵及補貼辦法」、「對綠色環境給付計畫」、「瀕危物種及重要棲地生太服務給付推動方案」、「農村再生第三期實施計畫」、「宜蘭縣政府輔</w:t>
      </w:r>
      <w:r w:rsidRPr="00142003">
        <w:rPr>
          <w:rFonts w:hint="eastAsia"/>
          <w:color w:val="000000" w:themeColor="text1"/>
        </w:rPr>
        <w:lastRenderedPageBreak/>
        <w:t>導農業發展補助作業要點」等，前述各種獎補助辦法或計畫，若能檢討納入保育利用計畫（草案）內容，除可減少本案濕地範圍內私有地主權益之損失外，也可化解抗爭之疑慮。</w:t>
      </w:r>
    </w:p>
    <w:p w:rsidR="00A8615C" w:rsidRPr="00142003" w:rsidRDefault="005C7523" w:rsidP="005C7523">
      <w:pPr>
        <w:pStyle w:val="3"/>
        <w:rPr>
          <w:color w:val="000000" w:themeColor="text1"/>
        </w:rPr>
      </w:pPr>
      <w:r w:rsidRPr="00142003">
        <w:rPr>
          <w:rFonts w:hint="eastAsia"/>
          <w:color w:val="000000" w:themeColor="text1"/>
        </w:rPr>
        <w:t>綜上，</w:t>
      </w:r>
      <w:r w:rsidR="0009036B" w:rsidRPr="00142003">
        <w:rPr>
          <w:rFonts w:hAnsi="標楷體" w:hint="eastAsia"/>
          <w:color w:val="000000" w:themeColor="text1"/>
        </w:rPr>
        <w:t>本案濕地於100年間公告為國家級重要濕地，並於104年範圍公告確認，濕地保育法自104年正式施行後，本應於一定期限完成濕地保育利用計畫，然因九成皆為私有地，土地所有權人、營建署及NGO團體遲遲未能達成共識，迄今仍未完成該區域「濕地保育利用計畫」核定及公告，主管機關應加強溝通協調，依法儘速完成保育利用計畫核定程序，並盤點相關部會補助（貼）資源後納入該草案修正參考，俾利本案土地使用管制執行有明確依據，並能保障人民財產應有權益</w:t>
      </w:r>
      <w:r w:rsidRPr="00142003">
        <w:rPr>
          <w:rFonts w:hint="eastAsia"/>
          <w:color w:val="000000" w:themeColor="text1"/>
        </w:rPr>
        <w:t>。</w:t>
      </w:r>
    </w:p>
    <w:p w:rsidR="00A8615C" w:rsidRPr="00142003" w:rsidRDefault="005C7523" w:rsidP="005C7523">
      <w:pPr>
        <w:pStyle w:val="2"/>
        <w:rPr>
          <w:color w:val="000000" w:themeColor="text1"/>
        </w:rPr>
      </w:pPr>
      <w:r w:rsidRPr="00142003">
        <w:rPr>
          <w:rFonts w:hAnsi="標楷體" w:hint="eastAsia"/>
          <w:b/>
          <w:color w:val="000000" w:themeColor="text1"/>
        </w:rPr>
        <w:t>針對民眾質疑主管機關稽查「五十二甲休閒生態農場」違法開發過程涉有疑義部分，內政部及宜蘭縣政府</w:t>
      </w:r>
      <w:r w:rsidR="0009036B" w:rsidRPr="00142003">
        <w:rPr>
          <w:rFonts w:hAnsi="標楷體" w:hint="eastAsia"/>
          <w:b/>
          <w:color w:val="000000" w:themeColor="text1"/>
        </w:rPr>
        <w:t>於「依法行政」</w:t>
      </w:r>
      <w:r w:rsidRPr="00142003">
        <w:rPr>
          <w:rFonts w:hAnsi="標楷體" w:hint="eastAsia"/>
          <w:b/>
          <w:color w:val="000000" w:themeColor="text1"/>
        </w:rPr>
        <w:t>及處理程序尚難稱有疏失之處，為維護</w:t>
      </w:r>
      <w:r w:rsidR="000B52D3" w:rsidRPr="00142003">
        <w:rPr>
          <w:rFonts w:hAnsi="標楷體" w:hint="eastAsia"/>
          <w:b/>
          <w:color w:val="000000" w:themeColor="text1"/>
        </w:rPr>
        <w:t>本案</w:t>
      </w:r>
      <w:r w:rsidRPr="00142003">
        <w:rPr>
          <w:rFonts w:hAnsi="標楷體" w:hint="eastAsia"/>
          <w:b/>
          <w:color w:val="000000" w:themeColor="text1"/>
        </w:rPr>
        <w:t>濕地</w:t>
      </w:r>
      <w:r w:rsidR="0009036B" w:rsidRPr="00142003">
        <w:rPr>
          <w:rFonts w:hAnsi="標楷體" w:hint="eastAsia"/>
          <w:b/>
          <w:color w:val="000000" w:themeColor="text1"/>
        </w:rPr>
        <w:t>未來</w:t>
      </w:r>
      <w:r w:rsidRPr="00142003">
        <w:rPr>
          <w:rFonts w:hAnsi="標楷體" w:hint="eastAsia"/>
          <w:b/>
          <w:color w:val="000000" w:themeColor="text1"/>
        </w:rPr>
        <w:t>之永續利用，宜蘭縣政府當加強宣導及違規查處。</w:t>
      </w:r>
    </w:p>
    <w:p w:rsidR="00386C17" w:rsidRPr="00142003" w:rsidRDefault="005C7523" w:rsidP="00213D91">
      <w:pPr>
        <w:pStyle w:val="3"/>
        <w:rPr>
          <w:color w:val="000000" w:themeColor="text1"/>
        </w:rPr>
      </w:pPr>
      <w:r w:rsidRPr="00142003">
        <w:rPr>
          <w:rFonts w:hint="eastAsia"/>
          <w:color w:val="000000" w:themeColor="text1"/>
        </w:rPr>
        <w:t>按濕地保育法第15條規定：「重要濕地保育利用計畫，應載明下列事項：……七、濕地系統功能分區及其保育、復育、限制或禁止行為、維護管理之規定或措施。八、允許明智利用項目及管理規定。……」</w:t>
      </w:r>
      <w:r w:rsidR="00CC0F50" w:rsidRPr="00142003">
        <w:rPr>
          <w:rFonts w:hint="eastAsia"/>
          <w:color w:val="000000" w:themeColor="text1"/>
        </w:rPr>
        <w:t>、</w:t>
      </w:r>
      <w:r w:rsidRPr="00142003">
        <w:rPr>
          <w:rFonts w:hint="eastAsia"/>
          <w:color w:val="000000" w:themeColor="text1"/>
        </w:rPr>
        <w:t>第16條規定：「……功能分區，得視情況分類規劃如下，並依前條第1項第7款及第8款規定實施分區管制：一、核心保育區：為保護濕地重要生態，以容許生態保護及研究使用為限。二、生態復育區：為復育遭受破壞區域，以容許生態復育及研究使用為限。三、環境教育區：為推動濕地環境教育，供環境展示解說使用及設置必要設施。四、</w:t>
      </w:r>
      <w:r w:rsidRPr="00142003">
        <w:rPr>
          <w:rFonts w:hint="eastAsia"/>
          <w:color w:val="000000" w:themeColor="text1"/>
        </w:rPr>
        <w:lastRenderedPageBreak/>
        <w:t>管理服務區：供濕地管理相關使用及設置必要設施。五、其他分區：其他供符合明智利用原則之使用。國際級、國家級重要濕地，除前項第三款至第五款之情形外，不得開發或建築。……」</w:t>
      </w:r>
      <w:r w:rsidR="00CC0F50" w:rsidRPr="00142003">
        <w:rPr>
          <w:rFonts w:hint="eastAsia"/>
          <w:color w:val="000000" w:themeColor="text1"/>
        </w:rPr>
        <w:t>、</w:t>
      </w:r>
      <w:r w:rsidRPr="00142003">
        <w:rPr>
          <w:rFonts w:hint="eastAsia"/>
          <w:color w:val="000000" w:themeColor="text1"/>
        </w:rPr>
        <w:t>第25條規定：「非經主管機關許可，重要濕地範圍內禁止從事下列行為。但其他法律另有規定者，從其規定：一、……改變原有水資源系統。二、挖掘、取土、埋填、堆置或變更濕地地形地貌。三、破壞生物洄游通道及野生動植物繁殖區或棲息環境。四、於重要濕地或其上游、周邊水域投放化學物品，排放或傾倒污（廢）水、廢棄物或其他足以降低濕地生態功能之污染物。……」</w:t>
      </w:r>
      <w:r w:rsidR="00CC0F50" w:rsidRPr="00142003">
        <w:rPr>
          <w:rFonts w:hint="eastAsia"/>
          <w:color w:val="000000" w:themeColor="text1"/>
        </w:rPr>
        <w:t>、</w:t>
      </w:r>
      <w:r w:rsidRPr="00142003">
        <w:rPr>
          <w:rFonts w:hint="eastAsia"/>
          <w:color w:val="000000" w:themeColor="text1"/>
        </w:rPr>
        <w:t>第35條規定：「有下列情形之一者，處新臺幣30萬元以上150萬元以下罰鍰，並命其停止使用行為、限期改正或恢復原狀；屆期未停止使用行為、改正或恢復原狀者，按次處罰：一、違反第15條第1項第8款重要濕地保育利用計畫所定允許明智利用項目或管理規定。二、違反第16條第2項規定。三、違反第25條第1款至第4款規定之一。」區域計畫法第15條規定：「……非都市土地，應由有關直轄市或縣(市)政府，按照非都市土地分區使用計畫，製定非都市土地使用分區圖，並編定各種使用地，報經上級主管機關核備後，實施管制。……」同法第21條規定：「違反第15條第1項之管制使用土地者，由該管直轄市、縣(市)政府處新臺幣6萬元以上30萬元以下罰鍰，並得限期令其變更使用、停止使用或拆除其地上物恢復原狀。前項情形經限期變更使用、停止使用或拆除地上物恢復原狀而不遵從者，得按次處罰，並停止供水、供電、封閉、強制拆除或採取其他恢復原狀之措施，其費用由土地或地上物所有人、使用人或管理人負擔。</w:t>
      </w:r>
      <w:r w:rsidRPr="00142003">
        <w:rPr>
          <w:rFonts w:hint="eastAsia"/>
          <w:color w:val="000000" w:themeColor="text1"/>
        </w:rPr>
        <w:lastRenderedPageBreak/>
        <w:t>前二項罰鍰，經限期繳納逾期不繳納者，移送法院強制執行。」</w:t>
      </w:r>
    </w:p>
    <w:p w:rsidR="005C7523" w:rsidRPr="00142003" w:rsidRDefault="005C7523" w:rsidP="00386C17">
      <w:pPr>
        <w:pStyle w:val="3"/>
        <w:numPr>
          <w:ilvl w:val="0"/>
          <w:numId w:val="0"/>
        </w:numPr>
        <w:ind w:left="1361"/>
        <w:rPr>
          <w:color w:val="000000" w:themeColor="text1"/>
        </w:rPr>
      </w:pPr>
      <w:r w:rsidRPr="00142003">
        <w:rPr>
          <w:rFonts w:hint="eastAsia"/>
          <w:color w:val="000000" w:themeColor="text1"/>
        </w:rPr>
        <w:t>爰此，因本案土地使用分區多屬一般農業區之農牧用地為主，屬非都市土地，復又因公告為國家級濕地範圍，故土地使用同時受區域計畫法及濕地保育法之管制，主管機關當得依個案違規事實，擇定適用之法律作為裁處依據。</w:t>
      </w:r>
    </w:p>
    <w:p w:rsidR="00386C17" w:rsidRPr="00142003" w:rsidRDefault="005C7523" w:rsidP="005C7523">
      <w:pPr>
        <w:pStyle w:val="3"/>
        <w:rPr>
          <w:color w:val="000000" w:themeColor="text1"/>
        </w:rPr>
      </w:pPr>
      <w:r w:rsidRPr="00142003">
        <w:rPr>
          <w:rFonts w:hint="eastAsia"/>
          <w:color w:val="000000" w:themeColor="text1"/>
        </w:rPr>
        <w:t>經查本案濕地範圍內「五十二甲休閒生態農場」因涉違法開發遭質疑僅依罰則較輕區域計畫法處置疑義部分，經查遭檢舉違規開發土地為宜蘭縣五結鄉利福段965-36地號等土地，屬非都市土地一般農業區之農牧用地等，土地容許使用項目應符合區域計畫法及非都市土地使用管制等相關之規定，而該農場係於109年7月2日及8月21日提出「五十二甲休閒生態農場」籌設申請及書件補正，同年9月18日宜蘭縣政府旋即邀集各單位辦理現地會勘，依現勘紀錄當時現況使用計有填土、增建構造物（水泥造及鐵皮造）、圍牆、水池、鋪設碎石鋪面、放置貨櫃、庭園造景等情形（因該農場於109年6月即有檢舉陳情，該府於109年7月會勘認定前述使用現況未經合法申請後，以違反區域計畫法等相關法規於109年9月30日處以30</w:t>
      </w:r>
      <w:r w:rsidR="00386C17" w:rsidRPr="00142003">
        <w:rPr>
          <w:rFonts w:hint="eastAsia"/>
          <w:color w:val="000000" w:themeColor="text1"/>
        </w:rPr>
        <w:t>萬元之行政罰鍰並限期改正）。</w:t>
      </w:r>
    </w:p>
    <w:p w:rsidR="00386C17" w:rsidRPr="00142003" w:rsidRDefault="005C7523" w:rsidP="00386C17">
      <w:pPr>
        <w:pStyle w:val="3"/>
        <w:numPr>
          <w:ilvl w:val="0"/>
          <w:numId w:val="0"/>
        </w:numPr>
        <w:ind w:left="1361"/>
        <w:rPr>
          <w:color w:val="000000" w:themeColor="text1"/>
        </w:rPr>
      </w:pPr>
      <w:r w:rsidRPr="00142003">
        <w:rPr>
          <w:rFonts w:hint="eastAsia"/>
          <w:color w:val="000000" w:themeColor="text1"/>
        </w:rPr>
        <w:t>另外，因該農場涉及濕地開發使用，該府於109年11月3日協請主管機關內政部營建署辦理審查，故內政部營建署於109年12月25日召開重要濕地審議小組審查「五十二甲休閒生態農場案」第1次專案小組會議，據該會議決議內容，係請宜蘭縣政府依休閒農業輔導管理辦法先行審閱本案休閒農場經營計畫，並輔導申請人依該次會議委員意見補充修正徵</w:t>
      </w:r>
      <w:r w:rsidR="00386C17" w:rsidRPr="00142003">
        <w:rPr>
          <w:rFonts w:hint="eastAsia"/>
          <w:color w:val="000000" w:themeColor="text1"/>
        </w:rPr>
        <w:t>詢資料及製作回應意見對照表後，再續提營建署召</w:t>
      </w:r>
      <w:r w:rsidR="00386C17" w:rsidRPr="00142003">
        <w:rPr>
          <w:rFonts w:hint="eastAsia"/>
          <w:color w:val="000000" w:themeColor="text1"/>
        </w:rPr>
        <w:lastRenderedPageBreak/>
        <w:t>開專案小組會議審議。</w:t>
      </w:r>
    </w:p>
    <w:p w:rsidR="005C7523" w:rsidRPr="00142003" w:rsidRDefault="005C7523" w:rsidP="00386C17">
      <w:pPr>
        <w:pStyle w:val="3"/>
        <w:numPr>
          <w:ilvl w:val="0"/>
          <w:numId w:val="0"/>
        </w:numPr>
        <w:ind w:left="1361"/>
        <w:rPr>
          <w:color w:val="000000" w:themeColor="text1"/>
        </w:rPr>
      </w:pPr>
      <w:r w:rsidRPr="00142003">
        <w:rPr>
          <w:rFonts w:hint="eastAsia"/>
          <w:color w:val="000000" w:themeColor="text1"/>
        </w:rPr>
        <w:t>然因本案農場遭多次檢舉，環保署北區督察大隊會同宜蘭縣政府環境保護局稽查人員於110年2月18日前往該農場稽查，稽查當時並未有營運情事，業者亦表示自109年10月13日起即停止試營運，現場未發現污染環境情事，所飼養動物規模亦未達水污染事業定義。而為求慎重宜蘭縣政府環境保護局再於110年4月27日派員前往追蹤稽查，確認該農場未營業，周邊環境亦無發現有廢水、惡臭或妨礙環境衛生之情形。</w:t>
      </w:r>
    </w:p>
    <w:p w:rsidR="00386C17" w:rsidRPr="00142003" w:rsidRDefault="005C7523" w:rsidP="005C7523">
      <w:pPr>
        <w:pStyle w:val="3"/>
        <w:rPr>
          <w:color w:val="000000" w:themeColor="text1"/>
        </w:rPr>
      </w:pPr>
      <w:r w:rsidRPr="00142003">
        <w:rPr>
          <w:rFonts w:hint="eastAsia"/>
          <w:color w:val="000000" w:themeColor="text1"/>
        </w:rPr>
        <w:t>至於民眾所質疑宜蘭縣政府、營建署對主責管理業務互踢皮球及後續適用法規疑義一節，據內政部表示，本案濕地於107年6月29日即委辦宜蘭縣政府辦理濕地保育法第35條違規處分作業，因此關於本案民眾檢舉濕地違規使用等情，營建署受理民眾陳情檢舉後，旋即於109年7月至10月間函請該府妥處，該府除函復營建署說明已請行為人限期改正外，並於109年11月13日函復陳情人本案已依區域計畫法裁處。</w:t>
      </w:r>
    </w:p>
    <w:p w:rsidR="007F60F6" w:rsidRPr="00142003" w:rsidRDefault="005C7523" w:rsidP="00AD2711">
      <w:pPr>
        <w:pStyle w:val="31"/>
        <w:ind w:left="1361" w:firstLineChars="0" w:firstLine="0"/>
        <w:rPr>
          <w:color w:val="000000" w:themeColor="text1"/>
        </w:rPr>
      </w:pPr>
      <w:r w:rsidRPr="00142003">
        <w:rPr>
          <w:rFonts w:hint="eastAsia"/>
          <w:color w:val="000000" w:themeColor="text1"/>
        </w:rPr>
        <w:t>營建署並說明</w:t>
      </w:r>
      <w:r w:rsidR="00386C17" w:rsidRPr="00142003">
        <w:rPr>
          <w:rFonts w:hint="eastAsia"/>
          <w:color w:val="000000" w:themeColor="text1"/>
        </w:rPr>
        <w:t>由於五十二甲重要濕地保育利用計畫(草案)仍未公告實施，故無法以違反</w:t>
      </w:r>
      <w:r w:rsidR="007F60F6" w:rsidRPr="00142003">
        <w:rPr>
          <w:rFonts w:hint="eastAsia"/>
          <w:color w:val="000000" w:themeColor="text1"/>
        </w:rPr>
        <w:t>濕地保育法</w:t>
      </w:r>
      <w:r w:rsidRPr="00142003">
        <w:rPr>
          <w:rFonts w:hint="eastAsia"/>
          <w:color w:val="000000" w:themeColor="text1"/>
        </w:rPr>
        <w:t>第15條、第16</w:t>
      </w:r>
      <w:r w:rsidR="00CD3152" w:rsidRPr="00142003">
        <w:rPr>
          <w:rFonts w:hint="eastAsia"/>
          <w:color w:val="000000" w:themeColor="text1"/>
        </w:rPr>
        <w:t>條、</w:t>
      </w:r>
      <w:r w:rsidRPr="00142003">
        <w:rPr>
          <w:rFonts w:hint="eastAsia"/>
          <w:color w:val="000000" w:themeColor="text1"/>
        </w:rPr>
        <w:t>第25條</w:t>
      </w:r>
      <w:r w:rsidR="00CD3152" w:rsidRPr="00142003">
        <w:rPr>
          <w:rFonts w:hint="eastAsia"/>
          <w:color w:val="000000" w:themeColor="text1"/>
        </w:rPr>
        <w:t>及第35條</w:t>
      </w:r>
      <w:r w:rsidRPr="00142003">
        <w:rPr>
          <w:rFonts w:hint="eastAsia"/>
          <w:color w:val="000000" w:themeColor="text1"/>
        </w:rPr>
        <w:t>規定裁罰。</w:t>
      </w:r>
    </w:p>
    <w:p w:rsidR="005C7523" w:rsidRPr="00142003" w:rsidRDefault="005C7523" w:rsidP="00AD2711">
      <w:pPr>
        <w:pStyle w:val="31"/>
        <w:ind w:left="1361" w:firstLineChars="0" w:firstLine="0"/>
        <w:rPr>
          <w:color w:val="000000" w:themeColor="text1"/>
        </w:rPr>
      </w:pPr>
      <w:r w:rsidRPr="00142003">
        <w:rPr>
          <w:rFonts w:hint="eastAsia"/>
          <w:color w:val="000000" w:themeColor="text1"/>
        </w:rPr>
        <w:t>考量濕地保育法第25條「非經主管機關許可，重要濕地範圍內禁止從事下列行為。但其他法律另有規定者，從其規定……」即已明定得逕依濕地保育法或另依其他法律規定辦理。因此，宜蘭縣政府以農業發展條例及區域計畫法等法規裁處過程，尚無違失之處。</w:t>
      </w:r>
    </w:p>
    <w:p w:rsidR="00A8615C" w:rsidRPr="00142003" w:rsidRDefault="005C7523" w:rsidP="005C7523">
      <w:pPr>
        <w:pStyle w:val="3"/>
        <w:rPr>
          <w:color w:val="000000" w:themeColor="text1"/>
        </w:rPr>
      </w:pPr>
      <w:r w:rsidRPr="00142003">
        <w:rPr>
          <w:rFonts w:hint="eastAsia"/>
          <w:color w:val="000000" w:themeColor="text1"/>
        </w:rPr>
        <w:t>綜上所述，</w:t>
      </w:r>
      <w:r w:rsidR="000B52D3" w:rsidRPr="00142003">
        <w:rPr>
          <w:rFonts w:hAnsi="標楷體" w:hint="eastAsia"/>
          <w:color w:val="000000" w:themeColor="text1"/>
        </w:rPr>
        <w:t>針對民眾質疑主管機關稽查「五十二甲休閒生態農場」違法開發過程涉有疑義部分，</w:t>
      </w:r>
      <w:r w:rsidR="0009036B" w:rsidRPr="00142003">
        <w:rPr>
          <w:rFonts w:hAnsi="標楷體" w:hint="eastAsia"/>
          <w:color w:val="000000" w:themeColor="text1"/>
        </w:rPr>
        <w:t>內政</w:t>
      </w:r>
      <w:r w:rsidR="0009036B" w:rsidRPr="00142003">
        <w:rPr>
          <w:rFonts w:hAnsi="標楷體" w:hint="eastAsia"/>
          <w:color w:val="000000" w:themeColor="text1"/>
        </w:rPr>
        <w:lastRenderedPageBreak/>
        <w:t>部及宜蘭縣政府於「依法行政」及處理程序尚難稱有疏失之處，為維護本案濕地未來之永續利用，宜蘭縣政府當加強宣導及違規查處</w:t>
      </w:r>
      <w:r w:rsidRPr="00142003">
        <w:rPr>
          <w:rFonts w:hint="eastAsia"/>
          <w:color w:val="000000" w:themeColor="text1"/>
        </w:rPr>
        <w:t>。</w:t>
      </w:r>
    </w:p>
    <w:p w:rsidR="00E25849" w:rsidRPr="00142003" w:rsidRDefault="00E25849" w:rsidP="004E05A1">
      <w:pPr>
        <w:pStyle w:val="1"/>
        <w:ind w:left="2380" w:hanging="2380"/>
        <w:rPr>
          <w:color w:val="000000" w:themeColor="text1"/>
        </w:rPr>
      </w:pPr>
      <w:bookmarkStart w:id="55" w:name="_Toc524895648"/>
      <w:bookmarkStart w:id="56" w:name="_Toc524896194"/>
      <w:bookmarkStart w:id="57" w:name="_Toc524896224"/>
      <w:bookmarkStart w:id="58" w:name="_Toc524902734"/>
      <w:bookmarkStart w:id="59" w:name="_Toc525066148"/>
      <w:bookmarkStart w:id="60" w:name="_Toc525070839"/>
      <w:bookmarkStart w:id="61" w:name="_Toc525938379"/>
      <w:bookmarkStart w:id="62" w:name="_Toc525939227"/>
      <w:bookmarkStart w:id="63" w:name="_Toc525939732"/>
      <w:bookmarkStart w:id="64" w:name="_Toc529218272"/>
      <w:bookmarkEnd w:id="50"/>
      <w:bookmarkEnd w:id="51"/>
      <w:bookmarkEnd w:id="52"/>
      <w:bookmarkEnd w:id="53"/>
      <w:bookmarkEnd w:id="54"/>
      <w:r w:rsidRPr="00142003">
        <w:rPr>
          <w:color w:val="000000" w:themeColor="text1"/>
        </w:rPr>
        <w:br w:type="page"/>
      </w:r>
      <w:bookmarkStart w:id="65" w:name="_Toc529222689"/>
      <w:bookmarkStart w:id="66" w:name="_Toc529223111"/>
      <w:bookmarkStart w:id="67" w:name="_Toc529223862"/>
      <w:bookmarkStart w:id="68" w:name="_Toc529228265"/>
      <w:bookmarkStart w:id="69" w:name="_Toc2400395"/>
      <w:bookmarkStart w:id="70" w:name="_Toc4316189"/>
      <w:bookmarkStart w:id="71" w:name="_Toc4473330"/>
      <w:bookmarkStart w:id="72" w:name="_Toc69556897"/>
      <w:bookmarkStart w:id="73" w:name="_Toc69556946"/>
      <w:bookmarkStart w:id="74" w:name="_Toc69609820"/>
      <w:bookmarkStart w:id="75" w:name="_Toc70241816"/>
      <w:bookmarkStart w:id="76" w:name="_Toc70242205"/>
      <w:bookmarkStart w:id="77" w:name="_Toc421794875"/>
      <w:bookmarkStart w:id="78" w:name="_Toc422834160"/>
      <w:r w:rsidRPr="00142003">
        <w:rPr>
          <w:rFonts w:hint="eastAsia"/>
          <w:color w:val="000000" w:themeColor="text1"/>
        </w:rPr>
        <w:lastRenderedPageBreak/>
        <w:t>處理辦法：</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p>
    <w:p w:rsidR="001E3E99" w:rsidRPr="00142003" w:rsidRDefault="001E3E99" w:rsidP="001E3E99">
      <w:pPr>
        <w:pStyle w:val="2"/>
        <w:numPr>
          <w:ilvl w:val="1"/>
          <w:numId w:val="1"/>
        </w:numPr>
        <w:kinsoku w:val="0"/>
        <w:overflowPunct/>
        <w:autoSpaceDE/>
        <w:autoSpaceDN/>
        <w:ind w:left="1020" w:hanging="680"/>
        <w:rPr>
          <w:color w:val="000000" w:themeColor="text1"/>
        </w:rPr>
      </w:pPr>
      <w:bookmarkStart w:id="79" w:name="_Toc524895649"/>
      <w:bookmarkStart w:id="80" w:name="_Toc524896195"/>
      <w:bookmarkStart w:id="81" w:name="_Toc524896225"/>
      <w:bookmarkStart w:id="82" w:name="_Hlk73977894"/>
      <w:bookmarkStart w:id="83" w:name="_Toc70241820"/>
      <w:bookmarkStart w:id="84" w:name="_Toc70242209"/>
      <w:bookmarkStart w:id="85" w:name="_Toc421794876"/>
      <w:bookmarkStart w:id="86" w:name="_Toc421795442"/>
      <w:bookmarkStart w:id="87" w:name="_Toc421796023"/>
      <w:bookmarkStart w:id="88" w:name="_Toc422728958"/>
      <w:bookmarkStart w:id="89" w:name="_Toc422834161"/>
      <w:bookmarkStart w:id="90" w:name="_Toc2400396"/>
      <w:bookmarkStart w:id="91" w:name="_Toc4316190"/>
      <w:bookmarkStart w:id="92" w:name="_Toc4473331"/>
      <w:bookmarkStart w:id="93" w:name="_Toc69556898"/>
      <w:bookmarkStart w:id="94" w:name="_Toc69556947"/>
      <w:bookmarkStart w:id="95" w:name="_Toc69609821"/>
      <w:bookmarkStart w:id="96" w:name="_Toc70241817"/>
      <w:bookmarkStart w:id="97" w:name="_Toc70242206"/>
      <w:bookmarkStart w:id="98" w:name="_Toc524902735"/>
      <w:bookmarkStart w:id="99" w:name="_Toc525066149"/>
      <w:bookmarkStart w:id="100" w:name="_Toc525070840"/>
      <w:bookmarkStart w:id="101" w:name="_Toc525938380"/>
      <w:bookmarkStart w:id="102" w:name="_Toc525939228"/>
      <w:bookmarkStart w:id="103" w:name="_Toc525939733"/>
      <w:bookmarkStart w:id="104" w:name="_Toc529218273"/>
      <w:bookmarkStart w:id="105" w:name="_Toc529222690"/>
      <w:bookmarkStart w:id="106" w:name="_Toc529223112"/>
      <w:bookmarkStart w:id="107" w:name="_Toc529223863"/>
      <w:bookmarkStart w:id="108" w:name="_Toc529228266"/>
      <w:bookmarkEnd w:id="79"/>
      <w:bookmarkEnd w:id="80"/>
      <w:bookmarkEnd w:id="81"/>
      <w:r w:rsidRPr="00142003">
        <w:rPr>
          <w:rFonts w:hint="eastAsia"/>
          <w:color w:val="000000" w:themeColor="text1"/>
        </w:rPr>
        <w:t>調查意見一，函請內政部及宜蘭縣政府儘速</w:t>
      </w:r>
      <w:r w:rsidR="000B52D3" w:rsidRPr="00142003">
        <w:rPr>
          <w:rFonts w:hint="eastAsia"/>
          <w:color w:val="000000" w:themeColor="text1"/>
        </w:rPr>
        <w:t>溝通，</w:t>
      </w:r>
      <w:r w:rsidR="00EF5F58" w:rsidRPr="00142003">
        <w:rPr>
          <w:rFonts w:hint="eastAsia"/>
          <w:color w:val="000000" w:themeColor="text1"/>
        </w:rPr>
        <w:t>以依法核定並公告本案保育利用計畫後查復本院</w:t>
      </w:r>
      <w:bookmarkEnd w:id="82"/>
      <w:r w:rsidRPr="00142003">
        <w:rPr>
          <w:rFonts w:hint="eastAsia"/>
          <w:color w:val="000000" w:themeColor="text1"/>
        </w:rPr>
        <w:t>。</w:t>
      </w:r>
    </w:p>
    <w:p w:rsidR="001E3E99" w:rsidRPr="00142003" w:rsidRDefault="001E3E99" w:rsidP="001E3E99">
      <w:pPr>
        <w:pStyle w:val="2"/>
        <w:numPr>
          <w:ilvl w:val="1"/>
          <w:numId w:val="1"/>
        </w:numPr>
        <w:kinsoku w:val="0"/>
        <w:overflowPunct/>
        <w:autoSpaceDE/>
        <w:autoSpaceDN/>
        <w:ind w:left="1020" w:hanging="680"/>
        <w:rPr>
          <w:color w:val="000000" w:themeColor="text1"/>
        </w:rPr>
      </w:pPr>
      <w:r w:rsidRPr="00142003">
        <w:rPr>
          <w:rFonts w:hint="eastAsia"/>
          <w:color w:val="000000" w:themeColor="text1"/>
        </w:rPr>
        <w:t>調查意見二，函請內政部及宜蘭縣政府參酌。</w:t>
      </w:r>
    </w:p>
    <w:p w:rsidR="00770453" w:rsidRPr="00142003" w:rsidRDefault="001E3E99" w:rsidP="001E3E99">
      <w:pPr>
        <w:pStyle w:val="2"/>
        <w:spacing w:beforeLines="25" w:before="114"/>
        <w:ind w:left="1020" w:hanging="680"/>
        <w:rPr>
          <w:b/>
          <w:bCs w:val="0"/>
          <w:color w:val="000000" w:themeColor="text1"/>
          <w:spacing w:val="12"/>
          <w:kern w:val="0"/>
          <w:sz w:val="40"/>
        </w:rPr>
      </w:pPr>
      <w:r w:rsidRPr="00142003">
        <w:rPr>
          <w:rFonts w:hint="eastAsia"/>
          <w:color w:val="000000" w:themeColor="text1"/>
        </w:rPr>
        <w:t>檢附派查函及相關附件，送請內政及族群委員會處理。</w:t>
      </w:r>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p>
    <w:p w:rsidR="00E25849" w:rsidRPr="00142003" w:rsidRDefault="00E25849" w:rsidP="00770453">
      <w:pPr>
        <w:pStyle w:val="aa"/>
        <w:spacing w:beforeLines="50" w:before="228" w:afterLines="100" w:after="457"/>
        <w:ind w:leftChars="1100" w:left="3742"/>
        <w:rPr>
          <w:b w:val="0"/>
          <w:bCs/>
          <w:snapToGrid/>
          <w:color w:val="000000" w:themeColor="text1"/>
          <w:spacing w:val="12"/>
          <w:kern w:val="0"/>
          <w:sz w:val="40"/>
        </w:rPr>
      </w:pPr>
      <w:r w:rsidRPr="00142003">
        <w:rPr>
          <w:rFonts w:hint="eastAsia"/>
          <w:b w:val="0"/>
          <w:bCs/>
          <w:snapToGrid/>
          <w:color w:val="000000" w:themeColor="text1"/>
          <w:spacing w:val="12"/>
          <w:kern w:val="0"/>
          <w:sz w:val="40"/>
        </w:rPr>
        <w:t>調查委員：</w:t>
      </w:r>
      <w:r w:rsidR="00C86030" w:rsidRPr="00142003">
        <w:rPr>
          <w:rFonts w:hint="eastAsia"/>
          <w:b w:val="0"/>
          <w:bCs/>
          <w:snapToGrid/>
          <w:color w:val="000000" w:themeColor="text1"/>
          <w:spacing w:val="12"/>
          <w:kern w:val="0"/>
          <w:sz w:val="40"/>
        </w:rPr>
        <w:t>林盛豐</w:t>
      </w:r>
      <w:r w:rsidR="00C86030" w:rsidRPr="00142003">
        <w:rPr>
          <w:rFonts w:hAnsi="標楷體" w:hint="eastAsia"/>
          <w:b w:val="0"/>
          <w:bCs/>
          <w:snapToGrid/>
          <w:color w:val="000000" w:themeColor="text1"/>
          <w:spacing w:val="12"/>
          <w:kern w:val="0"/>
          <w:sz w:val="40"/>
        </w:rPr>
        <w:t>、</w:t>
      </w:r>
      <w:r w:rsidR="00C86030" w:rsidRPr="00142003">
        <w:rPr>
          <w:rFonts w:hint="eastAsia"/>
          <w:b w:val="0"/>
          <w:bCs/>
          <w:snapToGrid/>
          <w:color w:val="000000" w:themeColor="text1"/>
          <w:spacing w:val="12"/>
          <w:kern w:val="0"/>
          <w:sz w:val="40"/>
        </w:rPr>
        <w:t>田秋堇</w:t>
      </w:r>
    </w:p>
    <w:p w:rsidR="00770453" w:rsidRPr="00142003" w:rsidRDefault="00770453" w:rsidP="00770453">
      <w:pPr>
        <w:pStyle w:val="aa"/>
        <w:spacing w:before="0" w:after="0"/>
        <w:ind w:leftChars="1100" w:left="3742"/>
        <w:rPr>
          <w:rFonts w:ascii="Times New Roman"/>
          <w:b w:val="0"/>
          <w:bCs/>
          <w:snapToGrid/>
          <w:color w:val="000000" w:themeColor="text1"/>
          <w:spacing w:val="0"/>
          <w:kern w:val="0"/>
          <w:sz w:val="40"/>
        </w:rPr>
      </w:pPr>
    </w:p>
    <w:p w:rsidR="001E3E99" w:rsidRPr="00142003" w:rsidRDefault="001E3E99" w:rsidP="00770453">
      <w:pPr>
        <w:pStyle w:val="aa"/>
        <w:spacing w:before="0" w:after="0"/>
        <w:ind w:leftChars="1100" w:left="3742"/>
        <w:rPr>
          <w:rFonts w:ascii="Times New Roman"/>
          <w:b w:val="0"/>
          <w:bCs/>
          <w:snapToGrid/>
          <w:color w:val="000000" w:themeColor="text1"/>
          <w:spacing w:val="0"/>
          <w:kern w:val="0"/>
          <w:sz w:val="40"/>
        </w:rPr>
      </w:pPr>
    </w:p>
    <w:p w:rsidR="001E3E99" w:rsidRPr="00142003" w:rsidRDefault="001E3E99" w:rsidP="00770453">
      <w:pPr>
        <w:pStyle w:val="aa"/>
        <w:spacing w:before="0" w:after="0"/>
        <w:ind w:leftChars="1100" w:left="3742"/>
        <w:rPr>
          <w:rFonts w:ascii="Times New Roman"/>
          <w:b w:val="0"/>
          <w:bCs/>
          <w:snapToGrid/>
          <w:color w:val="000000" w:themeColor="text1"/>
          <w:spacing w:val="0"/>
          <w:kern w:val="0"/>
          <w:sz w:val="40"/>
        </w:rPr>
      </w:pPr>
    </w:p>
    <w:p w:rsidR="006E06FA" w:rsidRPr="00142003" w:rsidRDefault="006E06FA" w:rsidP="001E3E99">
      <w:pPr>
        <w:pStyle w:val="af0"/>
        <w:kinsoku/>
        <w:autoSpaceDE w:val="0"/>
        <w:spacing w:beforeLines="50" w:before="228"/>
        <w:ind w:left="1020" w:hanging="1020"/>
        <w:rPr>
          <w:bCs/>
          <w:color w:val="000000" w:themeColor="text1"/>
        </w:rPr>
      </w:pPr>
    </w:p>
    <w:p w:rsidR="001E3E99" w:rsidRPr="00142003" w:rsidRDefault="001E3E99" w:rsidP="001E3E99">
      <w:pPr>
        <w:pStyle w:val="af0"/>
        <w:kinsoku/>
        <w:autoSpaceDE w:val="0"/>
        <w:spacing w:beforeLines="50" w:before="228"/>
        <w:ind w:left="1020" w:hanging="1020"/>
        <w:rPr>
          <w:bCs/>
          <w:color w:val="000000" w:themeColor="text1"/>
        </w:rPr>
      </w:pPr>
      <w:r w:rsidRPr="00142003">
        <w:rPr>
          <w:rFonts w:hint="eastAsia"/>
          <w:bCs/>
          <w:color w:val="000000" w:themeColor="text1"/>
        </w:rPr>
        <w:t>本案案名：</w:t>
      </w:r>
      <w:r w:rsidRPr="00142003">
        <w:rPr>
          <w:rFonts w:ascii="Times New Roman"/>
          <w:color w:val="000000" w:themeColor="text1"/>
          <w:szCs w:val="32"/>
        </w:rPr>
        <w:t>宜蘭縣五十二甲濕地之</w:t>
      </w:r>
      <w:r w:rsidRPr="00142003">
        <w:rPr>
          <w:rFonts w:ascii="Times New Roman" w:hint="eastAsia"/>
          <w:color w:val="000000" w:themeColor="text1"/>
          <w:szCs w:val="32"/>
        </w:rPr>
        <w:t>私有土地</w:t>
      </w:r>
      <w:r w:rsidRPr="00142003">
        <w:rPr>
          <w:rFonts w:ascii="Times New Roman"/>
          <w:color w:val="000000" w:themeColor="text1"/>
          <w:szCs w:val="32"/>
        </w:rPr>
        <w:t>違法開發</w:t>
      </w:r>
      <w:r w:rsidRPr="00142003">
        <w:rPr>
          <w:rFonts w:ascii="Times New Roman" w:hint="eastAsia"/>
          <w:color w:val="000000" w:themeColor="text1"/>
          <w:szCs w:val="32"/>
        </w:rPr>
        <w:t>案</w:t>
      </w:r>
    </w:p>
    <w:p w:rsidR="001C3C02" w:rsidRPr="00142003" w:rsidRDefault="001E3E99" w:rsidP="000542C6">
      <w:pPr>
        <w:pStyle w:val="af0"/>
        <w:kinsoku/>
        <w:autoSpaceDE w:val="0"/>
        <w:spacing w:beforeLines="50" w:before="228"/>
        <w:ind w:leftChars="-4" w:left="2071" w:hangingChars="613" w:hanging="2085"/>
        <w:rPr>
          <w:bCs/>
          <w:color w:val="000000" w:themeColor="text1"/>
        </w:rPr>
      </w:pPr>
      <w:r w:rsidRPr="00142003">
        <w:rPr>
          <w:rFonts w:hint="eastAsia"/>
          <w:bCs/>
          <w:color w:val="000000" w:themeColor="text1"/>
        </w:rPr>
        <w:t>本案關鍵字：</w:t>
      </w:r>
      <w:r w:rsidRPr="00142003">
        <w:rPr>
          <w:rFonts w:ascii="Times New Roman"/>
          <w:color w:val="000000" w:themeColor="text1"/>
          <w:szCs w:val="32"/>
        </w:rPr>
        <w:t>五十二甲濕地</w:t>
      </w:r>
      <w:r w:rsidRPr="00142003">
        <w:rPr>
          <w:rFonts w:hint="eastAsia"/>
          <w:bCs/>
          <w:color w:val="000000" w:themeColor="text1"/>
        </w:rPr>
        <w:t>、</w:t>
      </w:r>
      <w:r w:rsidRPr="00142003">
        <w:rPr>
          <w:rFonts w:ascii="Times New Roman"/>
          <w:color w:val="000000" w:themeColor="text1"/>
          <w:szCs w:val="32"/>
        </w:rPr>
        <w:t>濕地保育法</w:t>
      </w:r>
      <w:r w:rsidRPr="00142003">
        <w:rPr>
          <w:rFonts w:hint="eastAsia"/>
          <w:bCs/>
          <w:color w:val="000000" w:themeColor="text1"/>
        </w:rPr>
        <w:t>、</w:t>
      </w:r>
      <w:r w:rsidRPr="00142003">
        <w:rPr>
          <w:rFonts w:ascii="Times New Roman"/>
          <w:color w:val="000000" w:themeColor="text1"/>
          <w:szCs w:val="32"/>
        </w:rPr>
        <w:t>國家級濕地</w:t>
      </w:r>
      <w:r w:rsidRPr="00142003">
        <w:rPr>
          <w:rFonts w:hint="eastAsia"/>
          <w:bCs/>
          <w:color w:val="000000" w:themeColor="text1"/>
        </w:rPr>
        <w:t>、</w:t>
      </w:r>
      <w:r w:rsidR="005B4162" w:rsidRPr="00142003">
        <w:rPr>
          <w:rFonts w:hint="eastAsia"/>
          <w:bCs/>
          <w:color w:val="000000" w:themeColor="text1"/>
        </w:rPr>
        <w:t>保育利用計畫。</w:t>
      </w:r>
    </w:p>
    <w:sectPr w:rsidR="001C3C02" w:rsidRPr="00142003"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3C38" w:rsidRDefault="008A3C38">
      <w:r>
        <w:separator/>
      </w:r>
    </w:p>
  </w:endnote>
  <w:endnote w:type="continuationSeparator" w:id="0">
    <w:p w:rsidR="008A3C38" w:rsidRDefault="008A3C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0C1F" w:rsidRDefault="00840C1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142003">
      <w:rPr>
        <w:rStyle w:val="ac"/>
        <w:noProof/>
        <w:sz w:val="24"/>
      </w:rPr>
      <w:t>12</w:t>
    </w:r>
    <w:r>
      <w:rPr>
        <w:rStyle w:val="ac"/>
        <w:sz w:val="24"/>
      </w:rPr>
      <w:fldChar w:fldCharType="end"/>
    </w:r>
  </w:p>
  <w:p w:rsidR="00840C1F" w:rsidRDefault="00840C1F">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3C38" w:rsidRDefault="008A3C38">
      <w:r>
        <w:separator/>
      </w:r>
    </w:p>
  </w:footnote>
  <w:footnote w:type="continuationSeparator" w:id="0">
    <w:p w:rsidR="008A3C38" w:rsidRDefault="008A3C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402"/>
    <w:multiLevelType w:val="multilevel"/>
    <w:tmpl w:val="00000885"/>
    <w:lvl w:ilvl="0">
      <w:start w:val="1"/>
      <w:numFmt w:val="decimal"/>
      <w:lvlText w:val="%1."/>
      <w:lvlJc w:val="left"/>
      <w:pPr>
        <w:ind w:left="529" w:hanging="389"/>
      </w:pPr>
      <w:rPr>
        <w:rFonts w:ascii="Times New Roman" w:hAnsi="Times New Roman" w:cs="Times New Roman"/>
        <w:b w:val="0"/>
        <w:bCs w:val="0"/>
        <w:w w:val="100"/>
        <w:sz w:val="24"/>
        <w:szCs w:val="24"/>
      </w:rPr>
    </w:lvl>
    <w:lvl w:ilvl="1">
      <w:numFmt w:val="bullet"/>
      <w:lvlText w:val="•"/>
      <w:lvlJc w:val="left"/>
      <w:pPr>
        <w:ind w:left="857" w:hanging="389"/>
      </w:pPr>
    </w:lvl>
    <w:lvl w:ilvl="2">
      <w:numFmt w:val="bullet"/>
      <w:lvlText w:val="•"/>
      <w:lvlJc w:val="left"/>
      <w:pPr>
        <w:ind w:left="1194" w:hanging="389"/>
      </w:pPr>
    </w:lvl>
    <w:lvl w:ilvl="3">
      <w:numFmt w:val="bullet"/>
      <w:lvlText w:val="•"/>
      <w:lvlJc w:val="left"/>
      <w:pPr>
        <w:ind w:left="1532" w:hanging="389"/>
      </w:pPr>
    </w:lvl>
    <w:lvl w:ilvl="4">
      <w:numFmt w:val="bullet"/>
      <w:lvlText w:val="•"/>
      <w:lvlJc w:val="left"/>
      <w:pPr>
        <w:ind w:left="1869" w:hanging="389"/>
      </w:pPr>
    </w:lvl>
    <w:lvl w:ilvl="5">
      <w:numFmt w:val="bullet"/>
      <w:lvlText w:val="•"/>
      <w:lvlJc w:val="left"/>
      <w:pPr>
        <w:ind w:left="2207" w:hanging="389"/>
      </w:pPr>
    </w:lvl>
    <w:lvl w:ilvl="6">
      <w:numFmt w:val="bullet"/>
      <w:lvlText w:val="•"/>
      <w:lvlJc w:val="left"/>
      <w:pPr>
        <w:ind w:left="2544" w:hanging="389"/>
      </w:pPr>
    </w:lvl>
    <w:lvl w:ilvl="7">
      <w:numFmt w:val="bullet"/>
      <w:lvlText w:val="•"/>
      <w:lvlJc w:val="left"/>
      <w:pPr>
        <w:ind w:left="2881" w:hanging="389"/>
      </w:pPr>
    </w:lvl>
    <w:lvl w:ilvl="8">
      <w:numFmt w:val="bullet"/>
      <w:lvlText w:val="•"/>
      <w:lvlJc w:val="left"/>
      <w:pPr>
        <w:ind w:left="3219" w:hanging="389"/>
      </w:pPr>
    </w:lvl>
  </w:abstractNum>
  <w:abstractNum w:abstractNumId="1" w15:restartNumberingAfterBreak="0">
    <w:nsid w:val="00000403"/>
    <w:multiLevelType w:val="multilevel"/>
    <w:tmpl w:val="00000886"/>
    <w:lvl w:ilvl="0">
      <w:start w:val="1"/>
      <w:numFmt w:val="decimal"/>
      <w:lvlText w:val="%1."/>
      <w:lvlJc w:val="left"/>
      <w:pPr>
        <w:ind w:left="613" w:hanging="480"/>
      </w:pPr>
      <w:rPr>
        <w:rFonts w:ascii="Times New Roman" w:hAnsi="Times New Roman" w:cs="Times New Roman"/>
        <w:b w:val="0"/>
        <w:bCs w:val="0"/>
        <w:w w:val="100"/>
        <w:sz w:val="24"/>
        <w:szCs w:val="24"/>
      </w:rPr>
    </w:lvl>
    <w:lvl w:ilvl="1">
      <w:numFmt w:val="bullet"/>
      <w:lvlText w:val="•"/>
      <w:lvlJc w:val="left"/>
      <w:pPr>
        <w:ind w:left="781" w:hanging="480"/>
      </w:pPr>
    </w:lvl>
    <w:lvl w:ilvl="2">
      <w:numFmt w:val="bullet"/>
      <w:lvlText w:val="•"/>
      <w:lvlJc w:val="left"/>
      <w:pPr>
        <w:ind w:left="943" w:hanging="480"/>
      </w:pPr>
    </w:lvl>
    <w:lvl w:ilvl="3">
      <w:numFmt w:val="bullet"/>
      <w:lvlText w:val="•"/>
      <w:lvlJc w:val="left"/>
      <w:pPr>
        <w:ind w:left="1105" w:hanging="480"/>
      </w:pPr>
    </w:lvl>
    <w:lvl w:ilvl="4">
      <w:numFmt w:val="bullet"/>
      <w:lvlText w:val="•"/>
      <w:lvlJc w:val="left"/>
      <w:pPr>
        <w:ind w:left="1267" w:hanging="480"/>
      </w:pPr>
    </w:lvl>
    <w:lvl w:ilvl="5">
      <w:numFmt w:val="bullet"/>
      <w:lvlText w:val="•"/>
      <w:lvlJc w:val="left"/>
      <w:pPr>
        <w:ind w:left="1429" w:hanging="480"/>
      </w:pPr>
    </w:lvl>
    <w:lvl w:ilvl="6">
      <w:numFmt w:val="bullet"/>
      <w:lvlText w:val="•"/>
      <w:lvlJc w:val="left"/>
      <w:pPr>
        <w:ind w:left="1590" w:hanging="480"/>
      </w:pPr>
    </w:lvl>
    <w:lvl w:ilvl="7">
      <w:numFmt w:val="bullet"/>
      <w:lvlText w:val="•"/>
      <w:lvlJc w:val="left"/>
      <w:pPr>
        <w:ind w:left="1752" w:hanging="480"/>
      </w:pPr>
    </w:lvl>
    <w:lvl w:ilvl="8">
      <w:numFmt w:val="bullet"/>
      <w:lvlText w:val="•"/>
      <w:lvlJc w:val="left"/>
      <w:pPr>
        <w:ind w:left="1914" w:hanging="480"/>
      </w:pPr>
    </w:lvl>
  </w:abstractNum>
  <w:abstractNum w:abstractNumId="2" w15:restartNumberingAfterBreak="0">
    <w:nsid w:val="00000404"/>
    <w:multiLevelType w:val="multilevel"/>
    <w:tmpl w:val="00000887"/>
    <w:lvl w:ilvl="0">
      <w:start w:val="1"/>
      <w:numFmt w:val="decimal"/>
      <w:lvlText w:val="%1."/>
      <w:lvlJc w:val="left"/>
      <w:pPr>
        <w:ind w:left="612" w:hanging="480"/>
      </w:pPr>
      <w:rPr>
        <w:rFonts w:ascii="Times New Roman" w:hAnsi="Times New Roman" w:cs="Times New Roman"/>
        <w:b w:val="0"/>
        <w:bCs w:val="0"/>
        <w:spacing w:val="-17"/>
        <w:w w:val="100"/>
        <w:sz w:val="24"/>
        <w:szCs w:val="24"/>
      </w:rPr>
    </w:lvl>
    <w:lvl w:ilvl="1">
      <w:numFmt w:val="bullet"/>
      <w:lvlText w:val="•"/>
      <w:lvlJc w:val="left"/>
      <w:pPr>
        <w:ind w:left="706" w:hanging="480"/>
      </w:pPr>
    </w:lvl>
    <w:lvl w:ilvl="2">
      <w:numFmt w:val="bullet"/>
      <w:lvlText w:val="•"/>
      <w:lvlJc w:val="left"/>
      <w:pPr>
        <w:ind w:left="793" w:hanging="480"/>
      </w:pPr>
    </w:lvl>
    <w:lvl w:ilvl="3">
      <w:numFmt w:val="bullet"/>
      <w:lvlText w:val="•"/>
      <w:lvlJc w:val="left"/>
      <w:pPr>
        <w:ind w:left="880" w:hanging="480"/>
      </w:pPr>
    </w:lvl>
    <w:lvl w:ilvl="4">
      <w:numFmt w:val="bullet"/>
      <w:lvlText w:val="•"/>
      <w:lvlJc w:val="left"/>
      <w:pPr>
        <w:ind w:left="967" w:hanging="480"/>
      </w:pPr>
    </w:lvl>
    <w:lvl w:ilvl="5">
      <w:numFmt w:val="bullet"/>
      <w:lvlText w:val="•"/>
      <w:lvlJc w:val="left"/>
      <w:pPr>
        <w:ind w:left="1054" w:hanging="480"/>
      </w:pPr>
    </w:lvl>
    <w:lvl w:ilvl="6">
      <w:numFmt w:val="bullet"/>
      <w:lvlText w:val="•"/>
      <w:lvlJc w:val="left"/>
      <w:pPr>
        <w:ind w:left="1141" w:hanging="480"/>
      </w:pPr>
    </w:lvl>
    <w:lvl w:ilvl="7">
      <w:numFmt w:val="bullet"/>
      <w:lvlText w:val="•"/>
      <w:lvlJc w:val="left"/>
      <w:pPr>
        <w:ind w:left="1228" w:hanging="480"/>
      </w:pPr>
    </w:lvl>
    <w:lvl w:ilvl="8">
      <w:numFmt w:val="bullet"/>
      <w:lvlText w:val="•"/>
      <w:lvlJc w:val="left"/>
      <w:pPr>
        <w:ind w:left="1315" w:hanging="480"/>
      </w:pPr>
    </w:lvl>
  </w:abstractNum>
  <w:abstractNum w:abstractNumId="3" w15:restartNumberingAfterBreak="0">
    <w:nsid w:val="00000405"/>
    <w:multiLevelType w:val="multilevel"/>
    <w:tmpl w:val="00000888"/>
    <w:lvl w:ilvl="0">
      <w:start w:val="1"/>
      <w:numFmt w:val="decimal"/>
      <w:lvlText w:val="%1."/>
      <w:lvlJc w:val="left"/>
      <w:pPr>
        <w:ind w:left="616" w:hanging="480"/>
      </w:pPr>
      <w:rPr>
        <w:rFonts w:ascii="Times New Roman" w:hAnsi="Times New Roman" w:cs="Times New Roman"/>
        <w:b w:val="0"/>
        <w:bCs w:val="0"/>
        <w:w w:val="100"/>
        <w:sz w:val="24"/>
        <w:szCs w:val="24"/>
      </w:rPr>
    </w:lvl>
    <w:lvl w:ilvl="1">
      <w:numFmt w:val="bullet"/>
      <w:lvlText w:val="•"/>
      <w:lvlJc w:val="left"/>
      <w:pPr>
        <w:ind w:left="742" w:hanging="480"/>
      </w:pPr>
    </w:lvl>
    <w:lvl w:ilvl="2">
      <w:numFmt w:val="bullet"/>
      <w:lvlText w:val="•"/>
      <w:lvlJc w:val="left"/>
      <w:pPr>
        <w:ind w:left="864" w:hanging="480"/>
      </w:pPr>
    </w:lvl>
    <w:lvl w:ilvl="3">
      <w:numFmt w:val="bullet"/>
      <w:lvlText w:val="•"/>
      <w:lvlJc w:val="left"/>
      <w:pPr>
        <w:ind w:left="987" w:hanging="480"/>
      </w:pPr>
    </w:lvl>
    <w:lvl w:ilvl="4">
      <w:numFmt w:val="bullet"/>
      <w:lvlText w:val="•"/>
      <w:lvlJc w:val="left"/>
      <w:pPr>
        <w:ind w:left="1109" w:hanging="480"/>
      </w:pPr>
    </w:lvl>
    <w:lvl w:ilvl="5">
      <w:numFmt w:val="bullet"/>
      <w:lvlText w:val="•"/>
      <w:lvlJc w:val="left"/>
      <w:pPr>
        <w:ind w:left="1232" w:hanging="480"/>
      </w:pPr>
    </w:lvl>
    <w:lvl w:ilvl="6">
      <w:numFmt w:val="bullet"/>
      <w:lvlText w:val="•"/>
      <w:lvlJc w:val="left"/>
      <w:pPr>
        <w:ind w:left="1354" w:hanging="480"/>
      </w:pPr>
    </w:lvl>
    <w:lvl w:ilvl="7">
      <w:numFmt w:val="bullet"/>
      <w:lvlText w:val="•"/>
      <w:lvlJc w:val="left"/>
      <w:pPr>
        <w:ind w:left="1476" w:hanging="480"/>
      </w:pPr>
    </w:lvl>
    <w:lvl w:ilvl="8">
      <w:numFmt w:val="bullet"/>
      <w:lvlText w:val="•"/>
      <w:lvlJc w:val="left"/>
      <w:pPr>
        <w:ind w:left="1599" w:hanging="480"/>
      </w:pPr>
    </w:lvl>
  </w:abstractNum>
  <w:abstractNum w:abstractNumId="4" w15:restartNumberingAfterBreak="0">
    <w:nsid w:val="00000406"/>
    <w:multiLevelType w:val="multilevel"/>
    <w:tmpl w:val="00000889"/>
    <w:lvl w:ilvl="0">
      <w:start w:val="1"/>
      <w:numFmt w:val="decimal"/>
      <w:lvlText w:val="%1."/>
      <w:lvlJc w:val="left"/>
      <w:pPr>
        <w:ind w:left="619" w:hanging="481"/>
      </w:pPr>
      <w:rPr>
        <w:rFonts w:ascii="Times New Roman" w:hAnsi="Times New Roman" w:cs="Times New Roman"/>
        <w:b w:val="0"/>
        <w:bCs w:val="0"/>
        <w:spacing w:val="-48"/>
        <w:w w:val="100"/>
        <w:sz w:val="24"/>
        <w:szCs w:val="24"/>
      </w:rPr>
    </w:lvl>
    <w:lvl w:ilvl="1">
      <w:numFmt w:val="bullet"/>
      <w:lvlText w:val="•"/>
      <w:lvlJc w:val="left"/>
      <w:pPr>
        <w:ind w:left="1387" w:hanging="481"/>
      </w:pPr>
    </w:lvl>
    <w:lvl w:ilvl="2">
      <w:numFmt w:val="bullet"/>
      <w:lvlText w:val="•"/>
      <w:lvlJc w:val="left"/>
      <w:pPr>
        <w:ind w:left="2154" w:hanging="481"/>
      </w:pPr>
    </w:lvl>
    <w:lvl w:ilvl="3">
      <w:numFmt w:val="bullet"/>
      <w:lvlText w:val="•"/>
      <w:lvlJc w:val="left"/>
      <w:pPr>
        <w:ind w:left="2921" w:hanging="481"/>
      </w:pPr>
    </w:lvl>
    <w:lvl w:ilvl="4">
      <w:numFmt w:val="bullet"/>
      <w:lvlText w:val="•"/>
      <w:lvlJc w:val="left"/>
      <w:pPr>
        <w:ind w:left="3688" w:hanging="481"/>
      </w:pPr>
    </w:lvl>
    <w:lvl w:ilvl="5">
      <w:numFmt w:val="bullet"/>
      <w:lvlText w:val="•"/>
      <w:lvlJc w:val="left"/>
      <w:pPr>
        <w:ind w:left="4455" w:hanging="481"/>
      </w:pPr>
    </w:lvl>
    <w:lvl w:ilvl="6">
      <w:numFmt w:val="bullet"/>
      <w:lvlText w:val="•"/>
      <w:lvlJc w:val="left"/>
      <w:pPr>
        <w:ind w:left="5222" w:hanging="481"/>
      </w:pPr>
    </w:lvl>
    <w:lvl w:ilvl="7">
      <w:numFmt w:val="bullet"/>
      <w:lvlText w:val="•"/>
      <w:lvlJc w:val="left"/>
      <w:pPr>
        <w:ind w:left="5989" w:hanging="481"/>
      </w:pPr>
    </w:lvl>
    <w:lvl w:ilvl="8">
      <w:numFmt w:val="bullet"/>
      <w:lvlText w:val="•"/>
      <w:lvlJc w:val="left"/>
      <w:pPr>
        <w:ind w:left="6756" w:hanging="481"/>
      </w:pPr>
    </w:lvl>
  </w:abstractNum>
  <w:abstractNum w:abstractNumId="5"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A5F5684"/>
    <w:multiLevelType w:val="hybridMultilevel"/>
    <w:tmpl w:val="3814DBB8"/>
    <w:lvl w:ilvl="0" w:tplc="AD96BDB2">
      <w:start w:val="1"/>
      <w:numFmt w:val="decimal"/>
      <w:pStyle w:val="a3"/>
      <w:lvlText w:val="表%1　"/>
      <w:lvlJc w:val="left"/>
      <w:pPr>
        <w:ind w:left="764" w:hanging="480"/>
      </w:pPr>
      <w:rPr>
        <w:rFonts w:ascii="標楷體" w:eastAsia="標楷體" w:hint="eastAsia"/>
        <w:b w:val="0"/>
        <w:i w:val="0"/>
        <w:sz w:val="28"/>
        <w:lang w:val="en-US"/>
      </w:rPr>
    </w:lvl>
    <w:lvl w:ilvl="1" w:tplc="04090019">
      <w:start w:val="1"/>
      <w:numFmt w:val="ideographTraditional"/>
      <w:lvlText w:val="%2、"/>
      <w:lvlJc w:val="left"/>
      <w:pPr>
        <w:tabs>
          <w:tab w:val="num" w:pos="1244"/>
        </w:tabs>
        <w:ind w:left="1244" w:hanging="480"/>
      </w:pPr>
    </w:lvl>
    <w:lvl w:ilvl="2" w:tplc="0409001B" w:tentative="1">
      <w:start w:val="1"/>
      <w:numFmt w:val="lowerRoman"/>
      <w:lvlText w:val="%3."/>
      <w:lvlJc w:val="right"/>
      <w:pPr>
        <w:tabs>
          <w:tab w:val="num" w:pos="1724"/>
        </w:tabs>
        <w:ind w:left="1724" w:hanging="480"/>
      </w:pPr>
    </w:lvl>
    <w:lvl w:ilvl="3" w:tplc="0409000F" w:tentative="1">
      <w:start w:val="1"/>
      <w:numFmt w:val="decimal"/>
      <w:lvlText w:val="%4."/>
      <w:lvlJc w:val="left"/>
      <w:pPr>
        <w:tabs>
          <w:tab w:val="num" w:pos="2204"/>
        </w:tabs>
        <w:ind w:left="2204" w:hanging="480"/>
      </w:pPr>
    </w:lvl>
    <w:lvl w:ilvl="4" w:tplc="04090019" w:tentative="1">
      <w:start w:val="1"/>
      <w:numFmt w:val="ideographTraditional"/>
      <w:lvlText w:val="%5、"/>
      <w:lvlJc w:val="left"/>
      <w:pPr>
        <w:tabs>
          <w:tab w:val="num" w:pos="2684"/>
        </w:tabs>
        <w:ind w:left="2684" w:hanging="480"/>
      </w:pPr>
    </w:lvl>
    <w:lvl w:ilvl="5" w:tplc="0409001B" w:tentative="1">
      <w:start w:val="1"/>
      <w:numFmt w:val="lowerRoman"/>
      <w:lvlText w:val="%6."/>
      <w:lvlJc w:val="right"/>
      <w:pPr>
        <w:tabs>
          <w:tab w:val="num" w:pos="3164"/>
        </w:tabs>
        <w:ind w:left="3164" w:hanging="480"/>
      </w:pPr>
    </w:lvl>
    <w:lvl w:ilvl="6" w:tplc="0409000F" w:tentative="1">
      <w:start w:val="1"/>
      <w:numFmt w:val="decimal"/>
      <w:lvlText w:val="%7."/>
      <w:lvlJc w:val="left"/>
      <w:pPr>
        <w:tabs>
          <w:tab w:val="num" w:pos="3644"/>
        </w:tabs>
        <w:ind w:left="3644" w:hanging="480"/>
      </w:pPr>
    </w:lvl>
    <w:lvl w:ilvl="7" w:tplc="04090019" w:tentative="1">
      <w:start w:val="1"/>
      <w:numFmt w:val="ideographTraditional"/>
      <w:lvlText w:val="%8、"/>
      <w:lvlJc w:val="left"/>
      <w:pPr>
        <w:tabs>
          <w:tab w:val="num" w:pos="4124"/>
        </w:tabs>
        <w:ind w:left="4124" w:hanging="480"/>
      </w:pPr>
    </w:lvl>
    <w:lvl w:ilvl="8" w:tplc="0409001B" w:tentative="1">
      <w:start w:val="1"/>
      <w:numFmt w:val="lowerRoman"/>
      <w:lvlText w:val="%9."/>
      <w:lvlJc w:val="right"/>
      <w:pPr>
        <w:tabs>
          <w:tab w:val="num" w:pos="4604"/>
        </w:tabs>
        <w:ind w:left="4604" w:hanging="480"/>
      </w:pPr>
    </w:lvl>
  </w:abstractNum>
  <w:abstractNum w:abstractNumId="12"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E9D7BF5"/>
    <w:multiLevelType w:val="multilevel"/>
    <w:tmpl w:val="00000885"/>
    <w:lvl w:ilvl="0">
      <w:start w:val="1"/>
      <w:numFmt w:val="decimal"/>
      <w:lvlText w:val="%1."/>
      <w:lvlJc w:val="left"/>
      <w:pPr>
        <w:ind w:left="529" w:hanging="389"/>
      </w:pPr>
      <w:rPr>
        <w:rFonts w:ascii="Times New Roman" w:hAnsi="Times New Roman" w:cs="Times New Roman"/>
        <w:b w:val="0"/>
        <w:bCs w:val="0"/>
        <w:w w:val="100"/>
        <w:sz w:val="24"/>
        <w:szCs w:val="24"/>
      </w:rPr>
    </w:lvl>
    <w:lvl w:ilvl="1">
      <w:numFmt w:val="bullet"/>
      <w:lvlText w:val="•"/>
      <w:lvlJc w:val="left"/>
      <w:pPr>
        <w:ind w:left="857" w:hanging="389"/>
      </w:pPr>
    </w:lvl>
    <w:lvl w:ilvl="2">
      <w:numFmt w:val="bullet"/>
      <w:lvlText w:val="•"/>
      <w:lvlJc w:val="left"/>
      <w:pPr>
        <w:ind w:left="1194" w:hanging="389"/>
      </w:pPr>
    </w:lvl>
    <w:lvl w:ilvl="3">
      <w:numFmt w:val="bullet"/>
      <w:lvlText w:val="•"/>
      <w:lvlJc w:val="left"/>
      <w:pPr>
        <w:ind w:left="1532" w:hanging="389"/>
      </w:pPr>
    </w:lvl>
    <w:lvl w:ilvl="4">
      <w:numFmt w:val="bullet"/>
      <w:lvlText w:val="•"/>
      <w:lvlJc w:val="left"/>
      <w:pPr>
        <w:ind w:left="1869" w:hanging="389"/>
      </w:pPr>
    </w:lvl>
    <w:lvl w:ilvl="5">
      <w:numFmt w:val="bullet"/>
      <w:lvlText w:val="•"/>
      <w:lvlJc w:val="left"/>
      <w:pPr>
        <w:ind w:left="2207" w:hanging="389"/>
      </w:pPr>
    </w:lvl>
    <w:lvl w:ilvl="6">
      <w:numFmt w:val="bullet"/>
      <w:lvlText w:val="•"/>
      <w:lvlJc w:val="left"/>
      <w:pPr>
        <w:ind w:left="2544" w:hanging="389"/>
      </w:pPr>
    </w:lvl>
    <w:lvl w:ilvl="7">
      <w:numFmt w:val="bullet"/>
      <w:lvlText w:val="•"/>
      <w:lvlJc w:val="left"/>
      <w:pPr>
        <w:ind w:left="2881" w:hanging="389"/>
      </w:pPr>
    </w:lvl>
    <w:lvl w:ilvl="8">
      <w:numFmt w:val="bullet"/>
      <w:lvlText w:val="•"/>
      <w:lvlJc w:val="left"/>
      <w:pPr>
        <w:ind w:left="3219" w:hanging="389"/>
      </w:pPr>
    </w:lvl>
  </w:abstractNum>
  <w:num w:numId="1">
    <w:abstractNumId w:val="6"/>
  </w:num>
  <w:num w:numId="2">
    <w:abstractNumId w:val="7"/>
  </w:num>
  <w:num w:numId="3">
    <w:abstractNumId w:val="5"/>
  </w:num>
  <w:num w:numId="4">
    <w:abstractNumId w:val="6"/>
  </w:num>
  <w:num w:numId="5">
    <w:abstractNumId w:val="6"/>
  </w:num>
  <w:num w:numId="6">
    <w:abstractNumId w:val="6"/>
  </w:num>
  <w:num w:numId="7">
    <w:abstractNumId w:val="6"/>
  </w:num>
  <w:num w:numId="8">
    <w:abstractNumId w:val="6"/>
  </w:num>
  <w:num w:numId="9">
    <w:abstractNumId w:val="6"/>
  </w:num>
  <w:num w:numId="10">
    <w:abstractNumId w:val="6"/>
  </w:num>
  <w:num w:numId="11">
    <w:abstractNumId w:val="6"/>
  </w:num>
  <w:num w:numId="12">
    <w:abstractNumId w:val="6"/>
  </w:num>
  <w:num w:numId="13">
    <w:abstractNumId w:val="6"/>
  </w:num>
  <w:num w:numId="14">
    <w:abstractNumId w:val="6"/>
  </w:num>
  <w:num w:numId="15">
    <w:abstractNumId w:val="6"/>
  </w:num>
  <w:num w:numId="16">
    <w:abstractNumId w:val="6"/>
  </w:num>
  <w:num w:numId="17">
    <w:abstractNumId w:val="6"/>
  </w:num>
  <w:num w:numId="18">
    <w:abstractNumId w:val="7"/>
  </w:num>
  <w:num w:numId="19">
    <w:abstractNumId w:val="7"/>
    <w:lvlOverride w:ilvl="0">
      <w:startOverride w:val="1"/>
    </w:lvlOverride>
  </w:num>
  <w:num w:numId="20">
    <w:abstractNumId w:val="6"/>
  </w:num>
  <w:num w:numId="21">
    <w:abstractNumId w:val="7"/>
  </w:num>
  <w:num w:numId="22">
    <w:abstractNumId w:val="11"/>
  </w:num>
  <w:num w:numId="23">
    <w:abstractNumId w:val="9"/>
  </w:num>
  <w:num w:numId="24">
    <w:abstractNumId w:val="12"/>
  </w:num>
  <w:num w:numId="25">
    <w:abstractNumId w:val="6"/>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num>
  <w:num w:numId="28">
    <w:abstractNumId w:val="13"/>
  </w:num>
  <w:num w:numId="29">
    <w:abstractNumId w:val="13"/>
  </w:num>
  <w:num w:numId="30">
    <w:abstractNumId w:val="10"/>
  </w:num>
  <w:num w:numId="31">
    <w:abstractNumId w:val="10"/>
  </w:num>
  <w:num w:numId="32">
    <w:abstractNumId w:val="6"/>
  </w:num>
  <w:num w:numId="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
  </w:num>
  <w:num w:numId="3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4"/>
  </w:num>
  <w:num w:numId="38">
    <w:abstractNumId w:val="3"/>
  </w:num>
  <w:num w:numId="39">
    <w:abstractNumId w:val="2"/>
  </w:num>
  <w:num w:numId="40">
    <w:abstractNumId w:val="1"/>
  </w:num>
  <w:num w:numId="41">
    <w:abstractNumId w:val="14"/>
  </w:num>
  <w:num w:numId="42">
    <w:abstractNumId w:val="11"/>
    <w:lvlOverride w:ilvl="0">
      <w:startOverride w:val="1"/>
    </w:lvlOverride>
  </w:num>
  <w:num w:numId="43">
    <w:abstractNumId w:val="11"/>
  </w:num>
  <w:num w:numId="4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06A0C"/>
    <w:rsid w:val="000112BF"/>
    <w:rsid w:val="00012233"/>
    <w:rsid w:val="00017318"/>
    <w:rsid w:val="000229AD"/>
    <w:rsid w:val="000246F7"/>
    <w:rsid w:val="0003114D"/>
    <w:rsid w:val="00036D76"/>
    <w:rsid w:val="000542C6"/>
    <w:rsid w:val="00057F32"/>
    <w:rsid w:val="00062A25"/>
    <w:rsid w:val="00073CB5"/>
    <w:rsid w:val="0007425C"/>
    <w:rsid w:val="00077553"/>
    <w:rsid w:val="00081556"/>
    <w:rsid w:val="000851A2"/>
    <w:rsid w:val="0009036B"/>
    <w:rsid w:val="0009352E"/>
    <w:rsid w:val="00096B96"/>
    <w:rsid w:val="000A2F3F"/>
    <w:rsid w:val="000B0B4A"/>
    <w:rsid w:val="000B279A"/>
    <w:rsid w:val="000B52D3"/>
    <w:rsid w:val="000B5404"/>
    <w:rsid w:val="000B61D2"/>
    <w:rsid w:val="000B70A7"/>
    <w:rsid w:val="000B73DD"/>
    <w:rsid w:val="000C495F"/>
    <w:rsid w:val="000D66D9"/>
    <w:rsid w:val="000E5073"/>
    <w:rsid w:val="000E6431"/>
    <w:rsid w:val="000F21A5"/>
    <w:rsid w:val="00102B9F"/>
    <w:rsid w:val="00112637"/>
    <w:rsid w:val="00112ABC"/>
    <w:rsid w:val="0012001E"/>
    <w:rsid w:val="00126A55"/>
    <w:rsid w:val="00133F08"/>
    <w:rsid w:val="001345E6"/>
    <w:rsid w:val="001378B0"/>
    <w:rsid w:val="00142003"/>
    <w:rsid w:val="00142E00"/>
    <w:rsid w:val="00152793"/>
    <w:rsid w:val="00153B7E"/>
    <w:rsid w:val="001545A9"/>
    <w:rsid w:val="001637C7"/>
    <w:rsid w:val="0016480E"/>
    <w:rsid w:val="00174297"/>
    <w:rsid w:val="00174ABC"/>
    <w:rsid w:val="00180E06"/>
    <w:rsid w:val="001817B3"/>
    <w:rsid w:val="00183014"/>
    <w:rsid w:val="0019096D"/>
    <w:rsid w:val="001959C2"/>
    <w:rsid w:val="001A51E3"/>
    <w:rsid w:val="001A7968"/>
    <w:rsid w:val="001B02A1"/>
    <w:rsid w:val="001B2E98"/>
    <w:rsid w:val="001B3483"/>
    <w:rsid w:val="001B3C1E"/>
    <w:rsid w:val="001B4494"/>
    <w:rsid w:val="001C0D8B"/>
    <w:rsid w:val="001C0DA8"/>
    <w:rsid w:val="001C3C02"/>
    <w:rsid w:val="001C6BB7"/>
    <w:rsid w:val="001D4AD7"/>
    <w:rsid w:val="001E0D8A"/>
    <w:rsid w:val="001E3E99"/>
    <w:rsid w:val="001E67BA"/>
    <w:rsid w:val="001E74C2"/>
    <w:rsid w:val="001F4F82"/>
    <w:rsid w:val="001F5A48"/>
    <w:rsid w:val="001F6260"/>
    <w:rsid w:val="00200007"/>
    <w:rsid w:val="002030A5"/>
    <w:rsid w:val="00203131"/>
    <w:rsid w:val="00206987"/>
    <w:rsid w:val="00212E88"/>
    <w:rsid w:val="002137A6"/>
    <w:rsid w:val="00213C9C"/>
    <w:rsid w:val="0022009E"/>
    <w:rsid w:val="00223241"/>
    <w:rsid w:val="0022425C"/>
    <w:rsid w:val="002246DE"/>
    <w:rsid w:val="00227EC6"/>
    <w:rsid w:val="00233051"/>
    <w:rsid w:val="002429E2"/>
    <w:rsid w:val="00252BC4"/>
    <w:rsid w:val="00254014"/>
    <w:rsid w:val="00254B39"/>
    <w:rsid w:val="0026504D"/>
    <w:rsid w:val="00273A2F"/>
    <w:rsid w:val="00280986"/>
    <w:rsid w:val="0028107E"/>
    <w:rsid w:val="00281ECE"/>
    <w:rsid w:val="002831C7"/>
    <w:rsid w:val="002840C6"/>
    <w:rsid w:val="00295174"/>
    <w:rsid w:val="00296172"/>
    <w:rsid w:val="00296B92"/>
    <w:rsid w:val="002A2C22"/>
    <w:rsid w:val="002B02EB"/>
    <w:rsid w:val="002C0602"/>
    <w:rsid w:val="002D5C16"/>
    <w:rsid w:val="002F2476"/>
    <w:rsid w:val="002F3DFF"/>
    <w:rsid w:val="002F5E05"/>
    <w:rsid w:val="00307A76"/>
    <w:rsid w:val="0031455E"/>
    <w:rsid w:val="00315A16"/>
    <w:rsid w:val="00317053"/>
    <w:rsid w:val="00320F95"/>
    <w:rsid w:val="0032109C"/>
    <w:rsid w:val="00322B45"/>
    <w:rsid w:val="00323809"/>
    <w:rsid w:val="00323D41"/>
    <w:rsid w:val="00325414"/>
    <w:rsid w:val="003302F1"/>
    <w:rsid w:val="0034470E"/>
    <w:rsid w:val="00344D28"/>
    <w:rsid w:val="00352DB0"/>
    <w:rsid w:val="00361063"/>
    <w:rsid w:val="0037094A"/>
    <w:rsid w:val="00371ED3"/>
    <w:rsid w:val="00372659"/>
    <w:rsid w:val="00372FFC"/>
    <w:rsid w:val="0037728A"/>
    <w:rsid w:val="00380B7D"/>
    <w:rsid w:val="00381A99"/>
    <w:rsid w:val="003829C2"/>
    <w:rsid w:val="003830B2"/>
    <w:rsid w:val="00384724"/>
    <w:rsid w:val="00386C17"/>
    <w:rsid w:val="00391756"/>
    <w:rsid w:val="003919B7"/>
    <w:rsid w:val="00391D57"/>
    <w:rsid w:val="00392292"/>
    <w:rsid w:val="00394F45"/>
    <w:rsid w:val="003A3F2C"/>
    <w:rsid w:val="003A5927"/>
    <w:rsid w:val="003B1017"/>
    <w:rsid w:val="003B3C07"/>
    <w:rsid w:val="003B6081"/>
    <w:rsid w:val="003B6775"/>
    <w:rsid w:val="003C5FE2"/>
    <w:rsid w:val="003D05FB"/>
    <w:rsid w:val="003D1B16"/>
    <w:rsid w:val="003D45BF"/>
    <w:rsid w:val="003D508A"/>
    <w:rsid w:val="003D537F"/>
    <w:rsid w:val="003D7B75"/>
    <w:rsid w:val="003E0208"/>
    <w:rsid w:val="003E4B57"/>
    <w:rsid w:val="003E5D2F"/>
    <w:rsid w:val="003F27E1"/>
    <w:rsid w:val="003F437A"/>
    <w:rsid w:val="003F5C2B"/>
    <w:rsid w:val="00402240"/>
    <w:rsid w:val="004023E9"/>
    <w:rsid w:val="0040454A"/>
    <w:rsid w:val="0040533E"/>
    <w:rsid w:val="00406972"/>
    <w:rsid w:val="00413F83"/>
    <w:rsid w:val="0041490C"/>
    <w:rsid w:val="00416191"/>
    <w:rsid w:val="00416721"/>
    <w:rsid w:val="00421EF0"/>
    <w:rsid w:val="004224FA"/>
    <w:rsid w:val="00423D07"/>
    <w:rsid w:val="00427936"/>
    <w:rsid w:val="00433228"/>
    <w:rsid w:val="0044346F"/>
    <w:rsid w:val="00453FF6"/>
    <w:rsid w:val="0046520A"/>
    <w:rsid w:val="004672AB"/>
    <w:rsid w:val="004714FE"/>
    <w:rsid w:val="00477BAA"/>
    <w:rsid w:val="00495053"/>
    <w:rsid w:val="004A1F59"/>
    <w:rsid w:val="004A29BE"/>
    <w:rsid w:val="004A3225"/>
    <w:rsid w:val="004A33EE"/>
    <w:rsid w:val="004A3AA8"/>
    <w:rsid w:val="004A5DA7"/>
    <w:rsid w:val="004B13C7"/>
    <w:rsid w:val="004B778F"/>
    <w:rsid w:val="004C0609"/>
    <w:rsid w:val="004C639F"/>
    <w:rsid w:val="004D141F"/>
    <w:rsid w:val="004D2742"/>
    <w:rsid w:val="004D6310"/>
    <w:rsid w:val="004E0062"/>
    <w:rsid w:val="004E05A1"/>
    <w:rsid w:val="004E7F21"/>
    <w:rsid w:val="004F470C"/>
    <w:rsid w:val="004F472A"/>
    <w:rsid w:val="004F5E57"/>
    <w:rsid w:val="004F6710"/>
    <w:rsid w:val="00500C3E"/>
    <w:rsid w:val="00502849"/>
    <w:rsid w:val="00504334"/>
    <w:rsid w:val="0050498D"/>
    <w:rsid w:val="00507381"/>
    <w:rsid w:val="005104D7"/>
    <w:rsid w:val="00510B9E"/>
    <w:rsid w:val="00515870"/>
    <w:rsid w:val="00523EDF"/>
    <w:rsid w:val="005362BB"/>
    <w:rsid w:val="00536BC2"/>
    <w:rsid w:val="005425E1"/>
    <w:rsid w:val="005427C5"/>
    <w:rsid w:val="00542CF6"/>
    <w:rsid w:val="00553C03"/>
    <w:rsid w:val="00560DDA"/>
    <w:rsid w:val="00563692"/>
    <w:rsid w:val="00571679"/>
    <w:rsid w:val="0057743D"/>
    <w:rsid w:val="00580A5C"/>
    <w:rsid w:val="00584235"/>
    <w:rsid w:val="005844E7"/>
    <w:rsid w:val="005908B8"/>
    <w:rsid w:val="0059512E"/>
    <w:rsid w:val="005A3799"/>
    <w:rsid w:val="005A6DD2"/>
    <w:rsid w:val="005B4162"/>
    <w:rsid w:val="005C385D"/>
    <w:rsid w:val="005C7523"/>
    <w:rsid w:val="005D13BE"/>
    <w:rsid w:val="005D3B20"/>
    <w:rsid w:val="005D71B7"/>
    <w:rsid w:val="005E4759"/>
    <w:rsid w:val="005E5C68"/>
    <w:rsid w:val="005E65C0"/>
    <w:rsid w:val="005F0390"/>
    <w:rsid w:val="006072CD"/>
    <w:rsid w:val="00607655"/>
    <w:rsid w:val="00612023"/>
    <w:rsid w:val="006131D1"/>
    <w:rsid w:val="00614190"/>
    <w:rsid w:val="00622A99"/>
    <w:rsid w:val="00622E67"/>
    <w:rsid w:val="00626B57"/>
    <w:rsid w:val="00626EDC"/>
    <w:rsid w:val="006452D3"/>
    <w:rsid w:val="006470EC"/>
    <w:rsid w:val="006542D6"/>
    <w:rsid w:val="0065598E"/>
    <w:rsid w:val="00655AF2"/>
    <w:rsid w:val="00655BC5"/>
    <w:rsid w:val="006568BE"/>
    <w:rsid w:val="0066025D"/>
    <w:rsid w:val="00660684"/>
    <w:rsid w:val="0066091A"/>
    <w:rsid w:val="006773EC"/>
    <w:rsid w:val="00680504"/>
    <w:rsid w:val="00681CD9"/>
    <w:rsid w:val="00683E30"/>
    <w:rsid w:val="00687024"/>
    <w:rsid w:val="00690AC2"/>
    <w:rsid w:val="00695E22"/>
    <w:rsid w:val="006B7093"/>
    <w:rsid w:val="006B7417"/>
    <w:rsid w:val="006C1845"/>
    <w:rsid w:val="006C6E15"/>
    <w:rsid w:val="006D31F9"/>
    <w:rsid w:val="006D3691"/>
    <w:rsid w:val="006E06FA"/>
    <w:rsid w:val="006E5EF0"/>
    <w:rsid w:val="006F3563"/>
    <w:rsid w:val="006F42B9"/>
    <w:rsid w:val="006F6103"/>
    <w:rsid w:val="00704E00"/>
    <w:rsid w:val="007209E7"/>
    <w:rsid w:val="007240E9"/>
    <w:rsid w:val="00726182"/>
    <w:rsid w:val="00727635"/>
    <w:rsid w:val="00732329"/>
    <w:rsid w:val="007337CA"/>
    <w:rsid w:val="00734CE4"/>
    <w:rsid w:val="00735123"/>
    <w:rsid w:val="00741837"/>
    <w:rsid w:val="007453E6"/>
    <w:rsid w:val="007575BE"/>
    <w:rsid w:val="00764BDD"/>
    <w:rsid w:val="00770453"/>
    <w:rsid w:val="0077309D"/>
    <w:rsid w:val="007774EE"/>
    <w:rsid w:val="00781822"/>
    <w:rsid w:val="00783F21"/>
    <w:rsid w:val="00784261"/>
    <w:rsid w:val="00787159"/>
    <w:rsid w:val="007877CB"/>
    <w:rsid w:val="0079043A"/>
    <w:rsid w:val="00790EF4"/>
    <w:rsid w:val="00791668"/>
    <w:rsid w:val="00791AA1"/>
    <w:rsid w:val="007A3793"/>
    <w:rsid w:val="007B0A56"/>
    <w:rsid w:val="007C1BA2"/>
    <w:rsid w:val="007C2B48"/>
    <w:rsid w:val="007C47CB"/>
    <w:rsid w:val="007D20E9"/>
    <w:rsid w:val="007D7881"/>
    <w:rsid w:val="007D7E3A"/>
    <w:rsid w:val="007E0E10"/>
    <w:rsid w:val="007E382A"/>
    <w:rsid w:val="007E4768"/>
    <w:rsid w:val="007E777B"/>
    <w:rsid w:val="007F2070"/>
    <w:rsid w:val="007F60F6"/>
    <w:rsid w:val="007F63C1"/>
    <w:rsid w:val="008053F5"/>
    <w:rsid w:val="00807AF7"/>
    <w:rsid w:val="00810198"/>
    <w:rsid w:val="00815DA8"/>
    <w:rsid w:val="0082194D"/>
    <w:rsid w:val="008221F9"/>
    <w:rsid w:val="00824F74"/>
    <w:rsid w:val="00826EF5"/>
    <w:rsid w:val="00831693"/>
    <w:rsid w:val="00840104"/>
    <w:rsid w:val="00840382"/>
    <w:rsid w:val="00840C1F"/>
    <w:rsid w:val="008411C9"/>
    <w:rsid w:val="00841FC5"/>
    <w:rsid w:val="00843D0F"/>
    <w:rsid w:val="00845709"/>
    <w:rsid w:val="008576BD"/>
    <w:rsid w:val="00860463"/>
    <w:rsid w:val="008733DA"/>
    <w:rsid w:val="008850E4"/>
    <w:rsid w:val="00890D29"/>
    <w:rsid w:val="008939AB"/>
    <w:rsid w:val="008A12F5"/>
    <w:rsid w:val="008A3C38"/>
    <w:rsid w:val="008A766B"/>
    <w:rsid w:val="008B1587"/>
    <w:rsid w:val="008B1B01"/>
    <w:rsid w:val="008B3BCD"/>
    <w:rsid w:val="008B6DF8"/>
    <w:rsid w:val="008C106C"/>
    <w:rsid w:val="008C10F1"/>
    <w:rsid w:val="008C1926"/>
    <w:rsid w:val="008C1E99"/>
    <w:rsid w:val="008E0085"/>
    <w:rsid w:val="008E2AA6"/>
    <w:rsid w:val="008E311B"/>
    <w:rsid w:val="008E3899"/>
    <w:rsid w:val="008F46E7"/>
    <w:rsid w:val="008F64CA"/>
    <w:rsid w:val="008F6F0B"/>
    <w:rsid w:val="008F7E4B"/>
    <w:rsid w:val="00907BA7"/>
    <w:rsid w:val="0091064E"/>
    <w:rsid w:val="00911FC5"/>
    <w:rsid w:val="00931A10"/>
    <w:rsid w:val="009469D6"/>
    <w:rsid w:val="00947967"/>
    <w:rsid w:val="00955201"/>
    <w:rsid w:val="009563B5"/>
    <w:rsid w:val="0096060E"/>
    <w:rsid w:val="009637F2"/>
    <w:rsid w:val="00965200"/>
    <w:rsid w:val="009668B3"/>
    <w:rsid w:val="00971471"/>
    <w:rsid w:val="009849C2"/>
    <w:rsid w:val="00984D24"/>
    <w:rsid w:val="009858EB"/>
    <w:rsid w:val="00985E94"/>
    <w:rsid w:val="009868B0"/>
    <w:rsid w:val="009A3F47"/>
    <w:rsid w:val="009B0046"/>
    <w:rsid w:val="009C1440"/>
    <w:rsid w:val="009C2107"/>
    <w:rsid w:val="009C5D9E"/>
    <w:rsid w:val="009D2C3E"/>
    <w:rsid w:val="009D7D48"/>
    <w:rsid w:val="009E0625"/>
    <w:rsid w:val="009E26E7"/>
    <w:rsid w:val="009E3034"/>
    <w:rsid w:val="009E549F"/>
    <w:rsid w:val="009F28A8"/>
    <w:rsid w:val="009F473E"/>
    <w:rsid w:val="009F4DAC"/>
    <w:rsid w:val="009F5247"/>
    <w:rsid w:val="009F682A"/>
    <w:rsid w:val="00A022BE"/>
    <w:rsid w:val="00A07888"/>
    <w:rsid w:val="00A07B4B"/>
    <w:rsid w:val="00A24C95"/>
    <w:rsid w:val="00A2599A"/>
    <w:rsid w:val="00A26094"/>
    <w:rsid w:val="00A301BF"/>
    <w:rsid w:val="00A302B2"/>
    <w:rsid w:val="00A331B4"/>
    <w:rsid w:val="00A3484E"/>
    <w:rsid w:val="00A356D3"/>
    <w:rsid w:val="00A36ADA"/>
    <w:rsid w:val="00A37C4D"/>
    <w:rsid w:val="00A438D8"/>
    <w:rsid w:val="00A473F5"/>
    <w:rsid w:val="00A51F9D"/>
    <w:rsid w:val="00A5416A"/>
    <w:rsid w:val="00A635EB"/>
    <w:rsid w:val="00A639F4"/>
    <w:rsid w:val="00A65864"/>
    <w:rsid w:val="00A65FAE"/>
    <w:rsid w:val="00A81A32"/>
    <w:rsid w:val="00A835BD"/>
    <w:rsid w:val="00A8615C"/>
    <w:rsid w:val="00A97015"/>
    <w:rsid w:val="00A97B15"/>
    <w:rsid w:val="00AA42D5"/>
    <w:rsid w:val="00AB2FAB"/>
    <w:rsid w:val="00AB5C14"/>
    <w:rsid w:val="00AC1EE7"/>
    <w:rsid w:val="00AC333F"/>
    <w:rsid w:val="00AC585C"/>
    <w:rsid w:val="00AD1925"/>
    <w:rsid w:val="00AD2711"/>
    <w:rsid w:val="00AD3418"/>
    <w:rsid w:val="00AE067D"/>
    <w:rsid w:val="00AF1181"/>
    <w:rsid w:val="00AF2F79"/>
    <w:rsid w:val="00AF4653"/>
    <w:rsid w:val="00AF7DB7"/>
    <w:rsid w:val="00B10D02"/>
    <w:rsid w:val="00B201E2"/>
    <w:rsid w:val="00B21A23"/>
    <w:rsid w:val="00B443E4"/>
    <w:rsid w:val="00B5484D"/>
    <w:rsid w:val="00B563EA"/>
    <w:rsid w:val="00B56CDF"/>
    <w:rsid w:val="00B60E51"/>
    <w:rsid w:val="00B63A54"/>
    <w:rsid w:val="00B77D18"/>
    <w:rsid w:val="00B8313A"/>
    <w:rsid w:val="00B840B4"/>
    <w:rsid w:val="00B93503"/>
    <w:rsid w:val="00B975C4"/>
    <w:rsid w:val="00BA31E8"/>
    <w:rsid w:val="00BA55E0"/>
    <w:rsid w:val="00BA6BD4"/>
    <w:rsid w:val="00BA6C7A"/>
    <w:rsid w:val="00BB17D1"/>
    <w:rsid w:val="00BB3752"/>
    <w:rsid w:val="00BB6688"/>
    <w:rsid w:val="00BB6D81"/>
    <w:rsid w:val="00BC26D4"/>
    <w:rsid w:val="00BE0C80"/>
    <w:rsid w:val="00BF2A42"/>
    <w:rsid w:val="00BF6BA3"/>
    <w:rsid w:val="00C03D8C"/>
    <w:rsid w:val="00C055EC"/>
    <w:rsid w:val="00C10DC9"/>
    <w:rsid w:val="00C121A1"/>
    <w:rsid w:val="00C12FB3"/>
    <w:rsid w:val="00C17341"/>
    <w:rsid w:val="00C22500"/>
    <w:rsid w:val="00C24EEF"/>
    <w:rsid w:val="00C25CF6"/>
    <w:rsid w:val="00C26C36"/>
    <w:rsid w:val="00C32768"/>
    <w:rsid w:val="00C33AA8"/>
    <w:rsid w:val="00C33E62"/>
    <w:rsid w:val="00C42C46"/>
    <w:rsid w:val="00C431DF"/>
    <w:rsid w:val="00C456BD"/>
    <w:rsid w:val="00C460B3"/>
    <w:rsid w:val="00C530DC"/>
    <w:rsid w:val="00C5350D"/>
    <w:rsid w:val="00C6123C"/>
    <w:rsid w:val="00C6311A"/>
    <w:rsid w:val="00C7084D"/>
    <w:rsid w:val="00C7315E"/>
    <w:rsid w:val="00C75895"/>
    <w:rsid w:val="00C83C9F"/>
    <w:rsid w:val="00C86030"/>
    <w:rsid w:val="00C94840"/>
    <w:rsid w:val="00CA2BE2"/>
    <w:rsid w:val="00CA4EE3"/>
    <w:rsid w:val="00CB027F"/>
    <w:rsid w:val="00CB2716"/>
    <w:rsid w:val="00CC0EBB"/>
    <w:rsid w:val="00CC0F50"/>
    <w:rsid w:val="00CC6297"/>
    <w:rsid w:val="00CC7690"/>
    <w:rsid w:val="00CD1986"/>
    <w:rsid w:val="00CD3152"/>
    <w:rsid w:val="00CD54BF"/>
    <w:rsid w:val="00CE4D5C"/>
    <w:rsid w:val="00CF05DA"/>
    <w:rsid w:val="00CF58EB"/>
    <w:rsid w:val="00CF6FEC"/>
    <w:rsid w:val="00CF7D88"/>
    <w:rsid w:val="00D0106E"/>
    <w:rsid w:val="00D06383"/>
    <w:rsid w:val="00D20E85"/>
    <w:rsid w:val="00D24615"/>
    <w:rsid w:val="00D37842"/>
    <w:rsid w:val="00D42418"/>
    <w:rsid w:val="00D42DC2"/>
    <w:rsid w:val="00D4302B"/>
    <w:rsid w:val="00D537E1"/>
    <w:rsid w:val="00D55BB2"/>
    <w:rsid w:val="00D6091A"/>
    <w:rsid w:val="00D6605A"/>
    <w:rsid w:val="00D6695F"/>
    <w:rsid w:val="00D75644"/>
    <w:rsid w:val="00D81656"/>
    <w:rsid w:val="00D8332E"/>
    <w:rsid w:val="00D83D87"/>
    <w:rsid w:val="00D84A6D"/>
    <w:rsid w:val="00D86A30"/>
    <w:rsid w:val="00D97B8D"/>
    <w:rsid w:val="00D97CB4"/>
    <w:rsid w:val="00D97DD4"/>
    <w:rsid w:val="00DA5A8A"/>
    <w:rsid w:val="00DB1170"/>
    <w:rsid w:val="00DB26CD"/>
    <w:rsid w:val="00DB441C"/>
    <w:rsid w:val="00DB44AF"/>
    <w:rsid w:val="00DB64A7"/>
    <w:rsid w:val="00DC1F58"/>
    <w:rsid w:val="00DC339B"/>
    <w:rsid w:val="00DC5D40"/>
    <w:rsid w:val="00DC6887"/>
    <w:rsid w:val="00DC69A7"/>
    <w:rsid w:val="00DD30E9"/>
    <w:rsid w:val="00DD4F47"/>
    <w:rsid w:val="00DD5209"/>
    <w:rsid w:val="00DD7FBB"/>
    <w:rsid w:val="00DE0B9F"/>
    <w:rsid w:val="00DE2A9E"/>
    <w:rsid w:val="00DE4238"/>
    <w:rsid w:val="00DE657F"/>
    <w:rsid w:val="00DF1218"/>
    <w:rsid w:val="00DF1692"/>
    <w:rsid w:val="00DF6462"/>
    <w:rsid w:val="00E02FA0"/>
    <w:rsid w:val="00E036DC"/>
    <w:rsid w:val="00E10454"/>
    <w:rsid w:val="00E112E5"/>
    <w:rsid w:val="00E122D8"/>
    <w:rsid w:val="00E12CC8"/>
    <w:rsid w:val="00E15352"/>
    <w:rsid w:val="00E21CC7"/>
    <w:rsid w:val="00E24D9E"/>
    <w:rsid w:val="00E25849"/>
    <w:rsid w:val="00E3197E"/>
    <w:rsid w:val="00E342F8"/>
    <w:rsid w:val="00E351ED"/>
    <w:rsid w:val="00E42B19"/>
    <w:rsid w:val="00E56292"/>
    <w:rsid w:val="00E6034B"/>
    <w:rsid w:val="00E6549E"/>
    <w:rsid w:val="00E65EDE"/>
    <w:rsid w:val="00E70F81"/>
    <w:rsid w:val="00E77055"/>
    <w:rsid w:val="00E77460"/>
    <w:rsid w:val="00E83ABC"/>
    <w:rsid w:val="00E844F2"/>
    <w:rsid w:val="00E90AD0"/>
    <w:rsid w:val="00E92FCB"/>
    <w:rsid w:val="00EA147F"/>
    <w:rsid w:val="00EA4A27"/>
    <w:rsid w:val="00EA4FA6"/>
    <w:rsid w:val="00EB1A25"/>
    <w:rsid w:val="00EC7363"/>
    <w:rsid w:val="00ED01C6"/>
    <w:rsid w:val="00ED03AB"/>
    <w:rsid w:val="00ED1963"/>
    <w:rsid w:val="00ED1CD4"/>
    <w:rsid w:val="00ED1D2B"/>
    <w:rsid w:val="00ED64B5"/>
    <w:rsid w:val="00EE7CCA"/>
    <w:rsid w:val="00EF5F58"/>
    <w:rsid w:val="00F00031"/>
    <w:rsid w:val="00F06E53"/>
    <w:rsid w:val="00F12B25"/>
    <w:rsid w:val="00F16A14"/>
    <w:rsid w:val="00F362D7"/>
    <w:rsid w:val="00F37D7B"/>
    <w:rsid w:val="00F5314C"/>
    <w:rsid w:val="00F5688C"/>
    <w:rsid w:val="00F60048"/>
    <w:rsid w:val="00F635DD"/>
    <w:rsid w:val="00F6627B"/>
    <w:rsid w:val="00F7336E"/>
    <w:rsid w:val="00F734F2"/>
    <w:rsid w:val="00F75052"/>
    <w:rsid w:val="00F804D3"/>
    <w:rsid w:val="00F816CB"/>
    <w:rsid w:val="00F81CD2"/>
    <w:rsid w:val="00F82641"/>
    <w:rsid w:val="00F83493"/>
    <w:rsid w:val="00F90F18"/>
    <w:rsid w:val="00F937E4"/>
    <w:rsid w:val="00F95EE7"/>
    <w:rsid w:val="00FA39E6"/>
    <w:rsid w:val="00FA7BC9"/>
    <w:rsid w:val="00FB378E"/>
    <w:rsid w:val="00FB37F1"/>
    <w:rsid w:val="00FB47C0"/>
    <w:rsid w:val="00FB501B"/>
    <w:rsid w:val="00FB719A"/>
    <w:rsid w:val="00FB7770"/>
    <w:rsid w:val="00FB7F5F"/>
    <w:rsid w:val="00FD3B91"/>
    <w:rsid w:val="00FD576B"/>
    <w:rsid w:val="00FD579E"/>
    <w:rsid w:val="00FD6845"/>
    <w:rsid w:val="00FE1C95"/>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EB39AAA-AEAC-491B-9E87-A2BDDF23E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aliases w:val=" 字元, 字元 字元 字元,字元,字元 字元 字元,字元1"/>
    <w:basedOn w:val="a6"/>
    <w:link w:val="afd"/>
    <w:unhideWhenUsed/>
    <w:rsid w:val="00FE1C95"/>
    <w:pPr>
      <w:widowControl/>
      <w:overflowPunct/>
      <w:autoSpaceDE/>
      <w:autoSpaceDN/>
      <w:snapToGrid w:val="0"/>
      <w:ind w:left="567" w:hanging="227"/>
      <w:jc w:val="left"/>
    </w:pPr>
    <w:rPr>
      <w:rFonts w:ascii="Times New Roman"/>
      <w:sz w:val="20"/>
    </w:rPr>
  </w:style>
  <w:style w:type="character" w:customStyle="1" w:styleId="afd">
    <w:name w:val="註腳文字 字元"/>
    <w:aliases w:val=" 字元 字元, 字元 字元 字元 字元,字元 字元,字元 字元 字元 字元,字元1 字元"/>
    <w:basedOn w:val="a7"/>
    <w:link w:val="afc"/>
    <w:rsid w:val="00FE1C95"/>
    <w:rPr>
      <w:rFonts w:eastAsia="標楷體"/>
      <w:kern w:val="2"/>
    </w:rPr>
  </w:style>
  <w:style w:type="character" w:styleId="afe">
    <w:name w:val="footnote reference"/>
    <w:uiPriority w:val="99"/>
    <w:unhideWhenUsed/>
    <w:rsid w:val="00FE1C9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7DC505-1B97-4796-A416-645D9FD6E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12</Pages>
  <Words>989</Words>
  <Characters>5640</Characters>
  <Application>Microsoft Office Word</Application>
  <DocSecurity>0</DocSecurity>
  <Lines>47</Lines>
  <Paragraphs>13</Paragraphs>
  <ScaleCrop>false</ScaleCrop>
  <Company>cy</Company>
  <LinksUpToDate>false</LinksUpToDate>
  <CharactersWithSpaces>6616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陳美如</cp:lastModifiedBy>
  <cp:revision>2</cp:revision>
  <cp:lastPrinted>2021-08-02T09:48:00Z</cp:lastPrinted>
  <dcterms:created xsi:type="dcterms:W3CDTF">2021-08-26T00:40:00Z</dcterms:created>
  <dcterms:modified xsi:type="dcterms:W3CDTF">2021-08-26T00:40:00Z</dcterms:modified>
  <cp:contentStatus/>
</cp:coreProperties>
</file>