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105</w:t>
            </w:r>
            <w:r>
              <w:rPr>
                <w:rFonts w:eastAsia="標楷體" w:hint="eastAsia"/>
                <w:bCs/>
                <w:szCs w:val="28"/>
              </w:rPr>
              <w:t>教調</w:t>
            </w:r>
            <w:r>
              <w:rPr>
                <w:rFonts w:eastAsia="標楷體" w:hint="eastAsia"/>
                <w:bCs/>
                <w:szCs w:val="28"/>
              </w:rPr>
              <w:t>0005</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台北市政府針對有關校園開放時段，學校應使用鐵門等措施隔離教學區與活動區；且針對學校外借場地應有配套措施及適當之動線安排，或能限定於學生放學後，方開放校園供民眾使用或外借場地，以維護學生安全等，殊值參考，教育局業以</w:t>
            </w:r>
            <w:r>
              <w:rPr>
                <w:rFonts w:eastAsia="標楷體" w:hint="eastAsia"/>
                <w:bCs/>
              </w:rPr>
              <w:t>105</w:t>
            </w:r>
            <w:r>
              <w:rPr>
                <w:rFonts w:eastAsia="標楷體" w:hint="eastAsia"/>
                <w:bCs/>
              </w:rPr>
              <w:t>年</w:t>
            </w:r>
            <w:r>
              <w:rPr>
                <w:rFonts w:eastAsia="標楷體" w:hint="eastAsia"/>
                <w:bCs/>
              </w:rPr>
              <w:t>3</w:t>
            </w:r>
            <w:r>
              <w:rPr>
                <w:rFonts w:eastAsia="標楷體" w:hint="eastAsia"/>
                <w:bCs/>
              </w:rPr>
              <w:t>月</w:t>
            </w:r>
            <w:r>
              <w:rPr>
                <w:rFonts w:eastAsia="標楷體" w:hint="eastAsia"/>
                <w:bCs/>
              </w:rPr>
              <w:t>29</w:t>
            </w:r>
            <w:r>
              <w:rPr>
                <w:rFonts w:eastAsia="標楷體" w:hint="eastAsia"/>
                <w:bCs/>
              </w:rPr>
              <w:t>日北市教體字第</w:t>
            </w:r>
            <w:r>
              <w:rPr>
                <w:rFonts w:eastAsia="標楷體" w:hint="eastAsia"/>
                <w:bCs/>
              </w:rPr>
              <w:t>10532975800</w:t>
            </w:r>
            <w:r>
              <w:rPr>
                <w:rFonts w:eastAsia="標楷體" w:hint="eastAsia"/>
                <w:bCs/>
              </w:rPr>
              <w:t>號函發各校配合辦理，以確保校園開放或外借場地時師生安全及校區財產之保障。</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台北市政府成立校園開放時段之志工巡守隊，持續推動「校園安全警監系統」，</w:t>
            </w:r>
            <w:r>
              <w:rPr>
                <w:rFonts w:eastAsia="標楷體" w:hint="eastAsia"/>
                <w:bCs/>
              </w:rPr>
              <w:t>105</w:t>
            </w:r>
            <w:r>
              <w:rPr>
                <w:rFonts w:eastAsia="標楷體" w:hint="eastAsia"/>
                <w:bCs/>
              </w:rPr>
              <w:t>年全面補助學校設置</w:t>
            </w:r>
            <w:r>
              <w:rPr>
                <w:rFonts w:eastAsia="標楷體" w:hint="eastAsia"/>
                <w:bCs/>
              </w:rPr>
              <w:t>(</w:t>
            </w:r>
            <w:r>
              <w:rPr>
                <w:rFonts w:eastAsia="標楷體" w:hint="eastAsia"/>
                <w:bCs/>
              </w:rPr>
              <w:t>含校內監視系統或智慧型電子防護圍籬</w:t>
            </w:r>
            <w:r>
              <w:rPr>
                <w:rFonts w:eastAsia="標楷體" w:hint="eastAsia"/>
                <w:bCs/>
              </w:rPr>
              <w:t>)</w:t>
            </w:r>
            <w:r>
              <w:rPr>
                <w:rFonts w:eastAsia="標楷體" w:hint="eastAsia"/>
                <w:bCs/>
              </w:rPr>
              <w:t>。</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台北市政府教育局持續於重點時段增強保全人力</w:t>
            </w:r>
            <w:r>
              <w:rPr>
                <w:rFonts w:eastAsia="標楷體" w:hint="eastAsia"/>
                <w:bCs/>
              </w:rPr>
              <w:t>(</w:t>
            </w:r>
            <w:r>
              <w:rPr>
                <w:rFonts w:eastAsia="標楷體" w:hint="eastAsia"/>
                <w:bCs/>
              </w:rPr>
              <w:t>每校每日增加</w:t>
            </w:r>
            <w:r>
              <w:rPr>
                <w:rFonts w:eastAsia="標楷體" w:hint="eastAsia"/>
                <w:bCs/>
              </w:rPr>
              <w:t>3</w:t>
            </w:r>
            <w:r>
              <w:rPr>
                <w:rFonts w:eastAsia="標楷體" w:hint="eastAsia"/>
                <w:bCs/>
              </w:rPr>
              <w:t>小時值勤時數</w:t>
            </w:r>
            <w:r>
              <w:rPr>
                <w:rFonts w:eastAsia="標楷體" w:hint="eastAsia"/>
                <w:bCs/>
              </w:rPr>
              <w:t>)</w:t>
            </w:r>
            <w:r>
              <w:rPr>
                <w:rFonts w:eastAsia="標楷體" w:hint="eastAsia"/>
                <w:bCs/>
              </w:rPr>
              <w:t>，業以</w:t>
            </w:r>
            <w:r>
              <w:rPr>
                <w:rFonts w:eastAsia="標楷體" w:hint="eastAsia"/>
                <w:bCs/>
              </w:rPr>
              <w:t>104</w:t>
            </w:r>
            <w:r>
              <w:rPr>
                <w:rFonts w:eastAsia="標楷體" w:hint="eastAsia"/>
                <w:bCs/>
              </w:rPr>
              <w:t>年</w:t>
            </w:r>
            <w:r>
              <w:rPr>
                <w:rFonts w:eastAsia="標楷體" w:hint="eastAsia"/>
                <w:bCs/>
              </w:rPr>
              <w:t>11</w:t>
            </w:r>
            <w:r>
              <w:rPr>
                <w:rFonts w:eastAsia="標楷體" w:hint="eastAsia"/>
                <w:bCs/>
              </w:rPr>
              <w:t>月</w:t>
            </w:r>
            <w:r>
              <w:rPr>
                <w:rFonts w:eastAsia="標楷體" w:hint="eastAsia"/>
                <w:bCs/>
              </w:rPr>
              <w:t>3</w:t>
            </w:r>
            <w:r>
              <w:rPr>
                <w:rFonts w:eastAsia="標楷體" w:hint="eastAsia"/>
                <w:bCs/>
              </w:rPr>
              <w:t>日北市教國字第</w:t>
            </w:r>
            <w:r>
              <w:rPr>
                <w:rFonts w:eastAsia="標楷體" w:hint="eastAsia"/>
                <w:bCs/>
              </w:rPr>
              <w:t>10441433800</w:t>
            </w:r>
            <w:r>
              <w:rPr>
                <w:rFonts w:eastAsia="標楷體" w:hint="eastAsia"/>
                <w:bCs/>
              </w:rPr>
              <w:t>號函請該市公立國民小學妥善規劃校園安全巡守經費人力運用。</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4.</w:t>
            </w:r>
            <w:r>
              <w:rPr>
                <w:rFonts w:eastAsia="標楷體" w:hint="eastAsia"/>
                <w:bCs/>
              </w:rPr>
              <w:t>教育部「</w:t>
            </w:r>
            <w:r>
              <w:rPr>
                <w:rFonts w:eastAsia="標楷體" w:hint="eastAsia"/>
                <w:bCs/>
              </w:rPr>
              <w:t>104</w:t>
            </w:r>
            <w:r>
              <w:rPr>
                <w:rFonts w:eastAsia="標楷體" w:hint="eastAsia"/>
                <w:bCs/>
              </w:rPr>
              <w:t>年各級學校校園事件統計分析報告」，已公告於該部校安中心網頁下載專區。</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5.</w:t>
            </w:r>
            <w:r>
              <w:rPr>
                <w:rFonts w:eastAsia="標楷體" w:hint="eastAsia"/>
                <w:bCs/>
              </w:rPr>
              <w:t>教育部督導各級學校應與轄區警察分局訂定「維護校園安全支援約定書」，定期實施校園安全環境檢測評估工作，續於</w:t>
            </w:r>
            <w:r>
              <w:rPr>
                <w:rFonts w:eastAsia="標楷體" w:hint="eastAsia"/>
                <w:bCs/>
              </w:rPr>
              <w:t>105</w:t>
            </w:r>
            <w:r>
              <w:rPr>
                <w:rFonts w:eastAsia="標楷體" w:hint="eastAsia"/>
                <w:bCs/>
              </w:rPr>
              <w:t>年</w:t>
            </w:r>
            <w:r>
              <w:rPr>
                <w:rFonts w:eastAsia="標楷體" w:hint="eastAsia"/>
                <w:bCs/>
              </w:rPr>
              <w:t>2</w:t>
            </w:r>
            <w:r>
              <w:rPr>
                <w:rFonts w:eastAsia="標楷體" w:hint="eastAsia"/>
                <w:bCs/>
              </w:rPr>
              <w:t>月</w:t>
            </w:r>
            <w:r>
              <w:rPr>
                <w:rFonts w:eastAsia="標楷體" w:hint="eastAsia"/>
                <w:bCs/>
              </w:rPr>
              <w:t>3</w:t>
            </w:r>
            <w:r>
              <w:rPr>
                <w:rFonts w:eastAsia="標楷體" w:hint="eastAsia"/>
                <w:bCs/>
              </w:rPr>
              <w:t>日以臺教國署學字第</w:t>
            </w:r>
            <w:r>
              <w:rPr>
                <w:rFonts w:eastAsia="標楷體" w:hint="eastAsia"/>
                <w:bCs/>
              </w:rPr>
              <w:t>1050013733</w:t>
            </w:r>
            <w:r>
              <w:rPr>
                <w:rFonts w:eastAsia="標楷體" w:hint="eastAsia"/>
                <w:bCs/>
              </w:rPr>
              <w:t>函重申各校每學期前應偕同地區警政單位完成校園安全自主檢核工作。</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6.</w:t>
            </w:r>
            <w:r>
              <w:rPr>
                <w:rFonts w:eastAsia="標楷體" w:hint="eastAsia"/>
                <w:bCs/>
              </w:rPr>
              <w:t>教育部「公立國民中小學老舊廁所整修工程計畫」，</w:t>
            </w:r>
            <w:r>
              <w:rPr>
                <w:rFonts w:eastAsia="標楷體" w:hint="eastAsia"/>
                <w:bCs/>
              </w:rPr>
              <w:t>105</w:t>
            </w:r>
            <w:r>
              <w:rPr>
                <w:rFonts w:eastAsia="標楷體" w:hint="eastAsia"/>
                <w:bCs/>
              </w:rPr>
              <w:t>年度共核定補助</w:t>
            </w:r>
            <w:r>
              <w:rPr>
                <w:rFonts w:eastAsia="標楷體" w:hint="eastAsia"/>
                <w:bCs/>
              </w:rPr>
              <w:t>117</w:t>
            </w:r>
            <w:r>
              <w:rPr>
                <w:rFonts w:eastAsia="標楷體" w:hint="eastAsia"/>
                <w:bCs/>
              </w:rPr>
              <w:t>所公立國民中小學，並協助計</w:t>
            </w:r>
            <w:r>
              <w:rPr>
                <w:rFonts w:eastAsia="標楷體" w:hint="eastAsia"/>
                <w:bCs/>
              </w:rPr>
              <w:t>341</w:t>
            </w:r>
            <w:r>
              <w:rPr>
                <w:rFonts w:eastAsia="標楷體" w:hint="eastAsia"/>
                <w:bCs/>
              </w:rPr>
              <w:t>間老舊廁所進行改善。另</w:t>
            </w:r>
            <w:r>
              <w:rPr>
                <w:rFonts w:eastAsia="標楷體" w:hint="eastAsia"/>
                <w:bCs/>
              </w:rPr>
              <w:t>105</w:t>
            </w:r>
            <w:r>
              <w:rPr>
                <w:rFonts w:eastAsia="標楷體" w:hint="eastAsia"/>
                <w:bCs/>
              </w:rPr>
              <w:t>年專案編列校園安全維護經費</w:t>
            </w:r>
            <w:r>
              <w:rPr>
                <w:rFonts w:eastAsia="標楷體" w:hint="eastAsia"/>
                <w:bCs/>
              </w:rPr>
              <w:t>2</w:t>
            </w:r>
            <w:r>
              <w:rPr>
                <w:rFonts w:eastAsia="標楷體" w:hint="eastAsia"/>
                <w:bCs/>
              </w:rPr>
              <w:t>億</w:t>
            </w:r>
            <w:r>
              <w:rPr>
                <w:rFonts w:eastAsia="標楷體" w:hint="eastAsia"/>
                <w:bCs/>
              </w:rPr>
              <w:t>5,925</w:t>
            </w:r>
            <w:r>
              <w:rPr>
                <w:rFonts w:eastAsia="標楷體" w:hint="eastAsia"/>
                <w:bCs/>
              </w:rPr>
              <w:t>萬</w:t>
            </w:r>
            <w:r>
              <w:rPr>
                <w:rFonts w:eastAsia="標楷體" w:hint="eastAsia"/>
                <w:bCs/>
              </w:rPr>
              <w:t>6,000</w:t>
            </w:r>
            <w:r>
              <w:rPr>
                <w:rFonts w:eastAsia="標楷體" w:hint="eastAsia"/>
                <w:bCs/>
              </w:rPr>
              <w:t>餘元，共計補助</w:t>
            </w:r>
            <w:r>
              <w:rPr>
                <w:rFonts w:eastAsia="標楷體" w:hint="eastAsia"/>
                <w:bCs/>
              </w:rPr>
              <w:t>1,210</w:t>
            </w:r>
            <w:r>
              <w:rPr>
                <w:rFonts w:eastAsia="標楷體" w:hint="eastAsia"/>
                <w:bCs/>
              </w:rPr>
              <w:t>校設置各項警監系統</w:t>
            </w:r>
            <w:r>
              <w:rPr>
                <w:rFonts w:eastAsia="標楷體" w:hint="eastAsia"/>
                <w:bCs/>
              </w:rPr>
              <w:t>(</w:t>
            </w:r>
            <w:r>
              <w:rPr>
                <w:rFonts w:eastAsia="標楷體" w:hint="eastAsia"/>
                <w:bCs/>
              </w:rPr>
              <w:t>包含監視系統、緊急求救鈴、感應照明燈、紅外線感應器、鐵捲門、電子圍籬及電動柵欄門等</w:t>
            </w:r>
            <w:r>
              <w:rPr>
                <w:rFonts w:eastAsia="標楷體" w:hint="eastAsia"/>
                <w:bCs/>
              </w:rPr>
              <w:t>)</w:t>
            </w:r>
            <w:r>
              <w:rPr>
                <w:rFonts w:eastAsia="標楷體" w:hint="eastAsia"/>
                <w:bCs/>
              </w:rPr>
              <w:t>，以彌補校園安全死角與安全維護人力不足。</w:t>
            </w:r>
            <w:r>
              <w:rPr>
                <w:rFonts w:eastAsia="標楷體" w:hint="eastAsia"/>
                <w:bCs/>
              </w:rPr>
              <w:t>106</w:t>
            </w:r>
            <w:r>
              <w:rPr>
                <w:rFonts w:eastAsia="標楷體" w:hint="eastAsia"/>
                <w:bCs/>
              </w:rPr>
              <w:t>年編列</w:t>
            </w:r>
            <w:r>
              <w:rPr>
                <w:rFonts w:eastAsia="標楷體" w:hint="eastAsia"/>
                <w:bCs/>
              </w:rPr>
              <w:t>2</w:t>
            </w:r>
            <w:r>
              <w:rPr>
                <w:rFonts w:eastAsia="標楷體" w:hint="eastAsia"/>
                <w:bCs/>
              </w:rPr>
              <w:t>億</w:t>
            </w:r>
            <w:r>
              <w:rPr>
                <w:rFonts w:eastAsia="標楷體" w:hint="eastAsia"/>
                <w:bCs/>
              </w:rPr>
              <w:t>2,000</w:t>
            </w:r>
            <w:r>
              <w:rPr>
                <w:rFonts w:eastAsia="標楷體" w:hint="eastAsia"/>
                <w:bCs/>
              </w:rPr>
              <w:t>餘萬元經費補助各地方政府協助轄屬學校執行強化校園安全防護工作。</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lastRenderedPageBreak/>
              <w:t>7.</w:t>
            </w:r>
            <w:r>
              <w:rPr>
                <w:rFonts w:eastAsia="標楷體" w:hint="eastAsia"/>
                <w:bCs/>
              </w:rPr>
              <w:t>教育部國教署於</w:t>
            </w:r>
            <w:r>
              <w:rPr>
                <w:rFonts w:eastAsia="標楷體" w:hint="eastAsia"/>
                <w:bCs/>
              </w:rPr>
              <w:t>105</w:t>
            </w:r>
            <w:r>
              <w:rPr>
                <w:rFonts w:eastAsia="標楷體" w:hint="eastAsia"/>
                <w:bCs/>
              </w:rPr>
              <w:t>年</w:t>
            </w:r>
            <w:r>
              <w:rPr>
                <w:rFonts w:eastAsia="標楷體" w:hint="eastAsia"/>
                <w:bCs/>
              </w:rPr>
              <w:t>4</w:t>
            </w:r>
            <w:r>
              <w:rPr>
                <w:rFonts w:eastAsia="標楷體" w:hint="eastAsia"/>
                <w:bCs/>
              </w:rPr>
              <w:t>月</w:t>
            </w:r>
            <w:r>
              <w:rPr>
                <w:rFonts w:eastAsia="標楷體" w:hint="eastAsia"/>
                <w:bCs/>
              </w:rPr>
              <w:t>12</w:t>
            </w:r>
            <w:r>
              <w:rPr>
                <w:rFonts w:eastAsia="標楷體" w:hint="eastAsia"/>
                <w:bCs/>
              </w:rPr>
              <w:t>日召開研商推動「校園周邊安心走廊之愛心服務站建構實施計畫」會議，決議由該部及內政部警政署共同推動。</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8.</w:t>
            </w:r>
            <w:r>
              <w:rPr>
                <w:rFonts w:eastAsia="標楷體" w:hint="eastAsia"/>
                <w:bCs/>
              </w:rPr>
              <w:t>國教署完成修正「強化校園安全防護機制實施計畫」，</w:t>
            </w:r>
            <w:r>
              <w:rPr>
                <w:rFonts w:eastAsia="標楷體" w:hint="eastAsia"/>
                <w:bCs/>
              </w:rPr>
              <w:t>105</w:t>
            </w:r>
            <w:r>
              <w:rPr>
                <w:rFonts w:eastAsia="標楷體" w:hint="eastAsia"/>
                <w:bCs/>
              </w:rPr>
              <w:t>年</w:t>
            </w:r>
            <w:r>
              <w:rPr>
                <w:rFonts w:eastAsia="標楷體" w:hint="eastAsia"/>
                <w:bCs/>
              </w:rPr>
              <w:t>8</w:t>
            </w:r>
            <w:r>
              <w:rPr>
                <w:rFonts w:eastAsia="標楷體" w:hint="eastAsia"/>
                <w:bCs/>
              </w:rPr>
              <w:t>月</w:t>
            </w:r>
            <w:r>
              <w:rPr>
                <w:rFonts w:eastAsia="標楷體" w:hint="eastAsia"/>
                <w:bCs/>
              </w:rPr>
              <w:t>5</w:t>
            </w:r>
            <w:r>
              <w:rPr>
                <w:rFonts w:eastAsia="標楷體" w:hint="eastAsia"/>
                <w:bCs/>
              </w:rPr>
              <w:t>日臺教國署學字第</w:t>
            </w:r>
            <w:r>
              <w:rPr>
                <w:rFonts w:eastAsia="標楷體" w:hint="eastAsia"/>
                <w:bCs/>
              </w:rPr>
              <w:t>1050087101</w:t>
            </w:r>
            <w:r>
              <w:rPr>
                <w:rFonts w:eastAsia="標楷體" w:hint="eastAsia"/>
                <w:bCs/>
              </w:rPr>
              <w:t>號函頒。為掌握各級學校校園安全防護機制建構及執行情形，國教署於</w:t>
            </w:r>
            <w:r>
              <w:rPr>
                <w:rFonts w:eastAsia="標楷體" w:hint="eastAsia"/>
                <w:bCs/>
              </w:rPr>
              <w:t>105</w:t>
            </w:r>
            <w:r>
              <w:rPr>
                <w:rFonts w:eastAsia="標楷體" w:hint="eastAsia"/>
                <w:bCs/>
              </w:rPr>
              <w:t>、</w:t>
            </w:r>
            <w:r>
              <w:rPr>
                <w:rFonts w:eastAsia="標楷體" w:hint="eastAsia"/>
                <w:bCs/>
              </w:rPr>
              <w:t>106</w:t>
            </w:r>
            <w:r>
              <w:rPr>
                <w:rFonts w:eastAsia="標楷體" w:hint="eastAsia"/>
                <w:bCs/>
              </w:rPr>
              <w:t>年特敦聘專家學者至各學校執行現地訪視工作，據以修正「國教署</w:t>
            </w:r>
            <w:r>
              <w:rPr>
                <w:rFonts w:eastAsia="標楷體" w:hint="eastAsia"/>
                <w:bCs/>
              </w:rPr>
              <w:t>107</w:t>
            </w:r>
            <w:r>
              <w:rPr>
                <w:rFonts w:eastAsia="標楷體" w:hint="eastAsia"/>
                <w:bCs/>
              </w:rPr>
              <w:t>年補助地方政府執行強化校園安全防護工作經費計畫」。</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9.</w:t>
            </w:r>
            <w:r>
              <w:rPr>
                <w:rFonts w:eastAsia="標楷體" w:hint="eastAsia"/>
                <w:bCs/>
              </w:rPr>
              <w:t>教育部</w:t>
            </w:r>
            <w:r>
              <w:rPr>
                <w:rFonts w:eastAsia="標楷體" w:hint="eastAsia"/>
                <w:bCs/>
              </w:rPr>
              <w:t>107</w:t>
            </w:r>
            <w:r>
              <w:rPr>
                <w:rFonts w:eastAsia="標楷體" w:hint="eastAsia"/>
                <w:bCs/>
              </w:rPr>
              <w:t>年特敦聘專家學者至各公立國民小學附設幼兒園執行現地訪視工作，計訪視臺北市等</w:t>
            </w:r>
            <w:r>
              <w:rPr>
                <w:rFonts w:eastAsia="標楷體" w:hint="eastAsia"/>
                <w:bCs/>
              </w:rPr>
              <w:t>11</w:t>
            </w:r>
            <w:r>
              <w:rPr>
                <w:rFonts w:eastAsia="標楷體" w:hint="eastAsia"/>
                <w:bCs/>
              </w:rPr>
              <w:t>縣市</w:t>
            </w:r>
            <w:r>
              <w:rPr>
                <w:rFonts w:eastAsia="標楷體" w:hint="eastAsia"/>
                <w:bCs/>
              </w:rPr>
              <w:t>22</w:t>
            </w:r>
            <w:r>
              <w:rPr>
                <w:rFonts w:eastAsia="標楷體" w:hint="eastAsia"/>
                <w:bCs/>
              </w:rPr>
              <w:t>園，執行成效均達標。</w:t>
            </w:r>
          </w:p>
          <w:p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教育部督導全國</w:t>
            </w:r>
            <w:r>
              <w:rPr>
                <w:rFonts w:eastAsia="標楷體" w:hint="eastAsia"/>
                <w:bCs/>
              </w:rPr>
              <w:t>22</w:t>
            </w:r>
            <w:r>
              <w:rPr>
                <w:rFonts w:eastAsia="標楷體" w:hint="eastAsia"/>
                <w:bCs/>
              </w:rPr>
              <w:t>縣市訂定該管各級學校之運動場地設施開放及管理規定，過程中尚未訂之縣</w:t>
            </w:r>
            <w:r>
              <w:rPr>
                <w:rFonts w:eastAsia="標楷體" w:hint="eastAsia"/>
                <w:bCs/>
              </w:rPr>
              <w:t>(</w:t>
            </w:r>
            <w:r>
              <w:rPr>
                <w:rFonts w:eastAsia="標楷體" w:hint="eastAsia"/>
                <w:bCs/>
              </w:rPr>
              <w:t>市</w:t>
            </w:r>
            <w:r>
              <w:rPr>
                <w:rFonts w:eastAsia="標楷體" w:hint="eastAsia"/>
                <w:bCs/>
              </w:rPr>
              <w:t>)</w:t>
            </w:r>
            <w:r>
              <w:rPr>
                <w:rFonts w:eastAsia="標楷體" w:hint="eastAsia"/>
                <w:bCs/>
              </w:rPr>
              <w:t>政府，則由體育署追蹤督導儘速完成相關規範訂定作業。</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教育部</w:t>
            </w:r>
            <w:r>
              <w:rPr>
                <w:rFonts w:eastAsia="標楷體" w:hint="eastAsia"/>
                <w:bCs/>
              </w:rPr>
              <w:t>104</w:t>
            </w:r>
            <w:r>
              <w:rPr>
                <w:rFonts w:eastAsia="標楷體" w:hint="eastAsia"/>
                <w:bCs/>
              </w:rPr>
              <w:t>年</w:t>
            </w:r>
            <w:r>
              <w:rPr>
                <w:rFonts w:eastAsia="標楷體" w:hint="eastAsia"/>
                <w:bCs/>
              </w:rPr>
              <w:t>12</w:t>
            </w:r>
            <w:r>
              <w:rPr>
                <w:rFonts w:eastAsia="標楷體" w:hint="eastAsia"/>
                <w:bCs/>
              </w:rPr>
              <w:t>月</w:t>
            </w:r>
            <w:r>
              <w:rPr>
                <w:rFonts w:eastAsia="標楷體" w:hint="eastAsia"/>
                <w:bCs/>
              </w:rPr>
              <w:t>28</w:t>
            </w:r>
            <w:r>
              <w:rPr>
                <w:rFonts w:eastAsia="標楷體" w:hint="eastAsia"/>
                <w:bCs/>
              </w:rPr>
              <w:t>日及</w:t>
            </w:r>
            <w:r>
              <w:rPr>
                <w:rFonts w:eastAsia="標楷體" w:hint="eastAsia"/>
                <w:bCs/>
              </w:rPr>
              <w:t>105</w:t>
            </w:r>
            <w:r>
              <w:rPr>
                <w:rFonts w:eastAsia="標楷體" w:hint="eastAsia"/>
                <w:bCs/>
              </w:rPr>
              <w:t>年</w:t>
            </w:r>
            <w:r>
              <w:rPr>
                <w:rFonts w:eastAsia="標楷體" w:hint="eastAsia"/>
                <w:bCs/>
              </w:rPr>
              <w:t>1</w:t>
            </w:r>
            <w:r>
              <w:rPr>
                <w:rFonts w:eastAsia="標楷體" w:hint="eastAsia"/>
                <w:bCs/>
              </w:rPr>
              <w:t>月</w:t>
            </w:r>
            <w:r>
              <w:rPr>
                <w:rFonts w:eastAsia="標楷體" w:hint="eastAsia"/>
                <w:bCs/>
              </w:rPr>
              <w:t>13</w:t>
            </w:r>
            <w:r>
              <w:rPr>
                <w:rFonts w:eastAsia="標楷體" w:hint="eastAsia"/>
                <w:bCs/>
              </w:rPr>
              <w:t>日先後函發「近期校外人士入侵校園案例暨有關強化校園安全防護機制應行注意事項」及「為強化高級中等學校校園安全工作說明事項」。</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教育部「親和性圍籬設置之安全性自我風險評估表」經該部邀集專家學者研議後，修訂為「教育部永續校園親和性圍籬施作檢核表」，並於</w:t>
            </w:r>
            <w:r>
              <w:rPr>
                <w:rFonts w:eastAsia="標楷體" w:hint="eastAsia"/>
                <w:bCs/>
              </w:rPr>
              <w:t>106</w:t>
            </w:r>
            <w:r>
              <w:rPr>
                <w:rFonts w:eastAsia="標楷體" w:hint="eastAsia"/>
                <w:bCs/>
              </w:rPr>
              <w:t>年公告，供地方政府參用。</w:t>
            </w:r>
            <w:r>
              <w:rPr>
                <w:rFonts w:eastAsia="標楷體" w:hint="eastAsia"/>
                <w:bCs/>
              </w:rPr>
              <w:t xml:space="preserve"> </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教育及文化、內政及少數民族委員會108.12.12第5屆第63次聯席會議決議 : 結案存查。</w:t>
            </w:r>
          </w:p>
        </w:tc>
      </w:tr>
    </w:tbl>
    <w:p w:rsidR="008E6A2A" w:rsidRDefault="008E6A2A" w:rsidP="00966A1D">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5C" w:rsidRDefault="0022045C" w:rsidP="008E6A2A">
      <w:r>
        <w:separator/>
      </w:r>
    </w:p>
  </w:endnote>
  <w:endnote w:type="continuationSeparator" w:id="0">
    <w:p w:rsidR="0022045C" w:rsidRDefault="0022045C"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2A" w:rsidRDefault="007749D6">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2A" w:rsidRPr="00530BF4" w:rsidRDefault="008E6A2A" w:rsidP="00530BF4">
    <w:pPr>
      <w:pStyle w:val="a9"/>
      <w:tabs>
        <w:tab w:val="clear" w:pos="4153"/>
        <w:tab w:val="clear" w:pos="8306"/>
        <w:tab w:val="center" w:pos="7002"/>
        <w:tab w:val="right" w:pos="14004"/>
      </w:tabs>
      <w:ind w:right="360"/>
      <w:rPr>
        <w:rFonts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5C" w:rsidRDefault="0022045C" w:rsidP="008E6A2A">
      <w:r>
        <w:separator/>
      </w:r>
    </w:p>
  </w:footnote>
  <w:footnote w:type="continuationSeparator" w:id="0">
    <w:p w:rsidR="0022045C" w:rsidRDefault="0022045C"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監察院教育及文化委員會調查報告結案情形一覽表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2045C"/>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749D6"/>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6A1D"/>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1C7C"/>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DD24D7"/>
    <w:rsid w:val="00E177C9"/>
    <w:rsid w:val="00E84CC0"/>
    <w:rsid w:val="00E92538"/>
    <w:rsid w:val="00E93223"/>
    <w:rsid w:val="00E95086"/>
    <w:rsid w:val="00EB069A"/>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831E5-62C1-4F9A-8FD1-3D60F832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link w:val="a6"/>
    <w:rsid w:val="00B24DA2"/>
    <w:rPr>
      <w:rFonts w:eastAsia="細明體"/>
      <w:sz w:val="24"/>
    </w:rPr>
  </w:style>
  <w:style w:type="character" w:customStyle="1" w:styleId="ae">
    <w:name w:val="註解主旨 字元"/>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1142</Characters>
  <Application>Microsoft Office Word</Application>
  <DocSecurity>0</DocSecurity>
  <Lines>9</Lines>
  <Paragraphs>2</Paragraphs>
  <ScaleCrop>false</ScaleCrop>
  <Company>監察院</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江明潔</cp:lastModifiedBy>
  <cp:revision>2</cp:revision>
  <cp:lastPrinted>2010-06-29T02:42:00Z</cp:lastPrinted>
  <dcterms:created xsi:type="dcterms:W3CDTF">2021-06-18T00:56:00Z</dcterms:created>
  <dcterms:modified xsi:type="dcterms:W3CDTF">2021-06-18T00:56:00Z</dcterms:modified>
</cp:coreProperties>
</file>