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13972" w:rsidRDefault="00FE3C52" w:rsidP="00F37D7B">
      <w:pPr>
        <w:pStyle w:val="af1"/>
      </w:pPr>
      <w:bookmarkStart w:id="0" w:name="_GoBack"/>
      <w:bookmarkEnd w:id="0"/>
      <w:r w:rsidRPr="00A13972">
        <w:rPr>
          <w:rFonts w:hint="eastAsia"/>
        </w:rPr>
        <w:t xml:space="preserve"> </w:t>
      </w:r>
      <w:r w:rsidR="004F216B" w:rsidRPr="00A13972">
        <w:rPr>
          <w:rFonts w:hint="eastAsia"/>
        </w:rPr>
        <w:t>調查</w:t>
      </w:r>
      <w:r w:rsidR="00F865F0" w:rsidRPr="00A13972">
        <w:rPr>
          <w:rFonts w:hint="eastAsia"/>
        </w:rPr>
        <w:t>報告</w:t>
      </w:r>
    </w:p>
    <w:p w:rsidR="00E25849" w:rsidRPr="00A13972" w:rsidRDefault="00E25849" w:rsidP="007C0EA2">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13972">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7C0EA2" w:rsidRPr="00A13972">
        <w:rPr>
          <w:rFonts w:hAnsi="標楷體" w:hint="eastAsia"/>
          <w:szCs w:val="32"/>
        </w:rPr>
        <w:t>據審計部108年度中央政府總決算審核報告，國內一般事業廢棄物除再利用外，責任業者為節省成本，多數仍委由24座大型焚化廠或掩埋場處理，未符合廢棄物清理法規定，且衍生排擠一般廢棄物去化問題，有待行政院環境保護署協調相關目的事業主管機關研謀增設一般事業廢棄物處理設施，協助各類事業廢棄物有效去化等情案。</w:t>
      </w:r>
    </w:p>
    <w:p w:rsidR="00E25849" w:rsidRPr="00A13972"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A13972">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192F12" w:rsidRPr="00A13972" w:rsidRDefault="007A0AF3" w:rsidP="00192F12">
      <w:pPr>
        <w:pStyle w:val="20"/>
        <w:ind w:leftChars="200" w:left="680" w:firstLine="680"/>
      </w:pPr>
      <w:bookmarkStart w:id="50" w:name="_Toc524902730"/>
      <w:r w:rsidRPr="00A13972">
        <w:rPr>
          <w:rFonts w:hint="eastAsia"/>
          <w:szCs w:val="32"/>
        </w:rPr>
        <w:t>目前國內興建完成並營運計有</w:t>
      </w:r>
      <w:r w:rsidRPr="00A13972">
        <w:rPr>
          <w:szCs w:val="32"/>
        </w:rPr>
        <w:t>24座大型焚化廠</w:t>
      </w:r>
      <w:r w:rsidRPr="00A13972">
        <w:rPr>
          <w:rFonts w:hint="eastAsia"/>
          <w:szCs w:val="32"/>
        </w:rPr>
        <w:t>(21座公有、3座民有)，包括初期由政府出資之</w:t>
      </w:r>
      <w:r w:rsidRPr="00A13972">
        <w:rPr>
          <w:szCs w:val="32"/>
        </w:rPr>
        <w:t>公有公營、</w:t>
      </w:r>
      <w:r w:rsidRPr="00A13972">
        <w:rPr>
          <w:rFonts w:hint="eastAsia"/>
          <w:szCs w:val="32"/>
        </w:rPr>
        <w:t>中期由政府興建委託民間經營之</w:t>
      </w:r>
      <w:r w:rsidRPr="00A13972">
        <w:rPr>
          <w:szCs w:val="32"/>
        </w:rPr>
        <w:t>公有民營</w:t>
      </w:r>
      <w:r w:rsidRPr="00A13972">
        <w:rPr>
          <w:rFonts w:hint="eastAsia"/>
          <w:szCs w:val="32"/>
        </w:rPr>
        <w:t>，以</w:t>
      </w:r>
      <w:r w:rsidRPr="00A13972">
        <w:rPr>
          <w:szCs w:val="32"/>
        </w:rPr>
        <w:t>及</w:t>
      </w:r>
      <w:r w:rsidRPr="00A13972">
        <w:rPr>
          <w:rFonts w:hint="eastAsia"/>
          <w:szCs w:val="32"/>
        </w:rPr>
        <w:t>後期以促參方式辦理之</w:t>
      </w:r>
      <w:r w:rsidRPr="00A13972">
        <w:rPr>
          <w:szCs w:val="32"/>
        </w:rPr>
        <w:t>民有民營</w:t>
      </w:r>
      <w:r w:rsidRPr="00A13972">
        <w:rPr>
          <w:rFonts w:hint="eastAsia"/>
          <w:szCs w:val="32"/>
        </w:rPr>
        <w:t>等3種營運方式，主要用以處理民眾生活產生之一般廢棄物，仍有餘裕處理能量時，始得處理可燃性一般事業廢棄物；</w:t>
      </w:r>
      <w:r w:rsidRPr="00A13972">
        <w:rPr>
          <w:rFonts w:hAnsi="標楷體" w:hint="eastAsia"/>
          <w:bCs/>
          <w:kern w:val="0"/>
          <w:szCs w:val="24"/>
          <w:lang w:eastAsia="zh-HK"/>
        </w:rPr>
        <w:t>另</w:t>
      </w:r>
      <w:r w:rsidRPr="00A13972">
        <w:rPr>
          <w:rFonts w:hAnsi="標楷體" w:hint="eastAsia"/>
          <w:bCs/>
          <w:kern w:val="0"/>
          <w:szCs w:val="24"/>
        </w:rPr>
        <w:t>國內專門處理事業廢棄物之機構</w:t>
      </w:r>
      <w:r w:rsidR="0091692E" w:rsidRPr="00A13972">
        <w:rPr>
          <w:rFonts w:hAnsi="標楷體" w:hint="eastAsia"/>
          <w:bCs/>
          <w:kern w:val="0"/>
          <w:szCs w:val="24"/>
        </w:rPr>
        <w:t>中</w:t>
      </w:r>
      <w:r w:rsidRPr="00A13972">
        <w:rPr>
          <w:rFonts w:hAnsi="標楷體" w:hint="eastAsia"/>
          <w:bCs/>
          <w:kern w:val="0"/>
          <w:szCs w:val="24"/>
        </w:rPr>
        <w:t>，截至108年底止，計有18家公民營廢棄物焚化廠，以108年度月平均申報量為16,403.5公噸計算，公民營廢棄物焚化廠尚有餘裕量</w:t>
      </w:r>
      <w:r w:rsidR="0091692E" w:rsidRPr="00A13972">
        <w:rPr>
          <w:rFonts w:hAnsi="標楷體" w:hint="eastAsia"/>
          <w:bCs/>
          <w:kern w:val="0"/>
          <w:szCs w:val="24"/>
        </w:rPr>
        <w:t>。</w:t>
      </w:r>
      <w:r w:rsidR="00192F12" w:rsidRPr="00A13972">
        <w:rPr>
          <w:rFonts w:hAnsi="標楷體" w:hint="eastAsia"/>
          <w:szCs w:val="32"/>
        </w:rPr>
        <w:t>關於「</w:t>
      </w:r>
      <w:r w:rsidR="00277980" w:rsidRPr="00A13972">
        <w:rPr>
          <w:rFonts w:hAnsi="標楷體" w:hint="eastAsia"/>
          <w:szCs w:val="32"/>
        </w:rPr>
        <w:t>據審計部108年度中央政府總決算審核報告，國內一般事業廢棄物除再利用外，責任業者為節省成本，多數仍委由24座大型焚化廠或掩埋場處理，未符合廢棄物清理法規定，且衍生排擠一般廢棄物去化問題，有待行政院環境保護署協調相關目的事業主管機關研謀增設一般事業廢棄物處理設施，協助各類事業廢棄物有效去化等情</w:t>
      </w:r>
      <w:r w:rsidR="00192F12" w:rsidRPr="00A13972">
        <w:rPr>
          <w:rFonts w:hAnsi="標楷體" w:hint="eastAsia"/>
          <w:szCs w:val="32"/>
        </w:rPr>
        <w:t>」一案，</w:t>
      </w:r>
      <w:r w:rsidR="00277980" w:rsidRPr="00A13972">
        <w:rPr>
          <w:rFonts w:hAnsi="標楷體" w:hint="eastAsia"/>
          <w:szCs w:val="32"/>
        </w:rPr>
        <w:t>經本院函詢及調閱審計部、行政院環境保護署(下稱環保署)有關案卷資料，並於民國(下同)109年11月7日邀請審計部到院簡報座談，再於110年3月22日約詢環保署、經濟部相關主管人員</w:t>
      </w:r>
      <w:r w:rsidR="00146C9B" w:rsidRPr="00A13972">
        <w:rPr>
          <w:rFonts w:hAnsi="標楷體" w:hint="eastAsia"/>
          <w:kern w:val="0"/>
        </w:rPr>
        <w:t>，</w:t>
      </w:r>
      <w:r w:rsidR="00192F12" w:rsidRPr="00A13972">
        <w:rPr>
          <w:rFonts w:hAnsi="標楷體" w:hint="eastAsia"/>
          <w:szCs w:val="32"/>
        </w:rPr>
        <w:t>業已調查竣事，茲臚列調查意見如下：</w:t>
      </w:r>
    </w:p>
    <w:p w:rsidR="00903B0B" w:rsidRPr="00A13972" w:rsidRDefault="00903B0B" w:rsidP="00903B0B">
      <w:pPr>
        <w:pStyle w:val="2"/>
        <w:rPr>
          <w:rFonts w:hAnsi="標楷體"/>
          <w:b/>
          <w:bCs w:val="0"/>
          <w:szCs w:val="32"/>
        </w:rPr>
      </w:pPr>
      <w:bookmarkStart w:id="51" w:name="_Toc421794873"/>
      <w:bookmarkStart w:id="52" w:name="_Toc422834158"/>
      <w:r w:rsidRPr="00A13972">
        <w:rPr>
          <w:rFonts w:hAnsi="標楷體" w:hint="eastAsia"/>
          <w:b/>
          <w:bCs w:val="0"/>
          <w:kern w:val="2"/>
          <w:szCs w:val="32"/>
        </w:rPr>
        <w:lastRenderedPageBreak/>
        <w:t>按執行機關受託處理一般事業廢棄物，應於處理一般廢棄物後，仍有餘裕處理能量，始得為之，「廢棄物清理法」第28條第6項規定甚明。然查，部分地方政府轄內大型焚化廠一般廢棄物處理能量已無餘裕，甚至供不應求，卻仍收受處理一般事業廢棄物，</w:t>
      </w:r>
      <w:r w:rsidR="00DF1282" w:rsidRPr="00A13972">
        <w:rPr>
          <w:rFonts w:hAnsi="標楷體" w:hint="eastAsia"/>
          <w:b/>
          <w:bCs w:val="0"/>
          <w:kern w:val="2"/>
          <w:szCs w:val="32"/>
        </w:rPr>
        <w:t>雖有顧及轄內產業發展之考量，然</w:t>
      </w:r>
      <w:r w:rsidR="0021763C" w:rsidRPr="00A13972">
        <w:rPr>
          <w:rFonts w:hAnsi="標楷體" w:hint="eastAsia"/>
          <w:b/>
          <w:bCs w:val="0"/>
          <w:kern w:val="2"/>
          <w:szCs w:val="32"/>
        </w:rPr>
        <w:t>長此以往，</w:t>
      </w:r>
      <w:r w:rsidR="006E3FA4" w:rsidRPr="00A13972">
        <w:rPr>
          <w:rFonts w:hAnsi="標楷體" w:hint="eastAsia"/>
          <w:b/>
          <w:bCs w:val="0"/>
          <w:kern w:val="2"/>
          <w:szCs w:val="32"/>
        </w:rPr>
        <w:t>將</w:t>
      </w:r>
      <w:r w:rsidR="00AD285B" w:rsidRPr="00A13972">
        <w:rPr>
          <w:rFonts w:hAnsi="標楷體" w:hint="eastAsia"/>
          <w:b/>
          <w:bCs w:val="0"/>
          <w:kern w:val="2"/>
          <w:szCs w:val="32"/>
        </w:rPr>
        <w:t>排擠一般廢棄物去化，</w:t>
      </w:r>
      <w:r w:rsidR="0091692E" w:rsidRPr="00A13972">
        <w:rPr>
          <w:rFonts w:hAnsi="標楷體" w:hint="eastAsia"/>
          <w:b/>
          <w:bCs w:val="0"/>
          <w:kern w:val="2"/>
          <w:szCs w:val="32"/>
        </w:rPr>
        <w:t>恐有違法之虞</w:t>
      </w:r>
      <w:r w:rsidRPr="00A13972">
        <w:rPr>
          <w:rFonts w:hAnsi="標楷體" w:hint="eastAsia"/>
          <w:b/>
          <w:bCs w:val="0"/>
          <w:kern w:val="2"/>
          <w:szCs w:val="32"/>
        </w:rPr>
        <w:t>。</w:t>
      </w:r>
    </w:p>
    <w:p w:rsidR="00E422E7" w:rsidRPr="00A13972" w:rsidRDefault="00E422E7" w:rsidP="00E422E7">
      <w:pPr>
        <w:pStyle w:val="3"/>
        <w:rPr>
          <w:szCs w:val="32"/>
        </w:rPr>
      </w:pPr>
      <w:r w:rsidRPr="00A13972">
        <w:rPr>
          <w:rFonts w:cs="標楷體" w:hint="eastAsia"/>
          <w:kern w:val="0"/>
          <w:szCs w:val="32"/>
        </w:rPr>
        <w:t>「廢棄物清理法」第28條第1項第3款第2目規定：「事業廢棄物之清理，除再利用方式外，應以下列方式為之</w:t>
      </w:r>
      <w:r w:rsidRPr="00A13972">
        <w:rPr>
          <w:rFonts w:hint="eastAsia"/>
          <w:kern w:val="0"/>
          <w:szCs w:val="32"/>
        </w:rPr>
        <w:t>：</w:t>
      </w:r>
      <w:r w:rsidRPr="00A13972">
        <w:rPr>
          <w:rFonts w:hAnsi="標楷體" w:hint="eastAsia"/>
          <w:kern w:val="0"/>
          <w:szCs w:val="32"/>
        </w:rPr>
        <w:t>……</w:t>
      </w:r>
      <w:r w:rsidRPr="00A13972">
        <w:rPr>
          <w:rFonts w:hint="eastAsia"/>
          <w:kern w:val="0"/>
          <w:szCs w:val="32"/>
        </w:rPr>
        <w:t>三、委託清除、處理：</w:t>
      </w:r>
      <w:r w:rsidRPr="00A13972">
        <w:rPr>
          <w:rFonts w:hAnsi="標楷體" w:hint="eastAsia"/>
          <w:kern w:val="0"/>
          <w:szCs w:val="32"/>
        </w:rPr>
        <w:t>……</w:t>
      </w:r>
      <w:r w:rsidRPr="00A13972">
        <w:rPr>
          <w:rFonts w:hint="eastAsia"/>
          <w:kern w:val="0"/>
          <w:szCs w:val="32"/>
        </w:rPr>
        <w:t>(二)經執行機關同意，委託其清除、處理</w:t>
      </w:r>
      <w:r w:rsidRPr="00A13972">
        <w:rPr>
          <w:rStyle w:val="afe"/>
          <w:kern w:val="0"/>
          <w:szCs w:val="32"/>
        </w:rPr>
        <w:footnoteReference w:id="1"/>
      </w:r>
      <w:r w:rsidRPr="00A13972">
        <w:rPr>
          <w:rFonts w:hAnsi="標楷體" w:hint="eastAsia"/>
          <w:kern w:val="0"/>
          <w:szCs w:val="32"/>
        </w:rPr>
        <w:t>……</w:t>
      </w:r>
      <w:r w:rsidRPr="00A13972">
        <w:rPr>
          <w:rFonts w:hint="eastAsia"/>
          <w:kern w:val="0"/>
          <w:szCs w:val="32"/>
        </w:rPr>
        <w:t>。」查</w:t>
      </w:r>
      <w:r w:rsidR="008E6BA3" w:rsidRPr="00A13972">
        <w:rPr>
          <w:rFonts w:cs="標楷體" w:hint="eastAsia"/>
          <w:kern w:val="0"/>
          <w:szCs w:val="32"/>
        </w:rPr>
        <w:t>目前國內興建完成並營運之</w:t>
      </w:r>
      <w:r w:rsidR="008E6BA3" w:rsidRPr="00A13972">
        <w:rPr>
          <w:rFonts w:cs="標楷體"/>
          <w:kern w:val="0"/>
          <w:szCs w:val="32"/>
        </w:rPr>
        <w:t>大型焚化廠</w:t>
      </w:r>
      <w:r w:rsidR="008E6BA3" w:rsidRPr="00A13972">
        <w:rPr>
          <w:rFonts w:cs="標楷體" w:hint="eastAsia"/>
          <w:kern w:val="0"/>
          <w:szCs w:val="32"/>
        </w:rPr>
        <w:t>計有</w:t>
      </w:r>
      <w:r w:rsidR="008E6BA3" w:rsidRPr="00A13972">
        <w:rPr>
          <w:rFonts w:cs="標楷體"/>
          <w:kern w:val="0"/>
          <w:szCs w:val="32"/>
        </w:rPr>
        <w:t>24座</w:t>
      </w:r>
      <w:r w:rsidR="008E6BA3" w:rsidRPr="00A13972">
        <w:rPr>
          <w:rFonts w:cs="標楷體" w:hint="eastAsia"/>
          <w:kern w:val="0"/>
          <w:szCs w:val="32"/>
        </w:rPr>
        <w:t>(21座公有、3座民有)，包括早期由政府出資之</w:t>
      </w:r>
      <w:r w:rsidR="008E6BA3" w:rsidRPr="00A13972">
        <w:rPr>
          <w:rFonts w:cs="標楷體"/>
          <w:kern w:val="0"/>
          <w:szCs w:val="32"/>
        </w:rPr>
        <w:t>公有公營、</w:t>
      </w:r>
      <w:r w:rsidR="008E6BA3" w:rsidRPr="00A13972">
        <w:rPr>
          <w:rFonts w:cs="標楷體" w:hint="eastAsia"/>
          <w:kern w:val="0"/>
          <w:szCs w:val="32"/>
        </w:rPr>
        <w:t>中期由政府興建委託民間經營之</w:t>
      </w:r>
      <w:r w:rsidR="008E6BA3" w:rsidRPr="00A13972">
        <w:rPr>
          <w:rFonts w:cs="標楷體"/>
          <w:kern w:val="0"/>
          <w:szCs w:val="32"/>
        </w:rPr>
        <w:t>公有民營</w:t>
      </w:r>
      <w:r w:rsidR="008E6BA3" w:rsidRPr="00A13972">
        <w:rPr>
          <w:rFonts w:cs="標楷體" w:hint="eastAsia"/>
          <w:kern w:val="0"/>
          <w:szCs w:val="32"/>
        </w:rPr>
        <w:t>，以</w:t>
      </w:r>
      <w:r w:rsidR="008E6BA3" w:rsidRPr="00A13972">
        <w:rPr>
          <w:rFonts w:cs="標楷體"/>
          <w:kern w:val="0"/>
          <w:szCs w:val="32"/>
        </w:rPr>
        <w:t>及</w:t>
      </w:r>
      <w:r w:rsidR="008E6BA3" w:rsidRPr="00A13972">
        <w:rPr>
          <w:rFonts w:cs="標楷體" w:hint="eastAsia"/>
          <w:kern w:val="0"/>
          <w:szCs w:val="32"/>
        </w:rPr>
        <w:t>後期以促參方式辦理之</w:t>
      </w:r>
      <w:r w:rsidR="008E6BA3" w:rsidRPr="00A13972">
        <w:rPr>
          <w:rFonts w:cs="標楷體"/>
          <w:kern w:val="0"/>
          <w:szCs w:val="32"/>
        </w:rPr>
        <w:t>民有民營</w:t>
      </w:r>
      <w:r w:rsidR="008E6BA3" w:rsidRPr="00A13972">
        <w:rPr>
          <w:rFonts w:cs="標楷體" w:hint="eastAsia"/>
          <w:kern w:val="0"/>
          <w:szCs w:val="32"/>
        </w:rPr>
        <w:t>等3種</w:t>
      </w:r>
      <w:r w:rsidR="008E6BA3" w:rsidRPr="00A13972">
        <w:rPr>
          <w:rFonts w:cs="標楷體"/>
          <w:kern w:val="0"/>
          <w:szCs w:val="32"/>
        </w:rPr>
        <w:t>。</w:t>
      </w:r>
      <w:r w:rsidRPr="00A13972">
        <w:rPr>
          <w:rFonts w:cs="標楷體" w:hint="eastAsia"/>
          <w:kern w:val="0"/>
          <w:szCs w:val="32"/>
        </w:rPr>
        <w:t>而</w:t>
      </w:r>
      <w:r w:rsidR="008E6BA3" w:rsidRPr="00A13972">
        <w:rPr>
          <w:rFonts w:hint="eastAsia"/>
          <w:szCs w:val="32"/>
        </w:rPr>
        <w:t>除少數公有公營廠外，大多採委外操作方式辦理，依據委託契約內容，</w:t>
      </w:r>
      <w:r w:rsidRPr="00A13972">
        <w:rPr>
          <w:rFonts w:hint="eastAsia"/>
          <w:szCs w:val="32"/>
        </w:rPr>
        <w:t>上開</w:t>
      </w:r>
      <w:r w:rsidR="008E6BA3" w:rsidRPr="00A13972">
        <w:rPr>
          <w:rFonts w:hint="eastAsia"/>
          <w:szCs w:val="32"/>
        </w:rPr>
        <w:t>焚化廠量能主要為</w:t>
      </w:r>
      <w:r w:rsidR="00CC6523" w:rsidRPr="00A13972">
        <w:rPr>
          <w:rFonts w:hint="eastAsia"/>
          <w:szCs w:val="32"/>
        </w:rPr>
        <w:t>處理</w:t>
      </w:r>
      <w:r w:rsidR="008E6BA3" w:rsidRPr="00A13972">
        <w:rPr>
          <w:rFonts w:hint="eastAsia"/>
          <w:szCs w:val="32"/>
        </w:rPr>
        <w:t>各地方</w:t>
      </w:r>
      <w:r w:rsidR="00CC6523" w:rsidRPr="00A13972">
        <w:rPr>
          <w:rFonts w:hint="eastAsia"/>
          <w:szCs w:val="32"/>
        </w:rPr>
        <w:t>政府</w:t>
      </w:r>
      <w:r w:rsidRPr="00A13972">
        <w:rPr>
          <w:rFonts w:hint="eastAsia"/>
          <w:szCs w:val="32"/>
        </w:rPr>
        <w:t>之</w:t>
      </w:r>
      <w:r w:rsidR="008E6BA3" w:rsidRPr="00A13972">
        <w:rPr>
          <w:rFonts w:hint="eastAsia"/>
          <w:szCs w:val="32"/>
        </w:rPr>
        <w:t>家戶垃圾（</w:t>
      </w:r>
      <w:r w:rsidRPr="00A13972">
        <w:rPr>
          <w:rFonts w:hint="eastAsia"/>
          <w:kern w:val="0"/>
          <w:szCs w:val="32"/>
        </w:rPr>
        <w:t>一般廢棄物</w:t>
      </w:r>
      <w:r w:rsidR="008E6BA3" w:rsidRPr="00A13972">
        <w:rPr>
          <w:rFonts w:hint="eastAsia"/>
          <w:szCs w:val="32"/>
        </w:rPr>
        <w:t>），剩餘量能部分</w:t>
      </w:r>
      <w:r w:rsidR="00CC6523" w:rsidRPr="00A13972">
        <w:rPr>
          <w:rFonts w:hint="eastAsia"/>
          <w:szCs w:val="32"/>
        </w:rPr>
        <w:t>則</w:t>
      </w:r>
      <w:r w:rsidR="008E6BA3" w:rsidRPr="00A13972">
        <w:rPr>
          <w:rFonts w:hint="eastAsia"/>
          <w:szCs w:val="32"/>
        </w:rPr>
        <w:t>由操作廠商自行收受民間一般事業廢棄物，以填補操作廠商營運收入。</w:t>
      </w:r>
    </w:p>
    <w:p w:rsidR="008E6BA3" w:rsidRPr="00A13972" w:rsidRDefault="00E422E7" w:rsidP="00E422E7">
      <w:pPr>
        <w:pStyle w:val="3"/>
        <w:rPr>
          <w:kern w:val="0"/>
          <w:szCs w:val="32"/>
        </w:rPr>
      </w:pPr>
      <w:r w:rsidRPr="00A13972">
        <w:rPr>
          <w:rFonts w:hint="eastAsia"/>
          <w:szCs w:val="32"/>
        </w:rPr>
        <w:t>探究</w:t>
      </w:r>
      <w:r w:rsidRPr="00A13972">
        <w:rPr>
          <w:rFonts w:cs="標楷體"/>
          <w:kern w:val="0"/>
          <w:szCs w:val="32"/>
        </w:rPr>
        <w:t>24座大型焚化廠</w:t>
      </w:r>
      <w:r w:rsidR="008E6BA3" w:rsidRPr="00A13972">
        <w:rPr>
          <w:rFonts w:cs="標楷體" w:hint="eastAsia"/>
          <w:kern w:val="0"/>
          <w:szCs w:val="32"/>
        </w:rPr>
        <w:t>處理一般事業廢棄物</w:t>
      </w:r>
      <w:r w:rsidRPr="00A13972">
        <w:rPr>
          <w:rFonts w:cs="標楷體" w:hint="eastAsia"/>
          <w:kern w:val="0"/>
          <w:szCs w:val="32"/>
        </w:rPr>
        <w:t>之緣由</w:t>
      </w:r>
      <w:r w:rsidR="008E6BA3" w:rsidRPr="00A13972">
        <w:rPr>
          <w:rFonts w:cs="標楷體" w:hint="eastAsia"/>
          <w:kern w:val="0"/>
          <w:szCs w:val="32"/>
        </w:rPr>
        <w:t>，</w:t>
      </w:r>
      <w:r w:rsidRPr="00A13972">
        <w:rPr>
          <w:rFonts w:cs="標楷體" w:hint="eastAsia"/>
          <w:kern w:val="0"/>
          <w:szCs w:val="32"/>
        </w:rPr>
        <w:t>係</w:t>
      </w:r>
      <w:r w:rsidR="008E6BA3" w:rsidRPr="00A13972">
        <w:rPr>
          <w:rFonts w:cs="標楷體" w:hint="eastAsia"/>
          <w:kern w:val="0"/>
          <w:szCs w:val="32"/>
        </w:rPr>
        <w:t>鑑於國內一般事業廢棄物專用處理設施不足，為顧及產業發展並減少事業</w:t>
      </w:r>
      <w:r w:rsidR="008E6BA3" w:rsidRPr="00A13972">
        <w:rPr>
          <w:rFonts w:hint="eastAsia"/>
          <w:szCs w:val="32"/>
        </w:rPr>
        <w:t>廢棄物</w:t>
      </w:r>
      <w:r w:rsidR="008E6BA3" w:rsidRPr="00A13972">
        <w:rPr>
          <w:rFonts w:cs="標楷體" w:hint="eastAsia"/>
          <w:kern w:val="0"/>
          <w:szCs w:val="32"/>
        </w:rPr>
        <w:t>非法棄置污染環境，</w:t>
      </w:r>
      <w:r w:rsidRPr="00A13972">
        <w:rPr>
          <w:rFonts w:cs="標楷體" w:hint="eastAsia"/>
          <w:kern w:val="0"/>
          <w:szCs w:val="32"/>
        </w:rPr>
        <w:t>行政院於</w:t>
      </w:r>
      <w:r w:rsidR="008E6BA3" w:rsidRPr="00A13972">
        <w:rPr>
          <w:rFonts w:ascii="Times New Roman"/>
          <w:kern w:val="0"/>
          <w:szCs w:val="32"/>
        </w:rPr>
        <w:t>92</w:t>
      </w:r>
      <w:r w:rsidR="008E6BA3" w:rsidRPr="00A13972">
        <w:rPr>
          <w:rFonts w:cs="標楷體" w:hint="eastAsia"/>
          <w:kern w:val="0"/>
          <w:szCs w:val="32"/>
        </w:rPr>
        <w:t>年核准「垃圾處理方案之檢討與展望」明列可燃性一般事業廢棄物由公有大型垃圾焚化廠協處</w:t>
      </w:r>
      <w:r w:rsidRPr="00A13972">
        <w:rPr>
          <w:rFonts w:cs="標楷體" w:hint="eastAsia"/>
          <w:kern w:val="0"/>
          <w:szCs w:val="32"/>
        </w:rPr>
        <w:t>。</w:t>
      </w:r>
      <w:r w:rsidR="00CC6523" w:rsidRPr="00A13972">
        <w:rPr>
          <w:rFonts w:cs="標楷體" w:hint="eastAsia"/>
          <w:kern w:val="0"/>
          <w:szCs w:val="32"/>
        </w:rPr>
        <w:t>然為落實</w:t>
      </w:r>
      <w:r w:rsidR="00CC6523" w:rsidRPr="00A13972">
        <w:rPr>
          <w:rFonts w:cs="標楷體"/>
          <w:kern w:val="0"/>
          <w:szCs w:val="32"/>
        </w:rPr>
        <w:t>大型焚化廠</w:t>
      </w:r>
      <w:r w:rsidR="00CC6523" w:rsidRPr="00A13972">
        <w:rPr>
          <w:rFonts w:cs="標楷體" w:hint="eastAsia"/>
          <w:kern w:val="0"/>
          <w:szCs w:val="32"/>
        </w:rPr>
        <w:t>優先</w:t>
      </w:r>
      <w:r w:rsidRPr="00A13972">
        <w:rPr>
          <w:rFonts w:hAnsi="標楷體" w:hint="eastAsia"/>
          <w:kern w:val="0"/>
          <w:szCs w:val="32"/>
          <w:lang w:eastAsia="zh-HK"/>
        </w:rPr>
        <w:t>處理</w:t>
      </w:r>
      <w:r w:rsidR="00CC6523" w:rsidRPr="00A13972">
        <w:rPr>
          <w:rFonts w:hint="eastAsia"/>
          <w:szCs w:val="32"/>
        </w:rPr>
        <w:t>家戶垃圾</w:t>
      </w:r>
      <w:r w:rsidR="00CC6523" w:rsidRPr="00A13972">
        <w:rPr>
          <w:rFonts w:hint="eastAsia"/>
          <w:szCs w:val="32"/>
        </w:rPr>
        <w:lastRenderedPageBreak/>
        <w:t>之原則</w:t>
      </w:r>
      <w:r w:rsidRPr="00A13972">
        <w:rPr>
          <w:rFonts w:hAnsi="標楷體" w:hint="eastAsia"/>
          <w:kern w:val="0"/>
          <w:szCs w:val="32"/>
          <w:lang w:eastAsia="zh-HK"/>
        </w:rPr>
        <w:t>，</w:t>
      </w:r>
      <w:r w:rsidR="00CC6523" w:rsidRPr="00A13972">
        <w:rPr>
          <w:rFonts w:cs="標楷體" w:hint="eastAsia"/>
          <w:kern w:val="0"/>
          <w:szCs w:val="32"/>
        </w:rPr>
        <w:t>「廢棄物清理法」第28條</w:t>
      </w:r>
      <w:r w:rsidR="00CC6523" w:rsidRPr="00A13972">
        <w:rPr>
          <w:rFonts w:hint="eastAsia"/>
          <w:kern w:val="0"/>
          <w:szCs w:val="32"/>
        </w:rPr>
        <w:t>第6項規定：「第1項第3款第2目執行機關受託清除處理一般事業廢棄物，應於處理下列一般廢棄物後，仍有餘裕處理能量，始得為之，並依直轄市、縣(市)主管機關所定事業廢棄物代清除處理收費標準收費，並配合該事業依第31條第1項第2款規定辦理申報……」，並於「廢棄物清理法施行細則」明</w:t>
      </w:r>
      <w:r w:rsidR="00734E29" w:rsidRPr="00A13972">
        <w:rPr>
          <w:rFonts w:hint="eastAsia"/>
          <w:kern w:val="0"/>
          <w:szCs w:val="32"/>
        </w:rPr>
        <w:t>定</w:t>
      </w:r>
      <w:r w:rsidR="00CC6523" w:rsidRPr="00A13972">
        <w:rPr>
          <w:rFonts w:hint="eastAsia"/>
          <w:kern w:val="0"/>
          <w:szCs w:val="32"/>
        </w:rPr>
        <w:t>「餘裕處理能量」、「每年焚化設施可處理量」、「每年焚化設施操作保留量」之定義及計算基礎。</w:t>
      </w:r>
    </w:p>
    <w:p w:rsidR="00D1258E" w:rsidRPr="00A13972" w:rsidRDefault="00CC6523" w:rsidP="00463E61">
      <w:pPr>
        <w:pStyle w:val="3"/>
        <w:rPr>
          <w:kern w:val="0"/>
          <w:szCs w:val="32"/>
        </w:rPr>
      </w:pPr>
      <w:r w:rsidRPr="00A13972">
        <w:rPr>
          <w:rFonts w:hAnsi="標楷體" w:hint="eastAsia"/>
          <w:kern w:val="0"/>
          <w:szCs w:val="24"/>
        </w:rPr>
        <w:t>根據環保署統計</w:t>
      </w:r>
      <w:r w:rsidR="00D1258E" w:rsidRPr="00A13972">
        <w:rPr>
          <w:rStyle w:val="afe"/>
          <w:rFonts w:hAnsi="標楷體"/>
          <w:kern w:val="0"/>
          <w:szCs w:val="24"/>
        </w:rPr>
        <w:footnoteReference w:id="2"/>
      </w:r>
      <w:r w:rsidR="00666EC3" w:rsidRPr="00A13972">
        <w:rPr>
          <w:rFonts w:hAnsi="標楷體" w:hint="eastAsia"/>
          <w:kern w:val="0"/>
          <w:szCs w:val="24"/>
        </w:rPr>
        <w:t>，</w:t>
      </w:r>
      <w:r w:rsidRPr="00A13972">
        <w:rPr>
          <w:rFonts w:hAnsi="標楷體" w:hint="eastAsia"/>
          <w:kern w:val="0"/>
          <w:szCs w:val="24"/>
        </w:rPr>
        <w:t>國內24座大型焚化廠</w:t>
      </w:r>
      <w:r w:rsidR="00463E61" w:rsidRPr="00A13972">
        <w:rPr>
          <w:rFonts w:hAnsi="標楷體" w:hint="eastAsia"/>
          <w:kern w:val="0"/>
          <w:szCs w:val="32"/>
        </w:rPr>
        <w:t>一般</w:t>
      </w:r>
      <w:r w:rsidRPr="00A13972">
        <w:rPr>
          <w:rFonts w:hAnsi="標楷體" w:hint="eastAsia"/>
          <w:kern w:val="0"/>
          <w:szCs w:val="24"/>
        </w:rPr>
        <w:t>廢棄物處理</w:t>
      </w:r>
      <w:r w:rsidR="00463E61" w:rsidRPr="00A13972">
        <w:rPr>
          <w:rFonts w:hAnsi="標楷體" w:hint="eastAsia"/>
          <w:kern w:val="0"/>
          <w:szCs w:val="24"/>
        </w:rPr>
        <w:t>能</w:t>
      </w:r>
      <w:r w:rsidRPr="00A13972">
        <w:rPr>
          <w:rFonts w:hAnsi="標楷體" w:hint="eastAsia"/>
          <w:kern w:val="0"/>
          <w:szCs w:val="24"/>
        </w:rPr>
        <w:t>量之供需情形，除7家供過於求外，多數已無餘裕，其中</w:t>
      </w:r>
      <w:r w:rsidRPr="00A13972">
        <w:rPr>
          <w:rFonts w:hAnsi="標楷體"/>
          <w:kern w:val="0"/>
          <w:szCs w:val="24"/>
        </w:rPr>
        <w:t>新北市八里廠</w:t>
      </w:r>
      <w:r w:rsidRPr="00A13972">
        <w:rPr>
          <w:rFonts w:hAnsi="標楷體" w:hint="eastAsia"/>
          <w:kern w:val="0"/>
          <w:szCs w:val="24"/>
        </w:rPr>
        <w:t>、</w:t>
      </w:r>
      <w:r w:rsidRPr="00A13972">
        <w:rPr>
          <w:rFonts w:hAnsi="標楷體"/>
          <w:kern w:val="0"/>
          <w:szCs w:val="24"/>
        </w:rPr>
        <w:t>臺中市文山廠</w:t>
      </w:r>
      <w:r w:rsidRPr="00A13972">
        <w:rPr>
          <w:rFonts w:hAnsi="標楷體" w:hint="eastAsia"/>
          <w:kern w:val="0"/>
          <w:szCs w:val="24"/>
        </w:rPr>
        <w:t>、</w:t>
      </w:r>
      <w:r w:rsidRPr="00A13972">
        <w:rPr>
          <w:rFonts w:hAnsi="標楷體"/>
          <w:kern w:val="0"/>
          <w:szCs w:val="24"/>
        </w:rPr>
        <w:t>臺中市后里廠</w:t>
      </w:r>
      <w:r w:rsidRPr="00A13972">
        <w:rPr>
          <w:rFonts w:hAnsi="標楷體" w:hint="eastAsia"/>
          <w:kern w:val="0"/>
          <w:szCs w:val="24"/>
        </w:rPr>
        <w:t>、</w:t>
      </w:r>
      <w:r w:rsidRPr="00A13972">
        <w:rPr>
          <w:rFonts w:hAnsi="標楷體"/>
          <w:kern w:val="0"/>
          <w:szCs w:val="24"/>
        </w:rPr>
        <w:t>彰化縣溪州廠</w:t>
      </w:r>
      <w:r w:rsidRPr="00A13972">
        <w:rPr>
          <w:rFonts w:hAnsi="標楷體" w:hint="eastAsia"/>
          <w:kern w:val="0"/>
          <w:szCs w:val="24"/>
        </w:rPr>
        <w:t>、</w:t>
      </w:r>
      <w:r w:rsidRPr="00A13972">
        <w:rPr>
          <w:rFonts w:hAnsi="標楷體"/>
          <w:kern w:val="0"/>
          <w:szCs w:val="24"/>
        </w:rPr>
        <w:t>嘉義市廠</w:t>
      </w:r>
      <w:r w:rsidRPr="00A13972">
        <w:rPr>
          <w:rFonts w:hAnsi="標楷體" w:hint="eastAsia"/>
          <w:kern w:val="0"/>
          <w:szCs w:val="24"/>
        </w:rPr>
        <w:t>甚至</w:t>
      </w:r>
      <w:r w:rsidR="00E2694C" w:rsidRPr="00A13972">
        <w:rPr>
          <w:rFonts w:hAnsi="標楷體" w:hint="eastAsia"/>
          <w:kern w:val="0"/>
          <w:szCs w:val="24"/>
        </w:rPr>
        <w:t>呈</w:t>
      </w:r>
      <w:r w:rsidR="00666EC3" w:rsidRPr="00A13972">
        <w:rPr>
          <w:rFonts w:hAnsi="標楷體" w:hint="eastAsia"/>
          <w:kern w:val="0"/>
          <w:szCs w:val="24"/>
        </w:rPr>
        <w:t>現</w:t>
      </w:r>
      <w:r w:rsidRPr="00A13972">
        <w:rPr>
          <w:rFonts w:hAnsi="標楷體" w:hint="eastAsia"/>
          <w:kern w:val="0"/>
          <w:szCs w:val="24"/>
        </w:rPr>
        <w:t>供不應求</w:t>
      </w:r>
      <w:r w:rsidR="00463E61" w:rsidRPr="00A13972">
        <w:rPr>
          <w:rFonts w:hAnsi="標楷體" w:hint="eastAsia"/>
          <w:kern w:val="0"/>
          <w:szCs w:val="24"/>
        </w:rPr>
        <w:t>之情形。</w:t>
      </w:r>
      <w:r w:rsidR="00DC1E54" w:rsidRPr="00A13972">
        <w:rPr>
          <w:rFonts w:hAnsi="標楷體" w:hint="eastAsia"/>
          <w:kern w:val="0"/>
          <w:szCs w:val="24"/>
        </w:rPr>
        <w:t>再查104年至108年期間，</w:t>
      </w:r>
      <w:r w:rsidR="00463E61" w:rsidRPr="00A13972">
        <w:rPr>
          <w:rFonts w:hAnsi="標楷體" w:hint="eastAsia"/>
          <w:kern w:val="0"/>
          <w:szCs w:val="24"/>
        </w:rPr>
        <w:t>24座大型焚化廠</w:t>
      </w:r>
      <w:r w:rsidR="00463E61" w:rsidRPr="00A13972">
        <w:rPr>
          <w:rFonts w:cs="標楷體" w:hint="eastAsia"/>
          <w:kern w:val="0"/>
          <w:szCs w:val="32"/>
        </w:rPr>
        <w:t>仍繼續收受一般事業廢棄物</w:t>
      </w:r>
      <w:r w:rsidR="00DC1E54" w:rsidRPr="00A13972">
        <w:rPr>
          <w:rFonts w:cs="標楷體" w:hint="eastAsia"/>
          <w:kern w:val="0"/>
          <w:szCs w:val="32"/>
        </w:rPr>
        <w:t>，約占垃圾</w:t>
      </w:r>
      <w:r w:rsidR="00463E61" w:rsidRPr="00A13972">
        <w:rPr>
          <w:rFonts w:hint="eastAsia"/>
          <w:kern w:val="0"/>
          <w:szCs w:val="32"/>
        </w:rPr>
        <w:t>處理</w:t>
      </w:r>
      <w:r w:rsidR="00DC1E54" w:rsidRPr="00A13972">
        <w:rPr>
          <w:rFonts w:hint="eastAsia"/>
          <w:kern w:val="0"/>
          <w:szCs w:val="32"/>
        </w:rPr>
        <w:t>總量</w:t>
      </w:r>
      <w:r w:rsidR="00463E61" w:rsidRPr="00A13972">
        <w:rPr>
          <w:rFonts w:hint="eastAsia"/>
          <w:kern w:val="0"/>
          <w:szCs w:val="32"/>
        </w:rPr>
        <w:t>之</w:t>
      </w:r>
      <w:r w:rsidR="0048639B" w:rsidRPr="00A13972">
        <w:rPr>
          <w:rFonts w:hint="eastAsia"/>
          <w:kern w:val="0"/>
          <w:szCs w:val="32"/>
        </w:rPr>
        <w:t>2</w:t>
      </w:r>
      <w:r w:rsidR="00DC1E54" w:rsidRPr="00A13972">
        <w:rPr>
          <w:rFonts w:hint="eastAsia"/>
          <w:kern w:val="0"/>
          <w:szCs w:val="32"/>
        </w:rPr>
        <w:t>至</w:t>
      </w:r>
      <w:r w:rsidR="0048639B" w:rsidRPr="00A13972">
        <w:rPr>
          <w:rFonts w:hint="eastAsia"/>
          <w:kern w:val="0"/>
          <w:szCs w:val="32"/>
        </w:rPr>
        <w:t>3</w:t>
      </w:r>
      <w:r w:rsidR="00DC1E54" w:rsidRPr="00A13972">
        <w:rPr>
          <w:rFonts w:hint="eastAsia"/>
          <w:kern w:val="0"/>
          <w:szCs w:val="32"/>
        </w:rPr>
        <w:t>成；惟</w:t>
      </w:r>
      <w:r w:rsidR="00DC1E54" w:rsidRPr="00A13972">
        <w:rPr>
          <w:rFonts w:cs="標楷體" w:hint="eastAsia"/>
          <w:kern w:val="0"/>
          <w:szCs w:val="32"/>
        </w:rPr>
        <w:t>此同時，</w:t>
      </w:r>
      <w:r w:rsidR="00E2694C" w:rsidRPr="00A13972">
        <w:rPr>
          <w:rFonts w:hAnsi="標楷體" w:hint="eastAsia"/>
          <w:bCs w:val="0"/>
          <w:szCs w:val="32"/>
        </w:rPr>
        <w:t>轄內地方政府</w:t>
      </w:r>
      <w:r w:rsidR="00DC1E54" w:rsidRPr="00A13972">
        <w:rPr>
          <w:rFonts w:hAnsi="標楷體" w:hint="eastAsia"/>
          <w:bCs w:val="0"/>
          <w:szCs w:val="32"/>
        </w:rPr>
        <w:t>亦</w:t>
      </w:r>
      <w:r w:rsidR="00E2694C" w:rsidRPr="00A13972">
        <w:rPr>
          <w:rFonts w:hAnsi="標楷體" w:hint="eastAsia"/>
          <w:bCs w:val="0"/>
          <w:szCs w:val="32"/>
        </w:rPr>
        <w:t>出現</w:t>
      </w:r>
      <w:r w:rsidR="00463E61" w:rsidRPr="00A13972">
        <w:rPr>
          <w:rFonts w:cs="標楷體" w:hint="eastAsia"/>
          <w:kern w:val="0"/>
          <w:szCs w:val="32"/>
        </w:rPr>
        <w:t>將一般廢棄物交由外縣市焚化廠處理</w:t>
      </w:r>
      <w:r w:rsidR="00E2694C" w:rsidRPr="00A13972">
        <w:rPr>
          <w:rFonts w:cs="標楷體" w:hint="eastAsia"/>
          <w:kern w:val="0"/>
          <w:szCs w:val="32"/>
        </w:rPr>
        <w:t>之奇特現象</w:t>
      </w:r>
      <w:r w:rsidRPr="00A13972">
        <w:rPr>
          <w:rFonts w:hAnsi="標楷體" w:hint="eastAsia"/>
          <w:kern w:val="0"/>
          <w:szCs w:val="24"/>
        </w:rPr>
        <w:t>。</w:t>
      </w:r>
    </w:p>
    <w:p w:rsidR="00765C03" w:rsidRPr="00A13972" w:rsidRDefault="00E04041" w:rsidP="00E04041">
      <w:pPr>
        <w:pStyle w:val="aff0"/>
        <w:rPr>
          <w:rFonts w:hAnsi="標楷體"/>
          <w:bCs/>
          <w:kern w:val="0"/>
          <w:sz w:val="32"/>
          <w:szCs w:val="32"/>
          <w:lang w:eastAsia="zh-HK"/>
        </w:rPr>
      </w:pPr>
      <w:r w:rsidRPr="00A13972">
        <w:rPr>
          <w:rFonts w:hAnsi="標楷體" w:hint="eastAsia"/>
          <w:bCs/>
          <w:kern w:val="0"/>
          <w:sz w:val="32"/>
          <w:szCs w:val="32"/>
          <w:lang w:eastAsia="zh-HK"/>
        </w:rPr>
        <w:t>表</w:t>
      </w:r>
      <w:r w:rsidRPr="00A13972">
        <w:rPr>
          <w:rFonts w:hAnsi="標楷體"/>
          <w:bCs/>
          <w:kern w:val="0"/>
          <w:sz w:val="32"/>
          <w:szCs w:val="32"/>
          <w:lang w:eastAsia="zh-HK"/>
        </w:rPr>
        <w:fldChar w:fldCharType="begin"/>
      </w:r>
      <w:r w:rsidRPr="00A13972">
        <w:rPr>
          <w:rFonts w:hAnsi="標楷體"/>
          <w:bCs/>
          <w:kern w:val="0"/>
          <w:sz w:val="32"/>
          <w:szCs w:val="32"/>
          <w:lang w:eastAsia="zh-HK"/>
        </w:rPr>
        <w:instrText xml:space="preserve"> </w:instrText>
      </w:r>
      <w:r w:rsidRPr="00A13972">
        <w:rPr>
          <w:rFonts w:hAnsi="標楷體" w:hint="eastAsia"/>
          <w:bCs/>
          <w:kern w:val="0"/>
          <w:sz w:val="32"/>
          <w:szCs w:val="32"/>
          <w:lang w:eastAsia="zh-HK"/>
        </w:rPr>
        <w:instrText>SEQ 表 \* ARABIC</w:instrText>
      </w:r>
      <w:r w:rsidRPr="00A13972">
        <w:rPr>
          <w:rFonts w:hAnsi="標楷體"/>
          <w:bCs/>
          <w:kern w:val="0"/>
          <w:sz w:val="32"/>
          <w:szCs w:val="32"/>
          <w:lang w:eastAsia="zh-HK"/>
        </w:rPr>
        <w:instrText xml:space="preserve"> </w:instrText>
      </w:r>
      <w:r w:rsidRPr="00A13972">
        <w:rPr>
          <w:rFonts w:hAnsi="標楷體"/>
          <w:bCs/>
          <w:kern w:val="0"/>
          <w:sz w:val="32"/>
          <w:szCs w:val="32"/>
          <w:lang w:eastAsia="zh-HK"/>
        </w:rPr>
        <w:fldChar w:fldCharType="separate"/>
      </w:r>
      <w:r w:rsidR="00A85DC6">
        <w:rPr>
          <w:rFonts w:hAnsi="標楷體"/>
          <w:bCs/>
          <w:noProof/>
          <w:kern w:val="0"/>
          <w:sz w:val="32"/>
          <w:szCs w:val="32"/>
          <w:lang w:eastAsia="zh-HK"/>
        </w:rPr>
        <w:t>1</w:t>
      </w:r>
      <w:r w:rsidRPr="00A13972">
        <w:rPr>
          <w:rFonts w:hAnsi="標楷體"/>
          <w:bCs/>
          <w:kern w:val="0"/>
          <w:sz w:val="32"/>
          <w:szCs w:val="32"/>
          <w:lang w:eastAsia="zh-HK"/>
        </w:rPr>
        <w:fldChar w:fldCharType="end"/>
      </w:r>
      <w:r w:rsidR="00765C03" w:rsidRPr="00A13972">
        <w:rPr>
          <w:rFonts w:hAnsi="標楷體" w:hint="eastAsia"/>
          <w:bCs/>
          <w:kern w:val="0"/>
          <w:sz w:val="32"/>
          <w:szCs w:val="32"/>
          <w:lang w:eastAsia="zh-HK"/>
        </w:rPr>
        <w:t>、</w:t>
      </w:r>
      <w:r w:rsidR="00E2694C" w:rsidRPr="00A13972">
        <w:rPr>
          <w:rFonts w:hAnsi="標楷體" w:hint="eastAsia"/>
          <w:bCs/>
          <w:kern w:val="0"/>
          <w:sz w:val="32"/>
          <w:szCs w:val="32"/>
          <w:lang w:eastAsia="zh-HK"/>
        </w:rPr>
        <w:t>104年至108年間</w:t>
      </w:r>
      <w:r w:rsidR="00765C03" w:rsidRPr="00A13972">
        <w:rPr>
          <w:rFonts w:hAnsi="標楷體"/>
          <w:bCs/>
          <w:kern w:val="0"/>
          <w:sz w:val="32"/>
          <w:szCs w:val="32"/>
          <w:lang w:eastAsia="zh-HK"/>
        </w:rPr>
        <w:t>24座大型焚化廠收受</w:t>
      </w:r>
      <w:r w:rsidR="00E2694C" w:rsidRPr="00A13972">
        <w:rPr>
          <w:rFonts w:hAnsi="標楷體"/>
          <w:bCs/>
          <w:kern w:val="0"/>
          <w:sz w:val="32"/>
          <w:szCs w:val="32"/>
          <w:lang w:eastAsia="zh-HK"/>
        </w:rPr>
        <w:t>處理</w:t>
      </w:r>
      <w:r w:rsidR="00765C03" w:rsidRPr="00A13972">
        <w:rPr>
          <w:rFonts w:hAnsi="標楷體"/>
          <w:bCs/>
          <w:kern w:val="0"/>
          <w:sz w:val="32"/>
          <w:szCs w:val="32"/>
          <w:lang w:eastAsia="zh-HK"/>
        </w:rPr>
        <w:t>廢棄物情形</w:t>
      </w:r>
    </w:p>
    <w:p w:rsidR="00765C03" w:rsidRPr="00A13972" w:rsidRDefault="00765C03" w:rsidP="00765C03">
      <w:pPr>
        <w:adjustRightInd w:val="0"/>
        <w:spacing w:line="320" w:lineRule="exact"/>
        <w:ind w:leftChars="177" w:left="909" w:hangingChars="118" w:hanging="307"/>
        <w:jc w:val="right"/>
        <w:rPr>
          <w:rFonts w:ascii="Times New Roman"/>
          <w:sz w:val="24"/>
          <w:szCs w:val="24"/>
        </w:rPr>
      </w:pPr>
      <w:r w:rsidRPr="00A13972">
        <w:rPr>
          <w:rFonts w:ascii="Times New Roman"/>
          <w:sz w:val="24"/>
          <w:szCs w:val="24"/>
        </w:rPr>
        <w:t>單位：公噸、％</w:t>
      </w:r>
    </w:p>
    <w:tbl>
      <w:tblPr>
        <w:tblStyle w:val="af6"/>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13972" w:rsidRPr="00A13972" w:rsidTr="00B02985">
        <w:tc>
          <w:tcPr>
            <w:tcW w:w="9214" w:type="dxa"/>
          </w:tcPr>
          <w:p w:rsidR="00765C03" w:rsidRPr="00A13972" w:rsidRDefault="00E2694C" w:rsidP="00E2694C">
            <w:pPr>
              <w:adjustRightInd w:val="0"/>
              <w:rPr>
                <w:rFonts w:ascii="Times New Roman"/>
                <w:szCs w:val="32"/>
              </w:rPr>
            </w:pPr>
            <w:r w:rsidRPr="00A13972">
              <w:rPr>
                <w:rFonts w:ascii="Times New Roman"/>
                <w:szCs w:val="32"/>
              </w:rPr>
              <w:object w:dxaOrig="8954" w:dyaOrig="2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3pt;height:137.95pt" o:ole="">
                  <v:imagedata r:id="rId10" o:title=""/>
                </v:shape>
                <o:OLEObject Type="Embed" ProgID="Excel.Sheet.12" ShapeID="_x0000_i1025" DrawAspect="Content" ObjectID="_1749301070" r:id="rId11"/>
              </w:object>
            </w:r>
          </w:p>
        </w:tc>
      </w:tr>
    </w:tbl>
    <w:p w:rsidR="00765C03" w:rsidRDefault="00765C03" w:rsidP="00E2694C">
      <w:pPr>
        <w:adjustRightInd w:val="0"/>
        <w:spacing w:afterLines="50" w:after="228" w:line="320" w:lineRule="exact"/>
        <w:ind w:leftChars="16" w:left="54" w:right="1038"/>
        <w:rPr>
          <w:sz w:val="24"/>
          <w:szCs w:val="24"/>
        </w:rPr>
      </w:pPr>
      <w:r w:rsidRPr="00A13972">
        <w:rPr>
          <w:sz w:val="24"/>
          <w:szCs w:val="24"/>
        </w:rPr>
        <w:t>資料來源：</w:t>
      </w:r>
      <w:r w:rsidRPr="00A13972">
        <w:rPr>
          <w:rFonts w:hint="eastAsia"/>
          <w:sz w:val="24"/>
          <w:szCs w:val="24"/>
        </w:rPr>
        <w:t>環保</w:t>
      </w:r>
      <w:r w:rsidRPr="00A13972">
        <w:rPr>
          <w:sz w:val="24"/>
          <w:szCs w:val="24"/>
        </w:rPr>
        <w:t>署垃圾焚化廠管理系統</w:t>
      </w:r>
      <w:r w:rsidRPr="00A13972">
        <w:rPr>
          <w:rFonts w:hint="eastAsia"/>
          <w:sz w:val="24"/>
          <w:szCs w:val="24"/>
        </w:rPr>
        <w:t>提供。</w:t>
      </w:r>
    </w:p>
    <w:p w:rsidR="00320005" w:rsidRPr="00336398" w:rsidRDefault="00320005" w:rsidP="00E2694C">
      <w:pPr>
        <w:adjustRightInd w:val="0"/>
        <w:spacing w:afterLines="50" w:after="228" w:line="320" w:lineRule="exact"/>
        <w:ind w:leftChars="16" w:left="54" w:right="1038"/>
        <w:rPr>
          <w:sz w:val="24"/>
          <w:szCs w:val="24"/>
        </w:rPr>
      </w:pPr>
    </w:p>
    <w:p w:rsidR="00320005" w:rsidRPr="00A13972" w:rsidRDefault="00320005" w:rsidP="00E2694C">
      <w:pPr>
        <w:adjustRightInd w:val="0"/>
        <w:spacing w:afterLines="50" w:after="228" w:line="320" w:lineRule="exact"/>
        <w:ind w:leftChars="16" w:left="54" w:right="1038"/>
        <w:rPr>
          <w:sz w:val="24"/>
          <w:szCs w:val="24"/>
        </w:rPr>
      </w:pPr>
    </w:p>
    <w:p w:rsidR="00765C03" w:rsidRPr="00A13972" w:rsidRDefault="00E04041" w:rsidP="00E04041">
      <w:pPr>
        <w:pStyle w:val="aff0"/>
        <w:rPr>
          <w:rFonts w:hAnsi="標楷體"/>
          <w:bCs/>
          <w:kern w:val="0"/>
          <w:sz w:val="32"/>
          <w:szCs w:val="32"/>
          <w:lang w:eastAsia="zh-HK"/>
        </w:rPr>
      </w:pPr>
      <w:r w:rsidRPr="00A13972">
        <w:rPr>
          <w:rFonts w:hAnsi="標楷體" w:hint="eastAsia"/>
          <w:bCs/>
          <w:kern w:val="0"/>
          <w:sz w:val="32"/>
          <w:szCs w:val="32"/>
          <w:lang w:eastAsia="zh-HK"/>
        </w:rPr>
        <w:lastRenderedPageBreak/>
        <w:t>表</w:t>
      </w:r>
      <w:r w:rsidRPr="00A13972">
        <w:rPr>
          <w:rFonts w:hAnsi="標楷體"/>
          <w:bCs/>
          <w:kern w:val="0"/>
          <w:sz w:val="32"/>
          <w:szCs w:val="32"/>
          <w:lang w:eastAsia="zh-HK"/>
        </w:rPr>
        <w:fldChar w:fldCharType="begin"/>
      </w:r>
      <w:r w:rsidRPr="00A13972">
        <w:rPr>
          <w:rFonts w:hAnsi="標楷體"/>
          <w:bCs/>
          <w:kern w:val="0"/>
          <w:sz w:val="32"/>
          <w:szCs w:val="32"/>
          <w:lang w:eastAsia="zh-HK"/>
        </w:rPr>
        <w:instrText xml:space="preserve"> </w:instrText>
      </w:r>
      <w:r w:rsidRPr="00A13972">
        <w:rPr>
          <w:rFonts w:hAnsi="標楷體" w:hint="eastAsia"/>
          <w:bCs/>
          <w:kern w:val="0"/>
          <w:sz w:val="32"/>
          <w:szCs w:val="32"/>
          <w:lang w:eastAsia="zh-HK"/>
        </w:rPr>
        <w:instrText>SEQ 表 \* ARABIC</w:instrText>
      </w:r>
      <w:r w:rsidRPr="00A13972">
        <w:rPr>
          <w:rFonts w:hAnsi="標楷體"/>
          <w:bCs/>
          <w:kern w:val="0"/>
          <w:sz w:val="32"/>
          <w:szCs w:val="32"/>
          <w:lang w:eastAsia="zh-HK"/>
        </w:rPr>
        <w:instrText xml:space="preserve"> </w:instrText>
      </w:r>
      <w:r w:rsidRPr="00A13972">
        <w:rPr>
          <w:rFonts w:hAnsi="標楷體"/>
          <w:bCs/>
          <w:kern w:val="0"/>
          <w:sz w:val="32"/>
          <w:szCs w:val="32"/>
          <w:lang w:eastAsia="zh-HK"/>
        </w:rPr>
        <w:fldChar w:fldCharType="separate"/>
      </w:r>
      <w:r w:rsidR="00A85DC6">
        <w:rPr>
          <w:rFonts w:hAnsi="標楷體"/>
          <w:bCs/>
          <w:noProof/>
          <w:kern w:val="0"/>
          <w:sz w:val="32"/>
          <w:szCs w:val="32"/>
          <w:lang w:eastAsia="zh-HK"/>
        </w:rPr>
        <w:t>2</w:t>
      </w:r>
      <w:r w:rsidRPr="00A13972">
        <w:rPr>
          <w:rFonts w:hAnsi="標楷體"/>
          <w:bCs/>
          <w:kern w:val="0"/>
          <w:sz w:val="32"/>
          <w:szCs w:val="32"/>
          <w:lang w:eastAsia="zh-HK"/>
        </w:rPr>
        <w:fldChar w:fldCharType="end"/>
      </w:r>
      <w:r w:rsidR="00765C03" w:rsidRPr="00A13972">
        <w:rPr>
          <w:rFonts w:hAnsi="標楷體" w:hint="eastAsia"/>
          <w:bCs/>
          <w:kern w:val="0"/>
          <w:sz w:val="32"/>
          <w:szCs w:val="32"/>
          <w:lang w:eastAsia="zh-HK"/>
        </w:rPr>
        <w:t>、</w:t>
      </w:r>
      <w:r w:rsidR="00765C03" w:rsidRPr="00A13972">
        <w:rPr>
          <w:rFonts w:hAnsi="標楷體"/>
          <w:bCs/>
          <w:kern w:val="0"/>
          <w:sz w:val="32"/>
          <w:szCs w:val="32"/>
          <w:lang w:eastAsia="zh-HK"/>
        </w:rPr>
        <w:t>108年24座大型焚化廠處理「一般廢棄物」供需情形</w:t>
      </w:r>
    </w:p>
    <w:p w:rsidR="00765C03" w:rsidRPr="00A13972" w:rsidRDefault="00765C03" w:rsidP="00765C03">
      <w:pPr>
        <w:ind w:leftChars="354" w:left="1599" w:hangingChars="152" w:hanging="395"/>
        <w:jc w:val="right"/>
        <w:rPr>
          <w:rFonts w:ascii="Times New Roman"/>
          <w:szCs w:val="32"/>
        </w:rPr>
      </w:pPr>
      <w:r w:rsidRPr="00A13972">
        <w:rPr>
          <w:rFonts w:ascii="Times New Roman" w:hint="eastAsia"/>
          <w:sz w:val="24"/>
          <w:szCs w:val="24"/>
        </w:rPr>
        <w:t>單位：</w:t>
      </w:r>
      <w:r w:rsidRPr="00A13972">
        <w:rPr>
          <w:rFonts w:ascii="Times New Roman" w:hint="eastAsia"/>
          <w:sz w:val="24"/>
          <w:szCs w:val="24"/>
          <w:lang w:eastAsia="zh-HK"/>
        </w:rPr>
        <w:t>公</w:t>
      </w:r>
      <w:r w:rsidRPr="00A13972">
        <w:rPr>
          <w:rFonts w:ascii="Times New Roman" w:hint="eastAsia"/>
          <w:sz w:val="24"/>
          <w:szCs w:val="24"/>
        </w:rPr>
        <w:t>噸</w:t>
      </w:r>
      <w:r w:rsidRPr="00A13972">
        <w:rPr>
          <w:rFonts w:ascii="Times New Roman" w:hint="eastAsia"/>
          <w:sz w:val="24"/>
          <w:szCs w:val="24"/>
        </w:rPr>
        <w:t>/</w:t>
      </w:r>
      <w:r w:rsidRPr="00A13972">
        <w:rPr>
          <w:rFonts w:ascii="Times New Roman" w:hint="eastAsia"/>
          <w:sz w:val="24"/>
          <w:szCs w:val="24"/>
        </w:rPr>
        <w:t>年</w:t>
      </w:r>
    </w:p>
    <w:tbl>
      <w:tblPr>
        <w:tblW w:w="8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1417"/>
        <w:gridCol w:w="1418"/>
        <w:gridCol w:w="1418"/>
        <w:gridCol w:w="2893"/>
      </w:tblGrid>
      <w:tr w:rsidR="00A13972" w:rsidRPr="00A13972" w:rsidTr="00666EC3">
        <w:trPr>
          <w:trHeight w:val="737"/>
          <w:tblHeader/>
        </w:trPr>
        <w:tc>
          <w:tcPr>
            <w:tcW w:w="1701" w:type="dxa"/>
            <w:shd w:val="clear" w:color="auto" w:fill="DBE5F1" w:themeFill="accent1" w:themeFillTint="33"/>
            <w:noWrap/>
            <w:vAlign w:val="center"/>
            <w:hideMark/>
          </w:tcPr>
          <w:p w:rsidR="00666EC3" w:rsidRPr="00A13972" w:rsidRDefault="00666EC3" w:rsidP="00B02985">
            <w:pPr>
              <w:widowControl/>
              <w:jc w:val="distribute"/>
              <w:rPr>
                <w:rFonts w:hAnsi="標楷體"/>
                <w:b/>
                <w:bCs/>
                <w:kern w:val="0"/>
                <w:sz w:val="24"/>
                <w:szCs w:val="24"/>
              </w:rPr>
            </w:pPr>
            <w:r w:rsidRPr="00A13972">
              <w:rPr>
                <w:rFonts w:hAnsi="標楷體"/>
                <w:b/>
                <w:bCs/>
                <w:kern w:val="0"/>
                <w:sz w:val="24"/>
                <w:szCs w:val="24"/>
              </w:rPr>
              <w:t>焚化廠</w:t>
            </w:r>
          </w:p>
          <w:p w:rsidR="00666EC3" w:rsidRPr="00A13972" w:rsidRDefault="00666EC3" w:rsidP="00B02985">
            <w:pPr>
              <w:widowControl/>
              <w:jc w:val="distribute"/>
              <w:rPr>
                <w:rFonts w:hAnsi="標楷體"/>
                <w:b/>
                <w:bCs/>
                <w:kern w:val="0"/>
                <w:sz w:val="24"/>
                <w:szCs w:val="24"/>
              </w:rPr>
            </w:pPr>
            <w:r w:rsidRPr="00A13972">
              <w:rPr>
                <w:rFonts w:hAnsi="標楷體"/>
                <w:b/>
                <w:bCs/>
                <w:kern w:val="0"/>
                <w:sz w:val="24"/>
                <w:szCs w:val="24"/>
              </w:rPr>
              <w:t>名稱</w:t>
            </w:r>
          </w:p>
        </w:tc>
        <w:tc>
          <w:tcPr>
            <w:tcW w:w="1417" w:type="dxa"/>
            <w:shd w:val="clear" w:color="auto" w:fill="DBE5F1" w:themeFill="accent1" w:themeFillTint="33"/>
            <w:noWrap/>
            <w:vAlign w:val="center"/>
            <w:hideMark/>
          </w:tcPr>
          <w:p w:rsidR="00666EC3" w:rsidRPr="00A13972" w:rsidRDefault="00666EC3" w:rsidP="00B02985">
            <w:pPr>
              <w:widowControl/>
              <w:jc w:val="distribute"/>
              <w:rPr>
                <w:rFonts w:hAnsi="標楷體"/>
                <w:b/>
                <w:bCs/>
                <w:kern w:val="0"/>
                <w:sz w:val="24"/>
                <w:szCs w:val="24"/>
              </w:rPr>
            </w:pPr>
            <w:r w:rsidRPr="00A13972">
              <w:rPr>
                <w:rFonts w:hAnsi="標楷體"/>
                <w:b/>
                <w:bCs/>
                <w:kern w:val="0"/>
                <w:sz w:val="24"/>
                <w:szCs w:val="24"/>
              </w:rPr>
              <w:t>設計年總焚化處理量(A)</w:t>
            </w:r>
          </w:p>
        </w:tc>
        <w:tc>
          <w:tcPr>
            <w:tcW w:w="1418" w:type="dxa"/>
            <w:shd w:val="clear" w:color="auto" w:fill="DBE5F1" w:themeFill="accent1" w:themeFillTint="33"/>
            <w:noWrap/>
            <w:vAlign w:val="center"/>
            <w:hideMark/>
          </w:tcPr>
          <w:p w:rsidR="00666EC3" w:rsidRPr="00A13972" w:rsidRDefault="00666EC3" w:rsidP="00B02985">
            <w:pPr>
              <w:widowControl/>
              <w:jc w:val="distribute"/>
              <w:rPr>
                <w:rFonts w:hAnsi="標楷體"/>
                <w:b/>
                <w:bCs/>
                <w:kern w:val="0"/>
                <w:sz w:val="24"/>
                <w:szCs w:val="24"/>
              </w:rPr>
            </w:pPr>
            <w:r w:rsidRPr="00A13972">
              <w:rPr>
                <w:rFonts w:hAnsi="標楷體"/>
                <w:b/>
                <w:bCs/>
                <w:kern w:val="0"/>
                <w:sz w:val="24"/>
                <w:szCs w:val="24"/>
              </w:rPr>
              <w:t>一般廢棄物年處理量(B)</w:t>
            </w:r>
          </w:p>
        </w:tc>
        <w:tc>
          <w:tcPr>
            <w:tcW w:w="1418" w:type="dxa"/>
            <w:shd w:val="clear" w:color="auto" w:fill="DBE5F1" w:themeFill="accent1" w:themeFillTint="33"/>
            <w:noWrap/>
            <w:vAlign w:val="center"/>
            <w:hideMark/>
          </w:tcPr>
          <w:p w:rsidR="00666EC3" w:rsidRPr="00A13972" w:rsidRDefault="00666EC3" w:rsidP="00B02985">
            <w:pPr>
              <w:widowControl/>
              <w:jc w:val="distribute"/>
              <w:rPr>
                <w:rFonts w:hAnsi="標楷體"/>
                <w:b/>
                <w:bCs/>
                <w:kern w:val="0"/>
                <w:sz w:val="24"/>
                <w:szCs w:val="24"/>
              </w:rPr>
            </w:pPr>
            <w:r w:rsidRPr="00A13972">
              <w:rPr>
                <w:rFonts w:hAnsi="標楷體"/>
                <w:b/>
                <w:bCs/>
                <w:kern w:val="0"/>
                <w:sz w:val="24"/>
                <w:szCs w:val="24"/>
              </w:rPr>
              <w:t>年餘裕量</w:t>
            </w:r>
          </w:p>
          <w:p w:rsidR="00666EC3" w:rsidRPr="00A13972" w:rsidRDefault="00666EC3" w:rsidP="00B02985">
            <w:pPr>
              <w:widowControl/>
              <w:jc w:val="distribute"/>
              <w:rPr>
                <w:rFonts w:hAnsi="標楷體"/>
                <w:b/>
                <w:bCs/>
                <w:kern w:val="0"/>
                <w:sz w:val="24"/>
                <w:szCs w:val="24"/>
              </w:rPr>
            </w:pPr>
            <w:r w:rsidRPr="00A13972">
              <w:rPr>
                <w:rFonts w:hAnsi="標楷體"/>
                <w:b/>
                <w:bCs/>
                <w:kern w:val="0"/>
                <w:sz w:val="24"/>
                <w:szCs w:val="24"/>
              </w:rPr>
              <w:t>〔A-B〕</w:t>
            </w:r>
          </w:p>
        </w:tc>
        <w:tc>
          <w:tcPr>
            <w:tcW w:w="2893" w:type="dxa"/>
            <w:shd w:val="clear" w:color="auto" w:fill="DBE5F1" w:themeFill="accent1" w:themeFillTint="33"/>
            <w:noWrap/>
            <w:vAlign w:val="center"/>
            <w:hideMark/>
          </w:tcPr>
          <w:p w:rsidR="00666EC3" w:rsidRPr="00A13972" w:rsidRDefault="00666EC3" w:rsidP="00B02985">
            <w:pPr>
              <w:widowControl/>
              <w:jc w:val="distribute"/>
              <w:rPr>
                <w:rFonts w:hAnsi="標楷體"/>
                <w:b/>
                <w:bCs/>
                <w:kern w:val="0"/>
                <w:sz w:val="24"/>
                <w:szCs w:val="24"/>
              </w:rPr>
            </w:pPr>
            <w:r w:rsidRPr="00A13972">
              <w:rPr>
                <w:rFonts w:hAnsi="標楷體"/>
                <w:b/>
                <w:bCs/>
                <w:kern w:val="0"/>
                <w:sz w:val="24"/>
                <w:szCs w:val="24"/>
              </w:rPr>
              <w:t>供過於求或供不應求</w:t>
            </w:r>
          </w:p>
        </w:tc>
      </w:tr>
      <w:tr w:rsidR="00A13972" w:rsidRPr="00A13972" w:rsidTr="00666EC3">
        <w:trPr>
          <w:trHeight w:val="378"/>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基隆市廠</w:t>
            </w:r>
          </w:p>
        </w:tc>
        <w:tc>
          <w:tcPr>
            <w:tcW w:w="1417" w:type="dxa"/>
            <w:shd w:val="clear" w:color="auto" w:fill="auto"/>
            <w:noWrap/>
            <w:vAlign w:val="center"/>
            <w:hideMark/>
          </w:tcPr>
          <w:p w:rsidR="00666EC3" w:rsidRPr="00A13972" w:rsidRDefault="00666EC3" w:rsidP="00B02985">
            <w:pPr>
              <w:widowControl/>
              <w:jc w:val="right"/>
              <w:rPr>
                <w:rFonts w:hAnsi="標楷體"/>
                <w:sz w:val="24"/>
                <w:szCs w:val="24"/>
              </w:rPr>
            </w:pPr>
            <w:r w:rsidRPr="00A13972">
              <w:rPr>
                <w:rFonts w:hAnsi="標楷體"/>
                <w:sz w:val="24"/>
                <w:szCs w:val="24"/>
              </w:rPr>
              <w:t xml:space="preserve">185,650 </w:t>
            </w:r>
          </w:p>
        </w:tc>
        <w:tc>
          <w:tcPr>
            <w:tcW w:w="1418" w:type="dxa"/>
            <w:shd w:val="clear" w:color="auto" w:fill="auto"/>
            <w:noWrap/>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141,714 </w:t>
            </w:r>
          </w:p>
        </w:tc>
        <w:tc>
          <w:tcPr>
            <w:tcW w:w="1418" w:type="dxa"/>
            <w:shd w:val="clear" w:color="auto" w:fill="auto"/>
            <w:noWrap/>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43,936 </w:t>
            </w:r>
          </w:p>
        </w:tc>
        <w:tc>
          <w:tcPr>
            <w:tcW w:w="2893"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330"/>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臺北市北投廠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492,750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165,897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326,853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供過於求</w:t>
            </w:r>
          </w:p>
        </w:tc>
      </w:tr>
      <w:tr w:rsidR="00A13972" w:rsidRPr="00A13972" w:rsidTr="00666EC3">
        <w:trPr>
          <w:trHeight w:val="330"/>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臺北市木柵廠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311,175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65,929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245,247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供過於求</w:t>
            </w:r>
          </w:p>
        </w:tc>
      </w:tr>
      <w:tr w:rsidR="00A13972" w:rsidRPr="00A13972" w:rsidTr="00666EC3">
        <w:trPr>
          <w:trHeight w:val="330"/>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臺北市內湖廠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155,611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69,515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86,096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供過於求</w:t>
            </w:r>
          </w:p>
        </w:tc>
      </w:tr>
      <w:tr w:rsidR="00A13972" w:rsidRPr="00A13972" w:rsidTr="00666EC3">
        <w:trPr>
          <w:trHeight w:val="660"/>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新北市新店廠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195,843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192,531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3,312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660"/>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新北市樹林廠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286,880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233,530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53,350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990"/>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新北市八里廠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378,626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385,508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-6,882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shd w:val="pct15" w:color="auto" w:fill="FFFFFF"/>
              </w:rPr>
              <w:t>供不應求</w:t>
            </w:r>
          </w:p>
        </w:tc>
      </w:tr>
      <w:tr w:rsidR="00A13972" w:rsidRPr="00A13972" w:rsidTr="00666EC3">
        <w:trPr>
          <w:trHeight w:val="356"/>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桃園市廠</w:t>
            </w:r>
          </w:p>
        </w:tc>
        <w:tc>
          <w:tcPr>
            <w:tcW w:w="1417" w:type="dxa"/>
            <w:shd w:val="clear" w:color="auto" w:fill="auto"/>
            <w:vAlign w:val="center"/>
            <w:hideMark/>
          </w:tcPr>
          <w:p w:rsidR="00666EC3" w:rsidRPr="00A13972" w:rsidRDefault="00666EC3" w:rsidP="00B02985">
            <w:pPr>
              <w:widowControl/>
              <w:jc w:val="right"/>
              <w:rPr>
                <w:rFonts w:hAnsi="標楷體"/>
                <w:sz w:val="24"/>
                <w:szCs w:val="24"/>
              </w:rPr>
            </w:pPr>
            <w:r w:rsidRPr="00A13972">
              <w:rPr>
                <w:rFonts w:hAnsi="標楷體"/>
                <w:sz w:val="24"/>
                <w:szCs w:val="24"/>
              </w:rPr>
              <w:t xml:space="preserve">412,309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373,023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39,286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1002"/>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宜蘭縣利澤廠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186,150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120,184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65,966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990"/>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新竹市廠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240,044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114,530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125,514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660"/>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苗栗縣廠</w:t>
            </w:r>
          </w:p>
        </w:tc>
        <w:tc>
          <w:tcPr>
            <w:tcW w:w="1417" w:type="dxa"/>
            <w:shd w:val="clear" w:color="auto" w:fill="auto"/>
            <w:noWrap/>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151,479 </w:t>
            </w:r>
          </w:p>
        </w:tc>
        <w:tc>
          <w:tcPr>
            <w:tcW w:w="1418" w:type="dxa"/>
            <w:shd w:val="clear" w:color="auto" w:fill="auto"/>
            <w:noWrap/>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150,987 </w:t>
            </w:r>
          </w:p>
        </w:tc>
        <w:tc>
          <w:tcPr>
            <w:tcW w:w="1418" w:type="dxa"/>
            <w:shd w:val="clear" w:color="auto" w:fill="auto"/>
            <w:noWrap/>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492 </w:t>
            </w:r>
          </w:p>
        </w:tc>
        <w:tc>
          <w:tcPr>
            <w:tcW w:w="2893"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考量桃竹竹苗互惠合作，該廠已</w:t>
            </w:r>
            <w:r w:rsidRPr="00A13972">
              <w:rPr>
                <w:rFonts w:hAnsi="標楷體"/>
                <w:kern w:val="0"/>
                <w:sz w:val="24"/>
                <w:szCs w:val="24"/>
                <w:shd w:val="pct15" w:color="auto" w:fill="FFFFFF"/>
              </w:rPr>
              <w:t>無餘裕量</w:t>
            </w:r>
          </w:p>
        </w:tc>
      </w:tr>
      <w:tr w:rsidR="00A13972" w:rsidRPr="00A13972" w:rsidTr="00666EC3">
        <w:trPr>
          <w:trHeight w:val="69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臺中市文山廠</w:t>
            </w:r>
          </w:p>
        </w:tc>
        <w:tc>
          <w:tcPr>
            <w:tcW w:w="1417" w:type="dxa"/>
            <w:shd w:val="clear" w:color="auto" w:fill="auto"/>
            <w:vAlign w:val="center"/>
            <w:hideMark/>
          </w:tcPr>
          <w:p w:rsidR="00666EC3" w:rsidRPr="00A13972" w:rsidRDefault="00666EC3" w:rsidP="00B02985">
            <w:pPr>
              <w:widowControl/>
              <w:jc w:val="right"/>
              <w:rPr>
                <w:rFonts w:hAnsi="標楷體"/>
                <w:sz w:val="24"/>
                <w:szCs w:val="24"/>
              </w:rPr>
            </w:pPr>
            <w:r w:rsidRPr="00A13972">
              <w:rPr>
                <w:rFonts w:hAnsi="標楷體"/>
                <w:sz w:val="24"/>
                <w:szCs w:val="24"/>
              </w:rPr>
              <w:t xml:space="preserve">179,399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205,490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-26,091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shd w:val="pct15" w:color="auto" w:fill="FFFFFF"/>
              </w:rPr>
            </w:pPr>
            <w:r w:rsidRPr="00A13972">
              <w:rPr>
                <w:rFonts w:hAnsi="標楷體"/>
                <w:kern w:val="0"/>
                <w:sz w:val="24"/>
                <w:szCs w:val="24"/>
                <w:shd w:val="pct15" w:color="auto" w:fill="FFFFFF"/>
              </w:rPr>
              <w:t>供不應求</w:t>
            </w:r>
          </w:p>
        </w:tc>
      </w:tr>
      <w:tr w:rsidR="00A13972" w:rsidRPr="00A13972" w:rsidTr="00666EC3">
        <w:trPr>
          <w:trHeight w:val="673"/>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臺中市后里廠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268,583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275,833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-7,250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shd w:val="pct15" w:color="auto" w:fill="FFFFFF"/>
              </w:rPr>
            </w:pPr>
            <w:r w:rsidRPr="00A13972">
              <w:rPr>
                <w:rFonts w:hAnsi="標楷體"/>
                <w:kern w:val="0"/>
                <w:sz w:val="24"/>
                <w:szCs w:val="24"/>
                <w:shd w:val="pct15" w:color="auto" w:fill="FFFFFF"/>
              </w:rPr>
              <w:t>供不應求</w:t>
            </w:r>
          </w:p>
        </w:tc>
      </w:tr>
      <w:tr w:rsidR="00A13972" w:rsidRPr="00A13972" w:rsidTr="00666EC3">
        <w:trPr>
          <w:trHeight w:val="655"/>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臺中市烏日廠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279,225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249,401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29,824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彰化縣溪州廠</w:t>
            </w:r>
          </w:p>
        </w:tc>
        <w:tc>
          <w:tcPr>
            <w:tcW w:w="1417" w:type="dxa"/>
            <w:shd w:val="clear" w:color="auto" w:fill="auto"/>
            <w:vAlign w:val="center"/>
            <w:hideMark/>
          </w:tcPr>
          <w:p w:rsidR="00666EC3" w:rsidRPr="00A13972" w:rsidRDefault="00666EC3" w:rsidP="00B02985">
            <w:pPr>
              <w:widowControl/>
              <w:jc w:val="right"/>
              <w:rPr>
                <w:rFonts w:hAnsi="標楷體"/>
                <w:sz w:val="24"/>
                <w:szCs w:val="24"/>
              </w:rPr>
            </w:pPr>
            <w:r w:rsidRPr="00A13972">
              <w:rPr>
                <w:rFonts w:hAnsi="標楷體"/>
                <w:sz w:val="24"/>
                <w:szCs w:val="24"/>
              </w:rPr>
              <w:t xml:space="preserve">279,225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284,654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-5,429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shd w:val="pct15" w:color="auto" w:fill="FFFFFF"/>
              </w:rPr>
            </w:pPr>
            <w:r w:rsidRPr="00A13972">
              <w:rPr>
                <w:rFonts w:hAnsi="標楷體"/>
                <w:kern w:val="0"/>
                <w:sz w:val="24"/>
                <w:szCs w:val="24"/>
                <w:shd w:val="pct15" w:color="auto" w:fill="FFFFFF"/>
              </w:rPr>
              <w:t>供不應求</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嘉義市廠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62,876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68,888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-6,012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shd w:val="pct15" w:color="auto" w:fill="FFFFFF"/>
              </w:rPr>
            </w:pPr>
            <w:r w:rsidRPr="00A13972">
              <w:rPr>
                <w:rFonts w:hAnsi="標楷體"/>
                <w:kern w:val="0"/>
                <w:sz w:val="24"/>
                <w:szCs w:val="24"/>
                <w:shd w:val="pct15" w:color="auto" w:fill="FFFFFF"/>
              </w:rPr>
              <w:t>供不應求</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嘉義縣鹿草廠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279,225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214,233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64,992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臺南市城西廠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194,637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183,832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10,805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lastRenderedPageBreak/>
              <w:t>臺南市永康廠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279,225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251,260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27,965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高雄市中區廠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245,429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242,428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3,001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供過於求</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高雄市南區廠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492,750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203,040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289,710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供過於求</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高雄市仁武廠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418,838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282,021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136,817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供過於求</w:t>
            </w:r>
          </w:p>
        </w:tc>
      </w:tr>
      <w:tr w:rsidR="00A13972" w:rsidRPr="00A13972" w:rsidTr="00666EC3">
        <w:trPr>
          <w:trHeight w:val="601"/>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高雄市岡山廠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397,103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155,534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241,569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供過於求</w:t>
            </w:r>
          </w:p>
        </w:tc>
      </w:tr>
      <w:tr w:rsidR="00A13972" w:rsidRPr="00A13972" w:rsidTr="00666EC3">
        <w:trPr>
          <w:trHeight w:val="1752"/>
        </w:trPr>
        <w:tc>
          <w:tcPr>
            <w:tcW w:w="1701" w:type="dxa"/>
            <w:shd w:val="clear" w:color="auto" w:fill="auto"/>
            <w:noWrap/>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屏東縣崁頂廠</w:t>
            </w:r>
          </w:p>
        </w:tc>
        <w:tc>
          <w:tcPr>
            <w:tcW w:w="1417"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264,270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186,748 </w:t>
            </w:r>
          </w:p>
        </w:tc>
        <w:tc>
          <w:tcPr>
            <w:tcW w:w="1418" w:type="dxa"/>
            <w:shd w:val="clear" w:color="auto" w:fill="auto"/>
            <w:vAlign w:val="center"/>
            <w:hideMark/>
          </w:tcPr>
          <w:p w:rsidR="00666EC3" w:rsidRPr="00A13972" w:rsidRDefault="00666EC3" w:rsidP="00B02985">
            <w:pPr>
              <w:jc w:val="right"/>
              <w:rPr>
                <w:rFonts w:hAnsi="標楷體"/>
                <w:sz w:val="24"/>
                <w:szCs w:val="24"/>
              </w:rPr>
            </w:pPr>
            <w:r w:rsidRPr="00A13972">
              <w:rPr>
                <w:rFonts w:hAnsi="標楷體"/>
                <w:sz w:val="24"/>
                <w:szCs w:val="24"/>
              </w:rPr>
              <w:t xml:space="preserve">77,521 </w:t>
            </w:r>
          </w:p>
        </w:tc>
        <w:tc>
          <w:tcPr>
            <w:tcW w:w="2893" w:type="dxa"/>
            <w:shd w:val="clear" w:color="auto" w:fill="auto"/>
            <w:vAlign w:val="center"/>
            <w:hideMark/>
          </w:tcPr>
          <w:p w:rsidR="00666EC3" w:rsidRPr="00A13972" w:rsidRDefault="00666EC3" w:rsidP="00B02985">
            <w:pPr>
              <w:widowControl/>
              <w:spacing w:line="300" w:lineRule="exact"/>
              <w:rPr>
                <w:rFonts w:hAnsi="標楷體"/>
                <w:kern w:val="0"/>
                <w:sz w:val="24"/>
                <w:szCs w:val="24"/>
              </w:rPr>
            </w:pPr>
            <w:r w:rsidRPr="00A13972">
              <w:rPr>
                <w:rFonts w:hAnsi="標楷體"/>
                <w:kern w:val="0"/>
                <w:sz w:val="24"/>
                <w:szCs w:val="24"/>
              </w:rPr>
              <w:t>尚須考量乙方自收量部分，該廠已</w:t>
            </w:r>
            <w:r w:rsidRPr="00A13972">
              <w:rPr>
                <w:rFonts w:hAnsi="標楷體"/>
                <w:kern w:val="0"/>
                <w:sz w:val="24"/>
                <w:szCs w:val="24"/>
                <w:shd w:val="pct15" w:color="auto" w:fill="FFFFFF"/>
              </w:rPr>
              <w:t>無餘裕量</w:t>
            </w:r>
          </w:p>
        </w:tc>
      </w:tr>
    </w:tbl>
    <w:p w:rsidR="00765C03" w:rsidRPr="00A13972" w:rsidRDefault="00765C03" w:rsidP="00D22D58">
      <w:pPr>
        <w:pStyle w:val="1"/>
        <w:numPr>
          <w:ilvl w:val="0"/>
          <w:numId w:val="0"/>
        </w:numPr>
        <w:ind w:leftChars="1" w:left="489" w:hangingChars="187" w:hanging="486"/>
        <w:rPr>
          <w:sz w:val="24"/>
          <w:szCs w:val="24"/>
        </w:rPr>
      </w:pPr>
      <w:r w:rsidRPr="00A13972">
        <w:rPr>
          <w:sz w:val="24"/>
          <w:szCs w:val="24"/>
        </w:rPr>
        <w:t>註：設計年總焚化處理量(已考量熱值換算)計算中，公有民營及民有民營廠運轉率以85%計、公有公營廠以75%計。</w:t>
      </w:r>
    </w:p>
    <w:p w:rsidR="00765C03" w:rsidRDefault="00765C03" w:rsidP="00D22D58">
      <w:pPr>
        <w:pStyle w:val="1"/>
        <w:numPr>
          <w:ilvl w:val="0"/>
          <w:numId w:val="0"/>
        </w:numPr>
        <w:spacing w:afterLines="50" w:after="228"/>
        <w:ind w:left="2380" w:hanging="2381"/>
        <w:rPr>
          <w:sz w:val="24"/>
          <w:szCs w:val="24"/>
        </w:rPr>
      </w:pPr>
      <w:r w:rsidRPr="00A13972">
        <w:rPr>
          <w:sz w:val="24"/>
          <w:szCs w:val="24"/>
        </w:rPr>
        <w:t>資料來源：</w:t>
      </w:r>
      <w:r w:rsidRPr="00A13972">
        <w:rPr>
          <w:rFonts w:hint="eastAsia"/>
          <w:sz w:val="24"/>
          <w:szCs w:val="24"/>
        </w:rPr>
        <w:t>環保</w:t>
      </w:r>
      <w:r w:rsidRPr="00A13972">
        <w:rPr>
          <w:sz w:val="24"/>
          <w:szCs w:val="24"/>
        </w:rPr>
        <w:t>署</w:t>
      </w:r>
      <w:r w:rsidRPr="00A13972">
        <w:rPr>
          <w:rFonts w:hint="eastAsia"/>
          <w:sz w:val="24"/>
          <w:szCs w:val="24"/>
        </w:rPr>
        <w:t>提供。</w:t>
      </w: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336398" w:rsidRDefault="00336398" w:rsidP="00E04041">
      <w:pPr>
        <w:pStyle w:val="aff0"/>
        <w:jc w:val="center"/>
        <w:rPr>
          <w:rFonts w:hAnsi="標楷體"/>
          <w:bCs/>
          <w:kern w:val="0"/>
          <w:sz w:val="32"/>
          <w:szCs w:val="32"/>
          <w:lang w:eastAsia="zh-HK"/>
        </w:rPr>
      </w:pPr>
    </w:p>
    <w:p w:rsidR="00765C03" w:rsidRPr="00A13972" w:rsidRDefault="00E04041" w:rsidP="00E04041">
      <w:pPr>
        <w:pStyle w:val="aff0"/>
        <w:jc w:val="center"/>
        <w:rPr>
          <w:rFonts w:hAnsi="標楷體"/>
          <w:bCs/>
          <w:kern w:val="0"/>
          <w:sz w:val="32"/>
          <w:szCs w:val="32"/>
          <w:lang w:eastAsia="zh-HK"/>
        </w:rPr>
      </w:pPr>
      <w:r w:rsidRPr="00A13972">
        <w:rPr>
          <w:rFonts w:hAnsi="標楷體" w:hint="eastAsia"/>
          <w:bCs/>
          <w:kern w:val="0"/>
          <w:sz w:val="32"/>
          <w:szCs w:val="32"/>
          <w:lang w:eastAsia="zh-HK"/>
        </w:rPr>
        <w:lastRenderedPageBreak/>
        <w:t>表</w:t>
      </w:r>
      <w:r w:rsidRPr="00A13972">
        <w:rPr>
          <w:rFonts w:hAnsi="標楷體"/>
          <w:bCs/>
          <w:kern w:val="0"/>
          <w:sz w:val="32"/>
          <w:szCs w:val="32"/>
          <w:lang w:eastAsia="zh-HK"/>
        </w:rPr>
        <w:fldChar w:fldCharType="begin"/>
      </w:r>
      <w:r w:rsidRPr="00A13972">
        <w:rPr>
          <w:rFonts w:hAnsi="標楷體"/>
          <w:bCs/>
          <w:kern w:val="0"/>
          <w:sz w:val="32"/>
          <w:szCs w:val="32"/>
          <w:lang w:eastAsia="zh-HK"/>
        </w:rPr>
        <w:instrText xml:space="preserve"> </w:instrText>
      </w:r>
      <w:r w:rsidRPr="00A13972">
        <w:rPr>
          <w:rFonts w:hAnsi="標楷體" w:hint="eastAsia"/>
          <w:bCs/>
          <w:kern w:val="0"/>
          <w:sz w:val="32"/>
          <w:szCs w:val="32"/>
          <w:lang w:eastAsia="zh-HK"/>
        </w:rPr>
        <w:instrText>SEQ 表 \* ARABIC</w:instrText>
      </w:r>
      <w:r w:rsidRPr="00A13972">
        <w:rPr>
          <w:rFonts w:hAnsi="標楷體"/>
          <w:bCs/>
          <w:kern w:val="0"/>
          <w:sz w:val="32"/>
          <w:szCs w:val="32"/>
          <w:lang w:eastAsia="zh-HK"/>
        </w:rPr>
        <w:instrText xml:space="preserve"> </w:instrText>
      </w:r>
      <w:r w:rsidRPr="00A13972">
        <w:rPr>
          <w:rFonts w:hAnsi="標楷體"/>
          <w:bCs/>
          <w:kern w:val="0"/>
          <w:sz w:val="32"/>
          <w:szCs w:val="32"/>
          <w:lang w:eastAsia="zh-HK"/>
        </w:rPr>
        <w:fldChar w:fldCharType="separate"/>
      </w:r>
      <w:r w:rsidR="00A85DC6">
        <w:rPr>
          <w:rFonts w:hAnsi="標楷體"/>
          <w:bCs/>
          <w:noProof/>
          <w:kern w:val="0"/>
          <w:sz w:val="32"/>
          <w:szCs w:val="32"/>
          <w:lang w:eastAsia="zh-HK"/>
        </w:rPr>
        <w:t>3</w:t>
      </w:r>
      <w:r w:rsidRPr="00A13972">
        <w:rPr>
          <w:rFonts w:hAnsi="標楷體"/>
          <w:bCs/>
          <w:kern w:val="0"/>
          <w:sz w:val="32"/>
          <w:szCs w:val="32"/>
          <w:lang w:eastAsia="zh-HK"/>
        </w:rPr>
        <w:fldChar w:fldCharType="end"/>
      </w:r>
      <w:r w:rsidR="00765C03" w:rsidRPr="00A13972">
        <w:rPr>
          <w:rFonts w:hAnsi="標楷體" w:hint="eastAsia"/>
          <w:bCs/>
          <w:kern w:val="0"/>
          <w:sz w:val="32"/>
          <w:szCs w:val="32"/>
          <w:lang w:eastAsia="zh-HK"/>
        </w:rPr>
        <w:t>、</w:t>
      </w:r>
      <w:r w:rsidR="0021763C" w:rsidRPr="00A13972">
        <w:rPr>
          <w:rFonts w:hAnsi="標楷體" w:hint="eastAsia"/>
          <w:bCs/>
          <w:kern w:val="0"/>
          <w:sz w:val="32"/>
          <w:szCs w:val="32"/>
          <w:lang w:eastAsia="zh-HK"/>
        </w:rPr>
        <w:t>108年各直轄市、縣市大型</w:t>
      </w:r>
      <w:r w:rsidR="00765C03" w:rsidRPr="00A13972">
        <w:rPr>
          <w:rFonts w:hAnsi="標楷體"/>
          <w:bCs/>
          <w:kern w:val="0"/>
          <w:sz w:val="32"/>
          <w:szCs w:val="32"/>
          <w:lang w:eastAsia="zh-HK"/>
        </w:rPr>
        <w:t>焚化廠</w:t>
      </w:r>
      <w:r w:rsidR="0021763C" w:rsidRPr="00A13972">
        <w:rPr>
          <w:rFonts w:hAnsi="標楷體" w:hint="eastAsia"/>
          <w:bCs/>
          <w:kern w:val="0"/>
          <w:sz w:val="32"/>
          <w:szCs w:val="32"/>
          <w:lang w:eastAsia="zh-HK"/>
        </w:rPr>
        <w:t>垃圾</w:t>
      </w:r>
      <w:r w:rsidR="00765C03" w:rsidRPr="00A13972">
        <w:rPr>
          <w:rFonts w:hAnsi="標楷體"/>
          <w:bCs/>
          <w:kern w:val="0"/>
          <w:sz w:val="32"/>
          <w:szCs w:val="32"/>
          <w:lang w:eastAsia="zh-HK"/>
        </w:rPr>
        <w:t>進廠</w:t>
      </w:r>
      <w:r w:rsidR="0021763C" w:rsidRPr="00A13972">
        <w:rPr>
          <w:rFonts w:hAnsi="標楷體" w:hint="eastAsia"/>
          <w:bCs/>
          <w:kern w:val="0"/>
          <w:sz w:val="32"/>
          <w:szCs w:val="32"/>
          <w:lang w:eastAsia="zh-HK"/>
        </w:rPr>
        <w:t>及委託外縣市焚化廠處理</w:t>
      </w:r>
      <w:r w:rsidR="00765C03" w:rsidRPr="00A13972">
        <w:rPr>
          <w:rFonts w:hAnsi="標楷體"/>
          <w:bCs/>
          <w:kern w:val="0"/>
          <w:sz w:val="32"/>
          <w:szCs w:val="32"/>
          <w:lang w:eastAsia="zh-HK"/>
        </w:rPr>
        <w:t>一般廢棄物</w:t>
      </w:r>
      <w:r w:rsidR="0021763C" w:rsidRPr="00A13972">
        <w:rPr>
          <w:rFonts w:hAnsi="標楷體" w:hint="eastAsia"/>
          <w:bCs/>
          <w:kern w:val="0"/>
          <w:sz w:val="32"/>
          <w:szCs w:val="32"/>
          <w:lang w:eastAsia="zh-HK"/>
        </w:rPr>
        <w:t>之情形</w:t>
      </w:r>
    </w:p>
    <w:p w:rsidR="00E2694C" w:rsidRPr="00A13972" w:rsidRDefault="00E2694C" w:rsidP="00E2694C">
      <w:pPr>
        <w:pStyle w:val="1"/>
        <w:numPr>
          <w:ilvl w:val="0"/>
          <w:numId w:val="0"/>
        </w:numPr>
        <w:spacing w:beforeLines="50" w:before="228"/>
        <w:jc w:val="right"/>
      </w:pPr>
      <w:r w:rsidRPr="00A13972">
        <w:rPr>
          <w:rFonts w:ascii="Times New Roman"/>
          <w:sz w:val="24"/>
          <w:szCs w:val="24"/>
        </w:rPr>
        <w:t>單位：公噸、％</w:t>
      </w:r>
    </w:p>
    <w:tbl>
      <w:tblPr>
        <w:tblStyle w:val="af6"/>
        <w:tblW w:w="9747" w:type="dxa"/>
        <w:tblLook w:val="04A0" w:firstRow="1" w:lastRow="0" w:firstColumn="1" w:lastColumn="0" w:noHBand="0" w:noVBand="1"/>
      </w:tblPr>
      <w:tblGrid>
        <w:gridCol w:w="9747"/>
      </w:tblGrid>
      <w:tr w:rsidR="00A13972" w:rsidRPr="00A13972" w:rsidTr="00B02985">
        <w:tc>
          <w:tcPr>
            <w:tcW w:w="9747" w:type="dxa"/>
            <w:tcBorders>
              <w:top w:val="nil"/>
              <w:left w:val="nil"/>
              <w:bottom w:val="nil"/>
              <w:right w:val="nil"/>
            </w:tcBorders>
          </w:tcPr>
          <w:p w:rsidR="00765C03" w:rsidRPr="00A13972" w:rsidRDefault="00765C03" w:rsidP="00B02985">
            <w:r w:rsidRPr="00A13972">
              <w:rPr>
                <w:noProof/>
              </w:rPr>
              <w:drawing>
                <wp:inline distT="0" distB="0" distL="0" distR="0" wp14:anchorId="7EC63605" wp14:editId="15136909">
                  <wp:extent cx="5495458" cy="4627659"/>
                  <wp:effectExtent l="0" t="0" r="0" b="190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4174" r="13321"/>
                          <a:stretch/>
                        </pic:blipFill>
                        <pic:spPr bwMode="auto">
                          <a:xfrm>
                            <a:off x="0" y="0"/>
                            <a:ext cx="5522271" cy="465023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65C03" w:rsidRPr="00A13972" w:rsidRDefault="00765C03" w:rsidP="00765C03">
      <w:pPr>
        <w:pStyle w:val="1"/>
        <w:numPr>
          <w:ilvl w:val="0"/>
          <w:numId w:val="0"/>
        </w:numPr>
        <w:ind w:left="1276" w:hanging="1247"/>
        <w:rPr>
          <w:rFonts w:hAnsi="標楷體"/>
          <w:kern w:val="0"/>
          <w:sz w:val="24"/>
          <w:szCs w:val="24"/>
        </w:rPr>
      </w:pPr>
      <w:r w:rsidRPr="00A13972">
        <w:rPr>
          <w:sz w:val="24"/>
          <w:szCs w:val="24"/>
        </w:rPr>
        <w:t>資料來源：</w:t>
      </w:r>
      <w:r w:rsidRPr="00A13972">
        <w:rPr>
          <w:rFonts w:hint="eastAsia"/>
          <w:sz w:val="24"/>
          <w:szCs w:val="24"/>
        </w:rPr>
        <w:t>環保</w:t>
      </w:r>
      <w:r w:rsidRPr="00A13972">
        <w:rPr>
          <w:sz w:val="24"/>
          <w:szCs w:val="24"/>
        </w:rPr>
        <w:t>署垃圾焚化廠管理系統、公有掩埋場暨垃圾轉運設施營運管理資訊系統</w:t>
      </w:r>
      <w:r w:rsidRPr="00A13972">
        <w:rPr>
          <w:rFonts w:hint="eastAsia"/>
          <w:sz w:val="24"/>
          <w:szCs w:val="24"/>
        </w:rPr>
        <w:t>。</w:t>
      </w:r>
    </w:p>
    <w:p w:rsidR="0021763C" w:rsidRPr="00A13972" w:rsidRDefault="0021763C" w:rsidP="00E11467">
      <w:pPr>
        <w:pStyle w:val="3"/>
        <w:rPr>
          <w:rFonts w:hAnsi="標楷體"/>
          <w:b/>
          <w:bCs w:val="0"/>
          <w:szCs w:val="32"/>
        </w:rPr>
      </w:pPr>
      <w:r w:rsidRPr="00A13972">
        <w:rPr>
          <w:rFonts w:hAnsi="標楷體" w:hint="eastAsia"/>
          <w:szCs w:val="32"/>
        </w:rPr>
        <w:t>本院於110年3月22日約請環保署到院說明，據相關主管人員稱：</w:t>
      </w:r>
    </w:p>
    <w:p w:rsidR="00DF1282" w:rsidRPr="00A13972" w:rsidRDefault="00DF1282" w:rsidP="00DC1E54">
      <w:pPr>
        <w:pStyle w:val="4"/>
        <w:numPr>
          <w:ilvl w:val="3"/>
          <w:numId w:val="5"/>
        </w:numPr>
        <w:overflowPunct/>
        <w:ind w:left="1418" w:hanging="480"/>
        <w:rPr>
          <w:rFonts w:hAnsi="標楷體"/>
          <w:b/>
          <w:szCs w:val="32"/>
        </w:rPr>
      </w:pPr>
      <w:r w:rsidRPr="00A13972">
        <w:rPr>
          <w:rFonts w:hint="eastAsia"/>
          <w:szCs w:val="32"/>
        </w:rPr>
        <w:t>現行法規雖明</w:t>
      </w:r>
      <w:r w:rsidR="00734E29" w:rsidRPr="00A13972">
        <w:rPr>
          <w:rFonts w:hint="eastAsia"/>
          <w:szCs w:val="32"/>
        </w:rPr>
        <w:t>定</w:t>
      </w:r>
      <w:r w:rsidRPr="00A13972">
        <w:rPr>
          <w:rFonts w:hint="eastAsia"/>
          <w:szCs w:val="32"/>
        </w:rPr>
        <w:t>執行機關受託處理一般事業廢棄物，應於處理一般廢棄物後，仍有餘裕處理能量，始得為之，惟國內缺乏可燃性一般事業廢棄物處理專用焚化設施，長期仰賴公有大型垃圾焚化廠處理，有焚化廠的縣市政府，為顧及轄內產業發展，於處理轄內一般廢棄物後，會優先考量處理轄內產出之</w:t>
      </w:r>
      <w:r w:rsidRPr="00A13972">
        <w:rPr>
          <w:rFonts w:hint="eastAsia"/>
          <w:szCs w:val="32"/>
        </w:rPr>
        <w:lastRenderedPageBreak/>
        <w:t>一般事業廢棄物。</w:t>
      </w:r>
    </w:p>
    <w:p w:rsidR="00DC1E54" w:rsidRPr="00A13972" w:rsidRDefault="00DF1282" w:rsidP="00DC1E54">
      <w:pPr>
        <w:pStyle w:val="4"/>
        <w:numPr>
          <w:ilvl w:val="3"/>
          <w:numId w:val="5"/>
        </w:numPr>
        <w:overflowPunct/>
        <w:ind w:left="1418" w:hanging="480"/>
        <w:rPr>
          <w:rFonts w:hAnsi="標楷體"/>
          <w:b/>
          <w:szCs w:val="32"/>
        </w:rPr>
      </w:pPr>
      <w:r w:rsidRPr="00A13972">
        <w:rPr>
          <w:rFonts w:cs="標楷體" w:hint="eastAsia"/>
          <w:kern w:val="0"/>
          <w:szCs w:val="32"/>
        </w:rPr>
        <w:t>至於</w:t>
      </w:r>
      <w:r w:rsidR="00DC1E54" w:rsidRPr="00A13972">
        <w:rPr>
          <w:rFonts w:cs="標楷體" w:hint="eastAsia"/>
          <w:kern w:val="0"/>
          <w:szCs w:val="32"/>
        </w:rPr>
        <w:t>有焚化廠縣市將一般廢棄物送外縣市協處</w:t>
      </w:r>
      <w:r w:rsidR="002921C3" w:rsidRPr="00A13972">
        <w:rPr>
          <w:rFonts w:cs="標楷體" w:hint="eastAsia"/>
          <w:kern w:val="0"/>
          <w:szCs w:val="32"/>
        </w:rPr>
        <w:t>，</w:t>
      </w:r>
      <w:r w:rsidRPr="00A13972">
        <w:rPr>
          <w:rFonts w:cs="標楷體" w:hint="eastAsia"/>
          <w:kern w:val="0"/>
          <w:szCs w:val="32"/>
        </w:rPr>
        <w:t>可能</w:t>
      </w:r>
      <w:r w:rsidR="00DC1E54" w:rsidRPr="00A13972">
        <w:rPr>
          <w:rFonts w:cs="標楷體" w:hint="eastAsia"/>
          <w:kern w:val="0"/>
          <w:szCs w:val="32"/>
        </w:rPr>
        <w:t>原因</w:t>
      </w:r>
      <w:r w:rsidRPr="00A13972">
        <w:rPr>
          <w:rFonts w:cs="標楷體" w:hint="eastAsia"/>
          <w:kern w:val="0"/>
          <w:szCs w:val="32"/>
        </w:rPr>
        <w:t>有下</w:t>
      </w:r>
      <w:r w:rsidRPr="00A13972">
        <w:rPr>
          <w:rFonts w:ascii="新細明體" w:eastAsia="新細明體" w:hAnsi="新細明體" w:cs="標楷體" w:hint="eastAsia"/>
          <w:kern w:val="0"/>
          <w:szCs w:val="32"/>
        </w:rPr>
        <w:t>：</w:t>
      </w:r>
    </w:p>
    <w:p w:rsidR="00DF1282" w:rsidRPr="00A13972" w:rsidRDefault="00DF1282" w:rsidP="002921C3">
      <w:pPr>
        <w:pStyle w:val="5"/>
      </w:pPr>
      <w:r w:rsidRPr="00A13972">
        <w:rPr>
          <w:rFonts w:hint="eastAsia"/>
        </w:rPr>
        <w:t>焚化廠整改期之配套措施：部分縣市（如臺中市、臺南市及嘉義市等）適逢焚化廠整改工程期間，焚化量能降低，轄內堆置空間不足時，協調鄰近縣市政府協處。</w:t>
      </w:r>
    </w:p>
    <w:p w:rsidR="0048639B" w:rsidRPr="00A13972" w:rsidRDefault="0048639B" w:rsidP="002921C3">
      <w:pPr>
        <w:pStyle w:val="5"/>
      </w:pPr>
      <w:r w:rsidRPr="00A13972">
        <w:rPr>
          <w:rFonts w:hint="eastAsia"/>
        </w:rPr>
        <w:t>大型活動產生垃圾，短期無法消化：部分縣市辦理大型活動（如臺中市於</w:t>
      </w:r>
      <w:r w:rsidRPr="00A13972">
        <w:t>108</w:t>
      </w:r>
      <w:r w:rsidRPr="00A13972">
        <w:rPr>
          <w:rFonts w:hint="eastAsia"/>
        </w:rPr>
        <w:t>年辦理花卉博覽會）期間產出大量垃圾，超過既有焚化設施量能，當轄內垃圾掩埋場暫置容量不足時，需協調鄰近縣市協處。</w:t>
      </w:r>
    </w:p>
    <w:p w:rsidR="0048639B" w:rsidRPr="00A13972" w:rsidRDefault="0048639B" w:rsidP="002921C3">
      <w:pPr>
        <w:pStyle w:val="5"/>
      </w:pPr>
      <w:r w:rsidRPr="00A13972">
        <w:rPr>
          <w:rFonts w:hint="eastAsia"/>
        </w:rPr>
        <w:t>焚化廠歲修期，例行互助合作：大型焚化廠每年皆有2次歲修，因應歲修期間垃圾處理，長期均與鄰近縣市建立互助合作關係，將歲修期間部分垃圾轉運至合作方處理，並採「以量易量」方式償還，以解決雙方歲修期間垃圾調度問題。</w:t>
      </w:r>
    </w:p>
    <w:p w:rsidR="0048639B" w:rsidRPr="00A13972" w:rsidRDefault="0048639B" w:rsidP="002921C3">
      <w:pPr>
        <w:pStyle w:val="5"/>
        <w:rPr>
          <w:rFonts w:cs="標楷體"/>
          <w:kern w:val="0"/>
          <w:szCs w:val="32"/>
        </w:rPr>
      </w:pPr>
      <w:r w:rsidRPr="00A13972">
        <w:rPr>
          <w:rFonts w:hint="eastAsia"/>
        </w:rPr>
        <w:t>民間業者清運家戶垃圾至外縣市：家戶垃圾並非全數由環保單位鄉鎮市公所清潔隊所清運，部分生活垃圾包括事業員工生活垃圾或公寓大廈產出家戶垃圾，係委託民間清運業者送至大型焚化廠處理，為民間業者基於處理費用或轄內焚化廠可收受量之考量，可能送至外縣市焚化廠處理。</w:t>
      </w:r>
    </w:p>
    <w:p w:rsidR="00524560" w:rsidRPr="00A13972" w:rsidRDefault="00524560" w:rsidP="002921C3">
      <w:pPr>
        <w:pStyle w:val="3"/>
        <w:rPr>
          <w:rFonts w:cs="標楷體"/>
          <w:kern w:val="0"/>
          <w:szCs w:val="32"/>
        </w:rPr>
      </w:pPr>
      <w:r w:rsidRPr="00A13972">
        <w:rPr>
          <w:rFonts w:hAnsi="標楷體" w:hint="eastAsia"/>
          <w:bCs w:val="0"/>
          <w:kern w:val="0"/>
          <w:szCs w:val="24"/>
          <w:u w:val="single"/>
        </w:rPr>
        <w:t>然據審計部查報</w:t>
      </w:r>
      <w:r w:rsidRPr="00A13972">
        <w:rPr>
          <w:rFonts w:ascii="新細明體" w:eastAsia="新細明體" w:hAnsi="新細明體" w:hint="eastAsia"/>
          <w:bCs w:val="0"/>
          <w:kern w:val="0"/>
          <w:szCs w:val="24"/>
        </w:rPr>
        <w:t>：</w:t>
      </w:r>
      <w:r w:rsidRPr="00A13972">
        <w:rPr>
          <w:rFonts w:hAnsi="標楷體" w:hint="eastAsia"/>
          <w:bCs w:val="0"/>
          <w:kern w:val="0"/>
          <w:szCs w:val="24"/>
        </w:rPr>
        <w:t>「截至108年底止，計有18家公民營廢棄物焚化廠、9家公民營廢棄物掩埋場，處理許可量分別為每月9</w:t>
      </w:r>
      <w:r w:rsidRPr="00A13972">
        <w:rPr>
          <w:rFonts w:hAnsi="標楷體" w:hint="eastAsia"/>
          <w:bCs w:val="0"/>
          <w:kern w:val="0"/>
          <w:szCs w:val="24"/>
          <w:lang w:eastAsia="zh-HK"/>
        </w:rPr>
        <w:t>萬餘</w:t>
      </w:r>
      <w:r w:rsidRPr="00A13972">
        <w:rPr>
          <w:rFonts w:hAnsi="標楷體" w:hint="eastAsia"/>
          <w:bCs w:val="0"/>
          <w:kern w:val="0"/>
          <w:szCs w:val="24"/>
        </w:rPr>
        <w:t>公噸及6</w:t>
      </w:r>
      <w:r w:rsidRPr="00A13972">
        <w:rPr>
          <w:rFonts w:hAnsi="標楷體" w:hint="eastAsia"/>
          <w:bCs w:val="0"/>
          <w:kern w:val="0"/>
          <w:szCs w:val="24"/>
          <w:lang w:eastAsia="zh-HK"/>
        </w:rPr>
        <w:t>萬餘</w:t>
      </w:r>
      <w:r w:rsidRPr="00A13972">
        <w:rPr>
          <w:rFonts w:hAnsi="標楷體" w:hint="eastAsia"/>
          <w:bCs w:val="0"/>
          <w:kern w:val="0"/>
          <w:szCs w:val="24"/>
        </w:rPr>
        <w:t>公噸，以108年度月平均申報量為16,403.5公噸及18,411公噸計算，</w:t>
      </w:r>
      <w:r w:rsidRPr="00A13972">
        <w:rPr>
          <w:rFonts w:hAnsi="標楷體" w:hint="eastAsia"/>
          <w:bCs w:val="0"/>
          <w:kern w:val="0"/>
          <w:szCs w:val="24"/>
          <w:u w:val="single"/>
        </w:rPr>
        <w:t>公民營廢棄物焚化廠及掩埋場尚有餘裕量</w:t>
      </w:r>
      <w:r w:rsidRPr="00A13972">
        <w:rPr>
          <w:rFonts w:hAnsi="標楷體" w:hint="eastAsia"/>
          <w:bCs w:val="0"/>
          <w:kern w:val="0"/>
          <w:szCs w:val="24"/>
        </w:rPr>
        <w:t>。」</w:t>
      </w:r>
      <w:r w:rsidRPr="00A13972">
        <w:rPr>
          <w:rFonts w:hAnsi="標楷體" w:hint="eastAsia"/>
          <w:bCs w:val="0"/>
          <w:kern w:val="0"/>
          <w:szCs w:val="24"/>
          <w:u w:val="single"/>
        </w:rPr>
        <w:t>故環保署前揭所稱</w:t>
      </w:r>
      <w:r w:rsidRPr="00A13972">
        <w:rPr>
          <w:rFonts w:ascii="新細明體" w:eastAsia="新細明體" w:hAnsi="新細明體" w:hint="eastAsia"/>
          <w:bCs w:val="0"/>
          <w:kern w:val="0"/>
          <w:szCs w:val="24"/>
          <w:u w:val="single"/>
        </w:rPr>
        <w:t>：「</w:t>
      </w:r>
      <w:r w:rsidRPr="00A13972">
        <w:rPr>
          <w:rFonts w:hint="eastAsia"/>
          <w:szCs w:val="32"/>
          <w:u w:val="single"/>
        </w:rPr>
        <w:t>國內缺乏可燃性一般事業廢</w:t>
      </w:r>
      <w:r w:rsidRPr="00A13972">
        <w:rPr>
          <w:rFonts w:hint="eastAsia"/>
          <w:szCs w:val="32"/>
          <w:u w:val="single"/>
        </w:rPr>
        <w:lastRenderedPageBreak/>
        <w:t>棄物處理專用焚化設施，長期仰賴公有大型垃圾焚化廠處理</w:t>
      </w:r>
      <w:r w:rsidRPr="00A13972">
        <w:rPr>
          <w:rFonts w:hAnsi="標楷體" w:hint="eastAsia"/>
          <w:szCs w:val="32"/>
          <w:u w:val="single"/>
        </w:rPr>
        <w:t>」等</w:t>
      </w:r>
      <w:r w:rsidRPr="00A13972">
        <w:rPr>
          <w:rFonts w:hint="eastAsia"/>
          <w:szCs w:val="32"/>
          <w:u w:val="single"/>
        </w:rPr>
        <w:t>說法尚非可採</w:t>
      </w:r>
      <w:r w:rsidRPr="00A13972">
        <w:rPr>
          <w:rFonts w:hint="eastAsia"/>
          <w:szCs w:val="32"/>
        </w:rPr>
        <w:t>。</w:t>
      </w:r>
    </w:p>
    <w:p w:rsidR="0048639B" w:rsidRPr="00A13972" w:rsidRDefault="002921C3" w:rsidP="002921C3">
      <w:pPr>
        <w:pStyle w:val="3"/>
        <w:rPr>
          <w:rFonts w:cs="標楷體"/>
          <w:kern w:val="0"/>
          <w:szCs w:val="32"/>
        </w:rPr>
      </w:pPr>
      <w:r w:rsidRPr="00A13972">
        <w:rPr>
          <w:rFonts w:cs="標楷體" w:hint="eastAsia"/>
          <w:kern w:val="0"/>
          <w:szCs w:val="32"/>
        </w:rPr>
        <w:t>綜上，按執行機關受託處理一般事業廢棄物，應於處理一般廢棄物後，仍有餘裕處理能量，始得為之，「廢棄物清理法」第28條第6項規定甚明。然查，部分地方政府轄內大型焚化廠一般廢棄物處理能量已無餘裕，甚至供不應求，卻仍收受處理一般事業廢棄物，雖有顧及轄內產業發展之考量，然長此以往，</w:t>
      </w:r>
      <w:r w:rsidR="006E3FA4" w:rsidRPr="00A13972">
        <w:rPr>
          <w:rFonts w:cs="標楷體" w:hint="eastAsia"/>
          <w:kern w:val="0"/>
          <w:szCs w:val="32"/>
        </w:rPr>
        <w:t>將</w:t>
      </w:r>
      <w:r w:rsidRPr="00A13972">
        <w:rPr>
          <w:rFonts w:cs="標楷體" w:hint="eastAsia"/>
          <w:kern w:val="0"/>
          <w:szCs w:val="32"/>
        </w:rPr>
        <w:t>排擠一般廢棄物去化，</w:t>
      </w:r>
      <w:r w:rsidR="0091692E" w:rsidRPr="00A13972">
        <w:rPr>
          <w:rFonts w:cs="標楷體" w:hint="eastAsia"/>
          <w:kern w:val="0"/>
          <w:szCs w:val="32"/>
        </w:rPr>
        <w:t>恐有違法之虞</w:t>
      </w:r>
      <w:r w:rsidRPr="00A13972">
        <w:rPr>
          <w:rFonts w:cs="標楷體" w:hint="eastAsia"/>
          <w:kern w:val="0"/>
          <w:szCs w:val="32"/>
        </w:rPr>
        <w:t>。</w:t>
      </w:r>
    </w:p>
    <w:p w:rsidR="00023F23" w:rsidRPr="00A13972" w:rsidRDefault="00D63E29" w:rsidP="00023F23">
      <w:pPr>
        <w:pStyle w:val="2"/>
        <w:rPr>
          <w:rFonts w:hAnsi="標楷體"/>
          <w:b/>
          <w:bCs w:val="0"/>
          <w:szCs w:val="32"/>
        </w:rPr>
      </w:pPr>
      <w:r w:rsidRPr="00A13972">
        <w:rPr>
          <w:rFonts w:hAnsi="標楷體" w:hint="eastAsia"/>
          <w:b/>
          <w:bCs w:val="0"/>
          <w:szCs w:val="32"/>
        </w:rPr>
        <w:t>國內</w:t>
      </w:r>
      <w:r w:rsidR="00B02985" w:rsidRPr="00A13972">
        <w:rPr>
          <w:rFonts w:hAnsi="標楷體" w:hint="eastAsia"/>
          <w:b/>
          <w:bCs w:val="0"/>
          <w:szCs w:val="32"/>
        </w:rPr>
        <w:t>24座大型焚化廠焚燒垃圾所產生之</w:t>
      </w:r>
      <w:r w:rsidR="00D413B0" w:rsidRPr="00A13972">
        <w:rPr>
          <w:rFonts w:hAnsi="標楷體" w:hint="eastAsia"/>
          <w:b/>
          <w:bCs w:val="0"/>
          <w:szCs w:val="32"/>
        </w:rPr>
        <w:t>飛</w:t>
      </w:r>
      <w:r w:rsidR="00B02985" w:rsidRPr="00A13972">
        <w:rPr>
          <w:rFonts w:hAnsi="標楷體" w:hint="eastAsia"/>
          <w:b/>
          <w:bCs w:val="0"/>
          <w:szCs w:val="32"/>
        </w:rPr>
        <w:t>灰</w:t>
      </w:r>
      <w:r w:rsidR="001A295E" w:rsidRPr="00A13972">
        <w:rPr>
          <w:rFonts w:hAnsi="標楷體" w:hint="eastAsia"/>
          <w:b/>
          <w:bCs w:val="0"/>
          <w:szCs w:val="32"/>
        </w:rPr>
        <w:t>、</w:t>
      </w:r>
      <w:r w:rsidR="00B02985" w:rsidRPr="00A13972">
        <w:rPr>
          <w:rFonts w:hAnsi="標楷體" w:hint="eastAsia"/>
          <w:b/>
          <w:bCs w:val="0"/>
          <w:szCs w:val="32"/>
        </w:rPr>
        <w:t>底</w:t>
      </w:r>
      <w:r w:rsidR="00D413B0" w:rsidRPr="00A13972">
        <w:rPr>
          <w:rFonts w:hAnsi="標楷體" w:hint="eastAsia"/>
          <w:b/>
          <w:bCs w:val="0"/>
          <w:szCs w:val="32"/>
        </w:rPr>
        <w:t>渣</w:t>
      </w:r>
      <w:r w:rsidR="00B02985" w:rsidRPr="00A13972">
        <w:rPr>
          <w:rFonts w:hAnsi="標楷體" w:hint="eastAsia"/>
          <w:b/>
          <w:bCs w:val="0"/>
          <w:szCs w:val="32"/>
        </w:rPr>
        <w:t>係</w:t>
      </w:r>
      <w:r w:rsidRPr="00A13972">
        <w:rPr>
          <w:rFonts w:hAnsi="標楷體" w:hint="eastAsia"/>
          <w:b/>
          <w:bCs w:val="0"/>
          <w:szCs w:val="32"/>
        </w:rPr>
        <w:t>由</w:t>
      </w:r>
      <w:r w:rsidR="00D413B0" w:rsidRPr="00A13972">
        <w:rPr>
          <w:rFonts w:hAnsi="標楷體" w:hint="eastAsia"/>
          <w:b/>
          <w:bCs w:val="0"/>
          <w:szCs w:val="32"/>
        </w:rPr>
        <w:t>政府負責</w:t>
      </w:r>
      <w:r w:rsidRPr="00A13972">
        <w:rPr>
          <w:rFonts w:hAnsi="標楷體" w:hint="eastAsia"/>
          <w:b/>
          <w:bCs w:val="0"/>
          <w:szCs w:val="32"/>
        </w:rPr>
        <w:t>，</w:t>
      </w:r>
      <w:r w:rsidR="001A295E" w:rsidRPr="00A13972">
        <w:rPr>
          <w:rFonts w:hAnsi="標楷體" w:hint="eastAsia"/>
          <w:b/>
          <w:bCs w:val="0"/>
          <w:szCs w:val="32"/>
        </w:rPr>
        <w:t>交</w:t>
      </w:r>
      <w:r w:rsidR="008C5AA3" w:rsidRPr="00A13972">
        <w:rPr>
          <w:rFonts w:hAnsi="標楷體" w:hint="eastAsia"/>
          <w:b/>
          <w:bCs w:val="0"/>
          <w:szCs w:val="32"/>
        </w:rPr>
        <w:t>予</w:t>
      </w:r>
      <w:r w:rsidR="00B02985" w:rsidRPr="00A13972">
        <w:rPr>
          <w:rFonts w:hAnsi="標楷體" w:hint="eastAsia"/>
          <w:b/>
          <w:bCs w:val="0"/>
          <w:szCs w:val="32"/>
        </w:rPr>
        <w:t>公有掩埋場進行最終處理，</w:t>
      </w:r>
      <w:r w:rsidR="0091692E" w:rsidRPr="00A13972">
        <w:rPr>
          <w:rFonts w:hAnsi="標楷體" w:hint="eastAsia"/>
          <w:b/>
          <w:bCs w:val="0"/>
          <w:szCs w:val="32"/>
        </w:rPr>
        <w:t>部分成本已由公部門吸收，故其收費相對低廉，</w:t>
      </w:r>
      <w:r w:rsidRPr="00A13972">
        <w:rPr>
          <w:rFonts w:hAnsi="標楷體" w:hint="eastAsia"/>
          <w:b/>
          <w:bCs w:val="0"/>
          <w:szCs w:val="32"/>
        </w:rPr>
        <w:t>加</w:t>
      </w:r>
      <w:r w:rsidR="0091692E" w:rsidRPr="00A13972">
        <w:rPr>
          <w:rFonts w:hAnsi="標楷體" w:hint="eastAsia"/>
          <w:b/>
          <w:bCs w:val="0"/>
          <w:szCs w:val="32"/>
        </w:rPr>
        <w:t>以</w:t>
      </w:r>
      <w:r w:rsidRPr="00A13972">
        <w:rPr>
          <w:rFonts w:hAnsi="標楷體" w:hint="eastAsia"/>
          <w:b/>
          <w:bCs w:val="0"/>
          <w:szCs w:val="32"/>
        </w:rPr>
        <w:t>部分地方政府受託代為清除一般事業廢棄物，未能確實反</w:t>
      </w:r>
      <w:r w:rsidR="005252BA" w:rsidRPr="00A13972">
        <w:rPr>
          <w:rFonts w:hAnsi="標楷體" w:hint="eastAsia"/>
          <w:b/>
          <w:bCs w:val="0"/>
          <w:szCs w:val="32"/>
        </w:rPr>
        <w:t>映</w:t>
      </w:r>
      <w:r w:rsidR="0091692E" w:rsidRPr="00A13972">
        <w:rPr>
          <w:rFonts w:hAnsi="標楷體" w:hint="eastAsia"/>
          <w:b/>
          <w:bCs w:val="0"/>
          <w:szCs w:val="32"/>
        </w:rPr>
        <w:t>成本，收費甚至</w:t>
      </w:r>
      <w:r w:rsidRPr="00A13972">
        <w:rPr>
          <w:rFonts w:hAnsi="標楷體" w:hint="eastAsia"/>
          <w:b/>
          <w:bCs w:val="0"/>
          <w:szCs w:val="32"/>
        </w:rPr>
        <w:t>低於</w:t>
      </w:r>
      <w:r w:rsidR="0091692E" w:rsidRPr="00A13972">
        <w:rPr>
          <w:rFonts w:hAnsi="標楷體" w:hint="eastAsia"/>
          <w:b/>
          <w:bCs w:val="0"/>
          <w:szCs w:val="32"/>
        </w:rPr>
        <w:t>其他</w:t>
      </w:r>
      <w:r w:rsidR="009D09B6" w:rsidRPr="00A13972">
        <w:rPr>
          <w:rFonts w:hAnsi="標楷體" w:hint="eastAsia"/>
          <w:b/>
          <w:bCs w:val="0"/>
          <w:szCs w:val="32"/>
        </w:rPr>
        <w:t>18家</w:t>
      </w:r>
      <w:r w:rsidR="00B02985" w:rsidRPr="00A13972">
        <w:rPr>
          <w:rFonts w:hAnsi="標楷體" w:hint="eastAsia"/>
          <w:b/>
          <w:bCs w:val="0"/>
          <w:szCs w:val="32"/>
        </w:rPr>
        <w:t>公民營廢棄物焚化廠</w:t>
      </w:r>
      <w:r w:rsidRPr="00A13972">
        <w:rPr>
          <w:rFonts w:hAnsi="標楷體" w:hint="eastAsia"/>
          <w:b/>
          <w:bCs w:val="0"/>
          <w:szCs w:val="32"/>
        </w:rPr>
        <w:t>，</w:t>
      </w:r>
      <w:r w:rsidR="00277980" w:rsidRPr="00A13972">
        <w:rPr>
          <w:rFonts w:hAnsi="標楷體" w:hint="eastAsia"/>
          <w:b/>
          <w:bCs w:val="0"/>
          <w:szCs w:val="32"/>
        </w:rPr>
        <w:t>以</w:t>
      </w:r>
      <w:r w:rsidR="009D09B6" w:rsidRPr="00A13972">
        <w:rPr>
          <w:rFonts w:hAnsi="標楷體" w:hint="eastAsia"/>
          <w:b/>
          <w:bCs w:val="0"/>
          <w:szCs w:val="32"/>
        </w:rPr>
        <w:t>致國內一般事業廢棄物</w:t>
      </w:r>
      <w:r w:rsidR="007B629D" w:rsidRPr="00A13972">
        <w:rPr>
          <w:rFonts w:hAnsi="標楷體" w:hint="eastAsia"/>
          <w:b/>
          <w:bCs w:val="0"/>
          <w:szCs w:val="32"/>
        </w:rPr>
        <w:t>責任業者為節省成本，</w:t>
      </w:r>
      <w:r w:rsidR="00C57F40" w:rsidRPr="00A13972">
        <w:rPr>
          <w:rFonts w:hAnsi="標楷體" w:hint="eastAsia"/>
          <w:b/>
          <w:bCs w:val="0"/>
          <w:szCs w:val="32"/>
        </w:rPr>
        <w:t>多</w:t>
      </w:r>
      <w:r w:rsidR="009D09B6" w:rsidRPr="00A13972">
        <w:rPr>
          <w:rFonts w:hAnsi="標楷體" w:hint="eastAsia"/>
          <w:b/>
          <w:bCs w:val="0"/>
          <w:szCs w:val="32"/>
        </w:rPr>
        <w:t>設法</w:t>
      </w:r>
      <w:r w:rsidR="00C57F40" w:rsidRPr="00A13972">
        <w:rPr>
          <w:rFonts w:hAnsi="標楷體" w:hint="eastAsia"/>
          <w:b/>
          <w:bCs w:val="0"/>
          <w:szCs w:val="32"/>
        </w:rPr>
        <w:t>委由24座大型焚化廠處理，形成不公平競爭</w:t>
      </w:r>
      <w:r w:rsidR="0096238D" w:rsidRPr="00A13972">
        <w:rPr>
          <w:rFonts w:hAnsi="標楷體" w:hint="eastAsia"/>
          <w:b/>
          <w:bCs w:val="0"/>
          <w:szCs w:val="32"/>
        </w:rPr>
        <w:t>。</w:t>
      </w:r>
      <w:r w:rsidR="00D413B0" w:rsidRPr="00A13972">
        <w:rPr>
          <w:rFonts w:hAnsi="標楷體" w:hint="eastAsia"/>
          <w:b/>
          <w:bCs w:val="0"/>
          <w:szCs w:val="32"/>
        </w:rPr>
        <w:t>政府允</w:t>
      </w:r>
      <w:r w:rsidR="005252BA" w:rsidRPr="00A13972">
        <w:rPr>
          <w:rFonts w:hAnsi="標楷體" w:hint="eastAsia"/>
          <w:b/>
          <w:bCs w:val="0"/>
          <w:szCs w:val="32"/>
        </w:rPr>
        <w:t>宜</w:t>
      </w:r>
      <w:r w:rsidR="00D413B0" w:rsidRPr="00A13972">
        <w:rPr>
          <w:rFonts w:hAnsi="標楷體" w:hint="eastAsia"/>
          <w:b/>
          <w:bCs w:val="0"/>
          <w:szCs w:val="32"/>
        </w:rPr>
        <w:t>協助</w:t>
      </w:r>
      <w:r w:rsidR="005252BA" w:rsidRPr="00A13972">
        <w:rPr>
          <w:rFonts w:hAnsi="標楷體" w:hint="eastAsia"/>
          <w:b/>
          <w:bCs w:val="0"/>
          <w:szCs w:val="32"/>
        </w:rPr>
        <w:t>建</w:t>
      </w:r>
      <w:r w:rsidR="00D413B0" w:rsidRPr="00A13972">
        <w:rPr>
          <w:rFonts w:hAnsi="標楷體" w:hint="eastAsia"/>
          <w:b/>
          <w:bCs w:val="0"/>
          <w:szCs w:val="32"/>
        </w:rPr>
        <w:t>立</w:t>
      </w:r>
      <w:r w:rsidR="009D09B6" w:rsidRPr="00A13972">
        <w:rPr>
          <w:rFonts w:hAnsi="標楷體" w:hint="eastAsia"/>
          <w:b/>
          <w:bCs w:val="0"/>
          <w:szCs w:val="32"/>
        </w:rPr>
        <w:t>全國性之焚化爐</w:t>
      </w:r>
      <w:r w:rsidR="005252BA" w:rsidRPr="00A13972">
        <w:rPr>
          <w:rFonts w:hAnsi="標楷體" w:hint="eastAsia"/>
          <w:b/>
          <w:bCs w:val="0"/>
          <w:szCs w:val="32"/>
        </w:rPr>
        <w:t>飛灰、底渣</w:t>
      </w:r>
      <w:r w:rsidR="00D413B0" w:rsidRPr="00A13972">
        <w:rPr>
          <w:rFonts w:hAnsi="標楷體" w:hint="eastAsia"/>
          <w:b/>
          <w:bCs w:val="0"/>
          <w:szCs w:val="32"/>
        </w:rPr>
        <w:t>聯合處理</w:t>
      </w:r>
      <w:r w:rsidR="005252BA" w:rsidRPr="00A13972">
        <w:rPr>
          <w:rFonts w:hAnsi="標楷體" w:hint="eastAsia"/>
          <w:b/>
          <w:bCs w:val="0"/>
          <w:szCs w:val="32"/>
        </w:rPr>
        <w:t>機制</w:t>
      </w:r>
      <w:r w:rsidR="00D413B0" w:rsidRPr="00A13972">
        <w:rPr>
          <w:rFonts w:hAnsi="標楷體" w:hint="eastAsia"/>
          <w:b/>
          <w:bCs w:val="0"/>
          <w:szCs w:val="32"/>
        </w:rPr>
        <w:t>，</w:t>
      </w:r>
      <w:r w:rsidR="005252BA" w:rsidRPr="00A13972">
        <w:rPr>
          <w:rFonts w:hAnsi="標楷體" w:hint="eastAsia"/>
          <w:b/>
          <w:bCs w:val="0"/>
          <w:szCs w:val="32"/>
        </w:rPr>
        <w:t>以健全一般事業廢棄物處理體系。</w:t>
      </w:r>
    </w:p>
    <w:p w:rsidR="0068126E" w:rsidRPr="00A13972" w:rsidRDefault="0091692E" w:rsidP="00C57F40">
      <w:pPr>
        <w:pStyle w:val="3"/>
      </w:pPr>
      <w:r w:rsidRPr="00A13972">
        <w:rPr>
          <w:rFonts w:hAnsi="標楷體" w:hint="eastAsia"/>
          <w:kern w:val="0"/>
          <w:szCs w:val="24"/>
        </w:rPr>
        <w:t>除了24座大型焚化廠外，</w:t>
      </w:r>
      <w:r w:rsidR="00707B95" w:rsidRPr="00A13972">
        <w:rPr>
          <w:rFonts w:hAnsi="標楷體" w:hint="eastAsia"/>
          <w:kern w:val="0"/>
          <w:szCs w:val="24"/>
        </w:rPr>
        <w:t>目前</w:t>
      </w:r>
      <w:r w:rsidR="0068126E" w:rsidRPr="00A13972">
        <w:rPr>
          <w:rFonts w:hAnsi="標楷體" w:hint="eastAsia"/>
          <w:kern w:val="0"/>
          <w:szCs w:val="24"/>
        </w:rPr>
        <w:t>國內</w:t>
      </w:r>
      <w:r w:rsidR="00707B95" w:rsidRPr="00A13972">
        <w:rPr>
          <w:rFonts w:hAnsi="標楷體" w:hint="eastAsia"/>
          <w:kern w:val="0"/>
          <w:szCs w:val="24"/>
        </w:rPr>
        <w:t>以焚化</w:t>
      </w:r>
      <w:r w:rsidR="008425AF" w:rsidRPr="00A13972">
        <w:rPr>
          <w:rFonts w:hAnsi="標楷體" w:hint="eastAsia"/>
          <w:kern w:val="0"/>
          <w:szCs w:val="24"/>
        </w:rPr>
        <w:t>方式</w:t>
      </w:r>
      <w:r w:rsidR="00707B95" w:rsidRPr="00A13972">
        <w:rPr>
          <w:rFonts w:hAnsi="標楷體" w:hint="eastAsia"/>
          <w:kern w:val="0"/>
          <w:szCs w:val="24"/>
        </w:rPr>
        <w:t>處理</w:t>
      </w:r>
      <w:r w:rsidR="0068126E" w:rsidRPr="00A13972">
        <w:rPr>
          <w:rFonts w:hAnsi="標楷體" w:hint="eastAsia"/>
          <w:kern w:val="0"/>
          <w:szCs w:val="24"/>
        </w:rPr>
        <w:t>事業廢棄物之</w:t>
      </w:r>
      <w:r w:rsidR="00707B95" w:rsidRPr="00A13972">
        <w:rPr>
          <w:rFonts w:hAnsi="標楷體" w:hint="eastAsia"/>
          <w:kern w:val="0"/>
          <w:szCs w:val="24"/>
        </w:rPr>
        <w:t>公民營廢棄物焚化機構</w:t>
      </w:r>
      <w:r w:rsidR="0068126E" w:rsidRPr="00A13972">
        <w:rPr>
          <w:rFonts w:hAnsi="標楷體" w:hint="eastAsia"/>
          <w:kern w:val="0"/>
          <w:szCs w:val="24"/>
        </w:rPr>
        <w:t>計18家</w:t>
      </w:r>
      <w:r w:rsidR="00707B95" w:rsidRPr="00A13972">
        <w:rPr>
          <w:rFonts w:hAnsi="標楷體" w:hint="eastAsia"/>
          <w:kern w:val="0"/>
          <w:szCs w:val="24"/>
        </w:rPr>
        <w:t>，</w:t>
      </w:r>
      <w:r w:rsidR="00B865E1" w:rsidRPr="00A13972">
        <w:rPr>
          <w:rFonts w:hAnsi="標楷體" w:hint="eastAsia"/>
          <w:kern w:val="0"/>
          <w:szCs w:val="24"/>
        </w:rPr>
        <w:t>然</w:t>
      </w:r>
      <w:r w:rsidR="0068126E" w:rsidRPr="00A13972">
        <w:rPr>
          <w:rFonts w:hAnsi="標楷體" w:hint="eastAsia"/>
          <w:kern w:val="0"/>
          <w:szCs w:val="32"/>
        </w:rPr>
        <w:t>據審計部查報，</w:t>
      </w:r>
      <w:r w:rsidR="0068126E" w:rsidRPr="00A13972">
        <w:rPr>
          <w:rFonts w:hAnsi="標楷體" w:hint="eastAsia"/>
          <w:kern w:val="0"/>
          <w:szCs w:val="24"/>
        </w:rPr>
        <w:t>108年度一般事業廢棄物經由焚化處理者121萬餘公噸，其中</w:t>
      </w:r>
      <w:r w:rsidR="00B865E1" w:rsidRPr="00A13972">
        <w:rPr>
          <w:rFonts w:hAnsi="標楷體" w:hint="eastAsia"/>
          <w:kern w:val="0"/>
          <w:szCs w:val="24"/>
        </w:rPr>
        <w:t>交由公民營廢棄物清除、處理及清理機構焚化者僅19萬餘公噸(</w:t>
      </w:r>
      <w:r w:rsidR="007300FF" w:rsidRPr="00A13972">
        <w:rPr>
          <w:rFonts w:hAnsi="標楷體" w:hint="eastAsia"/>
          <w:kern w:val="0"/>
          <w:szCs w:val="24"/>
        </w:rPr>
        <w:t>約占</w:t>
      </w:r>
      <w:r w:rsidR="00B865E1" w:rsidRPr="00A13972">
        <w:rPr>
          <w:rFonts w:hAnsi="標楷體" w:hint="eastAsia"/>
          <w:kern w:val="0"/>
          <w:szCs w:val="24"/>
        </w:rPr>
        <w:t>16.19％)，</w:t>
      </w:r>
      <w:r w:rsidR="007300FF" w:rsidRPr="00A13972">
        <w:rPr>
          <w:rFonts w:hAnsi="標楷體" w:hint="eastAsia"/>
          <w:kern w:val="0"/>
          <w:szCs w:val="24"/>
        </w:rPr>
        <w:t>交</w:t>
      </w:r>
      <w:r w:rsidR="0068126E" w:rsidRPr="00A13972">
        <w:rPr>
          <w:rFonts w:hAnsi="標楷體" w:hint="eastAsia"/>
          <w:kern w:val="0"/>
          <w:szCs w:val="24"/>
        </w:rPr>
        <w:t>由國內24座大型焚化廠焚化者</w:t>
      </w:r>
      <w:r w:rsidR="007300FF" w:rsidRPr="00A13972">
        <w:rPr>
          <w:rFonts w:hAnsi="標楷體" w:hint="eastAsia"/>
          <w:kern w:val="0"/>
          <w:szCs w:val="24"/>
        </w:rPr>
        <w:t>卻高達</w:t>
      </w:r>
      <w:r w:rsidR="0068126E" w:rsidRPr="00A13972">
        <w:rPr>
          <w:rFonts w:hAnsi="標楷體" w:hint="eastAsia"/>
          <w:kern w:val="0"/>
          <w:szCs w:val="24"/>
        </w:rPr>
        <w:t>62萬餘公噸（</w:t>
      </w:r>
      <w:r w:rsidR="007300FF" w:rsidRPr="00A13972">
        <w:rPr>
          <w:rFonts w:hAnsi="標楷體" w:hint="eastAsia"/>
          <w:kern w:val="0"/>
          <w:szCs w:val="24"/>
        </w:rPr>
        <w:t>約</w:t>
      </w:r>
      <w:r w:rsidR="0068126E" w:rsidRPr="00A13972">
        <w:rPr>
          <w:rFonts w:hAnsi="標楷體" w:hint="eastAsia"/>
          <w:kern w:val="0"/>
          <w:szCs w:val="24"/>
        </w:rPr>
        <w:t>占51.06％）</w:t>
      </w:r>
      <w:r w:rsidR="007300FF" w:rsidRPr="00A13972">
        <w:rPr>
          <w:rStyle w:val="afe"/>
          <w:rFonts w:hAnsi="標楷體"/>
          <w:kern w:val="0"/>
          <w:szCs w:val="24"/>
        </w:rPr>
        <w:footnoteReference w:id="3"/>
      </w:r>
      <w:r w:rsidR="007300FF" w:rsidRPr="00A13972">
        <w:rPr>
          <w:rFonts w:hAnsi="標楷體" w:hint="eastAsia"/>
          <w:kern w:val="0"/>
          <w:szCs w:val="24"/>
        </w:rPr>
        <w:t>，</w:t>
      </w:r>
      <w:r w:rsidR="00524560" w:rsidRPr="00A13972">
        <w:rPr>
          <w:rFonts w:hAnsi="標楷體" w:hint="eastAsia"/>
          <w:kern w:val="0"/>
          <w:szCs w:val="24"/>
        </w:rPr>
        <w:t>據該部</w:t>
      </w:r>
      <w:r w:rsidR="007300FF" w:rsidRPr="00A13972">
        <w:rPr>
          <w:rFonts w:hAnsi="標楷體" w:hint="eastAsia"/>
          <w:kern w:val="0"/>
          <w:szCs w:val="24"/>
        </w:rPr>
        <w:t>推測</w:t>
      </w:r>
      <w:r w:rsidR="008425AF" w:rsidRPr="00A13972">
        <w:rPr>
          <w:rFonts w:hAnsi="標楷體" w:hint="eastAsia"/>
          <w:kern w:val="0"/>
          <w:szCs w:val="24"/>
        </w:rPr>
        <w:t>其</w:t>
      </w:r>
      <w:r w:rsidR="007300FF" w:rsidRPr="00A13972">
        <w:rPr>
          <w:rFonts w:hAnsi="標楷體" w:hint="eastAsia"/>
          <w:kern w:val="0"/>
          <w:szCs w:val="24"/>
        </w:rPr>
        <w:t>原因，恐係公民營廢棄物清除、處理及清理機構</w:t>
      </w:r>
      <w:r w:rsidR="0068126E" w:rsidRPr="00A13972">
        <w:rPr>
          <w:rFonts w:hAnsi="標楷體" w:hint="eastAsia"/>
          <w:kern w:val="0"/>
          <w:szCs w:val="24"/>
        </w:rPr>
        <w:t>收費較</w:t>
      </w:r>
      <w:r w:rsidR="007300FF" w:rsidRPr="00A13972">
        <w:rPr>
          <w:rFonts w:hAnsi="標楷體" w:hint="eastAsia"/>
          <w:kern w:val="0"/>
          <w:szCs w:val="24"/>
        </w:rPr>
        <w:t>24座大型焚化廠</w:t>
      </w:r>
      <w:r w:rsidR="0068126E" w:rsidRPr="00A13972">
        <w:rPr>
          <w:rFonts w:hAnsi="標楷體" w:hint="eastAsia"/>
          <w:kern w:val="0"/>
          <w:szCs w:val="24"/>
        </w:rPr>
        <w:t>高，致國內產生一般事業廢棄物之責任業者為節省成本，</w:t>
      </w:r>
      <w:r w:rsidR="007300FF" w:rsidRPr="00A13972">
        <w:rPr>
          <w:rFonts w:hAnsi="標楷體" w:hint="eastAsia"/>
          <w:kern w:val="0"/>
          <w:szCs w:val="24"/>
        </w:rPr>
        <w:t>仍</w:t>
      </w:r>
      <w:r w:rsidR="0068126E" w:rsidRPr="00A13972">
        <w:rPr>
          <w:rFonts w:hAnsi="標楷體" w:hint="eastAsia"/>
          <w:kern w:val="0"/>
          <w:szCs w:val="24"/>
        </w:rPr>
        <w:t>多委由24座大型焚化廠處理一</w:t>
      </w:r>
      <w:r w:rsidR="0068126E" w:rsidRPr="00A13972">
        <w:rPr>
          <w:rFonts w:hAnsi="標楷體" w:hint="eastAsia"/>
          <w:kern w:val="0"/>
          <w:szCs w:val="24"/>
        </w:rPr>
        <w:lastRenderedPageBreak/>
        <w:t>般事業廢棄物。</w:t>
      </w:r>
    </w:p>
    <w:p w:rsidR="00AA1305" w:rsidRPr="00A13972" w:rsidRDefault="008425AF" w:rsidP="00E21A59">
      <w:pPr>
        <w:pStyle w:val="3"/>
      </w:pPr>
      <w:r w:rsidRPr="00A13972">
        <w:rPr>
          <w:rFonts w:hAnsi="標楷體" w:hint="eastAsia"/>
          <w:kern w:val="0"/>
          <w:szCs w:val="24"/>
        </w:rPr>
        <w:t>查國內責任業者</w:t>
      </w:r>
      <w:r w:rsidR="00AA1305" w:rsidRPr="00A13972">
        <w:rPr>
          <w:rFonts w:hAnsi="標楷體" w:hint="eastAsia"/>
          <w:kern w:val="0"/>
          <w:szCs w:val="24"/>
        </w:rPr>
        <w:t>將一般事業廢棄物</w:t>
      </w:r>
      <w:r w:rsidR="00AC3FF9" w:rsidRPr="00A13972">
        <w:rPr>
          <w:rFonts w:hAnsi="標楷體" w:hint="eastAsia"/>
          <w:kern w:val="0"/>
          <w:szCs w:val="24"/>
        </w:rPr>
        <w:t>委由公民營廢棄物焚化機構處理，每公噸價格</w:t>
      </w:r>
      <w:r w:rsidR="00E04041" w:rsidRPr="00A13972">
        <w:rPr>
          <w:rFonts w:hAnsi="標楷體" w:hint="eastAsia"/>
          <w:kern w:val="0"/>
          <w:szCs w:val="24"/>
        </w:rPr>
        <w:t>約</w:t>
      </w:r>
      <w:r w:rsidR="00AC3FF9" w:rsidRPr="00A13972">
        <w:rPr>
          <w:rFonts w:hAnsi="標楷體" w:hint="eastAsia"/>
          <w:kern w:val="0"/>
          <w:szCs w:val="24"/>
        </w:rPr>
        <w:t>新臺幣（下同）數千元到數萬元不等（不含運費</w:t>
      </w:r>
      <w:r w:rsidR="00E04041" w:rsidRPr="00A13972">
        <w:rPr>
          <w:rFonts w:hAnsi="標楷體" w:hint="eastAsia"/>
          <w:kern w:val="0"/>
          <w:szCs w:val="24"/>
        </w:rPr>
        <w:t>，詳表</w:t>
      </w:r>
      <w:r w:rsidR="009C6534">
        <w:rPr>
          <w:rFonts w:hAnsi="標楷體" w:hint="eastAsia"/>
          <w:kern w:val="0"/>
          <w:szCs w:val="24"/>
        </w:rPr>
        <w:t>4</w:t>
      </w:r>
      <w:r w:rsidR="00AC3FF9" w:rsidRPr="00A13972">
        <w:rPr>
          <w:rFonts w:hAnsi="標楷體" w:hint="eastAsia"/>
          <w:kern w:val="0"/>
          <w:szCs w:val="24"/>
        </w:rPr>
        <w:t>），對照</w:t>
      </w:r>
      <w:r w:rsidR="00AA1305" w:rsidRPr="00A13972">
        <w:rPr>
          <w:rFonts w:hAnsi="標楷體" w:hint="eastAsia"/>
          <w:kern w:val="0"/>
          <w:szCs w:val="24"/>
        </w:rPr>
        <w:t>送至</w:t>
      </w:r>
      <w:r w:rsidR="00AA1305" w:rsidRPr="00A13972">
        <w:rPr>
          <w:rFonts w:hAnsi="標楷體"/>
          <w:kern w:val="0"/>
          <w:szCs w:val="24"/>
        </w:rPr>
        <w:t>24</w:t>
      </w:r>
      <w:r w:rsidR="00AA1305" w:rsidRPr="00A13972">
        <w:rPr>
          <w:rFonts w:hAnsi="標楷體" w:hint="eastAsia"/>
          <w:kern w:val="0"/>
          <w:szCs w:val="24"/>
        </w:rPr>
        <w:t>座大型焚化廠</w:t>
      </w:r>
      <w:r w:rsidRPr="00A13972">
        <w:rPr>
          <w:rFonts w:hAnsi="標楷體" w:hint="eastAsia"/>
          <w:kern w:val="0"/>
          <w:szCs w:val="24"/>
        </w:rPr>
        <w:t>，每公噸處理價格多</w:t>
      </w:r>
      <w:r w:rsidR="00DB4E67" w:rsidRPr="00A13972">
        <w:rPr>
          <w:rFonts w:hAnsi="標楷體" w:hint="eastAsia"/>
          <w:kern w:val="0"/>
          <w:szCs w:val="24"/>
        </w:rPr>
        <w:t>在5</w:t>
      </w:r>
      <w:r w:rsidR="00AA1305" w:rsidRPr="00A13972">
        <w:rPr>
          <w:rFonts w:hAnsi="標楷體" w:hint="eastAsia"/>
          <w:kern w:val="0"/>
          <w:szCs w:val="24"/>
        </w:rPr>
        <w:t>千元</w:t>
      </w:r>
      <w:r w:rsidR="00AC3FF9" w:rsidRPr="00A13972">
        <w:rPr>
          <w:rFonts w:hAnsi="標楷體" w:hint="eastAsia"/>
          <w:kern w:val="0"/>
          <w:szCs w:val="24"/>
        </w:rPr>
        <w:t>以下</w:t>
      </w:r>
      <w:r w:rsidR="00AA1305" w:rsidRPr="00A13972">
        <w:rPr>
          <w:rFonts w:hAnsi="標楷體" w:hint="eastAsia"/>
          <w:kern w:val="0"/>
          <w:szCs w:val="24"/>
        </w:rPr>
        <w:t>（不含運費</w:t>
      </w:r>
      <w:r w:rsidR="00E04041" w:rsidRPr="00A13972">
        <w:rPr>
          <w:rFonts w:hAnsi="標楷體" w:hint="eastAsia"/>
          <w:kern w:val="0"/>
          <w:szCs w:val="24"/>
        </w:rPr>
        <w:t>，</w:t>
      </w:r>
      <w:r w:rsidR="00E04041" w:rsidRPr="00A13972">
        <w:rPr>
          <w:rFonts w:hAnsi="標楷體"/>
          <w:kern w:val="0"/>
          <w:szCs w:val="24"/>
        </w:rPr>
        <w:t>基隆市廠</w:t>
      </w:r>
      <w:r w:rsidR="00E04041" w:rsidRPr="00A13972">
        <w:rPr>
          <w:rFonts w:hAnsi="標楷體" w:hint="eastAsia"/>
          <w:kern w:val="0"/>
          <w:szCs w:val="24"/>
        </w:rPr>
        <w:t>與嘉義市廠除外，詳表</w:t>
      </w:r>
      <w:r w:rsidR="009C6534">
        <w:rPr>
          <w:rFonts w:hAnsi="標楷體" w:hint="eastAsia"/>
          <w:kern w:val="0"/>
          <w:szCs w:val="24"/>
        </w:rPr>
        <w:t>5</w:t>
      </w:r>
      <w:r w:rsidR="00AA1305" w:rsidRPr="00A13972">
        <w:rPr>
          <w:rFonts w:hAnsi="標楷體" w:hint="eastAsia"/>
          <w:kern w:val="0"/>
          <w:szCs w:val="24"/>
        </w:rPr>
        <w:t>）</w:t>
      </w:r>
      <w:r w:rsidR="00AC3FF9" w:rsidRPr="00A13972">
        <w:rPr>
          <w:rFonts w:hAnsi="標楷體" w:hint="eastAsia"/>
          <w:kern w:val="0"/>
          <w:szCs w:val="24"/>
        </w:rPr>
        <w:t>，</w:t>
      </w:r>
      <w:r w:rsidR="00DB4E67" w:rsidRPr="00A13972">
        <w:rPr>
          <w:rFonts w:hAnsi="標楷體" w:hint="eastAsia"/>
          <w:kern w:val="0"/>
          <w:szCs w:val="24"/>
        </w:rPr>
        <w:t>收費標準有明顯落差</w:t>
      </w:r>
      <w:r w:rsidR="00E04041" w:rsidRPr="00A13972">
        <w:rPr>
          <w:rFonts w:hAnsi="標楷體" w:hint="eastAsia"/>
          <w:kern w:val="0"/>
          <w:szCs w:val="24"/>
        </w:rPr>
        <w:t>，</w:t>
      </w:r>
      <w:r w:rsidR="00AC3FF9" w:rsidRPr="00A13972">
        <w:rPr>
          <w:rFonts w:hAnsi="標楷體" w:hint="eastAsia"/>
          <w:kern w:val="0"/>
          <w:szCs w:val="24"/>
        </w:rPr>
        <w:t>故</w:t>
      </w:r>
      <w:r w:rsidR="00DB4E67" w:rsidRPr="00A13972">
        <w:rPr>
          <w:rFonts w:hAnsi="標楷體" w:hint="eastAsia"/>
          <w:kern w:val="0"/>
          <w:szCs w:val="24"/>
        </w:rPr>
        <w:t>除</w:t>
      </w:r>
      <w:r w:rsidR="00524560" w:rsidRPr="00A13972">
        <w:rPr>
          <w:rFonts w:hAnsi="標楷體" w:hint="eastAsia"/>
          <w:kern w:val="0"/>
          <w:szCs w:val="24"/>
        </w:rPr>
        <w:t>部分</w:t>
      </w:r>
      <w:r w:rsidR="00AC3FF9" w:rsidRPr="00A13972">
        <w:rPr>
          <w:rFonts w:hAnsi="標楷體" w:hint="eastAsia"/>
          <w:kern w:val="0"/>
          <w:szCs w:val="24"/>
        </w:rPr>
        <w:t>大型焚化廠不收受</w:t>
      </w:r>
      <w:r w:rsidR="00DB4E67" w:rsidRPr="00A13972">
        <w:rPr>
          <w:rFonts w:hAnsi="標楷體" w:hint="eastAsia"/>
          <w:kern w:val="0"/>
          <w:szCs w:val="24"/>
        </w:rPr>
        <w:t>之</w:t>
      </w:r>
      <w:r w:rsidR="00E04041" w:rsidRPr="00A13972">
        <w:rPr>
          <w:rFonts w:hAnsi="標楷體" w:hint="eastAsia"/>
          <w:kern w:val="0"/>
          <w:szCs w:val="24"/>
        </w:rPr>
        <w:t>難處理</w:t>
      </w:r>
      <w:r w:rsidR="00DB4E67" w:rsidRPr="00A13972">
        <w:rPr>
          <w:rFonts w:hAnsi="標楷體" w:hint="eastAsia"/>
          <w:kern w:val="0"/>
          <w:szCs w:val="24"/>
        </w:rPr>
        <w:t>事業廢棄物</w:t>
      </w:r>
      <w:r w:rsidR="00AC3FF9" w:rsidRPr="00A13972">
        <w:rPr>
          <w:rFonts w:hAnsi="標楷體" w:hint="eastAsia"/>
          <w:kern w:val="0"/>
          <w:szCs w:val="24"/>
        </w:rPr>
        <w:t>外，</w:t>
      </w:r>
      <w:r w:rsidR="00AC3FF9" w:rsidRPr="00A13972">
        <w:rPr>
          <w:rFonts w:hint="eastAsia"/>
          <w:szCs w:val="32"/>
        </w:rPr>
        <w:t>業者</w:t>
      </w:r>
      <w:r w:rsidR="00E04041" w:rsidRPr="00A13972">
        <w:rPr>
          <w:rFonts w:hint="eastAsia"/>
          <w:szCs w:val="32"/>
        </w:rPr>
        <w:t>通常</w:t>
      </w:r>
      <w:r w:rsidR="00AC3FF9" w:rsidRPr="00A13972">
        <w:rPr>
          <w:rFonts w:hint="eastAsia"/>
          <w:szCs w:val="32"/>
        </w:rPr>
        <w:t>優先委託價格較低者處理其所產生的一般事業廢棄物。</w:t>
      </w:r>
    </w:p>
    <w:p w:rsidR="0070436C" w:rsidRPr="00A13972" w:rsidRDefault="0070436C" w:rsidP="0070436C">
      <w:pPr>
        <w:pStyle w:val="2"/>
        <w:numPr>
          <w:ilvl w:val="0"/>
          <w:numId w:val="0"/>
        </w:numPr>
        <w:ind w:left="1021"/>
      </w:pPr>
    </w:p>
    <w:p w:rsidR="0070436C" w:rsidRPr="00A13972" w:rsidRDefault="00E04041" w:rsidP="0070436C">
      <w:pPr>
        <w:pStyle w:val="aff0"/>
        <w:jc w:val="center"/>
        <w:rPr>
          <w:rFonts w:hAnsi="標楷體"/>
          <w:bCs/>
          <w:kern w:val="0"/>
          <w:sz w:val="32"/>
          <w:szCs w:val="32"/>
          <w:lang w:eastAsia="zh-HK"/>
        </w:rPr>
      </w:pPr>
      <w:r w:rsidRPr="00A13972">
        <w:rPr>
          <w:rFonts w:hAnsi="標楷體" w:hint="eastAsia"/>
          <w:bCs/>
          <w:kern w:val="0"/>
          <w:sz w:val="32"/>
          <w:szCs w:val="32"/>
          <w:lang w:eastAsia="zh-HK"/>
        </w:rPr>
        <w:t>表</w:t>
      </w:r>
      <w:r w:rsidRPr="00A13972">
        <w:rPr>
          <w:rFonts w:hAnsi="標楷體"/>
          <w:bCs/>
          <w:kern w:val="0"/>
          <w:sz w:val="32"/>
          <w:szCs w:val="32"/>
          <w:lang w:eastAsia="zh-HK"/>
        </w:rPr>
        <w:fldChar w:fldCharType="begin"/>
      </w:r>
      <w:r w:rsidRPr="00A13972">
        <w:rPr>
          <w:rFonts w:hAnsi="標楷體"/>
          <w:bCs/>
          <w:kern w:val="0"/>
          <w:sz w:val="32"/>
          <w:szCs w:val="32"/>
          <w:lang w:eastAsia="zh-HK"/>
        </w:rPr>
        <w:instrText xml:space="preserve"> </w:instrText>
      </w:r>
      <w:r w:rsidRPr="00A13972">
        <w:rPr>
          <w:rFonts w:hAnsi="標楷體" w:hint="eastAsia"/>
          <w:bCs/>
          <w:kern w:val="0"/>
          <w:sz w:val="32"/>
          <w:szCs w:val="32"/>
          <w:lang w:eastAsia="zh-HK"/>
        </w:rPr>
        <w:instrText>SEQ 表 \* ARABIC</w:instrText>
      </w:r>
      <w:r w:rsidRPr="00A13972">
        <w:rPr>
          <w:rFonts w:hAnsi="標楷體"/>
          <w:bCs/>
          <w:kern w:val="0"/>
          <w:sz w:val="32"/>
          <w:szCs w:val="32"/>
          <w:lang w:eastAsia="zh-HK"/>
        </w:rPr>
        <w:instrText xml:space="preserve"> </w:instrText>
      </w:r>
      <w:r w:rsidRPr="00A13972">
        <w:rPr>
          <w:rFonts w:hAnsi="標楷體"/>
          <w:bCs/>
          <w:kern w:val="0"/>
          <w:sz w:val="32"/>
          <w:szCs w:val="32"/>
          <w:lang w:eastAsia="zh-HK"/>
        </w:rPr>
        <w:fldChar w:fldCharType="separate"/>
      </w:r>
      <w:r w:rsidR="00A85DC6">
        <w:rPr>
          <w:rFonts w:hAnsi="標楷體"/>
          <w:bCs/>
          <w:noProof/>
          <w:kern w:val="0"/>
          <w:sz w:val="32"/>
          <w:szCs w:val="32"/>
          <w:lang w:eastAsia="zh-HK"/>
        </w:rPr>
        <w:t>4</w:t>
      </w:r>
      <w:r w:rsidRPr="00A13972">
        <w:rPr>
          <w:rFonts w:hAnsi="標楷體"/>
          <w:bCs/>
          <w:kern w:val="0"/>
          <w:sz w:val="32"/>
          <w:szCs w:val="32"/>
          <w:lang w:eastAsia="zh-HK"/>
        </w:rPr>
        <w:fldChar w:fldCharType="end"/>
      </w:r>
      <w:r w:rsidR="00765C03" w:rsidRPr="00A13972">
        <w:rPr>
          <w:rFonts w:hAnsi="標楷體" w:hint="eastAsia"/>
          <w:bCs/>
          <w:kern w:val="0"/>
          <w:sz w:val="32"/>
          <w:szCs w:val="32"/>
          <w:lang w:eastAsia="zh-HK"/>
        </w:rPr>
        <w:t>、</w:t>
      </w:r>
      <w:r w:rsidR="0070436C" w:rsidRPr="00A13972">
        <w:rPr>
          <w:rFonts w:hAnsi="標楷體" w:hint="eastAsia"/>
          <w:bCs/>
          <w:kern w:val="0"/>
          <w:sz w:val="32"/>
          <w:szCs w:val="32"/>
          <w:lang w:eastAsia="zh-HK"/>
        </w:rPr>
        <w:t>公民營廢棄物焚化機構</w:t>
      </w:r>
      <w:r w:rsidR="0070436C" w:rsidRPr="00A13972">
        <w:rPr>
          <w:rFonts w:hAnsi="標楷體"/>
          <w:bCs/>
          <w:kern w:val="0"/>
          <w:sz w:val="32"/>
          <w:szCs w:val="32"/>
          <w:lang w:eastAsia="zh-HK"/>
        </w:rPr>
        <w:t>處理廢棄物之</w:t>
      </w:r>
      <w:r w:rsidR="0070436C" w:rsidRPr="00A13972">
        <w:rPr>
          <w:rFonts w:hAnsi="標楷體" w:hint="eastAsia"/>
          <w:bCs/>
          <w:kern w:val="0"/>
          <w:sz w:val="32"/>
          <w:szCs w:val="32"/>
          <w:lang w:eastAsia="zh-HK"/>
        </w:rPr>
        <w:t>收費標準</w:t>
      </w:r>
    </w:p>
    <w:p w:rsidR="0070436C" w:rsidRPr="00A13972" w:rsidRDefault="0070436C" w:rsidP="0070436C">
      <w:pPr>
        <w:pStyle w:val="aff"/>
        <w:overflowPunct w:val="0"/>
        <w:snapToGrid w:val="0"/>
        <w:ind w:rightChars="7" w:right="24"/>
        <w:jc w:val="right"/>
        <w:rPr>
          <w:rFonts w:ascii="標楷體" w:eastAsia="標楷體" w:hAnsi="標楷體"/>
          <w:bCs/>
          <w:color w:val="auto"/>
          <w:kern w:val="0"/>
          <w:szCs w:val="24"/>
        </w:rPr>
      </w:pPr>
      <w:r w:rsidRPr="00A13972">
        <w:rPr>
          <w:rFonts w:ascii="標楷體" w:eastAsia="標楷體" w:hAnsi="標楷體"/>
          <w:color w:val="auto"/>
          <w:kern w:val="0"/>
          <w:szCs w:val="24"/>
        </w:rPr>
        <w:t>單位：公噸</w:t>
      </w:r>
      <w:r w:rsidRPr="00A13972">
        <w:rPr>
          <w:rFonts w:ascii="標楷體" w:eastAsia="標楷體" w:hAnsi="標楷體" w:hint="eastAsia"/>
          <w:color w:val="auto"/>
          <w:kern w:val="0"/>
          <w:szCs w:val="24"/>
        </w:rPr>
        <w:t>、新臺幣/元</w:t>
      </w:r>
    </w:p>
    <w:tbl>
      <w:tblPr>
        <w:tblW w:w="8926" w:type="dxa"/>
        <w:jc w:val="center"/>
        <w:tblLayout w:type="fixed"/>
        <w:tblCellMar>
          <w:left w:w="28" w:type="dxa"/>
          <w:right w:w="28" w:type="dxa"/>
        </w:tblCellMar>
        <w:tblLook w:val="04A0" w:firstRow="1" w:lastRow="0" w:firstColumn="1" w:lastColumn="0" w:noHBand="0" w:noVBand="1"/>
      </w:tblPr>
      <w:tblGrid>
        <w:gridCol w:w="1271"/>
        <w:gridCol w:w="709"/>
        <w:gridCol w:w="1134"/>
        <w:gridCol w:w="1134"/>
        <w:gridCol w:w="1134"/>
        <w:gridCol w:w="1134"/>
        <w:gridCol w:w="567"/>
        <w:gridCol w:w="1843"/>
      </w:tblGrid>
      <w:tr w:rsidR="00A13972" w:rsidRPr="00A13972" w:rsidTr="007A062C">
        <w:trPr>
          <w:trHeight w:val="294"/>
          <w:tblHeader/>
          <w:jc w:val="center"/>
        </w:trPr>
        <w:tc>
          <w:tcPr>
            <w:tcW w:w="1271"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70436C" w:rsidRPr="00A13972" w:rsidRDefault="0070436C" w:rsidP="007A062C">
            <w:pPr>
              <w:widowControl/>
              <w:adjustRightInd w:val="0"/>
              <w:snapToGrid w:val="0"/>
              <w:jc w:val="distribute"/>
              <w:rPr>
                <w:rFonts w:hAnsi="標楷體"/>
                <w:b/>
                <w:kern w:val="0"/>
                <w:sz w:val="24"/>
                <w:szCs w:val="24"/>
              </w:rPr>
            </w:pPr>
            <w:r w:rsidRPr="00A13972">
              <w:rPr>
                <w:rFonts w:hAnsi="標楷體"/>
                <w:b/>
                <w:kern w:val="0"/>
                <w:sz w:val="24"/>
                <w:szCs w:val="24"/>
              </w:rPr>
              <w:t>機構名稱</w:t>
            </w:r>
          </w:p>
        </w:tc>
        <w:tc>
          <w:tcPr>
            <w:tcW w:w="1843"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70436C" w:rsidRPr="00A13972" w:rsidRDefault="0070436C" w:rsidP="007A062C">
            <w:pPr>
              <w:widowControl/>
              <w:adjustRightInd w:val="0"/>
              <w:snapToGrid w:val="0"/>
              <w:jc w:val="distribute"/>
              <w:rPr>
                <w:rFonts w:hAnsi="標楷體"/>
                <w:kern w:val="0"/>
                <w:sz w:val="24"/>
                <w:szCs w:val="24"/>
              </w:rPr>
            </w:pPr>
            <w:r w:rsidRPr="00A13972">
              <w:rPr>
                <w:rFonts w:hAnsi="標楷體"/>
                <w:b/>
                <w:bCs/>
                <w:kern w:val="0"/>
                <w:sz w:val="24"/>
                <w:szCs w:val="24"/>
              </w:rPr>
              <w:t>可處理事業廢棄物類型</w:t>
            </w:r>
          </w:p>
        </w:tc>
        <w:tc>
          <w:tcPr>
            <w:tcW w:w="2268"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70436C" w:rsidRPr="00A13972" w:rsidRDefault="0070436C" w:rsidP="007A062C">
            <w:pPr>
              <w:pStyle w:val="aff"/>
              <w:overflowPunct w:val="0"/>
              <w:adjustRightInd w:val="0"/>
              <w:snapToGrid w:val="0"/>
              <w:jc w:val="distribute"/>
              <w:rPr>
                <w:rFonts w:ascii="標楷體" w:eastAsia="標楷體" w:hAnsi="標楷體"/>
                <w:color w:val="auto"/>
                <w:kern w:val="0"/>
                <w:szCs w:val="24"/>
              </w:rPr>
            </w:pPr>
            <w:r w:rsidRPr="00A13972">
              <w:rPr>
                <w:rFonts w:ascii="標楷體" w:eastAsia="標楷體" w:hAnsi="標楷體"/>
                <w:b/>
                <w:bCs/>
                <w:color w:val="auto"/>
                <w:szCs w:val="24"/>
              </w:rPr>
              <w:t>許可量/實際處理量</w:t>
            </w:r>
            <w:r w:rsidRPr="00A13972">
              <w:rPr>
                <w:rFonts w:ascii="標楷體" w:eastAsia="標楷體" w:hAnsi="標楷體"/>
                <w:b/>
                <w:color w:val="auto"/>
                <w:kern w:val="0"/>
                <w:szCs w:val="24"/>
              </w:rPr>
              <w:t>(</w:t>
            </w:r>
            <w:r w:rsidRPr="00A13972">
              <w:rPr>
                <w:rFonts w:ascii="標楷體" w:eastAsia="標楷體" w:hAnsi="標楷體"/>
                <w:b/>
                <w:color w:val="auto"/>
                <w:kern w:val="0"/>
                <w:szCs w:val="24"/>
                <w:lang w:eastAsia="zh-HK"/>
              </w:rPr>
              <w:t>公噸</w:t>
            </w:r>
            <w:r w:rsidRPr="00A13972">
              <w:rPr>
                <w:rFonts w:ascii="標楷體" w:eastAsia="標楷體" w:hAnsi="標楷體"/>
                <w:b/>
                <w:color w:val="auto"/>
                <w:kern w:val="0"/>
                <w:szCs w:val="24"/>
              </w:rPr>
              <w:t>/</w:t>
            </w:r>
            <w:r w:rsidRPr="00A13972">
              <w:rPr>
                <w:rFonts w:ascii="標楷體" w:eastAsia="標楷體" w:hAnsi="標楷體"/>
                <w:b/>
                <w:color w:val="auto"/>
                <w:kern w:val="0"/>
                <w:szCs w:val="24"/>
                <w:lang w:eastAsia="zh-HK"/>
              </w:rPr>
              <w:t>年</w:t>
            </w:r>
            <w:r w:rsidRPr="00A13972">
              <w:rPr>
                <w:rFonts w:ascii="標楷體" w:eastAsia="標楷體" w:hAnsi="標楷體"/>
                <w:b/>
                <w:color w:val="auto"/>
                <w:kern w:val="0"/>
                <w:szCs w:val="24"/>
              </w:rPr>
              <w:t>)</w:t>
            </w:r>
          </w:p>
        </w:tc>
        <w:tc>
          <w:tcPr>
            <w:tcW w:w="1134"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70436C" w:rsidRPr="00A13972" w:rsidRDefault="0070436C" w:rsidP="007A062C">
            <w:pPr>
              <w:pStyle w:val="aff"/>
              <w:overflowPunct w:val="0"/>
              <w:adjustRightInd w:val="0"/>
              <w:snapToGrid w:val="0"/>
              <w:jc w:val="distribute"/>
              <w:rPr>
                <w:rFonts w:ascii="標楷體" w:eastAsia="標楷體" w:hAnsi="標楷體"/>
                <w:color w:val="auto"/>
                <w:kern w:val="0"/>
                <w:szCs w:val="24"/>
              </w:rPr>
            </w:pPr>
            <w:r w:rsidRPr="00A13972">
              <w:rPr>
                <w:rFonts w:ascii="標楷體" w:eastAsia="標楷體" w:hAnsi="標楷體"/>
                <w:b/>
                <w:bCs/>
                <w:color w:val="auto"/>
                <w:szCs w:val="24"/>
              </w:rPr>
              <w:t>處理方式</w:t>
            </w:r>
          </w:p>
        </w:tc>
        <w:tc>
          <w:tcPr>
            <w:tcW w:w="2410"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70436C" w:rsidRPr="00A13972" w:rsidRDefault="0070436C" w:rsidP="007A062C">
            <w:pPr>
              <w:pStyle w:val="aff"/>
              <w:overflowPunct w:val="0"/>
              <w:adjustRightInd w:val="0"/>
              <w:snapToGrid w:val="0"/>
              <w:jc w:val="distribute"/>
              <w:rPr>
                <w:rFonts w:ascii="標楷體" w:eastAsia="標楷體" w:hAnsi="標楷體"/>
                <w:b/>
                <w:bCs/>
                <w:color w:val="auto"/>
                <w:szCs w:val="24"/>
              </w:rPr>
            </w:pPr>
            <w:r w:rsidRPr="00A13972">
              <w:rPr>
                <w:rFonts w:ascii="標楷體" w:eastAsia="標楷體" w:hAnsi="標楷體"/>
                <w:b/>
                <w:bCs/>
                <w:color w:val="auto"/>
                <w:szCs w:val="24"/>
              </w:rPr>
              <w:t>處理價格</w:t>
            </w:r>
          </w:p>
        </w:tc>
      </w:tr>
      <w:tr w:rsidR="00A13972" w:rsidRPr="00A13972" w:rsidTr="007A062C">
        <w:trPr>
          <w:trHeight w:val="294"/>
          <w:tblHeader/>
          <w:jc w:val="center"/>
        </w:trPr>
        <w:tc>
          <w:tcPr>
            <w:tcW w:w="1271" w:type="dxa"/>
            <w:vMerge/>
            <w:tcBorders>
              <w:left w:val="single" w:sz="4" w:space="0" w:color="auto"/>
              <w:bottom w:val="single" w:sz="4" w:space="0" w:color="auto"/>
              <w:right w:val="single" w:sz="4" w:space="0" w:color="auto"/>
            </w:tcBorders>
            <w:shd w:val="clear" w:color="auto" w:fill="DBE5F1" w:themeFill="accent1" w:themeFillTint="33"/>
            <w:vAlign w:val="center"/>
          </w:tcPr>
          <w:p w:rsidR="0070436C" w:rsidRPr="00A13972" w:rsidRDefault="0070436C" w:rsidP="007A062C">
            <w:pPr>
              <w:widowControl/>
              <w:adjustRightInd w:val="0"/>
              <w:snapToGrid w:val="0"/>
              <w:jc w:val="distribute"/>
              <w:rPr>
                <w:rFonts w:hAnsi="標楷體"/>
                <w:kern w:val="0"/>
                <w:sz w:val="24"/>
                <w:szCs w:val="24"/>
              </w:rPr>
            </w:pP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70436C" w:rsidRPr="00A13972" w:rsidRDefault="0070436C" w:rsidP="007A062C">
            <w:pPr>
              <w:widowControl/>
              <w:adjustRightInd w:val="0"/>
              <w:snapToGrid w:val="0"/>
              <w:jc w:val="distribute"/>
              <w:rPr>
                <w:rFonts w:hAnsi="標楷體"/>
                <w:b/>
                <w:kern w:val="0"/>
                <w:sz w:val="24"/>
                <w:szCs w:val="24"/>
              </w:rPr>
            </w:pPr>
            <w:r w:rsidRPr="00A13972">
              <w:rPr>
                <w:rFonts w:hAnsi="標楷體"/>
                <w:b/>
                <w:kern w:val="0"/>
                <w:sz w:val="24"/>
                <w:szCs w:val="24"/>
                <w:lang w:eastAsia="zh-HK"/>
              </w:rPr>
              <w:t>級別</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70436C" w:rsidRPr="00A13972" w:rsidRDefault="0070436C" w:rsidP="007A062C">
            <w:pPr>
              <w:widowControl/>
              <w:adjustRightInd w:val="0"/>
              <w:snapToGrid w:val="0"/>
              <w:jc w:val="distribute"/>
              <w:rPr>
                <w:rFonts w:hAnsi="標楷體"/>
                <w:b/>
                <w:kern w:val="0"/>
                <w:sz w:val="24"/>
                <w:szCs w:val="24"/>
              </w:rPr>
            </w:pPr>
            <w:r w:rsidRPr="00A13972">
              <w:rPr>
                <w:rFonts w:hAnsi="標楷體"/>
                <w:b/>
                <w:kern w:val="0"/>
                <w:sz w:val="24"/>
                <w:szCs w:val="24"/>
                <w:lang w:eastAsia="zh-HK"/>
              </w:rPr>
              <w:t>處理項目</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70436C" w:rsidRPr="00A13972" w:rsidRDefault="0070436C" w:rsidP="007A062C">
            <w:pPr>
              <w:widowControl/>
              <w:adjustRightInd w:val="0"/>
              <w:snapToGrid w:val="0"/>
              <w:jc w:val="distribute"/>
              <w:rPr>
                <w:rFonts w:hAnsi="標楷體"/>
                <w:b/>
                <w:kern w:val="0"/>
                <w:sz w:val="24"/>
                <w:szCs w:val="24"/>
              </w:rPr>
            </w:pPr>
            <w:r w:rsidRPr="00A13972">
              <w:rPr>
                <w:rFonts w:hAnsi="標楷體"/>
                <w:b/>
                <w:kern w:val="0"/>
                <w:sz w:val="24"/>
                <w:szCs w:val="24"/>
              </w:rPr>
              <w:t>許可</w:t>
            </w:r>
            <w:r w:rsidRPr="00A13972">
              <w:rPr>
                <w:rFonts w:hAnsi="標楷體"/>
                <w:b/>
                <w:kern w:val="0"/>
                <w:sz w:val="24"/>
                <w:szCs w:val="24"/>
                <w:lang w:eastAsia="zh-HK"/>
              </w:rPr>
              <w:t>量</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70436C" w:rsidRPr="00A13972" w:rsidRDefault="0070436C" w:rsidP="007A062C">
            <w:pPr>
              <w:widowControl/>
              <w:adjustRightInd w:val="0"/>
              <w:snapToGrid w:val="0"/>
              <w:jc w:val="distribute"/>
              <w:rPr>
                <w:rFonts w:hAnsi="標楷體"/>
                <w:b/>
                <w:kern w:val="0"/>
                <w:sz w:val="24"/>
                <w:szCs w:val="24"/>
              </w:rPr>
            </w:pPr>
            <w:r w:rsidRPr="00A13972">
              <w:rPr>
                <w:rFonts w:hAnsi="標楷體"/>
                <w:b/>
                <w:kern w:val="0"/>
                <w:sz w:val="24"/>
                <w:szCs w:val="24"/>
              </w:rPr>
              <w:t>實際處理量</w:t>
            </w:r>
          </w:p>
        </w:tc>
        <w:tc>
          <w:tcPr>
            <w:tcW w:w="113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70436C" w:rsidRPr="00A13972" w:rsidRDefault="0070436C" w:rsidP="007A062C">
            <w:pPr>
              <w:widowControl/>
              <w:adjustRightInd w:val="0"/>
              <w:snapToGrid w:val="0"/>
              <w:jc w:val="distribute"/>
              <w:rPr>
                <w:rFonts w:hAnsi="標楷體"/>
                <w:b/>
                <w:kern w:val="0"/>
                <w:sz w:val="24"/>
                <w:szCs w:val="24"/>
              </w:rPr>
            </w:pPr>
            <w:r w:rsidRPr="00A13972">
              <w:rPr>
                <w:rFonts w:hAnsi="標楷體"/>
                <w:b/>
                <w:kern w:val="0"/>
                <w:sz w:val="24"/>
                <w:szCs w:val="24"/>
              </w:rPr>
              <w:t>處理方式</w:t>
            </w:r>
          </w:p>
        </w:tc>
        <w:tc>
          <w:tcPr>
            <w:tcW w:w="567"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0436C" w:rsidRPr="00A13972" w:rsidRDefault="0070436C" w:rsidP="007A062C">
            <w:pPr>
              <w:widowControl/>
              <w:adjustRightInd w:val="0"/>
              <w:snapToGrid w:val="0"/>
              <w:jc w:val="distribute"/>
              <w:rPr>
                <w:rFonts w:hAnsi="標楷體"/>
                <w:b/>
                <w:kern w:val="0"/>
                <w:sz w:val="24"/>
                <w:szCs w:val="24"/>
              </w:rPr>
            </w:pPr>
            <w:r w:rsidRPr="00A13972">
              <w:rPr>
                <w:rFonts w:hAnsi="標楷體"/>
                <w:b/>
                <w:kern w:val="0"/>
                <w:sz w:val="24"/>
                <w:szCs w:val="24"/>
              </w:rPr>
              <w:t>計價單位</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70436C" w:rsidRPr="00A13972" w:rsidRDefault="0070436C" w:rsidP="007A062C">
            <w:pPr>
              <w:widowControl/>
              <w:adjustRightInd w:val="0"/>
              <w:snapToGrid w:val="0"/>
              <w:jc w:val="distribute"/>
              <w:rPr>
                <w:rFonts w:hAnsi="標楷體"/>
                <w:b/>
                <w:kern w:val="0"/>
                <w:sz w:val="24"/>
                <w:szCs w:val="24"/>
              </w:rPr>
            </w:pPr>
            <w:r w:rsidRPr="00A13972">
              <w:rPr>
                <w:rFonts w:hAnsi="標楷體"/>
                <w:b/>
                <w:kern w:val="0"/>
                <w:sz w:val="24"/>
                <w:szCs w:val="24"/>
              </w:rPr>
              <w:t>收費範圍</w:t>
            </w:r>
            <w:r w:rsidRPr="00A13972">
              <w:rPr>
                <w:rFonts w:hAnsi="標楷體"/>
                <w:b/>
                <w:kern w:val="0"/>
                <w:sz w:val="24"/>
                <w:szCs w:val="24"/>
              </w:rPr>
              <w:br/>
              <w:t>(元)</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日</w:t>
            </w:r>
            <w:r w:rsidRPr="00A13972">
              <w:rPr>
                <w:rFonts w:hAnsi="標楷體" w:hint="eastAsia"/>
                <w:kern w:val="0"/>
                <w:sz w:val="24"/>
                <w:szCs w:val="24"/>
              </w:rPr>
              <w:t>○</w:t>
            </w:r>
            <w:r w:rsidRPr="00A13972">
              <w:rPr>
                <w:rFonts w:hAnsi="標楷體"/>
                <w:kern w:val="0"/>
                <w:sz w:val="24"/>
                <w:szCs w:val="24"/>
              </w:rPr>
              <w:t>環保科技股份有限公司雲林廠</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50,400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15,132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10,000~40,000</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日</w:t>
            </w:r>
            <w:r w:rsidRPr="00A13972">
              <w:rPr>
                <w:rFonts w:hAnsi="標楷體" w:hint="eastAsia"/>
                <w:kern w:val="0"/>
                <w:sz w:val="24"/>
                <w:szCs w:val="24"/>
              </w:rPr>
              <w:t>○</w:t>
            </w:r>
            <w:r w:rsidRPr="00A13972">
              <w:rPr>
                <w:rFonts w:hAnsi="標楷體"/>
                <w:kern w:val="0"/>
                <w:sz w:val="24"/>
                <w:szCs w:val="24"/>
              </w:rPr>
              <w:t>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1,356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30,000</w:t>
            </w:r>
          </w:p>
          <w:p w:rsidR="0070436C" w:rsidRPr="00A13972" w:rsidRDefault="0070436C" w:rsidP="007A062C">
            <w:pPr>
              <w:jc w:val="center"/>
              <w:rPr>
                <w:rFonts w:hAnsi="標楷體"/>
                <w:sz w:val="24"/>
                <w:szCs w:val="24"/>
              </w:rPr>
            </w:pPr>
            <w:r w:rsidRPr="00A13972">
              <w:rPr>
                <w:rFonts w:hAnsi="標楷體"/>
                <w:sz w:val="24"/>
                <w:szCs w:val="24"/>
              </w:rPr>
              <w:t>~1,500,000</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台</w:t>
            </w:r>
            <w:r w:rsidRPr="00A13972">
              <w:rPr>
                <w:rFonts w:hAnsi="標楷體" w:hint="eastAsia"/>
                <w:kern w:val="0"/>
                <w:sz w:val="24"/>
                <w:szCs w:val="24"/>
              </w:rPr>
              <w:t>○</w:t>
            </w:r>
            <w:r w:rsidRPr="00A13972">
              <w:rPr>
                <w:rFonts w:hAnsi="標楷體"/>
                <w:kern w:val="0"/>
                <w:sz w:val="24"/>
                <w:szCs w:val="24"/>
              </w:rPr>
              <w:t>科技材料股份有限公司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63,456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18,096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物理/焚化處理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6,000~100,000</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弘</w:t>
            </w:r>
            <w:r w:rsidRPr="00A13972">
              <w:rPr>
                <w:rFonts w:hAnsi="標楷體" w:hint="eastAsia"/>
                <w:kern w:val="0"/>
                <w:sz w:val="24"/>
                <w:szCs w:val="24"/>
              </w:rPr>
              <w:t>○</w:t>
            </w:r>
            <w:r w:rsidRPr="00A13972">
              <w:rPr>
                <w:rFonts w:hAnsi="標楷體"/>
                <w:kern w:val="0"/>
                <w:sz w:val="24"/>
                <w:szCs w:val="24"/>
              </w:rPr>
              <w:t>股份有限公司桃科廠</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2,640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化學/物理/焚化</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80,000</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光</w:t>
            </w:r>
            <w:r w:rsidRPr="00A13972">
              <w:rPr>
                <w:rFonts w:hAnsi="標楷體" w:hint="eastAsia"/>
                <w:kern w:val="0"/>
                <w:sz w:val="24"/>
                <w:szCs w:val="24"/>
              </w:rPr>
              <w:t>○</w:t>
            </w:r>
            <w:r w:rsidRPr="00A13972">
              <w:rPr>
                <w:rFonts w:hAnsi="標楷體"/>
                <w:kern w:val="0"/>
                <w:sz w:val="24"/>
                <w:szCs w:val="24"/>
              </w:rPr>
              <w:t>應用材料科技股份有限公司環科二廠</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5,220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焚化/熱處理(焚化除外)</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50,000</w:t>
            </w:r>
          </w:p>
          <w:p w:rsidR="0070436C" w:rsidRPr="00A13972" w:rsidRDefault="0070436C" w:rsidP="007A062C">
            <w:pPr>
              <w:jc w:val="center"/>
              <w:rPr>
                <w:rFonts w:hAnsi="標楷體"/>
                <w:sz w:val="24"/>
                <w:szCs w:val="24"/>
              </w:rPr>
            </w:pPr>
            <w:r w:rsidRPr="00A13972">
              <w:rPr>
                <w:rFonts w:hAnsi="標楷體"/>
                <w:sz w:val="24"/>
                <w:szCs w:val="24"/>
              </w:rPr>
              <w:t>~500,000</w:t>
            </w:r>
          </w:p>
        </w:tc>
      </w:tr>
      <w:tr w:rsidR="00A13972" w:rsidRPr="00A13972" w:rsidTr="007A062C">
        <w:trPr>
          <w:trHeight w:val="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利</w:t>
            </w:r>
            <w:r w:rsidRPr="00A13972">
              <w:rPr>
                <w:rFonts w:hAnsi="標楷體" w:hint="eastAsia"/>
                <w:kern w:val="0"/>
                <w:sz w:val="24"/>
                <w:szCs w:val="24"/>
              </w:rPr>
              <w:t>○○</w:t>
            </w:r>
            <w:r w:rsidRPr="00A13972">
              <w:rPr>
                <w:rFonts w:hAnsi="標楷體"/>
                <w:kern w:val="0"/>
                <w:sz w:val="24"/>
                <w:szCs w:val="24"/>
              </w:rPr>
              <w:t>環保科技股份有限公</w:t>
            </w:r>
            <w:r w:rsidRPr="00A13972">
              <w:rPr>
                <w:rFonts w:hAnsi="標楷體"/>
                <w:kern w:val="0"/>
                <w:sz w:val="24"/>
                <w:szCs w:val="24"/>
              </w:rPr>
              <w:lastRenderedPageBreak/>
              <w:t>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lastRenderedPageBreak/>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19,440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8,208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物理</w:t>
            </w:r>
            <w:r w:rsidRPr="00A13972">
              <w:rPr>
                <w:rFonts w:hAnsi="標楷體"/>
                <w:kern w:val="0"/>
                <w:sz w:val="24"/>
                <w:szCs w:val="24"/>
                <w:lang w:eastAsia="zh-HK"/>
              </w:rPr>
              <w:t>處理</w:t>
            </w:r>
            <w:r w:rsidRPr="00A13972">
              <w:rPr>
                <w:rFonts w:hAnsi="標楷體"/>
                <w:kern w:val="0"/>
                <w:sz w:val="24"/>
                <w:szCs w:val="24"/>
              </w:rPr>
              <w:b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0~70,000</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lastRenderedPageBreak/>
              <w:t>南</w:t>
            </w:r>
            <w:r w:rsidRPr="00A13972">
              <w:rPr>
                <w:rFonts w:hAnsi="標楷體" w:hint="eastAsia"/>
                <w:kern w:val="0"/>
                <w:sz w:val="24"/>
                <w:szCs w:val="24"/>
              </w:rPr>
              <w:t>○</w:t>
            </w:r>
            <w:r w:rsidRPr="00A13972">
              <w:rPr>
                <w:rFonts w:hAnsi="標楷體"/>
                <w:kern w:val="0"/>
                <w:sz w:val="24"/>
                <w:szCs w:val="24"/>
              </w:rPr>
              <w:t>塑膠工業股份有限公司麥寮分公司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186,720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107,196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生物/固化/掩埋/焚化</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410~12,000</w:t>
            </w:r>
          </w:p>
        </w:tc>
      </w:tr>
      <w:tr w:rsidR="00A13972" w:rsidRPr="00A13972" w:rsidTr="007A062C">
        <w:trPr>
          <w:trHeight w:val="3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國</w:t>
            </w:r>
            <w:r w:rsidRPr="00A13972">
              <w:rPr>
                <w:rFonts w:hAnsi="標楷體" w:hint="eastAsia"/>
                <w:kern w:val="0"/>
                <w:sz w:val="24"/>
                <w:szCs w:val="24"/>
              </w:rPr>
              <w:t>○</w:t>
            </w:r>
            <w:r w:rsidRPr="00A13972">
              <w:rPr>
                <w:rFonts w:hAnsi="標楷體"/>
                <w:kern w:val="0"/>
                <w:sz w:val="24"/>
                <w:szCs w:val="24"/>
              </w:rPr>
              <w:t>環保科技股份有限公司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2,496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1,968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32,000~42,000</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祥</w:t>
            </w:r>
            <w:r w:rsidRPr="00A13972">
              <w:rPr>
                <w:rFonts w:hAnsi="標楷體" w:hint="eastAsia"/>
                <w:kern w:val="0"/>
                <w:sz w:val="24"/>
                <w:szCs w:val="24"/>
              </w:rPr>
              <w:t>○</w:t>
            </w:r>
            <w:r w:rsidRPr="00A13972">
              <w:rPr>
                <w:rFonts w:hAnsi="標楷體"/>
                <w:kern w:val="0"/>
                <w:sz w:val="24"/>
                <w:szCs w:val="24"/>
              </w:rPr>
              <w:t>資源再生股份有限公司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28,728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14,148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w:t>
            </w:r>
            <w:r w:rsidRPr="00A13972">
              <w:rPr>
                <w:rFonts w:hAnsi="標楷體" w:hint="eastAsia"/>
                <w:kern w:val="0"/>
                <w:sz w:val="24"/>
                <w:szCs w:val="24"/>
              </w:rPr>
              <w:t>/</w:t>
            </w:r>
            <w:r w:rsidRPr="00A13972">
              <w:rPr>
                <w:rFonts w:hAnsi="標楷體"/>
                <w:kern w:val="0"/>
                <w:sz w:val="24"/>
                <w:szCs w:val="24"/>
              </w:rPr>
              <w:t>熱處理(焚化除外)</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15,000~25,000</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絃</w:t>
            </w:r>
            <w:r w:rsidRPr="00A13972">
              <w:rPr>
                <w:rFonts w:hAnsi="標楷體" w:hint="eastAsia"/>
                <w:kern w:val="0"/>
                <w:sz w:val="24"/>
                <w:szCs w:val="24"/>
              </w:rPr>
              <w:t>○</w:t>
            </w:r>
            <w:r w:rsidRPr="00A13972">
              <w:rPr>
                <w:rFonts w:hAnsi="標楷體"/>
                <w:kern w:val="0"/>
                <w:sz w:val="24"/>
                <w:szCs w:val="24"/>
              </w:rPr>
              <w:t>科技股份有限公司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6,732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2,976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15,000~50,000</w:t>
            </w:r>
          </w:p>
        </w:tc>
      </w:tr>
      <w:tr w:rsidR="00A13972" w:rsidRPr="00A13972" w:rsidTr="007A062C">
        <w:trPr>
          <w:trHeight w:val="3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達</w:t>
            </w:r>
            <w:r w:rsidRPr="00A13972">
              <w:rPr>
                <w:rFonts w:hAnsi="標楷體" w:hint="eastAsia"/>
                <w:kern w:val="0"/>
                <w:sz w:val="24"/>
                <w:szCs w:val="24"/>
              </w:rPr>
              <w:t>○○○</w:t>
            </w:r>
            <w:r w:rsidRPr="00A13972">
              <w:rPr>
                <w:rFonts w:hAnsi="標楷體"/>
                <w:kern w:val="0"/>
                <w:sz w:val="24"/>
                <w:szCs w:val="24"/>
              </w:rPr>
              <w:t>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2,160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2,256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32,000~42,000</w:t>
            </w:r>
          </w:p>
        </w:tc>
      </w:tr>
      <w:tr w:rsidR="00A13972" w:rsidRPr="00A13972" w:rsidTr="007A062C">
        <w:trPr>
          <w:trHeight w:val="3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漢</w:t>
            </w:r>
            <w:r w:rsidRPr="00A13972">
              <w:rPr>
                <w:rFonts w:hAnsi="標楷體" w:hint="eastAsia"/>
                <w:kern w:val="0"/>
                <w:sz w:val="24"/>
                <w:szCs w:val="24"/>
              </w:rPr>
              <w:t>○</w:t>
            </w:r>
            <w:r w:rsidRPr="00A13972">
              <w:rPr>
                <w:rFonts w:hAnsi="標楷體"/>
                <w:kern w:val="0"/>
                <w:sz w:val="24"/>
                <w:szCs w:val="24"/>
              </w:rPr>
              <w:t>工程股份有限公司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1,920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32,000~42,000</w:t>
            </w:r>
          </w:p>
        </w:tc>
      </w:tr>
      <w:tr w:rsidR="00A13972" w:rsidRPr="00A13972" w:rsidTr="007A062C">
        <w:trPr>
          <w:trHeight w:val="57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綠</w:t>
            </w:r>
            <w:r w:rsidRPr="00A13972">
              <w:rPr>
                <w:rFonts w:hAnsi="標楷體" w:hint="eastAsia"/>
                <w:kern w:val="0"/>
                <w:sz w:val="24"/>
                <w:szCs w:val="24"/>
              </w:rPr>
              <w:t>○</w:t>
            </w:r>
            <w:r w:rsidRPr="00A13972">
              <w:rPr>
                <w:rFonts w:hAnsi="標楷體"/>
                <w:kern w:val="0"/>
                <w:sz w:val="24"/>
                <w:szCs w:val="24"/>
              </w:rPr>
              <w:t>實業股份有限公司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r w:rsidRPr="00A13972">
              <w:rPr>
                <w:rFonts w:hAnsi="標楷體"/>
                <w:kern w:val="0"/>
                <w:sz w:val="24"/>
                <w:szCs w:val="24"/>
              </w:rPr>
              <w:b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21,600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18,864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化學/焚化處理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10,000~50,000</w:t>
            </w:r>
          </w:p>
        </w:tc>
      </w:tr>
      <w:tr w:rsidR="00A13972" w:rsidRPr="00A13972" w:rsidTr="007A062C">
        <w:trPr>
          <w:trHeight w:val="3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環</w:t>
            </w:r>
            <w:r w:rsidRPr="00A13972">
              <w:rPr>
                <w:rFonts w:hAnsi="標楷體" w:hint="eastAsia"/>
                <w:kern w:val="0"/>
                <w:sz w:val="24"/>
                <w:szCs w:val="24"/>
              </w:rPr>
              <w:t>○</w:t>
            </w:r>
            <w:r w:rsidRPr="00A13972">
              <w:rPr>
                <w:rFonts w:hAnsi="標楷體"/>
                <w:kern w:val="0"/>
                <w:sz w:val="24"/>
                <w:szCs w:val="24"/>
              </w:rPr>
              <w:t>醫療廢棄物處理股份有限公司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甲級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有害事廢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2,808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2,712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32,000~42,000</w:t>
            </w:r>
          </w:p>
        </w:tc>
      </w:tr>
      <w:tr w:rsidR="00A13972" w:rsidRPr="00A13972" w:rsidTr="007A062C">
        <w:trPr>
          <w:trHeight w:val="3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欣</w:t>
            </w:r>
            <w:r w:rsidRPr="00A13972">
              <w:rPr>
                <w:rFonts w:hAnsi="標楷體" w:hint="eastAsia"/>
                <w:kern w:val="0"/>
                <w:sz w:val="24"/>
                <w:szCs w:val="24"/>
              </w:rPr>
              <w:t>○</w:t>
            </w:r>
            <w:r w:rsidRPr="00A13972">
              <w:rPr>
                <w:rFonts w:hAnsi="標楷體"/>
                <w:kern w:val="0"/>
                <w:sz w:val="24"/>
                <w:szCs w:val="24"/>
              </w:rPr>
              <w:t>企業股份有限公司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乙級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486,000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91,392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3,900~3,900</w:t>
            </w:r>
          </w:p>
        </w:tc>
      </w:tr>
      <w:tr w:rsidR="00A13972" w:rsidRPr="00A13972" w:rsidTr="007A062C">
        <w:trPr>
          <w:trHeight w:val="3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倫</w:t>
            </w:r>
            <w:r w:rsidRPr="00A13972">
              <w:rPr>
                <w:rFonts w:hAnsi="標楷體" w:hint="eastAsia"/>
                <w:kern w:val="0"/>
                <w:sz w:val="24"/>
                <w:szCs w:val="24"/>
              </w:rPr>
              <w:t>○</w:t>
            </w:r>
            <w:r w:rsidRPr="00A13972">
              <w:rPr>
                <w:rFonts w:hAnsi="標楷體"/>
                <w:kern w:val="0"/>
                <w:sz w:val="24"/>
                <w:szCs w:val="24"/>
              </w:rPr>
              <w:t>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乙級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324,000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101,136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3,200~20,000</w:t>
            </w:r>
          </w:p>
        </w:tc>
      </w:tr>
      <w:tr w:rsidR="00A13972" w:rsidRPr="00A13972" w:rsidTr="007A062C">
        <w:trPr>
          <w:trHeight w:val="3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rPr>
                <w:rFonts w:hAnsi="標楷體"/>
                <w:kern w:val="0"/>
                <w:sz w:val="24"/>
                <w:szCs w:val="24"/>
              </w:rPr>
            </w:pPr>
            <w:r w:rsidRPr="00A13972">
              <w:rPr>
                <w:rFonts w:hAnsi="標楷體"/>
                <w:kern w:val="0"/>
                <w:sz w:val="24"/>
                <w:szCs w:val="24"/>
              </w:rPr>
              <w:t>環</w:t>
            </w:r>
            <w:r w:rsidRPr="00A13972">
              <w:rPr>
                <w:rFonts w:hAnsi="標楷體" w:hint="eastAsia"/>
                <w:kern w:val="0"/>
                <w:sz w:val="24"/>
                <w:szCs w:val="24"/>
              </w:rPr>
              <w:t>○</w:t>
            </w:r>
            <w:r w:rsidRPr="00A13972">
              <w:rPr>
                <w:rFonts w:hAnsi="標楷體"/>
                <w:kern w:val="0"/>
                <w:sz w:val="24"/>
                <w:szCs w:val="24"/>
              </w:rPr>
              <w:t>實業股份有限公司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乙級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一般事廢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21,600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adjustRightInd w:val="0"/>
              <w:snapToGrid w:val="0"/>
              <w:jc w:val="center"/>
              <w:rPr>
                <w:rFonts w:hAnsi="標楷體"/>
                <w:sz w:val="24"/>
                <w:szCs w:val="24"/>
              </w:rPr>
            </w:pPr>
            <w:r w:rsidRPr="00A13972">
              <w:rPr>
                <w:rFonts w:hAnsi="標楷體"/>
                <w:sz w:val="24"/>
                <w:szCs w:val="24"/>
              </w:rPr>
              <w:t>16,200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adjustRightInd w:val="0"/>
              <w:snapToGrid w:val="0"/>
              <w:jc w:val="center"/>
              <w:rPr>
                <w:rFonts w:hAnsi="標楷體"/>
                <w:kern w:val="0"/>
                <w:sz w:val="24"/>
                <w:szCs w:val="24"/>
              </w:rPr>
            </w:pPr>
            <w:r w:rsidRPr="00A13972">
              <w:rPr>
                <w:rFonts w:hAnsi="標楷體"/>
                <w:kern w:val="0"/>
                <w:sz w:val="24"/>
                <w:szCs w:val="24"/>
              </w:rPr>
              <w:t>焚化處理</w:t>
            </w:r>
          </w:p>
        </w:tc>
        <w:tc>
          <w:tcPr>
            <w:tcW w:w="567" w:type="dxa"/>
            <w:tcBorders>
              <w:top w:val="single" w:sz="4" w:space="0" w:color="auto"/>
              <w:bottom w:val="single" w:sz="4" w:space="0" w:color="auto"/>
              <w:right w:val="single" w:sz="4" w:space="0" w:color="auto"/>
            </w:tcBorders>
            <w:shd w:val="clear" w:color="auto" w:fill="auto"/>
            <w:vAlign w:val="center"/>
          </w:tcPr>
          <w:p w:rsidR="0070436C" w:rsidRPr="00A13972" w:rsidRDefault="0070436C" w:rsidP="007A062C">
            <w:pPr>
              <w:widowControl/>
              <w:snapToGrid w:val="0"/>
              <w:jc w:val="center"/>
              <w:rPr>
                <w:rFonts w:hAnsi="標楷體"/>
                <w:kern w:val="0"/>
                <w:sz w:val="24"/>
                <w:szCs w:val="24"/>
              </w:rPr>
            </w:pPr>
            <w:r w:rsidRPr="00A13972">
              <w:rPr>
                <w:rFonts w:hAnsi="標楷體"/>
                <w:kern w:val="0"/>
                <w:sz w:val="24"/>
                <w:szCs w:val="24"/>
              </w:rPr>
              <w:t>公噸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436C" w:rsidRPr="00A13972" w:rsidRDefault="0070436C" w:rsidP="007A062C">
            <w:pPr>
              <w:jc w:val="center"/>
              <w:rPr>
                <w:rFonts w:hAnsi="標楷體"/>
                <w:sz w:val="24"/>
                <w:szCs w:val="24"/>
              </w:rPr>
            </w:pPr>
            <w:r w:rsidRPr="00A13972">
              <w:rPr>
                <w:rFonts w:hAnsi="標楷體"/>
                <w:sz w:val="24"/>
                <w:szCs w:val="24"/>
              </w:rPr>
              <w:t>3,000~36,000</w:t>
            </w:r>
          </w:p>
        </w:tc>
      </w:tr>
    </w:tbl>
    <w:p w:rsidR="0070436C" w:rsidRPr="00A13972" w:rsidRDefault="0070436C" w:rsidP="0070436C">
      <w:pPr>
        <w:pStyle w:val="3"/>
        <w:numPr>
          <w:ilvl w:val="0"/>
          <w:numId w:val="0"/>
        </w:numPr>
        <w:rPr>
          <w:rFonts w:hAnsi="標楷體"/>
          <w:bCs w:val="0"/>
          <w:kern w:val="0"/>
          <w:sz w:val="24"/>
          <w:szCs w:val="24"/>
        </w:rPr>
      </w:pPr>
      <w:r w:rsidRPr="00A13972">
        <w:rPr>
          <w:rFonts w:hAnsi="標楷體"/>
          <w:bCs w:val="0"/>
          <w:kern w:val="0"/>
          <w:sz w:val="24"/>
          <w:szCs w:val="24"/>
        </w:rPr>
        <w:t>註：</w:t>
      </w:r>
      <w:r w:rsidRPr="00A13972">
        <w:rPr>
          <w:rFonts w:hAnsi="標楷體" w:hint="eastAsia"/>
          <w:bCs w:val="0"/>
          <w:kern w:val="0"/>
          <w:sz w:val="24"/>
          <w:szCs w:val="24"/>
        </w:rPr>
        <w:t>1.</w:t>
      </w:r>
      <w:r w:rsidRPr="00A13972">
        <w:rPr>
          <w:rFonts w:hAnsi="標楷體"/>
          <w:bCs w:val="0"/>
          <w:kern w:val="0"/>
          <w:sz w:val="24"/>
          <w:szCs w:val="24"/>
        </w:rPr>
        <w:t>資料統計自</w:t>
      </w:r>
      <w:r w:rsidRPr="00A13972">
        <w:rPr>
          <w:rFonts w:hAnsi="標楷體" w:hint="eastAsia"/>
          <w:bCs w:val="0"/>
          <w:kern w:val="0"/>
          <w:sz w:val="24"/>
          <w:szCs w:val="24"/>
        </w:rPr>
        <w:t>環保</w:t>
      </w:r>
      <w:r w:rsidRPr="00A13972">
        <w:rPr>
          <w:rFonts w:hAnsi="標楷體"/>
          <w:bCs w:val="0"/>
          <w:kern w:val="0"/>
          <w:sz w:val="24"/>
          <w:szCs w:val="24"/>
        </w:rPr>
        <w:t>署事業廢棄物申報及管理資訊系統(109年7月)。</w:t>
      </w:r>
    </w:p>
    <w:p w:rsidR="0070436C" w:rsidRPr="00A13972" w:rsidRDefault="0070436C" w:rsidP="0070436C">
      <w:pPr>
        <w:widowControl/>
        <w:snapToGrid w:val="0"/>
        <w:ind w:leftChars="154" w:left="896" w:hangingChars="143" w:hanging="372"/>
        <w:rPr>
          <w:rFonts w:hAnsi="標楷體"/>
          <w:bCs/>
          <w:kern w:val="0"/>
          <w:sz w:val="24"/>
          <w:szCs w:val="24"/>
        </w:rPr>
      </w:pPr>
      <w:r w:rsidRPr="00A13972">
        <w:rPr>
          <w:rFonts w:hAnsi="標楷體" w:hint="eastAsia"/>
          <w:bCs/>
          <w:kern w:val="0"/>
          <w:sz w:val="24"/>
          <w:szCs w:val="24"/>
        </w:rPr>
        <w:lastRenderedPageBreak/>
        <w:t>2.</w:t>
      </w:r>
      <w:r w:rsidRPr="00A13972">
        <w:rPr>
          <w:rFonts w:hAnsi="標楷體"/>
          <w:bCs/>
          <w:kern w:val="0"/>
          <w:sz w:val="24"/>
          <w:szCs w:val="24"/>
        </w:rPr>
        <w:t>價格部分，詳參清除處理機構服務管理資訊系統之公開價格資料(網址：</w:t>
      </w:r>
      <w:hyperlink r:id="rId13" w:history="1">
        <w:r w:rsidRPr="00A13972">
          <w:rPr>
            <w:rStyle w:val="ad"/>
            <w:rFonts w:hAnsi="標楷體"/>
            <w:bCs/>
            <w:color w:val="auto"/>
            <w:kern w:val="0"/>
            <w:sz w:val="24"/>
            <w:szCs w:val="24"/>
          </w:rPr>
          <w:t>https://wcds.epa.gov.tw/WCDS/</w:t>
        </w:r>
      </w:hyperlink>
      <w:r w:rsidRPr="00A13972">
        <w:rPr>
          <w:rFonts w:hAnsi="標楷體"/>
          <w:bCs/>
          <w:kern w:val="0"/>
          <w:sz w:val="24"/>
          <w:szCs w:val="24"/>
        </w:rPr>
        <w:t>)。</w:t>
      </w:r>
    </w:p>
    <w:p w:rsidR="0070436C" w:rsidRPr="00A13972" w:rsidRDefault="0070436C" w:rsidP="0070436C">
      <w:pPr>
        <w:pStyle w:val="3"/>
        <w:numPr>
          <w:ilvl w:val="0"/>
          <w:numId w:val="0"/>
        </w:numPr>
        <w:rPr>
          <w:sz w:val="24"/>
          <w:szCs w:val="24"/>
        </w:rPr>
      </w:pPr>
      <w:r w:rsidRPr="00A13972">
        <w:rPr>
          <w:rFonts w:hAnsi="標楷體" w:hint="eastAsia"/>
          <w:sz w:val="24"/>
          <w:szCs w:val="24"/>
        </w:rPr>
        <w:t>資</w:t>
      </w:r>
      <w:r w:rsidRPr="00A13972">
        <w:rPr>
          <w:rFonts w:hAnsi="標楷體"/>
          <w:sz w:val="24"/>
          <w:szCs w:val="24"/>
        </w:rPr>
        <w:t>料來源：</w:t>
      </w:r>
      <w:r w:rsidRPr="00A13972">
        <w:rPr>
          <w:rFonts w:hAnsi="標楷體" w:hint="eastAsia"/>
          <w:sz w:val="24"/>
          <w:szCs w:val="24"/>
        </w:rPr>
        <w:t>環保署提供。</w:t>
      </w:r>
    </w:p>
    <w:p w:rsidR="0070436C" w:rsidRPr="00A13972" w:rsidRDefault="00E04041" w:rsidP="0070436C">
      <w:pPr>
        <w:pStyle w:val="aff0"/>
        <w:jc w:val="center"/>
        <w:rPr>
          <w:rFonts w:hAnsi="標楷體"/>
          <w:bCs/>
          <w:kern w:val="0"/>
          <w:sz w:val="32"/>
          <w:szCs w:val="32"/>
        </w:rPr>
      </w:pPr>
      <w:r w:rsidRPr="00A13972">
        <w:rPr>
          <w:rFonts w:hAnsi="標楷體" w:hint="eastAsia"/>
          <w:bCs/>
          <w:kern w:val="0"/>
          <w:sz w:val="32"/>
          <w:szCs w:val="32"/>
          <w:lang w:eastAsia="zh-HK"/>
        </w:rPr>
        <w:t>表</w:t>
      </w:r>
      <w:r w:rsidRPr="00A13972">
        <w:rPr>
          <w:rFonts w:hAnsi="標楷體"/>
          <w:bCs/>
          <w:kern w:val="0"/>
          <w:sz w:val="32"/>
          <w:szCs w:val="32"/>
          <w:lang w:eastAsia="zh-HK"/>
        </w:rPr>
        <w:fldChar w:fldCharType="begin"/>
      </w:r>
      <w:r w:rsidRPr="00A13972">
        <w:rPr>
          <w:rFonts w:hAnsi="標楷體"/>
          <w:bCs/>
          <w:kern w:val="0"/>
          <w:sz w:val="32"/>
          <w:szCs w:val="32"/>
          <w:lang w:eastAsia="zh-HK"/>
        </w:rPr>
        <w:instrText xml:space="preserve"> </w:instrText>
      </w:r>
      <w:r w:rsidRPr="00A13972">
        <w:rPr>
          <w:rFonts w:hAnsi="標楷體" w:hint="eastAsia"/>
          <w:bCs/>
          <w:kern w:val="0"/>
          <w:sz w:val="32"/>
          <w:szCs w:val="32"/>
          <w:lang w:eastAsia="zh-HK"/>
        </w:rPr>
        <w:instrText>SEQ 表 \* ARABIC</w:instrText>
      </w:r>
      <w:r w:rsidRPr="00A13972">
        <w:rPr>
          <w:rFonts w:hAnsi="標楷體"/>
          <w:bCs/>
          <w:kern w:val="0"/>
          <w:sz w:val="32"/>
          <w:szCs w:val="32"/>
          <w:lang w:eastAsia="zh-HK"/>
        </w:rPr>
        <w:instrText xml:space="preserve"> </w:instrText>
      </w:r>
      <w:r w:rsidRPr="00A13972">
        <w:rPr>
          <w:rFonts w:hAnsi="標楷體"/>
          <w:bCs/>
          <w:kern w:val="0"/>
          <w:sz w:val="32"/>
          <w:szCs w:val="32"/>
          <w:lang w:eastAsia="zh-HK"/>
        </w:rPr>
        <w:fldChar w:fldCharType="separate"/>
      </w:r>
      <w:r w:rsidR="00A85DC6">
        <w:rPr>
          <w:rFonts w:hAnsi="標楷體"/>
          <w:bCs/>
          <w:noProof/>
          <w:kern w:val="0"/>
          <w:sz w:val="32"/>
          <w:szCs w:val="32"/>
          <w:lang w:eastAsia="zh-HK"/>
        </w:rPr>
        <w:t>5</w:t>
      </w:r>
      <w:r w:rsidRPr="00A13972">
        <w:rPr>
          <w:rFonts w:hAnsi="標楷體"/>
          <w:bCs/>
          <w:kern w:val="0"/>
          <w:sz w:val="32"/>
          <w:szCs w:val="32"/>
          <w:lang w:eastAsia="zh-HK"/>
        </w:rPr>
        <w:fldChar w:fldCharType="end"/>
      </w:r>
      <w:r w:rsidRPr="00A13972">
        <w:rPr>
          <w:rFonts w:hAnsi="標楷體" w:hint="eastAsia"/>
          <w:bCs/>
          <w:kern w:val="0"/>
          <w:sz w:val="32"/>
          <w:szCs w:val="32"/>
          <w:lang w:eastAsia="zh-HK"/>
        </w:rPr>
        <w:t>、</w:t>
      </w:r>
      <w:r w:rsidR="0070436C" w:rsidRPr="00A13972">
        <w:rPr>
          <w:rFonts w:hAnsi="標楷體"/>
          <w:bCs/>
          <w:kern w:val="0"/>
          <w:sz w:val="32"/>
          <w:szCs w:val="32"/>
          <w:lang w:eastAsia="zh-HK"/>
        </w:rPr>
        <w:t>24座大型焚化廠處理廢棄物之</w:t>
      </w:r>
      <w:r w:rsidR="0070436C" w:rsidRPr="00A13972">
        <w:rPr>
          <w:rFonts w:hAnsi="標楷體" w:hint="eastAsia"/>
          <w:bCs/>
          <w:kern w:val="0"/>
          <w:sz w:val="32"/>
          <w:szCs w:val="32"/>
        </w:rPr>
        <w:t>收費標準</w:t>
      </w:r>
    </w:p>
    <w:p w:rsidR="0070436C" w:rsidRPr="00A13972" w:rsidRDefault="0070436C" w:rsidP="0070436C">
      <w:pPr>
        <w:pStyle w:val="aff"/>
        <w:overflowPunct w:val="0"/>
        <w:snapToGrid w:val="0"/>
        <w:ind w:rightChars="7" w:right="24"/>
        <w:jc w:val="right"/>
        <w:rPr>
          <w:rFonts w:ascii="標楷體" w:eastAsia="標楷體" w:hAnsi="標楷體"/>
          <w:color w:val="auto"/>
          <w:kern w:val="0"/>
          <w:szCs w:val="24"/>
        </w:rPr>
      </w:pPr>
      <w:r w:rsidRPr="00A13972">
        <w:rPr>
          <w:rFonts w:ascii="標楷體" w:eastAsia="標楷體" w:hAnsi="標楷體"/>
          <w:color w:val="auto"/>
          <w:kern w:val="0"/>
          <w:szCs w:val="24"/>
        </w:rPr>
        <w:t>單位：公噸</w:t>
      </w:r>
      <w:r w:rsidRPr="00A13972">
        <w:rPr>
          <w:rFonts w:ascii="標楷體" w:eastAsia="標楷體" w:hAnsi="標楷體" w:hint="eastAsia"/>
          <w:color w:val="auto"/>
          <w:kern w:val="0"/>
          <w:szCs w:val="24"/>
        </w:rPr>
        <w:t>、新臺幣/元</w:t>
      </w:r>
    </w:p>
    <w:tbl>
      <w:tblPr>
        <w:tblW w:w="8889" w:type="dxa"/>
        <w:tblInd w:w="70" w:type="dxa"/>
        <w:tblCellMar>
          <w:left w:w="28" w:type="dxa"/>
          <w:right w:w="28" w:type="dxa"/>
        </w:tblCellMar>
        <w:tblLook w:val="04A0" w:firstRow="1" w:lastRow="0" w:firstColumn="1" w:lastColumn="0" w:noHBand="0" w:noVBand="1"/>
      </w:tblPr>
      <w:tblGrid>
        <w:gridCol w:w="1092"/>
        <w:gridCol w:w="2410"/>
        <w:gridCol w:w="2268"/>
        <w:gridCol w:w="3119"/>
      </w:tblGrid>
      <w:tr w:rsidR="00A13972" w:rsidRPr="00A13972" w:rsidTr="007A062C">
        <w:trPr>
          <w:trHeight w:val="458"/>
          <w:tblHeader/>
        </w:trPr>
        <w:tc>
          <w:tcPr>
            <w:tcW w:w="1092" w:type="dxa"/>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center"/>
            <w:hideMark/>
          </w:tcPr>
          <w:p w:rsidR="0070436C" w:rsidRPr="00A13972" w:rsidRDefault="0070436C" w:rsidP="007A062C">
            <w:pPr>
              <w:widowControl/>
              <w:jc w:val="distribute"/>
              <w:rPr>
                <w:rFonts w:hAnsi="標楷體"/>
                <w:b/>
                <w:bCs/>
                <w:kern w:val="0"/>
                <w:sz w:val="24"/>
                <w:szCs w:val="24"/>
              </w:rPr>
            </w:pPr>
            <w:r w:rsidRPr="00A13972">
              <w:rPr>
                <w:rFonts w:hAnsi="標楷體"/>
                <w:b/>
                <w:bCs/>
                <w:kern w:val="0"/>
                <w:sz w:val="24"/>
                <w:szCs w:val="24"/>
              </w:rPr>
              <w:t>焚化廠名稱</w:t>
            </w:r>
          </w:p>
        </w:tc>
        <w:tc>
          <w:tcPr>
            <w:tcW w:w="241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70436C" w:rsidRPr="00A13972" w:rsidRDefault="0070436C" w:rsidP="007A062C">
            <w:pPr>
              <w:widowControl/>
              <w:jc w:val="distribute"/>
              <w:rPr>
                <w:rFonts w:hAnsi="標楷體"/>
                <w:b/>
                <w:bCs/>
                <w:kern w:val="0"/>
                <w:sz w:val="24"/>
                <w:szCs w:val="24"/>
              </w:rPr>
            </w:pPr>
            <w:r w:rsidRPr="00A13972">
              <w:rPr>
                <w:rFonts w:hAnsi="標楷體"/>
                <w:b/>
                <w:bCs/>
                <w:kern w:val="0"/>
                <w:sz w:val="24"/>
                <w:szCs w:val="24"/>
              </w:rPr>
              <w:t>處理轄內一般廢棄物價格</w:t>
            </w:r>
          </w:p>
        </w:tc>
        <w:tc>
          <w:tcPr>
            <w:tcW w:w="2268"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70436C" w:rsidRPr="00A13972" w:rsidRDefault="0070436C" w:rsidP="007A062C">
            <w:pPr>
              <w:widowControl/>
              <w:jc w:val="distribute"/>
              <w:rPr>
                <w:rFonts w:hAnsi="標楷體"/>
                <w:b/>
                <w:bCs/>
                <w:kern w:val="0"/>
                <w:sz w:val="24"/>
                <w:szCs w:val="24"/>
              </w:rPr>
            </w:pPr>
            <w:r w:rsidRPr="00A13972">
              <w:rPr>
                <w:rFonts w:hAnsi="標楷體"/>
                <w:b/>
                <w:bCs/>
                <w:kern w:val="0"/>
                <w:sz w:val="24"/>
                <w:szCs w:val="24"/>
              </w:rPr>
              <w:t>處理非轄內一般廢棄物價格</w:t>
            </w:r>
          </w:p>
        </w:tc>
        <w:tc>
          <w:tcPr>
            <w:tcW w:w="311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70436C" w:rsidRPr="00A13972" w:rsidRDefault="0070436C" w:rsidP="007A062C">
            <w:pPr>
              <w:widowControl/>
              <w:jc w:val="distribute"/>
              <w:rPr>
                <w:rFonts w:hAnsi="標楷體"/>
                <w:b/>
                <w:bCs/>
                <w:kern w:val="0"/>
                <w:sz w:val="24"/>
                <w:szCs w:val="24"/>
              </w:rPr>
            </w:pPr>
            <w:r w:rsidRPr="00A13972">
              <w:rPr>
                <w:rFonts w:hAnsi="標楷體"/>
                <w:b/>
                <w:bCs/>
                <w:kern w:val="0"/>
                <w:sz w:val="24"/>
                <w:szCs w:val="24"/>
              </w:rPr>
              <w:t>處理一般事業廢棄物價格</w:t>
            </w:r>
          </w:p>
        </w:tc>
      </w:tr>
      <w:tr w:rsidR="00A13972" w:rsidRPr="00A13972" w:rsidTr="007A062C">
        <w:trPr>
          <w:trHeight w:val="421"/>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基隆市廠</w:t>
            </w:r>
          </w:p>
        </w:tc>
        <w:tc>
          <w:tcPr>
            <w:tcW w:w="2410" w:type="dxa"/>
            <w:tcBorders>
              <w:top w:val="nil"/>
              <w:left w:val="nil"/>
              <w:bottom w:val="single" w:sz="4" w:space="0" w:color="000000"/>
              <w:right w:val="single" w:sz="4" w:space="0" w:color="000000"/>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民生垃圾隨水費徵收，每度3.7元</w:t>
            </w:r>
          </w:p>
        </w:tc>
        <w:tc>
          <w:tcPr>
            <w:tcW w:w="2268" w:type="dxa"/>
            <w:tcBorders>
              <w:top w:val="nil"/>
              <w:left w:val="nil"/>
              <w:bottom w:val="single" w:sz="4" w:space="0" w:color="000000"/>
              <w:right w:val="single" w:sz="4" w:space="0" w:color="000000"/>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2,065元/</w:t>
            </w:r>
            <w:r w:rsidR="00674AAF" w:rsidRPr="00A13972">
              <w:rPr>
                <w:rFonts w:hAnsi="標楷體" w:hint="eastAsia"/>
                <w:kern w:val="0"/>
                <w:sz w:val="24"/>
                <w:szCs w:val="24"/>
              </w:rPr>
              <w:t>公</w:t>
            </w:r>
            <w:r w:rsidRPr="00A13972">
              <w:rPr>
                <w:rFonts w:hAnsi="標楷體"/>
                <w:kern w:val="0"/>
                <w:sz w:val="24"/>
                <w:szCs w:val="24"/>
              </w:rPr>
              <w:t>噸</w:t>
            </w:r>
          </w:p>
        </w:tc>
        <w:tc>
          <w:tcPr>
            <w:tcW w:w="3119" w:type="dxa"/>
            <w:tcBorders>
              <w:top w:val="nil"/>
              <w:left w:val="nil"/>
              <w:bottom w:val="single" w:sz="4" w:space="0" w:color="000000"/>
              <w:right w:val="single" w:sz="4" w:space="0" w:color="000000"/>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3,500~7,500元/</w:t>
            </w:r>
            <w:r w:rsidR="00674AAF"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臺北市北投廠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2,082元/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2,082元/</w:t>
            </w:r>
            <w:r w:rsidR="00674AAF"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臺北市木柵廠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2,082元/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2,082元/</w:t>
            </w:r>
            <w:r w:rsidR="00674AAF"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臺北市內湖廠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2,082元/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2,082元/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新北市新店廠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3,200元/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3,200元/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新北市樹林廠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3,200元/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3,200元/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新北市八里廠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3,200~3,500元/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3,200~3,500元/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桃園市廠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2,111.42元/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4,200元/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宜蘭縣利澤廠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民生垃圾隨水費徵收，每度4.1元</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2,015元/</w:t>
            </w:r>
            <w:r w:rsidR="00B0272D" w:rsidRPr="00A13972">
              <w:rPr>
                <w:rFonts w:hAnsi="標楷體" w:hint="eastAsia"/>
                <w:kern w:val="0"/>
                <w:sz w:val="24"/>
                <w:szCs w:val="24"/>
              </w:rPr>
              <w:t>公</w:t>
            </w:r>
            <w:r w:rsidRPr="00A13972">
              <w:rPr>
                <w:rFonts w:hAnsi="標楷體"/>
                <w:kern w:val="0"/>
                <w:sz w:val="24"/>
                <w:szCs w:val="24"/>
              </w:rPr>
              <w:t>噸</w:t>
            </w:r>
          </w:p>
        </w:tc>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2,800元/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66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新竹市廠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民生垃圾隨水費徵收，每度3.7元</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2,200元/</w:t>
            </w:r>
            <w:r w:rsidR="00B0272D" w:rsidRPr="00A13972">
              <w:rPr>
                <w:rFonts w:hAnsi="標楷體" w:hint="eastAsia"/>
                <w:kern w:val="0"/>
                <w:sz w:val="24"/>
                <w:szCs w:val="24"/>
              </w:rPr>
              <w:t>公</w:t>
            </w:r>
            <w:r w:rsidRPr="00A13972">
              <w:rPr>
                <w:rFonts w:hAnsi="標楷體"/>
                <w:kern w:val="0"/>
                <w:sz w:val="24"/>
                <w:szCs w:val="24"/>
              </w:rPr>
              <w:t>噸</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新竹市:低熱值2,000元/</w:t>
            </w:r>
            <w:r w:rsidR="00B0272D" w:rsidRPr="00A13972">
              <w:rPr>
                <w:rFonts w:hAnsi="標楷體" w:hint="eastAsia"/>
                <w:kern w:val="0"/>
                <w:sz w:val="24"/>
                <w:szCs w:val="24"/>
              </w:rPr>
              <w:t>公</w:t>
            </w:r>
            <w:r w:rsidRPr="00A13972">
              <w:rPr>
                <w:rFonts w:hAnsi="標楷體"/>
                <w:kern w:val="0"/>
                <w:sz w:val="24"/>
                <w:szCs w:val="24"/>
              </w:rPr>
              <w:t>噸，高熱值3,000元/</w:t>
            </w:r>
            <w:r w:rsidR="00B0272D" w:rsidRPr="00A13972">
              <w:rPr>
                <w:rFonts w:hAnsi="標楷體" w:hint="eastAsia"/>
                <w:kern w:val="0"/>
                <w:sz w:val="24"/>
                <w:szCs w:val="24"/>
              </w:rPr>
              <w:t>公</w:t>
            </w:r>
            <w:r w:rsidRPr="00A13972">
              <w:rPr>
                <w:rFonts w:hAnsi="標楷體"/>
                <w:kern w:val="0"/>
                <w:sz w:val="24"/>
                <w:szCs w:val="24"/>
              </w:rPr>
              <w:t>噸</w:t>
            </w:r>
          </w:p>
          <w:p w:rsidR="0070436C" w:rsidRPr="00A13972" w:rsidRDefault="0070436C" w:rsidP="007A062C">
            <w:pPr>
              <w:widowControl/>
              <w:rPr>
                <w:rFonts w:hAnsi="標楷體"/>
                <w:kern w:val="0"/>
                <w:sz w:val="24"/>
                <w:szCs w:val="24"/>
              </w:rPr>
            </w:pPr>
            <w:r w:rsidRPr="00A13972">
              <w:rPr>
                <w:rFonts w:hAnsi="標楷體"/>
                <w:kern w:val="0"/>
                <w:sz w:val="24"/>
                <w:szCs w:val="24"/>
              </w:rPr>
              <w:t>外縣市:4,500元/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48"/>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苗栗縣廠</w:t>
            </w:r>
          </w:p>
        </w:tc>
        <w:tc>
          <w:tcPr>
            <w:tcW w:w="2410" w:type="dxa"/>
            <w:tcBorders>
              <w:top w:val="single" w:sz="4" w:space="0" w:color="000000"/>
              <w:left w:val="single" w:sz="4" w:space="0" w:color="000000"/>
              <w:bottom w:val="single" w:sz="4" w:space="0" w:color="000000"/>
              <w:right w:val="nil"/>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1,000元/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single" w:sz="4" w:space="0" w:color="000000"/>
              <w:bottom w:val="single" w:sz="4" w:space="0" w:color="auto"/>
              <w:right w:val="single" w:sz="4" w:space="0" w:color="000000"/>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2,200元/</w:t>
            </w:r>
            <w:r w:rsidR="00B0272D" w:rsidRPr="00A13972">
              <w:rPr>
                <w:rFonts w:hAnsi="標楷體" w:hint="eastAsia"/>
                <w:kern w:val="0"/>
                <w:sz w:val="24"/>
                <w:szCs w:val="24"/>
              </w:rPr>
              <w:t>公</w:t>
            </w:r>
            <w:r w:rsidRPr="00A13972">
              <w:rPr>
                <w:rFonts w:hAnsi="標楷體"/>
                <w:kern w:val="0"/>
                <w:sz w:val="24"/>
                <w:szCs w:val="24"/>
              </w:rPr>
              <w:t>噸</w:t>
            </w:r>
          </w:p>
        </w:tc>
        <w:tc>
          <w:tcPr>
            <w:tcW w:w="3119" w:type="dxa"/>
            <w:tcBorders>
              <w:top w:val="nil"/>
              <w:left w:val="nil"/>
              <w:bottom w:val="single" w:sz="4" w:space="0" w:color="auto"/>
              <w:right w:val="single" w:sz="4" w:space="0" w:color="000000"/>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2,300~3,200元/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臺中市文山廠</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環保局：2,000元/公噸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近年無處理</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環保局：2,250或2,800(外運)元/公噸</w:t>
            </w:r>
          </w:p>
        </w:tc>
      </w:tr>
      <w:tr w:rsidR="00A13972" w:rsidRPr="00A13972" w:rsidTr="007A062C">
        <w:trPr>
          <w:trHeight w:val="66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臺中市后里廠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環保局：2,000元/公噸</w:t>
            </w:r>
            <w:r w:rsidRPr="00A13972">
              <w:rPr>
                <w:rFonts w:hAnsi="標楷體"/>
                <w:kern w:val="0"/>
                <w:sz w:val="24"/>
                <w:szCs w:val="24"/>
              </w:rPr>
              <w:br/>
              <w:t>操作廠商：2,250~3,500元/公噸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107年環保局協助南投垃圾或紙錢2,250元/公噸</w:t>
            </w:r>
            <w:r w:rsidRPr="00A13972">
              <w:rPr>
                <w:rFonts w:hAnsi="標楷體"/>
                <w:kern w:val="0"/>
                <w:sz w:val="24"/>
                <w:szCs w:val="24"/>
              </w:rPr>
              <w:br/>
              <w:t>108年操作廠商協助協助南投垃圾3,360元/公噸</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環保局：2,250或2,800(外運)元/公噸</w:t>
            </w:r>
            <w:r w:rsidRPr="00A13972">
              <w:rPr>
                <w:rFonts w:hAnsi="標楷體"/>
                <w:kern w:val="0"/>
                <w:sz w:val="24"/>
                <w:szCs w:val="24"/>
              </w:rPr>
              <w:br/>
              <w:t>操作廠商：3,360元/公噸</w:t>
            </w:r>
          </w:p>
        </w:tc>
      </w:tr>
      <w:tr w:rsidR="00A13972" w:rsidRPr="00A13972" w:rsidTr="007A062C">
        <w:trPr>
          <w:trHeight w:val="66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臺中市烏日廠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環保局：2,000元/公噸</w:t>
            </w:r>
            <w:r w:rsidRPr="00A13972">
              <w:rPr>
                <w:rFonts w:hAnsi="標楷體"/>
                <w:kern w:val="0"/>
                <w:sz w:val="24"/>
                <w:szCs w:val="24"/>
              </w:rPr>
              <w:br/>
              <w:t>操作廠商：2,250~3,500元/公噸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107-109年環保局協助南投垃圾或紙錢2,250元/公噸</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環保局：2,250或2,800(外運)元/公噸</w:t>
            </w:r>
            <w:r w:rsidRPr="00A13972">
              <w:rPr>
                <w:rFonts w:hAnsi="標楷體"/>
                <w:kern w:val="0"/>
                <w:sz w:val="24"/>
                <w:szCs w:val="24"/>
              </w:rPr>
              <w:br/>
              <w:t>操作廠商：4,095元/公噸</w:t>
            </w:r>
          </w:p>
        </w:tc>
      </w:tr>
      <w:tr w:rsidR="00A13972" w:rsidRPr="00A13972" w:rsidTr="007A062C">
        <w:trPr>
          <w:trHeight w:val="99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lastRenderedPageBreak/>
              <w:t>彰化縣溪州廠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1.民生垃圾隨水費徵收，每度3.7元</w:t>
            </w:r>
            <w:r w:rsidRPr="00A13972">
              <w:rPr>
                <w:rFonts w:hAnsi="標楷體"/>
                <w:kern w:val="0"/>
                <w:sz w:val="24"/>
                <w:szCs w:val="24"/>
              </w:rPr>
              <w:br/>
              <w:t>2.按戶定額徵收費用每年1,128元/戶。</w:t>
            </w:r>
            <w:r w:rsidRPr="00A13972">
              <w:rPr>
                <w:rFonts w:hAnsi="標楷體"/>
                <w:kern w:val="0"/>
                <w:sz w:val="24"/>
                <w:szCs w:val="24"/>
              </w:rPr>
              <w:br/>
              <w:t>3.政府機關銷毀一般廢棄物1,630元/公噸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2,106元/</w:t>
            </w:r>
            <w:r w:rsidR="00B0272D" w:rsidRPr="00A13972">
              <w:rPr>
                <w:rFonts w:hAnsi="標楷體" w:hint="eastAsia"/>
                <w:kern w:val="0"/>
                <w:sz w:val="24"/>
                <w:szCs w:val="24"/>
              </w:rPr>
              <w:t>公</w:t>
            </w:r>
            <w:r w:rsidRPr="00A13972">
              <w:rPr>
                <w:rFonts w:hAnsi="標楷體"/>
                <w:kern w:val="0"/>
                <w:sz w:val="24"/>
                <w:szCs w:val="24"/>
              </w:rPr>
              <w:t>噸</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2,500元/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嘉義市廠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1,599元/公噸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2,000元/公噸</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3,200元/公噸；12,000元/公噸(ASR)</w:t>
            </w:r>
          </w:p>
        </w:tc>
      </w:tr>
      <w:tr w:rsidR="00A13972" w:rsidRPr="00A13972" w:rsidTr="007A062C">
        <w:trPr>
          <w:trHeight w:val="476"/>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嘉義縣鹿草廠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民生垃圾隨水費徵收，每度3.7元</w:t>
            </w:r>
          </w:p>
          <w:p w:rsidR="0070436C" w:rsidRPr="00A13972" w:rsidRDefault="0070436C" w:rsidP="007A062C">
            <w:pPr>
              <w:widowControl/>
              <w:rPr>
                <w:rFonts w:hAnsi="標楷體"/>
                <w:kern w:val="0"/>
                <w:sz w:val="24"/>
                <w:szCs w:val="24"/>
              </w:rPr>
            </w:pPr>
            <w:r w:rsidRPr="00A13972">
              <w:rPr>
                <w:rFonts w:hAnsi="標楷體"/>
                <w:kern w:val="0"/>
                <w:sz w:val="24"/>
                <w:szCs w:val="24"/>
              </w:rPr>
              <w:t>環保局:1,678元/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2,500元/</w:t>
            </w:r>
            <w:r w:rsidR="00B0272D" w:rsidRPr="00A13972">
              <w:rPr>
                <w:rFonts w:hAnsi="標楷體" w:hint="eastAsia"/>
                <w:kern w:val="0"/>
                <w:sz w:val="24"/>
                <w:szCs w:val="24"/>
              </w:rPr>
              <w:t>公</w:t>
            </w:r>
            <w:r w:rsidRPr="00A13972">
              <w:rPr>
                <w:rFonts w:hAnsi="標楷體"/>
                <w:kern w:val="0"/>
                <w:sz w:val="24"/>
                <w:szCs w:val="24"/>
              </w:rPr>
              <w:t>噸</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3,200元/</w:t>
            </w:r>
            <w:r w:rsidR="00B0272D" w:rsidRPr="00A13972">
              <w:rPr>
                <w:rFonts w:hAnsi="標楷體" w:hint="eastAsia"/>
                <w:kern w:val="0"/>
                <w:sz w:val="24"/>
                <w:szCs w:val="24"/>
              </w:rPr>
              <w:t>公</w:t>
            </w:r>
            <w:r w:rsidRPr="00A13972">
              <w:rPr>
                <w:rFonts w:hAnsi="標楷體"/>
                <w:kern w:val="0"/>
                <w:sz w:val="24"/>
                <w:szCs w:val="24"/>
              </w:rPr>
              <w:t>噸至5,000元/</w:t>
            </w:r>
            <w:r w:rsidR="00B0272D" w:rsidRPr="00A13972">
              <w:rPr>
                <w:rFonts w:hAnsi="標楷體" w:hint="eastAsia"/>
                <w:kern w:val="0"/>
                <w:sz w:val="24"/>
                <w:szCs w:val="24"/>
              </w:rPr>
              <w:t>公</w:t>
            </w:r>
            <w:r w:rsidRPr="00A13972">
              <w:rPr>
                <w:rFonts w:hAnsi="標楷體"/>
                <w:kern w:val="0"/>
                <w:sz w:val="24"/>
                <w:szCs w:val="24"/>
              </w:rPr>
              <w:t>噸(視垃圾性質熱值高低而有區別)</w:t>
            </w:r>
          </w:p>
        </w:tc>
      </w:tr>
      <w:tr w:rsidR="00A13972" w:rsidRPr="00A13972" w:rsidTr="007A062C">
        <w:trPr>
          <w:trHeight w:val="66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臺南市城西廠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民生垃圾隨水費徵收，每度3.7元</w:t>
            </w:r>
            <w:r w:rsidRPr="00A13972">
              <w:rPr>
                <w:rFonts w:hAnsi="標楷體"/>
                <w:kern w:val="0"/>
                <w:sz w:val="24"/>
                <w:szCs w:val="24"/>
              </w:rPr>
              <w:br/>
              <w:t>清除機構載運:2,050元/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廢塑膠、廢橡膠類(含高熱值廢棄物):3,500元/</w:t>
            </w:r>
            <w:r w:rsidR="00B0272D" w:rsidRPr="00A13972">
              <w:rPr>
                <w:rFonts w:hAnsi="標楷體" w:hint="eastAsia"/>
                <w:kern w:val="0"/>
                <w:sz w:val="24"/>
                <w:szCs w:val="24"/>
              </w:rPr>
              <w:t>公</w:t>
            </w:r>
            <w:r w:rsidRPr="00A13972">
              <w:rPr>
                <w:rFonts w:hAnsi="標楷體"/>
                <w:kern w:val="0"/>
                <w:sz w:val="24"/>
                <w:szCs w:val="24"/>
              </w:rPr>
              <w:t>噸</w:t>
            </w:r>
            <w:r w:rsidRPr="00A13972">
              <w:rPr>
                <w:rFonts w:hAnsi="標楷體"/>
                <w:kern w:val="0"/>
                <w:sz w:val="24"/>
                <w:szCs w:val="24"/>
              </w:rPr>
              <w:br/>
              <w:t>其他:2,050元/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66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臺南市永康廠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民生垃圾隨水費徵收，每度3.7元</w:t>
            </w:r>
            <w:r w:rsidRPr="00A13972">
              <w:rPr>
                <w:rFonts w:hAnsi="標楷體"/>
                <w:kern w:val="0"/>
                <w:sz w:val="24"/>
                <w:szCs w:val="24"/>
              </w:rPr>
              <w:br/>
              <w:t>清除機構載運:3,000元/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無處理外縣市廢棄物</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廢塑膠、廢橡膠類(含高熱值廢棄物):5,000元/</w:t>
            </w:r>
            <w:r w:rsidR="00B0272D" w:rsidRPr="00A13972">
              <w:rPr>
                <w:rFonts w:hAnsi="標楷體" w:hint="eastAsia"/>
                <w:kern w:val="0"/>
                <w:sz w:val="24"/>
                <w:szCs w:val="24"/>
              </w:rPr>
              <w:t>公</w:t>
            </w:r>
            <w:r w:rsidRPr="00A13972">
              <w:rPr>
                <w:rFonts w:hAnsi="標楷體"/>
                <w:kern w:val="0"/>
                <w:sz w:val="24"/>
                <w:szCs w:val="24"/>
              </w:rPr>
              <w:t>噸</w:t>
            </w:r>
            <w:r w:rsidRPr="00A13972">
              <w:rPr>
                <w:rFonts w:hAnsi="標楷體"/>
                <w:kern w:val="0"/>
                <w:sz w:val="24"/>
                <w:szCs w:val="24"/>
              </w:rPr>
              <w:br/>
              <w:t>其他:3,000元/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66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高雄市中區廠</w:t>
            </w:r>
          </w:p>
        </w:tc>
        <w:tc>
          <w:tcPr>
            <w:tcW w:w="2410" w:type="dxa"/>
            <w:tcBorders>
              <w:top w:val="nil"/>
              <w:left w:val="nil"/>
              <w:bottom w:val="nil"/>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民生垃圾隨水費徵收，每度4.1元</w:t>
            </w:r>
          </w:p>
        </w:tc>
        <w:tc>
          <w:tcPr>
            <w:tcW w:w="2268" w:type="dxa"/>
            <w:tcBorders>
              <w:top w:val="nil"/>
              <w:left w:val="nil"/>
              <w:bottom w:val="nil"/>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由環保局統一調控，以回運底渣方式以量易量辦理。</w:t>
            </w:r>
          </w:p>
        </w:tc>
        <w:tc>
          <w:tcPr>
            <w:tcW w:w="3119" w:type="dxa"/>
            <w:tcBorders>
              <w:top w:val="nil"/>
              <w:left w:val="nil"/>
              <w:bottom w:val="nil"/>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中區廠無處理一般事業廢棄物</w:t>
            </w:r>
          </w:p>
        </w:tc>
      </w:tr>
      <w:tr w:rsidR="00A13972" w:rsidRPr="00A13972" w:rsidTr="007A062C">
        <w:trPr>
          <w:trHeight w:val="660"/>
        </w:trPr>
        <w:tc>
          <w:tcPr>
            <w:tcW w:w="1092" w:type="dxa"/>
            <w:tcBorders>
              <w:top w:val="nil"/>
              <w:left w:val="single" w:sz="8" w:space="0" w:color="auto"/>
              <w:bottom w:val="single" w:sz="4" w:space="0" w:color="auto"/>
              <w:right w:val="nil"/>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高雄市南區廠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民生垃圾隨水費徵收，每度4.1元</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依據環保局政策配合收受,焚化廠不另行收費(環保局要求其回運底渣)。</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依據「高雄市代處理廢棄物收費管理辦法」每公噸2,413元。</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高雄市仁武廠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民生垃圾隨水費徵收，每度4.1元</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目前協助外縣市一般廢棄物以量易量灰渣回運。</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依代操作廠商公告牌價每公噸3,200元</w:t>
            </w:r>
          </w:p>
        </w:tc>
      </w:tr>
      <w:tr w:rsidR="00A13972" w:rsidRPr="00A13972" w:rsidTr="007A062C">
        <w:trPr>
          <w:trHeight w:val="330"/>
        </w:trPr>
        <w:tc>
          <w:tcPr>
            <w:tcW w:w="1092" w:type="dxa"/>
            <w:tcBorders>
              <w:top w:val="nil"/>
              <w:left w:val="single" w:sz="8" w:space="0" w:color="auto"/>
              <w:bottom w:val="single" w:sz="4"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高雄市岡山廠</w:t>
            </w:r>
          </w:p>
        </w:tc>
        <w:tc>
          <w:tcPr>
            <w:tcW w:w="2410"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民生垃圾隨水費徵收，每度4.1元</w:t>
            </w:r>
          </w:p>
        </w:tc>
        <w:tc>
          <w:tcPr>
            <w:tcW w:w="2268"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目前協助外縣市一般廢棄物以量易量灰渣回運。</w:t>
            </w:r>
          </w:p>
        </w:tc>
        <w:tc>
          <w:tcPr>
            <w:tcW w:w="3119" w:type="dxa"/>
            <w:tcBorders>
              <w:top w:val="nil"/>
              <w:left w:val="nil"/>
              <w:bottom w:val="single" w:sz="4"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4,050元/</w:t>
            </w:r>
            <w:r w:rsidR="00B0272D" w:rsidRPr="00A13972">
              <w:rPr>
                <w:rFonts w:hAnsi="標楷體" w:hint="eastAsia"/>
                <w:kern w:val="0"/>
                <w:sz w:val="24"/>
                <w:szCs w:val="24"/>
              </w:rPr>
              <w:t>公</w:t>
            </w:r>
            <w:r w:rsidRPr="00A13972">
              <w:rPr>
                <w:rFonts w:hAnsi="標楷體"/>
                <w:kern w:val="0"/>
                <w:sz w:val="24"/>
                <w:szCs w:val="24"/>
              </w:rPr>
              <w:t>噸</w:t>
            </w:r>
          </w:p>
        </w:tc>
      </w:tr>
      <w:tr w:rsidR="00A13972" w:rsidRPr="00A13972" w:rsidTr="007A062C">
        <w:trPr>
          <w:trHeight w:val="698"/>
        </w:trPr>
        <w:tc>
          <w:tcPr>
            <w:tcW w:w="1092" w:type="dxa"/>
            <w:tcBorders>
              <w:top w:val="nil"/>
              <w:left w:val="single" w:sz="8" w:space="0" w:color="auto"/>
              <w:bottom w:val="single" w:sz="8" w:space="0" w:color="auto"/>
              <w:right w:val="single" w:sz="4" w:space="0" w:color="auto"/>
            </w:tcBorders>
            <w:shd w:val="clear" w:color="auto" w:fill="auto"/>
            <w:noWrap/>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屏東縣崁頂廠</w:t>
            </w:r>
          </w:p>
        </w:tc>
        <w:tc>
          <w:tcPr>
            <w:tcW w:w="2410" w:type="dxa"/>
            <w:tcBorders>
              <w:top w:val="nil"/>
              <w:left w:val="nil"/>
              <w:bottom w:val="single" w:sz="8"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450元/</w:t>
            </w:r>
            <w:r w:rsidR="00B0272D" w:rsidRPr="00A13972">
              <w:rPr>
                <w:rFonts w:hAnsi="標楷體" w:hint="eastAsia"/>
                <w:kern w:val="0"/>
                <w:sz w:val="24"/>
                <w:szCs w:val="24"/>
              </w:rPr>
              <w:t>公</w:t>
            </w:r>
            <w:r w:rsidRPr="00A13972">
              <w:rPr>
                <w:rFonts w:hAnsi="標楷體"/>
                <w:kern w:val="0"/>
                <w:sz w:val="24"/>
                <w:szCs w:val="24"/>
              </w:rPr>
              <w:t>噸</w:t>
            </w:r>
          </w:p>
        </w:tc>
        <w:tc>
          <w:tcPr>
            <w:tcW w:w="2268" w:type="dxa"/>
            <w:tcBorders>
              <w:top w:val="nil"/>
              <w:left w:val="nil"/>
              <w:bottom w:val="single" w:sz="8"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t>1,400元/</w:t>
            </w:r>
            <w:r w:rsidR="00B0272D" w:rsidRPr="00A13972">
              <w:rPr>
                <w:rFonts w:hAnsi="標楷體" w:hint="eastAsia"/>
                <w:kern w:val="0"/>
                <w:sz w:val="24"/>
                <w:szCs w:val="24"/>
              </w:rPr>
              <w:t>公</w:t>
            </w:r>
            <w:r w:rsidRPr="00A13972">
              <w:rPr>
                <w:rFonts w:hAnsi="標楷體"/>
                <w:kern w:val="0"/>
                <w:sz w:val="24"/>
                <w:szCs w:val="24"/>
              </w:rPr>
              <w:t>噸。</w:t>
            </w:r>
            <w:r w:rsidRPr="00A13972">
              <w:rPr>
                <w:rFonts w:hAnsi="標楷體"/>
                <w:kern w:val="0"/>
                <w:sz w:val="24"/>
                <w:szCs w:val="24"/>
              </w:rPr>
              <w:br/>
              <w:t>註：除收費外，底渣及飛灰穩定化物須分別回運；中央主管機關有規定回運項目數量，從其規定，如未規定飛灰穩定化物回運數量，按每</w:t>
            </w:r>
            <w:r w:rsidR="00B0272D" w:rsidRPr="00A13972">
              <w:rPr>
                <w:rFonts w:hAnsi="標楷體" w:hint="eastAsia"/>
                <w:kern w:val="0"/>
                <w:sz w:val="24"/>
                <w:szCs w:val="24"/>
              </w:rPr>
              <w:lastRenderedPageBreak/>
              <w:t>公</w:t>
            </w:r>
            <w:r w:rsidRPr="00A13972">
              <w:rPr>
                <w:rFonts w:hAnsi="標楷體"/>
                <w:kern w:val="0"/>
                <w:sz w:val="24"/>
                <w:szCs w:val="24"/>
              </w:rPr>
              <w:t>噸處理廢棄物須再回運0.05</w:t>
            </w:r>
            <w:r w:rsidR="00B0272D" w:rsidRPr="00A13972">
              <w:rPr>
                <w:rFonts w:hAnsi="標楷體" w:hint="eastAsia"/>
                <w:kern w:val="0"/>
                <w:sz w:val="24"/>
                <w:szCs w:val="24"/>
              </w:rPr>
              <w:t>公</w:t>
            </w:r>
            <w:r w:rsidRPr="00A13972">
              <w:rPr>
                <w:rFonts w:hAnsi="標楷體"/>
                <w:kern w:val="0"/>
                <w:sz w:val="24"/>
                <w:szCs w:val="24"/>
              </w:rPr>
              <w:t>噸飛灰穩定化物。</w:t>
            </w:r>
          </w:p>
        </w:tc>
        <w:tc>
          <w:tcPr>
            <w:tcW w:w="3119" w:type="dxa"/>
            <w:tcBorders>
              <w:top w:val="nil"/>
              <w:left w:val="nil"/>
              <w:bottom w:val="single" w:sz="8" w:space="0" w:color="auto"/>
              <w:right w:val="single" w:sz="4" w:space="0" w:color="auto"/>
            </w:tcBorders>
            <w:shd w:val="clear" w:color="auto" w:fill="auto"/>
            <w:vAlign w:val="center"/>
            <w:hideMark/>
          </w:tcPr>
          <w:p w:rsidR="0070436C" w:rsidRPr="00A13972" w:rsidRDefault="0070436C" w:rsidP="007A062C">
            <w:pPr>
              <w:widowControl/>
              <w:rPr>
                <w:rFonts w:hAnsi="標楷體"/>
                <w:kern w:val="0"/>
                <w:sz w:val="24"/>
                <w:szCs w:val="24"/>
              </w:rPr>
            </w:pPr>
            <w:r w:rsidRPr="00A13972">
              <w:rPr>
                <w:rFonts w:hAnsi="標楷體"/>
                <w:kern w:val="0"/>
                <w:sz w:val="24"/>
                <w:szCs w:val="24"/>
              </w:rPr>
              <w:lastRenderedPageBreak/>
              <w:t>1,700~5,000元/噸，其中：</w:t>
            </w:r>
          </w:p>
          <w:p w:rsidR="0070436C" w:rsidRPr="00A13972" w:rsidRDefault="0070436C" w:rsidP="007A062C">
            <w:pPr>
              <w:widowControl/>
              <w:ind w:leftChars="27" w:left="383" w:hangingChars="112" w:hanging="291"/>
              <w:rPr>
                <w:rFonts w:hAnsi="標楷體"/>
                <w:kern w:val="0"/>
                <w:sz w:val="24"/>
                <w:szCs w:val="24"/>
              </w:rPr>
            </w:pPr>
            <w:r w:rsidRPr="00A13972">
              <w:rPr>
                <w:rFonts w:hAnsi="標楷體" w:hint="eastAsia"/>
                <w:kern w:val="0"/>
                <w:sz w:val="24"/>
                <w:szCs w:val="24"/>
              </w:rPr>
              <w:t>1.</w:t>
            </w:r>
            <w:r w:rsidRPr="00A13972">
              <w:rPr>
                <w:rFonts w:hAnsi="標楷體"/>
                <w:kern w:val="0"/>
                <w:sz w:val="24"/>
                <w:szCs w:val="24"/>
              </w:rPr>
              <w:t>屏東縣一般事業廢棄物1,700元/公噸(含回饋金)。</w:t>
            </w:r>
          </w:p>
          <w:p w:rsidR="0070436C" w:rsidRPr="00A13972" w:rsidRDefault="0070436C" w:rsidP="007A062C">
            <w:pPr>
              <w:widowControl/>
              <w:ind w:leftChars="27" w:left="383" w:hangingChars="112" w:hanging="291"/>
              <w:rPr>
                <w:rFonts w:hAnsi="標楷體"/>
                <w:kern w:val="0"/>
                <w:sz w:val="24"/>
                <w:szCs w:val="24"/>
              </w:rPr>
            </w:pPr>
            <w:r w:rsidRPr="00A13972">
              <w:rPr>
                <w:rFonts w:hAnsi="標楷體" w:hint="eastAsia"/>
                <w:kern w:val="0"/>
                <w:sz w:val="24"/>
                <w:szCs w:val="24"/>
              </w:rPr>
              <w:t>2.</w:t>
            </w:r>
            <w:r w:rsidRPr="00A13972">
              <w:rPr>
                <w:rFonts w:hAnsi="標楷體"/>
                <w:kern w:val="0"/>
                <w:sz w:val="24"/>
                <w:szCs w:val="24"/>
              </w:rPr>
              <w:t>屏東縣一般事業廢棄物2,700元/公噸(屏東縣收受外縣市)。</w:t>
            </w:r>
          </w:p>
          <w:p w:rsidR="0070436C" w:rsidRPr="00A13972" w:rsidRDefault="0070436C" w:rsidP="007A062C">
            <w:pPr>
              <w:widowControl/>
              <w:ind w:leftChars="27" w:left="383" w:hangingChars="112" w:hanging="291"/>
              <w:rPr>
                <w:rFonts w:hAnsi="標楷體"/>
                <w:kern w:val="0"/>
                <w:sz w:val="24"/>
                <w:szCs w:val="24"/>
              </w:rPr>
            </w:pPr>
            <w:r w:rsidRPr="00A13972">
              <w:rPr>
                <w:rFonts w:hAnsi="標楷體" w:hint="eastAsia"/>
                <w:kern w:val="0"/>
                <w:sz w:val="24"/>
                <w:szCs w:val="24"/>
              </w:rPr>
              <w:t>3.</w:t>
            </w:r>
            <w:r w:rsidRPr="00A13972">
              <w:rPr>
                <w:rFonts w:hAnsi="標楷體"/>
                <w:kern w:val="0"/>
                <w:sz w:val="24"/>
                <w:szCs w:val="24"/>
              </w:rPr>
              <w:t>屏東縣轄機動車輛回收</w:t>
            </w:r>
            <w:r w:rsidRPr="00A13972">
              <w:rPr>
                <w:rFonts w:hAnsi="標楷體"/>
                <w:kern w:val="0"/>
                <w:sz w:val="24"/>
                <w:szCs w:val="24"/>
              </w:rPr>
              <w:lastRenderedPageBreak/>
              <w:t>處理業產生之一般事業廢棄物3,200元/公噸。</w:t>
            </w:r>
          </w:p>
          <w:p w:rsidR="0070436C" w:rsidRPr="00A13972" w:rsidRDefault="0070436C" w:rsidP="007A062C">
            <w:pPr>
              <w:widowControl/>
              <w:ind w:leftChars="27" w:left="383" w:hangingChars="112" w:hanging="291"/>
              <w:rPr>
                <w:rFonts w:hAnsi="標楷體"/>
                <w:kern w:val="0"/>
                <w:sz w:val="24"/>
                <w:szCs w:val="24"/>
              </w:rPr>
            </w:pPr>
            <w:r w:rsidRPr="00A13972">
              <w:rPr>
                <w:rFonts w:hAnsi="標楷體" w:hint="eastAsia"/>
                <w:kern w:val="0"/>
                <w:sz w:val="24"/>
                <w:szCs w:val="24"/>
              </w:rPr>
              <w:t>4.</w:t>
            </w:r>
            <w:r w:rsidRPr="00A13972">
              <w:rPr>
                <w:rFonts w:hAnsi="標楷體"/>
                <w:kern w:val="0"/>
                <w:sz w:val="24"/>
                <w:szCs w:val="24"/>
              </w:rPr>
              <w:t>外縣市機動車輛回收處理業產生之一般事業廢棄物3,800元/公噸。</w:t>
            </w:r>
          </w:p>
          <w:p w:rsidR="0070436C" w:rsidRPr="00A13972" w:rsidRDefault="0070436C" w:rsidP="007A062C">
            <w:pPr>
              <w:widowControl/>
              <w:ind w:leftChars="27" w:left="383" w:hangingChars="112" w:hanging="291"/>
              <w:rPr>
                <w:rFonts w:hAnsi="標楷體"/>
                <w:kern w:val="0"/>
                <w:sz w:val="24"/>
                <w:szCs w:val="24"/>
              </w:rPr>
            </w:pPr>
            <w:r w:rsidRPr="00A13972">
              <w:rPr>
                <w:rFonts w:hAnsi="標楷體" w:hint="eastAsia"/>
                <w:kern w:val="0"/>
                <w:sz w:val="24"/>
                <w:szCs w:val="24"/>
              </w:rPr>
              <w:t>5.</w:t>
            </w:r>
            <w:r w:rsidRPr="00A13972">
              <w:rPr>
                <w:rFonts w:hAnsi="標楷體"/>
                <w:kern w:val="0"/>
                <w:sz w:val="24"/>
                <w:szCs w:val="24"/>
              </w:rPr>
              <w:t>產源不明之一般事業廢棄物5,000元/公噸。</w:t>
            </w:r>
          </w:p>
        </w:tc>
      </w:tr>
    </w:tbl>
    <w:p w:rsidR="0070436C" w:rsidRPr="00A13972" w:rsidRDefault="0070436C" w:rsidP="0070436C">
      <w:pPr>
        <w:pStyle w:val="3"/>
        <w:numPr>
          <w:ilvl w:val="0"/>
          <w:numId w:val="0"/>
        </w:numPr>
        <w:rPr>
          <w:rFonts w:hAnsi="標楷體"/>
          <w:bCs w:val="0"/>
          <w:kern w:val="0"/>
          <w:sz w:val="24"/>
          <w:szCs w:val="24"/>
        </w:rPr>
      </w:pPr>
      <w:r w:rsidRPr="00A13972">
        <w:rPr>
          <w:rFonts w:hAnsi="標楷體"/>
          <w:sz w:val="24"/>
          <w:szCs w:val="24"/>
        </w:rPr>
        <w:lastRenderedPageBreak/>
        <w:t>資料</w:t>
      </w:r>
      <w:r w:rsidRPr="00A13972">
        <w:rPr>
          <w:sz w:val="24"/>
          <w:szCs w:val="24"/>
        </w:rPr>
        <w:t>來源：</w:t>
      </w:r>
      <w:r w:rsidRPr="00A13972">
        <w:rPr>
          <w:rFonts w:hint="eastAsia"/>
          <w:sz w:val="24"/>
          <w:szCs w:val="24"/>
        </w:rPr>
        <w:t>環保</w:t>
      </w:r>
      <w:r w:rsidRPr="00A13972">
        <w:rPr>
          <w:sz w:val="24"/>
          <w:szCs w:val="24"/>
        </w:rPr>
        <w:t>署</w:t>
      </w:r>
      <w:r w:rsidRPr="00A13972">
        <w:rPr>
          <w:rFonts w:hint="eastAsia"/>
          <w:sz w:val="24"/>
          <w:szCs w:val="24"/>
        </w:rPr>
        <w:t>提供。</w:t>
      </w:r>
    </w:p>
    <w:p w:rsidR="007B629D" w:rsidRPr="00A13972" w:rsidRDefault="000C011E" w:rsidP="007B629D">
      <w:pPr>
        <w:pStyle w:val="3"/>
      </w:pPr>
      <w:r w:rsidRPr="00A13972">
        <w:rPr>
          <w:rFonts w:hAnsi="標楷體" w:hint="eastAsia"/>
          <w:kern w:val="0"/>
          <w:szCs w:val="24"/>
        </w:rPr>
        <w:t>再查，國內24座大型焚化廠焚燒一般事業廢棄物所產生之飛灰、底渣</w:t>
      </w:r>
      <w:r w:rsidR="007B629D" w:rsidRPr="00A13972">
        <w:rPr>
          <w:rFonts w:hAnsi="標楷體" w:hint="eastAsia"/>
          <w:kern w:val="0"/>
          <w:szCs w:val="24"/>
        </w:rPr>
        <w:t>，後續處理方式</w:t>
      </w:r>
      <w:r w:rsidR="00C15D30" w:rsidRPr="00A13972">
        <w:rPr>
          <w:rFonts w:hAnsi="標楷體" w:hint="eastAsia"/>
          <w:kern w:val="0"/>
          <w:szCs w:val="24"/>
        </w:rPr>
        <w:t>係</w:t>
      </w:r>
      <w:r w:rsidR="007B629D" w:rsidRPr="00A13972">
        <w:rPr>
          <w:rFonts w:hAnsi="標楷體" w:hint="eastAsia"/>
          <w:kern w:val="0"/>
          <w:szCs w:val="24"/>
        </w:rPr>
        <w:t>交</w:t>
      </w:r>
      <w:r w:rsidR="00C15D30" w:rsidRPr="00A13972">
        <w:rPr>
          <w:rFonts w:hAnsi="標楷體" w:hint="eastAsia"/>
          <w:kern w:val="0"/>
          <w:szCs w:val="24"/>
        </w:rPr>
        <w:t>由政府負責與</w:t>
      </w:r>
      <w:r w:rsidR="006C6312" w:rsidRPr="00A13972">
        <w:rPr>
          <w:rFonts w:hAnsi="標楷體" w:hint="eastAsia"/>
          <w:kern w:val="0"/>
          <w:szCs w:val="24"/>
        </w:rPr>
        <w:t>公有掩埋場進行最終</w:t>
      </w:r>
      <w:r w:rsidR="00C15D30" w:rsidRPr="00A13972">
        <w:rPr>
          <w:rFonts w:hAnsi="標楷體" w:hint="eastAsia"/>
          <w:kern w:val="0"/>
          <w:szCs w:val="24"/>
        </w:rPr>
        <w:t>處理，無須支</w:t>
      </w:r>
      <w:r w:rsidR="006C6312" w:rsidRPr="00A13972">
        <w:rPr>
          <w:rFonts w:hAnsi="標楷體" w:hint="eastAsia"/>
          <w:kern w:val="0"/>
          <w:szCs w:val="24"/>
        </w:rPr>
        <w:t>付</w:t>
      </w:r>
      <w:r w:rsidR="00C15D30" w:rsidRPr="00A13972">
        <w:rPr>
          <w:rFonts w:hAnsi="標楷體" w:hint="eastAsia"/>
          <w:kern w:val="0"/>
          <w:szCs w:val="24"/>
        </w:rPr>
        <w:t>額外成本</w:t>
      </w:r>
      <w:r w:rsidR="007B629D" w:rsidRPr="00A13972">
        <w:rPr>
          <w:rFonts w:hAnsi="標楷體" w:hint="eastAsia"/>
          <w:kern w:val="0"/>
          <w:szCs w:val="24"/>
        </w:rPr>
        <w:t>；而</w:t>
      </w:r>
      <w:r w:rsidR="00C15D30" w:rsidRPr="00A13972">
        <w:rPr>
          <w:rFonts w:hAnsi="標楷體" w:hint="eastAsia"/>
          <w:kern w:val="0"/>
          <w:szCs w:val="24"/>
        </w:rPr>
        <w:t>公民營廢棄物焚化機構或自設</w:t>
      </w:r>
      <w:r w:rsidR="00434348" w:rsidRPr="00A13972">
        <w:rPr>
          <w:rFonts w:hAnsi="標楷體" w:hint="eastAsia"/>
          <w:kern w:val="0"/>
          <w:szCs w:val="24"/>
        </w:rPr>
        <w:t>固態再生燃料（</w:t>
      </w:r>
      <w:r w:rsidR="00434348" w:rsidRPr="00A13972">
        <w:rPr>
          <w:rFonts w:hAnsi="標楷體"/>
          <w:kern w:val="0"/>
          <w:szCs w:val="24"/>
        </w:rPr>
        <w:t>Solid Recovered Fuel</w:t>
      </w:r>
      <w:r w:rsidR="00434348" w:rsidRPr="00A13972">
        <w:rPr>
          <w:rFonts w:hAnsi="標楷體" w:hint="eastAsia"/>
          <w:kern w:val="0"/>
          <w:szCs w:val="24"/>
        </w:rPr>
        <w:t>，簡稱</w:t>
      </w:r>
      <w:r w:rsidR="00434348" w:rsidRPr="00A13972">
        <w:rPr>
          <w:rFonts w:hAnsi="標楷體"/>
          <w:kern w:val="0"/>
          <w:szCs w:val="24"/>
        </w:rPr>
        <w:t>SRF</w:t>
      </w:r>
      <w:r w:rsidR="00434348" w:rsidRPr="00A13972">
        <w:rPr>
          <w:rFonts w:hAnsi="標楷體" w:hint="eastAsia"/>
          <w:kern w:val="0"/>
          <w:szCs w:val="24"/>
        </w:rPr>
        <w:t>）汽電共生廠</w:t>
      </w:r>
      <w:r w:rsidR="00C15D30" w:rsidRPr="00A13972">
        <w:rPr>
          <w:rFonts w:hAnsi="標楷體" w:hint="eastAsia"/>
          <w:kern w:val="0"/>
          <w:szCs w:val="24"/>
        </w:rPr>
        <w:t>焚燒一般事業廢棄物所產生之飛灰、底渣，則</w:t>
      </w:r>
      <w:r w:rsidR="0054794F" w:rsidRPr="00A13972">
        <w:rPr>
          <w:rFonts w:hAnsi="標楷體" w:hint="eastAsia"/>
          <w:kern w:val="0"/>
          <w:szCs w:val="24"/>
        </w:rPr>
        <w:t>須</w:t>
      </w:r>
      <w:r w:rsidR="007B629D" w:rsidRPr="00A13972">
        <w:rPr>
          <w:rFonts w:hAnsi="標楷體" w:hint="eastAsia"/>
          <w:kern w:val="0"/>
          <w:szCs w:val="24"/>
        </w:rPr>
        <w:t>自費處理，</w:t>
      </w:r>
      <w:r w:rsidR="00C15D30" w:rsidRPr="00A13972">
        <w:rPr>
          <w:rFonts w:hAnsi="標楷體" w:hint="eastAsia"/>
          <w:kern w:val="0"/>
          <w:szCs w:val="24"/>
        </w:rPr>
        <w:t>因此</w:t>
      </w:r>
      <w:r w:rsidR="007B629D" w:rsidRPr="00A13972">
        <w:rPr>
          <w:rFonts w:hAnsi="標楷體" w:hint="eastAsia"/>
          <w:kern w:val="0"/>
          <w:szCs w:val="24"/>
        </w:rPr>
        <w:t>提高</w:t>
      </w:r>
      <w:r w:rsidR="00C15D30" w:rsidRPr="00A13972">
        <w:rPr>
          <w:rFonts w:hAnsi="標楷體" w:hint="eastAsia"/>
          <w:kern w:val="0"/>
          <w:szCs w:val="24"/>
        </w:rPr>
        <w:t>公民營廢棄物焚化機構</w:t>
      </w:r>
      <w:r w:rsidR="006C6312" w:rsidRPr="00A13972">
        <w:rPr>
          <w:rFonts w:hAnsi="標楷體" w:hint="eastAsia"/>
          <w:kern w:val="0"/>
          <w:szCs w:val="24"/>
        </w:rPr>
        <w:t>或自設</w:t>
      </w:r>
      <w:r w:rsidR="006C6312" w:rsidRPr="00A13972">
        <w:rPr>
          <w:rFonts w:hAnsi="標楷體"/>
          <w:kern w:val="0"/>
          <w:szCs w:val="24"/>
        </w:rPr>
        <w:t>SRF</w:t>
      </w:r>
      <w:r w:rsidR="00434348" w:rsidRPr="00A13972">
        <w:rPr>
          <w:rFonts w:hAnsi="標楷體" w:hint="eastAsia"/>
          <w:kern w:val="0"/>
          <w:szCs w:val="24"/>
        </w:rPr>
        <w:t>汽電共生廠</w:t>
      </w:r>
      <w:r w:rsidR="007B629D" w:rsidRPr="00A13972">
        <w:rPr>
          <w:rFonts w:hAnsi="標楷體" w:hint="eastAsia"/>
          <w:kern w:val="0"/>
          <w:szCs w:val="24"/>
        </w:rPr>
        <w:t>每</w:t>
      </w:r>
      <w:r w:rsidR="00B0272D" w:rsidRPr="00A13972">
        <w:rPr>
          <w:rFonts w:hAnsi="標楷體" w:hint="eastAsia"/>
          <w:kern w:val="0"/>
          <w:szCs w:val="24"/>
        </w:rPr>
        <w:t>公</w:t>
      </w:r>
      <w:r w:rsidR="007B629D" w:rsidRPr="00A13972">
        <w:rPr>
          <w:rFonts w:hAnsi="標楷體" w:hint="eastAsia"/>
          <w:kern w:val="0"/>
          <w:szCs w:val="24"/>
        </w:rPr>
        <w:t>噸垃圾收受處理費用，</w:t>
      </w:r>
      <w:r w:rsidR="006C6312" w:rsidRPr="00A13972">
        <w:rPr>
          <w:rFonts w:hAnsi="標楷體" w:hint="eastAsia"/>
          <w:kern w:val="0"/>
          <w:szCs w:val="24"/>
        </w:rPr>
        <w:t>導致</w:t>
      </w:r>
      <w:r w:rsidR="00C15D30" w:rsidRPr="00A13972">
        <w:rPr>
          <w:rFonts w:hAnsi="標楷體" w:hint="eastAsia"/>
          <w:kern w:val="0"/>
          <w:szCs w:val="24"/>
        </w:rPr>
        <w:t>其</w:t>
      </w:r>
      <w:r w:rsidR="007B629D" w:rsidRPr="00A13972">
        <w:rPr>
          <w:rFonts w:hAnsi="標楷體" w:hint="eastAsia"/>
          <w:kern w:val="0"/>
          <w:szCs w:val="24"/>
        </w:rPr>
        <w:t>市場競爭性</w:t>
      </w:r>
      <w:r w:rsidR="006C6312" w:rsidRPr="00A13972">
        <w:rPr>
          <w:rFonts w:hAnsi="標楷體" w:hint="eastAsia"/>
          <w:kern w:val="0"/>
          <w:szCs w:val="24"/>
        </w:rPr>
        <w:t>降低</w:t>
      </w:r>
      <w:r w:rsidR="007B629D" w:rsidRPr="00A13972">
        <w:rPr>
          <w:rFonts w:hAnsi="標楷體" w:hint="eastAsia"/>
          <w:kern w:val="0"/>
          <w:szCs w:val="24"/>
        </w:rPr>
        <w:t>。</w:t>
      </w:r>
    </w:p>
    <w:p w:rsidR="000C011E" w:rsidRPr="00A13972" w:rsidRDefault="00C15D30" w:rsidP="007B629D">
      <w:pPr>
        <w:pStyle w:val="3"/>
      </w:pPr>
      <w:r w:rsidRPr="00A13972">
        <w:rPr>
          <w:rFonts w:hAnsi="標楷體" w:hint="eastAsia"/>
          <w:kern w:val="0"/>
          <w:szCs w:val="24"/>
        </w:rPr>
        <w:t>綜上，</w:t>
      </w:r>
      <w:r w:rsidR="009D09B6" w:rsidRPr="00A13972">
        <w:rPr>
          <w:rFonts w:hAnsi="標楷體" w:hint="eastAsia"/>
          <w:bCs w:val="0"/>
          <w:szCs w:val="32"/>
        </w:rPr>
        <w:t>國內24座大型焚化廠焚燒垃圾所產生之飛灰、底渣係由政府負責，交予公有掩埋場進行最終處理，部分成本已由公部門吸收，故其收費相對低廉，加以部分地方政府受託代為清除一般事業廢棄物，未能確實反映成本，收費甚至低於其他18家公民營廢棄物焚化廠，以致國內一般事業廢棄物責任業者為節省成本，多設法委由24座大型焚化廠處理，形成不公平競爭。政府允宜協助建立全國性之焚化爐飛灰、底渣聯合處理機制，以健全一般事業廢棄物處理體系。</w:t>
      </w:r>
    </w:p>
    <w:p w:rsidR="00277980" w:rsidRPr="00A13972" w:rsidRDefault="0054794F" w:rsidP="00907DB1">
      <w:pPr>
        <w:pStyle w:val="2"/>
      </w:pPr>
      <w:r w:rsidRPr="00A13972">
        <w:rPr>
          <w:rFonts w:hAnsi="標楷體" w:hint="eastAsia"/>
          <w:b/>
          <w:bCs w:val="0"/>
          <w:szCs w:val="32"/>
        </w:rPr>
        <w:t>隨著</w:t>
      </w:r>
      <w:r w:rsidR="00277980" w:rsidRPr="00A13972">
        <w:rPr>
          <w:rFonts w:hAnsi="標楷體" w:hint="eastAsia"/>
          <w:b/>
          <w:bCs w:val="0"/>
          <w:szCs w:val="32"/>
        </w:rPr>
        <w:t>24座大型焚化廠運轉年數增加，備品取得不易、妥善率降低及維修成本</w:t>
      </w:r>
      <w:r w:rsidRPr="00A13972">
        <w:rPr>
          <w:rFonts w:hAnsi="標楷體" w:hint="eastAsia"/>
          <w:b/>
          <w:bCs w:val="0"/>
          <w:szCs w:val="32"/>
        </w:rPr>
        <w:t>上昇</w:t>
      </w:r>
      <w:r w:rsidR="00277980" w:rsidRPr="00A13972">
        <w:rPr>
          <w:rFonts w:hAnsi="標楷體" w:hint="eastAsia"/>
          <w:b/>
          <w:bCs w:val="0"/>
          <w:szCs w:val="32"/>
        </w:rPr>
        <w:t>等因素，處理量能逐年下降，加上大型焚化廠設計熱值約</w:t>
      </w:r>
      <w:r w:rsidR="00277980" w:rsidRPr="00A13972">
        <w:rPr>
          <w:rFonts w:hAnsi="標楷體"/>
          <w:b/>
          <w:bCs w:val="0"/>
          <w:szCs w:val="32"/>
        </w:rPr>
        <w:t>2,300</w:t>
      </w:r>
      <w:r w:rsidR="00277980" w:rsidRPr="00A13972">
        <w:rPr>
          <w:rFonts w:hAnsi="標楷體" w:hint="eastAsia"/>
          <w:b/>
          <w:bCs w:val="0"/>
          <w:szCs w:val="32"/>
        </w:rPr>
        <w:t>至</w:t>
      </w:r>
      <w:r w:rsidR="00277980" w:rsidRPr="00A13972">
        <w:rPr>
          <w:rFonts w:hAnsi="標楷體"/>
          <w:b/>
          <w:bCs w:val="0"/>
          <w:szCs w:val="32"/>
        </w:rPr>
        <w:t>2,500</w:t>
      </w:r>
      <w:r w:rsidR="00277980" w:rsidRPr="00A13972">
        <w:rPr>
          <w:rFonts w:hAnsi="標楷體" w:hint="eastAsia"/>
          <w:b/>
          <w:bCs w:val="0"/>
          <w:szCs w:val="32"/>
        </w:rPr>
        <w:t>仟卡，</w:t>
      </w:r>
      <w:r w:rsidR="00277980" w:rsidRPr="00A13972">
        <w:rPr>
          <w:rFonts w:hAnsi="標楷體" w:hint="eastAsia"/>
          <w:b/>
          <w:bCs w:val="0"/>
          <w:szCs w:val="32"/>
        </w:rPr>
        <w:lastRenderedPageBreak/>
        <w:t>持續收受燃燒高熱值(</w:t>
      </w:r>
      <w:r w:rsidR="00277980" w:rsidRPr="00A13972">
        <w:rPr>
          <w:rFonts w:hAnsi="標楷體"/>
          <w:b/>
          <w:bCs w:val="0"/>
          <w:szCs w:val="32"/>
        </w:rPr>
        <w:t>3,000</w:t>
      </w:r>
      <w:r w:rsidR="00277980" w:rsidRPr="00A13972">
        <w:rPr>
          <w:rFonts w:hAnsi="標楷體" w:hint="eastAsia"/>
          <w:b/>
          <w:bCs w:val="0"/>
          <w:szCs w:val="32"/>
        </w:rPr>
        <w:t>仟卡以上)之事業廢棄物，恐對爐體造成損壞，不利大型焚化廠正常運作</w:t>
      </w:r>
      <w:r w:rsidR="008C5AA3" w:rsidRPr="00A13972">
        <w:rPr>
          <w:rFonts w:hAnsi="標楷體" w:hint="eastAsia"/>
          <w:b/>
          <w:bCs w:val="0"/>
          <w:szCs w:val="32"/>
        </w:rPr>
        <w:t>。</w:t>
      </w:r>
      <w:r w:rsidR="00277980" w:rsidRPr="00A13972">
        <w:rPr>
          <w:rFonts w:hAnsi="標楷體" w:hint="eastAsia"/>
          <w:b/>
          <w:bCs w:val="0"/>
          <w:szCs w:val="32"/>
        </w:rPr>
        <w:t>環保署亟應正視上開問題，妥謀解決對策</w:t>
      </w:r>
      <w:r w:rsidR="008C5AA3" w:rsidRPr="00A13972">
        <w:rPr>
          <w:rFonts w:hAnsi="標楷體" w:hint="eastAsia"/>
          <w:b/>
          <w:bCs w:val="0"/>
          <w:szCs w:val="32"/>
        </w:rPr>
        <w:t>，並於發包時</w:t>
      </w:r>
      <w:r w:rsidR="00AD285B" w:rsidRPr="00A13972">
        <w:rPr>
          <w:rFonts w:hAnsi="標楷體" w:hint="eastAsia"/>
          <w:b/>
          <w:bCs w:val="0"/>
          <w:szCs w:val="32"/>
        </w:rPr>
        <w:t>評估</w:t>
      </w:r>
      <w:r w:rsidR="008C5AA3" w:rsidRPr="00A13972">
        <w:rPr>
          <w:rFonts w:hAnsi="標楷體" w:hint="eastAsia"/>
          <w:b/>
          <w:bCs w:val="0"/>
          <w:szCs w:val="32"/>
        </w:rPr>
        <w:t>計</w:t>
      </w:r>
      <w:r w:rsidR="00AD285B" w:rsidRPr="00A13972">
        <w:rPr>
          <w:rFonts w:hAnsi="標楷體" w:hint="eastAsia"/>
          <w:b/>
          <w:bCs w:val="0"/>
          <w:szCs w:val="32"/>
        </w:rPr>
        <w:t>算</w:t>
      </w:r>
      <w:r w:rsidR="008C5AA3" w:rsidRPr="00A13972">
        <w:rPr>
          <w:rFonts w:hAnsi="標楷體" w:hint="eastAsia"/>
          <w:b/>
          <w:bCs w:val="0"/>
          <w:szCs w:val="32"/>
        </w:rPr>
        <w:t>內部報酬率（I</w:t>
      </w:r>
      <w:r w:rsidR="008C5AA3" w:rsidRPr="00A13972">
        <w:rPr>
          <w:rFonts w:hAnsi="標楷體"/>
          <w:b/>
          <w:bCs w:val="0"/>
          <w:szCs w:val="32"/>
        </w:rPr>
        <w:t xml:space="preserve">nternal </w:t>
      </w:r>
      <w:r w:rsidR="008C5AA3" w:rsidRPr="00A13972">
        <w:rPr>
          <w:rFonts w:hAnsi="標楷體" w:hint="eastAsia"/>
          <w:b/>
          <w:bCs w:val="0"/>
          <w:szCs w:val="32"/>
        </w:rPr>
        <w:t>R</w:t>
      </w:r>
      <w:r w:rsidR="008C5AA3" w:rsidRPr="00A13972">
        <w:rPr>
          <w:rFonts w:hAnsi="標楷體"/>
          <w:b/>
          <w:bCs w:val="0"/>
          <w:szCs w:val="32"/>
        </w:rPr>
        <w:t xml:space="preserve">ate of </w:t>
      </w:r>
      <w:r w:rsidR="008C5AA3" w:rsidRPr="00A13972">
        <w:rPr>
          <w:rFonts w:hAnsi="標楷體" w:hint="eastAsia"/>
          <w:b/>
          <w:bCs w:val="0"/>
          <w:szCs w:val="32"/>
        </w:rPr>
        <w:t>R</w:t>
      </w:r>
      <w:r w:rsidR="008C5AA3" w:rsidRPr="00A13972">
        <w:rPr>
          <w:rFonts w:hAnsi="標楷體"/>
          <w:b/>
          <w:bCs w:val="0"/>
          <w:szCs w:val="32"/>
        </w:rPr>
        <w:t>eturn</w:t>
      </w:r>
      <w:r w:rsidR="008C5AA3" w:rsidRPr="00A13972">
        <w:rPr>
          <w:rFonts w:hAnsi="標楷體" w:hint="eastAsia"/>
          <w:b/>
          <w:bCs w:val="0"/>
          <w:szCs w:val="32"/>
        </w:rPr>
        <w:t>，</w:t>
      </w:r>
      <w:r w:rsidR="008C5AA3" w:rsidRPr="00A13972">
        <w:rPr>
          <w:rFonts w:hAnsi="標楷體"/>
          <w:b/>
          <w:bCs w:val="0"/>
          <w:szCs w:val="32"/>
        </w:rPr>
        <w:t>IRR</w:t>
      </w:r>
      <w:r w:rsidR="008C5AA3" w:rsidRPr="00A13972">
        <w:rPr>
          <w:rFonts w:hAnsi="標楷體" w:hint="eastAsia"/>
          <w:b/>
          <w:bCs w:val="0"/>
          <w:szCs w:val="32"/>
        </w:rPr>
        <w:t>），使</w:t>
      </w:r>
      <w:r w:rsidR="00AD285B" w:rsidRPr="00A13972">
        <w:rPr>
          <w:rFonts w:hAnsi="標楷體" w:hint="eastAsia"/>
          <w:b/>
          <w:bCs w:val="0"/>
          <w:szCs w:val="32"/>
        </w:rPr>
        <w:t>超額利潤</w:t>
      </w:r>
      <w:r w:rsidR="008C5AA3" w:rsidRPr="00A13972">
        <w:rPr>
          <w:rFonts w:hAnsi="標楷體" w:hint="eastAsia"/>
          <w:b/>
          <w:bCs w:val="0"/>
          <w:szCs w:val="32"/>
        </w:rPr>
        <w:t>回歸政府</w:t>
      </w:r>
      <w:r w:rsidR="00AD285B" w:rsidRPr="00A13972">
        <w:rPr>
          <w:rFonts w:hAnsi="標楷體" w:hint="eastAsia"/>
          <w:b/>
          <w:bCs w:val="0"/>
          <w:szCs w:val="32"/>
        </w:rPr>
        <w:t>，</w:t>
      </w:r>
      <w:r w:rsidR="00AE111F" w:rsidRPr="00A13972">
        <w:rPr>
          <w:rFonts w:hAnsi="標楷體" w:hint="eastAsia"/>
          <w:b/>
          <w:bCs w:val="0"/>
          <w:szCs w:val="32"/>
        </w:rPr>
        <w:t>供</w:t>
      </w:r>
      <w:r w:rsidR="00AD285B" w:rsidRPr="00A13972">
        <w:rPr>
          <w:rFonts w:hAnsi="標楷體" w:hint="eastAsia"/>
          <w:b/>
          <w:bCs w:val="0"/>
          <w:szCs w:val="32"/>
        </w:rPr>
        <w:t>作</w:t>
      </w:r>
      <w:r w:rsidR="00907DB1" w:rsidRPr="00A13972">
        <w:rPr>
          <w:rFonts w:hAnsi="標楷體" w:hint="eastAsia"/>
          <w:b/>
          <w:bCs w:val="0"/>
          <w:szCs w:val="32"/>
        </w:rPr>
        <w:t>健全24座大型焚化廠正常運作之用。</w:t>
      </w:r>
    </w:p>
    <w:p w:rsidR="00AE111F" w:rsidRPr="00A13972" w:rsidRDefault="00765C03" w:rsidP="00765C03">
      <w:pPr>
        <w:pStyle w:val="3"/>
        <w:rPr>
          <w:b/>
          <w:szCs w:val="48"/>
        </w:rPr>
      </w:pPr>
      <w:r w:rsidRPr="00A13972">
        <w:rPr>
          <w:rFonts w:hAnsi="標楷體" w:hint="eastAsia"/>
          <w:kern w:val="0"/>
          <w:szCs w:val="24"/>
        </w:rPr>
        <w:t>查國內24座大型焚化廠每年垃圾處理量，</w:t>
      </w:r>
      <w:r w:rsidRPr="00A13972">
        <w:rPr>
          <w:szCs w:val="32"/>
        </w:rPr>
        <w:t>在各廠「原始(早期)」設計垃圾熱值</w:t>
      </w:r>
      <w:r w:rsidRPr="00A13972">
        <w:rPr>
          <w:rFonts w:hint="eastAsia"/>
          <w:szCs w:val="32"/>
        </w:rPr>
        <w:t>條件下，以設</w:t>
      </w:r>
      <w:r w:rsidRPr="00A13972">
        <w:rPr>
          <w:szCs w:val="32"/>
        </w:rPr>
        <w:t>計日處理量乘以365日所得</w:t>
      </w:r>
      <w:r w:rsidRPr="00A13972">
        <w:rPr>
          <w:rFonts w:hint="eastAsia"/>
          <w:szCs w:val="32"/>
        </w:rPr>
        <w:t>，其處理量為</w:t>
      </w:r>
      <w:r w:rsidRPr="00A13972">
        <w:rPr>
          <w:szCs w:val="32"/>
        </w:rPr>
        <w:t>900萬公噸</w:t>
      </w:r>
      <w:r w:rsidRPr="00A13972">
        <w:rPr>
          <w:rFonts w:hint="eastAsia"/>
          <w:szCs w:val="32"/>
        </w:rPr>
        <w:t>/年，然</w:t>
      </w:r>
      <w:r w:rsidRPr="00A13972">
        <w:rPr>
          <w:szCs w:val="32"/>
        </w:rPr>
        <w:t>實際運轉時，因垃圾熱值</w:t>
      </w:r>
      <w:r w:rsidRPr="00A13972">
        <w:rPr>
          <w:rFonts w:hint="eastAsia"/>
          <w:szCs w:val="32"/>
        </w:rPr>
        <w:t>提高造成處理量降低(但總處理效能</w:t>
      </w:r>
      <w:r w:rsidRPr="00A13972">
        <w:rPr>
          <w:rFonts w:hAnsi="標楷體" w:hint="eastAsia"/>
          <w:szCs w:val="32"/>
        </w:rPr>
        <w:t>【</w:t>
      </w:r>
      <w:r w:rsidRPr="00A13972">
        <w:rPr>
          <w:rFonts w:hint="eastAsia"/>
          <w:szCs w:val="32"/>
        </w:rPr>
        <w:t>熱值乘以處理量</w:t>
      </w:r>
      <w:r w:rsidRPr="00A13972">
        <w:rPr>
          <w:rFonts w:hAnsi="標楷體" w:hint="eastAsia"/>
          <w:szCs w:val="32"/>
        </w:rPr>
        <w:t>】</w:t>
      </w:r>
      <w:r w:rsidRPr="00A13972">
        <w:rPr>
          <w:rFonts w:hint="eastAsia"/>
          <w:szCs w:val="32"/>
        </w:rPr>
        <w:t>不變)，</w:t>
      </w:r>
      <w:r w:rsidRPr="00A13972">
        <w:rPr>
          <w:szCs w:val="32"/>
        </w:rPr>
        <w:t>運轉時間亦需考慮歲修停爐等多重必要因素</w:t>
      </w:r>
      <w:r w:rsidRPr="00A13972">
        <w:rPr>
          <w:rFonts w:hint="eastAsia"/>
          <w:szCs w:val="32"/>
        </w:rPr>
        <w:t>，實際運轉率平均約87%，故焚化設施目前合理之最大處理量約為680萬</w:t>
      </w:r>
      <w:r w:rsidR="00B0272D" w:rsidRPr="00A13972">
        <w:rPr>
          <w:rFonts w:hint="eastAsia"/>
          <w:szCs w:val="32"/>
        </w:rPr>
        <w:t>公</w:t>
      </w:r>
      <w:r w:rsidRPr="00A13972">
        <w:rPr>
          <w:rFonts w:hint="eastAsia"/>
          <w:szCs w:val="32"/>
        </w:rPr>
        <w:t>噸/年</w:t>
      </w:r>
      <w:r w:rsidRPr="00A13972">
        <w:rPr>
          <w:szCs w:val="32"/>
        </w:rPr>
        <w:t>。</w:t>
      </w:r>
    </w:p>
    <w:p w:rsidR="00765C03" w:rsidRPr="00320005" w:rsidRDefault="00765C03" w:rsidP="00765C03">
      <w:pPr>
        <w:pStyle w:val="3"/>
        <w:rPr>
          <w:b/>
          <w:szCs w:val="48"/>
        </w:rPr>
      </w:pPr>
      <w:r w:rsidRPr="00A13972">
        <w:rPr>
          <w:rFonts w:hint="eastAsia"/>
          <w:szCs w:val="32"/>
        </w:rPr>
        <w:t>根據</w:t>
      </w:r>
      <w:r w:rsidRPr="00A13972">
        <w:rPr>
          <w:rFonts w:hAnsi="標楷體"/>
          <w:kern w:val="0"/>
          <w:szCs w:val="32"/>
          <w:lang w:eastAsia="zh-HK"/>
        </w:rPr>
        <w:t>各環保機關申報資料</w:t>
      </w:r>
      <w:r w:rsidRPr="00A13972">
        <w:rPr>
          <w:rFonts w:hAnsi="標楷體" w:hint="eastAsia"/>
          <w:kern w:val="0"/>
          <w:szCs w:val="32"/>
        </w:rPr>
        <w:t>顯示</w:t>
      </w:r>
      <w:r w:rsidRPr="00A13972">
        <w:rPr>
          <w:rFonts w:hAnsi="標楷體"/>
          <w:kern w:val="0"/>
          <w:szCs w:val="32"/>
          <w:lang w:eastAsia="zh-HK"/>
        </w:rPr>
        <w:t>，108年國內24座大型焚化廠</w:t>
      </w:r>
      <w:r w:rsidRPr="00A13972">
        <w:rPr>
          <w:rFonts w:hAnsi="標楷體" w:hint="eastAsia"/>
          <w:kern w:val="0"/>
          <w:szCs w:val="32"/>
          <w:lang w:eastAsia="zh-HK"/>
        </w:rPr>
        <w:t>垃圾進場量共計6,530,080公噸，</w:t>
      </w:r>
      <w:r w:rsidR="0032239B" w:rsidRPr="00A13972">
        <w:rPr>
          <w:rFonts w:hAnsi="標楷體" w:hint="eastAsia"/>
          <w:kern w:val="0"/>
          <w:szCs w:val="32"/>
        </w:rPr>
        <w:t>而</w:t>
      </w:r>
      <w:r w:rsidRPr="00A13972">
        <w:rPr>
          <w:rFonts w:hAnsi="標楷體" w:hint="eastAsia"/>
          <w:kern w:val="0"/>
          <w:szCs w:val="32"/>
          <w:lang w:eastAsia="zh-HK"/>
        </w:rPr>
        <w:t>一般事業廢棄物</w:t>
      </w:r>
      <w:r w:rsidRPr="00A13972">
        <w:rPr>
          <w:rFonts w:hAnsi="標楷體" w:hint="eastAsia"/>
          <w:kern w:val="0"/>
          <w:szCs w:val="32"/>
        </w:rPr>
        <w:t>有</w:t>
      </w:r>
      <w:r w:rsidRPr="00A13972">
        <w:rPr>
          <w:rFonts w:hAnsi="標楷體" w:hint="eastAsia"/>
          <w:kern w:val="0"/>
          <w:szCs w:val="32"/>
          <w:lang w:eastAsia="zh-HK"/>
        </w:rPr>
        <w:t>1,713,372公噸</w:t>
      </w:r>
      <w:r w:rsidR="00AE111F" w:rsidRPr="00A13972">
        <w:rPr>
          <w:rStyle w:val="afe"/>
          <w:rFonts w:hAnsi="標楷體"/>
          <w:kern w:val="0"/>
          <w:szCs w:val="32"/>
          <w:lang w:eastAsia="zh-HK"/>
        </w:rPr>
        <w:footnoteReference w:id="4"/>
      </w:r>
      <w:r w:rsidRPr="00A13972">
        <w:rPr>
          <w:rFonts w:hAnsi="標楷體" w:hint="eastAsia"/>
          <w:kern w:val="0"/>
          <w:szCs w:val="32"/>
          <w:lang w:eastAsia="zh-HK"/>
        </w:rPr>
        <w:t>，</w:t>
      </w:r>
      <w:r w:rsidRPr="00A13972">
        <w:rPr>
          <w:rFonts w:hAnsi="標楷體" w:hint="eastAsia"/>
          <w:kern w:val="0"/>
          <w:szCs w:val="32"/>
        </w:rPr>
        <w:t>占總</w:t>
      </w:r>
      <w:r w:rsidRPr="00A13972">
        <w:rPr>
          <w:rFonts w:hAnsi="標楷體" w:hint="eastAsia"/>
          <w:kern w:val="0"/>
          <w:szCs w:val="32"/>
          <w:lang w:eastAsia="zh-HK"/>
        </w:rPr>
        <w:t>垃圾處理</w:t>
      </w:r>
      <w:r w:rsidRPr="00A13972">
        <w:rPr>
          <w:rFonts w:hAnsi="標楷體" w:hint="eastAsia"/>
          <w:kern w:val="0"/>
          <w:szCs w:val="32"/>
        </w:rPr>
        <w:t>之</w:t>
      </w:r>
      <w:r w:rsidRPr="00A13972">
        <w:rPr>
          <w:rFonts w:hAnsi="標楷體" w:hint="eastAsia"/>
          <w:kern w:val="0"/>
          <w:szCs w:val="32"/>
          <w:lang w:eastAsia="zh-HK"/>
        </w:rPr>
        <w:t>26.2％</w:t>
      </w:r>
      <w:r w:rsidR="0032239B" w:rsidRPr="00A13972">
        <w:rPr>
          <w:rFonts w:hAnsi="標楷體" w:hint="eastAsia"/>
          <w:kern w:val="0"/>
          <w:szCs w:val="32"/>
        </w:rPr>
        <w:t>，</w:t>
      </w:r>
      <w:r w:rsidR="0032239B" w:rsidRPr="00A13972">
        <w:rPr>
          <w:rFonts w:hAnsi="標楷體" w:hint="eastAsia"/>
          <w:kern w:val="0"/>
          <w:szCs w:val="32"/>
          <w:lang w:eastAsia="zh-HK"/>
        </w:rPr>
        <w:t>其中</w:t>
      </w:r>
      <w:r w:rsidRPr="00A13972">
        <w:rPr>
          <w:rFonts w:hAnsi="標楷體" w:hint="eastAsia"/>
          <w:kern w:val="0"/>
          <w:szCs w:val="32"/>
          <w:lang w:eastAsia="zh-HK"/>
        </w:rPr>
        <w:t>有5廠「一般事業廢棄物」進場量超過5成、2廠超過4成者</w:t>
      </w:r>
      <w:r w:rsidRPr="00A13972">
        <w:rPr>
          <w:rFonts w:hAnsi="標楷體" w:hint="eastAsia"/>
          <w:kern w:val="0"/>
          <w:szCs w:val="32"/>
        </w:rPr>
        <w:t>。</w:t>
      </w:r>
    </w:p>
    <w:p w:rsidR="00320005" w:rsidRDefault="00320005" w:rsidP="00320005">
      <w:pPr>
        <w:pStyle w:val="1"/>
        <w:numPr>
          <w:ilvl w:val="0"/>
          <w:numId w:val="0"/>
        </w:numPr>
        <w:ind w:left="2381" w:hanging="2381"/>
      </w:pPr>
    </w:p>
    <w:p w:rsidR="00320005" w:rsidRDefault="00320005" w:rsidP="00320005">
      <w:pPr>
        <w:pStyle w:val="1"/>
        <w:numPr>
          <w:ilvl w:val="0"/>
          <w:numId w:val="0"/>
        </w:numPr>
        <w:ind w:left="2381" w:hanging="2381"/>
      </w:pPr>
    </w:p>
    <w:p w:rsidR="00320005" w:rsidRDefault="00320005" w:rsidP="00320005">
      <w:pPr>
        <w:pStyle w:val="1"/>
        <w:numPr>
          <w:ilvl w:val="0"/>
          <w:numId w:val="0"/>
        </w:numPr>
        <w:ind w:left="2381" w:hanging="2381"/>
      </w:pPr>
    </w:p>
    <w:p w:rsidR="00320005" w:rsidRDefault="00320005" w:rsidP="00320005">
      <w:pPr>
        <w:pStyle w:val="1"/>
        <w:numPr>
          <w:ilvl w:val="0"/>
          <w:numId w:val="0"/>
        </w:numPr>
        <w:ind w:left="2381" w:hanging="2381"/>
      </w:pPr>
    </w:p>
    <w:p w:rsidR="00320005" w:rsidRDefault="00320005" w:rsidP="00320005">
      <w:pPr>
        <w:pStyle w:val="1"/>
        <w:numPr>
          <w:ilvl w:val="0"/>
          <w:numId w:val="0"/>
        </w:numPr>
        <w:ind w:left="2381" w:hanging="2381"/>
      </w:pPr>
    </w:p>
    <w:p w:rsidR="00320005" w:rsidRDefault="00320005" w:rsidP="00320005">
      <w:pPr>
        <w:pStyle w:val="1"/>
        <w:numPr>
          <w:ilvl w:val="0"/>
          <w:numId w:val="0"/>
        </w:numPr>
        <w:ind w:left="2381" w:hanging="2381"/>
      </w:pPr>
    </w:p>
    <w:p w:rsidR="00320005" w:rsidRPr="00A13972" w:rsidRDefault="00320005" w:rsidP="00320005">
      <w:pPr>
        <w:pStyle w:val="1"/>
        <w:numPr>
          <w:ilvl w:val="0"/>
          <w:numId w:val="0"/>
        </w:numPr>
        <w:ind w:left="2381" w:hanging="2381"/>
      </w:pPr>
    </w:p>
    <w:p w:rsidR="00765C03" w:rsidRPr="00A13972" w:rsidRDefault="00765C03" w:rsidP="00765C03">
      <w:pPr>
        <w:pStyle w:val="aff0"/>
        <w:jc w:val="center"/>
        <w:rPr>
          <w:rFonts w:hAnsi="標楷體"/>
          <w:bCs/>
          <w:kern w:val="0"/>
          <w:sz w:val="32"/>
          <w:szCs w:val="32"/>
          <w:lang w:eastAsia="zh-HK"/>
        </w:rPr>
      </w:pPr>
      <w:r w:rsidRPr="00A13972">
        <w:rPr>
          <w:rFonts w:hAnsi="標楷體" w:hint="eastAsia"/>
          <w:bCs/>
          <w:kern w:val="0"/>
          <w:sz w:val="32"/>
          <w:szCs w:val="32"/>
          <w:lang w:eastAsia="zh-HK"/>
        </w:rPr>
        <w:t>表</w:t>
      </w:r>
      <w:r w:rsidRPr="00A13972">
        <w:rPr>
          <w:rFonts w:hAnsi="標楷體"/>
          <w:bCs/>
          <w:kern w:val="0"/>
          <w:sz w:val="32"/>
          <w:szCs w:val="32"/>
          <w:lang w:eastAsia="zh-HK"/>
        </w:rPr>
        <w:fldChar w:fldCharType="begin"/>
      </w:r>
      <w:r w:rsidRPr="00A13972">
        <w:rPr>
          <w:rFonts w:hAnsi="標楷體"/>
          <w:bCs/>
          <w:kern w:val="0"/>
          <w:sz w:val="32"/>
          <w:szCs w:val="32"/>
          <w:lang w:eastAsia="zh-HK"/>
        </w:rPr>
        <w:instrText xml:space="preserve"> </w:instrText>
      </w:r>
      <w:r w:rsidRPr="00A13972">
        <w:rPr>
          <w:rFonts w:hAnsi="標楷體" w:hint="eastAsia"/>
          <w:bCs/>
          <w:kern w:val="0"/>
          <w:sz w:val="32"/>
          <w:szCs w:val="32"/>
          <w:lang w:eastAsia="zh-HK"/>
        </w:rPr>
        <w:instrText>SEQ 表 \* ARABIC</w:instrText>
      </w:r>
      <w:r w:rsidRPr="00A13972">
        <w:rPr>
          <w:rFonts w:hAnsi="標楷體"/>
          <w:bCs/>
          <w:kern w:val="0"/>
          <w:sz w:val="32"/>
          <w:szCs w:val="32"/>
          <w:lang w:eastAsia="zh-HK"/>
        </w:rPr>
        <w:instrText xml:space="preserve"> </w:instrText>
      </w:r>
      <w:r w:rsidRPr="00A13972">
        <w:rPr>
          <w:rFonts w:hAnsi="標楷體"/>
          <w:bCs/>
          <w:kern w:val="0"/>
          <w:sz w:val="32"/>
          <w:szCs w:val="32"/>
          <w:lang w:eastAsia="zh-HK"/>
        </w:rPr>
        <w:fldChar w:fldCharType="separate"/>
      </w:r>
      <w:r w:rsidR="00A85DC6">
        <w:rPr>
          <w:rFonts w:hAnsi="標楷體"/>
          <w:bCs/>
          <w:noProof/>
          <w:kern w:val="0"/>
          <w:sz w:val="32"/>
          <w:szCs w:val="32"/>
          <w:lang w:eastAsia="zh-HK"/>
        </w:rPr>
        <w:t>6</w:t>
      </w:r>
      <w:r w:rsidRPr="00A13972">
        <w:rPr>
          <w:rFonts w:hAnsi="標楷體"/>
          <w:bCs/>
          <w:kern w:val="0"/>
          <w:sz w:val="32"/>
          <w:szCs w:val="32"/>
          <w:lang w:eastAsia="zh-HK"/>
        </w:rPr>
        <w:fldChar w:fldCharType="end"/>
      </w:r>
      <w:r w:rsidRPr="00A13972">
        <w:rPr>
          <w:rFonts w:hAnsi="標楷體" w:hint="eastAsia"/>
          <w:bCs/>
          <w:kern w:val="0"/>
          <w:sz w:val="32"/>
          <w:szCs w:val="32"/>
          <w:lang w:eastAsia="zh-HK"/>
        </w:rPr>
        <w:t>、</w:t>
      </w:r>
      <w:r w:rsidRPr="00A13972">
        <w:rPr>
          <w:rFonts w:hAnsi="標楷體"/>
          <w:bCs/>
          <w:kern w:val="0"/>
          <w:sz w:val="32"/>
          <w:szCs w:val="32"/>
          <w:lang w:eastAsia="zh-HK"/>
        </w:rPr>
        <w:t>108年24座大型焚化廠收受廢棄物之處理情形</w:t>
      </w:r>
    </w:p>
    <w:p w:rsidR="00765C03" w:rsidRPr="00A13972" w:rsidRDefault="00765C03" w:rsidP="00765C03">
      <w:pPr>
        <w:pStyle w:val="1"/>
        <w:numPr>
          <w:ilvl w:val="0"/>
          <w:numId w:val="0"/>
        </w:numPr>
        <w:ind w:left="2381"/>
        <w:jc w:val="right"/>
        <w:rPr>
          <w:sz w:val="24"/>
          <w:szCs w:val="24"/>
        </w:rPr>
      </w:pPr>
      <w:r w:rsidRPr="00A13972">
        <w:rPr>
          <w:sz w:val="24"/>
          <w:szCs w:val="24"/>
        </w:rPr>
        <w:t>單位：公噸、％</w:t>
      </w:r>
    </w:p>
    <w:tbl>
      <w:tblPr>
        <w:tblStyle w:val="af6"/>
        <w:tblW w:w="8942" w:type="dxa"/>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tblGrid>
      <w:tr w:rsidR="00A13972" w:rsidRPr="00A13972" w:rsidTr="00907DB1">
        <w:trPr>
          <w:trHeight w:val="7788"/>
        </w:trPr>
        <w:tc>
          <w:tcPr>
            <w:tcW w:w="8942" w:type="dxa"/>
          </w:tcPr>
          <w:p w:rsidR="00765C03" w:rsidRPr="00A13972" w:rsidRDefault="00765C03" w:rsidP="00907DB1">
            <w:pPr>
              <w:pStyle w:val="1"/>
              <w:numPr>
                <w:ilvl w:val="0"/>
                <w:numId w:val="0"/>
              </w:numPr>
            </w:pPr>
            <w:r w:rsidRPr="00A13972">
              <w:object w:dxaOrig="13003" w:dyaOrig="9973">
                <v:shape id="_x0000_i1026" type="#_x0000_t75" style="width:436.9pt;height:362.5pt" o:ole="">
                  <v:imagedata r:id="rId14" o:title=""/>
                </v:shape>
                <o:OLEObject Type="Embed" ProgID="Excel.Sheet.12" ShapeID="_x0000_i1026" DrawAspect="Content" ObjectID="_1749301071" r:id="rId15"/>
              </w:object>
            </w:r>
            <w:r w:rsidRPr="00A13972">
              <w:rPr>
                <w:sz w:val="24"/>
                <w:szCs w:val="24"/>
              </w:rPr>
              <w:t>資料來源：</w:t>
            </w:r>
            <w:r w:rsidRPr="00A13972">
              <w:rPr>
                <w:rFonts w:hint="eastAsia"/>
                <w:sz w:val="24"/>
                <w:szCs w:val="24"/>
              </w:rPr>
              <w:t>環保</w:t>
            </w:r>
            <w:r w:rsidRPr="00A13972">
              <w:rPr>
                <w:sz w:val="24"/>
                <w:szCs w:val="24"/>
              </w:rPr>
              <w:t>署垃圾焚化廠管理系統</w:t>
            </w:r>
            <w:r w:rsidRPr="00A13972">
              <w:rPr>
                <w:rFonts w:hint="eastAsia"/>
                <w:sz w:val="24"/>
                <w:szCs w:val="24"/>
              </w:rPr>
              <w:t>提供。</w:t>
            </w:r>
          </w:p>
        </w:tc>
      </w:tr>
    </w:tbl>
    <w:p w:rsidR="00765C03" w:rsidRPr="00A13972" w:rsidRDefault="0032239B" w:rsidP="00765C03">
      <w:pPr>
        <w:pStyle w:val="3"/>
        <w:rPr>
          <w:b/>
          <w:szCs w:val="48"/>
        </w:rPr>
      </w:pPr>
      <w:r w:rsidRPr="00A13972">
        <w:rPr>
          <w:rFonts w:hAnsi="標楷體" w:hint="eastAsia"/>
          <w:szCs w:val="32"/>
        </w:rPr>
        <w:t>本院於110年3月22日約請環保署到院說明，據相關主管人員稱：</w:t>
      </w:r>
      <w:r w:rsidRPr="00A13972">
        <w:rPr>
          <w:rFonts w:hint="eastAsia"/>
          <w:szCs w:val="32"/>
        </w:rPr>
        <w:t>大型焚化廠隨著運轉年數增加，備品取得不易、妥善率降低、維修成本增加等因素需進行整改及掩埋場年限屆滿，處理量能下降，若持續收受一般事業廢棄物可能會排擠一般廢棄物之處理量能，另外部分事業廢棄物熱值較高（</w:t>
      </w:r>
      <w:r w:rsidRPr="00A13972">
        <w:rPr>
          <w:szCs w:val="32"/>
        </w:rPr>
        <w:t>3,000</w:t>
      </w:r>
      <w:r w:rsidRPr="00A13972">
        <w:rPr>
          <w:rFonts w:hint="eastAsia"/>
          <w:szCs w:val="32"/>
        </w:rPr>
        <w:t>仟卡以上），而大型焚化廠設計熱值約</w:t>
      </w:r>
      <w:r w:rsidRPr="00A13972">
        <w:rPr>
          <w:szCs w:val="32"/>
        </w:rPr>
        <w:t>2,300~2,500</w:t>
      </w:r>
      <w:r w:rsidRPr="00A13972">
        <w:rPr>
          <w:rFonts w:hint="eastAsia"/>
          <w:szCs w:val="32"/>
        </w:rPr>
        <w:t>仟卡，若燃燒高熱值事業廢棄物，將不利焚化廠之運作或對爐體造成損壞等語。</w:t>
      </w:r>
    </w:p>
    <w:p w:rsidR="0032239B" w:rsidRPr="00A13972" w:rsidRDefault="0032239B" w:rsidP="00765C03">
      <w:pPr>
        <w:pStyle w:val="3"/>
        <w:rPr>
          <w:b/>
          <w:szCs w:val="48"/>
        </w:rPr>
      </w:pPr>
      <w:r w:rsidRPr="00A13972">
        <w:rPr>
          <w:rFonts w:hAnsi="標楷體" w:hint="eastAsia"/>
          <w:kern w:val="0"/>
          <w:szCs w:val="32"/>
          <w:lang w:eastAsia="zh-HK"/>
        </w:rPr>
        <w:t>綜上，</w:t>
      </w:r>
      <w:r w:rsidR="00907DB1" w:rsidRPr="00A13972">
        <w:rPr>
          <w:rFonts w:hAnsi="標楷體" w:hint="eastAsia"/>
          <w:kern w:val="0"/>
          <w:szCs w:val="32"/>
          <w:lang w:eastAsia="zh-HK"/>
        </w:rPr>
        <w:t>環保署亟應正視24座大型焚化廠處理量能逐年下降，以及收受燃燒高熱值事業廢棄物對爐體造成損壞之問題，妥謀解決對策，並於發包時評估計算內部報酬率（I</w:t>
      </w:r>
      <w:r w:rsidR="00907DB1" w:rsidRPr="00A13972">
        <w:rPr>
          <w:rFonts w:hAnsi="標楷體"/>
          <w:kern w:val="0"/>
          <w:szCs w:val="32"/>
          <w:lang w:eastAsia="zh-HK"/>
        </w:rPr>
        <w:t xml:space="preserve">nternal </w:t>
      </w:r>
      <w:r w:rsidR="00907DB1" w:rsidRPr="00A13972">
        <w:rPr>
          <w:rFonts w:hAnsi="標楷體" w:hint="eastAsia"/>
          <w:kern w:val="0"/>
          <w:szCs w:val="32"/>
          <w:lang w:eastAsia="zh-HK"/>
        </w:rPr>
        <w:t>R</w:t>
      </w:r>
      <w:r w:rsidR="00907DB1" w:rsidRPr="00A13972">
        <w:rPr>
          <w:rFonts w:hAnsi="標楷體"/>
          <w:kern w:val="0"/>
          <w:szCs w:val="32"/>
          <w:lang w:eastAsia="zh-HK"/>
        </w:rPr>
        <w:t xml:space="preserve">ate of </w:t>
      </w:r>
      <w:r w:rsidR="00907DB1" w:rsidRPr="00A13972">
        <w:rPr>
          <w:rFonts w:hAnsi="標楷體" w:hint="eastAsia"/>
          <w:kern w:val="0"/>
          <w:szCs w:val="32"/>
          <w:lang w:eastAsia="zh-HK"/>
        </w:rPr>
        <w:t>R</w:t>
      </w:r>
      <w:r w:rsidR="00907DB1" w:rsidRPr="00A13972">
        <w:rPr>
          <w:rFonts w:hAnsi="標楷體"/>
          <w:kern w:val="0"/>
          <w:szCs w:val="32"/>
          <w:lang w:eastAsia="zh-HK"/>
        </w:rPr>
        <w:t>eturn</w:t>
      </w:r>
      <w:r w:rsidR="00907DB1" w:rsidRPr="00A13972">
        <w:rPr>
          <w:rFonts w:hAnsi="標楷體" w:hint="eastAsia"/>
          <w:kern w:val="0"/>
          <w:szCs w:val="32"/>
          <w:lang w:eastAsia="zh-HK"/>
        </w:rPr>
        <w:t>，</w:t>
      </w:r>
      <w:r w:rsidR="00907DB1" w:rsidRPr="00A13972">
        <w:rPr>
          <w:rFonts w:hAnsi="標楷體"/>
          <w:kern w:val="0"/>
          <w:szCs w:val="32"/>
          <w:lang w:eastAsia="zh-HK"/>
        </w:rPr>
        <w:t>IRR</w:t>
      </w:r>
      <w:r w:rsidR="00907DB1" w:rsidRPr="00A13972">
        <w:rPr>
          <w:rFonts w:hAnsi="標楷體" w:hint="eastAsia"/>
          <w:kern w:val="0"/>
          <w:szCs w:val="32"/>
          <w:lang w:eastAsia="zh-HK"/>
        </w:rPr>
        <w:t>），</w:t>
      </w:r>
      <w:r w:rsidR="00907DB1" w:rsidRPr="00A13972">
        <w:rPr>
          <w:rFonts w:hAnsi="標楷體" w:hint="eastAsia"/>
          <w:kern w:val="0"/>
          <w:szCs w:val="32"/>
          <w:lang w:eastAsia="zh-HK"/>
        </w:rPr>
        <w:lastRenderedPageBreak/>
        <w:t>使超額利潤回歸政府，供作健全24座大型焚化廠正常運作之用。</w:t>
      </w:r>
    </w:p>
    <w:p w:rsidR="00C9461C" w:rsidRPr="00A13972" w:rsidRDefault="00903B0B" w:rsidP="00903B0B">
      <w:pPr>
        <w:pStyle w:val="2"/>
        <w:rPr>
          <w:b/>
        </w:rPr>
      </w:pPr>
      <w:r w:rsidRPr="00A13972">
        <w:rPr>
          <w:rFonts w:hAnsi="標楷體" w:hint="eastAsia"/>
          <w:b/>
          <w:bCs w:val="0"/>
          <w:kern w:val="2"/>
          <w:szCs w:val="32"/>
        </w:rPr>
        <w:t>據環保署</w:t>
      </w:r>
      <w:r w:rsidR="007B629D" w:rsidRPr="00A13972">
        <w:rPr>
          <w:rFonts w:hAnsi="標楷體" w:hint="eastAsia"/>
          <w:b/>
          <w:bCs w:val="0"/>
          <w:kern w:val="2"/>
          <w:szCs w:val="32"/>
        </w:rPr>
        <w:t>「</w:t>
      </w:r>
      <w:r w:rsidRPr="00A13972">
        <w:rPr>
          <w:rFonts w:hAnsi="標楷體" w:hint="eastAsia"/>
          <w:b/>
          <w:bCs w:val="0"/>
          <w:kern w:val="2"/>
          <w:szCs w:val="32"/>
        </w:rPr>
        <w:t>全國各縣市事業廢棄物產出及清理流向統計年報</w:t>
      </w:r>
      <w:r w:rsidR="007B629D" w:rsidRPr="00A13972">
        <w:rPr>
          <w:rFonts w:hAnsi="標楷體" w:hint="eastAsia"/>
          <w:b/>
          <w:bCs w:val="0"/>
          <w:kern w:val="2"/>
          <w:szCs w:val="32"/>
        </w:rPr>
        <w:t>」</w:t>
      </w:r>
      <w:r w:rsidRPr="00A13972">
        <w:rPr>
          <w:rFonts w:hAnsi="標楷體" w:hint="eastAsia"/>
          <w:b/>
          <w:bCs w:val="0"/>
          <w:kern w:val="2"/>
          <w:szCs w:val="32"/>
        </w:rPr>
        <w:t>統計，各事業廢棄物貯存量已由104年度之260萬公噸增加至108年度之613.5萬公噸，顯示事業廢棄物面臨</w:t>
      </w:r>
      <w:r w:rsidR="009D09B6" w:rsidRPr="00A13972">
        <w:rPr>
          <w:rFonts w:hAnsi="標楷體" w:hint="eastAsia"/>
          <w:b/>
          <w:bCs w:val="0"/>
          <w:kern w:val="2"/>
          <w:szCs w:val="32"/>
        </w:rPr>
        <w:t>減量及</w:t>
      </w:r>
      <w:r w:rsidRPr="00A13972">
        <w:rPr>
          <w:rFonts w:hAnsi="標楷體" w:hint="eastAsia"/>
          <w:b/>
          <w:bCs w:val="0"/>
          <w:kern w:val="2"/>
          <w:szCs w:val="32"/>
        </w:rPr>
        <w:t>去化</w:t>
      </w:r>
      <w:r w:rsidR="00E42701" w:rsidRPr="00A13972">
        <w:rPr>
          <w:rFonts w:hAnsi="標楷體" w:hint="eastAsia"/>
          <w:b/>
          <w:bCs w:val="0"/>
          <w:kern w:val="2"/>
          <w:szCs w:val="32"/>
        </w:rPr>
        <w:t>問題</w:t>
      </w:r>
      <w:r w:rsidRPr="00A13972">
        <w:rPr>
          <w:rFonts w:hAnsi="標楷體" w:hint="eastAsia"/>
          <w:b/>
          <w:bCs w:val="0"/>
          <w:kern w:val="2"/>
          <w:szCs w:val="32"/>
        </w:rPr>
        <w:t>，加上近年來政府導引優質臺商回臺投資，亦</w:t>
      </w:r>
      <w:r w:rsidR="007B629D" w:rsidRPr="00A13972">
        <w:rPr>
          <w:rFonts w:hAnsi="標楷體" w:hint="eastAsia"/>
          <w:b/>
          <w:bCs w:val="0"/>
          <w:kern w:val="2"/>
          <w:szCs w:val="32"/>
        </w:rPr>
        <w:t>將</w:t>
      </w:r>
      <w:r w:rsidRPr="00A13972">
        <w:rPr>
          <w:rFonts w:hAnsi="標楷體" w:hint="eastAsia"/>
          <w:b/>
          <w:bCs w:val="0"/>
          <w:kern w:val="2"/>
          <w:szCs w:val="32"/>
        </w:rPr>
        <w:t>造成事業廢棄物隨之增加</w:t>
      </w:r>
      <w:r w:rsidR="009D09B6" w:rsidRPr="00A13972">
        <w:rPr>
          <w:rFonts w:hAnsi="標楷體" w:hint="eastAsia"/>
          <w:b/>
          <w:bCs w:val="0"/>
          <w:kern w:val="2"/>
          <w:szCs w:val="32"/>
        </w:rPr>
        <w:t>，恐加深國內事業廢棄物處理</w:t>
      </w:r>
      <w:r w:rsidR="00E42701" w:rsidRPr="00A13972">
        <w:rPr>
          <w:rFonts w:hAnsi="標楷體" w:hint="eastAsia"/>
          <w:b/>
          <w:bCs w:val="0"/>
          <w:kern w:val="2"/>
          <w:szCs w:val="32"/>
        </w:rPr>
        <w:t>困境</w:t>
      </w:r>
      <w:r w:rsidRPr="00A13972">
        <w:rPr>
          <w:rFonts w:hAnsi="標楷體" w:hint="eastAsia"/>
          <w:b/>
          <w:bCs w:val="0"/>
          <w:kern w:val="2"/>
          <w:szCs w:val="32"/>
        </w:rPr>
        <w:t>。</w:t>
      </w:r>
      <w:r w:rsidR="007B629D" w:rsidRPr="00A13972">
        <w:rPr>
          <w:rFonts w:hAnsi="標楷體" w:hint="eastAsia"/>
          <w:b/>
          <w:bCs w:val="0"/>
          <w:kern w:val="2"/>
          <w:szCs w:val="32"/>
        </w:rPr>
        <w:t>環保署允應協同相關事業主管機關未雨綢繆，妥為規劃未來垃圾處理方式，以滿足臺商回臺投資之環保需求。</w:t>
      </w:r>
    </w:p>
    <w:p w:rsidR="00496959" w:rsidRPr="00A13972" w:rsidRDefault="00907DB1" w:rsidP="00584E32">
      <w:pPr>
        <w:pStyle w:val="3"/>
        <w:rPr>
          <w:szCs w:val="48"/>
        </w:rPr>
      </w:pPr>
      <w:r w:rsidRPr="00A13972">
        <w:rPr>
          <w:rFonts w:hAnsi="標楷體" w:hint="eastAsia"/>
          <w:kern w:val="0"/>
          <w:szCs w:val="32"/>
        </w:rPr>
        <w:t>據審計部查報</w:t>
      </w:r>
      <w:r w:rsidR="006F6DAA" w:rsidRPr="00A13972">
        <w:rPr>
          <w:rFonts w:hAnsi="標楷體" w:hint="eastAsia"/>
          <w:kern w:val="0"/>
          <w:szCs w:val="32"/>
        </w:rPr>
        <w:t>，</w:t>
      </w:r>
      <w:r w:rsidRPr="00A13972">
        <w:rPr>
          <w:rFonts w:hAnsi="標楷體" w:hint="eastAsia"/>
          <w:kern w:val="0"/>
          <w:szCs w:val="24"/>
        </w:rPr>
        <w:t>行政院近年來為導引優質臺商回臺投資，加速</w:t>
      </w:r>
      <w:r w:rsidR="006F6DAA" w:rsidRPr="00A13972">
        <w:rPr>
          <w:rFonts w:hAnsi="標楷體" w:hint="eastAsia"/>
          <w:kern w:val="0"/>
          <w:szCs w:val="24"/>
        </w:rPr>
        <w:t>「</w:t>
      </w:r>
      <w:r w:rsidRPr="00A13972">
        <w:rPr>
          <w:rFonts w:hAnsi="標楷體" w:hint="eastAsia"/>
          <w:kern w:val="0"/>
          <w:szCs w:val="24"/>
          <w:lang w:eastAsia="zh-HK"/>
        </w:rPr>
        <w:t>五加二</w:t>
      </w:r>
      <w:r w:rsidR="006F6DAA" w:rsidRPr="00A13972">
        <w:rPr>
          <w:rFonts w:hAnsi="標楷體" w:hint="eastAsia"/>
          <w:kern w:val="0"/>
          <w:szCs w:val="24"/>
        </w:rPr>
        <w:t>」</w:t>
      </w:r>
      <w:r w:rsidRPr="00A13972">
        <w:rPr>
          <w:rFonts w:hAnsi="標楷體" w:hint="eastAsia"/>
          <w:kern w:val="0"/>
          <w:szCs w:val="24"/>
        </w:rPr>
        <w:t>產業創新</w:t>
      </w:r>
      <w:r w:rsidRPr="00A13972">
        <w:rPr>
          <w:rFonts w:hAnsi="標楷體" w:hint="eastAsia"/>
          <w:kern w:val="0"/>
          <w:szCs w:val="24"/>
          <w:lang w:eastAsia="zh-HK"/>
        </w:rPr>
        <w:t>計畫</w:t>
      </w:r>
      <w:r w:rsidRPr="00A13972">
        <w:rPr>
          <w:rFonts w:hAnsi="標楷體" w:hint="eastAsia"/>
          <w:kern w:val="0"/>
          <w:szCs w:val="24"/>
        </w:rPr>
        <w:t>等重要產業發展，促進產業轉型與經濟成長，於10</w:t>
      </w:r>
      <w:r w:rsidR="001C68A7" w:rsidRPr="00A13972">
        <w:rPr>
          <w:rFonts w:hAnsi="標楷體" w:hint="eastAsia"/>
          <w:kern w:val="0"/>
          <w:szCs w:val="24"/>
        </w:rPr>
        <w:t>7</w:t>
      </w:r>
      <w:r w:rsidRPr="00A13972">
        <w:rPr>
          <w:rFonts w:hAnsi="標楷體" w:hint="eastAsia"/>
          <w:kern w:val="0"/>
          <w:szCs w:val="24"/>
        </w:rPr>
        <w:t>年</w:t>
      </w:r>
      <w:r w:rsidR="001C68A7" w:rsidRPr="00A13972">
        <w:rPr>
          <w:rFonts w:hAnsi="標楷體" w:hint="eastAsia"/>
          <w:kern w:val="0"/>
          <w:szCs w:val="24"/>
        </w:rPr>
        <w:t>12</w:t>
      </w:r>
      <w:r w:rsidRPr="00A13972">
        <w:rPr>
          <w:rFonts w:hAnsi="標楷體" w:hint="eastAsia"/>
          <w:kern w:val="0"/>
          <w:szCs w:val="24"/>
        </w:rPr>
        <w:t>月核定</w:t>
      </w:r>
      <w:r w:rsidR="006F6DAA" w:rsidRPr="00A13972">
        <w:rPr>
          <w:rFonts w:hAnsi="標楷體" w:hint="eastAsia"/>
          <w:kern w:val="0"/>
          <w:szCs w:val="24"/>
        </w:rPr>
        <w:t>「</w:t>
      </w:r>
      <w:r w:rsidRPr="00A13972">
        <w:rPr>
          <w:rFonts w:hAnsi="標楷體" w:hint="eastAsia"/>
          <w:kern w:val="0"/>
          <w:szCs w:val="24"/>
        </w:rPr>
        <w:t>歡迎臺商回臺投資行動方案</w:t>
      </w:r>
      <w:r w:rsidR="006F6DAA" w:rsidRPr="00A13972">
        <w:rPr>
          <w:rFonts w:hAnsi="標楷體" w:hint="eastAsia"/>
          <w:kern w:val="0"/>
          <w:szCs w:val="24"/>
        </w:rPr>
        <w:t>」</w:t>
      </w:r>
      <w:r w:rsidRPr="00A13972">
        <w:rPr>
          <w:rFonts w:hAnsi="標楷體" w:hint="eastAsia"/>
          <w:kern w:val="0"/>
          <w:szCs w:val="24"/>
        </w:rPr>
        <w:t>，積極協助優質臺商回臺投資。據經濟部統計，截至1</w:t>
      </w:r>
      <w:r w:rsidR="007A062C" w:rsidRPr="00A13972">
        <w:rPr>
          <w:rFonts w:hAnsi="標楷體" w:hint="eastAsia"/>
          <w:kern w:val="0"/>
          <w:szCs w:val="24"/>
        </w:rPr>
        <w:t>10</w:t>
      </w:r>
      <w:r w:rsidRPr="00A13972">
        <w:rPr>
          <w:rFonts w:hAnsi="標楷體" w:hint="eastAsia"/>
          <w:kern w:val="0"/>
          <w:szCs w:val="24"/>
        </w:rPr>
        <w:t>年</w:t>
      </w:r>
      <w:r w:rsidR="007A062C" w:rsidRPr="00A13972">
        <w:rPr>
          <w:rFonts w:hAnsi="標楷體" w:hint="eastAsia"/>
          <w:kern w:val="0"/>
          <w:szCs w:val="24"/>
        </w:rPr>
        <w:t>3</w:t>
      </w:r>
      <w:r w:rsidRPr="00A13972">
        <w:rPr>
          <w:rFonts w:hAnsi="標楷體" w:hint="eastAsia"/>
          <w:kern w:val="0"/>
          <w:szCs w:val="24"/>
        </w:rPr>
        <w:t>月</w:t>
      </w:r>
      <w:r w:rsidR="007A062C" w:rsidRPr="00A13972">
        <w:rPr>
          <w:rFonts w:hAnsi="標楷體" w:hint="eastAsia"/>
          <w:kern w:val="0"/>
          <w:szCs w:val="24"/>
        </w:rPr>
        <w:t>11</w:t>
      </w:r>
      <w:r w:rsidRPr="00A13972">
        <w:rPr>
          <w:rFonts w:hAnsi="標楷體" w:hint="eastAsia"/>
          <w:kern w:val="0"/>
          <w:szCs w:val="24"/>
        </w:rPr>
        <w:t>日止計有</w:t>
      </w:r>
      <w:r w:rsidR="007A062C" w:rsidRPr="00A13972">
        <w:rPr>
          <w:rFonts w:hAnsi="標楷體" w:hint="eastAsia"/>
          <w:kern w:val="0"/>
          <w:szCs w:val="24"/>
        </w:rPr>
        <w:t>209</w:t>
      </w:r>
      <w:r w:rsidRPr="00A13972">
        <w:rPr>
          <w:rFonts w:hAnsi="標楷體" w:hint="eastAsia"/>
          <w:kern w:val="0"/>
          <w:szCs w:val="24"/>
        </w:rPr>
        <w:t>家通過審核，總投資金額約7,</w:t>
      </w:r>
      <w:r w:rsidR="001C68A7" w:rsidRPr="00A13972">
        <w:rPr>
          <w:rFonts w:hAnsi="標楷體" w:hint="eastAsia"/>
          <w:kern w:val="0"/>
          <w:szCs w:val="24"/>
        </w:rPr>
        <w:t>924.56</w:t>
      </w:r>
      <w:r w:rsidRPr="00A13972">
        <w:rPr>
          <w:rFonts w:hAnsi="標楷體" w:hint="eastAsia"/>
          <w:kern w:val="0"/>
          <w:szCs w:val="24"/>
        </w:rPr>
        <w:t>億元。</w:t>
      </w:r>
      <w:r w:rsidR="006F6DAA" w:rsidRPr="00A13972">
        <w:rPr>
          <w:rFonts w:hAnsi="標楷體" w:hint="eastAsia"/>
          <w:kern w:val="0"/>
          <w:szCs w:val="24"/>
        </w:rPr>
        <w:t>然而，</w:t>
      </w:r>
      <w:r w:rsidRPr="00A13972">
        <w:rPr>
          <w:rFonts w:hAnsi="標楷體" w:hint="eastAsia"/>
          <w:kern w:val="0"/>
          <w:szCs w:val="24"/>
        </w:rPr>
        <w:t>由於臺商回臺投資，其事業產生之廢棄物，勢必造成國內一般事業廢棄物</w:t>
      </w:r>
      <w:r w:rsidRPr="00A13972">
        <w:rPr>
          <w:rFonts w:hAnsi="標楷體" w:hint="eastAsia"/>
          <w:kern w:val="0"/>
          <w:szCs w:val="24"/>
          <w:lang w:eastAsia="zh-HK"/>
        </w:rPr>
        <w:t>量</w:t>
      </w:r>
      <w:r w:rsidRPr="00A13972">
        <w:rPr>
          <w:rFonts w:hAnsi="標楷體" w:hint="eastAsia"/>
          <w:kern w:val="0"/>
          <w:szCs w:val="24"/>
        </w:rPr>
        <w:t>隨</w:t>
      </w:r>
      <w:r w:rsidR="009A77D9" w:rsidRPr="00A13972">
        <w:rPr>
          <w:rFonts w:hAnsi="標楷體" w:hint="eastAsia"/>
          <w:kern w:val="0"/>
          <w:szCs w:val="24"/>
        </w:rPr>
        <w:t>之</w:t>
      </w:r>
      <w:r w:rsidRPr="00A13972">
        <w:rPr>
          <w:rFonts w:hAnsi="標楷體" w:hint="eastAsia"/>
          <w:kern w:val="0"/>
          <w:szCs w:val="24"/>
        </w:rPr>
        <w:t>增</w:t>
      </w:r>
      <w:r w:rsidR="009A77D9" w:rsidRPr="00A13972">
        <w:rPr>
          <w:rFonts w:hAnsi="標楷體" w:hint="eastAsia"/>
          <w:kern w:val="0"/>
          <w:szCs w:val="24"/>
        </w:rPr>
        <w:t>加</w:t>
      </w:r>
      <w:r w:rsidRPr="00A13972">
        <w:rPr>
          <w:rFonts w:hAnsi="標楷體" w:hint="eastAsia"/>
          <w:kern w:val="0"/>
          <w:szCs w:val="24"/>
        </w:rPr>
        <w:t>，排擠國內一般廢棄物清運焚化及調度</w:t>
      </w:r>
      <w:r w:rsidR="009D5312" w:rsidRPr="00A13972">
        <w:rPr>
          <w:rFonts w:hint="eastAsia"/>
        </w:rPr>
        <w:t>。</w:t>
      </w:r>
    </w:p>
    <w:bookmarkEnd w:id="51"/>
    <w:bookmarkEnd w:id="52"/>
    <w:p w:rsidR="006F6DAA" w:rsidRPr="00A13972" w:rsidRDefault="006F6DAA" w:rsidP="006F6DAA">
      <w:pPr>
        <w:pStyle w:val="3"/>
        <w:rPr>
          <w:rFonts w:hAnsi="標楷體"/>
          <w:bCs w:val="0"/>
          <w:kern w:val="0"/>
          <w:szCs w:val="32"/>
        </w:rPr>
      </w:pPr>
      <w:r w:rsidRPr="00A13972">
        <w:rPr>
          <w:rFonts w:hAnsi="標楷體" w:hint="eastAsia"/>
          <w:bCs w:val="0"/>
          <w:kern w:val="0"/>
          <w:szCs w:val="24"/>
        </w:rPr>
        <w:t>查環保署「</w:t>
      </w:r>
      <w:r w:rsidRPr="00A13972">
        <w:rPr>
          <w:rFonts w:hAnsi="標楷體" w:hint="eastAsia"/>
          <w:kern w:val="0"/>
          <w:szCs w:val="32"/>
        </w:rPr>
        <w:t>全國</w:t>
      </w:r>
      <w:r w:rsidRPr="00A13972">
        <w:rPr>
          <w:rFonts w:hAnsi="標楷體" w:hint="eastAsia"/>
          <w:bCs w:val="0"/>
          <w:kern w:val="0"/>
          <w:szCs w:val="24"/>
        </w:rPr>
        <w:t>各縣市事業廢棄物產出及清理流向統計年報」</w:t>
      </w:r>
      <w:r w:rsidRPr="00A13972">
        <w:rPr>
          <w:rFonts w:hAnsi="標楷體" w:hint="eastAsia"/>
          <w:bCs w:val="0"/>
          <w:kern w:val="0"/>
          <w:szCs w:val="24"/>
          <w:lang w:eastAsia="zh-HK"/>
        </w:rPr>
        <w:t>統計，</w:t>
      </w:r>
      <w:r w:rsidRPr="00A13972">
        <w:rPr>
          <w:rFonts w:hAnsi="標楷體" w:hint="eastAsia"/>
          <w:bCs w:val="0"/>
          <w:kern w:val="0"/>
          <w:szCs w:val="24"/>
        </w:rPr>
        <w:t>各事業廢棄物貯存量已由104年度之260萬公噸增加至108年度之613.5萬公噸，情況如下：</w:t>
      </w:r>
    </w:p>
    <w:p w:rsidR="006F6DAA" w:rsidRPr="00A13972" w:rsidRDefault="006F6DAA" w:rsidP="006F6DAA">
      <w:pPr>
        <w:pStyle w:val="4"/>
        <w:numPr>
          <w:ilvl w:val="3"/>
          <w:numId w:val="5"/>
        </w:numPr>
        <w:overflowPunct/>
        <w:ind w:left="1418" w:hanging="480"/>
        <w:rPr>
          <w:kern w:val="0"/>
        </w:rPr>
      </w:pPr>
      <w:r w:rsidRPr="00A13972">
        <w:rPr>
          <w:rFonts w:hint="eastAsia"/>
          <w:kern w:val="0"/>
          <w:lang w:eastAsia="zh-HK"/>
        </w:rPr>
        <w:t>104年事業廢棄物貯存量為260萬公噸，較前1年度增加3萬公噸。</w:t>
      </w:r>
    </w:p>
    <w:p w:rsidR="006F6DAA" w:rsidRPr="00A13972" w:rsidRDefault="006F6DAA" w:rsidP="006F6DAA">
      <w:pPr>
        <w:pStyle w:val="4"/>
        <w:numPr>
          <w:ilvl w:val="3"/>
          <w:numId w:val="5"/>
        </w:numPr>
        <w:overflowPunct/>
        <w:ind w:left="1418" w:hanging="480"/>
        <w:rPr>
          <w:kern w:val="0"/>
        </w:rPr>
      </w:pPr>
      <w:r w:rsidRPr="00A13972">
        <w:rPr>
          <w:rFonts w:hint="eastAsia"/>
          <w:kern w:val="0"/>
        </w:rPr>
        <w:t>105</w:t>
      </w:r>
      <w:r w:rsidRPr="00A13972">
        <w:rPr>
          <w:rFonts w:hint="eastAsia"/>
          <w:kern w:val="0"/>
          <w:lang w:eastAsia="zh-HK"/>
        </w:rPr>
        <w:t>年</w:t>
      </w:r>
      <w:r w:rsidRPr="00A13972">
        <w:rPr>
          <w:rFonts w:hint="eastAsia"/>
          <w:kern w:val="0"/>
        </w:rPr>
        <w:t>事業廢棄物貯</w:t>
      </w:r>
      <w:r w:rsidRPr="00A13972">
        <w:rPr>
          <w:rFonts w:hint="eastAsia"/>
          <w:kern w:val="0"/>
          <w:lang w:eastAsia="zh-HK"/>
        </w:rPr>
        <w:t>存</w:t>
      </w:r>
      <w:r w:rsidRPr="00A13972">
        <w:rPr>
          <w:rFonts w:hint="eastAsia"/>
          <w:kern w:val="0"/>
        </w:rPr>
        <w:t>量</w:t>
      </w:r>
      <w:r w:rsidRPr="00A13972">
        <w:rPr>
          <w:rFonts w:hint="eastAsia"/>
          <w:kern w:val="0"/>
          <w:lang w:eastAsia="zh-HK"/>
        </w:rPr>
        <w:t>為</w:t>
      </w:r>
      <w:r w:rsidRPr="00A13972">
        <w:rPr>
          <w:rFonts w:hint="eastAsia"/>
          <w:kern w:val="0"/>
        </w:rPr>
        <w:t>364</w:t>
      </w:r>
      <w:r w:rsidRPr="00A13972">
        <w:rPr>
          <w:rFonts w:hint="eastAsia"/>
          <w:kern w:val="0"/>
          <w:lang w:eastAsia="zh-HK"/>
        </w:rPr>
        <w:t>萬公噸</w:t>
      </w:r>
      <w:r w:rsidRPr="00A13972">
        <w:rPr>
          <w:rFonts w:hint="eastAsia"/>
          <w:kern w:val="0"/>
        </w:rPr>
        <w:t>，</w:t>
      </w:r>
      <w:r w:rsidRPr="00A13972">
        <w:rPr>
          <w:rFonts w:hint="eastAsia"/>
          <w:kern w:val="0"/>
          <w:lang w:eastAsia="zh-HK"/>
        </w:rPr>
        <w:t>較</w:t>
      </w:r>
      <w:r w:rsidRPr="00A13972">
        <w:rPr>
          <w:rFonts w:hint="eastAsia"/>
          <w:kern w:val="0"/>
        </w:rPr>
        <w:t>104</w:t>
      </w:r>
      <w:r w:rsidRPr="00A13972">
        <w:rPr>
          <w:rFonts w:hint="eastAsia"/>
          <w:kern w:val="0"/>
          <w:lang w:eastAsia="zh-HK"/>
        </w:rPr>
        <w:t>年度增加</w:t>
      </w:r>
      <w:r w:rsidRPr="00A13972">
        <w:rPr>
          <w:rFonts w:hint="eastAsia"/>
          <w:kern w:val="0"/>
        </w:rPr>
        <w:t>104.7</w:t>
      </w:r>
      <w:r w:rsidRPr="00A13972">
        <w:rPr>
          <w:rFonts w:hint="eastAsia"/>
          <w:kern w:val="0"/>
          <w:lang w:eastAsia="zh-HK"/>
        </w:rPr>
        <w:t>萬公噸</w:t>
      </w:r>
      <w:r w:rsidRPr="00A13972">
        <w:rPr>
          <w:rFonts w:hint="eastAsia"/>
          <w:kern w:val="0"/>
        </w:rPr>
        <w:t>。</w:t>
      </w:r>
      <w:r w:rsidRPr="00A13972">
        <w:rPr>
          <w:rFonts w:cs="Arial"/>
        </w:rPr>
        <w:t>貯存量增加主要為污泥14萬、煤灰14萬及電弧爐煉鋼爐碴(石)69萬公噸。</w:t>
      </w:r>
      <w:r w:rsidRPr="00A13972">
        <w:rPr>
          <w:rFonts w:hint="eastAsia"/>
          <w:kern w:val="0"/>
        </w:rPr>
        <w:t>污泥因異味、處理技術不佳，產品品質不良去化受限，處理費用高，致貯存量增加</w:t>
      </w:r>
      <w:r w:rsidRPr="00A13972">
        <w:rPr>
          <w:rFonts w:ascii="新細明體" w:hAnsi="新細明體" w:cs="Arial" w:hint="eastAsia"/>
          <w:lang w:eastAsia="zh-HK"/>
        </w:rPr>
        <w:t>；</w:t>
      </w:r>
      <w:r w:rsidRPr="00A13972">
        <w:rPr>
          <w:rFonts w:cs="Arial"/>
        </w:rPr>
        <w:t>煤灰</w:t>
      </w:r>
      <w:r w:rsidRPr="00A13972">
        <w:rPr>
          <w:rFonts w:cs="Arial" w:hint="eastAsia"/>
        </w:rPr>
        <w:t>貯存量增加多源自</w:t>
      </w:r>
      <w:r w:rsidRPr="00A13972">
        <w:rPr>
          <w:rFonts w:cs="Arial" w:hint="eastAsia"/>
        </w:rPr>
        <w:lastRenderedPageBreak/>
        <w:t>台塑石化股份有限公司麥寮</w:t>
      </w:r>
      <w:r w:rsidRPr="00A13972">
        <w:rPr>
          <w:rFonts w:cs="Arial" w:hint="eastAsia"/>
          <w:lang w:eastAsia="zh-HK"/>
        </w:rPr>
        <w:t>一</w:t>
      </w:r>
      <w:r w:rsidRPr="00A13972">
        <w:rPr>
          <w:rFonts w:cs="Arial" w:hint="eastAsia"/>
        </w:rPr>
        <w:t>-三廠(增加量13.7萬公噸)</w:t>
      </w:r>
      <w:r w:rsidRPr="00A13972">
        <w:rPr>
          <w:rFonts w:ascii="新細明體" w:hAnsi="新細明體" w:cs="Arial" w:hint="eastAsia"/>
        </w:rPr>
        <w:t>；</w:t>
      </w:r>
      <w:r w:rsidRPr="00A13972">
        <w:rPr>
          <w:rFonts w:cs="Arial"/>
        </w:rPr>
        <w:t>電弧爐煉鋼爐碴(石)</w:t>
      </w:r>
      <w:r w:rsidRPr="00A13972">
        <w:rPr>
          <w:rFonts w:cs="Arial" w:hint="eastAsia"/>
        </w:rPr>
        <w:t>貯存量增加</w:t>
      </w:r>
      <w:r w:rsidRPr="00A13972">
        <w:rPr>
          <w:rFonts w:cs="Arial" w:hint="eastAsia"/>
          <w:lang w:eastAsia="zh-HK"/>
        </w:rPr>
        <w:t>係因當年發生</w:t>
      </w:r>
      <w:r w:rsidRPr="00A13972">
        <w:rPr>
          <w:rFonts w:hint="eastAsia"/>
        </w:rPr>
        <w:t>還原碴誤用於混凝土事件引發之環境問題，經濟部105年3月22日依該部</w:t>
      </w:r>
      <w:r w:rsidRPr="00A13972">
        <w:rPr>
          <w:rFonts w:hint="eastAsia"/>
          <w:lang w:eastAsia="zh-HK"/>
        </w:rPr>
        <w:t>事業廢棄物再利用</w:t>
      </w:r>
      <w:r w:rsidRPr="00A13972">
        <w:rPr>
          <w:rFonts w:hint="eastAsia"/>
        </w:rPr>
        <w:t>管理辦法第3條第3項規定，公告暫停附表「編號十四、電弧爐煉鋼碴(石)」之「非結構性混凝土粒料原料」及「非結構性混凝土原料」再利用用途，另外又於105年6月20日修正再利用管理辦法中有關附表爐碴之管理方式，刪除部分再利用用途及調整管理規範，因應法規調整部分再利用機構需重新申請再利用檢核或各通案再利用許可，導致105年電弧爐煉鋼爐碴(石)貯存量</w:t>
      </w:r>
      <w:r w:rsidRPr="00A13972">
        <w:rPr>
          <w:rFonts w:hint="eastAsia"/>
          <w:lang w:eastAsia="zh-HK"/>
        </w:rPr>
        <w:t>增加</w:t>
      </w:r>
      <w:r w:rsidRPr="00A13972">
        <w:rPr>
          <w:rFonts w:hint="eastAsia"/>
        </w:rPr>
        <w:t>。</w:t>
      </w:r>
    </w:p>
    <w:p w:rsidR="006F6DAA" w:rsidRPr="00A13972" w:rsidRDefault="006F6DAA" w:rsidP="006F6DAA">
      <w:pPr>
        <w:pStyle w:val="4"/>
        <w:numPr>
          <w:ilvl w:val="3"/>
          <w:numId w:val="5"/>
        </w:numPr>
        <w:overflowPunct/>
        <w:ind w:left="1418" w:hanging="480"/>
        <w:rPr>
          <w:rFonts w:hAnsi="標楷體"/>
          <w:bCs/>
          <w:kern w:val="0"/>
          <w:szCs w:val="32"/>
        </w:rPr>
      </w:pPr>
      <w:r w:rsidRPr="00A13972">
        <w:rPr>
          <w:rFonts w:hAnsi="標楷體" w:hint="eastAsia"/>
          <w:bCs/>
          <w:kern w:val="0"/>
          <w:szCs w:val="32"/>
        </w:rPr>
        <w:t>106</w:t>
      </w:r>
      <w:r w:rsidRPr="00A13972">
        <w:rPr>
          <w:rFonts w:hAnsi="標楷體" w:hint="eastAsia"/>
          <w:bCs/>
          <w:kern w:val="0"/>
          <w:szCs w:val="32"/>
          <w:lang w:eastAsia="zh-HK"/>
        </w:rPr>
        <w:t>年</w:t>
      </w:r>
      <w:r w:rsidRPr="00A13972">
        <w:rPr>
          <w:rFonts w:hAnsi="標楷體" w:hint="eastAsia"/>
          <w:bCs/>
          <w:kern w:val="0"/>
          <w:szCs w:val="32"/>
        </w:rPr>
        <w:t>事業</w:t>
      </w:r>
      <w:r w:rsidRPr="00A13972">
        <w:rPr>
          <w:rFonts w:hint="eastAsia"/>
        </w:rPr>
        <w:t>廢棄物</w:t>
      </w:r>
      <w:r w:rsidRPr="00A13972">
        <w:rPr>
          <w:rFonts w:hAnsi="標楷體" w:hint="eastAsia"/>
          <w:bCs/>
          <w:kern w:val="0"/>
          <w:szCs w:val="32"/>
        </w:rPr>
        <w:t>貯</w:t>
      </w:r>
      <w:r w:rsidRPr="00A13972">
        <w:rPr>
          <w:rFonts w:hAnsi="標楷體" w:hint="eastAsia"/>
          <w:bCs/>
          <w:kern w:val="0"/>
          <w:szCs w:val="32"/>
          <w:lang w:eastAsia="zh-HK"/>
        </w:rPr>
        <w:t>存</w:t>
      </w:r>
      <w:r w:rsidRPr="00A13972">
        <w:rPr>
          <w:rFonts w:hAnsi="標楷體" w:hint="eastAsia"/>
          <w:bCs/>
          <w:kern w:val="0"/>
          <w:szCs w:val="32"/>
        </w:rPr>
        <w:t>量</w:t>
      </w:r>
      <w:r w:rsidRPr="00A13972">
        <w:rPr>
          <w:rFonts w:hAnsi="標楷體" w:hint="eastAsia"/>
          <w:bCs/>
          <w:kern w:val="0"/>
          <w:szCs w:val="32"/>
          <w:lang w:eastAsia="zh-HK"/>
        </w:rPr>
        <w:t>為</w:t>
      </w:r>
      <w:r w:rsidRPr="00A13972">
        <w:rPr>
          <w:rFonts w:hAnsi="標楷體" w:hint="eastAsia"/>
          <w:bCs/>
          <w:kern w:val="0"/>
          <w:szCs w:val="32"/>
        </w:rPr>
        <w:t>407</w:t>
      </w:r>
      <w:r w:rsidRPr="00A13972">
        <w:rPr>
          <w:rFonts w:hAnsi="標楷體" w:hint="eastAsia"/>
          <w:bCs/>
          <w:kern w:val="0"/>
          <w:szCs w:val="32"/>
          <w:lang w:eastAsia="zh-HK"/>
        </w:rPr>
        <w:t>萬公噸</w:t>
      </w:r>
      <w:r w:rsidRPr="00A13972">
        <w:rPr>
          <w:rFonts w:hAnsi="標楷體" w:hint="eastAsia"/>
          <w:bCs/>
          <w:kern w:val="0"/>
          <w:szCs w:val="32"/>
        </w:rPr>
        <w:t>，</w:t>
      </w:r>
      <w:r w:rsidRPr="00A13972">
        <w:rPr>
          <w:rFonts w:hAnsi="標楷體" w:hint="eastAsia"/>
          <w:bCs/>
          <w:kern w:val="0"/>
          <w:szCs w:val="32"/>
          <w:lang w:eastAsia="zh-HK"/>
        </w:rPr>
        <w:t>較</w:t>
      </w:r>
      <w:r w:rsidRPr="00A13972">
        <w:rPr>
          <w:rFonts w:hAnsi="標楷體" w:hint="eastAsia"/>
          <w:bCs/>
          <w:kern w:val="0"/>
          <w:szCs w:val="32"/>
        </w:rPr>
        <w:t>105</w:t>
      </w:r>
      <w:r w:rsidRPr="00A13972">
        <w:rPr>
          <w:rFonts w:hAnsi="標楷體" w:hint="eastAsia"/>
          <w:bCs/>
          <w:kern w:val="0"/>
          <w:szCs w:val="32"/>
          <w:lang w:eastAsia="zh-HK"/>
        </w:rPr>
        <w:t>年度增加</w:t>
      </w:r>
      <w:r w:rsidRPr="00A13972">
        <w:rPr>
          <w:rFonts w:hAnsi="標楷體" w:hint="eastAsia"/>
          <w:szCs w:val="32"/>
        </w:rPr>
        <w:t>約</w:t>
      </w:r>
      <w:r w:rsidRPr="00A13972">
        <w:rPr>
          <w:rFonts w:hAnsi="標楷體" w:hint="eastAsia"/>
          <w:bCs/>
          <w:kern w:val="0"/>
          <w:szCs w:val="32"/>
        </w:rPr>
        <w:t>42</w:t>
      </w:r>
      <w:r w:rsidRPr="00A13972">
        <w:rPr>
          <w:rFonts w:hAnsi="標楷體" w:hint="eastAsia"/>
          <w:bCs/>
          <w:kern w:val="0"/>
          <w:szCs w:val="32"/>
          <w:lang w:eastAsia="zh-HK"/>
        </w:rPr>
        <w:t>萬公噸</w:t>
      </w:r>
      <w:r w:rsidRPr="00A13972">
        <w:rPr>
          <w:rFonts w:hAnsi="標楷體" w:hint="eastAsia"/>
          <w:szCs w:val="32"/>
        </w:rPr>
        <w:t>，主要煤灰增加8.4萬公噸、電弧爐煉鋼爐碴增加37.8萬公噸，一般污泥貯存量減少約7萬公噸。煤灰主要為</w:t>
      </w:r>
      <w:r w:rsidRPr="00A13972">
        <w:rPr>
          <w:rFonts w:hAnsi="標楷體" w:cs="Arial" w:hint="eastAsia"/>
          <w:szCs w:val="32"/>
        </w:rPr>
        <w:t>台塑石化公司麥寮一-三廠共增加約有7.2萬公噸。</w:t>
      </w:r>
      <w:r w:rsidRPr="00A13972">
        <w:rPr>
          <w:rFonts w:hAnsi="標楷體" w:cs="Arial"/>
          <w:szCs w:val="32"/>
        </w:rPr>
        <w:t>電弧爐煉鋼爐碴</w:t>
      </w:r>
      <w:r w:rsidRPr="00A13972">
        <w:rPr>
          <w:rFonts w:hAnsi="標楷體" w:cs="Arial" w:hint="eastAsia"/>
          <w:szCs w:val="32"/>
          <w:lang w:eastAsia="zh-HK"/>
        </w:rPr>
        <w:t>為因</w:t>
      </w:r>
      <w:r w:rsidRPr="00A13972">
        <w:rPr>
          <w:rFonts w:hAnsi="標楷體" w:cs="Arial" w:hint="eastAsia"/>
          <w:szCs w:val="32"/>
        </w:rPr>
        <w:t>105</w:t>
      </w:r>
      <w:r w:rsidRPr="00A13972">
        <w:rPr>
          <w:rFonts w:hAnsi="標楷體" w:cs="Arial" w:hint="eastAsia"/>
          <w:szCs w:val="32"/>
          <w:lang w:eastAsia="zh-HK"/>
        </w:rPr>
        <w:t>年事件導致全國</w:t>
      </w:r>
      <w:r w:rsidRPr="00A13972">
        <w:rPr>
          <w:rFonts w:hAnsi="標楷體" w:hint="eastAsia"/>
          <w:szCs w:val="32"/>
        </w:rPr>
        <w:t>電弧爐煉鋼</w:t>
      </w:r>
      <w:r w:rsidRPr="00A13972">
        <w:rPr>
          <w:rFonts w:hAnsi="標楷體" w:hint="eastAsia"/>
          <w:szCs w:val="32"/>
          <w:lang w:eastAsia="zh-HK"/>
        </w:rPr>
        <w:t>廠</w:t>
      </w:r>
      <w:r w:rsidRPr="00A13972">
        <w:rPr>
          <w:rFonts w:hAnsi="標楷體" w:hint="eastAsia"/>
          <w:szCs w:val="32"/>
        </w:rPr>
        <w:t>貯存量</w:t>
      </w:r>
      <w:r w:rsidRPr="00A13972">
        <w:rPr>
          <w:rFonts w:hAnsi="標楷體" w:hint="eastAsia"/>
          <w:szCs w:val="32"/>
          <w:lang w:eastAsia="zh-HK"/>
        </w:rPr>
        <w:t>增加</w:t>
      </w:r>
      <w:r w:rsidRPr="00A13972">
        <w:rPr>
          <w:rFonts w:hAnsi="標楷體" w:hint="eastAsia"/>
          <w:szCs w:val="32"/>
        </w:rPr>
        <w:t>。</w:t>
      </w:r>
    </w:p>
    <w:p w:rsidR="006F6DAA" w:rsidRPr="00A13972" w:rsidRDefault="006F6DAA" w:rsidP="006F6DAA">
      <w:pPr>
        <w:pStyle w:val="4"/>
        <w:numPr>
          <w:ilvl w:val="3"/>
          <w:numId w:val="5"/>
        </w:numPr>
        <w:overflowPunct/>
        <w:ind w:left="1418" w:hanging="480"/>
        <w:rPr>
          <w:rFonts w:hAnsi="標楷體"/>
          <w:bCs/>
          <w:kern w:val="0"/>
          <w:szCs w:val="32"/>
        </w:rPr>
      </w:pPr>
      <w:r w:rsidRPr="00A13972">
        <w:rPr>
          <w:rFonts w:hAnsi="標楷體" w:hint="eastAsia"/>
          <w:bCs/>
          <w:kern w:val="0"/>
          <w:szCs w:val="32"/>
        </w:rPr>
        <w:t>107</w:t>
      </w:r>
      <w:r w:rsidRPr="00A13972">
        <w:rPr>
          <w:rFonts w:hAnsi="標楷體" w:hint="eastAsia"/>
          <w:bCs/>
          <w:kern w:val="0"/>
          <w:szCs w:val="32"/>
          <w:lang w:eastAsia="zh-HK"/>
        </w:rPr>
        <w:t>年</w:t>
      </w:r>
      <w:r w:rsidRPr="00A13972">
        <w:rPr>
          <w:rFonts w:hAnsi="標楷體" w:hint="eastAsia"/>
          <w:szCs w:val="32"/>
        </w:rPr>
        <w:t>事業廢棄物</w:t>
      </w:r>
      <w:r w:rsidRPr="00A13972">
        <w:rPr>
          <w:rFonts w:hAnsi="標楷體" w:hint="eastAsia"/>
          <w:bCs/>
          <w:kern w:val="0"/>
          <w:szCs w:val="32"/>
        </w:rPr>
        <w:t>貯</w:t>
      </w:r>
      <w:r w:rsidRPr="00A13972">
        <w:rPr>
          <w:rFonts w:hAnsi="標楷體" w:hint="eastAsia"/>
          <w:bCs/>
          <w:kern w:val="0"/>
          <w:szCs w:val="32"/>
          <w:lang w:eastAsia="zh-HK"/>
        </w:rPr>
        <w:t>存</w:t>
      </w:r>
      <w:r w:rsidRPr="00A13972">
        <w:rPr>
          <w:rFonts w:hAnsi="標楷體" w:hint="eastAsia"/>
          <w:bCs/>
          <w:kern w:val="0"/>
          <w:szCs w:val="32"/>
        </w:rPr>
        <w:t>量</w:t>
      </w:r>
      <w:r w:rsidRPr="00A13972">
        <w:rPr>
          <w:rFonts w:hAnsi="標楷體" w:hint="eastAsia"/>
          <w:bCs/>
          <w:kern w:val="0"/>
          <w:szCs w:val="32"/>
          <w:lang w:eastAsia="zh-HK"/>
        </w:rPr>
        <w:t>為</w:t>
      </w:r>
      <w:r w:rsidRPr="00A13972">
        <w:rPr>
          <w:rFonts w:hAnsi="標楷體" w:hint="eastAsia"/>
          <w:bCs/>
          <w:kern w:val="0"/>
          <w:szCs w:val="32"/>
        </w:rPr>
        <w:t>614</w:t>
      </w:r>
      <w:r w:rsidRPr="00A13972">
        <w:rPr>
          <w:rFonts w:hAnsi="標楷體" w:hint="eastAsia"/>
          <w:bCs/>
          <w:kern w:val="0"/>
          <w:szCs w:val="32"/>
          <w:lang w:eastAsia="zh-HK"/>
        </w:rPr>
        <w:t>萬公噸</w:t>
      </w:r>
      <w:r w:rsidRPr="00A13972">
        <w:rPr>
          <w:rFonts w:hAnsi="標楷體" w:hint="eastAsia"/>
          <w:bCs/>
          <w:kern w:val="0"/>
          <w:szCs w:val="32"/>
        </w:rPr>
        <w:t>，</w:t>
      </w:r>
      <w:r w:rsidRPr="00A13972">
        <w:rPr>
          <w:rFonts w:hAnsi="標楷體" w:hint="eastAsia"/>
          <w:bCs/>
          <w:kern w:val="0"/>
          <w:szCs w:val="32"/>
          <w:lang w:eastAsia="zh-HK"/>
        </w:rPr>
        <w:t>較前一年度增加</w:t>
      </w:r>
      <w:r w:rsidRPr="00A13972">
        <w:rPr>
          <w:rFonts w:hAnsi="標楷體" w:hint="eastAsia"/>
          <w:szCs w:val="32"/>
        </w:rPr>
        <w:t>約207萬公噸，主要增加有電弧爐煉鋼爐碴33萬公噸、污泥約160萬公噸及煤灰7.6萬公噸。</w:t>
      </w:r>
      <w:r w:rsidRPr="00A13972">
        <w:rPr>
          <w:rFonts w:hAnsi="標楷體" w:cs="Arial"/>
          <w:szCs w:val="32"/>
        </w:rPr>
        <w:t>電弧爐煉鋼爐碴</w:t>
      </w:r>
      <w:r w:rsidRPr="00A13972">
        <w:rPr>
          <w:rFonts w:hAnsi="標楷體" w:cs="Arial" w:hint="eastAsia"/>
          <w:szCs w:val="32"/>
          <w:lang w:eastAsia="zh-HK"/>
        </w:rPr>
        <w:t>續因</w:t>
      </w:r>
      <w:r w:rsidRPr="00A13972">
        <w:rPr>
          <w:rFonts w:hAnsi="標楷體" w:hint="eastAsia"/>
          <w:szCs w:val="32"/>
        </w:rPr>
        <w:t>再利用用途及管理規範，</w:t>
      </w:r>
      <w:r w:rsidRPr="00A13972">
        <w:rPr>
          <w:rFonts w:hAnsi="標楷體" w:hint="eastAsia"/>
          <w:szCs w:val="32"/>
          <w:lang w:eastAsia="zh-HK"/>
        </w:rPr>
        <w:t>去化管道受限，</w:t>
      </w:r>
      <w:r w:rsidRPr="00A13972">
        <w:rPr>
          <w:rFonts w:hAnsi="標楷體" w:cs="Arial" w:hint="eastAsia"/>
          <w:szCs w:val="32"/>
          <w:lang w:eastAsia="zh-HK"/>
        </w:rPr>
        <w:t>導致全國</w:t>
      </w:r>
      <w:r w:rsidRPr="00A13972">
        <w:rPr>
          <w:rFonts w:hAnsi="標楷體" w:hint="eastAsia"/>
          <w:szCs w:val="32"/>
        </w:rPr>
        <w:t>電弧爐煉鋼</w:t>
      </w:r>
      <w:r w:rsidRPr="00A13972">
        <w:rPr>
          <w:rFonts w:hAnsi="標楷體" w:hint="eastAsia"/>
          <w:szCs w:val="32"/>
          <w:lang w:eastAsia="zh-HK"/>
        </w:rPr>
        <w:t>廠</w:t>
      </w:r>
      <w:r w:rsidRPr="00A13972">
        <w:rPr>
          <w:rFonts w:hAnsi="標楷體" w:hint="eastAsia"/>
          <w:szCs w:val="32"/>
        </w:rPr>
        <w:t>貯存量</w:t>
      </w:r>
      <w:r w:rsidRPr="00A13972">
        <w:rPr>
          <w:rFonts w:hAnsi="標楷體" w:hint="eastAsia"/>
          <w:szCs w:val="32"/>
          <w:lang w:eastAsia="zh-HK"/>
        </w:rPr>
        <w:t>仍持續增加</w:t>
      </w:r>
      <w:r w:rsidRPr="00A13972">
        <w:rPr>
          <w:rFonts w:hAnsi="標楷體" w:hint="eastAsia"/>
          <w:szCs w:val="32"/>
        </w:rPr>
        <w:t>。污泥主要為台塑公司原貯存「產品項目」副產石灰，於107年</w:t>
      </w:r>
      <w:r w:rsidRPr="00A13972">
        <w:rPr>
          <w:rFonts w:hAnsi="標楷體"/>
          <w:szCs w:val="32"/>
        </w:rPr>
        <w:t>經改判定為無機性污泥廢棄物</w:t>
      </w:r>
      <w:r w:rsidRPr="00A13972">
        <w:rPr>
          <w:rFonts w:hAnsi="標楷體" w:hint="eastAsia"/>
          <w:szCs w:val="32"/>
        </w:rPr>
        <w:t>申報貯存共162萬公噸，導致107年貯存量較106年增加。煤灰主要為</w:t>
      </w:r>
      <w:r w:rsidRPr="00A13972">
        <w:rPr>
          <w:rFonts w:hAnsi="標楷體" w:cs="Arial" w:hint="eastAsia"/>
          <w:szCs w:val="32"/>
        </w:rPr>
        <w:t>台塑石化公司麥寮二-三廠共增加約有7萬公噸。</w:t>
      </w:r>
    </w:p>
    <w:p w:rsidR="006F6DAA" w:rsidRPr="00A13972" w:rsidRDefault="006F6DAA" w:rsidP="006F6DAA">
      <w:pPr>
        <w:pStyle w:val="4"/>
        <w:numPr>
          <w:ilvl w:val="3"/>
          <w:numId w:val="5"/>
        </w:numPr>
        <w:overflowPunct/>
        <w:ind w:left="1418" w:hanging="480"/>
        <w:rPr>
          <w:rFonts w:hAnsi="標楷體"/>
          <w:bCs/>
          <w:kern w:val="0"/>
          <w:szCs w:val="32"/>
        </w:rPr>
      </w:pPr>
      <w:r w:rsidRPr="00A13972">
        <w:rPr>
          <w:rFonts w:hAnsi="標楷體" w:hint="eastAsia"/>
          <w:bCs/>
          <w:kern w:val="0"/>
          <w:szCs w:val="32"/>
        </w:rPr>
        <w:t>108</w:t>
      </w:r>
      <w:r w:rsidRPr="00A13972">
        <w:rPr>
          <w:rFonts w:hAnsi="標楷體" w:hint="eastAsia"/>
          <w:bCs/>
          <w:kern w:val="0"/>
          <w:szCs w:val="32"/>
          <w:lang w:eastAsia="zh-HK"/>
        </w:rPr>
        <w:t>年</w:t>
      </w:r>
      <w:r w:rsidRPr="00A13972">
        <w:rPr>
          <w:rFonts w:hAnsi="標楷體" w:hint="eastAsia"/>
          <w:bCs/>
          <w:kern w:val="0"/>
          <w:szCs w:val="32"/>
        </w:rPr>
        <w:t>事業</w:t>
      </w:r>
      <w:r w:rsidRPr="00A13972">
        <w:rPr>
          <w:rFonts w:hAnsi="標楷體" w:hint="eastAsia"/>
          <w:szCs w:val="32"/>
        </w:rPr>
        <w:t>廢棄物</w:t>
      </w:r>
      <w:r w:rsidRPr="00A13972">
        <w:rPr>
          <w:rFonts w:hAnsi="標楷體" w:hint="eastAsia"/>
          <w:bCs/>
          <w:kern w:val="0"/>
          <w:szCs w:val="32"/>
        </w:rPr>
        <w:t>貯</w:t>
      </w:r>
      <w:r w:rsidRPr="00A13972">
        <w:rPr>
          <w:rFonts w:hAnsi="標楷體" w:hint="eastAsia"/>
          <w:bCs/>
          <w:kern w:val="0"/>
          <w:szCs w:val="32"/>
          <w:lang w:eastAsia="zh-HK"/>
        </w:rPr>
        <w:t>存</w:t>
      </w:r>
      <w:r w:rsidRPr="00A13972">
        <w:rPr>
          <w:rFonts w:hAnsi="標楷體" w:hint="eastAsia"/>
          <w:bCs/>
          <w:kern w:val="0"/>
          <w:szCs w:val="32"/>
        </w:rPr>
        <w:t>量</w:t>
      </w:r>
      <w:r w:rsidRPr="00A13972">
        <w:rPr>
          <w:rFonts w:hAnsi="標楷體" w:hint="eastAsia"/>
          <w:bCs/>
          <w:kern w:val="0"/>
          <w:szCs w:val="32"/>
          <w:lang w:eastAsia="zh-HK"/>
        </w:rPr>
        <w:t>為</w:t>
      </w:r>
      <w:r w:rsidRPr="00A13972">
        <w:rPr>
          <w:rFonts w:hAnsi="標楷體" w:hint="eastAsia"/>
          <w:bCs/>
          <w:kern w:val="0"/>
          <w:szCs w:val="32"/>
        </w:rPr>
        <w:t>613.5</w:t>
      </w:r>
      <w:r w:rsidRPr="00A13972">
        <w:rPr>
          <w:rFonts w:hAnsi="標楷體" w:hint="eastAsia"/>
          <w:bCs/>
          <w:kern w:val="0"/>
          <w:szCs w:val="32"/>
          <w:lang w:eastAsia="zh-HK"/>
        </w:rPr>
        <w:t>萬公噸</w:t>
      </w:r>
      <w:r w:rsidRPr="00A13972">
        <w:rPr>
          <w:rFonts w:hAnsi="標楷體" w:hint="eastAsia"/>
          <w:bCs/>
          <w:kern w:val="0"/>
          <w:szCs w:val="32"/>
        </w:rPr>
        <w:t>，</w:t>
      </w:r>
      <w:r w:rsidRPr="00A13972">
        <w:rPr>
          <w:rFonts w:hAnsi="標楷體" w:hint="eastAsia"/>
          <w:bCs/>
          <w:kern w:val="0"/>
          <w:szCs w:val="32"/>
          <w:lang w:eastAsia="zh-HK"/>
        </w:rPr>
        <w:t>較前</w:t>
      </w:r>
      <w:r w:rsidRPr="00A13972">
        <w:rPr>
          <w:rFonts w:hAnsi="標楷體" w:hint="eastAsia"/>
          <w:bCs/>
          <w:kern w:val="0"/>
          <w:szCs w:val="32"/>
        </w:rPr>
        <w:t>1</w:t>
      </w:r>
      <w:r w:rsidRPr="00A13972">
        <w:rPr>
          <w:rFonts w:hAnsi="標楷體" w:hint="eastAsia"/>
          <w:bCs/>
          <w:kern w:val="0"/>
          <w:szCs w:val="32"/>
          <w:lang w:eastAsia="zh-HK"/>
        </w:rPr>
        <w:t>年度減少</w:t>
      </w:r>
      <w:r w:rsidRPr="00A13972">
        <w:rPr>
          <w:rFonts w:hAnsi="標楷體" w:hint="eastAsia"/>
          <w:szCs w:val="32"/>
        </w:rPr>
        <w:t>約0.5萬公噸。</w:t>
      </w:r>
    </w:p>
    <w:p w:rsidR="006F6DAA" w:rsidRPr="00A13972" w:rsidRDefault="006F6DAA" w:rsidP="006F6DAA">
      <w:pPr>
        <w:pStyle w:val="aff0"/>
        <w:jc w:val="center"/>
        <w:rPr>
          <w:rFonts w:hAnsi="標楷體"/>
          <w:bCs/>
          <w:kern w:val="0"/>
          <w:sz w:val="32"/>
          <w:szCs w:val="32"/>
          <w:lang w:eastAsia="zh-HK"/>
        </w:rPr>
      </w:pPr>
      <w:r w:rsidRPr="00A13972">
        <w:rPr>
          <w:rFonts w:hAnsi="標楷體" w:hint="eastAsia"/>
          <w:bCs/>
          <w:kern w:val="0"/>
          <w:sz w:val="32"/>
          <w:szCs w:val="32"/>
          <w:lang w:eastAsia="zh-HK"/>
        </w:rPr>
        <w:lastRenderedPageBreak/>
        <w:t>表</w:t>
      </w:r>
      <w:r w:rsidRPr="00A13972">
        <w:rPr>
          <w:rFonts w:hAnsi="標楷體"/>
          <w:bCs/>
          <w:kern w:val="0"/>
          <w:sz w:val="32"/>
          <w:szCs w:val="32"/>
          <w:lang w:eastAsia="zh-HK"/>
        </w:rPr>
        <w:fldChar w:fldCharType="begin"/>
      </w:r>
      <w:r w:rsidRPr="00A13972">
        <w:rPr>
          <w:rFonts w:hAnsi="標楷體"/>
          <w:bCs/>
          <w:kern w:val="0"/>
          <w:sz w:val="32"/>
          <w:szCs w:val="32"/>
          <w:lang w:eastAsia="zh-HK"/>
        </w:rPr>
        <w:instrText xml:space="preserve"> </w:instrText>
      </w:r>
      <w:r w:rsidRPr="00A13972">
        <w:rPr>
          <w:rFonts w:hAnsi="標楷體" w:hint="eastAsia"/>
          <w:bCs/>
          <w:kern w:val="0"/>
          <w:sz w:val="32"/>
          <w:szCs w:val="32"/>
          <w:lang w:eastAsia="zh-HK"/>
        </w:rPr>
        <w:instrText>SEQ 表 \* ARABIC</w:instrText>
      </w:r>
      <w:r w:rsidRPr="00A13972">
        <w:rPr>
          <w:rFonts w:hAnsi="標楷體"/>
          <w:bCs/>
          <w:kern w:val="0"/>
          <w:sz w:val="32"/>
          <w:szCs w:val="32"/>
          <w:lang w:eastAsia="zh-HK"/>
        </w:rPr>
        <w:instrText xml:space="preserve"> </w:instrText>
      </w:r>
      <w:r w:rsidRPr="00A13972">
        <w:rPr>
          <w:rFonts w:hAnsi="標楷體"/>
          <w:bCs/>
          <w:kern w:val="0"/>
          <w:sz w:val="32"/>
          <w:szCs w:val="32"/>
          <w:lang w:eastAsia="zh-HK"/>
        </w:rPr>
        <w:fldChar w:fldCharType="separate"/>
      </w:r>
      <w:r w:rsidR="00A85DC6">
        <w:rPr>
          <w:rFonts w:hAnsi="標楷體"/>
          <w:bCs/>
          <w:noProof/>
          <w:kern w:val="0"/>
          <w:sz w:val="32"/>
          <w:szCs w:val="32"/>
          <w:lang w:eastAsia="zh-HK"/>
        </w:rPr>
        <w:t>7</w:t>
      </w:r>
      <w:r w:rsidRPr="00A13972">
        <w:rPr>
          <w:rFonts w:hAnsi="標楷體"/>
          <w:bCs/>
          <w:kern w:val="0"/>
          <w:sz w:val="32"/>
          <w:szCs w:val="32"/>
          <w:lang w:eastAsia="zh-HK"/>
        </w:rPr>
        <w:fldChar w:fldCharType="end"/>
      </w:r>
      <w:r w:rsidRPr="00A13972">
        <w:rPr>
          <w:rFonts w:hAnsi="標楷體" w:hint="eastAsia"/>
          <w:bCs/>
          <w:kern w:val="0"/>
          <w:sz w:val="32"/>
          <w:szCs w:val="32"/>
          <w:lang w:eastAsia="zh-HK"/>
        </w:rPr>
        <w:t>、</w:t>
      </w:r>
      <w:r w:rsidR="007A062C" w:rsidRPr="00A13972">
        <w:rPr>
          <w:rFonts w:hAnsi="標楷體" w:hint="eastAsia"/>
          <w:bCs/>
          <w:kern w:val="0"/>
          <w:sz w:val="32"/>
          <w:szCs w:val="32"/>
        </w:rPr>
        <w:t>104</w:t>
      </w:r>
      <w:r w:rsidR="007A062C" w:rsidRPr="00A13972">
        <w:rPr>
          <w:rFonts w:hAnsi="標楷體" w:hint="eastAsia"/>
          <w:bCs/>
          <w:kern w:val="0"/>
          <w:sz w:val="32"/>
          <w:szCs w:val="32"/>
          <w:lang w:eastAsia="zh-HK"/>
        </w:rPr>
        <w:t>年</w:t>
      </w:r>
      <w:r w:rsidR="007A062C" w:rsidRPr="00A13972">
        <w:rPr>
          <w:rFonts w:hAnsi="標楷體" w:hint="eastAsia"/>
          <w:bCs/>
          <w:kern w:val="0"/>
          <w:sz w:val="32"/>
          <w:szCs w:val="32"/>
        </w:rPr>
        <w:t>至108年間</w:t>
      </w:r>
      <w:r w:rsidR="007A062C" w:rsidRPr="00A13972">
        <w:rPr>
          <w:rFonts w:hAnsi="標楷體" w:hint="eastAsia"/>
          <w:bCs/>
          <w:kern w:val="0"/>
          <w:sz w:val="32"/>
          <w:szCs w:val="32"/>
          <w:lang w:eastAsia="zh-HK"/>
        </w:rPr>
        <w:t>「事業廢棄物」貯存</w:t>
      </w:r>
      <w:r w:rsidR="007A062C" w:rsidRPr="00A13972">
        <w:rPr>
          <w:rFonts w:hAnsi="標楷體" w:hint="eastAsia"/>
          <w:bCs/>
          <w:kern w:val="0"/>
          <w:sz w:val="32"/>
          <w:szCs w:val="32"/>
        </w:rPr>
        <w:t>異動情形</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1134"/>
        <w:gridCol w:w="1134"/>
        <w:gridCol w:w="992"/>
        <w:gridCol w:w="992"/>
        <w:gridCol w:w="851"/>
        <w:gridCol w:w="815"/>
        <w:gridCol w:w="1028"/>
        <w:gridCol w:w="1417"/>
      </w:tblGrid>
      <w:tr w:rsidR="00A13972" w:rsidRPr="00A13972" w:rsidTr="007A062C">
        <w:trPr>
          <w:trHeight w:val="222"/>
        </w:trPr>
        <w:tc>
          <w:tcPr>
            <w:tcW w:w="709" w:type="dxa"/>
            <w:vMerge w:val="restart"/>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bCs/>
                <w:color w:val="auto"/>
                <w:kern w:val="0"/>
                <w:szCs w:val="24"/>
              </w:rPr>
            </w:pPr>
            <w:r w:rsidRPr="00A13972">
              <w:rPr>
                <w:rFonts w:ascii="標楷體" w:eastAsia="標楷體" w:hAnsi="標楷體" w:hint="eastAsia"/>
                <w:b/>
                <w:bCs/>
                <w:color w:val="auto"/>
                <w:kern w:val="0"/>
                <w:szCs w:val="24"/>
                <w:lang w:eastAsia="zh-HK"/>
              </w:rPr>
              <w:t>年度</w:t>
            </w:r>
          </w:p>
        </w:tc>
        <w:tc>
          <w:tcPr>
            <w:tcW w:w="709" w:type="dxa"/>
            <w:vMerge w:val="restart"/>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bCs/>
                <w:color w:val="auto"/>
                <w:kern w:val="0"/>
                <w:szCs w:val="24"/>
              </w:rPr>
            </w:pPr>
            <w:r w:rsidRPr="00A13972">
              <w:rPr>
                <w:rFonts w:ascii="標楷體" w:eastAsia="標楷體" w:hAnsi="標楷體" w:hint="eastAsia"/>
                <w:b/>
                <w:bCs/>
                <w:color w:val="auto"/>
                <w:kern w:val="0"/>
                <w:szCs w:val="24"/>
              </w:rPr>
              <w:t>類別</w:t>
            </w:r>
          </w:p>
        </w:tc>
        <w:tc>
          <w:tcPr>
            <w:tcW w:w="9639" w:type="dxa"/>
            <w:gridSpan w:val="9"/>
            <w:shd w:val="clear" w:color="auto" w:fill="DBE5F1" w:themeFill="accent1" w:themeFillTint="33"/>
            <w:vAlign w:val="center"/>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事  業  廢  棄  物  貯  存  異  動  量             (單位：公噸)</w:t>
            </w:r>
          </w:p>
        </w:tc>
      </w:tr>
      <w:tr w:rsidR="00A13972" w:rsidRPr="00A13972" w:rsidTr="007A062C">
        <w:trPr>
          <w:trHeight w:val="177"/>
        </w:trPr>
        <w:tc>
          <w:tcPr>
            <w:tcW w:w="709" w:type="dxa"/>
            <w:vMerge/>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bCs/>
                <w:color w:val="auto"/>
                <w:kern w:val="0"/>
                <w:szCs w:val="24"/>
              </w:rPr>
            </w:pPr>
          </w:p>
        </w:tc>
        <w:tc>
          <w:tcPr>
            <w:tcW w:w="709" w:type="dxa"/>
            <w:vMerge/>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bCs/>
                <w:color w:val="auto"/>
                <w:kern w:val="0"/>
                <w:szCs w:val="24"/>
              </w:rPr>
            </w:pPr>
          </w:p>
        </w:tc>
        <w:tc>
          <w:tcPr>
            <w:tcW w:w="1276"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工業</w:t>
            </w:r>
          </w:p>
        </w:tc>
        <w:tc>
          <w:tcPr>
            <w:tcW w:w="1134"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營建</w:t>
            </w:r>
          </w:p>
        </w:tc>
        <w:tc>
          <w:tcPr>
            <w:tcW w:w="1134"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農林</w:t>
            </w:r>
          </w:p>
        </w:tc>
        <w:tc>
          <w:tcPr>
            <w:tcW w:w="992"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醫療</w:t>
            </w:r>
          </w:p>
        </w:tc>
        <w:tc>
          <w:tcPr>
            <w:tcW w:w="992"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交通</w:t>
            </w:r>
          </w:p>
        </w:tc>
        <w:tc>
          <w:tcPr>
            <w:tcW w:w="851"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教育</w:t>
            </w:r>
          </w:p>
        </w:tc>
        <w:tc>
          <w:tcPr>
            <w:tcW w:w="815"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國防</w:t>
            </w:r>
          </w:p>
        </w:tc>
        <w:tc>
          <w:tcPr>
            <w:tcW w:w="1028"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bCs/>
                <w:color w:val="auto"/>
                <w:kern w:val="0"/>
                <w:szCs w:val="24"/>
              </w:rPr>
              <w:t>其他</w:t>
            </w:r>
          </w:p>
        </w:tc>
        <w:tc>
          <w:tcPr>
            <w:tcW w:w="1417" w:type="dxa"/>
            <w:shd w:val="clear" w:color="auto" w:fill="DBE5F1" w:themeFill="accent1" w:themeFillTint="33"/>
          </w:tcPr>
          <w:p w:rsidR="006F6DAA" w:rsidRPr="00A13972" w:rsidRDefault="006F6DAA" w:rsidP="007A062C">
            <w:pPr>
              <w:pStyle w:val="aff"/>
              <w:overflowPunct w:val="0"/>
              <w:spacing w:line="400" w:lineRule="exact"/>
              <w:jc w:val="distribute"/>
              <w:rPr>
                <w:rFonts w:ascii="標楷體" w:eastAsia="標楷體" w:hAnsi="標楷體"/>
                <w:b/>
                <w:color w:val="auto"/>
                <w:szCs w:val="24"/>
              </w:rPr>
            </w:pPr>
            <w:r w:rsidRPr="00A13972">
              <w:rPr>
                <w:rFonts w:ascii="標楷體" w:eastAsia="標楷體" w:hAnsi="標楷體" w:hint="eastAsia"/>
                <w:b/>
                <w:color w:val="auto"/>
                <w:szCs w:val="24"/>
              </w:rPr>
              <w:t>總計</w:t>
            </w:r>
          </w:p>
        </w:tc>
      </w:tr>
      <w:tr w:rsidR="00A13972" w:rsidRPr="00A13972" w:rsidTr="007A062C">
        <w:tc>
          <w:tcPr>
            <w:tcW w:w="709" w:type="dxa"/>
            <w:vMerge w:val="restart"/>
            <w:shd w:val="clear" w:color="auto" w:fill="auto"/>
            <w:vAlign w:val="center"/>
          </w:tcPr>
          <w:p w:rsidR="006F6DAA" w:rsidRPr="00A13972" w:rsidRDefault="006F6DAA" w:rsidP="007A062C">
            <w:pPr>
              <w:jc w:val="center"/>
              <w:rPr>
                <w:rFonts w:hAnsi="標楷體" w:cs="新細明體"/>
                <w:sz w:val="24"/>
                <w:szCs w:val="24"/>
              </w:rPr>
            </w:pPr>
            <w:r w:rsidRPr="00A13972">
              <w:rPr>
                <w:rFonts w:hAnsi="標楷體" w:hint="eastAsia"/>
                <w:sz w:val="24"/>
                <w:szCs w:val="24"/>
              </w:rPr>
              <w:t>104</w:t>
            </w: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一般</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74,551</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23,554</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-4,506</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1,232</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155</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214</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-3,796</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91,401</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有害</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-62,272</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910</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18</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-12</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-12</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33</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415</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-60,919</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總計</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12,279</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24,464</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-4,487</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1,234</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143</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202</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31</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-3,381</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highlight w:val="lightGray"/>
              </w:rPr>
              <w:t>30,485</w:t>
            </w:r>
          </w:p>
        </w:tc>
      </w:tr>
      <w:tr w:rsidR="00A13972" w:rsidRPr="00A13972" w:rsidTr="007A062C">
        <w:tc>
          <w:tcPr>
            <w:tcW w:w="709" w:type="dxa"/>
            <w:vMerge w:val="restart"/>
            <w:shd w:val="clear" w:color="auto" w:fill="auto"/>
            <w:vAlign w:val="center"/>
          </w:tcPr>
          <w:p w:rsidR="006F6DAA" w:rsidRPr="00A13972" w:rsidRDefault="006F6DAA" w:rsidP="007A062C">
            <w:pPr>
              <w:jc w:val="center"/>
              <w:rPr>
                <w:rFonts w:hAnsi="標楷體" w:cs="新細明體"/>
                <w:sz w:val="24"/>
                <w:szCs w:val="24"/>
              </w:rPr>
            </w:pPr>
            <w:r w:rsidRPr="00A13972">
              <w:rPr>
                <w:rFonts w:hAnsi="標楷體" w:hint="eastAsia"/>
                <w:sz w:val="24"/>
                <w:szCs w:val="24"/>
              </w:rPr>
              <w:t>105</w:t>
            </w: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一般</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926,925</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71,537</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-9,309</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-456</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3,269</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51</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39</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86,317</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1,078,373</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有害</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-30,883</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-910</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-16</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21</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0</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21</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190</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-31,580</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總計</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896,041</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70,627</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-9,325</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-459</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3,291</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51</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60</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86,507</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highlight w:val="lightGray"/>
              </w:rPr>
              <w:t>1,046,793</w:t>
            </w:r>
          </w:p>
        </w:tc>
      </w:tr>
      <w:tr w:rsidR="00A13972" w:rsidRPr="00A13972" w:rsidTr="007A062C">
        <w:tc>
          <w:tcPr>
            <w:tcW w:w="709" w:type="dxa"/>
            <w:vMerge w:val="restart"/>
            <w:shd w:val="clear" w:color="auto" w:fill="auto"/>
            <w:vAlign w:val="center"/>
          </w:tcPr>
          <w:p w:rsidR="006F6DAA" w:rsidRPr="00A13972" w:rsidRDefault="006F6DAA" w:rsidP="007A062C">
            <w:pPr>
              <w:jc w:val="center"/>
              <w:rPr>
                <w:rFonts w:hAnsi="標楷體" w:cs="新細明體"/>
                <w:sz w:val="24"/>
                <w:szCs w:val="24"/>
              </w:rPr>
            </w:pPr>
            <w:r w:rsidRPr="00A13972">
              <w:rPr>
                <w:rFonts w:hAnsi="標楷體" w:hint="eastAsia"/>
                <w:sz w:val="24"/>
                <w:szCs w:val="24"/>
              </w:rPr>
              <w:t>106</w:t>
            </w: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一般</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490,055</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-32,214</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4,771</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-52</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25</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159</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-946</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-43,675</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418,123</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有害</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6,707</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14</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53</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-26</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17</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-496</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6,267</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總計</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496,762</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-32,215</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4,770</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-38</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78</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132</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-929</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-44,171</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highlight w:val="lightGray"/>
              </w:rPr>
              <w:t>424,389</w:t>
            </w:r>
          </w:p>
        </w:tc>
      </w:tr>
      <w:tr w:rsidR="00A13972" w:rsidRPr="00A13972" w:rsidTr="007A062C">
        <w:tc>
          <w:tcPr>
            <w:tcW w:w="709" w:type="dxa"/>
            <w:vMerge w:val="restart"/>
            <w:shd w:val="clear" w:color="auto" w:fill="auto"/>
            <w:vAlign w:val="center"/>
          </w:tcPr>
          <w:p w:rsidR="006F6DAA" w:rsidRPr="00A13972" w:rsidRDefault="006F6DAA" w:rsidP="007A062C">
            <w:pPr>
              <w:jc w:val="center"/>
              <w:rPr>
                <w:rFonts w:hAnsi="標楷體" w:cs="新細明體"/>
                <w:sz w:val="24"/>
                <w:szCs w:val="24"/>
              </w:rPr>
            </w:pPr>
            <w:r w:rsidRPr="00A13972">
              <w:rPr>
                <w:rFonts w:hAnsi="標楷體" w:hint="eastAsia"/>
                <w:sz w:val="24"/>
                <w:szCs w:val="24"/>
              </w:rPr>
              <w:t>107</w:t>
            </w: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一般</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2,022,294</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90,541</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-3,361</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-158</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88</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-318</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-52</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-32,881</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2,076,154</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有害</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-5,649</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 xml:space="preserve">　</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-62</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363</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-26</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-562</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-5,935</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總計</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2,016,646</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90,541</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-3,361</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-157</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26</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45</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-78</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-33,443</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highlight w:val="lightGray"/>
              </w:rPr>
              <w:t>2,070,220</w:t>
            </w:r>
          </w:p>
        </w:tc>
      </w:tr>
      <w:tr w:rsidR="00A13972" w:rsidRPr="00A13972" w:rsidTr="007A062C">
        <w:tc>
          <w:tcPr>
            <w:tcW w:w="709" w:type="dxa"/>
            <w:vMerge w:val="restart"/>
            <w:shd w:val="clear" w:color="auto" w:fill="auto"/>
            <w:vAlign w:val="center"/>
          </w:tcPr>
          <w:p w:rsidR="006F6DAA" w:rsidRPr="00A13972" w:rsidRDefault="006F6DAA" w:rsidP="007A062C">
            <w:pPr>
              <w:jc w:val="center"/>
              <w:rPr>
                <w:rFonts w:hAnsi="標楷體" w:cs="新細明體"/>
                <w:sz w:val="24"/>
                <w:szCs w:val="24"/>
              </w:rPr>
            </w:pPr>
            <w:r w:rsidRPr="00A13972">
              <w:rPr>
                <w:rFonts w:hAnsi="標楷體" w:hint="eastAsia"/>
                <w:sz w:val="24"/>
                <w:szCs w:val="24"/>
              </w:rPr>
              <w:t>108</w:t>
            </w: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一般</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127,922</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-142,144</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13,475</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-220</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-1,011</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-58</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-32</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2,196</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128</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有害</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-4,577</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 xml:space="preserve">　</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 xml:space="preserve">　</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-14</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-13</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-406</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-5</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22</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-4,993</w:t>
            </w:r>
          </w:p>
        </w:tc>
      </w:tr>
      <w:tr w:rsidR="00A13972" w:rsidRPr="00A13972" w:rsidTr="007A062C">
        <w:tc>
          <w:tcPr>
            <w:tcW w:w="709" w:type="dxa"/>
            <w:vMerge/>
            <w:shd w:val="clear" w:color="auto" w:fill="auto"/>
          </w:tcPr>
          <w:p w:rsidR="006F6DAA" w:rsidRPr="00A13972" w:rsidRDefault="006F6DAA" w:rsidP="007A062C">
            <w:pPr>
              <w:rPr>
                <w:rFonts w:hAnsi="標楷體" w:cs="新細明體"/>
                <w:sz w:val="24"/>
                <w:szCs w:val="24"/>
              </w:rPr>
            </w:pPr>
          </w:p>
        </w:tc>
        <w:tc>
          <w:tcPr>
            <w:tcW w:w="709" w:type="dxa"/>
          </w:tcPr>
          <w:p w:rsidR="006F6DAA" w:rsidRPr="00A13972" w:rsidRDefault="006F6DAA" w:rsidP="007A062C">
            <w:pPr>
              <w:rPr>
                <w:rFonts w:hAnsi="標楷體" w:cs="新細明體"/>
                <w:sz w:val="24"/>
                <w:szCs w:val="24"/>
              </w:rPr>
            </w:pPr>
            <w:r w:rsidRPr="00A13972">
              <w:rPr>
                <w:rFonts w:hAnsi="標楷體" w:hint="eastAsia"/>
                <w:sz w:val="24"/>
                <w:szCs w:val="24"/>
              </w:rPr>
              <w:t>總計</w:t>
            </w:r>
          </w:p>
        </w:tc>
        <w:tc>
          <w:tcPr>
            <w:tcW w:w="1276"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123,344</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-142,144</w:t>
            </w:r>
          </w:p>
        </w:tc>
        <w:tc>
          <w:tcPr>
            <w:tcW w:w="1134"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13,475</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-234</w:t>
            </w:r>
          </w:p>
        </w:tc>
        <w:tc>
          <w:tcPr>
            <w:tcW w:w="992"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-1,025</w:t>
            </w:r>
          </w:p>
        </w:tc>
        <w:tc>
          <w:tcPr>
            <w:tcW w:w="851"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-463</w:t>
            </w:r>
          </w:p>
        </w:tc>
        <w:tc>
          <w:tcPr>
            <w:tcW w:w="815"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-37</w:t>
            </w:r>
          </w:p>
        </w:tc>
        <w:tc>
          <w:tcPr>
            <w:tcW w:w="1028"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rPr>
              <w:t>2,218</w:t>
            </w:r>
          </w:p>
        </w:tc>
        <w:tc>
          <w:tcPr>
            <w:tcW w:w="1417" w:type="dxa"/>
            <w:shd w:val="clear" w:color="auto" w:fill="auto"/>
          </w:tcPr>
          <w:p w:rsidR="006F6DAA" w:rsidRPr="00A13972" w:rsidRDefault="006F6DAA" w:rsidP="007A062C">
            <w:pPr>
              <w:jc w:val="right"/>
              <w:rPr>
                <w:rFonts w:hAnsi="標楷體" w:cs="新細明體"/>
                <w:sz w:val="24"/>
                <w:szCs w:val="24"/>
              </w:rPr>
            </w:pPr>
            <w:r w:rsidRPr="00A13972">
              <w:rPr>
                <w:rFonts w:hAnsi="標楷體" w:hint="eastAsia"/>
                <w:sz w:val="24"/>
                <w:szCs w:val="24"/>
                <w:highlight w:val="lightGray"/>
              </w:rPr>
              <w:t>-4,865</w:t>
            </w:r>
          </w:p>
        </w:tc>
      </w:tr>
    </w:tbl>
    <w:p w:rsidR="000F03CD" w:rsidRPr="00A13972" w:rsidRDefault="006F6DAA" w:rsidP="006F6DAA">
      <w:pPr>
        <w:pStyle w:val="3"/>
        <w:numPr>
          <w:ilvl w:val="0"/>
          <w:numId w:val="0"/>
        </w:numPr>
        <w:ind w:leftChars="-333" w:left="-1133"/>
      </w:pPr>
      <w:r w:rsidRPr="00A13972">
        <w:rPr>
          <w:sz w:val="24"/>
          <w:szCs w:val="24"/>
        </w:rPr>
        <w:t>資料來源：</w:t>
      </w:r>
      <w:r w:rsidRPr="00A13972">
        <w:rPr>
          <w:rFonts w:hint="eastAsia"/>
          <w:sz w:val="24"/>
          <w:szCs w:val="24"/>
        </w:rPr>
        <w:t>環保</w:t>
      </w:r>
      <w:r w:rsidRPr="00A13972">
        <w:rPr>
          <w:sz w:val="24"/>
          <w:szCs w:val="24"/>
        </w:rPr>
        <w:t>署</w:t>
      </w:r>
      <w:r w:rsidRPr="00A13972">
        <w:rPr>
          <w:rFonts w:hint="eastAsia"/>
          <w:sz w:val="24"/>
          <w:szCs w:val="24"/>
        </w:rPr>
        <w:t>提供。</w:t>
      </w:r>
    </w:p>
    <w:p w:rsidR="000F03CD" w:rsidRPr="00A13972" w:rsidRDefault="001C68A7" w:rsidP="006F6DAA">
      <w:pPr>
        <w:pStyle w:val="3"/>
      </w:pPr>
      <w:r w:rsidRPr="00A13972">
        <w:rPr>
          <w:rFonts w:hAnsi="標楷體" w:hint="eastAsia"/>
          <w:szCs w:val="32"/>
        </w:rPr>
        <w:t>本院於110年3月22日約請經濟部與環保署到院說明，情形如下：</w:t>
      </w:r>
    </w:p>
    <w:p w:rsidR="001C68A7" w:rsidRPr="00A13972" w:rsidRDefault="001C68A7" w:rsidP="001C68A7">
      <w:pPr>
        <w:pStyle w:val="4"/>
        <w:numPr>
          <w:ilvl w:val="3"/>
          <w:numId w:val="5"/>
        </w:numPr>
        <w:overflowPunct/>
        <w:ind w:left="1418" w:hanging="480"/>
      </w:pPr>
      <w:r w:rsidRPr="00A13972">
        <w:rPr>
          <w:rFonts w:hAnsi="標楷體" w:hint="eastAsia"/>
          <w:szCs w:val="32"/>
        </w:rPr>
        <w:t>經濟部相關主管人員稱</w:t>
      </w:r>
      <w:r w:rsidRPr="00A13972">
        <w:rPr>
          <w:rFonts w:ascii="新細明體" w:eastAsia="新細明體" w:hAnsi="新細明體" w:hint="eastAsia"/>
          <w:szCs w:val="32"/>
        </w:rPr>
        <w:t>：</w:t>
      </w:r>
    </w:p>
    <w:p w:rsidR="001C68A7" w:rsidRPr="00A13972" w:rsidRDefault="001C68A7" w:rsidP="00434348">
      <w:pPr>
        <w:pStyle w:val="5"/>
      </w:pPr>
      <w:r w:rsidRPr="00A13972">
        <w:rPr>
          <w:rFonts w:hint="eastAsia"/>
          <w:szCs w:val="32"/>
        </w:rPr>
        <w:t>申請</w:t>
      </w:r>
      <w:r w:rsidRPr="00A13972">
        <w:rPr>
          <w:rFonts w:hAnsi="標楷體" w:hint="eastAsia"/>
          <w:kern w:val="0"/>
          <w:szCs w:val="24"/>
        </w:rPr>
        <w:t>「</w:t>
      </w:r>
      <w:r w:rsidRPr="00A13972">
        <w:rPr>
          <w:rFonts w:hint="eastAsia"/>
        </w:rPr>
        <w:t>歡迎</w:t>
      </w:r>
      <w:r w:rsidRPr="00A13972">
        <w:rPr>
          <w:rFonts w:hAnsi="標楷體" w:hint="eastAsia"/>
          <w:kern w:val="0"/>
          <w:szCs w:val="24"/>
        </w:rPr>
        <w:t>臺商回臺投資行動方案」</w:t>
      </w:r>
      <w:r w:rsidRPr="00A13972">
        <w:rPr>
          <w:rFonts w:hint="eastAsia"/>
          <w:szCs w:val="32"/>
        </w:rPr>
        <w:t>之企業，需提交投資計畫書，載明實質投資內容，包括</w:t>
      </w:r>
      <w:r w:rsidRPr="00A13972">
        <w:rPr>
          <w:rFonts w:hint="eastAsia"/>
          <w:szCs w:val="32"/>
        </w:rPr>
        <w:lastRenderedPageBreak/>
        <w:t>受美中貿易戰衝擊影響、回臺投資內容、設置地點及</w:t>
      </w:r>
      <w:r w:rsidR="00434348" w:rsidRPr="00A13972">
        <w:rPr>
          <w:rFonts w:hint="eastAsia"/>
          <w:szCs w:val="32"/>
        </w:rPr>
        <w:t>預計完成日期等，惟未請廠商提供可能產生之廢棄物相關資料，爰無法推估上開臺商回臺投資可能產生事業廢棄物之量值。</w:t>
      </w:r>
    </w:p>
    <w:p w:rsidR="00434348" w:rsidRPr="00A13972" w:rsidRDefault="00434348" w:rsidP="00434348">
      <w:pPr>
        <w:pStyle w:val="5"/>
      </w:pPr>
      <w:r w:rsidRPr="00A13972">
        <w:rPr>
          <w:rFonts w:hint="eastAsia"/>
          <w:szCs w:val="32"/>
        </w:rPr>
        <w:t>申請「投資臺灣三大方案」廠商除須符合共同資格外，亦須符合其中一項特定資格，當中「</w:t>
      </w:r>
      <w:r w:rsidRPr="00A13972">
        <w:rPr>
          <w:rFonts w:ascii="Times New Roman"/>
          <w:szCs w:val="32"/>
        </w:rPr>
        <w:t>5+2</w:t>
      </w:r>
      <w:r w:rsidRPr="00A13972">
        <w:rPr>
          <w:rFonts w:hint="eastAsia"/>
          <w:szCs w:val="32"/>
        </w:rPr>
        <w:t>」產業創新循環經濟規劃是建構從動脈產業（製造與消費）到靜脈產業（資源回收再利用），兼顧經濟與環境的循環發展模式。有感於臺商回臺投資設廠預期事業廢棄物產量將大幅成長，國內廢棄物處理廠商利用方案優惠與協助，加速投資循環經濟事業，緩解廢棄物與污染問題。截至目前為止，三大方案已通過共</w:t>
      </w:r>
      <w:r w:rsidRPr="00A13972">
        <w:rPr>
          <w:rFonts w:ascii="Times New Roman"/>
          <w:szCs w:val="32"/>
        </w:rPr>
        <w:t>55</w:t>
      </w:r>
      <w:r w:rsidRPr="00A13972">
        <w:rPr>
          <w:rFonts w:hint="eastAsia"/>
          <w:szCs w:val="32"/>
        </w:rPr>
        <w:t>家廠商投資綠色產業，總投資金額逾</w:t>
      </w:r>
      <w:r w:rsidRPr="00A13972">
        <w:rPr>
          <w:rFonts w:ascii="Times New Roman"/>
          <w:szCs w:val="32"/>
        </w:rPr>
        <w:t>755</w:t>
      </w:r>
      <w:r w:rsidRPr="00A13972">
        <w:rPr>
          <w:rFonts w:hint="eastAsia"/>
          <w:szCs w:val="32"/>
        </w:rPr>
        <w:t>億元，透過投資創新轉型之綠色產業，將原本已不可利用的廢棄物，轉化為再生資源，強化產業循環動能，實現資源永續效益，讓資源不斷循環，共創雙贏循環經濟模式。</w:t>
      </w:r>
    </w:p>
    <w:p w:rsidR="00434348" w:rsidRPr="00A13972" w:rsidRDefault="00434348" w:rsidP="00434348">
      <w:pPr>
        <w:pStyle w:val="4"/>
        <w:numPr>
          <w:ilvl w:val="3"/>
          <w:numId w:val="5"/>
        </w:numPr>
        <w:overflowPunct/>
        <w:ind w:left="1418" w:hanging="480"/>
      </w:pPr>
      <w:r w:rsidRPr="00A13972">
        <w:rPr>
          <w:rFonts w:hAnsi="標楷體" w:hint="eastAsia"/>
          <w:szCs w:val="32"/>
        </w:rPr>
        <w:t>環保署相關主管人員稱</w:t>
      </w:r>
      <w:r w:rsidRPr="00A13972">
        <w:rPr>
          <w:rFonts w:ascii="新細明體" w:eastAsia="新細明體" w:hAnsi="新細明體" w:hint="eastAsia"/>
          <w:szCs w:val="32"/>
        </w:rPr>
        <w:t>：</w:t>
      </w:r>
    </w:p>
    <w:p w:rsidR="00434348" w:rsidRPr="00A13972" w:rsidRDefault="00434348" w:rsidP="00434348">
      <w:pPr>
        <w:pStyle w:val="5"/>
      </w:pPr>
      <w:r w:rsidRPr="00A13972">
        <w:rPr>
          <w:rFonts w:hint="eastAsia"/>
        </w:rPr>
        <w:t>依</w:t>
      </w:r>
      <w:r w:rsidRPr="00A13972">
        <w:rPr>
          <w:rFonts w:hAnsi="標楷體" w:hint="eastAsia"/>
        </w:rPr>
        <w:t>「</w:t>
      </w:r>
      <w:r w:rsidRPr="00A13972">
        <w:rPr>
          <w:rFonts w:hint="eastAsia"/>
        </w:rPr>
        <w:t>廢棄物清理法</w:t>
      </w:r>
      <w:r w:rsidRPr="00A13972">
        <w:rPr>
          <w:rFonts w:hAnsi="標楷體" w:hint="eastAsia"/>
        </w:rPr>
        <w:t>」</w:t>
      </w:r>
      <w:r w:rsidRPr="00A13972">
        <w:rPr>
          <w:rFonts w:hint="eastAsia"/>
        </w:rPr>
        <w:t>第</w:t>
      </w:r>
      <w:r w:rsidRPr="00A13972">
        <w:rPr>
          <w:rFonts w:ascii="Times New Roman"/>
        </w:rPr>
        <w:t>31</w:t>
      </w:r>
      <w:r w:rsidRPr="00A13972">
        <w:rPr>
          <w:rFonts w:hint="eastAsia"/>
        </w:rPr>
        <w:t>條第</w:t>
      </w:r>
      <w:r w:rsidRPr="00A13972">
        <w:rPr>
          <w:rFonts w:ascii="Times New Roman"/>
        </w:rPr>
        <w:t>1</w:t>
      </w:r>
      <w:r w:rsidRPr="00A13972">
        <w:rPr>
          <w:rFonts w:hint="eastAsia"/>
        </w:rPr>
        <w:t>項第</w:t>
      </w:r>
      <w:r w:rsidRPr="00A13972">
        <w:rPr>
          <w:rFonts w:ascii="Times New Roman"/>
        </w:rPr>
        <w:t>1</w:t>
      </w:r>
      <w:r w:rsidRPr="00A13972">
        <w:rPr>
          <w:rFonts w:hint="eastAsia"/>
        </w:rPr>
        <w:t>款規定略以，經中央主管機關指定公告一定規模之事業應檢具事業廢棄物清理計畫書，送直轄市、縣（市）主管機關或中央主管機關委託之機關審查核准後，始得營運。新設事業須於營運前檢具事業廢棄物清理計畫書送地方政府環保局審查核准後，始得營運。</w:t>
      </w:r>
    </w:p>
    <w:p w:rsidR="00434348" w:rsidRPr="00A13972" w:rsidRDefault="00434348" w:rsidP="00434348">
      <w:pPr>
        <w:pStyle w:val="5"/>
        <w:rPr>
          <w:rFonts w:cs="標楷體"/>
          <w:kern w:val="0"/>
          <w:szCs w:val="32"/>
        </w:rPr>
      </w:pPr>
      <w:r w:rsidRPr="00A13972">
        <w:rPr>
          <w:rFonts w:cs="標楷體" w:hint="eastAsia"/>
          <w:kern w:val="0"/>
          <w:szCs w:val="32"/>
        </w:rPr>
        <w:t>依</w:t>
      </w:r>
      <w:r w:rsidRPr="00A13972">
        <w:rPr>
          <w:rFonts w:hint="eastAsia"/>
        </w:rPr>
        <w:t>經濟部</w:t>
      </w:r>
      <w:r w:rsidRPr="00A13972">
        <w:rPr>
          <w:rFonts w:cs="標楷體" w:hint="eastAsia"/>
          <w:kern w:val="0"/>
          <w:szCs w:val="32"/>
        </w:rPr>
        <w:t>提供</w:t>
      </w:r>
      <w:r w:rsidR="00734E29" w:rsidRPr="00A13972">
        <w:rPr>
          <w:rFonts w:cs="標楷體" w:hint="eastAsia"/>
          <w:kern w:val="0"/>
          <w:szCs w:val="32"/>
        </w:rPr>
        <w:t>臺</w:t>
      </w:r>
      <w:r w:rsidRPr="00A13972">
        <w:rPr>
          <w:rFonts w:cs="標楷體" w:hint="eastAsia"/>
          <w:kern w:val="0"/>
          <w:szCs w:val="32"/>
        </w:rPr>
        <w:t>商回流資料，可知主要投資類別（金額）以電子資訊產業、金屬機電產業、民生化工產業為主，該署將持續掌握近期國內廢棄物清理計畫書新申請案件之變化，並就各</w:t>
      </w:r>
      <w:r w:rsidRPr="00A13972">
        <w:rPr>
          <w:rFonts w:cs="標楷體" w:hint="eastAsia"/>
          <w:kern w:val="0"/>
          <w:szCs w:val="32"/>
        </w:rPr>
        <w:lastRenderedPageBreak/>
        <w:t>行業代表性廠商申報事業廢棄物量，進行新設廠商之事業廢棄物數量及種類推估，以因應廢棄物量能需求變化。</w:t>
      </w:r>
    </w:p>
    <w:p w:rsidR="00434348" w:rsidRPr="00A13972" w:rsidRDefault="00CF434C" w:rsidP="00CF434C">
      <w:pPr>
        <w:pStyle w:val="3"/>
      </w:pPr>
      <w:r w:rsidRPr="00A13972">
        <w:rPr>
          <w:rFonts w:hint="eastAsia"/>
        </w:rPr>
        <w:t>綜上，</w:t>
      </w:r>
      <w:r w:rsidR="009D09B6" w:rsidRPr="00A13972">
        <w:rPr>
          <w:rFonts w:hint="eastAsia"/>
        </w:rPr>
        <w:t>國內</w:t>
      </w:r>
      <w:r w:rsidR="009D09B6" w:rsidRPr="00A13972">
        <w:rPr>
          <w:rFonts w:hAnsi="標楷體" w:hint="eastAsia"/>
          <w:bCs w:val="0"/>
          <w:kern w:val="2"/>
          <w:szCs w:val="32"/>
        </w:rPr>
        <w:t>各事業廢棄物貯存量已由104年度之260萬公噸增加至108年度之613.5萬公噸，顯示事業廢棄物面臨減量及去化問題，加上近年來政府導引優質臺商回臺投資，亦將造成事業廢棄物隨之增加，恐加深國內事業廢棄物處理困境。環保署允應協同相關事業主管機關未雨綢繆，妥為規劃未來垃圾處理方式，以滿足臺商回臺投資之環保需求。</w:t>
      </w:r>
    </w:p>
    <w:p w:rsidR="00E25849" w:rsidRPr="00A13972"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r w:rsidRPr="00A13972">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A13972">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63770C" w:rsidRPr="00A13972" w:rsidRDefault="00DA2623" w:rsidP="00B27914">
      <w:pPr>
        <w:pStyle w:val="2"/>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A13972">
        <w:rPr>
          <w:rFonts w:hint="eastAsia"/>
        </w:rPr>
        <w:t>調查意見</w:t>
      </w:r>
      <w:r w:rsidR="00B22D7A">
        <w:rPr>
          <w:rFonts w:hint="eastAsia"/>
        </w:rPr>
        <w:t>一</w:t>
      </w:r>
      <w:r w:rsidR="009D09B6" w:rsidRPr="00A13972">
        <w:rPr>
          <w:rFonts w:hAnsi="標楷體" w:hint="eastAsia"/>
        </w:rPr>
        <w:t>至四</w:t>
      </w:r>
      <w:r w:rsidRPr="00A13972">
        <w:rPr>
          <w:rFonts w:hint="eastAsia"/>
        </w:rPr>
        <w:t>，</w:t>
      </w:r>
      <w:r w:rsidR="005E3CFC" w:rsidRPr="00A13972">
        <w:rPr>
          <w:rFonts w:hint="eastAsia"/>
        </w:rPr>
        <w:t>函請</w:t>
      </w:r>
      <w:r w:rsidR="001E0DCD" w:rsidRPr="00A13972">
        <w:rPr>
          <w:rFonts w:hint="eastAsia"/>
        </w:rPr>
        <w:t>行政院環境保護</w:t>
      </w:r>
      <w:r w:rsidRPr="00A13972">
        <w:rPr>
          <w:rFonts w:hint="eastAsia"/>
        </w:rPr>
        <w:t>署</w:t>
      </w:r>
      <w:r w:rsidR="005E3CFC" w:rsidRPr="00A13972">
        <w:rPr>
          <w:rFonts w:hint="eastAsia"/>
        </w:rPr>
        <w:t>檢討改進見復</w:t>
      </w:r>
      <w:r w:rsidRPr="00A13972">
        <w:rPr>
          <w:rFonts w:hint="eastAsia"/>
        </w:rPr>
        <w:t>。</w:t>
      </w:r>
    </w:p>
    <w:p w:rsidR="00780508" w:rsidRPr="00A13972" w:rsidRDefault="004C6D30" w:rsidP="000A7D3D">
      <w:pPr>
        <w:pStyle w:val="2"/>
      </w:pPr>
      <w:r w:rsidRPr="00A13972">
        <w:rPr>
          <w:rFonts w:hAnsi="標楷體" w:hint="eastAsia"/>
        </w:rPr>
        <w:t>影附調查意見，函復審計部。</w:t>
      </w:r>
    </w:p>
    <w:p w:rsidR="00B27914" w:rsidRPr="00A13972" w:rsidRDefault="002C5C3F" w:rsidP="00B27914">
      <w:pPr>
        <w:pStyle w:val="2"/>
      </w:pPr>
      <w:r w:rsidRPr="00A13972">
        <w:rPr>
          <w:rFonts w:hint="eastAsia"/>
        </w:rPr>
        <w:t>檢附派查函及相關附件，送請</w:t>
      </w:r>
      <w:r w:rsidR="001E0DCD" w:rsidRPr="00A13972">
        <w:rPr>
          <w:rFonts w:hint="eastAsia"/>
        </w:rPr>
        <w:t>財政</w:t>
      </w:r>
      <w:r w:rsidR="002B2A8F" w:rsidRPr="00A13972">
        <w:rPr>
          <w:rFonts w:hint="eastAsia"/>
        </w:rPr>
        <w:t>及</w:t>
      </w:r>
      <w:r w:rsidR="001E0DCD" w:rsidRPr="00A13972">
        <w:rPr>
          <w:rFonts w:hint="eastAsia"/>
        </w:rPr>
        <w:t>經濟</w:t>
      </w:r>
      <w:r w:rsidR="002B2A8F" w:rsidRPr="00A13972">
        <w:rPr>
          <w:rFonts w:hint="eastAsia"/>
        </w:rPr>
        <w:t>委員會處理</w:t>
      </w:r>
      <w:r w:rsidRPr="00A13972">
        <w:rPr>
          <w:rFonts w:hint="eastAsia"/>
        </w:rPr>
        <w:t>。</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E25849" w:rsidRPr="00A13972" w:rsidRDefault="00E25849" w:rsidP="00ED1963">
      <w:pPr>
        <w:pStyle w:val="a9"/>
        <w:spacing w:beforeLines="150" w:before="685" w:after="0"/>
        <w:ind w:leftChars="1100" w:left="3742"/>
        <w:rPr>
          <w:b w:val="0"/>
          <w:bCs/>
          <w:snapToGrid/>
          <w:spacing w:val="12"/>
          <w:kern w:val="0"/>
          <w:sz w:val="40"/>
        </w:rPr>
      </w:pPr>
      <w:r w:rsidRPr="00A13972">
        <w:rPr>
          <w:rFonts w:hint="eastAsia"/>
          <w:b w:val="0"/>
          <w:bCs/>
          <w:snapToGrid/>
          <w:spacing w:val="12"/>
          <w:kern w:val="0"/>
          <w:sz w:val="40"/>
        </w:rPr>
        <w:t>調查委員：</w:t>
      </w:r>
      <w:r w:rsidR="002F3AEB">
        <w:rPr>
          <w:rFonts w:hint="eastAsia"/>
          <w:b w:val="0"/>
          <w:bCs/>
          <w:snapToGrid/>
          <w:spacing w:val="12"/>
          <w:kern w:val="0"/>
          <w:sz w:val="40"/>
        </w:rPr>
        <w:t>葉宜津</w:t>
      </w:r>
    </w:p>
    <w:p w:rsidR="00AD3385" w:rsidRPr="00A13972" w:rsidRDefault="002F3AEB" w:rsidP="002F3AEB">
      <w:pPr>
        <w:pStyle w:val="a9"/>
        <w:spacing w:before="0" w:after="0"/>
        <w:ind w:leftChars="1100" w:left="3742" w:firstLineChars="526" w:firstLine="2210"/>
        <w:rPr>
          <w:rFonts w:ascii="Times New Roman"/>
          <w:b w:val="0"/>
          <w:bCs/>
          <w:snapToGrid/>
          <w:spacing w:val="0"/>
          <w:kern w:val="0"/>
          <w:sz w:val="40"/>
        </w:rPr>
      </w:pPr>
      <w:r>
        <w:rPr>
          <w:rFonts w:ascii="Times New Roman" w:hint="eastAsia"/>
          <w:b w:val="0"/>
          <w:bCs/>
          <w:snapToGrid/>
          <w:spacing w:val="0"/>
          <w:kern w:val="0"/>
          <w:sz w:val="40"/>
        </w:rPr>
        <w:t>田秋堇</w:t>
      </w:r>
    </w:p>
    <w:p w:rsidR="00E25849" w:rsidRPr="002F3AEB" w:rsidRDefault="002F3AEB" w:rsidP="002F3AEB">
      <w:pPr>
        <w:pStyle w:val="a9"/>
        <w:spacing w:before="0" w:after="0"/>
        <w:ind w:leftChars="1100" w:left="3742" w:firstLineChars="526" w:firstLine="2210"/>
        <w:rPr>
          <w:rFonts w:ascii="Times New Roman"/>
          <w:b w:val="0"/>
          <w:bCs/>
          <w:snapToGrid/>
          <w:spacing w:val="0"/>
          <w:kern w:val="0"/>
          <w:sz w:val="40"/>
        </w:rPr>
      </w:pPr>
      <w:r w:rsidRPr="002F3AEB">
        <w:rPr>
          <w:rFonts w:ascii="Times New Roman" w:hint="eastAsia"/>
          <w:b w:val="0"/>
          <w:bCs/>
          <w:snapToGrid/>
          <w:spacing w:val="0"/>
          <w:kern w:val="0"/>
          <w:sz w:val="40"/>
        </w:rPr>
        <w:t>施錦芳</w:t>
      </w:r>
    </w:p>
    <w:p w:rsidR="00E25849" w:rsidRPr="00A13972" w:rsidRDefault="00E25849">
      <w:pPr>
        <w:pStyle w:val="a9"/>
        <w:spacing w:before="0" w:after="0"/>
        <w:ind w:leftChars="1100" w:left="3742" w:firstLineChars="500" w:firstLine="2021"/>
        <w:rPr>
          <w:b w:val="0"/>
          <w:bCs/>
          <w:snapToGrid/>
          <w:spacing w:val="12"/>
          <w:kern w:val="0"/>
        </w:rPr>
      </w:pPr>
    </w:p>
    <w:p w:rsidR="00AD3385" w:rsidRPr="00A13972" w:rsidRDefault="00AD3385">
      <w:pPr>
        <w:pStyle w:val="a9"/>
        <w:spacing w:before="0" w:after="0"/>
        <w:ind w:leftChars="1100" w:left="3742" w:firstLineChars="500" w:firstLine="2021"/>
        <w:rPr>
          <w:b w:val="0"/>
          <w:bCs/>
          <w:snapToGrid/>
          <w:spacing w:val="12"/>
          <w:kern w:val="0"/>
        </w:rPr>
      </w:pPr>
    </w:p>
    <w:p w:rsidR="00AD3385" w:rsidRPr="00A13972" w:rsidRDefault="00AD3385">
      <w:pPr>
        <w:pStyle w:val="a9"/>
        <w:spacing w:before="0" w:after="0"/>
        <w:ind w:leftChars="1100" w:left="3742" w:firstLineChars="500" w:firstLine="2021"/>
        <w:rPr>
          <w:b w:val="0"/>
          <w:bCs/>
          <w:snapToGrid/>
          <w:spacing w:val="12"/>
          <w:kern w:val="0"/>
        </w:rPr>
      </w:pPr>
    </w:p>
    <w:p w:rsidR="00E25849" w:rsidRPr="00A13972" w:rsidRDefault="00E25849">
      <w:pPr>
        <w:pStyle w:val="ae"/>
        <w:rPr>
          <w:rFonts w:hAnsi="標楷體"/>
          <w:bCs/>
        </w:rPr>
      </w:pPr>
      <w:r w:rsidRPr="00A13972">
        <w:rPr>
          <w:rFonts w:hAnsi="標楷體" w:hint="eastAsia"/>
          <w:bCs/>
        </w:rPr>
        <w:t>中</w:t>
      </w:r>
      <w:r w:rsidR="00B5484D" w:rsidRPr="00A13972">
        <w:rPr>
          <w:rFonts w:hAnsi="標楷體" w:hint="eastAsia"/>
          <w:bCs/>
        </w:rPr>
        <w:t xml:space="preserve">  </w:t>
      </w:r>
      <w:r w:rsidRPr="00A13972">
        <w:rPr>
          <w:rFonts w:hAnsi="標楷體" w:hint="eastAsia"/>
          <w:bCs/>
        </w:rPr>
        <w:t>華</w:t>
      </w:r>
      <w:r w:rsidR="00B5484D" w:rsidRPr="00A13972">
        <w:rPr>
          <w:rFonts w:hAnsi="標楷體" w:hint="eastAsia"/>
          <w:bCs/>
        </w:rPr>
        <w:t xml:space="preserve">  </w:t>
      </w:r>
      <w:r w:rsidRPr="00A13972">
        <w:rPr>
          <w:rFonts w:hAnsi="標楷體" w:hint="eastAsia"/>
          <w:bCs/>
        </w:rPr>
        <w:t>民</w:t>
      </w:r>
      <w:r w:rsidR="00B5484D" w:rsidRPr="00A13972">
        <w:rPr>
          <w:rFonts w:hAnsi="標楷體" w:hint="eastAsia"/>
          <w:bCs/>
        </w:rPr>
        <w:t xml:space="preserve">  </w:t>
      </w:r>
      <w:r w:rsidRPr="00A13972">
        <w:rPr>
          <w:rFonts w:hAnsi="標楷體" w:hint="eastAsia"/>
          <w:bCs/>
        </w:rPr>
        <w:t xml:space="preserve">國　</w:t>
      </w:r>
      <w:r w:rsidR="001E74C2" w:rsidRPr="00A13972">
        <w:rPr>
          <w:rFonts w:hAnsi="標楷體" w:hint="eastAsia"/>
          <w:bCs/>
        </w:rPr>
        <w:t>1</w:t>
      </w:r>
      <w:r w:rsidR="00C8001F" w:rsidRPr="00A13972">
        <w:rPr>
          <w:rFonts w:hAnsi="標楷體" w:hint="eastAsia"/>
          <w:bCs/>
        </w:rPr>
        <w:t>10</w:t>
      </w:r>
      <w:r w:rsidRPr="00A13972">
        <w:rPr>
          <w:rFonts w:hAnsi="標楷體" w:hint="eastAsia"/>
          <w:bCs/>
        </w:rPr>
        <w:t xml:space="preserve">　年　</w:t>
      </w:r>
      <w:r w:rsidR="002F3AEB">
        <w:rPr>
          <w:rFonts w:hAnsi="標楷體" w:hint="eastAsia"/>
          <w:bCs/>
        </w:rPr>
        <w:t>7</w:t>
      </w:r>
      <w:r w:rsidRPr="00A13972">
        <w:rPr>
          <w:rFonts w:hAnsi="標楷體" w:hint="eastAsia"/>
          <w:bCs/>
        </w:rPr>
        <w:t xml:space="preserve">　月　</w:t>
      </w:r>
      <w:r w:rsidR="002F3AEB">
        <w:rPr>
          <w:rFonts w:hAnsi="標楷體" w:hint="eastAsia"/>
          <w:bCs/>
        </w:rPr>
        <w:t>7</w:t>
      </w:r>
      <w:r w:rsidRPr="00A13972">
        <w:rPr>
          <w:rFonts w:hAnsi="標楷體" w:hint="eastAsia"/>
          <w:bCs/>
        </w:rPr>
        <w:t xml:space="preserve">　日</w:t>
      </w:r>
    </w:p>
    <w:p w:rsidR="00416721" w:rsidRPr="00A13972" w:rsidRDefault="00416721">
      <w:pPr>
        <w:widowControl/>
        <w:overflowPunct/>
        <w:autoSpaceDE/>
        <w:autoSpaceDN/>
        <w:jc w:val="left"/>
        <w:rPr>
          <w:bCs/>
          <w:kern w:val="0"/>
        </w:rPr>
      </w:pPr>
    </w:p>
    <w:sectPr w:rsidR="00416721" w:rsidRPr="00A13972" w:rsidSect="00FC2CEF">
      <w:footerReference w:type="default" r:id="rId1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8" w:rsidRDefault="00483C98">
      <w:r>
        <w:separator/>
      </w:r>
    </w:p>
  </w:endnote>
  <w:endnote w:type="continuationSeparator" w:id="0">
    <w:p w:rsidR="00483C98" w:rsidRDefault="0048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F3" w:rsidRDefault="007A0AF3">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A85DC6">
      <w:rPr>
        <w:rStyle w:val="ab"/>
        <w:noProof/>
        <w:sz w:val="24"/>
      </w:rPr>
      <w:t>21</w:t>
    </w:r>
    <w:r>
      <w:rPr>
        <w:rStyle w:val="ab"/>
        <w:sz w:val="24"/>
      </w:rPr>
      <w:fldChar w:fldCharType="end"/>
    </w:r>
  </w:p>
  <w:p w:rsidR="007A0AF3" w:rsidRDefault="007A0AF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8" w:rsidRDefault="00483C98">
      <w:r>
        <w:separator/>
      </w:r>
    </w:p>
  </w:footnote>
  <w:footnote w:type="continuationSeparator" w:id="0">
    <w:p w:rsidR="00483C98" w:rsidRDefault="00483C98">
      <w:r>
        <w:continuationSeparator/>
      </w:r>
    </w:p>
  </w:footnote>
  <w:footnote w:id="1">
    <w:p w:rsidR="007A0AF3" w:rsidRDefault="007A0AF3" w:rsidP="00E422E7">
      <w:pPr>
        <w:pStyle w:val="afc"/>
        <w:ind w:left="57" w:hangingChars="26" w:hanging="57"/>
        <w:rPr>
          <w:lang w:eastAsia="zh-TW"/>
        </w:rPr>
      </w:pPr>
      <w:r>
        <w:rPr>
          <w:rStyle w:val="afe"/>
        </w:rPr>
        <w:footnoteRef/>
      </w:r>
      <w:r w:rsidRPr="00E27870">
        <w:rPr>
          <w:rFonts w:ascii="標楷體" w:eastAsia="標楷體" w:hAnsi="標楷體" w:hint="eastAsia"/>
          <w:lang w:val="en-US"/>
        </w:rPr>
        <w:t>所稱事業廢棄物經執行機關同意委託其處理，指經直轄市政府環境保護局、縣(市)環境保護局同意者。縣環境保護局依該法第5條第4項規定委託鄉(鎮、市)公所執行一般廢棄物處理工作者，認有必要時，得就一般事業廢棄物之處理，委託已受託執行一般廢棄物處理工作之鄉(鎮、市)公所執行一般事業廢棄物處理工作。</w:t>
      </w:r>
    </w:p>
  </w:footnote>
  <w:footnote w:id="2">
    <w:p w:rsidR="007A0AF3" w:rsidRPr="00D1258E" w:rsidRDefault="007A0AF3" w:rsidP="00D1258E">
      <w:pPr>
        <w:pStyle w:val="afc"/>
        <w:ind w:left="57" w:hangingChars="26" w:hanging="57"/>
        <w:rPr>
          <w:lang w:eastAsia="zh-TW"/>
        </w:rPr>
      </w:pPr>
      <w:r>
        <w:rPr>
          <w:rStyle w:val="afe"/>
        </w:rPr>
        <w:footnoteRef/>
      </w:r>
      <w:r w:rsidRPr="00D1258E">
        <w:rPr>
          <w:rFonts w:ascii="標楷體" w:eastAsia="標楷體" w:hAnsi="標楷體" w:hint="eastAsia"/>
          <w:lang w:val="en-US"/>
        </w:rPr>
        <w:t>環保署109年12月14日環署廢字第1090103859號函。</w:t>
      </w:r>
    </w:p>
  </w:footnote>
  <w:footnote w:id="3">
    <w:p w:rsidR="007A0AF3" w:rsidRDefault="007A0AF3" w:rsidP="007300FF">
      <w:pPr>
        <w:pStyle w:val="afc"/>
        <w:ind w:left="57" w:hangingChars="26" w:hanging="57"/>
        <w:rPr>
          <w:lang w:eastAsia="zh-TW"/>
        </w:rPr>
      </w:pPr>
      <w:r>
        <w:rPr>
          <w:rStyle w:val="afe"/>
        </w:rPr>
        <w:footnoteRef/>
      </w:r>
      <w:r w:rsidRPr="0068126E">
        <w:rPr>
          <w:rFonts w:ascii="標楷體" w:eastAsia="標楷體" w:hAnsi="標楷體" w:hint="eastAsia"/>
          <w:lang w:val="en-US"/>
        </w:rPr>
        <w:t>僅為須申報</w:t>
      </w:r>
      <w:r>
        <w:rPr>
          <w:rFonts w:ascii="標楷體" w:eastAsia="標楷體" w:hAnsi="標楷體" w:hint="eastAsia"/>
          <w:lang w:val="en-US" w:eastAsia="zh-TW"/>
        </w:rPr>
        <w:t>事業</w:t>
      </w:r>
      <w:r w:rsidRPr="0068126E">
        <w:rPr>
          <w:rFonts w:ascii="標楷體" w:eastAsia="標楷體" w:hAnsi="標楷體" w:hint="eastAsia"/>
          <w:lang w:val="en-US"/>
        </w:rPr>
        <w:t>廢棄物流向業者之申報數量。</w:t>
      </w:r>
    </w:p>
  </w:footnote>
  <w:footnote w:id="4">
    <w:p w:rsidR="007A0AF3" w:rsidRDefault="007A0AF3" w:rsidP="00AE111F">
      <w:pPr>
        <w:pStyle w:val="afc"/>
        <w:ind w:left="57" w:hangingChars="26" w:hanging="57"/>
        <w:rPr>
          <w:lang w:eastAsia="zh-TW"/>
        </w:rPr>
      </w:pPr>
      <w:r>
        <w:rPr>
          <w:rStyle w:val="afe"/>
        </w:rPr>
        <w:footnoteRef/>
      </w:r>
      <w:r w:rsidRPr="00AE111F">
        <w:rPr>
          <w:rFonts w:ascii="標楷體" w:eastAsia="標楷體" w:hAnsi="標楷體" w:hint="eastAsia"/>
          <w:lang w:val="en-US"/>
        </w:rPr>
        <w:t>含須申報與不須申報事業廢棄物流向業者之總量。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744DB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31C"/>
    <w:rsid w:val="00006961"/>
    <w:rsid w:val="00011076"/>
    <w:rsid w:val="0001114F"/>
    <w:rsid w:val="000112BF"/>
    <w:rsid w:val="00012233"/>
    <w:rsid w:val="00015A5B"/>
    <w:rsid w:val="00015E32"/>
    <w:rsid w:val="00016461"/>
    <w:rsid w:val="00016D50"/>
    <w:rsid w:val="00017318"/>
    <w:rsid w:val="00020858"/>
    <w:rsid w:val="00022227"/>
    <w:rsid w:val="00022912"/>
    <w:rsid w:val="00023F23"/>
    <w:rsid w:val="000246F7"/>
    <w:rsid w:val="00024916"/>
    <w:rsid w:val="000256ED"/>
    <w:rsid w:val="00026C41"/>
    <w:rsid w:val="000303A4"/>
    <w:rsid w:val="00030FD6"/>
    <w:rsid w:val="0003114D"/>
    <w:rsid w:val="000318B7"/>
    <w:rsid w:val="00034343"/>
    <w:rsid w:val="00035B11"/>
    <w:rsid w:val="000360BF"/>
    <w:rsid w:val="00036925"/>
    <w:rsid w:val="00036D76"/>
    <w:rsid w:val="00040DAC"/>
    <w:rsid w:val="00041135"/>
    <w:rsid w:val="0004451B"/>
    <w:rsid w:val="00045CB3"/>
    <w:rsid w:val="000462C5"/>
    <w:rsid w:val="00050DBC"/>
    <w:rsid w:val="0005462E"/>
    <w:rsid w:val="0005627C"/>
    <w:rsid w:val="00056EFB"/>
    <w:rsid w:val="00057F32"/>
    <w:rsid w:val="000603B3"/>
    <w:rsid w:val="00062A25"/>
    <w:rsid w:val="000630BC"/>
    <w:rsid w:val="00071B0F"/>
    <w:rsid w:val="00071EFC"/>
    <w:rsid w:val="00073CB5"/>
    <w:rsid w:val="0007425C"/>
    <w:rsid w:val="00077028"/>
    <w:rsid w:val="00077191"/>
    <w:rsid w:val="00077553"/>
    <w:rsid w:val="0008044E"/>
    <w:rsid w:val="0008046C"/>
    <w:rsid w:val="0008344D"/>
    <w:rsid w:val="000851A2"/>
    <w:rsid w:val="000910B5"/>
    <w:rsid w:val="0009352E"/>
    <w:rsid w:val="00094AA3"/>
    <w:rsid w:val="00095B0E"/>
    <w:rsid w:val="00096B96"/>
    <w:rsid w:val="00096DC9"/>
    <w:rsid w:val="000A065D"/>
    <w:rsid w:val="000A15A3"/>
    <w:rsid w:val="000A1D5B"/>
    <w:rsid w:val="000A29CD"/>
    <w:rsid w:val="000A2BDF"/>
    <w:rsid w:val="000A2F3F"/>
    <w:rsid w:val="000A3C73"/>
    <w:rsid w:val="000A40FF"/>
    <w:rsid w:val="000A5B41"/>
    <w:rsid w:val="000A5E8A"/>
    <w:rsid w:val="000A67DF"/>
    <w:rsid w:val="000A7278"/>
    <w:rsid w:val="000A7D3D"/>
    <w:rsid w:val="000B0555"/>
    <w:rsid w:val="000B0B4A"/>
    <w:rsid w:val="000B1DB6"/>
    <w:rsid w:val="000B279A"/>
    <w:rsid w:val="000B4231"/>
    <w:rsid w:val="000B61D2"/>
    <w:rsid w:val="000B70A7"/>
    <w:rsid w:val="000B73DD"/>
    <w:rsid w:val="000C011E"/>
    <w:rsid w:val="000C0D92"/>
    <w:rsid w:val="000C10CB"/>
    <w:rsid w:val="000C123B"/>
    <w:rsid w:val="000C1C01"/>
    <w:rsid w:val="000C1C73"/>
    <w:rsid w:val="000C26E8"/>
    <w:rsid w:val="000C27C6"/>
    <w:rsid w:val="000C3421"/>
    <w:rsid w:val="000C495F"/>
    <w:rsid w:val="000C57C3"/>
    <w:rsid w:val="000D0C5C"/>
    <w:rsid w:val="000D1777"/>
    <w:rsid w:val="000D26CB"/>
    <w:rsid w:val="000D296F"/>
    <w:rsid w:val="000D2DF7"/>
    <w:rsid w:val="000D490B"/>
    <w:rsid w:val="000D60FE"/>
    <w:rsid w:val="000D6CD9"/>
    <w:rsid w:val="000E6431"/>
    <w:rsid w:val="000E7A7C"/>
    <w:rsid w:val="000F03CD"/>
    <w:rsid w:val="000F0767"/>
    <w:rsid w:val="000F21A5"/>
    <w:rsid w:val="000F2D74"/>
    <w:rsid w:val="000F2E3E"/>
    <w:rsid w:val="000F5BC2"/>
    <w:rsid w:val="000F6428"/>
    <w:rsid w:val="000F6BA7"/>
    <w:rsid w:val="000F7127"/>
    <w:rsid w:val="00102069"/>
    <w:rsid w:val="00102B9F"/>
    <w:rsid w:val="00103EE1"/>
    <w:rsid w:val="00104DF2"/>
    <w:rsid w:val="00106461"/>
    <w:rsid w:val="00111218"/>
    <w:rsid w:val="00112637"/>
    <w:rsid w:val="00112ABC"/>
    <w:rsid w:val="00113288"/>
    <w:rsid w:val="00113418"/>
    <w:rsid w:val="00113D86"/>
    <w:rsid w:val="00114B97"/>
    <w:rsid w:val="00114FFC"/>
    <w:rsid w:val="00116912"/>
    <w:rsid w:val="00117BB5"/>
    <w:rsid w:val="0012001E"/>
    <w:rsid w:val="001216F0"/>
    <w:rsid w:val="001216F6"/>
    <w:rsid w:val="00122E76"/>
    <w:rsid w:val="00124A86"/>
    <w:rsid w:val="00124C35"/>
    <w:rsid w:val="00125C9E"/>
    <w:rsid w:val="00126A55"/>
    <w:rsid w:val="00130366"/>
    <w:rsid w:val="00130D37"/>
    <w:rsid w:val="00133F08"/>
    <w:rsid w:val="001345E6"/>
    <w:rsid w:val="001378B0"/>
    <w:rsid w:val="00140377"/>
    <w:rsid w:val="001409AB"/>
    <w:rsid w:val="00142E00"/>
    <w:rsid w:val="00143332"/>
    <w:rsid w:val="00146C9B"/>
    <w:rsid w:val="00152793"/>
    <w:rsid w:val="0015298C"/>
    <w:rsid w:val="0015368E"/>
    <w:rsid w:val="00153B7E"/>
    <w:rsid w:val="001545A9"/>
    <w:rsid w:val="0015461A"/>
    <w:rsid w:val="00155129"/>
    <w:rsid w:val="001617C3"/>
    <w:rsid w:val="00162956"/>
    <w:rsid w:val="001637C7"/>
    <w:rsid w:val="00164512"/>
    <w:rsid w:val="0016480E"/>
    <w:rsid w:val="001666A2"/>
    <w:rsid w:val="00174297"/>
    <w:rsid w:val="00175142"/>
    <w:rsid w:val="00176CDE"/>
    <w:rsid w:val="00180E06"/>
    <w:rsid w:val="0018142E"/>
    <w:rsid w:val="001817B3"/>
    <w:rsid w:val="00182153"/>
    <w:rsid w:val="00183014"/>
    <w:rsid w:val="001840B4"/>
    <w:rsid w:val="00186783"/>
    <w:rsid w:val="00186AC1"/>
    <w:rsid w:val="001873D5"/>
    <w:rsid w:val="00190F3C"/>
    <w:rsid w:val="00192F12"/>
    <w:rsid w:val="001930E3"/>
    <w:rsid w:val="001933F6"/>
    <w:rsid w:val="001959C2"/>
    <w:rsid w:val="00196722"/>
    <w:rsid w:val="001A1DF2"/>
    <w:rsid w:val="001A295E"/>
    <w:rsid w:val="001A357D"/>
    <w:rsid w:val="001A3CFF"/>
    <w:rsid w:val="001A4761"/>
    <w:rsid w:val="001A4AF5"/>
    <w:rsid w:val="001A51E3"/>
    <w:rsid w:val="001A7968"/>
    <w:rsid w:val="001B20EA"/>
    <w:rsid w:val="001B2E98"/>
    <w:rsid w:val="001B3483"/>
    <w:rsid w:val="001B3C1E"/>
    <w:rsid w:val="001B4494"/>
    <w:rsid w:val="001B48DA"/>
    <w:rsid w:val="001B53AC"/>
    <w:rsid w:val="001C0D8B"/>
    <w:rsid w:val="001C0DA8"/>
    <w:rsid w:val="001C2BB0"/>
    <w:rsid w:val="001C53DA"/>
    <w:rsid w:val="001C572E"/>
    <w:rsid w:val="001C68A7"/>
    <w:rsid w:val="001D065B"/>
    <w:rsid w:val="001D4AD7"/>
    <w:rsid w:val="001D6912"/>
    <w:rsid w:val="001D6CC3"/>
    <w:rsid w:val="001E089E"/>
    <w:rsid w:val="001E0B26"/>
    <w:rsid w:val="001E0D8A"/>
    <w:rsid w:val="001E0DCD"/>
    <w:rsid w:val="001E1B99"/>
    <w:rsid w:val="001E3B1C"/>
    <w:rsid w:val="001E67BA"/>
    <w:rsid w:val="001E74C2"/>
    <w:rsid w:val="001F224A"/>
    <w:rsid w:val="001F4F82"/>
    <w:rsid w:val="001F5A48"/>
    <w:rsid w:val="001F5E50"/>
    <w:rsid w:val="001F6260"/>
    <w:rsid w:val="00200007"/>
    <w:rsid w:val="00202D5B"/>
    <w:rsid w:val="002030A5"/>
    <w:rsid w:val="00203131"/>
    <w:rsid w:val="00203753"/>
    <w:rsid w:val="0020564C"/>
    <w:rsid w:val="002060F2"/>
    <w:rsid w:val="002101D0"/>
    <w:rsid w:val="00210919"/>
    <w:rsid w:val="00210C06"/>
    <w:rsid w:val="00210CB8"/>
    <w:rsid w:val="00211B81"/>
    <w:rsid w:val="00212E88"/>
    <w:rsid w:val="00212F45"/>
    <w:rsid w:val="00213A32"/>
    <w:rsid w:val="00213C9C"/>
    <w:rsid w:val="0021763C"/>
    <w:rsid w:val="0022009E"/>
    <w:rsid w:val="002228FA"/>
    <w:rsid w:val="00223241"/>
    <w:rsid w:val="00223F61"/>
    <w:rsid w:val="0022425C"/>
    <w:rsid w:val="002246DE"/>
    <w:rsid w:val="00227F29"/>
    <w:rsid w:val="00234547"/>
    <w:rsid w:val="0024244B"/>
    <w:rsid w:val="002444B7"/>
    <w:rsid w:val="00247FBF"/>
    <w:rsid w:val="0025127C"/>
    <w:rsid w:val="002518BE"/>
    <w:rsid w:val="00252BC4"/>
    <w:rsid w:val="002534FE"/>
    <w:rsid w:val="00254014"/>
    <w:rsid w:val="00254AD1"/>
    <w:rsid w:val="00254B39"/>
    <w:rsid w:val="002559D7"/>
    <w:rsid w:val="00255FF4"/>
    <w:rsid w:val="002560ED"/>
    <w:rsid w:val="002608FC"/>
    <w:rsid w:val="00261FD1"/>
    <w:rsid w:val="00262DB1"/>
    <w:rsid w:val="00262EE2"/>
    <w:rsid w:val="0026504D"/>
    <w:rsid w:val="0026574E"/>
    <w:rsid w:val="00265A24"/>
    <w:rsid w:val="002718B5"/>
    <w:rsid w:val="00273A2F"/>
    <w:rsid w:val="00273CA5"/>
    <w:rsid w:val="00273F7B"/>
    <w:rsid w:val="00276597"/>
    <w:rsid w:val="00277980"/>
    <w:rsid w:val="00277C44"/>
    <w:rsid w:val="00280986"/>
    <w:rsid w:val="00280D72"/>
    <w:rsid w:val="00281ECE"/>
    <w:rsid w:val="00281F6F"/>
    <w:rsid w:val="002831C7"/>
    <w:rsid w:val="002838C6"/>
    <w:rsid w:val="002840C6"/>
    <w:rsid w:val="0028524E"/>
    <w:rsid w:val="00291538"/>
    <w:rsid w:val="002921C3"/>
    <w:rsid w:val="00292789"/>
    <w:rsid w:val="002938F4"/>
    <w:rsid w:val="00295174"/>
    <w:rsid w:val="00296172"/>
    <w:rsid w:val="00296B92"/>
    <w:rsid w:val="002A13AA"/>
    <w:rsid w:val="002A270F"/>
    <w:rsid w:val="002A2C22"/>
    <w:rsid w:val="002A37E3"/>
    <w:rsid w:val="002A53F7"/>
    <w:rsid w:val="002B02EB"/>
    <w:rsid w:val="002B02FE"/>
    <w:rsid w:val="002B13FD"/>
    <w:rsid w:val="002B1518"/>
    <w:rsid w:val="002B2A8F"/>
    <w:rsid w:val="002B2CB4"/>
    <w:rsid w:val="002B53DA"/>
    <w:rsid w:val="002B552A"/>
    <w:rsid w:val="002C0602"/>
    <w:rsid w:val="002C253C"/>
    <w:rsid w:val="002C30B6"/>
    <w:rsid w:val="002C4C76"/>
    <w:rsid w:val="002C5C3F"/>
    <w:rsid w:val="002C5D6B"/>
    <w:rsid w:val="002C699C"/>
    <w:rsid w:val="002D1319"/>
    <w:rsid w:val="002D1DC0"/>
    <w:rsid w:val="002D2C4E"/>
    <w:rsid w:val="002D34A0"/>
    <w:rsid w:val="002D3B6A"/>
    <w:rsid w:val="002D451F"/>
    <w:rsid w:val="002D53D3"/>
    <w:rsid w:val="002D588C"/>
    <w:rsid w:val="002D5C16"/>
    <w:rsid w:val="002E0AAC"/>
    <w:rsid w:val="002E3F7E"/>
    <w:rsid w:val="002E5C5F"/>
    <w:rsid w:val="002E7595"/>
    <w:rsid w:val="002E7C26"/>
    <w:rsid w:val="002F03B4"/>
    <w:rsid w:val="002F0A49"/>
    <w:rsid w:val="002F1084"/>
    <w:rsid w:val="002F115E"/>
    <w:rsid w:val="002F1475"/>
    <w:rsid w:val="002F2476"/>
    <w:rsid w:val="002F2FBA"/>
    <w:rsid w:val="002F34AD"/>
    <w:rsid w:val="002F3AEB"/>
    <w:rsid w:val="002F3DFF"/>
    <w:rsid w:val="002F5E05"/>
    <w:rsid w:val="0030210A"/>
    <w:rsid w:val="00305E44"/>
    <w:rsid w:val="00305EAF"/>
    <w:rsid w:val="0030623D"/>
    <w:rsid w:val="00307A76"/>
    <w:rsid w:val="003102A5"/>
    <w:rsid w:val="00311352"/>
    <w:rsid w:val="0031161E"/>
    <w:rsid w:val="003150AC"/>
    <w:rsid w:val="003156DB"/>
    <w:rsid w:val="00315A16"/>
    <w:rsid w:val="00317053"/>
    <w:rsid w:val="00320005"/>
    <w:rsid w:val="0032109C"/>
    <w:rsid w:val="0032239B"/>
    <w:rsid w:val="00322B45"/>
    <w:rsid w:val="00322BB6"/>
    <w:rsid w:val="0032307C"/>
    <w:rsid w:val="003236DD"/>
    <w:rsid w:val="00323809"/>
    <w:rsid w:val="00323846"/>
    <w:rsid w:val="00323D41"/>
    <w:rsid w:val="00325414"/>
    <w:rsid w:val="003259E4"/>
    <w:rsid w:val="00325CA9"/>
    <w:rsid w:val="00327B3F"/>
    <w:rsid w:val="003302F1"/>
    <w:rsid w:val="0033219E"/>
    <w:rsid w:val="00335BB1"/>
    <w:rsid w:val="0033623D"/>
    <w:rsid w:val="00336398"/>
    <w:rsid w:val="00343C99"/>
    <w:rsid w:val="0034470E"/>
    <w:rsid w:val="0034488C"/>
    <w:rsid w:val="00345690"/>
    <w:rsid w:val="003460A4"/>
    <w:rsid w:val="003471B0"/>
    <w:rsid w:val="0034745E"/>
    <w:rsid w:val="003478CF"/>
    <w:rsid w:val="00350BDE"/>
    <w:rsid w:val="00350C3B"/>
    <w:rsid w:val="00350C86"/>
    <w:rsid w:val="003515CE"/>
    <w:rsid w:val="00352DB0"/>
    <w:rsid w:val="003536F9"/>
    <w:rsid w:val="003563BE"/>
    <w:rsid w:val="0035772C"/>
    <w:rsid w:val="00361063"/>
    <w:rsid w:val="00362393"/>
    <w:rsid w:val="00362BFF"/>
    <w:rsid w:val="00362F83"/>
    <w:rsid w:val="00362F93"/>
    <w:rsid w:val="00363894"/>
    <w:rsid w:val="00364AA3"/>
    <w:rsid w:val="00364E81"/>
    <w:rsid w:val="003654AC"/>
    <w:rsid w:val="003659CE"/>
    <w:rsid w:val="00365EDD"/>
    <w:rsid w:val="0037094A"/>
    <w:rsid w:val="003711D1"/>
    <w:rsid w:val="00371ED3"/>
    <w:rsid w:val="0037231B"/>
    <w:rsid w:val="00372328"/>
    <w:rsid w:val="00372FFC"/>
    <w:rsid w:val="00373F30"/>
    <w:rsid w:val="00374BA6"/>
    <w:rsid w:val="00374BB5"/>
    <w:rsid w:val="003766E8"/>
    <w:rsid w:val="0037728A"/>
    <w:rsid w:val="00380B7D"/>
    <w:rsid w:val="00381A48"/>
    <w:rsid w:val="00381A99"/>
    <w:rsid w:val="00381DB2"/>
    <w:rsid w:val="003829C2"/>
    <w:rsid w:val="00382E60"/>
    <w:rsid w:val="003830B2"/>
    <w:rsid w:val="0038341F"/>
    <w:rsid w:val="00384724"/>
    <w:rsid w:val="00384BB2"/>
    <w:rsid w:val="00386CA7"/>
    <w:rsid w:val="00390F93"/>
    <w:rsid w:val="003919B7"/>
    <w:rsid w:val="00391D57"/>
    <w:rsid w:val="00392292"/>
    <w:rsid w:val="00394F45"/>
    <w:rsid w:val="00396C23"/>
    <w:rsid w:val="003A05CD"/>
    <w:rsid w:val="003A0FC5"/>
    <w:rsid w:val="003A22EF"/>
    <w:rsid w:val="003A374C"/>
    <w:rsid w:val="003A448F"/>
    <w:rsid w:val="003A5927"/>
    <w:rsid w:val="003B06D8"/>
    <w:rsid w:val="003B1017"/>
    <w:rsid w:val="003B1F35"/>
    <w:rsid w:val="003B3C07"/>
    <w:rsid w:val="003B6081"/>
    <w:rsid w:val="003B60E7"/>
    <w:rsid w:val="003B6775"/>
    <w:rsid w:val="003C027C"/>
    <w:rsid w:val="003C16D4"/>
    <w:rsid w:val="003C4445"/>
    <w:rsid w:val="003C5220"/>
    <w:rsid w:val="003C5FE2"/>
    <w:rsid w:val="003C5FF1"/>
    <w:rsid w:val="003C7394"/>
    <w:rsid w:val="003D05FB"/>
    <w:rsid w:val="003D0DE5"/>
    <w:rsid w:val="003D1B16"/>
    <w:rsid w:val="003D1BE2"/>
    <w:rsid w:val="003D3750"/>
    <w:rsid w:val="003D45BF"/>
    <w:rsid w:val="003D508A"/>
    <w:rsid w:val="003D537F"/>
    <w:rsid w:val="003D6232"/>
    <w:rsid w:val="003D75BB"/>
    <w:rsid w:val="003D7B75"/>
    <w:rsid w:val="003E00F9"/>
    <w:rsid w:val="003E0208"/>
    <w:rsid w:val="003E106F"/>
    <w:rsid w:val="003E179C"/>
    <w:rsid w:val="003E28F2"/>
    <w:rsid w:val="003E30A5"/>
    <w:rsid w:val="003E3269"/>
    <w:rsid w:val="003E4B57"/>
    <w:rsid w:val="003E4B5D"/>
    <w:rsid w:val="003E5F1D"/>
    <w:rsid w:val="003E64D7"/>
    <w:rsid w:val="003E6BD5"/>
    <w:rsid w:val="003F0321"/>
    <w:rsid w:val="003F27E1"/>
    <w:rsid w:val="003F437A"/>
    <w:rsid w:val="003F506A"/>
    <w:rsid w:val="003F53F3"/>
    <w:rsid w:val="003F5C2B"/>
    <w:rsid w:val="004001D5"/>
    <w:rsid w:val="00401F3B"/>
    <w:rsid w:val="00402240"/>
    <w:rsid w:val="004023E9"/>
    <w:rsid w:val="004037DB"/>
    <w:rsid w:val="0040454A"/>
    <w:rsid w:val="00413F83"/>
    <w:rsid w:val="004142B2"/>
    <w:rsid w:val="0041490C"/>
    <w:rsid w:val="00416191"/>
    <w:rsid w:val="00416721"/>
    <w:rsid w:val="00417298"/>
    <w:rsid w:val="00417FE4"/>
    <w:rsid w:val="00420615"/>
    <w:rsid w:val="00420738"/>
    <w:rsid w:val="00421EF0"/>
    <w:rsid w:val="00421FDC"/>
    <w:rsid w:val="00422349"/>
    <w:rsid w:val="004223CF"/>
    <w:rsid w:val="004224FA"/>
    <w:rsid w:val="00423845"/>
    <w:rsid w:val="00423C40"/>
    <w:rsid w:val="00423D07"/>
    <w:rsid w:val="004253AE"/>
    <w:rsid w:val="00427936"/>
    <w:rsid w:val="00434348"/>
    <w:rsid w:val="004351F4"/>
    <w:rsid w:val="0044346F"/>
    <w:rsid w:val="00445BA9"/>
    <w:rsid w:val="0044605B"/>
    <w:rsid w:val="0044740A"/>
    <w:rsid w:val="0045390D"/>
    <w:rsid w:val="00453FF6"/>
    <w:rsid w:val="004540C8"/>
    <w:rsid w:val="00456F82"/>
    <w:rsid w:val="00457A94"/>
    <w:rsid w:val="0046085E"/>
    <w:rsid w:val="00462111"/>
    <w:rsid w:val="00462893"/>
    <w:rsid w:val="004629F1"/>
    <w:rsid w:val="00463D47"/>
    <w:rsid w:val="00463E61"/>
    <w:rsid w:val="0046517B"/>
    <w:rsid w:val="0046520A"/>
    <w:rsid w:val="0046689B"/>
    <w:rsid w:val="004672AB"/>
    <w:rsid w:val="00470880"/>
    <w:rsid w:val="00470D4B"/>
    <w:rsid w:val="004714FE"/>
    <w:rsid w:val="00472337"/>
    <w:rsid w:val="00472599"/>
    <w:rsid w:val="004738F3"/>
    <w:rsid w:val="00476AF6"/>
    <w:rsid w:val="00477BAA"/>
    <w:rsid w:val="00481A78"/>
    <w:rsid w:val="00482DE6"/>
    <w:rsid w:val="00482F72"/>
    <w:rsid w:val="00483C98"/>
    <w:rsid w:val="0048639B"/>
    <w:rsid w:val="00487444"/>
    <w:rsid w:val="004874BB"/>
    <w:rsid w:val="004919A8"/>
    <w:rsid w:val="00491BE1"/>
    <w:rsid w:val="004926D9"/>
    <w:rsid w:val="004930E7"/>
    <w:rsid w:val="00493A94"/>
    <w:rsid w:val="00493C33"/>
    <w:rsid w:val="00494F91"/>
    <w:rsid w:val="00495053"/>
    <w:rsid w:val="00496959"/>
    <w:rsid w:val="00497117"/>
    <w:rsid w:val="00497D8D"/>
    <w:rsid w:val="004A0577"/>
    <w:rsid w:val="004A1F59"/>
    <w:rsid w:val="004A29BE"/>
    <w:rsid w:val="004A29EF"/>
    <w:rsid w:val="004A3225"/>
    <w:rsid w:val="004A33EE"/>
    <w:rsid w:val="004A33F3"/>
    <w:rsid w:val="004A3AA8"/>
    <w:rsid w:val="004A3F6D"/>
    <w:rsid w:val="004A49AF"/>
    <w:rsid w:val="004A69ED"/>
    <w:rsid w:val="004B1095"/>
    <w:rsid w:val="004B13C7"/>
    <w:rsid w:val="004B2008"/>
    <w:rsid w:val="004B4C24"/>
    <w:rsid w:val="004B778F"/>
    <w:rsid w:val="004C012C"/>
    <w:rsid w:val="004C0379"/>
    <w:rsid w:val="004C0609"/>
    <w:rsid w:val="004C1D15"/>
    <w:rsid w:val="004C1DF6"/>
    <w:rsid w:val="004C23EC"/>
    <w:rsid w:val="004C47CC"/>
    <w:rsid w:val="004C64CA"/>
    <w:rsid w:val="004C6D30"/>
    <w:rsid w:val="004D0539"/>
    <w:rsid w:val="004D141F"/>
    <w:rsid w:val="004D14E9"/>
    <w:rsid w:val="004D1FDB"/>
    <w:rsid w:val="004D2742"/>
    <w:rsid w:val="004D3CE5"/>
    <w:rsid w:val="004D3F5B"/>
    <w:rsid w:val="004D49DA"/>
    <w:rsid w:val="004D6310"/>
    <w:rsid w:val="004D64FD"/>
    <w:rsid w:val="004D7557"/>
    <w:rsid w:val="004D78BF"/>
    <w:rsid w:val="004D7B53"/>
    <w:rsid w:val="004E0062"/>
    <w:rsid w:val="004E05A1"/>
    <w:rsid w:val="004E5F50"/>
    <w:rsid w:val="004E6005"/>
    <w:rsid w:val="004E6634"/>
    <w:rsid w:val="004E6ADB"/>
    <w:rsid w:val="004E7C47"/>
    <w:rsid w:val="004F216B"/>
    <w:rsid w:val="004F301B"/>
    <w:rsid w:val="004F39B2"/>
    <w:rsid w:val="004F4181"/>
    <w:rsid w:val="004F4625"/>
    <w:rsid w:val="004F472A"/>
    <w:rsid w:val="004F554A"/>
    <w:rsid w:val="004F5E57"/>
    <w:rsid w:val="004F6366"/>
    <w:rsid w:val="004F6710"/>
    <w:rsid w:val="004F7D4B"/>
    <w:rsid w:val="00500260"/>
    <w:rsid w:val="00500C3E"/>
    <w:rsid w:val="00500F4B"/>
    <w:rsid w:val="00502849"/>
    <w:rsid w:val="00503185"/>
    <w:rsid w:val="00504334"/>
    <w:rsid w:val="0050498D"/>
    <w:rsid w:val="00504BED"/>
    <w:rsid w:val="00505528"/>
    <w:rsid w:val="00505968"/>
    <w:rsid w:val="005104D7"/>
    <w:rsid w:val="00510B9E"/>
    <w:rsid w:val="0051162F"/>
    <w:rsid w:val="00512C8B"/>
    <w:rsid w:val="0051363D"/>
    <w:rsid w:val="00513EF0"/>
    <w:rsid w:val="005156D1"/>
    <w:rsid w:val="00516438"/>
    <w:rsid w:val="00521083"/>
    <w:rsid w:val="00522588"/>
    <w:rsid w:val="00524560"/>
    <w:rsid w:val="00524C5B"/>
    <w:rsid w:val="005252BA"/>
    <w:rsid w:val="005274D6"/>
    <w:rsid w:val="0053013B"/>
    <w:rsid w:val="0053307D"/>
    <w:rsid w:val="00536BC2"/>
    <w:rsid w:val="0054140B"/>
    <w:rsid w:val="00541C36"/>
    <w:rsid w:val="005425E1"/>
    <w:rsid w:val="005427C5"/>
    <w:rsid w:val="00542CF6"/>
    <w:rsid w:val="0054310A"/>
    <w:rsid w:val="005438D9"/>
    <w:rsid w:val="00544AF6"/>
    <w:rsid w:val="00544E80"/>
    <w:rsid w:val="0054546D"/>
    <w:rsid w:val="0054763B"/>
    <w:rsid w:val="0054794F"/>
    <w:rsid w:val="00553C03"/>
    <w:rsid w:val="00553D0D"/>
    <w:rsid w:val="00555CE4"/>
    <w:rsid w:val="005624B0"/>
    <w:rsid w:val="00563692"/>
    <w:rsid w:val="00564CB8"/>
    <w:rsid w:val="005708EB"/>
    <w:rsid w:val="00570CAD"/>
    <w:rsid w:val="00571679"/>
    <w:rsid w:val="00572886"/>
    <w:rsid w:val="00573201"/>
    <w:rsid w:val="0057353C"/>
    <w:rsid w:val="00573A23"/>
    <w:rsid w:val="005767AF"/>
    <w:rsid w:val="00577317"/>
    <w:rsid w:val="00580980"/>
    <w:rsid w:val="00582C9E"/>
    <w:rsid w:val="005838E7"/>
    <w:rsid w:val="005844E7"/>
    <w:rsid w:val="00584586"/>
    <w:rsid w:val="00584E32"/>
    <w:rsid w:val="005908B8"/>
    <w:rsid w:val="005911D5"/>
    <w:rsid w:val="00592CA9"/>
    <w:rsid w:val="00593646"/>
    <w:rsid w:val="0059512E"/>
    <w:rsid w:val="0059634C"/>
    <w:rsid w:val="005A6DD2"/>
    <w:rsid w:val="005A6E1F"/>
    <w:rsid w:val="005A7806"/>
    <w:rsid w:val="005B071C"/>
    <w:rsid w:val="005B29AC"/>
    <w:rsid w:val="005B42BB"/>
    <w:rsid w:val="005B4DB3"/>
    <w:rsid w:val="005B52DA"/>
    <w:rsid w:val="005B60CD"/>
    <w:rsid w:val="005B69EF"/>
    <w:rsid w:val="005C0A8F"/>
    <w:rsid w:val="005C0B02"/>
    <w:rsid w:val="005C0B6C"/>
    <w:rsid w:val="005C12F2"/>
    <w:rsid w:val="005C1925"/>
    <w:rsid w:val="005C1E9C"/>
    <w:rsid w:val="005C212B"/>
    <w:rsid w:val="005C385D"/>
    <w:rsid w:val="005C3A66"/>
    <w:rsid w:val="005C419D"/>
    <w:rsid w:val="005C441E"/>
    <w:rsid w:val="005C4E0C"/>
    <w:rsid w:val="005C503E"/>
    <w:rsid w:val="005C54F7"/>
    <w:rsid w:val="005C7735"/>
    <w:rsid w:val="005D3B20"/>
    <w:rsid w:val="005D4326"/>
    <w:rsid w:val="005D5AC1"/>
    <w:rsid w:val="005D6301"/>
    <w:rsid w:val="005E13F0"/>
    <w:rsid w:val="005E3CFC"/>
    <w:rsid w:val="005E4759"/>
    <w:rsid w:val="005E5BD6"/>
    <w:rsid w:val="005E5C68"/>
    <w:rsid w:val="005E65C0"/>
    <w:rsid w:val="005E67D9"/>
    <w:rsid w:val="005F0390"/>
    <w:rsid w:val="005F0752"/>
    <w:rsid w:val="005F0A78"/>
    <w:rsid w:val="005F1D4C"/>
    <w:rsid w:val="005F2D35"/>
    <w:rsid w:val="005F3DCF"/>
    <w:rsid w:val="005F57F3"/>
    <w:rsid w:val="005F60CF"/>
    <w:rsid w:val="006000FB"/>
    <w:rsid w:val="006007F5"/>
    <w:rsid w:val="00604DEA"/>
    <w:rsid w:val="006072CD"/>
    <w:rsid w:val="00607CEC"/>
    <w:rsid w:val="00612023"/>
    <w:rsid w:val="00614190"/>
    <w:rsid w:val="00617106"/>
    <w:rsid w:val="00622A99"/>
    <w:rsid w:val="00622E67"/>
    <w:rsid w:val="00624999"/>
    <w:rsid w:val="00626B57"/>
    <w:rsid w:val="00626EDC"/>
    <w:rsid w:val="0062715B"/>
    <w:rsid w:val="006301E0"/>
    <w:rsid w:val="006302B5"/>
    <w:rsid w:val="00631BAC"/>
    <w:rsid w:val="0063726F"/>
    <w:rsid w:val="0063770C"/>
    <w:rsid w:val="00637DF7"/>
    <w:rsid w:val="0064124E"/>
    <w:rsid w:val="006418EC"/>
    <w:rsid w:val="00643CEB"/>
    <w:rsid w:val="00645534"/>
    <w:rsid w:val="006458FC"/>
    <w:rsid w:val="00645ADA"/>
    <w:rsid w:val="00646806"/>
    <w:rsid w:val="006470EC"/>
    <w:rsid w:val="00647754"/>
    <w:rsid w:val="00647CE8"/>
    <w:rsid w:val="00653A47"/>
    <w:rsid w:val="006542D6"/>
    <w:rsid w:val="00655400"/>
    <w:rsid w:val="0065598E"/>
    <w:rsid w:val="00655AF2"/>
    <w:rsid w:val="00655BC5"/>
    <w:rsid w:val="00655D93"/>
    <w:rsid w:val="00656828"/>
    <w:rsid w:val="006568A7"/>
    <w:rsid w:val="006568BE"/>
    <w:rsid w:val="0066025D"/>
    <w:rsid w:val="0066091A"/>
    <w:rsid w:val="006616E9"/>
    <w:rsid w:val="00662AD7"/>
    <w:rsid w:val="00663995"/>
    <w:rsid w:val="00664FF0"/>
    <w:rsid w:val="00666EC3"/>
    <w:rsid w:val="00672515"/>
    <w:rsid w:val="00674AAF"/>
    <w:rsid w:val="00677262"/>
    <w:rsid w:val="006773EC"/>
    <w:rsid w:val="00677706"/>
    <w:rsid w:val="00680504"/>
    <w:rsid w:val="006809FC"/>
    <w:rsid w:val="0068126E"/>
    <w:rsid w:val="00681966"/>
    <w:rsid w:val="00681CD9"/>
    <w:rsid w:val="00681CFD"/>
    <w:rsid w:val="0068365B"/>
    <w:rsid w:val="00683E30"/>
    <w:rsid w:val="00684373"/>
    <w:rsid w:val="006855B3"/>
    <w:rsid w:val="00687024"/>
    <w:rsid w:val="00690C56"/>
    <w:rsid w:val="00693411"/>
    <w:rsid w:val="006944B8"/>
    <w:rsid w:val="0069454D"/>
    <w:rsid w:val="006956A2"/>
    <w:rsid w:val="00695E22"/>
    <w:rsid w:val="00697289"/>
    <w:rsid w:val="006975BB"/>
    <w:rsid w:val="006A1E2A"/>
    <w:rsid w:val="006A357A"/>
    <w:rsid w:val="006A528A"/>
    <w:rsid w:val="006B032C"/>
    <w:rsid w:val="006B1467"/>
    <w:rsid w:val="006B188E"/>
    <w:rsid w:val="006B4386"/>
    <w:rsid w:val="006B7093"/>
    <w:rsid w:val="006B7417"/>
    <w:rsid w:val="006C00F6"/>
    <w:rsid w:val="006C03A3"/>
    <w:rsid w:val="006C0855"/>
    <w:rsid w:val="006C0E24"/>
    <w:rsid w:val="006C49EB"/>
    <w:rsid w:val="006C5F70"/>
    <w:rsid w:val="006C6312"/>
    <w:rsid w:val="006D2859"/>
    <w:rsid w:val="006D3691"/>
    <w:rsid w:val="006D5749"/>
    <w:rsid w:val="006D799E"/>
    <w:rsid w:val="006E0159"/>
    <w:rsid w:val="006E02AF"/>
    <w:rsid w:val="006E1814"/>
    <w:rsid w:val="006E2C88"/>
    <w:rsid w:val="006E3835"/>
    <w:rsid w:val="006E3A63"/>
    <w:rsid w:val="006E3FA4"/>
    <w:rsid w:val="006E5EF0"/>
    <w:rsid w:val="006E6C35"/>
    <w:rsid w:val="006F3563"/>
    <w:rsid w:val="006F42B9"/>
    <w:rsid w:val="006F4CD4"/>
    <w:rsid w:val="006F5DF6"/>
    <w:rsid w:val="006F6103"/>
    <w:rsid w:val="006F6DAA"/>
    <w:rsid w:val="0070115D"/>
    <w:rsid w:val="007042D6"/>
    <w:rsid w:val="0070436C"/>
    <w:rsid w:val="00704E00"/>
    <w:rsid w:val="00704EF8"/>
    <w:rsid w:val="007052CC"/>
    <w:rsid w:val="007057A7"/>
    <w:rsid w:val="00707389"/>
    <w:rsid w:val="00707B95"/>
    <w:rsid w:val="007161E3"/>
    <w:rsid w:val="00717106"/>
    <w:rsid w:val="007209E7"/>
    <w:rsid w:val="007218D3"/>
    <w:rsid w:val="00721BF0"/>
    <w:rsid w:val="00726182"/>
    <w:rsid w:val="00726F77"/>
    <w:rsid w:val="00727635"/>
    <w:rsid w:val="007300FF"/>
    <w:rsid w:val="00730CE9"/>
    <w:rsid w:val="0073230E"/>
    <w:rsid w:val="00732329"/>
    <w:rsid w:val="00733208"/>
    <w:rsid w:val="007337CA"/>
    <w:rsid w:val="00734CE4"/>
    <w:rsid w:val="00734E29"/>
    <w:rsid w:val="00735123"/>
    <w:rsid w:val="00736ACA"/>
    <w:rsid w:val="00741837"/>
    <w:rsid w:val="007430F6"/>
    <w:rsid w:val="007437B7"/>
    <w:rsid w:val="0074447A"/>
    <w:rsid w:val="007453E6"/>
    <w:rsid w:val="00745AA1"/>
    <w:rsid w:val="00751139"/>
    <w:rsid w:val="00751FCB"/>
    <w:rsid w:val="007568FD"/>
    <w:rsid w:val="00756B9E"/>
    <w:rsid w:val="00757A79"/>
    <w:rsid w:val="00760DE6"/>
    <w:rsid w:val="00761D29"/>
    <w:rsid w:val="00764E9B"/>
    <w:rsid w:val="00765C03"/>
    <w:rsid w:val="00765D01"/>
    <w:rsid w:val="00765DA7"/>
    <w:rsid w:val="00770F16"/>
    <w:rsid w:val="0077187A"/>
    <w:rsid w:val="0077309D"/>
    <w:rsid w:val="00773121"/>
    <w:rsid w:val="007774EE"/>
    <w:rsid w:val="00780508"/>
    <w:rsid w:val="00780AD9"/>
    <w:rsid w:val="00781822"/>
    <w:rsid w:val="00781E39"/>
    <w:rsid w:val="0078364F"/>
    <w:rsid w:val="00783924"/>
    <w:rsid w:val="00783F21"/>
    <w:rsid w:val="00786484"/>
    <w:rsid w:val="00787159"/>
    <w:rsid w:val="00787AD9"/>
    <w:rsid w:val="0079043A"/>
    <w:rsid w:val="00791668"/>
    <w:rsid w:val="00791AA1"/>
    <w:rsid w:val="007959F5"/>
    <w:rsid w:val="00795F5C"/>
    <w:rsid w:val="007963BE"/>
    <w:rsid w:val="00796DEE"/>
    <w:rsid w:val="007977F0"/>
    <w:rsid w:val="007A062C"/>
    <w:rsid w:val="007A0AF3"/>
    <w:rsid w:val="007A3793"/>
    <w:rsid w:val="007A474A"/>
    <w:rsid w:val="007A4D8F"/>
    <w:rsid w:val="007A4F96"/>
    <w:rsid w:val="007A5B33"/>
    <w:rsid w:val="007A5D49"/>
    <w:rsid w:val="007A6ACB"/>
    <w:rsid w:val="007A7A08"/>
    <w:rsid w:val="007B02C9"/>
    <w:rsid w:val="007B0F78"/>
    <w:rsid w:val="007B3B3A"/>
    <w:rsid w:val="007B46F5"/>
    <w:rsid w:val="007B53A0"/>
    <w:rsid w:val="007B629D"/>
    <w:rsid w:val="007B6EF9"/>
    <w:rsid w:val="007C0EA2"/>
    <w:rsid w:val="007C1A7D"/>
    <w:rsid w:val="007C1BA2"/>
    <w:rsid w:val="007C2B48"/>
    <w:rsid w:val="007C37D1"/>
    <w:rsid w:val="007C3E96"/>
    <w:rsid w:val="007C4BEE"/>
    <w:rsid w:val="007C6148"/>
    <w:rsid w:val="007C6500"/>
    <w:rsid w:val="007C6AC7"/>
    <w:rsid w:val="007D20E9"/>
    <w:rsid w:val="007D5F1D"/>
    <w:rsid w:val="007D7881"/>
    <w:rsid w:val="007D7E3A"/>
    <w:rsid w:val="007E0E10"/>
    <w:rsid w:val="007E0F96"/>
    <w:rsid w:val="007E1CC8"/>
    <w:rsid w:val="007E3B47"/>
    <w:rsid w:val="007E4768"/>
    <w:rsid w:val="007E65AE"/>
    <w:rsid w:val="007E69C8"/>
    <w:rsid w:val="007E7546"/>
    <w:rsid w:val="007E777B"/>
    <w:rsid w:val="007E7D03"/>
    <w:rsid w:val="007F0AC5"/>
    <w:rsid w:val="007F2070"/>
    <w:rsid w:val="007F3359"/>
    <w:rsid w:val="008027F7"/>
    <w:rsid w:val="00802AFA"/>
    <w:rsid w:val="008053F5"/>
    <w:rsid w:val="00807AF7"/>
    <w:rsid w:val="00810198"/>
    <w:rsid w:val="00813691"/>
    <w:rsid w:val="0081544F"/>
    <w:rsid w:val="00815DA8"/>
    <w:rsid w:val="0081708D"/>
    <w:rsid w:val="00817ABC"/>
    <w:rsid w:val="00820451"/>
    <w:rsid w:val="0082173B"/>
    <w:rsid w:val="0082180C"/>
    <w:rsid w:val="0082194D"/>
    <w:rsid w:val="008221F9"/>
    <w:rsid w:val="0082356C"/>
    <w:rsid w:val="00823D3F"/>
    <w:rsid w:val="00824114"/>
    <w:rsid w:val="00824FB6"/>
    <w:rsid w:val="008253D6"/>
    <w:rsid w:val="008254E5"/>
    <w:rsid w:val="00826EF5"/>
    <w:rsid w:val="00827364"/>
    <w:rsid w:val="00831693"/>
    <w:rsid w:val="00832652"/>
    <w:rsid w:val="00834EBA"/>
    <w:rsid w:val="0083623B"/>
    <w:rsid w:val="00840104"/>
    <w:rsid w:val="00840C1F"/>
    <w:rsid w:val="00841FC5"/>
    <w:rsid w:val="008425AF"/>
    <w:rsid w:val="0084327E"/>
    <w:rsid w:val="00845709"/>
    <w:rsid w:val="00846027"/>
    <w:rsid w:val="00846F14"/>
    <w:rsid w:val="00847F0D"/>
    <w:rsid w:val="00850888"/>
    <w:rsid w:val="0085160F"/>
    <w:rsid w:val="008539AF"/>
    <w:rsid w:val="0085507B"/>
    <w:rsid w:val="00855741"/>
    <w:rsid w:val="00856371"/>
    <w:rsid w:val="008565CC"/>
    <w:rsid w:val="0085671C"/>
    <w:rsid w:val="008576BD"/>
    <w:rsid w:val="00860463"/>
    <w:rsid w:val="008616FF"/>
    <w:rsid w:val="008624DF"/>
    <w:rsid w:val="0086301C"/>
    <w:rsid w:val="008633DD"/>
    <w:rsid w:val="008717E6"/>
    <w:rsid w:val="008733DA"/>
    <w:rsid w:val="008742CE"/>
    <w:rsid w:val="00875CF7"/>
    <w:rsid w:val="00875EF4"/>
    <w:rsid w:val="008850E4"/>
    <w:rsid w:val="008864E9"/>
    <w:rsid w:val="0089046B"/>
    <w:rsid w:val="00893663"/>
    <w:rsid w:val="008939AB"/>
    <w:rsid w:val="008940D9"/>
    <w:rsid w:val="00895F70"/>
    <w:rsid w:val="00896BEC"/>
    <w:rsid w:val="008A03EE"/>
    <w:rsid w:val="008A0D25"/>
    <w:rsid w:val="008A12F5"/>
    <w:rsid w:val="008A315A"/>
    <w:rsid w:val="008A3F0B"/>
    <w:rsid w:val="008A44C3"/>
    <w:rsid w:val="008A6535"/>
    <w:rsid w:val="008B13A8"/>
    <w:rsid w:val="008B1587"/>
    <w:rsid w:val="008B1B01"/>
    <w:rsid w:val="008B31F0"/>
    <w:rsid w:val="008B3BCD"/>
    <w:rsid w:val="008B4DB1"/>
    <w:rsid w:val="008B64F8"/>
    <w:rsid w:val="008B6B66"/>
    <w:rsid w:val="008B6DF8"/>
    <w:rsid w:val="008B7135"/>
    <w:rsid w:val="008C0038"/>
    <w:rsid w:val="008C106C"/>
    <w:rsid w:val="008C10F1"/>
    <w:rsid w:val="008C1926"/>
    <w:rsid w:val="008C1E99"/>
    <w:rsid w:val="008C2708"/>
    <w:rsid w:val="008C2744"/>
    <w:rsid w:val="008C2D40"/>
    <w:rsid w:val="008C48D1"/>
    <w:rsid w:val="008C5AA3"/>
    <w:rsid w:val="008C628D"/>
    <w:rsid w:val="008D0445"/>
    <w:rsid w:val="008D3D0C"/>
    <w:rsid w:val="008D542B"/>
    <w:rsid w:val="008D7471"/>
    <w:rsid w:val="008D7E19"/>
    <w:rsid w:val="008E0085"/>
    <w:rsid w:val="008E0BE5"/>
    <w:rsid w:val="008E16E3"/>
    <w:rsid w:val="008E2AA6"/>
    <w:rsid w:val="008E2F31"/>
    <w:rsid w:val="008E311B"/>
    <w:rsid w:val="008E58FC"/>
    <w:rsid w:val="008E618D"/>
    <w:rsid w:val="008E6BA3"/>
    <w:rsid w:val="008F0618"/>
    <w:rsid w:val="008F3385"/>
    <w:rsid w:val="008F46E7"/>
    <w:rsid w:val="008F624E"/>
    <w:rsid w:val="008F6AF5"/>
    <w:rsid w:val="008F6F0B"/>
    <w:rsid w:val="008F7696"/>
    <w:rsid w:val="008F7E45"/>
    <w:rsid w:val="009013EE"/>
    <w:rsid w:val="009013F1"/>
    <w:rsid w:val="0090326D"/>
    <w:rsid w:val="00903594"/>
    <w:rsid w:val="00903B0B"/>
    <w:rsid w:val="0090406A"/>
    <w:rsid w:val="00904A2D"/>
    <w:rsid w:val="00907BA7"/>
    <w:rsid w:val="00907DB1"/>
    <w:rsid w:val="00907E95"/>
    <w:rsid w:val="0091064E"/>
    <w:rsid w:val="009112F9"/>
    <w:rsid w:val="00911FC5"/>
    <w:rsid w:val="00913C7A"/>
    <w:rsid w:val="00915BD9"/>
    <w:rsid w:val="0091692E"/>
    <w:rsid w:val="00917383"/>
    <w:rsid w:val="00922FDE"/>
    <w:rsid w:val="00923154"/>
    <w:rsid w:val="0092485A"/>
    <w:rsid w:val="00924C60"/>
    <w:rsid w:val="00925539"/>
    <w:rsid w:val="009259A7"/>
    <w:rsid w:val="009270FD"/>
    <w:rsid w:val="009311CD"/>
    <w:rsid w:val="009315A0"/>
    <w:rsid w:val="0093182A"/>
    <w:rsid w:val="00931A10"/>
    <w:rsid w:val="00931F12"/>
    <w:rsid w:val="00933648"/>
    <w:rsid w:val="00934ADC"/>
    <w:rsid w:val="009378A7"/>
    <w:rsid w:val="00942BEE"/>
    <w:rsid w:val="009452DB"/>
    <w:rsid w:val="009468E6"/>
    <w:rsid w:val="00946D1E"/>
    <w:rsid w:val="009478E0"/>
    <w:rsid w:val="00947967"/>
    <w:rsid w:val="009503E7"/>
    <w:rsid w:val="00950CC6"/>
    <w:rsid w:val="009520E0"/>
    <w:rsid w:val="00954838"/>
    <w:rsid w:val="00955201"/>
    <w:rsid w:val="00955A28"/>
    <w:rsid w:val="00957435"/>
    <w:rsid w:val="009612FB"/>
    <w:rsid w:val="00961374"/>
    <w:rsid w:val="00961644"/>
    <w:rsid w:val="00961E91"/>
    <w:rsid w:val="0096238D"/>
    <w:rsid w:val="009647AD"/>
    <w:rsid w:val="00964D24"/>
    <w:rsid w:val="00965200"/>
    <w:rsid w:val="009668B3"/>
    <w:rsid w:val="00971471"/>
    <w:rsid w:val="00972049"/>
    <w:rsid w:val="0097299A"/>
    <w:rsid w:val="00974EEA"/>
    <w:rsid w:val="00977219"/>
    <w:rsid w:val="0098070E"/>
    <w:rsid w:val="0098102B"/>
    <w:rsid w:val="00981739"/>
    <w:rsid w:val="00982BE6"/>
    <w:rsid w:val="00984836"/>
    <w:rsid w:val="009849C2"/>
    <w:rsid w:val="00984D24"/>
    <w:rsid w:val="009858EB"/>
    <w:rsid w:val="009869CF"/>
    <w:rsid w:val="00991E0B"/>
    <w:rsid w:val="00994171"/>
    <w:rsid w:val="00995B7D"/>
    <w:rsid w:val="0099614C"/>
    <w:rsid w:val="009A2B43"/>
    <w:rsid w:val="009A3F47"/>
    <w:rsid w:val="009A6CC0"/>
    <w:rsid w:val="009A77D9"/>
    <w:rsid w:val="009B0046"/>
    <w:rsid w:val="009B10A7"/>
    <w:rsid w:val="009B14F7"/>
    <w:rsid w:val="009B1FEE"/>
    <w:rsid w:val="009B49A2"/>
    <w:rsid w:val="009B57CD"/>
    <w:rsid w:val="009C02A1"/>
    <w:rsid w:val="009C119B"/>
    <w:rsid w:val="009C1440"/>
    <w:rsid w:val="009C2107"/>
    <w:rsid w:val="009C2EB1"/>
    <w:rsid w:val="009C5628"/>
    <w:rsid w:val="009C5D9E"/>
    <w:rsid w:val="009C6534"/>
    <w:rsid w:val="009C6BBB"/>
    <w:rsid w:val="009C6F12"/>
    <w:rsid w:val="009C73B0"/>
    <w:rsid w:val="009D09B6"/>
    <w:rsid w:val="009D12E5"/>
    <w:rsid w:val="009D22E3"/>
    <w:rsid w:val="009D2C3E"/>
    <w:rsid w:val="009D33A3"/>
    <w:rsid w:val="009D5312"/>
    <w:rsid w:val="009D7D69"/>
    <w:rsid w:val="009E0625"/>
    <w:rsid w:val="009E14A0"/>
    <w:rsid w:val="009E249D"/>
    <w:rsid w:val="009E2C41"/>
    <w:rsid w:val="009E3034"/>
    <w:rsid w:val="009E549F"/>
    <w:rsid w:val="009F0A2A"/>
    <w:rsid w:val="009F28A8"/>
    <w:rsid w:val="009F3192"/>
    <w:rsid w:val="009F3F34"/>
    <w:rsid w:val="009F473E"/>
    <w:rsid w:val="009F6519"/>
    <w:rsid w:val="009F682A"/>
    <w:rsid w:val="00A01CF2"/>
    <w:rsid w:val="00A022BE"/>
    <w:rsid w:val="00A0257A"/>
    <w:rsid w:val="00A03F9A"/>
    <w:rsid w:val="00A04595"/>
    <w:rsid w:val="00A04987"/>
    <w:rsid w:val="00A0549E"/>
    <w:rsid w:val="00A05B97"/>
    <w:rsid w:val="00A07A8D"/>
    <w:rsid w:val="00A07B4B"/>
    <w:rsid w:val="00A10581"/>
    <w:rsid w:val="00A11745"/>
    <w:rsid w:val="00A12F5B"/>
    <w:rsid w:val="00A13972"/>
    <w:rsid w:val="00A13D3B"/>
    <w:rsid w:val="00A15F53"/>
    <w:rsid w:val="00A174B7"/>
    <w:rsid w:val="00A20568"/>
    <w:rsid w:val="00A2085E"/>
    <w:rsid w:val="00A21461"/>
    <w:rsid w:val="00A218C8"/>
    <w:rsid w:val="00A23880"/>
    <w:rsid w:val="00A24C95"/>
    <w:rsid w:val="00A2599A"/>
    <w:rsid w:val="00A25CD0"/>
    <w:rsid w:val="00A26094"/>
    <w:rsid w:val="00A26165"/>
    <w:rsid w:val="00A301BF"/>
    <w:rsid w:val="00A302B2"/>
    <w:rsid w:val="00A318E7"/>
    <w:rsid w:val="00A331B4"/>
    <w:rsid w:val="00A3484E"/>
    <w:rsid w:val="00A356D3"/>
    <w:rsid w:val="00A36ADA"/>
    <w:rsid w:val="00A36FD3"/>
    <w:rsid w:val="00A37DDE"/>
    <w:rsid w:val="00A41406"/>
    <w:rsid w:val="00A438D8"/>
    <w:rsid w:val="00A44933"/>
    <w:rsid w:val="00A464E0"/>
    <w:rsid w:val="00A473F5"/>
    <w:rsid w:val="00A47B99"/>
    <w:rsid w:val="00A503DF"/>
    <w:rsid w:val="00A51F9D"/>
    <w:rsid w:val="00A52D2A"/>
    <w:rsid w:val="00A538B4"/>
    <w:rsid w:val="00A53A66"/>
    <w:rsid w:val="00A5416A"/>
    <w:rsid w:val="00A547AE"/>
    <w:rsid w:val="00A554A5"/>
    <w:rsid w:val="00A6003D"/>
    <w:rsid w:val="00A61387"/>
    <w:rsid w:val="00A6160C"/>
    <w:rsid w:val="00A639F4"/>
    <w:rsid w:val="00A702A0"/>
    <w:rsid w:val="00A70439"/>
    <w:rsid w:val="00A704C6"/>
    <w:rsid w:val="00A725C1"/>
    <w:rsid w:val="00A72DF6"/>
    <w:rsid w:val="00A738C1"/>
    <w:rsid w:val="00A7796E"/>
    <w:rsid w:val="00A80E22"/>
    <w:rsid w:val="00A8170A"/>
    <w:rsid w:val="00A81A32"/>
    <w:rsid w:val="00A826A8"/>
    <w:rsid w:val="00A835BD"/>
    <w:rsid w:val="00A8399F"/>
    <w:rsid w:val="00A84980"/>
    <w:rsid w:val="00A85097"/>
    <w:rsid w:val="00A85DC6"/>
    <w:rsid w:val="00A8633E"/>
    <w:rsid w:val="00A86371"/>
    <w:rsid w:val="00A86E00"/>
    <w:rsid w:val="00A879B5"/>
    <w:rsid w:val="00A87BA2"/>
    <w:rsid w:val="00A9194B"/>
    <w:rsid w:val="00A92320"/>
    <w:rsid w:val="00A92B3C"/>
    <w:rsid w:val="00A93465"/>
    <w:rsid w:val="00A93E59"/>
    <w:rsid w:val="00A940E4"/>
    <w:rsid w:val="00A967C9"/>
    <w:rsid w:val="00A96DE8"/>
    <w:rsid w:val="00A97B15"/>
    <w:rsid w:val="00A97EC4"/>
    <w:rsid w:val="00AA0666"/>
    <w:rsid w:val="00AA1305"/>
    <w:rsid w:val="00AA194B"/>
    <w:rsid w:val="00AA1E37"/>
    <w:rsid w:val="00AA42D5"/>
    <w:rsid w:val="00AA4AB1"/>
    <w:rsid w:val="00AA5182"/>
    <w:rsid w:val="00AA76EB"/>
    <w:rsid w:val="00AB1B85"/>
    <w:rsid w:val="00AB1CF9"/>
    <w:rsid w:val="00AB2FAB"/>
    <w:rsid w:val="00AB4277"/>
    <w:rsid w:val="00AB4B04"/>
    <w:rsid w:val="00AB4C57"/>
    <w:rsid w:val="00AB4E2E"/>
    <w:rsid w:val="00AB58E8"/>
    <w:rsid w:val="00AB5AB2"/>
    <w:rsid w:val="00AB5C14"/>
    <w:rsid w:val="00AC0392"/>
    <w:rsid w:val="00AC1EE7"/>
    <w:rsid w:val="00AC2B55"/>
    <w:rsid w:val="00AC333F"/>
    <w:rsid w:val="00AC3FF9"/>
    <w:rsid w:val="00AC4EB6"/>
    <w:rsid w:val="00AC5446"/>
    <w:rsid w:val="00AC585C"/>
    <w:rsid w:val="00AD0165"/>
    <w:rsid w:val="00AD091C"/>
    <w:rsid w:val="00AD1925"/>
    <w:rsid w:val="00AD285B"/>
    <w:rsid w:val="00AD3385"/>
    <w:rsid w:val="00AD37B6"/>
    <w:rsid w:val="00AD5DF0"/>
    <w:rsid w:val="00AD68B1"/>
    <w:rsid w:val="00AD70F8"/>
    <w:rsid w:val="00AE067D"/>
    <w:rsid w:val="00AE0A32"/>
    <w:rsid w:val="00AE0F6E"/>
    <w:rsid w:val="00AE111F"/>
    <w:rsid w:val="00AE1608"/>
    <w:rsid w:val="00AE1AEA"/>
    <w:rsid w:val="00AE32FD"/>
    <w:rsid w:val="00AE5C00"/>
    <w:rsid w:val="00AE657F"/>
    <w:rsid w:val="00AF0110"/>
    <w:rsid w:val="00AF0454"/>
    <w:rsid w:val="00AF1181"/>
    <w:rsid w:val="00AF13A3"/>
    <w:rsid w:val="00AF146B"/>
    <w:rsid w:val="00AF1F90"/>
    <w:rsid w:val="00AF2F79"/>
    <w:rsid w:val="00AF44FA"/>
    <w:rsid w:val="00AF4653"/>
    <w:rsid w:val="00AF7DB7"/>
    <w:rsid w:val="00B00BF7"/>
    <w:rsid w:val="00B0272D"/>
    <w:rsid w:val="00B02985"/>
    <w:rsid w:val="00B036C6"/>
    <w:rsid w:val="00B03AD8"/>
    <w:rsid w:val="00B03C47"/>
    <w:rsid w:val="00B03FA2"/>
    <w:rsid w:val="00B074D1"/>
    <w:rsid w:val="00B10D02"/>
    <w:rsid w:val="00B10DA9"/>
    <w:rsid w:val="00B10EFC"/>
    <w:rsid w:val="00B1103C"/>
    <w:rsid w:val="00B134D8"/>
    <w:rsid w:val="00B16DFA"/>
    <w:rsid w:val="00B173AD"/>
    <w:rsid w:val="00B201E2"/>
    <w:rsid w:val="00B22C15"/>
    <w:rsid w:val="00B22D3F"/>
    <w:rsid w:val="00B22D7A"/>
    <w:rsid w:val="00B234D8"/>
    <w:rsid w:val="00B27665"/>
    <w:rsid w:val="00B27914"/>
    <w:rsid w:val="00B27CCD"/>
    <w:rsid w:val="00B30291"/>
    <w:rsid w:val="00B34EA7"/>
    <w:rsid w:val="00B3775E"/>
    <w:rsid w:val="00B40A3F"/>
    <w:rsid w:val="00B40DAA"/>
    <w:rsid w:val="00B436EF"/>
    <w:rsid w:val="00B443E4"/>
    <w:rsid w:val="00B44424"/>
    <w:rsid w:val="00B45E71"/>
    <w:rsid w:val="00B469E6"/>
    <w:rsid w:val="00B46F88"/>
    <w:rsid w:val="00B4757D"/>
    <w:rsid w:val="00B521C3"/>
    <w:rsid w:val="00B52D72"/>
    <w:rsid w:val="00B5484D"/>
    <w:rsid w:val="00B55765"/>
    <w:rsid w:val="00B563EA"/>
    <w:rsid w:val="00B56CDF"/>
    <w:rsid w:val="00B5786D"/>
    <w:rsid w:val="00B60E51"/>
    <w:rsid w:val="00B63A54"/>
    <w:rsid w:val="00B63ED5"/>
    <w:rsid w:val="00B63FBA"/>
    <w:rsid w:val="00B6420F"/>
    <w:rsid w:val="00B67FED"/>
    <w:rsid w:val="00B71014"/>
    <w:rsid w:val="00B72E83"/>
    <w:rsid w:val="00B77D18"/>
    <w:rsid w:val="00B812F2"/>
    <w:rsid w:val="00B81703"/>
    <w:rsid w:val="00B8313A"/>
    <w:rsid w:val="00B832C1"/>
    <w:rsid w:val="00B865E1"/>
    <w:rsid w:val="00B8730C"/>
    <w:rsid w:val="00B924ED"/>
    <w:rsid w:val="00B93503"/>
    <w:rsid w:val="00B94182"/>
    <w:rsid w:val="00BA001E"/>
    <w:rsid w:val="00BA055B"/>
    <w:rsid w:val="00BA3117"/>
    <w:rsid w:val="00BA31E8"/>
    <w:rsid w:val="00BA328D"/>
    <w:rsid w:val="00BA4B11"/>
    <w:rsid w:val="00BA5381"/>
    <w:rsid w:val="00BA55E0"/>
    <w:rsid w:val="00BA55F3"/>
    <w:rsid w:val="00BA6B04"/>
    <w:rsid w:val="00BA6BD4"/>
    <w:rsid w:val="00BA6C7A"/>
    <w:rsid w:val="00BA7548"/>
    <w:rsid w:val="00BB0226"/>
    <w:rsid w:val="00BB067B"/>
    <w:rsid w:val="00BB17D1"/>
    <w:rsid w:val="00BB22FC"/>
    <w:rsid w:val="00BB3752"/>
    <w:rsid w:val="00BB46AA"/>
    <w:rsid w:val="00BB5203"/>
    <w:rsid w:val="00BB6688"/>
    <w:rsid w:val="00BB7EB3"/>
    <w:rsid w:val="00BC0792"/>
    <w:rsid w:val="00BC1A33"/>
    <w:rsid w:val="00BC2587"/>
    <w:rsid w:val="00BC26D4"/>
    <w:rsid w:val="00BC3AE0"/>
    <w:rsid w:val="00BC46E7"/>
    <w:rsid w:val="00BC5F1B"/>
    <w:rsid w:val="00BD08A0"/>
    <w:rsid w:val="00BD10D6"/>
    <w:rsid w:val="00BD55BF"/>
    <w:rsid w:val="00BD5EEA"/>
    <w:rsid w:val="00BD6CD3"/>
    <w:rsid w:val="00BE0C80"/>
    <w:rsid w:val="00BE2296"/>
    <w:rsid w:val="00BE6A62"/>
    <w:rsid w:val="00BF2A42"/>
    <w:rsid w:val="00BF351C"/>
    <w:rsid w:val="00BF49AC"/>
    <w:rsid w:val="00C03D8C"/>
    <w:rsid w:val="00C04B8B"/>
    <w:rsid w:val="00C04D2F"/>
    <w:rsid w:val="00C052E7"/>
    <w:rsid w:val="00C055EC"/>
    <w:rsid w:val="00C057D2"/>
    <w:rsid w:val="00C106FB"/>
    <w:rsid w:val="00C10DC9"/>
    <w:rsid w:val="00C11F91"/>
    <w:rsid w:val="00C12761"/>
    <w:rsid w:val="00C12A78"/>
    <w:rsid w:val="00C12FB3"/>
    <w:rsid w:val="00C14EC6"/>
    <w:rsid w:val="00C15D30"/>
    <w:rsid w:val="00C16C7B"/>
    <w:rsid w:val="00C16E6F"/>
    <w:rsid w:val="00C17341"/>
    <w:rsid w:val="00C17413"/>
    <w:rsid w:val="00C179B8"/>
    <w:rsid w:val="00C21591"/>
    <w:rsid w:val="00C23309"/>
    <w:rsid w:val="00C2422B"/>
    <w:rsid w:val="00C2434D"/>
    <w:rsid w:val="00C24DB8"/>
    <w:rsid w:val="00C24EEF"/>
    <w:rsid w:val="00C25CF6"/>
    <w:rsid w:val="00C26C36"/>
    <w:rsid w:val="00C27183"/>
    <w:rsid w:val="00C30A7B"/>
    <w:rsid w:val="00C3101B"/>
    <w:rsid w:val="00C3114A"/>
    <w:rsid w:val="00C31D2C"/>
    <w:rsid w:val="00C32768"/>
    <w:rsid w:val="00C33939"/>
    <w:rsid w:val="00C33FBF"/>
    <w:rsid w:val="00C3477B"/>
    <w:rsid w:val="00C34B6A"/>
    <w:rsid w:val="00C357C6"/>
    <w:rsid w:val="00C421FB"/>
    <w:rsid w:val="00C42446"/>
    <w:rsid w:val="00C431DF"/>
    <w:rsid w:val="00C44BFC"/>
    <w:rsid w:val="00C456BD"/>
    <w:rsid w:val="00C45956"/>
    <w:rsid w:val="00C45CC8"/>
    <w:rsid w:val="00C475A3"/>
    <w:rsid w:val="00C519F1"/>
    <w:rsid w:val="00C52138"/>
    <w:rsid w:val="00C530DC"/>
    <w:rsid w:val="00C5350D"/>
    <w:rsid w:val="00C53EE4"/>
    <w:rsid w:val="00C57362"/>
    <w:rsid w:val="00C57D61"/>
    <w:rsid w:val="00C57F40"/>
    <w:rsid w:val="00C60381"/>
    <w:rsid w:val="00C6101B"/>
    <w:rsid w:val="00C6123C"/>
    <w:rsid w:val="00C61626"/>
    <w:rsid w:val="00C623AE"/>
    <w:rsid w:val="00C6311A"/>
    <w:rsid w:val="00C64002"/>
    <w:rsid w:val="00C663A8"/>
    <w:rsid w:val="00C66D19"/>
    <w:rsid w:val="00C6720B"/>
    <w:rsid w:val="00C7084D"/>
    <w:rsid w:val="00C722DE"/>
    <w:rsid w:val="00C7315E"/>
    <w:rsid w:val="00C73898"/>
    <w:rsid w:val="00C75642"/>
    <w:rsid w:val="00C756CC"/>
    <w:rsid w:val="00C75895"/>
    <w:rsid w:val="00C758D5"/>
    <w:rsid w:val="00C770CE"/>
    <w:rsid w:val="00C77672"/>
    <w:rsid w:val="00C77C0B"/>
    <w:rsid w:val="00C8001F"/>
    <w:rsid w:val="00C83C9F"/>
    <w:rsid w:val="00C855E6"/>
    <w:rsid w:val="00C92718"/>
    <w:rsid w:val="00C92C86"/>
    <w:rsid w:val="00C93491"/>
    <w:rsid w:val="00C93979"/>
    <w:rsid w:val="00C93B3B"/>
    <w:rsid w:val="00C94353"/>
    <w:rsid w:val="00C9461C"/>
    <w:rsid w:val="00C94840"/>
    <w:rsid w:val="00CA22DD"/>
    <w:rsid w:val="00CA2E8A"/>
    <w:rsid w:val="00CA3802"/>
    <w:rsid w:val="00CA4EE3"/>
    <w:rsid w:val="00CA5F31"/>
    <w:rsid w:val="00CA6416"/>
    <w:rsid w:val="00CA7199"/>
    <w:rsid w:val="00CA72ED"/>
    <w:rsid w:val="00CB002F"/>
    <w:rsid w:val="00CB027F"/>
    <w:rsid w:val="00CB212C"/>
    <w:rsid w:val="00CB3928"/>
    <w:rsid w:val="00CC0EBB"/>
    <w:rsid w:val="00CC1FB5"/>
    <w:rsid w:val="00CC2FAE"/>
    <w:rsid w:val="00CC5334"/>
    <w:rsid w:val="00CC6297"/>
    <w:rsid w:val="00CC6523"/>
    <w:rsid w:val="00CC7690"/>
    <w:rsid w:val="00CC795B"/>
    <w:rsid w:val="00CD0C84"/>
    <w:rsid w:val="00CD1986"/>
    <w:rsid w:val="00CD19AC"/>
    <w:rsid w:val="00CD1A57"/>
    <w:rsid w:val="00CD1F02"/>
    <w:rsid w:val="00CD212F"/>
    <w:rsid w:val="00CD29D1"/>
    <w:rsid w:val="00CD36E1"/>
    <w:rsid w:val="00CD54BF"/>
    <w:rsid w:val="00CD5BD4"/>
    <w:rsid w:val="00CD73DA"/>
    <w:rsid w:val="00CE00AF"/>
    <w:rsid w:val="00CE0A13"/>
    <w:rsid w:val="00CE161F"/>
    <w:rsid w:val="00CE185E"/>
    <w:rsid w:val="00CE1B92"/>
    <w:rsid w:val="00CE4D5C"/>
    <w:rsid w:val="00CF00AA"/>
    <w:rsid w:val="00CF05DA"/>
    <w:rsid w:val="00CF2973"/>
    <w:rsid w:val="00CF434C"/>
    <w:rsid w:val="00CF4701"/>
    <w:rsid w:val="00CF58EB"/>
    <w:rsid w:val="00CF6FEC"/>
    <w:rsid w:val="00CF76CE"/>
    <w:rsid w:val="00CF7C31"/>
    <w:rsid w:val="00D002A6"/>
    <w:rsid w:val="00D0106E"/>
    <w:rsid w:val="00D015A5"/>
    <w:rsid w:val="00D0181B"/>
    <w:rsid w:val="00D06383"/>
    <w:rsid w:val="00D1258E"/>
    <w:rsid w:val="00D13F8C"/>
    <w:rsid w:val="00D148E3"/>
    <w:rsid w:val="00D14F5E"/>
    <w:rsid w:val="00D157EF"/>
    <w:rsid w:val="00D16BAD"/>
    <w:rsid w:val="00D1728D"/>
    <w:rsid w:val="00D17E1B"/>
    <w:rsid w:val="00D17E3B"/>
    <w:rsid w:val="00D203DD"/>
    <w:rsid w:val="00D20E85"/>
    <w:rsid w:val="00D21966"/>
    <w:rsid w:val="00D21B1A"/>
    <w:rsid w:val="00D22D58"/>
    <w:rsid w:val="00D24418"/>
    <w:rsid w:val="00D24615"/>
    <w:rsid w:val="00D251D2"/>
    <w:rsid w:val="00D252C0"/>
    <w:rsid w:val="00D256AD"/>
    <w:rsid w:val="00D25C93"/>
    <w:rsid w:val="00D2612F"/>
    <w:rsid w:val="00D27774"/>
    <w:rsid w:val="00D3062F"/>
    <w:rsid w:val="00D3077F"/>
    <w:rsid w:val="00D30B0A"/>
    <w:rsid w:val="00D32D5E"/>
    <w:rsid w:val="00D347F7"/>
    <w:rsid w:val="00D37842"/>
    <w:rsid w:val="00D413B0"/>
    <w:rsid w:val="00D42DC2"/>
    <w:rsid w:val="00D4302B"/>
    <w:rsid w:val="00D458E0"/>
    <w:rsid w:val="00D459B9"/>
    <w:rsid w:val="00D47A33"/>
    <w:rsid w:val="00D47A53"/>
    <w:rsid w:val="00D5138F"/>
    <w:rsid w:val="00D520F5"/>
    <w:rsid w:val="00D52354"/>
    <w:rsid w:val="00D537E1"/>
    <w:rsid w:val="00D54ECE"/>
    <w:rsid w:val="00D55BB2"/>
    <w:rsid w:val="00D561F3"/>
    <w:rsid w:val="00D568C4"/>
    <w:rsid w:val="00D6091A"/>
    <w:rsid w:val="00D61540"/>
    <w:rsid w:val="00D63E29"/>
    <w:rsid w:val="00D6605A"/>
    <w:rsid w:val="00D661D1"/>
    <w:rsid w:val="00D6695F"/>
    <w:rsid w:val="00D721EA"/>
    <w:rsid w:val="00D75644"/>
    <w:rsid w:val="00D81656"/>
    <w:rsid w:val="00D81691"/>
    <w:rsid w:val="00D833F0"/>
    <w:rsid w:val="00D83D87"/>
    <w:rsid w:val="00D84517"/>
    <w:rsid w:val="00D84A6D"/>
    <w:rsid w:val="00D86A30"/>
    <w:rsid w:val="00D9183D"/>
    <w:rsid w:val="00D92271"/>
    <w:rsid w:val="00D93410"/>
    <w:rsid w:val="00D935B2"/>
    <w:rsid w:val="00D94DF2"/>
    <w:rsid w:val="00D950AB"/>
    <w:rsid w:val="00D95410"/>
    <w:rsid w:val="00D97CB4"/>
    <w:rsid w:val="00D97DD4"/>
    <w:rsid w:val="00D97DFF"/>
    <w:rsid w:val="00DA071E"/>
    <w:rsid w:val="00DA13D4"/>
    <w:rsid w:val="00DA2623"/>
    <w:rsid w:val="00DA4686"/>
    <w:rsid w:val="00DA5A8A"/>
    <w:rsid w:val="00DA7D34"/>
    <w:rsid w:val="00DB1170"/>
    <w:rsid w:val="00DB26CD"/>
    <w:rsid w:val="00DB29AA"/>
    <w:rsid w:val="00DB441C"/>
    <w:rsid w:val="00DB44AF"/>
    <w:rsid w:val="00DB4560"/>
    <w:rsid w:val="00DB49B1"/>
    <w:rsid w:val="00DB4E67"/>
    <w:rsid w:val="00DB65B7"/>
    <w:rsid w:val="00DB777C"/>
    <w:rsid w:val="00DB7B98"/>
    <w:rsid w:val="00DC0DE4"/>
    <w:rsid w:val="00DC1909"/>
    <w:rsid w:val="00DC1E54"/>
    <w:rsid w:val="00DC1F58"/>
    <w:rsid w:val="00DC1F6F"/>
    <w:rsid w:val="00DC2D89"/>
    <w:rsid w:val="00DC339B"/>
    <w:rsid w:val="00DC351B"/>
    <w:rsid w:val="00DC3C61"/>
    <w:rsid w:val="00DC4DE5"/>
    <w:rsid w:val="00DC5D40"/>
    <w:rsid w:val="00DC64F1"/>
    <w:rsid w:val="00DC69A7"/>
    <w:rsid w:val="00DC74AA"/>
    <w:rsid w:val="00DD0C92"/>
    <w:rsid w:val="00DD30E9"/>
    <w:rsid w:val="00DD4F47"/>
    <w:rsid w:val="00DD548A"/>
    <w:rsid w:val="00DD7FBB"/>
    <w:rsid w:val="00DD7FC9"/>
    <w:rsid w:val="00DE0B9F"/>
    <w:rsid w:val="00DE0C50"/>
    <w:rsid w:val="00DE2A9E"/>
    <w:rsid w:val="00DE4238"/>
    <w:rsid w:val="00DE47BD"/>
    <w:rsid w:val="00DE523E"/>
    <w:rsid w:val="00DE657F"/>
    <w:rsid w:val="00DE7230"/>
    <w:rsid w:val="00DE7CDA"/>
    <w:rsid w:val="00DF06B0"/>
    <w:rsid w:val="00DF10DB"/>
    <w:rsid w:val="00DF1218"/>
    <w:rsid w:val="00DF1282"/>
    <w:rsid w:val="00DF1DEB"/>
    <w:rsid w:val="00DF3088"/>
    <w:rsid w:val="00DF6462"/>
    <w:rsid w:val="00E00981"/>
    <w:rsid w:val="00E01053"/>
    <w:rsid w:val="00E02FA0"/>
    <w:rsid w:val="00E036DC"/>
    <w:rsid w:val="00E04041"/>
    <w:rsid w:val="00E049BC"/>
    <w:rsid w:val="00E07E59"/>
    <w:rsid w:val="00E10454"/>
    <w:rsid w:val="00E112E5"/>
    <w:rsid w:val="00E11467"/>
    <w:rsid w:val="00E122D8"/>
    <w:rsid w:val="00E12CC8"/>
    <w:rsid w:val="00E13324"/>
    <w:rsid w:val="00E13A1E"/>
    <w:rsid w:val="00E146BB"/>
    <w:rsid w:val="00E15352"/>
    <w:rsid w:val="00E21A0B"/>
    <w:rsid w:val="00E21A59"/>
    <w:rsid w:val="00E21CC7"/>
    <w:rsid w:val="00E22659"/>
    <w:rsid w:val="00E22852"/>
    <w:rsid w:val="00E229A7"/>
    <w:rsid w:val="00E23869"/>
    <w:rsid w:val="00E24D9E"/>
    <w:rsid w:val="00E25849"/>
    <w:rsid w:val="00E2694C"/>
    <w:rsid w:val="00E26DC5"/>
    <w:rsid w:val="00E27825"/>
    <w:rsid w:val="00E27870"/>
    <w:rsid w:val="00E3197E"/>
    <w:rsid w:val="00E32781"/>
    <w:rsid w:val="00E3429C"/>
    <w:rsid w:val="00E342F8"/>
    <w:rsid w:val="00E34DAA"/>
    <w:rsid w:val="00E351ED"/>
    <w:rsid w:val="00E3523E"/>
    <w:rsid w:val="00E36414"/>
    <w:rsid w:val="00E4087E"/>
    <w:rsid w:val="00E40981"/>
    <w:rsid w:val="00E40EE7"/>
    <w:rsid w:val="00E41A13"/>
    <w:rsid w:val="00E422E7"/>
    <w:rsid w:val="00E42701"/>
    <w:rsid w:val="00E43A34"/>
    <w:rsid w:val="00E4409C"/>
    <w:rsid w:val="00E44B7A"/>
    <w:rsid w:val="00E44CB2"/>
    <w:rsid w:val="00E52664"/>
    <w:rsid w:val="00E52FE4"/>
    <w:rsid w:val="00E5312D"/>
    <w:rsid w:val="00E53BB4"/>
    <w:rsid w:val="00E56C63"/>
    <w:rsid w:val="00E56EA2"/>
    <w:rsid w:val="00E6034B"/>
    <w:rsid w:val="00E60370"/>
    <w:rsid w:val="00E6202A"/>
    <w:rsid w:val="00E62A1E"/>
    <w:rsid w:val="00E62A86"/>
    <w:rsid w:val="00E641BD"/>
    <w:rsid w:val="00E6549E"/>
    <w:rsid w:val="00E65EDE"/>
    <w:rsid w:val="00E66B96"/>
    <w:rsid w:val="00E70F81"/>
    <w:rsid w:val="00E7204D"/>
    <w:rsid w:val="00E7304F"/>
    <w:rsid w:val="00E737F0"/>
    <w:rsid w:val="00E73875"/>
    <w:rsid w:val="00E75890"/>
    <w:rsid w:val="00E77055"/>
    <w:rsid w:val="00E7739F"/>
    <w:rsid w:val="00E77460"/>
    <w:rsid w:val="00E81275"/>
    <w:rsid w:val="00E832BC"/>
    <w:rsid w:val="00E8384E"/>
    <w:rsid w:val="00E83ABC"/>
    <w:rsid w:val="00E844F2"/>
    <w:rsid w:val="00E84B75"/>
    <w:rsid w:val="00E84C98"/>
    <w:rsid w:val="00E871B3"/>
    <w:rsid w:val="00E90022"/>
    <w:rsid w:val="00E90AD0"/>
    <w:rsid w:val="00E90DDB"/>
    <w:rsid w:val="00E92FCB"/>
    <w:rsid w:val="00E94F86"/>
    <w:rsid w:val="00E96B99"/>
    <w:rsid w:val="00E9742D"/>
    <w:rsid w:val="00E97EE9"/>
    <w:rsid w:val="00EA147F"/>
    <w:rsid w:val="00EA2029"/>
    <w:rsid w:val="00EA4A27"/>
    <w:rsid w:val="00EA4FA6"/>
    <w:rsid w:val="00EB08B4"/>
    <w:rsid w:val="00EB1A25"/>
    <w:rsid w:val="00EB5FAB"/>
    <w:rsid w:val="00EC1BF8"/>
    <w:rsid w:val="00EC210F"/>
    <w:rsid w:val="00EC30EA"/>
    <w:rsid w:val="00EC352F"/>
    <w:rsid w:val="00EC55DA"/>
    <w:rsid w:val="00EC5DA3"/>
    <w:rsid w:val="00EC6026"/>
    <w:rsid w:val="00EC67E0"/>
    <w:rsid w:val="00EC7363"/>
    <w:rsid w:val="00EC798C"/>
    <w:rsid w:val="00EC7CAF"/>
    <w:rsid w:val="00ED03AB"/>
    <w:rsid w:val="00ED0B95"/>
    <w:rsid w:val="00ED1963"/>
    <w:rsid w:val="00ED198F"/>
    <w:rsid w:val="00ED1CD4"/>
    <w:rsid w:val="00ED1D2B"/>
    <w:rsid w:val="00ED3C38"/>
    <w:rsid w:val="00ED4B47"/>
    <w:rsid w:val="00ED64B5"/>
    <w:rsid w:val="00EE251E"/>
    <w:rsid w:val="00EE3C76"/>
    <w:rsid w:val="00EE5931"/>
    <w:rsid w:val="00EE6908"/>
    <w:rsid w:val="00EE7589"/>
    <w:rsid w:val="00EE7CCA"/>
    <w:rsid w:val="00EF003C"/>
    <w:rsid w:val="00EF0093"/>
    <w:rsid w:val="00EF2F1E"/>
    <w:rsid w:val="00EF30BE"/>
    <w:rsid w:val="00EF4E67"/>
    <w:rsid w:val="00EF5696"/>
    <w:rsid w:val="00EF582C"/>
    <w:rsid w:val="00EF5D30"/>
    <w:rsid w:val="00EF6049"/>
    <w:rsid w:val="00EF7D99"/>
    <w:rsid w:val="00F0487E"/>
    <w:rsid w:val="00F04937"/>
    <w:rsid w:val="00F05041"/>
    <w:rsid w:val="00F06564"/>
    <w:rsid w:val="00F07053"/>
    <w:rsid w:val="00F10EC1"/>
    <w:rsid w:val="00F11883"/>
    <w:rsid w:val="00F118B2"/>
    <w:rsid w:val="00F11C48"/>
    <w:rsid w:val="00F12279"/>
    <w:rsid w:val="00F133D8"/>
    <w:rsid w:val="00F1553B"/>
    <w:rsid w:val="00F16A14"/>
    <w:rsid w:val="00F23BF2"/>
    <w:rsid w:val="00F24228"/>
    <w:rsid w:val="00F26CE1"/>
    <w:rsid w:val="00F339BE"/>
    <w:rsid w:val="00F3486A"/>
    <w:rsid w:val="00F35273"/>
    <w:rsid w:val="00F352BC"/>
    <w:rsid w:val="00F362D7"/>
    <w:rsid w:val="00F37D7B"/>
    <w:rsid w:val="00F41DD2"/>
    <w:rsid w:val="00F4313D"/>
    <w:rsid w:val="00F43DDA"/>
    <w:rsid w:val="00F442F2"/>
    <w:rsid w:val="00F474ED"/>
    <w:rsid w:val="00F5314C"/>
    <w:rsid w:val="00F54CD0"/>
    <w:rsid w:val="00F55D9E"/>
    <w:rsid w:val="00F5621D"/>
    <w:rsid w:val="00F5688C"/>
    <w:rsid w:val="00F56B7F"/>
    <w:rsid w:val="00F60048"/>
    <w:rsid w:val="00F6203A"/>
    <w:rsid w:val="00F635DD"/>
    <w:rsid w:val="00F63764"/>
    <w:rsid w:val="00F63D3A"/>
    <w:rsid w:val="00F6627B"/>
    <w:rsid w:val="00F6649C"/>
    <w:rsid w:val="00F70EA0"/>
    <w:rsid w:val="00F71674"/>
    <w:rsid w:val="00F7336E"/>
    <w:rsid w:val="00F734F2"/>
    <w:rsid w:val="00F73511"/>
    <w:rsid w:val="00F73B83"/>
    <w:rsid w:val="00F74C7B"/>
    <w:rsid w:val="00F75052"/>
    <w:rsid w:val="00F75158"/>
    <w:rsid w:val="00F76B34"/>
    <w:rsid w:val="00F76FCA"/>
    <w:rsid w:val="00F804D3"/>
    <w:rsid w:val="00F816CB"/>
    <w:rsid w:val="00F8177C"/>
    <w:rsid w:val="00F81A61"/>
    <w:rsid w:val="00F81AD1"/>
    <w:rsid w:val="00F81CD2"/>
    <w:rsid w:val="00F82641"/>
    <w:rsid w:val="00F839CA"/>
    <w:rsid w:val="00F85AA4"/>
    <w:rsid w:val="00F8622A"/>
    <w:rsid w:val="00F865F0"/>
    <w:rsid w:val="00F90F18"/>
    <w:rsid w:val="00F91709"/>
    <w:rsid w:val="00F937E4"/>
    <w:rsid w:val="00F93AA9"/>
    <w:rsid w:val="00F9502E"/>
    <w:rsid w:val="00F95EE7"/>
    <w:rsid w:val="00FA21ED"/>
    <w:rsid w:val="00FA39E6"/>
    <w:rsid w:val="00FA4261"/>
    <w:rsid w:val="00FA54B6"/>
    <w:rsid w:val="00FA7BC9"/>
    <w:rsid w:val="00FB378E"/>
    <w:rsid w:val="00FB37F1"/>
    <w:rsid w:val="00FB46A6"/>
    <w:rsid w:val="00FB47C0"/>
    <w:rsid w:val="00FB4EBF"/>
    <w:rsid w:val="00FB501B"/>
    <w:rsid w:val="00FB6A21"/>
    <w:rsid w:val="00FB6D3E"/>
    <w:rsid w:val="00FB7770"/>
    <w:rsid w:val="00FC1D23"/>
    <w:rsid w:val="00FC2C42"/>
    <w:rsid w:val="00FC2CEF"/>
    <w:rsid w:val="00FC50D7"/>
    <w:rsid w:val="00FC7B6E"/>
    <w:rsid w:val="00FD0DFB"/>
    <w:rsid w:val="00FD10BB"/>
    <w:rsid w:val="00FD12DF"/>
    <w:rsid w:val="00FD1751"/>
    <w:rsid w:val="00FD2305"/>
    <w:rsid w:val="00FD3225"/>
    <w:rsid w:val="00FD3495"/>
    <w:rsid w:val="00FD3B91"/>
    <w:rsid w:val="00FD4D1E"/>
    <w:rsid w:val="00FD576B"/>
    <w:rsid w:val="00FD579E"/>
    <w:rsid w:val="00FD6797"/>
    <w:rsid w:val="00FD6845"/>
    <w:rsid w:val="00FD75F1"/>
    <w:rsid w:val="00FD7C70"/>
    <w:rsid w:val="00FE15BC"/>
    <w:rsid w:val="00FE2C1E"/>
    <w:rsid w:val="00FE3905"/>
    <w:rsid w:val="00FE3C52"/>
    <w:rsid w:val="00FE403C"/>
    <w:rsid w:val="00FE4516"/>
    <w:rsid w:val="00FE59C1"/>
    <w:rsid w:val="00FE64C8"/>
    <w:rsid w:val="00FE6A81"/>
    <w:rsid w:val="00FF2B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標題"/>
    <w:basedOn w:val="a5"/>
    <w:link w:val="10"/>
    <w:qFormat/>
    <w:rsid w:val="004F5E57"/>
    <w:pPr>
      <w:numPr>
        <w:numId w:val="5"/>
      </w:numPr>
      <w:outlineLvl w:val="0"/>
    </w:pPr>
    <w:rPr>
      <w:rFonts w:hAnsi="Arial"/>
      <w:bCs/>
      <w:kern w:val="32"/>
      <w:szCs w:val="52"/>
    </w:rPr>
  </w:style>
  <w:style w:type="paragraph" w:styleId="2">
    <w:name w:val="heading 2"/>
    <w:aliases w:val="標題110/111,節標題"/>
    <w:basedOn w:val="a5"/>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字元,fn,fn Char,fn Car Car,fn Car,Footnotes Car,Footnote Text Char,footnote text,Footnote ak,Footnotes"/>
    <w:basedOn w:val="a5"/>
    <w:link w:val="afd"/>
    <w:uiPriority w:val="99"/>
    <w:rsid w:val="00D520F5"/>
    <w:pPr>
      <w:overflowPunct/>
      <w:autoSpaceDE/>
      <w:autoSpaceDN/>
      <w:snapToGrid w:val="0"/>
      <w:jc w:val="left"/>
    </w:pPr>
    <w:rPr>
      <w:rFonts w:ascii="Times New Roman" w:eastAsia="新細明體"/>
      <w:sz w:val="20"/>
      <w:lang w:val="x-none" w:eastAsia="x-none"/>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6"/>
    <w:link w:val="afc"/>
    <w:uiPriority w:val="99"/>
    <w:rsid w:val="00D520F5"/>
    <w:rPr>
      <w:kern w:val="2"/>
      <w:lang w:val="x-none" w:eastAsia="x-none"/>
    </w:rPr>
  </w:style>
  <w:style w:type="character" w:styleId="afe">
    <w:name w:val="footnote reference"/>
    <w:uiPriority w:val="99"/>
    <w:rsid w:val="00D520F5"/>
    <w:rPr>
      <w:vertAlign w:val="superscript"/>
    </w:rPr>
  </w:style>
  <w:style w:type="paragraph" w:styleId="HTML">
    <w:name w:val="HTML Preformatted"/>
    <w:basedOn w:val="a5"/>
    <w:link w:val="HTML0"/>
    <w:uiPriority w:val="99"/>
    <w:unhideWhenUsed/>
    <w:rsid w:val="00503185"/>
    <w:rPr>
      <w:rFonts w:ascii="Courier New" w:hAnsi="Courier New" w:cs="Courier New"/>
      <w:sz w:val="20"/>
    </w:rPr>
  </w:style>
  <w:style w:type="character" w:customStyle="1" w:styleId="HTML0">
    <w:name w:val="HTML 預設格式 字元"/>
    <w:basedOn w:val="a6"/>
    <w:link w:val="HTML"/>
    <w:uiPriority w:val="99"/>
    <w:rsid w:val="00503185"/>
    <w:rPr>
      <w:rFonts w:ascii="Courier New" w:eastAsia="標楷體" w:hAnsi="Courier New" w:cs="Courier New"/>
      <w:kern w:val="2"/>
    </w:rPr>
  </w:style>
  <w:style w:type="character" w:customStyle="1" w:styleId="30">
    <w:name w:val="標題 3 字元"/>
    <w:basedOn w:val="a6"/>
    <w:link w:val="3"/>
    <w:rsid w:val="00B40A3F"/>
    <w:rPr>
      <w:rFonts w:ascii="標楷體" w:eastAsia="標楷體" w:hAnsi="Arial"/>
      <w:bCs/>
      <w:kern w:val="32"/>
      <w:sz w:val="32"/>
      <w:szCs w:val="36"/>
    </w:rPr>
  </w:style>
  <w:style w:type="paragraph" w:customStyle="1" w:styleId="aff">
    <w:name w:val="分項段落"/>
    <w:basedOn w:val="a5"/>
    <w:qFormat/>
    <w:rsid w:val="002560ED"/>
    <w:pPr>
      <w:overflowPunct/>
      <w:autoSpaceDE/>
      <w:autoSpaceDN/>
      <w:jc w:val="left"/>
    </w:pPr>
    <w:rPr>
      <w:rFonts w:ascii="Times New Roman" w:eastAsia="新細明體"/>
      <w:color w:val="00000A"/>
      <w:sz w:val="24"/>
    </w:rPr>
  </w:style>
  <w:style w:type="paragraph" w:styleId="aff0">
    <w:name w:val="caption"/>
    <w:basedOn w:val="a5"/>
    <w:next w:val="a5"/>
    <w:uiPriority w:val="35"/>
    <w:unhideWhenUsed/>
    <w:qFormat/>
    <w:rsid w:val="002560ED"/>
    <w:rPr>
      <w:sz w:val="20"/>
    </w:rPr>
  </w:style>
  <w:style w:type="paragraph" w:styleId="aff1">
    <w:name w:val="Body Text"/>
    <w:basedOn w:val="a5"/>
    <w:link w:val="aff2"/>
    <w:uiPriority w:val="99"/>
    <w:semiHidden/>
    <w:unhideWhenUsed/>
    <w:rsid w:val="000A5E8A"/>
    <w:pPr>
      <w:spacing w:after="120"/>
    </w:pPr>
  </w:style>
  <w:style w:type="character" w:customStyle="1" w:styleId="aff2">
    <w:name w:val="本文 字元"/>
    <w:basedOn w:val="a6"/>
    <w:link w:val="aff1"/>
    <w:uiPriority w:val="99"/>
    <w:semiHidden/>
    <w:rsid w:val="000A5E8A"/>
    <w:rPr>
      <w:rFonts w:ascii="標楷體" w:eastAsia="標楷體"/>
      <w:kern w:val="2"/>
      <w:sz w:val="32"/>
    </w:rPr>
  </w:style>
  <w:style w:type="character" w:styleId="aff3">
    <w:name w:val="Emphasis"/>
    <w:basedOn w:val="a6"/>
    <w:uiPriority w:val="20"/>
    <w:qFormat/>
    <w:rsid w:val="00F73B83"/>
    <w:rPr>
      <w:b w:val="0"/>
      <w:bCs w:val="0"/>
      <w:i w:val="0"/>
      <w:iCs w:val="0"/>
      <w:color w:val="DD4B39"/>
    </w:rPr>
  </w:style>
  <w:style w:type="character" w:customStyle="1" w:styleId="st1">
    <w:name w:val="st1"/>
    <w:basedOn w:val="a6"/>
    <w:rsid w:val="00C42446"/>
  </w:style>
  <w:style w:type="paragraph" w:customStyle="1" w:styleId="aff4">
    <w:name w:val="說明辦法首行"/>
    <w:basedOn w:val="a5"/>
    <w:rsid w:val="002F1084"/>
    <w:pPr>
      <w:overflowPunct/>
      <w:autoSpaceDE/>
      <w:autoSpaceDN/>
      <w:snapToGrid w:val="0"/>
      <w:spacing w:line="500" w:lineRule="exact"/>
      <w:ind w:left="964" w:hanging="964"/>
      <w:jc w:val="left"/>
    </w:pPr>
    <w:rPr>
      <w:rFonts w:ascii="Times New Roman"/>
    </w:rPr>
  </w:style>
  <w:style w:type="character" w:customStyle="1" w:styleId="40">
    <w:name w:val="標題 4 字元"/>
    <w:aliases w:val="表格 字元,一 字元"/>
    <w:link w:val="4"/>
    <w:uiPriority w:val="99"/>
    <w:rsid w:val="00022912"/>
    <w:rPr>
      <w:rFonts w:ascii="標楷體" w:eastAsia="標楷體" w:hAnsi="Arial"/>
      <w:kern w:val="32"/>
      <w:sz w:val="32"/>
      <w:szCs w:val="36"/>
    </w:rPr>
  </w:style>
  <w:style w:type="paragraph" w:customStyle="1" w:styleId="Default">
    <w:name w:val="Default"/>
    <w:rsid w:val="00F07053"/>
    <w:pPr>
      <w:widowControl w:val="0"/>
      <w:autoSpaceDE w:val="0"/>
      <w:autoSpaceDN w:val="0"/>
      <w:adjustRightInd w:val="0"/>
    </w:pPr>
    <w:rPr>
      <w:rFonts w:ascii="標楷體" w:eastAsia="標楷體" w:hAnsiTheme="minorHAnsi" w:cs="標楷體"/>
      <w:color w:val="000000"/>
      <w:sz w:val="24"/>
      <w:szCs w:val="24"/>
    </w:rPr>
  </w:style>
  <w:style w:type="character" w:customStyle="1" w:styleId="acopre1">
    <w:name w:val="acopre1"/>
    <w:basedOn w:val="a6"/>
    <w:rsid w:val="00335BB1"/>
  </w:style>
  <w:style w:type="paragraph" w:styleId="Web">
    <w:name w:val="Normal (Web)"/>
    <w:basedOn w:val="a5"/>
    <w:uiPriority w:val="99"/>
    <w:semiHidden/>
    <w:unhideWhenUsed/>
    <w:rsid w:val="003156D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章標題 字元"/>
    <w:basedOn w:val="a6"/>
    <w:link w:val="1"/>
    <w:rsid w:val="0000131C"/>
    <w:rPr>
      <w:rFonts w:ascii="標楷體" w:eastAsia="標楷體" w:hAnsi="Arial"/>
      <w:bCs/>
      <w:kern w:val="32"/>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標題"/>
    <w:basedOn w:val="a5"/>
    <w:link w:val="10"/>
    <w:qFormat/>
    <w:rsid w:val="004F5E57"/>
    <w:pPr>
      <w:numPr>
        <w:numId w:val="5"/>
      </w:numPr>
      <w:outlineLvl w:val="0"/>
    </w:pPr>
    <w:rPr>
      <w:rFonts w:hAnsi="Arial"/>
      <w:bCs/>
      <w:kern w:val="32"/>
      <w:szCs w:val="52"/>
    </w:rPr>
  </w:style>
  <w:style w:type="paragraph" w:styleId="2">
    <w:name w:val="heading 2"/>
    <w:aliases w:val="標題110/111,節標題"/>
    <w:basedOn w:val="a5"/>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字元,fn,fn Char,fn Car Car,fn Car,Footnotes Car,Footnote Text Char,footnote text,Footnote ak,Footnotes"/>
    <w:basedOn w:val="a5"/>
    <w:link w:val="afd"/>
    <w:uiPriority w:val="99"/>
    <w:rsid w:val="00D520F5"/>
    <w:pPr>
      <w:overflowPunct/>
      <w:autoSpaceDE/>
      <w:autoSpaceDN/>
      <w:snapToGrid w:val="0"/>
      <w:jc w:val="left"/>
    </w:pPr>
    <w:rPr>
      <w:rFonts w:ascii="Times New Roman" w:eastAsia="新細明體"/>
      <w:sz w:val="20"/>
      <w:lang w:val="x-none" w:eastAsia="x-none"/>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6"/>
    <w:link w:val="afc"/>
    <w:uiPriority w:val="99"/>
    <w:rsid w:val="00D520F5"/>
    <w:rPr>
      <w:kern w:val="2"/>
      <w:lang w:val="x-none" w:eastAsia="x-none"/>
    </w:rPr>
  </w:style>
  <w:style w:type="character" w:styleId="afe">
    <w:name w:val="footnote reference"/>
    <w:uiPriority w:val="99"/>
    <w:rsid w:val="00D520F5"/>
    <w:rPr>
      <w:vertAlign w:val="superscript"/>
    </w:rPr>
  </w:style>
  <w:style w:type="paragraph" w:styleId="HTML">
    <w:name w:val="HTML Preformatted"/>
    <w:basedOn w:val="a5"/>
    <w:link w:val="HTML0"/>
    <w:uiPriority w:val="99"/>
    <w:unhideWhenUsed/>
    <w:rsid w:val="00503185"/>
    <w:rPr>
      <w:rFonts w:ascii="Courier New" w:hAnsi="Courier New" w:cs="Courier New"/>
      <w:sz w:val="20"/>
    </w:rPr>
  </w:style>
  <w:style w:type="character" w:customStyle="1" w:styleId="HTML0">
    <w:name w:val="HTML 預設格式 字元"/>
    <w:basedOn w:val="a6"/>
    <w:link w:val="HTML"/>
    <w:uiPriority w:val="99"/>
    <w:rsid w:val="00503185"/>
    <w:rPr>
      <w:rFonts w:ascii="Courier New" w:eastAsia="標楷體" w:hAnsi="Courier New" w:cs="Courier New"/>
      <w:kern w:val="2"/>
    </w:rPr>
  </w:style>
  <w:style w:type="character" w:customStyle="1" w:styleId="30">
    <w:name w:val="標題 3 字元"/>
    <w:basedOn w:val="a6"/>
    <w:link w:val="3"/>
    <w:rsid w:val="00B40A3F"/>
    <w:rPr>
      <w:rFonts w:ascii="標楷體" w:eastAsia="標楷體" w:hAnsi="Arial"/>
      <w:bCs/>
      <w:kern w:val="32"/>
      <w:sz w:val="32"/>
      <w:szCs w:val="36"/>
    </w:rPr>
  </w:style>
  <w:style w:type="paragraph" w:customStyle="1" w:styleId="aff">
    <w:name w:val="分項段落"/>
    <w:basedOn w:val="a5"/>
    <w:qFormat/>
    <w:rsid w:val="002560ED"/>
    <w:pPr>
      <w:overflowPunct/>
      <w:autoSpaceDE/>
      <w:autoSpaceDN/>
      <w:jc w:val="left"/>
    </w:pPr>
    <w:rPr>
      <w:rFonts w:ascii="Times New Roman" w:eastAsia="新細明體"/>
      <w:color w:val="00000A"/>
      <w:sz w:val="24"/>
    </w:rPr>
  </w:style>
  <w:style w:type="paragraph" w:styleId="aff0">
    <w:name w:val="caption"/>
    <w:basedOn w:val="a5"/>
    <w:next w:val="a5"/>
    <w:uiPriority w:val="35"/>
    <w:unhideWhenUsed/>
    <w:qFormat/>
    <w:rsid w:val="002560ED"/>
    <w:rPr>
      <w:sz w:val="20"/>
    </w:rPr>
  </w:style>
  <w:style w:type="paragraph" w:styleId="aff1">
    <w:name w:val="Body Text"/>
    <w:basedOn w:val="a5"/>
    <w:link w:val="aff2"/>
    <w:uiPriority w:val="99"/>
    <w:semiHidden/>
    <w:unhideWhenUsed/>
    <w:rsid w:val="000A5E8A"/>
    <w:pPr>
      <w:spacing w:after="120"/>
    </w:pPr>
  </w:style>
  <w:style w:type="character" w:customStyle="1" w:styleId="aff2">
    <w:name w:val="本文 字元"/>
    <w:basedOn w:val="a6"/>
    <w:link w:val="aff1"/>
    <w:uiPriority w:val="99"/>
    <w:semiHidden/>
    <w:rsid w:val="000A5E8A"/>
    <w:rPr>
      <w:rFonts w:ascii="標楷體" w:eastAsia="標楷體"/>
      <w:kern w:val="2"/>
      <w:sz w:val="32"/>
    </w:rPr>
  </w:style>
  <w:style w:type="character" w:styleId="aff3">
    <w:name w:val="Emphasis"/>
    <w:basedOn w:val="a6"/>
    <w:uiPriority w:val="20"/>
    <w:qFormat/>
    <w:rsid w:val="00F73B83"/>
    <w:rPr>
      <w:b w:val="0"/>
      <w:bCs w:val="0"/>
      <w:i w:val="0"/>
      <w:iCs w:val="0"/>
      <w:color w:val="DD4B39"/>
    </w:rPr>
  </w:style>
  <w:style w:type="character" w:customStyle="1" w:styleId="st1">
    <w:name w:val="st1"/>
    <w:basedOn w:val="a6"/>
    <w:rsid w:val="00C42446"/>
  </w:style>
  <w:style w:type="paragraph" w:customStyle="1" w:styleId="aff4">
    <w:name w:val="說明辦法首行"/>
    <w:basedOn w:val="a5"/>
    <w:rsid w:val="002F1084"/>
    <w:pPr>
      <w:overflowPunct/>
      <w:autoSpaceDE/>
      <w:autoSpaceDN/>
      <w:snapToGrid w:val="0"/>
      <w:spacing w:line="500" w:lineRule="exact"/>
      <w:ind w:left="964" w:hanging="964"/>
      <w:jc w:val="left"/>
    </w:pPr>
    <w:rPr>
      <w:rFonts w:ascii="Times New Roman"/>
    </w:rPr>
  </w:style>
  <w:style w:type="character" w:customStyle="1" w:styleId="40">
    <w:name w:val="標題 4 字元"/>
    <w:aliases w:val="表格 字元,一 字元"/>
    <w:link w:val="4"/>
    <w:uiPriority w:val="99"/>
    <w:rsid w:val="00022912"/>
    <w:rPr>
      <w:rFonts w:ascii="標楷體" w:eastAsia="標楷體" w:hAnsi="Arial"/>
      <w:kern w:val="32"/>
      <w:sz w:val="32"/>
      <w:szCs w:val="36"/>
    </w:rPr>
  </w:style>
  <w:style w:type="paragraph" w:customStyle="1" w:styleId="Default">
    <w:name w:val="Default"/>
    <w:rsid w:val="00F07053"/>
    <w:pPr>
      <w:widowControl w:val="0"/>
      <w:autoSpaceDE w:val="0"/>
      <w:autoSpaceDN w:val="0"/>
      <w:adjustRightInd w:val="0"/>
    </w:pPr>
    <w:rPr>
      <w:rFonts w:ascii="標楷體" w:eastAsia="標楷體" w:hAnsiTheme="minorHAnsi" w:cs="標楷體"/>
      <w:color w:val="000000"/>
      <w:sz w:val="24"/>
      <w:szCs w:val="24"/>
    </w:rPr>
  </w:style>
  <w:style w:type="character" w:customStyle="1" w:styleId="acopre1">
    <w:name w:val="acopre1"/>
    <w:basedOn w:val="a6"/>
    <w:rsid w:val="00335BB1"/>
  </w:style>
  <w:style w:type="paragraph" w:styleId="Web">
    <w:name w:val="Normal (Web)"/>
    <w:basedOn w:val="a5"/>
    <w:uiPriority w:val="99"/>
    <w:semiHidden/>
    <w:unhideWhenUsed/>
    <w:rsid w:val="003156D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章標題 字元"/>
    <w:basedOn w:val="a6"/>
    <w:link w:val="1"/>
    <w:rsid w:val="0000131C"/>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18723">
      <w:bodyDiv w:val="1"/>
      <w:marLeft w:val="0"/>
      <w:marRight w:val="0"/>
      <w:marTop w:val="0"/>
      <w:marBottom w:val="0"/>
      <w:divBdr>
        <w:top w:val="none" w:sz="0" w:space="0" w:color="auto"/>
        <w:left w:val="none" w:sz="0" w:space="0" w:color="auto"/>
        <w:bottom w:val="none" w:sz="0" w:space="0" w:color="auto"/>
        <w:right w:val="none" w:sz="0" w:space="0" w:color="auto"/>
      </w:divBdr>
      <w:divsChild>
        <w:div w:id="777333082">
          <w:marLeft w:val="446"/>
          <w:marRight w:val="0"/>
          <w:marTop w:val="0"/>
          <w:marBottom w:val="0"/>
          <w:divBdr>
            <w:top w:val="none" w:sz="0" w:space="0" w:color="auto"/>
            <w:left w:val="none" w:sz="0" w:space="0" w:color="auto"/>
            <w:bottom w:val="none" w:sz="0" w:space="0" w:color="auto"/>
            <w:right w:val="none" w:sz="0" w:space="0" w:color="auto"/>
          </w:divBdr>
        </w:div>
      </w:divsChild>
    </w:div>
    <w:div w:id="55789683">
      <w:bodyDiv w:val="1"/>
      <w:marLeft w:val="0"/>
      <w:marRight w:val="0"/>
      <w:marTop w:val="0"/>
      <w:marBottom w:val="0"/>
      <w:divBdr>
        <w:top w:val="none" w:sz="0" w:space="0" w:color="auto"/>
        <w:left w:val="none" w:sz="0" w:space="0" w:color="auto"/>
        <w:bottom w:val="none" w:sz="0" w:space="0" w:color="auto"/>
        <w:right w:val="none" w:sz="0" w:space="0" w:color="auto"/>
      </w:divBdr>
    </w:div>
    <w:div w:id="409892529">
      <w:bodyDiv w:val="1"/>
      <w:marLeft w:val="0"/>
      <w:marRight w:val="0"/>
      <w:marTop w:val="0"/>
      <w:marBottom w:val="0"/>
      <w:divBdr>
        <w:top w:val="none" w:sz="0" w:space="0" w:color="auto"/>
        <w:left w:val="none" w:sz="0" w:space="0" w:color="auto"/>
        <w:bottom w:val="none" w:sz="0" w:space="0" w:color="auto"/>
        <w:right w:val="none" w:sz="0" w:space="0" w:color="auto"/>
      </w:divBdr>
      <w:divsChild>
        <w:div w:id="2058774490">
          <w:marLeft w:val="0"/>
          <w:marRight w:val="0"/>
          <w:marTop w:val="0"/>
          <w:marBottom w:val="0"/>
          <w:divBdr>
            <w:top w:val="none" w:sz="0" w:space="0" w:color="auto"/>
            <w:left w:val="none" w:sz="0" w:space="0" w:color="auto"/>
            <w:bottom w:val="none" w:sz="0" w:space="0" w:color="auto"/>
            <w:right w:val="none" w:sz="0" w:space="0" w:color="auto"/>
          </w:divBdr>
        </w:div>
        <w:div w:id="881133792">
          <w:marLeft w:val="0"/>
          <w:marRight w:val="0"/>
          <w:marTop w:val="0"/>
          <w:marBottom w:val="0"/>
          <w:divBdr>
            <w:top w:val="none" w:sz="0" w:space="0" w:color="auto"/>
            <w:left w:val="none" w:sz="0" w:space="0" w:color="auto"/>
            <w:bottom w:val="none" w:sz="0" w:space="0" w:color="auto"/>
            <w:right w:val="none" w:sz="0" w:space="0" w:color="auto"/>
          </w:divBdr>
        </w:div>
        <w:div w:id="1119957980">
          <w:marLeft w:val="0"/>
          <w:marRight w:val="0"/>
          <w:marTop w:val="0"/>
          <w:marBottom w:val="0"/>
          <w:divBdr>
            <w:top w:val="none" w:sz="0" w:space="0" w:color="auto"/>
            <w:left w:val="none" w:sz="0" w:space="0" w:color="auto"/>
            <w:bottom w:val="none" w:sz="0" w:space="0" w:color="auto"/>
            <w:right w:val="none" w:sz="0" w:space="0" w:color="auto"/>
          </w:divBdr>
          <w:divsChild>
            <w:div w:id="516889607">
              <w:marLeft w:val="0"/>
              <w:marRight w:val="0"/>
              <w:marTop w:val="75"/>
              <w:marBottom w:val="100"/>
              <w:divBdr>
                <w:top w:val="none" w:sz="0" w:space="0" w:color="auto"/>
                <w:left w:val="none" w:sz="0" w:space="0" w:color="auto"/>
                <w:bottom w:val="none" w:sz="0" w:space="0" w:color="auto"/>
                <w:right w:val="none" w:sz="0" w:space="0" w:color="auto"/>
              </w:divBdr>
              <w:divsChild>
                <w:div w:id="237982910">
                  <w:marLeft w:val="0"/>
                  <w:marRight w:val="0"/>
                  <w:marTop w:val="0"/>
                  <w:marBottom w:val="0"/>
                  <w:divBdr>
                    <w:top w:val="none" w:sz="0" w:space="0" w:color="auto"/>
                    <w:left w:val="none" w:sz="0" w:space="0" w:color="auto"/>
                    <w:bottom w:val="none" w:sz="0" w:space="0" w:color="auto"/>
                    <w:right w:val="none" w:sz="0" w:space="0" w:color="auto"/>
                  </w:divBdr>
                </w:div>
                <w:div w:id="594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0614">
          <w:marLeft w:val="0"/>
          <w:marRight w:val="0"/>
          <w:marTop w:val="0"/>
          <w:marBottom w:val="0"/>
          <w:divBdr>
            <w:top w:val="none" w:sz="0" w:space="0" w:color="auto"/>
            <w:left w:val="none" w:sz="0" w:space="0" w:color="auto"/>
            <w:bottom w:val="none" w:sz="0" w:space="0" w:color="auto"/>
            <w:right w:val="none" w:sz="0" w:space="0" w:color="auto"/>
          </w:divBdr>
        </w:div>
        <w:div w:id="1713725864">
          <w:marLeft w:val="0"/>
          <w:marRight w:val="0"/>
          <w:marTop w:val="0"/>
          <w:marBottom w:val="0"/>
          <w:divBdr>
            <w:top w:val="none" w:sz="0" w:space="0" w:color="auto"/>
            <w:left w:val="none" w:sz="0" w:space="0" w:color="auto"/>
            <w:bottom w:val="none" w:sz="0" w:space="0" w:color="auto"/>
            <w:right w:val="none" w:sz="0" w:space="0" w:color="auto"/>
          </w:divBdr>
          <w:divsChild>
            <w:div w:id="1162313015">
              <w:marLeft w:val="0"/>
              <w:marRight w:val="0"/>
              <w:marTop w:val="100"/>
              <w:marBottom w:val="100"/>
              <w:divBdr>
                <w:top w:val="none" w:sz="0" w:space="0" w:color="auto"/>
                <w:left w:val="none" w:sz="0" w:space="0" w:color="auto"/>
                <w:bottom w:val="none" w:sz="0" w:space="0" w:color="auto"/>
                <w:right w:val="none" w:sz="0" w:space="0" w:color="auto"/>
              </w:divBdr>
              <w:divsChild>
                <w:div w:id="1083574058">
                  <w:marLeft w:val="0"/>
                  <w:marRight w:val="0"/>
                  <w:marTop w:val="0"/>
                  <w:marBottom w:val="0"/>
                  <w:divBdr>
                    <w:top w:val="none" w:sz="0" w:space="0" w:color="auto"/>
                    <w:left w:val="none" w:sz="0" w:space="0" w:color="auto"/>
                    <w:bottom w:val="none" w:sz="0" w:space="0" w:color="auto"/>
                    <w:right w:val="none" w:sz="0" w:space="0" w:color="auto"/>
                  </w:divBdr>
                </w:div>
                <w:div w:id="1961296981">
                  <w:marLeft w:val="0"/>
                  <w:marRight w:val="0"/>
                  <w:marTop w:val="45"/>
                  <w:marBottom w:val="120"/>
                  <w:divBdr>
                    <w:top w:val="none" w:sz="0" w:space="0" w:color="auto"/>
                    <w:left w:val="none" w:sz="0" w:space="0" w:color="auto"/>
                    <w:bottom w:val="none" w:sz="0" w:space="0" w:color="auto"/>
                    <w:right w:val="none" w:sz="0" w:space="0" w:color="auto"/>
                  </w:divBdr>
                  <w:divsChild>
                    <w:div w:id="2079089704">
                      <w:marLeft w:val="0"/>
                      <w:marRight w:val="0"/>
                      <w:marTop w:val="0"/>
                      <w:marBottom w:val="0"/>
                      <w:divBdr>
                        <w:top w:val="none" w:sz="0" w:space="0" w:color="auto"/>
                        <w:left w:val="none" w:sz="0" w:space="0" w:color="auto"/>
                        <w:bottom w:val="none" w:sz="0" w:space="0" w:color="auto"/>
                        <w:right w:val="none" w:sz="0" w:space="0" w:color="auto"/>
                      </w:divBdr>
                      <w:divsChild>
                        <w:div w:id="1417088970">
                          <w:marLeft w:val="0"/>
                          <w:marRight w:val="0"/>
                          <w:marTop w:val="0"/>
                          <w:marBottom w:val="120"/>
                          <w:divBdr>
                            <w:top w:val="none" w:sz="0" w:space="0" w:color="auto"/>
                            <w:left w:val="none" w:sz="0" w:space="0" w:color="auto"/>
                            <w:bottom w:val="none" w:sz="0" w:space="0" w:color="auto"/>
                            <w:right w:val="none" w:sz="0" w:space="0" w:color="auto"/>
                          </w:divBdr>
                        </w:div>
                        <w:div w:id="1576890026">
                          <w:marLeft w:val="0"/>
                          <w:marRight w:val="0"/>
                          <w:marTop w:val="100"/>
                          <w:marBottom w:val="100"/>
                          <w:divBdr>
                            <w:top w:val="none" w:sz="0" w:space="0" w:color="auto"/>
                            <w:left w:val="none" w:sz="0" w:space="0" w:color="auto"/>
                            <w:bottom w:val="none" w:sz="0" w:space="0" w:color="auto"/>
                            <w:right w:val="none" w:sz="0" w:space="0" w:color="auto"/>
                          </w:divBdr>
                        </w:div>
                        <w:div w:id="28484970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21096176">
      <w:bodyDiv w:val="1"/>
      <w:marLeft w:val="0"/>
      <w:marRight w:val="0"/>
      <w:marTop w:val="0"/>
      <w:marBottom w:val="0"/>
      <w:divBdr>
        <w:top w:val="none" w:sz="0" w:space="0" w:color="auto"/>
        <w:left w:val="none" w:sz="0" w:space="0" w:color="auto"/>
        <w:bottom w:val="none" w:sz="0" w:space="0" w:color="auto"/>
        <w:right w:val="none" w:sz="0" w:space="0" w:color="auto"/>
      </w:divBdr>
    </w:div>
    <w:div w:id="699084505">
      <w:bodyDiv w:val="1"/>
      <w:marLeft w:val="0"/>
      <w:marRight w:val="0"/>
      <w:marTop w:val="0"/>
      <w:marBottom w:val="0"/>
      <w:divBdr>
        <w:top w:val="none" w:sz="0" w:space="0" w:color="auto"/>
        <w:left w:val="none" w:sz="0" w:space="0" w:color="auto"/>
        <w:bottom w:val="none" w:sz="0" w:space="0" w:color="auto"/>
        <w:right w:val="none" w:sz="0" w:space="0" w:color="auto"/>
      </w:divBdr>
      <w:divsChild>
        <w:div w:id="2115201222">
          <w:marLeft w:val="533"/>
          <w:marRight w:val="0"/>
          <w:marTop w:val="0"/>
          <w:marBottom w:val="0"/>
          <w:divBdr>
            <w:top w:val="none" w:sz="0" w:space="0" w:color="auto"/>
            <w:left w:val="none" w:sz="0" w:space="0" w:color="auto"/>
            <w:bottom w:val="none" w:sz="0" w:space="0" w:color="auto"/>
            <w:right w:val="none" w:sz="0" w:space="0" w:color="auto"/>
          </w:divBdr>
        </w:div>
      </w:divsChild>
    </w:div>
    <w:div w:id="824930498">
      <w:bodyDiv w:val="1"/>
      <w:marLeft w:val="0"/>
      <w:marRight w:val="0"/>
      <w:marTop w:val="0"/>
      <w:marBottom w:val="0"/>
      <w:divBdr>
        <w:top w:val="none" w:sz="0" w:space="0" w:color="auto"/>
        <w:left w:val="none" w:sz="0" w:space="0" w:color="auto"/>
        <w:bottom w:val="none" w:sz="0" w:space="0" w:color="auto"/>
        <w:right w:val="none" w:sz="0" w:space="0" w:color="auto"/>
      </w:divBdr>
      <w:divsChild>
        <w:div w:id="1649823328">
          <w:marLeft w:val="0"/>
          <w:marRight w:val="0"/>
          <w:marTop w:val="0"/>
          <w:marBottom w:val="0"/>
          <w:divBdr>
            <w:top w:val="none" w:sz="0" w:space="0" w:color="auto"/>
            <w:left w:val="none" w:sz="0" w:space="0" w:color="auto"/>
            <w:bottom w:val="none" w:sz="0" w:space="0" w:color="auto"/>
            <w:right w:val="none" w:sz="0" w:space="0" w:color="auto"/>
          </w:divBdr>
        </w:div>
        <w:div w:id="1571429604">
          <w:marLeft w:val="0"/>
          <w:marRight w:val="0"/>
          <w:marTop w:val="0"/>
          <w:marBottom w:val="0"/>
          <w:divBdr>
            <w:top w:val="none" w:sz="0" w:space="0" w:color="auto"/>
            <w:left w:val="none" w:sz="0" w:space="0" w:color="auto"/>
            <w:bottom w:val="none" w:sz="0" w:space="0" w:color="auto"/>
            <w:right w:val="none" w:sz="0" w:space="0" w:color="auto"/>
          </w:divBdr>
        </w:div>
        <w:div w:id="698704433">
          <w:marLeft w:val="0"/>
          <w:marRight w:val="0"/>
          <w:marTop w:val="0"/>
          <w:marBottom w:val="0"/>
          <w:divBdr>
            <w:top w:val="none" w:sz="0" w:space="0" w:color="auto"/>
            <w:left w:val="none" w:sz="0" w:space="0" w:color="auto"/>
            <w:bottom w:val="none" w:sz="0" w:space="0" w:color="auto"/>
            <w:right w:val="none" w:sz="0" w:space="0" w:color="auto"/>
          </w:divBdr>
          <w:divsChild>
            <w:div w:id="2016372300">
              <w:marLeft w:val="0"/>
              <w:marRight w:val="0"/>
              <w:marTop w:val="75"/>
              <w:marBottom w:val="100"/>
              <w:divBdr>
                <w:top w:val="none" w:sz="0" w:space="0" w:color="auto"/>
                <w:left w:val="none" w:sz="0" w:space="0" w:color="auto"/>
                <w:bottom w:val="none" w:sz="0" w:space="0" w:color="auto"/>
                <w:right w:val="none" w:sz="0" w:space="0" w:color="auto"/>
              </w:divBdr>
              <w:divsChild>
                <w:div w:id="876701843">
                  <w:marLeft w:val="0"/>
                  <w:marRight w:val="0"/>
                  <w:marTop w:val="0"/>
                  <w:marBottom w:val="0"/>
                  <w:divBdr>
                    <w:top w:val="none" w:sz="0" w:space="0" w:color="auto"/>
                    <w:left w:val="none" w:sz="0" w:space="0" w:color="auto"/>
                    <w:bottom w:val="none" w:sz="0" w:space="0" w:color="auto"/>
                    <w:right w:val="none" w:sz="0" w:space="0" w:color="auto"/>
                  </w:divBdr>
                </w:div>
                <w:div w:id="21351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59832">
          <w:marLeft w:val="0"/>
          <w:marRight w:val="0"/>
          <w:marTop w:val="0"/>
          <w:marBottom w:val="0"/>
          <w:divBdr>
            <w:top w:val="none" w:sz="0" w:space="0" w:color="auto"/>
            <w:left w:val="none" w:sz="0" w:space="0" w:color="auto"/>
            <w:bottom w:val="none" w:sz="0" w:space="0" w:color="auto"/>
            <w:right w:val="none" w:sz="0" w:space="0" w:color="auto"/>
          </w:divBdr>
        </w:div>
        <w:div w:id="1528566533">
          <w:marLeft w:val="0"/>
          <w:marRight w:val="0"/>
          <w:marTop w:val="0"/>
          <w:marBottom w:val="0"/>
          <w:divBdr>
            <w:top w:val="none" w:sz="0" w:space="0" w:color="auto"/>
            <w:left w:val="none" w:sz="0" w:space="0" w:color="auto"/>
            <w:bottom w:val="none" w:sz="0" w:space="0" w:color="auto"/>
            <w:right w:val="none" w:sz="0" w:space="0" w:color="auto"/>
          </w:divBdr>
          <w:divsChild>
            <w:div w:id="522549829">
              <w:marLeft w:val="0"/>
              <w:marRight w:val="0"/>
              <w:marTop w:val="100"/>
              <w:marBottom w:val="100"/>
              <w:divBdr>
                <w:top w:val="none" w:sz="0" w:space="0" w:color="auto"/>
                <w:left w:val="none" w:sz="0" w:space="0" w:color="auto"/>
                <w:bottom w:val="none" w:sz="0" w:space="0" w:color="auto"/>
                <w:right w:val="none" w:sz="0" w:space="0" w:color="auto"/>
              </w:divBdr>
              <w:divsChild>
                <w:div w:id="1533496324">
                  <w:marLeft w:val="0"/>
                  <w:marRight w:val="0"/>
                  <w:marTop w:val="0"/>
                  <w:marBottom w:val="0"/>
                  <w:divBdr>
                    <w:top w:val="none" w:sz="0" w:space="0" w:color="auto"/>
                    <w:left w:val="none" w:sz="0" w:space="0" w:color="auto"/>
                    <w:bottom w:val="none" w:sz="0" w:space="0" w:color="auto"/>
                    <w:right w:val="none" w:sz="0" w:space="0" w:color="auto"/>
                  </w:divBdr>
                </w:div>
                <w:div w:id="500660006">
                  <w:marLeft w:val="0"/>
                  <w:marRight w:val="0"/>
                  <w:marTop w:val="45"/>
                  <w:marBottom w:val="120"/>
                  <w:divBdr>
                    <w:top w:val="none" w:sz="0" w:space="0" w:color="auto"/>
                    <w:left w:val="none" w:sz="0" w:space="0" w:color="auto"/>
                    <w:bottom w:val="none" w:sz="0" w:space="0" w:color="auto"/>
                    <w:right w:val="none" w:sz="0" w:space="0" w:color="auto"/>
                  </w:divBdr>
                  <w:divsChild>
                    <w:div w:id="133913534">
                      <w:marLeft w:val="0"/>
                      <w:marRight w:val="0"/>
                      <w:marTop w:val="0"/>
                      <w:marBottom w:val="0"/>
                      <w:divBdr>
                        <w:top w:val="none" w:sz="0" w:space="0" w:color="auto"/>
                        <w:left w:val="none" w:sz="0" w:space="0" w:color="auto"/>
                        <w:bottom w:val="none" w:sz="0" w:space="0" w:color="auto"/>
                        <w:right w:val="none" w:sz="0" w:space="0" w:color="auto"/>
                      </w:divBdr>
                      <w:divsChild>
                        <w:div w:id="1291280849">
                          <w:marLeft w:val="0"/>
                          <w:marRight w:val="0"/>
                          <w:marTop w:val="0"/>
                          <w:marBottom w:val="120"/>
                          <w:divBdr>
                            <w:top w:val="none" w:sz="0" w:space="0" w:color="auto"/>
                            <w:left w:val="none" w:sz="0" w:space="0" w:color="auto"/>
                            <w:bottom w:val="none" w:sz="0" w:space="0" w:color="auto"/>
                            <w:right w:val="none" w:sz="0" w:space="0" w:color="auto"/>
                          </w:divBdr>
                        </w:div>
                        <w:div w:id="1567645812">
                          <w:marLeft w:val="0"/>
                          <w:marRight w:val="0"/>
                          <w:marTop w:val="100"/>
                          <w:marBottom w:val="100"/>
                          <w:divBdr>
                            <w:top w:val="none" w:sz="0" w:space="0" w:color="auto"/>
                            <w:left w:val="none" w:sz="0" w:space="0" w:color="auto"/>
                            <w:bottom w:val="none" w:sz="0" w:space="0" w:color="auto"/>
                            <w:right w:val="none" w:sz="0" w:space="0" w:color="auto"/>
                          </w:divBdr>
                        </w:div>
                        <w:div w:id="3107875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28842218">
      <w:bodyDiv w:val="1"/>
      <w:marLeft w:val="0"/>
      <w:marRight w:val="0"/>
      <w:marTop w:val="0"/>
      <w:marBottom w:val="0"/>
      <w:divBdr>
        <w:top w:val="none" w:sz="0" w:space="0" w:color="auto"/>
        <w:left w:val="none" w:sz="0" w:space="0" w:color="auto"/>
        <w:bottom w:val="none" w:sz="0" w:space="0" w:color="auto"/>
        <w:right w:val="none" w:sz="0" w:space="0" w:color="auto"/>
      </w:divBdr>
      <w:divsChild>
        <w:div w:id="852495543">
          <w:marLeft w:val="533"/>
          <w:marRight w:val="0"/>
          <w:marTop w:val="0"/>
          <w:marBottom w:val="0"/>
          <w:divBdr>
            <w:top w:val="none" w:sz="0" w:space="0" w:color="auto"/>
            <w:left w:val="none" w:sz="0" w:space="0" w:color="auto"/>
            <w:bottom w:val="none" w:sz="0" w:space="0" w:color="auto"/>
            <w:right w:val="none" w:sz="0" w:space="0" w:color="auto"/>
          </w:divBdr>
        </w:div>
      </w:divsChild>
    </w:div>
    <w:div w:id="1978602457">
      <w:bodyDiv w:val="1"/>
      <w:marLeft w:val="0"/>
      <w:marRight w:val="0"/>
      <w:marTop w:val="0"/>
      <w:marBottom w:val="0"/>
      <w:divBdr>
        <w:top w:val="none" w:sz="0" w:space="0" w:color="auto"/>
        <w:left w:val="none" w:sz="0" w:space="0" w:color="auto"/>
        <w:bottom w:val="none" w:sz="0" w:space="0" w:color="auto"/>
        <w:right w:val="none" w:sz="0" w:space="0" w:color="auto"/>
      </w:divBdr>
    </w:div>
    <w:div w:id="1983077004">
      <w:bodyDiv w:val="1"/>
      <w:marLeft w:val="0"/>
      <w:marRight w:val="0"/>
      <w:marTop w:val="0"/>
      <w:marBottom w:val="0"/>
      <w:divBdr>
        <w:top w:val="none" w:sz="0" w:space="0" w:color="auto"/>
        <w:left w:val="none" w:sz="0" w:space="0" w:color="auto"/>
        <w:bottom w:val="none" w:sz="0" w:space="0" w:color="auto"/>
        <w:right w:val="none" w:sz="0" w:space="0" w:color="auto"/>
      </w:divBdr>
    </w:div>
    <w:div w:id="2035955924">
      <w:bodyDiv w:val="1"/>
      <w:marLeft w:val="0"/>
      <w:marRight w:val="0"/>
      <w:marTop w:val="0"/>
      <w:marBottom w:val="0"/>
      <w:divBdr>
        <w:top w:val="none" w:sz="0" w:space="0" w:color="auto"/>
        <w:left w:val="none" w:sz="0" w:space="0" w:color="auto"/>
        <w:bottom w:val="none" w:sz="0" w:space="0" w:color="auto"/>
        <w:right w:val="none" w:sz="0" w:space="0" w:color="auto"/>
      </w:divBdr>
    </w:div>
    <w:div w:id="2113739018">
      <w:bodyDiv w:val="1"/>
      <w:marLeft w:val="0"/>
      <w:marRight w:val="0"/>
      <w:marTop w:val="0"/>
      <w:marBottom w:val="0"/>
      <w:divBdr>
        <w:top w:val="none" w:sz="0" w:space="0" w:color="auto"/>
        <w:left w:val="none" w:sz="0" w:space="0" w:color="auto"/>
        <w:bottom w:val="none" w:sz="0" w:space="0" w:color="auto"/>
        <w:right w:val="none" w:sz="0" w:space="0" w:color="auto"/>
      </w:divBdr>
      <w:divsChild>
        <w:div w:id="1300454446">
          <w:marLeft w:val="0"/>
          <w:marRight w:val="0"/>
          <w:marTop w:val="0"/>
          <w:marBottom w:val="0"/>
          <w:divBdr>
            <w:top w:val="none" w:sz="0" w:space="0" w:color="auto"/>
            <w:left w:val="none" w:sz="0" w:space="0" w:color="auto"/>
            <w:bottom w:val="none" w:sz="0" w:space="0" w:color="auto"/>
            <w:right w:val="none" w:sz="0" w:space="0" w:color="auto"/>
          </w:divBdr>
          <w:divsChild>
            <w:div w:id="801533975">
              <w:marLeft w:val="0"/>
              <w:marRight w:val="0"/>
              <w:marTop w:val="0"/>
              <w:marBottom w:val="0"/>
              <w:divBdr>
                <w:top w:val="none" w:sz="0" w:space="0" w:color="auto"/>
                <w:left w:val="none" w:sz="0" w:space="0" w:color="auto"/>
                <w:bottom w:val="none" w:sz="0" w:space="0" w:color="auto"/>
                <w:right w:val="none" w:sz="0" w:space="0" w:color="auto"/>
              </w:divBdr>
              <w:divsChild>
                <w:div w:id="258223495">
                  <w:marLeft w:val="0"/>
                  <w:marRight w:val="0"/>
                  <w:marTop w:val="0"/>
                  <w:marBottom w:val="0"/>
                  <w:divBdr>
                    <w:top w:val="none" w:sz="0" w:space="0" w:color="auto"/>
                    <w:left w:val="none" w:sz="0" w:space="0" w:color="auto"/>
                    <w:bottom w:val="none" w:sz="0" w:space="0" w:color="auto"/>
                    <w:right w:val="none" w:sz="0" w:space="0" w:color="auto"/>
                  </w:divBdr>
                  <w:divsChild>
                    <w:div w:id="1686863764">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cds.epa.gov.tw/WCD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Excel____1.xlsx"/><Relationship Id="rId5" Type="http://schemas.microsoft.com/office/2007/relationships/stylesWithEffects" Target="stylesWithEffects.xml"/><Relationship Id="rId15" Type="http://schemas.openxmlformats.org/officeDocument/2006/relationships/package" Target="embeddings/Microsoft_Excel____2.xlsx"/><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27AEF-F3A4-40B1-9EF3-596119B6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14</TotalTime>
  <Pages>4</Pages>
  <Words>1861</Words>
  <Characters>10610</Characters>
  <Application>Microsoft Office Word</Application>
  <DocSecurity>0</DocSecurity>
  <Lines>88</Lines>
  <Paragraphs>24</Paragraphs>
  <ScaleCrop>false</ScaleCrop>
  <Company>cy</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hamastar</cp:lastModifiedBy>
  <cp:revision>8</cp:revision>
  <cp:lastPrinted>2023-06-26T08:11:00Z</cp:lastPrinted>
  <dcterms:created xsi:type="dcterms:W3CDTF">2021-07-08T02:56:00Z</dcterms:created>
  <dcterms:modified xsi:type="dcterms:W3CDTF">2023-06-26T08:11:00Z</dcterms:modified>
</cp:coreProperties>
</file>