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3CA" w:rsidRDefault="001C61DA">
      <w:pPr>
        <w:pStyle w:val="a6"/>
        <w:kinsoku w:val="0"/>
        <w:spacing w:before="0"/>
        <w:ind w:leftChars="700" w:left="2381" w:firstLine="0"/>
        <w:rPr>
          <w:bCs/>
          <w:snapToGrid/>
          <w:spacing w:val="200"/>
          <w:kern w:val="0"/>
          <w:sz w:val="40"/>
        </w:rPr>
      </w:pPr>
      <w:r>
        <w:rPr>
          <w:rFonts w:hint="eastAsia"/>
          <w:bCs/>
          <w:snapToGrid/>
          <w:spacing w:val="200"/>
          <w:kern w:val="0"/>
          <w:sz w:val="40"/>
        </w:rPr>
        <w:t>調查報告</w:t>
      </w:r>
    </w:p>
    <w:p w:rsidR="00C273CA" w:rsidRDefault="00C273CA" w:rsidP="00FB1D7B">
      <w:pPr>
        <w:pStyle w:val="1"/>
        <w:overflowPunct w:val="0"/>
        <w:ind w:left="2381" w:hanging="2381"/>
      </w:pPr>
      <w:r>
        <w:rPr>
          <w:rFonts w:hint="eastAsia"/>
        </w:rPr>
        <w:t>案　　由：</w:t>
      </w:r>
      <w:r w:rsidRPr="006A2861">
        <w:rPr>
          <w:rFonts w:hint="eastAsia"/>
          <w:noProof/>
        </w:rPr>
        <w:t>據審計部101年度中央政府總決算審核報告，交通部臺灣鐵路管理局辦理沙鹿站跨站式站房新建工程，預算金額1億3,000萬元，原預計於93年底完成，截至101年底仍未完工，執行進度嚴重落後，延宕預期效益目標之達成等情乙案。</w:t>
      </w:r>
    </w:p>
    <w:p w:rsidR="00C273CA" w:rsidRDefault="00C273CA">
      <w:pPr>
        <w:pStyle w:val="1"/>
        <w:ind w:left="2380" w:hanging="2380"/>
      </w:pPr>
      <w:r>
        <w:rPr>
          <w:rFonts w:hint="eastAsia"/>
        </w:rPr>
        <w:t>調查意見：</w:t>
      </w:r>
    </w:p>
    <w:p w:rsidR="00D57520" w:rsidRDefault="00D57520">
      <w:pPr>
        <w:pStyle w:val="10"/>
        <w:ind w:left="680" w:firstLine="680"/>
      </w:pPr>
      <w:r w:rsidRPr="00D57520">
        <w:rPr>
          <w:rFonts w:hint="eastAsia"/>
        </w:rPr>
        <w:t>行政院於</w:t>
      </w:r>
      <w:r>
        <w:rPr>
          <w:rFonts w:hint="eastAsia"/>
        </w:rPr>
        <w:t>民國（下同）</w:t>
      </w:r>
      <w:r w:rsidRPr="00D57520">
        <w:rPr>
          <w:rFonts w:hint="eastAsia"/>
        </w:rPr>
        <w:t>92年1月12日核定</w:t>
      </w:r>
      <w:r w:rsidR="00905DEA">
        <w:rPr>
          <w:rFonts w:hint="eastAsia"/>
        </w:rPr>
        <w:t>臺灣鐵路管理局（下稱臺鐵局）</w:t>
      </w:r>
      <w:r w:rsidRPr="00D57520">
        <w:rPr>
          <w:rFonts w:hint="eastAsia"/>
        </w:rPr>
        <w:t>陳報之「臺鐵都會區捷運化暨區域鐵路先期建設計畫」，計畫期程為90至96年，計畫總經費為</w:t>
      </w:r>
      <w:r w:rsidR="00E62025">
        <w:rPr>
          <w:rFonts w:hint="eastAsia"/>
        </w:rPr>
        <w:t>新臺幣（下同）</w:t>
      </w:r>
      <w:r w:rsidRPr="00D57520">
        <w:rPr>
          <w:rFonts w:hint="eastAsia"/>
        </w:rPr>
        <w:t>100億元，主要係因應高鐵通車後，長程客運市場備受衝擊，須調整營運方式及系統角色。就政府之政策方向及整體運輸系統之觀點，短途通勤運輸市場為臺鐵局可調整轉型之一，因臺鐵行經各都會區之路段，多為人口最密集之廊帶，且都會捷運系統之新建經費龐大，故臺鐵局在各都會區具有發展為都會通勤鐵路之潛力。其中「沙鹿站跨站式站房新建工程」係屬該計畫項下之工程，目的為消除沙鹿舊站前、後站區分，構建無障礙環境，改善站區轉乘交通動線，增進旅客通行便利，並強化旅客服務設施，預算為1.3億元。</w:t>
      </w:r>
      <w:r w:rsidR="00C923C4" w:rsidRPr="00C923C4">
        <w:rPr>
          <w:rFonts w:hint="eastAsia"/>
        </w:rPr>
        <w:t>沙鹿站改建期程2年，原預計於93年底竣工啟用，惟至捷運先期計畫期程結束（96年）仍未完成工程發包，後續改納入「環島鐵路整體系統安全提昇計畫」(行政院於98年2月27日核定，計畫期程為98至101年，計畫總經費為149.49億元)內執行，預算修正為2億元。</w:t>
      </w:r>
    </w:p>
    <w:p w:rsidR="00C273CA" w:rsidRDefault="006A603A">
      <w:pPr>
        <w:pStyle w:val="10"/>
        <w:ind w:left="680" w:firstLine="680"/>
        <w:rPr>
          <w:bCs/>
        </w:rPr>
      </w:pPr>
      <w:r w:rsidRPr="006A603A">
        <w:rPr>
          <w:rFonts w:hint="eastAsia"/>
        </w:rPr>
        <w:t>本案係審計部10</w:t>
      </w:r>
      <w:r>
        <w:rPr>
          <w:rFonts w:hint="eastAsia"/>
        </w:rPr>
        <w:t>1</w:t>
      </w:r>
      <w:r w:rsidRPr="006A603A">
        <w:rPr>
          <w:rFonts w:hint="eastAsia"/>
        </w:rPr>
        <w:t>年度中央政府總決算審核報告指出，</w:t>
      </w:r>
      <w:r w:rsidR="007F75C9">
        <w:rPr>
          <w:rFonts w:hint="eastAsia"/>
        </w:rPr>
        <w:t>臺鐵局</w:t>
      </w:r>
      <w:r w:rsidRPr="006A603A">
        <w:rPr>
          <w:rFonts w:hint="eastAsia"/>
        </w:rPr>
        <w:t>辦理</w:t>
      </w:r>
      <w:r w:rsidR="005545CD">
        <w:rPr>
          <w:rFonts w:hint="eastAsia"/>
        </w:rPr>
        <w:t>「</w:t>
      </w:r>
      <w:r w:rsidRPr="006A603A">
        <w:rPr>
          <w:rFonts w:hint="eastAsia"/>
        </w:rPr>
        <w:t>沙鹿站跨站式站房新建工程</w:t>
      </w:r>
      <w:r w:rsidR="005545CD">
        <w:rPr>
          <w:rFonts w:hint="eastAsia"/>
        </w:rPr>
        <w:t>」</w:t>
      </w:r>
      <w:r w:rsidRPr="006A603A">
        <w:rPr>
          <w:rFonts w:hint="eastAsia"/>
        </w:rPr>
        <w:t>，預算</w:t>
      </w:r>
      <w:r w:rsidRPr="006A603A">
        <w:rPr>
          <w:rFonts w:hint="eastAsia"/>
        </w:rPr>
        <w:lastRenderedPageBreak/>
        <w:t>金額</w:t>
      </w:r>
      <w:r w:rsidR="007F75C9">
        <w:rPr>
          <w:rFonts w:hint="eastAsia"/>
        </w:rPr>
        <w:t>為</w:t>
      </w:r>
      <w:r w:rsidRPr="006A603A">
        <w:rPr>
          <w:rFonts w:hint="eastAsia"/>
        </w:rPr>
        <w:t>1億3,000萬元，原預計於93年底完成，截至101年底仍未完工，執行進度嚴重落後，延宕預期效益目標之達成等情</w:t>
      </w:r>
      <w:r w:rsidR="00E56557" w:rsidRPr="00E56557">
        <w:rPr>
          <w:rFonts w:hint="eastAsia"/>
          <w:bCs/>
        </w:rPr>
        <w:t>，經本院</w:t>
      </w:r>
      <w:r w:rsidR="00E56557">
        <w:rPr>
          <w:rFonts w:hint="eastAsia"/>
          <w:bCs/>
        </w:rPr>
        <w:t>交通</w:t>
      </w:r>
      <w:r w:rsidR="00E56557" w:rsidRPr="00E56557">
        <w:rPr>
          <w:rFonts w:hint="eastAsia"/>
          <w:bCs/>
        </w:rPr>
        <w:t>及</w:t>
      </w:r>
      <w:r w:rsidR="00E56557">
        <w:rPr>
          <w:rFonts w:hint="eastAsia"/>
          <w:bCs/>
        </w:rPr>
        <w:t>採購</w:t>
      </w:r>
      <w:r w:rsidR="00E56557" w:rsidRPr="00E56557">
        <w:rPr>
          <w:rFonts w:hint="eastAsia"/>
          <w:bCs/>
        </w:rPr>
        <w:t>委員會第4屆第6</w:t>
      </w:r>
      <w:r w:rsidR="00E56557">
        <w:rPr>
          <w:rFonts w:hint="eastAsia"/>
          <w:bCs/>
        </w:rPr>
        <w:t>7</w:t>
      </w:r>
      <w:r w:rsidR="00E56557" w:rsidRPr="00E56557">
        <w:rPr>
          <w:rFonts w:hint="eastAsia"/>
          <w:bCs/>
        </w:rPr>
        <w:t>次會議決議調查</w:t>
      </w:r>
      <w:r w:rsidR="007F75C9">
        <w:rPr>
          <w:rFonts w:hint="eastAsia"/>
          <w:bCs/>
        </w:rPr>
        <w:t>。</w:t>
      </w:r>
      <w:r w:rsidR="00E56557" w:rsidRPr="00E56557">
        <w:rPr>
          <w:rFonts w:hint="eastAsia"/>
          <w:bCs/>
        </w:rPr>
        <w:t>案經本院調閱</w:t>
      </w:r>
      <w:r w:rsidR="00E56557">
        <w:rPr>
          <w:rFonts w:hint="eastAsia"/>
          <w:bCs/>
        </w:rPr>
        <w:t>臺鐵局、臺中市政府</w:t>
      </w:r>
      <w:r w:rsidR="00E56557" w:rsidRPr="00E56557">
        <w:rPr>
          <w:rFonts w:hint="eastAsia"/>
          <w:bCs/>
        </w:rPr>
        <w:t>及審計部等卷證資料，</w:t>
      </w:r>
      <w:r w:rsidR="006C4DC7">
        <w:rPr>
          <w:rFonts w:hint="eastAsia"/>
          <w:bCs/>
        </w:rPr>
        <w:t>並</w:t>
      </w:r>
      <w:r w:rsidR="00E56557">
        <w:rPr>
          <w:rFonts w:hint="eastAsia"/>
          <w:bCs/>
        </w:rPr>
        <w:t>於</w:t>
      </w:r>
      <w:r w:rsidR="00E56557" w:rsidRPr="00E56557">
        <w:rPr>
          <w:rFonts w:hint="eastAsia"/>
          <w:bCs/>
        </w:rPr>
        <w:t>10</w:t>
      </w:r>
      <w:r w:rsidR="00E56557">
        <w:rPr>
          <w:rFonts w:hint="eastAsia"/>
          <w:bCs/>
        </w:rPr>
        <w:t>2</w:t>
      </w:r>
      <w:r w:rsidR="00E56557" w:rsidRPr="00E56557">
        <w:rPr>
          <w:rFonts w:hint="eastAsia"/>
          <w:bCs/>
        </w:rPr>
        <w:t>年12月</w:t>
      </w:r>
      <w:r w:rsidR="00E56557">
        <w:rPr>
          <w:rFonts w:hint="eastAsia"/>
          <w:bCs/>
        </w:rPr>
        <w:t>27</w:t>
      </w:r>
      <w:r w:rsidR="00E56557" w:rsidRPr="00E56557">
        <w:rPr>
          <w:rFonts w:hint="eastAsia"/>
          <w:bCs/>
        </w:rPr>
        <w:t>日前往</w:t>
      </w:r>
      <w:r w:rsidR="00E56557">
        <w:rPr>
          <w:rFonts w:hint="eastAsia"/>
          <w:bCs/>
        </w:rPr>
        <w:t>臺中市沙鹿車站</w:t>
      </w:r>
      <w:r w:rsidR="00E56557" w:rsidRPr="00E56557">
        <w:rPr>
          <w:rFonts w:hint="eastAsia"/>
          <w:bCs/>
        </w:rPr>
        <w:t>現場履勘</w:t>
      </w:r>
      <w:r w:rsidR="00E56557">
        <w:rPr>
          <w:rFonts w:hint="eastAsia"/>
          <w:bCs/>
        </w:rPr>
        <w:t>、聽取簡報</w:t>
      </w:r>
      <w:r w:rsidR="006C4DC7">
        <w:rPr>
          <w:rFonts w:hint="eastAsia"/>
          <w:bCs/>
        </w:rPr>
        <w:t>及</w:t>
      </w:r>
      <w:r w:rsidR="00E56557">
        <w:rPr>
          <w:rFonts w:hint="eastAsia"/>
          <w:bCs/>
        </w:rPr>
        <w:t>詢問有關人員</w:t>
      </w:r>
      <w:r w:rsidR="00E56557" w:rsidRPr="00E56557">
        <w:rPr>
          <w:rFonts w:hint="eastAsia"/>
          <w:bCs/>
        </w:rPr>
        <w:t>，茲將調查意見臚述於后：</w:t>
      </w:r>
    </w:p>
    <w:p w:rsidR="00BE5BC1" w:rsidRDefault="00BE5BC1" w:rsidP="00C65F6E">
      <w:pPr>
        <w:pStyle w:val="2"/>
        <w:ind w:left="1020" w:hanging="680"/>
        <w:rPr>
          <w:b/>
          <w:bCs w:val="0"/>
        </w:rPr>
      </w:pPr>
      <w:r>
        <w:rPr>
          <w:rFonts w:hint="eastAsia"/>
          <w:b/>
          <w:bCs w:val="0"/>
        </w:rPr>
        <w:t>交通部臺灣鐵路管理局</w:t>
      </w:r>
      <w:r w:rsidR="006F570F">
        <w:rPr>
          <w:rFonts w:hint="eastAsia"/>
          <w:b/>
          <w:bCs w:val="0"/>
        </w:rPr>
        <w:t>自92年</w:t>
      </w:r>
      <w:r>
        <w:rPr>
          <w:rFonts w:hint="eastAsia"/>
          <w:b/>
          <w:bCs w:val="0"/>
        </w:rPr>
        <w:t>辦理「沙鹿站跨站式站房新建工程」</w:t>
      </w:r>
      <w:r w:rsidR="006F570F">
        <w:rPr>
          <w:rFonts w:hint="eastAsia"/>
          <w:b/>
          <w:bCs w:val="0"/>
        </w:rPr>
        <w:t>，</w:t>
      </w:r>
      <w:r w:rsidR="00601EFE">
        <w:rPr>
          <w:rFonts w:hint="eastAsia"/>
          <w:b/>
          <w:bCs w:val="0"/>
        </w:rPr>
        <w:t>原訂</w:t>
      </w:r>
      <w:r w:rsidR="007F75C9">
        <w:rPr>
          <w:rFonts w:hint="eastAsia"/>
          <w:b/>
          <w:bCs w:val="0"/>
        </w:rPr>
        <w:t>翌</w:t>
      </w:r>
      <w:r w:rsidR="00601EFE">
        <w:rPr>
          <w:rFonts w:hint="eastAsia"/>
          <w:b/>
          <w:bCs w:val="0"/>
        </w:rPr>
        <w:t>年底完成，惟歷經10年，迄</w:t>
      </w:r>
      <w:r w:rsidR="002D064D">
        <w:rPr>
          <w:rFonts w:hint="eastAsia"/>
          <w:b/>
          <w:bCs w:val="0"/>
        </w:rPr>
        <w:t>本院調查為止</w:t>
      </w:r>
      <w:r w:rsidR="00601EFE">
        <w:rPr>
          <w:rFonts w:hint="eastAsia"/>
          <w:b/>
          <w:bCs w:val="0"/>
        </w:rPr>
        <w:t>尚未</w:t>
      </w:r>
      <w:r w:rsidR="005545BD">
        <w:rPr>
          <w:rFonts w:hint="eastAsia"/>
          <w:b/>
          <w:bCs w:val="0"/>
        </w:rPr>
        <w:t>完工啟用</w:t>
      </w:r>
      <w:r w:rsidR="00601EFE">
        <w:rPr>
          <w:rFonts w:hint="eastAsia"/>
          <w:b/>
          <w:bCs w:val="0"/>
        </w:rPr>
        <w:t>，</w:t>
      </w:r>
      <w:r w:rsidR="00A10AE5">
        <w:rPr>
          <w:rFonts w:hint="eastAsia"/>
          <w:b/>
          <w:bCs w:val="0"/>
        </w:rPr>
        <w:t>延宕多時，影響沙鹿車站西區發展與繁榮甚鉅</w:t>
      </w:r>
      <w:r w:rsidR="002863B3">
        <w:rPr>
          <w:rFonts w:hint="eastAsia"/>
          <w:b/>
          <w:bCs w:val="0"/>
        </w:rPr>
        <w:t>，於規劃設計、施工監造階段，經核均存有違失</w:t>
      </w:r>
    </w:p>
    <w:p w:rsidR="007F75C9" w:rsidRDefault="004211E3" w:rsidP="00C923C4">
      <w:pPr>
        <w:pStyle w:val="20"/>
        <w:ind w:left="1020" w:firstLine="680"/>
      </w:pPr>
      <w:r>
        <w:rPr>
          <w:rFonts w:hint="eastAsia"/>
        </w:rPr>
        <w:t>臺鐵局辦理「沙鹿站跨站式站房新建工程」各採購標案明細如下表：</w:t>
      </w:r>
      <w:r w:rsidR="0043082B">
        <w:rPr>
          <w:rFonts w:hint="eastAsia"/>
        </w:rPr>
        <w:t xml:space="preserve">　　　　　　　　　　</w:t>
      </w:r>
      <w:r w:rsidR="0043082B" w:rsidRPr="0043082B">
        <w:rPr>
          <w:rFonts w:hint="eastAsia"/>
          <w:sz w:val="24"/>
          <w:szCs w:val="24"/>
        </w:rPr>
        <w:t>（單位：元）</w:t>
      </w:r>
    </w:p>
    <w:tbl>
      <w:tblPr>
        <w:tblW w:w="4421" w:type="pct"/>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20"/>
        <w:gridCol w:w="1772"/>
        <w:gridCol w:w="1773"/>
        <w:gridCol w:w="1773"/>
        <w:gridCol w:w="1773"/>
      </w:tblGrid>
      <w:tr w:rsidR="004211E3" w:rsidRPr="004211E3" w:rsidTr="004211E3">
        <w:tc>
          <w:tcPr>
            <w:tcW w:w="461" w:type="pct"/>
            <w:shd w:val="clear" w:color="auto" w:fill="auto"/>
            <w:vAlign w:val="center"/>
          </w:tcPr>
          <w:p w:rsidR="004211E3" w:rsidRPr="004211E3" w:rsidRDefault="004211E3" w:rsidP="004211E3">
            <w:pPr>
              <w:spacing w:line="300" w:lineRule="exact"/>
              <w:jc w:val="both"/>
              <w:rPr>
                <w:kern w:val="0"/>
                <w:sz w:val="24"/>
                <w:szCs w:val="24"/>
              </w:rPr>
            </w:pPr>
            <w:r w:rsidRPr="004211E3">
              <w:rPr>
                <w:rFonts w:hAnsi="標楷體"/>
                <w:kern w:val="0"/>
                <w:sz w:val="24"/>
                <w:szCs w:val="24"/>
              </w:rPr>
              <w:t>標案</w:t>
            </w:r>
          </w:p>
          <w:p w:rsidR="004211E3" w:rsidRPr="004211E3" w:rsidRDefault="004211E3" w:rsidP="004211E3">
            <w:pPr>
              <w:spacing w:line="300" w:lineRule="exact"/>
              <w:jc w:val="both"/>
              <w:rPr>
                <w:kern w:val="0"/>
                <w:sz w:val="24"/>
                <w:szCs w:val="24"/>
              </w:rPr>
            </w:pPr>
            <w:r w:rsidRPr="004211E3">
              <w:rPr>
                <w:rFonts w:hAnsi="標楷體"/>
                <w:kern w:val="0"/>
                <w:sz w:val="24"/>
                <w:szCs w:val="24"/>
              </w:rPr>
              <w:t>名稱</w:t>
            </w:r>
          </w:p>
        </w:tc>
        <w:tc>
          <w:tcPr>
            <w:tcW w:w="1134" w:type="pct"/>
            <w:shd w:val="clear" w:color="auto" w:fill="auto"/>
            <w:vAlign w:val="center"/>
          </w:tcPr>
          <w:p w:rsidR="004211E3" w:rsidRPr="004211E3" w:rsidRDefault="004211E3" w:rsidP="004211E3">
            <w:pPr>
              <w:spacing w:line="300" w:lineRule="exact"/>
              <w:jc w:val="both"/>
              <w:rPr>
                <w:sz w:val="24"/>
                <w:szCs w:val="24"/>
              </w:rPr>
            </w:pPr>
            <w:r w:rsidRPr="004211E3">
              <w:rPr>
                <w:rFonts w:hAnsi="標楷體"/>
                <w:sz w:val="24"/>
                <w:szCs w:val="24"/>
              </w:rPr>
              <w:t>臺鐵捷運化計劃</w:t>
            </w:r>
            <w:r w:rsidRPr="004211E3">
              <w:rPr>
                <w:sz w:val="24"/>
                <w:szCs w:val="24"/>
              </w:rPr>
              <w:t>(</w:t>
            </w:r>
            <w:r w:rsidRPr="004211E3">
              <w:rPr>
                <w:rFonts w:hAnsi="標楷體"/>
                <w:sz w:val="24"/>
                <w:szCs w:val="24"/>
              </w:rPr>
              <w:t>沙鹿站跨站式站房新建工程委託</w:t>
            </w:r>
            <w:r w:rsidRPr="004211E3">
              <w:rPr>
                <w:rFonts w:hAnsi="標楷體"/>
                <w:b/>
                <w:sz w:val="24"/>
                <w:szCs w:val="24"/>
              </w:rPr>
              <w:t>規劃設計</w:t>
            </w:r>
            <w:r w:rsidRPr="004211E3">
              <w:rPr>
                <w:rFonts w:hAnsi="標楷體"/>
                <w:sz w:val="24"/>
                <w:szCs w:val="24"/>
              </w:rPr>
              <w:t>部分</w:t>
            </w:r>
            <w:r w:rsidRPr="004211E3">
              <w:rPr>
                <w:sz w:val="24"/>
                <w:szCs w:val="24"/>
              </w:rPr>
              <w:t>)</w:t>
            </w:r>
          </w:p>
        </w:tc>
        <w:tc>
          <w:tcPr>
            <w:tcW w:w="1135" w:type="pct"/>
            <w:shd w:val="clear" w:color="auto" w:fill="auto"/>
            <w:vAlign w:val="center"/>
          </w:tcPr>
          <w:p w:rsidR="004211E3" w:rsidRPr="004211E3" w:rsidRDefault="004211E3" w:rsidP="004211E3">
            <w:pPr>
              <w:spacing w:line="300" w:lineRule="exact"/>
              <w:jc w:val="both"/>
              <w:rPr>
                <w:sz w:val="24"/>
                <w:szCs w:val="24"/>
              </w:rPr>
            </w:pPr>
            <w:r w:rsidRPr="004211E3">
              <w:rPr>
                <w:rFonts w:hAnsi="標楷體"/>
                <w:sz w:val="24"/>
                <w:szCs w:val="24"/>
              </w:rPr>
              <w:t>臺鐵捷運化計畫</w:t>
            </w:r>
            <w:r w:rsidRPr="004211E3">
              <w:rPr>
                <w:sz w:val="24"/>
                <w:szCs w:val="24"/>
              </w:rPr>
              <w:t>(</w:t>
            </w:r>
            <w:r w:rsidRPr="004211E3">
              <w:rPr>
                <w:rFonts w:hAnsi="標楷體"/>
                <w:sz w:val="24"/>
                <w:szCs w:val="24"/>
              </w:rPr>
              <w:t>沙鹿站跨站式站房新建工程委託</w:t>
            </w:r>
            <w:r w:rsidRPr="004211E3">
              <w:rPr>
                <w:rFonts w:hAnsi="標楷體"/>
                <w:b/>
                <w:sz w:val="24"/>
                <w:szCs w:val="24"/>
              </w:rPr>
              <w:t>監造</w:t>
            </w:r>
            <w:r w:rsidRPr="004211E3">
              <w:rPr>
                <w:rFonts w:hAnsi="標楷體"/>
                <w:sz w:val="24"/>
                <w:szCs w:val="24"/>
              </w:rPr>
              <w:t>部分</w:t>
            </w:r>
            <w:r w:rsidRPr="004211E3">
              <w:rPr>
                <w:sz w:val="24"/>
                <w:szCs w:val="24"/>
              </w:rPr>
              <w:t>)</w:t>
            </w:r>
          </w:p>
        </w:tc>
        <w:tc>
          <w:tcPr>
            <w:tcW w:w="1135" w:type="pct"/>
            <w:shd w:val="clear" w:color="auto" w:fill="auto"/>
            <w:vAlign w:val="center"/>
          </w:tcPr>
          <w:p w:rsidR="004211E3" w:rsidRPr="004211E3" w:rsidRDefault="004211E3" w:rsidP="004211E3">
            <w:pPr>
              <w:spacing w:line="300" w:lineRule="exact"/>
              <w:jc w:val="both"/>
              <w:rPr>
                <w:sz w:val="24"/>
                <w:szCs w:val="24"/>
              </w:rPr>
            </w:pPr>
            <w:r w:rsidRPr="004211E3">
              <w:rPr>
                <w:rFonts w:hAnsi="標楷體"/>
                <w:sz w:val="24"/>
                <w:szCs w:val="24"/>
              </w:rPr>
              <w:t>環島鐵路整體系統安全提升計畫</w:t>
            </w:r>
            <w:r w:rsidRPr="004211E3">
              <w:rPr>
                <w:sz w:val="24"/>
                <w:szCs w:val="24"/>
              </w:rPr>
              <w:t>(</w:t>
            </w:r>
            <w:r w:rsidRPr="004211E3">
              <w:rPr>
                <w:rFonts w:hAnsi="標楷體"/>
                <w:sz w:val="24"/>
                <w:szCs w:val="24"/>
              </w:rPr>
              <w:t>沙鹿站跨站式站房新建工程</w:t>
            </w:r>
            <w:r w:rsidRPr="004211E3">
              <w:rPr>
                <w:rFonts w:hAnsi="標楷體"/>
                <w:b/>
                <w:sz w:val="24"/>
                <w:szCs w:val="24"/>
              </w:rPr>
              <w:t>土建</w:t>
            </w:r>
            <w:r w:rsidRPr="004211E3">
              <w:rPr>
                <w:rFonts w:hAnsi="標楷體"/>
                <w:sz w:val="24"/>
                <w:szCs w:val="24"/>
              </w:rPr>
              <w:t>部分</w:t>
            </w:r>
            <w:r w:rsidRPr="004211E3">
              <w:rPr>
                <w:sz w:val="24"/>
                <w:szCs w:val="24"/>
              </w:rPr>
              <w:t>)</w:t>
            </w:r>
          </w:p>
        </w:tc>
        <w:tc>
          <w:tcPr>
            <w:tcW w:w="1135" w:type="pct"/>
            <w:shd w:val="clear" w:color="auto" w:fill="auto"/>
            <w:vAlign w:val="center"/>
          </w:tcPr>
          <w:p w:rsidR="004211E3" w:rsidRPr="004211E3" w:rsidRDefault="004211E3" w:rsidP="004211E3">
            <w:pPr>
              <w:spacing w:line="300" w:lineRule="exact"/>
              <w:jc w:val="both"/>
              <w:rPr>
                <w:sz w:val="24"/>
                <w:szCs w:val="24"/>
              </w:rPr>
            </w:pPr>
            <w:r w:rsidRPr="004211E3">
              <w:rPr>
                <w:rFonts w:hAnsi="標楷體"/>
                <w:sz w:val="24"/>
                <w:szCs w:val="24"/>
              </w:rPr>
              <w:t>環島鐵路整體系統安全提升計畫</w:t>
            </w:r>
            <w:r w:rsidRPr="004211E3">
              <w:rPr>
                <w:sz w:val="24"/>
                <w:szCs w:val="24"/>
              </w:rPr>
              <w:t>(</w:t>
            </w:r>
            <w:r w:rsidRPr="004211E3">
              <w:rPr>
                <w:rFonts w:hAnsi="標楷體"/>
                <w:sz w:val="24"/>
                <w:szCs w:val="24"/>
              </w:rPr>
              <w:t>沙鹿站跨站式站房新建工程</w:t>
            </w:r>
            <w:r w:rsidRPr="004211E3">
              <w:rPr>
                <w:rFonts w:hAnsi="標楷體"/>
                <w:b/>
                <w:sz w:val="24"/>
                <w:szCs w:val="24"/>
              </w:rPr>
              <w:t>機電</w:t>
            </w:r>
            <w:r w:rsidRPr="004211E3">
              <w:rPr>
                <w:rFonts w:hAnsi="標楷體"/>
                <w:sz w:val="24"/>
                <w:szCs w:val="24"/>
              </w:rPr>
              <w:t>部分</w:t>
            </w:r>
            <w:r w:rsidRPr="004211E3">
              <w:rPr>
                <w:sz w:val="24"/>
                <w:szCs w:val="24"/>
              </w:rPr>
              <w:t>)</w:t>
            </w:r>
          </w:p>
        </w:tc>
      </w:tr>
      <w:tr w:rsidR="004211E3" w:rsidRPr="004211E3" w:rsidTr="004211E3">
        <w:tc>
          <w:tcPr>
            <w:tcW w:w="461" w:type="pct"/>
            <w:shd w:val="clear" w:color="auto" w:fill="auto"/>
            <w:vAlign w:val="center"/>
          </w:tcPr>
          <w:p w:rsidR="004211E3" w:rsidRPr="004211E3" w:rsidRDefault="004211E3" w:rsidP="004211E3">
            <w:pPr>
              <w:spacing w:line="300" w:lineRule="exact"/>
              <w:jc w:val="both"/>
              <w:rPr>
                <w:kern w:val="0"/>
                <w:sz w:val="24"/>
                <w:szCs w:val="24"/>
              </w:rPr>
            </w:pPr>
            <w:r w:rsidRPr="004211E3">
              <w:rPr>
                <w:rFonts w:hAnsi="標楷體"/>
                <w:kern w:val="0"/>
                <w:sz w:val="24"/>
                <w:szCs w:val="24"/>
              </w:rPr>
              <w:t>預算</w:t>
            </w:r>
          </w:p>
          <w:p w:rsidR="004211E3" w:rsidRPr="004211E3" w:rsidRDefault="004211E3" w:rsidP="004211E3">
            <w:pPr>
              <w:spacing w:line="300" w:lineRule="exact"/>
              <w:jc w:val="both"/>
              <w:rPr>
                <w:kern w:val="0"/>
                <w:sz w:val="24"/>
                <w:szCs w:val="24"/>
              </w:rPr>
            </w:pPr>
            <w:r w:rsidRPr="004211E3">
              <w:rPr>
                <w:rFonts w:hAnsi="標楷體"/>
                <w:kern w:val="0"/>
                <w:sz w:val="24"/>
                <w:szCs w:val="24"/>
              </w:rPr>
              <w:t>金額</w:t>
            </w:r>
          </w:p>
        </w:tc>
        <w:tc>
          <w:tcPr>
            <w:tcW w:w="1134" w:type="pct"/>
            <w:shd w:val="clear" w:color="auto" w:fill="auto"/>
            <w:vAlign w:val="center"/>
          </w:tcPr>
          <w:p w:rsidR="004211E3" w:rsidRPr="004211E3" w:rsidRDefault="004211E3" w:rsidP="004211E3">
            <w:pPr>
              <w:spacing w:line="300" w:lineRule="exact"/>
              <w:jc w:val="both"/>
              <w:rPr>
                <w:kern w:val="0"/>
                <w:sz w:val="24"/>
                <w:szCs w:val="24"/>
              </w:rPr>
            </w:pPr>
            <w:r w:rsidRPr="004211E3">
              <w:rPr>
                <w:kern w:val="0"/>
                <w:sz w:val="24"/>
                <w:szCs w:val="24"/>
              </w:rPr>
              <w:t>2,695,722</w:t>
            </w:r>
          </w:p>
        </w:tc>
        <w:tc>
          <w:tcPr>
            <w:tcW w:w="1135" w:type="pct"/>
            <w:shd w:val="clear" w:color="auto" w:fill="auto"/>
            <w:vAlign w:val="center"/>
          </w:tcPr>
          <w:p w:rsidR="004211E3" w:rsidRPr="004211E3" w:rsidRDefault="004211E3" w:rsidP="004211E3">
            <w:pPr>
              <w:spacing w:line="300" w:lineRule="exact"/>
              <w:jc w:val="both"/>
              <w:rPr>
                <w:kern w:val="0"/>
                <w:sz w:val="24"/>
                <w:szCs w:val="24"/>
              </w:rPr>
            </w:pPr>
            <w:r w:rsidRPr="004211E3">
              <w:rPr>
                <w:kern w:val="0"/>
                <w:sz w:val="24"/>
                <w:szCs w:val="24"/>
              </w:rPr>
              <w:t>2,892,548</w:t>
            </w:r>
          </w:p>
        </w:tc>
        <w:tc>
          <w:tcPr>
            <w:tcW w:w="1135" w:type="pct"/>
            <w:shd w:val="clear" w:color="auto" w:fill="auto"/>
            <w:vAlign w:val="center"/>
          </w:tcPr>
          <w:p w:rsidR="004211E3" w:rsidRPr="004211E3" w:rsidRDefault="004211E3" w:rsidP="004211E3">
            <w:pPr>
              <w:spacing w:line="300" w:lineRule="exact"/>
              <w:jc w:val="both"/>
              <w:rPr>
                <w:kern w:val="0"/>
                <w:sz w:val="24"/>
                <w:szCs w:val="24"/>
              </w:rPr>
            </w:pPr>
            <w:r w:rsidRPr="004211E3">
              <w:rPr>
                <w:kern w:val="0"/>
                <w:sz w:val="24"/>
                <w:szCs w:val="24"/>
              </w:rPr>
              <w:t>132,730,980</w:t>
            </w:r>
          </w:p>
        </w:tc>
        <w:tc>
          <w:tcPr>
            <w:tcW w:w="1135" w:type="pct"/>
            <w:shd w:val="clear" w:color="auto" w:fill="auto"/>
            <w:vAlign w:val="center"/>
          </w:tcPr>
          <w:p w:rsidR="004211E3" w:rsidRPr="004211E3" w:rsidRDefault="004211E3" w:rsidP="004211E3">
            <w:pPr>
              <w:spacing w:line="300" w:lineRule="exact"/>
              <w:jc w:val="both"/>
              <w:rPr>
                <w:kern w:val="0"/>
                <w:sz w:val="24"/>
                <w:szCs w:val="24"/>
              </w:rPr>
            </w:pPr>
            <w:r w:rsidRPr="004211E3">
              <w:rPr>
                <w:kern w:val="0"/>
                <w:sz w:val="24"/>
                <w:szCs w:val="24"/>
              </w:rPr>
              <w:t>40,083,484</w:t>
            </w:r>
          </w:p>
        </w:tc>
      </w:tr>
      <w:tr w:rsidR="004211E3" w:rsidRPr="004211E3" w:rsidTr="004211E3">
        <w:tc>
          <w:tcPr>
            <w:tcW w:w="461" w:type="pct"/>
            <w:shd w:val="clear" w:color="auto" w:fill="auto"/>
            <w:vAlign w:val="center"/>
          </w:tcPr>
          <w:p w:rsidR="004211E3" w:rsidRPr="004211E3" w:rsidRDefault="004211E3" w:rsidP="004211E3">
            <w:pPr>
              <w:spacing w:line="300" w:lineRule="exact"/>
              <w:jc w:val="both"/>
              <w:rPr>
                <w:kern w:val="0"/>
                <w:sz w:val="24"/>
                <w:szCs w:val="24"/>
              </w:rPr>
            </w:pPr>
            <w:r w:rsidRPr="004211E3">
              <w:rPr>
                <w:rFonts w:hAnsi="標楷體"/>
                <w:kern w:val="0"/>
                <w:sz w:val="24"/>
                <w:szCs w:val="24"/>
              </w:rPr>
              <w:t>決標</w:t>
            </w:r>
          </w:p>
          <w:p w:rsidR="004211E3" w:rsidRPr="004211E3" w:rsidRDefault="004211E3" w:rsidP="004211E3">
            <w:pPr>
              <w:spacing w:line="300" w:lineRule="exact"/>
              <w:jc w:val="both"/>
              <w:rPr>
                <w:kern w:val="0"/>
                <w:sz w:val="24"/>
                <w:szCs w:val="24"/>
              </w:rPr>
            </w:pPr>
            <w:r w:rsidRPr="004211E3">
              <w:rPr>
                <w:rFonts w:hAnsi="標楷體"/>
                <w:kern w:val="0"/>
                <w:sz w:val="24"/>
                <w:szCs w:val="24"/>
              </w:rPr>
              <w:t>金額</w:t>
            </w:r>
          </w:p>
        </w:tc>
        <w:tc>
          <w:tcPr>
            <w:tcW w:w="1134" w:type="pct"/>
            <w:shd w:val="clear" w:color="auto" w:fill="auto"/>
            <w:vAlign w:val="center"/>
          </w:tcPr>
          <w:p w:rsidR="004211E3" w:rsidRPr="004211E3" w:rsidRDefault="004211E3" w:rsidP="004211E3">
            <w:pPr>
              <w:spacing w:line="300" w:lineRule="exact"/>
              <w:jc w:val="both"/>
              <w:rPr>
                <w:kern w:val="0"/>
                <w:sz w:val="24"/>
                <w:szCs w:val="24"/>
              </w:rPr>
            </w:pPr>
            <w:r w:rsidRPr="004211E3">
              <w:rPr>
                <w:kern w:val="0"/>
                <w:sz w:val="24"/>
                <w:szCs w:val="24"/>
              </w:rPr>
              <w:t>2,495,467</w:t>
            </w:r>
          </w:p>
        </w:tc>
        <w:tc>
          <w:tcPr>
            <w:tcW w:w="1135" w:type="pct"/>
            <w:shd w:val="clear" w:color="auto" w:fill="auto"/>
            <w:vAlign w:val="center"/>
          </w:tcPr>
          <w:p w:rsidR="004211E3" w:rsidRPr="004211E3" w:rsidRDefault="004211E3" w:rsidP="004211E3">
            <w:pPr>
              <w:spacing w:line="300" w:lineRule="exact"/>
              <w:jc w:val="both"/>
              <w:rPr>
                <w:kern w:val="0"/>
                <w:sz w:val="24"/>
                <w:szCs w:val="24"/>
              </w:rPr>
            </w:pPr>
            <w:r w:rsidRPr="004211E3">
              <w:rPr>
                <w:kern w:val="0"/>
                <w:sz w:val="24"/>
                <w:szCs w:val="24"/>
              </w:rPr>
              <w:t>1,954,784</w:t>
            </w:r>
          </w:p>
        </w:tc>
        <w:tc>
          <w:tcPr>
            <w:tcW w:w="1135" w:type="pct"/>
            <w:shd w:val="clear" w:color="auto" w:fill="auto"/>
            <w:vAlign w:val="center"/>
          </w:tcPr>
          <w:p w:rsidR="004211E3" w:rsidRPr="004211E3" w:rsidRDefault="004211E3" w:rsidP="004211E3">
            <w:pPr>
              <w:spacing w:line="300" w:lineRule="exact"/>
              <w:jc w:val="both"/>
              <w:rPr>
                <w:kern w:val="0"/>
                <w:sz w:val="24"/>
                <w:szCs w:val="24"/>
              </w:rPr>
            </w:pPr>
            <w:r w:rsidRPr="004211E3">
              <w:rPr>
                <w:kern w:val="0"/>
                <w:sz w:val="24"/>
                <w:szCs w:val="24"/>
              </w:rPr>
              <w:t>103,800,000</w:t>
            </w:r>
          </w:p>
        </w:tc>
        <w:tc>
          <w:tcPr>
            <w:tcW w:w="1135" w:type="pct"/>
            <w:shd w:val="clear" w:color="auto" w:fill="auto"/>
            <w:vAlign w:val="center"/>
          </w:tcPr>
          <w:p w:rsidR="004211E3" w:rsidRPr="004211E3" w:rsidRDefault="004211E3" w:rsidP="004211E3">
            <w:pPr>
              <w:spacing w:line="300" w:lineRule="exact"/>
              <w:jc w:val="both"/>
              <w:rPr>
                <w:kern w:val="0"/>
                <w:sz w:val="24"/>
                <w:szCs w:val="24"/>
              </w:rPr>
            </w:pPr>
            <w:r w:rsidRPr="004211E3">
              <w:rPr>
                <w:kern w:val="0"/>
                <w:sz w:val="24"/>
                <w:szCs w:val="24"/>
              </w:rPr>
              <w:t>26,930,000</w:t>
            </w:r>
          </w:p>
        </w:tc>
      </w:tr>
      <w:tr w:rsidR="004211E3" w:rsidRPr="004211E3" w:rsidTr="004211E3">
        <w:tc>
          <w:tcPr>
            <w:tcW w:w="461" w:type="pct"/>
            <w:shd w:val="clear" w:color="auto" w:fill="auto"/>
            <w:vAlign w:val="center"/>
          </w:tcPr>
          <w:p w:rsidR="004211E3" w:rsidRPr="004211E3" w:rsidRDefault="004211E3" w:rsidP="004211E3">
            <w:pPr>
              <w:spacing w:line="300" w:lineRule="exact"/>
              <w:jc w:val="both"/>
              <w:rPr>
                <w:kern w:val="0"/>
                <w:sz w:val="24"/>
                <w:szCs w:val="24"/>
              </w:rPr>
            </w:pPr>
            <w:r w:rsidRPr="004211E3">
              <w:rPr>
                <w:rFonts w:hAnsi="標楷體"/>
                <w:kern w:val="0"/>
                <w:sz w:val="24"/>
                <w:szCs w:val="24"/>
              </w:rPr>
              <w:t>決標</w:t>
            </w:r>
          </w:p>
          <w:p w:rsidR="004211E3" w:rsidRPr="004211E3" w:rsidRDefault="004211E3" w:rsidP="004211E3">
            <w:pPr>
              <w:spacing w:line="300" w:lineRule="exact"/>
              <w:jc w:val="both"/>
              <w:rPr>
                <w:kern w:val="0"/>
                <w:sz w:val="24"/>
                <w:szCs w:val="24"/>
              </w:rPr>
            </w:pPr>
            <w:r w:rsidRPr="004211E3">
              <w:rPr>
                <w:rFonts w:hAnsi="標楷體"/>
                <w:kern w:val="0"/>
                <w:sz w:val="24"/>
                <w:szCs w:val="24"/>
              </w:rPr>
              <w:t>日期</w:t>
            </w:r>
          </w:p>
        </w:tc>
        <w:tc>
          <w:tcPr>
            <w:tcW w:w="1134" w:type="pct"/>
            <w:shd w:val="clear" w:color="auto" w:fill="auto"/>
            <w:vAlign w:val="center"/>
          </w:tcPr>
          <w:p w:rsidR="004211E3" w:rsidRPr="004211E3" w:rsidRDefault="004211E3" w:rsidP="004211E3">
            <w:pPr>
              <w:spacing w:line="300" w:lineRule="exact"/>
              <w:jc w:val="both"/>
              <w:rPr>
                <w:kern w:val="0"/>
                <w:sz w:val="24"/>
                <w:szCs w:val="24"/>
              </w:rPr>
            </w:pPr>
            <w:smartTag w:uri="urn:schemas-microsoft-com:office:smarttags" w:element="chsdate">
              <w:smartTagPr>
                <w:attr w:name="IsROCDate" w:val="False"/>
                <w:attr w:name="IsLunarDate" w:val="False"/>
                <w:attr w:name="Day" w:val="14"/>
                <w:attr w:name="Month" w:val="10"/>
                <w:attr w:name="Year" w:val="1992"/>
              </w:smartTagPr>
              <w:r w:rsidRPr="004211E3">
                <w:rPr>
                  <w:kern w:val="0"/>
                  <w:sz w:val="24"/>
                  <w:szCs w:val="24"/>
                </w:rPr>
                <w:t>92/10/14</w:t>
              </w:r>
            </w:smartTag>
          </w:p>
        </w:tc>
        <w:tc>
          <w:tcPr>
            <w:tcW w:w="1135" w:type="pct"/>
            <w:shd w:val="clear" w:color="auto" w:fill="auto"/>
            <w:vAlign w:val="center"/>
          </w:tcPr>
          <w:p w:rsidR="004211E3" w:rsidRPr="004211E3" w:rsidRDefault="004211E3" w:rsidP="004211E3">
            <w:pPr>
              <w:spacing w:line="300" w:lineRule="exact"/>
              <w:jc w:val="both"/>
              <w:rPr>
                <w:kern w:val="0"/>
                <w:sz w:val="24"/>
                <w:szCs w:val="24"/>
              </w:rPr>
            </w:pPr>
            <w:smartTag w:uri="urn:schemas-microsoft-com:office:smarttags" w:element="chsdate">
              <w:smartTagPr>
                <w:attr w:name="IsROCDate" w:val="False"/>
                <w:attr w:name="IsLunarDate" w:val="False"/>
                <w:attr w:name="Day" w:val="29"/>
                <w:attr w:name="Month" w:val="8"/>
                <w:attr w:name="Year" w:val="1995"/>
              </w:smartTagPr>
              <w:r w:rsidRPr="004211E3">
                <w:rPr>
                  <w:kern w:val="0"/>
                  <w:sz w:val="24"/>
                  <w:szCs w:val="24"/>
                </w:rPr>
                <w:t>95/8/29</w:t>
              </w:r>
            </w:smartTag>
          </w:p>
        </w:tc>
        <w:tc>
          <w:tcPr>
            <w:tcW w:w="1135" w:type="pct"/>
            <w:shd w:val="clear" w:color="auto" w:fill="auto"/>
            <w:vAlign w:val="center"/>
          </w:tcPr>
          <w:p w:rsidR="004211E3" w:rsidRPr="004211E3" w:rsidRDefault="004211E3" w:rsidP="004211E3">
            <w:pPr>
              <w:spacing w:line="300" w:lineRule="exact"/>
              <w:jc w:val="both"/>
              <w:rPr>
                <w:kern w:val="0"/>
                <w:sz w:val="24"/>
                <w:szCs w:val="24"/>
              </w:rPr>
            </w:pPr>
            <w:smartTag w:uri="urn:schemas-microsoft-com:office:smarttags" w:element="chsdate">
              <w:smartTagPr>
                <w:attr w:name="IsROCDate" w:val="False"/>
                <w:attr w:name="IsLunarDate" w:val="False"/>
                <w:attr w:name="Day" w:val="10"/>
                <w:attr w:name="Month" w:val="6"/>
                <w:attr w:name="Year" w:val="1998"/>
              </w:smartTagPr>
              <w:r w:rsidRPr="004211E3">
                <w:rPr>
                  <w:kern w:val="0"/>
                  <w:sz w:val="24"/>
                  <w:szCs w:val="24"/>
                </w:rPr>
                <w:t>98/6/10</w:t>
              </w:r>
            </w:smartTag>
          </w:p>
        </w:tc>
        <w:tc>
          <w:tcPr>
            <w:tcW w:w="1135" w:type="pct"/>
            <w:shd w:val="clear" w:color="auto" w:fill="auto"/>
            <w:vAlign w:val="center"/>
          </w:tcPr>
          <w:p w:rsidR="004211E3" w:rsidRPr="004211E3" w:rsidRDefault="004211E3" w:rsidP="004211E3">
            <w:pPr>
              <w:spacing w:line="300" w:lineRule="exact"/>
              <w:jc w:val="both"/>
              <w:rPr>
                <w:kern w:val="0"/>
                <w:sz w:val="24"/>
                <w:szCs w:val="24"/>
              </w:rPr>
            </w:pPr>
            <w:smartTag w:uri="urn:schemas-microsoft-com:office:smarttags" w:element="chsdate">
              <w:smartTagPr>
                <w:attr w:name="IsROCDate" w:val="False"/>
                <w:attr w:name="IsLunarDate" w:val="False"/>
                <w:attr w:name="Day" w:val="1"/>
                <w:attr w:name="Month" w:val="7"/>
                <w:attr w:name="Year" w:val="1998"/>
              </w:smartTagPr>
              <w:r w:rsidRPr="004211E3">
                <w:rPr>
                  <w:kern w:val="0"/>
                  <w:sz w:val="24"/>
                  <w:szCs w:val="24"/>
                </w:rPr>
                <w:t>98/7/1</w:t>
              </w:r>
            </w:smartTag>
          </w:p>
        </w:tc>
      </w:tr>
      <w:tr w:rsidR="004211E3" w:rsidRPr="004211E3" w:rsidTr="004211E3">
        <w:tc>
          <w:tcPr>
            <w:tcW w:w="461" w:type="pct"/>
            <w:shd w:val="clear" w:color="auto" w:fill="auto"/>
            <w:vAlign w:val="center"/>
          </w:tcPr>
          <w:p w:rsidR="004211E3" w:rsidRPr="004211E3" w:rsidRDefault="004211E3" w:rsidP="004211E3">
            <w:pPr>
              <w:spacing w:line="300" w:lineRule="exact"/>
              <w:jc w:val="both"/>
              <w:rPr>
                <w:kern w:val="0"/>
                <w:sz w:val="24"/>
                <w:szCs w:val="24"/>
              </w:rPr>
            </w:pPr>
            <w:r w:rsidRPr="004211E3">
              <w:rPr>
                <w:rFonts w:hAnsi="標楷體"/>
                <w:kern w:val="0"/>
                <w:sz w:val="24"/>
                <w:szCs w:val="24"/>
              </w:rPr>
              <w:t>得標</w:t>
            </w:r>
          </w:p>
          <w:p w:rsidR="004211E3" w:rsidRPr="004211E3" w:rsidRDefault="004211E3" w:rsidP="004211E3">
            <w:pPr>
              <w:spacing w:line="300" w:lineRule="exact"/>
              <w:jc w:val="both"/>
              <w:rPr>
                <w:kern w:val="0"/>
                <w:sz w:val="24"/>
                <w:szCs w:val="24"/>
              </w:rPr>
            </w:pPr>
            <w:r w:rsidRPr="004211E3">
              <w:rPr>
                <w:rFonts w:hAnsi="標楷體"/>
                <w:kern w:val="0"/>
                <w:sz w:val="24"/>
                <w:szCs w:val="24"/>
              </w:rPr>
              <w:t>廠商</w:t>
            </w:r>
          </w:p>
        </w:tc>
        <w:tc>
          <w:tcPr>
            <w:tcW w:w="1134" w:type="pct"/>
            <w:shd w:val="clear" w:color="auto" w:fill="auto"/>
            <w:vAlign w:val="center"/>
          </w:tcPr>
          <w:p w:rsidR="004211E3" w:rsidRPr="00363621" w:rsidRDefault="004211E3" w:rsidP="004211E3">
            <w:pPr>
              <w:spacing w:line="300" w:lineRule="exact"/>
              <w:jc w:val="both"/>
              <w:rPr>
                <w:kern w:val="0"/>
                <w:sz w:val="24"/>
                <w:szCs w:val="24"/>
              </w:rPr>
            </w:pPr>
            <w:r w:rsidRPr="00363621">
              <w:rPr>
                <w:rFonts w:hAnsi="標楷體"/>
                <w:kern w:val="0"/>
                <w:sz w:val="24"/>
                <w:szCs w:val="24"/>
              </w:rPr>
              <w:t>王</w:t>
            </w:r>
            <w:r w:rsidR="00363621" w:rsidRPr="00363621">
              <w:rPr>
                <w:rFonts w:hAnsi="標楷體" w:hint="eastAsia"/>
                <w:color w:val="FF0000"/>
                <w:sz w:val="24"/>
                <w:szCs w:val="24"/>
              </w:rPr>
              <w:t>Ｏ</w:t>
            </w:r>
            <w:r w:rsidRPr="00363621">
              <w:rPr>
                <w:rFonts w:hAnsi="標楷體"/>
                <w:kern w:val="0"/>
                <w:sz w:val="24"/>
                <w:szCs w:val="24"/>
              </w:rPr>
              <w:t>興建築師事務所</w:t>
            </w:r>
          </w:p>
        </w:tc>
        <w:tc>
          <w:tcPr>
            <w:tcW w:w="1135" w:type="pct"/>
            <w:shd w:val="clear" w:color="auto" w:fill="auto"/>
            <w:vAlign w:val="center"/>
          </w:tcPr>
          <w:p w:rsidR="004211E3" w:rsidRPr="00363621" w:rsidRDefault="004211E3" w:rsidP="004211E3">
            <w:pPr>
              <w:spacing w:line="300" w:lineRule="exact"/>
              <w:jc w:val="both"/>
              <w:rPr>
                <w:kern w:val="0"/>
                <w:sz w:val="24"/>
                <w:szCs w:val="24"/>
              </w:rPr>
            </w:pPr>
            <w:r w:rsidRPr="00363621">
              <w:rPr>
                <w:rFonts w:hAnsi="標楷體"/>
                <w:kern w:val="0"/>
                <w:sz w:val="24"/>
                <w:szCs w:val="24"/>
              </w:rPr>
              <w:t>張</w:t>
            </w:r>
            <w:r w:rsidR="00363621" w:rsidRPr="00363621">
              <w:rPr>
                <w:rFonts w:hAnsi="標楷體" w:hint="eastAsia"/>
                <w:color w:val="FF0000"/>
                <w:sz w:val="24"/>
                <w:szCs w:val="24"/>
              </w:rPr>
              <w:t>Ｏ</w:t>
            </w:r>
            <w:r w:rsidRPr="00363621">
              <w:rPr>
                <w:rFonts w:hAnsi="標楷體"/>
                <w:kern w:val="0"/>
                <w:sz w:val="24"/>
                <w:szCs w:val="24"/>
              </w:rPr>
              <w:t>昌建築師事務所</w:t>
            </w:r>
          </w:p>
        </w:tc>
        <w:tc>
          <w:tcPr>
            <w:tcW w:w="1135" w:type="pct"/>
            <w:shd w:val="clear" w:color="auto" w:fill="auto"/>
            <w:vAlign w:val="center"/>
          </w:tcPr>
          <w:p w:rsidR="004211E3" w:rsidRPr="00363621" w:rsidRDefault="004211E3" w:rsidP="004211E3">
            <w:pPr>
              <w:spacing w:line="300" w:lineRule="exact"/>
              <w:jc w:val="both"/>
              <w:rPr>
                <w:kern w:val="0"/>
                <w:sz w:val="24"/>
                <w:szCs w:val="24"/>
              </w:rPr>
            </w:pPr>
            <w:proofErr w:type="gramStart"/>
            <w:r w:rsidRPr="00363621">
              <w:rPr>
                <w:rFonts w:hAnsi="標楷體"/>
                <w:kern w:val="0"/>
                <w:sz w:val="24"/>
                <w:szCs w:val="24"/>
              </w:rPr>
              <w:t>伸</w:t>
            </w:r>
            <w:r w:rsidR="00EC32D2" w:rsidRPr="004211E3">
              <w:rPr>
                <w:rFonts w:hAnsi="標楷體"/>
                <w:kern w:val="0"/>
                <w:sz w:val="24"/>
                <w:szCs w:val="24"/>
              </w:rPr>
              <w:t>都</w:t>
            </w:r>
            <w:r w:rsidRPr="00363621">
              <w:rPr>
                <w:rFonts w:hAnsi="標楷體"/>
                <w:kern w:val="0"/>
                <w:sz w:val="24"/>
                <w:szCs w:val="24"/>
              </w:rPr>
              <w:t>營造</w:t>
            </w:r>
            <w:proofErr w:type="gramEnd"/>
            <w:r w:rsidRPr="00363621">
              <w:rPr>
                <w:rFonts w:hAnsi="標楷體"/>
                <w:kern w:val="0"/>
                <w:sz w:val="24"/>
                <w:szCs w:val="24"/>
              </w:rPr>
              <w:t>工程有限公司</w:t>
            </w:r>
          </w:p>
        </w:tc>
        <w:tc>
          <w:tcPr>
            <w:tcW w:w="1135" w:type="pct"/>
            <w:shd w:val="clear" w:color="auto" w:fill="auto"/>
            <w:vAlign w:val="center"/>
          </w:tcPr>
          <w:p w:rsidR="004211E3" w:rsidRPr="00363621" w:rsidRDefault="004211E3" w:rsidP="004211E3">
            <w:pPr>
              <w:spacing w:line="300" w:lineRule="exact"/>
              <w:jc w:val="both"/>
              <w:rPr>
                <w:kern w:val="0"/>
                <w:sz w:val="24"/>
                <w:szCs w:val="24"/>
              </w:rPr>
            </w:pPr>
            <w:proofErr w:type="gramStart"/>
            <w:r w:rsidRPr="00363621">
              <w:rPr>
                <w:rFonts w:hAnsi="標楷體"/>
                <w:sz w:val="24"/>
                <w:szCs w:val="24"/>
              </w:rPr>
              <w:t>祥</w:t>
            </w:r>
            <w:proofErr w:type="gramEnd"/>
            <w:r w:rsidR="00EC32D2" w:rsidRPr="004211E3">
              <w:rPr>
                <w:rFonts w:hAnsi="標楷體"/>
                <w:sz w:val="24"/>
                <w:szCs w:val="24"/>
              </w:rPr>
              <w:t>裕</w:t>
            </w:r>
            <w:r w:rsidRPr="00363621">
              <w:rPr>
                <w:rFonts w:hAnsi="標楷體"/>
                <w:sz w:val="24"/>
                <w:szCs w:val="24"/>
              </w:rPr>
              <w:t>水電工程有限公司</w:t>
            </w:r>
          </w:p>
        </w:tc>
      </w:tr>
      <w:tr w:rsidR="004211E3" w:rsidRPr="004211E3" w:rsidTr="004211E3">
        <w:tc>
          <w:tcPr>
            <w:tcW w:w="461" w:type="pct"/>
            <w:shd w:val="clear" w:color="auto" w:fill="auto"/>
            <w:vAlign w:val="center"/>
          </w:tcPr>
          <w:p w:rsidR="004211E3" w:rsidRPr="004211E3" w:rsidRDefault="004211E3" w:rsidP="004211E3">
            <w:pPr>
              <w:spacing w:line="300" w:lineRule="exact"/>
              <w:jc w:val="both"/>
              <w:rPr>
                <w:kern w:val="0"/>
                <w:sz w:val="24"/>
                <w:szCs w:val="24"/>
              </w:rPr>
            </w:pPr>
            <w:r w:rsidRPr="004211E3">
              <w:rPr>
                <w:rFonts w:hAnsi="標楷體"/>
                <w:kern w:val="0"/>
                <w:sz w:val="24"/>
                <w:szCs w:val="24"/>
              </w:rPr>
              <w:t>預定</w:t>
            </w:r>
          </w:p>
          <w:p w:rsidR="004211E3" w:rsidRPr="004211E3" w:rsidRDefault="004211E3" w:rsidP="004211E3">
            <w:pPr>
              <w:spacing w:line="300" w:lineRule="exact"/>
              <w:jc w:val="both"/>
              <w:rPr>
                <w:kern w:val="0"/>
                <w:sz w:val="24"/>
                <w:szCs w:val="24"/>
              </w:rPr>
            </w:pPr>
            <w:r w:rsidRPr="004211E3">
              <w:rPr>
                <w:rFonts w:hAnsi="標楷體"/>
                <w:kern w:val="0"/>
                <w:sz w:val="24"/>
                <w:szCs w:val="24"/>
              </w:rPr>
              <w:t>完工</w:t>
            </w:r>
          </w:p>
          <w:p w:rsidR="004211E3" w:rsidRPr="004211E3" w:rsidRDefault="004211E3" w:rsidP="004211E3">
            <w:pPr>
              <w:spacing w:line="300" w:lineRule="exact"/>
              <w:jc w:val="both"/>
              <w:rPr>
                <w:kern w:val="0"/>
                <w:sz w:val="24"/>
                <w:szCs w:val="24"/>
              </w:rPr>
            </w:pPr>
            <w:r w:rsidRPr="004211E3">
              <w:rPr>
                <w:rFonts w:hAnsi="標楷體"/>
                <w:kern w:val="0"/>
                <w:sz w:val="24"/>
                <w:szCs w:val="24"/>
              </w:rPr>
              <w:t>日期</w:t>
            </w:r>
          </w:p>
        </w:tc>
        <w:tc>
          <w:tcPr>
            <w:tcW w:w="1134" w:type="pct"/>
            <w:shd w:val="clear" w:color="auto" w:fill="auto"/>
            <w:vAlign w:val="center"/>
          </w:tcPr>
          <w:p w:rsidR="004211E3" w:rsidRPr="004211E3" w:rsidRDefault="004211E3" w:rsidP="004211E3">
            <w:pPr>
              <w:spacing w:line="300" w:lineRule="exact"/>
              <w:jc w:val="both"/>
              <w:rPr>
                <w:kern w:val="0"/>
                <w:sz w:val="24"/>
                <w:szCs w:val="24"/>
              </w:rPr>
            </w:pPr>
            <w:r w:rsidRPr="004211E3">
              <w:rPr>
                <w:rFonts w:hint="eastAsia"/>
                <w:kern w:val="0"/>
                <w:sz w:val="24"/>
                <w:szCs w:val="24"/>
              </w:rPr>
              <w:t>各項執照辦妥，至主體工程決算日止。</w:t>
            </w:r>
          </w:p>
        </w:tc>
        <w:tc>
          <w:tcPr>
            <w:tcW w:w="1135" w:type="pct"/>
            <w:shd w:val="clear" w:color="auto" w:fill="auto"/>
            <w:vAlign w:val="center"/>
          </w:tcPr>
          <w:p w:rsidR="004211E3" w:rsidRPr="004211E3" w:rsidRDefault="004211E3" w:rsidP="004211E3">
            <w:pPr>
              <w:spacing w:line="300" w:lineRule="exact"/>
              <w:jc w:val="both"/>
              <w:rPr>
                <w:kern w:val="0"/>
                <w:sz w:val="24"/>
                <w:szCs w:val="24"/>
              </w:rPr>
            </w:pPr>
            <w:r w:rsidRPr="004211E3">
              <w:rPr>
                <w:rFonts w:hint="eastAsia"/>
                <w:kern w:val="0"/>
                <w:sz w:val="24"/>
                <w:szCs w:val="24"/>
              </w:rPr>
              <w:t>至主體工程決算日止。</w:t>
            </w:r>
          </w:p>
        </w:tc>
        <w:tc>
          <w:tcPr>
            <w:tcW w:w="1135" w:type="pct"/>
            <w:shd w:val="clear" w:color="auto" w:fill="auto"/>
            <w:vAlign w:val="center"/>
          </w:tcPr>
          <w:p w:rsidR="004211E3" w:rsidRPr="004211E3" w:rsidRDefault="004211E3" w:rsidP="004211E3">
            <w:pPr>
              <w:spacing w:line="300" w:lineRule="exact"/>
              <w:jc w:val="both"/>
              <w:rPr>
                <w:kern w:val="0"/>
                <w:sz w:val="24"/>
                <w:szCs w:val="24"/>
              </w:rPr>
            </w:pPr>
            <w:r w:rsidRPr="004211E3">
              <w:rPr>
                <w:kern w:val="0"/>
                <w:sz w:val="24"/>
                <w:szCs w:val="24"/>
              </w:rPr>
              <w:t>100/4/18</w:t>
            </w:r>
          </w:p>
          <w:p w:rsidR="004211E3" w:rsidRPr="004211E3" w:rsidRDefault="004211E3" w:rsidP="004211E3">
            <w:pPr>
              <w:spacing w:line="300" w:lineRule="exact"/>
              <w:jc w:val="both"/>
              <w:rPr>
                <w:kern w:val="0"/>
                <w:sz w:val="24"/>
                <w:szCs w:val="24"/>
              </w:rPr>
            </w:pPr>
            <w:r w:rsidRPr="004211E3">
              <w:rPr>
                <w:rFonts w:hint="eastAsia"/>
                <w:kern w:val="0"/>
                <w:sz w:val="24"/>
                <w:szCs w:val="24"/>
              </w:rPr>
              <w:t>(100/3/18</w:t>
            </w:r>
            <w:r w:rsidRPr="004211E3">
              <w:rPr>
                <w:rFonts w:hint="eastAsia"/>
                <w:kern w:val="0"/>
                <w:sz w:val="24"/>
                <w:szCs w:val="24"/>
              </w:rPr>
              <w:t>終止契約，</w:t>
            </w:r>
            <w:r w:rsidRPr="004211E3">
              <w:rPr>
                <w:rFonts w:hint="eastAsia"/>
                <w:kern w:val="0"/>
                <w:sz w:val="24"/>
                <w:szCs w:val="24"/>
              </w:rPr>
              <w:t>100/11/14</w:t>
            </w:r>
            <w:r w:rsidRPr="004211E3">
              <w:rPr>
                <w:rFonts w:hint="eastAsia"/>
                <w:kern w:val="0"/>
                <w:sz w:val="24"/>
                <w:szCs w:val="24"/>
              </w:rPr>
              <w:t>復工</w:t>
            </w:r>
            <w:r w:rsidRPr="004211E3">
              <w:rPr>
                <w:rFonts w:hint="eastAsia"/>
                <w:kern w:val="0"/>
                <w:sz w:val="24"/>
                <w:szCs w:val="24"/>
              </w:rPr>
              <w:t>)</w:t>
            </w:r>
          </w:p>
        </w:tc>
        <w:tc>
          <w:tcPr>
            <w:tcW w:w="1135" w:type="pct"/>
            <w:shd w:val="clear" w:color="auto" w:fill="auto"/>
            <w:vAlign w:val="center"/>
          </w:tcPr>
          <w:p w:rsidR="004211E3" w:rsidRPr="004211E3" w:rsidRDefault="004211E3" w:rsidP="004211E3">
            <w:pPr>
              <w:spacing w:line="300" w:lineRule="exact"/>
              <w:jc w:val="both"/>
              <w:rPr>
                <w:kern w:val="0"/>
                <w:sz w:val="24"/>
                <w:szCs w:val="24"/>
              </w:rPr>
            </w:pPr>
            <w:r w:rsidRPr="004211E3">
              <w:rPr>
                <w:kern w:val="0"/>
                <w:sz w:val="24"/>
                <w:szCs w:val="24"/>
              </w:rPr>
              <w:t>建物使用執照取得後</w:t>
            </w:r>
            <w:r w:rsidRPr="004211E3">
              <w:rPr>
                <w:kern w:val="0"/>
                <w:sz w:val="24"/>
                <w:szCs w:val="24"/>
              </w:rPr>
              <w:t>60</w:t>
            </w:r>
            <w:r w:rsidRPr="004211E3">
              <w:rPr>
                <w:kern w:val="0"/>
                <w:sz w:val="24"/>
                <w:szCs w:val="24"/>
              </w:rPr>
              <w:t>日曆天內竣工。</w:t>
            </w:r>
          </w:p>
          <w:p w:rsidR="004211E3" w:rsidRPr="004211E3" w:rsidRDefault="004211E3" w:rsidP="004211E3">
            <w:pPr>
              <w:spacing w:line="300" w:lineRule="exact"/>
              <w:jc w:val="both"/>
              <w:rPr>
                <w:kern w:val="0"/>
                <w:sz w:val="24"/>
                <w:szCs w:val="24"/>
              </w:rPr>
            </w:pPr>
            <w:r w:rsidRPr="004211E3">
              <w:rPr>
                <w:rFonts w:hint="eastAsia"/>
                <w:kern w:val="0"/>
                <w:sz w:val="24"/>
                <w:szCs w:val="24"/>
              </w:rPr>
              <w:t>（</w:t>
            </w:r>
            <w:r w:rsidRPr="004211E3">
              <w:rPr>
                <w:rFonts w:hint="eastAsia"/>
                <w:kern w:val="0"/>
                <w:sz w:val="24"/>
                <w:szCs w:val="24"/>
              </w:rPr>
              <w:t>102/11/13</w:t>
            </w:r>
            <w:r w:rsidRPr="004211E3">
              <w:rPr>
                <w:rFonts w:hint="eastAsia"/>
                <w:kern w:val="0"/>
                <w:sz w:val="24"/>
                <w:szCs w:val="24"/>
              </w:rPr>
              <w:t>取得使用執照，預定</w:t>
            </w:r>
            <w:r w:rsidRPr="004211E3">
              <w:rPr>
                <w:rFonts w:hint="eastAsia"/>
                <w:kern w:val="0"/>
                <w:sz w:val="24"/>
                <w:szCs w:val="24"/>
              </w:rPr>
              <w:t>103/1/12</w:t>
            </w:r>
            <w:r w:rsidRPr="004211E3">
              <w:rPr>
                <w:rFonts w:hint="eastAsia"/>
                <w:kern w:val="0"/>
                <w:sz w:val="24"/>
                <w:szCs w:val="24"/>
              </w:rPr>
              <w:t>竣工）</w:t>
            </w:r>
          </w:p>
        </w:tc>
      </w:tr>
      <w:tr w:rsidR="004211E3" w:rsidRPr="004211E3" w:rsidTr="004211E3">
        <w:tc>
          <w:tcPr>
            <w:tcW w:w="461" w:type="pct"/>
            <w:shd w:val="clear" w:color="auto" w:fill="auto"/>
            <w:vAlign w:val="center"/>
          </w:tcPr>
          <w:p w:rsidR="004211E3" w:rsidRPr="004211E3" w:rsidRDefault="004211E3" w:rsidP="004211E3">
            <w:pPr>
              <w:spacing w:line="300" w:lineRule="exact"/>
              <w:jc w:val="both"/>
              <w:rPr>
                <w:kern w:val="0"/>
                <w:sz w:val="24"/>
                <w:szCs w:val="24"/>
              </w:rPr>
            </w:pPr>
            <w:r w:rsidRPr="004211E3">
              <w:rPr>
                <w:rFonts w:hAnsi="標楷體"/>
                <w:kern w:val="0"/>
                <w:sz w:val="24"/>
                <w:szCs w:val="24"/>
              </w:rPr>
              <w:t>實際</w:t>
            </w:r>
          </w:p>
          <w:p w:rsidR="004211E3" w:rsidRPr="004211E3" w:rsidRDefault="004211E3" w:rsidP="004211E3">
            <w:pPr>
              <w:spacing w:line="300" w:lineRule="exact"/>
              <w:jc w:val="both"/>
              <w:rPr>
                <w:kern w:val="0"/>
                <w:sz w:val="24"/>
                <w:szCs w:val="24"/>
              </w:rPr>
            </w:pPr>
            <w:r w:rsidRPr="004211E3">
              <w:rPr>
                <w:rFonts w:hAnsi="標楷體"/>
                <w:kern w:val="0"/>
                <w:sz w:val="24"/>
                <w:szCs w:val="24"/>
              </w:rPr>
              <w:t>完工</w:t>
            </w:r>
          </w:p>
          <w:p w:rsidR="004211E3" w:rsidRPr="004211E3" w:rsidRDefault="004211E3" w:rsidP="004211E3">
            <w:pPr>
              <w:spacing w:line="300" w:lineRule="exact"/>
              <w:jc w:val="both"/>
              <w:rPr>
                <w:kern w:val="0"/>
                <w:sz w:val="24"/>
                <w:szCs w:val="24"/>
              </w:rPr>
            </w:pPr>
            <w:r w:rsidRPr="004211E3">
              <w:rPr>
                <w:rFonts w:hAnsi="標楷體"/>
                <w:kern w:val="0"/>
                <w:sz w:val="24"/>
                <w:szCs w:val="24"/>
              </w:rPr>
              <w:t>日期</w:t>
            </w:r>
          </w:p>
        </w:tc>
        <w:tc>
          <w:tcPr>
            <w:tcW w:w="1134" w:type="pct"/>
            <w:shd w:val="clear" w:color="auto" w:fill="auto"/>
            <w:vAlign w:val="center"/>
          </w:tcPr>
          <w:p w:rsidR="004211E3" w:rsidRPr="004211E3" w:rsidRDefault="004211E3" w:rsidP="004211E3">
            <w:pPr>
              <w:spacing w:line="300" w:lineRule="exact"/>
              <w:jc w:val="both"/>
              <w:rPr>
                <w:kern w:val="0"/>
                <w:sz w:val="24"/>
                <w:szCs w:val="24"/>
              </w:rPr>
            </w:pPr>
            <w:r w:rsidRPr="004211E3">
              <w:rPr>
                <w:kern w:val="0"/>
                <w:sz w:val="24"/>
                <w:szCs w:val="24"/>
              </w:rPr>
              <w:t>102/11/15</w:t>
            </w:r>
          </w:p>
        </w:tc>
        <w:tc>
          <w:tcPr>
            <w:tcW w:w="1135" w:type="pct"/>
            <w:shd w:val="clear" w:color="auto" w:fill="auto"/>
            <w:vAlign w:val="center"/>
          </w:tcPr>
          <w:p w:rsidR="004211E3" w:rsidRPr="004211E3" w:rsidRDefault="004211E3" w:rsidP="004211E3">
            <w:pPr>
              <w:spacing w:line="300" w:lineRule="exact"/>
              <w:jc w:val="both"/>
              <w:rPr>
                <w:kern w:val="0"/>
                <w:sz w:val="24"/>
                <w:szCs w:val="24"/>
              </w:rPr>
            </w:pPr>
            <w:smartTag w:uri="urn:schemas-microsoft-com:office:smarttags" w:element="chsdate">
              <w:smartTagPr>
                <w:attr w:name="Year" w:val="100"/>
                <w:attr w:name="Month" w:val="3"/>
                <w:attr w:name="Day" w:val="24"/>
                <w:attr w:name="IsLunarDate" w:val="False"/>
                <w:attr w:name="IsROCDate" w:val="False"/>
              </w:smartTagPr>
              <w:r w:rsidRPr="004211E3">
                <w:rPr>
                  <w:rFonts w:hint="eastAsia"/>
                  <w:kern w:val="0"/>
                  <w:sz w:val="24"/>
                  <w:szCs w:val="24"/>
                </w:rPr>
                <w:t>100/3/24</w:t>
              </w:r>
            </w:smartTag>
            <w:r w:rsidRPr="004211E3">
              <w:rPr>
                <w:rFonts w:hint="eastAsia"/>
                <w:kern w:val="0"/>
                <w:sz w:val="24"/>
                <w:szCs w:val="24"/>
              </w:rPr>
              <w:t>解約</w:t>
            </w:r>
          </w:p>
        </w:tc>
        <w:tc>
          <w:tcPr>
            <w:tcW w:w="1135" w:type="pct"/>
            <w:shd w:val="clear" w:color="auto" w:fill="auto"/>
            <w:vAlign w:val="center"/>
          </w:tcPr>
          <w:p w:rsidR="004211E3" w:rsidRPr="004211E3" w:rsidRDefault="004211E3" w:rsidP="004211E3">
            <w:pPr>
              <w:spacing w:line="300" w:lineRule="exact"/>
              <w:jc w:val="both"/>
              <w:rPr>
                <w:kern w:val="0"/>
                <w:sz w:val="24"/>
                <w:szCs w:val="24"/>
              </w:rPr>
            </w:pPr>
            <w:smartTag w:uri="urn:schemas-microsoft-com:office:smarttags" w:element="chsdate">
              <w:smartTagPr>
                <w:attr w:name="Year" w:val="101"/>
                <w:attr w:name="Month" w:val="7"/>
                <w:attr w:name="Day" w:val="13"/>
                <w:attr w:name="IsLunarDate" w:val="False"/>
                <w:attr w:name="IsROCDate" w:val="False"/>
              </w:smartTagPr>
              <w:r w:rsidRPr="004211E3">
                <w:rPr>
                  <w:rFonts w:hint="eastAsia"/>
                  <w:kern w:val="0"/>
                  <w:sz w:val="24"/>
                  <w:szCs w:val="24"/>
                </w:rPr>
                <w:t>101/7/13</w:t>
              </w:r>
            </w:smartTag>
          </w:p>
        </w:tc>
        <w:tc>
          <w:tcPr>
            <w:tcW w:w="1135" w:type="pct"/>
            <w:shd w:val="clear" w:color="auto" w:fill="auto"/>
            <w:vAlign w:val="center"/>
          </w:tcPr>
          <w:p w:rsidR="004211E3" w:rsidRPr="004211E3" w:rsidRDefault="004211E3" w:rsidP="004211E3">
            <w:pPr>
              <w:spacing w:line="300" w:lineRule="exact"/>
              <w:jc w:val="both"/>
              <w:rPr>
                <w:kern w:val="0"/>
                <w:sz w:val="24"/>
                <w:szCs w:val="24"/>
              </w:rPr>
            </w:pPr>
            <w:r w:rsidRPr="004211E3">
              <w:rPr>
                <w:kern w:val="0"/>
                <w:sz w:val="24"/>
                <w:szCs w:val="24"/>
              </w:rPr>
              <w:t>未竣工</w:t>
            </w:r>
          </w:p>
        </w:tc>
      </w:tr>
      <w:tr w:rsidR="004211E3" w:rsidRPr="004211E3" w:rsidTr="004211E3">
        <w:tc>
          <w:tcPr>
            <w:tcW w:w="461" w:type="pct"/>
            <w:shd w:val="clear" w:color="auto" w:fill="auto"/>
            <w:vAlign w:val="center"/>
          </w:tcPr>
          <w:p w:rsidR="004211E3" w:rsidRPr="004211E3" w:rsidRDefault="004211E3" w:rsidP="004211E3">
            <w:pPr>
              <w:spacing w:line="300" w:lineRule="exact"/>
              <w:jc w:val="both"/>
              <w:rPr>
                <w:kern w:val="0"/>
                <w:sz w:val="24"/>
                <w:szCs w:val="24"/>
              </w:rPr>
            </w:pPr>
            <w:r w:rsidRPr="004211E3">
              <w:rPr>
                <w:rFonts w:hAnsi="標楷體"/>
                <w:kern w:val="0"/>
                <w:sz w:val="24"/>
                <w:szCs w:val="24"/>
              </w:rPr>
              <w:t>決算</w:t>
            </w:r>
          </w:p>
          <w:p w:rsidR="004211E3" w:rsidRPr="004211E3" w:rsidRDefault="004211E3" w:rsidP="004211E3">
            <w:pPr>
              <w:spacing w:line="300" w:lineRule="exact"/>
              <w:jc w:val="both"/>
              <w:rPr>
                <w:kern w:val="0"/>
                <w:sz w:val="24"/>
                <w:szCs w:val="24"/>
              </w:rPr>
            </w:pPr>
            <w:r w:rsidRPr="004211E3">
              <w:rPr>
                <w:rFonts w:hAnsi="標楷體"/>
                <w:kern w:val="0"/>
                <w:sz w:val="24"/>
                <w:szCs w:val="24"/>
              </w:rPr>
              <w:lastRenderedPageBreak/>
              <w:t>金額</w:t>
            </w:r>
          </w:p>
        </w:tc>
        <w:tc>
          <w:tcPr>
            <w:tcW w:w="1134" w:type="pct"/>
            <w:shd w:val="clear" w:color="auto" w:fill="auto"/>
            <w:vAlign w:val="center"/>
          </w:tcPr>
          <w:p w:rsidR="004211E3" w:rsidRPr="004211E3" w:rsidRDefault="004211E3" w:rsidP="004211E3">
            <w:pPr>
              <w:spacing w:line="300" w:lineRule="exact"/>
              <w:jc w:val="both"/>
              <w:rPr>
                <w:kern w:val="0"/>
                <w:sz w:val="24"/>
                <w:szCs w:val="24"/>
              </w:rPr>
            </w:pPr>
            <w:r w:rsidRPr="004211E3">
              <w:rPr>
                <w:kern w:val="0"/>
                <w:sz w:val="24"/>
                <w:szCs w:val="24"/>
              </w:rPr>
              <w:lastRenderedPageBreak/>
              <w:t>3,346,716</w:t>
            </w:r>
          </w:p>
        </w:tc>
        <w:tc>
          <w:tcPr>
            <w:tcW w:w="1135" w:type="pct"/>
            <w:shd w:val="clear" w:color="auto" w:fill="auto"/>
            <w:vAlign w:val="center"/>
          </w:tcPr>
          <w:p w:rsidR="004211E3" w:rsidRPr="004211E3" w:rsidRDefault="004211E3" w:rsidP="004211E3">
            <w:pPr>
              <w:spacing w:line="300" w:lineRule="exact"/>
              <w:jc w:val="both"/>
              <w:rPr>
                <w:kern w:val="0"/>
                <w:sz w:val="24"/>
                <w:szCs w:val="24"/>
              </w:rPr>
            </w:pPr>
            <w:r w:rsidRPr="004211E3">
              <w:rPr>
                <w:rFonts w:hint="eastAsia"/>
                <w:kern w:val="0"/>
                <w:sz w:val="24"/>
                <w:szCs w:val="24"/>
              </w:rPr>
              <w:t>尚未結案，目前</w:t>
            </w:r>
            <w:r w:rsidRPr="004211E3">
              <w:rPr>
                <w:rFonts w:hint="eastAsia"/>
                <w:kern w:val="0"/>
                <w:sz w:val="24"/>
                <w:szCs w:val="24"/>
              </w:rPr>
              <w:lastRenderedPageBreak/>
              <w:t>向該建築師求償案正由臺北地院審理中，俟判決結果核算決算金額。</w:t>
            </w:r>
          </w:p>
        </w:tc>
        <w:tc>
          <w:tcPr>
            <w:tcW w:w="1135" w:type="pct"/>
            <w:shd w:val="clear" w:color="auto" w:fill="auto"/>
            <w:vAlign w:val="center"/>
          </w:tcPr>
          <w:p w:rsidR="004211E3" w:rsidRPr="004211E3" w:rsidRDefault="004211E3" w:rsidP="004211E3">
            <w:pPr>
              <w:spacing w:line="300" w:lineRule="exact"/>
              <w:jc w:val="both"/>
              <w:rPr>
                <w:kern w:val="0"/>
                <w:sz w:val="24"/>
                <w:szCs w:val="24"/>
              </w:rPr>
            </w:pPr>
            <w:r w:rsidRPr="004211E3">
              <w:rPr>
                <w:rFonts w:hint="eastAsia"/>
                <w:kern w:val="0"/>
                <w:sz w:val="24"/>
                <w:szCs w:val="24"/>
              </w:rPr>
              <w:lastRenderedPageBreak/>
              <w:t>112,083,234</w:t>
            </w:r>
          </w:p>
        </w:tc>
        <w:tc>
          <w:tcPr>
            <w:tcW w:w="1135" w:type="pct"/>
            <w:shd w:val="clear" w:color="auto" w:fill="auto"/>
            <w:vAlign w:val="center"/>
          </w:tcPr>
          <w:p w:rsidR="004211E3" w:rsidRPr="004211E3" w:rsidRDefault="004211E3" w:rsidP="004211E3">
            <w:pPr>
              <w:spacing w:line="300" w:lineRule="exact"/>
              <w:jc w:val="both"/>
              <w:rPr>
                <w:kern w:val="0"/>
                <w:sz w:val="24"/>
                <w:szCs w:val="24"/>
              </w:rPr>
            </w:pPr>
            <w:r w:rsidRPr="004211E3">
              <w:rPr>
                <w:rFonts w:hint="eastAsia"/>
                <w:kern w:val="0"/>
                <w:sz w:val="24"/>
                <w:szCs w:val="24"/>
              </w:rPr>
              <w:t>33,189,597</w:t>
            </w:r>
            <w:r w:rsidRPr="004211E3">
              <w:rPr>
                <w:kern w:val="0"/>
                <w:sz w:val="24"/>
                <w:szCs w:val="24"/>
              </w:rPr>
              <w:br/>
            </w:r>
            <w:r w:rsidRPr="004211E3">
              <w:rPr>
                <w:rFonts w:hint="eastAsia"/>
                <w:kern w:val="0"/>
                <w:sz w:val="24"/>
                <w:szCs w:val="24"/>
              </w:rPr>
              <w:lastRenderedPageBreak/>
              <w:t>(</w:t>
            </w:r>
            <w:r w:rsidRPr="004211E3">
              <w:rPr>
                <w:rFonts w:hint="eastAsia"/>
                <w:kern w:val="0"/>
                <w:sz w:val="24"/>
                <w:szCs w:val="24"/>
              </w:rPr>
              <w:t>預定</w:t>
            </w:r>
            <w:r w:rsidRPr="004211E3">
              <w:rPr>
                <w:rFonts w:hint="eastAsia"/>
                <w:kern w:val="0"/>
                <w:sz w:val="24"/>
                <w:szCs w:val="24"/>
              </w:rPr>
              <w:t>)</w:t>
            </w:r>
          </w:p>
        </w:tc>
      </w:tr>
    </w:tbl>
    <w:p w:rsidR="00C65F6E" w:rsidRPr="00C923C4" w:rsidRDefault="006A603A" w:rsidP="00C923C4">
      <w:pPr>
        <w:pStyle w:val="3"/>
        <w:rPr>
          <w:b/>
        </w:rPr>
      </w:pPr>
      <w:r w:rsidRPr="00C923C4">
        <w:rPr>
          <w:rFonts w:hint="eastAsia"/>
          <w:b/>
        </w:rPr>
        <w:lastRenderedPageBreak/>
        <w:t>臺鐵局</w:t>
      </w:r>
      <w:r w:rsidR="00C923C4">
        <w:rPr>
          <w:rFonts w:hint="eastAsia"/>
          <w:b/>
        </w:rPr>
        <w:t>於本工程規劃設計階段，</w:t>
      </w:r>
      <w:r w:rsidR="00C65F6E" w:rsidRPr="00C923C4">
        <w:rPr>
          <w:rFonts w:hint="eastAsia"/>
          <w:b/>
        </w:rPr>
        <w:t>未積極有效督促</w:t>
      </w:r>
      <w:r w:rsidR="0029520F" w:rsidRPr="00C923C4">
        <w:rPr>
          <w:rFonts w:hint="eastAsia"/>
          <w:b/>
        </w:rPr>
        <w:t>設計</w:t>
      </w:r>
      <w:r w:rsidR="00C65F6E" w:rsidRPr="00C923C4">
        <w:rPr>
          <w:rFonts w:hint="eastAsia"/>
          <w:b/>
        </w:rPr>
        <w:t>建築師依約完成設計圖說及預算書</w:t>
      </w:r>
      <w:r w:rsidR="0029520F" w:rsidRPr="00C923C4">
        <w:rPr>
          <w:rFonts w:hint="eastAsia"/>
          <w:b/>
        </w:rPr>
        <w:t>，復因</w:t>
      </w:r>
      <w:r w:rsidR="00AD59C5" w:rsidRPr="00C923C4">
        <w:rPr>
          <w:rFonts w:hint="eastAsia"/>
          <w:b/>
        </w:rPr>
        <w:t>多次流標及建築法規修正，致本案重新設計，迄本工程土建及機電決標之時程長達5年8個月，嚴重影響本案執行時程</w:t>
      </w:r>
      <w:r w:rsidR="00C65F6E" w:rsidRPr="00C923C4">
        <w:rPr>
          <w:rFonts w:hint="eastAsia"/>
          <w:b/>
        </w:rPr>
        <w:t>，</w:t>
      </w:r>
      <w:r w:rsidR="002863B3">
        <w:rPr>
          <w:rFonts w:hint="eastAsia"/>
          <w:b/>
        </w:rPr>
        <w:t>確有</w:t>
      </w:r>
      <w:r w:rsidR="00AD59C5" w:rsidRPr="00C923C4">
        <w:rPr>
          <w:rFonts w:hint="eastAsia"/>
          <w:b/>
        </w:rPr>
        <w:t>違失</w:t>
      </w:r>
    </w:p>
    <w:p w:rsidR="00C65F6E" w:rsidRPr="00C65F6E" w:rsidRDefault="00C65F6E" w:rsidP="00C923C4">
      <w:pPr>
        <w:pStyle w:val="4"/>
      </w:pPr>
      <w:r w:rsidRPr="00C65F6E">
        <w:rPr>
          <w:rFonts w:hint="eastAsia"/>
        </w:rPr>
        <w:t>依臺鐵捷運化計畫（沙鹿站跨站式站房新建工程委託規劃設計部分）勞務採購契約補充契約（下稱設計契約）條款第五、（一）條規定：「1.乙方於接到甲方契約簽訂完成書面通知日起應在30日曆天內，提出本補充契約條款第二條第一項約定之規劃部分服務事項成果（期中報告）一式十份送交甲方審查…。2.第1款規劃成果簡報後，乙方接到甲方審查意見書面通知日起，應在15日曆天內，依甲方審查意見修正，提出期末報告一式十份送交甲方，辦理期末審查…。3.第2款規劃成果簡報後，乙方接到甲方審查同意書面通知日起，應在45日曆天內，提出本補充契約條款第三條第二項約定之設計部分服務事項成果，將設計圖說及施工預算書等一式七份送交甲方審查。…。5.第3款設計成果經甲方審查後，乙方接到甲方審查意見書面通知日起15日曆天內完成修正送甲方審查，修正次數以三次為限，否則以逾期處理。…。7.其他乙方應辦事項，未議定期限者，應於獲甲方書面通知辦理日起算，10日曆天內辦理完成。」第十、（一）條規定：「乙方有下列情形之一者，甲方得以書面解除本契約並</w:t>
      </w:r>
      <w:r w:rsidRPr="00C65F6E">
        <w:rPr>
          <w:rFonts w:hint="eastAsia"/>
        </w:rPr>
        <w:lastRenderedPageBreak/>
        <w:t>依本契約結算服務酬金：1.未依本補充契約條款第二條及第五條之規定執行服務業務時，經甲方發存證信函催告1個月後，乙方仍無法完成者。…」第</w:t>
      </w:r>
      <w:r w:rsidR="00E90539">
        <w:rPr>
          <w:rFonts w:hint="eastAsia"/>
        </w:rPr>
        <w:t>十三</w:t>
      </w:r>
      <w:r w:rsidRPr="00C65F6E">
        <w:rPr>
          <w:rFonts w:hint="eastAsia"/>
        </w:rPr>
        <w:t>條規定：「（一）逾期違約金，以日為單位，乙方如未依照契約規定期限完工，或未依規定期限提送變更設計預算書、圖，應按逾期日數，每日依測量、地質鑽探及規劃設計各部分之契約價金千分之一計算逾期違約金。……（三）逾期違約金之總價（含逾期未改正之違約金），以測量、地質鑽探及規劃設計各部分之契約價金總額之百分之二十為上限。……」</w:t>
      </w:r>
    </w:p>
    <w:p w:rsidR="00BE5150" w:rsidRDefault="00C65F6E" w:rsidP="00C923C4">
      <w:pPr>
        <w:pStyle w:val="4"/>
      </w:pPr>
      <w:r w:rsidRPr="00C65F6E">
        <w:rPr>
          <w:rFonts w:hint="eastAsia"/>
        </w:rPr>
        <w:t>查本工程依設計契約第五、（一）條規定，</w:t>
      </w:r>
      <w:r w:rsidR="00E90539">
        <w:rPr>
          <w:rFonts w:hint="eastAsia"/>
        </w:rPr>
        <w:t>設計</w:t>
      </w:r>
      <w:r w:rsidRPr="00C65F6E">
        <w:rPr>
          <w:rFonts w:hint="eastAsia"/>
        </w:rPr>
        <w:t>建築師規劃設計之時程為135天（30+15+45+15</w:t>
      </w:r>
      <w:r w:rsidR="00E90539">
        <w:rPr>
          <w:rFonts w:hint="eastAsia"/>
        </w:rPr>
        <w:t>×</w:t>
      </w:r>
      <w:r w:rsidRPr="00C65F6E">
        <w:rPr>
          <w:rFonts w:hint="eastAsia"/>
        </w:rPr>
        <w:t>3，不含審查期間），惟查建築師提送期中及期末報告，已分別逾期17天及49天，臺鐵局未督促</w:t>
      </w:r>
      <w:r w:rsidR="00323D35">
        <w:rPr>
          <w:rFonts w:hint="eastAsia"/>
        </w:rPr>
        <w:t>設計</w:t>
      </w:r>
      <w:r w:rsidRPr="00C65F6E">
        <w:rPr>
          <w:rFonts w:hint="eastAsia"/>
        </w:rPr>
        <w:t>建築師積極趕辦。其後，建築師於92年12月31日提送建築、機電設計圖及預算書，至95年8月11日止，該局前後召開13次審查會議。其間雖將歷次審查意見函請</w:t>
      </w:r>
      <w:r w:rsidR="00323D35">
        <w:rPr>
          <w:rFonts w:hint="eastAsia"/>
        </w:rPr>
        <w:t>設計</w:t>
      </w:r>
      <w:r w:rsidRPr="00C65F6E">
        <w:rPr>
          <w:rFonts w:hint="eastAsia"/>
        </w:rPr>
        <w:t>建築師依限完成修正，惟建築師對該局審查意見未積極處理，屢有逾期提送或經多次催辦仍未送審情事，或未依該局審查意見作完整修正，或未依審查結論提送完整圖說，嚴重延宕規劃設計期程，惟</w:t>
      </w:r>
      <w:r w:rsidR="00323D35">
        <w:rPr>
          <w:rFonts w:hint="eastAsia"/>
        </w:rPr>
        <w:t>臺鐵局</w:t>
      </w:r>
      <w:r w:rsidRPr="00C65F6E">
        <w:rPr>
          <w:rFonts w:hint="eastAsia"/>
        </w:rPr>
        <w:t>僅於93年9月14日、94年4月7日、6月9日</w:t>
      </w:r>
      <w:r w:rsidR="00323D35">
        <w:rPr>
          <w:rFonts w:hint="eastAsia"/>
        </w:rPr>
        <w:t>及</w:t>
      </w:r>
      <w:r w:rsidRPr="00C65F6E">
        <w:rPr>
          <w:rFonts w:hint="eastAsia"/>
        </w:rPr>
        <w:t>8月3日函催建築師儘速趲趕進度或補正相關資料，未採取積極有效因應措施，迨至94年12月1日始召開協調會，嗣建築師承諾於94年12月9日完成設計圖，5日內提送預算書，並依94年12月20日審查會議結論修正建築工程預算書圖，後續建築工程部分之設計圖說及預算書，送經</w:t>
      </w:r>
      <w:r w:rsidR="00BE5150">
        <w:rPr>
          <w:rFonts w:hint="eastAsia"/>
        </w:rPr>
        <w:t>臺</w:t>
      </w:r>
      <w:r w:rsidR="00BE5150">
        <w:rPr>
          <w:rFonts w:hint="eastAsia"/>
        </w:rPr>
        <w:lastRenderedPageBreak/>
        <w:t>鐵</w:t>
      </w:r>
      <w:r w:rsidRPr="00C65F6E">
        <w:rPr>
          <w:rFonts w:hint="eastAsia"/>
        </w:rPr>
        <w:t>局審查通過後，歷經95年2月8日、10月2日、10月19日及10月30日辦理4次公告招標結果，因投標廠商未達法定家數或無廠商投標而流標。</w:t>
      </w:r>
    </w:p>
    <w:p w:rsidR="0029520F" w:rsidRDefault="00C65F6E" w:rsidP="00C923C4">
      <w:pPr>
        <w:pStyle w:val="4"/>
      </w:pPr>
      <w:r w:rsidRPr="00C65F6E">
        <w:rPr>
          <w:rFonts w:hint="eastAsia"/>
        </w:rPr>
        <w:t>至機電工程部分，迄至95年8月11日第13次審查會議審查後，仍有台電受電室未面臨建築線、電桿及新站相關位置套繪圖、施工及營運計畫過於簡略等問題尚待修正，經催辦仍未提送。</w:t>
      </w:r>
      <w:r w:rsidR="00BE5150">
        <w:rPr>
          <w:rFonts w:hint="eastAsia"/>
        </w:rPr>
        <w:t>臺鐵</w:t>
      </w:r>
      <w:r w:rsidRPr="00C65F6E">
        <w:rPr>
          <w:rFonts w:hint="eastAsia"/>
        </w:rPr>
        <w:t>局</w:t>
      </w:r>
      <w:r w:rsidR="00BE5150">
        <w:rPr>
          <w:rFonts w:hint="eastAsia"/>
        </w:rPr>
        <w:t>於</w:t>
      </w:r>
      <w:r w:rsidRPr="00C65F6E">
        <w:rPr>
          <w:rFonts w:hint="eastAsia"/>
        </w:rPr>
        <w:t>95年12月4日、12月18日及96年1月18日召開設計預算審查會針對建築工程部分提出檢討意見，並請建築師辦理修正，惟</w:t>
      </w:r>
      <w:r w:rsidR="00BE5150">
        <w:rPr>
          <w:rFonts w:hint="eastAsia"/>
        </w:rPr>
        <w:t>設計</w:t>
      </w:r>
      <w:r w:rsidRPr="00C65F6E">
        <w:rPr>
          <w:rFonts w:hint="eastAsia"/>
        </w:rPr>
        <w:t>建築師未配合辦理，相關問題</w:t>
      </w:r>
      <w:r w:rsidR="00BE5150">
        <w:rPr>
          <w:rFonts w:hint="eastAsia"/>
        </w:rPr>
        <w:t>仍</w:t>
      </w:r>
      <w:r w:rsidRPr="00C65F6E">
        <w:rPr>
          <w:rFonts w:hint="eastAsia"/>
        </w:rPr>
        <w:t>未獲解決，該局爰以</w:t>
      </w:r>
      <w:r w:rsidR="00BE5150">
        <w:rPr>
          <w:rFonts w:hint="eastAsia"/>
        </w:rPr>
        <w:t>設計</w:t>
      </w:r>
      <w:r w:rsidRPr="00C65F6E">
        <w:rPr>
          <w:rFonts w:hint="eastAsia"/>
        </w:rPr>
        <w:t>建築師未能履行承攬義務，嚴重影響工程進度，於96年4月20日依設計契約第十、（一）條規定通知建築師終止契約。嗣經雙方於96年6月6日協調後，</w:t>
      </w:r>
      <w:r w:rsidR="00BE5150">
        <w:rPr>
          <w:rFonts w:hint="eastAsia"/>
        </w:rPr>
        <w:t>臺鐵</w:t>
      </w:r>
      <w:r w:rsidRPr="00C65F6E">
        <w:rPr>
          <w:rFonts w:hint="eastAsia"/>
        </w:rPr>
        <w:t>局再請</w:t>
      </w:r>
      <w:r w:rsidR="00BE5150">
        <w:rPr>
          <w:rFonts w:hint="eastAsia"/>
        </w:rPr>
        <w:t>設計</w:t>
      </w:r>
      <w:r w:rsidRPr="00C65F6E">
        <w:rPr>
          <w:rFonts w:hint="eastAsia"/>
        </w:rPr>
        <w:t>建築師續辦，惟因時程延宕已久，考量建築法規變更及物價上漲等因素，爰請建築師重新設計，該建築師於96年7月30日重新提送設計圖說及預算書，建築及機電工程再歷經5次及10次修正後，分別於97年10月及12月審查完成</w:t>
      </w:r>
      <w:r w:rsidR="0029520F">
        <w:rPr>
          <w:rFonts w:hint="eastAsia"/>
        </w:rPr>
        <w:t>，98年6月10日本工程土建部分決標、98年7月1日本工程機電部分決標，自92年10月14日委託規劃設計決標迄土建及機電工程決標之時程長達5年8個月（92年10月至98年6月）</w:t>
      </w:r>
      <w:r w:rsidRPr="00C65F6E">
        <w:rPr>
          <w:rFonts w:hint="eastAsia"/>
        </w:rPr>
        <w:t>。</w:t>
      </w:r>
    </w:p>
    <w:p w:rsidR="0029520F" w:rsidRDefault="0029520F" w:rsidP="00C923C4">
      <w:pPr>
        <w:pStyle w:val="4"/>
      </w:pPr>
      <w:r>
        <w:rPr>
          <w:rFonts w:hint="eastAsia"/>
        </w:rPr>
        <w:t>綜上，</w:t>
      </w:r>
      <w:r w:rsidR="00AD59C5" w:rsidRPr="00AD59C5">
        <w:rPr>
          <w:rFonts w:hint="eastAsia"/>
        </w:rPr>
        <w:t>臺鐵局未積極有效督促設計建築師依約完成設計圖說及預算書，復因多次流標及建築法規修正，致本案重新設計，迄本工程土建及機電決標之時程長達5年8</w:t>
      </w:r>
      <w:r w:rsidR="005A02E1">
        <w:rPr>
          <w:rFonts w:hint="eastAsia"/>
        </w:rPr>
        <w:t>個月，嚴重影響本案執行時程，確</w:t>
      </w:r>
      <w:r w:rsidR="00AD59C5" w:rsidRPr="00AD59C5">
        <w:rPr>
          <w:rFonts w:hint="eastAsia"/>
        </w:rPr>
        <w:t>有違失</w:t>
      </w:r>
      <w:r w:rsidR="00AD59C5">
        <w:rPr>
          <w:rFonts w:hint="eastAsia"/>
        </w:rPr>
        <w:t>。</w:t>
      </w:r>
    </w:p>
    <w:p w:rsidR="00C65F6E" w:rsidRPr="00C923C4" w:rsidRDefault="006A603A" w:rsidP="00C923C4">
      <w:pPr>
        <w:pStyle w:val="3"/>
        <w:rPr>
          <w:b/>
        </w:rPr>
      </w:pPr>
      <w:r w:rsidRPr="00C923C4">
        <w:rPr>
          <w:rFonts w:hint="eastAsia"/>
          <w:b/>
        </w:rPr>
        <w:lastRenderedPageBreak/>
        <w:t>臺鐵局</w:t>
      </w:r>
      <w:r w:rsidR="00C923C4" w:rsidRPr="00C923C4">
        <w:rPr>
          <w:rFonts w:hint="eastAsia"/>
          <w:b/>
        </w:rPr>
        <w:t>於本工程施工階段，</w:t>
      </w:r>
      <w:r w:rsidR="00C65F6E" w:rsidRPr="00C923C4">
        <w:rPr>
          <w:rFonts w:hint="eastAsia"/>
          <w:b/>
        </w:rPr>
        <w:t>對於建築工程進度落後，未先釐清可歸責及不可歸責於施工廠商之因素，逕予終止契約，嗣經調解成立，重新核算工期後，認定落後幅度未達終止契約標準而辦理復工，肇致停工期間長達</w:t>
      </w:r>
      <w:r w:rsidR="008B38EB" w:rsidRPr="00C923C4">
        <w:rPr>
          <w:rFonts w:hint="eastAsia"/>
          <w:b/>
        </w:rPr>
        <w:t>近8</w:t>
      </w:r>
      <w:r w:rsidR="00C65F6E" w:rsidRPr="00C923C4">
        <w:rPr>
          <w:rFonts w:hint="eastAsia"/>
          <w:b/>
        </w:rPr>
        <w:t>個月，影響工程執行進度</w:t>
      </w:r>
      <w:r w:rsidR="005A02E1">
        <w:rPr>
          <w:rFonts w:hint="eastAsia"/>
          <w:b/>
        </w:rPr>
        <w:t>，核</w:t>
      </w:r>
      <w:r w:rsidR="008B38EB" w:rsidRPr="00C923C4">
        <w:rPr>
          <w:rFonts w:hint="eastAsia"/>
          <w:b/>
        </w:rPr>
        <w:t>有疏失</w:t>
      </w:r>
    </w:p>
    <w:p w:rsidR="00C65F6E" w:rsidRPr="00C65F6E" w:rsidRDefault="00C65F6E" w:rsidP="00C923C4">
      <w:pPr>
        <w:pStyle w:val="4"/>
      </w:pPr>
      <w:r w:rsidRPr="00C65F6E">
        <w:rPr>
          <w:rFonts w:hint="eastAsia"/>
        </w:rPr>
        <w:t>依環島鐵路整體系統安全提昇計畫（沙鹿站跨站式站房新建工程土建部分）工程採購契約（下稱工程契約）第5.6.1條規定：「契約履約期間，有下列情形之一，且確非可歸責於廠商，…。本局得審酌其情形後，以書面同意延長工期。…（1）發生契約規定不可抗力之事故。（2）本局要求全部或部分停工。（3）因辦理變更設計或增加工程數量。…（6）其他非可歸責於立約商之情形經本局認定者。」第18.1條規定：「立約商履約有下列情形之一者，本局得以書面通知立約商終止契約或解除契約之部分或全部，且不補償立約商因此所生之損失：…（5）因可歸責於立約商之事由，致延誤履約期限，情節重大者。…」第18.9條規定：「因可歸責於立約商之事由致延誤履約進度，情節重大者之認定，除招標文件另有規定外，並適用採購法施行細則第111條。」政府採購法施行細則第111條第1項規定：「本法第101條第1項第10款所稱延誤履約期限情節重大者，機關得於招標文件載明其情形。其未載明者，…，指履約進度落後20％以上，且日數達10日以上。」</w:t>
      </w:r>
    </w:p>
    <w:p w:rsidR="008B38EB" w:rsidRDefault="00C65F6E" w:rsidP="00C923C4">
      <w:pPr>
        <w:pStyle w:val="4"/>
      </w:pPr>
      <w:r w:rsidRPr="00C65F6E">
        <w:rPr>
          <w:rFonts w:hint="eastAsia"/>
        </w:rPr>
        <w:t>查建築工程於98年7月28日開工，原預定完工期限為100年2月18日（若含使用執照申請時間則為100年4月18日），惟截至100年3月18日止，實際進度70.40％，較預定進度99.05％，</w:t>
      </w:r>
      <w:r w:rsidRPr="00C65F6E">
        <w:rPr>
          <w:rFonts w:hint="eastAsia"/>
        </w:rPr>
        <w:lastRenderedPageBreak/>
        <w:t>落後28.65％，其執行進度落後原因，除因</w:t>
      </w:r>
      <w:r w:rsidR="008B38EB">
        <w:rPr>
          <w:rFonts w:hint="eastAsia"/>
        </w:rPr>
        <w:t>施工廠商</w:t>
      </w:r>
      <w:r w:rsidRPr="00C65F6E">
        <w:rPr>
          <w:rFonts w:hint="eastAsia"/>
        </w:rPr>
        <w:t>未領得計價款及材料未符合規定而自行停工之因素外，尚包括監造單位延遲提供申報開工之審查資料、未及時提供要徑工程（結構及裝修）書面確認圖及對外牆鋁複合板材料審查逾期；配合連續假期之輸運暫停施工；受莫拉克及凡那比颱風影響；原有車站結構補強、增設抗風結構及旅運設施調整辦理變更設計等因素，</w:t>
      </w:r>
      <w:r w:rsidR="008B38EB">
        <w:rPr>
          <w:rFonts w:hint="eastAsia"/>
        </w:rPr>
        <w:t>臺鐵</w:t>
      </w:r>
      <w:r w:rsidRPr="00C65F6E">
        <w:rPr>
          <w:rFonts w:hint="eastAsia"/>
        </w:rPr>
        <w:t>局未依工程契約第5.6.1條規定先釐清可歸責或不可歸責廠商因素妥適處理，逕以工程進度落後幅度已超過20％，符合工程契約第18.1條規定為由，於100年3月18日通知</w:t>
      </w:r>
      <w:r w:rsidR="008B38EB">
        <w:rPr>
          <w:rFonts w:hint="eastAsia"/>
        </w:rPr>
        <w:t>施工廠商</w:t>
      </w:r>
      <w:r w:rsidRPr="00C65F6E">
        <w:rPr>
          <w:rFonts w:hint="eastAsia"/>
        </w:rPr>
        <w:t>伸</w:t>
      </w:r>
      <w:r w:rsidR="00EC32D2" w:rsidRPr="00C65F6E">
        <w:rPr>
          <w:rFonts w:hint="eastAsia"/>
        </w:rPr>
        <w:t>都</w:t>
      </w:r>
      <w:bookmarkStart w:id="0" w:name="_GoBack"/>
      <w:bookmarkEnd w:id="0"/>
      <w:r w:rsidRPr="00C65F6E">
        <w:rPr>
          <w:rFonts w:hint="eastAsia"/>
        </w:rPr>
        <w:t>營造終止契約。</w:t>
      </w:r>
      <w:proofErr w:type="gramStart"/>
      <w:r w:rsidRPr="00C65F6E">
        <w:rPr>
          <w:rFonts w:hint="eastAsia"/>
        </w:rPr>
        <w:t>嗣因伸</w:t>
      </w:r>
      <w:r w:rsidR="00EC32D2" w:rsidRPr="00C65F6E">
        <w:rPr>
          <w:rFonts w:hint="eastAsia"/>
        </w:rPr>
        <w:t>都</w:t>
      </w:r>
      <w:proofErr w:type="gramEnd"/>
      <w:r w:rsidRPr="00C65F6E">
        <w:rPr>
          <w:rFonts w:hint="eastAsia"/>
        </w:rPr>
        <w:t>營造以監造單位延遲提供申報開工之審查資料等為由，向行政院公共工程委員會申請履約爭議調解，經於100年8月29日就鋼骨結構圖說及裝修確認圖等3項調解成立，由</w:t>
      </w:r>
      <w:proofErr w:type="gramStart"/>
      <w:r w:rsidR="008B38EB">
        <w:rPr>
          <w:rFonts w:hint="eastAsia"/>
        </w:rPr>
        <w:t>臺鐵</w:t>
      </w:r>
      <w:r w:rsidRPr="00C65F6E">
        <w:rPr>
          <w:rFonts w:hint="eastAsia"/>
        </w:rPr>
        <w:t>局展</w:t>
      </w:r>
      <w:proofErr w:type="gramEnd"/>
      <w:r w:rsidRPr="00C65F6E">
        <w:rPr>
          <w:rFonts w:hint="eastAsia"/>
        </w:rPr>
        <w:t>延工期43.5天，</w:t>
      </w:r>
      <w:r w:rsidR="008B38EB">
        <w:rPr>
          <w:rFonts w:hint="eastAsia"/>
        </w:rPr>
        <w:t>且</w:t>
      </w:r>
      <w:r w:rsidRPr="00C65F6E">
        <w:rPr>
          <w:rFonts w:hint="eastAsia"/>
        </w:rPr>
        <w:t>該局另就其他不可歸責</w:t>
      </w:r>
      <w:proofErr w:type="gramStart"/>
      <w:r w:rsidRPr="00C65F6E">
        <w:rPr>
          <w:rFonts w:hint="eastAsia"/>
        </w:rPr>
        <w:t>於伸</w:t>
      </w:r>
      <w:r w:rsidR="00EC32D2" w:rsidRPr="00C65F6E">
        <w:rPr>
          <w:rFonts w:hint="eastAsia"/>
        </w:rPr>
        <w:t>都</w:t>
      </w:r>
      <w:r w:rsidRPr="00C65F6E">
        <w:rPr>
          <w:rFonts w:hint="eastAsia"/>
        </w:rPr>
        <w:t>營造</w:t>
      </w:r>
      <w:proofErr w:type="gramEnd"/>
      <w:r w:rsidRPr="00C65F6E">
        <w:rPr>
          <w:rFonts w:hint="eastAsia"/>
        </w:rPr>
        <w:t>之因素辦理展延工期36天，合計展延79.5天，並於100年11月11日重新計算工期後，認定進度落後幅度為16％，未達政府採購法施行細則第111條第1項規定「延誤履約期限情節重大」之標準，遂於100年11月14日復工</w:t>
      </w:r>
      <w:r w:rsidR="008B38EB">
        <w:rPr>
          <w:rFonts w:hint="eastAsia"/>
        </w:rPr>
        <w:t>，後於101年7月13日竣工</w:t>
      </w:r>
      <w:r w:rsidRPr="00C65F6E">
        <w:rPr>
          <w:rFonts w:hint="eastAsia"/>
        </w:rPr>
        <w:t>。</w:t>
      </w:r>
    </w:p>
    <w:p w:rsidR="008B38EB" w:rsidRDefault="008B38EB" w:rsidP="00C923C4">
      <w:pPr>
        <w:pStyle w:val="4"/>
      </w:pPr>
      <w:r>
        <w:rPr>
          <w:rFonts w:hint="eastAsia"/>
        </w:rPr>
        <w:t>綜上，</w:t>
      </w:r>
      <w:r w:rsidRPr="008B38EB">
        <w:rPr>
          <w:rFonts w:hint="eastAsia"/>
        </w:rPr>
        <w:t>臺鐵局對於建築工程進度落後，未先釐清可歸責及不可歸責於施工廠商之因素，逕予終止契約，嗣經調解成立，重新核算工期後，認定落後幅度未達終止契約標準而辦理復工，肇致停工期間長達近8</w:t>
      </w:r>
      <w:r w:rsidR="005A02E1">
        <w:rPr>
          <w:rFonts w:hint="eastAsia"/>
        </w:rPr>
        <w:t>個月，影響工程執行進度，核</w:t>
      </w:r>
      <w:r w:rsidRPr="008B38EB">
        <w:rPr>
          <w:rFonts w:hint="eastAsia"/>
        </w:rPr>
        <w:t>有疏失</w:t>
      </w:r>
      <w:r>
        <w:rPr>
          <w:rFonts w:hint="eastAsia"/>
        </w:rPr>
        <w:t>。</w:t>
      </w:r>
    </w:p>
    <w:p w:rsidR="00C65F6E" w:rsidRPr="00C923C4" w:rsidRDefault="006A603A" w:rsidP="00C923C4">
      <w:pPr>
        <w:pStyle w:val="3"/>
        <w:rPr>
          <w:b/>
        </w:rPr>
      </w:pPr>
      <w:r w:rsidRPr="00C923C4">
        <w:rPr>
          <w:rFonts w:hint="eastAsia"/>
          <w:b/>
        </w:rPr>
        <w:t>臺鐵局</w:t>
      </w:r>
      <w:r w:rsidR="00C923C4">
        <w:rPr>
          <w:rFonts w:hint="eastAsia"/>
          <w:b/>
        </w:rPr>
        <w:t>於本工程施工階段，</w:t>
      </w:r>
      <w:r w:rsidR="00C65F6E" w:rsidRPr="00C923C4">
        <w:rPr>
          <w:rFonts w:hint="eastAsia"/>
          <w:b/>
        </w:rPr>
        <w:t>對</w:t>
      </w:r>
      <w:r w:rsidR="005E1095" w:rsidRPr="00C923C4">
        <w:rPr>
          <w:rFonts w:hint="eastAsia"/>
          <w:b/>
        </w:rPr>
        <w:t>於</w:t>
      </w:r>
      <w:r w:rsidR="00C65F6E" w:rsidRPr="00C923C4">
        <w:rPr>
          <w:rFonts w:hint="eastAsia"/>
          <w:b/>
        </w:rPr>
        <w:t>監造</w:t>
      </w:r>
      <w:r w:rsidR="005E1095" w:rsidRPr="00C923C4">
        <w:rPr>
          <w:rFonts w:hint="eastAsia"/>
          <w:b/>
        </w:rPr>
        <w:t>建築師</w:t>
      </w:r>
      <w:r w:rsidR="00C65F6E" w:rsidRPr="00C923C4">
        <w:rPr>
          <w:rFonts w:hint="eastAsia"/>
          <w:b/>
        </w:rPr>
        <w:t>未依契</w:t>
      </w:r>
      <w:r w:rsidR="00C65F6E" w:rsidRPr="00C923C4">
        <w:rPr>
          <w:rFonts w:hint="eastAsia"/>
          <w:b/>
        </w:rPr>
        <w:lastRenderedPageBreak/>
        <w:t>約規定派員監造，未採取積極有效之作為，遲至8個月後始予終止契約，嚴重影響機電工程執行進度</w:t>
      </w:r>
      <w:r w:rsidR="005E1095" w:rsidRPr="00C923C4">
        <w:rPr>
          <w:rFonts w:hint="eastAsia"/>
          <w:b/>
        </w:rPr>
        <w:t>逾87％</w:t>
      </w:r>
      <w:r w:rsidR="00C65F6E" w:rsidRPr="00C923C4">
        <w:rPr>
          <w:rFonts w:hint="eastAsia"/>
          <w:b/>
        </w:rPr>
        <w:t>，</w:t>
      </w:r>
      <w:r w:rsidR="005E1095" w:rsidRPr="00C923C4">
        <w:rPr>
          <w:rFonts w:hint="eastAsia"/>
          <w:b/>
        </w:rPr>
        <w:t>亦有怠失</w:t>
      </w:r>
    </w:p>
    <w:p w:rsidR="00C65F6E" w:rsidRPr="00C65F6E" w:rsidRDefault="00C65F6E" w:rsidP="00C923C4">
      <w:pPr>
        <w:pStyle w:val="4"/>
      </w:pPr>
      <w:r w:rsidRPr="00C65F6E">
        <w:rPr>
          <w:rFonts w:hint="eastAsia"/>
        </w:rPr>
        <w:t>依臺鐵捷運化計畫（沙鹿站跨站式站房新建工程委託監造部分）勞務採購契約補充契約條款（下稱監造契約）第二條規定：「甲方委任乙方服務範圍…1.乙方需派遣專任人員全程留駐工地，督導各工程承包商按照詳細設計圖說施工履約。…3.查核承包商所提供之樣品、型錄、說明書、材料規範及施工圖說等及工程界面協調會整合及工程變更之處理。…7.承商所提供之材料及設備會同檢驗與測試及系統整合測試。…18.乙方應負責現場監造，…」第七、（一）條規定：「甲方完全授權乙方代表甲方執行公務，…，並應負監造之責任。」第九、（一）條規定：「乙方有下列情形之一者，甲方得以書面解除本契約並依本契約結算服務酬金：1.未依本補充契約條款第二條及第五條之規定執行服務業務時，經甲方發函催告一個月後，乙方仍無法完成者。…」</w:t>
      </w:r>
    </w:p>
    <w:p w:rsidR="00C65F6E" w:rsidRPr="00C65F6E" w:rsidRDefault="00C65F6E" w:rsidP="00C923C4">
      <w:pPr>
        <w:pStyle w:val="4"/>
      </w:pPr>
      <w:r w:rsidRPr="00C65F6E">
        <w:rPr>
          <w:rFonts w:hint="eastAsia"/>
        </w:rPr>
        <w:t>查機電工程於98年9月28日開工，預定完工日期為100年3月24日（建築工程竣工後1個月），監造建築師依契約第二、18條規定派機電工程人員進場監造，惟該監造人員於99年6月30日離職後，</w:t>
      </w:r>
      <w:r w:rsidR="00484F61">
        <w:rPr>
          <w:rFonts w:hint="eastAsia"/>
        </w:rPr>
        <w:t>監造</w:t>
      </w:r>
      <w:r w:rsidRPr="00C65F6E">
        <w:rPr>
          <w:rFonts w:hint="eastAsia"/>
        </w:rPr>
        <w:t>建築師未再派任其他合格之監造人員進場監造，</w:t>
      </w:r>
      <w:r w:rsidR="00484F61">
        <w:rPr>
          <w:rFonts w:hint="eastAsia"/>
        </w:rPr>
        <w:t>臺鐵</w:t>
      </w:r>
      <w:r w:rsidRPr="00C65F6E">
        <w:rPr>
          <w:rFonts w:hint="eastAsia"/>
        </w:rPr>
        <w:t>局僅於99年7月至100年2月發文6次請</w:t>
      </w:r>
      <w:r w:rsidR="00484F61">
        <w:rPr>
          <w:rFonts w:hint="eastAsia"/>
        </w:rPr>
        <w:t>監造</w:t>
      </w:r>
      <w:r w:rsidRPr="00C65F6E">
        <w:rPr>
          <w:rFonts w:hint="eastAsia"/>
        </w:rPr>
        <w:t>建築師派員監造，未採取積極有效之作為或及時依約妥處，至100年3月24日始依契約第九、（一）條規定與</w:t>
      </w:r>
      <w:r w:rsidR="00484F61">
        <w:rPr>
          <w:rFonts w:hint="eastAsia"/>
        </w:rPr>
        <w:t>監造</w:t>
      </w:r>
      <w:r w:rsidRPr="00C65F6E">
        <w:rPr>
          <w:rFonts w:hint="eastAsia"/>
        </w:rPr>
        <w:t>建築師終止契約。其間</w:t>
      </w:r>
      <w:r w:rsidR="00484F61">
        <w:rPr>
          <w:rFonts w:hint="eastAsia"/>
        </w:rPr>
        <w:t>臺鐵</w:t>
      </w:r>
      <w:r w:rsidRPr="00C65F6E">
        <w:rPr>
          <w:rFonts w:hint="eastAsia"/>
        </w:rPr>
        <w:t>局以該工程未有合格之機電工程監造人員為由，僅同意配合建築工程施作機電管路，</w:t>
      </w:r>
      <w:r w:rsidR="00484F61">
        <w:rPr>
          <w:rFonts w:hint="eastAsia"/>
        </w:rPr>
        <w:lastRenderedPageBreak/>
        <w:t>嗣</w:t>
      </w:r>
      <w:r w:rsidRPr="00C65F6E">
        <w:rPr>
          <w:rFonts w:hint="eastAsia"/>
        </w:rPr>
        <w:t>於100年2月25日以建築工程即將終止契約為由，將機電工程停工，肇致機電工程自99年6月30日（機電監造人員離職）至100年2月25日（機電工程停工）長達7個月餘（占契約工期640天之36.56％），僅施作0.23％（由3.80％至4.03％），其實際進度4.03％，較預定進度91.15％，落後幅度高達87.12％，機電工程幾近停擺，兼以受到建築工程於100年3月18日終止契約影響，機電工程亦持續停工至100年11月14日始辦理復工</w:t>
      </w:r>
      <w:r w:rsidR="005E1095">
        <w:rPr>
          <w:rFonts w:hint="eastAsia"/>
        </w:rPr>
        <w:t>持續施作</w:t>
      </w:r>
      <w:r w:rsidRPr="00C65F6E">
        <w:rPr>
          <w:rFonts w:hint="eastAsia"/>
        </w:rPr>
        <w:t>，</w:t>
      </w:r>
      <w:r w:rsidR="005E1095">
        <w:rPr>
          <w:rFonts w:hint="eastAsia"/>
        </w:rPr>
        <w:t>後於102年11月13日取得使用執照，預定103年1月12日竣工</w:t>
      </w:r>
      <w:r w:rsidRPr="00C65F6E">
        <w:rPr>
          <w:rFonts w:hint="eastAsia"/>
        </w:rPr>
        <w:t>。</w:t>
      </w:r>
    </w:p>
    <w:p w:rsidR="00FB1D7B" w:rsidRDefault="00C65F6E" w:rsidP="00C923C4">
      <w:pPr>
        <w:pStyle w:val="4"/>
      </w:pPr>
      <w:r w:rsidRPr="00C65F6E">
        <w:rPr>
          <w:rFonts w:hint="eastAsia"/>
        </w:rPr>
        <w:t>綜上，</w:t>
      </w:r>
      <w:r w:rsidR="005E1095" w:rsidRPr="005E1095">
        <w:rPr>
          <w:rFonts w:hint="eastAsia"/>
        </w:rPr>
        <w:t>臺</w:t>
      </w:r>
      <w:r w:rsidR="0053171A">
        <w:rPr>
          <w:rFonts w:hint="eastAsia"/>
        </w:rPr>
        <w:t>鐵</w:t>
      </w:r>
      <w:r w:rsidR="005E1095" w:rsidRPr="005E1095">
        <w:rPr>
          <w:rFonts w:hint="eastAsia"/>
        </w:rPr>
        <w:t>局對於監造建築師未依契約規定派員監造，未採取積極有效之作為，遲至8個月後始予終止契約，嚴重影響機電工程執行進度逾87％，亦有怠失</w:t>
      </w:r>
      <w:r w:rsidRPr="00C65F6E">
        <w:rPr>
          <w:rFonts w:hint="eastAsia"/>
        </w:rPr>
        <w:t>。</w:t>
      </w:r>
    </w:p>
    <w:p w:rsidR="0053171A" w:rsidRPr="0053171A" w:rsidRDefault="0053171A" w:rsidP="0053171A">
      <w:pPr>
        <w:pStyle w:val="2"/>
        <w:rPr>
          <w:b/>
        </w:rPr>
      </w:pPr>
      <w:r w:rsidRPr="0053171A">
        <w:rPr>
          <w:rFonts w:hint="eastAsia"/>
          <w:b/>
        </w:rPr>
        <w:t>臺中市政府</w:t>
      </w:r>
      <w:r w:rsidR="0066012D">
        <w:rPr>
          <w:rFonts w:hint="eastAsia"/>
          <w:b/>
        </w:rPr>
        <w:t>允宜協調自辦重劃會配合臺鐵局辦理沙鹿站西側廣場工程，盡速完成重劃區內道路設施，</w:t>
      </w:r>
      <w:r w:rsidRPr="0053171A">
        <w:rPr>
          <w:rFonts w:hint="eastAsia"/>
          <w:b/>
        </w:rPr>
        <w:t>使</w:t>
      </w:r>
      <w:r>
        <w:rPr>
          <w:rFonts w:hint="eastAsia"/>
          <w:b/>
        </w:rPr>
        <w:t>沙鹿區民</w:t>
      </w:r>
      <w:r w:rsidR="006F2559">
        <w:rPr>
          <w:rFonts w:hint="eastAsia"/>
          <w:b/>
        </w:rPr>
        <w:t>早日獲得</w:t>
      </w:r>
      <w:r>
        <w:rPr>
          <w:rFonts w:hint="eastAsia"/>
          <w:b/>
        </w:rPr>
        <w:t>臺鐵局完成「跨站式站房新建工程」帶來之便利</w:t>
      </w:r>
      <w:r w:rsidR="00C51ECB">
        <w:rPr>
          <w:rFonts w:hint="eastAsia"/>
          <w:b/>
        </w:rPr>
        <w:t>；</w:t>
      </w:r>
      <w:r w:rsidR="0066012D">
        <w:rPr>
          <w:rFonts w:hint="eastAsia"/>
          <w:b/>
        </w:rPr>
        <w:t>另</w:t>
      </w:r>
      <w:r w:rsidR="00C51ECB">
        <w:rPr>
          <w:rFonts w:hint="eastAsia"/>
          <w:b/>
        </w:rPr>
        <w:t>該府亦應</w:t>
      </w:r>
      <w:r w:rsidR="002E24FF">
        <w:rPr>
          <w:rFonts w:hint="eastAsia"/>
          <w:b/>
        </w:rPr>
        <w:t>即</w:t>
      </w:r>
      <w:r w:rsidR="00C51ECB">
        <w:rPr>
          <w:rFonts w:hint="eastAsia"/>
          <w:b/>
        </w:rPr>
        <w:t>早預籌經費，俟重劃會開發完成後接續辦理該地區聯外道路，以利地區之繁榮</w:t>
      </w:r>
    </w:p>
    <w:p w:rsidR="0053171A" w:rsidRDefault="00DB3364" w:rsidP="0053171A">
      <w:pPr>
        <w:pStyle w:val="3"/>
      </w:pPr>
      <w:r>
        <w:rPr>
          <w:rFonts w:hint="eastAsia"/>
        </w:rPr>
        <w:t>查臺鐵局辦理「沙鹿站跨站式站房新建工程」，目的為消除沙鹿車站前、後站區分，構建無障礙環境，改善站區轉乘交通動線，增進旅客通行便利，並繁榮後站（西側）地區。惟沙鹿後站土地多為私有，且土地使用分區原皆為鐵路用地，未變更前無法開發，</w:t>
      </w:r>
      <w:r w:rsidRPr="00DB3364">
        <w:rPr>
          <w:rFonts w:hint="eastAsia"/>
        </w:rPr>
        <w:t>故地主等人於98年8月1日內政部都市計畫委員會審議通過後，於100年1月24日發起自辦市地重劃，臺中市政府地政局於100年3月10日核准；經過必要程序後，內政部於100年11月8</w:t>
      </w:r>
      <w:r w:rsidRPr="00DB3364">
        <w:rPr>
          <w:rFonts w:hint="eastAsia"/>
        </w:rPr>
        <w:lastRenderedPageBreak/>
        <w:t>日核准該重劃區都市計畫細部計畫，臺中市政府後於100年12月28日核定該重劃區重劃計畫書。臺中市政府水利局於102年11月13日同意該重劃區排水計畫書，規劃10</w:t>
      </w:r>
      <w:r>
        <w:rPr>
          <w:rFonts w:hint="eastAsia"/>
        </w:rPr>
        <w:t>3</w:t>
      </w:r>
      <w:r w:rsidRPr="00DB3364">
        <w:rPr>
          <w:rFonts w:hint="eastAsia"/>
        </w:rPr>
        <w:t>年1月開工、預計103年12月底完成重劃工程，公共設施經市府各單位接管後即可開放民眾使用，全部重劃作業預定於104年3月底完成。</w:t>
      </w:r>
    </w:p>
    <w:p w:rsidR="00DB3364" w:rsidRDefault="00FB3E46" w:rsidP="0053171A">
      <w:pPr>
        <w:pStyle w:val="3"/>
      </w:pPr>
      <w:r>
        <w:rPr>
          <w:rFonts w:hint="eastAsia"/>
        </w:rPr>
        <w:t>復</w:t>
      </w:r>
      <w:r w:rsidR="00DB3364">
        <w:rPr>
          <w:rFonts w:hint="eastAsia"/>
        </w:rPr>
        <w:t>查臺鐵局辦理之沙鹿站跨站式站房新建工程，已於102年11月13日取得使用執照，預定於103年1月12日機電工程竣工，再經必要之驗收程序，將於不久之未來即將啟用，且本院於102年12月27日赴沙鹿車站現場履勘，該局表示沙鹿車站西側廣場工程將於103年7月完工，屆時車站西側相關設施將全部完成。惟西側廣場聯外20公尺及15公尺寬</w:t>
      </w:r>
      <w:r>
        <w:rPr>
          <w:rFonts w:hint="eastAsia"/>
        </w:rPr>
        <w:t>之道路，係自辦重劃會欲開發之公共設施，臺中市政府允宜協調重劃會配合臺鐵局辦理沙鹿車站西側廣場完工時程，同步完成聯外道路，提早嘉惠沙鹿區民。另臺中市政府於現勘時簡報，重劃區除現有青年路可聯外，尚規劃「沙鹿區20-57-4道路開闢工程」（長度315公尺、寬度20公尺）及「沙鹿區30-57-1號（永寧路）道路延伸開闢工程」（長度70公尺、寬度30公尺）</w:t>
      </w:r>
      <w:r w:rsidR="006B3DC2">
        <w:rPr>
          <w:rFonts w:hint="eastAsia"/>
        </w:rPr>
        <w:t>，2工程總經費約為7,450萬元，為配合臺鐵局完成跨站式站房新建工程之目的，及自辦重劃會開發車站西側地區，此聯外道路之開發尚屬必要，臺中市政府應提早規劃，並預籌興建經費，俟重劃會開發完成後接續辦理。</w:t>
      </w:r>
    </w:p>
    <w:p w:rsidR="006B3DC2" w:rsidRDefault="006B3DC2" w:rsidP="0053171A">
      <w:pPr>
        <w:pStyle w:val="3"/>
      </w:pPr>
      <w:r>
        <w:rPr>
          <w:rFonts w:hint="eastAsia"/>
        </w:rPr>
        <w:t>綜上，</w:t>
      </w:r>
      <w:r w:rsidR="002E24FF" w:rsidRPr="002E24FF">
        <w:rPr>
          <w:rFonts w:hint="eastAsia"/>
        </w:rPr>
        <w:t>臺中市政府允宜協調自辦重劃會配合臺鐵局辦理沙鹿站西側廣場工程，盡速完成重劃區內道路設施，使沙鹿區民早日獲得臺鐵局完成「跨站式站房新建工程」帶來之便利；另該府亦應即早預籌經</w:t>
      </w:r>
      <w:r w:rsidR="002E24FF" w:rsidRPr="002E24FF">
        <w:rPr>
          <w:rFonts w:hint="eastAsia"/>
        </w:rPr>
        <w:lastRenderedPageBreak/>
        <w:t>費，俟重劃會開發完成後接續辦理該地區聯外道路，以利地區之繁榮</w:t>
      </w:r>
      <w:r w:rsidR="00C51ECB">
        <w:rPr>
          <w:rFonts w:hint="eastAsia"/>
        </w:rPr>
        <w:t>。</w:t>
      </w:r>
    </w:p>
    <w:p w:rsidR="00C273CA" w:rsidRDefault="00C273CA">
      <w:pPr>
        <w:pStyle w:val="1"/>
        <w:ind w:left="2380" w:hanging="2380"/>
      </w:pPr>
      <w:r>
        <w:br w:type="page"/>
      </w:r>
      <w:r>
        <w:rPr>
          <w:rFonts w:hint="eastAsia"/>
        </w:rPr>
        <w:lastRenderedPageBreak/>
        <w:t>處理辦法：</w:t>
      </w:r>
    </w:p>
    <w:p w:rsidR="00C273CA" w:rsidRPr="0053171A" w:rsidRDefault="00C923C4">
      <w:pPr>
        <w:pStyle w:val="2"/>
        <w:ind w:left="1020" w:hanging="680"/>
      </w:pPr>
      <w:r>
        <w:rPr>
          <w:rFonts w:hint="eastAsia"/>
        </w:rPr>
        <w:t>調查意見一</w:t>
      </w:r>
      <w:r w:rsidR="0053171A">
        <w:rPr>
          <w:rFonts w:hint="eastAsia"/>
        </w:rPr>
        <w:t>，</w:t>
      </w:r>
      <w:r w:rsidR="00C273CA">
        <w:rPr>
          <w:rFonts w:hint="eastAsia"/>
        </w:rPr>
        <w:t>提案糾正</w:t>
      </w:r>
      <w:r w:rsidR="009932DA">
        <w:rPr>
          <w:rFonts w:hint="eastAsia"/>
        </w:rPr>
        <w:t>交通部臺灣鐵路管理局</w:t>
      </w:r>
      <w:r w:rsidR="00C273CA">
        <w:rPr>
          <w:rFonts w:hAnsi="標楷體" w:hint="eastAsia"/>
        </w:rPr>
        <w:t>。</w:t>
      </w:r>
    </w:p>
    <w:p w:rsidR="0053171A" w:rsidRPr="009B5E7C" w:rsidRDefault="0053171A">
      <w:pPr>
        <w:pStyle w:val="2"/>
        <w:ind w:left="1020" w:hanging="680"/>
      </w:pPr>
      <w:r>
        <w:rPr>
          <w:rFonts w:hAnsi="標楷體" w:hint="eastAsia"/>
        </w:rPr>
        <w:t>調查意見</w:t>
      </w:r>
      <w:r w:rsidR="00C923C4">
        <w:rPr>
          <w:rFonts w:hAnsi="標楷體" w:hint="eastAsia"/>
        </w:rPr>
        <w:t>二</w:t>
      </w:r>
      <w:r>
        <w:rPr>
          <w:rFonts w:hAnsi="標楷體" w:hint="eastAsia"/>
        </w:rPr>
        <w:t>，函臺中市政府檢討改進見復。</w:t>
      </w:r>
    </w:p>
    <w:p w:rsidR="00C273CA" w:rsidRDefault="00B905FD">
      <w:pPr>
        <w:pStyle w:val="2"/>
        <w:ind w:left="1020" w:hanging="680"/>
      </w:pPr>
      <w:r>
        <w:rPr>
          <w:rFonts w:hint="eastAsia"/>
        </w:rPr>
        <w:t>影附調查意見函復</w:t>
      </w:r>
      <w:r w:rsidR="00C273CA">
        <w:rPr>
          <w:rFonts w:hint="eastAsia"/>
        </w:rPr>
        <w:t>審計部。</w:t>
      </w:r>
    </w:p>
    <w:p w:rsidR="00C273CA" w:rsidRDefault="00C273CA">
      <w:pPr>
        <w:pStyle w:val="2"/>
        <w:ind w:left="1020" w:hanging="680"/>
      </w:pPr>
      <w:r>
        <w:rPr>
          <w:rFonts w:hint="eastAsia"/>
          <w:color w:val="000000"/>
        </w:rPr>
        <w:t>檢附派查函及相關附件，送請</w:t>
      </w:r>
      <w:r w:rsidR="007C042F">
        <w:rPr>
          <w:rFonts w:hint="eastAsia"/>
          <w:color w:val="000000"/>
        </w:rPr>
        <w:t>交通及採購</w:t>
      </w:r>
      <w:r>
        <w:rPr>
          <w:rFonts w:hint="eastAsia"/>
          <w:color w:val="000000"/>
        </w:rPr>
        <w:t>委員會處理。</w:t>
      </w:r>
    </w:p>
    <w:p w:rsidR="00C273CA" w:rsidRDefault="00C273CA">
      <w:pPr>
        <w:pStyle w:val="a5"/>
        <w:kinsoku w:val="0"/>
        <w:spacing w:before="0" w:after="0"/>
        <w:ind w:leftChars="1100" w:left="3742"/>
        <w:jc w:val="both"/>
        <w:rPr>
          <w:rFonts w:ascii="Times New Roman"/>
          <w:b w:val="0"/>
          <w:bCs/>
          <w:snapToGrid/>
          <w:spacing w:val="0"/>
          <w:kern w:val="0"/>
          <w:sz w:val="40"/>
        </w:rPr>
      </w:pPr>
      <w:r>
        <w:rPr>
          <w:rFonts w:hint="eastAsia"/>
          <w:b w:val="0"/>
          <w:bCs/>
          <w:snapToGrid/>
          <w:spacing w:val="12"/>
          <w:kern w:val="0"/>
          <w:sz w:val="40"/>
        </w:rPr>
        <w:t>調查委員：</w:t>
      </w:r>
      <w:r w:rsidR="00112EE2">
        <w:rPr>
          <w:rFonts w:hint="eastAsia"/>
          <w:b w:val="0"/>
          <w:bCs/>
          <w:snapToGrid/>
          <w:spacing w:val="12"/>
          <w:kern w:val="0"/>
          <w:sz w:val="40"/>
        </w:rPr>
        <w:t>楊美鈴</w:t>
      </w:r>
    </w:p>
    <w:p w:rsidR="00C273CA" w:rsidRDefault="00112EE2" w:rsidP="00112EE2">
      <w:pPr>
        <w:pStyle w:val="a5"/>
        <w:kinsoku w:val="0"/>
        <w:spacing w:before="0" w:after="0"/>
        <w:ind w:leftChars="1100" w:left="3742" w:firstLineChars="500" w:firstLine="2221"/>
        <w:jc w:val="both"/>
        <w:rPr>
          <w:b w:val="0"/>
          <w:bCs/>
          <w:snapToGrid/>
          <w:spacing w:val="12"/>
          <w:kern w:val="0"/>
          <w:sz w:val="40"/>
          <w:szCs w:val="40"/>
        </w:rPr>
      </w:pPr>
      <w:r w:rsidRPr="00112EE2">
        <w:rPr>
          <w:rFonts w:hint="eastAsia"/>
          <w:b w:val="0"/>
          <w:bCs/>
          <w:snapToGrid/>
          <w:spacing w:val="12"/>
          <w:kern w:val="0"/>
          <w:sz w:val="40"/>
          <w:szCs w:val="40"/>
        </w:rPr>
        <w:t>洪昭男</w:t>
      </w:r>
    </w:p>
    <w:p w:rsidR="00C273CA" w:rsidRDefault="00112EE2" w:rsidP="00112EE2">
      <w:pPr>
        <w:pStyle w:val="a5"/>
        <w:kinsoku w:val="0"/>
        <w:spacing w:before="0" w:after="0"/>
        <w:ind w:leftChars="1100" w:left="3742" w:firstLineChars="500" w:firstLine="2221"/>
        <w:jc w:val="both"/>
        <w:rPr>
          <w:b w:val="0"/>
          <w:bCs/>
          <w:snapToGrid/>
          <w:spacing w:val="12"/>
          <w:kern w:val="0"/>
        </w:rPr>
      </w:pPr>
      <w:r>
        <w:rPr>
          <w:rFonts w:hint="eastAsia"/>
          <w:b w:val="0"/>
          <w:bCs/>
          <w:snapToGrid/>
          <w:spacing w:val="12"/>
          <w:kern w:val="0"/>
          <w:sz w:val="40"/>
          <w:szCs w:val="40"/>
        </w:rPr>
        <w:t>程仁宏</w:t>
      </w:r>
    </w:p>
    <w:sectPr w:rsidR="00C273CA" w:rsidSect="00B905FD">
      <w:footerReference w:type="default" r:id="rId7"/>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424" w:rsidRDefault="00BF0424">
      <w:r>
        <w:separator/>
      </w:r>
    </w:p>
  </w:endnote>
  <w:endnote w:type="continuationSeparator" w:id="0">
    <w:p w:rsidR="00BF0424" w:rsidRDefault="00BF0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中黑體">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12D" w:rsidRPr="00363621" w:rsidRDefault="004F0BAA" w:rsidP="00363621">
    <w:pPr>
      <w:pStyle w:val="ae"/>
      <w:framePr w:wrap="around" w:vAnchor="text" w:hAnchor="page" w:x="5941" w:y="2"/>
      <w:rPr>
        <w:rStyle w:val="a7"/>
        <w:rFonts w:ascii="Times New Roman"/>
        <w:b/>
        <w:sz w:val="24"/>
      </w:rPr>
    </w:pPr>
    <w:r w:rsidRPr="00363621">
      <w:rPr>
        <w:rStyle w:val="a7"/>
        <w:rFonts w:ascii="Times New Roman"/>
        <w:b/>
        <w:sz w:val="24"/>
      </w:rPr>
      <w:fldChar w:fldCharType="begin"/>
    </w:r>
    <w:r w:rsidR="0066012D" w:rsidRPr="00363621">
      <w:rPr>
        <w:rStyle w:val="a7"/>
        <w:rFonts w:ascii="Times New Roman"/>
        <w:b/>
        <w:sz w:val="24"/>
      </w:rPr>
      <w:instrText xml:space="preserve">PAGE  </w:instrText>
    </w:r>
    <w:r w:rsidRPr="00363621">
      <w:rPr>
        <w:rStyle w:val="a7"/>
        <w:rFonts w:ascii="Times New Roman"/>
        <w:b/>
        <w:sz w:val="24"/>
      </w:rPr>
      <w:fldChar w:fldCharType="separate"/>
    </w:r>
    <w:r w:rsidR="00EC32D2">
      <w:rPr>
        <w:rStyle w:val="a7"/>
        <w:rFonts w:ascii="Times New Roman"/>
        <w:b/>
        <w:noProof/>
        <w:sz w:val="24"/>
      </w:rPr>
      <w:t>12</w:t>
    </w:r>
    <w:r w:rsidRPr="00363621">
      <w:rPr>
        <w:rStyle w:val="a7"/>
        <w:rFonts w:ascii="Times New Roman"/>
        <w:b/>
        <w:sz w:val="24"/>
      </w:rPr>
      <w:fldChar w:fldCharType="end"/>
    </w:r>
  </w:p>
  <w:p w:rsidR="0066012D" w:rsidRDefault="0066012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424" w:rsidRDefault="00BF0424">
      <w:r>
        <w:separator/>
      </w:r>
    </w:p>
  </w:footnote>
  <w:footnote w:type="continuationSeparator" w:id="0">
    <w:p w:rsidR="00BF0424" w:rsidRDefault="00BF04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75A03EAE"/>
    <w:multiLevelType w:val="singleLevel"/>
    <w:tmpl w:val="A1A85B78"/>
    <w:lvl w:ilvl="0">
      <w:numFmt w:val="bullet"/>
      <w:lvlText w:val="※"/>
      <w:lvlJc w:val="left"/>
      <w:pPr>
        <w:tabs>
          <w:tab w:val="num" w:pos="360"/>
        </w:tabs>
        <w:ind w:left="360" w:hanging="360"/>
      </w:pPr>
      <w:rPr>
        <w:rFonts w:ascii="華康中黑體" w:hAnsi="華康中黑體" w:hint="eastAsia"/>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3CA"/>
    <w:rsid w:val="00044902"/>
    <w:rsid w:val="00084790"/>
    <w:rsid w:val="0008511E"/>
    <w:rsid w:val="000E591A"/>
    <w:rsid w:val="00110A63"/>
    <w:rsid w:val="00112695"/>
    <w:rsid w:val="00112EE2"/>
    <w:rsid w:val="00162B2F"/>
    <w:rsid w:val="00170C81"/>
    <w:rsid w:val="00186898"/>
    <w:rsid w:val="001873FB"/>
    <w:rsid w:val="00187CA7"/>
    <w:rsid w:val="00195AA8"/>
    <w:rsid w:val="00195AB5"/>
    <w:rsid w:val="001B230C"/>
    <w:rsid w:val="001C61DA"/>
    <w:rsid w:val="001D53C1"/>
    <w:rsid w:val="001E06C0"/>
    <w:rsid w:val="00203095"/>
    <w:rsid w:val="00214B6F"/>
    <w:rsid w:val="00235D30"/>
    <w:rsid w:val="00237981"/>
    <w:rsid w:val="0024152C"/>
    <w:rsid w:val="00265671"/>
    <w:rsid w:val="00281908"/>
    <w:rsid w:val="002863B3"/>
    <w:rsid w:val="00286641"/>
    <w:rsid w:val="0029520F"/>
    <w:rsid w:val="002C604F"/>
    <w:rsid w:val="002D064D"/>
    <w:rsid w:val="002E24FF"/>
    <w:rsid w:val="002F7792"/>
    <w:rsid w:val="002F7E47"/>
    <w:rsid w:val="00323D35"/>
    <w:rsid w:val="003306EF"/>
    <w:rsid w:val="00331C4A"/>
    <w:rsid w:val="00363621"/>
    <w:rsid w:val="00373F84"/>
    <w:rsid w:val="00384B39"/>
    <w:rsid w:val="0039285A"/>
    <w:rsid w:val="003F3DA7"/>
    <w:rsid w:val="004211E3"/>
    <w:rsid w:val="0043082B"/>
    <w:rsid w:val="004631CC"/>
    <w:rsid w:val="0046343C"/>
    <w:rsid w:val="00484F61"/>
    <w:rsid w:val="00497D8F"/>
    <w:rsid w:val="004F0BAA"/>
    <w:rsid w:val="004F2FEA"/>
    <w:rsid w:val="00502C74"/>
    <w:rsid w:val="005070E7"/>
    <w:rsid w:val="0053171A"/>
    <w:rsid w:val="00543AEE"/>
    <w:rsid w:val="005545BD"/>
    <w:rsid w:val="005545CD"/>
    <w:rsid w:val="00582A37"/>
    <w:rsid w:val="005A02E1"/>
    <w:rsid w:val="005A2F16"/>
    <w:rsid w:val="005B560A"/>
    <w:rsid w:val="005D0136"/>
    <w:rsid w:val="005E1095"/>
    <w:rsid w:val="00601EFE"/>
    <w:rsid w:val="00607CFD"/>
    <w:rsid w:val="00611AE0"/>
    <w:rsid w:val="00620D79"/>
    <w:rsid w:val="00642910"/>
    <w:rsid w:val="0066012D"/>
    <w:rsid w:val="00672C01"/>
    <w:rsid w:val="006A603A"/>
    <w:rsid w:val="006B029C"/>
    <w:rsid w:val="006B3DC2"/>
    <w:rsid w:val="006B5732"/>
    <w:rsid w:val="006C4DC7"/>
    <w:rsid w:val="006D690E"/>
    <w:rsid w:val="006F04C9"/>
    <w:rsid w:val="006F2559"/>
    <w:rsid w:val="006F570F"/>
    <w:rsid w:val="00700F86"/>
    <w:rsid w:val="00701346"/>
    <w:rsid w:val="007217DD"/>
    <w:rsid w:val="00724C6B"/>
    <w:rsid w:val="00744FCF"/>
    <w:rsid w:val="00750502"/>
    <w:rsid w:val="00786E92"/>
    <w:rsid w:val="00797721"/>
    <w:rsid w:val="007C042F"/>
    <w:rsid w:val="007C2B40"/>
    <w:rsid w:val="007E533B"/>
    <w:rsid w:val="007F75C9"/>
    <w:rsid w:val="00825624"/>
    <w:rsid w:val="008259DA"/>
    <w:rsid w:val="00846534"/>
    <w:rsid w:val="008552A5"/>
    <w:rsid w:val="00862B0D"/>
    <w:rsid w:val="0087603C"/>
    <w:rsid w:val="00876BBC"/>
    <w:rsid w:val="008A46D8"/>
    <w:rsid w:val="008B38EB"/>
    <w:rsid w:val="008C29FF"/>
    <w:rsid w:val="008E4FE7"/>
    <w:rsid w:val="008F169A"/>
    <w:rsid w:val="008F1AA9"/>
    <w:rsid w:val="00905DEA"/>
    <w:rsid w:val="00906794"/>
    <w:rsid w:val="00913BF7"/>
    <w:rsid w:val="0091718E"/>
    <w:rsid w:val="00965F68"/>
    <w:rsid w:val="009811D6"/>
    <w:rsid w:val="009932DA"/>
    <w:rsid w:val="009B5E7C"/>
    <w:rsid w:val="009F361B"/>
    <w:rsid w:val="00A10AE5"/>
    <w:rsid w:val="00A11B45"/>
    <w:rsid w:val="00A35BBF"/>
    <w:rsid w:val="00A44696"/>
    <w:rsid w:val="00A53A12"/>
    <w:rsid w:val="00A55D78"/>
    <w:rsid w:val="00A63963"/>
    <w:rsid w:val="00A7276F"/>
    <w:rsid w:val="00AD4495"/>
    <w:rsid w:val="00AD59C5"/>
    <w:rsid w:val="00B13DBD"/>
    <w:rsid w:val="00B2493F"/>
    <w:rsid w:val="00B43DFD"/>
    <w:rsid w:val="00B515B9"/>
    <w:rsid w:val="00B675EC"/>
    <w:rsid w:val="00B905FD"/>
    <w:rsid w:val="00B97ACD"/>
    <w:rsid w:val="00BA5D12"/>
    <w:rsid w:val="00BB6277"/>
    <w:rsid w:val="00BD542C"/>
    <w:rsid w:val="00BE4882"/>
    <w:rsid w:val="00BE5150"/>
    <w:rsid w:val="00BE5BC1"/>
    <w:rsid w:val="00BF0424"/>
    <w:rsid w:val="00C0156C"/>
    <w:rsid w:val="00C1767D"/>
    <w:rsid w:val="00C273CA"/>
    <w:rsid w:val="00C465A3"/>
    <w:rsid w:val="00C51ECB"/>
    <w:rsid w:val="00C5360B"/>
    <w:rsid w:val="00C54A0A"/>
    <w:rsid w:val="00C61608"/>
    <w:rsid w:val="00C65F6E"/>
    <w:rsid w:val="00C923C4"/>
    <w:rsid w:val="00C94B3C"/>
    <w:rsid w:val="00CD1280"/>
    <w:rsid w:val="00D3582E"/>
    <w:rsid w:val="00D55742"/>
    <w:rsid w:val="00D57520"/>
    <w:rsid w:val="00D920D2"/>
    <w:rsid w:val="00DB3364"/>
    <w:rsid w:val="00DC17B7"/>
    <w:rsid w:val="00DD1D4F"/>
    <w:rsid w:val="00DD4211"/>
    <w:rsid w:val="00E46317"/>
    <w:rsid w:val="00E56557"/>
    <w:rsid w:val="00E60BCD"/>
    <w:rsid w:val="00E62025"/>
    <w:rsid w:val="00E80FF4"/>
    <w:rsid w:val="00E90539"/>
    <w:rsid w:val="00EB3236"/>
    <w:rsid w:val="00EC32D2"/>
    <w:rsid w:val="00EC5130"/>
    <w:rsid w:val="00EC56D7"/>
    <w:rsid w:val="00ED087F"/>
    <w:rsid w:val="00EE1A63"/>
    <w:rsid w:val="00EF6CF5"/>
    <w:rsid w:val="00EF6ECB"/>
    <w:rsid w:val="00EF726C"/>
    <w:rsid w:val="00F06371"/>
    <w:rsid w:val="00F13941"/>
    <w:rsid w:val="00F222A9"/>
    <w:rsid w:val="00F342E0"/>
    <w:rsid w:val="00F577A2"/>
    <w:rsid w:val="00F95EBB"/>
    <w:rsid w:val="00FB0790"/>
    <w:rsid w:val="00FB1D7B"/>
    <w:rsid w:val="00FB1FA8"/>
    <w:rsid w:val="00FB3E46"/>
    <w:rsid w:val="00FE429A"/>
    <w:rsid w:val="00FE7A87"/>
    <w:rsid w:val="00FF48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3072F608-F815-45B1-8996-08953682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84790"/>
    <w:pPr>
      <w:widowControl w:val="0"/>
    </w:pPr>
    <w:rPr>
      <w:rFonts w:eastAsia="標楷體"/>
      <w:kern w:val="2"/>
      <w:sz w:val="32"/>
    </w:rPr>
  </w:style>
  <w:style w:type="paragraph" w:styleId="1">
    <w:name w:val="heading 1"/>
    <w:basedOn w:val="a1"/>
    <w:qFormat/>
    <w:rsid w:val="00084790"/>
    <w:pPr>
      <w:numPr>
        <w:numId w:val="1"/>
      </w:numPr>
      <w:kinsoku w:val="0"/>
      <w:jc w:val="both"/>
      <w:outlineLvl w:val="0"/>
    </w:pPr>
    <w:rPr>
      <w:rFonts w:ascii="標楷體" w:hAnsi="Arial"/>
      <w:bCs/>
      <w:kern w:val="0"/>
      <w:szCs w:val="52"/>
    </w:rPr>
  </w:style>
  <w:style w:type="paragraph" w:styleId="2">
    <w:name w:val="heading 2"/>
    <w:basedOn w:val="a1"/>
    <w:qFormat/>
    <w:rsid w:val="00084790"/>
    <w:pPr>
      <w:numPr>
        <w:ilvl w:val="1"/>
        <w:numId w:val="1"/>
      </w:numPr>
      <w:kinsoku w:val="0"/>
      <w:jc w:val="both"/>
      <w:outlineLvl w:val="1"/>
    </w:pPr>
    <w:rPr>
      <w:rFonts w:ascii="標楷體" w:hAnsi="Arial"/>
      <w:bCs/>
      <w:kern w:val="0"/>
      <w:szCs w:val="48"/>
    </w:rPr>
  </w:style>
  <w:style w:type="paragraph" w:styleId="3">
    <w:name w:val="heading 3"/>
    <w:basedOn w:val="a1"/>
    <w:qFormat/>
    <w:rsid w:val="00084790"/>
    <w:pPr>
      <w:numPr>
        <w:ilvl w:val="2"/>
        <w:numId w:val="1"/>
      </w:numPr>
      <w:kinsoku w:val="0"/>
      <w:jc w:val="both"/>
      <w:outlineLvl w:val="2"/>
    </w:pPr>
    <w:rPr>
      <w:rFonts w:ascii="標楷體" w:hAnsi="Arial"/>
      <w:bCs/>
      <w:kern w:val="0"/>
      <w:szCs w:val="36"/>
    </w:rPr>
  </w:style>
  <w:style w:type="paragraph" w:styleId="4">
    <w:name w:val="heading 4"/>
    <w:basedOn w:val="a1"/>
    <w:qFormat/>
    <w:rsid w:val="00084790"/>
    <w:pPr>
      <w:numPr>
        <w:ilvl w:val="3"/>
        <w:numId w:val="1"/>
      </w:numPr>
      <w:jc w:val="both"/>
      <w:outlineLvl w:val="3"/>
    </w:pPr>
    <w:rPr>
      <w:rFonts w:ascii="標楷體" w:hAnsi="Arial"/>
      <w:szCs w:val="36"/>
    </w:rPr>
  </w:style>
  <w:style w:type="paragraph" w:styleId="5">
    <w:name w:val="heading 5"/>
    <w:basedOn w:val="a1"/>
    <w:qFormat/>
    <w:rsid w:val="00084790"/>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rsid w:val="00084790"/>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084790"/>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084790"/>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084790"/>
    <w:pPr>
      <w:spacing w:before="720" w:after="720"/>
      <w:ind w:left="7371"/>
    </w:pPr>
    <w:rPr>
      <w:rFonts w:ascii="標楷體"/>
      <w:b/>
      <w:snapToGrid w:val="0"/>
      <w:spacing w:val="10"/>
      <w:sz w:val="36"/>
    </w:rPr>
  </w:style>
  <w:style w:type="paragraph" w:styleId="a6">
    <w:name w:val="endnote text"/>
    <w:basedOn w:val="a1"/>
    <w:semiHidden/>
    <w:rsid w:val="00084790"/>
    <w:pPr>
      <w:spacing w:before="240"/>
      <w:ind w:left="1021" w:hanging="1021"/>
      <w:jc w:val="both"/>
    </w:pPr>
    <w:rPr>
      <w:rFonts w:ascii="標楷體"/>
      <w:snapToGrid w:val="0"/>
      <w:spacing w:val="10"/>
    </w:rPr>
  </w:style>
  <w:style w:type="paragraph" w:styleId="50">
    <w:name w:val="toc 5"/>
    <w:basedOn w:val="a1"/>
    <w:next w:val="a1"/>
    <w:autoRedefine/>
    <w:semiHidden/>
    <w:rsid w:val="00084790"/>
    <w:pPr>
      <w:ind w:leftChars="400" w:left="600" w:rightChars="200" w:right="200" w:hangingChars="200" w:hanging="200"/>
    </w:pPr>
    <w:rPr>
      <w:rFonts w:ascii="標楷體"/>
    </w:rPr>
  </w:style>
  <w:style w:type="character" w:styleId="a7">
    <w:name w:val="page number"/>
    <w:basedOn w:val="a2"/>
    <w:semiHidden/>
    <w:rsid w:val="00084790"/>
    <w:rPr>
      <w:rFonts w:ascii="標楷體" w:eastAsia="標楷體"/>
      <w:sz w:val="20"/>
    </w:rPr>
  </w:style>
  <w:style w:type="paragraph" w:styleId="60">
    <w:name w:val="toc 6"/>
    <w:basedOn w:val="a1"/>
    <w:next w:val="a1"/>
    <w:autoRedefine/>
    <w:semiHidden/>
    <w:rsid w:val="00084790"/>
    <w:pPr>
      <w:ind w:leftChars="500" w:left="500"/>
    </w:pPr>
    <w:rPr>
      <w:rFonts w:ascii="標楷體"/>
    </w:rPr>
  </w:style>
  <w:style w:type="paragraph" w:customStyle="1" w:styleId="10">
    <w:name w:val="段落樣式1"/>
    <w:basedOn w:val="a1"/>
    <w:rsid w:val="00084790"/>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084790"/>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084790"/>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084790"/>
    <w:pPr>
      <w:kinsoku w:val="0"/>
      <w:ind w:leftChars="100" w:left="300" w:rightChars="200" w:right="200" w:hangingChars="200" w:hanging="200"/>
    </w:pPr>
    <w:rPr>
      <w:rFonts w:ascii="標楷體"/>
      <w:noProof/>
    </w:rPr>
  </w:style>
  <w:style w:type="paragraph" w:styleId="30">
    <w:name w:val="toc 3"/>
    <w:basedOn w:val="a1"/>
    <w:next w:val="a1"/>
    <w:autoRedefine/>
    <w:semiHidden/>
    <w:rsid w:val="00084790"/>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084790"/>
    <w:pPr>
      <w:kinsoku w:val="0"/>
      <w:ind w:leftChars="300" w:left="500" w:rightChars="200" w:right="200" w:hangingChars="200" w:hanging="200"/>
      <w:jc w:val="both"/>
    </w:pPr>
    <w:rPr>
      <w:rFonts w:ascii="標楷體"/>
    </w:rPr>
  </w:style>
  <w:style w:type="paragraph" w:styleId="70">
    <w:name w:val="toc 7"/>
    <w:basedOn w:val="a1"/>
    <w:next w:val="a1"/>
    <w:autoRedefine/>
    <w:semiHidden/>
    <w:rsid w:val="00084790"/>
    <w:pPr>
      <w:ind w:leftChars="600" w:left="800" w:hangingChars="200" w:hanging="200"/>
    </w:pPr>
    <w:rPr>
      <w:rFonts w:ascii="標楷體"/>
    </w:rPr>
  </w:style>
  <w:style w:type="paragraph" w:styleId="80">
    <w:name w:val="toc 8"/>
    <w:basedOn w:val="a1"/>
    <w:next w:val="a1"/>
    <w:autoRedefine/>
    <w:semiHidden/>
    <w:rsid w:val="00084790"/>
    <w:pPr>
      <w:ind w:leftChars="700" w:left="900" w:hangingChars="200" w:hanging="200"/>
    </w:pPr>
    <w:rPr>
      <w:rFonts w:ascii="標楷體"/>
    </w:rPr>
  </w:style>
  <w:style w:type="paragraph" w:styleId="9">
    <w:name w:val="toc 9"/>
    <w:basedOn w:val="a1"/>
    <w:next w:val="a1"/>
    <w:autoRedefine/>
    <w:semiHidden/>
    <w:rsid w:val="00084790"/>
    <w:pPr>
      <w:ind w:leftChars="1600" w:left="3840"/>
    </w:pPr>
  </w:style>
  <w:style w:type="paragraph" w:styleId="a8">
    <w:name w:val="header"/>
    <w:basedOn w:val="a1"/>
    <w:semiHidden/>
    <w:rsid w:val="00084790"/>
    <w:pPr>
      <w:tabs>
        <w:tab w:val="center" w:pos="4153"/>
        <w:tab w:val="right" w:pos="8306"/>
      </w:tabs>
      <w:snapToGrid w:val="0"/>
    </w:pPr>
    <w:rPr>
      <w:sz w:val="20"/>
    </w:rPr>
  </w:style>
  <w:style w:type="paragraph" w:customStyle="1" w:styleId="31">
    <w:name w:val="段落樣式3"/>
    <w:basedOn w:val="20"/>
    <w:rsid w:val="00084790"/>
    <w:pPr>
      <w:ind w:leftChars="400" w:left="400"/>
    </w:pPr>
  </w:style>
  <w:style w:type="character" w:styleId="a9">
    <w:name w:val="Hyperlink"/>
    <w:basedOn w:val="a2"/>
    <w:semiHidden/>
    <w:rsid w:val="00084790"/>
    <w:rPr>
      <w:color w:val="0000FF"/>
      <w:u w:val="single"/>
    </w:rPr>
  </w:style>
  <w:style w:type="paragraph" w:customStyle="1" w:styleId="aa">
    <w:name w:val="簽名日期"/>
    <w:basedOn w:val="a1"/>
    <w:rsid w:val="00084790"/>
    <w:pPr>
      <w:kinsoku w:val="0"/>
      <w:jc w:val="distribute"/>
    </w:pPr>
    <w:rPr>
      <w:kern w:val="0"/>
    </w:rPr>
  </w:style>
  <w:style w:type="paragraph" w:customStyle="1" w:styleId="0">
    <w:name w:val="段落樣式0"/>
    <w:basedOn w:val="20"/>
    <w:rsid w:val="00084790"/>
    <w:pPr>
      <w:ind w:leftChars="200" w:left="200" w:firstLineChars="0" w:firstLine="0"/>
    </w:pPr>
  </w:style>
  <w:style w:type="paragraph" w:customStyle="1" w:styleId="ab">
    <w:name w:val="附件"/>
    <w:basedOn w:val="a6"/>
    <w:rsid w:val="00084790"/>
    <w:pPr>
      <w:kinsoku w:val="0"/>
      <w:spacing w:before="0"/>
      <w:ind w:left="1047" w:hangingChars="300" w:hanging="1047"/>
    </w:pPr>
    <w:rPr>
      <w:snapToGrid/>
      <w:spacing w:val="0"/>
      <w:kern w:val="0"/>
    </w:rPr>
  </w:style>
  <w:style w:type="paragraph" w:customStyle="1" w:styleId="41">
    <w:name w:val="段落樣式4"/>
    <w:basedOn w:val="31"/>
    <w:rsid w:val="00084790"/>
    <w:pPr>
      <w:ind w:leftChars="500" w:left="500"/>
    </w:pPr>
  </w:style>
  <w:style w:type="paragraph" w:customStyle="1" w:styleId="51">
    <w:name w:val="段落樣式5"/>
    <w:basedOn w:val="41"/>
    <w:rsid w:val="00084790"/>
    <w:pPr>
      <w:ind w:leftChars="600" w:left="600"/>
    </w:pPr>
  </w:style>
  <w:style w:type="paragraph" w:customStyle="1" w:styleId="61">
    <w:name w:val="段落樣式6"/>
    <w:basedOn w:val="51"/>
    <w:rsid w:val="00084790"/>
    <w:pPr>
      <w:ind w:leftChars="700" w:left="700"/>
    </w:pPr>
  </w:style>
  <w:style w:type="paragraph" w:customStyle="1" w:styleId="71">
    <w:name w:val="段落樣式7"/>
    <w:basedOn w:val="61"/>
    <w:rsid w:val="00084790"/>
  </w:style>
  <w:style w:type="paragraph" w:customStyle="1" w:styleId="81">
    <w:name w:val="段落樣式8"/>
    <w:basedOn w:val="71"/>
    <w:rsid w:val="00084790"/>
    <w:pPr>
      <w:ind w:leftChars="800" w:left="800"/>
    </w:pPr>
  </w:style>
  <w:style w:type="paragraph" w:customStyle="1" w:styleId="a0">
    <w:name w:val="表樣式"/>
    <w:basedOn w:val="a1"/>
    <w:next w:val="a1"/>
    <w:rsid w:val="00084790"/>
    <w:pPr>
      <w:numPr>
        <w:numId w:val="2"/>
      </w:numPr>
      <w:jc w:val="both"/>
    </w:pPr>
    <w:rPr>
      <w:rFonts w:ascii="標楷體"/>
      <w:kern w:val="0"/>
    </w:rPr>
  </w:style>
  <w:style w:type="paragraph" w:styleId="ac">
    <w:name w:val="Body Text Indent"/>
    <w:basedOn w:val="a1"/>
    <w:semiHidden/>
    <w:rsid w:val="00084790"/>
    <w:pPr>
      <w:ind w:left="698" w:hangingChars="200" w:hanging="698"/>
    </w:pPr>
  </w:style>
  <w:style w:type="paragraph" w:customStyle="1" w:styleId="ad">
    <w:name w:val="調查報告"/>
    <w:basedOn w:val="a6"/>
    <w:rsid w:val="00084790"/>
    <w:pPr>
      <w:kinsoku w:val="0"/>
      <w:spacing w:before="0"/>
      <w:ind w:left="1701" w:firstLine="0"/>
    </w:pPr>
    <w:rPr>
      <w:b/>
      <w:snapToGrid/>
      <w:spacing w:val="200"/>
      <w:kern w:val="0"/>
      <w:sz w:val="36"/>
    </w:rPr>
  </w:style>
  <w:style w:type="paragraph" w:customStyle="1" w:styleId="a">
    <w:name w:val="圖樣式"/>
    <w:basedOn w:val="a1"/>
    <w:next w:val="a1"/>
    <w:rsid w:val="00084790"/>
    <w:pPr>
      <w:numPr>
        <w:numId w:val="3"/>
      </w:numPr>
      <w:tabs>
        <w:tab w:val="clear" w:pos="1440"/>
      </w:tabs>
      <w:ind w:left="400" w:hangingChars="400" w:hanging="400"/>
      <w:jc w:val="both"/>
    </w:pPr>
    <w:rPr>
      <w:rFonts w:ascii="標楷體"/>
    </w:rPr>
  </w:style>
  <w:style w:type="paragraph" w:styleId="ae">
    <w:name w:val="footer"/>
    <w:basedOn w:val="a1"/>
    <w:semiHidden/>
    <w:rsid w:val="00084790"/>
    <w:pPr>
      <w:tabs>
        <w:tab w:val="center" w:pos="4153"/>
        <w:tab w:val="right" w:pos="8306"/>
      </w:tabs>
      <w:snapToGrid w:val="0"/>
    </w:pPr>
    <w:rPr>
      <w:sz w:val="20"/>
    </w:rPr>
  </w:style>
  <w:style w:type="paragraph" w:styleId="af">
    <w:name w:val="table of figures"/>
    <w:basedOn w:val="a1"/>
    <w:next w:val="a1"/>
    <w:semiHidden/>
    <w:rsid w:val="00084790"/>
    <w:pPr>
      <w:ind w:left="400" w:hangingChars="400" w:hanging="400"/>
    </w:pPr>
  </w:style>
  <w:style w:type="table" w:styleId="af0">
    <w:name w:val="Table Grid"/>
    <w:basedOn w:val="a3"/>
    <w:rsid w:val="007C2B4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hliu\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12</Pages>
  <Words>994</Words>
  <Characters>5666</Characters>
  <Application>Microsoft Office Word</Application>
  <DocSecurity>0</DocSecurity>
  <Lines>47</Lines>
  <Paragraphs>13</Paragraphs>
  <ScaleCrop>false</ScaleCrop>
  <Company>cy</Company>
  <LinksUpToDate>false</LinksUpToDate>
  <CharactersWithSpaces>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龔盟芳</cp:lastModifiedBy>
  <cp:revision>3</cp:revision>
  <cp:lastPrinted>2014-01-20T08:58:00Z</cp:lastPrinted>
  <dcterms:created xsi:type="dcterms:W3CDTF">2016-12-02T01:15:00Z</dcterms:created>
  <dcterms:modified xsi:type="dcterms:W3CDTF">2016-12-05T06:25:00Z</dcterms:modified>
</cp:coreProperties>
</file>