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670" w:rsidRPr="00030338" w:rsidRDefault="006C2670" w:rsidP="00030338">
      <w:pPr>
        <w:pStyle w:val="11"/>
      </w:pPr>
      <w:r w:rsidRPr="00030338">
        <w:rPr>
          <w:rFonts w:hint="eastAsia"/>
        </w:rPr>
        <w:t>調查報告</w:t>
      </w:r>
    </w:p>
    <w:p w:rsidR="006C2670" w:rsidRDefault="006C2670" w:rsidP="006C2670">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92370727"/>
      <w:r w:rsidRPr="00A00D38">
        <w:rPr>
          <w:rFonts w:hAnsi="標楷體" w:hint="eastAsia"/>
          <w:b/>
          <w:color w:val="000000" w:themeColor="text1"/>
        </w:rPr>
        <w:t>案　　由：</w:t>
      </w:r>
      <w:bookmarkEnd w:id="0"/>
      <w:bookmarkEnd w:id="1"/>
      <w:bookmarkEnd w:id="2"/>
      <w:bookmarkEnd w:id="3"/>
      <w:bookmarkEnd w:id="4"/>
      <w:bookmarkEnd w:id="5"/>
      <w:bookmarkEnd w:id="6"/>
      <w:bookmarkEnd w:id="7"/>
      <w:bookmarkEnd w:id="8"/>
      <w:bookmarkEnd w:id="9"/>
      <w:r w:rsidRPr="00A00D38">
        <w:rPr>
          <w:rFonts w:hAnsi="標楷體" w:hint="eastAsia"/>
          <w:b/>
          <w:color w:val="000000" w:themeColor="text1"/>
        </w:rPr>
        <w:tab/>
      </w:r>
      <w:r w:rsidRPr="00A00D38">
        <w:rPr>
          <w:rFonts w:hAnsi="標楷體" w:hint="eastAsia"/>
          <w:b/>
          <w:color w:val="000000" w:themeColor="text1"/>
        </w:rPr>
        <w:tab/>
      </w:r>
      <w:r w:rsidRPr="00A00D38">
        <w:rPr>
          <w:rFonts w:hAnsi="標楷體" w:hint="eastAsia"/>
          <w:b/>
          <w:color w:val="000000" w:themeColor="text1"/>
        </w:rPr>
        <w:tab/>
      </w:r>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A00D38">
        <w:rPr>
          <w:rFonts w:hAnsi="標楷體" w:hint="eastAsia"/>
          <w:color w:val="000000" w:themeColor="text1"/>
        </w:rPr>
        <w:t>我國高等教育受少子化衝擊致面臨發展窘境，各相關部會編列預算或提供獎助學金，延攬外籍生來臺就學，或薦送我國青年學子赴各國進修；國內大學亦紛至東南亞招生以廣納優秀人才。究我國各大專院校是否具備國際化條件？近10年來政府相關部會推動高教國際化之具體策略、方案、預算編列、實施績效及瓶頸為何？均有深入瞭解之必要案。</w:t>
      </w:r>
      <w:bookmarkEnd w:id="24"/>
    </w:p>
    <w:p w:rsidR="006C2670" w:rsidRPr="00030338" w:rsidRDefault="00030338" w:rsidP="00030338">
      <w:pPr>
        <w:pStyle w:val="1"/>
        <w:widowControl/>
        <w:overflowPunct/>
        <w:autoSpaceDE/>
        <w:autoSpaceDN/>
        <w:jc w:val="left"/>
        <w:rPr>
          <w:b/>
          <w:color w:val="000000" w:themeColor="text1"/>
        </w:rPr>
      </w:pPr>
      <w:r w:rsidRPr="00030338">
        <w:rPr>
          <w:rFonts w:hAnsi="標楷體" w:hint="eastAsia"/>
          <w:b/>
          <w:color w:val="000000" w:themeColor="text1"/>
        </w:rPr>
        <w:t>調查意見</w:t>
      </w:r>
      <w:bookmarkStart w:id="25" w:name="_Toc524895648"/>
      <w:bookmarkStart w:id="26" w:name="_Toc524896194"/>
      <w:bookmarkStart w:id="27" w:name="_Toc524896224"/>
      <w:bookmarkStart w:id="28" w:name="_Toc524902734"/>
      <w:bookmarkStart w:id="29" w:name="_Toc525066148"/>
      <w:bookmarkStart w:id="30" w:name="_Toc525070839"/>
      <w:bookmarkStart w:id="31" w:name="_Toc525938379"/>
      <w:bookmarkStart w:id="32" w:name="_Toc525939227"/>
      <w:bookmarkStart w:id="33" w:name="_Toc525939732"/>
      <w:bookmarkStart w:id="34" w:name="_Toc529218272"/>
    </w:p>
    <w:p w:rsidR="006C2670" w:rsidRPr="00A00D38" w:rsidRDefault="006C2670" w:rsidP="006C2670">
      <w:pPr>
        <w:pStyle w:val="2"/>
        <w:numPr>
          <w:ilvl w:val="0"/>
          <w:numId w:val="33"/>
        </w:numPr>
        <w:ind w:left="1020" w:hanging="680"/>
        <w:rPr>
          <w:b/>
          <w:color w:val="000000" w:themeColor="text1"/>
        </w:rPr>
      </w:pPr>
      <w:bookmarkStart w:id="35" w:name="_Toc492371037"/>
      <w:bookmarkStart w:id="36" w:name="_Toc481496010"/>
      <w:bookmarkStart w:id="37" w:name="_Toc481496007"/>
      <w:bookmarkStart w:id="38" w:name="_Toc481496005"/>
      <w:r w:rsidRPr="00A00D38">
        <w:rPr>
          <w:rFonts w:hint="eastAsia"/>
          <w:b/>
          <w:color w:val="000000" w:themeColor="text1"/>
        </w:rPr>
        <w:t>我國推動高等教育國際化政策，由來已久，投入經費亦不貲，惟政策總體戰略仍顯模糊，亦未配合各大學定位與優勢</w:t>
      </w:r>
      <w:r w:rsidRPr="00A00D38">
        <w:rPr>
          <w:rFonts w:eastAsia="MS Mincho" w:hint="eastAsia"/>
          <w:b/>
          <w:color w:val="000000" w:themeColor="text1"/>
        </w:rPr>
        <w:t>/</w:t>
      </w:r>
      <w:r w:rsidRPr="00A00D38">
        <w:rPr>
          <w:rFonts w:hint="eastAsia"/>
          <w:b/>
          <w:color w:val="000000" w:themeColor="text1"/>
        </w:rPr>
        <w:t>特色領域，謀定招生策略與分配資源；且政策效益評估僅著重數字績效</w:t>
      </w:r>
      <w:r w:rsidR="00423D92">
        <w:rPr>
          <w:rFonts w:ascii="Times New Roman" w:hAnsi="Times New Roman" w:hint="eastAsia"/>
          <w:b/>
          <w:color w:val="000000" w:themeColor="text1"/>
          <w:kern w:val="2"/>
          <w:szCs w:val="20"/>
        </w:rPr>
        <w:t>，輕忽來臺學位生</w:t>
      </w:r>
      <w:r w:rsidR="000012AB" w:rsidRPr="007D48CA">
        <w:rPr>
          <w:rFonts w:ascii="Times New Roman" w:hAnsi="Times New Roman" w:hint="eastAsia"/>
          <w:b/>
          <w:kern w:val="2"/>
          <w:szCs w:val="20"/>
        </w:rPr>
        <w:t>較非學位生人數</w:t>
      </w:r>
      <w:r w:rsidRPr="00A00D38">
        <w:rPr>
          <w:rFonts w:ascii="Times New Roman" w:hAnsi="Times New Roman" w:hint="eastAsia"/>
          <w:b/>
          <w:color w:val="000000" w:themeColor="text1"/>
          <w:kern w:val="2"/>
          <w:szCs w:val="20"/>
        </w:rPr>
        <w:t>逐年減少之警訊，</w:t>
      </w:r>
      <w:r w:rsidRPr="00A00D38">
        <w:rPr>
          <w:rFonts w:hint="eastAsia"/>
          <w:b/>
          <w:color w:val="000000" w:themeColor="text1"/>
        </w:rPr>
        <w:t>不利我國高等教育的國際影響力與競爭力之提升，容有檢討必要。</w:t>
      </w:r>
      <w:bookmarkEnd w:id="35"/>
    </w:p>
    <w:p w:rsidR="006C2670" w:rsidRPr="00A00D38" w:rsidRDefault="006C2670" w:rsidP="006C2670">
      <w:pPr>
        <w:pStyle w:val="3"/>
        <w:adjustRightInd w:val="0"/>
        <w:ind w:left="1389"/>
        <w:rPr>
          <w:rFonts w:ascii="Times New Roman" w:hAnsi="Times New Roman"/>
          <w:color w:val="000000" w:themeColor="text1"/>
          <w:kern w:val="2"/>
          <w:szCs w:val="20"/>
        </w:rPr>
      </w:pPr>
      <w:bookmarkStart w:id="39" w:name="_Toc488227854"/>
      <w:bookmarkStart w:id="40" w:name="_Toc489383063"/>
      <w:bookmarkStart w:id="41" w:name="_Toc491711160"/>
      <w:bookmarkStart w:id="42" w:name="_Toc492371038"/>
      <w:bookmarkStart w:id="43" w:name="_Toc488227872"/>
      <w:bookmarkStart w:id="44" w:name="_Toc489383086"/>
      <w:r w:rsidRPr="00A00D38">
        <w:rPr>
          <w:rFonts w:hAnsi="標楷體" w:hint="eastAsia"/>
          <w:color w:val="000000" w:themeColor="text1"/>
        </w:rPr>
        <w:t>國發會指出</w:t>
      </w:r>
      <w:r w:rsidRPr="00A00D38">
        <w:rPr>
          <w:rStyle w:val="aff0"/>
          <w:rFonts w:hAnsi="標楷體"/>
          <w:color w:val="000000" w:themeColor="text1"/>
        </w:rPr>
        <w:footnoteReference w:id="1"/>
      </w:r>
      <w:r w:rsidRPr="00A00D38">
        <w:rPr>
          <w:rFonts w:hAnsi="標楷體" w:hint="eastAsia"/>
          <w:color w:val="000000" w:themeColor="text1"/>
        </w:rPr>
        <w:t>，經濟合作暨發展組織（Organization for Economic Co-operation and Development，下稱OECD）相關統計顯示，全球高等教育留學生人數，自89年的210萬人，成長至100年的430萬人，成長逾1倍；</w:t>
      </w:r>
      <w:r w:rsidRPr="00A00D38">
        <w:rPr>
          <w:rFonts w:hAnsi="標楷體"/>
          <w:color w:val="000000" w:themeColor="text1"/>
        </w:rPr>
        <w:t>OECD</w:t>
      </w:r>
      <w:r w:rsidRPr="00A00D38">
        <w:rPr>
          <w:rFonts w:hAnsi="標楷體" w:hint="eastAsia"/>
          <w:color w:val="000000" w:themeColor="text1"/>
        </w:rPr>
        <w:t>並肯認，透過留學生的參與，將有助於維持留學國之技術能量，且留學生有助於補充留學國所需人力。據此，推動高等教育國際化不失為提升國家競爭力的重要策略。近20年我國相關計畫亦不斷推陳出新，舉</w:t>
      </w:r>
      <w:r w:rsidRPr="00A00D38">
        <w:rPr>
          <w:rFonts w:hAnsi="標楷體"/>
          <w:color w:val="000000" w:themeColor="text1"/>
        </w:rPr>
        <w:t>其犖犖大者如</w:t>
      </w:r>
      <w:r w:rsidRPr="00A00D38">
        <w:rPr>
          <w:rFonts w:hAnsi="標楷體" w:hint="eastAsia"/>
          <w:color w:val="000000" w:themeColor="text1"/>
        </w:rPr>
        <w:t>90年教育部公布</w:t>
      </w:r>
      <w:r w:rsidRPr="00A00D38">
        <w:rPr>
          <w:rFonts w:hAnsi="標楷體" w:hint="eastAsia"/>
          <w:color w:val="000000" w:themeColor="text1"/>
        </w:rPr>
        <w:lastRenderedPageBreak/>
        <w:t>之「大學教育政策白皮書」即提出大學應編列推動國際交流與合作所需的基本經費；91年行政院經濟建設委員會(今國發會</w:t>
      </w:r>
      <w:r w:rsidRPr="00A00D38">
        <w:rPr>
          <w:rFonts w:hint="eastAsia"/>
          <w:color w:val="000000" w:themeColor="text1"/>
        </w:rPr>
        <w:t>)</w:t>
      </w:r>
      <w:r w:rsidRPr="00A00D38">
        <w:rPr>
          <w:rFonts w:hAnsi="標楷體" w:hint="eastAsia"/>
          <w:color w:val="000000" w:themeColor="text1"/>
        </w:rPr>
        <w:t>公布之「挑戰2008：國家發展重點計畫（2002-2007）─國際創新研發基地計畫」中，亦以「吸引外國留學生」為計畫目標之一；在重大國家發展計畫方面，尚有「新世紀第二期國家建設計畫</w:t>
      </w:r>
      <w:r w:rsidRPr="00A00D38">
        <w:rPr>
          <w:rFonts w:hAnsi="標楷體"/>
          <w:color w:val="000000" w:themeColor="text1"/>
        </w:rPr>
        <w:t>(</w:t>
      </w:r>
      <w:r w:rsidRPr="00A00D38">
        <w:rPr>
          <w:rFonts w:hAnsi="標楷體" w:hint="eastAsia"/>
          <w:color w:val="000000" w:themeColor="text1"/>
        </w:rPr>
        <w:t>民國</w:t>
      </w:r>
      <w:r w:rsidRPr="00A00D38">
        <w:rPr>
          <w:rFonts w:hAnsi="標楷體"/>
          <w:color w:val="000000" w:themeColor="text1"/>
        </w:rPr>
        <w:t>94</w:t>
      </w:r>
      <w:r w:rsidRPr="00A00D38">
        <w:rPr>
          <w:rFonts w:hAnsi="標楷體" w:hint="eastAsia"/>
          <w:color w:val="000000" w:themeColor="text1"/>
        </w:rPr>
        <w:t>至</w:t>
      </w:r>
      <w:r w:rsidRPr="00A00D38">
        <w:rPr>
          <w:rFonts w:hAnsi="標楷體"/>
          <w:color w:val="000000" w:themeColor="text1"/>
        </w:rPr>
        <w:t>97</w:t>
      </w:r>
      <w:r w:rsidRPr="00A00D38">
        <w:rPr>
          <w:rFonts w:hAnsi="標楷體" w:hint="eastAsia"/>
          <w:color w:val="000000" w:themeColor="text1"/>
        </w:rPr>
        <w:t>年四年計畫</w:t>
      </w:r>
      <w:r w:rsidRPr="00A00D38">
        <w:rPr>
          <w:rFonts w:hAnsi="標楷體"/>
          <w:color w:val="000000" w:themeColor="text1"/>
        </w:rPr>
        <w:t>)</w:t>
      </w:r>
      <w:r w:rsidRPr="00A00D38">
        <w:rPr>
          <w:rFonts w:hAnsi="標楷體" w:hint="eastAsia"/>
          <w:color w:val="000000" w:themeColor="text1"/>
        </w:rPr>
        <w:t>」─推動教育國際化、展現創意與特色、擴大雙向留學等策略；「新世紀第三期國家建設計畫</w:t>
      </w:r>
      <w:r w:rsidRPr="00A00D38">
        <w:rPr>
          <w:rFonts w:hAnsi="標楷體"/>
          <w:color w:val="000000" w:themeColor="text1"/>
        </w:rPr>
        <w:t>(</w:t>
      </w:r>
      <w:r w:rsidRPr="00A00D38">
        <w:rPr>
          <w:rFonts w:hAnsi="標楷體" w:hint="eastAsia"/>
          <w:color w:val="000000" w:themeColor="text1"/>
        </w:rPr>
        <w:t>民國</w:t>
      </w:r>
      <w:r w:rsidRPr="00A00D38">
        <w:rPr>
          <w:rFonts w:hAnsi="標楷體"/>
          <w:color w:val="000000" w:themeColor="text1"/>
        </w:rPr>
        <w:t>98</w:t>
      </w:r>
      <w:r w:rsidRPr="00A00D38">
        <w:rPr>
          <w:rFonts w:hAnsi="標楷體" w:hint="eastAsia"/>
          <w:color w:val="000000" w:themeColor="text1"/>
        </w:rPr>
        <w:t>至</w:t>
      </w:r>
      <w:r w:rsidRPr="00A00D38">
        <w:rPr>
          <w:rFonts w:hAnsi="標楷體"/>
          <w:color w:val="000000" w:themeColor="text1"/>
        </w:rPr>
        <w:t>101</w:t>
      </w:r>
      <w:r w:rsidRPr="00A00D38">
        <w:rPr>
          <w:rFonts w:hAnsi="標楷體" w:hint="eastAsia"/>
          <w:color w:val="000000" w:themeColor="text1"/>
        </w:rPr>
        <w:t>年四年計畫</w:t>
      </w:r>
      <w:r w:rsidRPr="00A00D38">
        <w:rPr>
          <w:rFonts w:hAnsi="標楷體"/>
          <w:color w:val="000000" w:themeColor="text1"/>
        </w:rPr>
        <w:t>)</w:t>
      </w:r>
      <w:r w:rsidRPr="00A00D38">
        <w:rPr>
          <w:rFonts w:hAnsi="標楷體" w:hint="eastAsia"/>
          <w:color w:val="000000" w:themeColor="text1"/>
        </w:rPr>
        <w:t>」─推動拓展學生國際觀、發展一流大學、鼓勵學生出國留學及擴大招收境外學生策略；「國家發展計畫</w:t>
      </w:r>
      <w:r w:rsidRPr="00A00D38">
        <w:rPr>
          <w:rFonts w:hAnsi="標楷體"/>
          <w:color w:val="000000" w:themeColor="text1"/>
        </w:rPr>
        <w:t>(102-105</w:t>
      </w:r>
      <w:r w:rsidRPr="00A00D38">
        <w:rPr>
          <w:rFonts w:hAnsi="標楷體" w:hint="eastAsia"/>
          <w:color w:val="000000" w:themeColor="text1"/>
        </w:rPr>
        <w:t>年</w:t>
      </w:r>
      <w:r w:rsidRPr="00A00D38">
        <w:rPr>
          <w:rFonts w:hAnsi="標楷體"/>
          <w:color w:val="000000" w:themeColor="text1"/>
        </w:rPr>
        <w:t>)</w:t>
      </w:r>
      <w:r w:rsidRPr="00A00D38">
        <w:rPr>
          <w:rFonts w:hAnsi="標楷體" w:hint="eastAsia"/>
          <w:color w:val="000000" w:themeColor="text1"/>
        </w:rPr>
        <w:t>─推動「高等教育輸出－擴大招收境外學生行動計畫」等；另依總統府</w:t>
      </w:r>
      <w:r w:rsidRPr="00A00D38">
        <w:rPr>
          <w:rFonts w:hAnsi="標楷體"/>
          <w:color w:val="000000" w:themeColor="text1"/>
        </w:rPr>
        <w:t>99</w:t>
      </w:r>
      <w:r w:rsidRPr="00A00D38">
        <w:rPr>
          <w:rFonts w:hAnsi="標楷體" w:hint="eastAsia"/>
          <w:color w:val="000000" w:themeColor="text1"/>
        </w:rPr>
        <w:t>年財經諮詢小組會議，教育部於100年奉行政院核定公布「高等教育輸出</w:t>
      </w:r>
      <w:r w:rsidRPr="00A00D38">
        <w:rPr>
          <w:rFonts w:hAnsi="標楷體"/>
          <w:color w:val="000000" w:themeColor="text1"/>
        </w:rPr>
        <w:t>—</w:t>
      </w:r>
      <w:r w:rsidRPr="00A00D38">
        <w:rPr>
          <w:rFonts w:hAnsi="標楷體" w:hint="eastAsia"/>
          <w:color w:val="000000" w:themeColor="text1"/>
        </w:rPr>
        <w:t>擴大招收境外學生行動計畫」，明確宣示以外國學生、大陸地區學生及僑生為計畫招收對象，並編列4年56.8億元之經費加以推動。</w:t>
      </w:r>
      <w:bookmarkEnd w:id="39"/>
      <w:bookmarkEnd w:id="40"/>
      <w:r w:rsidRPr="00A00D38">
        <w:rPr>
          <w:rFonts w:hAnsi="標楷體" w:hint="eastAsia"/>
          <w:color w:val="000000" w:themeColor="text1"/>
        </w:rPr>
        <w:t>教育部近年推出之重大高教計畫，亦均將「國際化」納入目標，以「</w:t>
      </w:r>
      <w:r w:rsidRPr="00A00D38">
        <w:rPr>
          <w:rFonts w:hAnsi="標楷體"/>
          <w:color w:val="000000" w:themeColor="text1"/>
        </w:rPr>
        <w:t>邁向頂尖大學計畫</w:t>
      </w:r>
      <w:r w:rsidRPr="00A00D38">
        <w:rPr>
          <w:rFonts w:hAnsi="標楷體" w:hint="eastAsia"/>
          <w:color w:val="000000" w:themeColor="text1"/>
        </w:rPr>
        <w:t>」為例，該計畫目標中即明定「</w:t>
      </w:r>
      <w:r w:rsidRPr="00A00D38">
        <w:rPr>
          <w:rFonts w:hAnsi="標楷體"/>
          <w:color w:val="000000" w:themeColor="text1"/>
        </w:rPr>
        <w:t>加速頂尖大學國際化，擴展學生之世界觀</w:t>
      </w:r>
      <w:r w:rsidRPr="00A00D38">
        <w:rPr>
          <w:rFonts w:hAnsi="標楷體" w:hint="eastAsia"/>
          <w:color w:val="000000" w:themeColor="text1"/>
        </w:rPr>
        <w:t>；</w:t>
      </w:r>
      <w:r w:rsidRPr="00A00D38">
        <w:rPr>
          <w:rFonts w:hAnsi="標楷體"/>
          <w:color w:val="000000" w:themeColor="text1"/>
        </w:rPr>
        <w:t>提升大學研發創新品質，強化國際學術界之影響力與能見度</w:t>
      </w:r>
      <w:r w:rsidRPr="00A00D38">
        <w:rPr>
          <w:rFonts w:hAnsi="標楷體" w:hint="eastAsia"/>
          <w:color w:val="000000" w:themeColor="text1"/>
        </w:rPr>
        <w:t>」，並將「由國外延攬之專任教師、研究人員人數」、「就讀學位或交換之國際學生數」、「全英語授課之學位學程數」等訂為具體績效指標；「獎勵大學教學卓越計畫」</w:t>
      </w:r>
      <w:bookmarkStart w:id="45" w:name="_Toc441850750"/>
      <w:bookmarkStart w:id="46" w:name="_Toc441940222"/>
      <w:bookmarkStart w:id="47" w:name="_Toc442002454"/>
      <w:bookmarkStart w:id="48" w:name="_Toc455416265"/>
      <w:bookmarkStart w:id="49" w:name="_Toc455484515"/>
      <w:bookmarkStart w:id="50" w:name="_Toc455557939"/>
      <w:bookmarkStart w:id="51" w:name="_Toc457658088"/>
      <w:r w:rsidRPr="00A00D38">
        <w:rPr>
          <w:rFonts w:hAnsi="標楷體" w:hint="eastAsia"/>
          <w:color w:val="000000" w:themeColor="text1"/>
        </w:rPr>
        <w:t>亦明定「強化國際化及國際交流</w:t>
      </w:r>
      <w:bookmarkEnd w:id="45"/>
      <w:bookmarkEnd w:id="46"/>
      <w:bookmarkEnd w:id="47"/>
      <w:bookmarkEnd w:id="48"/>
      <w:bookmarkEnd w:id="49"/>
      <w:bookmarkEnd w:id="50"/>
      <w:bookmarkEnd w:id="51"/>
      <w:r w:rsidRPr="00A00D38">
        <w:rPr>
          <w:rFonts w:hAnsi="標楷體" w:hint="eastAsia"/>
          <w:color w:val="000000" w:themeColor="text1"/>
        </w:rPr>
        <w:t>」為各大專校院之基本教學原則，鼓勵各受補助學校選送學生於境外大學修讀(含交換學生、雙聯學制等)、建置提升學生國際移動能力之措施與招收境外學生之措施。足見我國推動高等教育國際化政策由來已久，並已挹注相當程</w:t>
      </w:r>
      <w:r w:rsidRPr="00A00D38">
        <w:rPr>
          <w:rFonts w:hAnsi="標楷體" w:hint="eastAsia"/>
          <w:color w:val="000000" w:themeColor="text1"/>
        </w:rPr>
        <w:lastRenderedPageBreak/>
        <w:t>度資源。</w:t>
      </w:r>
      <w:bookmarkEnd w:id="41"/>
      <w:bookmarkEnd w:id="42"/>
      <w:r w:rsidRPr="00A00D38">
        <w:rPr>
          <w:rFonts w:hAnsi="標楷體"/>
          <w:color w:val="000000" w:themeColor="text1"/>
        </w:rPr>
        <w:br/>
      </w:r>
    </w:p>
    <w:p w:rsidR="006C2670" w:rsidRPr="00A00D38" w:rsidRDefault="006C2670" w:rsidP="006C2670">
      <w:pPr>
        <w:pStyle w:val="3"/>
        <w:adjustRightInd w:val="0"/>
        <w:ind w:left="1389"/>
        <w:rPr>
          <w:rFonts w:ascii="Times New Roman" w:hAnsi="Times New Roman"/>
          <w:color w:val="000000" w:themeColor="text1"/>
          <w:kern w:val="2"/>
          <w:szCs w:val="20"/>
        </w:rPr>
      </w:pPr>
      <w:bookmarkStart w:id="52" w:name="_Toc491711161"/>
      <w:bookmarkStart w:id="53" w:name="_Toc492371039"/>
      <w:r w:rsidRPr="00A00D38">
        <w:rPr>
          <w:rFonts w:hAnsi="標楷體" w:hint="eastAsia"/>
          <w:color w:val="000000" w:themeColor="text1"/>
        </w:rPr>
        <w:t>國際學生之招生法制上，於「大學法」第5條、「專科學校法」第32條均有載明，「大陸地區</w:t>
      </w:r>
      <w:r w:rsidRPr="00A00D38">
        <w:rPr>
          <w:rFonts w:hint="eastAsia"/>
          <w:color w:val="000000" w:themeColor="text1"/>
        </w:rPr>
        <w:t>、香港及澳門學生與外國學生之招生入學，不受前開各該法律所定公開名額、方</w:t>
      </w:r>
      <w:r w:rsidRPr="00A00D38">
        <w:rPr>
          <w:rFonts w:hAnsi="標楷體" w:hint="eastAsia"/>
          <w:color w:val="000000" w:themeColor="text1"/>
        </w:rPr>
        <w:t>式規定之限制；類此</w:t>
      </w:r>
      <w:r w:rsidRPr="00A00D38">
        <w:rPr>
          <w:rFonts w:hint="eastAsia"/>
          <w:color w:val="000000" w:themeColor="text1"/>
        </w:rPr>
        <w:t>學生進入大學修讀學位之名額、方式、資格、辦理時程、招生委員會組成方式、錄取原則及其他有關考生權利義務事項之辦法，另由教育部或該部報請行政院定之</w:t>
      </w:r>
      <w:r w:rsidRPr="00A00D38">
        <w:rPr>
          <w:rFonts w:hAnsi="標楷體" w:hint="eastAsia"/>
          <w:color w:val="000000" w:themeColor="text1"/>
        </w:rPr>
        <w:t>。」復由「外國學生來臺就學辦法」之修法歷程觀之，該辦法前身為「外國學生來華留學辦法」，教育部配合推動「擴大招收外國學生來臺就學」方案，自94年起迭經數次修正，其修法理由略以，「為強化國內大專校院學術國際化，並促進國際文化交流及教育國際化。」亦顯示招收境外學生來臺就讀，為促進我國高等教育國際化的具體作法之一。</w:t>
      </w:r>
      <w:bookmarkEnd w:id="52"/>
      <w:bookmarkEnd w:id="53"/>
    </w:p>
    <w:p w:rsidR="006C2670" w:rsidRPr="00A00D38" w:rsidRDefault="006C2670" w:rsidP="006C2670">
      <w:pPr>
        <w:pStyle w:val="3"/>
        <w:numPr>
          <w:ilvl w:val="0"/>
          <w:numId w:val="0"/>
        </w:numPr>
        <w:adjustRightInd w:val="0"/>
        <w:ind w:left="1389"/>
        <w:rPr>
          <w:rFonts w:ascii="Times New Roman" w:hAnsi="Times New Roman"/>
          <w:color w:val="000000" w:themeColor="text1"/>
          <w:kern w:val="2"/>
          <w:szCs w:val="20"/>
        </w:rPr>
      </w:pPr>
    </w:p>
    <w:p w:rsidR="006C2670" w:rsidRPr="00A00D38" w:rsidRDefault="006C2670" w:rsidP="006C2670">
      <w:pPr>
        <w:pStyle w:val="3"/>
        <w:adjustRightInd w:val="0"/>
        <w:ind w:left="1389"/>
        <w:rPr>
          <w:rFonts w:ascii="Times New Roman" w:hAnsi="Times New Roman"/>
          <w:color w:val="000000" w:themeColor="text1"/>
          <w:kern w:val="2"/>
          <w:szCs w:val="20"/>
        </w:rPr>
      </w:pPr>
      <w:bookmarkStart w:id="54" w:name="_Toc491711162"/>
      <w:bookmarkStart w:id="55" w:name="_Toc492371040"/>
      <w:bookmarkStart w:id="56" w:name="_Toc489383067"/>
      <w:r w:rsidRPr="00A00D38">
        <w:rPr>
          <w:rFonts w:hint="eastAsia"/>
          <w:color w:val="000000" w:themeColor="text1"/>
        </w:rPr>
        <w:t>上述我國高等教育國際化之政策與法制發展歷程，適逢我國大專校院過度擴張與生源驟減之非常時期：</w:t>
      </w:r>
      <w:bookmarkEnd w:id="54"/>
      <w:bookmarkEnd w:id="55"/>
    </w:p>
    <w:p w:rsidR="006C2670" w:rsidRPr="00A00D38" w:rsidRDefault="006C2670" w:rsidP="006C2670">
      <w:pPr>
        <w:pStyle w:val="4"/>
        <w:rPr>
          <w:rFonts w:ascii="Times New Roman" w:hAnsi="Times New Roman"/>
          <w:color w:val="000000" w:themeColor="text1"/>
          <w:kern w:val="2"/>
          <w:szCs w:val="20"/>
        </w:rPr>
      </w:pPr>
      <w:r w:rsidRPr="00A00D38">
        <w:rPr>
          <w:rFonts w:hint="eastAsia"/>
          <w:color w:val="000000" w:themeColor="text1"/>
        </w:rPr>
        <w:t>學校名額方面，據「教育部統計處應用統計分析-『105學年大專校院新生註冊率變動分析』」顯示，我國大專校院數量至96學年度達到高峰，計有164校(含一般與師範大學71校、技專校院93校)，至105學年度微降至157校(含一般與師範大學70校、技專校院87校)，縱經</w:t>
      </w:r>
      <w:r w:rsidRPr="00A00D38">
        <w:rPr>
          <w:rFonts w:hAnsi="標楷體" w:hint="eastAsia"/>
          <w:color w:val="000000" w:themeColor="text1"/>
        </w:rPr>
        <w:t>「</w:t>
      </w:r>
      <w:r w:rsidRPr="00A00D38">
        <w:rPr>
          <w:rFonts w:hint="eastAsia"/>
          <w:color w:val="000000" w:themeColor="text1"/>
        </w:rPr>
        <w:t>大學法</w:t>
      </w:r>
      <w:r w:rsidRPr="00A00D38">
        <w:rPr>
          <w:rFonts w:hAnsi="標楷體" w:hint="eastAsia"/>
          <w:color w:val="000000" w:themeColor="text1"/>
        </w:rPr>
        <w:t>」</w:t>
      </w:r>
      <w:r w:rsidRPr="00A00D38">
        <w:rPr>
          <w:rFonts w:hint="eastAsia"/>
          <w:color w:val="000000" w:themeColor="text1"/>
        </w:rPr>
        <w:t>第7條於94年、100年兩度之修正與執行，賦予大學退場依據，我國大專校院總量仍未見明顯縮減。</w:t>
      </w:r>
    </w:p>
    <w:p w:rsidR="006C2670" w:rsidRPr="00A00D38" w:rsidRDefault="006C2670" w:rsidP="006C2670">
      <w:pPr>
        <w:pStyle w:val="4"/>
        <w:rPr>
          <w:rFonts w:hAnsi="標楷體"/>
          <w:b/>
          <w:color w:val="000000" w:themeColor="text1"/>
        </w:rPr>
      </w:pPr>
      <w:r w:rsidRPr="00A00D38">
        <w:rPr>
          <w:rFonts w:hint="eastAsia"/>
          <w:color w:val="000000" w:themeColor="text1"/>
        </w:rPr>
        <w:lastRenderedPageBreak/>
        <w:t>國內生源方面，依</w:t>
      </w:r>
      <w:r w:rsidRPr="00A00D38">
        <w:rPr>
          <w:rFonts w:hint="eastAsia"/>
          <w:bCs/>
          <w:color w:val="000000" w:themeColor="text1"/>
          <w:kern w:val="0"/>
          <w:lang w:val="x-none"/>
        </w:rPr>
        <w:t>國發會</w:t>
      </w:r>
      <w:r w:rsidRPr="00A00D38">
        <w:rPr>
          <w:rFonts w:hint="eastAsia"/>
          <w:color w:val="000000" w:themeColor="text1"/>
        </w:rPr>
        <w:t>重要統計資料</w:t>
      </w:r>
      <w:r w:rsidRPr="00A00D38">
        <w:rPr>
          <w:rStyle w:val="aff0"/>
          <w:color w:val="000000" w:themeColor="text1"/>
        </w:rPr>
        <w:footnoteReference w:id="2"/>
      </w:r>
      <w:r w:rsidRPr="00A00D38">
        <w:rPr>
          <w:rFonts w:hint="eastAsia"/>
          <w:color w:val="000000" w:themeColor="text1"/>
        </w:rPr>
        <w:t>略述，</w:t>
      </w:r>
      <w:r w:rsidRPr="00A00D38">
        <w:rPr>
          <w:rFonts w:hAnsi="標楷體" w:hint="eastAsia"/>
          <w:color w:val="000000" w:themeColor="text1"/>
        </w:rPr>
        <w:t>「</w:t>
      </w:r>
      <w:r w:rsidRPr="00A00D38">
        <w:rPr>
          <w:rFonts w:hint="eastAsia"/>
          <w:color w:val="000000" w:themeColor="text1"/>
        </w:rPr>
        <w:t>70年時我國人口出生數有41萬4千餘人，此後逐年減少，至96年時，出生人數較之前者，已折半減少至20萬4千餘人，99年甚至下降為16萬7千餘人之低點，推估自108年以降，均在20萬人以下</w:t>
      </w:r>
      <w:r w:rsidRPr="00A00D38">
        <w:rPr>
          <w:rFonts w:hAnsi="標楷體" w:hint="eastAsia"/>
          <w:color w:val="000000" w:themeColor="text1"/>
        </w:rPr>
        <w:t>」</w:t>
      </w:r>
      <w:r w:rsidRPr="00A00D38">
        <w:rPr>
          <w:rFonts w:hint="eastAsia"/>
          <w:color w:val="000000" w:themeColor="text1"/>
        </w:rPr>
        <w:t>；</w:t>
      </w:r>
      <w:bookmarkStart w:id="57" w:name="_Toc488227855"/>
      <w:bookmarkStart w:id="58" w:name="_Toc489383064"/>
      <w:r w:rsidRPr="00A00D38">
        <w:rPr>
          <w:rFonts w:hint="eastAsia"/>
          <w:color w:val="000000" w:themeColor="text1"/>
        </w:rPr>
        <w:t>教育部「人才培育白皮書」</w:t>
      </w:r>
      <w:r w:rsidRPr="00A00D38">
        <w:rPr>
          <w:rStyle w:val="aff0"/>
          <w:rFonts w:hAnsi="標楷體"/>
          <w:color w:val="000000" w:themeColor="text1"/>
        </w:rPr>
        <w:footnoteReference w:id="3"/>
      </w:r>
      <w:r w:rsidRPr="00A00D38">
        <w:rPr>
          <w:rFonts w:hint="eastAsia"/>
          <w:color w:val="000000" w:themeColor="text1"/>
        </w:rPr>
        <w:t>也提及，大專校院數量自</w:t>
      </w:r>
      <w:r w:rsidRPr="00A00D38">
        <w:rPr>
          <w:color w:val="000000" w:themeColor="text1"/>
        </w:rPr>
        <w:t>82</w:t>
      </w:r>
      <w:r w:rsidRPr="00A00D38">
        <w:rPr>
          <w:rFonts w:hint="eastAsia"/>
          <w:color w:val="000000" w:themeColor="text1"/>
        </w:rPr>
        <w:t>年起快速增加，至102年，大學部新生（含日間部與進修部）總招生人數已達</w:t>
      </w:r>
      <w:r w:rsidRPr="00A00D38">
        <w:rPr>
          <w:color w:val="000000" w:themeColor="text1"/>
        </w:rPr>
        <w:t>27.4</w:t>
      </w:r>
      <w:r w:rsidRPr="00A00D38">
        <w:rPr>
          <w:rFonts w:hint="eastAsia"/>
          <w:color w:val="000000" w:themeColor="text1"/>
        </w:rPr>
        <w:t>萬人，超過高中高職每年畢業生總數的</w:t>
      </w:r>
      <w:r w:rsidRPr="00A00D38">
        <w:rPr>
          <w:color w:val="000000" w:themeColor="text1"/>
        </w:rPr>
        <w:t>27</w:t>
      </w:r>
      <w:r w:rsidRPr="00A00D38">
        <w:rPr>
          <w:rFonts w:hint="eastAsia"/>
          <w:color w:val="000000" w:themeColor="text1"/>
        </w:rPr>
        <w:t>萬人，幾乎已達人人均可上大學的地步。該部亦</w:t>
      </w:r>
      <w:r w:rsidRPr="00A00D38">
        <w:rPr>
          <w:rFonts w:hAnsi="標楷體" w:hint="eastAsia"/>
          <w:color w:val="000000" w:themeColor="text1"/>
          <w:szCs w:val="32"/>
        </w:rPr>
        <w:t>預測大專校院106至115學年度期間之生源，整體將自24萬947人降至17萬7,047人，將減少6萬3,900人，減幅恐逾26.5％。</w:t>
      </w:r>
      <w:bookmarkEnd w:id="57"/>
      <w:bookmarkEnd w:id="58"/>
      <w:r w:rsidRPr="00A00D38">
        <w:rPr>
          <w:rFonts w:hint="eastAsia"/>
          <w:color w:val="000000" w:themeColor="text1"/>
        </w:rPr>
        <w:t>日前(106年3月29日)該部於立法院教育及文化委員會專題報告時更預估，117學年度大專校院學士班和專科人數將降為72.3萬人，較102學年度減少41.3萬人，15年內減少比率將近4成</w:t>
      </w:r>
      <w:r w:rsidRPr="00A00D38">
        <w:rPr>
          <w:rStyle w:val="aff0"/>
          <w:bCs/>
          <w:color w:val="000000" w:themeColor="text1"/>
          <w:kern w:val="0"/>
          <w:lang w:val="x-none"/>
        </w:rPr>
        <w:footnoteReference w:id="4"/>
      </w:r>
      <w:r w:rsidRPr="00A00D38">
        <w:rPr>
          <w:rFonts w:hint="eastAsia"/>
          <w:color w:val="000000" w:themeColor="text1"/>
        </w:rPr>
        <w:t>。</w:t>
      </w:r>
      <w:r w:rsidRPr="00A00D38">
        <w:rPr>
          <w:color w:val="000000" w:themeColor="text1"/>
        </w:rPr>
        <w:br/>
      </w:r>
    </w:p>
    <w:p w:rsidR="006C2670" w:rsidRPr="00A00D38" w:rsidRDefault="006C2670" w:rsidP="006C2670">
      <w:pPr>
        <w:pStyle w:val="3"/>
        <w:adjustRightInd w:val="0"/>
        <w:ind w:left="1389"/>
        <w:rPr>
          <w:color w:val="000000" w:themeColor="text1"/>
        </w:rPr>
      </w:pPr>
      <w:bookmarkStart w:id="59" w:name="_Toc491711163"/>
      <w:bookmarkStart w:id="60" w:name="_Toc492371041"/>
      <w:r w:rsidRPr="00A00D38">
        <w:rPr>
          <w:rFonts w:hint="eastAsia"/>
          <w:color w:val="000000" w:themeColor="text1"/>
        </w:rPr>
        <w:t>我國大學總名額未見明顯減少，國內生源因超低之出生率，預測趨勢一路下滑，惟近10年大專校院學生數仍維持在13萬人之譜，實與境外學生人數占比倍增有關(</w:t>
      </w:r>
      <w:r w:rsidRPr="00A00D38">
        <w:rPr>
          <w:rFonts w:hint="eastAsia"/>
          <w:color w:val="000000" w:themeColor="text1"/>
          <w:szCs w:val="32"/>
        </w:rPr>
        <w:t>詳如下</w:t>
      </w:r>
      <w:r w:rsidRPr="00A00D38">
        <w:rPr>
          <w:rFonts w:hint="eastAsia"/>
          <w:color w:val="000000" w:themeColor="text1"/>
        </w:rPr>
        <w:t>表</w:t>
      </w:r>
      <w:r w:rsidR="00083522">
        <w:rPr>
          <w:rFonts w:hint="eastAsia"/>
          <w:color w:val="000000" w:themeColor="text1"/>
        </w:rPr>
        <w:t>1</w:t>
      </w:r>
      <w:r w:rsidRPr="00A00D38">
        <w:rPr>
          <w:rFonts w:hint="eastAsia"/>
          <w:color w:val="000000" w:themeColor="text1"/>
        </w:rPr>
        <w:t>)。96學年度，大專校院全體</w:t>
      </w:r>
      <w:r w:rsidRPr="00A00D38">
        <w:rPr>
          <w:color w:val="000000" w:themeColor="text1"/>
        </w:rPr>
        <w:t>132</w:t>
      </w:r>
      <w:r w:rsidRPr="00A00D38">
        <w:rPr>
          <w:rFonts w:hint="eastAsia"/>
          <w:color w:val="000000" w:themeColor="text1"/>
        </w:rPr>
        <w:t>萬</w:t>
      </w:r>
      <w:r w:rsidRPr="00A00D38">
        <w:rPr>
          <w:color w:val="000000" w:themeColor="text1"/>
        </w:rPr>
        <w:t>6,029</w:t>
      </w:r>
      <w:r w:rsidRPr="00A00D38">
        <w:rPr>
          <w:rFonts w:hint="eastAsia"/>
          <w:color w:val="000000" w:themeColor="text1"/>
        </w:rPr>
        <w:t>名學生中，境外學生計3萬509人，僅占2.3</w:t>
      </w:r>
      <w:r w:rsidRPr="00A00D38">
        <w:rPr>
          <w:rFonts w:hAnsi="標楷體" w:hint="eastAsia"/>
          <w:color w:val="000000" w:themeColor="text1"/>
          <w:szCs w:val="32"/>
        </w:rPr>
        <w:t>％</w:t>
      </w:r>
      <w:r w:rsidRPr="00A00D38">
        <w:rPr>
          <w:rFonts w:hint="eastAsia"/>
          <w:color w:val="000000" w:themeColor="text1"/>
        </w:rPr>
        <w:t>，至105學年度，全體</w:t>
      </w:r>
      <w:r w:rsidRPr="00A00D38">
        <w:rPr>
          <w:color w:val="000000" w:themeColor="text1"/>
        </w:rPr>
        <w:t>13</w:t>
      </w:r>
      <w:r w:rsidRPr="00A00D38">
        <w:rPr>
          <w:rFonts w:hint="eastAsia"/>
          <w:color w:val="000000" w:themeColor="text1"/>
        </w:rPr>
        <w:t>0萬9</w:t>
      </w:r>
      <w:r w:rsidRPr="00A00D38">
        <w:rPr>
          <w:color w:val="000000" w:themeColor="text1"/>
        </w:rPr>
        <w:t>,</w:t>
      </w:r>
      <w:r w:rsidRPr="00A00D38">
        <w:rPr>
          <w:rFonts w:hint="eastAsia"/>
          <w:color w:val="000000" w:themeColor="text1"/>
        </w:rPr>
        <w:t>670名學生中，境外學生有11萬6,416名，占8.9</w:t>
      </w:r>
      <w:r w:rsidRPr="00A00D38">
        <w:rPr>
          <w:rFonts w:hAnsi="標楷體" w:hint="eastAsia"/>
          <w:color w:val="000000" w:themeColor="text1"/>
          <w:szCs w:val="32"/>
        </w:rPr>
        <w:t>％</w:t>
      </w:r>
      <w:r w:rsidRPr="00A00D38">
        <w:rPr>
          <w:rFonts w:hint="eastAsia"/>
          <w:color w:val="000000" w:themeColor="text1"/>
        </w:rPr>
        <w:t>，境外學生占比已呈倍數成長。</w:t>
      </w:r>
      <w:bookmarkStart w:id="61" w:name="_Toc489383065"/>
      <w:r w:rsidRPr="00A00D38">
        <w:rPr>
          <w:rFonts w:hint="eastAsia"/>
          <w:color w:val="000000" w:themeColor="text1"/>
        </w:rPr>
        <w:t>另依「外國學生來臺就學辦法」第</w:t>
      </w:r>
      <w:r w:rsidRPr="00A00D38">
        <w:rPr>
          <w:rFonts w:hint="eastAsia"/>
          <w:color w:val="000000" w:themeColor="text1"/>
        </w:rPr>
        <w:lastRenderedPageBreak/>
        <w:t>5條、「僑生回國就學及輔導辦法」第11條等相關規定，「大專校院於當學年度核定招生總名額內，有本國學生未招足情形者，得以外國學生、僑生名額補足。」</w:t>
      </w:r>
      <w:r w:rsidRPr="00A00D38">
        <w:rPr>
          <w:rFonts w:hAnsi="標楷體" w:hint="eastAsia"/>
          <w:color w:val="000000" w:themeColor="text1"/>
        </w:rPr>
        <w:t>以一般大學外籍生缺額流用情形為例，102年缺額流用數為964人，惟至106年已攀升至2,534人，僅4年即有1,570名缺額流用(詳如下表</w:t>
      </w:r>
      <w:r w:rsidR="00083522">
        <w:rPr>
          <w:rFonts w:hAnsi="標楷體" w:hint="eastAsia"/>
          <w:color w:val="000000" w:themeColor="text1"/>
        </w:rPr>
        <w:t>2</w:t>
      </w:r>
      <w:r w:rsidRPr="00A00D38">
        <w:rPr>
          <w:rFonts w:hAnsi="標楷體" w:hint="eastAsia"/>
          <w:color w:val="000000" w:themeColor="text1"/>
        </w:rPr>
        <w:t>)。科技校院方面，</w:t>
      </w:r>
      <w:r w:rsidRPr="00A00D38">
        <w:rPr>
          <w:rFonts w:hint="eastAsia"/>
          <w:color w:val="000000" w:themeColor="text1"/>
        </w:rPr>
        <w:t>105學年度國立臺灣科技大學首次用罄當學年度核定得招收外國學生總額的263名，並以本國生招生缺額之65名予以招收外國學生。由此顯示，我國大專校院積極招收境外學生，除為加速推進高等教育國際化外，對於國內部分學校而言，不啻為改善招生困境之一劑強心針。</w:t>
      </w:r>
      <w:bookmarkEnd w:id="59"/>
      <w:bookmarkEnd w:id="60"/>
      <w:bookmarkEnd w:id="61"/>
    </w:p>
    <w:p w:rsidR="006C2670" w:rsidRPr="00A00D38" w:rsidRDefault="006C2670" w:rsidP="006C2670">
      <w:pPr>
        <w:pStyle w:val="a4"/>
        <w:ind w:left="697" w:firstLine="12"/>
        <w:jc w:val="center"/>
        <w:rPr>
          <w:rFonts w:hAnsi="標楷體"/>
          <w:b/>
          <w:color w:val="000000" w:themeColor="text1"/>
        </w:rPr>
      </w:pPr>
      <w:r w:rsidRPr="00A00D38">
        <w:rPr>
          <w:rFonts w:hAnsi="標楷體" w:hint="eastAsia"/>
          <w:b/>
          <w:color w:val="000000" w:themeColor="text1"/>
          <w:szCs w:val="32"/>
        </w:rPr>
        <w:t>我國大專校院(含一般大學與技職校院)學校數量及學生數</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2"/>
        <w:gridCol w:w="1752"/>
        <w:gridCol w:w="1871"/>
        <w:gridCol w:w="3388"/>
      </w:tblGrid>
      <w:tr w:rsidR="00A00D38" w:rsidRPr="00A00D38" w:rsidTr="00021F7F">
        <w:trPr>
          <w:trHeight w:val="538"/>
          <w:tblHeader/>
          <w:jc w:val="center"/>
        </w:trPr>
        <w:tc>
          <w:tcPr>
            <w:tcW w:w="690" w:type="pct"/>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hint="eastAsia"/>
                <w:b/>
                <w:color w:val="000000" w:themeColor="text1"/>
                <w:kern w:val="0"/>
                <w:sz w:val="24"/>
                <w:szCs w:val="24"/>
              </w:rPr>
              <w:t>學年度</w:t>
            </w:r>
          </w:p>
        </w:tc>
        <w:tc>
          <w:tcPr>
            <w:tcW w:w="1077" w:type="pct"/>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hint="eastAsia"/>
                <w:b/>
                <w:color w:val="000000" w:themeColor="text1"/>
                <w:kern w:val="0"/>
                <w:sz w:val="24"/>
                <w:szCs w:val="24"/>
              </w:rPr>
              <w:t>校數</w:t>
            </w:r>
          </w:p>
        </w:tc>
        <w:tc>
          <w:tcPr>
            <w:tcW w:w="1150" w:type="pct"/>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bCs/>
                <w:color w:val="000000" w:themeColor="text1"/>
                <w:kern w:val="0"/>
                <w:sz w:val="24"/>
                <w:szCs w:val="24"/>
              </w:rPr>
            </w:pPr>
            <w:r w:rsidRPr="00A00D38">
              <w:rPr>
                <w:rFonts w:hAnsi="標楷體" w:hint="eastAsia"/>
                <w:b/>
                <w:bCs/>
                <w:color w:val="000000" w:themeColor="text1"/>
                <w:kern w:val="0"/>
                <w:sz w:val="24"/>
                <w:szCs w:val="24"/>
              </w:rPr>
              <w:t>學生數</w:t>
            </w:r>
          </w:p>
        </w:tc>
        <w:tc>
          <w:tcPr>
            <w:tcW w:w="2083" w:type="pct"/>
            <w:shd w:val="clear" w:color="000000" w:fill="FFF2CC"/>
            <w:vAlign w:val="center"/>
          </w:tcPr>
          <w:p w:rsidR="006C2670" w:rsidRPr="00A00D38" w:rsidRDefault="006C2670" w:rsidP="00021F7F">
            <w:pPr>
              <w:widowControl/>
              <w:overflowPunct/>
              <w:autoSpaceDE/>
              <w:autoSpaceDN/>
              <w:adjustRightInd w:val="0"/>
              <w:snapToGrid w:val="0"/>
              <w:jc w:val="center"/>
              <w:rPr>
                <w:rFonts w:hAnsi="標楷體"/>
                <w:b/>
                <w:bCs/>
                <w:color w:val="000000" w:themeColor="text1"/>
                <w:kern w:val="0"/>
                <w:sz w:val="24"/>
                <w:szCs w:val="24"/>
              </w:rPr>
            </w:pPr>
            <w:r w:rsidRPr="00A00D38">
              <w:rPr>
                <w:rFonts w:hAnsi="標楷體" w:hint="eastAsia"/>
                <w:b/>
                <w:bCs/>
                <w:color w:val="000000" w:themeColor="text1"/>
                <w:kern w:val="0"/>
                <w:sz w:val="24"/>
                <w:szCs w:val="24"/>
              </w:rPr>
              <w:t>境外學生(在臺留學/研習)</w:t>
            </w:r>
            <w:r w:rsidRPr="00A00D38">
              <w:rPr>
                <w:rFonts w:hAnsi="標楷體"/>
                <w:b/>
                <w:bCs/>
                <w:color w:val="000000" w:themeColor="text1"/>
                <w:kern w:val="0"/>
                <w:sz w:val="24"/>
                <w:szCs w:val="24"/>
              </w:rPr>
              <w:br/>
            </w:r>
            <w:r w:rsidRPr="00A00D38">
              <w:rPr>
                <w:rFonts w:hAnsi="標楷體" w:hint="eastAsia"/>
                <w:b/>
                <w:bCs/>
                <w:color w:val="000000" w:themeColor="text1"/>
                <w:kern w:val="0"/>
                <w:sz w:val="24"/>
                <w:szCs w:val="24"/>
              </w:rPr>
              <w:t>人數(占比％)</w:t>
            </w:r>
          </w:p>
        </w:tc>
      </w:tr>
      <w:tr w:rsidR="00A00D38" w:rsidRPr="00A00D38" w:rsidTr="00021F7F">
        <w:trPr>
          <w:trHeight w:val="340"/>
          <w:jc w:val="center"/>
        </w:trPr>
        <w:tc>
          <w:tcPr>
            <w:tcW w:w="69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b/>
                <w:color w:val="000000" w:themeColor="text1"/>
                <w:kern w:val="0"/>
                <w:sz w:val="24"/>
                <w:szCs w:val="24"/>
              </w:rPr>
              <w:t>96</w:t>
            </w:r>
          </w:p>
        </w:tc>
        <w:tc>
          <w:tcPr>
            <w:tcW w:w="1077"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164</w:t>
            </w:r>
          </w:p>
        </w:tc>
        <w:tc>
          <w:tcPr>
            <w:tcW w:w="115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1,326,029</w:t>
            </w:r>
          </w:p>
        </w:tc>
        <w:tc>
          <w:tcPr>
            <w:tcW w:w="2083" w:type="pct"/>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30,509(2.3)</w:t>
            </w:r>
          </w:p>
        </w:tc>
      </w:tr>
      <w:tr w:rsidR="00A00D38" w:rsidRPr="00A00D38" w:rsidTr="00021F7F">
        <w:trPr>
          <w:trHeight w:val="340"/>
          <w:jc w:val="center"/>
        </w:trPr>
        <w:tc>
          <w:tcPr>
            <w:tcW w:w="69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b/>
                <w:color w:val="000000" w:themeColor="text1"/>
                <w:kern w:val="0"/>
                <w:sz w:val="24"/>
                <w:szCs w:val="24"/>
              </w:rPr>
              <w:t>97</w:t>
            </w:r>
          </w:p>
        </w:tc>
        <w:tc>
          <w:tcPr>
            <w:tcW w:w="1077"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162</w:t>
            </w:r>
          </w:p>
        </w:tc>
        <w:tc>
          <w:tcPr>
            <w:tcW w:w="115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1,337,455</w:t>
            </w:r>
          </w:p>
        </w:tc>
        <w:tc>
          <w:tcPr>
            <w:tcW w:w="2083" w:type="pct"/>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33,582(2.5)</w:t>
            </w:r>
          </w:p>
        </w:tc>
      </w:tr>
      <w:tr w:rsidR="00A00D38" w:rsidRPr="00A00D38" w:rsidTr="00021F7F">
        <w:trPr>
          <w:trHeight w:val="340"/>
          <w:jc w:val="center"/>
        </w:trPr>
        <w:tc>
          <w:tcPr>
            <w:tcW w:w="69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b/>
                <w:color w:val="000000" w:themeColor="text1"/>
                <w:kern w:val="0"/>
                <w:sz w:val="24"/>
                <w:szCs w:val="24"/>
              </w:rPr>
              <w:t>98</w:t>
            </w:r>
          </w:p>
        </w:tc>
        <w:tc>
          <w:tcPr>
            <w:tcW w:w="1077"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164</w:t>
            </w:r>
          </w:p>
        </w:tc>
        <w:tc>
          <w:tcPr>
            <w:tcW w:w="115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1,336,659</w:t>
            </w:r>
          </w:p>
        </w:tc>
        <w:tc>
          <w:tcPr>
            <w:tcW w:w="2083" w:type="pct"/>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39,533(3.0)</w:t>
            </w:r>
          </w:p>
        </w:tc>
      </w:tr>
      <w:tr w:rsidR="00A00D38" w:rsidRPr="00A00D38" w:rsidTr="00021F7F">
        <w:trPr>
          <w:trHeight w:val="340"/>
          <w:jc w:val="center"/>
        </w:trPr>
        <w:tc>
          <w:tcPr>
            <w:tcW w:w="69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b/>
                <w:color w:val="000000" w:themeColor="text1"/>
                <w:kern w:val="0"/>
                <w:sz w:val="24"/>
                <w:szCs w:val="24"/>
              </w:rPr>
              <w:t>99</w:t>
            </w:r>
          </w:p>
        </w:tc>
        <w:tc>
          <w:tcPr>
            <w:tcW w:w="1077"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163</w:t>
            </w:r>
          </w:p>
        </w:tc>
        <w:tc>
          <w:tcPr>
            <w:tcW w:w="115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1,343,603</w:t>
            </w:r>
          </w:p>
        </w:tc>
        <w:tc>
          <w:tcPr>
            <w:tcW w:w="2083" w:type="pct"/>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45,413(3.4)</w:t>
            </w:r>
          </w:p>
        </w:tc>
      </w:tr>
      <w:tr w:rsidR="00A00D38" w:rsidRPr="00A00D38" w:rsidTr="00021F7F">
        <w:trPr>
          <w:trHeight w:val="340"/>
          <w:jc w:val="center"/>
        </w:trPr>
        <w:tc>
          <w:tcPr>
            <w:tcW w:w="69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b/>
                <w:color w:val="000000" w:themeColor="text1"/>
                <w:kern w:val="0"/>
                <w:sz w:val="24"/>
                <w:szCs w:val="24"/>
              </w:rPr>
              <w:t>100</w:t>
            </w:r>
          </w:p>
        </w:tc>
        <w:tc>
          <w:tcPr>
            <w:tcW w:w="1077"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163</w:t>
            </w:r>
          </w:p>
        </w:tc>
        <w:tc>
          <w:tcPr>
            <w:tcW w:w="115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1,352,084</w:t>
            </w:r>
          </w:p>
        </w:tc>
        <w:tc>
          <w:tcPr>
            <w:tcW w:w="2083" w:type="pct"/>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57,920(4.3)</w:t>
            </w:r>
          </w:p>
        </w:tc>
      </w:tr>
      <w:tr w:rsidR="00A00D38" w:rsidRPr="00A00D38" w:rsidTr="00021F7F">
        <w:trPr>
          <w:trHeight w:val="340"/>
          <w:jc w:val="center"/>
        </w:trPr>
        <w:tc>
          <w:tcPr>
            <w:tcW w:w="69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b/>
                <w:color w:val="000000" w:themeColor="text1"/>
                <w:kern w:val="0"/>
                <w:sz w:val="24"/>
                <w:szCs w:val="24"/>
              </w:rPr>
              <w:t>101</w:t>
            </w:r>
          </w:p>
        </w:tc>
        <w:tc>
          <w:tcPr>
            <w:tcW w:w="1077"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162</w:t>
            </w:r>
          </w:p>
        </w:tc>
        <w:tc>
          <w:tcPr>
            <w:tcW w:w="115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1,355,290</w:t>
            </w:r>
          </w:p>
        </w:tc>
        <w:tc>
          <w:tcPr>
            <w:tcW w:w="2083" w:type="pct"/>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66,961(4.9)</w:t>
            </w:r>
          </w:p>
        </w:tc>
      </w:tr>
      <w:tr w:rsidR="00A00D38" w:rsidRPr="00A00D38" w:rsidTr="00021F7F">
        <w:trPr>
          <w:trHeight w:val="340"/>
          <w:jc w:val="center"/>
        </w:trPr>
        <w:tc>
          <w:tcPr>
            <w:tcW w:w="69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b/>
                <w:color w:val="000000" w:themeColor="text1"/>
                <w:kern w:val="0"/>
                <w:sz w:val="24"/>
                <w:szCs w:val="24"/>
              </w:rPr>
              <w:t>102</w:t>
            </w:r>
          </w:p>
        </w:tc>
        <w:tc>
          <w:tcPr>
            <w:tcW w:w="1077"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161</w:t>
            </w:r>
          </w:p>
        </w:tc>
        <w:tc>
          <w:tcPr>
            <w:tcW w:w="115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1,345,973</w:t>
            </w:r>
          </w:p>
        </w:tc>
        <w:tc>
          <w:tcPr>
            <w:tcW w:w="2083" w:type="pct"/>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79,730(5.9)</w:t>
            </w:r>
          </w:p>
        </w:tc>
      </w:tr>
      <w:tr w:rsidR="00A00D38" w:rsidRPr="00A00D38" w:rsidTr="00021F7F">
        <w:trPr>
          <w:trHeight w:val="340"/>
          <w:jc w:val="center"/>
        </w:trPr>
        <w:tc>
          <w:tcPr>
            <w:tcW w:w="69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b/>
                <w:color w:val="000000" w:themeColor="text1"/>
                <w:kern w:val="0"/>
                <w:sz w:val="24"/>
                <w:szCs w:val="24"/>
              </w:rPr>
              <w:t>103</w:t>
            </w:r>
          </w:p>
        </w:tc>
        <w:tc>
          <w:tcPr>
            <w:tcW w:w="1077"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159</w:t>
            </w:r>
          </w:p>
        </w:tc>
        <w:tc>
          <w:tcPr>
            <w:tcW w:w="115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1,339,849</w:t>
            </w:r>
          </w:p>
        </w:tc>
        <w:tc>
          <w:tcPr>
            <w:tcW w:w="2083" w:type="pct"/>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93,645(7.0)</w:t>
            </w:r>
          </w:p>
        </w:tc>
      </w:tr>
      <w:tr w:rsidR="00A00D38" w:rsidRPr="00A00D38" w:rsidTr="00021F7F">
        <w:trPr>
          <w:trHeight w:val="340"/>
          <w:jc w:val="center"/>
        </w:trPr>
        <w:tc>
          <w:tcPr>
            <w:tcW w:w="69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b/>
                <w:color w:val="000000" w:themeColor="text1"/>
                <w:kern w:val="0"/>
                <w:sz w:val="24"/>
                <w:szCs w:val="24"/>
              </w:rPr>
              <w:t>104</w:t>
            </w:r>
          </w:p>
        </w:tc>
        <w:tc>
          <w:tcPr>
            <w:tcW w:w="1077"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158</w:t>
            </w:r>
          </w:p>
        </w:tc>
        <w:tc>
          <w:tcPr>
            <w:tcW w:w="1150" w:type="pct"/>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bCs/>
                <w:color w:val="000000" w:themeColor="text1"/>
                <w:kern w:val="0"/>
                <w:sz w:val="24"/>
                <w:szCs w:val="24"/>
              </w:rPr>
              <w:t>1,332,445</w:t>
            </w:r>
          </w:p>
        </w:tc>
        <w:tc>
          <w:tcPr>
            <w:tcW w:w="2083" w:type="pct"/>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111,340(8.4)</w:t>
            </w:r>
          </w:p>
        </w:tc>
      </w:tr>
      <w:tr w:rsidR="00A00D38" w:rsidRPr="00A00D38" w:rsidTr="00021F7F">
        <w:trPr>
          <w:trHeight w:val="340"/>
          <w:jc w:val="center"/>
        </w:trPr>
        <w:tc>
          <w:tcPr>
            <w:tcW w:w="690" w:type="pct"/>
            <w:shd w:val="clear" w:color="auto" w:fill="auto"/>
            <w:noWrap/>
            <w:vAlign w:val="center"/>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4"/>
                <w:szCs w:val="24"/>
              </w:rPr>
            </w:pPr>
            <w:r w:rsidRPr="00A00D38">
              <w:rPr>
                <w:rFonts w:hAnsi="標楷體" w:hint="eastAsia"/>
                <w:b/>
                <w:color w:val="000000" w:themeColor="text1"/>
                <w:kern w:val="0"/>
                <w:sz w:val="24"/>
                <w:szCs w:val="24"/>
              </w:rPr>
              <w:t>105</w:t>
            </w:r>
          </w:p>
        </w:tc>
        <w:tc>
          <w:tcPr>
            <w:tcW w:w="1077" w:type="pct"/>
            <w:shd w:val="clear" w:color="auto" w:fill="auto"/>
            <w:noWrap/>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157</w:t>
            </w:r>
          </w:p>
        </w:tc>
        <w:tc>
          <w:tcPr>
            <w:tcW w:w="1150" w:type="pct"/>
            <w:shd w:val="clear" w:color="auto" w:fill="auto"/>
            <w:noWrap/>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1,309,670</w:t>
            </w:r>
          </w:p>
        </w:tc>
        <w:tc>
          <w:tcPr>
            <w:tcW w:w="2083" w:type="pct"/>
            <w:vAlign w:val="center"/>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4"/>
                <w:szCs w:val="24"/>
              </w:rPr>
            </w:pPr>
            <w:r w:rsidRPr="00A00D38">
              <w:rPr>
                <w:rFonts w:hAnsi="標楷體" w:hint="eastAsia"/>
                <w:bCs/>
                <w:color w:val="000000" w:themeColor="text1"/>
                <w:kern w:val="0"/>
                <w:sz w:val="24"/>
                <w:szCs w:val="24"/>
              </w:rPr>
              <w:t>116,416(8.9)</w:t>
            </w:r>
          </w:p>
        </w:tc>
      </w:tr>
    </w:tbl>
    <w:p w:rsidR="006C2670" w:rsidRPr="00A00D38" w:rsidRDefault="006C2670" w:rsidP="006C2670">
      <w:pPr>
        <w:spacing w:line="240" w:lineRule="exact"/>
        <w:ind w:leftChars="100" w:left="340"/>
        <w:rPr>
          <w:rFonts w:hAnsi="標楷體"/>
          <w:color w:val="000000" w:themeColor="text1"/>
          <w:sz w:val="24"/>
          <w:szCs w:val="24"/>
        </w:rPr>
      </w:pPr>
      <w:r w:rsidRPr="00A00D38">
        <w:rPr>
          <w:rFonts w:hAnsi="標楷體" w:hint="eastAsia"/>
          <w:color w:val="000000" w:themeColor="text1"/>
          <w:sz w:val="24"/>
          <w:szCs w:val="24"/>
        </w:rPr>
        <w:t>註：本表大專校院在學學生人數包含宗教研修院。</w:t>
      </w:r>
    </w:p>
    <w:p w:rsidR="006C2670" w:rsidRPr="00A00D38" w:rsidRDefault="006C2670" w:rsidP="006C2670">
      <w:pPr>
        <w:pStyle w:val="af8"/>
        <w:spacing w:line="240" w:lineRule="exact"/>
        <w:ind w:leftChars="100" w:left="340"/>
        <w:rPr>
          <w:color w:val="000000" w:themeColor="text1"/>
          <w:sz w:val="24"/>
          <w:szCs w:val="24"/>
        </w:rPr>
      </w:pPr>
      <w:r w:rsidRPr="00A00D38">
        <w:rPr>
          <w:rFonts w:hint="eastAsia"/>
          <w:color w:val="000000" w:themeColor="text1"/>
          <w:sz w:val="24"/>
          <w:szCs w:val="24"/>
        </w:rPr>
        <w:t>資料來源：教育部查復資料。</w:t>
      </w:r>
    </w:p>
    <w:p w:rsidR="00083522" w:rsidRPr="00A00D38" w:rsidRDefault="00083522" w:rsidP="006C2670">
      <w:pPr>
        <w:pStyle w:val="af8"/>
        <w:spacing w:line="240" w:lineRule="exact"/>
        <w:ind w:leftChars="100" w:left="340"/>
        <w:rPr>
          <w:color w:val="000000" w:themeColor="text1"/>
          <w:sz w:val="24"/>
          <w:szCs w:val="24"/>
        </w:rPr>
      </w:pPr>
    </w:p>
    <w:p w:rsidR="006C2670" w:rsidRPr="00A00D38" w:rsidRDefault="006C2670" w:rsidP="006C2670">
      <w:pPr>
        <w:pStyle w:val="a4"/>
        <w:ind w:left="482" w:hanging="482"/>
        <w:jc w:val="center"/>
        <w:rPr>
          <w:color w:val="000000" w:themeColor="text1"/>
        </w:rPr>
      </w:pPr>
      <w:bookmarkStart w:id="62" w:name="_Toc488227856"/>
      <w:bookmarkEnd w:id="56"/>
      <w:r w:rsidRPr="00A00D38">
        <w:rPr>
          <w:rFonts w:hint="eastAsia"/>
          <w:b/>
          <w:color w:val="000000" w:themeColor="text1"/>
        </w:rPr>
        <w:t>境外學生之本地生缺額流用數</w:t>
      </w:r>
    </w:p>
    <w:tbl>
      <w:tblPr>
        <w:tblW w:w="5173" w:type="pct"/>
        <w:tblCellMar>
          <w:left w:w="28" w:type="dxa"/>
          <w:right w:w="28" w:type="dxa"/>
        </w:tblCellMar>
        <w:tblLook w:val="04A0" w:firstRow="1" w:lastRow="0" w:firstColumn="1" w:lastColumn="0" w:noHBand="0" w:noVBand="1"/>
      </w:tblPr>
      <w:tblGrid>
        <w:gridCol w:w="1099"/>
        <w:gridCol w:w="1462"/>
        <w:gridCol w:w="1409"/>
        <w:gridCol w:w="1267"/>
        <w:gridCol w:w="1232"/>
        <w:gridCol w:w="1406"/>
        <w:gridCol w:w="1265"/>
      </w:tblGrid>
      <w:tr w:rsidR="00A00D38" w:rsidRPr="00A00D38" w:rsidTr="00021F7F">
        <w:trPr>
          <w:trHeight w:val="552"/>
          <w:tblHeader/>
        </w:trPr>
        <w:tc>
          <w:tcPr>
            <w:tcW w:w="601" w:type="pct"/>
            <w:vMerge w:val="restart"/>
            <w:tcBorders>
              <w:top w:val="single" w:sz="4" w:space="0" w:color="auto"/>
              <w:left w:val="single" w:sz="4" w:space="0" w:color="auto"/>
              <w:right w:val="single" w:sz="4" w:space="0" w:color="auto"/>
            </w:tcBorders>
            <w:shd w:val="clear" w:color="auto" w:fill="auto"/>
            <w:vAlign w:val="center"/>
          </w:tcPr>
          <w:p w:rsidR="006C2670" w:rsidRPr="00A00D38" w:rsidRDefault="006C2670" w:rsidP="00021F7F">
            <w:pPr>
              <w:jc w:val="center"/>
              <w:outlineLvl w:val="0"/>
              <w:rPr>
                <w:rFonts w:hAnsi="標楷體" w:cs="Arial"/>
                <w:b/>
                <w:color w:val="000000" w:themeColor="text1"/>
                <w:kern w:val="0"/>
                <w:sz w:val="28"/>
                <w:szCs w:val="28"/>
              </w:rPr>
            </w:pPr>
            <w:r w:rsidRPr="00A00D38">
              <w:rPr>
                <w:rFonts w:hAnsi="標楷體" w:cs="Arial" w:hint="eastAsia"/>
                <w:b/>
                <w:color w:val="000000" w:themeColor="text1"/>
                <w:kern w:val="0"/>
                <w:sz w:val="28"/>
                <w:szCs w:val="28"/>
              </w:rPr>
              <w:t>學年度</w:t>
            </w:r>
          </w:p>
        </w:tc>
        <w:tc>
          <w:tcPr>
            <w:tcW w:w="2938" w:type="pct"/>
            <w:gridSpan w:val="4"/>
            <w:tcBorders>
              <w:top w:val="single" w:sz="4" w:space="0" w:color="auto"/>
              <w:left w:val="nil"/>
              <w:bottom w:val="single" w:sz="4" w:space="0" w:color="auto"/>
              <w:right w:val="single" w:sz="4" w:space="0" w:color="auto"/>
            </w:tcBorders>
            <w:shd w:val="clear" w:color="auto" w:fill="F2DBDB" w:themeFill="accent2" w:themeFillTint="33"/>
            <w:vAlign w:val="center"/>
          </w:tcPr>
          <w:p w:rsidR="006C2670" w:rsidRPr="00A00D38" w:rsidRDefault="006C2670" w:rsidP="00021F7F">
            <w:pPr>
              <w:widowControl/>
              <w:jc w:val="center"/>
              <w:outlineLvl w:val="0"/>
              <w:rPr>
                <w:rFonts w:hAnsi="標楷體" w:cs="Arial"/>
                <w:b/>
                <w:color w:val="000000" w:themeColor="text1"/>
                <w:kern w:val="0"/>
                <w:sz w:val="28"/>
                <w:szCs w:val="28"/>
              </w:rPr>
            </w:pPr>
            <w:r w:rsidRPr="00A00D38">
              <w:rPr>
                <w:rFonts w:hAnsi="標楷體" w:cs="Arial" w:hint="eastAsia"/>
                <w:b/>
                <w:color w:val="000000" w:themeColor="text1"/>
                <w:kern w:val="0"/>
                <w:sz w:val="28"/>
                <w:szCs w:val="28"/>
              </w:rPr>
              <w:t>一般大學</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C2670" w:rsidRPr="00A00D38" w:rsidRDefault="006C2670" w:rsidP="00021F7F">
            <w:pPr>
              <w:widowControl/>
              <w:jc w:val="center"/>
              <w:outlineLvl w:val="0"/>
              <w:rPr>
                <w:rFonts w:hAnsi="標楷體" w:cs="Arial"/>
                <w:b/>
                <w:color w:val="000000" w:themeColor="text1"/>
                <w:kern w:val="0"/>
                <w:sz w:val="28"/>
                <w:szCs w:val="28"/>
              </w:rPr>
            </w:pPr>
            <w:r w:rsidRPr="00A00D38">
              <w:rPr>
                <w:rFonts w:hAnsi="標楷體" w:cs="Arial" w:hint="eastAsia"/>
                <w:b/>
                <w:color w:val="000000" w:themeColor="text1"/>
                <w:kern w:val="0"/>
                <w:sz w:val="28"/>
                <w:szCs w:val="28"/>
              </w:rPr>
              <w:t>科技校院</w:t>
            </w:r>
          </w:p>
        </w:tc>
        <w:tc>
          <w:tcPr>
            <w:tcW w:w="693" w:type="pct"/>
            <w:vMerge w:val="restart"/>
            <w:tcBorders>
              <w:top w:val="single" w:sz="4" w:space="0" w:color="auto"/>
              <w:left w:val="single" w:sz="4" w:space="0" w:color="auto"/>
              <w:right w:val="single" w:sz="4" w:space="0" w:color="auto"/>
            </w:tcBorders>
            <w:shd w:val="clear" w:color="auto" w:fill="DAEEF3" w:themeFill="accent5" w:themeFillTint="33"/>
            <w:vAlign w:val="center"/>
          </w:tcPr>
          <w:p w:rsidR="006C2670" w:rsidRPr="00A00D38" w:rsidRDefault="006C2670" w:rsidP="00021F7F">
            <w:pPr>
              <w:jc w:val="center"/>
              <w:outlineLvl w:val="0"/>
              <w:rPr>
                <w:rFonts w:hAnsi="標楷體" w:cs="Arial"/>
                <w:b/>
                <w:color w:val="000000" w:themeColor="text1"/>
                <w:kern w:val="0"/>
                <w:sz w:val="28"/>
                <w:szCs w:val="28"/>
              </w:rPr>
            </w:pPr>
            <w:r w:rsidRPr="00A00D38">
              <w:rPr>
                <w:rFonts w:hAnsi="標楷體" w:cs="Arial" w:hint="eastAsia"/>
                <w:b/>
                <w:color w:val="000000" w:themeColor="text1"/>
                <w:kern w:val="0"/>
                <w:sz w:val="28"/>
                <w:szCs w:val="28"/>
              </w:rPr>
              <w:t>總計</w:t>
            </w:r>
          </w:p>
        </w:tc>
      </w:tr>
      <w:tr w:rsidR="00A00D38" w:rsidRPr="00A00D38" w:rsidTr="00021F7F">
        <w:trPr>
          <w:trHeight w:val="552"/>
          <w:tblHeader/>
        </w:trPr>
        <w:tc>
          <w:tcPr>
            <w:tcW w:w="601" w:type="pct"/>
            <w:vMerge/>
            <w:tcBorders>
              <w:left w:val="single" w:sz="4" w:space="0" w:color="auto"/>
              <w:bottom w:val="single" w:sz="4" w:space="0" w:color="auto"/>
              <w:right w:val="single" w:sz="4" w:space="0" w:color="auto"/>
            </w:tcBorders>
            <w:shd w:val="clear" w:color="auto" w:fill="auto"/>
            <w:vAlign w:val="center"/>
            <w:hideMark/>
          </w:tcPr>
          <w:p w:rsidR="006C2670" w:rsidRPr="00A00D38" w:rsidRDefault="006C2670" w:rsidP="00021F7F">
            <w:pPr>
              <w:widowControl/>
              <w:jc w:val="center"/>
              <w:outlineLvl w:val="0"/>
              <w:rPr>
                <w:rFonts w:hAnsi="標楷體" w:cs="Arial"/>
                <w:b/>
                <w:color w:val="000000" w:themeColor="text1"/>
                <w:kern w:val="0"/>
                <w:sz w:val="28"/>
                <w:szCs w:val="28"/>
              </w:rPr>
            </w:pPr>
          </w:p>
        </w:tc>
        <w:tc>
          <w:tcPr>
            <w:tcW w:w="800" w:type="pct"/>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hint="eastAsia"/>
                <w:color w:val="000000" w:themeColor="text1"/>
                <w:kern w:val="0"/>
                <w:sz w:val="28"/>
                <w:szCs w:val="28"/>
              </w:rPr>
              <w:t>日間學制學士班</w:t>
            </w:r>
          </w:p>
        </w:tc>
        <w:tc>
          <w:tcPr>
            <w:tcW w:w="771" w:type="pct"/>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hint="eastAsia"/>
                <w:color w:val="000000" w:themeColor="text1"/>
                <w:kern w:val="0"/>
                <w:sz w:val="28"/>
                <w:szCs w:val="28"/>
              </w:rPr>
              <w:t>日間學制碩士班</w:t>
            </w:r>
          </w:p>
        </w:tc>
        <w:tc>
          <w:tcPr>
            <w:tcW w:w="693" w:type="pct"/>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hint="eastAsia"/>
                <w:color w:val="000000" w:themeColor="text1"/>
                <w:kern w:val="0"/>
                <w:sz w:val="28"/>
                <w:szCs w:val="28"/>
              </w:rPr>
              <w:t>日間學制博士班</w:t>
            </w:r>
          </w:p>
        </w:tc>
        <w:tc>
          <w:tcPr>
            <w:tcW w:w="674" w:type="pct"/>
            <w:tcBorders>
              <w:top w:val="single" w:sz="4" w:space="0" w:color="auto"/>
              <w:left w:val="nil"/>
              <w:bottom w:val="single" w:sz="4" w:space="0" w:color="auto"/>
              <w:right w:val="single" w:sz="4" w:space="0" w:color="auto"/>
            </w:tcBorders>
            <w:shd w:val="clear" w:color="auto" w:fill="F2DBDB" w:themeFill="accent2" w:themeFillTint="33"/>
          </w:tcPr>
          <w:p w:rsidR="006C2670" w:rsidRPr="00A00D38" w:rsidRDefault="006C2670" w:rsidP="00021F7F">
            <w:pPr>
              <w:widowControl/>
              <w:jc w:val="center"/>
              <w:outlineLvl w:val="0"/>
              <w:rPr>
                <w:rFonts w:hAnsi="標楷體" w:cs="Arial"/>
                <w:b/>
                <w:color w:val="000000" w:themeColor="text1"/>
                <w:kern w:val="0"/>
                <w:sz w:val="28"/>
                <w:szCs w:val="28"/>
              </w:rPr>
            </w:pPr>
            <w:r w:rsidRPr="00A00D38">
              <w:rPr>
                <w:rFonts w:hAnsi="標楷體" w:cs="Arial" w:hint="eastAsia"/>
                <w:b/>
                <w:color w:val="000000" w:themeColor="text1"/>
                <w:kern w:val="0"/>
                <w:sz w:val="28"/>
                <w:szCs w:val="28"/>
              </w:rPr>
              <w:t>小計</w:t>
            </w:r>
          </w:p>
        </w:tc>
        <w:tc>
          <w:tcPr>
            <w:tcW w:w="769" w:type="pct"/>
            <w:vMerge/>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C2670" w:rsidRPr="00A00D38" w:rsidRDefault="006C2670" w:rsidP="00021F7F">
            <w:pPr>
              <w:widowControl/>
              <w:jc w:val="center"/>
              <w:outlineLvl w:val="0"/>
              <w:rPr>
                <w:rFonts w:hAnsi="標楷體" w:cs="Arial"/>
                <w:b/>
                <w:color w:val="000000" w:themeColor="text1"/>
                <w:kern w:val="0"/>
                <w:sz w:val="28"/>
                <w:szCs w:val="28"/>
              </w:rPr>
            </w:pPr>
          </w:p>
        </w:tc>
        <w:tc>
          <w:tcPr>
            <w:tcW w:w="693" w:type="pct"/>
            <w:vMerge/>
            <w:tcBorders>
              <w:left w:val="single" w:sz="4" w:space="0" w:color="auto"/>
              <w:bottom w:val="single" w:sz="4" w:space="0" w:color="auto"/>
              <w:right w:val="single" w:sz="4" w:space="0" w:color="auto"/>
            </w:tcBorders>
            <w:shd w:val="clear" w:color="auto" w:fill="DAEEF3" w:themeFill="accent5" w:themeFillTint="33"/>
            <w:vAlign w:val="center"/>
            <w:hideMark/>
          </w:tcPr>
          <w:p w:rsidR="006C2670" w:rsidRPr="00A00D38" w:rsidRDefault="006C2670" w:rsidP="00021F7F">
            <w:pPr>
              <w:widowControl/>
              <w:jc w:val="center"/>
              <w:outlineLvl w:val="0"/>
              <w:rPr>
                <w:rFonts w:hAnsi="標楷體" w:cs="Arial"/>
                <w:b/>
                <w:color w:val="000000" w:themeColor="text1"/>
                <w:kern w:val="0"/>
                <w:sz w:val="28"/>
                <w:szCs w:val="28"/>
              </w:rPr>
            </w:pPr>
          </w:p>
        </w:tc>
      </w:tr>
      <w:tr w:rsidR="00A00D38" w:rsidRPr="00A00D38" w:rsidTr="00021F7F">
        <w:trPr>
          <w:trHeight w:val="264"/>
        </w:trPr>
        <w:tc>
          <w:tcPr>
            <w:tcW w:w="601"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102</w:t>
            </w:r>
          </w:p>
        </w:tc>
        <w:tc>
          <w:tcPr>
            <w:tcW w:w="800"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230</w:t>
            </w:r>
          </w:p>
        </w:tc>
        <w:tc>
          <w:tcPr>
            <w:tcW w:w="771"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569</w:t>
            </w:r>
          </w:p>
        </w:tc>
        <w:tc>
          <w:tcPr>
            <w:tcW w:w="693"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165</w:t>
            </w:r>
          </w:p>
        </w:tc>
        <w:tc>
          <w:tcPr>
            <w:tcW w:w="674"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6C2670" w:rsidRPr="00A00D38" w:rsidRDefault="006C2670" w:rsidP="00021F7F">
            <w:pPr>
              <w:widowControl/>
              <w:jc w:val="center"/>
              <w:outlineLvl w:val="0"/>
              <w:rPr>
                <w:rFonts w:hAnsi="標楷體" w:cs="Arial"/>
                <w:b/>
                <w:color w:val="000000" w:themeColor="text1"/>
                <w:kern w:val="0"/>
                <w:sz w:val="28"/>
                <w:szCs w:val="28"/>
              </w:rPr>
            </w:pPr>
            <w:r w:rsidRPr="00A00D38">
              <w:rPr>
                <w:rFonts w:hAnsi="標楷體" w:cs="Arial"/>
                <w:b/>
                <w:color w:val="000000" w:themeColor="text1"/>
                <w:kern w:val="0"/>
                <w:sz w:val="28"/>
                <w:szCs w:val="28"/>
              </w:rPr>
              <w:t>964</w:t>
            </w:r>
          </w:p>
        </w:tc>
        <w:tc>
          <w:tcPr>
            <w:tcW w:w="76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hint="eastAsia"/>
                <w:color w:val="000000" w:themeColor="text1"/>
                <w:kern w:val="0"/>
                <w:sz w:val="28"/>
                <w:szCs w:val="28"/>
              </w:rPr>
              <w:t>-</w:t>
            </w:r>
          </w:p>
        </w:tc>
        <w:tc>
          <w:tcPr>
            <w:tcW w:w="693" w:type="pc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964</w:t>
            </w:r>
          </w:p>
        </w:tc>
      </w:tr>
      <w:tr w:rsidR="00A00D38" w:rsidRPr="00A00D38" w:rsidTr="00021F7F">
        <w:trPr>
          <w:trHeight w:val="264"/>
        </w:trPr>
        <w:tc>
          <w:tcPr>
            <w:tcW w:w="601"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lastRenderedPageBreak/>
              <w:t>103</w:t>
            </w:r>
          </w:p>
        </w:tc>
        <w:tc>
          <w:tcPr>
            <w:tcW w:w="800"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255</w:t>
            </w:r>
          </w:p>
        </w:tc>
        <w:tc>
          <w:tcPr>
            <w:tcW w:w="771"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812</w:t>
            </w:r>
          </w:p>
        </w:tc>
        <w:tc>
          <w:tcPr>
            <w:tcW w:w="693"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259</w:t>
            </w:r>
          </w:p>
        </w:tc>
        <w:tc>
          <w:tcPr>
            <w:tcW w:w="674"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6C2670" w:rsidRPr="00A00D38" w:rsidRDefault="006C2670" w:rsidP="00021F7F">
            <w:pPr>
              <w:widowControl/>
              <w:jc w:val="center"/>
              <w:outlineLvl w:val="0"/>
              <w:rPr>
                <w:rFonts w:hAnsi="標楷體" w:cs="Arial"/>
                <w:b/>
                <w:color w:val="000000" w:themeColor="text1"/>
                <w:kern w:val="0"/>
                <w:sz w:val="28"/>
                <w:szCs w:val="28"/>
              </w:rPr>
            </w:pPr>
            <w:r w:rsidRPr="00A00D38">
              <w:rPr>
                <w:rFonts w:hAnsi="標楷體" w:cs="Arial"/>
                <w:b/>
                <w:color w:val="000000" w:themeColor="text1"/>
                <w:kern w:val="0"/>
                <w:sz w:val="28"/>
                <w:szCs w:val="28"/>
              </w:rPr>
              <w:t>1326</w:t>
            </w:r>
          </w:p>
        </w:tc>
        <w:tc>
          <w:tcPr>
            <w:tcW w:w="76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hint="eastAsia"/>
                <w:color w:val="000000" w:themeColor="text1"/>
                <w:kern w:val="0"/>
                <w:sz w:val="28"/>
                <w:szCs w:val="28"/>
              </w:rPr>
              <w:t>-</w:t>
            </w:r>
          </w:p>
        </w:tc>
        <w:tc>
          <w:tcPr>
            <w:tcW w:w="693" w:type="pc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1326</w:t>
            </w:r>
          </w:p>
        </w:tc>
      </w:tr>
      <w:tr w:rsidR="00A00D38" w:rsidRPr="00A00D38" w:rsidTr="00021F7F">
        <w:trPr>
          <w:trHeight w:val="264"/>
        </w:trPr>
        <w:tc>
          <w:tcPr>
            <w:tcW w:w="601"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104</w:t>
            </w:r>
          </w:p>
        </w:tc>
        <w:tc>
          <w:tcPr>
            <w:tcW w:w="800"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236</w:t>
            </w:r>
          </w:p>
        </w:tc>
        <w:tc>
          <w:tcPr>
            <w:tcW w:w="771"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994</w:t>
            </w:r>
          </w:p>
        </w:tc>
        <w:tc>
          <w:tcPr>
            <w:tcW w:w="693"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445</w:t>
            </w:r>
          </w:p>
        </w:tc>
        <w:tc>
          <w:tcPr>
            <w:tcW w:w="674"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6C2670" w:rsidRPr="00A00D38" w:rsidRDefault="006C2670" w:rsidP="00021F7F">
            <w:pPr>
              <w:widowControl/>
              <w:jc w:val="center"/>
              <w:outlineLvl w:val="0"/>
              <w:rPr>
                <w:rFonts w:hAnsi="標楷體" w:cs="Arial"/>
                <w:b/>
                <w:color w:val="000000" w:themeColor="text1"/>
                <w:kern w:val="0"/>
                <w:sz w:val="28"/>
                <w:szCs w:val="28"/>
              </w:rPr>
            </w:pPr>
            <w:r w:rsidRPr="00A00D38">
              <w:rPr>
                <w:rFonts w:hAnsi="標楷體" w:cs="Arial"/>
                <w:b/>
                <w:color w:val="000000" w:themeColor="text1"/>
                <w:kern w:val="0"/>
                <w:sz w:val="28"/>
                <w:szCs w:val="28"/>
              </w:rPr>
              <w:t>1675</w:t>
            </w:r>
          </w:p>
        </w:tc>
        <w:tc>
          <w:tcPr>
            <w:tcW w:w="76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hint="eastAsia"/>
                <w:color w:val="000000" w:themeColor="text1"/>
                <w:kern w:val="0"/>
                <w:sz w:val="28"/>
                <w:szCs w:val="28"/>
              </w:rPr>
              <w:t>-</w:t>
            </w:r>
          </w:p>
        </w:tc>
        <w:tc>
          <w:tcPr>
            <w:tcW w:w="693" w:type="pc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1675</w:t>
            </w:r>
          </w:p>
        </w:tc>
      </w:tr>
      <w:tr w:rsidR="00A00D38" w:rsidRPr="00A00D38" w:rsidTr="00021F7F">
        <w:trPr>
          <w:trHeight w:val="264"/>
        </w:trPr>
        <w:tc>
          <w:tcPr>
            <w:tcW w:w="601"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105</w:t>
            </w:r>
          </w:p>
        </w:tc>
        <w:tc>
          <w:tcPr>
            <w:tcW w:w="800"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141</w:t>
            </w:r>
          </w:p>
        </w:tc>
        <w:tc>
          <w:tcPr>
            <w:tcW w:w="771"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833</w:t>
            </w:r>
          </w:p>
        </w:tc>
        <w:tc>
          <w:tcPr>
            <w:tcW w:w="693"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439</w:t>
            </w:r>
          </w:p>
        </w:tc>
        <w:tc>
          <w:tcPr>
            <w:tcW w:w="674"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6C2670" w:rsidRPr="00A00D38" w:rsidRDefault="006C2670" w:rsidP="00021F7F">
            <w:pPr>
              <w:widowControl/>
              <w:jc w:val="center"/>
              <w:outlineLvl w:val="0"/>
              <w:rPr>
                <w:rFonts w:hAnsi="標楷體" w:cs="Arial"/>
                <w:b/>
                <w:color w:val="000000" w:themeColor="text1"/>
                <w:kern w:val="0"/>
                <w:sz w:val="28"/>
                <w:szCs w:val="28"/>
              </w:rPr>
            </w:pPr>
            <w:r w:rsidRPr="00A00D38">
              <w:rPr>
                <w:rFonts w:hAnsi="標楷體" w:cs="Arial"/>
                <w:b/>
                <w:color w:val="000000" w:themeColor="text1"/>
                <w:kern w:val="0"/>
                <w:sz w:val="28"/>
                <w:szCs w:val="28"/>
              </w:rPr>
              <w:t>1413</w:t>
            </w:r>
          </w:p>
        </w:tc>
        <w:tc>
          <w:tcPr>
            <w:tcW w:w="76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hint="eastAsia"/>
                <w:color w:val="000000" w:themeColor="text1"/>
                <w:kern w:val="0"/>
                <w:sz w:val="28"/>
                <w:szCs w:val="28"/>
              </w:rPr>
              <w:t>263</w:t>
            </w:r>
          </w:p>
        </w:tc>
        <w:tc>
          <w:tcPr>
            <w:tcW w:w="693" w:type="pc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w:t>
            </w:r>
            <w:r w:rsidRPr="00A00D38">
              <w:rPr>
                <w:rFonts w:hAnsi="標楷體" w:cs="Arial" w:hint="eastAsia"/>
                <w:color w:val="000000" w:themeColor="text1"/>
                <w:kern w:val="0"/>
                <w:sz w:val="28"/>
                <w:szCs w:val="28"/>
              </w:rPr>
              <w:t>676</w:t>
            </w:r>
          </w:p>
        </w:tc>
      </w:tr>
      <w:tr w:rsidR="00A00D38" w:rsidRPr="00A00D38" w:rsidTr="00021F7F">
        <w:trPr>
          <w:trHeight w:val="264"/>
        </w:trPr>
        <w:tc>
          <w:tcPr>
            <w:tcW w:w="601"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106</w:t>
            </w:r>
          </w:p>
        </w:tc>
        <w:tc>
          <w:tcPr>
            <w:tcW w:w="800"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1024</w:t>
            </w:r>
          </w:p>
        </w:tc>
        <w:tc>
          <w:tcPr>
            <w:tcW w:w="771"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1311</w:t>
            </w:r>
          </w:p>
        </w:tc>
        <w:tc>
          <w:tcPr>
            <w:tcW w:w="693" w:type="pct"/>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199</w:t>
            </w:r>
          </w:p>
        </w:tc>
        <w:tc>
          <w:tcPr>
            <w:tcW w:w="674"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6C2670" w:rsidRPr="00A00D38" w:rsidRDefault="006C2670" w:rsidP="00021F7F">
            <w:pPr>
              <w:widowControl/>
              <w:jc w:val="center"/>
              <w:outlineLvl w:val="0"/>
              <w:rPr>
                <w:rFonts w:hAnsi="標楷體" w:cs="Arial"/>
                <w:b/>
                <w:color w:val="000000" w:themeColor="text1"/>
                <w:kern w:val="0"/>
                <w:sz w:val="28"/>
                <w:szCs w:val="28"/>
              </w:rPr>
            </w:pPr>
            <w:r w:rsidRPr="00A00D38">
              <w:rPr>
                <w:rFonts w:hAnsi="標楷體" w:cs="Arial"/>
                <w:b/>
                <w:color w:val="000000" w:themeColor="text1"/>
                <w:kern w:val="0"/>
                <w:sz w:val="28"/>
                <w:szCs w:val="28"/>
              </w:rPr>
              <w:t>2534</w:t>
            </w:r>
          </w:p>
        </w:tc>
        <w:tc>
          <w:tcPr>
            <w:tcW w:w="76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hint="eastAsia"/>
                <w:color w:val="000000" w:themeColor="text1"/>
                <w:kern w:val="0"/>
                <w:sz w:val="28"/>
                <w:szCs w:val="28"/>
              </w:rPr>
              <w:t>263</w:t>
            </w:r>
          </w:p>
        </w:tc>
        <w:tc>
          <w:tcPr>
            <w:tcW w:w="693" w:type="pc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6C2670" w:rsidRPr="00A00D38" w:rsidRDefault="006C2670" w:rsidP="00021F7F">
            <w:pPr>
              <w:widowControl/>
              <w:jc w:val="center"/>
              <w:outlineLvl w:val="0"/>
              <w:rPr>
                <w:rFonts w:hAnsi="標楷體" w:cs="Arial"/>
                <w:color w:val="000000" w:themeColor="text1"/>
                <w:kern w:val="0"/>
                <w:sz w:val="28"/>
                <w:szCs w:val="28"/>
              </w:rPr>
            </w:pPr>
            <w:r w:rsidRPr="00A00D38">
              <w:rPr>
                <w:rFonts w:hAnsi="標楷體" w:cs="Arial"/>
                <w:color w:val="000000" w:themeColor="text1"/>
                <w:kern w:val="0"/>
                <w:sz w:val="28"/>
                <w:szCs w:val="28"/>
              </w:rPr>
              <w:t>2</w:t>
            </w:r>
            <w:r w:rsidRPr="00A00D38">
              <w:rPr>
                <w:rFonts w:hAnsi="標楷體" w:cs="Arial" w:hint="eastAsia"/>
                <w:color w:val="000000" w:themeColor="text1"/>
                <w:kern w:val="0"/>
                <w:sz w:val="28"/>
                <w:szCs w:val="28"/>
              </w:rPr>
              <w:t>797</w:t>
            </w:r>
          </w:p>
        </w:tc>
      </w:tr>
    </w:tbl>
    <w:p w:rsidR="006C2670" w:rsidRPr="00A00D38" w:rsidRDefault="006C2670" w:rsidP="006C2670">
      <w:pPr>
        <w:pStyle w:val="af8"/>
        <w:spacing w:line="240" w:lineRule="exact"/>
        <w:rPr>
          <w:color w:val="000000" w:themeColor="text1"/>
          <w:sz w:val="24"/>
          <w:szCs w:val="24"/>
        </w:rPr>
      </w:pPr>
      <w:bookmarkStart w:id="63" w:name="_Toc489383066"/>
      <w:bookmarkStart w:id="64" w:name="_Toc491711164"/>
      <w:r w:rsidRPr="00A00D38">
        <w:rPr>
          <w:rFonts w:hint="eastAsia"/>
          <w:color w:val="000000" w:themeColor="text1"/>
          <w:sz w:val="24"/>
          <w:szCs w:val="24"/>
        </w:rPr>
        <w:t>資料來源：教育部查復。</w:t>
      </w:r>
      <w:bookmarkEnd w:id="63"/>
      <w:bookmarkEnd w:id="64"/>
    </w:p>
    <w:p w:rsidR="006C2670" w:rsidRPr="00A00D38" w:rsidRDefault="006C2670" w:rsidP="006C2670">
      <w:pPr>
        <w:pStyle w:val="af8"/>
        <w:spacing w:line="240" w:lineRule="exact"/>
        <w:rPr>
          <w:color w:val="000000" w:themeColor="text1"/>
          <w:sz w:val="24"/>
          <w:szCs w:val="24"/>
        </w:rPr>
      </w:pPr>
    </w:p>
    <w:p w:rsidR="006C2670" w:rsidRPr="00A00D38" w:rsidRDefault="006C2670" w:rsidP="006C2670">
      <w:pPr>
        <w:pStyle w:val="3"/>
        <w:adjustRightInd w:val="0"/>
        <w:ind w:left="1389"/>
        <w:rPr>
          <w:rFonts w:hAnsi="標楷體"/>
          <w:color w:val="000000" w:themeColor="text1"/>
          <w:szCs w:val="32"/>
        </w:rPr>
      </w:pPr>
      <w:bookmarkStart w:id="65" w:name="_Toc491711165"/>
      <w:bookmarkStart w:id="66" w:name="_Toc492371042"/>
      <w:bookmarkEnd w:id="62"/>
      <w:r w:rsidRPr="00A00D38">
        <w:rPr>
          <w:rFonts w:hAnsi="標楷體" w:hint="eastAsia"/>
          <w:color w:val="000000" w:themeColor="text1"/>
        </w:rPr>
        <w:t>惟詢據教育部主管人員到院時表示「我國高等教育國際化目標，係為實質的國際化，本部之政策絕非以招收國際學生解決少子化問題，係為吸引多國學生來臺，增加學生之國際視野」等語，該部推動高等教育國際化相關政策之理想，似與改善少子化招生壓力無涉</w:t>
      </w:r>
      <w:r w:rsidRPr="00A00D38">
        <w:rPr>
          <w:rFonts w:hAnsi="標楷體" w:hint="eastAsia"/>
          <w:color w:val="000000" w:themeColor="text1"/>
          <w:szCs w:val="32"/>
        </w:rPr>
        <w:t>。然而，本院諮詢專家學者卻指出「國內部分學校於境外之招生以『高額獎學金』、『低入學門檻』、『學費殺價競爭』等方式為之，已淪為生源搶奪，甚有部分做法已有悖教育本質／目的」、「國立大專校院部分，確因少子化關係，教師意識到博士班學生減少，學術人才培養出現斷層，而開始有意願積極接受外籍生，『國際化』似已由口號轉變為高等教育之『常態』，不僅是為了排名或爭取競爭型經費而做的事」等，突顯我國高等教育國際化之政策理想與實務作法間之落差，教育主管行政機關如無法釐清學校端執行國際化政策之立場與目的，任令部分招收境外學生學校僅關心學生人數之競逐，則如何期待相關政策能收「提升國際影響力與競爭力」之效益？此亦有本院諮詢專家學者意見時述及「國際化是所有大學都要追求之事，應依各校之定位，事先擬定策略，學校與政府均應思忖『希</w:t>
      </w:r>
      <w:r w:rsidRPr="00A00D38">
        <w:rPr>
          <w:rFonts w:hAnsi="標楷體" w:hint="eastAsia"/>
          <w:color w:val="000000" w:themeColor="text1"/>
          <w:szCs w:val="32"/>
        </w:rPr>
        <w:lastRenderedPageBreak/>
        <w:t>望國際生能為臺灣留下什麼』這樣的問題；推動國際化若僅為了解決少子化問題，則不如不做。試想：國內學生都不想讀的學校、科系，用來招收外國學生就讀，合乎教育本質嗎？」等，併請教育部參酌。</w:t>
      </w:r>
      <w:bookmarkEnd w:id="65"/>
      <w:bookmarkEnd w:id="66"/>
      <w:r w:rsidRPr="00A00D38">
        <w:rPr>
          <w:rFonts w:hAnsi="標楷體"/>
          <w:color w:val="000000" w:themeColor="text1"/>
          <w:szCs w:val="32"/>
        </w:rPr>
        <w:br/>
      </w:r>
    </w:p>
    <w:p w:rsidR="006C2670" w:rsidRPr="00A00D38" w:rsidRDefault="006C2670" w:rsidP="006C2670">
      <w:pPr>
        <w:pStyle w:val="3"/>
        <w:adjustRightInd w:val="0"/>
        <w:ind w:left="1389"/>
        <w:rPr>
          <w:rFonts w:hAnsi="標楷體"/>
          <w:color w:val="000000" w:themeColor="text1"/>
        </w:rPr>
      </w:pPr>
      <w:bookmarkStart w:id="67" w:name="_Toc491711166"/>
      <w:bookmarkStart w:id="68" w:name="_Toc492371043"/>
      <w:r w:rsidRPr="00A00D38">
        <w:rPr>
          <w:rFonts w:hint="eastAsia"/>
          <w:color w:val="000000" w:themeColor="text1"/>
        </w:rPr>
        <w:t>另教育部統計資料顯示，境外學生</w:t>
      </w:r>
      <w:r w:rsidRPr="00A00D38">
        <w:rPr>
          <w:rFonts w:hAnsi="標楷體" w:hint="eastAsia"/>
          <w:color w:val="000000" w:themeColor="text1"/>
        </w:rPr>
        <w:t>至105學年度已達11萬餘人，境外學生總數倍增。惟細究其計算基礎(詳如下表</w:t>
      </w:r>
      <w:r w:rsidR="00083522">
        <w:rPr>
          <w:rFonts w:hAnsi="標楷體" w:hint="eastAsia"/>
          <w:color w:val="000000" w:themeColor="text1"/>
        </w:rPr>
        <w:t>3</w:t>
      </w:r>
      <w:r w:rsidRPr="00A00D38">
        <w:rPr>
          <w:rFonts w:hAnsi="標楷體" w:hint="eastAsia"/>
          <w:color w:val="000000" w:themeColor="text1"/>
        </w:rPr>
        <w:t>)，</w:t>
      </w:r>
      <w:r w:rsidRPr="00A00D38">
        <w:rPr>
          <w:rFonts w:hint="eastAsia"/>
          <w:color w:val="000000" w:themeColor="text1"/>
        </w:rPr>
        <w:t>境外學生三大主要來源依序為大陸研修生、僑生、華語生，皆屬非學位生；外國學位生名列第四，共計</w:t>
      </w:r>
      <w:r w:rsidRPr="00A00D38">
        <w:rPr>
          <w:color w:val="000000" w:themeColor="text1"/>
        </w:rPr>
        <w:t>1</w:t>
      </w:r>
      <w:r w:rsidRPr="00A00D38">
        <w:rPr>
          <w:rFonts w:hint="eastAsia"/>
          <w:color w:val="000000" w:themeColor="text1"/>
        </w:rPr>
        <w:t>萬</w:t>
      </w:r>
      <w:r w:rsidRPr="00A00D38">
        <w:rPr>
          <w:color w:val="000000" w:themeColor="text1"/>
        </w:rPr>
        <w:t>7,788</w:t>
      </w:r>
      <w:r w:rsidRPr="00A00D38">
        <w:rPr>
          <w:rFonts w:hint="eastAsia"/>
          <w:color w:val="000000" w:themeColor="text1"/>
        </w:rPr>
        <w:t>名</w:t>
      </w:r>
      <w:r w:rsidRPr="00A00D38">
        <w:rPr>
          <w:rFonts w:hint="eastAsia"/>
          <w:color w:val="000000" w:themeColor="text1"/>
          <w:sz w:val="28"/>
        </w:rPr>
        <w:t>，</w:t>
      </w:r>
      <w:r w:rsidRPr="00A00D38">
        <w:rPr>
          <w:rFonts w:hint="eastAsia"/>
          <w:color w:val="000000" w:themeColor="text1"/>
        </w:rPr>
        <w:t>占全體境外學生之15.27</w:t>
      </w:r>
      <w:r w:rsidRPr="00A00D38">
        <w:rPr>
          <w:rFonts w:hAnsi="標楷體" w:hint="eastAsia"/>
          <w:color w:val="000000" w:themeColor="text1"/>
          <w:szCs w:val="32"/>
        </w:rPr>
        <w:t>％</w:t>
      </w:r>
      <w:r w:rsidRPr="00A00D38">
        <w:rPr>
          <w:rFonts w:hint="eastAsia"/>
          <w:color w:val="000000" w:themeColor="text1"/>
        </w:rPr>
        <w:t>，相較98年最高時之19.63</w:t>
      </w:r>
      <w:r w:rsidRPr="00A00D38">
        <w:rPr>
          <w:rFonts w:hAnsi="標楷體" w:hint="eastAsia"/>
          <w:color w:val="000000" w:themeColor="text1"/>
          <w:szCs w:val="32"/>
        </w:rPr>
        <w:t>％</w:t>
      </w:r>
      <w:r w:rsidRPr="00A00D38">
        <w:rPr>
          <w:rFonts w:hint="eastAsia"/>
          <w:color w:val="000000" w:themeColor="text1"/>
        </w:rPr>
        <w:t>，則呈現減少態勢；此外，</w:t>
      </w:r>
      <w:r w:rsidRPr="00A00D38">
        <w:rPr>
          <w:rFonts w:hAnsi="標楷體" w:hint="eastAsia"/>
          <w:color w:val="000000" w:themeColor="text1"/>
        </w:rPr>
        <w:t>自99年度起，非學位生人數首度超越學位生，並逐年增加。對此，教育部雖稱留學型態轉變乃潮流所趨，非學位生同樣有助於提升我國高等教育之國際能見度，</w:t>
      </w:r>
      <w:r w:rsidRPr="00A00D38">
        <w:rPr>
          <w:rFonts w:cs="標楷體" w:hint="eastAsia"/>
          <w:color w:val="000000" w:themeColor="text1"/>
          <w:szCs w:val="32"/>
          <w:lang w:val="zh-TW"/>
        </w:rPr>
        <w:t>惟學位生修業期較長，與本國師生互動較深刻，促進高等教育國際化之深度仍與非學位生有間，加上學位生有留臺工作之機會，較能彌補我國高階產業人才/力缺口，故政府允應致力於學位生招生成效之確保。</w:t>
      </w:r>
      <w:bookmarkEnd w:id="67"/>
      <w:bookmarkEnd w:id="68"/>
    </w:p>
    <w:p w:rsidR="006C2670" w:rsidRPr="00A00D38" w:rsidRDefault="006C2670" w:rsidP="006C2670">
      <w:pPr>
        <w:pStyle w:val="3"/>
        <w:numPr>
          <w:ilvl w:val="0"/>
          <w:numId w:val="0"/>
        </w:numPr>
        <w:adjustRightInd w:val="0"/>
        <w:ind w:left="1389"/>
        <w:rPr>
          <w:rFonts w:hAnsi="標楷體"/>
          <w:color w:val="000000" w:themeColor="text1"/>
        </w:rPr>
      </w:pPr>
    </w:p>
    <w:p w:rsidR="006C2670" w:rsidRPr="00A00D38" w:rsidRDefault="006C2670" w:rsidP="006C2670">
      <w:pPr>
        <w:pStyle w:val="a4"/>
        <w:ind w:left="482" w:hanging="482"/>
        <w:jc w:val="center"/>
        <w:rPr>
          <w:noProof/>
          <w:color w:val="000000" w:themeColor="text1"/>
        </w:rPr>
      </w:pPr>
      <w:r w:rsidRPr="00A00D38">
        <w:rPr>
          <w:rFonts w:hint="eastAsia"/>
          <w:b/>
          <w:noProof/>
          <w:color w:val="000000" w:themeColor="text1"/>
        </w:rPr>
        <w:t>境外學生在臺大專校院就學/研習人數及占比</w:t>
      </w: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1701"/>
        <w:gridCol w:w="722"/>
        <w:gridCol w:w="723"/>
        <w:gridCol w:w="723"/>
        <w:gridCol w:w="723"/>
        <w:gridCol w:w="723"/>
        <w:gridCol w:w="723"/>
        <w:gridCol w:w="723"/>
        <w:gridCol w:w="723"/>
        <w:gridCol w:w="723"/>
        <w:gridCol w:w="723"/>
      </w:tblGrid>
      <w:tr w:rsidR="00A00D38" w:rsidRPr="00A00D38" w:rsidTr="00021F7F">
        <w:trPr>
          <w:trHeight w:val="581"/>
          <w:tblHeader/>
        </w:trPr>
        <w:tc>
          <w:tcPr>
            <w:tcW w:w="2127" w:type="dxa"/>
            <w:gridSpan w:val="2"/>
            <w:tcBorders>
              <w:tl2br w:val="single" w:sz="4" w:space="0" w:color="auto"/>
            </w:tcBorders>
            <w:shd w:val="clear" w:color="auto" w:fill="auto"/>
            <w:noWrap/>
            <w:vAlign w:val="center"/>
          </w:tcPr>
          <w:p w:rsidR="006C2670" w:rsidRPr="00A00D38" w:rsidRDefault="006C2670" w:rsidP="00021F7F">
            <w:pPr>
              <w:widowControl/>
              <w:adjustRightInd w:val="0"/>
              <w:snapToGrid w:val="0"/>
              <w:outlineLvl w:val="0"/>
              <w:rPr>
                <w:b/>
                <w:color w:val="000000" w:themeColor="text1"/>
                <w:kern w:val="0"/>
                <w:sz w:val="24"/>
                <w:szCs w:val="24"/>
              </w:rPr>
            </w:pPr>
            <w:r w:rsidRPr="00A00D38">
              <w:rPr>
                <w:rFonts w:hint="eastAsia"/>
                <w:b/>
                <w:color w:val="000000" w:themeColor="text1"/>
                <w:kern w:val="0"/>
                <w:sz w:val="24"/>
                <w:szCs w:val="24"/>
              </w:rPr>
              <w:t xml:space="preserve">         </w:t>
            </w:r>
            <w:r w:rsidRPr="00A00D38">
              <w:rPr>
                <w:b/>
                <w:color w:val="000000" w:themeColor="text1"/>
                <w:kern w:val="0"/>
                <w:sz w:val="24"/>
                <w:szCs w:val="24"/>
              </w:rPr>
              <w:t>學年度</w:t>
            </w:r>
          </w:p>
          <w:p w:rsidR="006C2670" w:rsidRPr="00A00D38" w:rsidRDefault="006C2670" w:rsidP="00021F7F">
            <w:pPr>
              <w:widowControl/>
              <w:adjustRightInd w:val="0"/>
              <w:snapToGrid w:val="0"/>
              <w:outlineLvl w:val="0"/>
              <w:rPr>
                <w:b/>
                <w:color w:val="000000" w:themeColor="text1"/>
                <w:kern w:val="0"/>
                <w:sz w:val="24"/>
                <w:szCs w:val="24"/>
              </w:rPr>
            </w:pPr>
            <w:r w:rsidRPr="00A00D38">
              <w:rPr>
                <w:b/>
                <w:color w:val="000000" w:themeColor="text1"/>
                <w:kern w:val="0"/>
                <w:sz w:val="24"/>
                <w:szCs w:val="24"/>
              </w:rPr>
              <w:t>身分</w:t>
            </w:r>
          </w:p>
        </w:tc>
        <w:tc>
          <w:tcPr>
            <w:tcW w:w="722" w:type="dxa"/>
            <w:shd w:val="clear" w:color="auto" w:fill="auto"/>
            <w:noWrap/>
            <w:vAlign w:val="center"/>
          </w:tcPr>
          <w:p w:rsidR="006C2670" w:rsidRPr="00A00D38" w:rsidRDefault="006C2670" w:rsidP="00021F7F">
            <w:pPr>
              <w:adjustRightInd w:val="0"/>
              <w:snapToGrid w:val="0"/>
              <w:jc w:val="center"/>
              <w:outlineLvl w:val="0"/>
              <w:rPr>
                <w:b/>
                <w:color w:val="000000" w:themeColor="text1"/>
                <w:sz w:val="24"/>
                <w:szCs w:val="24"/>
              </w:rPr>
            </w:pPr>
            <w:r w:rsidRPr="00A00D38">
              <w:rPr>
                <w:b/>
                <w:color w:val="000000" w:themeColor="text1"/>
                <w:sz w:val="24"/>
                <w:szCs w:val="24"/>
              </w:rPr>
              <w:t>96</w:t>
            </w:r>
          </w:p>
        </w:tc>
        <w:tc>
          <w:tcPr>
            <w:tcW w:w="723" w:type="dxa"/>
            <w:shd w:val="clear" w:color="auto" w:fill="auto"/>
            <w:noWrap/>
            <w:vAlign w:val="center"/>
          </w:tcPr>
          <w:p w:rsidR="006C2670" w:rsidRPr="00A00D38" w:rsidRDefault="006C2670" w:rsidP="00021F7F">
            <w:pPr>
              <w:adjustRightInd w:val="0"/>
              <w:snapToGrid w:val="0"/>
              <w:jc w:val="center"/>
              <w:outlineLvl w:val="0"/>
              <w:rPr>
                <w:b/>
                <w:color w:val="000000" w:themeColor="text1"/>
                <w:sz w:val="24"/>
                <w:szCs w:val="24"/>
              </w:rPr>
            </w:pPr>
            <w:r w:rsidRPr="00A00D38">
              <w:rPr>
                <w:b/>
                <w:color w:val="000000" w:themeColor="text1"/>
                <w:sz w:val="24"/>
                <w:szCs w:val="24"/>
              </w:rPr>
              <w:t>97</w:t>
            </w:r>
          </w:p>
        </w:tc>
        <w:tc>
          <w:tcPr>
            <w:tcW w:w="723" w:type="dxa"/>
            <w:shd w:val="clear" w:color="auto" w:fill="auto"/>
            <w:noWrap/>
            <w:vAlign w:val="center"/>
          </w:tcPr>
          <w:p w:rsidR="006C2670" w:rsidRPr="00A00D38" w:rsidRDefault="006C2670" w:rsidP="00021F7F">
            <w:pPr>
              <w:adjustRightInd w:val="0"/>
              <w:snapToGrid w:val="0"/>
              <w:jc w:val="center"/>
              <w:outlineLvl w:val="0"/>
              <w:rPr>
                <w:b/>
                <w:color w:val="000000" w:themeColor="text1"/>
                <w:sz w:val="24"/>
                <w:szCs w:val="24"/>
              </w:rPr>
            </w:pPr>
            <w:r w:rsidRPr="00A00D38">
              <w:rPr>
                <w:b/>
                <w:color w:val="000000" w:themeColor="text1"/>
                <w:sz w:val="24"/>
                <w:szCs w:val="24"/>
              </w:rPr>
              <w:t>98</w:t>
            </w:r>
          </w:p>
        </w:tc>
        <w:tc>
          <w:tcPr>
            <w:tcW w:w="723" w:type="dxa"/>
            <w:shd w:val="clear" w:color="auto" w:fill="auto"/>
            <w:noWrap/>
            <w:vAlign w:val="center"/>
          </w:tcPr>
          <w:p w:rsidR="006C2670" w:rsidRPr="00A00D38" w:rsidRDefault="006C2670" w:rsidP="00021F7F">
            <w:pPr>
              <w:adjustRightInd w:val="0"/>
              <w:snapToGrid w:val="0"/>
              <w:jc w:val="center"/>
              <w:outlineLvl w:val="0"/>
              <w:rPr>
                <w:b/>
                <w:color w:val="000000" w:themeColor="text1"/>
                <w:sz w:val="24"/>
                <w:szCs w:val="24"/>
              </w:rPr>
            </w:pPr>
            <w:r w:rsidRPr="00A00D38">
              <w:rPr>
                <w:b/>
                <w:color w:val="000000" w:themeColor="text1"/>
                <w:sz w:val="24"/>
                <w:szCs w:val="24"/>
              </w:rPr>
              <w:t>99</w:t>
            </w:r>
          </w:p>
        </w:tc>
        <w:tc>
          <w:tcPr>
            <w:tcW w:w="723" w:type="dxa"/>
            <w:shd w:val="clear" w:color="auto" w:fill="auto"/>
            <w:noWrap/>
            <w:vAlign w:val="center"/>
          </w:tcPr>
          <w:p w:rsidR="006C2670" w:rsidRPr="00A00D38" w:rsidRDefault="006C2670" w:rsidP="00021F7F">
            <w:pPr>
              <w:adjustRightInd w:val="0"/>
              <w:snapToGrid w:val="0"/>
              <w:jc w:val="center"/>
              <w:outlineLvl w:val="0"/>
              <w:rPr>
                <w:b/>
                <w:color w:val="000000" w:themeColor="text1"/>
                <w:sz w:val="24"/>
                <w:szCs w:val="24"/>
              </w:rPr>
            </w:pPr>
            <w:r w:rsidRPr="00A00D38">
              <w:rPr>
                <w:b/>
                <w:color w:val="000000" w:themeColor="text1"/>
                <w:sz w:val="24"/>
                <w:szCs w:val="24"/>
              </w:rPr>
              <w:t>100</w:t>
            </w:r>
          </w:p>
        </w:tc>
        <w:tc>
          <w:tcPr>
            <w:tcW w:w="723" w:type="dxa"/>
            <w:shd w:val="clear" w:color="auto" w:fill="auto"/>
            <w:noWrap/>
            <w:vAlign w:val="center"/>
          </w:tcPr>
          <w:p w:rsidR="006C2670" w:rsidRPr="00A00D38" w:rsidRDefault="006C2670" w:rsidP="00021F7F">
            <w:pPr>
              <w:adjustRightInd w:val="0"/>
              <w:snapToGrid w:val="0"/>
              <w:jc w:val="center"/>
              <w:outlineLvl w:val="0"/>
              <w:rPr>
                <w:b/>
                <w:color w:val="000000" w:themeColor="text1"/>
                <w:sz w:val="24"/>
                <w:szCs w:val="24"/>
              </w:rPr>
            </w:pPr>
            <w:r w:rsidRPr="00A00D38">
              <w:rPr>
                <w:b/>
                <w:color w:val="000000" w:themeColor="text1"/>
                <w:sz w:val="24"/>
                <w:szCs w:val="24"/>
              </w:rPr>
              <w:t>101</w:t>
            </w:r>
          </w:p>
        </w:tc>
        <w:tc>
          <w:tcPr>
            <w:tcW w:w="723" w:type="dxa"/>
            <w:shd w:val="clear" w:color="auto" w:fill="auto"/>
            <w:noWrap/>
            <w:vAlign w:val="center"/>
          </w:tcPr>
          <w:p w:rsidR="006C2670" w:rsidRPr="00A00D38" w:rsidRDefault="006C2670" w:rsidP="00021F7F">
            <w:pPr>
              <w:adjustRightInd w:val="0"/>
              <w:snapToGrid w:val="0"/>
              <w:jc w:val="center"/>
              <w:outlineLvl w:val="0"/>
              <w:rPr>
                <w:b/>
                <w:color w:val="000000" w:themeColor="text1"/>
                <w:sz w:val="24"/>
                <w:szCs w:val="24"/>
              </w:rPr>
            </w:pPr>
            <w:r w:rsidRPr="00A00D38">
              <w:rPr>
                <w:b/>
                <w:color w:val="000000" w:themeColor="text1"/>
                <w:sz w:val="24"/>
                <w:szCs w:val="24"/>
              </w:rPr>
              <w:t>102</w:t>
            </w:r>
          </w:p>
        </w:tc>
        <w:tc>
          <w:tcPr>
            <w:tcW w:w="723" w:type="dxa"/>
            <w:shd w:val="clear" w:color="auto" w:fill="auto"/>
            <w:noWrap/>
            <w:vAlign w:val="center"/>
          </w:tcPr>
          <w:p w:rsidR="006C2670" w:rsidRPr="00A00D38" w:rsidRDefault="006C2670" w:rsidP="00021F7F">
            <w:pPr>
              <w:adjustRightInd w:val="0"/>
              <w:snapToGrid w:val="0"/>
              <w:jc w:val="center"/>
              <w:outlineLvl w:val="0"/>
              <w:rPr>
                <w:b/>
                <w:color w:val="000000" w:themeColor="text1"/>
                <w:sz w:val="24"/>
                <w:szCs w:val="24"/>
              </w:rPr>
            </w:pPr>
            <w:r w:rsidRPr="00A00D38">
              <w:rPr>
                <w:b/>
                <w:color w:val="000000" w:themeColor="text1"/>
                <w:sz w:val="24"/>
                <w:szCs w:val="24"/>
              </w:rPr>
              <w:t>103</w:t>
            </w:r>
          </w:p>
        </w:tc>
        <w:tc>
          <w:tcPr>
            <w:tcW w:w="723" w:type="dxa"/>
            <w:shd w:val="clear" w:color="auto" w:fill="auto"/>
            <w:noWrap/>
            <w:vAlign w:val="center"/>
          </w:tcPr>
          <w:p w:rsidR="006C2670" w:rsidRPr="00A00D38" w:rsidRDefault="006C2670" w:rsidP="00021F7F">
            <w:pPr>
              <w:adjustRightInd w:val="0"/>
              <w:snapToGrid w:val="0"/>
              <w:jc w:val="center"/>
              <w:outlineLvl w:val="0"/>
              <w:rPr>
                <w:b/>
                <w:color w:val="000000" w:themeColor="text1"/>
                <w:sz w:val="24"/>
                <w:szCs w:val="24"/>
              </w:rPr>
            </w:pPr>
            <w:r w:rsidRPr="00A00D38">
              <w:rPr>
                <w:b/>
                <w:color w:val="000000" w:themeColor="text1"/>
                <w:sz w:val="24"/>
                <w:szCs w:val="24"/>
              </w:rPr>
              <w:t>104</w:t>
            </w:r>
          </w:p>
        </w:tc>
        <w:tc>
          <w:tcPr>
            <w:tcW w:w="723" w:type="dxa"/>
            <w:shd w:val="clear" w:color="auto" w:fill="auto"/>
            <w:noWrap/>
            <w:vAlign w:val="center"/>
          </w:tcPr>
          <w:p w:rsidR="006C2670" w:rsidRPr="00A00D38" w:rsidRDefault="006C2670" w:rsidP="00021F7F">
            <w:pPr>
              <w:adjustRightInd w:val="0"/>
              <w:snapToGrid w:val="0"/>
              <w:jc w:val="center"/>
              <w:outlineLvl w:val="0"/>
              <w:rPr>
                <w:b/>
                <w:color w:val="000000" w:themeColor="text1"/>
                <w:sz w:val="24"/>
                <w:szCs w:val="24"/>
              </w:rPr>
            </w:pPr>
            <w:r w:rsidRPr="00A00D38">
              <w:rPr>
                <w:b/>
                <w:color w:val="000000" w:themeColor="text1"/>
                <w:sz w:val="24"/>
                <w:szCs w:val="24"/>
              </w:rPr>
              <w:t>105</w:t>
            </w:r>
          </w:p>
        </w:tc>
      </w:tr>
      <w:tr w:rsidR="00A00D38" w:rsidRPr="00A00D38" w:rsidTr="00021F7F">
        <w:trPr>
          <w:trHeight w:val="390"/>
        </w:trPr>
        <w:tc>
          <w:tcPr>
            <w:tcW w:w="426" w:type="dxa"/>
            <w:vMerge w:val="restart"/>
            <w:shd w:val="clear" w:color="auto" w:fill="auto"/>
            <w:noWrap/>
            <w:textDirection w:val="tbRlV"/>
            <w:vAlign w:val="center"/>
            <w:hideMark/>
          </w:tcPr>
          <w:p w:rsidR="006C2670" w:rsidRPr="00A00D38" w:rsidRDefault="006C2670" w:rsidP="00021F7F">
            <w:pPr>
              <w:widowControl/>
              <w:adjustRightInd w:val="0"/>
              <w:snapToGrid w:val="0"/>
              <w:ind w:left="113" w:right="113"/>
              <w:jc w:val="center"/>
              <w:outlineLvl w:val="0"/>
              <w:rPr>
                <w:b/>
                <w:color w:val="000000" w:themeColor="text1"/>
                <w:kern w:val="0"/>
                <w:sz w:val="24"/>
                <w:szCs w:val="24"/>
              </w:rPr>
            </w:pPr>
            <w:r w:rsidRPr="00A00D38">
              <w:rPr>
                <w:b/>
                <w:color w:val="000000" w:themeColor="text1"/>
                <w:kern w:val="0"/>
                <w:sz w:val="24"/>
                <w:szCs w:val="24"/>
              </w:rPr>
              <w:t>學位生</w:t>
            </w:r>
          </w:p>
        </w:tc>
        <w:tc>
          <w:tcPr>
            <w:tcW w:w="1701" w:type="dxa"/>
            <w:shd w:val="clear" w:color="auto" w:fill="auto"/>
            <w:noWrap/>
            <w:vAlign w:val="center"/>
            <w:hideMark/>
          </w:tcPr>
          <w:p w:rsidR="006C2670" w:rsidRPr="00A00D38" w:rsidRDefault="006C2670" w:rsidP="00021F7F">
            <w:pPr>
              <w:widowControl/>
              <w:adjustRightInd w:val="0"/>
              <w:snapToGrid w:val="0"/>
              <w:jc w:val="center"/>
              <w:outlineLvl w:val="0"/>
              <w:rPr>
                <w:b/>
                <w:color w:val="000000" w:themeColor="text1"/>
                <w:spacing w:val="-20"/>
                <w:kern w:val="0"/>
                <w:sz w:val="24"/>
                <w:szCs w:val="24"/>
              </w:rPr>
            </w:pPr>
            <w:r w:rsidRPr="00A00D38">
              <w:rPr>
                <w:b/>
                <w:color w:val="000000" w:themeColor="text1"/>
                <w:spacing w:val="-20"/>
                <w:kern w:val="0"/>
                <w:sz w:val="24"/>
                <w:szCs w:val="24"/>
              </w:rPr>
              <w:t>外國學生</w:t>
            </w:r>
          </w:p>
        </w:tc>
        <w:tc>
          <w:tcPr>
            <w:tcW w:w="722"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5,259</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6,258</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7,764</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8,801</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10,059</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11,554</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12,597</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14,063</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15,792</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17,788</w:t>
            </w:r>
          </w:p>
        </w:tc>
      </w:tr>
      <w:tr w:rsidR="00A00D38" w:rsidRPr="00A00D38" w:rsidTr="00021F7F">
        <w:trPr>
          <w:trHeight w:val="410"/>
        </w:trPr>
        <w:tc>
          <w:tcPr>
            <w:tcW w:w="426" w:type="dxa"/>
            <w:vMerge/>
            <w:shd w:val="clear" w:color="auto" w:fill="auto"/>
            <w:textDirection w:val="tbRlV"/>
            <w:vAlign w:val="center"/>
            <w:hideMark/>
          </w:tcPr>
          <w:p w:rsidR="006C2670" w:rsidRPr="00A00D38" w:rsidRDefault="006C2670" w:rsidP="00021F7F">
            <w:pPr>
              <w:widowControl/>
              <w:adjustRightInd w:val="0"/>
              <w:snapToGrid w:val="0"/>
              <w:ind w:left="113" w:right="113"/>
              <w:outlineLvl w:val="0"/>
              <w:rPr>
                <w:b/>
                <w:color w:val="000000" w:themeColor="text1"/>
                <w:kern w:val="0"/>
                <w:sz w:val="24"/>
                <w:szCs w:val="24"/>
              </w:rPr>
            </w:pPr>
          </w:p>
        </w:tc>
        <w:tc>
          <w:tcPr>
            <w:tcW w:w="1701" w:type="dxa"/>
            <w:shd w:val="clear" w:color="auto" w:fill="auto"/>
            <w:noWrap/>
            <w:vAlign w:val="center"/>
            <w:hideMark/>
          </w:tcPr>
          <w:p w:rsidR="006C2670" w:rsidRPr="00A00D38" w:rsidRDefault="006C2670" w:rsidP="00021F7F">
            <w:pPr>
              <w:widowControl/>
              <w:adjustRightInd w:val="0"/>
              <w:snapToGrid w:val="0"/>
              <w:jc w:val="center"/>
              <w:outlineLvl w:val="0"/>
              <w:rPr>
                <w:b/>
                <w:color w:val="000000" w:themeColor="text1"/>
                <w:spacing w:val="-20"/>
                <w:kern w:val="0"/>
                <w:sz w:val="24"/>
                <w:szCs w:val="24"/>
              </w:rPr>
            </w:pPr>
            <w:r w:rsidRPr="00A00D38">
              <w:rPr>
                <w:b/>
                <w:color w:val="000000" w:themeColor="text1"/>
                <w:spacing w:val="-20"/>
                <w:kern w:val="0"/>
                <w:sz w:val="24"/>
                <w:szCs w:val="24"/>
              </w:rPr>
              <w:t>僑生</w:t>
            </w:r>
          </w:p>
        </w:tc>
        <w:tc>
          <w:tcPr>
            <w:tcW w:w="722"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10,936</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11,500</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12,912</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13,637</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14,120</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15,278</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17,135</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20,134</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22,865</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24,626</w:t>
            </w:r>
          </w:p>
        </w:tc>
      </w:tr>
      <w:tr w:rsidR="00A00D38" w:rsidRPr="00A00D38" w:rsidTr="00021F7F">
        <w:trPr>
          <w:trHeight w:val="274"/>
        </w:trPr>
        <w:tc>
          <w:tcPr>
            <w:tcW w:w="426" w:type="dxa"/>
            <w:vMerge/>
            <w:shd w:val="clear" w:color="auto" w:fill="auto"/>
            <w:textDirection w:val="tbRlV"/>
            <w:vAlign w:val="center"/>
            <w:hideMark/>
          </w:tcPr>
          <w:p w:rsidR="006C2670" w:rsidRPr="00A00D38" w:rsidRDefault="006C2670" w:rsidP="00021F7F">
            <w:pPr>
              <w:widowControl/>
              <w:adjustRightInd w:val="0"/>
              <w:snapToGrid w:val="0"/>
              <w:ind w:left="113" w:right="113"/>
              <w:outlineLvl w:val="0"/>
              <w:rPr>
                <w:b/>
                <w:color w:val="000000" w:themeColor="text1"/>
                <w:kern w:val="0"/>
                <w:sz w:val="24"/>
                <w:szCs w:val="24"/>
              </w:rPr>
            </w:pPr>
          </w:p>
        </w:tc>
        <w:tc>
          <w:tcPr>
            <w:tcW w:w="1701" w:type="dxa"/>
            <w:shd w:val="clear" w:color="auto" w:fill="auto"/>
            <w:noWrap/>
            <w:vAlign w:val="center"/>
            <w:hideMark/>
          </w:tcPr>
          <w:p w:rsidR="006C2670" w:rsidRPr="00A00D38" w:rsidRDefault="006C2670" w:rsidP="00021F7F">
            <w:pPr>
              <w:widowControl/>
              <w:adjustRightInd w:val="0"/>
              <w:snapToGrid w:val="0"/>
              <w:jc w:val="center"/>
              <w:outlineLvl w:val="0"/>
              <w:rPr>
                <w:b/>
                <w:color w:val="000000" w:themeColor="text1"/>
                <w:spacing w:val="-20"/>
                <w:kern w:val="0"/>
                <w:sz w:val="24"/>
                <w:szCs w:val="24"/>
              </w:rPr>
            </w:pPr>
            <w:r w:rsidRPr="00A00D38">
              <w:rPr>
                <w:b/>
                <w:color w:val="000000" w:themeColor="text1"/>
                <w:spacing w:val="-20"/>
                <w:kern w:val="0"/>
                <w:sz w:val="24"/>
                <w:szCs w:val="24"/>
              </w:rPr>
              <w:t>大陸學生</w:t>
            </w:r>
          </w:p>
        </w:tc>
        <w:tc>
          <w:tcPr>
            <w:tcW w:w="722"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928</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1,864</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3,554</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5,881</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7,813</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9,327</w:t>
            </w:r>
          </w:p>
        </w:tc>
      </w:tr>
      <w:tr w:rsidR="00A00D38" w:rsidRPr="00A00D38" w:rsidTr="00021F7F">
        <w:trPr>
          <w:cantSplit/>
          <w:trHeight w:val="510"/>
        </w:trPr>
        <w:tc>
          <w:tcPr>
            <w:tcW w:w="426" w:type="dxa"/>
            <w:vMerge/>
            <w:shd w:val="clear" w:color="auto" w:fill="auto"/>
            <w:textDirection w:val="tbRlV"/>
            <w:vAlign w:val="center"/>
            <w:hideMark/>
          </w:tcPr>
          <w:p w:rsidR="006C2670" w:rsidRPr="00A00D38" w:rsidRDefault="006C2670" w:rsidP="00021F7F">
            <w:pPr>
              <w:widowControl/>
              <w:adjustRightInd w:val="0"/>
              <w:snapToGrid w:val="0"/>
              <w:ind w:left="113" w:right="113"/>
              <w:outlineLvl w:val="0"/>
              <w:rPr>
                <w:b/>
                <w:color w:val="000000" w:themeColor="text1"/>
                <w:kern w:val="0"/>
                <w:sz w:val="24"/>
                <w:szCs w:val="24"/>
              </w:rPr>
            </w:pPr>
          </w:p>
        </w:tc>
        <w:tc>
          <w:tcPr>
            <w:tcW w:w="1701" w:type="dxa"/>
            <w:shd w:val="clear" w:color="000000" w:fill="FFFF99"/>
            <w:noWrap/>
            <w:vAlign w:val="center"/>
            <w:hideMark/>
          </w:tcPr>
          <w:p w:rsidR="006C2670" w:rsidRPr="00A00D38" w:rsidRDefault="006C2670" w:rsidP="00021F7F">
            <w:pPr>
              <w:widowControl/>
              <w:adjustRightInd w:val="0"/>
              <w:snapToGrid w:val="0"/>
              <w:jc w:val="center"/>
              <w:outlineLvl w:val="0"/>
              <w:rPr>
                <w:b/>
                <w:color w:val="000000" w:themeColor="text1"/>
                <w:spacing w:val="-20"/>
                <w:kern w:val="0"/>
                <w:sz w:val="24"/>
                <w:szCs w:val="24"/>
              </w:rPr>
            </w:pPr>
            <w:r w:rsidRPr="00A00D38">
              <w:rPr>
                <w:rFonts w:hint="eastAsia"/>
                <w:b/>
                <w:color w:val="000000" w:themeColor="text1"/>
                <w:spacing w:val="-20"/>
                <w:kern w:val="0"/>
                <w:sz w:val="24"/>
                <w:szCs w:val="24"/>
              </w:rPr>
              <w:t>人數及占比</w:t>
            </w:r>
            <w:r w:rsidRPr="00A00D38">
              <w:rPr>
                <w:b/>
                <w:color w:val="000000" w:themeColor="text1"/>
                <w:spacing w:val="-20"/>
                <w:kern w:val="0"/>
                <w:sz w:val="24"/>
                <w:szCs w:val="24"/>
              </w:rPr>
              <w:t>小計</w:t>
            </w:r>
          </w:p>
        </w:tc>
        <w:tc>
          <w:tcPr>
            <w:tcW w:w="722"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16,195</w:t>
            </w:r>
            <w:r w:rsidRPr="00A00D38">
              <w:rPr>
                <w:rFonts w:hint="eastAsia"/>
                <w:color w:val="000000" w:themeColor="text1"/>
                <w:spacing w:val="-20"/>
                <w:kern w:val="0"/>
                <w:sz w:val="18"/>
                <w:szCs w:val="18"/>
              </w:rPr>
              <w:br/>
              <w:t>(53.08%)</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17,758</w:t>
            </w:r>
            <w:r w:rsidRPr="00A00D38">
              <w:rPr>
                <w:rFonts w:hint="eastAsia"/>
                <w:color w:val="000000" w:themeColor="text1"/>
                <w:spacing w:val="-20"/>
                <w:kern w:val="0"/>
                <w:sz w:val="18"/>
                <w:szCs w:val="18"/>
              </w:rPr>
              <w:br/>
              <w:t>(52.88%)</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20,676</w:t>
            </w:r>
            <w:r w:rsidRPr="00A00D38">
              <w:rPr>
                <w:rFonts w:hint="eastAsia"/>
                <w:color w:val="000000" w:themeColor="text1"/>
                <w:spacing w:val="-20"/>
                <w:kern w:val="0"/>
                <w:sz w:val="18"/>
                <w:szCs w:val="18"/>
              </w:rPr>
              <w:br/>
              <w:t>(52.30%)</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22,438</w:t>
            </w:r>
            <w:r w:rsidRPr="00A00D38">
              <w:rPr>
                <w:rFonts w:hint="eastAsia"/>
                <w:color w:val="000000" w:themeColor="text1"/>
                <w:spacing w:val="-20"/>
                <w:kern w:val="0"/>
                <w:sz w:val="18"/>
                <w:szCs w:val="18"/>
              </w:rPr>
              <w:br/>
              <w:t>(49.41%)</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25,107</w:t>
            </w:r>
            <w:r w:rsidRPr="00A00D38">
              <w:rPr>
                <w:rFonts w:hint="eastAsia"/>
                <w:color w:val="000000" w:themeColor="text1"/>
                <w:spacing w:val="-20"/>
                <w:kern w:val="0"/>
                <w:sz w:val="18"/>
                <w:szCs w:val="18"/>
              </w:rPr>
              <w:br/>
              <w:t>(43.35%)</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28,696</w:t>
            </w:r>
            <w:r w:rsidRPr="00A00D38">
              <w:rPr>
                <w:rFonts w:hint="eastAsia"/>
                <w:color w:val="000000" w:themeColor="text1"/>
                <w:spacing w:val="-20"/>
                <w:kern w:val="0"/>
                <w:sz w:val="18"/>
                <w:szCs w:val="18"/>
              </w:rPr>
              <w:br/>
              <w:t>(42.85%)</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33,286</w:t>
            </w:r>
            <w:r w:rsidRPr="00A00D38">
              <w:rPr>
                <w:rFonts w:hint="eastAsia"/>
                <w:color w:val="000000" w:themeColor="text1"/>
                <w:spacing w:val="-20"/>
                <w:kern w:val="0"/>
                <w:sz w:val="18"/>
                <w:szCs w:val="18"/>
              </w:rPr>
              <w:br/>
              <w:t>(41.75%)</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40,078</w:t>
            </w:r>
            <w:r w:rsidRPr="00A00D38">
              <w:rPr>
                <w:rFonts w:hint="eastAsia"/>
                <w:color w:val="000000" w:themeColor="text1"/>
                <w:spacing w:val="-20"/>
                <w:kern w:val="0"/>
                <w:sz w:val="18"/>
                <w:szCs w:val="18"/>
              </w:rPr>
              <w:br/>
              <w:t>(42.80%)</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46,470</w:t>
            </w:r>
          </w:p>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rFonts w:hint="eastAsia"/>
                <w:color w:val="000000" w:themeColor="text1"/>
                <w:spacing w:val="-20"/>
                <w:kern w:val="0"/>
                <w:sz w:val="18"/>
                <w:szCs w:val="18"/>
              </w:rPr>
              <w:t>(41.74%)</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51,741</w:t>
            </w:r>
          </w:p>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rFonts w:hint="eastAsia"/>
                <w:color w:val="000000" w:themeColor="text1"/>
                <w:spacing w:val="-20"/>
                <w:kern w:val="0"/>
                <w:sz w:val="18"/>
                <w:szCs w:val="18"/>
              </w:rPr>
              <w:t>(44.44%)</w:t>
            </w:r>
          </w:p>
        </w:tc>
      </w:tr>
      <w:tr w:rsidR="00A00D38" w:rsidRPr="00A00D38" w:rsidTr="00021F7F">
        <w:trPr>
          <w:trHeight w:val="465"/>
        </w:trPr>
        <w:tc>
          <w:tcPr>
            <w:tcW w:w="426" w:type="dxa"/>
            <w:vMerge w:val="restart"/>
            <w:shd w:val="clear" w:color="auto" w:fill="auto"/>
            <w:noWrap/>
            <w:textDirection w:val="tbRlV"/>
            <w:vAlign w:val="center"/>
            <w:hideMark/>
          </w:tcPr>
          <w:p w:rsidR="006C2670" w:rsidRPr="00A00D38" w:rsidRDefault="006C2670" w:rsidP="00021F7F">
            <w:pPr>
              <w:widowControl/>
              <w:adjustRightInd w:val="0"/>
              <w:snapToGrid w:val="0"/>
              <w:ind w:left="113" w:right="113"/>
              <w:jc w:val="center"/>
              <w:outlineLvl w:val="0"/>
              <w:rPr>
                <w:b/>
                <w:color w:val="000000" w:themeColor="text1"/>
                <w:kern w:val="0"/>
                <w:sz w:val="24"/>
                <w:szCs w:val="24"/>
              </w:rPr>
            </w:pPr>
            <w:r w:rsidRPr="00A00D38">
              <w:rPr>
                <w:b/>
                <w:color w:val="000000" w:themeColor="text1"/>
                <w:kern w:val="0"/>
                <w:sz w:val="24"/>
                <w:szCs w:val="24"/>
              </w:rPr>
              <w:t>非學位生</w:t>
            </w:r>
          </w:p>
        </w:tc>
        <w:tc>
          <w:tcPr>
            <w:tcW w:w="1701" w:type="dxa"/>
            <w:shd w:val="clear" w:color="auto" w:fill="auto"/>
            <w:noWrap/>
            <w:vAlign w:val="center"/>
            <w:hideMark/>
          </w:tcPr>
          <w:p w:rsidR="006C2670" w:rsidRPr="00A00D38" w:rsidRDefault="006C2670" w:rsidP="00021F7F">
            <w:pPr>
              <w:widowControl/>
              <w:adjustRightInd w:val="0"/>
              <w:snapToGrid w:val="0"/>
              <w:jc w:val="center"/>
              <w:outlineLvl w:val="0"/>
              <w:rPr>
                <w:b/>
                <w:color w:val="000000" w:themeColor="text1"/>
                <w:spacing w:val="-20"/>
                <w:kern w:val="0"/>
                <w:sz w:val="24"/>
                <w:szCs w:val="24"/>
              </w:rPr>
            </w:pPr>
            <w:r w:rsidRPr="00A00D38">
              <w:rPr>
                <w:b/>
                <w:color w:val="000000" w:themeColor="text1"/>
                <w:spacing w:val="-20"/>
                <w:kern w:val="0"/>
                <w:sz w:val="24"/>
                <w:szCs w:val="24"/>
              </w:rPr>
              <w:t>外國交換</w:t>
            </w:r>
            <w:r w:rsidRPr="00A00D38">
              <w:rPr>
                <w:rFonts w:hint="eastAsia"/>
                <w:b/>
                <w:color w:val="000000" w:themeColor="text1"/>
                <w:spacing w:val="-20"/>
                <w:kern w:val="0"/>
                <w:sz w:val="24"/>
                <w:szCs w:val="24"/>
              </w:rPr>
              <w:br/>
            </w:r>
            <w:r w:rsidRPr="00A00D38">
              <w:rPr>
                <w:b/>
                <w:color w:val="000000" w:themeColor="text1"/>
                <w:spacing w:val="-20"/>
                <w:kern w:val="0"/>
                <w:sz w:val="24"/>
                <w:szCs w:val="24"/>
              </w:rPr>
              <w:t>研習選讀生</w:t>
            </w:r>
          </w:p>
        </w:tc>
        <w:tc>
          <w:tcPr>
            <w:tcW w:w="722"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2,587</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2,990</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3,376</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3,863</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5,566</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7,034</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7,541</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8,501</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9,712</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9,712</w:t>
            </w:r>
          </w:p>
        </w:tc>
      </w:tr>
      <w:tr w:rsidR="00A00D38" w:rsidRPr="00A00D38" w:rsidTr="00021F7F">
        <w:trPr>
          <w:trHeight w:val="414"/>
        </w:trPr>
        <w:tc>
          <w:tcPr>
            <w:tcW w:w="426" w:type="dxa"/>
            <w:vMerge/>
            <w:vAlign w:val="center"/>
            <w:hideMark/>
          </w:tcPr>
          <w:p w:rsidR="006C2670" w:rsidRPr="00A00D38" w:rsidRDefault="006C2670" w:rsidP="00021F7F">
            <w:pPr>
              <w:widowControl/>
              <w:adjustRightInd w:val="0"/>
              <w:snapToGrid w:val="0"/>
              <w:outlineLvl w:val="0"/>
              <w:rPr>
                <w:b/>
                <w:color w:val="000000" w:themeColor="text1"/>
                <w:kern w:val="0"/>
                <w:sz w:val="24"/>
                <w:szCs w:val="24"/>
              </w:rPr>
            </w:pPr>
          </w:p>
        </w:tc>
        <w:tc>
          <w:tcPr>
            <w:tcW w:w="1701" w:type="dxa"/>
            <w:shd w:val="clear" w:color="auto" w:fill="auto"/>
            <w:noWrap/>
            <w:vAlign w:val="center"/>
            <w:hideMark/>
          </w:tcPr>
          <w:p w:rsidR="006C2670" w:rsidRPr="00A00D38" w:rsidRDefault="006C2670" w:rsidP="00021F7F">
            <w:pPr>
              <w:widowControl/>
              <w:adjustRightInd w:val="0"/>
              <w:snapToGrid w:val="0"/>
              <w:jc w:val="center"/>
              <w:outlineLvl w:val="0"/>
              <w:rPr>
                <w:b/>
                <w:color w:val="000000" w:themeColor="text1"/>
                <w:spacing w:val="-20"/>
                <w:kern w:val="0"/>
                <w:sz w:val="24"/>
                <w:szCs w:val="24"/>
              </w:rPr>
            </w:pPr>
            <w:r w:rsidRPr="00A00D38">
              <w:rPr>
                <w:b/>
                <w:color w:val="000000" w:themeColor="text1"/>
                <w:spacing w:val="-20"/>
                <w:kern w:val="0"/>
                <w:sz w:val="24"/>
                <w:szCs w:val="24"/>
              </w:rPr>
              <w:t>華語生</w:t>
            </w:r>
          </w:p>
        </w:tc>
        <w:tc>
          <w:tcPr>
            <w:tcW w:w="722"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10,177</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10,651</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11,612</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12,555</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14,480</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13,898</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15,510</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15,526</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18,645</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19,977</w:t>
            </w:r>
          </w:p>
        </w:tc>
      </w:tr>
      <w:tr w:rsidR="00A00D38" w:rsidRPr="00A00D38" w:rsidTr="00021F7F">
        <w:trPr>
          <w:trHeight w:val="264"/>
        </w:trPr>
        <w:tc>
          <w:tcPr>
            <w:tcW w:w="426" w:type="dxa"/>
            <w:vMerge/>
            <w:vAlign w:val="center"/>
            <w:hideMark/>
          </w:tcPr>
          <w:p w:rsidR="006C2670" w:rsidRPr="00A00D38" w:rsidRDefault="006C2670" w:rsidP="00021F7F">
            <w:pPr>
              <w:widowControl/>
              <w:adjustRightInd w:val="0"/>
              <w:snapToGrid w:val="0"/>
              <w:outlineLvl w:val="0"/>
              <w:rPr>
                <w:b/>
                <w:color w:val="000000" w:themeColor="text1"/>
                <w:kern w:val="0"/>
                <w:sz w:val="24"/>
                <w:szCs w:val="24"/>
              </w:rPr>
            </w:pPr>
          </w:p>
        </w:tc>
        <w:tc>
          <w:tcPr>
            <w:tcW w:w="1701" w:type="dxa"/>
            <w:shd w:val="clear" w:color="auto" w:fill="auto"/>
            <w:noWrap/>
            <w:vAlign w:val="center"/>
            <w:hideMark/>
          </w:tcPr>
          <w:p w:rsidR="006C2670" w:rsidRPr="00A00D38" w:rsidRDefault="006C2670" w:rsidP="00021F7F">
            <w:pPr>
              <w:widowControl/>
              <w:adjustRightInd w:val="0"/>
              <w:snapToGrid w:val="0"/>
              <w:jc w:val="center"/>
              <w:outlineLvl w:val="0"/>
              <w:rPr>
                <w:b/>
                <w:color w:val="000000" w:themeColor="text1"/>
                <w:spacing w:val="-20"/>
                <w:kern w:val="0"/>
                <w:sz w:val="24"/>
                <w:szCs w:val="24"/>
              </w:rPr>
            </w:pPr>
            <w:r w:rsidRPr="00A00D38">
              <w:rPr>
                <w:b/>
                <w:color w:val="000000" w:themeColor="text1"/>
                <w:spacing w:val="-20"/>
                <w:kern w:val="0"/>
                <w:sz w:val="24"/>
                <w:szCs w:val="24"/>
              </w:rPr>
              <w:t>海青班</w:t>
            </w:r>
          </w:p>
        </w:tc>
        <w:tc>
          <w:tcPr>
            <w:tcW w:w="722"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727</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862</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981</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1,241</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1,540</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1,743</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2,160</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2,510</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2,399</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2,338</w:t>
            </w:r>
          </w:p>
        </w:tc>
      </w:tr>
      <w:tr w:rsidR="00A00D38" w:rsidRPr="00A00D38" w:rsidTr="00021F7F">
        <w:trPr>
          <w:trHeight w:val="325"/>
        </w:trPr>
        <w:tc>
          <w:tcPr>
            <w:tcW w:w="426" w:type="dxa"/>
            <w:vMerge/>
            <w:vAlign w:val="center"/>
            <w:hideMark/>
          </w:tcPr>
          <w:p w:rsidR="006C2670" w:rsidRPr="00A00D38" w:rsidRDefault="006C2670" w:rsidP="00021F7F">
            <w:pPr>
              <w:widowControl/>
              <w:adjustRightInd w:val="0"/>
              <w:snapToGrid w:val="0"/>
              <w:outlineLvl w:val="0"/>
              <w:rPr>
                <w:b/>
                <w:color w:val="000000" w:themeColor="text1"/>
                <w:kern w:val="0"/>
                <w:sz w:val="24"/>
                <w:szCs w:val="24"/>
              </w:rPr>
            </w:pPr>
          </w:p>
        </w:tc>
        <w:tc>
          <w:tcPr>
            <w:tcW w:w="1701" w:type="dxa"/>
            <w:shd w:val="clear" w:color="auto" w:fill="auto"/>
            <w:noWrap/>
            <w:vAlign w:val="center"/>
            <w:hideMark/>
          </w:tcPr>
          <w:p w:rsidR="006C2670" w:rsidRPr="00A00D38" w:rsidRDefault="006C2670" w:rsidP="00021F7F">
            <w:pPr>
              <w:widowControl/>
              <w:adjustRightInd w:val="0"/>
              <w:snapToGrid w:val="0"/>
              <w:jc w:val="center"/>
              <w:outlineLvl w:val="0"/>
              <w:rPr>
                <w:b/>
                <w:color w:val="000000" w:themeColor="text1"/>
                <w:spacing w:val="-20"/>
                <w:kern w:val="0"/>
                <w:sz w:val="24"/>
                <w:szCs w:val="24"/>
              </w:rPr>
            </w:pPr>
            <w:r w:rsidRPr="00A00D38">
              <w:rPr>
                <w:b/>
                <w:color w:val="000000" w:themeColor="text1"/>
                <w:spacing w:val="-20"/>
                <w:kern w:val="0"/>
                <w:sz w:val="24"/>
                <w:szCs w:val="24"/>
              </w:rPr>
              <w:t>大陸研修生</w:t>
            </w:r>
          </w:p>
        </w:tc>
        <w:tc>
          <w:tcPr>
            <w:tcW w:w="722"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823</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1,321</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2,888</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5,316</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11,227</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15,590</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21,233</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27,030</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34,114</w:t>
            </w:r>
          </w:p>
        </w:tc>
        <w:tc>
          <w:tcPr>
            <w:tcW w:w="723" w:type="dxa"/>
            <w:shd w:val="clear" w:color="auto" w:fill="auto"/>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32,648</w:t>
            </w:r>
          </w:p>
        </w:tc>
      </w:tr>
      <w:tr w:rsidR="00A00D38" w:rsidRPr="00A00D38" w:rsidTr="00021F7F">
        <w:trPr>
          <w:trHeight w:val="510"/>
        </w:trPr>
        <w:tc>
          <w:tcPr>
            <w:tcW w:w="426" w:type="dxa"/>
            <w:vMerge/>
            <w:vAlign w:val="center"/>
            <w:hideMark/>
          </w:tcPr>
          <w:p w:rsidR="006C2670" w:rsidRPr="00A00D38" w:rsidRDefault="006C2670" w:rsidP="00021F7F">
            <w:pPr>
              <w:widowControl/>
              <w:adjustRightInd w:val="0"/>
              <w:snapToGrid w:val="0"/>
              <w:outlineLvl w:val="0"/>
              <w:rPr>
                <w:b/>
                <w:color w:val="000000" w:themeColor="text1"/>
                <w:kern w:val="0"/>
                <w:sz w:val="24"/>
                <w:szCs w:val="24"/>
              </w:rPr>
            </w:pPr>
          </w:p>
        </w:tc>
        <w:tc>
          <w:tcPr>
            <w:tcW w:w="1701" w:type="dxa"/>
            <w:shd w:val="clear" w:color="000000" w:fill="FFFF99"/>
            <w:noWrap/>
            <w:vAlign w:val="center"/>
            <w:hideMark/>
          </w:tcPr>
          <w:p w:rsidR="006C2670" w:rsidRPr="00A00D38" w:rsidRDefault="006C2670" w:rsidP="00021F7F">
            <w:pPr>
              <w:widowControl/>
              <w:adjustRightInd w:val="0"/>
              <w:snapToGrid w:val="0"/>
              <w:jc w:val="center"/>
              <w:outlineLvl w:val="0"/>
              <w:rPr>
                <w:b/>
                <w:color w:val="000000" w:themeColor="text1"/>
                <w:spacing w:val="-20"/>
                <w:kern w:val="0"/>
                <w:sz w:val="24"/>
                <w:szCs w:val="24"/>
              </w:rPr>
            </w:pPr>
            <w:r w:rsidRPr="00A00D38">
              <w:rPr>
                <w:rFonts w:hint="eastAsia"/>
                <w:b/>
                <w:color w:val="000000" w:themeColor="text1"/>
                <w:spacing w:val="-20"/>
                <w:kern w:val="0"/>
                <w:sz w:val="24"/>
                <w:szCs w:val="24"/>
              </w:rPr>
              <w:t>人數及占比</w:t>
            </w:r>
            <w:r w:rsidRPr="00A00D38">
              <w:rPr>
                <w:b/>
                <w:color w:val="000000" w:themeColor="text1"/>
                <w:spacing w:val="-20"/>
                <w:kern w:val="0"/>
                <w:sz w:val="24"/>
                <w:szCs w:val="24"/>
              </w:rPr>
              <w:t>小計</w:t>
            </w:r>
          </w:p>
        </w:tc>
        <w:tc>
          <w:tcPr>
            <w:tcW w:w="722"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14,314</w:t>
            </w:r>
          </w:p>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rFonts w:hint="eastAsia"/>
                <w:color w:val="000000" w:themeColor="text1"/>
                <w:spacing w:val="-20"/>
                <w:kern w:val="0"/>
                <w:sz w:val="18"/>
                <w:szCs w:val="18"/>
              </w:rPr>
              <w:t>(46.92%)</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15,824</w:t>
            </w:r>
          </w:p>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rFonts w:hint="eastAsia"/>
                <w:color w:val="000000" w:themeColor="text1"/>
                <w:spacing w:val="-20"/>
                <w:kern w:val="0"/>
                <w:sz w:val="18"/>
                <w:szCs w:val="18"/>
              </w:rPr>
              <w:t>(47.12%)</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18,857</w:t>
            </w:r>
            <w:r w:rsidRPr="00A00D38">
              <w:rPr>
                <w:rFonts w:hint="eastAsia"/>
                <w:color w:val="000000" w:themeColor="text1"/>
                <w:spacing w:val="-20"/>
                <w:kern w:val="0"/>
                <w:sz w:val="18"/>
                <w:szCs w:val="18"/>
              </w:rPr>
              <w:br/>
              <w:t>(47.70%)</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22,975</w:t>
            </w:r>
            <w:r w:rsidRPr="00A00D38">
              <w:rPr>
                <w:rFonts w:hint="eastAsia"/>
                <w:color w:val="000000" w:themeColor="text1"/>
                <w:spacing w:val="-20"/>
                <w:kern w:val="0"/>
                <w:sz w:val="18"/>
                <w:szCs w:val="18"/>
              </w:rPr>
              <w:br/>
              <w:t>(50.59%)</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32,813</w:t>
            </w:r>
            <w:r w:rsidRPr="00A00D38">
              <w:rPr>
                <w:rFonts w:hint="eastAsia"/>
                <w:color w:val="000000" w:themeColor="text1"/>
                <w:spacing w:val="-20"/>
                <w:kern w:val="0"/>
                <w:sz w:val="18"/>
                <w:szCs w:val="18"/>
              </w:rPr>
              <w:br/>
              <w:t>(56.65%)</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38,265</w:t>
            </w:r>
            <w:r w:rsidRPr="00A00D38">
              <w:rPr>
                <w:rFonts w:hint="eastAsia"/>
                <w:color w:val="000000" w:themeColor="text1"/>
                <w:spacing w:val="-20"/>
                <w:kern w:val="0"/>
                <w:sz w:val="18"/>
                <w:szCs w:val="18"/>
              </w:rPr>
              <w:br/>
              <w:t>(57.15%)</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46,444</w:t>
            </w:r>
            <w:r w:rsidRPr="00A00D38">
              <w:rPr>
                <w:rFonts w:hint="eastAsia"/>
                <w:color w:val="000000" w:themeColor="text1"/>
                <w:spacing w:val="-20"/>
                <w:kern w:val="0"/>
                <w:sz w:val="18"/>
                <w:szCs w:val="18"/>
              </w:rPr>
              <w:br/>
              <w:t>(58.25%)</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53,567</w:t>
            </w:r>
            <w:r w:rsidRPr="00A00D38">
              <w:rPr>
                <w:rFonts w:hint="eastAsia"/>
                <w:color w:val="000000" w:themeColor="text1"/>
                <w:spacing w:val="-20"/>
                <w:kern w:val="0"/>
                <w:sz w:val="18"/>
                <w:szCs w:val="18"/>
              </w:rPr>
              <w:br/>
              <w:t>(57.20%)</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64,870</w:t>
            </w:r>
          </w:p>
          <w:p w:rsidR="006C2670" w:rsidRPr="00A00D38" w:rsidRDefault="006C2670" w:rsidP="00021F7F">
            <w:pPr>
              <w:widowControl/>
              <w:adjustRightInd w:val="0"/>
              <w:snapToGrid w:val="0"/>
              <w:ind w:right="-28"/>
              <w:jc w:val="center"/>
              <w:outlineLvl w:val="0"/>
              <w:rPr>
                <w:color w:val="000000" w:themeColor="text1"/>
                <w:spacing w:val="-20"/>
                <w:kern w:val="0"/>
                <w:sz w:val="18"/>
                <w:szCs w:val="18"/>
              </w:rPr>
            </w:pPr>
            <w:r w:rsidRPr="00A00D38">
              <w:rPr>
                <w:rFonts w:hint="eastAsia"/>
                <w:color w:val="000000" w:themeColor="text1"/>
                <w:spacing w:val="-20"/>
                <w:kern w:val="0"/>
                <w:sz w:val="18"/>
                <w:szCs w:val="18"/>
              </w:rPr>
              <w:t>(58.26%)</w:t>
            </w:r>
          </w:p>
        </w:tc>
        <w:tc>
          <w:tcPr>
            <w:tcW w:w="723" w:type="dxa"/>
            <w:shd w:val="clear" w:color="000000" w:fill="FFFF99"/>
            <w:noWrap/>
            <w:vAlign w:val="center"/>
            <w:hideMark/>
          </w:tcPr>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color w:val="000000" w:themeColor="text1"/>
                <w:spacing w:val="-20"/>
                <w:kern w:val="0"/>
                <w:sz w:val="18"/>
                <w:szCs w:val="18"/>
              </w:rPr>
              <w:t>64,675</w:t>
            </w:r>
          </w:p>
          <w:p w:rsidR="006C2670" w:rsidRPr="00A00D38" w:rsidRDefault="006C2670" w:rsidP="00021F7F">
            <w:pPr>
              <w:widowControl/>
              <w:adjustRightInd w:val="0"/>
              <w:snapToGrid w:val="0"/>
              <w:jc w:val="center"/>
              <w:outlineLvl w:val="0"/>
              <w:rPr>
                <w:color w:val="000000" w:themeColor="text1"/>
                <w:spacing w:val="-20"/>
                <w:kern w:val="0"/>
                <w:sz w:val="18"/>
                <w:szCs w:val="18"/>
              </w:rPr>
            </w:pPr>
            <w:r w:rsidRPr="00A00D38">
              <w:rPr>
                <w:rFonts w:hint="eastAsia"/>
                <w:color w:val="000000" w:themeColor="text1"/>
                <w:spacing w:val="-20"/>
                <w:kern w:val="0"/>
                <w:sz w:val="18"/>
                <w:szCs w:val="18"/>
              </w:rPr>
              <w:t>(55.56%)</w:t>
            </w:r>
          </w:p>
        </w:tc>
      </w:tr>
      <w:tr w:rsidR="00A00D38" w:rsidRPr="00A00D38" w:rsidTr="00021F7F">
        <w:trPr>
          <w:trHeight w:val="341"/>
        </w:trPr>
        <w:tc>
          <w:tcPr>
            <w:tcW w:w="2127" w:type="dxa"/>
            <w:gridSpan w:val="2"/>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24"/>
                <w:szCs w:val="24"/>
              </w:rPr>
            </w:pPr>
            <w:r w:rsidRPr="00A00D38">
              <w:rPr>
                <w:b/>
                <w:bCs/>
                <w:color w:val="000000" w:themeColor="text1"/>
                <w:spacing w:val="-20"/>
                <w:kern w:val="0"/>
                <w:sz w:val="24"/>
                <w:szCs w:val="24"/>
              </w:rPr>
              <w:t>境外學生總數</w:t>
            </w:r>
          </w:p>
        </w:tc>
        <w:tc>
          <w:tcPr>
            <w:tcW w:w="722" w:type="dxa"/>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18"/>
                <w:szCs w:val="18"/>
              </w:rPr>
            </w:pPr>
            <w:r w:rsidRPr="00A00D38">
              <w:rPr>
                <w:b/>
                <w:bCs/>
                <w:color w:val="000000" w:themeColor="text1"/>
                <w:spacing w:val="-20"/>
                <w:kern w:val="0"/>
                <w:sz w:val="18"/>
                <w:szCs w:val="18"/>
              </w:rPr>
              <w:t>30,509</w:t>
            </w:r>
          </w:p>
        </w:tc>
        <w:tc>
          <w:tcPr>
            <w:tcW w:w="723" w:type="dxa"/>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18"/>
                <w:szCs w:val="18"/>
              </w:rPr>
            </w:pPr>
            <w:r w:rsidRPr="00A00D38">
              <w:rPr>
                <w:b/>
                <w:bCs/>
                <w:color w:val="000000" w:themeColor="text1"/>
                <w:spacing w:val="-20"/>
                <w:kern w:val="0"/>
                <w:sz w:val="18"/>
                <w:szCs w:val="18"/>
              </w:rPr>
              <w:t>33,582</w:t>
            </w:r>
          </w:p>
        </w:tc>
        <w:tc>
          <w:tcPr>
            <w:tcW w:w="723" w:type="dxa"/>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18"/>
                <w:szCs w:val="18"/>
              </w:rPr>
            </w:pPr>
            <w:r w:rsidRPr="00A00D38">
              <w:rPr>
                <w:b/>
                <w:bCs/>
                <w:color w:val="000000" w:themeColor="text1"/>
                <w:spacing w:val="-20"/>
                <w:kern w:val="0"/>
                <w:sz w:val="18"/>
                <w:szCs w:val="18"/>
              </w:rPr>
              <w:t>39,533</w:t>
            </w:r>
          </w:p>
        </w:tc>
        <w:tc>
          <w:tcPr>
            <w:tcW w:w="723" w:type="dxa"/>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18"/>
                <w:szCs w:val="18"/>
              </w:rPr>
            </w:pPr>
            <w:r w:rsidRPr="00A00D38">
              <w:rPr>
                <w:b/>
                <w:bCs/>
                <w:color w:val="000000" w:themeColor="text1"/>
                <w:spacing w:val="-20"/>
                <w:kern w:val="0"/>
                <w:sz w:val="18"/>
                <w:szCs w:val="18"/>
              </w:rPr>
              <w:t>45,413</w:t>
            </w:r>
          </w:p>
        </w:tc>
        <w:tc>
          <w:tcPr>
            <w:tcW w:w="723" w:type="dxa"/>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18"/>
                <w:szCs w:val="18"/>
              </w:rPr>
            </w:pPr>
            <w:r w:rsidRPr="00A00D38">
              <w:rPr>
                <w:b/>
                <w:bCs/>
                <w:color w:val="000000" w:themeColor="text1"/>
                <w:spacing w:val="-20"/>
                <w:kern w:val="0"/>
                <w:sz w:val="18"/>
                <w:szCs w:val="18"/>
              </w:rPr>
              <w:t>57,920</w:t>
            </w:r>
          </w:p>
        </w:tc>
        <w:tc>
          <w:tcPr>
            <w:tcW w:w="723" w:type="dxa"/>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18"/>
                <w:szCs w:val="18"/>
              </w:rPr>
            </w:pPr>
            <w:r w:rsidRPr="00A00D38">
              <w:rPr>
                <w:b/>
                <w:bCs/>
                <w:color w:val="000000" w:themeColor="text1"/>
                <w:spacing w:val="-20"/>
                <w:kern w:val="0"/>
                <w:sz w:val="18"/>
                <w:szCs w:val="18"/>
              </w:rPr>
              <w:t>66,961</w:t>
            </w:r>
          </w:p>
        </w:tc>
        <w:tc>
          <w:tcPr>
            <w:tcW w:w="723" w:type="dxa"/>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18"/>
                <w:szCs w:val="18"/>
              </w:rPr>
            </w:pPr>
            <w:r w:rsidRPr="00A00D38">
              <w:rPr>
                <w:b/>
                <w:bCs/>
                <w:color w:val="000000" w:themeColor="text1"/>
                <w:spacing w:val="-20"/>
                <w:kern w:val="0"/>
                <w:sz w:val="18"/>
                <w:szCs w:val="18"/>
              </w:rPr>
              <w:t>79,730</w:t>
            </w:r>
          </w:p>
        </w:tc>
        <w:tc>
          <w:tcPr>
            <w:tcW w:w="723" w:type="dxa"/>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18"/>
                <w:szCs w:val="18"/>
              </w:rPr>
            </w:pPr>
            <w:r w:rsidRPr="00A00D38">
              <w:rPr>
                <w:b/>
                <w:bCs/>
                <w:color w:val="000000" w:themeColor="text1"/>
                <w:spacing w:val="-20"/>
                <w:kern w:val="0"/>
                <w:sz w:val="18"/>
                <w:szCs w:val="18"/>
              </w:rPr>
              <w:t>93,645</w:t>
            </w:r>
          </w:p>
        </w:tc>
        <w:tc>
          <w:tcPr>
            <w:tcW w:w="723" w:type="dxa"/>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18"/>
                <w:szCs w:val="18"/>
              </w:rPr>
            </w:pPr>
            <w:r w:rsidRPr="00A00D38">
              <w:rPr>
                <w:b/>
                <w:bCs/>
                <w:color w:val="000000" w:themeColor="text1"/>
                <w:spacing w:val="-20"/>
                <w:kern w:val="0"/>
                <w:sz w:val="18"/>
                <w:szCs w:val="18"/>
              </w:rPr>
              <w:t>111,340</w:t>
            </w:r>
          </w:p>
        </w:tc>
        <w:tc>
          <w:tcPr>
            <w:tcW w:w="723" w:type="dxa"/>
            <w:shd w:val="clear" w:color="auto" w:fill="D6E3BC" w:themeFill="accent3" w:themeFillTint="66"/>
            <w:noWrap/>
            <w:vAlign w:val="center"/>
            <w:hideMark/>
          </w:tcPr>
          <w:p w:rsidR="006C2670" w:rsidRPr="00A00D38" w:rsidRDefault="006C2670" w:rsidP="00021F7F">
            <w:pPr>
              <w:widowControl/>
              <w:adjustRightInd w:val="0"/>
              <w:snapToGrid w:val="0"/>
              <w:jc w:val="center"/>
              <w:outlineLvl w:val="0"/>
              <w:rPr>
                <w:b/>
                <w:bCs/>
                <w:color w:val="000000" w:themeColor="text1"/>
                <w:spacing w:val="-20"/>
                <w:kern w:val="0"/>
                <w:sz w:val="18"/>
                <w:szCs w:val="18"/>
              </w:rPr>
            </w:pPr>
            <w:r w:rsidRPr="00A00D38">
              <w:rPr>
                <w:b/>
                <w:bCs/>
                <w:color w:val="000000" w:themeColor="text1"/>
                <w:spacing w:val="-20"/>
                <w:kern w:val="0"/>
                <w:sz w:val="18"/>
                <w:szCs w:val="18"/>
              </w:rPr>
              <w:t>116,416</w:t>
            </w:r>
          </w:p>
        </w:tc>
      </w:tr>
      <w:tr w:rsidR="00A00D38" w:rsidRPr="00A00D38" w:rsidTr="00021F7F">
        <w:trPr>
          <w:trHeight w:val="341"/>
        </w:trPr>
        <w:tc>
          <w:tcPr>
            <w:tcW w:w="2127" w:type="dxa"/>
            <w:gridSpan w:val="2"/>
            <w:shd w:val="clear" w:color="000000" w:fill="FF99CC"/>
            <w:noWrap/>
            <w:vAlign w:val="center"/>
          </w:tcPr>
          <w:p w:rsidR="006C2670" w:rsidRPr="00A00D38" w:rsidRDefault="006C2670" w:rsidP="00021F7F">
            <w:pPr>
              <w:widowControl/>
              <w:adjustRightInd w:val="0"/>
              <w:snapToGrid w:val="0"/>
              <w:jc w:val="center"/>
              <w:outlineLvl w:val="0"/>
              <w:rPr>
                <w:b/>
                <w:bCs/>
                <w:color w:val="000000" w:themeColor="text1"/>
                <w:spacing w:val="-20"/>
                <w:kern w:val="0"/>
                <w:sz w:val="24"/>
                <w:szCs w:val="24"/>
              </w:rPr>
            </w:pPr>
            <w:r w:rsidRPr="00A00D38">
              <w:rPr>
                <w:rFonts w:hint="eastAsia"/>
                <w:b/>
                <w:bCs/>
                <w:color w:val="000000" w:themeColor="text1"/>
                <w:spacing w:val="-20"/>
                <w:kern w:val="0"/>
                <w:sz w:val="24"/>
                <w:szCs w:val="24"/>
              </w:rPr>
              <w:t>外國學位生</w:t>
            </w:r>
            <w:r w:rsidRPr="00A00D38">
              <w:rPr>
                <w:b/>
                <w:bCs/>
                <w:color w:val="000000" w:themeColor="text1"/>
                <w:spacing w:val="-20"/>
                <w:kern w:val="0"/>
                <w:sz w:val="24"/>
                <w:szCs w:val="24"/>
              </w:rPr>
              <w:br/>
            </w:r>
            <w:r w:rsidRPr="00A00D38">
              <w:rPr>
                <w:rFonts w:hint="eastAsia"/>
                <w:b/>
                <w:bCs/>
                <w:color w:val="000000" w:themeColor="text1"/>
                <w:spacing w:val="-20"/>
                <w:kern w:val="0"/>
                <w:sz w:val="24"/>
                <w:szCs w:val="24"/>
              </w:rPr>
              <w:t>占境外學生之比率</w:t>
            </w:r>
          </w:p>
        </w:tc>
        <w:tc>
          <w:tcPr>
            <w:tcW w:w="722" w:type="dxa"/>
            <w:shd w:val="clear" w:color="000000" w:fill="FF99CC"/>
            <w:noWrap/>
            <w:vAlign w:val="center"/>
          </w:tcPr>
          <w:p w:rsidR="006C2670" w:rsidRPr="00A00D38" w:rsidRDefault="006C2670" w:rsidP="00021F7F">
            <w:pPr>
              <w:jc w:val="center"/>
              <w:rPr>
                <w:b/>
                <w:color w:val="000000" w:themeColor="text1"/>
                <w:spacing w:val="-20"/>
                <w:sz w:val="18"/>
                <w:szCs w:val="18"/>
              </w:rPr>
            </w:pPr>
            <w:r w:rsidRPr="00A00D38">
              <w:rPr>
                <w:b/>
                <w:color w:val="000000" w:themeColor="text1"/>
                <w:spacing w:val="-20"/>
                <w:sz w:val="18"/>
                <w:szCs w:val="18"/>
              </w:rPr>
              <w:t>17.23</w:t>
            </w:r>
            <w:r w:rsidRPr="00A00D38">
              <w:rPr>
                <w:rFonts w:hint="eastAsia"/>
                <w:b/>
                <w:color w:val="000000" w:themeColor="text1"/>
                <w:spacing w:val="-20"/>
                <w:sz w:val="18"/>
                <w:szCs w:val="18"/>
              </w:rPr>
              <w:t>%</w:t>
            </w:r>
          </w:p>
        </w:tc>
        <w:tc>
          <w:tcPr>
            <w:tcW w:w="723" w:type="dxa"/>
            <w:shd w:val="clear" w:color="000000" w:fill="FF99CC"/>
            <w:noWrap/>
            <w:vAlign w:val="center"/>
          </w:tcPr>
          <w:p w:rsidR="006C2670" w:rsidRPr="00A00D38" w:rsidRDefault="006C2670" w:rsidP="00021F7F">
            <w:pPr>
              <w:jc w:val="center"/>
              <w:rPr>
                <w:b/>
                <w:color w:val="000000" w:themeColor="text1"/>
                <w:spacing w:val="-20"/>
                <w:sz w:val="18"/>
                <w:szCs w:val="18"/>
              </w:rPr>
            </w:pPr>
            <w:r w:rsidRPr="00A00D38">
              <w:rPr>
                <w:b/>
                <w:color w:val="000000" w:themeColor="text1"/>
                <w:spacing w:val="-20"/>
                <w:sz w:val="18"/>
                <w:szCs w:val="18"/>
              </w:rPr>
              <w:t>18.63</w:t>
            </w:r>
            <w:r w:rsidRPr="00A00D38">
              <w:rPr>
                <w:rFonts w:hint="eastAsia"/>
                <w:b/>
                <w:color w:val="000000" w:themeColor="text1"/>
                <w:spacing w:val="-20"/>
                <w:sz w:val="18"/>
                <w:szCs w:val="18"/>
              </w:rPr>
              <w:t>%</w:t>
            </w:r>
          </w:p>
        </w:tc>
        <w:tc>
          <w:tcPr>
            <w:tcW w:w="723" w:type="dxa"/>
            <w:shd w:val="clear" w:color="000000" w:fill="FF99CC"/>
            <w:noWrap/>
            <w:vAlign w:val="center"/>
          </w:tcPr>
          <w:p w:rsidR="006C2670" w:rsidRPr="00A00D38" w:rsidRDefault="006C2670" w:rsidP="00021F7F">
            <w:pPr>
              <w:jc w:val="center"/>
              <w:rPr>
                <w:b/>
                <w:color w:val="000000" w:themeColor="text1"/>
                <w:spacing w:val="-20"/>
                <w:sz w:val="18"/>
                <w:szCs w:val="18"/>
              </w:rPr>
            </w:pPr>
            <w:r w:rsidRPr="00A00D38">
              <w:rPr>
                <w:b/>
                <w:color w:val="000000" w:themeColor="text1"/>
                <w:spacing w:val="-20"/>
                <w:sz w:val="18"/>
                <w:szCs w:val="18"/>
              </w:rPr>
              <w:t>19.63</w:t>
            </w:r>
            <w:r w:rsidRPr="00A00D38">
              <w:rPr>
                <w:rFonts w:hint="eastAsia"/>
                <w:b/>
                <w:color w:val="000000" w:themeColor="text1"/>
                <w:spacing w:val="-20"/>
                <w:sz w:val="18"/>
                <w:szCs w:val="18"/>
              </w:rPr>
              <w:t>%</w:t>
            </w:r>
          </w:p>
        </w:tc>
        <w:tc>
          <w:tcPr>
            <w:tcW w:w="723" w:type="dxa"/>
            <w:shd w:val="clear" w:color="000000" w:fill="FF99CC"/>
            <w:noWrap/>
            <w:vAlign w:val="center"/>
          </w:tcPr>
          <w:p w:rsidR="006C2670" w:rsidRPr="00A00D38" w:rsidRDefault="006C2670" w:rsidP="00021F7F">
            <w:pPr>
              <w:jc w:val="center"/>
              <w:rPr>
                <w:b/>
                <w:color w:val="000000" w:themeColor="text1"/>
                <w:spacing w:val="-20"/>
                <w:sz w:val="18"/>
                <w:szCs w:val="18"/>
              </w:rPr>
            </w:pPr>
            <w:r w:rsidRPr="00A00D38">
              <w:rPr>
                <w:b/>
                <w:color w:val="000000" w:themeColor="text1"/>
                <w:spacing w:val="-20"/>
                <w:sz w:val="18"/>
                <w:szCs w:val="18"/>
              </w:rPr>
              <w:t>19.37</w:t>
            </w:r>
            <w:r w:rsidRPr="00A00D38">
              <w:rPr>
                <w:rFonts w:hint="eastAsia"/>
                <w:b/>
                <w:color w:val="000000" w:themeColor="text1"/>
                <w:spacing w:val="-20"/>
                <w:sz w:val="18"/>
                <w:szCs w:val="18"/>
              </w:rPr>
              <w:t>%</w:t>
            </w:r>
          </w:p>
        </w:tc>
        <w:tc>
          <w:tcPr>
            <w:tcW w:w="723" w:type="dxa"/>
            <w:shd w:val="clear" w:color="000000" w:fill="FF99CC"/>
            <w:noWrap/>
            <w:vAlign w:val="center"/>
          </w:tcPr>
          <w:p w:rsidR="006C2670" w:rsidRPr="00A00D38" w:rsidRDefault="006C2670" w:rsidP="00021F7F">
            <w:pPr>
              <w:jc w:val="center"/>
              <w:rPr>
                <w:b/>
                <w:color w:val="000000" w:themeColor="text1"/>
                <w:spacing w:val="-20"/>
                <w:sz w:val="18"/>
                <w:szCs w:val="18"/>
              </w:rPr>
            </w:pPr>
            <w:r w:rsidRPr="00A00D38">
              <w:rPr>
                <w:b/>
                <w:color w:val="000000" w:themeColor="text1"/>
                <w:spacing w:val="-20"/>
                <w:sz w:val="18"/>
                <w:szCs w:val="18"/>
              </w:rPr>
              <w:t>17.36</w:t>
            </w:r>
            <w:r w:rsidRPr="00A00D38">
              <w:rPr>
                <w:rFonts w:hint="eastAsia"/>
                <w:b/>
                <w:color w:val="000000" w:themeColor="text1"/>
                <w:spacing w:val="-20"/>
                <w:sz w:val="18"/>
                <w:szCs w:val="18"/>
              </w:rPr>
              <w:t>%</w:t>
            </w:r>
          </w:p>
        </w:tc>
        <w:tc>
          <w:tcPr>
            <w:tcW w:w="723" w:type="dxa"/>
            <w:shd w:val="clear" w:color="000000" w:fill="FF99CC"/>
            <w:noWrap/>
            <w:vAlign w:val="center"/>
          </w:tcPr>
          <w:p w:rsidR="006C2670" w:rsidRPr="00A00D38" w:rsidRDefault="006C2670" w:rsidP="00021F7F">
            <w:pPr>
              <w:jc w:val="center"/>
              <w:rPr>
                <w:b/>
                <w:color w:val="000000" w:themeColor="text1"/>
                <w:spacing w:val="-20"/>
                <w:sz w:val="18"/>
                <w:szCs w:val="18"/>
              </w:rPr>
            </w:pPr>
            <w:r w:rsidRPr="00A00D38">
              <w:rPr>
                <w:b/>
                <w:color w:val="000000" w:themeColor="text1"/>
                <w:spacing w:val="-20"/>
                <w:sz w:val="18"/>
                <w:szCs w:val="18"/>
              </w:rPr>
              <w:t>17.25</w:t>
            </w:r>
            <w:r w:rsidRPr="00A00D38">
              <w:rPr>
                <w:rFonts w:hint="eastAsia"/>
                <w:b/>
                <w:color w:val="000000" w:themeColor="text1"/>
                <w:spacing w:val="-20"/>
                <w:sz w:val="18"/>
                <w:szCs w:val="18"/>
              </w:rPr>
              <w:t>%</w:t>
            </w:r>
          </w:p>
        </w:tc>
        <w:tc>
          <w:tcPr>
            <w:tcW w:w="723" w:type="dxa"/>
            <w:shd w:val="clear" w:color="000000" w:fill="FF99CC"/>
            <w:noWrap/>
            <w:vAlign w:val="center"/>
          </w:tcPr>
          <w:p w:rsidR="006C2670" w:rsidRPr="00A00D38" w:rsidRDefault="006C2670" w:rsidP="00021F7F">
            <w:pPr>
              <w:jc w:val="center"/>
              <w:rPr>
                <w:b/>
                <w:color w:val="000000" w:themeColor="text1"/>
                <w:spacing w:val="-20"/>
                <w:sz w:val="18"/>
                <w:szCs w:val="18"/>
              </w:rPr>
            </w:pPr>
            <w:r w:rsidRPr="00A00D38">
              <w:rPr>
                <w:b/>
                <w:color w:val="000000" w:themeColor="text1"/>
                <w:spacing w:val="-20"/>
                <w:sz w:val="18"/>
                <w:szCs w:val="18"/>
              </w:rPr>
              <w:t>15.79</w:t>
            </w:r>
            <w:r w:rsidRPr="00A00D38">
              <w:rPr>
                <w:rFonts w:hint="eastAsia"/>
                <w:b/>
                <w:color w:val="000000" w:themeColor="text1"/>
                <w:spacing w:val="-20"/>
                <w:sz w:val="18"/>
                <w:szCs w:val="18"/>
              </w:rPr>
              <w:t>%</w:t>
            </w:r>
          </w:p>
        </w:tc>
        <w:tc>
          <w:tcPr>
            <w:tcW w:w="723" w:type="dxa"/>
            <w:shd w:val="clear" w:color="000000" w:fill="FF99CC"/>
            <w:noWrap/>
            <w:vAlign w:val="center"/>
          </w:tcPr>
          <w:p w:rsidR="006C2670" w:rsidRPr="00A00D38" w:rsidRDefault="006C2670" w:rsidP="00021F7F">
            <w:pPr>
              <w:jc w:val="center"/>
              <w:rPr>
                <w:b/>
                <w:color w:val="000000" w:themeColor="text1"/>
                <w:spacing w:val="-20"/>
                <w:sz w:val="18"/>
                <w:szCs w:val="18"/>
              </w:rPr>
            </w:pPr>
            <w:r w:rsidRPr="00A00D38">
              <w:rPr>
                <w:b/>
                <w:color w:val="000000" w:themeColor="text1"/>
                <w:spacing w:val="-20"/>
                <w:sz w:val="18"/>
                <w:szCs w:val="18"/>
              </w:rPr>
              <w:t>15.01</w:t>
            </w:r>
            <w:r w:rsidRPr="00A00D38">
              <w:rPr>
                <w:rFonts w:hint="eastAsia"/>
                <w:b/>
                <w:color w:val="000000" w:themeColor="text1"/>
                <w:spacing w:val="-20"/>
                <w:sz w:val="18"/>
                <w:szCs w:val="18"/>
              </w:rPr>
              <w:t>%</w:t>
            </w:r>
          </w:p>
        </w:tc>
        <w:tc>
          <w:tcPr>
            <w:tcW w:w="723" w:type="dxa"/>
            <w:shd w:val="clear" w:color="000000" w:fill="FF99CC"/>
            <w:noWrap/>
            <w:vAlign w:val="center"/>
          </w:tcPr>
          <w:p w:rsidR="006C2670" w:rsidRPr="00A00D38" w:rsidRDefault="006C2670" w:rsidP="00021F7F">
            <w:pPr>
              <w:jc w:val="center"/>
              <w:rPr>
                <w:b/>
                <w:color w:val="000000" w:themeColor="text1"/>
                <w:spacing w:val="-20"/>
                <w:sz w:val="18"/>
                <w:szCs w:val="18"/>
              </w:rPr>
            </w:pPr>
            <w:r w:rsidRPr="00A00D38">
              <w:rPr>
                <w:b/>
                <w:color w:val="000000" w:themeColor="text1"/>
                <w:spacing w:val="-20"/>
                <w:sz w:val="18"/>
                <w:szCs w:val="18"/>
              </w:rPr>
              <w:t>14.18</w:t>
            </w:r>
            <w:r w:rsidRPr="00A00D38">
              <w:rPr>
                <w:rFonts w:hint="eastAsia"/>
                <w:b/>
                <w:color w:val="000000" w:themeColor="text1"/>
                <w:spacing w:val="-20"/>
                <w:sz w:val="18"/>
                <w:szCs w:val="18"/>
              </w:rPr>
              <w:t>%</w:t>
            </w:r>
          </w:p>
        </w:tc>
        <w:tc>
          <w:tcPr>
            <w:tcW w:w="723" w:type="dxa"/>
            <w:shd w:val="clear" w:color="000000" w:fill="FF99CC"/>
            <w:noWrap/>
            <w:vAlign w:val="center"/>
          </w:tcPr>
          <w:p w:rsidR="006C2670" w:rsidRPr="00A00D38" w:rsidRDefault="006C2670" w:rsidP="00021F7F">
            <w:pPr>
              <w:jc w:val="center"/>
              <w:rPr>
                <w:b/>
                <w:color w:val="000000" w:themeColor="text1"/>
                <w:spacing w:val="-20"/>
                <w:sz w:val="18"/>
                <w:szCs w:val="18"/>
              </w:rPr>
            </w:pPr>
            <w:r w:rsidRPr="00A00D38">
              <w:rPr>
                <w:b/>
                <w:color w:val="000000" w:themeColor="text1"/>
                <w:spacing w:val="-20"/>
                <w:sz w:val="18"/>
                <w:szCs w:val="18"/>
              </w:rPr>
              <w:t>15.27</w:t>
            </w:r>
            <w:r w:rsidRPr="00A00D38">
              <w:rPr>
                <w:rFonts w:hint="eastAsia"/>
                <w:b/>
                <w:color w:val="000000" w:themeColor="text1"/>
                <w:spacing w:val="-20"/>
                <w:sz w:val="18"/>
                <w:szCs w:val="18"/>
              </w:rPr>
              <w:t>%</w:t>
            </w:r>
          </w:p>
        </w:tc>
      </w:tr>
    </w:tbl>
    <w:p w:rsidR="006C2670" w:rsidRPr="00A00D38" w:rsidRDefault="006C2670" w:rsidP="006C2670">
      <w:pPr>
        <w:pStyle w:val="af8"/>
        <w:spacing w:line="240" w:lineRule="exact"/>
        <w:rPr>
          <w:noProof/>
          <w:color w:val="000000" w:themeColor="text1"/>
          <w:sz w:val="24"/>
          <w:szCs w:val="24"/>
        </w:rPr>
      </w:pPr>
      <w:r w:rsidRPr="00A00D38">
        <w:rPr>
          <w:rFonts w:hint="eastAsia"/>
          <w:noProof/>
          <w:color w:val="000000" w:themeColor="text1"/>
          <w:sz w:val="24"/>
          <w:szCs w:val="24"/>
        </w:rPr>
        <w:t>資料來源：教育部查復。</w:t>
      </w:r>
    </w:p>
    <w:p w:rsidR="006C2670" w:rsidRPr="00A00D38" w:rsidRDefault="006C2670" w:rsidP="006C2670">
      <w:pPr>
        <w:pStyle w:val="af8"/>
        <w:spacing w:line="240" w:lineRule="exact"/>
        <w:rPr>
          <w:rFonts w:hAnsi="標楷體"/>
          <w:color w:val="000000" w:themeColor="text1"/>
          <w:sz w:val="24"/>
          <w:szCs w:val="24"/>
        </w:rPr>
      </w:pPr>
    </w:p>
    <w:p w:rsidR="006C2670" w:rsidRPr="00A00D38" w:rsidRDefault="006C2670" w:rsidP="006C2670">
      <w:pPr>
        <w:pStyle w:val="3"/>
        <w:adjustRightInd w:val="0"/>
        <w:ind w:left="1389"/>
        <w:rPr>
          <w:rFonts w:hAnsi="標楷體"/>
          <w:color w:val="000000" w:themeColor="text1"/>
        </w:rPr>
      </w:pPr>
      <w:bookmarkStart w:id="69" w:name="_Toc491711167"/>
      <w:bookmarkStart w:id="70" w:name="_Toc492371044"/>
      <w:bookmarkStart w:id="71" w:name="_Toc485999656"/>
      <w:bookmarkStart w:id="72" w:name="_Toc488227852"/>
      <w:bookmarkStart w:id="73" w:name="_Toc489383061"/>
      <w:bookmarkEnd w:id="43"/>
      <w:bookmarkEnd w:id="44"/>
      <w:r w:rsidRPr="00A00D38">
        <w:rPr>
          <w:rFonts w:cs="標楷體" w:hint="eastAsia"/>
          <w:color w:val="000000" w:themeColor="text1"/>
          <w:szCs w:val="32"/>
          <w:lang w:val="zh-TW"/>
        </w:rPr>
        <w:t>此外，本案諮詢專家學者意見指出，</w:t>
      </w:r>
      <w:r w:rsidRPr="00A00D38">
        <w:rPr>
          <w:rFonts w:hAnsi="標楷體" w:cs="標楷體" w:hint="eastAsia"/>
          <w:color w:val="000000" w:themeColor="text1"/>
          <w:szCs w:val="32"/>
          <w:lang w:val="zh-TW"/>
        </w:rPr>
        <w:t>「</w:t>
      </w:r>
      <w:r w:rsidRPr="00A00D38">
        <w:rPr>
          <w:rFonts w:cs="標楷體" w:hint="eastAsia"/>
          <w:color w:val="000000" w:themeColor="text1"/>
          <w:szCs w:val="32"/>
          <w:lang w:val="zh-TW"/>
        </w:rPr>
        <w:t>我國整體之國際招生政策猶重形式平等，未能審酌實際、區分重點</w:t>
      </w:r>
      <w:r w:rsidRPr="00A00D38">
        <w:rPr>
          <w:rFonts w:hAnsi="標楷體" w:cs="標楷體" w:hint="eastAsia"/>
          <w:color w:val="000000" w:themeColor="text1"/>
          <w:szCs w:val="32"/>
          <w:lang w:val="zh-TW"/>
        </w:rPr>
        <w:t>」</w:t>
      </w:r>
      <w:r w:rsidRPr="00A00D38">
        <w:rPr>
          <w:rFonts w:cs="標楷體" w:hint="eastAsia"/>
          <w:color w:val="000000" w:themeColor="text1"/>
          <w:szCs w:val="32"/>
          <w:lang w:val="zh-TW"/>
        </w:rPr>
        <w:t>，事實上，教育部主管人員到院接受詢問時指出，「兩岸交流方面，中國大陸方面對我之招收名額設有許多限制，有現實上無法克服之處」等情，復於本案諮詢專家學者時，渠等表示「教育部對於境外學位生之名額控管一體適用，未斟酌各校情況，有些學校因為學術優勢領域有機密性，原本就不招陸生，有些則反之，該部卻以一套標準統刪大陸學位生之限額(106年度之額度以105年度額度之46</w:t>
      </w:r>
      <w:r w:rsidRPr="00A00D38">
        <w:rPr>
          <w:rFonts w:hAnsi="標楷體" w:hint="eastAsia"/>
          <w:color w:val="000000" w:themeColor="text1"/>
          <w:szCs w:val="32"/>
        </w:rPr>
        <w:t>％</w:t>
      </w:r>
      <w:r w:rsidRPr="00A00D38">
        <w:rPr>
          <w:rFonts w:cs="標楷體" w:hint="eastAsia"/>
          <w:color w:val="000000" w:themeColor="text1"/>
          <w:szCs w:val="32"/>
          <w:lang w:val="zh-TW"/>
        </w:rPr>
        <w:t>計算)」，益證相關作法仍有更精進、細膩之改進空間。學者更進一步建議「政府應依各校特色，定位分配合適的招生地區與名額，例如國立清華大學、國立交通大學、國立成功大學等頂尖大學以研究為主，可多爭取東歐的學生；頂尖大學與其他大學之招生名額必須有所區隔，不能一體適用，否則教育部KPI值只會導致各校重視招生數量而不重視品質。」顯示境外學生之招生，不宜只強調學生人數的成長，為促進高等教育品質的提升，更應釐清國家乃至個別學校推動國際化之目的，進而制定策略、確保品質。</w:t>
      </w:r>
      <w:bookmarkEnd w:id="69"/>
      <w:bookmarkEnd w:id="70"/>
      <w:r w:rsidRPr="00A00D38">
        <w:rPr>
          <w:rFonts w:cs="標楷體"/>
          <w:color w:val="000000" w:themeColor="text1"/>
          <w:szCs w:val="32"/>
          <w:lang w:val="zh-TW"/>
        </w:rPr>
        <w:br/>
      </w:r>
    </w:p>
    <w:p w:rsidR="006C2670" w:rsidRPr="00A00D38" w:rsidRDefault="006C2670" w:rsidP="006C2670">
      <w:pPr>
        <w:pStyle w:val="3"/>
        <w:adjustRightInd w:val="0"/>
        <w:ind w:left="1389"/>
        <w:rPr>
          <w:rFonts w:hAnsi="標楷體"/>
          <w:color w:val="000000" w:themeColor="text1"/>
        </w:rPr>
      </w:pPr>
      <w:bookmarkStart w:id="74" w:name="_Toc491711168"/>
      <w:bookmarkStart w:id="75" w:name="_Toc492371045"/>
      <w:r w:rsidRPr="00A00D38">
        <w:rPr>
          <w:rFonts w:cs="標楷體" w:hint="eastAsia"/>
          <w:color w:val="000000" w:themeColor="text1"/>
          <w:szCs w:val="32"/>
          <w:lang w:val="zh-TW"/>
        </w:rPr>
        <w:lastRenderedPageBreak/>
        <w:t>學者亦指出「各國基礎教育品質不一，我國招收境外學生仍應注重品質與重點。越南、馬來西亞的基礎教育品質尚可，該等國家的優秀學生值得爭取，緬甸的基礎教育品質堪慮，烏克蘭、波蘭與俄羅斯的品質不錯，但與我國相距較遠，也需考慮招生成本；印度學生是我國理工科系學校欲積極爭取的對象，但近年來其優秀學生出國留學，以歐美先進國家為優先選項，至於歐美的留學生，更少將臺灣考慮在內，惟少數歐美生卻衷情於中文之學習」等語，顯示高等教育學位國際吸引力，仍繫於學術領域之品質與發展性，目前外國學位生占比呈現下降態勢，恐為警訊。又本院諮詢相關專家學者表示，國立屏東科技大學</w:t>
      </w:r>
      <w:r w:rsidRPr="00A00D38">
        <w:rPr>
          <w:rFonts w:hAnsi="標楷體" w:hint="eastAsia"/>
          <w:color w:val="000000" w:themeColor="text1"/>
          <w:szCs w:val="32"/>
        </w:rPr>
        <w:t>配合非洲、東南亞臺商所需農業技術，據以開設農業學程；</w:t>
      </w:r>
      <w:r w:rsidRPr="00A00D38">
        <w:rPr>
          <w:rFonts w:cs="標楷體" w:hint="eastAsia"/>
          <w:color w:val="000000" w:themeColor="text1"/>
          <w:szCs w:val="32"/>
          <w:lang w:val="zh-TW"/>
        </w:rPr>
        <w:t>國立交通大學以ICT產業為主；銘傳大學則以傳播媒體為該校特色吸引境外生來臺就讀，更顯示區分各大學定位與優勢，針對各不同招生國家發展出差異化招生策略，確有必要，未來應於招生總體戰略以及具體對策上，務實反映且加調整。</w:t>
      </w:r>
      <w:bookmarkEnd w:id="74"/>
      <w:bookmarkEnd w:id="75"/>
    </w:p>
    <w:p w:rsidR="006C2670" w:rsidRPr="00A00D38" w:rsidRDefault="006C2670" w:rsidP="006C2670">
      <w:pPr>
        <w:pStyle w:val="3"/>
        <w:numPr>
          <w:ilvl w:val="0"/>
          <w:numId w:val="0"/>
        </w:numPr>
        <w:adjustRightInd w:val="0"/>
        <w:ind w:left="1389"/>
        <w:rPr>
          <w:rFonts w:hAnsi="標楷體"/>
          <w:color w:val="000000" w:themeColor="text1"/>
        </w:rPr>
      </w:pPr>
    </w:p>
    <w:p w:rsidR="006C2670" w:rsidRPr="00A00D38" w:rsidRDefault="006C2670" w:rsidP="006C2670">
      <w:pPr>
        <w:pStyle w:val="3"/>
        <w:adjustRightInd w:val="0"/>
        <w:ind w:left="1389"/>
        <w:rPr>
          <w:rFonts w:cs="標楷體"/>
          <w:color w:val="000000" w:themeColor="text1"/>
          <w:szCs w:val="32"/>
          <w:lang w:val="zh-TW"/>
        </w:rPr>
      </w:pPr>
      <w:bookmarkStart w:id="76" w:name="_Toc491711169"/>
      <w:bookmarkStart w:id="77" w:name="_Toc492371046"/>
      <w:r w:rsidRPr="00A00D38">
        <w:rPr>
          <w:rFonts w:hAnsi="標楷體" w:hint="eastAsia"/>
          <w:color w:val="000000" w:themeColor="text1"/>
        </w:rPr>
        <w:t>綜</w:t>
      </w:r>
      <w:r w:rsidRPr="00A00D38">
        <w:rPr>
          <w:rFonts w:cs="標楷體" w:hint="eastAsia"/>
          <w:color w:val="000000" w:themeColor="text1"/>
          <w:szCs w:val="32"/>
          <w:lang w:val="zh-TW"/>
        </w:rPr>
        <w:t>上，教育部掌理事項包含「高等教育、技術職業教育政策之規劃，大專校院發展、師資、招生、資源分配、品質提升、產學合作之輔導及行政監督」等(「教育部組織法」第2條參照)，該部針對高等教育整體政策，負有妥善規劃及前瞻引導之權限／職責。</w:t>
      </w:r>
      <w:bookmarkEnd w:id="71"/>
      <w:bookmarkEnd w:id="72"/>
      <w:bookmarkEnd w:id="73"/>
      <w:r w:rsidRPr="00A00D38">
        <w:rPr>
          <w:rFonts w:cs="標楷體" w:hint="eastAsia"/>
          <w:color w:val="000000" w:themeColor="text1"/>
          <w:szCs w:val="32"/>
          <w:lang w:val="zh-TW"/>
        </w:rPr>
        <w:t>該部引領國內大專校院邁向國際化，並提供經費挹注，惟歷經近20年之努力，高等教育國際化之總體戰略仍未明確，未來允宜區分各大學定位與優勢/特色，針對各不同招生國家發展差異化招生策略，俾厚植我國高等教育的國際影響力；另一方面，</w:t>
      </w:r>
      <w:r w:rsidRPr="00A00D38">
        <w:rPr>
          <w:rFonts w:cs="標楷體" w:hint="eastAsia"/>
          <w:color w:val="000000" w:themeColor="text1"/>
          <w:szCs w:val="32"/>
          <w:lang w:val="zh-TW"/>
        </w:rPr>
        <w:lastRenderedPageBreak/>
        <w:t>國內招生壓力仍未能透過改善少子化趨勢及落實大學轉型退場等方式以緩解，現階段境外學生人數雖有明顯成長，招生品質卻堪慮，且學位生占比逐年降低，警示我國高等教育學位吸引力削弱之現實，容有檢討必要。</w:t>
      </w:r>
      <w:bookmarkEnd w:id="76"/>
      <w:bookmarkEnd w:id="77"/>
      <w:r w:rsidRPr="00A00D38">
        <w:rPr>
          <w:rFonts w:cs="標楷體"/>
          <w:color w:val="000000" w:themeColor="text1"/>
          <w:szCs w:val="32"/>
          <w:lang w:val="zh-TW"/>
        </w:rPr>
        <w:br/>
      </w:r>
    </w:p>
    <w:p w:rsidR="006C2670" w:rsidRPr="00A00D38" w:rsidRDefault="006C2670" w:rsidP="006C2670">
      <w:pPr>
        <w:pStyle w:val="2"/>
        <w:numPr>
          <w:ilvl w:val="0"/>
          <w:numId w:val="33"/>
        </w:numPr>
        <w:ind w:left="1020" w:hanging="680"/>
        <w:rPr>
          <w:b/>
          <w:color w:val="000000" w:themeColor="text1"/>
        </w:rPr>
      </w:pPr>
      <w:bookmarkStart w:id="78" w:name="_Toc492371047"/>
      <w:r w:rsidRPr="00A00D38">
        <w:rPr>
          <w:rFonts w:hint="eastAsia"/>
          <w:b/>
          <w:color w:val="000000" w:themeColor="text1"/>
        </w:rPr>
        <w:t>大陸地區來臺學生人數，深受兩岸政治因素</w:t>
      </w:r>
      <w:bookmarkEnd w:id="36"/>
      <w:r w:rsidRPr="00A00D38">
        <w:rPr>
          <w:rFonts w:hint="eastAsia"/>
          <w:b/>
          <w:color w:val="000000" w:themeColor="text1"/>
        </w:rPr>
        <w:t>干擾，政府為維持我國高教國際化進程，刻正推出高等教育國際化之南向新政，惟我國大專校院南向招生，業行之有年，且面臨鄰國嚴峻競爭，漸失優勢；為免南向新政目標落空，允應儘速提出境外招生有效對策。</w:t>
      </w:r>
      <w:bookmarkEnd w:id="78"/>
    </w:p>
    <w:p w:rsidR="006C2670" w:rsidRPr="00A00D38" w:rsidRDefault="006C2670" w:rsidP="006C73D0">
      <w:pPr>
        <w:pStyle w:val="3"/>
        <w:numPr>
          <w:ilvl w:val="2"/>
          <w:numId w:val="64"/>
        </w:numPr>
        <w:adjustRightInd w:val="0"/>
        <w:rPr>
          <w:rFonts w:hAnsi="標楷體"/>
          <w:color w:val="000000" w:themeColor="text1"/>
        </w:rPr>
      </w:pPr>
      <w:bookmarkStart w:id="79" w:name="_Toc488227861"/>
      <w:bookmarkStart w:id="80" w:name="_Toc489383074"/>
      <w:bookmarkStart w:id="81" w:name="_Toc491711171"/>
      <w:bookmarkStart w:id="82" w:name="_Toc492371048"/>
      <w:bookmarkStart w:id="83" w:name="_Toc485999664"/>
      <w:bookmarkStart w:id="84" w:name="_Toc481496011"/>
      <w:r w:rsidRPr="00A00D38">
        <w:rPr>
          <w:rFonts w:hAnsi="標楷體" w:hint="eastAsia"/>
          <w:color w:val="000000" w:themeColor="text1"/>
        </w:rPr>
        <w:t>鑒於大陸地區近年之快速崛起，國際間莫不積極爭取在各種領域與其合作，我國高等教育自無例外。而由於文化與地域之鄰近性，較諸其他國家，我國招收大陸地區學生來臺就讀理當更具優勢；是以，97年起，教育部為爭取立法院各委員共同支持開放大陸地區學生來臺就學及大陸學歷採認政策，提出「三限六不」原則</w:t>
      </w:r>
      <w:r w:rsidRPr="00A00D38">
        <w:rPr>
          <w:rStyle w:val="aff0"/>
          <w:rFonts w:hAnsi="標楷體"/>
          <w:color w:val="000000" w:themeColor="text1"/>
        </w:rPr>
        <w:footnoteReference w:id="5"/>
      </w:r>
      <w:r w:rsidRPr="00A00D38">
        <w:rPr>
          <w:rFonts w:hAnsi="標楷體" w:hint="eastAsia"/>
          <w:color w:val="000000" w:themeColor="text1"/>
        </w:rPr>
        <w:t>，並於99年9月公布「大陸地區學生三法」（「臺灣地區與大陸地區人民關係條例」第22條、「大學法」第25條及「專科學校法」第26條修正條文），提供大陸地區學生來臺就學法源，並自100年1月修正「大陸地區學歷採認辦法」、訂定「大陸地區人民來臺就讀專科以上學校辦法」；100學年度更開始招收大陸學生來臺修讀學位，各學制之大陸地區學位生人數逐年均見成長，詳如下表</w:t>
      </w:r>
      <w:r w:rsidR="00083522">
        <w:rPr>
          <w:rFonts w:hAnsi="標楷體" w:hint="eastAsia"/>
          <w:color w:val="000000" w:themeColor="text1"/>
        </w:rPr>
        <w:t>4</w:t>
      </w:r>
      <w:r w:rsidRPr="00A00D38">
        <w:rPr>
          <w:rFonts w:hAnsi="標楷體" w:hint="eastAsia"/>
          <w:color w:val="000000" w:themeColor="text1"/>
        </w:rPr>
        <w:t>：</w:t>
      </w:r>
      <w:bookmarkEnd w:id="79"/>
      <w:bookmarkEnd w:id="80"/>
      <w:bookmarkEnd w:id="81"/>
      <w:bookmarkEnd w:id="82"/>
    </w:p>
    <w:p w:rsidR="006C2670" w:rsidRPr="00A00D38" w:rsidRDefault="006C2670" w:rsidP="006C2670">
      <w:pPr>
        <w:pStyle w:val="a4"/>
        <w:ind w:left="142" w:hanging="54"/>
        <w:jc w:val="center"/>
        <w:rPr>
          <w:rFonts w:hAnsi="標楷體"/>
          <w:b/>
          <w:color w:val="000000" w:themeColor="text1"/>
        </w:rPr>
      </w:pPr>
      <w:r w:rsidRPr="00A00D38">
        <w:rPr>
          <w:rFonts w:hAnsi="標楷體"/>
          <w:b/>
          <w:color w:val="000000" w:themeColor="text1"/>
        </w:rPr>
        <w:lastRenderedPageBreak/>
        <w:t>大陸地區來臺就學</w:t>
      </w:r>
      <w:r w:rsidRPr="00A00D38">
        <w:rPr>
          <w:rFonts w:hAnsi="標楷體" w:hint="eastAsia"/>
          <w:b/>
          <w:color w:val="000000" w:themeColor="text1"/>
        </w:rPr>
        <w:t>之學位生</w:t>
      </w:r>
      <w:r w:rsidRPr="00A00D38">
        <w:rPr>
          <w:rFonts w:hAnsi="標楷體"/>
          <w:b/>
          <w:color w:val="000000" w:themeColor="text1"/>
        </w:rPr>
        <w:t>人數統計</w:t>
      </w:r>
      <w:r w:rsidRPr="00A00D38">
        <w:rPr>
          <w:rFonts w:hAnsi="標楷體" w:hint="eastAsia"/>
          <w:b/>
          <w:color w:val="000000" w:themeColor="text1"/>
        </w:rPr>
        <w:t xml:space="preserve"> (</w:t>
      </w:r>
      <w:r w:rsidRPr="00A00D38">
        <w:rPr>
          <w:rFonts w:hAnsi="標楷體"/>
          <w:b/>
          <w:color w:val="000000" w:themeColor="text1"/>
        </w:rPr>
        <w:t>100-105學年度</w:t>
      </w:r>
      <w:r w:rsidRPr="00A00D38">
        <w:rPr>
          <w:rFonts w:hAnsi="標楷體" w:hint="eastAsia"/>
          <w:b/>
          <w:color w:val="000000" w:themeColor="text1"/>
        </w:rPr>
        <w:t>)</w:t>
      </w:r>
    </w:p>
    <w:tbl>
      <w:tblPr>
        <w:tblW w:w="5066" w:type="pct"/>
        <w:tblCellMar>
          <w:left w:w="10" w:type="dxa"/>
          <w:right w:w="10" w:type="dxa"/>
        </w:tblCellMar>
        <w:tblLook w:val="0000" w:firstRow="0" w:lastRow="0" w:firstColumn="0" w:lastColumn="0" w:noHBand="0" w:noVBand="0"/>
      </w:tblPr>
      <w:tblGrid>
        <w:gridCol w:w="1212"/>
        <w:gridCol w:w="1310"/>
        <w:gridCol w:w="1264"/>
        <w:gridCol w:w="1264"/>
        <w:gridCol w:w="1264"/>
        <w:gridCol w:w="1255"/>
        <w:gridCol w:w="1382"/>
      </w:tblGrid>
      <w:tr w:rsidR="00A00D38" w:rsidRPr="00A00D38" w:rsidTr="00021F7F">
        <w:trPr>
          <w:tblHeader/>
        </w:trPr>
        <w:tc>
          <w:tcPr>
            <w:tcW w:w="677" w:type="pct"/>
            <w:tcBorders>
              <w:top w:val="single" w:sz="4" w:space="0" w:color="000000"/>
              <w:left w:val="single" w:sz="4" w:space="0" w:color="000000"/>
              <w:bottom w:val="single" w:sz="4" w:space="0" w:color="000000"/>
            </w:tcBorders>
            <w:shd w:val="clear" w:color="auto" w:fill="FDE9D9" w:themeFill="accent6" w:themeFillTint="33"/>
            <w:tcMar>
              <w:top w:w="0" w:type="dxa"/>
              <w:left w:w="108" w:type="dxa"/>
              <w:bottom w:w="0" w:type="dxa"/>
              <w:right w:w="108" w:type="dxa"/>
            </w:tcMar>
            <w:vAlign w:val="center"/>
          </w:tcPr>
          <w:p w:rsidR="006C2670" w:rsidRPr="00A00D38" w:rsidRDefault="006C2670" w:rsidP="00021F7F">
            <w:pPr>
              <w:widowControl/>
              <w:suppressAutoHyphens/>
              <w:spacing w:line="320" w:lineRule="exact"/>
              <w:jc w:val="center"/>
              <w:textAlignment w:val="baseline"/>
              <w:rPr>
                <w:rFonts w:hAnsi="標楷體"/>
                <w:b/>
                <w:color w:val="000000" w:themeColor="text1"/>
                <w:kern w:val="3"/>
                <w:sz w:val="28"/>
                <w:szCs w:val="28"/>
              </w:rPr>
            </w:pPr>
            <w:r w:rsidRPr="00A00D38">
              <w:rPr>
                <w:rFonts w:hAnsi="標楷體"/>
                <w:b/>
                <w:color w:val="000000" w:themeColor="text1"/>
                <w:kern w:val="3"/>
                <w:sz w:val="28"/>
                <w:szCs w:val="28"/>
              </w:rPr>
              <w:t>學年度</w:t>
            </w:r>
          </w:p>
        </w:tc>
        <w:tc>
          <w:tcPr>
            <w:tcW w:w="732" w:type="pct"/>
            <w:tcBorders>
              <w:top w:val="single" w:sz="4" w:space="0" w:color="000000"/>
              <w:left w:val="single" w:sz="4" w:space="0" w:color="000000"/>
              <w:bottom w:val="single" w:sz="4" w:space="0" w:color="000000"/>
            </w:tcBorders>
            <w:shd w:val="clear" w:color="auto" w:fill="FDE9D9" w:themeFill="accent6" w:themeFillTint="33"/>
            <w:tcMar>
              <w:top w:w="0" w:type="dxa"/>
              <w:left w:w="108" w:type="dxa"/>
              <w:bottom w:w="0" w:type="dxa"/>
              <w:right w:w="108" w:type="dxa"/>
            </w:tcMar>
            <w:vAlign w:val="center"/>
          </w:tcPr>
          <w:p w:rsidR="006C2670" w:rsidRPr="00A00D38" w:rsidRDefault="006C2670" w:rsidP="00021F7F">
            <w:pPr>
              <w:widowControl/>
              <w:suppressAutoHyphens/>
              <w:spacing w:line="320" w:lineRule="exact"/>
              <w:jc w:val="center"/>
              <w:textAlignment w:val="baseline"/>
              <w:rPr>
                <w:rFonts w:hAnsi="標楷體"/>
                <w:b/>
                <w:color w:val="000000" w:themeColor="text1"/>
                <w:kern w:val="3"/>
                <w:sz w:val="28"/>
                <w:szCs w:val="28"/>
              </w:rPr>
            </w:pPr>
            <w:r w:rsidRPr="00A00D38">
              <w:rPr>
                <w:rFonts w:hAnsi="標楷體"/>
                <w:b/>
                <w:color w:val="000000" w:themeColor="text1"/>
                <w:kern w:val="3"/>
                <w:sz w:val="28"/>
                <w:szCs w:val="28"/>
              </w:rPr>
              <w:t>博士班</w:t>
            </w:r>
          </w:p>
        </w:tc>
        <w:tc>
          <w:tcPr>
            <w:tcW w:w="706" w:type="pct"/>
            <w:tcBorders>
              <w:top w:val="single" w:sz="4" w:space="0" w:color="000000"/>
              <w:left w:val="single" w:sz="4" w:space="0" w:color="000000"/>
              <w:bottom w:val="single" w:sz="4" w:space="0" w:color="000000"/>
            </w:tcBorders>
            <w:shd w:val="clear" w:color="auto" w:fill="FDE9D9" w:themeFill="accent6" w:themeFillTint="33"/>
            <w:tcMar>
              <w:top w:w="0" w:type="dxa"/>
              <w:left w:w="108" w:type="dxa"/>
              <w:bottom w:w="0" w:type="dxa"/>
              <w:right w:w="108" w:type="dxa"/>
            </w:tcMar>
            <w:vAlign w:val="center"/>
          </w:tcPr>
          <w:p w:rsidR="006C2670" w:rsidRPr="00A00D38" w:rsidRDefault="006C2670" w:rsidP="00021F7F">
            <w:pPr>
              <w:widowControl/>
              <w:suppressAutoHyphens/>
              <w:spacing w:line="320" w:lineRule="exact"/>
              <w:jc w:val="center"/>
              <w:textAlignment w:val="baseline"/>
              <w:rPr>
                <w:rFonts w:hAnsi="標楷體"/>
                <w:b/>
                <w:color w:val="000000" w:themeColor="text1"/>
                <w:kern w:val="3"/>
                <w:sz w:val="28"/>
                <w:szCs w:val="28"/>
              </w:rPr>
            </w:pPr>
            <w:r w:rsidRPr="00A00D38">
              <w:rPr>
                <w:rFonts w:hAnsi="標楷體"/>
                <w:b/>
                <w:color w:val="000000" w:themeColor="text1"/>
                <w:kern w:val="3"/>
                <w:sz w:val="28"/>
                <w:szCs w:val="28"/>
              </w:rPr>
              <w:t>碩士班</w:t>
            </w:r>
          </w:p>
        </w:tc>
        <w:tc>
          <w:tcPr>
            <w:tcW w:w="706" w:type="pct"/>
            <w:tcBorders>
              <w:top w:val="single" w:sz="4" w:space="0" w:color="000000"/>
              <w:left w:val="single" w:sz="4" w:space="0" w:color="000000"/>
              <w:bottom w:val="single" w:sz="4" w:space="0" w:color="000000"/>
            </w:tcBorders>
            <w:shd w:val="clear" w:color="auto" w:fill="FDE9D9" w:themeFill="accent6" w:themeFillTint="33"/>
            <w:tcMar>
              <w:top w:w="0" w:type="dxa"/>
              <w:left w:w="108" w:type="dxa"/>
              <w:bottom w:w="0" w:type="dxa"/>
              <w:right w:w="108" w:type="dxa"/>
            </w:tcMar>
            <w:vAlign w:val="center"/>
          </w:tcPr>
          <w:p w:rsidR="006C2670" w:rsidRPr="00A00D38" w:rsidRDefault="006C2670" w:rsidP="00021F7F">
            <w:pPr>
              <w:widowControl/>
              <w:suppressAutoHyphens/>
              <w:spacing w:line="320" w:lineRule="exact"/>
              <w:jc w:val="center"/>
              <w:textAlignment w:val="baseline"/>
              <w:rPr>
                <w:rFonts w:hAnsi="標楷體"/>
                <w:b/>
                <w:color w:val="000000" w:themeColor="text1"/>
                <w:kern w:val="3"/>
                <w:sz w:val="28"/>
                <w:szCs w:val="28"/>
              </w:rPr>
            </w:pPr>
            <w:r w:rsidRPr="00A00D38">
              <w:rPr>
                <w:rFonts w:hAnsi="標楷體"/>
                <w:b/>
                <w:color w:val="000000" w:themeColor="text1"/>
                <w:kern w:val="3"/>
                <w:sz w:val="28"/>
                <w:szCs w:val="28"/>
              </w:rPr>
              <w:t>學士班</w:t>
            </w:r>
          </w:p>
        </w:tc>
        <w:tc>
          <w:tcPr>
            <w:tcW w:w="706" w:type="pct"/>
            <w:tcBorders>
              <w:top w:val="single" w:sz="4" w:space="0" w:color="000000"/>
              <w:left w:val="single" w:sz="4" w:space="0" w:color="000000"/>
              <w:bottom w:val="single" w:sz="4" w:space="0" w:color="000000"/>
            </w:tcBorders>
            <w:shd w:val="clear" w:color="auto" w:fill="FDE9D9" w:themeFill="accent6" w:themeFillTint="33"/>
            <w:tcMar>
              <w:top w:w="0" w:type="dxa"/>
              <w:left w:w="108" w:type="dxa"/>
              <w:bottom w:w="0" w:type="dxa"/>
              <w:right w:w="108" w:type="dxa"/>
            </w:tcMar>
            <w:vAlign w:val="center"/>
          </w:tcPr>
          <w:p w:rsidR="006C2670" w:rsidRPr="00A00D38" w:rsidRDefault="006C2670" w:rsidP="00021F7F">
            <w:pPr>
              <w:widowControl/>
              <w:suppressAutoHyphens/>
              <w:spacing w:line="320" w:lineRule="exact"/>
              <w:jc w:val="center"/>
              <w:textAlignment w:val="baseline"/>
              <w:rPr>
                <w:rFonts w:hAnsi="標楷體"/>
                <w:b/>
                <w:color w:val="000000" w:themeColor="text1"/>
                <w:kern w:val="3"/>
                <w:sz w:val="28"/>
                <w:szCs w:val="28"/>
              </w:rPr>
            </w:pPr>
            <w:r w:rsidRPr="00A00D38">
              <w:rPr>
                <w:rFonts w:hAnsi="標楷體"/>
                <w:b/>
                <w:color w:val="000000" w:themeColor="text1"/>
                <w:kern w:val="3"/>
                <w:sz w:val="28"/>
                <w:szCs w:val="28"/>
              </w:rPr>
              <w:t>二年制學士班</w:t>
            </w:r>
          </w:p>
        </w:tc>
        <w:tc>
          <w:tcPr>
            <w:tcW w:w="701" w:type="pct"/>
            <w:tcBorders>
              <w:top w:val="single" w:sz="4" w:space="0" w:color="000000"/>
              <w:left w:val="single" w:sz="4" w:space="0" w:color="000000"/>
              <w:bottom w:val="single" w:sz="4" w:space="0" w:color="000000"/>
            </w:tcBorders>
            <w:shd w:val="clear" w:color="auto" w:fill="FDE9D9" w:themeFill="accent6" w:themeFillTint="33"/>
            <w:tcMar>
              <w:top w:w="0" w:type="dxa"/>
              <w:left w:w="108" w:type="dxa"/>
              <w:bottom w:w="0" w:type="dxa"/>
              <w:right w:w="108" w:type="dxa"/>
            </w:tcMar>
            <w:vAlign w:val="center"/>
          </w:tcPr>
          <w:p w:rsidR="006C2670" w:rsidRPr="00A00D38" w:rsidRDefault="006C2670" w:rsidP="00021F7F">
            <w:pPr>
              <w:widowControl/>
              <w:suppressAutoHyphens/>
              <w:spacing w:line="320" w:lineRule="exact"/>
              <w:ind w:leftChars="-28" w:left="-95" w:rightChars="-28" w:right="-95"/>
              <w:jc w:val="center"/>
              <w:textAlignment w:val="baseline"/>
              <w:rPr>
                <w:rFonts w:hAnsi="標楷體"/>
                <w:b/>
                <w:color w:val="000000" w:themeColor="text1"/>
                <w:kern w:val="3"/>
                <w:sz w:val="28"/>
                <w:szCs w:val="28"/>
              </w:rPr>
            </w:pPr>
            <w:r w:rsidRPr="00A00D38">
              <w:rPr>
                <w:rFonts w:hAnsi="標楷體"/>
                <w:b/>
                <w:color w:val="000000" w:themeColor="text1"/>
                <w:kern w:val="3"/>
                <w:sz w:val="28"/>
                <w:szCs w:val="28"/>
              </w:rPr>
              <w:t>新生註冊人數</w:t>
            </w:r>
          </w:p>
        </w:tc>
        <w:tc>
          <w:tcPr>
            <w:tcW w:w="77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6C2670" w:rsidRPr="00A00D38" w:rsidRDefault="006C2670" w:rsidP="00021F7F">
            <w:pPr>
              <w:widowControl/>
              <w:suppressAutoHyphens/>
              <w:spacing w:line="320" w:lineRule="exact"/>
              <w:ind w:leftChars="-33" w:left="-112" w:rightChars="-31" w:right="-105"/>
              <w:jc w:val="center"/>
              <w:textAlignment w:val="baseline"/>
              <w:rPr>
                <w:rFonts w:hAnsi="標楷體"/>
                <w:b/>
                <w:color w:val="000000" w:themeColor="text1"/>
                <w:kern w:val="3"/>
                <w:sz w:val="28"/>
                <w:szCs w:val="28"/>
              </w:rPr>
            </w:pPr>
            <w:r w:rsidRPr="00A00D38">
              <w:rPr>
                <w:rFonts w:hAnsi="標楷體"/>
                <w:b/>
                <w:color w:val="000000" w:themeColor="text1"/>
                <w:kern w:val="3"/>
                <w:sz w:val="28"/>
                <w:szCs w:val="28"/>
              </w:rPr>
              <w:t>在學人數</w:t>
            </w:r>
          </w:p>
        </w:tc>
      </w:tr>
      <w:tr w:rsidR="00A00D38" w:rsidRPr="00A00D38" w:rsidTr="00021F7F">
        <w:trPr>
          <w:trHeight w:val="397"/>
        </w:trPr>
        <w:tc>
          <w:tcPr>
            <w:tcW w:w="677"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100</w:t>
            </w:r>
          </w:p>
        </w:tc>
        <w:tc>
          <w:tcPr>
            <w:tcW w:w="732"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23</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181</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724</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w:t>
            </w:r>
          </w:p>
        </w:tc>
        <w:tc>
          <w:tcPr>
            <w:tcW w:w="701"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928</w:t>
            </w:r>
          </w:p>
        </w:tc>
        <w:tc>
          <w:tcPr>
            <w:tcW w:w="7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928</w:t>
            </w:r>
          </w:p>
        </w:tc>
      </w:tr>
      <w:tr w:rsidR="00A00D38" w:rsidRPr="00A00D38" w:rsidTr="00021F7F">
        <w:trPr>
          <w:trHeight w:val="397"/>
        </w:trPr>
        <w:tc>
          <w:tcPr>
            <w:tcW w:w="677"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101</w:t>
            </w:r>
          </w:p>
        </w:tc>
        <w:tc>
          <w:tcPr>
            <w:tcW w:w="732"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25</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265</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661</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w:t>
            </w:r>
          </w:p>
        </w:tc>
        <w:tc>
          <w:tcPr>
            <w:tcW w:w="701"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951</w:t>
            </w:r>
          </w:p>
        </w:tc>
        <w:tc>
          <w:tcPr>
            <w:tcW w:w="7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1,864</w:t>
            </w:r>
          </w:p>
        </w:tc>
      </w:tr>
      <w:tr w:rsidR="00A00D38" w:rsidRPr="00A00D38" w:rsidTr="00021F7F">
        <w:trPr>
          <w:trHeight w:val="397"/>
        </w:trPr>
        <w:tc>
          <w:tcPr>
            <w:tcW w:w="677"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102</w:t>
            </w:r>
          </w:p>
        </w:tc>
        <w:tc>
          <w:tcPr>
            <w:tcW w:w="732"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71</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467</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1,209</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75</w:t>
            </w:r>
          </w:p>
        </w:tc>
        <w:tc>
          <w:tcPr>
            <w:tcW w:w="701"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1,822</w:t>
            </w:r>
          </w:p>
        </w:tc>
        <w:tc>
          <w:tcPr>
            <w:tcW w:w="7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3,554</w:t>
            </w:r>
          </w:p>
        </w:tc>
      </w:tr>
      <w:tr w:rsidR="00A00D38" w:rsidRPr="00A00D38" w:rsidTr="00021F7F">
        <w:trPr>
          <w:trHeight w:val="397"/>
        </w:trPr>
        <w:tc>
          <w:tcPr>
            <w:tcW w:w="677"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103</w:t>
            </w:r>
          </w:p>
        </w:tc>
        <w:tc>
          <w:tcPr>
            <w:tcW w:w="732"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141</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585</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1,760</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67</w:t>
            </w:r>
          </w:p>
        </w:tc>
        <w:tc>
          <w:tcPr>
            <w:tcW w:w="701"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2,553</w:t>
            </w:r>
          </w:p>
        </w:tc>
        <w:tc>
          <w:tcPr>
            <w:tcW w:w="7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5,881</w:t>
            </w:r>
          </w:p>
        </w:tc>
      </w:tr>
      <w:tr w:rsidR="00A00D38" w:rsidRPr="00A00D38" w:rsidTr="00021F7F">
        <w:trPr>
          <w:trHeight w:val="397"/>
        </w:trPr>
        <w:tc>
          <w:tcPr>
            <w:tcW w:w="677"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104</w:t>
            </w:r>
          </w:p>
        </w:tc>
        <w:tc>
          <w:tcPr>
            <w:tcW w:w="732"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178</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769</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1,967</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105</w:t>
            </w:r>
          </w:p>
        </w:tc>
        <w:tc>
          <w:tcPr>
            <w:tcW w:w="701"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3,019</w:t>
            </w:r>
          </w:p>
        </w:tc>
        <w:tc>
          <w:tcPr>
            <w:tcW w:w="7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7,813</w:t>
            </w:r>
          </w:p>
        </w:tc>
      </w:tr>
      <w:tr w:rsidR="00A00D38" w:rsidRPr="00A00D38" w:rsidTr="00021F7F">
        <w:trPr>
          <w:trHeight w:val="397"/>
        </w:trPr>
        <w:tc>
          <w:tcPr>
            <w:tcW w:w="677"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105</w:t>
            </w:r>
          </w:p>
        </w:tc>
        <w:tc>
          <w:tcPr>
            <w:tcW w:w="732"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199</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734</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1,657</w:t>
            </w:r>
          </w:p>
        </w:tc>
        <w:tc>
          <w:tcPr>
            <w:tcW w:w="70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245</w:t>
            </w:r>
          </w:p>
        </w:tc>
        <w:tc>
          <w:tcPr>
            <w:tcW w:w="701"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2,835</w:t>
            </w:r>
          </w:p>
        </w:tc>
        <w:tc>
          <w:tcPr>
            <w:tcW w:w="7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C2670" w:rsidRPr="00A00D38" w:rsidRDefault="006C2670" w:rsidP="00021F7F">
            <w:pPr>
              <w:widowControl/>
              <w:suppressAutoHyphens/>
              <w:jc w:val="center"/>
              <w:textAlignment w:val="baseline"/>
              <w:rPr>
                <w:rFonts w:hAnsi="標楷體"/>
                <w:color w:val="000000" w:themeColor="text1"/>
                <w:kern w:val="3"/>
                <w:sz w:val="28"/>
                <w:szCs w:val="28"/>
              </w:rPr>
            </w:pPr>
            <w:r w:rsidRPr="00A00D38">
              <w:rPr>
                <w:rFonts w:hAnsi="標楷體"/>
                <w:color w:val="000000" w:themeColor="text1"/>
                <w:kern w:val="3"/>
                <w:sz w:val="28"/>
                <w:szCs w:val="28"/>
              </w:rPr>
              <w:t>9,327</w:t>
            </w:r>
          </w:p>
        </w:tc>
      </w:tr>
    </w:tbl>
    <w:p w:rsidR="006C2670" w:rsidRPr="00A00D38" w:rsidRDefault="006C2670" w:rsidP="006C2670">
      <w:pPr>
        <w:adjustRightInd w:val="0"/>
        <w:spacing w:line="240" w:lineRule="exact"/>
        <w:ind w:left="520" w:hangingChars="200" w:hanging="520"/>
        <w:rPr>
          <w:rFonts w:hAnsi="標楷體"/>
          <w:color w:val="000000" w:themeColor="text1"/>
          <w:sz w:val="24"/>
          <w:szCs w:val="24"/>
        </w:rPr>
      </w:pPr>
      <w:r w:rsidRPr="00A00D38">
        <w:rPr>
          <w:rFonts w:hAnsi="標楷體" w:hint="eastAsia"/>
          <w:color w:val="000000" w:themeColor="text1"/>
          <w:sz w:val="24"/>
          <w:szCs w:val="24"/>
        </w:rPr>
        <w:t>註：政府自100年始開放大陸地區學生來臺攻讀正式學位、102年始開放二年制學士班。</w:t>
      </w:r>
    </w:p>
    <w:p w:rsidR="006C2670" w:rsidRPr="00A00D38" w:rsidRDefault="006C2670" w:rsidP="006C2670">
      <w:pPr>
        <w:pStyle w:val="af8"/>
        <w:spacing w:line="240" w:lineRule="exact"/>
        <w:rPr>
          <w:color w:val="000000" w:themeColor="text1"/>
          <w:sz w:val="24"/>
          <w:szCs w:val="24"/>
        </w:rPr>
      </w:pPr>
      <w:r w:rsidRPr="00A00D38">
        <w:rPr>
          <w:rFonts w:hint="eastAsia"/>
          <w:color w:val="000000" w:themeColor="text1"/>
          <w:sz w:val="24"/>
          <w:szCs w:val="24"/>
        </w:rPr>
        <w:t>資料來源：教育部查復資料。</w:t>
      </w:r>
    </w:p>
    <w:p w:rsidR="006C2670" w:rsidRPr="00A00D38" w:rsidRDefault="006C2670" w:rsidP="006C2670">
      <w:pPr>
        <w:pStyle w:val="af8"/>
        <w:spacing w:line="240" w:lineRule="exact"/>
        <w:rPr>
          <w:color w:val="000000" w:themeColor="text1"/>
          <w:sz w:val="24"/>
          <w:szCs w:val="24"/>
        </w:rPr>
      </w:pPr>
    </w:p>
    <w:p w:rsidR="006C2670" w:rsidRPr="00A00D38" w:rsidRDefault="006C2670" w:rsidP="006C2670">
      <w:pPr>
        <w:pStyle w:val="3"/>
        <w:adjustRightInd w:val="0"/>
        <w:ind w:left="1389"/>
        <w:rPr>
          <w:rFonts w:hAnsi="標楷體"/>
          <w:color w:val="000000" w:themeColor="text1"/>
        </w:rPr>
      </w:pPr>
      <w:bookmarkStart w:id="85" w:name="_Toc488227862"/>
      <w:bookmarkStart w:id="86" w:name="_Toc489383075"/>
      <w:bookmarkStart w:id="87" w:name="_Toc491711172"/>
      <w:bookmarkStart w:id="88" w:name="_Toc492371049"/>
      <w:r w:rsidRPr="00A00D38">
        <w:rPr>
          <w:rFonts w:hAnsi="標楷體" w:hint="eastAsia"/>
          <w:color w:val="000000" w:themeColor="text1"/>
        </w:rPr>
        <w:t>針對大陸地區之招生，教育部表示現階段採逐步</w:t>
      </w:r>
      <w:r w:rsidRPr="00A00D38">
        <w:rPr>
          <w:rFonts w:hAnsi="標楷體" w:hint="eastAsia"/>
          <w:noProof/>
          <w:color w:val="000000" w:themeColor="text1"/>
        </w:rPr>
        <w:t>以「境外學生權益衡平」、「階段性、檢討修正、完整配套」原則修正相關行政規則，在「限制採認高等學校」方面，已鬆綁為採認大陸155所高校及191所專科學歷</w:t>
      </w:r>
      <w:r w:rsidRPr="00A00D38">
        <w:rPr>
          <w:rFonts w:hAnsi="標楷體" w:hint="eastAsia"/>
          <w:color w:val="000000" w:themeColor="text1"/>
        </w:rPr>
        <w:t>；</w:t>
      </w:r>
      <w:r w:rsidRPr="00A00D38">
        <w:rPr>
          <w:rFonts w:hAnsi="標楷體" w:hint="eastAsia"/>
          <w:noProof/>
          <w:color w:val="000000" w:themeColor="text1"/>
        </w:rPr>
        <w:t>在「限制來臺大陸地區學生總量」方面，招收大陸地區學生上限從日間學制招生總名額外加1％，提高至2％；此外每年核定大陸地區學生名額從2,141名增加至5,200名；在「不編列獎助學金」方面，鬆綁為「搭配大學校院招收大陸地區學生聯合招生委員會及學校網站，公告以學校自籌經費所設置的大陸地區學生獎助學金」；在「不允許在學期間工作」方面，已令釋開放大陸地區學生從事學習性質的實習或擔任兼任助理，不視為工作；在「不得報考公職及專技人員考試」方面，放寬渠等得報考勞動部技術士技能檢定等。爰至105年，</w:t>
      </w:r>
      <w:r w:rsidRPr="00A00D38">
        <w:rPr>
          <w:rFonts w:hAnsi="標楷體" w:hint="eastAsia"/>
          <w:color w:val="000000" w:themeColor="text1"/>
        </w:rPr>
        <w:t>大陸學生人數達4萬1,981人，占整體境外學生之36％，其中並含3萬2,648名短期研修生，亦占整體境外學生之28％，大陸學生實占我國境外學生之大宗。</w:t>
      </w:r>
      <w:bookmarkEnd w:id="85"/>
      <w:bookmarkEnd w:id="86"/>
      <w:bookmarkEnd w:id="87"/>
      <w:bookmarkEnd w:id="88"/>
      <w:r w:rsidRPr="00A00D38">
        <w:rPr>
          <w:rFonts w:hAnsi="標楷體"/>
          <w:color w:val="000000" w:themeColor="text1"/>
        </w:rPr>
        <w:br/>
      </w:r>
    </w:p>
    <w:p w:rsidR="006C2670" w:rsidRPr="00A00D38" w:rsidRDefault="006C2670" w:rsidP="006C2670">
      <w:pPr>
        <w:pStyle w:val="3"/>
        <w:rPr>
          <w:color w:val="000000" w:themeColor="text1"/>
        </w:rPr>
      </w:pPr>
      <w:bookmarkStart w:id="89" w:name="_Toc488227863"/>
      <w:bookmarkStart w:id="90" w:name="_Toc489383076"/>
      <w:bookmarkStart w:id="91" w:name="_Toc491711173"/>
      <w:bookmarkStart w:id="92" w:name="_Toc492371050"/>
      <w:r w:rsidRPr="00A00D38">
        <w:rPr>
          <w:rFonts w:hint="eastAsia"/>
          <w:color w:val="000000" w:themeColor="text1"/>
        </w:rPr>
        <w:lastRenderedPageBreak/>
        <w:t>惟據教育部統計，</w:t>
      </w:r>
      <w:r w:rsidRPr="00A00D38">
        <w:rPr>
          <w:rFonts w:hint="eastAsia"/>
          <w:noProof/>
          <w:color w:val="000000" w:themeColor="text1"/>
        </w:rPr>
        <w:t>100年至104年</w:t>
      </w:r>
      <w:r w:rsidRPr="00A00D38">
        <w:rPr>
          <w:rFonts w:hint="eastAsia"/>
          <w:color w:val="000000" w:themeColor="text1"/>
        </w:rPr>
        <w:t>大陸研修生</w:t>
      </w:r>
      <w:r w:rsidRPr="00A00D38">
        <w:rPr>
          <w:rFonts w:hint="eastAsia"/>
          <w:noProof/>
          <w:color w:val="000000" w:themeColor="text1"/>
        </w:rPr>
        <w:t>，平均年增5,800人，105年卻不增反減至</w:t>
      </w:r>
      <w:r w:rsidRPr="00A00D38">
        <w:rPr>
          <w:rFonts w:hint="eastAsia"/>
          <w:color w:val="000000" w:themeColor="text1"/>
        </w:rPr>
        <w:t>1,466人，僑生(主要來自香港、馬來西亞及澳門)及華語文學生(主要來自日本、南韓及美國)人數，與104年比較各增1,761人及1,332人，然因大陸研修生減幅甚鉅，105年</w:t>
      </w:r>
      <w:r w:rsidRPr="00A00D38">
        <w:rPr>
          <w:rFonts w:hint="eastAsia"/>
          <w:noProof/>
          <w:color w:val="000000" w:themeColor="text1"/>
        </w:rPr>
        <w:t>全體境外學生人數仍趨降。</w:t>
      </w:r>
      <w:r w:rsidRPr="00A00D38">
        <w:rPr>
          <w:rFonts w:hint="eastAsia"/>
          <w:color w:val="000000" w:themeColor="text1"/>
        </w:rPr>
        <w:t>有關陸生減少對於我國國內大專校院招生之衝擊，教育部表示，</w:t>
      </w:r>
      <w:r w:rsidRPr="00A00D38">
        <w:rPr>
          <w:rFonts w:hAnsi="標楷體" w:hint="eastAsia"/>
          <w:color w:val="000000" w:themeColor="text1"/>
        </w:rPr>
        <w:t>各校來臺研修陸生在臺停留約1學期，比較我大專校院在校學生總人數約130萬人，平均在臺研修陸生人數所占比率約為1.3％，故105年來臺研修陸生減少人數，對我高教體系衝擊有限等語。</w:t>
      </w:r>
      <w:r w:rsidRPr="00A00D38">
        <w:rPr>
          <w:rFonts w:hint="eastAsia"/>
          <w:noProof/>
          <w:color w:val="000000" w:themeColor="text1"/>
        </w:rPr>
        <w:t>該部對此並稱「我國已自</w:t>
      </w:r>
      <w:r w:rsidRPr="00A00D38">
        <w:rPr>
          <w:rFonts w:hint="eastAsia"/>
          <w:color w:val="000000" w:themeColor="text1"/>
        </w:rPr>
        <w:t>106年起推動『新南向人才培育推動計畫』，未來以新南向國家在臺留學/研習人數每年成長20％為目標，預期</w:t>
      </w:r>
      <w:r w:rsidRPr="00A00D38">
        <w:rPr>
          <w:rFonts w:hint="eastAsia"/>
          <w:noProof/>
          <w:color w:val="000000" w:themeColor="text1"/>
        </w:rPr>
        <w:t>『新南向18國』</w:t>
      </w:r>
      <w:r w:rsidRPr="00A00D38">
        <w:rPr>
          <w:rStyle w:val="aff0"/>
          <w:rFonts w:hAnsi="標楷體"/>
          <w:noProof/>
          <w:color w:val="000000" w:themeColor="text1"/>
        </w:rPr>
        <w:footnoteReference w:id="6"/>
      </w:r>
      <w:r w:rsidRPr="00A00D38">
        <w:rPr>
          <w:rFonts w:hint="eastAsia"/>
          <w:noProof/>
          <w:color w:val="000000" w:themeColor="text1"/>
        </w:rPr>
        <w:t>部分至</w:t>
      </w:r>
      <w:r w:rsidRPr="00A00D38">
        <w:rPr>
          <w:rFonts w:hint="eastAsia"/>
          <w:color w:val="000000" w:themeColor="text1"/>
        </w:rPr>
        <w:t>108學年度增加達5.8萬人」等語，顯示大陸地區學生來臺深受兩岸政治因素影響，波動極鉅。近有不少報導指出，由於臺灣學位的</w:t>
      </w:r>
      <w:r w:rsidRPr="00A00D38">
        <w:rPr>
          <w:rFonts w:hAnsi="標楷體" w:hint="eastAsia"/>
          <w:color w:val="000000" w:themeColor="text1"/>
        </w:rPr>
        <w:t>「</w:t>
      </w:r>
      <w:r w:rsidRPr="00A00D38">
        <w:rPr>
          <w:rFonts w:hint="eastAsia"/>
          <w:color w:val="000000" w:themeColor="text1"/>
        </w:rPr>
        <w:t>含金量</w:t>
      </w:r>
      <w:r w:rsidRPr="00A00D38">
        <w:rPr>
          <w:rFonts w:hAnsi="標楷體" w:hint="eastAsia"/>
          <w:color w:val="000000" w:themeColor="text1"/>
        </w:rPr>
        <w:t>」</w:t>
      </w:r>
      <w:r w:rsidRPr="00A00D38">
        <w:rPr>
          <w:rFonts w:hint="eastAsia"/>
          <w:color w:val="000000" w:themeColor="text1"/>
        </w:rPr>
        <w:t>不足，復加兩岸關係低迷，不少陸生就讀興趣已驟降，學士班名額減少一半，且106年在臺大學畢業的陸生「續留率」僅3成7，比去(105)年少，預計106年9月開學時陸生人數將有更明顯地下降</w:t>
      </w:r>
      <w:r w:rsidRPr="00A00D38">
        <w:rPr>
          <w:rStyle w:val="aff0"/>
          <w:color w:val="000000" w:themeColor="text1"/>
        </w:rPr>
        <w:footnoteReference w:id="7"/>
      </w:r>
      <w:r w:rsidRPr="00A00D38">
        <w:rPr>
          <w:rFonts w:hint="eastAsia"/>
          <w:color w:val="000000" w:themeColor="text1"/>
        </w:rPr>
        <w:t>。</w:t>
      </w:r>
      <w:bookmarkEnd w:id="89"/>
      <w:bookmarkEnd w:id="90"/>
      <w:bookmarkEnd w:id="91"/>
      <w:bookmarkEnd w:id="92"/>
      <w:r w:rsidRPr="00A00D38">
        <w:rPr>
          <w:color w:val="000000" w:themeColor="text1"/>
        </w:rPr>
        <w:br/>
      </w:r>
    </w:p>
    <w:p w:rsidR="006C2670" w:rsidRPr="00A00D38" w:rsidRDefault="006C2670" w:rsidP="006C2670">
      <w:pPr>
        <w:pStyle w:val="3"/>
        <w:rPr>
          <w:color w:val="000000" w:themeColor="text1"/>
        </w:rPr>
      </w:pPr>
      <w:bookmarkStart w:id="93" w:name="_Toc491711174"/>
      <w:bookmarkStart w:id="94" w:name="_Toc492371051"/>
      <w:bookmarkStart w:id="95" w:name="_Toc488227864"/>
      <w:bookmarkStart w:id="96" w:name="_Toc489383077"/>
      <w:r w:rsidRPr="00A00D38">
        <w:rPr>
          <w:rFonts w:hint="eastAsia"/>
          <w:color w:val="000000" w:themeColor="text1"/>
        </w:rPr>
        <w:t>政府刻正如火如荼推動之「新南向政策」，涵蓋18國，乃以東協10國為基礎，加上南亞6國與紐澳2國，按教育部提供之近10年其他各主要國家學生來臺</w:t>
      </w:r>
      <w:r w:rsidRPr="00A00D38">
        <w:rPr>
          <w:rFonts w:hint="eastAsia"/>
          <w:color w:val="000000" w:themeColor="text1"/>
        </w:rPr>
        <w:lastRenderedPageBreak/>
        <w:t>留學情形觀之(詳如下表</w:t>
      </w:r>
      <w:r w:rsidR="00083522">
        <w:rPr>
          <w:rFonts w:hint="eastAsia"/>
          <w:color w:val="000000" w:themeColor="text1"/>
        </w:rPr>
        <w:t>5</w:t>
      </w:r>
      <w:r w:rsidRPr="00A00D38">
        <w:rPr>
          <w:rFonts w:hint="eastAsia"/>
          <w:color w:val="000000" w:themeColor="text1"/>
        </w:rPr>
        <w:t>)，「新南向政策推動計畫」上路前，新南向國家即為我國境外學生來源之最大宗；此併有本案諮詢專家學者意見「教育部對東南亞並不瞭解，在東南亞招生並非新的政策，各大學實已耕耘多年，私立大學對於東南亞的瞭解比教育部還深入。舉例來說：東南亞各國大學之暑假制度皆不同，甚至斯里蘭卡的部分大學，同一間學校大一到大四的暑假期間都不同，若不夠理解東南亞，政府期望以單一新南向制度打入東南亞市場非常困難。」、「許多東南亞大學的校長畢業於日本的大學，日本政府在東南亞的招生已紮根3、40年；近年來大陸地區經濟崛起，對於東南亞學校捐資甚為大方，大陸的經濟實力已非臺灣可匹敵；獎學金方面，港、澳與新加坡等，對於東南亞學生提供的數額，是我國的2、3倍，更導致臺灣在東南亞地區招生無力」等語同證，我國高等教育早已南向發展多年，並已面臨龐大競爭壓力。</w:t>
      </w:r>
      <w:bookmarkEnd w:id="93"/>
      <w:bookmarkEnd w:id="94"/>
    </w:p>
    <w:p w:rsidR="006C2670" w:rsidRPr="00A00D38" w:rsidRDefault="006C2670" w:rsidP="006C2670">
      <w:pPr>
        <w:pStyle w:val="a4"/>
        <w:ind w:left="482" w:hanging="482"/>
        <w:jc w:val="center"/>
        <w:rPr>
          <w:rFonts w:hAnsi="標楷體"/>
          <w:b/>
          <w:color w:val="000000" w:themeColor="text1"/>
        </w:rPr>
      </w:pPr>
      <w:r w:rsidRPr="00A00D38">
        <w:rPr>
          <w:rFonts w:hAnsi="標楷體" w:hint="eastAsia"/>
          <w:b/>
          <w:color w:val="000000" w:themeColor="text1"/>
        </w:rPr>
        <w:lastRenderedPageBreak/>
        <w:t>近年來臺之主要國家境外學生人數</w:t>
      </w:r>
    </w:p>
    <w:p w:rsidR="006C2670" w:rsidRPr="00A00D38" w:rsidRDefault="006C2670" w:rsidP="006C2670">
      <w:pPr>
        <w:spacing w:line="240" w:lineRule="exact"/>
        <w:ind w:leftChars="-150" w:left="-510"/>
        <w:rPr>
          <w:rFonts w:hAnsi="標楷體"/>
          <w:color w:val="000000" w:themeColor="text1"/>
          <w:sz w:val="24"/>
          <w:szCs w:val="24"/>
        </w:rPr>
      </w:pPr>
      <w:bookmarkStart w:id="97" w:name="_Toc491711175"/>
      <w:r w:rsidRPr="00A00D38">
        <w:rPr>
          <w:noProof/>
          <w:color w:val="000000" w:themeColor="text1"/>
        </w:rPr>
        <w:drawing>
          <wp:anchor distT="0" distB="0" distL="114300" distR="114300" simplePos="0" relativeHeight="251668480" behindDoc="0" locked="0" layoutInCell="1" allowOverlap="1" wp14:anchorId="29159197" wp14:editId="3B7F065A">
            <wp:simplePos x="0" y="0"/>
            <wp:positionH relativeFrom="column">
              <wp:posOffset>-85090</wp:posOffset>
            </wp:positionH>
            <wp:positionV relativeFrom="paragraph">
              <wp:posOffset>148590</wp:posOffset>
            </wp:positionV>
            <wp:extent cx="5972810" cy="4735195"/>
            <wp:effectExtent l="0" t="0" r="8890" b="825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3577"/>
                    <a:stretch/>
                  </pic:blipFill>
                  <pic:spPr bwMode="auto">
                    <a:xfrm>
                      <a:off x="0" y="0"/>
                      <a:ext cx="5972810" cy="4735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97"/>
      <w:r w:rsidRPr="00A00D38">
        <w:rPr>
          <w:rFonts w:hAnsi="標楷體" w:hint="eastAsia"/>
          <w:color w:val="000000" w:themeColor="text1"/>
          <w:sz w:val="24"/>
          <w:szCs w:val="24"/>
        </w:rPr>
        <w:t>註：本表僅包含主要國家，故僅呈現70.5％境外學生來源情形。</w:t>
      </w:r>
    </w:p>
    <w:p w:rsidR="006C2670" w:rsidRPr="00A00D38" w:rsidRDefault="006C2670" w:rsidP="006C2670">
      <w:pPr>
        <w:pStyle w:val="af8"/>
        <w:spacing w:line="240" w:lineRule="exact"/>
        <w:ind w:leftChars="-150" w:left="-510"/>
        <w:rPr>
          <w:color w:val="000000" w:themeColor="text1"/>
          <w:sz w:val="24"/>
          <w:szCs w:val="24"/>
        </w:rPr>
      </w:pPr>
      <w:r w:rsidRPr="00A00D38">
        <w:rPr>
          <w:rFonts w:hint="eastAsia"/>
          <w:color w:val="000000" w:themeColor="text1"/>
          <w:sz w:val="24"/>
          <w:szCs w:val="24"/>
        </w:rPr>
        <w:t>資料來源：教育部查復資料。</w:t>
      </w:r>
    </w:p>
    <w:p w:rsidR="006C2670" w:rsidRPr="00A00D38" w:rsidRDefault="006C2670" w:rsidP="006C2670">
      <w:pPr>
        <w:pStyle w:val="af8"/>
        <w:spacing w:line="240" w:lineRule="exact"/>
        <w:ind w:leftChars="-150" w:left="-510"/>
        <w:rPr>
          <w:color w:val="000000" w:themeColor="text1"/>
          <w:sz w:val="24"/>
          <w:szCs w:val="24"/>
        </w:rPr>
      </w:pPr>
    </w:p>
    <w:p w:rsidR="006C2670" w:rsidRPr="00A00D38" w:rsidRDefault="006C2670" w:rsidP="006C2670">
      <w:pPr>
        <w:pStyle w:val="3"/>
        <w:rPr>
          <w:rFonts w:hAnsi="標楷體"/>
          <w:color w:val="000000" w:themeColor="text1"/>
        </w:rPr>
      </w:pPr>
      <w:bookmarkStart w:id="98" w:name="_Toc491711176"/>
      <w:bookmarkStart w:id="99" w:name="_Toc492371052"/>
      <w:r w:rsidRPr="00A00D38">
        <w:rPr>
          <w:rFonts w:hint="eastAsia"/>
          <w:color w:val="000000" w:themeColor="text1"/>
        </w:rPr>
        <w:t>查105年度境外學生人數顯示，我國境外學生以「新南向18國」之3萬1,531人，占27.1％，為最多；其他依次為「東協10國」計有2萬9,634人，占25.5％、「南亞6國」計有1,444人，占1.2％、「紐澳2國」計有453人，占0.4％、美國計有4,002人，占3.4％、日本計有7,548人占6.5％、南韓有4,624人，占4％、法國有1,637人，占1.4％、德國有1,174人，占1.0％。換言之，「新南向政策推動計畫」施行後，新南向18國之境外學生招生績效目標與具體招生情形，</w:t>
      </w:r>
      <w:r w:rsidRPr="00A00D38">
        <w:rPr>
          <w:rFonts w:hint="eastAsia"/>
          <w:color w:val="000000" w:themeColor="text1"/>
        </w:rPr>
        <w:lastRenderedPageBreak/>
        <w:t>究有無明顯區別？對此，教育部查復表示「</w:t>
      </w:r>
      <w:r w:rsidRPr="00A00D38">
        <w:rPr>
          <w:rFonts w:hAnsi="標楷體" w:hint="eastAsia"/>
          <w:color w:val="000000" w:themeColor="text1"/>
        </w:rPr>
        <w:t>新南向18國學生在臺留學或研習人數104學年度為2萬8,741人，105學年度為3萬1,531人，成長率為9.7</w:t>
      </w:r>
      <w:r w:rsidRPr="00A00D38">
        <w:rPr>
          <w:rFonts w:hint="eastAsia"/>
          <w:color w:val="000000" w:themeColor="text1"/>
        </w:rPr>
        <w:t>％</w:t>
      </w:r>
      <w:r w:rsidRPr="00A00D38">
        <w:rPr>
          <w:rFonts w:hAnsi="標楷體" w:hint="eastAsia"/>
          <w:color w:val="000000" w:themeColor="text1"/>
        </w:rPr>
        <w:t>。</w:t>
      </w:r>
      <w:r w:rsidRPr="00A00D38">
        <w:rPr>
          <w:rFonts w:hint="eastAsia"/>
          <w:color w:val="000000" w:themeColor="text1"/>
        </w:rPr>
        <w:t>預期招生績效目標為新南向國家在臺留學研習僑外生人數，每年均能以20％成長，至108學年度成長至5.8萬人。就106年新南向人才培育-擴大國內生源之階段性成果，業核定補助相關學位專班、獎學金及相關青年交流短期計畫」等語。爰關於推動新南向人才培育政策後，我國東南亞境外學生未來消長情勢，仍待教育部後續追蹤釐清。</w:t>
      </w:r>
      <w:bookmarkEnd w:id="95"/>
      <w:bookmarkEnd w:id="96"/>
      <w:bookmarkEnd w:id="98"/>
      <w:bookmarkEnd w:id="99"/>
      <w:r w:rsidRPr="00A00D38">
        <w:rPr>
          <w:color w:val="000000" w:themeColor="text1"/>
        </w:rPr>
        <w:br/>
      </w:r>
    </w:p>
    <w:p w:rsidR="006C2670" w:rsidRPr="00A00D38" w:rsidRDefault="006C2670" w:rsidP="006C2670">
      <w:pPr>
        <w:pStyle w:val="3"/>
        <w:rPr>
          <w:color w:val="000000" w:themeColor="text1"/>
        </w:rPr>
      </w:pPr>
      <w:bookmarkStart w:id="100" w:name="_Toc489383078"/>
      <w:bookmarkStart w:id="101" w:name="_Toc491711177"/>
      <w:bookmarkStart w:id="102" w:name="_Toc492371053"/>
      <w:r w:rsidRPr="00A00D38">
        <w:rPr>
          <w:rFonts w:hint="eastAsia"/>
          <w:color w:val="000000" w:themeColor="text1"/>
        </w:rPr>
        <w:t>另查據教育部</w:t>
      </w:r>
      <w:r w:rsidRPr="00A00D38">
        <w:rPr>
          <w:rFonts w:hAnsi="標楷體" w:hint="eastAsia"/>
          <w:color w:val="000000" w:themeColor="text1"/>
        </w:rPr>
        <w:t>新南向對象國有無差異化招生策略，該部表示，</w:t>
      </w:r>
      <w:r w:rsidRPr="00A00D38">
        <w:rPr>
          <w:rFonts w:hint="eastAsia"/>
          <w:color w:val="000000" w:themeColor="text1"/>
        </w:rPr>
        <w:t>對於新南向來臺留學人數已漸具規模之國家（馬來西亞、印尼與越南），與該國中央及地方政府合作，持續擴展大學講師、政府官員或高階人才來臺就學或訓練計畫相關資源。將持續擴展高階及主流（非華裔）人才培育；有關待積極拓展國家（印度、泰國、緬甸、新加坡、菲律賓），將引導國內優質大學校院辦理先修班(含語言、基礎學科)，或學士、碩士或博士合作式雙聯專班(可採1+3，2+2等模式)，運用我國高教及技職教育資源及學分抵免誘因，拓展並擴大我國新南向招生利基。待開發國家（巴基斯坦、尼泊爾、斯里蘭卡、汶萊、孟加拉、寮國、柬埔寨與不丹），將加強於當地主流高中或大學行銷留學臺灣優勢，增加臺灣高等教育國際能見度，及妥善運用校友口碑力量，建立臺灣教育優質形象，以期永續經營生源市場。惟針對新南向範圍擴及南亞6國與紐澳2國，差異化之招生策略似未見明朗，且面對日本政府長期在東南亞地區高教機構之耕耘、中、港、澳、新等國的優渥獎學金策</w:t>
      </w:r>
      <w:r w:rsidRPr="00A00D38">
        <w:rPr>
          <w:rFonts w:hint="eastAsia"/>
          <w:color w:val="000000" w:themeColor="text1"/>
        </w:rPr>
        <w:lastRenderedPageBreak/>
        <w:t>略等，前開策略能否突圍？吸引來臺之學生，對於我國高教學術品質的提升程度，亦待檢驗。</w:t>
      </w:r>
      <w:bookmarkEnd w:id="100"/>
      <w:r w:rsidRPr="00A00D38">
        <w:rPr>
          <w:rFonts w:hint="eastAsia"/>
          <w:color w:val="000000" w:themeColor="text1"/>
        </w:rPr>
        <w:t>又本院諮詢相關專家學者指出，每年臺灣各公私立大學無不積極赴東南亞參展招生，以致參加大學逐年必須繳交更高的攤位費，卻獲得更低之推崇，值得高教相關單位深思並謀因應。</w:t>
      </w:r>
      <w:bookmarkEnd w:id="101"/>
      <w:bookmarkEnd w:id="102"/>
      <w:r w:rsidRPr="00A00D38">
        <w:rPr>
          <w:color w:val="000000" w:themeColor="text1"/>
        </w:rPr>
        <w:br/>
      </w:r>
    </w:p>
    <w:p w:rsidR="006C2670" w:rsidRPr="00A00D38" w:rsidRDefault="006C2670" w:rsidP="006C2670">
      <w:pPr>
        <w:pStyle w:val="3"/>
        <w:rPr>
          <w:color w:val="000000" w:themeColor="text1"/>
        </w:rPr>
      </w:pPr>
      <w:bookmarkStart w:id="103" w:name="_Toc488227866"/>
      <w:bookmarkStart w:id="104" w:name="_Toc489383079"/>
      <w:bookmarkStart w:id="105" w:name="_Toc491711178"/>
      <w:bookmarkStart w:id="106" w:name="_Toc492371054"/>
      <w:r w:rsidRPr="00A00D38">
        <w:rPr>
          <w:rFonts w:hint="eastAsia"/>
          <w:color w:val="000000" w:themeColor="text1"/>
        </w:rPr>
        <w:t>本案詢據教育部以瞭解境外學生在臺學習概況，發現各不同來源國之學生，於學門領域及學習型態略有差別，又學門領域有特定集中之趨勢；且</w:t>
      </w:r>
      <w:r w:rsidRPr="00A00D38">
        <w:rPr>
          <w:rFonts w:hAnsi="標楷體" w:hint="eastAsia"/>
          <w:noProof/>
          <w:color w:val="000000" w:themeColor="text1"/>
        </w:rPr>
        <w:t>按學制級別觀察，碩、博士班明顯集中於國立頂尖大學，博士班階段之學門領域更明顯集中於工程學門。</w:t>
      </w:r>
      <w:r w:rsidRPr="00A00D38">
        <w:rPr>
          <w:rFonts w:hAnsi="標楷體" w:hint="eastAsia"/>
          <w:color w:val="000000" w:themeColor="text1"/>
        </w:rPr>
        <w:t>摘述如下：</w:t>
      </w:r>
      <w:bookmarkEnd w:id="103"/>
      <w:bookmarkEnd w:id="104"/>
      <w:bookmarkEnd w:id="105"/>
      <w:bookmarkEnd w:id="106"/>
    </w:p>
    <w:p w:rsidR="006C2670" w:rsidRPr="00A00D38" w:rsidRDefault="006C2670" w:rsidP="006C2670">
      <w:pPr>
        <w:pStyle w:val="4"/>
        <w:rPr>
          <w:bCs/>
          <w:color w:val="000000" w:themeColor="text1"/>
        </w:rPr>
      </w:pPr>
      <w:r w:rsidRPr="00A00D38">
        <w:rPr>
          <w:rFonts w:hint="eastAsia"/>
          <w:color w:val="000000" w:themeColor="text1"/>
        </w:rPr>
        <w:t>依各國家之學生人數與學習型態分析</w:t>
      </w:r>
      <w:r w:rsidR="00D46CA7" w:rsidRPr="00A00D38">
        <w:rPr>
          <w:rFonts w:hAnsi="標楷體" w:hint="eastAsia"/>
          <w:noProof/>
          <w:color w:val="000000" w:themeColor="text1"/>
        </w:rPr>
        <w:t>(詳如下表</w:t>
      </w:r>
      <w:r w:rsidR="00083522">
        <w:rPr>
          <w:rFonts w:hAnsi="標楷體" w:hint="eastAsia"/>
          <w:noProof/>
          <w:color w:val="000000" w:themeColor="text1"/>
        </w:rPr>
        <w:t>6</w:t>
      </w:r>
      <w:r w:rsidR="00D46CA7" w:rsidRPr="00A00D38">
        <w:rPr>
          <w:rFonts w:hAnsi="標楷體" w:hint="eastAsia"/>
          <w:noProof/>
          <w:color w:val="000000" w:themeColor="text1"/>
        </w:rPr>
        <w:t>)</w:t>
      </w:r>
      <w:r w:rsidRPr="00A00D38">
        <w:rPr>
          <w:rFonts w:hint="eastAsia"/>
          <w:color w:val="000000" w:themeColor="text1"/>
        </w:rPr>
        <w:t>，</w:t>
      </w:r>
      <w:r w:rsidRPr="00A00D38">
        <w:rPr>
          <w:rFonts w:hint="eastAsia"/>
          <w:noProof/>
          <w:color w:val="000000" w:themeColor="text1"/>
        </w:rPr>
        <w:t>馬來西亞學生人數僅次於大陸地區，計有1</w:t>
      </w:r>
      <w:r w:rsidRPr="00A00D38">
        <w:rPr>
          <w:rFonts w:hint="eastAsia"/>
          <w:color w:val="000000" w:themeColor="text1"/>
        </w:rPr>
        <w:t>萬6,051人，占13.8％，其學生類型以僑生(占47.6％)、正式修讀學位外國學生(占31.4％)及</w:t>
      </w:r>
      <w:r w:rsidRPr="00A00D38">
        <w:rPr>
          <w:rFonts w:hint="eastAsia"/>
          <w:color w:val="000000" w:themeColor="text1"/>
          <w:szCs w:val="32"/>
        </w:rPr>
        <w:t>海外青年技術訓練班(下稱海青班)</w:t>
      </w:r>
      <w:r w:rsidRPr="00A00D38">
        <w:rPr>
          <w:rFonts w:hint="eastAsia"/>
          <w:color w:val="000000" w:themeColor="text1"/>
        </w:rPr>
        <w:t>(占13.8％)為主，且</w:t>
      </w:r>
      <w:r w:rsidRPr="00A00D38">
        <w:rPr>
          <w:rFonts w:hAnsi="標楷體" w:hint="eastAsia"/>
          <w:color w:val="000000" w:themeColor="text1"/>
        </w:rPr>
        <w:t>多於傳播、工程及設計領域之大學部就讀</w:t>
      </w:r>
      <w:r w:rsidRPr="00A00D38">
        <w:rPr>
          <w:rFonts w:hint="eastAsia"/>
          <w:color w:val="000000" w:themeColor="text1"/>
        </w:rPr>
        <w:t>；香港及澳門之學生人數分居第3及第5，各有8,662人及5,295人，主要多為僑生；日本7,548人居第4大來源，日本學生的分布，主要集中於華語文中心，占58.1％、短期研習及個人選讀生則占20.6％，且</w:t>
      </w:r>
      <w:r w:rsidRPr="00A00D38">
        <w:rPr>
          <w:rFonts w:hAnsi="標楷體" w:hint="eastAsia"/>
          <w:color w:val="000000" w:themeColor="text1"/>
        </w:rPr>
        <w:t>偏好人文及商管領域</w:t>
      </w:r>
      <w:r w:rsidRPr="00A00D38">
        <w:rPr>
          <w:rFonts w:hint="eastAsia"/>
          <w:bCs/>
          <w:color w:val="000000" w:themeColor="text1"/>
        </w:rPr>
        <w:t>。整體而言，</w:t>
      </w:r>
      <w:r w:rsidRPr="00A00D38">
        <w:rPr>
          <w:rFonts w:hAnsi="標楷體" w:hint="eastAsia"/>
          <w:color w:val="000000" w:themeColor="text1"/>
        </w:rPr>
        <w:t>越南、印尼、泰國、甘比亞及菲律賓等國學生普遍青睞我國工程及商管領域；印度學生多於自然科學及工程領域博士班就讀；南韓及美國學生</w:t>
      </w:r>
      <w:r w:rsidRPr="00A00D38">
        <w:rPr>
          <w:rFonts w:hint="eastAsia"/>
          <w:bCs/>
          <w:color w:val="000000" w:themeColor="text1"/>
        </w:rPr>
        <w:t>偏好人文及商管領域。</w:t>
      </w:r>
    </w:p>
    <w:p w:rsidR="006C2670" w:rsidRPr="00A00D38" w:rsidRDefault="006C2670" w:rsidP="006C2670">
      <w:pPr>
        <w:pStyle w:val="a4"/>
        <w:ind w:left="482" w:hanging="482"/>
        <w:jc w:val="center"/>
        <w:rPr>
          <w:b/>
          <w:color w:val="000000" w:themeColor="text1"/>
        </w:rPr>
      </w:pPr>
      <w:r w:rsidRPr="00A00D38">
        <w:rPr>
          <w:rFonts w:hint="eastAsia"/>
          <w:b/>
          <w:color w:val="000000" w:themeColor="text1"/>
        </w:rPr>
        <w:lastRenderedPageBreak/>
        <w:t>105年度境外來臺學生人數最高之前5名國家</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701"/>
        <w:gridCol w:w="3849"/>
      </w:tblGrid>
      <w:tr w:rsidR="00A00D38" w:rsidRPr="00A00D38" w:rsidTr="00021F7F">
        <w:trPr>
          <w:tblHeader/>
        </w:trPr>
        <w:tc>
          <w:tcPr>
            <w:tcW w:w="851" w:type="dxa"/>
            <w:shd w:val="clear" w:color="auto" w:fill="FDE9D9" w:themeFill="accent6" w:themeFillTint="33"/>
            <w:vAlign w:val="center"/>
          </w:tcPr>
          <w:p w:rsidR="006C2670" w:rsidRPr="00A00D38" w:rsidRDefault="006C2670" w:rsidP="00021F7F">
            <w:pPr>
              <w:spacing w:line="320" w:lineRule="exact"/>
              <w:jc w:val="center"/>
              <w:rPr>
                <w:b/>
                <w:color w:val="000000" w:themeColor="text1"/>
                <w:sz w:val="28"/>
                <w:szCs w:val="28"/>
              </w:rPr>
            </w:pPr>
            <w:r w:rsidRPr="00A00D38">
              <w:rPr>
                <w:rFonts w:hint="eastAsia"/>
                <w:b/>
                <w:color w:val="000000" w:themeColor="text1"/>
                <w:sz w:val="28"/>
                <w:szCs w:val="28"/>
              </w:rPr>
              <w:t>序位</w:t>
            </w:r>
          </w:p>
        </w:tc>
        <w:tc>
          <w:tcPr>
            <w:tcW w:w="1417" w:type="dxa"/>
            <w:shd w:val="clear" w:color="auto" w:fill="FDE9D9" w:themeFill="accent6" w:themeFillTint="33"/>
            <w:vAlign w:val="center"/>
          </w:tcPr>
          <w:p w:rsidR="006C2670" w:rsidRPr="00A00D38" w:rsidRDefault="006C2670" w:rsidP="00021F7F">
            <w:pPr>
              <w:spacing w:line="320" w:lineRule="exact"/>
              <w:jc w:val="center"/>
              <w:rPr>
                <w:b/>
                <w:color w:val="000000" w:themeColor="text1"/>
                <w:sz w:val="28"/>
                <w:szCs w:val="28"/>
              </w:rPr>
            </w:pPr>
            <w:r w:rsidRPr="00A00D38">
              <w:rPr>
                <w:rFonts w:hint="eastAsia"/>
                <w:b/>
                <w:color w:val="000000" w:themeColor="text1"/>
                <w:sz w:val="28"/>
                <w:szCs w:val="28"/>
              </w:rPr>
              <w:t>國別</w:t>
            </w:r>
          </w:p>
        </w:tc>
        <w:tc>
          <w:tcPr>
            <w:tcW w:w="1701" w:type="dxa"/>
            <w:shd w:val="clear" w:color="auto" w:fill="FDE9D9" w:themeFill="accent6" w:themeFillTint="33"/>
            <w:vAlign w:val="center"/>
          </w:tcPr>
          <w:p w:rsidR="006C2670" w:rsidRPr="00A00D38" w:rsidRDefault="006C2670" w:rsidP="00021F7F">
            <w:pPr>
              <w:spacing w:line="320" w:lineRule="exact"/>
              <w:jc w:val="center"/>
              <w:rPr>
                <w:b/>
                <w:color w:val="000000" w:themeColor="text1"/>
                <w:sz w:val="28"/>
                <w:szCs w:val="28"/>
              </w:rPr>
            </w:pPr>
            <w:r w:rsidRPr="00A00D38">
              <w:rPr>
                <w:rFonts w:hint="eastAsia"/>
                <w:b/>
                <w:color w:val="000000" w:themeColor="text1"/>
                <w:sz w:val="28"/>
                <w:szCs w:val="28"/>
              </w:rPr>
              <w:t>人數</w:t>
            </w:r>
          </w:p>
          <w:p w:rsidR="006C2670" w:rsidRPr="00A00D38" w:rsidRDefault="006C2670" w:rsidP="00021F7F">
            <w:pPr>
              <w:spacing w:line="320" w:lineRule="exact"/>
              <w:jc w:val="center"/>
              <w:rPr>
                <w:b/>
                <w:color w:val="000000" w:themeColor="text1"/>
                <w:sz w:val="28"/>
                <w:szCs w:val="28"/>
              </w:rPr>
            </w:pPr>
            <w:r w:rsidRPr="00A00D38">
              <w:rPr>
                <w:rFonts w:hint="eastAsia"/>
                <w:b/>
                <w:color w:val="000000" w:themeColor="text1"/>
                <w:sz w:val="28"/>
                <w:szCs w:val="28"/>
              </w:rPr>
              <w:t>(占比)</w:t>
            </w:r>
          </w:p>
        </w:tc>
        <w:tc>
          <w:tcPr>
            <w:tcW w:w="3849" w:type="dxa"/>
            <w:shd w:val="clear" w:color="auto" w:fill="FDE9D9" w:themeFill="accent6" w:themeFillTint="33"/>
            <w:vAlign w:val="center"/>
          </w:tcPr>
          <w:p w:rsidR="006C2670" w:rsidRPr="00A00D38" w:rsidRDefault="006C2670" w:rsidP="00021F7F">
            <w:pPr>
              <w:spacing w:line="320" w:lineRule="exact"/>
              <w:jc w:val="center"/>
              <w:rPr>
                <w:b/>
                <w:color w:val="000000" w:themeColor="text1"/>
                <w:sz w:val="28"/>
                <w:szCs w:val="28"/>
              </w:rPr>
            </w:pPr>
            <w:r w:rsidRPr="00A00D38">
              <w:rPr>
                <w:rFonts w:hint="eastAsia"/>
                <w:b/>
                <w:color w:val="000000" w:themeColor="text1"/>
                <w:sz w:val="28"/>
                <w:szCs w:val="28"/>
              </w:rPr>
              <w:t>特色說明</w:t>
            </w:r>
          </w:p>
        </w:tc>
      </w:tr>
      <w:tr w:rsidR="00A00D38" w:rsidRPr="00A00D38" w:rsidTr="00021F7F">
        <w:tc>
          <w:tcPr>
            <w:tcW w:w="851"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1</w:t>
            </w:r>
          </w:p>
        </w:tc>
        <w:tc>
          <w:tcPr>
            <w:tcW w:w="1417"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大陸地區</w:t>
            </w:r>
          </w:p>
        </w:tc>
        <w:tc>
          <w:tcPr>
            <w:tcW w:w="1701"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41,981</w:t>
            </w:r>
          </w:p>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(36.06％)</w:t>
            </w:r>
          </w:p>
        </w:tc>
        <w:tc>
          <w:tcPr>
            <w:tcW w:w="3849"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以短期研修生為主</w:t>
            </w:r>
          </w:p>
        </w:tc>
      </w:tr>
      <w:tr w:rsidR="00A00D38" w:rsidRPr="00A00D38" w:rsidTr="00021F7F">
        <w:tc>
          <w:tcPr>
            <w:tcW w:w="851"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2</w:t>
            </w:r>
          </w:p>
        </w:tc>
        <w:tc>
          <w:tcPr>
            <w:tcW w:w="1417"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馬來西亞</w:t>
            </w:r>
          </w:p>
        </w:tc>
        <w:tc>
          <w:tcPr>
            <w:tcW w:w="1701"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16,051</w:t>
            </w:r>
          </w:p>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(13.8%)</w:t>
            </w:r>
          </w:p>
        </w:tc>
        <w:tc>
          <w:tcPr>
            <w:tcW w:w="3849"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學生類型以僑生、正式修讀學位外國學及海青班為主</w:t>
            </w:r>
          </w:p>
        </w:tc>
      </w:tr>
      <w:tr w:rsidR="00A00D38" w:rsidRPr="00A00D38" w:rsidTr="00021F7F">
        <w:tc>
          <w:tcPr>
            <w:tcW w:w="851"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3</w:t>
            </w:r>
          </w:p>
        </w:tc>
        <w:tc>
          <w:tcPr>
            <w:tcW w:w="1417"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香港</w:t>
            </w:r>
          </w:p>
        </w:tc>
        <w:tc>
          <w:tcPr>
            <w:tcW w:w="1701"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8,662</w:t>
            </w:r>
          </w:p>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(7.44%)</w:t>
            </w:r>
          </w:p>
        </w:tc>
        <w:tc>
          <w:tcPr>
            <w:tcW w:w="3849"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以僑生為主</w:t>
            </w:r>
          </w:p>
        </w:tc>
      </w:tr>
      <w:tr w:rsidR="00A00D38" w:rsidRPr="00A00D38" w:rsidTr="00021F7F">
        <w:tc>
          <w:tcPr>
            <w:tcW w:w="851"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4</w:t>
            </w:r>
          </w:p>
        </w:tc>
        <w:tc>
          <w:tcPr>
            <w:tcW w:w="1417"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日本</w:t>
            </w:r>
          </w:p>
        </w:tc>
        <w:tc>
          <w:tcPr>
            <w:tcW w:w="1701"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7,548</w:t>
            </w:r>
          </w:p>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(6.48%)</w:t>
            </w:r>
          </w:p>
        </w:tc>
        <w:tc>
          <w:tcPr>
            <w:tcW w:w="3849"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主要於附設華語文中心為主</w:t>
            </w:r>
          </w:p>
        </w:tc>
      </w:tr>
      <w:tr w:rsidR="00A00D38" w:rsidRPr="00A00D38" w:rsidTr="00021F7F">
        <w:tc>
          <w:tcPr>
            <w:tcW w:w="851"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5</w:t>
            </w:r>
          </w:p>
        </w:tc>
        <w:tc>
          <w:tcPr>
            <w:tcW w:w="1417"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澳門</w:t>
            </w:r>
          </w:p>
        </w:tc>
        <w:tc>
          <w:tcPr>
            <w:tcW w:w="1701"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5,295</w:t>
            </w:r>
          </w:p>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(4.55%)</w:t>
            </w:r>
          </w:p>
        </w:tc>
        <w:tc>
          <w:tcPr>
            <w:tcW w:w="3849" w:type="dxa"/>
            <w:vAlign w:val="center"/>
          </w:tcPr>
          <w:p w:rsidR="006C2670" w:rsidRPr="00A00D38" w:rsidRDefault="006C2670" w:rsidP="00021F7F">
            <w:pPr>
              <w:spacing w:line="320" w:lineRule="exact"/>
              <w:jc w:val="center"/>
              <w:rPr>
                <w:color w:val="000000" w:themeColor="text1"/>
                <w:sz w:val="28"/>
                <w:szCs w:val="28"/>
              </w:rPr>
            </w:pPr>
            <w:r w:rsidRPr="00A00D38">
              <w:rPr>
                <w:rFonts w:hint="eastAsia"/>
                <w:color w:val="000000" w:themeColor="text1"/>
                <w:sz w:val="28"/>
                <w:szCs w:val="28"/>
              </w:rPr>
              <w:t>以僑生為主</w:t>
            </w:r>
          </w:p>
        </w:tc>
      </w:tr>
    </w:tbl>
    <w:p w:rsidR="006C2670" w:rsidRPr="00A00D38" w:rsidRDefault="006C2670" w:rsidP="006C2670">
      <w:pPr>
        <w:pStyle w:val="af8"/>
        <w:spacing w:line="240" w:lineRule="exact"/>
        <w:ind w:leftChars="350" w:left="1191"/>
        <w:rPr>
          <w:color w:val="000000" w:themeColor="text1"/>
          <w:sz w:val="24"/>
          <w:szCs w:val="24"/>
        </w:rPr>
      </w:pPr>
      <w:r w:rsidRPr="00A00D38">
        <w:rPr>
          <w:rFonts w:hint="eastAsia"/>
          <w:color w:val="000000" w:themeColor="text1"/>
          <w:sz w:val="24"/>
          <w:szCs w:val="24"/>
        </w:rPr>
        <w:t>資料來源：本院依據教育部查復資料製表。</w:t>
      </w:r>
    </w:p>
    <w:p w:rsidR="006C2670" w:rsidRPr="00A00D38" w:rsidRDefault="006C2670" w:rsidP="006C2670">
      <w:pPr>
        <w:pStyle w:val="af8"/>
        <w:spacing w:line="240" w:lineRule="exact"/>
        <w:ind w:leftChars="350" w:left="1191"/>
        <w:rPr>
          <w:color w:val="000000" w:themeColor="text1"/>
          <w:sz w:val="24"/>
          <w:szCs w:val="24"/>
        </w:rPr>
      </w:pPr>
    </w:p>
    <w:p w:rsidR="006C2670" w:rsidRPr="00A00D38" w:rsidRDefault="006C2670" w:rsidP="006C2670">
      <w:pPr>
        <w:pStyle w:val="4"/>
        <w:ind w:left="1645"/>
        <w:rPr>
          <w:rFonts w:hAnsi="標楷體"/>
          <w:color w:val="000000" w:themeColor="text1"/>
        </w:rPr>
      </w:pPr>
      <w:r w:rsidRPr="00A00D38">
        <w:rPr>
          <w:rFonts w:hAnsi="標楷體" w:hint="eastAsia"/>
          <w:bCs/>
          <w:noProof/>
          <w:color w:val="000000" w:themeColor="text1"/>
        </w:rPr>
        <w:t>以學位生之學門領域分布情形觀之，自96</w:t>
      </w:r>
      <w:r w:rsidRPr="00A00D38">
        <w:rPr>
          <w:rFonts w:hAnsi="標楷體" w:hint="eastAsia"/>
          <w:noProof/>
          <w:color w:val="000000" w:themeColor="text1"/>
        </w:rPr>
        <w:t>年至105年，前3大熱門學門為商業及管理、工程及人文學門，占總人數的4成5以上，另外，醫藥衛生、社會及行為科學、民生學門歷年來則位居第4、第5名(詳如下表</w:t>
      </w:r>
      <w:r w:rsidR="00083522">
        <w:rPr>
          <w:rFonts w:hAnsi="標楷體" w:hint="eastAsia"/>
          <w:noProof/>
          <w:color w:val="000000" w:themeColor="text1"/>
        </w:rPr>
        <w:t>7</w:t>
      </w:r>
      <w:r w:rsidRPr="00A00D38">
        <w:rPr>
          <w:rFonts w:hAnsi="標楷體" w:hint="eastAsia"/>
          <w:noProof/>
          <w:color w:val="000000" w:themeColor="text1"/>
        </w:rPr>
        <w:t>)。</w:t>
      </w:r>
      <w:r w:rsidRPr="00A00D38">
        <w:rPr>
          <w:rFonts w:hAnsi="標楷體"/>
          <w:color w:val="000000" w:themeColor="text1"/>
        </w:rPr>
        <w:t>105學年</w:t>
      </w:r>
      <w:r w:rsidRPr="00A00D38">
        <w:rPr>
          <w:rFonts w:hAnsi="標楷體" w:hint="eastAsia"/>
          <w:color w:val="000000" w:themeColor="text1"/>
        </w:rPr>
        <w:t>部分</w:t>
      </w:r>
      <w:r w:rsidRPr="00A00D38">
        <w:rPr>
          <w:rFonts w:hAnsi="標楷體"/>
          <w:color w:val="000000" w:themeColor="text1"/>
        </w:rPr>
        <w:t>，外國學位生就讀領域分布依序為科技(35％)、商業管理(占24％)、社會科學(占20％)、人文藝術(占20％)；僑生就讀領域分布依序為科技(36％)、人文藝術(占26％)、社會科學(占22％)</w:t>
      </w:r>
      <w:r w:rsidRPr="00A00D38">
        <w:rPr>
          <w:rFonts w:hAnsi="標楷體" w:hint="eastAsia"/>
          <w:color w:val="000000" w:themeColor="text1"/>
        </w:rPr>
        <w:t>及</w:t>
      </w:r>
      <w:r w:rsidRPr="00A00D38">
        <w:rPr>
          <w:rFonts w:hAnsi="標楷體"/>
          <w:color w:val="000000" w:themeColor="text1"/>
        </w:rPr>
        <w:t>商業管理(占13％)。</w:t>
      </w:r>
    </w:p>
    <w:p w:rsidR="006C2670" w:rsidRPr="00A00D38" w:rsidRDefault="006C2670" w:rsidP="006C2670">
      <w:pPr>
        <w:pStyle w:val="a4"/>
        <w:ind w:left="0" w:firstLine="0"/>
        <w:jc w:val="center"/>
        <w:rPr>
          <w:rFonts w:hAnsi="標楷體"/>
          <w:b/>
          <w:color w:val="000000" w:themeColor="text1"/>
        </w:rPr>
      </w:pPr>
      <w:bookmarkStart w:id="107" w:name="_Toc488227867"/>
      <w:bookmarkStart w:id="108" w:name="_Toc489383080"/>
      <w:r w:rsidRPr="00A00D38">
        <w:rPr>
          <w:rFonts w:hAnsi="標楷體"/>
          <w:noProof/>
          <w:color w:val="000000" w:themeColor="text1"/>
        </w:rPr>
        <w:lastRenderedPageBreak/>
        <w:drawing>
          <wp:anchor distT="0" distB="0" distL="114300" distR="114300" simplePos="0" relativeHeight="251664384" behindDoc="0" locked="0" layoutInCell="1" allowOverlap="1" wp14:anchorId="132382E4" wp14:editId="54611049">
            <wp:simplePos x="0" y="0"/>
            <wp:positionH relativeFrom="column">
              <wp:posOffset>-573405</wp:posOffset>
            </wp:positionH>
            <wp:positionV relativeFrom="paragraph">
              <wp:posOffset>512445</wp:posOffset>
            </wp:positionV>
            <wp:extent cx="6760210" cy="3585845"/>
            <wp:effectExtent l="0" t="0" r="254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5691" b="10998"/>
                    <a:stretch/>
                  </pic:blipFill>
                  <pic:spPr bwMode="auto">
                    <a:xfrm>
                      <a:off x="0" y="0"/>
                      <a:ext cx="6760210" cy="3585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07"/>
      <w:bookmarkEnd w:id="108"/>
      <w:r w:rsidRPr="00A00D38">
        <w:rPr>
          <w:rFonts w:hAnsi="標楷體" w:hint="eastAsia"/>
          <w:b/>
          <w:noProof/>
          <w:color w:val="000000" w:themeColor="text1"/>
        </w:rPr>
        <w:t>我國大專校院境外學位生之學門領域人數統計</w:t>
      </w:r>
    </w:p>
    <w:p w:rsidR="006C2670" w:rsidRPr="00A00D38" w:rsidRDefault="006C2670" w:rsidP="006C2670">
      <w:pPr>
        <w:pStyle w:val="af8"/>
        <w:ind w:leftChars="-250" w:left="-850"/>
        <w:rPr>
          <w:color w:val="000000" w:themeColor="text1"/>
          <w:sz w:val="24"/>
          <w:szCs w:val="24"/>
        </w:rPr>
      </w:pPr>
      <w:bookmarkStart w:id="109" w:name="_Toc491711179"/>
      <w:r w:rsidRPr="00A00D38">
        <w:rPr>
          <w:rFonts w:hint="eastAsia"/>
          <w:color w:val="000000" w:themeColor="text1"/>
          <w:sz w:val="24"/>
          <w:szCs w:val="24"/>
        </w:rPr>
        <w:t>資料來源：教育部查復資料。</w:t>
      </w:r>
      <w:bookmarkEnd w:id="109"/>
    </w:p>
    <w:p w:rsidR="006C2670" w:rsidRPr="00A00D38" w:rsidRDefault="006C2670" w:rsidP="006C2670">
      <w:pPr>
        <w:spacing w:line="240" w:lineRule="exact"/>
        <w:rPr>
          <w:rFonts w:hAnsi="標楷體"/>
          <w:color w:val="000000" w:themeColor="text1"/>
          <w:sz w:val="24"/>
          <w:szCs w:val="24"/>
        </w:rPr>
      </w:pPr>
    </w:p>
    <w:p w:rsidR="006C2670" w:rsidRPr="00A00D38" w:rsidRDefault="006C2670" w:rsidP="006C2670">
      <w:pPr>
        <w:pStyle w:val="4"/>
        <w:rPr>
          <w:color w:val="000000" w:themeColor="text1"/>
        </w:rPr>
      </w:pPr>
      <w:r w:rsidRPr="00A00D38">
        <w:rPr>
          <w:rFonts w:hint="eastAsia"/>
          <w:noProof/>
          <w:color w:val="000000" w:themeColor="text1"/>
        </w:rPr>
        <w:t>按就讀學校之分布觀察，學士班階段之就讀學校較為分散，碩、博士班明顯集中於國立頂尖大學，各占碩、博士班外國學生的30.5％及41.8％；外國學生就讀前5大系所，各學制均占約2成左右，學士班及碩士班以企業管理、國際貿易等系所為主，博士班則著重專業性質的理工類科；至於專科學校本身則已萎縮，105學年度僅29人(詳如下表</w:t>
      </w:r>
      <w:r w:rsidR="00083522">
        <w:rPr>
          <w:rFonts w:hint="eastAsia"/>
          <w:noProof/>
          <w:color w:val="000000" w:themeColor="text1"/>
        </w:rPr>
        <w:t>8</w:t>
      </w:r>
      <w:r w:rsidRPr="00A00D38">
        <w:rPr>
          <w:rFonts w:hint="eastAsia"/>
          <w:noProof/>
          <w:color w:val="000000" w:themeColor="text1"/>
        </w:rPr>
        <w:t>。</w:t>
      </w:r>
    </w:p>
    <w:p w:rsidR="006C2670" w:rsidRPr="00A00D38" w:rsidRDefault="006C2670" w:rsidP="006C2670">
      <w:pPr>
        <w:pStyle w:val="a4"/>
        <w:ind w:left="482" w:hanging="482"/>
        <w:jc w:val="center"/>
        <w:rPr>
          <w:rFonts w:hAnsi="標楷體"/>
          <w:b/>
          <w:color w:val="000000" w:themeColor="text1"/>
        </w:rPr>
      </w:pPr>
      <w:bookmarkStart w:id="110" w:name="_Toc488227868"/>
      <w:bookmarkStart w:id="111" w:name="_Toc489383081"/>
      <w:bookmarkStart w:id="112" w:name="_Toc491711180"/>
      <w:r w:rsidRPr="00A00D38">
        <w:rPr>
          <w:rFonts w:hAnsi="標楷體"/>
          <w:noProof/>
          <w:color w:val="000000" w:themeColor="text1"/>
        </w:rPr>
        <w:lastRenderedPageBreak/>
        <w:drawing>
          <wp:anchor distT="0" distB="0" distL="114300" distR="114300" simplePos="0" relativeHeight="251665408" behindDoc="0" locked="0" layoutInCell="1" allowOverlap="1" wp14:anchorId="2ABAA7D9" wp14:editId="55C5F5D0">
            <wp:simplePos x="0" y="0"/>
            <wp:positionH relativeFrom="column">
              <wp:posOffset>-311785</wp:posOffset>
            </wp:positionH>
            <wp:positionV relativeFrom="paragraph">
              <wp:posOffset>375285</wp:posOffset>
            </wp:positionV>
            <wp:extent cx="6267600" cy="2682000"/>
            <wp:effectExtent l="0" t="0" r="0" b="4445"/>
            <wp:wrapSquare wrapText="bothSides"/>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t="7454"/>
                    <a:stretch/>
                  </pic:blipFill>
                  <pic:spPr bwMode="auto">
                    <a:xfrm>
                      <a:off x="0" y="0"/>
                      <a:ext cx="6267600" cy="268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10"/>
      <w:bookmarkEnd w:id="111"/>
      <w:bookmarkEnd w:id="112"/>
      <w:r w:rsidRPr="00A00D38">
        <w:rPr>
          <w:rFonts w:hAnsi="標楷體" w:hint="eastAsia"/>
          <w:b/>
          <w:color w:val="000000" w:themeColor="text1"/>
        </w:rPr>
        <w:t>105年外國學生就讀我國大專校院前5大學校及系所</w:t>
      </w:r>
    </w:p>
    <w:p w:rsidR="006C2670" w:rsidRPr="00A00D38" w:rsidRDefault="006C2670" w:rsidP="006C2670">
      <w:pPr>
        <w:pStyle w:val="af8"/>
        <w:spacing w:line="240" w:lineRule="exact"/>
        <w:ind w:leftChars="-150" w:left="-510"/>
        <w:rPr>
          <w:color w:val="000000" w:themeColor="text1"/>
          <w:sz w:val="24"/>
          <w:szCs w:val="24"/>
        </w:rPr>
      </w:pPr>
      <w:r w:rsidRPr="00A00D38">
        <w:rPr>
          <w:rFonts w:hint="eastAsia"/>
          <w:color w:val="000000" w:themeColor="text1"/>
          <w:sz w:val="24"/>
          <w:szCs w:val="24"/>
        </w:rPr>
        <w:t>資料來源：教育部查復資料。</w:t>
      </w:r>
    </w:p>
    <w:p w:rsidR="006C2670" w:rsidRPr="00A00D38" w:rsidRDefault="006C2670" w:rsidP="006C2670">
      <w:pPr>
        <w:pStyle w:val="af8"/>
        <w:spacing w:line="240" w:lineRule="exact"/>
        <w:ind w:leftChars="-150" w:left="-510"/>
        <w:rPr>
          <w:color w:val="000000" w:themeColor="text1"/>
          <w:sz w:val="24"/>
          <w:szCs w:val="24"/>
        </w:rPr>
      </w:pPr>
    </w:p>
    <w:p w:rsidR="006C2670" w:rsidRPr="00A00D38" w:rsidRDefault="006C2670" w:rsidP="006C2670">
      <w:pPr>
        <w:pStyle w:val="3"/>
        <w:rPr>
          <w:color w:val="000000" w:themeColor="text1"/>
        </w:rPr>
      </w:pPr>
      <w:bookmarkStart w:id="113" w:name="_Toc489383082"/>
      <w:bookmarkStart w:id="114" w:name="_Toc491711181"/>
      <w:bookmarkStart w:id="115" w:name="_Toc492371055"/>
      <w:bookmarkStart w:id="116" w:name="_Toc488227869"/>
      <w:bookmarkEnd w:id="83"/>
      <w:bookmarkEnd w:id="84"/>
      <w:r w:rsidRPr="00A00D38">
        <w:rPr>
          <w:rFonts w:hAnsi="標楷體" w:hint="eastAsia"/>
          <w:color w:val="000000" w:themeColor="text1"/>
        </w:rPr>
        <w:t>據教育部表示，</w:t>
      </w:r>
      <w:r w:rsidRPr="00A00D38">
        <w:rPr>
          <w:rFonts w:hint="eastAsia"/>
          <w:color w:val="000000" w:themeColor="text1"/>
        </w:rPr>
        <w:t>不同來源國之學生於學門領域及學習型態確實略有差別，例如來臺之日本及韓國學生多以研習華語文為主，因此該部106年提供該2國學生「華語文獎學金」名額較多，分別為12名及11名；馬來西亞學生以修習正式學位居多，研習華語文較少，該部提供該國優秀學生來臺攻讀學位之「臺灣獎學金」名額較多，「華語文獎學金」名額較少，以106年言，前者為35名，後者為3名，依此類推。另，海外聯合招生委員會每年均整理及分析海外學生選讀之熱門科系，該部亦請其鼓勵熱門之大學科系考慮增加名額，以利吸引更多海外學生來臺就讀。</w:t>
      </w:r>
      <w:bookmarkEnd w:id="113"/>
      <w:bookmarkEnd w:id="114"/>
      <w:bookmarkEnd w:id="115"/>
      <w:r w:rsidRPr="00A00D38">
        <w:rPr>
          <w:color w:val="000000" w:themeColor="text1"/>
        </w:rPr>
        <w:br/>
      </w:r>
    </w:p>
    <w:p w:rsidR="006C2670" w:rsidRPr="00A00D38" w:rsidRDefault="006C2670" w:rsidP="006C2670">
      <w:pPr>
        <w:pStyle w:val="3"/>
        <w:rPr>
          <w:rFonts w:hAnsi="標楷體"/>
          <w:color w:val="000000" w:themeColor="text1"/>
        </w:rPr>
      </w:pPr>
      <w:bookmarkStart w:id="117" w:name="_Toc489383083"/>
      <w:bookmarkStart w:id="118" w:name="_Toc491711182"/>
      <w:bookmarkStart w:id="119" w:name="_Toc492371056"/>
      <w:r w:rsidRPr="00A00D38">
        <w:rPr>
          <w:rFonts w:hAnsi="標楷體" w:hint="eastAsia"/>
          <w:noProof/>
          <w:color w:val="000000" w:themeColor="text1"/>
        </w:rPr>
        <w:t>承上，我國高等教育領域既逢「</w:t>
      </w:r>
      <w:r w:rsidRPr="00A00D38">
        <w:rPr>
          <w:rFonts w:ascii="Arial" w:cs="Arial"/>
          <w:color w:val="000000" w:themeColor="text1"/>
        </w:rPr>
        <w:t>邁向頂尖</w:t>
      </w:r>
      <w:r w:rsidRPr="00A00D38">
        <w:rPr>
          <w:rFonts w:hAnsi="標楷體"/>
          <w:color w:val="000000" w:themeColor="text1"/>
        </w:rPr>
        <w:t>大學計畫</w:t>
      </w:r>
      <w:r w:rsidRPr="00A00D38">
        <w:rPr>
          <w:rFonts w:hAnsi="標楷體" w:hint="eastAsia"/>
          <w:color w:val="000000" w:themeColor="text1"/>
        </w:rPr>
        <w:t>」</w:t>
      </w:r>
      <w:r w:rsidRPr="00A00D38">
        <w:rPr>
          <w:rFonts w:hAnsi="標楷體" w:hint="eastAsia"/>
          <w:noProof/>
          <w:color w:val="000000" w:themeColor="text1"/>
        </w:rPr>
        <w:t>、</w:t>
      </w:r>
      <w:r w:rsidRPr="00A00D38">
        <w:rPr>
          <w:rFonts w:hAnsi="標楷體" w:hint="eastAsia"/>
          <w:color w:val="000000" w:themeColor="text1"/>
        </w:rPr>
        <w:t>「獎勵大學教學卓越計畫」</w:t>
      </w:r>
      <w:r w:rsidRPr="00A00D38">
        <w:rPr>
          <w:rFonts w:hAnsi="標楷體" w:hint="eastAsia"/>
          <w:noProof/>
          <w:color w:val="000000" w:themeColor="text1"/>
        </w:rPr>
        <w:t>、「發展典範科技大學計畫」等數項重大計畫落日之際，且因應少子化衝擊退場轉型之議論不斷，</w:t>
      </w:r>
      <w:r w:rsidRPr="00A00D38">
        <w:rPr>
          <w:rFonts w:hAnsi="標楷體" w:hint="eastAsia"/>
          <w:color w:val="000000" w:themeColor="text1"/>
        </w:rPr>
        <w:t>高教之境外招生總體戰略允宜搭配國內高教總體發展藍圖，並於各校特色</w:t>
      </w:r>
      <w:r w:rsidRPr="00A00D38">
        <w:rPr>
          <w:rFonts w:hAnsi="標楷體" w:hint="eastAsia"/>
          <w:color w:val="000000" w:themeColor="text1"/>
        </w:rPr>
        <w:lastRenderedPageBreak/>
        <w:t>學門分類之基礎上，按各來源國之學習需求或待開發領域，予以區別研議，以發揮補充國內招生不足暨促進國際化之雙重功效。又，教育部分析指出，我國技專校院於「智慧電能與電動車」、「精密機械與光電科技」、「智慧生活」、「綠能科技」「農業生技」、「文創設計」、「數位資訊」、「餐飲觀光」及「健康醫護」等領域，仍具優勢，且該部刻正研議技專校院向下改制之法源及政策方向，境外學生之招收倘採向下紮根策略，似可通盤規劃。</w:t>
      </w:r>
      <w:bookmarkEnd w:id="116"/>
      <w:bookmarkEnd w:id="117"/>
      <w:r w:rsidRPr="00A00D38">
        <w:rPr>
          <w:rFonts w:hAnsi="標楷體" w:hint="eastAsia"/>
          <w:color w:val="000000" w:themeColor="text1"/>
        </w:rPr>
        <w:t>復以，本案諮詢專家學者意見同證，「華語文教育」與「技職教育」仍為我國高等教育國際競爭之利基，學者建議除可加強以此2項作為行銷招生之重點外，針對來臺學習華語及研修專業技術之學生，縱非具學位資格，仍應保障其良善學習環境，避免境外學生間差別對待過於明顯，或可因此強化我國高等教育之品牌特色。</w:t>
      </w:r>
      <w:bookmarkEnd w:id="118"/>
      <w:bookmarkEnd w:id="119"/>
      <w:r w:rsidRPr="00A00D38">
        <w:rPr>
          <w:rFonts w:hAnsi="標楷體"/>
          <w:color w:val="000000" w:themeColor="text1"/>
        </w:rPr>
        <w:br/>
      </w:r>
    </w:p>
    <w:p w:rsidR="006C2670" w:rsidRPr="00A00D38" w:rsidRDefault="006C2670" w:rsidP="006C2670">
      <w:pPr>
        <w:pStyle w:val="3"/>
        <w:rPr>
          <w:rFonts w:hAnsi="標楷體"/>
          <w:color w:val="000000" w:themeColor="text1"/>
        </w:rPr>
      </w:pPr>
      <w:bookmarkStart w:id="120" w:name="_Toc488227870"/>
      <w:bookmarkStart w:id="121" w:name="_Toc489383084"/>
      <w:bookmarkStart w:id="122" w:name="_Toc491711183"/>
      <w:bookmarkStart w:id="123" w:name="_Toc492371057"/>
      <w:r w:rsidRPr="00A00D38">
        <w:rPr>
          <w:rFonts w:hAnsi="標楷體" w:hint="eastAsia"/>
          <w:color w:val="000000" w:themeColor="text1"/>
        </w:rPr>
        <w:t>綜上，</w:t>
      </w:r>
      <w:bookmarkEnd w:id="120"/>
      <w:r w:rsidRPr="00A00D38">
        <w:rPr>
          <w:rFonts w:hAnsi="標楷體" w:hint="eastAsia"/>
          <w:color w:val="000000" w:themeColor="text1"/>
        </w:rPr>
        <w:t>大陸地區學生之來臺就讀，深受兩岸政治因素影響而波動，為穩健推展我國高教國際化，政府已調整招生發展方向，針對過去我國大專校院長年南向發展所累積之經驗、遭遇之問題，教育部允應正視，並借鏡各校招生實務經驗，俾據以研擬有效策略；另，境外學生之學門領域及學習型態，隨其來源國而有不同，除應區分各類學校定位與特色／優勢，針對個別國家發展差異化招生策略外，釐清我國高等教育國際競爭之利基，針對競爭優勢／特色研議有效策略，似已刻不容緩。</w:t>
      </w:r>
      <w:bookmarkEnd w:id="121"/>
      <w:bookmarkEnd w:id="122"/>
      <w:bookmarkEnd w:id="123"/>
    </w:p>
    <w:bookmarkEnd w:id="37"/>
    <w:bookmarkEnd w:id="38"/>
    <w:p w:rsidR="006C2670" w:rsidRPr="00A00D38" w:rsidRDefault="006C2670" w:rsidP="006C2670">
      <w:pPr>
        <w:pStyle w:val="2"/>
        <w:numPr>
          <w:ilvl w:val="0"/>
          <w:numId w:val="33"/>
        </w:numPr>
        <w:ind w:left="1020" w:hanging="680"/>
        <w:rPr>
          <w:b/>
          <w:color w:val="000000" w:themeColor="text1"/>
        </w:rPr>
      </w:pPr>
      <w:r w:rsidRPr="00A00D38">
        <w:rPr>
          <w:b/>
          <w:color w:val="000000" w:themeColor="text1"/>
        </w:rPr>
        <w:br w:type="page"/>
      </w:r>
      <w:bookmarkStart w:id="124" w:name="_Toc492371058"/>
      <w:r w:rsidRPr="00A00D38">
        <w:rPr>
          <w:rFonts w:hint="eastAsia"/>
          <w:b/>
          <w:color w:val="000000" w:themeColor="text1"/>
        </w:rPr>
        <w:lastRenderedPageBreak/>
        <w:t>英語授課為外國學生選擇就讀我國大專校院之重大考慮因素之一，教育部亦稱大學部全英語授課之不足肇致招收境外學生困境；惟該部對於英語授課現狀之掌握度猶嫌不足，允宜配合境外招生政策目標，針對需求殷切領域學門提出因應對策。</w:t>
      </w:r>
      <w:bookmarkEnd w:id="124"/>
    </w:p>
    <w:p w:rsidR="006C2670" w:rsidRPr="00A00D38" w:rsidRDefault="006C2670" w:rsidP="006C73D0">
      <w:pPr>
        <w:pStyle w:val="3"/>
        <w:numPr>
          <w:ilvl w:val="2"/>
          <w:numId w:val="65"/>
        </w:numPr>
        <w:rPr>
          <w:b/>
          <w:color w:val="000000" w:themeColor="text1"/>
          <w:szCs w:val="20"/>
        </w:rPr>
      </w:pPr>
      <w:bookmarkStart w:id="125" w:name="_Toc489383093"/>
      <w:bookmarkStart w:id="126" w:name="_Toc491711185"/>
      <w:bookmarkStart w:id="127" w:name="_Toc492371059"/>
      <w:bookmarkStart w:id="128" w:name="_Toc488227878"/>
      <w:r w:rsidRPr="00A00D38">
        <w:rPr>
          <w:rFonts w:hint="eastAsia"/>
          <w:color w:val="000000" w:themeColor="text1"/>
        </w:rPr>
        <w:t>OECD公布之「</w:t>
      </w:r>
      <w:r w:rsidRPr="00A00D38">
        <w:rPr>
          <w:color w:val="000000" w:themeColor="text1"/>
        </w:rPr>
        <w:t>Education at a Glance 2016</w:t>
      </w:r>
      <w:r w:rsidRPr="00A00D38">
        <w:rPr>
          <w:rFonts w:hint="eastAsia"/>
          <w:color w:val="000000" w:themeColor="text1"/>
        </w:rPr>
        <w:t>」</w:t>
      </w:r>
      <w:r w:rsidRPr="00A00D38">
        <w:rPr>
          <w:rStyle w:val="aff0"/>
          <w:color w:val="000000" w:themeColor="text1"/>
        </w:rPr>
        <w:footnoteReference w:id="8"/>
      </w:r>
      <w:r w:rsidRPr="00A00D38">
        <w:rPr>
          <w:rFonts w:hint="eastAsia"/>
          <w:color w:val="000000" w:themeColor="text1"/>
        </w:rPr>
        <w:t>報告，歸納全球留學生人數成長趨勢，指出影響國際學生選擇留學國家因素包括教學語言</w:t>
      </w:r>
      <w:r w:rsidRPr="00A00D38">
        <w:rPr>
          <w:rFonts w:ascii="Times New Roman" w:hAnsi="Times New Roman"/>
          <w:color w:val="000000" w:themeColor="text1"/>
        </w:rPr>
        <w:t>（</w:t>
      </w:r>
      <w:r w:rsidRPr="00A00D38">
        <w:rPr>
          <w:rFonts w:ascii="Times New Roman" w:hAnsi="Times New Roman"/>
          <w:color w:val="000000" w:themeColor="text1"/>
        </w:rPr>
        <w:t>Language of instruction</w:t>
      </w:r>
      <w:r w:rsidRPr="00A00D38">
        <w:rPr>
          <w:rFonts w:ascii="Times New Roman" w:hAnsi="Times New Roman"/>
          <w:color w:val="000000" w:themeColor="text1"/>
        </w:rPr>
        <w:t>）、教育品質</w:t>
      </w:r>
      <w:r w:rsidRPr="00A00D38">
        <w:rPr>
          <w:rFonts w:ascii="Times New Roman" w:hAnsi="Times New Roman"/>
          <w:color w:val="000000" w:themeColor="text1"/>
        </w:rPr>
        <w:t>(Qaulity of programmes)</w:t>
      </w:r>
      <w:r w:rsidRPr="00A00D38">
        <w:rPr>
          <w:rFonts w:ascii="Times New Roman" w:hAnsi="Times New Roman"/>
          <w:color w:val="000000" w:themeColor="text1"/>
        </w:rPr>
        <w:t>、學費</w:t>
      </w:r>
      <w:r w:rsidRPr="00A00D38">
        <w:rPr>
          <w:rFonts w:ascii="Times New Roman" w:hAnsi="Times New Roman"/>
          <w:color w:val="000000" w:themeColor="text1"/>
        </w:rPr>
        <w:t>(Tuition fees)</w:t>
      </w:r>
      <w:r w:rsidRPr="00A00D38">
        <w:rPr>
          <w:rFonts w:ascii="Times New Roman" w:hAnsi="Times New Roman"/>
          <w:color w:val="000000" w:themeColor="text1"/>
        </w:rPr>
        <w:t>、移民政策</w:t>
      </w:r>
      <w:r w:rsidRPr="00A00D38">
        <w:rPr>
          <w:rFonts w:ascii="Times New Roman" w:hAnsi="Times New Roman"/>
          <w:color w:val="000000" w:themeColor="text1"/>
        </w:rPr>
        <w:t>(Immigration policy)</w:t>
      </w:r>
      <w:r w:rsidRPr="00A00D38">
        <w:rPr>
          <w:rFonts w:ascii="Times New Roman" w:hAnsi="Times New Roman"/>
          <w:color w:val="000000" w:themeColor="text1"/>
        </w:rPr>
        <w:t>等。</w:t>
      </w:r>
      <w:r w:rsidRPr="00A00D38">
        <w:rPr>
          <w:rFonts w:ascii="Times New Roman" w:hAnsi="Times New Roman"/>
          <w:color w:val="000000" w:themeColor="text1"/>
        </w:rPr>
        <w:t>OECD</w:t>
      </w:r>
      <w:r w:rsidRPr="00A00D38">
        <w:rPr>
          <w:rFonts w:hint="eastAsia"/>
          <w:color w:val="000000" w:themeColor="text1"/>
        </w:rPr>
        <w:t>國家中，國際學生占本國學生比率的前五名分別為澳洲、紐西蘭、南非、英國及美國，反映出各國逐漸將英語視為全球化的語言。該報告並指出，許多學生至英語為母語之國家求學，主要原因係擬提升英語能力。此外，也有越來越多非英語系國家在高等教育機構開始提供以英語教學之學程，這些對於國際學生更具吸引力。教育部查復資料亦指，</w:t>
      </w:r>
      <w:r w:rsidRPr="00A00D38">
        <w:rPr>
          <w:rFonts w:hAnsi="標楷體" w:hint="eastAsia"/>
          <w:color w:val="000000" w:themeColor="text1"/>
        </w:rPr>
        <w:t>外國學生英語授課需求不容忽視，亦為渠等選擇就讀學校時最大考量因素之一。</w:t>
      </w:r>
      <w:bookmarkEnd w:id="125"/>
      <w:bookmarkEnd w:id="126"/>
      <w:bookmarkEnd w:id="127"/>
    </w:p>
    <w:p w:rsidR="006C2670" w:rsidRPr="00A00D38" w:rsidRDefault="006C2670" w:rsidP="006C2670">
      <w:pPr>
        <w:pStyle w:val="3"/>
        <w:numPr>
          <w:ilvl w:val="0"/>
          <w:numId w:val="0"/>
        </w:numPr>
        <w:ind w:left="1391"/>
        <w:rPr>
          <w:b/>
          <w:color w:val="000000" w:themeColor="text1"/>
          <w:szCs w:val="20"/>
        </w:rPr>
      </w:pPr>
    </w:p>
    <w:p w:rsidR="006C2670" w:rsidRPr="00A00D38" w:rsidRDefault="006C2670" w:rsidP="006C2670">
      <w:pPr>
        <w:pStyle w:val="3"/>
        <w:rPr>
          <w:b/>
          <w:color w:val="000000" w:themeColor="text1"/>
          <w:szCs w:val="20"/>
        </w:rPr>
      </w:pPr>
      <w:bookmarkStart w:id="129" w:name="_Toc489383094"/>
      <w:bookmarkStart w:id="130" w:name="_Toc491711186"/>
      <w:bookmarkStart w:id="131" w:name="_Toc492371060"/>
      <w:r w:rsidRPr="00A00D38">
        <w:rPr>
          <w:rFonts w:hint="eastAsia"/>
          <w:color w:val="000000" w:themeColor="text1"/>
        </w:rPr>
        <w:t>為改善大學校園國際環境、增進學生國際視野、英語能力，以強化國內大學及學生之國際競爭力，教育部自100年起推動「教育部補助大學校院精進全英語學位學制班別計畫」；此外，一般大學得依「教育部補助獎勵大學教學卓越計畫及區域教學資源中心計畫實施要點」第4點第7款</w:t>
      </w:r>
      <w:r w:rsidRPr="00A00D38">
        <w:rPr>
          <w:rStyle w:val="aff0"/>
          <w:color w:val="000000" w:themeColor="text1"/>
        </w:rPr>
        <w:footnoteReference w:id="9"/>
      </w:r>
      <w:r w:rsidRPr="00A00D38">
        <w:rPr>
          <w:rFonts w:hint="eastAsia"/>
          <w:color w:val="000000" w:themeColor="text1"/>
        </w:rPr>
        <w:t>、科技大學得依「教</w:t>
      </w:r>
      <w:r w:rsidRPr="00A00D38">
        <w:rPr>
          <w:rFonts w:hint="eastAsia"/>
          <w:color w:val="000000" w:themeColor="text1"/>
        </w:rPr>
        <w:lastRenderedPageBreak/>
        <w:t>育部獎勵科技大學及技術學院教學卓越計畫要點」第9點第9款</w:t>
      </w:r>
      <w:r w:rsidRPr="00A00D38">
        <w:rPr>
          <w:rStyle w:val="aff0"/>
          <w:color w:val="000000" w:themeColor="text1"/>
        </w:rPr>
        <w:footnoteReference w:id="10"/>
      </w:r>
      <w:r w:rsidRPr="00A00D38">
        <w:rPr>
          <w:rFonts w:hint="eastAsia"/>
          <w:color w:val="000000" w:themeColor="text1"/>
        </w:rPr>
        <w:t>規定，辦理強化學生就業競爭力、提升教師創新教學及實務教學或外語教學之專業知能之出國計畫。</w:t>
      </w:r>
      <w:bookmarkEnd w:id="128"/>
      <w:bookmarkEnd w:id="129"/>
      <w:bookmarkEnd w:id="130"/>
      <w:bookmarkEnd w:id="131"/>
      <w:r w:rsidRPr="00A00D38">
        <w:rPr>
          <w:color w:val="000000" w:themeColor="text1"/>
        </w:rPr>
        <w:br/>
      </w:r>
    </w:p>
    <w:p w:rsidR="006C2670" w:rsidRPr="00A00D38" w:rsidRDefault="006C2670" w:rsidP="006C2670">
      <w:pPr>
        <w:pStyle w:val="3"/>
        <w:rPr>
          <w:rFonts w:hAnsi="標楷體"/>
          <w:b/>
          <w:color w:val="000000" w:themeColor="text1"/>
          <w:szCs w:val="20"/>
        </w:rPr>
      </w:pPr>
      <w:bookmarkStart w:id="132" w:name="_Toc488227879"/>
      <w:bookmarkStart w:id="133" w:name="_Toc489383095"/>
      <w:bookmarkStart w:id="134" w:name="_Toc491711187"/>
      <w:bookmarkStart w:id="135" w:name="_Toc492371061"/>
      <w:r w:rsidRPr="00A00D38">
        <w:rPr>
          <w:rFonts w:hAnsi="標楷體" w:hint="eastAsia"/>
          <w:color w:val="000000" w:themeColor="text1"/>
        </w:rPr>
        <w:t>教育部表示，經上開計畫措施，「100至105學年度大專校院內修讀學位之外國學生總人數自1萬59人提升至1萬7,788人，總人數成長率約77％；足見英語授課課程對於境外生之招生能量有相當助益」等語。惟據教育部針對我國招收境外學生進行SWOT分析指出，目前我國大專校院大學部全英語授課學程不足，為主要待改進事項之一，顯示目前大專校院國際化課程內涵，仍有改善空間。</w:t>
      </w:r>
      <w:bookmarkEnd w:id="132"/>
      <w:bookmarkEnd w:id="133"/>
      <w:bookmarkEnd w:id="134"/>
      <w:bookmarkEnd w:id="135"/>
      <w:r w:rsidRPr="00A00D38">
        <w:rPr>
          <w:rFonts w:hAnsi="標楷體"/>
          <w:color w:val="000000" w:themeColor="text1"/>
        </w:rPr>
        <w:br/>
      </w:r>
    </w:p>
    <w:p w:rsidR="006C2670" w:rsidRPr="00A00D38" w:rsidRDefault="006C2670" w:rsidP="006C2670">
      <w:pPr>
        <w:pStyle w:val="3"/>
        <w:rPr>
          <w:rFonts w:hAnsi="標楷體"/>
          <w:color w:val="000000" w:themeColor="text1"/>
        </w:rPr>
      </w:pPr>
      <w:bookmarkStart w:id="136" w:name="_Toc489383097"/>
      <w:bookmarkStart w:id="137" w:name="_Toc491711188"/>
      <w:bookmarkStart w:id="138" w:name="_Toc492371062"/>
      <w:bookmarkStart w:id="139" w:name="_Toc488227880"/>
      <w:bookmarkStart w:id="140" w:name="_Toc489383096"/>
      <w:r w:rsidRPr="00A00D38">
        <w:rPr>
          <w:rFonts w:hint="eastAsia"/>
          <w:color w:val="000000" w:themeColor="text1"/>
        </w:rPr>
        <w:t>另按教育部查復，目前</w:t>
      </w:r>
      <w:r w:rsidRPr="00A00D38">
        <w:rPr>
          <w:rFonts w:hAnsi="標楷體" w:hint="eastAsia"/>
          <w:color w:val="000000" w:themeColor="text1"/>
        </w:rPr>
        <w:t>共有5所大學校院成立國際學院或全學院採全英語授課，包含銘傳大學、淡江大學蘭陽校區、義守大學、亞洲大學及元智大學管理學院。</w:t>
      </w:r>
      <w:r w:rsidRPr="00A00D38">
        <w:rPr>
          <w:rFonts w:hint="eastAsia"/>
          <w:color w:val="000000" w:themeColor="text1"/>
        </w:rPr>
        <w:t>101學年度至104學年度大學校院開設全英語學位課程</w:t>
      </w:r>
      <w:bookmarkEnd w:id="136"/>
      <w:r w:rsidRPr="00A00D38">
        <w:rPr>
          <w:rFonts w:hint="eastAsia"/>
          <w:color w:val="000000" w:themeColor="text1"/>
        </w:rPr>
        <w:t>辦理情形中，</w:t>
      </w:r>
      <w:r w:rsidRPr="00A00D38">
        <w:rPr>
          <w:rFonts w:hAnsi="標楷體" w:hint="eastAsia"/>
          <w:color w:val="000000" w:themeColor="text1"/>
        </w:rPr>
        <w:t>以104學年度全英語授課學程之學生觀之，國內生與國外生人數之比例為54：46，</w:t>
      </w:r>
      <w:r w:rsidRPr="00A00D38">
        <w:rPr>
          <w:rFonts w:hint="eastAsia"/>
          <w:color w:val="000000" w:themeColor="text1"/>
        </w:rPr>
        <w:t>本國授課教師人數與外國授課教師人數比例</w:t>
      </w:r>
      <w:r w:rsidRPr="00A00D38">
        <w:rPr>
          <w:rFonts w:hAnsi="標楷體" w:hint="eastAsia"/>
          <w:color w:val="000000" w:themeColor="text1"/>
        </w:rPr>
        <w:t>為</w:t>
      </w:r>
      <w:r w:rsidRPr="00A00D38">
        <w:rPr>
          <w:rFonts w:hint="eastAsia"/>
          <w:color w:val="000000" w:themeColor="text1"/>
        </w:rPr>
        <w:t>93：7（詳如下表</w:t>
      </w:r>
      <w:r w:rsidR="00083522">
        <w:rPr>
          <w:rFonts w:hint="eastAsia"/>
          <w:color w:val="000000" w:themeColor="text1"/>
        </w:rPr>
        <w:t>9</w:t>
      </w:r>
      <w:r w:rsidR="00B12460" w:rsidRPr="00A00D38">
        <w:rPr>
          <w:rFonts w:hint="eastAsia"/>
          <w:color w:val="000000" w:themeColor="text1"/>
        </w:rPr>
        <w:t>、</w:t>
      </w:r>
      <w:r w:rsidR="00083522">
        <w:rPr>
          <w:rFonts w:hint="eastAsia"/>
          <w:color w:val="000000" w:themeColor="text1"/>
        </w:rPr>
        <w:t>10</w:t>
      </w:r>
      <w:r w:rsidRPr="00A00D38">
        <w:rPr>
          <w:rFonts w:hint="eastAsia"/>
          <w:color w:val="000000" w:themeColor="text1"/>
        </w:rPr>
        <w:t>）</w:t>
      </w:r>
      <w:r w:rsidRPr="00A00D38">
        <w:rPr>
          <w:rFonts w:hAnsi="標楷體" w:hint="eastAsia"/>
          <w:color w:val="000000" w:themeColor="text1"/>
        </w:rPr>
        <w:t>。</w:t>
      </w:r>
      <w:bookmarkEnd w:id="137"/>
      <w:bookmarkEnd w:id="138"/>
    </w:p>
    <w:p w:rsidR="006C2670" w:rsidRPr="00A00D38" w:rsidRDefault="006C2670" w:rsidP="006C2670">
      <w:pPr>
        <w:pStyle w:val="a4"/>
        <w:ind w:left="482" w:hanging="482"/>
        <w:jc w:val="center"/>
        <w:rPr>
          <w:b/>
          <w:color w:val="000000" w:themeColor="text1"/>
        </w:rPr>
      </w:pPr>
      <w:r w:rsidRPr="00A00D38">
        <w:rPr>
          <w:rFonts w:hint="eastAsia"/>
          <w:b/>
          <w:color w:val="000000" w:themeColor="text1"/>
        </w:rPr>
        <w:lastRenderedPageBreak/>
        <w:t>我國大專校院101-104學年度</w:t>
      </w:r>
      <w:r w:rsidRPr="00A00D38">
        <w:rPr>
          <w:rFonts w:hAnsi="標楷體" w:hint="eastAsia"/>
          <w:b/>
          <w:color w:val="000000" w:themeColor="text1"/>
        </w:rPr>
        <w:t>全英語學位學程辦理概況</w:t>
      </w:r>
    </w:p>
    <w:tbl>
      <w:tblPr>
        <w:tblStyle w:val="af9"/>
        <w:tblW w:w="9072" w:type="dxa"/>
        <w:tblInd w:w="108" w:type="dxa"/>
        <w:tblCellMar>
          <w:left w:w="28" w:type="dxa"/>
          <w:right w:w="28" w:type="dxa"/>
        </w:tblCellMar>
        <w:tblLook w:val="04A0" w:firstRow="1" w:lastRow="0" w:firstColumn="1" w:lastColumn="0" w:noHBand="0" w:noVBand="1"/>
      </w:tblPr>
      <w:tblGrid>
        <w:gridCol w:w="709"/>
        <w:gridCol w:w="638"/>
        <w:gridCol w:w="638"/>
        <w:gridCol w:w="814"/>
        <w:gridCol w:w="603"/>
        <w:gridCol w:w="791"/>
        <w:gridCol w:w="627"/>
        <w:gridCol w:w="767"/>
        <w:gridCol w:w="650"/>
        <w:gridCol w:w="744"/>
        <w:gridCol w:w="674"/>
        <w:gridCol w:w="720"/>
        <w:gridCol w:w="697"/>
      </w:tblGrid>
      <w:tr w:rsidR="00A00D38" w:rsidRPr="00A00D38" w:rsidTr="00021F7F">
        <w:trPr>
          <w:trHeight w:val="810"/>
          <w:tblHeader/>
        </w:trPr>
        <w:tc>
          <w:tcPr>
            <w:tcW w:w="709" w:type="dxa"/>
            <w:vMerge w:val="restart"/>
            <w:shd w:val="clear" w:color="auto" w:fill="FDE9D9" w:themeFill="accent6" w:themeFillTint="33"/>
            <w:textDirection w:val="tbRlV"/>
            <w:vAlign w:val="center"/>
          </w:tcPr>
          <w:p w:rsidR="006C2670" w:rsidRPr="00A00D38" w:rsidRDefault="006C2670" w:rsidP="00021F7F">
            <w:pPr>
              <w:ind w:left="113" w:right="113"/>
              <w:jc w:val="center"/>
              <w:outlineLvl w:val="0"/>
              <w:rPr>
                <w:rFonts w:hAnsi="標楷體"/>
                <w:b/>
                <w:color w:val="000000" w:themeColor="text1"/>
                <w:spacing w:val="-20"/>
                <w:sz w:val="28"/>
                <w:szCs w:val="28"/>
              </w:rPr>
            </w:pPr>
            <w:r w:rsidRPr="00A00D38">
              <w:rPr>
                <w:rFonts w:hAnsi="標楷體" w:hint="eastAsia"/>
                <w:b/>
                <w:color w:val="000000" w:themeColor="text1"/>
                <w:spacing w:val="-20"/>
                <w:sz w:val="28"/>
                <w:szCs w:val="28"/>
              </w:rPr>
              <w:t>學年度</w:t>
            </w:r>
          </w:p>
        </w:tc>
        <w:tc>
          <w:tcPr>
            <w:tcW w:w="1276" w:type="dxa"/>
            <w:gridSpan w:val="2"/>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8"/>
                <w:szCs w:val="28"/>
              </w:rPr>
            </w:pPr>
            <w:r w:rsidRPr="00A00D38">
              <w:rPr>
                <w:rFonts w:hAnsi="標楷體" w:hint="eastAsia"/>
                <w:b/>
                <w:color w:val="000000" w:themeColor="text1"/>
                <w:spacing w:val="-20"/>
                <w:sz w:val="28"/>
                <w:szCs w:val="28"/>
              </w:rPr>
              <w:t>校數</w:t>
            </w:r>
          </w:p>
        </w:tc>
        <w:tc>
          <w:tcPr>
            <w:tcW w:w="1417" w:type="dxa"/>
            <w:gridSpan w:val="2"/>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8"/>
                <w:szCs w:val="28"/>
              </w:rPr>
            </w:pPr>
            <w:r w:rsidRPr="00A00D38">
              <w:rPr>
                <w:rFonts w:hAnsi="標楷體" w:hint="eastAsia"/>
                <w:b/>
                <w:color w:val="000000" w:themeColor="text1"/>
                <w:spacing w:val="-20"/>
                <w:sz w:val="28"/>
                <w:szCs w:val="28"/>
              </w:rPr>
              <w:t>公立校數</w:t>
            </w:r>
          </w:p>
        </w:tc>
        <w:tc>
          <w:tcPr>
            <w:tcW w:w="1418" w:type="dxa"/>
            <w:gridSpan w:val="2"/>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8"/>
                <w:szCs w:val="28"/>
              </w:rPr>
            </w:pPr>
            <w:r w:rsidRPr="00A00D38">
              <w:rPr>
                <w:rFonts w:hAnsi="標楷體" w:hint="eastAsia"/>
                <w:b/>
                <w:color w:val="000000" w:themeColor="text1"/>
                <w:spacing w:val="-20"/>
                <w:sz w:val="28"/>
                <w:szCs w:val="28"/>
              </w:rPr>
              <w:t>私立校數</w:t>
            </w:r>
          </w:p>
        </w:tc>
        <w:tc>
          <w:tcPr>
            <w:tcW w:w="1417" w:type="dxa"/>
            <w:gridSpan w:val="2"/>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8"/>
                <w:szCs w:val="28"/>
              </w:rPr>
            </w:pPr>
            <w:r w:rsidRPr="00A00D38">
              <w:rPr>
                <w:rFonts w:hAnsi="標楷體" w:hint="eastAsia"/>
                <w:b/>
                <w:color w:val="000000" w:themeColor="text1"/>
                <w:spacing w:val="-20"/>
                <w:sz w:val="28"/>
                <w:szCs w:val="28"/>
              </w:rPr>
              <w:t>專科班數</w:t>
            </w:r>
          </w:p>
        </w:tc>
        <w:tc>
          <w:tcPr>
            <w:tcW w:w="1418" w:type="dxa"/>
            <w:gridSpan w:val="2"/>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8"/>
                <w:szCs w:val="28"/>
              </w:rPr>
            </w:pPr>
            <w:r w:rsidRPr="00A00D38">
              <w:rPr>
                <w:rFonts w:hAnsi="標楷體" w:hint="eastAsia"/>
                <w:b/>
                <w:color w:val="000000" w:themeColor="text1"/>
                <w:spacing w:val="-20"/>
                <w:sz w:val="28"/>
                <w:szCs w:val="28"/>
              </w:rPr>
              <w:t>學士班數</w:t>
            </w:r>
          </w:p>
        </w:tc>
        <w:tc>
          <w:tcPr>
            <w:tcW w:w="1417" w:type="dxa"/>
            <w:gridSpan w:val="2"/>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8"/>
                <w:szCs w:val="28"/>
              </w:rPr>
            </w:pPr>
            <w:r w:rsidRPr="00A00D38">
              <w:rPr>
                <w:rFonts w:hAnsi="標楷體" w:hint="eastAsia"/>
                <w:b/>
                <w:color w:val="000000" w:themeColor="text1"/>
                <w:spacing w:val="-20"/>
                <w:sz w:val="28"/>
                <w:szCs w:val="28"/>
              </w:rPr>
              <w:t>碩博班數</w:t>
            </w:r>
          </w:p>
        </w:tc>
      </w:tr>
      <w:tr w:rsidR="00A00D38" w:rsidRPr="00A00D38" w:rsidTr="00021F7F">
        <w:trPr>
          <w:trHeight w:val="144"/>
          <w:tblHeader/>
        </w:trPr>
        <w:tc>
          <w:tcPr>
            <w:tcW w:w="709" w:type="dxa"/>
            <w:vMerge/>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8"/>
                <w:szCs w:val="28"/>
              </w:rPr>
            </w:pPr>
          </w:p>
        </w:tc>
        <w:tc>
          <w:tcPr>
            <w:tcW w:w="638"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一般</w:t>
            </w:r>
          </w:p>
        </w:tc>
        <w:tc>
          <w:tcPr>
            <w:tcW w:w="638"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技專</w:t>
            </w:r>
          </w:p>
        </w:tc>
        <w:tc>
          <w:tcPr>
            <w:tcW w:w="814"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一般</w:t>
            </w:r>
          </w:p>
        </w:tc>
        <w:tc>
          <w:tcPr>
            <w:tcW w:w="603"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技專</w:t>
            </w:r>
          </w:p>
        </w:tc>
        <w:tc>
          <w:tcPr>
            <w:tcW w:w="791"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一般</w:t>
            </w:r>
          </w:p>
        </w:tc>
        <w:tc>
          <w:tcPr>
            <w:tcW w:w="627"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技專</w:t>
            </w:r>
          </w:p>
        </w:tc>
        <w:tc>
          <w:tcPr>
            <w:tcW w:w="767"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一般</w:t>
            </w:r>
          </w:p>
        </w:tc>
        <w:tc>
          <w:tcPr>
            <w:tcW w:w="650"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技專</w:t>
            </w:r>
          </w:p>
        </w:tc>
        <w:tc>
          <w:tcPr>
            <w:tcW w:w="744"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一般</w:t>
            </w:r>
          </w:p>
        </w:tc>
        <w:tc>
          <w:tcPr>
            <w:tcW w:w="674"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技專</w:t>
            </w:r>
          </w:p>
        </w:tc>
        <w:tc>
          <w:tcPr>
            <w:tcW w:w="720"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一般</w:t>
            </w:r>
          </w:p>
        </w:tc>
        <w:tc>
          <w:tcPr>
            <w:tcW w:w="697" w:type="dxa"/>
            <w:shd w:val="clear" w:color="auto" w:fill="FDE9D9" w:themeFill="accent6" w:themeFillTint="33"/>
            <w:vAlign w:val="center"/>
          </w:tcPr>
          <w:p w:rsidR="006C2670" w:rsidRPr="00A00D38" w:rsidRDefault="006C2670" w:rsidP="00021F7F">
            <w:pPr>
              <w:jc w:val="center"/>
              <w:outlineLvl w:val="0"/>
              <w:rPr>
                <w:rFonts w:hAnsi="標楷體"/>
                <w:b/>
                <w:color w:val="000000" w:themeColor="text1"/>
                <w:spacing w:val="-20"/>
                <w:sz w:val="24"/>
                <w:szCs w:val="28"/>
              </w:rPr>
            </w:pPr>
            <w:r w:rsidRPr="00A00D38">
              <w:rPr>
                <w:rFonts w:hAnsi="標楷體" w:hint="eastAsia"/>
                <w:b/>
                <w:color w:val="000000" w:themeColor="text1"/>
                <w:spacing w:val="-20"/>
                <w:sz w:val="24"/>
                <w:szCs w:val="28"/>
              </w:rPr>
              <w:t>技專</w:t>
            </w:r>
          </w:p>
        </w:tc>
      </w:tr>
      <w:tr w:rsidR="00A00D38" w:rsidRPr="00A00D38" w:rsidTr="00021F7F">
        <w:tc>
          <w:tcPr>
            <w:tcW w:w="709" w:type="dxa"/>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101</w:t>
            </w:r>
          </w:p>
        </w:tc>
        <w:tc>
          <w:tcPr>
            <w:tcW w:w="638"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30</w:t>
            </w:r>
          </w:p>
        </w:tc>
        <w:tc>
          <w:tcPr>
            <w:tcW w:w="638"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18</w:t>
            </w:r>
          </w:p>
        </w:tc>
        <w:tc>
          <w:tcPr>
            <w:tcW w:w="814"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16</w:t>
            </w:r>
          </w:p>
        </w:tc>
        <w:tc>
          <w:tcPr>
            <w:tcW w:w="603"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8</w:t>
            </w:r>
          </w:p>
        </w:tc>
        <w:tc>
          <w:tcPr>
            <w:tcW w:w="791"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14</w:t>
            </w:r>
          </w:p>
        </w:tc>
        <w:tc>
          <w:tcPr>
            <w:tcW w:w="627"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10</w:t>
            </w:r>
          </w:p>
        </w:tc>
        <w:tc>
          <w:tcPr>
            <w:tcW w:w="767"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w:t>
            </w:r>
          </w:p>
        </w:tc>
        <w:tc>
          <w:tcPr>
            <w:tcW w:w="650"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hint="eastAsia"/>
                <w:color w:val="000000" w:themeColor="text1"/>
                <w:spacing w:val="-20"/>
                <w:sz w:val="28"/>
                <w:szCs w:val="28"/>
              </w:rPr>
              <w:t>-</w:t>
            </w:r>
          </w:p>
        </w:tc>
        <w:tc>
          <w:tcPr>
            <w:tcW w:w="744"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24</w:t>
            </w:r>
          </w:p>
        </w:tc>
        <w:tc>
          <w:tcPr>
            <w:tcW w:w="674"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w:t>
            </w:r>
          </w:p>
        </w:tc>
        <w:tc>
          <w:tcPr>
            <w:tcW w:w="720"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51</w:t>
            </w:r>
          </w:p>
        </w:tc>
        <w:tc>
          <w:tcPr>
            <w:tcW w:w="697"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w:t>
            </w:r>
          </w:p>
        </w:tc>
      </w:tr>
      <w:tr w:rsidR="00A00D38" w:rsidRPr="00A00D38" w:rsidTr="00021F7F">
        <w:tc>
          <w:tcPr>
            <w:tcW w:w="709" w:type="dxa"/>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102</w:t>
            </w:r>
          </w:p>
        </w:tc>
        <w:tc>
          <w:tcPr>
            <w:tcW w:w="638"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37</w:t>
            </w:r>
          </w:p>
        </w:tc>
        <w:tc>
          <w:tcPr>
            <w:tcW w:w="638"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15</w:t>
            </w:r>
          </w:p>
        </w:tc>
        <w:tc>
          <w:tcPr>
            <w:tcW w:w="814"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18</w:t>
            </w:r>
          </w:p>
        </w:tc>
        <w:tc>
          <w:tcPr>
            <w:tcW w:w="603"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8</w:t>
            </w:r>
          </w:p>
        </w:tc>
        <w:tc>
          <w:tcPr>
            <w:tcW w:w="791"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19</w:t>
            </w:r>
          </w:p>
        </w:tc>
        <w:tc>
          <w:tcPr>
            <w:tcW w:w="627"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7</w:t>
            </w:r>
          </w:p>
        </w:tc>
        <w:tc>
          <w:tcPr>
            <w:tcW w:w="767"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w:t>
            </w:r>
          </w:p>
        </w:tc>
        <w:tc>
          <w:tcPr>
            <w:tcW w:w="650"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hint="eastAsia"/>
                <w:color w:val="000000" w:themeColor="text1"/>
                <w:spacing w:val="-20"/>
                <w:sz w:val="28"/>
                <w:szCs w:val="28"/>
              </w:rPr>
              <w:t>-</w:t>
            </w:r>
          </w:p>
        </w:tc>
        <w:tc>
          <w:tcPr>
            <w:tcW w:w="744"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31</w:t>
            </w:r>
          </w:p>
        </w:tc>
        <w:tc>
          <w:tcPr>
            <w:tcW w:w="674"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15</w:t>
            </w:r>
          </w:p>
        </w:tc>
        <w:tc>
          <w:tcPr>
            <w:tcW w:w="720"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84</w:t>
            </w:r>
          </w:p>
        </w:tc>
        <w:tc>
          <w:tcPr>
            <w:tcW w:w="697"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45</w:t>
            </w:r>
          </w:p>
        </w:tc>
      </w:tr>
      <w:tr w:rsidR="00A00D38" w:rsidRPr="00A00D38" w:rsidTr="00021F7F">
        <w:tc>
          <w:tcPr>
            <w:tcW w:w="709" w:type="dxa"/>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103</w:t>
            </w:r>
          </w:p>
        </w:tc>
        <w:tc>
          <w:tcPr>
            <w:tcW w:w="638"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40</w:t>
            </w:r>
          </w:p>
        </w:tc>
        <w:tc>
          <w:tcPr>
            <w:tcW w:w="638"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14</w:t>
            </w:r>
          </w:p>
        </w:tc>
        <w:tc>
          <w:tcPr>
            <w:tcW w:w="814"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19</w:t>
            </w:r>
          </w:p>
        </w:tc>
        <w:tc>
          <w:tcPr>
            <w:tcW w:w="603"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7</w:t>
            </w:r>
          </w:p>
        </w:tc>
        <w:tc>
          <w:tcPr>
            <w:tcW w:w="791"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21</w:t>
            </w:r>
          </w:p>
        </w:tc>
        <w:tc>
          <w:tcPr>
            <w:tcW w:w="627"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7</w:t>
            </w:r>
          </w:p>
        </w:tc>
        <w:tc>
          <w:tcPr>
            <w:tcW w:w="767"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w:t>
            </w:r>
          </w:p>
        </w:tc>
        <w:tc>
          <w:tcPr>
            <w:tcW w:w="650"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hint="eastAsia"/>
                <w:color w:val="000000" w:themeColor="text1"/>
                <w:spacing w:val="-20"/>
                <w:sz w:val="28"/>
                <w:szCs w:val="28"/>
              </w:rPr>
              <w:t>2</w:t>
            </w:r>
          </w:p>
        </w:tc>
        <w:tc>
          <w:tcPr>
            <w:tcW w:w="744"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28</w:t>
            </w:r>
          </w:p>
        </w:tc>
        <w:tc>
          <w:tcPr>
            <w:tcW w:w="674"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14</w:t>
            </w:r>
          </w:p>
        </w:tc>
        <w:tc>
          <w:tcPr>
            <w:tcW w:w="720"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95</w:t>
            </w:r>
          </w:p>
        </w:tc>
        <w:tc>
          <w:tcPr>
            <w:tcW w:w="697"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55</w:t>
            </w:r>
          </w:p>
        </w:tc>
      </w:tr>
      <w:tr w:rsidR="00A00D38" w:rsidRPr="00A00D38" w:rsidTr="00021F7F">
        <w:tc>
          <w:tcPr>
            <w:tcW w:w="709" w:type="dxa"/>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104</w:t>
            </w:r>
          </w:p>
        </w:tc>
        <w:tc>
          <w:tcPr>
            <w:tcW w:w="638"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41</w:t>
            </w:r>
          </w:p>
        </w:tc>
        <w:tc>
          <w:tcPr>
            <w:tcW w:w="638"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14</w:t>
            </w:r>
          </w:p>
        </w:tc>
        <w:tc>
          <w:tcPr>
            <w:tcW w:w="814"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20</w:t>
            </w:r>
          </w:p>
        </w:tc>
        <w:tc>
          <w:tcPr>
            <w:tcW w:w="603"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7</w:t>
            </w:r>
          </w:p>
        </w:tc>
        <w:tc>
          <w:tcPr>
            <w:tcW w:w="791"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21</w:t>
            </w:r>
          </w:p>
        </w:tc>
        <w:tc>
          <w:tcPr>
            <w:tcW w:w="627"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7</w:t>
            </w:r>
          </w:p>
        </w:tc>
        <w:tc>
          <w:tcPr>
            <w:tcW w:w="767"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w:t>
            </w:r>
          </w:p>
        </w:tc>
        <w:tc>
          <w:tcPr>
            <w:tcW w:w="650"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hint="eastAsia"/>
                <w:color w:val="000000" w:themeColor="text1"/>
                <w:spacing w:val="-20"/>
                <w:sz w:val="28"/>
                <w:szCs w:val="28"/>
              </w:rPr>
              <w:t>1</w:t>
            </w:r>
          </w:p>
        </w:tc>
        <w:tc>
          <w:tcPr>
            <w:tcW w:w="744"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35</w:t>
            </w:r>
          </w:p>
        </w:tc>
        <w:tc>
          <w:tcPr>
            <w:tcW w:w="674"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18</w:t>
            </w:r>
          </w:p>
        </w:tc>
        <w:tc>
          <w:tcPr>
            <w:tcW w:w="720" w:type="dxa"/>
            <w:shd w:val="clear" w:color="auto" w:fill="auto"/>
            <w:vAlign w:val="center"/>
          </w:tcPr>
          <w:p w:rsidR="006C2670" w:rsidRPr="00A00D38" w:rsidRDefault="006C2670" w:rsidP="00021F7F">
            <w:pPr>
              <w:jc w:val="center"/>
              <w:outlineLvl w:val="0"/>
              <w:rPr>
                <w:rFonts w:hAnsi="標楷體"/>
                <w:color w:val="000000" w:themeColor="text1"/>
                <w:spacing w:val="-20"/>
                <w:sz w:val="28"/>
                <w:szCs w:val="28"/>
              </w:rPr>
            </w:pPr>
            <w:r w:rsidRPr="00A00D38">
              <w:rPr>
                <w:rFonts w:hAnsi="標楷體" w:hint="eastAsia"/>
                <w:color w:val="000000" w:themeColor="text1"/>
                <w:spacing w:val="-20"/>
                <w:sz w:val="28"/>
                <w:szCs w:val="28"/>
              </w:rPr>
              <w:t>112</w:t>
            </w:r>
          </w:p>
        </w:tc>
        <w:tc>
          <w:tcPr>
            <w:tcW w:w="697" w:type="dxa"/>
            <w:shd w:val="clear" w:color="auto" w:fill="auto"/>
            <w:vAlign w:val="center"/>
          </w:tcPr>
          <w:p w:rsidR="006C2670" w:rsidRPr="00A00D38" w:rsidRDefault="006C2670" w:rsidP="00021F7F">
            <w:pPr>
              <w:widowControl/>
              <w:jc w:val="center"/>
              <w:rPr>
                <w:rFonts w:hAnsi="標楷體"/>
                <w:color w:val="000000" w:themeColor="text1"/>
                <w:spacing w:val="-20"/>
                <w:sz w:val="28"/>
                <w:szCs w:val="28"/>
              </w:rPr>
            </w:pPr>
            <w:r w:rsidRPr="00A00D38">
              <w:rPr>
                <w:rFonts w:hAnsi="標楷體"/>
                <w:color w:val="000000" w:themeColor="text1"/>
                <w:spacing w:val="-20"/>
                <w:sz w:val="28"/>
                <w:szCs w:val="28"/>
              </w:rPr>
              <w:t>65</w:t>
            </w:r>
          </w:p>
        </w:tc>
      </w:tr>
    </w:tbl>
    <w:p w:rsidR="006C2670" w:rsidRPr="00A00D38" w:rsidRDefault="006C2670" w:rsidP="006C2670">
      <w:pPr>
        <w:pStyle w:val="af8"/>
        <w:spacing w:line="240" w:lineRule="exact"/>
        <w:rPr>
          <w:color w:val="000000" w:themeColor="text1"/>
          <w:sz w:val="24"/>
          <w:szCs w:val="24"/>
        </w:rPr>
      </w:pPr>
      <w:r w:rsidRPr="00A00D38">
        <w:rPr>
          <w:rFonts w:hint="eastAsia"/>
          <w:color w:val="000000" w:themeColor="text1"/>
          <w:sz w:val="24"/>
          <w:szCs w:val="24"/>
        </w:rPr>
        <w:t>資料來源：本院依據教育部查復資料彙整。</w:t>
      </w:r>
    </w:p>
    <w:p w:rsidR="006C2670" w:rsidRPr="00A00D38" w:rsidRDefault="006C2670" w:rsidP="006C2670">
      <w:pPr>
        <w:pStyle w:val="af8"/>
        <w:spacing w:line="240" w:lineRule="exact"/>
        <w:rPr>
          <w:color w:val="000000" w:themeColor="text1"/>
          <w:sz w:val="24"/>
          <w:szCs w:val="24"/>
        </w:rPr>
      </w:pPr>
    </w:p>
    <w:p w:rsidR="006C2670" w:rsidRPr="00A00D38" w:rsidRDefault="006C2670" w:rsidP="006C2670">
      <w:pPr>
        <w:pStyle w:val="a4"/>
        <w:ind w:left="482" w:hanging="482"/>
        <w:jc w:val="center"/>
        <w:rPr>
          <w:b/>
          <w:color w:val="000000" w:themeColor="text1"/>
        </w:rPr>
      </w:pPr>
      <w:r w:rsidRPr="00A00D38">
        <w:rPr>
          <w:rFonts w:hint="eastAsia"/>
          <w:b/>
          <w:color w:val="000000" w:themeColor="text1"/>
        </w:rPr>
        <w:t>104學年全英語授課學程學生人數及授課教師數</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3"/>
        <w:gridCol w:w="992"/>
        <w:gridCol w:w="1134"/>
        <w:gridCol w:w="1559"/>
        <w:gridCol w:w="992"/>
        <w:gridCol w:w="1134"/>
        <w:gridCol w:w="1701"/>
      </w:tblGrid>
      <w:tr w:rsidR="00A00D38" w:rsidRPr="00A00D38" w:rsidTr="00A16A96">
        <w:trPr>
          <w:tblHeader/>
        </w:trPr>
        <w:tc>
          <w:tcPr>
            <w:tcW w:w="851" w:type="dxa"/>
            <w:shd w:val="clear" w:color="auto" w:fill="FDE9D9" w:themeFill="accent6" w:themeFillTint="33"/>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學校</w:t>
            </w:r>
            <w:r w:rsidRPr="00A00D38">
              <w:rPr>
                <w:b/>
                <w:color w:val="000000" w:themeColor="text1"/>
                <w:spacing w:val="-20"/>
                <w:sz w:val="24"/>
                <w:szCs w:val="24"/>
              </w:rPr>
              <w:br/>
            </w:r>
            <w:r w:rsidRPr="00A00D38">
              <w:rPr>
                <w:rFonts w:hint="eastAsia"/>
                <w:b/>
                <w:color w:val="000000" w:themeColor="text1"/>
                <w:spacing w:val="-20"/>
                <w:sz w:val="24"/>
                <w:szCs w:val="24"/>
              </w:rPr>
              <w:t>類型</w:t>
            </w:r>
          </w:p>
        </w:tc>
        <w:tc>
          <w:tcPr>
            <w:tcW w:w="993" w:type="dxa"/>
            <w:shd w:val="clear" w:color="auto" w:fill="FDE9D9" w:themeFill="accent6" w:themeFillTint="33"/>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學校數</w:t>
            </w:r>
          </w:p>
        </w:tc>
        <w:tc>
          <w:tcPr>
            <w:tcW w:w="992" w:type="dxa"/>
            <w:shd w:val="clear" w:color="auto" w:fill="FDE9D9" w:themeFill="accent6" w:themeFillTint="33"/>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學生數</w:t>
            </w:r>
          </w:p>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(本國)</w:t>
            </w:r>
          </w:p>
        </w:tc>
        <w:tc>
          <w:tcPr>
            <w:tcW w:w="1134" w:type="dxa"/>
            <w:shd w:val="clear" w:color="auto" w:fill="FDE9D9" w:themeFill="accent6" w:themeFillTint="33"/>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學生數</w:t>
            </w:r>
          </w:p>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(外國)</w:t>
            </w:r>
          </w:p>
        </w:tc>
        <w:tc>
          <w:tcPr>
            <w:tcW w:w="1559" w:type="dxa"/>
            <w:shd w:val="clear" w:color="auto" w:fill="FDE9D9" w:themeFill="accent6" w:themeFillTint="33"/>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學生總計</w:t>
            </w:r>
          </w:p>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(本國+外國)</w:t>
            </w:r>
          </w:p>
        </w:tc>
        <w:tc>
          <w:tcPr>
            <w:tcW w:w="992" w:type="dxa"/>
            <w:shd w:val="clear" w:color="auto" w:fill="FDE9D9" w:themeFill="accent6" w:themeFillTint="33"/>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教師數</w:t>
            </w:r>
          </w:p>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(本國</w:t>
            </w:r>
            <w:r w:rsidRPr="00A00D38">
              <w:rPr>
                <w:b/>
                <w:color w:val="000000" w:themeColor="text1"/>
                <w:spacing w:val="-20"/>
                <w:sz w:val="24"/>
                <w:szCs w:val="24"/>
              </w:rPr>
              <w:t>)</w:t>
            </w:r>
          </w:p>
        </w:tc>
        <w:tc>
          <w:tcPr>
            <w:tcW w:w="1134" w:type="dxa"/>
            <w:shd w:val="clear" w:color="auto" w:fill="FDE9D9" w:themeFill="accent6" w:themeFillTint="33"/>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教師數</w:t>
            </w:r>
          </w:p>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(外國</w:t>
            </w:r>
            <w:r w:rsidRPr="00A00D38">
              <w:rPr>
                <w:b/>
                <w:color w:val="000000" w:themeColor="text1"/>
                <w:spacing w:val="-20"/>
                <w:sz w:val="24"/>
                <w:szCs w:val="24"/>
              </w:rPr>
              <w:t>)</w:t>
            </w:r>
          </w:p>
        </w:tc>
        <w:tc>
          <w:tcPr>
            <w:tcW w:w="1701" w:type="dxa"/>
            <w:shd w:val="clear" w:color="auto" w:fill="FDE9D9" w:themeFill="accent6" w:themeFillTint="33"/>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教師總計</w:t>
            </w:r>
          </w:p>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(本國+外國)</w:t>
            </w:r>
          </w:p>
        </w:tc>
      </w:tr>
      <w:tr w:rsidR="00A00D38" w:rsidRPr="00A00D38" w:rsidTr="00A16A96">
        <w:trPr>
          <w:trHeight w:val="454"/>
        </w:trPr>
        <w:tc>
          <w:tcPr>
            <w:tcW w:w="851" w:type="dxa"/>
            <w:vAlign w:val="center"/>
          </w:tcPr>
          <w:p w:rsidR="006C2670" w:rsidRPr="00A00D38" w:rsidRDefault="006C2670" w:rsidP="00A16A96">
            <w:pPr>
              <w:spacing w:line="280" w:lineRule="exact"/>
              <w:jc w:val="center"/>
              <w:outlineLvl w:val="0"/>
              <w:rPr>
                <w:b/>
                <w:color w:val="000000" w:themeColor="text1"/>
                <w:sz w:val="24"/>
                <w:szCs w:val="24"/>
              </w:rPr>
            </w:pPr>
            <w:r w:rsidRPr="00A00D38">
              <w:rPr>
                <w:rFonts w:hint="eastAsia"/>
                <w:b/>
                <w:color w:val="000000" w:themeColor="text1"/>
                <w:sz w:val="24"/>
                <w:szCs w:val="24"/>
              </w:rPr>
              <w:t>大學校院</w:t>
            </w:r>
          </w:p>
        </w:tc>
        <w:tc>
          <w:tcPr>
            <w:tcW w:w="993"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41所</w:t>
            </w:r>
          </w:p>
        </w:tc>
        <w:tc>
          <w:tcPr>
            <w:tcW w:w="992"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3,527人</w:t>
            </w:r>
          </w:p>
        </w:tc>
        <w:tc>
          <w:tcPr>
            <w:tcW w:w="1134"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3,012人</w:t>
            </w:r>
          </w:p>
        </w:tc>
        <w:tc>
          <w:tcPr>
            <w:tcW w:w="1559"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6,539人</w:t>
            </w:r>
          </w:p>
        </w:tc>
        <w:tc>
          <w:tcPr>
            <w:tcW w:w="992"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759人</w:t>
            </w:r>
          </w:p>
        </w:tc>
        <w:tc>
          <w:tcPr>
            <w:tcW w:w="1134"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59人</w:t>
            </w:r>
          </w:p>
        </w:tc>
        <w:tc>
          <w:tcPr>
            <w:tcW w:w="1701"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818人</w:t>
            </w:r>
          </w:p>
        </w:tc>
      </w:tr>
      <w:tr w:rsidR="00A00D38" w:rsidRPr="00A00D38" w:rsidTr="00A16A96">
        <w:trPr>
          <w:trHeight w:val="454"/>
        </w:trPr>
        <w:tc>
          <w:tcPr>
            <w:tcW w:w="851" w:type="dxa"/>
            <w:vAlign w:val="center"/>
          </w:tcPr>
          <w:p w:rsidR="006C2670" w:rsidRPr="00A00D38" w:rsidRDefault="006C2670" w:rsidP="00A16A96">
            <w:pPr>
              <w:spacing w:line="280" w:lineRule="exact"/>
              <w:jc w:val="center"/>
              <w:outlineLvl w:val="0"/>
              <w:rPr>
                <w:b/>
                <w:color w:val="000000" w:themeColor="text1"/>
                <w:sz w:val="24"/>
                <w:szCs w:val="24"/>
              </w:rPr>
            </w:pPr>
            <w:r w:rsidRPr="00A00D38">
              <w:rPr>
                <w:rFonts w:hint="eastAsia"/>
                <w:b/>
                <w:color w:val="000000" w:themeColor="text1"/>
                <w:sz w:val="24"/>
                <w:szCs w:val="24"/>
              </w:rPr>
              <w:t>技專校院</w:t>
            </w:r>
          </w:p>
        </w:tc>
        <w:tc>
          <w:tcPr>
            <w:tcW w:w="993"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14所</w:t>
            </w:r>
          </w:p>
        </w:tc>
        <w:tc>
          <w:tcPr>
            <w:tcW w:w="992"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1,897人</w:t>
            </w:r>
          </w:p>
        </w:tc>
        <w:tc>
          <w:tcPr>
            <w:tcW w:w="1134"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1,355人</w:t>
            </w:r>
          </w:p>
        </w:tc>
        <w:tc>
          <w:tcPr>
            <w:tcW w:w="1559"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3,461人</w:t>
            </w:r>
          </w:p>
        </w:tc>
        <w:tc>
          <w:tcPr>
            <w:tcW w:w="992"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999人</w:t>
            </w:r>
          </w:p>
        </w:tc>
        <w:tc>
          <w:tcPr>
            <w:tcW w:w="1134"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50人</w:t>
            </w:r>
          </w:p>
        </w:tc>
        <w:tc>
          <w:tcPr>
            <w:tcW w:w="1701" w:type="dxa"/>
            <w:vAlign w:val="center"/>
          </w:tcPr>
          <w:p w:rsidR="006C2670" w:rsidRPr="00A00D38" w:rsidRDefault="006C2670" w:rsidP="00A16A96">
            <w:pPr>
              <w:spacing w:line="280" w:lineRule="exact"/>
              <w:jc w:val="center"/>
              <w:outlineLvl w:val="0"/>
              <w:rPr>
                <w:color w:val="000000" w:themeColor="text1"/>
                <w:spacing w:val="-20"/>
                <w:sz w:val="24"/>
                <w:szCs w:val="24"/>
              </w:rPr>
            </w:pPr>
            <w:r w:rsidRPr="00A00D38">
              <w:rPr>
                <w:rFonts w:hint="eastAsia"/>
                <w:color w:val="000000" w:themeColor="text1"/>
                <w:spacing w:val="-20"/>
                <w:sz w:val="24"/>
                <w:szCs w:val="24"/>
              </w:rPr>
              <w:t>1,049人</w:t>
            </w:r>
          </w:p>
        </w:tc>
      </w:tr>
      <w:tr w:rsidR="00A00D38" w:rsidRPr="00A00D38" w:rsidTr="00A16A96">
        <w:trPr>
          <w:trHeight w:val="454"/>
        </w:trPr>
        <w:tc>
          <w:tcPr>
            <w:tcW w:w="851" w:type="dxa"/>
            <w:vAlign w:val="center"/>
          </w:tcPr>
          <w:p w:rsidR="006C2670" w:rsidRPr="00A00D38" w:rsidRDefault="006C2670" w:rsidP="00A16A96">
            <w:pPr>
              <w:spacing w:line="280" w:lineRule="exact"/>
              <w:jc w:val="center"/>
              <w:outlineLvl w:val="0"/>
              <w:rPr>
                <w:b/>
                <w:color w:val="000000" w:themeColor="text1"/>
                <w:sz w:val="24"/>
                <w:szCs w:val="24"/>
              </w:rPr>
            </w:pPr>
            <w:r w:rsidRPr="00A00D38">
              <w:rPr>
                <w:rFonts w:hint="eastAsia"/>
                <w:b/>
                <w:color w:val="000000" w:themeColor="text1"/>
                <w:sz w:val="24"/>
                <w:szCs w:val="24"/>
              </w:rPr>
              <w:t>小計</w:t>
            </w:r>
          </w:p>
        </w:tc>
        <w:tc>
          <w:tcPr>
            <w:tcW w:w="993" w:type="dxa"/>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55所</w:t>
            </w:r>
          </w:p>
        </w:tc>
        <w:tc>
          <w:tcPr>
            <w:tcW w:w="992" w:type="dxa"/>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5,424人</w:t>
            </w:r>
          </w:p>
        </w:tc>
        <w:tc>
          <w:tcPr>
            <w:tcW w:w="1134" w:type="dxa"/>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4,367人</w:t>
            </w:r>
          </w:p>
        </w:tc>
        <w:tc>
          <w:tcPr>
            <w:tcW w:w="1559" w:type="dxa"/>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10,000人</w:t>
            </w:r>
          </w:p>
        </w:tc>
        <w:tc>
          <w:tcPr>
            <w:tcW w:w="992" w:type="dxa"/>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1,758人</w:t>
            </w:r>
          </w:p>
        </w:tc>
        <w:tc>
          <w:tcPr>
            <w:tcW w:w="1134" w:type="dxa"/>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109人</w:t>
            </w:r>
          </w:p>
        </w:tc>
        <w:tc>
          <w:tcPr>
            <w:tcW w:w="1701" w:type="dxa"/>
            <w:vAlign w:val="center"/>
          </w:tcPr>
          <w:p w:rsidR="006C2670" w:rsidRPr="00A00D38" w:rsidRDefault="006C2670" w:rsidP="00A16A96">
            <w:pPr>
              <w:spacing w:line="280" w:lineRule="exact"/>
              <w:jc w:val="center"/>
              <w:outlineLvl w:val="0"/>
              <w:rPr>
                <w:b/>
                <w:color w:val="000000" w:themeColor="text1"/>
                <w:spacing w:val="-20"/>
                <w:sz w:val="24"/>
                <w:szCs w:val="24"/>
              </w:rPr>
            </w:pPr>
            <w:r w:rsidRPr="00A00D38">
              <w:rPr>
                <w:rFonts w:hint="eastAsia"/>
                <w:b/>
                <w:color w:val="000000" w:themeColor="text1"/>
                <w:spacing w:val="-20"/>
                <w:sz w:val="24"/>
                <w:szCs w:val="24"/>
              </w:rPr>
              <w:t>1,867人</w:t>
            </w:r>
          </w:p>
        </w:tc>
      </w:tr>
    </w:tbl>
    <w:p w:rsidR="00A16A96" w:rsidRDefault="00A16A96" w:rsidP="00A16A96">
      <w:pPr>
        <w:tabs>
          <w:tab w:val="left" w:pos="8789"/>
        </w:tabs>
        <w:spacing w:line="240" w:lineRule="exact"/>
        <w:ind w:leftChars="-83" w:left="-282" w:right="522"/>
        <w:rPr>
          <w:rFonts w:hAnsi="標楷體"/>
          <w:color w:val="000000" w:themeColor="text1"/>
          <w:sz w:val="24"/>
          <w:szCs w:val="24"/>
        </w:rPr>
      </w:pPr>
      <w:r>
        <w:rPr>
          <w:rFonts w:hAnsi="標楷體" w:hint="eastAsia"/>
          <w:color w:val="000000" w:themeColor="text1"/>
          <w:sz w:val="24"/>
          <w:szCs w:val="24"/>
        </w:rPr>
        <w:t>註：教師數含專兼任教師數；另</w:t>
      </w:r>
      <w:r w:rsidRPr="00A16A96">
        <w:rPr>
          <w:rFonts w:hAnsi="標楷體" w:hint="eastAsia"/>
          <w:color w:val="000000" w:themeColor="text1"/>
          <w:sz w:val="24"/>
          <w:szCs w:val="24"/>
        </w:rPr>
        <w:t>因國立高雄餐旅大學於調查時未區分</w:t>
      </w:r>
      <w:r>
        <w:rPr>
          <w:rFonts w:hAnsi="標楷體" w:hint="eastAsia"/>
          <w:color w:val="000000" w:themeColor="text1"/>
          <w:sz w:val="24"/>
          <w:szCs w:val="24"/>
        </w:rPr>
        <w:t>該校</w:t>
      </w:r>
    </w:p>
    <w:p w:rsidR="006C2670" w:rsidRPr="00A00D38" w:rsidRDefault="00A16A96" w:rsidP="00A16A96">
      <w:pPr>
        <w:tabs>
          <w:tab w:val="left" w:pos="8789"/>
        </w:tabs>
        <w:spacing w:line="240" w:lineRule="exact"/>
        <w:ind w:leftChars="-83" w:left="-282" w:right="522"/>
        <w:rPr>
          <w:rFonts w:hAnsi="標楷體"/>
          <w:color w:val="000000" w:themeColor="text1"/>
          <w:sz w:val="24"/>
          <w:szCs w:val="24"/>
        </w:rPr>
      </w:pPr>
      <w:r>
        <w:rPr>
          <w:rFonts w:hAnsi="標楷體" w:hint="eastAsia"/>
          <w:color w:val="000000" w:themeColor="text1"/>
          <w:sz w:val="24"/>
          <w:szCs w:val="24"/>
        </w:rPr>
        <w:t xml:space="preserve">    209名學生之本國或外國身分別</w:t>
      </w:r>
      <w:r w:rsidRPr="00A16A96">
        <w:rPr>
          <w:rFonts w:hAnsi="標楷體" w:hint="eastAsia"/>
          <w:color w:val="000000" w:themeColor="text1"/>
          <w:sz w:val="24"/>
          <w:szCs w:val="24"/>
        </w:rPr>
        <w:t>，故列記於總數中。</w:t>
      </w:r>
    </w:p>
    <w:p w:rsidR="006C2670" w:rsidRPr="00A00D38" w:rsidRDefault="006C2670" w:rsidP="006C2670">
      <w:pPr>
        <w:pStyle w:val="af8"/>
        <w:spacing w:line="240" w:lineRule="exact"/>
        <w:ind w:leftChars="-83" w:left="-282"/>
        <w:rPr>
          <w:color w:val="000000" w:themeColor="text1"/>
          <w:sz w:val="24"/>
          <w:szCs w:val="24"/>
        </w:rPr>
      </w:pPr>
      <w:r w:rsidRPr="00A00D38">
        <w:rPr>
          <w:rFonts w:hint="eastAsia"/>
          <w:color w:val="000000" w:themeColor="text1"/>
          <w:sz w:val="24"/>
          <w:szCs w:val="24"/>
        </w:rPr>
        <w:t>資料來源：教育部查復資料。</w:t>
      </w:r>
    </w:p>
    <w:p w:rsidR="006C2670" w:rsidRPr="00A00D38" w:rsidRDefault="006C2670" w:rsidP="006C2670">
      <w:pPr>
        <w:pStyle w:val="af8"/>
        <w:spacing w:line="240" w:lineRule="exact"/>
        <w:ind w:leftChars="-83" w:left="-282"/>
        <w:rPr>
          <w:color w:val="000000" w:themeColor="text1"/>
          <w:sz w:val="24"/>
          <w:szCs w:val="24"/>
        </w:rPr>
      </w:pPr>
    </w:p>
    <w:p w:rsidR="006C2670" w:rsidRPr="00A00D38" w:rsidRDefault="006C2670" w:rsidP="006C2670">
      <w:pPr>
        <w:pStyle w:val="3"/>
        <w:rPr>
          <w:color w:val="000000" w:themeColor="text1"/>
        </w:rPr>
      </w:pPr>
      <w:bookmarkStart w:id="141" w:name="_Toc488227881"/>
      <w:bookmarkStart w:id="142" w:name="_Toc489383098"/>
      <w:bookmarkStart w:id="143" w:name="_Toc491711189"/>
      <w:bookmarkStart w:id="144" w:name="_Toc492371063"/>
      <w:bookmarkEnd w:id="139"/>
      <w:bookmarkEnd w:id="140"/>
      <w:r w:rsidRPr="00A00D38">
        <w:rPr>
          <w:rFonts w:hint="eastAsia"/>
          <w:color w:val="000000" w:themeColor="text1"/>
        </w:rPr>
        <w:t>至各學術領域英語授課情形，本院詢據教育部，該部陳稱「尚無以學術領域別進行英語授課之統計分析資料。」據此，對於吸引境外學生需求數高之學門領域或學校，是否提供充足英語課程以滿足其學習需求？又或者，隨擴大南向招生，是否檢視相關英語學程課程經費補助機制是否扣合招生策略，俾發揮政策資源綜效？允應由教育部積極檢視釐清並提出改善對策。</w:t>
      </w:r>
      <w:bookmarkEnd w:id="141"/>
      <w:bookmarkEnd w:id="142"/>
      <w:bookmarkEnd w:id="143"/>
      <w:bookmarkEnd w:id="144"/>
      <w:r w:rsidRPr="00A00D38">
        <w:rPr>
          <w:color w:val="000000" w:themeColor="text1"/>
        </w:rPr>
        <w:br/>
      </w:r>
    </w:p>
    <w:p w:rsidR="006C2670" w:rsidRPr="00A00D38" w:rsidRDefault="006C2670" w:rsidP="006C2670">
      <w:pPr>
        <w:pStyle w:val="3"/>
        <w:rPr>
          <w:rFonts w:hAnsi="標楷體"/>
          <w:color w:val="000000" w:themeColor="text1"/>
        </w:rPr>
      </w:pPr>
      <w:bookmarkStart w:id="145" w:name="_Toc488227882"/>
      <w:bookmarkStart w:id="146" w:name="_Toc489383099"/>
      <w:bookmarkStart w:id="147" w:name="_Toc491711190"/>
      <w:bookmarkStart w:id="148" w:name="_Toc492371064"/>
      <w:r w:rsidRPr="00A00D38">
        <w:rPr>
          <w:rFonts w:hAnsi="標楷體" w:hint="eastAsia"/>
          <w:color w:val="000000" w:themeColor="text1"/>
        </w:rPr>
        <w:t>綜上，</w:t>
      </w:r>
      <w:bookmarkEnd w:id="145"/>
      <w:r w:rsidRPr="00A00D38">
        <w:rPr>
          <w:rFonts w:hint="eastAsia"/>
          <w:color w:val="000000" w:themeColor="text1"/>
        </w:rPr>
        <w:t>英語授課為外國學生選擇就讀學校之重大考慮因素之一，教育部亦稱大學部全英語授課之不足肇致招收境外學生困境；惟該部對於英語授課現狀</w:t>
      </w:r>
      <w:r w:rsidRPr="00A00D38">
        <w:rPr>
          <w:rFonts w:hint="eastAsia"/>
          <w:color w:val="000000" w:themeColor="text1"/>
        </w:rPr>
        <w:lastRenderedPageBreak/>
        <w:t>之掌握度猶有不足，允宜配合境外招生政策目標，針對需求殷切領域學門提出因應對策。</w:t>
      </w:r>
      <w:bookmarkEnd w:id="146"/>
      <w:bookmarkEnd w:id="147"/>
      <w:bookmarkEnd w:id="148"/>
    </w:p>
    <w:p w:rsidR="006C2670" w:rsidRPr="00A00D38" w:rsidRDefault="006C2670" w:rsidP="006C2670">
      <w:pPr>
        <w:pStyle w:val="2"/>
        <w:numPr>
          <w:ilvl w:val="0"/>
          <w:numId w:val="33"/>
        </w:numPr>
        <w:ind w:left="1020" w:hanging="680"/>
        <w:rPr>
          <w:b/>
          <w:color w:val="000000" w:themeColor="text1"/>
        </w:rPr>
      </w:pPr>
      <w:bookmarkStart w:id="149" w:name="_Toc492371065"/>
      <w:r w:rsidRPr="00A00D38">
        <w:rPr>
          <w:b/>
          <w:color w:val="000000" w:themeColor="text1"/>
        </w:rPr>
        <w:t>引進境外高等教育辦學機構，為促進國際化之可行做法</w:t>
      </w:r>
      <w:r w:rsidRPr="00A00D38">
        <w:rPr>
          <w:rFonts w:hint="eastAsia"/>
          <w:b/>
          <w:color w:val="000000" w:themeColor="text1"/>
        </w:rPr>
        <w:t>之一</w:t>
      </w:r>
      <w:r w:rsidRPr="00A00D38">
        <w:rPr>
          <w:b/>
          <w:color w:val="000000" w:themeColor="text1"/>
        </w:rPr>
        <w:t>，</w:t>
      </w:r>
      <w:r w:rsidRPr="00A00D38">
        <w:rPr>
          <w:rFonts w:hint="eastAsia"/>
          <w:b/>
          <w:color w:val="000000" w:themeColor="text1"/>
        </w:rPr>
        <w:t>惟受限於國內有限市場暨</w:t>
      </w:r>
      <w:r w:rsidRPr="00A00D38">
        <w:rPr>
          <w:rFonts w:hAnsi="標楷體" w:hint="eastAsia"/>
          <w:b/>
          <w:color w:val="000000" w:themeColor="text1"/>
        </w:rPr>
        <w:t>「</w:t>
      </w:r>
      <w:r w:rsidRPr="00A00D38">
        <w:rPr>
          <w:rFonts w:hint="eastAsia"/>
          <w:b/>
          <w:color w:val="000000" w:themeColor="text1"/>
        </w:rPr>
        <w:t>私立學校法</w:t>
      </w:r>
      <w:r w:rsidRPr="00A00D38">
        <w:rPr>
          <w:rFonts w:hAnsi="標楷體" w:hint="eastAsia"/>
          <w:b/>
          <w:color w:val="000000" w:themeColor="text1"/>
        </w:rPr>
        <w:t>」</w:t>
      </w:r>
      <w:r w:rsidRPr="00A00D38">
        <w:rPr>
          <w:rFonts w:hint="eastAsia"/>
          <w:b/>
          <w:color w:val="000000" w:themeColor="text1"/>
        </w:rPr>
        <w:t>將大學定位為公益團體，對海外教育機構缺乏誘因，故迄今</w:t>
      </w:r>
      <w:r w:rsidRPr="00A00D38">
        <w:rPr>
          <w:b/>
          <w:color w:val="000000" w:themeColor="text1"/>
        </w:rPr>
        <w:t>尚無境外高等教育機構</w:t>
      </w:r>
      <w:r w:rsidRPr="00A00D38">
        <w:rPr>
          <w:rFonts w:hint="eastAsia"/>
          <w:b/>
          <w:color w:val="000000" w:themeColor="text1"/>
        </w:rPr>
        <w:t>來</w:t>
      </w:r>
      <w:r w:rsidRPr="00A00D38">
        <w:rPr>
          <w:b/>
          <w:color w:val="000000" w:themeColor="text1"/>
        </w:rPr>
        <w:t>臺</w:t>
      </w:r>
      <w:r w:rsidRPr="00A00D38">
        <w:rPr>
          <w:rFonts w:hint="eastAsia"/>
          <w:b/>
          <w:color w:val="000000" w:themeColor="text1"/>
        </w:rPr>
        <w:t>興</w:t>
      </w:r>
      <w:r w:rsidRPr="00A00D38">
        <w:rPr>
          <w:b/>
          <w:color w:val="000000" w:themeColor="text1"/>
        </w:rPr>
        <w:t>學</w:t>
      </w:r>
      <w:r w:rsidRPr="00A00D38">
        <w:rPr>
          <w:rFonts w:hint="eastAsia"/>
          <w:b/>
          <w:color w:val="000000" w:themeColor="text1"/>
        </w:rPr>
        <w:t>，而目前已</w:t>
      </w:r>
      <w:r w:rsidRPr="00A00D38">
        <w:rPr>
          <w:b/>
          <w:color w:val="000000" w:themeColor="text1"/>
        </w:rPr>
        <w:t>開設</w:t>
      </w:r>
      <w:r w:rsidRPr="00A00D38">
        <w:rPr>
          <w:rFonts w:hint="eastAsia"/>
          <w:b/>
          <w:color w:val="000000" w:themeColor="text1"/>
        </w:rPr>
        <w:t>之</w:t>
      </w:r>
      <w:r w:rsidRPr="00A00D38">
        <w:rPr>
          <w:b/>
          <w:color w:val="000000" w:themeColor="text1"/>
        </w:rPr>
        <w:t>國際學位學程專班</w:t>
      </w:r>
      <w:r w:rsidRPr="00A00D38">
        <w:rPr>
          <w:rFonts w:hint="eastAsia"/>
          <w:b/>
          <w:color w:val="000000" w:themeColor="text1"/>
        </w:rPr>
        <w:t>績效亦低，</w:t>
      </w:r>
      <w:r w:rsidRPr="00A00D38">
        <w:rPr>
          <w:b/>
          <w:color w:val="000000" w:themeColor="text1"/>
        </w:rPr>
        <w:t>推動雙聯學制、簽訂合作協議等</w:t>
      </w:r>
      <w:r w:rsidRPr="00A00D38">
        <w:rPr>
          <w:rFonts w:hint="eastAsia"/>
          <w:b/>
          <w:color w:val="000000" w:themeColor="text1"/>
        </w:rPr>
        <w:t>亦面臨人才、經費拮据等執行困境；高等教育國際化與國際競爭壓力實乃一體兩面，教育部於推動高等教育國際化之同時，卻又常對國內高等教育採取保護及限制規定，究否有利大學學術自主發展？似不無檢討空間。</w:t>
      </w:r>
      <w:bookmarkEnd w:id="149"/>
    </w:p>
    <w:p w:rsidR="006C2670" w:rsidRPr="00A00D38" w:rsidRDefault="006C2670" w:rsidP="006C73D0">
      <w:pPr>
        <w:pStyle w:val="3"/>
        <w:numPr>
          <w:ilvl w:val="2"/>
          <w:numId w:val="66"/>
        </w:numPr>
        <w:rPr>
          <w:rFonts w:ascii="Times New Roman" w:hAnsi="Times New Roman"/>
          <w:color w:val="000000" w:themeColor="text1"/>
        </w:rPr>
      </w:pPr>
      <w:bookmarkStart w:id="150" w:name="_Toc488227884"/>
      <w:bookmarkStart w:id="151" w:name="_Toc489383101"/>
      <w:bookmarkStart w:id="152" w:name="_Toc491711192"/>
      <w:bookmarkStart w:id="153" w:name="_Toc492371066"/>
      <w:bookmarkStart w:id="154" w:name="_Toc485999676"/>
      <w:r w:rsidRPr="00A00D38">
        <w:rPr>
          <w:rFonts w:ascii="Times New Roman" w:hAnsi="Times New Roman"/>
          <w:color w:val="000000" w:themeColor="text1"/>
        </w:rPr>
        <w:t>「私立學校法」第</w:t>
      </w:r>
      <w:r w:rsidRPr="00A00D38">
        <w:rPr>
          <w:rFonts w:ascii="Times New Roman" w:hAnsi="Times New Roman"/>
          <w:color w:val="000000" w:themeColor="text1"/>
        </w:rPr>
        <w:t>2</w:t>
      </w:r>
      <w:r w:rsidRPr="00A00D38">
        <w:rPr>
          <w:rFonts w:ascii="Times New Roman" w:hAnsi="Times New Roman"/>
          <w:color w:val="000000" w:themeColor="text1"/>
        </w:rPr>
        <w:t>條及第</w:t>
      </w:r>
      <w:r w:rsidRPr="00A00D38">
        <w:rPr>
          <w:rFonts w:ascii="Times New Roman" w:hAnsi="Times New Roman"/>
          <w:color w:val="000000" w:themeColor="text1"/>
        </w:rPr>
        <w:t>82</w:t>
      </w:r>
      <w:r w:rsidRPr="00A00D38">
        <w:rPr>
          <w:rFonts w:ascii="Times New Roman" w:hAnsi="Times New Roman"/>
          <w:color w:val="000000" w:themeColor="text1"/>
        </w:rPr>
        <w:t>條規定，各級各類私立學校之設立，應由學校財團法人申請之；而外國人或依法律認許之外國法人得依</w:t>
      </w:r>
      <w:r w:rsidRPr="00A00D38">
        <w:rPr>
          <w:rFonts w:ascii="Times New Roman" w:hAnsi="Times New Roman" w:hint="eastAsia"/>
          <w:color w:val="000000" w:themeColor="text1"/>
        </w:rPr>
        <w:t>該</w:t>
      </w:r>
      <w:r w:rsidRPr="00A00D38">
        <w:rPr>
          <w:rFonts w:ascii="Times New Roman" w:hAnsi="Times New Roman"/>
          <w:color w:val="000000" w:themeColor="text1"/>
        </w:rPr>
        <w:t>法之規定，於中華民國境內設立高級中等以上學校，經教育部准予立案後，即可在臺招生授課並授予學位。至申請設立私立大學</w:t>
      </w:r>
      <w:r w:rsidRPr="00A00D38">
        <w:rPr>
          <w:rFonts w:ascii="Times New Roman" w:hAnsi="Times New Roman" w:hint="eastAsia"/>
          <w:color w:val="000000" w:themeColor="text1"/>
        </w:rPr>
        <w:t>（</w:t>
      </w:r>
      <w:r w:rsidRPr="00A00D38">
        <w:rPr>
          <w:rFonts w:ascii="Times New Roman" w:hAnsi="Times New Roman"/>
          <w:color w:val="000000" w:themeColor="text1"/>
        </w:rPr>
        <w:t>含獨立學院</w:t>
      </w:r>
      <w:r w:rsidRPr="00A00D38">
        <w:rPr>
          <w:rFonts w:ascii="Times New Roman" w:hAnsi="Times New Roman" w:hint="eastAsia"/>
          <w:color w:val="000000" w:themeColor="text1"/>
        </w:rPr>
        <w:t>）</w:t>
      </w:r>
      <w:r w:rsidRPr="00A00D38">
        <w:rPr>
          <w:rFonts w:ascii="Times New Roman" w:hAnsi="Times New Roman"/>
          <w:color w:val="000000" w:themeColor="text1"/>
        </w:rPr>
        <w:t>之基本程序，依「私立學校法」、「學校財團法人設立辦法」、「專科以上學校及其分校分部專科部技術型高級中等學校部設立變更停辦辦法」等規定辦理，</w:t>
      </w:r>
      <w:r w:rsidRPr="00A00D38">
        <w:rPr>
          <w:rFonts w:ascii="Times New Roman" w:hAnsi="Times New Roman" w:hint="eastAsia"/>
          <w:color w:val="000000" w:themeColor="text1"/>
        </w:rPr>
        <w:t>至</w:t>
      </w:r>
      <w:r w:rsidRPr="00A00D38">
        <w:rPr>
          <w:rFonts w:ascii="Times New Roman" w:hAnsi="Times New Roman"/>
          <w:color w:val="000000" w:themeColor="text1"/>
        </w:rPr>
        <w:t>於校地面積、校舍建築總樓地板面積、設校基金等，均應依符合我國法令要求；查據教育部</w:t>
      </w:r>
      <w:r w:rsidRPr="00A00D38">
        <w:rPr>
          <w:rStyle w:val="aff0"/>
          <w:rFonts w:ascii="Times New Roman" w:hAnsi="Times New Roman"/>
          <w:color w:val="000000" w:themeColor="text1"/>
        </w:rPr>
        <w:footnoteReference w:id="11"/>
      </w:r>
      <w:r w:rsidRPr="00A00D38">
        <w:rPr>
          <w:rFonts w:ascii="Times New Roman" w:hAnsi="Times New Roman"/>
          <w:color w:val="000000" w:themeColor="text1"/>
        </w:rPr>
        <w:t>，目前尚無境外高等教育機構依上開規定提出申請</w:t>
      </w:r>
      <w:bookmarkEnd w:id="150"/>
      <w:bookmarkEnd w:id="151"/>
      <w:r w:rsidRPr="00A00D38">
        <w:rPr>
          <w:rFonts w:ascii="Times New Roman" w:hAnsi="Times New Roman" w:hint="eastAsia"/>
          <w:color w:val="000000" w:themeColor="text1"/>
        </w:rPr>
        <w:t>；併有該部主管人員到院接受詢問時表示「境外機構來臺設校，目前無法突破之問題，為『私立學校法』的概念為『捐資興學』，並有嚴格之規定，董事會無法營利，故未能吸引境外機構來臺辦學，亦因『私立學校法』之限制，目</w:t>
      </w:r>
      <w:r w:rsidRPr="00A00D38">
        <w:rPr>
          <w:rFonts w:ascii="Times New Roman" w:hAnsi="Times New Roman" w:hint="eastAsia"/>
          <w:color w:val="000000" w:themeColor="text1"/>
        </w:rPr>
        <w:lastRenderedPageBreak/>
        <w:t>前退而求其次之作法，係透過系、院、校的合作先行交流。」等語同證。</w:t>
      </w:r>
      <w:bookmarkEnd w:id="152"/>
      <w:bookmarkEnd w:id="153"/>
      <w:r w:rsidRPr="00A00D38">
        <w:rPr>
          <w:rFonts w:ascii="Times New Roman" w:hAnsi="Times New Roman"/>
          <w:color w:val="000000" w:themeColor="text1"/>
        </w:rPr>
        <w:br/>
      </w:r>
    </w:p>
    <w:p w:rsidR="006C2670" w:rsidRPr="00A00D38" w:rsidRDefault="006C2670" w:rsidP="006C2670">
      <w:pPr>
        <w:pStyle w:val="3"/>
        <w:rPr>
          <w:rFonts w:ascii="Times New Roman" w:hAnsi="Times New Roman"/>
          <w:strike/>
          <w:color w:val="000000" w:themeColor="text1"/>
        </w:rPr>
      </w:pPr>
      <w:bookmarkStart w:id="155" w:name="_Toc488227887"/>
      <w:bookmarkStart w:id="156" w:name="_Toc489383105"/>
      <w:bookmarkStart w:id="157" w:name="_Toc491711193"/>
      <w:bookmarkStart w:id="158" w:name="_Toc492371067"/>
      <w:bookmarkStart w:id="159" w:name="_Toc489383102"/>
      <w:r w:rsidRPr="00A00D38">
        <w:rPr>
          <w:rFonts w:hint="eastAsia"/>
          <w:color w:val="000000" w:themeColor="text1"/>
        </w:rPr>
        <w:t>因</w:t>
      </w:r>
      <w:r w:rsidRPr="00A00D38">
        <w:rPr>
          <w:rFonts w:ascii="Times New Roman" w:hAnsi="Times New Roman" w:hint="eastAsia"/>
          <w:color w:val="000000" w:themeColor="text1"/>
        </w:rPr>
        <w:t>境外高等教育機構來臺辦學現況尚難突破，教育部稱「</w:t>
      </w:r>
      <w:r w:rsidRPr="00A00D38">
        <w:rPr>
          <w:rFonts w:hAnsi="標楷體" w:hint="eastAsia"/>
          <w:color w:val="000000" w:themeColor="text1"/>
          <w:szCs w:val="32"/>
        </w:rPr>
        <w:t>將著眼於提升國內高等教育發展，並考量如何與國內學校創造雙贏，</w:t>
      </w:r>
      <w:r w:rsidRPr="00A00D38">
        <w:rPr>
          <w:rFonts w:hint="eastAsia"/>
          <w:color w:val="000000" w:themeColor="text1"/>
        </w:rPr>
        <w:t>已推動『國內大學與外國大學合作辦理學位專班或專業學(課)程計畫』，優先針對屬於『現行法律授權』的法規命令或行政規則予以鬆綁，協助各校擴展及強化與外國大學的合作關係」等。</w:t>
      </w:r>
      <w:bookmarkEnd w:id="155"/>
      <w:bookmarkEnd w:id="156"/>
      <w:r w:rsidRPr="00A00D38">
        <w:rPr>
          <w:rFonts w:hint="eastAsia"/>
          <w:color w:val="000000" w:themeColor="text1"/>
        </w:rPr>
        <w:t>惟查</w:t>
      </w:r>
      <w:r w:rsidRPr="00A00D38">
        <w:rPr>
          <w:color w:val="000000" w:themeColor="text1"/>
        </w:rPr>
        <w:t>我國與國際高教機構合作辦學</w:t>
      </w:r>
      <w:r w:rsidRPr="00A00D38">
        <w:rPr>
          <w:rFonts w:hint="eastAsia"/>
          <w:color w:val="000000" w:themeColor="text1"/>
        </w:rPr>
        <w:t>之招生情況不甚理想，茲述如下：</w:t>
      </w:r>
      <w:bookmarkEnd w:id="157"/>
      <w:bookmarkEnd w:id="158"/>
    </w:p>
    <w:p w:rsidR="006C2670" w:rsidRPr="00A00D38" w:rsidRDefault="006C2670" w:rsidP="006C2670">
      <w:pPr>
        <w:pStyle w:val="4"/>
        <w:rPr>
          <w:strike/>
          <w:color w:val="000000" w:themeColor="text1"/>
        </w:rPr>
      </w:pPr>
      <w:r w:rsidRPr="00A00D38">
        <w:rPr>
          <w:color w:val="000000" w:themeColor="text1"/>
        </w:rPr>
        <w:t>各大學辦理國際學位學程專班方面</w:t>
      </w:r>
      <w:bookmarkStart w:id="160" w:name="_Toc488227885"/>
      <w:bookmarkStart w:id="161" w:name="_Toc489383103"/>
      <w:bookmarkEnd w:id="159"/>
      <w:r w:rsidRPr="00A00D38">
        <w:rPr>
          <w:rFonts w:hint="eastAsia"/>
          <w:color w:val="000000" w:themeColor="text1"/>
        </w:rPr>
        <w:t>，</w:t>
      </w:r>
      <w:r w:rsidRPr="00A00D38">
        <w:rPr>
          <w:color w:val="000000" w:themeColor="text1"/>
        </w:rPr>
        <w:t>截至105</w:t>
      </w:r>
      <w:r w:rsidRPr="00A00D38">
        <w:rPr>
          <w:rFonts w:hint="eastAsia"/>
          <w:color w:val="000000" w:themeColor="text1"/>
        </w:rPr>
        <w:t>學年度</w:t>
      </w:r>
      <w:r w:rsidRPr="00A00D38">
        <w:rPr>
          <w:color w:val="000000" w:themeColor="text1"/>
        </w:rPr>
        <w:t>，共核定通過1</w:t>
      </w:r>
      <w:r w:rsidRPr="00A00D38">
        <w:rPr>
          <w:rFonts w:hint="eastAsia"/>
          <w:color w:val="000000" w:themeColor="text1"/>
        </w:rPr>
        <w:t>1</w:t>
      </w:r>
      <w:r w:rsidRPr="00A00D38">
        <w:rPr>
          <w:color w:val="000000" w:themeColor="text1"/>
        </w:rPr>
        <w:t>校</w:t>
      </w:r>
      <w:r w:rsidRPr="00A00D38">
        <w:rPr>
          <w:rFonts w:hint="eastAsia"/>
          <w:color w:val="000000" w:themeColor="text1"/>
        </w:rPr>
        <w:t>（</w:t>
      </w:r>
      <w:r w:rsidR="00AB62DF" w:rsidRPr="00051E39">
        <w:rPr>
          <w:rFonts w:hint="eastAsia"/>
        </w:rPr>
        <w:t>17</w:t>
      </w:r>
      <w:r w:rsidRPr="00A00D38">
        <w:rPr>
          <w:color w:val="000000" w:themeColor="text1"/>
        </w:rPr>
        <w:t>案</w:t>
      </w:r>
      <w:r w:rsidRPr="00A00D38">
        <w:rPr>
          <w:rFonts w:hint="eastAsia"/>
          <w:color w:val="000000" w:themeColor="text1"/>
        </w:rPr>
        <w:t>），計7校招生名額為0人，其中實際招收國內生183人，非國內生58人，平均每案僅招收非國內生2.9人，國際生源未能有效提升。其中，國立高雄餐旅大學所辦「高餐藍帶廚藝卓越中心西餐廚藝學分班」及「高餐藍帶廚藝卓越中心西點廚藝學分班」兩學分學程，自核定以來，尚未招收到學生，對於以學分班開設而非以學位班開設之原因，教育部陳稱「</w:t>
      </w:r>
      <w:r w:rsidRPr="00A00D38">
        <w:rPr>
          <w:rFonts w:ascii="Times New Roman" w:hAnsi="Times New Roman" w:hint="eastAsia"/>
          <w:color w:val="000000" w:themeColor="text1"/>
        </w:rPr>
        <w:t>……</w:t>
      </w:r>
      <w:r w:rsidRPr="00A00D38">
        <w:rPr>
          <w:rFonts w:hint="eastAsia"/>
          <w:color w:val="000000" w:themeColor="text1"/>
        </w:rPr>
        <w:t>由於是短期學分課程，更能吸引亞太地區人士前來該校就讀學習……」等語，而實際招生情形卻為0人，顯與開設短期學分班之目標不符，教育部允應檢討該計畫目標與相關策略。</w:t>
      </w:r>
      <w:bookmarkStart w:id="162" w:name="_Toc488227886"/>
      <w:bookmarkEnd w:id="160"/>
      <w:bookmarkEnd w:id="161"/>
    </w:p>
    <w:p w:rsidR="006C2670" w:rsidRPr="00A00D38" w:rsidRDefault="006C2670" w:rsidP="006C2670">
      <w:pPr>
        <w:pStyle w:val="4"/>
        <w:rPr>
          <w:rFonts w:ascii="Times New Roman" w:hAnsi="Times New Roman"/>
          <w:strike/>
          <w:color w:val="000000" w:themeColor="text1"/>
        </w:rPr>
      </w:pPr>
      <w:bookmarkStart w:id="163" w:name="_Toc489383104"/>
      <w:r w:rsidRPr="00A00D38">
        <w:rPr>
          <w:rFonts w:hint="eastAsia"/>
          <w:color w:val="000000" w:themeColor="text1"/>
        </w:rPr>
        <w:t>國內大專校院開辦國際學士學位學程方面</w:t>
      </w:r>
      <w:r w:rsidRPr="00A00D38">
        <w:rPr>
          <w:color w:val="000000" w:themeColor="text1"/>
        </w:rPr>
        <w:t>，</w:t>
      </w:r>
      <w:r w:rsidRPr="00A00D38">
        <w:rPr>
          <w:rFonts w:hint="eastAsia"/>
          <w:color w:val="000000" w:themeColor="text1"/>
        </w:rPr>
        <w:t>歷年共有國立成功大學、國立東華大學、國立屏東科技大學、國立高雄餐旅大學、國立雲林科技大學、元培醫事科技大學、樹德科技大學等7校8學程，查其105學年度總核定招收817名境外生，實際註冊人數為36人，實際註冊率為4.4</w:t>
      </w:r>
      <w:r w:rsidRPr="00A00D38">
        <w:rPr>
          <w:rFonts w:hAnsi="標楷體" w:hint="eastAsia"/>
          <w:color w:val="000000" w:themeColor="text1"/>
        </w:rPr>
        <w:t>％</w:t>
      </w:r>
      <w:r w:rsidRPr="00A00D38">
        <w:rPr>
          <w:rFonts w:hint="eastAsia"/>
          <w:color w:val="000000" w:themeColor="text1"/>
        </w:rPr>
        <w:t>，且有4所學</w:t>
      </w:r>
      <w:r w:rsidRPr="00A00D38">
        <w:rPr>
          <w:rFonts w:hint="eastAsia"/>
          <w:color w:val="000000" w:themeColor="text1"/>
        </w:rPr>
        <w:lastRenderedPageBreak/>
        <w:t>校實際招收外籍學生數為0，高達核定校數之57.1</w:t>
      </w:r>
      <w:r w:rsidRPr="00A00D38">
        <w:rPr>
          <w:rFonts w:hAnsi="標楷體" w:hint="eastAsia"/>
          <w:color w:val="000000" w:themeColor="text1"/>
        </w:rPr>
        <w:t>％</w:t>
      </w:r>
      <w:r w:rsidRPr="00A00D38">
        <w:rPr>
          <w:rFonts w:hint="eastAsia"/>
          <w:color w:val="000000" w:themeColor="text1"/>
        </w:rPr>
        <w:t>，</w:t>
      </w:r>
      <w:r w:rsidRPr="00A00D38">
        <w:rPr>
          <w:color w:val="000000" w:themeColor="text1"/>
        </w:rPr>
        <w:t>招生</w:t>
      </w:r>
      <w:r w:rsidRPr="00A00D38">
        <w:rPr>
          <w:rFonts w:hint="eastAsia"/>
          <w:color w:val="000000" w:themeColor="text1"/>
        </w:rPr>
        <w:t>績效低落，實際教學之國際化程度令人存疑。</w:t>
      </w:r>
      <w:bookmarkEnd w:id="162"/>
      <w:bookmarkEnd w:id="163"/>
      <w:r w:rsidRPr="00A00D38">
        <w:rPr>
          <w:color w:val="000000" w:themeColor="text1"/>
        </w:rPr>
        <w:br/>
      </w:r>
    </w:p>
    <w:p w:rsidR="006C2670" w:rsidRPr="00A00D38" w:rsidRDefault="006C2670" w:rsidP="006C2670">
      <w:pPr>
        <w:pStyle w:val="3"/>
        <w:ind w:left="1361"/>
        <w:rPr>
          <w:rFonts w:ascii="Times New Roman" w:hAnsi="Times New Roman"/>
          <w:color w:val="000000" w:themeColor="text1"/>
        </w:rPr>
      </w:pPr>
      <w:bookmarkStart w:id="164" w:name="_Toc491711194"/>
      <w:bookmarkStart w:id="165" w:name="_Toc492371068"/>
      <w:bookmarkEnd w:id="154"/>
      <w:r w:rsidRPr="00A00D38">
        <w:rPr>
          <w:rFonts w:ascii="Times New Roman" w:hAnsi="Times New Roman" w:hint="eastAsia"/>
          <w:color w:val="000000" w:themeColor="text1"/>
        </w:rPr>
        <w:t>針對上述情形，教育部表示「外國大學雖可依『私立學校法』規定直接來臺設校，但辦學水準未必符合社會期待，且對國內學校生源衝擊較大。</w:t>
      </w:r>
      <w:r w:rsidRPr="00A00D38">
        <w:rPr>
          <w:rFonts w:hAnsi="標楷體" w:hint="eastAsia"/>
          <w:color w:val="000000" w:themeColor="text1"/>
        </w:rPr>
        <w:t>……</w:t>
      </w:r>
      <w:r w:rsidRPr="00A00D38">
        <w:rPr>
          <w:rFonts w:ascii="Times New Roman" w:hAnsi="Times New Roman" w:hint="eastAsia"/>
          <w:color w:val="000000" w:themeColor="text1"/>
        </w:rPr>
        <w:t>國內仍有諸多疑慮，例如在少子女化趨勢下，恐造成生源拉扯；或賦予外國大學較多辦學彈性，恐與國內大學形成不公平競爭」等語，顯示我國高等教育國際化課題，仍徘徊在理想與現實間。政府如欲促進國際多向交流、打造國內國際化環境，理應支持國際高教資源來臺並鬆綁相關限制，藉此</w:t>
      </w:r>
      <w:r w:rsidRPr="00A00D38">
        <w:rPr>
          <w:color w:val="000000" w:themeColor="text1"/>
        </w:rPr>
        <w:t>滿足國人學習進修需求，</w:t>
      </w:r>
      <w:r w:rsidRPr="00A00D38">
        <w:rPr>
          <w:rFonts w:hint="eastAsia"/>
          <w:color w:val="000000" w:themeColor="text1"/>
        </w:rPr>
        <w:t>並透過</w:t>
      </w:r>
      <w:r w:rsidRPr="00A00D38">
        <w:rPr>
          <w:color w:val="000000" w:themeColor="text1"/>
        </w:rPr>
        <w:t>國際知名高等教育機構課程之帶動，</w:t>
      </w:r>
      <w:r w:rsidRPr="00A00D38">
        <w:rPr>
          <w:rFonts w:hint="eastAsia"/>
          <w:color w:val="000000" w:themeColor="text1"/>
        </w:rPr>
        <w:t>落實國際交流目標，</w:t>
      </w:r>
      <w:r w:rsidRPr="00A00D38">
        <w:rPr>
          <w:rFonts w:ascii="Times New Roman" w:hAnsi="Times New Roman" w:hint="eastAsia"/>
          <w:color w:val="000000" w:themeColor="text1"/>
        </w:rPr>
        <w:t>惟現實上仍顧慮此舉對國內學校生源之衝擊，故我國推動高等教育國際化，仍將主力資源用於吸引境外學生來臺，致國際化的推動形式不無侷限。</w:t>
      </w:r>
      <w:bookmarkEnd w:id="164"/>
      <w:bookmarkEnd w:id="165"/>
      <w:r w:rsidRPr="00A00D38">
        <w:rPr>
          <w:rFonts w:ascii="Times New Roman" w:hAnsi="Times New Roman"/>
          <w:color w:val="000000" w:themeColor="text1"/>
        </w:rPr>
        <w:br/>
      </w:r>
    </w:p>
    <w:p w:rsidR="006C2670" w:rsidRPr="00A00D38" w:rsidRDefault="006C2670" w:rsidP="006C2670">
      <w:pPr>
        <w:pStyle w:val="3"/>
        <w:ind w:left="1361"/>
        <w:rPr>
          <w:rFonts w:ascii="Times New Roman" w:hAnsi="Times New Roman"/>
          <w:color w:val="000000" w:themeColor="text1"/>
        </w:rPr>
      </w:pPr>
      <w:bookmarkStart w:id="166" w:name="_Toc491711195"/>
      <w:bookmarkStart w:id="167" w:name="_Toc492371069"/>
      <w:r w:rsidRPr="00A00D38">
        <w:rPr>
          <w:rFonts w:ascii="Times New Roman" w:hAnsi="Times New Roman" w:hint="eastAsia"/>
          <w:color w:val="000000" w:themeColor="text1"/>
        </w:rPr>
        <w:t>另，</w:t>
      </w:r>
      <w:r w:rsidRPr="00A00D38">
        <w:rPr>
          <w:rFonts w:hint="eastAsia"/>
          <w:color w:val="000000" w:themeColor="text1"/>
        </w:rPr>
        <w:t>關於國際學士學位學程之辦理情形與相關問題，以報載</w:t>
      </w:r>
      <w:r w:rsidRPr="00A00D38">
        <w:rPr>
          <w:rStyle w:val="aff0"/>
          <w:color w:val="000000" w:themeColor="text1"/>
        </w:rPr>
        <w:footnoteReference w:id="12"/>
      </w:r>
      <w:r w:rsidRPr="00A00D38">
        <w:rPr>
          <w:rFonts w:hint="eastAsia"/>
          <w:color w:val="000000" w:themeColor="text1"/>
        </w:rPr>
        <w:t>「國立臺灣大學原訂於今年增設國際學士學位學程，惟因招生名額、學費、以及採計SAT成績等問題，與教育行政主管機關意見歧異而未能順利招生」一案為例，教育部澄清稿</w:t>
      </w:r>
      <w:r w:rsidRPr="00A00D38">
        <w:rPr>
          <w:rStyle w:val="aff0"/>
          <w:color w:val="000000" w:themeColor="text1"/>
        </w:rPr>
        <w:footnoteReference w:id="13"/>
      </w:r>
      <w:r w:rsidRPr="00A00D38">
        <w:rPr>
          <w:rFonts w:hint="eastAsia"/>
          <w:color w:val="000000" w:themeColor="text1"/>
        </w:rPr>
        <w:t>雖述及「</w:t>
      </w:r>
      <w:r w:rsidRPr="00A00D38">
        <w:rPr>
          <w:color w:val="000000" w:themeColor="text1"/>
        </w:rPr>
        <w:t>國際學程應以招收國際學生為主，初期暫不宜擴大招收國內學生</w:t>
      </w:r>
      <w:r w:rsidRPr="00A00D38">
        <w:rPr>
          <w:rFonts w:hint="eastAsia"/>
          <w:color w:val="000000" w:themeColor="text1"/>
        </w:rPr>
        <w:t>」，然而對照上開此類班級辦理情形，顯見外籍</w:t>
      </w:r>
      <w:r w:rsidRPr="00A00D38">
        <w:rPr>
          <w:rFonts w:hint="eastAsia"/>
          <w:color w:val="000000" w:themeColor="text1"/>
        </w:rPr>
        <w:lastRenderedPageBreak/>
        <w:t>學生之招生狀況，長期以來即與政策目標有間，應予釐清問題癥結，而非一昧限制又坐視各校招生面臨瓶頸難以解決，況且司法院</w:t>
      </w:r>
      <w:r w:rsidRPr="00A00D38">
        <w:rPr>
          <w:rFonts w:ascii="Times New Roman" w:hAnsi="Times New Roman"/>
          <w:color w:val="000000" w:themeColor="text1"/>
        </w:rPr>
        <w:t>大法官釋字第</w:t>
      </w:r>
      <w:r w:rsidRPr="00A00D38">
        <w:rPr>
          <w:rFonts w:ascii="Times New Roman" w:hAnsi="Times New Roman"/>
          <w:color w:val="000000" w:themeColor="text1"/>
        </w:rPr>
        <w:t>626</w:t>
      </w:r>
      <w:r w:rsidRPr="00A00D38">
        <w:rPr>
          <w:rFonts w:ascii="Times New Roman" w:hAnsi="Times New Roman"/>
          <w:color w:val="000000" w:themeColor="text1"/>
        </w:rPr>
        <w:t>號解釋</w:t>
      </w:r>
      <w:r w:rsidRPr="00A00D38">
        <w:rPr>
          <w:rFonts w:ascii="Times New Roman" w:hAnsi="Times New Roman" w:hint="eastAsia"/>
          <w:color w:val="000000" w:themeColor="text1"/>
        </w:rPr>
        <w:t>理由書略以</w:t>
      </w:r>
      <w:r w:rsidRPr="00A00D38">
        <w:rPr>
          <w:rFonts w:ascii="Times New Roman" w:hAnsi="Times New Roman"/>
          <w:color w:val="000000" w:themeColor="text1"/>
        </w:rPr>
        <w:t>，</w:t>
      </w:r>
      <w:r w:rsidRPr="00A00D38">
        <w:rPr>
          <w:rFonts w:hAnsi="標楷體" w:hint="eastAsia"/>
          <w:color w:val="000000" w:themeColor="text1"/>
        </w:rPr>
        <w:t>「</w:t>
      </w:r>
      <w:r w:rsidRPr="00A00D38">
        <w:rPr>
          <w:rFonts w:ascii="Times New Roman" w:hAnsi="Times New Roman"/>
          <w:color w:val="000000" w:themeColor="text1"/>
        </w:rPr>
        <w:t>大學自治事項範圍除內部組織、課程設計、研究內容、學力評鑑、考試規則及畢業條件等外，亦包括入學資格在內</w:t>
      </w:r>
      <w:r w:rsidRPr="00A00D38">
        <w:rPr>
          <w:rFonts w:hAnsi="標楷體" w:hint="eastAsia"/>
          <w:color w:val="000000" w:themeColor="text1"/>
        </w:rPr>
        <w:t>」</w:t>
      </w:r>
      <w:r w:rsidRPr="00A00D38">
        <w:rPr>
          <w:rFonts w:ascii="Times New Roman" w:hAnsi="Times New Roman" w:hint="eastAsia"/>
          <w:color w:val="000000" w:themeColor="text1"/>
        </w:rPr>
        <w:t>，教育部為引領高等教育國際競爭與發展，管制界限究應如何訂定，尚有檢討空間</w:t>
      </w:r>
      <w:r w:rsidRPr="00A00D38">
        <w:rPr>
          <w:rFonts w:ascii="Times New Roman" w:hAnsi="Times New Roman"/>
          <w:color w:val="000000" w:themeColor="text1"/>
        </w:rPr>
        <w:t>。</w:t>
      </w:r>
      <w:bookmarkEnd w:id="166"/>
      <w:bookmarkEnd w:id="167"/>
      <w:r w:rsidRPr="00A00D38">
        <w:rPr>
          <w:rFonts w:ascii="Times New Roman" w:hAnsi="Times New Roman" w:hint="eastAsia"/>
          <w:color w:val="000000" w:themeColor="text1"/>
        </w:rPr>
        <w:br/>
      </w:r>
    </w:p>
    <w:p w:rsidR="006C2670" w:rsidRPr="00A00D38" w:rsidRDefault="006C2670" w:rsidP="006C2670">
      <w:pPr>
        <w:pStyle w:val="3"/>
        <w:rPr>
          <w:rFonts w:ascii="Times New Roman" w:hAnsi="Times New Roman"/>
          <w:color w:val="000000" w:themeColor="text1"/>
        </w:rPr>
      </w:pPr>
      <w:bookmarkStart w:id="168" w:name="_Toc488227888"/>
      <w:bookmarkStart w:id="169" w:name="_Toc491711196"/>
      <w:bookmarkStart w:id="170" w:name="_Toc492371070"/>
      <w:r w:rsidRPr="00A00D38">
        <w:rPr>
          <w:rFonts w:ascii="Times New Roman" w:hAnsi="Times New Roman" w:hint="eastAsia"/>
          <w:color w:val="000000" w:themeColor="text1"/>
        </w:rPr>
        <w:t>至於</w:t>
      </w:r>
      <w:r w:rsidRPr="00A00D38">
        <w:rPr>
          <w:rFonts w:ascii="Times New Roman" w:hAnsi="Times New Roman"/>
          <w:color w:val="000000" w:themeColor="text1"/>
        </w:rPr>
        <w:t>教育部</w:t>
      </w:r>
      <w:r w:rsidRPr="00A00D38">
        <w:rPr>
          <w:rFonts w:ascii="Times New Roman" w:hAnsi="Times New Roman" w:hint="eastAsia"/>
          <w:color w:val="000000" w:themeColor="text1"/>
        </w:rPr>
        <w:t>表示目前相關</w:t>
      </w:r>
      <w:r w:rsidRPr="00A00D38">
        <w:rPr>
          <w:rFonts w:ascii="Times New Roman" w:hAnsi="Times New Roman"/>
          <w:color w:val="000000" w:themeColor="text1"/>
        </w:rPr>
        <w:t>權宜做法</w:t>
      </w:r>
      <w:r w:rsidRPr="00A00D38">
        <w:rPr>
          <w:rFonts w:ascii="Times New Roman" w:hAnsi="Times New Roman" w:hint="eastAsia"/>
          <w:color w:val="000000" w:themeColor="text1"/>
        </w:rPr>
        <w:t>亦存諸多挑戰，例如</w:t>
      </w:r>
      <w:r w:rsidRPr="00A00D38">
        <w:rPr>
          <w:rFonts w:ascii="Times New Roman" w:hAnsi="Times New Roman"/>
          <w:color w:val="000000" w:themeColor="text1"/>
        </w:rPr>
        <w:t>與國外學校辦理雙</w:t>
      </w:r>
      <w:r w:rsidRPr="00A00D38">
        <w:rPr>
          <w:rFonts w:ascii="Times New Roman" w:hAnsi="Times New Roman"/>
          <w:color w:val="000000" w:themeColor="text1"/>
          <w:szCs w:val="32"/>
        </w:rPr>
        <w:t>聯</w:t>
      </w:r>
      <w:r w:rsidRPr="00A00D38">
        <w:rPr>
          <w:rFonts w:ascii="Times New Roman" w:hAnsi="Times New Roman"/>
          <w:color w:val="000000" w:themeColor="text1"/>
        </w:rPr>
        <w:t>學制，</w:t>
      </w:r>
      <w:bookmarkStart w:id="171" w:name="_Toc488227890"/>
      <w:bookmarkEnd w:id="168"/>
      <w:r w:rsidRPr="00A00D38">
        <w:rPr>
          <w:rFonts w:ascii="Times New Roman" w:hAnsi="Times New Roman" w:hint="eastAsia"/>
          <w:color w:val="000000" w:themeColor="text1"/>
        </w:rPr>
        <w:t>雙聯學制大多以系所對系所簽約，其困難為學分需互相抵免及採認，過程聯繫上往返較耗時，且如何增進彼此對「品質」定義之共識，確保雙方所提供課程符合彼此所認定的標準？另，本國與境外大學之學雜費落差大，爰造成雙邊學生在經費上多所考量。</w:t>
      </w:r>
      <w:r w:rsidRPr="00A00D38">
        <w:rPr>
          <w:rFonts w:ascii="Times New Roman" w:hAnsi="Times New Roman"/>
          <w:color w:val="000000" w:themeColor="text1"/>
        </w:rPr>
        <w:t>教育部允宜積極追蹤瞭解各該</w:t>
      </w:r>
      <w:r w:rsidRPr="00A00D38">
        <w:rPr>
          <w:rFonts w:ascii="Times New Roman" w:hAnsi="Times New Roman" w:hint="eastAsia"/>
          <w:color w:val="000000" w:themeColor="text1"/>
        </w:rPr>
        <w:t>瓶頸之解決辦法</w:t>
      </w:r>
      <w:r w:rsidRPr="00A00D38">
        <w:rPr>
          <w:rFonts w:ascii="Times New Roman" w:hAnsi="Times New Roman"/>
          <w:color w:val="000000" w:themeColor="text1"/>
        </w:rPr>
        <w:t>，輔以適當法令鬆綁，俾落實大法官釋字</w:t>
      </w:r>
      <w:r w:rsidRPr="00A00D38">
        <w:rPr>
          <w:rFonts w:ascii="Times New Roman" w:hAnsi="Times New Roman"/>
          <w:color w:val="000000" w:themeColor="text1"/>
        </w:rPr>
        <w:t>626</w:t>
      </w:r>
      <w:r w:rsidRPr="00A00D38">
        <w:rPr>
          <w:rFonts w:ascii="Times New Roman" w:hAnsi="Times New Roman"/>
          <w:color w:val="000000" w:themeColor="text1"/>
        </w:rPr>
        <w:t>號解釋所示，</w:t>
      </w:r>
      <w:r w:rsidRPr="00A00D38">
        <w:rPr>
          <w:rFonts w:ascii="Times New Roman" w:hAnsi="Times New Roman" w:hint="eastAsia"/>
          <w:color w:val="000000" w:themeColor="text1"/>
        </w:rPr>
        <w:t>「</w:t>
      </w:r>
      <w:r w:rsidRPr="00A00D38">
        <w:rPr>
          <w:rFonts w:ascii="Times New Roman" w:hAnsi="Times New Roman"/>
          <w:color w:val="000000" w:themeColor="text1"/>
        </w:rPr>
        <w:t>大學得藉篩選學生，維繫學校品質，提升競爭力，並發展特色，實現教育理念</w:t>
      </w:r>
      <w:r w:rsidRPr="00A00D38">
        <w:rPr>
          <w:rFonts w:ascii="Times New Roman" w:hAnsi="Times New Roman" w:hint="eastAsia"/>
          <w:color w:val="000000" w:themeColor="text1"/>
        </w:rPr>
        <w:t>」</w:t>
      </w:r>
      <w:r w:rsidRPr="00A00D38">
        <w:rPr>
          <w:rFonts w:ascii="Times New Roman" w:hAnsi="Times New Roman"/>
          <w:color w:val="000000" w:themeColor="text1"/>
        </w:rPr>
        <w:t>等情。</w:t>
      </w:r>
      <w:bookmarkEnd w:id="169"/>
      <w:bookmarkEnd w:id="170"/>
      <w:bookmarkEnd w:id="171"/>
      <w:r w:rsidRPr="00A00D38">
        <w:rPr>
          <w:rFonts w:ascii="Times New Roman" w:hAnsi="Times New Roman" w:hint="eastAsia"/>
          <w:color w:val="000000" w:themeColor="text1"/>
        </w:rPr>
        <w:br/>
      </w:r>
    </w:p>
    <w:p w:rsidR="006C2670" w:rsidRPr="00A00D38" w:rsidRDefault="006C2670" w:rsidP="006C2670">
      <w:pPr>
        <w:pStyle w:val="3"/>
        <w:rPr>
          <w:color w:val="000000" w:themeColor="text1"/>
        </w:rPr>
      </w:pPr>
      <w:bookmarkStart w:id="172" w:name="_Toc488227891"/>
      <w:bookmarkStart w:id="173" w:name="_Toc489383107"/>
      <w:bookmarkStart w:id="174" w:name="_Toc491711197"/>
      <w:bookmarkStart w:id="175" w:name="_Toc492371071"/>
      <w:r w:rsidRPr="00A00D38">
        <w:rPr>
          <w:color w:val="000000" w:themeColor="text1"/>
        </w:rPr>
        <w:t>綜上，</w:t>
      </w:r>
      <w:bookmarkEnd w:id="172"/>
      <w:r w:rsidRPr="00A00D38">
        <w:rPr>
          <w:rFonts w:hint="eastAsia"/>
          <w:color w:val="000000" w:themeColor="text1"/>
        </w:rPr>
        <w:t>招收海外學生來臺或引進海外機構來臺辦學，均可促進國際學術交流，惟不論海外機構來臺或由我國大學與國外學校合作開設國際學位學程專班等，執行情形均不理想，恐與教育部立場存有矛盾不無關聯。高等教育之國際化，往往伴隨著國際競爭的壓力，惟教育部於推動高等教育國際化的同時，又時不時對國內高等教育採取保護及限制規定，</w:t>
      </w:r>
      <w:bookmarkEnd w:id="173"/>
      <w:r w:rsidRPr="00A00D38">
        <w:rPr>
          <w:rFonts w:hint="eastAsia"/>
          <w:color w:val="000000" w:themeColor="text1"/>
        </w:rPr>
        <w:t>對於大學學術自主之發展究否適當？似不無檢討空間。</w:t>
      </w:r>
      <w:bookmarkEnd w:id="174"/>
      <w:bookmarkEnd w:id="175"/>
      <w:r w:rsidRPr="00A00D38">
        <w:rPr>
          <w:color w:val="000000" w:themeColor="text1"/>
        </w:rPr>
        <w:br/>
      </w:r>
    </w:p>
    <w:p w:rsidR="006C2670" w:rsidRPr="00A00D38" w:rsidRDefault="006C2670" w:rsidP="006C2670">
      <w:pPr>
        <w:pStyle w:val="2"/>
        <w:numPr>
          <w:ilvl w:val="0"/>
          <w:numId w:val="33"/>
        </w:numPr>
        <w:ind w:left="1020" w:hanging="680"/>
        <w:rPr>
          <w:b/>
          <w:color w:val="000000" w:themeColor="text1"/>
          <w:szCs w:val="52"/>
        </w:rPr>
      </w:pPr>
      <w:bookmarkStart w:id="176" w:name="_Toc492371072"/>
      <w:r w:rsidRPr="00A00D38">
        <w:rPr>
          <w:rFonts w:hint="eastAsia"/>
          <w:b/>
          <w:color w:val="000000" w:themeColor="text1"/>
        </w:rPr>
        <w:t>我國推動</w:t>
      </w:r>
      <w:r w:rsidRPr="00A00D38">
        <w:rPr>
          <w:b/>
          <w:color w:val="000000" w:themeColor="text1"/>
        </w:rPr>
        <w:t>專科以上學校開設境外專班</w:t>
      </w:r>
      <w:r w:rsidRPr="00A00D38">
        <w:rPr>
          <w:rFonts w:hint="eastAsia"/>
          <w:b/>
          <w:color w:val="000000" w:themeColor="text1"/>
        </w:rPr>
        <w:t>政策，已逾10載</w:t>
      </w:r>
      <w:r w:rsidRPr="00A00D38">
        <w:rPr>
          <w:b/>
          <w:color w:val="000000" w:themeColor="text1"/>
        </w:rPr>
        <w:t>，</w:t>
      </w:r>
      <w:r w:rsidRPr="00A00D38">
        <w:rPr>
          <w:rFonts w:hint="eastAsia"/>
          <w:b/>
          <w:color w:val="000000" w:themeColor="text1"/>
        </w:rPr>
        <w:t>就</w:t>
      </w:r>
      <w:r w:rsidRPr="00A00D38">
        <w:rPr>
          <w:b/>
          <w:color w:val="000000" w:themeColor="text1"/>
        </w:rPr>
        <w:t>102學年度至105學年度</w:t>
      </w:r>
      <w:r w:rsidRPr="00A00D38">
        <w:rPr>
          <w:rFonts w:hint="eastAsia"/>
          <w:b/>
          <w:color w:val="000000" w:themeColor="text1"/>
        </w:rPr>
        <w:t>執行狀況觀之</w:t>
      </w:r>
      <w:r w:rsidRPr="00A00D38">
        <w:rPr>
          <w:b/>
          <w:color w:val="000000" w:themeColor="text1"/>
        </w:rPr>
        <w:t>，僅1</w:t>
      </w:r>
      <w:r w:rsidRPr="00A00D38">
        <w:rPr>
          <w:rFonts w:hint="eastAsia"/>
          <w:b/>
          <w:color w:val="000000" w:themeColor="text1"/>
        </w:rPr>
        <w:t>9所大專校院</w:t>
      </w:r>
      <w:r w:rsidRPr="00A00D38">
        <w:rPr>
          <w:b/>
          <w:color w:val="000000" w:themeColor="text1"/>
        </w:rPr>
        <w:t>參與</w:t>
      </w:r>
      <w:r w:rsidRPr="00A00D38">
        <w:rPr>
          <w:rFonts w:hint="eastAsia"/>
          <w:b/>
          <w:color w:val="000000" w:themeColor="text1"/>
        </w:rPr>
        <w:t>，一般大學</w:t>
      </w:r>
      <w:r w:rsidRPr="00A00D38">
        <w:rPr>
          <w:b/>
          <w:color w:val="000000" w:themeColor="text1"/>
        </w:rPr>
        <w:t>開班</w:t>
      </w:r>
      <w:r w:rsidRPr="00A00D38">
        <w:rPr>
          <w:rFonts w:hint="eastAsia"/>
          <w:b/>
          <w:color w:val="000000" w:themeColor="text1"/>
        </w:rPr>
        <w:t>比</w:t>
      </w:r>
      <w:r w:rsidRPr="00A00D38">
        <w:rPr>
          <w:b/>
          <w:color w:val="000000" w:themeColor="text1"/>
        </w:rPr>
        <w:t>率</w:t>
      </w:r>
      <w:r w:rsidRPr="00A00D38">
        <w:rPr>
          <w:rFonts w:hint="eastAsia"/>
          <w:b/>
          <w:color w:val="000000" w:themeColor="text1"/>
        </w:rPr>
        <w:t>未</w:t>
      </w:r>
      <w:r w:rsidRPr="00A00D38">
        <w:rPr>
          <w:b/>
          <w:color w:val="000000" w:themeColor="text1"/>
        </w:rPr>
        <w:t>達</w:t>
      </w:r>
      <w:r w:rsidRPr="00A00D38">
        <w:rPr>
          <w:rFonts w:hint="eastAsia"/>
          <w:b/>
          <w:color w:val="000000" w:themeColor="text1"/>
        </w:rPr>
        <w:t>半數</w:t>
      </w:r>
      <w:r w:rsidRPr="00A00D38">
        <w:rPr>
          <w:b/>
          <w:color w:val="000000" w:themeColor="text1"/>
        </w:rPr>
        <w:t>，招生率亦僅2</w:t>
      </w:r>
      <w:r w:rsidRPr="00A00D38">
        <w:rPr>
          <w:rFonts w:hint="eastAsia"/>
          <w:b/>
          <w:color w:val="000000" w:themeColor="text1"/>
        </w:rPr>
        <w:t>4</w:t>
      </w:r>
      <w:r w:rsidRPr="00A00D38">
        <w:rPr>
          <w:b/>
          <w:color w:val="000000" w:themeColor="text1"/>
        </w:rPr>
        <w:t>.</w:t>
      </w:r>
      <w:r w:rsidRPr="00A00D38">
        <w:rPr>
          <w:rFonts w:hint="eastAsia"/>
          <w:b/>
          <w:color w:val="000000" w:themeColor="text1"/>
        </w:rPr>
        <w:t>02</w:t>
      </w:r>
      <w:r w:rsidRPr="00A00D38">
        <w:rPr>
          <w:rFonts w:hAnsi="標楷體" w:hint="eastAsia"/>
          <w:b/>
          <w:color w:val="000000" w:themeColor="text1"/>
        </w:rPr>
        <w:t>％</w:t>
      </w:r>
      <w:r w:rsidRPr="00A00D38">
        <w:rPr>
          <w:b/>
          <w:color w:val="000000" w:themeColor="text1"/>
        </w:rPr>
        <w:t>，</w:t>
      </w:r>
      <w:r w:rsidRPr="00A00D38">
        <w:rPr>
          <w:rFonts w:hint="eastAsia"/>
          <w:b/>
          <w:color w:val="000000" w:themeColor="text1"/>
        </w:rPr>
        <w:t>整體</w:t>
      </w:r>
      <w:r w:rsidRPr="00A00D38">
        <w:rPr>
          <w:b/>
          <w:color w:val="000000" w:themeColor="text1"/>
        </w:rPr>
        <w:t>規模不足</w:t>
      </w:r>
      <w:r w:rsidRPr="00A00D38">
        <w:rPr>
          <w:rFonts w:hint="eastAsia"/>
          <w:b/>
          <w:color w:val="000000" w:themeColor="text1"/>
        </w:rPr>
        <w:t>、招生成效不彰，</w:t>
      </w:r>
      <w:r w:rsidRPr="00A00D38">
        <w:rPr>
          <w:b/>
          <w:color w:val="000000" w:themeColor="text1"/>
        </w:rPr>
        <w:t>容有通盤檢討之必要</w:t>
      </w:r>
      <w:r w:rsidRPr="00A00D38">
        <w:rPr>
          <w:rFonts w:hint="eastAsia"/>
          <w:b/>
          <w:color w:val="000000" w:themeColor="text1"/>
        </w:rPr>
        <w:t>。</w:t>
      </w:r>
      <w:bookmarkEnd w:id="176"/>
    </w:p>
    <w:p w:rsidR="006C2670" w:rsidRPr="00A00D38" w:rsidRDefault="006C2670" w:rsidP="006C73D0">
      <w:pPr>
        <w:pStyle w:val="3"/>
        <w:numPr>
          <w:ilvl w:val="2"/>
          <w:numId w:val="67"/>
        </w:numPr>
        <w:rPr>
          <w:rFonts w:ascii="Times New Roman" w:hAnsi="Times New Roman"/>
          <w:color w:val="000000" w:themeColor="text1"/>
        </w:rPr>
      </w:pPr>
      <w:bookmarkStart w:id="177" w:name="_Toc491711199"/>
      <w:bookmarkStart w:id="178" w:name="_Toc492371073"/>
      <w:bookmarkStart w:id="179" w:name="_Toc488227893"/>
      <w:bookmarkStart w:id="180" w:name="_Toc489383109"/>
      <w:r w:rsidRPr="00A00D38">
        <w:rPr>
          <w:rFonts w:ascii="Times New Roman" w:hAnsi="Times New Roman"/>
          <w:color w:val="000000" w:themeColor="text1"/>
        </w:rPr>
        <w:t>教育部於</w:t>
      </w:r>
      <w:r w:rsidRPr="00A00D38">
        <w:rPr>
          <w:rFonts w:ascii="Times New Roman" w:hAnsi="Times New Roman"/>
          <w:color w:val="000000" w:themeColor="text1"/>
        </w:rPr>
        <w:t>96</w:t>
      </w:r>
      <w:r w:rsidRPr="00A00D38">
        <w:rPr>
          <w:rFonts w:ascii="Times New Roman" w:hAnsi="Times New Roman"/>
          <w:color w:val="000000" w:themeColor="text1"/>
        </w:rPr>
        <w:t>年訂頒「專科以上學校開設境外專班申請及審查作業要點」，該要點第</w:t>
      </w:r>
      <w:r w:rsidRPr="00A00D38">
        <w:rPr>
          <w:rFonts w:ascii="Times New Roman" w:hAnsi="Times New Roman"/>
          <w:color w:val="000000" w:themeColor="text1"/>
        </w:rPr>
        <w:t>1</w:t>
      </w:r>
      <w:r w:rsidRPr="00A00D38">
        <w:rPr>
          <w:rFonts w:ascii="Times New Roman" w:hAnsi="Times New Roman"/>
          <w:color w:val="000000" w:themeColor="text1"/>
        </w:rPr>
        <w:t>點指出其實施目的為：</w:t>
      </w:r>
      <w:r w:rsidRPr="00A00D38">
        <w:rPr>
          <w:rFonts w:hAnsi="標楷體" w:hint="eastAsia"/>
          <w:color w:val="000000" w:themeColor="text1"/>
        </w:rPr>
        <w:t>「</w:t>
      </w:r>
      <w:r w:rsidRPr="00A00D38">
        <w:rPr>
          <w:rFonts w:ascii="Times New Roman" w:hAnsi="Times New Roman"/>
          <w:color w:val="000000" w:themeColor="text1"/>
        </w:rPr>
        <w:t>促進高等教育國際化、強化學術交流，增進高等教育產業輸出、提升國際競爭力，並協助各專科以上學校辦理赴境外地區與當地合作學校共同設立境外專班之相關作業</w:t>
      </w:r>
      <w:r w:rsidRPr="00A00D38">
        <w:rPr>
          <w:rFonts w:hAnsi="標楷體" w:hint="eastAsia"/>
          <w:color w:val="000000" w:themeColor="text1"/>
        </w:rPr>
        <w:t>」</w:t>
      </w:r>
      <w:r w:rsidRPr="00A00D38">
        <w:rPr>
          <w:rFonts w:ascii="Times New Roman" w:hAnsi="Times New Roman"/>
          <w:color w:val="000000" w:themeColor="text1"/>
        </w:rPr>
        <w:t>，並對開班條件、招生學制、合作對象、報考資格、招生名額、師資條件、學歷採認、授課時間、收費基準、開班計畫等進行規</w:t>
      </w:r>
      <w:r w:rsidRPr="00A00D38">
        <w:rPr>
          <w:rFonts w:ascii="Times New Roman" w:hAnsi="Times New Roman" w:hint="eastAsia"/>
          <w:color w:val="000000" w:themeColor="text1"/>
        </w:rPr>
        <w:t>範。</w:t>
      </w:r>
      <w:r w:rsidRPr="00A00D38">
        <w:rPr>
          <w:rFonts w:ascii="Times New Roman" w:hAnsi="Times New Roman"/>
          <w:color w:val="000000" w:themeColor="text1"/>
        </w:rPr>
        <w:t>高等教育國際化之境外專班業務，</w:t>
      </w:r>
      <w:r w:rsidRPr="00A00D38">
        <w:rPr>
          <w:rFonts w:ascii="Times New Roman" w:hAnsi="Times New Roman" w:hint="eastAsia"/>
          <w:color w:val="000000" w:themeColor="text1"/>
        </w:rPr>
        <w:t>迄已推動逾</w:t>
      </w:r>
      <w:r w:rsidRPr="00A00D38">
        <w:rPr>
          <w:rFonts w:ascii="Times New Roman" w:hAnsi="Times New Roman" w:hint="eastAsia"/>
          <w:color w:val="000000" w:themeColor="text1"/>
        </w:rPr>
        <w:t>10</w:t>
      </w:r>
      <w:r w:rsidRPr="00A00D38">
        <w:rPr>
          <w:rFonts w:ascii="Times New Roman" w:hAnsi="Times New Roman" w:hint="eastAsia"/>
          <w:color w:val="000000" w:themeColor="text1"/>
        </w:rPr>
        <w:t>年</w:t>
      </w:r>
      <w:r w:rsidRPr="00A00D38">
        <w:rPr>
          <w:rFonts w:ascii="Times New Roman" w:hAnsi="Times New Roman"/>
          <w:color w:val="000000" w:themeColor="text1"/>
        </w:rPr>
        <w:t>。</w:t>
      </w:r>
      <w:bookmarkEnd w:id="177"/>
      <w:bookmarkEnd w:id="178"/>
      <w:r w:rsidRPr="00A00D38">
        <w:rPr>
          <w:rFonts w:ascii="Times New Roman" w:hAnsi="Times New Roman" w:hint="eastAsia"/>
          <w:color w:val="000000" w:themeColor="text1"/>
        </w:rPr>
        <w:br/>
      </w:r>
    </w:p>
    <w:p w:rsidR="006C2670" w:rsidRPr="00A00D38" w:rsidRDefault="006C2670" w:rsidP="006C2670">
      <w:pPr>
        <w:pStyle w:val="3"/>
        <w:rPr>
          <w:rFonts w:ascii="Times New Roman" w:hAnsi="Times New Roman"/>
          <w:color w:val="000000" w:themeColor="text1"/>
          <w:sz w:val="24"/>
          <w:szCs w:val="24"/>
        </w:rPr>
      </w:pPr>
      <w:bookmarkStart w:id="181" w:name="_Toc491711200"/>
      <w:bookmarkStart w:id="182" w:name="_Toc492371074"/>
      <w:bookmarkStart w:id="183" w:name="_Toc488227895"/>
      <w:bookmarkStart w:id="184" w:name="_Toc489383111"/>
      <w:bookmarkEnd w:id="179"/>
      <w:bookmarkEnd w:id="180"/>
      <w:r w:rsidRPr="00A00D38">
        <w:rPr>
          <w:rFonts w:ascii="Times New Roman" w:hAnsi="Times New Roman" w:hint="eastAsia"/>
          <w:color w:val="000000" w:themeColor="text1"/>
        </w:rPr>
        <w:t>茲</w:t>
      </w:r>
      <w:r w:rsidRPr="00A00D38">
        <w:rPr>
          <w:rFonts w:ascii="Times New Roman" w:hAnsi="Times New Roman"/>
          <w:color w:val="000000" w:themeColor="text1"/>
        </w:rPr>
        <w:t>據教育部</w:t>
      </w:r>
      <w:r w:rsidRPr="00A00D38">
        <w:rPr>
          <w:rStyle w:val="aff0"/>
          <w:rFonts w:ascii="Times New Roman" w:hAnsi="Times New Roman"/>
          <w:color w:val="000000" w:themeColor="text1"/>
        </w:rPr>
        <w:footnoteReference w:id="14"/>
      </w:r>
      <w:r w:rsidRPr="00A00D38">
        <w:rPr>
          <w:rFonts w:ascii="Times New Roman" w:hAnsi="Times New Roman"/>
          <w:color w:val="000000" w:themeColor="text1"/>
        </w:rPr>
        <w:t>，</w:t>
      </w:r>
      <w:r w:rsidRPr="00A00D38">
        <w:rPr>
          <w:rFonts w:ascii="Times New Roman" w:hAnsi="Times New Roman" w:hint="eastAsia"/>
          <w:color w:val="000000" w:themeColor="text1"/>
        </w:rPr>
        <w:t>略述我國境外專班開辦情形如下：</w:t>
      </w:r>
      <w:bookmarkEnd w:id="181"/>
      <w:bookmarkEnd w:id="182"/>
    </w:p>
    <w:p w:rsidR="006C2670" w:rsidRPr="00A00D38" w:rsidRDefault="006C2670" w:rsidP="006C2670">
      <w:pPr>
        <w:pStyle w:val="4"/>
        <w:rPr>
          <w:color w:val="000000" w:themeColor="text1"/>
          <w:sz w:val="24"/>
          <w:szCs w:val="24"/>
        </w:rPr>
      </w:pPr>
      <w:r w:rsidRPr="00A00D38">
        <w:rPr>
          <w:rFonts w:ascii="Times New Roman" w:hAnsi="Times New Roman"/>
          <w:color w:val="000000" w:themeColor="text1"/>
        </w:rPr>
        <w:t>開班</w:t>
      </w:r>
      <w:r w:rsidRPr="00A00D38">
        <w:rPr>
          <w:rFonts w:ascii="Times New Roman" w:hAnsi="Times New Roman" w:hint="eastAsia"/>
          <w:color w:val="000000" w:themeColor="text1"/>
        </w:rPr>
        <w:t>比</w:t>
      </w:r>
      <w:r w:rsidRPr="00A00D38">
        <w:rPr>
          <w:rFonts w:ascii="Times New Roman" w:hAnsi="Times New Roman"/>
          <w:color w:val="000000" w:themeColor="text1"/>
        </w:rPr>
        <w:t>率</w:t>
      </w:r>
      <w:r w:rsidRPr="00A00D38">
        <w:rPr>
          <w:rFonts w:ascii="Times New Roman" w:hAnsi="Times New Roman" w:hint="eastAsia"/>
          <w:color w:val="000000" w:themeColor="text1"/>
        </w:rPr>
        <w:t>未</w:t>
      </w:r>
      <w:r w:rsidRPr="00A00D38">
        <w:rPr>
          <w:rFonts w:ascii="Times New Roman" w:hAnsi="Times New Roman"/>
          <w:color w:val="000000" w:themeColor="text1"/>
        </w:rPr>
        <w:t>達</w:t>
      </w:r>
      <w:r w:rsidRPr="00A00D38">
        <w:rPr>
          <w:rFonts w:ascii="Times New Roman" w:hAnsi="Times New Roman" w:hint="eastAsia"/>
          <w:color w:val="000000" w:themeColor="text1"/>
        </w:rPr>
        <w:t>半數：</w:t>
      </w:r>
    </w:p>
    <w:p w:rsidR="006C2670" w:rsidRPr="00A00D38" w:rsidRDefault="006C2670" w:rsidP="006C2670">
      <w:pPr>
        <w:pStyle w:val="5"/>
        <w:rPr>
          <w:color w:val="000000" w:themeColor="text1"/>
          <w:sz w:val="24"/>
          <w:szCs w:val="24"/>
        </w:rPr>
      </w:pPr>
      <w:r w:rsidRPr="00A00D38">
        <w:rPr>
          <w:color w:val="000000" w:themeColor="text1"/>
        </w:rPr>
        <w:t>一般大學</w:t>
      </w:r>
      <w:r w:rsidRPr="00A00D38">
        <w:rPr>
          <w:rFonts w:hint="eastAsia"/>
          <w:color w:val="000000" w:themeColor="text1"/>
        </w:rPr>
        <w:t>部分，</w:t>
      </w:r>
      <w:r w:rsidRPr="00A00D38">
        <w:rPr>
          <w:color w:val="000000" w:themeColor="text1"/>
        </w:rPr>
        <w:t>102學年度至105學年度有13所參與</w:t>
      </w:r>
      <w:r w:rsidRPr="00A00D38">
        <w:rPr>
          <w:rFonts w:hint="eastAsia"/>
          <w:color w:val="000000" w:themeColor="text1"/>
        </w:rPr>
        <w:t>，計畫</w:t>
      </w:r>
      <w:r w:rsidRPr="00A00D38">
        <w:rPr>
          <w:color w:val="000000" w:themeColor="text1"/>
        </w:rPr>
        <w:t>開設41班次之境外專班，開班地區分布於</w:t>
      </w:r>
      <w:r w:rsidRPr="00A00D38">
        <w:rPr>
          <w:rFonts w:hint="eastAsia"/>
          <w:color w:val="000000" w:themeColor="text1"/>
        </w:rPr>
        <w:t>中國</w:t>
      </w:r>
      <w:r w:rsidRPr="00A00D38">
        <w:rPr>
          <w:color w:val="000000" w:themeColor="text1"/>
        </w:rPr>
        <w:t>大陸、越南、馬來西亞等地，</w:t>
      </w:r>
      <w:r w:rsidRPr="00A00D38">
        <w:rPr>
          <w:rFonts w:hint="eastAsia"/>
          <w:color w:val="000000" w:themeColor="text1"/>
        </w:rPr>
        <w:t>惟有</w:t>
      </w:r>
      <w:r w:rsidRPr="00A00D38">
        <w:rPr>
          <w:color w:val="000000" w:themeColor="text1"/>
        </w:rPr>
        <w:t>24班次實際招生註冊人數為0</w:t>
      </w:r>
      <w:r w:rsidRPr="00A00D38">
        <w:rPr>
          <w:rFonts w:hint="eastAsia"/>
          <w:color w:val="000000" w:themeColor="text1"/>
        </w:rPr>
        <w:t>人，最後僅招收</w:t>
      </w:r>
      <w:r w:rsidRPr="00A00D38">
        <w:rPr>
          <w:color w:val="000000" w:themeColor="text1"/>
        </w:rPr>
        <w:t>257名學生</w:t>
      </w:r>
      <w:r w:rsidRPr="00A00D38">
        <w:rPr>
          <w:rFonts w:hint="eastAsia"/>
          <w:color w:val="000000" w:themeColor="text1"/>
        </w:rPr>
        <w:t>；換言之，未開班比率</w:t>
      </w:r>
      <w:r w:rsidRPr="00A00D38">
        <w:rPr>
          <w:color w:val="000000" w:themeColor="text1"/>
        </w:rPr>
        <w:t>高達58.54</w:t>
      </w:r>
      <w:r w:rsidRPr="00A00D38">
        <w:rPr>
          <w:rFonts w:hAnsi="標楷體" w:hint="eastAsia"/>
          <w:color w:val="000000" w:themeColor="text1"/>
        </w:rPr>
        <w:t>％</w:t>
      </w:r>
      <w:r w:rsidRPr="00A00D38">
        <w:rPr>
          <w:color w:val="000000" w:themeColor="text1"/>
        </w:rPr>
        <w:t>。</w:t>
      </w:r>
    </w:p>
    <w:p w:rsidR="006C2670" w:rsidRPr="00A00D38" w:rsidRDefault="006C2670" w:rsidP="006C2670">
      <w:pPr>
        <w:pStyle w:val="5"/>
        <w:rPr>
          <w:color w:val="000000" w:themeColor="text1"/>
          <w:sz w:val="24"/>
          <w:szCs w:val="24"/>
        </w:rPr>
      </w:pPr>
      <w:r w:rsidRPr="00A00D38">
        <w:rPr>
          <w:rFonts w:hint="eastAsia"/>
          <w:color w:val="000000" w:themeColor="text1"/>
        </w:rPr>
        <w:t>技專校院部分，1</w:t>
      </w:r>
      <w:r w:rsidRPr="00A00D38">
        <w:rPr>
          <w:color w:val="000000" w:themeColor="text1"/>
        </w:rPr>
        <w:t>02學年度至105學年度</w:t>
      </w:r>
      <w:r w:rsidRPr="00A00D38">
        <w:rPr>
          <w:rFonts w:hint="eastAsia"/>
          <w:color w:val="000000" w:themeColor="text1"/>
        </w:rPr>
        <w:t>，</w:t>
      </w:r>
      <w:r w:rsidRPr="00A00D38">
        <w:rPr>
          <w:color w:val="000000" w:themeColor="text1"/>
        </w:rPr>
        <w:t>有2所公立學校、4所私立學校參與</w:t>
      </w:r>
      <w:r w:rsidRPr="00A00D38">
        <w:rPr>
          <w:rFonts w:hint="eastAsia"/>
          <w:color w:val="000000" w:themeColor="text1"/>
        </w:rPr>
        <w:t>，</w:t>
      </w:r>
      <w:r w:rsidRPr="00A00D38">
        <w:rPr>
          <w:color w:val="000000" w:themeColor="text1"/>
        </w:rPr>
        <w:t>共開設28班次境外專班，開班地區主要分布於</w:t>
      </w:r>
      <w:r w:rsidRPr="00A00D38">
        <w:rPr>
          <w:rFonts w:hint="eastAsia"/>
          <w:color w:val="000000" w:themeColor="text1"/>
        </w:rPr>
        <w:t>中國</w:t>
      </w:r>
      <w:r w:rsidRPr="00A00D38">
        <w:rPr>
          <w:color w:val="000000" w:themeColor="text1"/>
        </w:rPr>
        <w:t>大陸、越南、泰國及馬來西亞等地。</w:t>
      </w:r>
    </w:p>
    <w:p w:rsidR="006C2670" w:rsidRPr="00A00D38" w:rsidRDefault="006C2670" w:rsidP="006C2670">
      <w:pPr>
        <w:pStyle w:val="4"/>
        <w:rPr>
          <w:color w:val="000000" w:themeColor="text1"/>
          <w:sz w:val="24"/>
          <w:szCs w:val="24"/>
        </w:rPr>
      </w:pPr>
      <w:r w:rsidRPr="00A00D38">
        <w:rPr>
          <w:color w:val="000000" w:themeColor="text1"/>
        </w:rPr>
        <w:lastRenderedPageBreak/>
        <w:t>招生率</w:t>
      </w:r>
      <w:r w:rsidRPr="00A00D38">
        <w:rPr>
          <w:rFonts w:hint="eastAsia"/>
          <w:color w:val="000000" w:themeColor="text1"/>
        </w:rPr>
        <w:t>低落：</w:t>
      </w:r>
    </w:p>
    <w:p w:rsidR="006C2670" w:rsidRPr="00A00D38" w:rsidRDefault="006C2670" w:rsidP="006C2670">
      <w:pPr>
        <w:pStyle w:val="5"/>
        <w:rPr>
          <w:color w:val="000000" w:themeColor="text1"/>
          <w:sz w:val="24"/>
          <w:szCs w:val="24"/>
        </w:rPr>
      </w:pPr>
      <w:r w:rsidRPr="00A00D38">
        <w:rPr>
          <w:color w:val="000000" w:themeColor="text1"/>
        </w:rPr>
        <w:t>一般大學核定招生名額共</w:t>
      </w:r>
      <w:r w:rsidRPr="00A00D38">
        <w:rPr>
          <w:rFonts w:hint="eastAsia"/>
          <w:color w:val="000000" w:themeColor="text1"/>
        </w:rPr>
        <w:t>1,274</w:t>
      </w:r>
      <w:r w:rsidRPr="00A00D38">
        <w:rPr>
          <w:color w:val="000000" w:themeColor="text1"/>
        </w:rPr>
        <w:t>人，實際註冊人數共3</w:t>
      </w:r>
      <w:r w:rsidRPr="00A00D38">
        <w:rPr>
          <w:rFonts w:hint="eastAsia"/>
          <w:color w:val="000000" w:themeColor="text1"/>
        </w:rPr>
        <w:t>06</w:t>
      </w:r>
      <w:r w:rsidRPr="00A00D38">
        <w:rPr>
          <w:color w:val="000000" w:themeColor="text1"/>
        </w:rPr>
        <w:t>人，招生率僅2</w:t>
      </w:r>
      <w:r w:rsidRPr="00A00D38">
        <w:rPr>
          <w:rFonts w:hint="eastAsia"/>
          <w:color w:val="000000" w:themeColor="text1"/>
        </w:rPr>
        <w:t>4</w:t>
      </w:r>
      <w:r w:rsidRPr="00A00D38">
        <w:rPr>
          <w:color w:val="000000" w:themeColor="text1"/>
        </w:rPr>
        <w:t>.</w:t>
      </w:r>
      <w:r w:rsidRPr="00A00D38">
        <w:rPr>
          <w:rFonts w:hint="eastAsia"/>
          <w:color w:val="000000" w:themeColor="text1"/>
        </w:rPr>
        <w:t>02</w:t>
      </w:r>
      <w:r w:rsidRPr="00A00D38">
        <w:rPr>
          <w:rFonts w:hAnsi="標楷體" w:hint="eastAsia"/>
          <w:color w:val="000000" w:themeColor="text1"/>
        </w:rPr>
        <w:t>％</w:t>
      </w:r>
      <w:r w:rsidRPr="00A00D38">
        <w:rPr>
          <w:rFonts w:hint="eastAsia"/>
          <w:color w:val="000000" w:themeColor="text1"/>
        </w:rPr>
        <w:t>。</w:t>
      </w:r>
    </w:p>
    <w:p w:rsidR="006C2670" w:rsidRPr="00A00D38" w:rsidRDefault="006C2670" w:rsidP="006C2670">
      <w:pPr>
        <w:pStyle w:val="5"/>
        <w:rPr>
          <w:color w:val="000000" w:themeColor="text1"/>
          <w:sz w:val="24"/>
          <w:szCs w:val="24"/>
        </w:rPr>
      </w:pPr>
      <w:r w:rsidRPr="00A00D38">
        <w:rPr>
          <w:color w:val="000000" w:themeColor="text1"/>
        </w:rPr>
        <w:t>技職校院部分，教育部則未提供確切核定名額</w:t>
      </w:r>
      <w:r w:rsidRPr="00A00D38">
        <w:rPr>
          <w:rFonts w:hint="eastAsia"/>
          <w:color w:val="000000" w:themeColor="text1"/>
        </w:rPr>
        <w:t>與相關數據</w:t>
      </w:r>
      <w:r w:rsidRPr="00A00D38">
        <w:rPr>
          <w:color w:val="000000" w:themeColor="text1"/>
        </w:rPr>
        <w:t>。</w:t>
      </w:r>
      <w:bookmarkEnd w:id="183"/>
      <w:bookmarkEnd w:id="184"/>
      <w:r w:rsidRPr="00A00D38">
        <w:rPr>
          <w:rFonts w:hint="eastAsia"/>
          <w:color w:val="000000" w:themeColor="text1"/>
        </w:rPr>
        <w:br/>
      </w:r>
    </w:p>
    <w:p w:rsidR="006C2670" w:rsidRPr="00A00D38" w:rsidRDefault="006C2670" w:rsidP="006C2670">
      <w:pPr>
        <w:pStyle w:val="3"/>
        <w:rPr>
          <w:color w:val="000000" w:themeColor="text1"/>
        </w:rPr>
      </w:pPr>
      <w:bookmarkStart w:id="185" w:name="_Toc491711201"/>
      <w:bookmarkStart w:id="186" w:name="_Toc492371075"/>
      <w:bookmarkStart w:id="187" w:name="_Toc485999677"/>
      <w:bookmarkStart w:id="188" w:name="_Toc488227896"/>
      <w:bookmarkStart w:id="189" w:name="_Toc489383112"/>
      <w:r w:rsidRPr="00A00D38">
        <w:rPr>
          <w:rFonts w:hint="eastAsia"/>
          <w:color w:val="000000" w:themeColor="text1"/>
        </w:rPr>
        <w:t>對於境外專班開設成效不彰原因，詢據教育部，</w:t>
      </w:r>
      <w:r w:rsidRPr="00A00D38">
        <w:rPr>
          <w:rFonts w:hAnsi="標楷體" w:hint="eastAsia"/>
          <w:color w:val="000000" w:themeColor="text1"/>
        </w:rPr>
        <w:t>「</w:t>
      </w:r>
      <w:r w:rsidRPr="00A00D38">
        <w:rPr>
          <w:rFonts w:hint="eastAsia"/>
          <w:color w:val="000000" w:themeColor="text1"/>
        </w:rPr>
        <w:t>係因報名人數不足、不符開班成本、與當地洽談不順而停招</w:t>
      </w:r>
      <w:r w:rsidRPr="00A00D38">
        <w:rPr>
          <w:rFonts w:hAnsi="標楷體" w:hint="eastAsia"/>
          <w:color w:val="000000" w:themeColor="text1"/>
        </w:rPr>
        <w:t>」</w:t>
      </w:r>
      <w:r w:rsidRPr="00A00D38">
        <w:rPr>
          <w:rFonts w:hint="eastAsia"/>
          <w:color w:val="000000" w:themeColor="text1"/>
        </w:rPr>
        <w:t>等，並稱「鼓勵學校開設境外專班，已適度放寬相關規定，</w:t>
      </w:r>
      <w:r w:rsidRPr="00A00D38">
        <w:rPr>
          <w:rFonts w:ascii="Times New Roman" w:hAnsi="Times New Roman" w:hint="eastAsia"/>
          <w:color w:val="000000" w:themeColor="text1"/>
        </w:rPr>
        <w:t>若該專班招生情形不佳，本部將視該校補充說明其招生策略後，審酌是否再次核定開班。</w:t>
      </w:r>
      <w:r w:rsidRPr="00A00D38">
        <w:rPr>
          <w:rFonts w:hint="eastAsia"/>
          <w:color w:val="000000" w:themeColor="text1"/>
        </w:rPr>
        <w:t>」；</w:t>
      </w:r>
      <w:r w:rsidRPr="00A00D38">
        <w:rPr>
          <w:rFonts w:ascii="Times New Roman" w:hAnsi="Times New Roman" w:hint="eastAsia"/>
          <w:color w:val="000000" w:themeColor="text1"/>
          <w:szCs w:val="32"/>
        </w:rPr>
        <w:t>該部主管人員於本院詢問時更稱「</w:t>
      </w:r>
      <w:r w:rsidRPr="00A00D38">
        <w:rPr>
          <w:rFonts w:hint="eastAsia"/>
          <w:color w:val="000000" w:themeColor="text1"/>
          <w:szCs w:val="32"/>
        </w:rPr>
        <w:t>在我國高等教育輸出方面，我國大學究竟能否以我國之經費，赴境外辦學，嘉惠國外學子，尚待形成共識，目前各大學經費有限，能辦好自身大學已十分吃力，已無赴境外辦學之餘力。」等語。</w:t>
      </w:r>
      <w:r w:rsidRPr="00A00D38">
        <w:rPr>
          <w:rFonts w:hint="eastAsia"/>
          <w:color w:val="000000" w:themeColor="text1"/>
        </w:rPr>
        <w:t>而本案諮詢專家學者意見指出：「教育部鼓勵學校往外發展，但多數學校的海外經驗顯示，學校沒有得到好處，教育部對境外專班管制還在，專班辦理過程繁複不談，甚至境外招到的陸生，亦受</w:t>
      </w:r>
      <w:r w:rsidRPr="00A00D38">
        <w:rPr>
          <w:rFonts w:hAnsi="標楷體" w:hint="eastAsia"/>
          <w:color w:val="000000" w:themeColor="text1"/>
        </w:rPr>
        <w:t>『</w:t>
      </w:r>
      <w:r w:rsidRPr="00A00D38">
        <w:rPr>
          <w:rFonts w:hint="eastAsia"/>
          <w:color w:val="000000" w:themeColor="text1"/>
        </w:rPr>
        <w:t>三限六不</w:t>
      </w:r>
      <w:r w:rsidRPr="00A00D38">
        <w:rPr>
          <w:rFonts w:hAnsi="標楷體" w:hint="eastAsia"/>
          <w:color w:val="000000" w:themeColor="text1"/>
        </w:rPr>
        <w:t>』</w:t>
      </w:r>
      <w:r w:rsidRPr="00A00D38">
        <w:rPr>
          <w:rFonts w:hint="eastAsia"/>
          <w:color w:val="000000" w:themeColor="text1"/>
        </w:rPr>
        <w:t>管轄」等語。顯見，教育部前揭理由皆為招生成效不彰之結果，而非原因，該</w:t>
      </w:r>
      <w:r w:rsidRPr="00A00D38">
        <w:rPr>
          <w:rFonts w:ascii="Times New Roman" w:hAnsi="Times New Roman" w:hint="eastAsia"/>
          <w:color w:val="000000" w:themeColor="text1"/>
        </w:rPr>
        <w:t>部對於境外專班之績效管理，仍只限於開班與否之核定，未能提出具體解決策略，</w:t>
      </w:r>
      <w:r w:rsidRPr="00A00D38">
        <w:rPr>
          <w:rFonts w:hint="eastAsia"/>
          <w:color w:val="000000" w:themeColor="text1"/>
        </w:rPr>
        <w:t>且該部對於境外專班招生成效低落之原因、學校執行經驗、困境與待協助事項，一般大學與技專校院辦理情形之差異與相關成果，均尚未掌握釐清，應予檢討。</w:t>
      </w:r>
      <w:bookmarkEnd w:id="185"/>
      <w:bookmarkEnd w:id="186"/>
      <w:r w:rsidRPr="00A00D38">
        <w:rPr>
          <w:color w:val="000000" w:themeColor="text1"/>
        </w:rPr>
        <w:br/>
      </w:r>
    </w:p>
    <w:p w:rsidR="006C2670" w:rsidRPr="00A00D38" w:rsidRDefault="006C2670" w:rsidP="006C2670">
      <w:pPr>
        <w:pStyle w:val="3"/>
        <w:rPr>
          <w:rFonts w:ascii="Times New Roman" w:hAnsi="Times New Roman"/>
          <w:color w:val="000000" w:themeColor="text1"/>
        </w:rPr>
      </w:pPr>
      <w:bookmarkStart w:id="190" w:name="_Toc489383113"/>
      <w:bookmarkStart w:id="191" w:name="_Toc491711202"/>
      <w:bookmarkStart w:id="192" w:name="_Toc492371076"/>
      <w:bookmarkStart w:id="193" w:name="_Toc488227897"/>
      <w:bookmarkEnd w:id="187"/>
      <w:bookmarkEnd w:id="188"/>
      <w:bookmarkEnd w:id="189"/>
      <w:r w:rsidRPr="00A00D38">
        <w:rPr>
          <w:rFonts w:ascii="Times New Roman" w:hAnsi="Times New Roman" w:hint="eastAsia"/>
          <w:color w:val="000000" w:themeColor="text1"/>
        </w:rPr>
        <w:t>此外，</w:t>
      </w:r>
      <w:r w:rsidRPr="00A00D38">
        <w:rPr>
          <w:rFonts w:ascii="Times New Roman" w:hAnsi="Times New Roman"/>
          <w:color w:val="000000" w:themeColor="text1"/>
        </w:rPr>
        <w:t>據</w:t>
      </w:r>
      <w:r w:rsidRPr="00A00D38">
        <w:rPr>
          <w:rFonts w:ascii="Times New Roman" w:hAnsi="Times New Roman" w:hint="eastAsia"/>
          <w:color w:val="000000" w:themeColor="text1"/>
        </w:rPr>
        <w:t>前</w:t>
      </w:r>
      <w:r w:rsidRPr="00A00D38">
        <w:rPr>
          <w:rFonts w:ascii="Times New Roman" w:hAnsi="Times New Roman"/>
          <w:color w:val="000000" w:themeColor="text1"/>
        </w:rPr>
        <w:t>行政院研究發展考核委員會</w:t>
      </w:r>
      <w:r w:rsidRPr="00A00D38">
        <w:rPr>
          <w:rFonts w:ascii="Times New Roman" w:hAnsi="Times New Roman" w:hint="eastAsia"/>
          <w:color w:val="000000" w:themeColor="text1"/>
        </w:rPr>
        <w:t>（</w:t>
      </w:r>
      <w:r w:rsidRPr="00A00D38">
        <w:rPr>
          <w:rFonts w:ascii="Times New Roman" w:hAnsi="Times New Roman" w:hint="eastAsia"/>
          <w:color w:val="000000" w:themeColor="text1"/>
        </w:rPr>
        <w:t>103</w:t>
      </w:r>
      <w:r w:rsidRPr="00A00D38">
        <w:rPr>
          <w:rFonts w:ascii="Times New Roman" w:hAnsi="Times New Roman" w:hint="eastAsia"/>
          <w:color w:val="000000" w:themeColor="text1"/>
        </w:rPr>
        <w:t>年併入國發會後裁撤）西元</w:t>
      </w:r>
      <w:r w:rsidRPr="00A00D38">
        <w:rPr>
          <w:rFonts w:ascii="Times New Roman" w:hAnsi="Times New Roman" w:hint="eastAsia"/>
          <w:color w:val="000000" w:themeColor="text1"/>
        </w:rPr>
        <w:t>2007</w:t>
      </w:r>
      <w:r w:rsidRPr="00A00D38">
        <w:rPr>
          <w:rFonts w:ascii="Times New Roman" w:hAnsi="Times New Roman" w:hint="eastAsia"/>
          <w:color w:val="000000" w:themeColor="text1"/>
        </w:rPr>
        <w:t>年</w:t>
      </w:r>
      <w:r w:rsidRPr="00A00D38">
        <w:rPr>
          <w:rFonts w:ascii="Times New Roman" w:hAnsi="Times New Roman"/>
          <w:color w:val="000000" w:themeColor="text1"/>
        </w:rPr>
        <w:t>委託國立臺灣大學政治</w:t>
      </w:r>
      <w:r w:rsidRPr="00A00D38">
        <w:rPr>
          <w:rFonts w:ascii="Times New Roman" w:hAnsi="Times New Roman"/>
          <w:color w:val="000000" w:themeColor="text1"/>
        </w:rPr>
        <w:lastRenderedPageBreak/>
        <w:t>學系之研究報告</w:t>
      </w:r>
      <w:r w:rsidRPr="00A00D38">
        <w:rPr>
          <w:rStyle w:val="aff0"/>
          <w:rFonts w:ascii="Times New Roman" w:hAnsi="Times New Roman"/>
          <w:color w:val="000000" w:themeColor="text1"/>
        </w:rPr>
        <w:footnoteReference w:id="15"/>
      </w:r>
      <w:r w:rsidRPr="00A00D38">
        <w:rPr>
          <w:rFonts w:ascii="Times New Roman" w:hAnsi="Times New Roman"/>
          <w:color w:val="000000" w:themeColor="text1"/>
        </w:rPr>
        <w:t>建議</w:t>
      </w:r>
      <w:r w:rsidRPr="00A00D38">
        <w:rPr>
          <w:rFonts w:ascii="Times New Roman" w:hAnsi="Times New Roman" w:hint="eastAsia"/>
          <w:color w:val="000000" w:themeColor="text1"/>
        </w:rPr>
        <w:t>：「</w:t>
      </w:r>
      <w:r w:rsidRPr="00A00D38">
        <w:rPr>
          <w:rFonts w:ascii="Times New Roman" w:hAnsi="Times New Roman"/>
          <w:color w:val="000000" w:themeColor="text1"/>
        </w:rPr>
        <w:t>境外學程之開設成本高昂，對於我國</w:t>
      </w:r>
      <w:r w:rsidRPr="00A00D38">
        <w:rPr>
          <w:rFonts w:ascii="Times New Roman" w:hAnsi="Times New Roman" w:hint="eastAsia"/>
          <w:color w:val="000000" w:themeColor="text1"/>
        </w:rPr>
        <w:t>尚</w:t>
      </w:r>
      <w:r w:rsidRPr="00A00D38">
        <w:rPr>
          <w:rFonts w:ascii="Times New Roman" w:hAnsi="Times New Roman"/>
          <w:color w:val="000000" w:themeColor="text1"/>
        </w:rPr>
        <w:t>無直接助益，是否繼續列為重點補助項目，應重新考量。</w:t>
      </w:r>
      <w:r w:rsidRPr="00A00D38">
        <w:rPr>
          <w:rFonts w:ascii="Times New Roman" w:hAnsi="Times New Roman" w:hint="eastAsia"/>
          <w:color w:val="000000" w:themeColor="text1"/>
        </w:rPr>
        <w:t>」此結案報告建議於我國境外專班政策上路時提出，以事後結果論，我國高等教育</w:t>
      </w:r>
      <w:r w:rsidRPr="00A00D38">
        <w:rPr>
          <w:rFonts w:ascii="Times New Roman" w:hAnsi="Times New Roman"/>
          <w:color w:val="000000" w:themeColor="text1"/>
        </w:rPr>
        <w:t>欲邁向出口型之高教國際化類型，</w:t>
      </w:r>
      <w:r w:rsidRPr="00A00D38">
        <w:rPr>
          <w:rFonts w:ascii="Times New Roman" w:hAnsi="Times New Roman" w:hint="eastAsia"/>
          <w:color w:val="000000" w:themeColor="text1"/>
        </w:rPr>
        <w:t>確</w:t>
      </w:r>
      <w:r w:rsidRPr="00A00D38">
        <w:rPr>
          <w:rFonts w:ascii="Times New Roman" w:hAnsi="Times New Roman"/>
          <w:color w:val="000000" w:themeColor="text1"/>
        </w:rPr>
        <w:t>有策進空間</w:t>
      </w:r>
      <w:r w:rsidRPr="00A00D38">
        <w:rPr>
          <w:rFonts w:ascii="Times New Roman" w:hAnsi="Times New Roman" w:hint="eastAsia"/>
          <w:color w:val="000000" w:themeColor="text1"/>
        </w:rPr>
        <w:t>，</w:t>
      </w:r>
      <w:r w:rsidRPr="00A00D38">
        <w:rPr>
          <w:rFonts w:ascii="Times New Roman" w:hAnsi="Times New Roman"/>
          <w:color w:val="000000" w:themeColor="text1"/>
        </w:rPr>
        <w:t>且當前正面臨人才流失、</w:t>
      </w:r>
      <w:r w:rsidRPr="00A00D38">
        <w:rPr>
          <w:rFonts w:ascii="Times New Roman" w:hAnsi="Times New Roman" w:hint="eastAsia"/>
          <w:color w:val="000000" w:themeColor="text1"/>
        </w:rPr>
        <w:t>國家</w:t>
      </w:r>
      <w:r w:rsidRPr="00A00D38">
        <w:rPr>
          <w:rFonts w:ascii="Times New Roman" w:hAnsi="Times New Roman"/>
          <w:color w:val="000000" w:themeColor="text1"/>
        </w:rPr>
        <w:t>認同及國際模式與本土接軌之挑戰，</w:t>
      </w:r>
      <w:r w:rsidRPr="00A00D38">
        <w:rPr>
          <w:rFonts w:ascii="Times New Roman" w:hAnsi="Times New Roman" w:hint="eastAsia"/>
          <w:color w:val="000000" w:themeColor="text1"/>
        </w:rPr>
        <w:t>政策走向更應積極擇定，避免形成高等教育資源的浪費</w:t>
      </w:r>
      <w:r w:rsidRPr="00A00D38">
        <w:rPr>
          <w:rFonts w:ascii="Times New Roman" w:hAnsi="Times New Roman"/>
          <w:color w:val="000000" w:themeColor="text1"/>
        </w:rPr>
        <w:t>。</w:t>
      </w:r>
      <w:bookmarkEnd w:id="190"/>
      <w:bookmarkEnd w:id="191"/>
      <w:bookmarkEnd w:id="192"/>
      <w:r w:rsidRPr="00A00D38">
        <w:rPr>
          <w:rFonts w:ascii="Times New Roman" w:hAnsi="Times New Roman" w:hint="eastAsia"/>
          <w:color w:val="000000" w:themeColor="text1"/>
        </w:rPr>
        <w:br/>
      </w:r>
    </w:p>
    <w:p w:rsidR="006C2670" w:rsidRPr="00A00D38" w:rsidRDefault="006C2670" w:rsidP="006C2670">
      <w:pPr>
        <w:pStyle w:val="3"/>
        <w:rPr>
          <w:rFonts w:ascii="Times New Roman" w:hAnsi="Times New Roman"/>
          <w:color w:val="000000" w:themeColor="text1"/>
        </w:rPr>
      </w:pPr>
      <w:bookmarkStart w:id="194" w:name="_Toc489383114"/>
      <w:bookmarkStart w:id="195" w:name="_Toc491711203"/>
      <w:bookmarkStart w:id="196" w:name="_Toc492371077"/>
      <w:r w:rsidRPr="00A00D38">
        <w:rPr>
          <w:rFonts w:ascii="Times New Roman" w:hAnsi="Times New Roman"/>
          <w:color w:val="000000" w:themeColor="text1"/>
        </w:rPr>
        <w:t>綜上，</w:t>
      </w:r>
      <w:bookmarkEnd w:id="193"/>
      <w:r w:rsidRPr="00A00D38">
        <w:rPr>
          <w:rFonts w:ascii="Times New Roman" w:hAnsi="Times New Roman" w:hint="eastAsia"/>
          <w:color w:val="000000" w:themeColor="text1"/>
        </w:rPr>
        <w:t>我國境外專班辦理成效不彰，主管機關應針對我國高等教育輸出策略，進行通盤檢討，究應加強經費補助與改進招生策略，抑或停辦並改以其他方式促進我國高等教育輸出，應提出具體解決辦法，以免我國高等教育與時勢與市場需求脫節。</w:t>
      </w:r>
      <w:bookmarkEnd w:id="194"/>
      <w:bookmarkEnd w:id="195"/>
      <w:bookmarkEnd w:id="196"/>
      <w:r w:rsidRPr="00A00D38">
        <w:rPr>
          <w:rFonts w:ascii="Times New Roman" w:hAnsi="Times New Roman"/>
          <w:color w:val="000000" w:themeColor="text1"/>
        </w:rPr>
        <w:br/>
      </w:r>
    </w:p>
    <w:p w:rsidR="006C2670" w:rsidRPr="00A00D38" w:rsidRDefault="006C2670" w:rsidP="006C2670">
      <w:pPr>
        <w:pStyle w:val="2"/>
        <w:numPr>
          <w:ilvl w:val="0"/>
          <w:numId w:val="33"/>
        </w:numPr>
        <w:ind w:left="1020" w:hanging="680"/>
        <w:rPr>
          <w:b/>
          <w:color w:val="000000" w:themeColor="text1"/>
        </w:rPr>
      </w:pPr>
      <w:bookmarkStart w:id="197" w:name="_Toc492371078"/>
      <w:r w:rsidRPr="00A00D38">
        <w:rPr>
          <w:b/>
          <w:color w:val="000000" w:themeColor="text1"/>
        </w:rPr>
        <w:t>我國赴海外留學</w:t>
      </w:r>
      <w:r w:rsidRPr="00A00D38">
        <w:rPr>
          <w:rFonts w:hint="eastAsia"/>
          <w:b/>
          <w:color w:val="000000" w:themeColor="text1"/>
        </w:rPr>
        <w:t>生之</w:t>
      </w:r>
      <w:r w:rsidRPr="00A00D38">
        <w:rPr>
          <w:b/>
          <w:color w:val="000000" w:themeColor="text1"/>
        </w:rPr>
        <w:t>國家</w:t>
      </w:r>
      <w:r w:rsidRPr="00A00D38">
        <w:rPr>
          <w:rFonts w:hint="eastAsia"/>
          <w:b/>
          <w:color w:val="000000" w:themeColor="text1"/>
        </w:rPr>
        <w:t>別日</w:t>
      </w:r>
      <w:r w:rsidRPr="00A00D38">
        <w:rPr>
          <w:b/>
          <w:color w:val="000000" w:themeColor="text1"/>
        </w:rPr>
        <w:t>趨多元，修業</w:t>
      </w:r>
      <w:r w:rsidRPr="00A00D38">
        <w:rPr>
          <w:rFonts w:hint="eastAsia"/>
          <w:b/>
          <w:color w:val="000000" w:themeColor="text1"/>
        </w:rPr>
        <w:t>樣</w:t>
      </w:r>
      <w:r w:rsidRPr="00A00D38">
        <w:rPr>
          <w:b/>
          <w:color w:val="000000" w:themeColor="text1"/>
        </w:rPr>
        <w:t>態</w:t>
      </w:r>
      <w:r w:rsidRPr="00A00D38">
        <w:rPr>
          <w:rFonts w:hint="eastAsia"/>
          <w:b/>
          <w:color w:val="000000" w:themeColor="text1"/>
        </w:rPr>
        <w:t>亦</w:t>
      </w:r>
      <w:r w:rsidRPr="00A00D38">
        <w:rPr>
          <w:b/>
          <w:color w:val="000000" w:themeColor="text1"/>
        </w:rPr>
        <w:t>轉為</w:t>
      </w:r>
      <w:r w:rsidRPr="00A00D38">
        <w:rPr>
          <w:rFonts w:hint="eastAsia"/>
          <w:b/>
          <w:color w:val="000000" w:themeColor="text1"/>
        </w:rPr>
        <w:t>以</w:t>
      </w:r>
      <w:r w:rsidRPr="00A00D38">
        <w:rPr>
          <w:b/>
          <w:color w:val="000000" w:themeColor="text1"/>
        </w:rPr>
        <w:t>非學位及短期進修為主</w:t>
      </w:r>
      <w:r w:rsidRPr="00A00D38">
        <w:rPr>
          <w:rFonts w:hint="eastAsia"/>
          <w:b/>
          <w:color w:val="000000" w:themeColor="text1"/>
        </w:rPr>
        <w:t>，留學生有向下延伸至高中階段態勢</w:t>
      </w:r>
      <w:r w:rsidRPr="00A00D38">
        <w:rPr>
          <w:b/>
          <w:color w:val="000000" w:themeColor="text1"/>
        </w:rPr>
        <w:t>；惟主管機關對學生</w:t>
      </w:r>
      <w:r w:rsidRPr="00A00D38">
        <w:rPr>
          <w:rFonts w:hint="eastAsia"/>
          <w:b/>
          <w:color w:val="000000" w:themeColor="text1"/>
        </w:rPr>
        <w:t>赴</w:t>
      </w:r>
      <w:r w:rsidRPr="00A00D38">
        <w:rPr>
          <w:b/>
          <w:color w:val="000000" w:themeColor="text1"/>
        </w:rPr>
        <w:t>海外學習領域、返國服務貢獻與成效、修畢學程或取得學位</w:t>
      </w:r>
      <w:r w:rsidRPr="00A00D38">
        <w:rPr>
          <w:rFonts w:hint="eastAsia"/>
          <w:b/>
          <w:color w:val="000000" w:themeColor="text1"/>
        </w:rPr>
        <w:t>動</w:t>
      </w:r>
      <w:r w:rsidRPr="00A00D38">
        <w:rPr>
          <w:b/>
          <w:color w:val="000000" w:themeColor="text1"/>
        </w:rPr>
        <w:t>向，掌握度嚴重不足，未來允宜加強基</w:t>
      </w:r>
      <w:r w:rsidRPr="00A00D38">
        <w:rPr>
          <w:rFonts w:hint="eastAsia"/>
          <w:b/>
          <w:color w:val="000000" w:themeColor="text1"/>
        </w:rPr>
        <w:t>本</w:t>
      </w:r>
      <w:r w:rsidRPr="00A00D38">
        <w:rPr>
          <w:b/>
          <w:color w:val="000000" w:themeColor="text1"/>
        </w:rPr>
        <w:t>調查統計，據以科學化、系統化擬定高教相關政策</w:t>
      </w:r>
      <w:r w:rsidRPr="00A00D38">
        <w:rPr>
          <w:rFonts w:hint="eastAsia"/>
          <w:b/>
          <w:color w:val="000000" w:themeColor="text1"/>
        </w:rPr>
        <w:t>。</w:t>
      </w:r>
      <w:bookmarkEnd w:id="197"/>
    </w:p>
    <w:p w:rsidR="006C2670" w:rsidRPr="00A00D38" w:rsidRDefault="006C2670" w:rsidP="006C73D0">
      <w:pPr>
        <w:pStyle w:val="3"/>
        <w:numPr>
          <w:ilvl w:val="2"/>
          <w:numId w:val="68"/>
        </w:numPr>
        <w:rPr>
          <w:rFonts w:ascii="Times New Roman" w:hAnsi="Times New Roman"/>
          <w:color w:val="000000" w:themeColor="text1"/>
          <w:szCs w:val="24"/>
        </w:rPr>
      </w:pPr>
      <w:bookmarkStart w:id="198" w:name="_Toc488227899"/>
      <w:bookmarkStart w:id="199" w:name="_Toc489383116"/>
      <w:bookmarkStart w:id="200" w:name="_Toc491711205"/>
      <w:bookmarkStart w:id="201" w:name="_Toc492371079"/>
      <w:r w:rsidRPr="00A00D38">
        <w:rPr>
          <w:rFonts w:ascii="Times New Roman" w:hAnsi="Times New Roman" w:hint="eastAsia"/>
          <w:color w:val="000000" w:themeColor="text1"/>
        </w:rPr>
        <w:t>「</w:t>
      </w:r>
      <w:r w:rsidRPr="00A00D38">
        <w:rPr>
          <w:rFonts w:ascii="Times New Roman" w:hAnsi="Times New Roman"/>
          <w:color w:val="000000" w:themeColor="text1"/>
        </w:rPr>
        <w:t>教育部組織法</w:t>
      </w:r>
      <w:r w:rsidRPr="00A00D38">
        <w:rPr>
          <w:rFonts w:ascii="Times New Roman" w:hAnsi="Times New Roman" w:hint="eastAsia"/>
          <w:color w:val="000000" w:themeColor="text1"/>
        </w:rPr>
        <w:t>」</w:t>
      </w:r>
      <w:r w:rsidRPr="00A00D38">
        <w:rPr>
          <w:rFonts w:ascii="Times New Roman" w:hAnsi="Times New Roman"/>
          <w:color w:val="000000" w:themeColor="text1"/>
        </w:rPr>
        <w:t>第</w:t>
      </w:r>
      <w:r w:rsidRPr="00A00D38">
        <w:rPr>
          <w:rFonts w:ascii="Times New Roman" w:hAnsi="Times New Roman"/>
          <w:color w:val="000000" w:themeColor="text1"/>
        </w:rPr>
        <w:t>2</w:t>
      </w:r>
      <w:r w:rsidRPr="00A00D38">
        <w:rPr>
          <w:rFonts w:ascii="Times New Roman" w:hAnsi="Times New Roman"/>
          <w:color w:val="000000" w:themeColor="text1"/>
        </w:rPr>
        <w:t>條第</w:t>
      </w:r>
      <w:r w:rsidRPr="00A00D38">
        <w:rPr>
          <w:rFonts w:ascii="Times New Roman" w:hAnsi="Times New Roman"/>
          <w:color w:val="000000" w:themeColor="text1"/>
        </w:rPr>
        <w:t>3</w:t>
      </w:r>
      <w:r w:rsidRPr="00A00D38">
        <w:rPr>
          <w:rFonts w:ascii="Times New Roman" w:hAnsi="Times New Roman"/>
          <w:color w:val="000000" w:themeColor="text1"/>
        </w:rPr>
        <w:t>款規定，該部掌理事項包括國際與兩岸教育學術交流、國際青年與教育活動參與、海外華語文教育推廣、留學生、外國學生、僑生、港澳生與陸生之輔導、外僑學校、大陸地區臺商學校與海外臺灣學校之輔導及行政監督等，爰</w:t>
      </w:r>
      <w:r w:rsidRPr="00A00D38">
        <w:rPr>
          <w:rFonts w:ascii="Times New Roman" w:hAnsi="Times New Roman"/>
          <w:color w:val="000000" w:themeColor="text1"/>
        </w:rPr>
        <w:lastRenderedPageBreak/>
        <w:t>我國留學生輔導、國際及海外教育交流之執行及督導事宜，乃其法定職責。</w:t>
      </w:r>
      <w:bookmarkEnd w:id="198"/>
      <w:bookmarkEnd w:id="199"/>
      <w:bookmarkEnd w:id="200"/>
      <w:bookmarkEnd w:id="201"/>
      <w:r w:rsidRPr="00A00D38">
        <w:rPr>
          <w:rFonts w:ascii="Times New Roman" w:hAnsi="Times New Roman" w:hint="eastAsia"/>
          <w:color w:val="000000" w:themeColor="text1"/>
        </w:rPr>
        <w:br/>
      </w:r>
    </w:p>
    <w:p w:rsidR="006C2670" w:rsidRPr="00A00D38" w:rsidRDefault="006C2670" w:rsidP="006C2670">
      <w:pPr>
        <w:pStyle w:val="3"/>
        <w:rPr>
          <w:rFonts w:ascii="Times New Roman" w:hAnsi="Times New Roman"/>
          <w:color w:val="000000" w:themeColor="text1"/>
        </w:rPr>
      </w:pPr>
      <w:bookmarkStart w:id="202" w:name="_Toc488227900"/>
      <w:bookmarkStart w:id="203" w:name="_Toc489383117"/>
      <w:bookmarkStart w:id="204" w:name="_Toc491711206"/>
      <w:bookmarkStart w:id="205" w:name="_Toc492371080"/>
      <w:r w:rsidRPr="00A00D38">
        <w:rPr>
          <w:rFonts w:ascii="Times New Roman" w:hAnsi="Times New Roman"/>
          <w:color w:val="000000" w:themeColor="text1"/>
        </w:rPr>
        <w:t>世界各國留學生、高等教育輸出及國際人才之流動等事項，均與國家經濟及競爭力息息相關；查據教育部</w:t>
      </w:r>
      <w:r w:rsidRPr="00A00D38">
        <w:rPr>
          <w:rStyle w:val="aff0"/>
          <w:rFonts w:ascii="Times New Roman" w:hAnsi="Times New Roman"/>
          <w:color w:val="000000" w:themeColor="text1"/>
        </w:rPr>
        <w:footnoteReference w:id="16"/>
      </w:r>
      <w:r w:rsidRPr="00A00D38">
        <w:rPr>
          <w:rFonts w:ascii="Times New Roman" w:hAnsi="Times New Roman"/>
          <w:color w:val="000000" w:themeColor="text1"/>
        </w:rPr>
        <w:t>，我國學生取得主要留學國家簽證人數，</w:t>
      </w:r>
      <w:r w:rsidRPr="00A00D38">
        <w:rPr>
          <w:rFonts w:ascii="Times New Roman" w:hAnsi="Times New Roman"/>
          <w:color w:val="000000" w:themeColor="text1"/>
        </w:rPr>
        <w:t>96</w:t>
      </w:r>
      <w:r w:rsidRPr="00A00D38">
        <w:rPr>
          <w:rFonts w:ascii="Times New Roman" w:hAnsi="Times New Roman"/>
          <w:color w:val="000000" w:themeColor="text1"/>
        </w:rPr>
        <w:t>年及</w:t>
      </w:r>
      <w:r w:rsidRPr="00A00D38">
        <w:rPr>
          <w:rFonts w:ascii="Times New Roman" w:hAnsi="Times New Roman"/>
          <w:color w:val="000000" w:themeColor="text1"/>
        </w:rPr>
        <w:t>97</w:t>
      </w:r>
      <w:r w:rsidRPr="00A00D38">
        <w:rPr>
          <w:rFonts w:ascii="Times New Roman" w:hAnsi="Times New Roman"/>
          <w:color w:val="000000" w:themeColor="text1"/>
        </w:rPr>
        <w:t>年主要留學</w:t>
      </w:r>
      <w:r w:rsidRPr="00A00D38">
        <w:rPr>
          <w:rFonts w:ascii="Times New Roman" w:hAnsi="Times New Roman" w:hint="eastAsia"/>
          <w:color w:val="000000" w:themeColor="text1"/>
        </w:rPr>
        <w:t>國為</w:t>
      </w:r>
      <w:r w:rsidRPr="00A00D38">
        <w:rPr>
          <w:rFonts w:ascii="Times New Roman" w:hAnsi="Times New Roman"/>
          <w:color w:val="000000" w:themeColor="text1"/>
        </w:rPr>
        <w:t>美國及英國，自</w:t>
      </w:r>
      <w:r w:rsidRPr="00A00D38">
        <w:rPr>
          <w:rFonts w:ascii="Times New Roman" w:hAnsi="Times New Roman"/>
          <w:color w:val="000000" w:themeColor="text1"/>
        </w:rPr>
        <w:t>98</w:t>
      </w:r>
      <w:r w:rsidRPr="00A00D38">
        <w:rPr>
          <w:rFonts w:ascii="Times New Roman" w:hAnsi="Times New Roman"/>
          <w:color w:val="000000" w:themeColor="text1"/>
        </w:rPr>
        <w:t>年起，赴澳洲及日本留學生人數大幅成長；</w:t>
      </w:r>
      <w:r w:rsidRPr="00A00D38">
        <w:rPr>
          <w:rFonts w:ascii="Times New Roman" w:hAnsi="Times New Roman" w:hint="eastAsia"/>
          <w:color w:val="000000" w:themeColor="text1"/>
        </w:rPr>
        <w:t>依</w:t>
      </w:r>
      <w:r w:rsidR="00391B07" w:rsidRPr="00A00D38">
        <w:rPr>
          <w:rFonts w:ascii="Times New Roman" w:hAnsi="Times New Roman"/>
          <w:color w:val="000000" w:themeColor="text1"/>
        </w:rPr>
        <w:t>96-10</w:t>
      </w:r>
      <w:r w:rsidR="00391B07" w:rsidRPr="00A00D38">
        <w:rPr>
          <w:rFonts w:ascii="Times New Roman" w:hAnsi="Times New Roman" w:hint="eastAsia"/>
          <w:color w:val="000000" w:themeColor="text1"/>
        </w:rPr>
        <w:t>5</w:t>
      </w:r>
      <w:r w:rsidRPr="00A00D38">
        <w:rPr>
          <w:rFonts w:ascii="Times New Roman" w:hAnsi="Times New Roman"/>
          <w:color w:val="000000" w:themeColor="text1"/>
        </w:rPr>
        <w:t>年間主要留學國家之簽證人數變化顯示</w:t>
      </w:r>
      <w:r w:rsidR="00391B07" w:rsidRPr="00A00D38">
        <w:rPr>
          <w:rFonts w:ascii="Times New Roman" w:hAnsi="Times New Roman" w:hint="eastAsia"/>
          <w:color w:val="000000" w:themeColor="text1"/>
        </w:rPr>
        <w:t>（詳如下表</w:t>
      </w:r>
      <w:r w:rsidR="00083522">
        <w:rPr>
          <w:rFonts w:ascii="Times New Roman" w:hAnsi="Times New Roman" w:hint="eastAsia"/>
          <w:color w:val="000000" w:themeColor="text1"/>
        </w:rPr>
        <w:t>11</w:t>
      </w:r>
      <w:r w:rsidR="00391B07" w:rsidRPr="00A00D38">
        <w:rPr>
          <w:rFonts w:ascii="Times New Roman" w:hAnsi="Times New Roman" w:hint="eastAsia"/>
          <w:color w:val="000000" w:themeColor="text1"/>
        </w:rPr>
        <w:t>）</w:t>
      </w:r>
      <w:r w:rsidRPr="00A00D38">
        <w:rPr>
          <w:rFonts w:ascii="Times New Roman" w:hAnsi="Times New Roman"/>
          <w:color w:val="000000" w:themeColor="text1"/>
        </w:rPr>
        <w:t>，我國赴加拿大及英國</w:t>
      </w:r>
      <w:r w:rsidRPr="00A00D38">
        <w:rPr>
          <w:rFonts w:ascii="Times New Roman" w:hAnsi="Times New Roman" w:hint="eastAsia"/>
          <w:color w:val="000000" w:themeColor="text1"/>
        </w:rPr>
        <w:t>留學</w:t>
      </w:r>
      <w:r w:rsidRPr="00A00D38">
        <w:rPr>
          <w:rFonts w:ascii="Times New Roman" w:hAnsi="Times New Roman"/>
          <w:color w:val="000000" w:themeColor="text1"/>
        </w:rPr>
        <w:t>者，減幅明顯，且赴「其他國家」者，成長倍增，赴海外留學</w:t>
      </w:r>
      <w:r w:rsidRPr="00A00D38">
        <w:rPr>
          <w:rFonts w:ascii="Times New Roman" w:hAnsi="Times New Roman" w:hint="eastAsia"/>
          <w:color w:val="000000" w:themeColor="text1"/>
        </w:rPr>
        <w:t>生之</w:t>
      </w:r>
      <w:r w:rsidRPr="00A00D38">
        <w:rPr>
          <w:rFonts w:ascii="Times New Roman" w:hAnsi="Times New Roman"/>
          <w:color w:val="000000" w:themeColor="text1"/>
        </w:rPr>
        <w:t>國家別</w:t>
      </w:r>
      <w:r w:rsidRPr="00A00D38">
        <w:rPr>
          <w:rFonts w:ascii="Times New Roman" w:hAnsi="Times New Roman" w:hint="eastAsia"/>
          <w:color w:val="000000" w:themeColor="text1"/>
        </w:rPr>
        <w:t>日</w:t>
      </w:r>
      <w:r w:rsidRPr="00A00D38">
        <w:rPr>
          <w:rFonts w:ascii="Times New Roman" w:hAnsi="Times New Roman"/>
          <w:color w:val="000000" w:themeColor="text1"/>
        </w:rPr>
        <w:t>趨多元化，殊值關注。</w:t>
      </w:r>
      <w:bookmarkEnd w:id="202"/>
      <w:bookmarkEnd w:id="203"/>
      <w:bookmarkEnd w:id="204"/>
      <w:bookmarkEnd w:id="205"/>
    </w:p>
    <w:p w:rsidR="006C2670" w:rsidRPr="00A00D38" w:rsidRDefault="006C2670" w:rsidP="006C2670">
      <w:pPr>
        <w:pStyle w:val="a4"/>
        <w:ind w:left="993" w:hanging="709"/>
        <w:jc w:val="center"/>
        <w:rPr>
          <w:rFonts w:hAnsi="標楷體"/>
          <w:b/>
          <w:color w:val="000000" w:themeColor="text1"/>
        </w:rPr>
      </w:pPr>
      <w:bookmarkStart w:id="206" w:name="_Toc488227901"/>
      <w:bookmarkStart w:id="207" w:name="_Toc489383118"/>
      <w:bookmarkStart w:id="208" w:name="_Toc491711207"/>
      <w:r w:rsidRPr="00A00D38">
        <w:rPr>
          <w:rFonts w:hAnsi="標楷體" w:hint="eastAsia"/>
          <w:b/>
          <w:color w:val="000000" w:themeColor="text1"/>
          <w:szCs w:val="24"/>
        </w:rPr>
        <w:t>96至104年我國學生取得主要留學國家簽證人數統計</w:t>
      </w:r>
    </w:p>
    <w:tbl>
      <w:tblPr>
        <w:tblW w:w="10503" w:type="dxa"/>
        <w:tblInd w:w="-698" w:type="dxa"/>
        <w:tblLayout w:type="fixed"/>
        <w:tblCellMar>
          <w:left w:w="28" w:type="dxa"/>
          <w:right w:w="28" w:type="dxa"/>
        </w:tblCellMar>
        <w:tblLook w:val="01E0" w:firstRow="1" w:lastRow="1" w:firstColumn="1" w:lastColumn="1" w:noHBand="0" w:noVBand="0"/>
      </w:tblPr>
      <w:tblGrid>
        <w:gridCol w:w="1287"/>
        <w:gridCol w:w="921"/>
        <w:gridCol w:w="922"/>
        <w:gridCol w:w="921"/>
        <w:gridCol w:w="922"/>
        <w:gridCol w:w="921"/>
        <w:gridCol w:w="922"/>
        <w:gridCol w:w="921"/>
        <w:gridCol w:w="922"/>
        <w:gridCol w:w="922"/>
        <w:gridCol w:w="922"/>
      </w:tblGrid>
      <w:tr w:rsidR="00A00D38" w:rsidRPr="00A00D38" w:rsidTr="00021F7F">
        <w:trPr>
          <w:trHeight w:val="340"/>
        </w:trPr>
        <w:tc>
          <w:tcPr>
            <w:tcW w:w="1287"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rPr>
                <w:rFonts w:hAnsi="標楷體"/>
                <w:b/>
                <w:color w:val="000000" w:themeColor="text1"/>
                <w:sz w:val="28"/>
                <w:szCs w:val="28"/>
              </w:rPr>
            </w:pPr>
            <w:r w:rsidRPr="00A00D38">
              <w:rPr>
                <w:rFonts w:hAnsi="標楷體" w:hint="eastAsia"/>
                <w:b/>
                <w:color w:val="000000" w:themeColor="text1"/>
                <w:sz w:val="28"/>
                <w:szCs w:val="28"/>
              </w:rPr>
              <w:t xml:space="preserve">　　年度</w:t>
            </w:r>
          </w:p>
          <w:p w:rsidR="006C2670" w:rsidRPr="00A00D38" w:rsidRDefault="006C2670" w:rsidP="00021F7F">
            <w:pPr>
              <w:overflowPunct/>
              <w:autoSpaceDE/>
              <w:autoSpaceDN/>
              <w:spacing w:line="280" w:lineRule="exact"/>
              <w:rPr>
                <w:rFonts w:hAnsi="標楷體"/>
                <w:color w:val="000000" w:themeColor="text1"/>
                <w:sz w:val="28"/>
                <w:szCs w:val="28"/>
              </w:rPr>
            </w:pPr>
            <w:r w:rsidRPr="00A00D38">
              <w:rPr>
                <w:rFonts w:hAnsi="標楷體" w:hint="eastAsia"/>
                <w:b/>
                <w:color w:val="000000" w:themeColor="text1"/>
                <w:sz w:val="28"/>
                <w:szCs w:val="28"/>
              </w:rPr>
              <w:t>國別</w:t>
            </w:r>
          </w:p>
        </w:tc>
        <w:tc>
          <w:tcPr>
            <w:tcW w:w="92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jc w:val="center"/>
              <w:rPr>
                <w:rFonts w:hAnsi="標楷體"/>
                <w:b/>
                <w:color w:val="000000" w:themeColor="text1"/>
                <w:sz w:val="28"/>
                <w:szCs w:val="28"/>
              </w:rPr>
            </w:pPr>
            <w:r w:rsidRPr="00A00D38">
              <w:rPr>
                <w:rFonts w:hAnsi="標楷體" w:hint="eastAsia"/>
                <w:b/>
                <w:color w:val="000000" w:themeColor="text1"/>
                <w:sz w:val="28"/>
                <w:szCs w:val="28"/>
              </w:rPr>
              <w:t>96</w:t>
            </w:r>
          </w:p>
        </w:tc>
        <w:tc>
          <w:tcPr>
            <w:tcW w:w="92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jc w:val="center"/>
              <w:rPr>
                <w:rFonts w:hAnsi="標楷體"/>
                <w:b/>
                <w:color w:val="000000" w:themeColor="text1"/>
                <w:sz w:val="28"/>
                <w:szCs w:val="28"/>
              </w:rPr>
            </w:pPr>
            <w:r w:rsidRPr="00A00D38">
              <w:rPr>
                <w:rFonts w:hAnsi="標楷體" w:hint="eastAsia"/>
                <w:b/>
                <w:color w:val="000000" w:themeColor="text1"/>
                <w:sz w:val="28"/>
                <w:szCs w:val="28"/>
              </w:rPr>
              <w:t>97</w:t>
            </w:r>
          </w:p>
        </w:tc>
        <w:tc>
          <w:tcPr>
            <w:tcW w:w="92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jc w:val="center"/>
              <w:rPr>
                <w:rFonts w:hAnsi="標楷體"/>
                <w:b/>
                <w:color w:val="000000" w:themeColor="text1"/>
                <w:sz w:val="28"/>
                <w:szCs w:val="28"/>
              </w:rPr>
            </w:pPr>
            <w:r w:rsidRPr="00A00D38">
              <w:rPr>
                <w:rFonts w:hAnsi="標楷體" w:hint="eastAsia"/>
                <w:b/>
                <w:color w:val="000000" w:themeColor="text1"/>
                <w:sz w:val="28"/>
                <w:szCs w:val="28"/>
              </w:rPr>
              <w:t>98</w:t>
            </w:r>
          </w:p>
        </w:tc>
        <w:tc>
          <w:tcPr>
            <w:tcW w:w="92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jc w:val="center"/>
              <w:rPr>
                <w:rFonts w:hAnsi="標楷體"/>
                <w:b/>
                <w:color w:val="000000" w:themeColor="text1"/>
                <w:sz w:val="28"/>
                <w:szCs w:val="28"/>
              </w:rPr>
            </w:pPr>
            <w:r w:rsidRPr="00A00D38">
              <w:rPr>
                <w:rFonts w:hAnsi="標楷體" w:hint="eastAsia"/>
                <w:b/>
                <w:color w:val="000000" w:themeColor="text1"/>
                <w:sz w:val="28"/>
                <w:szCs w:val="28"/>
              </w:rPr>
              <w:t>99</w:t>
            </w:r>
          </w:p>
        </w:tc>
        <w:tc>
          <w:tcPr>
            <w:tcW w:w="92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jc w:val="center"/>
              <w:rPr>
                <w:rFonts w:hAnsi="標楷體"/>
                <w:b/>
                <w:color w:val="000000" w:themeColor="text1"/>
                <w:sz w:val="28"/>
                <w:szCs w:val="28"/>
              </w:rPr>
            </w:pPr>
            <w:r w:rsidRPr="00A00D38">
              <w:rPr>
                <w:rFonts w:hAnsi="標楷體" w:hint="eastAsia"/>
                <w:b/>
                <w:color w:val="000000" w:themeColor="text1"/>
                <w:sz w:val="28"/>
                <w:szCs w:val="28"/>
              </w:rPr>
              <w:t>100</w:t>
            </w:r>
          </w:p>
        </w:tc>
        <w:tc>
          <w:tcPr>
            <w:tcW w:w="92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jc w:val="center"/>
              <w:rPr>
                <w:rFonts w:hAnsi="標楷體"/>
                <w:b/>
                <w:color w:val="000000" w:themeColor="text1"/>
                <w:sz w:val="28"/>
                <w:szCs w:val="28"/>
              </w:rPr>
            </w:pPr>
            <w:r w:rsidRPr="00A00D38">
              <w:rPr>
                <w:rFonts w:hAnsi="標楷體" w:hint="eastAsia"/>
                <w:b/>
                <w:color w:val="000000" w:themeColor="text1"/>
                <w:sz w:val="28"/>
                <w:szCs w:val="28"/>
              </w:rPr>
              <w:t>101</w:t>
            </w:r>
          </w:p>
        </w:tc>
        <w:tc>
          <w:tcPr>
            <w:tcW w:w="92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jc w:val="center"/>
              <w:rPr>
                <w:rFonts w:hAnsi="標楷體"/>
                <w:b/>
                <w:color w:val="000000" w:themeColor="text1"/>
                <w:sz w:val="28"/>
                <w:szCs w:val="28"/>
              </w:rPr>
            </w:pPr>
            <w:r w:rsidRPr="00A00D38">
              <w:rPr>
                <w:rFonts w:hAnsi="標楷體" w:hint="eastAsia"/>
                <w:b/>
                <w:color w:val="000000" w:themeColor="text1"/>
                <w:sz w:val="28"/>
                <w:szCs w:val="28"/>
              </w:rPr>
              <w:t>102</w:t>
            </w:r>
          </w:p>
        </w:tc>
        <w:tc>
          <w:tcPr>
            <w:tcW w:w="92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jc w:val="center"/>
              <w:rPr>
                <w:rFonts w:hAnsi="標楷體"/>
                <w:b/>
                <w:color w:val="000000" w:themeColor="text1"/>
                <w:sz w:val="28"/>
                <w:szCs w:val="28"/>
              </w:rPr>
            </w:pPr>
            <w:r w:rsidRPr="00A00D38">
              <w:rPr>
                <w:rFonts w:hAnsi="標楷體" w:hint="eastAsia"/>
                <w:b/>
                <w:color w:val="000000" w:themeColor="text1"/>
                <w:sz w:val="28"/>
                <w:szCs w:val="28"/>
              </w:rPr>
              <w:t>103</w:t>
            </w:r>
          </w:p>
        </w:tc>
        <w:tc>
          <w:tcPr>
            <w:tcW w:w="92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jc w:val="center"/>
              <w:rPr>
                <w:rFonts w:hAnsi="標楷體"/>
                <w:b/>
                <w:color w:val="000000" w:themeColor="text1"/>
                <w:sz w:val="28"/>
                <w:szCs w:val="28"/>
              </w:rPr>
            </w:pPr>
            <w:r w:rsidRPr="00A00D38">
              <w:rPr>
                <w:rFonts w:hAnsi="標楷體" w:hint="eastAsia"/>
                <w:b/>
                <w:color w:val="000000" w:themeColor="text1"/>
                <w:sz w:val="28"/>
                <w:szCs w:val="28"/>
              </w:rPr>
              <w:t>104</w:t>
            </w:r>
          </w:p>
        </w:tc>
        <w:tc>
          <w:tcPr>
            <w:tcW w:w="92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2670" w:rsidRPr="00A00D38" w:rsidRDefault="006C2670" w:rsidP="00021F7F">
            <w:pPr>
              <w:overflowPunct/>
              <w:autoSpaceDE/>
              <w:autoSpaceDN/>
              <w:spacing w:line="280" w:lineRule="exact"/>
              <w:jc w:val="center"/>
              <w:rPr>
                <w:rFonts w:hAnsi="標楷體"/>
                <w:b/>
                <w:color w:val="000000" w:themeColor="text1"/>
                <w:sz w:val="28"/>
                <w:szCs w:val="28"/>
              </w:rPr>
            </w:pPr>
            <w:r w:rsidRPr="00A00D38">
              <w:rPr>
                <w:rFonts w:hAnsi="標楷體" w:hint="eastAsia"/>
                <w:b/>
                <w:color w:val="000000" w:themeColor="text1"/>
                <w:sz w:val="28"/>
                <w:szCs w:val="28"/>
              </w:rPr>
              <w:t>105</w:t>
            </w:r>
          </w:p>
        </w:tc>
      </w:tr>
      <w:tr w:rsidR="00A00D38" w:rsidRPr="00A00D38" w:rsidTr="00021F7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b/>
                <w:color w:val="000000" w:themeColor="text1"/>
                <w:spacing w:val="-20"/>
                <w:sz w:val="28"/>
                <w:szCs w:val="28"/>
              </w:rPr>
            </w:pPr>
            <w:r w:rsidRPr="00A00D38">
              <w:rPr>
                <w:rFonts w:hAnsi="標楷體" w:hint="eastAsia"/>
                <w:b/>
                <w:color w:val="000000" w:themeColor="text1"/>
                <w:spacing w:val="-20"/>
                <w:sz w:val="28"/>
                <w:szCs w:val="28"/>
              </w:rPr>
              <w:t>美國</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14,916</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19,402</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15,594</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15,890</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16,023</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15,219</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14,563</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14,135</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14,547</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14,332</w:t>
            </w:r>
          </w:p>
        </w:tc>
      </w:tr>
      <w:tr w:rsidR="00A00D38" w:rsidRPr="00A00D38" w:rsidTr="00021F7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b/>
                <w:color w:val="000000" w:themeColor="text1"/>
                <w:spacing w:val="-20"/>
                <w:sz w:val="28"/>
                <w:szCs w:val="28"/>
              </w:rPr>
            </w:pPr>
            <w:r w:rsidRPr="00A00D38">
              <w:rPr>
                <w:rFonts w:hAnsi="標楷體" w:hint="eastAsia"/>
                <w:b/>
                <w:color w:val="000000" w:themeColor="text1"/>
                <w:spacing w:val="-20"/>
                <w:sz w:val="28"/>
                <w:szCs w:val="28"/>
              </w:rPr>
              <w:t>加拿大</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3,984</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3,266</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2,320</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2,814</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912</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826</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1,771</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1,109</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1,271</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2,282</w:t>
            </w:r>
          </w:p>
        </w:tc>
      </w:tr>
      <w:tr w:rsidR="00A00D38" w:rsidRPr="00A00D38" w:rsidTr="00021F7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b/>
                <w:color w:val="000000" w:themeColor="text1"/>
                <w:spacing w:val="-20"/>
                <w:sz w:val="28"/>
                <w:szCs w:val="28"/>
              </w:rPr>
            </w:pPr>
            <w:r w:rsidRPr="00A00D38">
              <w:rPr>
                <w:rFonts w:hAnsi="標楷體" w:hint="eastAsia"/>
                <w:b/>
                <w:color w:val="000000" w:themeColor="text1"/>
                <w:spacing w:val="-20"/>
                <w:sz w:val="28"/>
                <w:szCs w:val="28"/>
              </w:rPr>
              <w:t>英國</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7,132</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5,885</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3,895</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3,610</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4,446</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3,378</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3,367</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3,826</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3,408</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3,272</w:t>
            </w:r>
          </w:p>
        </w:tc>
      </w:tr>
      <w:tr w:rsidR="00A00D38" w:rsidRPr="00A00D38" w:rsidTr="00021F7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b/>
                <w:color w:val="000000" w:themeColor="text1"/>
                <w:spacing w:val="-20"/>
                <w:sz w:val="28"/>
                <w:szCs w:val="28"/>
              </w:rPr>
            </w:pPr>
            <w:r w:rsidRPr="00A00D38">
              <w:rPr>
                <w:rFonts w:hAnsi="標楷體" w:hint="eastAsia"/>
                <w:b/>
                <w:color w:val="000000" w:themeColor="text1"/>
                <w:spacing w:val="-20"/>
                <w:sz w:val="28"/>
                <w:szCs w:val="28"/>
              </w:rPr>
              <w:t>法國</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723</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983</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882</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935</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814</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無資料</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955</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1,064</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1,100</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1,132</w:t>
            </w:r>
          </w:p>
        </w:tc>
      </w:tr>
      <w:tr w:rsidR="00A00D38" w:rsidRPr="00A00D38" w:rsidTr="00021F7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b/>
                <w:color w:val="000000" w:themeColor="text1"/>
                <w:spacing w:val="-20"/>
                <w:sz w:val="28"/>
                <w:szCs w:val="28"/>
              </w:rPr>
            </w:pPr>
            <w:r w:rsidRPr="00A00D38">
              <w:rPr>
                <w:rFonts w:hAnsi="標楷體" w:hint="eastAsia"/>
                <w:b/>
                <w:color w:val="000000" w:themeColor="text1"/>
                <w:spacing w:val="-20"/>
                <w:sz w:val="28"/>
                <w:szCs w:val="28"/>
              </w:rPr>
              <w:t>德國</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606</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558</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646</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702</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636</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512</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787</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901</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1,252</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1,433</w:t>
            </w:r>
          </w:p>
        </w:tc>
      </w:tr>
      <w:tr w:rsidR="00A00D38" w:rsidRPr="00A00D38" w:rsidTr="00021F7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b/>
                <w:color w:val="000000" w:themeColor="text1"/>
                <w:spacing w:val="-20"/>
                <w:sz w:val="28"/>
                <w:szCs w:val="28"/>
              </w:rPr>
            </w:pPr>
            <w:r w:rsidRPr="00A00D38">
              <w:rPr>
                <w:rFonts w:hAnsi="標楷體" w:hint="eastAsia"/>
                <w:b/>
                <w:color w:val="000000" w:themeColor="text1"/>
                <w:spacing w:val="-20"/>
                <w:sz w:val="28"/>
                <w:szCs w:val="28"/>
              </w:rPr>
              <w:t>澳洲</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2,570</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2,370</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4,176</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3,633</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3,149</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3,198</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2,553</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5,237</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6,651</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6,493</w:t>
            </w:r>
          </w:p>
        </w:tc>
      </w:tr>
      <w:tr w:rsidR="00A00D38" w:rsidRPr="00A00D38" w:rsidTr="00021F7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b/>
                <w:color w:val="000000" w:themeColor="text1"/>
                <w:spacing w:val="-20"/>
                <w:sz w:val="28"/>
                <w:szCs w:val="28"/>
              </w:rPr>
            </w:pPr>
            <w:r w:rsidRPr="00A00D38">
              <w:rPr>
                <w:rFonts w:hAnsi="標楷體" w:hint="eastAsia"/>
                <w:b/>
                <w:color w:val="000000" w:themeColor="text1"/>
                <w:spacing w:val="-20"/>
                <w:sz w:val="28"/>
                <w:szCs w:val="28"/>
              </w:rPr>
              <w:t>紐西蘭</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618</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596</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469</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379</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743</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250</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553</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540</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671</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772</w:t>
            </w:r>
          </w:p>
        </w:tc>
      </w:tr>
      <w:tr w:rsidR="00A00D38" w:rsidRPr="00A00D38" w:rsidTr="00021F7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b/>
                <w:color w:val="000000" w:themeColor="text1"/>
                <w:spacing w:val="-20"/>
                <w:sz w:val="28"/>
                <w:szCs w:val="28"/>
              </w:rPr>
            </w:pPr>
            <w:r w:rsidRPr="00A00D38">
              <w:rPr>
                <w:rFonts w:hAnsi="標楷體" w:hint="eastAsia"/>
                <w:b/>
                <w:color w:val="000000" w:themeColor="text1"/>
                <w:spacing w:val="-20"/>
                <w:sz w:val="28"/>
                <w:szCs w:val="28"/>
              </w:rPr>
              <w:t>日本</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2,424</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2,638</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3,143</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3,253</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2,825</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2,810</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3,140</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3,885</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3,885</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5,062</w:t>
            </w:r>
          </w:p>
        </w:tc>
      </w:tr>
      <w:tr w:rsidR="00A00D38" w:rsidRPr="00A00D38" w:rsidTr="00021F7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b/>
                <w:color w:val="000000" w:themeColor="text1"/>
                <w:spacing w:val="-20"/>
                <w:sz w:val="28"/>
                <w:szCs w:val="28"/>
              </w:rPr>
            </w:pPr>
            <w:r w:rsidRPr="00A00D38">
              <w:rPr>
                <w:rFonts w:hAnsi="標楷體" w:hint="eastAsia"/>
                <w:b/>
                <w:color w:val="000000" w:themeColor="text1"/>
                <w:spacing w:val="-20"/>
                <w:sz w:val="28"/>
                <w:szCs w:val="28"/>
              </w:rPr>
              <w:t>其他國家</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2,018</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2,102</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2,504</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2,665</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2,879</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2,605</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3,503</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3,928</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4,703</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5,075</w:t>
            </w:r>
          </w:p>
        </w:tc>
      </w:tr>
      <w:tr w:rsidR="00A00D38" w:rsidRPr="00A00D38" w:rsidTr="00021F7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b/>
                <w:color w:val="000000" w:themeColor="text1"/>
                <w:spacing w:val="-20"/>
                <w:sz w:val="28"/>
                <w:szCs w:val="28"/>
              </w:rPr>
            </w:pPr>
            <w:r w:rsidRPr="00A00D38">
              <w:rPr>
                <w:rFonts w:hAnsi="標楷體" w:hint="eastAsia"/>
                <w:b/>
                <w:color w:val="000000" w:themeColor="text1"/>
                <w:spacing w:val="-20"/>
                <w:sz w:val="28"/>
                <w:szCs w:val="28"/>
              </w:rPr>
              <w:t>總計</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34,991</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37,800</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33,629</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33,881</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32,427</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28,798</w:t>
            </w:r>
          </w:p>
        </w:tc>
        <w:tc>
          <w:tcPr>
            <w:tcW w:w="921"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31,192</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34,625</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color w:val="000000" w:themeColor="text1"/>
                <w:spacing w:val="-20"/>
                <w:sz w:val="28"/>
                <w:szCs w:val="28"/>
              </w:rPr>
              <w:t>38,166</w:t>
            </w:r>
          </w:p>
        </w:tc>
        <w:tc>
          <w:tcPr>
            <w:tcW w:w="922" w:type="dxa"/>
            <w:tcBorders>
              <w:top w:val="single" w:sz="4" w:space="0" w:color="auto"/>
              <w:left w:val="single" w:sz="4" w:space="0" w:color="auto"/>
              <w:bottom w:val="single" w:sz="4" w:space="0" w:color="auto"/>
              <w:right w:val="single" w:sz="4" w:space="0" w:color="auto"/>
            </w:tcBorders>
            <w:vAlign w:val="center"/>
          </w:tcPr>
          <w:p w:rsidR="006C2670" w:rsidRPr="00A00D38" w:rsidRDefault="006C2670" w:rsidP="00021F7F">
            <w:pPr>
              <w:overflowPunct/>
              <w:autoSpaceDE/>
              <w:autoSpaceDN/>
              <w:jc w:val="center"/>
              <w:rPr>
                <w:rFonts w:hAnsi="標楷體"/>
                <w:color w:val="000000" w:themeColor="text1"/>
                <w:spacing w:val="-20"/>
                <w:sz w:val="28"/>
                <w:szCs w:val="28"/>
              </w:rPr>
            </w:pPr>
            <w:r w:rsidRPr="00A00D38">
              <w:rPr>
                <w:rFonts w:hAnsi="標楷體" w:hint="eastAsia"/>
                <w:color w:val="000000" w:themeColor="text1"/>
                <w:spacing w:val="-20"/>
                <w:sz w:val="28"/>
                <w:szCs w:val="28"/>
              </w:rPr>
              <w:t>39,853</w:t>
            </w:r>
          </w:p>
        </w:tc>
      </w:tr>
    </w:tbl>
    <w:p w:rsidR="006C2670" w:rsidRPr="00A00D38" w:rsidRDefault="006C2670" w:rsidP="006C2670">
      <w:pPr>
        <w:adjustRightInd w:val="0"/>
        <w:snapToGrid w:val="0"/>
        <w:spacing w:line="240" w:lineRule="exact"/>
        <w:ind w:leftChars="-208" w:left="70" w:rightChars="-108" w:right="-367" w:hangingChars="299" w:hanging="778"/>
        <w:rPr>
          <w:rFonts w:hAnsi="標楷體"/>
          <w:color w:val="000000" w:themeColor="text1"/>
          <w:sz w:val="24"/>
          <w:szCs w:val="24"/>
        </w:rPr>
      </w:pPr>
      <w:r w:rsidRPr="00A00D38">
        <w:rPr>
          <w:rFonts w:hAnsi="標楷體" w:hint="eastAsia"/>
          <w:color w:val="000000" w:themeColor="text1"/>
          <w:sz w:val="24"/>
          <w:szCs w:val="24"/>
        </w:rPr>
        <w:t>註：</w:t>
      </w:r>
    </w:p>
    <w:p w:rsidR="006C2670" w:rsidRPr="00A00D38" w:rsidRDefault="006C2670" w:rsidP="006C2670">
      <w:pPr>
        <w:adjustRightInd w:val="0"/>
        <w:snapToGrid w:val="0"/>
        <w:spacing w:line="240" w:lineRule="exact"/>
        <w:ind w:leftChars="-41" w:left="735" w:hangingChars="336" w:hanging="874"/>
        <w:rPr>
          <w:rFonts w:hAnsi="標楷體"/>
          <w:color w:val="000000" w:themeColor="text1"/>
          <w:sz w:val="24"/>
          <w:szCs w:val="24"/>
        </w:rPr>
      </w:pPr>
      <w:r w:rsidRPr="00A00D38">
        <w:rPr>
          <w:rFonts w:hAnsi="標楷體" w:hint="eastAsia"/>
          <w:color w:val="000000" w:themeColor="text1"/>
          <w:sz w:val="24"/>
          <w:szCs w:val="24"/>
        </w:rPr>
        <w:t>1.主要按年度(1-12月)，非以學年度統計。</w:t>
      </w:r>
    </w:p>
    <w:p w:rsidR="006C2670" w:rsidRPr="00A00D38" w:rsidRDefault="006C2670" w:rsidP="006C2670">
      <w:pPr>
        <w:adjustRightInd w:val="0"/>
        <w:snapToGrid w:val="0"/>
        <w:spacing w:line="240" w:lineRule="exact"/>
        <w:ind w:leftChars="-42" w:left="102" w:hangingChars="94" w:hanging="245"/>
        <w:rPr>
          <w:rFonts w:hAnsi="標楷體"/>
          <w:color w:val="000000" w:themeColor="text1"/>
          <w:sz w:val="24"/>
          <w:szCs w:val="24"/>
        </w:rPr>
      </w:pPr>
      <w:r w:rsidRPr="00A00D38">
        <w:rPr>
          <w:rFonts w:hAnsi="標楷體" w:hint="eastAsia"/>
          <w:color w:val="000000" w:themeColor="text1"/>
          <w:sz w:val="24"/>
          <w:szCs w:val="24"/>
        </w:rPr>
        <w:t>2.</w:t>
      </w:r>
      <w:r w:rsidRPr="00A00D38">
        <w:rPr>
          <w:rFonts w:hAnsi="標楷體"/>
          <w:color w:val="000000" w:themeColor="text1"/>
          <w:sz w:val="24"/>
          <w:szCs w:val="24"/>
        </w:rPr>
        <w:t>78</w:t>
      </w:r>
      <w:r w:rsidRPr="00A00D38">
        <w:rPr>
          <w:rFonts w:hAnsi="標楷體" w:hint="eastAsia"/>
          <w:color w:val="000000" w:themeColor="text1"/>
          <w:sz w:val="24"/>
          <w:szCs w:val="24"/>
        </w:rPr>
        <w:t>年「護照條例」修改後，教育部僅能發函向各國駐華機構查詢，爰於每年</w:t>
      </w:r>
      <w:r w:rsidRPr="00A00D38">
        <w:rPr>
          <w:rFonts w:hAnsi="標楷體"/>
          <w:color w:val="000000" w:themeColor="text1"/>
          <w:sz w:val="24"/>
          <w:szCs w:val="24"/>
        </w:rPr>
        <w:t>1</w:t>
      </w:r>
      <w:r w:rsidRPr="00A00D38">
        <w:rPr>
          <w:rFonts w:hAnsi="標楷體" w:hint="eastAsia"/>
          <w:color w:val="000000" w:themeColor="text1"/>
          <w:sz w:val="24"/>
          <w:szCs w:val="24"/>
        </w:rPr>
        <w:t>月底前始能獲知留學簽證人數。本表數據係依各國駐華機構所提供簽發我國學生留學簽證數據統計。</w:t>
      </w:r>
      <w:r w:rsidR="00083522" w:rsidRPr="00A00D38">
        <w:rPr>
          <w:rFonts w:hint="eastAsia"/>
          <w:color w:val="000000" w:themeColor="text1"/>
          <w:sz w:val="24"/>
          <w:szCs w:val="24"/>
        </w:rPr>
        <w:t>資料來源：教育部查復。</w:t>
      </w:r>
    </w:p>
    <w:p w:rsidR="006C2670" w:rsidRPr="00A00D38" w:rsidRDefault="006C2670" w:rsidP="006C2670">
      <w:pPr>
        <w:pStyle w:val="af8"/>
        <w:spacing w:line="240" w:lineRule="exact"/>
        <w:ind w:leftChars="-208" w:left="-708"/>
        <w:rPr>
          <w:color w:val="000000" w:themeColor="text1"/>
          <w:sz w:val="24"/>
          <w:szCs w:val="24"/>
        </w:rPr>
      </w:pPr>
    </w:p>
    <w:p w:rsidR="006C2670" w:rsidRPr="00A00D38" w:rsidRDefault="006C2670" w:rsidP="006C2670">
      <w:pPr>
        <w:pStyle w:val="3"/>
        <w:ind w:left="1361"/>
        <w:rPr>
          <w:rFonts w:ascii="Times New Roman" w:hAnsi="Times New Roman"/>
          <w:color w:val="000000" w:themeColor="text1"/>
          <w:szCs w:val="24"/>
        </w:rPr>
      </w:pPr>
      <w:bookmarkStart w:id="209" w:name="_Toc492371081"/>
      <w:r w:rsidRPr="00A00D38">
        <w:rPr>
          <w:rFonts w:ascii="Times New Roman" w:hAnsi="Times New Roman"/>
          <w:color w:val="000000" w:themeColor="text1"/>
        </w:rPr>
        <w:t>教育部另說明，</w:t>
      </w:r>
      <w:r w:rsidRPr="00A00D38">
        <w:rPr>
          <w:rFonts w:ascii="Times New Roman" w:hAnsi="Times New Roman" w:hint="eastAsia"/>
          <w:color w:val="000000" w:themeColor="text1"/>
        </w:rPr>
        <w:t>「</w:t>
      </w:r>
      <w:r w:rsidRPr="00A00D38">
        <w:rPr>
          <w:rFonts w:ascii="Times New Roman" w:hAnsi="Times New Roman"/>
          <w:color w:val="000000" w:themeColor="text1"/>
        </w:rPr>
        <w:t>以往學生出國多以攻讀學位為主，現今青年移動管道增加、留學型態日趨多元，隨國內各校與外國校院締結姊妹校、建立交換學生與雙</w:t>
      </w:r>
      <w:r w:rsidRPr="00A00D38">
        <w:rPr>
          <w:rFonts w:ascii="Times New Roman" w:hAnsi="Times New Roman" w:hint="eastAsia"/>
          <w:color w:val="000000" w:themeColor="text1"/>
        </w:rPr>
        <w:t>聯</w:t>
      </w:r>
      <w:r w:rsidRPr="00A00D38">
        <w:rPr>
          <w:rFonts w:ascii="Times New Roman" w:hAnsi="Times New Roman"/>
          <w:color w:val="000000" w:themeColor="text1"/>
        </w:rPr>
        <w:t>學位</w:t>
      </w:r>
      <w:r w:rsidRPr="00A00D38">
        <w:rPr>
          <w:rFonts w:ascii="Times New Roman" w:hAnsi="Times New Roman" w:hint="eastAsia"/>
          <w:color w:val="000000" w:themeColor="text1"/>
        </w:rPr>
        <w:t>管道</w:t>
      </w:r>
      <w:r w:rsidRPr="00A00D38">
        <w:rPr>
          <w:rFonts w:ascii="Times New Roman" w:hAnsi="Times New Roman"/>
          <w:color w:val="000000" w:themeColor="text1"/>
        </w:rPr>
        <w:t>，以及民間各機構辦理語言進修學程等，學生出國進行短期進修比例漸增</w:t>
      </w:r>
      <w:r w:rsidRPr="00A00D38">
        <w:rPr>
          <w:rFonts w:ascii="Times New Roman" w:hAnsi="Times New Roman" w:hint="eastAsia"/>
          <w:color w:val="000000" w:themeColor="text1"/>
        </w:rPr>
        <w:t>」</w:t>
      </w:r>
      <w:r w:rsidRPr="00A00D38">
        <w:rPr>
          <w:rFonts w:ascii="Times New Roman" w:hAnsi="Times New Roman"/>
          <w:color w:val="000000" w:themeColor="text1"/>
        </w:rPr>
        <w:t>等語。</w:t>
      </w:r>
      <w:r w:rsidRPr="00A00D38">
        <w:rPr>
          <w:rFonts w:ascii="Times New Roman" w:hAnsi="Times New Roman"/>
          <w:color w:val="000000" w:themeColor="text1"/>
          <w:szCs w:val="24"/>
        </w:rPr>
        <w:t>我國</w:t>
      </w:r>
      <w:r w:rsidRPr="00A00D38">
        <w:rPr>
          <w:rFonts w:ascii="Times New Roman" w:hAnsi="Times New Roman"/>
          <w:color w:val="000000" w:themeColor="text1"/>
          <w:szCs w:val="24"/>
        </w:rPr>
        <w:t>105</w:t>
      </w:r>
      <w:r w:rsidRPr="00A00D38">
        <w:rPr>
          <w:rFonts w:ascii="Times New Roman" w:hAnsi="Times New Roman"/>
          <w:color w:val="000000" w:themeColor="text1"/>
          <w:szCs w:val="24"/>
        </w:rPr>
        <w:t>年四大主要留學國家</w:t>
      </w:r>
      <w:r w:rsidRPr="00A00D38">
        <w:rPr>
          <w:rFonts w:ascii="Times New Roman" w:hAnsi="Times New Roman" w:hint="eastAsia"/>
          <w:color w:val="000000" w:themeColor="text1"/>
          <w:szCs w:val="24"/>
        </w:rPr>
        <w:t>（</w:t>
      </w:r>
      <w:r w:rsidRPr="00A00D38">
        <w:rPr>
          <w:rFonts w:ascii="Times New Roman" w:hAnsi="Times New Roman"/>
          <w:color w:val="000000" w:themeColor="text1"/>
          <w:szCs w:val="24"/>
        </w:rPr>
        <w:t>美國、澳洲、日本與英國</w:t>
      </w:r>
      <w:r w:rsidRPr="00A00D38">
        <w:rPr>
          <w:rFonts w:ascii="Times New Roman" w:hAnsi="Times New Roman" w:hint="eastAsia"/>
          <w:color w:val="000000" w:themeColor="text1"/>
          <w:szCs w:val="24"/>
        </w:rPr>
        <w:t>）中</w:t>
      </w:r>
      <w:r w:rsidRPr="00A00D38">
        <w:rPr>
          <w:rFonts w:ascii="Times New Roman" w:hAnsi="Times New Roman"/>
          <w:color w:val="000000" w:themeColor="text1"/>
          <w:szCs w:val="24"/>
        </w:rPr>
        <w:t>，美國、日本及英國，以學位進修為主，赴澳洲者，則以非學位進修為主。此外，</w:t>
      </w:r>
      <w:r w:rsidRPr="00A00D38">
        <w:rPr>
          <w:rFonts w:ascii="Times New Roman" w:hAnsi="Times New Roman"/>
          <w:color w:val="000000" w:themeColor="text1"/>
          <w:szCs w:val="24"/>
        </w:rPr>
        <w:t>104</w:t>
      </w:r>
      <w:r w:rsidRPr="00A00D38">
        <w:rPr>
          <w:rFonts w:ascii="Times New Roman" w:hAnsi="Times New Roman"/>
          <w:color w:val="000000" w:themeColor="text1"/>
          <w:szCs w:val="24"/>
        </w:rPr>
        <w:t>年赴澳留學攻讀學位者</w:t>
      </w:r>
      <w:r w:rsidRPr="00A00D38">
        <w:rPr>
          <w:rFonts w:ascii="Times New Roman" w:hAnsi="Times New Roman"/>
          <w:color w:val="000000" w:themeColor="text1"/>
          <w:szCs w:val="24"/>
        </w:rPr>
        <w:t>2,639</w:t>
      </w:r>
      <w:r w:rsidRPr="00A00D38">
        <w:rPr>
          <w:rFonts w:ascii="Times New Roman" w:hAnsi="Times New Roman"/>
          <w:color w:val="000000" w:themeColor="text1"/>
          <w:szCs w:val="24"/>
        </w:rPr>
        <w:t>人、</w:t>
      </w:r>
      <w:r w:rsidRPr="00A00D38">
        <w:rPr>
          <w:rFonts w:ascii="Times New Roman" w:hAnsi="Times New Roman"/>
          <w:color w:val="000000" w:themeColor="text1"/>
          <w:szCs w:val="24"/>
        </w:rPr>
        <w:t>105</w:t>
      </w:r>
      <w:r w:rsidRPr="00A00D38">
        <w:rPr>
          <w:rFonts w:ascii="Times New Roman" w:hAnsi="Times New Roman"/>
          <w:color w:val="000000" w:themeColor="text1"/>
          <w:szCs w:val="24"/>
        </w:rPr>
        <w:t>年攻讀學位者</w:t>
      </w:r>
      <w:r w:rsidRPr="00A00D38">
        <w:rPr>
          <w:rFonts w:ascii="Times New Roman" w:hAnsi="Times New Roman"/>
          <w:color w:val="000000" w:themeColor="text1"/>
          <w:szCs w:val="24"/>
        </w:rPr>
        <w:t>2,353</w:t>
      </w:r>
      <w:r w:rsidRPr="00A00D38">
        <w:rPr>
          <w:rFonts w:ascii="Times New Roman" w:hAnsi="Times New Roman"/>
          <w:color w:val="000000" w:themeColor="text1"/>
          <w:szCs w:val="24"/>
        </w:rPr>
        <w:t>人，相差無幾，但非學位生人數則由</w:t>
      </w:r>
      <w:r w:rsidRPr="00A00D38">
        <w:rPr>
          <w:rFonts w:ascii="Times New Roman" w:hAnsi="Times New Roman"/>
          <w:color w:val="000000" w:themeColor="text1"/>
          <w:szCs w:val="24"/>
        </w:rPr>
        <w:t>7,581</w:t>
      </w:r>
      <w:r w:rsidRPr="00A00D38">
        <w:rPr>
          <w:rFonts w:ascii="Times New Roman" w:hAnsi="Times New Roman"/>
          <w:color w:val="000000" w:themeColor="text1"/>
          <w:szCs w:val="24"/>
        </w:rPr>
        <w:t>人，驟增為</w:t>
      </w:r>
      <w:r w:rsidRPr="00A00D38">
        <w:rPr>
          <w:rFonts w:ascii="Times New Roman" w:hAnsi="Times New Roman"/>
          <w:color w:val="000000" w:themeColor="text1"/>
          <w:szCs w:val="24"/>
        </w:rPr>
        <w:t>1</w:t>
      </w:r>
      <w:r w:rsidRPr="00A00D38">
        <w:rPr>
          <w:rFonts w:ascii="Times New Roman" w:hAnsi="Times New Roman"/>
          <w:color w:val="000000" w:themeColor="text1"/>
          <w:szCs w:val="24"/>
        </w:rPr>
        <w:t>萬</w:t>
      </w:r>
      <w:r w:rsidRPr="00A00D38">
        <w:rPr>
          <w:rFonts w:ascii="Times New Roman" w:hAnsi="Times New Roman"/>
          <w:color w:val="000000" w:themeColor="text1"/>
          <w:szCs w:val="24"/>
        </w:rPr>
        <w:t>964</w:t>
      </w:r>
      <w:r w:rsidRPr="00A00D38">
        <w:rPr>
          <w:rFonts w:ascii="Times New Roman" w:hAnsi="Times New Roman"/>
          <w:color w:val="000000" w:themeColor="text1"/>
          <w:szCs w:val="24"/>
        </w:rPr>
        <w:t>人；美國、日本及英國部分，雖以攻讀正式學位的留學生為主，但非學位生及實習</w:t>
      </w:r>
      <w:r w:rsidRPr="00A00D38">
        <w:rPr>
          <w:rFonts w:ascii="Times New Roman" w:hAnsi="Times New Roman" w:hint="eastAsia"/>
          <w:color w:val="000000" w:themeColor="text1"/>
          <w:szCs w:val="24"/>
        </w:rPr>
        <w:t>生</w:t>
      </w:r>
      <w:r w:rsidRPr="00A00D38">
        <w:rPr>
          <w:rFonts w:ascii="Times New Roman" w:hAnsi="Times New Roman"/>
          <w:color w:val="000000" w:themeColor="text1"/>
          <w:szCs w:val="24"/>
        </w:rPr>
        <w:t>人數均較</w:t>
      </w:r>
      <w:r w:rsidRPr="00A00D38">
        <w:rPr>
          <w:rFonts w:ascii="Times New Roman" w:hAnsi="Times New Roman"/>
          <w:color w:val="000000" w:themeColor="text1"/>
          <w:szCs w:val="24"/>
        </w:rPr>
        <w:t>104</w:t>
      </w:r>
      <w:r w:rsidRPr="00A00D38">
        <w:rPr>
          <w:rFonts w:ascii="Times New Roman" w:hAnsi="Times New Roman"/>
          <w:color w:val="000000" w:themeColor="text1"/>
          <w:szCs w:val="24"/>
        </w:rPr>
        <w:t>年度增加。據此，我國海外留學</w:t>
      </w:r>
      <w:r w:rsidRPr="00A00D38">
        <w:rPr>
          <w:rFonts w:ascii="Times New Roman" w:hAnsi="Times New Roman" w:hint="eastAsia"/>
          <w:color w:val="000000" w:themeColor="text1"/>
          <w:szCs w:val="24"/>
        </w:rPr>
        <w:t>生</w:t>
      </w:r>
      <w:r w:rsidRPr="00A00D38">
        <w:rPr>
          <w:rFonts w:ascii="Times New Roman" w:hAnsi="Times New Roman"/>
          <w:color w:val="000000" w:themeColor="text1"/>
          <w:szCs w:val="24"/>
        </w:rPr>
        <w:t>之修業型態</w:t>
      </w:r>
      <w:r w:rsidRPr="00A00D38">
        <w:rPr>
          <w:rFonts w:ascii="Times New Roman" w:hAnsi="Times New Roman" w:hint="eastAsia"/>
          <w:color w:val="000000" w:themeColor="text1"/>
          <w:szCs w:val="24"/>
        </w:rPr>
        <w:t>已</w:t>
      </w:r>
      <w:r w:rsidRPr="00A00D38">
        <w:rPr>
          <w:rFonts w:ascii="Times New Roman" w:hAnsi="Times New Roman"/>
          <w:color w:val="000000" w:themeColor="text1"/>
          <w:szCs w:val="24"/>
        </w:rPr>
        <w:t>有顯著改變。</w:t>
      </w:r>
      <w:bookmarkEnd w:id="206"/>
      <w:bookmarkEnd w:id="207"/>
      <w:bookmarkEnd w:id="208"/>
      <w:bookmarkEnd w:id="209"/>
      <w:r w:rsidRPr="00A00D38">
        <w:rPr>
          <w:rFonts w:ascii="Times New Roman" w:hAnsi="Times New Roman" w:hint="eastAsia"/>
          <w:color w:val="000000" w:themeColor="text1"/>
          <w:szCs w:val="24"/>
        </w:rPr>
        <w:br/>
      </w:r>
    </w:p>
    <w:p w:rsidR="006C2670" w:rsidRPr="00A00D38" w:rsidRDefault="006C2670" w:rsidP="006C2670">
      <w:pPr>
        <w:pStyle w:val="3"/>
        <w:ind w:left="1361"/>
        <w:rPr>
          <w:rFonts w:ascii="Times New Roman" w:hAnsi="Times New Roman"/>
          <w:color w:val="000000" w:themeColor="text1"/>
          <w:sz w:val="24"/>
          <w:szCs w:val="24"/>
        </w:rPr>
      </w:pPr>
      <w:bookmarkStart w:id="210" w:name="_Toc488227903"/>
      <w:bookmarkStart w:id="211" w:name="_Toc489383119"/>
      <w:bookmarkStart w:id="212" w:name="_Toc491711208"/>
      <w:bookmarkStart w:id="213" w:name="_Toc492371082"/>
      <w:r w:rsidRPr="00A00D38">
        <w:rPr>
          <w:rFonts w:ascii="Times New Roman" w:hAnsi="Times New Roman"/>
          <w:color w:val="000000" w:themeColor="text1"/>
          <w:szCs w:val="24"/>
        </w:rPr>
        <w:t>惟於前開留學</w:t>
      </w:r>
      <w:r w:rsidRPr="00A00D38">
        <w:rPr>
          <w:rFonts w:ascii="Times New Roman" w:hAnsi="Times New Roman"/>
          <w:color w:val="000000" w:themeColor="text1"/>
        </w:rPr>
        <w:t>國</w:t>
      </w:r>
      <w:r w:rsidRPr="00A00D38">
        <w:rPr>
          <w:rFonts w:ascii="Times New Roman" w:hAnsi="Times New Roman"/>
          <w:color w:val="000000" w:themeColor="text1"/>
          <w:szCs w:val="24"/>
        </w:rPr>
        <w:t>家及修業型態改變態勢中，對於學生海外留學學習領域之掌握，教育部僅能</w:t>
      </w:r>
      <w:r w:rsidRPr="00A00D38">
        <w:rPr>
          <w:rFonts w:ascii="Times New Roman" w:hAnsi="Times New Roman" w:hint="eastAsia"/>
          <w:color w:val="000000" w:themeColor="text1"/>
          <w:szCs w:val="24"/>
        </w:rPr>
        <w:t>由</w:t>
      </w:r>
      <w:r w:rsidRPr="00A00D38">
        <w:rPr>
          <w:rFonts w:ascii="Times New Roman" w:hAnsi="Times New Roman"/>
          <w:color w:val="000000" w:themeColor="text1"/>
          <w:szCs w:val="24"/>
        </w:rPr>
        <w:t>美國國際教育協會調查資料，及我國歷年公費留考錄取情形</w:t>
      </w:r>
      <w:r w:rsidRPr="00A00D38">
        <w:rPr>
          <w:rStyle w:val="aff0"/>
          <w:rFonts w:ascii="Times New Roman" w:hAnsi="Times New Roman"/>
          <w:color w:val="000000" w:themeColor="text1"/>
          <w:szCs w:val="24"/>
        </w:rPr>
        <w:footnoteReference w:id="17"/>
      </w:r>
      <w:r w:rsidRPr="00A00D38">
        <w:rPr>
          <w:rFonts w:ascii="Times New Roman" w:hAnsi="Times New Roman"/>
          <w:color w:val="000000" w:themeColor="text1"/>
          <w:szCs w:val="24"/>
        </w:rPr>
        <w:t>瞭解，並稱我國學生主要攻讀領域為商業管理、工程、藝術及自然生命科學等領域。該部</w:t>
      </w:r>
      <w:r w:rsidRPr="00A00D38">
        <w:rPr>
          <w:rFonts w:ascii="Times New Roman" w:hAnsi="Times New Roman" w:hint="eastAsia"/>
          <w:color w:val="000000" w:themeColor="text1"/>
          <w:szCs w:val="24"/>
        </w:rPr>
        <w:t>並</w:t>
      </w:r>
      <w:r w:rsidRPr="00A00D38">
        <w:rPr>
          <w:rFonts w:ascii="Times New Roman" w:hAnsi="Times New Roman"/>
          <w:color w:val="000000" w:themeColor="text1"/>
          <w:szCs w:val="24"/>
        </w:rPr>
        <w:t>表示，</w:t>
      </w:r>
      <w:r w:rsidRPr="00A00D38">
        <w:rPr>
          <w:rFonts w:ascii="Times New Roman" w:hAnsi="Times New Roman"/>
          <w:color w:val="000000" w:themeColor="text1"/>
          <w:szCs w:val="24"/>
        </w:rPr>
        <w:t>78</w:t>
      </w:r>
      <w:r w:rsidRPr="00A00D38">
        <w:rPr>
          <w:rFonts w:ascii="Times New Roman" w:hAnsi="Times New Roman"/>
          <w:color w:val="000000" w:themeColor="text1"/>
          <w:szCs w:val="24"/>
        </w:rPr>
        <w:t>年「護照條例」修改後，其僅能發函向各國駐華機構查詢，</w:t>
      </w:r>
      <w:r w:rsidRPr="00A00D38">
        <w:rPr>
          <w:rFonts w:ascii="Times New Roman" w:hAnsi="Times New Roman" w:hint="eastAsia"/>
          <w:color w:val="000000" w:themeColor="text1"/>
          <w:szCs w:val="24"/>
        </w:rPr>
        <w:t>以</w:t>
      </w:r>
      <w:r w:rsidRPr="00A00D38">
        <w:rPr>
          <w:rFonts w:ascii="Times New Roman" w:hAnsi="Times New Roman"/>
          <w:color w:val="000000" w:themeColor="text1"/>
          <w:szCs w:val="24"/>
        </w:rPr>
        <w:t>獲知留學簽證人數，實際留學人數尚無法確知。此外，以該部提供資料</w:t>
      </w:r>
      <w:r w:rsidRPr="00A00D38">
        <w:rPr>
          <w:rFonts w:ascii="Times New Roman" w:hAnsi="Times New Roman" w:hint="eastAsia"/>
          <w:color w:val="000000" w:themeColor="text1"/>
          <w:szCs w:val="24"/>
        </w:rPr>
        <w:t>所</w:t>
      </w:r>
      <w:r w:rsidRPr="00A00D38">
        <w:rPr>
          <w:rFonts w:ascii="Times New Roman" w:hAnsi="Times New Roman"/>
          <w:color w:val="000000" w:themeColor="text1"/>
          <w:szCs w:val="24"/>
        </w:rPr>
        <w:t>顯示之</w:t>
      </w:r>
      <w:r w:rsidRPr="00A00D38">
        <w:rPr>
          <w:rFonts w:ascii="Times New Roman" w:hAnsi="Times New Roman"/>
          <w:color w:val="000000" w:themeColor="text1"/>
          <w:szCs w:val="24"/>
        </w:rPr>
        <w:t>105</w:t>
      </w:r>
      <w:r w:rsidRPr="00A00D38">
        <w:rPr>
          <w:rFonts w:ascii="Times New Roman" w:hAnsi="Times New Roman"/>
          <w:color w:val="000000" w:themeColor="text1"/>
          <w:szCs w:val="24"/>
        </w:rPr>
        <w:t>年度留學簽證人數</w:t>
      </w:r>
      <w:r w:rsidRPr="00A00D38">
        <w:rPr>
          <w:rFonts w:ascii="Times New Roman" w:hAnsi="Times New Roman"/>
          <w:color w:val="000000" w:themeColor="text1"/>
          <w:szCs w:val="24"/>
        </w:rPr>
        <w:t>3</w:t>
      </w:r>
      <w:r w:rsidRPr="00A00D38">
        <w:rPr>
          <w:rFonts w:ascii="Times New Roman" w:hAnsi="Times New Roman"/>
          <w:color w:val="000000" w:themeColor="text1"/>
          <w:szCs w:val="24"/>
        </w:rPr>
        <w:t>萬</w:t>
      </w:r>
      <w:r w:rsidRPr="00A00D38">
        <w:rPr>
          <w:rFonts w:ascii="Times New Roman" w:hAnsi="Times New Roman"/>
          <w:color w:val="000000" w:themeColor="text1"/>
          <w:szCs w:val="24"/>
        </w:rPr>
        <w:t>8,166</w:t>
      </w:r>
      <w:r w:rsidRPr="00A00D38">
        <w:rPr>
          <w:rFonts w:ascii="Times New Roman" w:hAnsi="Times New Roman"/>
          <w:color w:val="000000" w:themeColor="text1"/>
          <w:szCs w:val="24"/>
        </w:rPr>
        <w:t>人而言，美國國際教育協會同年之調查資料僅能粗略掌握其中</w:t>
      </w:r>
      <w:r w:rsidRPr="00A00D38">
        <w:rPr>
          <w:rFonts w:ascii="Times New Roman" w:hAnsi="Times New Roman"/>
          <w:color w:val="000000" w:themeColor="text1"/>
          <w:szCs w:val="24"/>
        </w:rPr>
        <w:t>2</w:t>
      </w:r>
      <w:r w:rsidRPr="00A00D38">
        <w:rPr>
          <w:rFonts w:ascii="Times New Roman" w:hAnsi="Times New Roman"/>
          <w:color w:val="000000" w:themeColor="text1"/>
          <w:szCs w:val="24"/>
        </w:rPr>
        <w:t>萬</w:t>
      </w:r>
      <w:r w:rsidRPr="00A00D38">
        <w:rPr>
          <w:rFonts w:ascii="Times New Roman" w:hAnsi="Times New Roman"/>
          <w:color w:val="000000" w:themeColor="text1"/>
          <w:szCs w:val="24"/>
        </w:rPr>
        <w:t>1,127</w:t>
      </w:r>
      <w:r w:rsidRPr="00A00D38">
        <w:rPr>
          <w:rFonts w:ascii="Times New Roman" w:hAnsi="Times New Roman"/>
          <w:color w:val="000000" w:themeColor="text1"/>
          <w:szCs w:val="24"/>
        </w:rPr>
        <w:t>人之學習領域，另一方面，非學位生之資料包含短期研修</w:t>
      </w:r>
      <w:r w:rsidRPr="00A00D38">
        <w:rPr>
          <w:rFonts w:ascii="Times New Roman" w:hAnsi="Times New Roman"/>
          <w:color w:val="000000" w:themeColor="text1"/>
          <w:szCs w:val="24"/>
        </w:rPr>
        <w:lastRenderedPageBreak/>
        <w:t>生與實習者，既經國內大專院校選送出國，對渠等學習領域別之掌握，不應無從進行基礎調查瞭解；綜此，</w:t>
      </w:r>
      <w:r w:rsidRPr="00A00D38">
        <w:rPr>
          <w:rFonts w:ascii="Times New Roman" w:hAnsi="Times New Roman" w:hint="eastAsia"/>
          <w:color w:val="000000" w:themeColor="text1"/>
          <w:szCs w:val="24"/>
        </w:rPr>
        <w:t>突</w:t>
      </w:r>
      <w:r w:rsidRPr="00A00D38">
        <w:rPr>
          <w:rFonts w:ascii="Times New Roman" w:hAnsi="Times New Roman"/>
          <w:color w:val="000000" w:themeColor="text1"/>
          <w:szCs w:val="24"/>
        </w:rPr>
        <w:t>顯政府對於國人海外留學實際情形之</w:t>
      </w:r>
      <w:r w:rsidRPr="00A00D38">
        <w:rPr>
          <w:rFonts w:ascii="Times New Roman" w:hAnsi="Times New Roman" w:hint="eastAsia"/>
          <w:color w:val="000000" w:themeColor="text1"/>
          <w:szCs w:val="24"/>
        </w:rPr>
        <w:t>關切與</w:t>
      </w:r>
      <w:r w:rsidRPr="00A00D38">
        <w:rPr>
          <w:rFonts w:ascii="Times New Roman" w:hAnsi="Times New Roman"/>
          <w:color w:val="000000" w:themeColor="text1"/>
          <w:szCs w:val="24"/>
        </w:rPr>
        <w:t>掌握度，嚴重不足。</w:t>
      </w:r>
      <w:bookmarkStart w:id="214" w:name="_Toc488227904"/>
      <w:bookmarkEnd w:id="210"/>
      <w:bookmarkEnd w:id="211"/>
      <w:r w:rsidRPr="00A00D38">
        <w:rPr>
          <w:rFonts w:ascii="Times New Roman" w:hAnsi="Times New Roman" w:hint="eastAsia"/>
          <w:color w:val="000000" w:themeColor="text1"/>
          <w:szCs w:val="24"/>
        </w:rPr>
        <w:t>尤以早期留學生於出國前均需接受教育部國際文化教育事業處</w:t>
      </w:r>
      <w:r w:rsidRPr="00A00D38">
        <w:rPr>
          <w:rFonts w:ascii="Times New Roman" w:hAnsi="Times New Roman" w:hint="eastAsia"/>
          <w:color w:val="000000" w:themeColor="text1"/>
          <w:szCs w:val="24"/>
        </w:rPr>
        <w:t>(</w:t>
      </w:r>
      <w:r w:rsidRPr="00A00D38">
        <w:rPr>
          <w:rFonts w:ascii="Times New Roman" w:hAnsi="Times New Roman" w:hint="eastAsia"/>
          <w:color w:val="000000" w:themeColor="text1"/>
          <w:szCs w:val="24"/>
        </w:rPr>
        <w:t>現為教育部國際及兩岸教育司</w:t>
      </w:r>
      <w:r w:rsidRPr="00A00D38">
        <w:rPr>
          <w:rFonts w:ascii="Times New Roman" w:hAnsi="Times New Roman" w:hint="eastAsia"/>
          <w:color w:val="000000" w:themeColor="text1"/>
          <w:szCs w:val="24"/>
        </w:rPr>
        <w:t>)</w:t>
      </w:r>
      <w:r w:rsidRPr="00A00D38">
        <w:rPr>
          <w:rFonts w:hAnsi="標楷體" w:hint="eastAsia"/>
          <w:color w:val="000000" w:themeColor="text1"/>
          <w:szCs w:val="24"/>
        </w:rPr>
        <w:t>「</w:t>
      </w:r>
      <w:r w:rsidRPr="00A00D38">
        <w:rPr>
          <w:rFonts w:ascii="Times New Roman" w:hAnsi="Times New Roman" w:hint="eastAsia"/>
          <w:color w:val="000000" w:themeColor="text1"/>
          <w:szCs w:val="24"/>
        </w:rPr>
        <w:t>留學生講習</w:t>
      </w:r>
      <w:r w:rsidRPr="00A00D38">
        <w:rPr>
          <w:rFonts w:hAnsi="標楷體" w:hint="eastAsia"/>
          <w:color w:val="000000" w:themeColor="text1"/>
          <w:szCs w:val="24"/>
        </w:rPr>
        <w:t>」</w:t>
      </w:r>
      <w:r w:rsidRPr="00A00D38">
        <w:rPr>
          <w:rFonts w:ascii="Times New Roman" w:hAnsi="Times New Roman" w:hint="eastAsia"/>
          <w:color w:val="000000" w:themeColor="text1"/>
          <w:szCs w:val="24"/>
        </w:rPr>
        <w:t>，回國時尚有行政院青年輔導委員會</w:t>
      </w:r>
      <w:r w:rsidRPr="00A00D38">
        <w:rPr>
          <w:rFonts w:ascii="Times New Roman" w:hAnsi="Times New Roman" w:hint="eastAsia"/>
          <w:color w:val="000000" w:themeColor="text1"/>
          <w:szCs w:val="24"/>
        </w:rPr>
        <w:t>(</w:t>
      </w:r>
      <w:r w:rsidRPr="00A00D38">
        <w:rPr>
          <w:rFonts w:ascii="Times New Roman" w:hAnsi="Times New Roman" w:hint="eastAsia"/>
          <w:color w:val="000000" w:themeColor="text1"/>
          <w:szCs w:val="24"/>
        </w:rPr>
        <w:t>現為教育部青年發展署</w:t>
      </w:r>
      <w:r w:rsidRPr="00A00D38">
        <w:rPr>
          <w:rFonts w:ascii="Times New Roman" w:hAnsi="Times New Roman" w:hint="eastAsia"/>
          <w:color w:val="000000" w:themeColor="text1"/>
          <w:szCs w:val="24"/>
        </w:rPr>
        <w:t>)</w:t>
      </w:r>
      <w:r w:rsidRPr="00A00D38">
        <w:rPr>
          <w:rFonts w:ascii="Times New Roman" w:hAnsi="Times New Roman" w:hint="eastAsia"/>
          <w:color w:val="000000" w:themeColor="text1"/>
          <w:szCs w:val="24"/>
        </w:rPr>
        <w:t>與教育部的相關補助，對厚植國家人才不無助益，於今臺灣正面臨人才流失情勢下，如何建立與留學生之情感鏈接更形緊要。</w:t>
      </w:r>
      <w:bookmarkEnd w:id="212"/>
      <w:bookmarkEnd w:id="213"/>
      <w:r w:rsidRPr="00A00D38">
        <w:rPr>
          <w:rFonts w:ascii="Times New Roman" w:hAnsi="Times New Roman"/>
          <w:color w:val="000000" w:themeColor="text1"/>
          <w:szCs w:val="24"/>
        </w:rPr>
        <w:br/>
      </w:r>
    </w:p>
    <w:p w:rsidR="006C2670" w:rsidRPr="00A00D38" w:rsidRDefault="006C2670" w:rsidP="006C2670">
      <w:pPr>
        <w:pStyle w:val="3"/>
        <w:rPr>
          <w:color w:val="000000" w:themeColor="text1"/>
        </w:rPr>
      </w:pPr>
      <w:bookmarkStart w:id="215" w:name="_Toc489383120"/>
      <w:bookmarkStart w:id="216" w:name="_Toc491711209"/>
      <w:bookmarkStart w:id="217" w:name="_Toc492371083"/>
      <w:r w:rsidRPr="00A00D38">
        <w:rPr>
          <w:rFonts w:hint="eastAsia"/>
          <w:color w:val="000000" w:themeColor="text1"/>
        </w:rPr>
        <w:t>關於教育部105年12月27日修正之「教育部鼓勵國內大專校院選送學生出國研修或國外專業實習補助要點」第2點所定之4種補助類型（學海飛颺、學海惜珠、學海築夢、新南向學海築夢），查據教育部函復資料</w:t>
      </w:r>
      <w:r w:rsidRPr="00A00D38">
        <w:rPr>
          <w:rStyle w:val="aff0"/>
          <w:color w:val="000000" w:themeColor="text1"/>
        </w:rPr>
        <w:footnoteReference w:id="18"/>
      </w:r>
      <w:r w:rsidRPr="00A00D38">
        <w:rPr>
          <w:rFonts w:hint="eastAsia"/>
          <w:color w:val="000000" w:themeColor="text1"/>
        </w:rPr>
        <w:t>，</w:t>
      </w:r>
      <w:r w:rsidRPr="00A00D38">
        <w:rPr>
          <w:rFonts w:ascii="Times New Roman" w:hAnsi="Times New Roman" w:hint="eastAsia"/>
          <w:color w:val="000000" w:themeColor="text1"/>
        </w:rPr>
        <w:t>「</w:t>
      </w:r>
      <w:r w:rsidRPr="00A00D38">
        <w:rPr>
          <w:rFonts w:hint="eastAsia"/>
          <w:color w:val="000000" w:themeColor="text1"/>
        </w:rPr>
        <w:t>開辦迄今，已資助2萬1,768名學生出國研修或實習。103至106年度共補助7,896人，總金額達9億5,393萬1,211元」，該部對於受補助者之修讀領域學門，及修畢學程或學位後之流向掌握度，僅說明以：「受補助者</w:t>
      </w:r>
      <w:r w:rsidRPr="00A00D38">
        <w:rPr>
          <w:rFonts w:ascii="Times New Roman" w:hAnsi="Times New Roman" w:hint="eastAsia"/>
          <w:color w:val="000000" w:themeColor="text1"/>
          <w:szCs w:val="24"/>
        </w:rPr>
        <w:t>皆須返回薦送學校報到，經洽各校國際事務單位得知，本計畫幫助學生提升國際視野及全球移動力，除增進其外語能力外，亦提前取得實地職場經驗以及未來優勢</w:t>
      </w:r>
      <w:r w:rsidRPr="00A00D38">
        <w:rPr>
          <w:rFonts w:hint="eastAsia"/>
          <w:color w:val="000000" w:themeColor="text1"/>
        </w:rPr>
        <w:t>」。然未能說明受補助者對於本國之具體貢獻為何，亦無建立受補助者海外學習領域、返國服務貢獻與成效、修畢學程或取得學位學生流向等相關基礎統計數據，供後續之分析與應用，致無法據以科學化、系統化擬定高教相關政策。</w:t>
      </w:r>
      <w:bookmarkEnd w:id="215"/>
      <w:bookmarkEnd w:id="216"/>
      <w:bookmarkEnd w:id="217"/>
    </w:p>
    <w:p w:rsidR="006C2670" w:rsidRPr="00A00D38" w:rsidRDefault="006C2670" w:rsidP="006C2670">
      <w:pPr>
        <w:pStyle w:val="3"/>
        <w:ind w:left="1361"/>
        <w:rPr>
          <w:color w:val="000000" w:themeColor="text1"/>
        </w:rPr>
      </w:pPr>
      <w:bookmarkStart w:id="218" w:name="_Toc491711210"/>
      <w:bookmarkStart w:id="219" w:name="_Toc492371084"/>
      <w:bookmarkStart w:id="220" w:name="_Toc489383121"/>
      <w:r w:rsidRPr="00A00D38">
        <w:rPr>
          <w:rFonts w:hint="eastAsia"/>
          <w:color w:val="000000" w:themeColor="text1"/>
        </w:rPr>
        <w:lastRenderedPageBreak/>
        <w:t>此外，本案諮詢專家學者指出，「</w:t>
      </w:r>
      <w:r w:rsidRPr="00A00D38">
        <w:rPr>
          <w:color w:val="000000" w:themeColor="text1"/>
        </w:rPr>
        <w:t>我國</w:t>
      </w:r>
      <w:r w:rsidRPr="00A00D38">
        <w:rPr>
          <w:rFonts w:hint="eastAsia"/>
          <w:color w:val="000000" w:themeColor="text1"/>
        </w:rPr>
        <w:t>學生</w:t>
      </w:r>
      <w:r w:rsidRPr="00A00D38">
        <w:rPr>
          <w:color w:val="000000" w:themeColor="text1"/>
        </w:rPr>
        <w:t>赴海外留學</w:t>
      </w:r>
      <w:r w:rsidRPr="00A00D38">
        <w:rPr>
          <w:rFonts w:hint="eastAsia"/>
          <w:color w:val="000000" w:themeColor="text1"/>
        </w:rPr>
        <w:t>者，有向下延伸至高中階段的趨勢，至106年，國人赴海外就讀高中的人數已突破萬人，此類學生未來極有可能留在該國繼續升學就業，顯示其他國家的國際招生，恐早已鎖定我國優秀人力，未來更有淘空我國人才循環根基之虞，惟目前教育部</w:t>
      </w:r>
      <w:r w:rsidRPr="00A00D38">
        <w:rPr>
          <w:color w:val="000000" w:themeColor="text1"/>
        </w:rPr>
        <w:t>對於學生留學</w:t>
      </w:r>
      <w:r w:rsidRPr="00A00D38">
        <w:rPr>
          <w:rFonts w:hint="eastAsia"/>
          <w:color w:val="000000" w:themeColor="text1"/>
        </w:rPr>
        <w:t>海外高中的瞭解與調查，仍付闕如」，學者建議應立即納入檢討改善。另外，渠等亦提及，</w:t>
      </w:r>
      <w:r w:rsidRPr="00A00D38">
        <w:rPr>
          <w:rFonts w:ascii="Times New Roman" w:hAnsi="Times New Roman" w:hint="eastAsia"/>
          <w:color w:val="000000" w:themeColor="text1"/>
        </w:rPr>
        <w:t>「</w:t>
      </w:r>
      <w:r w:rsidRPr="00A00D38">
        <w:rPr>
          <w:rFonts w:hint="eastAsia"/>
          <w:color w:val="000000" w:themeColor="text1"/>
        </w:rPr>
        <w:t>探討我國學生赴外留學議題時，容易忽略『無法出國留學』之族群，以我國公私立大學比例懸殊、私立大學承擔高等教育比例較高之情形而言，私立大學中有更多家境不佳的學生，反而需負擔較高昂的學費，目前教育部雖有『學海惜珠』獎學金提供補助，惟該項補助杯水車薪</w:t>
      </w:r>
      <w:r w:rsidRPr="00A00D38">
        <w:rPr>
          <w:rStyle w:val="aff0"/>
          <w:color w:val="000000" w:themeColor="text1"/>
        </w:rPr>
        <w:footnoteReference w:id="19"/>
      </w:r>
      <w:r w:rsidRPr="00A00D38">
        <w:rPr>
          <w:rFonts w:hint="eastAsia"/>
          <w:color w:val="000000" w:themeColor="text1"/>
        </w:rPr>
        <w:t>，嘉惠國內清寒學子參與國際交流之教育機會仍有提升空間」。均供教育部未來研究與制定出國留學相關政策之參考。</w:t>
      </w:r>
      <w:bookmarkEnd w:id="218"/>
      <w:bookmarkEnd w:id="219"/>
      <w:r w:rsidRPr="00A00D38">
        <w:rPr>
          <w:color w:val="000000" w:themeColor="text1"/>
        </w:rPr>
        <w:br/>
      </w:r>
    </w:p>
    <w:p w:rsidR="006C2670" w:rsidRPr="00A00D38" w:rsidRDefault="006C2670" w:rsidP="006C2670">
      <w:pPr>
        <w:pStyle w:val="3"/>
        <w:ind w:left="1361"/>
        <w:rPr>
          <w:color w:val="000000" w:themeColor="text1"/>
        </w:rPr>
      </w:pPr>
      <w:bookmarkStart w:id="221" w:name="_Toc491711211"/>
      <w:bookmarkStart w:id="222" w:name="_Toc492371085"/>
      <w:r w:rsidRPr="00A00D38">
        <w:rPr>
          <w:color w:val="000000" w:themeColor="text1"/>
        </w:rPr>
        <w:t>綜上，</w:t>
      </w:r>
      <w:r w:rsidRPr="00A00D38">
        <w:rPr>
          <w:rFonts w:hint="eastAsia"/>
          <w:color w:val="000000" w:themeColor="text1"/>
        </w:rPr>
        <w:t>部分受補助優秀學生，</w:t>
      </w:r>
      <w:r w:rsidRPr="00A00D38">
        <w:rPr>
          <w:rFonts w:ascii="Times New Roman" w:hAnsi="Times New Roman" w:hint="eastAsia"/>
          <w:color w:val="000000" w:themeColor="text1"/>
        </w:rPr>
        <w:t>修畢學程或取得學位後</w:t>
      </w:r>
      <w:r w:rsidRPr="00A00D38">
        <w:rPr>
          <w:rFonts w:hint="eastAsia"/>
          <w:color w:val="000000" w:themeColor="text1"/>
        </w:rPr>
        <w:t>，有</w:t>
      </w:r>
      <w:r w:rsidRPr="00A00D38">
        <w:rPr>
          <w:rFonts w:ascii="Times New Roman" w:hAnsi="Times New Roman" w:hint="eastAsia"/>
          <w:color w:val="000000" w:themeColor="text1"/>
        </w:rPr>
        <w:t>返國服務之義務，其歸國貢獻程度、留學實際成效、人員流向，均有進行後續分析與應用之必要；</w:t>
      </w:r>
      <w:r w:rsidRPr="00A00D38">
        <w:rPr>
          <w:color w:val="000000" w:themeColor="text1"/>
        </w:rPr>
        <w:t>國人出國攻讀學位、非學位、短期出國研修、實習之情況，可作為高等教育、留學政策長期規劃之基礎，惟目前整體掌握度不佳，</w:t>
      </w:r>
      <w:r w:rsidRPr="00A00D38">
        <w:rPr>
          <w:rFonts w:hint="eastAsia"/>
          <w:color w:val="000000" w:themeColor="text1"/>
        </w:rPr>
        <w:t>亟</w:t>
      </w:r>
      <w:r w:rsidRPr="00A00D38">
        <w:rPr>
          <w:color w:val="000000" w:themeColor="text1"/>
        </w:rPr>
        <w:t>待教育部續行精進辦理。</w:t>
      </w:r>
      <w:bookmarkEnd w:id="214"/>
      <w:bookmarkEnd w:id="220"/>
      <w:bookmarkEnd w:id="221"/>
      <w:bookmarkEnd w:id="222"/>
    </w:p>
    <w:p w:rsidR="006C2670" w:rsidRPr="00A00D38" w:rsidRDefault="006C2670" w:rsidP="006C2670">
      <w:pPr>
        <w:pStyle w:val="3"/>
        <w:numPr>
          <w:ilvl w:val="0"/>
          <w:numId w:val="0"/>
        </w:numPr>
        <w:rPr>
          <w:color w:val="000000" w:themeColor="text1"/>
        </w:rPr>
      </w:pPr>
    </w:p>
    <w:p w:rsidR="006C2670" w:rsidRPr="00A00D38" w:rsidRDefault="006C2670" w:rsidP="006C2670">
      <w:pPr>
        <w:pStyle w:val="2"/>
        <w:numPr>
          <w:ilvl w:val="0"/>
          <w:numId w:val="33"/>
        </w:numPr>
        <w:ind w:left="1020" w:hanging="680"/>
        <w:rPr>
          <w:b/>
          <w:color w:val="000000" w:themeColor="text1"/>
        </w:rPr>
      </w:pPr>
      <w:bookmarkStart w:id="223" w:name="_Toc492371086"/>
      <w:r w:rsidRPr="00A00D38">
        <w:rPr>
          <w:rFonts w:hint="eastAsia"/>
          <w:b/>
          <w:color w:val="000000" w:themeColor="text1"/>
        </w:rPr>
        <w:t>大專校院來臺外籍教師占比仍偏低，且外籍專任教師人數日減，又我國彈性薪資方案仍偏向留住我國現職</w:t>
      </w:r>
      <w:r w:rsidRPr="00A00D38">
        <w:rPr>
          <w:rFonts w:hint="eastAsia"/>
          <w:b/>
          <w:color w:val="000000" w:themeColor="text1"/>
        </w:rPr>
        <w:lastRenderedPageBreak/>
        <w:t>人才，缺乏吸引外籍教研人才之誘因，且其居留歸化、子女就業等友善環境之建置尚難稱完善，</w:t>
      </w:r>
      <w:r w:rsidRPr="00A00D38">
        <w:rPr>
          <w:rFonts w:hAnsi="標楷體" w:hint="eastAsia"/>
          <w:b/>
          <w:color w:val="000000" w:themeColor="text1"/>
        </w:rPr>
        <w:t>實不利我國高等教育國際化之發展，</w:t>
      </w:r>
      <w:r w:rsidRPr="00A00D38">
        <w:rPr>
          <w:rFonts w:hint="eastAsia"/>
          <w:b/>
          <w:color w:val="000000" w:themeColor="text1"/>
        </w:rPr>
        <w:t>對於延攬外籍教師相關法規、策略及配套措施，均待各相關部會積極謀劃、及早建置，以免錯失我國競才利基。</w:t>
      </w:r>
      <w:bookmarkEnd w:id="223"/>
    </w:p>
    <w:p w:rsidR="006C2670" w:rsidRPr="00A00D38" w:rsidRDefault="006C2670" w:rsidP="006C73D0">
      <w:pPr>
        <w:pStyle w:val="3"/>
        <w:numPr>
          <w:ilvl w:val="2"/>
          <w:numId w:val="69"/>
        </w:numPr>
        <w:rPr>
          <w:color w:val="000000" w:themeColor="text1"/>
        </w:rPr>
      </w:pPr>
      <w:bookmarkStart w:id="224" w:name="_Toc489383123"/>
      <w:bookmarkStart w:id="225" w:name="_Toc491711213"/>
      <w:bookmarkStart w:id="226" w:name="_Toc492371087"/>
      <w:bookmarkStart w:id="227" w:name="_Toc488227906"/>
      <w:r w:rsidRPr="00A00D38">
        <w:rPr>
          <w:rFonts w:hint="eastAsia"/>
          <w:color w:val="000000" w:themeColor="text1"/>
        </w:rPr>
        <w:t>按「就業服務法」及「外國人從事『就業服務法』第46條第1項第1款至第6款工作資格及審查標準」規定略以，「外國人受聘僱從事公立或經立案之私立大專以上校院或外國僑民學校之教師工作，應依『專科以上學校教師資格審定辦法』取得教師證書，或經學校審議通過其任教資格。」另據「入出國及移民法」第23條規定略以，持停留期限在60日以上，且未經簽證核發機關加註限制不准延期或其他限制之有效簽證入國之外國人，經中央勞工主管機關或目的事業主管機關許可在我國從事「就業服務法」第46條第1項第1款至第7款或第11款工作者，得向移民署申請居留，經許可者，發給外僑居留證，其眷屬亦得申請在臺依親居留。</w:t>
      </w:r>
      <w:r w:rsidRPr="00A00D38">
        <w:rPr>
          <w:rFonts w:hAnsi="標楷體" w:hint="eastAsia"/>
          <w:color w:val="000000" w:themeColor="text1"/>
        </w:rPr>
        <w:t>「國籍法」第3條規定，外國人於中華民國境內，每年合計有183日以上合法居留之事實繼續5年以上，並具備一定要件者，得申請歸化我國國籍。上開法規為外籍高等教育教研人才來臺就業及居留之依據。</w:t>
      </w:r>
      <w:bookmarkEnd w:id="224"/>
      <w:bookmarkEnd w:id="225"/>
      <w:bookmarkEnd w:id="226"/>
      <w:r w:rsidRPr="00A00D38">
        <w:rPr>
          <w:rFonts w:hAnsi="標楷體"/>
          <w:color w:val="000000" w:themeColor="text1"/>
        </w:rPr>
        <w:br/>
      </w:r>
    </w:p>
    <w:p w:rsidR="006C2670" w:rsidRPr="00A00D38" w:rsidRDefault="006C2670" w:rsidP="006C2670">
      <w:pPr>
        <w:pStyle w:val="3"/>
        <w:rPr>
          <w:color w:val="000000" w:themeColor="text1"/>
        </w:rPr>
      </w:pPr>
      <w:bookmarkStart w:id="228" w:name="_Toc489383124"/>
      <w:bookmarkStart w:id="229" w:name="_Toc491711214"/>
      <w:bookmarkStart w:id="230" w:name="_Toc492371088"/>
      <w:r w:rsidRPr="00A00D38">
        <w:rPr>
          <w:rFonts w:hint="eastAsia"/>
          <w:color w:val="000000" w:themeColor="text1"/>
        </w:rPr>
        <w:t>查據教育部96至105學年度大專校院外籍教師人數統計，大專校院外籍專任教師占全體專任教師比率近10年間僅增加0.2％，占比仍屬偏低，又人數自96學年的1,047人，至102學年達最高峰的1,105人後，逐年遞減至105學年度之1,060人，較10年前僅增加13人(詳如下表</w:t>
      </w:r>
      <w:r w:rsidR="0009317C">
        <w:rPr>
          <w:rFonts w:hint="eastAsia"/>
          <w:color w:val="000000" w:themeColor="text1"/>
        </w:rPr>
        <w:t>12</w:t>
      </w:r>
      <w:r w:rsidRPr="00A00D38">
        <w:rPr>
          <w:rFonts w:hint="eastAsia"/>
          <w:color w:val="000000" w:themeColor="text1"/>
        </w:rPr>
        <w:t>)。</w:t>
      </w:r>
      <w:bookmarkEnd w:id="227"/>
      <w:r w:rsidRPr="00A00D38">
        <w:rPr>
          <w:rFonts w:hint="eastAsia"/>
          <w:color w:val="000000" w:themeColor="text1"/>
        </w:rPr>
        <w:t>同期間外籍兼任教師增幅雖達26</w:t>
      </w:r>
      <w:r w:rsidRPr="00A00D38">
        <w:rPr>
          <w:rFonts w:hAnsi="標楷體" w:hint="eastAsia"/>
          <w:color w:val="000000" w:themeColor="text1"/>
        </w:rPr>
        <w:t>％</w:t>
      </w:r>
      <w:r w:rsidRPr="00A00D38">
        <w:rPr>
          <w:rFonts w:hint="eastAsia"/>
          <w:color w:val="000000" w:themeColor="text1"/>
        </w:rPr>
        <w:t>，惟其占全體兼任教師之比率僅1.9</w:t>
      </w:r>
      <w:r w:rsidRPr="00A00D38">
        <w:rPr>
          <w:rFonts w:hAnsi="標楷體" w:hint="eastAsia"/>
          <w:color w:val="000000" w:themeColor="text1"/>
        </w:rPr>
        <w:t>％</w:t>
      </w:r>
      <w:r w:rsidRPr="00A00D38">
        <w:rPr>
          <w:rFonts w:hint="eastAsia"/>
          <w:color w:val="000000" w:themeColor="text1"/>
        </w:rPr>
        <w:t>，較10年</w:t>
      </w:r>
      <w:r w:rsidRPr="00A00D38">
        <w:rPr>
          <w:rFonts w:hint="eastAsia"/>
          <w:color w:val="000000" w:themeColor="text1"/>
        </w:rPr>
        <w:lastRenderedPageBreak/>
        <w:t>前僅增加175人。又據105年QS亞洲大學排名資料顯示</w:t>
      </w:r>
      <w:r w:rsidRPr="00A00D38">
        <w:rPr>
          <w:rStyle w:val="aff0"/>
          <w:color w:val="000000" w:themeColor="text1"/>
        </w:rPr>
        <w:footnoteReference w:id="20"/>
      </w:r>
      <w:r w:rsidRPr="00A00D38">
        <w:rPr>
          <w:rFonts w:hint="eastAsia"/>
          <w:color w:val="000000" w:themeColor="text1"/>
        </w:rPr>
        <w:t>，新加坡大學之外籍教師占該校全體教師約60</w:t>
      </w:r>
      <w:r w:rsidRPr="00A00D38">
        <w:rPr>
          <w:rFonts w:hAnsi="標楷體" w:hint="eastAsia"/>
          <w:color w:val="000000" w:themeColor="text1"/>
        </w:rPr>
        <w:t>％</w:t>
      </w:r>
      <w:r w:rsidRPr="00A00D38">
        <w:rPr>
          <w:rFonts w:hint="eastAsia"/>
          <w:color w:val="000000" w:themeColor="text1"/>
        </w:rPr>
        <w:t>，共3,086人；香港大學之外籍教師占該校全體教師約69</w:t>
      </w:r>
      <w:r w:rsidRPr="00A00D38">
        <w:rPr>
          <w:rFonts w:hAnsi="標楷體" w:hint="eastAsia"/>
          <w:color w:val="000000" w:themeColor="text1"/>
        </w:rPr>
        <w:t>％</w:t>
      </w:r>
      <w:r w:rsidRPr="00A00D38">
        <w:rPr>
          <w:rFonts w:hint="eastAsia"/>
          <w:color w:val="000000" w:themeColor="text1"/>
        </w:rPr>
        <w:t>，共2,085人；以我國國立臺灣大學為例，105年外籍專兼任教師占全體教師人數僅8.2</w:t>
      </w:r>
      <w:r w:rsidRPr="00A00D38">
        <w:rPr>
          <w:rFonts w:hAnsi="標楷體" w:hint="eastAsia"/>
          <w:color w:val="000000" w:themeColor="text1"/>
        </w:rPr>
        <w:t>％</w:t>
      </w:r>
      <w:r w:rsidRPr="00A00D38">
        <w:rPr>
          <w:rFonts w:hint="eastAsia"/>
          <w:color w:val="000000" w:themeColor="text1"/>
        </w:rPr>
        <w:t>，約344人，占全國外籍教師比率約18</w:t>
      </w:r>
      <w:r w:rsidRPr="00A00D38">
        <w:rPr>
          <w:rFonts w:hAnsi="標楷體" w:hint="eastAsia"/>
          <w:color w:val="000000" w:themeColor="text1"/>
        </w:rPr>
        <w:t>％</w:t>
      </w:r>
      <w:r w:rsidRPr="00A00D38">
        <w:rPr>
          <w:rStyle w:val="aff0"/>
          <w:color w:val="000000" w:themeColor="text1"/>
        </w:rPr>
        <w:footnoteReference w:id="21"/>
      </w:r>
      <w:r w:rsidRPr="00A00D38">
        <w:rPr>
          <w:rFonts w:hint="eastAsia"/>
          <w:color w:val="000000" w:themeColor="text1"/>
        </w:rPr>
        <w:t>。上述現象均顯示，我國</w:t>
      </w:r>
      <w:r w:rsidRPr="00A00D38">
        <w:rPr>
          <w:rFonts w:hAnsi="標楷體" w:hint="eastAsia"/>
          <w:color w:val="000000" w:themeColor="text1"/>
        </w:rPr>
        <w:t>大專校院外籍教師來臺占比仍偏低，實不利我國高等教育國際化之發展</w:t>
      </w:r>
      <w:r w:rsidRPr="00A00D38">
        <w:rPr>
          <w:rFonts w:hint="eastAsia"/>
          <w:color w:val="000000" w:themeColor="text1"/>
        </w:rPr>
        <w:t>。</w:t>
      </w:r>
      <w:bookmarkEnd w:id="228"/>
      <w:bookmarkEnd w:id="229"/>
      <w:bookmarkEnd w:id="230"/>
    </w:p>
    <w:p w:rsidR="006C2670" w:rsidRPr="00A00D38" w:rsidRDefault="006C2670" w:rsidP="006C2670">
      <w:pPr>
        <w:pStyle w:val="a4"/>
        <w:ind w:left="1134" w:hanging="992"/>
        <w:jc w:val="center"/>
        <w:rPr>
          <w:rFonts w:hAnsi="標楷體"/>
          <w:b/>
          <w:color w:val="000000" w:themeColor="text1"/>
        </w:rPr>
      </w:pPr>
      <w:r w:rsidRPr="00A00D38">
        <w:rPr>
          <w:rFonts w:hAnsi="標楷體" w:hint="eastAsia"/>
          <w:b/>
          <w:color w:val="000000" w:themeColor="text1"/>
        </w:rPr>
        <w:t>我國大專校院全體及外籍教師人數 (96-105學年度)</w:t>
      </w:r>
    </w:p>
    <w:p w:rsidR="006C2670" w:rsidRPr="00A00D38" w:rsidRDefault="006C2670" w:rsidP="006C2670">
      <w:pPr>
        <w:spacing w:line="280" w:lineRule="exact"/>
        <w:jc w:val="right"/>
        <w:rPr>
          <w:color w:val="000000" w:themeColor="text1"/>
          <w:sz w:val="28"/>
        </w:rPr>
      </w:pPr>
      <w:r w:rsidRPr="00A00D38">
        <w:rPr>
          <w:rFonts w:hint="eastAsia"/>
          <w:color w:val="000000" w:themeColor="text1"/>
          <w:sz w:val="28"/>
        </w:rPr>
        <w:t>單位：人</w:t>
      </w:r>
    </w:p>
    <w:tbl>
      <w:tblPr>
        <w:tblW w:w="4945" w:type="pct"/>
        <w:tblCellMar>
          <w:left w:w="28" w:type="dxa"/>
          <w:right w:w="28" w:type="dxa"/>
        </w:tblCellMar>
        <w:tblLook w:val="04A0" w:firstRow="1" w:lastRow="0" w:firstColumn="1" w:lastColumn="0" w:noHBand="0" w:noVBand="1"/>
      </w:tblPr>
      <w:tblGrid>
        <w:gridCol w:w="958"/>
        <w:gridCol w:w="908"/>
        <w:gridCol w:w="1092"/>
        <w:gridCol w:w="1160"/>
        <w:gridCol w:w="1158"/>
        <w:gridCol w:w="1001"/>
        <w:gridCol w:w="1178"/>
        <w:gridCol w:w="1282"/>
      </w:tblGrid>
      <w:tr w:rsidR="00A00D38" w:rsidRPr="00A00D38" w:rsidTr="00021F7F">
        <w:trPr>
          <w:trHeight w:val="410"/>
          <w:tblHeader/>
        </w:trPr>
        <w:tc>
          <w:tcPr>
            <w:tcW w:w="476" w:type="pct"/>
            <w:vMerge w:val="restart"/>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學年度</w:t>
            </w:r>
          </w:p>
        </w:tc>
        <w:tc>
          <w:tcPr>
            <w:tcW w:w="560" w:type="pct"/>
            <w:vMerge w:val="restart"/>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校數</w:t>
            </w:r>
          </w:p>
        </w:tc>
        <w:tc>
          <w:tcPr>
            <w:tcW w:w="1369" w:type="pct"/>
            <w:gridSpan w:val="2"/>
            <w:tcBorders>
              <w:top w:val="single" w:sz="4" w:space="0" w:color="auto"/>
              <w:left w:val="nil"/>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全體教師人數</w:t>
            </w:r>
          </w:p>
        </w:tc>
        <w:tc>
          <w:tcPr>
            <w:tcW w:w="1316" w:type="pct"/>
            <w:gridSpan w:val="2"/>
            <w:tcBorders>
              <w:top w:val="single" w:sz="4" w:space="0" w:color="auto"/>
              <w:left w:val="nil"/>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外籍教師人數</w:t>
            </w:r>
          </w:p>
        </w:tc>
        <w:tc>
          <w:tcPr>
            <w:tcW w:w="1279" w:type="pct"/>
            <w:gridSpan w:val="2"/>
            <w:tcBorders>
              <w:top w:val="single" w:sz="4" w:space="0" w:color="auto"/>
              <w:left w:val="nil"/>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外籍教師占</w:t>
            </w:r>
            <w:r w:rsidRPr="00A00D38">
              <w:rPr>
                <w:rFonts w:hAnsi="標楷體"/>
                <w:b/>
                <w:color w:val="000000" w:themeColor="text1"/>
                <w:kern w:val="0"/>
                <w:sz w:val="28"/>
                <w:szCs w:val="24"/>
              </w:rPr>
              <w:br/>
            </w:r>
            <w:r w:rsidRPr="00A00D38">
              <w:rPr>
                <w:rFonts w:hAnsi="標楷體" w:hint="eastAsia"/>
                <w:b/>
                <w:color w:val="000000" w:themeColor="text1"/>
                <w:kern w:val="0"/>
                <w:sz w:val="28"/>
                <w:szCs w:val="24"/>
              </w:rPr>
              <w:t>全體教師比率</w:t>
            </w:r>
            <w:r w:rsidRPr="00A00D38">
              <w:rPr>
                <w:rFonts w:hAnsi="標楷體"/>
                <w:b/>
                <w:color w:val="000000" w:themeColor="text1"/>
                <w:kern w:val="0"/>
                <w:sz w:val="28"/>
                <w:szCs w:val="24"/>
              </w:rPr>
              <w:t>(％)</w:t>
            </w:r>
          </w:p>
        </w:tc>
      </w:tr>
      <w:tr w:rsidR="00A00D38" w:rsidRPr="00A00D38" w:rsidTr="00021F7F">
        <w:trPr>
          <w:trHeight w:val="410"/>
          <w:tblHeader/>
        </w:trPr>
        <w:tc>
          <w:tcPr>
            <w:tcW w:w="476" w:type="pct"/>
            <w:vMerge/>
            <w:tcBorders>
              <w:top w:val="single" w:sz="4" w:space="0" w:color="auto"/>
              <w:left w:val="single" w:sz="4" w:space="0" w:color="auto"/>
              <w:bottom w:val="single" w:sz="4" w:space="0" w:color="auto"/>
              <w:right w:val="single" w:sz="4" w:space="0" w:color="auto"/>
            </w:tcBorders>
            <w:vAlign w:val="center"/>
            <w:hideMark/>
          </w:tcPr>
          <w:p w:rsidR="006C2670" w:rsidRPr="00A00D38" w:rsidRDefault="006C2670" w:rsidP="00021F7F">
            <w:pPr>
              <w:widowControl/>
              <w:overflowPunct/>
              <w:autoSpaceDE/>
              <w:autoSpaceDN/>
              <w:adjustRightInd w:val="0"/>
              <w:snapToGrid w:val="0"/>
              <w:jc w:val="left"/>
              <w:rPr>
                <w:rFonts w:hAnsi="標楷體"/>
                <w:b/>
                <w:color w:val="000000" w:themeColor="text1"/>
                <w:kern w:val="0"/>
                <w:sz w:val="28"/>
                <w:szCs w:val="24"/>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6C2670" w:rsidRPr="00A00D38" w:rsidRDefault="006C2670" w:rsidP="00021F7F">
            <w:pPr>
              <w:widowControl/>
              <w:overflowPunct/>
              <w:autoSpaceDE/>
              <w:autoSpaceDN/>
              <w:adjustRightInd w:val="0"/>
              <w:snapToGrid w:val="0"/>
              <w:jc w:val="left"/>
              <w:rPr>
                <w:rFonts w:hAnsi="標楷體"/>
                <w:b/>
                <w:color w:val="000000" w:themeColor="text1"/>
                <w:kern w:val="0"/>
                <w:sz w:val="28"/>
                <w:szCs w:val="24"/>
              </w:rPr>
            </w:pPr>
          </w:p>
        </w:tc>
        <w:tc>
          <w:tcPr>
            <w:tcW w:w="665" w:type="pct"/>
            <w:tcBorders>
              <w:top w:val="nil"/>
              <w:left w:val="nil"/>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專任</w:t>
            </w:r>
          </w:p>
        </w:tc>
        <w:tc>
          <w:tcPr>
            <w:tcW w:w="704" w:type="pct"/>
            <w:tcBorders>
              <w:top w:val="nil"/>
              <w:left w:val="nil"/>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兼任</w:t>
            </w:r>
          </w:p>
        </w:tc>
        <w:tc>
          <w:tcPr>
            <w:tcW w:w="703" w:type="pct"/>
            <w:tcBorders>
              <w:top w:val="nil"/>
              <w:left w:val="nil"/>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專任</w:t>
            </w:r>
          </w:p>
        </w:tc>
        <w:tc>
          <w:tcPr>
            <w:tcW w:w="613" w:type="pct"/>
            <w:tcBorders>
              <w:top w:val="nil"/>
              <w:left w:val="nil"/>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兼任</w:t>
            </w:r>
          </w:p>
        </w:tc>
        <w:tc>
          <w:tcPr>
            <w:tcW w:w="612" w:type="pct"/>
            <w:tcBorders>
              <w:top w:val="nil"/>
              <w:left w:val="nil"/>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專任</w:t>
            </w:r>
          </w:p>
        </w:tc>
        <w:tc>
          <w:tcPr>
            <w:tcW w:w="667" w:type="pct"/>
            <w:tcBorders>
              <w:top w:val="nil"/>
              <w:left w:val="nil"/>
              <w:bottom w:val="single" w:sz="4" w:space="0" w:color="auto"/>
              <w:right w:val="single" w:sz="4" w:space="0" w:color="auto"/>
            </w:tcBorders>
            <w:shd w:val="clear" w:color="000000" w:fill="FFF2CC"/>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4"/>
              </w:rPr>
            </w:pPr>
            <w:r w:rsidRPr="00A00D38">
              <w:rPr>
                <w:rFonts w:hAnsi="標楷體" w:hint="eastAsia"/>
                <w:b/>
                <w:color w:val="000000" w:themeColor="text1"/>
                <w:kern w:val="0"/>
                <w:sz w:val="28"/>
                <w:szCs w:val="24"/>
              </w:rPr>
              <w:t>兼任</w:t>
            </w:r>
          </w:p>
        </w:tc>
      </w:tr>
      <w:tr w:rsidR="00A00D38" w:rsidRPr="00A00D38" w:rsidTr="00021F7F">
        <w:trPr>
          <w:trHeight w:val="39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8"/>
              </w:rPr>
            </w:pPr>
            <w:r w:rsidRPr="00A00D38">
              <w:rPr>
                <w:rFonts w:hAnsi="標楷體"/>
                <w:b/>
                <w:color w:val="000000" w:themeColor="text1"/>
                <w:kern w:val="0"/>
                <w:sz w:val="28"/>
                <w:szCs w:val="28"/>
              </w:rPr>
              <w:t>96</w:t>
            </w:r>
          </w:p>
        </w:tc>
        <w:tc>
          <w:tcPr>
            <w:tcW w:w="560"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164</w:t>
            </w:r>
          </w:p>
        </w:tc>
        <w:tc>
          <w:tcPr>
            <w:tcW w:w="665"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51,128</w:t>
            </w:r>
          </w:p>
        </w:tc>
        <w:tc>
          <w:tcPr>
            <w:tcW w:w="704"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44,469</w:t>
            </w:r>
          </w:p>
        </w:tc>
        <w:tc>
          <w:tcPr>
            <w:tcW w:w="70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1,047</w:t>
            </w:r>
          </w:p>
        </w:tc>
        <w:tc>
          <w:tcPr>
            <w:tcW w:w="61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671</w:t>
            </w:r>
          </w:p>
        </w:tc>
        <w:tc>
          <w:tcPr>
            <w:tcW w:w="612"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2.0</w:t>
            </w:r>
          </w:p>
        </w:tc>
        <w:tc>
          <w:tcPr>
            <w:tcW w:w="667"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1.5</w:t>
            </w:r>
          </w:p>
        </w:tc>
      </w:tr>
      <w:tr w:rsidR="00A00D38" w:rsidRPr="00A00D38" w:rsidTr="00021F7F">
        <w:trPr>
          <w:trHeight w:val="39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8"/>
              </w:rPr>
            </w:pPr>
            <w:r w:rsidRPr="00A00D38">
              <w:rPr>
                <w:rFonts w:hAnsi="標楷體"/>
                <w:b/>
                <w:color w:val="000000" w:themeColor="text1"/>
                <w:kern w:val="0"/>
                <w:sz w:val="28"/>
                <w:szCs w:val="28"/>
              </w:rPr>
              <w:t>97</w:t>
            </w:r>
          </w:p>
        </w:tc>
        <w:tc>
          <w:tcPr>
            <w:tcW w:w="560"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162</w:t>
            </w:r>
          </w:p>
        </w:tc>
        <w:tc>
          <w:tcPr>
            <w:tcW w:w="665"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51,501</w:t>
            </w:r>
          </w:p>
        </w:tc>
        <w:tc>
          <w:tcPr>
            <w:tcW w:w="704"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45,621</w:t>
            </w:r>
          </w:p>
        </w:tc>
        <w:tc>
          <w:tcPr>
            <w:tcW w:w="70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1,055</w:t>
            </w:r>
          </w:p>
        </w:tc>
        <w:tc>
          <w:tcPr>
            <w:tcW w:w="61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684</w:t>
            </w:r>
          </w:p>
        </w:tc>
        <w:tc>
          <w:tcPr>
            <w:tcW w:w="612"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2.0</w:t>
            </w:r>
          </w:p>
        </w:tc>
        <w:tc>
          <w:tcPr>
            <w:tcW w:w="667"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1.5</w:t>
            </w:r>
          </w:p>
        </w:tc>
      </w:tr>
      <w:tr w:rsidR="00A00D38" w:rsidRPr="00A00D38" w:rsidTr="00021F7F">
        <w:trPr>
          <w:trHeight w:val="39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8"/>
              </w:rPr>
            </w:pPr>
            <w:r w:rsidRPr="00A00D38">
              <w:rPr>
                <w:rFonts w:hAnsi="標楷體"/>
                <w:b/>
                <w:color w:val="000000" w:themeColor="text1"/>
                <w:kern w:val="0"/>
                <w:sz w:val="28"/>
                <w:szCs w:val="28"/>
              </w:rPr>
              <w:t>98</w:t>
            </w:r>
          </w:p>
        </w:tc>
        <w:tc>
          <w:tcPr>
            <w:tcW w:w="560"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164</w:t>
            </w:r>
          </w:p>
        </w:tc>
        <w:tc>
          <w:tcPr>
            <w:tcW w:w="665"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50,658</w:t>
            </w:r>
          </w:p>
        </w:tc>
        <w:tc>
          <w:tcPr>
            <w:tcW w:w="704"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44,787</w:t>
            </w:r>
          </w:p>
        </w:tc>
        <w:tc>
          <w:tcPr>
            <w:tcW w:w="70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1,059</w:t>
            </w:r>
          </w:p>
        </w:tc>
        <w:tc>
          <w:tcPr>
            <w:tcW w:w="61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734</w:t>
            </w:r>
          </w:p>
        </w:tc>
        <w:tc>
          <w:tcPr>
            <w:tcW w:w="612"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2.1</w:t>
            </w:r>
          </w:p>
        </w:tc>
        <w:tc>
          <w:tcPr>
            <w:tcW w:w="667"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1.6</w:t>
            </w:r>
          </w:p>
        </w:tc>
      </w:tr>
      <w:tr w:rsidR="00A00D38" w:rsidRPr="00A00D38" w:rsidTr="00021F7F">
        <w:trPr>
          <w:trHeight w:val="39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8"/>
              </w:rPr>
            </w:pPr>
            <w:r w:rsidRPr="00A00D38">
              <w:rPr>
                <w:rFonts w:hAnsi="標楷體"/>
                <w:b/>
                <w:color w:val="000000" w:themeColor="text1"/>
                <w:kern w:val="0"/>
                <w:sz w:val="28"/>
                <w:szCs w:val="28"/>
              </w:rPr>
              <w:t>99</w:t>
            </w:r>
          </w:p>
        </w:tc>
        <w:tc>
          <w:tcPr>
            <w:tcW w:w="560"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163</w:t>
            </w:r>
          </w:p>
        </w:tc>
        <w:tc>
          <w:tcPr>
            <w:tcW w:w="665"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50,684</w:t>
            </w:r>
          </w:p>
        </w:tc>
        <w:tc>
          <w:tcPr>
            <w:tcW w:w="704"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45,147</w:t>
            </w:r>
          </w:p>
        </w:tc>
        <w:tc>
          <w:tcPr>
            <w:tcW w:w="70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1,071</w:t>
            </w:r>
          </w:p>
        </w:tc>
        <w:tc>
          <w:tcPr>
            <w:tcW w:w="61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667</w:t>
            </w:r>
          </w:p>
        </w:tc>
        <w:tc>
          <w:tcPr>
            <w:tcW w:w="612"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2.1</w:t>
            </w:r>
          </w:p>
        </w:tc>
        <w:tc>
          <w:tcPr>
            <w:tcW w:w="667"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1.5</w:t>
            </w:r>
          </w:p>
        </w:tc>
      </w:tr>
      <w:tr w:rsidR="00A00D38" w:rsidRPr="00A00D38" w:rsidTr="00021F7F">
        <w:trPr>
          <w:trHeight w:val="39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8"/>
              </w:rPr>
            </w:pPr>
            <w:r w:rsidRPr="00A00D38">
              <w:rPr>
                <w:rFonts w:hAnsi="標楷體"/>
                <w:b/>
                <w:color w:val="000000" w:themeColor="text1"/>
                <w:kern w:val="0"/>
                <w:sz w:val="28"/>
                <w:szCs w:val="28"/>
              </w:rPr>
              <w:t>100</w:t>
            </w:r>
          </w:p>
        </w:tc>
        <w:tc>
          <w:tcPr>
            <w:tcW w:w="560"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163</w:t>
            </w:r>
          </w:p>
        </w:tc>
        <w:tc>
          <w:tcPr>
            <w:tcW w:w="665"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50,332</w:t>
            </w:r>
          </w:p>
        </w:tc>
        <w:tc>
          <w:tcPr>
            <w:tcW w:w="704"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44,215</w:t>
            </w:r>
          </w:p>
        </w:tc>
        <w:tc>
          <w:tcPr>
            <w:tcW w:w="70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1,077</w:t>
            </w:r>
          </w:p>
        </w:tc>
        <w:tc>
          <w:tcPr>
            <w:tcW w:w="61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769</w:t>
            </w:r>
          </w:p>
        </w:tc>
        <w:tc>
          <w:tcPr>
            <w:tcW w:w="612"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2.1</w:t>
            </w:r>
          </w:p>
        </w:tc>
        <w:tc>
          <w:tcPr>
            <w:tcW w:w="667"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1.7</w:t>
            </w:r>
          </w:p>
        </w:tc>
      </w:tr>
      <w:tr w:rsidR="00A00D38" w:rsidRPr="00A00D38" w:rsidTr="00021F7F">
        <w:trPr>
          <w:trHeight w:val="39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8"/>
              </w:rPr>
            </w:pPr>
            <w:r w:rsidRPr="00A00D38">
              <w:rPr>
                <w:rFonts w:hAnsi="標楷體"/>
                <w:b/>
                <w:color w:val="000000" w:themeColor="text1"/>
                <w:kern w:val="0"/>
                <w:sz w:val="28"/>
                <w:szCs w:val="28"/>
              </w:rPr>
              <w:t>101</w:t>
            </w:r>
          </w:p>
        </w:tc>
        <w:tc>
          <w:tcPr>
            <w:tcW w:w="560"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162</w:t>
            </w:r>
          </w:p>
        </w:tc>
        <w:tc>
          <w:tcPr>
            <w:tcW w:w="665"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50,158</w:t>
            </w:r>
          </w:p>
        </w:tc>
        <w:tc>
          <w:tcPr>
            <w:tcW w:w="704"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45,330</w:t>
            </w:r>
          </w:p>
        </w:tc>
        <w:tc>
          <w:tcPr>
            <w:tcW w:w="70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1,102</w:t>
            </w:r>
          </w:p>
        </w:tc>
        <w:tc>
          <w:tcPr>
            <w:tcW w:w="61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769</w:t>
            </w:r>
          </w:p>
        </w:tc>
        <w:tc>
          <w:tcPr>
            <w:tcW w:w="612"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2.2</w:t>
            </w:r>
          </w:p>
        </w:tc>
        <w:tc>
          <w:tcPr>
            <w:tcW w:w="667"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1.7</w:t>
            </w:r>
          </w:p>
        </w:tc>
      </w:tr>
      <w:tr w:rsidR="00A00D38" w:rsidRPr="00A00D38" w:rsidTr="00021F7F">
        <w:trPr>
          <w:trHeight w:val="39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8"/>
              </w:rPr>
            </w:pPr>
            <w:r w:rsidRPr="00A00D38">
              <w:rPr>
                <w:rFonts w:hAnsi="標楷體"/>
                <w:b/>
                <w:color w:val="000000" w:themeColor="text1"/>
                <w:kern w:val="0"/>
                <w:sz w:val="28"/>
                <w:szCs w:val="28"/>
              </w:rPr>
              <w:t>102</w:t>
            </w:r>
          </w:p>
        </w:tc>
        <w:tc>
          <w:tcPr>
            <w:tcW w:w="560"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161</w:t>
            </w:r>
          </w:p>
        </w:tc>
        <w:tc>
          <w:tcPr>
            <w:tcW w:w="665"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50,024</w:t>
            </w:r>
          </w:p>
        </w:tc>
        <w:tc>
          <w:tcPr>
            <w:tcW w:w="704"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45,876</w:t>
            </w:r>
          </w:p>
        </w:tc>
        <w:tc>
          <w:tcPr>
            <w:tcW w:w="70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1,105</w:t>
            </w:r>
          </w:p>
        </w:tc>
        <w:tc>
          <w:tcPr>
            <w:tcW w:w="61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796</w:t>
            </w:r>
          </w:p>
        </w:tc>
        <w:tc>
          <w:tcPr>
            <w:tcW w:w="612"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2.2</w:t>
            </w:r>
          </w:p>
        </w:tc>
        <w:tc>
          <w:tcPr>
            <w:tcW w:w="667"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1.7</w:t>
            </w:r>
          </w:p>
        </w:tc>
      </w:tr>
      <w:tr w:rsidR="00A00D38" w:rsidRPr="00A00D38" w:rsidTr="00021F7F">
        <w:trPr>
          <w:trHeight w:val="39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8"/>
              </w:rPr>
            </w:pPr>
            <w:r w:rsidRPr="00A00D38">
              <w:rPr>
                <w:rFonts w:hAnsi="標楷體"/>
                <w:b/>
                <w:color w:val="000000" w:themeColor="text1"/>
                <w:kern w:val="0"/>
                <w:sz w:val="28"/>
                <w:szCs w:val="28"/>
              </w:rPr>
              <w:t>103</w:t>
            </w:r>
          </w:p>
        </w:tc>
        <w:tc>
          <w:tcPr>
            <w:tcW w:w="560"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159</w:t>
            </w:r>
          </w:p>
        </w:tc>
        <w:tc>
          <w:tcPr>
            <w:tcW w:w="665"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49,357</w:t>
            </w:r>
          </w:p>
        </w:tc>
        <w:tc>
          <w:tcPr>
            <w:tcW w:w="704"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45,559</w:t>
            </w:r>
          </w:p>
        </w:tc>
        <w:tc>
          <w:tcPr>
            <w:tcW w:w="70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1,092</w:t>
            </w:r>
          </w:p>
        </w:tc>
        <w:tc>
          <w:tcPr>
            <w:tcW w:w="61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773</w:t>
            </w:r>
          </w:p>
        </w:tc>
        <w:tc>
          <w:tcPr>
            <w:tcW w:w="612"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2.2</w:t>
            </w:r>
          </w:p>
        </w:tc>
        <w:tc>
          <w:tcPr>
            <w:tcW w:w="667"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1.7</w:t>
            </w:r>
          </w:p>
        </w:tc>
      </w:tr>
      <w:tr w:rsidR="00A00D38" w:rsidRPr="00A00D38" w:rsidTr="00021F7F">
        <w:trPr>
          <w:trHeight w:val="39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8"/>
              </w:rPr>
            </w:pPr>
            <w:r w:rsidRPr="00A00D38">
              <w:rPr>
                <w:rFonts w:hAnsi="標楷體"/>
                <w:b/>
                <w:color w:val="000000" w:themeColor="text1"/>
                <w:kern w:val="0"/>
                <w:sz w:val="28"/>
                <w:szCs w:val="28"/>
              </w:rPr>
              <w:t>104</w:t>
            </w:r>
          </w:p>
        </w:tc>
        <w:tc>
          <w:tcPr>
            <w:tcW w:w="560"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158</w:t>
            </w:r>
          </w:p>
        </w:tc>
        <w:tc>
          <w:tcPr>
            <w:tcW w:w="665"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48,696</w:t>
            </w:r>
          </w:p>
        </w:tc>
        <w:tc>
          <w:tcPr>
            <w:tcW w:w="704"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46,155</w:t>
            </w:r>
          </w:p>
        </w:tc>
        <w:tc>
          <w:tcPr>
            <w:tcW w:w="70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1,078</w:t>
            </w:r>
          </w:p>
        </w:tc>
        <w:tc>
          <w:tcPr>
            <w:tcW w:w="61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797</w:t>
            </w:r>
          </w:p>
        </w:tc>
        <w:tc>
          <w:tcPr>
            <w:tcW w:w="612"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2.2</w:t>
            </w:r>
          </w:p>
        </w:tc>
        <w:tc>
          <w:tcPr>
            <w:tcW w:w="667"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1.7</w:t>
            </w:r>
          </w:p>
        </w:tc>
      </w:tr>
      <w:tr w:rsidR="00A00D38" w:rsidRPr="00A00D38" w:rsidTr="00021F7F">
        <w:trPr>
          <w:trHeight w:val="39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
                <w:color w:val="000000" w:themeColor="text1"/>
                <w:kern w:val="0"/>
                <w:sz w:val="28"/>
                <w:szCs w:val="28"/>
              </w:rPr>
            </w:pPr>
            <w:r w:rsidRPr="00A00D38">
              <w:rPr>
                <w:rFonts w:hAnsi="標楷體"/>
                <w:b/>
                <w:color w:val="000000" w:themeColor="text1"/>
                <w:kern w:val="0"/>
                <w:sz w:val="28"/>
                <w:szCs w:val="28"/>
              </w:rPr>
              <w:t>105</w:t>
            </w:r>
          </w:p>
        </w:tc>
        <w:tc>
          <w:tcPr>
            <w:tcW w:w="560"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158</w:t>
            </w:r>
          </w:p>
        </w:tc>
        <w:tc>
          <w:tcPr>
            <w:tcW w:w="665"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48,096</w:t>
            </w:r>
          </w:p>
        </w:tc>
        <w:tc>
          <w:tcPr>
            <w:tcW w:w="704"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45,635</w:t>
            </w:r>
          </w:p>
        </w:tc>
        <w:tc>
          <w:tcPr>
            <w:tcW w:w="70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1,060</w:t>
            </w:r>
          </w:p>
        </w:tc>
        <w:tc>
          <w:tcPr>
            <w:tcW w:w="613"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bCs/>
                <w:color w:val="000000" w:themeColor="text1"/>
                <w:kern w:val="0"/>
                <w:sz w:val="28"/>
                <w:szCs w:val="28"/>
              </w:rPr>
            </w:pPr>
            <w:r w:rsidRPr="00A00D38">
              <w:rPr>
                <w:rFonts w:hAnsi="標楷體"/>
                <w:bCs/>
                <w:color w:val="000000" w:themeColor="text1"/>
                <w:kern w:val="0"/>
                <w:sz w:val="28"/>
                <w:szCs w:val="28"/>
              </w:rPr>
              <w:t>846</w:t>
            </w:r>
          </w:p>
        </w:tc>
        <w:tc>
          <w:tcPr>
            <w:tcW w:w="612"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2.2</w:t>
            </w:r>
          </w:p>
        </w:tc>
        <w:tc>
          <w:tcPr>
            <w:tcW w:w="667" w:type="pct"/>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overflowPunct/>
              <w:autoSpaceDE/>
              <w:autoSpaceDN/>
              <w:adjustRightInd w:val="0"/>
              <w:snapToGrid w:val="0"/>
              <w:jc w:val="center"/>
              <w:rPr>
                <w:rFonts w:hAnsi="標楷體"/>
                <w:color w:val="000000" w:themeColor="text1"/>
                <w:kern w:val="0"/>
                <w:sz w:val="28"/>
                <w:szCs w:val="28"/>
              </w:rPr>
            </w:pPr>
            <w:r w:rsidRPr="00A00D38">
              <w:rPr>
                <w:rFonts w:hAnsi="標楷體"/>
                <w:color w:val="000000" w:themeColor="text1"/>
                <w:kern w:val="0"/>
                <w:sz w:val="28"/>
                <w:szCs w:val="28"/>
              </w:rPr>
              <w:t>1.9</w:t>
            </w:r>
          </w:p>
        </w:tc>
      </w:tr>
    </w:tbl>
    <w:p w:rsidR="006C2670" w:rsidRPr="00A00D38" w:rsidRDefault="006C2670" w:rsidP="006C2670">
      <w:pPr>
        <w:pStyle w:val="af8"/>
        <w:spacing w:line="240" w:lineRule="exact"/>
        <w:rPr>
          <w:color w:val="000000" w:themeColor="text1"/>
          <w:sz w:val="24"/>
          <w:szCs w:val="24"/>
        </w:rPr>
      </w:pPr>
      <w:r w:rsidRPr="00A00D38">
        <w:rPr>
          <w:rFonts w:hint="eastAsia"/>
          <w:color w:val="000000" w:themeColor="text1"/>
          <w:sz w:val="24"/>
          <w:szCs w:val="24"/>
        </w:rPr>
        <w:t>資料來源：教育部查復。</w:t>
      </w:r>
    </w:p>
    <w:p w:rsidR="006C2670" w:rsidRPr="00A00D38" w:rsidRDefault="006C2670" w:rsidP="006C2670">
      <w:pPr>
        <w:pStyle w:val="af8"/>
        <w:spacing w:line="240" w:lineRule="exact"/>
        <w:rPr>
          <w:color w:val="000000" w:themeColor="text1"/>
          <w:sz w:val="24"/>
          <w:szCs w:val="24"/>
        </w:rPr>
      </w:pPr>
    </w:p>
    <w:p w:rsidR="006C2670" w:rsidRPr="00A00D38" w:rsidRDefault="006C2670" w:rsidP="006C2670">
      <w:pPr>
        <w:pStyle w:val="3"/>
        <w:rPr>
          <w:color w:val="000000" w:themeColor="text1"/>
        </w:rPr>
      </w:pPr>
      <w:bookmarkStart w:id="231" w:name="_Toc489383125"/>
      <w:bookmarkStart w:id="232" w:name="_Toc491711215"/>
      <w:bookmarkStart w:id="233" w:name="_Toc492371089"/>
      <w:r w:rsidRPr="00A00D38">
        <w:rPr>
          <w:rFonts w:hint="eastAsia"/>
          <w:color w:val="000000" w:themeColor="text1"/>
        </w:rPr>
        <w:t>另教育部自99年推動「延攬及留住大專院校特殊人才實施彈性薪資方案」，透過引導大專校院建置績效導向之大學教研人員彈性薪資制度，發給非法定</w:t>
      </w:r>
      <w:r w:rsidRPr="00A00D38">
        <w:rPr>
          <w:rFonts w:hint="eastAsia"/>
          <w:color w:val="000000" w:themeColor="text1"/>
        </w:rPr>
        <w:lastRenderedPageBreak/>
        <w:t>加給之給與，秉持不牽動現行月支本薪(年功薪)及學術研究費等基本薪資結構改變之原則，達成實質薪資彈性化、延攬國際優異高等教育人才及留住國內優秀教研人員之目標。惟經該部評估大專院校自99學年至103學年執行彈性薪資方案情形，發現「該方案仍偏向留住現職特殊優秀人才，新聘人才僅占彈性薪資總核給人數之4.7％，且偏重國內人才；以103學年度為例，國際人才僅占總核給人數的6.6％，該方案在『引進國際高等教育人才』、『新聘國內外特殊優秀人才』及『延攬高等教育經營管理人才』等目標之達成情形，均有極大之改進空間」</w:t>
      </w:r>
      <w:r w:rsidRPr="00A00D38">
        <w:rPr>
          <w:rStyle w:val="aff0"/>
          <w:color w:val="000000" w:themeColor="text1"/>
        </w:rPr>
        <w:footnoteReference w:id="22"/>
      </w:r>
      <w:r w:rsidRPr="00A00D38">
        <w:rPr>
          <w:rFonts w:hint="eastAsia"/>
          <w:color w:val="000000" w:themeColor="text1"/>
        </w:rPr>
        <w:t>。復如本院前案</w:t>
      </w:r>
      <w:r w:rsidRPr="00A00D38">
        <w:rPr>
          <w:rStyle w:val="aff0"/>
          <w:color w:val="000000" w:themeColor="text1"/>
        </w:rPr>
        <w:footnoteReference w:id="23"/>
      </w:r>
      <w:r w:rsidRPr="00A00D38">
        <w:rPr>
          <w:rFonts w:hint="eastAsia"/>
          <w:color w:val="000000" w:themeColor="text1"/>
        </w:rPr>
        <w:t>調查意見指出：</w:t>
      </w:r>
      <w:r w:rsidRPr="00A00D38">
        <w:rPr>
          <w:rFonts w:hAnsi="標楷體" w:hint="eastAsia"/>
          <w:color w:val="000000" w:themeColor="text1"/>
        </w:rPr>
        <w:t>「</w:t>
      </w:r>
      <w:r w:rsidRPr="00A00D38">
        <w:rPr>
          <w:rFonts w:hint="eastAsia"/>
          <w:color w:val="000000" w:themeColor="text1"/>
        </w:rPr>
        <w:t>彈薪方案補助對象偏重現職人員，比率高達九成以上，對國際人才之延攬顯欠積極；又，接受補助為現職教授者達五成以上，雖係因資深學者較具豐富研究績效或成果，然資深與青年優秀人才二者間比率允宜適切拿捏，以免生人才流失並兼及經驗傳承之長效。</w:t>
      </w:r>
      <w:r w:rsidRPr="00A00D38">
        <w:rPr>
          <w:rFonts w:hAnsi="標楷體" w:hint="eastAsia"/>
          <w:color w:val="000000" w:themeColor="text1"/>
        </w:rPr>
        <w:t>」</w:t>
      </w:r>
      <w:r w:rsidRPr="00A00D38">
        <w:rPr>
          <w:rFonts w:hint="eastAsia"/>
          <w:color w:val="000000" w:themeColor="text1"/>
        </w:rPr>
        <w:t>等語可稽。又科技部配合教育部「延攬及留住大專院校特殊人才實施彈性薪資方案」於99年及101年分別辦理「補助大專校院獎勵特殊優秀人才措施」及「補助大專校院延攬特殊優秀人才措施」等攬才、留才措施。據科技部查復，「補助大專校院獎勵特殊優秀人才措施」</w:t>
      </w:r>
      <w:r w:rsidRPr="00A00D38">
        <w:rPr>
          <w:rFonts w:ascii="Times New Roman" w:hAnsi="Times New Roman"/>
          <w:color w:val="000000" w:themeColor="text1"/>
          <w:szCs w:val="32"/>
        </w:rPr>
        <w:t>每年約獎勵</w:t>
      </w:r>
      <w:r w:rsidRPr="00A00D38">
        <w:rPr>
          <w:rFonts w:hAnsi="標楷體"/>
          <w:color w:val="000000" w:themeColor="text1"/>
          <w:szCs w:val="32"/>
        </w:rPr>
        <w:t>120個機構，3</w:t>
      </w:r>
      <w:r w:rsidRPr="00A00D38">
        <w:rPr>
          <w:rFonts w:hAnsi="標楷體" w:hint="eastAsia"/>
          <w:color w:val="000000" w:themeColor="text1"/>
          <w:szCs w:val="32"/>
        </w:rPr>
        <w:t>千</w:t>
      </w:r>
      <w:r w:rsidRPr="00A00D38">
        <w:rPr>
          <w:rFonts w:hAnsi="標楷體"/>
          <w:color w:val="000000" w:themeColor="text1"/>
          <w:szCs w:val="32"/>
        </w:rPr>
        <w:t>8</w:t>
      </w:r>
      <w:r w:rsidRPr="00A00D38">
        <w:rPr>
          <w:rFonts w:hAnsi="標楷體" w:hint="eastAsia"/>
          <w:color w:val="000000" w:themeColor="text1"/>
          <w:szCs w:val="32"/>
        </w:rPr>
        <w:t>百</w:t>
      </w:r>
      <w:r w:rsidRPr="00A00D38">
        <w:rPr>
          <w:rFonts w:hAnsi="標楷體"/>
          <w:color w:val="000000" w:themeColor="text1"/>
          <w:szCs w:val="32"/>
        </w:rPr>
        <w:t>餘人，過去許多國內教授曾受美國、新加坡、韓國、比利時、中國大陸及香港等地區學校延聘或國外公司</w:t>
      </w:r>
      <w:r w:rsidRPr="00A00D38">
        <w:rPr>
          <w:rFonts w:ascii="Times New Roman" w:hAnsi="Times New Roman"/>
          <w:color w:val="000000" w:themeColor="text1"/>
          <w:szCs w:val="32"/>
        </w:rPr>
        <w:t>挖角，</w:t>
      </w:r>
      <w:r w:rsidRPr="00A00D38">
        <w:rPr>
          <w:rFonts w:ascii="Times New Roman" w:hAnsi="Times New Roman" w:hint="eastAsia"/>
          <w:color w:val="000000" w:themeColor="text1"/>
          <w:szCs w:val="32"/>
        </w:rPr>
        <w:t>屢</w:t>
      </w:r>
      <w:r w:rsidRPr="00A00D38">
        <w:rPr>
          <w:rFonts w:ascii="Times New Roman" w:hAnsi="Times New Roman"/>
          <w:color w:val="000000" w:themeColor="text1"/>
          <w:szCs w:val="32"/>
        </w:rPr>
        <w:t>因</w:t>
      </w:r>
      <w:r w:rsidRPr="00A00D38">
        <w:rPr>
          <w:rFonts w:ascii="Times New Roman" w:hAnsi="Times New Roman" w:hint="eastAsia"/>
          <w:color w:val="000000" w:themeColor="text1"/>
          <w:szCs w:val="32"/>
        </w:rPr>
        <w:t>該</w:t>
      </w:r>
      <w:r w:rsidRPr="00A00D38">
        <w:rPr>
          <w:rFonts w:ascii="Times New Roman" w:hAnsi="Times New Roman"/>
          <w:color w:val="000000" w:themeColor="text1"/>
          <w:szCs w:val="32"/>
        </w:rPr>
        <w:t>項補助而得以順利留任</w:t>
      </w:r>
      <w:r w:rsidRPr="00A00D38">
        <w:rPr>
          <w:rFonts w:ascii="Times New Roman" w:hAnsi="Times New Roman" w:hint="eastAsia"/>
          <w:color w:val="000000" w:themeColor="text1"/>
          <w:szCs w:val="32"/>
        </w:rPr>
        <w:t>。</w:t>
      </w:r>
      <w:r w:rsidRPr="00A00D38">
        <w:rPr>
          <w:rFonts w:hint="eastAsia"/>
          <w:color w:val="000000" w:themeColor="text1"/>
        </w:rPr>
        <w:t>惟彈性薪資方案由教育部及科技部分別執行及核給，兩部計畫及經費</w:t>
      </w:r>
      <w:r w:rsidRPr="00A00D38">
        <w:rPr>
          <w:rFonts w:hint="eastAsia"/>
          <w:color w:val="000000" w:themeColor="text1"/>
        </w:rPr>
        <w:lastRenderedPageBreak/>
        <w:t>不盡相同，如何有效提升外籍專業教研人才留臺工作之誘因，仍待兩部共策精進。此有前教育部官員表示，「博士級國際頂尖人才在美國矽谷起薪為年薪20萬美元，『延攬外籍人才，薪資是問題』，政府對外籍人才雖然提供『來臺第1年加薪3萬』短期措施，但要求一年內達成具體成果，條件太過嚴苛，為提供外籍人才來臺長期誘因，建議外籍教研人才一定期間（3至5年）內彈性薪資，並提供研究補助與生活津貼」等語可證</w:t>
      </w:r>
      <w:r w:rsidRPr="00A00D38">
        <w:rPr>
          <w:rStyle w:val="aff0"/>
          <w:color w:val="000000" w:themeColor="text1"/>
        </w:rPr>
        <w:footnoteReference w:id="24"/>
      </w:r>
      <w:r w:rsidRPr="00A00D38">
        <w:rPr>
          <w:rFonts w:hAnsi="標楷體" w:hint="eastAsia"/>
          <w:color w:val="000000" w:themeColor="text1"/>
        </w:rPr>
        <w:t>，薪資仍為外籍教研人才是否來臺工作之重要考量因素之一。教育部近日擬議推出「玉山計畫」</w:t>
      </w:r>
      <w:r w:rsidRPr="00A00D38">
        <w:rPr>
          <w:rStyle w:val="aff0"/>
          <w:rFonts w:hAnsi="標楷體"/>
          <w:color w:val="000000" w:themeColor="text1"/>
        </w:rPr>
        <w:footnoteReference w:id="25"/>
      </w:r>
      <w:r w:rsidRPr="00A00D38">
        <w:rPr>
          <w:rFonts w:hAnsi="標楷體" w:hint="eastAsia"/>
          <w:color w:val="000000" w:themeColor="text1"/>
        </w:rPr>
        <w:t>，雖仍待建立國內大專校院教師之共識，所幸已透露該部正視延攬國內外一流人才的決心。</w:t>
      </w:r>
      <w:bookmarkEnd w:id="231"/>
      <w:bookmarkEnd w:id="232"/>
      <w:bookmarkEnd w:id="233"/>
      <w:r w:rsidRPr="00A00D38">
        <w:rPr>
          <w:rFonts w:hAnsi="標楷體"/>
          <w:color w:val="000000" w:themeColor="text1"/>
        </w:rPr>
        <w:br/>
      </w:r>
    </w:p>
    <w:p w:rsidR="006C2670" w:rsidRPr="00A00D38" w:rsidRDefault="006C2670" w:rsidP="006C2670">
      <w:pPr>
        <w:pStyle w:val="3"/>
        <w:rPr>
          <w:color w:val="000000" w:themeColor="text1"/>
        </w:rPr>
      </w:pPr>
      <w:bookmarkStart w:id="234" w:name="_Toc488227908"/>
      <w:bookmarkStart w:id="235" w:name="_Toc489383126"/>
      <w:bookmarkStart w:id="236" w:name="_Toc491711216"/>
      <w:bookmarkStart w:id="237" w:name="_Toc492371090"/>
      <w:bookmarkEnd w:id="234"/>
      <w:r w:rsidRPr="00A00D38">
        <w:rPr>
          <w:rFonts w:hint="eastAsia"/>
          <w:color w:val="000000" w:themeColor="text1"/>
        </w:rPr>
        <w:t>復查據內政部表示，為配合行政院育才、留才、攬才政策，該部研修</w:t>
      </w:r>
      <w:r w:rsidRPr="00A00D38">
        <w:rPr>
          <w:rFonts w:hAnsi="標楷體" w:hint="eastAsia"/>
          <w:color w:val="000000" w:themeColor="text1"/>
        </w:rPr>
        <w:t>「</w:t>
      </w:r>
      <w:r w:rsidRPr="00A00D38">
        <w:rPr>
          <w:rFonts w:hint="eastAsia"/>
          <w:color w:val="000000" w:themeColor="text1"/>
        </w:rPr>
        <w:t>入出國及移民法」部分條文修正草案，包括取消在臺永久居留之外國人每年須在臺居住183日以上之限制；外國人取得居留許可者入國後申請外僑居留證之期限由15日放寬為30日；在臺居留或永久居留之白領外籍人士，其年滿20歲、未婚、且身心障礙無法自理生活之子女可申辦居留；增訂優秀外籍人才之配偶及未成年子女得隨同申請永久居留；增訂外國人發生職業災害尚在治療中，其居留原因消失者，仍得繼續居留。該修正草案業於105年8月15日陳報行政院審查。惟早於</w:t>
      </w:r>
      <w:r w:rsidRPr="00A00D38">
        <w:rPr>
          <w:rFonts w:hint="eastAsia"/>
          <w:color w:val="000000" w:themeColor="text1"/>
        </w:rPr>
        <w:lastRenderedPageBreak/>
        <w:t>100年中央研究院曾就我國人才赤字危機連署發布</w:t>
      </w:r>
      <w:r w:rsidRPr="00A00D38">
        <w:rPr>
          <w:rFonts w:hAnsi="標楷體" w:hint="eastAsia"/>
          <w:color w:val="000000" w:themeColor="text1"/>
        </w:rPr>
        <w:t>「</w:t>
      </w:r>
      <w:r w:rsidRPr="00A00D38">
        <w:rPr>
          <w:rFonts w:hint="eastAsia"/>
          <w:color w:val="000000" w:themeColor="text1"/>
        </w:rPr>
        <w:t>人才宣言</w:t>
      </w:r>
      <w:r w:rsidRPr="00A00D38">
        <w:rPr>
          <w:rFonts w:hAnsi="標楷體" w:hint="eastAsia"/>
          <w:color w:val="000000" w:themeColor="text1"/>
        </w:rPr>
        <w:t>」</w:t>
      </w:r>
      <w:r w:rsidRPr="00A00D38">
        <w:rPr>
          <w:rFonts w:hint="eastAsia"/>
          <w:color w:val="000000" w:themeColor="text1"/>
        </w:rPr>
        <w:t>，提醒政府正視</w:t>
      </w:r>
      <w:r w:rsidRPr="00A00D38">
        <w:rPr>
          <w:rFonts w:ascii="Times New Roman" w:hAnsi="Times New Roman" w:hint="eastAsia"/>
          <w:color w:val="000000" w:themeColor="text1"/>
        </w:rPr>
        <w:t>外籍人士來臺工作，須放棄國籍，方能取得我國公民資格，門檻極高；未取得公民資格者，依法令不能支領我國之月退俸，肇致無法確保外籍教授退休生活無虞，嚴重影響其來臺意願等語。此</w:t>
      </w:r>
      <w:r w:rsidRPr="00A00D38">
        <w:rPr>
          <w:rFonts w:hint="eastAsia"/>
          <w:color w:val="000000" w:themeColor="text1"/>
        </w:rPr>
        <w:t>如本院前案</w:t>
      </w:r>
      <w:r w:rsidRPr="00A00D38">
        <w:rPr>
          <w:rStyle w:val="aff0"/>
          <w:color w:val="000000" w:themeColor="text1"/>
        </w:rPr>
        <w:footnoteReference w:id="26"/>
      </w:r>
      <w:r w:rsidRPr="00A00D38">
        <w:rPr>
          <w:rFonts w:hint="eastAsia"/>
          <w:color w:val="000000" w:themeColor="text1"/>
        </w:rPr>
        <w:t>調查意見指出，「</w:t>
      </w:r>
      <w:r w:rsidRPr="00A00D38">
        <w:rPr>
          <w:rFonts w:hAnsi="標楷體" w:hint="eastAsia"/>
          <w:color w:val="000000" w:themeColor="text1"/>
        </w:rPr>
        <w:t>『</w:t>
      </w:r>
      <w:r w:rsidRPr="00A00D38">
        <w:rPr>
          <w:rFonts w:hint="eastAsia"/>
          <w:color w:val="000000" w:themeColor="text1"/>
        </w:rPr>
        <w:t>入出國及移民法』為吸引優秀國際人才來臺，及獎勵對我國有特殊貢獻之外籍人士，雖放寬外國人取得永久居留權之門檻，然除投資移民外，未開放專業外籍人士之未成年子女申請永久居留，對其家庭團聚權之保障容有未周」等語；復如本院前案</w:t>
      </w:r>
      <w:r w:rsidRPr="00A00D38">
        <w:rPr>
          <w:rStyle w:val="aff0"/>
          <w:color w:val="000000" w:themeColor="text1"/>
        </w:rPr>
        <w:footnoteReference w:id="27"/>
      </w:r>
      <w:r w:rsidRPr="00A00D38">
        <w:rPr>
          <w:rFonts w:hint="eastAsia"/>
          <w:color w:val="000000" w:themeColor="text1"/>
        </w:rPr>
        <w:t>調查意見亦指出：</w:t>
      </w:r>
      <w:r w:rsidRPr="00A00D38">
        <w:rPr>
          <w:rFonts w:hAnsi="標楷體" w:hint="eastAsia"/>
          <w:color w:val="000000" w:themeColor="text1"/>
        </w:rPr>
        <w:t>「</w:t>
      </w:r>
      <w:r w:rsidRPr="00A00D38">
        <w:rPr>
          <w:rFonts w:hint="eastAsia"/>
          <w:color w:val="000000" w:themeColor="text1"/>
        </w:rPr>
        <w:t>關於國內整體留才環境部分，就業薪資及友善環境不足恐係高科技人才出走重要因素，況與國際比較顯有落差，評點制度等機制固提供短暫配套措施，利弊互見，有待檢視溝通；惟為長期促進人才正向流動措施之後續仍待全盤規劃評估</w:t>
      </w:r>
      <w:r w:rsidRPr="00A00D38">
        <w:rPr>
          <w:rFonts w:hAnsi="標楷體" w:hint="eastAsia"/>
          <w:color w:val="000000" w:themeColor="text1"/>
        </w:rPr>
        <w:t>」</w:t>
      </w:r>
      <w:r w:rsidRPr="00A00D38">
        <w:rPr>
          <w:rFonts w:hint="eastAsia"/>
          <w:color w:val="000000" w:themeColor="text1"/>
        </w:rPr>
        <w:t>等語可稽，面臨全球積極競才局勢，完善我國相關法令及配套措施實刻不容緩，各相關部會允宜積極改善。</w:t>
      </w:r>
      <w:bookmarkEnd w:id="235"/>
      <w:bookmarkEnd w:id="236"/>
      <w:bookmarkEnd w:id="237"/>
      <w:r w:rsidRPr="00A00D38">
        <w:rPr>
          <w:color w:val="000000" w:themeColor="text1"/>
        </w:rPr>
        <w:br/>
      </w:r>
    </w:p>
    <w:p w:rsidR="006C2670" w:rsidRPr="00A00D38" w:rsidRDefault="006C2670" w:rsidP="006C2670">
      <w:pPr>
        <w:pStyle w:val="3"/>
        <w:rPr>
          <w:color w:val="000000" w:themeColor="text1"/>
        </w:rPr>
      </w:pPr>
      <w:bookmarkStart w:id="238" w:name="_Toc491711217"/>
      <w:bookmarkStart w:id="239" w:name="_Toc492371091"/>
      <w:r w:rsidRPr="00A00D38">
        <w:rPr>
          <w:rFonts w:hint="eastAsia"/>
          <w:color w:val="000000" w:themeColor="text1"/>
        </w:rPr>
        <w:t>此外，本案諮詢專家學者分析指出，「鑑於外籍教師無法分擔學校行政工作，學校在聘用外籍教師時亦會多加考慮，因此學校的外籍教師人數往往到了相當比例，就難以突破」等情；上述各部會為突破人才延攬困境，無不於主管之政策法規中，想方設法鬆綁居留移民法規、提升來臺工作待遇等，惟若忽略學校實務作業考量，恐致法規制度難以發揮綜</w:t>
      </w:r>
      <w:r w:rsidRPr="00A00D38">
        <w:rPr>
          <w:rFonts w:hint="eastAsia"/>
          <w:color w:val="000000" w:themeColor="text1"/>
        </w:rPr>
        <w:lastRenderedPageBreak/>
        <w:t>效，未來在政策研究上，亦應多方蒐羅、考量第一線實務意見，針對學校或高等教育機構無法增加外籍教研人才之問題癥結，對症下藥。</w:t>
      </w:r>
      <w:bookmarkEnd w:id="238"/>
      <w:bookmarkEnd w:id="239"/>
      <w:r w:rsidRPr="00A00D38">
        <w:rPr>
          <w:color w:val="000000" w:themeColor="text1"/>
        </w:rPr>
        <w:br/>
      </w:r>
    </w:p>
    <w:p w:rsidR="006C2670" w:rsidRPr="00A00D38" w:rsidRDefault="006C2670" w:rsidP="006C2670">
      <w:pPr>
        <w:pStyle w:val="3"/>
        <w:rPr>
          <w:color w:val="000000" w:themeColor="text1"/>
        </w:rPr>
      </w:pPr>
      <w:bookmarkStart w:id="240" w:name="_Toc489383127"/>
      <w:bookmarkStart w:id="241" w:name="_Toc491711218"/>
      <w:bookmarkStart w:id="242" w:name="_Toc492371092"/>
      <w:r w:rsidRPr="00A00D38">
        <w:rPr>
          <w:rFonts w:hint="eastAsia"/>
          <w:color w:val="000000" w:themeColor="text1"/>
        </w:rPr>
        <w:t>綜上，大專校院外籍教師來臺占比仍偏低，且外籍專任教師人數趨降，與我國彈性薪資方案仍偏向留住我國現職人才，缺乏吸引外籍教研人才之誘因，且其居留歸化、子女就業等友善環境之建置仍難稱完善等有關，復以部分學校亦缺乏強烈聘用外籍教研人才之動機，均不利我國高等教育國際化之發展，對於延攬外籍教師相關法規、策略及配套措施，亟待各相關部會積極改善、及早建置，以免錯失我國競才利基。</w:t>
      </w:r>
      <w:bookmarkEnd w:id="240"/>
      <w:bookmarkEnd w:id="241"/>
      <w:bookmarkEnd w:id="242"/>
      <w:r w:rsidRPr="00A00D38">
        <w:rPr>
          <w:color w:val="000000" w:themeColor="text1"/>
        </w:rPr>
        <w:br/>
      </w:r>
    </w:p>
    <w:p w:rsidR="006C2670" w:rsidRPr="00A00D38" w:rsidRDefault="006C2670" w:rsidP="006C2670">
      <w:pPr>
        <w:pStyle w:val="2"/>
        <w:numPr>
          <w:ilvl w:val="0"/>
          <w:numId w:val="33"/>
        </w:numPr>
        <w:ind w:left="1020" w:hanging="680"/>
        <w:rPr>
          <w:b/>
          <w:color w:val="000000" w:themeColor="text1"/>
        </w:rPr>
      </w:pPr>
      <w:bookmarkStart w:id="243" w:name="_Toc492371093"/>
      <w:r w:rsidRPr="00A00D38">
        <w:rPr>
          <w:rFonts w:hint="eastAsia"/>
          <w:b/>
          <w:color w:val="000000" w:themeColor="text1"/>
        </w:rPr>
        <w:t>推動高等教育的國際化，涉及跨部會權責，尤其在「教育產業化」蔚為潮流之際，</w:t>
      </w:r>
      <w:r w:rsidRPr="00A00D38">
        <w:rPr>
          <w:rFonts w:hint="eastAsia"/>
          <w:b/>
          <w:color w:val="000000" w:themeColor="text1"/>
          <w:szCs w:val="32"/>
        </w:rPr>
        <w:t>為發揮整體綜效，相關</w:t>
      </w:r>
      <w:r w:rsidRPr="00A00D38">
        <w:rPr>
          <w:rFonts w:hint="eastAsia"/>
          <w:b/>
          <w:color w:val="000000" w:themeColor="text1"/>
        </w:rPr>
        <w:t>部會應</w:t>
      </w:r>
      <w:r w:rsidRPr="00A00D38">
        <w:rPr>
          <w:rFonts w:hAnsi="標楷體" w:hint="eastAsia"/>
          <w:b/>
          <w:color w:val="000000" w:themeColor="text1"/>
        </w:rPr>
        <w:t>強化</w:t>
      </w:r>
      <w:r w:rsidRPr="00A00D38">
        <w:rPr>
          <w:rFonts w:hint="eastAsia"/>
          <w:b/>
          <w:color w:val="000000" w:themeColor="text1"/>
        </w:rPr>
        <w:t>橫向聯繫合作</w:t>
      </w:r>
      <w:r w:rsidRPr="00A00D38">
        <w:rPr>
          <w:rFonts w:hAnsi="標楷體" w:hint="eastAsia"/>
          <w:b/>
          <w:color w:val="000000" w:themeColor="text1"/>
        </w:rPr>
        <w:t>，並</w:t>
      </w:r>
      <w:r w:rsidRPr="00A00D38">
        <w:rPr>
          <w:rFonts w:hint="eastAsia"/>
          <w:b/>
          <w:color w:val="000000" w:themeColor="text1"/>
        </w:rPr>
        <w:t>檢視各自所轄計畫，避免高等教育</w:t>
      </w:r>
      <w:r w:rsidRPr="00A00D38">
        <w:rPr>
          <w:rFonts w:hAnsi="標楷體" w:hint="eastAsia"/>
          <w:b/>
          <w:color w:val="000000" w:themeColor="text1"/>
        </w:rPr>
        <w:t>資源</w:t>
      </w:r>
      <w:r w:rsidRPr="00A00D38">
        <w:rPr>
          <w:rFonts w:hint="eastAsia"/>
          <w:b/>
          <w:color w:val="000000" w:themeColor="text1"/>
        </w:rPr>
        <w:t>疊床架屋及政出多門，</w:t>
      </w:r>
      <w:r w:rsidRPr="00A00D38">
        <w:rPr>
          <w:rFonts w:hint="eastAsia"/>
          <w:b/>
          <w:color w:val="000000" w:themeColor="text1"/>
          <w:szCs w:val="32"/>
        </w:rPr>
        <w:t>行政院對於</w:t>
      </w:r>
      <w:r w:rsidRPr="00A00D38">
        <w:rPr>
          <w:rFonts w:hAnsi="標楷體" w:hint="eastAsia"/>
          <w:b/>
          <w:color w:val="000000" w:themeColor="text1"/>
        </w:rPr>
        <w:t>擘劃具</w:t>
      </w:r>
      <w:r w:rsidRPr="00A00D38">
        <w:rPr>
          <w:rFonts w:hAnsi="標楷體" w:hint="eastAsia"/>
          <w:b/>
          <w:color w:val="000000" w:themeColor="text1"/>
          <w:szCs w:val="32"/>
        </w:rPr>
        <w:t>前瞻性之</w:t>
      </w:r>
      <w:r w:rsidRPr="00A00D38">
        <w:rPr>
          <w:rFonts w:hAnsi="標楷體" w:hint="eastAsia"/>
          <w:b/>
          <w:color w:val="000000" w:themeColor="text1"/>
        </w:rPr>
        <w:t>高等教育國際化</w:t>
      </w:r>
      <w:r w:rsidRPr="00A00D38">
        <w:rPr>
          <w:rFonts w:hAnsi="標楷體" w:hint="eastAsia"/>
          <w:b/>
          <w:color w:val="000000" w:themeColor="text1"/>
          <w:szCs w:val="32"/>
        </w:rPr>
        <w:t>政策尤其責無旁貸。</w:t>
      </w:r>
      <w:bookmarkEnd w:id="243"/>
    </w:p>
    <w:p w:rsidR="006C2670" w:rsidRPr="00A00D38" w:rsidRDefault="006C2670" w:rsidP="006C73D0">
      <w:pPr>
        <w:pStyle w:val="3"/>
        <w:numPr>
          <w:ilvl w:val="2"/>
          <w:numId w:val="70"/>
        </w:numPr>
        <w:rPr>
          <w:rFonts w:hAnsi="標楷體"/>
          <w:color w:val="000000" w:themeColor="text1"/>
        </w:rPr>
      </w:pPr>
      <w:bookmarkStart w:id="244" w:name="_Toc450392751"/>
      <w:bookmarkStart w:id="245" w:name="_Toc450398981"/>
      <w:bookmarkStart w:id="246" w:name="_Toc450751211"/>
      <w:bookmarkStart w:id="247" w:name="_Toc451441295"/>
      <w:bookmarkStart w:id="248" w:name="_Toc451785050"/>
      <w:bookmarkStart w:id="249" w:name="_Toc450039411"/>
      <w:bookmarkStart w:id="250" w:name="_Toc451937802"/>
      <w:bookmarkStart w:id="251" w:name="_Toc452572682"/>
      <w:bookmarkStart w:id="252" w:name="_Toc454975550"/>
      <w:bookmarkStart w:id="253" w:name="_Toc454987875"/>
      <w:bookmarkStart w:id="254" w:name="_Toc455580063"/>
      <w:bookmarkStart w:id="255" w:name="_Toc488227910"/>
      <w:bookmarkStart w:id="256" w:name="_Toc489383129"/>
      <w:bookmarkStart w:id="257" w:name="_Toc491711220"/>
      <w:bookmarkStart w:id="258" w:name="_Toc492371094"/>
      <w:bookmarkStart w:id="259" w:name="_Toc481496016"/>
      <w:bookmarkStart w:id="260" w:name="_Toc485999672"/>
      <w:r w:rsidRPr="00A00D38">
        <w:rPr>
          <w:rFonts w:hint="eastAsia"/>
          <w:color w:val="000000" w:themeColor="text1"/>
        </w:rPr>
        <w:t>按「教育部組織法」，教育部係掌理</w:t>
      </w:r>
      <w:r w:rsidRPr="00A00D38">
        <w:rPr>
          <w:rFonts w:hAnsi="標楷體" w:hint="eastAsia"/>
          <w:color w:val="000000" w:themeColor="text1"/>
        </w:rPr>
        <w:t>全國高等教育、技術職業教育、終身教育、國際教育學術交流、國際青年與教育活動參與、海外華語文教育推廣等</w:t>
      </w:r>
      <w:r w:rsidRPr="00A00D38">
        <w:rPr>
          <w:rFonts w:asciiTheme="minorHAnsi" w:hAnsiTheme="minorHAnsi"/>
          <w:color w:val="000000" w:themeColor="text1"/>
        </w:rPr>
        <w:t>權責機關</w:t>
      </w:r>
      <w:r w:rsidRPr="00A00D38">
        <w:rPr>
          <w:rFonts w:asciiTheme="minorHAnsi" w:hAnsiTheme="minorHAnsi" w:hint="eastAsia"/>
          <w:color w:val="000000" w:themeColor="text1"/>
        </w:rPr>
        <w:t>；</w:t>
      </w:r>
      <w:r w:rsidRPr="00A00D38">
        <w:rPr>
          <w:rFonts w:ascii="Times New Roman" w:hAnsi="Times New Roman"/>
          <w:color w:val="000000" w:themeColor="text1"/>
        </w:rPr>
        <w:t>行政院</w:t>
      </w:r>
      <w:r w:rsidRPr="00A00D38">
        <w:rPr>
          <w:rFonts w:ascii="Times New Roman" w:hAnsi="Times New Roman"/>
          <w:color w:val="000000" w:themeColor="text1"/>
        </w:rPr>
        <w:t>104</w:t>
      </w:r>
      <w:r w:rsidRPr="00A00D38">
        <w:rPr>
          <w:rFonts w:ascii="Times New Roman" w:hAnsi="Times New Roman"/>
          <w:color w:val="000000" w:themeColor="text1"/>
        </w:rPr>
        <w:t>年</w:t>
      </w:r>
      <w:r w:rsidRPr="00A00D38">
        <w:rPr>
          <w:rFonts w:ascii="Times New Roman" w:hAnsi="Times New Roman"/>
          <w:color w:val="000000" w:themeColor="text1"/>
        </w:rPr>
        <w:t>9</w:t>
      </w:r>
      <w:r w:rsidRPr="00A00D38">
        <w:rPr>
          <w:rFonts w:ascii="Times New Roman" w:hAnsi="Times New Roman"/>
          <w:color w:val="000000" w:themeColor="text1"/>
        </w:rPr>
        <w:t>月核定實施「全球競才方案</w:t>
      </w:r>
      <w:r w:rsidRPr="00A00D38">
        <w:rPr>
          <w:rFonts w:ascii="Times New Roman" w:hAnsi="Times New Roman"/>
          <w:color w:val="000000" w:themeColor="text1"/>
        </w:rPr>
        <w:t>-</w:t>
      </w:r>
      <w:r w:rsidRPr="00A00D38">
        <w:rPr>
          <w:rFonts w:ascii="Times New Roman" w:hAnsi="Times New Roman"/>
          <w:color w:val="000000" w:themeColor="text1"/>
        </w:rPr>
        <w:tab/>
      </w:r>
      <w:r w:rsidRPr="00A00D38">
        <w:rPr>
          <w:rFonts w:ascii="Times New Roman" w:hAnsi="Times New Roman"/>
          <w:color w:val="000000" w:themeColor="text1"/>
        </w:rPr>
        <w:tab/>
        <w:t>Contact Taiwan</w:t>
      </w:r>
      <w:r w:rsidRPr="00A00D38">
        <w:rPr>
          <w:rFonts w:ascii="Times New Roman" w:hAnsi="Times New Roman"/>
          <w:color w:val="000000" w:themeColor="text1"/>
        </w:rPr>
        <w:t>」，成立「全球攬才」、「海外網絡」、「競才條件」、「留才環境」等</w:t>
      </w:r>
      <w:r w:rsidRPr="00A00D38">
        <w:rPr>
          <w:rFonts w:ascii="Times New Roman" w:hAnsi="Times New Roman"/>
          <w:color w:val="000000" w:themeColor="text1"/>
        </w:rPr>
        <w:t>4</w:t>
      </w:r>
      <w:r w:rsidRPr="00A00D38">
        <w:rPr>
          <w:rFonts w:ascii="Times New Roman" w:hAnsi="Times New Roman"/>
          <w:color w:val="000000" w:themeColor="text1"/>
        </w:rPr>
        <w:t>個工作小組，分別由經濟部、外交部、教育部及內政部主政，</w:t>
      </w:r>
      <w:r w:rsidRPr="00A00D38">
        <w:rPr>
          <w:rFonts w:ascii="Times New Roman" w:hAnsi="Times New Roman" w:hint="eastAsia"/>
          <w:color w:val="000000" w:themeColor="text1"/>
        </w:rPr>
        <w:t>而</w:t>
      </w:r>
      <w:r w:rsidRPr="00A00D38">
        <w:rPr>
          <w:rFonts w:ascii="Times New Roman" w:hAnsi="Times New Roman"/>
          <w:color w:val="000000" w:themeColor="text1"/>
        </w:rPr>
        <w:t>國發會為幕僚單位，科技部為各小組協辦單位。</w:t>
      </w:r>
      <w:r w:rsidRPr="00A00D38">
        <w:rPr>
          <w:rFonts w:ascii="Times New Roman" w:hAnsi="Times New Roman" w:hint="eastAsia"/>
          <w:color w:val="000000" w:themeColor="text1"/>
        </w:rPr>
        <w:t>另，「</w:t>
      </w:r>
      <w:r w:rsidRPr="00A00D38">
        <w:rPr>
          <w:rFonts w:ascii="Times New Roman" w:hAnsi="Times New Roman"/>
          <w:color w:val="000000" w:themeColor="text1"/>
        </w:rPr>
        <w:t>新南向政</w:t>
      </w:r>
      <w:r w:rsidRPr="00A00D38">
        <w:rPr>
          <w:rFonts w:ascii="Times New Roman" w:hAnsi="Times New Roman" w:hint="eastAsia"/>
          <w:color w:val="000000" w:themeColor="text1"/>
        </w:rPr>
        <w:t>策推動計畫」的「經貿合作」、「人才交流」、「資源共享」及「區域鏈結」四大構面中，「人才交流」之「教育深耕」由教育部主辦、勞動部及僑委會協</w:t>
      </w:r>
      <w:r w:rsidRPr="00A00D38">
        <w:rPr>
          <w:rFonts w:ascii="Times New Roman" w:hAnsi="Times New Roman" w:hint="eastAsia"/>
          <w:color w:val="000000" w:themeColor="text1"/>
        </w:rPr>
        <w:lastRenderedPageBreak/>
        <w:t>辦。</w:t>
      </w:r>
      <w:r w:rsidRPr="00A00D38">
        <w:rPr>
          <w:rFonts w:hAnsi="標楷體" w:hint="eastAsia"/>
          <w:color w:val="000000" w:themeColor="text1"/>
        </w:rPr>
        <w:t>復</w:t>
      </w:r>
      <w:r w:rsidRPr="00A00D38">
        <w:rPr>
          <w:rFonts w:hint="eastAsia"/>
          <w:color w:val="000000" w:themeColor="text1"/>
        </w:rPr>
        <w:t>按</w:t>
      </w:r>
      <w:r w:rsidRPr="00A00D38">
        <w:rPr>
          <w:rFonts w:hAnsi="標楷體" w:hint="eastAsia"/>
          <w:color w:val="000000" w:themeColor="text1"/>
        </w:rPr>
        <w:t>「</w:t>
      </w:r>
      <w:r w:rsidRPr="00A00D38">
        <w:rPr>
          <w:rFonts w:hint="eastAsia"/>
          <w:color w:val="000000" w:themeColor="text1"/>
        </w:rPr>
        <w:t>產業創新條例</w:t>
      </w:r>
      <w:r w:rsidRPr="00A00D38">
        <w:rPr>
          <w:rFonts w:hAnsi="標楷體" w:hint="eastAsia"/>
          <w:color w:val="000000" w:themeColor="text1"/>
        </w:rPr>
        <w:t>」</w:t>
      </w:r>
      <w:r w:rsidRPr="00A00D38">
        <w:rPr>
          <w:rFonts w:hint="eastAsia"/>
          <w:color w:val="000000" w:themeColor="text1"/>
        </w:rPr>
        <w:t>第17條</w:t>
      </w:r>
      <w:r w:rsidRPr="00A00D38">
        <w:rPr>
          <w:rStyle w:val="aff0"/>
          <w:color w:val="000000" w:themeColor="text1"/>
        </w:rPr>
        <w:footnoteReference w:id="28"/>
      </w:r>
      <w:r w:rsidRPr="00A00D38">
        <w:rPr>
          <w:rFonts w:hint="eastAsia"/>
          <w:color w:val="000000" w:themeColor="text1"/>
        </w:rPr>
        <w:t>及相關規定，我國產業人才之延攬、留才政策相關目的事業單位及全球競才方案主政機關為經濟部、國發會及教育部、僑委會等機關，並以國發會為協調專責機關</w:t>
      </w:r>
      <w:bookmarkStart w:id="261" w:name="_Toc450392752"/>
      <w:bookmarkStart w:id="262" w:name="_Toc450398982"/>
      <w:bookmarkStart w:id="263" w:name="_Toc450751212"/>
      <w:bookmarkStart w:id="264" w:name="_Toc451441296"/>
      <w:bookmarkStart w:id="265" w:name="_Toc451785051"/>
      <w:bookmarkEnd w:id="244"/>
      <w:bookmarkEnd w:id="245"/>
      <w:bookmarkEnd w:id="246"/>
      <w:bookmarkEnd w:id="247"/>
      <w:bookmarkEnd w:id="248"/>
      <w:r w:rsidRPr="00A00D38">
        <w:rPr>
          <w:rFonts w:hint="eastAsia"/>
          <w:color w:val="000000" w:themeColor="text1"/>
        </w:rPr>
        <w:t>。</w:t>
      </w:r>
      <w:bookmarkEnd w:id="249"/>
      <w:bookmarkEnd w:id="261"/>
      <w:bookmarkEnd w:id="262"/>
      <w:bookmarkEnd w:id="263"/>
      <w:bookmarkEnd w:id="264"/>
      <w:bookmarkEnd w:id="265"/>
      <w:r w:rsidRPr="00A00D38">
        <w:rPr>
          <w:rFonts w:hAnsi="標楷體" w:hint="eastAsia"/>
          <w:color w:val="000000" w:themeColor="text1"/>
        </w:rPr>
        <w:t>準此，為促進高等教育國際化及改善國內整體外來人口友善環境，絕非教育部可獨力竟功。</w:t>
      </w:r>
      <w:bookmarkEnd w:id="250"/>
      <w:bookmarkEnd w:id="251"/>
      <w:bookmarkEnd w:id="252"/>
      <w:bookmarkEnd w:id="253"/>
      <w:bookmarkEnd w:id="254"/>
      <w:bookmarkEnd w:id="255"/>
      <w:bookmarkEnd w:id="256"/>
      <w:bookmarkEnd w:id="257"/>
      <w:bookmarkEnd w:id="258"/>
      <w:r w:rsidRPr="00A00D38">
        <w:rPr>
          <w:rFonts w:hAnsi="標楷體"/>
          <w:color w:val="000000" w:themeColor="text1"/>
        </w:rPr>
        <w:br/>
      </w:r>
    </w:p>
    <w:p w:rsidR="006C2670" w:rsidRPr="00A00D38" w:rsidRDefault="006C2670" w:rsidP="006C2670">
      <w:pPr>
        <w:pStyle w:val="3"/>
        <w:rPr>
          <w:rFonts w:hAnsi="標楷體"/>
          <w:color w:val="000000" w:themeColor="text1"/>
        </w:rPr>
      </w:pPr>
      <w:bookmarkStart w:id="266" w:name="_Toc491711221"/>
      <w:bookmarkStart w:id="267" w:name="_Toc492371095"/>
      <w:r w:rsidRPr="00A00D38">
        <w:rPr>
          <w:rFonts w:ascii="Times New Roman" w:hAnsi="Times New Roman"/>
          <w:color w:val="000000" w:themeColor="text1"/>
        </w:rPr>
        <w:t>高等教育國際化相關研究指出，近</w:t>
      </w:r>
      <w:r w:rsidRPr="00A00D38">
        <w:rPr>
          <w:rFonts w:ascii="Times New Roman" w:hAnsi="Times New Roman" w:hint="eastAsia"/>
          <w:color w:val="000000" w:themeColor="text1"/>
        </w:rPr>
        <w:t>數</w:t>
      </w:r>
      <w:r w:rsidRPr="00A00D38">
        <w:rPr>
          <w:rFonts w:ascii="Times New Roman" w:hAnsi="Times New Roman"/>
          <w:color w:val="000000" w:themeColor="text1"/>
        </w:rPr>
        <w:t>十年來，全世界高等教育國際化的方法已由合作致力於依靠政治、文化和學術論證為主的理論基礎轉向經濟動因的理論基礎</w:t>
      </w:r>
      <w:r w:rsidRPr="00A00D38">
        <w:rPr>
          <w:rFonts w:ascii="Times New Roman" w:hAnsi="Times New Roman" w:hint="eastAsia"/>
          <w:color w:val="000000" w:themeColor="text1"/>
        </w:rPr>
        <w:t>（</w:t>
      </w:r>
      <w:r w:rsidRPr="00A00D38">
        <w:rPr>
          <w:rFonts w:ascii="Times New Roman" w:hAnsi="Times New Roman"/>
          <w:color w:val="000000" w:themeColor="text1"/>
        </w:rPr>
        <w:t>Kreber, 2009</w:t>
      </w:r>
      <w:r w:rsidRPr="00A00D38">
        <w:rPr>
          <w:rFonts w:ascii="Times New Roman" w:hAnsi="Times New Roman"/>
          <w:color w:val="000000" w:themeColor="text1"/>
        </w:rPr>
        <w:t>：</w:t>
      </w:r>
      <w:r w:rsidRPr="00A00D38">
        <w:rPr>
          <w:rFonts w:ascii="Times New Roman" w:hAnsi="Times New Roman"/>
          <w:color w:val="000000" w:themeColor="text1"/>
        </w:rPr>
        <w:t>4</w:t>
      </w:r>
      <w:r w:rsidRPr="00A00D38">
        <w:rPr>
          <w:rFonts w:ascii="Times New Roman" w:hAnsi="Times New Roman" w:hint="eastAsia"/>
          <w:color w:val="000000" w:themeColor="text1"/>
        </w:rPr>
        <w:t>）</w:t>
      </w:r>
      <w:r w:rsidRPr="00A00D38">
        <w:rPr>
          <w:rStyle w:val="aff0"/>
          <w:rFonts w:ascii="Times New Roman" w:hAnsi="Times New Roman"/>
          <w:color w:val="000000" w:themeColor="text1"/>
        </w:rPr>
        <w:footnoteReference w:id="29"/>
      </w:r>
      <w:r w:rsidRPr="00A00D38">
        <w:rPr>
          <w:rFonts w:ascii="Times New Roman" w:hAnsi="Times New Roman"/>
          <w:color w:val="000000" w:themeColor="text1"/>
        </w:rPr>
        <w:t>。導致</w:t>
      </w:r>
      <w:r w:rsidRPr="00A00D38">
        <w:rPr>
          <w:rFonts w:ascii="Times New Roman" w:hAnsi="Times New Roman" w:hint="eastAsia"/>
          <w:color w:val="000000" w:themeColor="text1"/>
        </w:rPr>
        <w:t>此</w:t>
      </w:r>
      <w:r w:rsidRPr="00A00D38">
        <w:rPr>
          <w:rFonts w:ascii="Times New Roman" w:hAnsi="Times New Roman"/>
          <w:color w:val="000000" w:themeColor="text1"/>
        </w:rPr>
        <w:t>一轉變的因素，與回應經濟全球化及國家和高等教育機構肩負維持國際競爭力的責任有關，全球化的高等教育市場要求高等教育機構在超越國界的高度競爭格局中有策略</w:t>
      </w:r>
      <w:r w:rsidRPr="00A00D38">
        <w:rPr>
          <w:rFonts w:ascii="Times New Roman" w:hAnsi="Times New Roman" w:hint="eastAsia"/>
          <w:color w:val="000000" w:themeColor="text1"/>
        </w:rPr>
        <w:t>地</w:t>
      </w:r>
      <w:r w:rsidRPr="00A00D38">
        <w:rPr>
          <w:rFonts w:ascii="Times New Roman" w:hAnsi="Times New Roman"/>
          <w:color w:val="000000" w:themeColor="text1"/>
        </w:rPr>
        <w:t>發展</w:t>
      </w:r>
      <w:r w:rsidRPr="00A00D38">
        <w:rPr>
          <w:rFonts w:ascii="Times New Roman" w:hAnsi="Times New Roman" w:hint="eastAsia"/>
          <w:color w:val="000000" w:themeColor="text1"/>
        </w:rPr>
        <w:t>學校</w:t>
      </w:r>
      <w:r w:rsidRPr="00A00D38">
        <w:rPr>
          <w:rFonts w:ascii="Times New Roman" w:hAnsi="Times New Roman"/>
          <w:color w:val="000000" w:themeColor="text1"/>
        </w:rPr>
        <w:t>特色（</w:t>
      </w:r>
      <w:r w:rsidRPr="00A00D38">
        <w:rPr>
          <w:rFonts w:ascii="Times New Roman" w:hAnsi="Times New Roman"/>
          <w:color w:val="000000" w:themeColor="text1"/>
        </w:rPr>
        <w:t>Hammond, 2016</w:t>
      </w:r>
      <w:r w:rsidRPr="00A00D38">
        <w:rPr>
          <w:rFonts w:ascii="Times New Roman" w:hAnsi="Times New Roman"/>
          <w:color w:val="000000" w:themeColor="text1"/>
        </w:rPr>
        <w:t>：</w:t>
      </w:r>
      <w:r w:rsidRPr="00A00D38">
        <w:rPr>
          <w:rFonts w:ascii="Times New Roman" w:hAnsi="Times New Roman"/>
          <w:color w:val="000000" w:themeColor="text1"/>
        </w:rPr>
        <w:t>557-558</w:t>
      </w:r>
      <w:r w:rsidRPr="00A00D38">
        <w:rPr>
          <w:rFonts w:ascii="Times New Roman" w:hAnsi="Times New Roman"/>
          <w:color w:val="000000" w:themeColor="text1"/>
        </w:rPr>
        <w:t>）</w:t>
      </w:r>
      <w:r w:rsidRPr="00A00D38">
        <w:rPr>
          <w:rStyle w:val="aff0"/>
          <w:rFonts w:ascii="Times New Roman" w:hAnsi="Times New Roman"/>
          <w:color w:val="000000" w:themeColor="text1"/>
        </w:rPr>
        <w:footnoteReference w:id="30"/>
      </w:r>
      <w:r w:rsidRPr="00A00D38">
        <w:rPr>
          <w:rFonts w:ascii="Times New Roman" w:hAnsi="Times New Roman"/>
          <w:color w:val="000000" w:themeColor="text1"/>
        </w:rPr>
        <w:t>。故高等教育國際化的目的與策略，已由傳統政治、學術或文化等</w:t>
      </w:r>
      <w:r w:rsidRPr="00A00D38">
        <w:rPr>
          <w:rFonts w:ascii="Times New Roman" w:hAnsi="Times New Roman" w:hint="eastAsia"/>
          <w:color w:val="000000" w:themeColor="text1"/>
        </w:rPr>
        <w:t>考量</w:t>
      </w:r>
      <w:r w:rsidRPr="00A00D38">
        <w:rPr>
          <w:rFonts w:ascii="Times New Roman" w:hAnsi="Times New Roman"/>
          <w:color w:val="000000" w:themeColor="text1"/>
        </w:rPr>
        <w:t>，轉向直接回應有關經濟全球化的市場力量，</w:t>
      </w:r>
      <w:r w:rsidRPr="00A00D38">
        <w:rPr>
          <w:rFonts w:ascii="Times New Roman" w:hAnsi="Times New Roman" w:hint="eastAsia"/>
          <w:color w:val="000000" w:themeColor="text1"/>
        </w:rPr>
        <w:t>與</w:t>
      </w:r>
      <w:r w:rsidRPr="00A00D38">
        <w:rPr>
          <w:rFonts w:ascii="Times New Roman" w:hAnsi="Times New Roman"/>
          <w:color w:val="000000" w:themeColor="text1"/>
        </w:rPr>
        <w:t>重視國家競爭力所需人力資源的經濟性</w:t>
      </w:r>
      <w:r w:rsidRPr="00A00D38">
        <w:rPr>
          <w:rFonts w:ascii="Times New Roman" w:hAnsi="Times New Roman" w:hint="eastAsia"/>
          <w:color w:val="000000" w:themeColor="text1"/>
        </w:rPr>
        <w:t>導向</w:t>
      </w:r>
      <w:r w:rsidRPr="00A00D38">
        <w:rPr>
          <w:rFonts w:ascii="Times New Roman" w:hAnsi="Times New Roman"/>
          <w:color w:val="000000" w:themeColor="text1"/>
        </w:rPr>
        <w:t>，惟基於教育理念的實現及維持國際競爭力之取捨，高教國際化之經濟性目標（營利取向）與學術性目標（文化取向），</w:t>
      </w:r>
      <w:r w:rsidRPr="00A00D38">
        <w:rPr>
          <w:rFonts w:ascii="Times New Roman" w:hAnsi="Times New Roman" w:hint="eastAsia"/>
          <w:color w:val="000000" w:themeColor="text1"/>
        </w:rPr>
        <w:t>必須</w:t>
      </w:r>
      <w:r w:rsidRPr="00A00D38">
        <w:rPr>
          <w:rFonts w:ascii="Times New Roman" w:hAnsi="Times New Roman"/>
          <w:color w:val="000000" w:themeColor="text1"/>
        </w:rPr>
        <w:t>要有所取</w:t>
      </w:r>
      <w:r w:rsidRPr="00A00D38">
        <w:rPr>
          <w:rFonts w:ascii="Times New Roman" w:hAnsi="Times New Roman"/>
          <w:color w:val="000000" w:themeColor="text1"/>
        </w:rPr>
        <w:lastRenderedPageBreak/>
        <w:t>捨與</w:t>
      </w:r>
      <w:r w:rsidRPr="00A00D38">
        <w:rPr>
          <w:rFonts w:ascii="Times New Roman" w:hAnsi="Times New Roman" w:hint="eastAsia"/>
          <w:color w:val="000000" w:themeColor="text1"/>
        </w:rPr>
        <w:t>權</w:t>
      </w:r>
      <w:r w:rsidRPr="00A00D38">
        <w:rPr>
          <w:rFonts w:ascii="Times New Roman" w:hAnsi="Times New Roman"/>
          <w:color w:val="000000" w:themeColor="text1"/>
        </w:rPr>
        <w:t>衡。</w:t>
      </w:r>
      <w:r w:rsidRPr="00A00D38">
        <w:rPr>
          <w:rFonts w:ascii="Times New Roman" w:hAnsi="Times New Roman" w:hint="eastAsia"/>
          <w:color w:val="000000" w:themeColor="text1"/>
        </w:rPr>
        <w:t>本院詢問教育部主管人員以及諮詢專家學者意見，均提及「部分歐美國家、澳洲已明確定位『教育產業化』路線，該等國家為輸出其教育產業，已將教育輸出任務，改置於政府之對外貿易或商業活動部門之下，突破由教育部門單打獨鬥之舊有框架」，相關思維與做法，頗值得借鏡。</w:t>
      </w:r>
      <w:bookmarkEnd w:id="266"/>
      <w:bookmarkEnd w:id="267"/>
      <w:r w:rsidRPr="00A00D38">
        <w:rPr>
          <w:rFonts w:ascii="Times New Roman" w:hAnsi="Times New Roman"/>
          <w:color w:val="000000" w:themeColor="text1"/>
        </w:rPr>
        <w:br/>
      </w:r>
    </w:p>
    <w:p w:rsidR="006C2670" w:rsidRPr="00A00D38" w:rsidRDefault="006C2670" w:rsidP="006C2670">
      <w:pPr>
        <w:pStyle w:val="3"/>
        <w:rPr>
          <w:rFonts w:ascii="Times New Roman" w:hAnsi="Times New Roman"/>
          <w:color w:val="000000" w:themeColor="text1"/>
        </w:rPr>
      </w:pPr>
      <w:bookmarkStart w:id="268" w:name="_Toc488227912"/>
      <w:bookmarkStart w:id="269" w:name="_Toc489383130"/>
      <w:bookmarkStart w:id="270" w:name="_Toc491711222"/>
      <w:bookmarkStart w:id="271" w:name="_Toc492371096"/>
      <w:r w:rsidRPr="00A00D38">
        <w:rPr>
          <w:rFonts w:hAnsi="標楷體" w:hint="eastAsia"/>
          <w:color w:val="000000" w:themeColor="text1"/>
        </w:rPr>
        <w:t>惟經本院本年2月函教育部、科技部、僑委會、勞動部、內政部及國發會等相關機關，調取高等教育國際化之辦理情形及跨部會合作機制資料，</w:t>
      </w:r>
      <w:r w:rsidRPr="00A00D38">
        <w:rPr>
          <w:rFonts w:hint="eastAsia"/>
          <w:color w:val="000000" w:themeColor="text1"/>
        </w:rPr>
        <w:t>科技部僅函復</w:t>
      </w:r>
      <w:r w:rsidRPr="00A00D38">
        <w:rPr>
          <w:rStyle w:val="aff0"/>
          <w:rFonts w:ascii="Times New Roman" w:hAnsi="Times New Roman"/>
          <w:color w:val="000000" w:themeColor="text1"/>
          <w:kern w:val="2"/>
          <w:szCs w:val="20"/>
        </w:rPr>
        <w:footnoteReference w:id="31"/>
      </w:r>
      <w:r w:rsidRPr="00A00D38">
        <w:rPr>
          <w:rFonts w:hint="eastAsia"/>
          <w:color w:val="000000" w:themeColor="text1"/>
        </w:rPr>
        <w:t>「高等教育國際化之中央主管機關係屬教育部」一語；國發會僅函復</w:t>
      </w:r>
      <w:r w:rsidRPr="00A00D38">
        <w:rPr>
          <w:rStyle w:val="aff0"/>
          <w:rFonts w:ascii="Times New Roman" w:hAnsi="Times New Roman"/>
          <w:color w:val="000000" w:themeColor="text1"/>
          <w:kern w:val="2"/>
          <w:szCs w:val="20"/>
        </w:rPr>
        <w:footnoteReference w:id="32"/>
      </w:r>
      <w:r w:rsidRPr="00A00D38">
        <w:rPr>
          <w:rFonts w:hint="eastAsia"/>
          <w:color w:val="000000" w:themeColor="text1"/>
        </w:rPr>
        <w:t>「教育部為政策規劃及執行管考之主責機關」；內政部則表示</w:t>
      </w:r>
      <w:r w:rsidRPr="00A00D38">
        <w:rPr>
          <w:rStyle w:val="aff0"/>
          <w:rFonts w:ascii="Times New Roman" w:hAnsi="Times New Roman"/>
          <w:color w:val="000000" w:themeColor="text1"/>
          <w:kern w:val="2"/>
          <w:szCs w:val="20"/>
        </w:rPr>
        <w:footnoteReference w:id="33"/>
      </w:r>
      <w:r w:rsidRPr="00A00D38">
        <w:rPr>
          <w:rFonts w:hint="eastAsia"/>
          <w:color w:val="000000" w:themeColor="text1"/>
        </w:rPr>
        <w:t>，「持續配合教育部進行修法作業」；勞動部云</w:t>
      </w:r>
      <w:r w:rsidRPr="00A00D38">
        <w:rPr>
          <w:rStyle w:val="aff0"/>
          <w:rFonts w:ascii="Times New Roman" w:hAnsi="Times New Roman"/>
          <w:color w:val="000000" w:themeColor="text1"/>
          <w:kern w:val="2"/>
          <w:szCs w:val="20"/>
        </w:rPr>
        <w:footnoteReference w:id="34"/>
      </w:r>
      <w:r w:rsidRPr="00A00D38">
        <w:rPr>
          <w:rFonts w:hint="eastAsia"/>
          <w:color w:val="000000" w:themeColor="text1"/>
        </w:rPr>
        <w:t>，「關於教育部推動高等教育國際化事務，該部尚無特定合作分工事項，惟教育部、勞動部與經濟部已成立跨部會小組，由3部會之次長輪流主持召開</w:t>
      </w:r>
      <w:bookmarkEnd w:id="268"/>
      <w:r w:rsidRPr="00A00D38">
        <w:rPr>
          <w:rFonts w:hint="eastAsia"/>
          <w:color w:val="000000" w:themeColor="text1"/>
        </w:rPr>
        <w:t>」；僑委會則表示</w:t>
      </w:r>
      <w:r w:rsidRPr="00A00D38">
        <w:rPr>
          <w:rStyle w:val="aff0"/>
          <w:rFonts w:ascii="Times New Roman" w:hAnsi="Times New Roman"/>
          <w:color w:val="000000" w:themeColor="text1"/>
          <w:kern w:val="2"/>
          <w:szCs w:val="20"/>
        </w:rPr>
        <w:footnoteReference w:id="35"/>
      </w:r>
      <w:r w:rsidRPr="00A00D38">
        <w:rPr>
          <w:rFonts w:hint="eastAsia"/>
          <w:color w:val="000000" w:themeColor="text1"/>
        </w:rPr>
        <w:t>，「該會積極協調教育部持續修法放寬入學規定，並定期辦理跨部會之海外聯合招生委員會之常務委員會（含綜合檢討）會議」。</w:t>
      </w:r>
      <w:r w:rsidRPr="00A00D38">
        <w:rPr>
          <w:rFonts w:hAnsi="標楷體" w:hint="eastAsia"/>
          <w:color w:val="000000" w:themeColor="text1"/>
        </w:rPr>
        <w:t>惟據本院本年8月約詢科技部之函復</w:t>
      </w:r>
      <w:r w:rsidRPr="00A00D38">
        <w:rPr>
          <w:rStyle w:val="aff0"/>
          <w:rFonts w:hAnsi="標楷體"/>
          <w:color w:val="000000" w:themeColor="text1"/>
        </w:rPr>
        <w:footnoteReference w:id="36"/>
      </w:r>
      <w:r w:rsidRPr="00A00D38">
        <w:rPr>
          <w:rFonts w:hAnsi="標楷體" w:hint="eastAsia"/>
          <w:color w:val="000000" w:themeColor="text1"/>
        </w:rPr>
        <w:t>資料，該部始進一步指稱，「</w:t>
      </w:r>
      <w:r w:rsidRPr="00A00D38">
        <w:rPr>
          <w:rFonts w:ascii="Times New Roman" w:hAnsi="Times New Roman"/>
          <w:color w:val="000000" w:themeColor="text1"/>
          <w:szCs w:val="32"/>
        </w:rPr>
        <w:t>自</w:t>
      </w:r>
      <w:r w:rsidRPr="00A00D38">
        <w:rPr>
          <w:rFonts w:ascii="Times New Roman" w:hAnsi="Times New Roman"/>
          <w:color w:val="000000" w:themeColor="text1"/>
          <w:szCs w:val="32"/>
        </w:rPr>
        <w:t>88</w:t>
      </w:r>
      <w:r w:rsidRPr="00A00D38">
        <w:rPr>
          <w:rFonts w:ascii="Times New Roman" w:hAnsi="Times New Roman"/>
          <w:color w:val="000000" w:themeColor="text1"/>
          <w:szCs w:val="32"/>
        </w:rPr>
        <w:t>年起，</w:t>
      </w:r>
      <w:r w:rsidRPr="00A00D38">
        <w:rPr>
          <w:rFonts w:ascii="Times New Roman" w:hAnsi="Times New Roman" w:hint="eastAsia"/>
          <w:color w:val="000000" w:themeColor="text1"/>
          <w:szCs w:val="32"/>
        </w:rPr>
        <w:t>該</w:t>
      </w:r>
      <w:r w:rsidRPr="00A00D38">
        <w:rPr>
          <w:rFonts w:ascii="Times New Roman" w:hAnsi="Times New Roman"/>
          <w:color w:val="000000" w:themeColor="text1"/>
          <w:szCs w:val="32"/>
        </w:rPr>
        <w:t>部與教育部每年均辦理</w:t>
      </w:r>
      <w:r w:rsidRPr="00A00D38">
        <w:rPr>
          <w:rFonts w:ascii="Times New Roman" w:hAnsi="Times New Roman"/>
          <w:color w:val="000000" w:themeColor="text1"/>
          <w:szCs w:val="32"/>
        </w:rPr>
        <w:t>1</w:t>
      </w:r>
      <w:r w:rsidRPr="00A00D38">
        <w:rPr>
          <w:rFonts w:ascii="Times New Roman" w:hAnsi="Times New Roman"/>
          <w:color w:val="000000" w:themeColor="text1"/>
          <w:szCs w:val="32"/>
        </w:rPr>
        <w:t>至</w:t>
      </w:r>
      <w:r w:rsidRPr="00A00D38">
        <w:rPr>
          <w:rFonts w:ascii="Times New Roman" w:hAnsi="Times New Roman"/>
          <w:color w:val="000000" w:themeColor="text1"/>
          <w:szCs w:val="32"/>
        </w:rPr>
        <w:t>2</w:t>
      </w:r>
      <w:r w:rsidRPr="00A00D38">
        <w:rPr>
          <w:rFonts w:ascii="Times New Roman" w:hAnsi="Times New Roman"/>
          <w:color w:val="000000" w:themeColor="text1"/>
          <w:szCs w:val="32"/>
        </w:rPr>
        <w:t>次業務協調座談會，由雙方輪流召集，並由</w:t>
      </w:r>
      <w:r w:rsidRPr="00A00D38">
        <w:rPr>
          <w:rFonts w:ascii="Times New Roman" w:hAnsi="Times New Roman" w:hint="eastAsia"/>
          <w:color w:val="000000" w:themeColor="text1"/>
          <w:szCs w:val="32"/>
        </w:rPr>
        <w:t>兩</w:t>
      </w:r>
      <w:r w:rsidRPr="00A00D38">
        <w:rPr>
          <w:rFonts w:ascii="Times New Roman" w:hAnsi="Times New Roman"/>
          <w:color w:val="000000" w:themeColor="text1"/>
          <w:szCs w:val="32"/>
        </w:rPr>
        <w:t>部副首長輪流主持</w:t>
      </w:r>
      <w:r w:rsidRPr="00A00D38">
        <w:rPr>
          <w:rFonts w:ascii="Times New Roman" w:hAnsi="Times New Roman" w:hint="eastAsia"/>
          <w:color w:val="000000" w:themeColor="text1"/>
          <w:szCs w:val="32"/>
        </w:rPr>
        <w:t>，</w:t>
      </w:r>
      <w:r w:rsidRPr="00A00D38">
        <w:rPr>
          <w:rFonts w:ascii="Times New Roman" w:hAnsi="Times New Roman"/>
          <w:color w:val="000000" w:themeColor="text1"/>
          <w:szCs w:val="32"/>
        </w:rPr>
        <w:t>就</w:t>
      </w:r>
      <w:r w:rsidRPr="00A00D38">
        <w:rPr>
          <w:rFonts w:ascii="Times New Roman" w:hAnsi="Times New Roman" w:hint="eastAsia"/>
          <w:color w:val="000000" w:themeColor="text1"/>
          <w:szCs w:val="32"/>
        </w:rPr>
        <w:t>兩</w:t>
      </w:r>
      <w:r w:rsidRPr="00A00D38">
        <w:rPr>
          <w:rFonts w:ascii="Times New Roman" w:hAnsi="Times New Roman"/>
          <w:color w:val="000000" w:themeColor="text1"/>
          <w:szCs w:val="32"/>
        </w:rPr>
        <w:t>部</w:t>
      </w:r>
      <w:r w:rsidRPr="00A00D38">
        <w:rPr>
          <w:rFonts w:ascii="Times New Roman" w:hAnsi="Times New Roman" w:hint="eastAsia"/>
          <w:color w:val="000000" w:themeColor="text1"/>
          <w:szCs w:val="32"/>
        </w:rPr>
        <w:t>之</w:t>
      </w:r>
      <w:r w:rsidRPr="00A00D38">
        <w:rPr>
          <w:rFonts w:ascii="Times New Roman" w:hAnsi="Times New Roman"/>
          <w:color w:val="000000" w:themeColor="text1"/>
          <w:szCs w:val="32"/>
        </w:rPr>
        <w:t>提案</w:t>
      </w:r>
      <w:r w:rsidRPr="00A00D38">
        <w:rPr>
          <w:rFonts w:ascii="Times New Roman" w:hAnsi="Times New Roman" w:hint="eastAsia"/>
          <w:color w:val="000000" w:themeColor="text1"/>
          <w:szCs w:val="32"/>
        </w:rPr>
        <w:t>進行</w:t>
      </w:r>
      <w:r w:rsidRPr="00A00D38">
        <w:rPr>
          <w:rFonts w:ascii="Times New Roman" w:hAnsi="Times New Roman"/>
          <w:color w:val="000000" w:themeColor="text1"/>
          <w:szCs w:val="32"/>
        </w:rPr>
        <w:t>協調討論，並</w:t>
      </w:r>
      <w:r w:rsidRPr="00A00D38">
        <w:rPr>
          <w:rFonts w:ascii="Times New Roman" w:hAnsi="Times New Roman" w:hint="eastAsia"/>
          <w:color w:val="000000" w:themeColor="text1"/>
          <w:szCs w:val="32"/>
        </w:rPr>
        <w:t>將</w:t>
      </w:r>
      <w:r w:rsidRPr="00A00D38">
        <w:rPr>
          <w:rFonts w:ascii="Times New Roman" w:hAnsi="Times New Roman"/>
          <w:color w:val="000000" w:themeColor="text1"/>
          <w:szCs w:val="32"/>
        </w:rPr>
        <w:t>各提案決議事項研辦情形予以追蹤列管</w:t>
      </w:r>
      <w:r w:rsidRPr="00A00D38">
        <w:rPr>
          <w:rFonts w:ascii="Times New Roman" w:hAnsi="Times New Roman" w:hint="eastAsia"/>
          <w:color w:val="000000" w:themeColor="text1"/>
          <w:szCs w:val="32"/>
        </w:rPr>
        <w:t>」</w:t>
      </w:r>
      <w:r w:rsidRPr="00A00D38">
        <w:rPr>
          <w:rFonts w:ascii="Times New Roman" w:hAnsi="Times New Roman"/>
          <w:color w:val="000000" w:themeColor="text1"/>
          <w:szCs w:val="32"/>
        </w:rPr>
        <w:t>。</w:t>
      </w:r>
      <w:r w:rsidRPr="00A00D38">
        <w:rPr>
          <w:rFonts w:hint="eastAsia"/>
          <w:color w:val="000000" w:themeColor="text1"/>
        </w:rPr>
        <w:t>顯見，高等教育</w:t>
      </w:r>
      <w:r w:rsidRPr="00A00D38">
        <w:rPr>
          <w:rFonts w:ascii="Times New Roman" w:hAnsi="Times New Roman" w:hint="eastAsia"/>
          <w:color w:val="000000" w:themeColor="text1"/>
          <w:kern w:val="2"/>
          <w:szCs w:val="20"/>
        </w:rPr>
        <w:t>國際化涉</w:t>
      </w:r>
      <w:r w:rsidRPr="00A00D38">
        <w:rPr>
          <w:rFonts w:ascii="Times New Roman" w:hAnsi="Times New Roman" w:hint="eastAsia"/>
          <w:color w:val="000000" w:themeColor="text1"/>
          <w:kern w:val="2"/>
          <w:szCs w:val="20"/>
        </w:rPr>
        <w:lastRenderedPageBreak/>
        <w:t>及跨部會權責，各機關允宜建立明確之橫向聯繫機制，進行協調合作，俾</w:t>
      </w:r>
      <w:r w:rsidRPr="00A00D38">
        <w:rPr>
          <w:rFonts w:hint="eastAsia"/>
          <w:color w:val="000000" w:themeColor="text1"/>
          <w:szCs w:val="32"/>
        </w:rPr>
        <w:t>發揮整體綜效。</w:t>
      </w:r>
      <w:bookmarkEnd w:id="269"/>
      <w:bookmarkEnd w:id="270"/>
      <w:bookmarkEnd w:id="271"/>
      <w:r w:rsidRPr="00A00D38">
        <w:rPr>
          <w:color w:val="000000" w:themeColor="text1"/>
          <w:szCs w:val="32"/>
        </w:rPr>
        <w:br/>
      </w:r>
    </w:p>
    <w:p w:rsidR="006C2670" w:rsidRPr="00A00D38" w:rsidRDefault="006C2670" w:rsidP="006C2670">
      <w:pPr>
        <w:pStyle w:val="3"/>
        <w:rPr>
          <w:color w:val="000000" w:themeColor="text1"/>
        </w:rPr>
      </w:pPr>
      <w:bookmarkStart w:id="272" w:name="_Toc489383131"/>
      <w:bookmarkStart w:id="273" w:name="_Toc491711223"/>
      <w:bookmarkStart w:id="274" w:name="_Toc492371097"/>
      <w:bookmarkStart w:id="275" w:name="_Toc488227915"/>
      <w:bookmarkEnd w:id="259"/>
      <w:bookmarkEnd w:id="260"/>
      <w:r w:rsidRPr="00A00D38">
        <w:rPr>
          <w:rFonts w:hAnsi="標楷體" w:hint="eastAsia"/>
          <w:color w:val="000000" w:themeColor="text1"/>
        </w:rPr>
        <w:t>再查，科技部為增進我國與國際學術界之交流，訂定「科技部補助國內舉辦國際研討會作業要點」，補助於國內舉辦之國際學術研討會；而教育部亦訂有「教育部補助辦理國際學術教育交流活動實施要點」之類似補助要點，項目包括在國內辦理之國際學術研討會及校際間國際學術研討會等。惟查，兩部對於國內舉辦之國際研討會皆設有補助申請管道，然教育部推動補助辦理國際學術教育交流活動業已行之多年。據此，相關機關允應</w:t>
      </w:r>
      <w:r w:rsidRPr="00A00D38">
        <w:rPr>
          <w:rFonts w:hint="eastAsia"/>
          <w:color w:val="000000" w:themeColor="text1"/>
        </w:rPr>
        <w:t>各自檢視所轄計畫及補助措施，以避免高等教育</w:t>
      </w:r>
      <w:r w:rsidRPr="00A00D38">
        <w:rPr>
          <w:rFonts w:hAnsi="標楷體" w:hint="eastAsia"/>
          <w:color w:val="000000" w:themeColor="text1"/>
        </w:rPr>
        <w:t>資源</w:t>
      </w:r>
      <w:r w:rsidRPr="00A00D38">
        <w:rPr>
          <w:rFonts w:hint="eastAsia"/>
          <w:color w:val="000000" w:themeColor="text1"/>
        </w:rPr>
        <w:t>疊床架屋及政出多門。</w:t>
      </w:r>
      <w:bookmarkEnd w:id="272"/>
      <w:bookmarkEnd w:id="273"/>
      <w:bookmarkEnd w:id="274"/>
      <w:r w:rsidRPr="00A00D38">
        <w:rPr>
          <w:color w:val="000000" w:themeColor="text1"/>
        </w:rPr>
        <w:br/>
      </w:r>
    </w:p>
    <w:p w:rsidR="006C2670" w:rsidRPr="00A00D38" w:rsidRDefault="006C2670" w:rsidP="006C2670">
      <w:pPr>
        <w:pStyle w:val="3"/>
        <w:rPr>
          <w:color w:val="000000" w:themeColor="text1"/>
        </w:rPr>
      </w:pPr>
      <w:bookmarkStart w:id="276" w:name="_Toc491711224"/>
      <w:bookmarkStart w:id="277" w:name="_Toc492371098"/>
      <w:r w:rsidRPr="00A00D38">
        <w:rPr>
          <w:rFonts w:ascii="Times New Roman" w:hAnsi="Times New Roman" w:hint="eastAsia"/>
          <w:color w:val="000000" w:themeColor="text1"/>
        </w:rPr>
        <w:t>依</w:t>
      </w:r>
      <w:r w:rsidRPr="00A00D38">
        <w:rPr>
          <w:rFonts w:ascii="Times New Roman" w:hAnsi="Times New Roman"/>
          <w:color w:val="000000" w:themeColor="text1"/>
        </w:rPr>
        <w:t>據</w:t>
      </w:r>
      <w:r w:rsidRPr="00A00D38">
        <w:rPr>
          <w:rFonts w:ascii="Times New Roman" w:hAnsi="Times New Roman"/>
          <w:color w:val="000000" w:themeColor="text1"/>
        </w:rPr>
        <w:t>Huang</w:t>
      </w:r>
      <w:r w:rsidRPr="00A00D38">
        <w:rPr>
          <w:rFonts w:ascii="Times New Roman" w:hAnsi="Times New Roman" w:hint="eastAsia"/>
          <w:color w:val="000000" w:themeColor="text1"/>
        </w:rPr>
        <w:t>（</w:t>
      </w:r>
      <w:r w:rsidRPr="00A00D38">
        <w:rPr>
          <w:rFonts w:ascii="Times New Roman" w:hAnsi="Times New Roman"/>
          <w:color w:val="000000" w:themeColor="text1"/>
        </w:rPr>
        <w:t>2007</w:t>
      </w:r>
      <w:r w:rsidRPr="00A00D38">
        <w:rPr>
          <w:rFonts w:ascii="Times New Roman" w:hAnsi="Times New Roman"/>
          <w:color w:val="000000" w:themeColor="text1"/>
        </w:rPr>
        <w:t>：</w:t>
      </w:r>
      <w:r w:rsidRPr="00A00D38">
        <w:rPr>
          <w:rFonts w:ascii="Times New Roman" w:hAnsi="Times New Roman"/>
          <w:color w:val="000000" w:themeColor="text1"/>
        </w:rPr>
        <w:t>52</w:t>
      </w:r>
      <w:r w:rsidRPr="00A00D38">
        <w:rPr>
          <w:rFonts w:ascii="Times New Roman" w:hAnsi="Times New Roman" w:hint="eastAsia"/>
          <w:color w:val="000000" w:themeColor="text1"/>
        </w:rPr>
        <w:t>）</w:t>
      </w:r>
      <w:r w:rsidRPr="00A00D38">
        <w:rPr>
          <w:rStyle w:val="aff0"/>
          <w:rFonts w:ascii="Times New Roman" w:hAnsi="Times New Roman"/>
          <w:color w:val="000000" w:themeColor="text1"/>
        </w:rPr>
        <w:footnoteReference w:id="37"/>
      </w:r>
      <w:r w:rsidRPr="00A00D38">
        <w:rPr>
          <w:rFonts w:ascii="Times New Roman" w:hAnsi="Times New Roman"/>
          <w:color w:val="000000" w:themeColor="text1"/>
        </w:rPr>
        <w:t>之研究，高等教育國際化可分為</w:t>
      </w:r>
      <w:r w:rsidRPr="00A00D38">
        <w:rPr>
          <w:rFonts w:ascii="Times New Roman" w:hAnsi="Times New Roman" w:hint="eastAsia"/>
          <w:color w:val="000000" w:themeColor="text1"/>
        </w:rPr>
        <w:t>3</w:t>
      </w:r>
      <w:r w:rsidRPr="00A00D38">
        <w:rPr>
          <w:rFonts w:ascii="Times New Roman" w:hAnsi="Times New Roman"/>
          <w:color w:val="000000" w:themeColor="text1"/>
        </w:rPr>
        <w:t>種類型，分別為進口型、進出口型及出口型，而出口型國家大部分為英語發達國家，且能夠吸引來自發展中國家和非英語國家的外國學生，輸出教育服務，作為資源引入的條件</w:t>
      </w:r>
      <w:r w:rsidRPr="00A00D38">
        <w:rPr>
          <w:rFonts w:ascii="Times New Roman" w:hAnsi="Times New Roman" w:hint="eastAsia"/>
          <w:color w:val="000000" w:themeColor="text1"/>
        </w:rPr>
        <w:t>。</w:t>
      </w:r>
      <w:r w:rsidRPr="00A00D38">
        <w:rPr>
          <w:rFonts w:hint="eastAsia"/>
          <w:color w:val="000000" w:themeColor="text1"/>
        </w:rPr>
        <w:t>另有本案諮詢專家學者亦表示「香港、新加坡等國，因具英語環境，對於部分學生來說，顯得較臺灣更有吸引力」，因此建議在我國的競爭策略上，要強調科系排名，「用學術領域的專業程度來吸引學生」，又云：「部分大專校院因內部各單位人員的英語能力不足，導致校內國際事務單位除國際交流工作外，同時需兼顧招生、產學合作、校務評鑑等各類國內性質工作，</w:t>
      </w:r>
      <w:r w:rsidRPr="00A00D38">
        <w:rPr>
          <w:rFonts w:hint="eastAsia"/>
          <w:color w:val="000000" w:themeColor="text1"/>
        </w:rPr>
        <w:lastRenderedPageBreak/>
        <w:t>分散其國際化工作之能量」等語。</w:t>
      </w:r>
      <w:r w:rsidRPr="00A00D38">
        <w:rPr>
          <w:rFonts w:ascii="Times New Roman" w:hAnsi="Times New Roman" w:hint="eastAsia"/>
          <w:color w:val="000000" w:themeColor="text1"/>
        </w:rPr>
        <w:t>由此觀之，</w:t>
      </w:r>
      <w:r w:rsidRPr="00A00D38">
        <w:rPr>
          <w:rFonts w:ascii="Times New Roman" w:hAnsi="Times New Roman"/>
          <w:color w:val="000000" w:themeColor="text1"/>
        </w:rPr>
        <w:t>我國</w:t>
      </w:r>
      <w:r w:rsidRPr="00A00D38">
        <w:rPr>
          <w:rFonts w:ascii="Times New Roman" w:hAnsi="Times New Roman" w:hint="eastAsia"/>
          <w:color w:val="000000" w:themeColor="text1"/>
        </w:rPr>
        <w:t>為</w:t>
      </w:r>
      <w:r w:rsidRPr="00A00D38">
        <w:rPr>
          <w:rFonts w:ascii="Times New Roman" w:hAnsi="Times New Roman"/>
          <w:color w:val="000000" w:themeColor="text1"/>
        </w:rPr>
        <w:t>尋覓各領域之</w:t>
      </w:r>
      <w:r w:rsidRPr="00A00D38">
        <w:rPr>
          <w:rFonts w:ascii="Times New Roman" w:hAnsi="Times New Roman" w:hint="eastAsia"/>
          <w:color w:val="000000" w:themeColor="text1"/>
        </w:rPr>
        <w:t>外籍</w:t>
      </w:r>
      <w:r w:rsidRPr="00A00D38">
        <w:rPr>
          <w:rFonts w:ascii="Times New Roman" w:hAnsi="Times New Roman"/>
          <w:color w:val="000000" w:themeColor="text1"/>
        </w:rPr>
        <w:t>專業人才</w:t>
      </w:r>
      <w:r w:rsidRPr="00A00D38">
        <w:rPr>
          <w:rFonts w:ascii="Times New Roman" w:hAnsi="Times New Roman" w:hint="eastAsia"/>
          <w:color w:val="000000" w:themeColor="text1"/>
        </w:rPr>
        <w:t>來臺工作，或吸引外籍學生來臺就學，均</w:t>
      </w:r>
      <w:r w:rsidRPr="00A00D38">
        <w:rPr>
          <w:rFonts w:ascii="Times New Roman" w:hAnsi="Times New Roman"/>
          <w:color w:val="000000" w:themeColor="text1"/>
        </w:rPr>
        <w:t>需以英語為工具</w:t>
      </w:r>
      <w:r w:rsidRPr="00A00D38">
        <w:rPr>
          <w:rFonts w:ascii="Times New Roman" w:hAnsi="Times New Roman" w:hint="eastAsia"/>
          <w:color w:val="000000" w:themeColor="text1"/>
        </w:rPr>
        <w:t>，整體環境的英語化程度仍待加強，政府推動英語教育除透過學校教育向下紮根外，對於實際接觸、服務外籍人士之本國工作者，亦不應忽略提升其英語溝通能力，而此一工作，尤需政府部門間的群策群力</w:t>
      </w:r>
      <w:r w:rsidRPr="00A00D38">
        <w:rPr>
          <w:rFonts w:ascii="Times New Roman" w:hAnsi="Times New Roman"/>
          <w:color w:val="000000" w:themeColor="text1"/>
        </w:rPr>
        <w:t>。</w:t>
      </w:r>
      <w:bookmarkEnd w:id="276"/>
      <w:bookmarkEnd w:id="277"/>
      <w:r w:rsidRPr="00A00D38">
        <w:rPr>
          <w:rFonts w:ascii="Times New Roman" w:hAnsi="Times New Roman" w:hint="eastAsia"/>
          <w:color w:val="000000" w:themeColor="text1"/>
        </w:rPr>
        <w:br/>
      </w:r>
    </w:p>
    <w:p w:rsidR="006C2670" w:rsidRPr="00A00D38" w:rsidRDefault="006C2670" w:rsidP="006C2670">
      <w:pPr>
        <w:pStyle w:val="3"/>
        <w:rPr>
          <w:rFonts w:hAnsi="標楷體"/>
          <w:color w:val="000000" w:themeColor="text1"/>
        </w:rPr>
      </w:pPr>
      <w:bookmarkStart w:id="278" w:name="_Toc489383132"/>
      <w:bookmarkStart w:id="279" w:name="_Toc491711225"/>
      <w:bookmarkStart w:id="280" w:name="_Toc492371099"/>
      <w:r w:rsidRPr="00A00D38">
        <w:rPr>
          <w:rFonts w:hAnsi="標楷體" w:hint="eastAsia"/>
          <w:color w:val="000000" w:themeColor="text1"/>
        </w:rPr>
        <w:t>綜上，</w:t>
      </w:r>
      <w:bookmarkEnd w:id="275"/>
      <w:r w:rsidRPr="00A00D38">
        <w:rPr>
          <w:rFonts w:hAnsi="標楷體" w:hint="eastAsia"/>
          <w:color w:val="000000" w:themeColor="text1"/>
        </w:rPr>
        <w:t>促進高等教育國際化，涉及跨部會權責，為發揮整體綜效，相關部會應強化橫向聯繫合作，避免高等教育資源疊床架屋及政出多門；又對於擘劃具國家高度之高等教育國際化政策、提升校園內、外之英語化環境，有賴政府部門間之整合，於此，行政院尤其責無旁貸。</w:t>
      </w:r>
      <w:bookmarkEnd w:id="278"/>
      <w:bookmarkEnd w:id="279"/>
      <w:bookmarkEnd w:id="280"/>
      <w:r w:rsidRPr="00A00D38">
        <w:rPr>
          <w:rFonts w:hAnsi="標楷體"/>
          <w:color w:val="000000" w:themeColor="text1"/>
        </w:rPr>
        <w:br/>
      </w:r>
    </w:p>
    <w:p w:rsidR="006C2670" w:rsidRPr="00A00D38" w:rsidRDefault="006C2670" w:rsidP="006C2670">
      <w:pPr>
        <w:pStyle w:val="2"/>
        <w:numPr>
          <w:ilvl w:val="0"/>
          <w:numId w:val="33"/>
        </w:numPr>
        <w:ind w:left="1020" w:hanging="680"/>
        <w:rPr>
          <w:b/>
          <w:color w:val="000000" w:themeColor="text1"/>
        </w:rPr>
      </w:pPr>
      <w:bookmarkStart w:id="281" w:name="_Toc492371100"/>
      <w:r w:rsidRPr="00A00D38">
        <w:rPr>
          <w:rFonts w:hint="eastAsia"/>
          <w:b/>
          <w:color w:val="000000" w:themeColor="text1"/>
        </w:rPr>
        <w:t>我國102年方推動大專校院國際化品質視導試辦計畫，接受視導之學校規模，遠低於接受政府國際化相關補助之投入，且該計畫試辦3年，未經正式實施，教育部遽稱已將該計畫併入大學校院校務評鑑或「高教深耕計畫」中，突顯高等教育國際化政策有難以具體課責之虞。</w:t>
      </w:r>
      <w:bookmarkEnd w:id="281"/>
    </w:p>
    <w:p w:rsidR="006C2670" w:rsidRPr="00A00D38" w:rsidRDefault="006C2670" w:rsidP="006C73D0">
      <w:pPr>
        <w:pStyle w:val="3"/>
        <w:numPr>
          <w:ilvl w:val="2"/>
          <w:numId w:val="71"/>
        </w:numPr>
        <w:rPr>
          <w:rFonts w:hAnsi="標楷體"/>
          <w:color w:val="000000" w:themeColor="text1"/>
        </w:rPr>
      </w:pPr>
      <w:bookmarkStart w:id="282" w:name="_Toc488227873"/>
      <w:bookmarkStart w:id="283" w:name="_Toc489383087"/>
      <w:bookmarkStart w:id="284" w:name="_Toc491711227"/>
      <w:bookmarkStart w:id="285" w:name="_Toc492371101"/>
      <w:bookmarkStart w:id="286" w:name="_Toc485999666"/>
      <w:bookmarkStart w:id="287" w:name="_Toc485999669"/>
      <w:bookmarkStart w:id="288" w:name="_Toc481496009"/>
      <w:r w:rsidRPr="00A00D38">
        <w:rPr>
          <w:rFonts w:hAnsi="標楷體" w:hint="eastAsia"/>
          <w:color w:val="000000" w:themeColor="text1"/>
        </w:rPr>
        <w:t>為促進高等教育國際化，我國所投入之整體經費，尚難謂不足，前已述及各項重大國家發展計畫與近年來高等教育重要計畫之經費投入概況；此外，鑑於獎學金為吸引海外留學生之有效誘因，此並有財團法人高等教育國際合作基金會2015年留學臺灣境外生線上問卷調查分析報告</w:t>
      </w:r>
      <w:r w:rsidRPr="00A00D38">
        <w:rPr>
          <w:rStyle w:val="aff0"/>
          <w:rFonts w:hAnsi="標楷體"/>
          <w:color w:val="000000" w:themeColor="text1"/>
        </w:rPr>
        <w:footnoteReference w:id="38"/>
      </w:r>
      <w:r w:rsidRPr="00A00D38">
        <w:rPr>
          <w:rFonts w:hAnsi="標楷體" w:hint="eastAsia"/>
          <w:color w:val="000000" w:themeColor="text1"/>
        </w:rPr>
        <w:t>，「外國學位生選擇留學臺灣的前3項原因為：獎學金、學術環境優良及</w:t>
      </w:r>
      <w:r w:rsidRPr="00A00D38">
        <w:rPr>
          <w:rFonts w:hAnsi="標楷體" w:hint="eastAsia"/>
          <w:color w:val="000000" w:themeColor="text1"/>
        </w:rPr>
        <w:lastRenderedPageBreak/>
        <w:t>學習華語等」可為佐證，我國亦提供境外學生留學獎學金，以促進高教國際化</w:t>
      </w:r>
      <w:bookmarkStart w:id="289" w:name="_Toc485999670"/>
      <w:r w:rsidRPr="00A00D38">
        <w:rPr>
          <w:rFonts w:hAnsi="標楷體" w:hint="eastAsia"/>
          <w:color w:val="000000" w:themeColor="text1"/>
        </w:rPr>
        <w:t>。</w:t>
      </w:r>
      <w:bookmarkEnd w:id="289"/>
      <w:r w:rsidRPr="00A00D38">
        <w:rPr>
          <w:rFonts w:hAnsi="標楷體" w:hint="eastAsia"/>
          <w:color w:val="000000" w:themeColor="text1"/>
        </w:rPr>
        <w:t>迄今各項重要獎學金辦理概況如下：</w:t>
      </w:r>
      <w:bookmarkEnd w:id="282"/>
      <w:bookmarkEnd w:id="283"/>
      <w:bookmarkEnd w:id="284"/>
      <w:bookmarkEnd w:id="285"/>
    </w:p>
    <w:p w:rsidR="006C2670" w:rsidRPr="00A00D38" w:rsidRDefault="006C2670" w:rsidP="006C2670">
      <w:pPr>
        <w:pStyle w:val="4"/>
        <w:rPr>
          <w:color w:val="000000" w:themeColor="text1"/>
        </w:rPr>
      </w:pPr>
      <w:r w:rsidRPr="00A00D38">
        <w:rPr>
          <w:rFonts w:hint="eastAsia"/>
          <w:color w:val="000000" w:themeColor="text1"/>
        </w:rPr>
        <w:t>「臺灣獎學金」部分：</w:t>
      </w:r>
    </w:p>
    <w:p w:rsidR="006C2670" w:rsidRPr="00A00D38" w:rsidRDefault="006C2670" w:rsidP="006C2670">
      <w:pPr>
        <w:pStyle w:val="5"/>
        <w:rPr>
          <w:color w:val="000000" w:themeColor="text1"/>
        </w:rPr>
      </w:pPr>
      <w:r w:rsidRPr="00A00D38">
        <w:rPr>
          <w:rFonts w:hint="eastAsia"/>
          <w:color w:val="000000" w:themeColor="text1"/>
        </w:rPr>
        <w:t>93年起由教育部、外交部、科技部及經濟部共同提供。</w:t>
      </w:r>
    </w:p>
    <w:p w:rsidR="006C2670" w:rsidRPr="00A00D38" w:rsidRDefault="006C2670" w:rsidP="006C2670">
      <w:pPr>
        <w:pStyle w:val="5"/>
        <w:rPr>
          <w:color w:val="000000" w:themeColor="text1"/>
        </w:rPr>
      </w:pPr>
      <w:r w:rsidRPr="00A00D38">
        <w:rPr>
          <w:rFonts w:hint="eastAsia"/>
          <w:color w:val="000000" w:themeColor="text1"/>
        </w:rPr>
        <w:t>待遇項目包含：學費及雜費（包括學分費及學雜費基數）、</w:t>
      </w:r>
      <w:r w:rsidRPr="00A00D38">
        <w:rPr>
          <w:rFonts w:hint="eastAsia"/>
          <w:color w:val="000000" w:themeColor="text1"/>
          <w:szCs w:val="24"/>
        </w:rPr>
        <w:t>生活補助費。</w:t>
      </w:r>
    </w:p>
    <w:p w:rsidR="006C2670" w:rsidRPr="00A00D38" w:rsidRDefault="006C2670" w:rsidP="006C2670">
      <w:pPr>
        <w:pStyle w:val="5"/>
        <w:rPr>
          <w:color w:val="000000" w:themeColor="text1"/>
        </w:rPr>
      </w:pPr>
      <w:r w:rsidRPr="00A00D38">
        <w:rPr>
          <w:rFonts w:hint="eastAsia"/>
          <w:color w:val="000000" w:themeColor="text1"/>
        </w:rPr>
        <w:t>近10年獎助人數詳如下表</w:t>
      </w:r>
      <w:r w:rsidR="0009317C">
        <w:rPr>
          <w:rFonts w:hint="eastAsia"/>
          <w:color w:val="000000" w:themeColor="text1"/>
        </w:rPr>
        <w:t>13</w:t>
      </w:r>
      <w:r w:rsidRPr="00A00D38">
        <w:rPr>
          <w:rFonts w:hint="eastAsia"/>
          <w:color w:val="000000" w:themeColor="text1"/>
        </w:rPr>
        <w:t>：</w:t>
      </w:r>
    </w:p>
    <w:p w:rsidR="006C2670" w:rsidRPr="00A00D38" w:rsidRDefault="006C2670" w:rsidP="006C2670">
      <w:pPr>
        <w:pStyle w:val="a4"/>
        <w:ind w:left="482" w:hanging="482"/>
        <w:jc w:val="center"/>
        <w:rPr>
          <w:rFonts w:hAnsi="標楷體"/>
          <w:b/>
          <w:color w:val="000000" w:themeColor="text1"/>
        </w:rPr>
      </w:pPr>
      <w:r w:rsidRPr="00A00D38">
        <w:rPr>
          <w:rFonts w:hAnsi="標楷體" w:hint="eastAsia"/>
          <w:b/>
          <w:color w:val="000000" w:themeColor="text1"/>
        </w:rPr>
        <w:t>臺灣獎學金</w:t>
      </w:r>
      <w:r w:rsidRPr="00A00D38">
        <w:rPr>
          <w:rFonts w:hAnsi="標楷體" w:hint="eastAsia"/>
          <w:b/>
          <w:color w:val="000000" w:themeColor="text1"/>
          <w:szCs w:val="24"/>
        </w:rPr>
        <w:t>近10年獎助人數統計</w:t>
      </w:r>
    </w:p>
    <w:tbl>
      <w:tblPr>
        <w:tblW w:w="0" w:type="auto"/>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801"/>
        <w:gridCol w:w="2675"/>
      </w:tblGrid>
      <w:tr w:rsidR="00A00D38" w:rsidRPr="00A00D38" w:rsidTr="00021F7F">
        <w:trPr>
          <w:trHeight w:val="397"/>
          <w:tblHeader/>
        </w:trPr>
        <w:tc>
          <w:tcPr>
            <w:tcW w:w="1980" w:type="dxa"/>
            <w:shd w:val="clear" w:color="auto" w:fill="FDE9D9" w:themeFill="accent6" w:themeFillTint="33"/>
            <w:vAlign w:val="center"/>
          </w:tcPr>
          <w:p w:rsidR="006C2670" w:rsidRPr="00A00D38" w:rsidRDefault="006C2670" w:rsidP="00021F7F">
            <w:pPr>
              <w:spacing w:line="320" w:lineRule="exact"/>
              <w:jc w:val="center"/>
              <w:rPr>
                <w:rFonts w:hAnsi="標楷體"/>
                <w:b/>
                <w:color w:val="000000" w:themeColor="text1"/>
                <w:sz w:val="28"/>
                <w:szCs w:val="28"/>
              </w:rPr>
            </w:pPr>
            <w:r w:rsidRPr="00A00D38">
              <w:rPr>
                <w:rFonts w:hAnsi="標楷體" w:hint="eastAsia"/>
                <w:b/>
                <w:color w:val="000000" w:themeColor="text1"/>
                <w:sz w:val="28"/>
                <w:szCs w:val="28"/>
              </w:rPr>
              <w:t>年度</w:t>
            </w:r>
          </w:p>
        </w:tc>
        <w:tc>
          <w:tcPr>
            <w:tcW w:w="2829" w:type="dxa"/>
            <w:shd w:val="clear" w:color="auto" w:fill="FDE9D9" w:themeFill="accent6" w:themeFillTint="33"/>
            <w:vAlign w:val="center"/>
          </w:tcPr>
          <w:p w:rsidR="006C2670" w:rsidRPr="00A00D38" w:rsidRDefault="006C2670" w:rsidP="00021F7F">
            <w:pPr>
              <w:spacing w:line="320" w:lineRule="exact"/>
              <w:jc w:val="center"/>
              <w:rPr>
                <w:rFonts w:hAnsi="標楷體"/>
                <w:b/>
                <w:color w:val="000000" w:themeColor="text1"/>
                <w:sz w:val="28"/>
                <w:szCs w:val="28"/>
              </w:rPr>
            </w:pPr>
            <w:r w:rsidRPr="00A00D38">
              <w:rPr>
                <w:rFonts w:hAnsi="標楷體" w:hint="eastAsia"/>
                <w:b/>
                <w:color w:val="000000" w:themeColor="text1"/>
                <w:sz w:val="28"/>
                <w:szCs w:val="28"/>
              </w:rPr>
              <w:t>獎助人數</w:t>
            </w:r>
          </w:p>
        </w:tc>
        <w:tc>
          <w:tcPr>
            <w:tcW w:w="2693" w:type="dxa"/>
            <w:shd w:val="clear" w:color="auto" w:fill="FDE9D9" w:themeFill="accent6" w:themeFillTint="33"/>
            <w:vAlign w:val="center"/>
          </w:tcPr>
          <w:p w:rsidR="006C2670" w:rsidRPr="00A00D38" w:rsidRDefault="006C2670" w:rsidP="00021F7F">
            <w:pPr>
              <w:spacing w:line="320" w:lineRule="exact"/>
              <w:jc w:val="center"/>
              <w:rPr>
                <w:rFonts w:hAnsi="標楷體"/>
                <w:b/>
                <w:color w:val="000000" w:themeColor="text1"/>
                <w:sz w:val="28"/>
                <w:szCs w:val="28"/>
              </w:rPr>
            </w:pPr>
            <w:r w:rsidRPr="00A00D38">
              <w:rPr>
                <w:rFonts w:hAnsi="標楷體" w:hint="eastAsia"/>
                <w:b/>
                <w:color w:val="000000" w:themeColor="text1"/>
                <w:sz w:val="28"/>
                <w:szCs w:val="28"/>
              </w:rPr>
              <w:t>預算數(千元)</w:t>
            </w:r>
          </w:p>
        </w:tc>
      </w:tr>
      <w:tr w:rsidR="00A00D38" w:rsidRPr="00A00D38" w:rsidTr="00021F7F">
        <w:trPr>
          <w:trHeight w:val="397"/>
        </w:trPr>
        <w:tc>
          <w:tcPr>
            <w:tcW w:w="1980"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96</w:t>
            </w:r>
          </w:p>
        </w:tc>
        <w:tc>
          <w:tcPr>
            <w:tcW w:w="2829"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528</w:t>
            </w:r>
          </w:p>
        </w:tc>
        <w:tc>
          <w:tcPr>
            <w:tcW w:w="2693" w:type="dxa"/>
            <w:vAlign w:val="center"/>
          </w:tcPr>
          <w:p w:rsidR="006C2670" w:rsidRPr="00A00D38" w:rsidRDefault="006C2670" w:rsidP="00021F7F">
            <w:pPr>
              <w:jc w:val="center"/>
              <w:outlineLvl w:val="0"/>
              <w:rPr>
                <w:rFonts w:hAnsi="標楷體"/>
                <w:color w:val="000000" w:themeColor="text1"/>
                <w:sz w:val="28"/>
                <w:szCs w:val="28"/>
              </w:rPr>
            </w:pPr>
            <w:r w:rsidRPr="00A00D38">
              <w:rPr>
                <w:rFonts w:hAnsi="標楷體" w:hint="eastAsia"/>
                <w:color w:val="000000" w:themeColor="text1"/>
                <w:sz w:val="28"/>
                <w:szCs w:val="28"/>
              </w:rPr>
              <w:t>144</w:t>
            </w:r>
            <w:r w:rsidRPr="00A00D38">
              <w:rPr>
                <w:rFonts w:hAnsi="標楷體"/>
                <w:color w:val="000000" w:themeColor="text1"/>
                <w:sz w:val="28"/>
                <w:szCs w:val="28"/>
              </w:rPr>
              <w:t>,</w:t>
            </w:r>
            <w:r w:rsidRPr="00A00D38">
              <w:rPr>
                <w:rFonts w:hAnsi="標楷體" w:hint="eastAsia"/>
                <w:color w:val="000000" w:themeColor="text1"/>
                <w:sz w:val="28"/>
                <w:szCs w:val="28"/>
              </w:rPr>
              <w:t>480</w:t>
            </w:r>
          </w:p>
        </w:tc>
      </w:tr>
      <w:tr w:rsidR="00A00D38" w:rsidRPr="00A00D38" w:rsidTr="00021F7F">
        <w:trPr>
          <w:trHeight w:val="397"/>
        </w:trPr>
        <w:tc>
          <w:tcPr>
            <w:tcW w:w="1980"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97</w:t>
            </w:r>
          </w:p>
        </w:tc>
        <w:tc>
          <w:tcPr>
            <w:tcW w:w="2829"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498</w:t>
            </w:r>
          </w:p>
        </w:tc>
        <w:tc>
          <w:tcPr>
            <w:tcW w:w="2693" w:type="dxa"/>
            <w:vAlign w:val="center"/>
          </w:tcPr>
          <w:p w:rsidR="006C2670" w:rsidRPr="00A00D38" w:rsidRDefault="006C2670" w:rsidP="00021F7F">
            <w:pPr>
              <w:jc w:val="center"/>
              <w:outlineLvl w:val="0"/>
              <w:rPr>
                <w:rFonts w:hAnsi="標楷體"/>
                <w:color w:val="000000" w:themeColor="text1"/>
                <w:sz w:val="28"/>
                <w:szCs w:val="28"/>
              </w:rPr>
            </w:pPr>
            <w:r w:rsidRPr="00A00D38">
              <w:rPr>
                <w:rFonts w:hAnsi="標楷體" w:hint="eastAsia"/>
                <w:color w:val="000000" w:themeColor="text1"/>
                <w:sz w:val="28"/>
                <w:szCs w:val="28"/>
              </w:rPr>
              <w:t>144</w:t>
            </w:r>
            <w:r w:rsidRPr="00A00D38">
              <w:rPr>
                <w:rFonts w:hAnsi="標楷體"/>
                <w:color w:val="000000" w:themeColor="text1"/>
                <w:sz w:val="28"/>
                <w:szCs w:val="28"/>
              </w:rPr>
              <w:t>,</w:t>
            </w:r>
            <w:r w:rsidRPr="00A00D38">
              <w:rPr>
                <w:rFonts w:hAnsi="標楷體" w:hint="eastAsia"/>
                <w:color w:val="000000" w:themeColor="text1"/>
                <w:sz w:val="28"/>
                <w:szCs w:val="28"/>
              </w:rPr>
              <w:t>480</w:t>
            </w:r>
          </w:p>
        </w:tc>
      </w:tr>
      <w:tr w:rsidR="00A00D38" w:rsidRPr="00A00D38" w:rsidTr="00021F7F">
        <w:trPr>
          <w:trHeight w:val="397"/>
        </w:trPr>
        <w:tc>
          <w:tcPr>
            <w:tcW w:w="1980"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98</w:t>
            </w:r>
          </w:p>
        </w:tc>
        <w:tc>
          <w:tcPr>
            <w:tcW w:w="2829"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527</w:t>
            </w:r>
          </w:p>
        </w:tc>
        <w:tc>
          <w:tcPr>
            <w:tcW w:w="2693" w:type="dxa"/>
            <w:vAlign w:val="center"/>
          </w:tcPr>
          <w:p w:rsidR="006C2670" w:rsidRPr="00A00D38" w:rsidRDefault="006C2670" w:rsidP="00021F7F">
            <w:pPr>
              <w:jc w:val="center"/>
              <w:outlineLvl w:val="0"/>
              <w:rPr>
                <w:rFonts w:hAnsi="標楷體"/>
                <w:color w:val="000000" w:themeColor="text1"/>
                <w:sz w:val="28"/>
                <w:szCs w:val="28"/>
              </w:rPr>
            </w:pPr>
            <w:r w:rsidRPr="00A00D38">
              <w:rPr>
                <w:rFonts w:hAnsi="標楷體" w:hint="eastAsia"/>
                <w:color w:val="000000" w:themeColor="text1"/>
                <w:sz w:val="28"/>
                <w:szCs w:val="28"/>
              </w:rPr>
              <w:t>187</w:t>
            </w:r>
            <w:r w:rsidRPr="00A00D38">
              <w:rPr>
                <w:rFonts w:hAnsi="標楷體"/>
                <w:color w:val="000000" w:themeColor="text1"/>
                <w:sz w:val="28"/>
                <w:szCs w:val="28"/>
              </w:rPr>
              <w:t>,</w:t>
            </w:r>
            <w:r w:rsidRPr="00A00D38">
              <w:rPr>
                <w:rFonts w:hAnsi="標楷體" w:hint="eastAsia"/>
                <w:color w:val="000000" w:themeColor="text1"/>
                <w:sz w:val="28"/>
                <w:szCs w:val="28"/>
              </w:rPr>
              <w:t>488</w:t>
            </w:r>
          </w:p>
        </w:tc>
      </w:tr>
      <w:tr w:rsidR="00A00D38" w:rsidRPr="00A00D38" w:rsidTr="00021F7F">
        <w:trPr>
          <w:trHeight w:val="397"/>
        </w:trPr>
        <w:tc>
          <w:tcPr>
            <w:tcW w:w="1980"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99</w:t>
            </w:r>
          </w:p>
        </w:tc>
        <w:tc>
          <w:tcPr>
            <w:tcW w:w="2829"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507</w:t>
            </w:r>
          </w:p>
        </w:tc>
        <w:tc>
          <w:tcPr>
            <w:tcW w:w="2693" w:type="dxa"/>
            <w:vAlign w:val="center"/>
          </w:tcPr>
          <w:p w:rsidR="006C2670" w:rsidRPr="00A00D38" w:rsidRDefault="006C2670" w:rsidP="00021F7F">
            <w:pPr>
              <w:jc w:val="center"/>
              <w:outlineLvl w:val="0"/>
              <w:rPr>
                <w:rFonts w:hAnsi="標楷體"/>
                <w:color w:val="000000" w:themeColor="text1"/>
                <w:sz w:val="28"/>
                <w:szCs w:val="28"/>
              </w:rPr>
            </w:pPr>
            <w:r w:rsidRPr="00A00D38">
              <w:rPr>
                <w:rFonts w:hAnsi="標楷體" w:hint="eastAsia"/>
                <w:color w:val="000000" w:themeColor="text1"/>
                <w:sz w:val="28"/>
                <w:szCs w:val="28"/>
              </w:rPr>
              <w:t>187</w:t>
            </w:r>
            <w:r w:rsidRPr="00A00D38">
              <w:rPr>
                <w:rFonts w:hAnsi="標楷體"/>
                <w:color w:val="000000" w:themeColor="text1"/>
                <w:sz w:val="28"/>
                <w:szCs w:val="28"/>
              </w:rPr>
              <w:t>,</w:t>
            </w:r>
            <w:r w:rsidRPr="00A00D38">
              <w:rPr>
                <w:rFonts w:hAnsi="標楷體" w:hint="eastAsia"/>
                <w:color w:val="000000" w:themeColor="text1"/>
                <w:sz w:val="28"/>
                <w:szCs w:val="28"/>
              </w:rPr>
              <w:t>488</w:t>
            </w:r>
          </w:p>
        </w:tc>
      </w:tr>
      <w:tr w:rsidR="00A00D38" w:rsidRPr="00A00D38" w:rsidTr="00021F7F">
        <w:trPr>
          <w:trHeight w:val="397"/>
        </w:trPr>
        <w:tc>
          <w:tcPr>
            <w:tcW w:w="1980"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100</w:t>
            </w:r>
          </w:p>
        </w:tc>
        <w:tc>
          <w:tcPr>
            <w:tcW w:w="2829"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507</w:t>
            </w:r>
          </w:p>
        </w:tc>
        <w:tc>
          <w:tcPr>
            <w:tcW w:w="2693" w:type="dxa"/>
            <w:vAlign w:val="center"/>
          </w:tcPr>
          <w:p w:rsidR="006C2670" w:rsidRPr="00A00D38" w:rsidRDefault="006C2670" w:rsidP="00021F7F">
            <w:pPr>
              <w:jc w:val="center"/>
              <w:outlineLvl w:val="0"/>
              <w:rPr>
                <w:rFonts w:hAnsi="標楷體"/>
                <w:color w:val="000000" w:themeColor="text1"/>
                <w:sz w:val="28"/>
                <w:szCs w:val="28"/>
              </w:rPr>
            </w:pPr>
            <w:r w:rsidRPr="00A00D38">
              <w:rPr>
                <w:rFonts w:hAnsi="標楷體" w:hint="eastAsia"/>
                <w:color w:val="000000" w:themeColor="text1"/>
                <w:sz w:val="28"/>
                <w:szCs w:val="28"/>
              </w:rPr>
              <w:t>195</w:t>
            </w:r>
            <w:r w:rsidRPr="00A00D38">
              <w:rPr>
                <w:rFonts w:hAnsi="標楷體"/>
                <w:color w:val="000000" w:themeColor="text1"/>
                <w:sz w:val="28"/>
                <w:szCs w:val="28"/>
              </w:rPr>
              <w:t>,</w:t>
            </w:r>
            <w:r w:rsidRPr="00A00D38">
              <w:rPr>
                <w:rFonts w:hAnsi="標楷體" w:hint="eastAsia"/>
                <w:color w:val="000000" w:themeColor="text1"/>
                <w:sz w:val="28"/>
                <w:szCs w:val="28"/>
              </w:rPr>
              <w:t>888</w:t>
            </w:r>
          </w:p>
        </w:tc>
      </w:tr>
      <w:tr w:rsidR="00A00D38" w:rsidRPr="00A00D38" w:rsidTr="00021F7F">
        <w:trPr>
          <w:trHeight w:val="397"/>
        </w:trPr>
        <w:tc>
          <w:tcPr>
            <w:tcW w:w="1980"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101</w:t>
            </w:r>
          </w:p>
        </w:tc>
        <w:tc>
          <w:tcPr>
            <w:tcW w:w="2829"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510</w:t>
            </w:r>
          </w:p>
        </w:tc>
        <w:tc>
          <w:tcPr>
            <w:tcW w:w="2693" w:type="dxa"/>
            <w:vAlign w:val="center"/>
          </w:tcPr>
          <w:p w:rsidR="006C2670" w:rsidRPr="00A00D38" w:rsidRDefault="006C2670" w:rsidP="00021F7F">
            <w:pPr>
              <w:jc w:val="center"/>
              <w:outlineLvl w:val="0"/>
              <w:rPr>
                <w:rFonts w:hAnsi="標楷體"/>
                <w:color w:val="000000" w:themeColor="text1"/>
                <w:sz w:val="28"/>
                <w:szCs w:val="28"/>
              </w:rPr>
            </w:pPr>
            <w:r w:rsidRPr="00A00D38">
              <w:rPr>
                <w:rFonts w:hAnsi="標楷體" w:hint="eastAsia"/>
                <w:color w:val="000000" w:themeColor="text1"/>
                <w:sz w:val="28"/>
                <w:szCs w:val="28"/>
              </w:rPr>
              <w:t>195</w:t>
            </w:r>
            <w:r w:rsidRPr="00A00D38">
              <w:rPr>
                <w:rFonts w:hAnsi="標楷體"/>
                <w:color w:val="000000" w:themeColor="text1"/>
                <w:sz w:val="28"/>
                <w:szCs w:val="28"/>
              </w:rPr>
              <w:t>,</w:t>
            </w:r>
            <w:r w:rsidRPr="00A00D38">
              <w:rPr>
                <w:rFonts w:hAnsi="標楷體" w:hint="eastAsia"/>
                <w:color w:val="000000" w:themeColor="text1"/>
                <w:sz w:val="28"/>
                <w:szCs w:val="28"/>
              </w:rPr>
              <w:t>888</w:t>
            </w:r>
          </w:p>
        </w:tc>
      </w:tr>
      <w:tr w:rsidR="00A00D38" w:rsidRPr="00A00D38" w:rsidTr="00021F7F">
        <w:trPr>
          <w:trHeight w:val="397"/>
        </w:trPr>
        <w:tc>
          <w:tcPr>
            <w:tcW w:w="1980"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102</w:t>
            </w:r>
          </w:p>
        </w:tc>
        <w:tc>
          <w:tcPr>
            <w:tcW w:w="2829"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509</w:t>
            </w:r>
          </w:p>
        </w:tc>
        <w:tc>
          <w:tcPr>
            <w:tcW w:w="2693" w:type="dxa"/>
            <w:vAlign w:val="center"/>
          </w:tcPr>
          <w:p w:rsidR="006C2670" w:rsidRPr="00A00D38" w:rsidRDefault="006C2670" w:rsidP="00021F7F">
            <w:pPr>
              <w:jc w:val="center"/>
              <w:outlineLvl w:val="0"/>
              <w:rPr>
                <w:rFonts w:hAnsi="標楷體"/>
                <w:color w:val="000000" w:themeColor="text1"/>
                <w:sz w:val="28"/>
                <w:szCs w:val="28"/>
              </w:rPr>
            </w:pPr>
            <w:r w:rsidRPr="00A00D38">
              <w:rPr>
                <w:rFonts w:hAnsi="標楷體" w:hint="eastAsia"/>
                <w:color w:val="000000" w:themeColor="text1"/>
                <w:sz w:val="28"/>
                <w:szCs w:val="28"/>
              </w:rPr>
              <w:t>195</w:t>
            </w:r>
            <w:r w:rsidRPr="00A00D38">
              <w:rPr>
                <w:rFonts w:hAnsi="標楷體"/>
                <w:color w:val="000000" w:themeColor="text1"/>
                <w:sz w:val="28"/>
                <w:szCs w:val="28"/>
              </w:rPr>
              <w:t>,</w:t>
            </w:r>
            <w:r w:rsidRPr="00A00D38">
              <w:rPr>
                <w:rFonts w:hAnsi="標楷體" w:hint="eastAsia"/>
                <w:color w:val="000000" w:themeColor="text1"/>
                <w:sz w:val="28"/>
                <w:szCs w:val="28"/>
              </w:rPr>
              <w:t>888</w:t>
            </w:r>
          </w:p>
        </w:tc>
      </w:tr>
      <w:tr w:rsidR="00A00D38" w:rsidRPr="00A00D38" w:rsidTr="00021F7F">
        <w:trPr>
          <w:trHeight w:val="397"/>
        </w:trPr>
        <w:tc>
          <w:tcPr>
            <w:tcW w:w="1980"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103</w:t>
            </w:r>
          </w:p>
        </w:tc>
        <w:tc>
          <w:tcPr>
            <w:tcW w:w="2829"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505</w:t>
            </w:r>
          </w:p>
        </w:tc>
        <w:tc>
          <w:tcPr>
            <w:tcW w:w="2693" w:type="dxa"/>
            <w:vAlign w:val="center"/>
          </w:tcPr>
          <w:p w:rsidR="006C2670" w:rsidRPr="00A00D38" w:rsidRDefault="006C2670" w:rsidP="00021F7F">
            <w:pPr>
              <w:jc w:val="center"/>
              <w:outlineLvl w:val="0"/>
              <w:rPr>
                <w:rFonts w:hAnsi="標楷體"/>
                <w:color w:val="000000" w:themeColor="text1"/>
                <w:sz w:val="28"/>
                <w:szCs w:val="28"/>
              </w:rPr>
            </w:pPr>
            <w:r w:rsidRPr="00A00D38">
              <w:rPr>
                <w:rFonts w:hAnsi="標楷體" w:hint="eastAsia"/>
                <w:color w:val="000000" w:themeColor="text1"/>
                <w:sz w:val="28"/>
                <w:szCs w:val="28"/>
              </w:rPr>
              <w:t>198</w:t>
            </w:r>
            <w:r w:rsidRPr="00A00D38">
              <w:rPr>
                <w:rFonts w:hAnsi="標楷體"/>
                <w:color w:val="000000" w:themeColor="text1"/>
                <w:sz w:val="28"/>
                <w:szCs w:val="28"/>
              </w:rPr>
              <w:t>,</w:t>
            </w:r>
            <w:r w:rsidRPr="00A00D38">
              <w:rPr>
                <w:rFonts w:hAnsi="標楷體" w:hint="eastAsia"/>
                <w:color w:val="000000" w:themeColor="text1"/>
                <w:sz w:val="28"/>
                <w:szCs w:val="28"/>
              </w:rPr>
              <w:t>888</w:t>
            </w:r>
          </w:p>
        </w:tc>
      </w:tr>
      <w:tr w:rsidR="00A00D38" w:rsidRPr="00A00D38" w:rsidTr="00021F7F">
        <w:trPr>
          <w:trHeight w:val="397"/>
        </w:trPr>
        <w:tc>
          <w:tcPr>
            <w:tcW w:w="1980"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104</w:t>
            </w:r>
          </w:p>
        </w:tc>
        <w:tc>
          <w:tcPr>
            <w:tcW w:w="2829"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591</w:t>
            </w:r>
          </w:p>
        </w:tc>
        <w:tc>
          <w:tcPr>
            <w:tcW w:w="2693" w:type="dxa"/>
            <w:vAlign w:val="center"/>
          </w:tcPr>
          <w:p w:rsidR="006C2670" w:rsidRPr="00A00D38" w:rsidRDefault="006C2670" w:rsidP="00021F7F">
            <w:pPr>
              <w:jc w:val="center"/>
              <w:outlineLvl w:val="0"/>
              <w:rPr>
                <w:rFonts w:hAnsi="標楷體"/>
                <w:color w:val="000000" w:themeColor="text1"/>
                <w:sz w:val="28"/>
                <w:szCs w:val="28"/>
              </w:rPr>
            </w:pPr>
            <w:r w:rsidRPr="00A00D38">
              <w:rPr>
                <w:rFonts w:hAnsi="標楷體" w:hint="eastAsia"/>
                <w:color w:val="000000" w:themeColor="text1"/>
                <w:sz w:val="28"/>
                <w:szCs w:val="28"/>
              </w:rPr>
              <w:t>198</w:t>
            </w:r>
            <w:r w:rsidRPr="00A00D38">
              <w:rPr>
                <w:rFonts w:hAnsi="標楷體"/>
                <w:color w:val="000000" w:themeColor="text1"/>
                <w:sz w:val="28"/>
                <w:szCs w:val="28"/>
              </w:rPr>
              <w:t>,</w:t>
            </w:r>
            <w:r w:rsidRPr="00A00D38">
              <w:rPr>
                <w:rFonts w:hAnsi="標楷體" w:hint="eastAsia"/>
                <w:color w:val="000000" w:themeColor="text1"/>
                <w:sz w:val="28"/>
                <w:szCs w:val="28"/>
              </w:rPr>
              <w:t>888</w:t>
            </w:r>
          </w:p>
        </w:tc>
      </w:tr>
      <w:tr w:rsidR="00A00D38" w:rsidRPr="00A00D38" w:rsidTr="00021F7F">
        <w:trPr>
          <w:trHeight w:val="397"/>
        </w:trPr>
        <w:tc>
          <w:tcPr>
            <w:tcW w:w="1980"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105</w:t>
            </w:r>
          </w:p>
        </w:tc>
        <w:tc>
          <w:tcPr>
            <w:tcW w:w="2829"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644</w:t>
            </w:r>
          </w:p>
        </w:tc>
        <w:tc>
          <w:tcPr>
            <w:tcW w:w="2693" w:type="dxa"/>
            <w:vAlign w:val="center"/>
          </w:tcPr>
          <w:p w:rsidR="006C2670" w:rsidRPr="00A00D38" w:rsidRDefault="006C2670" w:rsidP="00021F7F">
            <w:pPr>
              <w:spacing w:line="320" w:lineRule="exact"/>
              <w:jc w:val="center"/>
              <w:rPr>
                <w:rFonts w:hAnsi="標楷體"/>
                <w:color w:val="000000" w:themeColor="text1"/>
                <w:sz w:val="28"/>
                <w:szCs w:val="28"/>
              </w:rPr>
            </w:pPr>
            <w:r w:rsidRPr="00A00D38">
              <w:rPr>
                <w:rFonts w:hAnsi="標楷體" w:hint="eastAsia"/>
                <w:color w:val="000000" w:themeColor="text1"/>
                <w:sz w:val="28"/>
                <w:szCs w:val="28"/>
              </w:rPr>
              <w:t>198</w:t>
            </w:r>
            <w:r w:rsidRPr="00A00D38">
              <w:rPr>
                <w:rFonts w:hAnsi="標楷體"/>
                <w:color w:val="000000" w:themeColor="text1"/>
                <w:sz w:val="28"/>
                <w:szCs w:val="28"/>
              </w:rPr>
              <w:t>,</w:t>
            </w:r>
            <w:r w:rsidRPr="00A00D38">
              <w:rPr>
                <w:rFonts w:hAnsi="標楷體" w:hint="eastAsia"/>
                <w:color w:val="000000" w:themeColor="text1"/>
                <w:sz w:val="28"/>
                <w:szCs w:val="28"/>
              </w:rPr>
              <w:t>888</w:t>
            </w:r>
          </w:p>
        </w:tc>
      </w:tr>
    </w:tbl>
    <w:p w:rsidR="006C2670" w:rsidRPr="00A00D38" w:rsidRDefault="006C2670" w:rsidP="006C2670">
      <w:pPr>
        <w:pStyle w:val="af8"/>
        <w:spacing w:line="240" w:lineRule="exact"/>
        <w:ind w:leftChars="350" w:left="1191"/>
        <w:rPr>
          <w:color w:val="000000" w:themeColor="text1"/>
          <w:sz w:val="24"/>
          <w:szCs w:val="24"/>
        </w:rPr>
      </w:pPr>
      <w:r w:rsidRPr="00A00D38">
        <w:rPr>
          <w:rFonts w:hint="eastAsia"/>
          <w:color w:val="000000" w:themeColor="text1"/>
          <w:sz w:val="24"/>
          <w:szCs w:val="24"/>
        </w:rPr>
        <w:t xml:space="preserve"> 資料來源：教育部查復資料。</w:t>
      </w:r>
    </w:p>
    <w:p w:rsidR="006C2670" w:rsidRPr="00A00D38" w:rsidRDefault="006C2670" w:rsidP="006C2670">
      <w:pPr>
        <w:pStyle w:val="afa"/>
        <w:spacing w:line="240" w:lineRule="exact"/>
        <w:ind w:leftChars="-118" w:left="-94" w:hangingChars="118" w:hanging="307"/>
        <w:rPr>
          <w:rFonts w:hAnsi="標楷體"/>
          <w:color w:val="000000" w:themeColor="text1"/>
          <w:sz w:val="24"/>
          <w:szCs w:val="24"/>
        </w:rPr>
      </w:pPr>
    </w:p>
    <w:p w:rsidR="006C2670" w:rsidRPr="00A00D38" w:rsidRDefault="006C2670" w:rsidP="006C2670">
      <w:pPr>
        <w:pStyle w:val="4"/>
        <w:rPr>
          <w:color w:val="000000" w:themeColor="text1"/>
        </w:rPr>
      </w:pPr>
      <w:r w:rsidRPr="00A00D38">
        <w:rPr>
          <w:rFonts w:hint="eastAsia"/>
          <w:color w:val="000000" w:themeColor="text1"/>
        </w:rPr>
        <w:t>獎補助大專校院設置外國學生獎學金部分：</w:t>
      </w:r>
    </w:p>
    <w:p w:rsidR="006C2670" w:rsidRPr="00A00D38" w:rsidRDefault="006C2670" w:rsidP="006C2670">
      <w:pPr>
        <w:pStyle w:val="5"/>
        <w:rPr>
          <w:color w:val="000000" w:themeColor="text1"/>
        </w:rPr>
      </w:pPr>
      <w:r w:rsidRPr="00A00D38">
        <w:rPr>
          <w:rFonts w:hint="eastAsia"/>
          <w:color w:val="000000" w:themeColor="text1"/>
        </w:rPr>
        <w:t>教育部針對依「外國學生來臺就學辦法」於各大專校院就學之外國學生</w:t>
      </w:r>
      <w:r w:rsidRPr="00A00D38">
        <w:rPr>
          <w:rFonts w:hint="eastAsia"/>
          <w:color w:val="000000" w:themeColor="text1"/>
          <w:shd w:val="clear" w:color="auto" w:fill="FFFFFF"/>
        </w:rPr>
        <w:t>擇優核獎。</w:t>
      </w:r>
    </w:p>
    <w:p w:rsidR="006C2670" w:rsidRPr="00A00D38" w:rsidRDefault="006C2670" w:rsidP="006C2670">
      <w:pPr>
        <w:pStyle w:val="5"/>
        <w:rPr>
          <w:color w:val="000000" w:themeColor="text1"/>
          <w:shd w:val="clear" w:color="auto" w:fill="FFFFFF"/>
        </w:rPr>
      </w:pPr>
      <w:r w:rsidRPr="00A00D38">
        <w:rPr>
          <w:rFonts w:hint="eastAsia"/>
          <w:color w:val="000000" w:themeColor="text1"/>
          <w:shd w:val="clear" w:color="auto" w:fill="FFFFFF"/>
        </w:rPr>
        <w:t>教育部該項獎補助</w:t>
      </w:r>
      <w:r w:rsidRPr="00A00D38">
        <w:rPr>
          <w:rFonts w:hint="eastAsia"/>
          <w:color w:val="000000" w:themeColor="text1"/>
        </w:rPr>
        <w:t>之100-105年補助情形詳如下表</w:t>
      </w:r>
      <w:r w:rsidR="0009317C">
        <w:rPr>
          <w:rFonts w:hint="eastAsia"/>
          <w:color w:val="000000" w:themeColor="text1"/>
        </w:rPr>
        <w:t>14</w:t>
      </w:r>
      <w:r w:rsidRPr="00A00D38">
        <w:rPr>
          <w:rFonts w:hint="eastAsia"/>
          <w:color w:val="000000" w:themeColor="text1"/>
        </w:rPr>
        <w:t>：</w:t>
      </w:r>
    </w:p>
    <w:p w:rsidR="006C2670" w:rsidRPr="00A00D38" w:rsidRDefault="006C2670" w:rsidP="006C2670">
      <w:pPr>
        <w:pStyle w:val="a4"/>
        <w:ind w:leftChars="276" w:left="993" w:hanging="54"/>
        <w:jc w:val="center"/>
        <w:rPr>
          <w:rFonts w:hAnsi="標楷體"/>
          <w:b/>
          <w:color w:val="000000" w:themeColor="text1"/>
        </w:rPr>
      </w:pPr>
      <w:r w:rsidRPr="00A00D38">
        <w:rPr>
          <w:rFonts w:hAnsi="標楷體" w:hint="eastAsia"/>
          <w:b/>
          <w:color w:val="000000" w:themeColor="text1"/>
        </w:rPr>
        <w:lastRenderedPageBreak/>
        <w:t>教育部近年獎補助大專校院設置外國學生獎學金校數</w:t>
      </w:r>
    </w:p>
    <w:tbl>
      <w:tblPr>
        <w:tblStyle w:val="6-511"/>
        <w:tblW w:w="751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2977"/>
      </w:tblGrid>
      <w:tr w:rsidR="00A00D38" w:rsidRPr="00A00D38" w:rsidTr="00021F7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985" w:type="dxa"/>
            <w:shd w:val="clear" w:color="auto" w:fill="FDE9D9" w:themeFill="accent6" w:themeFillTint="33"/>
            <w:vAlign w:val="center"/>
          </w:tcPr>
          <w:p w:rsidR="006C2670" w:rsidRPr="00A00D38" w:rsidRDefault="006C2670" w:rsidP="00021F7F">
            <w:pPr>
              <w:spacing w:line="280" w:lineRule="exact"/>
              <w:jc w:val="center"/>
              <w:rPr>
                <w:rFonts w:hAnsi="標楷體"/>
                <w:color w:val="000000" w:themeColor="text1"/>
                <w:sz w:val="28"/>
                <w:szCs w:val="28"/>
              </w:rPr>
            </w:pPr>
            <w:r w:rsidRPr="00A00D38">
              <w:rPr>
                <w:rFonts w:hAnsi="標楷體" w:hint="eastAsia"/>
                <w:color w:val="000000" w:themeColor="text1"/>
                <w:sz w:val="28"/>
                <w:szCs w:val="28"/>
              </w:rPr>
              <w:t>年度</w:t>
            </w:r>
          </w:p>
        </w:tc>
        <w:tc>
          <w:tcPr>
            <w:tcW w:w="2551" w:type="dxa"/>
            <w:shd w:val="clear" w:color="auto" w:fill="FDE9D9" w:themeFill="accent6" w:themeFillTint="33"/>
            <w:vAlign w:val="center"/>
          </w:tcPr>
          <w:p w:rsidR="006C2670" w:rsidRPr="00A00D38" w:rsidRDefault="006C2670" w:rsidP="00021F7F">
            <w:pPr>
              <w:spacing w:line="280" w:lineRule="exact"/>
              <w:jc w:val="center"/>
              <w:cnfStyle w:val="100000000000" w:firstRow="1"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補助校數</w:t>
            </w:r>
          </w:p>
        </w:tc>
        <w:tc>
          <w:tcPr>
            <w:tcW w:w="2977" w:type="dxa"/>
            <w:shd w:val="clear" w:color="auto" w:fill="FDE9D9" w:themeFill="accent6" w:themeFillTint="33"/>
            <w:vAlign w:val="center"/>
          </w:tcPr>
          <w:p w:rsidR="006C2670" w:rsidRPr="00A00D38" w:rsidRDefault="006C2670" w:rsidP="00021F7F">
            <w:pPr>
              <w:spacing w:line="280" w:lineRule="exact"/>
              <w:jc w:val="center"/>
              <w:outlineLvl w:val="0"/>
              <w:cnfStyle w:val="100000000000" w:firstRow="1" w:lastRow="0" w:firstColumn="0" w:lastColumn="0" w:oddVBand="0" w:evenVBand="0" w:oddHBand="0" w:evenHBand="0" w:firstRowFirstColumn="0" w:firstRowLastColumn="0" w:lastRowFirstColumn="0" w:lastRowLastColumn="0"/>
              <w:rPr>
                <w:rFonts w:hAnsi="標楷體"/>
                <w:color w:val="000000" w:themeColor="text1"/>
                <w:sz w:val="24"/>
                <w:szCs w:val="24"/>
              </w:rPr>
            </w:pPr>
            <w:r w:rsidRPr="00A00D38">
              <w:rPr>
                <w:rFonts w:hAnsi="標楷體" w:hint="eastAsia"/>
                <w:color w:val="000000" w:themeColor="text1"/>
                <w:sz w:val="28"/>
                <w:szCs w:val="28"/>
              </w:rPr>
              <w:t>預算數(千元)</w:t>
            </w:r>
          </w:p>
        </w:tc>
      </w:tr>
      <w:tr w:rsidR="00A00D38" w:rsidRPr="00A00D38" w:rsidTr="00021F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rsidR="006C2670" w:rsidRPr="00A00D38" w:rsidRDefault="006C2670" w:rsidP="00021F7F">
            <w:pPr>
              <w:spacing w:line="280" w:lineRule="exact"/>
              <w:jc w:val="center"/>
              <w:rPr>
                <w:rFonts w:hAnsi="標楷體"/>
                <w:color w:val="000000" w:themeColor="text1"/>
                <w:sz w:val="28"/>
                <w:szCs w:val="28"/>
              </w:rPr>
            </w:pPr>
            <w:r w:rsidRPr="00A00D38">
              <w:rPr>
                <w:rFonts w:hAnsi="標楷體" w:hint="eastAsia"/>
                <w:color w:val="000000" w:themeColor="text1"/>
                <w:sz w:val="28"/>
                <w:szCs w:val="28"/>
              </w:rPr>
              <w:t>100</w:t>
            </w:r>
          </w:p>
        </w:tc>
        <w:tc>
          <w:tcPr>
            <w:tcW w:w="2551" w:type="dxa"/>
            <w:shd w:val="clear" w:color="auto" w:fill="auto"/>
            <w:vAlign w:val="center"/>
          </w:tcPr>
          <w:p w:rsidR="006C2670" w:rsidRPr="00A00D38" w:rsidRDefault="006C2670" w:rsidP="00021F7F">
            <w:pPr>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81</w:t>
            </w:r>
          </w:p>
        </w:tc>
        <w:tc>
          <w:tcPr>
            <w:tcW w:w="2977" w:type="dxa"/>
            <w:shd w:val="clear" w:color="auto" w:fill="auto"/>
            <w:vAlign w:val="center"/>
          </w:tcPr>
          <w:p w:rsidR="006C2670" w:rsidRPr="00A00D38" w:rsidRDefault="006C2670" w:rsidP="00021F7F">
            <w:pPr>
              <w:spacing w:line="280" w:lineRule="exact"/>
              <w:jc w:val="center"/>
              <w:outlineLvl w:val="0"/>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62</w:t>
            </w:r>
            <w:r w:rsidRPr="00A00D38">
              <w:rPr>
                <w:rFonts w:hAnsi="標楷體"/>
                <w:color w:val="000000" w:themeColor="text1"/>
                <w:sz w:val="28"/>
                <w:szCs w:val="28"/>
              </w:rPr>
              <w:t>,51</w:t>
            </w:r>
            <w:r w:rsidRPr="00A00D38">
              <w:rPr>
                <w:rFonts w:hAnsi="標楷體" w:hint="eastAsia"/>
                <w:color w:val="000000" w:themeColor="text1"/>
                <w:sz w:val="28"/>
                <w:szCs w:val="28"/>
              </w:rPr>
              <w:t>2</w:t>
            </w:r>
          </w:p>
        </w:tc>
      </w:tr>
      <w:tr w:rsidR="00A00D38" w:rsidRPr="00A00D38" w:rsidTr="00021F7F">
        <w:trPr>
          <w:trHeight w:val="39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rsidR="006C2670" w:rsidRPr="00A00D38" w:rsidRDefault="006C2670" w:rsidP="00021F7F">
            <w:pPr>
              <w:spacing w:line="280" w:lineRule="exact"/>
              <w:jc w:val="center"/>
              <w:rPr>
                <w:rFonts w:hAnsi="標楷體"/>
                <w:color w:val="000000" w:themeColor="text1"/>
                <w:sz w:val="28"/>
                <w:szCs w:val="28"/>
              </w:rPr>
            </w:pPr>
            <w:r w:rsidRPr="00A00D38">
              <w:rPr>
                <w:rFonts w:hAnsi="標楷體" w:hint="eastAsia"/>
                <w:color w:val="000000" w:themeColor="text1"/>
                <w:sz w:val="28"/>
                <w:szCs w:val="28"/>
              </w:rPr>
              <w:t>101</w:t>
            </w:r>
          </w:p>
        </w:tc>
        <w:tc>
          <w:tcPr>
            <w:tcW w:w="2551" w:type="dxa"/>
            <w:shd w:val="clear" w:color="auto" w:fill="auto"/>
            <w:vAlign w:val="center"/>
          </w:tcPr>
          <w:p w:rsidR="006C2670" w:rsidRPr="00A00D38" w:rsidRDefault="006C2670" w:rsidP="00021F7F">
            <w:pPr>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85</w:t>
            </w:r>
          </w:p>
        </w:tc>
        <w:tc>
          <w:tcPr>
            <w:tcW w:w="2977" w:type="dxa"/>
            <w:shd w:val="clear" w:color="auto" w:fill="auto"/>
            <w:vAlign w:val="center"/>
          </w:tcPr>
          <w:p w:rsidR="006C2670" w:rsidRPr="00A00D38" w:rsidRDefault="006C2670" w:rsidP="00021F7F">
            <w:pPr>
              <w:spacing w:line="280" w:lineRule="exact"/>
              <w:jc w:val="center"/>
              <w:outlineLvl w:val="0"/>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54</w:t>
            </w:r>
            <w:r w:rsidRPr="00A00D38">
              <w:rPr>
                <w:rFonts w:hAnsi="標楷體"/>
                <w:color w:val="000000" w:themeColor="text1"/>
                <w:sz w:val="28"/>
                <w:szCs w:val="28"/>
              </w:rPr>
              <w:t>,</w:t>
            </w:r>
            <w:r w:rsidRPr="00A00D38">
              <w:rPr>
                <w:rFonts w:hAnsi="標楷體" w:hint="eastAsia"/>
                <w:color w:val="000000" w:themeColor="text1"/>
                <w:sz w:val="28"/>
                <w:szCs w:val="28"/>
              </w:rPr>
              <w:t>912</w:t>
            </w:r>
          </w:p>
        </w:tc>
      </w:tr>
      <w:tr w:rsidR="00A00D38" w:rsidRPr="00A00D38" w:rsidTr="00021F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rsidR="006C2670" w:rsidRPr="00A00D38" w:rsidRDefault="006C2670" w:rsidP="00021F7F">
            <w:pPr>
              <w:spacing w:line="280" w:lineRule="exact"/>
              <w:jc w:val="center"/>
              <w:rPr>
                <w:rFonts w:hAnsi="標楷體"/>
                <w:color w:val="000000" w:themeColor="text1"/>
                <w:sz w:val="28"/>
                <w:szCs w:val="28"/>
              </w:rPr>
            </w:pPr>
            <w:r w:rsidRPr="00A00D38">
              <w:rPr>
                <w:rFonts w:hAnsi="標楷體" w:hint="eastAsia"/>
                <w:color w:val="000000" w:themeColor="text1"/>
                <w:sz w:val="28"/>
                <w:szCs w:val="28"/>
              </w:rPr>
              <w:t>102</w:t>
            </w:r>
          </w:p>
        </w:tc>
        <w:tc>
          <w:tcPr>
            <w:tcW w:w="2551" w:type="dxa"/>
            <w:shd w:val="clear" w:color="auto" w:fill="auto"/>
            <w:vAlign w:val="center"/>
          </w:tcPr>
          <w:p w:rsidR="006C2670" w:rsidRPr="00A00D38" w:rsidRDefault="006C2670" w:rsidP="00021F7F">
            <w:pPr>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85</w:t>
            </w:r>
          </w:p>
        </w:tc>
        <w:tc>
          <w:tcPr>
            <w:tcW w:w="2977" w:type="dxa"/>
            <w:shd w:val="clear" w:color="auto" w:fill="auto"/>
            <w:vAlign w:val="center"/>
          </w:tcPr>
          <w:p w:rsidR="006C2670" w:rsidRPr="00A00D38" w:rsidRDefault="006C2670" w:rsidP="00021F7F">
            <w:pPr>
              <w:spacing w:line="280" w:lineRule="exact"/>
              <w:jc w:val="center"/>
              <w:outlineLvl w:val="0"/>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54</w:t>
            </w:r>
            <w:r w:rsidRPr="00A00D38">
              <w:rPr>
                <w:rFonts w:hAnsi="標楷體"/>
                <w:color w:val="000000" w:themeColor="text1"/>
                <w:sz w:val="28"/>
                <w:szCs w:val="28"/>
              </w:rPr>
              <w:t>,</w:t>
            </w:r>
            <w:r w:rsidRPr="00A00D38">
              <w:rPr>
                <w:rFonts w:hAnsi="標楷體" w:hint="eastAsia"/>
                <w:color w:val="000000" w:themeColor="text1"/>
                <w:sz w:val="28"/>
                <w:szCs w:val="28"/>
              </w:rPr>
              <w:t>912</w:t>
            </w:r>
          </w:p>
        </w:tc>
      </w:tr>
      <w:tr w:rsidR="00A00D38" w:rsidRPr="00A00D38" w:rsidTr="00021F7F">
        <w:trPr>
          <w:trHeight w:val="39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rsidR="006C2670" w:rsidRPr="00A00D38" w:rsidRDefault="006C2670" w:rsidP="00021F7F">
            <w:pPr>
              <w:spacing w:line="280" w:lineRule="exact"/>
              <w:jc w:val="center"/>
              <w:rPr>
                <w:rFonts w:hAnsi="標楷體"/>
                <w:color w:val="000000" w:themeColor="text1"/>
                <w:sz w:val="28"/>
                <w:szCs w:val="28"/>
              </w:rPr>
            </w:pPr>
            <w:r w:rsidRPr="00A00D38">
              <w:rPr>
                <w:rFonts w:hAnsi="標楷體" w:hint="eastAsia"/>
                <w:color w:val="000000" w:themeColor="text1"/>
                <w:sz w:val="28"/>
                <w:szCs w:val="28"/>
              </w:rPr>
              <w:t>103</w:t>
            </w:r>
          </w:p>
        </w:tc>
        <w:tc>
          <w:tcPr>
            <w:tcW w:w="2551" w:type="dxa"/>
            <w:shd w:val="clear" w:color="auto" w:fill="auto"/>
            <w:vAlign w:val="center"/>
          </w:tcPr>
          <w:p w:rsidR="006C2670" w:rsidRPr="00A00D38" w:rsidRDefault="006C2670" w:rsidP="00021F7F">
            <w:pPr>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81</w:t>
            </w:r>
          </w:p>
        </w:tc>
        <w:tc>
          <w:tcPr>
            <w:tcW w:w="2977" w:type="dxa"/>
            <w:shd w:val="clear" w:color="auto" w:fill="auto"/>
            <w:vAlign w:val="center"/>
          </w:tcPr>
          <w:p w:rsidR="006C2670" w:rsidRPr="00A00D38" w:rsidRDefault="006C2670" w:rsidP="00021F7F">
            <w:pPr>
              <w:spacing w:line="280" w:lineRule="exact"/>
              <w:jc w:val="center"/>
              <w:outlineLvl w:val="0"/>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54</w:t>
            </w:r>
            <w:r w:rsidRPr="00A00D38">
              <w:rPr>
                <w:rFonts w:hAnsi="標楷體"/>
                <w:color w:val="000000" w:themeColor="text1"/>
                <w:sz w:val="28"/>
                <w:szCs w:val="28"/>
              </w:rPr>
              <w:t>,</w:t>
            </w:r>
            <w:r w:rsidRPr="00A00D38">
              <w:rPr>
                <w:rFonts w:hAnsi="標楷體" w:hint="eastAsia"/>
                <w:color w:val="000000" w:themeColor="text1"/>
                <w:sz w:val="28"/>
                <w:szCs w:val="28"/>
              </w:rPr>
              <w:t>912</w:t>
            </w:r>
          </w:p>
        </w:tc>
      </w:tr>
      <w:tr w:rsidR="00A00D38" w:rsidRPr="00A00D38" w:rsidTr="00021F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rsidR="006C2670" w:rsidRPr="00A00D38" w:rsidRDefault="006C2670" w:rsidP="00021F7F">
            <w:pPr>
              <w:spacing w:line="280" w:lineRule="exact"/>
              <w:jc w:val="center"/>
              <w:rPr>
                <w:rFonts w:hAnsi="標楷體"/>
                <w:color w:val="000000" w:themeColor="text1"/>
                <w:sz w:val="28"/>
                <w:szCs w:val="28"/>
              </w:rPr>
            </w:pPr>
            <w:r w:rsidRPr="00A00D38">
              <w:rPr>
                <w:rFonts w:hAnsi="標楷體" w:hint="eastAsia"/>
                <w:color w:val="000000" w:themeColor="text1"/>
                <w:sz w:val="28"/>
                <w:szCs w:val="28"/>
              </w:rPr>
              <w:t>104</w:t>
            </w:r>
          </w:p>
        </w:tc>
        <w:tc>
          <w:tcPr>
            <w:tcW w:w="2551" w:type="dxa"/>
            <w:shd w:val="clear" w:color="auto" w:fill="auto"/>
            <w:vAlign w:val="center"/>
          </w:tcPr>
          <w:p w:rsidR="006C2670" w:rsidRPr="00A00D38" w:rsidRDefault="006C2670" w:rsidP="00021F7F">
            <w:pPr>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93</w:t>
            </w:r>
          </w:p>
        </w:tc>
        <w:tc>
          <w:tcPr>
            <w:tcW w:w="2977" w:type="dxa"/>
            <w:shd w:val="clear" w:color="auto" w:fill="auto"/>
            <w:vAlign w:val="center"/>
          </w:tcPr>
          <w:p w:rsidR="006C2670" w:rsidRPr="00A00D38" w:rsidRDefault="006C2670" w:rsidP="00021F7F">
            <w:pPr>
              <w:spacing w:line="280" w:lineRule="exact"/>
              <w:jc w:val="center"/>
              <w:outlineLvl w:val="0"/>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56</w:t>
            </w:r>
            <w:r w:rsidRPr="00A00D38">
              <w:rPr>
                <w:rFonts w:hAnsi="標楷體"/>
                <w:color w:val="000000" w:themeColor="text1"/>
                <w:sz w:val="28"/>
                <w:szCs w:val="28"/>
              </w:rPr>
              <w:t>,</w:t>
            </w:r>
            <w:r w:rsidRPr="00A00D38">
              <w:rPr>
                <w:rFonts w:hAnsi="標楷體" w:hint="eastAsia"/>
                <w:color w:val="000000" w:themeColor="text1"/>
                <w:sz w:val="28"/>
                <w:szCs w:val="28"/>
              </w:rPr>
              <w:t>512</w:t>
            </w:r>
          </w:p>
        </w:tc>
      </w:tr>
      <w:tr w:rsidR="00A00D38" w:rsidRPr="00A00D38" w:rsidTr="00021F7F">
        <w:trPr>
          <w:trHeight w:val="397"/>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rsidR="006C2670" w:rsidRPr="00A00D38" w:rsidRDefault="006C2670" w:rsidP="00021F7F">
            <w:pPr>
              <w:spacing w:line="280" w:lineRule="exact"/>
              <w:jc w:val="center"/>
              <w:rPr>
                <w:rFonts w:hAnsi="標楷體"/>
                <w:color w:val="000000" w:themeColor="text1"/>
                <w:sz w:val="28"/>
                <w:szCs w:val="28"/>
              </w:rPr>
            </w:pPr>
            <w:r w:rsidRPr="00A00D38">
              <w:rPr>
                <w:rFonts w:hAnsi="標楷體" w:hint="eastAsia"/>
                <w:color w:val="000000" w:themeColor="text1"/>
                <w:sz w:val="28"/>
                <w:szCs w:val="28"/>
              </w:rPr>
              <w:t>105</w:t>
            </w:r>
          </w:p>
        </w:tc>
        <w:tc>
          <w:tcPr>
            <w:tcW w:w="2551" w:type="dxa"/>
            <w:shd w:val="clear" w:color="auto" w:fill="auto"/>
            <w:vAlign w:val="center"/>
          </w:tcPr>
          <w:p w:rsidR="006C2670" w:rsidRPr="00A00D38" w:rsidRDefault="006C2670" w:rsidP="00021F7F">
            <w:pPr>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94</w:t>
            </w:r>
          </w:p>
        </w:tc>
        <w:tc>
          <w:tcPr>
            <w:tcW w:w="2977" w:type="dxa"/>
            <w:shd w:val="clear" w:color="auto" w:fill="auto"/>
            <w:vAlign w:val="center"/>
          </w:tcPr>
          <w:p w:rsidR="006C2670" w:rsidRPr="00A00D38" w:rsidRDefault="006C2670" w:rsidP="00021F7F">
            <w:pPr>
              <w:spacing w:line="280" w:lineRule="exact"/>
              <w:jc w:val="center"/>
              <w:outlineLvl w:val="0"/>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56</w:t>
            </w:r>
            <w:r w:rsidRPr="00A00D38">
              <w:rPr>
                <w:rFonts w:hAnsi="標楷體"/>
                <w:color w:val="000000" w:themeColor="text1"/>
                <w:sz w:val="28"/>
                <w:szCs w:val="28"/>
              </w:rPr>
              <w:t>,</w:t>
            </w:r>
            <w:r w:rsidRPr="00A00D38">
              <w:rPr>
                <w:rFonts w:hAnsi="標楷體" w:hint="eastAsia"/>
                <w:color w:val="000000" w:themeColor="text1"/>
                <w:sz w:val="28"/>
                <w:szCs w:val="28"/>
              </w:rPr>
              <w:t>512</w:t>
            </w:r>
          </w:p>
        </w:tc>
      </w:tr>
    </w:tbl>
    <w:p w:rsidR="006C2670" w:rsidRPr="00A00D38" w:rsidRDefault="006C2670" w:rsidP="006C2670">
      <w:pPr>
        <w:pStyle w:val="af8"/>
        <w:spacing w:line="240" w:lineRule="exact"/>
        <w:ind w:leftChars="350" w:left="1191"/>
        <w:rPr>
          <w:rFonts w:hAnsi="標楷體"/>
          <w:color w:val="000000" w:themeColor="text1"/>
          <w:sz w:val="24"/>
          <w:szCs w:val="24"/>
        </w:rPr>
      </w:pPr>
      <w:r w:rsidRPr="00A00D38">
        <w:rPr>
          <w:rFonts w:hAnsi="標楷體" w:hint="eastAsia"/>
          <w:color w:val="000000" w:themeColor="text1"/>
          <w:sz w:val="24"/>
          <w:szCs w:val="24"/>
        </w:rPr>
        <w:t xml:space="preserve"> 資料來源：教育部查復資料。</w:t>
      </w:r>
    </w:p>
    <w:p w:rsidR="006C2670" w:rsidRPr="00A00D38" w:rsidRDefault="006C2670" w:rsidP="006C2670">
      <w:pPr>
        <w:pStyle w:val="afa"/>
        <w:spacing w:line="240" w:lineRule="exact"/>
        <w:ind w:leftChars="-118" w:left="-94" w:hangingChars="118" w:hanging="307"/>
        <w:rPr>
          <w:rFonts w:hAnsi="標楷體"/>
          <w:color w:val="000000" w:themeColor="text1"/>
          <w:sz w:val="24"/>
          <w:szCs w:val="24"/>
        </w:rPr>
      </w:pPr>
    </w:p>
    <w:p w:rsidR="006C2670" w:rsidRPr="00A00D38" w:rsidRDefault="006C2670" w:rsidP="006C2670">
      <w:pPr>
        <w:pStyle w:val="4"/>
        <w:rPr>
          <w:color w:val="000000" w:themeColor="text1"/>
        </w:rPr>
      </w:pPr>
      <w:r w:rsidRPr="00A00D38">
        <w:rPr>
          <w:rFonts w:hint="eastAsia"/>
          <w:color w:val="000000" w:themeColor="text1"/>
        </w:rPr>
        <w:t>僑生獎學金部分：</w:t>
      </w:r>
    </w:p>
    <w:p w:rsidR="006C2670" w:rsidRPr="00A00D38" w:rsidRDefault="006C2670" w:rsidP="006C2670">
      <w:pPr>
        <w:pStyle w:val="5"/>
        <w:rPr>
          <w:color w:val="000000" w:themeColor="text1"/>
        </w:rPr>
      </w:pPr>
      <w:r w:rsidRPr="00A00D38">
        <w:rPr>
          <w:rFonts w:hint="eastAsia"/>
          <w:color w:val="000000" w:themeColor="text1"/>
        </w:rPr>
        <w:t>獎勵海外優秀僑生回國就讀大學校院獎學金</w:t>
      </w:r>
    </w:p>
    <w:p w:rsidR="006C2670" w:rsidRPr="00A00D38" w:rsidRDefault="006C2670" w:rsidP="006C2670">
      <w:pPr>
        <w:pStyle w:val="6"/>
        <w:rPr>
          <w:color w:val="000000" w:themeColor="text1"/>
        </w:rPr>
      </w:pPr>
      <w:r w:rsidRPr="00A00D38">
        <w:rPr>
          <w:rFonts w:hint="eastAsia"/>
          <w:color w:val="000000" w:themeColor="text1"/>
        </w:rPr>
        <w:t>實施依據：「</w:t>
      </w:r>
      <w:r w:rsidRPr="00A00D38">
        <w:rPr>
          <w:color w:val="000000" w:themeColor="text1"/>
        </w:rPr>
        <w:t>教育部獎勵海外優秀僑生回國就讀大學校院獎學金核發要點</w:t>
      </w:r>
      <w:r w:rsidRPr="00A00D38">
        <w:rPr>
          <w:rFonts w:hint="eastAsia"/>
          <w:color w:val="000000" w:themeColor="text1"/>
        </w:rPr>
        <w:t>」。</w:t>
      </w:r>
    </w:p>
    <w:p w:rsidR="006C2670" w:rsidRPr="00A00D38" w:rsidRDefault="006C2670" w:rsidP="006C2670">
      <w:pPr>
        <w:pStyle w:val="6"/>
        <w:rPr>
          <w:color w:val="000000" w:themeColor="text1"/>
        </w:rPr>
      </w:pPr>
      <w:r w:rsidRPr="00A00D38">
        <w:rPr>
          <w:rFonts w:hint="eastAsia"/>
          <w:color w:val="000000" w:themeColor="text1"/>
        </w:rPr>
        <w:t>分為優秀、菁英2種獎學金。優秀僑生獎學金第1學年初領者，每月1萬2,500元，第2學年以後符合續領資格者，每月1萬元；菁英僑生獎學金第1學年初領者及第2學年度以後符合續領資格者，每月均為2萬5,000元。</w:t>
      </w:r>
    </w:p>
    <w:p w:rsidR="006C2670" w:rsidRPr="00A00D38" w:rsidRDefault="006C2670" w:rsidP="006C2670">
      <w:pPr>
        <w:pStyle w:val="6"/>
        <w:rPr>
          <w:rFonts w:hAnsi="標楷體"/>
          <w:color w:val="000000" w:themeColor="text1"/>
        </w:rPr>
      </w:pPr>
      <w:r w:rsidRPr="00A00D38">
        <w:rPr>
          <w:rFonts w:hAnsi="標楷體" w:hint="eastAsia"/>
          <w:color w:val="000000" w:themeColor="text1"/>
        </w:rPr>
        <w:t>近年補助情形詳如下表</w:t>
      </w:r>
      <w:r w:rsidR="0009317C">
        <w:rPr>
          <w:rFonts w:hAnsi="標楷體" w:hint="eastAsia"/>
          <w:color w:val="000000" w:themeColor="text1"/>
        </w:rPr>
        <w:t>15</w:t>
      </w:r>
      <w:r w:rsidRPr="00A00D38">
        <w:rPr>
          <w:rFonts w:hAnsi="標楷體" w:hint="eastAsia"/>
          <w:color w:val="000000" w:themeColor="text1"/>
        </w:rPr>
        <w:t>：</w:t>
      </w:r>
    </w:p>
    <w:p w:rsidR="006C2670" w:rsidRPr="00A00D38" w:rsidRDefault="006C2670" w:rsidP="006C2670">
      <w:pPr>
        <w:pStyle w:val="a4"/>
        <w:ind w:left="142" w:firstLine="0"/>
        <w:jc w:val="center"/>
        <w:rPr>
          <w:rFonts w:hAnsi="標楷體"/>
          <w:b/>
          <w:color w:val="000000" w:themeColor="text1"/>
        </w:rPr>
      </w:pPr>
      <w:r w:rsidRPr="00A00D38">
        <w:rPr>
          <w:rFonts w:hAnsi="標楷體" w:hint="eastAsia"/>
          <w:b/>
          <w:color w:val="000000" w:themeColor="text1"/>
        </w:rPr>
        <w:t>優秀僑生回國就讀大學校院獎學金補助情形 （92-105學年度）</w:t>
      </w:r>
    </w:p>
    <w:tbl>
      <w:tblPr>
        <w:tblW w:w="6984" w:type="dxa"/>
        <w:jc w:val="center"/>
        <w:tblCellMar>
          <w:left w:w="28" w:type="dxa"/>
          <w:right w:w="28" w:type="dxa"/>
        </w:tblCellMar>
        <w:tblLook w:val="04A0" w:firstRow="1" w:lastRow="0" w:firstColumn="1" w:lastColumn="0" w:noHBand="0" w:noVBand="1"/>
      </w:tblPr>
      <w:tblGrid>
        <w:gridCol w:w="1843"/>
        <w:gridCol w:w="2165"/>
        <w:gridCol w:w="2976"/>
      </w:tblGrid>
      <w:tr w:rsidR="00A00D38" w:rsidRPr="00A00D38" w:rsidTr="00021F7F">
        <w:trPr>
          <w:trHeight w:val="340"/>
          <w:tblHeader/>
          <w:jc w:val="center"/>
        </w:trPr>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C2670" w:rsidRPr="00A00D38" w:rsidRDefault="006C2670" w:rsidP="00021F7F">
            <w:pPr>
              <w:widowControl/>
              <w:spacing w:line="280" w:lineRule="exact"/>
              <w:ind w:firstLine="1"/>
              <w:jc w:val="center"/>
              <w:rPr>
                <w:rFonts w:hAnsi="標楷體" w:cs="新細明體"/>
                <w:b/>
                <w:color w:val="000000" w:themeColor="text1"/>
                <w:kern w:val="0"/>
                <w:sz w:val="28"/>
                <w:szCs w:val="28"/>
              </w:rPr>
            </w:pPr>
            <w:r w:rsidRPr="00A00D38">
              <w:rPr>
                <w:rFonts w:hAnsi="標楷體" w:cs="新細明體" w:hint="eastAsia"/>
                <w:b/>
                <w:color w:val="000000" w:themeColor="text1"/>
                <w:kern w:val="0"/>
                <w:sz w:val="28"/>
                <w:szCs w:val="28"/>
              </w:rPr>
              <w:t>學年度</w:t>
            </w:r>
          </w:p>
        </w:tc>
        <w:tc>
          <w:tcPr>
            <w:tcW w:w="216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C2670" w:rsidRPr="00A00D38" w:rsidRDefault="006C2670" w:rsidP="00021F7F">
            <w:pPr>
              <w:widowControl/>
              <w:spacing w:line="280" w:lineRule="exact"/>
              <w:jc w:val="center"/>
              <w:rPr>
                <w:rFonts w:hAnsi="標楷體" w:cs="新細明體"/>
                <w:b/>
                <w:color w:val="000000" w:themeColor="text1"/>
                <w:kern w:val="0"/>
                <w:sz w:val="28"/>
                <w:szCs w:val="28"/>
              </w:rPr>
            </w:pPr>
            <w:r w:rsidRPr="00A00D38">
              <w:rPr>
                <w:rFonts w:hAnsi="標楷體" w:cs="新細明體" w:hint="eastAsia"/>
                <w:b/>
                <w:color w:val="000000" w:themeColor="text1"/>
                <w:kern w:val="0"/>
                <w:sz w:val="28"/>
                <w:szCs w:val="28"/>
              </w:rPr>
              <w:t>總人數</w:t>
            </w: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C2670" w:rsidRPr="00A00D38" w:rsidRDefault="006C2670" w:rsidP="00021F7F">
            <w:pPr>
              <w:widowControl/>
              <w:spacing w:line="280" w:lineRule="exact"/>
              <w:jc w:val="center"/>
              <w:rPr>
                <w:rFonts w:hAnsi="標楷體" w:cs="新細明體"/>
                <w:b/>
                <w:color w:val="000000" w:themeColor="text1"/>
                <w:kern w:val="0"/>
                <w:sz w:val="28"/>
                <w:szCs w:val="28"/>
              </w:rPr>
            </w:pPr>
            <w:r w:rsidRPr="00A00D38">
              <w:rPr>
                <w:rFonts w:hAnsi="標楷體" w:cs="新細明體" w:hint="eastAsia"/>
                <w:b/>
                <w:color w:val="000000" w:themeColor="text1"/>
                <w:kern w:val="0"/>
                <w:sz w:val="28"/>
                <w:szCs w:val="28"/>
              </w:rPr>
              <w:t>總金額(萬元)</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92</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12</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144</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93</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14</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162</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94</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34</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492</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95</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36</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519</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96</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34</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489</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97</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55</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747</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98</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58</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786</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99</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60</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920</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100</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85</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w:t>
            </w:r>
            <w:r w:rsidRPr="00A00D38">
              <w:rPr>
                <w:rFonts w:hAnsi="標楷體" w:hint="eastAsia"/>
                <w:color w:val="000000" w:themeColor="text1"/>
                <w:kern w:val="0"/>
                <w:sz w:val="28"/>
                <w:szCs w:val="28"/>
              </w:rPr>
              <w:t>,</w:t>
            </w:r>
            <w:r w:rsidRPr="00A00D38">
              <w:rPr>
                <w:rFonts w:hAnsi="標楷體"/>
                <w:color w:val="000000" w:themeColor="text1"/>
                <w:kern w:val="0"/>
                <w:sz w:val="28"/>
                <w:szCs w:val="28"/>
              </w:rPr>
              <w:t>359</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101</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81</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w:t>
            </w:r>
            <w:r w:rsidRPr="00A00D38">
              <w:rPr>
                <w:rFonts w:hAnsi="標楷體" w:hint="eastAsia"/>
                <w:color w:val="000000" w:themeColor="text1"/>
                <w:kern w:val="0"/>
                <w:sz w:val="28"/>
                <w:szCs w:val="28"/>
              </w:rPr>
              <w:t>,</w:t>
            </w:r>
            <w:r w:rsidRPr="00A00D38">
              <w:rPr>
                <w:rFonts w:hAnsi="標楷體"/>
                <w:color w:val="000000" w:themeColor="text1"/>
                <w:kern w:val="0"/>
                <w:sz w:val="28"/>
                <w:szCs w:val="28"/>
              </w:rPr>
              <w:t>383</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102</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92</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w:t>
            </w:r>
            <w:r w:rsidRPr="00A00D38">
              <w:rPr>
                <w:rFonts w:hAnsi="標楷體" w:hint="eastAsia"/>
                <w:color w:val="000000" w:themeColor="text1"/>
                <w:kern w:val="0"/>
                <w:sz w:val="28"/>
                <w:szCs w:val="28"/>
              </w:rPr>
              <w:t>,</w:t>
            </w:r>
            <w:r w:rsidRPr="00A00D38">
              <w:rPr>
                <w:rFonts w:hAnsi="標楷體"/>
                <w:color w:val="000000" w:themeColor="text1"/>
                <w:kern w:val="0"/>
                <w:sz w:val="28"/>
                <w:szCs w:val="28"/>
              </w:rPr>
              <w:t>575</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lastRenderedPageBreak/>
              <w:t>103</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109</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w:t>
            </w:r>
            <w:r w:rsidRPr="00A00D38">
              <w:rPr>
                <w:rFonts w:hAnsi="標楷體" w:hint="eastAsia"/>
                <w:color w:val="000000" w:themeColor="text1"/>
                <w:kern w:val="0"/>
                <w:sz w:val="28"/>
                <w:szCs w:val="28"/>
              </w:rPr>
              <w:t>,</w:t>
            </w:r>
            <w:r w:rsidRPr="00A00D38">
              <w:rPr>
                <w:rFonts w:hAnsi="標楷體"/>
                <w:color w:val="000000" w:themeColor="text1"/>
                <w:kern w:val="0"/>
                <w:sz w:val="28"/>
                <w:szCs w:val="28"/>
              </w:rPr>
              <w:t>937</w:t>
            </w:r>
          </w:p>
        </w:tc>
      </w:tr>
      <w:tr w:rsidR="00A00D38" w:rsidRPr="00A00D38" w:rsidTr="00021F7F">
        <w:trPr>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104</w:t>
            </w: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110</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2</w:t>
            </w:r>
            <w:r w:rsidRPr="00A00D38">
              <w:rPr>
                <w:rFonts w:hAnsi="標楷體" w:hint="eastAsia"/>
                <w:color w:val="000000" w:themeColor="text1"/>
                <w:kern w:val="0"/>
                <w:sz w:val="28"/>
                <w:szCs w:val="28"/>
              </w:rPr>
              <w:t>,</w:t>
            </w:r>
            <w:r w:rsidRPr="00A00D38">
              <w:rPr>
                <w:rFonts w:hAnsi="標楷體"/>
                <w:color w:val="000000" w:themeColor="text1"/>
                <w:kern w:val="0"/>
                <w:sz w:val="28"/>
                <w:szCs w:val="28"/>
              </w:rPr>
              <w:t>019</w:t>
            </w:r>
          </w:p>
        </w:tc>
      </w:tr>
      <w:tr w:rsidR="00A00D38" w:rsidRPr="00A00D38" w:rsidTr="00021F7F">
        <w:trPr>
          <w:trHeight w:val="340"/>
          <w:jc w:val="center"/>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105</w:t>
            </w:r>
          </w:p>
        </w:tc>
        <w:tc>
          <w:tcPr>
            <w:tcW w:w="2165" w:type="dxa"/>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115</w:t>
            </w:r>
          </w:p>
        </w:tc>
        <w:tc>
          <w:tcPr>
            <w:tcW w:w="2976" w:type="dxa"/>
            <w:tcBorders>
              <w:top w:val="nil"/>
              <w:left w:val="nil"/>
              <w:bottom w:val="single" w:sz="4" w:space="0" w:color="auto"/>
              <w:right w:val="single" w:sz="4" w:space="0" w:color="auto"/>
            </w:tcBorders>
            <w:shd w:val="clear" w:color="auto" w:fill="auto"/>
            <w:noWrap/>
            <w:vAlign w:val="center"/>
            <w:hideMark/>
          </w:tcPr>
          <w:p w:rsidR="006C2670" w:rsidRPr="00A00D38" w:rsidRDefault="006C2670" w:rsidP="00021F7F">
            <w:pPr>
              <w:widowControl/>
              <w:spacing w:line="280" w:lineRule="exact"/>
              <w:jc w:val="center"/>
              <w:rPr>
                <w:rFonts w:hAnsi="標楷體"/>
                <w:color w:val="000000" w:themeColor="text1"/>
                <w:kern w:val="0"/>
                <w:sz w:val="28"/>
                <w:szCs w:val="28"/>
              </w:rPr>
            </w:pPr>
            <w:r w:rsidRPr="00A00D38">
              <w:rPr>
                <w:rFonts w:hAnsi="標楷體"/>
                <w:color w:val="000000" w:themeColor="text1"/>
                <w:kern w:val="0"/>
                <w:sz w:val="28"/>
                <w:szCs w:val="28"/>
              </w:rPr>
              <w:t>2</w:t>
            </w:r>
            <w:r w:rsidRPr="00A00D38">
              <w:rPr>
                <w:rFonts w:hAnsi="標楷體" w:hint="eastAsia"/>
                <w:color w:val="000000" w:themeColor="text1"/>
                <w:kern w:val="0"/>
                <w:sz w:val="28"/>
                <w:szCs w:val="28"/>
              </w:rPr>
              <w:t>,</w:t>
            </w:r>
            <w:r w:rsidRPr="00A00D38">
              <w:rPr>
                <w:rFonts w:hAnsi="標楷體"/>
                <w:color w:val="000000" w:themeColor="text1"/>
                <w:kern w:val="0"/>
                <w:sz w:val="28"/>
                <w:szCs w:val="28"/>
              </w:rPr>
              <w:t>233</w:t>
            </w:r>
          </w:p>
        </w:tc>
      </w:tr>
    </w:tbl>
    <w:p w:rsidR="006C2670" w:rsidRPr="00A00D38" w:rsidRDefault="006C2670" w:rsidP="006C2670">
      <w:pPr>
        <w:pStyle w:val="af8"/>
        <w:spacing w:line="240" w:lineRule="exact"/>
        <w:ind w:leftChars="250" w:left="850"/>
        <w:rPr>
          <w:rFonts w:hAnsi="標楷體"/>
          <w:color w:val="000000" w:themeColor="text1"/>
          <w:sz w:val="24"/>
          <w:szCs w:val="24"/>
        </w:rPr>
      </w:pPr>
      <w:r w:rsidRPr="00A00D38">
        <w:rPr>
          <w:rFonts w:hAnsi="標楷體" w:hint="eastAsia"/>
          <w:color w:val="000000" w:themeColor="text1"/>
          <w:sz w:val="24"/>
          <w:szCs w:val="24"/>
        </w:rPr>
        <w:t>資料來源：教育部查復。</w:t>
      </w:r>
    </w:p>
    <w:p w:rsidR="006C2670" w:rsidRPr="00A00D38" w:rsidRDefault="006C2670" w:rsidP="006C2670">
      <w:pPr>
        <w:pStyle w:val="5"/>
        <w:rPr>
          <w:color w:val="000000" w:themeColor="text1"/>
        </w:rPr>
      </w:pPr>
      <w:r w:rsidRPr="00A00D38">
        <w:rPr>
          <w:rFonts w:hint="eastAsia"/>
          <w:color w:val="000000" w:themeColor="text1"/>
        </w:rPr>
        <w:t>研究所優秀僑生獎學金：</w:t>
      </w:r>
    </w:p>
    <w:p w:rsidR="006C2670" w:rsidRPr="00A00D38" w:rsidRDefault="006C2670" w:rsidP="006C2670">
      <w:pPr>
        <w:pStyle w:val="6"/>
        <w:rPr>
          <w:color w:val="000000" w:themeColor="text1"/>
        </w:rPr>
      </w:pPr>
      <w:r w:rsidRPr="00A00D38">
        <w:rPr>
          <w:rFonts w:hint="eastAsia"/>
          <w:color w:val="000000" w:themeColor="text1"/>
        </w:rPr>
        <w:t>實施依據：「教育部補助大學校院設置研究所優秀僑生獎學金作業要點」。</w:t>
      </w:r>
    </w:p>
    <w:p w:rsidR="006C2670" w:rsidRPr="00A00D38" w:rsidRDefault="006C2670" w:rsidP="006C2670">
      <w:pPr>
        <w:pStyle w:val="6"/>
        <w:rPr>
          <w:color w:val="000000" w:themeColor="text1"/>
        </w:rPr>
      </w:pPr>
      <w:r w:rsidRPr="00A00D38">
        <w:rPr>
          <w:rFonts w:hint="eastAsia"/>
          <w:color w:val="000000" w:themeColor="text1"/>
        </w:rPr>
        <w:t>自97學年度起，各大學校院招收研究所僑生人數10人以上者，得送教育部核配各校獎學金補助款；自100學年度起，提出申請補助之招收研究所僑生人數門檻限制由10人修正為5人，待遇以每名受獎生每月不低於1萬元為原則。</w:t>
      </w:r>
    </w:p>
    <w:p w:rsidR="006C2670" w:rsidRPr="00A00D38" w:rsidRDefault="006C2670" w:rsidP="006C2670">
      <w:pPr>
        <w:pStyle w:val="6"/>
        <w:rPr>
          <w:color w:val="000000" w:themeColor="text1"/>
        </w:rPr>
      </w:pPr>
      <w:r w:rsidRPr="00A00D38">
        <w:rPr>
          <w:rFonts w:hAnsi="標楷體" w:hint="eastAsia"/>
          <w:color w:val="000000" w:themeColor="text1"/>
        </w:rPr>
        <w:t>近年補助情形詳如下表</w:t>
      </w:r>
      <w:r w:rsidR="0009317C">
        <w:rPr>
          <w:rFonts w:hAnsi="標楷體" w:hint="eastAsia"/>
          <w:color w:val="000000" w:themeColor="text1"/>
        </w:rPr>
        <w:t>16</w:t>
      </w:r>
      <w:r w:rsidRPr="00A00D38">
        <w:rPr>
          <w:rFonts w:hAnsi="標楷體" w:hint="eastAsia"/>
          <w:color w:val="000000" w:themeColor="text1"/>
        </w:rPr>
        <w:t>：</w:t>
      </w:r>
    </w:p>
    <w:p w:rsidR="006C2670" w:rsidRPr="00A00D38" w:rsidRDefault="006C2670" w:rsidP="006C2670">
      <w:pPr>
        <w:pStyle w:val="a4"/>
        <w:ind w:left="0" w:firstLine="0"/>
        <w:jc w:val="center"/>
        <w:rPr>
          <w:rFonts w:hAnsi="標楷體"/>
          <w:b/>
          <w:color w:val="000000" w:themeColor="text1"/>
        </w:rPr>
      </w:pPr>
      <w:r w:rsidRPr="00A00D38">
        <w:rPr>
          <w:rFonts w:hAnsi="標楷體" w:hint="eastAsia"/>
          <w:b/>
          <w:color w:val="000000" w:themeColor="text1"/>
        </w:rPr>
        <w:t>教育部補助大學校院設置研究所優秀僑生獎學金情形</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5"/>
        <w:gridCol w:w="850"/>
        <w:gridCol w:w="851"/>
        <w:gridCol w:w="850"/>
        <w:gridCol w:w="851"/>
        <w:gridCol w:w="850"/>
        <w:gridCol w:w="851"/>
        <w:gridCol w:w="850"/>
        <w:gridCol w:w="851"/>
        <w:gridCol w:w="850"/>
        <w:gridCol w:w="851"/>
      </w:tblGrid>
      <w:tr w:rsidR="00A00D38" w:rsidRPr="00A00D38" w:rsidTr="00021F7F">
        <w:trPr>
          <w:trHeight w:val="487"/>
        </w:trPr>
        <w:tc>
          <w:tcPr>
            <w:tcW w:w="1135" w:type="dxa"/>
            <w:vMerge w:val="restart"/>
            <w:shd w:val="clear" w:color="auto" w:fill="FDE9D9" w:themeFill="accent6" w:themeFillTint="33"/>
            <w:vAlign w:val="center"/>
            <w:hideMark/>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學年度</w:t>
            </w:r>
          </w:p>
        </w:tc>
        <w:tc>
          <w:tcPr>
            <w:tcW w:w="1701" w:type="dxa"/>
            <w:gridSpan w:val="2"/>
            <w:shd w:val="clear" w:color="auto" w:fill="FDE9D9" w:themeFill="accent6" w:themeFillTint="33"/>
            <w:noWrap/>
            <w:vAlign w:val="center"/>
            <w:hideMark/>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97</w:t>
            </w:r>
          </w:p>
        </w:tc>
        <w:tc>
          <w:tcPr>
            <w:tcW w:w="1701" w:type="dxa"/>
            <w:gridSpan w:val="2"/>
            <w:shd w:val="clear" w:color="auto" w:fill="FDE9D9" w:themeFill="accent6" w:themeFillTint="33"/>
            <w:noWrap/>
            <w:vAlign w:val="center"/>
            <w:hideMark/>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98</w:t>
            </w:r>
          </w:p>
        </w:tc>
        <w:tc>
          <w:tcPr>
            <w:tcW w:w="1701" w:type="dxa"/>
            <w:gridSpan w:val="2"/>
            <w:shd w:val="clear" w:color="auto" w:fill="FDE9D9" w:themeFill="accent6" w:themeFillTint="33"/>
            <w:noWrap/>
            <w:vAlign w:val="center"/>
            <w:hideMark/>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99</w:t>
            </w:r>
          </w:p>
        </w:tc>
        <w:tc>
          <w:tcPr>
            <w:tcW w:w="1701" w:type="dxa"/>
            <w:gridSpan w:val="2"/>
            <w:shd w:val="clear" w:color="auto" w:fill="FDE9D9" w:themeFill="accent6" w:themeFillTint="33"/>
            <w:noWrap/>
            <w:vAlign w:val="center"/>
            <w:hideMark/>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100</w:t>
            </w:r>
          </w:p>
        </w:tc>
        <w:tc>
          <w:tcPr>
            <w:tcW w:w="1701" w:type="dxa"/>
            <w:gridSpan w:val="2"/>
            <w:shd w:val="clear" w:color="auto" w:fill="FDE9D9" w:themeFill="accent6" w:themeFillTint="33"/>
            <w:vAlign w:val="center"/>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101</w:t>
            </w:r>
          </w:p>
        </w:tc>
      </w:tr>
      <w:tr w:rsidR="00A00D38" w:rsidRPr="00A00D38" w:rsidTr="00021F7F">
        <w:trPr>
          <w:trHeight w:val="390"/>
        </w:trPr>
        <w:tc>
          <w:tcPr>
            <w:tcW w:w="1135" w:type="dxa"/>
            <w:vMerge/>
            <w:tcBorders>
              <w:bottom w:val="single" w:sz="4" w:space="0" w:color="auto"/>
            </w:tcBorders>
            <w:shd w:val="clear" w:color="auto" w:fill="FDE9D9" w:themeFill="accent6" w:themeFillTint="33"/>
            <w:vAlign w:val="center"/>
            <w:hideMark/>
          </w:tcPr>
          <w:p w:rsidR="006C2670" w:rsidRPr="00A00D38" w:rsidRDefault="006C2670" w:rsidP="00021F7F">
            <w:pPr>
              <w:widowControl/>
              <w:spacing w:line="360" w:lineRule="exact"/>
              <w:rPr>
                <w:rFonts w:hAnsi="標楷體" w:cs="新細明體"/>
                <w:color w:val="000000" w:themeColor="text1"/>
                <w:spacing w:val="-20"/>
                <w:kern w:val="0"/>
                <w:sz w:val="28"/>
                <w:szCs w:val="28"/>
              </w:rPr>
            </w:pPr>
          </w:p>
        </w:tc>
        <w:tc>
          <w:tcPr>
            <w:tcW w:w="850" w:type="dxa"/>
            <w:tcBorders>
              <w:bottom w:val="single" w:sz="4" w:space="0" w:color="auto"/>
            </w:tcBorders>
            <w:shd w:val="clear" w:color="auto" w:fill="FDE9D9" w:themeFill="accent6" w:themeFillTint="33"/>
            <w:vAlign w:val="center"/>
            <w:hideMark/>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第1</w:t>
            </w:r>
            <w:r w:rsidRPr="00A00D38">
              <w:rPr>
                <w:rFonts w:hAnsi="標楷體" w:cs="新細明體" w:hint="eastAsia"/>
                <w:color w:val="000000" w:themeColor="text1"/>
                <w:spacing w:val="-20"/>
                <w:kern w:val="0"/>
                <w:sz w:val="28"/>
                <w:szCs w:val="28"/>
              </w:rPr>
              <w:br/>
              <w:t>學期</w:t>
            </w:r>
          </w:p>
        </w:tc>
        <w:tc>
          <w:tcPr>
            <w:tcW w:w="851" w:type="dxa"/>
            <w:tcBorders>
              <w:bottom w:val="single" w:sz="4" w:space="0" w:color="auto"/>
            </w:tcBorders>
            <w:shd w:val="clear" w:color="auto" w:fill="FDE9D9" w:themeFill="accent6" w:themeFillTint="33"/>
            <w:vAlign w:val="center"/>
            <w:hideMark/>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第2</w:t>
            </w:r>
            <w:r w:rsidRPr="00A00D38">
              <w:rPr>
                <w:rFonts w:hAnsi="標楷體" w:cs="新細明體" w:hint="eastAsia"/>
                <w:color w:val="000000" w:themeColor="text1"/>
                <w:spacing w:val="-20"/>
                <w:kern w:val="0"/>
                <w:sz w:val="28"/>
                <w:szCs w:val="28"/>
              </w:rPr>
              <w:br/>
              <w:t>學期</w:t>
            </w:r>
          </w:p>
        </w:tc>
        <w:tc>
          <w:tcPr>
            <w:tcW w:w="850" w:type="dxa"/>
            <w:tcBorders>
              <w:bottom w:val="single" w:sz="4" w:space="0" w:color="auto"/>
            </w:tcBorders>
            <w:shd w:val="clear" w:color="auto" w:fill="FDE9D9" w:themeFill="accent6" w:themeFillTint="33"/>
            <w:vAlign w:val="center"/>
            <w:hideMark/>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第1</w:t>
            </w:r>
            <w:r w:rsidRPr="00A00D38">
              <w:rPr>
                <w:rFonts w:hAnsi="標楷體" w:cs="新細明體" w:hint="eastAsia"/>
                <w:color w:val="000000" w:themeColor="text1"/>
                <w:spacing w:val="-20"/>
                <w:kern w:val="0"/>
                <w:sz w:val="28"/>
                <w:szCs w:val="28"/>
              </w:rPr>
              <w:br/>
              <w:t>學期</w:t>
            </w:r>
          </w:p>
        </w:tc>
        <w:tc>
          <w:tcPr>
            <w:tcW w:w="851" w:type="dxa"/>
            <w:tcBorders>
              <w:bottom w:val="single" w:sz="4" w:space="0" w:color="auto"/>
            </w:tcBorders>
            <w:shd w:val="clear" w:color="auto" w:fill="FDE9D9" w:themeFill="accent6" w:themeFillTint="33"/>
            <w:vAlign w:val="center"/>
            <w:hideMark/>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第2</w:t>
            </w:r>
            <w:r w:rsidRPr="00A00D38">
              <w:rPr>
                <w:rFonts w:hAnsi="標楷體" w:cs="新細明體" w:hint="eastAsia"/>
                <w:color w:val="000000" w:themeColor="text1"/>
                <w:spacing w:val="-20"/>
                <w:kern w:val="0"/>
                <w:sz w:val="28"/>
                <w:szCs w:val="28"/>
              </w:rPr>
              <w:br/>
              <w:t>學期</w:t>
            </w:r>
          </w:p>
        </w:tc>
        <w:tc>
          <w:tcPr>
            <w:tcW w:w="850" w:type="dxa"/>
            <w:tcBorders>
              <w:bottom w:val="single" w:sz="4" w:space="0" w:color="auto"/>
            </w:tcBorders>
            <w:shd w:val="clear" w:color="auto" w:fill="FDE9D9" w:themeFill="accent6" w:themeFillTint="33"/>
            <w:vAlign w:val="center"/>
            <w:hideMark/>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第1</w:t>
            </w:r>
            <w:r w:rsidRPr="00A00D38">
              <w:rPr>
                <w:rFonts w:hAnsi="標楷體" w:cs="新細明體" w:hint="eastAsia"/>
                <w:color w:val="000000" w:themeColor="text1"/>
                <w:spacing w:val="-20"/>
                <w:kern w:val="0"/>
                <w:sz w:val="28"/>
                <w:szCs w:val="28"/>
              </w:rPr>
              <w:br/>
              <w:t>學期</w:t>
            </w:r>
          </w:p>
        </w:tc>
        <w:tc>
          <w:tcPr>
            <w:tcW w:w="851" w:type="dxa"/>
            <w:tcBorders>
              <w:bottom w:val="single" w:sz="4" w:space="0" w:color="auto"/>
            </w:tcBorders>
            <w:shd w:val="clear" w:color="auto" w:fill="FDE9D9" w:themeFill="accent6" w:themeFillTint="33"/>
            <w:vAlign w:val="center"/>
            <w:hideMark/>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第2</w:t>
            </w:r>
            <w:r w:rsidRPr="00A00D38">
              <w:rPr>
                <w:rFonts w:hAnsi="標楷體" w:cs="新細明體" w:hint="eastAsia"/>
                <w:color w:val="000000" w:themeColor="text1"/>
                <w:spacing w:val="-20"/>
                <w:kern w:val="0"/>
                <w:sz w:val="28"/>
                <w:szCs w:val="28"/>
              </w:rPr>
              <w:br/>
              <w:t>學期</w:t>
            </w:r>
          </w:p>
        </w:tc>
        <w:tc>
          <w:tcPr>
            <w:tcW w:w="850" w:type="dxa"/>
            <w:tcBorders>
              <w:bottom w:val="single" w:sz="4" w:space="0" w:color="auto"/>
            </w:tcBorders>
            <w:shd w:val="clear" w:color="auto" w:fill="FDE9D9" w:themeFill="accent6" w:themeFillTint="33"/>
            <w:vAlign w:val="center"/>
            <w:hideMark/>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第1</w:t>
            </w:r>
            <w:r w:rsidRPr="00A00D38">
              <w:rPr>
                <w:rFonts w:hAnsi="標楷體" w:cs="新細明體" w:hint="eastAsia"/>
                <w:color w:val="000000" w:themeColor="text1"/>
                <w:spacing w:val="-20"/>
                <w:kern w:val="0"/>
                <w:sz w:val="28"/>
                <w:szCs w:val="28"/>
              </w:rPr>
              <w:br/>
              <w:t>學期</w:t>
            </w:r>
          </w:p>
        </w:tc>
        <w:tc>
          <w:tcPr>
            <w:tcW w:w="851" w:type="dxa"/>
            <w:tcBorders>
              <w:bottom w:val="single" w:sz="4" w:space="0" w:color="auto"/>
            </w:tcBorders>
            <w:shd w:val="clear" w:color="auto" w:fill="FDE9D9" w:themeFill="accent6" w:themeFillTint="33"/>
            <w:vAlign w:val="center"/>
            <w:hideMark/>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第2</w:t>
            </w:r>
            <w:r w:rsidRPr="00A00D38">
              <w:rPr>
                <w:rFonts w:hAnsi="標楷體" w:cs="新細明體" w:hint="eastAsia"/>
                <w:color w:val="000000" w:themeColor="text1"/>
                <w:spacing w:val="-20"/>
                <w:kern w:val="0"/>
                <w:sz w:val="28"/>
                <w:szCs w:val="28"/>
              </w:rPr>
              <w:br/>
              <w:t>學期</w:t>
            </w:r>
          </w:p>
        </w:tc>
        <w:tc>
          <w:tcPr>
            <w:tcW w:w="850" w:type="dxa"/>
            <w:tcBorders>
              <w:bottom w:val="single" w:sz="4" w:space="0" w:color="auto"/>
            </w:tcBorders>
            <w:shd w:val="clear" w:color="auto" w:fill="FDE9D9" w:themeFill="accent6" w:themeFillTint="33"/>
            <w:vAlign w:val="center"/>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第1</w:t>
            </w:r>
            <w:r w:rsidRPr="00A00D38">
              <w:rPr>
                <w:rFonts w:hAnsi="標楷體" w:cs="新細明體" w:hint="eastAsia"/>
                <w:color w:val="000000" w:themeColor="text1"/>
                <w:spacing w:val="-20"/>
                <w:kern w:val="0"/>
                <w:sz w:val="28"/>
                <w:szCs w:val="28"/>
              </w:rPr>
              <w:br/>
              <w:t>學期</w:t>
            </w:r>
          </w:p>
        </w:tc>
        <w:tc>
          <w:tcPr>
            <w:tcW w:w="851" w:type="dxa"/>
            <w:tcBorders>
              <w:bottom w:val="single" w:sz="4" w:space="0" w:color="auto"/>
            </w:tcBorders>
            <w:shd w:val="clear" w:color="auto" w:fill="FDE9D9" w:themeFill="accent6" w:themeFillTint="33"/>
            <w:vAlign w:val="center"/>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第2</w:t>
            </w:r>
            <w:r w:rsidRPr="00A00D38">
              <w:rPr>
                <w:rFonts w:hAnsi="標楷體" w:cs="新細明體" w:hint="eastAsia"/>
                <w:color w:val="000000" w:themeColor="text1"/>
                <w:spacing w:val="-20"/>
                <w:kern w:val="0"/>
                <w:sz w:val="28"/>
                <w:szCs w:val="28"/>
              </w:rPr>
              <w:br/>
              <w:t>學期</w:t>
            </w:r>
          </w:p>
        </w:tc>
      </w:tr>
      <w:tr w:rsidR="00A00D38" w:rsidRPr="00A00D38" w:rsidTr="00021F7F">
        <w:trPr>
          <w:trHeight w:val="306"/>
        </w:trPr>
        <w:tc>
          <w:tcPr>
            <w:tcW w:w="1135" w:type="dxa"/>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獲獎人數</w:t>
            </w:r>
          </w:p>
        </w:tc>
        <w:tc>
          <w:tcPr>
            <w:tcW w:w="850" w:type="dxa"/>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33</w:t>
            </w:r>
          </w:p>
        </w:tc>
        <w:tc>
          <w:tcPr>
            <w:tcW w:w="851" w:type="dxa"/>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45</w:t>
            </w:r>
          </w:p>
        </w:tc>
        <w:tc>
          <w:tcPr>
            <w:tcW w:w="850" w:type="dxa"/>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68</w:t>
            </w:r>
          </w:p>
        </w:tc>
        <w:tc>
          <w:tcPr>
            <w:tcW w:w="851" w:type="dxa"/>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66</w:t>
            </w:r>
          </w:p>
        </w:tc>
        <w:tc>
          <w:tcPr>
            <w:tcW w:w="850" w:type="dxa"/>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87</w:t>
            </w:r>
          </w:p>
        </w:tc>
        <w:tc>
          <w:tcPr>
            <w:tcW w:w="851" w:type="dxa"/>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82</w:t>
            </w:r>
          </w:p>
        </w:tc>
        <w:tc>
          <w:tcPr>
            <w:tcW w:w="850" w:type="dxa"/>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196</w:t>
            </w:r>
          </w:p>
        </w:tc>
        <w:tc>
          <w:tcPr>
            <w:tcW w:w="851" w:type="dxa"/>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185</w:t>
            </w:r>
          </w:p>
        </w:tc>
        <w:tc>
          <w:tcPr>
            <w:tcW w:w="850" w:type="dxa"/>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206</w:t>
            </w:r>
          </w:p>
        </w:tc>
        <w:tc>
          <w:tcPr>
            <w:tcW w:w="851" w:type="dxa"/>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203</w:t>
            </w:r>
          </w:p>
        </w:tc>
      </w:tr>
      <w:tr w:rsidR="00A00D38" w:rsidRPr="00A00D38" w:rsidTr="00021F7F">
        <w:trPr>
          <w:trHeight w:val="612"/>
        </w:trPr>
        <w:tc>
          <w:tcPr>
            <w:tcW w:w="1135" w:type="dxa"/>
            <w:tcBorders>
              <w:bottom w:val="single" w:sz="4" w:space="0" w:color="auto"/>
            </w:tcBorders>
            <w:shd w:val="clear" w:color="auto" w:fill="auto"/>
            <w:vAlign w:val="center"/>
            <w:hideMark/>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核撥金額</w:t>
            </w:r>
            <w:r w:rsidRPr="00A00D38">
              <w:rPr>
                <w:rFonts w:hAnsi="標楷體" w:cs="新細明體" w:hint="eastAsia"/>
                <w:color w:val="000000" w:themeColor="text1"/>
                <w:spacing w:val="-20"/>
                <w:kern w:val="0"/>
                <w:sz w:val="28"/>
                <w:szCs w:val="28"/>
              </w:rPr>
              <w:br/>
              <w:t>(萬元)</w:t>
            </w:r>
          </w:p>
        </w:tc>
        <w:tc>
          <w:tcPr>
            <w:tcW w:w="850" w:type="dxa"/>
            <w:tcBorders>
              <w:bottom w:val="single" w:sz="4" w:space="0" w:color="auto"/>
            </w:tcBorders>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198</w:t>
            </w:r>
          </w:p>
        </w:tc>
        <w:tc>
          <w:tcPr>
            <w:tcW w:w="851" w:type="dxa"/>
            <w:tcBorders>
              <w:bottom w:val="single" w:sz="4" w:space="0" w:color="auto"/>
            </w:tcBorders>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270</w:t>
            </w:r>
          </w:p>
        </w:tc>
        <w:tc>
          <w:tcPr>
            <w:tcW w:w="850" w:type="dxa"/>
            <w:tcBorders>
              <w:bottom w:val="single" w:sz="4" w:space="0" w:color="auto"/>
            </w:tcBorders>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408</w:t>
            </w:r>
          </w:p>
        </w:tc>
        <w:tc>
          <w:tcPr>
            <w:tcW w:w="851" w:type="dxa"/>
            <w:tcBorders>
              <w:bottom w:val="single" w:sz="4" w:space="0" w:color="auto"/>
            </w:tcBorders>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396</w:t>
            </w:r>
          </w:p>
        </w:tc>
        <w:tc>
          <w:tcPr>
            <w:tcW w:w="850" w:type="dxa"/>
            <w:tcBorders>
              <w:bottom w:val="single" w:sz="4" w:space="0" w:color="auto"/>
            </w:tcBorders>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522</w:t>
            </w:r>
          </w:p>
        </w:tc>
        <w:tc>
          <w:tcPr>
            <w:tcW w:w="851" w:type="dxa"/>
            <w:tcBorders>
              <w:bottom w:val="single" w:sz="4" w:space="0" w:color="auto"/>
            </w:tcBorders>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492</w:t>
            </w:r>
          </w:p>
        </w:tc>
        <w:tc>
          <w:tcPr>
            <w:tcW w:w="850" w:type="dxa"/>
            <w:tcBorders>
              <w:bottom w:val="single" w:sz="4" w:space="0" w:color="auto"/>
            </w:tcBorders>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1,176</w:t>
            </w:r>
          </w:p>
        </w:tc>
        <w:tc>
          <w:tcPr>
            <w:tcW w:w="851" w:type="dxa"/>
            <w:tcBorders>
              <w:bottom w:val="single" w:sz="4" w:space="0" w:color="auto"/>
            </w:tcBorders>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1,110</w:t>
            </w:r>
          </w:p>
        </w:tc>
        <w:tc>
          <w:tcPr>
            <w:tcW w:w="850" w:type="dxa"/>
            <w:tcBorders>
              <w:bottom w:val="single" w:sz="4" w:space="0" w:color="auto"/>
            </w:tcBorders>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1,236</w:t>
            </w:r>
          </w:p>
        </w:tc>
        <w:tc>
          <w:tcPr>
            <w:tcW w:w="851" w:type="dxa"/>
            <w:tcBorders>
              <w:bottom w:val="single" w:sz="4" w:space="0" w:color="auto"/>
            </w:tcBorders>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1,218</w:t>
            </w:r>
          </w:p>
        </w:tc>
      </w:tr>
      <w:tr w:rsidR="00A00D38" w:rsidRPr="00A00D38" w:rsidTr="00021F7F">
        <w:trPr>
          <w:trHeight w:val="336"/>
        </w:trPr>
        <w:tc>
          <w:tcPr>
            <w:tcW w:w="1135" w:type="dxa"/>
            <w:vMerge w:val="restart"/>
            <w:shd w:val="clear" w:color="auto" w:fill="FDE9D9" w:themeFill="accent6" w:themeFillTint="33"/>
            <w:vAlign w:val="center"/>
            <w:hideMark/>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學年度</w:t>
            </w:r>
          </w:p>
        </w:tc>
        <w:tc>
          <w:tcPr>
            <w:tcW w:w="1701" w:type="dxa"/>
            <w:gridSpan w:val="2"/>
            <w:shd w:val="clear" w:color="auto" w:fill="FDE9D9" w:themeFill="accent6" w:themeFillTint="33"/>
            <w:noWrap/>
            <w:vAlign w:val="center"/>
            <w:hideMark/>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102</w:t>
            </w:r>
          </w:p>
        </w:tc>
        <w:tc>
          <w:tcPr>
            <w:tcW w:w="1701" w:type="dxa"/>
            <w:gridSpan w:val="2"/>
            <w:shd w:val="clear" w:color="auto" w:fill="FDE9D9" w:themeFill="accent6" w:themeFillTint="33"/>
            <w:noWrap/>
            <w:vAlign w:val="center"/>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103</w:t>
            </w:r>
          </w:p>
        </w:tc>
        <w:tc>
          <w:tcPr>
            <w:tcW w:w="1701" w:type="dxa"/>
            <w:gridSpan w:val="2"/>
            <w:shd w:val="clear" w:color="auto" w:fill="FDE9D9" w:themeFill="accent6" w:themeFillTint="33"/>
            <w:noWrap/>
            <w:vAlign w:val="center"/>
            <w:hideMark/>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104</w:t>
            </w:r>
          </w:p>
        </w:tc>
        <w:tc>
          <w:tcPr>
            <w:tcW w:w="1701" w:type="dxa"/>
            <w:gridSpan w:val="2"/>
            <w:shd w:val="clear" w:color="auto" w:fill="FDE9D9" w:themeFill="accent6" w:themeFillTint="33"/>
            <w:noWrap/>
            <w:vAlign w:val="center"/>
            <w:hideMark/>
          </w:tcPr>
          <w:p w:rsidR="006C2670" w:rsidRPr="00A00D38" w:rsidRDefault="006C2670" w:rsidP="00021F7F">
            <w:pPr>
              <w:widowControl/>
              <w:spacing w:line="360" w:lineRule="exact"/>
              <w:jc w:val="center"/>
              <w:rPr>
                <w:rFonts w:hAnsi="標楷體" w:cs="新細明體"/>
                <w:b/>
                <w:color w:val="000000" w:themeColor="text1"/>
                <w:spacing w:val="-20"/>
                <w:kern w:val="0"/>
                <w:sz w:val="28"/>
                <w:szCs w:val="28"/>
              </w:rPr>
            </w:pPr>
            <w:r w:rsidRPr="00A00D38">
              <w:rPr>
                <w:rFonts w:hAnsi="標楷體" w:cs="新細明體" w:hint="eastAsia"/>
                <w:b/>
                <w:color w:val="000000" w:themeColor="text1"/>
                <w:spacing w:val="-20"/>
                <w:kern w:val="0"/>
                <w:sz w:val="28"/>
                <w:szCs w:val="28"/>
              </w:rPr>
              <w:t>105</w:t>
            </w:r>
          </w:p>
        </w:tc>
        <w:tc>
          <w:tcPr>
            <w:tcW w:w="1701" w:type="dxa"/>
            <w:gridSpan w:val="2"/>
            <w:vMerge w:val="restart"/>
            <w:tcBorders>
              <w:tl2br w:val="single" w:sz="4" w:space="0" w:color="auto"/>
            </w:tcBorders>
            <w:shd w:val="clear" w:color="auto" w:fill="FFFFFF" w:themeFill="background1"/>
          </w:tcPr>
          <w:p w:rsidR="006C2670" w:rsidRPr="00A00D38" w:rsidRDefault="006C2670" w:rsidP="00021F7F">
            <w:pPr>
              <w:widowControl/>
              <w:spacing w:line="360" w:lineRule="exact"/>
              <w:jc w:val="center"/>
              <w:rPr>
                <w:rFonts w:hAnsi="標楷體" w:cs="新細明體"/>
                <w:b/>
                <w:color w:val="000000" w:themeColor="text1"/>
                <w:kern w:val="0"/>
                <w:sz w:val="28"/>
                <w:szCs w:val="28"/>
              </w:rPr>
            </w:pPr>
          </w:p>
        </w:tc>
      </w:tr>
      <w:tr w:rsidR="00A00D38" w:rsidRPr="00A00D38" w:rsidTr="00021F7F">
        <w:trPr>
          <w:trHeight w:val="491"/>
        </w:trPr>
        <w:tc>
          <w:tcPr>
            <w:tcW w:w="1135" w:type="dxa"/>
            <w:vMerge/>
            <w:shd w:val="clear" w:color="auto" w:fill="FDE9D9" w:themeFill="accent6" w:themeFillTint="33"/>
            <w:vAlign w:val="center"/>
            <w:hideMark/>
          </w:tcPr>
          <w:p w:rsidR="006C2670" w:rsidRPr="00A00D38" w:rsidRDefault="006C2670" w:rsidP="00021F7F">
            <w:pPr>
              <w:widowControl/>
              <w:spacing w:line="360" w:lineRule="exact"/>
              <w:rPr>
                <w:rFonts w:hAnsi="標楷體" w:cs="新細明體"/>
                <w:color w:val="000000" w:themeColor="text1"/>
                <w:spacing w:val="-20"/>
                <w:kern w:val="0"/>
                <w:sz w:val="28"/>
                <w:szCs w:val="28"/>
              </w:rPr>
            </w:pPr>
          </w:p>
        </w:tc>
        <w:tc>
          <w:tcPr>
            <w:tcW w:w="850" w:type="dxa"/>
            <w:shd w:val="clear" w:color="auto" w:fill="FDE9D9" w:themeFill="accent6" w:themeFillTint="33"/>
            <w:vAlign w:val="center"/>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第1</w:t>
            </w:r>
            <w:r w:rsidRPr="00A00D38">
              <w:rPr>
                <w:rFonts w:hAnsi="標楷體" w:cs="新細明體" w:hint="eastAsia"/>
                <w:color w:val="000000" w:themeColor="text1"/>
                <w:spacing w:val="-20"/>
                <w:kern w:val="0"/>
                <w:sz w:val="28"/>
                <w:szCs w:val="28"/>
              </w:rPr>
              <w:br/>
              <w:t>學期</w:t>
            </w:r>
          </w:p>
        </w:tc>
        <w:tc>
          <w:tcPr>
            <w:tcW w:w="851" w:type="dxa"/>
            <w:shd w:val="clear" w:color="auto" w:fill="FDE9D9" w:themeFill="accent6" w:themeFillTint="33"/>
            <w:vAlign w:val="center"/>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第2</w:t>
            </w:r>
            <w:r w:rsidRPr="00A00D38">
              <w:rPr>
                <w:rFonts w:hAnsi="標楷體" w:cs="新細明體" w:hint="eastAsia"/>
                <w:color w:val="000000" w:themeColor="text1"/>
                <w:spacing w:val="-20"/>
                <w:kern w:val="0"/>
                <w:sz w:val="28"/>
                <w:szCs w:val="28"/>
              </w:rPr>
              <w:br/>
              <w:t>學期</w:t>
            </w:r>
          </w:p>
        </w:tc>
        <w:tc>
          <w:tcPr>
            <w:tcW w:w="850" w:type="dxa"/>
            <w:shd w:val="clear" w:color="auto" w:fill="FDE9D9" w:themeFill="accent6" w:themeFillTint="33"/>
            <w:vAlign w:val="center"/>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第1</w:t>
            </w:r>
            <w:r w:rsidRPr="00A00D38">
              <w:rPr>
                <w:rFonts w:hAnsi="標楷體" w:cs="新細明體" w:hint="eastAsia"/>
                <w:color w:val="000000" w:themeColor="text1"/>
                <w:spacing w:val="-20"/>
                <w:kern w:val="0"/>
                <w:sz w:val="28"/>
                <w:szCs w:val="28"/>
              </w:rPr>
              <w:br/>
              <w:t>學期</w:t>
            </w:r>
          </w:p>
        </w:tc>
        <w:tc>
          <w:tcPr>
            <w:tcW w:w="851" w:type="dxa"/>
            <w:shd w:val="clear" w:color="auto" w:fill="FDE9D9" w:themeFill="accent6" w:themeFillTint="33"/>
            <w:vAlign w:val="center"/>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第2</w:t>
            </w:r>
            <w:r w:rsidRPr="00A00D38">
              <w:rPr>
                <w:rFonts w:hAnsi="標楷體" w:cs="新細明體" w:hint="eastAsia"/>
                <w:color w:val="000000" w:themeColor="text1"/>
                <w:spacing w:val="-20"/>
                <w:kern w:val="0"/>
                <w:sz w:val="28"/>
                <w:szCs w:val="28"/>
              </w:rPr>
              <w:br/>
              <w:t>學期</w:t>
            </w:r>
          </w:p>
        </w:tc>
        <w:tc>
          <w:tcPr>
            <w:tcW w:w="850" w:type="dxa"/>
            <w:shd w:val="clear" w:color="auto" w:fill="FDE9D9" w:themeFill="accent6" w:themeFillTint="33"/>
            <w:vAlign w:val="center"/>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第1</w:t>
            </w:r>
            <w:r w:rsidRPr="00A00D38">
              <w:rPr>
                <w:rFonts w:hAnsi="標楷體" w:cs="新細明體" w:hint="eastAsia"/>
                <w:color w:val="000000" w:themeColor="text1"/>
                <w:spacing w:val="-20"/>
                <w:kern w:val="0"/>
                <w:sz w:val="28"/>
                <w:szCs w:val="28"/>
              </w:rPr>
              <w:br/>
              <w:t>學期</w:t>
            </w:r>
          </w:p>
        </w:tc>
        <w:tc>
          <w:tcPr>
            <w:tcW w:w="851" w:type="dxa"/>
            <w:shd w:val="clear" w:color="auto" w:fill="FDE9D9" w:themeFill="accent6" w:themeFillTint="33"/>
            <w:vAlign w:val="center"/>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第2</w:t>
            </w:r>
            <w:r w:rsidRPr="00A00D38">
              <w:rPr>
                <w:rFonts w:hAnsi="標楷體" w:cs="新細明體" w:hint="eastAsia"/>
                <w:color w:val="000000" w:themeColor="text1"/>
                <w:spacing w:val="-20"/>
                <w:kern w:val="0"/>
                <w:sz w:val="28"/>
                <w:szCs w:val="28"/>
              </w:rPr>
              <w:br/>
              <w:t>學期</w:t>
            </w:r>
          </w:p>
        </w:tc>
        <w:tc>
          <w:tcPr>
            <w:tcW w:w="850" w:type="dxa"/>
            <w:shd w:val="clear" w:color="auto" w:fill="FDE9D9" w:themeFill="accent6" w:themeFillTint="33"/>
            <w:vAlign w:val="center"/>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第1</w:t>
            </w:r>
            <w:r w:rsidRPr="00A00D38">
              <w:rPr>
                <w:rFonts w:hAnsi="標楷體" w:cs="新細明體" w:hint="eastAsia"/>
                <w:color w:val="000000" w:themeColor="text1"/>
                <w:spacing w:val="-20"/>
                <w:kern w:val="0"/>
                <w:sz w:val="28"/>
                <w:szCs w:val="28"/>
              </w:rPr>
              <w:br/>
              <w:t>學期</w:t>
            </w:r>
          </w:p>
        </w:tc>
        <w:tc>
          <w:tcPr>
            <w:tcW w:w="851" w:type="dxa"/>
            <w:shd w:val="clear" w:color="auto" w:fill="FDE9D9" w:themeFill="accent6" w:themeFillTint="33"/>
            <w:vAlign w:val="center"/>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第2</w:t>
            </w:r>
            <w:r w:rsidRPr="00A00D38">
              <w:rPr>
                <w:rFonts w:hAnsi="標楷體" w:cs="新細明體" w:hint="eastAsia"/>
                <w:color w:val="000000" w:themeColor="text1"/>
                <w:spacing w:val="-20"/>
                <w:kern w:val="0"/>
                <w:sz w:val="28"/>
                <w:szCs w:val="28"/>
              </w:rPr>
              <w:br/>
              <w:t>學期</w:t>
            </w:r>
          </w:p>
        </w:tc>
        <w:tc>
          <w:tcPr>
            <w:tcW w:w="1701" w:type="dxa"/>
            <w:gridSpan w:val="2"/>
            <w:vMerge/>
            <w:tcBorders>
              <w:tl2br w:val="single" w:sz="4" w:space="0" w:color="auto"/>
            </w:tcBorders>
            <w:shd w:val="clear" w:color="auto" w:fill="FFFFFF" w:themeFill="background1"/>
          </w:tcPr>
          <w:p w:rsidR="006C2670" w:rsidRPr="00A00D38" w:rsidRDefault="006C2670" w:rsidP="00021F7F">
            <w:pPr>
              <w:widowControl/>
              <w:spacing w:line="360" w:lineRule="exact"/>
              <w:jc w:val="center"/>
              <w:rPr>
                <w:rFonts w:hAnsi="標楷體" w:cs="新細明體"/>
                <w:color w:val="000000" w:themeColor="text1"/>
                <w:kern w:val="0"/>
                <w:sz w:val="28"/>
                <w:szCs w:val="28"/>
              </w:rPr>
            </w:pPr>
          </w:p>
        </w:tc>
      </w:tr>
      <w:tr w:rsidR="00A00D38" w:rsidRPr="00A00D38" w:rsidTr="00021F7F">
        <w:trPr>
          <w:trHeight w:val="336"/>
        </w:trPr>
        <w:tc>
          <w:tcPr>
            <w:tcW w:w="1135" w:type="dxa"/>
            <w:shd w:val="clear" w:color="auto" w:fill="auto"/>
            <w:vAlign w:val="center"/>
            <w:hideMark/>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獲獎人數</w:t>
            </w:r>
          </w:p>
        </w:tc>
        <w:tc>
          <w:tcPr>
            <w:tcW w:w="850"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228</w:t>
            </w:r>
          </w:p>
        </w:tc>
        <w:tc>
          <w:tcPr>
            <w:tcW w:w="851"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228</w:t>
            </w:r>
          </w:p>
        </w:tc>
        <w:tc>
          <w:tcPr>
            <w:tcW w:w="850"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238</w:t>
            </w:r>
          </w:p>
        </w:tc>
        <w:tc>
          <w:tcPr>
            <w:tcW w:w="851"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216</w:t>
            </w:r>
          </w:p>
        </w:tc>
        <w:tc>
          <w:tcPr>
            <w:tcW w:w="850"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251</w:t>
            </w:r>
          </w:p>
        </w:tc>
        <w:tc>
          <w:tcPr>
            <w:tcW w:w="851"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237</w:t>
            </w:r>
          </w:p>
        </w:tc>
        <w:tc>
          <w:tcPr>
            <w:tcW w:w="850"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280</w:t>
            </w:r>
          </w:p>
        </w:tc>
        <w:tc>
          <w:tcPr>
            <w:tcW w:w="851"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w:t>
            </w:r>
          </w:p>
        </w:tc>
        <w:tc>
          <w:tcPr>
            <w:tcW w:w="1701" w:type="dxa"/>
            <w:gridSpan w:val="2"/>
            <w:vMerge/>
            <w:tcBorders>
              <w:tl2br w:val="single" w:sz="4" w:space="0" w:color="auto"/>
            </w:tcBorders>
            <w:shd w:val="clear" w:color="auto" w:fill="FFFFFF" w:themeFill="background1"/>
          </w:tcPr>
          <w:p w:rsidR="006C2670" w:rsidRPr="00A00D38" w:rsidRDefault="006C2670" w:rsidP="00021F7F">
            <w:pPr>
              <w:widowControl/>
              <w:spacing w:line="360" w:lineRule="exact"/>
              <w:jc w:val="center"/>
              <w:rPr>
                <w:rFonts w:hAnsi="標楷體" w:cs="新細明體"/>
                <w:color w:val="000000" w:themeColor="text1"/>
                <w:kern w:val="0"/>
                <w:sz w:val="28"/>
                <w:szCs w:val="28"/>
              </w:rPr>
            </w:pPr>
          </w:p>
        </w:tc>
      </w:tr>
      <w:tr w:rsidR="00A00D38" w:rsidRPr="00A00D38" w:rsidTr="00021F7F">
        <w:trPr>
          <w:trHeight w:val="752"/>
        </w:trPr>
        <w:tc>
          <w:tcPr>
            <w:tcW w:w="1135" w:type="dxa"/>
            <w:shd w:val="clear" w:color="auto" w:fill="auto"/>
            <w:vAlign w:val="center"/>
            <w:hideMark/>
          </w:tcPr>
          <w:p w:rsidR="006C2670" w:rsidRPr="00A00D38" w:rsidRDefault="006C2670" w:rsidP="00021F7F">
            <w:pPr>
              <w:widowControl/>
              <w:spacing w:line="28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核撥金額</w:t>
            </w:r>
            <w:r w:rsidRPr="00A00D38">
              <w:rPr>
                <w:rFonts w:hAnsi="標楷體" w:cs="新細明體" w:hint="eastAsia"/>
                <w:color w:val="000000" w:themeColor="text1"/>
                <w:spacing w:val="-20"/>
                <w:kern w:val="0"/>
                <w:sz w:val="28"/>
                <w:szCs w:val="28"/>
              </w:rPr>
              <w:br/>
              <w:t>(萬元)</w:t>
            </w:r>
          </w:p>
        </w:tc>
        <w:tc>
          <w:tcPr>
            <w:tcW w:w="850"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1,368</w:t>
            </w:r>
          </w:p>
        </w:tc>
        <w:tc>
          <w:tcPr>
            <w:tcW w:w="851"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1,368</w:t>
            </w:r>
          </w:p>
        </w:tc>
        <w:tc>
          <w:tcPr>
            <w:tcW w:w="850"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1,428</w:t>
            </w:r>
          </w:p>
        </w:tc>
        <w:tc>
          <w:tcPr>
            <w:tcW w:w="851"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1,296</w:t>
            </w:r>
          </w:p>
        </w:tc>
        <w:tc>
          <w:tcPr>
            <w:tcW w:w="850"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1,506</w:t>
            </w:r>
          </w:p>
        </w:tc>
        <w:tc>
          <w:tcPr>
            <w:tcW w:w="851"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1,434</w:t>
            </w:r>
          </w:p>
        </w:tc>
        <w:tc>
          <w:tcPr>
            <w:tcW w:w="850"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1,680</w:t>
            </w:r>
          </w:p>
        </w:tc>
        <w:tc>
          <w:tcPr>
            <w:tcW w:w="851" w:type="dxa"/>
            <w:shd w:val="clear" w:color="auto" w:fill="auto"/>
            <w:noWrap/>
            <w:vAlign w:val="center"/>
          </w:tcPr>
          <w:p w:rsidR="006C2670" w:rsidRPr="00A00D38" w:rsidRDefault="006C2670" w:rsidP="00021F7F">
            <w:pPr>
              <w:widowControl/>
              <w:spacing w:line="360" w:lineRule="exact"/>
              <w:jc w:val="center"/>
              <w:rPr>
                <w:rFonts w:hAnsi="標楷體" w:cs="新細明體"/>
                <w:color w:val="000000" w:themeColor="text1"/>
                <w:spacing w:val="-20"/>
                <w:kern w:val="0"/>
                <w:sz w:val="28"/>
                <w:szCs w:val="28"/>
              </w:rPr>
            </w:pPr>
            <w:r w:rsidRPr="00A00D38">
              <w:rPr>
                <w:rFonts w:hAnsi="標楷體" w:cs="新細明體" w:hint="eastAsia"/>
                <w:color w:val="000000" w:themeColor="text1"/>
                <w:spacing w:val="-20"/>
                <w:kern w:val="0"/>
                <w:sz w:val="28"/>
                <w:szCs w:val="28"/>
              </w:rPr>
              <w:t>-</w:t>
            </w:r>
          </w:p>
        </w:tc>
        <w:tc>
          <w:tcPr>
            <w:tcW w:w="1701" w:type="dxa"/>
            <w:gridSpan w:val="2"/>
            <w:vMerge/>
            <w:tcBorders>
              <w:tl2br w:val="single" w:sz="4" w:space="0" w:color="auto"/>
            </w:tcBorders>
            <w:shd w:val="clear" w:color="auto" w:fill="FFFFFF" w:themeFill="background1"/>
          </w:tcPr>
          <w:p w:rsidR="006C2670" w:rsidRPr="00A00D38" w:rsidRDefault="006C2670" w:rsidP="00021F7F">
            <w:pPr>
              <w:widowControl/>
              <w:spacing w:line="360" w:lineRule="exact"/>
              <w:jc w:val="center"/>
              <w:rPr>
                <w:rFonts w:hAnsi="標楷體" w:cs="新細明體"/>
                <w:color w:val="000000" w:themeColor="text1"/>
                <w:kern w:val="0"/>
                <w:sz w:val="28"/>
                <w:szCs w:val="28"/>
              </w:rPr>
            </w:pPr>
          </w:p>
        </w:tc>
      </w:tr>
    </w:tbl>
    <w:p w:rsidR="006C2670" w:rsidRPr="00A00D38" w:rsidRDefault="006C2670" w:rsidP="006C2670">
      <w:pPr>
        <w:pStyle w:val="af8"/>
        <w:spacing w:line="240" w:lineRule="exact"/>
        <w:ind w:leftChars="-100" w:left="-340"/>
        <w:rPr>
          <w:color w:val="000000" w:themeColor="text1"/>
          <w:sz w:val="24"/>
          <w:szCs w:val="24"/>
        </w:rPr>
      </w:pPr>
      <w:r w:rsidRPr="00A00D38">
        <w:rPr>
          <w:rFonts w:hint="eastAsia"/>
          <w:color w:val="000000" w:themeColor="text1"/>
          <w:sz w:val="24"/>
          <w:szCs w:val="24"/>
        </w:rPr>
        <w:t>資料來源：教育部查復資料。</w:t>
      </w:r>
    </w:p>
    <w:p w:rsidR="006C2670" w:rsidRPr="00A00D38" w:rsidRDefault="006C2670" w:rsidP="006C2670">
      <w:pPr>
        <w:pStyle w:val="af8"/>
        <w:spacing w:line="240" w:lineRule="exact"/>
        <w:ind w:leftChars="-100" w:left="-340"/>
        <w:rPr>
          <w:color w:val="000000" w:themeColor="text1"/>
          <w:sz w:val="24"/>
          <w:szCs w:val="24"/>
        </w:rPr>
      </w:pPr>
    </w:p>
    <w:p w:rsidR="006C2670" w:rsidRPr="00A00D38" w:rsidRDefault="006C2670" w:rsidP="006C2670">
      <w:pPr>
        <w:pStyle w:val="6"/>
        <w:rPr>
          <w:rFonts w:hAnsi="標楷體"/>
          <w:color w:val="000000" w:themeColor="text1"/>
        </w:rPr>
      </w:pPr>
      <w:bookmarkStart w:id="290" w:name="_Toc488227874"/>
      <w:bookmarkStart w:id="291" w:name="_Toc489383088"/>
      <w:bookmarkStart w:id="292" w:name="_Toc491711228"/>
      <w:bookmarkEnd w:id="286"/>
      <w:bookmarkEnd w:id="287"/>
      <w:bookmarkEnd w:id="288"/>
      <w:r w:rsidRPr="00A00D38">
        <w:rPr>
          <w:rFonts w:hint="eastAsia"/>
          <w:color w:val="000000" w:themeColor="text1"/>
        </w:rPr>
        <w:t>另本案調查詢據教育部關於補助短期研修、交換、訪問等經費補助情形，該部並未提供。</w:t>
      </w:r>
      <w:r w:rsidRPr="00A00D38">
        <w:rPr>
          <w:color w:val="000000" w:themeColor="text1"/>
        </w:rPr>
        <w:br/>
      </w:r>
    </w:p>
    <w:p w:rsidR="006C2670" w:rsidRPr="00A00D38" w:rsidRDefault="006C2670" w:rsidP="006C2670">
      <w:pPr>
        <w:pStyle w:val="3"/>
        <w:rPr>
          <w:rFonts w:hAnsi="標楷體"/>
          <w:color w:val="000000" w:themeColor="text1"/>
        </w:rPr>
      </w:pPr>
      <w:bookmarkStart w:id="293" w:name="_Toc492371102"/>
      <w:r w:rsidRPr="00A00D38">
        <w:rPr>
          <w:rFonts w:ascii="Times New Roman" w:hAnsi="Times New Roman" w:hint="eastAsia"/>
          <w:color w:val="000000" w:themeColor="text1"/>
          <w:kern w:val="2"/>
          <w:szCs w:val="20"/>
        </w:rPr>
        <w:t>前述各推動計畫與資源補助，我國高等教育國際化程度有無追蹤政策效益確認機制？以</w:t>
      </w:r>
      <w:r w:rsidRPr="00A00D38">
        <w:rPr>
          <w:rFonts w:hAnsi="標楷體" w:hint="eastAsia"/>
          <w:color w:val="000000" w:themeColor="text1"/>
        </w:rPr>
        <w:t>「</w:t>
      </w:r>
      <w:r w:rsidRPr="00A00D38">
        <w:rPr>
          <w:rFonts w:hAnsi="標楷體"/>
          <w:color w:val="000000" w:themeColor="text1"/>
        </w:rPr>
        <w:t>邁向頂尖大學計畫</w:t>
      </w:r>
      <w:r w:rsidRPr="00A00D38">
        <w:rPr>
          <w:rFonts w:hAnsi="標楷體" w:hint="eastAsia"/>
          <w:color w:val="000000" w:themeColor="text1"/>
        </w:rPr>
        <w:t>」及「獎勵大學教學卓越計畫」而言，國際化相關績效指標乃屬整體計畫之一環，又各該計畫之各期補助審查基準，均以學校研究或教學成果進行綜合性評核，亦即，有無僅藉各該計畫即引導學校提升國際化程度，或覈實達成全英語授課、國際人才引進及學生赴國外學習等績效目標？洵有可議。</w:t>
      </w:r>
      <w:bookmarkEnd w:id="290"/>
      <w:bookmarkEnd w:id="291"/>
      <w:bookmarkEnd w:id="292"/>
      <w:bookmarkEnd w:id="293"/>
      <w:r w:rsidRPr="00A00D38">
        <w:rPr>
          <w:rFonts w:hAnsi="標楷體"/>
          <w:color w:val="000000" w:themeColor="text1"/>
        </w:rPr>
        <w:br/>
      </w:r>
    </w:p>
    <w:p w:rsidR="006C2670" w:rsidRPr="00A00D38" w:rsidRDefault="006C2670" w:rsidP="006C2670">
      <w:pPr>
        <w:pStyle w:val="3"/>
        <w:rPr>
          <w:color w:val="000000" w:themeColor="text1"/>
        </w:rPr>
      </w:pPr>
      <w:bookmarkStart w:id="294" w:name="_Toc489383089"/>
      <w:bookmarkStart w:id="295" w:name="_Toc491711229"/>
      <w:bookmarkStart w:id="296" w:name="_Toc492371103"/>
      <w:bookmarkStart w:id="297" w:name="_Toc488227875"/>
      <w:r w:rsidRPr="00A00D38">
        <w:rPr>
          <w:rFonts w:ascii="Times New Roman" w:hAnsi="Times New Roman" w:hint="eastAsia"/>
          <w:color w:val="000000" w:themeColor="text1"/>
          <w:kern w:val="2"/>
          <w:szCs w:val="20"/>
        </w:rPr>
        <w:t>復據教育部查復，</w:t>
      </w:r>
      <w:r w:rsidRPr="00A00D38">
        <w:rPr>
          <w:rFonts w:hint="eastAsia"/>
          <w:color w:val="000000" w:themeColor="text1"/>
        </w:rPr>
        <w:t>為擴大招收境外學生來臺就學及促進臺灣高等教育輸出，自102年起辦理</w:t>
      </w:r>
      <w:r w:rsidRPr="00A00D38">
        <w:rPr>
          <w:rFonts w:hAnsi="標楷體" w:hint="eastAsia"/>
          <w:color w:val="000000" w:themeColor="text1"/>
        </w:rPr>
        <w:t>「</w:t>
      </w:r>
      <w:r w:rsidRPr="00A00D38">
        <w:rPr>
          <w:rFonts w:hint="eastAsia"/>
          <w:color w:val="000000" w:themeColor="text1"/>
        </w:rPr>
        <w:t>教育部建立大專校院國際化品質視導機制試辦計畫</w:t>
      </w:r>
      <w:r w:rsidRPr="00A00D38">
        <w:rPr>
          <w:rFonts w:hAnsi="標楷體" w:hint="eastAsia"/>
          <w:color w:val="000000" w:themeColor="text1"/>
        </w:rPr>
        <w:t>」</w:t>
      </w:r>
      <w:r w:rsidRPr="00A00D38">
        <w:rPr>
          <w:rFonts w:hint="eastAsia"/>
          <w:color w:val="000000" w:themeColor="text1"/>
        </w:rPr>
        <w:t>，其執行方式分為學校自我評核、書面審查、實地訪評、綜合評審、結果通知、受理申復及檢討改進等7階段，國際化品質評核指標包含3個層面及53個國際化指標(指標分配如下表</w:t>
      </w:r>
      <w:r w:rsidR="0009317C">
        <w:rPr>
          <w:rFonts w:hint="eastAsia"/>
          <w:color w:val="000000" w:themeColor="text1"/>
        </w:rPr>
        <w:t>17</w:t>
      </w:r>
      <w:r w:rsidRPr="00A00D38">
        <w:rPr>
          <w:rFonts w:hint="eastAsia"/>
          <w:color w:val="000000" w:themeColor="text1"/>
        </w:rPr>
        <w:t>)</w:t>
      </w:r>
      <w:bookmarkEnd w:id="294"/>
      <w:r w:rsidRPr="00A00D38">
        <w:rPr>
          <w:rFonts w:hint="eastAsia"/>
          <w:color w:val="000000" w:themeColor="text1"/>
        </w:rPr>
        <w:t>；指標詳如附件六。</w:t>
      </w:r>
      <w:bookmarkEnd w:id="295"/>
      <w:bookmarkEnd w:id="296"/>
    </w:p>
    <w:p w:rsidR="006C2670" w:rsidRPr="00A00D38" w:rsidRDefault="006C2670" w:rsidP="006C2670">
      <w:pPr>
        <w:pStyle w:val="a4"/>
        <w:ind w:left="0" w:firstLine="0"/>
        <w:jc w:val="center"/>
        <w:rPr>
          <w:rFonts w:hAnsi="標楷體"/>
          <w:b/>
          <w:color w:val="000000" w:themeColor="text1"/>
        </w:rPr>
      </w:pPr>
      <w:r w:rsidRPr="00A00D38">
        <w:rPr>
          <w:rFonts w:hAnsi="標楷體" w:hint="eastAsia"/>
          <w:b/>
          <w:color w:val="000000" w:themeColor="text1"/>
        </w:rPr>
        <w:t>國際化品質評核指標分布情形</w:t>
      </w:r>
    </w:p>
    <w:tbl>
      <w:tblPr>
        <w:tblStyle w:val="6-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402"/>
        <w:gridCol w:w="1460"/>
      </w:tblGrid>
      <w:tr w:rsidR="00A00D38" w:rsidRPr="00A00D38" w:rsidTr="00391B07">
        <w:trPr>
          <w:cnfStyle w:val="100000000000" w:firstRow="1" w:lastRow="0" w:firstColumn="0" w:lastColumn="0" w:oddVBand="0" w:evenVBand="0" w:oddHBand="0" w:evenHBand="0" w:firstRowFirstColumn="0" w:firstRowLastColumn="0" w:lastRowFirstColumn="0" w:lastRowLastColumn="0"/>
          <w:trHeight w:val="454"/>
          <w:tblHeader/>
          <w:jc w:val="center"/>
        </w:trPr>
        <w:tc>
          <w:tcPr>
            <w:cnfStyle w:val="001000000000" w:firstRow="0" w:lastRow="0" w:firstColumn="1" w:lastColumn="0" w:oddVBand="0" w:evenVBand="0" w:oddHBand="0" w:evenHBand="0" w:firstRowFirstColumn="0" w:firstRowLastColumn="0" w:lastRowFirstColumn="0" w:lastRowLastColumn="0"/>
            <w:tcW w:w="6030" w:type="dxa"/>
            <w:gridSpan w:val="2"/>
            <w:shd w:val="clear" w:color="auto" w:fill="FDE9D9" w:themeFill="accent6" w:themeFillTint="33"/>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rPr>
                <w:rFonts w:hAnsi="標楷體"/>
                <w:color w:val="000000" w:themeColor="text1"/>
                <w:sz w:val="28"/>
                <w:szCs w:val="28"/>
              </w:rPr>
            </w:pPr>
            <w:r w:rsidRPr="00A00D38">
              <w:rPr>
                <w:rFonts w:hAnsi="標楷體" w:hint="eastAsia"/>
                <w:color w:val="000000" w:themeColor="text1"/>
                <w:sz w:val="28"/>
                <w:szCs w:val="28"/>
              </w:rPr>
              <w:t>國際化品質評核指標分類</w:t>
            </w:r>
          </w:p>
        </w:tc>
        <w:tc>
          <w:tcPr>
            <w:tcW w:w="1460" w:type="dxa"/>
            <w:shd w:val="clear" w:color="auto" w:fill="FDE9D9" w:themeFill="accent6" w:themeFillTint="33"/>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cnfStyle w:val="100000000000" w:firstRow="1"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指標個數</w:t>
            </w:r>
          </w:p>
        </w:tc>
      </w:tr>
      <w:tr w:rsidR="00A00D38" w:rsidRPr="00A00D38" w:rsidTr="00021F7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030" w:type="dxa"/>
            <w:gridSpan w:val="2"/>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rPr>
                <w:rFonts w:hAnsi="標楷體"/>
                <w:color w:val="000000" w:themeColor="text1"/>
                <w:sz w:val="28"/>
                <w:szCs w:val="28"/>
              </w:rPr>
            </w:pPr>
            <w:r w:rsidRPr="00A00D38">
              <w:rPr>
                <w:rFonts w:hAnsi="標楷體" w:hint="eastAsia"/>
                <w:color w:val="000000" w:themeColor="text1"/>
                <w:sz w:val="28"/>
                <w:szCs w:val="28"/>
              </w:rPr>
              <w:t>國際化發展目標、策略與組織</w:t>
            </w:r>
          </w:p>
        </w:tc>
        <w:tc>
          <w:tcPr>
            <w:tcW w:w="1460"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3</w:t>
            </w:r>
          </w:p>
        </w:tc>
      </w:tr>
      <w:tr w:rsidR="00A00D38" w:rsidRPr="00A00D38" w:rsidTr="00021F7F">
        <w:trPr>
          <w:trHeight w:val="454"/>
          <w:jc w:val="center"/>
        </w:trPr>
        <w:tc>
          <w:tcPr>
            <w:cnfStyle w:val="001000000000" w:firstRow="0" w:lastRow="0" w:firstColumn="1" w:lastColumn="0" w:oddVBand="0" w:evenVBand="0" w:oddHBand="0" w:evenHBand="0" w:firstRowFirstColumn="0" w:firstRowLastColumn="0" w:lastRowFirstColumn="0" w:lastRowLastColumn="0"/>
            <w:tcW w:w="2628" w:type="dxa"/>
            <w:vMerge w:val="restart"/>
            <w:shd w:val="clear" w:color="auto" w:fill="auto"/>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rPr>
                <w:rFonts w:hAnsi="標楷體"/>
                <w:color w:val="000000" w:themeColor="text1"/>
                <w:sz w:val="28"/>
                <w:szCs w:val="28"/>
              </w:rPr>
            </w:pPr>
            <w:r w:rsidRPr="00A00D38">
              <w:rPr>
                <w:rFonts w:hAnsi="標楷體" w:hint="eastAsia"/>
                <w:color w:val="000000" w:themeColor="text1"/>
                <w:sz w:val="28"/>
                <w:szCs w:val="28"/>
              </w:rPr>
              <w:t>國際化機制與制度</w:t>
            </w:r>
          </w:p>
        </w:tc>
        <w:tc>
          <w:tcPr>
            <w:tcW w:w="3402"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國際化學習資源</w:t>
            </w:r>
          </w:p>
        </w:tc>
        <w:tc>
          <w:tcPr>
            <w:tcW w:w="1460"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6</w:t>
            </w:r>
          </w:p>
        </w:tc>
      </w:tr>
      <w:tr w:rsidR="00A00D38" w:rsidRPr="00A00D38" w:rsidTr="00021F7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28" w:type="dxa"/>
            <w:vMerge/>
            <w:shd w:val="clear" w:color="auto" w:fill="auto"/>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rPr>
                <w:rFonts w:hAnsi="標楷體"/>
                <w:color w:val="000000" w:themeColor="text1"/>
                <w:sz w:val="28"/>
                <w:szCs w:val="28"/>
              </w:rPr>
            </w:pPr>
          </w:p>
        </w:tc>
        <w:tc>
          <w:tcPr>
            <w:tcW w:w="3402"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境外學生服務及支援</w:t>
            </w:r>
          </w:p>
        </w:tc>
        <w:tc>
          <w:tcPr>
            <w:tcW w:w="1460"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19</w:t>
            </w:r>
          </w:p>
        </w:tc>
      </w:tr>
      <w:tr w:rsidR="00A00D38" w:rsidRPr="00A00D38" w:rsidTr="00021F7F">
        <w:trPr>
          <w:trHeight w:val="454"/>
          <w:jc w:val="center"/>
        </w:trPr>
        <w:tc>
          <w:tcPr>
            <w:cnfStyle w:val="001000000000" w:firstRow="0" w:lastRow="0" w:firstColumn="1" w:lastColumn="0" w:oddVBand="0" w:evenVBand="0" w:oddHBand="0" w:evenHBand="0" w:firstRowFirstColumn="0" w:firstRowLastColumn="0" w:lastRowFirstColumn="0" w:lastRowLastColumn="0"/>
            <w:tcW w:w="2628" w:type="dxa"/>
            <w:vMerge/>
            <w:shd w:val="clear" w:color="auto" w:fill="auto"/>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rPr>
                <w:rFonts w:hAnsi="標楷體"/>
                <w:color w:val="000000" w:themeColor="text1"/>
                <w:sz w:val="28"/>
                <w:szCs w:val="28"/>
              </w:rPr>
            </w:pPr>
          </w:p>
        </w:tc>
        <w:tc>
          <w:tcPr>
            <w:tcW w:w="3402"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國際化素養及制度建立</w:t>
            </w:r>
          </w:p>
        </w:tc>
        <w:tc>
          <w:tcPr>
            <w:tcW w:w="1460"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8</w:t>
            </w:r>
          </w:p>
        </w:tc>
      </w:tr>
      <w:tr w:rsidR="00A00D38" w:rsidRPr="00A00D38" w:rsidTr="00021F7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28" w:type="dxa"/>
            <w:vMerge/>
            <w:shd w:val="clear" w:color="auto" w:fill="auto"/>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rPr>
                <w:rFonts w:hAnsi="標楷體"/>
                <w:color w:val="000000" w:themeColor="text1"/>
                <w:sz w:val="28"/>
                <w:szCs w:val="28"/>
              </w:rPr>
            </w:pPr>
          </w:p>
        </w:tc>
        <w:tc>
          <w:tcPr>
            <w:tcW w:w="3402"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英文網站</w:t>
            </w:r>
          </w:p>
        </w:tc>
        <w:tc>
          <w:tcPr>
            <w:tcW w:w="1460"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6</w:t>
            </w:r>
          </w:p>
        </w:tc>
      </w:tr>
      <w:tr w:rsidR="00A00D38" w:rsidRPr="00A00D38" w:rsidTr="00021F7F">
        <w:trPr>
          <w:trHeight w:val="454"/>
          <w:jc w:val="center"/>
        </w:trPr>
        <w:tc>
          <w:tcPr>
            <w:cnfStyle w:val="001000000000" w:firstRow="0" w:lastRow="0" w:firstColumn="1" w:lastColumn="0" w:oddVBand="0" w:evenVBand="0" w:oddHBand="0" w:evenHBand="0" w:firstRowFirstColumn="0" w:firstRowLastColumn="0" w:lastRowFirstColumn="0" w:lastRowLastColumn="0"/>
            <w:tcW w:w="2628" w:type="dxa"/>
            <w:vMerge/>
            <w:shd w:val="clear" w:color="auto" w:fill="auto"/>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rPr>
                <w:rFonts w:hAnsi="標楷體"/>
                <w:color w:val="000000" w:themeColor="text1"/>
                <w:sz w:val="28"/>
                <w:szCs w:val="28"/>
              </w:rPr>
            </w:pPr>
          </w:p>
        </w:tc>
        <w:tc>
          <w:tcPr>
            <w:tcW w:w="3402"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國際化校園及資訊系統</w:t>
            </w:r>
          </w:p>
        </w:tc>
        <w:tc>
          <w:tcPr>
            <w:tcW w:w="1460"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cnfStyle w:val="000000000000" w:firstRow="0" w:lastRow="0" w:firstColumn="0" w:lastColumn="0" w:oddVBand="0" w:evenVBand="0" w:oddHBand="0"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5</w:t>
            </w:r>
          </w:p>
        </w:tc>
      </w:tr>
      <w:tr w:rsidR="00A00D38" w:rsidRPr="00A00D38" w:rsidTr="00021F7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030" w:type="dxa"/>
            <w:gridSpan w:val="2"/>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rPr>
                <w:rFonts w:hAnsi="標楷體"/>
                <w:color w:val="000000" w:themeColor="text1"/>
                <w:sz w:val="28"/>
                <w:szCs w:val="28"/>
              </w:rPr>
            </w:pPr>
            <w:r w:rsidRPr="00A00D38">
              <w:rPr>
                <w:rFonts w:hAnsi="標楷體" w:hint="eastAsia"/>
                <w:color w:val="000000" w:themeColor="text1"/>
                <w:sz w:val="28"/>
                <w:szCs w:val="28"/>
              </w:rPr>
              <w:t>國際化成果</w:t>
            </w:r>
          </w:p>
        </w:tc>
        <w:tc>
          <w:tcPr>
            <w:tcW w:w="1460"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cnfStyle w:val="000000100000" w:firstRow="0" w:lastRow="0" w:firstColumn="0" w:lastColumn="0" w:oddVBand="0" w:evenVBand="0" w:oddHBand="1" w:evenHBand="0" w:firstRowFirstColumn="0" w:firstRowLastColumn="0" w:lastRowFirstColumn="0" w:lastRowLastColumn="0"/>
              <w:rPr>
                <w:rFonts w:hAnsi="標楷體"/>
                <w:color w:val="000000" w:themeColor="text1"/>
                <w:sz w:val="28"/>
                <w:szCs w:val="28"/>
              </w:rPr>
            </w:pPr>
            <w:r w:rsidRPr="00A00D38">
              <w:rPr>
                <w:rFonts w:hAnsi="標楷體" w:hint="eastAsia"/>
                <w:color w:val="000000" w:themeColor="text1"/>
                <w:sz w:val="28"/>
                <w:szCs w:val="28"/>
              </w:rPr>
              <w:t>6</w:t>
            </w:r>
          </w:p>
        </w:tc>
      </w:tr>
      <w:tr w:rsidR="00A00D38" w:rsidRPr="00A00D38" w:rsidTr="00021F7F">
        <w:trPr>
          <w:trHeight w:val="454"/>
          <w:jc w:val="center"/>
        </w:trPr>
        <w:tc>
          <w:tcPr>
            <w:cnfStyle w:val="001000000000" w:firstRow="0" w:lastRow="0" w:firstColumn="1" w:lastColumn="0" w:oddVBand="0" w:evenVBand="0" w:oddHBand="0" w:evenHBand="0" w:firstRowFirstColumn="0" w:firstRowLastColumn="0" w:lastRowFirstColumn="0" w:lastRowLastColumn="0"/>
            <w:tcW w:w="6030" w:type="dxa"/>
            <w:gridSpan w:val="2"/>
            <w:shd w:val="clear" w:color="auto" w:fill="auto"/>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rPr>
                <w:rFonts w:hAnsi="標楷體"/>
                <w:b w:val="0"/>
                <w:color w:val="000000" w:themeColor="text1"/>
                <w:sz w:val="28"/>
                <w:szCs w:val="28"/>
              </w:rPr>
            </w:pPr>
            <w:r w:rsidRPr="00A00D38">
              <w:rPr>
                <w:rFonts w:hAnsi="標楷體" w:hint="eastAsia"/>
                <w:b w:val="0"/>
                <w:color w:val="000000" w:themeColor="text1"/>
                <w:sz w:val="28"/>
                <w:szCs w:val="28"/>
              </w:rPr>
              <w:t>合計</w:t>
            </w:r>
          </w:p>
        </w:tc>
        <w:tc>
          <w:tcPr>
            <w:tcW w:w="1460" w:type="dxa"/>
            <w:shd w:val="clear" w:color="auto" w:fill="auto"/>
            <w:vAlign w:val="center"/>
          </w:tcPr>
          <w:p w:rsidR="006C2670" w:rsidRPr="00A00D38" w:rsidRDefault="006C2670" w:rsidP="00021F7F">
            <w:pPr>
              <w:tabs>
                <w:tab w:val="left" w:pos="0"/>
                <w:tab w:val="left" w:pos="426"/>
                <w:tab w:val="left" w:pos="709"/>
              </w:tabs>
              <w:adjustRightInd w:val="0"/>
              <w:snapToGrid w:val="0"/>
              <w:spacing w:line="360" w:lineRule="exact"/>
              <w:ind w:rightChars="-24" w:right="-82"/>
              <w:contextualSpacing/>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8"/>
                <w:szCs w:val="28"/>
              </w:rPr>
            </w:pPr>
            <w:r w:rsidRPr="00A00D38">
              <w:rPr>
                <w:rFonts w:hAnsi="標楷體" w:hint="eastAsia"/>
                <w:b/>
                <w:color w:val="000000" w:themeColor="text1"/>
                <w:sz w:val="28"/>
                <w:szCs w:val="28"/>
              </w:rPr>
              <w:t>53</w:t>
            </w:r>
          </w:p>
        </w:tc>
      </w:tr>
    </w:tbl>
    <w:p w:rsidR="006C2670" w:rsidRPr="00A00D38" w:rsidRDefault="006C2670" w:rsidP="006C2670">
      <w:pPr>
        <w:pStyle w:val="af8"/>
        <w:spacing w:line="240" w:lineRule="exact"/>
        <w:ind w:leftChars="200" w:left="680"/>
        <w:rPr>
          <w:color w:val="000000" w:themeColor="text1"/>
          <w:sz w:val="24"/>
          <w:szCs w:val="24"/>
        </w:rPr>
      </w:pPr>
      <w:r w:rsidRPr="00A00D38">
        <w:rPr>
          <w:rFonts w:hint="eastAsia"/>
          <w:color w:val="000000" w:themeColor="text1"/>
          <w:sz w:val="24"/>
          <w:szCs w:val="24"/>
        </w:rPr>
        <w:t>資料來源：教育部查復。</w:t>
      </w:r>
    </w:p>
    <w:p w:rsidR="006C2670" w:rsidRPr="00A00D38" w:rsidRDefault="006C2670" w:rsidP="006C2670">
      <w:pPr>
        <w:pStyle w:val="af8"/>
        <w:spacing w:line="240" w:lineRule="exact"/>
        <w:ind w:leftChars="200" w:left="680"/>
        <w:rPr>
          <w:color w:val="000000" w:themeColor="text1"/>
          <w:sz w:val="24"/>
          <w:szCs w:val="24"/>
        </w:rPr>
      </w:pPr>
    </w:p>
    <w:p w:rsidR="006C2670" w:rsidRPr="00A00D38" w:rsidRDefault="006C2670" w:rsidP="006C2670">
      <w:pPr>
        <w:pStyle w:val="3"/>
        <w:rPr>
          <w:rFonts w:hAnsi="標楷體"/>
          <w:color w:val="000000" w:themeColor="text1"/>
        </w:rPr>
      </w:pPr>
      <w:bookmarkStart w:id="298" w:name="_Toc489383090"/>
      <w:bookmarkStart w:id="299" w:name="_Toc491711230"/>
      <w:bookmarkStart w:id="300" w:name="_Toc492371104"/>
      <w:r w:rsidRPr="00A00D38">
        <w:rPr>
          <w:rFonts w:hAnsi="標楷體" w:hint="eastAsia"/>
          <w:color w:val="000000" w:themeColor="text1"/>
        </w:rPr>
        <w:t>據向教育部調卷，該部稱「此視導試辦計畫為目前針對大專校院國際化品質之具體評鑑機制」，然而，在接受本院詢問前，該部查復書面資料卻又指出「該計畫</w:t>
      </w:r>
      <w:r w:rsidRPr="00A00D38">
        <w:rPr>
          <w:rFonts w:hAnsi="標楷體" w:hint="eastAsia"/>
          <w:color w:val="000000" w:themeColor="text1"/>
          <w:szCs w:val="32"/>
        </w:rPr>
        <w:t>自102年至104年共試辦3年，計有28所大專校院39校次參加，對於提升大專校院國際化友善校園環境成效良好，已達成階段性目標。為落實大學自主管理並減少訪視評鑑作業，視導計畫改由各校依自我定位、學校性質及發展基礎審酌，納入大學校院校務評鑑或教育部刻正辦理之『高等教育深耕計畫』辦理」等語。顯見，</w:t>
      </w:r>
      <w:r w:rsidRPr="00A00D38">
        <w:rPr>
          <w:rFonts w:hAnsi="標楷體" w:hint="eastAsia"/>
          <w:color w:val="000000" w:themeColor="text1"/>
        </w:rPr>
        <w:t>以我國推動高等教育國際化政策之歷史及規模觀之，接受高等教育國際化相關計畫補助學校之規模，與接受國際化品質視導之學校校數，顯有明顯落差；又</w:t>
      </w:r>
      <w:bookmarkEnd w:id="297"/>
      <w:bookmarkEnd w:id="298"/>
      <w:r w:rsidRPr="00A00D38">
        <w:rPr>
          <w:rFonts w:ascii="Times New Roman" w:hAnsi="Times New Roman" w:hint="eastAsia"/>
          <w:color w:val="000000" w:themeColor="text1"/>
          <w:kern w:val="2"/>
          <w:szCs w:val="20"/>
        </w:rPr>
        <w:t>該計畫試辦</w:t>
      </w:r>
      <w:r w:rsidRPr="00A00D38">
        <w:rPr>
          <w:rFonts w:ascii="Times New Roman" w:hAnsi="Times New Roman" w:hint="eastAsia"/>
          <w:color w:val="000000" w:themeColor="text1"/>
          <w:kern w:val="2"/>
          <w:szCs w:val="20"/>
        </w:rPr>
        <w:t>3</w:t>
      </w:r>
      <w:r w:rsidRPr="00A00D38">
        <w:rPr>
          <w:rFonts w:ascii="Times New Roman" w:hAnsi="Times New Roman" w:hint="eastAsia"/>
          <w:color w:val="000000" w:themeColor="text1"/>
          <w:kern w:val="2"/>
          <w:szCs w:val="20"/>
        </w:rPr>
        <w:t>年，未經正式實施，教育部遽稱將該計畫融入其他評鑑方案中共同辦理，實有難以辨認高等教育國際化政策具體課責制度之虞。</w:t>
      </w:r>
      <w:bookmarkEnd w:id="299"/>
      <w:bookmarkEnd w:id="300"/>
      <w:r w:rsidRPr="00A00D38">
        <w:rPr>
          <w:rFonts w:ascii="Times New Roman" w:hAnsi="Times New Roman"/>
          <w:color w:val="000000" w:themeColor="text1"/>
          <w:kern w:val="2"/>
          <w:szCs w:val="20"/>
        </w:rPr>
        <w:br/>
      </w:r>
    </w:p>
    <w:p w:rsidR="006C2670" w:rsidRPr="00A00D38" w:rsidRDefault="006C2670" w:rsidP="006C2670">
      <w:pPr>
        <w:pStyle w:val="3"/>
        <w:rPr>
          <w:color w:val="000000" w:themeColor="text1"/>
        </w:rPr>
      </w:pPr>
      <w:bookmarkStart w:id="301" w:name="_Toc488227876"/>
      <w:bookmarkStart w:id="302" w:name="_Toc489383091"/>
      <w:bookmarkStart w:id="303" w:name="_Toc491711231"/>
      <w:bookmarkStart w:id="304" w:name="_Toc492371105"/>
      <w:r w:rsidRPr="00A00D38">
        <w:rPr>
          <w:rFonts w:hint="eastAsia"/>
          <w:color w:val="000000" w:themeColor="text1"/>
        </w:rPr>
        <w:t>綜上，</w:t>
      </w:r>
      <w:bookmarkEnd w:id="301"/>
      <w:r w:rsidRPr="00A00D38">
        <w:rPr>
          <w:rFonts w:ascii="Times New Roman" w:hAnsi="Times New Roman" w:hint="eastAsia"/>
          <w:color w:val="000000" w:themeColor="text1"/>
          <w:kern w:val="2"/>
          <w:szCs w:val="20"/>
        </w:rPr>
        <w:t>我國推動高等教育國際化政策，歷時已久，投入經費亦不貲，惟至</w:t>
      </w:r>
      <w:r w:rsidRPr="00A00D38">
        <w:rPr>
          <w:rFonts w:ascii="Times New Roman" w:hAnsi="Times New Roman" w:hint="eastAsia"/>
          <w:color w:val="000000" w:themeColor="text1"/>
          <w:kern w:val="2"/>
          <w:szCs w:val="20"/>
        </w:rPr>
        <w:t>102</w:t>
      </w:r>
      <w:r w:rsidRPr="00A00D38">
        <w:rPr>
          <w:rFonts w:ascii="Times New Roman" w:hAnsi="Times New Roman" w:hint="eastAsia"/>
          <w:color w:val="000000" w:themeColor="text1"/>
          <w:kern w:val="2"/>
          <w:szCs w:val="20"/>
        </w:rPr>
        <w:t>年，教育部方啟動大專校院國際化品質視導試辦計畫，接受視導之學校僅</w:t>
      </w:r>
      <w:r w:rsidRPr="00A00D38">
        <w:rPr>
          <w:rFonts w:ascii="Times New Roman" w:hAnsi="Times New Roman" w:hint="eastAsia"/>
          <w:color w:val="000000" w:themeColor="text1"/>
          <w:kern w:val="2"/>
          <w:szCs w:val="20"/>
        </w:rPr>
        <w:t>28</w:t>
      </w:r>
      <w:r w:rsidRPr="00A00D38">
        <w:rPr>
          <w:rFonts w:ascii="Times New Roman" w:hAnsi="Times New Roman" w:hint="eastAsia"/>
          <w:color w:val="000000" w:themeColor="text1"/>
          <w:kern w:val="2"/>
          <w:szCs w:val="20"/>
        </w:rPr>
        <w:t>校、</w:t>
      </w:r>
      <w:r w:rsidRPr="00A00D38">
        <w:rPr>
          <w:rFonts w:ascii="Times New Roman" w:hAnsi="Times New Roman" w:hint="eastAsia"/>
          <w:color w:val="000000" w:themeColor="text1"/>
          <w:kern w:val="2"/>
          <w:szCs w:val="20"/>
        </w:rPr>
        <w:t>39</w:t>
      </w:r>
      <w:r w:rsidRPr="00A00D38">
        <w:rPr>
          <w:rFonts w:ascii="Times New Roman" w:hAnsi="Times New Roman" w:hint="eastAsia"/>
          <w:color w:val="000000" w:themeColor="text1"/>
          <w:kern w:val="2"/>
          <w:szCs w:val="20"/>
        </w:rPr>
        <w:t>校次，規模遠低於接受政府國際化相關補助者，且該計畫試辦</w:t>
      </w:r>
      <w:r w:rsidRPr="00A00D38">
        <w:rPr>
          <w:rFonts w:ascii="Times New Roman" w:hAnsi="Times New Roman" w:hint="eastAsia"/>
          <w:color w:val="000000" w:themeColor="text1"/>
          <w:kern w:val="2"/>
          <w:szCs w:val="20"/>
        </w:rPr>
        <w:t>3</w:t>
      </w:r>
      <w:r w:rsidRPr="00A00D38">
        <w:rPr>
          <w:rFonts w:ascii="Times New Roman" w:hAnsi="Times New Roman" w:hint="eastAsia"/>
          <w:color w:val="000000" w:themeColor="text1"/>
          <w:kern w:val="2"/>
          <w:szCs w:val="20"/>
        </w:rPr>
        <w:t>年，未經正式實施，教育部遽稱將該計畫融入「高教深耕計畫」辦理，</w:t>
      </w:r>
      <w:bookmarkEnd w:id="302"/>
      <w:r w:rsidRPr="00A00D38">
        <w:rPr>
          <w:rFonts w:ascii="Times New Roman" w:hAnsi="Times New Roman" w:hint="eastAsia"/>
          <w:color w:val="000000" w:themeColor="text1"/>
          <w:kern w:val="2"/>
          <w:szCs w:val="20"/>
        </w:rPr>
        <w:t>實有難以辨認高等教育國際化政策具體課責制度之虞，應予檢討改進，惟</w:t>
      </w:r>
      <w:r w:rsidRPr="00A00D38">
        <w:rPr>
          <w:rFonts w:hint="eastAsia"/>
          <w:color w:val="000000" w:themeColor="text1"/>
        </w:rPr>
        <w:t>相關機制如何避免淪為追求數字績效以及不當加重學校行政作業負擔，而能有效引導學校招收優質教研人力與學生，尤應納入考量。</w:t>
      </w:r>
      <w:bookmarkEnd w:id="303"/>
      <w:bookmarkEnd w:id="304"/>
      <w:r w:rsidRPr="00A00D38">
        <w:rPr>
          <w:color w:val="000000" w:themeColor="text1"/>
        </w:rPr>
        <w:br/>
      </w:r>
    </w:p>
    <w:p w:rsidR="006C2670" w:rsidRPr="00A00D38" w:rsidRDefault="006C2670" w:rsidP="006C2670">
      <w:pPr>
        <w:pStyle w:val="2"/>
        <w:numPr>
          <w:ilvl w:val="0"/>
          <w:numId w:val="33"/>
        </w:numPr>
        <w:ind w:left="1020" w:hanging="680"/>
        <w:rPr>
          <w:b/>
          <w:color w:val="000000" w:themeColor="text1"/>
          <w:kern w:val="2"/>
          <w:szCs w:val="20"/>
        </w:rPr>
      </w:pPr>
      <w:bookmarkStart w:id="305" w:name="_Toc492371106"/>
      <w:r w:rsidRPr="00A00D38">
        <w:rPr>
          <w:b/>
          <w:color w:val="000000" w:themeColor="text1"/>
        </w:rPr>
        <w:t>參與全球</w:t>
      </w:r>
      <w:r w:rsidRPr="00A00D38">
        <w:rPr>
          <w:rFonts w:hint="eastAsia"/>
          <w:b/>
          <w:color w:val="000000" w:themeColor="text1"/>
        </w:rPr>
        <w:t>性</w:t>
      </w:r>
      <w:r w:rsidRPr="00A00D38">
        <w:rPr>
          <w:b/>
          <w:color w:val="000000" w:themeColor="text1"/>
        </w:rPr>
        <w:t>或區域</w:t>
      </w:r>
      <w:r w:rsidRPr="00A00D38">
        <w:rPr>
          <w:rFonts w:hint="eastAsia"/>
          <w:b/>
          <w:color w:val="000000" w:themeColor="text1"/>
        </w:rPr>
        <w:t>性</w:t>
      </w:r>
      <w:r w:rsidRPr="00A00D38">
        <w:rPr>
          <w:b/>
          <w:color w:val="000000" w:themeColor="text1"/>
        </w:rPr>
        <w:t>之高教組織與計畫，為促進高等</w:t>
      </w:r>
      <w:r w:rsidRPr="00A00D38">
        <w:rPr>
          <w:b/>
          <w:color w:val="000000" w:themeColor="text1"/>
        </w:rPr>
        <w:lastRenderedPageBreak/>
        <w:t>教育國際化的</w:t>
      </w:r>
      <w:r w:rsidRPr="00A00D38">
        <w:rPr>
          <w:rFonts w:hint="eastAsia"/>
          <w:b/>
          <w:color w:val="000000" w:themeColor="text1"/>
        </w:rPr>
        <w:t>可行</w:t>
      </w:r>
      <w:r w:rsidRPr="00A00D38">
        <w:rPr>
          <w:b/>
          <w:color w:val="000000" w:themeColor="text1"/>
        </w:rPr>
        <w:t>策略</w:t>
      </w:r>
      <w:r w:rsidRPr="00A00D38">
        <w:rPr>
          <w:rFonts w:hint="eastAsia"/>
          <w:b/>
          <w:color w:val="000000" w:themeColor="text1"/>
        </w:rPr>
        <w:t>之一</w:t>
      </w:r>
      <w:r w:rsidRPr="00A00D38">
        <w:rPr>
          <w:b/>
          <w:color w:val="000000" w:themeColor="text1"/>
        </w:rPr>
        <w:t>，惟我國高等教育國際參與似受限</w:t>
      </w:r>
      <w:r w:rsidRPr="00A00D38">
        <w:rPr>
          <w:rFonts w:hint="eastAsia"/>
          <w:b/>
          <w:color w:val="000000" w:themeColor="text1"/>
        </w:rPr>
        <w:t>於</w:t>
      </w:r>
      <w:r w:rsidRPr="00A00D38">
        <w:rPr>
          <w:b/>
          <w:color w:val="000000" w:themeColor="text1"/>
        </w:rPr>
        <w:t>外交</w:t>
      </w:r>
      <w:r w:rsidRPr="00A00D38">
        <w:rPr>
          <w:rFonts w:hint="eastAsia"/>
          <w:b/>
          <w:color w:val="000000" w:themeColor="text1"/>
        </w:rPr>
        <w:t>處境</w:t>
      </w:r>
      <w:r w:rsidRPr="00A00D38">
        <w:rPr>
          <w:b/>
          <w:color w:val="000000" w:themeColor="text1"/>
        </w:rPr>
        <w:t>，型態仍以短期交流為主，未來應如何突破因應，以</w:t>
      </w:r>
      <w:r w:rsidRPr="00A00D38">
        <w:rPr>
          <w:rFonts w:hint="eastAsia"/>
          <w:b/>
          <w:color w:val="000000" w:themeColor="text1"/>
        </w:rPr>
        <w:t>深化</w:t>
      </w:r>
      <w:r w:rsidRPr="00A00D38">
        <w:rPr>
          <w:b/>
          <w:color w:val="000000" w:themeColor="text1"/>
        </w:rPr>
        <w:t>國際交流</w:t>
      </w:r>
      <w:r w:rsidRPr="00A00D38">
        <w:rPr>
          <w:rFonts w:hint="eastAsia"/>
          <w:b/>
          <w:color w:val="000000" w:themeColor="text1"/>
        </w:rPr>
        <w:t>程</w:t>
      </w:r>
      <w:r w:rsidRPr="00A00D38">
        <w:rPr>
          <w:b/>
          <w:color w:val="000000" w:themeColor="text1"/>
        </w:rPr>
        <w:t>度，</w:t>
      </w:r>
      <w:r w:rsidRPr="00A00D38">
        <w:rPr>
          <w:rFonts w:hint="eastAsia"/>
          <w:b/>
          <w:color w:val="000000" w:themeColor="text1"/>
        </w:rPr>
        <w:t>為國內高等教育引進可用資源，</w:t>
      </w:r>
      <w:r w:rsidRPr="00A00D38">
        <w:rPr>
          <w:b/>
          <w:color w:val="000000" w:themeColor="text1"/>
        </w:rPr>
        <w:t>亟待主管機關研商策進</w:t>
      </w:r>
      <w:r w:rsidRPr="00A00D38">
        <w:rPr>
          <w:rFonts w:hint="eastAsia"/>
          <w:b/>
          <w:color w:val="000000" w:themeColor="text1"/>
        </w:rPr>
        <w:t>策略。</w:t>
      </w:r>
      <w:bookmarkEnd w:id="305"/>
    </w:p>
    <w:p w:rsidR="006C2670" w:rsidRPr="00A00D38" w:rsidRDefault="006C2670" w:rsidP="006C73D0">
      <w:pPr>
        <w:pStyle w:val="3"/>
        <w:numPr>
          <w:ilvl w:val="2"/>
          <w:numId w:val="72"/>
        </w:numPr>
        <w:spacing w:line="460" w:lineRule="exact"/>
        <w:rPr>
          <w:color w:val="000000" w:themeColor="text1"/>
        </w:rPr>
      </w:pPr>
      <w:bookmarkStart w:id="306" w:name="_Toc485999680"/>
      <w:bookmarkStart w:id="307" w:name="_Toc488227917"/>
      <w:bookmarkStart w:id="308" w:name="_Toc489383134"/>
      <w:bookmarkStart w:id="309" w:name="_Toc491711233"/>
      <w:bookmarkStart w:id="310" w:name="_Toc492371107"/>
      <w:r w:rsidRPr="00A00D38">
        <w:rPr>
          <w:color w:val="000000" w:themeColor="text1"/>
        </w:rPr>
        <w:t>籌組或參與全球</w:t>
      </w:r>
      <w:r w:rsidRPr="00A00D38">
        <w:rPr>
          <w:rFonts w:hint="eastAsia"/>
          <w:color w:val="000000" w:themeColor="text1"/>
        </w:rPr>
        <w:t>性</w:t>
      </w:r>
      <w:r w:rsidRPr="00A00D38">
        <w:rPr>
          <w:color w:val="000000" w:themeColor="text1"/>
        </w:rPr>
        <w:t>、區域</w:t>
      </w:r>
      <w:r w:rsidRPr="00A00D38">
        <w:rPr>
          <w:rFonts w:hint="eastAsia"/>
          <w:color w:val="000000" w:themeColor="text1"/>
        </w:rPr>
        <w:t>性</w:t>
      </w:r>
      <w:r w:rsidRPr="00A00D38">
        <w:rPr>
          <w:color w:val="000000" w:themeColor="text1"/>
        </w:rPr>
        <w:t>之高教組織與計畫，為近來各國競逐高等教育人才之常見作法。國際化策略能夠為國家和高等教育機構提供資訊、諮詢和指導意見，並</w:t>
      </w:r>
      <w:r w:rsidRPr="00A00D38">
        <w:rPr>
          <w:rFonts w:hint="eastAsia"/>
          <w:color w:val="000000" w:themeColor="text1"/>
        </w:rPr>
        <w:t>可</w:t>
      </w:r>
      <w:r w:rsidRPr="00A00D38">
        <w:rPr>
          <w:color w:val="000000" w:themeColor="text1"/>
        </w:rPr>
        <w:t>透過與海外機構的合作及國際參與而獲得發展的機會（University of Oxford, 2017：2）</w:t>
      </w:r>
      <w:r w:rsidRPr="00A00D38">
        <w:rPr>
          <w:rStyle w:val="aff0"/>
          <w:rFonts w:ascii="Times New Roman" w:hAnsi="Times New Roman"/>
          <w:color w:val="000000" w:themeColor="text1"/>
        </w:rPr>
        <w:footnoteReference w:id="39"/>
      </w:r>
      <w:r w:rsidRPr="00A00D38">
        <w:rPr>
          <w:color w:val="000000" w:themeColor="text1"/>
        </w:rPr>
        <w:t>。</w:t>
      </w:r>
      <w:r w:rsidRPr="00A00D38">
        <w:rPr>
          <w:rFonts w:hint="eastAsia"/>
          <w:color w:val="000000" w:themeColor="text1"/>
        </w:rPr>
        <w:t>西元</w:t>
      </w:r>
      <w:r w:rsidRPr="00A00D38">
        <w:rPr>
          <w:color w:val="000000" w:themeColor="text1"/>
        </w:rPr>
        <w:t>2010年日本、韓國與</w:t>
      </w:r>
      <w:r w:rsidRPr="00A00D38">
        <w:rPr>
          <w:rFonts w:hint="eastAsia"/>
          <w:color w:val="000000" w:themeColor="text1"/>
        </w:rPr>
        <w:t>中國</w:t>
      </w:r>
      <w:r w:rsidRPr="00A00D38">
        <w:rPr>
          <w:color w:val="000000" w:themeColor="text1"/>
        </w:rPr>
        <w:t>大陸共同推出CAMPUS Asia計畫(Collective Action for Mobility Program of University Students in Asia)</w:t>
      </w:r>
      <w:bookmarkEnd w:id="306"/>
      <w:r w:rsidRPr="00A00D38">
        <w:rPr>
          <w:color w:val="000000" w:themeColor="text1"/>
        </w:rPr>
        <w:t>，欲發展3國大學</w:t>
      </w:r>
      <w:r w:rsidRPr="00A00D38">
        <w:rPr>
          <w:rFonts w:hint="eastAsia"/>
          <w:color w:val="000000" w:themeColor="text1"/>
        </w:rPr>
        <w:t>間</w:t>
      </w:r>
      <w:r w:rsidRPr="00A00D38">
        <w:rPr>
          <w:color w:val="000000" w:themeColor="text1"/>
        </w:rPr>
        <w:t>學分學位</w:t>
      </w:r>
      <w:r w:rsidRPr="00A00D38">
        <w:rPr>
          <w:rFonts w:hint="eastAsia"/>
          <w:color w:val="000000" w:themeColor="text1"/>
        </w:rPr>
        <w:t>之</w:t>
      </w:r>
      <w:r w:rsidRPr="00A00D38">
        <w:rPr>
          <w:color w:val="000000" w:themeColor="text1"/>
        </w:rPr>
        <w:t>相互承認制度（陳惠美、薛家明</w:t>
      </w:r>
      <w:r w:rsidRPr="00A00D38">
        <w:rPr>
          <w:rFonts w:hint="eastAsia"/>
          <w:color w:val="000000" w:themeColor="text1"/>
        </w:rPr>
        <w:t>：</w:t>
      </w:r>
      <w:r w:rsidRPr="00A00D38">
        <w:rPr>
          <w:color w:val="000000" w:themeColor="text1"/>
        </w:rPr>
        <w:t>2013）</w:t>
      </w:r>
      <w:r w:rsidRPr="00A00D38">
        <w:rPr>
          <w:rStyle w:val="aff0"/>
          <w:rFonts w:ascii="Times New Roman" w:hAnsi="Times New Roman"/>
          <w:color w:val="000000" w:themeColor="text1"/>
          <w:kern w:val="2"/>
          <w:szCs w:val="20"/>
        </w:rPr>
        <w:footnoteReference w:id="40"/>
      </w:r>
      <w:r w:rsidRPr="00A00D38">
        <w:rPr>
          <w:color w:val="000000" w:themeColor="text1"/>
        </w:rPr>
        <w:t>；日本政府亦已擴大資金投入於大學與東</w:t>
      </w:r>
      <w:r w:rsidRPr="00A00D38">
        <w:rPr>
          <w:rFonts w:hint="eastAsia"/>
          <w:color w:val="000000" w:themeColor="text1"/>
        </w:rPr>
        <w:t>協</w:t>
      </w:r>
      <w:r w:rsidRPr="00A00D38">
        <w:rPr>
          <w:color w:val="000000" w:themeColor="text1"/>
        </w:rPr>
        <w:t>國家之間的聯繫，例如越南與印尼等國（University of Oxford, 2017：18）。</w:t>
      </w:r>
      <w:r w:rsidRPr="00A00D38">
        <w:rPr>
          <w:color w:val="000000" w:themeColor="text1"/>
          <w:kern w:val="2"/>
          <w:szCs w:val="20"/>
        </w:rPr>
        <w:t>美國與英國全球創新計畫（US-UK</w:t>
      </w:r>
      <w:r w:rsidRPr="00A00D38">
        <w:rPr>
          <w:rFonts w:hint="eastAsia"/>
          <w:color w:val="000000" w:themeColor="text1"/>
          <w:kern w:val="2"/>
          <w:szCs w:val="20"/>
        </w:rPr>
        <w:t xml:space="preserve"> </w:t>
      </w:r>
      <w:r w:rsidRPr="00A00D38">
        <w:rPr>
          <w:color w:val="000000" w:themeColor="text1"/>
          <w:kern w:val="2"/>
          <w:szCs w:val="20"/>
        </w:rPr>
        <w:t>Global Innovation Initiative）致力於加強美、英大學與新興經濟體的研究合作，每</w:t>
      </w:r>
      <w:r w:rsidRPr="00A00D38">
        <w:rPr>
          <w:rFonts w:hint="eastAsia"/>
          <w:color w:val="000000" w:themeColor="text1"/>
          <w:kern w:val="2"/>
          <w:szCs w:val="20"/>
        </w:rPr>
        <w:t>項</w:t>
      </w:r>
      <w:r w:rsidRPr="00A00D38">
        <w:rPr>
          <w:color w:val="000000" w:themeColor="text1"/>
          <w:kern w:val="2"/>
          <w:szCs w:val="20"/>
        </w:rPr>
        <w:t>合作都有來自美國與英國的合作夥伴，以及</w:t>
      </w:r>
      <w:r w:rsidRPr="00A00D38">
        <w:rPr>
          <w:rFonts w:hint="eastAsia"/>
          <w:color w:val="000000" w:themeColor="text1"/>
          <w:kern w:val="2"/>
          <w:szCs w:val="20"/>
        </w:rPr>
        <w:t>4</w:t>
      </w:r>
      <w:r w:rsidRPr="00A00D38">
        <w:rPr>
          <w:color w:val="000000" w:themeColor="text1"/>
          <w:kern w:val="2"/>
          <w:szCs w:val="20"/>
        </w:rPr>
        <w:t>個夥伴國家（巴西、中國、印度、</w:t>
      </w:r>
      <w:r w:rsidRPr="00A00D38">
        <w:rPr>
          <w:color w:val="000000" w:themeColor="text1"/>
        </w:rPr>
        <w:t>印尼</w:t>
      </w:r>
      <w:r w:rsidRPr="00A00D38">
        <w:rPr>
          <w:color w:val="000000" w:themeColor="text1"/>
          <w:kern w:val="2"/>
          <w:szCs w:val="20"/>
        </w:rPr>
        <w:t>）中的至少一個，因此，該計畫開展了</w:t>
      </w:r>
      <w:r w:rsidRPr="00A00D38">
        <w:rPr>
          <w:rFonts w:hint="eastAsia"/>
          <w:color w:val="000000" w:themeColor="text1"/>
          <w:kern w:val="2"/>
          <w:szCs w:val="20"/>
        </w:rPr>
        <w:t>4</w:t>
      </w:r>
      <w:r w:rsidRPr="00A00D38">
        <w:rPr>
          <w:color w:val="000000" w:themeColor="text1"/>
          <w:kern w:val="2"/>
          <w:szCs w:val="20"/>
        </w:rPr>
        <w:t>個新興經濟體的研究，並為英國和美國的大學提供了新的研究項目和新的研究經費（</w:t>
      </w:r>
      <w:r w:rsidRPr="00A00D38">
        <w:rPr>
          <w:color w:val="000000" w:themeColor="text1"/>
        </w:rPr>
        <w:t>University of Oxford, 2015：11</w:t>
      </w:r>
      <w:r w:rsidRPr="00A00D38">
        <w:rPr>
          <w:color w:val="000000" w:themeColor="text1"/>
          <w:kern w:val="2"/>
          <w:szCs w:val="20"/>
        </w:rPr>
        <w:t>）</w:t>
      </w:r>
      <w:r w:rsidRPr="00A00D38">
        <w:rPr>
          <w:rStyle w:val="aff0"/>
          <w:rFonts w:ascii="Times New Roman" w:hAnsi="Times New Roman"/>
          <w:color w:val="000000" w:themeColor="text1"/>
          <w:kern w:val="2"/>
          <w:szCs w:val="20"/>
        </w:rPr>
        <w:footnoteReference w:id="41"/>
      </w:r>
      <w:r w:rsidRPr="00A00D38">
        <w:rPr>
          <w:color w:val="000000" w:themeColor="text1"/>
          <w:kern w:val="2"/>
          <w:szCs w:val="20"/>
        </w:rPr>
        <w:t>。</w:t>
      </w:r>
      <w:bookmarkEnd w:id="307"/>
      <w:r w:rsidRPr="00A00D38">
        <w:rPr>
          <w:rFonts w:ascii="Times New Roman" w:hAnsi="Times New Roman"/>
          <w:color w:val="000000" w:themeColor="text1"/>
        </w:rPr>
        <w:t>另有部分方案的策略，係將高等教育發展作</w:t>
      </w:r>
      <w:r w:rsidRPr="00A00D38">
        <w:rPr>
          <w:rFonts w:ascii="Times New Roman" w:hAnsi="Times New Roman"/>
          <w:color w:val="000000" w:themeColor="text1"/>
        </w:rPr>
        <w:lastRenderedPageBreak/>
        <w:t>為區域文化交流的工具，如歐洲的</w:t>
      </w:r>
      <w:r w:rsidRPr="00A00D38">
        <w:rPr>
          <w:rFonts w:ascii="Times New Roman" w:hAnsi="Times New Roman"/>
          <w:color w:val="000000" w:themeColor="text1"/>
        </w:rPr>
        <w:t>ERASMUS</w:t>
      </w:r>
      <w:r w:rsidRPr="00A00D38">
        <w:rPr>
          <w:rFonts w:ascii="Times New Roman" w:hAnsi="Times New Roman"/>
          <w:color w:val="000000" w:themeColor="text1"/>
        </w:rPr>
        <w:t>計畫</w:t>
      </w:r>
      <w:r w:rsidRPr="00A00D38">
        <w:rPr>
          <w:rFonts w:ascii="Times New Roman" w:hAnsi="Times New Roman"/>
          <w:color w:val="000000" w:themeColor="text1"/>
        </w:rPr>
        <w:t>(Byun &amp; Um, 2014)</w:t>
      </w:r>
      <w:r w:rsidRPr="00A00D38">
        <w:rPr>
          <w:rStyle w:val="aff0"/>
          <w:rFonts w:ascii="Times New Roman" w:hAnsi="Times New Roman"/>
          <w:color w:val="000000" w:themeColor="text1"/>
        </w:rPr>
        <w:footnoteReference w:id="42"/>
      </w:r>
      <w:r w:rsidRPr="00A00D38">
        <w:rPr>
          <w:rFonts w:ascii="Times New Roman" w:hAnsi="Times New Roman" w:hint="eastAsia"/>
          <w:color w:val="000000" w:themeColor="text1"/>
        </w:rPr>
        <w:t>。</w:t>
      </w:r>
      <w:r w:rsidRPr="00A00D38">
        <w:rPr>
          <w:rFonts w:hint="eastAsia"/>
          <w:color w:val="000000" w:themeColor="text1"/>
          <w:kern w:val="2"/>
          <w:szCs w:val="20"/>
        </w:rPr>
        <w:t>而據國發會查復資料</w:t>
      </w:r>
      <w:r w:rsidRPr="00A00D38">
        <w:rPr>
          <w:rStyle w:val="aff0"/>
          <w:color w:val="000000" w:themeColor="text1"/>
          <w:kern w:val="2"/>
          <w:szCs w:val="20"/>
        </w:rPr>
        <w:footnoteReference w:id="43"/>
      </w:r>
      <w:r w:rsidRPr="00A00D38">
        <w:rPr>
          <w:rFonts w:hint="eastAsia"/>
          <w:color w:val="000000" w:themeColor="text1"/>
          <w:kern w:val="2"/>
          <w:szCs w:val="20"/>
        </w:rPr>
        <w:t>，我國推動</w:t>
      </w:r>
      <w:r w:rsidRPr="00A00D38">
        <w:rPr>
          <w:rFonts w:ascii="Times New Roman" w:hAnsi="Times New Roman" w:hint="eastAsia"/>
          <w:color w:val="000000" w:themeColor="text1"/>
          <w:kern w:val="2"/>
          <w:szCs w:val="20"/>
        </w:rPr>
        <w:t>「新南向政策推動計畫」，為擴展及深化雙邊教育合作，鼓勵大學校院與東協及南亞國家成立國際型聯盟組織，促進學術及師生交流。目前我國各大學及機構參與國際組織與交流皆自主辦理，發展情形（參與數量、交流程度、資源引進、實際成效等）皆不盡相同，亟待整合。</w:t>
      </w:r>
      <w:bookmarkEnd w:id="308"/>
      <w:bookmarkEnd w:id="309"/>
      <w:bookmarkEnd w:id="310"/>
      <w:r w:rsidRPr="00A00D38">
        <w:rPr>
          <w:rFonts w:ascii="Times New Roman" w:hAnsi="Times New Roman"/>
          <w:color w:val="000000" w:themeColor="text1"/>
          <w:kern w:val="2"/>
          <w:szCs w:val="20"/>
        </w:rPr>
        <w:br/>
      </w:r>
    </w:p>
    <w:p w:rsidR="006C2670" w:rsidRPr="00A00D38" w:rsidRDefault="006C2670" w:rsidP="006C2670">
      <w:pPr>
        <w:pStyle w:val="3"/>
        <w:spacing w:line="460" w:lineRule="exact"/>
        <w:ind w:left="1389" w:hanging="680"/>
        <w:rPr>
          <w:strike/>
          <w:color w:val="000000" w:themeColor="text1"/>
        </w:rPr>
      </w:pPr>
      <w:bookmarkStart w:id="311" w:name="_Toc489383135"/>
      <w:bookmarkStart w:id="312" w:name="_Toc491711234"/>
      <w:bookmarkStart w:id="313" w:name="_Toc492371108"/>
      <w:r w:rsidRPr="00A00D38">
        <w:rPr>
          <w:rFonts w:hint="eastAsia"/>
          <w:color w:val="000000" w:themeColor="text1"/>
        </w:rPr>
        <w:t>針對國際交流參與業務，據教育部函復</w:t>
      </w:r>
      <w:r w:rsidRPr="00A00D38">
        <w:rPr>
          <w:rStyle w:val="aff0"/>
          <w:color w:val="000000" w:themeColor="text1"/>
        </w:rPr>
        <w:footnoteReference w:id="44"/>
      </w:r>
      <w:r w:rsidRPr="00A00D38">
        <w:rPr>
          <w:rFonts w:hint="eastAsia"/>
          <w:color w:val="000000" w:themeColor="text1"/>
        </w:rPr>
        <w:t>，「我國目前參與國際交流方式，主要以</w:t>
      </w:r>
      <w:r w:rsidRPr="00A00D38">
        <w:rPr>
          <w:rFonts w:ascii="Times New Roman" w:hAnsi="Times New Roman" w:hint="eastAsia"/>
          <w:color w:val="000000" w:themeColor="text1"/>
          <w:kern w:val="2"/>
          <w:szCs w:val="20"/>
        </w:rPr>
        <w:t>辦理雙邊論壇為主，另參與之國際組織平臺，則以</w:t>
      </w:r>
      <w:r w:rsidRPr="00A00D38">
        <w:rPr>
          <w:rFonts w:ascii="Times New Roman" w:hAnsi="Times New Roman" w:hint="eastAsia"/>
          <w:color w:val="000000" w:themeColor="text1"/>
          <w:kern w:val="2"/>
          <w:szCs w:val="20"/>
        </w:rPr>
        <w:t>APEC</w:t>
      </w:r>
      <w:r w:rsidRPr="00A00D38">
        <w:rPr>
          <w:rFonts w:ascii="Times New Roman" w:hAnsi="Times New Roman" w:hint="eastAsia"/>
          <w:color w:val="000000" w:themeColor="text1"/>
          <w:kern w:val="2"/>
          <w:szCs w:val="20"/>
        </w:rPr>
        <w:t>、</w:t>
      </w:r>
      <w:r w:rsidRPr="00A00D38">
        <w:rPr>
          <w:rFonts w:ascii="Times New Roman" w:hAnsi="Times New Roman" w:hint="eastAsia"/>
          <w:color w:val="000000" w:themeColor="text1"/>
          <w:kern w:val="2"/>
          <w:szCs w:val="20"/>
        </w:rPr>
        <w:t>UMAP</w:t>
      </w:r>
      <w:r w:rsidRPr="00A00D38">
        <w:rPr>
          <w:rFonts w:ascii="Times New Roman" w:hAnsi="Times New Roman" w:hint="eastAsia"/>
          <w:color w:val="000000" w:themeColor="text1"/>
          <w:kern w:val="2"/>
          <w:szCs w:val="20"/>
        </w:rPr>
        <w:t>兩國際組織為主」，顯見目前國際交流型態，仍以短期交流居多，參與國際組織部分亦與高等教育相關程度不高（例如</w:t>
      </w:r>
      <w:r w:rsidRPr="00A00D38">
        <w:rPr>
          <w:rFonts w:ascii="Times New Roman" w:hAnsi="Times New Roman" w:hint="eastAsia"/>
          <w:color w:val="000000" w:themeColor="text1"/>
          <w:kern w:val="2"/>
          <w:szCs w:val="20"/>
        </w:rPr>
        <w:t>APEC</w:t>
      </w:r>
      <w:r w:rsidRPr="00A00D38">
        <w:rPr>
          <w:rFonts w:ascii="Times New Roman" w:hAnsi="Times New Roman" w:hint="eastAsia"/>
          <w:color w:val="000000" w:themeColor="text1"/>
          <w:kern w:val="2"/>
          <w:szCs w:val="20"/>
        </w:rPr>
        <w:t>係以促進經濟、貿易合作為主要目的之組織），未來應如何突破因應，以深化教育領域之國際交流程度，引進可用資源，亟待主管機關研商相關策略。</w:t>
      </w:r>
      <w:bookmarkEnd w:id="311"/>
      <w:bookmarkEnd w:id="312"/>
      <w:bookmarkEnd w:id="313"/>
      <w:r w:rsidRPr="00A00D38">
        <w:rPr>
          <w:rFonts w:ascii="Times New Roman" w:hAnsi="Times New Roman"/>
          <w:color w:val="000000" w:themeColor="text1"/>
          <w:kern w:val="2"/>
          <w:szCs w:val="20"/>
        </w:rPr>
        <w:br/>
      </w:r>
    </w:p>
    <w:p w:rsidR="006C2670" w:rsidRPr="00A00D38" w:rsidRDefault="006C2670" w:rsidP="006C2670">
      <w:pPr>
        <w:pStyle w:val="3"/>
        <w:spacing w:line="520" w:lineRule="exact"/>
        <w:ind w:left="1389" w:hanging="680"/>
        <w:rPr>
          <w:strike/>
          <w:color w:val="000000" w:themeColor="text1"/>
        </w:rPr>
      </w:pPr>
      <w:bookmarkStart w:id="314" w:name="_Toc481496008"/>
      <w:bookmarkStart w:id="315" w:name="_Toc485999660"/>
      <w:bookmarkStart w:id="316" w:name="_Toc488227919"/>
      <w:bookmarkStart w:id="317" w:name="_Toc489383136"/>
      <w:bookmarkStart w:id="318" w:name="_Toc491711235"/>
      <w:bookmarkStart w:id="319" w:name="_Toc492371109"/>
      <w:r w:rsidRPr="00A00D38">
        <w:rPr>
          <w:rFonts w:ascii="Times New Roman" w:hAnsi="Times New Roman" w:hint="eastAsia"/>
          <w:color w:val="000000" w:themeColor="text1"/>
        </w:rPr>
        <w:t>105</w:t>
      </w:r>
      <w:r w:rsidRPr="00A00D38">
        <w:rPr>
          <w:rFonts w:ascii="Times New Roman" w:hAnsi="Times New Roman" w:hint="eastAsia"/>
          <w:color w:val="000000" w:themeColor="text1"/>
        </w:rPr>
        <w:t>年起推動之「新南向政策推動計畫」</w:t>
      </w:r>
      <w:r w:rsidRPr="00A00D38">
        <w:rPr>
          <w:rStyle w:val="aff0"/>
          <w:rFonts w:ascii="Times New Roman" w:hAnsi="Times New Roman"/>
          <w:color w:val="000000" w:themeColor="text1"/>
        </w:rPr>
        <w:footnoteReference w:id="45"/>
      </w:r>
      <w:r w:rsidRPr="00A00D38">
        <w:rPr>
          <w:rFonts w:ascii="Times New Roman" w:hAnsi="Times New Roman" w:hint="eastAsia"/>
          <w:color w:val="000000" w:themeColor="text1"/>
        </w:rPr>
        <w:t>，為我國高等教育國際化政策之差異化策略，</w:t>
      </w:r>
      <w:r w:rsidRPr="00A00D38">
        <w:rPr>
          <w:color w:val="000000" w:themeColor="text1"/>
        </w:rPr>
        <w:t>教育部稱</w:t>
      </w:r>
      <w:r w:rsidRPr="00A00D38">
        <w:rPr>
          <w:rFonts w:hint="eastAsia"/>
          <w:color w:val="000000" w:themeColor="text1"/>
        </w:rPr>
        <w:t>「</w:t>
      </w:r>
      <w:r w:rsidRPr="00A00D38">
        <w:rPr>
          <w:color w:val="000000" w:themeColor="text1"/>
        </w:rPr>
        <w:t>未來將著重與東南亞高等教育機構發展雙邊聯盟，聚焦重點領域合作計畫，</w:t>
      </w:r>
      <w:r w:rsidRPr="00A00D38">
        <w:rPr>
          <w:rFonts w:hint="eastAsia"/>
          <w:color w:val="000000" w:themeColor="text1"/>
        </w:rPr>
        <w:t>針對我國應如何切入新南向</w:t>
      </w:r>
      <w:r w:rsidRPr="00A00D38">
        <w:rPr>
          <w:rFonts w:hint="eastAsia"/>
          <w:color w:val="000000" w:themeColor="text1"/>
        </w:rPr>
        <w:lastRenderedPageBreak/>
        <w:t>國家教育服務市場及產業發展人才需求等，召集專家學者進行諮商會議，也扮演溝通互動平臺，聚焦國內外教育單位合意的重點領域合作計畫，開拓實質教育交流管道」。該部說明，以「來臺留學人數已漸具規模之國家」、「待積極拓展國家」、「待開發國家」3項進行分類，目前僅對「東協10國」及「南亞6國」有簡要之預擬做法，至於潛力龐大之紐、澳2國，尚無長期發展策略，相關單位應積極研商策進，以免失去我國高教進入國際化市場之先機。</w:t>
      </w:r>
      <w:bookmarkEnd w:id="314"/>
      <w:bookmarkEnd w:id="315"/>
      <w:bookmarkEnd w:id="316"/>
      <w:bookmarkEnd w:id="317"/>
      <w:bookmarkEnd w:id="318"/>
      <w:bookmarkEnd w:id="319"/>
      <w:r w:rsidRPr="00A00D38">
        <w:rPr>
          <w:color w:val="000000" w:themeColor="text1"/>
        </w:rPr>
        <w:br/>
      </w:r>
    </w:p>
    <w:p w:rsidR="006C2670" w:rsidRPr="00A00D38" w:rsidRDefault="006C2670" w:rsidP="006C2670">
      <w:pPr>
        <w:pStyle w:val="3"/>
        <w:rPr>
          <w:color w:val="000000" w:themeColor="text1"/>
        </w:rPr>
      </w:pPr>
      <w:bookmarkStart w:id="320" w:name="_Toc489383137"/>
      <w:bookmarkStart w:id="321" w:name="_Toc491711236"/>
      <w:bookmarkStart w:id="322" w:name="_Toc492371110"/>
      <w:r w:rsidRPr="00A00D38">
        <w:rPr>
          <w:rFonts w:hint="eastAsia"/>
          <w:color w:val="000000" w:themeColor="text1"/>
        </w:rPr>
        <w:t>行政院公布「新南向政策推動計畫」，為落實「人才資源的共享夥伴」之計畫目標，該計畫之推動措施為「教育深耕」，其中具體做法之一為「擴展及深化雙邊教育合作」，藉成立「東協及南亞國家人才培育策略規劃專案小組」，掌握當地教育服務需求，結合臺灣產/企業布局利基，「建立臺灣高等教育及技職訓練之國際品牌形象」；並深化雙邊官方教育論壇功能，加強官方對話合作機制及拓展雙邊交流據點；「鼓勵大學校院與東協及南亞國家成立國際型聯盟組織」，促進學術及師生交流。而主辦機關的教育部目前已有相關預定執行計畫，惟該計畫之範圍為東南亞國家，在國際化之領域仍屬狹隘，且實施成效仍有待觀察。</w:t>
      </w:r>
      <w:bookmarkEnd w:id="320"/>
      <w:bookmarkEnd w:id="321"/>
      <w:bookmarkEnd w:id="322"/>
      <w:r w:rsidRPr="00A00D38">
        <w:rPr>
          <w:color w:val="000000" w:themeColor="text1"/>
        </w:rPr>
        <w:br/>
      </w:r>
    </w:p>
    <w:p w:rsidR="006C2670" w:rsidRPr="00A00D38" w:rsidRDefault="006C2670" w:rsidP="006C2670">
      <w:pPr>
        <w:pStyle w:val="3"/>
        <w:rPr>
          <w:rFonts w:hAnsi="標楷體"/>
          <w:color w:val="000000" w:themeColor="text1"/>
        </w:rPr>
      </w:pPr>
      <w:bookmarkStart w:id="323" w:name="_Toc488227920"/>
      <w:bookmarkStart w:id="324" w:name="_Toc489383138"/>
      <w:bookmarkStart w:id="325" w:name="_Toc491711237"/>
      <w:bookmarkStart w:id="326" w:name="_Toc492371111"/>
      <w:r w:rsidRPr="00A00D38">
        <w:rPr>
          <w:color w:val="000000" w:themeColor="text1"/>
        </w:rPr>
        <w:t>綜上，</w:t>
      </w:r>
      <w:bookmarkEnd w:id="323"/>
      <w:r w:rsidRPr="00A00D38">
        <w:rPr>
          <w:rFonts w:hint="eastAsia"/>
          <w:color w:val="000000" w:themeColor="text1"/>
        </w:rPr>
        <w:t>國際性或區域性之合作，有助於高等教育之國際化，而國際合作亦有程度之別，目前我國高教交流型態仍以短期為主，高教機構對於國際交流之深度、廣度及國際視野仍有待提升，國際資源引入</w:t>
      </w:r>
      <w:r w:rsidRPr="00A00D38">
        <w:rPr>
          <w:rFonts w:hint="eastAsia"/>
          <w:color w:val="000000" w:themeColor="text1"/>
        </w:rPr>
        <w:lastRenderedPageBreak/>
        <w:t>與流動性皆不足。配合當前政府推行之新南向政策而成立之國際型聯盟組織，應注重實質效益之發揮，如在資源引進數量、師生交流人數、學術研發成果、產學應用創新等面向進行策略性之合作，以切實深化國際交流之績效。</w:t>
      </w:r>
      <w:bookmarkEnd w:id="324"/>
      <w:bookmarkEnd w:id="325"/>
      <w:bookmarkEnd w:id="326"/>
    </w:p>
    <w:p w:rsidR="006C2670" w:rsidRPr="00A00D38" w:rsidRDefault="006C2670" w:rsidP="0009317C">
      <w:pPr>
        <w:widowControl/>
        <w:overflowPunct/>
        <w:autoSpaceDE/>
        <w:autoSpaceDN/>
        <w:jc w:val="left"/>
        <w:rPr>
          <w:rFonts w:hAnsi="標楷體"/>
          <w:color w:val="000000" w:themeColor="text1"/>
        </w:rPr>
      </w:pPr>
      <w:r w:rsidRPr="00A00D38">
        <w:rPr>
          <w:b/>
          <w:color w:val="000000" w:themeColor="text1"/>
        </w:rPr>
        <w:br w:type="page"/>
      </w:r>
      <w:bookmarkStart w:id="327" w:name="_Toc492371112"/>
      <w:r w:rsidRPr="00A00D38">
        <w:rPr>
          <w:rFonts w:hint="eastAsia"/>
          <w:b/>
          <w:color w:val="000000" w:themeColor="text1"/>
        </w:rPr>
        <w:lastRenderedPageBreak/>
        <w:t>處理辦法：</w:t>
      </w:r>
      <w:bookmarkEnd w:id="327"/>
    </w:p>
    <w:p w:rsidR="006C2670" w:rsidRPr="00A00D38" w:rsidRDefault="006C2670" w:rsidP="006C2670">
      <w:pPr>
        <w:pStyle w:val="2"/>
        <w:ind w:left="1020" w:hanging="680"/>
        <w:rPr>
          <w:color w:val="000000" w:themeColor="text1"/>
        </w:rPr>
      </w:pPr>
      <w:bookmarkStart w:id="328" w:name="_Toc70241820"/>
      <w:bookmarkStart w:id="329" w:name="_Toc70242209"/>
      <w:bookmarkStart w:id="330" w:name="_Toc421794876"/>
      <w:bookmarkStart w:id="331" w:name="_Toc421795442"/>
      <w:bookmarkStart w:id="332" w:name="_Toc421796023"/>
      <w:bookmarkStart w:id="333" w:name="_Toc422728958"/>
      <w:bookmarkStart w:id="334" w:name="_Toc422834161"/>
      <w:bookmarkStart w:id="335" w:name="_Toc432663008"/>
      <w:bookmarkStart w:id="336" w:name="_Toc432663281"/>
      <w:bookmarkStart w:id="337" w:name="_Toc432672512"/>
      <w:bookmarkStart w:id="338" w:name="_Toc433201078"/>
      <w:bookmarkStart w:id="339" w:name="_Toc433788876"/>
      <w:bookmarkStart w:id="340" w:name="_Toc433789391"/>
      <w:bookmarkStart w:id="341" w:name="_Toc434314702"/>
      <w:bookmarkStart w:id="342" w:name="_Toc441409872"/>
      <w:bookmarkStart w:id="343" w:name="_Toc441476802"/>
      <w:bookmarkStart w:id="344" w:name="_Toc442102019"/>
      <w:bookmarkStart w:id="345" w:name="_Toc442196482"/>
      <w:bookmarkStart w:id="346" w:name="_Toc491711239"/>
      <w:bookmarkStart w:id="347" w:name="_Toc492371113"/>
      <w:r w:rsidRPr="00A00D38">
        <w:rPr>
          <w:rFonts w:hint="eastAsia"/>
          <w:color w:val="000000" w:themeColor="text1"/>
        </w:rPr>
        <w:t>一、調查意見一、二、八、十，函請行政院督飭所屬檢討改進見復。</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6C2670" w:rsidRPr="00A00D38" w:rsidRDefault="006C2670" w:rsidP="006C2670">
      <w:pPr>
        <w:pStyle w:val="2"/>
        <w:ind w:left="1020" w:hanging="680"/>
        <w:rPr>
          <w:color w:val="000000" w:themeColor="text1"/>
        </w:rPr>
      </w:pPr>
      <w:bookmarkStart w:id="348" w:name="_Toc442102020"/>
      <w:bookmarkStart w:id="349" w:name="_Toc442196483"/>
      <w:bookmarkStart w:id="350" w:name="_Toc491711240"/>
      <w:bookmarkStart w:id="351" w:name="_Toc492371114"/>
      <w:bookmarkStart w:id="352" w:name="_Toc433788878"/>
      <w:bookmarkStart w:id="353" w:name="_Toc433789393"/>
      <w:bookmarkStart w:id="354" w:name="_Toc434314704"/>
      <w:bookmarkStart w:id="355" w:name="_Toc441409873"/>
      <w:bookmarkStart w:id="356" w:name="_Toc441476803"/>
      <w:r w:rsidRPr="00A00D38">
        <w:rPr>
          <w:rFonts w:hint="eastAsia"/>
          <w:color w:val="000000" w:themeColor="text1"/>
        </w:rPr>
        <w:t>二、調查意見三至七、九，函請教育部確實檢討改進見復。</w:t>
      </w:r>
      <w:bookmarkEnd w:id="348"/>
      <w:bookmarkEnd w:id="349"/>
      <w:bookmarkEnd w:id="350"/>
      <w:bookmarkEnd w:id="351"/>
    </w:p>
    <w:p w:rsidR="006C2670" w:rsidRPr="00A00D38" w:rsidRDefault="006C2670" w:rsidP="006C2670">
      <w:pPr>
        <w:pStyle w:val="2"/>
        <w:ind w:left="1020" w:hanging="680"/>
        <w:rPr>
          <w:color w:val="000000" w:themeColor="text1"/>
        </w:rPr>
      </w:pPr>
      <w:bookmarkStart w:id="357" w:name="_Toc485999684"/>
      <w:bookmarkStart w:id="358" w:name="_Toc488227922"/>
      <w:bookmarkStart w:id="359" w:name="_Toc421794882"/>
      <w:bookmarkStart w:id="360" w:name="_Toc4467127"/>
      <w:bookmarkEnd w:id="25"/>
      <w:bookmarkEnd w:id="26"/>
      <w:bookmarkEnd w:id="27"/>
      <w:bookmarkEnd w:id="28"/>
      <w:bookmarkEnd w:id="29"/>
      <w:bookmarkEnd w:id="30"/>
      <w:bookmarkEnd w:id="31"/>
      <w:bookmarkEnd w:id="32"/>
      <w:bookmarkEnd w:id="33"/>
      <w:bookmarkEnd w:id="34"/>
      <w:bookmarkEnd w:id="352"/>
      <w:bookmarkEnd w:id="353"/>
      <w:bookmarkEnd w:id="354"/>
      <w:bookmarkEnd w:id="355"/>
      <w:bookmarkEnd w:id="356"/>
      <w:bookmarkEnd w:id="357"/>
      <w:bookmarkEnd w:id="358"/>
    </w:p>
    <w:p w:rsidR="006C2670" w:rsidRPr="00A00D38" w:rsidRDefault="006C2670" w:rsidP="006C2670">
      <w:pPr>
        <w:rPr>
          <w:color w:val="000000" w:themeColor="text1"/>
        </w:rPr>
      </w:pPr>
    </w:p>
    <w:p w:rsidR="006C2670" w:rsidRPr="00A00D38" w:rsidRDefault="006C2670" w:rsidP="006C2670">
      <w:pPr>
        <w:pStyle w:val="ab"/>
        <w:spacing w:beforeLines="150" w:before="685" w:after="0"/>
        <w:ind w:leftChars="1100" w:left="3742"/>
        <w:rPr>
          <w:rFonts w:hAnsi="標楷體"/>
          <w:b w:val="0"/>
          <w:bCs/>
          <w:snapToGrid/>
          <w:color w:val="000000" w:themeColor="text1"/>
          <w:spacing w:val="0"/>
          <w:kern w:val="0"/>
          <w:sz w:val="40"/>
        </w:rPr>
      </w:pPr>
      <w:r w:rsidRPr="00A00D38">
        <w:rPr>
          <w:rFonts w:hAnsi="標楷體" w:hint="eastAsia"/>
          <w:b w:val="0"/>
          <w:bCs/>
          <w:snapToGrid/>
          <w:color w:val="000000" w:themeColor="text1"/>
          <w:spacing w:val="12"/>
          <w:kern w:val="0"/>
          <w:sz w:val="40"/>
        </w:rPr>
        <w:t>調查委員：</w:t>
      </w:r>
      <w:r w:rsidR="0009317C">
        <w:rPr>
          <w:rFonts w:hAnsi="標楷體" w:hint="eastAsia"/>
          <w:b w:val="0"/>
          <w:bCs/>
          <w:snapToGrid/>
          <w:color w:val="000000" w:themeColor="text1"/>
          <w:spacing w:val="12"/>
          <w:kern w:val="0"/>
          <w:sz w:val="40"/>
        </w:rPr>
        <w:t>陳小紅</w:t>
      </w:r>
    </w:p>
    <w:p w:rsidR="006C2670" w:rsidRPr="00A00D38" w:rsidRDefault="006C2670" w:rsidP="006C2670">
      <w:pPr>
        <w:pStyle w:val="ab"/>
        <w:spacing w:before="0" w:after="0"/>
        <w:ind w:leftChars="1100" w:left="3742" w:firstLineChars="500" w:firstLine="2021"/>
        <w:rPr>
          <w:rFonts w:hAnsi="標楷體"/>
          <w:b w:val="0"/>
          <w:bCs/>
          <w:snapToGrid/>
          <w:color w:val="000000" w:themeColor="text1"/>
          <w:spacing w:val="12"/>
          <w:kern w:val="0"/>
        </w:rPr>
      </w:pPr>
    </w:p>
    <w:p w:rsidR="006C2670" w:rsidRPr="00A00D38" w:rsidRDefault="006C2670" w:rsidP="006C2670">
      <w:pPr>
        <w:pStyle w:val="ab"/>
        <w:spacing w:before="0" w:after="0"/>
        <w:ind w:leftChars="1100" w:left="3742" w:firstLineChars="500" w:firstLine="2021"/>
        <w:rPr>
          <w:rFonts w:hAnsi="標楷體"/>
          <w:b w:val="0"/>
          <w:bCs/>
          <w:snapToGrid/>
          <w:color w:val="000000" w:themeColor="text1"/>
          <w:spacing w:val="12"/>
          <w:kern w:val="0"/>
        </w:rPr>
      </w:pPr>
    </w:p>
    <w:p w:rsidR="006C2670" w:rsidRPr="00A00D38" w:rsidRDefault="006C2670" w:rsidP="006C2670">
      <w:pPr>
        <w:pStyle w:val="ab"/>
        <w:spacing w:before="0" w:after="0"/>
        <w:ind w:leftChars="1100" w:left="3742" w:firstLineChars="500" w:firstLine="2021"/>
        <w:rPr>
          <w:rFonts w:hAnsi="標楷體"/>
          <w:b w:val="0"/>
          <w:bCs/>
          <w:snapToGrid/>
          <w:color w:val="000000" w:themeColor="text1"/>
          <w:spacing w:val="12"/>
          <w:kern w:val="0"/>
        </w:rPr>
      </w:pPr>
    </w:p>
    <w:p w:rsidR="006C2670" w:rsidRPr="00A00D38" w:rsidRDefault="006C2670" w:rsidP="006C2670">
      <w:pPr>
        <w:widowControl/>
        <w:overflowPunct/>
        <w:autoSpaceDE/>
        <w:autoSpaceDN/>
        <w:jc w:val="left"/>
        <w:rPr>
          <w:rFonts w:hAnsi="Arial"/>
          <w:bCs/>
          <w:color w:val="000000" w:themeColor="text1"/>
          <w:kern w:val="32"/>
          <w:szCs w:val="48"/>
        </w:rPr>
      </w:pPr>
    </w:p>
    <w:p w:rsidR="006C2670" w:rsidRPr="00A00D38" w:rsidRDefault="006C2670" w:rsidP="006C2670">
      <w:pPr>
        <w:widowControl/>
        <w:overflowPunct/>
        <w:autoSpaceDE/>
        <w:autoSpaceDN/>
        <w:jc w:val="left"/>
        <w:rPr>
          <w:rFonts w:hAnsi="Arial"/>
          <w:bCs/>
          <w:color w:val="000000" w:themeColor="text1"/>
          <w:kern w:val="32"/>
          <w:szCs w:val="48"/>
        </w:rPr>
      </w:pPr>
    </w:p>
    <w:p w:rsidR="006C2670" w:rsidRPr="00A00D38" w:rsidRDefault="006C2670" w:rsidP="006C2670">
      <w:pPr>
        <w:widowControl/>
        <w:overflowPunct/>
        <w:autoSpaceDE/>
        <w:autoSpaceDN/>
        <w:jc w:val="left"/>
        <w:rPr>
          <w:rFonts w:hAnsi="Arial"/>
          <w:bCs/>
          <w:color w:val="000000" w:themeColor="text1"/>
          <w:kern w:val="32"/>
          <w:szCs w:val="48"/>
        </w:rPr>
      </w:pPr>
    </w:p>
    <w:p w:rsidR="006C2670" w:rsidRPr="00A00D38" w:rsidRDefault="006C2670" w:rsidP="006C2670">
      <w:pPr>
        <w:widowControl/>
        <w:overflowPunct/>
        <w:autoSpaceDE/>
        <w:autoSpaceDN/>
        <w:jc w:val="left"/>
        <w:rPr>
          <w:rFonts w:hAnsi="Arial"/>
          <w:bCs/>
          <w:color w:val="000000" w:themeColor="text1"/>
          <w:kern w:val="32"/>
          <w:szCs w:val="48"/>
        </w:rPr>
      </w:pPr>
    </w:p>
    <w:p w:rsidR="006C2670" w:rsidRPr="00A00D38" w:rsidRDefault="006C2670" w:rsidP="006C2670">
      <w:pPr>
        <w:widowControl/>
        <w:overflowPunct/>
        <w:autoSpaceDE/>
        <w:autoSpaceDN/>
        <w:jc w:val="left"/>
        <w:rPr>
          <w:rFonts w:hAnsi="Arial"/>
          <w:bCs/>
          <w:color w:val="000000" w:themeColor="text1"/>
          <w:kern w:val="32"/>
          <w:szCs w:val="48"/>
        </w:rPr>
      </w:pPr>
    </w:p>
    <w:p w:rsidR="006C2670" w:rsidRPr="00A00D38" w:rsidRDefault="006C2670" w:rsidP="006C2670">
      <w:pPr>
        <w:widowControl/>
        <w:overflowPunct/>
        <w:autoSpaceDE/>
        <w:autoSpaceDN/>
        <w:jc w:val="left"/>
        <w:rPr>
          <w:rFonts w:hAnsi="Arial"/>
          <w:bCs/>
          <w:color w:val="000000" w:themeColor="text1"/>
          <w:kern w:val="32"/>
          <w:szCs w:val="48"/>
        </w:rPr>
      </w:pPr>
    </w:p>
    <w:p w:rsidR="00424EE1" w:rsidRPr="00A00D38" w:rsidRDefault="00424EE1" w:rsidP="006C2670">
      <w:pPr>
        <w:pStyle w:val="af4"/>
        <w:rPr>
          <w:color w:val="000000" w:themeColor="text1"/>
        </w:rPr>
      </w:pPr>
      <w:bookmarkStart w:id="361" w:name="_GoBack"/>
      <w:bookmarkEnd w:id="359"/>
      <w:bookmarkEnd w:id="360"/>
      <w:bookmarkEnd w:id="361"/>
    </w:p>
    <w:sectPr w:rsidR="00424EE1" w:rsidRPr="00A00D38" w:rsidSect="00E8093F">
      <w:footerReference w:type="default" r:id="rId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001" w:rsidRDefault="00A02001">
      <w:r>
        <w:separator/>
      </w:r>
    </w:p>
  </w:endnote>
  <w:endnote w:type="continuationSeparator" w:id="0">
    <w:p w:rsidR="00A02001" w:rsidRDefault="00A0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338" w:rsidRDefault="00030338">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E0E75">
      <w:rPr>
        <w:rStyle w:val="ad"/>
        <w:noProof/>
        <w:sz w:val="24"/>
      </w:rPr>
      <w:t>53</w:t>
    </w:r>
    <w:r>
      <w:rPr>
        <w:rStyle w:val="ad"/>
        <w:sz w:val="24"/>
      </w:rPr>
      <w:fldChar w:fldCharType="end"/>
    </w:r>
  </w:p>
  <w:p w:rsidR="00030338" w:rsidRDefault="0003033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001" w:rsidRDefault="00A02001">
      <w:r>
        <w:separator/>
      </w:r>
    </w:p>
  </w:footnote>
  <w:footnote w:type="continuationSeparator" w:id="0">
    <w:p w:rsidR="00A02001" w:rsidRDefault="00A02001">
      <w:r>
        <w:continuationSeparator/>
      </w:r>
    </w:p>
  </w:footnote>
  <w:footnote w:id="1">
    <w:p w:rsidR="00030338" w:rsidRDefault="00030338" w:rsidP="006C2670">
      <w:pPr>
        <w:pStyle w:val="afe"/>
        <w:wordWrap w:val="0"/>
        <w:ind w:left="141" w:hangingChars="64" w:hanging="141"/>
      </w:pPr>
      <w:r>
        <w:rPr>
          <w:rStyle w:val="aff0"/>
        </w:rPr>
        <w:footnoteRef/>
      </w:r>
      <w:r w:rsidRPr="009E34FC">
        <w:rPr>
          <w:rFonts w:hint="eastAsia"/>
        </w:rPr>
        <w:t>國發會</w:t>
      </w:r>
      <w:r>
        <w:rPr>
          <w:rFonts w:hint="eastAsia"/>
        </w:rPr>
        <w:t>（2013）。</w:t>
      </w:r>
      <w:r w:rsidRPr="001848B8">
        <w:rPr>
          <w:rFonts w:hint="eastAsia"/>
          <w:b/>
        </w:rPr>
        <w:t>OECD呼籲重視高等教育留學生人數之成長</w:t>
      </w:r>
      <w:r>
        <w:rPr>
          <w:rFonts w:hint="eastAsia"/>
        </w:rPr>
        <w:t>。取自</w:t>
      </w:r>
      <w:r w:rsidRPr="001D2C6F">
        <w:t>http://www.ndc.gov.tw/News_Content.aspx?n=C90548F2DB23E8B9&amp;sms=AB593F5AE64A02BE&amp;s=43580DFBED7485D3</w:t>
      </w:r>
    </w:p>
  </w:footnote>
  <w:footnote w:id="2">
    <w:p w:rsidR="00030338" w:rsidRPr="00D63773" w:rsidRDefault="00030338" w:rsidP="006C2670">
      <w:pPr>
        <w:pStyle w:val="afe"/>
        <w:wordWrap w:val="0"/>
        <w:rPr>
          <w:color w:val="000000" w:themeColor="text1"/>
        </w:rPr>
      </w:pPr>
      <w:r w:rsidRPr="00D63773">
        <w:rPr>
          <w:rStyle w:val="aff0"/>
          <w:color w:val="000000" w:themeColor="text1"/>
        </w:rPr>
        <w:footnoteRef/>
      </w:r>
      <w:r w:rsidRPr="00D63773">
        <w:rPr>
          <w:color w:val="000000" w:themeColor="text1"/>
          <w:kern w:val="0"/>
          <w:szCs w:val="24"/>
        </w:rPr>
        <w:t>資料來源：</w:t>
      </w:r>
      <w:r w:rsidRPr="00D63773">
        <w:rPr>
          <w:rFonts w:hint="eastAsia"/>
          <w:color w:val="000000" w:themeColor="text1"/>
          <w:kern w:val="0"/>
          <w:szCs w:val="24"/>
        </w:rPr>
        <w:t>國發會網站/重要統計資料/</w:t>
      </w:r>
      <w:r w:rsidRPr="00D63773">
        <w:rPr>
          <w:color w:val="000000" w:themeColor="text1"/>
          <w:kern w:val="0"/>
          <w:szCs w:val="24"/>
        </w:rPr>
        <w:t>重要統計資料手冊</w:t>
      </w:r>
      <w:r w:rsidRPr="00D63773">
        <w:rPr>
          <w:rFonts w:hint="eastAsia"/>
          <w:color w:val="000000" w:themeColor="text1"/>
          <w:kern w:val="0"/>
          <w:szCs w:val="24"/>
        </w:rPr>
        <w:t>。</w:t>
      </w:r>
    </w:p>
  </w:footnote>
  <w:footnote w:id="3">
    <w:p w:rsidR="00030338" w:rsidRPr="00D63773" w:rsidRDefault="00030338" w:rsidP="006C2670">
      <w:pPr>
        <w:pStyle w:val="afe"/>
        <w:wordWrap w:val="0"/>
        <w:ind w:left="110" w:hangingChars="50" w:hanging="110"/>
      </w:pPr>
      <w:r w:rsidRPr="00D63773">
        <w:rPr>
          <w:rStyle w:val="aff0"/>
          <w:color w:val="000000" w:themeColor="text1"/>
        </w:rPr>
        <w:footnoteRef/>
      </w:r>
      <w:r w:rsidRPr="00D63773">
        <w:rPr>
          <w:rFonts w:hint="eastAsia"/>
          <w:color w:val="000000" w:themeColor="text1"/>
        </w:rPr>
        <w:t>教育部(2013)，</w:t>
      </w:r>
      <w:r w:rsidRPr="00D63773">
        <w:rPr>
          <w:rFonts w:hint="eastAsia"/>
          <w:b/>
          <w:color w:val="000000" w:themeColor="text1"/>
        </w:rPr>
        <w:t>人才培育白皮書</w:t>
      </w:r>
      <w:r w:rsidRPr="00D63773">
        <w:rPr>
          <w:rFonts w:hint="eastAsia"/>
          <w:color w:val="000000" w:themeColor="text1"/>
        </w:rPr>
        <w:t>。201</w:t>
      </w:r>
      <w:r>
        <w:rPr>
          <w:rFonts w:hint="eastAsia"/>
          <w:color w:val="000000" w:themeColor="text1"/>
        </w:rPr>
        <w:t>7</w:t>
      </w:r>
      <w:r w:rsidRPr="00D63773">
        <w:rPr>
          <w:rFonts w:hint="eastAsia"/>
          <w:color w:val="000000" w:themeColor="text1"/>
        </w:rPr>
        <w:t>年3月取自</w:t>
      </w:r>
      <w:hyperlink r:id="rId1" w:history="1">
        <w:r w:rsidRPr="00D63773">
          <w:rPr>
            <w:rStyle w:val="af0"/>
            <w:color w:val="000000" w:themeColor="text1"/>
            <w:u w:val="none"/>
          </w:rPr>
          <w:t>http://www.naer.edu.tw/ezfiles/0/1000/attach/5/pta_2189_2524507_39227.pdf</w:t>
        </w:r>
      </w:hyperlink>
    </w:p>
  </w:footnote>
  <w:footnote w:id="4">
    <w:p w:rsidR="00030338" w:rsidRPr="005F1FBE" w:rsidRDefault="00030338" w:rsidP="006C2670">
      <w:pPr>
        <w:pStyle w:val="afe"/>
        <w:ind w:left="222" w:hangingChars="101" w:hanging="222"/>
      </w:pPr>
      <w:r>
        <w:rPr>
          <w:rStyle w:val="aff0"/>
        </w:rPr>
        <w:footnoteRef/>
      </w:r>
      <w:r w:rsidRPr="00855C6B">
        <w:rPr>
          <w:rFonts w:hint="eastAsia"/>
          <w:b/>
        </w:rPr>
        <w:t>中央社</w:t>
      </w:r>
      <w:r>
        <w:rPr>
          <w:rFonts w:hint="eastAsia"/>
          <w:color w:val="C00000"/>
        </w:rPr>
        <w:t>，</w:t>
      </w:r>
      <w:r>
        <w:rPr>
          <w:rFonts w:hint="eastAsia"/>
        </w:rPr>
        <w:t>「少子女化衝擊大專校院15年恐少41萬人」</w:t>
      </w:r>
      <w:r>
        <w:rPr>
          <w:rFonts w:hint="eastAsia"/>
          <w:color w:val="C00000"/>
        </w:rPr>
        <w:t>，</w:t>
      </w:r>
      <w:r>
        <w:rPr>
          <w:rFonts w:hint="eastAsia"/>
        </w:rPr>
        <w:t>106年3月29日報導。</w:t>
      </w:r>
    </w:p>
  </w:footnote>
  <w:footnote w:id="5">
    <w:p w:rsidR="00030338" w:rsidRPr="00ED4AF3" w:rsidRDefault="00030338" w:rsidP="006C2670">
      <w:pPr>
        <w:pStyle w:val="afe"/>
        <w:ind w:left="141" w:hangingChars="64" w:hanging="141"/>
      </w:pPr>
      <w:r>
        <w:rPr>
          <w:rStyle w:val="aff0"/>
        </w:rPr>
        <w:footnoteRef/>
      </w:r>
      <w:r>
        <w:rPr>
          <w:rFonts w:hAnsi="標楷體" w:hint="eastAsia"/>
          <w:szCs w:val="24"/>
        </w:rPr>
        <w:t>原係指</w:t>
      </w:r>
      <w:r w:rsidRPr="008F5248">
        <w:rPr>
          <w:rFonts w:hAnsi="標楷體" w:hint="eastAsia"/>
          <w:szCs w:val="24"/>
        </w:rPr>
        <w:t>限制採認高等學校、限制來臺</w:t>
      </w:r>
      <w:r>
        <w:rPr>
          <w:rFonts w:hAnsi="標楷體" w:hint="eastAsia"/>
          <w:szCs w:val="24"/>
        </w:rPr>
        <w:t>大陸地區學生</w:t>
      </w:r>
      <w:r w:rsidRPr="008F5248">
        <w:rPr>
          <w:rFonts w:hAnsi="標楷體" w:hint="eastAsia"/>
          <w:szCs w:val="24"/>
        </w:rPr>
        <w:t>總量、限制醫事學歷採認、不加分優待、不影響國內招生名額、不編列獎助學金、不允許在學期間工作、不得報考公職及專技人員考試、不允許畢業後留臺就業</w:t>
      </w:r>
      <w:r>
        <w:rPr>
          <w:rFonts w:hAnsi="標楷體" w:hint="eastAsia"/>
          <w:szCs w:val="24"/>
        </w:rPr>
        <w:t>。惟為</w:t>
      </w:r>
      <w:r w:rsidRPr="008F5248">
        <w:rPr>
          <w:rFonts w:hAnsi="標楷體" w:hint="eastAsia"/>
          <w:szCs w:val="24"/>
        </w:rPr>
        <w:t>營造友善</w:t>
      </w:r>
      <w:r>
        <w:rPr>
          <w:rFonts w:hAnsi="標楷體" w:hint="eastAsia"/>
          <w:szCs w:val="24"/>
        </w:rPr>
        <w:t>大陸地區學生</w:t>
      </w:r>
      <w:r w:rsidRPr="008F5248">
        <w:rPr>
          <w:rFonts w:hAnsi="標楷體" w:hint="eastAsia"/>
          <w:szCs w:val="24"/>
        </w:rPr>
        <w:t>就學環境，以吸引優秀</w:t>
      </w:r>
      <w:r>
        <w:rPr>
          <w:rFonts w:hAnsi="標楷體" w:hint="eastAsia"/>
          <w:szCs w:val="24"/>
        </w:rPr>
        <w:t>大陸地區學生</w:t>
      </w:r>
      <w:r w:rsidRPr="008F5248">
        <w:rPr>
          <w:rFonts w:hAnsi="標楷體" w:hint="eastAsia"/>
          <w:szCs w:val="24"/>
        </w:rPr>
        <w:t>來臺</w:t>
      </w:r>
      <w:r>
        <w:rPr>
          <w:rFonts w:hAnsi="標楷體" w:hint="eastAsia"/>
          <w:szCs w:val="24"/>
        </w:rPr>
        <w:t>，</w:t>
      </w:r>
      <w:r w:rsidRPr="008F5248">
        <w:rPr>
          <w:rFonts w:hAnsi="標楷體" w:hint="eastAsia"/>
          <w:szCs w:val="24"/>
        </w:rPr>
        <w:t>已逐步放寬與鬆綁</w:t>
      </w:r>
      <w:r>
        <w:rPr>
          <w:rFonts w:hAnsi="標楷體" w:hint="eastAsia"/>
          <w:szCs w:val="24"/>
        </w:rPr>
        <w:t>相關原則。</w:t>
      </w:r>
    </w:p>
  </w:footnote>
  <w:footnote w:id="6">
    <w:p w:rsidR="00030338" w:rsidRPr="002864CE" w:rsidRDefault="00030338" w:rsidP="006C2670">
      <w:pPr>
        <w:pStyle w:val="afe"/>
        <w:ind w:left="110" w:hangingChars="50" w:hanging="110"/>
      </w:pPr>
      <w:r w:rsidRPr="00510B51">
        <w:rPr>
          <w:rStyle w:val="aff0"/>
          <w:color w:val="000000" w:themeColor="text1"/>
        </w:rPr>
        <w:footnoteRef/>
      </w:r>
      <w:r w:rsidRPr="00510B51">
        <w:rPr>
          <w:rFonts w:hint="eastAsia"/>
          <w:color w:val="000000" w:themeColor="text1"/>
        </w:rPr>
        <w:t>新南向18國包含東協10國(新加坡、馬來西亞、印尼、汶萊、寮國、越南、泰國、緬甸、</w:t>
      </w:r>
      <w:r>
        <w:rPr>
          <w:color w:val="000000" w:themeColor="text1"/>
        </w:rPr>
        <w:br/>
      </w:r>
      <w:r w:rsidRPr="00510B51">
        <w:rPr>
          <w:rFonts w:hint="eastAsia"/>
          <w:color w:val="000000" w:themeColor="text1"/>
        </w:rPr>
        <w:t>柬埔寨、菲律賓)、南亞6國(印度、斯里蘭卡、孟加拉、尼泊爾、不丹、巴基斯坦)及紐澳</w:t>
      </w:r>
      <w:r>
        <w:rPr>
          <w:color w:val="000000" w:themeColor="text1"/>
        </w:rPr>
        <w:br/>
      </w:r>
      <w:r w:rsidRPr="00510B51">
        <w:rPr>
          <w:rFonts w:hint="eastAsia"/>
          <w:color w:val="000000" w:themeColor="text1"/>
        </w:rPr>
        <w:t>2國(澳洲、紐西蘭)。</w:t>
      </w:r>
    </w:p>
  </w:footnote>
  <w:footnote w:id="7">
    <w:p w:rsidR="00030338" w:rsidRDefault="00030338" w:rsidP="006C2670">
      <w:pPr>
        <w:pStyle w:val="afe"/>
        <w:ind w:left="141" w:hangingChars="64" w:hanging="141"/>
      </w:pPr>
      <w:r w:rsidRPr="00D63773">
        <w:rPr>
          <w:rStyle w:val="aff0"/>
          <w:color w:val="000000" w:themeColor="text1"/>
        </w:rPr>
        <w:footnoteRef/>
      </w:r>
      <w:r w:rsidRPr="00D63773">
        <w:rPr>
          <w:rFonts w:hint="eastAsia"/>
          <w:b/>
          <w:i/>
          <w:color w:val="000000" w:themeColor="text1"/>
        </w:rPr>
        <w:t>聯合報</w:t>
      </w:r>
      <w:r w:rsidRPr="00D63773">
        <w:rPr>
          <w:rFonts w:hint="eastAsia"/>
          <w:color w:val="000000" w:themeColor="text1"/>
        </w:rPr>
        <w:t>，來</w:t>
      </w:r>
      <w:r>
        <w:rPr>
          <w:rFonts w:hint="eastAsia"/>
          <w:color w:val="000000" w:themeColor="text1"/>
        </w:rPr>
        <w:t>臺</w:t>
      </w:r>
      <w:r w:rsidRPr="00D63773">
        <w:rPr>
          <w:rFonts w:hint="eastAsia"/>
          <w:color w:val="000000" w:themeColor="text1"/>
        </w:rPr>
        <w:t>名額砍半</w:t>
      </w:r>
      <w:r>
        <w:rPr>
          <w:rFonts w:hint="eastAsia"/>
          <w:color w:val="000000" w:themeColor="text1"/>
        </w:rPr>
        <w:t xml:space="preserve"> 陸生：臺</w:t>
      </w:r>
      <w:r w:rsidRPr="00D63773">
        <w:rPr>
          <w:rFonts w:hint="eastAsia"/>
          <w:color w:val="000000" w:themeColor="text1"/>
        </w:rPr>
        <w:t>學歷「含金量」不如以往，106年5月30日報導。</w:t>
      </w:r>
      <w:r>
        <w:rPr>
          <w:rFonts w:hint="eastAsia"/>
          <w:color w:val="000000" w:themeColor="text1"/>
        </w:rPr>
        <w:t>106</w:t>
      </w:r>
      <w:r w:rsidRPr="00D63773">
        <w:rPr>
          <w:rFonts w:hint="eastAsia"/>
          <w:color w:val="000000" w:themeColor="text1"/>
        </w:rPr>
        <w:t>年在臺就讀學士班的陸籍畢業生約1,300人，其中有486人報名碩士班，最終444人錄取，但留在臺灣繼續讀碩士班比率僅百分之37</w:t>
      </w:r>
      <w:r>
        <w:rPr>
          <w:rFonts w:hint="eastAsia"/>
          <w:color w:val="000000" w:themeColor="text1"/>
        </w:rPr>
        <w:t>，比105</w:t>
      </w:r>
      <w:r w:rsidRPr="00D63773">
        <w:rPr>
          <w:rFonts w:hint="eastAsia"/>
          <w:color w:val="000000" w:themeColor="text1"/>
        </w:rPr>
        <w:t>年續留率百分之42，又少了5個百分點。106年8月28日取自</w:t>
      </w:r>
      <w:r w:rsidRPr="00D63773">
        <w:rPr>
          <w:color w:val="000000" w:themeColor="text1"/>
        </w:rPr>
        <w:t>https://udn.com/news/story/6928/2492473</w:t>
      </w:r>
    </w:p>
  </w:footnote>
  <w:footnote w:id="8">
    <w:p w:rsidR="00030338" w:rsidRDefault="00030338" w:rsidP="006C2670">
      <w:pPr>
        <w:pStyle w:val="afe"/>
        <w:ind w:left="110" w:hangingChars="50" w:hanging="110"/>
      </w:pPr>
      <w:r>
        <w:rPr>
          <w:rStyle w:val="aff0"/>
        </w:rPr>
        <w:footnoteRef/>
      </w:r>
      <w:r>
        <w:rPr>
          <w:rFonts w:hint="eastAsia"/>
        </w:rPr>
        <w:t>OECD(2016)，</w:t>
      </w:r>
      <w:r w:rsidRPr="008F0A04">
        <w:rPr>
          <w:b/>
          <w:i/>
        </w:rPr>
        <w:t>Education at a Glance 2016</w:t>
      </w:r>
      <w:r>
        <w:rPr>
          <w:rFonts w:hint="eastAsia"/>
        </w:rPr>
        <w:t>，第335-336頁。</w:t>
      </w:r>
    </w:p>
  </w:footnote>
  <w:footnote w:id="9">
    <w:p w:rsidR="00030338" w:rsidRPr="00872861" w:rsidRDefault="00030338" w:rsidP="006C2670">
      <w:pPr>
        <w:pStyle w:val="afe"/>
        <w:ind w:left="110" w:hangingChars="50" w:hanging="110"/>
        <w:rPr>
          <w:spacing w:val="-12"/>
        </w:rPr>
      </w:pPr>
      <w:r w:rsidRPr="00872861">
        <w:rPr>
          <w:rStyle w:val="aff0"/>
          <w:spacing w:val="-12"/>
        </w:rPr>
        <w:footnoteRef/>
      </w:r>
      <w:r w:rsidRPr="00872861">
        <w:rPr>
          <w:rFonts w:hint="eastAsia"/>
          <w:spacing w:val="-12"/>
        </w:rPr>
        <w:t>教育部補助獎勵大學教學卓越計畫及區域教學資源中心計畫實施要點」第4點第7款：為強化學生</w:t>
      </w:r>
      <w:r w:rsidRPr="00872861">
        <w:rPr>
          <w:spacing w:val="-12"/>
        </w:rPr>
        <w:br/>
      </w:r>
      <w:r w:rsidRPr="00872861">
        <w:rPr>
          <w:rFonts w:hint="eastAsia"/>
          <w:spacing w:val="-12"/>
        </w:rPr>
        <w:t>就業競爭力及國際移動力，或提升教師創新教學或全英語授課教學之專業知能所執行必要之出國計畫，</w:t>
      </w:r>
      <w:r w:rsidRPr="00872861">
        <w:rPr>
          <w:spacing w:val="-12"/>
        </w:rPr>
        <w:br/>
      </w:r>
      <w:r w:rsidRPr="00872861">
        <w:rPr>
          <w:rFonts w:hint="eastAsia"/>
          <w:spacing w:val="-12"/>
        </w:rPr>
        <w:t>出國師生所需國外差旅費應依國外出差旅費報支要點規定覈實報支，各出國計畫應由學校自行從嚴</w:t>
      </w:r>
      <w:r w:rsidRPr="00872861">
        <w:rPr>
          <w:spacing w:val="-12"/>
        </w:rPr>
        <w:br/>
      </w:r>
      <w:r w:rsidRPr="00872861">
        <w:rPr>
          <w:rFonts w:hint="eastAsia"/>
          <w:spacing w:val="-12"/>
        </w:rPr>
        <w:t>審核。學校推動計畫中有編列於招生時所提供入學之獎助學金，應由學校配合款勻支。</w:t>
      </w:r>
    </w:p>
  </w:footnote>
  <w:footnote w:id="10">
    <w:p w:rsidR="00030338" w:rsidRPr="0069613E" w:rsidRDefault="00030338" w:rsidP="006C2670">
      <w:pPr>
        <w:pStyle w:val="afe"/>
        <w:ind w:left="110" w:hangingChars="50" w:hanging="110"/>
      </w:pPr>
      <w:r w:rsidRPr="0069613E">
        <w:rPr>
          <w:rStyle w:val="aff0"/>
        </w:rPr>
        <w:footnoteRef/>
      </w:r>
      <w:r w:rsidRPr="0069613E">
        <w:rPr>
          <w:rFonts w:hint="eastAsia"/>
        </w:rPr>
        <w:t>「教育部獎勵科技大學及技術學院教學卓越計畫要點」第9點第9款：學校為強化學生就業競</w:t>
      </w:r>
    </w:p>
    <w:p w:rsidR="00030338" w:rsidRPr="0069613E" w:rsidRDefault="00030338" w:rsidP="006C2670">
      <w:pPr>
        <w:pStyle w:val="afe"/>
        <w:ind w:left="110" w:hangingChars="50" w:hanging="110"/>
      </w:pPr>
      <w:r w:rsidRPr="0069613E">
        <w:rPr>
          <w:rFonts w:hint="eastAsia"/>
        </w:rPr>
        <w:t xml:space="preserve"> 爭力、提升教師實務教學或外語教學之專業知能，所執行必要之出國計畫，出國師生所需國</w:t>
      </w:r>
    </w:p>
    <w:p w:rsidR="00030338" w:rsidRPr="0069613E" w:rsidRDefault="00030338" w:rsidP="006C2670">
      <w:pPr>
        <w:pStyle w:val="afe"/>
        <w:ind w:left="110" w:hangingChars="50" w:hanging="110"/>
      </w:pPr>
      <w:r w:rsidRPr="0069613E">
        <w:rPr>
          <w:rFonts w:hint="eastAsia"/>
        </w:rPr>
        <w:t xml:space="preserve"> 外差旅費，應依國外出差旅費報支要點規定核實報支，各出國計畫由學校自行從嚴核實核</w:t>
      </w:r>
    </w:p>
    <w:p w:rsidR="00030338" w:rsidRPr="0069613E" w:rsidRDefault="00030338" w:rsidP="006C2670">
      <w:pPr>
        <w:pStyle w:val="afe"/>
        <w:ind w:left="110" w:hangingChars="50" w:hanging="110"/>
      </w:pPr>
      <w:r w:rsidRPr="0069613E">
        <w:rPr>
          <w:rFonts w:hint="eastAsia"/>
        </w:rPr>
        <w:t xml:space="preserve"> 定，免報</w:t>
      </w:r>
      <w:r>
        <w:rPr>
          <w:rFonts w:hint="eastAsia"/>
        </w:rPr>
        <w:t>教育</w:t>
      </w:r>
      <w:r w:rsidRPr="0069613E">
        <w:rPr>
          <w:rFonts w:hint="eastAsia"/>
        </w:rPr>
        <w:t>部。</w:t>
      </w:r>
    </w:p>
  </w:footnote>
  <w:footnote w:id="11">
    <w:p w:rsidR="00030338" w:rsidRPr="00C67502" w:rsidRDefault="00030338" w:rsidP="006C2670">
      <w:pPr>
        <w:pStyle w:val="afe"/>
      </w:pPr>
      <w:r>
        <w:rPr>
          <w:rStyle w:val="aff0"/>
        </w:rPr>
        <w:footnoteRef/>
      </w:r>
      <w:r>
        <w:rPr>
          <w:rFonts w:hint="eastAsia"/>
        </w:rPr>
        <w:t>106年3月21日臺教高（二）字第1060015710號函。</w:t>
      </w:r>
    </w:p>
  </w:footnote>
  <w:footnote w:id="12">
    <w:p w:rsidR="00030338" w:rsidRPr="00B13A23" w:rsidRDefault="00030338" w:rsidP="006C2670">
      <w:pPr>
        <w:pStyle w:val="afe"/>
        <w:rPr>
          <w:color w:val="000000" w:themeColor="text1"/>
        </w:rPr>
      </w:pPr>
      <w:r w:rsidRPr="00B13A23">
        <w:rPr>
          <w:rStyle w:val="aff0"/>
          <w:color w:val="000000" w:themeColor="text1"/>
        </w:rPr>
        <w:footnoteRef/>
      </w:r>
      <w:r w:rsidRPr="00B13A23">
        <w:rPr>
          <w:rFonts w:hint="eastAsia"/>
          <w:b/>
          <w:i/>
          <w:color w:val="000000" w:themeColor="text1"/>
        </w:rPr>
        <w:t>中國時報</w:t>
      </w:r>
      <w:r w:rsidRPr="00B13A23">
        <w:rPr>
          <w:rFonts w:hint="eastAsia"/>
          <w:color w:val="000000" w:themeColor="text1"/>
        </w:rPr>
        <w:t>A17版</w:t>
      </w:r>
      <w:r>
        <w:rPr>
          <w:rFonts w:hint="eastAsia"/>
          <w:color w:val="000000" w:themeColor="text1"/>
        </w:rPr>
        <w:t>，</w:t>
      </w:r>
      <w:r w:rsidRPr="00B13A23">
        <w:rPr>
          <w:rFonts w:hint="eastAsia"/>
          <w:color w:val="000000" w:themeColor="text1"/>
        </w:rPr>
        <w:t xml:space="preserve">高教自由化不可擋 </w:t>
      </w:r>
      <w:r>
        <w:rPr>
          <w:rFonts w:hint="eastAsia"/>
          <w:color w:val="000000" w:themeColor="text1"/>
        </w:rPr>
        <w:t>教育部應放手，</w:t>
      </w:r>
      <w:r w:rsidRPr="00B13A23">
        <w:rPr>
          <w:rFonts w:hint="eastAsia"/>
          <w:color w:val="000000" w:themeColor="text1"/>
        </w:rPr>
        <w:t>106年5月19日</w:t>
      </w:r>
      <w:r>
        <w:rPr>
          <w:rFonts w:hint="eastAsia"/>
          <w:color w:val="000000" w:themeColor="text1"/>
        </w:rPr>
        <w:t>報導。</w:t>
      </w:r>
    </w:p>
  </w:footnote>
  <w:footnote w:id="13">
    <w:p w:rsidR="00030338" w:rsidRPr="00B13A23" w:rsidRDefault="00030338" w:rsidP="006C2670">
      <w:pPr>
        <w:pStyle w:val="afe"/>
        <w:rPr>
          <w:color w:val="000000" w:themeColor="text1"/>
        </w:rPr>
      </w:pPr>
      <w:r w:rsidRPr="00B13A23">
        <w:rPr>
          <w:rStyle w:val="aff0"/>
          <w:color w:val="000000" w:themeColor="text1"/>
        </w:rPr>
        <w:footnoteRef/>
      </w:r>
      <w:r w:rsidRPr="00B13A23">
        <w:rPr>
          <w:rFonts w:hint="eastAsia"/>
          <w:color w:val="000000" w:themeColor="text1"/>
        </w:rPr>
        <w:t>教育部即時新聞</w:t>
      </w:r>
      <w:r>
        <w:rPr>
          <w:rFonts w:hint="eastAsia"/>
          <w:color w:val="000000" w:themeColor="text1"/>
        </w:rPr>
        <w:t>，教育部並未不同意臺大試辦國際學士學位學程</w:t>
      </w:r>
      <w:r w:rsidRPr="00B13A23">
        <w:rPr>
          <w:rFonts w:hint="eastAsia"/>
          <w:color w:val="000000" w:themeColor="text1"/>
        </w:rPr>
        <w:t>，106年5月8日取自</w:t>
      </w:r>
    </w:p>
    <w:p w:rsidR="00030338" w:rsidRPr="007A200D" w:rsidRDefault="00030338" w:rsidP="006C2670">
      <w:pPr>
        <w:pStyle w:val="afe"/>
        <w:ind w:leftChars="41" w:left="139"/>
      </w:pPr>
      <w:r w:rsidRPr="00B13A23">
        <w:rPr>
          <w:color w:val="000000" w:themeColor="text1"/>
        </w:rPr>
        <w:t>http://depart.moe.edu.tw/ED2200/News_Content.aspx?n=90774906111B0527&amp;sms=F0EAFEB716DE7FFA&amp;s=1AE844CD76A064ED</w:t>
      </w:r>
    </w:p>
  </w:footnote>
  <w:footnote w:id="14">
    <w:p w:rsidR="00030338" w:rsidRDefault="00030338" w:rsidP="006C2670">
      <w:pPr>
        <w:pStyle w:val="afe"/>
      </w:pPr>
      <w:r w:rsidRPr="00B13A23">
        <w:rPr>
          <w:rStyle w:val="aff0"/>
          <w:color w:val="000000" w:themeColor="text1"/>
        </w:rPr>
        <w:footnoteRef/>
      </w:r>
      <w:r w:rsidRPr="00B13A23">
        <w:rPr>
          <w:rFonts w:hint="eastAsia"/>
          <w:color w:val="000000" w:themeColor="text1"/>
        </w:rPr>
        <w:t>106年3月21日臺教高（二）字第1060015710號函。</w:t>
      </w:r>
    </w:p>
  </w:footnote>
  <w:footnote w:id="15">
    <w:p w:rsidR="00030338" w:rsidRPr="00D67D30" w:rsidRDefault="00030338" w:rsidP="006C2670">
      <w:pPr>
        <w:pStyle w:val="afe"/>
        <w:wordWrap w:val="0"/>
        <w:rPr>
          <w:color w:val="000000" w:themeColor="text1"/>
        </w:rPr>
      </w:pPr>
      <w:r w:rsidRPr="00D67D30">
        <w:rPr>
          <w:rStyle w:val="aff0"/>
          <w:color w:val="000000" w:themeColor="text1"/>
        </w:rPr>
        <w:footnoteRef/>
      </w:r>
      <w:r w:rsidRPr="00D67D30">
        <w:rPr>
          <w:rFonts w:hint="eastAsia"/>
          <w:color w:val="000000" w:themeColor="text1"/>
        </w:rPr>
        <w:t>行政院研究發展考核委員會（2007）。</w:t>
      </w:r>
      <w:r w:rsidRPr="00D67D30">
        <w:rPr>
          <w:rFonts w:hint="eastAsia"/>
          <w:b/>
          <w:color w:val="000000" w:themeColor="text1"/>
        </w:rPr>
        <w:t>「推動大專院校國際化計畫」政策建議書</w:t>
      </w:r>
      <w:r w:rsidRPr="00D67D30">
        <w:rPr>
          <w:rFonts w:hint="eastAsia"/>
          <w:color w:val="000000" w:themeColor="text1"/>
        </w:rPr>
        <w:t>。臺北市：</w:t>
      </w:r>
    </w:p>
    <w:p w:rsidR="00030338" w:rsidRPr="006D6B7D" w:rsidRDefault="00030338" w:rsidP="006C2670">
      <w:pPr>
        <w:pStyle w:val="afe"/>
        <w:wordWrap w:val="0"/>
        <w:ind w:leftChars="41" w:left="139"/>
      </w:pPr>
      <w:r w:rsidRPr="00D67D30">
        <w:rPr>
          <w:rFonts w:hint="eastAsia"/>
          <w:color w:val="000000" w:themeColor="text1"/>
        </w:rPr>
        <w:t>國立臺灣大</w:t>
      </w:r>
      <w:r>
        <w:rPr>
          <w:rFonts w:hint="eastAsia"/>
        </w:rPr>
        <w:t>學政治學系。2017年7月20日取自</w:t>
      </w:r>
      <w:r w:rsidRPr="006D6B7D">
        <w:t>http://ws.ndc.gov.tw/Download.ashx?u=LzAwMS9hZG1pbmlzdHJhdG9yLzEwL3JlbGZpbGUvNTY0NC8yODc3LzAwNTg3MzUucGRm&amp;n=5o6o5YuV5aSn5bCI6Zmi5qCh5ZyL6Zqb5YyW6KiI55WrLnBkZg%3D%3D&amp;icon=..pdf</w:t>
      </w:r>
    </w:p>
  </w:footnote>
  <w:footnote w:id="16">
    <w:p w:rsidR="00030338" w:rsidRDefault="00030338" w:rsidP="006C2670">
      <w:pPr>
        <w:pStyle w:val="afe"/>
      </w:pPr>
      <w:r>
        <w:rPr>
          <w:rStyle w:val="aff0"/>
        </w:rPr>
        <w:footnoteRef/>
      </w:r>
      <w:r>
        <w:rPr>
          <w:rFonts w:hint="eastAsia"/>
        </w:rPr>
        <w:t>106年3月21日臺教高（二）字第1060015710號函。</w:t>
      </w:r>
    </w:p>
  </w:footnote>
  <w:footnote w:id="17">
    <w:p w:rsidR="00030338" w:rsidRDefault="00030338" w:rsidP="006C2670">
      <w:pPr>
        <w:pStyle w:val="afe"/>
        <w:rPr>
          <w:rFonts w:hAnsi="標楷體"/>
          <w:noProof/>
        </w:rPr>
      </w:pPr>
      <w:r w:rsidRPr="002859D7">
        <w:rPr>
          <w:rStyle w:val="aff0"/>
        </w:rPr>
        <w:footnoteRef/>
      </w:r>
      <w:r w:rsidRPr="002859D7">
        <w:rPr>
          <w:rFonts w:hAnsi="標楷體" w:hint="eastAsia"/>
          <w:noProof/>
        </w:rPr>
        <w:t>教育部公費留考</w:t>
      </w:r>
      <w:r w:rsidRPr="002859D7">
        <w:rPr>
          <w:rFonts w:hAnsi="標楷體"/>
          <w:noProof/>
        </w:rPr>
        <w:t>94</w:t>
      </w:r>
      <w:r w:rsidRPr="002859D7">
        <w:rPr>
          <w:rFonts w:hAnsi="標楷體" w:hint="eastAsia"/>
          <w:noProof/>
        </w:rPr>
        <w:t>年至</w:t>
      </w:r>
      <w:r w:rsidRPr="002859D7">
        <w:rPr>
          <w:rFonts w:hAnsi="標楷體"/>
          <w:noProof/>
        </w:rPr>
        <w:t>105</w:t>
      </w:r>
      <w:r w:rsidRPr="002859D7">
        <w:rPr>
          <w:rFonts w:hAnsi="標楷體" w:hint="eastAsia"/>
          <w:noProof/>
        </w:rPr>
        <w:t>年錄取人數係以社會科學、商業及法律領域為主，平均數占</w:t>
      </w:r>
      <w:r w:rsidRPr="002859D7">
        <w:rPr>
          <w:rFonts w:hAnsi="標楷體"/>
          <w:noProof/>
        </w:rPr>
        <w:t>53％</w:t>
      </w:r>
    </w:p>
    <w:p w:rsidR="00030338" w:rsidRDefault="00030338" w:rsidP="006C2670">
      <w:pPr>
        <w:pStyle w:val="afe"/>
        <w:rPr>
          <w:rFonts w:hAnsi="標楷體"/>
          <w:noProof/>
        </w:rPr>
      </w:pPr>
      <w:r>
        <w:rPr>
          <w:rFonts w:hAnsi="標楷體" w:hint="eastAsia"/>
          <w:noProof/>
        </w:rPr>
        <w:t xml:space="preserve"> </w:t>
      </w:r>
      <w:r w:rsidRPr="002859D7">
        <w:rPr>
          <w:rFonts w:hAnsi="標楷體"/>
          <w:noProof/>
        </w:rPr>
        <w:t>(573</w:t>
      </w:r>
      <w:r w:rsidRPr="002859D7">
        <w:rPr>
          <w:rFonts w:hAnsi="標楷體" w:hint="eastAsia"/>
          <w:noProof/>
        </w:rPr>
        <w:t>人</w:t>
      </w:r>
      <w:r w:rsidRPr="002859D7">
        <w:rPr>
          <w:rFonts w:hAnsi="標楷體"/>
          <w:noProof/>
        </w:rPr>
        <w:t>)</w:t>
      </w:r>
      <w:r w:rsidRPr="002859D7">
        <w:rPr>
          <w:rFonts w:hAnsi="標楷體" w:hint="eastAsia"/>
          <w:noProof/>
        </w:rPr>
        <w:t>，其次為人文及藝術領域</w:t>
      </w:r>
      <w:r>
        <w:rPr>
          <w:rFonts w:hAnsi="標楷體" w:hint="eastAsia"/>
          <w:noProof/>
        </w:rPr>
        <w:t>，</w:t>
      </w:r>
      <w:r w:rsidRPr="002859D7">
        <w:rPr>
          <w:rFonts w:hAnsi="標楷體" w:hint="eastAsia"/>
          <w:noProof/>
        </w:rPr>
        <w:t>占</w:t>
      </w:r>
      <w:r w:rsidRPr="002859D7">
        <w:rPr>
          <w:rFonts w:hAnsi="標楷體"/>
          <w:noProof/>
        </w:rPr>
        <w:t>26％(284</w:t>
      </w:r>
      <w:r w:rsidRPr="002859D7">
        <w:rPr>
          <w:rFonts w:hAnsi="標楷體" w:hint="eastAsia"/>
          <w:noProof/>
        </w:rPr>
        <w:t>人</w:t>
      </w:r>
      <w:r w:rsidRPr="002859D7">
        <w:rPr>
          <w:rFonts w:hAnsi="標楷體"/>
          <w:noProof/>
        </w:rPr>
        <w:t>)</w:t>
      </w:r>
      <w:r>
        <w:rPr>
          <w:rFonts w:hAnsi="標楷體" w:hint="eastAsia"/>
          <w:noProof/>
        </w:rPr>
        <w:t>；</w:t>
      </w:r>
      <w:r w:rsidRPr="002859D7">
        <w:rPr>
          <w:rFonts w:hAnsi="標楷體" w:hint="eastAsia"/>
          <w:noProof/>
        </w:rPr>
        <w:t>科學領域居第三，占</w:t>
      </w:r>
      <w:r w:rsidRPr="002859D7">
        <w:rPr>
          <w:rFonts w:hAnsi="標楷體"/>
          <w:noProof/>
        </w:rPr>
        <w:t>21％(220</w:t>
      </w:r>
      <w:r w:rsidRPr="002859D7">
        <w:rPr>
          <w:rFonts w:hAnsi="標楷體" w:hint="eastAsia"/>
          <w:noProof/>
        </w:rPr>
        <w:t>人</w:t>
      </w:r>
      <w:r w:rsidRPr="002859D7">
        <w:rPr>
          <w:rFonts w:hAnsi="標楷體"/>
          <w:noProof/>
        </w:rPr>
        <w:t>)</w:t>
      </w:r>
      <w:r w:rsidRPr="002859D7">
        <w:rPr>
          <w:rFonts w:hAnsi="標楷體" w:hint="eastAsia"/>
          <w:noProof/>
        </w:rPr>
        <w:t>；資</w:t>
      </w:r>
    </w:p>
    <w:p w:rsidR="00030338" w:rsidRPr="00081D93" w:rsidRDefault="00030338" w:rsidP="006C2670">
      <w:pPr>
        <w:pStyle w:val="afe"/>
        <w:rPr>
          <w:color w:val="000000" w:themeColor="text1"/>
        </w:rPr>
      </w:pPr>
      <w:r>
        <w:rPr>
          <w:rFonts w:hAnsi="標楷體" w:hint="eastAsia"/>
          <w:noProof/>
        </w:rPr>
        <w:t xml:space="preserve"> </w:t>
      </w:r>
      <w:r w:rsidRPr="002859D7">
        <w:rPr>
          <w:rFonts w:hAnsi="標楷體" w:hint="eastAsia"/>
          <w:noProof/>
        </w:rPr>
        <w:t>料</w:t>
      </w:r>
      <w:r w:rsidRPr="00081D93">
        <w:rPr>
          <w:rFonts w:hAnsi="標楷體" w:hint="eastAsia"/>
          <w:noProof/>
          <w:color w:val="000000" w:themeColor="text1"/>
        </w:rPr>
        <w:t>來源：教育部。</w:t>
      </w:r>
    </w:p>
  </w:footnote>
  <w:footnote w:id="18">
    <w:p w:rsidR="00030338" w:rsidRPr="00914F0B" w:rsidRDefault="00030338" w:rsidP="006C2670">
      <w:pPr>
        <w:pStyle w:val="afe"/>
      </w:pPr>
      <w:r w:rsidRPr="00081D93">
        <w:rPr>
          <w:rStyle w:val="aff0"/>
          <w:color w:val="000000" w:themeColor="text1"/>
        </w:rPr>
        <w:footnoteRef/>
      </w:r>
      <w:r w:rsidRPr="00081D93">
        <w:rPr>
          <w:rFonts w:hint="eastAsia"/>
          <w:color w:val="000000" w:themeColor="text1"/>
        </w:rPr>
        <w:t>106年8月7日教育部接受本院詢問提供之書面資料。</w:t>
      </w:r>
    </w:p>
  </w:footnote>
  <w:footnote w:id="19">
    <w:p w:rsidR="00030338" w:rsidRDefault="00030338" w:rsidP="006C2670">
      <w:pPr>
        <w:pStyle w:val="afe"/>
        <w:rPr>
          <w:rFonts w:hAnsi="標楷體"/>
        </w:rPr>
      </w:pPr>
      <w:r>
        <w:rPr>
          <w:rStyle w:val="aff0"/>
        </w:rPr>
        <w:footnoteRef/>
      </w:r>
      <w:r>
        <w:rPr>
          <w:rFonts w:hAnsi="標楷體" w:hint="eastAsia"/>
        </w:rPr>
        <w:t>教育部</w:t>
      </w:r>
      <w:r w:rsidRPr="00477896">
        <w:rPr>
          <w:rFonts w:hAnsi="標楷體" w:hint="eastAsia"/>
        </w:rPr>
        <w:t>獎助大專校院選送優秀學生出國短期研修學分或專業實習，104年度學海飛颺計畫核</w:t>
      </w:r>
    </w:p>
    <w:p w:rsidR="00030338" w:rsidRPr="005B460D" w:rsidRDefault="00030338" w:rsidP="006C2670">
      <w:pPr>
        <w:pStyle w:val="afe"/>
        <w:ind w:left="141" w:hangingChars="64" w:hanging="141"/>
      </w:pPr>
      <w:r>
        <w:rPr>
          <w:rFonts w:hAnsi="標楷體" w:hint="eastAsia"/>
        </w:rPr>
        <w:t xml:space="preserve"> </w:t>
      </w:r>
      <w:r w:rsidRPr="00477896">
        <w:rPr>
          <w:rFonts w:hAnsi="標楷體" w:hint="eastAsia"/>
        </w:rPr>
        <w:t>定錄取</w:t>
      </w:r>
      <w:r w:rsidRPr="00477896">
        <w:rPr>
          <w:rFonts w:hAnsi="標楷體"/>
        </w:rPr>
        <w:t>107</w:t>
      </w:r>
      <w:r w:rsidRPr="00477896">
        <w:rPr>
          <w:rFonts w:hAnsi="標楷體" w:hint="eastAsia"/>
        </w:rPr>
        <w:t>校、學海惜珠計畫核定錄取</w:t>
      </w:r>
      <w:r w:rsidRPr="00477896">
        <w:rPr>
          <w:rFonts w:hAnsi="標楷體"/>
        </w:rPr>
        <w:t>36</w:t>
      </w:r>
      <w:r w:rsidRPr="00477896">
        <w:rPr>
          <w:rFonts w:hAnsi="標楷體" w:hint="eastAsia"/>
        </w:rPr>
        <w:t>校</w:t>
      </w:r>
      <w:r w:rsidRPr="00477896">
        <w:rPr>
          <w:rFonts w:hAnsi="標楷體"/>
        </w:rPr>
        <w:t>71</w:t>
      </w:r>
      <w:r w:rsidRPr="00477896">
        <w:rPr>
          <w:rFonts w:hAnsi="標楷體" w:hint="eastAsia"/>
        </w:rPr>
        <w:t>名學生、學海築夢計畫核定114校</w:t>
      </w:r>
      <w:r>
        <w:rPr>
          <w:rFonts w:hAnsi="標楷體" w:hint="eastAsia"/>
        </w:rPr>
        <w:t>。資料來源：教育部。</w:t>
      </w:r>
    </w:p>
  </w:footnote>
  <w:footnote w:id="20">
    <w:p w:rsidR="00030338" w:rsidRPr="009C3590" w:rsidRDefault="00030338" w:rsidP="006C2670">
      <w:pPr>
        <w:pStyle w:val="afe"/>
        <w:wordWrap w:val="0"/>
        <w:ind w:left="141" w:hangingChars="64" w:hanging="141"/>
      </w:pPr>
      <w:r>
        <w:rPr>
          <w:rStyle w:val="aff0"/>
        </w:rPr>
        <w:footnoteRef/>
      </w:r>
      <w:r>
        <w:rPr>
          <w:rFonts w:hint="eastAsia"/>
        </w:rPr>
        <w:t>105年QS亞洲大學排名</w:t>
      </w:r>
      <w:r w:rsidRPr="008D3D05">
        <w:rPr>
          <w:rFonts w:hint="eastAsia"/>
        </w:rPr>
        <w:t>。</w:t>
      </w:r>
      <w:r>
        <w:rPr>
          <w:rFonts w:hint="eastAsia"/>
        </w:rPr>
        <w:t>106年8月29日取自h</w:t>
      </w:r>
      <w:r w:rsidRPr="009C3590">
        <w:t>ttps://www.topuniversities.com/university-rankings/asian-university-rankings/2016</w:t>
      </w:r>
    </w:p>
  </w:footnote>
  <w:footnote w:id="21">
    <w:p w:rsidR="00030338" w:rsidRPr="00513805" w:rsidRDefault="00030338" w:rsidP="006C2670">
      <w:pPr>
        <w:pStyle w:val="afe"/>
      </w:pPr>
      <w:r>
        <w:rPr>
          <w:rStyle w:val="aff0"/>
        </w:rPr>
        <w:footnoteRef/>
      </w:r>
      <w:r>
        <w:rPr>
          <w:rFonts w:hint="eastAsia"/>
        </w:rPr>
        <w:t>國立臺灣大學105年統計年報</w:t>
      </w:r>
      <w:r w:rsidRPr="008D3D05">
        <w:rPr>
          <w:rFonts w:hint="eastAsia"/>
        </w:rPr>
        <w:t>。</w:t>
      </w:r>
      <w:r>
        <w:rPr>
          <w:rFonts w:hint="eastAsia"/>
        </w:rPr>
        <w:t>106年8月29日取自</w:t>
      </w:r>
      <w:r w:rsidRPr="009C6527">
        <w:t>http://acct2016.cc.ntu.edu.tw/</w:t>
      </w:r>
    </w:p>
  </w:footnote>
  <w:footnote w:id="22">
    <w:p w:rsidR="00030338" w:rsidRPr="00883990" w:rsidRDefault="00030338" w:rsidP="006C2670">
      <w:pPr>
        <w:pStyle w:val="afe"/>
        <w:ind w:left="110" w:hangingChars="50" w:hanging="110"/>
      </w:pPr>
      <w:r>
        <w:rPr>
          <w:rStyle w:val="aff0"/>
        </w:rPr>
        <w:footnoteRef/>
      </w:r>
      <w:r>
        <w:rPr>
          <w:rFonts w:hint="eastAsia"/>
        </w:rPr>
        <w:t>105年12月第十次全國科學技術會議議題三子題(四)國際頂尖人才延攬與留用簡報。</w:t>
      </w:r>
    </w:p>
  </w:footnote>
  <w:footnote w:id="23">
    <w:p w:rsidR="00030338" w:rsidRPr="00865F4F" w:rsidRDefault="00030338" w:rsidP="006C2670">
      <w:pPr>
        <w:pStyle w:val="afe"/>
        <w:ind w:left="110" w:hangingChars="50" w:hanging="110"/>
      </w:pPr>
      <w:r>
        <w:rPr>
          <w:rStyle w:val="aff0"/>
        </w:rPr>
        <w:footnoteRef/>
      </w:r>
      <w:r>
        <w:rPr>
          <w:rFonts w:hint="eastAsia"/>
        </w:rPr>
        <w:t>調查委員：陳小紅</w:t>
      </w:r>
      <w:r w:rsidRPr="00EB783C">
        <w:rPr>
          <w:rFonts w:hint="eastAsia"/>
          <w:color w:val="000000" w:themeColor="text1"/>
        </w:rPr>
        <w:t>委員</w:t>
      </w:r>
      <w:r>
        <w:rPr>
          <w:rFonts w:hint="eastAsia"/>
        </w:rPr>
        <w:t>。</w:t>
      </w:r>
      <w:r>
        <w:rPr>
          <w:rFonts w:hAnsi="標楷體" w:hint="eastAsia"/>
        </w:rPr>
        <w:t>104</w:t>
      </w:r>
      <w:r w:rsidRPr="00B64D4C">
        <w:rPr>
          <w:rFonts w:hAnsi="標楷體" w:hint="eastAsia"/>
        </w:rPr>
        <w:t>年</w:t>
      </w:r>
      <w:r>
        <w:rPr>
          <w:rFonts w:hAnsi="標楷體" w:hint="eastAsia"/>
        </w:rPr>
        <w:t>10</w:t>
      </w:r>
      <w:r w:rsidRPr="00B64D4C">
        <w:rPr>
          <w:rFonts w:hAnsi="標楷體" w:hint="eastAsia"/>
        </w:rPr>
        <w:t>月</w:t>
      </w:r>
      <w:r>
        <w:rPr>
          <w:rFonts w:hAnsi="標楷體" w:hint="eastAsia"/>
        </w:rPr>
        <w:t>26</w:t>
      </w:r>
      <w:r w:rsidRPr="00B64D4C">
        <w:rPr>
          <w:rFonts w:hAnsi="標楷體" w:hint="eastAsia"/>
        </w:rPr>
        <w:t>日院台調壹字第</w:t>
      </w:r>
      <w:r>
        <w:rPr>
          <w:rFonts w:hAnsi="標楷體"/>
        </w:rPr>
        <w:t>10</w:t>
      </w:r>
      <w:r>
        <w:rPr>
          <w:rFonts w:hAnsi="標楷體" w:hint="eastAsia"/>
        </w:rPr>
        <w:t>4</w:t>
      </w:r>
      <w:r>
        <w:rPr>
          <w:rFonts w:hAnsi="標楷體"/>
        </w:rPr>
        <w:t>08002</w:t>
      </w:r>
      <w:r>
        <w:rPr>
          <w:rFonts w:hAnsi="標楷體" w:hint="eastAsia"/>
        </w:rPr>
        <w:t>02</w:t>
      </w:r>
      <w:r w:rsidRPr="00B64D4C">
        <w:rPr>
          <w:rFonts w:hAnsi="標楷體" w:hint="eastAsia"/>
        </w:rPr>
        <w:t>號函</w:t>
      </w:r>
      <w:r>
        <w:rPr>
          <w:rFonts w:hint="eastAsia"/>
        </w:rPr>
        <w:t>。</w:t>
      </w:r>
    </w:p>
  </w:footnote>
  <w:footnote w:id="24">
    <w:p w:rsidR="00030338" w:rsidRPr="00A24780" w:rsidRDefault="00030338" w:rsidP="006C2670">
      <w:pPr>
        <w:pStyle w:val="afe"/>
        <w:ind w:left="110" w:hangingChars="50" w:hanging="110"/>
      </w:pPr>
      <w:r>
        <w:rPr>
          <w:rStyle w:val="aff0"/>
        </w:rPr>
        <w:footnoteRef/>
      </w:r>
      <w:r>
        <w:rPr>
          <w:rFonts w:hint="eastAsia"/>
        </w:rPr>
        <w:t>106年8月29日取自</w:t>
      </w:r>
      <w:r w:rsidRPr="00A24780">
        <w:rPr>
          <w:rFonts w:hint="eastAsia"/>
        </w:rPr>
        <w:t>https://tw.news.yahoo.com/外籍人才不來-問題在薪資-教育部提議-來</w:t>
      </w:r>
      <w:r w:rsidRPr="006503E2">
        <w:rPr>
          <w:rFonts w:hint="eastAsia"/>
          <w:color w:val="000000" w:themeColor="text1"/>
        </w:rPr>
        <w:t>臺</w:t>
      </w:r>
      <w:r w:rsidRPr="00A24780">
        <w:rPr>
          <w:rFonts w:hint="eastAsia"/>
        </w:rPr>
        <w:t>3-5年內彈性薪資-143800393.html</w:t>
      </w:r>
    </w:p>
  </w:footnote>
  <w:footnote w:id="25">
    <w:p w:rsidR="00030338" w:rsidRPr="008D3D05" w:rsidRDefault="00030338" w:rsidP="006C2670">
      <w:pPr>
        <w:pStyle w:val="afe"/>
        <w:ind w:left="110" w:hangingChars="50" w:hanging="110"/>
      </w:pPr>
      <w:r>
        <w:rPr>
          <w:rStyle w:val="aff0"/>
        </w:rPr>
        <w:footnoteRef/>
      </w:r>
      <w:r w:rsidRPr="008D3D05">
        <w:rPr>
          <w:rFonts w:hint="eastAsia"/>
        </w:rPr>
        <w:t>「玉山計畫」計畫內容將包含「玉山學者」、「高教深耕計畫彈性薪資」、「教授學術研究加給提高10%」三大方案，以彈性薪資作為我國大專校院教學與研究人員之獎勵，預計將每年度投入最高56億元於高教預算，受益教師</w:t>
      </w:r>
      <w:r>
        <w:rPr>
          <w:rFonts w:hint="eastAsia"/>
        </w:rPr>
        <w:t>預</w:t>
      </w:r>
      <w:r w:rsidRPr="00F86E24">
        <w:rPr>
          <w:rFonts w:hint="eastAsia"/>
        </w:rPr>
        <w:t>估</w:t>
      </w:r>
      <w:r w:rsidRPr="008D3D05">
        <w:rPr>
          <w:rFonts w:hint="eastAsia"/>
        </w:rPr>
        <w:t>達19,000人次。</w:t>
      </w:r>
      <w:r>
        <w:rPr>
          <w:rFonts w:hint="eastAsia"/>
        </w:rPr>
        <w:t>106年8月29日取自</w:t>
      </w:r>
      <w:r w:rsidRPr="008D3D05">
        <w:t>https://www.edu.tw/News_Content.aspx?n=9E7AC85F1954DDA8&amp;s=FDB45CD165AA0A45</w:t>
      </w:r>
    </w:p>
  </w:footnote>
  <w:footnote w:id="26">
    <w:p w:rsidR="00030338" w:rsidRPr="00865F4F" w:rsidRDefault="00030338" w:rsidP="006C2670">
      <w:pPr>
        <w:pStyle w:val="afe"/>
        <w:wordWrap w:val="0"/>
        <w:ind w:left="284" w:hangingChars="129" w:hanging="284"/>
      </w:pPr>
      <w:r>
        <w:rPr>
          <w:rStyle w:val="aff0"/>
        </w:rPr>
        <w:footnoteRef/>
      </w:r>
      <w:r>
        <w:rPr>
          <w:rFonts w:hint="eastAsia"/>
        </w:rPr>
        <w:t>調查委員：林雅鋒</w:t>
      </w:r>
      <w:r w:rsidRPr="00EB783C">
        <w:rPr>
          <w:rFonts w:hint="eastAsia"/>
          <w:color w:val="000000" w:themeColor="text1"/>
        </w:rPr>
        <w:t>委員</w:t>
      </w:r>
      <w:r>
        <w:rPr>
          <w:rFonts w:ascii="新細明體" w:eastAsia="新細明體" w:hAnsi="新細明體" w:hint="eastAsia"/>
          <w:color w:val="000000" w:themeColor="text1"/>
        </w:rPr>
        <w:t>、</w:t>
      </w:r>
      <w:r>
        <w:rPr>
          <w:rFonts w:hint="eastAsia"/>
        </w:rPr>
        <w:t>尹祚芊</w:t>
      </w:r>
      <w:r w:rsidRPr="00EB783C">
        <w:rPr>
          <w:rFonts w:hint="eastAsia"/>
          <w:color w:val="000000" w:themeColor="text1"/>
        </w:rPr>
        <w:t>委員</w:t>
      </w:r>
      <w:r>
        <w:rPr>
          <w:rFonts w:hint="eastAsia"/>
        </w:rPr>
        <w:t>。</w:t>
      </w:r>
      <w:r>
        <w:rPr>
          <w:rFonts w:hAnsi="標楷體" w:hint="eastAsia"/>
        </w:rPr>
        <w:t>105</w:t>
      </w:r>
      <w:r w:rsidRPr="00B64D4C">
        <w:rPr>
          <w:rFonts w:hAnsi="標楷體" w:hint="eastAsia"/>
        </w:rPr>
        <w:t>年</w:t>
      </w:r>
      <w:r>
        <w:rPr>
          <w:rFonts w:hAnsi="標楷體" w:hint="eastAsia"/>
        </w:rPr>
        <w:t>11</w:t>
      </w:r>
      <w:r w:rsidRPr="00B64D4C">
        <w:rPr>
          <w:rFonts w:hAnsi="標楷體" w:hint="eastAsia"/>
        </w:rPr>
        <w:t>月</w:t>
      </w:r>
      <w:r>
        <w:rPr>
          <w:rFonts w:hAnsi="標楷體" w:hint="eastAsia"/>
        </w:rPr>
        <w:t>15</w:t>
      </w:r>
      <w:r w:rsidRPr="00B64D4C">
        <w:rPr>
          <w:rFonts w:hAnsi="標楷體" w:hint="eastAsia"/>
        </w:rPr>
        <w:t>日院台調壹字第</w:t>
      </w:r>
      <w:r w:rsidRPr="00565E4C">
        <w:rPr>
          <w:rFonts w:hAnsi="標楷體"/>
        </w:rPr>
        <w:t>1050800245</w:t>
      </w:r>
      <w:r w:rsidRPr="00B64D4C">
        <w:rPr>
          <w:rFonts w:hAnsi="標楷體" w:hint="eastAsia"/>
        </w:rPr>
        <w:t>號函</w:t>
      </w:r>
      <w:r>
        <w:rPr>
          <w:rFonts w:hint="eastAsia"/>
        </w:rPr>
        <w:t>。</w:t>
      </w:r>
    </w:p>
  </w:footnote>
  <w:footnote w:id="27">
    <w:p w:rsidR="00030338" w:rsidRPr="00865F4F" w:rsidRDefault="00030338" w:rsidP="006C2670">
      <w:pPr>
        <w:pStyle w:val="afe"/>
        <w:wordWrap w:val="0"/>
        <w:ind w:left="284" w:hangingChars="129" w:hanging="284"/>
      </w:pPr>
      <w:r>
        <w:rPr>
          <w:rStyle w:val="aff0"/>
        </w:rPr>
        <w:footnoteRef/>
      </w:r>
      <w:r>
        <w:rPr>
          <w:rFonts w:hint="eastAsia"/>
        </w:rPr>
        <w:t>調查委員：陳小紅</w:t>
      </w:r>
      <w:r w:rsidRPr="00EB783C">
        <w:rPr>
          <w:rFonts w:hint="eastAsia"/>
          <w:color w:val="000000" w:themeColor="text1"/>
        </w:rPr>
        <w:t>委員</w:t>
      </w:r>
      <w:r>
        <w:rPr>
          <w:rFonts w:hint="eastAsia"/>
        </w:rPr>
        <w:t>。</w:t>
      </w:r>
      <w:r>
        <w:rPr>
          <w:rFonts w:hAnsi="標楷體" w:hint="eastAsia"/>
        </w:rPr>
        <w:t>104</w:t>
      </w:r>
      <w:r w:rsidRPr="00B64D4C">
        <w:rPr>
          <w:rFonts w:hAnsi="標楷體" w:hint="eastAsia"/>
        </w:rPr>
        <w:t>年</w:t>
      </w:r>
      <w:r>
        <w:rPr>
          <w:rFonts w:hAnsi="標楷體" w:hint="eastAsia"/>
        </w:rPr>
        <w:t>10</w:t>
      </w:r>
      <w:r w:rsidRPr="00B64D4C">
        <w:rPr>
          <w:rFonts w:hAnsi="標楷體" w:hint="eastAsia"/>
        </w:rPr>
        <w:t>月</w:t>
      </w:r>
      <w:r>
        <w:rPr>
          <w:rFonts w:hAnsi="標楷體" w:hint="eastAsia"/>
        </w:rPr>
        <w:t>26</w:t>
      </w:r>
      <w:r w:rsidRPr="00B64D4C">
        <w:rPr>
          <w:rFonts w:hAnsi="標楷體" w:hint="eastAsia"/>
        </w:rPr>
        <w:t>日院台調壹字第</w:t>
      </w:r>
      <w:r>
        <w:rPr>
          <w:rFonts w:hAnsi="標楷體"/>
        </w:rPr>
        <w:t>10</w:t>
      </w:r>
      <w:r>
        <w:rPr>
          <w:rFonts w:hAnsi="標楷體" w:hint="eastAsia"/>
        </w:rPr>
        <w:t>4</w:t>
      </w:r>
      <w:r>
        <w:rPr>
          <w:rFonts w:hAnsi="標楷體"/>
        </w:rPr>
        <w:t>08002</w:t>
      </w:r>
      <w:r>
        <w:rPr>
          <w:rFonts w:hAnsi="標楷體" w:hint="eastAsia"/>
        </w:rPr>
        <w:t>00</w:t>
      </w:r>
      <w:r w:rsidRPr="00B64D4C">
        <w:rPr>
          <w:rFonts w:hAnsi="標楷體" w:hint="eastAsia"/>
        </w:rPr>
        <w:t>號函</w:t>
      </w:r>
      <w:r>
        <w:rPr>
          <w:rFonts w:hint="eastAsia"/>
        </w:rPr>
        <w:t>。</w:t>
      </w:r>
    </w:p>
  </w:footnote>
  <w:footnote w:id="28">
    <w:p w:rsidR="00030338" w:rsidRPr="00510B51" w:rsidRDefault="00030338" w:rsidP="006C2670">
      <w:pPr>
        <w:pStyle w:val="afe"/>
        <w:rPr>
          <w:color w:val="000000" w:themeColor="text1"/>
        </w:rPr>
      </w:pPr>
      <w:r w:rsidRPr="00510B51">
        <w:rPr>
          <w:rStyle w:val="aff0"/>
          <w:color w:val="000000" w:themeColor="text1"/>
        </w:rPr>
        <w:footnoteRef/>
      </w:r>
      <w:r w:rsidRPr="00510B51">
        <w:rPr>
          <w:rFonts w:hint="eastAsia"/>
          <w:color w:val="000000" w:themeColor="text1"/>
        </w:rPr>
        <w:t>「產業創新條例」第17條：「為強化產業發展所需人才，行政院應指定專責機關建立產業人</w:t>
      </w:r>
    </w:p>
    <w:p w:rsidR="00030338" w:rsidRPr="00510B51" w:rsidRDefault="00030338" w:rsidP="006C2670">
      <w:pPr>
        <w:pStyle w:val="afe"/>
        <w:rPr>
          <w:color w:val="000000" w:themeColor="text1"/>
        </w:rPr>
      </w:pPr>
      <w:r w:rsidRPr="00510B51">
        <w:rPr>
          <w:rFonts w:hint="eastAsia"/>
          <w:color w:val="000000" w:themeColor="text1"/>
        </w:rPr>
        <w:t xml:space="preserve"> 才資源發展之協調整合機制，推動下列事項：一、協調各中央目的事業主管機關辦理重點產</w:t>
      </w:r>
    </w:p>
    <w:p w:rsidR="00030338" w:rsidRPr="00510B51" w:rsidRDefault="00030338" w:rsidP="006C2670">
      <w:pPr>
        <w:pStyle w:val="afe"/>
        <w:rPr>
          <w:color w:val="000000" w:themeColor="text1"/>
        </w:rPr>
      </w:pPr>
      <w:r w:rsidRPr="00510B51">
        <w:rPr>
          <w:rFonts w:hint="eastAsia"/>
          <w:color w:val="000000" w:themeColor="text1"/>
        </w:rPr>
        <w:t xml:space="preserve"> 業人才供需調查及推估。二、整合產業人才供需資訊，訂定產業人才資源發展策略。三、</w:t>
      </w:r>
    </w:p>
    <w:p w:rsidR="00030338" w:rsidRPr="00510B51" w:rsidRDefault="00030338" w:rsidP="006C2670">
      <w:pPr>
        <w:pStyle w:val="afe"/>
        <w:rPr>
          <w:color w:val="000000" w:themeColor="text1"/>
        </w:rPr>
      </w:pPr>
      <w:r w:rsidRPr="00510B51">
        <w:rPr>
          <w:rFonts w:hint="eastAsia"/>
          <w:color w:val="000000" w:themeColor="text1"/>
        </w:rPr>
        <w:t xml:space="preserve"> 協調產業人才資源發展之推動事宜。四、推動產業、學術、研究及職業訓練機構合作之規</w:t>
      </w:r>
    </w:p>
    <w:p w:rsidR="00030338" w:rsidRPr="00510B51" w:rsidRDefault="00030338" w:rsidP="006C2670">
      <w:pPr>
        <w:pStyle w:val="afe"/>
        <w:rPr>
          <w:color w:val="000000" w:themeColor="text1"/>
        </w:rPr>
      </w:pPr>
      <w:r w:rsidRPr="00510B51">
        <w:rPr>
          <w:rFonts w:hint="eastAsia"/>
          <w:color w:val="000000" w:themeColor="text1"/>
        </w:rPr>
        <w:t xml:space="preserve"> 劃。」</w:t>
      </w:r>
    </w:p>
  </w:footnote>
  <w:footnote w:id="29">
    <w:p w:rsidR="00030338" w:rsidRPr="00510B51" w:rsidRDefault="00030338" w:rsidP="006C2670">
      <w:pPr>
        <w:pStyle w:val="afe"/>
        <w:rPr>
          <w:color w:val="000000" w:themeColor="text1"/>
        </w:rPr>
      </w:pPr>
      <w:r w:rsidRPr="00510B51">
        <w:rPr>
          <w:rStyle w:val="aff0"/>
          <w:color w:val="000000" w:themeColor="text1"/>
        </w:rPr>
        <w:footnoteRef/>
      </w:r>
      <w:r>
        <w:rPr>
          <w:color w:val="000000" w:themeColor="text1"/>
        </w:rPr>
        <w:t>Kreber, C. (2009)</w:t>
      </w:r>
      <w:r w:rsidRPr="00725864">
        <w:rPr>
          <w:rFonts w:hint="eastAsia"/>
          <w:color w:val="FF0000"/>
        </w:rPr>
        <w:t>,</w:t>
      </w:r>
      <w:r w:rsidRPr="00510B51">
        <w:rPr>
          <w:color w:val="000000" w:themeColor="text1"/>
        </w:rPr>
        <w:t>”</w:t>
      </w:r>
      <w:r w:rsidRPr="00510B51">
        <w:rPr>
          <w:color w:val="000000" w:themeColor="text1"/>
        </w:rPr>
        <w:t xml:space="preserve"> Different perspectives on internationalization in higher </w:t>
      </w:r>
    </w:p>
    <w:p w:rsidR="00030338" w:rsidRPr="00510B51" w:rsidRDefault="00030338" w:rsidP="006C2670">
      <w:pPr>
        <w:pStyle w:val="afe"/>
        <w:ind w:firstLineChars="50" w:firstLine="110"/>
        <w:rPr>
          <w:b/>
          <w:i/>
          <w:color w:val="000000" w:themeColor="text1"/>
        </w:rPr>
      </w:pPr>
      <w:r w:rsidRPr="00510B51">
        <w:rPr>
          <w:color w:val="000000" w:themeColor="text1"/>
        </w:rPr>
        <w:t>education</w:t>
      </w:r>
      <w:r w:rsidRPr="00510B51">
        <w:rPr>
          <w:rFonts w:hint="eastAsia"/>
          <w:color w:val="000000" w:themeColor="text1"/>
        </w:rPr>
        <w:t>,</w:t>
      </w:r>
      <w:r w:rsidRPr="00510B51">
        <w:rPr>
          <w:color w:val="000000" w:themeColor="text1"/>
        </w:rPr>
        <w:t>”</w:t>
      </w:r>
      <w:r>
        <w:rPr>
          <w:color w:val="000000" w:themeColor="text1"/>
        </w:rPr>
        <w:t xml:space="preserve"> In C. Kreber </w:t>
      </w:r>
      <w:r w:rsidRPr="0010075C">
        <w:rPr>
          <w:color w:val="000000" w:themeColor="text1"/>
        </w:rPr>
        <w:t>(</w:t>
      </w:r>
      <w:r w:rsidRPr="0010075C">
        <w:rPr>
          <w:rFonts w:hint="eastAsia"/>
          <w:color w:val="000000" w:themeColor="text1"/>
        </w:rPr>
        <w:t>e</w:t>
      </w:r>
      <w:r w:rsidRPr="0010075C">
        <w:rPr>
          <w:color w:val="000000" w:themeColor="text1"/>
        </w:rPr>
        <w:t>d</w:t>
      </w:r>
      <w:r w:rsidRPr="00510B51">
        <w:rPr>
          <w:color w:val="000000" w:themeColor="text1"/>
        </w:rPr>
        <w:t xml:space="preserve">.), </w:t>
      </w:r>
      <w:r w:rsidRPr="00510B51">
        <w:rPr>
          <w:b/>
          <w:i/>
          <w:color w:val="000000" w:themeColor="text1"/>
        </w:rPr>
        <w:t xml:space="preserve">Internationalizing the curriculum in higher </w:t>
      </w:r>
    </w:p>
    <w:p w:rsidR="00030338" w:rsidRPr="00510B51" w:rsidRDefault="00030338" w:rsidP="006C2670">
      <w:pPr>
        <w:pStyle w:val="afe"/>
        <w:ind w:firstLineChars="50" w:firstLine="110"/>
        <w:rPr>
          <w:color w:val="000000" w:themeColor="text1"/>
        </w:rPr>
      </w:pPr>
      <w:r w:rsidRPr="00510B51">
        <w:rPr>
          <w:b/>
          <w:i/>
          <w:color w:val="000000" w:themeColor="text1"/>
        </w:rPr>
        <w:t>education: New directions for teaching and learning</w:t>
      </w:r>
      <w:r w:rsidRPr="00725864">
        <w:rPr>
          <w:rFonts w:hint="eastAsia"/>
          <w:b/>
          <w:i/>
          <w:color w:val="FF0000"/>
        </w:rPr>
        <w:t>,</w:t>
      </w:r>
      <w:r w:rsidRPr="00510B51">
        <w:rPr>
          <w:b/>
          <w:i/>
          <w:color w:val="000000" w:themeColor="text1"/>
        </w:rPr>
        <w:t xml:space="preserve"> </w:t>
      </w:r>
      <w:r w:rsidRPr="00510B51">
        <w:rPr>
          <w:color w:val="000000" w:themeColor="text1"/>
        </w:rPr>
        <w:t>Vol. 118, pp. 1</w:t>
      </w:r>
      <w:r w:rsidRPr="00510B51">
        <w:rPr>
          <w:color w:val="000000" w:themeColor="text1"/>
        </w:rPr>
        <w:t>–</w:t>
      </w:r>
      <w:r>
        <w:rPr>
          <w:color w:val="000000" w:themeColor="text1"/>
        </w:rPr>
        <w:t>14</w:t>
      </w:r>
      <w:r w:rsidRPr="00725864">
        <w:rPr>
          <w:rFonts w:hint="eastAsia"/>
          <w:color w:val="FF0000"/>
        </w:rPr>
        <w:t>,</w:t>
      </w:r>
      <w:r w:rsidRPr="00510B51">
        <w:rPr>
          <w:color w:val="000000" w:themeColor="text1"/>
        </w:rPr>
        <w:t xml:space="preserve"> Wiley.</w:t>
      </w:r>
    </w:p>
  </w:footnote>
  <w:footnote w:id="30">
    <w:p w:rsidR="00030338" w:rsidRPr="00510B51" w:rsidRDefault="00030338" w:rsidP="006C2670">
      <w:pPr>
        <w:pStyle w:val="afe"/>
        <w:rPr>
          <w:color w:val="000000" w:themeColor="text1"/>
        </w:rPr>
      </w:pPr>
      <w:r w:rsidRPr="00510B51">
        <w:rPr>
          <w:rStyle w:val="aff0"/>
          <w:color w:val="000000" w:themeColor="text1"/>
        </w:rPr>
        <w:footnoteRef/>
      </w:r>
      <w:r w:rsidRPr="00510B51">
        <w:rPr>
          <w:color w:val="000000" w:themeColor="text1"/>
        </w:rPr>
        <w:t>Hammond, C</w:t>
      </w:r>
      <w:r w:rsidRPr="00510B51">
        <w:rPr>
          <w:rFonts w:hint="eastAsia"/>
          <w:color w:val="000000" w:themeColor="text1"/>
        </w:rPr>
        <w:t>.</w:t>
      </w:r>
      <w:r w:rsidRPr="00510B51">
        <w:rPr>
          <w:color w:val="000000" w:themeColor="text1"/>
        </w:rPr>
        <w:t xml:space="preserve"> D.</w:t>
      </w:r>
      <w:r w:rsidRPr="00510B51">
        <w:rPr>
          <w:rFonts w:hint="eastAsia"/>
          <w:color w:val="000000" w:themeColor="text1"/>
        </w:rPr>
        <w:t>(2016)</w:t>
      </w:r>
      <w:r w:rsidRPr="00725864">
        <w:rPr>
          <w:rFonts w:hint="eastAsia"/>
          <w:color w:val="FF0000"/>
        </w:rPr>
        <w:t>,</w:t>
      </w:r>
      <w:r w:rsidRPr="00510B51">
        <w:rPr>
          <w:rFonts w:hint="eastAsia"/>
          <w:color w:val="000000" w:themeColor="text1"/>
        </w:rPr>
        <w:t xml:space="preserve"> </w:t>
      </w:r>
      <w:r w:rsidRPr="00510B51">
        <w:rPr>
          <w:color w:val="000000" w:themeColor="text1"/>
        </w:rPr>
        <w:tab/>
      </w:r>
      <w:r w:rsidRPr="00510B51">
        <w:rPr>
          <w:color w:val="000000" w:themeColor="text1"/>
        </w:rPr>
        <w:t>“</w:t>
      </w:r>
      <w:r w:rsidRPr="00510B51">
        <w:rPr>
          <w:color w:val="000000" w:themeColor="text1"/>
        </w:rPr>
        <w:t xml:space="preserve">Internationalization, Nationalism, and Global </w:t>
      </w:r>
    </w:p>
    <w:p w:rsidR="00030338" w:rsidRPr="00510B51" w:rsidRDefault="00030338" w:rsidP="006C2670">
      <w:pPr>
        <w:pStyle w:val="afe"/>
        <w:ind w:firstLineChars="50" w:firstLine="110"/>
        <w:rPr>
          <w:color w:val="000000" w:themeColor="text1"/>
        </w:rPr>
      </w:pPr>
      <w:r w:rsidRPr="00510B51">
        <w:rPr>
          <w:color w:val="000000" w:themeColor="text1"/>
        </w:rPr>
        <w:t>Competitiveness: A Comparison of Approaches to Higher Education in China and Japan</w:t>
      </w:r>
      <w:r>
        <w:rPr>
          <w:rFonts w:hint="eastAsia"/>
          <w:color w:val="000000" w:themeColor="text1"/>
        </w:rPr>
        <w:t>,</w:t>
      </w:r>
      <w:r w:rsidRPr="00510B51">
        <w:rPr>
          <w:color w:val="000000" w:themeColor="text1"/>
        </w:rPr>
        <w:t>”</w:t>
      </w:r>
      <w:r w:rsidRPr="00510B51">
        <w:rPr>
          <w:rFonts w:hint="eastAsia"/>
          <w:color w:val="000000" w:themeColor="text1"/>
        </w:rPr>
        <w:t xml:space="preserve"> </w:t>
      </w:r>
    </w:p>
    <w:p w:rsidR="00030338" w:rsidRPr="00F40B36" w:rsidRDefault="00030338" w:rsidP="006C2670">
      <w:pPr>
        <w:pStyle w:val="afe"/>
        <w:ind w:firstLineChars="50" w:firstLine="110"/>
      </w:pPr>
      <w:r w:rsidRPr="00510B51">
        <w:rPr>
          <w:b/>
          <w:i/>
          <w:color w:val="000000" w:themeColor="text1"/>
        </w:rPr>
        <w:t>Asia Pacific Education Review</w:t>
      </w:r>
      <w:r w:rsidRPr="00510B51">
        <w:rPr>
          <w:color w:val="000000" w:themeColor="text1"/>
        </w:rPr>
        <w:t>, 2016, Vol.17(4),</w:t>
      </w:r>
      <w:r w:rsidRPr="00510B51">
        <w:rPr>
          <w:rFonts w:hint="eastAsia"/>
          <w:color w:val="000000" w:themeColor="text1"/>
        </w:rPr>
        <w:t>pp</w:t>
      </w:r>
      <w:r w:rsidRPr="00510B51">
        <w:rPr>
          <w:color w:val="000000" w:themeColor="text1"/>
        </w:rPr>
        <w:t>.555-566</w:t>
      </w:r>
      <w:r w:rsidRPr="00510B51">
        <w:rPr>
          <w:rFonts w:hint="eastAsia"/>
          <w:color w:val="000000" w:themeColor="text1"/>
        </w:rPr>
        <w:t>.</w:t>
      </w:r>
    </w:p>
  </w:footnote>
  <w:footnote w:id="31">
    <w:p w:rsidR="00030338" w:rsidRPr="00B13A23" w:rsidRDefault="00030338" w:rsidP="006C2670">
      <w:pPr>
        <w:pStyle w:val="afe"/>
        <w:rPr>
          <w:color w:val="000000" w:themeColor="text1"/>
        </w:rPr>
      </w:pPr>
      <w:r w:rsidRPr="00B13A23">
        <w:rPr>
          <w:rStyle w:val="aff0"/>
          <w:color w:val="000000" w:themeColor="text1"/>
        </w:rPr>
        <w:footnoteRef/>
      </w:r>
      <w:r w:rsidRPr="00B13A23">
        <w:rPr>
          <w:rFonts w:hint="eastAsia"/>
          <w:color w:val="000000" w:themeColor="text1"/>
        </w:rPr>
        <w:t>科技部106年3月1日科部科字第1060007812號函。</w:t>
      </w:r>
    </w:p>
  </w:footnote>
  <w:footnote w:id="32">
    <w:p w:rsidR="00030338" w:rsidRPr="00B13A23" w:rsidRDefault="00030338" w:rsidP="006C2670">
      <w:pPr>
        <w:pStyle w:val="afe"/>
        <w:rPr>
          <w:color w:val="000000" w:themeColor="text1"/>
        </w:rPr>
      </w:pPr>
      <w:r w:rsidRPr="00B13A23">
        <w:rPr>
          <w:rStyle w:val="aff0"/>
          <w:color w:val="000000" w:themeColor="text1"/>
        </w:rPr>
        <w:footnoteRef/>
      </w:r>
      <w:r w:rsidRPr="00B13A23">
        <w:rPr>
          <w:rFonts w:hint="eastAsia"/>
          <w:color w:val="000000" w:themeColor="text1"/>
        </w:rPr>
        <w:t>國發會106年2月18日發力字第1061100120號函。</w:t>
      </w:r>
    </w:p>
  </w:footnote>
  <w:footnote w:id="33">
    <w:p w:rsidR="00030338" w:rsidRPr="00B13A23" w:rsidRDefault="00030338" w:rsidP="006C2670">
      <w:pPr>
        <w:pStyle w:val="afe"/>
        <w:rPr>
          <w:color w:val="000000" w:themeColor="text1"/>
        </w:rPr>
      </w:pPr>
      <w:r w:rsidRPr="00B13A23">
        <w:rPr>
          <w:rStyle w:val="aff0"/>
          <w:color w:val="000000" w:themeColor="text1"/>
        </w:rPr>
        <w:footnoteRef/>
      </w:r>
      <w:r w:rsidRPr="00B13A23">
        <w:rPr>
          <w:rFonts w:hint="eastAsia"/>
          <w:color w:val="000000" w:themeColor="text1"/>
        </w:rPr>
        <w:t>內政部106年2月22日內授移字第1060951040號函。</w:t>
      </w:r>
    </w:p>
  </w:footnote>
  <w:footnote w:id="34">
    <w:p w:rsidR="00030338" w:rsidRPr="00B13A23" w:rsidRDefault="00030338" w:rsidP="006C2670">
      <w:pPr>
        <w:pStyle w:val="afe"/>
        <w:rPr>
          <w:color w:val="000000" w:themeColor="text1"/>
        </w:rPr>
      </w:pPr>
      <w:r w:rsidRPr="00B13A23">
        <w:rPr>
          <w:rStyle w:val="aff0"/>
          <w:color w:val="000000" w:themeColor="text1"/>
        </w:rPr>
        <w:footnoteRef/>
      </w:r>
      <w:r w:rsidRPr="00B13A23">
        <w:rPr>
          <w:rFonts w:hint="eastAsia"/>
          <w:color w:val="000000" w:themeColor="text1"/>
        </w:rPr>
        <w:t>勞動部106年2月24日勞動發綜字第1060503936號函。</w:t>
      </w:r>
    </w:p>
  </w:footnote>
  <w:footnote w:id="35">
    <w:p w:rsidR="00030338" w:rsidRPr="00B13A23" w:rsidRDefault="00030338" w:rsidP="006C2670">
      <w:pPr>
        <w:pStyle w:val="afe"/>
        <w:rPr>
          <w:color w:val="000000" w:themeColor="text1"/>
        </w:rPr>
      </w:pPr>
      <w:r w:rsidRPr="00B13A23">
        <w:rPr>
          <w:rStyle w:val="aff0"/>
          <w:color w:val="000000" w:themeColor="text1"/>
        </w:rPr>
        <w:footnoteRef/>
      </w:r>
      <w:r w:rsidRPr="00B13A23">
        <w:rPr>
          <w:rFonts w:hint="eastAsia"/>
          <w:color w:val="000000" w:themeColor="text1"/>
        </w:rPr>
        <w:t>僑委會106年2月16日僑生就字第1060500262號函。</w:t>
      </w:r>
    </w:p>
  </w:footnote>
  <w:footnote w:id="36">
    <w:p w:rsidR="00030338" w:rsidRPr="00E24CF4" w:rsidRDefault="00030338" w:rsidP="006C2670">
      <w:pPr>
        <w:pStyle w:val="afe"/>
        <w:rPr>
          <w:color w:val="FF0000"/>
        </w:rPr>
      </w:pPr>
      <w:r w:rsidRPr="00B13A23">
        <w:rPr>
          <w:rStyle w:val="aff0"/>
          <w:color w:val="000000" w:themeColor="text1"/>
        </w:rPr>
        <w:footnoteRef/>
      </w:r>
      <w:r w:rsidRPr="00B13A23">
        <w:rPr>
          <w:rFonts w:hint="eastAsia"/>
          <w:color w:val="000000" w:themeColor="text1"/>
        </w:rPr>
        <w:t>科技部106年7月31日科部科字第1060053609號函。</w:t>
      </w:r>
    </w:p>
  </w:footnote>
  <w:footnote w:id="37">
    <w:p w:rsidR="00030338" w:rsidRPr="00B13A23" w:rsidRDefault="00030338" w:rsidP="006C2670">
      <w:pPr>
        <w:pStyle w:val="afe"/>
        <w:rPr>
          <w:color w:val="000000" w:themeColor="text1"/>
        </w:rPr>
      </w:pPr>
      <w:r>
        <w:rPr>
          <w:rStyle w:val="aff0"/>
        </w:rPr>
        <w:footnoteRef/>
      </w:r>
      <w:r>
        <w:t>Huang,</w:t>
      </w:r>
      <w:r w:rsidRPr="00B13A23">
        <w:rPr>
          <w:color w:val="000000" w:themeColor="text1"/>
        </w:rPr>
        <w:t xml:space="preserve"> F. (2007)</w:t>
      </w:r>
      <w:r w:rsidRPr="00B13A23">
        <w:rPr>
          <w:rFonts w:hint="eastAsia"/>
          <w:color w:val="000000" w:themeColor="text1"/>
        </w:rPr>
        <w:t>,</w:t>
      </w:r>
      <w:r>
        <w:rPr>
          <w:rFonts w:hint="eastAsia"/>
          <w:color w:val="000000" w:themeColor="text1"/>
        </w:rPr>
        <w:t xml:space="preserve"> </w:t>
      </w:r>
      <w:r w:rsidRPr="00B13A23">
        <w:rPr>
          <w:color w:val="000000" w:themeColor="text1"/>
        </w:rPr>
        <w:t>Internationalisation of higher education in the era</w:t>
      </w:r>
      <w:r w:rsidRPr="00B13A23">
        <w:rPr>
          <w:rFonts w:hint="eastAsia"/>
          <w:color w:val="000000" w:themeColor="text1"/>
        </w:rPr>
        <w:t xml:space="preserve"> </w:t>
      </w:r>
      <w:r w:rsidRPr="00B13A23">
        <w:rPr>
          <w:color w:val="000000" w:themeColor="text1"/>
        </w:rPr>
        <w:t xml:space="preserve">of </w:t>
      </w:r>
      <w:r w:rsidRPr="00B13A23">
        <w:rPr>
          <w:rFonts w:hint="eastAsia"/>
          <w:color w:val="000000" w:themeColor="text1"/>
        </w:rPr>
        <w:t xml:space="preserve"> </w:t>
      </w:r>
    </w:p>
    <w:p w:rsidR="00030338" w:rsidRPr="00B13A23" w:rsidRDefault="00030338" w:rsidP="006C2670">
      <w:pPr>
        <w:pStyle w:val="afe"/>
        <w:rPr>
          <w:b/>
          <w:i/>
          <w:color w:val="000000" w:themeColor="text1"/>
        </w:rPr>
      </w:pPr>
      <w:r w:rsidRPr="00B13A23">
        <w:rPr>
          <w:rFonts w:hint="eastAsia"/>
          <w:color w:val="000000" w:themeColor="text1"/>
        </w:rPr>
        <w:t xml:space="preserve"> </w:t>
      </w:r>
      <w:r w:rsidRPr="00B13A23">
        <w:rPr>
          <w:color w:val="000000" w:themeColor="text1"/>
        </w:rPr>
        <w:t>globalisation: What have been its implications in China and</w:t>
      </w:r>
      <w:r w:rsidRPr="00B13A23">
        <w:rPr>
          <w:rFonts w:hint="eastAsia"/>
          <w:color w:val="000000" w:themeColor="text1"/>
        </w:rPr>
        <w:t xml:space="preserve"> </w:t>
      </w:r>
      <w:r w:rsidRPr="00B13A23">
        <w:rPr>
          <w:color w:val="000000" w:themeColor="text1"/>
        </w:rPr>
        <w:t>Japan?</w:t>
      </w:r>
      <w:r w:rsidRPr="00B13A23">
        <w:rPr>
          <w:b/>
          <w:i/>
          <w:color w:val="000000" w:themeColor="text1"/>
        </w:rPr>
        <w:t xml:space="preserve"> Higher </w:t>
      </w:r>
    </w:p>
    <w:p w:rsidR="00030338" w:rsidRPr="007F0C12" w:rsidRDefault="00030338" w:rsidP="006C2670">
      <w:pPr>
        <w:pStyle w:val="afe"/>
        <w:ind w:firstLineChars="50" w:firstLine="110"/>
      </w:pPr>
      <w:r w:rsidRPr="00B13A23">
        <w:rPr>
          <w:b/>
          <w:i/>
          <w:color w:val="000000" w:themeColor="text1"/>
        </w:rPr>
        <w:t>Education Management and Policy</w:t>
      </w:r>
      <w:r w:rsidRPr="00B13A23">
        <w:rPr>
          <w:color w:val="000000" w:themeColor="text1"/>
        </w:rPr>
        <w:t>, 1</w:t>
      </w:r>
      <w:r w:rsidRPr="0010075C">
        <w:rPr>
          <w:color w:val="000000" w:themeColor="text1"/>
        </w:rPr>
        <w:t xml:space="preserve">9(1), </w:t>
      </w:r>
      <w:r w:rsidRPr="0010075C">
        <w:rPr>
          <w:rFonts w:hint="eastAsia"/>
          <w:color w:val="000000" w:themeColor="text1"/>
        </w:rPr>
        <w:t>pp.</w:t>
      </w:r>
      <w:r w:rsidRPr="00B13A23">
        <w:rPr>
          <w:color w:val="000000" w:themeColor="text1"/>
        </w:rPr>
        <w:t>47</w:t>
      </w:r>
      <w:r w:rsidRPr="00B13A23">
        <w:rPr>
          <w:color w:val="000000" w:themeColor="text1"/>
        </w:rPr>
        <w:t>–</w:t>
      </w:r>
      <w:r w:rsidRPr="00B13A23">
        <w:rPr>
          <w:color w:val="000000" w:themeColor="text1"/>
        </w:rPr>
        <w:t>60.</w:t>
      </w:r>
    </w:p>
  </w:footnote>
  <w:footnote w:id="38">
    <w:p w:rsidR="00030338" w:rsidRDefault="00030338" w:rsidP="006C2670">
      <w:pPr>
        <w:pStyle w:val="afe"/>
      </w:pPr>
      <w:r w:rsidRPr="00B13A23">
        <w:rPr>
          <w:rStyle w:val="aff0"/>
          <w:color w:val="000000" w:themeColor="text1"/>
        </w:rPr>
        <w:footnoteRef/>
      </w:r>
      <w:r w:rsidRPr="00B13A23">
        <w:rPr>
          <w:rFonts w:hint="eastAsia"/>
          <w:color w:val="000000" w:themeColor="text1"/>
        </w:rPr>
        <w:t>資料來源：</w:t>
      </w:r>
      <w:r w:rsidRPr="00B13A23">
        <w:rPr>
          <w:rFonts w:hAnsi="標楷體" w:hint="eastAsia"/>
          <w:color w:val="000000" w:themeColor="text1"/>
        </w:rPr>
        <w:t>教育部106年3月21日臺教高(二)字第1060015710號函</w:t>
      </w:r>
      <w:r w:rsidRPr="00B13A23">
        <w:rPr>
          <w:rFonts w:hint="eastAsia"/>
          <w:color w:val="000000" w:themeColor="text1"/>
        </w:rPr>
        <w:t>。</w:t>
      </w:r>
    </w:p>
  </w:footnote>
  <w:footnote w:id="39">
    <w:p w:rsidR="00030338" w:rsidRPr="00B13A23" w:rsidRDefault="00030338" w:rsidP="006C2670">
      <w:pPr>
        <w:pStyle w:val="afe"/>
        <w:wordWrap w:val="0"/>
        <w:ind w:left="110" w:hangingChars="50" w:hanging="110"/>
        <w:rPr>
          <w:color w:val="000000" w:themeColor="text1"/>
        </w:rPr>
      </w:pPr>
      <w:r w:rsidRPr="00232D4F">
        <w:rPr>
          <w:rStyle w:val="aff0"/>
          <w:color w:val="000000" w:themeColor="text1"/>
        </w:rPr>
        <w:footnoteRef/>
      </w:r>
      <w:r w:rsidRPr="00232D4F">
        <w:rPr>
          <w:color w:val="000000" w:themeColor="text1"/>
          <w:spacing w:val="-10"/>
        </w:rPr>
        <w:t>University</w:t>
      </w:r>
      <w:r w:rsidRPr="00232D4F">
        <w:rPr>
          <w:rFonts w:hint="eastAsia"/>
          <w:color w:val="000000" w:themeColor="text1"/>
          <w:spacing w:val="-10"/>
        </w:rPr>
        <w:t xml:space="preserve"> of </w:t>
      </w:r>
      <w:r w:rsidRPr="00232D4F">
        <w:rPr>
          <w:color w:val="000000" w:themeColor="text1"/>
          <w:spacing w:val="-10"/>
        </w:rPr>
        <w:t>Oxford</w:t>
      </w:r>
      <w:r w:rsidRPr="00232D4F">
        <w:rPr>
          <w:rFonts w:hint="eastAsia"/>
          <w:color w:val="000000" w:themeColor="text1"/>
          <w:spacing w:val="-10"/>
        </w:rPr>
        <w:t xml:space="preserve">（2017）, </w:t>
      </w:r>
      <w:r w:rsidRPr="00232D4F">
        <w:rPr>
          <w:b/>
          <w:i/>
          <w:color w:val="000000" w:themeColor="text1"/>
          <w:spacing w:val="-10"/>
        </w:rPr>
        <w:t>International Trends</w:t>
      </w:r>
      <w:r w:rsidRPr="00232D4F">
        <w:rPr>
          <w:rFonts w:hint="eastAsia"/>
          <w:b/>
          <w:i/>
          <w:color w:val="000000" w:themeColor="text1"/>
          <w:spacing w:val="-10"/>
        </w:rPr>
        <w:t xml:space="preserve"> </w:t>
      </w:r>
      <w:r w:rsidRPr="00232D4F">
        <w:rPr>
          <w:b/>
          <w:i/>
          <w:color w:val="000000" w:themeColor="text1"/>
          <w:spacing w:val="-10"/>
        </w:rPr>
        <w:t>in Higher Education</w:t>
      </w:r>
      <w:r w:rsidRPr="00232D4F">
        <w:rPr>
          <w:rFonts w:hint="eastAsia"/>
          <w:b/>
          <w:i/>
          <w:color w:val="000000" w:themeColor="text1"/>
          <w:spacing w:val="-10"/>
        </w:rPr>
        <w:t xml:space="preserve"> </w:t>
      </w:r>
      <w:r w:rsidRPr="00232D4F">
        <w:rPr>
          <w:b/>
          <w:i/>
          <w:color w:val="000000" w:themeColor="text1"/>
          <w:spacing w:val="-10"/>
        </w:rPr>
        <w:t>201</w:t>
      </w:r>
      <w:r w:rsidRPr="00232D4F">
        <w:rPr>
          <w:rFonts w:hint="eastAsia"/>
          <w:b/>
          <w:i/>
          <w:color w:val="000000" w:themeColor="text1"/>
          <w:spacing w:val="-10"/>
        </w:rPr>
        <w:t>6-2017</w:t>
      </w:r>
      <w:r w:rsidRPr="00232D4F">
        <w:rPr>
          <w:rFonts w:hint="eastAsia"/>
          <w:color w:val="000000" w:themeColor="text1"/>
          <w:spacing w:val="-10"/>
        </w:rPr>
        <w:t xml:space="preserve">, </w:t>
      </w:r>
      <w:r w:rsidRPr="00232D4F">
        <w:rPr>
          <w:color w:val="000000" w:themeColor="text1"/>
          <w:spacing w:val="-10"/>
        </w:rPr>
        <w:t>Retrieved from</w:t>
      </w:r>
      <w:r w:rsidRPr="00232D4F">
        <w:rPr>
          <w:rFonts w:hint="eastAsia"/>
          <w:color w:val="000000" w:themeColor="text1"/>
          <w:spacing w:val="-10"/>
        </w:rPr>
        <w:t xml:space="preserve"> </w:t>
      </w:r>
      <w:hyperlink r:id="rId2" w:history="1">
        <w:r w:rsidRPr="00232D4F">
          <w:rPr>
            <w:rStyle w:val="af0"/>
            <w:color w:val="000000" w:themeColor="text1"/>
            <w:spacing w:val="-10"/>
            <w:u w:val="none"/>
          </w:rPr>
          <w:t>http://www.ox.ac.uk/sites/files/oxford/trends%20in%20globalisation_WEB.pdf</w:t>
        </w:r>
      </w:hyperlink>
    </w:p>
  </w:footnote>
  <w:footnote w:id="40">
    <w:p w:rsidR="00030338" w:rsidRPr="00B13A23" w:rsidRDefault="00030338" w:rsidP="006C2670">
      <w:pPr>
        <w:pStyle w:val="afe"/>
        <w:ind w:left="110" w:hangingChars="50" w:hanging="110"/>
        <w:rPr>
          <w:color w:val="000000" w:themeColor="text1"/>
        </w:rPr>
      </w:pPr>
      <w:r w:rsidRPr="00B13A23">
        <w:rPr>
          <w:rStyle w:val="aff0"/>
          <w:color w:val="000000" w:themeColor="text1"/>
        </w:rPr>
        <w:footnoteRef/>
      </w:r>
      <w:r w:rsidRPr="00B13A23">
        <w:rPr>
          <w:rFonts w:ascii="Times New Roman" w:hint="eastAsia"/>
          <w:color w:val="000000" w:themeColor="text1"/>
        </w:rPr>
        <w:t>陳惠美、薛家明，</w:t>
      </w:r>
      <w:r w:rsidRPr="00B13A23">
        <w:rPr>
          <w:rFonts w:ascii="Times New Roman" w:hint="eastAsia"/>
          <w:color w:val="000000" w:themeColor="text1"/>
        </w:rPr>
        <w:t>2013</w:t>
      </w:r>
      <w:r w:rsidRPr="00B13A23">
        <w:rPr>
          <w:rFonts w:ascii="Times New Roman" w:hint="eastAsia"/>
          <w:color w:val="000000" w:themeColor="text1"/>
        </w:rPr>
        <w:t>，「全球脈絡下的國際學生流動」，</w:t>
      </w:r>
      <w:r w:rsidRPr="00B13A23">
        <w:rPr>
          <w:rFonts w:hint="eastAsia"/>
          <w:b/>
          <w:i/>
          <w:color w:val="000000" w:themeColor="text1"/>
        </w:rPr>
        <w:t>臺灣教育評論月刊</w:t>
      </w:r>
      <w:r w:rsidRPr="00B13A23">
        <w:rPr>
          <w:rFonts w:hint="eastAsia"/>
          <w:color w:val="000000" w:themeColor="text1"/>
        </w:rPr>
        <w:t>，2(1)，頁4-8</w:t>
      </w:r>
    </w:p>
  </w:footnote>
  <w:footnote w:id="41">
    <w:p w:rsidR="00030338" w:rsidRPr="00232D4F" w:rsidRDefault="00030338" w:rsidP="006C2670">
      <w:pPr>
        <w:pStyle w:val="afe"/>
        <w:ind w:left="110" w:hangingChars="50" w:hanging="110"/>
        <w:rPr>
          <w:color w:val="000000" w:themeColor="text1"/>
          <w:spacing w:val="-10"/>
        </w:rPr>
      </w:pPr>
      <w:r w:rsidRPr="00232D4F">
        <w:rPr>
          <w:rStyle w:val="aff0"/>
          <w:color w:val="000000" w:themeColor="text1"/>
          <w:spacing w:val="-10"/>
        </w:rPr>
        <w:footnoteRef/>
      </w:r>
      <w:r w:rsidRPr="00232D4F">
        <w:rPr>
          <w:color w:val="000000" w:themeColor="text1"/>
          <w:spacing w:val="-10"/>
        </w:rPr>
        <w:t>University</w:t>
      </w:r>
      <w:r w:rsidRPr="00232D4F">
        <w:rPr>
          <w:rFonts w:hint="eastAsia"/>
          <w:color w:val="000000" w:themeColor="text1"/>
          <w:spacing w:val="-10"/>
        </w:rPr>
        <w:t xml:space="preserve"> of </w:t>
      </w:r>
      <w:r w:rsidRPr="00232D4F">
        <w:rPr>
          <w:color w:val="000000" w:themeColor="text1"/>
          <w:spacing w:val="-10"/>
        </w:rPr>
        <w:t>O</w:t>
      </w:r>
      <w:r w:rsidRPr="00366F13">
        <w:rPr>
          <w:color w:val="000000" w:themeColor="text1"/>
          <w:spacing w:val="-10"/>
        </w:rPr>
        <w:t>xford</w:t>
      </w:r>
      <w:r w:rsidRPr="00366F13">
        <w:rPr>
          <w:rFonts w:hint="eastAsia"/>
          <w:color w:val="000000" w:themeColor="text1"/>
          <w:spacing w:val="-10"/>
        </w:rPr>
        <w:t xml:space="preserve">（2015）, </w:t>
      </w:r>
      <w:r w:rsidRPr="00366F13">
        <w:rPr>
          <w:b/>
          <w:i/>
          <w:color w:val="000000" w:themeColor="text1"/>
          <w:spacing w:val="-10"/>
        </w:rPr>
        <w:t>International Trends</w:t>
      </w:r>
      <w:r w:rsidRPr="00366F13">
        <w:rPr>
          <w:rFonts w:hint="eastAsia"/>
          <w:b/>
          <w:i/>
          <w:color w:val="000000" w:themeColor="text1"/>
          <w:spacing w:val="-10"/>
        </w:rPr>
        <w:t xml:space="preserve"> </w:t>
      </w:r>
      <w:r w:rsidRPr="00366F13">
        <w:rPr>
          <w:b/>
          <w:i/>
          <w:color w:val="000000" w:themeColor="text1"/>
          <w:spacing w:val="-10"/>
        </w:rPr>
        <w:t>in Higher Education</w:t>
      </w:r>
      <w:r w:rsidRPr="00366F13">
        <w:rPr>
          <w:rFonts w:hint="eastAsia"/>
          <w:b/>
          <w:i/>
          <w:color w:val="000000" w:themeColor="text1"/>
          <w:spacing w:val="-10"/>
        </w:rPr>
        <w:t xml:space="preserve"> </w:t>
      </w:r>
      <w:r w:rsidRPr="00366F13">
        <w:rPr>
          <w:b/>
          <w:i/>
          <w:color w:val="000000" w:themeColor="text1"/>
          <w:spacing w:val="-10"/>
        </w:rPr>
        <w:t>2015</w:t>
      </w:r>
      <w:r w:rsidRPr="00366F13">
        <w:rPr>
          <w:rFonts w:hint="eastAsia"/>
          <w:color w:val="000000" w:themeColor="text1"/>
          <w:spacing w:val="-10"/>
        </w:rPr>
        <w:t xml:space="preserve">, </w:t>
      </w:r>
      <w:r w:rsidRPr="00366F13">
        <w:rPr>
          <w:color w:val="000000" w:themeColor="text1"/>
          <w:spacing w:val="-10"/>
        </w:rPr>
        <w:t>R</w:t>
      </w:r>
      <w:r w:rsidRPr="00232D4F">
        <w:rPr>
          <w:color w:val="000000" w:themeColor="text1"/>
          <w:spacing w:val="-10"/>
        </w:rPr>
        <w:t>etrieved from</w:t>
      </w:r>
      <w:r w:rsidRPr="00232D4F">
        <w:rPr>
          <w:rFonts w:hint="eastAsia"/>
          <w:color w:val="000000" w:themeColor="text1"/>
          <w:spacing w:val="-10"/>
        </w:rPr>
        <w:t xml:space="preserve"> </w:t>
      </w:r>
      <w:r w:rsidRPr="00232D4F">
        <w:rPr>
          <w:color w:val="000000" w:themeColor="text1"/>
          <w:spacing w:val="-10"/>
        </w:rPr>
        <w:t>https://www.ox.ac.uk/sites/files/oxford/International%20Trends%20in%20Higher%20Education%202015.pdf</w:t>
      </w:r>
    </w:p>
  </w:footnote>
  <w:footnote w:id="42">
    <w:p w:rsidR="00030338" w:rsidRPr="00B13A23" w:rsidRDefault="00030338" w:rsidP="006C2670">
      <w:pPr>
        <w:pStyle w:val="afe"/>
        <w:ind w:left="110" w:hangingChars="50" w:hanging="110"/>
        <w:rPr>
          <w:color w:val="000000" w:themeColor="text1"/>
        </w:rPr>
      </w:pPr>
      <w:r w:rsidRPr="00232D4F">
        <w:rPr>
          <w:rStyle w:val="aff0"/>
          <w:color w:val="000000" w:themeColor="text1"/>
          <w:spacing w:val="-10"/>
        </w:rPr>
        <w:footnoteRef/>
      </w:r>
      <w:r w:rsidRPr="00232D4F">
        <w:rPr>
          <w:color w:val="000000" w:themeColor="text1"/>
          <w:spacing w:val="-10"/>
        </w:rPr>
        <w:t>Byun, K., &amp; Um, S. (2014). The regionalization of higher education</w:t>
      </w:r>
      <w:r w:rsidRPr="00232D4F">
        <w:rPr>
          <w:rFonts w:hint="eastAsia"/>
          <w:color w:val="000000" w:themeColor="text1"/>
          <w:spacing w:val="-10"/>
        </w:rPr>
        <w:t xml:space="preserve"> </w:t>
      </w:r>
      <w:r w:rsidRPr="00232D4F">
        <w:rPr>
          <w:color w:val="000000" w:themeColor="text1"/>
          <w:spacing w:val="-10"/>
        </w:rPr>
        <w:t>in Northeast Asia. In Emerging International (Ed.),</w:t>
      </w:r>
      <w:r w:rsidRPr="00232D4F">
        <w:rPr>
          <w:b/>
          <w:i/>
          <w:color w:val="000000" w:themeColor="text1"/>
          <w:spacing w:val="-10"/>
        </w:rPr>
        <w:t xml:space="preserve"> Dimensions</w:t>
      </w:r>
      <w:r w:rsidRPr="00232D4F">
        <w:rPr>
          <w:rFonts w:hint="eastAsia"/>
          <w:b/>
          <w:i/>
          <w:color w:val="000000" w:themeColor="text1"/>
          <w:spacing w:val="-10"/>
        </w:rPr>
        <w:t xml:space="preserve"> </w:t>
      </w:r>
      <w:r w:rsidRPr="00232D4F">
        <w:rPr>
          <w:b/>
          <w:i/>
          <w:color w:val="000000" w:themeColor="text1"/>
          <w:spacing w:val="-10"/>
        </w:rPr>
        <w:t>in East Asian higher education</w:t>
      </w:r>
      <w:r w:rsidRPr="0016383A">
        <w:rPr>
          <w:rFonts w:hint="eastAsia"/>
          <w:b/>
          <w:i/>
          <w:color w:val="FF0000"/>
          <w:spacing w:val="-10"/>
        </w:rPr>
        <w:t>,</w:t>
      </w:r>
      <w:r w:rsidRPr="00232D4F">
        <w:rPr>
          <w:b/>
          <w:i/>
          <w:color w:val="000000" w:themeColor="text1"/>
          <w:spacing w:val="-10"/>
        </w:rPr>
        <w:t xml:space="preserve"> </w:t>
      </w:r>
      <w:r w:rsidRPr="00232D4F">
        <w:rPr>
          <w:color w:val="000000" w:themeColor="text1"/>
          <w:spacing w:val="-10"/>
        </w:rPr>
        <w:t>pp. 121</w:t>
      </w:r>
      <w:r w:rsidRPr="00232D4F">
        <w:rPr>
          <w:color w:val="000000" w:themeColor="text1"/>
          <w:spacing w:val="-10"/>
        </w:rPr>
        <w:t>–</w:t>
      </w:r>
      <w:r w:rsidRPr="00232D4F">
        <w:rPr>
          <w:color w:val="000000" w:themeColor="text1"/>
          <w:spacing w:val="-10"/>
        </w:rPr>
        <w:t>143. Dordrecht:</w:t>
      </w:r>
      <w:r w:rsidRPr="00232D4F">
        <w:rPr>
          <w:rFonts w:hint="eastAsia"/>
          <w:color w:val="000000" w:themeColor="text1"/>
          <w:spacing w:val="-10"/>
        </w:rPr>
        <w:t xml:space="preserve"> </w:t>
      </w:r>
      <w:r w:rsidRPr="00232D4F">
        <w:rPr>
          <w:color w:val="000000" w:themeColor="text1"/>
          <w:spacing w:val="-10"/>
        </w:rPr>
        <w:t>Springer.</w:t>
      </w:r>
    </w:p>
  </w:footnote>
  <w:footnote w:id="43">
    <w:p w:rsidR="00030338" w:rsidRPr="00023D9A" w:rsidRDefault="00030338" w:rsidP="006C2670">
      <w:pPr>
        <w:pStyle w:val="afe"/>
        <w:rPr>
          <w:color w:val="000000" w:themeColor="text1"/>
        </w:rPr>
      </w:pPr>
      <w:r w:rsidRPr="00023D9A">
        <w:rPr>
          <w:rStyle w:val="aff0"/>
          <w:color w:val="000000" w:themeColor="text1"/>
        </w:rPr>
        <w:footnoteRef/>
      </w:r>
      <w:r w:rsidRPr="00023D9A">
        <w:rPr>
          <w:rFonts w:hint="eastAsia"/>
          <w:color w:val="000000" w:themeColor="text1"/>
        </w:rPr>
        <w:t>國發會106年2月18日勞力字第1061100120號函。</w:t>
      </w:r>
    </w:p>
  </w:footnote>
  <w:footnote w:id="44">
    <w:p w:rsidR="00030338" w:rsidRDefault="00030338" w:rsidP="006C2670">
      <w:pPr>
        <w:pStyle w:val="afe"/>
      </w:pPr>
      <w:r w:rsidRPr="00B13A23">
        <w:rPr>
          <w:rStyle w:val="aff0"/>
          <w:color w:val="000000" w:themeColor="text1"/>
        </w:rPr>
        <w:footnoteRef/>
      </w:r>
      <w:r w:rsidRPr="00B13A23">
        <w:rPr>
          <w:rFonts w:hint="eastAsia"/>
          <w:color w:val="000000" w:themeColor="text1"/>
        </w:rPr>
        <w:t>106年8月7日教育部接受本院詢問提供之書面資料。</w:t>
      </w:r>
    </w:p>
  </w:footnote>
  <w:footnote w:id="45">
    <w:p w:rsidR="00030338" w:rsidRDefault="00030338" w:rsidP="006C2670">
      <w:pPr>
        <w:pStyle w:val="afe"/>
        <w:wordWrap w:val="0"/>
        <w:ind w:left="110" w:hangingChars="50" w:hanging="110"/>
      </w:pPr>
      <w:r>
        <w:rPr>
          <w:rStyle w:val="aff0"/>
        </w:rPr>
        <w:footnoteRef/>
      </w:r>
      <w:r>
        <w:rPr>
          <w:rFonts w:hint="eastAsia"/>
        </w:rPr>
        <w:t>行政院（2017），新南向政策推動計畫，2017年7月28日取自</w:t>
      </w:r>
      <w:r w:rsidRPr="00232D4F">
        <w:rPr>
          <w:spacing w:val="-20"/>
        </w:rPr>
        <w:t>http://www.ey.gov.tw/DL.ashx?s=32D12BFFC8634B4C940C300980E2A49139BFCE3233111CDD8AC7888A90903916D3E9FC6948D471FA&amp;u=%2fUpload%2fRelFile%2f19%2f740662%2f50f0a410-026c-433e-850d-b88fe0384d17.pdf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B0C6E3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A45F38"/>
    <w:multiLevelType w:val="hybridMultilevel"/>
    <w:tmpl w:val="2FB8024C"/>
    <w:lvl w:ilvl="0" w:tplc="9EDE31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C403B5"/>
    <w:multiLevelType w:val="hybridMultilevel"/>
    <w:tmpl w:val="2FB8024C"/>
    <w:lvl w:ilvl="0" w:tplc="9EDE31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894867"/>
    <w:multiLevelType w:val="hybridMultilevel"/>
    <w:tmpl w:val="CAB637A4"/>
    <w:lvl w:ilvl="0" w:tplc="1318011E">
      <w:start w:val="1"/>
      <w:numFmt w:val="decimal"/>
      <w:lvlText w:val="%1."/>
      <w:lvlJc w:val="left"/>
      <w:pPr>
        <w:ind w:left="480" w:hanging="480"/>
      </w:pPr>
      <w:rPr>
        <w:rFonts w:ascii="標楷體" w:eastAsia="標楷體" w:hAnsi="標楷體"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FA3BCC"/>
    <w:multiLevelType w:val="hybridMultilevel"/>
    <w:tmpl w:val="4BB4B0C4"/>
    <w:lvl w:ilvl="0" w:tplc="B178CC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CB7"/>
    <w:multiLevelType w:val="hybridMultilevel"/>
    <w:tmpl w:val="4A88C686"/>
    <w:lvl w:ilvl="0" w:tplc="B4EC61CC">
      <w:start w:val="1"/>
      <w:numFmt w:val="decimal"/>
      <w:lvlText w:val="%1."/>
      <w:lvlJc w:val="left"/>
      <w:pPr>
        <w:ind w:left="360" w:hanging="36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6AA823D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815" w:hanging="681"/>
      </w:pPr>
      <w:rPr>
        <w:rFonts w:ascii="標楷體" w:eastAsia="標楷體" w:hAnsi="Arial"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9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835" w:hanging="850"/>
      </w:pPr>
      <w:rPr>
        <w:rFonts w:hAnsi="Times New Roman" w:cs="Times New Roman"/>
        <w:b w:val="0"/>
        <w:bCs w:val="0"/>
        <w:i w:val="0"/>
        <w:iCs w:val="0"/>
        <w:caps w:val="0"/>
        <w:smallCaps w:val="0"/>
        <w:strike w:val="0"/>
        <w:dstrike w:val="0"/>
        <w:noProof w:val="0"/>
        <w:vanish w:val="0"/>
        <w:color w:val="000000"/>
        <w:spacing w:val="0"/>
        <w:position w:val="0"/>
        <w:sz w:val="32"/>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551" w:hanging="85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4679"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532EFC"/>
    <w:multiLevelType w:val="hybridMultilevel"/>
    <w:tmpl w:val="7CBA69F8"/>
    <w:lvl w:ilvl="0" w:tplc="178A5CEA">
      <w:start w:val="1"/>
      <w:numFmt w:val="taiwaneseCountingThousand"/>
      <w:pStyle w:val="a1"/>
      <w:lvlText w:val="附表%1、"/>
      <w:lvlJc w:val="left"/>
      <w:pPr>
        <w:tabs>
          <w:tab w:val="num" w:pos="2292"/>
        </w:tabs>
        <w:ind w:left="1547" w:hanging="695"/>
      </w:pPr>
      <w:rPr>
        <w:rFonts w:ascii="標楷體" w:eastAsia="標楷體" w:hint="eastAsia"/>
        <w:b w:val="0"/>
        <w:i w:val="0"/>
        <w:sz w:val="32"/>
      </w:rPr>
    </w:lvl>
    <w:lvl w:ilvl="1" w:tplc="04090019" w:tentative="1">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9" w15:restartNumberingAfterBreak="0">
    <w:nsid w:val="1B4424DC"/>
    <w:multiLevelType w:val="hybridMultilevel"/>
    <w:tmpl w:val="2FB8024C"/>
    <w:lvl w:ilvl="0" w:tplc="9EDE318C">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1CC55EA7"/>
    <w:multiLevelType w:val="hybridMultilevel"/>
    <w:tmpl w:val="4BB4B0C4"/>
    <w:lvl w:ilvl="0" w:tplc="B178CC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B268C0"/>
    <w:multiLevelType w:val="hybridMultilevel"/>
    <w:tmpl w:val="5720EABE"/>
    <w:lvl w:ilvl="0" w:tplc="CFCA0328">
      <w:start w:val="1"/>
      <w:numFmt w:val="decimal"/>
      <w:lvlText w:val="%1."/>
      <w:lvlJc w:val="left"/>
      <w:pPr>
        <w:ind w:left="360" w:hanging="36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826CAE"/>
    <w:multiLevelType w:val="hybridMultilevel"/>
    <w:tmpl w:val="1FB26B96"/>
    <w:lvl w:ilvl="0" w:tplc="0409000F">
      <w:start w:val="1"/>
      <w:numFmt w:val="decimal"/>
      <w:lvlText w:val="%1."/>
      <w:lvlJc w:val="left"/>
      <w:pPr>
        <w:tabs>
          <w:tab w:val="num" w:pos="480"/>
        </w:tabs>
        <w:ind w:left="480" w:hanging="480"/>
      </w:pPr>
    </w:lvl>
    <w:lvl w:ilvl="1" w:tplc="D1A4FC40">
      <w:start w:val="1"/>
      <w:numFmt w:val="taiwaneseCountingThousand"/>
      <w:lvlText w:val="（%2）"/>
      <w:lvlJc w:val="left"/>
      <w:pPr>
        <w:tabs>
          <w:tab w:val="num" w:pos="720"/>
        </w:tabs>
        <w:ind w:left="720" w:hanging="720"/>
      </w:pPr>
      <w:rPr>
        <w:rFonts w:hint="default"/>
        <w:b w:val="0"/>
        <w:bC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315571E"/>
    <w:multiLevelType w:val="hybridMultilevel"/>
    <w:tmpl w:val="7340D346"/>
    <w:lvl w:ilvl="0" w:tplc="00DA1BB6">
      <w:start w:val="1"/>
      <w:numFmt w:val="taiwaneseCountingThousand"/>
      <w:lvlText w:val="(%1)"/>
      <w:lvlJc w:val="left"/>
      <w:pPr>
        <w:ind w:left="480" w:hanging="480"/>
      </w:pPr>
      <w:rPr>
        <w:rFonts w:ascii="Times New Roman" w:eastAsia="標楷體" w:hAnsi="Times New Roman" w:hint="eastAsia"/>
        <w:color w:val="auto"/>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4362CCC"/>
    <w:multiLevelType w:val="hybridMultilevel"/>
    <w:tmpl w:val="2FB8024C"/>
    <w:lvl w:ilvl="0" w:tplc="9EDE31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9BCEA53A"/>
    <w:lvl w:ilvl="0" w:tplc="254C3982">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473"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5654A1"/>
    <w:multiLevelType w:val="hybridMultilevel"/>
    <w:tmpl w:val="2FB8024C"/>
    <w:lvl w:ilvl="0" w:tplc="9EDE31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7A4E73DC"/>
    <w:lvl w:ilvl="0" w:tplc="54A6D71C">
      <w:start w:val="1"/>
      <w:numFmt w:val="taiwaneseCountingThousand"/>
      <w:pStyle w:val="a3"/>
      <w:lvlText w:val="附件%1、"/>
      <w:lvlJc w:val="left"/>
      <w:pPr>
        <w:ind w:left="2324" w:hanging="480"/>
      </w:pPr>
      <w:rPr>
        <w:rFonts w:ascii="標楷體" w:eastAsia="標楷體" w:hint="eastAsia"/>
        <w:b/>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458D7EDF"/>
    <w:multiLevelType w:val="hybridMultilevel"/>
    <w:tmpl w:val="17C42C84"/>
    <w:lvl w:ilvl="0" w:tplc="CAEC40F2">
      <w:start w:val="1"/>
      <w:numFmt w:val="decimal"/>
      <w:lvlText w:val="%1."/>
      <w:lvlJc w:val="left"/>
      <w:pPr>
        <w:ind w:left="360" w:hanging="36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481FEF"/>
    <w:multiLevelType w:val="hybridMultilevel"/>
    <w:tmpl w:val="AAF2968A"/>
    <w:lvl w:ilvl="0" w:tplc="5ADC21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D247CF"/>
    <w:multiLevelType w:val="hybridMultilevel"/>
    <w:tmpl w:val="478664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A5F5684"/>
    <w:multiLevelType w:val="hybridMultilevel"/>
    <w:tmpl w:val="3470208E"/>
    <w:lvl w:ilvl="0" w:tplc="4FCA72E6">
      <w:start w:val="1"/>
      <w:numFmt w:val="decimal"/>
      <w:pStyle w:val="a4"/>
      <w:lvlText w:val="表%1　"/>
      <w:lvlJc w:val="left"/>
      <w:pPr>
        <w:ind w:left="6717" w:hanging="480"/>
      </w:pPr>
      <w:rPr>
        <w:rFonts w:ascii="標楷體" w:eastAsia="標楷體" w:hint="eastAsia"/>
        <w:b/>
        <w:i w:val="0"/>
        <w:sz w:val="28"/>
        <w:lang w:val="en-US"/>
      </w:rPr>
    </w:lvl>
    <w:lvl w:ilvl="1" w:tplc="04090019">
      <w:start w:val="1"/>
      <w:numFmt w:val="ideographTraditional"/>
      <w:lvlText w:val="%2、"/>
      <w:lvlJc w:val="left"/>
      <w:pPr>
        <w:tabs>
          <w:tab w:val="num" w:pos="2803"/>
        </w:tabs>
        <w:ind w:left="2803" w:hanging="480"/>
      </w:pPr>
    </w:lvl>
    <w:lvl w:ilvl="2" w:tplc="0409001B" w:tentative="1">
      <w:start w:val="1"/>
      <w:numFmt w:val="lowerRoman"/>
      <w:lvlText w:val="%3."/>
      <w:lvlJc w:val="right"/>
      <w:pPr>
        <w:tabs>
          <w:tab w:val="num" w:pos="3283"/>
        </w:tabs>
        <w:ind w:left="3283" w:hanging="480"/>
      </w:pPr>
    </w:lvl>
    <w:lvl w:ilvl="3" w:tplc="0409000F" w:tentative="1">
      <w:start w:val="1"/>
      <w:numFmt w:val="decimal"/>
      <w:lvlText w:val="%4."/>
      <w:lvlJc w:val="left"/>
      <w:pPr>
        <w:tabs>
          <w:tab w:val="num" w:pos="3763"/>
        </w:tabs>
        <w:ind w:left="3763" w:hanging="480"/>
      </w:pPr>
    </w:lvl>
    <w:lvl w:ilvl="4" w:tplc="04090019" w:tentative="1">
      <w:start w:val="1"/>
      <w:numFmt w:val="ideographTraditional"/>
      <w:lvlText w:val="%5、"/>
      <w:lvlJc w:val="left"/>
      <w:pPr>
        <w:tabs>
          <w:tab w:val="num" w:pos="4243"/>
        </w:tabs>
        <w:ind w:left="4243" w:hanging="480"/>
      </w:pPr>
    </w:lvl>
    <w:lvl w:ilvl="5" w:tplc="0409001B" w:tentative="1">
      <w:start w:val="1"/>
      <w:numFmt w:val="lowerRoman"/>
      <w:lvlText w:val="%6."/>
      <w:lvlJc w:val="right"/>
      <w:pPr>
        <w:tabs>
          <w:tab w:val="num" w:pos="4723"/>
        </w:tabs>
        <w:ind w:left="4723" w:hanging="480"/>
      </w:pPr>
    </w:lvl>
    <w:lvl w:ilvl="6" w:tplc="0409000F" w:tentative="1">
      <w:start w:val="1"/>
      <w:numFmt w:val="decimal"/>
      <w:lvlText w:val="%7."/>
      <w:lvlJc w:val="left"/>
      <w:pPr>
        <w:tabs>
          <w:tab w:val="num" w:pos="5203"/>
        </w:tabs>
        <w:ind w:left="5203" w:hanging="480"/>
      </w:pPr>
    </w:lvl>
    <w:lvl w:ilvl="7" w:tplc="04090019" w:tentative="1">
      <w:start w:val="1"/>
      <w:numFmt w:val="ideographTraditional"/>
      <w:lvlText w:val="%8、"/>
      <w:lvlJc w:val="left"/>
      <w:pPr>
        <w:tabs>
          <w:tab w:val="num" w:pos="5683"/>
        </w:tabs>
        <w:ind w:left="5683" w:hanging="480"/>
      </w:pPr>
    </w:lvl>
    <w:lvl w:ilvl="8" w:tplc="0409001B" w:tentative="1">
      <w:start w:val="1"/>
      <w:numFmt w:val="lowerRoman"/>
      <w:lvlText w:val="%9."/>
      <w:lvlJc w:val="right"/>
      <w:pPr>
        <w:tabs>
          <w:tab w:val="num" w:pos="6163"/>
        </w:tabs>
        <w:ind w:left="6163" w:hanging="480"/>
      </w:pPr>
    </w:lvl>
  </w:abstractNum>
  <w:abstractNum w:abstractNumId="22" w15:restartNumberingAfterBreak="0">
    <w:nsid w:val="4A7F1D6B"/>
    <w:multiLevelType w:val="hybridMultilevel"/>
    <w:tmpl w:val="4A88C686"/>
    <w:lvl w:ilvl="0" w:tplc="B4EC61CC">
      <w:start w:val="1"/>
      <w:numFmt w:val="decimal"/>
      <w:lvlText w:val="%1."/>
      <w:lvlJc w:val="left"/>
      <w:pPr>
        <w:ind w:left="360" w:hanging="36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003F7C"/>
    <w:multiLevelType w:val="hybridMultilevel"/>
    <w:tmpl w:val="2FB8024C"/>
    <w:lvl w:ilvl="0" w:tplc="9EDE31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3527E5"/>
    <w:multiLevelType w:val="hybridMultilevel"/>
    <w:tmpl w:val="2FB8024C"/>
    <w:lvl w:ilvl="0" w:tplc="9EDE31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A01086"/>
    <w:multiLevelType w:val="hybridMultilevel"/>
    <w:tmpl w:val="58C26958"/>
    <w:lvl w:ilvl="0" w:tplc="0409000F">
      <w:start w:val="1"/>
      <w:numFmt w:val="decimal"/>
      <w:lvlText w:val="%1."/>
      <w:lvlJc w:val="left"/>
      <w:pPr>
        <w:tabs>
          <w:tab w:val="num" w:pos="480"/>
        </w:tabs>
        <w:ind w:left="480" w:hanging="480"/>
      </w:pPr>
    </w:lvl>
    <w:lvl w:ilvl="1" w:tplc="FCBC42DC">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A647874"/>
    <w:multiLevelType w:val="hybridMultilevel"/>
    <w:tmpl w:val="AF281520"/>
    <w:lvl w:ilvl="0" w:tplc="D4C0404A">
      <w:start w:val="1"/>
      <w:numFmt w:val="taiwaneseCountingThousand"/>
      <w:lvlText w:val="%1、"/>
      <w:lvlJc w:val="left"/>
      <w:pPr>
        <w:ind w:left="1331" w:hanging="480"/>
      </w:pPr>
      <w:rPr>
        <w:rFonts w:hAnsi="Times New Roman" w:cs="Times New Roman"/>
        <w:b/>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15:restartNumberingAfterBreak="0">
    <w:nsid w:val="5D3579E9"/>
    <w:multiLevelType w:val="hybridMultilevel"/>
    <w:tmpl w:val="3B7A2A76"/>
    <w:lvl w:ilvl="0" w:tplc="30348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3D0FE3"/>
    <w:multiLevelType w:val="hybridMultilevel"/>
    <w:tmpl w:val="22A456DA"/>
    <w:lvl w:ilvl="0" w:tplc="6B62085C">
      <w:start w:val="1"/>
      <w:numFmt w:val="decimal"/>
      <w:lvlText w:val="%1."/>
      <w:lvlJc w:val="left"/>
      <w:pPr>
        <w:ind w:left="480" w:hanging="480"/>
      </w:pPr>
      <w:rPr>
        <w:rFonts w:ascii="標楷體" w:eastAsia="標楷體" w:hAnsi="標楷體"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3D412E4"/>
    <w:multiLevelType w:val="hybridMultilevel"/>
    <w:tmpl w:val="FAD4338E"/>
    <w:lvl w:ilvl="0" w:tplc="E1866C08">
      <w:start w:val="1"/>
      <w:numFmt w:val="decimal"/>
      <w:lvlText w:val="%1."/>
      <w:lvlJc w:val="left"/>
      <w:pPr>
        <w:ind w:left="387" w:hanging="36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32" w15:restartNumberingAfterBreak="0">
    <w:nsid w:val="65507898"/>
    <w:multiLevelType w:val="hybridMultilevel"/>
    <w:tmpl w:val="2FB8024C"/>
    <w:lvl w:ilvl="0" w:tplc="9EDE31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AD3004"/>
    <w:multiLevelType w:val="hybridMultilevel"/>
    <w:tmpl w:val="34C84282"/>
    <w:lvl w:ilvl="0" w:tplc="7B1A253E">
      <w:start w:val="1"/>
      <w:numFmt w:val="decimal"/>
      <w:lvlText w:val="%1."/>
      <w:lvlJc w:val="left"/>
      <w:pPr>
        <w:ind w:left="360" w:hanging="360"/>
      </w:pPr>
      <w:rPr>
        <w:rFonts w:hint="default"/>
      </w:rPr>
    </w:lvl>
    <w:lvl w:ilvl="1" w:tplc="08A4D686">
      <w:start w:val="1"/>
      <w:numFmt w:val="decimal"/>
      <w:lvlText w:val="(%2)"/>
      <w:lvlJc w:val="left"/>
      <w:pPr>
        <w:ind w:left="960" w:hanging="480"/>
      </w:pPr>
      <w:rPr>
        <w:rFonts w:ascii="標楷體" w:eastAsia="標楷體" w:hAnsi="Arial"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2B0113"/>
    <w:multiLevelType w:val="hybridMultilevel"/>
    <w:tmpl w:val="E698F1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16F7F17"/>
    <w:multiLevelType w:val="hybridMultilevel"/>
    <w:tmpl w:val="CFC2067A"/>
    <w:lvl w:ilvl="0" w:tplc="814CC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031D07"/>
    <w:multiLevelType w:val="hybridMultilevel"/>
    <w:tmpl w:val="1B1C6DCA"/>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7" w15:restartNumberingAfterBreak="0">
    <w:nsid w:val="73B361B1"/>
    <w:multiLevelType w:val="hybridMultilevel"/>
    <w:tmpl w:val="4BB4B0C4"/>
    <w:lvl w:ilvl="0" w:tplc="B178CC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AF35B2"/>
    <w:multiLevelType w:val="hybridMultilevel"/>
    <w:tmpl w:val="A4526904"/>
    <w:lvl w:ilvl="0" w:tplc="238E5AE0">
      <w:start w:val="1"/>
      <w:numFmt w:val="taiwaneseCountingThousand"/>
      <w:lvlText w:val="%1、"/>
      <w:lvlJc w:val="left"/>
      <w:pPr>
        <w:ind w:left="480" w:hanging="480"/>
      </w:pPr>
      <w:rPr>
        <w:rFonts w:ascii="Times New Roman" w:eastAsia="標楷體" w:hAnsi="Times New Roman" w:hint="eastAsia"/>
        <w:b w:val="0"/>
        <w:i w:val="0"/>
        <w:sz w:val="24"/>
      </w:rPr>
    </w:lvl>
    <w:lvl w:ilvl="1" w:tplc="335E0D28">
      <w:start w:val="1"/>
      <w:numFmt w:val="taiwaneseCountingThousand"/>
      <w:lvlText w:val="（%2）"/>
      <w:lvlJc w:val="left"/>
      <w:pPr>
        <w:ind w:left="1200" w:hanging="72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7D96389E"/>
    <w:multiLevelType w:val="hybridMultilevel"/>
    <w:tmpl w:val="6D9EBFB8"/>
    <w:lvl w:ilvl="0" w:tplc="6F0C901E">
      <w:start w:val="1"/>
      <w:numFmt w:val="taiwaneseCountingThousand"/>
      <w:lvlText w:val="%1、"/>
      <w:lvlJc w:val="left"/>
      <w:pPr>
        <w:ind w:left="1189" w:hanging="480"/>
      </w:pPr>
      <w:rPr>
        <w:rFonts w:hAnsi="Times New Roman" w:cs="Times New Roman"/>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0" w15:restartNumberingAfterBreak="0">
    <w:nsid w:val="7DAD2A6E"/>
    <w:multiLevelType w:val="hybridMultilevel"/>
    <w:tmpl w:val="CAB637A4"/>
    <w:lvl w:ilvl="0" w:tplc="1318011E">
      <w:start w:val="1"/>
      <w:numFmt w:val="decimal"/>
      <w:lvlText w:val="%1."/>
      <w:lvlJc w:val="left"/>
      <w:pPr>
        <w:ind w:left="480" w:hanging="480"/>
      </w:pPr>
      <w:rPr>
        <w:rFonts w:ascii="標楷體" w:eastAsia="標楷體" w:hAnsi="標楷體"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E182F36"/>
    <w:multiLevelType w:val="hybridMultilevel"/>
    <w:tmpl w:val="4BB4B0C4"/>
    <w:lvl w:ilvl="0" w:tplc="B178CC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21"/>
  </w:num>
  <w:num w:numId="4">
    <w:abstractNumId w:val="15"/>
  </w:num>
  <w:num w:numId="5">
    <w:abstractNumId w:val="23"/>
  </w:num>
  <w:num w:numId="6">
    <w:abstractNumId w:val="7"/>
  </w:num>
  <w:num w:numId="7">
    <w:abstractNumId w:val="24"/>
  </w:num>
  <w:num w:numId="8">
    <w:abstractNumId w:val="17"/>
  </w:num>
  <w:num w:numId="9">
    <w:abstractNumId w:val="33"/>
  </w:num>
  <w:num w:numId="10">
    <w:abstractNumId w:val="0"/>
  </w:num>
  <w:num w:numId="11">
    <w:abstractNumId w:val="18"/>
  </w:num>
  <w:num w:numId="12">
    <w:abstractNumId w:val="11"/>
  </w:num>
  <w:num w:numId="13">
    <w:abstractNumId w:val="6"/>
  </w:num>
  <w:num w:numId="14">
    <w:abstractNumId w:val="22"/>
  </w:num>
  <w:num w:numId="15">
    <w:abstractNumId w:val="19"/>
  </w:num>
  <w:num w:numId="16">
    <w:abstractNumId w:val="30"/>
  </w:num>
  <w:num w:numId="17">
    <w:abstractNumId w:val="4"/>
  </w:num>
  <w:num w:numId="18">
    <w:abstractNumId w:val="27"/>
  </w:num>
  <w:num w:numId="19">
    <w:abstractNumId w:val="34"/>
  </w:num>
  <w:num w:numId="20">
    <w:abstractNumId w:val="12"/>
  </w:num>
  <w:num w:numId="21">
    <w:abstractNumId w:val="20"/>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5"/>
  </w:num>
  <w:num w:numId="27">
    <w:abstractNumId w:val="9"/>
  </w:num>
  <w:num w:numId="28">
    <w:abstractNumId w:val="37"/>
  </w:num>
  <w:num w:numId="29">
    <w:abstractNumId w:val="41"/>
  </w:num>
  <w:num w:numId="30">
    <w:abstractNumId w:val="31"/>
  </w:num>
  <w:num w:numId="31">
    <w:abstractNumId w:val="21"/>
    <w:lvlOverride w:ilvl="0">
      <w:startOverride w:val="8"/>
    </w:lvlOverride>
  </w:num>
  <w:num w:numId="32">
    <w:abstractNumId w:val="40"/>
  </w:num>
  <w:num w:numId="33">
    <w:abstractNumId w:val="28"/>
    <w:lvlOverride w:ilvl="0">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6"/>
  </w:num>
  <w:num w:numId="37">
    <w:abstractNumId w:val="3"/>
  </w:num>
  <w:num w:numId="38">
    <w:abstractNumId w:val="32"/>
  </w:num>
  <w:num w:numId="39">
    <w:abstractNumId w:val="25"/>
  </w:num>
  <w:num w:numId="40">
    <w:abstractNumId w:val="16"/>
  </w:num>
  <w:num w:numId="41">
    <w:abstractNumId w:val="14"/>
  </w:num>
  <w:num w:numId="42">
    <w:abstractNumId w:val="1"/>
  </w:num>
  <w:num w:numId="43">
    <w:abstractNumId w:val="39"/>
  </w:num>
  <w:num w:numId="44">
    <w:abstractNumId w:val="10"/>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59"/>
    <w:rsid w:val="00000C8E"/>
    <w:rsid w:val="0000119D"/>
    <w:rsid w:val="000012AB"/>
    <w:rsid w:val="000018FA"/>
    <w:rsid w:val="00002AEC"/>
    <w:rsid w:val="0000344E"/>
    <w:rsid w:val="000040FE"/>
    <w:rsid w:val="000042DF"/>
    <w:rsid w:val="0000430F"/>
    <w:rsid w:val="000047FC"/>
    <w:rsid w:val="00006130"/>
    <w:rsid w:val="00006341"/>
    <w:rsid w:val="00006369"/>
    <w:rsid w:val="00006961"/>
    <w:rsid w:val="000079CF"/>
    <w:rsid w:val="00010D68"/>
    <w:rsid w:val="000110A2"/>
    <w:rsid w:val="000112BF"/>
    <w:rsid w:val="00012233"/>
    <w:rsid w:val="00014059"/>
    <w:rsid w:val="000141D0"/>
    <w:rsid w:val="00014702"/>
    <w:rsid w:val="00016618"/>
    <w:rsid w:val="00016A74"/>
    <w:rsid w:val="00016EB5"/>
    <w:rsid w:val="00017161"/>
    <w:rsid w:val="00017318"/>
    <w:rsid w:val="00021F7F"/>
    <w:rsid w:val="0002231E"/>
    <w:rsid w:val="000227BF"/>
    <w:rsid w:val="0002333F"/>
    <w:rsid w:val="00023C00"/>
    <w:rsid w:val="00024042"/>
    <w:rsid w:val="000246F7"/>
    <w:rsid w:val="000247F8"/>
    <w:rsid w:val="00026F96"/>
    <w:rsid w:val="00030338"/>
    <w:rsid w:val="000309A0"/>
    <w:rsid w:val="0003114D"/>
    <w:rsid w:val="0003694F"/>
    <w:rsid w:val="00036C6F"/>
    <w:rsid w:val="00036D76"/>
    <w:rsid w:val="00037D4E"/>
    <w:rsid w:val="000400C8"/>
    <w:rsid w:val="00040ED5"/>
    <w:rsid w:val="00041528"/>
    <w:rsid w:val="00044672"/>
    <w:rsid w:val="00046A40"/>
    <w:rsid w:val="00047953"/>
    <w:rsid w:val="000502ED"/>
    <w:rsid w:val="0005037C"/>
    <w:rsid w:val="00050396"/>
    <w:rsid w:val="000509AB"/>
    <w:rsid w:val="00051769"/>
    <w:rsid w:val="00051E39"/>
    <w:rsid w:val="00051ECC"/>
    <w:rsid w:val="00054917"/>
    <w:rsid w:val="000549CE"/>
    <w:rsid w:val="00056249"/>
    <w:rsid w:val="00057F32"/>
    <w:rsid w:val="000613D8"/>
    <w:rsid w:val="00062710"/>
    <w:rsid w:val="000628B6"/>
    <w:rsid w:val="00062A25"/>
    <w:rsid w:val="00063201"/>
    <w:rsid w:val="00066255"/>
    <w:rsid w:val="0006673F"/>
    <w:rsid w:val="0007135A"/>
    <w:rsid w:val="00073203"/>
    <w:rsid w:val="00073CB5"/>
    <w:rsid w:val="00073D39"/>
    <w:rsid w:val="0007425C"/>
    <w:rsid w:val="00076A9D"/>
    <w:rsid w:val="00077553"/>
    <w:rsid w:val="0008141F"/>
    <w:rsid w:val="00081C15"/>
    <w:rsid w:val="00081D93"/>
    <w:rsid w:val="00081E8D"/>
    <w:rsid w:val="00083150"/>
    <w:rsid w:val="00083522"/>
    <w:rsid w:val="000851A2"/>
    <w:rsid w:val="0008728B"/>
    <w:rsid w:val="00087807"/>
    <w:rsid w:val="00091015"/>
    <w:rsid w:val="00091924"/>
    <w:rsid w:val="0009193B"/>
    <w:rsid w:val="000922EE"/>
    <w:rsid w:val="00092A93"/>
    <w:rsid w:val="00092D0C"/>
    <w:rsid w:val="00092FB8"/>
    <w:rsid w:val="0009317C"/>
    <w:rsid w:val="00093512"/>
    <w:rsid w:val="0009352E"/>
    <w:rsid w:val="00094359"/>
    <w:rsid w:val="00094548"/>
    <w:rsid w:val="00094D0E"/>
    <w:rsid w:val="00095508"/>
    <w:rsid w:val="00096B96"/>
    <w:rsid w:val="00096F1E"/>
    <w:rsid w:val="000A04ED"/>
    <w:rsid w:val="000A0969"/>
    <w:rsid w:val="000A1649"/>
    <w:rsid w:val="000A1CA9"/>
    <w:rsid w:val="000A2F3F"/>
    <w:rsid w:val="000A2FA6"/>
    <w:rsid w:val="000A311F"/>
    <w:rsid w:val="000A35F3"/>
    <w:rsid w:val="000A39BD"/>
    <w:rsid w:val="000A3B34"/>
    <w:rsid w:val="000A70A6"/>
    <w:rsid w:val="000A7DFC"/>
    <w:rsid w:val="000B0B4A"/>
    <w:rsid w:val="000B194B"/>
    <w:rsid w:val="000B1AA1"/>
    <w:rsid w:val="000B2200"/>
    <w:rsid w:val="000B2537"/>
    <w:rsid w:val="000B279A"/>
    <w:rsid w:val="000B3154"/>
    <w:rsid w:val="000B3FCD"/>
    <w:rsid w:val="000B5B05"/>
    <w:rsid w:val="000B61CF"/>
    <w:rsid w:val="000B61D2"/>
    <w:rsid w:val="000B70A7"/>
    <w:rsid w:val="000B7329"/>
    <w:rsid w:val="000B73DD"/>
    <w:rsid w:val="000B7642"/>
    <w:rsid w:val="000C0D41"/>
    <w:rsid w:val="000C18D1"/>
    <w:rsid w:val="000C2261"/>
    <w:rsid w:val="000C29C6"/>
    <w:rsid w:val="000C2F92"/>
    <w:rsid w:val="000C444E"/>
    <w:rsid w:val="000C495F"/>
    <w:rsid w:val="000C4F22"/>
    <w:rsid w:val="000C50E4"/>
    <w:rsid w:val="000C72C8"/>
    <w:rsid w:val="000C79FE"/>
    <w:rsid w:val="000D0897"/>
    <w:rsid w:val="000D18C3"/>
    <w:rsid w:val="000D62FE"/>
    <w:rsid w:val="000D747E"/>
    <w:rsid w:val="000E0D8D"/>
    <w:rsid w:val="000E0E75"/>
    <w:rsid w:val="000E225A"/>
    <w:rsid w:val="000E2721"/>
    <w:rsid w:val="000E6177"/>
    <w:rsid w:val="000E6431"/>
    <w:rsid w:val="000E6675"/>
    <w:rsid w:val="000E691E"/>
    <w:rsid w:val="000E6C74"/>
    <w:rsid w:val="000E7143"/>
    <w:rsid w:val="000F0FA2"/>
    <w:rsid w:val="000F21A5"/>
    <w:rsid w:val="000F2AB7"/>
    <w:rsid w:val="000F3110"/>
    <w:rsid w:val="000F34EC"/>
    <w:rsid w:val="000F4E8F"/>
    <w:rsid w:val="000F5C96"/>
    <w:rsid w:val="000F5F53"/>
    <w:rsid w:val="000F5FA5"/>
    <w:rsid w:val="000F692F"/>
    <w:rsid w:val="000F7A3F"/>
    <w:rsid w:val="0010075C"/>
    <w:rsid w:val="001012A1"/>
    <w:rsid w:val="001013D1"/>
    <w:rsid w:val="00101A50"/>
    <w:rsid w:val="001025E4"/>
    <w:rsid w:val="001026E2"/>
    <w:rsid w:val="00102B9F"/>
    <w:rsid w:val="00103603"/>
    <w:rsid w:val="0010604D"/>
    <w:rsid w:val="001065E8"/>
    <w:rsid w:val="00106955"/>
    <w:rsid w:val="001100D5"/>
    <w:rsid w:val="001106C4"/>
    <w:rsid w:val="00111504"/>
    <w:rsid w:val="00112238"/>
    <w:rsid w:val="00112637"/>
    <w:rsid w:val="00112ABC"/>
    <w:rsid w:val="00112FF1"/>
    <w:rsid w:val="00115808"/>
    <w:rsid w:val="00116D98"/>
    <w:rsid w:val="00117E5D"/>
    <w:rsid w:val="0012001E"/>
    <w:rsid w:val="00120CB0"/>
    <w:rsid w:val="001210FB"/>
    <w:rsid w:val="00122C89"/>
    <w:rsid w:val="00123347"/>
    <w:rsid w:val="00124386"/>
    <w:rsid w:val="001245C8"/>
    <w:rsid w:val="00126A55"/>
    <w:rsid w:val="00126B71"/>
    <w:rsid w:val="0013029A"/>
    <w:rsid w:val="001326B1"/>
    <w:rsid w:val="00133F08"/>
    <w:rsid w:val="001345E6"/>
    <w:rsid w:val="001349C1"/>
    <w:rsid w:val="00134AE3"/>
    <w:rsid w:val="00136303"/>
    <w:rsid w:val="00136B9A"/>
    <w:rsid w:val="001378B0"/>
    <w:rsid w:val="00141796"/>
    <w:rsid w:val="001420F6"/>
    <w:rsid w:val="00142A1B"/>
    <w:rsid w:val="00142E00"/>
    <w:rsid w:val="001452AB"/>
    <w:rsid w:val="001459EF"/>
    <w:rsid w:val="00146300"/>
    <w:rsid w:val="00146698"/>
    <w:rsid w:val="00146E81"/>
    <w:rsid w:val="001478D3"/>
    <w:rsid w:val="001501DA"/>
    <w:rsid w:val="001509C3"/>
    <w:rsid w:val="001509E0"/>
    <w:rsid w:val="00150F42"/>
    <w:rsid w:val="00152793"/>
    <w:rsid w:val="00153B7E"/>
    <w:rsid w:val="001541CC"/>
    <w:rsid w:val="00154466"/>
    <w:rsid w:val="001545A9"/>
    <w:rsid w:val="001547AC"/>
    <w:rsid w:val="0015492D"/>
    <w:rsid w:val="00154AA5"/>
    <w:rsid w:val="00155DB3"/>
    <w:rsid w:val="001573EE"/>
    <w:rsid w:val="00157482"/>
    <w:rsid w:val="00160785"/>
    <w:rsid w:val="0016144A"/>
    <w:rsid w:val="00161C61"/>
    <w:rsid w:val="001620CD"/>
    <w:rsid w:val="00162337"/>
    <w:rsid w:val="001637C7"/>
    <w:rsid w:val="00163AF0"/>
    <w:rsid w:val="001643FE"/>
    <w:rsid w:val="001646C5"/>
    <w:rsid w:val="0016480E"/>
    <w:rsid w:val="00165759"/>
    <w:rsid w:val="00165C7F"/>
    <w:rsid w:val="00166711"/>
    <w:rsid w:val="0016692F"/>
    <w:rsid w:val="001669E2"/>
    <w:rsid w:val="0016700E"/>
    <w:rsid w:val="00167407"/>
    <w:rsid w:val="00173D97"/>
    <w:rsid w:val="00174297"/>
    <w:rsid w:val="00176BFE"/>
    <w:rsid w:val="00180294"/>
    <w:rsid w:val="00180E06"/>
    <w:rsid w:val="001817B3"/>
    <w:rsid w:val="00182807"/>
    <w:rsid w:val="00183014"/>
    <w:rsid w:val="00183925"/>
    <w:rsid w:val="001908CA"/>
    <w:rsid w:val="00191C60"/>
    <w:rsid w:val="001956FF"/>
    <w:rsid w:val="001959C2"/>
    <w:rsid w:val="001963D2"/>
    <w:rsid w:val="00196B80"/>
    <w:rsid w:val="00196F74"/>
    <w:rsid w:val="001973FC"/>
    <w:rsid w:val="00197CB8"/>
    <w:rsid w:val="001A51E3"/>
    <w:rsid w:val="001A590C"/>
    <w:rsid w:val="001A5AC2"/>
    <w:rsid w:val="001A7968"/>
    <w:rsid w:val="001A7C6B"/>
    <w:rsid w:val="001A7E26"/>
    <w:rsid w:val="001B0702"/>
    <w:rsid w:val="001B135B"/>
    <w:rsid w:val="001B1BA7"/>
    <w:rsid w:val="001B2099"/>
    <w:rsid w:val="001B24B5"/>
    <w:rsid w:val="001B2E98"/>
    <w:rsid w:val="001B31B8"/>
    <w:rsid w:val="001B3483"/>
    <w:rsid w:val="001B37FB"/>
    <w:rsid w:val="001B388D"/>
    <w:rsid w:val="001B3C1E"/>
    <w:rsid w:val="001B3C24"/>
    <w:rsid w:val="001B4494"/>
    <w:rsid w:val="001B466F"/>
    <w:rsid w:val="001B5CF0"/>
    <w:rsid w:val="001B638A"/>
    <w:rsid w:val="001B6C30"/>
    <w:rsid w:val="001B71A3"/>
    <w:rsid w:val="001B781E"/>
    <w:rsid w:val="001C0D8B"/>
    <w:rsid w:val="001C0DA8"/>
    <w:rsid w:val="001C0F39"/>
    <w:rsid w:val="001C17BD"/>
    <w:rsid w:val="001C2ACA"/>
    <w:rsid w:val="001C4EAC"/>
    <w:rsid w:val="001C65F2"/>
    <w:rsid w:val="001D0536"/>
    <w:rsid w:val="001D1B59"/>
    <w:rsid w:val="001D221E"/>
    <w:rsid w:val="001D2C6F"/>
    <w:rsid w:val="001D3057"/>
    <w:rsid w:val="001D3A8F"/>
    <w:rsid w:val="001D42DD"/>
    <w:rsid w:val="001D4AD7"/>
    <w:rsid w:val="001D5B06"/>
    <w:rsid w:val="001D5EE3"/>
    <w:rsid w:val="001D6E25"/>
    <w:rsid w:val="001E026B"/>
    <w:rsid w:val="001E0831"/>
    <w:rsid w:val="001E0D8A"/>
    <w:rsid w:val="001E1105"/>
    <w:rsid w:val="001E2533"/>
    <w:rsid w:val="001E3363"/>
    <w:rsid w:val="001E3E46"/>
    <w:rsid w:val="001E492D"/>
    <w:rsid w:val="001E4971"/>
    <w:rsid w:val="001E49DC"/>
    <w:rsid w:val="001E4A76"/>
    <w:rsid w:val="001E67BA"/>
    <w:rsid w:val="001E6BDE"/>
    <w:rsid w:val="001E74C2"/>
    <w:rsid w:val="001F0466"/>
    <w:rsid w:val="001F122D"/>
    <w:rsid w:val="001F14BA"/>
    <w:rsid w:val="001F4F82"/>
    <w:rsid w:val="001F535C"/>
    <w:rsid w:val="001F5A48"/>
    <w:rsid w:val="001F5F2F"/>
    <w:rsid w:val="001F6260"/>
    <w:rsid w:val="001F6542"/>
    <w:rsid w:val="00200007"/>
    <w:rsid w:val="0020108B"/>
    <w:rsid w:val="00202910"/>
    <w:rsid w:val="00202F20"/>
    <w:rsid w:val="002030A5"/>
    <w:rsid w:val="00203131"/>
    <w:rsid w:val="0020355F"/>
    <w:rsid w:val="00203F98"/>
    <w:rsid w:val="00204249"/>
    <w:rsid w:val="00204680"/>
    <w:rsid w:val="002049DF"/>
    <w:rsid w:val="00204BAA"/>
    <w:rsid w:val="00205803"/>
    <w:rsid w:val="00205CCB"/>
    <w:rsid w:val="00205F2D"/>
    <w:rsid w:val="002061B6"/>
    <w:rsid w:val="00207BDE"/>
    <w:rsid w:val="00207E52"/>
    <w:rsid w:val="002103F1"/>
    <w:rsid w:val="00211CAC"/>
    <w:rsid w:val="00212E88"/>
    <w:rsid w:val="00213869"/>
    <w:rsid w:val="00213C9C"/>
    <w:rsid w:val="00213E86"/>
    <w:rsid w:val="00215EA2"/>
    <w:rsid w:val="002173F1"/>
    <w:rsid w:val="002178F2"/>
    <w:rsid w:val="00217E96"/>
    <w:rsid w:val="0022009E"/>
    <w:rsid w:val="00220842"/>
    <w:rsid w:val="00220C95"/>
    <w:rsid w:val="00220D43"/>
    <w:rsid w:val="002211D0"/>
    <w:rsid w:val="00222477"/>
    <w:rsid w:val="002227DC"/>
    <w:rsid w:val="00222D9F"/>
    <w:rsid w:val="00223241"/>
    <w:rsid w:val="002234C8"/>
    <w:rsid w:val="00223507"/>
    <w:rsid w:val="0022425C"/>
    <w:rsid w:val="002246DE"/>
    <w:rsid w:val="00224C7E"/>
    <w:rsid w:val="00226B87"/>
    <w:rsid w:val="002275C0"/>
    <w:rsid w:val="002277CD"/>
    <w:rsid w:val="00230000"/>
    <w:rsid w:val="002310BD"/>
    <w:rsid w:val="00231BEC"/>
    <w:rsid w:val="002324D1"/>
    <w:rsid w:val="00232D4F"/>
    <w:rsid w:val="00233031"/>
    <w:rsid w:val="00233A71"/>
    <w:rsid w:val="00235D16"/>
    <w:rsid w:val="00236F50"/>
    <w:rsid w:val="002402E7"/>
    <w:rsid w:val="002434B5"/>
    <w:rsid w:val="00245919"/>
    <w:rsid w:val="00245F56"/>
    <w:rsid w:val="00246688"/>
    <w:rsid w:val="00247C91"/>
    <w:rsid w:val="00247E87"/>
    <w:rsid w:val="00251B7E"/>
    <w:rsid w:val="00252BC4"/>
    <w:rsid w:val="00252FCC"/>
    <w:rsid w:val="00254014"/>
    <w:rsid w:val="002544E4"/>
    <w:rsid w:val="0025483F"/>
    <w:rsid w:val="00254B39"/>
    <w:rsid w:val="00254CA5"/>
    <w:rsid w:val="00255866"/>
    <w:rsid w:val="00256E53"/>
    <w:rsid w:val="00260B58"/>
    <w:rsid w:val="0026105E"/>
    <w:rsid w:val="00262A24"/>
    <w:rsid w:val="00262B5F"/>
    <w:rsid w:val="002633CE"/>
    <w:rsid w:val="00264BC7"/>
    <w:rsid w:val="00264C77"/>
    <w:rsid w:val="0026504D"/>
    <w:rsid w:val="00265EAB"/>
    <w:rsid w:val="00265EC0"/>
    <w:rsid w:val="00266A09"/>
    <w:rsid w:val="00270BCE"/>
    <w:rsid w:val="0027168E"/>
    <w:rsid w:val="002719F8"/>
    <w:rsid w:val="00273A2F"/>
    <w:rsid w:val="002743D9"/>
    <w:rsid w:val="0027518E"/>
    <w:rsid w:val="00276B16"/>
    <w:rsid w:val="002774FA"/>
    <w:rsid w:val="00277BAC"/>
    <w:rsid w:val="002802BA"/>
    <w:rsid w:val="00280514"/>
    <w:rsid w:val="00280986"/>
    <w:rsid w:val="00280D25"/>
    <w:rsid w:val="00280E4A"/>
    <w:rsid w:val="00281767"/>
    <w:rsid w:val="002818CD"/>
    <w:rsid w:val="00281ECE"/>
    <w:rsid w:val="002827C8"/>
    <w:rsid w:val="002831C7"/>
    <w:rsid w:val="00283647"/>
    <w:rsid w:val="002840C6"/>
    <w:rsid w:val="00284A08"/>
    <w:rsid w:val="0028542B"/>
    <w:rsid w:val="002859D7"/>
    <w:rsid w:val="002864CE"/>
    <w:rsid w:val="002867D8"/>
    <w:rsid w:val="002919B7"/>
    <w:rsid w:val="00291D11"/>
    <w:rsid w:val="002925D8"/>
    <w:rsid w:val="00292BF9"/>
    <w:rsid w:val="002933DD"/>
    <w:rsid w:val="002941B7"/>
    <w:rsid w:val="0029421F"/>
    <w:rsid w:val="00295174"/>
    <w:rsid w:val="002958E4"/>
    <w:rsid w:val="00295A89"/>
    <w:rsid w:val="00296172"/>
    <w:rsid w:val="002961C5"/>
    <w:rsid w:val="002962F8"/>
    <w:rsid w:val="00296B92"/>
    <w:rsid w:val="00296EC8"/>
    <w:rsid w:val="002A034D"/>
    <w:rsid w:val="002A0424"/>
    <w:rsid w:val="002A0D5F"/>
    <w:rsid w:val="002A177F"/>
    <w:rsid w:val="002A2C22"/>
    <w:rsid w:val="002A33ED"/>
    <w:rsid w:val="002A36A5"/>
    <w:rsid w:val="002A381C"/>
    <w:rsid w:val="002A390D"/>
    <w:rsid w:val="002A3BED"/>
    <w:rsid w:val="002A4062"/>
    <w:rsid w:val="002A55FC"/>
    <w:rsid w:val="002A7983"/>
    <w:rsid w:val="002B02EB"/>
    <w:rsid w:val="002B1389"/>
    <w:rsid w:val="002B17DB"/>
    <w:rsid w:val="002B2E8C"/>
    <w:rsid w:val="002B4338"/>
    <w:rsid w:val="002B661F"/>
    <w:rsid w:val="002B6EAE"/>
    <w:rsid w:val="002C00E9"/>
    <w:rsid w:val="002C0602"/>
    <w:rsid w:val="002C1D45"/>
    <w:rsid w:val="002C37F5"/>
    <w:rsid w:val="002C43A7"/>
    <w:rsid w:val="002C4C0B"/>
    <w:rsid w:val="002C4F56"/>
    <w:rsid w:val="002C5520"/>
    <w:rsid w:val="002C5854"/>
    <w:rsid w:val="002C5DF0"/>
    <w:rsid w:val="002C6578"/>
    <w:rsid w:val="002C6A7E"/>
    <w:rsid w:val="002C74CD"/>
    <w:rsid w:val="002D1A63"/>
    <w:rsid w:val="002D2058"/>
    <w:rsid w:val="002D2ACA"/>
    <w:rsid w:val="002D301C"/>
    <w:rsid w:val="002D3F1F"/>
    <w:rsid w:val="002D4DC0"/>
    <w:rsid w:val="002D589A"/>
    <w:rsid w:val="002D5C16"/>
    <w:rsid w:val="002D61D1"/>
    <w:rsid w:val="002D6F72"/>
    <w:rsid w:val="002D754C"/>
    <w:rsid w:val="002E02DF"/>
    <w:rsid w:val="002E032C"/>
    <w:rsid w:val="002E5333"/>
    <w:rsid w:val="002E5B8D"/>
    <w:rsid w:val="002E5FE4"/>
    <w:rsid w:val="002E7091"/>
    <w:rsid w:val="002E7118"/>
    <w:rsid w:val="002E7370"/>
    <w:rsid w:val="002E7665"/>
    <w:rsid w:val="002F2390"/>
    <w:rsid w:val="002F2476"/>
    <w:rsid w:val="002F2E7B"/>
    <w:rsid w:val="002F3786"/>
    <w:rsid w:val="002F3D0C"/>
    <w:rsid w:val="002F3DFF"/>
    <w:rsid w:val="002F402E"/>
    <w:rsid w:val="002F4FF3"/>
    <w:rsid w:val="002F4FF6"/>
    <w:rsid w:val="002F5AD3"/>
    <w:rsid w:val="002F5E05"/>
    <w:rsid w:val="00300E59"/>
    <w:rsid w:val="003014B1"/>
    <w:rsid w:val="00301552"/>
    <w:rsid w:val="00301CC7"/>
    <w:rsid w:val="0030336B"/>
    <w:rsid w:val="0030384B"/>
    <w:rsid w:val="00304868"/>
    <w:rsid w:val="00304D04"/>
    <w:rsid w:val="00305855"/>
    <w:rsid w:val="0030662E"/>
    <w:rsid w:val="0030673F"/>
    <w:rsid w:val="00307A76"/>
    <w:rsid w:val="00311DCB"/>
    <w:rsid w:val="00312D41"/>
    <w:rsid w:val="00314A3A"/>
    <w:rsid w:val="00315A16"/>
    <w:rsid w:val="00317053"/>
    <w:rsid w:val="003205F2"/>
    <w:rsid w:val="00320CBC"/>
    <w:rsid w:val="0032109C"/>
    <w:rsid w:val="003214CC"/>
    <w:rsid w:val="003219D7"/>
    <w:rsid w:val="00321B7D"/>
    <w:rsid w:val="00322B45"/>
    <w:rsid w:val="00323809"/>
    <w:rsid w:val="00323D41"/>
    <w:rsid w:val="00324056"/>
    <w:rsid w:val="0032455C"/>
    <w:rsid w:val="0032489B"/>
    <w:rsid w:val="0032494B"/>
    <w:rsid w:val="00324C51"/>
    <w:rsid w:val="00325414"/>
    <w:rsid w:val="003302F1"/>
    <w:rsid w:val="0033063D"/>
    <w:rsid w:val="00331F6C"/>
    <w:rsid w:val="0033269A"/>
    <w:rsid w:val="003329D5"/>
    <w:rsid w:val="00334395"/>
    <w:rsid w:val="00335ACF"/>
    <w:rsid w:val="00335CFB"/>
    <w:rsid w:val="00337126"/>
    <w:rsid w:val="00340B92"/>
    <w:rsid w:val="00343ADF"/>
    <w:rsid w:val="003440CA"/>
    <w:rsid w:val="00344668"/>
    <w:rsid w:val="0034470E"/>
    <w:rsid w:val="00344F4D"/>
    <w:rsid w:val="003452FE"/>
    <w:rsid w:val="00345A2A"/>
    <w:rsid w:val="00346DD4"/>
    <w:rsid w:val="00347169"/>
    <w:rsid w:val="00350565"/>
    <w:rsid w:val="00352789"/>
    <w:rsid w:val="00352DB0"/>
    <w:rsid w:val="0035441A"/>
    <w:rsid w:val="00354CA6"/>
    <w:rsid w:val="00355A4E"/>
    <w:rsid w:val="0035609D"/>
    <w:rsid w:val="0035769D"/>
    <w:rsid w:val="003577A3"/>
    <w:rsid w:val="00360291"/>
    <w:rsid w:val="003602CD"/>
    <w:rsid w:val="0036040B"/>
    <w:rsid w:val="00360727"/>
    <w:rsid w:val="00361063"/>
    <w:rsid w:val="003627E8"/>
    <w:rsid w:val="003630C6"/>
    <w:rsid w:val="003638D5"/>
    <w:rsid w:val="00365245"/>
    <w:rsid w:val="00365D7A"/>
    <w:rsid w:val="003668E3"/>
    <w:rsid w:val="00366F13"/>
    <w:rsid w:val="0037094A"/>
    <w:rsid w:val="00370F04"/>
    <w:rsid w:val="0037121A"/>
    <w:rsid w:val="00371ED3"/>
    <w:rsid w:val="00372237"/>
    <w:rsid w:val="003728FA"/>
    <w:rsid w:val="00372FFC"/>
    <w:rsid w:val="0037301F"/>
    <w:rsid w:val="00373072"/>
    <w:rsid w:val="003740B8"/>
    <w:rsid w:val="003748F4"/>
    <w:rsid w:val="003752C8"/>
    <w:rsid w:val="00376797"/>
    <w:rsid w:val="00376C03"/>
    <w:rsid w:val="0037728A"/>
    <w:rsid w:val="00380B7D"/>
    <w:rsid w:val="003813D1"/>
    <w:rsid w:val="003819D7"/>
    <w:rsid w:val="00381A99"/>
    <w:rsid w:val="00381D52"/>
    <w:rsid w:val="00381FD1"/>
    <w:rsid w:val="003829C2"/>
    <w:rsid w:val="003830B2"/>
    <w:rsid w:val="003834F9"/>
    <w:rsid w:val="00384724"/>
    <w:rsid w:val="003868C8"/>
    <w:rsid w:val="003905EE"/>
    <w:rsid w:val="00390A72"/>
    <w:rsid w:val="003919B7"/>
    <w:rsid w:val="00391B07"/>
    <w:rsid w:val="00391D57"/>
    <w:rsid w:val="00392292"/>
    <w:rsid w:val="00393435"/>
    <w:rsid w:val="00394DFD"/>
    <w:rsid w:val="00394EF8"/>
    <w:rsid w:val="00395ED7"/>
    <w:rsid w:val="00396292"/>
    <w:rsid w:val="0039777C"/>
    <w:rsid w:val="003A1514"/>
    <w:rsid w:val="003A1864"/>
    <w:rsid w:val="003A493A"/>
    <w:rsid w:val="003A5927"/>
    <w:rsid w:val="003A5A23"/>
    <w:rsid w:val="003A5AE3"/>
    <w:rsid w:val="003A7223"/>
    <w:rsid w:val="003A760D"/>
    <w:rsid w:val="003B0738"/>
    <w:rsid w:val="003B1017"/>
    <w:rsid w:val="003B1164"/>
    <w:rsid w:val="003B34DB"/>
    <w:rsid w:val="003B3C07"/>
    <w:rsid w:val="003B40A7"/>
    <w:rsid w:val="003B5930"/>
    <w:rsid w:val="003B5D43"/>
    <w:rsid w:val="003B6081"/>
    <w:rsid w:val="003B6775"/>
    <w:rsid w:val="003B6D30"/>
    <w:rsid w:val="003B7A4E"/>
    <w:rsid w:val="003C09C1"/>
    <w:rsid w:val="003C3A42"/>
    <w:rsid w:val="003C4FAB"/>
    <w:rsid w:val="003C5FE2"/>
    <w:rsid w:val="003C6149"/>
    <w:rsid w:val="003C6917"/>
    <w:rsid w:val="003C7C4B"/>
    <w:rsid w:val="003C7E83"/>
    <w:rsid w:val="003D05FB"/>
    <w:rsid w:val="003D0DFE"/>
    <w:rsid w:val="003D10B6"/>
    <w:rsid w:val="003D13C1"/>
    <w:rsid w:val="003D18AD"/>
    <w:rsid w:val="003D1B16"/>
    <w:rsid w:val="003D260D"/>
    <w:rsid w:val="003D2CB3"/>
    <w:rsid w:val="003D36B6"/>
    <w:rsid w:val="003D45BF"/>
    <w:rsid w:val="003D4AD7"/>
    <w:rsid w:val="003D4F98"/>
    <w:rsid w:val="003D508A"/>
    <w:rsid w:val="003D5143"/>
    <w:rsid w:val="003D51AE"/>
    <w:rsid w:val="003D537F"/>
    <w:rsid w:val="003D6C72"/>
    <w:rsid w:val="003D7B75"/>
    <w:rsid w:val="003D7FFC"/>
    <w:rsid w:val="003E0208"/>
    <w:rsid w:val="003E0A35"/>
    <w:rsid w:val="003E2CEE"/>
    <w:rsid w:val="003E30D4"/>
    <w:rsid w:val="003E3AC5"/>
    <w:rsid w:val="003E3F76"/>
    <w:rsid w:val="003E4074"/>
    <w:rsid w:val="003E465C"/>
    <w:rsid w:val="003E4B57"/>
    <w:rsid w:val="003E7759"/>
    <w:rsid w:val="003F1122"/>
    <w:rsid w:val="003F17B8"/>
    <w:rsid w:val="003F1922"/>
    <w:rsid w:val="003F27E1"/>
    <w:rsid w:val="003F437A"/>
    <w:rsid w:val="003F44BE"/>
    <w:rsid w:val="003F589B"/>
    <w:rsid w:val="003F5C2B"/>
    <w:rsid w:val="003F6505"/>
    <w:rsid w:val="003F658E"/>
    <w:rsid w:val="003F76A2"/>
    <w:rsid w:val="00400C2B"/>
    <w:rsid w:val="004010B5"/>
    <w:rsid w:val="00401B62"/>
    <w:rsid w:val="00402240"/>
    <w:rsid w:val="004023E9"/>
    <w:rsid w:val="00402743"/>
    <w:rsid w:val="004029B8"/>
    <w:rsid w:val="00403E1E"/>
    <w:rsid w:val="00404494"/>
    <w:rsid w:val="0040454A"/>
    <w:rsid w:val="004046FE"/>
    <w:rsid w:val="0040489C"/>
    <w:rsid w:val="00405C04"/>
    <w:rsid w:val="00405FA3"/>
    <w:rsid w:val="0040630D"/>
    <w:rsid w:val="004069D0"/>
    <w:rsid w:val="004100EC"/>
    <w:rsid w:val="00410333"/>
    <w:rsid w:val="004109F4"/>
    <w:rsid w:val="00411C40"/>
    <w:rsid w:val="0041382D"/>
    <w:rsid w:val="00413F83"/>
    <w:rsid w:val="004142C2"/>
    <w:rsid w:val="004146EC"/>
    <w:rsid w:val="0041490C"/>
    <w:rsid w:val="004160C9"/>
    <w:rsid w:val="00416191"/>
    <w:rsid w:val="004163A9"/>
    <w:rsid w:val="00416721"/>
    <w:rsid w:val="00416CCB"/>
    <w:rsid w:val="00416EB3"/>
    <w:rsid w:val="00417AC0"/>
    <w:rsid w:val="00417C71"/>
    <w:rsid w:val="00421872"/>
    <w:rsid w:val="00421EF0"/>
    <w:rsid w:val="004224FA"/>
    <w:rsid w:val="00422EB6"/>
    <w:rsid w:val="00423B30"/>
    <w:rsid w:val="00423D07"/>
    <w:rsid w:val="00423D92"/>
    <w:rsid w:val="00423EAD"/>
    <w:rsid w:val="00424EE1"/>
    <w:rsid w:val="00425AB4"/>
    <w:rsid w:val="00426602"/>
    <w:rsid w:val="004275DE"/>
    <w:rsid w:val="00427895"/>
    <w:rsid w:val="00427936"/>
    <w:rsid w:val="00427D89"/>
    <w:rsid w:val="004303AA"/>
    <w:rsid w:val="00430E67"/>
    <w:rsid w:val="004328D6"/>
    <w:rsid w:val="004339E5"/>
    <w:rsid w:val="00433AF8"/>
    <w:rsid w:val="0043420A"/>
    <w:rsid w:val="0043421E"/>
    <w:rsid w:val="00434603"/>
    <w:rsid w:val="0043484C"/>
    <w:rsid w:val="004348A3"/>
    <w:rsid w:val="00436010"/>
    <w:rsid w:val="004363CA"/>
    <w:rsid w:val="004368F8"/>
    <w:rsid w:val="00437657"/>
    <w:rsid w:val="00437773"/>
    <w:rsid w:val="00437A48"/>
    <w:rsid w:val="004403C2"/>
    <w:rsid w:val="00441315"/>
    <w:rsid w:val="00442A0C"/>
    <w:rsid w:val="0044346F"/>
    <w:rsid w:val="004434A7"/>
    <w:rsid w:val="0044435D"/>
    <w:rsid w:val="00445D58"/>
    <w:rsid w:val="0044657A"/>
    <w:rsid w:val="00447430"/>
    <w:rsid w:val="00447B62"/>
    <w:rsid w:val="00447ECF"/>
    <w:rsid w:val="0045030E"/>
    <w:rsid w:val="00452CB5"/>
    <w:rsid w:val="004535ED"/>
    <w:rsid w:val="00453E2F"/>
    <w:rsid w:val="00454E6E"/>
    <w:rsid w:val="00454F9F"/>
    <w:rsid w:val="00455ED0"/>
    <w:rsid w:val="00456DB8"/>
    <w:rsid w:val="00457F3F"/>
    <w:rsid w:val="00461854"/>
    <w:rsid w:val="0046193F"/>
    <w:rsid w:val="0046396F"/>
    <w:rsid w:val="00464332"/>
    <w:rsid w:val="004648CD"/>
    <w:rsid w:val="0046520A"/>
    <w:rsid w:val="004653BC"/>
    <w:rsid w:val="004662A9"/>
    <w:rsid w:val="0046644B"/>
    <w:rsid w:val="004672AB"/>
    <w:rsid w:val="00470087"/>
    <w:rsid w:val="004714FE"/>
    <w:rsid w:val="00471F7A"/>
    <w:rsid w:val="00472D64"/>
    <w:rsid w:val="004748C5"/>
    <w:rsid w:val="004752F0"/>
    <w:rsid w:val="00476DF0"/>
    <w:rsid w:val="00477896"/>
    <w:rsid w:val="00477BAA"/>
    <w:rsid w:val="00477D13"/>
    <w:rsid w:val="00480E53"/>
    <w:rsid w:val="004810BE"/>
    <w:rsid w:val="00481315"/>
    <w:rsid w:val="00482023"/>
    <w:rsid w:val="004827DA"/>
    <w:rsid w:val="00482F93"/>
    <w:rsid w:val="00483783"/>
    <w:rsid w:val="004839F8"/>
    <w:rsid w:val="004840EC"/>
    <w:rsid w:val="00485922"/>
    <w:rsid w:val="00485D1B"/>
    <w:rsid w:val="00485E0B"/>
    <w:rsid w:val="0048688F"/>
    <w:rsid w:val="00487231"/>
    <w:rsid w:val="00487515"/>
    <w:rsid w:val="00491266"/>
    <w:rsid w:val="00491D1C"/>
    <w:rsid w:val="00491DD2"/>
    <w:rsid w:val="00492F4F"/>
    <w:rsid w:val="00493B0F"/>
    <w:rsid w:val="00495053"/>
    <w:rsid w:val="00495AF5"/>
    <w:rsid w:val="00496005"/>
    <w:rsid w:val="00496575"/>
    <w:rsid w:val="0049788B"/>
    <w:rsid w:val="004A1D75"/>
    <w:rsid w:val="004A1F59"/>
    <w:rsid w:val="004A29BE"/>
    <w:rsid w:val="004A3225"/>
    <w:rsid w:val="004A33EE"/>
    <w:rsid w:val="004A3AA8"/>
    <w:rsid w:val="004A4592"/>
    <w:rsid w:val="004A5F04"/>
    <w:rsid w:val="004A6D97"/>
    <w:rsid w:val="004B0045"/>
    <w:rsid w:val="004B0E88"/>
    <w:rsid w:val="004B13C7"/>
    <w:rsid w:val="004B1626"/>
    <w:rsid w:val="004B2977"/>
    <w:rsid w:val="004B36D5"/>
    <w:rsid w:val="004B42FB"/>
    <w:rsid w:val="004B6885"/>
    <w:rsid w:val="004B778F"/>
    <w:rsid w:val="004C0609"/>
    <w:rsid w:val="004C10C2"/>
    <w:rsid w:val="004C4678"/>
    <w:rsid w:val="004C497F"/>
    <w:rsid w:val="004C4E4C"/>
    <w:rsid w:val="004C64F5"/>
    <w:rsid w:val="004C6C00"/>
    <w:rsid w:val="004C7964"/>
    <w:rsid w:val="004C7E19"/>
    <w:rsid w:val="004D039C"/>
    <w:rsid w:val="004D0F1B"/>
    <w:rsid w:val="004D141F"/>
    <w:rsid w:val="004D1F45"/>
    <w:rsid w:val="004D2742"/>
    <w:rsid w:val="004D2D82"/>
    <w:rsid w:val="004D348D"/>
    <w:rsid w:val="004D36B3"/>
    <w:rsid w:val="004D3809"/>
    <w:rsid w:val="004D39EA"/>
    <w:rsid w:val="004D44EB"/>
    <w:rsid w:val="004D4B3D"/>
    <w:rsid w:val="004D4CAB"/>
    <w:rsid w:val="004D5EB9"/>
    <w:rsid w:val="004D6193"/>
    <w:rsid w:val="004D6310"/>
    <w:rsid w:val="004E0062"/>
    <w:rsid w:val="004E05A1"/>
    <w:rsid w:val="004E05E8"/>
    <w:rsid w:val="004E0961"/>
    <w:rsid w:val="004E0C26"/>
    <w:rsid w:val="004E196A"/>
    <w:rsid w:val="004E211F"/>
    <w:rsid w:val="004E2F6F"/>
    <w:rsid w:val="004E34C3"/>
    <w:rsid w:val="004E3985"/>
    <w:rsid w:val="004E43B6"/>
    <w:rsid w:val="004E5D58"/>
    <w:rsid w:val="004E5EE7"/>
    <w:rsid w:val="004E7CCE"/>
    <w:rsid w:val="004E7E25"/>
    <w:rsid w:val="004F01F8"/>
    <w:rsid w:val="004F1D27"/>
    <w:rsid w:val="004F1F9E"/>
    <w:rsid w:val="004F2E91"/>
    <w:rsid w:val="004F3607"/>
    <w:rsid w:val="004F3C1E"/>
    <w:rsid w:val="004F5E57"/>
    <w:rsid w:val="004F6028"/>
    <w:rsid w:val="004F6710"/>
    <w:rsid w:val="004F6A75"/>
    <w:rsid w:val="004F6B9A"/>
    <w:rsid w:val="004F71DA"/>
    <w:rsid w:val="00500C3E"/>
    <w:rsid w:val="00501246"/>
    <w:rsid w:val="00501397"/>
    <w:rsid w:val="005017E4"/>
    <w:rsid w:val="005019AC"/>
    <w:rsid w:val="00502849"/>
    <w:rsid w:val="005030BA"/>
    <w:rsid w:val="00504334"/>
    <w:rsid w:val="0050498D"/>
    <w:rsid w:val="00504CA0"/>
    <w:rsid w:val="005069D8"/>
    <w:rsid w:val="00506D50"/>
    <w:rsid w:val="005104D7"/>
    <w:rsid w:val="00510B51"/>
    <w:rsid w:val="00510B9E"/>
    <w:rsid w:val="00510D70"/>
    <w:rsid w:val="00511DA1"/>
    <w:rsid w:val="005122D9"/>
    <w:rsid w:val="00513805"/>
    <w:rsid w:val="00514119"/>
    <w:rsid w:val="00514AF0"/>
    <w:rsid w:val="00514B19"/>
    <w:rsid w:val="00514E97"/>
    <w:rsid w:val="0051604A"/>
    <w:rsid w:val="00516EF5"/>
    <w:rsid w:val="00517288"/>
    <w:rsid w:val="005175ED"/>
    <w:rsid w:val="00520507"/>
    <w:rsid w:val="00520DAE"/>
    <w:rsid w:val="00520ED9"/>
    <w:rsid w:val="00521411"/>
    <w:rsid w:val="005217B7"/>
    <w:rsid w:val="00522021"/>
    <w:rsid w:val="00524809"/>
    <w:rsid w:val="00524A41"/>
    <w:rsid w:val="00524C15"/>
    <w:rsid w:val="00524DBA"/>
    <w:rsid w:val="005253A9"/>
    <w:rsid w:val="00525CBD"/>
    <w:rsid w:val="00525CEC"/>
    <w:rsid w:val="005305E5"/>
    <w:rsid w:val="005309C2"/>
    <w:rsid w:val="00530B08"/>
    <w:rsid w:val="00531D5E"/>
    <w:rsid w:val="00532270"/>
    <w:rsid w:val="00533550"/>
    <w:rsid w:val="0053357A"/>
    <w:rsid w:val="00536BC2"/>
    <w:rsid w:val="00537EF7"/>
    <w:rsid w:val="00537F08"/>
    <w:rsid w:val="00540545"/>
    <w:rsid w:val="0054069B"/>
    <w:rsid w:val="00540A86"/>
    <w:rsid w:val="005425E1"/>
    <w:rsid w:val="005427C5"/>
    <w:rsid w:val="00542CF6"/>
    <w:rsid w:val="00543769"/>
    <w:rsid w:val="005439F7"/>
    <w:rsid w:val="00543F2D"/>
    <w:rsid w:val="005442C6"/>
    <w:rsid w:val="00544CBF"/>
    <w:rsid w:val="00546F18"/>
    <w:rsid w:val="00547E7F"/>
    <w:rsid w:val="00550739"/>
    <w:rsid w:val="00551FEE"/>
    <w:rsid w:val="005522BF"/>
    <w:rsid w:val="0055370E"/>
    <w:rsid w:val="00553C03"/>
    <w:rsid w:val="00553FE2"/>
    <w:rsid w:val="00555D70"/>
    <w:rsid w:val="0055684F"/>
    <w:rsid w:val="00557E0C"/>
    <w:rsid w:val="00560191"/>
    <w:rsid w:val="00560634"/>
    <w:rsid w:val="00560C6A"/>
    <w:rsid w:val="005615DF"/>
    <w:rsid w:val="0056275A"/>
    <w:rsid w:val="005629BE"/>
    <w:rsid w:val="00563640"/>
    <w:rsid w:val="00563692"/>
    <w:rsid w:val="00564153"/>
    <w:rsid w:val="00564D6D"/>
    <w:rsid w:val="0056583A"/>
    <w:rsid w:val="00565E4C"/>
    <w:rsid w:val="00566EC8"/>
    <w:rsid w:val="005708FD"/>
    <w:rsid w:val="005713C3"/>
    <w:rsid w:val="00571679"/>
    <w:rsid w:val="00572252"/>
    <w:rsid w:val="005724EE"/>
    <w:rsid w:val="00573997"/>
    <w:rsid w:val="00573CBB"/>
    <w:rsid w:val="00575F38"/>
    <w:rsid w:val="005762F1"/>
    <w:rsid w:val="0057659E"/>
    <w:rsid w:val="005801D3"/>
    <w:rsid w:val="005804DC"/>
    <w:rsid w:val="005817AC"/>
    <w:rsid w:val="00583630"/>
    <w:rsid w:val="005844E7"/>
    <w:rsid w:val="00584CA2"/>
    <w:rsid w:val="00586A86"/>
    <w:rsid w:val="005908B8"/>
    <w:rsid w:val="005913C9"/>
    <w:rsid w:val="00591A55"/>
    <w:rsid w:val="00592D82"/>
    <w:rsid w:val="0059441F"/>
    <w:rsid w:val="0059512E"/>
    <w:rsid w:val="0059598D"/>
    <w:rsid w:val="00595A0F"/>
    <w:rsid w:val="00595B60"/>
    <w:rsid w:val="00596A01"/>
    <w:rsid w:val="00596E18"/>
    <w:rsid w:val="00597941"/>
    <w:rsid w:val="005A074E"/>
    <w:rsid w:val="005A1301"/>
    <w:rsid w:val="005A3770"/>
    <w:rsid w:val="005A3CE4"/>
    <w:rsid w:val="005A40B4"/>
    <w:rsid w:val="005A45CF"/>
    <w:rsid w:val="005A5142"/>
    <w:rsid w:val="005A5304"/>
    <w:rsid w:val="005A5370"/>
    <w:rsid w:val="005A588E"/>
    <w:rsid w:val="005A6A3A"/>
    <w:rsid w:val="005A6DD2"/>
    <w:rsid w:val="005A7A39"/>
    <w:rsid w:val="005B121F"/>
    <w:rsid w:val="005B1610"/>
    <w:rsid w:val="005B175B"/>
    <w:rsid w:val="005B1919"/>
    <w:rsid w:val="005B1EF9"/>
    <w:rsid w:val="005B26B9"/>
    <w:rsid w:val="005B3065"/>
    <w:rsid w:val="005B3FE4"/>
    <w:rsid w:val="005B460D"/>
    <w:rsid w:val="005B46E9"/>
    <w:rsid w:val="005B4AA2"/>
    <w:rsid w:val="005B50B7"/>
    <w:rsid w:val="005B6D78"/>
    <w:rsid w:val="005B75A3"/>
    <w:rsid w:val="005C0319"/>
    <w:rsid w:val="005C1A7C"/>
    <w:rsid w:val="005C1C19"/>
    <w:rsid w:val="005C23CA"/>
    <w:rsid w:val="005C385D"/>
    <w:rsid w:val="005C3967"/>
    <w:rsid w:val="005C5919"/>
    <w:rsid w:val="005C6F44"/>
    <w:rsid w:val="005D000F"/>
    <w:rsid w:val="005D028A"/>
    <w:rsid w:val="005D1358"/>
    <w:rsid w:val="005D2675"/>
    <w:rsid w:val="005D2BF0"/>
    <w:rsid w:val="005D3B20"/>
    <w:rsid w:val="005D491B"/>
    <w:rsid w:val="005D5F61"/>
    <w:rsid w:val="005D696A"/>
    <w:rsid w:val="005D7090"/>
    <w:rsid w:val="005E0042"/>
    <w:rsid w:val="005E02B7"/>
    <w:rsid w:val="005E17DE"/>
    <w:rsid w:val="005E1D92"/>
    <w:rsid w:val="005E21B4"/>
    <w:rsid w:val="005E25E6"/>
    <w:rsid w:val="005E3236"/>
    <w:rsid w:val="005E3D28"/>
    <w:rsid w:val="005E467D"/>
    <w:rsid w:val="005E46FD"/>
    <w:rsid w:val="005E4759"/>
    <w:rsid w:val="005E48B3"/>
    <w:rsid w:val="005E4A58"/>
    <w:rsid w:val="005E5B40"/>
    <w:rsid w:val="005E5C68"/>
    <w:rsid w:val="005E65C0"/>
    <w:rsid w:val="005E6A5A"/>
    <w:rsid w:val="005E7EC7"/>
    <w:rsid w:val="005F0390"/>
    <w:rsid w:val="005F0564"/>
    <w:rsid w:val="005F09D1"/>
    <w:rsid w:val="005F1992"/>
    <w:rsid w:val="005F1B4E"/>
    <w:rsid w:val="005F249A"/>
    <w:rsid w:val="005F2728"/>
    <w:rsid w:val="005F321C"/>
    <w:rsid w:val="005F36E0"/>
    <w:rsid w:val="005F4DBC"/>
    <w:rsid w:val="005F53B1"/>
    <w:rsid w:val="005F5CA2"/>
    <w:rsid w:val="005F6079"/>
    <w:rsid w:val="005F645C"/>
    <w:rsid w:val="005F66F8"/>
    <w:rsid w:val="005F7A9C"/>
    <w:rsid w:val="00601962"/>
    <w:rsid w:val="00603A9E"/>
    <w:rsid w:val="00605688"/>
    <w:rsid w:val="00605ABD"/>
    <w:rsid w:val="0060601B"/>
    <w:rsid w:val="00606311"/>
    <w:rsid w:val="0060696F"/>
    <w:rsid w:val="00606BF8"/>
    <w:rsid w:val="006072CD"/>
    <w:rsid w:val="006109A2"/>
    <w:rsid w:val="00610ED1"/>
    <w:rsid w:val="0061189F"/>
    <w:rsid w:val="00612023"/>
    <w:rsid w:val="006120C8"/>
    <w:rsid w:val="0061391C"/>
    <w:rsid w:val="00614190"/>
    <w:rsid w:val="00615739"/>
    <w:rsid w:val="00616433"/>
    <w:rsid w:val="006164B4"/>
    <w:rsid w:val="006174A8"/>
    <w:rsid w:val="00617941"/>
    <w:rsid w:val="00621F5F"/>
    <w:rsid w:val="00622728"/>
    <w:rsid w:val="00622A99"/>
    <w:rsid w:val="00622E67"/>
    <w:rsid w:val="00624961"/>
    <w:rsid w:val="0062500A"/>
    <w:rsid w:val="00625256"/>
    <w:rsid w:val="00625984"/>
    <w:rsid w:val="00626EDC"/>
    <w:rsid w:val="006271EB"/>
    <w:rsid w:val="00627B0B"/>
    <w:rsid w:val="0063024F"/>
    <w:rsid w:val="00630F29"/>
    <w:rsid w:val="0063389D"/>
    <w:rsid w:val="0063493F"/>
    <w:rsid w:val="006354E9"/>
    <w:rsid w:val="00635F3B"/>
    <w:rsid w:val="006370E1"/>
    <w:rsid w:val="0063748F"/>
    <w:rsid w:val="006374D1"/>
    <w:rsid w:val="00640503"/>
    <w:rsid w:val="00641637"/>
    <w:rsid w:val="00641FC0"/>
    <w:rsid w:val="00642408"/>
    <w:rsid w:val="00643DD7"/>
    <w:rsid w:val="0064653A"/>
    <w:rsid w:val="006470EC"/>
    <w:rsid w:val="006479DE"/>
    <w:rsid w:val="006503E2"/>
    <w:rsid w:val="006505DF"/>
    <w:rsid w:val="00650D1A"/>
    <w:rsid w:val="00651535"/>
    <w:rsid w:val="00651E46"/>
    <w:rsid w:val="00652588"/>
    <w:rsid w:val="00652A90"/>
    <w:rsid w:val="00652FCA"/>
    <w:rsid w:val="00654017"/>
    <w:rsid w:val="006542D6"/>
    <w:rsid w:val="00654441"/>
    <w:rsid w:val="006548E2"/>
    <w:rsid w:val="0065598E"/>
    <w:rsid w:val="00655AF2"/>
    <w:rsid w:val="00655BC5"/>
    <w:rsid w:val="0065682D"/>
    <w:rsid w:val="006568BE"/>
    <w:rsid w:val="006575CF"/>
    <w:rsid w:val="0066025D"/>
    <w:rsid w:val="0066091A"/>
    <w:rsid w:val="00661739"/>
    <w:rsid w:val="006628E0"/>
    <w:rsid w:val="00662A0A"/>
    <w:rsid w:val="00663930"/>
    <w:rsid w:val="00664E62"/>
    <w:rsid w:val="00664F02"/>
    <w:rsid w:val="00665818"/>
    <w:rsid w:val="00665DEC"/>
    <w:rsid w:val="00666BE5"/>
    <w:rsid w:val="00670309"/>
    <w:rsid w:val="00670BCE"/>
    <w:rsid w:val="00670F74"/>
    <w:rsid w:val="00671849"/>
    <w:rsid w:val="00672533"/>
    <w:rsid w:val="00673295"/>
    <w:rsid w:val="00673572"/>
    <w:rsid w:val="0067522A"/>
    <w:rsid w:val="0067600F"/>
    <w:rsid w:val="00676A86"/>
    <w:rsid w:val="006773EC"/>
    <w:rsid w:val="00677B92"/>
    <w:rsid w:val="006801D7"/>
    <w:rsid w:val="00680504"/>
    <w:rsid w:val="00680CFE"/>
    <w:rsid w:val="00681CD9"/>
    <w:rsid w:val="006825CC"/>
    <w:rsid w:val="00683E30"/>
    <w:rsid w:val="0068400C"/>
    <w:rsid w:val="00684ABF"/>
    <w:rsid w:val="00685457"/>
    <w:rsid w:val="00685676"/>
    <w:rsid w:val="0068568A"/>
    <w:rsid w:val="00687024"/>
    <w:rsid w:val="00687291"/>
    <w:rsid w:val="0069048F"/>
    <w:rsid w:val="00690A7C"/>
    <w:rsid w:val="00690EAC"/>
    <w:rsid w:val="00691F36"/>
    <w:rsid w:val="006922CF"/>
    <w:rsid w:val="00693788"/>
    <w:rsid w:val="00693A32"/>
    <w:rsid w:val="00693C72"/>
    <w:rsid w:val="00693F24"/>
    <w:rsid w:val="006945E6"/>
    <w:rsid w:val="00695E22"/>
    <w:rsid w:val="00695EA2"/>
    <w:rsid w:val="0069613E"/>
    <w:rsid w:val="006A1D12"/>
    <w:rsid w:val="006A301E"/>
    <w:rsid w:val="006A3397"/>
    <w:rsid w:val="006A41CC"/>
    <w:rsid w:val="006A5404"/>
    <w:rsid w:val="006A6C96"/>
    <w:rsid w:val="006B0245"/>
    <w:rsid w:val="006B0A8E"/>
    <w:rsid w:val="006B0F8B"/>
    <w:rsid w:val="006B1793"/>
    <w:rsid w:val="006B2B64"/>
    <w:rsid w:val="006B5212"/>
    <w:rsid w:val="006B521F"/>
    <w:rsid w:val="006B653D"/>
    <w:rsid w:val="006B6996"/>
    <w:rsid w:val="006B7093"/>
    <w:rsid w:val="006B720D"/>
    <w:rsid w:val="006B7417"/>
    <w:rsid w:val="006C02C2"/>
    <w:rsid w:val="006C0B9D"/>
    <w:rsid w:val="006C0C0A"/>
    <w:rsid w:val="006C1377"/>
    <w:rsid w:val="006C1711"/>
    <w:rsid w:val="006C20DD"/>
    <w:rsid w:val="006C2670"/>
    <w:rsid w:val="006C2EB1"/>
    <w:rsid w:val="006C37E4"/>
    <w:rsid w:val="006C42A0"/>
    <w:rsid w:val="006C5C0D"/>
    <w:rsid w:val="006C5D26"/>
    <w:rsid w:val="006C679F"/>
    <w:rsid w:val="006C6E49"/>
    <w:rsid w:val="006C73D0"/>
    <w:rsid w:val="006C740C"/>
    <w:rsid w:val="006D1C41"/>
    <w:rsid w:val="006D216C"/>
    <w:rsid w:val="006D2E31"/>
    <w:rsid w:val="006D3691"/>
    <w:rsid w:val="006D380D"/>
    <w:rsid w:val="006D3835"/>
    <w:rsid w:val="006D4E98"/>
    <w:rsid w:val="006D5093"/>
    <w:rsid w:val="006D78B7"/>
    <w:rsid w:val="006D7AA3"/>
    <w:rsid w:val="006E00F8"/>
    <w:rsid w:val="006E0B7E"/>
    <w:rsid w:val="006E11AE"/>
    <w:rsid w:val="006E2997"/>
    <w:rsid w:val="006E3789"/>
    <w:rsid w:val="006E5EF0"/>
    <w:rsid w:val="006E6759"/>
    <w:rsid w:val="006E6F1D"/>
    <w:rsid w:val="006E772D"/>
    <w:rsid w:val="006F056C"/>
    <w:rsid w:val="006F0CA7"/>
    <w:rsid w:val="006F240C"/>
    <w:rsid w:val="006F2544"/>
    <w:rsid w:val="006F3563"/>
    <w:rsid w:val="006F35B8"/>
    <w:rsid w:val="006F3638"/>
    <w:rsid w:val="006F42B9"/>
    <w:rsid w:val="006F432F"/>
    <w:rsid w:val="006F48E5"/>
    <w:rsid w:val="006F5F63"/>
    <w:rsid w:val="006F6103"/>
    <w:rsid w:val="006F6339"/>
    <w:rsid w:val="006F6559"/>
    <w:rsid w:val="006F6B08"/>
    <w:rsid w:val="006F707D"/>
    <w:rsid w:val="0070107F"/>
    <w:rsid w:val="00701532"/>
    <w:rsid w:val="00702227"/>
    <w:rsid w:val="0070253D"/>
    <w:rsid w:val="007025C6"/>
    <w:rsid w:val="00703C7B"/>
    <w:rsid w:val="00704260"/>
    <w:rsid w:val="0070490B"/>
    <w:rsid w:val="00704E00"/>
    <w:rsid w:val="00706413"/>
    <w:rsid w:val="00706AB8"/>
    <w:rsid w:val="00710452"/>
    <w:rsid w:val="00711E0E"/>
    <w:rsid w:val="00711F89"/>
    <w:rsid w:val="00712E90"/>
    <w:rsid w:val="00713AD1"/>
    <w:rsid w:val="00714C25"/>
    <w:rsid w:val="00715C96"/>
    <w:rsid w:val="00715DA0"/>
    <w:rsid w:val="0071642E"/>
    <w:rsid w:val="00716BE5"/>
    <w:rsid w:val="00716D80"/>
    <w:rsid w:val="00716E01"/>
    <w:rsid w:val="00716F9B"/>
    <w:rsid w:val="007176F0"/>
    <w:rsid w:val="0071777A"/>
    <w:rsid w:val="00717CC7"/>
    <w:rsid w:val="007209E7"/>
    <w:rsid w:val="00723BF2"/>
    <w:rsid w:val="00724105"/>
    <w:rsid w:val="0072482D"/>
    <w:rsid w:val="00725D4A"/>
    <w:rsid w:val="00726182"/>
    <w:rsid w:val="00727635"/>
    <w:rsid w:val="00730344"/>
    <w:rsid w:val="00732329"/>
    <w:rsid w:val="00732714"/>
    <w:rsid w:val="0073289D"/>
    <w:rsid w:val="007337CA"/>
    <w:rsid w:val="00733D1B"/>
    <w:rsid w:val="00734059"/>
    <w:rsid w:val="007343D6"/>
    <w:rsid w:val="00734CE4"/>
    <w:rsid w:val="00735123"/>
    <w:rsid w:val="00735863"/>
    <w:rsid w:val="00736C7B"/>
    <w:rsid w:val="00737852"/>
    <w:rsid w:val="00741837"/>
    <w:rsid w:val="007420AF"/>
    <w:rsid w:val="00742B0E"/>
    <w:rsid w:val="0074318B"/>
    <w:rsid w:val="007441AA"/>
    <w:rsid w:val="0074452B"/>
    <w:rsid w:val="00744A3A"/>
    <w:rsid w:val="007453E6"/>
    <w:rsid w:val="00745492"/>
    <w:rsid w:val="0074568D"/>
    <w:rsid w:val="00745B31"/>
    <w:rsid w:val="0074787B"/>
    <w:rsid w:val="0075113C"/>
    <w:rsid w:val="00751B5D"/>
    <w:rsid w:val="00752EC8"/>
    <w:rsid w:val="00753096"/>
    <w:rsid w:val="00753470"/>
    <w:rsid w:val="00753DB4"/>
    <w:rsid w:val="0075419C"/>
    <w:rsid w:val="007547D8"/>
    <w:rsid w:val="00754C37"/>
    <w:rsid w:val="00755A4F"/>
    <w:rsid w:val="00756406"/>
    <w:rsid w:val="00757419"/>
    <w:rsid w:val="00757421"/>
    <w:rsid w:val="007601C0"/>
    <w:rsid w:val="00760E21"/>
    <w:rsid w:val="00760E9B"/>
    <w:rsid w:val="007634A9"/>
    <w:rsid w:val="007650B0"/>
    <w:rsid w:val="00765427"/>
    <w:rsid w:val="00765A9F"/>
    <w:rsid w:val="007660C4"/>
    <w:rsid w:val="00766CF6"/>
    <w:rsid w:val="00771375"/>
    <w:rsid w:val="0077309D"/>
    <w:rsid w:val="0077336C"/>
    <w:rsid w:val="00773389"/>
    <w:rsid w:val="007734E2"/>
    <w:rsid w:val="00773D4F"/>
    <w:rsid w:val="007774EE"/>
    <w:rsid w:val="007802A6"/>
    <w:rsid w:val="00780D5D"/>
    <w:rsid w:val="00781630"/>
    <w:rsid w:val="00781822"/>
    <w:rsid w:val="00783DF2"/>
    <w:rsid w:val="00783F21"/>
    <w:rsid w:val="007851BC"/>
    <w:rsid w:val="007870F6"/>
    <w:rsid w:val="00787159"/>
    <w:rsid w:val="007871E4"/>
    <w:rsid w:val="00787BF6"/>
    <w:rsid w:val="0079043A"/>
    <w:rsid w:val="00790F16"/>
    <w:rsid w:val="00791011"/>
    <w:rsid w:val="0079147F"/>
    <w:rsid w:val="00791668"/>
    <w:rsid w:val="007918E1"/>
    <w:rsid w:val="00791AA1"/>
    <w:rsid w:val="00792E68"/>
    <w:rsid w:val="00796AD2"/>
    <w:rsid w:val="00797635"/>
    <w:rsid w:val="007A0C0B"/>
    <w:rsid w:val="007A1C02"/>
    <w:rsid w:val="007A1D06"/>
    <w:rsid w:val="007A288C"/>
    <w:rsid w:val="007A3793"/>
    <w:rsid w:val="007A4148"/>
    <w:rsid w:val="007A4AA0"/>
    <w:rsid w:val="007A5AB9"/>
    <w:rsid w:val="007A6AD9"/>
    <w:rsid w:val="007A6EF8"/>
    <w:rsid w:val="007B1E68"/>
    <w:rsid w:val="007B2398"/>
    <w:rsid w:val="007B2B34"/>
    <w:rsid w:val="007B31B9"/>
    <w:rsid w:val="007B5777"/>
    <w:rsid w:val="007B58F0"/>
    <w:rsid w:val="007B65B1"/>
    <w:rsid w:val="007B66D5"/>
    <w:rsid w:val="007B71C5"/>
    <w:rsid w:val="007B777D"/>
    <w:rsid w:val="007C009B"/>
    <w:rsid w:val="007C1BA2"/>
    <w:rsid w:val="007C1DF7"/>
    <w:rsid w:val="007C2B48"/>
    <w:rsid w:val="007C5C75"/>
    <w:rsid w:val="007C6047"/>
    <w:rsid w:val="007C60FD"/>
    <w:rsid w:val="007C6BF0"/>
    <w:rsid w:val="007C6CF3"/>
    <w:rsid w:val="007C6DA9"/>
    <w:rsid w:val="007C6E54"/>
    <w:rsid w:val="007D0204"/>
    <w:rsid w:val="007D0D78"/>
    <w:rsid w:val="007D1FBD"/>
    <w:rsid w:val="007D20E9"/>
    <w:rsid w:val="007D464F"/>
    <w:rsid w:val="007D48CA"/>
    <w:rsid w:val="007D5028"/>
    <w:rsid w:val="007D5474"/>
    <w:rsid w:val="007D7678"/>
    <w:rsid w:val="007D77F8"/>
    <w:rsid w:val="007D7881"/>
    <w:rsid w:val="007D7E3A"/>
    <w:rsid w:val="007E0A56"/>
    <w:rsid w:val="007E0E10"/>
    <w:rsid w:val="007E1850"/>
    <w:rsid w:val="007E2A11"/>
    <w:rsid w:val="007E2D36"/>
    <w:rsid w:val="007E2FA1"/>
    <w:rsid w:val="007E34BD"/>
    <w:rsid w:val="007E34EA"/>
    <w:rsid w:val="007E3F8C"/>
    <w:rsid w:val="007E4459"/>
    <w:rsid w:val="007E4571"/>
    <w:rsid w:val="007E4768"/>
    <w:rsid w:val="007E53B2"/>
    <w:rsid w:val="007E62AF"/>
    <w:rsid w:val="007E777B"/>
    <w:rsid w:val="007F0873"/>
    <w:rsid w:val="007F0E18"/>
    <w:rsid w:val="007F0F68"/>
    <w:rsid w:val="007F15A8"/>
    <w:rsid w:val="007F1A95"/>
    <w:rsid w:val="007F2070"/>
    <w:rsid w:val="007F3287"/>
    <w:rsid w:val="007F3DDD"/>
    <w:rsid w:val="007F4755"/>
    <w:rsid w:val="007F4A7C"/>
    <w:rsid w:val="007F5F86"/>
    <w:rsid w:val="007F616F"/>
    <w:rsid w:val="007F631A"/>
    <w:rsid w:val="00800386"/>
    <w:rsid w:val="0080104C"/>
    <w:rsid w:val="0080123B"/>
    <w:rsid w:val="0080285F"/>
    <w:rsid w:val="00802A4B"/>
    <w:rsid w:val="00803F39"/>
    <w:rsid w:val="008043E7"/>
    <w:rsid w:val="008053F5"/>
    <w:rsid w:val="00805481"/>
    <w:rsid w:val="00805D82"/>
    <w:rsid w:val="00807AF7"/>
    <w:rsid w:val="00810198"/>
    <w:rsid w:val="008110BB"/>
    <w:rsid w:val="00811217"/>
    <w:rsid w:val="008125C4"/>
    <w:rsid w:val="00813204"/>
    <w:rsid w:val="0081375E"/>
    <w:rsid w:val="008138F0"/>
    <w:rsid w:val="00813C8A"/>
    <w:rsid w:val="00813E7B"/>
    <w:rsid w:val="0081510B"/>
    <w:rsid w:val="00815DA8"/>
    <w:rsid w:val="00816D37"/>
    <w:rsid w:val="0081761B"/>
    <w:rsid w:val="008179FC"/>
    <w:rsid w:val="00817E84"/>
    <w:rsid w:val="00817F56"/>
    <w:rsid w:val="00820012"/>
    <w:rsid w:val="008202F0"/>
    <w:rsid w:val="00820DAF"/>
    <w:rsid w:val="0082194D"/>
    <w:rsid w:val="008221F9"/>
    <w:rsid w:val="0082396C"/>
    <w:rsid w:val="00824247"/>
    <w:rsid w:val="008251A3"/>
    <w:rsid w:val="00826EF5"/>
    <w:rsid w:val="008275E1"/>
    <w:rsid w:val="008310FE"/>
    <w:rsid w:val="00831693"/>
    <w:rsid w:val="00832349"/>
    <w:rsid w:val="00834938"/>
    <w:rsid w:val="00835B4E"/>
    <w:rsid w:val="00835D60"/>
    <w:rsid w:val="00836A1F"/>
    <w:rsid w:val="0083752D"/>
    <w:rsid w:val="00840104"/>
    <w:rsid w:val="00840C1F"/>
    <w:rsid w:val="00840E8A"/>
    <w:rsid w:val="008410F9"/>
    <w:rsid w:val="00841FC5"/>
    <w:rsid w:val="00843498"/>
    <w:rsid w:val="0084380B"/>
    <w:rsid w:val="00845709"/>
    <w:rsid w:val="00845990"/>
    <w:rsid w:val="0084661A"/>
    <w:rsid w:val="008467A3"/>
    <w:rsid w:val="0084692C"/>
    <w:rsid w:val="00846E81"/>
    <w:rsid w:val="008506D3"/>
    <w:rsid w:val="00852C05"/>
    <w:rsid w:val="00853059"/>
    <w:rsid w:val="0085355E"/>
    <w:rsid w:val="00854464"/>
    <w:rsid w:val="00854745"/>
    <w:rsid w:val="00854B84"/>
    <w:rsid w:val="00854CE0"/>
    <w:rsid w:val="008551BE"/>
    <w:rsid w:val="00855C6B"/>
    <w:rsid w:val="008575A1"/>
    <w:rsid w:val="008576BD"/>
    <w:rsid w:val="00857FF7"/>
    <w:rsid w:val="00860463"/>
    <w:rsid w:val="008613EA"/>
    <w:rsid w:val="008614AE"/>
    <w:rsid w:val="0086188E"/>
    <w:rsid w:val="00861A12"/>
    <w:rsid w:val="00861C38"/>
    <w:rsid w:val="00861CCA"/>
    <w:rsid w:val="00862BE7"/>
    <w:rsid w:val="00862F50"/>
    <w:rsid w:val="008638B3"/>
    <w:rsid w:val="00863918"/>
    <w:rsid w:val="00863ECE"/>
    <w:rsid w:val="008648D2"/>
    <w:rsid w:val="00864B22"/>
    <w:rsid w:val="00866837"/>
    <w:rsid w:val="00871E43"/>
    <w:rsid w:val="0087284A"/>
    <w:rsid w:val="00872861"/>
    <w:rsid w:val="008733DA"/>
    <w:rsid w:val="008747F6"/>
    <w:rsid w:val="00874DFC"/>
    <w:rsid w:val="00875177"/>
    <w:rsid w:val="00876631"/>
    <w:rsid w:val="008771A4"/>
    <w:rsid w:val="0087725E"/>
    <w:rsid w:val="00877497"/>
    <w:rsid w:val="008776F6"/>
    <w:rsid w:val="008800B4"/>
    <w:rsid w:val="008803AA"/>
    <w:rsid w:val="00882ED6"/>
    <w:rsid w:val="00883144"/>
    <w:rsid w:val="00883990"/>
    <w:rsid w:val="00883D57"/>
    <w:rsid w:val="00884D18"/>
    <w:rsid w:val="008850E4"/>
    <w:rsid w:val="0088740A"/>
    <w:rsid w:val="0089316C"/>
    <w:rsid w:val="008932FE"/>
    <w:rsid w:val="008939AB"/>
    <w:rsid w:val="008942BC"/>
    <w:rsid w:val="008A0F8B"/>
    <w:rsid w:val="008A0F97"/>
    <w:rsid w:val="008A12F5"/>
    <w:rsid w:val="008A2528"/>
    <w:rsid w:val="008A2628"/>
    <w:rsid w:val="008A2BE0"/>
    <w:rsid w:val="008A45B9"/>
    <w:rsid w:val="008A47E2"/>
    <w:rsid w:val="008A59A4"/>
    <w:rsid w:val="008A5B31"/>
    <w:rsid w:val="008A7833"/>
    <w:rsid w:val="008B0E3A"/>
    <w:rsid w:val="008B0E99"/>
    <w:rsid w:val="008B1587"/>
    <w:rsid w:val="008B1B01"/>
    <w:rsid w:val="008B1BE9"/>
    <w:rsid w:val="008B2658"/>
    <w:rsid w:val="008B3BCD"/>
    <w:rsid w:val="008B3C6F"/>
    <w:rsid w:val="008B58F6"/>
    <w:rsid w:val="008B5F90"/>
    <w:rsid w:val="008B655B"/>
    <w:rsid w:val="008B6DF8"/>
    <w:rsid w:val="008B7271"/>
    <w:rsid w:val="008C106C"/>
    <w:rsid w:val="008C10F1"/>
    <w:rsid w:val="008C1747"/>
    <w:rsid w:val="008C1926"/>
    <w:rsid w:val="008C1E99"/>
    <w:rsid w:val="008C2640"/>
    <w:rsid w:val="008C5073"/>
    <w:rsid w:val="008C5345"/>
    <w:rsid w:val="008C58DC"/>
    <w:rsid w:val="008C6A91"/>
    <w:rsid w:val="008C6E96"/>
    <w:rsid w:val="008D0403"/>
    <w:rsid w:val="008D06AA"/>
    <w:rsid w:val="008D1641"/>
    <w:rsid w:val="008D16D8"/>
    <w:rsid w:val="008D25CB"/>
    <w:rsid w:val="008D4193"/>
    <w:rsid w:val="008D42F8"/>
    <w:rsid w:val="008D5CAD"/>
    <w:rsid w:val="008D62C7"/>
    <w:rsid w:val="008D6D15"/>
    <w:rsid w:val="008D753D"/>
    <w:rsid w:val="008D7630"/>
    <w:rsid w:val="008E0085"/>
    <w:rsid w:val="008E0135"/>
    <w:rsid w:val="008E0B75"/>
    <w:rsid w:val="008E12C7"/>
    <w:rsid w:val="008E20E8"/>
    <w:rsid w:val="008E2A90"/>
    <w:rsid w:val="008E2AA6"/>
    <w:rsid w:val="008E311B"/>
    <w:rsid w:val="008E31D8"/>
    <w:rsid w:val="008E393E"/>
    <w:rsid w:val="008E5A07"/>
    <w:rsid w:val="008E6182"/>
    <w:rsid w:val="008E7AB2"/>
    <w:rsid w:val="008E7DC3"/>
    <w:rsid w:val="008F1265"/>
    <w:rsid w:val="008F332A"/>
    <w:rsid w:val="008F3B9B"/>
    <w:rsid w:val="008F455E"/>
    <w:rsid w:val="008F46E7"/>
    <w:rsid w:val="008F5248"/>
    <w:rsid w:val="008F5D23"/>
    <w:rsid w:val="008F640F"/>
    <w:rsid w:val="008F6F0B"/>
    <w:rsid w:val="008F7A68"/>
    <w:rsid w:val="0090001A"/>
    <w:rsid w:val="009004C8"/>
    <w:rsid w:val="00900634"/>
    <w:rsid w:val="009008B7"/>
    <w:rsid w:val="0090156D"/>
    <w:rsid w:val="00902BB4"/>
    <w:rsid w:val="00903C3E"/>
    <w:rsid w:val="0090436F"/>
    <w:rsid w:val="00906158"/>
    <w:rsid w:val="00907752"/>
    <w:rsid w:val="00907BA7"/>
    <w:rsid w:val="0091064E"/>
    <w:rsid w:val="00911FC5"/>
    <w:rsid w:val="00912DC5"/>
    <w:rsid w:val="00916021"/>
    <w:rsid w:val="00916ADE"/>
    <w:rsid w:val="00920B7F"/>
    <w:rsid w:val="00921FB9"/>
    <w:rsid w:val="00924A86"/>
    <w:rsid w:val="009312F1"/>
    <w:rsid w:val="00931A10"/>
    <w:rsid w:val="0093248B"/>
    <w:rsid w:val="00932FA4"/>
    <w:rsid w:val="00933727"/>
    <w:rsid w:val="009359B5"/>
    <w:rsid w:val="009360D8"/>
    <w:rsid w:val="009364DE"/>
    <w:rsid w:val="0093763C"/>
    <w:rsid w:val="00941652"/>
    <w:rsid w:val="0094191C"/>
    <w:rsid w:val="009430BD"/>
    <w:rsid w:val="00943A8E"/>
    <w:rsid w:val="00945FF4"/>
    <w:rsid w:val="00947818"/>
    <w:rsid w:val="00947967"/>
    <w:rsid w:val="00947F5D"/>
    <w:rsid w:val="00950281"/>
    <w:rsid w:val="00950C79"/>
    <w:rsid w:val="00950D4E"/>
    <w:rsid w:val="00951D86"/>
    <w:rsid w:val="009528B1"/>
    <w:rsid w:val="00954AA7"/>
    <w:rsid w:val="009551BB"/>
    <w:rsid w:val="00955201"/>
    <w:rsid w:val="0095565A"/>
    <w:rsid w:val="009566C3"/>
    <w:rsid w:val="009575A7"/>
    <w:rsid w:val="00957F55"/>
    <w:rsid w:val="0096103B"/>
    <w:rsid w:val="00961753"/>
    <w:rsid w:val="00962DD2"/>
    <w:rsid w:val="00963B95"/>
    <w:rsid w:val="00965200"/>
    <w:rsid w:val="009655D0"/>
    <w:rsid w:val="00965810"/>
    <w:rsid w:val="009659AB"/>
    <w:rsid w:val="009660AE"/>
    <w:rsid w:val="009666E7"/>
    <w:rsid w:val="009668B3"/>
    <w:rsid w:val="009668B4"/>
    <w:rsid w:val="00966EBC"/>
    <w:rsid w:val="00970E1D"/>
    <w:rsid w:val="00971471"/>
    <w:rsid w:val="009727F4"/>
    <w:rsid w:val="00972C25"/>
    <w:rsid w:val="00973CAA"/>
    <w:rsid w:val="00973FFC"/>
    <w:rsid w:val="00975452"/>
    <w:rsid w:val="00975B4A"/>
    <w:rsid w:val="0097668B"/>
    <w:rsid w:val="00976728"/>
    <w:rsid w:val="00977235"/>
    <w:rsid w:val="00977406"/>
    <w:rsid w:val="00977680"/>
    <w:rsid w:val="00980E62"/>
    <w:rsid w:val="009813EE"/>
    <w:rsid w:val="00982DB8"/>
    <w:rsid w:val="009849C2"/>
    <w:rsid w:val="00984D24"/>
    <w:rsid w:val="00984FC6"/>
    <w:rsid w:val="009858B9"/>
    <w:rsid w:val="009858EB"/>
    <w:rsid w:val="00985A20"/>
    <w:rsid w:val="0098765F"/>
    <w:rsid w:val="00987890"/>
    <w:rsid w:val="009909FC"/>
    <w:rsid w:val="009917A3"/>
    <w:rsid w:val="009917FA"/>
    <w:rsid w:val="0099191F"/>
    <w:rsid w:val="0099343A"/>
    <w:rsid w:val="00995958"/>
    <w:rsid w:val="00995FAF"/>
    <w:rsid w:val="009A0128"/>
    <w:rsid w:val="009A0797"/>
    <w:rsid w:val="009A0E72"/>
    <w:rsid w:val="009A1613"/>
    <w:rsid w:val="009A1B28"/>
    <w:rsid w:val="009A33B3"/>
    <w:rsid w:val="009A3F47"/>
    <w:rsid w:val="009A4E07"/>
    <w:rsid w:val="009A5264"/>
    <w:rsid w:val="009A5BE6"/>
    <w:rsid w:val="009A761E"/>
    <w:rsid w:val="009B0046"/>
    <w:rsid w:val="009B0DC5"/>
    <w:rsid w:val="009B0EB8"/>
    <w:rsid w:val="009B4679"/>
    <w:rsid w:val="009B474F"/>
    <w:rsid w:val="009B4A7A"/>
    <w:rsid w:val="009B65C0"/>
    <w:rsid w:val="009C030C"/>
    <w:rsid w:val="009C1440"/>
    <w:rsid w:val="009C1B8D"/>
    <w:rsid w:val="009C1DA7"/>
    <w:rsid w:val="009C2107"/>
    <w:rsid w:val="009C23CE"/>
    <w:rsid w:val="009C26DC"/>
    <w:rsid w:val="009C2E07"/>
    <w:rsid w:val="009C3336"/>
    <w:rsid w:val="009C3590"/>
    <w:rsid w:val="009C38C9"/>
    <w:rsid w:val="009C40AE"/>
    <w:rsid w:val="009C58A3"/>
    <w:rsid w:val="009C5D9E"/>
    <w:rsid w:val="009C5DA1"/>
    <w:rsid w:val="009C62C8"/>
    <w:rsid w:val="009C6456"/>
    <w:rsid w:val="009C6527"/>
    <w:rsid w:val="009C6976"/>
    <w:rsid w:val="009C7754"/>
    <w:rsid w:val="009D1A30"/>
    <w:rsid w:val="009D1D3A"/>
    <w:rsid w:val="009D2C3E"/>
    <w:rsid w:val="009D2D56"/>
    <w:rsid w:val="009D2FB6"/>
    <w:rsid w:val="009D385E"/>
    <w:rsid w:val="009D38F5"/>
    <w:rsid w:val="009D4B05"/>
    <w:rsid w:val="009D6356"/>
    <w:rsid w:val="009D742B"/>
    <w:rsid w:val="009D758A"/>
    <w:rsid w:val="009D75B4"/>
    <w:rsid w:val="009E0625"/>
    <w:rsid w:val="009E146E"/>
    <w:rsid w:val="009E3034"/>
    <w:rsid w:val="009E3396"/>
    <w:rsid w:val="009E3A52"/>
    <w:rsid w:val="009E3CFF"/>
    <w:rsid w:val="009E3FC1"/>
    <w:rsid w:val="009E549F"/>
    <w:rsid w:val="009E7756"/>
    <w:rsid w:val="009E7B23"/>
    <w:rsid w:val="009F06E0"/>
    <w:rsid w:val="009F1D36"/>
    <w:rsid w:val="009F2179"/>
    <w:rsid w:val="009F240D"/>
    <w:rsid w:val="009F28A8"/>
    <w:rsid w:val="009F292C"/>
    <w:rsid w:val="009F2997"/>
    <w:rsid w:val="009F2AF9"/>
    <w:rsid w:val="009F3628"/>
    <w:rsid w:val="009F4373"/>
    <w:rsid w:val="009F43F6"/>
    <w:rsid w:val="009F473E"/>
    <w:rsid w:val="009F4E33"/>
    <w:rsid w:val="009F682A"/>
    <w:rsid w:val="009F70F7"/>
    <w:rsid w:val="009F7E46"/>
    <w:rsid w:val="00A00130"/>
    <w:rsid w:val="00A00AF8"/>
    <w:rsid w:val="00A00C22"/>
    <w:rsid w:val="00A00D38"/>
    <w:rsid w:val="00A01454"/>
    <w:rsid w:val="00A0168E"/>
    <w:rsid w:val="00A01897"/>
    <w:rsid w:val="00A019A3"/>
    <w:rsid w:val="00A02001"/>
    <w:rsid w:val="00A022BE"/>
    <w:rsid w:val="00A03123"/>
    <w:rsid w:val="00A05EAF"/>
    <w:rsid w:val="00A06011"/>
    <w:rsid w:val="00A066FD"/>
    <w:rsid w:val="00A07835"/>
    <w:rsid w:val="00A07B4B"/>
    <w:rsid w:val="00A100D3"/>
    <w:rsid w:val="00A120F8"/>
    <w:rsid w:val="00A130D7"/>
    <w:rsid w:val="00A13108"/>
    <w:rsid w:val="00A13420"/>
    <w:rsid w:val="00A13D38"/>
    <w:rsid w:val="00A14744"/>
    <w:rsid w:val="00A14B9C"/>
    <w:rsid w:val="00A1530C"/>
    <w:rsid w:val="00A15AF2"/>
    <w:rsid w:val="00A1623C"/>
    <w:rsid w:val="00A1632D"/>
    <w:rsid w:val="00A16A96"/>
    <w:rsid w:val="00A17F26"/>
    <w:rsid w:val="00A20662"/>
    <w:rsid w:val="00A20ECF"/>
    <w:rsid w:val="00A21244"/>
    <w:rsid w:val="00A21535"/>
    <w:rsid w:val="00A23001"/>
    <w:rsid w:val="00A232A4"/>
    <w:rsid w:val="00A24252"/>
    <w:rsid w:val="00A2472C"/>
    <w:rsid w:val="00A24780"/>
    <w:rsid w:val="00A24C95"/>
    <w:rsid w:val="00A2599A"/>
    <w:rsid w:val="00A26094"/>
    <w:rsid w:val="00A2693B"/>
    <w:rsid w:val="00A27698"/>
    <w:rsid w:val="00A301BF"/>
    <w:rsid w:val="00A302B2"/>
    <w:rsid w:val="00A30BE5"/>
    <w:rsid w:val="00A30FDD"/>
    <w:rsid w:val="00A331B4"/>
    <w:rsid w:val="00A338F8"/>
    <w:rsid w:val="00A33CC8"/>
    <w:rsid w:val="00A342E2"/>
    <w:rsid w:val="00A3484E"/>
    <w:rsid w:val="00A34861"/>
    <w:rsid w:val="00A348F9"/>
    <w:rsid w:val="00A356D3"/>
    <w:rsid w:val="00A362CC"/>
    <w:rsid w:val="00A367DE"/>
    <w:rsid w:val="00A368C7"/>
    <w:rsid w:val="00A36A06"/>
    <w:rsid w:val="00A36ADA"/>
    <w:rsid w:val="00A4119E"/>
    <w:rsid w:val="00A41B97"/>
    <w:rsid w:val="00A41D97"/>
    <w:rsid w:val="00A42A3B"/>
    <w:rsid w:val="00A42BE6"/>
    <w:rsid w:val="00A438D8"/>
    <w:rsid w:val="00A439F9"/>
    <w:rsid w:val="00A43E38"/>
    <w:rsid w:val="00A44158"/>
    <w:rsid w:val="00A446EF"/>
    <w:rsid w:val="00A45B68"/>
    <w:rsid w:val="00A45E6E"/>
    <w:rsid w:val="00A46603"/>
    <w:rsid w:val="00A46BCC"/>
    <w:rsid w:val="00A473F5"/>
    <w:rsid w:val="00A50BE3"/>
    <w:rsid w:val="00A50D82"/>
    <w:rsid w:val="00A50E4A"/>
    <w:rsid w:val="00A51F9D"/>
    <w:rsid w:val="00A524D0"/>
    <w:rsid w:val="00A52608"/>
    <w:rsid w:val="00A54088"/>
    <w:rsid w:val="00A5416A"/>
    <w:rsid w:val="00A54AA7"/>
    <w:rsid w:val="00A557FC"/>
    <w:rsid w:val="00A56145"/>
    <w:rsid w:val="00A56C8F"/>
    <w:rsid w:val="00A600E0"/>
    <w:rsid w:val="00A603AD"/>
    <w:rsid w:val="00A60862"/>
    <w:rsid w:val="00A61A05"/>
    <w:rsid w:val="00A626C5"/>
    <w:rsid w:val="00A639F4"/>
    <w:rsid w:val="00A63B23"/>
    <w:rsid w:val="00A64361"/>
    <w:rsid w:val="00A6437A"/>
    <w:rsid w:val="00A66010"/>
    <w:rsid w:val="00A6699B"/>
    <w:rsid w:val="00A669D1"/>
    <w:rsid w:val="00A66E49"/>
    <w:rsid w:val="00A704F8"/>
    <w:rsid w:val="00A706C3"/>
    <w:rsid w:val="00A70C26"/>
    <w:rsid w:val="00A73215"/>
    <w:rsid w:val="00A7331D"/>
    <w:rsid w:val="00A7343A"/>
    <w:rsid w:val="00A762E2"/>
    <w:rsid w:val="00A773D9"/>
    <w:rsid w:val="00A77B16"/>
    <w:rsid w:val="00A8147C"/>
    <w:rsid w:val="00A816D4"/>
    <w:rsid w:val="00A81A32"/>
    <w:rsid w:val="00A82278"/>
    <w:rsid w:val="00A82AAB"/>
    <w:rsid w:val="00A83586"/>
    <w:rsid w:val="00A835BD"/>
    <w:rsid w:val="00A863AD"/>
    <w:rsid w:val="00A869CA"/>
    <w:rsid w:val="00A8752E"/>
    <w:rsid w:val="00A947AA"/>
    <w:rsid w:val="00A9497B"/>
    <w:rsid w:val="00A95F3F"/>
    <w:rsid w:val="00A95FB4"/>
    <w:rsid w:val="00A95FE2"/>
    <w:rsid w:val="00A96441"/>
    <w:rsid w:val="00A96627"/>
    <w:rsid w:val="00A97B15"/>
    <w:rsid w:val="00A97CA0"/>
    <w:rsid w:val="00AA05A5"/>
    <w:rsid w:val="00AA2459"/>
    <w:rsid w:val="00AA2516"/>
    <w:rsid w:val="00AA3831"/>
    <w:rsid w:val="00AA3D3D"/>
    <w:rsid w:val="00AA41A2"/>
    <w:rsid w:val="00AA42D5"/>
    <w:rsid w:val="00AA74E6"/>
    <w:rsid w:val="00AA75E7"/>
    <w:rsid w:val="00AB231B"/>
    <w:rsid w:val="00AB2FAB"/>
    <w:rsid w:val="00AB36EF"/>
    <w:rsid w:val="00AB3F41"/>
    <w:rsid w:val="00AB4EA4"/>
    <w:rsid w:val="00AB51D3"/>
    <w:rsid w:val="00AB5C14"/>
    <w:rsid w:val="00AB5D0B"/>
    <w:rsid w:val="00AB62DF"/>
    <w:rsid w:val="00AC0FAC"/>
    <w:rsid w:val="00AC1B00"/>
    <w:rsid w:val="00AC1EE7"/>
    <w:rsid w:val="00AC333F"/>
    <w:rsid w:val="00AC44A4"/>
    <w:rsid w:val="00AC52D2"/>
    <w:rsid w:val="00AC54A7"/>
    <w:rsid w:val="00AC585C"/>
    <w:rsid w:val="00AC642C"/>
    <w:rsid w:val="00AC6930"/>
    <w:rsid w:val="00AC79A9"/>
    <w:rsid w:val="00AD1101"/>
    <w:rsid w:val="00AD1925"/>
    <w:rsid w:val="00AD273D"/>
    <w:rsid w:val="00AD2E60"/>
    <w:rsid w:val="00AD4044"/>
    <w:rsid w:val="00AD516B"/>
    <w:rsid w:val="00AD599F"/>
    <w:rsid w:val="00AD6090"/>
    <w:rsid w:val="00AE0549"/>
    <w:rsid w:val="00AE067D"/>
    <w:rsid w:val="00AE0763"/>
    <w:rsid w:val="00AE135F"/>
    <w:rsid w:val="00AE1D42"/>
    <w:rsid w:val="00AE2A09"/>
    <w:rsid w:val="00AE2BEA"/>
    <w:rsid w:val="00AE5953"/>
    <w:rsid w:val="00AE63A0"/>
    <w:rsid w:val="00AE67A5"/>
    <w:rsid w:val="00AE787C"/>
    <w:rsid w:val="00AE7CDF"/>
    <w:rsid w:val="00AF0CA6"/>
    <w:rsid w:val="00AF1181"/>
    <w:rsid w:val="00AF1669"/>
    <w:rsid w:val="00AF2DB6"/>
    <w:rsid w:val="00AF2F00"/>
    <w:rsid w:val="00AF2F79"/>
    <w:rsid w:val="00AF33EC"/>
    <w:rsid w:val="00AF4653"/>
    <w:rsid w:val="00AF53FE"/>
    <w:rsid w:val="00AF59F8"/>
    <w:rsid w:val="00AF68D6"/>
    <w:rsid w:val="00AF7396"/>
    <w:rsid w:val="00AF7DB7"/>
    <w:rsid w:val="00B028A4"/>
    <w:rsid w:val="00B03DDD"/>
    <w:rsid w:val="00B04AE1"/>
    <w:rsid w:val="00B051DF"/>
    <w:rsid w:val="00B056C4"/>
    <w:rsid w:val="00B05F0A"/>
    <w:rsid w:val="00B06CB7"/>
    <w:rsid w:val="00B07E1E"/>
    <w:rsid w:val="00B10D02"/>
    <w:rsid w:val="00B11316"/>
    <w:rsid w:val="00B12460"/>
    <w:rsid w:val="00B13A23"/>
    <w:rsid w:val="00B14C4E"/>
    <w:rsid w:val="00B15D7D"/>
    <w:rsid w:val="00B16E04"/>
    <w:rsid w:val="00B1764B"/>
    <w:rsid w:val="00B17DDD"/>
    <w:rsid w:val="00B201E2"/>
    <w:rsid w:val="00B206A9"/>
    <w:rsid w:val="00B20DB2"/>
    <w:rsid w:val="00B22851"/>
    <w:rsid w:val="00B22F6A"/>
    <w:rsid w:val="00B23C0A"/>
    <w:rsid w:val="00B247F7"/>
    <w:rsid w:val="00B26202"/>
    <w:rsid w:val="00B268C2"/>
    <w:rsid w:val="00B27708"/>
    <w:rsid w:val="00B279C2"/>
    <w:rsid w:val="00B3014B"/>
    <w:rsid w:val="00B32492"/>
    <w:rsid w:val="00B32E98"/>
    <w:rsid w:val="00B33307"/>
    <w:rsid w:val="00B3567D"/>
    <w:rsid w:val="00B35B44"/>
    <w:rsid w:val="00B35F38"/>
    <w:rsid w:val="00B379DC"/>
    <w:rsid w:val="00B41050"/>
    <w:rsid w:val="00B43558"/>
    <w:rsid w:val="00B443E4"/>
    <w:rsid w:val="00B445E5"/>
    <w:rsid w:val="00B461E9"/>
    <w:rsid w:val="00B46A13"/>
    <w:rsid w:val="00B4709B"/>
    <w:rsid w:val="00B54123"/>
    <w:rsid w:val="00B5484D"/>
    <w:rsid w:val="00B54AFE"/>
    <w:rsid w:val="00B557A1"/>
    <w:rsid w:val="00B563EA"/>
    <w:rsid w:val="00B565C9"/>
    <w:rsid w:val="00B56ACD"/>
    <w:rsid w:val="00B56CDF"/>
    <w:rsid w:val="00B602B3"/>
    <w:rsid w:val="00B6083D"/>
    <w:rsid w:val="00B60C27"/>
    <w:rsid w:val="00B60E51"/>
    <w:rsid w:val="00B61183"/>
    <w:rsid w:val="00B6153A"/>
    <w:rsid w:val="00B61796"/>
    <w:rsid w:val="00B61D49"/>
    <w:rsid w:val="00B63A54"/>
    <w:rsid w:val="00B64796"/>
    <w:rsid w:val="00B655FE"/>
    <w:rsid w:val="00B65C3C"/>
    <w:rsid w:val="00B66564"/>
    <w:rsid w:val="00B70D84"/>
    <w:rsid w:val="00B70EAA"/>
    <w:rsid w:val="00B711EC"/>
    <w:rsid w:val="00B71590"/>
    <w:rsid w:val="00B71C44"/>
    <w:rsid w:val="00B74727"/>
    <w:rsid w:val="00B76A99"/>
    <w:rsid w:val="00B76B32"/>
    <w:rsid w:val="00B76BD2"/>
    <w:rsid w:val="00B771DC"/>
    <w:rsid w:val="00B77559"/>
    <w:rsid w:val="00B77D18"/>
    <w:rsid w:val="00B81136"/>
    <w:rsid w:val="00B826D3"/>
    <w:rsid w:val="00B828AC"/>
    <w:rsid w:val="00B8313A"/>
    <w:rsid w:val="00B853A9"/>
    <w:rsid w:val="00B86C82"/>
    <w:rsid w:val="00B86CE0"/>
    <w:rsid w:val="00B86F75"/>
    <w:rsid w:val="00B902F5"/>
    <w:rsid w:val="00B919DD"/>
    <w:rsid w:val="00B92EC7"/>
    <w:rsid w:val="00B92F17"/>
    <w:rsid w:val="00B93503"/>
    <w:rsid w:val="00B9602D"/>
    <w:rsid w:val="00B96C66"/>
    <w:rsid w:val="00B97882"/>
    <w:rsid w:val="00BA0498"/>
    <w:rsid w:val="00BA0DC4"/>
    <w:rsid w:val="00BA1A14"/>
    <w:rsid w:val="00BA2A05"/>
    <w:rsid w:val="00BA31E8"/>
    <w:rsid w:val="00BA329C"/>
    <w:rsid w:val="00BA3598"/>
    <w:rsid w:val="00BA3F23"/>
    <w:rsid w:val="00BA55E0"/>
    <w:rsid w:val="00BA6778"/>
    <w:rsid w:val="00BA6BD4"/>
    <w:rsid w:val="00BA6C7A"/>
    <w:rsid w:val="00BA710B"/>
    <w:rsid w:val="00BA7E2C"/>
    <w:rsid w:val="00BB0BFF"/>
    <w:rsid w:val="00BB13C4"/>
    <w:rsid w:val="00BB17D1"/>
    <w:rsid w:val="00BB2143"/>
    <w:rsid w:val="00BB3167"/>
    <w:rsid w:val="00BB31E7"/>
    <w:rsid w:val="00BB3752"/>
    <w:rsid w:val="00BB44E5"/>
    <w:rsid w:val="00BB4508"/>
    <w:rsid w:val="00BB6688"/>
    <w:rsid w:val="00BB69A7"/>
    <w:rsid w:val="00BB74A8"/>
    <w:rsid w:val="00BC0D91"/>
    <w:rsid w:val="00BC1808"/>
    <w:rsid w:val="00BC191C"/>
    <w:rsid w:val="00BC1C28"/>
    <w:rsid w:val="00BC26D4"/>
    <w:rsid w:val="00BC275D"/>
    <w:rsid w:val="00BC32F8"/>
    <w:rsid w:val="00BC4902"/>
    <w:rsid w:val="00BC490D"/>
    <w:rsid w:val="00BC55A6"/>
    <w:rsid w:val="00BC5B2D"/>
    <w:rsid w:val="00BD1AFA"/>
    <w:rsid w:val="00BD1EEC"/>
    <w:rsid w:val="00BD230C"/>
    <w:rsid w:val="00BD27A9"/>
    <w:rsid w:val="00BD3E0B"/>
    <w:rsid w:val="00BD500C"/>
    <w:rsid w:val="00BD519E"/>
    <w:rsid w:val="00BD59D9"/>
    <w:rsid w:val="00BD76A8"/>
    <w:rsid w:val="00BE0C80"/>
    <w:rsid w:val="00BE2217"/>
    <w:rsid w:val="00BE2734"/>
    <w:rsid w:val="00BE31C4"/>
    <w:rsid w:val="00BE4317"/>
    <w:rsid w:val="00BE4AE7"/>
    <w:rsid w:val="00BE5062"/>
    <w:rsid w:val="00BE5636"/>
    <w:rsid w:val="00BE614F"/>
    <w:rsid w:val="00BE670C"/>
    <w:rsid w:val="00BF072C"/>
    <w:rsid w:val="00BF073A"/>
    <w:rsid w:val="00BF0B04"/>
    <w:rsid w:val="00BF19A6"/>
    <w:rsid w:val="00BF1DF2"/>
    <w:rsid w:val="00BF22E6"/>
    <w:rsid w:val="00BF2A42"/>
    <w:rsid w:val="00BF3221"/>
    <w:rsid w:val="00BF44FD"/>
    <w:rsid w:val="00BF5672"/>
    <w:rsid w:val="00BF5BBE"/>
    <w:rsid w:val="00BF5FAD"/>
    <w:rsid w:val="00BF7324"/>
    <w:rsid w:val="00BF73EC"/>
    <w:rsid w:val="00BF7E3A"/>
    <w:rsid w:val="00C004BF"/>
    <w:rsid w:val="00C005B9"/>
    <w:rsid w:val="00C02449"/>
    <w:rsid w:val="00C02A0D"/>
    <w:rsid w:val="00C02C62"/>
    <w:rsid w:val="00C03317"/>
    <w:rsid w:val="00C03D8C"/>
    <w:rsid w:val="00C040F7"/>
    <w:rsid w:val="00C04596"/>
    <w:rsid w:val="00C055EC"/>
    <w:rsid w:val="00C07C99"/>
    <w:rsid w:val="00C07DAC"/>
    <w:rsid w:val="00C10610"/>
    <w:rsid w:val="00C10DC9"/>
    <w:rsid w:val="00C11E3D"/>
    <w:rsid w:val="00C12FB3"/>
    <w:rsid w:val="00C13A9B"/>
    <w:rsid w:val="00C140E1"/>
    <w:rsid w:val="00C15A3E"/>
    <w:rsid w:val="00C1714E"/>
    <w:rsid w:val="00C17341"/>
    <w:rsid w:val="00C1748B"/>
    <w:rsid w:val="00C17AFD"/>
    <w:rsid w:val="00C210FD"/>
    <w:rsid w:val="00C21A9C"/>
    <w:rsid w:val="00C21EA2"/>
    <w:rsid w:val="00C2211B"/>
    <w:rsid w:val="00C228AA"/>
    <w:rsid w:val="00C229A8"/>
    <w:rsid w:val="00C24216"/>
    <w:rsid w:val="00C2463E"/>
    <w:rsid w:val="00C24EEF"/>
    <w:rsid w:val="00C25CF6"/>
    <w:rsid w:val="00C26290"/>
    <w:rsid w:val="00C26B30"/>
    <w:rsid w:val="00C26C36"/>
    <w:rsid w:val="00C273D2"/>
    <w:rsid w:val="00C27740"/>
    <w:rsid w:val="00C300D1"/>
    <w:rsid w:val="00C32347"/>
    <w:rsid w:val="00C326B0"/>
    <w:rsid w:val="00C32768"/>
    <w:rsid w:val="00C32881"/>
    <w:rsid w:val="00C32A70"/>
    <w:rsid w:val="00C32E93"/>
    <w:rsid w:val="00C3585B"/>
    <w:rsid w:val="00C35B5D"/>
    <w:rsid w:val="00C35E5D"/>
    <w:rsid w:val="00C41244"/>
    <w:rsid w:val="00C417BD"/>
    <w:rsid w:val="00C42036"/>
    <w:rsid w:val="00C431DF"/>
    <w:rsid w:val="00C43BA9"/>
    <w:rsid w:val="00C445BC"/>
    <w:rsid w:val="00C44D27"/>
    <w:rsid w:val="00C45622"/>
    <w:rsid w:val="00C456BD"/>
    <w:rsid w:val="00C50187"/>
    <w:rsid w:val="00C520F1"/>
    <w:rsid w:val="00C52516"/>
    <w:rsid w:val="00C52EFC"/>
    <w:rsid w:val="00C530DC"/>
    <w:rsid w:val="00C5350D"/>
    <w:rsid w:val="00C54885"/>
    <w:rsid w:val="00C55C04"/>
    <w:rsid w:val="00C57A40"/>
    <w:rsid w:val="00C6123C"/>
    <w:rsid w:val="00C62A35"/>
    <w:rsid w:val="00C62A82"/>
    <w:rsid w:val="00C6311A"/>
    <w:rsid w:val="00C6349F"/>
    <w:rsid w:val="00C63D36"/>
    <w:rsid w:val="00C6464E"/>
    <w:rsid w:val="00C64C10"/>
    <w:rsid w:val="00C64F9B"/>
    <w:rsid w:val="00C65DED"/>
    <w:rsid w:val="00C678CA"/>
    <w:rsid w:val="00C7084D"/>
    <w:rsid w:val="00C716D7"/>
    <w:rsid w:val="00C7254D"/>
    <w:rsid w:val="00C72681"/>
    <w:rsid w:val="00C7315E"/>
    <w:rsid w:val="00C752A8"/>
    <w:rsid w:val="00C75895"/>
    <w:rsid w:val="00C76889"/>
    <w:rsid w:val="00C76B0C"/>
    <w:rsid w:val="00C7771C"/>
    <w:rsid w:val="00C8002D"/>
    <w:rsid w:val="00C81B5A"/>
    <w:rsid w:val="00C82B03"/>
    <w:rsid w:val="00C82D12"/>
    <w:rsid w:val="00C83C9F"/>
    <w:rsid w:val="00C84E48"/>
    <w:rsid w:val="00C8503A"/>
    <w:rsid w:val="00C85B45"/>
    <w:rsid w:val="00C8655C"/>
    <w:rsid w:val="00C8677D"/>
    <w:rsid w:val="00C93C98"/>
    <w:rsid w:val="00C943CB"/>
    <w:rsid w:val="00C94840"/>
    <w:rsid w:val="00C95096"/>
    <w:rsid w:val="00C96810"/>
    <w:rsid w:val="00C978F3"/>
    <w:rsid w:val="00CA03D0"/>
    <w:rsid w:val="00CA2374"/>
    <w:rsid w:val="00CA25FB"/>
    <w:rsid w:val="00CA2F8E"/>
    <w:rsid w:val="00CA31E2"/>
    <w:rsid w:val="00CA3ED3"/>
    <w:rsid w:val="00CA42CF"/>
    <w:rsid w:val="00CA49DF"/>
    <w:rsid w:val="00CA4EE3"/>
    <w:rsid w:val="00CA791F"/>
    <w:rsid w:val="00CA7E6A"/>
    <w:rsid w:val="00CB000B"/>
    <w:rsid w:val="00CB027F"/>
    <w:rsid w:val="00CB1381"/>
    <w:rsid w:val="00CB2033"/>
    <w:rsid w:val="00CB5B41"/>
    <w:rsid w:val="00CB5D45"/>
    <w:rsid w:val="00CB62F0"/>
    <w:rsid w:val="00CB6697"/>
    <w:rsid w:val="00CB7C81"/>
    <w:rsid w:val="00CB7C8F"/>
    <w:rsid w:val="00CB7D10"/>
    <w:rsid w:val="00CC08E7"/>
    <w:rsid w:val="00CC0E52"/>
    <w:rsid w:val="00CC0EBB"/>
    <w:rsid w:val="00CC12CD"/>
    <w:rsid w:val="00CC16AE"/>
    <w:rsid w:val="00CC2DB2"/>
    <w:rsid w:val="00CC48AD"/>
    <w:rsid w:val="00CC51E8"/>
    <w:rsid w:val="00CC5DFC"/>
    <w:rsid w:val="00CC6297"/>
    <w:rsid w:val="00CC7690"/>
    <w:rsid w:val="00CD0132"/>
    <w:rsid w:val="00CD0223"/>
    <w:rsid w:val="00CD0429"/>
    <w:rsid w:val="00CD1344"/>
    <w:rsid w:val="00CD1986"/>
    <w:rsid w:val="00CD1FF8"/>
    <w:rsid w:val="00CD2006"/>
    <w:rsid w:val="00CD2622"/>
    <w:rsid w:val="00CD2B29"/>
    <w:rsid w:val="00CD3019"/>
    <w:rsid w:val="00CD3DB5"/>
    <w:rsid w:val="00CD3ED5"/>
    <w:rsid w:val="00CD54BF"/>
    <w:rsid w:val="00CD5F69"/>
    <w:rsid w:val="00CD7499"/>
    <w:rsid w:val="00CD7769"/>
    <w:rsid w:val="00CD7BCD"/>
    <w:rsid w:val="00CE07B9"/>
    <w:rsid w:val="00CE1D9C"/>
    <w:rsid w:val="00CE2127"/>
    <w:rsid w:val="00CE2ED2"/>
    <w:rsid w:val="00CE332B"/>
    <w:rsid w:val="00CE4D5C"/>
    <w:rsid w:val="00CE4F66"/>
    <w:rsid w:val="00CE5458"/>
    <w:rsid w:val="00CE5C9B"/>
    <w:rsid w:val="00CE66D1"/>
    <w:rsid w:val="00CF05DA"/>
    <w:rsid w:val="00CF0CAC"/>
    <w:rsid w:val="00CF13E5"/>
    <w:rsid w:val="00CF1C34"/>
    <w:rsid w:val="00CF1EB2"/>
    <w:rsid w:val="00CF2ED7"/>
    <w:rsid w:val="00CF300E"/>
    <w:rsid w:val="00CF38B3"/>
    <w:rsid w:val="00CF4B8C"/>
    <w:rsid w:val="00CF4F2A"/>
    <w:rsid w:val="00CF58EB"/>
    <w:rsid w:val="00CF5DDF"/>
    <w:rsid w:val="00CF67E4"/>
    <w:rsid w:val="00CF69F8"/>
    <w:rsid w:val="00CF6FEC"/>
    <w:rsid w:val="00D006EB"/>
    <w:rsid w:val="00D007B4"/>
    <w:rsid w:val="00D00B14"/>
    <w:rsid w:val="00D00C7C"/>
    <w:rsid w:val="00D0106E"/>
    <w:rsid w:val="00D01090"/>
    <w:rsid w:val="00D01800"/>
    <w:rsid w:val="00D020CE"/>
    <w:rsid w:val="00D03102"/>
    <w:rsid w:val="00D036BE"/>
    <w:rsid w:val="00D03C28"/>
    <w:rsid w:val="00D04A60"/>
    <w:rsid w:val="00D06383"/>
    <w:rsid w:val="00D06867"/>
    <w:rsid w:val="00D06C7F"/>
    <w:rsid w:val="00D10656"/>
    <w:rsid w:val="00D10802"/>
    <w:rsid w:val="00D1124D"/>
    <w:rsid w:val="00D1269F"/>
    <w:rsid w:val="00D12736"/>
    <w:rsid w:val="00D13062"/>
    <w:rsid w:val="00D13FA8"/>
    <w:rsid w:val="00D15342"/>
    <w:rsid w:val="00D15EE9"/>
    <w:rsid w:val="00D179B6"/>
    <w:rsid w:val="00D179EA"/>
    <w:rsid w:val="00D205F6"/>
    <w:rsid w:val="00D208CA"/>
    <w:rsid w:val="00D20E85"/>
    <w:rsid w:val="00D20EEE"/>
    <w:rsid w:val="00D2135E"/>
    <w:rsid w:val="00D215FD"/>
    <w:rsid w:val="00D23D7B"/>
    <w:rsid w:val="00D24615"/>
    <w:rsid w:val="00D254E0"/>
    <w:rsid w:val="00D274F7"/>
    <w:rsid w:val="00D27F7C"/>
    <w:rsid w:val="00D30592"/>
    <w:rsid w:val="00D31821"/>
    <w:rsid w:val="00D3248D"/>
    <w:rsid w:val="00D33310"/>
    <w:rsid w:val="00D33F2F"/>
    <w:rsid w:val="00D34308"/>
    <w:rsid w:val="00D34BB5"/>
    <w:rsid w:val="00D3502C"/>
    <w:rsid w:val="00D3503C"/>
    <w:rsid w:val="00D35EF8"/>
    <w:rsid w:val="00D36C4B"/>
    <w:rsid w:val="00D36FC8"/>
    <w:rsid w:val="00D37842"/>
    <w:rsid w:val="00D3790B"/>
    <w:rsid w:val="00D40CCF"/>
    <w:rsid w:val="00D4169B"/>
    <w:rsid w:val="00D4221A"/>
    <w:rsid w:val="00D42DC2"/>
    <w:rsid w:val="00D4303A"/>
    <w:rsid w:val="00D43B8D"/>
    <w:rsid w:val="00D44879"/>
    <w:rsid w:val="00D4519A"/>
    <w:rsid w:val="00D4630B"/>
    <w:rsid w:val="00D46A8A"/>
    <w:rsid w:val="00D46CA7"/>
    <w:rsid w:val="00D47509"/>
    <w:rsid w:val="00D51515"/>
    <w:rsid w:val="00D52141"/>
    <w:rsid w:val="00D52A7D"/>
    <w:rsid w:val="00D52AF3"/>
    <w:rsid w:val="00D52EAD"/>
    <w:rsid w:val="00D537E1"/>
    <w:rsid w:val="00D5446C"/>
    <w:rsid w:val="00D55BB2"/>
    <w:rsid w:val="00D6016B"/>
    <w:rsid w:val="00D6091A"/>
    <w:rsid w:val="00D609C4"/>
    <w:rsid w:val="00D62872"/>
    <w:rsid w:val="00D62D56"/>
    <w:rsid w:val="00D63773"/>
    <w:rsid w:val="00D65068"/>
    <w:rsid w:val="00D65469"/>
    <w:rsid w:val="00D6605A"/>
    <w:rsid w:val="00D661A1"/>
    <w:rsid w:val="00D6695F"/>
    <w:rsid w:val="00D672AB"/>
    <w:rsid w:val="00D67A9A"/>
    <w:rsid w:val="00D67D30"/>
    <w:rsid w:val="00D71A85"/>
    <w:rsid w:val="00D71D39"/>
    <w:rsid w:val="00D71DAC"/>
    <w:rsid w:val="00D72D89"/>
    <w:rsid w:val="00D73106"/>
    <w:rsid w:val="00D73C15"/>
    <w:rsid w:val="00D74162"/>
    <w:rsid w:val="00D74F7B"/>
    <w:rsid w:val="00D74FDA"/>
    <w:rsid w:val="00D75050"/>
    <w:rsid w:val="00D75545"/>
    <w:rsid w:val="00D755E9"/>
    <w:rsid w:val="00D75644"/>
    <w:rsid w:val="00D75F06"/>
    <w:rsid w:val="00D7763B"/>
    <w:rsid w:val="00D7795D"/>
    <w:rsid w:val="00D80F5F"/>
    <w:rsid w:val="00D81656"/>
    <w:rsid w:val="00D81F85"/>
    <w:rsid w:val="00D82806"/>
    <w:rsid w:val="00D8369F"/>
    <w:rsid w:val="00D836A2"/>
    <w:rsid w:val="00D83D87"/>
    <w:rsid w:val="00D8470E"/>
    <w:rsid w:val="00D84A6D"/>
    <w:rsid w:val="00D85334"/>
    <w:rsid w:val="00D8638D"/>
    <w:rsid w:val="00D86401"/>
    <w:rsid w:val="00D86A30"/>
    <w:rsid w:val="00D872A3"/>
    <w:rsid w:val="00D90876"/>
    <w:rsid w:val="00D92EA9"/>
    <w:rsid w:val="00D93404"/>
    <w:rsid w:val="00D93CD3"/>
    <w:rsid w:val="00D9419B"/>
    <w:rsid w:val="00D947F9"/>
    <w:rsid w:val="00D94EED"/>
    <w:rsid w:val="00D95466"/>
    <w:rsid w:val="00D95BCC"/>
    <w:rsid w:val="00D97CB4"/>
    <w:rsid w:val="00D97DD4"/>
    <w:rsid w:val="00DA04C9"/>
    <w:rsid w:val="00DA1437"/>
    <w:rsid w:val="00DA15C1"/>
    <w:rsid w:val="00DA1AA9"/>
    <w:rsid w:val="00DA30BD"/>
    <w:rsid w:val="00DA31DD"/>
    <w:rsid w:val="00DA4207"/>
    <w:rsid w:val="00DA46F4"/>
    <w:rsid w:val="00DA4FFE"/>
    <w:rsid w:val="00DA516D"/>
    <w:rsid w:val="00DA5A8A"/>
    <w:rsid w:val="00DA63D4"/>
    <w:rsid w:val="00DA677B"/>
    <w:rsid w:val="00DA6D6D"/>
    <w:rsid w:val="00DB0247"/>
    <w:rsid w:val="00DB1170"/>
    <w:rsid w:val="00DB1E8D"/>
    <w:rsid w:val="00DB26CD"/>
    <w:rsid w:val="00DB441C"/>
    <w:rsid w:val="00DB44AF"/>
    <w:rsid w:val="00DB494A"/>
    <w:rsid w:val="00DB56B4"/>
    <w:rsid w:val="00DB5B0B"/>
    <w:rsid w:val="00DB5E70"/>
    <w:rsid w:val="00DB6513"/>
    <w:rsid w:val="00DC0B38"/>
    <w:rsid w:val="00DC0DB5"/>
    <w:rsid w:val="00DC12D2"/>
    <w:rsid w:val="00DC1E2C"/>
    <w:rsid w:val="00DC1F58"/>
    <w:rsid w:val="00DC314B"/>
    <w:rsid w:val="00DC339B"/>
    <w:rsid w:val="00DC43EF"/>
    <w:rsid w:val="00DC45CC"/>
    <w:rsid w:val="00DC4D24"/>
    <w:rsid w:val="00DC5D40"/>
    <w:rsid w:val="00DC69A7"/>
    <w:rsid w:val="00DC6D0F"/>
    <w:rsid w:val="00DC7E37"/>
    <w:rsid w:val="00DC7E96"/>
    <w:rsid w:val="00DD04D4"/>
    <w:rsid w:val="00DD06AF"/>
    <w:rsid w:val="00DD0DB6"/>
    <w:rsid w:val="00DD13E7"/>
    <w:rsid w:val="00DD2B8A"/>
    <w:rsid w:val="00DD2D5D"/>
    <w:rsid w:val="00DD30E9"/>
    <w:rsid w:val="00DD441C"/>
    <w:rsid w:val="00DD48BF"/>
    <w:rsid w:val="00DD4F47"/>
    <w:rsid w:val="00DD685C"/>
    <w:rsid w:val="00DD78D9"/>
    <w:rsid w:val="00DD7D03"/>
    <w:rsid w:val="00DD7F53"/>
    <w:rsid w:val="00DD7FBB"/>
    <w:rsid w:val="00DE0B9F"/>
    <w:rsid w:val="00DE1DB7"/>
    <w:rsid w:val="00DE2A9E"/>
    <w:rsid w:val="00DE2BF6"/>
    <w:rsid w:val="00DE2E99"/>
    <w:rsid w:val="00DE3B88"/>
    <w:rsid w:val="00DE4238"/>
    <w:rsid w:val="00DE4373"/>
    <w:rsid w:val="00DE657F"/>
    <w:rsid w:val="00DE66F5"/>
    <w:rsid w:val="00DE75BD"/>
    <w:rsid w:val="00DE75EC"/>
    <w:rsid w:val="00DF0BF1"/>
    <w:rsid w:val="00DF1218"/>
    <w:rsid w:val="00DF2F3B"/>
    <w:rsid w:val="00DF5C42"/>
    <w:rsid w:val="00DF6462"/>
    <w:rsid w:val="00DF6855"/>
    <w:rsid w:val="00DF6F14"/>
    <w:rsid w:val="00DF7EC6"/>
    <w:rsid w:val="00E0057B"/>
    <w:rsid w:val="00E0099C"/>
    <w:rsid w:val="00E01CC4"/>
    <w:rsid w:val="00E02FA0"/>
    <w:rsid w:val="00E032BE"/>
    <w:rsid w:val="00E0345F"/>
    <w:rsid w:val="00E036DC"/>
    <w:rsid w:val="00E03DF4"/>
    <w:rsid w:val="00E040D8"/>
    <w:rsid w:val="00E049FA"/>
    <w:rsid w:val="00E05C14"/>
    <w:rsid w:val="00E064CA"/>
    <w:rsid w:val="00E072B3"/>
    <w:rsid w:val="00E0748C"/>
    <w:rsid w:val="00E07778"/>
    <w:rsid w:val="00E07EB4"/>
    <w:rsid w:val="00E1038A"/>
    <w:rsid w:val="00E10454"/>
    <w:rsid w:val="00E1088D"/>
    <w:rsid w:val="00E10C91"/>
    <w:rsid w:val="00E112E5"/>
    <w:rsid w:val="00E1181A"/>
    <w:rsid w:val="00E122D8"/>
    <w:rsid w:val="00E12399"/>
    <w:rsid w:val="00E12CC8"/>
    <w:rsid w:val="00E12CDC"/>
    <w:rsid w:val="00E14FB3"/>
    <w:rsid w:val="00E15352"/>
    <w:rsid w:val="00E15E84"/>
    <w:rsid w:val="00E20255"/>
    <w:rsid w:val="00E2038D"/>
    <w:rsid w:val="00E20A01"/>
    <w:rsid w:val="00E213F9"/>
    <w:rsid w:val="00E21CC7"/>
    <w:rsid w:val="00E22A42"/>
    <w:rsid w:val="00E22DD7"/>
    <w:rsid w:val="00E24D9E"/>
    <w:rsid w:val="00E25849"/>
    <w:rsid w:val="00E25A09"/>
    <w:rsid w:val="00E26A27"/>
    <w:rsid w:val="00E26ABF"/>
    <w:rsid w:val="00E2754F"/>
    <w:rsid w:val="00E275CE"/>
    <w:rsid w:val="00E301DF"/>
    <w:rsid w:val="00E30DE4"/>
    <w:rsid w:val="00E3197E"/>
    <w:rsid w:val="00E31A39"/>
    <w:rsid w:val="00E33ADD"/>
    <w:rsid w:val="00E342F8"/>
    <w:rsid w:val="00E351ED"/>
    <w:rsid w:val="00E35BC8"/>
    <w:rsid w:val="00E35DAB"/>
    <w:rsid w:val="00E3688C"/>
    <w:rsid w:val="00E37DA5"/>
    <w:rsid w:val="00E37F8A"/>
    <w:rsid w:val="00E37FDF"/>
    <w:rsid w:val="00E400EC"/>
    <w:rsid w:val="00E40BB3"/>
    <w:rsid w:val="00E413AA"/>
    <w:rsid w:val="00E41FFF"/>
    <w:rsid w:val="00E4483B"/>
    <w:rsid w:val="00E45A62"/>
    <w:rsid w:val="00E469C6"/>
    <w:rsid w:val="00E478B9"/>
    <w:rsid w:val="00E4799E"/>
    <w:rsid w:val="00E5099A"/>
    <w:rsid w:val="00E516AC"/>
    <w:rsid w:val="00E517BF"/>
    <w:rsid w:val="00E51C85"/>
    <w:rsid w:val="00E523BA"/>
    <w:rsid w:val="00E52510"/>
    <w:rsid w:val="00E535C5"/>
    <w:rsid w:val="00E55627"/>
    <w:rsid w:val="00E560E7"/>
    <w:rsid w:val="00E56A69"/>
    <w:rsid w:val="00E56E32"/>
    <w:rsid w:val="00E57C10"/>
    <w:rsid w:val="00E6034B"/>
    <w:rsid w:val="00E60F98"/>
    <w:rsid w:val="00E61950"/>
    <w:rsid w:val="00E61B67"/>
    <w:rsid w:val="00E62AA7"/>
    <w:rsid w:val="00E63B19"/>
    <w:rsid w:val="00E63C4B"/>
    <w:rsid w:val="00E63EEB"/>
    <w:rsid w:val="00E64B45"/>
    <w:rsid w:val="00E6549E"/>
    <w:rsid w:val="00E65EDE"/>
    <w:rsid w:val="00E662DE"/>
    <w:rsid w:val="00E70F81"/>
    <w:rsid w:val="00E71935"/>
    <w:rsid w:val="00E71F4D"/>
    <w:rsid w:val="00E72443"/>
    <w:rsid w:val="00E72DE8"/>
    <w:rsid w:val="00E74AC6"/>
    <w:rsid w:val="00E7510B"/>
    <w:rsid w:val="00E75ACD"/>
    <w:rsid w:val="00E77055"/>
    <w:rsid w:val="00E77460"/>
    <w:rsid w:val="00E774B0"/>
    <w:rsid w:val="00E8093F"/>
    <w:rsid w:val="00E8168D"/>
    <w:rsid w:val="00E81B3C"/>
    <w:rsid w:val="00E82D2A"/>
    <w:rsid w:val="00E83093"/>
    <w:rsid w:val="00E834BF"/>
    <w:rsid w:val="00E83ABC"/>
    <w:rsid w:val="00E844F2"/>
    <w:rsid w:val="00E848E8"/>
    <w:rsid w:val="00E84AB9"/>
    <w:rsid w:val="00E84C25"/>
    <w:rsid w:val="00E8538B"/>
    <w:rsid w:val="00E858A8"/>
    <w:rsid w:val="00E85CE2"/>
    <w:rsid w:val="00E875A4"/>
    <w:rsid w:val="00E90AD0"/>
    <w:rsid w:val="00E90BA0"/>
    <w:rsid w:val="00E91400"/>
    <w:rsid w:val="00E91F6E"/>
    <w:rsid w:val="00E92FCB"/>
    <w:rsid w:val="00E9702B"/>
    <w:rsid w:val="00EA09BC"/>
    <w:rsid w:val="00EA147F"/>
    <w:rsid w:val="00EA208A"/>
    <w:rsid w:val="00EA2748"/>
    <w:rsid w:val="00EA280D"/>
    <w:rsid w:val="00EA3623"/>
    <w:rsid w:val="00EA4614"/>
    <w:rsid w:val="00EA48FD"/>
    <w:rsid w:val="00EA4A27"/>
    <w:rsid w:val="00EA4A93"/>
    <w:rsid w:val="00EA4FA6"/>
    <w:rsid w:val="00EA6B61"/>
    <w:rsid w:val="00EA7289"/>
    <w:rsid w:val="00EA7DFA"/>
    <w:rsid w:val="00EB1A25"/>
    <w:rsid w:val="00EB25DB"/>
    <w:rsid w:val="00EB2967"/>
    <w:rsid w:val="00EB467D"/>
    <w:rsid w:val="00EB48F6"/>
    <w:rsid w:val="00EB6D55"/>
    <w:rsid w:val="00EB7580"/>
    <w:rsid w:val="00EC281A"/>
    <w:rsid w:val="00EC2A7F"/>
    <w:rsid w:val="00EC3568"/>
    <w:rsid w:val="00EC4031"/>
    <w:rsid w:val="00EC4FF8"/>
    <w:rsid w:val="00EC59F7"/>
    <w:rsid w:val="00EC7363"/>
    <w:rsid w:val="00EC749A"/>
    <w:rsid w:val="00ED03AB"/>
    <w:rsid w:val="00ED0F15"/>
    <w:rsid w:val="00ED1963"/>
    <w:rsid w:val="00ED19A3"/>
    <w:rsid w:val="00ED1CD4"/>
    <w:rsid w:val="00ED1D2B"/>
    <w:rsid w:val="00ED4AF3"/>
    <w:rsid w:val="00ED4EF1"/>
    <w:rsid w:val="00ED558E"/>
    <w:rsid w:val="00ED64B5"/>
    <w:rsid w:val="00ED6637"/>
    <w:rsid w:val="00ED73DC"/>
    <w:rsid w:val="00ED79F0"/>
    <w:rsid w:val="00ED7AAD"/>
    <w:rsid w:val="00EE2D02"/>
    <w:rsid w:val="00EE481C"/>
    <w:rsid w:val="00EE4D67"/>
    <w:rsid w:val="00EE60F7"/>
    <w:rsid w:val="00EE64B6"/>
    <w:rsid w:val="00EE7CCA"/>
    <w:rsid w:val="00EF17F7"/>
    <w:rsid w:val="00EF1828"/>
    <w:rsid w:val="00EF2828"/>
    <w:rsid w:val="00EF43CE"/>
    <w:rsid w:val="00EF4B2A"/>
    <w:rsid w:val="00EF542F"/>
    <w:rsid w:val="00EF6B22"/>
    <w:rsid w:val="00EF6CD2"/>
    <w:rsid w:val="00F01690"/>
    <w:rsid w:val="00F0169F"/>
    <w:rsid w:val="00F01893"/>
    <w:rsid w:val="00F02A6B"/>
    <w:rsid w:val="00F031D4"/>
    <w:rsid w:val="00F0354E"/>
    <w:rsid w:val="00F0498E"/>
    <w:rsid w:val="00F05C98"/>
    <w:rsid w:val="00F05D04"/>
    <w:rsid w:val="00F05DF3"/>
    <w:rsid w:val="00F065DC"/>
    <w:rsid w:val="00F06CAA"/>
    <w:rsid w:val="00F06EBB"/>
    <w:rsid w:val="00F079AA"/>
    <w:rsid w:val="00F1006D"/>
    <w:rsid w:val="00F1258A"/>
    <w:rsid w:val="00F14BD2"/>
    <w:rsid w:val="00F156D7"/>
    <w:rsid w:val="00F157D6"/>
    <w:rsid w:val="00F15BAE"/>
    <w:rsid w:val="00F15F0F"/>
    <w:rsid w:val="00F1611A"/>
    <w:rsid w:val="00F163A0"/>
    <w:rsid w:val="00F16A14"/>
    <w:rsid w:val="00F16A23"/>
    <w:rsid w:val="00F212B4"/>
    <w:rsid w:val="00F2136C"/>
    <w:rsid w:val="00F22846"/>
    <w:rsid w:val="00F22A07"/>
    <w:rsid w:val="00F22A24"/>
    <w:rsid w:val="00F2342B"/>
    <w:rsid w:val="00F23489"/>
    <w:rsid w:val="00F23DB8"/>
    <w:rsid w:val="00F2537D"/>
    <w:rsid w:val="00F25546"/>
    <w:rsid w:val="00F2779B"/>
    <w:rsid w:val="00F277B8"/>
    <w:rsid w:val="00F278AB"/>
    <w:rsid w:val="00F27B61"/>
    <w:rsid w:val="00F27C37"/>
    <w:rsid w:val="00F27D1C"/>
    <w:rsid w:val="00F31FBD"/>
    <w:rsid w:val="00F32CE9"/>
    <w:rsid w:val="00F344E9"/>
    <w:rsid w:val="00F350B9"/>
    <w:rsid w:val="00F362D7"/>
    <w:rsid w:val="00F37D7B"/>
    <w:rsid w:val="00F44811"/>
    <w:rsid w:val="00F44DC4"/>
    <w:rsid w:val="00F44E0D"/>
    <w:rsid w:val="00F45626"/>
    <w:rsid w:val="00F45A9C"/>
    <w:rsid w:val="00F46D7B"/>
    <w:rsid w:val="00F501B7"/>
    <w:rsid w:val="00F510DA"/>
    <w:rsid w:val="00F51C54"/>
    <w:rsid w:val="00F5314C"/>
    <w:rsid w:val="00F53D0C"/>
    <w:rsid w:val="00F53D27"/>
    <w:rsid w:val="00F55491"/>
    <w:rsid w:val="00F555AF"/>
    <w:rsid w:val="00F563E5"/>
    <w:rsid w:val="00F567FA"/>
    <w:rsid w:val="00F5688C"/>
    <w:rsid w:val="00F5704D"/>
    <w:rsid w:val="00F57899"/>
    <w:rsid w:val="00F57B26"/>
    <w:rsid w:val="00F60048"/>
    <w:rsid w:val="00F631D0"/>
    <w:rsid w:val="00F635DD"/>
    <w:rsid w:val="00F648F2"/>
    <w:rsid w:val="00F64BEC"/>
    <w:rsid w:val="00F65329"/>
    <w:rsid w:val="00F6627B"/>
    <w:rsid w:val="00F7048F"/>
    <w:rsid w:val="00F70D44"/>
    <w:rsid w:val="00F725B7"/>
    <w:rsid w:val="00F72A74"/>
    <w:rsid w:val="00F732BB"/>
    <w:rsid w:val="00F7336E"/>
    <w:rsid w:val="00F734F2"/>
    <w:rsid w:val="00F7361F"/>
    <w:rsid w:val="00F745EF"/>
    <w:rsid w:val="00F75052"/>
    <w:rsid w:val="00F75639"/>
    <w:rsid w:val="00F77717"/>
    <w:rsid w:val="00F801CE"/>
    <w:rsid w:val="00F804D3"/>
    <w:rsid w:val="00F80AF4"/>
    <w:rsid w:val="00F80C40"/>
    <w:rsid w:val="00F816CB"/>
    <w:rsid w:val="00F81CD2"/>
    <w:rsid w:val="00F81EDD"/>
    <w:rsid w:val="00F82267"/>
    <w:rsid w:val="00F82641"/>
    <w:rsid w:val="00F82769"/>
    <w:rsid w:val="00F84350"/>
    <w:rsid w:val="00F8480B"/>
    <w:rsid w:val="00F852DF"/>
    <w:rsid w:val="00F86790"/>
    <w:rsid w:val="00F86E24"/>
    <w:rsid w:val="00F86FF1"/>
    <w:rsid w:val="00F87D29"/>
    <w:rsid w:val="00F90F18"/>
    <w:rsid w:val="00F912E6"/>
    <w:rsid w:val="00F9134C"/>
    <w:rsid w:val="00F92292"/>
    <w:rsid w:val="00F937E4"/>
    <w:rsid w:val="00F938CF"/>
    <w:rsid w:val="00F94131"/>
    <w:rsid w:val="00F94BAD"/>
    <w:rsid w:val="00F95855"/>
    <w:rsid w:val="00F95BBF"/>
    <w:rsid w:val="00F95EE7"/>
    <w:rsid w:val="00FA023D"/>
    <w:rsid w:val="00FA0F87"/>
    <w:rsid w:val="00FA15D7"/>
    <w:rsid w:val="00FA1955"/>
    <w:rsid w:val="00FA2B0F"/>
    <w:rsid w:val="00FA2EE6"/>
    <w:rsid w:val="00FA39E6"/>
    <w:rsid w:val="00FA6776"/>
    <w:rsid w:val="00FA6C2E"/>
    <w:rsid w:val="00FA7223"/>
    <w:rsid w:val="00FA7A76"/>
    <w:rsid w:val="00FA7BC9"/>
    <w:rsid w:val="00FB20E6"/>
    <w:rsid w:val="00FB2BB0"/>
    <w:rsid w:val="00FB2CA2"/>
    <w:rsid w:val="00FB3090"/>
    <w:rsid w:val="00FB378E"/>
    <w:rsid w:val="00FB37F1"/>
    <w:rsid w:val="00FB47C0"/>
    <w:rsid w:val="00FB4CA0"/>
    <w:rsid w:val="00FB501B"/>
    <w:rsid w:val="00FB6580"/>
    <w:rsid w:val="00FB6A08"/>
    <w:rsid w:val="00FB7263"/>
    <w:rsid w:val="00FB7770"/>
    <w:rsid w:val="00FC0210"/>
    <w:rsid w:val="00FC03FE"/>
    <w:rsid w:val="00FC0AD3"/>
    <w:rsid w:val="00FC130F"/>
    <w:rsid w:val="00FC1F91"/>
    <w:rsid w:val="00FC260E"/>
    <w:rsid w:val="00FC35FA"/>
    <w:rsid w:val="00FC476D"/>
    <w:rsid w:val="00FC57AF"/>
    <w:rsid w:val="00FC76D2"/>
    <w:rsid w:val="00FC78DD"/>
    <w:rsid w:val="00FC7D96"/>
    <w:rsid w:val="00FD3B91"/>
    <w:rsid w:val="00FD410E"/>
    <w:rsid w:val="00FD42E4"/>
    <w:rsid w:val="00FD44F1"/>
    <w:rsid w:val="00FD4F4D"/>
    <w:rsid w:val="00FD576B"/>
    <w:rsid w:val="00FD579E"/>
    <w:rsid w:val="00FD5825"/>
    <w:rsid w:val="00FD6845"/>
    <w:rsid w:val="00FD6A66"/>
    <w:rsid w:val="00FD7006"/>
    <w:rsid w:val="00FD75EC"/>
    <w:rsid w:val="00FD78A6"/>
    <w:rsid w:val="00FD7A20"/>
    <w:rsid w:val="00FE0784"/>
    <w:rsid w:val="00FE0A78"/>
    <w:rsid w:val="00FE0C21"/>
    <w:rsid w:val="00FE112B"/>
    <w:rsid w:val="00FE33FC"/>
    <w:rsid w:val="00FE3725"/>
    <w:rsid w:val="00FE3C60"/>
    <w:rsid w:val="00FE408A"/>
    <w:rsid w:val="00FE4516"/>
    <w:rsid w:val="00FE46B4"/>
    <w:rsid w:val="00FE4A6C"/>
    <w:rsid w:val="00FE52CE"/>
    <w:rsid w:val="00FE5F69"/>
    <w:rsid w:val="00FE6198"/>
    <w:rsid w:val="00FE631F"/>
    <w:rsid w:val="00FE64C8"/>
    <w:rsid w:val="00FF1A16"/>
    <w:rsid w:val="00FF2D89"/>
    <w:rsid w:val="00FF40AD"/>
    <w:rsid w:val="00FF4516"/>
    <w:rsid w:val="00FF61B5"/>
    <w:rsid w:val="00FF66B2"/>
    <w:rsid w:val="00FF6A77"/>
    <w:rsid w:val="00FF6A81"/>
    <w:rsid w:val="00FF7393"/>
    <w:rsid w:val="00FF7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7D0C61-4C6A-4607-8487-20CD7326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748C5"/>
    <w:pPr>
      <w:outlineLvl w:val="1"/>
    </w:pPr>
    <w:rPr>
      <w:rFonts w:hAnsi="Arial"/>
      <w:bCs/>
      <w:kern w:val="32"/>
      <w:szCs w:val="48"/>
    </w:rPr>
  </w:style>
  <w:style w:type="paragraph" w:styleId="3">
    <w:name w:val="heading 3"/>
    <w:basedOn w:val="a7"/>
    <w:link w:val="30"/>
    <w:qFormat/>
    <w:rsid w:val="006B653D"/>
    <w:pPr>
      <w:numPr>
        <w:ilvl w:val="2"/>
        <w:numId w:val="6"/>
      </w:numPr>
      <w:outlineLvl w:val="2"/>
    </w:pPr>
    <w:rPr>
      <w:rFonts w:hAnsi="Arial"/>
      <w:bCs/>
      <w:kern w:val="32"/>
      <w:szCs w:val="36"/>
    </w:rPr>
  </w:style>
  <w:style w:type="paragraph" w:styleId="4">
    <w:name w:val="heading 4"/>
    <w:basedOn w:val="a7"/>
    <w:link w:val="40"/>
    <w:qFormat/>
    <w:rsid w:val="000B194B"/>
    <w:pPr>
      <w:numPr>
        <w:ilvl w:val="3"/>
        <w:numId w:val="6"/>
      </w:numPr>
      <w:ind w:left="1701"/>
      <w:outlineLvl w:val="3"/>
    </w:pPr>
    <w:rPr>
      <w:rFonts w:hAnsi="Arial"/>
      <w:kern w:val="32"/>
      <w:szCs w:val="36"/>
    </w:rPr>
  </w:style>
  <w:style w:type="paragraph" w:styleId="5">
    <w:name w:val="heading 5"/>
    <w:basedOn w:val="a7"/>
    <w:qFormat/>
    <w:rsid w:val="00B655FE"/>
    <w:pPr>
      <w:numPr>
        <w:ilvl w:val="4"/>
        <w:numId w:val="6"/>
      </w:numPr>
      <w:ind w:left="2042" w:hanging="851"/>
      <w:outlineLvl w:val="4"/>
    </w:pPr>
    <w:rPr>
      <w:rFonts w:hAnsi="Arial"/>
      <w:bCs/>
      <w:kern w:val="32"/>
      <w:szCs w:val="36"/>
    </w:rPr>
  </w:style>
  <w:style w:type="paragraph" w:styleId="6">
    <w:name w:val="heading 6"/>
    <w:basedOn w:val="a7"/>
    <w:qFormat/>
    <w:rsid w:val="00120CB0"/>
    <w:pPr>
      <w:numPr>
        <w:ilvl w:val="5"/>
        <w:numId w:val="6"/>
      </w:numPr>
      <w:tabs>
        <w:tab w:val="left" w:pos="2094"/>
      </w:tabs>
      <w:outlineLvl w:val="5"/>
    </w:pPr>
    <w:rPr>
      <w:rFonts w:hAnsi="Arial"/>
      <w:kern w:val="32"/>
      <w:szCs w:val="36"/>
    </w:rPr>
  </w:style>
  <w:style w:type="paragraph" w:styleId="7">
    <w:name w:val="heading 7"/>
    <w:basedOn w:val="a7"/>
    <w:qFormat/>
    <w:rsid w:val="00120CB0"/>
    <w:pPr>
      <w:numPr>
        <w:ilvl w:val="6"/>
        <w:numId w:val="6"/>
      </w:numPr>
      <w:ind w:left="2722"/>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4748C5"/>
    <w:rPr>
      <w:rFonts w:ascii="標楷體" w:eastAsia="標楷體" w:hAnsi="Arial"/>
      <w:bCs/>
      <w:kern w:val="32"/>
      <w:sz w:val="32"/>
      <w:szCs w:val="48"/>
    </w:rPr>
  </w:style>
  <w:style w:type="character" w:customStyle="1" w:styleId="30">
    <w:name w:val="標題 3 字元"/>
    <w:basedOn w:val="a8"/>
    <w:link w:val="3"/>
    <w:rsid w:val="006B653D"/>
    <w:rPr>
      <w:rFonts w:ascii="標楷體" w:eastAsia="標楷體" w:hAnsi="Arial"/>
      <w:bCs/>
      <w:kern w:val="32"/>
      <w:sz w:val="32"/>
      <w:szCs w:val="36"/>
    </w:rPr>
  </w:style>
  <w:style w:type="character" w:customStyle="1" w:styleId="40">
    <w:name w:val="標題 4 字元"/>
    <w:basedOn w:val="a8"/>
    <w:link w:val="4"/>
    <w:rsid w:val="000B194B"/>
    <w:rPr>
      <w:rFonts w:ascii="標楷體" w:eastAsia="標楷體" w:hAnsi="Arial"/>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qFormat/>
    <w:rsid w:val="00030338"/>
    <w:pPr>
      <w:tabs>
        <w:tab w:val="right" w:leader="hyphen" w:pos="8834"/>
      </w:tabs>
      <w:kinsoku w:val="0"/>
      <w:ind w:left="1682" w:rightChars="100" w:right="340" w:hangingChars="400" w:hanging="1682"/>
      <w:jc w:val="center"/>
    </w:pPr>
    <w:rPr>
      <w:rFonts w:hAnsi="標楷體"/>
      <w:b/>
      <w:noProof/>
      <w:color w:val="000000" w:themeColor="text1"/>
      <w:sz w:val="40"/>
      <w:szCs w:val="40"/>
    </w:rPr>
  </w:style>
  <w:style w:type="paragraph" w:styleId="22">
    <w:name w:val="toc 2"/>
    <w:basedOn w:val="a7"/>
    <w:next w:val="a7"/>
    <w:autoRedefine/>
    <w:uiPriority w:val="39"/>
    <w:qFormat/>
    <w:rsid w:val="00673295"/>
    <w:pPr>
      <w:tabs>
        <w:tab w:val="left" w:pos="1186"/>
        <w:tab w:val="right" w:leader="hyphen" w:pos="8834"/>
      </w:tabs>
      <w:kinsoku w:val="0"/>
      <w:ind w:leftChars="100" w:left="1020" w:rightChars="100" w:right="340" w:hangingChars="200" w:hanging="680"/>
    </w:pPr>
    <w:rPr>
      <w:rFonts w:hAnsi="標楷體"/>
      <w:noProof/>
      <w:color w:val="7030A0"/>
    </w:rPr>
  </w:style>
  <w:style w:type="paragraph" w:styleId="31">
    <w:name w:val="toc 3"/>
    <w:basedOn w:val="a7"/>
    <w:next w:val="a7"/>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character" w:customStyle="1" w:styleId="af">
    <w:name w:val="頁首 字元"/>
    <w:basedOn w:val="a8"/>
    <w:link w:val="ae"/>
    <w:uiPriority w:val="99"/>
    <w:rsid w:val="00424EE1"/>
    <w:rPr>
      <w:rFonts w:ascii="標楷體" w:eastAsia="標楷體"/>
      <w:kern w:val="2"/>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B655FE"/>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character" w:customStyle="1" w:styleId="af6">
    <w:name w:val="頁尾 字元"/>
    <w:basedOn w:val="a8"/>
    <w:link w:val="af5"/>
    <w:uiPriority w:val="99"/>
    <w:rsid w:val="00424EE1"/>
    <w:rPr>
      <w:rFonts w:ascii="標楷體" w:eastAsia="標楷體"/>
      <w:kern w:val="2"/>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link w:val="afb"/>
    <w:uiPriority w:val="34"/>
    <w:qFormat/>
    <w:rsid w:val="00687024"/>
    <w:pPr>
      <w:ind w:leftChars="200" w:left="480"/>
    </w:pPr>
  </w:style>
  <w:style w:type="character" w:customStyle="1" w:styleId="afb">
    <w:name w:val="清單段落 字元"/>
    <w:link w:val="afa"/>
    <w:uiPriority w:val="34"/>
    <w:locked/>
    <w:rsid w:val="001963D2"/>
    <w:rPr>
      <w:rFonts w:ascii="標楷體" w:eastAsia="標楷體"/>
      <w:kern w:val="2"/>
      <w:sz w:val="32"/>
    </w:r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paragraph" w:customStyle="1" w:styleId="92">
    <w:name w:val="段落樣式9"/>
    <w:basedOn w:val="81"/>
    <w:qFormat/>
    <w:rsid w:val="00831693"/>
    <w:pPr>
      <w:ind w:leftChars="1000" w:left="1000"/>
    </w:pPr>
  </w:style>
  <w:style w:type="paragraph" w:styleId="afe">
    <w:name w:val="footnote text"/>
    <w:basedOn w:val="a7"/>
    <w:link w:val="aff"/>
    <w:uiPriority w:val="99"/>
    <w:unhideWhenUsed/>
    <w:rsid w:val="00264BC7"/>
    <w:pPr>
      <w:snapToGrid w:val="0"/>
      <w:jc w:val="left"/>
    </w:pPr>
    <w:rPr>
      <w:sz w:val="20"/>
    </w:rPr>
  </w:style>
  <w:style w:type="character" w:customStyle="1" w:styleId="aff">
    <w:name w:val="註腳文字 字元"/>
    <w:basedOn w:val="a8"/>
    <w:link w:val="afe"/>
    <w:uiPriority w:val="99"/>
    <w:rsid w:val="00264BC7"/>
    <w:rPr>
      <w:rFonts w:ascii="標楷體" w:eastAsia="標楷體"/>
      <w:kern w:val="2"/>
    </w:rPr>
  </w:style>
  <w:style w:type="character" w:styleId="aff0">
    <w:name w:val="footnote reference"/>
    <w:basedOn w:val="a8"/>
    <w:uiPriority w:val="99"/>
    <w:unhideWhenUsed/>
    <w:rsid w:val="00264BC7"/>
    <w:rPr>
      <w:vertAlign w:val="superscript"/>
    </w:rPr>
  </w:style>
  <w:style w:type="character" w:customStyle="1" w:styleId="memotext31">
    <w:name w:val="memo_text31"/>
    <w:basedOn w:val="a8"/>
    <w:rsid w:val="002743D9"/>
    <w:rPr>
      <w:color w:val="000000"/>
      <w:sz w:val="24"/>
      <w:szCs w:val="24"/>
    </w:rPr>
  </w:style>
  <w:style w:type="paragraph" w:customStyle="1" w:styleId="Default">
    <w:name w:val="Default"/>
    <w:rsid w:val="00732714"/>
    <w:pPr>
      <w:widowControl w:val="0"/>
      <w:autoSpaceDE w:val="0"/>
      <w:autoSpaceDN w:val="0"/>
      <w:adjustRightInd w:val="0"/>
    </w:pPr>
    <w:rPr>
      <w:rFonts w:ascii="標楷體" w:eastAsia="標楷體" w:cs="標楷體"/>
      <w:color w:val="000000"/>
      <w:sz w:val="24"/>
      <w:szCs w:val="24"/>
    </w:rPr>
  </w:style>
  <w:style w:type="paragraph" w:customStyle="1" w:styleId="aff1">
    <w:name w:val="分項段落"/>
    <w:basedOn w:val="a7"/>
    <w:rsid w:val="0068400C"/>
    <w:pPr>
      <w:overflowPunct/>
      <w:autoSpaceDE/>
      <w:autoSpaceDN/>
      <w:jc w:val="left"/>
    </w:pPr>
    <w:rPr>
      <w:rFonts w:ascii="Times New Roman" w:eastAsia="新細明體"/>
      <w:sz w:val="24"/>
    </w:rPr>
  </w:style>
  <w:style w:type="paragraph" w:styleId="a">
    <w:name w:val="List Bullet"/>
    <w:basedOn w:val="a7"/>
    <w:uiPriority w:val="99"/>
    <w:unhideWhenUsed/>
    <w:rsid w:val="004303AA"/>
    <w:pPr>
      <w:numPr>
        <w:numId w:val="10"/>
      </w:numPr>
      <w:contextualSpacing/>
    </w:pPr>
  </w:style>
  <w:style w:type="table" w:customStyle="1" w:styleId="1-41">
    <w:name w:val="格線表格 1 淺色 - 輔色 41"/>
    <w:basedOn w:val="a9"/>
    <w:uiPriority w:val="46"/>
    <w:rsid w:val="006F6559"/>
    <w:rPr>
      <w:rFonts w:ascii="Calibri" w:hAnsi="Calibri"/>
      <w:kern w:val="2"/>
      <w:sz w:val="24"/>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51">
    <w:name w:val="格線表格 6 彩色 - 輔色 51"/>
    <w:basedOn w:val="a9"/>
    <w:uiPriority w:val="51"/>
    <w:rsid w:val="006F6559"/>
    <w:rPr>
      <w:rFonts w:ascii="Calibri" w:hAnsi="Calibri"/>
      <w:color w:val="2F5496"/>
      <w:kern w:val="2"/>
      <w:sz w:val="24"/>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511">
    <w:name w:val="格線表格 6 彩色 - 輔色 511"/>
    <w:basedOn w:val="a9"/>
    <w:uiPriority w:val="51"/>
    <w:rsid w:val="006F6559"/>
    <w:rPr>
      <w:rFonts w:ascii="Calibri" w:hAnsi="Calibri"/>
      <w:color w:val="2F5496"/>
      <w:kern w:val="2"/>
      <w:sz w:val="24"/>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2">
    <w:name w:val="表格格線5"/>
    <w:basedOn w:val="a9"/>
    <w:next w:val="af9"/>
    <w:rsid w:val="006F65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9"/>
    <w:next w:val="af9"/>
    <w:uiPriority w:val="59"/>
    <w:rsid w:val="006F655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9"/>
    <w:uiPriority w:val="59"/>
    <w:rsid w:val="006F655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9"/>
    <w:uiPriority w:val="59"/>
    <w:rsid w:val="00E26A2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F44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44811"/>
    <w:rPr>
      <w:rFonts w:ascii="細明體" w:eastAsia="細明體" w:hAnsi="細明體" w:cs="細明體"/>
      <w:sz w:val="24"/>
      <w:szCs w:val="24"/>
    </w:rPr>
  </w:style>
  <w:style w:type="character" w:styleId="aff2">
    <w:name w:val="FollowedHyperlink"/>
    <w:basedOn w:val="a8"/>
    <w:uiPriority w:val="99"/>
    <w:semiHidden/>
    <w:unhideWhenUsed/>
    <w:rsid w:val="006C0C0A"/>
    <w:rPr>
      <w:color w:val="800080" w:themeColor="followedHyperlink"/>
      <w:u w:val="single"/>
    </w:rPr>
  </w:style>
  <w:style w:type="character" w:styleId="aff3">
    <w:name w:val="annotation reference"/>
    <w:basedOn w:val="a8"/>
    <w:uiPriority w:val="99"/>
    <w:semiHidden/>
    <w:unhideWhenUsed/>
    <w:rsid w:val="00E12CDC"/>
    <w:rPr>
      <w:sz w:val="18"/>
      <w:szCs w:val="18"/>
    </w:rPr>
  </w:style>
  <w:style w:type="paragraph" w:styleId="aff4">
    <w:name w:val="annotation text"/>
    <w:basedOn w:val="a7"/>
    <w:link w:val="aff5"/>
    <w:uiPriority w:val="99"/>
    <w:semiHidden/>
    <w:unhideWhenUsed/>
    <w:rsid w:val="00E12CDC"/>
    <w:pPr>
      <w:jc w:val="left"/>
    </w:pPr>
  </w:style>
  <w:style w:type="character" w:customStyle="1" w:styleId="aff5">
    <w:name w:val="註解文字 字元"/>
    <w:basedOn w:val="a8"/>
    <w:link w:val="aff4"/>
    <w:uiPriority w:val="99"/>
    <w:semiHidden/>
    <w:rsid w:val="00E12CDC"/>
    <w:rPr>
      <w:rFonts w:ascii="標楷體" w:eastAsia="標楷體"/>
      <w:kern w:val="2"/>
      <w:sz w:val="32"/>
    </w:rPr>
  </w:style>
  <w:style w:type="paragraph" w:styleId="aff6">
    <w:name w:val="annotation subject"/>
    <w:basedOn w:val="aff4"/>
    <w:next w:val="aff4"/>
    <w:link w:val="aff7"/>
    <w:uiPriority w:val="99"/>
    <w:semiHidden/>
    <w:unhideWhenUsed/>
    <w:rsid w:val="00E12CDC"/>
    <w:rPr>
      <w:b/>
      <w:bCs/>
    </w:rPr>
  </w:style>
  <w:style w:type="character" w:customStyle="1" w:styleId="aff7">
    <w:name w:val="註解主旨 字元"/>
    <w:basedOn w:val="aff5"/>
    <w:link w:val="aff6"/>
    <w:uiPriority w:val="99"/>
    <w:semiHidden/>
    <w:rsid w:val="00E12CDC"/>
    <w:rPr>
      <w:rFonts w:ascii="標楷體" w:eastAsia="標楷體"/>
      <w:b/>
      <w:bCs/>
      <w:kern w:val="2"/>
      <w:sz w:val="32"/>
    </w:rPr>
  </w:style>
  <w:style w:type="table" w:customStyle="1" w:styleId="13">
    <w:name w:val="表格格線1"/>
    <w:basedOn w:val="a9"/>
    <w:next w:val="af9"/>
    <w:uiPriority w:val="59"/>
    <w:rsid w:val="002D61D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TOC Heading"/>
    <w:basedOn w:val="1"/>
    <w:next w:val="a7"/>
    <w:uiPriority w:val="39"/>
    <w:unhideWhenUsed/>
    <w:qFormat/>
    <w:rsid w:val="006C267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2776">
      <w:bodyDiv w:val="1"/>
      <w:marLeft w:val="0"/>
      <w:marRight w:val="0"/>
      <w:marTop w:val="0"/>
      <w:marBottom w:val="0"/>
      <w:divBdr>
        <w:top w:val="none" w:sz="0" w:space="0" w:color="auto"/>
        <w:left w:val="none" w:sz="0" w:space="0" w:color="auto"/>
        <w:bottom w:val="none" w:sz="0" w:space="0" w:color="auto"/>
        <w:right w:val="none" w:sz="0" w:space="0" w:color="auto"/>
      </w:divBdr>
      <w:divsChild>
        <w:div w:id="778841238">
          <w:marLeft w:val="0"/>
          <w:marRight w:val="0"/>
          <w:marTop w:val="0"/>
          <w:marBottom w:val="0"/>
          <w:divBdr>
            <w:top w:val="none" w:sz="0" w:space="0" w:color="auto"/>
            <w:left w:val="none" w:sz="0" w:space="0" w:color="auto"/>
            <w:bottom w:val="none" w:sz="0" w:space="0" w:color="auto"/>
            <w:right w:val="none" w:sz="0" w:space="0" w:color="auto"/>
          </w:divBdr>
          <w:divsChild>
            <w:div w:id="64690472">
              <w:marLeft w:val="0"/>
              <w:marRight w:val="0"/>
              <w:marTop w:val="0"/>
              <w:marBottom w:val="0"/>
              <w:divBdr>
                <w:top w:val="none" w:sz="0" w:space="0" w:color="auto"/>
                <w:left w:val="none" w:sz="0" w:space="0" w:color="auto"/>
                <w:bottom w:val="none" w:sz="0" w:space="0" w:color="auto"/>
                <w:right w:val="none" w:sz="0" w:space="0" w:color="auto"/>
              </w:divBdr>
              <w:divsChild>
                <w:div w:id="1808080955">
                  <w:marLeft w:val="0"/>
                  <w:marRight w:val="0"/>
                  <w:marTop w:val="0"/>
                  <w:marBottom w:val="0"/>
                  <w:divBdr>
                    <w:top w:val="none" w:sz="0" w:space="0" w:color="auto"/>
                    <w:left w:val="none" w:sz="0" w:space="0" w:color="auto"/>
                    <w:bottom w:val="none" w:sz="0" w:space="0" w:color="auto"/>
                    <w:right w:val="none" w:sz="0" w:space="0" w:color="auto"/>
                  </w:divBdr>
                  <w:divsChild>
                    <w:div w:id="1818954569">
                      <w:marLeft w:val="10"/>
                      <w:marRight w:val="0"/>
                      <w:marTop w:val="0"/>
                      <w:marBottom w:val="0"/>
                      <w:divBdr>
                        <w:top w:val="none" w:sz="0" w:space="0" w:color="auto"/>
                        <w:left w:val="none" w:sz="0" w:space="0" w:color="auto"/>
                        <w:bottom w:val="none" w:sz="0" w:space="0" w:color="auto"/>
                        <w:right w:val="none" w:sz="0" w:space="0" w:color="auto"/>
                      </w:divBdr>
                      <w:divsChild>
                        <w:div w:id="363944362">
                          <w:marLeft w:val="0"/>
                          <w:marRight w:val="0"/>
                          <w:marTop w:val="0"/>
                          <w:marBottom w:val="0"/>
                          <w:divBdr>
                            <w:top w:val="none" w:sz="0" w:space="0" w:color="auto"/>
                            <w:left w:val="none" w:sz="0" w:space="0" w:color="auto"/>
                            <w:bottom w:val="none" w:sz="0" w:space="0" w:color="auto"/>
                            <w:right w:val="none" w:sz="0" w:space="0" w:color="auto"/>
                          </w:divBdr>
                          <w:divsChild>
                            <w:div w:id="847870300">
                              <w:marLeft w:val="0"/>
                              <w:marRight w:val="0"/>
                              <w:marTop w:val="0"/>
                              <w:marBottom w:val="0"/>
                              <w:divBdr>
                                <w:top w:val="none" w:sz="0" w:space="0" w:color="auto"/>
                                <w:left w:val="none" w:sz="0" w:space="0" w:color="auto"/>
                                <w:bottom w:val="none" w:sz="0" w:space="0" w:color="auto"/>
                                <w:right w:val="none" w:sz="0" w:space="0" w:color="auto"/>
                              </w:divBdr>
                            </w:div>
                            <w:div w:id="15815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11825">
      <w:bodyDiv w:val="1"/>
      <w:marLeft w:val="0"/>
      <w:marRight w:val="0"/>
      <w:marTop w:val="0"/>
      <w:marBottom w:val="0"/>
      <w:divBdr>
        <w:top w:val="none" w:sz="0" w:space="0" w:color="auto"/>
        <w:left w:val="none" w:sz="0" w:space="0" w:color="auto"/>
        <w:bottom w:val="none" w:sz="0" w:space="0" w:color="auto"/>
        <w:right w:val="none" w:sz="0" w:space="0" w:color="auto"/>
      </w:divBdr>
    </w:div>
    <w:div w:id="139885080">
      <w:bodyDiv w:val="1"/>
      <w:marLeft w:val="0"/>
      <w:marRight w:val="0"/>
      <w:marTop w:val="0"/>
      <w:marBottom w:val="0"/>
      <w:divBdr>
        <w:top w:val="none" w:sz="0" w:space="0" w:color="auto"/>
        <w:left w:val="none" w:sz="0" w:space="0" w:color="auto"/>
        <w:bottom w:val="none" w:sz="0" w:space="0" w:color="auto"/>
        <w:right w:val="none" w:sz="0" w:space="0" w:color="auto"/>
      </w:divBdr>
      <w:divsChild>
        <w:div w:id="2114587982">
          <w:marLeft w:val="0"/>
          <w:marRight w:val="0"/>
          <w:marTop w:val="0"/>
          <w:marBottom w:val="0"/>
          <w:divBdr>
            <w:top w:val="none" w:sz="0" w:space="0" w:color="auto"/>
            <w:left w:val="none" w:sz="0" w:space="0" w:color="auto"/>
            <w:bottom w:val="none" w:sz="0" w:space="0" w:color="auto"/>
            <w:right w:val="none" w:sz="0" w:space="0" w:color="auto"/>
          </w:divBdr>
          <w:divsChild>
            <w:div w:id="517086340">
              <w:marLeft w:val="0"/>
              <w:marRight w:val="0"/>
              <w:marTop w:val="0"/>
              <w:marBottom w:val="0"/>
              <w:divBdr>
                <w:top w:val="none" w:sz="0" w:space="0" w:color="auto"/>
                <w:left w:val="none" w:sz="0" w:space="0" w:color="auto"/>
                <w:bottom w:val="none" w:sz="0" w:space="0" w:color="auto"/>
                <w:right w:val="none" w:sz="0" w:space="0" w:color="auto"/>
              </w:divBdr>
              <w:divsChild>
                <w:div w:id="1855801350">
                  <w:marLeft w:val="0"/>
                  <w:marRight w:val="0"/>
                  <w:marTop w:val="0"/>
                  <w:marBottom w:val="0"/>
                  <w:divBdr>
                    <w:top w:val="none" w:sz="0" w:space="0" w:color="auto"/>
                    <w:left w:val="none" w:sz="0" w:space="0" w:color="auto"/>
                    <w:bottom w:val="none" w:sz="0" w:space="0" w:color="auto"/>
                    <w:right w:val="none" w:sz="0" w:space="0" w:color="auto"/>
                  </w:divBdr>
                  <w:divsChild>
                    <w:div w:id="1559244776">
                      <w:marLeft w:val="10"/>
                      <w:marRight w:val="0"/>
                      <w:marTop w:val="0"/>
                      <w:marBottom w:val="0"/>
                      <w:divBdr>
                        <w:top w:val="none" w:sz="0" w:space="0" w:color="auto"/>
                        <w:left w:val="none" w:sz="0" w:space="0" w:color="auto"/>
                        <w:bottom w:val="none" w:sz="0" w:space="0" w:color="auto"/>
                        <w:right w:val="none" w:sz="0" w:space="0" w:color="auto"/>
                      </w:divBdr>
                      <w:divsChild>
                        <w:div w:id="683090298">
                          <w:marLeft w:val="0"/>
                          <w:marRight w:val="0"/>
                          <w:marTop w:val="0"/>
                          <w:marBottom w:val="0"/>
                          <w:divBdr>
                            <w:top w:val="none" w:sz="0" w:space="0" w:color="auto"/>
                            <w:left w:val="none" w:sz="0" w:space="0" w:color="auto"/>
                            <w:bottom w:val="none" w:sz="0" w:space="0" w:color="auto"/>
                            <w:right w:val="none" w:sz="0" w:space="0" w:color="auto"/>
                          </w:divBdr>
                          <w:divsChild>
                            <w:div w:id="45105352">
                              <w:marLeft w:val="0"/>
                              <w:marRight w:val="0"/>
                              <w:marTop w:val="0"/>
                              <w:marBottom w:val="0"/>
                              <w:divBdr>
                                <w:top w:val="none" w:sz="0" w:space="0" w:color="auto"/>
                                <w:left w:val="none" w:sz="0" w:space="0" w:color="auto"/>
                                <w:bottom w:val="none" w:sz="0" w:space="0" w:color="auto"/>
                                <w:right w:val="none" w:sz="0" w:space="0" w:color="auto"/>
                              </w:divBdr>
                            </w:div>
                            <w:div w:id="360594204">
                              <w:marLeft w:val="0"/>
                              <w:marRight w:val="0"/>
                              <w:marTop w:val="0"/>
                              <w:marBottom w:val="0"/>
                              <w:divBdr>
                                <w:top w:val="none" w:sz="0" w:space="0" w:color="auto"/>
                                <w:left w:val="none" w:sz="0" w:space="0" w:color="auto"/>
                                <w:bottom w:val="none" w:sz="0" w:space="0" w:color="auto"/>
                                <w:right w:val="none" w:sz="0" w:space="0" w:color="auto"/>
                              </w:divBdr>
                            </w:div>
                            <w:div w:id="925117740">
                              <w:marLeft w:val="0"/>
                              <w:marRight w:val="0"/>
                              <w:marTop w:val="0"/>
                              <w:marBottom w:val="0"/>
                              <w:divBdr>
                                <w:top w:val="none" w:sz="0" w:space="0" w:color="auto"/>
                                <w:left w:val="none" w:sz="0" w:space="0" w:color="auto"/>
                                <w:bottom w:val="none" w:sz="0" w:space="0" w:color="auto"/>
                                <w:right w:val="none" w:sz="0" w:space="0" w:color="auto"/>
                              </w:divBdr>
                            </w:div>
                            <w:div w:id="1169758272">
                              <w:marLeft w:val="0"/>
                              <w:marRight w:val="0"/>
                              <w:marTop w:val="0"/>
                              <w:marBottom w:val="0"/>
                              <w:divBdr>
                                <w:top w:val="none" w:sz="0" w:space="0" w:color="auto"/>
                                <w:left w:val="none" w:sz="0" w:space="0" w:color="auto"/>
                                <w:bottom w:val="none" w:sz="0" w:space="0" w:color="auto"/>
                                <w:right w:val="none" w:sz="0" w:space="0" w:color="auto"/>
                              </w:divBdr>
                            </w:div>
                            <w:div w:id="14133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9189">
      <w:bodyDiv w:val="1"/>
      <w:marLeft w:val="0"/>
      <w:marRight w:val="0"/>
      <w:marTop w:val="0"/>
      <w:marBottom w:val="0"/>
      <w:divBdr>
        <w:top w:val="none" w:sz="0" w:space="0" w:color="auto"/>
        <w:left w:val="none" w:sz="0" w:space="0" w:color="auto"/>
        <w:bottom w:val="none" w:sz="0" w:space="0" w:color="auto"/>
        <w:right w:val="none" w:sz="0" w:space="0" w:color="auto"/>
      </w:divBdr>
      <w:divsChild>
        <w:div w:id="408697233">
          <w:marLeft w:val="0"/>
          <w:marRight w:val="0"/>
          <w:marTop w:val="0"/>
          <w:marBottom w:val="0"/>
          <w:divBdr>
            <w:top w:val="none" w:sz="0" w:space="0" w:color="auto"/>
            <w:left w:val="none" w:sz="0" w:space="0" w:color="auto"/>
            <w:bottom w:val="none" w:sz="0" w:space="0" w:color="auto"/>
            <w:right w:val="none" w:sz="0" w:space="0" w:color="auto"/>
          </w:divBdr>
          <w:divsChild>
            <w:div w:id="1351225789">
              <w:marLeft w:val="0"/>
              <w:marRight w:val="0"/>
              <w:marTop w:val="0"/>
              <w:marBottom w:val="0"/>
              <w:divBdr>
                <w:top w:val="none" w:sz="0" w:space="0" w:color="auto"/>
                <w:left w:val="none" w:sz="0" w:space="0" w:color="auto"/>
                <w:bottom w:val="none" w:sz="0" w:space="0" w:color="auto"/>
                <w:right w:val="none" w:sz="0" w:space="0" w:color="auto"/>
              </w:divBdr>
              <w:divsChild>
                <w:div w:id="816605901">
                  <w:marLeft w:val="0"/>
                  <w:marRight w:val="0"/>
                  <w:marTop w:val="0"/>
                  <w:marBottom w:val="0"/>
                  <w:divBdr>
                    <w:top w:val="none" w:sz="0" w:space="0" w:color="auto"/>
                    <w:left w:val="none" w:sz="0" w:space="0" w:color="auto"/>
                    <w:bottom w:val="none" w:sz="0" w:space="0" w:color="auto"/>
                    <w:right w:val="none" w:sz="0" w:space="0" w:color="auto"/>
                  </w:divBdr>
                  <w:divsChild>
                    <w:div w:id="1917937506">
                      <w:marLeft w:val="10"/>
                      <w:marRight w:val="0"/>
                      <w:marTop w:val="0"/>
                      <w:marBottom w:val="0"/>
                      <w:divBdr>
                        <w:top w:val="none" w:sz="0" w:space="0" w:color="auto"/>
                        <w:left w:val="none" w:sz="0" w:space="0" w:color="auto"/>
                        <w:bottom w:val="none" w:sz="0" w:space="0" w:color="auto"/>
                        <w:right w:val="none" w:sz="0" w:space="0" w:color="auto"/>
                      </w:divBdr>
                      <w:divsChild>
                        <w:div w:id="1457721962">
                          <w:marLeft w:val="0"/>
                          <w:marRight w:val="0"/>
                          <w:marTop w:val="0"/>
                          <w:marBottom w:val="0"/>
                          <w:divBdr>
                            <w:top w:val="none" w:sz="0" w:space="0" w:color="auto"/>
                            <w:left w:val="none" w:sz="0" w:space="0" w:color="auto"/>
                            <w:bottom w:val="none" w:sz="0" w:space="0" w:color="auto"/>
                            <w:right w:val="none" w:sz="0" w:space="0" w:color="auto"/>
                          </w:divBdr>
                          <w:divsChild>
                            <w:div w:id="46228602">
                              <w:marLeft w:val="0"/>
                              <w:marRight w:val="0"/>
                              <w:marTop w:val="0"/>
                              <w:marBottom w:val="0"/>
                              <w:divBdr>
                                <w:top w:val="none" w:sz="0" w:space="0" w:color="auto"/>
                                <w:left w:val="none" w:sz="0" w:space="0" w:color="auto"/>
                                <w:bottom w:val="none" w:sz="0" w:space="0" w:color="auto"/>
                                <w:right w:val="none" w:sz="0" w:space="0" w:color="auto"/>
                              </w:divBdr>
                            </w:div>
                            <w:div w:id="777916822">
                              <w:marLeft w:val="0"/>
                              <w:marRight w:val="0"/>
                              <w:marTop w:val="0"/>
                              <w:marBottom w:val="0"/>
                              <w:divBdr>
                                <w:top w:val="none" w:sz="0" w:space="0" w:color="auto"/>
                                <w:left w:val="none" w:sz="0" w:space="0" w:color="auto"/>
                                <w:bottom w:val="none" w:sz="0" w:space="0" w:color="auto"/>
                                <w:right w:val="none" w:sz="0" w:space="0" w:color="auto"/>
                              </w:divBdr>
                            </w:div>
                            <w:div w:id="839928735">
                              <w:marLeft w:val="0"/>
                              <w:marRight w:val="0"/>
                              <w:marTop w:val="0"/>
                              <w:marBottom w:val="0"/>
                              <w:divBdr>
                                <w:top w:val="none" w:sz="0" w:space="0" w:color="auto"/>
                                <w:left w:val="none" w:sz="0" w:space="0" w:color="auto"/>
                                <w:bottom w:val="none" w:sz="0" w:space="0" w:color="auto"/>
                                <w:right w:val="none" w:sz="0" w:space="0" w:color="auto"/>
                              </w:divBdr>
                            </w:div>
                            <w:div w:id="1078479370">
                              <w:marLeft w:val="0"/>
                              <w:marRight w:val="0"/>
                              <w:marTop w:val="0"/>
                              <w:marBottom w:val="0"/>
                              <w:divBdr>
                                <w:top w:val="none" w:sz="0" w:space="0" w:color="auto"/>
                                <w:left w:val="none" w:sz="0" w:space="0" w:color="auto"/>
                                <w:bottom w:val="none" w:sz="0" w:space="0" w:color="auto"/>
                                <w:right w:val="none" w:sz="0" w:space="0" w:color="auto"/>
                              </w:divBdr>
                            </w:div>
                            <w:div w:id="1119883311">
                              <w:marLeft w:val="0"/>
                              <w:marRight w:val="0"/>
                              <w:marTop w:val="0"/>
                              <w:marBottom w:val="0"/>
                              <w:divBdr>
                                <w:top w:val="none" w:sz="0" w:space="0" w:color="auto"/>
                                <w:left w:val="none" w:sz="0" w:space="0" w:color="auto"/>
                                <w:bottom w:val="none" w:sz="0" w:space="0" w:color="auto"/>
                                <w:right w:val="none" w:sz="0" w:space="0" w:color="auto"/>
                              </w:divBdr>
                            </w:div>
                            <w:div w:id="1673220372">
                              <w:marLeft w:val="0"/>
                              <w:marRight w:val="0"/>
                              <w:marTop w:val="0"/>
                              <w:marBottom w:val="0"/>
                              <w:divBdr>
                                <w:top w:val="none" w:sz="0" w:space="0" w:color="auto"/>
                                <w:left w:val="none" w:sz="0" w:space="0" w:color="auto"/>
                                <w:bottom w:val="none" w:sz="0" w:space="0" w:color="auto"/>
                                <w:right w:val="none" w:sz="0" w:space="0" w:color="auto"/>
                              </w:divBdr>
                            </w:div>
                            <w:div w:id="20595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399500">
      <w:bodyDiv w:val="1"/>
      <w:marLeft w:val="0"/>
      <w:marRight w:val="0"/>
      <w:marTop w:val="0"/>
      <w:marBottom w:val="0"/>
      <w:divBdr>
        <w:top w:val="none" w:sz="0" w:space="0" w:color="auto"/>
        <w:left w:val="none" w:sz="0" w:space="0" w:color="auto"/>
        <w:bottom w:val="none" w:sz="0" w:space="0" w:color="auto"/>
        <w:right w:val="none" w:sz="0" w:space="0" w:color="auto"/>
      </w:divBdr>
      <w:divsChild>
        <w:div w:id="1285652376">
          <w:marLeft w:val="0"/>
          <w:marRight w:val="0"/>
          <w:marTop w:val="0"/>
          <w:marBottom w:val="0"/>
          <w:divBdr>
            <w:top w:val="none" w:sz="0" w:space="0" w:color="auto"/>
            <w:left w:val="none" w:sz="0" w:space="0" w:color="auto"/>
            <w:bottom w:val="none" w:sz="0" w:space="0" w:color="auto"/>
            <w:right w:val="none" w:sz="0" w:space="0" w:color="auto"/>
          </w:divBdr>
          <w:divsChild>
            <w:div w:id="1493596420">
              <w:marLeft w:val="0"/>
              <w:marRight w:val="0"/>
              <w:marTop w:val="0"/>
              <w:marBottom w:val="0"/>
              <w:divBdr>
                <w:top w:val="none" w:sz="0" w:space="0" w:color="auto"/>
                <w:left w:val="none" w:sz="0" w:space="0" w:color="auto"/>
                <w:bottom w:val="none" w:sz="0" w:space="0" w:color="auto"/>
                <w:right w:val="none" w:sz="0" w:space="0" w:color="auto"/>
              </w:divBdr>
              <w:divsChild>
                <w:div w:id="1485511107">
                  <w:marLeft w:val="0"/>
                  <w:marRight w:val="0"/>
                  <w:marTop w:val="0"/>
                  <w:marBottom w:val="0"/>
                  <w:divBdr>
                    <w:top w:val="none" w:sz="0" w:space="0" w:color="auto"/>
                    <w:left w:val="none" w:sz="0" w:space="0" w:color="auto"/>
                    <w:bottom w:val="none" w:sz="0" w:space="0" w:color="auto"/>
                    <w:right w:val="none" w:sz="0" w:space="0" w:color="auto"/>
                  </w:divBdr>
                  <w:divsChild>
                    <w:div w:id="1569461662">
                      <w:marLeft w:val="10"/>
                      <w:marRight w:val="0"/>
                      <w:marTop w:val="0"/>
                      <w:marBottom w:val="0"/>
                      <w:divBdr>
                        <w:top w:val="none" w:sz="0" w:space="0" w:color="auto"/>
                        <w:left w:val="none" w:sz="0" w:space="0" w:color="auto"/>
                        <w:bottom w:val="none" w:sz="0" w:space="0" w:color="auto"/>
                        <w:right w:val="none" w:sz="0" w:space="0" w:color="auto"/>
                      </w:divBdr>
                      <w:divsChild>
                        <w:div w:id="2870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87125">
      <w:bodyDiv w:val="1"/>
      <w:marLeft w:val="0"/>
      <w:marRight w:val="0"/>
      <w:marTop w:val="0"/>
      <w:marBottom w:val="0"/>
      <w:divBdr>
        <w:top w:val="none" w:sz="0" w:space="0" w:color="auto"/>
        <w:left w:val="none" w:sz="0" w:space="0" w:color="auto"/>
        <w:bottom w:val="none" w:sz="0" w:space="0" w:color="auto"/>
        <w:right w:val="none" w:sz="0" w:space="0" w:color="auto"/>
      </w:divBdr>
      <w:divsChild>
        <w:div w:id="1250980">
          <w:marLeft w:val="0"/>
          <w:marRight w:val="0"/>
          <w:marTop w:val="0"/>
          <w:marBottom w:val="0"/>
          <w:divBdr>
            <w:top w:val="none" w:sz="0" w:space="0" w:color="auto"/>
            <w:left w:val="none" w:sz="0" w:space="0" w:color="auto"/>
            <w:bottom w:val="none" w:sz="0" w:space="0" w:color="auto"/>
            <w:right w:val="none" w:sz="0" w:space="0" w:color="auto"/>
          </w:divBdr>
          <w:divsChild>
            <w:div w:id="975187611">
              <w:marLeft w:val="0"/>
              <w:marRight w:val="0"/>
              <w:marTop w:val="0"/>
              <w:marBottom w:val="0"/>
              <w:divBdr>
                <w:top w:val="none" w:sz="0" w:space="0" w:color="auto"/>
                <w:left w:val="none" w:sz="0" w:space="0" w:color="auto"/>
                <w:bottom w:val="none" w:sz="0" w:space="0" w:color="auto"/>
                <w:right w:val="none" w:sz="0" w:space="0" w:color="auto"/>
              </w:divBdr>
              <w:divsChild>
                <w:div w:id="782848210">
                  <w:marLeft w:val="0"/>
                  <w:marRight w:val="0"/>
                  <w:marTop w:val="0"/>
                  <w:marBottom w:val="0"/>
                  <w:divBdr>
                    <w:top w:val="none" w:sz="0" w:space="0" w:color="auto"/>
                    <w:left w:val="none" w:sz="0" w:space="0" w:color="auto"/>
                    <w:bottom w:val="none" w:sz="0" w:space="0" w:color="auto"/>
                    <w:right w:val="none" w:sz="0" w:space="0" w:color="auto"/>
                  </w:divBdr>
                  <w:divsChild>
                    <w:div w:id="47730428">
                      <w:marLeft w:val="10"/>
                      <w:marRight w:val="0"/>
                      <w:marTop w:val="0"/>
                      <w:marBottom w:val="0"/>
                      <w:divBdr>
                        <w:top w:val="none" w:sz="0" w:space="0" w:color="auto"/>
                        <w:left w:val="none" w:sz="0" w:space="0" w:color="auto"/>
                        <w:bottom w:val="none" w:sz="0" w:space="0" w:color="auto"/>
                        <w:right w:val="none" w:sz="0" w:space="0" w:color="auto"/>
                      </w:divBdr>
                      <w:divsChild>
                        <w:div w:id="1251159070">
                          <w:marLeft w:val="0"/>
                          <w:marRight w:val="0"/>
                          <w:marTop w:val="0"/>
                          <w:marBottom w:val="0"/>
                          <w:divBdr>
                            <w:top w:val="none" w:sz="0" w:space="0" w:color="auto"/>
                            <w:left w:val="none" w:sz="0" w:space="0" w:color="auto"/>
                            <w:bottom w:val="none" w:sz="0" w:space="0" w:color="auto"/>
                            <w:right w:val="none" w:sz="0" w:space="0" w:color="auto"/>
                          </w:divBdr>
                          <w:divsChild>
                            <w:div w:id="108595685">
                              <w:marLeft w:val="0"/>
                              <w:marRight w:val="0"/>
                              <w:marTop w:val="0"/>
                              <w:marBottom w:val="0"/>
                              <w:divBdr>
                                <w:top w:val="none" w:sz="0" w:space="0" w:color="auto"/>
                                <w:left w:val="none" w:sz="0" w:space="0" w:color="auto"/>
                                <w:bottom w:val="none" w:sz="0" w:space="0" w:color="auto"/>
                                <w:right w:val="none" w:sz="0" w:space="0" w:color="auto"/>
                              </w:divBdr>
                            </w:div>
                            <w:div w:id="276180423">
                              <w:marLeft w:val="0"/>
                              <w:marRight w:val="0"/>
                              <w:marTop w:val="0"/>
                              <w:marBottom w:val="0"/>
                              <w:divBdr>
                                <w:top w:val="none" w:sz="0" w:space="0" w:color="auto"/>
                                <w:left w:val="none" w:sz="0" w:space="0" w:color="auto"/>
                                <w:bottom w:val="none" w:sz="0" w:space="0" w:color="auto"/>
                                <w:right w:val="none" w:sz="0" w:space="0" w:color="auto"/>
                              </w:divBdr>
                            </w:div>
                            <w:div w:id="386421040">
                              <w:marLeft w:val="0"/>
                              <w:marRight w:val="0"/>
                              <w:marTop w:val="0"/>
                              <w:marBottom w:val="0"/>
                              <w:divBdr>
                                <w:top w:val="none" w:sz="0" w:space="0" w:color="auto"/>
                                <w:left w:val="none" w:sz="0" w:space="0" w:color="auto"/>
                                <w:bottom w:val="none" w:sz="0" w:space="0" w:color="auto"/>
                                <w:right w:val="none" w:sz="0" w:space="0" w:color="auto"/>
                              </w:divBdr>
                            </w:div>
                            <w:div w:id="817265569">
                              <w:marLeft w:val="0"/>
                              <w:marRight w:val="0"/>
                              <w:marTop w:val="0"/>
                              <w:marBottom w:val="0"/>
                              <w:divBdr>
                                <w:top w:val="none" w:sz="0" w:space="0" w:color="auto"/>
                                <w:left w:val="none" w:sz="0" w:space="0" w:color="auto"/>
                                <w:bottom w:val="none" w:sz="0" w:space="0" w:color="auto"/>
                                <w:right w:val="none" w:sz="0" w:space="0" w:color="auto"/>
                              </w:divBdr>
                            </w:div>
                            <w:div w:id="1355226201">
                              <w:marLeft w:val="0"/>
                              <w:marRight w:val="0"/>
                              <w:marTop w:val="0"/>
                              <w:marBottom w:val="0"/>
                              <w:divBdr>
                                <w:top w:val="none" w:sz="0" w:space="0" w:color="auto"/>
                                <w:left w:val="none" w:sz="0" w:space="0" w:color="auto"/>
                                <w:bottom w:val="none" w:sz="0" w:space="0" w:color="auto"/>
                                <w:right w:val="none" w:sz="0" w:space="0" w:color="auto"/>
                              </w:divBdr>
                            </w:div>
                            <w:div w:id="16614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208188">
      <w:bodyDiv w:val="1"/>
      <w:marLeft w:val="0"/>
      <w:marRight w:val="0"/>
      <w:marTop w:val="0"/>
      <w:marBottom w:val="0"/>
      <w:divBdr>
        <w:top w:val="none" w:sz="0" w:space="0" w:color="auto"/>
        <w:left w:val="none" w:sz="0" w:space="0" w:color="auto"/>
        <w:bottom w:val="none" w:sz="0" w:space="0" w:color="auto"/>
        <w:right w:val="none" w:sz="0" w:space="0" w:color="auto"/>
      </w:divBdr>
      <w:divsChild>
        <w:div w:id="1904636626">
          <w:marLeft w:val="0"/>
          <w:marRight w:val="0"/>
          <w:marTop w:val="0"/>
          <w:marBottom w:val="0"/>
          <w:divBdr>
            <w:top w:val="none" w:sz="0" w:space="0" w:color="auto"/>
            <w:left w:val="none" w:sz="0" w:space="0" w:color="auto"/>
            <w:bottom w:val="none" w:sz="0" w:space="0" w:color="auto"/>
            <w:right w:val="none" w:sz="0" w:space="0" w:color="auto"/>
          </w:divBdr>
          <w:divsChild>
            <w:div w:id="980233926">
              <w:marLeft w:val="0"/>
              <w:marRight w:val="0"/>
              <w:marTop w:val="0"/>
              <w:marBottom w:val="0"/>
              <w:divBdr>
                <w:top w:val="none" w:sz="0" w:space="0" w:color="auto"/>
                <w:left w:val="none" w:sz="0" w:space="0" w:color="auto"/>
                <w:bottom w:val="none" w:sz="0" w:space="0" w:color="auto"/>
                <w:right w:val="none" w:sz="0" w:space="0" w:color="auto"/>
              </w:divBdr>
              <w:divsChild>
                <w:div w:id="1892113716">
                  <w:marLeft w:val="0"/>
                  <w:marRight w:val="0"/>
                  <w:marTop w:val="0"/>
                  <w:marBottom w:val="0"/>
                  <w:divBdr>
                    <w:top w:val="none" w:sz="0" w:space="0" w:color="auto"/>
                    <w:left w:val="none" w:sz="0" w:space="0" w:color="auto"/>
                    <w:bottom w:val="none" w:sz="0" w:space="0" w:color="auto"/>
                    <w:right w:val="none" w:sz="0" w:space="0" w:color="auto"/>
                  </w:divBdr>
                  <w:divsChild>
                    <w:div w:id="850530748">
                      <w:marLeft w:val="10"/>
                      <w:marRight w:val="0"/>
                      <w:marTop w:val="0"/>
                      <w:marBottom w:val="0"/>
                      <w:divBdr>
                        <w:top w:val="none" w:sz="0" w:space="0" w:color="auto"/>
                        <w:left w:val="none" w:sz="0" w:space="0" w:color="auto"/>
                        <w:bottom w:val="none" w:sz="0" w:space="0" w:color="auto"/>
                        <w:right w:val="none" w:sz="0" w:space="0" w:color="auto"/>
                      </w:divBdr>
                      <w:divsChild>
                        <w:div w:id="2142914159">
                          <w:marLeft w:val="0"/>
                          <w:marRight w:val="0"/>
                          <w:marTop w:val="0"/>
                          <w:marBottom w:val="0"/>
                          <w:divBdr>
                            <w:top w:val="none" w:sz="0" w:space="0" w:color="auto"/>
                            <w:left w:val="none" w:sz="0" w:space="0" w:color="auto"/>
                            <w:bottom w:val="none" w:sz="0" w:space="0" w:color="auto"/>
                            <w:right w:val="none" w:sz="0" w:space="0" w:color="auto"/>
                          </w:divBdr>
                          <w:divsChild>
                            <w:div w:id="358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48266">
      <w:bodyDiv w:val="1"/>
      <w:marLeft w:val="0"/>
      <w:marRight w:val="0"/>
      <w:marTop w:val="0"/>
      <w:marBottom w:val="0"/>
      <w:divBdr>
        <w:top w:val="none" w:sz="0" w:space="0" w:color="auto"/>
        <w:left w:val="none" w:sz="0" w:space="0" w:color="auto"/>
        <w:bottom w:val="none" w:sz="0" w:space="0" w:color="auto"/>
        <w:right w:val="none" w:sz="0" w:space="0" w:color="auto"/>
      </w:divBdr>
    </w:div>
    <w:div w:id="721365059">
      <w:bodyDiv w:val="1"/>
      <w:marLeft w:val="0"/>
      <w:marRight w:val="0"/>
      <w:marTop w:val="0"/>
      <w:marBottom w:val="0"/>
      <w:divBdr>
        <w:top w:val="none" w:sz="0" w:space="0" w:color="auto"/>
        <w:left w:val="none" w:sz="0" w:space="0" w:color="auto"/>
        <w:bottom w:val="none" w:sz="0" w:space="0" w:color="auto"/>
        <w:right w:val="none" w:sz="0" w:space="0" w:color="auto"/>
      </w:divBdr>
    </w:div>
    <w:div w:id="780035288">
      <w:bodyDiv w:val="1"/>
      <w:marLeft w:val="0"/>
      <w:marRight w:val="0"/>
      <w:marTop w:val="0"/>
      <w:marBottom w:val="0"/>
      <w:divBdr>
        <w:top w:val="none" w:sz="0" w:space="0" w:color="auto"/>
        <w:left w:val="none" w:sz="0" w:space="0" w:color="auto"/>
        <w:bottom w:val="none" w:sz="0" w:space="0" w:color="auto"/>
        <w:right w:val="none" w:sz="0" w:space="0" w:color="auto"/>
      </w:divBdr>
      <w:divsChild>
        <w:div w:id="1989476537">
          <w:marLeft w:val="0"/>
          <w:marRight w:val="0"/>
          <w:marTop w:val="0"/>
          <w:marBottom w:val="0"/>
          <w:divBdr>
            <w:top w:val="none" w:sz="0" w:space="0" w:color="auto"/>
            <w:left w:val="none" w:sz="0" w:space="0" w:color="auto"/>
            <w:bottom w:val="none" w:sz="0" w:space="0" w:color="auto"/>
            <w:right w:val="none" w:sz="0" w:space="0" w:color="auto"/>
          </w:divBdr>
          <w:divsChild>
            <w:div w:id="988679392">
              <w:marLeft w:val="0"/>
              <w:marRight w:val="0"/>
              <w:marTop w:val="0"/>
              <w:marBottom w:val="0"/>
              <w:divBdr>
                <w:top w:val="none" w:sz="0" w:space="0" w:color="auto"/>
                <w:left w:val="none" w:sz="0" w:space="0" w:color="auto"/>
                <w:bottom w:val="none" w:sz="0" w:space="0" w:color="auto"/>
                <w:right w:val="none" w:sz="0" w:space="0" w:color="auto"/>
              </w:divBdr>
              <w:divsChild>
                <w:div w:id="1617247097">
                  <w:marLeft w:val="0"/>
                  <w:marRight w:val="0"/>
                  <w:marTop w:val="0"/>
                  <w:marBottom w:val="0"/>
                  <w:divBdr>
                    <w:top w:val="none" w:sz="0" w:space="0" w:color="auto"/>
                    <w:left w:val="none" w:sz="0" w:space="0" w:color="auto"/>
                    <w:bottom w:val="none" w:sz="0" w:space="0" w:color="auto"/>
                    <w:right w:val="none" w:sz="0" w:space="0" w:color="auto"/>
                  </w:divBdr>
                  <w:divsChild>
                    <w:div w:id="1390347964">
                      <w:marLeft w:val="10"/>
                      <w:marRight w:val="0"/>
                      <w:marTop w:val="0"/>
                      <w:marBottom w:val="0"/>
                      <w:divBdr>
                        <w:top w:val="none" w:sz="0" w:space="0" w:color="auto"/>
                        <w:left w:val="none" w:sz="0" w:space="0" w:color="auto"/>
                        <w:bottom w:val="none" w:sz="0" w:space="0" w:color="auto"/>
                        <w:right w:val="none" w:sz="0" w:space="0" w:color="auto"/>
                      </w:divBdr>
                      <w:divsChild>
                        <w:div w:id="928781606">
                          <w:marLeft w:val="0"/>
                          <w:marRight w:val="0"/>
                          <w:marTop w:val="0"/>
                          <w:marBottom w:val="0"/>
                          <w:divBdr>
                            <w:top w:val="none" w:sz="0" w:space="0" w:color="auto"/>
                            <w:left w:val="none" w:sz="0" w:space="0" w:color="auto"/>
                            <w:bottom w:val="none" w:sz="0" w:space="0" w:color="auto"/>
                            <w:right w:val="none" w:sz="0" w:space="0" w:color="auto"/>
                          </w:divBdr>
                          <w:divsChild>
                            <w:div w:id="198905156">
                              <w:marLeft w:val="0"/>
                              <w:marRight w:val="0"/>
                              <w:marTop w:val="0"/>
                              <w:marBottom w:val="0"/>
                              <w:divBdr>
                                <w:top w:val="none" w:sz="0" w:space="0" w:color="auto"/>
                                <w:left w:val="none" w:sz="0" w:space="0" w:color="auto"/>
                                <w:bottom w:val="none" w:sz="0" w:space="0" w:color="auto"/>
                                <w:right w:val="none" w:sz="0" w:space="0" w:color="auto"/>
                              </w:divBdr>
                            </w:div>
                            <w:div w:id="241909477">
                              <w:marLeft w:val="0"/>
                              <w:marRight w:val="0"/>
                              <w:marTop w:val="0"/>
                              <w:marBottom w:val="0"/>
                              <w:divBdr>
                                <w:top w:val="none" w:sz="0" w:space="0" w:color="auto"/>
                                <w:left w:val="none" w:sz="0" w:space="0" w:color="auto"/>
                                <w:bottom w:val="none" w:sz="0" w:space="0" w:color="auto"/>
                                <w:right w:val="none" w:sz="0" w:space="0" w:color="auto"/>
                              </w:divBdr>
                            </w:div>
                            <w:div w:id="19995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104475">
      <w:bodyDiv w:val="1"/>
      <w:marLeft w:val="0"/>
      <w:marRight w:val="0"/>
      <w:marTop w:val="0"/>
      <w:marBottom w:val="0"/>
      <w:divBdr>
        <w:top w:val="none" w:sz="0" w:space="0" w:color="auto"/>
        <w:left w:val="none" w:sz="0" w:space="0" w:color="auto"/>
        <w:bottom w:val="none" w:sz="0" w:space="0" w:color="auto"/>
        <w:right w:val="none" w:sz="0" w:space="0" w:color="auto"/>
      </w:divBdr>
    </w:div>
    <w:div w:id="1047140241">
      <w:bodyDiv w:val="1"/>
      <w:marLeft w:val="0"/>
      <w:marRight w:val="0"/>
      <w:marTop w:val="0"/>
      <w:marBottom w:val="0"/>
      <w:divBdr>
        <w:top w:val="none" w:sz="0" w:space="0" w:color="auto"/>
        <w:left w:val="none" w:sz="0" w:space="0" w:color="auto"/>
        <w:bottom w:val="none" w:sz="0" w:space="0" w:color="auto"/>
        <w:right w:val="none" w:sz="0" w:space="0" w:color="auto"/>
      </w:divBdr>
    </w:div>
    <w:div w:id="1101756485">
      <w:bodyDiv w:val="1"/>
      <w:marLeft w:val="0"/>
      <w:marRight w:val="0"/>
      <w:marTop w:val="0"/>
      <w:marBottom w:val="0"/>
      <w:divBdr>
        <w:top w:val="none" w:sz="0" w:space="0" w:color="auto"/>
        <w:left w:val="none" w:sz="0" w:space="0" w:color="auto"/>
        <w:bottom w:val="none" w:sz="0" w:space="0" w:color="auto"/>
        <w:right w:val="none" w:sz="0" w:space="0" w:color="auto"/>
      </w:divBdr>
    </w:div>
    <w:div w:id="1174030022">
      <w:bodyDiv w:val="1"/>
      <w:marLeft w:val="0"/>
      <w:marRight w:val="0"/>
      <w:marTop w:val="0"/>
      <w:marBottom w:val="0"/>
      <w:divBdr>
        <w:top w:val="none" w:sz="0" w:space="0" w:color="auto"/>
        <w:left w:val="none" w:sz="0" w:space="0" w:color="auto"/>
        <w:bottom w:val="none" w:sz="0" w:space="0" w:color="auto"/>
        <w:right w:val="none" w:sz="0" w:space="0" w:color="auto"/>
      </w:divBdr>
      <w:divsChild>
        <w:div w:id="331183678">
          <w:marLeft w:val="0"/>
          <w:marRight w:val="0"/>
          <w:marTop w:val="0"/>
          <w:marBottom w:val="0"/>
          <w:divBdr>
            <w:top w:val="none" w:sz="0" w:space="0" w:color="auto"/>
            <w:left w:val="none" w:sz="0" w:space="0" w:color="auto"/>
            <w:bottom w:val="none" w:sz="0" w:space="0" w:color="auto"/>
            <w:right w:val="none" w:sz="0" w:space="0" w:color="auto"/>
          </w:divBdr>
          <w:divsChild>
            <w:div w:id="15242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912">
      <w:bodyDiv w:val="1"/>
      <w:marLeft w:val="0"/>
      <w:marRight w:val="0"/>
      <w:marTop w:val="0"/>
      <w:marBottom w:val="0"/>
      <w:divBdr>
        <w:top w:val="none" w:sz="0" w:space="0" w:color="auto"/>
        <w:left w:val="none" w:sz="0" w:space="0" w:color="auto"/>
        <w:bottom w:val="none" w:sz="0" w:space="0" w:color="auto"/>
        <w:right w:val="none" w:sz="0" w:space="0" w:color="auto"/>
      </w:divBdr>
    </w:div>
    <w:div w:id="1475562788">
      <w:bodyDiv w:val="1"/>
      <w:marLeft w:val="0"/>
      <w:marRight w:val="0"/>
      <w:marTop w:val="0"/>
      <w:marBottom w:val="0"/>
      <w:divBdr>
        <w:top w:val="none" w:sz="0" w:space="0" w:color="auto"/>
        <w:left w:val="none" w:sz="0" w:space="0" w:color="auto"/>
        <w:bottom w:val="none" w:sz="0" w:space="0" w:color="auto"/>
        <w:right w:val="none" w:sz="0" w:space="0" w:color="auto"/>
      </w:divBdr>
      <w:divsChild>
        <w:div w:id="932081507">
          <w:marLeft w:val="0"/>
          <w:marRight w:val="0"/>
          <w:marTop w:val="0"/>
          <w:marBottom w:val="0"/>
          <w:divBdr>
            <w:top w:val="none" w:sz="0" w:space="0" w:color="auto"/>
            <w:left w:val="none" w:sz="0" w:space="0" w:color="auto"/>
            <w:bottom w:val="none" w:sz="0" w:space="0" w:color="auto"/>
            <w:right w:val="none" w:sz="0" w:space="0" w:color="auto"/>
          </w:divBdr>
          <w:divsChild>
            <w:div w:id="30691305">
              <w:marLeft w:val="0"/>
              <w:marRight w:val="0"/>
              <w:marTop w:val="0"/>
              <w:marBottom w:val="0"/>
              <w:divBdr>
                <w:top w:val="none" w:sz="0" w:space="0" w:color="auto"/>
                <w:left w:val="none" w:sz="0" w:space="0" w:color="auto"/>
                <w:bottom w:val="none" w:sz="0" w:space="0" w:color="auto"/>
                <w:right w:val="none" w:sz="0" w:space="0" w:color="auto"/>
              </w:divBdr>
              <w:divsChild>
                <w:div w:id="1823111847">
                  <w:marLeft w:val="0"/>
                  <w:marRight w:val="0"/>
                  <w:marTop w:val="0"/>
                  <w:marBottom w:val="0"/>
                  <w:divBdr>
                    <w:top w:val="none" w:sz="0" w:space="0" w:color="auto"/>
                    <w:left w:val="none" w:sz="0" w:space="0" w:color="auto"/>
                    <w:bottom w:val="none" w:sz="0" w:space="0" w:color="auto"/>
                    <w:right w:val="none" w:sz="0" w:space="0" w:color="auto"/>
                  </w:divBdr>
                  <w:divsChild>
                    <w:div w:id="1115829057">
                      <w:marLeft w:val="10"/>
                      <w:marRight w:val="0"/>
                      <w:marTop w:val="0"/>
                      <w:marBottom w:val="0"/>
                      <w:divBdr>
                        <w:top w:val="none" w:sz="0" w:space="0" w:color="auto"/>
                        <w:left w:val="none" w:sz="0" w:space="0" w:color="auto"/>
                        <w:bottom w:val="none" w:sz="0" w:space="0" w:color="auto"/>
                        <w:right w:val="none" w:sz="0" w:space="0" w:color="auto"/>
                      </w:divBdr>
                      <w:divsChild>
                        <w:div w:id="2047026020">
                          <w:marLeft w:val="0"/>
                          <w:marRight w:val="0"/>
                          <w:marTop w:val="0"/>
                          <w:marBottom w:val="0"/>
                          <w:divBdr>
                            <w:top w:val="none" w:sz="0" w:space="0" w:color="auto"/>
                            <w:left w:val="none" w:sz="0" w:space="0" w:color="auto"/>
                            <w:bottom w:val="none" w:sz="0" w:space="0" w:color="auto"/>
                            <w:right w:val="none" w:sz="0" w:space="0" w:color="auto"/>
                          </w:divBdr>
                          <w:divsChild>
                            <w:div w:id="504322554">
                              <w:marLeft w:val="0"/>
                              <w:marRight w:val="0"/>
                              <w:marTop w:val="0"/>
                              <w:marBottom w:val="0"/>
                              <w:divBdr>
                                <w:top w:val="none" w:sz="0" w:space="0" w:color="auto"/>
                                <w:left w:val="none" w:sz="0" w:space="0" w:color="auto"/>
                                <w:bottom w:val="none" w:sz="0" w:space="0" w:color="auto"/>
                                <w:right w:val="none" w:sz="0" w:space="0" w:color="auto"/>
                              </w:divBdr>
                            </w:div>
                            <w:div w:id="5135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567256">
      <w:bodyDiv w:val="1"/>
      <w:marLeft w:val="0"/>
      <w:marRight w:val="0"/>
      <w:marTop w:val="0"/>
      <w:marBottom w:val="0"/>
      <w:divBdr>
        <w:top w:val="none" w:sz="0" w:space="0" w:color="auto"/>
        <w:left w:val="none" w:sz="0" w:space="0" w:color="auto"/>
        <w:bottom w:val="none" w:sz="0" w:space="0" w:color="auto"/>
        <w:right w:val="none" w:sz="0" w:space="0" w:color="auto"/>
      </w:divBdr>
    </w:div>
    <w:div w:id="1515221358">
      <w:bodyDiv w:val="1"/>
      <w:marLeft w:val="0"/>
      <w:marRight w:val="0"/>
      <w:marTop w:val="0"/>
      <w:marBottom w:val="0"/>
      <w:divBdr>
        <w:top w:val="none" w:sz="0" w:space="0" w:color="auto"/>
        <w:left w:val="none" w:sz="0" w:space="0" w:color="auto"/>
        <w:bottom w:val="none" w:sz="0" w:space="0" w:color="auto"/>
        <w:right w:val="none" w:sz="0" w:space="0" w:color="auto"/>
      </w:divBdr>
    </w:div>
    <w:div w:id="1632901902">
      <w:bodyDiv w:val="1"/>
      <w:marLeft w:val="0"/>
      <w:marRight w:val="0"/>
      <w:marTop w:val="0"/>
      <w:marBottom w:val="0"/>
      <w:divBdr>
        <w:top w:val="none" w:sz="0" w:space="0" w:color="auto"/>
        <w:left w:val="none" w:sz="0" w:space="0" w:color="auto"/>
        <w:bottom w:val="none" w:sz="0" w:space="0" w:color="auto"/>
        <w:right w:val="none" w:sz="0" w:space="0" w:color="auto"/>
      </w:divBdr>
      <w:divsChild>
        <w:div w:id="724988225">
          <w:marLeft w:val="0"/>
          <w:marRight w:val="0"/>
          <w:marTop w:val="0"/>
          <w:marBottom w:val="0"/>
          <w:divBdr>
            <w:top w:val="none" w:sz="0" w:space="0" w:color="auto"/>
            <w:left w:val="none" w:sz="0" w:space="0" w:color="auto"/>
            <w:bottom w:val="none" w:sz="0" w:space="0" w:color="auto"/>
            <w:right w:val="none" w:sz="0" w:space="0" w:color="auto"/>
          </w:divBdr>
          <w:divsChild>
            <w:div w:id="802776129">
              <w:marLeft w:val="0"/>
              <w:marRight w:val="0"/>
              <w:marTop w:val="0"/>
              <w:marBottom w:val="0"/>
              <w:divBdr>
                <w:top w:val="none" w:sz="0" w:space="0" w:color="auto"/>
                <w:left w:val="none" w:sz="0" w:space="0" w:color="auto"/>
                <w:bottom w:val="none" w:sz="0" w:space="0" w:color="auto"/>
                <w:right w:val="none" w:sz="0" w:space="0" w:color="auto"/>
              </w:divBdr>
              <w:divsChild>
                <w:div w:id="582879093">
                  <w:marLeft w:val="0"/>
                  <w:marRight w:val="0"/>
                  <w:marTop w:val="0"/>
                  <w:marBottom w:val="0"/>
                  <w:divBdr>
                    <w:top w:val="none" w:sz="0" w:space="0" w:color="auto"/>
                    <w:left w:val="none" w:sz="0" w:space="0" w:color="auto"/>
                    <w:bottom w:val="none" w:sz="0" w:space="0" w:color="auto"/>
                    <w:right w:val="none" w:sz="0" w:space="0" w:color="auto"/>
                  </w:divBdr>
                  <w:divsChild>
                    <w:div w:id="1015309236">
                      <w:marLeft w:val="10"/>
                      <w:marRight w:val="0"/>
                      <w:marTop w:val="0"/>
                      <w:marBottom w:val="0"/>
                      <w:divBdr>
                        <w:top w:val="none" w:sz="0" w:space="0" w:color="auto"/>
                        <w:left w:val="none" w:sz="0" w:space="0" w:color="auto"/>
                        <w:bottom w:val="none" w:sz="0" w:space="0" w:color="auto"/>
                        <w:right w:val="none" w:sz="0" w:space="0" w:color="auto"/>
                      </w:divBdr>
                      <w:divsChild>
                        <w:div w:id="480775868">
                          <w:marLeft w:val="0"/>
                          <w:marRight w:val="0"/>
                          <w:marTop w:val="0"/>
                          <w:marBottom w:val="0"/>
                          <w:divBdr>
                            <w:top w:val="none" w:sz="0" w:space="0" w:color="auto"/>
                            <w:left w:val="none" w:sz="0" w:space="0" w:color="auto"/>
                            <w:bottom w:val="none" w:sz="0" w:space="0" w:color="auto"/>
                            <w:right w:val="none" w:sz="0" w:space="0" w:color="auto"/>
                          </w:divBdr>
                          <w:divsChild>
                            <w:div w:id="668679509">
                              <w:marLeft w:val="0"/>
                              <w:marRight w:val="0"/>
                              <w:marTop w:val="0"/>
                              <w:marBottom w:val="0"/>
                              <w:divBdr>
                                <w:top w:val="none" w:sz="0" w:space="0" w:color="auto"/>
                                <w:left w:val="none" w:sz="0" w:space="0" w:color="auto"/>
                                <w:bottom w:val="none" w:sz="0" w:space="0" w:color="auto"/>
                                <w:right w:val="none" w:sz="0" w:space="0" w:color="auto"/>
                              </w:divBdr>
                            </w:div>
                            <w:div w:id="10349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488432">
      <w:bodyDiv w:val="1"/>
      <w:marLeft w:val="0"/>
      <w:marRight w:val="0"/>
      <w:marTop w:val="0"/>
      <w:marBottom w:val="0"/>
      <w:divBdr>
        <w:top w:val="none" w:sz="0" w:space="0" w:color="auto"/>
        <w:left w:val="none" w:sz="0" w:space="0" w:color="auto"/>
        <w:bottom w:val="none" w:sz="0" w:space="0" w:color="auto"/>
        <w:right w:val="none" w:sz="0" w:space="0" w:color="auto"/>
      </w:divBdr>
    </w:div>
    <w:div w:id="1905991313">
      <w:bodyDiv w:val="1"/>
      <w:marLeft w:val="0"/>
      <w:marRight w:val="0"/>
      <w:marTop w:val="0"/>
      <w:marBottom w:val="0"/>
      <w:divBdr>
        <w:top w:val="none" w:sz="0" w:space="0" w:color="auto"/>
        <w:left w:val="none" w:sz="0" w:space="0" w:color="auto"/>
        <w:bottom w:val="none" w:sz="0" w:space="0" w:color="auto"/>
        <w:right w:val="none" w:sz="0" w:space="0" w:color="auto"/>
      </w:divBdr>
      <w:divsChild>
        <w:div w:id="1926264990">
          <w:marLeft w:val="0"/>
          <w:marRight w:val="0"/>
          <w:marTop w:val="0"/>
          <w:marBottom w:val="0"/>
          <w:divBdr>
            <w:top w:val="none" w:sz="0" w:space="0" w:color="auto"/>
            <w:left w:val="none" w:sz="0" w:space="0" w:color="auto"/>
            <w:bottom w:val="none" w:sz="0" w:space="0" w:color="auto"/>
            <w:right w:val="none" w:sz="0" w:space="0" w:color="auto"/>
          </w:divBdr>
          <w:divsChild>
            <w:div w:id="1413309180">
              <w:marLeft w:val="0"/>
              <w:marRight w:val="0"/>
              <w:marTop w:val="0"/>
              <w:marBottom w:val="0"/>
              <w:divBdr>
                <w:top w:val="none" w:sz="0" w:space="0" w:color="auto"/>
                <w:left w:val="none" w:sz="0" w:space="0" w:color="auto"/>
                <w:bottom w:val="none" w:sz="0" w:space="0" w:color="auto"/>
                <w:right w:val="none" w:sz="0" w:space="0" w:color="auto"/>
              </w:divBdr>
              <w:divsChild>
                <w:div w:id="20210127">
                  <w:marLeft w:val="0"/>
                  <w:marRight w:val="0"/>
                  <w:marTop w:val="0"/>
                  <w:marBottom w:val="0"/>
                  <w:divBdr>
                    <w:top w:val="none" w:sz="0" w:space="0" w:color="auto"/>
                    <w:left w:val="none" w:sz="0" w:space="0" w:color="auto"/>
                    <w:bottom w:val="none" w:sz="0" w:space="0" w:color="auto"/>
                    <w:right w:val="none" w:sz="0" w:space="0" w:color="auto"/>
                  </w:divBdr>
                  <w:divsChild>
                    <w:div w:id="2105152256">
                      <w:marLeft w:val="10"/>
                      <w:marRight w:val="0"/>
                      <w:marTop w:val="0"/>
                      <w:marBottom w:val="0"/>
                      <w:divBdr>
                        <w:top w:val="none" w:sz="0" w:space="0" w:color="auto"/>
                        <w:left w:val="none" w:sz="0" w:space="0" w:color="auto"/>
                        <w:bottom w:val="none" w:sz="0" w:space="0" w:color="auto"/>
                        <w:right w:val="none" w:sz="0" w:space="0" w:color="auto"/>
                      </w:divBdr>
                      <w:divsChild>
                        <w:div w:id="2065565122">
                          <w:marLeft w:val="0"/>
                          <w:marRight w:val="0"/>
                          <w:marTop w:val="0"/>
                          <w:marBottom w:val="0"/>
                          <w:divBdr>
                            <w:top w:val="none" w:sz="0" w:space="0" w:color="auto"/>
                            <w:left w:val="none" w:sz="0" w:space="0" w:color="auto"/>
                            <w:bottom w:val="none" w:sz="0" w:space="0" w:color="auto"/>
                            <w:right w:val="none" w:sz="0" w:space="0" w:color="auto"/>
                          </w:divBdr>
                          <w:divsChild>
                            <w:div w:id="591815336">
                              <w:marLeft w:val="0"/>
                              <w:marRight w:val="0"/>
                              <w:marTop w:val="0"/>
                              <w:marBottom w:val="0"/>
                              <w:divBdr>
                                <w:top w:val="none" w:sz="0" w:space="0" w:color="auto"/>
                                <w:left w:val="none" w:sz="0" w:space="0" w:color="auto"/>
                                <w:bottom w:val="none" w:sz="0" w:space="0" w:color="auto"/>
                                <w:right w:val="none" w:sz="0" w:space="0" w:color="auto"/>
                              </w:divBdr>
                            </w:div>
                            <w:div w:id="19210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910020">
      <w:bodyDiv w:val="1"/>
      <w:marLeft w:val="0"/>
      <w:marRight w:val="0"/>
      <w:marTop w:val="0"/>
      <w:marBottom w:val="0"/>
      <w:divBdr>
        <w:top w:val="none" w:sz="0" w:space="0" w:color="auto"/>
        <w:left w:val="none" w:sz="0" w:space="0" w:color="auto"/>
        <w:bottom w:val="none" w:sz="0" w:space="0" w:color="auto"/>
        <w:right w:val="none" w:sz="0" w:space="0" w:color="auto"/>
      </w:divBdr>
    </w:div>
    <w:div w:id="1984188065">
      <w:bodyDiv w:val="1"/>
      <w:marLeft w:val="0"/>
      <w:marRight w:val="0"/>
      <w:marTop w:val="0"/>
      <w:marBottom w:val="0"/>
      <w:divBdr>
        <w:top w:val="none" w:sz="0" w:space="0" w:color="auto"/>
        <w:left w:val="none" w:sz="0" w:space="0" w:color="auto"/>
        <w:bottom w:val="none" w:sz="0" w:space="0" w:color="auto"/>
        <w:right w:val="none" w:sz="0" w:space="0" w:color="auto"/>
      </w:divBdr>
    </w:div>
    <w:div w:id="1984774478">
      <w:bodyDiv w:val="1"/>
      <w:marLeft w:val="0"/>
      <w:marRight w:val="0"/>
      <w:marTop w:val="0"/>
      <w:marBottom w:val="0"/>
      <w:divBdr>
        <w:top w:val="none" w:sz="0" w:space="0" w:color="auto"/>
        <w:left w:val="none" w:sz="0" w:space="0" w:color="auto"/>
        <w:bottom w:val="none" w:sz="0" w:space="0" w:color="auto"/>
        <w:right w:val="none" w:sz="0" w:space="0" w:color="auto"/>
      </w:divBdr>
      <w:divsChild>
        <w:div w:id="201476431">
          <w:marLeft w:val="0"/>
          <w:marRight w:val="0"/>
          <w:marTop w:val="0"/>
          <w:marBottom w:val="0"/>
          <w:divBdr>
            <w:top w:val="none" w:sz="0" w:space="0" w:color="auto"/>
            <w:left w:val="none" w:sz="0" w:space="0" w:color="auto"/>
            <w:bottom w:val="none" w:sz="0" w:space="0" w:color="auto"/>
            <w:right w:val="none" w:sz="0" w:space="0" w:color="auto"/>
          </w:divBdr>
          <w:divsChild>
            <w:div w:id="1437216304">
              <w:marLeft w:val="0"/>
              <w:marRight w:val="0"/>
              <w:marTop w:val="0"/>
              <w:marBottom w:val="0"/>
              <w:divBdr>
                <w:top w:val="none" w:sz="0" w:space="0" w:color="auto"/>
                <w:left w:val="none" w:sz="0" w:space="0" w:color="auto"/>
                <w:bottom w:val="none" w:sz="0" w:space="0" w:color="auto"/>
                <w:right w:val="none" w:sz="0" w:space="0" w:color="auto"/>
              </w:divBdr>
              <w:divsChild>
                <w:div w:id="327370749">
                  <w:marLeft w:val="0"/>
                  <w:marRight w:val="0"/>
                  <w:marTop w:val="0"/>
                  <w:marBottom w:val="0"/>
                  <w:divBdr>
                    <w:top w:val="none" w:sz="0" w:space="0" w:color="auto"/>
                    <w:left w:val="none" w:sz="0" w:space="0" w:color="auto"/>
                    <w:bottom w:val="none" w:sz="0" w:space="0" w:color="auto"/>
                    <w:right w:val="none" w:sz="0" w:space="0" w:color="auto"/>
                  </w:divBdr>
                  <w:divsChild>
                    <w:div w:id="503711575">
                      <w:marLeft w:val="10"/>
                      <w:marRight w:val="0"/>
                      <w:marTop w:val="0"/>
                      <w:marBottom w:val="0"/>
                      <w:divBdr>
                        <w:top w:val="none" w:sz="0" w:space="0" w:color="auto"/>
                        <w:left w:val="none" w:sz="0" w:space="0" w:color="auto"/>
                        <w:bottom w:val="none" w:sz="0" w:space="0" w:color="auto"/>
                        <w:right w:val="none" w:sz="0" w:space="0" w:color="auto"/>
                      </w:divBdr>
                      <w:divsChild>
                        <w:div w:id="823738493">
                          <w:marLeft w:val="0"/>
                          <w:marRight w:val="0"/>
                          <w:marTop w:val="0"/>
                          <w:marBottom w:val="0"/>
                          <w:divBdr>
                            <w:top w:val="none" w:sz="0" w:space="0" w:color="auto"/>
                            <w:left w:val="none" w:sz="0" w:space="0" w:color="auto"/>
                            <w:bottom w:val="none" w:sz="0" w:space="0" w:color="auto"/>
                            <w:right w:val="none" w:sz="0" w:space="0" w:color="auto"/>
                          </w:divBdr>
                          <w:divsChild>
                            <w:div w:id="339549731">
                              <w:marLeft w:val="0"/>
                              <w:marRight w:val="0"/>
                              <w:marTop w:val="0"/>
                              <w:marBottom w:val="0"/>
                              <w:divBdr>
                                <w:top w:val="none" w:sz="0" w:space="0" w:color="auto"/>
                                <w:left w:val="none" w:sz="0" w:space="0" w:color="auto"/>
                                <w:bottom w:val="none" w:sz="0" w:space="0" w:color="auto"/>
                                <w:right w:val="none" w:sz="0" w:space="0" w:color="auto"/>
                              </w:divBdr>
                            </w:div>
                            <w:div w:id="1551839709">
                              <w:marLeft w:val="0"/>
                              <w:marRight w:val="0"/>
                              <w:marTop w:val="0"/>
                              <w:marBottom w:val="0"/>
                              <w:divBdr>
                                <w:top w:val="none" w:sz="0" w:space="0" w:color="auto"/>
                                <w:left w:val="none" w:sz="0" w:space="0" w:color="auto"/>
                                <w:bottom w:val="none" w:sz="0" w:space="0" w:color="auto"/>
                                <w:right w:val="none" w:sz="0" w:space="0" w:color="auto"/>
                              </w:divBdr>
                            </w:div>
                            <w:div w:id="18228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3923">
      <w:bodyDiv w:val="1"/>
      <w:marLeft w:val="0"/>
      <w:marRight w:val="0"/>
      <w:marTop w:val="0"/>
      <w:marBottom w:val="0"/>
      <w:divBdr>
        <w:top w:val="none" w:sz="0" w:space="0" w:color="auto"/>
        <w:left w:val="none" w:sz="0" w:space="0" w:color="auto"/>
        <w:bottom w:val="none" w:sz="0" w:space="0" w:color="auto"/>
        <w:right w:val="none" w:sz="0" w:space="0" w:color="auto"/>
      </w:divBdr>
    </w:div>
    <w:div w:id="2050761446">
      <w:bodyDiv w:val="1"/>
      <w:marLeft w:val="0"/>
      <w:marRight w:val="0"/>
      <w:marTop w:val="0"/>
      <w:marBottom w:val="0"/>
      <w:divBdr>
        <w:top w:val="none" w:sz="0" w:space="0" w:color="auto"/>
        <w:left w:val="none" w:sz="0" w:space="0" w:color="auto"/>
        <w:bottom w:val="none" w:sz="0" w:space="0" w:color="auto"/>
        <w:right w:val="none" w:sz="0" w:space="0" w:color="auto"/>
      </w:divBdr>
    </w:div>
    <w:div w:id="2110543256">
      <w:bodyDiv w:val="1"/>
      <w:marLeft w:val="0"/>
      <w:marRight w:val="0"/>
      <w:marTop w:val="0"/>
      <w:marBottom w:val="0"/>
      <w:divBdr>
        <w:top w:val="none" w:sz="0" w:space="0" w:color="auto"/>
        <w:left w:val="none" w:sz="0" w:space="0" w:color="auto"/>
        <w:bottom w:val="none" w:sz="0" w:space="0" w:color="auto"/>
        <w:right w:val="none" w:sz="0" w:space="0" w:color="auto"/>
      </w:divBdr>
      <w:divsChild>
        <w:div w:id="1643077335">
          <w:marLeft w:val="0"/>
          <w:marRight w:val="0"/>
          <w:marTop w:val="0"/>
          <w:marBottom w:val="0"/>
          <w:divBdr>
            <w:top w:val="none" w:sz="0" w:space="0" w:color="auto"/>
            <w:left w:val="none" w:sz="0" w:space="0" w:color="auto"/>
            <w:bottom w:val="none" w:sz="0" w:space="0" w:color="auto"/>
            <w:right w:val="none" w:sz="0" w:space="0" w:color="auto"/>
          </w:divBdr>
          <w:divsChild>
            <w:div w:id="1167862553">
              <w:marLeft w:val="0"/>
              <w:marRight w:val="0"/>
              <w:marTop w:val="0"/>
              <w:marBottom w:val="0"/>
              <w:divBdr>
                <w:top w:val="none" w:sz="0" w:space="0" w:color="auto"/>
                <w:left w:val="none" w:sz="0" w:space="0" w:color="auto"/>
                <w:bottom w:val="none" w:sz="0" w:space="0" w:color="auto"/>
                <w:right w:val="none" w:sz="0" w:space="0" w:color="auto"/>
              </w:divBdr>
              <w:divsChild>
                <w:div w:id="1324089853">
                  <w:marLeft w:val="0"/>
                  <w:marRight w:val="0"/>
                  <w:marTop w:val="0"/>
                  <w:marBottom w:val="0"/>
                  <w:divBdr>
                    <w:top w:val="none" w:sz="0" w:space="0" w:color="auto"/>
                    <w:left w:val="none" w:sz="0" w:space="0" w:color="auto"/>
                    <w:bottom w:val="none" w:sz="0" w:space="0" w:color="auto"/>
                    <w:right w:val="none" w:sz="0" w:space="0" w:color="auto"/>
                  </w:divBdr>
                  <w:divsChild>
                    <w:div w:id="1585332267">
                      <w:marLeft w:val="10"/>
                      <w:marRight w:val="0"/>
                      <w:marTop w:val="0"/>
                      <w:marBottom w:val="0"/>
                      <w:divBdr>
                        <w:top w:val="none" w:sz="0" w:space="0" w:color="auto"/>
                        <w:left w:val="none" w:sz="0" w:space="0" w:color="auto"/>
                        <w:bottom w:val="none" w:sz="0" w:space="0" w:color="auto"/>
                        <w:right w:val="none" w:sz="0" w:space="0" w:color="auto"/>
                      </w:divBdr>
                      <w:divsChild>
                        <w:div w:id="1386222966">
                          <w:marLeft w:val="0"/>
                          <w:marRight w:val="0"/>
                          <w:marTop w:val="0"/>
                          <w:marBottom w:val="0"/>
                          <w:divBdr>
                            <w:top w:val="none" w:sz="0" w:space="0" w:color="auto"/>
                            <w:left w:val="none" w:sz="0" w:space="0" w:color="auto"/>
                            <w:bottom w:val="none" w:sz="0" w:space="0" w:color="auto"/>
                            <w:right w:val="none" w:sz="0" w:space="0" w:color="auto"/>
                          </w:divBdr>
                          <w:divsChild>
                            <w:div w:id="61682449">
                              <w:marLeft w:val="0"/>
                              <w:marRight w:val="0"/>
                              <w:marTop w:val="0"/>
                              <w:marBottom w:val="0"/>
                              <w:divBdr>
                                <w:top w:val="none" w:sz="0" w:space="0" w:color="auto"/>
                                <w:left w:val="none" w:sz="0" w:space="0" w:color="auto"/>
                                <w:bottom w:val="none" w:sz="0" w:space="0" w:color="auto"/>
                                <w:right w:val="none" w:sz="0" w:space="0" w:color="auto"/>
                              </w:divBdr>
                            </w:div>
                            <w:div w:id="498009509">
                              <w:marLeft w:val="0"/>
                              <w:marRight w:val="0"/>
                              <w:marTop w:val="0"/>
                              <w:marBottom w:val="0"/>
                              <w:divBdr>
                                <w:top w:val="none" w:sz="0" w:space="0" w:color="auto"/>
                                <w:left w:val="none" w:sz="0" w:space="0" w:color="auto"/>
                                <w:bottom w:val="none" w:sz="0" w:space="0" w:color="auto"/>
                                <w:right w:val="none" w:sz="0" w:space="0" w:color="auto"/>
                              </w:divBdr>
                            </w:div>
                            <w:div w:id="65510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x.ac.uk/sites/files/oxford/trends%20in%20globalisation_WEB.pdf" TargetMode="External"/><Relationship Id="rId1" Type="http://schemas.openxmlformats.org/officeDocument/2006/relationships/hyperlink" Target="http://www.naer.edu.tw/ezfiles/0/1000/attach/5/pta_2189_2524507_3922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3A834-81EF-4147-9CFD-36A1AEF3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54</Pages>
  <Words>4560</Words>
  <Characters>25993</Characters>
  <Application>Microsoft Office Word</Application>
  <DocSecurity>0</DocSecurity>
  <Lines>216</Lines>
  <Paragraphs>60</Paragraphs>
  <ScaleCrop>false</ScaleCrop>
  <Company>cy</Company>
  <LinksUpToDate>false</LinksUpToDate>
  <CharactersWithSpaces>30493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高惠君</dc:creator>
  <cp:lastModifiedBy>江明潔</cp:lastModifiedBy>
  <cp:revision>4</cp:revision>
  <cp:lastPrinted>2017-09-07T09:30:00Z</cp:lastPrinted>
  <dcterms:created xsi:type="dcterms:W3CDTF">2017-09-14T08:30:00Z</dcterms:created>
  <dcterms:modified xsi:type="dcterms:W3CDTF">2017-09-14T09:04:00Z</dcterms:modified>
</cp:coreProperties>
</file>