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105</w:t>
            </w:r>
            <w:r>
              <w:rPr>
                <w:rFonts w:eastAsia="標楷體" w:hint="eastAsia"/>
                <w:bCs/>
                <w:szCs w:val="28"/>
              </w:rPr>
              <w:t>教調</w:t>
            </w:r>
            <w:r>
              <w:rPr>
                <w:rFonts w:eastAsia="標楷體" w:hint="eastAsia"/>
                <w:bCs/>
                <w:szCs w:val="28"/>
              </w:rPr>
              <w:t>0023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◆其他績效</w:t>
            </w:r>
          </w:p>
          <w:p w:rsidR="00FF343B" w:rsidRPr="0078237E" w:rsidRDefault="007336A7" w:rsidP="00BC45E3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魏茂國在</w:t>
            </w:r>
            <w:r>
              <w:rPr>
                <w:rFonts w:eastAsia="標楷體" w:hint="eastAsia"/>
                <w:bCs/>
              </w:rPr>
              <w:t>97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8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日至</w:t>
            </w:r>
            <w:r>
              <w:rPr>
                <w:rFonts w:eastAsia="標楷體" w:hint="eastAsia"/>
                <w:bCs/>
              </w:rPr>
              <w:t>100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7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31</w:t>
            </w:r>
            <w:r>
              <w:rPr>
                <w:rFonts w:eastAsia="標楷體" w:hint="eastAsia"/>
                <w:bCs/>
              </w:rPr>
              <w:t>日兼東華大學材料科學與工程學系系主任期間，投資富旭公司</w:t>
            </w:r>
            <w:r>
              <w:rPr>
                <w:rFonts w:eastAsia="標楷體" w:hint="eastAsia"/>
                <w:bCs/>
              </w:rPr>
              <w:t>25,000</w:t>
            </w:r>
            <w:r>
              <w:rPr>
                <w:rFonts w:eastAsia="標楷體" w:hint="eastAsia"/>
                <w:bCs/>
              </w:rPr>
              <w:t>股，持股比率達</w:t>
            </w:r>
            <w:r>
              <w:rPr>
                <w:rFonts w:eastAsia="標楷體" w:hint="eastAsia"/>
                <w:bCs/>
              </w:rPr>
              <w:t>25%</w:t>
            </w:r>
            <w:r>
              <w:rPr>
                <w:rFonts w:eastAsia="標楷體" w:hint="eastAsia"/>
                <w:bCs/>
              </w:rPr>
              <w:t>；在</w:t>
            </w:r>
            <w:r>
              <w:rPr>
                <w:rFonts w:eastAsia="標楷體" w:hint="eastAsia"/>
                <w:bCs/>
              </w:rPr>
              <w:t>103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8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日起兼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含代理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光電工程學系系主任期間，投資富旭公司</w:t>
            </w:r>
            <w:r>
              <w:rPr>
                <w:rFonts w:eastAsia="標楷體" w:hint="eastAsia"/>
                <w:bCs/>
              </w:rPr>
              <w:t>50,000</w:t>
            </w:r>
            <w:r>
              <w:rPr>
                <w:rFonts w:eastAsia="標楷體" w:hint="eastAsia"/>
                <w:bCs/>
              </w:rPr>
              <w:t>股，持股比率達</w:t>
            </w:r>
            <w:r>
              <w:rPr>
                <w:rFonts w:eastAsia="標楷體" w:hint="eastAsia"/>
                <w:bCs/>
              </w:rPr>
              <w:t>16.66%</w:t>
            </w:r>
            <w:r>
              <w:rPr>
                <w:rFonts w:eastAsia="標楷體" w:hint="eastAsia"/>
                <w:bCs/>
              </w:rPr>
              <w:t>，均超過公務員服務法第</w:t>
            </w:r>
            <w:r>
              <w:rPr>
                <w:rFonts w:eastAsia="標楷體" w:hint="eastAsia"/>
                <w:bCs/>
              </w:rPr>
              <w:t>13</w:t>
            </w:r>
            <w:r>
              <w:rPr>
                <w:rFonts w:eastAsia="標楷體" w:hint="eastAsia"/>
                <w:bCs/>
              </w:rPr>
              <w:t>條第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項但書規定之持股比率</w:t>
            </w:r>
            <w:r>
              <w:rPr>
                <w:rFonts w:eastAsia="標楷體" w:hint="eastAsia"/>
                <w:bCs/>
              </w:rPr>
              <w:t>10%</w:t>
            </w:r>
            <w:r>
              <w:rPr>
                <w:rFonts w:eastAsia="標楷體" w:hint="eastAsia"/>
                <w:bCs/>
              </w:rPr>
              <w:t>上限，已嚴重損害政府之信譽，核有違失。經本院彈劾後移送公務員懲戒委員會審理，經公務員懲戒委員會</w:t>
            </w:r>
            <w:r>
              <w:rPr>
                <w:rFonts w:eastAsia="標楷體" w:hint="eastAsia"/>
                <w:bCs/>
              </w:rPr>
              <w:t>105</w:t>
            </w:r>
            <w:r>
              <w:rPr>
                <w:rFonts w:eastAsia="標楷體" w:hint="eastAsia"/>
                <w:bCs/>
              </w:rPr>
              <w:t>年度鑑字第</w:t>
            </w:r>
            <w:r>
              <w:rPr>
                <w:rFonts w:eastAsia="標楷體" w:hint="eastAsia"/>
                <w:bCs/>
              </w:rPr>
              <w:t>13866</w:t>
            </w:r>
            <w:r>
              <w:rPr>
                <w:rFonts w:eastAsia="標楷體" w:hint="eastAsia"/>
                <w:bCs/>
              </w:rPr>
              <w:t>號判決申誡。</w:t>
            </w:r>
            <w:r>
              <w:rPr>
                <w:rFonts w:eastAsia="標楷體" w:hint="eastAsia"/>
                <w:bCs/>
              </w:rPr>
              <w:t xml:space="preserve"> 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教育及文化委員會106.05.11第5屆第34次會議決議 : 結案存查。</w:t>
            </w:r>
          </w:p>
        </w:tc>
      </w:tr>
    </w:tbl>
    <w:p w:rsidR="008E6A2A" w:rsidRDefault="008E6A2A" w:rsidP="006A6FC3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7"/>
      <w:footerReference w:type="even" r:id="rId8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C0" w:rsidRDefault="00770FC0" w:rsidP="008E6A2A">
      <w:r>
        <w:separator/>
      </w:r>
    </w:p>
  </w:endnote>
  <w:endnote w:type="continuationSeparator" w:id="0">
    <w:p w:rsidR="00770FC0" w:rsidRDefault="00770FC0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2A" w:rsidRDefault="00D3451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C0" w:rsidRDefault="00770FC0" w:rsidP="008E6A2A">
      <w:r>
        <w:separator/>
      </w:r>
    </w:p>
  </w:footnote>
  <w:footnote w:type="continuationSeparator" w:id="0">
    <w:p w:rsidR="00770FC0" w:rsidRDefault="00770FC0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監察院教育及文化委員會調查報告結案情形一覽表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4745F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27B4E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34F4C"/>
    <w:rsid w:val="00440949"/>
    <w:rsid w:val="00456BF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A6FC3"/>
    <w:rsid w:val="006B1797"/>
    <w:rsid w:val="006C264B"/>
    <w:rsid w:val="007032D2"/>
    <w:rsid w:val="00720393"/>
    <w:rsid w:val="007336A7"/>
    <w:rsid w:val="00770FC0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6D7A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01C8B"/>
    <w:rsid w:val="00B1548D"/>
    <w:rsid w:val="00B20AC7"/>
    <w:rsid w:val="00B218DB"/>
    <w:rsid w:val="00B24DA2"/>
    <w:rsid w:val="00B46BE2"/>
    <w:rsid w:val="00B55C6A"/>
    <w:rsid w:val="00B634E3"/>
    <w:rsid w:val="00B636B4"/>
    <w:rsid w:val="00B80D60"/>
    <w:rsid w:val="00BC45E3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77B7D"/>
    <w:rsid w:val="00CB2E8C"/>
    <w:rsid w:val="00CC2941"/>
    <w:rsid w:val="00CC4AAE"/>
    <w:rsid w:val="00CD3A33"/>
    <w:rsid w:val="00CF4574"/>
    <w:rsid w:val="00D064A0"/>
    <w:rsid w:val="00D27C46"/>
    <w:rsid w:val="00D3451C"/>
    <w:rsid w:val="00D47D4D"/>
    <w:rsid w:val="00D57A7C"/>
    <w:rsid w:val="00D76EC1"/>
    <w:rsid w:val="00D87FA8"/>
    <w:rsid w:val="00D97F24"/>
    <w:rsid w:val="00DA6DB5"/>
    <w:rsid w:val="00DD0571"/>
    <w:rsid w:val="00E177C9"/>
    <w:rsid w:val="00E72A5A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83D842-46DE-4F13-8B5A-9C7E48E4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監察院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林玲伊</cp:lastModifiedBy>
  <cp:revision>2</cp:revision>
  <cp:lastPrinted>2010-06-29T02:42:00Z</cp:lastPrinted>
  <dcterms:created xsi:type="dcterms:W3CDTF">2021-06-08T07:44:00Z</dcterms:created>
  <dcterms:modified xsi:type="dcterms:W3CDTF">2021-06-08T07:44:00Z</dcterms:modified>
</cp:coreProperties>
</file>