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3DD" w:rsidRPr="009F1BA0" w:rsidRDefault="00520D8A">
      <w:pPr>
        <w:pStyle w:val="a6"/>
        <w:kinsoku w:val="0"/>
        <w:spacing w:before="0"/>
        <w:ind w:leftChars="700" w:left="2381" w:firstLine="0"/>
        <w:rPr>
          <w:bCs/>
          <w:snapToGrid/>
          <w:spacing w:val="200"/>
          <w:kern w:val="0"/>
          <w:sz w:val="40"/>
        </w:rPr>
      </w:pPr>
      <w:r w:rsidRPr="009F1BA0">
        <w:rPr>
          <w:rFonts w:hint="eastAsia"/>
          <w:bCs/>
          <w:snapToGrid/>
          <w:spacing w:val="200"/>
          <w:kern w:val="0"/>
          <w:sz w:val="40"/>
        </w:rPr>
        <w:t>調查</w:t>
      </w:r>
      <w:r w:rsidR="00AF33B7" w:rsidRPr="009F1BA0">
        <w:rPr>
          <w:rFonts w:hint="eastAsia"/>
          <w:bCs/>
          <w:snapToGrid/>
          <w:spacing w:val="200"/>
          <w:kern w:val="0"/>
          <w:sz w:val="40"/>
        </w:rPr>
        <w:t>報告</w:t>
      </w:r>
    </w:p>
    <w:p w:rsidR="001463DD" w:rsidRPr="009F1BA0" w:rsidRDefault="00AF33B7">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9F1BA0">
        <w:rPr>
          <w:rFonts w:hint="eastAsia"/>
        </w:rPr>
        <w:t>案　　由：</w:t>
      </w:r>
      <w:bookmarkEnd w:id="0"/>
      <w:bookmarkEnd w:id="1"/>
      <w:bookmarkEnd w:id="2"/>
      <w:bookmarkEnd w:id="3"/>
      <w:bookmarkEnd w:id="4"/>
      <w:bookmarkEnd w:id="5"/>
      <w:bookmarkEnd w:id="6"/>
      <w:bookmarkEnd w:id="7"/>
      <w:bookmarkEnd w:id="8"/>
      <w:bookmarkEnd w:id="9"/>
      <w:r w:rsidRPr="009F1BA0">
        <w:fldChar w:fldCharType="begin"/>
      </w:r>
      <w:r w:rsidRPr="009F1BA0">
        <w:instrText xml:space="preserve"> MERGEFIELD </w:instrText>
      </w:r>
      <w:r w:rsidRPr="009F1BA0">
        <w:rPr>
          <w:rFonts w:hint="eastAsia"/>
        </w:rPr>
        <w:instrText>案由</w:instrText>
      </w:r>
      <w:r w:rsidRPr="009F1BA0">
        <w:instrText xml:space="preserve"> </w:instrText>
      </w:r>
      <w:r w:rsidRPr="009F1BA0">
        <w:fldChar w:fldCharType="separate"/>
      </w:r>
      <w:r w:rsidR="00A27D27" w:rsidRPr="009F1BA0">
        <w:rPr>
          <w:rFonts w:hint="eastAsia"/>
          <w:noProof/>
        </w:rPr>
        <w:t>據審計部108年度中央政府總決算審核報告，郵政車輛採購未符實需，車輛與郵務士之配比未盡合理，部分車輛長期閒置或低度利用等情案。</w:t>
      </w:r>
      <w:r w:rsidRPr="009F1BA0">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1463DD" w:rsidRPr="009F1BA0" w:rsidRDefault="00AF33B7">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9F1BA0">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1463DD" w:rsidRPr="009F1BA0" w:rsidRDefault="00165120">
      <w:pPr>
        <w:pStyle w:val="10"/>
        <w:ind w:left="680" w:firstLine="680"/>
        <w:rPr>
          <w:bCs/>
        </w:rPr>
      </w:pPr>
      <w:bookmarkStart w:id="45" w:name="_Toc524902730"/>
      <w:r w:rsidRPr="009F1BA0">
        <w:rPr>
          <w:rFonts w:hint="eastAsia"/>
          <w:bCs/>
        </w:rPr>
        <w:t>本</w:t>
      </w:r>
      <w:proofErr w:type="gramStart"/>
      <w:r w:rsidRPr="009F1BA0">
        <w:rPr>
          <w:rFonts w:hint="eastAsia"/>
          <w:bCs/>
        </w:rPr>
        <w:t>案係據審計</w:t>
      </w:r>
      <w:proofErr w:type="gramEnd"/>
      <w:r w:rsidRPr="009F1BA0">
        <w:rPr>
          <w:rFonts w:hint="eastAsia"/>
          <w:bCs/>
        </w:rPr>
        <w:t>部民國（下同）</w:t>
      </w:r>
      <w:proofErr w:type="gramStart"/>
      <w:r w:rsidRPr="009F1BA0">
        <w:rPr>
          <w:rFonts w:hint="eastAsia"/>
          <w:bCs/>
        </w:rPr>
        <w:t>108</w:t>
      </w:r>
      <w:proofErr w:type="gramEnd"/>
      <w:r w:rsidRPr="009F1BA0">
        <w:rPr>
          <w:rFonts w:hint="eastAsia"/>
          <w:bCs/>
        </w:rPr>
        <w:t>年度中央政府總決算審核報告，中華郵政股份有限公司（下稱中華郵政公司）郵政車輛採購</w:t>
      </w:r>
      <w:proofErr w:type="gramStart"/>
      <w:r w:rsidRPr="009F1BA0">
        <w:rPr>
          <w:rFonts w:hint="eastAsia"/>
          <w:bCs/>
        </w:rPr>
        <w:t>未符實需</w:t>
      </w:r>
      <w:proofErr w:type="gramEnd"/>
      <w:r w:rsidRPr="009F1BA0">
        <w:rPr>
          <w:rFonts w:hint="eastAsia"/>
          <w:bCs/>
        </w:rPr>
        <w:t>，車輛與郵</w:t>
      </w:r>
      <w:proofErr w:type="gramStart"/>
      <w:r w:rsidRPr="009F1BA0">
        <w:rPr>
          <w:rFonts w:hint="eastAsia"/>
          <w:bCs/>
        </w:rPr>
        <w:t>務</w:t>
      </w:r>
      <w:proofErr w:type="gramEnd"/>
      <w:r w:rsidRPr="009F1BA0">
        <w:rPr>
          <w:rFonts w:hint="eastAsia"/>
          <w:bCs/>
        </w:rPr>
        <w:t>士之配比未盡合理，部分車輛長期閒置或低度利用</w:t>
      </w:r>
      <w:proofErr w:type="gramStart"/>
      <w:r w:rsidRPr="009F1BA0">
        <w:rPr>
          <w:rFonts w:hint="eastAsia"/>
          <w:bCs/>
        </w:rPr>
        <w:t>等情案</w:t>
      </w:r>
      <w:proofErr w:type="gramEnd"/>
      <w:r w:rsidRPr="009F1BA0">
        <w:rPr>
          <w:rFonts w:hint="eastAsia"/>
          <w:bCs/>
        </w:rPr>
        <w:t>，經本院交通及採購委員會第6屆第</w:t>
      </w:r>
      <w:r w:rsidRPr="009F1BA0">
        <w:rPr>
          <w:bCs/>
        </w:rPr>
        <w:t>3</w:t>
      </w:r>
      <w:r w:rsidRPr="009F1BA0">
        <w:rPr>
          <w:rFonts w:hint="eastAsia"/>
          <w:bCs/>
        </w:rPr>
        <w:t>次會議決議推派調查。本案經調閱本</w:t>
      </w:r>
      <w:proofErr w:type="gramStart"/>
      <w:r w:rsidRPr="009F1BA0">
        <w:rPr>
          <w:rFonts w:hint="eastAsia"/>
          <w:bCs/>
        </w:rPr>
        <w:t>院前卷</w:t>
      </w:r>
      <w:proofErr w:type="gramEnd"/>
      <w:r w:rsidR="00A83F76" w:rsidRPr="009F1BA0">
        <w:rPr>
          <w:rStyle w:val="af4"/>
          <w:bCs/>
        </w:rPr>
        <w:footnoteReference w:id="1"/>
      </w:r>
      <w:r w:rsidRPr="009F1BA0">
        <w:rPr>
          <w:rFonts w:hint="eastAsia"/>
          <w:bCs/>
        </w:rPr>
        <w:t>、審計部</w:t>
      </w:r>
      <w:r w:rsidR="00A83F76" w:rsidRPr="009F1BA0">
        <w:rPr>
          <w:rStyle w:val="af4"/>
          <w:bCs/>
        </w:rPr>
        <w:footnoteReference w:id="2"/>
      </w:r>
      <w:r w:rsidRPr="009F1BA0">
        <w:rPr>
          <w:rFonts w:hint="eastAsia"/>
          <w:bCs/>
        </w:rPr>
        <w:t>及交通部、中華郵政公司</w:t>
      </w:r>
      <w:r w:rsidR="00A83F76" w:rsidRPr="009F1BA0">
        <w:rPr>
          <w:rStyle w:val="af4"/>
          <w:bCs/>
        </w:rPr>
        <w:footnoteReference w:id="3"/>
      </w:r>
      <w:r w:rsidRPr="009F1BA0">
        <w:rPr>
          <w:rFonts w:hint="eastAsia"/>
          <w:bCs/>
        </w:rPr>
        <w:t>等機關</w:t>
      </w:r>
      <w:proofErr w:type="gramStart"/>
      <w:r w:rsidRPr="009F1BA0">
        <w:rPr>
          <w:rFonts w:hint="eastAsia"/>
          <w:bCs/>
        </w:rPr>
        <w:t>函復卷證</w:t>
      </w:r>
      <w:proofErr w:type="gramEnd"/>
      <w:r w:rsidRPr="009F1BA0">
        <w:rPr>
          <w:rFonts w:hint="eastAsia"/>
          <w:bCs/>
        </w:rPr>
        <w:t>在案。</w:t>
      </w:r>
      <w:r w:rsidR="00FF51A8" w:rsidRPr="009F1BA0">
        <w:rPr>
          <w:rFonts w:hint="eastAsia"/>
          <w:bCs/>
        </w:rPr>
        <w:t>已</w:t>
      </w:r>
      <w:proofErr w:type="gramStart"/>
      <w:r w:rsidR="00FF51A8" w:rsidRPr="009F1BA0">
        <w:rPr>
          <w:rFonts w:hint="eastAsia"/>
          <w:bCs/>
        </w:rPr>
        <w:t>調查竣事</w:t>
      </w:r>
      <w:proofErr w:type="gramEnd"/>
      <w:r w:rsidR="00FF51A8" w:rsidRPr="009F1BA0">
        <w:rPr>
          <w:rFonts w:hint="eastAsia"/>
          <w:bCs/>
        </w:rPr>
        <w:t>，茲</w:t>
      </w:r>
      <w:proofErr w:type="gramStart"/>
      <w:r w:rsidR="00FF51A8" w:rsidRPr="009F1BA0">
        <w:rPr>
          <w:rFonts w:hint="eastAsia"/>
          <w:bCs/>
        </w:rPr>
        <w:t>臚</w:t>
      </w:r>
      <w:proofErr w:type="gramEnd"/>
      <w:r w:rsidR="00FF51A8" w:rsidRPr="009F1BA0">
        <w:rPr>
          <w:rFonts w:hint="eastAsia"/>
          <w:bCs/>
        </w:rPr>
        <w:t>列調查意見如下：</w:t>
      </w:r>
    </w:p>
    <w:p w:rsidR="000E0E00" w:rsidRPr="009F1BA0" w:rsidRDefault="000E0E00" w:rsidP="000E0E00">
      <w:pPr>
        <w:pStyle w:val="2"/>
        <w:ind w:left="1020" w:hanging="680"/>
        <w:rPr>
          <w:b/>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9F1BA0">
        <w:rPr>
          <w:rFonts w:hint="eastAsia"/>
          <w:b/>
        </w:rPr>
        <w:t>中華郵政公司未能妥適參</w:t>
      </w:r>
      <w:proofErr w:type="gramStart"/>
      <w:r w:rsidRPr="009F1BA0">
        <w:rPr>
          <w:rFonts w:hint="eastAsia"/>
          <w:b/>
        </w:rPr>
        <w:t>採</w:t>
      </w:r>
      <w:proofErr w:type="gramEnd"/>
      <w:r w:rsidRPr="009F1BA0">
        <w:rPr>
          <w:rFonts w:hint="eastAsia"/>
          <w:b/>
        </w:rPr>
        <w:t>105年底電動機車現貨試用期滿所得之建議事項，貿然辦理106年租賃1,000台及購置6</w:t>
      </w:r>
      <w:r w:rsidRPr="009F1BA0">
        <w:rPr>
          <w:b/>
        </w:rPr>
        <w:t>27</w:t>
      </w:r>
      <w:r w:rsidRPr="009F1BA0">
        <w:rPr>
          <w:rFonts w:hint="eastAsia"/>
          <w:b/>
        </w:rPr>
        <w:t>台電動機車採購作業，致該款機車續航力、穩定度及輸出功率等都有所不足，</w:t>
      </w:r>
      <w:proofErr w:type="gramStart"/>
      <w:r w:rsidRPr="009F1BA0">
        <w:rPr>
          <w:rFonts w:hint="eastAsia"/>
          <w:b/>
        </w:rPr>
        <w:t>嗣</w:t>
      </w:r>
      <w:proofErr w:type="gramEnd"/>
      <w:r w:rsidRPr="009F1BA0">
        <w:rPr>
          <w:rFonts w:hint="eastAsia"/>
          <w:b/>
        </w:rPr>
        <w:t>於108年採購規格再進行修正，惟106年所採購之1</w:t>
      </w:r>
      <w:r w:rsidRPr="009F1BA0">
        <w:rPr>
          <w:b/>
        </w:rPr>
        <w:t>,</w:t>
      </w:r>
      <w:r w:rsidRPr="009F1BA0">
        <w:rPr>
          <w:rFonts w:hint="eastAsia"/>
          <w:b/>
        </w:rPr>
        <w:t>627台電動機車已造成</w:t>
      </w:r>
      <w:r w:rsidR="00161770" w:rsidRPr="009F1BA0">
        <w:rPr>
          <w:rFonts w:hint="eastAsia"/>
          <w:b/>
        </w:rPr>
        <w:t>低度使用及部分閒置</w:t>
      </w:r>
      <w:r w:rsidRPr="009F1BA0">
        <w:rPr>
          <w:rFonts w:hint="eastAsia"/>
          <w:b/>
        </w:rPr>
        <w:t>，允應檢討改善。</w:t>
      </w:r>
    </w:p>
    <w:p w:rsidR="000E0E00" w:rsidRPr="009F1BA0" w:rsidRDefault="000E0E00" w:rsidP="000E0E00">
      <w:pPr>
        <w:pStyle w:val="3"/>
      </w:pPr>
      <w:r w:rsidRPr="009F1BA0">
        <w:rPr>
          <w:rFonts w:hint="eastAsia"/>
        </w:rPr>
        <w:t>依交通部105年11月17日第1664次部</w:t>
      </w:r>
      <w:proofErr w:type="gramStart"/>
      <w:r w:rsidRPr="009F1BA0">
        <w:rPr>
          <w:rFonts w:hint="eastAsia"/>
        </w:rPr>
        <w:t>務</w:t>
      </w:r>
      <w:proofErr w:type="gramEnd"/>
      <w:r w:rsidRPr="009F1BA0">
        <w:rPr>
          <w:rFonts w:hint="eastAsia"/>
        </w:rPr>
        <w:t>會報，針對運輸部門溫室氣體排放目標</w:t>
      </w:r>
      <w:proofErr w:type="gramStart"/>
      <w:r w:rsidRPr="009F1BA0">
        <w:rPr>
          <w:rFonts w:hint="eastAsia"/>
        </w:rPr>
        <w:t>及減碳措施</w:t>
      </w:r>
      <w:proofErr w:type="gramEnd"/>
      <w:r w:rsidRPr="009F1BA0">
        <w:rPr>
          <w:rFonts w:hint="eastAsia"/>
        </w:rPr>
        <w:t>報告中，請中華郵政公司</w:t>
      </w:r>
      <w:proofErr w:type="gramStart"/>
      <w:r w:rsidRPr="009F1BA0">
        <w:rPr>
          <w:rFonts w:hint="eastAsia"/>
        </w:rPr>
        <w:t>研</w:t>
      </w:r>
      <w:proofErr w:type="gramEnd"/>
      <w:r w:rsidRPr="009F1BA0">
        <w:rPr>
          <w:rFonts w:hint="eastAsia"/>
        </w:rPr>
        <w:t>議自105年12月租用10輛電動機車，</w:t>
      </w:r>
      <w:proofErr w:type="gramStart"/>
      <w:r w:rsidRPr="009F1BA0">
        <w:rPr>
          <w:rFonts w:hint="eastAsia"/>
        </w:rPr>
        <w:t>採</w:t>
      </w:r>
      <w:proofErr w:type="gramEnd"/>
      <w:r w:rsidRPr="009F1BA0">
        <w:rPr>
          <w:rFonts w:hint="eastAsia"/>
        </w:rPr>
        <w:t>「都市型郵局」辦理現貨試用，並以106年租賃1,000台機車為目標，搭配採購生產之</w:t>
      </w:r>
      <w:r w:rsidRPr="009F1BA0">
        <w:rPr>
          <w:rFonts w:hint="eastAsia"/>
        </w:rPr>
        <w:lastRenderedPageBreak/>
        <w:t>600多台機車採購策略辦理，藉由試辦過程中累積管理及維修的經驗，以利後續妥為規劃電動車與汽油車分配與採購之最佳方案。故此，該公司相關計畫之擬辦情形，包含105年12月先租賃10台電動機車作為指定「都市型郵局」由</w:t>
      </w:r>
      <w:proofErr w:type="gramStart"/>
      <w:r w:rsidRPr="009F1BA0">
        <w:rPr>
          <w:rFonts w:hint="eastAsia"/>
        </w:rPr>
        <w:t>臺</w:t>
      </w:r>
      <w:proofErr w:type="gramEnd"/>
      <w:r w:rsidRPr="009F1BA0">
        <w:rPr>
          <w:rFonts w:hint="eastAsia"/>
        </w:rPr>
        <w:t>北郵局大安投遞股辦理現貨試用、106年租賃1,000台及採購訂製627台電動機車，未來規劃於106年試辦結束後，預估持續投入新臺幣（下同）6.73億元預算，逐年依汽油機車實際</w:t>
      </w:r>
      <w:proofErr w:type="gramStart"/>
      <w:r w:rsidRPr="009F1BA0">
        <w:rPr>
          <w:rFonts w:hint="eastAsia"/>
        </w:rPr>
        <w:t>汰</w:t>
      </w:r>
      <w:proofErr w:type="gramEnd"/>
      <w:r w:rsidRPr="009F1BA0">
        <w:rPr>
          <w:rFonts w:hint="eastAsia"/>
        </w:rPr>
        <w:t>換需求，陸續</w:t>
      </w:r>
      <w:proofErr w:type="gramStart"/>
      <w:r w:rsidRPr="009F1BA0">
        <w:rPr>
          <w:rFonts w:hint="eastAsia"/>
        </w:rPr>
        <w:t>汰</w:t>
      </w:r>
      <w:proofErr w:type="gramEnd"/>
      <w:r w:rsidRPr="009F1BA0">
        <w:rPr>
          <w:rFonts w:hint="eastAsia"/>
        </w:rPr>
        <w:t>換8,946輛汽油機車，預計至112年全數</w:t>
      </w:r>
      <w:proofErr w:type="gramStart"/>
      <w:r w:rsidRPr="009F1BA0">
        <w:rPr>
          <w:rFonts w:hint="eastAsia"/>
        </w:rPr>
        <w:t>汰</w:t>
      </w:r>
      <w:proofErr w:type="gramEnd"/>
      <w:r w:rsidRPr="009F1BA0">
        <w:rPr>
          <w:rFonts w:hint="eastAsia"/>
        </w:rPr>
        <w:t>換完成。故由上開說明可知，電動郵</w:t>
      </w:r>
      <w:proofErr w:type="gramStart"/>
      <w:r w:rsidRPr="009F1BA0">
        <w:rPr>
          <w:rFonts w:hint="eastAsia"/>
        </w:rPr>
        <w:t>務</w:t>
      </w:r>
      <w:proofErr w:type="gramEnd"/>
      <w:r w:rsidRPr="009F1BA0">
        <w:rPr>
          <w:rFonts w:hint="eastAsia"/>
        </w:rPr>
        <w:t>機車之使用，係經現貨試用後，始進行後續106年之試辦作業。</w:t>
      </w:r>
    </w:p>
    <w:p w:rsidR="000E0E00" w:rsidRPr="009F1BA0" w:rsidRDefault="000E0E00" w:rsidP="000E0E00">
      <w:pPr>
        <w:pStyle w:val="3"/>
      </w:pPr>
      <w:r w:rsidRPr="009F1BA0">
        <w:rPr>
          <w:rFonts w:hint="eastAsia"/>
        </w:rPr>
        <w:t>經查1</w:t>
      </w:r>
      <w:r w:rsidRPr="009F1BA0">
        <w:t>05</w:t>
      </w:r>
      <w:r w:rsidRPr="009F1BA0">
        <w:rPr>
          <w:rFonts w:hint="eastAsia"/>
        </w:rPr>
        <w:t>年底先租賃10台電動機車作為指定「都市型郵局」辦理現貨試用，試用期間為106年1月11日至同年3月30日，其目的為讓該款電動機車透過試乘，將車輛修正至更適合投遞人員在外投遞工作，車輛穩定性更高、</w:t>
      </w:r>
      <w:proofErr w:type="gramStart"/>
      <w:r w:rsidRPr="009F1BA0">
        <w:rPr>
          <w:rFonts w:hint="eastAsia"/>
        </w:rPr>
        <w:t>方便性再提升</w:t>
      </w:r>
      <w:proofErr w:type="gramEnd"/>
      <w:r w:rsidRPr="009F1BA0">
        <w:rPr>
          <w:rFonts w:hint="eastAsia"/>
        </w:rPr>
        <w:t>，最重要是安全性保障，其承載重量於試乘時載重至200公斤(郵件</w:t>
      </w:r>
      <w:proofErr w:type="gramStart"/>
      <w:r w:rsidRPr="009F1BA0">
        <w:rPr>
          <w:rFonts w:hint="eastAsia"/>
        </w:rPr>
        <w:t>含箱框105公斤</w:t>
      </w:r>
      <w:proofErr w:type="gramEnd"/>
      <w:r w:rsidRPr="009F1BA0">
        <w:rPr>
          <w:rFonts w:hint="eastAsia"/>
        </w:rPr>
        <w:t>，人員90</w:t>
      </w:r>
      <w:proofErr w:type="gramStart"/>
      <w:r w:rsidRPr="009F1BA0">
        <w:rPr>
          <w:rFonts w:hint="eastAsia"/>
        </w:rPr>
        <w:t>幾</w:t>
      </w:r>
      <w:proofErr w:type="gramEnd"/>
      <w:r w:rsidRPr="009F1BA0">
        <w:rPr>
          <w:rFonts w:hint="eastAsia"/>
        </w:rPr>
        <w:t>公斤)，從地下室騎乘至地面層(坡度12度)，電池續航力在電池滿載狀態下，視承載重量而定，續航力約介於40-50公里之間。經現貨試用期滿，試用人員之建議項目包含：</w:t>
      </w:r>
      <w:proofErr w:type="gramStart"/>
      <w:r w:rsidRPr="009F1BA0">
        <w:rPr>
          <w:rFonts w:hint="eastAsia"/>
        </w:rPr>
        <w:t>加力檔比照</w:t>
      </w:r>
      <w:proofErr w:type="gramEnd"/>
      <w:r w:rsidRPr="009F1BA0">
        <w:rPr>
          <w:rFonts w:hint="eastAsia"/>
        </w:rPr>
        <w:t>汽車模式，</w:t>
      </w:r>
      <w:proofErr w:type="gramStart"/>
      <w:r w:rsidRPr="009F1BA0">
        <w:rPr>
          <w:rFonts w:hint="eastAsia"/>
        </w:rPr>
        <w:t>採</w:t>
      </w:r>
      <w:proofErr w:type="gramEnd"/>
      <w:r w:rsidRPr="009F1BA0">
        <w:rPr>
          <w:rFonts w:hint="eastAsia"/>
        </w:rPr>
        <w:t>手動開或關，取消現況20秒後自動還原功能、扭力不足，載重轉彎時易傾斜等需改善事項。故由上開現貨試用建議事項可知，該款電動機車確實有扭力與馬力不足的現象。</w:t>
      </w:r>
    </w:p>
    <w:p w:rsidR="000E0E00" w:rsidRPr="009F1BA0" w:rsidRDefault="000E0E00" w:rsidP="000E0E00">
      <w:pPr>
        <w:pStyle w:val="3"/>
      </w:pPr>
      <w:r w:rsidRPr="009F1BA0">
        <w:rPr>
          <w:rFonts w:hint="eastAsia"/>
        </w:rPr>
        <w:t>據查，</w:t>
      </w:r>
      <w:proofErr w:type="gramStart"/>
      <w:r w:rsidRPr="009F1BA0">
        <w:rPr>
          <w:rFonts w:hint="eastAsia"/>
        </w:rPr>
        <w:t>臺</w:t>
      </w:r>
      <w:proofErr w:type="gramEnd"/>
      <w:r w:rsidRPr="009F1BA0">
        <w:rPr>
          <w:rFonts w:hint="eastAsia"/>
        </w:rPr>
        <w:t>北郵局郵件投遞科大安投遞股辦理電動機車現貨試用作業，試用</w:t>
      </w:r>
      <w:proofErr w:type="gramStart"/>
      <w:r w:rsidRPr="009F1BA0">
        <w:rPr>
          <w:rFonts w:hint="eastAsia"/>
        </w:rPr>
        <w:t>車款係中華</w:t>
      </w:r>
      <w:proofErr w:type="gramEnd"/>
      <w:r w:rsidRPr="009F1BA0">
        <w:rPr>
          <w:rFonts w:hint="eastAsia"/>
        </w:rPr>
        <w:t>汽車公司EM100B，郵</w:t>
      </w:r>
      <w:proofErr w:type="gramStart"/>
      <w:r w:rsidRPr="009F1BA0">
        <w:rPr>
          <w:rFonts w:hint="eastAsia"/>
        </w:rPr>
        <w:t>務</w:t>
      </w:r>
      <w:proofErr w:type="gramEnd"/>
      <w:r w:rsidRPr="009F1BA0">
        <w:rPr>
          <w:rFonts w:hint="eastAsia"/>
        </w:rPr>
        <w:t>士反映之建議事項已轉請廠商作為設計新車</w:t>
      </w:r>
      <w:r w:rsidRPr="009F1BA0">
        <w:rPr>
          <w:rFonts w:hint="eastAsia"/>
        </w:rPr>
        <w:lastRenderedPageBreak/>
        <w:t>款EM125之參考，106年租購1</w:t>
      </w:r>
      <w:r w:rsidRPr="009F1BA0">
        <w:t>,627</w:t>
      </w:r>
      <w:r w:rsidRPr="009F1BA0">
        <w:rPr>
          <w:rFonts w:hint="eastAsia"/>
        </w:rPr>
        <w:t>輛電動機車之車款即為EM125，相關修正如下：提高馬達功率：試用車款之馬達最大輸出功率為2</w:t>
      </w:r>
      <w:r w:rsidRPr="009F1BA0">
        <w:t>KW</w:t>
      </w:r>
      <w:r w:rsidRPr="009F1BA0">
        <w:rPr>
          <w:rFonts w:hint="eastAsia"/>
        </w:rPr>
        <w:t>（千瓦，下同），新車款提升至4.2</w:t>
      </w:r>
      <w:r w:rsidRPr="009F1BA0">
        <w:t>KW</w:t>
      </w:r>
      <w:r w:rsidRPr="009F1BA0">
        <w:rPr>
          <w:rFonts w:hint="eastAsia"/>
        </w:rPr>
        <w:t>，增加車輛之扭力、升級煞車系統：試用車款之前煞車為鼓</w:t>
      </w:r>
      <w:proofErr w:type="gramStart"/>
      <w:r w:rsidRPr="009F1BA0">
        <w:rPr>
          <w:rFonts w:hint="eastAsia"/>
        </w:rPr>
        <w:t>煞</w:t>
      </w:r>
      <w:proofErr w:type="gramEnd"/>
      <w:r w:rsidRPr="009F1BA0">
        <w:rPr>
          <w:rFonts w:hint="eastAsia"/>
        </w:rPr>
        <w:t>，新車款升級為碟煞，提升煞車制動力，並節省把手握力、提升電池能量：試用車款之電池能量為1KW</w:t>
      </w:r>
      <w:r w:rsidRPr="009F1BA0">
        <w:t>H</w:t>
      </w:r>
      <w:proofErr w:type="gramStart"/>
      <w:r w:rsidRPr="009F1BA0">
        <w:rPr>
          <w:rFonts w:hint="eastAsia"/>
        </w:rPr>
        <w:t>（</w:t>
      </w:r>
      <w:proofErr w:type="gramEnd"/>
      <w:r w:rsidRPr="009F1BA0">
        <w:rPr>
          <w:rFonts w:hint="eastAsia"/>
        </w:rPr>
        <w:t>千瓦</w:t>
      </w:r>
      <w:r w:rsidRPr="009F1BA0">
        <w:rPr>
          <w:rFonts w:ascii="Cambria Math" w:hAnsi="Cambria Math" w:cs="Cambria Math"/>
        </w:rPr>
        <w:t>⋅</w:t>
      </w:r>
      <w:r w:rsidRPr="009F1BA0">
        <w:rPr>
          <w:rFonts w:hint="eastAsia"/>
        </w:rPr>
        <w:t>時，下同），新車款提升至2KW</w:t>
      </w:r>
      <w:r w:rsidRPr="009F1BA0">
        <w:t>H</w:t>
      </w:r>
      <w:r w:rsidRPr="009F1BA0">
        <w:rPr>
          <w:rFonts w:hint="eastAsia"/>
        </w:rPr>
        <w:t>，有效增加續航里程數。由上開106年租購1</w:t>
      </w:r>
      <w:r w:rsidRPr="009F1BA0">
        <w:t>,627</w:t>
      </w:r>
      <w:r w:rsidRPr="009F1BA0">
        <w:rPr>
          <w:rFonts w:hint="eastAsia"/>
        </w:rPr>
        <w:t>輛電動機車之車款，中華郵政公司確實已有針對扭力與馬力進行修正，惟因試用車款EM100B與採購車款EM125係不同等級之車型，新購該款機車之續航力、穩定度及輸出功率是否足夠，亦未經實際測試或試用。</w:t>
      </w:r>
    </w:p>
    <w:p w:rsidR="000E0E00" w:rsidRPr="009F1BA0" w:rsidRDefault="000E0E00" w:rsidP="000E0E00">
      <w:pPr>
        <w:pStyle w:val="3"/>
      </w:pPr>
      <w:r w:rsidRPr="009F1BA0">
        <w:t>據復</w:t>
      </w:r>
      <w:r w:rsidR="008054D3" w:rsidRPr="009F1BA0">
        <w:rPr>
          <w:rFonts w:hint="eastAsia"/>
          <w:spacing w:val="-20"/>
          <w:vertAlign w:val="superscript"/>
        </w:rPr>
        <w:t>同</w:t>
      </w:r>
      <w:proofErr w:type="gramStart"/>
      <w:r w:rsidR="008054D3" w:rsidRPr="009F1BA0">
        <w:rPr>
          <w:rFonts w:hint="eastAsia"/>
          <w:spacing w:val="-20"/>
          <w:vertAlign w:val="superscript"/>
        </w:rPr>
        <w:t>註</w:t>
      </w:r>
      <w:proofErr w:type="gramEnd"/>
      <w:r w:rsidR="008054D3" w:rsidRPr="009F1BA0">
        <w:rPr>
          <w:rFonts w:hint="eastAsia"/>
          <w:spacing w:val="-20"/>
          <w:vertAlign w:val="superscript"/>
        </w:rPr>
        <w:t>6</w:t>
      </w:r>
      <w:r w:rsidRPr="009F1BA0">
        <w:t>，</w:t>
      </w:r>
      <w:r w:rsidRPr="009F1BA0">
        <w:rPr>
          <w:rFonts w:hint="eastAsia"/>
        </w:rPr>
        <w:t>經中華</w:t>
      </w:r>
      <w:r w:rsidRPr="009F1BA0">
        <w:t>郵政公司</w:t>
      </w:r>
      <w:r w:rsidR="001B7E75" w:rsidRPr="009F1BA0">
        <w:rPr>
          <w:rFonts w:hint="eastAsia"/>
        </w:rPr>
        <w:t>自行</w:t>
      </w:r>
      <w:r w:rsidRPr="009F1BA0">
        <w:t>檢討</w:t>
      </w:r>
      <w:r w:rsidRPr="009F1BA0">
        <w:rPr>
          <w:rFonts w:hint="eastAsia"/>
        </w:rPr>
        <w:t>，106年</w:t>
      </w:r>
      <w:r w:rsidRPr="009F1BA0">
        <w:t>租購之電動機車不符需求主要原因</w:t>
      </w:r>
      <w:r w:rsidRPr="009F1BA0">
        <w:rPr>
          <w:rFonts w:hint="eastAsia"/>
        </w:rPr>
        <w:t>包含：</w:t>
      </w:r>
      <w:r w:rsidRPr="009F1BA0">
        <w:t>部分區段因投遞里程數、投遞時間、車輛停等時間及地形等因素，實際續航</w:t>
      </w:r>
      <w:r w:rsidRPr="009F1BA0">
        <w:rPr>
          <w:rFonts w:hint="eastAsia"/>
        </w:rPr>
        <w:t>力</w:t>
      </w:r>
      <w:r w:rsidRPr="009F1BA0">
        <w:t>與車輛測試中心測試報告數據產生落差，致無法完成全程之投遞作業，需改以燃油車款支援</w:t>
      </w:r>
      <w:r w:rsidRPr="009F1BA0">
        <w:rPr>
          <w:rFonts w:hint="eastAsia"/>
        </w:rPr>
        <w:t>、</w:t>
      </w:r>
      <w:r w:rsidRPr="009F1BA0">
        <w:t>電動機車導入初期，少部分車輛因馬達控制器異常無法使用，為不影響投遞作業，另以燃油車輛因應。</w:t>
      </w:r>
      <w:r w:rsidRPr="009F1BA0">
        <w:rPr>
          <w:rFonts w:hint="eastAsia"/>
        </w:rPr>
        <w:t>且該公司並未針對</w:t>
      </w:r>
      <w:proofErr w:type="gramStart"/>
      <w:r w:rsidRPr="009F1BA0">
        <w:rPr>
          <w:rFonts w:hint="eastAsia"/>
        </w:rPr>
        <w:t>106</w:t>
      </w:r>
      <w:proofErr w:type="gramEnd"/>
      <w:r w:rsidRPr="009F1BA0">
        <w:rPr>
          <w:rFonts w:hint="eastAsia"/>
        </w:rPr>
        <w:t>年度所採購車輛進行滿意度調查，僅設置LINE群組供各使用單位反映使用意見，</w:t>
      </w:r>
      <w:proofErr w:type="gramStart"/>
      <w:r w:rsidRPr="009F1BA0">
        <w:rPr>
          <w:rFonts w:hint="eastAsia"/>
        </w:rPr>
        <w:t>嗣</w:t>
      </w:r>
      <w:proofErr w:type="gramEnd"/>
      <w:r w:rsidRPr="009F1BA0">
        <w:rPr>
          <w:rFonts w:hint="eastAsia"/>
        </w:rPr>
        <w:t>於10</w:t>
      </w:r>
      <w:r w:rsidRPr="009F1BA0">
        <w:t>8</w:t>
      </w:r>
      <w:r w:rsidRPr="009F1BA0">
        <w:rPr>
          <w:rFonts w:hint="eastAsia"/>
        </w:rPr>
        <w:t>年再採購800輛郵遞使用電動機車，馬達最大輸出功率由4KW以上修正為6KW以上，提升車輛扭力；電池組能量由1.9KW</w:t>
      </w:r>
      <w:r w:rsidRPr="009F1BA0">
        <w:t>H</w:t>
      </w:r>
      <w:r w:rsidRPr="009F1BA0">
        <w:rPr>
          <w:rFonts w:hint="eastAsia"/>
        </w:rPr>
        <w:t>修正為2.5KW</w:t>
      </w:r>
      <w:r w:rsidRPr="009F1BA0">
        <w:t>H</w:t>
      </w:r>
      <w:r w:rsidRPr="009F1BA0">
        <w:rPr>
          <w:rFonts w:hint="eastAsia"/>
        </w:rPr>
        <w:t>以上，以提升續航力。故由上開中華郵政公司之檢討及後續採購規格變更情形可知，106年</w:t>
      </w:r>
      <w:r w:rsidRPr="009F1BA0">
        <w:t>租購之電動機車</w:t>
      </w:r>
      <w:r w:rsidRPr="009F1BA0">
        <w:rPr>
          <w:rFonts w:hint="eastAsia"/>
        </w:rPr>
        <w:t>確實有續航力、穩定度及輸出功率等都有所不足。</w:t>
      </w:r>
    </w:p>
    <w:p w:rsidR="000E0E00" w:rsidRPr="009F1BA0" w:rsidRDefault="000E0E00" w:rsidP="00161770">
      <w:pPr>
        <w:pStyle w:val="3"/>
      </w:pPr>
      <w:r w:rsidRPr="009F1BA0">
        <w:rPr>
          <w:rFonts w:hint="eastAsia"/>
        </w:rPr>
        <w:t>綜上，中華郵政公司電動郵</w:t>
      </w:r>
      <w:proofErr w:type="gramStart"/>
      <w:r w:rsidRPr="009F1BA0">
        <w:rPr>
          <w:rFonts w:hint="eastAsia"/>
        </w:rPr>
        <w:t>務</w:t>
      </w:r>
      <w:proofErr w:type="gramEnd"/>
      <w:r w:rsidRPr="009F1BA0">
        <w:rPr>
          <w:rFonts w:hint="eastAsia"/>
        </w:rPr>
        <w:t>機車之採購，係經105</w:t>
      </w:r>
      <w:r w:rsidRPr="009F1BA0">
        <w:rPr>
          <w:rFonts w:hint="eastAsia"/>
        </w:rPr>
        <w:lastRenderedPageBreak/>
        <w:t>年底電動機車現貨試用期滿所得之建議事項，始進行後續106年租賃1,000台及購置6</w:t>
      </w:r>
      <w:r w:rsidRPr="009F1BA0">
        <w:t>27</w:t>
      </w:r>
      <w:r w:rsidRPr="009F1BA0">
        <w:rPr>
          <w:rFonts w:hint="eastAsia"/>
        </w:rPr>
        <w:t>台電動機車採購作業，惟106年租購1</w:t>
      </w:r>
      <w:r w:rsidRPr="009F1BA0">
        <w:t>,627</w:t>
      </w:r>
      <w:r w:rsidRPr="009F1BA0">
        <w:rPr>
          <w:rFonts w:hint="eastAsia"/>
        </w:rPr>
        <w:t>輛電動機車之車款，雖已有針對扭力與馬力進行修正，然因試用車款EM100B與採購車款EM125係不同等級之車型，新購該款機車之續航力、穩定度及輸出功率是否足夠，亦未經實際測試或試用，致該款機車續航力、穩定度及輸出功率等都有所不足，</w:t>
      </w:r>
      <w:proofErr w:type="gramStart"/>
      <w:r w:rsidRPr="009F1BA0">
        <w:rPr>
          <w:rFonts w:hint="eastAsia"/>
        </w:rPr>
        <w:t>嗣</w:t>
      </w:r>
      <w:proofErr w:type="gramEnd"/>
      <w:r w:rsidRPr="009F1BA0">
        <w:rPr>
          <w:rFonts w:hint="eastAsia"/>
        </w:rPr>
        <w:t>於108年採購規格再進行修正，惟106年所採購之1</w:t>
      </w:r>
      <w:r w:rsidRPr="009F1BA0">
        <w:t>,</w:t>
      </w:r>
      <w:r w:rsidRPr="009F1BA0">
        <w:rPr>
          <w:rFonts w:hint="eastAsia"/>
        </w:rPr>
        <w:t>627台電動機車已造成</w:t>
      </w:r>
      <w:r w:rsidR="00161770" w:rsidRPr="009F1BA0">
        <w:rPr>
          <w:rFonts w:hint="eastAsia"/>
        </w:rPr>
        <w:t>低度使用及部分閒置</w:t>
      </w:r>
      <w:r w:rsidRPr="009F1BA0">
        <w:rPr>
          <w:rFonts w:hint="eastAsia"/>
        </w:rPr>
        <w:t>，允應檢討改善。</w:t>
      </w:r>
    </w:p>
    <w:p w:rsidR="000E0E00" w:rsidRPr="009F1BA0" w:rsidRDefault="000E0E00" w:rsidP="000E0E00">
      <w:pPr>
        <w:pStyle w:val="2"/>
        <w:ind w:left="1020" w:hanging="680"/>
        <w:rPr>
          <w:b/>
        </w:rPr>
      </w:pPr>
      <w:r w:rsidRPr="009F1BA0">
        <w:rPr>
          <w:rFonts w:hint="eastAsia"/>
          <w:b/>
        </w:rPr>
        <w:t>中華郵政公司辦理郵政車輛採購審查作業，前有忽視10</w:t>
      </w:r>
      <w:r w:rsidRPr="009F1BA0">
        <w:rPr>
          <w:b/>
        </w:rPr>
        <w:t>5</w:t>
      </w:r>
      <w:r w:rsidRPr="009F1BA0">
        <w:rPr>
          <w:rFonts w:hint="eastAsia"/>
          <w:b/>
        </w:rPr>
        <w:t>年所</w:t>
      </w:r>
      <w:proofErr w:type="gramStart"/>
      <w:r w:rsidRPr="009F1BA0">
        <w:rPr>
          <w:rFonts w:hint="eastAsia"/>
          <w:b/>
        </w:rPr>
        <w:t>新購燃油</w:t>
      </w:r>
      <w:proofErr w:type="gramEnd"/>
      <w:r w:rsidRPr="009F1BA0">
        <w:rPr>
          <w:rFonts w:hint="eastAsia"/>
          <w:b/>
        </w:rPr>
        <w:t>車輛已</w:t>
      </w:r>
      <w:r w:rsidR="00532653" w:rsidRPr="009F1BA0">
        <w:rPr>
          <w:rFonts w:hint="eastAsia"/>
          <w:b/>
        </w:rPr>
        <w:t>部分</w:t>
      </w:r>
      <w:r w:rsidRPr="009F1BA0">
        <w:rPr>
          <w:rFonts w:hint="eastAsia"/>
          <w:b/>
        </w:rPr>
        <w:t>閒置未用，復於106年後又為配合公共</w:t>
      </w:r>
      <w:proofErr w:type="gramStart"/>
      <w:r w:rsidRPr="009F1BA0">
        <w:rPr>
          <w:rFonts w:hint="eastAsia"/>
          <w:b/>
        </w:rPr>
        <w:t>運輸減碳計畫</w:t>
      </w:r>
      <w:proofErr w:type="gramEnd"/>
      <w:r w:rsidRPr="009F1BA0">
        <w:rPr>
          <w:rFonts w:hint="eastAsia"/>
          <w:b/>
        </w:rPr>
        <w:t>，至109年共採購3</w:t>
      </w:r>
      <w:r w:rsidRPr="009F1BA0">
        <w:rPr>
          <w:b/>
        </w:rPr>
        <w:t>,</w:t>
      </w:r>
      <w:r w:rsidRPr="009F1BA0">
        <w:rPr>
          <w:rFonts w:hint="eastAsia"/>
          <w:b/>
        </w:rPr>
        <w:t>200餘台電動機車，造成郵</w:t>
      </w:r>
      <w:proofErr w:type="gramStart"/>
      <w:r w:rsidRPr="009F1BA0">
        <w:rPr>
          <w:rFonts w:hint="eastAsia"/>
          <w:b/>
        </w:rPr>
        <w:t>務</w:t>
      </w:r>
      <w:proofErr w:type="gramEnd"/>
      <w:r w:rsidRPr="009F1BA0">
        <w:rPr>
          <w:rFonts w:hint="eastAsia"/>
          <w:b/>
        </w:rPr>
        <w:t>士重複配發車輛，或</w:t>
      </w:r>
      <w:proofErr w:type="gramStart"/>
      <w:r w:rsidRPr="009F1BA0">
        <w:rPr>
          <w:rFonts w:hint="eastAsia"/>
          <w:b/>
        </w:rPr>
        <w:t>產生溢餘車輛</w:t>
      </w:r>
      <w:proofErr w:type="gramEnd"/>
      <w:r w:rsidRPr="009F1BA0">
        <w:rPr>
          <w:rFonts w:hint="eastAsia"/>
          <w:b/>
        </w:rPr>
        <w:t>，部分車輛閒置或低度利用，顯見郵</w:t>
      </w:r>
      <w:proofErr w:type="gramStart"/>
      <w:r w:rsidRPr="009F1BA0">
        <w:rPr>
          <w:rFonts w:hint="eastAsia"/>
          <w:b/>
        </w:rPr>
        <w:t>務</w:t>
      </w:r>
      <w:proofErr w:type="gramEnd"/>
      <w:r w:rsidRPr="009F1BA0">
        <w:rPr>
          <w:rFonts w:hint="eastAsia"/>
          <w:b/>
        </w:rPr>
        <w:t>機車採購未能衡量轄屬車輛實際需求，而有需求提報不實，審查作業欠嚴謹之失，顯有檢討改善之必要。</w:t>
      </w:r>
    </w:p>
    <w:p w:rsidR="000E0E00" w:rsidRPr="009F1BA0" w:rsidRDefault="000E0E00" w:rsidP="000E0E00">
      <w:pPr>
        <w:pStyle w:val="3"/>
      </w:pPr>
      <w:r w:rsidRPr="009F1BA0">
        <w:rPr>
          <w:rFonts w:hint="eastAsia"/>
        </w:rPr>
        <w:t>據郵政車輛管理要點第3點規定，郵政車輛係由總公司集中辦理採購。經查其實際作業程序，係由中華郵政公司各使用單位於年度末依其現有業務量之規模及車輛狀況</w:t>
      </w:r>
      <w:proofErr w:type="gramStart"/>
      <w:r w:rsidRPr="009F1BA0">
        <w:rPr>
          <w:rFonts w:hint="eastAsia"/>
        </w:rPr>
        <w:t>研</w:t>
      </w:r>
      <w:proofErr w:type="gramEnd"/>
      <w:r w:rsidRPr="009F1BA0">
        <w:rPr>
          <w:rFonts w:hint="eastAsia"/>
        </w:rPr>
        <w:t>提新車購置需求，經總公司參酌各使用單位之投遞段或車班路線之多寡，及其現有車輛之壽年、里程數、當年度預算等，規劃下年度購置</w:t>
      </w:r>
      <w:proofErr w:type="gramStart"/>
      <w:r w:rsidRPr="009F1BA0">
        <w:rPr>
          <w:rFonts w:hint="eastAsia"/>
        </w:rPr>
        <w:t>各式郵用車輛</w:t>
      </w:r>
      <w:proofErr w:type="gramEnd"/>
      <w:r w:rsidRPr="009F1BA0">
        <w:rPr>
          <w:rFonts w:hint="eastAsia"/>
        </w:rPr>
        <w:t>及各使用單位新車配額，並檢討現有車輛使用情形，如</w:t>
      </w:r>
      <w:proofErr w:type="gramStart"/>
      <w:r w:rsidRPr="009F1BA0">
        <w:rPr>
          <w:rFonts w:hint="eastAsia"/>
        </w:rPr>
        <w:t>有溢餘</w:t>
      </w:r>
      <w:proofErr w:type="gramEnd"/>
      <w:r w:rsidRPr="009F1BA0">
        <w:rPr>
          <w:rFonts w:hint="eastAsia"/>
        </w:rPr>
        <w:t>，則由總公司統一調撥其他單位使用，以避免車輛閒置。另依據郵政車輛管理要點第24點第3項規定，</w:t>
      </w:r>
      <w:proofErr w:type="gramStart"/>
      <w:r w:rsidRPr="009F1BA0">
        <w:rPr>
          <w:rFonts w:hint="eastAsia"/>
        </w:rPr>
        <w:t>已屆壽年</w:t>
      </w:r>
      <w:proofErr w:type="gramEnd"/>
      <w:r w:rsidRPr="009F1BA0">
        <w:rPr>
          <w:rFonts w:hint="eastAsia"/>
        </w:rPr>
        <w:t>未達參考里程數之車輛，應具備下列情形之一，始能辦理報廢：(</w:t>
      </w:r>
      <w:proofErr w:type="gramStart"/>
      <w:r w:rsidRPr="009F1BA0">
        <w:rPr>
          <w:rFonts w:hint="eastAsia"/>
        </w:rPr>
        <w:t>一</w:t>
      </w:r>
      <w:proofErr w:type="gramEnd"/>
      <w:r w:rsidRPr="009F1BA0">
        <w:rPr>
          <w:rFonts w:hint="eastAsia"/>
        </w:rPr>
        <w:t>)1次車輛修理費，達該車新購價值10</w:t>
      </w:r>
      <w:r w:rsidR="00F858BC" w:rsidRPr="009F1BA0">
        <w:rPr>
          <w:rFonts w:hint="eastAsia"/>
        </w:rPr>
        <w:t>％</w:t>
      </w:r>
      <w:r w:rsidRPr="009F1BA0">
        <w:rPr>
          <w:rFonts w:hint="eastAsia"/>
        </w:rPr>
        <w:t>以上，始可</w:t>
      </w:r>
      <w:proofErr w:type="gramStart"/>
      <w:r w:rsidRPr="009F1BA0">
        <w:rPr>
          <w:rFonts w:hint="eastAsia"/>
        </w:rPr>
        <w:t>勉</w:t>
      </w:r>
      <w:proofErr w:type="gramEnd"/>
      <w:r w:rsidRPr="009F1BA0">
        <w:rPr>
          <w:rFonts w:hint="eastAsia"/>
        </w:rPr>
        <w:t>堪使用者。(二)最近3年之維修費</w:t>
      </w:r>
      <w:r w:rsidRPr="009F1BA0">
        <w:rPr>
          <w:rFonts w:hint="eastAsia"/>
        </w:rPr>
        <w:lastRenderedPageBreak/>
        <w:t>，平均每年超過該車新購價值20</w:t>
      </w:r>
      <w:r w:rsidR="00F858BC" w:rsidRPr="009F1BA0">
        <w:rPr>
          <w:rFonts w:hint="eastAsia"/>
        </w:rPr>
        <w:t>％</w:t>
      </w:r>
      <w:r w:rsidRPr="009F1BA0">
        <w:rPr>
          <w:rFonts w:hint="eastAsia"/>
        </w:rPr>
        <w:t>以上者。故由上開車輛管理要點可知，使用單位提報用車需求應要</w:t>
      </w:r>
      <w:proofErr w:type="gramStart"/>
      <w:r w:rsidRPr="009F1BA0">
        <w:rPr>
          <w:rFonts w:hint="eastAsia"/>
        </w:rPr>
        <w:t>覈</w:t>
      </w:r>
      <w:proofErr w:type="gramEnd"/>
      <w:r w:rsidRPr="009F1BA0">
        <w:rPr>
          <w:rFonts w:hint="eastAsia"/>
        </w:rPr>
        <w:t>實提出需求，再經總公司確實審查後，方得新購車輛，以避免車輛閒置或低度使用。</w:t>
      </w:r>
    </w:p>
    <w:p w:rsidR="000E0E00" w:rsidRPr="009F1BA0" w:rsidRDefault="000E0E00" w:rsidP="000E0E00">
      <w:pPr>
        <w:pStyle w:val="3"/>
      </w:pPr>
      <w:r w:rsidRPr="009F1BA0">
        <w:rPr>
          <w:rFonts w:hint="eastAsia"/>
        </w:rPr>
        <w:t>經</w:t>
      </w:r>
      <w:proofErr w:type="gramStart"/>
      <w:r w:rsidRPr="009F1BA0">
        <w:rPr>
          <w:rFonts w:hint="eastAsia"/>
        </w:rPr>
        <w:t>審計部函報</w:t>
      </w:r>
      <w:proofErr w:type="gramEnd"/>
      <w:r w:rsidR="008054D3" w:rsidRPr="009F1BA0">
        <w:rPr>
          <w:spacing w:val="-20"/>
          <w:vertAlign w:val="superscript"/>
        </w:rPr>
        <w:t>同</w:t>
      </w:r>
      <w:proofErr w:type="gramStart"/>
      <w:r w:rsidR="008054D3" w:rsidRPr="009F1BA0">
        <w:rPr>
          <w:spacing w:val="-20"/>
          <w:vertAlign w:val="superscript"/>
        </w:rPr>
        <w:t>註</w:t>
      </w:r>
      <w:proofErr w:type="gramEnd"/>
      <w:r w:rsidR="008054D3" w:rsidRPr="009F1BA0">
        <w:rPr>
          <w:spacing w:val="-20"/>
          <w:vertAlign w:val="superscript"/>
        </w:rPr>
        <w:t>5</w:t>
      </w:r>
      <w:r w:rsidRPr="009F1BA0">
        <w:rPr>
          <w:rFonts w:hint="eastAsia"/>
        </w:rPr>
        <w:t>，中華郵政公司101年至106年9月底購置之車輛啟用情況，核有部分新車於驗收交付使用單位後，使用單位以原有之舊車仍堪使用，無立即需求，或認為總公司採購之車輛不佳等為由，未立即投入使用。經統計上開期間各使用單位於接收新購車輛後超過50天仍未啟用者計有490輛，金額5,167萬餘元，其中42輛截至106年9月底仍未啟用，閒置天數長達212天至632天，且部分使用單位在新接收車輛閒置未使用情形下，其使用中之車輛亦有</w:t>
      </w:r>
      <w:proofErr w:type="gramStart"/>
      <w:r w:rsidRPr="009F1BA0">
        <w:rPr>
          <w:rFonts w:hint="eastAsia"/>
        </w:rPr>
        <w:t>已屆壽年</w:t>
      </w:r>
      <w:proofErr w:type="gramEnd"/>
      <w:r w:rsidRPr="009F1BA0">
        <w:rPr>
          <w:rFonts w:hint="eastAsia"/>
        </w:rPr>
        <w:t>，且維修費已達郵政車輛管理要點第24點第3項規定標準情事，顯示使用單位需求提報不實，總公司之審查作業亦未盡確實，並疏於管控所屬新購車輛交車後實際使用及舊車現況使用情形，造成新購車輛長期閒置，又未能即時調撥其他單位使用，</w:t>
      </w:r>
      <w:proofErr w:type="gramStart"/>
      <w:r w:rsidRPr="009F1BA0">
        <w:rPr>
          <w:rFonts w:hint="eastAsia"/>
        </w:rPr>
        <w:t>徒耗車輛</w:t>
      </w:r>
      <w:proofErr w:type="gramEnd"/>
      <w:r w:rsidRPr="009F1BA0">
        <w:rPr>
          <w:rFonts w:hint="eastAsia"/>
        </w:rPr>
        <w:t>折舊費用及新車保固權益與零組件耗損（如新竹郵局車輛局內編號D409901車輛於啟用前即閒置天數高達431天）之損失。又中華郵政公司截至106年9月底止，</w:t>
      </w:r>
      <w:r w:rsidRPr="009F1BA0">
        <w:t>使用</w:t>
      </w:r>
      <w:r w:rsidRPr="009F1BA0">
        <w:rPr>
          <w:rFonts w:hint="eastAsia"/>
        </w:rPr>
        <w:t>中</w:t>
      </w:r>
      <w:proofErr w:type="gramStart"/>
      <w:r w:rsidRPr="009F1BA0">
        <w:t>已屆壽年</w:t>
      </w:r>
      <w:proofErr w:type="gramEnd"/>
      <w:r w:rsidRPr="009F1BA0">
        <w:t>車輛</w:t>
      </w:r>
      <w:r w:rsidRPr="009F1BA0">
        <w:rPr>
          <w:rFonts w:hint="eastAsia"/>
        </w:rPr>
        <w:t>，其103至105年年</w:t>
      </w:r>
      <w:r w:rsidRPr="009F1BA0">
        <w:t>平均</w:t>
      </w:r>
      <w:r w:rsidRPr="009F1BA0">
        <w:rPr>
          <w:rFonts w:hint="eastAsia"/>
        </w:rPr>
        <w:t>維修費超過新購價值20</w:t>
      </w:r>
      <w:r w:rsidR="006D368A" w:rsidRPr="009F1BA0">
        <w:rPr>
          <w:rFonts w:hint="eastAsia"/>
        </w:rPr>
        <w:t>％</w:t>
      </w:r>
      <w:r w:rsidRPr="009F1BA0">
        <w:rPr>
          <w:rFonts w:hint="eastAsia"/>
        </w:rPr>
        <w:t>以上者計</w:t>
      </w:r>
      <w:r w:rsidRPr="009F1BA0">
        <w:t>有204</w:t>
      </w:r>
      <w:r w:rsidRPr="009F1BA0">
        <w:rPr>
          <w:rFonts w:hint="eastAsia"/>
        </w:rPr>
        <w:t>輛，</w:t>
      </w:r>
      <w:r w:rsidRPr="009F1BA0">
        <w:t>其中最</w:t>
      </w:r>
      <w:r w:rsidRPr="009F1BA0">
        <w:rPr>
          <w:rFonts w:hint="eastAsia"/>
        </w:rPr>
        <w:t>高者</w:t>
      </w:r>
      <w:r w:rsidRPr="009F1BA0">
        <w:t>達83.87</w:t>
      </w:r>
      <w:r w:rsidRPr="009F1BA0">
        <w:rPr>
          <w:rFonts w:hint="eastAsia"/>
        </w:rPr>
        <w:t>％。由以上說明可知，中華郵政公司之車輛使用單位提報用車需求未盡</w:t>
      </w:r>
      <w:proofErr w:type="gramStart"/>
      <w:r w:rsidRPr="009F1BA0">
        <w:rPr>
          <w:rFonts w:hint="eastAsia"/>
        </w:rPr>
        <w:t>覈</w:t>
      </w:r>
      <w:proofErr w:type="gramEnd"/>
      <w:r w:rsidRPr="009F1BA0">
        <w:rPr>
          <w:rFonts w:hint="eastAsia"/>
        </w:rPr>
        <w:t>實，總公司亦未確實審查，致新購車輛閒置未用。</w:t>
      </w:r>
    </w:p>
    <w:p w:rsidR="000E0E00" w:rsidRPr="009F1BA0" w:rsidRDefault="000E0E00" w:rsidP="000E0E00">
      <w:pPr>
        <w:pStyle w:val="3"/>
      </w:pPr>
      <w:proofErr w:type="gramStart"/>
      <w:r w:rsidRPr="009F1BA0">
        <w:rPr>
          <w:rFonts w:hint="eastAsia"/>
        </w:rPr>
        <w:t>嗣</w:t>
      </w:r>
      <w:proofErr w:type="gramEnd"/>
      <w:r w:rsidRPr="009F1BA0">
        <w:rPr>
          <w:rFonts w:hint="eastAsia"/>
        </w:rPr>
        <w:t>查</w:t>
      </w:r>
      <w:r w:rsidR="008054D3" w:rsidRPr="009F1BA0">
        <w:rPr>
          <w:spacing w:val="-20"/>
          <w:vertAlign w:val="superscript"/>
        </w:rPr>
        <w:t>同</w:t>
      </w:r>
      <w:proofErr w:type="gramStart"/>
      <w:r w:rsidR="008054D3" w:rsidRPr="009F1BA0">
        <w:rPr>
          <w:spacing w:val="-20"/>
          <w:vertAlign w:val="superscript"/>
        </w:rPr>
        <w:t>註</w:t>
      </w:r>
      <w:proofErr w:type="gramEnd"/>
      <w:r w:rsidR="008054D3" w:rsidRPr="009F1BA0">
        <w:rPr>
          <w:spacing w:val="-20"/>
          <w:vertAlign w:val="superscript"/>
        </w:rPr>
        <w:t>5</w:t>
      </w:r>
      <w:r w:rsidRPr="009F1BA0">
        <w:rPr>
          <w:rFonts w:hint="eastAsia"/>
        </w:rPr>
        <w:t>，中華郵政公司截至108年10月止，有116輛平均使用里程未達同車型同單位同期間每月平均使用里程50％，且部分車輛每月使用里程皆未達</w:t>
      </w:r>
      <w:r w:rsidRPr="009F1BA0">
        <w:rPr>
          <w:rFonts w:hint="eastAsia"/>
        </w:rPr>
        <w:lastRenderedPageBreak/>
        <w:t>30公里，另有34輛電動機車未配置駕駛員或駕駛員有重複配車情事。已造成各局配發新型電動車後，部分投遞單位車輛總數（含電動機車及汽油機車）已超過郵</w:t>
      </w:r>
      <w:proofErr w:type="gramStart"/>
      <w:r w:rsidRPr="009F1BA0">
        <w:rPr>
          <w:rFonts w:hint="eastAsia"/>
        </w:rPr>
        <w:t>務</w:t>
      </w:r>
      <w:proofErr w:type="gramEnd"/>
      <w:r w:rsidRPr="009F1BA0">
        <w:rPr>
          <w:rFonts w:hint="eastAsia"/>
        </w:rPr>
        <w:t>士員額之120％，其中以澎湖郵局郵</w:t>
      </w:r>
      <w:proofErr w:type="gramStart"/>
      <w:r w:rsidRPr="009F1BA0">
        <w:rPr>
          <w:rFonts w:hint="eastAsia"/>
        </w:rPr>
        <w:t>務</w:t>
      </w:r>
      <w:proofErr w:type="gramEnd"/>
      <w:r w:rsidRPr="009F1BA0">
        <w:rPr>
          <w:rFonts w:hint="eastAsia"/>
        </w:rPr>
        <w:t>科郵</w:t>
      </w:r>
      <w:proofErr w:type="gramStart"/>
      <w:r w:rsidRPr="009F1BA0">
        <w:rPr>
          <w:rFonts w:hint="eastAsia"/>
        </w:rPr>
        <w:t>務</w:t>
      </w:r>
      <w:proofErr w:type="gramEnd"/>
      <w:r w:rsidRPr="009F1BA0">
        <w:rPr>
          <w:rFonts w:hint="eastAsia"/>
        </w:rPr>
        <w:t>股146.51％為最高，其次為宜蘭郵局郵</w:t>
      </w:r>
      <w:proofErr w:type="gramStart"/>
      <w:r w:rsidRPr="009F1BA0">
        <w:rPr>
          <w:rFonts w:hint="eastAsia"/>
        </w:rPr>
        <w:t>務</w:t>
      </w:r>
      <w:proofErr w:type="gramEnd"/>
      <w:r w:rsidRPr="009F1BA0">
        <w:rPr>
          <w:rFonts w:hint="eastAsia"/>
        </w:rPr>
        <w:t>科郵</w:t>
      </w:r>
      <w:proofErr w:type="gramStart"/>
      <w:r w:rsidRPr="009F1BA0">
        <w:rPr>
          <w:rFonts w:hint="eastAsia"/>
        </w:rPr>
        <w:t>務</w:t>
      </w:r>
      <w:proofErr w:type="gramEnd"/>
      <w:r w:rsidRPr="009F1BA0">
        <w:rPr>
          <w:rFonts w:hint="eastAsia"/>
        </w:rPr>
        <w:t>股135.59％，再次為宜蘭郵局羅東郵局133.33％，</w:t>
      </w:r>
      <w:proofErr w:type="gramStart"/>
      <w:r w:rsidRPr="009F1BA0">
        <w:rPr>
          <w:rFonts w:hint="eastAsia"/>
        </w:rPr>
        <w:t>均達</w:t>
      </w:r>
      <w:proofErr w:type="gramEnd"/>
      <w:r w:rsidRPr="009F1BA0">
        <w:rPr>
          <w:rFonts w:hint="eastAsia"/>
        </w:rPr>
        <w:t>130％以上，</w:t>
      </w:r>
      <w:proofErr w:type="gramStart"/>
      <w:r w:rsidRPr="009F1BA0">
        <w:rPr>
          <w:rFonts w:hint="eastAsia"/>
        </w:rPr>
        <w:t>又查配有</w:t>
      </w:r>
      <w:proofErr w:type="gramEnd"/>
      <w:r w:rsidRPr="009F1BA0">
        <w:rPr>
          <w:rFonts w:hint="eastAsia"/>
        </w:rPr>
        <w:t>新型電動車之郵</w:t>
      </w:r>
      <w:proofErr w:type="gramStart"/>
      <w:r w:rsidRPr="009F1BA0">
        <w:rPr>
          <w:rFonts w:hint="eastAsia"/>
        </w:rPr>
        <w:t>務士中，臺</w:t>
      </w:r>
      <w:proofErr w:type="gramEnd"/>
      <w:r w:rsidRPr="009F1BA0">
        <w:rPr>
          <w:rFonts w:hint="eastAsia"/>
        </w:rPr>
        <w:t>北郵局等局以電動車續航力不足以支持投遞段所需里程，或投遞範圍包含山區不適合電動車使用，或既有車輛未達報廢資格等因素，除配發新型電動機車外，另配置汽油機車或配置第2輛電動機車始能完成投遞工作，計95名郵</w:t>
      </w:r>
      <w:proofErr w:type="gramStart"/>
      <w:r w:rsidRPr="009F1BA0">
        <w:rPr>
          <w:rFonts w:hint="eastAsia"/>
        </w:rPr>
        <w:t>務</w:t>
      </w:r>
      <w:proofErr w:type="gramEnd"/>
      <w:r w:rsidRPr="009F1BA0">
        <w:rPr>
          <w:rFonts w:hint="eastAsia"/>
        </w:rPr>
        <w:t>士，使用106輛新型電動機車及84輛其他汽油或舊型電動機車。另查部分責任中心局因區段整合、人員異動、充當緊急情況用車等因素，計19</w:t>
      </w:r>
      <w:r w:rsidR="00E75CF1" w:rsidRPr="009F1BA0">
        <w:rPr>
          <w:rFonts w:hint="eastAsia"/>
        </w:rPr>
        <w:t>輛新租</w:t>
      </w:r>
      <w:r w:rsidRPr="009F1BA0">
        <w:rPr>
          <w:rFonts w:hint="eastAsia"/>
        </w:rPr>
        <w:t>購之新型電動機車</w:t>
      </w:r>
      <w:proofErr w:type="gramStart"/>
      <w:r w:rsidRPr="009F1BA0">
        <w:rPr>
          <w:rFonts w:hint="eastAsia"/>
        </w:rPr>
        <w:t>充當備車</w:t>
      </w:r>
      <w:proofErr w:type="gramEnd"/>
      <w:r w:rsidRPr="009F1BA0">
        <w:rPr>
          <w:rFonts w:hint="eastAsia"/>
        </w:rPr>
        <w:t>。由以上電動機車之配發及使用情形可知，中華郵政公司於106年後為配合公共</w:t>
      </w:r>
      <w:proofErr w:type="gramStart"/>
      <w:r w:rsidRPr="009F1BA0">
        <w:rPr>
          <w:rFonts w:hint="eastAsia"/>
        </w:rPr>
        <w:t>運輸減碳計畫</w:t>
      </w:r>
      <w:proofErr w:type="gramEnd"/>
      <w:r w:rsidRPr="009F1BA0">
        <w:rPr>
          <w:rFonts w:hint="eastAsia"/>
        </w:rPr>
        <w:t>，至109年共採購3</w:t>
      </w:r>
      <w:r w:rsidRPr="009F1BA0">
        <w:t>,</w:t>
      </w:r>
      <w:r w:rsidRPr="009F1BA0">
        <w:rPr>
          <w:rFonts w:hint="eastAsia"/>
        </w:rPr>
        <w:t>200餘台電動機車，因新型電動機車配置未考量投遞段性質、業務量及人力，造成郵</w:t>
      </w:r>
      <w:proofErr w:type="gramStart"/>
      <w:r w:rsidRPr="009F1BA0">
        <w:rPr>
          <w:rFonts w:hint="eastAsia"/>
        </w:rPr>
        <w:t>務</w:t>
      </w:r>
      <w:proofErr w:type="gramEnd"/>
      <w:r w:rsidRPr="009F1BA0">
        <w:rPr>
          <w:rFonts w:hint="eastAsia"/>
        </w:rPr>
        <w:t>士1人使用多部機車，產生資源分配過剩情況。</w:t>
      </w:r>
    </w:p>
    <w:p w:rsidR="000E0E00" w:rsidRPr="009F1BA0" w:rsidRDefault="000E0E00" w:rsidP="000E0E00">
      <w:pPr>
        <w:pStyle w:val="3"/>
      </w:pPr>
      <w:r w:rsidRPr="009F1BA0">
        <w:rPr>
          <w:rFonts w:hint="eastAsia"/>
        </w:rPr>
        <w:t>據復</w:t>
      </w:r>
      <w:r w:rsidR="008054D3" w:rsidRPr="009F1BA0">
        <w:rPr>
          <w:spacing w:val="-20"/>
          <w:vertAlign w:val="superscript"/>
        </w:rPr>
        <w:t>同</w:t>
      </w:r>
      <w:proofErr w:type="gramStart"/>
      <w:r w:rsidR="008054D3" w:rsidRPr="009F1BA0">
        <w:rPr>
          <w:spacing w:val="-20"/>
          <w:vertAlign w:val="superscript"/>
        </w:rPr>
        <w:t>註</w:t>
      </w:r>
      <w:proofErr w:type="gramEnd"/>
      <w:r w:rsidR="008054D3" w:rsidRPr="009F1BA0">
        <w:rPr>
          <w:spacing w:val="-20"/>
          <w:vertAlign w:val="superscript"/>
        </w:rPr>
        <w:t>6</w:t>
      </w:r>
      <w:r w:rsidRPr="009F1BA0">
        <w:rPr>
          <w:rFonts w:hint="eastAsia"/>
        </w:rPr>
        <w:t>，因104年、</w:t>
      </w:r>
      <w:proofErr w:type="gramStart"/>
      <w:r w:rsidRPr="009F1BA0">
        <w:rPr>
          <w:rFonts w:hint="eastAsia"/>
        </w:rPr>
        <w:t>105年郵用機車</w:t>
      </w:r>
      <w:proofErr w:type="gramEnd"/>
      <w:r w:rsidRPr="009F1BA0">
        <w:rPr>
          <w:rFonts w:hint="eastAsia"/>
        </w:rPr>
        <w:t>採購案</w:t>
      </w:r>
      <w:proofErr w:type="gramStart"/>
      <w:r w:rsidRPr="009F1BA0">
        <w:rPr>
          <w:rFonts w:hint="eastAsia"/>
        </w:rPr>
        <w:t>均由廠商捷穎</w:t>
      </w:r>
      <w:proofErr w:type="gramEnd"/>
      <w:r w:rsidRPr="009F1BA0">
        <w:rPr>
          <w:rFonts w:hint="eastAsia"/>
        </w:rPr>
        <w:t>公司低價得標，合計採購機車數達1,941輛，該公司機車品質不如傳統機車大廠，故障率較高，致郵</w:t>
      </w:r>
      <w:proofErr w:type="gramStart"/>
      <w:r w:rsidRPr="009F1BA0">
        <w:rPr>
          <w:rFonts w:hint="eastAsia"/>
        </w:rPr>
        <w:t>務</w:t>
      </w:r>
      <w:proofErr w:type="gramEnd"/>
      <w:r w:rsidRPr="009F1BA0">
        <w:rPr>
          <w:rFonts w:hint="eastAsia"/>
        </w:rPr>
        <w:t>士較偏好騎乘已屆使用年限、車況尚佳之舊有機車，預計採購</w:t>
      </w:r>
      <w:proofErr w:type="gramStart"/>
      <w:r w:rsidRPr="009F1BA0">
        <w:rPr>
          <w:rFonts w:hint="eastAsia"/>
        </w:rPr>
        <w:t>之捷穎</w:t>
      </w:r>
      <w:proofErr w:type="gramEnd"/>
      <w:r w:rsidRPr="009F1BA0">
        <w:rPr>
          <w:rFonts w:hint="eastAsia"/>
        </w:rPr>
        <w:t>機車將陸續於110年12月(計1,192輛)及112年2月(計749輛)屆滿使用年限，屆時將針對車況差</w:t>
      </w:r>
      <w:proofErr w:type="gramStart"/>
      <w:r w:rsidRPr="009F1BA0">
        <w:rPr>
          <w:rFonts w:hint="eastAsia"/>
        </w:rPr>
        <w:t>之捷穎</w:t>
      </w:r>
      <w:proofErr w:type="gramEnd"/>
      <w:r w:rsidRPr="009F1BA0">
        <w:rPr>
          <w:rFonts w:hint="eastAsia"/>
        </w:rPr>
        <w:t>機車報廢；另有關107年初開始採購電動機車，初期少部分車輛因馬達控制器異常無法使用，</w:t>
      </w:r>
      <w:proofErr w:type="gramStart"/>
      <w:r w:rsidRPr="009F1BA0">
        <w:rPr>
          <w:rFonts w:hint="eastAsia"/>
        </w:rPr>
        <w:t>以致待料維修</w:t>
      </w:r>
      <w:proofErr w:type="gramEnd"/>
      <w:r w:rsidRPr="009F1BA0">
        <w:rPr>
          <w:rFonts w:hint="eastAsia"/>
        </w:rPr>
        <w:t>期間閒置情</w:t>
      </w:r>
      <w:r w:rsidRPr="009F1BA0">
        <w:rPr>
          <w:rFonts w:hint="eastAsia"/>
        </w:rPr>
        <w:lastRenderedPageBreak/>
        <w:t>況，為不影響投遞作業，只得另備用燃油車輛因應，且少部分郵</w:t>
      </w:r>
      <w:proofErr w:type="gramStart"/>
      <w:r w:rsidRPr="009F1BA0">
        <w:rPr>
          <w:rFonts w:hint="eastAsia"/>
        </w:rPr>
        <w:t>務</w:t>
      </w:r>
      <w:proofErr w:type="gramEnd"/>
      <w:r w:rsidRPr="009F1BA0">
        <w:rPr>
          <w:rFonts w:hint="eastAsia"/>
        </w:rPr>
        <w:t>士對於電動機車認識不足，排斥使用電動機車，致增加備用車的需求量，故造成一定</w:t>
      </w:r>
      <w:proofErr w:type="gramStart"/>
      <w:r w:rsidRPr="009F1BA0">
        <w:rPr>
          <w:rFonts w:hint="eastAsia"/>
        </w:rPr>
        <w:t>期間備車數量</w:t>
      </w:r>
      <w:proofErr w:type="gramEnd"/>
      <w:r w:rsidRPr="009F1BA0">
        <w:rPr>
          <w:rFonts w:hint="eastAsia"/>
        </w:rPr>
        <w:t>有增加情形。</w:t>
      </w:r>
    </w:p>
    <w:p w:rsidR="000E0E00" w:rsidRPr="009F1BA0" w:rsidRDefault="000E0E00" w:rsidP="000E0E00">
      <w:pPr>
        <w:pStyle w:val="3"/>
      </w:pPr>
      <w:r w:rsidRPr="009F1BA0">
        <w:rPr>
          <w:rFonts w:hint="eastAsia"/>
        </w:rPr>
        <w:t>綜上，中華郵政公司辦理郵政車輛採購審查作業，因忽視10</w:t>
      </w:r>
      <w:r w:rsidRPr="009F1BA0">
        <w:t>5</w:t>
      </w:r>
      <w:r w:rsidRPr="009F1BA0">
        <w:rPr>
          <w:rFonts w:hint="eastAsia"/>
        </w:rPr>
        <w:t>年</w:t>
      </w:r>
      <w:r w:rsidR="00E75CF1" w:rsidRPr="009F1BA0">
        <w:rPr>
          <w:rFonts w:hint="eastAsia"/>
        </w:rPr>
        <w:t>前</w:t>
      </w:r>
      <w:r w:rsidRPr="009F1BA0">
        <w:rPr>
          <w:rFonts w:hint="eastAsia"/>
        </w:rPr>
        <w:t>所</w:t>
      </w:r>
      <w:proofErr w:type="gramStart"/>
      <w:r w:rsidRPr="009F1BA0">
        <w:rPr>
          <w:rFonts w:hint="eastAsia"/>
        </w:rPr>
        <w:t>新購燃油</w:t>
      </w:r>
      <w:proofErr w:type="gramEnd"/>
      <w:r w:rsidRPr="009F1BA0">
        <w:rPr>
          <w:rFonts w:hint="eastAsia"/>
        </w:rPr>
        <w:t>車輛品質不佳，致郵</w:t>
      </w:r>
      <w:proofErr w:type="gramStart"/>
      <w:r w:rsidRPr="009F1BA0">
        <w:rPr>
          <w:rFonts w:hint="eastAsia"/>
        </w:rPr>
        <w:t>務</w:t>
      </w:r>
      <w:proofErr w:type="gramEnd"/>
      <w:r w:rsidRPr="009F1BA0">
        <w:rPr>
          <w:rFonts w:hint="eastAsia"/>
        </w:rPr>
        <w:t>士較偏好騎乘已屆使用年限、車況尚佳之舊有機車，已有閒置未用之情事，復於106年後又為配合公共</w:t>
      </w:r>
      <w:proofErr w:type="gramStart"/>
      <w:r w:rsidRPr="009F1BA0">
        <w:rPr>
          <w:rFonts w:hint="eastAsia"/>
        </w:rPr>
        <w:t>運輸減碳計畫</w:t>
      </w:r>
      <w:proofErr w:type="gramEnd"/>
      <w:r w:rsidRPr="009F1BA0">
        <w:rPr>
          <w:rFonts w:hint="eastAsia"/>
        </w:rPr>
        <w:t>，至109年共採購3</w:t>
      </w:r>
      <w:r w:rsidRPr="009F1BA0">
        <w:t>,</w:t>
      </w:r>
      <w:r w:rsidRPr="009F1BA0">
        <w:rPr>
          <w:rFonts w:hint="eastAsia"/>
        </w:rPr>
        <w:t>200餘台電動機車，因107年初開始採用電動機車，初期少部分車輛因馬達控制器異常無法使用，</w:t>
      </w:r>
      <w:proofErr w:type="gramStart"/>
      <w:r w:rsidRPr="009F1BA0">
        <w:rPr>
          <w:rFonts w:hint="eastAsia"/>
        </w:rPr>
        <w:t>以致待料維修</w:t>
      </w:r>
      <w:proofErr w:type="gramEnd"/>
      <w:r w:rsidRPr="009F1BA0">
        <w:rPr>
          <w:rFonts w:hint="eastAsia"/>
        </w:rPr>
        <w:t>期間閒置情況，且少部分郵</w:t>
      </w:r>
      <w:proofErr w:type="gramStart"/>
      <w:r w:rsidRPr="009F1BA0">
        <w:rPr>
          <w:rFonts w:hint="eastAsia"/>
        </w:rPr>
        <w:t>務</w:t>
      </w:r>
      <w:proofErr w:type="gramEnd"/>
      <w:r w:rsidRPr="009F1BA0">
        <w:rPr>
          <w:rFonts w:hint="eastAsia"/>
        </w:rPr>
        <w:t>士對於電動機車認識不足，排斥使用電動機車，致增加備用車的需求量，造成郵</w:t>
      </w:r>
      <w:proofErr w:type="gramStart"/>
      <w:r w:rsidRPr="009F1BA0">
        <w:rPr>
          <w:rFonts w:hint="eastAsia"/>
        </w:rPr>
        <w:t>務</w:t>
      </w:r>
      <w:proofErr w:type="gramEnd"/>
      <w:r w:rsidRPr="009F1BA0">
        <w:rPr>
          <w:rFonts w:hint="eastAsia"/>
        </w:rPr>
        <w:t>士重複配發車輛，或</w:t>
      </w:r>
      <w:proofErr w:type="gramStart"/>
      <w:r w:rsidRPr="009F1BA0">
        <w:rPr>
          <w:rFonts w:hint="eastAsia"/>
        </w:rPr>
        <w:t>產生溢餘車輛</w:t>
      </w:r>
      <w:proofErr w:type="gramEnd"/>
      <w:r w:rsidRPr="009F1BA0">
        <w:rPr>
          <w:rFonts w:hint="eastAsia"/>
        </w:rPr>
        <w:t>，導致部分車輛閒置或低度利用等情事，顯見該公司郵</w:t>
      </w:r>
      <w:proofErr w:type="gramStart"/>
      <w:r w:rsidRPr="009F1BA0">
        <w:rPr>
          <w:rFonts w:hint="eastAsia"/>
        </w:rPr>
        <w:t>務</w:t>
      </w:r>
      <w:proofErr w:type="gramEnd"/>
      <w:r w:rsidRPr="009F1BA0">
        <w:rPr>
          <w:rFonts w:hint="eastAsia"/>
        </w:rPr>
        <w:t>機車採購未能衡量轄屬車輛實際需求，而有需求提報不實，審查作業欠嚴謹之失，顯有檢討改善之必要。</w:t>
      </w:r>
    </w:p>
    <w:p w:rsidR="000E0E00" w:rsidRPr="009F1BA0" w:rsidRDefault="000E0E00" w:rsidP="000E0E00">
      <w:pPr>
        <w:pStyle w:val="2"/>
        <w:ind w:left="1020" w:hanging="680"/>
        <w:rPr>
          <w:b/>
        </w:rPr>
      </w:pPr>
      <w:r w:rsidRPr="009F1BA0">
        <w:rPr>
          <w:rFonts w:hint="eastAsia"/>
          <w:b/>
        </w:rPr>
        <w:t>中華郵政公司未能落實郵政車輛管理要點之郵政車輛使用以共用制為原則之規定，致105年至109年間</w:t>
      </w:r>
      <w:proofErr w:type="gramStart"/>
      <w:r w:rsidRPr="009F1BA0">
        <w:rPr>
          <w:rFonts w:hint="eastAsia"/>
          <w:b/>
        </w:rPr>
        <w:t>各式郵用車輛</w:t>
      </w:r>
      <w:proofErr w:type="gramEnd"/>
      <w:r w:rsidRPr="009F1BA0">
        <w:rPr>
          <w:rFonts w:hint="eastAsia"/>
          <w:b/>
        </w:rPr>
        <w:t>數及郵</w:t>
      </w:r>
      <w:proofErr w:type="gramStart"/>
      <w:r w:rsidRPr="009F1BA0">
        <w:rPr>
          <w:rFonts w:hint="eastAsia"/>
          <w:b/>
        </w:rPr>
        <w:t>務士人數配比率</w:t>
      </w:r>
      <w:proofErr w:type="gramEnd"/>
      <w:r w:rsidRPr="009F1BA0">
        <w:rPr>
          <w:rFonts w:hint="eastAsia"/>
          <w:b/>
        </w:rPr>
        <w:t>均超過100％，甚至於107年高達118.4％，顯有違共用之原則，亦不符1人1車之上限規定，允應考量實際郵</w:t>
      </w:r>
      <w:proofErr w:type="gramStart"/>
      <w:r w:rsidRPr="009F1BA0">
        <w:rPr>
          <w:rFonts w:hint="eastAsia"/>
          <w:b/>
        </w:rPr>
        <w:t>務</w:t>
      </w:r>
      <w:proofErr w:type="gramEnd"/>
      <w:r w:rsidRPr="009F1BA0">
        <w:rPr>
          <w:rFonts w:hint="eastAsia"/>
          <w:b/>
        </w:rPr>
        <w:t>投遞業務需求狀況，進行務實之修正或</w:t>
      </w:r>
      <w:r w:rsidR="00795825" w:rsidRPr="009F1BA0">
        <w:rPr>
          <w:rFonts w:hint="eastAsia"/>
          <w:b/>
        </w:rPr>
        <w:t>檢討</w:t>
      </w:r>
      <w:r w:rsidRPr="009F1BA0">
        <w:rPr>
          <w:rFonts w:hint="eastAsia"/>
          <w:b/>
        </w:rPr>
        <w:t>。</w:t>
      </w:r>
    </w:p>
    <w:p w:rsidR="000E0E00" w:rsidRPr="009F1BA0" w:rsidRDefault="000E0E00" w:rsidP="000E0E00">
      <w:pPr>
        <w:pStyle w:val="3"/>
      </w:pPr>
      <w:r w:rsidRPr="009F1BA0">
        <w:rPr>
          <w:rFonts w:hint="eastAsia"/>
        </w:rPr>
        <w:t>據中華郵政公司郵政車輛管理要點第6點規定，郵政車輛之使用以共用制為原則，但如確因公務實際需要，得1人1車。亦即例外情況始得1人1車。故由上開車輛管理要點可知，郵政車輛之使用以共用制為原則，車</w:t>
      </w:r>
      <w:r w:rsidR="00795825" w:rsidRPr="009F1BA0">
        <w:rPr>
          <w:rFonts w:hint="eastAsia"/>
        </w:rPr>
        <w:t>人</w:t>
      </w:r>
      <w:r w:rsidRPr="009F1BA0">
        <w:rPr>
          <w:rFonts w:hint="eastAsia"/>
        </w:rPr>
        <w:t>比應該低於100％。</w:t>
      </w:r>
    </w:p>
    <w:p w:rsidR="000E0E00" w:rsidRPr="009F1BA0" w:rsidRDefault="000E0E00" w:rsidP="000E0E00">
      <w:pPr>
        <w:pStyle w:val="3"/>
      </w:pPr>
      <w:r w:rsidRPr="009F1BA0">
        <w:rPr>
          <w:rFonts w:hint="eastAsia"/>
        </w:rPr>
        <w:t>經</w:t>
      </w:r>
      <w:proofErr w:type="gramStart"/>
      <w:r w:rsidRPr="009F1BA0">
        <w:rPr>
          <w:rFonts w:hint="eastAsia"/>
        </w:rPr>
        <w:t>審計部函報</w:t>
      </w:r>
      <w:proofErr w:type="gramEnd"/>
      <w:r w:rsidR="008054D3" w:rsidRPr="009F1BA0">
        <w:rPr>
          <w:spacing w:val="-20"/>
          <w:vertAlign w:val="superscript"/>
        </w:rPr>
        <w:t>同</w:t>
      </w:r>
      <w:proofErr w:type="gramStart"/>
      <w:r w:rsidR="008054D3" w:rsidRPr="009F1BA0">
        <w:rPr>
          <w:spacing w:val="-20"/>
          <w:vertAlign w:val="superscript"/>
        </w:rPr>
        <w:t>註</w:t>
      </w:r>
      <w:proofErr w:type="gramEnd"/>
      <w:r w:rsidR="008054D3" w:rsidRPr="009F1BA0">
        <w:rPr>
          <w:spacing w:val="-20"/>
          <w:vertAlign w:val="superscript"/>
        </w:rPr>
        <w:t>5</w:t>
      </w:r>
      <w:r w:rsidRPr="009F1BA0">
        <w:rPr>
          <w:rFonts w:hint="eastAsia"/>
        </w:rPr>
        <w:t>，中華郵政公司現有郵</w:t>
      </w:r>
      <w:proofErr w:type="gramStart"/>
      <w:r w:rsidRPr="009F1BA0">
        <w:rPr>
          <w:rFonts w:hint="eastAsia"/>
        </w:rPr>
        <w:t>務</w:t>
      </w:r>
      <w:proofErr w:type="gramEnd"/>
      <w:r w:rsidRPr="009F1BA0">
        <w:rPr>
          <w:rFonts w:hint="eastAsia"/>
        </w:rPr>
        <w:t>士10,084</w:t>
      </w:r>
      <w:r w:rsidRPr="009F1BA0">
        <w:rPr>
          <w:rFonts w:hint="eastAsia"/>
        </w:rPr>
        <w:lastRenderedPageBreak/>
        <w:t>人(資料日期：108年4月11日)，各式郵</w:t>
      </w:r>
      <w:proofErr w:type="gramStart"/>
      <w:r w:rsidRPr="009F1BA0">
        <w:rPr>
          <w:rFonts w:hint="eastAsia"/>
        </w:rPr>
        <w:t>務</w:t>
      </w:r>
      <w:proofErr w:type="gramEnd"/>
      <w:r w:rsidRPr="009F1BA0">
        <w:rPr>
          <w:rFonts w:hint="eastAsia"/>
        </w:rPr>
        <w:t>用車輛包含二輪機車8,620輛、箱型車2,316輛，六輪郵車376輛、拖車4輛、十輪郵車2輛等，計11,318輛(資料日期：108年5月16日)，差異達1,234輛；又截至109年4月止，該公司各式郵</w:t>
      </w:r>
      <w:proofErr w:type="gramStart"/>
      <w:r w:rsidRPr="009F1BA0">
        <w:rPr>
          <w:rFonts w:hint="eastAsia"/>
        </w:rPr>
        <w:t>務</w:t>
      </w:r>
      <w:proofErr w:type="gramEnd"/>
      <w:r w:rsidRPr="009F1BA0">
        <w:rPr>
          <w:rFonts w:hint="eastAsia"/>
        </w:rPr>
        <w:t>車輛數12</w:t>
      </w:r>
      <w:r w:rsidRPr="009F1BA0">
        <w:t>,</w:t>
      </w:r>
      <w:r w:rsidRPr="009F1BA0">
        <w:rPr>
          <w:rFonts w:hint="eastAsia"/>
        </w:rPr>
        <w:t>348輛，已超過郵</w:t>
      </w:r>
      <w:proofErr w:type="gramStart"/>
      <w:r w:rsidRPr="009F1BA0">
        <w:rPr>
          <w:rFonts w:hint="eastAsia"/>
        </w:rPr>
        <w:t>務</w:t>
      </w:r>
      <w:proofErr w:type="gramEnd"/>
      <w:r w:rsidRPr="009F1BA0">
        <w:rPr>
          <w:rFonts w:hint="eastAsia"/>
        </w:rPr>
        <w:t>士人數10</w:t>
      </w:r>
      <w:r w:rsidRPr="009F1BA0">
        <w:t>,</w:t>
      </w:r>
      <w:r w:rsidRPr="009F1BA0">
        <w:rPr>
          <w:rFonts w:hint="eastAsia"/>
        </w:rPr>
        <w:t>357人，差異達1</w:t>
      </w:r>
      <w:r w:rsidRPr="009F1BA0">
        <w:t>,</w:t>
      </w:r>
      <w:r w:rsidRPr="009F1BA0">
        <w:rPr>
          <w:rFonts w:hint="eastAsia"/>
        </w:rPr>
        <w:t>991輛，車輛數與郵</w:t>
      </w:r>
      <w:proofErr w:type="gramStart"/>
      <w:r w:rsidRPr="009F1BA0">
        <w:rPr>
          <w:rFonts w:hint="eastAsia"/>
        </w:rPr>
        <w:t>務</w:t>
      </w:r>
      <w:proofErr w:type="gramEnd"/>
      <w:r w:rsidRPr="009F1BA0">
        <w:rPr>
          <w:rFonts w:hint="eastAsia"/>
        </w:rPr>
        <w:t>士比率達119％，除不符共用制原則外，</w:t>
      </w:r>
      <w:proofErr w:type="gramStart"/>
      <w:r w:rsidRPr="009F1BA0">
        <w:rPr>
          <w:rFonts w:hint="eastAsia"/>
        </w:rPr>
        <w:t>亦有溢餘車輛</w:t>
      </w:r>
      <w:proofErr w:type="gramEnd"/>
      <w:r w:rsidRPr="009F1BA0">
        <w:rPr>
          <w:rFonts w:hint="eastAsia"/>
        </w:rPr>
        <w:t>閒置情事。另據本院調查，105年至109年間，中華郵政公司</w:t>
      </w:r>
      <w:proofErr w:type="gramStart"/>
      <w:r w:rsidRPr="009F1BA0">
        <w:rPr>
          <w:rFonts w:hint="eastAsia"/>
        </w:rPr>
        <w:t>各式郵用車輛</w:t>
      </w:r>
      <w:proofErr w:type="gramEnd"/>
      <w:r w:rsidRPr="009F1BA0">
        <w:rPr>
          <w:rFonts w:hint="eastAsia"/>
        </w:rPr>
        <w:t>數及郵</w:t>
      </w:r>
      <w:proofErr w:type="gramStart"/>
      <w:r w:rsidRPr="009F1BA0">
        <w:rPr>
          <w:rFonts w:hint="eastAsia"/>
        </w:rPr>
        <w:t>務士人數配比率</w:t>
      </w:r>
      <w:proofErr w:type="gramEnd"/>
      <w:r w:rsidRPr="009F1BA0">
        <w:rPr>
          <w:rFonts w:hint="eastAsia"/>
        </w:rPr>
        <w:t>，分別為116.8％、115.8％、118.4％、115.7％及114.6％，皆已超過車</w:t>
      </w:r>
      <w:r w:rsidR="00795825" w:rsidRPr="009F1BA0">
        <w:rPr>
          <w:rFonts w:hint="eastAsia"/>
        </w:rPr>
        <w:t>人</w:t>
      </w:r>
      <w:r w:rsidRPr="009F1BA0">
        <w:rPr>
          <w:rFonts w:hint="eastAsia"/>
        </w:rPr>
        <w:t>比應該低於100％之上限，而違反郵政車輛之使用以共用制為原則之規定。</w:t>
      </w:r>
    </w:p>
    <w:p w:rsidR="000E0E00" w:rsidRPr="009F1BA0" w:rsidRDefault="000E0E00" w:rsidP="000E0E00">
      <w:pPr>
        <w:pStyle w:val="3"/>
      </w:pPr>
      <w:r w:rsidRPr="009F1BA0">
        <w:rPr>
          <w:rFonts w:hint="eastAsia"/>
        </w:rPr>
        <w:t>據復</w:t>
      </w:r>
      <w:r w:rsidR="008054D3" w:rsidRPr="009F1BA0">
        <w:rPr>
          <w:spacing w:val="-20"/>
          <w:vertAlign w:val="superscript"/>
        </w:rPr>
        <w:t>同</w:t>
      </w:r>
      <w:proofErr w:type="gramStart"/>
      <w:r w:rsidR="008054D3" w:rsidRPr="009F1BA0">
        <w:rPr>
          <w:spacing w:val="-20"/>
          <w:vertAlign w:val="superscript"/>
        </w:rPr>
        <w:t>註</w:t>
      </w:r>
      <w:proofErr w:type="gramEnd"/>
      <w:r w:rsidR="008054D3" w:rsidRPr="009F1BA0">
        <w:rPr>
          <w:spacing w:val="-20"/>
          <w:vertAlign w:val="superscript"/>
        </w:rPr>
        <w:t>6</w:t>
      </w:r>
      <w:r w:rsidRPr="009F1BA0">
        <w:rPr>
          <w:rFonts w:hint="eastAsia"/>
        </w:rPr>
        <w:t>，中華郵政公司部分投遞單位郵</w:t>
      </w:r>
      <w:proofErr w:type="gramStart"/>
      <w:r w:rsidRPr="009F1BA0">
        <w:rPr>
          <w:rFonts w:hint="eastAsia"/>
        </w:rPr>
        <w:t>務</w:t>
      </w:r>
      <w:proofErr w:type="gramEnd"/>
      <w:r w:rsidRPr="009F1BA0">
        <w:rPr>
          <w:rFonts w:hint="eastAsia"/>
        </w:rPr>
        <w:t>士於同一工作日內不同時段須使用不同型車輛(1人2車)情況，以提高投遞效率、車輛因重要組件如引擎損壞或車禍事件致機車大修情況，待修期間須以備</w:t>
      </w:r>
      <w:r w:rsidR="00795825" w:rsidRPr="009F1BA0">
        <w:rPr>
          <w:rFonts w:hint="eastAsia"/>
        </w:rPr>
        <w:t>用</w:t>
      </w:r>
      <w:r w:rsidRPr="009F1BA0">
        <w:rPr>
          <w:rFonts w:hint="eastAsia"/>
        </w:rPr>
        <w:t>車替代，以利投遞作業順暢、遇不可預料之需求暴增情況須以備</w:t>
      </w:r>
      <w:r w:rsidR="00795825" w:rsidRPr="009F1BA0">
        <w:rPr>
          <w:rFonts w:hint="eastAsia"/>
        </w:rPr>
        <w:t>用</w:t>
      </w:r>
      <w:r w:rsidRPr="009F1BA0">
        <w:rPr>
          <w:rFonts w:hint="eastAsia"/>
        </w:rPr>
        <w:t>車因應，例如去(109)年執行運送口罩及酒精任務，對於汽車及機車</w:t>
      </w:r>
      <w:proofErr w:type="gramStart"/>
      <w:r w:rsidRPr="009F1BA0">
        <w:rPr>
          <w:rFonts w:hint="eastAsia"/>
        </w:rPr>
        <w:t>需求量均告增加</w:t>
      </w:r>
      <w:proofErr w:type="gramEnd"/>
      <w:r w:rsidRPr="009F1BA0">
        <w:rPr>
          <w:rFonts w:hint="eastAsia"/>
        </w:rPr>
        <w:t>。因此，因應郵遞業務及投遞區段交通環境特性，</w:t>
      </w:r>
      <w:r w:rsidR="00795825" w:rsidRPr="009F1BA0">
        <w:rPr>
          <w:rFonts w:hint="eastAsia"/>
        </w:rPr>
        <w:t>車</w:t>
      </w:r>
      <w:r w:rsidRPr="009F1BA0">
        <w:rPr>
          <w:rFonts w:hint="eastAsia"/>
        </w:rPr>
        <w:t>人配比率不以1人1車之100%為目標，規劃略增5%，以105%為最終目標。由上開說明可知，中華郵政公司車</w:t>
      </w:r>
      <w:r w:rsidR="00795825" w:rsidRPr="009F1BA0">
        <w:rPr>
          <w:rFonts w:hint="eastAsia"/>
        </w:rPr>
        <w:t>人</w:t>
      </w:r>
      <w:r w:rsidRPr="009F1BA0">
        <w:rPr>
          <w:rFonts w:hint="eastAsia"/>
        </w:rPr>
        <w:t>比以105%為最終目標，已與該公司所定郵政車輛管理要點相違。</w:t>
      </w:r>
    </w:p>
    <w:p w:rsidR="000E0E00" w:rsidRPr="009F1BA0" w:rsidRDefault="000E0E00" w:rsidP="000E0E00">
      <w:pPr>
        <w:pStyle w:val="3"/>
      </w:pPr>
      <w:r w:rsidRPr="009F1BA0">
        <w:rPr>
          <w:rFonts w:hint="eastAsia"/>
        </w:rPr>
        <w:t>綜上，中華郵政公司未能落實郵政車輛管理要點之郵政車輛使用以共用制為原則之規定，致105年至109年間</w:t>
      </w:r>
      <w:proofErr w:type="gramStart"/>
      <w:r w:rsidRPr="009F1BA0">
        <w:rPr>
          <w:rFonts w:hint="eastAsia"/>
        </w:rPr>
        <w:t>各式郵用車輛</w:t>
      </w:r>
      <w:proofErr w:type="gramEnd"/>
      <w:r w:rsidRPr="009F1BA0">
        <w:rPr>
          <w:rFonts w:hint="eastAsia"/>
        </w:rPr>
        <w:t>數及郵</w:t>
      </w:r>
      <w:proofErr w:type="gramStart"/>
      <w:r w:rsidRPr="009F1BA0">
        <w:rPr>
          <w:rFonts w:hint="eastAsia"/>
        </w:rPr>
        <w:t>務士人數配比率</w:t>
      </w:r>
      <w:proofErr w:type="gramEnd"/>
      <w:r w:rsidRPr="009F1BA0">
        <w:rPr>
          <w:rFonts w:hint="eastAsia"/>
        </w:rPr>
        <w:t>均超過100％，分別為116.8％、115.8％、118.4％、115.7％及114.6％，顯有違共用之原則，亦不符1</w:t>
      </w:r>
      <w:r w:rsidRPr="009F1BA0">
        <w:rPr>
          <w:rFonts w:hint="eastAsia"/>
        </w:rPr>
        <w:lastRenderedPageBreak/>
        <w:t>人1車之上限規定，雖稱因郵遞業務及投遞區段交通環境特性之需要，</w:t>
      </w:r>
      <w:r w:rsidR="00795825" w:rsidRPr="009F1BA0">
        <w:rPr>
          <w:rFonts w:hint="eastAsia"/>
        </w:rPr>
        <w:t>車</w:t>
      </w:r>
      <w:r w:rsidRPr="009F1BA0">
        <w:rPr>
          <w:rFonts w:hint="eastAsia"/>
        </w:rPr>
        <w:t>人配比率不以1人1車之100%為目標，故規劃略增5%，以105%為最終目標，惟已與該公司所定郵政車輛管理要點相違，</w:t>
      </w:r>
      <w:proofErr w:type="gramStart"/>
      <w:r w:rsidRPr="009F1BA0">
        <w:rPr>
          <w:rFonts w:hint="eastAsia"/>
        </w:rPr>
        <w:t>故允應</w:t>
      </w:r>
      <w:proofErr w:type="gramEnd"/>
      <w:r w:rsidRPr="009F1BA0">
        <w:rPr>
          <w:rFonts w:hint="eastAsia"/>
        </w:rPr>
        <w:t>考量實際郵</w:t>
      </w:r>
      <w:proofErr w:type="gramStart"/>
      <w:r w:rsidRPr="009F1BA0">
        <w:rPr>
          <w:rFonts w:hint="eastAsia"/>
        </w:rPr>
        <w:t>務</w:t>
      </w:r>
      <w:proofErr w:type="gramEnd"/>
      <w:r w:rsidRPr="009F1BA0">
        <w:rPr>
          <w:rFonts w:hint="eastAsia"/>
        </w:rPr>
        <w:t>投遞業務需求狀況，進行務實之修正或</w:t>
      </w:r>
      <w:r w:rsidR="00795825" w:rsidRPr="009F1BA0">
        <w:rPr>
          <w:rFonts w:hint="eastAsia"/>
        </w:rPr>
        <w:t>檢討</w:t>
      </w:r>
      <w:r w:rsidRPr="009F1BA0">
        <w:rPr>
          <w:rFonts w:hint="eastAsia"/>
        </w:rPr>
        <w:t>。</w:t>
      </w:r>
    </w:p>
    <w:p w:rsidR="001463DD" w:rsidRPr="009F1BA0" w:rsidRDefault="00AF33B7">
      <w:pPr>
        <w:pStyle w:val="1"/>
        <w:ind w:left="2380" w:hanging="2380"/>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5"/>
      <w:bookmarkEnd w:id="46"/>
      <w:bookmarkEnd w:id="47"/>
      <w:bookmarkEnd w:id="48"/>
      <w:bookmarkEnd w:id="49"/>
      <w:bookmarkEnd w:id="50"/>
      <w:bookmarkEnd w:id="51"/>
      <w:bookmarkEnd w:id="52"/>
      <w:bookmarkEnd w:id="53"/>
      <w:r w:rsidRPr="009F1BA0">
        <w:br w:type="page"/>
      </w:r>
      <w:bookmarkStart w:id="64" w:name="_Toc529222689"/>
      <w:bookmarkStart w:id="65" w:name="_Toc529223111"/>
      <w:bookmarkStart w:id="66" w:name="_Toc529223862"/>
      <w:bookmarkStart w:id="67" w:name="_Toc529228265"/>
      <w:bookmarkStart w:id="68" w:name="_Toc2400395"/>
      <w:bookmarkStart w:id="69" w:name="_Toc4316189"/>
      <w:bookmarkStart w:id="70" w:name="_Toc4473330"/>
      <w:bookmarkStart w:id="71" w:name="_Toc69556897"/>
      <w:bookmarkStart w:id="72" w:name="_Toc69556946"/>
      <w:bookmarkStart w:id="73" w:name="_Toc69609820"/>
      <w:bookmarkStart w:id="74" w:name="_Toc70241816"/>
      <w:bookmarkStart w:id="75" w:name="_Toc70242205"/>
      <w:r w:rsidRPr="009F1BA0">
        <w:rPr>
          <w:rFonts w:hint="eastAsia"/>
        </w:rPr>
        <w:lastRenderedPageBreak/>
        <w:t>處理辦法：</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1463DD" w:rsidRPr="009F1BA0" w:rsidRDefault="00AF33B7">
      <w:pPr>
        <w:pStyle w:val="2"/>
        <w:ind w:left="1020" w:hanging="680"/>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524902735"/>
      <w:bookmarkStart w:id="88" w:name="_Toc525066149"/>
      <w:bookmarkStart w:id="89" w:name="_Toc525070840"/>
      <w:bookmarkStart w:id="90" w:name="_Toc525938380"/>
      <w:bookmarkStart w:id="91" w:name="_Toc525939228"/>
      <w:bookmarkStart w:id="92" w:name="_Toc525939733"/>
      <w:bookmarkStart w:id="93" w:name="_Toc529218273"/>
      <w:bookmarkStart w:id="94" w:name="_Toc529222690"/>
      <w:bookmarkStart w:id="95" w:name="_Toc529223112"/>
      <w:bookmarkStart w:id="96" w:name="_Toc529223863"/>
      <w:bookmarkStart w:id="97" w:name="_Toc529228266"/>
      <w:bookmarkEnd w:id="76"/>
      <w:bookmarkEnd w:id="77"/>
      <w:bookmarkEnd w:id="78"/>
      <w:r w:rsidRPr="009F1BA0">
        <w:rPr>
          <w:rFonts w:hint="eastAsia"/>
        </w:rPr>
        <w:t>調查意見</w:t>
      </w:r>
      <w:r w:rsidR="000E0E00" w:rsidRPr="009F1BA0">
        <w:rPr>
          <w:rFonts w:hint="eastAsia"/>
        </w:rPr>
        <w:t>一</w:t>
      </w:r>
      <w:r w:rsidRPr="009F1BA0">
        <w:rPr>
          <w:rFonts w:hint="eastAsia"/>
        </w:rPr>
        <w:t>至</w:t>
      </w:r>
      <w:r w:rsidR="000E0E00" w:rsidRPr="009F1BA0">
        <w:rPr>
          <w:rFonts w:hint="eastAsia"/>
        </w:rPr>
        <w:t>三</w:t>
      </w:r>
      <w:r w:rsidRPr="009F1BA0">
        <w:rPr>
          <w:rFonts w:hint="eastAsia"/>
        </w:rPr>
        <w:t>，函請</w:t>
      </w:r>
      <w:r w:rsidR="00BB755F" w:rsidRPr="009F1BA0">
        <w:rPr>
          <w:rFonts w:hint="eastAsia"/>
        </w:rPr>
        <w:t>交通部督促</w:t>
      </w:r>
      <w:r w:rsidR="00701A30" w:rsidRPr="009F1BA0">
        <w:rPr>
          <w:rFonts w:hint="eastAsia"/>
        </w:rPr>
        <w:t>中華郵政股份有限公司</w:t>
      </w:r>
      <w:r w:rsidRPr="009F1BA0">
        <w:rPr>
          <w:rFonts w:hint="eastAsia"/>
        </w:rPr>
        <w:t>確實檢討改進，並於二個月內</w:t>
      </w:r>
      <w:proofErr w:type="gramStart"/>
      <w:r w:rsidRPr="009F1BA0">
        <w:rPr>
          <w:rFonts w:hint="eastAsia"/>
        </w:rPr>
        <w:t>見復。</w:t>
      </w:r>
      <w:bookmarkEnd w:id="79"/>
      <w:bookmarkEnd w:id="80"/>
      <w:bookmarkEnd w:id="81"/>
      <w:bookmarkEnd w:id="82"/>
      <w:bookmarkEnd w:id="83"/>
      <w:bookmarkEnd w:id="84"/>
      <w:bookmarkEnd w:id="85"/>
      <w:bookmarkEnd w:id="86"/>
      <w:proofErr w:type="gramEnd"/>
    </w:p>
    <w:p w:rsidR="001463DD" w:rsidRPr="009F1BA0" w:rsidRDefault="00AF33B7">
      <w:pPr>
        <w:pStyle w:val="2"/>
        <w:ind w:left="1020" w:hanging="680"/>
      </w:pPr>
      <w:bookmarkStart w:id="98" w:name="_Toc70241819"/>
      <w:bookmarkStart w:id="99" w:name="_Toc70242208"/>
      <w:bookmarkStart w:id="100" w:name="_Toc69556899"/>
      <w:bookmarkStart w:id="101" w:name="_Toc69556948"/>
      <w:bookmarkStart w:id="102" w:name="_Toc69609822"/>
      <w:r w:rsidRPr="009F1BA0">
        <w:rPr>
          <w:rFonts w:hint="eastAsia"/>
        </w:rPr>
        <w:t>調查意見</w:t>
      </w:r>
      <w:r w:rsidR="00701A30" w:rsidRPr="009F1BA0">
        <w:rPr>
          <w:rFonts w:hint="eastAsia"/>
        </w:rPr>
        <w:t>一</w:t>
      </w:r>
      <w:r w:rsidRPr="009F1BA0">
        <w:rPr>
          <w:rFonts w:hint="eastAsia"/>
        </w:rPr>
        <w:t>至</w:t>
      </w:r>
      <w:r w:rsidR="00701A30" w:rsidRPr="009F1BA0">
        <w:rPr>
          <w:rFonts w:hint="eastAsia"/>
        </w:rPr>
        <w:t>三</w:t>
      </w:r>
      <w:r w:rsidRPr="009F1BA0">
        <w:rPr>
          <w:rFonts w:hint="eastAsia"/>
        </w:rPr>
        <w:t>，函</w:t>
      </w:r>
      <w:r w:rsidR="00701A30" w:rsidRPr="009F1BA0">
        <w:rPr>
          <w:rFonts w:hint="eastAsia"/>
        </w:rPr>
        <w:t>送審計部</w:t>
      </w:r>
      <w:r w:rsidRPr="009F1BA0">
        <w:rPr>
          <w:rFonts w:hint="eastAsia"/>
        </w:rPr>
        <w:t>。</w:t>
      </w:r>
      <w:bookmarkEnd w:id="98"/>
      <w:bookmarkEnd w:id="99"/>
    </w:p>
    <w:p w:rsidR="001463DD" w:rsidRPr="009F1BA0" w:rsidRDefault="00AF33B7">
      <w:pPr>
        <w:pStyle w:val="2"/>
        <w:ind w:left="1020" w:hanging="680"/>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End w:id="87"/>
      <w:bookmarkEnd w:id="88"/>
      <w:bookmarkEnd w:id="89"/>
      <w:bookmarkEnd w:id="90"/>
      <w:bookmarkEnd w:id="91"/>
      <w:bookmarkEnd w:id="92"/>
      <w:bookmarkEnd w:id="93"/>
      <w:bookmarkEnd w:id="94"/>
      <w:bookmarkEnd w:id="95"/>
      <w:bookmarkEnd w:id="96"/>
      <w:bookmarkEnd w:id="97"/>
      <w:bookmarkEnd w:id="100"/>
      <w:bookmarkEnd w:id="101"/>
      <w:bookmarkEnd w:id="102"/>
      <w:r w:rsidRPr="009F1BA0">
        <w:rPr>
          <w:rFonts w:hint="eastAsia"/>
        </w:rPr>
        <w:t>檢</w:t>
      </w:r>
      <w:proofErr w:type="gramStart"/>
      <w:r w:rsidRPr="009F1BA0">
        <w:rPr>
          <w:rFonts w:hint="eastAsia"/>
        </w:rPr>
        <w:t>附派查函</w:t>
      </w:r>
      <w:proofErr w:type="gramEnd"/>
      <w:r w:rsidRPr="009F1BA0">
        <w:rPr>
          <w:rFonts w:hint="eastAsia"/>
        </w:rPr>
        <w:t>及相關附件，送請</w:t>
      </w:r>
      <w:r w:rsidR="00701A30" w:rsidRPr="009F1BA0">
        <w:rPr>
          <w:rFonts w:hint="eastAsia"/>
        </w:rPr>
        <w:t>交通</w:t>
      </w:r>
      <w:r w:rsidRPr="009F1BA0">
        <w:rPr>
          <w:rFonts w:hint="eastAsia"/>
        </w:rPr>
        <w:t>及</w:t>
      </w:r>
      <w:r w:rsidR="00701A30" w:rsidRPr="009F1BA0">
        <w:rPr>
          <w:rFonts w:hint="eastAsia"/>
        </w:rPr>
        <w:t>採購</w:t>
      </w:r>
      <w:r w:rsidRPr="009F1BA0">
        <w:rPr>
          <w:rFonts w:hint="eastAsia"/>
        </w:rPr>
        <w:t>委員會處理。</w:t>
      </w:r>
      <w:bookmarkEnd w:id="103"/>
      <w:bookmarkEnd w:id="104"/>
      <w:bookmarkEnd w:id="105"/>
      <w:bookmarkEnd w:id="106"/>
      <w:bookmarkEnd w:id="107"/>
      <w:bookmarkEnd w:id="108"/>
      <w:bookmarkEnd w:id="109"/>
      <w:bookmarkEnd w:id="110"/>
    </w:p>
    <w:p w:rsidR="001463DD" w:rsidRDefault="00AF33B7">
      <w:pPr>
        <w:pStyle w:val="a5"/>
        <w:kinsoku w:val="0"/>
        <w:spacing w:before="0" w:after="0"/>
        <w:ind w:leftChars="1100" w:left="3742"/>
        <w:jc w:val="both"/>
        <w:rPr>
          <w:b w:val="0"/>
          <w:bCs/>
          <w:snapToGrid/>
          <w:spacing w:val="12"/>
          <w:kern w:val="0"/>
          <w:sz w:val="40"/>
        </w:rPr>
      </w:pPr>
      <w:r w:rsidRPr="009F1BA0">
        <w:rPr>
          <w:rFonts w:hint="eastAsia"/>
          <w:b w:val="0"/>
          <w:bCs/>
          <w:snapToGrid/>
          <w:spacing w:val="12"/>
          <w:kern w:val="0"/>
          <w:sz w:val="40"/>
        </w:rPr>
        <w:t>調查委員：</w:t>
      </w:r>
      <w:r w:rsidR="009F1BA0">
        <w:rPr>
          <w:rFonts w:hint="eastAsia"/>
          <w:b w:val="0"/>
          <w:bCs/>
          <w:snapToGrid/>
          <w:spacing w:val="12"/>
          <w:kern w:val="0"/>
          <w:sz w:val="40"/>
        </w:rPr>
        <w:t>陳景峻</w:t>
      </w:r>
    </w:p>
    <w:p w:rsidR="009F1BA0" w:rsidRPr="009F1BA0" w:rsidRDefault="009F1BA0" w:rsidP="00EE4D3E">
      <w:pPr>
        <w:pStyle w:val="a5"/>
        <w:kinsoku w:val="0"/>
        <w:spacing w:before="0" w:after="0"/>
        <w:ind w:leftChars="1042" w:left="4108" w:hangingChars="127" w:hanging="564"/>
        <w:jc w:val="both"/>
        <w:rPr>
          <w:rFonts w:ascii="Times New Roman"/>
          <w:b w:val="0"/>
          <w:bCs/>
          <w:snapToGrid/>
          <w:spacing w:val="0"/>
          <w:kern w:val="0"/>
          <w:sz w:val="40"/>
        </w:rPr>
      </w:pPr>
      <w:r>
        <w:rPr>
          <w:rFonts w:hint="eastAsia"/>
          <w:b w:val="0"/>
          <w:bCs/>
          <w:snapToGrid/>
          <w:spacing w:val="12"/>
          <w:kern w:val="0"/>
          <w:sz w:val="40"/>
        </w:rPr>
        <w:t xml:space="preserve">          </w:t>
      </w:r>
      <w:bookmarkStart w:id="111" w:name="_GoBack"/>
      <w:bookmarkEnd w:id="111"/>
      <w:r>
        <w:rPr>
          <w:rFonts w:hint="eastAsia"/>
          <w:b w:val="0"/>
          <w:bCs/>
          <w:snapToGrid/>
          <w:spacing w:val="12"/>
          <w:kern w:val="0"/>
          <w:sz w:val="40"/>
        </w:rPr>
        <w:t>葉宜津</w:t>
      </w:r>
    </w:p>
    <w:p w:rsidR="001463DD" w:rsidRPr="009F1BA0" w:rsidRDefault="001463DD">
      <w:pPr>
        <w:pStyle w:val="a5"/>
        <w:kinsoku w:val="0"/>
        <w:spacing w:before="0" w:after="0"/>
        <w:ind w:leftChars="1100" w:left="3742" w:firstLineChars="500" w:firstLine="2021"/>
        <w:jc w:val="both"/>
        <w:rPr>
          <w:b w:val="0"/>
          <w:bCs/>
          <w:snapToGrid/>
          <w:spacing w:val="12"/>
          <w:kern w:val="0"/>
        </w:rPr>
      </w:pPr>
    </w:p>
    <w:p w:rsidR="001463DD" w:rsidRPr="009F1BA0" w:rsidRDefault="001463DD">
      <w:pPr>
        <w:pStyle w:val="a5"/>
        <w:kinsoku w:val="0"/>
        <w:spacing w:before="0" w:after="0"/>
        <w:ind w:leftChars="1100" w:left="3742" w:firstLineChars="500" w:firstLine="2021"/>
        <w:jc w:val="both"/>
        <w:rPr>
          <w:b w:val="0"/>
          <w:bCs/>
          <w:snapToGrid/>
          <w:spacing w:val="12"/>
          <w:kern w:val="0"/>
        </w:rPr>
      </w:pPr>
    </w:p>
    <w:p w:rsidR="0022538F" w:rsidRPr="009F1BA0" w:rsidRDefault="0022538F">
      <w:pPr>
        <w:pStyle w:val="a5"/>
        <w:kinsoku w:val="0"/>
        <w:spacing w:before="0" w:after="0"/>
        <w:ind w:leftChars="1100" w:left="3742" w:firstLineChars="500" w:firstLine="2021"/>
        <w:jc w:val="both"/>
        <w:rPr>
          <w:b w:val="0"/>
          <w:bCs/>
          <w:snapToGrid/>
          <w:spacing w:val="12"/>
          <w:kern w:val="0"/>
        </w:rPr>
      </w:pPr>
    </w:p>
    <w:p w:rsidR="001463DD" w:rsidRPr="009F1BA0" w:rsidRDefault="001463DD">
      <w:pPr>
        <w:pStyle w:val="a5"/>
        <w:kinsoku w:val="0"/>
        <w:spacing w:before="0" w:after="0"/>
        <w:ind w:leftChars="1100" w:left="3742" w:firstLineChars="500" w:firstLine="2021"/>
        <w:jc w:val="both"/>
        <w:rPr>
          <w:b w:val="0"/>
          <w:bCs/>
          <w:snapToGrid/>
          <w:spacing w:val="12"/>
          <w:kern w:val="0"/>
        </w:rPr>
      </w:pPr>
    </w:p>
    <w:sectPr w:rsidR="001463DD" w:rsidRPr="009F1BA0">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53C" w:rsidRDefault="00A8153C">
      <w:r>
        <w:separator/>
      </w:r>
    </w:p>
  </w:endnote>
  <w:endnote w:type="continuationSeparator" w:id="0">
    <w:p w:rsidR="00A8153C" w:rsidRDefault="00A81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3DD" w:rsidRDefault="00AF33B7">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EE4D3E">
      <w:rPr>
        <w:rStyle w:val="a7"/>
        <w:noProof/>
        <w:sz w:val="24"/>
      </w:rPr>
      <w:t>10</w:t>
    </w:r>
    <w:r>
      <w:rPr>
        <w:rStyle w:val="a7"/>
        <w:sz w:val="24"/>
      </w:rPr>
      <w:fldChar w:fldCharType="end"/>
    </w:r>
  </w:p>
  <w:p w:rsidR="001463DD" w:rsidRDefault="001463D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53C" w:rsidRDefault="00A8153C">
      <w:r>
        <w:separator/>
      </w:r>
    </w:p>
  </w:footnote>
  <w:footnote w:type="continuationSeparator" w:id="0">
    <w:p w:rsidR="00A8153C" w:rsidRDefault="00A8153C">
      <w:r>
        <w:continuationSeparator/>
      </w:r>
    </w:p>
  </w:footnote>
  <w:footnote w:id="1">
    <w:p w:rsidR="00A83F76" w:rsidRPr="000B6B95" w:rsidRDefault="00A83F76">
      <w:pPr>
        <w:pStyle w:val="af2"/>
        <w:rPr>
          <w:rFonts w:ascii="標楷體" w:eastAsia="標楷體" w:hAnsi="標楷體"/>
        </w:rPr>
      </w:pPr>
      <w:r>
        <w:rPr>
          <w:rStyle w:val="af4"/>
        </w:rPr>
        <w:footnoteRef/>
      </w:r>
      <w:r>
        <w:t xml:space="preserve"> </w:t>
      </w:r>
      <w:r w:rsidR="00FE1466" w:rsidRPr="000B6B95">
        <w:rPr>
          <w:rFonts w:ascii="標楷體" w:eastAsia="標楷體" w:hAnsi="標楷體" w:hint="eastAsia"/>
        </w:rPr>
        <w:t>本院10</w:t>
      </w:r>
      <w:r w:rsidR="00FE1466" w:rsidRPr="000B6B95">
        <w:rPr>
          <w:rFonts w:ascii="標楷體" w:eastAsia="標楷體" w:hAnsi="標楷體"/>
        </w:rPr>
        <w:t>8</w:t>
      </w:r>
      <w:r w:rsidR="00FE1466" w:rsidRPr="000B6B95">
        <w:rPr>
          <w:rFonts w:ascii="標楷體" w:eastAsia="標楷體" w:hAnsi="標楷體" w:hint="eastAsia"/>
        </w:rPr>
        <w:t>年</w:t>
      </w:r>
      <w:r w:rsidR="00FE1466" w:rsidRPr="000B6B95">
        <w:rPr>
          <w:rFonts w:ascii="標楷體" w:eastAsia="標楷體" w:hAnsi="標楷體"/>
        </w:rPr>
        <w:t>10</w:t>
      </w:r>
      <w:r w:rsidR="00FE1466" w:rsidRPr="000B6B95">
        <w:rPr>
          <w:rFonts w:ascii="標楷體" w:eastAsia="標楷體" w:hAnsi="標楷體" w:hint="eastAsia"/>
        </w:rPr>
        <w:t>月</w:t>
      </w:r>
      <w:r w:rsidR="00FE1466" w:rsidRPr="000B6B95">
        <w:rPr>
          <w:rFonts w:ascii="標楷體" w:eastAsia="標楷體" w:hAnsi="標楷體"/>
        </w:rPr>
        <w:t>16</w:t>
      </w:r>
      <w:r w:rsidR="00FE1466" w:rsidRPr="000B6B95">
        <w:rPr>
          <w:rFonts w:ascii="標楷體" w:eastAsia="標楷體" w:hAnsi="標楷體" w:hint="eastAsia"/>
        </w:rPr>
        <w:t>日字第10</w:t>
      </w:r>
      <w:r w:rsidR="00FE1466" w:rsidRPr="000B6B95">
        <w:rPr>
          <w:rFonts w:ascii="標楷體" w:eastAsia="標楷體" w:hAnsi="標楷體"/>
        </w:rPr>
        <w:t>80706850</w:t>
      </w:r>
      <w:r w:rsidR="00FE1466" w:rsidRPr="000B6B95">
        <w:rPr>
          <w:rFonts w:ascii="標楷體" w:eastAsia="標楷體" w:hAnsi="標楷體" w:hint="eastAsia"/>
        </w:rPr>
        <w:t>號</w:t>
      </w:r>
      <w:r w:rsidR="00FF51A8">
        <w:rPr>
          <w:rFonts w:ascii="標楷體" w:eastAsia="標楷體" w:hAnsi="標楷體" w:hint="eastAsia"/>
        </w:rPr>
        <w:t>卷宗</w:t>
      </w:r>
    </w:p>
  </w:footnote>
  <w:footnote w:id="2">
    <w:p w:rsidR="00A83F76" w:rsidRPr="000B6B95" w:rsidRDefault="00A83F76">
      <w:pPr>
        <w:pStyle w:val="af2"/>
        <w:rPr>
          <w:rFonts w:ascii="標楷體" w:eastAsia="標楷體" w:hAnsi="標楷體"/>
        </w:rPr>
      </w:pPr>
      <w:r w:rsidRPr="000B6B95">
        <w:rPr>
          <w:rStyle w:val="af4"/>
          <w:rFonts w:ascii="標楷體" w:eastAsia="標楷體" w:hAnsi="標楷體"/>
        </w:rPr>
        <w:footnoteRef/>
      </w:r>
      <w:r w:rsidRPr="000B6B95">
        <w:rPr>
          <w:rFonts w:ascii="標楷體" w:eastAsia="標楷體" w:hAnsi="標楷體"/>
        </w:rPr>
        <w:t xml:space="preserve"> </w:t>
      </w:r>
      <w:r w:rsidRPr="000B6B95">
        <w:rPr>
          <w:rFonts w:ascii="標楷體" w:eastAsia="標楷體" w:hAnsi="標楷體" w:hint="eastAsia"/>
        </w:rPr>
        <w:t>審計部109年</w:t>
      </w:r>
      <w:r w:rsidRPr="000B6B95">
        <w:rPr>
          <w:rFonts w:ascii="標楷體" w:eastAsia="標楷體" w:hAnsi="標楷體"/>
        </w:rPr>
        <w:t>11</w:t>
      </w:r>
      <w:r w:rsidRPr="000B6B95">
        <w:rPr>
          <w:rFonts w:ascii="標楷體" w:eastAsia="標楷體" w:hAnsi="標楷體" w:hint="eastAsia"/>
        </w:rPr>
        <w:t>月2</w:t>
      </w:r>
      <w:r w:rsidRPr="000B6B95">
        <w:rPr>
          <w:rFonts w:ascii="標楷體" w:eastAsia="標楷體" w:hAnsi="標楷體"/>
        </w:rPr>
        <w:t>7</w:t>
      </w:r>
      <w:r w:rsidRPr="000B6B95">
        <w:rPr>
          <w:rFonts w:ascii="標楷體" w:eastAsia="標楷體" w:hAnsi="標楷體" w:hint="eastAsia"/>
        </w:rPr>
        <w:t>日</w:t>
      </w:r>
      <w:proofErr w:type="gramStart"/>
      <w:r w:rsidRPr="000B6B95">
        <w:rPr>
          <w:rFonts w:ascii="標楷體" w:eastAsia="標楷體" w:hAnsi="標楷體" w:hint="eastAsia"/>
        </w:rPr>
        <w:t>台審部交字</w:t>
      </w:r>
      <w:proofErr w:type="gramEnd"/>
      <w:r w:rsidRPr="000B6B95">
        <w:rPr>
          <w:rFonts w:ascii="標楷體" w:eastAsia="標楷體" w:hAnsi="標楷體" w:hint="eastAsia"/>
        </w:rPr>
        <w:t>第109</w:t>
      </w:r>
      <w:r w:rsidRPr="000B6B95">
        <w:rPr>
          <w:rFonts w:ascii="標楷體" w:eastAsia="標楷體" w:hAnsi="標楷體"/>
        </w:rPr>
        <w:t>0012660</w:t>
      </w:r>
      <w:r w:rsidRPr="000B6B95">
        <w:rPr>
          <w:rFonts w:ascii="標楷體" w:eastAsia="標楷體" w:hAnsi="標楷體" w:hint="eastAsia"/>
        </w:rPr>
        <w:t>號函</w:t>
      </w:r>
    </w:p>
  </w:footnote>
  <w:footnote w:id="3">
    <w:p w:rsidR="00A83F76" w:rsidRPr="000B6B95" w:rsidRDefault="00A83F76" w:rsidP="00F37FC5">
      <w:pPr>
        <w:pStyle w:val="af2"/>
        <w:ind w:leftChars="4" w:left="210" w:hangingChars="89" w:hanging="196"/>
        <w:rPr>
          <w:rFonts w:ascii="標楷體" w:eastAsia="標楷體" w:hAnsi="標楷體"/>
        </w:rPr>
      </w:pPr>
      <w:r w:rsidRPr="000B6B95">
        <w:rPr>
          <w:rStyle w:val="af4"/>
          <w:rFonts w:ascii="標楷體" w:eastAsia="標楷體" w:hAnsi="標楷體"/>
        </w:rPr>
        <w:footnoteRef/>
      </w:r>
      <w:r w:rsidRPr="000B6B95">
        <w:rPr>
          <w:rFonts w:ascii="標楷體" w:eastAsia="標楷體" w:hAnsi="標楷體"/>
        </w:rPr>
        <w:t xml:space="preserve"> </w:t>
      </w:r>
      <w:r w:rsidRPr="000B6B95">
        <w:rPr>
          <w:rFonts w:ascii="標楷體" w:eastAsia="標楷體" w:hAnsi="標楷體" w:hint="eastAsia"/>
        </w:rPr>
        <w:t>中華郵政公司</w:t>
      </w:r>
      <w:proofErr w:type="gramStart"/>
      <w:r w:rsidRPr="000B6B95">
        <w:rPr>
          <w:rFonts w:ascii="標楷體" w:eastAsia="標楷體" w:hAnsi="標楷體" w:hint="eastAsia"/>
        </w:rPr>
        <w:t>109年12月21日郵字第1090920823號</w:t>
      </w:r>
      <w:proofErr w:type="gramEnd"/>
      <w:r w:rsidR="00F37FC5">
        <w:rPr>
          <w:rFonts w:ascii="標楷體" w:eastAsia="標楷體" w:hAnsi="標楷體" w:hint="eastAsia"/>
        </w:rPr>
        <w:t>及</w:t>
      </w:r>
      <w:proofErr w:type="gramStart"/>
      <w:r w:rsidR="00F37FC5">
        <w:rPr>
          <w:rFonts w:ascii="標楷體" w:eastAsia="標楷體" w:hAnsi="標楷體" w:hint="eastAsia"/>
        </w:rPr>
        <w:t>110年2</w:t>
      </w:r>
      <w:r w:rsidR="00F37FC5" w:rsidRPr="00F37FC5">
        <w:rPr>
          <w:rFonts w:ascii="標楷體" w:eastAsia="標楷體" w:hAnsi="標楷體" w:hint="eastAsia"/>
        </w:rPr>
        <w:t>月</w:t>
      </w:r>
      <w:r w:rsidR="00F37FC5">
        <w:rPr>
          <w:rFonts w:ascii="標楷體" w:eastAsia="標楷體" w:hAnsi="標楷體"/>
        </w:rPr>
        <w:t>18</w:t>
      </w:r>
      <w:r w:rsidR="00F37FC5" w:rsidRPr="00F37FC5">
        <w:rPr>
          <w:rFonts w:ascii="標楷體" w:eastAsia="標楷體" w:hAnsi="標楷體" w:hint="eastAsia"/>
        </w:rPr>
        <w:t>日郵字第1</w:t>
      </w:r>
      <w:r w:rsidR="00F37FC5">
        <w:rPr>
          <w:rFonts w:ascii="標楷體" w:eastAsia="標楷體" w:hAnsi="標楷體"/>
        </w:rPr>
        <w:t>100024834</w:t>
      </w:r>
      <w:r w:rsidR="00F37FC5" w:rsidRPr="00F37FC5">
        <w:rPr>
          <w:rFonts w:ascii="標楷體" w:eastAsia="標楷體" w:hAnsi="標楷體" w:hint="eastAsia"/>
        </w:rPr>
        <w:t>號</w:t>
      </w:r>
      <w:proofErr w:type="gramEnd"/>
      <w:r w:rsidRPr="000B6B95">
        <w:rPr>
          <w:rFonts w:ascii="標楷體" w:eastAsia="標楷體" w:hAnsi="標楷體" w:hint="eastAsia"/>
        </w:rPr>
        <w:t>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A54BC"/>
    <w:multiLevelType w:val="singleLevel"/>
    <w:tmpl w:val="050E458E"/>
    <w:lvl w:ilvl="0">
      <w:start w:val="1"/>
      <w:numFmt w:val="ideographLegalTraditional"/>
      <w:lvlText w:val="%1、"/>
      <w:lvlJc w:val="left"/>
      <w:pPr>
        <w:tabs>
          <w:tab w:val="num" w:pos="645"/>
        </w:tabs>
        <w:ind w:left="645" w:hanging="645"/>
      </w:pPr>
      <w:rPr>
        <w:rFonts w:hint="eastAsia"/>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E366588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690"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2717"/>
        </w:tabs>
        <w:ind w:left="1972" w:hanging="695"/>
      </w:pPr>
      <w:rPr>
        <w:rFonts w:ascii="標楷體" w:eastAsia="標楷體" w:hint="eastAsia"/>
        <w:b w:val="0"/>
        <w:i w:val="0"/>
        <w:sz w:val="32"/>
      </w:rPr>
    </w:lvl>
    <w:lvl w:ilvl="1" w:tplc="04090019" w:tentative="1">
      <w:start w:val="1"/>
      <w:numFmt w:val="ideographTraditional"/>
      <w:lvlText w:val="%2、"/>
      <w:lvlJc w:val="left"/>
      <w:pPr>
        <w:tabs>
          <w:tab w:val="num" w:pos="2237"/>
        </w:tabs>
        <w:ind w:left="2237" w:hanging="480"/>
      </w:pPr>
    </w:lvl>
    <w:lvl w:ilvl="2" w:tplc="0409001B" w:tentative="1">
      <w:start w:val="1"/>
      <w:numFmt w:val="lowerRoman"/>
      <w:lvlText w:val="%3."/>
      <w:lvlJc w:val="right"/>
      <w:pPr>
        <w:tabs>
          <w:tab w:val="num" w:pos="2717"/>
        </w:tabs>
        <w:ind w:left="2717" w:hanging="480"/>
      </w:pPr>
    </w:lvl>
    <w:lvl w:ilvl="3" w:tplc="0409000F" w:tentative="1">
      <w:start w:val="1"/>
      <w:numFmt w:val="decimal"/>
      <w:lvlText w:val="%4."/>
      <w:lvlJc w:val="left"/>
      <w:pPr>
        <w:tabs>
          <w:tab w:val="num" w:pos="3197"/>
        </w:tabs>
        <w:ind w:left="3197" w:hanging="480"/>
      </w:pPr>
    </w:lvl>
    <w:lvl w:ilvl="4" w:tplc="04090019" w:tentative="1">
      <w:start w:val="1"/>
      <w:numFmt w:val="ideographTraditional"/>
      <w:lvlText w:val="%5、"/>
      <w:lvlJc w:val="left"/>
      <w:pPr>
        <w:tabs>
          <w:tab w:val="num" w:pos="3677"/>
        </w:tabs>
        <w:ind w:left="3677" w:hanging="480"/>
      </w:pPr>
    </w:lvl>
    <w:lvl w:ilvl="5" w:tplc="0409001B" w:tentative="1">
      <w:start w:val="1"/>
      <w:numFmt w:val="lowerRoman"/>
      <w:lvlText w:val="%6."/>
      <w:lvlJc w:val="right"/>
      <w:pPr>
        <w:tabs>
          <w:tab w:val="num" w:pos="4157"/>
        </w:tabs>
        <w:ind w:left="4157" w:hanging="480"/>
      </w:pPr>
    </w:lvl>
    <w:lvl w:ilvl="6" w:tplc="0409000F" w:tentative="1">
      <w:start w:val="1"/>
      <w:numFmt w:val="decimal"/>
      <w:lvlText w:val="%7."/>
      <w:lvlJc w:val="left"/>
      <w:pPr>
        <w:tabs>
          <w:tab w:val="num" w:pos="4637"/>
        </w:tabs>
        <w:ind w:left="4637" w:hanging="480"/>
      </w:pPr>
    </w:lvl>
    <w:lvl w:ilvl="7" w:tplc="04090019" w:tentative="1">
      <w:start w:val="1"/>
      <w:numFmt w:val="ideographTraditional"/>
      <w:lvlText w:val="%8、"/>
      <w:lvlJc w:val="left"/>
      <w:pPr>
        <w:tabs>
          <w:tab w:val="num" w:pos="5117"/>
        </w:tabs>
        <w:ind w:left="5117" w:hanging="480"/>
      </w:pPr>
    </w:lvl>
    <w:lvl w:ilvl="8" w:tplc="0409001B" w:tentative="1">
      <w:start w:val="1"/>
      <w:numFmt w:val="lowerRoman"/>
      <w:lvlText w:val="%9."/>
      <w:lvlJc w:val="right"/>
      <w:pPr>
        <w:tabs>
          <w:tab w:val="num" w:pos="5597"/>
        </w:tabs>
        <w:ind w:left="5597" w:hanging="480"/>
      </w:pPr>
    </w:lvl>
  </w:abstractNum>
  <w:abstractNum w:abstractNumId="4" w15:restartNumberingAfterBreak="0">
    <w:nsid w:val="3BBC5B28"/>
    <w:multiLevelType w:val="hybridMultilevel"/>
    <w:tmpl w:val="7FD6D3C6"/>
    <w:lvl w:ilvl="0" w:tplc="04090015">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F5D5AC7"/>
    <w:multiLevelType w:val="hybridMultilevel"/>
    <w:tmpl w:val="62FA6D58"/>
    <w:lvl w:ilvl="0" w:tplc="C3148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EC54A12"/>
    <w:multiLevelType w:val="hybridMultilevel"/>
    <w:tmpl w:val="9B6043EE"/>
    <w:lvl w:ilvl="0" w:tplc="0409000F">
      <w:start w:val="1"/>
      <w:numFmt w:val="decimal"/>
      <w:lvlText w:val="%1."/>
      <w:lvlJc w:val="left"/>
      <w:pPr>
        <w:ind w:left="620" w:hanging="480"/>
      </w:p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num w:numId="1">
    <w:abstractNumId w:val="2"/>
  </w:num>
  <w:num w:numId="2">
    <w:abstractNumId w:val="3"/>
  </w:num>
  <w:num w:numId="3">
    <w:abstractNumId w:val="1"/>
  </w:num>
  <w:num w:numId="4">
    <w:abstractNumId w:val="2"/>
  </w:num>
  <w:num w:numId="5">
    <w:abstractNumId w:val="0"/>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4"/>
  </w:num>
  <w:num w:numId="21">
    <w:abstractNumId w:val="6"/>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5"/>
  </w:num>
  <w:num w:numId="30">
    <w:abstractNumId w:val="2"/>
  </w:num>
  <w:num w:numId="31">
    <w:abstractNumId w:val="2"/>
  </w:num>
  <w:num w:numId="32">
    <w:abstractNumId w:val="2"/>
  </w:num>
  <w:num w:numId="3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D27"/>
    <w:rsid w:val="000059E9"/>
    <w:rsid w:val="00015D93"/>
    <w:rsid w:val="000444F2"/>
    <w:rsid w:val="000477C9"/>
    <w:rsid w:val="000828D4"/>
    <w:rsid w:val="0009656B"/>
    <w:rsid w:val="000B301D"/>
    <w:rsid w:val="000B6B95"/>
    <w:rsid w:val="000D042B"/>
    <w:rsid w:val="000D1BD6"/>
    <w:rsid w:val="000E0E00"/>
    <w:rsid w:val="00100065"/>
    <w:rsid w:val="001021BB"/>
    <w:rsid w:val="001137F7"/>
    <w:rsid w:val="001141FF"/>
    <w:rsid w:val="0012448D"/>
    <w:rsid w:val="00125096"/>
    <w:rsid w:val="00132327"/>
    <w:rsid w:val="0013549E"/>
    <w:rsid w:val="0014272C"/>
    <w:rsid w:val="00143565"/>
    <w:rsid w:val="00144453"/>
    <w:rsid w:val="001463DD"/>
    <w:rsid w:val="00147067"/>
    <w:rsid w:val="001475C8"/>
    <w:rsid w:val="00161770"/>
    <w:rsid w:val="00165120"/>
    <w:rsid w:val="001761F2"/>
    <w:rsid w:val="001B7E75"/>
    <w:rsid w:val="001C1310"/>
    <w:rsid w:val="001D596E"/>
    <w:rsid w:val="001D6753"/>
    <w:rsid w:val="001E0D16"/>
    <w:rsid w:val="001F1150"/>
    <w:rsid w:val="002047F7"/>
    <w:rsid w:val="0022274F"/>
    <w:rsid w:val="0022538F"/>
    <w:rsid w:val="00235A44"/>
    <w:rsid w:val="00240C98"/>
    <w:rsid w:val="002516D7"/>
    <w:rsid w:val="00262CD2"/>
    <w:rsid w:val="00263BF2"/>
    <w:rsid w:val="00276654"/>
    <w:rsid w:val="00294AC0"/>
    <w:rsid w:val="002A0C48"/>
    <w:rsid w:val="002B40E8"/>
    <w:rsid w:val="002B5B1D"/>
    <w:rsid w:val="002B7722"/>
    <w:rsid w:val="002D05FB"/>
    <w:rsid w:val="002E5761"/>
    <w:rsid w:val="002F44DE"/>
    <w:rsid w:val="002F5CD1"/>
    <w:rsid w:val="00323BBE"/>
    <w:rsid w:val="00342F3C"/>
    <w:rsid w:val="00365923"/>
    <w:rsid w:val="00371EF3"/>
    <w:rsid w:val="00386EAE"/>
    <w:rsid w:val="00387854"/>
    <w:rsid w:val="003A14FE"/>
    <w:rsid w:val="003A3830"/>
    <w:rsid w:val="003B0396"/>
    <w:rsid w:val="003C0339"/>
    <w:rsid w:val="003C16DA"/>
    <w:rsid w:val="003D17BE"/>
    <w:rsid w:val="003D2B41"/>
    <w:rsid w:val="003F692E"/>
    <w:rsid w:val="00424CC6"/>
    <w:rsid w:val="00425B89"/>
    <w:rsid w:val="0042793C"/>
    <w:rsid w:val="00457936"/>
    <w:rsid w:val="00457B30"/>
    <w:rsid w:val="0047420F"/>
    <w:rsid w:val="00477ACC"/>
    <w:rsid w:val="0049441A"/>
    <w:rsid w:val="00497CFF"/>
    <w:rsid w:val="004C1A1C"/>
    <w:rsid w:val="004D3784"/>
    <w:rsid w:val="004E0373"/>
    <w:rsid w:val="005106F2"/>
    <w:rsid w:val="00511A87"/>
    <w:rsid w:val="005149D1"/>
    <w:rsid w:val="00520D8A"/>
    <w:rsid w:val="005325EB"/>
    <w:rsid w:val="00532653"/>
    <w:rsid w:val="00546C27"/>
    <w:rsid w:val="005834CD"/>
    <w:rsid w:val="00584751"/>
    <w:rsid w:val="005848CA"/>
    <w:rsid w:val="00614581"/>
    <w:rsid w:val="006267DC"/>
    <w:rsid w:val="006362D4"/>
    <w:rsid w:val="00655A4F"/>
    <w:rsid w:val="0067657B"/>
    <w:rsid w:val="00680CCB"/>
    <w:rsid w:val="00691C15"/>
    <w:rsid w:val="006A358C"/>
    <w:rsid w:val="006B03F4"/>
    <w:rsid w:val="006D0FFC"/>
    <w:rsid w:val="006D368A"/>
    <w:rsid w:val="006F1497"/>
    <w:rsid w:val="00701A30"/>
    <w:rsid w:val="007708D3"/>
    <w:rsid w:val="00795825"/>
    <w:rsid w:val="007C2F41"/>
    <w:rsid w:val="007D5EE6"/>
    <w:rsid w:val="007E099C"/>
    <w:rsid w:val="007E6BA6"/>
    <w:rsid w:val="007F28CC"/>
    <w:rsid w:val="007F3E1D"/>
    <w:rsid w:val="007F4421"/>
    <w:rsid w:val="008054D3"/>
    <w:rsid w:val="008239FB"/>
    <w:rsid w:val="00843F4F"/>
    <w:rsid w:val="00855BBE"/>
    <w:rsid w:val="00862928"/>
    <w:rsid w:val="008A20E2"/>
    <w:rsid w:val="008A7851"/>
    <w:rsid w:val="008C766F"/>
    <w:rsid w:val="008D03AC"/>
    <w:rsid w:val="00962218"/>
    <w:rsid w:val="00971D6B"/>
    <w:rsid w:val="00976281"/>
    <w:rsid w:val="00993A99"/>
    <w:rsid w:val="009A262D"/>
    <w:rsid w:val="009D6EDD"/>
    <w:rsid w:val="009F1BA0"/>
    <w:rsid w:val="009F342C"/>
    <w:rsid w:val="00A27D27"/>
    <w:rsid w:val="00A35FCC"/>
    <w:rsid w:val="00A40D78"/>
    <w:rsid w:val="00A43B07"/>
    <w:rsid w:val="00A44237"/>
    <w:rsid w:val="00A8153C"/>
    <w:rsid w:val="00A83F76"/>
    <w:rsid w:val="00AA35EE"/>
    <w:rsid w:val="00AF33B7"/>
    <w:rsid w:val="00AF65C6"/>
    <w:rsid w:val="00B216B7"/>
    <w:rsid w:val="00B24444"/>
    <w:rsid w:val="00B34A5B"/>
    <w:rsid w:val="00B3768A"/>
    <w:rsid w:val="00B80EFF"/>
    <w:rsid w:val="00BB1C5A"/>
    <w:rsid w:val="00BB3D1F"/>
    <w:rsid w:val="00BB755F"/>
    <w:rsid w:val="00BD2ABF"/>
    <w:rsid w:val="00C45B86"/>
    <w:rsid w:val="00C5557C"/>
    <w:rsid w:val="00C73EDA"/>
    <w:rsid w:val="00C75F83"/>
    <w:rsid w:val="00C83DCE"/>
    <w:rsid w:val="00C97436"/>
    <w:rsid w:val="00CA06B1"/>
    <w:rsid w:val="00CA3A36"/>
    <w:rsid w:val="00CB40B8"/>
    <w:rsid w:val="00CC18E4"/>
    <w:rsid w:val="00D01E56"/>
    <w:rsid w:val="00D22006"/>
    <w:rsid w:val="00D24768"/>
    <w:rsid w:val="00D24F6E"/>
    <w:rsid w:val="00D47BA9"/>
    <w:rsid w:val="00D52B1E"/>
    <w:rsid w:val="00D65724"/>
    <w:rsid w:val="00D76A8C"/>
    <w:rsid w:val="00DA1CCA"/>
    <w:rsid w:val="00DD2649"/>
    <w:rsid w:val="00E05FB7"/>
    <w:rsid w:val="00E128A8"/>
    <w:rsid w:val="00E5264A"/>
    <w:rsid w:val="00E64427"/>
    <w:rsid w:val="00E71CC7"/>
    <w:rsid w:val="00E75CF1"/>
    <w:rsid w:val="00E82143"/>
    <w:rsid w:val="00E91897"/>
    <w:rsid w:val="00EB604A"/>
    <w:rsid w:val="00EE4D3E"/>
    <w:rsid w:val="00EF5E73"/>
    <w:rsid w:val="00F03A26"/>
    <w:rsid w:val="00F318A0"/>
    <w:rsid w:val="00F37FC5"/>
    <w:rsid w:val="00F858BC"/>
    <w:rsid w:val="00F93D76"/>
    <w:rsid w:val="00FC30D3"/>
    <w:rsid w:val="00FC6680"/>
    <w:rsid w:val="00FE1466"/>
    <w:rsid w:val="00FF51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BD536F-9DA0-4B05-A74C-FEA833A8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ind w:left="325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annotation text"/>
    <w:basedOn w:val="a1"/>
    <w:link w:val="af"/>
    <w:uiPriority w:val="99"/>
    <w:semiHidden/>
    <w:unhideWhenUsed/>
    <w:rsid w:val="0012448D"/>
    <w:rPr>
      <w:rFonts w:asciiTheme="minorHAnsi" w:eastAsiaTheme="minorEastAsia" w:hAnsiTheme="minorHAnsi" w:cstheme="minorBidi"/>
      <w:sz w:val="24"/>
      <w:szCs w:val="22"/>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customStyle="1" w:styleId="af">
    <w:name w:val="註解文字 字元"/>
    <w:basedOn w:val="a2"/>
    <w:link w:val="ae"/>
    <w:uiPriority w:val="99"/>
    <w:semiHidden/>
    <w:rsid w:val="0012448D"/>
    <w:rPr>
      <w:rFonts w:asciiTheme="minorHAnsi" w:eastAsiaTheme="minorEastAsia" w:hAnsiTheme="minorHAnsi" w:cstheme="minorBidi"/>
      <w:kern w:val="2"/>
      <w:sz w:val="24"/>
      <w:szCs w:val="22"/>
    </w:rPr>
  </w:style>
  <w:style w:type="paragraph" w:styleId="af2">
    <w:name w:val="footnote text"/>
    <w:basedOn w:val="a1"/>
    <w:link w:val="af3"/>
    <w:uiPriority w:val="99"/>
    <w:rsid w:val="00691C15"/>
    <w:pPr>
      <w:snapToGrid w:val="0"/>
    </w:pPr>
    <w:rPr>
      <w:rFonts w:eastAsia="新細明體"/>
      <w:sz w:val="20"/>
    </w:rPr>
  </w:style>
  <w:style w:type="character" w:customStyle="1" w:styleId="af3">
    <w:name w:val="註腳文字 字元"/>
    <w:basedOn w:val="a2"/>
    <w:link w:val="af2"/>
    <w:uiPriority w:val="99"/>
    <w:rsid w:val="00691C15"/>
    <w:rPr>
      <w:kern w:val="2"/>
    </w:rPr>
  </w:style>
  <w:style w:type="character" w:styleId="af4">
    <w:name w:val="footnote reference"/>
    <w:basedOn w:val="a2"/>
    <w:uiPriority w:val="99"/>
    <w:rsid w:val="00691C15"/>
    <w:rPr>
      <w:vertAlign w:val="superscript"/>
    </w:rPr>
  </w:style>
  <w:style w:type="paragraph" w:customStyle="1" w:styleId="01">
    <w:name w:val="本文01"/>
    <w:basedOn w:val="a1"/>
    <w:qFormat/>
    <w:rsid w:val="00691C15"/>
    <w:pPr>
      <w:overflowPunct w:val="0"/>
      <w:spacing w:line="520" w:lineRule="exact"/>
      <w:ind w:firstLineChars="200" w:firstLine="640"/>
      <w:jc w:val="both"/>
    </w:pPr>
    <w:rPr>
      <w:rFonts w:ascii="標楷體" w:hAnsi="標楷體" w:cstheme="minorBidi"/>
      <w:kern w:val="0"/>
      <w:szCs w:val="32"/>
    </w:rPr>
  </w:style>
  <w:style w:type="table" w:customStyle="1" w:styleId="22">
    <w:name w:val="表格格線2"/>
    <w:basedOn w:val="a3"/>
    <w:next w:val="af5"/>
    <w:uiPriority w:val="39"/>
    <w:rsid w:val="0014272C"/>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3"/>
    <w:uiPriority w:val="39"/>
    <w:rsid w:val="00142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1"/>
    <w:uiPriority w:val="34"/>
    <w:qFormat/>
    <w:rsid w:val="000E0E00"/>
    <w:pPr>
      <w:ind w:leftChars="200" w:left="480"/>
    </w:pPr>
    <w:rPr>
      <w:rFonts w:asciiTheme="minorHAnsi" w:eastAsiaTheme="minorEastAsia" w:hAnsiTheme="minorHAnsi" w:cstheme="minorBidi"/>
      <w:sz w:val="24"/>
      <w:szCs w:val="22"/>
    </w:rPr>
  </w:style>
  <w:style w:type="paragraph" w:styleId="af7">
    <w:name w:val="Balloon Text"/>
    <w:basedOn w:val="a1"/>
    <w:link w:val="af8"/>
    <w:uiPriority w:val="99"/>
    <w:semiHidden/>
    <w:unhideWhenUsed/>
    <w:rsid w:val="00477ACC"/>
    <w:rPr>
      <w:rFonts w:asciiTheme="majorHAnsi" w:eastAsiaTheme="majorEastAsia" w:hAnsiTheme="majorHAnsi" w:cstheme="majorBidi"/>
      <w:sz w:val="18"/>
      <w:szCs w:val="18"/>
    </w:rPr>
  </w:style>
  <w:style w:type="character" w:customStyle="1" w:styleId="af8">
    <w:name w:val="註解方塊文字 字元"/>
    <w:basedOn w:val="a2"/>
    <w:link w:val="af7"/>
    <w:uiPriority w:val="99"/>
    <w:semiHidden/>
    <w:rsid w:val="00477AC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568A5-68F9-4EE3-B60F-D6418773E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10</Pages>
  <Words>821</Words>
  <Characters>4680</Characters>
  <Application>Microsoft Office Word</Application>
  <DocSecurity>0</DocSecurity>
  <Lines>39</Lines>
  <Paragraphs>10</Paragraphs>
  <ScaleCrop>false</ScaleCrop>
  <Company>cy</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林科</dc:creator>
  <cp:keywords/>
  <dc:description/>
  <cp:lastModifiedBy>吳姿嫺</cp:lastModifiedBy>
  <cp:revision>4</cp:revision>
  <cp:lastPrinted>2021-05-12T03:49:00Z</cp:lastPrinted>
  <dcterms:created xsi:type="dcterms:W3CDTF">2021-05-12T03:49:00Z</dcterms:created>
  <dcterms:modified xsi:type="dcterms:W3CDTF">2021-05-12T08:17:00Z</dcterms:modified>
</cp:coreProperties>
</file>