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0FF" w:rsidRPr="00A870FF" w:rsidRDefault="00A870FF" w:rsidP="00A870FF">
      <w:pPr>
        <w:pStyle w:val="1"/>
        <w:numPr>
          <w:ilvl w:val="0"/>
          <w:numId w:val="0"/>
        </w:numPr>
        <w:kinsoku/>
        <w:ind w:left="1740" w:hangingChars="300" w:hanging="1740"/>
        <w:jc w:val="center"/>
        <w:rPr>
          <w:rFonts w:hAnsi="標楷體"/>
          <w:sz w:val="56"/>
          <w:szCs w:val="56"/>
        </w:rPr>
      </w:pPr>
      <w:bookmarkStart w:id="0" w:name="_Toc326598580"/>
      <w:bookmarkStart w:id="1" w:name="_Toc370476362"/>
      <w:r w:rsidRPr="00A870FF">
        <w:rPr>
          <w:rFonts w:hAnsi="標楷體" w:hint="eastAsia"/>
          <w:sz w:val="56"/>
          <w:szCs w:val="56"/>
        </w:rPr>
        <w:t>調</w:t>
      </w:r>
      <w:r>
        <w:rPr>
          <w:rFonts w:hAnsi="標楷體" w:hint="eastAsia"/>
          <w:sz w:val="56"/>
          <w:szCs w:val="56"/>
        </w:rPr>
        <w:t xml:space="preserve">  </w:t>
      </w:r>
      <w:r w:rsidRPr="00A870FF">
        <w:rPr>
          <w:rFonts w:hAnsi="標楷體" w:hint="eastAsia"/>
          <w:sz w:val="56"/>
          <w:szCs w:val="56"/>
        </w:rPr>
        <w:t>查</w:t>
      </w:r>
      <w:r>
        <w:rPr>
          <w:rFonts w:hAnsi="標楷體" w:hint="eastAsia"/>
          <w:sz w:val="56"/>
          <w:szCs w:val="56"/>
        </w:rPr>
        <w:t xml:space="preserve">  </w:t>
      </w:r>
      <w:r w:rsidRPr="00A870FF">
        <w:rPr>
          <w:rFonts w:hAnsi="標楷體" w:hint="eastAsia"/>
          <w:sz w:val="56"/>
          <w:szCs w:val="56"/>
        </w:rPr>
        <w:t>報</w:t>
      </w:r>
      <w:r>
        <w:rPr>
          <w:rFonts w:hAnsi="標楷體" w:hint="eastAsia"/>
          <w:sz w:val="56"/>
          <w:szCs w:val="56"/>
        </w:rPr>
        <w:t xml:space="preserve">  </w:t>
      </w:r>
      <w:r w:rsidRPr="00A870FF">
        <w:rPr>
          <w:rFonts w:hAnsi="標楷體" w:hint="eastAsia"/>
          <w:sz w:val="56"/>
          <w:szCs w:val="56"/>
        </w:rPr>
        <w:t>告</w:t>
      </w:r>
    </w:p>
    <w:p w:rsidR="00915DC5" w:rsidRDefault="00A870FF" w:rsidP="00A870FF">
      <w:pPr>
        <w:pStyle w:val="1"/>
        <w:numPr>
          <w:ilvl w:val="0"/>
          <w:numId w:val="0"/>
        </w:numPr>
        <w:kinsoku/>
        <w:ind w:left="1020" w:hangingChars="300" w:hanging="1020"/>
        <w:rPr>
          <w:rFonts w:hAnsi="標楷體"/>
        </w:rPr>
      </w:pPr>
      <w:r>
        <w:rPr>
          <w:rFonts w:hAnsi="標楷體" w:hint="eastAsia"/>
        </w:rPr>
        <w:t>壹、</w:t>
      </w:r>
      <w:r w:rsidR="00915DC5">
        <w:rPr>
          <w:rFonts w:hAnsi="標楷體" w:hint="eastAsia"/>
        </w:rPr>
        <w:t>案由：</w:t>
      </w:r>
      <w:r w:rsidR="00B86021">
        <w:fldChar w:fldCharType="begin"/>
      </w:r>
      <w:r w:rsidR="00915DC5">
        <w:instrText xml:space="preserve"> MERGEFIELD </w:instrText>
      </w:r>
      <w:r w:rsidR="00915DC5">
        <w:rPr>
          <w:rFonts w:hint="eastAsia"/>
        </w:rPr>
        <w:instrText>案由</w:instrText>
      </w:r>
      <w:r w:rsidR="00915DC5">
        <w:instrText xml:space="preserve"> </w:instrText>
      </w:r>
      <w:r w:rsidR="00B86021">
        <w:fldChar w:fldCharType="separate"/>
      </w:r>
      <w:r w:rsidR="00915DC5" w:rsidRPr="00C578A1">
        <w:rPr>
          <w:rFonts w:hint="eastAsia"/>
          <w:noProof/>
        </w:rPr>
        <w:t>據訴，</w:t>
      </w:r>
      <w:r w:rsidR="00915DC5">
        <w:rPr>
          <w:rFonts w:hint="eastAsia"/>
          <w:noProof/>
        </w:rPr>
        <w:t>台電公司提出的核能發電成本並非真實，致該成本之真實價格長期被低估，</w:t>
      </w:r>
      <w:r w:rsidR="00915DC5" w:rsidRPr="00C578A1">
        <w:rPr>
          <w:rFonts w:hint="eastAsia"/>
          <w:noProof/>
        </w:rPr>
        <w:t>該公司是否刻意扭曲資訊，誤導主管機關於低估不實成本下制定決策？疑涉有瀆職及偽造文書等情乙案。</w:t>
      </w:r>
      <w:r w:rsidR="00B86021">
        <w:fldChar w:fldCharType="end"/>
      </w:r>
    </w:p>
    <w:p w:rsidR="00E103D5" w:rsidRPr="00EB47B4" w:rsidRDefault="00A870FF" w:rsidP="0086382A">
      <w:pPr>
        <w:pStyle w:val="1"/>
        <w:numPr>
          <w:ilvl w:val="0"/>
          <w:numId w:val="0"/>
        </w:numPr>
        <w:kinsoku/>
        <w:rPr>
          <w:rFonts w:hAnsi="標楷體"/>
          <w:bCs w:val="0"/>
        </w:rPr>
      </w:pPr>
      <w:r>
        <w:rPr>
          <w:rFonts w:hAnsi="標楷體" w:hint="eastAsia"/>
        </w:rPr>
        <w:t>貳、</w:t>
      </w:r>
      <w:r w:rsidR="00E103D5" w:rsidRPr="00EB47B4">
        <w:rPr>
          <w:rFonts w:hAnsi="標楷體" w:hint="eastAsia"/>
        </w:rPr>
        <w:t>調查意見：</w:t>
      </w:r>
      <w:bookmarkEnd w:id="0"/>
      <w:bookmarkEnd w:id="1"/>
    </w:p>
    <w:p w:rsidR="00C7537D" w:rsidRPr="00C7537D" w:rsidRDefault="00C907B9" w:rsidP="00867D34">
      <w:pPr>
        <w:pStyle w:val="11"/>
        <w:ind w:left="680" w:firstLine="680"/>
        <w:rPr>
          <w:color w:val="000000" w:themeColor="text1"/>
          <w:szCs w:val="26"/>
        </w:rPr>
      </w:pPr>
      <w:r>
        <w:rPr>
          <w:rFonts w:hint="eastAsia"/>
          <w:color w:val="000000" w:themeColor="text1"/>
          <w:szCs w:val="26"/>
        </w:rPr>
        <w:t>經濟部所屬</w:t>
      </w:r>
      <w:r w:rsidR="00C7537D" w:rsidRPr="00C7537D">
        <w:rPr>
          <w:rFonts w:hint="eastAsia"/>
          <w:color w:val="000000" w:themeColor="text1"/>
          <w:szCs w:val="26"/>
        </w:rPr>
        <w:t>台灣電力股份有限公司（下稱台電公司）營運中之</w:t>
      </w:r>
      <w:r w:rsidR="00C7537D" w:rsidRPr="00C7537D">
        <w:rPr>
          <w:color w:val="000000" w:themeColor="text1"/>
          <w:szCs w:val="26"/>
        </w:rPr>
        <w:t>3</w:t>
      </w:r>
      <w:r w:rsidR="00C7537D" w:rsidRPr="00C7537D">
        <w:rPr>
          <w:rFonts w:hint="eastAsia"/>
          <w:color w:val="000000" w:themeColor="text1"/>
          <w:szCs w:val="26"/>
        </w:rPr>
        <w:t>座</w:t>
      </w:r>
      <w:r w:rsidR="005453F0">
        <w:rPr>
          <w:rFonts w:hint="eastAsia"/>
          <w:color w:val="000000" w:themeColor="text1"/>
          <w:szCs w:val="26"/>
        </w:rPr>
        <w:t>（</w:t>
      </w:r>
      <w:r w:rsidR="005453F0" w:rsidRPr="00C7537D">
        <w:rPr>
          <w:rFonts w:hint="eastAsia"/>
          <w:color w:val="000000" w:themeColor="text1"/>
          <w:szCs w:val="26"/>
        </w:rPr>
        <w:t>第一、二、三</w:t>
      </w:r>
      <w:r w:rsidR="005453F0">
        <w:rPr>
          <w:rFonts w:hint="eastAsia"/>
          <w:color w:val="000000" w:themeColor="text1"/>
          <w:szCs w:val="26"/>
        </w:rPr>
        <w:t>）</w:t>
      </w:r>
      <w:r w:rsidR="00C7537D" w:rsidRPr="00C7537D">
        <w:rPr>
          <w:rFonts w:hint="eastAsia"/>
          <w:color w:val="000000" w:themeColor="text1"/>
          <w:szCs w:val="26"/>
        </w:rPr>
        <w:t>核能發電廠（下稱核一、二、三廠）共有</w:t>
      </w:r>
      <w:r w:rsidR="00C7537D" w:rsidRPr="00C7537D">
        <w:rPr>
          <w:color w:val="000000" w:themeColor="text1"/>
          <w:szCs w:val="26"/>
        </w:rPr>
        <w:t>6</w:t>
      </w:r>
      <w:r w:rsidR="00C7537D" w:rsidRPr="00C7537D">
        <w:rPr>
          <w:rFonts w:hint="eastAsia"/>
          <w:color w:val="000000" w:themeColor="text1"/>
          <w:szCs w:val="26"/>
        </w:rPr>
        <w:t>部機組</w:t>
      </w:r>
      <w:r w:rsidR="00C7537D" w:rsidRPr="00C7537D">
        <w:rPr>
          <w:color w:val="000000" w:themeColor="text1"/>
          <w:szCs w:val="26"/>
        </w:rPr>
        <w:t>(</w:t>
      </w:r>
      <w:r w:rsidR="00C7537D" w:rsidRPr="00C7537D">
        <w:rPr>
          <w:rFonts w:hint="eastAsia"/>
          <w:color w:val="000000" w:themeColor="text1"/>
          <w:szCs w:val="26"/>
        </w:rPr>
        <w:t>每座核能電廠有</w:t>
      </w:r>
      <w:r w:rsidR="00C7537D" w:rsidRPr="00C7537D">
        <w:rPr>
          <w:color w:val="000000" w:themeColor="text1"/>
          <w:szCs w:val="26"/>
        </w:rPr>
        <w:t>2</w:t>
      </w:r>
      <w:r w:rsidR="00C7537D" w:rsidRPr="00C7537D">
        <w:rPr>
          <w:rFonts w:hint="eastAsia"/>
          <w:color w:val="000000" w:themeColor="text1"/>
          <w:szCs w:val="26"/>
        </w:rPr>
        <w:t>部機組</w:t>
      </w:r>
      <w:r w:rsidR="00C7537D" w:rsidRPr="00C7537D">
        <w:rPr>
          <w:color w:val="000000" w:themeColor="text1"/>
          <w:szCs w:val="26"/>
        </w:rPr>
        <w:t>)</w:t>
      </w:r>
      <w:r w:rsidR="00C7537D" w:rsidRPr="00C7537D">
        <w:rPr>
          <w:rFonts w:hint="eastAsia"/>
          <w:color w:val="000000" w:themeColor="text1"/>
          <w:szCs w:val="26"/>
        </w:rPr>
        <w:t>，合計裝置容量共</w:t>
      </w:r>
      <w:r w:rsidR="00C7537D" w:rsidRPr="00C7537D">
        <w:rPr>
          <w:color w:val="000000" w:themeColor="text1"/>
          <w:szCs w:val="26"/>
        </w:rPr>
        <w:t>514.4</w:t>
      </w:r>
      <w:r w:rsidR="00C7537D" w:rsidRPr="00C7537D">
        <w:rPr>
          <w:rFonts w:hint="eastAsia"/>
          <w:color w:val="000000" w:themeColor="text1"/>
          <w:szCs w:val="26"/>
        </w:rPr>
        <w:t>萬瓩，而目前正在興建之核四廠（於</w:t>
      </w:r>
      <w:r w:rsidR="00C7537D" w:rsidRPr="00C7537D">
        <w:rPr>
          <w:color w:val="000000" w:themeColor="text1"/>
          <w:szCs w:val="26"/>
        </w:rPr>
        <w:t>98</w:t>
      </w:r>
      <w:r w:rsidR="00C7537D" w:rsidRPr="00C7537D">
        <w:rPr>
          <w:rFonts w:hint="eastAsia"/>
          <w:color w:val="000000" w:themeColor="text1"/>
          <w:szCs w:val="26"/>
        </w:rPr>
        <w:t>年</w:t>
      </w:r>
      <w:r w:rsidR="00C7537D" w:rsidRPr="00C7537D">
        <w:rPr>
          <w:color w:val="000000" w:themeColor="text1"/>
          <w:szCs w:val="26"/>
        </w:rPr>
        <w:t>3</w:t>
      </w:r>
      <w:r w:rsidR="00C7537D" w:rsidRPr="00C7537D">
        <w:rPr>
          <w:rFonts w:hint="eastAsia"/>
          <w:color w:val="000000" w:themeColor="text1"/>
          <w:szCs w:val="26"/>
        </w:rPr>
        <w:t>月更名為龍門核能發電廠）裝置容量為</w:t>
      </w:r>
      <w:r w:rsidR="00C7537D" w:rsidRPr="00C7537D">
        <w:rPr>
          <w:color w:val="000000" w:themeColor="text1"/>
          <w:szCs w:val="26"/>
        </w:rPr>
        <w:t>270</w:t>
      </w:r>
      <w:r w:rsidR="00C7537D" w:rsidRPr="00C7537D">
        <w:rPr>
          <w:rFonts w:hint="eastAsia"/>
          <w:color w:val="000000" w:themeColor="text1"/>
          <w:szCs w:val="26"/>
        </w:rPr>
        <w:t>萬瓩；</w:t>
      </w:r>
      <w:r w:rsidR="00C578A7" w:rsidRPr="003A42C4">
        <w:rPr>
          <w:rFonts w:hint="eastAsia"/>
          <w:color w:val="000000" w:themeColor="text1"/>
          <w:szCs w:val="26"/>
        </w:rPr>
        <w:t>台電公司目前</w:t>
      </w:r>
      <w:r w:rsidR="005453F0" w:rsidRPr="003A42C4">
        <w:rPr>
          <w:rFonts w:hint="eastAsia"/>
          <w:color w:val="000000" w:themeColor="text1"/>
          <w:szCs w:val="26"/>
        </w:rPr>
        <w:t>計算</w:t>
      </w:r>
      <w:r w:rsidR="00C7537D" w:rsidRPr="00C7537D">
        <w:rPr>
          <w:rFonts w:hint="eastAsia"/>
          <w:color w:val="000000" w:themeColor="text1"/>
          <w:szCs w:val="26"/>
        </w:rPr>
        <w:t>核能電廠發電成本主要包括「</w:t>
      </w:r>
      <w:r w:rsidR="00C7537D" w:rsidRPr="00C7537D">
        <w:rPr>
          <w:color w:val="000000" w:themeColor="text1"/>
          <w:szCs w:val="26"/>
        </w:rPr>
        <w:t>1.</w:t>
      </w:r>
      <w:r w:rsidR="00944278" w:rsidRPr="00C7537D">
        <w:rPr>
          <w:rFonts w:hint="eastAsia"/>
          <w:color w:val="000000" w:themeColor="text1"/>
          <w:szCs w:val="26"/>
        </w:rPr>
        <w:t>燃料費用</w:t>
      </w:r>
      <w:r w:rsidR="00C7537D" w:rsidRPr="00C7537D">
        <w:rPr>
          <w:rFonts w:hint="eastAsia"/>
          <w:color w:val="000000" w:themeColor="text1"/>
          <w:szCs w:val="26"/>
        </w:rPr>
        <w:t>；</w:t>
      </w:r>
      <w:r w:rsidR="00C7537D" w:rsidRPr="00C7537D">
        <w:rPr>
          <w:color w:val="000000" w:themeColor="text1"/>
          <w:szCs w:val="26"/>
        </w:rPr>
        <w:t>2.</w:t>
      </w:r>
      <w:r w:rsidR="00C7537D" w:rsidRPr="00C7537D">
        <w:rPr>
          <w:rFonts w:hint="eastAsia"/>
          <w:color w:val="000000" w:themeColor="text1"/>
          <w:szCs w:val="26"/>
        </w:rPr>
        <w:t>運轉維護費用</w:t>
      </w:r>
      <w:r w:rsidR="00944278">
        <w:rPr>
          <w:rFonts w:hint="eastAsia"/>
          <w:color w:val="000000" w:themeColor="text1"/>
          <w:szCs w:val="26"/>
        </w:rPr>
        <w:t>；</w:t>
      </w:r>
      <w:r w:rsidR="00944278" w:rsidRPr="00C7537D">
        <w:rPr>
          <w:color w:val="000000" w:themeColor="text1"/>
          <w:szCs w:val="26"/>
        </w:rPr>
        <w:t>3.</w:t>
      </w:r>
      <w:r w:rsidR="00944278" w:rsidRPr="0050423D">
        <w:rPr>
          <w:rFonts w:hint="eastAsia"/>
          <w:color w:val="000000" w:themeColor="text1"/>
          <w:szCs w:val="26"/>
        </w:rPr>
        <w:t>折舊</w:t>
      </w:r>
      <w:r w:rsidR="00944278">
        <w:rPr>
          <w:rFonts w:hint="eastAsia"/>
          <w:color w:val="000000" w:themeColor="text1"/>
          <w:szCs w:val="26"/>
        </w:rPr>
        <w:t>（</w:t>
      </w:r>
      <w:r w:rsidR="00F0164E" w:rsidRPr="00F0164E">
        <w:rPr>
          <w:color w:val="000000" w:themeColor="text1"/>
          <w:szCs w:val="26"/>
        </w:rPr>
        <w:t>建廠及各項設備投資</w:t>
      </w:r>
      <w:r w:rsidR="00821B15">
        <w:rPr>
          <w:rFonts w:hint="eastAsia"/>
          <w:color w:val="000000" w:themeColor="text1"/>
          <w:szCs w:val="26"/>
        </w:rPr>
        <w:t>成本</w:t>
      </w:r>
      <w:r w:rsidR="00F0164E">
        <w:rPr>
          <w:rFonts w:hint="eastAsia"/>
          <w:color w:val="000000" w:themeColor="text1"/>
          <w:szCs w:val="26"/>
        </w:rPr>
        <w:t>之</w:t>
      </w:r>
      <w:r w:rsidR="00F0164E" w:rsidRPr="00F0164E">
        <w:rPr>
          <w:color w:val="000000" w:themeColor="text1"/>
          <w:szCs w:val="26"/>
        </w:rPr>
        <w:t>分</w:t>
      </w:r>
      <w:r w:rsidR="00F0164E">
        <w:rPr>
          <w:rFonts w:hint="eastAsia"/>
          <w:color w:val="000000" w:themeColor="text1"/>
          <w:szCs w:val="26"/>
        </w:rPr>
        <w:t>攤</w:t>
      </w:r>
      <w:r w:rsidR="00944278">
        <w:rPr>
          <w:rFonts w:hint="eastAsia"/>
          <w:color w:val="000000" w:themeColor="text1"/>
          <w:szCs w:val="26"/>
        </w:rPr>
        <w:t>）</w:t>
      </w:r>
      <w:r w:rsidR="00C7537D" w:rsidRPr="00C7537D">
        <w:rPr>
          <w:rFonts w:hint="eastAsia"/>
          <w:color w:val="000000" w:themeColor="text1"/>
          <w:szCs w:val="26"/>
        </w:rPr>
        <w:t>；</w:t>
      </w:r>
      <w:r w:rsidR="00944278">
        <w:rPr>
          <w:rFonts w:hint="eastAsia"/>
          <w:color w:val="000000" w:themeColor="text1"/>
          <w:szCs w:val="26"/>
        </w:rPr>
        <w:t>4.</w:t>
      </w:r>
      <w:r w:rsidR="00C7537D" w:rsidRPr="00C7537D">
        <w:rPr>
          <w:rFonts w:hint="eastAsia"/>
          <w:color w:val="000000" w:themeColor="text1"/>
          <w:szCs w:val="26"/>
        </w:rPr>
        <w:t>後端營運費用」等部分，而後端營運費用則又包含「低放射性廢棄物營運及最終處置、用過核子燃料營運及最終處置、核電廠除役拆廠、回饋金」等費用。本案係陳訴人</w:t>
      </w:r>
      <w:r w:rsidR="00867D34" w:rsidRPr="00360DF4">
        <w:rPr>
          <w:rFonts w:hint="eastAsia"/>
          <w:color w:val="000000" w:themeColor="text1"/>
          <w:szCs w:val="26"/>
        </w:rPr>
        <w:t>財團法人</w:t>
      </w:r>
      <w:r w:rsidR="00867D34" w:rsidRPr="00360DF4">
        <w:rPr>
          <w:color w:val="000000" w:themeColor="text1"/>
          <w:szCs w:val="26"/>
        </w:rPr>
        <w:t>宜蘭人文基金會董事長</w:t>
      </w:r>
      <w:r w:rsidR="006740C0" w:rsidRPr="00360DF4">
        <w:rPr>
          <w:color w:val="000000" w:themeColor="text1"/>
          <w:szCs w:val="26"/>
        </w:rPr>
        <w:t>陳錫南</w:t>
      </w:r>
      <w:r w:rsidR="00867D34" w:rsidRPr="00360DF4">
        <w:rPr>
          <w:rFonts w:hint="eastAsia"/>
          <w:color w:val="000000" w:themeColor="text1"/>
          <w:szCs w:val="26"/>
        </w:rPr>
        <w:t>與其推舉之陳謨星教授（美國德州大學阿靈頓校區電機系校區電機系教授、</w:t>
      </w:r>
      <w:r w:rsidR="00360DF4" w:rsidRPr="00013639">
        <w:rPr>
          <w:rFonts w:hint="eastAsia"/>
          <w:kern w:val="2"/>
        </w:rPr>
        <w:t>能源研究中心所長</w:t>
      </w:r>
      <w:r w:rsidR="00360DF4">
        <w:rPr>
          <w:rFonts w:hint="eastAsia"/>
          <w:kern w:val="2"/>
        </w:rPr>
        <w:t>、</w:t>
      </w:r>
      <w:r w:rsidR="00360DF4" w:rsidRPr="00684751">
        <w:rPr>
          <w:rFonts w:hint="eastAsia"/>
          <w:kern w:val="2"/>
        </w:rPr>
        <w:t>德州電機技師</w:t>
      </w:r>
      <w:r w:rsidR="00360DF4" w:rsidRPr="00360DF4">
        <w:rPr>
          <w:rFonts w:hint="eastAsia"/>
          <w:color w:val="000000" w:themeColor="text1"/>
          <w:szCs w:val="26"/>
        </w:rPr>
        <w:t>、</w:t>
      </w:r>
      <w:r w:rsidR="00867D34" w:rsidRPr="00360DF4">
        <w:rPr>
          <w:color w:val="000000" w:themeColor="text1"/>
          <w:szCs w:val="26"/>
        </w:rPr>
        <w:t>國際電機電子工程學會院士</w:t>
      </w:r>
      <w:r w:rsidR="00867D34" w:rsidRPr="00360DF4">
        <w:rPr>
          <w:rFonts w:hint="eastAsia"/>
          <w:color w:val="000000" w:themeColor="text1"/>
          <w:szCs w:val="26"/>
        </w:rPr>
        <w:t>、各國多家電力公司顧問）等人，多次到院對於</w:t>
      </w:r>
      <w:r w:rsidR="00867D34">
        <w:rPr>
          <w:rFonts w:hint="eastAsia"/>
        </w:rPr>
        <w:t>我國核能</w:t>
      </w:r>
      <w:r w:rsidR="00867D34" w:rsidRPr="00360DF4">
        <w:rPr>
          <w:rFonts w:hint="eastAsia"/>
          <w:color w:val="000000" w:themeColor="text1"/>
          <w:szCs w:val="26"/>
        </w:rPr>
        <w:t>發電之真實</w:t>
      </w:r>
      <w:r w:rsidR="00867D34">
        <w:rPr>
          <w:rFonts w:hint="eastAsia"/>
        </w:rPr>
        <w:t>成本提出質疑，並指出</w:t>
      </w:r>
      <w:r w:rsidR="00C7537D" w:rsidRPr="00C7537D">
        <w:rPr>
          <w:rFonts w:hint="eastAsia"/>
          <w:color w:val="000000" w:themeColor="text1"/>
          <w:szCs w:val="26"/>
        </w:rPr>
        <w:t>國內核能發電成本長期遭台電公司刻意低估等情，案經本院函請經濟部暨所屬能源局及台電公司說明到院，調查委員並於民國</w:t>
      </w:r>
      <w:r w:rsidR="00C7537D" w:rsidRPr="00C7537D">
        <w:rPr>
          <w:color w:val="000000" w:themeColor="text1"/>
          <w:szCs w:val="26"/>
        </w:rPr>
        <w:t>(</w:t>
      </w:r>
      <w:r w:rsidR="00C7537D" w:rsidRPr="00C7537D">
        <w:rPr>
          <w:rFonts w:hint="eastAsia"/>
          <w:color w:val="000000" w:themeColor="text1"/>
          <w:szCs w:val="26"/>
        </w:rPr>
        <w:t>下同</w:t>
      </w:r>
      <w:r w:rsidR="00C7537D" w:rsidRPr="00C7537D">
        <w:rPr>
          <w:color w:val="000000" w:themeColor="text1"/>
          <w:szCs w:val="26"/>
        </w:rPr>
        <w:t>)102</w:t>
      </w:r>
      <w:r w:rsidR="00C7537D" w:rsidRPr="00C7537D">
        <w:rPr>
          <w:rFonts w:hint="eastAsia"/>
          <w:color w:val="000000" w:themeColor="text1"/>
          <w:szCs w:val="26"/>
        </w:rPr>
        <w:t>年</w:t>
      </w:r>
      <w:r w:rsidR="00C7537D" w:rsidRPr="00C7537D">
        <w:rPr>
          <w:color w:val="000000" w:themeColor="text1"/>
          <w:szCs w:val="26"/>
        </w:rPr>
        <w:t>7</w:t>
      </w:r>
      <w:r w:rsidR="00C7537D" w:rsidRPr="00C7537D">
        <w:rPr>
          <w:rFonts w:hint="eastAsia"/>
          <w:color w:val="000000" w:themeColor="text1"/>
          <w:szCs w:val="26"/>
        </w:rPr>
        <w:t>月</w:t>
      </w:r>
      <w:r w:rsidR="00C7537D" w:rsidRPr="00C7537D">
        <w:rPr>
          <w:color w:val="000000" w:themeColor="text1"/>
          <w:szCs w:val="26"/>
        </w:rPr>
        <w:t>22</w:t>
      </w:r>
      <w:r w:rsidR="00C7537D" w:rsidRPr="00C7537D">
        <w:rPr>
          <w:rFonts w:hint="eastAsia"/>
          <w:color w:val="000000" w:themeColor="text1"/>
          <w:szCs w:val="26"/>
        </w:rPr>
        <w:t>、</w:t>
      </w:r>
      <w:r w:rsidR="00C7537D" w:rsidRPr="00C7537D">
        <w:rPr>
          <w:color w:val="000000" w:themeColor="text1"/>
          <w:szCs w:val="26"/>
        </w:rPr>
        <w:t>23</w:t>
      </w:r>
      <w:r w:rsidR="00C7537D" w:rsidRPr="00C7537D">
        <w:rPr>
          <w:rFonts w:hint="eastAsia"/>
          <w:color w:val="000000" w:themeColor="text1"/>
          <w:szCs w:val="26"/>
        </w:rPr>
        <w:t>日諮詢有關學者專家，及於</w:t>
      </w:r>
      <w:r w:rsidR="00C7537D" w:rsidRPr="00C7537D">
        <w:rPr>
          <w:color w:val="000000" w:themeColor="text1"/>
          <w:szCs w:val="26"/>
        </w:rPr>
        <w:t>8</w:t>
      </w:r>
      <w:r w:rsidR="00C7537D" w:rsidRPr="00C7537D">
        <w:rPr>
          <w:rFonts w:hint="eastAsia"/>
          <w:color w:val="000000" w:themeColor="text1"/>
          <w:szCs w:val="26"/>
        </w:rPr>
        <w:t>月</w:t>
      </w:r>
      <w:r w:rsidR="00C7537D" w:rsidRPr="00C7537D">
        <w:rPr>
          <w:color w:val="000000" w:themeColor="text1"/>
          <w:szCs w:val="26"/>
        </w:rPr>
        <w:t>23</w:t>
      </w:r>
      <w:r w:rsidR="00C7537D" w:rsidRPr="00C7537D">
        <w:rPr>
          <w:rFonts w:hint="eastAsia"/>
          <w:color w:val="000000" w:themeColor="text1"/>
          <w:szCs w:val="26"/>
        </w:rPr>
        <w:t>日約詢經濟部部長、行政院經濟建設委員會副主任委員及台電公司總經理等有關人員，嗣請有關機關補充說明資料後，業已調查竣事，茲將調查意見臚陳如下：</w:t>
      </w:r>
    </w:p>
    <w:p w:rsidR="007B52DA" w:rsidRPr="000515AB" w:rsidRDefault="00B2211E" w:rsidP="00421156">
      <w:pPr>
        <w:pStyle w:val="2"/>
        <w:widowControl/>
        <w:numPr>
          <w:ilvl w:val="1"/>
          <w:numId w:val="5"/>
        </w:numPr>
        <w:kinsoku/>
        <w:rPr>
          <w:rFonts w:hAnsi="標楷體"/>
          <w:b/>
          <w:color w:val="000000" w:themeColor="text1"/>
          <w:sz w:val="28"/>
          <w:szCs w:val="28"/>
        </w:rPr>
      </w:pPr>
      <w:bookmarkStart w:id="2" w:name="_Toc370476363"/>
      <w:r w:rsidRPr="00344290">
        <w:rPr>
          <w:rFonts w:hint="eastAsia"/>
        </w:rPr>
        <w:lastRenderedPageBreak/>
        <w:t>台電公司</w:t>
      </w:r>
      <w:r w:rsidR="006774D6" w:rsidRPr="00BE6D0B">
        <w:rPr>
          <w:rFonts w:hint="eastAsia"/>
        </w:rPr>
        <w:t>實務上</w:t>
      </w:r>
      <w:r w:rsidRPr="00344290">
        <w:rPr>
          <w:rFonts w:hint="eastAsia"/>
        </w:rPr>
        <w:t>未</w:t>
      </w:r>
      <w:r>
        <w:rPr>
          <w:rFonts w:hint="eastAsia"/>
        </w:rPr>
        <w:t>將</w:t>
      </w:r>
      <w:r w:rsidRPr="00344290">
        <w:rPr>
          <w:rFonts w:hint="eastAsia"/>
        </w:rPr>
        <w:t>輔助服務成本納入各類發電機組</w:t>
      </w:r>
      <w:r w:rsidR="00754FF9">
        <w:rPr>
          <w:rFonts w:hint="eastAsia"/>
        </w:rPr>
        <w:t>之</w:t>
      </w:r>
      <w:r w:rsidR="008916A8">
        <w:rPr>
          <w:rFonts w:hint="eastAsia"/>
        </w:rPr>
        <w:t>相關</w:t>
      </w:r>
      <w:r w:rsidRPr="00344290">
        <w:rPr>
          <w:rFonts w:hint="eastAsia"/>
        </w:rPr>
        <w:t>成本，</w:t>
      </w:r>
      <w:r>
        <w:rPr>
          <w:rFonts w:hint="eastAsia"/>
        </w:rPr>
        <w:t>不僅影響該公司內部競價機制之建立與績效之評估，且</w:t>
      </w:r>
      <w:r w:rsidR="00867D34">
        <w:rPr>
          <w:rFonts w:hint="eastAsia"/>
        </w:rPr>
        <w:t>引發該公司忽略並扭曲核能電廠</w:t>
      </w:r>
      <w:r w:rsidRPr="00344290">
        <w:rPr>
          <w:rFonts w:hint="eastAsia"/>
        </w:rPr>
        <w:t>真實成本之</w:t>
      </w:r>
      <w:r w:rsidR="00867D34">
        <w:rPr>
          <w:rFonts w:hint="eastAsia"/>
        </w:rPr>
        <w:t>爭</w:t>
      </w:r>
      <w:r w:rsidRPr="00344290">
        <w:rPr>
          <w:rFonts w:hint="eastAsia"/>
        </w:rPr>
        <w:t>議，核有欠當</w:t>
      </w:r>
      <w:r w:rsidR="007D2892" w:rsidRPr="000515AB">
        <w:rPr>
          <w:rFonts w:hint="eastAsia"/>
          <w:color w:val="000000" w:themeColor="text1"/>
        </w:rPr>
        <w:t>：</w:t>
      </w:r>
      <w:bookmarkEnd w:id="2"/>
    </w:p>
    <w:p w:rsidR="00625105" w:rsidRPr="00625105" w:rsidRDefault="00C67A85" w:rsidP="00625105">
      <w:pPr>
        <w:pStyle w:val="3"/>
      </w:pPr>
      <w:r>
        <w:rPr>
          <w:rFonts w:hint="eastAsia"/>
        </w:rPr>
        <w:t>按</w:t>
      </w:r>
      <w:r w:rsidR="00625105" w:rsidRPr="00625105">
        <w:rPr>
          <w:rFonts w:hint="eastAsia"/>
        </w:rPr>
        <w:t>台電公司</w:t>
      </w:r>
      <w:r w:rsidR="00625105">
        <w:rPr>
          <w:rFonts w:hint="eastAsia"/>
        </w:rPr>
        <w:t>於本院約詢</w:t>
      </w:r>
      <w:r w:rsidR="00C635FE" w:rsidRPr="009522DB">
        <w:rPr>
          <w:rFonts w:hint="eastAsia"/>
        </w:rPr>
        <w:t>時所</w:t>
      </w:r>
      <w:r w:rsidR="00625105">
        <w:rPr>
          <w:rFonts w:hint="eastAsia"/>
        </w:rPr>
        <w:t>提供之書面資料，</w:t>
      </w:r>
      <w:r w:rsidR="00625105" w:rsidRPr="00625105">
        <w:rPr>
          <w:rFonts w:hint="eastAsia"/>
        </w:rPr>
        <w:t>說明</w:t>
      </w:r>
      <w:r w:rsidR="006774D6" w:rsidRPr="00BE6D0B">
        <w:rPr>
          <w:rFonts w:hint="eastAsia"/>
        </w:rPr>
        <w:t>實務上</w:t>
      </w:r>
      <w:r w:rsidR="00625105" w:rsidRPr="00625105">
        <w:rPr>
          <w:rFonts w:hint="eastAsia"/>
        </w:rPr>
        <w:t>相關成本之定義如下：</w:t>
      </w:r>
    </w:p>
    <w:p w:rsidR="00625105" w:rsidRPr="00166508" w:rsidRDefault="00625105" w:rsidP="00625105">
      <w:pPr>
        <w:pStyle w:val="4"/>
        <w:rPr>
          <w:b/>
        </w:rPr>
      </w:pPr>
      <w:r w:rsidRPr="00166508">
        <w:t>發電成本</w:t>
      </w:r>
      <w:r>
        <w:rPr>
          <w:b/>
        </w:rPr>
        <w:t>：</w:t>
      </w:r>
    </w:p>
    <w:p w:rsidR="00625105" w:rsidRDefault="00625105" w:rsidP="000C100A">
      <w:pPr>
        <w:pStyle w:val="21"/>
        <w:spacing w:afterLines="50"/>
        <w:ind w:leftChars="500" w:left="1701" w:firstLine="680"/>
      </w:pPr>
      <w:r w:rsidRPr="00166508">
        <w:rPr>
          <w:rFonts w:hint="eastAsia"/>
        </w:rPr>
        <w:t>電力供應至用戶</w:t>
      </w:r>
      <w:r w:rsidR="000515AB">
        <w:rPr>
          <w:rFonts w:hint="eastAsia"/>
        </w:rPr>
        <w:t>須</w:t>
      </w:r>
      <w:r w:rsidRPr="00166508">
        <w:rPr>
          <w:rFonts w:hint="eastAsia"/>
        </w:rPr>
        <w:t>經過發電、輸電、配電</w:t>
      </w:r>
      <w:r w:rsidR="000515AB">
        <w:rPr>
          <w:rFonts w:hint="eastAsia"/>
        </w:rPr>
        <w:t>等</w:t>
      </w:r>
      <w:r w:rsidRPr="00166508">
        <w:rPr>
          <w:rFonts w:hint="eastAsia"/>
        </w:rPr>
        <w:t>過程，詳如下圖</w:t>
      </w:r>
      <w:r w:rsidR="000515AB">
        <w:rPr>
          <w:rFonts w:hint="eastAsia"/>
        </w:rPr>
        <w:t>。</w:t>
      </w:r>
      <w:r w:rsidR="00811C77" w:rsidRPr="00166508">
        <w:rPr>
          <w:rFonts w:hAnsi="標楷體" w:hint="eastAsia"/>
          <w:szCs w:val="32"/>
        </w:rPr>
        <w:t>發電成本包含自發電成本及購入電力成本，自發電成本係指</w:t>
      </w:r>
      <w:r w:rsidR="000515AB">
        <w:rPr>
          <w:rFonts w:hAnsi="標楷體" w:hint="eastAsia"/>
          <w:szCs w:val="32"/>
        </w:rPr>
        <w:t>台電公司</w:t>
      </w:r>
      <w:r w:rsidR="00811C77" w:rsidRPr="00166508">
        <w:rPr>
          <w:rFonts w:hAnsi="標楷體" w:hint="eastAsia"/>
          <w:szCs w:val="32"/>
        </w:rPr>
        <w:t>各</w:t>
      </w:r>
      <w:r w:rsidR="00811C77" w:rsidRPr="00166508">
        <w:rPr>
          <w:rFonts w:hint="eastAsia"/>
        </w:rPr>
        <w:t>電廠及主管部門為發電送到輸電端前所發生之成本，包括燃料、折舊、維護費、其他營運費、後端費用、借款利息等成本，購入電力則係指為用戶用電需求購買外界電力</w:t>
      </w:r>
      <w:r w:rsidR="000515AB">
        <w:rPr>
          <w:rFonts w:hint="eastAsia"/>
        </w:rPr>
        <w:t>（如民營電廠）</w:t>
      </w:r>
      <w:r w:rsidR="00811C77" w:rsidRPr="00166508">
        <w:rPr>
          <w:rFonts w:hint="eastAsia"/>
        </w:rPr>
        <w:t>所支出之款項。</w:t>
      </w:r>
    </w:p>
    <w:p w:rsidR="00625105" w:rsidRPr="00166508" w:rsidRDefault="00811C77" w:rsidP="000C100A">
      <w:pPr>
        <w:pStyle w:val="af4"/>
        <w:tabs>
          <w:tab w:val="left" w:pos="709"/>
        </w:tabs>
        <w:spacing w:afterLines="50"/>
        <w:ind w:left="680"/>
        <w:rPr>
          <w:rFonts w:ascii="標楷體" w:eastAsia="標楷體" w:hAnsi="標楷體"/>
          <w:b/>
          <w:color w:val="000066"/>
          <w:sz w:val="32"/>
          <w:szCs w:val="32"/>
        </w:rPr>
      </w:pPr>
      <w:r>
        <w:rPr>
          <w:rFonts w:ascii="標楷體" w:eastAsia="標楷體" w:hAnsi="標楷體"/>
          <w:b/>
          <w:noProof/>
          <w:color w:val="000066"/>
          <w:sz w:val="32"/>
          <w:szCs w:val="32"/>
        </w:rPr>
        <w:drawing>
          <wp:anchor distT="0" distB="0" distL="114300" distR="114300" simplePos="0" relativeHeight="251651584" behindDoc="0" locked="0" layoutInCell="1" allowOverlap="1">
            <wp:simplePos x="0" y="0"/>
            <wp:positionH relativeFrom="column">
              <wp:posOffset>398229</wp:posOffset>
            </wp:positionH>
            <wp:positionV relativeFrom="paragraph">
              <wp:posOffset>-29016</wp:posOffset>
            </wp:positionV>
            <wp:extent cx="5265089" cy="1378171"/>
            <wp:effectExtent l="19050" t="19050" r="11761" b="12479"/>
            <wp:wrapNone/>
            <wp:docPr id="5"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65089" cy="1378171"/>
                    </a:xfrm>
                    <a:prstGeom prst="rect">
                      <a:avLst/>
                    </a:prstGeom>
                    <a:ln>
                      <a:solidFill>
                        <a:schemeClr val="tx1"/>
                      </a:solidFill>
                    </a:ln>
                  </pic:spPr>
                </pic:pic>
              </a:graphicData>
            </a:graphic>
          </wp:anchor>
        </w:drawing>
      </w:r>
    </w:p>
    <w:p w:rsidR="00811C77" w:rsidRDefault="00811C77" w:rsidP="000C100A">
      <w:pPr>
        <w:pStyle w:val="af4"/>
        <w:tabs>
          <w:tab w:val="left" w:pos="709"/>
        </w:tabs>
        <w:spacing w:afterLines="50"/>
        <w:ind w:left="680"/>
        <w:rPr>
          <w:rFonts w:ascii="標楷體" w:eastAsia="標楷體" w:hAnsi="標楷體"/>
          <w:b/>
          <w:color w:val="000066"/>
          <w:sz w:val="32"/>
          <w:szCs w:val="32"/>
        </w:rPr>
      </w:pPr>
    </w:p>
    <w:p w:rsidR="00811C77" w:rsidRDefault="00811C77" w:rsidP="000C100A">
      <w:pPr>
        <w:pStyle w:val="af4"/>
        <w:tabs>
          <w:tab w:val="left" w:pos="709"/>
        </w:tabs>
        <w:spacing w:afterLines="50"/>
        <w:ind w:left="680"/>
        <w:rPr>
          <w:rFonts w:ascii="標楷體" w:eastAsia="標楷體" w:hAnsi="標楷體"/>
          <w:b/>
          <w:color w:val="000066"/>
          <w:sz w:val="32"/>
          <w:szCs w:val="32"/>
        </w:rPr>
      </w:pPr>
    </w:p>
    <w:p w:rsidR="00811C77" w:rsidRDefault="00B86021" w:rsidP="000C100A">
      <w:pPr>
        <w:pStyle w:val="af4"/>
        <w:tabs>
          <w:tab w:val="left" w:pos="709"/>
        </w:tabs>
        <w:spacing w:afterLines="50"/>
        <w:ind w:left="680"/>
        <w:rPr>
          <w:rFonts w:ascii="標楷體" w:eastAsia="標楷體" w:hAnsi="標楷體"/>
          <w:b/>
          <w:color w:val="000066"/>
          <w:sz w:val="32"/>
          <w:szCs w:val="32"/>
        </w:rPr>
      </w:pPr>
      <w:r w:rsidRPr="00B86021">
        <w:rPr>
          <w:rFonts w:ascii="標楷體" w:eastAsia="標楷體" w:hAnsi="標楷體"/>
          <w:noProof/>
          <w:color w:val="000066"/>
          <w:sz w:val="32"/>
          <w:szCs w:val="32"/>
        </w:rPr>
        <w:pict>
          <v:group id="_x0000_s1026" style="position:absolute;left:0;text-align:left;margin-left:79.4pt;margin-top:10.9pt;width:352.75pt;height:29.8pt;z-index:251661824" coordorigin="3233,5291" coordsize="7055,596">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3370;top:5175;width:575;height:850;rotation:-9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" adj="1218,11223" strokecolor="#4a7ebb"/>
            <v:shape id="_x0000_s1028" type="#_x0000_t87" style="position:absolute;left:5397;top:4155;width:596;height:2868;rotation:-9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" adj="374" strokecolor="#4a7ebb"/>
            <v:shape id="_x0000_s1029" type="#_x0000_t87" style="position:absolute;left:8556;top:4155;width:596;height:2868;rotation:-9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" adj="374" strokecolor="#4a7ebb"/>
          </v:group>
        </w:pict>
      </w:r>
    </w:p>
    <w:p w:rsidR="00625105" w:rsidRDefault="00B86021" w:rsidP="000C100A">
      <w:pPr>
        <w:pStyle w:val="af4"/>
        <w:tabs>
          <w:tab w:val="left" w:pos="709"/>
        </w:tabs>
        <w:spacing w:afterLines="50"/>
        <w:ind w:left="680"/>
        <w:rPr>
          <w:rFonts w:ascii="標楷體" w:eastAsia="標楷體" w:hAnsi="標楷體"/>
          <w:b/>
          <w:color w:val="000066"/>
          <w:sz w:val="32"/>
          <w:szCs w:val="32"/>
        </w:rPr>
      </w:pPr>
      <w:r w:rsidRPr="00B86021">
        <w:rPr>
          <w:rFonts w:ascii="標楷體" w:eastAsia="標楷體" w:hAnsi="標楷體" w:cs="新細明體"/>
          <w:noProof/>
          <w:color w:val="000066"/>
          <w:sz w:val="32"/>
          <w:szCs w:val="32"/>
        </w:rPr>
        <w:pict>
          <v:shapetype id="_x0000_t202" coordsize="21600,21600" o:spt="202" path="m,l,21600r21600,l21600,xe">
            <v:stroke joinstyle="miter"/>
            <v:path gradientshapeok="t" o:connecttype="rect"/>
          </v:shapetype>
          <v:shape id="_x0000_s1032" type="#_x0000_t202" style="position:absolute;left:0;text-align:left;margin-left:338.15pt;margin-top:3.3pt;width:48.5pt;height:33.05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" filled="f" stroked="f">
            <v:textbox style="mso-next-textbox:#_x0000_s1032">
              <w:txbxContent>
                <w:p w:rsidR="005D3531" w:rsidRPr="007B367F" w:rsidRDefault="005D3531" w:rsidP="00625105">
                  <w:pPr>
                    <w:rPr>
                      <w:sz w:val="28"/>
                      <w:szCs w:val="28"/>
                    </w:rPr>
                  </w:pPr>
                  <w:r w:rsidRPr="007B367F">
                    <w:rPr>
                      <w:rFonts w:hint="eastAsia"/>
                      <w:sz w:val="28"/>
                      <w:szCs w:val="28"/>
                    </w:rPr>
                    <w:t>配電</w:t>
                  </w:r>
                </w:p>
              </w:txbxContent>
            </v:textbox>
          </v:shape>
        </w:pict>
      </w:r>
      <w:r w:rsidRPr="00B86021">
        <w:rPr>
          <w:rFonts w:ascii="標楷體" w:eastAsia="標楷體" w:hAnsi="標楷體" w:cs="新細明體"/>
          <w:noProof/>
          <w:color w:val="000066"/>
          <w:sz w:val="32"/>
          <w:szCs w:val="32"/>
        </w:rPr>
        <w:pict>
          <v:shape id="_x0000_s1031" type="#_x0000_t202" style="position:absolute;left:0;text-align:left;margin-left:180.65pt;margin-top:3.3pt;width:49.5pt;height:29.9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" filled="f" stroked="f">
            <v:textbox style="mso-next-textbox:#_x0000_s1031">
              <w:txbxContent>
                <w:p w:rsidR="005D3531" w:rsidRPr="007B367F" w:rsidRDefault="005D3531" w:rsidP="00625105">
                  <w:pPr>
                    <w:rPr>
                      <w:sz w:val="28"/>
                      <w:szCs w:val="28"/>
                    </w:rPr>
                  </w:pPr>
                  <w:r w:rsidRPr="007B367F">
                    <w:rPr>
                      <w:rFonts w:hint="eastAsia"/>
                      <w:sz w:val="28"/>
                      <w:szCs w:val="28"/>
                    </w:rPr>
                    <w:t>輸電</w:t>
                  </w:r>
                </w:p>
              </w:txbxContent>
            </v:textbox>
          </v:shape>
        </w:pict>
      </w:r>
      <w:r w:rsidRPr="00B86021">
        <w:rPr>
          <w:rFonts w:ascii="標楷體" w:eastAsia="標楷體" w:hAnsi="標楷體" w:cs="新細明體"/>
          <w:noProof/>
          <w:color w:val="000066"/>
          <w:sz w:val="32"/>
          <w:szCs w:val="32"/>
        </w:rPr>
        <w:pict>
          <v:shape id="_x0000_s1030" type="#_x0000_t202" style="position:absolute;left:0;text-align:left;margin-left:79.4pt;margin-top:3.3pt;width:53.2pt;height:33.05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" filled="f" stroked="f">
            <v:textbox style="mso-next-textbox:#_x0000_s1030">
              <w:txbxContent>
                <w:p w:rsidR="005D3531" w:rsidRPr="007B367F" w:rsidRDefault="005D3531" w:rsidP="00625105">
                  <w:pPr>
                    <w:rPr>
                      <w:sz w:val="28"/>
                      <w:szCs w:val="28"/>
                    </w:rPr>
                  </w:pPr>
                  <w:r w:rsidRPr="007B367F">
                    <w:rPr>
                      <w:rFonts w:hint="eastAsia"/>
                      <w:sz w:val="28"/>
                      <w:szCs w:val="28"/>
                    </w:rPr>
                    <w:t>發電</w:t>
                  </w:r>
                </w:p>
              </w:txbxContent>
            </v:textbox>
          </v:shape>
        </w:pict>
      </w:r>
    </w:p>
    <w:p w:rsidR="00625105" w:rsidRPr="009B0834" w:rsidRDefault="00625105" w:rsidP="00811C77">
      <w:pPr>
        <w:pStyle w:val="4"/>
      </w:pPr>
      <w:r w:rsidRPr="009B0834">
        <w:t>供電成本</w:t>
      </w:r>
      <w:r>
        <w:rPr>
          <w:rFonts w:hint="eastAsia"/>
        </w:rPr>
        <w:t>：</w:t>
      </w:r>
      <w:r w:rsidR="00867D34" w:rsidRPr="00166508">
        <w:rPr>
          <w:rFonts w:hAnsi="標楷體"/>
          <w:szCs w:val="32"/>
        </w:rPr>
        <w:t>供電成本包括自發電、購入電力、輸電、配電</w:t>
      </w:r>
      <w:r w:rsidR="00867D34">
        <w:rPr>
          <w:rFonts w:hAnsi="標楷體" w:hint="eastAsia"/>
          <w:szCs w:val="32"/>
        </w:rPr>
        <w:t>等</w:t>
      </w:r>
      <w:r w:rsidR="00867D34" w:rsidRPr="00166508">
        <w:rPr>
          <w:rFonts w:hAnsi="標楷體"/>
          <w:szCs w:val="32"/>
        </w:rPr>
        <w:t>成本</w:t>
      </w:r>
      <w:r w:rsidR="00867D34" w:rsidRPr="00166508">
        <w:rPr>
          <w:rFonts w:hAnsi="標楷體" w:hint="eastAsia"/>
          <w:szCs w:val="32"/>
        </w:rPr>
        <w:t>。</w:t>
      </w:r>
    </w:p>
    <w:p w:rsidR="00625105" w:rsidRPr="009B0834" w:rsidRDefault="00625105" w:rsidP="00811C77">
      <w:pPr>
        <w:pStyle w:val="4"/>
      </w:pPr>
      <w:r w:rsidRPr="009B0834">
        <w:t>輸配電成本</w:t>
      </w:r>
      <w:r>
        <w:rPr>
          <w:rFonts w:hint="eastAsia"/>
        </w:rPr>
        <w:t>：</w:t>
      </w:r>
      <w:r w:rsidR="00867D34" w:rsidRPr="00166508">
        <w:rPr>
          <w:rFonts w:hAnsi="標楷體" w:hint="eastAsia"/>
          <w:szCs w:val="32"/>
        </w:rPr>
        <w:t>電廠發電後</w:t>
      </w:r>
      <w:r w:rsidR="00867D34">
        <w:rPr>
          <w:rFonts w:hAnsi="標楷體" w:hint="eastAsia"/>
          <w:szCs w:val="32"/>
        </w:rPr>
        <w:t>至</w:t>
      </w:r>
      <w:r w:rsidR="00867D34" w:rsidRPr="00166508">
        <w:rPr>
          <w:rFonts w:hAnsi="標楷體" w:hint="eastAsia"/>
          <w:szCs w:val="32"/>
        </w:rPr>
        <w:t>用戶用電</w:t>
      </w:r>
      <w:r w:rsidR="00867D34">
        <w:rPr>
          <w:rFonts w:hAnsi="標楷體" w:hint="eastAsia"/>
          <w:szCs w:val="32"/>
        </w:rPr>
        <w:t>端</w:t>
      </w:r>
      <w:r w:rsidR="00867D34" w:rsidRPr="00166508">
        <w:rPr>
          <w:rFonts w:hAnsi="標楷體" w:hint="eastAsia"/>
          <w:szCs w:val="32"/>
        </w:rPr>
        <w:t>中間</w:t>
      </w:r>
      <w:r w:rsidR="00867D34">
        <w:rPr>
          <w:rFonts w:hAnsi="標楷體" w:hint="eastAsia"/>
          <w:szCs w:val="32"/>
        </w:rPr>
        <w:t>須</w:t>
      </w:r>
      <w:r w:rsidR="00867D34" w:rsidRPr="00166508">
        <w:rPr>
          <w:rFonts w:hAnsi="標楷體" w:hint="eastAsia"/>
          <w:szCs w:val="32"/>
        </w:rPr>
        <w:t>再經過輸電</w:t>
      </w:r>
      <w:r w:rsidR="00867D34">
        <w:rPr>
          <w:rFonts w:hAnsi="標楷體" w:hint="eastAsia"/>
          <w:szCs w:val="32"/>
        </w:rPr>
        <w:t>及</w:t>
      </w:r>
      <w:r w:rsidR="00867D34" w:rsidRPr="00166508">
        <w:rPr>
          <w:rFonts w:hAnsi="標楷體" w:hint="eastAsia"/>
          <w:szCs w:val="32"/>
        </w:rPr>
        <w:t>配電系統之輸送，輸配電成本乃輸配電業務所發生之一切費用。</w:t>
      </w:r>
    </w:p>
    <w:p w:rsidR="00625105" w:rsidRPr="003A2ADC" w:rsidRDefault="00625105" w:rsidP="00811C77">
      <w:pPr>
        <w:pStyle w:val="4"/>
      </w:pPr>
      <w:r w:rsidRPr="003A2ADC">
        <w:t>輔助服務成本</w:t>
      </w:r>
      <w:r w:rsidR="001C4C2E">
        <w:rPr>
          <w:rStyle w:val="afb"/>
        </w:rPr>
        <w:footnoteReference w:id="1"/>
      </w:r>
      <w:r>
        <w:rPr>
          <w:rFonts w:hint="eastAsia"/>
        </w:rPr>
        <w:t>：</w:t>
      </w:r>
    </w:p>
    <w:p w:rsidR="00625105" w:rsidRPr="00166508" w:rsidRDefault="00625105" w:rsidP="00811C77">
      <w:pPr>
        <w:pStyle w:val="5"/>
      </w:pPr>
      <w:r w:rsidRPr="00166508">
        <w:rPr>
          <w:rFonts w:hint="eastAsia"/>
        </w:rPr>
        <w:lastRenderedPageBreak/>
        <w:t>「輔助服務」</w:t>
      </w:r>
      <w:r w:rsidR="009D2288">
        <w:rPr>
          <w:rFonts w:hint="eastAsia"/>
        </w:rPr>
        <w:t>係</w:t>
      </w:r>
      <w:r w:rsidRPr="00166508">
        <w:rPr>
          <w:rFonts w:hint="eastAsia"/>
        </w:rPr>
        <w:t>指在電業自由化下，開放自由競爭</w:t>
      </w:r>
      <w:r w:rsidR="009D2288">
        <w:rPr>
          <w:rFonts w:hint="eastAsia"/>
        </w:rPr>
        <w:t>之</w:t>
      </w:r>
      <w:r w:rsidRPr="00166508">
        <w:rPr>
          <w:rFonts w:hint="eastAsia"/>
        </w:rPr>
        <w:t>電力市場考量電力系統</w:t>
      </w:r>
      <w:r w:rsidR="009D2288">
        <w:rPr>
          <w:rFonts w:hint="eastAsia"/>
        </w:rPr>
        <w:t>之</w:t>
      </w:r>
      <w:r w:rsidRPr="00166508">
        <w:rPr>
          <w:rFonts w:hint="eastAsia"/>
        </w:rPr>
        <w:t>穩定與安全，電力市場除提供「電能市場」交易外，必</w:t>
      </w:r>
      <w:r w:rsidR="009D2288">
        <w:rPr>
          <w:rFonts w:hint="eastAsia"/>
        </w:rPr>
        <w:t>須</w:t>
      </w:r>
      <w:r w:rsidRPr="00166508">
        <w:rPr>
          <w:rFonts w:hint="eastAsia"/>
        </w:rPr>
        <w:t>針對配合系統負載供需變化(如無效電力、電壓調整、頻率控制、備轉電力容量等)，設計一套「輔助服務」機制，由所有參與競價</w:t>
      </w:r>
      <w:r w:rsidR="009D2288">
        <w:rPr>
          <w:rFonts w:hint="eastAsia"/>
        </w:rPr>
        <w:t>之</w:t>
      </w:r>
      <w:r w:rsidRPr="00166508">
        <w:rPr>
          <w:rFonts w:hint="eastAsia"/>
        </w:rPr>
        <w:t>機組分擔此一服務，以滿足系統供電安全</w:t>
      </w:r>
      <w:r w:rsidR="009D2288">
        <w:rPr>
          <w:rFonts w:hint="eastAsia"/>
        </w:rPr>
        <w:t>之</w:t>
      </w:r>
      <w:r w:rsidRPr="00166508">
        <w:rPr>
          <w:rFonts w:hint="eastAsia"/>
        </w:rPr>
        <w:t>要求。</w:t>
      </w:r>
    </w:p>
    <w:p w:rsidR="00625105" w:rsidRPr="006F45C2" w:rsidRDefault="00625105" w:rsidP="00811C77">
      <w:pPr>
        <w:pStyle w:val="5"/>
      </w:pPr>
      <w:r w:rsidRPr="00166508">
        <w:rPr>
          <w:rFonts w:hint="eastAsia"/>
        </w:rPr>
        <w:t>在此「輔助服務」機制下，提供「輔助服務」的機組可獲得提供服務</w:t>
      </w:r>
      <w:r w:rsidR="001D1235">
        <w:rPr>
          <w:rFonts w:hint="eastAsia"/>
        </w:rPr>
        <w:t>之</w:t>
      </w:r>
      <w:r w:rsidRPr="00166508">
        <w:rPr>
          <w:rFonts w:hint="eastAsia"/>
        </w:rPr>
        <w:t>收益，</w:t>
      </w:r>
      <w:r w:rsidR="001D1235">
        <w:rPr>
          <w:rFonts w:hint="eastAsia"/>
        </w:rPr>
        <w:t>而</w:t>
      </w:r>
      <w:r w:rsidRPr="00166508">
        <w:rPr>
          <w:rFonts w:hint="eastAsia"/>
        </w:rPr>
        <w:t>被服務機組則須支付接受服務的費用。至於輔助服務成本如何分擔</w:t>
      </w:r>
      <w:r w:rsidR="001D1235">
        <w:rPr>
          <w:rFonts w:hint="eastAsia"/>
        </w:rPr>
        <w:t>，</w:t>
      </w:r>
      <w:r w:rsidRPr="00166508">
        <w:rPr>
          <w:rFonts w:hint="eastAsia"/>
        </w:rPr>
        <w:t>則依自由化電力市場規則辦理，通常由電力市場操作者向發電業購入各種輔助服務所支付</w:t>
      </w:r>
      <w:r w:rsidR="001D1235">
        <w:rPr>
          <w:rFonts w:hint="eastAsia"/>
        </w:rPr>
        <w:t>之</w:t>
      </w:r>
      <w:r w:rsidRPr="00166508">
        <w:rPr>
          <w:rFonts w:hint="eastAsia"/>
        </w:rPr>
        <w:t>費用</w:t>
      </w:r>
      <w:r>
        <w:rPr>
          <w:rFonts w:hint="eastAsia"/>
        </w:rPr>
        <w:t>，</w:t>
      </w:r>
      <w:r w:rsidRPr="00166508">
        <w:rPr>
          <w:rFonts w:hint="eastAsia"/>
        </w:rPr>
        <w:t>最終仍轉嫁給所有用戶，即由所有參與市場</w:t>
      </w:r>
      <w:r w:rsidR="00C72A7A">
        <w:rPr>
          <w:rFonts w:hint="eastAsia"/>
        </w:rPr>
        <w:t>之</w:t>
      </w:r>
      <w:r w:rsidRPr="00166508">
        <w:rPr>
          <w:rFonts w:hint="eastAsia"/>
        </w:rPr>
        <w:t>發電機組分擔「輔助服務」成本，發電業者會將其併入其成本計算，再透過電價進行回收。因此，系統輔</w:t>
      </w:r>
      <w:r w:rsidRPr="00E24E9B">
        <w:rPr>
          <w:rFonts w:hint="eastAsia"/>
        </w:rPr>
        <w:t>助服務成本最終是由用戶負擔(併入電價計算)，</w:t>
      </w:r>
      <w:r w:rsidRPr="00E24E9B">
        <w:rPr>
          <w:rFonts w:hint="eastAsia"/>
          <w:color w:val="000000" w:themeColor="text1"/>
        </w:rPr>
        <w:t>目前</w:t>
      </w:r>
      <w:r w:rsidR="00C72A7A">
        <w:rPr>
          <w:rFonts w:hint="eastAsia"/>
          <w:color w:val="000000" w:themeColor="text1"/>
        </w:rPr>
        <w:t>國內</w:t>
      </w:r>
      <w:r w:rsidRPr="00E24E9B">
        <w:rPr>
          <w:rFonts w:hint="eastAsia"/>
          <w:color w:val="000000" w:themeColor="text1"/>
        </w:rPr>
        <w:t>電業未自由化，台電公司為一綜合電業，輔助服務均由系統未滿載的發電機組提供，相關輔助服務成本則均納入售電成本，故台電各類發電機組之發電成本</w:t>
      </w:r>
      <w:r w:rsidR="00042732">
        <w:rPr>
          <w:rFonts w:hint="eastAsia"/>
          <w:color w:val="000000" w:themeColor="text1"/>
        </w:rPr>
        <w:t>，均未包含</w:t>
      </w:r>
      <w:r w:rsidR="00042732" w:rsidRPr="0003177C">
        <w:rPr>
          <w:rFonts w:hint="eastAsia"/>
        </w:rPr>
        <w:t>輔助服務</w:t>
      </w:r>
      <w:r w:rsidR="00042732" w:rsidRPr="00E24E9B">
        <w:rPr>
          <w:rFonts w:hint="eastAsia"/>
          <w:color w:val="000000" w:themeColor="text1"/>
        </w:rPr>
        <w:t>成本</w:t>
      </w:r>
      <w:r w:rsidRPr="00E24E9B">
        <w:rPr>
          <w:rFonts w:hint="eastAsia"/>
          <w:color w:val="000000" w:themeColor="text1"/>
        </w:rPr>
        <w:t>。</w:t>
      </w:r>
    </w:p>
    <w:p w:rsidR="006F45C2" w:rsidRDefault="006F45C2" w:rsidP="006F45C2">
      <w:pPr>
        <w:pStyle w:val="5"/>
        <w:widowControl/>
        <w:numPr>
          <w:ilvl w:val="4"/>
          <w:numId w:val="5"/>
        </w:numPr>
      </w:pPr>
      <w:r w:rsidRPr="002054B7">
        <w:rPr>
          <w:rFonts w:hint="eastAsia"/>
        </w:rPr>
        <w:t>另</w:t>
      </w:r>
      <w:r w:rsidR="00A742D7">
        <w:rPr>
          <w:rFonts w:hint="eastAsia"/>
        </w:rPr>
        <w:t>台電</w:t>
      </w:r>
      <w:r w:rsidRPr="002054B7">
        <w:rPr>
          <w:rFonts w:hint="eastAsia"/>
        </w:rPr>
        <w:t>公司於</w:t>
      </w:r>
      <w:r>
        <w:rPr>
          <w:rFonts w:hint="eastAsia"/>
        </w:rPr>
        <w:t>102年9月11日補充說明表示，</w:t>
      </w:r>
      <w:r w:rsidRPr="002054B7">
        <w:rPr>
          <w:rFonts w:hint="eastAsia"/>
        </w:rPr>
        <w:t>輔助服務初步規劃項目</w:t>
      </w:r>
      <w:r w:rsidRPr="007B367F">
        <w:rPr>
          <w:rFonts w:hint="eastAsia"/>
        </w:rPr>
        <w:t>如下列7項</w:t>
      </w:r>
      <w:r>
        <w:rPr>
          <w:rFonts w:hint="eastAsia"/>
        </w:rPr>
        <w:t>，而</w:t>
      </w:r>
      <w:r w:rsidRPr="002054B7">
        <w:rPr>
          <w:rFonts w:hint="eastAsia"/>
        </w:rPr>
        <w:t>未來電業</w:t>
      </w:r>
      <w:r w:rsidRPr="0003177C">
        <w:rPr>
          <w:rFonts w:hint="eastAsia"/>
        </w:rPr>
        <w:t>自由化後，輔助服務除排程、系統控制</w:t>
      </w:r>
      <w:r>
        <w:rPr>
          <w:rFonts w:hint="eastAsia"/>
        </w:rPr>
        <w:t>及</w:t>
      </w:r>
      <w:r w:rsidRPr="0003177C">
        <w:rPr>
          <w:rFonts w:hint="eastAsia"/>
        </w:rPr>
        <w:t>調</w:t>
      </w:r>
      <w:r w:rsidRPr="0003177C">
        <w:rPr>
          <w:rFonts w:hint="eastAsia"/>
        </w:rPr>
        <w:lastRenderedPageBreak/>
        <w:t>度服務項目</w:t>
      </w:r>
      <w:r>
        <w:rPr>
          <w:rFonts w:hint="eastAsia"/>
        </w:rPr>
        <w:t>係</w:t>
      </w:r>
      <w:r w:rsidRPr="0003177C">
        <w:rPr>
          <w:rFonts w:hint="eastAsia"/>
        </w:rPr>
        <w:t>由輸供電系統調度單位提供，其餘則為發電系統提供。</w:t>
      </w:r>
    </w:p>
    <w:p w:rsidR="006F45C2" w:rsidRPr="00D11B11" w:rsidRDefault="006F45C2" w:rsidP="006F45C2">
      <w:pPr>
        <w:pStyle w:val="6"/>
      </w:pPr>
      <w:r w:rsidRPr="00134DC2">
        <w:rPr>
          <w:rFonts w:hint="eastAsia"/>
        </w:rPr>
        <w:t>排程、系統控制</w:t>
      </w:r>
      <w:r>
        <w:rPr>
          <w:rFonts w:hint="eastAsia"/>
        </w:rPr>
        <w:t>及</w:t>
      </w:r>
      <w:r w:rsidRPr="00134DC2">
        <w:rPr>
          <w:rFonts w:hint="eastAsia"/>
        </w:rPr>
        <w:t>調度服務：</w:t>
      </w:r>
      <w:r w:rsidRPr="00D11B11">
        <w:rPr>
          <w:rFonts w:hint="eastAsia"/>
        </w:rPr>
        <w:t>調度中心依電力系統需求</w:t>
      </w:r>
      <w:r>
        <w:rPr>
          <w:rFonts w:hint="eastAsia"/>
        </w:rPr>
        <w:t>，</w:t>
      </w:r>
      <w:r w:rsidRPr="00D11B11">
        <w:rPr>
          <w:rFonts w:hint="eastAsia"/>
        </w:rPr>
        <w:t>執行事前之發電機組排程，並依據進行即時調度運轉。</w:t>
      </w:r>
    </w:p>
    <w:p w:rsidR="006F45C2" w:rsidRPr="00D11B11" w:rsidRDefault="006F45C2" w:rsidP="006F45C2">
      <w:pPr>
        <w:pStyle w:val="6"/>
        <w:kinsoku/>
        <w:ind w:left="2443" w:hanging="714"/>
      </w:pPr>
      <w:r w:rsidRPr="00134DC2">
        <w:rPr>
          <w:rFonts w:hint="eastAsia"/>
        </w:rPr>
        <w:t>調節及頻率服務：</w:t>
      </w:r>
      <w:r>
        <w:rPr>
          <w:rFonts w:hint="eastAsia"/>
        </w:rPr>
        <w:t>以</w:t>
      </w:r>
      <w:r w:rsidRPr="00D11B11">
        <w:rPr>
          <w:rFonts w:hint="eastAsia"/>
        </w:rPr>
        <w:t>透過</w:t>
      </w:r>
      <w:r w:rsidRPr="005629E4">
        <w:rPr>
          <w:rFonts w:hint="eastAsia"/>
        </w:rPr>
        <w:t>自動發電控制</w:t>
      </w:r>
      <w:r>
        <w:rPr>
          <w:rFonts w:hint="eastAsia"/>
        </w:rPr>
        <w:t>（</w:t>
      </w:r>
      <w:r w:rsidRPr="00D11B11">
        <w:t>AGC</w:t>
      </w:r>
      <w:r>
        <w:rPr>
          <w:rFonts w:hint="eastAsia"/>
        </w:rPr>
        <w:t>）</w:t>
      </w:r>
      <w:r w:rsidRPr="00D11B11">
        <w:rPr>
          <w:rFonts w:hint="eastAsia"/>
        </w:rPr>
        <w:t>系統控制線上</w:t>
      </w:r>
      <w:r>
        <w:rPr>
          <w:rFonts w:hint="eastAsia"/>
        </w:rPr>
        <w:t>之</w:t>
      </w:r>
      <w:r w:rsidRPr="00D11B11">
        <w:rPr>
          <w:rFonts w:hint="eastAsia"/>
        </w:rPr>
        <w:t>機組進行升降載，使發電量</w:t>
      </w:r>
      <w:r>
        <w:rPr>
          <w:rFonts w:hint="eastAsia"/>
        </w:rPr>
        <w:t>與</w:t>
      </w:r>
      <w:r w:rsidRPr="00D11B11">
        <w:rPr>
          <w:rFonts w:hint="eastAsia"/>
        </w:rPr>
        <w:t>負載接近平衡，以維持系統頻率為定值。</w:t>
      </w:r>
    </w:p>
    <w:p w:rsidR="006F45C2" w:rsidRPr="00D11B11" w:rsidRDefault="006F45C2" w:rsidP="006F45C2">
      <w:pPr>
        <w:pStyle w:val="6"/>
      </w:pPr>
      <w:r w:rsidRPr="00134DC2">
        <w:rPr>
          <w:rFonts w:hint="eastAsia"/>
        </w:rPr>
        <w:t>即時備轉容量（熱機）服務：</w:t>
      </w:r>
      <w:r w:rsidRPr="00D11B11">
        <w:rPr>
          <w:rFonts w:hint="eastAsia"/>
        </w:rPr>
        <w:t>為彌補系統發生事故時所需之緊急電力，由尚未滿載且可快速升載</w:t>
      </w:r>
      <w:r>
        <w:rPr>
          <w:rFonts w:hint="eastAsia"/>
        </w:rPr>
        <w:t>之</w:t>
      </w:r>
      <w:r w:rsidRPr="00D11B11">
        <w:rPr>
          <w:rFonts w:hint="eastAsia"/>
        </w:rPr>
        <w:t>線上機組</w:t>
      </w:r>
      <w:r>
        <w:rPr>
          <w:rFonts w:hint="eastAsia"/>
        </w:rPr>
        <w:t>，</w:t>
      </w:r>
      <w:r w:rsidRPr="00D11B11">
        <w:rPr>
          <w:rFonts w:hint="eastAsia"/>
        </w:rPr>
        <w:t>提供即時所需電力。</w:t>
      </w:r>
    </w:p>
    <w:p w:rsidR="006F45C2" w:rsidRPr="00D11B11" w:rsidRDefault="006F45C2" w:rsidP="006F45C2">
      <w:pPr>
        <w:pStyle w:val="6"/>
      </w:pPr>
      <w:r w:rsidRPr="00134DC2">
        <w:rPr>
          <w:rFonts w:hint="eastAsia"/>
        </w:rPr>
        <w:t>補充備轉容量（熱機</w:t>
      </w:r>
      <w:r w:rsidRPr="00134DC2">
        <w:t>+</w:t>
      </w:r>
      <w:r w:rsidRPr="00134DC2">
        <w:rPr>
          <w:rFonts w:hint="eastAsia"/>
        </w:rPr>
        <w:t>非熱機）服務：</w:t>
      </w:r>
      <w:r w:rsidRPr="00D11B11">
        <w:rPr>
          <w:rFonts w:hint="eastAsia"/>
        </w:rPr>
        <w:t>此一服務，係在系統發生事故時，</w:t>
      </w:r>
      <w:r>
        <w:rPr>
          <w:rFonts w:hint="eastAsia"/>
        </w:rPr>
        <w:t>若</w:t>
      </w:r>
      <w:r w:rsidRPr="00D11B11">
        <w:rPr>
          <w:rFonts w:hint="eastAsia"/>
        </w:rPr>
        <w:t>以即時備轉容量（熱機）未能彌補所短缺之電力時，則由尚未滿載且升載速度較慢的線上機組或可快速啟動</w:t>
      </w:r>
      <w:r>
        <w:rPr>
          <w:rFonts w:hint="eastAsia"/>
        </w:rPr>
        <w:t>之</w:t>
      </w:r>
      <w:r w:rsidRPr="00D11B11">
        <w:rPr>
          <w:rFonts w:hint="eastAsia"/>
        </w:rPr>
        <w:t>非上線機組提供所需電力。</w:t>
      </w:r>
    </w:p>
    <w:p w:rsidR="006F45C2" w:rsidRPr="00D11B11" w:rsidRDefault="006F45C2" w:rsidP="006F45C2">
      <w:pPr>
        <w:pStyle w:val="6"/>
      </w:pPr>
      <w:r w:rsidRPr="00134DC2">
        <w:rPr>
          <w:rFonts w:hint="eastAsia"/>
        </w:rPr>
        <w:t>無效功率及電壓控制服務：</w:t>
      </w:r>
      <w:r w:rsidRPr="00D11B11">
        <w:rPr>
          <w:rFonts w:hint="eastAsia"/>
        </w:rPr>
        <w:t>為維持電力系統電壓水準之發電機組無效功率控制。</w:t>
      </w:r>
    </w:p>
    <w:p w:rsidR="006F45C2" w:rsidRPr="00D11B11" w:rsidRDefault="006F45C2" w:rsidP="006F45C2">
      <w:pPr>
        <w:pStyle w:val="6"/>
      </w:pPr>
      <w:r w:rsidRPr="00134DC2">
        <w:rPr>
          <w:rFonts w:hint="eastAsia"/>
        </w:rPr>
        <w:t>全黑啟動服務：</w:t>
      </w:r>
      <w:r w:rsidRPr="00D11B11">
        <w:rPr>
          <w:rFonts w:hint="eastAsia"/>
        </w:rPr>
        <w:t>輸電系統全部或部分發生全黑</w:t>
      </w:r>
      <w:r>
        <w:rPr>
          <w:rFonts w:hint="eastAsia"/>
        </w:rPr>
        <w:t>（全部停電）</w:t>
      </w:r>
      <w:r w:rsidRPr="00D11B11">
        <w:rPr>
          <w:rFonts w:hint="eastAsia"/>
        </w:rPr>
        <w:t>時，全黑啟動機組可自行啟動，提供各區域緊急用電需求，並按加壓路徑，恢復系統供電。</w:t>
      </w:r>
    </w:p>
    <w:p w:rsidR="006F45C2" w:rsidRPr="00D11B11" w:rsidRDefault="006F45C2" w:rsidP="006F45C2">
      <w:pPr>
        <w:pStyle w:val="6"/>
      </w:pPr>
      <w:r w:rsidRPr="00134DC2">
        <w:rPr>
          <w:rFonts w:hint="eastAsia"/>
        </w:rPr>
        <w:t>不平衡電能服務：</w:t>
      </w:r>
      <w:r w:rsidRPr="00D11B11">
        <w:rPr>
          <w:rFonts w:hint="eastAsia"/>
        </w:rPr>
        <w:t>調整每交易時段發電機組之預定發電量與實際值之差額。</w:t>
      </w:r>
    </w:p>
    <w:p w:rsidR="00625105" w:rsidRDefault="00625105" w:rsidP="00811C77">
      <w:pPr>
        <w:pStyle w:val="4"/>
      </w:pPr>
      <w:r w:rsidRPr="003A2ADC">
        <w:t>抽蓄電廠成本</w:t>
      </w:r>
      <w:r>
        <w:rPr>
          <w:rFonts w:hint="eastAsia"/>
        </w:rPr>
        <w:t>：</w:t>
      </w:r>
    </w:p>
    <w:p w:rsidR="00625105" w:rsidRPr="00166508" w:rsidRDefault="00625105" w:rsidP="00811C77">
      <w:pPr>
        <w:pStyle w:val="5"/>
      </w:pPr>
      <w:r w:rsidRPr="00166508">
        <w:rPr>
          <w:rFonts w:hint="eastAsia"/>
        </w:rPr>
        <w:t>抽蓄電廠</w:t>
      </w:r>
      <w:r w:rsidR="00B86CEC">
        <w:rPr>
          <w:rFonts w:hint="eastAsia"/>
        </w:rPr>
        <w:t>係</w:t>
      </w:r>
      <w:r w:rsidR="00B86CEC" w:rsidRPr="00166508">
        <w:rPr>
          <w:rFonts w:hint="eastAsia"/>
        </w:rPr>
        <w:t>利用系統基載發電廠深夜離峰低廉剩餘電力抽水貯於上池，再於次日白天尖峰系統需要電力時放水發電，以替代高燃料成本的尖峰機組運轉</w:t>
      </w:r>
      <w:r w:rsidR="00B86CEC">
        <w:rPr>
          <w:rFonts w:hint="eastAsia"/>
        </w:rPr>
        <w:t>，</w:t>
      </w:r>
      <w:r w:rsidRPr="00166508">
        <w:rPr>
          <w:rFonts w:hint="eastAsia"/>
        </w:rPr>
        <w:t>具有尖峰、離峰調節能力之</w:t>
      </w:r>
      <w:r w:rsidR="00B86CEC">
        <w:rPr>
          <w:rFonts w:hint="eastAsia"/>
        </w:rPr>
        <w:t>功能</w:t>
      </w:r>
      <w:r w:rsidRPr="00166508">
        <w:rPr>
          <w:rFonts w:hint="eastAsia"/>
        </w:rPr>
        <w:t>，</w:t>
      </w:r>
      <w:r w:rsidR="00B86CEC">
        <w:rPr>
          <w:rFonts w:hint="eastAsia"/>
        </w:rPr>
        <w:t>如明潭電廠，</w:t>
      </w:r>
      <w:r w:rsidRPr="00E24E9B">
        <w:rPr>
          <w:rFonts w:hint="eastAsia"/>
        </w:rPr>
        <w:t>其成本包括抽蓄發電廠為</w:t>
      </w:r>
      <w:r w:rsidRPr="00E24E9B">
        <w:rPr>
          <w:rFonts w:hint="eastAsia"/>
        </w:rPr>
        <w:lastRenderedPageBreak/>
        <w:t>發電所發生之成本及抽水貯於上池所需電力之用電成本</w:t>
      </w:r>
      <w:r w:rsidRPr="00166508">
        <w:rPr>
          <w:rFonts w:hint="eastAsia"/>
        </w:rPr>
        <w:t>。</w:t>
      </w:r>
    </w:p>
    <w:p w:rsidR="00625105" w:rsidRDefault="00A37AE6" w:rsidP="00451693">
      <w:pPr>
        <w:pStyle w:val="5"/>
      </w:pPr>
      <w:r w:rsidRPr="00A37AE6">
        <w:rPr>
          <w:rFonts w:hint="eastAsia"/>
        </w:rPr>
        <w:t>目前系統基載電源不足，抽蓄機組多利用燃氣複循環機組、燃油機組進行抽水，考慮抽發效率損失約25%，故將抽蓄機組視為尖載機組。抽蓄機組於抽水模式運轉時可提供快速備轉容量及調節無效電力等兩項輔助服務；又抽蓄機組於發電模式運轉時可提供調頻備轉容量、快速備轉容量及調節無效電力等三項輔助服務。</w:t>
      </w:r>
      <w:r w:rsidR="00625105" w:rsidRPr="00166508">
        <w:rPr>
          <w:rFonts w:hint="eastAsia"/>
        </w:rPr>
        <w:t>近年來，由於基載機組</w:t>
      </w:r>
      <w:r w:rsidR="00B86CEC">
        <w:rPr>
          <w:rFonts w:hint="eastAsia"/>
        </w:rPr>
        <w:t>（如核能、燃媒電廠）</w:t>
      </w:r>
      <w:r w:rsidR="00625105" w:rsidRPr="00166508">
        <w:rPr>
          <w:rFonts w:hint="eastAsia"/>
        </w:rPr>
        <w:t>比例降低，抽蓄電廠需利用中載機組電</w:t>
      </w:r>
      <w:r w:rsidR="00B86CEC">
        <w:rPr>
          <w:rFonts w:hint="eastAsia"/>
        </w:rPr>
        <w:t>力</w:t>
      </w:r>
      <w:r w:rsidR="00625105" w:rsidRPr="00166508">
        <w:rPr>
          <w:rFonts w:hint="eastAsia"/>
        </w:rPr>
        <w:t>，抽蓄電廠成本</w:t>
      </w:r>
      <w:r w:rsidR="00B86CEC">
        <w:rPr>
          <w:rFonts w:hint="eastAsia"/>
        </w:rPr>
        <w:t>已</w:t>
      </w:r>
      <w:r w:rsidR="00625105" w:rsidRPr="00166508">
        <w:rPr>
          <w:rFonts w:hint="eastAsia"/>
        </w:rPr>
        <w:t>逐漸上升。</w:t>
      </w:r>
    </w:p>
    <w:p w:rsidR="000515AB" w:rsidRPr="005D589A" w:rsidRDefault="000515AB" w:rsidP="000515AB">
      <w:pPr>
        <w:pStyle w:val="4"/>
        <w:ind w:left="1740" w:hanging="697"/>
      </w:pPr>
      <w:r w:rsidRPr="005D589A">
        <w:t>售電成本</w:t>
      </w:r>
      <w:r>
        <w:rPr>
          <w:rFonts w:hint="eastAsia"/>
        </w:rPr>
        <w:t>：</w:t>
      </w:r>
      <w:r w:rsidR="00867D34" w:rsidRPr="00166508">
        <w:rPr>
          <w:rFonts w:hAnsi="標楷體" w:hint="eastAsia"/>
          <w:szCs w:val="32"/>
        </w:rPr>
        <w:t>包含</w:t>
      </w:r>
      <w:r w:rsidR="00867D34">
        <w:rPr>
          <w:rFonts w:hAnsi="標楷體" w:hint="eastAsia"/>
          <w:szCs w:val="32"/>
        </w:rPr>
        <w:t>台電公司</w:t>
      </w:r>
      <w:r w:rsidR="00867D34" w:rsidRPr="00166508">
        <w:rPr>
          <w:rFonts w:hAnsi="標楷體" w:hint="eastAsia"/>
          <w:szCs w:val="32"/>
        </w:rPr>
        <w:t>自發</w:t>
      </w:r>
      <w:r w:rsidR="00867D34">
        <w:rPr>
          <w:rFonts w:hAnsi="標楷體" w:hint="eastAsia"/>
          <w:szCs w:val="32"/>
        </w:rPr>
        <w:t>電力</w:t>
      </w:r>
      <w:r w:rsidR="00867D34" w:rsidRPr="00166508">
        <w:rPr>
          <w:rFonts w:hAnsi="標楷體" w:hint="eastAsia"/>
          <w:szCs w:val="32"/>
        </w:rPr>
        <w:t>及購入電力經由輸配電系統傳輸、銷售至用戶端所發生之一切費用，包括發電、輸電、配電、行銷、管總費用及營業外費用等</w:t>
      </w:r>
      <w:r w:rsidR="00867D34">
        <w:rPr>
          <w:rFonts w:hAnsi="標楷體" w:hint="eastAsia"/>
          <w:szCs w:val="32"/>
        </w:rPr>
        <w:t>，而相關輔助服務成本亦納入售電成本中。</w:t>
      </w:r>
    </w:p>
    <w:p w:rsidR="005F15D2" w:rsidRPr="00E24BEE" w:rsidRDefault="00811C77" w:rsidP="00F236C8">
      <w:pPr>
        <w:pStyle w:val="3"/>
        <w:widowControl/>
        <w:numPr>
          <w:ilvl w:val="2"/>
          <w:numId w:val="5"/>
        </w:numPr>
        <w:kinsoku/>
        <w:rPr>
          <w:rFonts w:hAnsi="標楷體"/>
          <w:b/>
          <w:sz w:val="28"/>
          <w:szCs w:val="28"/>
        </w:rPr>
      </w:pPr>
      <w:r w:rsidRPr="00A776CF">
        <w:rPr>
          <w:rFonts w:hint="eastAsia"/>
        </w:rPr>
        <w:t>次</w:t>
      </w:r>
      <w:r w:rsidR="00C67A85" w:rsidRPr="00A776CF">
        <w:rPr>
          <w:rFonts w:hint="eastAsia"/>
        </w:rPr>
        <w:t>按</w:t>
      </w:r>
      <w:r w:rsidR="00F236C8" w:rsidRPr="00A776CF">
        <w:rPr>
          <w:rFonts w:hint="eastAsia"/>
        </w:rPr>
        <w:t>台灣地區電力供應之發電型態分為水力、火力</w:t>
      </w:r>
      <w:r w:rsidR="00F236C8">
        <w:t>(</w:t>
      </w:r>
      <w:r w:rsidR="00F236C8">
        <w:rPr>
          <w:rFonts w:hint="eastAsia"/>
        </w:rPr>
        <w:t>含燃煤、燃油、天然氣</w:t>
      </w:r>
      <w:r w:rsidR="00F236C8">
        <w:t>)</w:t>
      </w:r>
      <w:r w:rsidR="00F236C8">
        <w:rPr>
          <w:rFonts w:hint="eastAsia"/>
        </w:rPr>
        <w:t>、核能及再生能源</w:t>
      </w:r>
      <w:r w:rsidR="00F236C8">
        <w:t>(</w:t>
      </w:r>
      <w:r w:rsidR="00F236C8">
        <w:rPr>
          <w:rFonts w:hint="eastAsia"/>
        </w:rPr>
        <w:t>含風力、太陽能</w:t>
      </w:r>
      <w:r w:rsidR="00F236C8">
        <w:t>)</w:t>
      </w:r>
      <w:r w:rsidR="00F236C8">
        <w:rPr>
          <w:rFonts w:hint="eastAsia"/>
        </w:rPr>
        <w:t>等，電力自發電廠供應至用戶，尚須經過發電、輸電、配電等過程，</w:t>
      </w:r>
      <w:r w:rsidR="008A784A">
        <w:rPr>
          <w:rFonts w:hint="eastAsia"/>
        </w:rPr>
        <w:t>該公司之</w:t>
      </w:r>
      <w:r w:rsidR="0099474B">
        <w:rPr>
          <w:rFonts w:hint="eastAsia"/>
        </w:rPr>
        <w:t>發電業務</w:t>
      </w:r>
      <w:r w:rsidR="008A784A">
        <w:rPr>
          <w:rFonts w:hint="eastAsia"/>
        </w:rPr>
        <w:t>相關成本關係如下圖</w:t>
      </w:r>
      <w:r w:rsidR="0099474B">
        <w:rPr>
          <w:rFonts w:hint="eastAsia"/>
        </w:rPr>
        <w:t>所示</w:t>
      </w:r>
      <w:r w:rsidR="008A784A">
        <w:rPr>
          <w:rFonts w:hint="eastAsia"/>
        </w:rPr>
        <w:t>。</w:t>
      </w:r>
    </w:p>
    <w:p w:rsidR="00A870FF" w:rsidRDefault="007B367F" w:rsidP="007B367F">
      <w:pPr>
        <w:pStyle w:val="1"/>
        <w:widowControl/>
        <w:numPr>
          <w:ilvl w:val="0"/>
          <w:numId w:val="0"/>
        </w:numPr>
        <w:kinsoku/>
        <w:ind w:left="697" w:rightChars="-100" w:right="-340" w:hanging="697"/>
        <w:rPr>
          <w:rFonts w:hAnsi="標楷體"/>
          <w:spacing w:val="-8"/>
          <w:sz w:val="28"/>
          <w:szCs w:val="28"/>
        </w:rPr>
      </w:pPr>
      <w:r>
        <w:rPr>
          <w:rFonts w:hAnsi="標楷體" w:hint="eastAsia"/>
          <w:spacing w:val="-8"/>
          <w:sz w:val="28"/>
          <w:szCs w:val="28"/>
        </w:rPr>
        <w:t xml:space="preserve">  </w:t>
      </w:r>
      <w:bookmarkStart w:id="3" w:name="_Toc370217572"/>
      <w:bookmarkStart w:id="4" w:name="_Toc370316287"/>
      <w:bookmarkStart w:id="5" w:name="_Toc370391901"/>
      <w:bookmarkStart w:id="6" w:name="_Toc370476364"/>
    </w:p>
    <w:p w:rsidR="00A870FF" w:rsidRDefault="00A870FF" w:rsidP="007B367F">
      <w:pPr>
        <w:pStyle w:val="1"/>
        <w:widowControl/>
        <w:numPr>
          <w:ilvl w:val="0"/>
          <w:numId w:val="0"/>
        </w:numPr>
        <w:kinsoku/>
        <w:ind w:left="697" w:rightChars="-100" w:right="-340" w:hanging="697"/>
        <w:rPr>
          <w:rFonts w:hAnsi="標楷體"/>
          <w:spacing w:val="-8"/>
          <w:sz w:val="28"/>
          <w:szCs w:val="28"/>
        </w:rPr>
      </w:pPr>
    </w:p>
    <w:p w:rsidR="00A870FF" w:rsidRDefault="00A870FF" w:rsidP="007B367F">
      <w:pPr>
        <w:pStyle w:val="1"/>
        <w:widowControl/>
        <w:numPr>
          <w:ilvl w:val="0"/>
          <w:numId w:val="0"/>
        </w:numPr>
        <w:kinsoku/>
        <w:ind w:left="697" w:rightChars="-100" w:right="-340" w:hanging="697"/>
        <w:rPr>
          <w:rFonts w:hAnsi="標楷體"/>
          <w:spacing w:val="-8"/>
          <w:sz w:val="28"/>
          <w:szCs w:val="28"/>
        </w:rPr>
      </w:pPr>
    </w:p>
    <w:p w:rsidR="00A870FF" w:rsidRDefault="00A870FF" w:rsidP="007B367F">
      <w:pPr>
        <w:pStyle w:val="1"/>
        <w:widowControl/>
        <w:numPr>
          <w:ilvl w:val="0"/>
          <w:numId w:val="0"/>
        </w:numPr>
        <w:kinsoku/>
        <w:ind w:left="697" w:rightChars="-100" w:right="-340" w:hanging="697"/>
        <w:rPr>
          <w:rFonts w:hAnsi="標楷體"/>
          <w:spacing w:val="-8"/>
          <w:sz w:val="28"/>
          <w:szCs w:val="28"/>
        </w:rPr>
      </w:pPr>
    </w:p>
    <w:p w:rsidR="00A870FF" w:rsidRDefault="00A870FF" w:rsidP="007B367F">
      <w:pPr>
        <w:pStyle w:val="1"/>
        <w:widowControl/>
        <w:numPr>
          <w:ilvl w:val="0"/>
          <w:numId w:val="0"/>
        </w:numPr>
        <w:kinsoku/>
        <w:ind w:left="697" w:rightChars="-100" w:right="-340" w:hanging="697"/>
        <w:rPr>
          <w:rFonts w:hAnsi="標楷體"/>
          <w:spacing w:val="-8"/>
          <w:sz w:val="28"/>
          <w:szCs w:val="28"/>
        </w:rPr>
      </w:pPr>
    </w:p>
    <w:p w:rsidR="00A870FF" w:rsidRDefault="00A870FF" w:rsidP="007B367F">
      <w:pPr>
        <w:pStyle w:val="1"/>
        <w:widowControl/>
        <w:numPr>
          <w:ilvl w:val="0"/>
          <w:numId w:val="0"/>
        </w:numPr>
        <w:kinsoku/>
        <w:ind w:left="697" w:rightChars="-100" w:right="-340" w:hanging="697"/>
        <w:rPr>
          <w:rFonts w:hAnsi="標楷體"/>
          <w:spacing w:val="-8"/>
          <w:sz w:val="28"/>
          <w:szCs w:val="28"/>
        </w:rPr>
      </w:pPr>
    </w:p>
    <w:p w:rsidR="00A870FF" w:rsidRDefault="00A870FF" w:rsidP="007B367F">
      <w:pPr>
        <w:pStyle w:val="1"/>
        <w:widowControl/>
        <w:numPr>
          <w:ilvl w:val="0"/>
          <w:numId w:val="0"/>
        </w:numPr>
        <w:kinsoku/>
        <w:ind w:left="697" w:rightChars="-100" w:right="-340" w:hanging="697"/>
        <w:rPr>
          <w:rFonts w:hAnsi="標楷體"/>
          <w:spacing w:val="-8"/>
          <w:sz w:val="28"/>
          <w:szCs w:val="28"/>
        </w:rPr>
      </w:pPr>
    </w:p>
    <w:p w:rsidR="00A870FF" w:rsidRDefault="00A870FF" w:rsidP="007B367F">
      <w:pPr>
        <w:pStyle w:val="1"/>
        <w:widowControl/>
        <w:numPr>
          <w:ilvl w:val="0"/>
          <w:numId w:val="0"/>
        </w:numPr>
        <w:kinsoku/>
        <w:ind w:left="697" w:rightChars="-100" w:right="-340" w:hanging="697"/>
        <w:rPr>
          <w:rFonts w:hAnsi="標楷體"/>
          <w:spacing w:val="-8"/>
          <w:sz w:val="28"/>
          <w:szCs w:val="28"/>
        </w:rPr>
      </w:pPr>
    </w:p>
    <w:p w:rsidR="00E24BEE" w:rsidRPr="00166508" w:rsidRDefault="00E24BEE" w:rsidP="007B367F">
      <w:pPr>
        <w:pStyle w:val="1"/>
        <w:widowControl/>
        <w:numPr>
          <w:ilvl w:val="0"/>
          <w:numId w:val="0"/>
        </w:numPr>
        <w:kinsoku/>
        <w:ind w:left="697" w:rightChars="-100" w:right="-340" w:hanging="697"/>
        <w:rPr>
          <w:rFonts w:hAnsi="標楷體"/>
          <w:sz w:val="28"/>
          <w:szCs w:val="28"/>
        </w:rPr>
      </w:pPr>
      <w:r w:rsidRPr="00166508">
        <w:rPr>
          <w:rFonts w:hAnsi="標楷體" w:hint="eastAsia"/>
          <w:spacing w:val="-8"/>
          <w:sz w:val="28"/>
          <w:szCs w:val="28"/>
        </w:rPr>
        <w:lastRenderedPageBreak/>
        <w:t>自發電成本</w:t>
      </w:r>
      <w:r w:rsidRPr="00166508">
        <w:rPr>
          <w:rFonts w:hAnsi="標楷體"/>
          <w:spacing w:val="-8"/>
          <w:sz w:val="28"/>
          <w:szCs w:val="28"/>
        </w:rPr>
        <w:t>+</w:t>
      </w:r>
      <w:r w:rsidRPr="00166508">
        <w:rPr>
          <w:rFonts w:hAnsi="標楷體" w:hint="eastAsia"/>
          <w:spacing w:val="-8"/>
          <w:sz w:val="28"/>
          <w:szCs w:val="28"/>
        </w:rPr>
        <w:t>購入電力</w:t>
      </w:r>
      <w:r w:rsidRPr="00166508">
        <w:rPr>
          <w:rFonts w:hAnsi="標楷體"/>
          <w:spacing w:val="-8"/>
          <w:sz w:val="28"/>
          <w:szCs w:val="28"/>
        </w:rPr>
        <w:t>+</w:t>
      </w:r>
      <w:r w:rsidRPr="00166508">
        <w:rPr>
          <w:rFonts w:hAnsi="標楷體" w:hint="eastAsia"/>
          <w:spacing w:val="-8"/>
          <w:sz w:val="28"/>
          <w:szCs w:val="28"/>
        </w:rPr>
        <w:t>輸電成本</w:t>
      </w:r>
      <w:r w:rsidRPr="00166508">
        <w:rPr>
          <w:rFonts w:hAnsi="標楷體"/>
          <w:spacing w:val="-8"/>
          <w:sz w:val="28"/>
          <w:szCs w:val="28"/>
        </w:rPr>
        <w:t>+</w:t>
      </w:r>
      <w:r w:rsidRPr="00166508">
        <w:rPr>
          <w:rFonts w:hAnsi="標楷體" w:hint="eastAsia"/>
          <w:spacing w:val="-8"/>
          <w:sz w:val="28"/>
          <w:szCs w:val="28"/>
        </w:rPr>
        <w:t>配電成本</w:t>
      </w:r>
      <w:r w:rsidRPr="00166508">
        <w:rPr>
          <w:rFonts w:hAnsi="標楷體"/>
          <w:spacing w:val="-8"/>
          <w:sz w:val="28"/>
          <w:szCs w:val="28"/>
        </w:rPr>
        <w:t>+</w:t>
      </w:r>
      <w:r w:rsidRPr="00166508">
        <w:rPr>
          <w:rFonts w:hAnsi="標楷體" w:hint="eastAsia"/>
          <w:spacing w:val="-8"/>
          <w:sz w:val="28"/>
          <w:szCs w:val="28"/>
        </w:rPr>
        <w:t>行銷、總管費用</w:t>
      </w:r>
      <w:r w:rsidRPr="00166508">
        <w:rPr>
          <w:rFonts w:hAnsi="標楷體"/>
          <w:spacing w:val="-8"/>
          <w:sz w:val="28"/>
          <w:szCs w:val="28"/>
        </w:rPr>
        <w:t>+</w:t>
      </w:r>
      <w:r w:rsidRPr="00166508">
        <w:rPr>
          <w:rFonts w:hAnsi="標楷體" w:hint="eastAsia"/>
          <w:spacing w:val="-8"/>
          <w:sz w:val="28"/>
          <w:szCs w:val="28"/>
        </w:rPr>
        <w:t>營業外費用</w:t>
      </w:r>
      <w:bookmarkEnd w:id="3"/>
      <w:bookmarkEnd w:id="4"/>
      <w:bookmarkEnd w:id="5"/>
      <w:bookmarkEnd w:id="6"/>
    </w:p>
    <w:p w:rsidR="00E24BEE" w:rsidRPr="00E24BEE" w:rsidRDefault="00B86021" w:rsidP="00E24BEE">
      <w:pPr>
        <w:pStyle w:val="1"/>
        <w:widowControl/>
        <w:numPr>
          <w:ilvl w:val="0"/>
          <w:numId w:val="0"/>
        </w:numPr>
        <w:kinsoku/>
        <w:ind w:left="699" w:hanging="699"/>
        <w:rPr>
          <w:rFonts w:hAnsi="標楷體"/>
          <w:b/>
          <w:sz w:val="28"/>
          <w:szCs w:val="28"/>
        </w:rPr>
      </w:pPr>
      <w:r w:rsidRPr="00B86021">
        <w:rPr>
          <w:rFonts w:hAnsi="標楷體"/>
          <w:noProof/>
          <w:szCs w:val="32"/>
        </w:rPr>
        <w:pict>
          <v:group id="_x0000_s1034" style="position:absolute;left:0;text-align:left;margin-left:20.3pt;margin-top:6.65pt;width:409.1pt;height:92.85pt;z-index:251667968" coordorigin="2051,11927" coordsize="8182,1857">
            <v:shape id="_x0000_s1035" type="#_x0000_t87" style="position:absolute;left:3050;top:10928;width:394;height:2392;rotation:-9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" adj="296" strokecolor="#4579b8 [3044]"/>
            <v:shape id="_x0000_s1036" type="#_x0000_t87" style="position:absolute;left:4231;top:10453;width:394;height:4754;rotation:-9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" adj="149" strokecolor="#4a7ebb"/>
            <v:shape id="_x0000_s1037" type="#_x0000_t87" style="position:absolute;left:5945;top:9496;width:394;height:8182;rotation:-9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" adj="87" strokecolor="#4a7ebb"/>
            <v:shape id="_x0000_s1038" type="#_x0000_t202" style="position:absolute;left:2517;top:12241;width:1926;height:66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" filled="f" stroked="f">
              <v:textbox style="mso-next-textbox:#_x0000_s1038">
                <w:txbxContent>
                  <w:p w:rsidR="005D3531" w:rsidRPr="00166508" w:rsidRDefault="005D3531" w:rsidP="00E31AD7">
                    <w:pPr>
                      <w:rPr>
                        <w:sz w:val="28"/>
                        <w:szCs w:val="28"/>
                      </w:rPr>
                    </w:pPr>
                    <w:r w:rsidRPr="00166508">
                      <w:rPr>
                        <w:rFonts w:hint="eastAsia"/>
                        <w:sz w:val="28"/>
                        <w:szCs w:val="28"/>
                      </w:rPr>
                      <w:t>發電成本</w:t>
                    </w:r>
                  </w:p>
                </w:txbxContent>
              </v:textbox>
            </v:shape>
            <v:shape id="_x0000_s1039" type="#_x0000_t202" style="position:absolute;left:3694;top:12902;width:2254;height:66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" filled="f" stroked="f">
              <v:textbox style="mso-next-textbox:#_x0000_s1039">
                <w:txbxContent>
                  <w:p w:rsidR="005D3531" w:rsidRPr="00166508" w:rsidRDefault="005D3531" w:rsidP="00D11B11">
                    <w:pPr>
                      <w:rPr>
                        <w:sz w:val="28"/>
                        <w:szCs w:val="28"/>
                      </w:rPr>
                    </w:pPr>
                    <w:r w:rsidRPr="00166508">
                      <w:rPr>
                        <w:rFonts w:hint="eastAsia"/>
                        <w:sz w:val="28"/>
                        <w:szCs w:val="28"/>
                      </w:rPr>
                      <w:t>供電成本</w:t>
                    </w:r>
                  </w:p>
                </w:txbxContent>
              </v:textbox>
            </v:shape>
          </v:group>
        </w:pict>
      </w:r>
    </w:p>
    <w:p w:rsidR="00E24BEE" w:rsidRDefault="00E24BEE" w:rsidP="00E24BEE">
      <w:pPr>
        <w:pStyle w:val="1"/>
        <w:widowControl/>
        <w:numPr>
          <w:ilvl w:val="0"/>
          <w:numId w:val="0"/>
        </w:numPr>
        <w:kinsoku/>
        <w:ind w:left="699" w:hanging="699"/>
        <w:rPr>
          <w:rFonts w:hAnsi="標楷體"/>
          <w:b/>
          <w:sz w:val="28"/>
          <w:szCs w:val="28"/>
        </w:rPr>
      </w:pPr>
    </w:p>
    <w:p w:rsidR="00E24BEE" w:rsidRDefault="00E24BEE" w:rsidP="00E24BEE">
      <w:pPr>
        <w:pStyle w:val="1"/>
        <w:widowControl/>
        <w:numPr>
          <w:ilvl w:val="0"/>
          <w:numId w:val="0"/>
        </w:numPr>
        <w:kinsoku/>
        <w:ind w:left="699" w:hanging="699"/>
        <w:rPr>
          <w:rFonts w:hAnsi="標楷體"/>
          <w:b/>
          <w:sz w:val="28"/>
          <w:szCs w:val="28"/>
        </w:rPr>
      </w:pPr>
    </w:p>
    <w:p w:rsidR="00E51D92" w:rsidRDefault="00E51D92" w:rsidP="00E24BEE">
      <w:pPr>
        <w:pStyle w:val="1"/>
        <w:widowControl/>
        <w:numPr>
          <w:ilvl w:val="0"/>
          <w:numId w:val="0"/>
        </w:numPr>
        <w:kinsoku/>
        <w:ind w:left="699" w:hanging="699"/>
        <w:rPr>
          <w:rFonts w:hAnsi="標楷體"/>
          <w:b/>
          <w:sz w:val="28"/>
          <w:szCs w:val="28"/>
        </w:rPr>
      </w:pPr>
    </w:p>
    <w:p w:rsidR="00E24BEE" w:rsidRDefault="00B86021" w:rsidP="006027DA">
      <w:pPr>
        <w:pStyle w:val="1"/>
        <w:widowControl/>
        <w:numPr>
          <w:ilvl w:val="0"/>
          <w:numId w:val="0"/>
        </w:numPr>
        <w:kinsoku/>
        <w:spacing w:line="240" w:lineRule="exact"/>
        <w:ind w:left="697" w:hanging="697"/>
        <w:rPr>
          <w:rFonts w:hAnsi="標楷體"/>
          <w:b/>
          <w:sz w:val="28"/>
          <w:szCs w:val="28"/>
        </w:rPr>
      </w:pPr>
      <w:r>
        <w:rPr>
          <w:rFonts w:hAnsi="標楷體"/>
          <w:b/>
          <w:noProof/>
          <w:sz w:val="28"/>
          <w:szCs w:val="28"/>
        </w:rPr>
        <w:pict>
          <v:shape id="_x0000_s1033" type="#_x0000_t202" style="position:absolute;left:0;text-align:left;margin-left:185.7pt;margin-top:3.85pt;width:110.55pt;height:33.05pt;z-index:-251649536;visibility:visible;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" filled="f" stroked="f">
            <v:textbox style="mso-next-textbox:#_x0000_s1033">
              <w:txbxContent>
                <w:p w:rsidR="005D3531" w:rsidRPr="00166508" w:rsidRDefault="005D3531" w:rsidP="002A3205">
                  <w:pPr>
                    <w:rPr>
                      <w:sz w:val="28"/>
                      <w:szCs w:val="28"/>
                    </w:rPr>
                  </w:pPr>
                  <w:r w:rsidRPr="00166508">
                    <w:rPr>
                      <w:rFonts w:hint="eastAsia"/>
                      <w:sz w:val="28"/>
                      <w:szCs w:val="28"/>
                    </w:rPr>
                    <w:t>售電成本</w:t>
                  </w:r>
                </w:p>
              </w:txbxContent>
            </v:textbox>
          </v:shape>
        </w:pict>
      </w:r>
    </w:p>
    <w:p w:rsidR="007B367F" w:rsidRDefault="007B367F" w:rsidP="006027DA">
      <w:pPr>
        <w:pStyle w:val="1"/>
        <w:widowControl/>
        <w:numPr>
          <w:ilvl w:val="0"/>
          <w:numId w:val="0"/>
        </w:numPr>
        <w:kinsoku/>
        <w:spacing w:line="240" w:lineRule="exact"/>
        <w:ind w:left="697" w:hanging="697"/>
        <w:rPr>
          <w:rFonts w:hAnsi="標楷體"/>
          <w:b/>
          <w:sz w:val="28"/>
          <w:szCs w:val="28"/>
        </w:rPr>
      </w:pPr>
    </w:p>
    <w:p w:rsidR="00451693" w:rsidRDefault="00451693" w:rsidP="006027DA">
      <w:pPr>
        <w:pStyle w:val="1"/>
        <w:widowControl/>
        <w:numPr>
          <w:ilvl w:val="0"/>
          <w:numId w:val="0"/>
        </w:numPr>
        <w:kinsoku/>
        <w:spacing w:line="240" w:lineRule="exact"/>
        <w:ind w:left="697" w:hanging="697"/>
        <w:rPr>
          <w:rFonts w:hAnsi="標楷體"/>
          <w:b/>
          <w:sz w:val="28"/>
          <w:szCs w:val="28"/>
        </w:rPr>
      </w:pPr>
    </w:p>
    <w:p w:rsidR="008A784A" w:rsidRPr="008A784A" w:rsidRDefault="00A870FF" w:rsidP="006F45C2">
      <w:pPr>
        <w:pStyle w:val="3"/>
        <w:widowControl/>
        <w:numPr>
          <w:ilvl w:val="2"/>
          <w:numId w:val="5"/>
        </w:numPr>
        <w:kinsoku/>
      </w:pPr>
      <w:r>
        <w:rPr>
          <w:rFonts w:hint="eastAsia"/>
          <w:noProof/>
          <w:color w:val="000000" w:themeColor="text1"/>
        </w:rPr>
        <w:drawing>
          <wp:anchor distT="0" distB="0" distL="114300" distR="114300" simplePos="0" relativeHeight="251652608" behindDoc="1" locked="0" layoutInCell="1" allowOverlap="1">
            <wp:simplePos x="0" y="0"/>
            <wp:positionH relativeFrom="margin">
              <wp:posOffset>-161925</wp:posOffset>
            </wp:positionH>
            <wp:positionV relativeFrom="margin">
              <wp:posOffset>-260985</wp:posOffset>
            </wp:positionV>
            <wp:extent cx="5761990" cy="2232025"/>
            <wp:effectExtent l="19050" t="19050" r="10160" b="15875"/>
            <wp:wrapTight wrapText="bothSides">
              <wp:wrapPolygon edited="0">
                <wp:start x="-71" y="-184"/>
                <wp:lineTo x="-71" y="21754"/>
                <wp:lineTo x="21638" y="21754"/>
                <wp:lineTo x="21638" y="-184"/>
                <wp:lineTo x="-71" y="-184"/>
              </wp:wrapPolygon>
            </wp:wrapTight>
            <wp:docPr id="8"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1990" cy="2232025"/>
                    </a:xfrm>
                    <a:prstGeom prst="rect">
                      <a:avLst/>
                    </a:prstGeom>
                    <a:noFill/>
                    <a:ln>
                      <a:solidFill>
                        <a:schemeClr val="tx1"/>
                      </a:solidFill>
                    </a:ln>
                  </pic:spPr>
                </pic:pic>
              </a:graphicData>
            </a:graphic>
          </wp:anchor>
        </w:drawing>
      </w:r>
      <w:r w:rsidR="00C67A85">
        <w:rPr>
          <w:rFonts w:hint="eastAsia"/>
          <w:color w:val="000000" w:themeColor="text1"/>
        </w:rPr>
        <w:t>再按</w:t>
      </w:r>
      <w:r w:rsidR="007868B7">
        <w:rPr>
          <w:rFonts w:hint="eastAsia"/>
          <w:color w:val="000000" w:themeColor="text1"/>
        </w:rPr>
        <w:t>台電公司於本院約</w:t>
      </w:r>
      <w:proofErr w:type="gramStart"/>
      <w:r w:rsidR="007868B7">
        <w:rPr>
          <w:rFonts w:hint="eastAsia"/>
          <w:color w:val="000000" w:themeColor="text1"/>
        </w:rPr>
        <w:t>詢</w:t>
      </w:r>
      <w:proofErr w:type="gramEnd"/>
      <w:r w:rsidR="007868B7">
        <w:rPr>
          <w:rFonts w:hint="eastAsia"/>
          <w:color w:val="000000" w:themeColor="text1"/>
        </w:rPr>
        <w:t>提供之書面資料說明備轉容量及備用容量率略</w:t>
      </w:r>
      <w:proofErr w:type="gramStart"/>
      <w:r w:rsidR="007868B7">
        <w:rPr>
          <w:rFonts w:hint="eastAsia"/>
          <w:color w:val="000000" w:themeColor="text1"/>
        </w:rPr>
        <w:t>以</w:t>
      </w:r>
      <w:proofErr w:type="gramEnd"/>
      <w:r w:rsidR="007868B7">
        <w:rPr>
          <w:rFonts w:hint="eastAsia"/>
          <w:color w:val="000000" w:themeColor="text1"/>
        </w:rPr>
        <w:t>：</w:t>
      </w:r>
    </w:p>
    <w:p w:rsidR="008A784A" w:rsidRPr="00F45C94" w:rsidRDefault="008A784A" w:rsidP="00451693">
      <w:pPr>
        <w:pStyle w:val="4"/>
      </w:pPr>
      <w:r w:rsidRPr="00451693">
        <w:rPr>
          <w:rFonts w:hint="eastAsia"/>
          <w:color w:val="000000" w:themeColor="text1"/>
        </w:rPr>
        <w:t>備轉</w:t>
      </w:r>
      <w:r w:rsidRPr="00F45C94">
        <w:rPr>
          <w:rFonts w:hint="eastAsia"/>
        </w:rPr>
        <w:t>容量</w:t>
      </w:r>
      <w:r>
        <w:rPr>
          <w:rFonts w:hint="eastAsia"/>
        </w:rPr>
        <w:t>：</w:t>
      </w:r>
      <w:r w:rsidR="00451693" w:rsidRPr="00F45C94">
        <w:rPr>
          <w:rFonts w:hint="eastAsia"/>
        </w:rPr>
        <w:t>為每日系統運轉</w:t>
      </w:r>
      <w:proofErr w:type="gramStart"/>
      <w:r w:rsidR="00451693" w:rsidRPr="00F45C94">
        <w:rPr>
          <w:rFonts w:hint="eastAsia"/>
        </w:rPr>
        <w:t>之裕度</w:t>
      </w:r>
      <w:proofErr w:type="gramEnd"/>
      <w:r w:rsidR="00451693">
        <w:rPr>
          <w:rFonts w:hint="eastAsia"/>
        </w:rPr>
        <w:t>，</w:t>
      </w:r>
      <w:r w:rsidRPr="00F45C94">
        <w:rPr>
          <w:rFonts w:hint="eastAsia"/>
        </w:rPr>
        <w:t>備轉容量=系統運轉淨尖峰能力-系統瞬間尖峰負載。由於電力無法大量儲存，遇電力系統部分電源喪失或負載急遽上升，將導致系統頻率迅速下降，為避免危及設備、系統安全與執行限制用電，需有充分備轉容量作為因應。</w:t>
      </w:r>
    </w:p>
    <w:p w:rsidR="008A784A" w:rsidRDefault="008A784A" w:rsidP="008A784A">
      <w:pPr>
        <w:pStyle w:val="4"/>
      </w:pPr>
      <w:r w:rsidRPr="00F45C94">
        <w:rPr>
          <w:rFonts w:hint="eastAsia"/>
        </w:rPr>
        <w:t>備</w:t>
      </w:r>
      <w:r>
        <w:rPr>
          <w:rFonts w:hint="eastAsia"/>
        </w:rPr>
        <w:t>用</w:t>
      </w:r>
      <w:r w:rsidRPr="00F45C94">
        <w:rPr>
          <w:rFonts w:hint="eastAsia"/>
        </w:rPr>
        <w:t>容量率</w:t>
      </w:r>
      <w:r>
        <w:rPr>
          <w:rFonts w:hint="eastAsia"/>
        </w:rPr>
        <w:t>：</w:t>
      </w:r>
    </w:p>
    <w:p w:rsidR="008A784A" w:rsidRDefault="008A784A" w:rsidP="00451693">
      <w:pPr>
        <w:pStyle w:val="5"/>
      </w:pPr>
      <w:r w:rsidRPr="00F45C94">
        <w:rPr>
          <w:rFonts w:hint="eastAsia"/>
        </w:rPr>
        <w:t>備用容量率目標值</w:t>
      </w:r>
      <w:r w:rsidR="00A37AE6">
        <w:rPr>
          <w:rFonts w:hint="eastAsia"/>
        </w:rPr>
        <w:t>係由</w:t>
      </w:r>
      <w:r w:rsidRPr="00F45C94">
        <w:rPr>
          <w:rFonts w:hint="eastAsia"/>
        </w:rPr>
        <w:t>政府核定，用來作為長期電源開發規劃之用；</w:t>
      </w:r>
      <w:r w:rsidR="00A37AE6">
        <w:rPr>
          <w:rFonts w:hint="eastAsia"/>
        </w:rPr>
        <w:t>係</w:t>
      </w:r>
      <w:r w:rsidRPr="00F45C94">
        <w:rPr>
          <w:rFonts w:hint="eastAsia"/>
        </w:rPr>
        <w:t>以一年最高尖峰負載(通常發生於7~8月間)及當時系統淨尖峰能力為基礎，即當時淨尖峰能力與尖峰負載相減餘數除以當時之尖峰負載得之。</w:t>
      </w:r>
      <w:r w:rsidRPr="006027DA">
        <w:rPr>
          <w:rFonts w:hint="eastAsia"/>
        </w:rPr>
        <w:t>備轉容量與備用容量關係如下圖說明：</w:t>
      </w:r>
    </w:p>
    <w:p w:rsidR="00A870FF" w:rsidRPr="006027DA" w:rsidRDefault="00A870FF" w:rsidP="00A870FF">
      <w:pPr>
        <w:pStyle w:val="5"/>
        <w:numPr>
          <w:ilvl w:val="0"/>
          <w:numId w:val="0"/>
        </w:numPr>
        <w:ind w:left="2095"/>
      </w:pPr>
    </w:p>
    <w:p w:rsidR="008A784A" w:rsidRPr="006027DA" w:rsidRDefault="00584D10" w:rsidP="008A784A">
      <w:pPr>
        <w:pStyle w:val="4"/>
        <w:numPr>
          <w:ilvl w:val="0"/>
          <w:numId w:val="0"/>
        </w:numPr>
        <w:ind w:left="1741"/>
        <w:rPr>
          <w:color w:val="FF0000"/>
        </w:rPr>
      </w:pPr>
      <w:r>
        <w:rPr>
          <w:noProof/>
          <w:color w:val="FF0000"/>
        </w:rPr>
        <w:lastRenderedPageBreak/>
        <w:drawing>
          <wp:anchor distT="0" distB="0" distL="114300" distR="114300" simplePos="0" relativeHeight="251653632" behindDoc="1" locked="0" layoutInCell="1" allowOverlap="1">
            <wp:simplePos x="0" y="0"/>
            <wp:positionH relativeFrom="margin">
              <wp:posOffset>1057275</wp:posOffset>
            </wp:positionH>
            <wp:positionV relativeFrom="margin">
              <wp:posOffset>234315</wp:posOffset>
            </wp:positionV>
            <wp:extent cx="4438650" cy="4229100"/>
            <wp:effectExtent l="19050" t="0" r="0" b="0"/>
            <wp:wrapTight wrapText="bothSides">
              <wp:wrapPolygon edited="0">
                <wp:start x="-93" y="0"/>
                <wp:lineTo x="-93" y="21503"/>
                <wp:lineTo x="21600" y="21503"/>
                <wp:lineTo x="21600" y="0"/>
                <wp:lineTo x="-93" y="0"/>
              </wp:wrapPolygon>
            </wp:wrapTight>
            <wp:docPr id="3"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38650" cy="4229100"/>
                    </a:xfrm>
                    <a:prstGeom prst="rect">
                      <a:avLst/>
                    </a:prstGeom>
                    <a:noFill/>
                    <a:ln>
                      <a:noFill/>
                    </a:ln>
                  </pic:spPr>
                </pic:pic>
              </a:graphicData>
            </a:graphic>
          </wp:anchor>
        </w:drawing>
      </w:r>
    </w:p>
    <w:p w:rsidR="008A784A" w:rsidRPr="00F45C94" w:rsidRDefault="008A784A" w:rsidP="004849B1">
      <w:pPr>
        <w:pStyle w:val="5"/>
      </w:pPr>
      <w:r w:rsidRPr="00F45C94">
        <w:rPr>
          <w:rFonts w:hint="eastAsia"/>
        </w:rPr>
        <w:t>電力需求隨人們作息及氣溫變動時</w:t>
      </w:r>
      <w:r>
        <w:rPr>
          <w:rFonts w:hint="eastAsia"/>
        </w:rPr>
        <w:t>刻</w:t>
      </w:r>
      <w:r w:rsidRPr="00F45C94">
        <w:rPr>
          <w:rFonts w:hint="eastAsia"/>
        </w:rPr>
        <w:t>都在變</w:t>
      </w:r>
      <w:r w:rsidR="00A37AE6">
        <w:rPr>
          <w:rFonts w:hint="eastAsia"/>
        </w:rPr>
        <w:t>動</w:t>
      </w:r>
      <w:r w:rsidRPr="00F45C94">
        <w:rPr>
          <w:rFonts w:hint="eastAsia"/>
        </w:rPr>
        <w:t>，然在電力必須「即產即用，維持供需一致」之前提下</w:t>
      </w:r>
      <w:r w:rsidRPr="00E24E9B">
        <w:rPr>
          <w:rFonts w:hint="eastAsia"/>
        </w:rPr>
        <w:t>，現階段我國電力市場尚未完全開放自由競爭，</w:t>
      </w:r>
      <w:r w:rsidR="00A37AE6">
        <w:rPr>
          <w:rFonts w:hint="eastAsia"/>
        </w:rPr>
        <w:t>台電公司之</w:t>
      </w:r>
      <w:r w:rsidRPr="00E24E9B">
        <w:rPr>
          <w:rFonts w:hint="eastAsia"/>
        </w:rPr>
        <w:t>電力調度係依據電力負載特性，以經濟調度為原則進行電力調度運轉，亦即</w:t>
      </w:r>
      <w:r w:rsidRPr="00F45C94">
        <w:rPr>
          <w:rFonts w:hint="eastAsia"/>
        </w:rPr>
        <w:t>配合負載特性準備基載、中載及尖載等各型機組</w:t>
      </w:r>
      <w:r w:rsidR="00703153">
        <w:rPr>
          <w:rStyle w:val="afb"/>
        </w:rPr>
        <w:footnoteReference w:id="2"/>
      </w:r>
      <w:r w:rsidRPr="00F45C94">
        <w:rPr>
          <w:rFonts w:hint="eastAsia"/>
        </w:rPr>
        <w:t>，其中基載機組成本最低(如燃煤及核能機組)，為降低整體發電成本，均指令其滿載發電；中載機組成本次高(如燃氣及燃油機組)，則指令其發電出力隨著負載變動隨時調整</w:t>
      </w:r>
      <w:r w:rsidRPr="00E24E9B">
        <w:rPr>
          <w:rFonts w:hint="eastAsia"/>
        </w:rPr>
        <w:t>，並提供備轉容量；尖載</w:t>
      </w:r>
      <w:r w:rsidRPr="00F45C94">
        <w:rPr>
          <w:rFonts w:hint="eastAsia"/>
        </w:rPr>
        <w:t>機組成本最高(如氣渦輪機、抽蓄水力及水庫水力)，則視當</w:t>
      </w:r>
      <w:r w:rsidRPr="00F45C94">
        <w:rPr>
          <w:rFonts w:hint="eastAsia"/>
        </w:rPr>
        <w:lastRenderedPageBreak/>
        <w:t>日負載需求，指令其在尖峰用電期間併聯發電或擔任備轉機組。</w:t>
      </w:r>
    </w:p>
    <w:p w:rsidR="006F45C2" w:rsidRPr="00387248" w:rsidRDefault="006F45C2" w:rsidP="003A42C4">
      <w:pPr>
        <w:pStyle w:val="3"/>
        <w:widowControl/>
        <w:numPr>
          <w:ilvl w:val="2"/>
          <w:numId w:val="5"/>
        </w:numPr>
      </w:pPr>
      <w:r>
        <w:rPr>
          <w:rFonts w:hint="eastAsia"/>
        </w:rPr>
        <w:t>查</w:t>
      </w:r>
      <w:r w:rsidRPr="003A42C4">
        <w:rPr>
          <w:rFonts w:hAnsi="標楷體" w:hint="eastAsia"/>
          <w:szCs w:val="32"/>
        </w:rPr>
        <w:t>台電公司於102年2月22日電計字第1020002695號函復本院表示，目前營運中之核能發電成本係指運轉中核一、二、三廠為發電所需燃料、運維及折舊之實際數，亦為所稱之「會計發電成本」。</w:t>
      </w:r>
      <w:r>
        <w:rPr>
          <w:rFonts w:hint="eastAsia"/>
        </w:rPr>
        <w:t>而</w:t>
      </w:r>
      <w:r w:rsidRPr="003A42C4">
        <w:rPr>
          <w:rFonts w:hAnsi="標楷體" w:hint="eastAsia"/>
          <w:szCs w:val="32"/>
        </w:rPr>
        <w:t>核四廠尚在建造中，因未完工運轉，無發電貢獻，按一般會計處理原則，建造中成本列於固定資產，且無其他發電燃料、運維費用發生，故不能有核四廠之發電成本。又依該公司102年1月3日電計字第10112070261號函，核能電廠發電成本計算方式及內容如下：</w:t>
      </w:r>
    </w:p>
    <w:p w:rsidR="006F45C2" w:rsidRDefault="006F45C2" w:rsidP="006F45C2">
      <w:pPr>
        <w:pStyle w:val="4"/>
      </w:pPr>
      <w:r w:rsidRPr="00036372">
        <w:t>燃料</w:t>
      </w:r>
      <w:r w:rsidRPr="00036372">
        <w:rPr>
          <w:rFonts w:hint="eastAsia"/>
        </w:rPr>
        <w:t>：</w:t>
      </w:r>
    </w:p>
    <w:p w:rsidR="006F45C2" w:rsidRPr="00EE60B8" w:rsidRDefault="006F45C2" w:rsidP="006F45C2">
      <w:pPr>
        <w:pStyle w:val="5"/>
        <w:rPr>
          <w:kern w:val="0"/>
        </w:rPr>
      </w:pPr>
      <w:r>
        <w:rPr>
          <w:rFonts w:hint="eastAsia"/>
        </w:rPr>
        <w:t>台電</w:t>
      </w:r>
      <w:r w:rsidRPr="00C54522">
        <w:rPr>
          <w:rFonts w:hint="eastAsia"/>
        </w:rPr>
        <w:t>公司採用「生</w:t>
      </w:r>
      <w:r w:rsidRPr="00EE60B8">
        <w:rPr>
          <w:rFonts w:hint="eastAsia"/>
          <w:kern w:val="0"/>
        </w:rPr>
        <w:t>產數量法」（Production Method）計算反應器運轉應攤核燃料成本。</w:t>
      </w:r>
    </w:p>
    <w:p w:rsidR="006F45C2" w:rsidRPr="00451693" w:rsidRDefault="006F45C2" w:rsidP="006F45C2">
      <w:pPr>
        <w:pStyle w:val="5"/>
        <w:kinsoku/>
        <w:ind w:left="2092" w:hanging="697"/>
        <w:rPr>
          <w:kern w:val="0"/>
        </w:rPr>
      </w:pPr>
      <w:r w:rsidRPr="00EE60B8">
        <w:rPr>
          <w:rFonts w:hint="eastAsia"/>
          <w:kern w:val="0"/>
        </w:rPr>
        <w:t>核燃料成本=實</w:t>
      </w:r>
      <w:r w:rsidRPr="00451693">
        <w:rPr>
          <w:rFonts w:hint="eastAsia"/>
          <w:kern w:val="0"/>
        </w:rPr>
        <w:t>際燃燒熱量×預計成本分攤率。</w:t>
      </w:r>
    </w:p>
    <w:p w:rsidR="006F45C2" w:rsidRPr="00B069D1" w:rsidRDefault="006F45C2" w:rsidP="006F45C2">
      <w:pPr>
        <w:pStyle w:val="5"/>
        <w:rPr>
          <w:sz w:val="36"/>
        </w:rPr>
      </w:pPr>
      <w:r w:rsidRPr="00EE60B8">
        <w:rPr>
          <w:rFonts w:hint="eastAsia"/>
          <w:kern w:val="0"/>
        </w:rPr>
        <w:t>預計成本分攤率係以反應器內全部核燃料之總成本及預計總熱量數</w:t>
      </w:r>
      <w:r w:rsidRPr="00B513A4">
        <w:rPr>
          <w:rFonts w:hint="eastAsia"/>
          <w:spacing w:val="14"/>
        </w:rPr>
        <w:t>計算</w:t>
      </w:r>
      <w:r>
        <w:rPr>
          <w:rFonts w:hint="eastAsia"/>
          <w:spacing w:val="14"/>
        </w:rPr>
        <w:t>。</w:t>
      </w:r>
    </w:p>
    <w:p w:rsidR="006F45C2" w:rsidRDefault="006F45C2" w:rsidP="006F45C2">
      <w:pPr>
        <w:pStyle w:val="4"/>
      </w:pPr>
      <w:r w:rsidRPr="00036372">
        <w:t>運維費用：</w:t>
      </w:r>
      <w:r w:rsidR="00451693" w:rsidRPr="00036372">
        <w:rPr>
          <w:rFonts w:hint="eastAsia"/>
        </w:rPr>
        <w:t>為使核能機組運轉所需之監理、操作、防護、維護等之人工、材料及費用，以及一般稅捐等</w:t>
      </w:r>
      <w:r w:rsidR="00451693">
        <w:rPr>
          <w:rFonts w:hint="eastAsia"/>
        </w:rPr>
        <w:t>，依當年度</w:t>
      </w:r>
      <w:r w:rsidR="00451693" w:rsidRPr="00036372">
        <w:rPr>
          <w:rFonts w:hint="eastAsia"/>
        </w:rPr>
        <w:t>實績</w:t>
      </w:r>
      <w:r w:rsidR="00451693">
        <w:rPr>
          <w:rFonts w:hint="eastAsia"/>
        </w:rPr>
        <w:t>數列帳</w:t>
      </w:r>
      <w:r w:rsidR="00451693" w:rsidRPr="00036372">
        <w:t>。</w:t>
      </w:r>
    </w:p>
    <w:p w:rsidR="006F45C2" w:rsidRDefault="006F45C2" w:rsidP="006F45C2">
      <w:pPr>
        <w:pStyle w:val="4"/>
      </w:pPr>
      <w:r w:rsidRPr="00036372">
        <w:t>折舊</w:t>
      </w:r>
      <w:r w:rsidRPr="00036372">
        <w:rPr>
          <w:rFonts w:hint="eastAsia"/>
        </w:rPr>
        <w:t>：</w:t>
      </w:r>
    </w:p>
    <w:p w:rsidR="006F45C2" w:rsidRDefault="006F45C2" w:rsidP="00451693">
      <w:pPr>
        <w:pStyle w:val="5"/>
      </w:pPr>
      <w:r w:rsidRPr="00EE60B8">
        <w:t>依據所得稅法第51條第</w:t>
      </w:r>
      <w:r>
        <w:rPr>
          <w:rFonts w:hint="eastAsia"/>
        </w:rPr>
        <w:t>2</w:t>
      </w:r>
      <w:r w:rsidRPr="00EE60B8">
        <w:t>項及第121條</w:t>
      </w:r>
      <w:r w:rsidRPr="00674F15">
        <w:rPr>
          <w:rStyle w:val="afb"/>
          <w:rFonts w:hAnsi="標楷體"/>
          <w:color w:val="0000FF"/>
          <w:szCs w:val="32"/>
        </w:rPr>
        <w:footnoteReference w:id="3"/>
      </w:r>
      <w:r w:rsidRPr="00EE60B8">
        <w:t>訂頒之「固定資產耐用年數表」所規定之耐用年數攤提，</w:t>
      </w:r>
      <w:r w:rsidRPr="00EE60B8">
        <w:rPr>
          <w:rFonts w:hint="eastAsia"/>
        </w:rPr>
        <w:t>各項設備折舊分兩階段計提。以核能發電設備為例，其主要發電設備折舊年數依「固</w:t>
      </w:r>
      <w:r w:rsidRPr="00EE60B8">
        <w:rPr>
          <w:rFonts w:hint="eastAsia"/>
        </w:rPr>
        <w:lastRenderedPageBreak/>
        <w:t>定資產耐用年數表」訂定為15年，其第一階段折舊每年折舊率為1/(N+1)=1/16。當設備提滿第一階段折舊15年後而設備仍在使用，其帳面淨值僅餘原帳面總值的1/16。而第二階段折舊係就所餘帳面總值的1/16，繼續分10年(15×2/3=10)計提折舊。核能機組相關併聯日期及第一和第二階段折舊提滿時點如</w:t>
      </w:r>
      <w:r>
        <w:rPr>
          <w:rFonts w:hint="eastAsia"/>
        </w:rPr>
        <w:t>下表</w:t>
      </w:r>
      <w:r w:rsidRPr="00EE60B8">
        <w:rPr>
          <w:rFonts w:hint="eastAsia"/>
        </w:rPr>
        <w:t>所示</w:t>
      </w:r>
      <w:r>
        <w:rPr>
          <w:rFonts w:hint="eastAsia"/>
        </w:rPr>
        <w:t>。</w:t>
      </w:r>
    </w:p>
    <w:tbl>
      <w:tblPr>
        <w:tblW w:w="7171" w:type="dxa"/>
        <w:jc w:val="right"/>
        <w:tblInd w:w="1025" w:type="dxa"/>
        <w:tblCellMar>
          <w:left w:w="28" w:type="dxa"/>
          <w:right w:w="28" w:type="dxa"/>
        </w:tblCellMar>
        <w:tblLook w:val="0000"/>
      </w:tblPr>
      <w:tblGrid>
        <w:gridCol w:w="1134"/>
        <w:gridCol w:w="1628"/>
        <w:gridCol w:w="2268"/>
        <w:gridCol w:w="2141"/>
      </w:tblGrid>
      <w:tr w:rsidR="006F45C2" w:rsidRPr="00C54522" w:rsidTr="003A42C4">
        <w:trPr>
          <w:tblHeader/>
          <w:jc w:val="right"/>
        </w:trPr>
        <w:tc>
          <w:tcPr>
            <w:tcW w:w="1134" w:type="dxa"/>
            <w:tcBorders>
              <w:top w:val="single" w:sz="8" w:space="0" w:color="auto"/>
              <w:left w:val="single" w:sz="8" w:space="0" w:color="auto"/>
              <w:bottom w:val="single" w:sz="4" w:space="0" w:color="auto"/>
              <w:right w:val="single" w:sz="4" w:space="0" w:color="auto"/>
            </w:tcBorders>
            <w:shd w:val="clear" w:color="auto" w:fill="auto"/>
            <w:noWrap/>
            <w:vAlign w:val="center"/>
          </w:tcPr>
          <w:p w:rsidR="006F45C2" w:rsidRPr="00C54522" w:rsidRDefault="006F45C2" w:rsidP="003A42C4">
            <w:pPr>
              <w:widowControl/>
              <w:spacing w:line="300" w:lineRule="exact"/>
              <w:jc w:val="center"/>
              <w:rPr>
                <w:rFonts w:ascii="標楷體" w:hAnsi="標楷體" w:cs="新細明體"/>
                <w:kern w:val="0"/>
                <w:sz w:val="24"/>
                <w:szCs w:val="24"/>
              </w:rPr>
            </w:pPr>
          </w:p>
        </w:tc>
        <w:tc>
          <w:tcPr>
            <w:tcW w:w="1628" w:type="dxa"/>
            <w:tcBorders>
              <w:top w:val="single" w:sz="8" w:space="0" w:color="auto"/>
              <w:left w:val="nil"/>
              <w:bottom w:val="single" w:sz="4" w:space="0" w:color="auto"/>
              <w:right w:val="single" w:sz="4" w:space="0" w:color="auto"/>
            </w:tcBorders>
            <w:shd w:val="clear" w:color="auto" w:fill="auto"/>
            <w:noWrap/>
            <w:vAlign w:val="center"/>
          </w:tcPr>
          <w:p w:rsidR="006F45C2" w:rsidRDefault="006F45C2" w:rsidP="003A42C4">
            <w:pPr>
              <w:widowControl/>
              <w:spacing w:line="300" w:lineRule="exact"/>
              <w:jc w:val="center"/>
              <w:rPr>
                <w:rFonts w:ascii="標楷體" w:hAnsi="標楷體" w:cs="新細明體"/>
                <w:kern w:val="0"/>
                <w:sz w:val="24"/>
                <w:szCs w:val="24"/>
              </w:rPr>
            </w:pPr>
            <w:r w:rsidRPr="00C54522">
              <w:rPr>
                <w:rFonts w:ascii="標楷體" w:hAnsi="標楷體" w:cs="新細明體" w:hint="eastAsia"/>
                <w:kern w:val="0"/>
                <w:sz w:val="24"/>
                <w:szCs w:val="24"/>
              </w:rPr>
              <w:t>併聯日期</w:t>
            </w:r>
          </w:p>
          <w:p w:rsidR="006F45C2" w:rsidRPr="00C54522" w:rsidRDefault="006F45C2" w:rsidP="003A42C4">
            <w:pPr>
              <w:widowControl/>
              <w:spacing w:line="300" w:lineRule="exact"/>
              <w:jc w:val="center"/>
              <w:rPr>
                <w:rFonts w:ascii="標楷體" w:hAnsi="標楷體" w:cs="新細明體"/>
                <w:kern w:val="0"/>
                <w:sz w:val="24"/>
                <w:szCs w:val="24"/>
              </w:rPr>
            </w:pPr>
            <w:r w:rsidRPr="00C54522">
              <w:rPr>
                <w:rFonts w:ascii="標楷體" w:hAnsi="標楷體" w:cs="新細明體" w:hint="eastAsia"/>
                <w:kern w:val="0"/>
                <w:sz w:val="24"/>
                <w:szCs w:val="24"/>
              </w:rPr>
              <w:t>(年/月)</w:t>
            </w:r>
          </w:p>
        </w:tc>
        <w:tc>
          <w:tcPr>
            <w:tcW w:w="2268" w:type="dxa"/>
            <w:tcBorders>
              <w:top w:val="single" w:sz="8" w:space="0" w:color="auto"/>
              <w:left w:val="nil"/>
              <w:bottom w:val="single" w:sz="4" w:space="0" w:color="auto"/>
              <w:right w:val="single" w:sz="4" w:space="0" w:color="auto"/>
            </w:tcBorders>
            <w:shd w:val="clear" w:color="auto" w:fill="auto"/>
            <w:vAlign w:val="center"/>
          </w:tcPr>
          <w:p w:rsidR="006F45C2" w:rsidRPr="00C54522" w:rsidRDefault="006F45C2" w:rsidP="003A42C4">
            <w:pPr>
              <w:widowControl/>
              <w:spacing w:line="300" w:lineRule="exact"/>
              <w:jc w:val="center"/>
              <w:rPr>
                <w:rFonts w:ascii="標楷體" w:hAnsi="標楷體" w:cs="新細明體"/>
                <w:kern w:val="0"/>
                <w:sz w:val="24"/>
                <w:szCs w:val="24"/>
              </w:rPr>
            </w:pPr>
            <w:r w:rsidRPr="00C54522">
              <w:rPr>
                <w:rFonts w:ascii="標楷體" w:hAnsi="標楷體" w:cs="新細明體" w:hint="eastAsia"/>
                <w:kern w:val="0"/>
                <w:sz w:val="24"/>
                <w:szCs w:val="24"/>
              </w:rPr>
              <w:t>第一階段折舊提滿時點(計提15年)</w:t>
            </w:r>
          </w:p>
        </w:tc>
        <w:tc>
          <w:tcPr>
            <w:tcW w:w="2141" w:type="dxa"/>
            <w:tcBorders>
              <w:top w:val="single" w:sz="8" w:space="0" w:color="auto"/>
              <w:left w:val="nil"/>
              <w:bottom w:val="single" w:sz="4" w:space="0" w:color="auto"/>
              <w:right w:val="single" w:sz="8" w:space="0" w:color="auto"/>
            </w:tcBorders>
            <w:shd w:val="clear" w:color="auto" w:fill="auto"/>
            <w:vAlign w:val="center"/>
          </w:tcPr>
          <w:p w:rsidR="006F45C2" w:rsidRPr="00C54522" w:rsidRDefault="006F45C2" w:rsidP="003A42C4">
            <w:pPr>
              <w:widowControl/>
              <w:spacing w:line="300" w:lineRule="exact"/>
              <w:jc w:val="center"/>
              <w:rPr>
                <w:rFonts w:ascii="標楷體" w:hAnsi="標楷體" w:cs="新細明體"/>
                <w:kern w:val="0"/>
                <w:sz w:val="24"/>
                <w:szCs w:val="24"/>
              </w:rPr>
            </w:pPr>
            <w:r w:rsidRPr="00C54522">
              <w:rPr>
                <w:rFonts w:ascii="標楷體" w:hAnsi="標楷體" w:cs="新細明體" w:hint="eastAsia"/>
                <w:kern w:val="0"/>
                <w:sz w:val="24"/>
                <w:szCs w:val="24"/>
              </w:rPr>
              <w:t>第二階段折舊提滿時點(計提10年)</w:t>
            </w:r>
          </w:p>
        </w:tc>
      </w:tr>
      <w:tr w:rsidR="006F45C2" w:rsidRPr="00C54522" w:rsidTr="003A42C4">
        <w:trPr>
          <w:jc w:val="right"/>
        </w:trPr>
        <w:tc>
          <w:tcPr>
            <w:tcW w:w="1134" w:type="dxa"/>
            <w:tcBorders>
              <w:top w:val="nil"/>
              <w:left w:val="single" w:sz="8" w:space="0" w:color="auto"/>
              <w:bottom w:val="single" w:sz="4" w:space="0" w:color="auto"/>
              <w:right w:val="single" w:sz="4" w:space="0" w:color="auto"/>
            </w:tcBorders>
            <w:shd w:val="clear" w:color="auto" w:fill="auto"/>
            <w:noWrap/>
            <w:vAlign w:val="center"/>
          </w:tcPr>
          <w:p w:rsidR="006F45C2" w:rsidRPr="00C54522" w:rsidRDefault="006F45C2" w:rsidP="003A42C4">
            <w:pPr>
              <w:widowControl/>
              <w:spacing w:line="300" w:lineRule="exact"/>
              <w:jc w:val="both"/>
              <w:rPr>
                <w:rFonts w:ascii="標楷體" w:hAnsi="標楷體" w:cs="新細明體"/>
                <w:kern w:val="0"/>
                <w:sz w:val="24"/>
                <w:szCs w:val="24"/>
              </w:rPr>
            </w:pPr>
            <w:r w:rsidRPr="00C54522">
              <w:rPr>
                <w:rFonts w:ascii="標楷體" w:hAnsi="標楷體" w:cs="新細明體" w:hint="eastAsia"/>
                <w:kern w:val="0"/>
                <w:sz w:val="24"/>
                <w:szCs w:val="24"/>
              </w:rPr>
              <w:t>核一#1</w:t>
            </w:r>
          </w:p>
        </w:tc>
        <w:tc>
          <w:tcPr>
            <w:tcW w:w="1628" w:type="dxa"/>
            <w:tcBorders>
              <w:top w:val="nil"/>
              <w:left w:val="nil"/>
              <w:bottom w:val="single" w:sz="4" w:space="0" w:color="auto"/>
              <w:right w:val="single" w:sz="4"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66/11</w:t>
            </w:r>
          </w:p>
        </w:tc>
        <w:tc>
          <w:tcPr>
            <w:tcW w:w="2268" w:type="dxa"/>
            <w:tcBorders>
              <w:top w:val="nil"/>
              <w:left w:val="nil"/>
              <w:bottom w:val="single" w:sz="4" w:space="0" w:color="auto"/>
              <w:right w:val="single" w:sz="4"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81/11</w:t>
            </w:r>
          </w:p>
        </w:tc>
        <w:tc>
          <w:tcPr>
            <w:tcW w:w="2141" w:type="dxa"/>
            <w:tcBorders>
              <w:top w:val="nil"/>
              <w:left w:val="nil"/>
              <w:bottom w:val="single" w:sz="4" w:space="0" w:color="auto"/>
              <w:right w:val="single" w:sz="8"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91/11</w:t>
            </w:r>
          </w:p>
        </w:tc>
      </w:tr>
      <w:tr w:rsidR="006F45C2" w:rsidRPr="00C54522" w:rsidTr="003A42C4">
        <w:trPr>
          <w:jc w:val="right"/>
        </w:trPr>
        <w:tc>
          <w:tcPr>
            <w:tcW w:w="1134" w:type="dxa"/>
            <w:tcBorders>
              <w:top w:val="nil"/>
              <w:left w:val="single" w:sz="8" w:space="0" w:color="auto"/>
              <w:bottom w:val="single" w:sz="4" w:space="0" w:color="auto"/>
              <w:right w:val="single" w:sz="4" w:space="0" w:color="auto"/>
            </w:tcBorders>
            <w:shd w:val="clear" w:color="auto" w:fill="auto"/>
            <w:noWrap/>
            <w:vAlign w:val="center"/>
          </w:tcPr>
          <w:p w:rsidR="006F45C2" w:rsidRPr="00C54522" w:rsidRDefault="006F45C2" w:rsidP="003A42C4">
            <w:pPr>
              <w:widowControl/>
              <w:spacing w:line="300" w:lineRule="exact"/>
              <w:jc w:val="both"/>
              <w:rPr>
                <w:rFonts w:ascii="標楷體" w:hAnsi="標楷體" w:cs="新細明體"/>
                <w:kern w:val="0"/>
                <w:sz w:val="24"/>
                <w:szCs w:val="24"/>
              </w:rPr>
            </w:pPr>
            <w:r w:rsidRPr="00C54522">
              <w:rPr>
                <w:rFonts w:ascii="標楷體" w:hAnsi="標楷體" w:cs="新細明體" w:hint="eastAsia"/>
                <w:kern w:val="0"/>
                <w:sz w:val="24"/>
                <w:szCs w:val="24"/>
              </w:rPr>
              <w:t>核一#2</w:t>
            </w:r>
          </w:p>
        </w:tc>
        <w:tc>
          <w:tcPr>
            <w:tcW w:w="1628" w:type="dxa"/>
            <w:tcBorders>
              <w:top w:val="nil"/>
              <w:left w:val="nil"/>
              <w:bottom w:val="single" w:sz="4" w:space="0" w:color="auto"/>
              <w:right w:val="single" w:sz="4"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67/12</w:t>
            </w:r>
          </w:p>
        </w:tc>
        <w:tc>
          <w:tcPr>
            <w:tcW w:w="2268" w:type="dxa"/>
            <w:tcBorders>
              <w:top w:val="nil"/>
              <w:left w:val="nil"/>
              <w:bottom w:val="single" w:sz="4" w:space="0" w:color="auto"/>
              <w:right w:val="single" w:sz="4"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82/12</w:t>
            </w:r>
          </w:p>
        </w:tc>
        <w:tc>
          <w:tcPr>
            <w:tcW w:w="2141" w:type="dxa"/>
            <w:tcBorders>
              <w:top w:val="nil"/>
              <w:left w:val="nil"/>
              <w:bottom w:val="single" w:sz="4" w:space="0" w:color="auto"/>
              <w:right w:val="single" w:sz="8"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92/12</w:t>
            </w:r>
          </w:p>
        </w:tc>
      </w:tr>
      <w:tr w:rsidR="006F45C2" w:rsidRPr="00C54522" w:rsidTr="003A42C4">
        <w:trPr>
          <w:jc w:val="right"/>
        </w:trPr>
        <w:tc>
          <w:tcPr>
            <w:tcW w:w="1134" w:type="dxa"/>
            <w:tcBorders>
              <w:top w:val="nil"/>
              <w:left w:val="single" w:sz="8" w:space="0" w:color="auto"/>
              <w:bottom w:val="single" w:sz="4" w:space="0" w:color="auto"/>
              <w:right w:val="single" w:sz="4" w:space="0" w:color="auto"/>
            </w:tcBorders>
            <w:shd w:val="clear" w:color="auto" w:fill="auto"/>
            <w:noWrap/>
            <w:vAlign w:val="center"/>
          </w:tcPr>
          <w:p w:rsidR="006F45C2" w:rsidRPr="00C54522" w:rsidRDefault="006F45C2" w:rsidP="003A42C4">
            <w:pPr>
              <w:widowControl/>
              <w:spacing w:line="300" w:lineRule="exact"/>
              <w:jc w:val="both"/>
              <w:rPr>
                <w:rFonts w:ascii="標楷體" w:hAnsi="標楷體" w:cs="新細明體"/>
                <w:kern w:val="0"/>
                <w:sz w:val="24"/>
                <w:szCs w:val="24"/>
              </w:rPr>
            </w:pPr>
            <w:r w:rsidRPr="00C54522">
              <w:rPr>
                <w:rFonts w:ascii="標楷體" w:hAnsi="標楷體" w:cs="新細明體" w:hint="eastAsia"/>
                <w:kern w:val="0"/>
                <w:sz w:val="24"/>
                <w:szCs w:val="24"/>
              </w:rPr>
              <w:t>核二#1</w:t>
            </w:r>
          </w:p>
        </w:tc>
        <w:tc>
          <w:tcPr>
            <w:tcW w:w="1628" w:type="dxa"/>
            <w:tcBorders>
              <w:top w:val="nil"/>
              <w:left w:val="nil"/>
              <w:bottom w:val="single" w:sz="4" w:space="0" w:color="auto"/>
              <w:right w:val="single" w:sz="4"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70/5</w:t>
            </w:r>
          </w:p>
        </w:tc>
        <w:tc>
          <w:tcPr>
            <w:tcW w:w="2268" w:type="dxa"/>
            <w:tcBorders>
              <w:top w:val="nil"/>
              <w:left w:val="nil"/>
              <w:bottom w:val="single" w:sz="4" w:space="0" w:color="auto"/>
              <w:right w:val="single" w:sz="4"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85/5</w:t>
            </w:r>
          </w:p>
        </w:tc>
        <w:tc>
          <w:tcPr>
            <w:tcW w:w="2141" w:type="dxa"/>
            <w:tcBorders>
              <w:top w:val="nil"/>
              <w:left w:val="nil"/>
              <w:bottom w:val="single" w:sz="4" w:space="0" w:color="auto"/>
              <w:right w:val="single" w:sz="8"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95/5</w:t>
            </w:r>
          </w:p>
        </w:tc>
      </w:tr>
      <w:tr w:rsidR="006F45C2" w:rsidRPr="00C54522" w:rsidTr="003A42C4">
        <w:trPr>
          <w:jc w:val="right"/>
        </w:trPr>
        <w:tc>
          <w:tcPr>
            <w:tcW w:w="1134" w:type="dxa"/>
            <w:tcBorders>
              <w:top w:val="nil"/>
              <w:left w:val="single" w:sz="8" w:space="0" w:color="auto"/>
              <w:bottom w:val="single" w:sz="4" w:space="0" w:color="auto"/>
              <w:right w:val="single" w:sz="4" w:space="0" w:color="auto"/>
            </w:tcBorders>
            <w:shd w:val="clear" w:color="auto" w:fill="auto"/>
            <w:noWrap/>
            <w:vAlign w:val="center"/>
          </w:tcPr>
          <w:p w:rsidR="006F45C2" w:rsidRPr="00C54522" w:rsidRDefault="006F45C2" w:rsidP="003A42C4">
            <w:pPr>
              <w:widowControl/>
              <w:spacing w:line="300" w:lineRule="exact"/>
              <w:jc w:val="both"/>
              <w:rPr>
                <w:rFonts w:ascii="標楷體" w:hAnsi="標楷體" w:cs="新細明體"/>
                <w:kern w:val="0"/>
                <w:sz w:val="24"/>
                <w:szCs w:val="24"/>
              </w:rPr>
            </w:pPr>
            <w:r w:rsidRPr="00C54522">
              <w:rPr>
                <w:rFonts w:ascii="標楷體" w:hAnsi="標楷體" w:cs="新細明體" w:hint="eastAsia"/>
                <w:kern w:val="0"/>
                <w:sz w:val="24"/>
                <w:szCs w:val="24"/>
              </w:rPr>
              <w:t>核二#2</w:t>
            </w:r>
          </w:p>
        </w:tc>
        <w:tc>
          <w:tcPr>
            <w:tcW w:w="1628" w:type="dxa"/>
            <w:tcBorders>
              <w:top w:val="nil"/>
              <w:left w:val="nil"/>
              <w:bottom w:val="single" w:sz="4" w:space="0" w:color="auto"/>
              <w:right w:val="single" w:sz="4"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71/6</w:t>
            </w:r>
          </w:p>
        </w:tc>
        <w:tc>
          <w:tcPr>
            <w:tcW w:w="2268" w:type="dxa"/>
            <w:tcBorders>
              <w:top w:val="nil"/>
              <w:left w:val="nil"/>
              <w:bottom w:val="single" w:sz="4" w:space="0" w:color="auto"/>
              <w:right w:val="single" w:sz="4"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86/6</w:t>
            </w:r>
          </w:p>
        </w:tc>
        <w:tc>
          <w:tcPr>
            <w:tcW w:w="2141" w:type="dxa"/>
            <w:tcBorders>
              <w:top w:val="nil"/>
              <w:left w:val="nil"/>
              <w:bottom w:val="single" w:sz="4" w:space="0" w:color="auto"/>
              <w:right w:val="single" w:sz="8"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96/6</w:t>
            </w:r>
          </w:p>
        </w:tc>
      </w:tr>
      <w:tr w:rsidR="006F45C2" w:rsidRPr="00C54522" w:rsidTr="003A42C4">
        <w:trPr>
          <w:jc w:val="right"/>
        </w:trPr>
        <w:tc>
          <w:tcPr>
            <w:tcW w:w="1134" w:type="dxa"/>
            <w:tcBorders>
              <w:top w:val="nil"/>
              <w:left w:val="single" w:sz="8" w:space="0" w:color="auto"/>
              <w:bottom w:val="single" w:sz="4" w:space="0" w:color="auto"/>
              <w:right w:val="single" w:sz="4" w:space="0" w:color="auto"/>
            </w:tcBorders>
            <w:shd w:val="clear" w:color="auto" w:fill="auto"/>
            <w:noWrap/>
            <w:vAlign w:val="center"/>
          </w:tcPr>
          <w:p w:rsidR="006F45C2" w:rsidRPr="00C54522" w:rsidRDefault="006F45C2" w:rsidP="003A42C4">
            <w:pPr>
              <w:widowControl/>
              <w:spacing w:line="300" w:lineRule="exact"/>
              <w:jc w:val="both"/>
              <w:rPr>
                <w:rFonts w:ascii="標楷體" w:hAnsi="標楷體" w:cs="新細明體"/>
                <w:kern w:val="0"/>
                <w:sz w:val="24"/>
                <w:szCs w:val="24"/>
              </w:rPr>
            </w:pPr>
            <w:r w:rsidRPr="00C54522">
              <w:rPr>
                <w:rFonts w:ascii="標楷體" w:hAnsi="標楷體" w:cs="新細明體" w:hint="eastAsia"/>
                <w:kern w:val="0"/>
                <w:sz w:val="24"/>
                <w:szCs w:val="24"/>
              </w:rPr>
              <w:t>核三#1</w:t>
            </w:r>
          </w:p>
        </w:tc>
        <w:tc>
          <w:tcPr>
            <w:tcW w:w="1628" w:type="dxa"/>
            <w:tcBorders>
              <w:top w:val="nil"/>
              <w:left w:val="nil"/>
              <w:bottom w:val="single" w:sz="4" w:space="0" w:color="auto"/>
              <w:right w:val="single" w:sz="4"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73/5</w:t>
            </w:r>
          </w:p>
        </w:tc>
        <w:tc>
          <w:tcPr>
            <w:tcW w:w="2268" w:type="dxa"/>
            <w:tcBorders>
              <w:top w:val="nil"/>
              <w:left w:val="nil"/>
              <w:bottom w:val="single" w:sz="4" w:space="0" w:color="auto"/>
              <w:right w:val="single" w:sz="4"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88/5</w:t>
            </w:r>
          </w:p>
        </w:tc>
        <w:tc>
          <w:tcPr>
            <w:tcW w:w="2141" w:type="dxa"/>
            <w:tcBorders>
              <w:top w:val="nil"/>
              <w:left w:val="nil"/>
              <w:bottom w:val="single" w:sz="4" w:space="0" w:color="auto"/>
              <w:right w:val="single" w:sz="8"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98/5</w:t>
            </w:r>
          </w:p>
        </w:tc>
      </w:tr>
      <w:tr w:rsidR="006F45C2" w:rsidRPr="00C54522" w:rsidTr="003A42C4">
        <w:trPr>
          <w:jc w:val="right"/>
        </w:trPr>
        <w:tc>
          <w:tcPr>
            <w:tcW w:w="1134" w:type="dxa"/>
            <w:tcBorders>
              <w:top w:val="nil"/>
              <w:left w:val="single" w:sz="8" w:space="0" w:color="auto"/>
              <w:bottom w:val="single" w:sz="8" w:space="0" w:color="auto"/>
              <w:right w:val="single" w:sz="4" w:space="0" w:color="auto"/>
            </w:tcBorders>
            <w:shd w:val="clear" w:color="auto" w:fill="auto"/>
            <w:noWrap/>
            <w:vAlign w:val="center"/>
          </w:tcPr>
          <w:p w:rsidR="006F45C2" w:rsidRPr="00C54522" w:rsidRDefault="006F45C2" w:rsidP="003A42C4">
            <w:pPr>
              <w:widowControl/>
              <w:spacing w:line="300" w:lineRule="exact"/>
              <w:jc w:val="both"/>
              <w:rPr>
                <w:rFonts w:ascii="標楷體" w:hAnsi="標楷體" w:cs="新細明體"/>
                <w:kern w:val="0"/>
                <w:sz w:val="24"/>
                <w:szCs w:val="24"/>
              </w:rPr>
            </w:pPr>
            <w:r w:rsidRPr="00C54522">
              <w:rPr>
                <w:rFonts w:ascii="標楷體" w:hAnsi="標楷體" w:cs="新細明體" w:hint="eastAsia"/>
                <w:kern w:val="0"/>
                <w:sz w:val="24"/>
                <w:szCs w:val="24"/>
              </w:rPr>
              <w:t>核三#2</w:t>
            </w:r>
          </w:p>
        </w:tc>
        <w:tc>
          <w:tcPr>
            <w:tcW w:w="1628" w:type="dxa"/>
            <w:tcBorders>
              <w:top w:val="nil"/>
              <w:left w:val="nil"/>
              <w:bottom w:val="single" w:sz="8" w:space="0" w:color="auto"/>
              <w:right w:val="single" w:sz="4"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74/2</w:t>
            </w:r>
          </w:p>
        </w:tc>
        <w:tc>
          <w:tcPr>
            <w:tcW w:w="2268" w:type="dxa"/>
            <w:tcBorders>
              <w:top w:val="nil"/>
              <w:left w:val="nil"/>
              <w:bottom w:val="single" w:sz="8" w:space="0" w:color="auto"/>
              <w:right w:val="single" w:sz="4"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89/2</w:t>
            </w:r>
          </w:p>
        </w:tc>
        <w:tc>
          <w:tcPr>
            <w:tcW w:w="2141" w:type="dxa"/>
            <w:tcBorders>
              <w:top w:val="nil"/>
              <w:left w:val="nil"/>
              <w:bottom w:val="single" w:sz="8" w:space="0" w:color="auto"/>
              <w:right w:val="single" w:sz="8" w:space="0" w:color="auto"/>
            </w:tcBorders>
            <w:shd w:val="clear" w:color="auto" w:fill="auto"/>
            <w:noWrap/>
            <w:vAlign w:val="center"/>
          </w:tcPr>
          <w:p w:rsidR="006F45C2" w:rsidRPr="00C54522" w:rsidRDefault="006F45C2" w:rsidP="003A42C4">
            <w:pPr>
              <w:widowControl/>
              <w:spacing w:line="300" w:lineRule="exact"/>
              <w:ind w:rightChars="50" w:right="170"/>
              <w:jc w:val="right"/>
              <w:rPr>
                <w:rFonts w:ascii="標楷體" w:hAnsi="標楷體" w:cs="新細明體"/>
                <w:kern w:val="0"/>
                <w:sz w:val="24"/>
                <w:szCs w:val="24"/>
              </w:rPr>
            </w:pPr>
            <w:r w:rsidRPr="00C54522">
              <w:rPr>
                <w:rFonts w:ascii="標楷體" w:hAnsi="標楷體" w:cs="新細明體" w:hint="eastAsia"/>
                <w:kern w:val="0"/>
                <w:sz w:val="24"/>
                <w:szCs w:val="24"/>
              </w:rPr>
              <w:t>99/2</w:t>
            </w:r>
          </w:p>
        </w:tc>
      </w:tr>
    </w:tbl>
    <w:p w:rsidR="006F45C2" w:rsidRPr="00DA3C70" w:rsidRDefault="006F45C2" w:rsidP="00451693">
      <w:pPr>
        <w:pStyle w:val="5"/>
        <w:rPr>
          <w:rFonts w:hAnsi="標楷體"/>
          <w:szCs w:val="32"/>
        </w:rPr>
      </w:pPr>
      <w:r w:rsidRPr="00DA3C70">
        <w:rPr>
          <w:rFonts w:hAnsi="標楷體" w:hint="eastAsia"/>
          <w:szCs w:val="32"/>
        </w:rPr>
        <w:t>台電公司於提滿二階</w:t>
      </w:r>
      <w:r>
        <w:rPr>
          <w:rFonts w:hAnsi="標楷體" w:hint="eastAsia"/>
          <w:szCs w:val="32"/>
        </w:rPr>
        <w:t>段</w:t>
      </w:r>
      <w:r w:rsidRPr="00DA3C70">
        <w:rPr>
          <w:rFonts w:hAnsi="標楷體" w:hint="eastAsia"/>
          <w:szCs w:val="32"/>
        </w:rPr>
        <w:t>折舊後仍有核能發電折舊費用的發生，主要係因於電廠營運過程中所進行的後續增添及更新設備，及折舊年數較長的核能發電用房屋及建築仍在繼續計提折舊所致。</w:t>
      </w:r>
    </w:p>
    <w:p w:rsidR="006F45C2" w:rsidRDefault="006F45C2" w:rsidP="006F45C2">
      <w:pPr>
        <w:pStyle w:val="4"/>
      </w:pPr>
      <w:r w:rsidRPr="00036372">
        <w:rPr>
          <w:rFonts w:hint="eastAsia"/>
        </w:rPr>
        <w:t>後端費用：</w:t>
      </w:r>
      <w:r w:rsidR="00451693" w:rsidRPr="00036372">
        <w:rPr>
          <w:rFonts w:hint="eastAsia"/>
        </w:rPr>
        <w:t>自76年度開始提撥，依6部核能發電機組皆運轉40年，用過核子燃料及低放射性廢棄均採境內最終處置，後端總費用預估約</w:t>
      </w:r>
      <w:r w:rsidR="00451693" w:rsidRPr="00D1329D">
        <w:rPr>
          <w:rFonts w:hint="eastAsia"/>
        </w:rPr>
        <w:t>新台幣</w:t>
      </w:r>
      <w:r w:rsidR="00451693" w:rsidRPr="00036372">
        <w:rPr>
          <w:rFonts w:hint="eastAsia"/>
        </w:rPr>
        <w:t>3,353億元(97年價位)，折算後每度核能發電分攤率為0.17元，及實際核能發電量計算。</w:t>
      </w:r>
      <w:r w:rsidRPr="00036372">
        <w:rPr>
          <w:rFonts w:hint="eastAsia"/>
        </w:rPr>
        <w:t xml:space="preserve"> </w:t>
      </w:r>
    </w:p>
    <w:p w:rsidR="00D211C1" w:rsidRDefault="00C67A85" w:rsidP="00D211C1">
      <w:pPr>
        <w:pStyle w:val="3"/>
        <w:widowControl/>
        <w:numPr>
          <w:ilvl w:val="2"/>
          <w:numId w:val="5"/>
        </w:numPr>
        <w:kinsoku/>
      </w:pPr>
      <w:r>
        <w:rPr>
          <w:rFonts w:hint="eastAsia"/>
        </w:rPr>
        <w:t>另</w:t>
      </w:r>
      <w:r w:rsidR="006F45C2">
        <w:rPr>
          <w:rFonts w:hint="eastAsia"/>
        </w:rPr>
        <w:t>台電公司於102年6月26日電計字第1020012012號函復本院表示，由於電業屬重投資事業，借款之利息為正常電業經營之必要成本，另總管理處與其他單位係台電公司從事發、輸、配電業之服務部門，其成本最後應由受服務之發、輸、配電業共同分擔，故台電公司於計算各類型發電成本時（如汽力、核</w:t>
      </w:r>
      <w:r w:rsidR="006F45C2">
        <w:rPr>
          <w:rFonts w:hint="eastAsia"/>
        </w:rPr>
        <w:lastRenderedPageBreak/>
        <w:t>能、複循環、再生能源），會將利息及總管理處與其他單位分攤數計入。該公司另表示，總管理處及其他單位</w:t>
      </w:r>
      <w:r w:rsidR="006F45C2" w:rsidRPr="00FE2544">
        <w:rPr>
          <w:rFonts w:hint="eastAsia"/>
        </w:rPr>
        <w:t>發生與核能相關之費用則歸屬至核能發電成本，依費用功能分別帳列營運費、維護費、折舊、稅捐等職能別科目。</w:t>
      </w:r>
      <w:r w:rsidR="00D211C1">
        <w:rPr>
          <w:rFonts w:hint="eastAsia"/>
        </w:rPr>
        <w:t>又以101年為例，核一、二、三廠各廠發電成本分別為每度0.7元、0.64元及0.61元，而該公司每度核能發電成本為0.72元。</w:t>
      </w:r>
    </w:p>
    <w:p w:rsidR="006F45C2" w:rsidRDefault="00C67A85" w:rsidP="006F45C2">
      <w:pPr>
        <w:pStyle w:val="3"/>
        <w:widowControl/>
        <w:numPr>
          <w:ilvl w:val="2"/>
          <w:numId w:val="5"/>
        </w:numPr>
        <w:kinsoku/>
        <w:ind w:left="1394"/>
      </w:pPr>
      <w:r>
        <w:rPr>
          <w:rFonts w:hint="eastAsia"/>
        </w:rPr>
        <w:t>次</w:t>
      </w:r>
      <w:r w:rsidR="006F45C2">
        <w:rPr>
          <w:rFonts w:hint="eastAsia"/>
        </w:rPr>
        <w:t>查台電公司102年2月22日電計字第1020002695號函復本院表示，核四計畫「均化發電成本」係將建廠投資總額及其商轉後所需之運維費、燃料費、利息與其他費用，以工程經濟「等值年金法」概念，考慮貨幣時間價值，利用折現之方式，來計算機組40年運轉期間之平均發電成本。</w:t>
      </w:r>
      <w:r w:rsidR="006F45C2" w:rsidRPr="00182556">
        <w:rPr>
          <w:rFonts w:hint="eastAsia"/>
        </w:rPr>
        <w:t>另核四廠均化發電成本相關明細如下之所示：</w:t>
      </w:r>
    </w:p>
    <w:p w:rsidR="000251A4" w:rsidRDefault="006F45C2" w:rsidP="000C100A">
      <w:pPr>
        <w:pStyle w:val="4"/>
        <w:widowControl/>
        <w:numPr>
          <w:ilvl w:val="3"/>
          <w:numId w:val="5"/>
        </w:numPr>
        <w:spacing w:afterLines="25"/>
        <w:ind w:left="1740" w:hanging="697"/>
      </w:pPr>
      <w:r>
        <w:rPr>
          <w:rFonts w:hint="eastAsia"/>
        </w:rPr>
        <w:t>核四廠80年可行性研究以投資總額1,789億元估算（為符合均化成本定義上之原則，將投資總額1,697億元調整為1,789億元），在折現率10.5％下，該計畫之均化發電成本為2.703元/度，相關明細如下表。</w:t>
      </w:r>
    </w:p>
    <w:tbl>
      <w:tblPr>
        <w:tblStyle w:val="af5"/>
        <w:tblW w:w="0" w:type="auto"/>
        <w:tblInd w:w="2176" w:type="dxa"/>
        <w:tblLook w:val="04A0"/>
      </w:tblPr>
      <w:tblGrid>
        <w:gridCol w:w="3544"/>
        <w:gridCol w:w="2573"/>
      </w:tblGrid>
      <w:tr w:rsidR="006F45C2" w:rsidRPr="00AE2DBA" w:rsidTr="003A42C4">
        <w:tc>
          <w:tcPr>
            <w:tcW w:w="3544" w:type="dxa"/>
          </w:tcPr>
          <w:p w:rsidR="006F45C2" w:rsidRPr="00AE2DBA" w:rsidRDefault="000251A4" w:rsidP="003A42C4">
            <w:pPr>
              <w:pStyle w:val="42"/>
              <w:ind w:leftChars="0" w:left="0" w:firstLineChars="0" w:firstLine="0"/>
              <w:jc w:val="center"/>
              <w:rPr>
                <w:sz w:val="26"/>
                <w:szCs w:val="26"/>
              </w:rPr>
            </w:pPr>
            <w:r w:rsidRPr="00AE2DBA">
              <w:rPr>
                <w:sz w:val="26"/>
                <w:szCs w:val="26"/>
              </w:rPr>
              <w:br w:type="page"/>
            </w:r>
            <w:r w:rsidR="006F45C2" w:rsidRPr="00AE2DBA">
              <w:rPr>
                <w:rFonts w:hint="eastAsia"/>
                <w:sz w:val="26"/>
                <w:szCs w:val="26"/>
              </w:rPr>
              <w:t>項目</w:t>
            </w:r>
          </w:p>
        </w:tc>
        <w:tc>
          <w:tcPr>
            <w:tcW w:w="2573" w:type="dxa"/>
          </w:tcPr>
          <w:p w:rsidR="006F45C2" w:rsidRPr="00AE2DBA" w:rsidRDefault="006F45C2" w:rsidP="003A42C4">
            <w:pPr>
              <w:pStyle w:val="42"/>
              <w:ind w:leftChars="0" w:left="0" w:firstLineChars="0" w:firstLine="0"/>
              <w:jc w:val="center"/>
              <w:rPr>
                <w:sz w:val="26"/>
                <w:szCs w:val="26"/>
              </w:rPr>
            </w:pPr>
            <w:r w:rsidRPr="00AE2DBA">
              <w:rPr>
                <w:rFonts w:hint="eastAsia"/>
                <w:sz w:val="26"/>
                <w:szCs w:val="26"/>
              </w:rPr>
              <w:t>發電成本（元/度）</w:t>
            </w:r>
          </w:p>
        </w:tc>
      </w:tr>
      <w:tr w:rsidR="006F45C2" w:rsidRPr="00AE2DBA" w:rsidTr="003A42C4">
        <w:tc>
          <w:tcPr>
            <w:tcW w:w="3544" w:type="dxa"/>
          </w:tcPr>
          <w:p w:rsidR="006F45C2" w:rsidRPr="00AE2DBA" w:rsidRDefault="006F45C2" w:rsidP="003A42C4">
            <w:pPr>
              <w:pStyle w:val="42"/>
              <w:ind w:leftChars="0" w:left="0" w:firstLineChars="0" w:firstLine="0"/>
              <w:rPr>
                <w:sz w:val="26"/>
                <w:szCs w:val="26"/>
              </w:rPr>
            </w:pPr>
            <w:r w:rsidRPr="00AE2DBA">
              <w:rPr>
                <w:rFonts w:hint="eastAsia"/>
                <w:sz w:val="26"/>
                <w:szCs w:val="26"/>
              </w:rPr>
              <w:t>固定成本</w:t>
            </w:r>
          </w:p>
        </w:tc>
        <w:tc>
          <w:tcPr>
            <w:tcW w:w="2573" w:type="dxa"/>
          </w:tcPr>
          <w:p w:rsidR="006F45C2" w:rsidRPr="00AE2DBA" w:rsidRDefault="006F45C2" w:rsidP="003A42C4">
            <w:pPr>
              <w:pStyle w:val="42"/>
              <w:ind w:leftChars="0" w:left="0" w:firstLineChars="0" w:firstLine="0"/>
              <w:jc w:val="center"/>
              <w:rPr>
                <w:sz w:val="26"/>
                <w:szCs w:val="26"/>
              </w:rPr>
            </w:pPr>
            <w:r w:rsidRPr="00AE2DBA">
              <w:rPr>
                <w:rFonts w:hint="eastAsia"/>
                <w:sz w:val="26"/>
                <w:szCs w:val="26"/>
              </w:rPr>
              <w:t>1.908</w:t>
            </w:r>
          </w:p>
        </w:tc>
      </w:tr>
      <w:tr w:rsidR="006F45C2" w:rsidRPr="00AE2DBA" w:rsidTr="003A42C4">
        <w:tc>
          <w:tcPr>
            <w:tcW w:w="3544" w:type="dxa"/>
          </w:tcPr>
          <w:p w:rsidR="006F45C2" w:rsidRPr="00AE2DBA" w:rsidRDefault="006F45C2" w:rsidP="003A42C4">
            <w:pPr>
              <w:pStyle w:val="42"/>
              <w:ind w:leftChars="0" w:left="0" w:firstLineChars="0" w:firstLine="0"/>
              <w:rPr>
                <w:sz w:val="26"/>
                <w:szCs w:val="26"/>
              </w:rPr>
            </w:pPr>
            <w:r w:rsidRPr="00AE2DBA">
              <w:rPr>
                <w:rFonts w:hint="eastAsia"/>
                <w:sz w:val="26"/>
                <w:szCs w:val="26"/>
              </w:rPr>
              <w:t>運轉維護費</w:t>
            </w:r>
          </w:p>
        </w:tc>
        <w:tc>
          <w:tcPr>
            <w:tcW w:w="2573" w:type="dxa"/>
          </w:tcPr>
          <w:p w:rsidR="006F45C2" w:rsidRPr="00AE2DBA" w:rsidRDefault="006F45C2" w:rsidP="003A42C4">
            <w:pPr>
              <w:pStyle w:val="42"/>
              <w:ind w:leftChars="0" w:left="0" w:firstLineChars="0" w:firstLine="0"/>
              <w:jc w:val="center"/>
              <w:rPr>
                <w:sz w:val="26"/>
                <w:szCs w:val="26"/>
              </w:rPr>
            </w:pPr>
            <w:r w:rsidRPr="00AE2DBA">
              <w:rPr>
                <w:rFonts w:hint="eastAsia"/>
                <w:sz w:val="26"/>
                <w:szCs w:val="26"/>
              </w:rPr>
              <w:t>0.202</w:t>
            </w:r>
          </w:p>
        </w:tc>
      </w:tr>
      <w:tr w:rsidR="006F45C2" w:rsidRPr="00AE2DBA" w:rsidTr="003A42C4">
        <w:tc>
          <w:tcPr>
            <w:tcW w:w="3544" w:type="dxa"/>
          </w:tcPr>
          <w:p w:rsidR="006F45C2" w:rsidRPr="00AE2DBA" w:rsidRDefault="006F45C2" w:rsidP="003A42C4">
            <w:pPr>
              <w:pStyle w:val="42"/>
              <w:ind w:leftChars="0" w:left="0" w:firstLineChars="0" w:firstLine="0"/>
              <w:rPr>
                <w:sz w:val="26"/>
                <w:szCs w:val="26"/>
              </w:rPr>
            </w:pPr>
            <w:r w:rsidRPr="00AE2DBA">
              <w:rPr>
                <w:rFonts w:hint="eastAsia"/>
                <w:sz w:val="26"/>
                <w:szCs w:val="26"/>
              </w:rPr>
              <w:t>燃料成本</w:t>
            </w:r>
          </w:p>
        </w:tc>
        <w:tc>
          <w:tcPr>
            <w:tcW w:w="2573" w:type="dxa"/>
          </w:tcPr>
          <w:p w:rsidR="006F45C2" w:rsidRPr="00AE2DBA" w:rsidRDefault="006F45C2" w:rsidP="003A42C4">
            <w:pPr>
              <w:pStyle w:val="42"/>
              <w:ind w:leftChars="0" w:left="0" w:firstLineChars="0" w:firstLine="0"/>
              <w:jc w:val="center"/>
              <w:rPr>
                <w:sz w:val="26"/>
                <w:szCs w:val="26"/>
              </w:rPr>
            </w:pPr>
            <w:r w:rsidRPr="00AE2DBA">
              <w:rPr>
                <w:rFonts w:hint="eastAsia"/>
                <w:sz w:val="26"/>
                <w:szCs w:val="26"/>
              </w:rPr>
              <w:t>0.311</w:t>
            </w:r>
          </w:p>
        </w:tc>
      </w:tr>
      <w:tr w:rsidR="006F45C2" w:rsidRPr="00AE2DBA" w:rsidTr="003A42C4">
        <w:tc>
          <w:tcPr>
            <w:tcW w:w="3544" w:type="dxa"/>
          </w:tcPr>
          <w:p w:rsidR="006F45C2" w:rsidRPr="00AE2DBA" w:rsidRDefault="006F45C2" w:rsidP="003A42C4">
            <w:pPr>
              <w:pStyle w:val="42"/>
              <w:ind w:leftChars="0" w:left="0" w:firstLineChars="0" w:firstLine="0"/>
              <w:rPr>
                <w:sz w:val="26"/>
                <w:szCs w:val="26"/>
              </w:rPr>
            </w:pPr>
            <w:r w:rsidRPr="00AE2DBA">
              <w:rPr>
                <w:rFonts w:hint="eastAsia"/>
                <w:sz w:val="26"/>
                <w:szCs w:val="26"/>
              </w:rPr>
              <w:t>核能後端營運費</w:t>
            </w:r>
          </w:p>
        </w:tc>
        <w:tc>
          <w:tcPr>
            <w:tcW w:w="2573" w:type="dxa"/>
          </w:tcPr>
          <w:p w:rsidR="006F45C2" w:rsidRPr="00AE2DBA" w:rsidRDefault="006F45C2" w:rsidP="003A42C4">
            <w:pPr>
              <w:pStyle w:val="42"/>
              <w:ind w:leftChars="0" w:left="0" w:firstLineChars="0" w:firstLine="0"/>
              <w:jc w:val="center"/>
              <w:rPr>
                <w:sz w:val="26"/>
                <w:szCs w:val="26"/>
              </w:rPr>
            </w:pPr>
            <w:r w:rsidRPr="00AE2DBA">
              <w:rPr>
                <w:rFonts w:hint="eastAsia"/>
                <w:sz w:val="26"/>
                <w:szCs w:val="26"/>
              </w:rPr>
              <w:t>0.26</w:t>
            </w:r>
          </w:p>
        </w:tc>
      </w:tr>
      <w:tr w:rsidR="006F45C2" w:rsidRPr="00AE2DBA" w:rsidTr="003A42C4">
        <w:tc>
          <w:tcPr>
            <w:tcW w:w="3544" w:type="dxa"/>
          </w:tcPr>
          <w:p w:rsidR="006F45C2" w:rsidRPr="00AE2DBA" w:rsidRDefault="006F45C2" w:rsidP="003A42C4">
            <w:pPr>
              <w:pStyle w:val="42"/>
              <w:ind w:leftChars="0" w:left="0" w:firstLineChars="0" w:firstLine="0"/>
              <w:rPr>
                <w:sz w:val="26"/>
                <w:szCs w:val="26"/>
              </w:rPr>
            </w:pPr>
            <w:r w:rsidRPr="00AE2DBA">
              <w:rPr>
                <w:rFonts w:hint="eastAsia"/>
                <w:sz w:val="26"/>
                <w:szCs w:val="26"/>
              </w:rPr>
              <w:t>營運期間捐助地方經費</w:t>
            </w:r>
          </w:p>
        </w:tc>
        <w:tc>
          <w:tcPr>
            <w:tcW w:w="2573" w:type="dxa"/>
          </w:tcPr>
          <w:p w:rsidR="006F45C2" w:rsidRPr="00AE2DBA" w:rsidRDefault="006F45C2" w:rsidP="003A42C4">
            <w:pPr>
              <w:pStyle w:val="42"/>
              <w:ind w:leftChars="0" w:left="0" w:firstLineChars="0" w:firstLine="0"/>
              <w:jc w:val="center"/>
              <w:rPr>
                <w:sz w:val="26"/>
                <w:szCs w:val="26"/>
              </w:rPr>
            </w:pPr>
            <w:r w:rsidRPr="00AE2DBA">
              <w:rPr>
                <w:rFonts w:hint="eastAsia"/>
                <w:sz w:val="26"/>
                <w:szCs w:val="26"/>
              </w:rPr>
              <w:t>0.022</w:t>
            </w:r>
          </w:p>
        </w:tc>
      </w:tr>
      <w:tr w:rsidR="006F45C2" w:rsidRPr="00AE2DBA" w:rsidTr="003A42C4">
        <w:tc>
          <w:tcPr>
            <w:tcW w:w="3544" w:type="dxa"/>
          </w:tcPr>
          <w:p w:rsidR="006F45C2" w:rsidRPr="00AE2DBA" w:rsidRDefault="006F45C2" w:rsidP="003A42C4">
            <w:pPr>
              <w:pStyle w:val="42"/>
              <w:ind w:leftChars="0" w:left="0" w:firstLineChars="0" w:firstLine="0"/>
              <w:rPr>
                <w:sz w:val="26"/>
                <w:szCs w:val="26"/>
              </w:rPr>
            </w:pPr>
            <w:r w:rsidRPr="00AE2DBA">
              <w:rPr>
                <w:rFonts w:hint="eastAsia"/>
                <w:sz w:val="26"/>
                <w:szCs w:val="26"/>
              </w:rPr>
              <w:t>合計</w:t>
            </w:r>
          </w:p>
        </w:tc>
        <w:tc>
          <w:tcPr>
            <w:tcW w:w="2573" w:type="dxa"/>
          </w:tcPr>
          <w:p w:rsidR="006F45C2" w:rsidRPr="00AE2DBA" w:rsidRDefault="006F45C2" w:rsidP="003A42C4">
            <w:pPr>
              <w:pStyle w:val="42"/>
              <w:ind w:leftChars="0" w:left="0" w:firstLineChars="0" w:firstLine="0"/>
              <w:jc w:val="center"/>
              <w:rPr>
                <w:sz w:val="26"/>
                <w:szCs w:val="26"/>
              </w:rPr>
            </w:pPr>
            <w:r w:rsidRPr="00AE2DBA">
              <w:rPr>
                <w:rFonts w:hint="eastAsia"/>
                <w:sz w:val="26"/>
                <w:szCs w:val="26"/>
              </w:rPr>
              <w:t>2.703</w:t>
            </w:r>
          </w:p>
        </w:tc>
      </w:tr>
    </w:tbl>
    <w:p w:rsidR="006F45C2" w:rsidRDefault="006F45C2" w:rsidP="000C100A">
      <w:pPr>
        <w:pStyle w:val="4"/>
        <w:widowControl/>
        <w:numPr>
          <w:ilvl w:val="3"/>
          <w:numId w:val="5"/>
        </w:numPr>
        <w:spacing w:beforeLines="25" w:afterLines="25"/>
        <w:ind w:left="1740" w:hanging="697"/>
      </w:pPr>
      <w:r w:rsidRPr="00182556">
        <w:rPr>
          <w:rFonts w:hint="eastAsia"/>
        </w:rPr>
        <w:t>而</w:t>
      </w:r>
      <w:r>
        <w:rPr>
          <w:rFonts w:hint="eastAsia"/>
        </w:rPr>
        <w:t>台電公司於101年，以核四建廠投資總額3,236億元估算，在折現率3.22％下，該計畫「</w:t>
      </w:r>
      <w:proofErr w:type="gramStart"/>
      <w:r>
        <w:rPr>
          <w:rFonts w:hint="eastAsia"/>
        </w:rPr>
        <w:t>均化發電</w:t>
      </w:r>
      <w:proofErr w:type="gramEnd"/>
      <w:r>
        <w:rPr>
          <w:rFonts w:hint="eastAsia"/>
        </w:rPr>
        <w:t>成本」為1.85元/度，相關明細如下表：</w:t>
      </w:r>
    </w:p>
    <w:p w:rsidR="00A870FF" w:rsidRDefault="00A870FF" w:rsidP="000C100A">
      <w:pPr>
        <w:pStyle w:val="4"/>
        <w:widowControl/>
        <w:numPr>
          <w:ilvl w:val="0"/>
          <w:numId w:val="0"/>
        </w:numPr>
        <w:spacing w:beforeLines="25" w:afterLines="25"/>
        <w:ind w:left="1740"/>
      </w:pPr>
    </w:p>
    <w:tbl>
      <w:tblPr>
        <w:tblStyle w:val="af5"/>
        <w:tblW w:w="0" w:type="auto"/>
        <w:tblInd w:w="2176" w:type="dxa"/>
        <w:tblLook w:val="04A0"/>
      </w:tblPr>
      <w:tblGrid>
        <w:gridCol w:w="3544"/>
        <w:gridCol w:w="2573"/>
      </w:tblGrid>
      <w:tr w:rsidR="006F45C2" w:rsidRPr="00AE2DBA" w:rsidTr="003A42C4">
        <w:tc>
          <w:tcPr>
            <w:tcW w:w="3544" w:type="dxa"/>
          </w:tcPr>
          <w:p w:rsidR="006F45C2" w:rsidRPr="00AE2DBA" w:rsidRDefault="006F45C2" w:rsidP="003A42C4">
            <w:pPr>
              <w:pStyle w:val="42"/>
              <w:ind w:leftChars="0" w:left="0" w:firstLineChars="0" w:firstLine="0"/>
              <w:jc w:val="center"/>
              <w:rPr>
                <w:sz w:val="26"/>
                <w:szCs w:val="26"/>
              </w:rPr>
            </w:pPr>
            <w:r w:rsidRPr="00AE2DBA">
              <w:rPr>
                <w:rFonts w:hint="eastAsia"/>
                <w:sz w:val="26"/>
                <w:szCs w:val="26"/>
              </w:rPr>
              <w:t>項目</w:t>
            </w:r>
          </w:p>
        </w:tc>
        <w:tc>
          <w:tcPr>
            <w:tcW w:w="2573" w:type="dxa"/>
          </w:tcPr>
          <w:p w:rsidR="006F45C2" w:rsidRPr="00AE2DBA" w:rsidRDefault="006F45C2" w:rsidP="003A42C4">
            <w:pPr>
              <w:pStyle w:val="42"/>
              <w:ind w:leftChars="0" w:left="0" w:firstLineChars="0" w:firstLine="0"/>
              <w:jc w:val="center"/>
              <w:rPr>
                <w:sz w:val="26"/>
                <w:szCs w:val="26"/>
              </w:rPr>
            </w:pPr>
            <w:r w:rsidRPr="00AE2DBA">
              <w:rPr>
                <w:rFonts w:hint="eastAsia"/>
                <w:sz w:val="26"/>
                <w:szCs w:val="26"/>
              </w:rPr>
              <w:t>發電成本（元/度）</w:t>
            </w:r>
          </w:p>
        </w:tc>
      </w:tr>
      <w:tr w:rsidR="006F45C2" w:rsidRPr="00AE2DBA" w:rsidTr="003A42C4">
        <w:tc>
          <w:tcPr>
            <w:tcW w:w="3544" w:type="dxa"/>
          </w:tcPr>
          <w:p w:rsidR="006F45C2" w:rsidRPr="00AE2DBA" w:rsidRDefault="006F45C2" w:rsidP="00AE2DBA">
            <w:pPr>
              <w:pStyle w:val="42"/>
              <w:ind w:leftChars="0" w:left="0" w:firstLineChars="0" w:firstLine="0"/>
              <w:jc w:val="left"/>
              <w:rPr>
                <w:sz w:val="26"/>
                <w:szCs w:val="26"/>
              </w:rPr>
            </w:pPr>
            <w:r w:rsidRPr="00AE2DBA">
              <w:rPr>
                <w:rFonts w:hint="eastAsia"/>
                <w:sz w:val="26"/>
                <w:szCs w:val="26"/>
              </w:rPr>
              <w:t>固定成本</w:t>
            </w:r>
          </w:p>
        </w:tc>
        <w:tc>
          <w:tcPr>
            <w:tcW w:w="2573" w:type="dxa"/>
          </w:tcPr>
          <w:p w:rsidR="006F45C2" w:rsidRPr="00AE2DBA" w:rsidRDefault="006F45C2" w:rsidP="003A42C4">
            <w:pPr>
              <w:pStyle w:val="42"/>
              <w:ind w:leftChars="0" w:left="0" w:firstLineChars="0" w:firstLine="0"/>
              <w:jc w:val="center"/>
              <w:rPr>
                <w:sz w:val="26"/>
                <w:szCs w:val="26"/>
              </w:rPr>
            </w:pPr>
            <w:r w:rsidRPr="00AE2DBA">
              <w:rPr>
                <w:rFonts w:hint="eastAsia"/>
                <w:sz w:val="26"/>
                <w:szCs w:val="26"/>
              </w:rPr>
              <w:t>0.86</w:t>
            </w:r>
          </w:p>
        </w:tc>
      </w:tr>
      <w:tr w:rsidR="006F45C2" w:rsidRPr="00AE2DBA" w:rsidTr="003A42C4">
        <w:tc>
          <w:tcPr>
            <w:tcW w:w="3544" w:type="dxa"/>
          </w:tcPr>
          <w:p w:rsidR="006F45C2" w:rsidRPr="00AE2DBA" w:rsidRDefault="006F45C2" w:rsidP="00AE2DBA">
            <w:pPr>
              <w:pStyle w:val="42"/>
              <w:ind w:leftChars="0" w:left="0" w:firstLineChars="0" w:firstLine="0"/>
              <w:jc w:val="left"/>
              <w:rPr>
                <w:sz w:val="26"/>
                <w:szCs w:val="26"/>
              </w:rPr>
            </w:pPr>
            <w:r w:rsidRPr="00AE2DBA">
              <w:rPr>
                <w:rFonts w:hint="eastAsia"/>
                <w:sz w:val="26"/>
                <w:szCs w:val="26"/>
              </w:rPr>
              <w:t>運轉維護費</w:t>
            </w:r>
          </w:p>
        </w:tc>
        <w:tc>
          <w:tcPr>
            <w:tcW w:w="2573" w:type="dxa"/>
          </w:tcPr>
          <w:p w:rsidR="006F45C2" w:rsidRPr="00AE2DBA" w:rsidRDefault="006F45C2" w:rsidP="003A42C4">
            <w:pPr>
              <w:pStyle w:val="42"/>
              <w:ind w:leftChars="0" w:left="0" w:firstLineChars="0" w:firstLine="0"/>
              <w:jc w:val="center"/>
              <w:rPr>
                <w:sz w:val="26"/>
                <w:szCs w:val="26"/>
              </w:rPr>
            </w:pPr>
            <w:r w:rsidRPr="00AE2DBA">
              <w:rPr>
                <w:rFonts w:hint="eastAsia"/>
                <w:sz w:val="26"/>
                <w:szCs w:val="26"/>
              </w:rPr>
              <w:t>0.50</w:t>
            </w:r>
          </w:p>
        </w:tc>
      </w:tr>
      <w:tr w:rsidR="006F45C2" w:rsidRPr="00AE2DBA" w:rsidTr="003A42C4">
        <w:tc>
          <w:tcPr>
            <w:tcW w:w="3544" w:type="dxa"/>
          </w:tcPr>
          <w:p w:rsidR="006F45C2" w:rsidRPr="00AE2DBA" w:rsidRDefault="006F45C2" w:rsidP="00AE2DBA">
            <w:pPr>
              <w:pStyle w:val="42"/>
              <w:ind w:leftChars="0" w:left="0" w:firstLineChars="0" w:firstLine="0"/>
              <w:jc w:val="left"/>
              <w:rPr>
                <w:sz w:val="26"/>
                <w:szCs w:val="26"/>
              </w:rPr>
            </w:pPr>
            <w:r w:rsidRPr="00AE2DBA">
              <w:rPr>
                <w:rFonts w:hint="eastAsia"/>
                <w:sz w:val="26"/>
                <w:szCs w:val="26"/>
              </w:rPr>
              <w:t>燃料成本</w:t>
            </w:r>
          </w:p>
        </w:tc>
        <w:tc>
          <w:tcPr>
            <w:tcW w:w="2573" w:type="dxa"/>
          </w:tcPr>
          <w:p w:rsidR="006F45C2" w:rsidRPr="00AE2DBA" w:rsidRDefault="006F45C2" w:rsidP="003A42C4">
            <w:pPr>
              <w:pStyle w:val="42"/>
              <w:ind w:leftChars="0" w:left="0" w:firstLineChars="0" w:firstLine="0"/>
              <w:jc w:val="center"/>
              <w:rPr>
                <w:sz w:val="26"/>
                <w:szCs w:val="26"/>
              </w:rPr>
            </w:pPr>
            <w:r w:rsidRPr="00AE2DBA">
              <w:rPr>
                <w:rFonts w:hint="eastAsia"/>
                <w:sz w:val="26"/>
                <w:szCs w:val="26"/>
              </w:rPr>
              <w:t>0.32</w:t>
            </w:r>
          </w:p>
        </w:tc>
      </w:tr>
      <w:tr w:rsidR="006F45C2" w:rsidRPr="00AE2DBA" w:rsidTr="003A42C4">
        <w:tc>
          <w:tcPr>
            <w:tcW w:w="3544" w:type="dxa"/>
          </w:tcPr>
          <w:p w:rsidR="006F45C2" w:rsidRPr="00AE2DBA" w:rsidRDefault="006F45C2" w:rsidP="00AE2DBA">
            <w:pPr>
              <w:pStyle w:val="42"/>
              <w:ind w:leftChars="0" w:left="0" w:firstLineChars="0" w:firstLine="0"/>
              <w:jc w:val="left"/>
              <w:rPr>
                <w:sz w:val="26"/>
                <w:szCs w:val="26"/>
              </w:rPr>
            </w:pPr>
            <w:r w:rsidRPr="00AE2DBA">
              <w:rPr>
                <w:rFonts w:hint="eastAsia"/>
                <w:sz w:val="26"/>
                <w:szCs w:val="26"/>
              </w:rPr>
              <w:t>核能後端營運費</w:t>
            </w:r>
          </w:p>
        </w:tc>
        <w:tc>
          <w:tcPr>
            <w:tcW w:w="2573" w:type="dxa"/>
          </w:tcPr>
          <w:p w:rsidR="006F45C2" w:rsidRPr="00AE2DBA" w:rsidRDefault="006F45C2" w:rsidP="003A42C4">
            <w:pPr>
              <w:pStyle w:val="42"/>
              <w:ind w:leftChars="0" w:left="0" w:firstLineChars="0" w:firstLine="0"/>
              <w:jc w:val="center"/>
              <w:rPr>
                <w:sz w:val="26"/>
                <w:szCs w:val="26"/>
              </w:rPr>
            </w:pPr>
            <w:r w:rsidRPr="00AE2DBA">
              <w:rPr>
                <w:rFonts w:hint="eastAsia"/>
                <w:sz w:val="26"/>
                <w:szCs w:val="26"/>
              </w:rPr>
              <w:t>0.17</w:t>
            </w:r>
          </w:p>
        </w:tc>
      </w:tr>
      <w:tr w:rsidR="006F45C2" w:rsidRPr="00AE2DBA" w:rsidTr="003A42C4">
        <w:tc>
          <w:tcPr>
            <w:tcW w:w="3544" w:type="dxa"/>
          </w:tcPr>
          <w:p w:rsidR="006F45C2" w:rsidRPr="00AE2DBA" w:rsidRDefault="006F45C2" w:rsidP="00AE2DBA">
            <w:pPr>
              <w:pStyle w:val="42"/>
              <w:ind w:leftChars="0" w:left="0" w:firstLineChars="0" w:firstLine="0"/>
              <w:jc w:val="left"/>
              <w:rPr>
                <w:sz w:val="26"/>
                <w:szCs w:val="26"/>
              </w:rPr>
            </w:pPr>
            <w:r w:rsidRPr="00AE2DBA">
              <w:rPr>
                <w:rFonts w:hint="eastAsia"/>
                <w:sz w:val="26"/>
                <w:szCs w:val="26"/>
              </w:rPr>
              <w:t>合計</w:t>
            </w:r>
          </w:p>
        </w:tc>
        <w:tc>
          <w:tcPr>
            <w:tcW w:w="2573" w:type="dxa"/>
          </w:tcPr>
          <w:p w:rsidR="006F45C2" w:rsidRPr="00AE2DBA" w:rsidRDefault="006F45C2" w:rsidP="003A42C4">
            <w:pPr>
              <w:pStyle w:val="42"/>
              <w:ind w:leftChars="0" w:left="0" w:firstLineChars="0" w:firstLine="0"/>
              <w:jc w:val="center"/>
              <w:rPr>
                <w:sz w:val="26"/>
                <w:szCs w:val="26"/>
              </w:rPr>
            </w:pPr>
            <w:r w:rsidRPr="00AE2DBA">
              <w:rPr>
                <w:rFonts w:hint="eastAsia"/>
                <w:sz w:val="26"/>
                <w:szCs w:val="26"/>
              </w:rPr>
              <w:t>1.85</w:t>
            </w:r>
          </w:p>
        </w:tc>
      </w:tr>
    </w:tbl>
    <w:p w:rsidR="00C67A85" w:rsidRPr="00703153" w:rsidRDefault="00C67A85" w:rsidP="000C100A">
      <w:pPr>
        <w:pStyle w:val="3"/>
        <w:kinsoku/>
        <w:spacing w:beforeLines="25"/>
        <w:ind w:left="1394"/>
      </w:pPr>
      <w:r>
        <w:rPr>
          <w:rFonts w:hint="eastAsia"/>
        </w:rPr>
        <w:t>再</w:t>
      </w:r>
      <w:r w:rsidRPr="00703153">
        <w:rPr>
          <w:rFonts w:hint="eastAsia"/>
        </w:rPr>
        <w:t>查</w:t>
      </w:r>
      <w:r w:rsidR="00CA254D" w:rsidRPr="00703153">
        <w:rPr>
          <w:szCs w:val="32"/>
        </w:rPr>
        <w:t>馬總統</w:t>
      </w:r>
      <w:r w:rsidR="00CA254D" w:rsidRPr="00703153">
        <w:rPr>
          <w:rFonts w:hint="eastAsia"/>
          <w:szCs w:val="32"/>
        </w:rPr>
        <w:t>於102年5月14日</w:t>
      </w:r>
      <w:r w:rsidR="00CA254D" w:rsidRPr="00703153">
        <w:rPr>
          <w:szCs w:val="32"/>
        </w:rPr>
        <w:t>接見</w:t>
      </w:r>
      <w:r w:rsidR="00CA254D" w:rsidRPr="00703153">
        <w:rPr>
          <w:rFonts w:hint="eastAsia"/>
          <w:szCs w:val="32"/>
        </w:rPr>
        <w:t>財團法人</w:t>
      </w:r>
      <w:r w:rsidR="00CA254D" w:rsidRPr="00703153">
        <w:rPr>
          <w:szCs w:val="32"/>
        </w:rPr>
        <w:t>宜蘭人文基金會董事長陳錫南</w:t>
      </w:r>
      <w:r w:rsidR="00CA254D" w:rsidRPr="00703153">
        <w:rPr>
          <w:rFonts w:hint="eastAsia"/>
          <w:szCs w:val="32"/>
        </w:rPr>
        <w:t>及</w:t>
      </w:r>
      <w:r w:rsidR="00CA254D" w:rsidRPr="00703153">
        <w:rPr>
          <w:szCs w:val="32"/>
        </w:rPr>
        <w:t>國際電機電子工程學會院士陳謨星教授</w:t>
      </w:r>
      <w:r w:rsidR="00CA254D" w:rsidRPr="00703153">
        <w:rPr>
          <w:rFonts w:hint="eastAsia"/>
          <w:szCs w:val="32"/>
        </w:rPr>
        <w:t>，</w:t>
      </w:r>
      <w:r w:rsidR="00CA254D" w:rsidRPr="00703153">
        <w:rPr>
          <w:szCs w:val="32"/>
        </w:rPr>
        <w:t>馬總統</w:t>
      </w:r>
      <w:r w:rsidR="006740C0">
        <w:rPr>
          <w:rFonts w:hint="eastAsia"/>
          <w:szCs w:val="32"/>
        </w:rPr>
        <w:t>於</w:t>
      </w:r>
      <w:r w:rsidR="00CA254D" w:rsidRPr="00703153">
        <w:rPr>
          <w:szCs w:val="32"/>
        </w:rPr>
        <w:t>致詞時表示，陳董事長長年投入非核家園運動，推廣再生能源，並於前兩年連續舉辦核能論壇，為政府提供建言，而陳教授在電學、能源等方面有深入研究，</w:t>
      </w:r>
      <w:r w:rsidR="00CA254D" w:rsidRPr="00703153">
        <w:rPr>
          <w:rFonts w:hint="eastAsia"/>
          <w:szCs w:val="32"/>
        </w:rPr>
        <w:t>在</w:t>
      </w:r>
      <w:r w:rsidR="00CA254D" w:rsidRPr="00703153">
        <w:rPr>
          <w:szCs w:val="32"/>
        </w:rPr>
        <w:t>面對國內各界對核能的不同聲音，政府一貫秉持的態度即是資訊透明、謙卑傾聽、詳盡研究及誠懇溝通。</w:t>
      </w:r>
      <w:r w:rsidR="00CA254D" w:rsidRPr="00703153">
        <w:rPr>
          <w:rFonts w:hint="eastAsia"/>
          <w:szCs w:val="32"/>
        </w:rPr>
        <w:t>然</w:t>
      </w:r>
      <w:r w:rsidR="00CA254D" w:rsidRPr="00703153">
        <w:rPr>
          <w:szCs w:val="32"/>
        </w:rPr>
        <w:t>宜蘭人文基金會陳董事長</w:t>
      </w:r>
      <w:r w:rsidR="00CA254D" w:rsidRPr="00703153">
        <w:rPr>
          <w:rFonts w:hint="eastAsia"/>
          <w:szCs w:val="32"/>
        </w:rPr>
        <w:t>與其推舉之</w:t>
      </w:r>
      <w:r w:rsidRPr="00703153">
        <w:rPr>
          <w:rFonts w:hint="eastAsia"/>
        </w:rPr>
        <w:t>陳謨星教授</w:t>
      </w:r>
      <w:r w:rsidR="00CA254D" w:rsidRPr="00703153">
        <w:rPr>
          <w:rFonts w:hint="eastAsia"/>
          <w:szCs w:val="32"/>
        </w:rPr>
        <w:t>多次到院</w:t>
      </w:r>
      <w:r w:rsidR="00703153" w:rsidRPr="00703153">
        <w:rPr>
          <w:szCs w:val="32"/>
        </w:rPr>
        <w:t>，</w:t>
      </w:r>
      <w:r w:rsidRPr="00703153">
        <w:rPr>
          <w:rFonts w:hint="eastAsia"/>
        </w:rPr>
        <w:t>對於我國核能</w:t>
      </w:r>
      <w:r w:rsidR="007C0E27" w:rsidRPr="00703153">
        <w:rPr>
          <w:rFonts w:hint="eastAsia"/>
        </w:rPr>
        <w:t>發電之真實</w:t>
      </w:r>
      <w:r w:rsidRPr="00703153">
        <w:rPr>
          <w:rFonts w:hint="eastAsia"/>
        </w:rPr>
        <w:t>成本</w:t>
      </w:r>
      <w:r w:rsidR="007C0E27" w:rsidRPr="00703153">
        <w:rPr>
          <w:rFonts w:hint="eastAsia"/>
        </w:rPr>
        <w:t>提出</w:t>
      </w:r>
      <w:r w:rsidR="009A47DD">
        <w:rPr>
          <w:rFonts w:hint="eastAsia"/>
        </w:rPr>
        <w:t>渠等</w:t>
      </w:r>
      <w:r w:rsidR="009D0BAD" w:rsidRPr="00703153">
        <w:rPr>
          <w:rFonts w:hint="eastAsia"/>
        </w:rPr>
        <w:t>如下</w:t>
      </w:r>
      <w:r w:rsidR="007C0E27" w:rsidRPr="00703153">
        <w:rPr>
          <w:rFonts w:hint="eastAsia"/>
        </w:rPr>
        <w:t>之意見</w:t>
      </w:r>
      <w:r w:rsidRPr="00703153">
        <w:rPr>
          <w:rFonts w:hint="eastAsia"/>
        </w:rPr>
        <w:t>：</w:t>
      </w:r>
    </w:p>
    <w:p w:rsidR="00C67A85" w:rsidRDefault="00C67A85" w:rsidP="007C0E27">
      <w:pPr>
        <w:pStyle w:val="4"/>
      </w:pPr>
      <w:r w:rsidRPr="00684751">
        <w:rPr>
          <w:rFonts w:hint="eastAsia"/>
        </w:rPr>
        <w:t>台灣核能電廠真成本：廢場與廢料、輸配電、輔助服務、燃料、固定成本</w:t>
      </w:r>
      <w:r>
        <w:rPr>
          <w:rFonts w:hint="eastAsia"/>
        </w:rPr>
        <w:t>。</w:t>
      </w:r>
    </w:p>
    <w:p w:rsidR="00C67A85" w:rsidRPr="00684751" w:rsidRDefault="00C67A85" w:rsidP="00C67A85">
      <w:pPr>
        <w:pStyle w:val="4"/>
        <w:numPr>
          <w:ilvl w:val="0"/>
          <w:numId w:val="0"/>
        </w:numPr>
        <w:ind w:leftChars="312" w:left="1061"/>
        <w:jc w:val="center"/>
        <w:rPr>
          <w:bCs/>
        </w:rPr>
      </w:pPr>
      <w:r w:rsidRPr="00430BBE">
        <w:rPr>
          <w:bCs/>
          <w:noProof/>
          <w:bdr w:val="double" w:sz="4" w:space="0" w:color="auto"/>
        </w:rPr>
        <w:drawing>
          <wp:inline distT="0" distB="0" distL="0" distR="0">
            <wp:extent cx="4051991" cy="1940119"/>
            <wp:effectExtent l="0" t="0" r="5659" b="0"/>
            <wp:docPr id="4" name="物件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58200" cy="4449413"/>
                      <a:chOff x="381000" y="1840771"/>
                      <a:chExt cx="8458200" cy="4449413"/>
                    </a:xfrm>
                  </a:grpSpPr>
                  <a:sp>
                    <a:nvSpPr>
                      <a:cNvPr id="8" name="Oval Callout 7"/>
                      <a:cNvSpPr/>
                    </a:nvSpPr>
                    <a:spPr>
                      <a:xfrm>
                        <a:off x="2198112" y="3694187"/>
                        <a:ext cx="1864716" cy="856457"/>
                      </a:xfrm>
                      <a:prstGeom prst="wedgeEllipseCallout">
                        <a:avLst>
                          <a:gd name="adj1" fmla="val -27068"/>
                          <a:gd name="adj2" fmla="val 147833"/>
                        </a:avLst>
                      </a:prstGeom>
                    </a:spPr>
                    <a:txSp>
                      <a:txBody>
                        <a:bodyPr rtlCol="0" anchor="ctr"/>
                        <a:lstStyle>
                          <a:defPPr>
                            <a:defRPr lang="zh-TW"/>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1">
                        <a:schemeClr val="accent1"/>
                      </a:lnRef>
                      <a:fillRef idx="2">
                        <a:schemeClr val="accent1"/>
                      </a:fillRef>
                      <a:effectRef idx="1">
                        <a:schemeClr val="accent1"/>
                      </a:effectRef>
                      <a:fontRef idx="minor">
                        <a:schemeClr val="dk1"/>
                      </a:fontRef>
                    </a:style>
                  </a:sp>
                  <a:sp>
                    <a:nvSpPr>
                      <a:cNvPr id="5" name="圓柱 4"/>
                      <a:cNvSpPr/>
                    </a:nvSpPr>
                    <a:spPr>
                      <a:xfrm>
                        <a:off x="1364751" y="5630410"/>
                        <a:ext cx="990600" cy="602146"/>
                      </a:xfrm>
                      <a:prstGeom prst="can">
                        <a:avLst/>
                      </a:prstGeom>
                      <a:solidFill>
                        <a:srgbClr val="92D050"/>
                      </a:solidFill>
                      <a:ln>
                        <a:solidFill>
                          <a:schemeClr val="accent2">
                            <a:lumMod val="50000"/>
                          </a:schemeClr>
                        </a:solidFill>
                      </a:ln>
                      <a:effectLst>
                        <a:outerShdw blurRad="50800" dist="38100" dir="2700000" algn="tl" rotWithShape="0">
                          <a:prstClr val="black">
                            <a:alpha val="40000"/>
                          </a:prstClr>
                        </a:outerShdw>
                      </a:effectLst>
                    </a:spPr>
                    <a:txSp>
                      <a:txBody>
                        <a:bodyPr rtlCol="0" anchor="ctr"/>
                        <a:lstStyle>
                          <a:defPPr>
                            <a:defRPr lang="zh-TW"/>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TW" altLang="en-US">
                            <a:latin typeface="+mj-lt"/>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圓柱 30"/>
                      <a:cNvSpPr/>
                    </a:nvSpPr>
                    <a:spPr>
                      <a:xfrm>
                        <a:off x="1364751" y="5199631"/>
                        <a:ext cx="990600" cy="591569"/>
                      </a:xfrm>
                      <a:prstGeom prst="can">
                        <a:avLst/>
                      </a:prstGeom>
                      <a:solidFill>
                        <a:srgbClr val="FF9900"/>
                      </a:solidFill>
                      <a:ln>
                        <a:solidFill>
                          <a:srgbClr val="FF6600"/>
                        </a:solidFill>
                      </a:ln>
                      <a:effectLst>
                        <a:outerShdw blurRad="50800" dist="38100" dir="2700000" algn="tl" rotWithShape="0">
                          <a:prstClr val="black">
                            <a:alpha val="40000"/>
                          </a:prstClr>
                        </a:outerShdw>
                      </a:effectLst>
                    </a:spPr>
                    <a:txSp>
                      <a:txBody>
                        <a:bodyPr rtlCol="0" anchor="ctr"/>
                        <a:lstStyle>
                          <a:defPPr>
                            <a:defRPr lang="zh-TW"/>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TW" altLang="en-US">
                            <a:latin typeface="+mj-lt"/>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文字方塊 43"/>
                      <a:cNvSpPr txBox="1"/>
                    </a:nvSpPr>
                    <a:spPr>
                      <a:xfrm>
                        <a:off x="2885415" y="5314890"/>
                        <a:ext cx="1305585" cy="400110"/>
                      </a:xfrm>
                      <a:prstGeom prst="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a:solidFill>
                          <a:srgbClr val="FF6600"/>
                        </a:solidFill>
                      </a:ln>
                    </a:spPr>
                    <a:txSp>
                      <a:txBody>
                        <a:bodyPr wrap="square" rtlCol="0">
                          <a:spAutoFit/>
                        </a:bodyPr>
                        <a:lstStyle>
                          <a:defPPr>
                            <a:defRPr lang="zh-TW"/>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zh-TW" altLang="en-US" sz="2000" dirty="0" smtClean="0">
                              <a:latin typeface="+mj-lt"/>
                              <a:ea typeface="標楷體" pitchFamily="65" charset="-120"/>
                              <a:cs typeface="Times New Roman" pitchFamily="18" charset="0"/>
                            </a:rPr>
                            <a:t>燃料成本</a:t>
                          </a:r>
                          <a:endParaRPr lang="zh-TW" altLang="en-US" sz="2000" dirty="0">
                            <a:latin typeface="+mj-lt"/>
                            <a:ea typeface="標楷體" pitchFamily="65" charset="-12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sp>
                    <a:nvSpPr>
                      <a:cNvPr id="47" name="文字方塊 46"/>
                      <a:cNvSpPr txBox="1"/>
                    </a:nvSpPr>
                    <a:spPr>
                      <a:xfrm>
                        <a:off x="2885416" y="5772090"/>
                        <a:ext cx="1305584" cy="400110"/>
                      </a:xfrm>
                      <a:prstGeom prst="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2700000" scaled="1"/>
                        <a:tileRect/>
                      </a:gradFill>
                      <a:ln>
                        <a:solidFill>
                          <a:srgbClr val="00B050"/>
                        </a:solidFill>
                      </a:ln>
                    </a:spPr>
                    <a:txSp>
                      <a:txBody>
                        <a:bodyPr wrap="square" rtlCol="0">
                          <a:spAutoFit/>
                        </a:bodyPr>
                        <a:lstStyle>
                          <a:defPPr>
                            <a:defRPr lang="zh-TW"/>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zh-TW" altLang="en-US" sz="2000" dirty="0">
                              <a:latin typeface="+mj-lt"/>
                              <a:ea typeface="標楷體" pitchFamily="65" charset="-120"/>
                              <a:cs typeface="Times New Roman" pitchFamily="18" charset="0"/>
                            </a:rPr>
                            <a:t>固定</a:t>
                          </a:r>
                          <a:r>
                            <a:rPr lang="zh-TW" altLang="en-US" sz="2000" dirty="0" smtClean="0">
                              <a:latin typeface="+mj-lt"/>
                              <a:ea typeface="標楷體" pitchFamily="65" charset="-120"/>
                              <a:cs typeface="Times New Roman" pitchFamily="18" charset="0"/>
                            </a:rPr>
                            <a:t>成本</a:t>
                          </a:r>
                          <a:endParaRPr lang="zh-TW" altLang="en-US" sz="2000" dirty="0">
                            <a:latin typeface="+mj-lt"/>
                            <a:ea typeface="標楷體" pitchFamily="65" charset="-12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sp>
                    <a:nvSpPr>
                      <a:cNvPr id="21" name="文字方塊 20"/>
                      <a:cNvSpPr txBox="1"/>
                    </a:nvSpPr>
                    <a:spPr>
                      <a:xfrm>
                        <a:off x="6883041" y="4648200"/>
                        <a:ext cx="1754124" cy="400110"/>
                      </a:xfrm>
                      <a:prstGeom prst="rect">
                        <a:avLst/>
                      </a:prstGeom>
                      <a:gradFill flip="none" rotWithShape="1">
                        <a:gsLst>
                          <a:gs pos="0">
                            <a:schemeClr val="accent6">
                              <a:lumMod val="60000"/>
                              <a:lumOff val="40000"/>
                              <a:tint val="66000"/>
                              <a:satMod val="160000"/>
                            </a:schemeClr>
                          </a:gs>
                          <a:gs pos="50000">
                            <a:schemeClr val="accent6">
                              <a:lumMod val="60000"/>
                              <a:lumOff val="40000"/>
                              <a:tint val="44500"/>
                              <a:satMod val="160000"/>
                            </a:schemeClr>
                          </a:gs>
                          <a:gs pos="100000">
                            <a:schemeClr val="accent6">
                              <a:lumMod val="60000"/>
                              <a:lumOff val="40000"/>
                              <a:tint val="23500"/>
                              <a:satMod val="160000"/>
                            </a:schemeClr>
                          </a:gs>
                        </a:gsLst>
                        <a:lin ang="2700000" scaled="1"/>
                        <a:tileRect/>
                      </a:gradFill>
                      <a:ln>
                        <a:solidFill>
                          <a:schemeClr val="accent6">
                            <a:lumMod val="75000"/>
                          </a:schemeClr>
                        </a:solidFill>
                      </a:ln>
                    </a:spPr>
                    <a:txSp>
                      <a:txBody>
                        <a:bodyPr wrap="square" rtlCol="0">
                          <a:spAutoFit/>
                        </a:bodyPr>
                        <a:lstStyle>
                          <a:defPPr>
                            <a:defRPr lang="zh-TW"/>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zh-TW" altLang="en-US" sz="2000" dirty="0" smtClean="0">
                              <a:latin typeface="+mj-lt"/>
                              <a:ea typeface="標楷體" pitchFamily="65" charset="-120"/>
                              <a:cs typeface="Times New Roman" pitchFamily="18" charset="0"/>
                            </a:rPr>
                            <a:t>輔助服務成本 </a:t>
                          </a:r>
                          <a:endParaRPr lang="en-US" altLang="zh-TW" sz="2000" dirty="0" smtClean="0">
                            <a:latin typeface="+mj-lt"/>
                            <a:ea typeface="標楷體" pitchFamily="65" charset="-12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sp>
                    <a:nvSpPr>
                      <a:cNvPr id="36" name="文字方塊 35"/>
                      <a:cNvSpPr txBox="1"/>
                    </a:nvSpPr>
                    <a:spPr>
                      <a:xfrm>
                        <a:off x="381000" y="1840771"/>
                        <a:ext cx="3877985" cy="523220"/>
                      </a:xfrm>
                      <a:prstGeom prst="rect">
                        <a:avLst/>
                      </a:prstGeom>
                      <a:noFill/>
                    </a:spPr>
                    <a:txSp>
                      <a:txBody>
                        <a:bodyPr wrap="none" rtlCol="0">
                          <a:spAutoFit/>
                        </a:bodyPr>
                        <a:lstStyle>
                          <a:defPPr>
                            <a:defRPr lang="zh-TW"/>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457200" indent="-457200">
                            <a:buFont typeface="Arial" pitchFamily="34" charset="0"/>
                            <a:buChar char="•"/>
                          </a:pPr>
                          <a:r>
                            <a:rPr lang="zh-TW" altLang="en-US" sz="2800" dirty="0" smtClean="0">
                              <a:latin typeface="+mj-lt"/>
                              <a:ea typeface="標楷體" pitchFamily="65" charset="-120"/>
                              <a:cs typeface="Times New Roman" pitchFamily="18" charset="0"/>
                            </a:rPr>
                            <a:t>台灣核能電廠</a:t>
                          </a:r>
                          <a:r>
                            <a:rPr lang="zh-TW" altLang="en-US" sz="2800" b="1" dirty="0" smtClean="0">
                              <a:solidFill>
                                <a:srgbClr val="FF0000"/>
                              </a:solidFill>
                              <a:latin typeface="+mj-lt"/>
                              <a:ea typeface="標楷體" pitchFamily="65" charset="-120"/>
                              <a:cs typeface="Times New Roman" pitchFamily="18" charset="0"/>
                            </a:rPr>
                            <a:t>假</a:t>
                          </a:r>
                          <a:r>
                            <a:rPr lang="zh-TW" altLang="en-US" sz="2800" dirty="0" smtClean="0">
                              <a:latin typeface="+mj-lt"/>
                              <a:ea typeface="標楷體" pitchFamily="65" charset="-120"/>
                              <a:cs typeface="Times New Roman" pitchFamily="18" charset="0"/>
                            </a:rPr>
                            <a:t>成本</a:t>
                          </a:r>
                          <a:endParaRPr lang="zh-TW" altLang="en-US" sz="2800" dirty="0">
                            <a:latin typeface="+mj-lt"/>
                            <a:ea typeface="標楷體" pitchFamily="65" charset="-120"/>
                            <a:cs typeface="Times New Roman" pitchFamily="18" charset="0"/>
                          </a:endParaRPr>
                        </a:p>
                      </a:txBody>
                      <a:useSpRect/>
                    </a:txSp>
                  </a:sp>
                  <a:sp>
                    <a:nvSpPr>
                      <a:cNvPr id="37" name="文字方塊 36"/>
                      <a:cNvSpPr txBox="1"/>
                    </a:nvSpPr>
                    <a:spPr>
                      <a:xfrm>
                        <a:off x="4786658" y="1845665"/>
                        <a:ext cx="3877985" cy="523220"/>
                      </a:xfrm>
                      <a:prstGeom prst="rect">
                        <a:avLst/>
                      </a:prstGeom>
                      <a:noFill/>
                    </a:spPr>
                    <a:txSp>
                      <a:txBody>
                        <a:bodyPr wrap="none" rtlCol="0">
                          <a:spAutoFit/>
                        </a:bodyPr>
                        <a:lstStyle>
                          <a:defPPr>
                            <a:defRPr lang="zh-TW"/>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457200" indent="-457200">
                            <a:buFont typeface="Arial" pitchFamily="34" charset="0"/>
                            <a:buChar char="•"/>
                          </a:pPr>
                          <a:r>
                            <a:rPr lang="zh-TW" altLang="en-US" sz="2800" dirty="0" smtClean="0">
                              <a:latin typeface="+mj-lt"/>
                              <a:ea typeface="標楷體" pitchFamily="65" charset="-120"/>
                              <a:cs typeface="Times New Roman" pitchFamily="18" charset="0"/>
                            </a:rPr>
                            <a:t>台灣核能電廠</a:t>
                          </a:r>
                          <a:r>
                            <a:rPr lang="zh-TW" altLang="en-US" sz="2800" b="1" dirty="0" smtClean="0">
                              <a:solidFill>
                                <a:srgbClr val="FF0000"/>
                              </a:solidFill>
                              <a:latin typeface="+mj-lt"/>
                              <a:ea typeface="標楷體" pitchFamily="65" charset="-120"/>
                              <a:cs typeface="Times New Roman" pitchFamily="18" charset="0"/>
                            </a:rPr>
                            <a:t>真</a:t>
                          </a:r>
                          <a:r>
                            <a:rPr lang="zh-TW" altLang="en-US" sz="2800" dirty="0" smtClean="0">
                              <a:latin typeface="+mj-lt"/>
                              <a:ea typeface="標楷體" pitchFamily="65" charset="-120"/>
                              <a:cs typeface="Times New Roman" pitchFamily="18" charset="0"/>
                            </a:rPr>
                            <a:t>成本</a:t>
                          </a:r>
                          <a:endParaRPr lang="zh-TW" altLang="en-US" sz="2800" dirty="0">
                            <a:latin typeface="+mj-lt"/>
                            <a:ea typeface="標楷體" pitchFamily="65" charset="-120"/>
                            <a:cs typeface="Times New Roman" pitchFamily="18" charset="0"/>
                          </a:endParaRPr>
                        </a:p>
                      </a:txBody>
                      <a:useSpRect/>
                    </a:txSp>
                  </a:sp>
                  <a:cxnSp>
                    <a:nvCxnSpPr>
                      <a:cNvPr id="17" name="Straight Connector 16"/>
                      <a:cNvCxnSpPr/>
                    </a:nvCxnSpPr>
                    <a:spPr>
                      <a:xfrm>
                        <a:off x="1069254" y="5267356"/>
                        <a:ext cx="295497" cy="0"/>
                      </a:xfrm>
                      <a:prstGeom prst="line">
                        <a:avLst/>
                      </a:prstGeom>
                      <a:ln w="19050">
                        <a:solidFill>
                          <a:srgbClr val="FF5050"/>
                        </a:solidFill>
                        <a:prstDash val="dash"/>
                      </a:ln>
                    </a:spPr>
                    <a:style>
                      <a:lnRef idx="1">
                        <a:schemeClr val="dk1"/>
                      </a:lnRef>
                      <a:fillRef idx="0">
                        <a:schemeClr val="dk1"/>
                      </a:fillRef>
                      <a:effectRef idx="0">
                        <a:schemeClr val="dk1"/>
                      </a:effectRef>
                      <a:fontRef idx="minor">
                        <a:schemeClr val="tx1"/>
                      </a:fontRef>
                    </a:style>
                  </a:cxnSp>
                  <a:cxnSp>
                    <a:nvCxnSpPr>
                      <a:cNvPr id="18" name="Straight Connector 28"/>
                      <a:cNvCxnSpPr/>
                    </a:nvCxnSpPr>
                    <a:spPr>
                      <a:xfrm>
                        <a:off x="1058411" y="6223467"/>
                        <a:ext cx="305022" cy="0"/>
                      </a:xfrm>
                      <a:prstGeom prst="line">
                        <a:avLst/>
                      </a:prstGeom>
                      <a:ln w="19050">
                        <a:solidFill>
                          <a:srgbClr val="FF5050"/>
                        </a:solidFill>
                        <a:prstDash val="dash"/>
                      </a:ln>
                    </a:spPr>
                    <a:style>
                      <a:lnRef idx="1">
                        <a:schemeClr val="dk1"/>
                      </a:lnRef>
                      <a:fillRef idx="0">
                        <a:schemeClr val="dk1"/>
                      </a:fillRef>
                      <a:effectRef idx="0">
                        <a:schemeClr val="dk1"/>
                      </a:effectRef>
                      <a:fontRef idx="minor">
                        <a:schemeClr val="tx1"/>
                      </a:fontRef>
                    </a:style>
                  </a:cxnSp>
                  <a:cxnSp>
                    <a:nvCxnSpPr>
                      <a:cNvPr id="20" name="直線單箭頭接點 32"/>
                      <a:cNvCxnSpPr/>
                    </a:nvCxnSpPr>
                    <a:spPr>
                      <a:xfrm>
                        <a:off x="1189634" y="5257800"/>
                        <a:ext cx="0" cy="974756"/>
                      </a:xfrm>
                      <a:prstGeom prst="straightConnector1">
                        <a:avLst/>
                      </a:prstGeom>
                      <a:ln w="19050">
                        <a:solidFill>
                          <a:srgbClr val="FF5050"/>
                        </a:solidFill>
                        <a:headEnd type="arrow"/>
                        <a:tailEnd type="arrow"/>
                      </a:ln>
                    </a:spPr>
                    <a:style>
                      <a:lnRef idx="1">
                        <a:schemeClr val="dk1"/>
                      </a:lnRef>
                      <a:fillRef idx="0">
                        <a:schemeClr val="dk1"/>
                      </a:fillRef>
                      <a:effectRef idx="0">
                        <a:schemeClr val="dk1"/>
                      </a:effectRef>
                      <a:fontRef idx="minor">
                        <a:schemeClr val="tx1"/>
                      </a:fontRef>
                    </a:style>
                  </a:cxnSp>
                  <a:sp>
                    <a:nvSpPr>
                      <a:cNvPr id="24" name="文字方塊 38"/>
                      <a:cNvSpPr txBox="1"/>
                    </a:nvSpPr>
                    <a:spPr>
                      <a:xfrm>
                        <a:off x="457200" y="5232737"/>
                        <a:ext cx="467322" cy="1015663"/>
                      </a:xfrm>
                      <a:prstGeom prst="rect">
                        <a:avLst/>
                      </a:prstGeom>
                      <a:gradFill flip="none" rotWithShape="1">
                        <a:gsLst>
                          <a:gs pos="0">
                            <a:srgbClr val="FF5050">
                              <a:tint val="66000"/>
                              <a:satMod val="160000"/>
                            </a:srgbClr>
                          </a:gs>
                          <a:gs pos="50000">
                            <a:srgbClr val="FF5050">
                              <a:tint val="44500"/>
                              <a:satMod val="160000"/>
                            </a:srgbClr>
                          </a:gs>
                          <a:gs pos="100000">
                            <a:srgbClr val="FF5050">
                              <a:tint val="23500"/>
                              <a:satMod val="160000"/>
                            </a:srgbClr>
                          </a:gs>
                        </a:gsLst>
                        <a:lin ang="2700000" scaled="1"/>
                        <a:tileRect/>
                      </a:gradFill>
                      <a:ln>
                        <a:solidFill>
                          <a:srgbClr val="FF5050"/>
                        </a:solidFill>
                      </a:ln>
                      <a:effectLst>
                        <a:outerShdw blurRad="50800" dist="38100" dir="2700000" algn="tl" rotWithShape="0">
                          <a:prstClr val="black">
                            <a:alpha val="40000"/>
                          </a:prstClr>
                        </a:outerShdw>
                      </a:effectLst>
                    </a:spPr>
                    <a:txSp>
                      <a:txBody>
                        <a:bodyPr wrap="square" rtlCol="0">
                          <a:spAutoFit/>
                        </a:bodyPr>
                        <a:lstStyle>
                          <a:defPPr>
                            <a:defRPr lang="zh-TW"/>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TW" altLang="en-US" sz="2000" dirty="0" smtClean="0">
                              <a:latin typeface="+mj-lt"/>
                              <a:ea typeface="標楷體" pitchFamily="65" charset="-120"/>
                              <a:cs typeface="Times New Roman" pitchFamily="18" charset="0"/>
                            </a:rPr>
                            <a:t>假電價</a:t>
                          </a:r>
                          <a:endParaRPr lang="zh-TW" altLang="en-US" sz="2000" dirty="0">
                            <a:latin typeface="+mj-lt"/>
                            <a:ea typeface="標楷體" pitchFamily="65" charset="-120"/>
                            <a:cs typeface="Times New Roman" pitchFamily="18" charset="0"/>
                          </a:endParaRPr>
                        </a:p>
                      </a:txBody>
                      <a:useSpRect/>
                    </a:txSp>
                  </a:sp>
                  <a:sp>
                    <a:nvSpPr>
                      <a:cNvPr id="32" name="文字方塊 24"/>
                      <a:cNvSpPr txBox="1"/>
                    </a:nvSpPr>
                    <a:spPr>
                      <a:xfrm>
                        <a:off x="6876749" y="3844388"/>
                        <a:ext cx="1752600" cy="400110"/>
                      </a:xfrm>
                      <a:prstGeom prst="rect">
                        <a:avLst/>
                      </a:prstGeom>
                      <a:gradFill flip="none" rotWithShape="1">
                        <a:gsLst>
                          <a:gs pos="0">
                            <a:schemeClr val="accent3">
                              <a:lumMod val="60000"/>
                              <a:lumOff val="40000"/>
                              <a:tint val="66000"/>
                              <a:satMod val="160000"/>
                            </a:schemeClr>
                          </a:gs>
                          <a:gs pos="50000">
                            <a:schemeClr val="accent3">
                              <a:lumMod val="60000"/>
                              <a:lumOff val="40000"/>
                              <a:tint val="44500"/>
                              <a:satMod val="160000"/>
                            </a:schemeClr>
                          </a:gs>
                          <a:gs pos="100000">
                            <a:schemeClr val="accent3">
                              <a:lumMod val="60000"/>
                              <a:lumOff val="40000"/>
                              <a:tint val="23500"/>
                              <a:satMod val="160000"/>
                            </a:schemeClr>
                          </a:gs>
                        </a:gsLst>
                        <a:lin ang="2700000" scaled="1"/>
                        <a:tileRect/>
                      </a:gradFill>
                      <a:ln>
                        <a:solidFill>
                          <a:schemeClr val="accent3">
                            <a:lumMod val="75000"/>
                          </a:schemeClr>
                        </a:solidFill>
                      </a:ln>
                    </a:spPr>
                    <a:txSp>
                      <a:txBody>
                        <a:bodyPr wrap="square" rtlCol="0">
                          <a:spAutoFit/>
                        </a:bodyPr>
                        <a:lstStyle>
                          <a:defPPr>
                            <a:defRPr lang="zh-TW"/>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zh-TW" altLang="en-US" sz="2000" dirty="0" smtClean="0">
                              <a:latin typeface="+mj-lt"/>
                              <a:ea typeface="標楷體" pitchFamily="65" charset="-120"/>
                              <a:cs typeface="Times New Roman" pitchFamily="18" charset="0"/>
                            </a:rPr>
                            <a:t>輸配電成本</a:t>
                          </a:r>
                          <a:endParaRPr lang="en-US" altLang="zh-TW" sz="2000" dirty="0" smtClean="0">
                            <a:latin typeface="+mj-lt"/>
                            <a:ea typeface="標楷體" pitchFamily="65" charset="-12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sp>
                    <a:nvSpPr>
                      <a:cNvPr id="4" name="TextBox 3"/>
                      <a:cNvSpPr txBox="1"/>
                    </a:nvSpPr>
                    <a:spPr>
                      <a:xfrm>
                        <a:off x="6039478" y="2844114"/>
                        <a:ext cx="242374" cy="1200329"/>
                      </a:xfrm>
                      <a:prstGeom prst="rect">
                        <a:avLst/>
                      </a:prstGeom>
                      <a:noFill/>
                    </a:spPr>
                    <a:txSp>
                      <a:txBody>
                        <a:bodyPr wrap="none" rtlCol="0">
                          <a:spAutoFit/>
                        </a:bodyPr>
                        <a:lstStyle>
                          <a:defPPr>
                            <a:defRPr lang="zh-TW"/>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TW" dirty="0" smtClean="0"/>
                            <a:t>.</a:t>
                          </a:r>
                        </a:p>
                        <a:p>
                          <a:r>
                            <a:rPr lang="en-US" altLang="zh-TW" dirty="0" smtClean="0"/>
                            <a:t>.</a:t>
                          </a:r>
                        </a:p>
                        <a:p>
                          <a:r>
                            <a:rPr lang="en-US" altLang="zh-TW" dirty="0" smtClean="0"/>
                            <a:t>.</a:t>
                          </a:r>
                        </a:p>
                        <a:p>
                          <a:r>
                            <a:rPr lang="en-US" altLang="zh-TW" dirty="0"/>
                            <a:t>.</a:t>
                          </a:r>
                          <a:endParaRPr lang="en-US" dirty="0"/>
                        </a:p>
                      </a:txBody>
                      <a:useSpRect/>
                    </a:txSp>
                  </a:sp>
                  <a:sp>
                    <a:nvSpPr>
                      <a:cNvPr id="25" name="圓柱 22"/>
                      <a:cNvSpPr/>
                    </a:nvSpPr>
                    <a:spPr>
                      <a:xfrm>
                        <a:off x="5677272" y="2483141"/>
                        <a:ext cx="990600" cy="786828"/>
                      </a:xfrm>
                      <a:prstGeom prst="can">
                        <a:avLst/>
                      </a:prstGeom>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2700000" scaled="1"/>
                        <a:tileRect/>
                      </a:gradFill>
                      <a:ln>
                        <a:solidFill>
                          <a:srgbClr val="FFCC00"/>
                        </a:solidFill>
                      </a:ln>
                      <a:effectLst>
                        <a:outerShdw blurRad="50800" dist="38100" dir="2700000" algn="tl" rotWithShape="0">
                          <a:prstClr val="black">
                            <a:alpha val="40000"/>
                          </a:prstClr>
                        </a:outerShdw>
                      </a:effectLst>
                    </a:spPr>
                    <a:txSp>
                      <a:txBody>
                        <a:bodyPr rtlCol="0" anchor="ctr"/>
                        <a:lstStyle>
                          <a:defPPr>
                            <a:defRPr lang="zh-TW"/>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TW" altLang="en-US">
                            <a:latin typeface="+mj-lt"/>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文字方塊 24"/>
                      <a:cNvSpPr txBox="1"/>
                    </a:nvSpPr>
                    <a:spPr>
                      <a:xfrm>
                        <a:off x="6876748" y="2676500"/>
                        <a:ext cx="1962452" cy="400110"/>
                      </a:xfrm>
                      <a:prstGeom prst="rect">
                        <a:avLst/>
                      </a:prstGeom>
                      <a:gradFill flip="none" rotWithShape="1">
                        <a:gsLst>
                          <a:gs pos="0">
                            <a:srgbClr val="FFFF66">
                              <a:tint val="66000"/>
                              <a:satMod val="160000"/>
                            </a:srgbClr>
                          </a:gs>
                          <a:gs pos="50000">
                            <a:srgbClr val="FFFF66">
                              <a:tint val="44500"/>
                              <a:satMod val="160000"/>
                            </a:srgbClr>
                          </a:gs>
                          <a:gs pos="100000">
                            <a:srgbClr val="FFFF66">
                              <a:tint val="23500"/>
                              <a:satMod val="160000"/>
                            </a:srgbClr>
                          </a:gs>
                        </a:gsLst>
                        <a:lin ang="5400000" scaled="1"/>
                        <a:tileRect/>
                      </a:gradFill>
                      <a:ln>
                        <a:solidFill>
                          <a:srgbClr val="FFCC00"/>
                        </a:solidFill>
                      </a:ln>
                    </a:spPr>
                    <a:txSp>
                      <a:txBody>
                        <a:bodyPr wrap="square" rtlCol="0">
                          <a:spAutoFit/>
                        </a:bodyPr>
                        <a:lstStyle>
                          <a:defPPr>
                            <a:defRPr lang="zh-TW"/>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zh-TW" altLang="en-US" sz="2000" dirty="0" smtClean="0">
                              <a:latin typeface="+mj-lt"/>
                              <a:ea typeface="標楷體" pitchFamily="65" charset="-120"/>
                              <a:cs typeface="Times New Roman" pitchFamily="18" charset="0"/>
                            </a:rPr>
                            <a:t>廢場與廢料成本</a:t>
                          </a:r>
                          <a:endParaRPr lang="en-US" altLang="zh-TW" sz="2000" dirty="0" smtClean="0">
                            <a:latin typeface="+mj-lt"/>
                            <a:ea typeface="標楷體" pitchFamily="65" charset="-12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cxnSp>
                    <a:nvCxnSpPr>
                      <a:cNvPr id="34" name="Straight Connector 33"/>
                      <a:cNvCxnSpPr/>
                    </a:nvCxnSpPr>
                    <a:spPr>
                      <a:xfrm flipV="1">
                        <a:off x="5300663" y="2575560"/>
                        <a:ext cx="360997" cy="953"/>
                      </a:xfrm>
                      <a:prstGeom prst="line">
                        <a:avLst/>
                      </a:prstGeom>
                      <a:ln w="19050">
                        <a:solidFill>
                          <a:srgbClr val="FF5050"/>
                        </a:solidFill>
                        <a:prstDash val="dash"/>
                      </a:ln>
                    </a:spPr>
                    <a:style>
                      <a:lnRef idx="1">
                        <a:schemeClr val="dk1"/>
                      </a:lnRef>
                      <a:fillRef idx="0">
                        <a:schemeClr val="dk1"/>
                      </a:fillRef>
                      <a:effectRef idx="0">
                        <a:schemeClr val="dk1"/>
                      </a:effectRef>
                      <a:fontRef idx="minor">
                        <a:schemeClr val="tx1"/>
                      </a:fontRef>
                    </a:style>
                  </a:cxnSp>
                  <a:cxnSp>
                    <a:nvCxnSpPr>
                      <a:cNvPr id="35" name="Straight Connector 28"/>
                      <a:cNvCxnSpPr/>
                    </a:nvCxnSpPr>
                    <a:spPr>
                      <a:xfrm flipV="1">
                        <a:off x="5288934" y="6217920"/>
                        <a:ext cx="342246" cy="5546"/>
                      </a:xfrm>
                      <a:prstGeom prst="line">
                        <a:avLst/>
                      </a:prstGeom>
                      <a:ln w="19050">
                        <a:solidFill>
                          <a:srgbClr val="FF5050"/>
                        </a:solidFill>
                        <a:prstDash val="dash"/>
                      </a:ln>
                    </a:spPr>
                    <a:style>
                      <a:lnRef idx="1">
                        <a:schemeClr val="dk1"/>
                      </a:lnRef>
                      <a:fillRef idx="0">
                        <a:schemeClr val="dk1"/>
                      </a:fillRef>
                      <a:effectRef idx="0">
                        <a:schemeClr val="dk1"/>
                      </a:effectRef>
                      <a:fontRef idx="minor">
                        <a:schemeClr val="tx1"/>
                      </a:fontRef>
                    </a:style>
                  </a:cxnSp>
                  <a:cxnSp>
                    <a:nvCxnSpPr>
                      <a:cNvPr id="38" name="直線單箭頭接點 32"/>
                      <a:cNvCxnSpPr/>
                    </a:nvCxnSpPr>
                    <a:spPr>
                      <a:xfrm>
                        <a:off x="5486400" y="2575560"/>
                        <a:ext cx="0" cy="3642360"/>
                      </a:xfrm>
                      <a:prstGeom prst="straightConnector1">
                        <a:avLst/>
                      </a:prstGeom>
                      <a:ln w="19050">
                        <a:solidFill>
                          <a:srgbClr val="FF5050"/>
                        </a:solidFill>
                        <a:headEnd type="arrow"/>
                        <a:tailEnd type="arrow"/>
                      </a:ln>
                    </a:spPr>
                    <a:style>
                      <a:lnRef idx="1">
                        <a:schemeClr val="dk1"/>
                      </a:lnRef>
                      <a:fillRef idx="0">
                        <a:schemeClr val="dk1"/>
                      </a:fillRef>
                      <a:effectRef idx="0">
                        <a:schemeClr val="dk1"/>
                      </a:effectRef>
                      <a:fontRef idx="minor">
                        <a:schemeClr val="tx1"/>
                      </a:fontRef>
                    </a:style>
                  </a:cxnSp>
                  <a:sp>
                    <a:nvSpPr>
                      <a:cNvPr id="39" name="文字方塊 38"/>
                      <a:cNvSpPr txBox="1"/>
                    </a:nvSpPr>
                    <a:spPr>
                      <a:xfrm>
                        <a:off x="4832455" y="3903845"/>
                        <a:ext cx="467322" cy="1015663"/>
                      </a:xfrm>
                      <a:prstGeom prst="rect">
                        <a:avLst/>
                      </a:prstGeom>
                      <a:gradFill flip="none" rotWithShape="1">
                        <a:gsLst>
                          <a:gs pos="0">
                            <a:srgbClr val="FF5050">
                              <a:tint val="66000"/>
                              <a:satMod val="160000"/>
                            </a:srgbClr>
                          </a:gs>
                          <a:gs pos="50000">
                            <a:srgbClr val="FF5050">
                              <a:tint val="44500"/>
                              <a:satMod val="160000"/>
                            </a:srgbClr>
                          </a:gs>
                          <a:gs pos="100000">
                            <a:srgbClr val="FF5050">
                              <a:tint val="23500"/>
                              <a:satMod val="160000"/>
                            </a:srgbClr>
                          </a:gs>
                        </a:gsLst>
                        <a:lin ang="2700000" scaled="1"/>
                        <a:tileRect/>
                      </a:gradFill>
                      <a:ln>
                        <a:solidFill>
                          <a:srgbClr val="FF5050"/>
                        </a:solidFill>
                      </a:ln>
                      <a:effectLst>
                        <a:outerShdw blurRad="50800" dist="38100" dir="2700000" algn="tl" rotWithShape="0">
                          <a:prstClr val="black">
                            <a:alpha val="40000"/>
                          </a:prstClr>
                        </a:outerShdw>
                      </a:effectLst>
                    </a:spPr>
                    <a:txSp>
                      <a:txBody>
                        <a:bodyPr wrap="square" rtlCol="0">
                          <a:spAutoFit/>
                        </a:bodyPr>
                        <a:lstStyle>
                          <a:defPPr>
                            <a:defRPr lang="zh-TW"/>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TW" altLang="en-US" sz="2000" dirty="0" smtClean="0">
                              <a:latin typeface="+mj-lt"/>
                              <a:ea typeface="標楷體" pitchFamily="65" charset="-120"/>
                              <a:cs typeface="Times New Roman" pitchFamily="18" charset="0"/>
                            </a:rPr>
                            <a:t>真電價</a:t>
                          </a:r>
                          <a:endParaRPr lang="zh-TW" altLang="en-US" sz="2000" dirty="0">
                            <a:latin typeface="+mj-lt"/>
                            <a:ea typeface="標楷體" pitchFamily="65" charset="-120"/>
                            <a:cs typeface="Times New Roman" pitchFamily="18" charset="0"/>
                          </a:endParaRPr>
                        </a:p>
                      </a:txBody>
                      <a:useSpRect/>
                    </a:txSp>
                  </a:sp>
                  <a:cxnSp>
                    <a:nvCxnSpPr>
                      <a:cNvPr id="40" name="Straight Connector 39"/>
                      <a:cNvCxnSpPr/>
                    </a:nvCxnSpPr>
                    <a:spPr>
                      <a:xfrm>
                        <a:off x="2383377" y="5257800"/>
                        <a:ext cx="295497" cy="0"/>
                      </a:xfrm>
                      <a:prstGeom prst="line">
                        <a:avLst/>
                      </a:prstGeom>
                      <a:ln w="19050">
                        <a:solidFill>
                          <a:srgbClr val="FF5050"/>
                        </a:solidFill>
                        <a:prstDash val="dash"/>
                      </a:ln>
                    </a:spPr>
                    <a:style>
                      <a:lnRef idx="1">
                        <a:schemeClr val="dk1"/>
                      </a:lnRef>
                      <a:fillRef idx="0">
                        <a:schemeClr val="dk1"/>
                      </a:fillRef>
                      <a:effectRef idx="0">
                        <a:schemeClr val="dk1"/>
                      </a:effectRef>
                      <a:fontRef idx="minor">
                        <a:schemeClr val="tx1"/>
                      </a:fontRef>
                    </a:style>
                  </a:cxnSp>
                  <a:cxnSp>
                    <a:nvCxnSpPr>
                      <a:cNvPr id="41" name="Straight Connector 28"/>
                      <a:cNvCxnSpPr/>
                    </a:nvCxnSpPr>
                    <a:spPr>
                      <a:xfrm>
                        <a:off x="2385758" y="5731669"/>
                        <a:ext cx="305022" cy="0"/>
                      </a:xfrm>
                      <a:prstGeom prst="line">
                        <a:avLst/>
                      </a:prstGeom>
                      <a:ln w="19050">
                        <a:solidFill>
                          <a:srgbClr val="FF5050"/>
                        </a:solidFill>
                        <a:prstDash val="dash"/>
                      </a:ln>
                    </a:spPr>
                    <a:style>
                      <a:lnRef idx="1">
                        <a:schemeClr val="dk1"/>
                      </a:lnRef>
                      <a:fillRef idx="0">
                        <a:schemeClr val="dk1"/>
                      </a:fillRef>
                      <a:effectRef idx="0">
                        <a:schemeClr val="dk1"/>
                      </a:effectRef>
                      <a:fontRef idx="minor">
                        <a:schemeClr val="tx1"/>
                      </a:fontRef>
                    </a:style>
                  </a:cxnSp>
                  <a:cxnSp>
                    <a:nvCxnSpPr>
                      <a:cNvPr id="42" name="直線單箭頭接點 32"/>
                      <a:cNvCxnSpPr/>
                    </a:nvCxnSpPr>
                    <a:spPr>
                      <a:xfrm>
                        <a:off x="2547144" y="5257800"/>
                        <a:ext cx="7937" cy="481013"/>
                      </a:xfrm>
                      <a:prstGeom prst="straightConnector1">
                        <a:avLst/>
                      </a:prstGeom>
                      <a:ln w="19050">
                        <a:solidFill>
                          <a:srgbClr val="FF5050"/>
                        </a:solidFill>
                        <a:headEnd type="arrow"/>
                        <a:tailEnd type="arrow"/>
                      </a:ln>
                    </a:spPr>
                    <a:style>
                      <a:lnRef idx="1">
                        <a:schemeClr val="dk1"/>
                      </a:lnRef>
                      <a:fillRef idx="0">
                        <a:schemeClr val="dk1"/>
                      </a:fillRef>
                      <a:effectRef idx="0">
                        <a:schemeClr val="dk1"/>
                      </a:effectRef>
                      <a:fontRef idx="minor">
                        <a:schemeClr val="tx1"/>
                      </a:fontRef>
                    </a:style>
                  </a:cxnSp>
                  <a:sp>
                    <a:nvSpPr>
                      <a:cNvPr id="9" name="TextBox 8"/>
                      <a:cNvSpPr txBox="1"/>
                    </a:nvSpPr>
                    <a:spPr>
                      <a:xfrm>
                        <a:off x="2319992" y="3815946"/>
                        <a:ext cx="1620957" cy="523220"/>
                      </a:xfrm>
                      <a:prstGeom prst="rect">
                        <a:avLst/>
                      </a:prstGeom>
                      <a:noFill/>
                    </a:spPr>
                    <a:txSp>
                      <a:txBody>
                        <a:bodyPr wrap="none" rtlCol="0">
                          <a:spAutoFit/>
                        </a:bodyPr>
                        <a:lstStyle>
                          <a:defPPr>
                            <a:defRPr lang="zh-TW"/>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TW" altLang="en-US" sz="2800" dirty="0">
                              <a:latin typeface="+mj-lt"/>
                              <a:ea typeface="標楷體" pitchFamily="65" charset="-120"/>
                              <a:cs typeface="Times New Roman" pitchFamily="18" charset="0"/>
                            </a:rPr>
                            <a:t>假假成本</a:t>
                          </a:r>
                          <a:endParaRPr lang="en-US" sz="2800" dirty="0">
                            <a:latin typeface="+mj-lt"/>
                            <a:ea typeface="標楷體" pitchFamily="65" charset="-120"/>
                            <a:cs typeface="Times New Roman" pitchFamily="18" charset="0"/>
                          </a:endParaRPr>
                        </a:p>
                      </a:txBody>
                      <a:useSpRect/>
                    </a:txSp>
                  </a:sp>
                  <a:sp>
                    <a:nvSpPr>
                      <a:cNvPr id="45" name="圓柱 44"/>
                      <a:cNvSpPr/>
                    </a:nvSpPr>
                    <a:spPr>
                      <a:xfrm>
                        <a:off x="5675745" y="5688038"/>
                        <a:ext cx="990600" cy="602146"/>
                      </a:xfrm>
                      <a:prstGeom prst="can">
                        <a:avLst/>
                      </a:prstGeom>
                      <a:solidFill>
                        <a:srgbClr val="92D050"/>
                      </a:solidFill>
                      <a:ln>
                        <a:solidFill>
                          <a:schemeClr val="accent2">
                            <a:lumMod val="50000"/>
                          </a:schemeClr>
                        </a:solidFill>
                      </a:ln>
                      <a:effectLst>
                        <a:outerShdw blurRad="50800" dist="38100" dir="2700000" algn="tl" rotWithShape="0">
                          <a:prstClr val="black">
                            <a:alpha val="40000"/>
                          </a:prstClr>
                        </a:outerShdw>
                      </a:effectLst>
                    </a:spPr>
                    <a:txSp>
                      <a:txBody>
                        <a:bodyPr rtlCol="0" anchor="ctr"/>
                        <a:lstStyle>
                          <a:defPPr>
                            <a:defRPr lang="zh-TW"/>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TW" altLang="en-US">
                            <a:latin typeface="+mj-lt"/>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圓柱 45"/>
                      <a:cNvSpPr/>
                    </a:nvSpPr>
                    <a:spPr>
                      <a:xfrm>
                        <a:off x="5675745" y="5257259"/>
                        <a:ext cx="990600" cy="591569"/>
                      </a:xfrm>
                      <a:prstGeom prst="can">
                        <a:avLst/>
                      </a:prstGeom>
                      <a:solidFill>
                        <a:srgbClr val="FF9900"/>
                      </a:solidFill>
                      <a:ln>
                        <a:solidFill>
                          <a:srgbClr val="FF6600"/>
                        </a:solidFill>
                      </a:ln>
                      <a:effectLst>
                        <a:outerShdw blurRad="50800" dist="38100" dir="2700000" algn="tl" rotWithShape="0">
                          <a:prstClr val="black">
                            <a:alpha val="40000"/>
                          </a:prstClr>
                        </a:outerShdw>
                      </a:effectLst>
                    </a:spPr>
                    <a:txSp>
                      <a:txBody>
                        <a:bodyPr rtlCol="0" anchor="ctr"/>
                        <a:lstStyle>
                          <a:defPPr>
                            <a:defRPr lang="zh-TW"/>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TW" altLang="en-US">
                            <a:latin typeface="+mj-lt"/>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8" name="文字方塊 47"/>
                      <a:cNvSpPr txBox="1"/>
                    </a:nvSpPr>
                    <a:spPr>
                      <a:xfrm>
                        <a:off x="7086600" y="5257800"/>
                        <a:ext cx="1305585" cy="400110"/>
                      </a:xfrm>
                      <a:prstGeom prst="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a:solidFill>
                          <a:srgbClr val="FF6600"/>
                        </a:solidFill>
                      </a:ln>
                    </a:spPr>
                    <a:txSp>
                      <a:txBody>
                        <a:bodyPr wrap="square" rtlCol="0">
                          <a:spAutoFit/>
                        </a:bodyPr>
                        <a:lstStyle>
                          <a:defPPr>
                            <a:defRPr lang="zh-TW"/>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zh-TW" altLang="en-US" sz="2000" dirty="0" smtClean="0">
                              <a:latin typeface="+mj-lt"/>
                              <a:ea typeface="標楷體" pitchFamily="65" charset="-120"/>
                              <a:cs typeface="Times New Roman" pitchFamily="18" charset="0"/>
                            </a:rPr>
                            <a:t>燃料成本</a:t>
                          </a:r>
                          <a:endParaRPr lang="zh-TW" altLang="en-US" sz="2000" dirty="0">
                            <a:latin typeface="+mj-lt"/>
                            <a:ea typeface="標楷體" pitchFamily="65" charset="-12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sp>
                    <a:nvSpPr>
                      <a:cNvPr id="49" name="文字方塊 48"/>
                      <a:cNvSpPr txBox="1"/>
                    </a:nvSpPr>
                    <a:spPr>
                      <a:xfrm>
                        <a:off x="7086600" y="5829718"/>
                        <a:ext cx="1305584" cy="400110"/>
                      </a:xfrm>
                      <a:prstGeom prst="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2700000" scaled="1"/>
                        <a:tileRect/>
                      </a:gradFill>
                      <a:ln>
                        <a:solidFill>
                          <a:srgbClr val="00B050"/>
                        </a:solidFill>
                      </a:ln>
                    </a:spPr>
                    <a:txSp>
                      <a:txBody>
                        <a:bodyPr wrap="square" rtlCol="0">
                          <a:spAutoFit/>
                        </a:bodyPr>
                        <a:lstStyle>
                          <a:defPPr>
                            <a:defRPr lang="zh-TW"/>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zh-TW" altLang="en-US" sz="2000" dirty="0">
                              <a:latin typeface="+mj-lt"/>
                              <a:ea typeface="標楷體" pitchFamily="65" charset="-120"/>
                              <a:cs typeface="Times New Roman" pitchFamily="18" charset="0"/>
                            </a:rPr>
                            <a:t>固定</a:t>
                          </a:r>
                          <a:r>
                            <a:rPr lang="zh-TW" altLang="en-US" sz="2000" dirty="0" smtClean="0">
                              <a:latin typeface="+mj-lt"/>
                              <a:ea typeface="標楷體" pitchFamily="65" charset="-120"/>
                              <a:cs typeface="Times New Roman" pitchFamily="18" charset="0"/>
                            </a:rPr>
                            <a:t>成本</a:t>
                          </a:r>
                          <a:endParaRPr lang="zh-TW" altLang="en-US" sz="2000" dirty="0">
                            <a:latin typeface="+mj-lt"/>
                            <a:ea typeface="標楷體" pitchFamily="65" charset="-12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sp>
                    <a:nvSpPr>
                      <a:cNvPr id="28" name="圓柱 27"/>
                      <a:cNvSpPr/>
                    </a:nvSpPr>
                    <a:spPr>
                      <a:xfrm>
                        <a:off x="5676900" y="4226730"/>
                        <a:ext cx="990600" cy="1221570"/>
                      </a:xfrm>
                      <a:prstGeom prst="can">
                        <a:avLst/>
                      </a:prstGeom>
                      <a:solidFill>
                        <a:schemeClr val="accent6">
                          <a:lumMod val="60000"/>
                          <a:lumOff val="40000"/>
                        </a:schemeClr>
                      </a:solidFill>
                      <a:ln>
                        <a:solidFill>
                          <a:schemeClr val="accent6">
                            <a:lumMod val="75000"/>
                          </a:schemeClr>
                        </a:solidFill>
                      </a:ln>
                      <a:effectLst>
                        <a:outerShdw blurRad="50800" dist="38100" dir="2700000" algn="tl" rotWithShape="0">
                          <a:prstClr val="black">
                            <a:alpha val="40000"/>
                          </a:prstClr>
                        </a:outerShdw>
                      </a:effectLst>
                    </a:spPr>
                    <a:txSp>
                      <a:txBody>
                        <a:bodyPr rtlCol="0" anchor="ctr"/>
                        <a:lstStyle>
                          <a:defPPr>
                            <a:defRPr lang="zh-TW"/>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TW" altLang="en-US">
                            <a:latin typeface="+mj-lt"/>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圓柱 17"/>
                      <a:cNvSpPr/>
                    </a:nvSpPr>
                    <a:spPr>
                      <a:xfrm>
                        <a:off x="5674890" y="3693343"/>
                        <a:ext cx="990600" cy="766739"/>
                      </a:xfrm>
                      <a:prstGeom prst="can">
                        <a:avLst/>
                      </a:prstGeom>
                      <a:solidFill>
                        <a:schemeClr val="accent3">
                          <a:lumMod val="60000"/>
                          <a:lumOff val="40000"/>
                        </a:schemeClr>
                      </a:solidFill>
                      <a:ln>
                        <a:solidFill>
                          <a:schemeClr val="accent3">
                            <a:lumMod val="50000"/>
                          </a:schemeClr>
                        </a:solidFill>
                      </a:ln>
                      <a:effectLst>
                        <a:outerShdw blurRad="50800" dist="38100" dir="2700000" algn="tl" rotWithShape="0">
                          <a:prstClr val="black">
                            <a:alpha val="40000"/>
                          </a:prstClr>
                        </a:outerShdw>
                      </a:effectLst>
                    </a:spPr>
                    <a:txSp>
                      <a:txBody>
                        <a:bodyPr rtlCol="0" anchor="ctr"/>
                        <a:lstStyle>
                          <a:defPPr>
                            <a:defRPr lang="zh-TW"/>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TW" altLang="en-US">
                            <a:latin typeface="+mj-lt"/>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A97AF9" w:rsidRPr="00703153" w:rsidRDefault="00013639" w:rsidP="007C0E27">
      <w:pPr>
        <w:pStyle w:val="4"/>
        <w:rPr>
          <w:rFonts w:hAnsi="標楷體"/>
          <w:kern w:val="0"/>
          <w:sz w:val="28"/>
          <w:szCs w:val="28"/>
        </w:rPr>
      </w:pPr>
      <w:r w:rsidRPr="00703153">
        <w:rPr>
          <w:rFonts w:hint="eastAsia"/>
        </w:rPr>
        <w:t>輔助服務成本是電廠追隨負載變化，不能在理想狀況下運轉所增加之費用</w:t>
      </w:r>
      <w:r w:rsidRPr="00703153">
        <w:t>(</w:t>
      </w:r>
      <w:r w:rsidRPr="00703153">
        <w:rPr>
          <w:rFonts w:hint="eastAsia"/>
        </w:rPr>
        <w:t>停機、關機、備轉容量、無效電力調整等等之費用</w:t>
      </w:r>
      <w:r w:rsidRPr="00703153">
        <w:t>)</w:t>
      </w:r>
      <w:r w:rsidRPr="00703153">
        <w:rPr>
          <w:rFonts w:hint="eastAsia"/>
        </w:rPr>
        <w:t>。</w:t>
      </w:r>
      <w:r w:rsidR="00C67A85" w:rsidRPr="00703153">
        <w:rPr>
          <w:rFonts w:hint="eastAsia"/>
        </w:rPr>
        <w:t>台電</w:t>
      </w:r>
      <w:r w:rsidR="00B152A8" w:rsidRPr="00703153">
        <w:rPr>
          <w:rFonts w:hint="eastAsia"/>
        </w:rPr>
        <w:t>公司</w:t>
      </w:r>
      <w:r w:rsidR="00C67A85" w:rsidRPr="00703153">
        <w:rPr>
          <w:rFonts w:hint="eastAsia"/>
        </w:rPr>
        <w:t>把所</w:t>
      </w:r>
      <w:r w:rsidR="00C67A85" w:rsidRPr="00703153">
        <w:rPr>
          <w:rFonts w:hint="eastAsia"/>
        </w:rPr>
        <w:lastRenderedPageBreak/>
        <w:t>有電廠輔助服務成本完全由火力、水力負擔，核能電廠完全不負擔</w:t>
      </w:r>
      <w:r w:rsidRPr="00703153">
        <w:rPr>
          <w:rFonts w:hint="eastAsia"/>
        </w:rPr>
        <w:t>，</w:t>
      </w:r>
      <w:r w:rsidR="00C67A85" w:rsidRPr="00703153">
        <w:rPr>
          <w:rFonts w:hint="eastAsia"/>
        </w:rPr>
        <w:t>才會算出「核電便宜」的謊言。</w:t>
      </w:r>
      <w:r w:rsidR="00A97AF9" w:rsidRPr="00703153">
        <w:rPr>
          <w:rFonts w:hint="eastAsia"/>
        </w:rPr>
        <w:t>台電公司刻意扭曲真實資訊誤導主管機關首長在低估的不實成本下作決策。</w:t>
      </w:r>
    </w:p>
    <w:p w:rsidR="009D0BAD" w:rsidRPr="00703153" w:rsidRDefault="007C0E27" w:rsidP="007C0E27">
      <w:pPr>
        <w:pStyle w:val="3"/>
      </w:pPr>
      <w:r w:rsidRPr="00703153">
        <w:rPr>
          <w:rFonts w:hint="eastAsia"/>
        </w:rPr>
        <w:t>復查</w:t>
      </w:r>
      <w:r w:rsidR="009D0BAD" w:rsidRPr="00703153">
        <w:rPr>
          <w:rFonts w:hint="eastAsia"/>
        </w:rPr>
        <w:t>台電公司</w:t>
      </w:r>
      <w:r w:rsidRPr="00703153">
        <w:rPr>
          <w:rFonts w:hint="eastAsia"/>
        </w:rPr>
        <w:t>對於前項陳謨星教授</w:t>
      </w:r>
      <w:r w:rsidR="00BE6D0B">
        <w:rPr>
          <w:rFonts w:hint="eastAsia"/>
        </w:rPr>
        <w:t>等</w:t>
      </w:r>
      <w:r w:rsidR="009D0BAD" w:rsidRPr="00703153">
        <w:rPr>
          <w:rFonts w:hint="eastAsia"/>
        </w:rPr>
        <w:t>之</w:t>
      </w:r>
      <w:r w:rsidRPr="00703153">
        <w:rPr>
          <w:rFonts w:hint="eastAsia"/>
        </w:rPr>
        <w:t>意見提出如下</w:t>
      </w:r>
      <w:r w:rsidR="009D0BAD" w:rsidRPr="00703153">
        <w:rPr>
          <w:rFonts w:hint="eastAsia"/>
        </w:rPr>
        <w:t>說明：</w:t>
      </w:r>
    </w:p>
    <w:p w:rsidR="00C67A85" w:rsidRPr="00A748B9" w:rsidRDefault="00C67A85" w:rsidP="004D7F07">
      <w:pPr>
        <w:pStyle w:val="4"/>
      </w:pPr>
      <w:r w:rsidRPr="00703153">
        <w:rPr>
          <w:rFonts w:hint="eastAsia"/>
        </w:rPr>
        <w:t>國內電力尚未自由化，</w:t>
      </w:r>
      <w:r w:rsidRPr="00A748B9">
        <w:rPr>
          <w:rFonts w:hint="eastAsia"/>
        </w:rPr>
        <w:t>目前仍以綜合電業型態運作；為配合系統負載變化特性，達成整體系統最佳經濟調度，需選擇合適機組分別擔任基載、中載及尖載運轉；而在此類電力系統運作中，備用容量機組係以整體電力系統最佳規劃觀點考量，並未將備用容量成本計入特定型態的發電機組</w:t>
      </w:r>
      <w:r>
        <w:rPr>
          <w:rFonts w:hint="eastAsia"/>
        </w:rPr>
        <w:t>。</w:t>
      </w:r>
    </w:p>
    <w:p w:rsidR="00C67A85" w:rsidRPr="00A748B9" w:rsidRDefault="00C67A85" w:rsidP="004D7F07">
      <w:pPr>
        <w:pStyle w:val="4"/>
      </w:pPr>
      <w:r w:rsidRPr="00A748B9">
        <w:rPr>
          <w:rFonts w:hint="eastAsia"/>
        </w:rPr>
        <w:t>至於國外某些電業自由化的市場設計，其電力市場操作者(或獨立電力調度中心</w:t>
      </w:r>
      <w:r>
        <w:rPr>
          <w:rFonts w:hint="eastAsia"/>
        </w:rPr>
        <w:t>)</w:t>
      </w:r>
      <w:r w:rsidRPr="00A748B9">
        <w:rPr>
          <w:rFonts w:hint="eastAsia"/>
        </w:rPr>
        <w:t>為確保其電力系統的安全運作，乃建立起電力「輔助服務」市場機制(如無效電力、電壓調整、頻率控制、不同類型的備轉電力容量等)，並透過此輔助市場向發電業購入備轉容量；而提供備轉容量之發電業者，則依據該電力市場設計下之交易機制獲取特定備用電力收入。至於機組已滿載發電的發電業者，如未保留部份發電容量增加出力而無法出售備用電力，則沒有備轉容量之電能收入。在此種電力市場設計下，電力市場操作者向發電業購入各種備轉容量所支付的費用最終仍轉嫁給所有的用戶，並非由擔任基載的機組來承擔。</w:t>
      </w:r>
    </w:p>
    <w:p w:rsidR="00C67A85" w:rsidRPr="002E36DC" w:rsidRDefault="00C67A85" w:rsidP="004D7F07">
      <w:pPr>
        <w:pStyle w:val="4"/>
      </w:pPr>
      <w:r w:rsidRPr="00CA1630">
        <w:rPr>
          <w:rFonts w:hint="eastAsia"/>
        </w:rPr>
        <w:t>未來我國如實施電力自由化，並成立「獨立電力調度中心」及「自由化市場交易機制」，自然會將備用容量價值納入該市場機制內。</w:t>
      </w:r>
    </w:p>
    <w:p w:rsidR="00D7472E" w:rsidRDefault="000F30D0" w:rsidP="00F236C8">
      <w:pPr>
        <w:pStyle w:val="3"/>
        <w:widowControl/>
        <w:numPr>
          <w:ilvl w:val="2"/>
          <w:numId w:val="5"/>
        </w:numPr>
        <w:kinsoku/>
      </w:pPr>
      <w:r>
        <w:rPr>
          <w:rFonts w:hint="eastAsia"/>
        </w:rPr>
        <w:lastRenderedPageBreak/>
        <w:t>末查，</w:t>
      </w:r>
      <w:r w:rsidR="00341FB9">
        <w:rPr>
          <w:rFonts w:hint="eastAsia"/>
        </w:rPr>
        <w:t>台電公司表示，</w:t>
      </w:r>
      <w:r w:rsidR="00341FB9" w:rsidRPr="00D11B11">
        <w:rPr>
          <w:rFonts w:hint="eastAsia"/>
        </w:rPr>
        <w:t>各類發電機組之發電成本</w:t>
      </w:r>
      <w:r w:rsidR="00341FB9">
        <w:rPr>
          <w:rFonts w:hint="eastAsia"/>
        </w:rPr>
        <w:t>並未</w:t>
      </w:r>
      <w:r w:rsidR="00341FB9" w:rsidRPr="00D11B11">
        <w:rPr>
          <w:rFonts w:hint="eastAsia"/>
        </w:rPr>
        <w:t>分攤系統輔助服務成本</w:t>
      </w:r>
      <w:r w:rsidR="00AE2DBA">
        <w:rPr>
          <w:rFonts w:hint="eastAsia"/>
        </w:rPr>
        <w:t>，另</w:t>
      </w:r>
      <w:r w:rsidR="00BD2A8F" w:rsidRPr="008E3C81">
        <w:rPr>
          <w:rFonts w:hint="eastAsia"/>
        </w:rPr>
        <w:t>為配合電業自由化推動，已配合經濟部同步成立「電業自由化專案小組」，並針對發電、輸電、配電及售電等業務建立部門別會計，以及依各電廠之特性及擔任尖峰、離峰之任務，規劃並建立內部競價機制，試行後再評估納入現行之責任中心制度中</w:t>
      </w:r>
      <w:r w:rsidR="007A2929">
        <w:rPr>
          <w:rFonts w:hint="eastAsia"/>
        </w:rPr>
        <w:t>，</w:t>
      </w:r>
      <w:r w:rsidR="00BD2A8F" w:rsidRPr="008E3C81">
        <w:rPr>
          <w:vertAlign w:val="superscript"/>
        </w:rPr>
        <w:footnoteReference w:id="4"/>
      </w:r>
      <w:r w:rsidR="007A2929">
        <w:rPr>
          <w:rFonts w:hint="eastAsia"/>
        </w:rPr>
        <w:t>顯見該公司迄未將內部競價機制運作納入經營績效評比範圍。</w:t>
      </w:r>
      <w:r w:rsidR="00341FB9">
        <w:rPr>
          <w:rFonts w:hint="eastAsia"/>
        </w:rPr>
        <w:t>惟</w:t>
      </w:r>
      <w:r w:rsidR="00D6525E">
        <w:rPr>
          <w:rFonts w:hint="eastAsia"/>
        </w:rPr>
        <w:t>本院諮詢之專家學者表示，核能電廠機組係以基載機組方式運轉，需要其他電廠輔助服務</w:t>
      </w:r>
      <w:r w:rsidR="00F84483">
        <w:rPr>
          <w:rFonts w:hint="eastAsia"/>
        </w:rPr>
        <w:t>，</w:t>
      </w:r>
      <w:r w:rsidR="00D6525E">
        <w:rPr>
          <w:rFonts w:hint="eastAsia"/>
        </w:rPr>
        <w:t>才能使系統穩定、可靠。</w:t>
      </w:r>
      <w:r w:rsidR="00341FB9">
        <w:rPr>
          <w:rFonts w:hint="eastAsia"/>
        </w:rPr>
        <w:t>且</w:t>
      </w:r>
      <w:r w:rsidR="00D96D04">
        <w:rPr>
          <w:rFonts w:hint="eastAsia"/>
        </w:rPr>
        <w:t>經濟部部長於本院約詢時</w:t>
      </w:r>
      <w:r w:rsidR="00341FB9">
        <w:rPr>
          <w:rFonts w:hint="eastAsia"/>
        </w:rPr>
        <w:t>亦</w:t>
      </w:r>
      <w:r w:rsidR="00D96D04">
        <w:rPr>
          <w:rFonts w:hint="eastAsia"/>
        </w:rPr>
        <w:t>表示，核能發電最為穩定，輔助服務成本應較低；如果核能發電要計算輔助服務成本，其他火力、風力機組也都有輔助服務成本，輔助服務成本應</w:t>
      </w:r>
      <w:r w:rsidR="00F84483">
        <w:rPr>
          <w:rFonts w:hint="eastAsia"/>
        </w:rPr>
        <w:t>該</w:t>
      </w:r>
      <w:r w:rsidR="00D96D04">
        <w:rPr>
          <w:rFonts w:hint="eastAsia"/>
        </w:rPr>
        <w:t>是可以算得出。</w:t>
      </w:r>
      <w:r w:rsidR="00390635">
        <w:rPr>
          <w:rFonts w:hint="eastAsia"/>
        </w:rPr>
        <w:t>是以，</w:t>
      </w:r>
      <w:r w:rsidR="00341FB9">
        <w:rPr>
          <w:rFonts w:hint="eastAsia"/>
        </w:rPr>
        <w:t>輔助服務成本既然得以</w:t>
      </w:r>
      <w:r w:rsidR="00F84483">
        <w:rPr>
          <w:rFonts w:hint="eastAsia"/>
        </w:rPr>
        <w:t>估</w:t>
      </w:r>
      <w:r w:rsidR="00341FB9">
        <w:rPr>
          <w:rFonts w:hint="eastAsia"/>
        </w:rPr>
        <w:t>算出，且各類發電機組亦均有輔助服務成本，台電公司</w:t>
      </w:r>
      <w:r w:rsidR="00BD5EAE">
        <w:rPr>
          <w:rFonts w:hint="eastAsia"/>
        </w:rPr>
        <w:t>卻遲未能提出計入輔助服務成本後之各類發電機組之成本，</w:t>
      </w:r>
      <w:r w:rsidR="00B2211E">
        <w:rPr>
          <w:rFonts w:hint="eastAsia"/>
        </w:rPr>
        <w:t>不僅影響該公司內部競價機制之建立與績效之評估，</w:t>
      </w:r>
      <w:r w:rsidR="00BD5EAE">
        <w:rPr>
          <w:rFonts w:hint="eastAsia"/>
        </w:rPr>
        <w:t>自易</w:t>
      </w:r>
      <w:r w:rsidR="0025751B">
        <w:rPr>
          <w:rFonts w:hint="eastAsia"/>
        </w:rPr>
        <w:t>引發</w:t>
      </w:r>
      <w:r w:rsidR="00390635">
        <w:rPr>
          <w:rFonts w:hint="eastAsia"/>
        </w:rPr>
        <w:t>該公司</w:t>
      </w:r>
      <w:r w:rsidR="00867D34">
        <w:rPr>
          <w:rFonts w:hint="eastAsia"/>
        </w:rPr>
        <w:t>忽略並扭曲核能電廠</w:t>
      </w:r>
      <w:r w:rsidR="00390635" w:rsidRPr="000D402A">
        <w:rPr>
          <w:rFonts w:hint="eastAsia"/>
        </w:rPr>
        <w:t>真實成本</w:t>
      </w:r>
      <w:r w:rsidR="00390635">
        <w:rPr>
          <w:rFonts w:hint="eastAsia"/>
        </w:rPr>
        <w:t>之</w:t>
      </w:r>
      <w:r w:rsidR="00867D34">
        <w:rPr>
          <w:rFonts w:hint="eastAsia"/>
        </w:rPr>
        <w:t>爭</w:t>
      </w:r>
      <w:r w:rsidR="00390635">
        <w:rPr>
          <w:rFonts w:hint="eastAsia"/>
        </w:rPr>
        <w:t>議。</w:t>
      </w:r>
    </w:p>
    <w:p w:rsidR="00FB32E0" w:rsidRPr="00703153" w:rsidRDefault="002054B7" w:rsidP="00F236C8">
      <w:pPr>
        <w:pStyle w:val="3"/>
        <w:widowControl/>
        <w:numPr>
          <w:ilvl w:val="2"/>
          <w:numId w:val="5"/>
        </w:numPr>
        <w:kinsoku/>
      </w:pPr>
      <w:r w:rsidRPr="007B367F">
        <w:rPr>
          <w:rFonts w:hint="eastAsia"/>
        </w:rPr>
        <w:t>綜上，</w:t>
      </w:r>
      <w:r w:rsidR="008916A8" w:rsidRPr="00BE6D0B">
        <w:rPr>
          <w:rFonts w:hint="eastAsia"/>
        </w:rPr>
        <w:t>為</w:t>
      </w:r>
      <w:r w:rsidR="005D3531" w:rsidRPr="00BE6D0B">
        <w:rPr>
          <w:rFonts w:hint="eastAsia"/>
        </w:rPr>
        <w:t>不同目的</w:t>
      </w:r>
      <w:r w:rsidR="008916A8" w:rsidRPr="00BE6D0B">
        <w:rPr>
          <w:rFonts w:hint="eastAsia"/>
        </w:rPr>
        <w:t>所計算之</w:t>
      </w:r>
      <w:r w:rsidR="005D3531" w:rsidRPr="00BE6D0B">
        <w:rPr>
          <w:rFonts w:hint="eastAsia"/>
        </w:rPr>
        <w:t>成本</w:t>
      </w:r>
      <w:r w:rsidR="008916A8" w:rsidRPr="00BE6D0B">
        <w:rPr>
          <w:rFonts w:hint="eastAsia"/>
        </w:rPr>
        <w:t>不同，納入之項目亦不同</w:t>
      </w:r>
      <w:r w:rsidR="005D3531" w:rsidRPr="00BE6D0B">
        <w:rPr>
          <w:rFonts w:hint="eastAsia"/>
        </w:rPr>
        <w:t>，台電公司</w:t>
      </w:r>
      <w:r w:rsidR="008916A8" w:rsidRPr="00BE6D0B">
        <w:rPr>
          <w:rFonts w:hint="eastAsia"/>
        </w:rPr>
        <w:t>實務上</w:t>
      </w:r>
      <w:r w:rsidR="005D3531" w:rsidRPr="00BE6D0B">
        <w:rPr>
          <w:rFonts w:hint="eastAsia"/>
        </w:rPr>
        <w:t>並</w:t>
      </w:r>
      <w:r w:rsidR="00344290" w:rsidRPr="00BE6D0B">
        <w:rPr>
          <w:rFonts w:hint="eastAsia"/>
        </w:rPr>
        <w:t>未</w:t>
      </w:r>
      <w:r w:rsidR="00F84483" w:rsidRPr="00BE6D0B">
        <w:rPr>
          <w:rFonts w:hint="eastAsia"/>
        </w:rPr>
        <w:t>將</w:t>
      </w:r>
      <w:r w:rsidR="00344290" w:rsidRPr="00BE6D0B">
        <w:rPr>
          <w:rFonts w:hint="eastAsia"/>
        </w:rPr>
        <w:t>輔助服務成本納入各類發電機組</w:t>
      </w:r>
      <w:r w:rsidR="00754FF9" w:rsidRPr="00BE6D0B">
        <w:rPr>
          <w:rFonts w:hint="eastAsia"/>
        </w:rPr>
        <w:t>之</w:t>
      </w:r>
      <w:r w:rsidR="008916A8" w:rsidRPr="00BE6D0B">
        <w:rPr>
          <w:rFonts w:hint="eastAsia"/>
        </w:rPr>
        <w:t>相關</w:t>
      </w:r>
      <w:r w:rsidR="00344290" w:rsidRPr="00BE6D0B">
        <w:rPr>
          <w:rFonts w:hint="eastAsia"/>
        </w:rPr>
        <w:t>成本，</w:t>
      </w:r>
      <w:r w:rsidR="00B2211E" w:rsidRPr="00BE6D0B">
        <w:rPr>
          <w:rFonts w:hint="eastAsia"/>
        </w:rPr>
        <w:t>不僅影響該公司內部競價機制之建立與績效之評估，且</w:t>
      </w:r>
      <w:r w:rsidR="00344290" w:rsidRPr="00BE6D0B">
        <w:rPr>
          <w:rFonts w:hint="eastAsia"/>
        </w:rPr>
        <w:t>引發該公司忽略並扭曲核能電廠真實成本</w:t>
      </w:r>
      <w:r w:rsidR="00867D34" w:rsidRPr="00BE6D0B">
        <w:rPr>
          <w:rFonts w:hint="eastAsia"/>
        </w:rPr>
        <w:t>之爭</w:t>
      </w:r>
      <w:r w:rsidR="00344290" w:rsidRPr="00BE6D0B">
        <w:rPr>
          <w:rFonts w:hint="eastAsia"/>
        </w:rPr>
        <w:t>議，核有欠當</w:t>
      </w:r>
      <w:r w:rsidR="00071909" w:rsidRPr="00703153">
        <w:rPr>
          <w:rFonts w:hint="eastAsia"/>
        </w:rPr>
        <w:t>。</w:t>
      </w:r>
    </w:p>
    <w:p w:rsidR="007B5BE0" w:rsidRPr="00D7261B" w:rsidRDefault="00D7261B" w:rsidP="007B5BE0">
      <w:pPr>
        <w:pStyle w:val="2"/>
        <w:widowControl/>
        <w:numPr>
          <w:ilvl w:val="1"/>
          <w:numId w:val="5"/>
        </w:numPr>
        <w:kinsoku/>
        <w:rPr>
          <w:color w:val="000000" w:themeColor="text1"/>
          <w:szCs w:val="36"/>
        </w:rPr>
      </w:pPr>
      <w:bookmarkStart w:id="7" w:name="_Toc370476365"/>
      <w:r w:rsidRPr="00D7261B">
        <w:rPr>
          <w:rFonts w:hint="eastAsia"/>
          <w:color w:val="000000" w:themeColor="text1"/>
          <w:szCs w:val="36"/>
        </w:rPr>
        <w:t>台電公司為國內唯一綜合電業，面對電業自由化之聲浪與挑戰，允宜儘速就輔助服務成本部分，強化單位之組成，進行必要之研究，並挹注資源，</w:t>
      </w:r>
      <w:r w:rsidR="000E7F9F">
        <w:rPr>
          <w:rFonts w:hint="eastAsia"/>
          <w:color w:val="000000" w:themeColor="text1"/>
          <w:szCs w:val="36"/>
        </w:rPr>
        <w:t>俾</w:t>
      </w:r>
      <w:r w:rsidRPr="00D7261B">
        <w:rPr>
          <w:rFonts w:hint="eastAsia"/>
          <w:color w:val="000000" w:themeColor="text1"/>
          <w:szCs w:val="36"/>
        </w:rPr>
        <w:t>避免在核</w:t>
      </w:r>
      <w:r w:rsidRPr="00D7261B">
        <w:rPr>
          <w:rFonts w:hint="eastAsia"/>
          <w:color w:val="000000" w:themeColor="text1"/>
          <w:szCs w:val="36"/>
        </w:rPr>
        <w:lastRenderedPageBreak/>
        <w:t>四成本爭論中完全陷於被動，甚至將經濟部</w:t>
      </w:r>
      <w:r w:rsidR="000E7F9F">
        <w:rPr>
          <w:rFonts w:hint="eastAsia"/>
          <w:color w:val="000000" w:themeColor="text1"/>
          <w:szCs w:val="36"/>
        </w:rPr>
        <w:t>、</w:t>
      </w:r>
      <w:r w:rsidRPr="00D7261B">
        <w:rPr>
          <w:rFonts w:hint="eastAsia"/>
          <w:color w:val="000000" w:themeColor="text1"/>
          <w:szCs w:val="36"/>
        </w:rPr>
        <w:t>乃至行政院均置於決策險境中</w:t>
      </w:r>
      <w:r w:rsidR="007B5BE0" w:rsidRPr="00D7261B">
        <w:rPr>
          <w:rFonts w:hint="eastAsia"/>
          <w:color w:val="000000" w:themeColor="text1"/>
          <w:szCs w:val="36"/>
        </w:rPr>
        <w:t>：</w:t>
      </w:r>
      <w:bookmarkEnd w:id="7"/>
    </w:p>
    <w:p w:rsidR="00864C21" w:rsidRPr="007B5BE0" w:rsidRDefault="00E36F6C" w:rsidP="00E36F6C">
      <w:pPr>
        <w:pStyle w:val="3"/>
        <w:widowControl/>
        <w:numPr>
          <w:ilvl w:val="2"/>
          <w:numId w:val="5"/>
        </w:numPr>
        <w:kinsoku/>
      </w:pPr>
      <w:r>
        <w:rPr>
          <w:rFonts w:hint="eastAsia"/>
        </w:rPr>
        <w:t>查</w:t>
      </w:r>
      <w:r w:rsidR="00864C21">
        <w:rPr>
          <w:rFonts w:hint="eastAsia"/>
        </w:rPr>
        <w:t>行政院為推動國內電業自由化，於</w:t>
      </w:r>
      <w:r w:rsidR="00864C21">
        <w:t>84</w:t>
      </w:r>
      <w:r w:rsidR="00864C21">
        <w:rPr>
          <w:rFonts w:hint="eastAsia"/>
        </w:rPr>
        <w:t>年</w:t>
      </w:r>
      <w:r w:rsidR="00864C21">
        <w:t>9</w:t>
      </w:r>
      <w:r w:rsidR="00864C21">
        <w:rPr>
          <w:rFonts w:hint="eastAsia"/>
        </w:rPr>
        <w:t>月將修正後之電業法草案送請立法院審議，嗣因未能於第</w:t>
      </w:r>
      <w:r w:rsidR="00864C21">
        <w:t>3</w:t>
      </w:r>
      <w:r w:rsidR="00864C21">
        <w:rPr>
          <w:rFonts w:hint="eastAsia"/>
        </w:rPr>
        <w:t>屆立法委員任期內完成審議，行政院遂於</w:t>
      </w:r>
      <w:r w:rsidR="00864C21">
        <w:t>88</w:t>
      </w:r>
      <w:r w:rsidR="00864C21">
        <w:rPr>
          <w:rFonts w:hint="eastAsia"/>
        </w:rPr>
        <w:t>年</w:t>
      </w:r>
      <w:r w:rsidR="00864C21">
        <w:t>12</w:t>
      </w:r>
      <w:r w:rsidR="00864C21">
        <w:rPr>
          <w:rFonts w:hint="eastAsia"/>
        </w:rPr>
        <w:t>月</w:t>
      </w:r>
      <w:r w:rsidR="00864C21">
        <w:t>27</w:t>
      </w:r>
      <w:r w:rsidR="00864C21">
        <w:rPr>
          <w:rFonts w:hint="eastAsia"/>
        </w:rPr>
        <w:t>日、</w:t>
      </w:r>
      <w:r w:rsidR="00864C21">
        <w:t>91</w:t>
      </w:r>
      <w:r w:rsidR="00864C21">
        <w:rPr>
          <w:rFonts w:hint="eastAsia"/>
        </w:rPr>
        <w:t>年</w:t>
      </w:r>
      <w:r w:rsidR="00864C21">
        <w:t>5</w:t>
      </w:r>
      <w:r w:rsidR="00864C21">
        <w:rPr>
          <w:rFonts w:hint="eastAsia"/>
        </w:rPr>
        <w:t>月</w:t>
      </w:r>
      <w:r w:rsidR="00864C21">
        <w:t>6</w:t>
      </w:r>
      <w:r w:rsidR="00864C21">
        <w:rPr>
          <w:rFonts w:hint="eastAsia"/>
        </w:rPr>
        <w:t>日、</w:t>
      </w:r>
      <w:r w:rsidR="00864C21">
        <w:t>96</w:t>
      </w:r>
      <w:r w:rsidR="00864C21">
        <w:rPr>
          <w:rFonts w:hint="eastAsia"/>
        </w:rPr>
        <w:t>年</w:t>
      </w:r>
      <w:r w:rsidR="00864C21">
        <w:t>9</w:t>
      </w:r>
      <w:r w:rsidR="00864C21">
        <w:rPr>
          <w:rFonts w:hint="eastAsia"/>
        </w:rPr>
        <w:t>月</w:t>
      </w:r>
      <w:r w:rsidR="00864C21">
        <w:t>26</w:t>
      </w:r>
      <w:r w:rsidR="00864C21">
        <w:rPr>
          <w:rFonts w:hint="eastAsia"/>
        </w:rPr>
        <w:t>日及</w:t>
      </w:r>
      <w:r w:rsidR="00864C21">
        <w:t>97</w:t>
      </w:r>
      <w:r w:rsidR="00864C21">
        <w:rPr>
          <w:rFonts w:hint="eastAsia"/>
        </w:rPr>
        <w:t>年</w:t>
      </w:r>
      <w:r w:rsidR="00864C21">
        <w:t>2</w:t>
      </w:r>
      <w:r w:rsidR="00864C21">
        <w:rPr>
          <w:rFonts w:hint="eastAsia"/>
        </w:rPr>
        <w:t>月</w:t>
      </w:r>
      <w:r w:rsidR="00864C21">
        <w:t>15</w:t>
      </w:r>
      <w:r w:rsidR="00864C21">
        <w:rPr>
          <w:rFonts w:hint="eastAsia"/>
        </w:rPr>
        <w:t>日重新研擬修正後電業法草案，分別送立法院審議，惟仍無法於第4屆立法委員任期屆滿前完成修法程序。</w:t>
      </w:r>
      <w:r w:rsidR="00864C21">
        <w:t>101</w:t>
      </w:r>
      <w:r w:rsidR="00864C21">
        <w:rPr>
          <w:rFonts w:hint="eastAsia"/>
        </w:rPr>
        <w:t>年間經濟部</w:t>
      </w:r>
      <w:r w:rsidR="0040027B">
        <w:rPr>
          <w:rFonts w:hint="eastAsia"/>
        </w:rPr>
        <w:t>於台電公司經營改善檢討等相關會議，</w:t>
      </w:r>
      <w:r w:rsidR="00864C21">
        <w:rPr>
          <w:rFonts w:hint="eastAsia"/>
        </w:rPr>
        <w:t>討論電業自由化之推動方向，能源局依經濟部部長於</w:t>
      </w:r>
      <w:r w:rsidR="00864C21">
        <w:t>101</w:t>
      </w:r>
      <w:r w:rsidR="00864C21">
        <w:rPr>
          <w:rFonts w:hint="eastAsia"/>
        </w:rPr>
        <w:t>年</w:t>
      </w:r>
      <w:r w:rsidR="00864C21">
        <w:t>8</w:t>
      </w:r>
      <w:r w:rsidR="00864C21">
        <w:rPr>
          <w:rFonts w:hint="eastAsia"/>
        </w:rPr>
        <w:t>月</w:t>
      </w:r>
      <w:r w:rsidR="00864C21">
        <w:t>21</w:t>
      </w:r>
      <w:r w:rsidR="00864C21">
        <w:rPr>
          <w:rFonts w:hint="eastAsia"/>
        </w:rPr>
        <w:t>日油電小組第</w:t>
      </w:r>
      <w:r w:rsidR="00864C21">
        <w:t>7</w:t>
      </w:r>
      <w:r w:rsidR="00864C21">
        <w:rPr>
          <w:rFonts w:hint="eastAsia"/>
        </w:rPr>
        <w:t>次會議指示，成立「電業自由化規劃小組」，並邀請各界代表及學界專家共</w:t>
      </w:r>
      <w:r w:rsidR="00C36AC0">
        <w:rPr>
          <w:rFonts w:hint="eastAsia"/>
        </w:rPr>
        <w:t>同</w:t>
      </w:r>
      <w:r w:rsidR="00864C21">
        <w:rPr>
          <w:rFonts w:hint="eastAsia"/>
        </w:rPr>
        <w:t>研議電業自由化推動方向，依該小組於</w:t>
      </w:r>
      <w:r w:rsidR="00864C21">
        <w:t>101</w:t>
      </w:r>
      <w:r w:rsidR="00864C21">
        <w:rPr>
          <w:rFonts w:hint="eastAsia"/>
        </w:rPr>
        <w:t>年</w:t>
      </w:r>
      <w:r w:rsidR="00864C21">
        <w:t>10</w:t>
      </w:r>
      <w:r w:rsidR="00864C21">
        <w:rPr>
          <w:rFonts w:hint="eastAsia"/>
        </w:rPr>
        <w:t>月</w:t>
      </w:r>
      <w:r w:rsidR="00864C21">
        <w:t>12</w:t>
      </w:r>
      <w:r w:rsidR="00864C21">
        <w:rPr>
          <w:rFonts w:hint="eastAsia"/>
        </w:rPr>
        <w:t>日至</w:t>
      </w:r>
      <w:r w:rsidR="00864C21">
        <w:t>12</w:t>
      </w:r>
      <w:r w:rsidR="00864C21">
        <w:rPr>
          <w:rFonts w:hint="eastAsia"/>
        </w:rPr>
        <w:t>月</w:t>
      </w:r>
      <w:r w:rsidR="00864C21">
        <w:t>21</w:t>
      </w:r>
      <w:r w:rsidR="00864C21">
        <w:rPr>
          <w:rFonts w:hint="eastAsia"/>
        </w:rPr>
        <w:t>日召開之</w:t>
      </w:r>
      <w:r w:rsidR="00864C21">
        <w:t>6</w:t>
      </w:r>
      <w:r w:rsidR="00864C21">
        <w:rPr>
          <w:rFonts w:hint="eastAsia"/>
        </w:rPr>
        <w:t>次會議，電業自由化規劃方向為：開放發電業設置，並考量允許直供；開放電力網代輸，並成立電力調度中心；不適合開放輸、配電業；成立電業獨立管制機構，負責電業管制及費率審議相關議題等。</w:t>
      </w:r>
    </w:p>
    <w:p w:rsidR="00DA25E1" w:rsidRDefault="00AF6165" w:rsidP="00DA25E1">
      <w:pPr>
        <w:pStyle w:val="3"/>
        <w:widowControl/>
        <w:numPr>
          <w:ilvl w:val="2"/>
          <w:numId w:val="5"/>
        </w:numPr>
        <w:kinsoku/>
        <w:rPr>
          <w:color w:val="FF0000"/>
        </w:rPr>
      </w:pPr>
      <w:r w:rsidRPr="00D7261B">
        <w:rPr>
          <w:rFonts w:hint="eastAsia"/>
        </w:rPr>
        <w:t>次查</w:t>
      </w:r>
      <w:r w:rsidR="006740C0" w:rsidRPr="00D7261B">
        <w:rPr>
          <w:rFonts w:hint="eastAsia"/>
        </w:rPr>
        <w:t>財團法人</w:t>
      </w:r>
      <w:r w:rsidR="006740C0" w:rsidRPr="00D7261B">
        <w:t>宜蘭人文基金會董事長陳錫南</w:t>
      </w:r>
      <w:r w:rsidR="006740C0" w:rsidRPr="00D7261B">
        <w:rPr>
          <w:rFonts w:hint="eastAsia"/>
        </w:rPr>
        <w:t>與其推舉之</w:t>
      </w:r>
      <w:r w:rsidR="006740C0" w:rsidRPr="00D7261B">
        <w:t>陳謨星教授</w:t>
      </w:r>
      <w:r w:rsidR="006740C0" w:rsidRPr="00D7261B">
        <w:rPr>
          <w:rFonts w:hint="eastAsia"/>
        </w:rPr>
        <w:t>曾提出台電公司核能電廠完全不負擔輔助服務成本，才會有「核電便宜」之</w:t>
      </w:r>
      <w:r w:rsidR="000E7F9F">
        <w:rPr>
          <w:rFonts w:hint="eastAsia"/>
        </w:rPr>
        <w:t>說法</w:t>
      </w:r>
      <w:r w:rsidR="006740C0" w:rsidRPr="00D7261B">
        <w:rPr>
          <w:rFonts w:hint="eastAsia"/>
        </w:rPr>
        <w:t>。</w:t>
      </w:r>
      <w:r w:rsidR="00DA25E1" w:rsidRPr="007F5393">
        <w:rPr>
          <w:rFonts w:hint="eastAsia"/>
        </w:rPr>
        <w:t>另該</w:t>
      </w:r>
      <w:r w:rsidR="00DA25E1" w:rsidRPr="007F5393">
        <w:t>基金會</w:t>
      </w:r>
      <w:r w:rsidR="00DA25E1" w:rsidRPr="007F5393">
        <w:rPr>
          <w:rFonts w:hint="eastAsia"/>
        </w:rPr>
        <w:t>推薦之</w:t>
      </w:r>
      <w:r w:rsidR="00DA25E1" w:rsidRPr="00287ADE">
        <w:rPr>
          <w:rFonts w:hint="eastAsia"/>
        </w:rPr>
        <w:t>賀立維</w:t>
      </w:r>
      <w:r w:rsidR="00DA25E1" w:rsidRPr="007F5393">
        <w:rPr>
          <w:rFonts w:hint="eastAsia"/>
        </w:rPr>
        <w:t>教授(</w:t>
      </w:r>
      <w:r w:rsidR="00DA25E1" w:rsidRPr="007F5393">
        <w:t>美國愛荷華州立大學工學博士</w:t>
      </w:r>
      <w:r w:rsidR="00DA25E1" w:rsidRPr="007F5393">
        <w:rPr>
          <w:rFonts w:hint="eastAsia"/>
        </w:rPr>
        <w:t>)則表示：外部專家應就事實真相，作公正的分析與評論，若引述不正確數字，或有意誤導，將使政府做出錯誤的決策。</w:t>
      </w:r>
    </w:p>
    <w:p w:rsidR="000366B9" w:rsidRPr="00F70D90" w:rsidRDefault="006740C0" w:rsidP="00AF6165">
      <w:pPr>
        <w:pStyle w:val="3"/>
        <w:widowControl/>
        <w:numPr>
          <w:ilvl w:val="2"/>
          <w:numId w:val="5"/>
        </w:numPr>
        <w:kinsoku/>
        <w:rPr>
          <w:color w:val="FF0000"/>
        </w:rPr>
      </w:pPr>
      <w:r w:rsidRPr="00D7261B">
        <w:rPr>
          <w:rFonts w:hint="eastAsia"/>
        </w:rPr>
        <w:t>又</w:t>
      </w:r>
      <w:r w:rsidR="00AF6165">
        <w:rPr>
          <w:rFonts w:hint="eastAsia"/>
        </w:rPr>
        <w:t>本院諮詢之學者專家表示，</w:t>
      </w:r>
      <w:r w:rsidR="00AF6165" w:rsidRPr="00A37759">
        <w:rPr>
          <w:rFonts w:hint="eastAsia"/>
        </w:rPr>
        <w:t>核能</w:t>
      </w:r>
      <w:r w:rsidR="00AF6165" w:rsidRPr="00AC5A7D">
        <w:rPr>
          <w:rFonts w:hint="eastAsia"/>
        </w:rPr>
        <w:t>發電</w:t>
      </w:r>
      <w:r w:rsidR="00AF6165" w:rsidRPr="00A37759">
        <w:rPr>
          <w:rFonts w:hint="eastAsia"/>
        </w:rPr>
        <w:t>機組係</w:t>
      </w:r>
      <w:r w:rsidR="00AF6165" w:rsidRPr="00AC5A7D">
        <w:rPr>
          <w:rFonts w:hint="eastAsia"/>
        </w:rPr>
        <w:t>屬</w:t>
      </w:r>
      <w:r w:rsidR="00AF6165" w:rsidRPr="00A37759">
        <w:rPr>
          <w:rFonts w:hint="eastAsia"/>
        </w:rPr>
        <w:t>基載機組</w:t>
      </w:r>
      <w:r w:rsidR="00AF6165" w:rsidRPr="00AC5A7D">
        <w:rPr>
          <w:rFonts w:hint="eastAsia"/>
        </w:rPr>
        <w:t>(電力)</w:t>
      </w:r>
      <w:r w:rsidR="00AF6165" w:rsidRPr="00A37759">
        <w:rPr>
          <w:rFonts w:hint="eastAsia"/>
        </w:rPr>
        <w:t>，其所發電力占系統</w:t>
      </w:r>
      <w:r w:rsidR="00AF6165" w:rsidRPr="00AC5A7D">
        <w:rPr>
          <w:rFonts w:hint="eastAsia"/>
        </w:rPr>
        <w:t>有一定的</w:t>
      </w:r>
      <w:r w:rsidR="00AF6165" w:rsidRPr="00A37759">
        <w:rPr>
          <w:rFonts w:hint="eastAsia"/>
        </w:rPr>
        <w:t>比率，</w:t>
      </w:r>
      <w:r w:rsidR="00AF6165" w:rsidRPr="00AC5A7D">
        <w:rPr>
          <w:rFonts w:hint="eastAsia"/>
        </w:rPr>
        <w:t>各電廠</w:t>
      </w:r>
      <w:r w:rsidR="00AF6165" w:rsidRPr="00A37759">
        <w:rPr>
          <w:rFonts w:hint="eastAsia"/>
        </w:rPr>
        <w:t>需要其他的電廠輔助服務才能使系統穩定、可靠，</w:t>
      </w:r>
      <w:r w:rsidR="00AF6165" w:rsidRPr="00AC5A7D">
        <w:rPr>
          <w:rFonts w:hint="eastAsia"/>
        </w:rPr>
        <w:t>而</w:t>
      </w:r>
      <w:r w:rsidR="00AF6165" w:rsidRPr="00A37759">
        <w:rPr>
          <w:rFonts w:hint="eastAsia"/>
        </w:rPr>
        <w:t>增加備用容量則需加蓋電廠，以為因應及</w:t>
      </w:r>
      <w:r w:rsidR="00AF6165" w:rsidRPr="00A37759">
        <w:rPr>
          <w:rFonts w:hint="eastAsia"/>
        </w:rPr>
        <w:lastRenderedPageBreak/>
        <w:t>符合要求，這些輔助服務成本都要計入</w:t>
      </w:r>
      <w:r w:rsidR="00AF6165" w:rsidRPr="00AC5A7D">
        <w:rPr>
          <w:rFonts w:hint="eastAsia"/>
        </w:rPr>
        <w:t>發電成本</w:t>
      </w:r>
      <w:r w:rsidR="00AF6165">
        <w:rPr>
          <w:rFonts w:hint="eastAsia"/>
        </w:rPr>
        <w:t>；</w:t>
      </w:r>
      <w:r w:rsidR="00AF6165" w:rsidRPr="000D216C">
        <w:rPr>
          <w:rFonts w:hint="eastAsia"/>
        </w:rPr>
        <w:t>以目前的情況來看，外界所討論與爭執的核四成本</w:t>
      </w:r>
      <w:r w:rsidR="00AF6165" w:rsidRPr="00AC5A7D">
        <w:rPr>
          <w:rFonts w:hint="eastAsia"/>
        </w:rPr>
        <w:t>，</w:t>
      </w:r>
      <w:r w:rsidR="00AF6165" w:rsidRPr="000D216C">
        <w:rPr>
          <w:rFonts w:hint="eastAsia"/>
        </w:rPr>
        <w:t>確是被扭曲</w:t>
      </w:r>
      <w:r w:rsidR="00AF6165" w:rsidRPr="00AC5A7D">
        <w:rPr>
          <w:rFonts w:hint="eastAsia"/>
        </w:rPr>
        <w:t>的</w:t>
      </w:r>
      <w:r w:rsidR="00AF6165" w:rsidRPr="000D216C">
        <w:rPr>
          <w:rFonts w:hint="eastAsia"/>
        </w:rPr>
        <w:t>，因為</w:t>
      </w:r>
      <w:r w:rsidR="00AF6165">
        <w:rPr>
          <w:rFonts w:hint="eastAsia"/>
        </w:rPr>
        <w:t>它</w:t>
      </w:r>
      <w:r w:rsidR="00AF6165" w:rsidRPr="000D216C">
        <w:rPr>
          <w:rFonts w:hint="eastAsia"/>
        </w:rPr>
        <w:t>需要靠整體系統的運轉調度，以其他的機組來輔助、支援，方能使系統穩定、可靠</w:t>
      </w:r>
      <w:r w:rsidR="00AF6165" w:rsidRPr="00D7261B">
        <w:rPr>
          <w:rFonts w:hint="eastAsia"/>
        </w:rPr>
        <w:t>，核四廠的輔助服務成本是</w:t>
      </w:r>
      <w:r w:rsidR="00AC5A7D" w:rsidRPr="00D7261B">
        <w:rPr>
          <w:rFonts w:hint="eastAsia"/>
        </w:rPr>
        <w:t>應該</w:t>
      </w:r>
      <w:r w:rsidR="00AF6165" w:rsidRPr="00D7261B">
        <w:rPr>
          <w:rFonts w:hint="eastAsia"/>
        </w:rPr>
        <w:t>要計入</w:t>
      </w:r>
      <w:r w:rsidR="00AC5A7D" w:rsidRPr="00D7261B">
        <w:rPr>
          <w:rFonts w:hint="eastAsia"/>
        </w:rPr>
        <w:t>的</w:t>
      </w:r>
      <w:r w:rsidR="00F70D90">
        <w:rPr>
          <w:rFonts w:hint="eastAsia"/>
        </w:rPr>
        <w:t>；</w:t>
      </w:r>
      <w:r w:rsidR="00F70D90" w:rsidRPr="00F70D90">
        <w:rPr>
          <w:rFonts w:hint="eastAsia"/>
        </w:rPr>
        <w:t>每一種發電成本，都應該負擔輔助服務成本。</w:t>
      </w:r>
      <w:r w:rsidR="00AF6165" w:rsidRPr="004C081C">
        <w:rPr>
          <w:rFonts w:hint="eastAsia"/>
        </w:rPr>
        <w:t>為什麼過去台電</w:t>
      </w:r>
      <w:r w:rsidR="00AF6165">
        <w:rPr>
          <w:rFonts w:hint="eastAsia"/>
        </w:rPr>
        <w:t>公司沒有這樣作，過去國外卻有這樣做？該公司</w:t>
      </w:r>
      <w:r w:rsidR="00AF6165" w:rsidRPr="004C081C">
        <w:rPr>
          <w:rFonts w:hint="eastAsia"/>
        </w:rPr>
        <w:t>沒有算輔助服務成本，因為</w:t>
      </w:r>
      <w:r w:rsidR="00AF6165">
        <w:rPr>
          <w:rFonts w:hint="eastAsia"/>
        </w:rPr>
        <w:t>其為</w:t>
      </w:r>
      <w:r w:rsidR="00AF6165" w:rsidRPr="004C081C">
        <w:rPr>
          <w:rFonts w:hint="eastAsia"/>
        </w:rPr>
        <w:t>綜合電業</w:t>
      </w:r>
      <w:r w:rsidR="00AF6165">
        <w:rPr>
          <w:rFonts w:hint="eastAsia"/>
        </w:rPr>
        <w:t>，其</w:t>
      </w:r>
      <w:r w:rsidR="00AF6165" w:rsidRPr="004C081C">
        <w:rPr>
          <w:rFonts w:hint="eastAsia"/>
        </w:rPr>
        <w:t>以</w:t>
      </w:r>
      <w:r w:rsidR="00AF6165">
        <w:rPr>
          <w:rFonts w:hint="eastAsia"/>
        </w:rPr>
        <w:t>各發電機組之</w:t>
      </w:r>
      <w:r w:rsidR="00AF6165" w:rsidRPr="004C081C">
        <w:rPr>
          <w:rFonts w:hint="eastAsia"/>
        </w:rPr>
        <w:t>燃料成本為考量來進行調度</w:t>
      </w:r>
      <w:r w:rsidR="00AF6165">
        <w:rPr>
          <w:rFonts w:hint="eastAsia"/>
        </w:rPr>
        <w:t>，係以</w:t>
      </w:r>
      <w:r w:rsidR="00AF6165" w:rsidRPr="004C081C">
        <w:rPr>
          <w:rFonts w:hint="eastAsia"/>
        </w:rPr>
        <w:t>成本</w:t>
      </w:r>
      <w:r w:rsidR="00AF6165">
        <w:rPr>
          <w:rFonts w:hint="eastAsia"/>
        </w:rPr>
        <w:t>為</w:t>
      </w:r>
      <w:r w:rsidR="00AF6165" w:rsidRPr="004C081C">
        <w:rPr>
          <w:rFonts w:hint="eastAsia"/>
        </w:rPr>
        <w:t>導向，</w:t>
      </w:r>
      <w:r w:rsidR="00AF6165">
        <w:rPr>
          <w:rFonts w:hint="eastAsia"/>
        </w:rPr>
        <w:t>尚未</w:t>
      </w:r>
      <w:r w:rsidR="00AF6165" w:rsidRPr="004C081C">
        <w:rPr>
          <w:rFonts w:hint="eastAsia"/>
        </w:rPr>
        <w:t>達到自由化</w:t>
      </w:r>
      <w:r w:rsidR="00AF6165">
        <w:rPr>
          <w:rFonts w:hint="eastAsia"/>
        </w:rPr>
        <w:t>之</w:t>
      </w:r>
      <w:r w:rsidR="00AF6165" w:rsidRPr="004C081C">
        <w:rPr>
          <w:rFonts w:hint="eastAsia"/>
        </w:rPr>
        <w:t>競爭市場，所以沒有必要強調輔助服務成本，</w:t>
      </w:r>
      <w:r w:rsidR="00AF6165">
        <w:rPr>
          <w:rFonts w:hint="eastAsia"/>
        </w:rPr>
        <w:t>若</w:t>
      </w:r>
      <w:r w:rsidR="00AF6165" w:rsidRPr="004C081C">
        <w:rPr>
          <w:rFonts w:hint="eastAsia"/>
        </w:rPr>
        <w:t>未來國內</w:t>
      </w:r>
      <w:r w:rsidR="00AF6165">
        <w:rPr>
          <w:rFonts w:hint="eastAsia"/>
        </w:rPr>
        <w:t>要</w:t>
      </w:r>
      <w:r w:rsidR="00AF6165" w:rsidRPr="004C081C">
        <w:rPr>
          <w:rFonts w:hint="eastAsia"/>
        </w:rPr>
        <w:t>走向電業自由化，</w:t>
      </w:r>
      <w:r w:rsidR="00AF6165">
        <w:rPr>
          <w:rFonts w:hint="eastAsia"/>
        </w:rPr>
        <w:t>則各電力業者要</w:t>
      </w:r>
      <w:r w:rsidR="00AF6165" w:rsidRPr="004C081C">
        <w:rPr>
          <w:rFonts w:hint="eastAsia"/>
        </w:rPr>
        <w:t>公平競爭時，不單是台電</w:t>
      </w:r>
      <w:r w:rsidR="00AF6165">
        <w:rPr>
          <w:rFonts w:hint="eastAsia"/>
        </w:rPr>
        <w:t>公司或其他</w:t>
      </w:r>
      <w:r w:rsidR="00AF6165" w:rsidRPr="004C081C">
        <w:rPr>
          <w:rFonts w:hint="eastAsia"/>
        </w:rPr>
        <w:t>民營的電廠</w:t>
      </w:r>
      <w:r w:rsidR="00AF6165" w:rsidRPr="00AC5A7D">
        <w:rPr>
          <w:rFonts w:hint="eastAsia"/>
        </w:rPr>
        <w:t>之成本皆應核算輔助服務成本才是合理</w:t>
      </w:r>
      <w:r w:rsidR="00F70D90">
        <w:rPr>
          <w:rFonts w:hint="eastAsia"/>
        </w:rPr>
        <w:t>；另</w:t>
      </w:r>
      <w:r w:rsidR="000366B9" w:rsidRPr="00F70D90">
        <w:rPr>
          <w:rFonts w:hint="eastAsia"/>
        </w:rPr>
        <w:t>售電成本包括發電、輸電、配電成本及輔助成本，在比較不同發電方式</w:t>
      </w:r>
      <w:r w:rsidR="00F70D90" w:rsidRPr="00F70D90">
        <w:rPr>
          <w:rFonts w:hint="eastAsia"/>
        </w:rPr>
        <w:t>的成本</w:t>
      </w:r>
      <w:r w:rsidR="000366B9" w:rsidRPr="00F70D90">
        <w:rPr>
          <w:rFonts w:hint="eastAsia"/>
        </w:rPr>
        <w:t>時，在核電部分，可能還要加計輔助成本。</w:t>
      </w:r>
    </w:p>
    <w:p w:rsidR="00AF6165" w:rsidRDefault="00AF6165" w:rsidP="00AF6165">
      <w:pPr>
        <w:pStyle w:val="3"/>
        <w:widowControl/>
        <w:numPr>
          <w:ilvl w:val="2"/>
          <w:numId w:val="5"/>
        </w:numPr>
        <w:kinsoku/>
      </w:pPr>
      <w:r>
        <w:rPr>
          <w:rFonts w:hint="eastAsia"/>
        </w:rPr>
        <w:t>又查</w:t>
      </w:r>
      <w:r w:rsidR="008170F8" w:rsidRPr="00B365F4">
        <w:rPr>
          <w:rFonts w:hint="eastAsia"/>
        </w:rPr>
        <w:t>100年</w:t>
      </w:r>
      <w:r w:rsidR="008170F8" w:rsidRPr="00B365F4">
        <w:t>3</w:t>
      </w:r>
      <w:r w:rsidR="008170F8" w:rsidRPr="00B365F4">
        <w:rPr>
          <w:rFonts w:hint="eastAsia"/>
        </w:rPr>
        <w:t>月</w:t>
      </w:r>
      <w:r w:rsidR="008170F8" w:rsidRPr="00B365F4">
        <w:t>11</w:t>
      </w:r>
      <w:r w:rsidR="008170F8" w:rsidRPr="00B365F4">
        <w:rPr>
          <w:rFonts w:hint="eastAsia"/>
        </w:rPr>
        <w:t>日</w:t>
      </w:r>
      <w:r w:rsidR="008170F8" w:rsidRPr="000D5E1D">
        <w:t>14</w:t>
      </w:r>
      <w:r w:rsidR="008170F8" w:rsidRPr="000D5E1D">
        <w:rPr>
          <w:rFonts w:hint="eastAsia"/>
        </w:rPr>
        <w:t>：</w:t>
      </w:r>
      <w:r w:rsidR="008170F8" w:rsidRPr="000D5E1D">
        <w:t>46</w:t>
      </w:r>
      <w:r w:rsidR="008170F8" w:rsidRPr="000D5E1D">
        <w:rPr>
          <w:rFonts w:hint="eastAsia"/>
        </w:rPr>
        <w:t>分(臺</w:t>
      </w:r>
      <w:r w:rsidR="008170F8" w:rsidRPr="000D5E1D">
        <w:t>北時間13</w:t>
      </w:r>
      <w:r w:rsidR="008170F8" w:rsidRPr="000D5E1D">
        <w:rPr>
          <w:rFonts w:hint="eastAsia"/>
        </w:rPr>
        <w:t>：</w:t>
      </w:r>
      <w:r w:rsidR="008170F8" w:rsidRPr="000D5E1D">
        <w:t>46</w:t>
      </w:r>
      <w:r w:rsidR="008170F8" w:rsidRPr="000D5E1D">
        <w:rPr>
          <w:rFonts w:hint="eastAsia"/>
        </w:rPr>
        <w:t>分)</w:t>
      </w:r>
      <w:r w:rsidR="008170F8" w:rsidRPr="004E2E5B">
        <w:t>，</w:t>
      </w:r>
      <w:r w:rsidR="008170F8" w:rsidRPr="004E2E5B">
        <w:rPr>
          <w:rFonts w:hint="eastAsia"/>
        </w:rPr>
        <w:t>日本本州外海發生</w:t>
      </w:r>
      <w:r w:rsidR="008170F8" w:rsidRPr="004E2E5B">
        <w:t>芮氏規模9.0</w:t>
      </w:r>
      <w:r w:rsidR="008170F8" w:rsidRPr="004E2E5B">
        <w:rPr>
          <w:rFonts w:hint="eastAsia"/>
        </w:rPr>
        <w:t>之強震，並引發海嘯，造成福島核一廠之重大核子事故，因而引起全球關切核電安全問題，</w:t>
      </w:r>
      <w:r w:rsidR="00E706DD" w:rsidRPr="00DA25E1">
        <w:rPr>
          <w:rFonts w:hint="eastAsia"/>
        </w:rPr>
        <w:t>國內核一、二、三、四除因進行總體檢而增設強固措施所造成之固定成本增加外</w:t>
      </w:r>
      <w:r w:rsidR="00E706DD" w:rsidRPr="004E2E5B">
        <w:rPr>
          <w:rFonts w:hint="eastAsia"/>
        </w:rPr>
        <w:t>，</w:t>
      </w:r>
      <w:r w:rsidR="00270F5A" w:rsidRPr="004E2E5B">
        <w:rPr>
          <w:rFonts w:hint="eastAsia"/>
        </w:rPr>
        <w:t>核能發電已</w:t>
      </w:r>
      <w:r w:rsidR="00E706DD" w:rsidRPr="00DA25E1">
        <w:rPr>
          <w:rFonts w:hint="eastAsia"/>
        </w:rPr>
        <w:t>然</w:t>
      </w:r>
      <w:r w:rsidR="00270F5A" w:rsidRPr="004E2E5B">
        <w:rPr>
          <w:rFonts w:hint="eastAsia"/>
        </w:rPr>
        <w:t>成為國內之重大政治爭論議題，</w:t>
      </w:r>
      <w:r w:rsidR="00960399" w:rsidRPr="004E2E5B">
        <w:rPr>
          <w:rFonts w:hint="eastAsia"/>
        </w:rPr>
        <w:t>亦可能引發政治風暴，</w:t>
      </w:r>
      <w:r w:rsidR="00925EDE">
        <w:rPr>
          <w:rFonts w:hint="eastAsia"/>
        </w:rPr>
        <w:t>而</w:t>
      </w:r>
      <w:r w:rsidRPr="008A4374">
        <w:rPr>
          <w:rFonts w:hint="eastAsia"/>
        </w:rPr>
        <w:t>未來輔助服務成本</w:t>
      </w:r>
      <w:r w:rsidRPr="00AC5A7D">
        <w:rPr>
          <w:rFonts w:hint="eastAsia"/>
        </w:rPr>
        <w:t>恐</w:t>
      </w:r>
      <w:r w:rsidRPr="008A4374">
        <w:rPr>
          <w:rFonts w:hint="eastAsia"/>
        </w:rPr>
        <w:t>成為核能發電之一項</w:t>
      </w:r>
      <w:r w:rsidR="00491569">
        <w:rPr>
          <w:rFonts w:hint="eastAsia"/>
        </w:rPr>
        <w:t>重大爭論</w:t>
      </w:r>
      <w:r w:rsidRPr="008A4374">
        <w:rPr>
          <w:rFonts w:hint="eastAsia"/>
        </w:rPr>
        <w:t>議題，</w:t>
      </w:r>
      <w:r w:rsidR="00925EDE">
        <w:rPr>
          <w:rFonts w:hint="eastAsia"/>
        </w:rPr>
        <w:t>是以，</w:t>
      </w:r>
      <w:r w:rsidRPr="00AC5A7D">
        <w:rPr>
          <w:rFonts w:hint="eastAsia"/>
        </w:rPr>
        <w:t>核能</w:t>
      </w:r>
      <w:r w:rsidRPr="008A4374">
        <w:rPr>
          <w:rFonts w:hint="eastAsia"/>
        </w:rPr>
        <w:t>發電成本應</w:t>
      </w:r>
      <w:r w:rsidRPr="00AC5A7D">
        <w:rPr>
          <w:rFonts w:hint="eastAsia"/>
        </w:rPr>
        <w:t>予</w:t>
      </w:r>
      <w:r w:rsidRPr="008A4374">
        <w:rPr>
          <w:rFonts w:hint="eastAsia"/>
        </w:rPr>
        <w:t>計算清楚。</w:t>
      </w:r>
      <w:r w:rsidR="00F00BE2">
        <w:rPr>
          <w:rFonts w:hint="eastAsia"/>
        </w:rPr>
        <w:t>台電公司於本院約詢前提供之書面說明表示，該公司配合政府電業自由化方向，目前正參考國外自由化案例，研擬將輔助服務成本列於代輸成本，或由電力調度中心調度時，另列一項產品計收之可行性。</w:t>
      </w:r>
      <w:r w:rsidR="00EB69E4" w:rsidRPr="004E2E5B">
        <w:rPr>
          <w:rFonts w:hint="eastAsia"/>
        </w:rPr>
        <w:t>經濟部部長及</w:t>
      </w:r>
      <w:r w:rsidR="0017704A">
        <w:rPr>
          <w:rFonts w:hint="eastAsia"/>
        </w:rPr>
        <w:t>台電</w:t>
      </w:r>
      <w:r w:rsidRPr="00AC5A7D">
        <w:rPr>
          <w:rFonts w:hint="eastAsia"/>
        </w:rPr>
        <w:t>公司</w:t>
      </w:r>
      <w:r>
        <w:rPr>
          <w:rFonts w:hint="eastAsia"/>
        </w:rPr>
        <w:t>總經理</w:t>
      </w:r>
      <w:r w:rsidR="0017704A">
        <w:rPr>
          <w:rFonts w:hint="eastAsia"/>
        </w:rPr>
        <w:t>於本院約詢時</w:t>
      </w:r>
      <w:r w:rsidR="00EB69E4" w:rsidRPr="004E2E5B">
        <w:rPr>
          <w:rFonts w:hint="eastAsia"/>
        </w:rPr>
        <w:t>均</w:t>
      </w:r>
      <w:r w:rsidRPr="00AC5A7D">
        <w:rPr>
          <w:rFonts w:hint="eastAsia"/>
        </w:rPr>
        <w:t>稱</w:t>
      </w:r>
      <w:r>
        <w:rPr>
          <w:rFonts w:hint="eastAsia"/>
        </w:rPr>
        <w:t>，輔助成本是可以算的</w:t>
      </w:r>
      <w:r w:rsidR="00491569">
        <w:rPr>
          <w:rFonts w:hint="eastAsia"/>
        </w:rPr>
        <w:t>；</w:t>
      </w:r>
      <w:r>
        <w:rPr>
          <w:rFonts w:hint="eastAsia"/>
        </w:rPr>
        <w:lastRenderedPageBreak/>
        <w:t>而</w:t>
      </w:r>
      <w:r w:rsidRPr="00AC5A7D">
        <w:rPr>
          <w:rFonts w:hint="eastAsia"/>
        </w:rPr>
        <w:t>該公司</w:t>
      </w:r>
      <w:r w:rsidRPr="0070525E">
        <w:rPr>
          <w:rFonts w:hint="eastAsia"/>
        </w:rPr>
        <w:t>調度處專業工程師</w:t>
      </w:r>
      <w:r w:rsidR="0017704A">
        <w:rPr>
          <w:rFonts w:hint="eastAsia"/>
        </w:rPr>
        <w:t>也</w:t>
      </w:r>
      <w:r w:rsidRPr="00AC5A7D">
        <w:rPr>
          <w:rFonts w:hint="eastAsia"/>
        </w:rPr>
        <w:t>表示</w:t>
      </w:r>
      <w:r>
        <w:rPr>
          <w:rFonts w:hint="eastAsia"/>
        </w:rPr>
        <w:t>，</w:t>
      </w:r>
      <w:r w:rsidR="0017704A">
        <w:rPr>
          <w:rFonts w:hint="eastAsia"/>
        </w:rPr>
        <w:t>從</w:t>
      </w:r>
      <w:r w:rsidR="000D5E1D">
        <w:t>102</w:t>
      </w:r>
      <w:r w:rsidR="000D5E1D">
        <w:rPr>
          <w:rFonts w:hint="eastAsia"/>
        </w:rPr>
        <w:t>年</w:t>
      </w:r>
      <w:r w:rsidR="000D5E1D">
        <w:t>2</w:t>
      </w:r>
      <w:r w:rsidR="000D5E1D">
        <w:rPr>
          <w:rFonts w:hint="eastAsia"/>
        </w:rPr>
        <w:t>月起，</w:t>
      </w:r>
      <w:r w:rsidR="0017704A">
        <w:rPr>
          <w:rFonts w:hint="eastAsia"/>
        </w:rPr>
        <w:t>台電公司</w:t>
      </w:r>
      <w:r w:rsidR="000D5E1D">
        <w:rPr>
          <w:rFonts w:hint="eastAsia"/>
        </w:rPr>
        <w:t>已參考國外既有之方法</w:t>
      </w:r>
      <w:r w:rsidR="0017704A">
        <w:rPr>
          <w:rFonts w:hint="eastAsia"/>
        </w:rPr>
        <w:t>將輔助服務成本</w:t>
      </w:r>
      <w:r w:rsidR="000D5E1D">
        <w:rPr>
          <w:rFonts w:hint="eastAsia"/>
        </w:rPr>
        <w:t>進行計算，</w:t>
      </w:r>
      <w:r w:rsidR="0017704A">
        <w:rPr>
          <w:rFonts w:hint="eastAsia"/>
        </w:rPr>
        <w:t>正</w:t>
      </w:r>
      <w:r w:rsidR="000D5E1D">
        <w:rPr>
          <w:rFonts w:hint="eastAsia"/>
        </w:rPr>
        <w:t>謹慎的研究，</w:t>
      </w:r>
      <w:r w:rsidR="0017704A">
        <w:rPr>
          <w:rFonts w:hint="eastAsia"/>
        </w:rPr>
        <w:t>參與者</w:t>
      </w:r>
      <w:r w:rsidR="000D5E1D">
        <w:rPr>
          <w:rFonts w:hint="eastAsia"/>
        </w:rPr>
        <w:t>還有其他</w:t>
      </w:r>
      <w:r w:rsidR="000D5E1D">
        <w:t>3</w:t>
      </w:r>
      <w:r w:rsidR="000D5E1D">
        <w:rPr>
          <w:rFonts w:hint="eastAsia"/>
        </w:rPr>
        <w:t>位同仁。</w:t>
      </w:r>
      <w:r w:rsidR="0017704A">
        <w:rPr>
          <w:rFonts w:hint="eastAsia"/>
        </w:rPr>
        <w:t>依</w:t>
      </w:r>
      <w:r>
        <w:rPr>
          <w:rFonts w:hint="eastAsia"/>
        </w:rPr>
        <w:t>前揭台電公司相關人員之說法，該</w:t>
      </w:r>
      <w:r w:rsidRPr="00982FEC">
        <w:rPr>
          <w:rFonts w:hint="eastAsia"/>
        </w:rPr>
        <w:t>公司</w:t>
      </w:r>
      <w:r w:rsidR="00360039" w:rsidRPr="004E2E5B">
        <w:rPr>
          <w:rFonts w:hint="eastAsia"/>
        </w:rPr>
        <w:t>並未</w:t>
      </w:r>
      <w:r w:rsidR="0017704A">
        <w:rPr>
          <w:rFonts w:hint="eastAsia"/>
        </w:rPr>
        <w:t>深刻體認到此一問題可能引發的風暴，而</w:t>
      </w:r>
      <w:r w:rsidR="00360039" w:rsidRPr="004E2E5B">
        <w:rPr>
          <w:rFonts w:hint="eastAsia"/>
        </w:rPr>
        <w:t>責由高階主管成立專案小組進行估算，</w:t>
      </w:r>
      <w:r w:rsidR="0017704A">
        <w:rPr>
          <w:rFonts w:hint="eastAsia"/>
        </w:rPr>
        <w:t>仍然</w:t>
      </w:r>
      <w:r w:rsidRPr="00982FEC">
        <w:rPr>
          <w:rFonts w:hint="eastAsia"/>
        </w:rPr>
        <w:t>僅由</w:t>
      </w:r>
      <w:r w:rsidRPr="00AC5A7D">
        <w:rPr>
          <w:rFonts w:hint="eastAsia"/>
        </w:rPr>
        <w:t>專業工程師率所屬3位承辦人員</w:t>
      </w:r>
      <w:r w:rsidR="002E0D7B">
        <w:rPr>
          <w:rFonts w:hint="eastAsia"/>
        </w:rPr>
        <w:t>主其事</w:t>
      </w:r>
      <w:r w:rsidR="00491569">
        <w:rPr>
          <w:rFonts w:hint="eastAsia"/>
        </w:rPr>
        <w:t>。</w:t>
      </w:r>
      <w:r w:rsidR="00C02596">
        <w:rPr>
          <w:rFonts w:hint="eastAsia"/>
        </w:rPr>
        <w:t>因此，一旦</w:t>
      </w:r>
      <w:r w:rsidR="00491569">
        <w:rPr>
          <w:rFonts w:hint="eastAsia"/>
        </w:rPr>
        <w:t>台電公司有關</w:t>
      </w:r>
      <w:r w:rsidRPr="00982FEC">
        <w:rPr>
          <w:rFonts w:hint="eastAsia"/>
        </w:rPr>
        <w:t>輔助服務成本</w:t>
      </w:r>
      <w:r>
        <w:rPr>
          <w:rFonts w:hint="eastAsia"/>
        </w:rPr>
        <w:t>等</w:t>
      </w:r>
      <w:r w:rsidRPr="00AC5A7D">
        <w:rPr>
          <w:rFonts w:hint="eastAsia"/>
        </w:rPr>
        <w:t>發電成本計算</w:t>
      </w:r>
      <w:r w:rsidR="00491569">
        <w:rPr>
          <w:rFonts w:hint="eastAsia"/>
        </w:rPr>
        <w:t>之</w:t>
      </w:r>
      <w:r w:rsidRPr="00982FEC">
        <w:rPr>
          <w:rFonts w:hint="eastAsia"/>
        </w:rPr>
        <w:t>第一線</w:t>
      </w:r>
      <w:r w:rsidR="00491569">
        <w:rPr>
          <w:rFonts w:hint="eastAsia"/>
        </w:rPr>
        <w:t>工作</w:t>
      </w:r>
      <w:r w:rsidRPr="00982FEC">
        <w:rPr>
          <w:rFonts w:hint="eastAsia"/>
        </w:rPr>
        <w:t>人員</w:t>
      </w:r>
      <w:r w:rsidR="00491569">
        <w:rPr>
          <w:rFonts w:hint="eastAsia"/>
        </w:rPr>
        <w:t>，</w:t>
      </w:r>
      <w:r w:rsidRPr="00AC5A7D">
        <w:rPr>
          <w:rFonts w:hint="eastAsia"/>
        </w:rPr>
        <w:t>若</w:t>
      </w:r>
      <w:r w:rsidR="00491569">
        <w:rPr>
          <w:rFonts w:hint="eastAsia"/>
        </w:rPr>
        <w:t>因</w:t>
      </w:r>
      <w:r w:rsidR="002E0D7B">
        <w:rPr>
          <w:rFonts w:hint="eastAsia"/>
        </w:rPr>
        <w:t>位階不高、</w:t>
      </w:r>
      <w:r w:rsidR="00491569">
        <w:rPr>
          <w:rFonts w:hint="eastAsia"/>
        </w:rPr>
        <w:t>人力不足、</w:t>
      </w:r>
      <w:r w:rsidR="002E0D7B">
        <w:rPr>
          <w:rFonts w:hint="eastAsia"/>
        </w:rPr>
        <w:t>經費不夠、</w:t>
      </w:r>
      <w:r w:rsidR="00491569">
        <w:rPr>
          <w:rFonts w:hint="eastAsia"/>
        </w:rPr>
        <w:t>資訊不完整，而提供不實</w:t>
      </w:r>
      <w:r w:rsidR="002E0D7B">
        <w:rPr>
          <w:rFonts w:hint="eastAsia"/>
        </w:rPr>
        <w:t>、甚或偏差</w:t>
      </w:r>
      <w:r w:rsidR="00491569">
        <w:rPr>
          <w:rFonts w:hint="eastAsia"/>
        </w:rPr>
        <w:t>之評估</w:t>
      </w:r>
      <w:r w:rsidRPr="00982FEC">
        <w:rPr>
          <w:rFonts w:hint="eastAsia"/>
        </w:rPr>
        <w:t>，</w:t>
      </w:r>
      <w:r w:rsidR="00491569">
        <w:rPr>
          <w:rFonts w:hint="eastAsia"/>
        </w:rPr>
        <w:t>不僅</w:t>
      </w:r>
      <w:r>
        <w:rPr>
          <w:rFonts w:hint="eastAsia"/>
        </w:rPr>
        <w:t>將</w:t>
      </w:r>
      <w:r w:rsidRPr="00982FEC">
        <w:rPr>
          <w:rFonts w:hint="eastAsia"/>
        </w:rPr>
        <w:t>誤導經濟部、行政院</w:t>
      </w:r>
      <w:r w:rsidR="00491569">
        <w:rPr>
          <w:rFonts w:hint="eastAsia"/>
        </w:rPr>
        <w:t>之思</w:t>
      </w:r>
      <w:r w:rsidR="00B3331B">
        <w:rPr>
          <w:rFonts w:hint="eastAsia"/>
        </w:rPr>
        <w:t>維</w:t>
      </w:r>
      <w:r w:rsidRPr="00982FEC">
        <w:rPr>
          <w:rFonts w:hint="eastAsia"/>
        </w:rPr>
        <w:t>，</w:t>
      </w:r>
      <w:r w:rsidR="00491569">
        <w:rPr>
          <w:rFonts w:hint="eastAsia"/>
        </w:rPr>
        <w:t>甚至恐置經濟部及行政院</w:t>
      </w:r>
      <w:r>
        <w:rPr>
          <w:rFonts w:hint="eastAsia"/>
        </w:rPr>
        <w:t>於</w:t>
      </w:r>
      <w:r w:rsidR="008170F8">
        <w:rPr>
          <w:rFonts w:hint="eastAsia"/>
        </w:rPr>
        <w:t>決策</w:t>
      </w:r>
      <w:r>
        <w:rPr>
          <w:rFonts w:hint="eastAsia"/>
        </w:rPr>
        <w:t>險境</w:t>
      </w:r>
      <w:r w:rsidR="00491569">
        <w:rPr>
          <w:rFonts w:hint="eastAsia"/>
        </w:rPr>
        <w:t>。</w:t>
      </w:r>
      <w:r>
        <w:rPr>
          <w:rFonts w:hint="eastAsia"/>
        </w:rPr>
        <w:t>然</w:t>
      </w:r>
      <w:r w:rsidR="00491569">
        <w:rPr>
          <w:rFonts w:hint="eastAsia"/>
        </w:rPr>
        <w:t>該</w:t>
      </w:r>
      <w:r>
        <w:rPr>
          <w:rFonts w:hint="eastAsia"/>
        </w:rPr>
        <w:t>公司卻反應遲鈍</w:t>
      </w:r>
      <w:r w:rsidR="00360039">
        <w:rPr>
          <w:rFonts w:hint="eastAsia"/>
        </w:rPr>
        <w:t>，</w:t>
      </w:r>
      <w:r w:rsidR="00360039" w:rsidRPr="004E2E5B">
        <w:rPr>
          <w:rFonts w:hint="eastAsia"/>
        </w:rPr>
        <w:t>警覺性不足</w:t>
      </w:r>
      <w:r>
        <w:rPr>
          <w:rFonts w:hint="eastAsia"/>
        </w:rPr>
        <w:t>，從編制人力</w:t>
      </w:r>
      <w:r w:rsidR="00491569">
        <w:rPr>
          <w:rFonts w:hint="eastAsia"/>
        </w:rPr>
        <w:t>到</w:t>
      </w:r>
      <w:r>
        <w:rPr>
          <w:rFonts w:hint="eastAsia"/>
        </w:rPr>
        <w:t>預算</w:t>
      </w:r>
      <w:r w:rsidR="00491569">
        <w:rPr>
          <w:rFonts w:hint="eastAsia"/>
        </w:rPr>
        <w:t>支應</w:t>
      </w:r>
      <w:r w:rsidR="00360039" w:rsidRPr="004E2E5B">
        <w:rPr>
          <w:rFonts w:hint="eastAsia"/>
        </w:rPr>
        <w:t>等配套</w:t>
      </w:r>
      <w:r w:rsidR="00491569">
        <w:rPr>
          <w:rFonts w:hint="eastAsia"/>
        </w:rPr>
        <w:t>措施</w:t>
      </w:r>
      <w:r>
        <w:rPr>
          <w:rFonts w:hint="eastAsia"/>
        </w:rPr>
        <w:t>，</w:t>
      </w:r>
      <w:r w:rsidR="00360039">
        <w:rPr>
          <w:rFonts w:hint="eastAsia"/>
        </w:rPr>
        <w:t>皆</w:t>
      </w:r>
      <w:r>
        <w:rPr>
          <w:rFonts w:hint="eastAsia"/>
        </w:rPr>
        <w:t>未足以正視此問題，急應改善。</w:t>
      </w:r>
    </w:p>
    <w:p w:rsidR="00E36F6C" w:rsidRPr="007B367F" w:rsidRDefault="00991E10" w:rsidP="00E36F6C">
      <w:pPr>
        <w:pStyle w:val="3"/>
        <w:widowControl/>
        <w:numPr>
          <w:ilvl w:val="2"/>
          <w:numId w:val="5"/>
        </w:numPr>
        <w:kinsoku/>
      </w:pPr>
      <w:r w:rsidRPr="007B367F">
        <w:rPr>
          <w:rFonts w:hint="eastAsia"/>
        </w:rPr>
        <w:t>綜上，</w:t>
      </w:r>
      <w:r w:rsidR="00D7261B" w:rsidRPr="00D7261B">
        <w:rPr>
          <w:rFonts w:hint="eastAsia"/>
          <w:color w:val="000000" w:themeColor="text1"/>
        </w:rPr>
        <w:t>台電公司為國內唯一綜合電業，面對電業自由化之聲浪與挑戰，允宜儘速就輔助服務成本部分，強化單位之組成，進行必要之研究，並挹注資源，</w:t>
      </w:r>
      <w:r w:rsidR="002E0D7B">
        <w:rPr>
          <w:rFonts w:hint="eastAsia"/>
          <w:color w:val="000000" w:themeColor="text1"/>
        </w:rPr>
        <w:t>俾</w:t>
      </w:r>
      <w:r w:rsidR="00D7261B" w:rsidRPr="00D7261B">
        <w:rPr>
          <w:rFonts w:hint="eastAsia"/>
          <w:color w:val="000000" w:themeColor="text1"/>
        </w:rPr>
        <w:t>避免在核四成本爭論中完全陷於被動，甚至將經濟部</w:t>
      </w:r>
      <w:r w:rsidR="002E0D7B">
        <w:rPr>
          <w:rFonts w:hint="eastAsia"/>
          <w:color w:val="000000" w:themeColor="text1"/>
        </w:rPr>
        <w:t>、</w:t>
      </w:r>
      <w:r w:rsidR="00D7261B" w:rsidRPr="00D7261B">
        <w:rPr>
          <w:rFonts w:hint="eastAsia"/>
          <w:color w:val="000000" w:themeColor="text1"/>
        </w:rPr>
        <w:t>乃至行政院均置於決策險境中</w:t>
      </w:r>
      <w:r w:rsidR="005D7CDE" w:rsidRPr="00F00BE2">
        <w:rPr>
          <w:rFonts w:hint="eastAsia"/>
          <w:color w:val="000000" w:themeColor="text1"/>
        </w:rPr>
        <w:t>。</w:t>
      </w:r>
    </w:p>
    <w:p w:rsidR="00A83956" w:rsidRDefault="00445D6A" w:rsidP="00E07D39">
      <w:pPr>
        <w:pStyle w:val="2"/>
        <w:widowControl/>
        <w:numPr>
          <w:ilvl w:val="1"/>
          <w:numId w:val="5"/>
        </w:numPr>
        <w:kinsoku/>
      </w:pPr>
      <w:bookmarkStart w:id="8" w:name="_Toc370476366"/>
      <w:r w:rsidRPr="00DA0124">
        <w:rPr>
          <w:rFonts w:hAnsi="標楷體" w:hint="eastAsia"/>
          <w:szCs w:val="28"/>
        </w:rPr>
        <w:t>經濟部核定</w:t>
      </w:r>
      <w:r w:rsidR="00A83956" w:rsidRPr="00DA0124">
        <w:rPr>
          <w:rFonts w:hAnsi="標楷體"/>
          <w:szCs w:val="28"/>
        </w:rPr>
        <w:t>台電</w:t>
      </w:r>
      <w:r w:rsidR="00A83956" w:rsidRPr="00DA0124">
        <w:rPr>
          <w:rFonts w:hAnsi="標楷體" w:hint="eastAsia"/>
          <w:szCs w:val="28"/>
        </w:rPr>
        <w:t>公司委外估算</w:t>
      </w:r>
      <w:r w:rsidR="001F2D08" w:rsidRPr="00DA0124">
        <w:rPr>
          <w:rFonts w:hAnsi="標楷體" w:hint="eastAsia"/>
          <w:szCs w:val="28"/>
        </w:rPr>
        <w:t>7種參考情節</w:t>
      </w:r>
      <w:r w:rsidR="00A83956" w:rsidRPr="00DA0124">
        <w:rPr>
          <w:rFonts w:hAnsi="標楷體" w:hint="eastAsia"/>
          <w:szCs w:val="28"/>
        </w:rPr>
        <w:t>，並以目</w:t>
      </w:r>
      <w:r w:rsidR="00A83956" w:rsidRPr="004C081C">
        <w:rPr>
          <w:rFonts w:hAnsi="標楷體" w:hint="eastAsia"/>
          <w:szCs w:val="28"/>
        </w:rPr>
        <w:t>前</w:t>
      </w:r>
      <w:r w:rsidR="00E909E9">
        <w:rPr>
          <w:rFonts w:hAnsi="標楷體" w:hint="eastAsia"/>
          <w:szCs w:val="28"/>
        </w:rPr>
        <w:t>3</w:t>
      </w:r>
      <w:r w:rsidR="00B3331B">
        <w:rPr>
          <w:rFonts w:hAnsi="標楷體" w:hint="eastAsia"/>
          <w:szCs w:val="28"/>
        </w:rPr>
        <w:t>座</w:t>
      </w:r>
      <w:r w:rsidR="00E909E9">
        <w:rPr>
          <w:rFonts w:hAnsi="標楷體" w:hint="eastAsia"/>
          <w:szCs w:val="28"/>
        </w:rPr>
        <w:t>核</w:t>
      </w:r>
      <w:r w:rsidR="00E909E9" w:rsidRPr="00E909E9">
        <w:rPr>
          <w:rFonts w:hAnsi="標楷體" w:hint="eastAsia"/>
          <w:szCs w:val="28"/>
        </w:rPr>
        <w:t>能電廠</w:t>
      </w:r>
      <w:r w:rsidR="00A83956" w:rsidRPr="00E909E9">
        <w:rPr>
          <w:rFonts w:hAnsi="標楷體" w:hint="eastAsia"/>
          <w:szCs w:val="28"/>
        </w:rPr>
        <w:t>6部機</w:t>
      </w:r>
      <w:r w:rsidR="004A5FE5" w:rsidRPr="00E909E9">
        <w:rPr>
          <w:rFonts w:hAnsi="標楷體" w:hint="eastAsia"/>
          <w:szCs w:val="28"/>
        </w:rPr>
        <w:t>營</w:t>
      </w:r>
      <w:r w:rsidR="00A83956" w:rsidRPr="00E909E9">
        <w:rPr>
          <w:rFonts w:hAnsi="標楷體" w:hint="eastAsia"/>
          <w:szCs w:val="28"/>
        </w:rPr>
        <w:t>運40年</w:t>
      </w:r>
      <w:r w:rsidR="00E909E9" w:rsidRPr="00E909E9">
        <w:rPr>
          <w:rFonts w:hAnsi="標楷體" w:hint="eastAsia"/>
          <w:szCs w:val="28"/>
        </w:rPr>
        <w:t>之</w:t>
      </w:r>
      <w:r w:rsidR="00A83956" w:rsidRPr="00E909E9">
        <w:rPr>
          <w:rFonts w:hAnsi="標楷體" w:hint="eastAsia"/>
          <w:szCs w:val="28"/>
        </w:rPr>
        <w:t>情節，估算出</w:t>
      </w:r>
      <w:r w:rsidR="004A5FE5" w:rsidRPr="00E909E9">
        <w:rPr>
          <w:rFonts w:hAnsi="標楷體"/>
          <w:szCs w:val="28"/>
        </w:rPr>
        <w:t>核能後端營運總費用與每度核</w:t>
      </w:r>
      <w:r w:rsidR="004A5FE5" w:rsidRPr="006450FA">
        <w:rPr>
          <w:rFonts w:hAnsi="標楷體"/>
          <w:szCs w:val="28"/>
        </w:rPr>
        <w:t>能發電分攤率</w:t>
      </w:r>
      <w:r w:rsidR="00515A43" w:rsidRPr="006450FA">
        <w:rPr>
          <w:rFonts w:hAnsi="標楷體" w:hint="eastAsia"/>
          <w:szCs w:val="28"/>
        </w:rPr>
        <w:t>分別</w:t>
      </w:r>
      <w:r w:rsidR="00A83956" w:rsidRPr="006450FA">
        <w:rPr>
          <w:rFonts w:hAnsi="標楷體" w:hint="eastAsia"/>
          <w:szCs w:val="28"/>
        </w:rPr>
        <w:t>為3,353億元及</w:t>
      </w:r>
      <w:r w:rsidRPr="006450FA">
        <w:rPr>
          <w:rFonts w:hAnsi="標楷體" w:hint="eastAsia"/>
          <w:szCs w:val="28"/>
        </w:rPr>
        <w:t>0.17</w:t>
      </w:r>
      <w:r w:rsidR="00A83956" w:rsidRPr="006450FA">
        <w:rPr>
          <w:rFonts w:hAnsi="標楷體" w:hint="eastAsia"/>
          <w:szCs w:val="28"/>
        </w:rPr>
        <w:t>元</w:t>
      </w:r>
      <w:r w:rsidR="004A5FE5" w:rsidRPr="006450FA">
        <w:rPr>
          <w:rFonts w:hAnsi="標楷體" w:hint="eastAsia"/>
          <w:szCs w:val="28"/>
        </w:rPr>
        <w:t>，</w:t>
      </w:r>
      <w:r w:rsidR="00A83956" w:rsidRPr="006450FA">
        <w:rPr>
          <w:rFonts w:hAnsi="標楷體" w:hint="eastAsia"/>
          <w:szCs w:val="28"/>
        </w:rPr>
        <w:t>然</w:t>
      </w:r>
      <w:r w:rsidR="001C6C0A" w:rsidRPr="006450FA">
        <w:rPr>
          <w:rFonts w:hAnsi="標楷體" w:hint="eastAsia"/>
          <w:szCs w:val="28"/>
        </w:rPr>
        <w:t>除容量因素、預備金等參數設定</w:t>
      </w:r>
      <w:r w:rsidRPr="006450FA">
        <w:rPr>
          <w:rFonts w:hAnsi="標楷體" w:hint="eastAsia"/>
          <w:szCs w:val="28"/>
        </w:rPr>
        <w:t>較以往寬鬆</w:t>
      </w:r>
      <w:r w:rsidR="001C6C0A" w:rsidRPr="006450FA">
        <w:rPr>
          <w:rFonts w:hAnsi="標楷體" w:hint="eastAsia"/>
          <w:szCs w:val="28"/>
        </w:rPr>
        <w:t>外，</w:t>
      </w:r>
      <w:r w:rsidR="00E909E9" w:rsidRPr="006450FA">
        <w:rPr>
          <w:rFonts w:hAnsi="標楷體" w:hint="eastAsia"/>
          <w:szCs w:val="28"/>
        </w:rPr>
        <w:t>並遭質疑皆</w:t>
      </w:r>
      <w:r w:rsidR="001C6C0A" w:rsidRPr="006450FA">
        <w:rPr>
          <w:rFonts w:hAnsi="標楷體" w:hint="eastAsia"/>
          <w:szCs w:val="28"/>
        </w:rPr>
        <w:t>未考量計入</w:t>
      </w:r>
      <w:r w:rsidR="001C6C0A" w:rsidRPr="006450FA">
        <w:rPr>
          <w:rFonts w:hAnsi="標楷體"/>
          <w:szCs w:val="28"/>
        </w:rPr>
        <w:t>核災事故</w:t>
      </w:r>
      <w:r w:rsidR="004A5FE5" w:rsidRPr="006450FA">
        <w:rPr>
          <w:rFonts w:hAnsi="標楷體" w:hint="eastAsia"/>
          <w:szCs w:val="28"/>
        </w:rPr>
        <w:t>及</w:t>
      </w:r>
      <w:r w:rsidR="001C6C0A" w:rsidRPr="006450FA">
        <w:rPr>
          <w:rFonts w:hAnsi="標楷體" w:hint="eastAsia"/>
          <w:szCs w:val="28"/>
        </w:rPr>
        <w:t>其他外部等</w:t>
      </w:r>
      <w:r w:rsidR="001C6C0A" w:rsidRPr="006450FA">
        <w:rPr>
          <w:rFonts w:hAnsi="標楷體"/>
          <w:szCs w:val="28"/>
        </w:rPr>
        <w:t>成本</w:t>
      </w:r>
      <w:r w:rsidR="00150CE4" w:rsidRPr="006450FA">
        <w:rPr>
          <w:rFonts w:hAnsi="標楷體" w:hint="eastAsia"/>
          <w:szCs w:val="28"/>
        </w:rPr>
        <w:t>，</w:t>
      </w:r>
      <w:r w:rsidR="00515A43" w:rsidRPr="006450FA">
        <w:rPr>
          <w:rFonts w:hAnsi="標楷體" w:hint="eastAsia"/>
          <w:szCs w:val="28"/>
        </w:rPr>
        <w:t>該</w:t>
      </w:r>
      <w:r w:rsidR="00A83956" w:rsidRPr="006450FA">
        <w:rPr>
          <w:rFonts w:hAnsi="標楷體" w:hint="eastAsia"/>
          <w:szCs w:val="28"/>
        </w:rPr>
        <w:t>公司</w:t>
      </w:r>
      <w:r w:rsidR="00E909E9" w:rsidRPr="006450FA">
        <w:rPr>
          <w:rFonts w:hAnsi="標楷體" w:hint="eastAsia"/>
          <w:szCs w:val="28"/>
        </w:rPr>
        <w:t>允</w:t>
      </w:r>
      <w:r w:rsidR="00B14EB2" w:rsidRPr="006450FA">
        <w:rPr>
          <w:rFonts w:hAnsi="標楷體" w:hint="eastAsia"/>
          <w:szCs w:val="28"/>
        </w:rPr>
        <w:t>應</w:t>
      </w:r>
      <w:r w:rsidR="004A5FE5" w:rsidRPr="006450FA">
        <w:rPr>
          <w:rFonts w:hAnsi="標楷體" w:hint="eastAsia"/>
          <w:szCs w:val="28"/>
        </w:rPr>
        <w:t>參考國外實情</w:t>
      </w:r>
      <w:r w:rsidR="004A5FE5" w:rsidRPr="006450FA">
        <w:rPr>
          <w:rFonts w:hAnsi="標楷體"/>
          <w:szCs w:val="28"/>
        </w:rPr>
        <w:t>，</w:t>
      </w:r>
      <w:r w:rsidR="00A83956" w:rsidRPr="006450FA">
        <w:rPr>
          <w:rFonts w:hAnsi="標楷體"/>
          <w:bCs w:val="0"/>
          <w:szCs w:val="28"/>
        </w:rPr>
        <w:t>以</w:t>
      </w:r>
      <w:r w:rsidR="001C6C0A" w:rsidRPr="006450FA">
        <w:rPr>
          <w:rFonts w:hAnsi="標楷體" w:hint="eastAsia"/>
          <w:bCs w:val="0"/>
          <w:szCs w:val="28"/>
        </w:rPr>
        <w:t>提高估算精準度</w:t>
      </w:r>
      <w:r w:rsidR="001C6C0A" w:rsidRPr="006450FA">
        <w:rPr>
          <w:rFonts w:hAnsi="標楷體" w:hint="eastAsia"/>
          <w:bCs w:val="0"/>
          <w:szCs w:val="26"/>
        </w:rPr>
        <w:t>，</w:t>
      </w:r>
      <w:r w:rsidR="00BB28D7" w:rsidRPr="006450FA">
        <w:rPr>
          <w:rFonts w:hAnsi="標楷體" w:hint="eastAsia"/>
          <w:bCs w:val="0"/>
          <w:szCs w:val="28"/>
        </w:rPr>
        <w:t>並研究可行之避險機制</w:t>
      </w:r>
      <w:r w:rsidR="00F57C46" w:rsidRPr="00F57C46">
        <w:rPr>
          <w:rFonts w:hint="eastAsia"/>
        </w:rPr>
        <w:t>：</w:t>
      </w:r>
      <w:bookmarkEnd w:id="8"/>
      <w:r w:rsidR="00BB28D7">
        <w:t xml:space="preserve"> </w:t>
      </w:r>
    </w:p>
    <w:p w:rsidR="00C753BD" w:rsidRPr="00C753BD" w:rsidRDefault="00456FD3" w:rsidP="00E07D39">
      <w:pPr>
        <w:pStyle w:val="3"/>
        <w:widowControl/>
        <w:numPr>
          <w:ilvl w:val="2"/>
          <w:numId w:val="5"/>
        </w:numPr>
        <w:kinsoku/>
      </w:pPr>
      <w:r w:rsidRPr="00D7627E">
        <w:rPr>
          <w:rFonts w:hAnsi="標楷體" w:hint="eastAsia"/>
          <w:szCs w:val="28"/>
        </w:rPr>
        <w:t>按</w:t>
      </w:r>
      <w:r>
        <w:t>核能發電</w:t>
      </w:r>
      <w:r w:rsidRPr="00FD58B6">
        <w:rPr>
          <w:rFonts w:hint="eastAsia"/>
        </w:rPr>
        <w:t>將</w:t>
      </w:r>
      <w:r w:rsidRPr="00FD58B6">
        <w:t>產生具有放射性</w:t>
      </w:r>
      <w:r w:rsidRPr="00FD58B6">
        <w:rPr>
          <w:rFonts w:hint="eastAsia"/>
        </w:rPr>
        <w:t>之</w:t>
      </w:r>
      <w:r w:rsidRPr="00FD58B6">
        <w:t>廢棄物，而在電廠</w:t>
      </w:r>
      <w:r w:rsidR="00B83687">
        <w:rPr>
          <w:rFonts w:hint="eastAsia"/>
        </w:rPr>
        <w:t>屆齡除役</w:t>
      </w:r>
      <w:r w:rsidRPr="00FD58B6">
        <w:t>後，其除役拆廠亦會產生放射性廢棄物</w:t>
      </w:r>
      <w:r w:rsidRPr="00FD58B6">
        <w:rPr>
          <w:rFonts w:hint="eastAsia"/>
        </w:rPr>
        <w:t>，該等</w:t>
      </w:r>
      <w:r w:rsidR="00B83687" w:rsidRPr="00FD58B6">
        <w:t>放射性</w:t>
      </w:r>
      <w:r w:rsidRPr="00FD58B6">
        <w:t>廢棄物</w:t>
      </w:r>
      <w:r w:rsidRPr="00FD58B6">
        <w:rPr>
          <w:rFonts w:hint="eastAsia"/>
        </w:rPr>
        <w:t>須</w:t>
      </w:r>
      <w:r w:rsidRPr="00FD58B6">
        <w:t>加以妥善處理、貯存與處置，</w:t>
      </w:r>
      <w:r w:rsidRPr="00FD58B6">
        <w:rPr>
          <w:rFonts w:hint="eastAsia"/>
        </w:rPr>
        <w:t>此即為</w:t>
      </w:r>
      <w:r w:rsidRPr="00FD58B6">
        <w:t>核能後端營運工作</w:t>
      </w:r>
      <w:r w:rsidRPr="00FD58B6">
        <w:rPr>
          <w:rFonts w:hint="eastAsia"/>
        </w:rPr>
        <w:t>。</w:t>
      </w:r>
      <w:r w:rsidR="00FF4CDA">
        <w:rPr>
          <w:rFonts w:hint="eastAsia"/>
        </w:rPr>
        <w:t>又依據</w:t>
      </w:r>
      <w:r w:rsidR="00FF4CDA" w:rsidRPr="0056454D">
        <w:t>「放射性物料管</w:t>
      </w:r>
      <w:r w:rsidR="00FF4CDA" w:rsidRPr="0056454D">
        <w:lastRenderedPageBreak/>
        <w:t>理法」</w:t>
      </w:r>
      <w:r w:rsidR="00FF4CDA" w:rsidRPr="0056454D">
        <w:rPr>
          <w:rFonts w:hint="eastAsia"/>
        </w:rPr>
        <w:t>第</w:t>
      </w:r>
      <w:r w:rsidR="00FF4CDA" w:rsidRPr="00BB0598">
        <w:rPr>
          <w:rFonts w:hint="eastAsia"/>
        </w:rPr>
        <w:t>29條第1項規定，放射性廢棄物之處理、運送、貯存及最終處置，應由放射性廢棄物產生者自行或委託具有國內、外放射性廢棄物最終處置技術能力或設施之業者處置其廢棄物。因此，台電公司</w:t>
      </w:r>
      <w:r w:rsidR="00B83687">
        <w:rPr>
          <w:rFonts w:hint="eastAsia"/>
        </w:rPr>
        <w:t>應</w:t>
      </w:r>
      <w:r w:rsidR="00B83687" w:rsidRPr="00BB0598">
        <w:rPr>
          <w:rFonts w:hint="eastAsia"/>
        </w:rPr>
        <w:t>負責</w:t>
      </w:r>
      <w:r w:rsidR="00B83687">
        <w:rPr>
          <w:rFonts w:hint="eastAsia"/>
        </w:rPr>
        <w:t>其</w:t>
      </w:r>
      <w:r w:rsidR="00B83687">
        <w:t>核能發電</w:t>
      </w:r>
      <w:r w:rsidR="00B83687">
        <w:rPr>
          <w:rFonts w:hint="eastAsia"/>
        </w:rPr>
        <w:t>廠</w:t>
      </w:r>
      <w:r w:rsidR="00B83687" w:rsidRPr="00BB0598">
        <w:rPr>
          <w:rFonts w:hint="eastAsia"/>
        </w:rPr>
        <w:t>放射性廢棄物之處理、運送、貯存及最終處置</w:t>
      </w:r>
      <w:r w:rsidR="00FF4CDA" w:rsidRPr="00BB0598">
        <w:rPr>
          <w:rFonts w:hint="eastAsia"/>
        </w:rPr>
        <w:t>。</w:t>
      </w:r>
      <w:r w:rsidR="00B83687">
        <w:rPr>
          <w:rFonts w:hint="eastAsia"/>
        </w:rPr>
        <w:t>查</w:t>
      </w:r>
      <w:r w:rsidR="00D7627E">
        <w:t>台電公司自72年即開始蒐集各國有關資料，</w:t>
      </w:r>
      <w:r w:rsidR="00B83687">
        <w:rPr>
          <w:rFonts w:hint="eastAsia"/>
        </w:rPr>
        <w:t>並</w:t>
      </w:r>
      <w:r w:rsidR="00D7627E">
        <w:t>直接引用</w:t>
      </w:r>
      <w:r w:rsidR="00B83687">
        <w:t>當時核能後端營運計畫最完整</w:t>
      </w:r>
      <w:r w:rsidR="00B83687">
        <w:rPr>
          <w:rFonts w:hint="eastAsia"/>
        </w:rPr>
        <w:t>之</w:t>
      </w:r>
      <w:r w:rsidR="00D7627E">
        <w:t>瑞典核能後端營運各單項設施之單價</w:t>
      </w:r>
      <w:r w:rsidR="00B83687">
        <w:t>，</w:t>
      </w:r>
      <w:r w:rsidR="00D7627E">
        <w:t>乘以相對應之</w:t>
      </w:r>
      <w:r w:rsidR="00D7627E">
        <w:rPr>
          <w:rFonts w:hint="eastAsia"/>
        </w:rPr>
        <w:t>台電公司</w:t>
      </w:r>
      <w:r w:rsidR="00D7627E">
        <w:t>用過核子燃料及低放射性廢棄物數量，而</w:t>
      </w:r>
      <w:r w:rsidR="00B83687">
        <w:rPr>
          <w:rFonts w:hint="eastAsia"/>
        </w:rPr>
        <w:t>於</w:t>
      </w:r>
      <w:r w:rsidR="00D7627E">
        <w:t>76年</w:t>
      </w:r>
      <w:r w:rsidR="006035C9" w:rsidRPr="006035C9">
        <w:rPr>
          <w:rFonts w:hint="eastAsia"/>
        </w:rPr>
        <w:t>第1次</w:t>
      </w:r>
      <w:r w:rsidR="00D7627E">
        <w:t>估算出核能後端營運總費用為1,152億</w:t>
      </w:r>
      <w:r w:rsidR="007C0CA3" w:rsidRPr="006035C9">
        <w:t>元</w:t>
      </w:r>
      <w:r w:rsidR="00D7627E">
        <w:t>，</w:t>
      </w:r>
      <w:r w:rsidR="006035C9">
        <w:rPr>
          <w:rFonts w:hint="eastAsia"/>
        </w:rPr>
        <w:t>並</w:t>
      </w:r>
      <w:r w:rsidR="00D7627E">
        <w:rPr>
          <w:rFonts w:hint="eastAsia"/>
        </w:rPr>
        <w:t>計算出</w:t>
      </w:r>
      <w:r w:rsidR="00D7627E">
        <w:t>「每度核能發電分攤率」</w:t>
      </w:r>
      <w:r w:rsidR="00D7627E">
        <w:rPr>
          <w:rFonts w:hint="eastAsia"/>
        </w:rPr>
        <w:t>為</w:t>
      </w:r>
      <w:r w:rsidR="00D7627E" w:rsidRPr="006035C9">
        <w:t>0.</w:t>
      </w:r>
      <w:r w:rsidR="00D7627E" w:rsidRPr="006035C9">
        <w:rPr>
          <w:rFonts w:hint="eastAsia"/>
        </w:rPr>
        <w:t>14</w:t>
      </w:r>
      <w:r w:rsidR="00D7627E" w:rsidRPr="006035C9">
        <w:t>元/度</w:t>
      </w:r>
      <w:r w:rsidR="006035C9" w:rsidRPr="006035C9">
        <w:rPr>
          <w:rFonts w:hint="eastAsia"/>
        </w:rPr>
        <w:t>(</w:t>
      </w:r>
      <w:r w:rsidR="00B83687" w:rsidRPr="006035C9">
        <w:rPr>
          <w:rFonts w:hint="eastAsia"/>
        </w:rPr>
        <w:t>參考情節：6部機</w:t>
      </w:r>
      <w:r w:rsidR="00B83687">
        <w:rPr>
          <w:rFonts w:hint="eastAsia"/>
        </w:rPr>
        <w:t>運轉</w:t>
      </w:r>
      <w:r w:rsidR="00B83687" w:rsidRPr="006035C9">
        <w:rPr>
          <w:rFonts w:hint="eastAsia"/>
        </w:rPr>
        <w:t>30年</w:t>
      </w:r>
      <w:r w:rsidR="007C2E34" w:rsidRPr="006035C9">
        <w:rPr>
          <w:rFonts w:hint="eastAsia"/>
          <w:szCs w:val="26"/>
        </w:rPr>
        <w:t>、</w:t>
      </w:r>
      <w:r w:rsidR="007C2E34" w:rsidRPr="007C2E34">
        <w:rPr>
          <w:rFonts w:hint="eastAsia"/>
          <w:szCs w:val="26"/>
        </w:rPr>
        <w:t>容量因素</w:t>
      </w:r>
      <w:r w:rsidR="007C2E34">
        <w:rPr>
          <w:rFonts w:hint="eastAsia"/>
          <w:szCs w:val="26"/>
        </w:rPr>
        <w:t>73</w:t>
      </w:r>
      <w:r w:rsidR="007C2E34" w:rsidRPr="007C2E34">
        <w:rPr>
          <w:rFonts w:hint="eastAsia"/>
          <w:szCs w:val="26"/>
        </w:rPr>
        <w:t>%</w:t>
      </w:r>
      <w:r w:rsidR="00D118BD">
        <w:rPr>
          <w:rFonts w:hint="eastAsia"/>
          <w:szCs w:val="26"/>
        </w:rPr>
        <w:t>，</w:t>
      </w:r>
      <w:r w:rsidR="006035C9" w:rsidRPr="006035C9">
        <w:rPr>
          <w:rFonts w:hint="eastAsia"/>
        </w:rPr>
        <w:t>估算項目：除役拆廠、運輸、中期貯存、處理及最終處置)</w:t>
      </w:r>
      <w:r w:rsidR="00D7627E">
        <w:t>，以作為每年度提撥基金</w:t>
      </w:r>
      <w:r w:rsidR="00D7627E">
        <w:rPr>
          <w:rFonts w:hint="eastAsia"/>
        </w:rPr>
        <w:t>之</w:t>
      </w:r>
      <w:r w:rsidR="00D7627E">
        <w:t>依據。</w:t>
      </w:r>
      <w:r w:rsidR="00B83687">
        <w:rPr>
          <w:rFonts w:hint="eastAsia"/>
        </w:rPr>
        <w:t>又</w:t>
      </w:r>
      <w:r w:rsidR="00B83687" w:rsidRPr="00D7627E">
        <w:rPr>
          <w:szCs w:val="26"/>
        </w:rPr>
        <w:t>台電公司</w:t>
      </w:r>
      <w:r w:rsidR="00B83687">
        <w:rPr>
          <w:rFonts w:hint="eastAsia"/>
          <w:szCs w:val="26"/>
        </w:rPr>
        <w:t>於</w:t>
      </w:r>
      <w:r w:rsidR="00D7627E" w:rsidRPr="00D7627E">
        <w:rPr>
          <w:szCs w:val="26"/>
        </w:rPr>
        <w:t>81年及90年時，分別</w:t>
      </w:r>
      <w:r w:rsidR="00D7627E" w:rsidRPr="00D7627E">
        <w:rPr>
          <w:rFonts w:hint="eastAsia"/>
          <w:szCs w:val="26"/>
        </w:rPr>
        <w:t>委由益鼎工程股份有限公司</w:t>
      </w:r>
      <w:r w:rsidR="00D7627E" w:rsidRPr="00D7627E">
        <w:rPr>
          <w:szCs w:val="26"/>
        </w:rPr>
        <w:t>執行</w:t>
      </w:r>
      <w:r w:rsidR="00D7627E" w:rsidRPr="00D7627E">
        <w:rPr>
          <w:rFonts w:hint="eastAsia"/>
          <w:szCs w:val="26"/>
        </w:rPr>
        <w:t>重估工作</w:t>
      </w:r>
      <w:r w:rsidR="00D7627E" w:rsidRPr="00D7627E">
        <w:rPr>
          <w:szCs w:val="26"/>
        </w:rPr>
        <w:t>，</w:t>
      </w:r>
      <w:r w:rsidR="00B83687">
        <w:rPr>
          <w:rFonts w:hint="eastAsia"/>
          <w:szCs w:val="26"/>
        </w:rPr>
        <w:t>並</w:t>
      </w:r>
      <w:r w:rsidR="00D7627E" w:rsidRPr="00D7627E">
        <w:rPr>
          <w:szCs w:val="26"/>
        </w:rPr>
        <w:t>估算出當時之核能後端營運總費用</w:t>
      </w:r>
      <w:r w:rsidR="00D7627E" w:rsidRPr="00D7627E">
        <w:rPr>
          <w:rFonts w:hint="eastAsia"/>
          <w:szCs w:val="26"/>
        </w:rPr>
        <w:t>及</w:t>
      </w:r>
      <w:r w:rsidR="00B83687" w:rsidRPr="00D7627E">
        <w:rPr>
          <w:szCs w:val="26"/>
        </w:rPr>
        <w:t>每度核能發電</w:t>
      </w:r>
      <w:r w:rsidR="00D7627E" w:rsidRPr="00D7627E">
        <w:rPr>
          <w:rFonts w:hint="eastAsia"/>
          <w:szCs w:val="26"/>
        </w:rPr>
        <w:t>分攤率</w:t>
      </w:r>
      <w:r w:rsidR="00D7627E" w:rsidRPr="00D7627E">
        <w:rPr>
          <w:szCs w:val="26"/>
        </w:rPr>
        <w:t>分別為</w:t>
      </w:r>
      <w:r w:rsidR="00D7627E" w:rsidRPr="00515A43">
        <w:rPr>
          <w:color w:val="000000" w:themeColor="text1"/>
          <w:szCs w:val="26"/>
        </w:rPr>
        <w:t>1,397億元</w:t>
      </w:r>
      <w:r w:rsidR="00D7627E" w:rsidRPr="00515A43">
        <w:rPr>
          <w:rFonts w:hint="eastAsia"/>
          <w:color w:val="000000" w:themeColor="text1"/>
          <w:szCs w:val="26"/>
        </w:rPr>
        <w:t>、</w:t>
      </w:r>
      <w:r w:rsidR="00D7627E" w:rsidRPr="00515A43">
        <w:rPr>
          <w:color w:val="000000" w:themeColor="text1"/>
          <w:szCs w:val="26"/>
        </w:rPr>
        <w:t>0.</w:t>
      </w:r>
      <w:r w:rsidR="00D7627E" w:rsidRPr="00515A43">
        <w:rPr>
          <w:rFonts w:hint="eastAsia"/>
          <w:color w:val="000000" w:themeColor="text1"/>
          <w:szCs w:val="26"/>
        </w:rPr>
        <w:t>1137</w:t>
      </w:r>
      <w:r w:rsidR="00D7627E" w:rsidRPr="00515A43">
        <w:rPr>
          <w:color w:val="000000" w:themeColor="text1"/>
          <w:szCs w:val="26"/>
        </w:rPr>
        <w:t>元/度(</w:t>
      </w:r>
      <w:r w:rsidR="00B83687" w:rsidRPr="006035C9">
        <w:rPr>
          <w:rFonts w:hint="eastAsia"/>
          <w:szCs w:val="26"/>
        </w:rPr>
        <w:t>參考情節：6部機運轉30年</w:t>
      </w:r>
      <w:r w:rsidR="007C2E34" w:rsidRPr="006035C9">
        <w:rPr>
          <w:rFonts w:hint="eastAsia"/>
          <w:szCs w:val="26"/>
        </w:rPr>
        <w:t>、</w:t>
      </w:r>
      <w:r w:rsidR="007C2E34" w:rsidRPr="007C2E34">
        <w:rPr>
          <w:rFonts w:hint="eastAsia"/>
          <w:szCs w:val="26"/>
        </w:rPr>
        <w:t>容量因素</w:t>
      </w:r>
      <w:r w:rsidR="007C2E34">
        <w:rPr>
          <w:rFonts w:hint="eastAsia"/>
          <w:szCs w:val="26"/>
        </w:rPr>
        <w:t>67.30</w:t>
      </w:r>
      <w:r w:rsidR="007C2E34" w:rsidRPr="007C2E34">
        <w:rPr>
          <w:rFonts w:hint="eastAsia"/>
          <w:szCs w:val="26"/>
        </w:rPr>
        <w:t>%</w:t>
      </w:r>
      <w:r w:rsidR="00B83687" w:rsidRPr="006035C9">
        <w:rPr>
          <w:rFonts w:hint="eastAsia"/>
          <w:szCs w:val="26"/>
        </w:rPr>
        <w:t>，</w:t>
      </w:r>
      <w:r w:rsidR="00D118BD">
        <w:rPr>
          <w:rFonts w:hint="eastAsia"/>
          <w:szCs w:val="26"/>
        </w:rPr>
        <w:t>準備金：低放射性核子廢棄物最終處置及用過核子燃料乾式貯存設施10</w:t>
      </w:r>
      <w:r w:rsidR="00D118BD" w:rsidRPr="007C2E34">
        <w:rPr>
          <w:rFonts w:hint="eastAsia"/>
          <w:szCs w:val="26"/>
        </w:rPr>
        <w:t>%</w:t>
      </w:r>
      <w:r w:rsidR="00D118BD">
        <w:rPr>
          <w:rFonts w:hint="eastAsia"/>
          <w:szCs w:val="26"/>
        </w:rPr>
        <w:t>、電廠除役及高放射性核子廢棄物最終處置20</w:t>
      </w:r>
      <w:r w:rsidR="00D118BD" w:rsidRPr="007C2E34">
        <w:rPr>
          <w:rFonts w:hint="eastAsia"/>
          <w:szCs w:val="26"/>
        </w:rPr>
        <w:t>%</w:t>
      </w:r>
      <w:r w:rsidR="00D118BD" w:rsidRPr="006035C9">
        <w:rPr>
          <w:rFonts w:hint="eastAsia"/>
        </w:rPr>
        <w:t>，</w:t>
      </w:r>
      <w:r w:rsidR="006035C9" w:rsidRPr="006035C9">
        <w:rPr>
          <w:rFonts w:hint="eastAsia"/>
          <w:szCs w:val="26"/>
        </w:rPr>
        <w:t>估算項目：運輸、中期貯存、低放處置、電廠除役、高放處置、蘭嶼除役、減容中心除役</w:t>
      </w:r>
      <w:r w:rsidR="00D7627E" w:rsidRPr="006035C9">
        <w:rPr>
          <w:szCs w:val="26"/>
        </w:rPr>
        <w:t>)</w:t>
      </w:r>
      <w:r w:rsidR="00D7627E" w:rsidRPr="00D7627E">
        <w:rPr>
          <w:szCs w:val="26"/>
        </w:rPr>
        <w:t>及2,754億元</w:t>
      </w:r>
      <w:r w:rsidR="00D7627E" w:rsidRPr="006035C9">
        <w:rPr>
          <w:rFonts w:hint="eastAsia"/>
          <w:szCs w:val="26"/>
        </w:rPr>
        <w:t>、</w:t>
      </w:r>
      <w:r w:rsidR="00D7627E" w:rsidRPr="00D7627E">
        <w:rPr>
          <w:szCs w:val="26"/>
        </w:rPr>
        <w:t>0.</w:t>
      </w:r>
      <w:r w:rsidR="00D7627E" w:rsidRPr="00D7627E">
        <w:rPr>
          <w:rFonts w:hint="eastAsia"/>
          <w:szCs w:val="26"/>
        </w:rPr>
        <w:t>163</w:t>
      </w:r>
      <w:r w:rsidR="00D7627E" w:rsidRPr="00D7627E">
        <w:rPr>
          <w:szCs w:val="26"/>
        </w:rPr>
        <w:t>元/度(</w:t>
      </w:r>
      <w:r w:rsidR="00B83687" w:rsidRPr="006035C9">
        <w:rPr>
          <w:rFonts w:hint="eastAsia"/>
          <w:szCs w:val="26"/>
        </w:rPr>
        <w:t>參考情節：6部機</w:t>
      </w:r>
      <w:r w:rsidR="000623F4" w:rsidRPr="006035C9">
        <w:rPr>
          <w:rFonts w:hint="eastAsia"/>
          <w:szCs w:val="26"/>
        </w:rPr>
        <w:t>運轉</w:t>
      </w:r>
      <w:r w:rsidR="00B83687" w:rsidRPr="006035C9">
        <w:rPr>
          <w:rFonts w:hint="eastAsia"/>
          <w:szCs w:val="26"/>
        </w:rPr>
        <w:t>40年</w:t>
      </w:r>
      <w:r w:rsidR="007C2E34" w:rsidRPr="006035C9">
        <w:rPr>
          <w:rFonts w:hint="eastAsia"/>
          <w:szCs w:val="26"/>
        </w:rPr>
        <w:t>、</w:t>
      </w:r>
      <w:r w:rsidR="007C2E34" w:rsidRPr="007C2E34">
        <w:rPr>
          <w:rFonts w:hint="eastAsia"/>
          <w:szCs w:val="26"/>
        </w:rPr>
        <w:t>容量因素86.50%</w:t>
      </w:r>
      <w:r w:rsidR="00B83687" w:rsidRPr="006035C9">
        <w:rPr>
          <w:rFonts w:hint="eastAsia"/>
          <w:szCs w:val="26"/>
        </w:rPr>
        <w:t>，</w:t>
      </w:r>
      <w:r w:rsidR="00D118BD">
        <w:rPr>
          <w:rFonts w:hint="eastAsia"/>
          <w:szCs w:val="26"/>
        </w:rPr>
        <w:t>準備金：回饋金50</w:t>
      </w:r>
      <w:r w:rsidR="00D118BD" w:rsidRPr="007C2E34">
        <w:rPr>
          <w:rFonts w:hint="eastAsia"/>
          <w:szCs w:val="26"/>
        </w:rPr>
        <w:t>%</w:t>
      </w:r>
      <w:r w:rsidR="00D118BD">
        <w:rPr>
          <w:rFonts w:hint="eastAsia"/>
          <w:szCs w:val="26"/>
        </w:rPr>
        <w:t>、其他30</w:t>
      </w:r>
      <w:r w:rsidR="00D118BD" w:rsidRPr="007C2E34">
        <w:rPr>
          <w:rFonts w:hint="eastAsia"/>
          <w:szCs w:val="26"/>
        </w:rPr>
        <w:t>%</w:t>
      </w:r>
      <w:r w:rsidR="00D118BD" w:rsidRPr="006035C9">
        <w:rPr>
          <w:rFonts w:hint="eastAsia"/>
          <w:szCs w:val="26"/>
        </w:rPr>
        <w:t>，</w:t>
      </w:r>
      <w:r w:rsidR="006035C9" w:rsidRPr="006035C9">
        <w:rPr>
          <w:rFonts w:hint="eastAsia"/>
          <w:szCs w:val="26"/>
        </w:rPr>
        <w:t>估算項目：減容中心延壽及除役、蘭嶼檢整及除役、中期貯存、高放最終處置、電廠除役、運輸、回饋費用</w:t>
      </w:r>
      <w:r w:rsidR="00D7627E" w:rsidRPr="00D7627E">
        <w:rPr>
          <w:szCs w:val="26"/>
        </w:rPr>
        <w:t>)。</w:t>
      </w:r>
    </w:p>
    <w:p w:rsidR="00E103D5" w:rsidRPr="00C753BD" w:rsidRDefault="00C753BD" w:rsidP="00E07D39">
      <w:pPr>
        <w:pStyle w:val="3"/>
        <w:widowControl/>
        <w:numPr>
          <w:ilvl w:val="2"/>
          <w:numId w:val="5"/>
        </w:numPr>
        <w:kinsoku/>
      </w:pPr>
      <w:r>
        <w:rPr>
          <w:rFonts w:hint="eastAsia"/>
          <w:szCs w:val="26"/>
        </w:rPr>
        <w:t>查</w:t>
      </w:r>
      <w:r w:rsidR="00D7627E" w:rsidRPr="00D7627E">
        <w:rPr>
          <w:rFonts w:hint="eastAsia"/>
          <w:szCs w:val="26"/>
        </w:rPr>
        <w:t>目前最新之第4次</w:t>
      </w:r>
      <w:r w:rsidR="007C0CA3" w:rsidRPr="00D7627E">
        <w:rPr>
          <w:color w:val="000000" w:themeColor="text1"/>
          <w:szCs w:val="26"/>
        </w:rPr>
        <w:t>「核能後端營運總費用估算與每度核能發電分攤率計算」</w:t>
      </w:r>
      <w:r w:rsidR="00D7627E" w:rsidRPr="00D7627E">
        <w:rPr>
          <w:rFonts w:hint="eastAsia"/>
          <w:szCs w:val="26"/>
        </w:rPr>
        <w:t>重估工作，</w:t>
      </w:r>
      <w:r w:rsidR="00E103D5" w:rsidRPr="00D7627E">
        <w:rPr>
          <w:rFonts w:hAnsi="標楷體"/>
          <w:szCs w:val="28"/>
        </w:rPr>
        <w:t>台電公司</w:t>
      </w:r>
      <w:r w:rsidR="00D7627E" w:rsidRPr="00D7627E">
        <w:rPr>
          <w:rFonts w:hAnsi="標楷體" w:hint="eastAsia"/>
          <w:szCs w:val="28"/>
        </w:rPr>
        <w:t>亦</w:t>
      </w:r>
      <w:r w:rsidR="00E103D5" w:rsidRPr="00D7627E">
        <w:rPr>
          <w:color w:val="000000" w:themeColor="text1"/>
          <w:szCs w:val="26"/>
        </w:rPr>
        <w:lastRenderedPageBreak/>
        <w:t>委由</w:t>
      </w:r>
      <w:r w:rsidR="00D7627E" w:rsidRPr="00D7627E">
        <w:rPr>
          <w:rFonts w:hint="eastAsia"/>
          <w:szCs w:val="26"/>
        </w:rPr>
        <w:t>益鼎工程股份有限公司</w:t>
      </w:r>
      <w:r w:rsidR="00E103D5" w:rsidRPr="00D7627E">
        <w:rPr>
          <w:rFonts w:hint="eastAsia"/>
          <w:color w:val="000000" w:themeColor="text1"/>
          <w:szCs w:val="26"/>
        </w:rPr>
        <w:t>於97年1月起開始進行，</w:t>
      </w:r>
      <w:r w:rsidR="00E103D5" w:rsidRPr="00D7627E">
        <w:rPr>
          <w:rFonts w:hAnsi="標楷體" w:hint="eastAsia"/>
          <w:szCs w:val="28"/>
        </w:rPr>
        <w:t>總結報告於98年12月21日經台電公司內部審查通過，</w:t>
      </w:r>
      <w:r w:rsidR="007C0CA3">
        <w:rPr>
          <w:rFonts w:hAnsi="標楷體" w:hint="eastAsia"/>
          <w:szCs w:val="28"/>
        </w:rPr>
        <w:t>嗣</w:t>
      </w:r>
      <w:r w:rsidR="00E103D5" w:rsidRPr="00D7627E">
        <w:rPr>
          <w:rFonts w:hAnsi="標楷體" w:hint="eastAsia"/>
          <w:szCs w:val="28"/>
        </w:rPr>
        <w:t>於99年1月12日函請核能發電後端營運基金管理會審議，</w:t>
      </w:r>
      <w:r w:rsidR="007C0CA3" w:rsidRPr="00D7627E">
        <w:rPr>
          <w:rFonts w:hAnsi="標楷體" w:hint="eastAsia"/>
          <w:szCs w:val="28"/>
        </w:rPr>
        <w:t>99年</w:t>
      </w:r>
      <w:r w:rsidR="00E103D5" w:rsidRPr="00D7627E">
        <w:rPr>
          <w:rFonts w:hAnsi="標楷體" w:hint="eastAsia"/>
          <w:szCs w:val="28"/>
        </w:rPr>
        <w:t>4月29日陳報經濟部審查，並於100年3月7日獲該部核定</w:t>
      </w:r>
      <w:r w:rsidR="00445D6A" w:rsidRPr="00DA0124">
        <w:rPr>
          <w:rFonts w:hAnsi="標楷體" w:hint="eastAsia"/>
          <w:szCs w:val="28"/>
        </w:rPr>
        <w:t>每度核能發電分攤率為0.17元</w:t>
      </w:r>
      <w:r>
        <w:rPr>
          <w:rFonts w:hAnsi="標楷體" w:hint="eastAsia"/>
          <w:szCs w:val="28"/>
        </w:rPr>
        <w:t>，其</w:t>
      </w:r>
      <w:r w:rsidRPr="00C753BD">
        <w:rPr>
          <w:rFonts w:hAnsi="標楷體" w:hint="eastAsia"/>
          <w:szCs w:val="28"/>
        </w:rPr>
        <w:t>估算項目包含：</w:t>
      </w:r>
      <w:r w:rsidRPr="00D7627E">
        <w:rPr>
          <w:color w:val="000000" w:themeColor="text1"/>
          <w:szCs w:val="26"/>
        </w:rPr>
        <w:t>「</w:t>
      </w:r>
      <w:r w:rsidRPr="00C753BD">
        <w:rPr>
          <w:rFonts w:hAnsi="標楷體" w:hint="eastAsia"/>
          <w:szCs w:val="28"/>
        </w:rPr>
        <w:t>低放營運(含低放最終處置、蘭嶼檢整及減容延壽)、高放營運(含乾式貯式、高放最終處置)、設施除役(含核能電廠、減容中心及蘭嶼運輸、貯存/處置回饋)</w:t>
      </w:r>
      <w:r w:rsidRPr="00D7627E">
        <w:rPr>
          <w:color w:val="000000" w:themeColor="text1"/>
          <w:szCs w:val="26"/>
        </w:rPr>
        <w:t>」</w:t>
      </w:r>
      <w:r w:rsidRPr="00C753BD">
        <w:rPr>
          <w:rFonts w:hAnsi="標楷體" w:hint="eastAsia"/>
          <w:szCs w:val="28"/>
        </w:rPr>
        <w:t>，</w:t>
      </w:r>
      <w:r w:rsidR="007C2E34">
        <w:rPr>
          <w:rFonts w:hAnsi="標楷體" w:hint="eastAsia"/>
          <w:szCs w:val="28"/>
        </w:rPr>
        <w:t>除</w:t>
      </w:r>
      <w:r w:rsidRPr="00C753BD">
        <w:rPr>
          <w:rFonts w:hAnsi="標楷體" w:hint="eastAsia"/>
          <w:szCs w:val="28"/>
        </w:rPr>
        <w:t>主要參考情節為核一、二、三廠6部機運轉40年</w:t>
      </w:r>
      <w:r w:rsidR="007C2E34">
        <w:rPr>
          <w:rFonts w:hAnsi="標楷體" w:hint="eastAsia"/>
          <w:szCs w:val="28"/>
        </w:rPr>
        <w:t>之外</w:t>
      </w:r>
      <w:r>
        <w:rPr>
          <w:rFonts w:hAnsi="標楷體" w:hint="eastAsia"/>
          <w:szCs w:val="28"/>
        </w:rPr>
        <w:t>，</w:t>
      </w:r>
      <w:r w:rsidRPr="004F1725">
        <w:rPr>
          <w:rFonts w:hint="eastAsia"/>
          <w:szCs w:val="26"/>
        </w:rPr>
        <w:t>尚</w:t>
      </w:r>
      <w:r w:rsidRPr="009555FD">
        <w:rPr>
          <w:rFonts w:hint="eastAsia"/>
          <w:szCs w:val="26"/>
        </w:rPr>
        <w:t>有</w:t>
      </w:r>
      <w:r>
        <w:rPr>
          <w:rFonts w:hint="eastAsia"/>
          <w:szCs w:val="26"/>
        </w:rPr>
        <w:t>6部機營運60年、8部機營運40/60年、低放射性廢棄物境內/境外最終處置、用過核子燃料境內/境外處置等情</w:t>
      </w:r>
      <w:r w:rsidR="007C2E34" w:rsidRPr="00C753BD">
        <w:rPr>
          <w:rFonts w:hAnsi="標楷體" w:hint="eastAsia"/>
          <w:szCs w:val="28"/>
        </w:rPr>
        <w:t>節</w:t>
      </w:r>
      <w:r w:rsidR="00A83956">
        <w:rPr>
          <w:rFonts w:hint="eastAsia"/>
          <w:szCs w:val="26"/>
        </w:rPr>
        <w:t>，計有7種參考情節</w:t>
      </w:r>
      <w:r w:rsidR="007C2E34" w:rsidRPr="009555FD">
        <w:rPr>
          <w:rFonts w:hint="eastAsia"/>
          <w:szCs w:val="26"/>
        </w:rPr>
        <w:t>之估算</w:t>
      </w:r>
      <w:r>
        <w:rPr>
          <w:rFonts w:hint="eastAsia"/>
          <w:szCs w:val="26"/>
        </w:rPr>
        <w:t>；</w:t>
      </w:r>
      <w:r>
        <w:rPr>
          <w:rFonts w:hAnsi="標楷體" w:hint="eastAsia"/>
          <w:szCs w:val="28"/>
        </w:rPr>
        <w:t>其中相關參數包括：</w:t>
      </w:r>
      <w:r w:rsidRPr="00270D62">
        <w:rPr>
          <w:rFonts w:hAnsi="標楷體"/>
          <w:szCs w:val="28"/>
        </w:rPr>
        <w:t>「</w:t>
      </w:r>
      <w:r w:rsidRPr="00C753BD">
        <w:rPr>
          <w:rFonts w:hAnsi="標楷體" w:hint="eastAsia"/>
          <w:szCs w:val="28"/>
        </w:rPr>
        <w:t>物價上漲率2.5%</w:t>
      </w:r>
      <w:r w:rsidR="00270D62">
        <w:rPr>
          <w:rFonts w:hAnsi="標楷體" w:hint="eastAsia"/>
          <w:szCs w:val="28"/>
        </w:rPr>
        <w:t>(</w:t>
      </w:r>
      <w:r w:rsidR="00270D62" w:rsidRPr="00270D62">
        <w:rPr>
          <w:rFonts w:hAnsi="標楷體"/>
          <w:szCs w:val="28"/>
        </w:rPr>
        <w:t>營造工程</w:t>
      </w:r>
      <w:r w:rsidR="00270D62" w:rsidRPr="00AC56A7">
        <w:rPr>
          <w:rFonts w:hAnsi="標楷體" w:hint="eastAsia"/>
          <w:szCs w:val="28"/>
        </w:rPr>
        <w:t>、</w:t>
      </w:r>
      <w:r w:rsidR="00270D62" w:rsidRPr="00270D62">
        <w:rPr>
          <w:rFonts w:hAnsi="標楷體"/>
          <w:szCs w:val="28"/>
        </w:rPr>
        <w:t>消費者</w:t>
      </w:r>
      <w:r w:rsidR="00270D62" w:rsidRPr="00AC56A7">
        <w:rPr>
          <w:rFonts w:hAnsi="標楷體" w:hint="eastAsia"/>
          <w:szCs w:val="28"/>
        </w:rPr>
        <w:t>、</w:t>
      </w:r>
      <w:r w:rsidR="00270D62" w:rsidRPr="00270D62">
        <w:rPr>
          <w:rFonts w:hAnsi="標楷體"/>
          <w:szCs w:val="28"/>
        </w:rPr>
        <w:t>躉售</w:t>
      </w:r>
      <w:r w:rsidR="00270D62" w:rsidRPr="00270D62">
        <w:rPr>
          <w:rFonts w:hAnsi="標楷體" w:hint="eastAsia"/>
          <w:szCs w:val="28"/>
        </w:rPr>
        <w:t>之3種物價指數年增率</w:t>
      </w:r>
      <w:r w:rsidR="00270D62" w:rsidRPr="00270D62">
        <w:rPr>
          <w:rFonts w:hAnsi="標楷體"/>
          <w:szCs w:val="28"/>
        </w:rPr>
        <w:t>近</w:t>
      </w:r>
      <w:r w:rsidR="00270D62" w:rsidRPr="00270D62">
        <w:rPr>
          <w:rFonts w:hAnsi="標楷體" w:hint="eastAsia"/>
          <w:szCs w:val="28"/>
        </w:rPr>
        <w:t>10</w:t>
      </w:r>
      <w:r w:rsidR="00270D62" w:rsidRPr="00270D62">
        <w:rPr>
          <w:rFonts w:hAnsi="標楷體"/>
          <w:szCs w:val="28"/>
        </w:rPr>
        <w:t>年</w:t>
      </w:r>
      <w:r w:rsidR="00270D62" w:rsidRPr="00270D62">
        <w:rPr>
          <w:rFonts w:hAnsi="標楷體" w:hint="eastAsia"/>
          <w:szCs w:val="28"/>
        </w:rPr>
        <w:t>之加權</w:t>
      </w:r>
      <w:r w:rsidR="00270D62" w:rsidRPr="00270D62">
        <w:rPr>
          <w:rFonts w:hAnsi="標楷體"/>
          <w:szCs w:val="28"/>
        </w:rPr>
        <w:t>平均值</w:t>
      </w:r>
      <w:r w:rsidR="00270D62">
        <w:rPr>
          <w:rFonts w:hAnsi="標楷體" w:hint="eastAsia"/>
          <w:szCs w:val="28"/>
        </w:rPr>
        <w:t>)</w:t>
      </w:r>
      <w:r w:rsidRPr="00C753BD">
        <w:rPr>
          <w:rFonts w:hAnsi="標楷體" w:hint="eastAsia"/>
          <w:szCs w:val="28"/>
        </w:rPr>
        <w:t>、折現率3.4%</w:t>
      </w:r>
      <w:r w:rsidR="00AC56A7">
        <w:rPr>
          <w:rFonts w:hAnsi="標楷體" w:hint="eastAsia"/>
          <w:szCs w:val="28"/>
        </w:rPr>
        <w:t>(</w:t>
      </w:r>
      <w:r w:rsidR="00AC56A7" w:rsidRPr="00AC56A7">
        <w:rPr>
          <w:rFonts w:hAnsi="標楷體" w:hint="eastAsia"/>
          <w:szCs w:val="28"/>
        </w:rPr>
        <w:t>定存利率、公債利率及借款台電利率之近10年加權平均值</w:t>
      </w:r>
      <w:r w:rsidR="00AC56A7">
        <w:rPr>
          <w:rFonts w:hAnsi="標楷體" w:hint="eastAsia"/>
          <w:szCs w:val="28"/>
        </w:rPr>
        <w:t>)</w:t>
      </w:r>
      <w:r w:rsidRPr="00C753BD">
        <w:rPr>
          <w:rFonts w:hAnsi="標楷體" w:hint="eastAsia"/>
          <w:szCs w:val="28"/>
        </w:rPr>
        <w:t>、美元匯率33</w:t>
      </w:r>
      <w:r w:rsidR="00270D62">
        <w:rPr>
          <w:rFonts w:hAnsi="標楷體" w:hint="eastAsia"/>
          <w:szCs w:val="28"/>
        </w:rPr>
        <w:t>(</w:t>
      </w:r>
      <w:r w:rsidR="00270D62" w:rsidRPr="00270D62">
        <w:rPr>
          <w:rFonts w:hAnsi="標楷體"/>
          <w:szCs w:val="28"/>
        </w:rPr>
        <w:t>近</w:t>
      </w:r>
      <w:r w:rsidR="00270D62" w:rsidRPr="00270D62">
        <w:rPr>
          <w:rFonts w:hAnsi="標楷體" w:hint="eastAsia"/>
          <w:szCs w:val="28"/>
        </w:rPr>
        <w:t>10</w:t>
      </w:r>
      <w:r w:rsidR="00270D62" w:rsidRPr="00270D62">
        <w:rPr>
          <w:rFonts w:hAnsi="標楷體"/>
          <w:szCs w:val="28"/>
        </w:rPr>
        <w:t>年</w:t>
      </w:r>
      <w:r w:rsidR="00270D62" w:rsidRPr="00270D62">
        <w:rPr>
          <w:rFonts w:hAnsi="標楷體" w:hint="eastAsia"/>
          <w:szCs w:val="28"/>
        </w:rPr>
        <w:t>平均值</w:t>
      </w:r>
      <w:r w:rsidR="00270D62">
        <w:rPr>
          <w:rFonts w:hAnsi="標楷體" w:hint="eastAsia"/>
          <w:szCs w:val="28"/>
        </w:rPr>
        <w:t>)</w:t>
      </w:r>
      <w:r w:rsidRPr="00D7627E">
        <w:rPr>
          <w:color w:val="000000" w:themeColor="text1"/>
          <w:szCs w:val="26"/>
        </w:rPr>
        <w:t>」</w:t>
      </w:r>
      <w:r w:rsidRPr="00C753BD">
        <w:rPr>
          <w:rFonts w:hAnsi="標楷體" w:hint="eastAsia"/>
          <w:szCs w:val="28"/>
        </w:rPr>
        <w:t>，</w:t>
      </w:r>
      <w:r>
        <w:rPr>
          <w:rFonts w:hAnsi="標楷體" w:hint="eastAsia"/>
          <w:szCs w:val="28"/>
        </w:rPr>
        <w:t>其</w:t>
      </w:r>
      <w:r w:rsidR="007D4371" w:rsidRPr="009A6C37">
        <w:rPr>
          <w:rFonts w:hAnsi="Times New Roman"/>
          <w:bCs w:val="0"/>
          <w:szCs w:val="20"/>
        </w:rPr>
        <w:t>6部機</w:t>
      </w:r>
      <w:r w:rsidR="007C2E34">
        <w:rPr>
          <w:rFonts w:hint="eastAsia"/>
          <w:szCs w:val="26"/>
        </w:rPr>
        <w:t>營運</w:t>
      </w:r>
      <w:r w:rsidR="007D4371" w:rsidRPr="009A6C37">
        <w:rPr>
          <w:rFonts w:hAnsi="Times New Roman"/>
          <w:bCs w:val="0"/>
          <w:szCs w:val="20"/>
        </w:rPr>
        <w:t>40年</w:t>
      </w:r>
      <w:r w:rsidR="007D4371" w:rsidRPr="00C753BD">
        <w:rPr>
          <w:rFonts w:hAnsi="標楷體" w:hint="eastAsia"/>
          <w:szCs w:val="28"/>
        </w:rPr>
        <w:t>後端營運總費用</w:t>
      </w:r>
      <w:r w:rsidR="007D4371" w:rsidRPr="009A6C37">
        <w:rPr>
          <w:rFonts w:hAnsi="Times New Roman" w:hint="eastAsia"/>
          <w:bCs w:val="0"/>
          <w:szCs w:val="20"/>
        </w:rPr>
        <w:t>之</w:t>
      </w:r>
      <w:r w:rsidRPr="00C753BD">
        <w:rPr>
          <w:rFonts w:hAnsi="標楷體" w:hint="eastAsia"/>
          <w:szCs w:val="28"/>
        </w:rPr>
        <w:t>估算</w:t>
      </w:r>
      <w:r w:rsidR="007C0CA3">
        <w:rPr>
          <w:rFonts w:hAnsi="標楷體" w:hint="eastAsia"/>
          <w:szCs w:val="28"/>
        </w:rPr>
        <w:t>內容</w:t>
      </w:r>
      <w:r>
        <w:rPr>
          <w:rFonts w:hAnsi="標楷體" w:hint="eastAsia"/>
          <w:szCs w:val="28"/>
        </w:rPr>
        <w:t>略以：</w:t>
      </w:r>
    </w:p>
    <w:p w:rsidR="009B1397" w:rsidRPr="009A6C37" w:rsidRDefault="004F109A" w:rsidP="00E07D39">
      <w:pPr>
        <w:pStyle w:val="4"/>
        <w:widowControl/>
        <w:numPr>
          <w:ilvl w:val="3"/>
          <w:numId w:val="5"/>
        </w:numPr>
        <w:rPr>
          <w:rFonts w:hAnsi="Times New Roman"/>
          <w:kern w:val="0"/>
          <w:szCs w:val="20"/>
        </w:rPr>
      </w:pPr>
      <w:r w:rsidRPr="00CA7A4E">
        <w:rPr>
          <w:rFonts w:hAnsi="Times New Roman"/>
          <w:kern w:val="0"/>
          <w:szCs w:val="20"/>
        </w:rPr>
        <w:t>低放射性廢棄</w:t>
      </w:r>
      <w:r w:rsidRPr="00F43827">
        <w:rPr>
          <w:rFonts w:hAnsi="Times New Roman"/>
          <w:color w:val="000000" w:themeColor="text1"/>
          <w:kern w:val="0"/>
          <w:szCs w:val="20"/>
        </w:rPr>
        <w:t>物營運</w:t>
      </w:r>
      <w:r w:rsidR="0010497E" w:rsidRPr="00F43827">
        <w:rPr>
          <w:rFonts w:hAnsi="Times New Roman" w:hint="eastAsia"/>
          <w:color w:val="000000" w:themeColor="text1"/>
          <w:kern w:val="0"/>
          <w:szCs w:val="20"/>
        </w:rPr>
        <w:t>及</w:t>
      </w:r>
      <w:r w:rsidR="0010497E" w:rsidRPr="00F43827">
        <w:rPr>
          <w:rFonts w:hAnsi="Times New Roman"/>
          <w:bCs/>
          <w:color w:val="000000" w:themeColor="text1"/>
          <w:kern w:val="0"/>
          <w:szCs w:val="20"/>
        </w:rPr>
        <w:t>最</w:t>
      </w:r>
      <w:r w:rsidR="0010497E" w:rsidRPr="009A6C37">
        <w:rPr>
          <w:rFonts w:hAnsi="Times New Roman"/>
          <w:bCs/>
          <w:kern w:val="0"/>
          <w:szCs w:val="20"/>
        </w:rPr>
        <w:t>終處置</w:t>
      </w:r>
      <w:r w:rsidRPr="00CA7A4E">
        <w:rPr>
          <w:rFonts w:hAnsi="Times New Roman" w:hint="eastAsia"/>
          <w:kern w:val="0"/>
          <w:szCs w:val="20"/>
        </w:rPr>
        <w:t>：</w:t>
      </w:r>
    </w:p>
    <w:p w:rsidR="0010497E" w:rsidRPr="0010497E" w:rsidRDefault="0010497E" w:rsidP="00E07D39">
      <w:pPr>
        <w:pStyle w:val="5"/>
        <w:widowControl/>
        <w:numPr>
          <w:ilvl w:val="4"/>
          <w:numId w:val="5"/>
        </w:numPr>
        <w:kinsoku/>
        <w:ind w:left="2092" w:hanging="697"/>
      </w:pPr>
      <w:r w:rsidRPr="009A6C37">
        <w:rPr>
          <w:rFonts w:hAnsi="Times New Roman"/>
          <w:bCs w:val="0"/>
          <w:kern w:val="0"/>
          <w:szCs w:val="20"/>
        </w:rPr>
        <w:t>低放射</w:t>
      </w:r>
      <w:r w:rsidR="009A6C37" w:rsidRPr="009A6C37">
        <w:rPr>
          <w:rFonts w:hAnsi="Times New Roman"/>
          <w:bCs w:val="0"/>
          <w:kern w:val="0"/>
          <w:szCs w:val="20"/>
        </w:rPr>
        <w:t>廢棄物總桶數</w:t>
      </w:r>
      <w:r w:rsidR="009A6C37" w:rsidRPr="009A6C37">
        <w:rPr>
          <w:rFonts w:hAnsi="Times New Roman" w:hint="eastAsia"/>
          <w:bCs w:val="0"/>
          <w:kern w:val="0"/>
          <w:szCs w:val="20"/>
        </w:rPr>
        <w:t>約為</w:t>
      </w:r>
      <w:r w:rsidR="009A6C37" w:rsidRPr="009A6C37">
        <w:rPr>
          <w:rFonts w:hAnsi="Times New Roman"/>
          <w:bCs w:val="0"/>
          <w:kern w:val="0"/>
          <w:szCs w:val="20"/>
        </w:rPr>
        <w:t>747,841桶</w:t>
      </w:r>
      <w:r w:rsidR="009A6C37">
        <w:rPr>
          <w:rFonts w:hAnsi="Times New Roman" w:hint="eastAsia"/>
          <w:bCs w:val="0"/>
          <w:kern w:val="0"/>
          <w:szCs w:val="20"/>
        </w:rPr>
        <w:t>(</w:t>
      </w:r>
      <w:r>
        <w:rPr>
          <w:rFonts w:hAnsi="Times New Roman" w:hint="eastAsia"/>
          <w:bCs w:val="0"/>
          <w:kern w:val="0"/>
          <w:szCs w:val="20"/>
        </w:rPr>
        <w:t>8</w:t>
      </w:r>
      <w:r w:rsidRPr="009A6C37">
        <w:rPr>
          <w:rFonts w:hAnsi="Times New Roman"/>
          <w:bCs w:val="0"/>
          <w:kern w:val="0"/>
          <w:szCs w:val="20"/>
        </w:rPr>
        <w:t>部機</w:t>
      </w:r>
      <w:r w:rsidRPr="009A6C37">
        <w:rPr>
          <w:rFonts w:hAnsi="Times New Roman" w:hint="eastAsia"/>
          <w:bCs w:val="0"/>
          <w:kern w:val="0"/>
          <w:szCs w:val="20"/>
        </w:rPr>
        <w:t>運轉</w:t>
      </w:r>
      <w:r w:rsidRPr="009A6C37">
        <w:rPr>
          <w:rFonts w:hAnsi="Times New Roman"/>
          <w:bCs w:val="0"/>
          <w:kern w:val="0"/>
          <w:szCs w:val="20"/>
        </w:rPr>
        <w:t>40年</w:t>
      </w:r>
      <w:r>
        <w:rPr>
          <w:rFonts w:hAnsi="Times New Roman" w:hint="eastAsia"/>
          <w:bCs w:val="0"/>
          <w:kern w:val="0"/>
          <w:szCs w:val="20"/>
        </w:rPr>
        <w:t>則</w:t>
      </w:r>
      <w:r w:rsidRPr="009A6C37">
        <w:rPr>
          <w:rFonts w:hAnsi="Times New Roman" w:hint="eastAsia"/>
          <w:bCs w:val="0"/>
          <w:kern w:val="0"/>
          <w:szCs w:val="20"/>
        </w:rPr>
        <w:t>約為</w:t>
      </w:r>
      <w:r w:rsidRPr="009A6C37">
        <w:rPr>
          <w:rFonts w:hAnsi="Times New Roman"/>
          <w:bCs w:val="0"/>
          <w:kern w:val="0"/>
          <w:szCs w:val="20"/>
        </w:rPr>
        <w:t>999,741桶</w:t>
      </w:r>
      <w:r>
        <w:rPr>
          <w:rFonts w:hAnsi="Times New Roman" w:hint="eastAsia"/>
          <w:bCs w:val="0"/>
          <w:kern w:val="0"/>
          <w:szCs w:val="20"/>
        </w:rPr>
        <w:t>，</w:t>
      </w:r>
      <w:r w:rsidR="009A6C37" w:rsidRPr="009A6C37">
        <w:rPr>
          <w:rFonts w:hAnsi="Times New Roman"/>
          <w:bCs w:val="0"/>
          <w:kern w:val="0"/>
          <w:szCs w:val="20"/>
        </w:rPr>
        <w:t>蘭嶼貯存場</w:t>
      </w:r>
      <w:r w:rsidR="009A6C37" w:rsidRPr="009A6C37">
        <w:rPr>
          <w:rFonts w:hAnsi="Times New Roman" w:hint="eastAsia"/>
          <w:bCs w:val="0"/>
          <w:kern w:val="0"/>
          <w:szCs w:val="20"/>
        </w:rPr>
        <w:t>目前</w:t>
      </w:r>
      <w:r w:rsidR="00AA1002">
        <w:rPr>
          <w:rFonts w:hAnsi="Times New Roman" w:hint="eastAsia"/>
          <w:bCs w:val="0"/>
          <w:kern w:val="0"/>
          <w:szCs w:val="20"/>
        </w:rPr>
        <w:t>存有</w:t>
      </w:r>
      <w:r w:rsidR="009A6C37" w:rsidRPr="009A6C37">
        <w:rPr>
          <w:rFonts w:hAnsi="Times New Roman" w:hint="eastAsia"/>
          <w:bCs w:val="0"/>
          <w:kern w:val="0"/>
          <w:szCs w:val="20"/>
        </w:rPr>
        <w:t>100,277桶</w:t>
      </w:r>
      <w:r w:rsidR="008913B8">
        <w:rPr>
          <w:rFonts w:hAnsi="Times New Roman" w:hint="eastAsia"/>
          <w:bCs w:val="0"/>
          <w:kern w:val="0"/>
          <w:szCs w:val="20"/>
        </w:rPr>
        <w:t>；之前</w:t>
      </w:r>
      <w:r w:rsidR="008913B8" w:rsidRPr="009A6C37">
        <w:rPr>
          <w:rFonts w:hAnsi="Times New Roman"/>
          <w:bCs w:val="0"/>
          <w:kern w:val="0"/>
          <w:szCs w:val="20"/>
        </w:rPr>
        <w:t>蘭嶼貯存場</w:t>
      </w:r>
      <w:r w:rsidR="008913B8">
        <w:rPr>
          <w:rFonts w:hAnsi="Times New Roman" w:hint="eastAsia"/>
          <w:bCs w:val="0"/>
          <w:kern w:val="0"/>
          <w:szCs w:val="20"/>
        </w:rPr>
        <w:t>、減容中</w:t>
      </w:r>
      <w:r w:rsidR="008913B8" w:rsidRPr="008913B8">
        <w:rPr>
          <w:rFonts w:hAnsi="Times New Roman" w:hint="eastAsia"/>
          <w:bCs w:val="0"/>
          <w:kern w:val="0"/>
          <w:szCs w:val="20"/>
        </w:rPr>
        <w:t>心、核三廠焚化爐之興建費用並非使用</w:t>
      </w:r>
      <w:r w:rsidR="008913B8" w:rsidRPr="008913B8">
        <w:t>核能發電後端營運基金</w:t>
      </w:r>
      <w:r w:rsidR="009A6C37" w:rsidRPr="008913B8">
        <w:rPr>
          <w:rFonts w:hAnsi="Times New Roman" w:hint="eastAsia"/>
          <w:bCs w:val="0"/>
          <w:kern w:val="0"/>
          <w:szCs w:val="20"/>
        </w:rPr>
        <w:t>)</w:t>
      </w:r>
      <w:r w:rsidR="00B53D9A" w:rsidRPr="008913B8">
        <w:rPr>
          <w:rFonts w:hint="eastAsia"/>
          <w:szCs w:val="26"/>
        </w:rPr>
        <w:t>。</w:t>
      </w:r>
      <w:r w:rsidR="008913B8" w:rsidRPr="008913B8">
        <w:rPr>
          <w:rFonts w:hint="eastAsia"/>
          <w:szCs w:val="26"/>
        </w:rPr>
        <w:t>另</w:t>
      </w:r>
      <w:r w:rsidR="007D4371" w:rsidRPr="008913B8">
        <w:rPr>
          <w:rFonts w:hAnsi="Times New Roman"/>
          <w:bCs w:val="0"/>
          <w:kern w:val="0"/>
          <w:szCs w:val="20"/>
        </w:rPr>
        <w:t>蘭嶼貯存場檢整重裝</w:t>
      </w:r>
      <w:r w:rsidR="007D4371" w:rsidRPr="008913B8">
        <w:rPr>
          <w:rFonts w:hAnsi="Times New Roman" w:hint="eastAsia"/>
          <w:bCs w:val="0"/>
          <w:kern w:val="0"/>
          <w:szCs w:val="20"/>
        </w:rPr>
        <w:t>作業於</w:t>
      </w:r>
      <w:r w:rsidR="007D4371" w:rsidRPr="008913B8">
        <w:rPr>
          <w:rFonts w:hAnsi="Times New Roman"/>
          <w:bCs w:val="0"/>
          <w:kern w:val="0"/>
          <w:szCs w:val="20"/>
        </w:rPr>
        <w:t>98、99年之費用支出約為421</w:t>
      </w:r>
      <w:r w:rsidR="007D4371" w:rsidRPr="008913B8">
        <w:rPr>
          <w:rFonts w:hAnsi="Times New Roman" w:hint="eastAsia"/>
          <w:bCs w:val="0"/>
          <w:kern w:val="0"/>
          <w:szCs w:val="20"/>
        </w:rPr>
        <w:t>百萬</w:t>
      </w:r>
      <w:r w:rsidR="007D4371" w:rsidRPr="008913B8">
        <w:rPr>
          <w:rFonts w:hAnsi="Times New Roman"/>
          <w:bCs w:val="0"/>
          <w:kern w:val="0"/>
          <w:szCs w:val="20"/>
        </w:rPr>
        <w:t>元</w:t>
      </w:r>
      <w:r w:rsidR="007D4371" w:rsidRPr="008913B8">
        <w:rPr>
          <w:rFonts w:hAnsi="Times New Roman" w:hint="eastAsia"/>
          <w:bCs w:val="0"/>
          <w:kern w:val="0"/>
          <w:szCs w:val="20"/>
        </w:rPr>
        <w:t>，減</w:t>
      </w:r>
      <w:r w:rsidR="007D4371" w:rsidRPr="00CA7A4E">
        <w:rPr>
          <w:rFonts w:hAnsi="Times New Roman" w:hint="eastAsia"/>
          <w:bCs w:val="0"/>
          <w:kern w:val="0"/>
          <w:szCs w:val="20"/>
        </w:rPr>
        <w:t>容中心將於113</w:t>
      </w:r>
      <w:r w:rsidR="007D4371" w:rsidRPr="00CA7A4E">
        <w:rPr>
          <w:rFonts w:hAnsi="Times New Roman"/>
          <w:bCs w:val="0"/>
          <w:kern w:val="0"/>
          <w:szCs w:val="20"/>
        </w:rPr>
        <w:t>年</w:t>
      </w:r>
      <w:r w:rsidR="007D4371" w:rsidRPr="00CA7A4E">
        <w:rPr>
          <w:rFonts w:hAnsi="Times New Roman" w:hint="eastAsia"/>
          <w:bCs w:val="0"/>
          <w:kern w:val="0"/>
          <w:szCs w:val="20"/>
        </w:rPr>
        <w:t>執行延壽</w:t>
      </w:r>
      <w:r w:rsidR="007D4371">
        <w:rPr>
          <w:rFonts w:hAnsi="Times New Roman" w:hint="eastAsia"/>
          <w:bCs w:val="0"/>
          <w:kern w:val="0"/>
          <w:szCs w:val="20"/>
        </w:rPr>
        <w:t>之</w:t>
      </w:r>
      <w:r w:rsidR="007D4371" w:rsidRPr="00CA7A4E">
        <w:rPr>
          <w:rFonts w:hAnsi="Times New Roman" w:hint="eastAsia"/>
          <w:bCs w:val="0"/>
          <w:kern w:val="0"/>
          <w:szCs w:val="20"/>
        </w:rPr>
        <w:t>費用</w:t>
      </w:r>
      <w:r w:rsidR="007D4371" w:rsidRPr="00CA7A4E">
        <w:rPr>
          <w:rFonts w:hAnsi="Times New Roman"/>
          <w:bCs w:val="0"/>
          <w:kern w:val="0"/>
          <w:szCs w:val="20"/>
        </w:rPr>
        <w:t>約為</w:t>
      </w:r>
      <w:r w:rsidR="007D4371" w:rsidRPr="00CA7A4E">
        <w:rPr>
          <w:rFonts w:hAnsi="Times New Roman" w:hint="eastAsia"/>
          <w:bCs w:val="0"/>
          <w:kern w:val="0"/>
          <w:szCs w:val="20"/>
        </w:rPr>
        <w:t>25</w:t>
      </w:r>
      <w:r w:rsidR="007D4371" w:rsidRPr="00CA7A4E">
        <w:rPr>
          <w:rFonts w:hAnsi="Times New Roman"/>
          <w:bCs w:val="0"/>
          <w:kern w:val="0"/>
          <w:szCs w:val="20"/>
        </w:rPr>
        <w:t>1</w:t>
      </w:r>
      <w:r w:rsidR="007D4371" w:rsidRPr="00CA7A4E">
        <w:rPr>
          <w:rFonts w:hAnsi="Times New Roman" w:hint="eastAsia"/>
          <w:bCs w:val="0"/>
          <w:kern w:val="0"/>
          <w:szCs w:val="20"/>
        </w:rPr>
        <w:t>百萬</w:t>
      </w:r>
      <w:r w:rsidR="007D4371" w:rsidRPr="00CA7A4E">
        <w:rPr>
          <w:rFonts w:hAnsi="Times New Roman"/>
          <w:bCs w:val="0"/>
          <w:kern w:val="0"/>
          <w:szCs w:val="20"/>
        </w:rPr>
        <w:t>元。</w:t>
      </w:r>
    </w:p>
    <w:p w:rsidR="004F109A" w:rsidRPr="009A6C37" w:rsidRDefault="009A6C37" w:rsidP="00E07D39">
      <w:pPr>
        <w:pStyle w:val="5"/>
        <w:widowControl/>
        <w:numPr>
          <w:ilvl w:val="4"/>
          <w:numId w:val="5"/>
        </w:numPr>
        <w:kinsoku/>
        <w:ind w:left="2092" w:hanging="697"/>
      </w:pPr>
      <w:r w:rsidRPr="009A6C37">
        <w:rPr>
          <w:rFonts w:hAnsi="Times New Roman"/>
          <w:bCs w:val="0"/>
          <w:kern w:val="0"/>
          <w:szCs w:val="20"/>
        </w:rPr>
        <w:t>低放射性廢棄物最終處置計畫可概分</w:t>
      </w:r>
      <w:r w:rsidRPr="009A6C37">
        <w:rPr>
          <w:rFonts w:hAnsi="Times New Roman" w:hint="eastAsia"/>
          <w:bCs w:val="0"/>
          <w:kern w:val="0"/>
          <w:szCs w:val="20"/>
        </w:rPr>
        <w:t>為</w:t>
      </w:r>
      <w:r w:rsidRPr="009A6C37">
        <w:rPr>
          <w:rFonts w:hAnsi="Times New Roman"/>
          <w:bCs w:val="0"/>
          <w:kern w:val="0"/>
          <w:szCs w:val="20"/>
        </w:rPr>
        <w:t>「處置場選址階段」、</w:t>
      </w:r>
      <w:r>
        <w:rPr>
          <w:szCs w:val="26"/>
        </w:rPr>
        <w:t>「處置場建造階段」、「處置場</w:t>
      </w:r>
      <w:r>
        <w:rPr>
          <w:szCs w:val="26"/>
        </w:rPr>
        <w:lastRenderedPageBreak/>
        <w:t>運轉階段」與「處置場封閉監管階段」</w:t>
      </w:r>
      <w:r>
        <w:rPr>
          <w:rFonts w:hint="eastAsia"/>
          <w:szCs w:val="26"/>
        </w:rPr>
        <w:t>等</w:t>
      </w:r>
      <w:r w:rsidR="00AC56A7">
        <w:rPr>
          <w:rFonts w:hint="eastAsia"/>
          <w:szCs w:val="26"/>
        </w:rPr>
        <w:t>四</w:t>
      </w:r>
      <w:r>
        <w:rPr>
          <w:szCs w:val="26"/>
        </w:rPr>
        <w:t>階段</w:t>
      </w:r>
      <w:r w:rsidR="0010497E" w:rsidRPr="002A1B76">
        <w:rPr>
          <w:rFonts w:hAnsi="Times New Roman" w:hint="eastAsia"/>
          <w:bCs w:val="0"/>
          <w:kern w:val="0"/>
          <w:szCs w:val="20"/>
        </w:rPr>
        <w:t>，</w:t>
      </w:r>
      <w:r w:rsidR="0010497E">
        <w:rPr>
          <w:rFonts w:hAnsi="Times New Roman" w:hint="eastAsia"/>
          <w:bCs w:val="0"/>
          <w:kern w:val="0"/>
          <w:szCs w:val="20"/>
        </w:rPr>
        <w:t>其</w:t>
      </w:r>
      <w:r w:rsidR="0010497E" w:rsidRPr="002A1B76">
        <w:rPr>
          <w:rFonts w:hAnsi="Times New Roman" w:hint="eastAsia"/>
          <w:bCs w:val="0"/>
          <w:kern w:val="0"/>
          <w:szCs w:val="20"/>
        </w:rPr>
        <w:t>總費用約為32</w:t>
      </w:r>
      <w:r w:rsidR="0010497E" w:rsidRPr="002A1B76">
        <w:rPr>
          <w:rFonts w:hAnsi="Times New Roman"/>
          <w:bCs w:val="0"/>
          <w:kern w:val="0"/>
          <w:szCs w:val="20"/>
        </w:rPr>
        <w:t>,</w:t>
      </w:r>
      <w:r w:rsidR="0010497E" w:rsidRPr="002A1B76">
        <w:rPr>
          <w:rFonts w:hAnsi="Times New Roman" w:hint="eastAsia"/>
          <w:bCs w:val="0"/>
          <w:kern w:val="0"/>
          <w:szCs w:val="20"/>
        </w:rPr>
        <w:t>656百萬元</w:t>
      </w:r>
      <w:r>
        <w:rPr>
          <w:rFonts w:hint="eastAsia"/>
          <w:szCs w:val="26"/>
        </w:rPr>
        <w:t>。</w:t>
      </w:r>
    </w:p>
    <w:p w:rsidR="004F109A" w:rsidRPr="009A6C37" w:rsidRDefault="004F109A" w:rsidP="00E07D39">
      <w:pPr>
        <w:pStyle w:val="4"/>
        <w:widowControl/>
        <w:numPr>
          <w:ilvl w:val="3"/>
          <w:numId w:val="5"/>
        </w:numPr>
        <w:rPr>
          <w:rFonts w:hAnsi="Times New Roman"/>
          <w:kern w:val="0"/>
          <w:szCs w:val="20"/>
        </w:rPr>
      </w:pPr>
      <w:r w:rsidRPr="00CA7A4E">
        <w:rPr>
          <w:rFonts w:hAnsi="Times New Roman"/>
          <w:kern w:val="0"/>
          <w:szCs w:val="20"/>
        </w:rPr>
        <w:t>用過核子燃料營運</w:t>
      </w:r>
      <w:r w:rsidR="0010497E">
        <w:rPr>
          <w:rFonts w:hAnsi="Times New Roman" w:hint="eastAsia"/>
          <w:kern w:val="0"/>
          <w:szCs w:val="20"/>
        </w:rPr>
        <w:t>及</w:t>
      </w:r>
      <w:r w:rsidR="0010497E" w:rsidRPr="009A6C37">
        <w:rPr>
          <w:rFonts w:hAnsi="Times New Roman"/>
          <w:bCs/>
          <w:kern w:val="0"/>
          <w:szCs w:val="20"/>
        </w:rPr>
        <w:t>最終處置</w:t>
      </w:r>
      <w:r w:rsidRPr="00CA7A4E">
        <w:rPr>
          <w:rFonts w:hAnsi="Times New Roman" w:hint="eastAsia"/>
          <w:kern w:val="0"/>
          <w:szCs w:val="20"/>
        </w:rPr>
        <w:t>：</w:t>
      </w:r>
    </w:p>
    <w:p w:rsidR="004F109A" w:rsidRPr="009A6C37" w:rsidRDefault="007D4371" w:rsidP="00E07D39">
      <w:pPr>
        <w:pStyle w:val="5"/>
        <w:widowControl/>
        <w:numPr>
          <w:ilvl w:val="4"/>
          <w:numId w:val="5"/>
        </w:numPr>
        <w:kinsoku/>
        <w:ind w:left="2092" w:hanging="697"/>
        <w:rPr>
          <w:rFonts w:hAnsi="Times New Roman"/>
          <w:bCs w:val="0"/>
          <w:kern w:val="0"/>
          <w:szCs w:val="20"/>
        </w:rPr>
      </w:pPr>
      <w:r w:rsidRPr="009A6C37">
        <w:rPr>
          <w:rFonts w:hAnsi="Times New Roman"/>
          <w:bCs w:val="0"/>
          <w:kern w:val="0"/>
          <w:szCs w:val="20"/>
        </w:rPr>
        <w:t>用過核子燃料</w:t>
      </w:r>
      <w:r w:rsidR="009A6C37" w:rsidRPr="009A6C37">
        <w:rPr>
          <w:rFonts w:hAnsi="Times New Roman"/>
          <w:bCs w:val="0"/>
          <w:kern w:val="0"/>
          <w:szCs w:val="20"/>
        </w:rPr>
        <w:t>重量</w:t>
      </w:r>
      <w:r w:rsidR="009A6C37" w:rsidRPr="009A6C37">
        <w:rPr>
          <w:rFonts w:hAnsi="Times New Roman" w:hint="eastAsia"/>
          <w:bCs w:val="0"/>
          <w:kern w:val="0"/>
          <w:szCs w:val="20"/>
        </w:rPr>
        <w:t>約為</w:t>
      </w:r>
      <w:r w:rsidR="009A6C37" w:rsidRPr="009A6C37">
        <w:rPr>
          <w:rFonts w:hAnsi="Times New Roman"/>
          <w:bCs w:val="0"/>
          <w:kern w:val="0"/>
          <w:szCs w:val="20"/>
        </w:rPr>
        <w:t>5,048,322</w:t>
      </w:r>
      <w:r w:rsidR="009A6C37" w:rsidRPr="009A6C37">
        <w:rPr>
          <w:rFonts w:hAnsi="Times New Roman" w:hint="eastAsia"/>
          <w:bCs w:val="0"/>
          <w:kern w:val="0"/>
          <w:szCs w:val="20"/>
        </w:rPr>
        <w:t>公斤</w:t>
      </w:r>
      <w:r>
        <w:rPr>
          <w:rFonts w:hAnsi="Times New Roman" w:hint="eastAsia"/>
          <w:bCs w:val="0"/>
          <w:kern w:val="0"/>
          <w:szCs w:val="20"/>
        </w:rPr>
        <w:t>(</w:t>
      </w:r>
      <w:r w:rsidR="009A6C37">
        <w:rPr>
          <w:rFonts w:hAnsi="Times New Roman" w:hint="eastAsia"/>
          <w:bCs w:val="0"/>
          <w:kern w:val="0"/>
          <w:szCs w:val="20"/>
        </w:rPr>
        <w:t>8</w:t>
      </w:r>
      <w:r w:rsidR="009A6C37" w:rsidRPr="009A6C37">
        <w:rPr>
          <w:rFonts w:hAnsi="Times New Roman"/>
          <w:bCs w:val="0"/>
          <w:kern w:val="0"/>
          <w:szCs w:val="20"/>
        </w:rPr>
        <w:t>部機</w:t>
      </w:r>
      <w:r w:rsidR="009A6C37" w:rsidRPr="009A6C37">
        <w:rPr>
          <w:rFonts w:hAnsi="Times New Roman" w:hint="eastAsia"/>
          <w:bCs w:val="0"/>
          <w:kern w:val="0"/>
          <w:szCs w:val="20"/>
        </w:rPr>
        <w:t>運轉</w:t>
      </w:r>
      <w:r w:rsidR="009A6C37" w:rsidRPr="009A6C37">
        <w:rPr>
          <w:rFonts w:hAnsi="Times New Roman"/>
          <w:bCs w:val="0"/>
          <w:kern w:val="0"/>
          <w:szCs w:val="20"/>
        </w:rPr>
        <w:t>40年</w:t>
      </w:r>
      <w:r w:rsidR="009A6C37">
        <w:rPr>
          <w:rFonts w:hAnsi="Times New Roman" w:hint="eastAsia"/>
          <w:bCs w:val="0"/>
          <w:kern w:val="0"/>
          <w:szCs w:val="20"/>
        </w:rPr>
        <w:t>約為</w:t>
      </w:r>
      <w:r w:rsidR="009A6C37" w:rsidRPr="009A6C37">
        <w:rPr>
          <w:rFonts w:hAnsi="Times New Roman"/>
          <w:bCs w:val="0"/>
          <w:kern w:val="0"/>
          <w:szCs w:val="20"/>
        </w:rPr>
        <w:t>7,714,037</w:t>
      </w:r>
      <w:r w:rsidR="009A6C37" w:rsidRPr="009A6C37">
        <w:rPr>
          <w:rFonts w:hAnsi="Times New Roman" w:hint="eastAsia"/>
          <w:bCs w:val="0"/>
          <w:kern w:val="0"/>
          <w:szCs w:val="20"/>
        </w:rPr>
        <w:t>公斤</w:t>
      </w:r>
      <w:r>
        <w:rPr>
          <w:rFonts w:hAnsi="Times New Roman" w:hint="eastAsia"/>
          <w:bCs w:val="0"/>
          <w:kern w:val="0"/>
          <w:szCs w:val="20"/>
        </w:rPr>
        <w:t>)</w:t>
      </w:r>
      <w:r w:rsidR="009A6C37">
        <w:rPr>
          <w:rFonts w:hAnsi="Times New Roman" w:hint="eastAsia"/>
          <w:bCs w:val="0"/>
          <w:kern w:val="0"/>
          <w:szCs w:val="20"/>
        </w:rPr>
        <w:t>；</w:t>
      </w:r>
      <w:r w:rsidR="00AA1002">
        <w:rPr>
          <w:rFonts w:hAnsi="Times New Roman" w:hint="eastAsia"/>
          <w:bCs w:val="0"/>
          <w:kern w:val="0"/>
          <w:szCs w:val="20"/>
        </w:rPr>
        <w:t>該</w:t>
      </w:r>
      <w:r w:rsidR="009A6C37" w:rsidRPr="009A6C37">
        <w:rPr>
          <w:rFonts w:hAnsi="Times New Roman"/>
          <w:bCs w:val="0"/>
          <w:kern w:val="0"/>
          <w:szCs w:val="20"/>
        </w:rPr>
        <w:t>燃料</w:t>
      </w:r>
      <w:r w:rsidR="009A6C37" w:rsidRPr="009A6C37">
        <w:rPr>
          <w:rFonts w:hAnsi="Times New Roman" w:hint="eastAsia"/>
          <w:bCs w:val="0"/>
          <w:kern w:val="0"/>
          <w:szCs w:val="20"/>
        </w:rPr>
        <w:t>營運</w:t>
      </w:r>
      <w:r w:rsidR="009A6C37">
        <w:rPr>
          <w:rFonts w:hint="eastAsia"/>
          <w:szCs w:val="26"/>
        </w:rPr>
        <w:t>可</w:t>
      </w:r>
      <w:r w:rsidR="009A6C37">
        <w:rPr>
          <w:szCs w:val="26"/>
        </w:rPr>
        <w:t>分為「</w:t>
      </w:r>
      <w:r w:rsidR="009A6C37">
        <w:t>存放在廠內用過核子燃料池內冷卻一段時間</w:t>
      </w:r>
      <w:r w:rsidR="009A6C37">
        <w:rPr>
          <w:szCs w:val="26"/>
        </w:rPr>
        <w:t>」、「</w:t>
      </w:r>
      <w:r w:rsidR="009A6C37">
        <w:rPr>
          <w:color w:val="000000"/>
        </w:rPr>
        <w:t>經多年冷卻</w:t>
      </w:r>
      <w:r w:rsidR="009A6C37">
        <w:rPr>
          <w:rFonts w:hint="eastAsia"/>
          <w:color w:val="000000"/>
        </w:rPr>
        <w:t>之</w:t>
      </w:r>
      <w:r w:rsidR="009A6C37">
        <w:rPr>
          <w:color w:val="000000"/>
        </w:rPr>
        <w:t>用過核子燃料移入乾式貯存設施</w:t>
      </w:r>
      <w:r w:rsidR="009A6C37">
        <w:rPr>
          <w:szCs w:val="26"/>
        </w:rPr>
        <w:t>」、「</w:t>
      </w:r>
      <w:r w:rsidR="009A6C37">
        <w:t>運至深層地質最終處置場內</w:t>
      </w:r>
      <w:r w:rsidR="009A6C37">
        <w:rPr>
          <w:szCs w:val="26"/>
        </w:rPr>
        <w:t>」</w:t>
      </w:r>
      <w:r w:rsidR="009A6C37">
        <w:rPr>
          <w:rFonts w:hint="eastAsia"/>
          <w:szCs w:val="26"/>
        </w:rPr>
        <w:t>等3</w:t>
      </w:r>
      <w:r>
        <w:rPr>
          <w:rFonts w:hint="eastAsia"/>
          <w:szCs w:val="26"/>
        </w:rPr>
        <w:t>個</w:t>
      </w:r>
      <w:r>
        <w:rPr>
          <w:szCs w:val="26"/>
        </w:rPr>
        <w:t>階段</w:t>
      </w:r>
      <w:r w:rsidR="009A6C37">
        <w:rPr>
          <w:rFonts w:hint="eastAsia"/>
          <w:szCs w:val="26"/>
        </w:rPr>
        <w:t>，</w:t>
      </w:r>
      <w:r w:rsidR="009A6C37" w:rsidRPr="004B4982">
        <w:rPr>
          <w:szCs w:val="26"/>
        </w:rPr>
        <w:t>目前</w:t>
      </w:r>
      <w:r w:rsidR="009A6C37" w:rsidRPr="00F94A3B">
        <w:rPr>
          <w:szCs w:val="32"/>
        </w:rPr>
        <w:t>國際尚無</w:t>
      </w:r>
      <w:r w:rsidR="00AA1002">
        <w:rPr>
          <w:rFonts w:hAnsi="Times New Roman" w:hint="eastAsia"/>
          <w:bCs w:val="0"/>
          <w:kern w:val="0"/>
          <w:szCs w:val="20"/>
        </w:rPr>
        <w:t>該</w:t>
      </w:r>
      <w:r w:rsidR="009A6C37" w:rsidRPr="00F94A3B">
        <w:rPr>
          <w:szCs w:val="32"/>
        </w:rPr>
        <w:t>燃料最終處置場之興建及運轉實例，</w:t>
      </w:r>
      <w:r w:rsidR="00AA1002">
        <w:rPr>
          <w:rFonts w:hint="eastAsia"/>
          <w:szCs w:val="32"/>
        </w:rPr>
        <w:t>其</w:t>
      </w:r>
      <w:r w:rsidR="00AA1002">
        <w:rPr>
          <w:szCs w:val="32"/>
        </w:rPr>
        <w:t>估算相當困難</w:t>
      </w:r>
      <w:r w:rsidR="009A6C37" w:rsidRPr="00F94A3B">
        <w:rPr>
          <w:szCs w:val="32"/>
        </w:rPr>
        <w:t>。</w:t>
      </w:r>
    </w:p>
    <w:p w:rsidR="009A6C37" w:rsidRPr="00D1707A" w:rsidRDefault="00155865" w:rsidP="00E07D39">
      <w:pPr>
        <w:pStyle w:val="5"/>
        <w:widowControl/>
        <w:numPr>
          <w:ilvl w:val="4"/>
          <w:numId w:val="5"/>
        </w:numPr>
        <w:rPr>
          <w:rFonts w:hAnsi="Times New Roman"/>
          <w:bCs w:val="0"/>
          <w:kern w:val="0"/>
          <w:szCs w:val="20"/>
        </w:rPr>
      </w:pPr>
      <w:r w:rsidRPr="00155865">
        <w:rPr>
          <w:szCs w:val="32"/>
        </w:rPr>
        <w:t>乾式貯存設施各項費用</w:t>
      </w:r>
      <w:r w:rsidRPr="00155865">
        <w:rPr>
          <w:rFonts w:hint="eastAsia"/>
          <w:szCs w:val="32"/>
        </w:rPr>
        <w:t>約為30,855百萬元</w:t>
      </w:r>
      <w:r w:rsidR="00D1707A">
        <w:rPr>
          <w:rFonts w:hint="eastAsia"/>
          <w:szCs w:val="32"/>
        </w:rPr>
        <w:t>；</w:t>
      </w:r>
      <w:r w:rsidRPr="00155865">
        <w:rPr>
          <w:szCs w:val="32"/>
        </w:rPr>
        <w:t>用過核子燃料</w:t>
      </w:r>
      <w:r w:rsidRPr="00155865">
        <w:rPr>
          <w:rFonts w:hint="eastAsia"/>
          <w:szCs w:val="32"/>
        </w:rPr>
        <w:t>/高</w:t>
      </w:r>
      <w:r w:rsidRPr="00155865">
        <w:rPr>
          <w:szCs w:val="32"/>
        </w:rPr>
        <w:t>放射性廢棄物最終處置場之建造、運轉與封閉各階段費用</w:t>
      </w:r>
      <w:r w:rsidRPr="00155865">
        <w:rPr>
          <w:rFonts w:hint="eastAsia"/>
          <w:szCs w:val="32"/>
        </w:rPr>
        <w:t>約為120,177百萬元</w:t>
      </w:r>
      <w:r w:rsidR="00D1707A">
        <w:rPr>
          <w:rFonts w:hint="eastAsia"/>
          <w:szCs w:val="32"/>
        </w:rPr>
        <w:t>，包含：</w:t>
      </w:r>
      <w:r w:rsidR="00D1707A" w:rsidRPr="0074393A">
        <w:rPr>
          <w:rFonts w:hint="eastAsia"/>
        </w:rPr>
        <w:t>「潛在處置母岩特性調查與評估」(</w:t>
      </w:r>
      <w:r w:rsidR="00D1707A">
        <w:rPr>
          <w:rFonts w:hint="eastAsia"/>
        </w:rPr>
        <w:t>98</w:t>
      </w:r>
      <w:r w:rsidR="00D1707A" w:rsidRPr="0074393A">
        <w:rPr>
          <w:rFonts w:hint="eastAsia"/>
        </w:rPr>
        <w:t>~</w:t>
      </w:r>
      <w:r w:rsidR="00D1707A">
        <w:rPr>
          <w:rFonts w:hint="eastAsia"/>
        </w:rPr>
        <w:t>106</w:t>
      </w:r>
      <w:r w:rsidR="00D1707A" w:rsidRPr="0074393A">
        <w:rPr>
          <w:rFonts w:hint="eastAsia"/>
        </w:rPr>
        <w:t>年)</w:t>
      </w:r>
      <w:r w:rsidR="00D1707A">
        <w:rPr>
          <w:rFonts w:hint="eastAsia"/>
        </w:rPr>
        <w:t>39.5億餘元、</w:t>
      </w:r>
      <w:r w:rsidR="00D1707A" w:rsidRPr="0074393A">
        <w:rPr>
          <w:rFonts w:hint="eastAsia"/>
        </w:rPr>
        <w:t>「</w:t>
      </w:r>
      <w:r w:rsidR="00D1707A">
        <w:rPr>
          <w:rFonts w:hint="eastAsia"/>
        </w:rPr>
        <w:t>候選</w:t>
      </w:r>
      <w:r w:rsidR="00D1707A" w:rsidRPr="0074393A">
        <w:rPr>
          <w:rFonts w:hint="eastAsia"/>
        </w:rPr>
        <w:t>場址</w:t>
      </w:r>
      <w:r w:rsidR="00D1707A">
        <w:rPr>
          <w:rFonts w:hint="eastAsia"/>
        </w:rPr>
        <w:t>評選與核定</w:t>
      </w:r>
      <w:r w:rsidR="00D1707A" w:rsidRPr="0074393A">
        <w:rPr>
          <w:rFonts w:hint="eastAsia"/>
        </w:rPr>
        <w:t>」</w:t>
      </w:r>
      <w:r w:rsidR="00757A8C">
        <w:rPr>
          <w:rFonts w:hint="eastAsia"/>
        </w:rPr>
        <w:t>44億元</w:t>
      </w:r>
      <w:r w:rsidR="00D1707A">
        <w:rPr>
          <w:rFonts w:hint="eastAsia"/>
        </w:rPr>
        <w:t>、</w:t>
      </w:r>
      <w:r w:rsidR="00757A8C" w:rsidRPr="0074393A">
        <w:rPr>
          <w:rFonts w:hint="eastAsia"/>
        </w:rPr>
        <w:t>「場址詳細調查與試驗」(</w:t>
      </w:r>
      <w:r w:rsidR="00757A8C">
        <w:rPr>
          <w:rFonts w:hint="eastAsia"/>
        </w:rPr>
        <w:t>118</w:t>
      </w:r>
      <w:r w:rsidR="00757A8C" w:rsidRPr="0074393A">
        <w:rPr>
          <w:rFonts w:hint="eastAsia"/>
        </w:rPr>
        <w:t>~</w:t>
      </w:r>
      <w:r w:rsidR="00757A8C">
        <w:rPr>
          <w:rFonts w:hint="eastAsia"/>
        </w:rPr>
        <w:t>127</w:t>
      </w:r>
      <w:r w:rsidR="00757A8C" w:rsidRPr="0074393A">
        <w:rPr>
          <w:rFonts w:hint="eastAsia"/>
        </w:rPr>
        <w:t>年)</w:t>
      </w:r>
      <w:r w:rsidR="00757A8C">
        <w:rPr>
          <w:rFonts w:hint="eastAsia"/>
        </w:rPr>
        <w:t>58.5億餘元</w:t>
      </w:r>
      <w:r w:rsidR="00D1707A">
        <w:rPr>
          <w:rFonts w:hint="eastAsia"/>
        </w:rPr>
        <w:t>、</w:t>
      </w:r>
      <w:r w:rsidR="00757A8C" w:rsidRPr="0074393A">
        <w:rPr>
          <w:rFonts w:hint="eastAsia"/>
        </w:rPr>
        <w:t>「處置場設計與安全分析評估」(</w:t>
      </w:r>
      <w:r w:rsidR="00757A8C">
        <w:rPr>
          <w:rFonts w:hint="eastAsia"/>
        </w:rPr>
        <w:t>128</w:t>
      </w:r>
      <w:r w:rsidR="00757A8C" w:rsidRPr="0074393A">
        <w:rPr>
          <w:rFonts w:hint="eastAsia"/>
        </w:rPr>
        <w:t>~</w:t>
      </w:r>
      <w:r w:rsidR="00757A8C">
        <w:rPr>
          <w:rFonts w:hint="eastAsia"/>
        </w:rPr>
        <w:t>133</w:t>
      </w:r>
      <w:r w:rsidR="00757A8C" w:rsidRPr="0074393A">
        <w:rPr>
          <w:rFonts w:hint="eastAsia"/>
        </w:rPr>
        <w:t>年)</w:t>
      </w:r>
      <w:r w:rsidR="00757A8C">
        <w:rPr>
          <w:rFonts w:hint="eastAsia"/>
        </w:rPr>
        <w:t>53.6億餘元、</w:t>
      </w:r>
      <w:r w:rsidR="00757A8C" w:rsidRPr="0074393A">
        <w:rPr>
          <w:rFonts w:hint="eastAsia"/>
        </w:rPr>
        <w:t>「處置場建造」(</w:t>
      </w:r>
      <w:r w:rsidR="00757A8C">
        <w:rPr>
          <w:rFonts w:hint="eastAsia"/>
        </w:rPr>
        <w:t>133</w:t>
      </w:r>
      <w:r w:rsidR="00757A8C" w:rsidRPr="0074393A">
        <w:rPr>
          <w:rFonts w:hint="eastAsia"/>
        </w:rPr>
        <w:t>~</w:t>
      </w:r>
      <w:r w:rsidR="00757A8C">
        <w:rPr>
          <w:rFonts w:hint="eastAsia"/>
        </w:rPr>
        <w:t>144</w:t>
      </w:r>
      <w:r w:rsidR="00757A8C" w:rsidRPr="0074393A">
        <w:rPr>
          <w:rFonts w:hint="eastAsia"/>
        </w:rPr>
        <w:t>年)</w:t>
      </w:r>
      <w:r w:rsidR="00757A8C">
        <w:rPr>
          <w:rFonts w:hint="eastAsia"/>
        </w:rPr>
        <w:t>304億餘元、</w:t>
      </w:r>
      <w:r w:rsidR="00757A8C" w:rsidRPr="0074393A">
        <w:rPr>
          <w:rFonts w:hint="eastAsia"/>
        </w:rPr>
        <w:t>「處置場</w:t>
      </w:r>
      <w:r w:rsidR="00757A8C">
        <w:rPr>
          <w:rFonts w:hint="eastAsia"/>
        </w:rPr>
        <w:t>營運</w:t>
      </w:r>
      <w:r w:rsidR="00757A8C" w:rsidRPr="0074393A">
        <w:rPr>
          <w:rFonts w:hint="eastAsia"/>
        </w:rPr>
        <w:t>」(</w:t>
      </w:r>
      <w:r w:rsidR="00757A8C">
        <w:rPr>
          <w:rFonts w:hint="eastAsia"/>
        </w:rPr>
        <w:t>144</w:t>
      </w:r>
      <w:r w:rsidR="00757A8C" w:rsidRPr="0074393A">
        <w:rPr>
          <w:rFonts w:hint="eastAsia"/>
        </w:rPr>
        <w:t>~</w:t>
      </w:r>
      <w:r w:rsidR="00757A8C">
        <w:rPr>
          <w:rFonts w:hint="eastAsia"/>
        </w:rPr>
        <w:t>156</w:t>
      </w:r>
      <w:r w:rsidR="00757A8C" w:rsidRPr="0074393A">
        <w:rPr>
          <w:rFonts w:hint="eastAsia"/>
        </w:rPr>
        <w:t>年)</w:t>
      </w:r>
      <w:r w:rsidR="00757A8C">
        <w:rPr>
          <w:rFonts w:hint="eastAsia"/>
        </w:rPr>
        <w:t>411億餘元、</w:t>
      </w:r>
      <w:r w:rsidR="00757A8C" w:rsidRPr="0074393A">
        <w:rPr>
          <w:rFonts w:hint="eastAsia"/>
        </w:rPr>
        <w:t>「處置場</w:t>
      </w:r>
      <w:r w:rsidR="00757A8C">
        <w:rPr>
          <w:rFonts w:hint="eastAsia"/>
        </w:rPr>
        <w:t>初期封閉</w:t>
      </w:r>
      <w:r w:rsidR="00757A8C" w:rsidRPr="0074393A">
        <w:rPr>
          <w:rFonts w:hint="eastAsia"/>
        </w:rPr>
        <w:t>」</w:t>
      </w:r>
      <w:r w:rsidR="00EB184E" w:rsidRPr="0074393A">
        <w:rPr>
          <w:rFonts w:hint="eastAsia"/>
        </w:rPr>
        <w:t>(</w:t>
      </w:r>
      <w:r w:rsidR="00EB184E">
        <w:rPr>
          <w:rFonts w:hint="eastAsia"/>
        </w:rPr>
        <w:t>157</w:t>
      </w:r>
      <w:r w:rsidR="00EB184E" w:rsidRPr="0074393A">
        <w:rPr>
          <w:rFonts w:hint="eastAsia"/>
        </w:rPr>
        <w:t>~</w:t>
      </w:r>
      <w:r w:rsidR="00EB184E">
        <w:rPr>
          <w:rFonts w:hint="eastAsia"/>
        </w:rPr>
        <w:t>158</w:t>
      </w:r>
      <w:r w:rsidR="00EB184E" w:rsidRPr="0074393A">
        <w:rPr>
          <w:rFonts w:hint="eastAsia"/>
        </w:rPr>
        <w:t>年)</w:t>
      </w:r>
      <w:r w:rsidR="00EB184E">
        <w:rPr>
          <w:rFonts w:hint="eastAsia"/>
        </w:rPr>
        <w:t>90.7億餘元、</w:t>
      </w:r>
      <w:r w:rsidR="00EB184E" w:rsidRPr="0074393A">
        <w:rPr>
          <w:rFonts w:hint="eastAsia"/>
        </w:rPr>
        <w:t>「處置場</w:t>
      </w:r>
      <w:r w:rsidR="00EB184E">
        <w:rPr>
          <w:rFonts w:hint="eastAsia"/>
        </w:rPr>
        <w:t>監管</w:t>
      </w:r>
      <w:r w:rsidR="00EB184E" w:rsidRPr="0074393A">
        <w:rPr>
          <w:rFonts w:hint="eastAsia"/>
        </w:rPr>
        <w:t>」(</w:t>
      </w:r>
      <w:r w:rsidR="00EB184E">
        <w:rPr>
          <w:rFonts w:hint="eastAsia"/>
        </w:rPr>
        <w:t>159</w:t>
      </w:r>
      <w:r w:rsidR="00EB184E" w:rsidRPr="0074393A">
        <w:rPr>
          <w:rFonts w:hint="eastAsia"/>
        </w:rPr>
        <w:t>~</w:t>
      </w:r>
      <w:r w:rsidR="00EB184E">
        <w:rPr>
          <w:rFonts w:hint="eastAsia"/>
        </w:rPr>
        <w:t>208</w:t>
      </w:r>
      <w:r w:rsidR="00EB184E" w:rsidRPr="0074393A">
        <w:rPr>
          <w:rFonts w:hint="eastAsia"/>
        </w:rPr>
        <w:t>年)</w:t>
      </w:r>
      <w:r w:rsidR="00EB184E">
        <w:rPr>
          <w:rFonts w:hint="eastAsia"/>
        </w:rPr>
        <w:t>50億餘元、</w:t>
      </w:r>
      <w:r w:rsidR="00EB184E" w:rsidRPr="0074393A">
        <w:rPr>
          <w:rFonts w:hint="eastAsia"/>
        </w:rPr>
        <w:t>「處置場</w:t>
      </w:r>
      <w:r w:rsidR="00EB184E">
        <w:rPr>
          <w:rFonts w:hint="eastAsia"/>
        </w:rPr>
        <w:t>永久封閉</w:t>
      </w:r>
      <w:r w:rsidR="00EB184E" w:rsidRPr="0074393A">
        <w:rPr>
          <w:rFonts w:hint="eastAsia"/>
        </w:rPr>
        <w:t>」(</w:t>
      </w:r>
      <w:r w:rsidR="00EB184E">
        <w:rPr>
          <w:rFonts w:hint="eastAsia"/>
        </w:rPr>
        <w:t>209</w:t>
      </w:r>
      <w:r w:rsidR="00EB184E" w:rsidRPr="0074393A">
        <w:rPr>
          <w:rFonts w:hint="eastAsia"/>
        </w:rPr>
        <w:t>~</w:t>
      </w:r>
      <w:r w:rsidR="00EB184E">
        <w:rPr>
          <w:rFonts w:hint="eastAsia"/>
        </w:rPr>
        <w:t>211</w:t>
      </w:r>
      <w:r w:rsidR="00EB184E" w:rsidRPr="0074393A">
        <w:rPr>
          <w:rFonts w:hint="eastAsia"/>
        </w:rPr>
        <w:t>年)</w:t>
      </w:r>
      <w:r w:rsidR="00EB184E">
        <w:rPr>
          <w:rFonts w:hint="eastAsia"/>
        </w:rPr>
        <w:t>136億餘元</w:t>
      </w:r>
      <w:r w:rsidRPr="00155865">
        <w:rPr>
          <w:rFonts w:hint="eastAsia"/>
          <w:szCs w:val="32"/>
        </w:rPr>
        <w:t>。</w:t>
      </w:r>
    </w:p>
    <w:p w:rsidR="004F109A" w:rsidRPr="004F109A" w:rsidRDefault="004F109A" w:rsidP="00E07D39">
      <w:pPr>
        <w:pStyle w:val="4"/>
        <w:widowControl/>
        <w:numPr>
          <w:ilvl w:val="3"/>
          <w:numId w:val="5"/>
        </w:numPr>
      </w:pPr>
      <w:r w:rsidRPr="001A14F4">
        <w:rPr>
          <w:rFonts w:hAnsi="Times New Roman"/>
          <w:kern w:val="0"/>
          <w:szCs w:val="20"/>
        </w:rPr>
        <w:t>核能電廠</w:t>
      </w:r>
      <w:r w:rsidR="0055335A">
        <w:rPr>
          <w:rFonts w:hAnsi="Times New Roman" w:hint="eastAsia"/>
          <w:kern w:val="0"/>
          <w:szCs w:val="20"/>
        </w:rPr>
        <w:t>拆廠</w:t>
      </w:r>
      <w:r w:rsidRPr="001A14F4">
        <w:rPr>
          <w:rFonts w:hAnsi="Times New Roman"/>
          <w:kern w:val="0"/>
          <w:szCs w:val="20"/>
        </w:rPr>
        <w:t>除役</w:t>
      </w:r>
      <w:r w:rsidRPr="001A14F4">
        <w:rPr>
          <w:rFonts w:hAnsi="Times New Roman" w:hint="eastAsia"/>
          <w:kern w:val="0"/>
          <w:szCs w:val="20"/>
        </w:rPr>
        <w:t>：</w:t>
      </w:r>
    </w:p>
    <w:p w:rsidR="004F109A" w:rsidRPr="0055335A" w:rsidRDefault="00AC56A7" w:rsidP="00AA1002">
      <w:pPr>
        <w:pStyle w:val="5"/>
        <w:widowControl/>
        <w:numPr>
          <w:ilvl w:val="4"/>
          <w:numId w:val="5"/>
        </w:numPr>
        <w:kinsoku/>
        <w:ind w:left="2092" w:hanging="697"/>
      </w:pPr>
      <w:r>
        <w:rPr>
          <w:rFonts w:hAnsi="Times New Roman" w:hint="eastAsia"/>
          <w:kern w:val="0"/>
          <w:szCs w:val="20"/>
        </w:rPr>
        <w:t>拆廠</w:t>
      </w:r>
      <w:r w:rsidRPr="001A14F4">
        <w:rPr>
          <w:rFonts w:hAnsi="Times New Roman"/>
          <w:kern w:val="0"/>
          <w:szCs w:val="20"/>
        </w:rPr>
        <w:t>除役</w:t>
      </w:r>
      <w:r w:rsidR="0055335A" w:rsidRPr="001A0E9C">
        <w:rPr>
          <w:rFonts w:hint="eastAsia"/>
          <w:szCs w:val="32"/>
        </w:rPr>
        <w:t>分為</w:t>
      </w:r>
      <w:r w:rsidR="0055335A" w:rsidRPr="001A0E9C">
        <w:rPr>
          <w:szCs w:val="32"/>
        </w:rPr>
        <w:t>：除役計畫準備與核准階段6年</w:t>
      </w:r>
      <w:r w:rsidR="0055335A" w:rsidRPr="001A0E9C">
        <w:rPr>
          <w:rFonts w:hint="eastAsia"/>
          <w:szCs w:val="32"/>
        </w:rPr>
        <w:t>、</w:t>
      </w:r>
      <w:r w:rsidR="0055335A" w:rsidRPr="001A0E9C">
        <w:rPr>
          <w:szCs w:val="32"/>
        </w:rPr>
        <w:t>停機過渡階段3年</w:t>
      </w:r>
      <w:r w:rsidR="0055335A">
        <w:rPr>
          <w:rFonts w:hint="eastAsia"/>
          <w:szCs w:val="32"/>
        </w:rPr>
        <w:t>、</w:t>
      </w:r>
      <w:r w:rsidR="0055335A" w:rsidRPr="001A0E9C">
        <w:rPr>
          <w:szCs w:val="32"/>
        </w:rPr>
        <w:t>除役執行階段8年</w:t>
      </w:r>
      <w:r w:rsidR="0055335A" w:rsidRPr="001A0E9C">
        <w:rPr>
          <w:rFonts w:hint="eastAsia"/>
          <w:szCs w:val="32"/>
        </w:rPr>
        <w:t>、</w:t>
      </w:r>
      <w:r w:rsidR="0055335A" w:rsidRPr="001A0E9C">
        <w:rPr>
          <w:szCs w:val="32"/>
        </w:rPr>
        <w:t>除役完成階段3年</w:t>
      </w:r>
      <w:r w:rsidR="0055335A">
        <w:rPr>
          <w:rFonts w:hint="eastAsia"/>
          <w:szCs w:val="32"/>
        </w:rPr>
        <w:t>、</w:t>
      </w:r>
      <w:r w:rsidR="0055335A" w:rsidRPr="001A0E9C">
        <w:rPr>
          <w:szCs w:val="32"/>
        </w:rPr>
        <w:t>廠址復原階段2年</w:t>
      </w:r>
      <w:r>
        <w:rPr>
          <w:rFonts w:hint="eastAsia"/>
          <w:szCs w:val="32"/>
        </w:rPr>
        <w:t>等</w:t>
      </w:r>
      <w:r w:rsidRPr="001A0E9C">
        <w:rPr>
          <w:rFonts w:hint="eastAsia"/>
          <w:szCs w:val="32"/>
        </w:rPr>
        <w:t>五</w:t>
      </w:r>
      <w:r w:rsidRPr="001A0E9C">
        <w:rPr>
          <w:szCs w:val="32"/>
        </w:rPr>
        <w:t>階段</w:t>
      </w:r>
      <w:r w:rsidR="0055335A" w:rsidRPr="001A0E9C">
        <w:rPr>
          <w:szCs w:val="32"/>
        </w:rPr>
        <w:t>。</w:t>
      </w:r>
    </w:p>
    <w:p w:rsidR="0055335A" w:rsidRPr="004F109A" w:rsidRDefault="00155865" w:rsidP="00E07D39">
      <w:pPr>
        <w:pStyle w:val="5"/>
        <w:widowControl/>
        <w:numPr>
          <w:ilvl w:val="4"/>
          <w:numId w:val="5"/>
        </w:numPr>
      </w:pPr>
      <w:r w:rsidRPr="001A14F4">
        <w:t>除役拆廠</w:t>
      </w:r>
      <w:r w:rsidRPr="00155865">
        <w:t>費用</w:t>
      </w:r>
      <w:r w:rsidRPr="00155865">
        <w:rPr>
          <w:rFonts w:hint="eastAsia"/>
        </w:rPr>
        <w:t>約為</w:t>
      </w:r>
      <w:r w:rsidRPr="00155865">
        <w:t>58,66</w:t>
      </w:r>
      <w:r w:rsidRPr="00155865">
        <w:rPr>
          <w:rFonts w:hint="eastAsia"/>
        </w:rPr>
        <w:t>8百萬元（核一、二、三廠</w:t>
      </w:r>
      <w:r w:rsidR="00AA1002">
        <w:rPr>
          <w:rFonts w:hint="eastAsia"/>
        </w:rPr>
        <w:t>各</w:t>
      </w:r>
      <w:r w:rsidRPr="00155865">
        <w:rPr>
          <w:rFonts w:hint="eastAsia"/>
        </w:rPr>
        <w:t>為</w:t>
      </w:r>
      <w:r w:rsidRPr="00155865">
        <w:t>15,8</w:t>
      </w:r>
      <w:r w:rsidRPr="00155865">
        <w:rPr>
          <w:rFonts w:hint="eastAsia"/>
        </w:rPr>
        <w:t>30、</w:t>
      </w:r>
      <w:r w:rsidRPr="00155865">
        <w:t>21,04</w:t>
      </w:r>
      <w:r w:rsidRPr="00155865">
        <w:rPr>
          <w:rFonts w:hint="eastAsia"/>
        </w:rPr>
        <w:t>6、</w:t>
      </w:r>
      <w:r w:rsidRPr="00155865">
        <w:t>21,79</w:t>
      </w:r>
      <w:r w:rsidRPr="00155865">
        <w:rPr>
          <w:rFonts w:hint="eastAsia"/>
        </w:rPr>
        <w:t>2百萬元）</w:t>
      </w:r>
      <w:r w:rsidRPr="00155865">
        <w:t>。</w:t>
      </w:r>
      <w:r>
        <w:rPr>
          <w:rFonts w:hint="eastAsia"/>
        </w:rPr>
        <w:t>另</w:t>
      </w:r>
      <w:r w:rsidRPr="00155865">
        <w:rPr>
          <w:rFonts w:hint="eastAsia"/>
        </w:rPr>
        <w:t>蘭嶼貯存場</w:t>
      </w:r>
      <w:r w:rsidR="00AA1002">
        <w:rPr>
          <w:rFonts w:hint="eastAsia"/>
        </w:rPr>
        <w:t>、</w:t>
      </w:r>
      <w:r w:rsidR="00AA1002" w:rsidRPr="00155865">
        <w:rPr>
          <w:rFonts w:hint="eastAsia"/>
        </w:rPr>
        <w:t>減容中心</w:t>
      </w:r>
      <w:r w:rsidR="00AA1002">
        <w:rPr>
          <w:rFonts w:hint="eastAsia"/>
        </w:rPr>
        <w:t>、</w:t>
      </w:r>
      <w:r w:rsidR="00AA1002" w:rsidRPr="00155865">
        <w:t>用過核子燃料乾式</w:t>
      </w:r>
      <w:r w:rsidR="00AA1002" w:rsidRPr="00155865">
        <w:lastRenderedPageBreak/>
        <w:t>貯存設施</w:t>
      </w:r>
      <w:r w:rsidR="00AA1002">
        <w:rPr>
          <w:rFonts w:hint="eastAsia"/>
        </w:rPr>
        <w:t>之</w:t>
      </w:r>
      <w:r w:rsidRPr="00155865">
        <w:rPr>
          <w:rFonts w:hint="eastAsia"/>
        </w:rPr>
        <w:t>除役</w:t>
      </w:r>
      <w:r w:rsidRPr="00155865">
        <w:t>費用</w:t>
      </w:r>
      <w:r w:rsidR="00AA1002">
        <w:rPr>
          <w:rFonts w:hint="eastAsia"/>
        </w:rPr>
        <w:t>各</w:t>
      </w:r>
      <w:r w:rsidRPr="00155865">
        <w:rPr>
          <w:rFonts w:hint="eastAsia"/>
        </w:rPr>
        <w:t>約為266百萬元</w:t>
      </w:r>
      <w:r>
        <w:rPr>
          <w:rFonts w:hint="eastAsia"/>
        </w:rPr>
        <w:t>、</w:t>
      </w:r>
      <w:r w:rsidRPr="00155865">
        <w:rPr>
          <w:rFonts w:hint="eastAsia"/>
        </w:rPr>
        <w:t>40百萬元</w:t>
      </w:r>
      <w:r>
        <w:rPr>
          <w:rFonts w:hint="eastAsia"/>
        </w:rPr>
        <w:t>、</w:t>
      </w:r>
      <w:r w:rsidRPr="00155865">
        <w:rPr>
          <w:rFonts w:hint="eastAsia"/>
        </w:rPr>
        <w:t>3</w:t>
      </w:r>
      <w:r w:rsidRPr="00155865">
        <w:t>,</w:t>
      </w:r>
      <w:r w:rsidRPr="00155865">
        <w:rPr>
          <w:rFonts w:hint="eastAsia"/>
        </w:rPr>
        <w:t>035百萬元</w:t>
      </w:r>
      <w:r>
        <w:rPr>
          <w:rFonts w:hint="eastAsia"/>
        </w:rPr>
        <w:t>。</w:t>
      </w:r>
    </w:p>
    <w:p w:rsidR="004F109A" w:rsidRDefault="004F109A" w:rsidP="00E07D39">
      <w:pPr>
        <w:pStyle w:val="4"/>
        <w:widowControl/>
        <w:numPr>
          <w:ilvl w:val="3"/>
          <w:numId w:val="5"/>
        </w:numPr>
      </w:pPr>
      <w:r>
        <w:t>用過核子燃料/低放射性廢棄物運輸</w:t>
      </w:r>
      <w:r>
        <w:rPr>
          <w:rFonts w:hint="eastAsia"/>
        </w:rPr>
        <w:t>：</w:t>
      </w:r>
      <w:r w:rsidR="00AC56A7" w:rsidRPr="00350A92">
        <w:rPr>
          <w:szCs w:val="32"/>
        </w:rPr>
        <w:t>核能電廠用過核子燃料及運轉除役期間產生之低放射性廢棄物，由電廠或貯存地運輸至最終處置場所需之運輸器具、車輛、船舶、人員、油料以及相關之碼頭改善等</w:t>
      </w:r>
      <w:r w:rsidR="00AC56A7">
        <w:rPr>
          <w:rFonts w:hint="eastAsia"/>
          <w:szCs w:val="32"/>
        </w:rPr>
        <w:t>作業</w:t>
      </w:r>
      <w:r w:rsidR="00AC56A7" w:rsidRPr="0074300D">
        <w:t>，</w:t>
      </w:r>
      <w:r w:rsidR="00AC56A7">
        <w:rPr>
          <w:rFonts w:hint="eastAsia"/>
        </w:rPr>
        <w:t>其</w:t>
      </w:r>
      <w:r w:rsidR="00AC56A7" w:rsidRPr="00155865">
        <w:t>費用</w:t>
      </w:r>
      <w:r w:rsidR="00AC56A7" w:rsidRPr="00155865">
        <w:rPr>
          <w:rFonts w:hint="eastAsia"/>
        </w:rPr>
        <w:t>約為20</w:t>
      </w:r>
      <w:r w:rsidR="00AC56A7" w:rsidRPr="00155865">
        <w:t>,</w:t>
      </w:r>
      <w:r w:rsidR="00AC56A7" w:rsidRPr="00155865">
        <w:rPr>
          <w:rFonts w:hint="eastAsia"/>
        </w:rPr>
        <w:t>727百萬元</w:t>
      </w:r>
      <w:r w:rsidR="00AC56A7">
        <w:rPr>
          <w:rFonts w:hint="eastAsia"/>
        </w:rPr>
        <w:t>。</w:t>
      </w:r>
    </w:p>
    <w:p w:rsidR="004F109A" w:rsidRPr="004F109A" w:rsidRDefault="004F109A" w:rsidP="00E07D39">
      <w:pPr>
        <w:pStyle w:val="4"/>
        <w:widowControl/>
        <w:numPr>
          <w:ilvl w:val="3"/>
          <w:numId w:val="5"/>
        </w:numPr>
      </w:pPr>
      <w:r w:rsidRPr="0074300D">
        <w:rPr>
          <w:szCs w:val="32"/>
        </w:rPr>
        <w:t>貯存/處置回饋金</w:t>
      </w:r>
      <w:r w:rsidRPr="0074300D">
        <w:rPr>
          <w:rFonts w:hint="eastAsia"/>
          <w:szCs w:val="32"/>
        </w:rPr>
        <w:t>：</w:t>
      </w:r>
    </w:p>
    <w:p w:rsidR="004F109A" w:rsidRPr="00155865" w:rsidRDefault="0055335A" w:rsidP="00E07D39">
      <w:pPr>
        <w:pStyle w:val="5"/>
        <w:widowControl/>
        <w:numPr>
          <w:ilvl w:val="4"/>
          <w:numId w:val="5"/>
        </w:numPr>
        <w:rPr>
          <w:bCs w:val="0"/>
          <w:szCs w:val="32"/>
        </w:rPr>
      </w:pPr>
      <w:r w:rsidRPr="00350A92">
        <w:rPr>
          <w:bCs w:val="0"/>
          <w:szCs w:val="32"/>
        </w:rPr>
        <w:t>低放射性廢棄物貯存回饋</w:t>
      </w:r>
      <w:r w:rsidRPr="00350A92">
        <w:rPr>
          <w:rFonts w:hint="eastAsia"/>
          <w:bCs w:val="0"/>
          <w:szCs w:val="32"/>
        </w:rPr>
        <w:t>設施所在鄉鎮</w:t>
      </w:r>
      <w:r w:rsidR="00AC56A7">
        <w:rPr>
          <w:rFonts w:hint="eastAsia"/>
          <w:bCs w:val="0"/>
          <w:szCs w:val="32"/>
        </w:rPr>
        <w:t>(區)</w:t>
      </w:r>
      <w:r w:rsidRPr="00350A92">
        <w:rPr>
          <w:rFonts w:hint="eastAsia"/>
          <w:bCs w:val="0"/>
          <w:szCs w:val="32"/>
        </w:rPr>
        <w:t>為</w:t>
      </w:r>
      <w:r w:rsidRPr="00350A92">
        <w:rPr>
          <w:bCs w:val="0"/>
          <w:szCs w:val="32"/>
        </w:rPr>
        <w:t>每桶</w:t>
      </w:r>
      <w:r w:rsidRPr="00350A92">
        <w:rPr>
          <w:rFonts w:hint="eastAsia"/>
          <w:bCs w:val="0"/>
          <w:szCs w:val="32"/>
        </w:rPr>
        <w:t>200元，設施各鄰接鄉鎮</w:t>
      </w:r>
      <w:r w:rsidR="00AC56A7">
        <w:rPr>
          <w:rFonts w:hint="eastAsia"/>
          <w:bCs w:val="0"/>
          <w:szCs w:val="32"/>
        </w:rPr>
        <w:t>(</w:t>
      </w:r>
      <w:r w:rsidRPr="00350A92">
        <w:rPr>
          <w:rFonts w:hint="eastAsia"/>
          <w:bCs w:val="0"/>
          <w:szCs w:val="32"/>
        </w:rPr>
        <w:t>區</w:t>
      </w:r>
      <w:r w:rsidR="00AC56A7">
        <w:rPr>
          <w:rFonts w:hint="eastAsia"/>
          <w:bCs w:val="0"/>
          <w:szCs w:val="32"/>
        </w:rPr>
        <w:t>)</w:t>
      </w:r>
      <w:r w:rsidRPr="00350A92">
        <w:rPr>
          <w:rFonts w:hint="eastAsia"/>
          <w:bCs w:val="0"/>
          <w:szCs w:val="32"/>
        </w:rPr>
        <w:t>及所在直轄市</w:t>
      </w:r>
      <w:r w:rsidR="00AC56A7">
        <w:rPr>
          <w:rFonts w:hint="eastAsia"/>
          <w:bCs w:val="0"/>
          <w:szCs w:val="32"/>
        </w:rPr>
        <w:t>(</w:t>
      </w:r>
      <w:r w:rsidRPr="00350A92">
        <w:rPr>
          <w:rFonts w:hint="eastAsia"/>
          <w:bCs w:val="0"/>
          <w:szCs w:val="32"/>
        </w:rPr>
        <w:t>縣)為</w:t>
      </w:r>
      <w:r w:rsidRPr="00350A92">
        <w:rPr>
          <w:bCs w:val="0"/>
          <w:szCs w:val="32"/>
        </w:rPr>
        <w:t>每桶</w:t>
      </w:r>
      <w:r w:rsidRPr="00350A92">
        <w:rPr>
          <w:rFonts w:hint="eastAsia"/>
          <w:bCs w:val="0"/>
          <w:szCs w:val="32"/>
        </w:rPr>
        <w:t>60元</w:t>
      </w:r>
      <w:r w:rsidRPr="00350A92">
        <w:rPr>
          <w:bCs w:val="0"/>
          <w:szCs w:val="32"/>
        </w:rPr>
        <w:t>。用過核子燃料</w:t>
      </w:r>
      <w:r>
        <w:rPr>
          <w:bCs w:val="0"/>
          <w:szCs w:val="32"/>
        </w:rPr>
        <w:t>乾式貯存設施</w:t>
      </w:r>
      <w:r w:rsidRPr="00350A92">
        <w:rPr>
          <w:bCs w:val="0"/>
          <w:szCs w:val="32"/>
        </w:rPr>
        <w:t>所在鄉鎮為每公噸鈾3</w:t>
      </w:r>
      <w:r w:rsidR="002024A7" w:rsidRPr="00350A92">
        <w:rPr>
          <w:bCs w:val="0"/>
          <w:szCs w:val="32"/>
        </w:rPr>
        <w:t>萬</w:t>
      </w:r>
      <w:r w:rsidRPr="00350A92">
        <w:rPr>
          <w:bCs w:val="0"/>
          <w:szCs w:val="32"/>
        </w:rPr>
        <w:t>元，各鄰接鄉鎮及所在縣為每公噸鈾9</w:t>
      </w:r>
      <w:r w:rsidR="002024A7">
        <w:rPr>
          <w:rFonts w:hint="eastAsia"/>
          <w:bCs w:val="0"/>
          <w:szCs w:val="32"/>
        </w:rPr>
        <w:t>千</w:t>
      </w:r>
      <w:r w:rsidRPr="00350A92">
        <w:rPr>
          <w:bCs w:val="0"/>
          <w:szCs w:val="32"/>
        </w:rPr>
        <w:t>元</w:t>
      </w:r>
      <w:r>
        <w:rPr>
          <w:rFonts w:hint="eastAsia"/>
          <w:bCs w:val="0"/>
          <w:szCs w:val="32"/>
        </w:rPr>
        <w:t>；</w:t>
      </w:r>
      <w:r w:rsidRPr="00350A92">
        <w:rPr>
          <w:bCs w:val="0"/>
          <w:szCs w:val="32"/>
        </w:rPr>
        <w:t>另興建時在設施所在鄉鎮回饋金為</w:t>
      </w:r>
      <w:r w:rsidRPr="00350A92">
        <w:rPr>
          <w:rFonts w:hint="eastAsia"/>
          <w:bCs w:val="0"/>
          <w:szCs w:val="32"/>
        </w:rPr>
        <w:t>6</w:t>
      </w:r>
      <w:r w:rsidRPr="00350A92">
        <w:rPr>
          <w:bCs w:val="0"/>
          <w:szCs w:val="32"/>
        </w:rPr>
        <w:t>千萬元</w:t>
      </w:r>
      <w:r>
        <w:rPr>
          <w:rFonts w:hint="eastAsia"/>
          <w:bCs w:val="0"/>
          <w:szCs w:val="32"/>
        </w:rPr>
        <w:t>，</w:t>
      </w:r>
      <w:r w:rsidRPr="00350A92">
        <w:rPr>
          <w:bCs w:val="0"/>
          <w:szCs w:val="32"/>
        </w:rPr>
        <w:t>各鄰接鄉鎮及所在縣回饋金為</w:t>
      </w:r>
      <w:r w:rsidRPr="00350A92">
        <w:rPr>
          <w:rFonts w:hint="eastAsia"/>
          <w:bCs w:val="0"/>
          <w:szCs w:val="32"/>
        </w:rPr>
        <w:t>3</w:t>
      </w:r>
      <w:r w:rsidRPr="00350A92">
        <w:rPr>
          <w:bCs w:val="0"/>
          <w:szCs w:val="32"/>
        </w:rPr>
        <w:t>千萬元。</w:t>
      </w:r>
      <w:r w:rsidRPr="005B3870">
        <w:rPr>
          <w:bCs w:val="0"/>
          <w:szCs w:val="32"/>
        </w:rPr>
        <w:t>低放射性廢棄物最終處置選址回饋金50億元，將於核定</w:t>
      </w:r>
      <w:r w:rsidRPr="005B3870">
        <w:rPr>
          <w:rFonts w:hint="eastAsia"/>
          <w:bCs w:val="0"/>
          <w:szCs w:val="32"/>
        </w:rPr>
        <w:t>場址起至處置場營運啟用按施工期程分7期支付</w:t>
      </w:r>
      <w:r>
        <w:rPr>
          <w:rFonts w:hint="eastAsia"/>
          <w:bCs w:val="0"/>
          <w:szCs w:val="32"/>
        </w:rPr>
        <w:t>；</w:t>
      </w:r>
      <w:r w:rsidRPr="005B3870">
        <w:rPr>
          <w:bCs w:val="0"/>
          <w:szCs w:val="32"/>
        </w:rPr>
        <w:t>運轉階段</w:t>
      </w:r>
      <w:r w:rsidRPr="005B3870">
        <w:rPr>
          <w:rFonts w:hint="eastAsia"/>
          <w:bCs w:val="0"/>
          <w:szCs w:val="32"/>
        </w:rPr>
        <w:t>預估每處置1桶低放射性廢棄物提供設施所在鄉鎮處置回饋金200元、鄰接鄉鎮60元及所在縣60元。</w:t>
      </w:r>
      <w:r w:rsidRPr="005B3870">
        <w:rPr>
          <w:bCs w:val="0"/>
          <w:szCs w:val="32"/>
        </w:rPr>
        <w:t>用過核子燃料最終處置</w:t>
      </w:r>
      <w:r w:rsidRPr="005B3870">
        <w:rPr>
          <w:rFonts w:hint="eastAsia"/>
          <w:bCs w:val="0"/>
          <w:szCs w:val="32"/>
        </w:rPr>
        <w:t>選址</w:t>
      </w:r>
      <w:r w:rsidRPr="005B3870">
        <w:rPr>
          <w:bCs w:val="0"/>
          <w:szCs w:val="32"/>
        </w:rPr>
        <w:t>回饋金總額假設</w:t>
      </w:r>
      <w:r w:rsidRPr="005B3870">
        <w:rPr>
          <w:rFonts w:hint="eastAsia"/>
          <w:bCs w:val="0"/>
          <w:szCs w:val="32"/>
        </w:rPr>
        <w:t>比照</w:t>
      </w:r>
      <w:r w:rsidRPr="005B3870">
        <w:rPr>
          <w:bCs w:val="0"/>
          <w:szCs w:val="32"/>
        </w:rPr>
        <w:t>低放射性廢棄物之50億元</w:t>
      </w:r>
      <w:r>
        <w:rPr>
          <w:rFonts w:hint="eastAsia"/>
          <w:bCs w:val="0"/>
          <w:szCs w:val="32"/>
        </w:rPr>
        <w:t>；</w:t>
      </w:r>
      <w:r w:rsidRPr="005B3870">
        <w:rPr>
          <w:bCs w:val="0"/>
          <w:szCs w:val="32"/>
        </w:rPr>
        <w:t>運轉階段回饋</w:t>
      </w:r>
      <w:r w:rsidRPr="005B3870">
        <w:rPr>
          <w:rFonts w:hint="eastAsia"/>
          <w:bCs w:val="0"/>
          <w:szCs w:val="32"/>
        </w:rPr>
        <w:t>假設每處置1公噸鈾之用過核子燃料提供設施所在鄉鎮處置回饋金3</w:t>
      </w:r>
      <w:r w:rsidR="002024A7" w:rsidRPr="00350A92">
        <w:rPr>
          <w:bCs w:val="0"/>
          <w:szCs w:val="32"/>
        </w:rPr>
        <w:t>萬</w:t>
      </w:r>
      <w:r w:rsidRPr="005B3870">
        <w:rPr>
          <w:rFonts w:hint="eastAsia"/>
          <w:bCs w:val="0"/>
          <w:szCs w:val="32"/>
        </w:rPr>
        <w:t>元、鄰接鄉鎮及所在縣</w:t>
      </w:r>
      <w:r w:rsidR="002024A7">
        <w:rPr>
          <w:rFonts w:hint="eastAsia"/>
          <w:bCs w:val="0"/>
          <w:szCs w:val="32"/>
        </w:rPr>
        <w:t>皆為</w:t>
      </w:r>
      <w:r w:rsidRPr="005B3870">
        <w:rPr>
          <w:rFonts w:hint="eastAsia"/>
          <w:bCs w:val="0"/>
          <w:szCs w:val="32"/>
        </w:rPr>
        <w:t>9</w:t>
      </w:r>
      <w:r w:rsidR="002024A7">
        <w:rPr>
          <w:rFonts w:hint="eastAsia"/>
          <w:bCs w:val="0"/>
          <w:szCs w:val="32"/>
        </w:rPr>
        <w:t>千</w:t>
      </w:r>
      <w:r w:rsidRPr="005B3870">
        <w:rPr>
          <w:rFonts w:hint="eastAsia"/>
          <w:bCs w:val="0"/>
          <w:szCs w:val="32"/>
        </w:rPr>
        <w:t>元。</w:t>
      </w:r>
    </w:p>
    <w:p w:rsidR="0055335A" w:rsidRPr="004F109A" w:rsidRDefault="00155865" w:rsidP="00E07D39">
      <w:pPr>
        <w:pStyle w:val="5"/>
        <w:widowControl/>
        <w:numPr>
          <w:ilvl w:val="4"/>
          <w:numId w:val="5"/>
        </w:numPr>
        <w:kinsoku/>
        <w:ind w:left="2092" w:hanging="697"/>
      </w:pPr>
      <w:r w:rsidRPr="00155865">
        <w:rPr>
          <w:rFonts w:hint="eastAsia"/>
          <w:bCs w:val="0"/>
          <w:szCs w:val="32"/>
        </w:rPr>
        <w:t>低放射性廢棄物</w:t>
      </w:r>
      <w:r w:rsidR="00AC56A7">
        <w:rPr>
          <w:rFonts w:hint="eastAsia"/>
          <w:bCs w:val="0"/>
          <w:szCs w:val="32"/>
        </w:rPr>
        <w:t>及</w:t>
      </w:r>
      <w:r w:rsidR="00AC56A7" w:rsidRPr="00155865">
        <w:rPr>
          <w:rFonts w:hint="eastAsia"/>
          <w:bCs w:val="0"/>
          <w:szCs w:val="32"/>
        </w:rPr>
        <w:t>用過核子燃料</w:t>
      </w:r>
      <w:r w:rsidRPr="00155865">
        <w:rPr>
          <w:rFonts w:hint="eastAsia"/>
          <w:bCs w:val="0"/>
          <w:szCs w:val="32"/>
        </w:rPr>
        <w:t>貯存回饋</w:t>
      </w:r>
      <w:r w:rsidRPr="00155865">
        <w:rPr>
          <w:bCs w:val="0"/>
          <w:szCs w:val="32"/>
        </w:rPr>
        <w:t>金</w:t>
      </w:r>
      <w:r w:rsidR="00AC56A7">
        <w:rPr>
          <w:rFonts w:hint="eastAsia"/>
          <w:bCs w:val="0"/>
          <w:szCs w:val="32"/>
        </w:rPr>
        <w:t>各</w:t>
      </w:r>
      <w:r w:rsidRPr="00155865">
        <w:rPr>
          <w:rFonts w:hint="eastAsia"/>
          <w:bCs w:val="0"/>
          <w:szCs w:val="32"/>
        </w:rPr>
        <w:t>約為</w:t>
      </w:r>
      <w:r>
        <w:rPr>
          <w:rFonts w:hint="eastAsia"/>
          <w:bCs w:val="0"/>
          <w:szCs w:val="32"/>
        </w:rPr>
        <w:t>933</w:t>
      </w:r>
      <w:r w:rsidRPr="00155865">
        <w:rPr>
          <w:rFonts w:hint="eastAsia"/>
          <w:bCs w:val="0"/>
          <w:szCs w:val="32"/>
        </w:rPr>
        <w:t>百萬元</w:t>
      </w:r>
      <w:r w:rsidR="00AC56A7">
        <w:rPr>
          <w:rFonts w:hint="eastAsia"/>
          <w:bCs w:val="0"/>
          <w:szCs w:val="32"/>
        </w:rPr>
        <w:t>及</w:t>
      </w:r>
      <w:r w:rsidRPr="00155865">
        <w:rPr>
          <w:bCs w:val="0"/>
          <w:szCs w:val="32"/>
        </w:rPr>
        <w:t>12,718</w:t>
      </w:r>
      <w:r w:rsidRPr="00155865">
        <w:rPr>
          <w:rFonts w:hint="eastAsia"/>
          <w:bCs w:val="0"/>
          <w:szCs w:val="32"/>
        </w:rPr>
        <w:t>百萬元、低放射性廢棄物最終處置場選址及處置回饋</w:t>
      </w:r>
      <w:r w:rsidRPr="00155865">
        <w:rPr>
          <w:bCs w:val="0"/>
          <w:szCs w:val="32"/>
        </w:rPr>
        <w:t>金</w:t>
      </w:r>
      <w:r>
        <w:rPr>
          <w:rFonts w:hint="eastAsia"/>
          <w:bCs w:val="0"/>
          <w:szCs w:val="32"/>
        </w:rPr>
        <w:t>各</w:t>
      </w:r>
      <w:r w:rsidRPr="00155865">
        <w:rPr>
          <w:rFonts w:hint="eastAsia"/>
          <w:bCs w:val="0"/>
          <w:szCs w:val="32"/>
        </w:rPr>
        <w:t>約為</w:t>
      </w:r>
      <w:r w:rsidRPr="00155865">
        <w:rPr>
          <w:bCs w:val="0"/>
          <w:szCs w:val="32"/>
        </w:rPr>
        <w:t>5,250</w:t>
      </w:r>
      <w:r w:rsidRPr="00155865">
        <w:rPr>
          <w:rFonts w:hint="eastAsia"/>
          <w:bCs w:val="0"/>
          <w:szCs w:val="32"/>
        </w:rPr>
        <w:t>及</w:t>
      </w:r>
      <w:r w:rsidRPr="00155865">
        <w:rPr>
          <w:bCs w:val="0"/>
          <w:szCs w:val="32"/>
        </w:rPr>
        <w:t>284</w:t>
      </w:r>
      <w:r w:rsidRPr="00155865">
        <w:rPr>
          <w:rFonts w:hint="eastAsia"/>
          <w:bCs w:val="0"/>
          <w:szCs w:val="32"/>
        </w:rPr>
        <w:t>百萬元、</w:t>
      </w:r>
      <w:r w:rsidRPr="004F2E37">
        <w:rPr>
          <w:rFonts w:hint="eastAsia"/>
          <w:bCs w:val="0"/>
          <w:szCs w:val="32"/>
        </w:rPr>
        <w:t>用過核子燃料最終處置場選址</w:t>
      </w:r>
      <w:r w:rsidR="004F2E37" w:rsidRPr="00155865">
        <w:rPr>
          <w:rFonts w:hint="eastAsia"/>
          <w:bCs w:val="0"/>
          <w:szCs w:val="32"/>
        </w:rPr>
        <w:t>及處置</w:t>
      </w:r>
      <w:r w:rsidRPr="004F2E37">
        <w:rPr>
          <w:rFonts w:hint="eastAsia"/>
          <w:bCs w:val="0"/>
          <w:szCs w:val="32"/>
        </w:rPr>
        <w:t>回饋</w:t>
      </w:r>
      <w:r w:rsidR="004F2E37" w:rsidRPr="00155865">
        <w:rPr>
          <w:bCs w:val="0"/>
          <w:szCs w:val="32"/>
        </w:rPr>
        <w:t>金</w:t>
      </w:r>
      <w:r w:rsidR="004F2E37">
        <w:rPr>
          <w:rFonts w:hint="eastAsia"/>
          <w:bCs w:val="0"/>
          <w:szCs w:val="32"/>
        </w:rPr>
        <w:t>各</w:t>
      </w:r>
      <w:r w:rsidRPr="00155865">
        <w:rPr>
          <w:rFonts w:hint="eastAsia"/>
          <w:bCs w:val="0"/>
          <w:szCs w:val="32"/>
        </w:rPr>
        <w:t>約為</w:t>
      </w:r>
      <w:r w:rsidR="004F2E37" w:rsidRPr="004F2E37">
        <w:rPr>
          <w:bCs w:val="0"/>
          <w:szCs w:val="32"/>
        </w:rPr>
        <w:t>5,000</w:t>
      </w:r>
      <w:r w:rsidR="004F2E37" w:rsidRPr="00155865">
        <w:rPr>
          <w:rFonts w:hint="eastAsia"/>
          <w:bCs w:val="0"/>
          <w:szCs w:val="32"/>
        </w:rPr>
        <w:t>及</w:t>
      </w:r>
      <w:r w:rsidR="004F2E37" w:rsidRPr="004F2E37">
        <w:rPr>
          <w:bCs w:val="0"/>
          <w:szCs w:val="32"/>
        </w:rPr>
        <w:t>288</w:t>
      </w:r>
      <w:r w:rsidRPr="00155865">
        <w:rPr>
          <w:rFonts w:hint="eastAsia"/>
          <w:bCs w:val="0"/>
          <w:szCs w:val="32"/>
        </w:rPr>
        <w:t>百萬</w:t>
      </w:r>
      <w:r w:rsidRPr="004F2E37">
        <w:rPr>
          <w:rFonts w:hint="eastAsia"/>
          <w:bCs w:val="0"/>
          <w:szCs w:val="32"/>
        </w:rPr>
        <w:t>元</w:t>
      </w:r>
      <w:r w:rsidR="004F2E37" w:rsidRPr="004F2E37">
        <w:rPr>
          <w:rFonts w:hint="eastAsia"/>
          <w:bCs w:val="0"/>
          <w:szCs w:val="32"/>
        </w:rPr>
        <w:t>，總</w:t>
      </w:r>
      <w:r w:rsidR="004F2E37" w:rsidRPr="00155865">
        <w:rPr>
          <w:rFonts w:hint="eastAsia"/>
          <w:bCs w:val="0"/>
          <w:szCs w:val="32"/>
        </w:rPr>
        <w:t>回饋</w:t>
      </w:r>
      <w:r w:rsidR="004F2E37" w:rsidRPr="00155865">
        <w:rPr>
          <w:bCs w:val="0"/>
          <w:szCs w:val="32"/>
        </w:rPr>
        <w:t>金</w:t>
      </w:r>
      <w:r w:rsidR="004F2E37">
        <w:rPr>
          <w:rFonts w:hint="eastAsia"/>
          <w:bCs w:val="0"/>
          <w:szCs w:val="32"/>
        </w:rPr>
        <w:t>費用</w:t>
      </w:r>
      <w:r w:rsidR="004F2E37" w:rsidRPr="00155865">
        <w:rPr>
          <w:rFonts w:hint="eastAsia"/>
          <w:bCs w:val="0"/>
          <w:szCs w:val="32"/>
        </w:rPr>
        <w:t>約</w:t>
      </w:r>
      <w:r w:rsidR="004F2E37">
        <w:rPr>
          <w:rFonts w:hint="eastAsia"/>
          <w:bCs w:val="0"/>
          <w:szCs w:val="32"/>
        </w:rPr>
        <w:t>為</w:t>
      </w:r>
      <w:r w:rsidR="004F2E37" w:rsidRPr="004F2E37">
        <w:rPr>
          <w:bCs w:val="0"/>
          <w:szCs w:val="32"/>
        </w:rPr>
        <w:t>24,473</w:t>
      </w:r>
      <w:r w:rsidR="004F2E37" w:rsidRPr="00155865">
        <w:rPr>
          <w:rFonts w:hint="eastAsia"/>
          <w:bCs w:val="0"/>
          <w:szCs w:val="32"/>
        </w:rPr>
        <w:t>百萬元</w:t>
      </w:r>
      <w:r w:rsidR="004F2E37">
        <w:rPr>
          <w:rFonts w:hint="eastAsia"/>
        </w:rPr>
        <w:t>。</w:t>
      </w:r>
    </w:p>
    <w:p w:rsidR="0055335A" w:rsidRPr="0055335A" w:rsidRDefault="0055335A" w:rsidP="00E07D39">
      <w:pPr>
        <w:pStyle w:val="4"/>
        <w:widowControl/>
        <w:numPr>
          <w:ilvl w:val="3"/>
          <w:numId w:val="5"/>
        </w:numPr>
      </w:pPr>
      <w:r w:rsidRPr="006060F0">
        <w:rPr>
          <w:rFonts w:hint="eastAsia"/>
          <w:szCs w:val="32"/>
        </w:rPr>
        <w:lastRenderedPageBreak/>
        <w:t>核能發電</w:t>
      </w:r>
      <w:r w:rsidRPr="006060F0">
        <w:rPr>
          <w:rFonts w:hint="eastAsia"/>
          <w:bCs/>
          <w:szCs w:val="32"/>
        </w:rPr>
        <w:t>量：</w:t>
      </w:r>
    </w:p>
    <w:p w:rsidR="0055335A" w:rsidRDefault="0055335A" w:rsidP="00E07D39">
      <w:pPr>
        <w:pStyle w:val="5"/>
        <w:widowControl/>
        <w:numPr>
          <w:ilvl w:val="4"/>
          <w:numId w:val="5"/>
        </w:numPr>
      </w:pPr>
      <w:r w:rsidRPr="000B1F7F">
        <w:rPr>
          <w:rFonts w:hint="eastAsia"/>
        </w:rPr>
        <w:t>核能機組年度淨發電量(億度</w:t>
      </w:r>
      <w:r>
        <w:rPr>
          <w:rFonts w:hint="eastAsia"/>
        </w:rPr>
        <w:t>)</w:t>
      </w:r>
      <w:r w:rsidRPr="000B1F7F">
        <w:rPr>
          <w:rFonts w:hint="eastAsia"/>
        </w:rPr>
        <w:t>＝</w:t>
      </w:r>
      <w:r w:rsidRPr="000B1F7F">
        <w:tab/>
      </w:r>
      <w:r w:rsidRPr="000B1F7F">
        <w:rPr>
          <w:rFonts w:hAnsi="標楷體"/>
        </w:rPr>
        <w:t>淨</w:t>
      </w:r>
      <w:r w:rsidRPr="000B1F7F">
        <w:rPr>
          <w:rFonts w:hint="eastAsia"/>
        </w:rPr>
        <w:t>裝置容量(百萬瓦)</w:t>
      </w:r>
      <w:r w:rsidRPr="000B1F7F">
        <w:t>×</w:t>
      </w:r>
      <w:r>
        <w:rPr>
          <w:rFonts w:hint="eastAsia"/>
        </w:rPr>
        <w:t>365天</w:t>
      </w:r>
      <w:r>
        <w:t>×</w:t>
      </w:r>
      <w:r>
        <w:rPr>
          <w:rFonts w:hint="eastAsia"/>
        </w:rPr>
        <w:t>24小時/天</w:t>
      </w:r>
      <w:r>
        <w:t>×</w:t>
      </w:r>
      <w:r>
        <w:rPr>
          <w:rFonts w:hint="eastAsia"/>
        </w:rPr>
        <w:t>年度容量因數(%)/</w:t>
      </w:r>
      <w:r w:rsidRPr="00BF375E">
        <w:rPr>
          <w:rFonts w:hint="eastAsia"/>
        </w:rPr>
        <w:t>10</w:t>
      </w:r>
      <w:r w:rsidRPr="00BF375E">
        <w:t>,</w:t>
      </w:r>
      <w:r w:rsidRPr="00BF375E">
        <w:rPr>
          <w:rFonts w:hint="eastAsia"/>
        </w:rPr>
        <w:t>0</w:t>
      </w:r>
      <w:r w:rsidRPr="00BF375E">
        <w:t>00</w:t>
      </w:r>
      <w:r w:rsidRPr="00BF375E">
        <w:rPr>
          <w:rFonts w:hint="eastAsia"/>
        </w:rPr>
        <w:t>,000。</w:t>
      </w:r>
      <w:r w:rsidR="00270D62" w:rsidRPr="00A631AE">
        <w:t>98年起</w:t>
      </w:r>
      <w:r w:rsidR="008913B8" w:rsidRPr="00A631AE">
        <w:rPr>
          <w:rFonts w:hint="eastAsia"/>
        </w:rPr>
        <w:t>未來核能發電度數現值</w:t>
      </w:r>
      <w:r w:rsidR="00270D62" w:rsidRPr="00A631AE">
        <w:rPr>
          <w:rFonts w:hint="eastAsia"/>
        </w:rPr>
        <w:t>為4,186億度(</w:t>
      </w:r>
      <w:r w:rsidR="00270D62" w:rsidRPr="00A631AE">
        <w:t>淨發電度數</w:t>
      </w:r>
      <w:r w:rsidR="00270D62" w:rsidRPr="00A631AE">
        <w:rPr>
          <w:rFonts w:hint="eastAsia"/>
        </w:rPr>
        <w:t>為</w:t>
      </w:r>
      <w:r w:rsidR="00270D62" w:rsidRPr="00A631AE">
        <w:t>5,285</w:t>
      </w:r>
      <w:r w:rsidR="00270D62" w:rsidRPr="00A631AE">
        <w:rPr>
          <w:rFonts w:hint="eastAsia"/>
        </w:rPr>
        <w:t>億度)。</w:t>
      </w:r>
    </w:p>
    <w:p w:rsidR="0055335A" w:rsidRDefault="0055335A" w:rsidP="00E07D39">
      <w:pPr>
        <w:pStyle w:val="5"/>
        <w:widowControl/>
        <w:numPr>
          <w:ilvl w:val="4"/>
          <w:numId w:val="5"/>
        </w:numPr>
      </w:pPr>
      <w:r w:rsidRPr="004F1725">
        <w:t>近</w:t>
      </w:r>
      <w:r w:rsidRPr="004F1725">
        <w:rPr>
          <w:rFonts w:hint="eastAsia"/>
        </w:rPr>
        <w:t>3</w:t>
      </w:r>
      <w:r w:rsidRPr="004F1725">
        <w:t>年</w:t>
      </w:r>
      <w:r>
        <w:rPr>
          <w:rFonts w:hint="eastAsia"/>
        </w:rPr>
        <w:t>核一、二、三廠</w:t>
      </w:r>
      <w:r w:rsidRPr="004F1725">
        <w:t>之</w:t>
      </w:r>
      <w:r>
        <w:rPr>
          <w:rFonts w:hint="eastAsia"/>
        </w:rPr>
        <w:t>容量因數</w:t>
      </w:r>
      <w:r w:rsidRPr="004F1725">
        <w:t>數值分別為88.93</w:t>
      </w:r>
      <w:r w:rsidRPr="004F1725">
        <w:rPr>
          <w:rFonts w:hAnsi="標楷體"/>
        </w:rPr>
        <w:t>%</w:t>
      </w:r>
      <w:r w:rsidRPr="004F1725">
        <w:rPr>
          <w:rFonts w:hAnsi="標楷體" w:hint="eastAsia"/>
        </w:rPr>
        <w:t>、</w:t>
      </w:r>
      <w:r w:rsidRPr="004F1725">
        <w:t>90.28%</w:t>
      </w:r>
      <w:r w:rsidRPr="004F1725">
        <w:rPr>
          <w:rFonts w:hint="eastAsia"/>
        </w:rPr>
        <w:t>及89.0</w:t>
      </w:r>
      <w:r w:rsidRPr="004F1725">
        <w:rPr>
          <w:rFonts w:hAnsi="標楷體" w:hint="eastAsia"/>
        </w:rPr>
        <w:t>1%</w:t>
      </w:r>
      <w:r w:rsidRPr="004F1725">
        <w:rPr>
          <w:rFonts w:hAnsi="標楷體"/>
        </w:rPr>
        <w:t>，</w:t>
      </w:r>
      <w:r w:rsidRPr="004F1725">
        <w:rPr>
          <w:rFonts w:hAnsi="標楷體" w:hint="eastAsia"/>
        </w:rPr>
        <w:t>以近3年</w:t>
      </w:r>
      <w:r w:rsidRPr="004F1725">
        <w:rPr>
          <w:rFonts w:hint="eastAsia"/>
        </w:rPr>
        <w:t>之平均</w:t>
      </w:r>
      <w:r w:rsidRPr="004F1725">
        <w:t>值(8</w:t>
      </w:r>
      <w:r w:rsidRPr="004F1725">
        <w:rPr>
          <w:rFonts w:hint="eastAsia"/>
        </w:rPr>
        <w:t>9</w:t>
      </w:r>
      <w:r w:rsidRPr="004F1725">
        <w:t>.</w:t>
      </w:r>
      <w:r w:rsidRPr="004F1725">
        <w:rPr>
          <w:rFonts w:hint="eastAsia"/>
        </w:rPr>
        <w:t>41</w:t>
      </w:r>
      <w:r w:rsidRPr="004F1725">
        <w:t>%)</w:t>
      </w:r>
      <w:r w:rsidRPr="004F1725">
        <w:rPr>
          <w:rFonts w:hAnsi="標楷體"/>
        </w:rPr>
        <w:t>為計算依據</w:t>
      </w:r>
      <w:r>
        <w:rPr>
          <w:rFonts w:hAnsi="標楷體" w:hint="eastAsia"/>
        </w:rPr>
        <w:t>。</w:t>
      </w:r>
    </w:p>
    <w:p w:rsidR="004F109A" w:rsidRDefault="004F109A" w:rsidP="00E07D39">
      <w:pPr>
        <w:pStyle w:val="4"/>
        <w:widowControl/>
        <w:numPr>
          <w:ilvl w:val="3"/>
          <w:numId w:val="5"/>
        </w:numPr>
      </w:pPr>
      <w:r w:rsidRPr="0074300D">
        <w:t>後端營運總費用</w:t>
      </w:r>
      <w:r w:rsidRPr="0074300D">
        <w:rPr>
          <w:rFonts w:hint="eastAsia"/>
        </w:rPr>
        <w:t>：</w:t>
      </w:r>
    </w:p>
    <w:p w:rsidR="004F2E37" w:rsidRDefault="004F2E37" w:rsidP="00E07D39">
      <w:pPr>
        <w:pStyle w:val="5"/>
        <w:widowControl/>
        <w:numPr>
          <w:ilvl w:val="4"/>
          <w:numId w:val="5"/>
        </w:numPr>
      </w:pPr>
      <w:r w:rsidRPr="0074300D">
        <w:t>本次重估之準備金統一估算為原估算費用之15％。總費用約為</w:t>
      </w:r>
      <w:r w:rsidRPr="0074300D">
        <w:rPr>
          <w:rFonts w:hint="eastAsia"/>
        </w:rPr>
        <w:t>3,353</w:t>
      </w:r>
      <w:r w:rsidRPr="0074300D">
        <w:t>億元，占後端營運總費用比例較高者</w:t>
      </w:r>
      <w:r w:rsidRPr="0074300D">
        <w:rPr>
          <w:rFonts w:hint="eastAsia"/>
        </w:rPr>
        <w:t>依次</w:t>
      </w:r>
      <w:r w:rsidRPr="0074300D">
        <w:t>為用過核</w:t>
      </w:r>
      <w:r w:rsidRPr="0074300D">
        <w:rPr>
          <w:rFonts w:hint="eastAsia"/>
        </w:rPr>
        <w:t>子</w:t>
      </w:r>
      <w:r w:rsidRPr="0074300D">
        <w:t>燃料最終處置(</w:t>
      </w:r>
      <w:r w:rsidRPr="0074300D">
        <w:rPr>
          <w:rFonts w:hint="eastAsia"/>
        </w:rPr>
        <w:t>41</w:t>
      </w:r>
      <w:r w:rsidRPr="0074300D">
        <w:t>.</w:t>
      </w:r>
      <w:r w:rsidRPr="0074300D">
        <w:rPr>
          <w:rFonts w:hint="eastAsia"/>
        </w:rPr>
        <w:t>22</w:t>
      </w:r>
      <w:r w:rsidRPr="0074300D">
        <w:t>%)、核能電廠除役(</w:t>
      </w:r>
      <w:r w:rsidRPr="0074300D">
        <w:rPr>
          <w:rFonts w:hint="eastAsia"/>
        </w:rPr>
        <w:t>20</w:t>
      </w:r>
      <w:r w:rsidRPr="0074300D">
        <w:t>.</w:t>
      </w:r>
      <w:r w:rsidRPr="0074300D">
        <w:rPr>
          <w:rFonts w:hint="eastAsia"/>
        </w:rPr>
        <w:t>12</w:t>
      </w:r>
      <w:r w:rsidRPr="0074300D">
        <w:t>%)、低放射性廢棄物最終處置(1</w:t>
      </w:r>
      <w:r w:rsidRPr="0074300D">
        <w:rPr>
          <w:rFonts w:hint="eastAsia"/>
        </w:rPr>
        <w:t>1</w:t>
      </w:r>
      <w:r w:rsidRPr="0074300D">
        <w:t>.</w:t>
      </w:r>
      <w:r w:rsidRPr="0074300D">
        <w:rPr>
          <w:rFonts w:hint="eastAsia"/>
        </w:rPr>
        <w:t>20</w:t>
      </w:r>
      <w:r w:rsidRPr="0074300D">
        <w:t>%)、</w:t>
      </w:r>
      <w:r w:rsidRPr="0074300D">
        <w:rPr>
          <w:rFonts w:hint="eastAsia"/>
        </w:rPr>
        <w:t>用過核子燃料乾式貯存(10.58%)、</w:t>
      </w:r>
      <w:r w:rsidRPr="0074300D">
        <w:t>貯存/處置回饋金(</w:t>
      </w:r>
      <w:r w:rsidRPr="0074300D">
        <w:rPr>
          <w:rFonts w:hint="eastAsia"/>
        </w:rPr>
        <w:t>8</w:t>
      </w:r>
      <w:r w:rsidRPr="0074300D">
        <w:t>.</w:t>
      </w:r>
      <w:r w:rsidRPr="0074300D">
        <w:rPr>
          <w:rFonts w:hint="eastAsia"/>
        </w:rPr>
        <w:t>39</w:t>
      </w:r>
      <w:r w:rsidRPr="0074300D">
        <w:t>%)</w:t>
      </w:r>
      <w:r w:rsidRPr="0074300D">
        <w:rPr>
          <w:rFonts w:hint="eastAsia"/>
        </w:rPr>
        <w:t>及</w:t>
      </w:r>
      <w:r w:rsidRPr="0074300D">
        <w:t>運輸費用(</w:t>
      </w:r>
      <w:r w:rsidRPr="0074300D">
        <w:rPr>
          <w:rFonts w:hint="eastAsia"/>
        </w:rPr>
        <w:t>7</w:t>
      </w:r>
      <w:r w:rsidRPr="0074300D">
        <w:t>.</w:t>
      </w:r>
      <w:r w:rsidRPr="0074300D">
        <w:rPr>
          <w:rFonts w:hint="eastAsia"/>
        </w:rPr>
        <w:t>11</w:t>
      </w:r>
      <w:r w:rsidRPr="0074300D">
        <w:t>%)。</w:t>
      </w:r>
    </w:p>
    <w:p w:rsidR="004F109A" w:rsidRDefault="004F2E37" w:rsidP="000C100A">
      <w:pPr>
        <w:pStyle w:val="5"/>
        <w:widowControl/>
        <w:numPr>
          <w:ilvl w:val="4"/>
          <w:numId w:val="5"/>
        </w:numPr>
        <w:spacing w:afterLines="50"/>
        <w:ind w:left="2092" w:hanging="697"/>
      </w:pPr>
      <w:r w:rsidRPr="0074300D">
        <w:rPr>
          <w:rFonts w:hint="eastAsia"/>
        </w:rPr>
        <w:t>各項後端營運費用經</w:t>
      </w:r>
      <w:r w:rsidRPr="0074300D">
        <w:t>加計準備金後</w:t>
      </w:r>
      <w:r w:rsidRPr="0074300D">
        <w:rPr>
          <w:rFonts w:hint="eastAsia"/>
        </w:rPr>
        <w:t>如下表所示</w:t>
      </w:r>
      <w:r>
        <w:rPr>
          <w:rFonts w:hint="eastAsia"/>
        </w:rPr>
        <w:t>(</w:t>
      </w:r>
      <w:r w:rsidRPr="004F2E37">
        <w:rPr>
          <w:rFonts w:hint="eastAsia"/>
        </w:rPr>
        <w:t>以97年幣值計算</w:t>
      </w:r>
      <w:r>
        <w:rPr>
          <w:rFonts w:hint="eastAsia"/>
        </w:rPr>
        <w:t>)</w:t>
      </w:r>
      <w:r w:rsidRPr="0074300D">
        <w:rPr>
          <w:rFonts w:hint="eastAsia"/>
        </w:rPr>
        <w:t>：</w:t>
      </w:r>
    </w:p>
    <w:tbl>
      <w:tblPr>
        <w:tblW w:w="907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260"/>
        <w:gridCol w:w="1843"/>
        <w:gridCol w:w="2693"/>
        <w:gridCol w:w="1276"/>
      </w:tblGrid>
      <w:tr w:rsidR="004F2E37" w:rsidRPr="00BE6D0B" w:rsidTr="00AC0272">
        <w:trPr>
          <w:trHeight w:val="20"/>
          <w:tblHeader/>
        </w:trPr>
        <w:tc>
          <w:tcPr>
            <w:tcW w:w="3260" w:type="dxa"/>
            <w:shd w:val="clear" w:color="auto" w:fill="auto"/>
            <w:noWrap/>
            <w:vAlign w:val="center"/>
          </w:tcPr>
          <w:p w:rsidR="004F2E37" w:rsidRPr="00BE6D0B" w:rsidRDefault="004F2E37" w:rsidP="000C100A">
            <w:pPr>
              <w:widowControl/>
              <w:spacing w:beforeLines="10" w:afterLines="10" w:line="300" w:lineRule="exact"/>
              <w:jc w:val="center"/>
              <w:rPr>
                <w:rFonts w:ascii="標楷體" w:hAnsi="標楷體" w:cs="新細明體"/>
                <w:kern w:val="0"/>
                <w:sz w:val="24"/>
                <w:szCs w:val="24"/>
              </w:rPr>
            </w:pPr>
            <w:r w:rsidRPr="00BE6D0B">
              <w:rPr>
                <w:rFonts w:ascii="標楷體" w:hAnsi="標楷體" w:cs="新細明體" w:hint="eastAsia"/>
                <w:kern w:val="0"/>
                <w:sz w:val="24"/>
                <w:szCs w:val="24"/>
              </w:rPr>
              <w:t>後端營運工作項目</w:t>
            </w:r>
          </w:p>
        </w:tc>
        <w:tc>
          <w:tcPr>
            <w:tcW w:w="1843" w:type="dxa"/>
            <w:shd w:val="clear" w:color="auto" w:fill="auto"/>
            <w:noWrap/>
            <w:vAlign w:val="center"/>
          </w:tcPr>
          <w:p w:rsidR="004F2E37" w:rsidRPr="00BE6D0B" w:rsidRDefault="004F2E37" w:rsidP="000C100A">
            <w:pPr>
              <w:widowControl/>
              <w:spacing w:beforeLines="10" w:afterLines="10" w:line="300" w:lineRule="exact"/>
              <w:jc w:val="center"/>
              <w:rPr>
                <w:rFonts w:ascii="標楷體" w:hAnsi="標楷體" w:cs="新細明體"/>
                <w:kern w:val="0"/>
                <w:sz w:val="24"/>
                <w:szCs w:val="24"/>
              </w:rPr>
            </w:pPr>
            <w:r w:rsidRPr="00BE6D0B">
              <w:rPr>
                <w:rFonts w:ascii="標楷體" w:hAnsi="標楷體" w:cs="新細明體" w:hint="eastAsia"/>
                <w:kern w:val="0"/>
                <w:sz w:val="24"/>
                <w:szCs w:val="24"/>
              </w:rPr>
              <w:t>原始估算結果</w:t>
            </w:r>
          </w:p>
        </w:tc>
        <w:tc>
          <w:tcPr>
            <w:tcW w:w="2693" w:type="dxa"/>
            <w:shd w:val="clear" w:color="auto" w:fill="auto"/>
            <w:noWrap/>
            <w:vAlign w:val="center"/>
          </w:tcPr>
          <w:p w:rsidR="004F2E37" w:rsidRPr="00BE6D0B" w:rsidRDefault="004F2E37" w:rsidP="000C100A">
            <w:pPr>
              <w:widowControl/>
              <w:spacing w:beforeLines="10" w:afterLines="10" w:line="300" w:lineRule="exact"/>
              <w:jc w:val="center"/>
              <w:rPr>
                <w:rFonts w:ascii="標楷體" w:hAnsi="標楷體" w:cs="新細明體"/>
                <w:kern w:val="0"/>
                <w:sz w:val="24"/>
                <w:szCs w:val="24"/>
              </w:rPr>
            </w:pPr>
            <w:r w:rsidRPr="00BE6D0B">
              <w:rPr>
                <w:rFonts w:ascii="標楷體" w:hAnsi="標楷體" w:cs="新細明體" w:hint="eastAsia"/>
                <w:kern w:val="0"/>
                <w:sz w:val="24"/>
                <w:szCs w:val="24"/>
              </w:rPr>
              <w:t>估算結果(含準備金)</w:t>
            </w:r>
          </w:p>
        </w:tc>
        <w:tc>
          <w:tcPr>
            <w:tcW w:w="1276" w:type="dxa"/>
            <w:shd w:val="clear" w:color="auto" w:fill="auto"/>
            <w:noWrap/>
            <w:vAlign w:val="center"/>
          </w:tcPr>
          <w:p w:rsidR="004F2E37" w:rsidRPr="00BE6D0B" w:rsidRDefault="004F2E37" w:rsidP="000C100A">
            <w:pPr>
              <w:widowControl/>
              <w:spacing w:beforeLines="10" w:afterLines="10" w:line="300" w:lineRule="exact"/>
              <w:jc w:val="center"/>
              <w:rPr>
                <w:rFonts w:ascii="標楷體" w:hAnsi="標楷體" w:cs="新細明體"/>
                <w:kern w:val="0"/>
                <w:sz w:val="24"/>
                <w:szCs w:val="24"/>
              </w:rPr>
            </w:pPr>
            <w:r w:rsidRPr="00BE6D0B">
              <w:rPr>
                <w:rFonts w:ascii="標楷體" w:hAnsi="標楷體" w:cs="新細明體" w:hint="eastAsia"/>
                <w:kern w:val="0"/>
                <w:sz w:val="24"/>
                <w:szCs w:val="24"/>
              </w:rPr>
              <w:t>所占比例</w:t>
            </w:r>
          </w:p>
        </w:tc>
      </w:tr>
      <w:tr w:rsidR="004F2E37" w:rsidRPr="00BE6D0B" w:rsidTr="00AC0272">
        <w:trPr>
          <w:trHeight w:val="20"/>
        </w:trPr>
        <w:tc>
          <w:tcPr>
            <w:tcW w:w="3260" w:type="dxa"/>
            <w:shd w:val="clear" w:color="auto" w:fill="auto"/>
            <w:noWrap/>
            <w:vAlign w:val="bottom"/>
          </w:tcPr>
          <w:p w:rsidR="004F2E37" w:rsidRPr="00BE6D0B" w:rsidRDefault="004F2E37" w:rsidP="000C100A">
            <w:pPr>
              <w:widowControl/>
              <w:spacing w:beforeLines="10" w:afterLines="10" w:line="300" w:lineRule="exact"/>
              <w:rPr>
                <w:rFonts w:ascii="標楷體" w:hAnsi="標楷體" w:cs="新細明體"/>
                <w:kern w:val="0"/>
                <w:sz w:val="24"/>
                <w:szCs w:val="24"/>
              </w:rPr>
            </w:pPr>
            <w:r w:rsidRPr="00BE6D0B">
              <w:rPr>
                <w:rFonts w:ascii="標楷體" w:hAnsi="標楷體" w:cs="新細明體" w:hint="eastAsia"/>
                <w:kern w:val="0"/>
                <w:sz w:val="24"/>
                <w:szCs w:val="24"/>
              </w:rPr>
              <w:t>低放射性廢棄物最終處置</w:t>
            </w:r>
          </w:p>
        </w:tc>
        <w:tc>
          <w:tcPr>
            <w:tcW w:w="184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32,656 </w:t>
            </w:r>
          </w:p>
        </w:tc>
        <w:tc>
          <w:tcPr>
            <w:tcW w:w="269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37,555 </w:t>
            </w:r>
          </w:p>
        </w:tc>
        <w:tc>
          <w:tcPr>
            <w:tcW w:w="1276"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11.20%</w:t>
            </w:r>
          </w:p>
        </w:tc>
      </w:tr>
      <w:tr w:rsidR="004F2E37" w:rsidRPr="00BE6D0B" w:rsidTr="00AC0272">
        <w:trPr>
          <w:trHeight w:val="20"/>
        </w:trPr>
        <w:tc>
          <w:tcPr>
            <w:tcW w:w="3260" w:type="dxa"/>
            <w:shd w:val="clear" w:color="auto" w:fill="auto"/>
            <w:noWrap/>
            <w:vAlign w:val="bottom"/>
          </w:tcPr>
          <w:p w:rsidR="004F2E37" w:rsidRPr="00BE6D0B" w:rsidRDefault="004F2E37" w:rsidP="000C100A">
            <w:pPr>
              <w:widowControl/>
              <w:spacing w:beforeLines="10" w:afterLines="10" w:line="300" w:lineRule="exact"/>
              <w:rPr>
                <w:rFonts w:ascii="標楷體" w:hAnsi="標楷體" w:cs="新細明體"/>
                <w:kern w:val="0"/>
                <w:sz w:val="24"/>
                <w:szCs w:val="24"/>
              </w:rPr>
            </w:pPr>
            <w:r w:rsidRPr="00BE6D0B">
              <w:rPr>
                <w:rFonts w:ascii="標楷體" w:hAnsi="標楷體" w:cs="新細明體" w:hint="eastAsia"/>
                <w:kern w:val="0"/>
                <w:sz w:val="24"/>
                <w:szCs w:val="24"/>
              </w:rPr>
              <w:t>蘭嶼貯存場檢整重裝</w:t>
            </w:r>
          </w:p>
        </w:tc>
        <w:tc>
          <w:tcPr>
            <w:tcW w:w="184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421 </w:t>
            </w:r>
          </w:p>
        </w:tc>
        <w:tc>
          <w:tcPr>
            <w:tcW w:w="269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485 </w:t>
            </w:r>
          </w:p>
        </w:tc>
        <w:tc>
          <w:tcPr>
            <w:tcW w:w="1276"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0.14%</w:t>
            </w:r>
          </w:p>
        </w:tc>
      </w:tr>
      <w:tr w:rsidR="004F2E37" w:rsidRPr="00BE6D0B" w:rsidTr="00AC0272">
        <w:trPr>
          <w:trHeight w:val="20"/>
        </w:trPr>
        <w:tc>
          <w:tcPr>
            <w:tcW w:w="3260" w:type="dxa"/>
            <w:shd w:val="clear" w:color="auto" w:fill="auto"/>
            <w:noWrap/>
            <w:vAlign w:val="bottom"/>
          </w:tcPr>
          <w:p w:rsidR="004F2E37" w:rsidRPr="00BE6D0B" w:rsidRDefault="004F2E37" w:rsidP="000C100A">
            <w:pPr>
              <w:widowControl/>
              <w:spacing w:beforeLines="10" w:afterLines="10" w:line="300" w:lineRule="exact"/>
              <w:rPr>
                <w:rFonts w:ascii="標楷體" w:hAnsi="標楷體" w:cs="新細明體"/>
                <w:kern w:val="0"/>
                <w:sz w:val="24"/>
                <w:szCs w:val="24"/>
              </w:rPr>
            </w:pPr>
            <w:r w:rsidRPr="00BE6D0B">
              <w:rPr>
                <w:rFonts w:ascii="標楷體" w:hAnsi="標楷體" w:cs="新細明體" w:hint="eastAsia"/>
                <w:kern w:val="0"/>
                <w:sz w:val="24"/>
                <w:szCs w:val="24"/>
              </w:rPr>
              <w:t>減容中心營運</w:t>
            </w:r>
          </w:p>
        </w:tc>
        <w:tc>
          <w:tcPr>
            <w:tcW w:w="184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251 </w:t>
            </w:r>
          </w:p>
        </w:tc>
        <w:tc>
          <w:tcPr>
            <w:tcW w:w="269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288 </w:t>
            </w:r>
          </w:p>
        </w:tc>
        <w:tc>
          <w:tcPr>
            <w:tcW w:w="1276"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0.09%</w:t>
            </w:r>
          </w:p>
        </w:tc>
      </w:tr>
      <w:tr w:rsidR="004F2E37" w:rsidRPr="00BE6D0B" w:rsidTr="00AC0272">
        <w:trPr>
          <w:trHeight w:val="20"/>
        </w:trPr>
        <w:tc>
          <w:tcPr>
            <w:tcW w:w="3260" w:type="dxa"/>
            <w:shd w:val="clear" w:color="auto" w:fill="auto"/>
            <w:noWrap/>
            <w:vAlign w:val="bottom"/>
          </w:tcPr>
          <w:p w:rsidR="004F2E37" w:rsidRPr="00BE6D0B" w:rsidRDefault="004F2E37" w:rsidP="000C100A">
            <w:pPr>
              <w:widowControl/>
              <w:spacing w:beforeLines="10" w:afterLines="10" w:line="300" w:lineRule="exact"/>
              <w:rPr>
                <w:rFonts w:ascii="標楷體" w:hAnsi="標楷體" w:cs="新細明體"/>
                <w:kern w:val="0"/>
                <w:sz w:val="24"/>
                <w:szCs w:val="24"/>
              </w:rPr>
            </w:pPr>
            <w:r w:rsidRPr="00BE6D0B">
              <w:rPr>
                <w:rFonts w:ascii="標楷體" w:hAnsi="標楷體" w:cs="新細明體" w:hint="eastAsia"/>
                <w:kern w:val="0"/>
                <w:sz w:val="24"/>
                <w:szCs w:val="24"/>
              </w:rPr>
              <w:t>用過核子燃料乾式貯存</w:t>
            </w:r>
          </w:p>
        </w:tc>
        <w:tc>
          <w:tcPr>
            <w:tcW w:w="184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30,855 </w:t>
            </w:r>
          </w:p>
        </w:tc>
        <w:tc>
          <w:tcPr>
            <w:tcW w:w="269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35,484 </w:t>
            </w:r>
          </w:p>
        </w:tc>
        <w:tc>
          <w:tcPr>
            <w:tcW w:w="1276"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10.58%</w:t>
            </w:r>
          </w:p>
        </w:tc>
      </w:tr>
      <w:tr w:rsidR="004F2E37" w:rsidRPr="00BE6D0B" w:rsidTr="00AC0272">
        <w:trPr>
          <w:trHeight w:val="20"/>
        </w:trPr>
        <w:tc>
          <w:tcPr>
            <w:tcW w:w="3260" w:type="dxa"/>
            <w:shd w:val="clear" w:color="auto" w:fill="auto"/>
            <w:noWrap/>
            <w:vAlign w:val="bottom"/>
          </w:tcPr>
          <w:p w:rsidR="004F2E37" w:rsidRPr="00BE6D0B" w:rsidRDefault="004F2E37" w:rsidP="000C100A">
            <w:pPr>
              <w:widowControl/>
              <w:spacing w:beforeLines="10" w:afterLines="10" w:line="300" w:lineRule="exact"/>
              <w:rPr>
                <w:rFonts w:ascii="標楷體" w:hAnsi="標楷體" w:cs="新細明體"/>
                <w:kern w:val="0"/>
                <w:sz w:val="24"/>
                <w:szCs w:val="24"/>
              </w:rPr>
            </w:pPr>
            <w:r w:rsidRPr="00BE6D0B">
              <w:rPr>
                <w:rFonts w:ascii="標楷體" w:hAnsi="標楷體" w:cs="新細明體" w:hint="eastAsia"/>
                <w:kern w:val="0"/>
                <w:sz w:val="24"/>
                <w:szCs w:val="24"/>
              </w:rPr>
              <w:t>用過核子燃料最終處置</w:t>
            </w:r>
          </w:p>
        </w:tc>
        <w:tc>
          <w:tcPr>
            <w:tcW w:w="184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120,177 </w:t>
            </w:r>
          </w:p>
        </w:tc>
        <w:tc>
          <w:tcPr>
            <w:tcW w:w="269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138,202 </w:t>
            </w:r>
          </w:p>
        </w:tc>
        <w:tc>
          <w:tcPr>
            <w:tcW w:w="1276"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41.22%</w:t>
            </w:r>
          </w:p>
        </w:tc>
      </w:tr>
      <w:tr w:rsidR="004F2E37" w:rsidRPr="00BE6D0B" w:rsidTr="00AC0272">
        <w:trPr>
          <w:trHeight w:val="20"/>
        </w:trPr>
        <w:tc>
          <w:tcPr>
            <w:tcW w:w="3260" w:type="dxa"/>
            <w:shd w:val="clear" w:color="auto" w:fill="auto"/>
            <w:noWrap/>
            <w:vAlign w:val="bottom"/>
          </w:tcPr>
          <w:p w:rsidR="004F2E37" w:rsidRPr="00BE6D0B" w:rsidRDefault="004F2E37" w:rsidP="000C100A">
            <w:pPr>
              <w:widowControl/>
              <w:spacing w:beforeLines="10" w:afterLines="10" w:line="300" w:lineRule="exact"/>
              <w:rPr>
                <w:rFonts w:ascii="標楷體" w:hAnsi="標楷體" w:cs="新細明體"/>
                <w:kern w:val="0"/>
                <w:sz w:val="24"/>
                <w:szCs w:val="24"/>
              </w:rPr>
            </w:pPr>
            <w:r w:rsidRPr="00BE6D0B">
              <w:rPr>
                <w:rFonts w:ascii="標楷體" w:hAnsi="標楷體" w:cs="新細明體" w:hint="eastAsia"/>
                <w:kern w:val="0"/>
                <w:sz w:val="24"/>
                <w:szCs w:val="24"/>
              </w:rPr>
              <w:t>核能電廠除役</w:t>
            </w:r>
          </w:p>
        </w:tc>
        <w:tc>
          <w:tcPr>
            <w:tcW w:w="184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58,668 </w:t>
            </w:r>
          </w:p>
        </w:tc>
        <w:tc>
          <w:tcPr>
            <w:tcW w:w="269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67,467 </w:t>
            </w:r>
          </w:p>
        </w:tc>
        <w:tc>
          <w:tcPr>
            <w:tcW w:w="1276"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20.12%</w:t>
            </w:r>
          </w:p>
        </w:tc>
      </w:tr>
      <w:tr w:rsidR="004F2E37" w:rsidRPr="00BE6D0B" w:rsidTr="00AC0272">
        <w:trPr>
          <w:trHeight w:val="20"/>
        </w:trPr>
        <w:tc>
          <w:tcPr>
            <w:tcW w:w="3260" w:type="dxa"/>
            <w:shd w:val="clear" w:color="auto" w:fill="auto"/>
            <w:noWrap/>
            <w:vAlign w:val="bottom"/>
          </w:tcPr>
          <w:p w:rsidR="004F2E37" w:rsidRPr="00BE6D0B" w:rsidRDefault="004F2E37" w:rsidP="000C100A">
            <w:pPr>
              <w:widowControl/>
              <w:spacing w:beforeLines="10" w:afterLines="10" w:line="300" w:lineRule="exact"/>
              <w:rPr>
                <w:rFonts w:ascii="標楷體" w:hAnsi="標楷體" w:cs="新細明體"/>
                <w:kern w:val="0"/>
                <w:sz w:val="24"/>
                <w:szCs w:val="24"/>
              </w:rPr>
            </w:pPr>
            <w:r w:rsidRPr="00BE6D0B">
              <w:rPr>
                <w:rFonts w:ascii="標楷體" w:hAnsi="標楷體" w:cs="新細明體" w:hint="eastAsia"/>
                <w:kern w:val="0"/>
                <w:sz w:val="24"/>
                <w:szCs w:val="24"/>
              </w:rPr>
              <w:t>蘭嶼貯存場除役</w:t>
            </w:r>
          </w:p>
        </w:tc>
        <w:tc>
          <w:tcPr>
            <w:tcW w:w="184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266 </w:t>
            </w:r>
          </w:p>
        </w:tc>
        <w:tc>
          <w:tcPr>
            <w:tcW w:w="269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306 </w:t>
            </w:r>
          </w:p>
        </w:tc>
        <w:tc>
          <w:tcPr>
            <w:tcW w:w="1276"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0.09%</w:t>
            </w:r>
          </w:p>
        </w:tc>
      </w:tr>
      <w:tr w:rsidR="004F2E37" w:rsidRPr="00BE6D0B" w:rsidTr="00AC0272">
        <w:trPr>
          <w:trHeight w:val="20"/>
        </w:trPr>
        <w:tc>
          <w:tcPr>
            <w:tcW w:w="3260" w:type="dxa"/>
            <w:shd w:val="clear" w:color="auto" w:fill="auto"/>
            <w:noWrap/>
            <w:vAlign w:val="bottom"/>
          </w:tcPr>
          <w:p w:rsidR="004F2E37" w:rsidRPr="00BE6D0B" w:rsidRDefault="004F2E37" w:rsidP="000C100A">
            <w:pPr>
              <w:widowControl/>
              <w:spacing w:beforeLines="10" w:afterLines="10" w:line="300" w:lineRule="exact"/>
              <w:rPr>
                <w:rFonts w:ascii="標楷體" w:hAnsi="標楷體" w:cs="新細明體"/>
                <w:kern w:val="0"/>
                <w:sz w:val="24"/>
                <w:szCs w:val="24"/>
              </w:rPr>
            </w:pPr>
            <w:r w:rsidRPr="00BE6D0B">
              <w:rPr>
                <w:rFonts w:ascii="標楷體" w:hAnsi="標楷體" w:cs="新細明體" w:hint="eastAsia"/>
                <w:kern w:val="0"/>
                <w:sz w:val="24"/>
                <w:szCs w:val="24"/>
              </w:rPr>
              <w:t>減容中心除役</w:t>
            </w:r>
          </w:p>
        </w:tc>
        <w:tc>
          <w:tcPr>
            <w:tcW w:w="184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40 </w:t>
            </w:r>
          </w:p>
        </w:tc>
        <w:tc>
          <w:tcPr>
            <w:tcW w:w="269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46 </w:t>
            </w:r>
          </w:p>
        </w:tc>
        <w:tc>
          <w:tcPr>
            <w:tcW w:w="1276"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0.01%</w:t>
            </w:r>
          </w:p>
        </w:tc>
      </w:tr>
      <w:tr w:rsidR="004F2E37" w:rsidRPr="00BE6D0B" w:rsidTr="00AC0272">
        <w:trPr>
          <w:trHeight w:val="20"/>
        </w:trPr>
        <w:tc>
          <w:tcPr>
            <w:tcW w:w="3260" w:type="dxa"/>
            <w:shd w:val="clear" w:color="auto" w:fill="auto"/>
            <w:noWrap/>
            <w:vAlign w:val="bottom"/>
          </w:tcPr>
          <w:p w:rsidR="004F2E37" w:rsidRPr="00BE6D0B" w:rsidRDefault="004F2E37" w:rsidP="000C100A">
            <w:pPr>
              <w:widowControl/>
              <w:spacing w:beforeLines="10" w:afterLines="10" w:line="300" w:lineRule="exact"/>
              <w:rPr>
                <w:rFonts w:ascii="標楷體" w:hAnsi="標楷體" w:cs="新細明體"/>
                <w:kern w:val="0"/>
                <w:sz w:val="24"/>
                <w:szCs w:val="24"/>
              </w:rPr>
            </w:pPr>
            <w:r w:rsidRPr="00BE6D0B">
              <w:rPr>
                <w:rFonts w:ascii="標楷體" w:hAnsi="標楷體" w:cs="新細明體" w:hint="eastAsia"/>
                <w:kern w:val="0"/>
                <w:sz w:val="24"/>
                <w:szCs w:val="24"/>
              </w:rPr>
              <w:t>乾式貯存設施除役</w:t>
            </w:r>
          </w:p>
        </w:tc>
        <w:tc>
          <w:tcPr>
            <w:tcW w:w="184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3,035 </w:t>
            </w:r>
          </w:p>
        </w:tc>
        <w:tc>
          <w:tcPr>
            <w:tcW w:w="269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3,490 </w:t>
            </w:r>
          </w:p>
        </w:tc>
        <w:tc>
          <w:tcPr>
            <w:tcW w:w="1276"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1.04%</w:t>
            </w:r>
          </w:p>
        </w:tc>
      </w:tr>
      <w:tr w:rsidR="004F2E37" w:rsidRPr="00BE6D0B" w:rsidTr="00AC0272">
        <w:trPr>
          <w:trHeight w:val="20"/>
        </w:trPr>
        <w:tc>
          <w:tcPr>
            <w:tcW w:w="3260" w:type="dxa"/>
            <w:shd w:val="clear" w:color="auto" w:fill="auto"/>
            <w:noWrap/>
            <w:vAlign w:val="bottom"/>
          </w:tcPr>
          <w:p w:rsidR="004F2E37" w:rsidRPr="00BE6D0B" w:rsidRDefault="004F2E37" w:rsidP="000C100A">
            <w:pPr>
              <w:widowControl/>
              <w:spacing w:beforeLines="10" w:afterLines="10" w:line="300" w:lineRule="exact"/>
              <w:rPr>
                <w:rFonts w:ascii="標楷體" w:hAnsi="標楷體" w:cs="新細明體"/>
                <w:kern w:val="0"/>
                <w:sz w:val="24"/>
                <w:szCs w:val="24"/>
              </w:rPr>
            </w:pPr>
            <w:r w:rsidRPr="00BE6D0B">
              <w:rPr>
                <w:rFonts w:ascii="標楷體" w:hAnsi="標楷體" w:cs="新細明體" w:hint="eastAsia"/>
                <w:kern w:val="0"/>
                <w:sz w:val="24"/>
                <w:szCs w:val="24"/>
              </w:rPr>
              <w:t>運輸費用</w:t>
            </w:r>
          </w:p>
        </w:tc>
        <w:tc>
          <w:tcPr>
            <w:tcW w:w="184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20,727 </w:t>
            </w:r>
          </w:p>
        </w:tc>
        <w:tc>
          <w:tcPr>
            <w:tcW w:w="269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23,836 </w:t>
            </w:r>
          </w:p>
        </w:tc>
        <w:tc>
          <w:tcPr>
            <w:tcW w:w="1276"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7.11%</w:t>
            </w:r>
          </w:p>
        </w:tc>
      </w:tr>
      <w:tr w:rsidR="004F2E37" w:rsidRPr="00BE6D0B" w:rsidTr="00AC0272">
        <w:trPr>
          <w:trHeight w:val="20"/>
        </w:trPr>
        <w:tc>
          <w:tcPr>
            <w:tcW w:w="3260" w:type="dxa"/>
            <w:shd w:val="clear" w:color="auto" w:fill="auto"/>
            <w:noWrap/>
            <w:vAlign w:val="bottom"/>
          </w:tcPr>
          <w:p w:rsidR="004F2E37" w:rsidRPr="00BE6D0B" w:rsidRDefault="004F2E37" w:rsidP="000C100A">
            <w:pPr>
              <w:widowControl/>
              <w:spacing w:beforeLines="10" w:afterLines="10" w:line="300" w:lineRule="exact"/>
              <w:rPr>
                <w:rFonts w:ascii="標楷體" w:hAnsi="標楷體" w:cs="新細明體"/>
                <w:kern w:val="0"/>
                <w:sz w:val="24"/>
                <w:szCs w:val="24"/>
              </w:rPr>
            </w:pPr>
            <w:r w:rsidRPr="00BE6D0B">
              <w:rPr>
                <w:rFonts w:ascii="標楷體" w:hAnsi="標楷體" w:cs="新細明體" w:hint="eastAsia"/>
                <w:kern w:val="0"/>
                <w:sz w:val="24"/>
                <w:szCs w:val="24"/>
              </w:rPr>
              <w:t>貯存/處置回饋金</w:t>
            </w:r>
          </w:p>
        </w:tc>
        <w:tc>
          <w:tcPr>
            <w:tcW w:w="184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24,473 </w:t>
            </w:r>
          </w:p>
        </w:tc>
        <w:tc>
          <w:tcPr>
            <w:tcW w:w="269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28,144 </w:t>
            </w:r>
          </w:p>
        </w:tc>
        <w:tc>
          <w:tcPr>
            <w:tcW w:w="1276"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8.39%</w:t>
            </w:r>
          </w:p>
        </w:tc>
      </w:tr>
      <w:tr w:rsidR="004F2E37" w:rsidRPr="00BE6D0B" w:rsidTr="00AC0272">
        <w:trPr>
          <w:trHeight w:val="20"/>
        </w:trPr>
        <w:tc>
          <w:tcPr>
            <w:tcW w:w="3260" w:type="dxa"/>
            <w:shd w:val="clear" w:color="auto" w:fill="auto"/>
            <w:noWrap/>
            <w:vAlign w:val="bottom"/>
          </w:tcPr>
          <w:p w:rsidR="004F2E37" w:rsidRPr="00BE6D0B" w:rsidRDefault="004F2E37" w:rsidP="000C100A">
            <w:pPr>
              <w:widowControl/>
              <w:spacing w:beforeLines="10" w:afterLines="10" w:line="300" w:lineRule="exact"/>
              <w:rPr>
                <w:rFonts w:ascii="標楷體" w:hAnsi="標楷體" w:cs="新細明體"/>
                <w:kern w:val="0"/>
                <w:sz w:val="24"/>
                <w:szCs w:val="24"/>
              </w:rPr>
            </w:pPr>
            <w:r w:rsidRPr="00BE6D0B">
              <w:rPr>
                <w:rFonts w:ascii="標楷體" w:hAnsi="標楷體" w:cs="新細明體" w:hint="eastAsia"/>
                <w:kern w:val="0"/>
                <w:sz w:val="24"/>
                <w:szCs w:val="24"/>
              </w:rPr>
              <w:t>後端營運總費用</w:t>
            </w:r>
          </w:p>
        </w:tc>
        <w:tc>
          <w:tcPr>
            <w:tcW w:w="184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 xml:space="preserve">291,569 </w:t>
            </w:r>
          </w:p>
        </w:tc>
        <w:tc>
          <w:tcPr>
            <w:tcW w:w="2693"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b/>
                <w:kern w:val="0"/>
                <w:sz w:val="24"/>
                <w:szCs w:val="24"/>
              </w:rPr>
            </w:pPr>
            <w:r w:rsidRPr="00BE6D0B">
              <w:rPr>
                <w:rFonts w:ascii="標楷體" w:hAnsi="標楷體"/>
                <w:b/>
                <w:kern w:val="0"/>
                <w:sz w:val="24"/>
                <w:szCs w:val="24"/>
              </w:rPr>
              <w:t xml:space="preserve">335,303 </w:t>
            </w:r>
          </w:p>
        </w:tc>
        <w:tc>
          <w:tcPr>
            <w:tcW w:w="1276" w:type="dxa"/>
            <w:shd w:val="clear" w:color="auto" w:fill="auto"/>
            <w:noWrap/>
            <w:vAlign w:val="bottom"/>
          </w:tcPr>
          <w:p w:rsidR="004F2E37" w:rsidRPr="00BE6D0B" w:rsidRDefault="004F2E37" w:rsidP="000C100A">
            <w:pPr>
              <w:widowControl/>
              <w:spacing w:beforeLines="10" w:afterLines="10" w:line="300" w:lineRule="exact"/>
              <w:jc w:val="right"/>
              <w:rPr>
                <w:rFonts w:ascii="標楷體" w:hAnsi="標楷體"/>
                <w:kern w:val="0"/>
                <w:sz w:val="24"/>
                <w:szCs w:val="24"/>
              </w:rPr>
            </w:pPr>
            <w:r w:rsidRPr="00BE6D0B">
              <w:rPr>
                <w:rFonts w:ascii="標楷體" w:hAnsi="標楷體"/>
                <w:kern w:val="0"/>
                <w:sz w:val="24"/>
                <w:szCs w:val="24"/>
              </w:rPr>
              <w:t>100.00%</w:t>
            </w:r>
          </w:p>
        </w:tc>
      </w:tr>
    </w:tbl>
    <w:p w:rsidR="004F2E37" w:rsidRDefault="004F2E37" w:rsidP="000B7DC8">
      <w:pPr>
        <w:pStyle w:val="5"/>
        <w:widowControl/>
        <w:numPr>
          <w:ilvl w:val="0"/>
          <w:numId w:val="0"/>
        </w:numPr>
        <w:spacing w:line="240" w:lineRule="exact"/>
        <w:ind w:left="2092"/>
      </w:pPr>
    </w:p>
    <w:p w:rsidR="00C753BD" w:rsidRDefault="00E93494" w:rsidP="00E07D39">
      <w:pPr>
        <w:pStyle w:val="4"/>
        <w:widowControl/>
        <w:numPr>
          <w:ilvl w:val="3"/>
          <w:numId w:val="5"/>
        </w:numPr>
      </w:pPr>
      <w:r>
        <w:rPr>
          <w:rFonts w:hint="eastAsia"/>
        </w:rPr>
        <w:t>各</w:t>
      </w:r>
      <w:r w:rsidR="00C753BD">
        <w:rPr>
          <w:rFonts w:hint="eastAsia"/>
        </w:rPr>
        <w:t>國</w:t>
      </w:r>
      <w:r>
        <w:rPr>
          <w:rFonts w:hint="eastAsia"/>
        </w:rPr>
        <w:t>估算比較</w:t>
      </w:r>
      <w:r w:rsidR="00C753BD">
        <w:rPr>
          <w:rFonts w:hint="eastAsia"/>
        </w:rPr>
        <w:t>：</w:t>
      </w:r>
    </w:p>
    <w:p w:rsidR="00E93494" w:rsidRDefault="00E93494" w:rsidP="00E07D39">
      <w:pPr>
        <w:pStyle w:val="5"/>
        <w:widowControl/>
        <w:numPr>
          <w:ilvl w:val="4"/>
          <w:numId w:val="5"/>
        </w:numPr>
        <w:rPr>
          <w:rFonts w:hAnsi="標楷體"/>
          <w:kern w:val="0"/>
          <w:szCs w:val="28"/>
        </w:rPr>
      </w:pPr>
      <w:r w:rsidRPr="00E93494">
        <w:rPr>
          <w:rFonts w:hAnsi="標楷體"/>
          <w:kern w:val="0"/>
          <w:szCs w:val="28"/>
        </w:rPr>
        <w:t>本次估算結果為3,</w:t>
      </w:r>
      <w:r w:rsidRPr="00E93494">
        <w:rPr>
          <w:rFonts w:hAnsi="標楷體" w:hint="eastAsia"/>
          <w:kern w:val="0"/>
          <w:szCs w:val="28"/>
        </w:rPr>
        <w:t>353</w:t>
      </w:r>
      <w:r w:rsidRPr="00E93494">
        <w:rPr>
          <w:rFonts w:hAnsi="標楷體"/>
          <w:kern w:val="0"/>
          <w:szCs w:val="28"/>
        </w:rPr>
        <w:t>億元，其</w:t>
      </w:r>
      <w:r w:rsidRPr="00E93494">
        <w:rPr>
          <w:rFonts w:hAnsi="標楷體" w:hint="eastAsia"/>
          <w:kern w:val="0"/>
          <w:szCs w:val="28"/>
        </w:rPr>
        <w:t>中占比較高者為高</w:t>
      </w:r>
      <w:r w:rsidRPr="00E93494">
        <w:rPr>
          <w:rFonts w:hAnsi="標楷體"/>
          <w:kern w:val="0"/>
          <w:szCs w:val="28"/>
        </w:rPr>
        <w:t>放處置</w:t>
      </w:r>
      <w:r>
        <w:rPr>
          <w:rFonts w:hAnsi="標楷體" w:hint="eastAsia"/>
          <w:kern w:val="0"/>
          <w:szCs w:val="28"/>
        </w:rPr>
        <w:t>(</w:t>
      </w:r>
      <w:r w:rsidRPr="00E93494">
        <w:rPr>
          <w:rFonts w:hAnsi="標楷體" w:hint="eastAsia"/>
          <w:kern w:val="0"/>
          <w:szCs w:val="28"/>
        </w:rPr>
        <w:t>41.2%</w:t>
      </w:r>
      <w:r>
        <w:rPr>
          <w:rFonts w:hAnsi="標楷體" w:hint="eastAsia"/>
          <w:kern w:val="0"/>
          <w:szCs w:val="28"/>
        </w:rPr>
        <w:t>)</w:t>
      </w:r>
      <w:r w:rsidRPr="00E93494">
        <w:rPr>
          <w:rFonts w:hAnsi="標楷體"/>
          <w:kern w:val="0"/>
          <w:szCs w:val="28"/>
        </w:rPr>
        <w:t>、電廠</w:t>
      </w:r>
      <w:r w:rsidRPr="00E93494">
        <w:rPr>
          <w:rFonts w:hAnsi="標楷體" w:hint="eastAsia"/>
          <w:kern w:val="0"/>
          <w:szCs w:val="28"/>
        </w:rPr>
        <w:t>/設施</w:t>
      </w:r>
      <w:r w:rsidRPr="00E93494">
        <w:rPr>
          <w:rFonts w:hAnsi="標楷體"/>
          <w:kern w:val="0"/>
          <w:szCs w:val="28"/>
        </w:rPr>
        <w:t>除役</w:t>
      </w:r>
      <w:r>
        <w:rPr>
          <w:rFonts w:hAnsi="標楷體" w:hint="eastAsia"/>
          <w:kern w:val="0"/>
          <w:szCs w:val="28"/>
        </w:rPr>
        <w:t>(</w:t>
      </w:r>
      <w:r w:rsidRPr="00E93494">
        <w:rPr>
          <w:rFonts w:hAnsi="標楷體"/>
          <w:kern w:val="0"/>
          <w:szCs w:val="28"/>
        </w:rPr>
        <w:t>2</w:t>
      </w:r>
      <w:r w:rsidRPr="00E93494">
        <w:rPr>
          <w:rFonts w:hAnsi="標楷體" w:hint="eastAsia"/>
          <w:kern w:val="0"/>
          <w:szCs w:val="28"/>
        </w:rPr>
        <w:t>1</w:t>
      </w:r>
      <w:r w:rsidRPr="00E93494">
        <w:rPr>
          <w:rFonts w:hAnsi="標楷體"/>
          <w:kern w:val="0"/>
          <w:szCs w:val="28"/>
        </w:rPr>
        <w:t>.</w:t>
      </w:r>
      <w:r w:rsidRPr="00E93494">
        <w:rPr>
          <w:rFonts w:hAnsi="標楷體" w:hint="eastAsia"/>
          <w:kern w:val="0"/>
          <w:szCs w:val="28"/>
        </w:rPr>
        <w:t>3%</w:t>
      </w:r>
      <w:r>
        <w:rPr>
          <w:rFonts w:hAnsi="標楷體" w:hint="eastAsia"/>
          <w:kern w:val="0"/>
          <w:szCs w:val="28"/>
        </w:rPr>
        <w:t>)</w:t>
      </w:r>
      <w:r w:rsidRPr="00E93494">
        <w:rPr>
          <w:rFonts w:hAnsi="標楷體"/>
          <w:kern w:val="0"/>
          <w:szCs w:val="28"/>
        </w:rPr>
        <w:t>、低放處置</w:t>
      </w:r>
      <w:r>
        <w:rPr>
          <w:rFonts w:hAnsi="標楷體" w:hint="eastAsia"/>
          <w:kern w:val="0"/>
          <w:szCs w:val="28"/>
        </w:rPr>
        <w:t>(</w:t>
      </w:r>
      <w:r w:rsidRPr="00E93494">
        <w:rPr>
          <w:rFonts w:hAnsi="標楷體"/>
          <w:kern w:val="0"/>
          <w:szCs w:val="28"/>
        </w:rPr>
        <w:t>1</w:t>
      </w:r>
      <w:r w:rsidRPr="00E93494">
        <w:rPr>
          <w:rFonts w:hAnsi="標楷體" w:hint="eastAsia"/>
          <w:kern w:val="0"/>
          <w:szCs w:val="28"/>
        </w:rPr>
        <w:t>1</w:t>
      </w:r>
      <w:r w:rsidRPr="00E93494">
        <w:rPr>
          <w:rFonts w:hAnsi="標楷體"/>
          <w:kern w:val="0"/>
          <w:szCs w:val="28"/>
        </w:rPr>
        <w:t>.</w:t>
      </w:r>
      <w:r w:rsidRPr="00E93494">
        <w:rPr>
          <w:rFonts w:hAnsi="標楷體" w:hint="eastAsia"/>
          <w:kern w:val="0"/>
          <w:szCs w:val="28"/>
        </w:rPr>
        <w:t>4%</w:t>
      </w:r>
      <w:r>
        <w:rPr>
          <w:rFonts w:hAnsi="標楷體" w:hint="eastAsia"/>
          <w:kern w:val="0"/>
          <w:szCs w:val="28"/>
        </w:rPr>
        <w:t>)</w:t>
      </w:r>
      <w:r w:rsidRPr="00E93494">
        <w:rPr>
          <w:rFonts w:hAnsi="標楷體"/>
          <w:kern w:val="0"/>
          <w:szCs w:val="28"/>
        </w:rPr>
        <w:t>及乾式貯存</w:t>
      </w:r>
      <w:r>
        <w:rPr>
          <w:rFonts w:hAnsi="標楷體" w:hint="eastAsia"/>
          <w:kern w:val="0"/>
          <w:szCs w:val="28"/>
        </w:rPr>
        <w:t>(</w:t>
      </w:r>
      <w:r w:rsidRPr="00E93494">
        <w:rPr>
          <w:rFonts w:hAnsi="標楷體"/>
          <w:kern w:val="0"/>
          <w:szCs w:val="28"/>
        </w:rPr>
        <w:t>10.</w:t>
      </w:r>
      <w:r w:rsidRPr="00E93494">
        <w:rPr>
          <w:rFonts w:hAnsi="標楷體" w:hint="eastAsia"/>
          <w:kern w:val="0"/>
          <w:szCs w:val="28"/>
        </w:rPr>
        <w:t>6%</w:t>
      </w:r>
      <w:r>
        <w:rPr>
          <w:rFonts w:hAnsi="標楷體" w:hint="eastAsia"/>
          <w:kern w:val="0"/>
          <w:szCs w:val="28"/>
        </w:rPr>
        <w:t>)</w:t>
      </w:r>
      <w:r w:rsidRPr="00E93494">
        <w:rPr>
          <w:rFonts w:hAnsi="標楷體"/>
          <w:kern w:val="0"/>
          <w:szCs w:val="28"/>
        </w:rPr>
        <w:t>。</w:t>
      </w:r>
    </w:p>
    <w:p w:rsidR="00E93494" w:rsidRDefault="002024A7" w:rsidP="00E07D39">
      <w:pPr>
        <w:pStyle w:val="5"/>
        <w:widowControl/>
        <w:numPr>
          <w:ilvl w:val="4"/>
          <w:numId w:val="5"/>
        </w:numPr>
        <w:rPr>
          <w:rFonts w:hAnsi="標楷體"/>
          <w:kern w:val="0"/>
          <w:szCs w:val="28"/>
        </w:rPr>
      </w:pPr>
      <w:r>
        <w:rPr>
          <w:rFonts w:hAnsi="標楷體" w:hint="eastAsia"/>
          <w:kern w:val="0"/>
          <w:szCs w:val="28"/>
        </w:rPr>
        <w:t>我國、</w:t>
      </w:r>
      <w:r w:rsidRPr="00C753BD">
        <w:rPr>
          <w:rFonts w:hAnsi="標楷體"/>
          <w:kern w:val="0"/>
          <w:szCs w:val="28"/>
        </w:rPr>
        <w:t>瑞典</w:t>
      </w:r>
      <w:r>
        <w:rPr>
          <w:rFonts w:hAnsi="標楷體" w:hint="eastAsia"/>
          <w:kern w:val="0"/>
          <w:szCs w:val="28"/>
        </w:rPr>
        <w:t>、</w:t>
      </w:r>
      <w:r w:rsidRPr="00E93494">
        <w:rPr>
          <w:rFonts w:hAnsi="標楷體"/>
          <w:kern w:val="0"/>
          <w:szCs w:val="28"/>
        </w:rPr>
        <w:t>西班牙</w:t>
      </w:r>
      <w:r w:rsidR="00E93494">
        <w:rPr>
          <w:rFonts w:hAnsi="標楷體"/>
          <w:kern w:val="0"/>
          <w:szCs w:val="28"/>
        </w:rPr>
        <w:t>之核能機組規模差異不大，</w:t>
      </w:r>
      <w:r w:rsidR="00E93494" w:rsidRPr="00E93494">
        <w:rPr>
          <w:rFonts w:hAnsi="標楷體"/>
          <w:kern w:val="0"/>
          <w:szCs w:val="28"/>
        </w:rPr>
        <w:t>就</w:t>
      </w:r>
      <w:r w:rsidR="00E93494" w:rsidRPr="00E93494">
        <w:rPr>
          <w:rFonts w:hAnsi="標楷體" w:hint="eastAsia"/>
          <w:kern w:val="0"/>
          <w:szCs w:val="28"/>
        </w:rPr>
        <w:t>各國</w:t>
      </w:r>
      <w:r w:rsidR="00E93494" w:rsidRPr="00E93494">
        <w:rPr>
          <w:rFonts w:hAnsi="標楷體"/>
          <w:kern w:val="0"/>
          <w:szCs w:val="28"/>
        </w:rPr>
        <w:t>核能後端費用比例來看，電廠及設施除役約占總費用之20</w:t>
      </w:r>
      <w:r w:rsidR="00E93494" w:rsidRPr="00E93494">
        <w:rPr>
          <w:rFonts w:hAnsi="標楷體" w:hint="eastAsia"/>
          <w:kern w:val="0"/>
          <w:szCs w:val="28"/>
        </w:rPr>
        <w:t>%</w:t>
      </w:r>
      <w:r w:rsidR="00E93494" w:rsidRPr="00E93494">
        <w:rPr>
          <w:rFonts w:hAnsi="標楷體"/>
          <w:kern w:val="0"/>
          <w:szCs w:val="28"/>
        </w:rPr>
        <w:t>、高放貯存/處置約占50</w:t>
      </w:r>
      <w:r w:rsidR="00E93494" w:rsidRPr="00E93494">
        <w:rPr>
          <w:rFonts w:hAnsi="標楷體" w:hint="eastAsia"/>
          <w:kern w:val="0"/>
          <w:szCs w:val="28"/>
        </w:rPr>
        <w:t>%</w:t>
      </w:r>
      <w:r w:rsidR="00E93494" w:rsidRPr="00E93494">
        <w:rPr>
          <w:rFonts w:hAnsi="標楷體"/>
          <w:kern w:val="0"/>
          <w:szCs w:val="28"/>
        </w:rPr>
        <w:t>，西班牙及瑞典在監督及研發花費約16-19</w:t>
      </w:r>
      <w:r w:rsidR="00E93494" w:rsidRPr="00E93494">
        <w:rPr>
          <w:rFonts w:hAnsi="標楷體" w:hint="eastAsia"/>
          <w:kern w:val="0"/>
          <w:szCs w:val="28"/>
        </w:rPr>
        <w:t>%</w:t>
      </w:r>
      <w:r w:rsidR="00E93494" w:rsidRPr="00E93494">
        <w:rPr>
          <w:rFonts w:hAnsi="標楷體"/>
          <w:kern w:val="0"/>
          <w:szCs w:val="28"/>
        </w:rPr>
        <w:t>，但我國編列於各單項工作</w:t>
      </w:r>
      <w:r>
        <w:rPr>
          <w:rFonts w:hAnsi="標楷體" w:hint="eastAsia"/>
          <w:kern w:val="0"/>
          <w:szCs w:val="28"/>
        </w:rPr>
        <w:t>，</w:t>
      </w:r>
      <w:r w:rsidR="00E93494">
        <w:rPr>
          <w:rFonts w:hAnsi="標楷體"/>
          <w:kern w:val="0"/>
          <w:szCs w:val="28"/>
        </w:rPr>
        <w:t>並無此單項，另</w:t>
      </w:r>
      <w:r w:rsidR="00E93494" w:rsidRPr="00E93494">
        <w:rPr>
          <w:rFonts w:hAnsi="標楷體"/>
          <w:kern w:val="0"/>
          <w:szCs w:val="28"/>
        </w:rPr>
        <w:t>我國有回饋金</w:t>
      </w:r>
      <w:r w:rsidR="00E93494">
        <w:rPr>
          <w:rFonts w:hAnsi="標楷體"/>
          <w:kern w:val="0"/>
          <w:szCs w:val="28"/>
        </w:rPr>
        <w:t>，</w:t>
      </w:r>
      <w:r w:rsidR="00E93494" w:rsidRPr="00E93494">
        <w:rPr>
          <w:rFonts w:hAnsi="標楷體"/>
          <w:kern w:val="0"/>
          <w:szCs w:val="28"/>
        </w:rPr>
        <w:t>但西</w:t>
      </w:r>
      <w:r w:rsidR="00E93494" w:rsidRPr="00E93494">
        <w:rPr>
          <w:rFonts w:hAnsi="標楷體" w:hint="eastAsia"/>
          <w:kern w:val="0"/>
          <w:szCs w:val="28"/>
        </w:rPr>
        <w:t>班牙及瑞典均無。</w:t>
      </w:r>
    </w:p>
    <w:p w:rsidR="009B1397" w:rsidRPr="00D47D5E" w:rsidRDefault="009B1397" w:rsidP="00E07D39">
      <w:pPr>
        <w:pStyle w:val="5"/>
        <w:widowControl/>
        <w:numPr>
          <w:ilvl w:val="4"/>
          <w:numId w:val="5"/>
        </w:numPr>
        <w:rPr>
          <w:rFonts w:hAnsi="標楷體"/>
          <w:kern w:val="0"/>
          <w:szCs w:val="28"/>
        </w:rPr>
      </w:pPr>
      <w:r w:rsidRPr="009B1397">
        <w:rPr>
          <w:rFonts w:hAnsi="標楷體" w:hint="eastAsia"/>
          <w:kern w:val="0"/>
          <w:szCs w:val="28"/>
        </w:rPr>
        <w:t>我國分攤率為</w:t>
      </w:r>
      <w:r>
        <w:rPr>
          <w:rFonts w:hAnsi="標楷體" w:hint="eastAsia"/>
          <w:kern w:val="0"/>
          <w:szCs w:val="28"/>
        </w:rPr>
        <w:t>新</w:t>
      </w:r>
      <w:r w:rsidRPr="009B1397">
        <w:rPr>
          <w:rFonts w:hAnsi="標楷體" w:hint="eastAsia"/>
          <w:kern w:val="0"/>
          <w:szCs w:val="28"/>
        </w:rPr>
        <w:t>台幣1.7角，在各國中除匈牙利(2.24角)、斯洛</w:t>
      </w:r>
      <w:r w:rsidRPr="009B1397">
        <w:rPr>
          <w:rFonts w:hAnsi="標楷體"/>
          <w:kern w:val="0"/>
          <w:szCs w:val="28"/>
        </w:rPr>
        <w:t>伐克(1.95角</w:t>
      </w:r>
      <w:r w:rsidRPr="009B1397">
        <w:rPr>
          <w:rFonts w:hAnsi="標楷體" w:hint="eastAsia"/>
          <w:kern w:val="0"/>
          <w:szCs w:val="28"/>
        </w:rPr>
        <w:t>)及瑞士(2.88角)較我國高外，其餘均比我國低。我國所收取之分攤率雖仍在各核能先進國家金額分</w:t>
      </w:r>
      <w:r>
        <w:rPr>
          <w:rFonts w:hAnsi="標楷體" w:hint="eastAsia"/>
          <w:kern w:val="0"/>
          <w:szCs w:val="28"/>
        </w:rPr>
        <w:t>布</w:t>
      </w:r>
      <w:r w:rsidRPr="009B1397">
        <w:rPr>
          <w:rFonts w:hAnsi="標楷體" w:hint="eastAsia"/>
          <w:kern w:val="0"/>
          <w:szCs w:val="28"/>
        </w:rPr>
        <w:t>之區</w:t>
      </w:r>
      <w:r w:rsidRPr="00D47D5E">
        <w:rPr>
          <w:rFonts w:hAnsi="標楷體" w:hint="eastAsia"/>
          <w:kern w:val="0"/>
          <w:szCs w:val="28"/>
        </w:rPr>
        <w:t>間中，但占平均每人GDP比例偏高。</w:t>
      </w:r>
    </w:p>
    <w:p w:rsidR="00661188" w:rsidRPr="00D47D5E" w:rsidRDefault="00661188" w:rsidP="000C100A">
      <w:pPr>
        <w:pStyle w:val="4"/>
        <w:widowControl/>
        <w:numPr>
          <w:ilvl w:val="3"/>
          <w:numId w:val="5"/>
        </w:numPr>
        <w:spacing w:afterLines="50"/>
        <w:ind w:left="1740" w:hanging="697"/>
      </w:pPr>
      <w:r w:rsidRPr="00D47D5E">
        <w:rPr>
          <w:rFonts w:hint="eastAsia"/>
          <w:bCs/>
          <w:kern w:val="0"/>
        </w:rPr>
        <w:t>各參考情節後端營運總費用估算結果如</w:t>
      </w:r>
      <w:r w:rsidR="00D47D5E" w:rsidRPr="00D47D5E">
        <w:rPr>
          <w:rFonts w:hint="eastAsia"/>
          <w:bCs/>
          <w:kern w:val="0"/>
        </w:rPr>
        <w:t>下</w:t>
      </w:r>
      <w:r w:rsidR="00D47D5E">
        <w:rPr>
          <w:rFonts w:hint="eastAsia"/>
          <w:bCs/>
          <w:kern w:val="0"/>
        </w:rPr>
        <w:t>(含</w:t>
      </w:r>
      <w:r w:rsidR="00D47D5E" w:rsidRPr="00B21C34">
        <w:rPr>
          <w:rFonts w:hAnsi="標楷體" w:hint="eastAsia"/>
          <w:szCs w:val="24"/>
        </w:rPr>
        <w:t>低放射性廢棄物</w:t>
      </w:r>
      <w:r w:rsidR="00D47D5E">
        <w:rPr>
          <w:rFonts w:hAnsi="標楷體" w:hint="eastAsia"/>
          <w:szCs w:val="24"/>
        </w:rPr>
        <w:t>、高</w:t>
      </w:r>
      <w:r w:rsidR="00D47D5E" w:rsidRPr="00B21C34">
        <w:rPr>
          <w:rFonts w:hAnsi="標楷體" w:hint="eastAsia"/>
          <w:szCs w:val="24"/>
        </w:rPr>
        <w:t>放射性</w:t>
      </w:r>
      <w:r w:rsidR="00D47D5E">
        <w:rPr>
          <w:rFonts w:hAnsi="標楷體" w:hint="eastAsia"/>
          <w:szCs w:val="24"/>
        </w:rPr>
        <w:t>之</w:t>
      </w:r>
      <w:r w:rsidR="00D47D5E" w:rsidRPr="00B21C34">
        <w:rPr>
          <w:rFonts w:hAnsi="標楷體" w:hint="eastAsia"/>
          <w:szCs w:val="24"/>
        </w:rPr>
        <w:t>用過核子燃料</w:t>
      </w:r>
      <w:r w:rsidR="00D47D5E">
        <w:rPr>
          <w:rFonts w:hint="eastAsia"/>
          <w:bCs/>
          <w:kern w:val="0"/>
        </w:rPr>
        <w:t>)</w:t>
      </w:r>
      <w:r w:rsidR="00D47D5E" w:rsidRPr="00D47D5E">
        <w:rPr>
          <w:rFonts w:hint="eastAsia"/>
          <w:bCs/>
          <w:kern w:val="0"/>
        </w:rPr>
        <w:t>：</w:t>
      </w:r>
    </w:p>
    <w:tbl>
      <w:tblPr>
        <w:tblStyle w:val="af5"/>
        <w:tblW w:w="9753" w:type="dxa"/>
        <w:jc w:val="center"/>
        <w:tblLook w:val="04A0"/>
      </w:tblPr>
      <w:tblGrid>
        <w:gridCol w:w="567"/>
        <w:gridCol w:w="3290"/>
        <w:gridCol w:w="2268"/>
        <w:gridCol w:w="1843"/>
        <w:gridCol w:w="1785"/>
      </w:tblGrid>
      <w:tr w:rsidR="00D47D5E" w:rsidRPr="00DA0124" w:rsidTr="00E51D92">
        <w:trPr>
          <w:tblHeader/>
          <w:jc w:val="center"/>
        </w:trPr>
        <w:tc>
          <w:tcPr>
            <w:tcW w:w="567" w:type="dxa"/>
            <w:vAlign w:val="center"/>
          </w:tcPr>
          <w:p w:rsidR="00D47D5E" w:rsidRPr="00DA0124" w:rsidRDefault="00D47D5E" w:rsidP="00D47D5E">
            <w:pPr>
              <w:pStyle w:val="4"/>
              <w:numPr>
                <w:ilvl w:val="0"/>
                <w:numId w:val="0"/>
              </w:numPr>
              <w:jc w:val="center"/>
              <w:outlineLvl w:val="3"/>
              <w:rPr>
                <w:spacing w:val="-20"/>
                <w:sz w:val="24"/>
                <w:szCs w:val="24"/>
              </w:rPr>
            </w:pPr>
            <w:r w:rsidRPr="00DA0124">
              <w:rPr>
                <w:rFonts w:hint="eastAsia"/>
                <w:spacing w:val="-20"/>
                <w:sz w:val="24"/>
                <w:szCs w:val="24"/>
              </w:rPr>
              <w:t>項次</w:t>
            </w:r>
          </w:p>
        </w:tc>
        <w:tc>
          <w:tcPr>
            <w:tcW w:w="3290" w:type="dxa"/>
            <w:vAlign w:val="center"/>
          </w:tcPr>
          <w:p w:rsidR="00D47D5E" w:rsidRPr="00DA0124" w:rsidRDefault="00D47D5E" w:rsidP="00AC0272">
            <w:pPr>
              <w:pStyle w:val="4"/>
              <w:numPr>
                <w:ilvl w:val="0"/>
                <w:numId w:val="0"/>
              </w:numPr>
              <w:jc w:val="center"/>
              <w:outlineLvl w:val="3"/>
              <w:rPr>
                <w:spacing w:val="-20"/>
                <w:sz w:val="24"/>
                <w:szCs w:val="24"/>
              </w:rPr>
            </w:pPr>
            <w:r w:rsidRPr="00DA0124">
              <w:rPr>
                <w:rFonts w:hint="eastAsia"/>
                <w:spacing w:val="-20"/>
                <w:sz w:val="24"/>
                <w:szCs w:val="24"/>
              </w:rPr>
              <w:t>情節概述</w:t>
            </w:r>
          </w:p>
        </w:tc>
        <w:tc>
          <w:tcPr>
            <w:tcW w:w="2268" w:type="dxa"/>
          </w:tcPr>
          <w:p w:rsidR="00D47D5E" w:rsidRPr="00DA0124" w:rsidRDefault="00D47D5E" w:rsidP="00D47D5E">
            <w:pPr>
              <w:pStyle w:val="4"/>
              <w:numPr>
                <w:ilvl w:val="0"/>
                <w:numId w:val="0"/>
              </w:numPr>
              <w:outlineLvl w:val="3"/>
              <w:rPr>
                <w:spacing w:val="-20"/>
                <w:sz w:val="24"/>
                <w:szCs w:val="24"/>
              </w:rPr>
            </w:pPr>
            <w:r w:rsidRPr="00DA0124">
              <w:rPr>
                <w:rFonts w:hint="eastAsia"/>
                <w:spacing w:val="-20"/>
                <w:sz w:val="24"/>
                <w:szCs w:val="24"/>
              </w:rPr>
              <w:t>後端營運總費用(億元，97年價位)</w:t>
            </w:r>
          </w:p>
        </w:tc>
        <w:tc>
          <w:tcPr>
            <w:tcW w:w="1843" w:type="dxa"/>
          </w:tcPr>
          <w:p w:rsidR="00D47D5E" w:rsidRPr="00DA0124" w:rsidRDefault="00D47D5E" w:rsidP="00D47D5E">
            <w:pPr>
              <w:pStyle w:val="4"/>
              <w:numPr>
                <w:ilvl w:val="0"/>
                <w:numId w:val="0"/>
              </w:numPr>
              <w:outlineLvl w:val="3"/>
              <w:rPr>
                <w:spacing w:val="-20"/>
                <w:sz w:val="24"/>
                <w:szCs w:val="24"/>
              </w:rPr>
            </w:pPr>
            <w:r w:rsidRPr="00DA0124">
              <w:rPr>
                <w:rFonts w:hint="eastAsia"/>
                <w:spacing w:val="-20"/>
                <w:sz w:val="24"/>
                <w:szCs w:val="24"/>
              </w:rPr>
              <w:t>未來核能淨發電量現值（億度）</w:t>
            </w:r>
          </w:p>
        </w:tc>
        <w:tc>
          <w:tcPr>
            <w:tcW w:w="1785" w:type="dxa"/>
          </w:tcPr>
          <w:p w:rsidR="00D47D5E" w:rsidRPr="00DA0124" w:rsidRDefault="00D47D5E" w:rsidP="00AC0272">
            <w:pPr>
              <w:pStyle w:val="4"/>
              <w:numPr>
                <w:ilvl w:val="0"/>
                <w:numId w:val="0"/>
              </w:numPr>
              <w:outlineLvl w:val="3"/>
              <w:rPr>
                <w:spacing w:val="-20"/>
                <w:sz w:val="24"/>
                <w:szCs w:val="24"/>
              </w:rPr>
            </w:pPr>
            <w:r w:rsidRPr="00DA0124">
              <w:rPr>
                <w:rFonts w:hint="eastAsia"/>
                <w:spacing w:val="-20"/>
                <w:sz w:val="24"/>
                <w:szCs w:val="24"/>
              </w:rPr>
              <w:t>每度核能發電分攤率（元/度）</w:t>
            </w:r>
          </w:p>
        </w:tc>
      </w:tr>
      <w:tr w:rsidR="00D47D5E" w:rsidRPr="00893DA3" w:rsidTr="002024A7">
        <w:trPr>
          <w:jc w:val="center"/>
        </w:trPr>
        <w:tc>
          <w:tcPr>
            <w:tcW w:w="567" w:type="dxa"/>
            <w:vAlign w:val="center"/>
          </w:tcPr>
          <w:p w:rsidR="00D47D5E" w:rsidRPr="00893DA3" w:rsidRDefault="00D47D5E" w:rsidP="00D47D5E">
            <w:pPr>
              <w:pStyle w:val="4"/>
              <w:numPr>
                <w:ilvl w:val="0"/>
                <w:numId w:val="0"/>
              </w:numPr>
              <w:jc w:val="center"/>
              <w:outlineLvl w:val="3"/>
              <w:rPr>
                <w:sz w:val="24"/>
                <w:szCs w:val="24"/>
              </w:rPr>
            </w:pPr>
            <w:r w:rsidRPr="00893DA3">
              <w:rPr>
                <w:rFonts w:hint="eastAsia"/>
                <w:sz w:val="24"/>
                <w:szCs w:val="24"/>
              </w:rPr>
              <w:t>1</w:t>
            </w:r>
          </w:p>
        </w:tc>
        <w:tc>
          <w:tcPr>
            <w:tcW w:w="3290" w:type="dxa"/>
          </w:tcPr>
          <w:p w:rsidR="00D47D5E" w:rsidRPr="00893DA3" w:rsidRDefault="00D47D5E" w:rsidP="00D47D5E">
            <w:pPr>
              <w:pStyle w:val="4"/>
              <w:numPr>
                <w:ilvl w:val="0"/>
                <w:numId w:val="0"/>
              </w:numPr>
              <w:outlineLvl w:val="3"/>
              <w:rPr>
                <w:sz w:val="24"/>
                <w:szCs w:val="24"/>
              </w:rPr>
            </w:pPr>
            <w:r>
              <w:rPr>
                <w:rFonts w:hint="eastAsia"/>
                <w:sz w:val="24"/>
                <w:szCs w:val="24"/>
              </w:rPr>
              <w:t>6部機運轉40年/境內處置</w:t>
            </w:r>
          </w:p>
        </w:tc>
        <w:tc>
          <w:tcPr>
            <w:tcW w:w="2268"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3,353.03</w:t>
            </w:r>
          </w:p>
        </w:tc>
        <w:tc>
          <w:tcPr>
            <w:tcW w:w="1843"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4,185.68</w:t>
            </w:r>
          </w:p>
        </w:tc>
        <w:tc>
          <w:tcPr>
            <w:tcW w:w="1785"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0.171</w:t>
            </w:r>
          </w:p>
        </w:tc>
      </w:tr>
      <w:tr w:rsidR="00D47D5E" w:rsidRPr="00893DA3" w:rsidTr="002024A7">
        <w:trPr>
          <w:jc w:val="center"/>
        </w:trPr>
        <w:tc>
          <w:tcPr>
            <w:tcW w:w="567" w:type="dxa"/>
            <w:vAlign w:val="center"/>
          </w:tcPr>
          <w:p w:rsidR="00D47D5E" w:rsidRPr="00893DA3" w:rsidRDefault="00D47D5E" w:rsidP="00D47D5E">
            <w:pPr>
              <w:pStyle w:val="4"/>
              <w:numPr>
                <w:ilvl w:val="0"/>
                <w:numId w:val="0"/>
              </w:numPr>
              <w:jc w:val="center"/>
              <w:outlineLvl w:val="3"/>
              <w:rPr>
                <w:sz w:val="24"/>
                <w:szCs w:val="24"/>
              </w:rPr>
            </w:pPr>
            <w:r w:rsidRPr="00893DA3">
              <w:rPr>
                <w:rFonts w:hint="eastAsia"/>
                <w:sz w:val="24"/>
                <w:szCs w:val="24"/>
              </w:rPr>
              <w:t>2</w:t>
            </w:r>
          </w:p>
        </w:tc>
        <w:tc>
          <w:tcPr>
            <w:tcW w:w="3290" w:type="dxa"/>
          </w:tcPr>
          <w:p w:rsidR="00D47D5E" w:rsidRPr="00893DA3" w:rsidRDefault="00D47D5E" w:rsidP="00AC0272">
            <w:pPr>
              <w:pStyle w:val="4"/>
              <w:numPr>
                <w:ilvl w:val="0"/>
                <w:numId w:val="0"/>
              </w:numPr>
              <w:outlineLvl w:val="3"/>
              <w:rPr>
                <w:sz w:val="24"/>
                <w:szCs w:val="24"/>
              </w:rPr>
            </w:pPr>
            <w:r>
              <w:rPr>
                <w:rFonts w:hint="eastAsia"/>
                <w:sz w:val="24"/>
                <w:szCs w:val="24"/>
              </w:rPr>
              <w:t>8部機運轉40年/境內處置</w:t>
            </w:r>
          </w:p>
        </w:tc>
        <w:tc>
          <w:tcPr>
            <w:tcW w:w="2268"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4,156.30</w:t>
            </w:r>
          </w:p>
        </w:tc>
        <w:tc>
          <w:tcPr>
            <w:tcW w:w="1843"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8,110.22</w:t>
            </w:r>
          </w:p>
        </w:tc>
        <w:tc>
          <w:tcPr>
            <w:tcW w:w="1785"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0.153</w:t>
            </w:r>
          </w:p>
        </w:tc>
      </w:tr>
      <w:tr w:rsidR="00D47D5E" w:rsidRPr="00893DA3" w:rsidTr="002024A7">
        <w:trPr>
          <w:jc w:val="center"/>
        </w:trPr>
        <w:tc>
          <w:tcPr>
            <w:tcW w:w="567" w:type="dxa"/>
            <w:vAlign w:val="center"/>
          </w:tcPr>
          <w:p w:rsidR="00D47D5E" w:rsidRPr="00893DA3" w:rsidRDefault="00D47D5E" w:rsidP="00D47D5E">
            <w:pPr>
              <w:pStyle w:val="4"/>
              <w:numPr>
                <w:ilvl w:val="0"/>
                <w:numId w:val="0"/>
              </w:numPr>
              <w:jc w:val="center"/>
              <w:outlineLvl w:val="3"/>
              <w:rPr>
                <w:sz w:val="24"/>
                <w:szCs w:val="24"/>
              </w:rPr>
            </w:pPr>
            <w:r w:rsidRPr="00893DA3">
              <w:rPr>
                <w:rFonts w:hint="eastAsia"/>
                <w:sz w:val="24"/>
                <w:szCs w:val="24"/>
              </w:rPr>
              <w:t>3</w:t>
            </w:r>
          </w:p>
        </w:tc>
        <w:tc>
          <w:tcPr>
            <w:tcW w:w="3290" w:type="dxa"/>
          </w:tcPr>
          <w:p w:rsidR="00D47D5E" w:rsidRPr="00893DA3" w:rsidRDefault="00D47D5E" w:rsidP="00AC0272">
            <w:pPr>
              <w:pStyle w:val="4"/>
              <w:numPr>
                <w:ilvl w:val="0"/>
                <w:numId w:val="0"/>
              </w:numPr>
              <w:outlineLvl w:val="3"/>
              <w:rPr>
                <w:sz w:val="24"/>
                <w:szCs w:val="24"/>
              </w:rPr>
            </w:pPr>
            <w:r>
              <w:rPr>
                <w:rFonts w:hint="eastAsia"/>
                <w:sz w:val="24"/>
                <w:szCs w:val="24"/>
              </w:rPr>
              <w:t>6部機運轉60年/境內處置</w:t>
            </w:r>
          </w:p>
        </w:tc>
        <w:tc>
          <w:tcPr>
            <w:tcW w:w="2268"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3,810.75</w:t>
            </w:r>
          </w:p>
        </w:tc>
        <w:tc>
          <w:tcPr>
            <w:tcW w:w="1843"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7,737.57</w:t>
            </w:r>
          </w:p>
        </w:tc>
        <w:tc>
          <w:tcPr>
            <w:tcW w:w="1785"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0.117</w:t>
            </w:r>
          </w:p>
        </w:tc>
      </w:tr>
      <w:tr w:rsidR="00D47D5E" w:rsidRPr="00893DA3" w:rsidTr="002024A7">
        <w:trPr>
          <w:jc w:val="center"/>
        </w:trPr>
        <w:tc>
          <w:tcPr>
            <w:tcW w:w="567" w:type="dxa"/>
            <w:vAlign w:val="center"/>
          </w:tcPr>
          <w:p w:rsidR="00D47D5E" w:rsidRPr="00893DA3" w:rsidRDefault="00D47D5E" w:rsidP="00D47D5E">
            <w:pPr>
              <w:pStyle w:val="4"/>
              <w:numPr>
                <w:ilvl w:val="0"/>
                <w:numId w:val="0"/>
              </w:numPr>
              <w:jc w:val="center"/>
              <w:outlineLvl w:val="3"/>
              <w:rPr>
                <w:sz w:val="24"/>
                <w:szCs w:val="24"/>
              </w:rPr>
            </w:pPr>
            <w:r w:rsidRPr="00893DA3">
              <w:rPr>
                <w:rFonts w:hint="eastAsia"/>
                <w:sz w:val="24"/>
                <w:szCs w:val="24"/>
              </w:rPr>
              <w:t>4</w:t>
            </w:r>
          </w:p>
        </w:tc>
        <w:tc>
          <w:tcPr>
            <w:tcW w:w="3290" w:type="dxa"/>
          </w:tcPr>
          <w:p w:rsidR="00D47D5E" w:rsidRPr="00893DA3" w:rsidRDefault="00D47D5E" w:rsidP="00AC0272">
            <w:pPr>
              <w:pStyle w:val="4"/>
              <w:numPr>
                <w:ilvl w:val="0"/>
                <w:numId w:val="0"/>
              </w:numPr>
              <w:outlineLvl w:val="3"/>
              <w:rPr>
                <w:sz w:val="24"/>
                <w:szCs w:val="24"/>
              </w:rPr>
            </w:pPr>
            <w:r>
              <w:rPr>
                <w:rFonts w:hint="eastAsia"/>
                <w:sz w:val="24"/>
                <w:szCs w:val="24"/>
              </w:rPr>
              <w:t>8部機運轉60年/境內處置</w:t>
            </w:r>
          </w:p>
        </w:tc>
        <w:tc>
          <w:tcPr>
            <w:tcW w:w="2268"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4,874.51</w:t>
            </w:r>
          </w:p>
        </w:tc>
        <w:tc>
          <w:tcPr>
            <w:tcW w:w="1843"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12,350.03</w:t>
            </w:r>
          </w:p>
        </w:tc>
        <w:tc>
          <w:tcPr>
            <w:tcW w:w="1785"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0.125</w:t>
            </w:r>
          </w:p>
        </w:tc>
      </w:tr>
      <w:tr w:rsidR="00D47D5E" w:rsidRPr="00893DA3" w:rsidTr="002024A7">
        <w:trPr>
          <w:jc w:val="center"/>
        </w:trPr>
        <w:tc>
          <w:tcPr>
            <w:tcW w:w="567" w:type="dxa"/>
            <w:vAlign w:val="center"/>
          </w:tcPr>
          <w:p w:rsidR="00D47D5E" w:rsidRPr="00893DA3" w:rsidRDefault="00D47D5E" w:rsidP="00D47D5E">
            <w:pPr>
              <w:pStyle w:val="4"/>
              <w:numPr>
                <w:ilvl w:val="0"/>
                <w:numId w:val="0"/>
              </w:numPr>
              <w:jc w:val="center"/>
              <w:outlineLvl w:val="3"/>
              <w:rPr>
                <w:sz w:val="24"/>
                <w:szCs w:val="24"/>
              </w:rPr>
            </w:pPr>
            <w:r w:rsidRPr="00893DA3">
              <w:rPr>
                <w:rFonts w:hint="eastAsia"/>
                <w:sz w:val="24"/>
                <w:szCs w:val="24"/>
              </w:rPr>
              <w:t>5</w:t>
            </w:r>
          </w:p>
        </w:tc>
        <w:tc>
          <w:tcPr>
            <w:tcW w:w="3290" w:type="dxa"/>
          </w:tcPr>
          <w:p w:rsidR="00D47D5E" w:rsidRPr="00893DA3" w:rsidRDefault="00D47D5E" w:rsidP="00AC0272">
            <w:pPr>
              <w:pStyle w:val="4"/>
              <w:numPr>
                <w:ilvl w:val="0"/>
                <w:numId w:val="0"/>
              </w:numPr>
              <w:outlineLvl w:val="3"/>
              <w:rPr>
                <w:sz w:val="24"/>
                <w:szCs w:val="24"/>
              </w:rPr>
            </w:pPr>
            <w:r>
              <w:rPr>
                <w:rFonts w:hint="eastAsia"/>
                <w:sz w:val="24"/>
                <w:szCs w:val="24"/>
              </w:rPr>
              <w:t>6部機運轉40年低放境內處置/高放境外處置</w:t>
            </w:r>
          </w:p>
        </w:tc>
        <w:tc>
          <w:tcPr>
            <w:tcW w:w="2268"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4,072.91</w:t>
            </w:r>
          </w:p>
        </w:tc>
        <w:tc>
          <w:tcPr>
            <w:tcW w:w="1843"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4,185.68</w:t>
            </w:r>
          </w:p>
        </w:tc>
        <w:tc>
          <w:tcPr>
            <w:tcW w:w="1785"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0.288</w:t>
            </w:r>
          </w:p>
        </w:tc>
      </w:tr>
      <w:tr w:rsidR="00D47D5E" w:rsidRPr="00893DA3" w:rsidTr="002024A7">
        <w:trPr>
          <w:jc w:val="center"/>
        </w:trPr>
        <w:tc>
          <w:tcPr>
            <w:tcW w:w="567" w:type="dxa"/>
            <w:vAlign w:val="center"/>
          </w:tcPr>
          <w:p w:rsidR="00D47D5E" w:rsidRPr="00893DA3" w:rsidRDefault="00D47D5E" w:rsidP="00D47D5E">
            <w:pPr>
              <w:pStyle w:val="4"/>
              <w:numPr>
                <w:ilvl w:val="0"/>
                <w:numId w:val="0"/>
              </w:numPr>
              <w:jc w:val="center"/>
              <w:outlineLvl w:val="3"/>
              <w:rPr>
                <w:sz w:val="24"/>
                <w:szCs w:val="24"/>
              </w:rPr>
            </w:pPr>
            <w:r w:rsidRPr="00893DA3">
              <w:rPr>
                <w:rFonts w:hint="eastAsia"/>
                <w:sz w:val="24"/>
                <w:szCs w:val="24"/>
              </w:rPr>
              <w:t>6</w:t>
            </w:r>
          </w:p>
        </w:tc>
        <w:tc>
          <w:tcPr>
            <w:tcW w:w="3290" w:type="dxa"/>
          </w:tcPr>
          <w:p w:rsidR="00D47D5E" w:rsidRPr="00893DA3" w:rsidRDefault="00D47D5E" w:rsidP="00D47D5E">
            <w:pPr>
              <w:pStyle w:val="4"/>
              <w:numPr>
                <w:ilvl w:val="0"/>
                <w:numId w:val="0"/>
              </w:numPr>
              <w:outlineLvl w:val="3"/>
              <w:rPr>
                <w:sz w:val="24"/>
                <w:szCs w:val="24"/>
              </w:rPr>
            </w:pPr>
            <w:r>
              <w:rPr>
                <w:rFonts w:hint="eastAsia"/>
                <w:sz w:val="24"/>
                <w:szCs w:val="24"/>
              </w:rPr>
              <w:t>6部機運轉40年/</w:t>
            </w:r>
            <w:r w:rsidRPr="00D47D5E">
              <w:rPr>
                <w:rFonts w:hint="eastAsia"/>
                <w:sz w:val="24"/>
                <w:szCs w:val="24"/>
              </w:rPr>
              <w:t>運轉廢棄物境外</w:t>
            </w:r>
            <w:r>
              <w:rPr>
                <w:rFonts w:hint="eastAsia"/>
                <w:sz w:val="24"/>
                <w:szCs w:val="24"/>
              </w:rPr>
              <w:t>、</w:t>
            </w:r>
            <w:r w:rsidRPr="00D47D5E">
              <w:rPr>
                <w:rFonts w:hint="eastAsia"/>
                <w:sz w:val="24"/>
                <w:szCs w:val="24"/>
              </w:rPr>
              <w:t>除役廢棄物境內</w:t>
            </w:r>
            <w:r>
              <w:rPr>
                <w:rFonts w:hint="eastAsia"/>
                <w:sz w:val="24"/>
                <w:szCs w:val="24"/>
              </w:rPr>
              <w:t>/高放境內處置</w:t>
            </w:r>
          </w:p>
        </w:tc>
        <w:tc>
          <w:tcPr>
            <w:tcW w:w="2268"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3,425.87</w:t>
            </w:r>
          </w:p>
        </w:tc>
        <w:tc>
          <w:tcPr>
            <w:tcW w:w="1843"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4,185.68</w:t>
            </w:r>
          </w:p>
        </w:tc>
        <w:tc>
          <w:tcPr>
            <w:tcW w:w="1785"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0.183</w:t>
            </w:r>
          </w:p>
        </w:tc>
      </w:tr>
      <w:tr w:rsidR="00D47D5E" w:rsidRPr="00893DA3" w:rsidTr="002024A7">
        <w:trPr>
          <w:jc w:val="center"/>
        </w:trPr>
        <w:tc>
          <w:tcPr>
            <w:tcW w:w="567" w:type="dxa"/>
            <w:vAlign w:val="center"/>
          </w:tcPr>
          <w:p w:rsidR="00D47D5E" w:rsidRPr="00893DA3" w:rsidRDefault="00D47D5E" w:rsidP="00D47D5E">
            <w:pPr>
              <w:pStyle w:val="4"/>
              <w:numPr>
                <w:ilvl w:val="0"/>
                <w:numId w:val="0"/>
              </w:numPr>
              <w:jc w:val="center"/>
              <w:outlineLvl w:val="3"/>
              <w:rPr>
                <w:sz w:val="24"/>
                <w:szCs w:val="24"/>
              </w:rPr>
            </w:pPr>
            <w:r w:rsidRPr="00893DA3">
              <w:rPr>
                <w:rFonts w:hint="eastAsia"/>
                <w:sz w:val="24"/>
                <w:szCs w:val="24"/>
              </w:rPr>
              <w:t>7</w:t>
            </w:r>
          </w:p>
        </w:tc>
        <w:tc>
          <w:tcPr>
            <w:tcW w:w="3290" w:type="dxa"/>
          </w:tcPr>
          <w:p w:rsidR="00D47D5E" w:rsidRPr="00893DA3" w:rsidRDefault="00D47D5E" w:rsidP="00AC0272">
            <w:pPr>
              <w:pStyle w:val="4"/>
              <w:numPr>
                <w:ilvl w:val="0"/>
                <w:numId w:val="0"/>
              </w:numPr>
              <w:outlineLvl w:val="3"/>
              <w:rPr>
                <w:sz w:val="24"/>
                <w:szCs w:val="24"/>
              </w:rPr>
            </w:pPr>
            <w:r>
              <w:rPr>
                <w:rFonts w:hint="eastAsia"/>
                <w:sz w:val="24"/>
                <w:szCs w:val="24"/>
              </w:rPr>
              <w:t>8部機運轉40年低放境內處置/高放境外處置</w:t>
            </w:r>
          </w:p>
        </w:tc>
        <w:tc>
          <w:tcPr>
            <w:tcW w:w="2268"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5,686.20</w:t>
            </w:r>
          </w:p>
        </w:tc>
        <w:tc>
          <w:tcPr>
            <w:tcW w:w="1843"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8,110.22</w:t>
            </w:r>
          </w:p>
        </w:tc>
        <w:tc>
          <w:tcPr>
            <w:tcW w:w="1785" w:type="dxa"/>
            <w:vAlign w:val="center"/>
          </w:tcPr>
          <w:p w:rsidR="00D47D5E" w:rsidRPr="00893DA3" w:rsidRDefault="00D47D5E" w:rsidP="00AC0272">
            <w:pPr>
              <w:pStyle w:val="4"/>
              <w:numPr>
                <w:ilvl w:val="0"/>
                <w:numId w:val="0"/>
              </w:numPr>
              <w:jc w:val="right"/>
              <w:outlineLvl w:val="3"/>
              <w:rPr>
                <w:sz w:val="24"/>
                <w:szCs w:val="24"/>
              </w:rPr>
            </w:pPr>
            <w:r>
              <w:rPr>
                <w:rFonts w:hint="eastAsia"/>
                <w:sz w:val="24"/>
                <w:szCs w:val="24"/>
              </w:rPr>
              <w:t>0.275</w:t>
            </w:r>
          </w:p>
        </w:tc>
      </w:tr>
    </w:tbl>
    <w:p w:rsidR="00D47D5E" w:rsidRPr="00D47D5E" w:rsidRDefault="00D47D5E" w:rsidP="00D47D5E">
      <w:pPr>
        <w:pStyle w:val="4"/>
        <w:widowControl/>
        <w:numPr>
          <w:ilvl w:val="0"/>
          <w:numId w:val="0"/>
        </w:numPr>
        <w:spacing w:line="240" w:lineRule="exact"/>
        <w:ind w:left="1741"/>
      </w:pPr>
    </w:p>
    <w:p w:rsidR="00D7627E" w:rsidRPr="00E103D5" w:rsidRDefault="009B1397" w:rsidP="00E07D39">
      <w:pPr>
        <w:pStyle w:val="4"/>
        <w:widowControl/>
        <w:numPr>
          <w:ilvl w:val="3"/>
          <w:numId w:val="5"/>
        </w:numPr>
      </w:pPr>
      <w:r>
        <w:rPr>
          <w:rFonts w:hint="eastAsia"/>
        </w:rPr>
        <w:t>建</w:t>
      </w:r>
      <w:r w:rsidRPr="009B1397">
        <w:rPr>
          <w:rFonts w:hAnsi="標楷體" w:hint="eastAsia"/>
          <w:bCs/>
          <w:kern w:val="0"/>
          <w:szCs w:val="28"/>
        </w:rPr>
        <w:t>議：分攤率受實質利率的影響相當大，國內</w:t>
      </w:r>
      <w:r w:rsidR="002024A7">
        <w:rPr>
          <w:rFonts w:hAnsi="標楷體" w:hint="eastAsia"/>
          <w:bCs/>
          <w:kern w:val="0"/>
          <w:szCs w:val="28"/>
        </w:rPr>
        <w:t>未來實質利率將逐漸下降，</w:t>
      </w:r>
      <w:r w:rsidRPr="009B1397">
        <w:rPr>
          <w:rFonts w:hAnsi="標楷體" w:hint="eastAsia"/>
          <w:bCs/>
          <w:kern w:val="0"/>
          <w:szCs w:val="28"/>
        </w:rPr>
        <w:t>選定何種物價上漲率</w:t>
      </w:r>
      <w:r w:rsidRPr="009B1397">
        <w:rPr>
          <w:rFonts w:hAnsi="標楷體" w:hint="eastAsia"/>
          <w:bCs/>
          <w:kern w:val="0"/>
          <w:szCs w:val="28"/>
        </w:rPr>
        <w:lastRenderedPageBreak/>
        <w:t>及折現率之組合實乃未來之重要課題。</w:t>
      </w:r>
      <w:r w:rsidRPr="009B1397">
        <w:rPr>
          <w:rFonts w:hAnsi="標楷體"/>
          <w:bCs/>
          <w:kern w:val="0"/>
          <w:szCs w:val="28"/>
        </w:rPr>
        <w:t>…</w:t>
      </w:r>
      <w:r w:rsidRPr="009B1397">
        <w:rPr>
          <w:rFonts w:hAnsi="標楷體" w:hint="eastAsia"/>
          <w:bCs/>
          <w:kern w:val="0"/>
          <w:szCs w:val="28"/>
        </w:rPr>
        <w:t>用過核子燃料再處理有可能成為以後趨勢，應多蒐集國外相關資料及進行相關研究以提高估算精準度，並列入估算情節。</w:t>
      </w:r>
      <w:r w:rsidRPr="009B1397">
        <w:rPr>
          <w:rFonts w:hAnsi="標楷體"/>
          <w:bCs/>
          <w:kern w:val="0"/>
          <w:szCs w:val="28"/>
        </w:rPr>
        <w:t>…</w:t>
      </w:r>
      <w:r w:rsidRPr="009B1397">
        <w:rPr>
          <w:rFonts w:hAnsi="標楷體" w:hint="eastAsia"/>
          <w:bCs/>
          <w:kern w:val="0"/>
          <w:szCs w:val="28"/>
        </w:rPr>
        <w:t>國際上將有更多核能電廠除役拆廠之實際經驗，屆時各項成本及費用估算將更務實。</w:t>
      </w:r>
      <w:r w:rsidRPr="009B1397">
        <w:rPr>
          <w:rFonts w:hAnsi="標楷體"/>
          <w:bCs/>
          <w:kern w:val="0"/>
          <w:szCs w:val="28"/>
        </w:rPr>
        <w:t>…</w:t>
      </w:r>
      <w:r w:rsidRPr="009B1397">
        <w:rPr>
          <w:rFonts w:hAnsi="標楷體" w:hint="eastAsia"/>
          <w:bCs/>
          <w:kern w:val="0"/>
          <w:szCs w:val="28"/>
        </w:rPr>
        <w:t>預備金(15%)是否合宜，宜朝合理保守方向寬列所需費用，以避免造成後代子孫負擔。</w:t>
      </w:r>
      <w:r w:rsidRPr="009B1397">
        <w:rPr>
          <w:rFonts w:hAnsi="標楷體"/>
          <w:bCs/>
          <w:kern w:val="0"/>
          <w:szCs w:val="28"/>
        </w:rPr>
        <w:t>…</w:t>
      </w:r>
      <w:r w:rsidRPr="009B1397">
        <w:rPr>
          <w:rFonts w:hAnsi="標楷體" w:hint="eastAsia"/>
          <w:bCs/>
          <w:kern w:val="0"/>
          <w:szCs w:val="28"/>
        </w:rPr>
        <w:t>檢討後端基金運用於</w:t>
      </w:r>
      <w:r w:rsidRPr="009B1397">
        <w:rPr>
          <w:rFonts w:hAnsi="標楷體"/>
          <w:bCs/>
          <w:kern w:val="0"/>
          <w:szCs w:val="28"/>
        </w:rPr>
        <w:t>監督與研發</w:t>
      </w:r>
      <w:r w:rsidRPr="009B1397">
        <w:rPr>
          <w:rFonts w:hAnsi="標楷體" w:hint="eastAsia"/>
          <w:bCs/>
          <w:kern w:val="0"/>
          <w:szCs w:val="28"/>
        </w:rPr>
        <w:t>之</w:t>
      </w:r>
      <w:r w:rsidRPr="009B1397">
        <w:rPr>
          <w:rFonts w:hAnsi="標楷體"/>
          <w:bCs/>
          <w:kern w:val="0"/>
          <w:szCs w:val="28"/>
        </w:rPr>
        <w:t>經費，</w:t>
      </w:r>
      <w:r w:rsidRPr="009B1397">
        <w:rPr>
          <w:rFonts w:hAnsi="標楷體" w:hint="eastAsia"/>
          <w:bCs/>
          <w:kern w:val="0"/>
          <w:szCs w:val="28"/>
        </w:rPr>
        <w:t>與國外相較，是否合理。公眾溝通及資訊透明工作日益重要，相關經費亦宜納入後端營運基金費用估算。</w:t>
      </w:r>
      <w:r w:rsidRPr="009B1397">
        <w:rPr>
          <w:rFonts w:hAnsi="標楷體"/>
          <w:bCs/>
          <w:kern w:val="0"/>
          <w:szCs w:val="28"/>
        </w:rPr>
        <w:t>…</w:t>
      </w:r>
      <w:r w:rsidRPr="009B1397">
        <w:rPr>
          <w:rFonts w:hAnsi="標楷體" w:hint="eastAsia"/>
          <w:bCs/>
          <w:kern w:val="0"/>
          <w:szCs w:val="28"/>
        </w:rPr>
        <w:t>宜審慎評估我國核能電廠是否均能維持高容量因素(89.41%)之運轉績效。應搜集其他國家作法中，是否有可行之保險或避險機制，以降低後端營運總費用的不確定性。</w:t>
      </w:r>
      <w:r w:rsidRPr="009B1397">
        <w:rPr>
          <w:rFonts w:hAnsi="標楷體"/>
          <w:bCs/>
          <w:kern w:val="0"/>
          <w:szCs w:val="28"/>
        </w:rPr>
        <w:t>…</w:t>
      </w:r>
      <w:r w:rsidRPr="009B1397">
        <w:rPr>
          <w:rFonts w:hAnsi="標楷體" w:hint="eastAsia"/>
          <w:bCs/>
          <w:kern w:val="0"/>
          <w:szCs w:val="28"/>
        </w:rPr>
        <w:t>未來若有情境變動致影響核能後端營運總費用及分攤率時，台電公司會立即因應，重新估算並及早送審。</w:t>
      </w:r>
    </w:p>
    <w:p w:rsidR="00E103D5" w:rsidRPr="008D584C" w:rsidRDefault="00AA63B9" w:rsidP="00E07D39">
      <w:pPr>
        <w:pStyle w:val="3"/>
        <w:widowControl/>
        <w:numPr>
          <w:ilvl w:val="2"/>
          <w:numId w:val="5"/>
        </w:numPr>
        <w:kinsoku/>
      </w:pPr>
      <w:r>
        <w:rPr>
          <w:rFonts w:hint="eastAsia"/>
        </w:rPr>
        <w:t>又本院邀請益鼎工程股份有限公司協助台電公司估算核能後端基金之專案經理到院諮詢表示：「</w:t>
      </w:r>
      <w:r w:rsidR="00CD746C" w:rsidRPr="00976508">
        <w:rPr>
          <w:rFonts w:hint="eastAsia"/>
          <w:szCs w:val="26"/>
        </w:rPr>
        <w:t>在做後端基金的時候，必須有一個參考情節，主方案是跟台電討論後確認的。中間有許多的假設，比如說折現率或物價上漲率如果變動，或者說那個項目早做、晚做，都會影響到分攤率，每度電可從0.17元甚至可以上修到1元，都有可能。</w:t>
      </w:r>
      <w:r w:rsidR="00645926" w:rsidRPr="00976508">
        <w:rPr>
          <w:rFonts w:hint="eastAsia"/>
          <w:bCs w:val="0"/>
        </w:rPr>
        <w:t>如果有公投不過、反核人士抵制種種情形，讓台電這些要做的設施做不下去，一直往後拖延，後端基金餘額會累積愈來愈多，未來分攤率反而會愈來愈低。</w:t>
      </w:r>
      <w:r w:rsidR="00CD746C" w:rsidRPr="00976508">
        <w:rPr>
          <w:rFonts w:hint="eastAsia"/>
          <w:szCs w:val="26"/>
        </w:rPr>
        <w:t>」</w:t>
      </w:r>
      <w:r w:rsidR="008D584C" w:rsidRPr="0055542D">
        <w:rPr>
          <w:rFonts w:hAnsi="標楷體"/>
          <w:szCs w:val="28"/>
        </w:rPr>
        <w:t>工業技術研究院綠能與環境研究所</w:t>
      </w:r>
      <w:r w:rsidR="008D584C" w:rsidRPr="0023028E">
        <w:rPr>
          <w:rFonts w:hAnsi="標楷體" w:hint="eastAsia"/>
          <w:szCs w:val="28"/>
        </w:rPr>
        <w:t>研究員</w:t>
      </w:r>
      <w:r w:rsidR="008D584C" w:rsidRPr="0023028E">
        <w:rPr>
          <w:rFonts w:hAnsi="標楷體"/>
          <w:szCs w:val="28"/>
        </w:rPr>
        <w:t>蕭國鑫</w:t>
      </w:r>
      <w:r w:rsidR="008D584C" w:rsidRPr="0023028E">
        <w:rPr>
          <w:rFonts w:hAnsi="標楷體" w:hint="eastAsia"/>
          <w:szCs w:val="28"/>
        </w:rPr>
        <w:t>之「</w:t>
      </w:r>
      <w:r w:rsidR="008D584C" w:rsidRPr="0023028E">
        <w:rPr>
          <w:rFonts w:hAnsi="標楷體"/>
          <w:szCs w:val="28"/>
        </w:rPr>
        <w:t>核能發電成本評估</w:t>
      </w:r>
      <w:r w:rsidR="008D584C" w:rsidRPr="0023028E">
        <w:rPr>
          <w:rFonts w:hAnsi="標楷體" w:hint="eastAsia"/>
          <w:szCs w:val="28"/>
        </w:rPr>
        <w:t>」一文略以：「</w:t>
      </w:r>
      <w:r w:rsidR="008D584C" w:rsidRPr="0023028E">
        <w:rPr>
          <w:lang w:val="zh-TW" w:bidi="sa-IN"/>
        </w:rPr>
        <w:t>考量核能發電成本時，</w:t>
      </w:r>
      <w:r w:rsidR="008D584C" w:rsidRPr="0023028E">
        <w:rPr>
          <w:lang w:bidi="sa-IN"/>
        </w:rPr>
        <w:t>歐盟國家會將</w:t>
      </w:r>
      <w:r w:rsidR="008D584C" w:rsidRPr="0023028E">
        <w:rPr>
          <w:lang w:val="zh-TW" w:bidi="sa-IN"/>
        </w:rPr>
        <w:t>公共健康與全球氣候暖化等核能發電</w:t>
      </w:r>
      <w:r w:rsidR="008D584C" w:rsidRPr="0023028E">
        <w:rPr>
          <w:rFonts w:hint="eastAsia"/>
          <w:lang w:val="zh-TW" w:bidi="sa-IN"/>
        </w:rPr>
        <w:t>的</w:t>
      </w:r>
      <w:r w:rsidR="008D584C" w:rsidRPr="0023028E">
        <w:rPr>
          <w:lang w:val="zh-TW" w:bidi="sa-IN"/>
        </w:rPr>
        <w:t>外部成本納入考量，</w:t>
      </w:r>
      <w:r w:rsidR="008D584C" w:rsidRPr="0023028E">
        <w:rPr>
          <w:rFonts w:hint="eastAsia"/>
          <w:lang w:val="zh-TW" w:bidi="sa-IN"/>
        </w:rPr>
        <w:t>另</w:t>
      </w:r>
      <w:r w:rsidR="008D584C" w:rsidRPr="0023028E">
        <w:rPr>
          <w:lang w:val="zh-TW" w:bidi="sa-IN"/>
        </w:rPr>
        <w:t>日本在福島核災後，亦</w:t>
      </w:r>
      <w:r w:rsidR="008D584C" w:rsidRPr="0023028E">
        <w:rPr>
          <w:lang w:val="zh-TW" w:bidi="sa-IN"/>
        </w:rPr>
        <w:lastRenderedPageBreak/>
        <w:t>將可能發生核災事</w:t>
      </w:r>
      <w:r w:rsidR="008D584C" w:rsidRPr="0023028E">
        <w:rPr>
          <w:rFonts w:hint="eastAsia"/>
          <w:lang w:val="zh-TW" w:bidi="sa-IN"/>
        </w:rPr>
        <w:t>故</w:t>
      </w:r>
      <w:r w:rsidR="008D584C" w:rsidRPr="0023028E">
        <w:rPr>
          <w:lang w:val="zh-TW" w:bidi="sa-IN"/>
        </w:rPr>
        <w:t>的成本納入</w:t>
      </w:r>
      <w:r w:rsidR="008D584C" w:rsidRPr="0023028E">
        <w:rPr>
          <w:rFonts w:hint="eastAsia"/>
          <w:lang w:val="zh-TW" w:bidi="sa-IN"/>
        </w:rPr>
        <w:t>，</w:t>
      </w:r>
      <w:r w:rsidR="008D584C" w:rsidRPr="0023028E">
        <w:rPr>
          <w:lang w:val="zh-TW" w:bidi="sa-IN"/>
        </w:rPr>
        <w:t>我國的地理環境與日本較為近似，所以亦可考量</w:t>
      </w:r>
      <w:r w:rsidR="008D584C" w:rsidRPr="0023028E">
        <w:rPr>
          <w:rFonts w:hint="eastAsia"/>
          <w:lang w:val="zh-TW" w:bidi="sa-IN"/>
        </w:rPr>
        <w:t>將</w:t>
      </w:r>
      <w:r w:rsidR="008D584C" w:rsidRPr="0023028E">
        <w:rPr>
          <w:lang w:val="zh-TW" w:bidi="sa-IN"/>
        </w:rPr>
        <w:t>可能發生核災的意外成本納入發電成本中。</w:t>
      </w:r>
      <w:r w:rsidR="008D584C" w:rsidRPr="00E42AEE">
        <w:rPr>
          <w:bCs w:val="0"/>
          <w:color w:val="000000"/>
        </w:rPr>
        <w:t>營運成本</w:t>
      </w:r>
      <w:r w:rsidR="008D584C" w:rsidRPr="00E42AEE">
        <w:rPr>
          <w:rFonts w:hint="eastAsia"/>
          <w:bCs w:val="0"/>
          <w:color w:val="000000"/>
        </w:rPr>
        <w:t>部分，</w:t>
      </w:r>
      <w:r w:rsidR="008D584C" w:rsidRPr="00571078">
        <w:t>歐盟國家特別注意火力發電所排放的懸浮微粒與溫室氣體排放，會造成龐大的公共健康與氣候暖化現象</w:t>
      </w:r>
      <w:r w:rsidR="008D584C">
        <w:rPr>
          <w:rFonts w:hint="eastAsia"/>
        </w:rPr>
        <w:t>，而</w:t>
      </w:r>
      <w:r w:rsidR="008D584C" w:rsidRPr="00571078">
        <w:t>歐盟各主要國家核能發電之平均外部成本約在0.16~0.30元/度</w:t>
      </w:r>
      <w:r w:rsidR="008D584C">
        <w:rPr>
          <w:rFonts w:hint="eastAsia"/>
        </w:rPr>
        <w:t>，</w:t>
      </w:r>
      <w:r w:rsidR="008D584C" w:rsidRPr="00571078">
        <w:t>此部分我國</w:t>
      </w:r>
      <w:r w:rsidR="008D584C">
        <w:rPr>
          <w:rFonts w:hint="eastAsia"/>
        </w:rPr>
        <w:t>並未列入</w:t>
      </w:r>
      <w:r w:rsidR="008D584C" w:rsidRPr="00571078">
        <w:t>核能發電成本中。</w:t>
      </w:r>
      <w:r w:rsidR="008D584C" w:rsidRPr="00921D16">
        <w:t>完全除役費用</w:t>
      </w:r>
      <w:r w:rsidR="008D584C" w:rsidRPr="00921D16">
        <w:rPr>
          <w:rFonts w:hint="eastAsia"/>
        </w:rPr>
        <w:t>部分，</w:t>
      </w:r>
      <w:r w:rsidR="008D584C">
        <w:rPr>
          <w:rFonts w:hint="eastAsia"/>
        </w:rPr>
        <w:t>此為</w:t>
      </w:r>
      <w:r w:rsidR="008D584C" w:rsidRPr="00571078">
        <w:t>成本中最大者，且</w:t>
      </w:r>
      <w:r w:rsidR="008D584C">
        <w:t>難以確切推估</w:t>
      </w:r>
      <w:r w:rsidR="008D584C" w:rsidRPr="00571078">
        <w:rPr>
          <w:lang w:bidi="sa-IN"/>
        </w:rPr>
        <w:t>。</w:t>
      </w:r>
      <w:r w:rsidR="008D584C" w:rsidRPr="00821897">
        <w:t>我國評估核能發電成本，若再審慎考慮核電廠本身的除役費用及永久儲存場的設置、核災事故成本等，則推估費用可能會往上增加</w:t>
      </w:r>
      <w:r w:rsidR="008D584C">
        <w:rPr>
          <w:rFonts w:hint="eastAsia"/>
        </w:rPr>
        <w:t>。</w:t>
      </w:r>
      <w:r w:rsidR="008D584C" w:rsidRPr="0055542D">
        <w:rPr>
          <w:rFonts w:hAnsi="標楷體" w:hint="eastAsia"/>
          <w:szCs w:val="28"/>
        </w:rPr>
        <w:t>」</w:t>
      </w:r>
      <w:r w:rsidR="00AC0272" w:rsidRPr="00976508">
        <w:rPr>
          <w:rFonts w:hint="eastAsia"/>
          <w:szCs w:val="26"/>
        </w:rPr>
        <w:t>台</w:t>
      </w:r>
      <w:r w:rsidR="00AC0272" w:rsidRPr="00976508">
        <w:rPr>
          <w:rFonts w:hAnsi="標楷體" w:hint="eastAsia"/>
          <w:szCs w:val="28"/>
        </w:rPr>
        <w:t>電公司核能後端營運處</w:t>
      </w:r>
      <w:r w:rsidR="00AC0272" w:rsidRPr="00976508">
        <w:rPr>
          <w:rFonts w:hint="eastAsia"/>
          <w:bCs w:val="0"/>
        </w:rPr>
        <w:t>人員</w:t>
      </w:r>
      <w:r w:rsidR="00AC0272">
        <w:rPr>
          <w:rFonts w:hint="eastAsia"/>
        </w:rPr>
        <w:t>於本院約詢時陳稱：「</w:t>
      </w:r>
      <w:r w:rsidR="00AC0272" w:rsidRPr="00976508">
        <w:rPr>
          <w:rFonts w:hint="eastAsia"/>
          <w:bCs w:val="0"/>
        </w:rPr>
        <w:t>有關核能後端費用之計算，是先擬</w:t>
      </w:r>
      <w:r w:rsidR="00AC0272" w:rsidRPr="008D584C">
        <w:rPr>
          <w:rFonts w:hint="eastAsia"/>
          <w:bCs w:val="0"/>
        </w:rPr>
        <w:t>出各種基本情節，再以工程</w:t>
      </w:r>
      <w:r w:rsidR="00E2346B">
        <w:rPr>
          <w:rFonts w:hint="eastAsia"/>
          <w:bCs w:val="0"/>
        </w:rPr>
        <w:t>的</w:t>
      </w:r>
      <w:r w:rsidR="00AC0272" w:rsidRPr="008D584C">
        <w:rPr>
          <w:rFonts w:hint="eastAsia"/>
          <w:bCs w:val="0"/>
        </w:rPr>
        <w:t>角度來估算出成本。</w:t>
      </w:r>
      <w:r w:rsidR="00AC0272" w:rsidRPr="008D584C">
        <w:rPr>
          <w:rFonts w:hint="eastAsia"/>
        </w:rPr>
        <w:t>」</w:t>
      </w:r>
      <w:r w:rsidR="008D584C" w:rsidRPr="008D584C">
        <w:rPr>
          <w:rFonts w:hAnsi="標楷體" w:hint="eastAsia"/>
          <w:szCs w:val="28"/>
        </w:rPr>
        <w:t>然</w:t>
      </w:r>
      <w:r w:rsidR="004F109A" w:rsidRPr="008D584C">
        <w:rPr>
          <w:rFonts w:hAnsi="標楷體" w:hint="eastAsia"/>
          <w:szCs w:val="28"/>
        </w:rPr>
        <w:t>對於核能後端營運費用之估算，</w:t>
      </w:r>
      <w:r w:rsidR="00E103D5" w:rsidRPr="008D584C">
        <w:rPr>
          <w:rFonts w:hAnsi="標楷體" w:hint="eastAsia"/>
          <w:szCs w:val="28"/>
        </w:rPr>
        <w:t>台電公司依據經濟部100年3月7日核示：「應每隔</w:t>
      </w:r>
      <w:r w:rsidR="004F109A" w:rsidRPr="008D584C">
        <w:rPr>
          <w:rFonts w:hAnsi="標楷體" w:hint="eastAsia"/>
          <w:szCs w:val="28"/>
        </w:rPr>
        <w:t>5</w:t>
      </w:r>
      <w:r w:rsidR="00E103D5" w:rsidRPr="008D584C">
        <w:rPr>
          <w:rFonts w:hAnsi="標楷體" w:hint="eastAsia"/>
          <w:szCs w:val="28"/>
        </w:rPr>
        <w:t>年或情勢有重大變動時，進行重新估算」，該公司已開始著手進行核能後端營運總費用每度核能發電分攤率重新估算之作業，將參照目前所規劃之後端營運工作策略及執行現況，對後端營運之方式、時程及其他有關因子(如擬採用之折現率、匯率、物價調整指數等)</w:t>
      </w:r>
      <w:r w:rsidR="001C6C0A" w:rsidRPr="008D584C">
        <w:rPr>
          <w:rFonts w:hAnsi="標楷體" w:hint="eastAsia"/>
          <w:szCs w:val="28"/>
        </w:rPr>
        <w:t>進行</w:t>
      </w:r>
      <w:r w:rsidR="00E103D5" w:rsidRPr="008D584C">
        <w:rPr>
          <w:rFonts w:hAnsi="標楷體" w:hint="eastAsia"/>
          <w:szCs w:val="28"/>
        </w:rPr>
        <w:t>合理而必要之情節假設，作為後續估算之基礎，預計於104年6月底前報</w:t>
      </w:r>
      <w:r w:rsidR="001C6C0A" w:rsidRPr="008D584C">
        <w:rPr>
          <w:rFonts w:hAnsi="標楷體" w:hint="eastAsia"/>
          <w:szCs w:val="28"/>
        </w:rPr>
        <w:t>經濟</w:t>
      </w:r>
      <w:r w:rsidR="00E103D5" w:rsidRPr="008D584C">
        <w:rPr>
          <w:rFonts w:hAnsi="標楷體" w:hint="eastAsia"/>
          <w:szCs w:val="28"/>
        </w:rPr>
        <w:t>部核定。</w:t>
      </w:r>
    </w:p>
    <w:p w:rsidR="00E103D5" w:rsidRPr="00E103D5" w:rsidRDefault="008D584C" w:rsidP="00E07D39">
      <w:pPr>
        <w:pStyle w:val="3"/>
        <w:widowControl/>
        <w:numPr>
          <w:ilvl w:val="2"/>
          <w:numId w:val="5"/>
        </w:numPr>
        <w:kinsoku/>
      </w:pPr>
      <w:r>
        <w:rPr>
          <w:rFonts w:hAnsi="標楷體" w:hint="eastAsia"/>
          <w:szCs w:val="28"/>
        </w:rPr>
        <w:t>再查</w:t>
      </w:r>
      <w:r w:rsidR="00E103D5" w:rsidRPr="00CE3F27">
        <w:rPr>
          <w:rFonts w:hAnsi="標楷體"/>
          <w:szCs w:val="28"/>
        </w:rPr>
        <w:t>國際上對用過核子燃料或高放射性廢棄物最終處置技術經多年研發，技術已臻成熟，惟因其選址及開發所需時間較長，國際上核能發電國家均採放射性廢棄物處置計畫與核電廠運轉平行推動的方式辦理</w:t>
      </w:r>
      <w:r w:rsidR="00E103D5" w:rsidRPr="008A73EE">
        <w:rPr>
          <w:rFonts w:hAnsi="標楷體" w:hint="eastAsia"/>
          <w:szCs w:val="28"/>
        </w:rPr>
        <w:t>。國際原子能總署(IAEA)於2001年針對各國執行中之高放射性廢棄物最終處置計畫，建議採深層地質處置方式。</w:t>
      </w:r>
      <w:r>
        <w:rPr>
          <w:rFonts w:hAnsi="標楷體" w:hint="eastAsia"/>
          <w:szCs w:val="28"/>
        </w:rPr>
        <w:t>依據經濟部查復本院之資料</w:t>
      </w:r>
      <w:r w:rsidRPr="00CE3F27">
        <w:rPr>
          <w:rFonts w:hAnsi="標楷體"/>
          <w:szCs w:val="28"/>
        </w:rPr>
        <w:t>，</w:t>
      </w:r>
      <w:r w:rsidR="00E103D5" w:rsidRPr="00E103D5">
        <w:rPr>
          <w:rFonts w:hint="eastAsia"/>
        </w:rPr>
        <w:lastRenderedPageBreak/>
        <w:t>目前國際主要核能國家高放射性廢棄物(含用過核子燃料)最終處置場最新進展如下：</w:t>
      </w:r>
    </w:p>
    <w:p w:rsidR="00E103D5" w:rsidRPr="00E103D5" w:rsidRDefault="00E103D5" w:rsidP="00E07D39">
      <w:pPr>
        <w:pStyle w:val="4"/>
        <w:widowControl/>
        <w:numPr>
          <w:ilvl w:val="3"/>
          <w:numId w:val="5"/>
        </w:numPr>
      </w:pPr>
      <w:r w:rsidRPr="00E103D5">
        <w:rPr>
          <w:rFonts w:hint="eastAsia"/>
        </w:rPr>
        <w:t>芬蘭及瑞典已分別經過民眾公投決定最終處置場址，並已提出建照申請，並分別規劃於2020年及2025年完成最終處置設施建造。</w:t>
      </w:r>
    </w:p>
    <w:p w:rsidR="00E103D5" w:rsidRPr="00E103D5" w:rsidRDefault="00E103D5" w:rsidP="00E07D39">
      <w:pPr>
        <w:pStyle w:val="4"/>
        <w:widowControl/>
        <w:numPr>
          <w:ilvl w:val="3"/>
          <w:numId w:val="5"/>
        </w:numPr>
      </w:pPr>
      <w:r w:rsidRPr="00E103D5">
        <w:t>法國規劃於2025年完成最終處置設施的建造</w:t>
      </w:r>
      <w:r w:rsidR="008D584C" w:rsidRPr="00E103D5">
        <w:rPr>
          <w:rFonts w:hint="eastAsia"/>
        </w:rPr>
        <w:t>，</w:t>
      </w:r>
      <w:r w:rsidRPr="00E103D5">
        <w:t>規劃於</w:t>
      </w:r>
      <w:r w:rsidR="008D584C" w:rsidRPr="00E103D5">
        <w:t>2013</w:t>
      </w:r>
      <w:r w:rsidRPr="00E103D5">
        <w:t>年開始展開建議地區(Meuse)</w:t>
      </w:r>
      <w:r w:rsidR="008D584C">
        <w:rPr>
          <w:rFonts w:hint="eastAsia"/>
        </w:rPr>
        <w:t>之</w:t>
      </w:r>
      <w:r w:rsidRPr="00E103D5">
        <w:t>民眾溝通作業，若無法取得同意，則後續可能需重新調整規劃期程</w:t>
      </w:r>
      <w:r w:rsidRPr="00E103D5">
        <w:rPr>
          <w:rFonts w:hint="eastAsia"/>
        </w:rPr>
        <w:t>。</w:t>
      </w:r>
    </w:p>
    <w:p w:rsidR="00E103D5" w:rsidRPr="00E103D5" w:rsidRDefault="00E103D5" w:rsidP="00E07D39">
      <w:pPr>
        <w:pStyle w:val="4"/>
        <w:widowControl/>
        <w:numPr>
          <w:ilvl w:val="3"/>
          <w:numId w:val="5"/>
        </w:numPr>
      </w:pPr>
      <w:r w:rsidRPr="00E103D5">
        <w:rPr>
          <w:rFonts w:hint="eastAsia"/>
        </w:rPr>
        <w:t>美國Yucca Mountain計畫歷經數十年調查研究後，於2006年提出建照申請，原預訂於2017年完成用過核子燃料最終處置設施建造，</w:t>
      </w:r>
      <w:r w:rsidR="008D584C">
        <w:rPr>
          <w:rFonts w:hint="eastAsia"/>
        </w:rPr>
        <w:t>惟</w:t>
      </w:r>
      <w:r w:rsidRPr="00E103D5">
        <w:rPr>
          <w:rFonts w:hint="eastAsia"/>
        </w:rPr>
        <w:t>2010年美國歐巴馬總統上任後停止該計畫，並撤回建照申請</w:t>
      </w:r>
      <w:r w:rsidR="008D584C" w:rsidRPr="00E103D5">
        <w:rPr>
          <w:rFonts w:hint="eastAsia"/>
        </w:rPr>
        <w:t>，</w:t>
      </w:r>
      <w:r w:rsidRPr="00E103D5">
        <w:rPr>
          <w:rFonts w:hint="eastAsia"/>
        </w:rPr>
        <w:t>2013年宣告最終處置設施由2017年展延至2048年啟用。</w:t>
      </w:r>
      <w:r w:rsidR="008D584C" w:rsidRPr="00E103D5">
        <w:rPr>
          <w:rFonts w:hint="eastAsia"/>
        </w:rPr>
        <w:t>另位於新墨西哥州Carlsbad之聯邦廢棄物隔離先導廠(WIPP)已於1999年3月26日正式運轉，主要處置國防工業所產生之放射性廢棄物，</w:t>
      </w:r>
      <w:r w:rsidR="00E2346B">
        <w:rPr>
          <w:rFonts w:hint="eastAsia"/>
        </w:rPr>
        <w:t>其</w:t>
      </w:r>
      <w:r w:rsidR="002817DA" w:rsidRPr="00E103D5">
        <w:rPr>
          <w:rFonts w:hint="eastAsia"/>
        </w:rPr>
        <w:t>經</w:t>
      </w:r>
      <w:r w:rsidR="008D584C" w:rsidRPr="00E103D5">
        <w:rPr>
          <w:rFonts w:hint="eastAsia"/>
        </w:rPr>
        <w:t>由美國科學院專家學者所組成之審查小組，</w:t>
      </w:r>
      <w:r w:rsidR="002817DA">
        <w:rPr>
          <w:rFonts w:hint="eastAsia"/>
        </w:rPr>
        <w:t>兩</w:t>
      </w:r>
      <w:r w:rsidR="008D584C" w:rsidRPr="00E103D5">
        <w:rPr>
          <w:rFonts w:hint="eastAsia"/>
        </w:rPr>
        <w:t>次對</w:t>
      </w:r>
      <w:r w:rsidR="002817DA">
        <w:rPr>
          <w:rFonts w:hint="eastAsia"/>
        </w:rPr>
        <w:t>其執行</w:t>
      </w:r>
      <w:r w:rsidR="008D584C" w:rsidRPr="00E103D5">
        <w:rPr>
          <w:rFonts w:hint="eastAsia"/>
        </w:rPr>
        <w:t>安全檢查，證明深層地質處置</w:t>
      </w:r>
      <w:r w:rsidR="002817DA">
        <w:rPr>
          <w:rFonts w:hint="eastAsia"/>
        </w:rPr>
        <w:t>係</w:t>
      </w:r>
      <w:r w:rsidR="008D584C" w:rsidRPr="00E103D5">
        <w:rPr>
          <w:rFonts w:hint="eastAsia"/>
        </w:rPr>
        <w:t>安全隔離高放射性廢棄物之可行方式。</w:t>
      </w:r>
    </w:p>
    <w:p w:rsidR="00E103D5" w:rsidRPr="00E103D5" w:rsidRDefault="00E103D5" w:rsidP="00E07D39">
      <w:pPr>
        <w:pStyle w:val="4"/>
        <w:widowControl/>
        <w:numPr>
          <w:ilvl w:val="3"/>
          <w:numId w:val="5"/>
        </w:numPr>
      </w:pPr>
      <w:r w:rsidRPr="00E103D5">
        <w:rPr>
          <w:rFonts w:hint="eastAsia"/>
        </w:rPr>
        <w:t>日本原預計於2008年前進行候選場址詳細調查作業，並於2037年前完成最終處置設施建造，</w:t>
      </w:r>
      <w:r w:rsidR="008D584C">
        <w:rPr>
          <w:rFonts w:hint="eastAsia"/>
        </w:rPr>
        <w:t>惟</w:t>
      </w:r>
      <w:r w:rsidRPr="00E103D5">
        <w:rPr>
          <w:rFonts w:hint="eastAsia"/>
        </w:rPr>
        <w:t>尚未展開初步調查區域之地表調查與評選，</w:t>
      </w:r>
      <w:r w:rsidR="008D584C" w:rsidRPr="00E103D5">
        <w:rPr>
          <w:rFonts w:hint="eastAsia"/>
        </w:rPr>
        <w:t>目前進度已落後，</w:t>
      </w:r>
      <w:r w:rsidR="008D584C">
        <w:rPr>
          <w:rFonts w:hint="eastAsia"/>
        </w:rPr>
        <w:t>後續可能需重新調整期程</w:t>
      </w:r>
      <w:r w:rsidRPr="00E103D5">
        <w:rPr>
          <w:rFonts w:hint="eastAsia"/>
        </w:rPr>
        <w:t>。</w:t>
      </w:r>
    </w:p>
    <w:p w:rsidR="00E103D5" w:rsidRPr="00E103D5" w:rsidRDefault="00E103D5" w:rsidP="00E07D39">
      <w:pPr>
        <w:pStyle w:val="4"/>
        <w:widowControl/>
        <w:numPr>
          <w:ilvl w:val="3"/>
          <w:numId w:val="5"/>
        </w:numPr>
      </w:pPr>
      <w:r w:rsidRPr="00E103D5">
        <w:rPr>
          <w:rFonts w:hint="eastAsia"/>
        </w:rPr>
        <w:t>德國雖規劃於2035年完成最終處置設施建</w:t>
      </w:r>
      <w:r w:rsidR="008D584C">
        <w:rPr>
          <w:rFonts w:hint="eastAsia"/>
        </w:rPr>
        <w:t>造，但至今尚未決定候選調查區域或場址，後續可能需重新調整期程</w:t>
      </w:r>
      <w:r w:rsidRPr="00E103D5">
        <w:rPr>
          <w:rFonts w:hint="eastAsia"/>
        </w:rPr>
        <w:t>。</w:t>
      </w:r>
    </w:p>
    <w:p w:rsidR="00E103D5" w:rsidRPr="00E103D5" w:rsidRDefault="00E103D5" w:rsidP="00E07D39">
      <w:pPr>
        <w:pStyle w:val="4"/>
        <w:widowControl/>
        <w:numPr>
          <w:ilvl w:val="3"/>
          <w:numId w:val="5"/>
        </w:numPr>
      </w:pPr>
      <w:r w:rsidRPr="00E103D5">
        <w:rPr>
          <w:rFonts w:hint="eastAsia"/>
        </w:rPr>
        <w:t>中國、瑞士、英國、加拿大尚處於文獻調查階段；中國預定於2050年、瑞士預定於2040至2050</w:t>
      </w:r>
      <w:r w:rsidRPr="00E103D5">
        <w:rPr>
          <w:rFonts w:hint="eastAsia"/>
        </w:rPr>
        <w:lastRenderedPageBreak/>
        <w:t>年間完成最終處置設施建造；加拿大及英國</w:t>
      </w:r>
      <w:r w:rsidR="008D584C">
        <w:rPr>
          <w:rFonts w:hint="eastAsia"/>
        </w:rPr>
        <w:t>則</w:t>
      </w:r>
      <w:r w:rsidRPr="00E103D5">
        <w:rPr>
          <w:rFonts w:hint="eastAsia"/>
        </w:rPr>
        <w:t>尚無放射性廢棄物長程處置之明確期程。</w:t>
      </w:r>
    </w:p>
    <w:p w:rsidR="00E103D5" w:rsidRPr="00E103D5" w:rsidRDefault="008D584C" w:rsidP="00E07D39">
      <w:pPr>
        <w:pStyle w:val="4"/>
        <w:widowControl/>
        <w:numPr>
          <w:ilvl w:val="3"/>
          <w:numId w:val="5"/>
        </w:numPr>
      </w:pPr>
      <w:r>
        <w:rPr>
          <w:rFonts w:hint="eastAsia"/>
        </w:rPr>
        <w:t>西班牙、比利時、韓國</w:t>
      </w:r>
      <w:r w:rsidR="00E103D5" w:rsidRPr="00E103D5">
        <w:rPr>
          <w:rFonts w:hint="eastAsia"/>
        </w:rPr>
        <w:t>仍處於方針檢討階段；西班牙最終處置決策在2025至2040</w:t>
      </w:r>
      <w:r>
        <w:rPr>
          <w:rFonts w:hint="eastAsia"/>
        </w:rPr>
        <w:t>年始能定案，其</w:t>
      </w:r>
      <w:r w:rsidR="00E103D5" w:rsidRPr="00E103D5">
        <w:rPr>
          <w:rFonts w:hint="eastAsia"/>
        </w:rPr>
        <w:t>後</w:t>
      </w:r>
      <w:r>
        <w:rPr>
          <w:rFonts w:hint="eastAsia"/>
        </w:rPr>
        <w:t>再</w:t>
      </w:r>
      <w:r w:rsidR="00E103D5" w:rsidRPr="00E103D5">
        <w:rPr>
          <w:rFonts w:hint="eastAsia"/>
        </w:rPr>
        <w:t>進行相關之場址特性調查。</w:t>
      </w:r>
    </w:p>
    <w:p w:rsidR="000251A4" w:rsidRDefault="00E66460" w:rsidP="00E07D39">
      <w:pPr>
        <w:pStyle w:val="4"/>
        <w:widowControl/>
        <w:numPr>
          <w:ilvl w:val="3"/>
          <w:numId w:val="5"/>
        </w:numPr>
      </w:pPr>
      <w:r>
        <w:rPr>
          <w:rFonts w:hint="eastAsia"/>
        </w:rPr>
        <w:t>經台電公司彙整全球</w:t>
      </w:r>
      <w:r w:rsidRPr="00EA1E7D">
        <w:rPr>
          <w:rFonts w:hint="eastAsia"/>
        </w:rPr>
        <w:t>其他主要核能國家</w:t>
      </w:r>
      <w:r w:rsidRPr="00E103D5">
        <w:rPr>
          <w:rFonts w:hint="eastAsia"/>
        </w:rPr>
        <w:t>之</w:t>
      </w:r>
      <w:r w:rsidRPr="00EA1E7D">
        <w:rPr>
          <w:rFonts w:hint="eastAsia"/>
        </w:rPr>
        <w:t>每度核能發電分攤率</w:t>
      </w:r>
      <w:r w:rsidRPr="00E103D5">
        <w:rPr>
          <w:rFonts w:hint="eastAsia"/>
        </w:rPr>
        <w:t>如下：</w:t>
      </w:r>
    </w:p>
    <w:tbl>
      <w:tblPr>
        <w:tblStyle w:val="af5"/>
        <w:tblW w:w="5290" w:type="pct"/>
        <w:tblInd w:w="250" w:type="dxa"/>
        <w:tblLook w:val="04A0"/>
      </w:tblPr>
      <w:tblGrid>
        <w:gridCol w:w="1404"/>
        <w:gridCol w:w="1168"/>
        <w:gridCol w:w="1170"/>
        <w:gridCol w:w="1169"/>
        <w:gridCol w:w="1169"/>
        <w:gridCol w:w="1169"/>
        <w:gridCol w:w="1169"/>
        <w:gridCol w:w="1167"/>
      </w:tblGrid>
      <w:tr w:rsidR="00E66460" w:rsidRPr="00B65F11" w:rsidTr="00E66460">
        <w:tc>
          <w:tcPr>
            <w:tcW w:w="732" w:type="pct"/>
          </w:tcPr>
          <w:p w:rsidR="00E66460" w:rsidRPr="00B65F11" w:rsidRDefault="000251A4" w:rsidP="00616B62">
            <w:pPr>
              <w:overflowPunct w:val="0"/>
              <w:snapToGrid w:val="0"/>
              <w:spacing w:line="240" w:lineRule="exact"/>
              <w:jc w:val="center"/>
              <w:rPr>
                <w:rFonts w:ascii="標楷體" w:hAnsi="標楷體"/>
                <w:sz w:val="24"/>
                <w:szCs w:val="24"/>
              </w:rPr>
            </w:pPr>
            <w:r>
              <w:br w:type="page"/>
            </w:r>
            <w:r w:rsidR="00E66460">
              <w:rPr>
                <w:rFonts w:ascii="標楷體" w:hAnsi="標楷體" w:hint="eastAsia"/>
                <w:sz w:val="24"/>
                <w:szCs w:val="24"/>
              </w:rPr>
              <w:t>國家</w:t>
            </w:r>
          </w:p>
        </w:tc>
        <w:tc>
          <w:tcPr>
            <w:tcW w:w="609" w:type="pct"/>
            <w:vAlign w:val="center"/>
          </w:tcPr>
          <w:p w:rsidR="00E66460" w:rsidRPr="00B65F11" w:rsidRDefault="00E66460" w:rsidP="00616B62">
            <w:pPr>
              <w:overflowPunct w:val="0"/>
              <w:snapToGrid w:val="0"/>
              <w:spacing w:line="240" w:lineRule="exact"/>
              <w:jc w:val="center"/>
              <w:rPr>
                <w:rFonts w:ascii="標楷體" w:hAnsi="標楷體"/>
                <w:spacing w:val="-16"/>
                <w:sz w:val="24"/>
                <w:szCs w:val="24"/>
              </w:rPr>
            </w:pPr>
            <w:r w:rsidRPr="00B65F11">
              <w:rPr>
                <w:rFonts w:ascii="標楷體" w:hAnsi="標楷體" w:hint="eastAsia"/>
                <w:spacing w:val="-16"/>
                <w:sz w:val="24"/>
                <w:szCs w:val="24"/>
              </w:rPr>
              <w:t>美國</w:t>
            </w:r>
          </w:p>
        </w:tc>
        <w:tc>
          <w:tcPr>
            <w:tcW w:w="610" w:type="pct"/>
            <w:vAlign w:val="center"/>
          </w:tcPr>
          <w:p w:rsidR="00E66460" w:rsidRPr="00B65F11" w:rsidRDefault="00E66460" w:rsidP="00616B62">
            <w:pPr>
              <w:overflowPunct w:val="0"/>
              <w:snapToGrid w:val="0"/>
              <w:spacing w:line="240" w:lineRule="exact"/>
              <w:jc w:val="center"/>
              <w:rPr>
                <w:rFonts w:ascii="標楷體" w:hAnsi="標楷體"/>
                <w:spacing w:val="-16"/>
                <w:sz w:val="24"/>
                <w:szCs w:val="24"/>
              </w:rPr>
            </w:pPr>
            <w:r w:rsidRPr="00B65F11">
              <w:rPr>
                <w:rFonts w:ascii="標楷體" w:hAnsi="標楷體" w:hint="eastAsia"/>
                <w:spacing w:val="-16"/>
                <w:sz w:val="24"/>
                <w:szCs w:val="24"/>
              </w:rPr>
              <w:t>瑞典</w:t>
            </w:r>
          </w:p>
        </w:tc>
        <w:tc>
          <w:tcPr>
            <w:tcW w:w="610" w:type="pct"/>
            <w:vAlign w:val="center"/>
          </w:tcPr>
          <w:p w:rsidR="00E66460" w:rsidRPr="00B65F11" w:rsidRDefault="00E66460" w:rsidP="00616B62">
            <w:pPr>
              <w:overflowPunct w:val="0"/>
              <w:snapToGrid w:val="0"/>
              <w:spacing w:line="240" w:lineRule="exact"/>
              <w:jc w:val="center"/>
              <w:rPr>
                <w:rFonts w:ascii="標楷體" w:hAnsi="標楷體"/>
                <w:spacing w:val="-16"/>
                <w:sz w:val="24"/>
                <w:szCs w:val="24"/>
              </w:rPr>
            </w:pPr>
            <w:r w:rsidRPr="00B65F11">
              <w:rPr>
                <w:rFonts w:ascii="標楷體" w:hAnsi="標楷體" w:hint="eastAsia"/>
                <w:spacing w:val="-16"/>
                <w:sz w:val="24"/>
                <w:szCs w:val="24"/>
              </w:rPr>
              <w:t>瑞士</w:t>
            </w:r>
          </w:p>
        </w:tc>
        <w:tc>
          <w:tcPr>
            <w:tcW w:w="610" w:type="pct"/>
            <w:vAlign w:val="center"/>
          </w:tcPr>
          <w:p w:rsidR="00E66460" w:rsidRPr="00B65F11" w:rsidRDefault="00E66460" w:rsidP="00616B62">
            <w:pPr>
              <w:overflowPunct w:val="0"/>
              <w:snapToGrid w:val="0"/>
              <w:spacing w:line="240" w:lineRule="exact"/>
              <w:jc w:val="center"/>
              <w:rPr>
                <w:rFonts w:ascii="標楷體" w:hAnsi="標楷體"/>
                <w:spacing w:val="-16"/>
                <w:sz w:val="24"/>
                <w:szCs w:val="24"/>
              </w:rPr>
            </w:pPr>
            <w:r w:rsidRPr="00B65F11">
              <w:rPr>
                <w:rFonts w:ascii="標楷體" w:hAnsi="標楷體" w:hint="eastAsia"/>
                <w:spacing w:val="-16"/>
                <w:sz w:val="24"/>
                <w:szCs w:val="24"/>
              </w:rPr>
              <w:t>西班牙</w:t>
            </w:r>
          </w:p>
        </w:tc>
        <w:tc>
          <w:tcPr>
            <w:tcW w:w="610" w:type="pct"/>
            <w:vAlign w:val="center"/>
          </w:tcPr>
          <w:p w:rsidR="00E66460" w:rsidRPr="00B65F11" w:rsidRDefault="00E66460" w:rsidP="00616B62">
            <w:pPr>
              <w:overflowPunct w:val="0"/>
              <w:snapToGrid w:val="0"/>
              <w:spacing w:line="240" w:lineRule="exact"/>
              <w:jc w:val="center"/>
              <w:rPr>
                <w:rFonts w:ascii="標楷體" w:hAnsi="標楷體"/>
                <w:spacing w:val="-16"/>
                <w:sz w:val="24"/>
                <w:szCs w:val="24"/>
              </w:rPr>
            </w:pPr>
            <w:r w:rsidRPr="00B65F11">
              <w:rPr>
                <w:rFonts w:ascii="標楷體" w:hAnsi="標楷體" w:hint="eastAsia"/>
                <w:spacing w:val="-16"/>
                <w:sz w:val="24"/>
                <w:szCs w:val="24"/>
              </w:rPr>
              <w:t>芬蘭</w:t>
            </w:r>
          </w:p>
        </w:tc>
        <w:tc>
          <w:tcPr>
            <w:tcW w:w="610" w:type="pct"/>
          </w:tcPr>
          <w:p w:rsidR="00E66460" w:rsidRPr="00B65F11" w:rsidRDefault="00E66460" w:rsidP="00616B62">
            <w:pPr>
              <w:overflowPunct w:val="0"/>
              <w:snapToGrid w:val="0"/>
              <w:spacing w:line="240" w:lineRule="exact"/>
              <w:jc w:val="center"/>
              <w:rPr>
                <w:rFonts w:ascii="標楷體" w:hAnsi="標楷體"/>
                <w:spacing w:val="-16"/>
                <w:sz w:val="24"/>
                <w:szCs w:val="24"/>
              </w:rPr>
            </w:pPr>
            <w:r w:rsidRPr="00B65F11">
              <w:rPr>
                <w:rFonts w:ascii="標楷體" w:hAnsi="標楷體" w:hint="eastAsia"/>
                <w:spacing w:val="-16"/>
                <w:sz w:val="24"/>
                <w:szCs w:val="24"/>
              </w:rPr>
              <w:t>日本</w:t>
            </w:r>
          </w:p>
        </w:tc>
        <w:tc>
          <w:tcPr>
            <w:tcW w:w="609" w:type="pct"/>
            <w:vAlign w:val="center"/>
          </w:tcPr>
          <w:p w:rsidR="00E66460" w:rsidRPr="00B65F11" w:rsidRDefault="00E66460" w:rsidP="00616B62">
            <w:pPr>
              <w:overflowPunct w:val="0"/>
              <w:snapToGrid w:val="0"/>
              <w:spacing w:line="240" w:lineRule="exact"/>
              <w:jc w:val="center"/>
              <w:rPr>
                <w:rFonts w:ascii="標楷體" w:hAnsi="標楷體"/>
                <w:spacing w:val="-16"/>
                <w:sz w:val="24"/>
                <w:szCs w:val="24"/>
              </w:rPr>
            </w:pPr>
            <w:r>
              <w:rPr>
                <w:rFonts w:ascii="標楷體" w:hAnsi="標楷體" w:hint="eastAsia"/>
                <w:spacing w:val="-16"/>
                <w:sz w:val="24"/>
                <w:szCs w:val="24"/>
              </w:rPr>
              <w:t>我</w:t>
            </w:r>
            <w:r w:rsidRPr="00B65F11">
              <w:rPr>
                <w:rFonts w:ascii="標楷體" w:hAnsi="標楷體" w:hint="eastAsia"/>
                <w:spacing w:val="-16"/>
                <w:sz w:val="24"/>
                <w:szCs w:val="24"/>
              </w:rPr>
              <w:t>國</w:t>
            </w:r>
          </w:p>
        </w:tc>
      </w:tr>
      <w:tr w:rsidR="00E66460" w:rsidRPr="00B65F11" w:rsidTr="00E66460">
        <w:tc>
          <w:tcPr>
            <w:tcW w:w="732" w:type="pct"/>
            <w:vAlign w:val="center"/>
          </w:tcPr>
          <w:p w:rsidR="00E66460" w:rsidRPr="00B65F11" w:rsidRDefault="00E66460" w:rsidP="00616B62">
            <w:pPr>
              <w:overflowPunct w:val="0"/>
              <w:snapToGrid w:val="0"/>
              <w:spacing w:line="240" w:lineRule="exact"/>
              <w:jc w:val="center"/>
              <w:rPr>
                <w:rFonts w:ascii="標楷體" w:hAnsi="標楷體"/>
                <w:spacing w:val="-20"/>
                <w:sz w:val="24"/>
                <w:szCs w:val="24"/>
              </w:rPr>
            </w:pPr>
            <w:r w:rsidRPr="00B65F11">
              <w:rPr>
                <w:rFonts w:ascii="標楷體" w:hAnsi="標楷體" w:hint="eastAsia"/>
                <w:spacing w:val="-20"/>
                <w:sz w:val="24"/>
                <w:szCs w:val="24"/>
              </w:rPr>
              <w:t>分攤率</w:t>
            </w:r>
          </w:p>
          <w:p w:rsidR="00E66460" w:rsidRPr="00B65F11" w:rsidRDefault="00E66460" w:rsidP="00616B62">
            <w:pPr>
              <w:overflowPunct w:val="0"/>
              <w:snapToGrid w:val="0"/>
              <w:spacing w:line="240" w:lineRule="exact"/>
              <w:jc w:val="center"/>
              <w:rPr>
                <w:rFonts w:ascii="標楷體" w:hAnsi="標楷體"/>
                <w:spacing w:val="-20"/>
                <w:sz w:val="24"/>
                <w:szCs w:val="24"/>
              </w:rPr>
            </w:pPr>
            <w:r w:rsidRPr="00B65F11">
              <w:rPr>
                <w:rFonts w:ascii="標楷體" w:hAnsi="標楷體" w:hint="eastAsia"/>
                <w:spacing w:val="-20"/>
                <w:sz w:val="24"/>
                <w:szCs w:val="24"/>
              </w:rPr>
              <w:t>（美厘</w:t>
            </w:r>
            <w:r w:rsidRPr="00B65F11">
              <w:rPr>
                <w:rFonts w:ascii="標楷體" w:hAnsi="標楷體"/>
                <w:spacing w:val="-20"/>
                <w:sz w:val="24"/>
                <w:szCs w:val="24"/>
              </w:rPr>
              <w:t>/</w:t>
            </w:r>
            <w:r w:rsidRPr="00B65F11">
              <w:rPr>
                <w:rFonts w:ascii="標楷體" w:hAnsi="標楷體" w:hint="eastAsia"/>
                <w:spacing w:val="-20"/>
                <w:sz w:val="24"/>
                <w:szCs w:val="24"/>
              </w:rPr>
              <w:t>度）</w:t>
            </w:r>
          </w:p>
        </w:tc>
        <w:tc>
          <w:tcPr>
            <w:tcW w:w="609" w:type="pct"/>
            <w:vAlign w:val="center"/>
          </w:tcPr>
          <w:p w:rsidR="00E66460" w:rsidRPr="00B65F11" w:rsidRDefault="00E66460" w:rsidP="00616B62">
            <w:pPr>
              <w:overflowPunct w:val="0"/>
              <w:snapToGrid w:val="0"/>
              <w:spacing w:line="240" w:lineRule="exact"/>
              <w:ind w:left="57"/>
              <w:jc w:val="center"/>
              <w:rPr>
                <w:rFonts w:ascii="標楷體" w:hAnsi="標楷體"/>
                <w:spacing w:val="-20"/>
                <w:sz w:val="24"/>
                <w:szCs w:val="24"/>
              </w:rPr>
            </w:pPr>
            <w:r w:rsidRPr="00B65F11">
              <w:rPr>
                <w:rFonts w:ascii="標楷體" w:hAnsi="標楷體"/>
                <w:spacing w:val="-20"/>
                <w:sz w:val="24"/>
                <w:szCs w:val="24"/>
              </w:rPr>
              <w:t xml:space="preserve">1 </w:t>
            </w:r>
          </w:p>
        </w:tc>
        <w:tc>
          <w:tcPr>
            <w:tcW w:w="610" w:type="pct"/>
            <w:vAlign w:val="center"/>
          </w:tcPr>
          <w:p w:rsidR="00E66460" w:rsidRPr="00B65F11" w:rsidRDefault="00E66460" w:rsidP="00616B62">
            <w:pPr>
              <w:overflowPunct w:val="0"/>
              <w:snapToGrid w:val="0"/>
              <w:spacing w:line="240" w:lineRule="exact"/>
              <w:ind w:left="57"/>
              <w:jc w:val="center"/>
              <w:rPr>
                <w:rFonts w:ascii="標楷體" w:hAnsi="標楷體"/>
                <w:spacing w:val="-20"/>
                <w:sz w:val="24"/>
                <w:szCs w:val="24"/>
              </w:rPr>
            </w:pPr>
            <w:r w:rsidRPr="00B65F11">
              <w:rPr>
                <w:rFonts w:ascii="標楷體" w:hAnsi="標楷體"/>
                <w:spacing w:val="-20"/>
                <w:sz w:val="24"/>
                <w:szCs w:val="24"/>
              </w:rPr>
              <w:t>1.65</w:t>
            </w:r>
          </w:p>
        </w:tc>
        <w:tc>
          <w:tcPr>
            <w:tcW w:w="610" w:type="pct"/>
            <w:vAlign w:val="center"/>
          </w:tcPr>
          <w:p w:rsidR="00E66460" w:rsidRPr="00B65F11" w:rsidRDefault="00E66460" w:rsidP="00616B62">
            <w:pPr>
              <w:overflowPunct w:val="0"/>
              <w:snapToGrid w:val="0"/>
              <w:spacing w:line="240" w:lineRule="exact"/>
              <w:ind w:left="57"/>
              <w:jc w:val="center"/>
              <w:rPr>
                <w:rFonts w:ascii="標楷體" w:hAnsi="標楷體"/>
                <w:spacing w:val="-20"/>
                <w:sz w:val="24"/>
                <w:szCs w:val="24"/>
              </w:rPr>
            </w:pPr>
            <w:r w:rsidRPr="00B65F11">
              <w:rPr>
                <w:rFonts w:ascii="標楷體" w:hAnsi="標楷體"/>
                <w:spacing w:val="-20"/>
                <w:sz w:val="24"/>
                <w:szCs w:val="24"/>
              </w:rPr>
              <w:t>9.43</w:t>
            </w:r>
          </w:p>
        </w:tc>
        <w:tc>
          <w:tcPr>
            <w:tcW w:w="610" w:type="pct"/>
            <w:vAlign w:val="center"/>
          </w:tcPr>
          <w:p w:rsidR="00E66460" w:rsidRPr="00B65F11" w:rsidRDefault="00E66460" w:rsidP="00616B62">
            <w:pPr>
              <w:overflowPunct w:val="0"/>
              <w:snapToGrid w:val="0"/>
              <w:spacing w:line="240" w:lineRule="exact"/>
              <w:ind w:left="57"/>
              <w:jc w:val="center"/>
              <w:rPr>
                <w:rFonts w:ascii="標楷體" w:hAnsi="標楷體"/>
                <w:spacing w:val="-20"/>
                <w:sz w:val="24"/>
                <w:szCs w:val="24"/>
              </w:rPr>
            </w:pPr>
            <w:r w:rsidRPr="00B65F11">
              <w:rPr>
                <w:rFonts w:ascii="標楷體" w:hAnsi="標楷體"/>
                <w:spacing w:val="-20"/>
                <w:sz w:val="24"/>
                <w:szCs w:val="24"/>
              </w:rPr>
              <w:t>3.4</w:t>
            </w:r>
          </w:p>
        </w:tc>
        <w:tc>
          <w:tcPr>
            <w:tcW w:w="610" w:type="pct"/>
            <w:vAlign w:val="center"/>
          </w:tcPr>
          <w:p w:rsidR="00E66460" w:rsidRPr="00B65F11" w:rsidRDefault="00E66460" w:rsidP="00616B62">
            <w:pPr>
              <w:overflowPunct w:val="0"/>
              <w:snapToGrid w:val="0"/>
              <w:spacing w:line="240" w:lineRule="exact"/>
              <w:ind w:left="57"/>
              <w:jc w:val="center"/>
              <w:rPr>
                <w:rFonts w:ascii="標楷體" w:hAnsi="標楷體"/>
                <w:spacing w:val="-20"/>
                <w:sz w:val="24"/>
                <w:szCs w:val="24"/>
              </w:rPr>
            </w:pPr>
            <w:r w:rsidRPr="00B65F11">
              <w:rPr>
                <w:rFonts w:ascii="標楷體" w:hAnsi="標楷體"/>
                <w:spacing w:val="-20"/>
                <w:sz w:val="24"/>
                <w:szCs w:val="24"/>
              </w:rPr>
              <w:t>3.54</w:t>
            </w:r>
          </w:p>
        </w:tc>
        <w:tc>
          <w:tcPr>
            <w:tcW w:w="610" w:type="pct"/>
            <w:vAlign w:val="center"/>
          </w:tcPr>
          <w:p w:rsidR="00E66460" w:rsidRPr="00B65F11" w:rsidRDefault="00E66460" w:rsidP="00616B62">
            <w:pPr>
              <w:overflowPunct w:val="0"/>
              <w:snapToGrid w:val="0"/>
              <w:spacing w:line="240" w:lineRule="exact"/>
              <w:ind w:left="57"/>
              <w:jc w:val="center"/>
              <w:rPr>
                <w:rFonts w:ascii="標楷體" w:hAnsi="標楷體"/>
                <w:spacing w:val="-20"/>
                <w:sz w:val="24"/>
                <w:szCs w:val="24"/>
              </w:rPr>
            </w:pPr>
            <w:r w:rsidRPr="00B65F11">
              <w:rPr>
                <w:rFonts w:ascii="標楷體" w:hAnsi="標楷體" w:hint="eastAsia"/>
                <w:spacing w:val="-20"/>
                <w:sz w:val="24"/>
                <w:szCs w:val="24"/>
              </w:rPr>
              <w:t>1.24</w:t>
            </w:r>
          </w:p>
        </w:tc>
        <w:tc>
          <w:tcPr>
            <w:tcW w:w="609" w:type="pct"/>
            <w:vAlign w:val="center"/>
          </w:tcPr>
          <w:p w:rsidR="00E66460" w:rsidRPr="00B65F11" w:rsidRDefault="00E66460" w:rsidP="00616B62">
            <w:pPr>
              <w:overflowPunct w:val="0"/>
              <w:snapToGrid w:val="0"/>
              <w:spacing w:line="240" w:lineRule="exact"/>
              <w:ind w:left="57"/>
              <w:jc w:val="center"/>
              <w:rPr>
                <w:rFonts w:ascii="標楷體" w:hAnsi="標楷體"/>
                <w:spacing w:val="-20"/>
                <w:sz w:val="24"/>
                <w:szCs w:val="24"/>
              </w:rPr>
            </w:pPr>
            <w:r w:rsidRPr="00B65F11">
              <w:rPr>
                <w:rFonts w:ascii="標楷體" w:hAnsi="標楷體"/>
                <w:spacing w:val="-20"/>
                <w:sz w:val="24"/>
                <w:szCs w:val="24"/>
              </w:rPr>
              <w:t>5.56</w:t>
            </w:r>
          </w:p>
        </w:tc>
      </w:tr>
      <w:tr w:rsidR="00E66460" w:rsidRPr="00B65F11" w:rsidTr="00E66460">
        <w:tc>
          <w:tcPr>
            <w:tcW w:w="732" w:type="pct"/>
            <w:vAlign w:val="center"/>
          </w:tcPr>
          <w:p w:rsidR="00E66460" w:rsidRPr="00B65F11" w:rsidRDefault="00E66460" w:rsidP="00616B62">
            <w:pPr>
              <w:overflowPunct w:val="0"/>
              <w:snapToGrid w:val="0"/>
              <w:spacing w:line="240" w:lineRule="exact"/>
              <w:jc w:val="center"/>
              <w:rPr>
                <w:rFonts w:ascii="標楷體" w:hAnsi="標楷體"/>
                <w:spacing w:val="16"/>
                <w:sz w:val="24"/>
                <w:szCs w:val="24"/>
              </w:rPr>
            </w:pPr>
            <w:r w:rsidRPr="00B65F11">
              <w:rPr>
                <w:rFonts w:ascii="標楷體" w:hAnsi="標楷體" w:hint="eastAsia"/>
                <w:spacing w:val="16"/>
                <w:sz w:val="24"/>
                <w:szCs w:val="24"/>
              </w:rPr>
              <w:t>涵蓋範圍</w:t>
            </w:r>
          </w:p>
        </w:tc>
        <w:tc>
          <w:tcPr>
            <w:tcW w:w="609" w:type="pct"/>
          </w:tcPr>
          <w:p w:rsidR="00E66460" w:rsidRPr="00B65F11" w:rsidRDefault="00E66460" w:rsidP="00616B62">
            <w:pPr>
              <w:overflowPunct w:val="0"/>
              <w:snapToGrid w:val="0"/>
              <w:spacing w:line="240" w:lineRule="exact"/>
              <w:ind w:left="108" w:rightChars="-50" w:right="-170" w:hanging="108"/>
              <w:rPr>
                <w:rFonts w:ascii="標楷體" w:hAnsi="標楷體"/>
                <w:spacing w:val="-16"/>
                <w:sz w:val="24"/>
                <w:szCs w:val="24"/>
              </w:rPr>
            </w:pPr>
            <w:r w:rsidRPr="00B65F11">
              <w:rPr>
                <w:rFonts w:ascii="標楷體" w:hAnsi="標楷體"/>
                <w:spacing w:val="-16"/>
                <w:sz w:val="24"/>
                <w:szCs w:val="24"/>
              </w:rPr>
              <w:t>-</w:t>
            </w:r>
            <w:r w:rsidRPr="00B65F11">
              <w:rPr>
                <w:rFonts w:ascii="標楷體" w:hAnsi="標楷體" w:hint="eastAsia"/>
                <w:spacing w:val="-16"/>
                <w:sz w:val="24"/>
                <w:szCs w:val="24"/>
              </w:rPr>
              <w:t>用過核子燃料最終處置</w:t>
            </w:r>
          </w:p>
        </w:tc>
        <w:tc>
          <w:tcPr>
            <w:tcW w:w="610" w:type="pct"/>
          </w:tcPr>
          <w:p w:rsidR="00E66460" w:rsidRPr="00B65F11" w:rsidRDefault="00E66460" w:rsidP="00616B62">
            <w:pPr>
              <w:overflowPunct w:val="0"/>
              <w:snapToGrid w:val="0"/>
              <w:spacing w:line="240" w:lineRule="exact"/>
              <w:ind w:left="108" w:rightChars="-50" w:right="-170" w:hanging="108"/>
              <w:rPr>
                <w:rFonts w:ascii="標楷體" w:hAnsi="標楷體"/>
                <w:spacing w:val="-16"/>
                <w:sz w:val="24"/>
                <w:szCs w:val="24"/>
              </w:rPr>
            </w:pPr>
            <w:r w:rsidRPr="00B65F11">
              <w:rPr>
                <w:rFonts w:ascii="標楷體" w:hAnsi="標楷體"/>
                <w:spacing w:val="-16"/>
                <w:sz w:val="24"/>
                <w:szCs w:val="24"/>
              </w:rPr>
              <w:t>-</w:t>
            </w:r>
            <w:r w:rsidRPr="00B65F11">
              <w:rPr>
                <w:rFonts w:ascii="標楷體" w:hAnsi="標楷體" w:hint="eastAsia"/>
                <w:spacing w:val="-16"/>
                <w:sz w:val="24"/>
                <w:szCs w:val="24"/>
              </w:rPr>
              <w:t>用過核子燃料貯存及最終處置</w:t>
            </w:r>
          </w:p>
          <w:p w:rsidR="00E66460" w:rsidRPr="00B65F11" w:rsidRDefault="00E66460" w:rsidP="00616B62">
            <w:pPr>
              <w:overflowPunct w:val="0"/>
              <w:snapToGrid w:val="0"/>
              <w:spacing w:line="240" w:lineRule="exact"/>
              <w:ind w:left="108" w:rightChars="-50" w:right="-170" w:hanging="108"/>
              <w:rPr>
                <w:rFonts w:ascii="標楷體" w:hAnsi="標楷體"/>
                <w:spacing w:val="-16"/>
                <w:sz w:val="24"/>
                <w:szCs w:val="24"/>
              </w:rPr>
            </w:pPr>
            <w:r w:rsidRPr="00B65F11">
              <w:rPr>
                <w:rFonts w:ascii="標楷體" w:hAnsi="標楷體"/>
                <w:spacing w:val="-16"/>
                <w:sz w:val="24"/>
                <w:szCs w:val="24"/>
              </w:rPr>
              <w:t>-</w:t>
            </w:r>
            <w:r w:rsidRPr="00B65F11">
              <w:rPr>
                <w:rFonts w:ascii="標楷體" w:hAnsi="標楷體" w:hint="eastAsia"/>
                <w:spacing w:val="-16"/>
                <w:sz w:val="24"/>
                <w:szCs w:val="24"/>
              </w:rPr>
              <w:t>除役拆廠</w:t>
            </w:r>
          </w:p>
          <w:p w:rsidR="00E66460" w:rsidRPr="00B65F11" w:rsidRDefault="00E66460" w:rsidP="00616B62">
            <w:pPr>
              <w:overflowPunct w:val="0"/>
              <w:snapToGrid w:val="0"/>
              <w:spacing w:line="240" w:lineRule="exact"/>
              <w:ind w:left="108" w:rightChars="-50" w:right="-170" w:hanging="108"/>
              <w:rPr>
                <w:rFonts w:ascii="標楷體" w:hAnsi="標楷體"/>
                <w:spacing w:val="-16"/>
                <w:sz w:val="24"/>
                <w:szCs w:val="24"/>
              </w:rPr>
            </w:pPr>
            <w:r w:rsidRPr="00B65F11">
              <w:rPr>
                <w:rFonts w:ascii="標楷體" w:hAnsi="標楷體"/>
                <w:spacing w:val="-16"/>
                <w:sz w:val="24"/>
                <w:szCs w:val="24"/>
              </w:rPr>
              <w:t>-</w:t>
            </w:r>
            <w:r w:rsidRPr="00B65F11">
              <w:rPr>
                <w:rFonts w:ascii="標楷體" w:hAnsi="標楷體" w:hint="eastAsia"/>
                <w:spacing w:val="-16"/>
                <w:sz w:val="24"/>
                <w:szCs w:val="24"/>
              </w:rPr>
              <w:t>低放射性廢棄物貯存及最終處置</w:t>
            </w:r>
          </w:p>
        </w:tc>
        <w:tc>
          <w:tcPr>
            <w:tcW w:w="610" w:type="pct"/>
          </w:tcPr>
          <w:p w:rsidR="00E66460" w:rsidRPr="00B65F11" w:rsidRDefault="00E66460" w:rsidP="00616B62">
            <w:pPr>
              <w:overflowPunct w:val="0"/>
              <w:snapToGrid w:val="0"/>
              <w:spacing w:line="240" w:lineRule="exact"/>
              <w:ind w:left="108" w:rightChars="-50" w:right="-170" w:hanging="108"/>
              <w:rPr>
                <w:rFonts w:ascii="標楷體" w:hAnsi="標楷體"/>
                <w:spacing w:val="-16"/>
                <w:sz w:val="24"/>
                <w:szCs w:val="24"/>
              </w:rPr>
            </w:pPr>
            <w:r w:rsidRPr="00B65F11">
              <w:rPr>
                <w:rFonts w:ascii="標楷體" w:hAnsi="標楷體"/>
                <w:spacing w:val="-16"/>
                <w:sz w:val="24"/>
                <w:szCs w:val="24"/>
              </w:rPr>
              <w:t>-</w:t>
            </w:r>
            <w:r w:rsidRPr="00B65F11">
              <w:rPr>
                <w:rFonts w:ascii="標楷體" w:hAnsi="標楷體" w:hint="eastAsia"/>
                <w:spacing w:val="-16"/>
                <w:sz w:val="24"/>
                <w:szCs w:val="24"/>
              </w:rPr>
              <w:t>用過核子燃料貯存及最終處置</w:t>
            </w:r>
          </w:p>
          <w:p w:rsidR="00E66460" w:rsidRPr="00B65F11" w:rsidRDefault="00E66460" w:rsidP="00616B62">
            <w:pPr>
              <w:overflowPunct w:val="0"/>
              <w:snapToGrid w:val="0"/>
              <w:spacing w:line="240" w:lineRule="exact"/>
              <w:ind w:left="108" w:rightChars="-50" w:right="-170" w:hanging="108"/>
              <w:rPr>
                <w:rFonts w:ascii="標楷體" w:hAnsi="標楷體"/>
                <w:spacing w:val="-16"/>
                <w:sz w:val="24"/>
                <w:szCs w:val="24"/>
              </w:rPr>
            </w:pPr>
            <w:r w:rsidRPr="00B65F11">
              <w:rPr>
                <w:rFonts w:ascii="標楷體" w:hAnsi="標楷體"/>
                <w:spacing w:val="-16"/>
                <w:sz w:val="24"/>
                <w:szCs w:val="24"/>
              </w:rPr>
              <w:t>-</w:t>
            </w:r>
            <w:r w:rsidRPr="00B65F11">
              <w:rPr>
                <w:rFonts w:ascii="標楷體" w:hAnsi="標楷體" w:hint="eastAsia"/>
                <w:spacing w:val="-16"/>
                <w:sz w:val="24"/>
                <w:szCs w:val="24"/>
              </w:rPr>
              <w:t>除役拆廠</w:t>
            </w:r>
          </w:p>
          <w:p w:rsidR="00E66460" w:rsidRPr="00B65F11" w:rsidRDefault="00E66460" w:rsidP="00616B62">
            <w:pPr>
              <w:overflowPunct w:val="0"/>
              <w:snapToGrid w:val="0"/>
              <w:spacing w:line="240" w:lineRule="exact"/>
              <w:ind w:left="108" w:rightChars="-50" w:right="-170" w:hanging="108"/>
              <w:rPr>
                <w:rFonts w:ascii="標楷體" w:hAnsi="標楷體"/>
                <w:spacing w:val="-16"/>
                <w:sz w:val="24"/>
                <w:szCs w:val="24"/>
              </w:rPr>
            </w:pPr>
            <w:r w:rsidRPr="00B65F11">
              <w:rPr>
                <w:rFonts w:ascii="標楷體" w:hAnsi="標楷體"/>
                <w:spacing w:val="-16"/>
                <w:sz w:val="24"/>
                <w:szCs w:val="24"/>
              </w:rPr>
              <w:t>-</w:t>
            </w:r>
            <w:r w:rsidRPr="00B65F11">
              <w:rPr>
                <w:rFonts w:ascii="標楷體" w:hAnsi="標楷體" w:hint="eastAsia"/>
                <w:spacing w:val="-16"/>
                <w:sz w:val="24"/>
                <w:szCs w:val="24"/>
              </w:rPr>
              <w:t>低放射性廢棄物貯存及最終處置</w:t>
            </w:r>
          </w:p>
        </w:tc>
        <w:tc>
          <w:tcPr>
            <w:tcW w:w="610" w:type="pct"/>
          </w:tcPr>
          <w:p w:rsidR="00E66460" w:rsidRPr="00B65F11" w:rsidRDefault="00E66460" w:rsidP="00616B62">
            <w:pPr>
              <w:overflowPunct w:val="0"/>
              <w:snapToGrid w:val="0"/>
              <w:spacing w:line="240" w:lineRule="exact"/>
              <w:ind w:left="108" w:rightChars="-50" w:right="-170" w:hanging="108"/>
              <w:rPr>
                <w:rFonts w:ascii="標楷體" w:hAnsi="標楷體"/>
                <w:spacing w:val="-16"/>
                <w:sz w:val="24"/>
                <w:szCs w:val="24"/>
              </w:rPr>
            </w:pPr>
            <w:r w:rsidRPr="00B65F11">
              <w:rPr>
                <w:rFonts w:ascii="標楷體" w:hAnsi="標楷體"/>
                <w:spacing w:val="-16"/>
                <w:sz w:val="24"/>
                <w:szCs w:val="24"/>
              </w:rPr>
              <w:t>-</w:t>
            </w:r>
            <w:r w:rsidRPr="00B65F11">
              <w:rPr>
                <w:rFonts w:ascii="標楷體" w:hAnsi="標楷體" w:hint="eastAsia"/>
                <w:spacing w:val="-16"/>
                <w:sz w:val="24"/>
                <w:szCs w:val="24"/>
              </w:rPr>
              <w:t>用過核子燃料貯存及最終處置</w:t>
            </w:r>
          </w:p>
          <w:p w:rsidR="00E66460" w:rsidRPr="00B65F11" w:rsidRDefault="00E66460" w:rsidP="00616B62">
            <w:pPr>
              <w:overflowPunct w:val="0"/>
              <w:snapToGrid w:val="0"/>
              <w:spacing w:line="240" w:lineRule="exact"/>
              <w:ind w:left="108" w:rightChars="-50" w:right="-170" w:hanging="108"/>
              <w:rPr>
                <w:rFonts w:ascii="標楷體" w:hAnsi="標楷體"/>
                <w:spacing w:val="-16"/>
                <w:sz w:val="24"/>
                <w:szCs w:val="24"/>
              </w:rPr>
            </w:pPr>
            <w:r w:rsidRPr="00B65F11">
              <w:rPr>
                <w:rFonts w:ascii="標楷體" w:hAnsi="標楷體"/>
                <w:spacing w:val="-16"/>
                <w:sz w:val="24"/>
                <w:szCs w:val="24"/>
              </w:rPr>
              <w:t>-</w:t>
            </w:r>
            <w:r w:rsidRPr="00B65F11">
              <w:rPr>
                <w:rFonts w:ascii="標楷體" w:hAnsi="標楷體" w:hint="eastAsia"/>
                <w:spacing w:val="-16"/>
                <w:sz w:val="24"/>
                <w:szCs w:val="24"/>
              </w:rPr>
              <w:t>除役拆廠</w:t>
            </w:r>
          </w:p>
          <w:p w:rsidR="00E66460" w:rsidRPr="00B65F11" w:rsidRDefault="00E66460" w:rsidP="00616B62">
            <w:pPr>
              <w:overflowPunct w:val="0"/>
              <w:snapToGrid w:val="0"/>
              <w:spacing w:line="240" w:lineRule="exact"/>
              <w:ind w:left="108" w:rightChars="-50" w:right="-170" w:hanging="108"/>
              <w:rPr>
                <w:rFonts w:ascii="標楷體" w:hAnsi="標楷體"/>
                <w:spacing w:val="-16"/>
                <w:sz w:val="24"/>
                <w:szCs w:val="24"/>
              </w:rPr>
            </w:pPr>
            <w:r w:rsidRPr="00B65F11">
              <w:rPr>
                <w:rFonts w:ascii="標楷體" w:hAnsi="標楷體"/>
                <w:spacing w:val="-16"/>
                <w:sz w:val="24"/>
                <w:szCs w:val="24"/>
              </w:rPr>
              <w:t>-</w:t>
            </w:r>
            <w:r w:rsidRPr="00B65F11">
              <w:rPr>
                <w:rFonts w:ascii="標楷體" w:hAnsi="標楷體" w:hint="eastAsia"/>
                <w:spacing w:val="-16"/>
                <w:sz w:val="24"/>
                <w:szCs w:val="24"/>
              </w:rPr>
              <w:t>低放射性廢棄物貯存及最終處置</w:t>
            </w:r>
          </w:p>
        </w:tc>
        <w:tc>
          <w:tcPr>
            <w:tcW w:w="610" w:type="pct"/>
          </w:tcPr>
          <w:p w:rsidR="00E66460" w:rsidRPr="00B65F11" w:rsidRDefault="00E66460" w:rsidP="00616B62">
            <w:pPr>
              <w:overflowPunct w:val="0"/>
              <w:snapToGrid w:val="0"/>
              <w:spacing w:line="240" w:lineRule="exact"/>
              <w:ind w:left="108" w:rightChars="-50" w:right="-170" w:hanging="108"/>
              <w:rPr>
                <w:rFonts w:ascii="標楷體" w:hAnsi="標楷體"/>
                <w:spacing w:val="-16"/>
                <w:sz w:val="24"/>
                <w:szCs w:val="24"/>
              </w:rPr>
            </w:pPr>
            <w:r w:rsidRPr="00B65F11">
              <w:rPr>
                <w:rFonts w:ascii="標楷體" w:hAnsi="標楷體"/>
                <w:spacing w:val="-16"/>
                <w:sz w:val="24"/>
                <w:szCs w:val="24"/>
              </w:rPr>
              <w:t>-</w:t>
            </w:r>
            <w:r w:rsidRPr="00B65F11">
              <w:rPr>
                <w:rFonts w:ascii="標楷體" w:hAnsi="標楷體" w:hint="eastAsia"/>
                <w:spacing w:val="-16"/>
                <w:sz w:val="24"/>
                <w:szCs w:val="24"/>
              </w:rPr>
              <w:t>用過核子燃料貯存及最終處置</w:t>
            </w:r>
          </w:p>
          <w:p w:rsidR="00E66460" w:rsidRPr="00B65F11" w:rsidRDefault="00E66460" w:rsidP="00616B62">
            <w:pPr>
              <w:overflowPunct w:val="0"/>
              <w:snapToGrid w:val="0"/>
              <w:spacing w:line="240" w:lineRule="exact"/>
              <w:ind w:left="108" w:rightChars="-50" w:right="-170" w:hanging="108"/>
              <w:rPr>
                <w:rFonts w:ascii="標楷體" w:hAnsi="標楷體"/>
                <w:spacing w:val="-16"/>
                <w:sz w:val="24"/>
                <w:szCs w:val="24"/>
              </w:rPr>
            </w:pPr>
          </w:p>
        </w:tc>
        <w:tc>
          <w:tcPr>
            <w:tcW w:w="610" w:type="pct"/>
          </w:tcPr>
          <w:p w:rsidR="00E66460" w:rsidRPr="00B65F11" w:rsidRDefault="00E66460" w:rsidP="00616B62">
            <w:pPr>
              <w:overflowPunct w:val="0"/>
              <w:snapToGrid w:val="0"/>
              <w:spacing w:line="240" w:lineRule="exact"/>
              <w:ind w:left="108" w:rightChars="-50" w:right="-170" w:hanging="108"/>
              <w:rPr>
                <w:rFonts w:ascii="標楷體" w:hAnsi="標楷體"/>
                <w:spacing w:val="-16"/>
                <w:sz w:val="24"/>
                <w:szCs w:val="24"/>
              </w:rPr>
            </w:pPr>
            <w:r w:rsidRPr="00B65F11">
              <w:rPr>
                <w:rFonts w:ascii="標楷體" w:hAnsi="標楷體" w:hint="eastAsia"/>
                <w:spacing w:val="-16"/>
                <w:sz w:val="24"/>
                <w:szCs w:val="24"/>
              </w:rPr>
              <w:t>-用過核子燃料最終處置</w:t>
            </w:r>
          </w:p>
        </w:tc>
        <w:tc>
          <w:tcPr>
            <w:tcW w:w="609" w:type="pct"/>
          </w:tcPr>
          <w:p w:rsidR="00E66460" w:rsidRPr="00B65F11" w:rsidRDefault="00E66460" w:rsidP="00616B62">
            <w:pPr>
              <w:overflowPunct w:val="0"/>
              <w:snapToGrid w:val="0"/>
              <w:spacing w:line="240" w:lineRule="exact"/>
              <w:ind w:left="108" w:rightChars="-50" w:right="-170" w:hanging="108"/>
              <w:rPr>
                <w:rFonts w:ascii="標楷體" w:hAnsi="標楷體"/>
                <w:spacing w:val="-16"/>
                <w:sz w:val="24"/>
                <w:szCs w:val="24"/>
              </w:rPr>
            </w:pPr>
            <w:r w:rsidRPr="00B65F11">
              <w:rPr>
                <w:rFonts w:ascii="標楷體" w:hAnsi="標楷體"/>
                <w:spacing w:val="-16"/>
                <w:sz w:val="24"/>
                <w:szCs w:val="24"/>
              </w:rPr>
              <w:t>-</w:t>
            </w:r>
            <w:r w:rsidRPr="00B65F11">
              <w:rPr>
                <w:rFonts w:ascii="標楷體" w:hAnsi="標楷體" w:hint="eastAsia"/>
                <w:spacing w:val="-16"/>
                <w:sz w:val="24"/>
                <w:szCs w:val="24"/>
              </w:rPr>
              <w:t>用過核子燃料貯存及最終處置</w:t>
            </w:r>
          </w:p>
          <w:p w:rsidR="00E66460" w:rsidRPr="00B65F11" w:rsidRDefault="00E66460" w:rsidP="00616B62">
            <w:pPr>
              <w:overflowPunct w:val="0"/>
              <w:snapToGrid w:val="0"/>
              <w:spacing w:line="240" w:lineRule="exact"/>
              <w:ind w:left="108" w:rightChars="-50" w:right="-170" w:hanging="108"/>
              <w:rPr>
                <w:rFonts w:ascii="標楷體" w:hAnsi="標楷體"/>
                <w:spacing w:val="-16"/>
                <w:sz w:val="24"/>
                <w:szCs w:val="24"/>
              </w:rPr>
            </w:pPr>
            <w:r w:rsidRPr="00B65F11">
              <w:rPr>
                <w:rFonts w:ascii="標楷體" w:hAnsi="標楷體"/>
                <w:spacing w:val="-16"/>
                <w:sz w:val="24"/>
                <w:szCs w:val="24"/>
              </w:rPr>
              <w:t>-</w:t>
            </w:r>
            <w:r w:rsidRPr="00B65F11">
              <w:rPr>
                <w:rFonts w:ascii="標楷體" w:hAnsi="標楷體" w:hint="eastAsia"/>
                <w:spacing w:val="-16"/>
                <w:sz w:val="24"/>
                <w:szCs w:val="24"/>
              </w:rPr>
              <w:t>除役拆廠</w:t>
            </w:r>
          </w:p>
          <w:p w:rsidR="00E66460" w:rsidRPr="00B65F11" w:rsidRDefault="00E66460" w:rsidP="00616B62">
            <w:pPr>
              <w:overflowPunct w:val="0"/>
              <w:snapToGrid w:val="0"/>
              <w:spacing w:line="240" w:lineRule="exact"/>
              <w:ind w:left="108" w:rightChars="-50" w:right="-170" w:hanging="108"/>
              <w:rPr>
                <w:rFonts w:ascii="標楷體" w:hAnsi="標楷體"/>
                <w:spacing w:val="-16"/>
                <w:sz w:val="24"/>
                <w:szCs w:val="24"/>
              </w:rPr>
            </w:pPr>
            <w:r w:rsidRPr="00B65F11">
              <w:rPr>
                <w:rFonts w:ascii="標楷體" w:hAnsi="標楷體"/>
                <w:spacing w:val="-16"/>
                <w:sz w:val="24"/>
                <w:szCs w:val="24"/>
              </w:rPr>
              <w:t>-</w:t>
            </w:r>
            <w:r w:rsidRPr="00B65F11">
              <w:rPr>
                <w:rFonts w:ascii="標楷體" w:hAnsi="標楷體" w:hint="eastAsia"/>
                <w:spacing w:val="-16"/>
                <w:sz w:val="24"/>
                <w:szCs w:val="24"/>
              </w:rPr>
              <w:t>低放射性廢棄物貯存及最終處置</w:t>
            </w:r>
          </w:p>
        </w:tc>
      </w:tr>
    </w:tbl>
    <w:p w:rsidR="00E66460" w:rsidRPr="00E66460" w:rsidRDefault="00E66460" w:rsidP="00E66460">
      <w:pPr>
        <w:pStyle w:val="4"/>
        <w:widowControl/>
        <w:numPr>
          <w:ilvl w:val="0"/>
          <w:numId w:val="0"/>
        </w:numPr>
        <w:spacing w:line="240" w:lineRule="exact"/>
        <w:ind w:left="1741"/>
      </w:pPr>
    </w:p>
    <w:p w:rsidR="00456FD3" w:rsidRPr="00C61555" w:rsidRDefault="00E103D5" w:rsidP="00E07D39">
      <w:pPr>
        <w:pStyle w:val="3"/>
        <w:widowControl/>
        <w:numPr>
          <w:ilvl w:val="2"/>
          <w:numId w:val="5"/>
        </w:numPr>
        <w:kinsoku/>
      </w:pPr>
      <w:r>
        <w:rPr>
          <w:rFonts w:hint="eastAsia"/>
        </w:rPr>
        <w:t>綜上，</w:t>
      </w:r>
      <w:r w:rsidR="00BF788A" w:rsidRPr="008B037A">
        <w:rPr>
          <w:rFonts w:hint="eastAsia"/>
        </w:rPr>
        <w:t>台電公司</w:t>
      </w:r>
      <w:r w:rsidR="00BF788A">
        <w:rPr>
          <w:rFonts w:hint="eastAsia"/>
        </w:rPr>
        <w:t>委外</w:t>
      </w:r>
      <w:r w:rsidR="00BF788A" w:rsidRPr="008B037A">
        <w:rPr>
          <w:rFonts w:hint="eastAsia"/>
        </w:rPr>
        <w:t>以核一、二、三廠6部機營運40年</w:t>
      </w:r>
      <w:r w:rsidR="00BF788A" w:rsidRPr="008B037A">
        <w:t>、</w:t>
      </w:r>
      <w:r w:rsidR="00BF788A" w:rsidRPr="00DB46F2">
        <w:rPr>
          <w:rFonts w:hint="eastAsia"/>
        </w:rPr>
        <w:t>放射性廢棄物採境內處置</w:t>
      </w:r>
      <w:r w:rsidR="00BF788A">
        <w:rPr>
          <w:rFonts w:hint="eastAsia"/>
        </w:rPr>
        <w:t>之基本情節</w:t>
      </w:r>
      <w:r w:rsidR="00BF788A" w:rsidRPr="008B037A">
        <w:rPr>
          <w:rFonts w:hint="eastAsia"/>
        </w:rPr>
        <w:t>，</w:t>
      </w:r>
      <w:r w:rsidR="00BF788A">
        <w:rPr>
          <w:rFonts w:hint="eastAsia"/>
        </w:rPr>
        <w:t>以</w:t>
      </w:r>
      <w:r w:rsidR="00BF788A" w:rsidRPr="008B037A">
        <w:rPr>
          <w:rFonts w:hint="eastAsia"/>
        </w:rPr>
        <w:t>及</w:t>
      </w:r>
      <w:r w:rsidR="00BF788A">
        <w:rPr>
          <w:rFonts w:hint="eastAsia"/>
        </w:rPr>
        <w:t>考量</w:t>
      </w:r>
      <w:r w:rsidR="00BF788A" w:rsidRPr="00BF788A">
        <w:rPr>
          <w:rFonts w:hAnsi="Times New Roman"/>
          <w:szCs w:val="20"/>
        </w:rPr>
        <w:t>低放射性廢棄物</w:t>
      </w:r>
      <w:r w:rsidR="008B2F2C" w:rsidRPr="00BF788A">
        <w:rPr>
          <w:rFonts w:hAnsi="Times New Roman" w:hint="eastAsia"/>
          <w:szCs w:val="20"/>
        </w:rPr>
        <w:t>及</w:t>
      </w:r>
      <w:r w:rsidR="00BF788A" w:rsidRPr="00BF788A">
        <w:rPr>
          <w:rFonts w:hAnsi="Times New Roman"/>
          <w:szCs w:val="20"/>
        </w:rPr>
        <w:t>用過核子燃料</w:t>
      </w:r>
      <w:r w:rsidR="00BF788A" w:rsidRPr="00BF788A">
        <w:rPr>
          <w:rFonts w:hAnsi="Times New Roman" w:hint="eastAsia"/>
          <w:szCs w:val="20"/>
        </w:rPr>
        <w:t>之</w:t>
      </w:r>
      <w:r w:rsidR="00BF788A" w:rsidRPr="00BF788A">
        <w:rPr>
          <w:rFonts w:hAnsi="Times New Roman"/>
          <w:szCs w:val="20"/>
        </w:rPr>
        <w:t>營運</w:t>
      </w:r>
      <w:r w:rsidR="00BF788A" w:rsidRPr="00BF788A">
        <w:rPr>
          <w:rFonts w:hAnsi="Times New Roman" w:hint="eastAsia"/>
          <w:szCs w:val="20"/>
        </w:rPr>
        <w:t>及</w:t>
      </w:r>
      <w:r w:rsidR="00BF788A" w:rsidRPr="00BF788A">
        <w:rPr>
          <w:rFonts w:hAnsi="Times New Roman"/>
          <w:szCs w:val="20"/>
        </w:rPr>
        <w:t>最終處置、核能電廠</w:t>
      </w:r>
      <w:r w:rsidR="00BF788A" w:rsidRPr="00BF788A">
        <w:rPr>
          <w:rFonts w:hAnsi="Times New Roman" w:hint="eastAsia"/>
          <w:szCs w:val="20"/>
        </w:rPr>
        <w:t>拆廠</w:t>
      </w:r>
      <w:r w:rsidR="00BF788A" w:rsidRPr="00BF788A">
        <w:rPr>
          <w:rFonts w:hAnsi="Times New Roman"/>
          <w:szCs w:val="20"/>
        </w:rPr>
        <w:t>除役</w:t>
      </w:r>
      <w:r w:rsidR="00BF788A" w:rsidRPr="008B037A">
        <w:t>、</w:t>
      </w:r>
      <w:r w:rsidR="00BF788A" w:rsidRPr="00BF788A">
        <w:rPr>
          <w:rFonts w:hAnsi="Times New Roman"/>
          <w:szCs w:val="20"/>
        </w:rPr>
        <w:t>核子</w:t>
      </w:r>
      <w:r w:rsidR="00BF788A">
        <w:t>廢棄物運輸</w:t>
      </w:r>
      <w:r w:rsidR="00BF788A" w:rsidRPr="008B037A">
        <w:t>、</w:t>
      </w:r>
      <w:r w:rsidR="00BF788A" w:rsidRPr="00BF788A">
        <w:rPr>
          <w:szCs w:val="32"/>
        </w:rPr>
        <w:t>回饋金</w:t>
      </w:r>
      <w:r w:rsidR="00BF788A">
        <w:rPr>
          <w:rFonts w:hint="eastAsia"/>
        </w:rPr>
        <w:t>等</w:t>
      </w:r>
      <w:r w:rsidR="00BF788A" w:rsidRPr="006035C9">
        <w:rPr>
          <w:rFonts w:hint="eastAsia"/>
        </w:rPr>
        <w:t>估算項目</w:t>
      </w:r>
      <w:r w:rsidR="00BF788A" w:rsidRPr="008B037A">
        <w:rPr>
          <w:rFonts w:hint="eastAsia"/>
        </w:rPr>
        <w:t>，並以</w:t>
      </w:r>
      <w:r w:rsidR="00BF788A" w:rsidRPr="008B037A">
        <w:t>9</w:t>
      </w:r>
      <w:r w:rsidR="00BF788A" w:rsidRPr="008B037A">
        <w:rPr>
          <w:rFonts w:hint="eastAsia"/>
        </w:rPr>
        <w:t>7年1月之物價水準</w:t>
      </w:r>
      <w:r w:rsidR="00BF788A">
        <w:rPr>
          <w:rFonts w:hint="eastAsia"/>
        </w:rPr>
        <w:t>及</w:t>
      </w:r>
      <w:r w:rsidR="00BF788A" w:rsidRPr="008B037A">
        <w:t>物價上漲率</w:t>
      </w:r>
      <w:r w:rsidR="00BF788A" w:rsidRPr="008B037A">
        <w:rPr>
          <w:rFonts w:hint="eastAsia"/>
        </w:rPr>
        <w:t>2</w:t>
      </w:r>
      <w:r w:rsidR="00BF788A" w:rsidRPr="008B037A">
        <w:t>.5%、折現率</w:t>
      </w:r>
      <w:r w:rsidR="00BF788A" w:rsidRPr="008B037A">
        <w:rPr>
          <w:rFonts w:hint="eastAsia"/>
        </w:rPr>
        <w:t>3</w:t>
      </w:r>
      <w:r w:rsidR="00BF788A" w:rsidRPr="00BF788A">
        <w:rPr>
          <w:szCs w:val="26"/>
        </w:rPr>
        <w:t>.</w:t>
      </w:r>
      <w:r w:rsidR="00BF788A" w:rsidRPr="00BF788A">
        <w:rPr>
          <w:rFonts w:hint="eastAsia"/>
          <w:szCs w:val="26"/>
        </w:rPr>
        <w:t>4</w:t>
      </w:r>
      <w:r w:rsidR="00BF788A" w:rsidRPr="00BF788A">
        <w:rPr>
          <w:szCs w:val="26"/>
        </w:rPr>
        <w:t>%</w:t>
      </w:r>
      <w:r w:rsidR="00BF788A" w:rsidRPr="008B037A">
        <w:t>、</w:t>
      </w:r>
      <w:r w:rsidR="00BF788A">
        <w:rPr>
          <w:rFonts w:hint="eastAsia"/>
        </w:rPr>
        <w:t>美金</w:t>
      </w:r>
      <w:r w:rsidR="00BF788A" w:rsidRPr="008B037A">
        <w:t>匯率</w:t>
      </w:r>
      <w:r w:rsidR="00BF788A" w:rsidRPr="00BF788A">
        <w:rPr>
          <w:szCs w:val="26"/>
        </w:rPr>
        <w:t>3</w:t>
      </w:r>
      <w:r w:rsidR="00BF788A" w:rsidRPr="00BF788A">
        <w:rPr>
          <w:rFonts w:hint="eastAsia"/>
          <w:szCs w:val="26"/>
        </w:rPr>
        <w:t>3</w:t>
      </w:r>
      <w:r w:rsidR="00BF788A" w:rsidRPr="008B037A">
        <w:t>、</w:t>
      </w:r>
      <w:r w:rsidR="00BF788A">
        <w:rPr>
          <w:rFonts w:hint="eastAsia"/>
        </w:rPr>
        <w:t>容量因素</w:t>
      </w:r>
      <w:r w:rsidR="00BF788A" w:rsidRPr="004F1725">
        <w:t>8</w:t>
      </w:r>
      <w:r w:rsidR="00BF788A" w:rsidRPr="004F1725">
        <w:rPr>
          <w:rFonts w:hint="eastAsia"/>
        </w:rPr>
        <w:t>9</w:t>
      </w:r>
      <w:r w:rsidR="00BF788A" w:rsidRPr="004F1725">
        <w:t>.</w:t>
      </w:r>
      <w:r w:rsidR="00BF788A" w:rsidRPr="004F1725">
        <w:rPr>
          <w:rFonts w:hint="eastAsia"/>
        </w:rPr>
        <w:t>41</w:t>
      </w:r>
      <w:r w:rsidR="00BF788A" w:rsidRPr="008B037A">
        <w:t>%、</w:t>
      </w:r>
      <w:r w:rsidR="00BF788A" w:rsidRPr="00AA63B9">
        <w:rPr>
          <w:rFonts w:hint="eastAsia"/>
        </w:rPr>
        <w:t>未來核能發電度數4,186億度</w:t>
      </w:r>
      <w:r w:rsidR="00E2346B">
        <w:rPr>
          <w:rFonts w:hint="eastAsia"/>
        </w:rPr>
        <w:t>等情</w:t>
      </w:r>
      <w:r w:rsidR="00BF788A">
        <w:rPr>
          <w:rFonts w:hint="eastAsia"/>
        </w:rPr>
        <w:t>計</w:t>
      </w:r>
      <w:r w:rsidR="00BF788A" w:rsidRPr="00AA63B9">
        <w:t>入</w:t>
      </w:r>
      <w:r w:rsidR="00BF788A" w:rsidRPr="00AA63B9">
        <w:rPr>
          <w:rFonts w:hint="eastAsia"/>
        </w:rPr>
        <w:t>後</w:t>
      </w:r>
      <w:r w:rsidR="00BF788A" w:rsidRPr="00BF788A">
        <w:rPr>
          <w:rFonts w:hint="eastAsia"/>
          <w:szCs w:val="26"/>
        </w:rPr>
        <w:t>，</w:t>
      </w:r>
      <w:r w:rsidR="00BF788A" w:rsidRPr="00BF788A">
        <w:rPr>
          <w:szCs w:val="26"/>
        </w:rPr>
        <w:t>計算</w:t>
      </w:r>
      <w:r w:rsidR="00BF788A" w:rsidRPr="00BF788A">
        <w:rPr>
          <w:rFonts w:hint="eastAsia"/>
          <w:szCs w:val="26"/>
        </w:rPr>
        <w:t>得出</w:t>
      </w:r>
      <w:r w:rsidR="00BF788A" w:rsidRPr="00BF788A">
        <w:rPr>
          <w:szCs w:val="26"/>
        </w:rPr>
        <w:t>核能後端營運總費用</w:t>
      </w:r>
      <w:r w:rsidR="00BF788A" w:rsidRPr="00BF788A">
        <w:rPr>
          <w:rFonts w:hint="eastAsia"/>
          <w:szCs w:val="26"/>
        </w:rPr>
        <w:t>及</w:t>
      </w:r>
      <w:r w:rsidR="00BF788A" w:rsidRPr="00BF788A">
        <w:rPr>
          <w:szCs w:val="26"/>
        </w:rPr>
        <w:t>每度核能發電分攤率</w:t>
      </w:r>
      <w:r w:rsidR="00BF788A" w:rsidRPr="00BF788A">
        <w:rPr>
          <w:rFonts w:hint="eastAsia"/>
          <w:szCs w:val="26"/>
        </w:rPr>
        <w:t>分別為3,353億、</w:t>
      </w:r>
      <w:r w:rsidR="00BF788A" w:rsidRPr="00BF788A">
        <w:rPr>
          <w:szCs w:val="26"/>
        </w:rPr>
        <w:t>0.</w:t>
      </w:r>
      <w:r w:rsidR="00BF788A" w:rsidRPr="00BF788A">
        <w:rPr>
          <w:rFonts w:hint="eastAsia"/>
          <w:szCs w:val="26"/>
        </w:rPr>
        <w:t>171</w:t>
      </w:r>
      <w:r w:rsidR="00BF788A" w:rsidRPr="00BF788A">
        <w:rPr>
          <w:szCs w:val="26"/>
        </w:rPr>
        <w:t>元/度</w:t>
      </w:r>
      <w:r w:rsidR="00BF788A" w:rsidRPr="00BF788A">
        <w:rPr>
          <w:rFonts w:hint="eastAsia"/>
          <w:szCs w:val="26"/>
        </w:rPr>
        <w:t>；另</w:t>
      </w:r>
      <w:r w:rsidR="00BF788A" w:rsidRPr="00BF788A">
        <w:rPr>
          <w:rFonts w:hAnsi="標楷體" w:hint="eastAsia"/>
          <w:szCs w:val="28"/>
        </w:rPr>
        <w:t>評估核四廠運轉後，預估所增加之後端營運費用約為</w:t>
      </w:r>
      <w:r w:rsidR="00BF788A" w:rsidRPr="00BF788A">
        <w:rPr>
          <w:rFonts w:hAnsi="標楷體"/>
          <w:szCs w:val="28"/>
        </w:rPr>
        <w:t>803</w:t>
      </w:r>
      <w:r w:rsidR="00BF788A" w:rsidRPr="00BF788A">
        <w:rPr>
          <w:rFonts w:hAnsi="標楷體" w:hint="eastAsia"/>
          <w:szCs w:val="28"/>
        </w:rPr>
        <w:t>億元，四廠總費用約為4,156億元，每度核能發電分攤率將降為0.153元/度</w:t>
      </w:r>
      <w:r w:rsidR="00BF788A" w:rsidRPr="00BF788A">
        <w:rPr>
          <w:szCs w:val="26"/>
        </w:rPr>
        <w:t>。</w:t>
      </w:r>
      <w:r w:rsidR="00BF788A" w:rsidRPr="00BF788A">
        <w:rPr>
          <w:rFonts w:hint="eastAsia"/>
          <w:szCs w:val="26"/>
        </w:rPr>
        <w:t>然</w:t>
      </w:r>
      <w:r w:rsidR="00D118BD">
        <w:rPr>
          <w:rFonts w:hint="eastAsia"/>
          <w:szCs w:val="26"/>
        </w:rPr>
        <w:t>前3次估算時，容量因素分別為73</w:t>
      </w:r>
      <w:r w:rsidR="00D118BD" w:rsidRPr="007C2E34">
        <w:rPr>
          <w:rFonts w:hint="eastAsia"/>
          <w:szCs w:val="26"/>
        </w:rPr>
        <w:t>%</w:t>
      </w:r>
      <w:r w:rsidR="00D118BD">
        <w:rPr>
          <w:rFonts w:hint="eastAsia"/>
          <w:szCs w:val="26"/>
        </w:rPr>
        <w:t>、67.3</w:t>
      </w:r>
      <w:r w:rsidR="00D118BD" w:rsidRPr="007C2E34">
        <w:rPr>
          <w:rFonts w:hint="eastAsia"/>
          <w:szCs w:val="26"/>
        </w:rPr>
        <w:t>%</w:t>
      </w:r>
      <w:r w:rsidR="00D118BD">
        <w:rPr>
          <w:rFonts w:hint="eastAsia"/>
          <w:szCs w:val="26"/>
        </w:rPr>
        <w:t>、86.5</w:t>
      </w:r>
      <w:r w:rsidR="00D118BD" w:rsidRPr="007C2E34">
        <w:rPr>
          <w:rFonts w:hint="eastAsia"/>
          <w:szCs w:val="26"/>
        </w:rPr>
        <w:t>%</w:t>
      </w:r>
      <w:r w:rsidR="00D118BD">
        <w:rPr>
          <w:rFonts w:hint="eastAsia"/>
          <w:szCs w:val="26"/>
        </w:rPr>
        <w:t>，</w:t>
      </w:r>
      <w:r w:rsidR="00E2346B" w:rsidRPr="00D7627E">
        <w:rPr>
          <w:rFonts w:hint="eastAsia"/>
          <w:szCs w:val="26"/>
        </w:rPr>
        <w:t>第</w:t>
      </w:r>
      <w:r w:rsidR="00E2346B">
        <w:rPr>
          <w:rFonts w:hint="eastAsia"/>
          <w:szCs w:val="26"/>
        </w:rPr>
        <w:t>3</w:t>
      </w:r>
      <w:r w:rsidR="00E2346B" w:rsidRPr="00D7627E">
        <w:rPr>
          <w:rFonts w:hint="eastAsia"/>
          <w:szCs w:val="26"/>
        </w:rPr>
        <w:t>次</w:t>
      </w:r>
      <w:r w:rsidR="00D118BD" w:rsidRPr="00D7627E">
        <w:rPr>
          <w:szCs w:val="26"/>
        </w:rPr>
        <w:t>90年</w:t>
      </w:r>
      <w:r w:rsidR="00D118BD">
        <w:rPr>
          <w:rFonts w:hint="eastAsia"/>
          <w:szCs w:val="26"/>
        </w:rPr>
        <w:t>之估算時，回饋金之準備金設定為50</w:t>
      </w:r>
      <w:r w:rsidR="00D118BD" w:rsidRPr="007C2E34">
        <w:rPr>
          <w:rFonts w:hint="eastAsia"/>
          <w:szCs w:val="26"/>
        </w:rPr>
        <w:t>%</w:t>
      </w:r>
      <w:r w:rsidR="00D118BD">
        <w:rPr>
          <w:rFonts w:hint="eastAsia"/>
          <w:szCs w:val="26"/>
        </w:rPr>
        <w:t>，其他項目之準備金亦達30</w:t>
      </w:r>
      <w:r w:rsidR="00D118BD" w:rsidRPr="007C2E34">
        <w:rPr>
          <w:rFonts w:hint="eastAsia"/>
          <w:szCs w:val="26"/>
        </w:rPr>
        <w:t>%</w:t>
      </w:r>
      <w:r w:rsidR="00D118BD">
        <w:rPr>
          <w:rFonts w:hint="eastAsia"/>
          <w:szCs w:val="26"/>
        </w:rPr>
        <w:t>，而本次</w:t>
      </w:r>
      <w:r w:rsidR="00BF788A" w:rsidRPr="00BF788A">
        <w:rPr>
          <w:rFonts w:hint="eastAsia"/>
          <w:szCs w:val="26"/>
        </w:rPr>
        <w:t>除</w:t>
      </w:r>
      <w:r w:rsidR="00BF788A" w:rsidRPr="00BF788A">
        <w:rPr>
          <w:rFonts w:hAnsi="標楷體" w:hint="eastAsia"/>
          <w:szCs w:val="28"/>
        </w:rPr>
        <w:t>容量因素設定高</w:t>
      </w:r>
      <w:r w:rsidR="00D118BD">
        <w:rPr>
          <w:rFonts w:hAnsi="標楷體" w:hint="eastAsia"/>
          <w:szCs w:val="28"/>
        </w:rPr>
        <w:t>達89.41</w:t>
      </w:r>
      <w:r w:rsidR="00D118BD" w:rsidRPr="007C2E34">
        <w:rPr>
          <w:rFonts w:hint="eastAsia"/>
          <w:szCs w:val="26"/>
        </w:rPr>
        <w:t>%</w:t>
      </w:r>
      <w:r w:rsidR="00BF788A" w:rsidRPr="00BF788A">
        <w:rPr>
          <w:rFonts w:hAnsi="標楷體" w:hint="eastAsia"/>
          <w:szCs w:val="28"/>
        </w:rPr>
        <w:t>及預備金節僅</w:t>
      </w:r>
      <w:r w:rsidR="00E2346B">
        <w:rPr>
          <w:rFonts w:hAnsi="標楷體" w:hint="eastAsia"/>
          <w:szCs w:val="28"/>
        </w:rPr>
        <w:t>為</w:t>
      </w:r>
      <w:r w:rsidR="00BF788A" w:rsidRPr="00BF788A">
        <w:rPr>
          <w:rFonts w:hAnsi="標楷體" w:hint="eastAsia"/>
          <w:szCs w:val="28"/>
        </w:rPr>
        <w:t>15</w:t>
      </w:r>
      <w:r w:rsidR="00BF788A" w:rsidRPr="00150CE4">
        <w:t>%</w:t>
      </w:r>
      <w:r w:rsidR="00BF788A" w:rsidRPr="00150CE4">
        <w:rPr>
          <w:rFonts w:hint="eastAsia"/>
        </w:rPr>
        <w:t>外</w:t>
      </w:r>
      <w:r w:rsidR="00BF788A" w:rsidRPr="00BF788A">
        <w:rPr>
          <w:rFonts w:hAnsi="標楷體" w:hint="eastAsia"/>
          <w:szCs w:val="28"/>
        </w:rPr>
        <w:t>，亦未考量計入</w:t>
      </w:r>
      <w:r w:rsidR="00BF788A" w:rsidRPr="00150CE4">
        <w:t>核災</w:t>
      </w:r>
      <w:r w:rsidR="00BF788A" w:rsidRPr="00150CE4">
        <w:lastRenderedPageBreak/>
        <w:t>事故</w:t>
      </w:r>
      <w:r w:rsidR="00BF788A" w:rsidRPr="00150CE4">
        <w:rPr>
          <w:rFonts w:hint="eastAsia"/>
        </w:rPr>
        <w:t>、其他外部等</w:t>
      </w:r>
      <w:r w:rsidR="00BF788A" w:rsidRPr="00150CE4">
        <w:t>成本</w:t>
      </w:r>
      <w:r w:rsidR="00BF788A" w:rsidRPr="00BF788A">
        <w:rPr>
          <w:rFonts w:hAnsi="標楷體" w:hint="eastAsia"/>
          <w:szCs w:val="28"/>
        </w:rPr>
        <w:t>，又</w:t>
      </w:r>
      <w:r w:rsidR="00BF788A" w:rsidRPr="00150CE4">
        <w:rPr>
          <w:rFonts w:hint="eastAsia"/>
        </w:rPr>
        <w:t>該估算報告表示</w:t>
      </w:r>
      <w:r w:rsidR="00BF788A" w:rsidRPr="00BF788A">
        <w:rPr>
          <w:szCs w:val="26"/>
        </w:rPr>
        <w:t>目前</w:t>
      </w:r>
      <w:r w:rsidR="00BF788A" w:rsidRPr="00BF788A">
        <w:rPr>
          <w:szCs w:val="32"/>
        </w:rPr>
        <w:t>國際尚無用過核子燃料最終處置場之興建及運轉實例，因此估算有相當之困難度</w:t>
      </w:r>
      <w:r w:rsidR="00BF788A" w:rsidRPr="00BF788A">
        <w:rPr>
          <w:rFonts w:hint="eastAsia"/>
          <w:szCs w:val="26"/>
        </w:rPr>
        <w:t>，惟</w:t>
      </w:r>
      <w:r w:rsidR="00BF788A" w:rsidRPr="003549E1">
        <w:rPr>
          <w:rFonts w:hint="eastAsia"/>
        </w:rPr>
        <w:t>芬蘭及瑞典已</w:t>
      </w:r>
      <w:r w:rsidR="00BF788A">
        <w:rPr>
          <w:rFonts w:hint="eastAsia"/>
        </w:rPr>
        <w:t>由</w:t>
      </w:r>
      <w:r w:rsidR="00BF788A" w:rsidRPr="003549E1">
        <w:rPr>
          <w:rFonts w:hint="eastAsia"/>
        </w:rPr>
        <w:t>民眾公投決定最終處置場址，並已提出建照申請</w:t>
      </w:r>
      <w:r w:rsidR="00B14EB2" w:rsidRPr="00BF788A">
        <w:rPr>
          <w:szCs w:val="32"/>
        </w:rPr>
        <w:t>，</w:t>
      </w:r>
      <w:r w:rsidR="00B14EB2" w:rsidRPr="004A5FE5">
        <w:rPr>
          <w:rFonts w:hAnsi="標楷體"/>
          <w:szCs w:val="28"/>
        </w:rPr>
        <w:t>台電</w:t>
      </w:r>
      <w:r w:rsidR="00B14EB2" w:rsidRPr="004A5FE5">
        <w:rPr>
          <w:rFonts w:hAnsi="標楷體" w:hint="eastAsia"/>
          <w:szCs w:val="28"/>
        </w:rPr>
        <w:t>公司對於核能後端營運費用</w:t>
      </w:r>
      <w:r w:rsidR="00B14EB2">
        <w:rPr>
          <w:rFonts w:hAnsi="標楷體" w:hint="eastAsia"/>
          <w:szCs w:val="28"/>
        </w:rPr>
        <w:t>宜</w:t>
      </w:r>
      <w:r w:rsidR="00B14EB2" w:rsidRPr="004A5FE5">
        <w:rPr>
          <w:rFonts w:hAnsi="標楷體" w:hint="eastAsia"/>
          <w:szCs w:val="28"/>
        </w:rPr>
        <w:t>應進行更適切之</w:t>
      </w:r>
      <w:r w:rsidR="00B14EB2" w:rsidRPr="004A5FE5">
        <w:rPr>
          <w:rFonts w:hAnsi="標楷體"/>
          <w:szCs w:val="28"/>
        </w:rPr>
        <w:t>評估</w:t>
      </w:r>
      <w:r w:rsidR="00B14EB2" w:rsidRPr="004A5FE5">
        <w:rPr>
          <w:rFonts w:hAnsi="標楷體" w:hint="eastAsia"/>
          <w:szCs w:val="28"/>
        </w:rPr>
        <w:t>與</w:t>
      </w:r>
      <w:r w:rsidR="00B14EB2" w:rsidRPr="004A5FE5">
        <w:rPr>
          <w:rFonts w:hAnsi="標楷體"/>
          <w:szCs w:val="28"/>
        </w:rPr>
        <w:t>修正，</w:t>
      </w:r>
      <w:r w:rsidR="00B14EB2">
        <w:rPr>
          <w:rFonts w:hAnsi="標楷體" w:hint="eastAsia"/>
          <w:szCs w:val="28"/>
        </w:rPr>
        <w:t>尤</w:t>
      </w:r>
      <w:r w:rsidR="00B14EB2" w:rsidRPr="004A5FE5">
        <w:rPr>
          <w:rFonts w:hAnsi="標楷體" w:hint="eastAsia"/>
          <w:szCs w:val="28"/>
        </w:rPr>
        <w:t>應</w:t>
      </w:r>
      <w:r w:rsidR="00B14EB2">
        <w:rPr>
          <w:rFonts w:hAnsi="標楷體" w:hint="eastAsia"/>
          <w:szCs w:val="28"/>
        </w:rPr>
        <w:t>參考國外實情</w:t>
      </w:r>
      <w:r w:rsidR="00B14EB2" w:rsidRPr="004A5FE5">
        <w:rPr>
          <w:rFonts w:hAnsi="標楷體"/>
          <w:szCs w:val="28"/>
        </w:rPr>
        <w:t>，以</w:t>
      </w:r>
      <w:r w:rsidR="00B14EB2" w:rsidRPr="009B1397">
        <w:rPr>
          <w:rFonts w:hAnsi="標楷體" w:hint="eastAsia"/>
          <w:bCs w:val="0"/>
          <w:szCs w:val="28"/>
        </w:rPr>
        <w:t>提高估算精準度</w:t>
      </w:r>
      <w:r w:rsidR="00B14EB2">
        <w:rPr>
          <w:rFonts w:hAnsi="標楷體" w:hint="eastAsia"/>
          <w:bCs w:val="0"/>
          <w:szCs w:val="28"/>
        </w:rPr>
        <w:t>，並研究可行之避險機制</w:t>
      </w:r>
      <w:r w:rsidR="00BF788A" w:rsidRPr="00BF788A">
        <w:rPr>
          <w:rFonts w:hint="eastAsia"/>
        </w:rPr>
        <w:t>。</w:t>
      </w:r>
    </w:p>
    <w:p w:rsidR="00C61555" w:rsidRPr="00BB28D7" w:rsidRDefault="00BB28D7" w:rsidP="00BB28D7">
      <w:pPr>
        <w:pStyle w:val="2"/>
        <w:widowControl/>
        <w:numPr>
          <w:ilvl w:val="1"/>
          <w:numId w:val="5"/>
        </w:numPr>
        <w:kinsoku/>
      </w:pPr>
      <w:bookmarkStart w:id="9" w:name="_Toc370476367"/>
      <w:r w:rsidRPr="00821897">
        <w:t>台電</w:t>
      </w:r>
      <w:r>
        <w:rPr>
          <w:rFonts w:hint="eastAsia"/>
        </w:rPr>
        <w:t>公司</w:t>
      </w:r>
      <w:r w:rsidRPr="00BB0598">
        <w:rPr>
          <w:rFonts w:hint="eastAsia"/>
        </w:rPr>
        <w:t>用過核子燃料最終處置</w:t>
      </w:r>
      <w:r>
        <w:rPr>
          <w:rFonts w:hint="eastAsia"/>
        </w:rPr>
        <w:t>計畫，除遭原能會</w:t>
      </w:r>
      <w:r w:rsidRPr="0056454D">
        <w:rPr>
          <w:rFonts w:hint="eastAsia"/>
        </w:rPr>
        <w:t>開立</w:t>
      </w:r>
      <w:r w:rsidRPr="00BB0598">
        <w:rPr>
          <w:rFonts w:hint="eastAsia"/>
        </w:rPr>
        <w:t>6件注意改善事項</w:t>
      </w:r>
      <w:r>
        <w:rPr>
          <w:rFonts w:hint="eastAsia"/>
        </w:rPr>
        <w:t>及1件</w:t>
      </w:r>
      <w:r w:rsidRPr="00BB0598">
        <w:rPr>
          <w:rFonts w:hint="eastAsia"/>
        </w:rPr>
        <w:t>5級違規</w:t>
      </w:r>
      <w:r>
        <w:rPr>
          <w:rFonts w:hint="eastAsia"/>
        </w:rPr>
        <w:t>外，</w:t>
      </w:r>
      <w:r w:rsidRPr="00AA63B9">
        <w:rPr>
          <w:rFonts w:hint="eastAsia"/>
        </w:rPr>
        <w:t>且已借貸9成之</w:t>
      </w:r>
      <w:r w:rsidRPr="00472F62">
        <w:rPr>
          <w:rFonts w:hint="eastAsia"/>
        </w:rPr>
        <w:t>核能發電後端營運基金</w:t>
      </w:r>
      <w:r w:rsidRPr="00AA63B9">
        <w:rPr>
          <w:rFonts w:hint="eastAsia"/>
        </w:rPr>
        <w:t>，台電公司應妥為規劃逐年之償還計畫，俾利未來</w:t>
      </w:r>
      <w:r>
        <w:rPr>
          <w:rFonts w:hint="eastAsia"/>
        </w:rPr>
        <w:t>核能後端營運之相關作</w:t>
      </w:r>
      <w:r w:rsidRPr="004C081C">
        <w:rPr>
          <w:rFonts w:hint="eastAsia"/>
          <w:color w:val="000000" w:themeColor="text1"/>
          <w:szCs w:val="26"/>
        </w:rPr>
        <w:t>業</w:t>
      </w:r>
      <w:r w:rsidR="00F57C46" w:rsidRPr="00F57C46">
        <w:rPr>
          <w:rFonts w:hint="eastAsia"/>
          <w:color w:val="000000" w:themeColor="text1"/>
          <w:szCs w:val="26"/>
        </w:rPr>
        <w:t>：</w:t>
      </w:r>
      <w:bookmarkEnd w:id="9"/>
    </w:p>
    <w:p w:rsidR="00BB28D7" w:rsidRDefault="00BB28D7" w:rsidP="00BB28D7">
      <w:pPr>
        <w:pStyle w:val="3"/>
        <w:widowControl/>
        <w:numPr>
          <w:ilvl w:val="2"/>
          <w:numId w:val="5"/>
        </w:numPr>
        <w:kinsoku/>
      </w:pPr>
      <w:r>
        <w:rPr>
          <w:rFonts w:hint="eastAsia"/>
        </w:rPr>
        <w:t>查</w:t>
      </w:r>
      <w:r w:rsidRPr="00BB0598">
        <w:rPr>
          <w:rFonts w:hint="eastAsia"/>
        </w:rPr>
        <w:t>依據原能會20</w:t>
      </w:r>
      <w:r>
        <w:rPr>
          <w:rFonts w:hint="eastAsia"/>
        </w:rPr>
        <w:t>10</w:t>
      </w:r>
      <w:r w:rsidRPr="00BB0598">
        <w:rPr>
          <w:rFonts w:hint="eastAsia"/>
        </w:rPr>
        <w:t>年核定之「用過核子燃料最終處置計畫書」，全程工作規劃自2005年至2055年完成處置場建造為止，共分為「潛在處置母岩特性調查與評估階段」(2005~2017年)、「候選場址評選與核定階段」(2018~2028年)、「場址詳細調查與試驗階段」(2029~2038年)、「處置場設計與安全分析評估階段」(2039~2044年)及「處置場建造階段」(2045~2055年)等五階段進行。目前該處置計畫第一階段「潛在處置母岩特性調查與評估階段」之重要工作規劃，包括於2009年提出「我國用過核子燃料最終處置初步技術可行性評估報告」及2017年提出「我國用過核子燃料最終處置技術可行性評估報告」，用以說明國內處置用過核子燃料之技術可行性，其內容涵蓋處置環境調查、處置概念研究發展，以及安全評估技術發展等三大部分。</w:t>
      </w:r>
      <w:r>
        <w:rPr>
          <w:rFonts w:hint="eastAsia"/>
        </w:rPr>
        <w:t>又</w:t>
      </w:r>
      <w:r w:rsidRPr="0056454D">
        <w:rPr>
          <w:rFonts w:hint="eastAsia"/>
        </w:rPr>
        <w:t>原能會放射</w:t>
      </w:r>
      <w:r w:rsidRPr="0056454D">
        <w:rPr>
          <w:rFonts w:hint="eastAsia"/>
          <w:bCs w:val="0"/>
        </w:rPr>
        <w:t>性物料管理局</w:t>
      </w:r>
      <w:r w:rsidRPr="0056454D">
        <w:rPr>
          <w:rFonts w:hint="eastAsia"/>
        </w:rPr>
        <w:t>於101年9月28日執行台電公司「用過核子燃料最終處置計畫-1</w:t>
      </w:r>
      <w:r w:rsidRPr="00BB0598">
        <w:rPr>
          <w:rFonts w:hint="eastAsia"/>
        </w:rPr>
        <w:t>01年度專案檢查」時，曾對台電公司開立專職人力嚴重不足、國際技術合作成效不彰、未依計畫書確實執行宣導</w:t>
      </w:r>
      <w:r w:rsidRPr="00BB0598">
        <w:rPr>
          <w:rFonts w:hint="eastAsia"/>
        </w:rPr>
        <w:lastRenderedPageBreak/>
        <w:t>及資訊公開與民眾溝通工作、專案品質保證計畫逕自刪除廠商之外部稽核頻度要求、未定期檢討更新專案品保計畫、處置計畫成果報告未提供文件品質查核資料等6件注意改善事項。</w:t>
      </w:r>
    </w:p>
    <w:p w:rsidR="00BB28D7" w:rsidRPr="00BB28D7" w:rsidRDefault="00BB28D7" w:rsidP="00BB28D7">
      <w:pPr>
        <w:pStyle w:val="3"/>
        <w:widowControl/>
        <w:numPr>
          <w:ilvl w:val="2"/>
          <w:numId w:val="5"/>
        </w:numPr>
        <w:kinsoku/>
      </w:pPr>
      <w:r>
        <w:rPr>
          <w:rFonts w:hint="eastAsia"/>
        </w:rPr>
        <w:t>次查</w:t>
      </w:r>
      <w:r w:rsidRPr="00BB0598">
        <w:rPr>
          <w:rFonts w:hint="eastAsia"/>
        </w:rPr>
        <w:t>原能會於審查台電公司102年工作計畫時，就該公司對於「用過核子燃料最終處置之工作計畫，未妥善研提，不符合用過核子燃料最終處置計畫書(2010年修訂版)應執行事項，品質明顯欠佳，對切實推動處置計畫有不良影響」，於102年1月10日開立5級違規，要求台電公司切實改善。台電公司未能有效落實處置計畫管理，對切實推動最終處置計畫顯有不利影響。</w:t>
      </w:r>
      <w:r>
        <w:rPr>
          <w:rFonts w:hint="eastAsia"/>
          <w:bCs w:val="0"/>
        </w:rPr>
        <w:t>又</w:t>
      </w:r>
      <w:r w:rsidR="009C3398" w:rsidRPr="008E057A">
        <w:rPr>
          <w:rFonts w:hint="eastAsia"/>
        </w:rPr>
        <w:t>因國際化石燃料價格</w:t>
      </w:r>
      <w:r w:rsidR="009C3398">
        <w:rPr>
          <w:rFonts w:hint="eastAsia"/>
        </w:rPr>
        <w:t>自</w:t>
      </w:r>
      <w:r w:rsidR="009C3398" w:rsidRPr="008E057A">
        <w:t>92</w:t>
      </w:r>
      <w:r w:rsidR="009C3398" w:rsidRPr="008E057A">
        <w:rPr>
          <w:rFonts w:hint="eastAsia"/>
        </w:rPr>
        <w:t>年至</w:t>
      </w:r>
      <w:r w:rsidR="009C3398" w:rsidRPr="008E057A">
        <w:t>10</w:t>
      </w:r>
      <w:r w:rsidR="009C3398" w:rsidRPr="008E057A">
        <w:rPr>
          <w:rFonts w:hint="eastAsia"/>
        </w:rPr>
        <w:t>1年以來，石油、煤、天然氣</w:t>
      </w:r>
      <w:r w:rsidR="009C3398">
        <w:rPr>
          <w:rFonts w:hint="eastAsia"/>
        </w:rPr>
        <w:t>之</w:t>
      </w:r>
      <w:r w:rsidR="009C3398" w:rsidRPr="008E057A">
        <w:rPr>
          <w:rFonts w:hint="eastAsia"/>
        </w:rPr>
        <w:t>上漲幅度分別高達309％、268％、199％，台電公司因配合政府發展潔淨能源政策，而增加高成本</w:t>
      </w:r>
      <w:r w:rsidR="009C3398">
        <w:rPr>
          <w:rFonts w:hint="eastAsia"/>
        </w:rPr>
        <w:t>之</w:t>
      </w:r>
      <w:r w:rsidR="009C3398" w:rsidRPr="008E057A">
        <w:rPr>
          <w:rFonts w:hint="eastAsia"/>
        </w:rPr>
        <w:t>燃氣發電配比，</w:t>
      </w:r>
      <w:r w:rsidR="009C3398">
        <w:rPr>
          <w:rFonts w:hint="eastAsia"/>
        </w:rPr>
        <w:t>造成</w:t>
      </w:r>
      <w:r w:rsidR="009C3398" w:rsidRPr="008E057A">
        <w:rPr>
          <w:rFonts w:ascii="Times New Roman" w:hAnsi="Times New Roman" w:hint="eastAsia"/>
          <w:szCs w:val="32"/>
        </w:rPr>
        <w:t>發電燃料及購電成本大幅增加，然同期間平均電價僅增加</w:t>
      </w:r>
      <w:r w:rsidR="009C3398" w:rsidRPr="008E057A">
        <w:rPr>
          <w:rFonts w:ascii="Times New Roman" w:hAnsi="Times New Roman"/>
          <w:szCs w:val="32"/>
        </w:rPr>
        <w:t>26</w:t>
      </w:r>
      <w:r w:rsidR="009C3398" w:rsidRPr="008E057A">
        <w:rPr>
          <w:rFonts w:ascii="Times New Roman" w:hAnsi="Times New Roman" w:hint="eastAsia"/>
          <w:szCs w:val="32"/>
        </w:rPr>
        <w:t>％，自</w:t>
      </w:r>
      <w:r w:rsidR="009C3398" w:rsidRPr="008E057A">
        <w:rPr>
          <w:rFonts w:ascii="Times New Roman" w:hAnsi="Times New Roman"/>
          <w:szCs w:val="32"/>
        </w:rPr>
        <w:t>92</w:t>
      </w:r>
      <w:r w:rsidR="009C3398" w:rsidRPr="008E057A">
        <w:rPr>
          <w:rFonts w:ascii="Times New Roman" w:hAnsi="Times New Roman" w:hint="eastAsia"/>
          <w:szCs w:val="32"/>
        </w:rPr>
        <w:t>年起該公司獲利即大幅減少，</w:t>
      </w:r>
      <w:r w:rsidR="009C3398" w:rsidRPr="008E057A">
        <w:rPr>
          <w:rFonts w:ascii="Times New Roman" w:hAnsi="Times New Roman"/>
          <w:szCs w:val="32"/>
        </w:rPr>
        <w:t>95</w:t>
      </w:r>
      <w:r w:rsidR="009C3398" w:rsidRPr="008E057A">
        <w:rPr>
          <w:rFonts w:ascii="Times New Roman" w:hAnsi="Times New Roman" w:hint="eastAsia"/>
          <w:szCs w:val="32"/>
        </w:rPr>
        <w:t>年</w:t>
      </w:r>
      <w:r w:rsidR="009C3398">
        <w:rPr>
          <w:rFonts w:ascii="Times New Roman" w:hAnsi="Times New Roman" w:hint="eastAsia"/>
          <w:szCs w:val="32"/>
        </w:rPr>
        <w:t>即</w:t>
      </w:r>
      <w:r w:rsidR="009C3398" w:rsidRPr="008E057A">
        <w:rPr>
          <w:rFonts w:ascii="Times New Roman" w:hAnsi="Times New Roman" w:hint="eastAsia"/>
          <w:szCs w:val="32"/>
        </w:rPr>
        <w:t>首</w:t>
      </w:r>
      <w:r w:rsidR="009C3398">
        <w:rPr>
          <w:rFonts w:ascii="Times New Roman" w:hAnsi="Times New Roman" w:hint="eastAsia"/>
          <w:szCs w:val="32"/>
        </w:rPr>
        <w:t>度產生虧損</w:t>
      </w:r>
      <w:r w:rsidR="009C3398" w:rsidRPr="001C36C8">
        <w:rPr>
          <w:rFonts w:ascii="Times New Roman" w:hAnsi="Times New Roman" w:hint="eastAsia"/>
          <w:szCs w:val="32"/>
        </w:rPr>
        <w:t>迄今，截至</w:t>
      </w:r>
      <w:r w:rsidR="009C3398" w:rsidRPr="001C36C8">
        <w:rPr>
          <w:rFonts w:ascii="Times New Roman" w:hAnsi="Times New Roman" w:hint="eastAsia"/>
          <w:szCs w:val="32"/>
        </w:rPr>
        <w:t>101</w:t>
      </w:r>
      <w:r w:rsidR="009C3398" w:rsidRPr="001C36C8">
        <w:rPr>
          <w:rFonts w:ascii="Times New Roman" w:hAnsi="Times New Roman" w:hint="eastAsia"/>
          <w:szCs w:val="32"/>
        </w:rPr>
        <w:t>年度已連續虧損</w:t>
      </w:r>
      <w:r w:rsidR="009C3398" w:rsidRPr="001C36C8">
        <w:rPr>
          <w:rFonts w:ascii="Times New Roman" w:hAnsi="Times New Roman" w:hint="eastAsia"/>
          <w:szCs w:val="32"/>
        </w:rPr>
        <w:t>7</w:t>
      </w:r>
      <w:r w:rsidR="009C3398" w:rsidRPr="001C36C8">
        <w:rPr>
          <w:rFonts w:ascii="Times New Roman" w:hAnsi="Times New Roman" w:hint="eastAsia"/>
          <w:szCs w:val="32"/>
        </w:rPr>
        <w:t>個年度，累計虧損金額高達</w:t>
      </w:r>
      <w:r w:rsidR="009C3398" w:rsidRPr="001C36C8">
        <w:rPr>
          <w:rFonts w:ascii="Times New Roman" w:hAnsi="Times New Roman" w:hint="eastAsia"/>
          <w:szCs w:val="32"/>
        </w:rPr>
        <w:t>2,658</w:t>
      </w:r>
      <w:r w:rsidR="009C3398" w:rsidRPr="001C36C8">
        <w:rPr>
          <w:rFonts w:ascii="Times New Roman" w:hAnsi="Times New Roman" w:hint="eastAsia"/>
          <w:szCs w:val="32"/>
        </w:rPr>
        <w:t>億餘元，經該公司撥用以前年度盈餘及法定公積彌補後，帳上仍有待填補之累積虧損為</w:t>
      </w:r>
      <w:r w:rsidR="009C3398" w:rsidRPr="001C36C8">
        <w:rPr>
          <w:rFonts w:ascii="Times New Roman" w:hAnsi="Times New Roman" w:hint="eastAsia"/>
          <w:szCs w:val="32"/>
        </w:rPr>
        <w:t>1,931</w:t>
      </w:r>
      <w:r w:rsidR="009C3398" w:rsidRPr="001C36C8">
        <w:rPr>
          <w:rFonts w:ascii="Times New Roman" w:hAnsi="Times New Roman" w:hint="eastAsia"/>
          <w:szCs w:val="32"/>
        </w:rPr>
        <w:t>億餘元，</w:t>
      </w:r>
      <w:r w:rsidR="009C3398">
        <w:rPr>
          <w:rFonts w:ascii="Times New Roman" w:hAnsi="Times New Roman" w:hint="eastAsia"/>
          <w:szCs w:val="32"/>
        </w:rPr>
        <w:t>其中</w:t>
      </w:r>
      <w:r w:rsidR="009C3398" w:rsidRPr="001C36C8">
        <w:rPr>
          <w:rFonts w:hAnsi="標楷體" w:hint="eastAsia"/>
        </w:rPr>
        <w:t>99至101年度虧損高達1,538億餘元</w:t>
      </w:r>
      <w:r w:rsidR="009C3398">
        <w:rPr>
          <w:rFonts w:hAnsi="標楷體" w:hint="eastAsia"/>
        </w:rPr>
        <w:t>。而</w:t>
      </w:r>
      <w:r w:rsidRPr="00BB0598">
        <w:rPr>
          <w:rFonts w:hint="eastAsia"/>
        </w:rPr>
        <w:t>台電公司</w:t>
      </w:r>
      <w:r w:rsidRPr="00BF788A">
        <w:rPr>
          <w:rFonts w:hint="eastAsia"/>
        </w:rPr>
        <w:t>以國內核能發電每年發電量390億度計算，目前每年約可提撥66億元之後端營運費用(不計孳息</w:t>
      </w:r>
      <w:r>
        <w:rPr>
          <w:rFonts w:hint="eastAsia"/>
        </w:rPr>
        <w:t>)</w:t>
      </w:r>
      <w:r w:rsidRPr="00BF788A">
        <w:rPr>
          <w:rFonts w:hint="eastAsia"/>
        </w:rPr>
        <w:t>，自76年至102年7月底止，核能發電後端營運基金累計淨值達2,298.67億元，然除中央銀行國庫局定期存款13.37億元、購買政府10年期公債10</w:t>
      </w:r>
      <w:r w:rsidRPr="00BF788A">
        <w:rPr>
          <w:rFonts w:hint="eastAsia"/>
          <w:szCs w:val="32"/>
        </w:rPr>
        <w:t>筆</w:t>
      </w:r>
      <w:r w:rsidRPr="00BF788A">
        <w:rPr>
          <w:rFonts w:hint="eastAsia"/>
        </w:rPr>
        <w:t>外，其他則貸予虧損嚴重之台電公司1,949.70億元</w:t>
      </w:r>
      <w:r>
        <w:rPr>
          <w:rFonts w:hint="eastAsia"/>
          <w:szCs w:val="32"/>
        </w:rPr>
        <w:t>，台電公司應妥為規劃逐年之償還計畫，俾利未來</w:t>
      </w:r>
      <w:r>
        <w:rPr>
          <w:rFonts w:hint="eastAsia"/>
        </w:rPr>
        <w:t>核能後端營運之相關作業</w:t>
      </w:r>
      <w:r w:rsidRPr="00BF788A">
        <w:rPr>
          <w:rFonts w:hint="eastAsia"/>
          <w:color w:val="000000" w:themeColor="text1"/>
          <w:szCs w:val="26"/>
        </w:rPr>
        <w:t>。</w:t>
      </w:r>
    </w:p>
    <w:p w:rsidR="00BB28D7" w:rsidRDefault="00BB28D7" w:rsidP="00BB28D7">
      <w:pPr>
        <w:pStyle w:val="3"/>
        <w:widowControl/>
        <w:numPr>
          <w:ilvl w:val="2"/>
          <w:numId w:val="5"/>
        </w:numPr>
        <w:kinsoku/>
      </w:pPr>
      <w:r>
        <w:rPr>
          <w:rFonts w:hint="eastAsia"/>
        </w:rPr>
        <w:lastRenderedPageBreak/>
        <w:t>綜上，</w:t>
      </w:r>
      <w:r w:rsidRPr="008B037A">
        <w:rPr>
          <w:rFonts w:hint="eastAsia"/>
        </w:rPr>
        <w:t>台電公司</w:t>
      </w:r>
      <w:r w:rsidRPr="00BB0598">
        <w:rPr>
          <w:rFonts w:hint="eastAsia"/>
        </w:rPr>
        <w:t>目前進行用過核子燃料最終處置計畫之第一階段「潛在處置母岩特性調查與評</w:t>
      </w:r>
      <w:r w:rsidRPr="0056454D">
        <w:rPr>
          <w:rFonts w:hint="eastAsia"/>
        </w:rPr>
        <w:t>估階段」，</w:t>
      </w:r>
      <w:r>
        <w:rPr>
          <w:rFonts w:hint="eastAsia"/>
        </w:rPr>
        <w:t>因</w:t>
      </w:r>
      <w:r w:rsidRPr="0056454D">
        <w:rPr>
          <w:rFonts w:hint="eastAsia"/>
        </w:rPr>
        <w:t>未能有效落實處置計畫管理，</w:t>
      </w:r>
      <w:r>
        <w:rPr>
          <w:rFonts w:hint="eastAsia"/>
        </w:rPr>
        <w:t>以及</w:t>
      </w:r>
      <w:r w:rsidRPr="00BB0598">
        <w:rPr>
          <w:rFonts w:hint="eastAsia"/>
        </w:rPr>
        <w:t>未妥善研提「用過核子燃料最終處置之工作計畫</w:t>
      </w:r>
      <w:r w:rsidRPr="0056454D">
        <w:rPr>
          <w:rFonts w:hint="eastAsia"/>
        </w:rPr>
        <w:t>」，致遭</w:t>
      </w:r>
      <w:r w:rsidRPr="00BF788A">
        <w:rPr>
          <w:rFonts w:hint="eastAsia"/>
        </w:rPr>
        <w:t>原能會</w:t>
      </w:r>
      <w:r w:rsidRPr="0056454D">
        <w:rPr>
          <w:rFonts w:hint="eastAsia"/>
        </w:rPr>
        <w:t>開立</w:t>
      </w:r>
      <w:r w:rsidRPr="00BB0598">
        <w:rPr>
          <w:rFonts w:hint="eastAsia"/>
        </w:rPr>
        <w:t>6件注意改善事項</w:t>
      </w:r>
      <w:r>
        <w:rPr>
          <w:rFonts w:hint="eastAsia"/>
        </w:rPr>
        <w:t>及1</w:t>
      </w:r>
      <w:r w:rsidRPr="00BB0598">
        <w:rPr>
          <w:rFonts w:hint="eastAsia"/>
        </w:rPr>
        <w:t>件5級違規。</w:t>
      </w:r>
      <w:r w:rsidRPr="00BF788A">
        <w:rPr>
          <w:rFonts w:hint="eastAsia"/>
        </w:rPr>
        <w:t>另以國內核能發電每年發電量390億度計算，目前每年約可提撥66億元之後端營運費用(不計孳息) ，自76年至102年7月底止，核能發電後端營運基金累計淨值達2,298.67億元，然除中央銀行國庫局定期存款13.37億元、購買政府10年期公債10</w:t>
      </w:r>
      <w:r w:rsidRPr="00BF788A">
        <w:rPr>
          <w:rFonts w:hint="eastAsia"/>
          <w:szCs w:val="32"/>
        </w:rPr>
        <w:t>筆</w:t>
      </w:r>
      <w:r w:rsidRPr="00BF788A">
        <w:rPr>
          <w:rFonts w:hint="eastAsia"/>
        </w:rPr>
        <w:t>外，其他則貸予虧損嚴重之台電公司1,949.70億元</w:t>
      </w:r>
      <w:r>
        <w:rPr>
          <w:rFonts w:hint="eastAsia"/>
          <w:szCs w:val="32"/>
        </w:rPr>
        <w:t>，台電公司應妥為規劃逐年之償還計畫，俾利未來</w:t>
      </w:r>
      <w:r>
        <w:rPr>
          <w:rFonts w:hint="eastAsia"/>
        </w:rPr>
        <w:t>核能後端營運之相關作業</w:t>
      </w:r>
      <w:r w:rsidRPr="00BF788A">
        <w:rPr>
          <w:rFonts w:hint="eastAsia"/>
          <w:color w:val="000000" w:themeColor="text1"/>
          <w:szCs w:val="26"/>
        </w:rPr>
        <w:t>。</w:t>
      </w:r>
    </w:p>
    <w:p w:rsidR="00182556" w:rsidRPr="002C087E" w:rsidRDefault="00182556" w:rsidP="00182556">
      <w:pPr>
        <w:pStyle w:val="2"/>
        <w:widowControl/>
        <w:numPr>
          <w:ilvl w:val="1"/>
          <w:numId w:val="5"/>
        </w:numPr>
        <w:kinsoku/>
      </w:pPr>
      <w:bookmarkStart w:id="10" w:name="_Toc370476368"/>
      <w:r w:rsidRPr="002C087E">
        <w:rPr>
          <w:rFonts w:hint="eastAsia"/>
        </w:rPr>
        <w:t>經濟部及台電公司</w:t>
      </w:r>
      <w:r>
        <w:rPr>
          <w:rFonts w:hint="eastAsia"/>
        </w:rPr>
        <w:t>針對外界</w:t>
      </w:r>
      <w:r w:rsidRPr="002C087E">
        <w:rPr>
          <w:rFonts w:hint="eastAsia"/>
        </w:rPr>
        <w:t>有關核能發電成本</w:t>
      </w:r>
      <w:r>
        <w:rPr>
          <w:rFonts w:hint="eastAsia"/>
        </w:rPr>
        <w:t>的</w:t>
      </w:r>
      <w:r w:rsidRPr="002C087E">
        <w:rPr>
          <w:rFonts w:hint="eastAsia"/>
        </w:rPr>
        <w:t>質疑，除應加強對外溝通及宣導有關核能安全及防護事項之外，</w:t>
      </w:r>
      <w:r>
        <w:rPr>
          <w:rFonts w:hint="eastAsia"/>
        </w:rPr>
        <w:t>更應就</w:t>
      </w:r>
      <w:r w:rsidRPr="002C087E">
        <w:rPr>
          <w:rFonts w:hint="eastAsia"/>
        </w:rPr>
        <w:t>核能發電成本計算方式</w:t>
      </w:r>
      <w:r>
        <w:rPr>
          <w:rFonts w:hint="eastAsia"/>
        </w:rPr>
        <w:t>，經由國際比較，以客觀而科學的數據，提出有理有力的說明，勇於面對</w:t>
      </w:r>
      <w:r w:rsidRPr="002C087E">
        <w:rPr>
          <w:rFonts w:hint="eastAsia"/>
        </w:rPr>
        <w:t>，</w:t>
      </w:r>
      <w:r>
        <w:rPr>
          <w:rFonts w:hint="eastAsia"/>
        </w:rPr>
        <w:t>接受檢驗，俾努力逐步</w:t>
      </w:r>
      <w:r w:rsidRPr="002C087E">
        <w:rPr>
          <w:rFonts w:hint="eastAsia"/>
        </w:rPr>
        <w:t>釐清民眾之疑</w:t>
      </w:r>
      <w:r>
        <w:rPr>
          <w:rFonts w:hint="eastAsia"/>
        </w:rPr>
        <w:t>慮與不安</w:t>
      </w:r>
      <w:r w:rsidRPr="002C087E">
        <w:rPr>
          <w:rFonts w:hint="eastAsia"/>
        </w:rPr>
        <w:t>：</w:t>
      </w:r>
      <w:bookmarkEnd w:id="10"/>
      <w:r w:rsidRPr="002C087E">
        <w:t xml:space="preserve"> </w:t>
      </w:r>
    </w:p>
    <w:p w:rsidR="00182556" w:rsidRDefault="00182556" w:rsidP="00182556">
      <w:pPr>
        <w:pStyle w:val="3"/>
        <w:ind w:left="1360" w:hanging="680"/>
      </w:pPr>
      <w:r w:rsidRPr="00AE40D3">
        <w:rPr>
          <w:rFonts w:hAnsi="標楷體" w:hint="eastAsia"/>
          <w:szCs w:val="32"/>
        </w:rPr>
        <w:t>日本福島核電廠事故後，國內核能發電存在之必要性及安全性經常受到質疑，甚而對台灣核能發電成本亦有不同之陳訴，諸如：</w:t>
      </w:r>
      <w:r>
        <w:rPr>
          <w:rFonts w:hint="eastAsia"/>
        </w:rPr>
        <w:t>本案陳訴人陳訴</w:t>
      </w:r>
      <w:r w:rsidRPr="00182556">
        <w:rPr>
          <w:rFonts w:hint="eastAsia"/>
        </w:rPr>
        <w:t>國內</w:t>
      </w:r>
      <w:r>
        <w:rPr>
          <w:rFonts w:hint="eastAsia"/>
        </w:rPr>
        <w:t>核能發電成本，長年遭受台電公司以會計成本替代真實發電的經濟成本，導致核能發電成本的真實價格</w:t>
      </w:r>
      <w:r w:rsidRPr="00AE40D3">
        <w:rPr>
          <w:rFonts w:hint="eastAsia"/>
          <w:color w:val="0000FF"/>
        </w:rPr>
        <w:t>，</w:t>
      </w:r>
      <w:r>
        <w:rPr>
          <w:rFonts w:hint="eastAsia"/>
        </w:rPr>
        <w:t>長期被刻意高度低估、台電公司老是拿自己編製的核電「會計成本」來欺騙誤導社會大眾、核電預算沒計入燃料費、抽蓄式水力發電未被列入核電成本</w:t>
      </w:r>
      <w:r w:rsidR="00AC1973">
        <w:rPr>
          <w:rFonts w:hint="eastAsia"/>
        </w:rPr>
        <w:t>及陳謨星教授所指陳「核電便宜」</w:t>
      </w:r>
      <w:r w:rsidR="00AE40D3">
        <w:rPr>
          <w:rFonts w:hint="eastAsia"/>
        </w:rPr>
        <w:t>質疑。</w:t>
      </w:r>
    </w:p>
    <w:p w:rsidR="000251A4" w:rsidRDefault="00AE40D3" w:rsidP="00AE2CE0">
      <w:pPr>
        <w:pStyle w:val="3"/>
        <w:kinsoku/>
        <w:ind w:left="1360" w:hanging="680"/>
      </w:pPr>
      <w:r>
        <w:rPr>
          <w:rFonts w:hint="eastAsia"/>
        </w:rPr>
        <w:t>查</w:t>
      </w:r>
      <w:r w:rsidR="002D1BF0">
        <w:rPr>
          <w:rFonts w:hint="eastAsia"/>
        </w:rPr>
        <w:t>依</w:t>
      </w:r>
      <w:r w:rsidR="00406003">
        <w:rPr>
          <w:rFonts w:hint="eastAsia"/>
        </w:rPr>
        <w:t>前揭調查意見一（四）及（五）之</w:t>
      </w:r>
      <w:r w:rsidR="002D1BF0">
        <w:rPr>
          <w:rFonts w:hint="eastAsia"/>
        </w:rPr>
        <w:t>所指</w:t>
      </w:r>
      <w:r w:rsidR="000251A4">
        <w:rPr>
          <w:rFonts w:hint="eastAsia"/>
        </w:rPr>
        <w:t>，</w:t>
      </w:r>
      <w:r w:rsidR="00406003">
        <w:rPr>
          <w:rFonts w:hint="eastAsia"/>
        </w:rPr>
        <w:t>該公司</w:t>
      </w:r>
      <w:r w:rsidR="000251A4">
        <w:rPr>
          <w:rFonts w:hint="eastAsia"/>
        </w:rPr>
        <w:t>計算核一、二、三廠之發電成本，</w:t>
      </w:r>
      <w:r w:rsidR="00FE3AB5">
        <w:rPr>
          <w:rFonts w:hint="eastAsia"/>
        </w:rPr>
        <w:t>係屬「會計成</w:t>
      </w:r>
      <w:r w:rsidR="00FE3AB5">
        <w:rPr>
          <w:rFonts w:hint="eastAsia"/>
        </w:rPr>
        <w:lastRenderedPageBreak/>
        <w:t>本」，包括燃料、營運費用、折舊及後端營運費用，惟</w:t>
      </w:r>
      <w:r w:rsidR="000251A4">
        <w:rPr>
          <w:rFonts w:hint="eastAsia"/>
        </w:rPr>
        <w:t>未計入利息及總管理處與其他單位分攤數，該等分攤數僅於計算各類型發電成本時始計入。又核一、二、三廠核能機組之折舊於99年2月以前均已提滿，該公司仍有核能發電折舊的發生，主要係因於電廠營運過程中所進行的後續增添及更新設備，及折舊年數較長的核能發電用房屋及建築仍在繼續計提。</w:t>
      </w:r>
    </w:p>
    <w:p w:rsidR="00182556" w:rsidRDefault="000251A4" w:rsidP="00AE40D3">
      <w:pPr>
        <w:pStyle w:val="3"/>
        <w:widowControl/>
        <w:numPr>
          <w:ilvl w:val="2"/>
          <w:numId w:val="5"/>
        </w:numPr>
      </w:pPr>
      <w:r>
        <w:rPr>
          <w:rFonts w:hint="eastAsia"/>
        </w:rPr>
        <w:t>次查</w:t>
      </w:r>
      <w:r w:rsidR="00182556">
        <w:rPr>
          <w:rFonts w:hint="eastAsia"/>
        </w:rPr>
        <w:t>台電公司於本院約詢前提供之書面資料表示，核四計畫均化發電成本之評估方法與國際電業或研究機構（包括</w:t>
      </w:r>
      <w:r w:rsidR="00182556" w:rsidRPr="003E5FE6">
        <w:rPr>
          <w:rFonts w:hint="eastAsia"/>
        </w:rPr>
        <w:t>IEA/IAEA【</w:t>
      </w:r>
      <w:r w:rsidR="0085056F" w:rsidRPr="003E5FE6">
        <w:rPr>
          <w:rFonts w:hint="eastAsia"/>
        </w:rPr>
        <w:t>國際能源總署/國際原子能機構</w:t>
      </w:r>
      <w:r w:rsidR="00182556" w:rsidRPr="003E5FE6">
        <w:rPr>
          <w:rFonts w:hint="eastAsia"/>
        </w:rPr>
        <w:t>】</w:t>
      </w:r>
      <w:r w:rsidR="00182556">
        <w:rPr>
          <w:rFonts w:hint="eastAsia"/>
        </w:rPr>
        <w:t>）評估「新興發電投資計畫」經濟性採用之方法相同，雖然計算方式相同，但因各國能源價格、建造成本、或資金成本（折現率）等參數之差異，均化發電成本之計算結果也可能彼此不同。</w:t>
      </w:r>
    </w:p>
    <w:p w:rsidR="00182556" w:rsidRPr="004A0372" w:rsidRDefault="00182556" w:rsidP="00182556">
      <w:pPr>
        <w:pStyle w:val="3"/>
        <w:widowControl/>
        <w:numPr>
          <w:ilvl w:val="2"/>
          <w:numId w:val="5"/>
        </w:numPr>
        <w:kinsoku/>
      </w:pPr>
      <w:r>
        <w:rPr>
          <w:rFonts w:hint="eastAsia"/>
        </w:rPr>
        <w:t>再查</w:t>
      </w:r>
      <w:r w:rsidRPr="00143EE9">
        <w:rPr>
          <w:rFonts w:hAnsi="標楷體" w:hint="eastAsia"/>
          <w:szCs w:val="32"/>
        </w:rPr>
        <w:t>台電公司總經理於本院約詢時表示，在20年前基載電力足夠時，用核能的電力來抽水是對的，因為晚間核能發電不能停機，就將核能多的電力用到抽蓄電廠，</w:t>
      </w:r>
      <w:r w:rsidRPr="00FE0C85">
        <w:rPr>
          <w:rFonts w:hAnsi="標楷體" w:hint="eastAsia"/>
          <w:szCs w:val="32"/>
        </w:rPr>
        <w:t>但目前基載電力不足，抽蓄電廠是用火力電廠的電力來抽水</w:t>
      </w:r>
      <w:r w:rsidRPr="00143EE9">
        <w:rPr>
          <w:rFonts w:hAnsi="標楷體" w:hint="eastAsia"/>
          <w:szCs w:val="32"/>
        </w:rPr>
        <w:t>，抽蓄電廠目前的功能是用在頻率調整及備轉容量之用。</w:t>
      </w:r>
    </w:p>
    <w:p w:rsidR="00474FD2" w:rsidRDefault="00182556" w:rsidP="00182556">
      <w:pPr>
        <w:pStyle w:val="3"/>
      </w:pPr>
      <w:r>
        <w:rPr>
          <w:rFonts w:hint="eastAsia"/>
        </w:rPr>
        <w:t>末查台電公司就陳謨星教授之意見提出相關說明如下</w:t>
      </w:r>
      <w:r w:rsidR="00AE2DBA">
        <w:rPr>
          <w:rFonts w:hint="eastAsia"/>
        </w:rPr>
        <w:t>：</w:t>
      </w:r>
    </w:p>
    <w:p w:rsidR="00474FD2" w:rsidRDefault="00474FD2" w:rsidP="00474FD2">
      <w:pPr>
        <w:pStyle w:val="4"/>
      </w:pPr>
      <w:r>
        <w:rPr>
          <w:rFonts w:hint="eastAsia"/>
        </w:rPr>
        <w:t>有關</w:t>
      </w:r>
      <w:r w:rsidRPr="00A748B9">
        <w:rPr>
          <w:rFonts w:hint="eastAsia"/>
        </w:rPr>
        <w:t>未加入輔助服務之說明</w:t>
      </w:r>
      <w:r>
        <w:rPr>
          <w:rFonts w:hint="eastAsia"/>
        </w:rPr>
        <w:t>：</w:t>
      </w:r>
    </w:p>
    <w:p w:rsidR="00182556" w:rsidRDefault="00474FD2" w:rsidP="00474FD2">
      <w:pPr>
        <w:pStyle w:val="21"/>
        <w:ind w:leftChars="494" w:left="1680" w:firstLine="680"/>
      </w:pPr>
      <w:r>
        <w:rPr>
          <w:rFonts w:hint="eastAsia"/>
        </w:rPr>
        <w:t>如前揭調查意見一（</w:t>
      </w:r>
      <w:r w:rsidR="00A84A94">
        <w:rPr>
          <w:rFonts w:hint="eastAsia"/>
        </w:rPr>
        <w:t>八</w:t>
      </w:r>
      <w:r>
        <w:rPr>
          <w:rFonts w:hint="eastAsia"/>
        </w:rPr>
        <w:t>）</w:t>
      </w:r>
      <w:r w:rsidR="00AE2DBA">
        <w:rPr>
          <w:rFonts w:hint="eastAsia"/>
        </w:rPr>
        <w:t>。</w:t>
      </w:r>
    </w:p>
    <w:p w:rsidR="00182556" w:rsidRPr="00517995" w:rsidRDefault="00182556" w:rsidP="00182556">
      <w:pPr>
        <w:pStyle w:val="4"/>
      </w:pPr>
      <w:r w:rsidRPr="00517995">
        <w:rPr>
          <w:rFonts w:hint="eastAsia"/>
        </w:rPr>
        <w:t>美國燃煤與燃氣比核電便宜之說明：</w:t>
      </w:r>
    </w:p>
    <w:p w:rsidR="00182556" w:rsidRPr="003F0E33" w:rsidRDefault="00182556" w:rsidP="00182556">
      <w:pPr>
        <w:pStyle w:val="5"/>
        <w:rPr>
          <w:color w:val="000000" w:themeColor="text1"/>
        </w:rPr>
      </w:pPr>
      <w:r w:rsidRPr="003F0E33">
        <w:rPr>
          <w:rFonts w:hint="eastAsia"/>
          <w:color w:val="000000" w:themeColor="text1"/>
        </w:rPr>
        <w:t>我國能源99%需仰賴進口，燃煤與天然氣受限於國際間原物料價格之波動，占整體發電成本約70%（燃煤發電）至90%（燃氣發電）以上，而核能發電燃料價格穩定，相對於上述兩種發電成本便宜，與美國可自行生產天然氣與燃煤</w:t>
      </w:r>
      <w:r w:rsidRPr="003F0E33">
        <w:rPr>
          <w:rFonts w:hint="eastAsia"/>
          <w:color w:val="000000" w:themeColor="text1"/>
        </w:rPr>
        <w:lastRenderedPageBreak/>
        <w:t>情況大不相同。</w:t>
      </w:r>
    </w:p>
    <w:p w:rsidR="00182556" w:rsidRPr="003F0E33" w:rsidRDefault="00182556" w:rsidP="003F0E33">
      <w:pPr>
        <w:pStyle w:val="5"/>
        <w:rPr>
          <w:color w:val="000000" w:themeColor="text1"/>
        </w:rPr>
      </w:pPr>
      <w:r w:rsidRPr="003F0E33">
        <w:rPr>
          <w:rFonts w:hint="eastAsia"/>
          <w:color w:val="000000" w:themeColor="text1"/>
        </w:rPr>
        <w:t>美國國內可自行生產天然氣，加上近年來頁岩天然氣開始開採，故美國管輸天然氣價格低廉(目前約4.6~6.9 USD/ MMBtu，</w:t>
      </w:r>
      <w:r w:rsidR="00AE2DBA">
        <w:rPr>
          <w:rFonts w:hint="eastAsia"/>
          <w:color w:val="000000" w:themeColor="text1"/>
        </w:rPr>
        <w:t>美元/</w:t>
      </w:r>
      <w:r w:rsidR="003F0E33" w:rsidRPr="003F0E33">
        <w:rPr>
          <w:color w:val="000000" w:themeColor="text1"/>
        </w:rPr>
        <w:t>每百萬英制熱值單位</w:t>
      </w:r>
      <w:r w:rsidRPr="003F0E33">
        <w:rPr>
          <w:rFonts w:hint="eastAsia"/>
          <w:color w:val="000000" w:themeColor="text1"/>
        </w:rPr>
        <w:t>)，而我國天然氣(與日本、韓國相似)全部以「液化天然氣」(LNG)自國外經由海運進口，因此成本甚為高昂，目前台電公司購氣價格約17.3 USD/ MMBtu，約為美國境內價格的3倍~4倍。由於燃氣複循環發電成本中，燃料成本占比高，而國內氣價甚高，故國內天然氣發電成本也較昂貴，而美國天然氣發電成本則相對甚為低廉。</w:t>
      </w:r>
    </w:p>
    <w:p w:rsidR="00182556" w:rsidRPr="003F0E33" w:rsidRDefault="00182556" w:rsidP="00182556">
      <w:pPr>
        <w:pStyle w:val="4"/>
        <w:rPr>
          <w:color w:val="000000" w:themeColor="text1"/>
        </w:rPr>
      </w:pPr>
      <w:r w:rsidRPr="003F0E33">
        <w:rPr>
          <w:rFonts w:hint="eastAsia"/>
          <w:color w:val="000000" w:themeColor="text1"/>
        </w:rPr>
        <w:t>每年浪費電力之說明：</w:t>
      </w:r>
    </w:p>
    <w:p w:rsidR="00182556" w:rsidRPr="00A748B9" w:rsidRDefault="00182556" w:rsidP="00182556">
      <w:pPr>
        <w:pStyle w:val="5"/>
      </w:pPr>
      <w:r w:rsidRPr="00A748B9">
        <w:rPr>
          <w:rFonts w:hint="eastAsia"/>
        </w:rPr>
        <w:t>目前所有的電力公司供電系統都是三相電力系統(R、S、T相)，理想的三相電壓是指三相電壓的大小相等，任兩相之間的相量角度差為120°，如果三相電源偏離了這兩個條件，則稱為三相電壓不平衡。一般發電廠所發出來的電，都為三相平衡電壓，之所以產生電壓不平衡現象，主要係因為用戶用電型態所造成。台灣地區用戶依用電種類可分為單相及三相負載，單相負載如一般家庭用之電燈、冰箱、冷氣以及小型工廠使用之小型單相馬達等。三相負載則大多使用於大型工廠之馬達設備。電力公司在分配單相負載時，雖然都會儘量的將負載均勻分配在各相上。但是即使將各個單相負載都平均分配於三相線路上，也沒有辦法要求各個用戶都於同一時間全部使用相等的電量，當這些不同時段用電的單相負載，饋入三相系統之後，就會造成不平衡。</w:t>
      </w:r>
    </w:p>
    <w:p w:rsidR="00182556" w:rsidRPr="00A748B9" w:rsidRDefault="00182556" w:rsidP="00182556">
      <w:pPr>
        <w:pStyle w:val="5"/>
        <w:kinsoku/>
        <w:ind w:left="2092" w:hanging="697"/>
      </w:pPr>
      <w:r w:rsidRPr="00A748B9">
        <w:rPr>
          <w:rFonts w:hint="eastAsia"/>
        </w:rPr>
        <w:lastRenderedPageBreak/>
        <w:t>除了三相不平衡為線路損失的原因之一，電網中的導線傳輸損失及變壓器熱耗損也會造成線路損失，台電2012年整體線路損失率為4.42%，與世界各國相比成績不差。經蒐集世界主要國家(地區)線損資料，以2008年為例，台電線路損失率為4.58%</w:t>
      </w:r>
      <w:r>
        <w:rPr>
          <w:rFonts w:hint="eastAsia"/>
        </w:rPr>
        <w:t>，</w:t>
      </w:r>
      <w:r w:rsidRPr="00A748B9">
        <w:rPr>
          <w:rFonts w:hint="eastAsia"/>
        </w:rPr>
        <w:t>與韓國4.01%、日本8.50%、美國6.80%、法國6.80%、英國8.00%、中國大陸6.79%相比，台電線損並未偏高，台電將持續努力降低線路損失，以提升供電績效。</w:t>
      </w:r>
    </w:p>
    <w:p w:rsidR="00182556" w:rsidRPr="000C100A" w:rsidRDefault="00182556" w:rsidP="00182556">
      <w:pPr>
        <w:pStyle w:val="3"/>
        <w:widowControl/>
        <w:numPr>
          <w:ilvl w:val="2"/>
          <w:numId w:val="5"/>
        </w:numPr>
        <w:kinsoku/>
        <w:rPr>
          <w:rFonts w:hAnsi="標楷體" w:hint="eastAsia"/>
          <w:b/>
          <w:color w:val="0000FF"/>
          <w:sz w:val="28"/>
          <w:szCs w:val="28"/>
        </w:rPr>
      </w:pPr>
      <w:r>
        <w:rPr>
          <w:rFonts w:hint="eastAsia"/>
        </w:rPr>
        <w:t>綜上，</w:t>
      </w:r>
      <w:r w:rsidRPr="002C087E">
        <w:rPr>
          <w:rFonts w:hint="eastAsia"/>
        </w:rPr>
        <w:t>經濟部及台電公司</w:t>
      </w:r>
      <w:r>
        <w:rPr>
          <w:rFonts w:hint="eastAsia"/>
        </w:rPr>
        <w:t>針對外界</w:t>
      </w:r>
      <w:r w:rsidRPr="002C087E">
        <w:rPr>
          <w:rFonts w:hint="eastAsia"/>
        </w:rPr>
        <w:t>有關核能發電成本</w:t>
      </w:r>
      <w:r>
        <w:rPr>
          <w:rFonts w:hint="eastAsia"/>
        </w:rPr>
        <w:t>的</w:t>
      </w:r>
      <w:r w:rsidRPr="002C087E">
        <w:rPr>
          <w:rFonts w:hint="eastAsia"/>
        </w:rPr>
        <w:t>質疑，除應加強對外溝通及宣導有關核能安全及防護事項之外，</w:t>
      </w:r>
      <w:r>
        <w:rPr>
          <w:rFonts w:hint="eastAsia"/>
        </w:rPr>
        <w:t>更應就</w:t>
      </w:r>
      <w:r w:rsidRPr="002C087E">
        <w:rPr>
          <w:rFonts w:hint="eastAsia"/>
        </w:rPr>
        <w:t>核能發電成本計算方式</w:t>
      </w:r>
      <w:r>
        <w:rPr>
          <w:rFonts w:hint="eastAsia"/>
        </w:rPr>
        <w:t>，經由國際比較，以客觀而科學的數據，提出有理有力的說明，勇於面對</w:t>
      </w:r>
      <w:r w:rsidRPr="002C087E">
        <w:rPr>
          <w:rFonts w:hint="eastAsia"/>
        </w:rPr>
        <w:t>，</w:t>
      </w:r>
      <w:r>
        <w:rPr>
          <w:rFonts w:hint="eastAsia"/>
        </w:rPr>
        <w:t>接受檢驗，</w:t>
      </w:r>
      <w:proofErr w:type="gramStart"/>
      <w:r>
        <w:rPr>
          <w:rFonts w:hint="eastAsia"/>
        </w:rPr>
        <w:t>俾</w:t>
      </w:r>
      <w:proofErr w:type="gramEnd"/>
      <w:r>
        <w:rPr>
          <w:rFonts w:hint="eastAsia"/>
        </w:rPr>
        <w:t>努力逐步</w:t>
      </w:r>
      <w:proofErr w:type="gramStart"/>
      <w:r w:rsidRPr="002C087E">
        <w:rPr>
          <w:rFonts w:hint="eastAsia"/>
        </w:rPr>
        <w:t>釐</w:t>
      </w:r>
      <w:proofErr w:type="gramEnd"/>
      <w:r w:rsidRPr="002C087E">
        <w:rPr>
          <w:rFonts w:hint="eastAsia"/>
        </w:rPr>
        <w:t>清民眾之疑</w:t>
      </w:r>
      <w:r>
        <w:rPr>
          <w:rFonts w:hint="eastAsia"/>
        </w:rPr>
        <w:t>慮與不安。</w:t>
      </w:r>
    </w:p>
    <w:p w:rsidR="000C100A" w:rsidRDefault="000C100A" w:rsidP="000C100A">
      <w:pPr>
        <w:pStyle w:val="3"/>
        <w:widowControl/>
        <w:numPr>
          <w:ilvl w:val="0"/>
          <w:numId w:val="0"/>
        </w:numPr>
        <w:kinsoku/>
        <w:ind w:left="1393"/>
        <w:rPr>
          <w:rFonts w:hint="eastAsia"/>
        </w:rPr>
      </w:pPr>
    </w:p>
    <w:p w:rsidR="000C100A" w:rsidRDefault="000C100A" w:rsidP="000C100A">
      <w:pPr>
        <w:pStyle w:val="3"/>
        <w:widowControl/>
        <w:numPr>
          <w:ilvl w:val="0"/>
          <w:numId w:val="0"/>
        </w:numPr>
        <w:kinsoku/>
        <w:ind w:left="1393"/>
        <w:rPr>
          <w:rFonts w:hint="eastAsia"/>
        </w:rPr>
      </w:pPr>
    </w:p>
    <w:p w:rsidR="000C100A" w:rsidRDefault="000C100A" w:rsidP="000C100A">
      <w:pPr>
        <w:pStyle w:val="3"/>
        <w:widowControl/>
        <w:numPr>
          <w:ilvl w:val="0"/>
          <w:numId w:val="0"/>
        </w:numPr>
        <w:kinsoku/>
        <w:ind w:left="1393"/>
        <w:rPr>
          <w:rFonts w:hint="eastAsia"/>
        </w:rPr>
      </w:pPr>
    </w:p>
    <w:p w:rsidR="000C100A" w:rsidRPr="00F271AD" w:rsidRDefault="000C100A" w:rsidP="000C100A">
      <w:pPr>
        <w:pStyle w:val="3"/>
        <w:widowControl/>
        <w:numPr>
          <w:ilvl w:val="0"/>
          <w:numId w:val="0"/>
        </w:numPr>
        <w:kinsoku/>
        <w:ind w:left="1393"/>
        <w:rPr>
          <w:rFonts w:hAnsi="標楷體"/>
          <w:b/>
          <w:color w:val="0000FF"/>
          <w:sz w:val="28"/>
          <w:szCs w:val="28"/>
        </w:rPr>
      </w:pPr>
      <w:r>
        <w:rPr>
          <w:rFonts w:hAnsi="標楷體" w:hint="eastAsia"/>
          <w:b/>
          <w:bCs w:val="0"/>
          <w:spacing w:val="12"/>
          <w:sz w:val="40"/>
        </w:rPr>
        <w:t xml:space="preserve">            </w:t>
      </w:r>
      <w:r w:rsidRPr="00CD341B">
        <w:rPr>
          <w:rFonts w:hAnsi="標楷體" w:hint="eastAsia"/>
          <w:b/>
          <w:bCs w:val="0"/>
          <w:spacing w:val="12"/>
          <w:sz w:val="40"/>
        </w:rPr>
        <w:t>調查委員：</w:t>
      </w:r>
      <w:r>
        <w:rPr>
          <w:rFonts w:hAnsi="標楷體" w:hint="eastAsia"/>
          <w:b/>
          <w:bCs w:val="0"/>
          <w:spacing w:val="12"/>
          <w:sz w:val="40"/>
        </w:rPr>
        <w:t>黃煌雄</w:t>
      </w:r>
    </w:p>
    <w:p w:rsidR="00A00F59" w:rsidRDefault="00E103D5" w:rsidP="0086382A">
      <w:pPr>
        <w:pStyle w:val="1"/>
        <w:numPr>
          <w:ilvl w:val="0"/>
          <w:numId w:val="0"/>
        </w:numPr>
        <w:rPr>
          <w:rFonts w:hAnsi="標楷體" w:cs="DFKaiShu-SB-Estd-BF"/>
          <w:szCs w:val="32"/>
        </w:rPr>
      </w:pPr>
      <w:r w:rsidRPr="00EB47B4">
        <w:rPr>
          <w:rFonts w:hAnsi="標楷體" w:cs="DFKaiShu-SB-Estd-BF"/>
          <w:szCs w:val="32"/>
        </w:rPr>
        <w:t xml:space="preserve"> </w:t>
      </w:r>
    </w:p>
    <w:sectPr w:rsidR="00A00F59" w:rsidSect="00E61BC7">
      <w:footerReference w:type="default" r:id="rId11"/>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D4B" w:rsidRDefault="00932D4B">
      <w:r>
        <w:separator/>
      </w:r>
    </w:p>
  </w:endnote>
  <w:endnote w:type="continuationSeparator" w:id="0">
    <w:p w:rsidR="00932D4B" w:rsidRDefault="00932D4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1746"/>
      <w:docPartObj>
        <w:docPartGallery w:val="Page Numbers (Bottom of Page)"/>
        <w:docPartUnique/>
      </w:docPartObj>
    </w:sdtPr>
    <w:sdtContent>
      <w:p w:rsidR="005D3531" w:rsidRDefault="00B86021">
        <w:pPr>
          <w:pStyle w:val="af1"/>
          <w:jc w:val="center"/>
        </w:pPr>
        <w:fldSimple w:instr=" PAGE   \* MERGEFORMAT ">
          <w:r w:rsidR="000C100A" w:rsidRPr="000C100A">
            <w:rPr>
              <w:noProof/>
              <w:lang w:val="zh-TW"/>
            </w:rPr>
            <w:t>32</w:t>
          </w:r>
        </w:fldSimple>
      </w:p>
    </w:sdtContent>
  </w:sdt>
  <w:p w:rsidR="005D3531" w:rsidRDefault="005D353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D4B" w:rsidRDefault="00932D4B">
      <w:r>
        <w:separator/>
      </w:r>
    </w:p>
  </w:footnote>
  <w:footnote w:type="continuationSeparator" w:id="0">
    <w:p w:rsidR="00932D4B" w:rsidRDefault="00932D4B">
      <w:r>
        <w:continuationSeparator/>
      </w:r>
    </w:p>
  </w:footnote>
  <w:footnote w:id="1">
    <w:p w:rsidR="005D3531" w:rsidRPr="00584D10" w:rsidRDefault="005D3531" w:rsidP="00867D34">
      <w:pPr>
        <w:pStyle w:val="aff"/>
        <w:spacing w:line="240" w:lineRule="exact"/>
        <w:ind w:left="96" w:hangingChars="37" w:hanging="96"/>
        <w:rPr>
          <w:color w:val="0000FF"/>
        </w:rPr>
      </w:pPr>
      <w:r>
        <w:rPr>
          <w:rStyle w:val="afb"/>
        </w:rPr>
        <w:footnoteRef/>
      </w:r>
      <w:r w:rsidRPr="00584D10">
        <w:rPr>
          <w:rFonts w:ascii="標楷體" w:eastAsia="標楷體" w:hAnsi="標楷體" w:hint="eastAsia"/>
          <w:sz w:val="20"/>
          <w:szCs w:val="20"/>
        </w:rPr>
        <w:t>據能源局2002年11月「能源報導」月刊之「輔助服務及其未來發展方向」略以：「部分文獻將輔助服務定義為：『系統操作機構為完成高壓輸電服務，並保証電能質量與系統安全所需採行的一切措施。』各國為達成電力系統預定的運轉標準，有賴系統操作機構對各類輔助服務妥善予以協調運用，技術上很難將特定項目的輔助服務費用單獨劃分出來。以美國聯邦能源管制委員會（FERC）目前的分類為例，輔助服務涵括由系統操作機構、發電機組及電網提供的各項服務，依功能的不同則可概略分為：系統控制、發電機提供的無效電力與電壓控制服務、頻率調節服務、電能不平衡服務、各類備用容量服務（熱機備轉、非熱機備轉及替代備用容量服務）、動態排程服務（線上經濟調度）、負載跟隨服務、輸電損失補償服務、系統全黑啟動服務及由發電機提供的電網穩定服務等。」102.10.24取自</w:t>
      </w:r>
      <w:hyperlink r:id="rId1" w:history="1">
        <w:r w:rsidRPr="00584D10">
          <w:rPr>
            <w:rFonts w:ascii="標楷體" w:eastAsia="標楷體" w:hAnsi="標楷體" w:hint="eastAsia"/>
            <w:sz w:val="20"/>
            <w:szCs w:val="20"/>
          </w:rPr>
          <w:t>http://</w:t>
        </w:r>
        <w:r>
          <w:rPr>
            <w:rFonts w:ascii="標楷體" w:eastAsia="標楷體" w:hAnsi="標楷體" w:hint="eastAsia"/>
            <w:sz w:val="20"/>
            <w:szCs w:val="20"/>
          </w:rPr>
          <w:t xml:space="preserve"> </w:t>
        </w:r>
        <w:r w:rsidRPr="00584D10">
          <w:rPr>
            <w:rFonts w:ascii="標楷體" w:eastAsia="標楷體" w:hAnsi="標楷體" w:hint="eastAsia"/>
            <w:sz w:val="20"/>
            <w:szCs w:val="20"/>
          </w:rPr>
          <w:t>energymonthly.tier.org.tw/outdatecontent.asp?ReportIssue=200211&amp;Page=27</w:t>
        </w:r>
      </w:hyperlink>
      <w:r w:rsidRPr="00584D10">
        <w:rPr>
          <w:rFonts w:ascii="標楷體" w:eastAsia="標楷體" w:hAnsi="標楷體" w:hint="eastAsia"/>
          <w:sz w:val="20"/>
          <w:szCs w:val="20"/>
        </w:rPr>
        <w:t>。</w:t>
      </w:r>
    </w:p>
  </w:footnote>
  <w:footnote w:id="2">
    <w:p w:rsidR="005D3531" w:rsidRDefault="005D3531">
      <w:pPr>
        <w:pStyle w:val="af9"/>
      </w:pPr>
      <w:r>
        <w:rPr>
          <w:rStyle w:val="afb"/>
        </w:rPr>
        <w:footnoteRef/>
      </w:r>
      <w:r w:rsidRPr="00CD7C51">
        <w:rPr>
          <w:rFonts w:hint="eastAsia"/>
        </w:rPr>
        <w:t>基載機組：需滿足可長時間穩定運轉，變動成本低，如核能及燃煤火力機組等。中載機組：介於基載與尖載機組之間，如燃油、燃氣汽力機組及複循環機組等。尖載機組：須啟、停快速，且能適時提供電力，如抽蓄水力、水庫式水力及氣渦輪機等。</w:t>
      </w:r>
    </w:p>
  </w:footnote>
  <w:footnote w:id="3">
    <w:p w:rsidR="005D3531" w:rsidRPr="00182556" w:rsidRDefault="005D3531" w:rsidP="006F45C2">
      <w:pPr>
        <w:pStyle w:val="af9"/>
        <w:ind w:left="110" w:hangingChars="50" w:hanging="110"/>
        <w:rPr>
          <w:color w:val="000000" w:themeColor="text1"/>
        </w:rPr>
      </w:pPr>
      <w:r w:rsidRPr="00182556">
        <w:rPr>
          <w:rStyle w:val="afb"/>
          <w:color w:val="000000" w:themeColor="text1"/>
        </w:rPr>
        <w:footnoteRef/>
      </w:r>
      <w:r w:rsidRPr="00584D10">
        <w:rPr>
          <w:rFonts w:ascii="標楷體" w:hAnsi="標楷體" w:cs="Courier New" w:hint="eastAsia"/>
        </w:rPr>
        <w:t>所得稅法第51條第2項規定：「各種固定資產耐用年數，依固定資產耐用年數表之規定。但為防止水污染或空氣污染所增置之設備，其耐用年數得縮短為二年。」同法第121條規定：「本法施行細則、固定資產耐用年數表及遞耗資產耗竭率表，由財政部定之。」</w:t>
      </w:r>
    </w:p>
  </w:footnote>
  <w:footnote w:id="4">
    <w:p w:rsidR="005D3531" w:rsidRPr="008515E3" w:rsidRDefault="005D3531" w:rsidP="00BD2A8F">
      <w:pPr>
        <w:pStyle w:val="af9"/>
      </w:pPr>
      <w:r>
        <w:rPr>
          <w:rStyle w:val="afb"/>
        </w:rPr>
        <w:footnoteRef/>
      </w:r>
      <w:r>
        <w:rPr>
          <w:rFonts w:hint="eastAsia"/>
        </w:rPr>
        <w:t>台電公司，</w:t>
      </w:r>
      <w:r w:rsidRPr="00CF1D56">
        <w:rPr>
          <w:rFonts w:hint="eastAsia"/>
        </w:rPr>
        <w:t>重大經營改善議題之進展</w:t>
      </w:r>
      <w:r>
        <w:rPr>
          <w:rFonts w:hint="eastAsia"/>
        </w:rPr>
        <w:t>，</w:t>
      </w:r>
      <w:r>
        <w:rPr>
          <w:rFonts w:hint="eastAsia"/>
        </w:rPr>
        <w:t>102.10.24</w:t>
      </w:r>
      <w:r>
        <w:rPr>
          <w:rFonts w:hint="eastAsia"/>
        </w:rPr>
        <w:t>取自</w:t>
      </w:r>
      <w:hyperlink r:id="rId2" w:history="1">
        <w:r w:rsidRPr="00703153">
          <w:rPr>
            <w:rStyle w:val="aa"/>
            <w:color w:val="auto"/>
            <w:u w:val="none"/>
          </w:rPr>
          <w:t>http://info.taipower.com.tw/info10/main/</w:t>
        </w:r>
        <w:r>
          <w:rPr>
            <w:rStyle w:val="aa"/>
            <w:rFonts w:hint="eastAsia"/>
            <w:color w:val="auto"/>
            <w:u w:val="none"/>
          </w:rPr>
          <w:t xml:space="preserve"> </w:t>
        </w:r>
        <w:r w:rsidRPr="00703153">
          <w:rPr>
            <w:rStyle w:val="aa"/>
            <w:color w:val="auto"/>
            <w:u w:val="none"/>
          </w:rPr>
          <w:t>progress.html</w:t>
        </w:r>
      </w:hyperlink>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4B7A0D7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color w:val="000000" w:themeColor="text1"/>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color w:val="000000" w:themeColor="text1"/>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86733C2"/>
    <w:multiLevelType w:val="multilevel"/>
    <w:tmpl w:val="0409001D"/>
    <w:styleLink w:val="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nsid w:val="59D45CF1"/>
    <w:multiLevelType w:val="hybridMultilevel"/>
    <w:tmpl w:val="B3843F70"/>
    <w:lvl w:ilvl="0" w:tplc="34A877E6">
      <w:start w:val="1"/>
      <w:numFmt w:val="bullet"/>
      <w:lvlText w:val="•"/>
      <w:lvlJc w:val="left"/>
      <w:pPr>
        <w:tabs>
          <w:tab w:val="num" w:pos="720"/>
        </w:tabs>
        <w:ind w:left="720" w:hanging="360"/>
      </w:pPr>
      <w:rPr>
        <w:rFonts w:ascii="Arial" w:hAnsi="Arial" w:hint="default"/>
      </w:rPr>
    </w:lvl>
    <w:lvl w:ilvl="1" w:tplc="22D81FC0" w:tentative="1">
      <w:start w:val="1"/>
      <w:numFmt w:val="bullet"/>
      <w:lvlText w:val="•"/>
      <w:lvlJc w:val="left"/>
      <w:pPr>
        <w:tabs>
          <w:tab w:val="num" w:pos="1440"/>
        </w:tabs>
        <w:ind w:left="1440" w:hanging="360"/>
      </w:pPr>
      <w:rPr>
        <w:rFonts w:ascii="Arial" w:hAnsi="Arial" w:hint="default"/>
      </w:rPr>
    </w:lvl>
    <w:lvl w:ilvl="2" w:tplc="854E6856" w:tentative="1">
      <w:start w:val="1"/>
      <w:numFmt w:val="bullet"/>
      <w:lvlText w:val="•"/>
      <w:lvlJc w:val="left"/>
      <w:pPr>
        <w:tabs>
          <w:tab w:val="num" w:pos="2160"/>
        </w:tabs>
        <w:ind w:left="2160" w:hanging="360"/>
      </w:pPr>
      <w:rPr>
        <w:rFonts w:ascii="Arial" w:hAnsi="Arial" w:hint="default"/>
      </w:rPr>
    </w:lvl>
    <w:lvl w:ilvl="3" w:tplc="237A6504" w:tentative="1">
      <w:start w:val="1"/>
      <w:numFmt w:val="bullet"/>
      <w:lvlText w:val="•"/>
      <w:lvlJc w:val="left"/>
      <w:pPr>
        <w:tabs>
          <w:tab w:val="num" w:pos="2880"/>
        </w:tabs>
        <w:ind w:left="2880" w:hanging="360"/>
      </w:pPr>
      <w:rPr>
        <w:rFonts w:ascii="Arial" w:hAnsi="Arial" w:hint="default"/>
      </w:rPr>
    </w:lvl>
    <w:lvl w:ilvl="4" w:tplc="D63AFF16" w:tentative="1">
      <w:start w:val="1"/>
      <w:numFmt w:val="bullet"/>
      <w:lvlText w:val="•"/>
      <w:lvlJc w:val="left"/>
      <w:pPr>
        <w:tabs>
          <w:tab w:val="num" w:pos="3600"/>
        </w:tabs>
        <w:ind w:left="3600" w:hanging="360"/>
      </w:pPr>
      <w:rPr>
        <w:rFonts w:ascii="Arial" w:hAnsi="Arial" w:hint="default"/>
      </w:rPr>
    </w:lvl>
    <w:lvl w:ilvl="5" w:tplc="813095F4" w:tentative="1">
      <w:start w:val="1"/>
      <w:numFmt w:val="bullet"/>
      <w:lvlText w:val="•"/>
      <w:lvlJc w:val="left"/>
      <w:pPr>
        <w:tabs>
          <w:tab w:val="num" w:pos="4320"/>
        </w:tabs>
        <w:ind w:left="4320" w:hanging="360"/>
      </w:pPr>
      <w:rPr>
        <w:rFonts w:ascii="Arial" w:hAnsi="Arial" w:hint="default"/>
      </w:rPr>
    </w:lvl>
    <w:lvl w:ilvl="6" w:tplc="478C3DF8" w:tentative="1">
      <w:start w:val="1"/>
      <w:numFmt w:val="bullet"/>
      <w:lvlText w:val="•"/>
      <w:lvlJc w:val="left"/>
      <w:pPr>
        <w:tabs>
          <w:tab w:val="num" w:pos="5040"/>
        </w:tabs>
        <w:ind w:left="5040" w:hanging="360"/>
      </w:pPr>
      <w:rPr>
        <w:rFonts w:ascii="Arial" w:hAnsi="Arial" w:hint="default"/>
      </w:rPr>
    </w:lvl>
    <w:lvl w:ilvl="7" w:tplc="CC1E17CE" w:tentative="1">
      <w:start w:val="1"/>
      <w:numFmt w:val="bullet"/>
      <w:lvlText w:val="•"/>
      <w:lvlJc w:val="left"/>
      <w:pPr>
        <w:tabs>
          <w:tab w:val="num" w:pos="5760"/>
        </w:tabs>
        <w:ind w:left="5760" w:hanging="360"/>
      </w:pPr>
      <w:rPr>
        <w:rFonts w:ascii="Arial" w:hAnsi="Arial" w:hint="default"/>
      </w:rPr>
    </w:lvl>
    <w:lvl w:ilvl="8" w:tplc="97C2984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 w:numId="29">
    <w:abstractNumId w:val="1"/>
  </w:num>
  <w:num w:numId="30">
    <w:abstractNumId w:val="1"/>
  </w:num>
  <w:num w:numId="31">
    <w:abstractNumId w:val="1"/>
  </w:num>
  <w:num w:numId="32">
    <w:abstractNumId w:val="1"/>
  </w:num>
  <w:num w:numId="33">
    <w:abstractNumId w:val="4"/>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B1ED0"/>
    <w:rsid w:val="000009B9"/>
    <w:rsid w:val="0000642A"/>
    <w:rsid w:val="00006B7E"/>
    <w:rsid w:val="00011359"/>
    <w:rsid w:val="00011451"/>
    <w:rsid w:val="00012B6C"/>
    <w:rsid w:val="00013557"/>
    <w:rsid w:val="00013639"/>
    <w:rsid w:val="0001543E"/>
    <w:rsid w:val="00015EAB"/>
    <w:rsid w:val="00017D68"/>
    <w:rsid w:val="000218F8"/>
    <w:rsid w:val="00021E50"/>
    <w:rsid w:val="00023CC5"/>
    <w:rsid w:val="00023DD1"/>
    <w:rsid w:val="000240B7"/>
    <w:rsid w:val="00024A3D"/>
    <w:rsid w:val="000251A4"/>
    <w:rsid w:val="00025793"/>
    <w:rsid w:val="0003031D"/>
    <w:rsid w:val="000314BB"/>
    <w:rsid w:val="0003177C"/>
    <w:rsid w:val="000347B5"/>
    <w:rsid w:val="000350AA"/>
    <w:rsid w:val="00035BAB"/>
    <w:rsid w:val="00036372"/>
    <w:rsid w:val="000366B9"/>
    <w:rsid w:val="00037E07"/>
    <w:rsid w:val="00041EA9"/>
    <w:rsid w:val="00042732"/>
    <w:rsid w:val="00042854"/>
    <w:rsid w:val="00043D26"/>
    <w:rsid w:val="00044E93"/>
    <w:rsid w:val="00045DC2"/>
    <w:rsid w:val="00047A14"/>
    <w:rsid w:val="000515AB"/>
    <w:rsid w:val="000519C0"/>
    <w:rsid w:val="00052919"/>
    <w:rsid w:val="00056520"/>
    <w:rsid w:val="000603A6"/>
    <w:rsid w:val="00060573"/>
    <w:rsid w:val="0006123F"/>
    <w:rsid w:val="000623F4"/>
    <w:rsid w:val="00064ACB"/>
    <w:rsid w:val="00067169"/>
    <w:rsid w:val="000675E2"/>
    <w:rsid w:val="00071909"/>
    <w:rsid w:val="000720EB"/>
    <w:rsid w:val="00072770"/>
    <w:rsid w:val="00073497"/>
    <w:rsid w:val="00075EC2"/>
    <w:rsid w:val="00076471"/>
    <w:rsid w:val="00083618"/>
    <w:rsid w:val="00084967"/>
    <w:rsid w:val="000853D3"/>
    <w:rsid w:val="000859D6"/>
    <w:rsid w:val="00085F39"/>
    <w:rsid w:val="00091150"/>
    <w:rsid w:val="000917C1"/>
    <w:rsid w:val="000964DE"/>
    <w:rsid w:val="000A0D9E"/>
    <w:rsid w:val="000A1C08"/>
    <w:rsid w:val="000A73E6"/>
    <w:rsid w:val="000B294C"/>
    <w:rsid w:val="000B7DC8"/>
    <w:rsid w:val="000C100A"/>
    <w:rsid w:val="000C1B4B"/>
    <w:rsid w:val="000C2F08"/>
    <w:rsid w:val="000C58B0"/>
    <w:rsid w:val="000C5D64"/>
    <w:rsid w:val="000D0009"/>
    <w:rsid w:val="000D109F"/>
    <w:rsid w:val="000D11BB"/>
    <w:rsid w:val="000D1A81"/>
    <w:rsid w:val="000D216C"/>
    <w:rsid w:val="000D312F"/>
    <w:rsid w:val="000D402A"/>
    <w:rsid w:val="000D5629"/>
    <w:rsid w:val="000D5E1D"/>
    <w:rsid w:val="000D676A"/>
    <w:rsid w:val="000D732F"/>
    <w:rsid w:val="000E1701"/>
    <w:rsid w:val="000E1C64"/>
    <w:rsid w:val="000E2812"/>
    <w:rsid w:val="000E5952"/>
    <w:rsid w:val="000E6678"/>
    <w:rsid w:val="000E6F79"/>
    <w:rsid w:val="000E7F9F"/>
    <w:rsid w:val="000F0865"/>
    <w:rsid w:val="000F1044"/>
    <w:rsid w:val="000F1561"/>
    <w:rsid w:val="000F30D0"/>
    <w:rsid w:val="000F50B8"/>
    <w:rsid w:val="000F5BBE"/>
    <w:rsid w:val="0010497E"/>
    <w:rsid w:val="00106E7B"/>
    <w:rsid w:val="0011034C"/>
    <w:rsid w:val="00111BAD"/>
    <w:rsid w:val="00112FA1"/>
    <w:rsid w:val="001140E4"/>
    <w:rsid w:val="00114486"/>
    <w:rsid w:val="001163E1"/>
    <w:rsid w:val="0012047A"/>
    <w:rsid w:val="001210AD"/>
    <w:rsid w:val="00123187"/>
    <w:rsid w:val="00124713"/>
    <w:rsid w:val="00125192"/>
    <w:rsid w:val="00126341"/>
    <w:rsid w:val="00127D54"/>
    <w:rsid w:val="0013336B"/>
    <w:rsid w:val="001335C7"/>
    <w:rsid w:val="0013483A"/>
    <w:rsid w:val="00134DC2"/>
    <w:rsid w:val="0013639E"/>
    <w:rsid w:val="00137F2E"/>
    <w:rsid w:val="00140F1A"/>
    <w:rsid w:val="001438F9"/>
    <w:rsid w:val="00143928"/>
    <w:rsid w:val="00143EE9"/>
    <w:rsid w:val="00146611"/>
    <w:rsid w:val="00150CE4"/>
    <w:rsid w:val="00152106"/>
    <w:rsid w:val="00155865"/>
    <w:rsid w:val="0015637F"/>
    <w:rsid w:val="00162859"/>
    <w:rsid w:val="00164879"/>
    <w:rsid w:val="00165CE1"/>
    <w:rsid w:val="00166508"/>
    <w:rsid w:val="00170F17"/>
    <w:rsid w:val="00172D72"/>
    <w:rsid w:val="00175AE6"/>
    <w:rsid w:val="00175E11"/>
    <w:rsid w:val="0017678D"/>
    <w:rsid w:val="0017704A"/>
    <w:rsid w:val="00177591"/>
    <w:rsid w:val="0018024F"/>
    <w:rsid w:val="00180E20"/>
    <w:rsid w:val="00182556"/>
    <w:rsid w:val="00187767"/>
    <w:rsid w:val="00190038"/>
    <w:rsid w:val="00192A53"/>
    <w:rsid w:val="001942DB"/>
    <w:rsid w:val="00195291"/>
    <w:rsid w:val="001A0E9C"/>
    <w:rsid w:val="001A14F4"/>
    <w:rsid w:val="001A3818"/>
    <w:rsid w:val="001A5CC8"/>
    <w:rsid w:val="001B07B4"/>
    <w:rsid w:val="001C3165"/>
    <w:rsid w:val="001C46E2"/>
    <w:rsid w:val="001C4C2E"/>
    <w:rsid w:val="001C69B6"/>
    <w:rsid w:val="001C6C0A"/>
    <w:rsid w:val="001D09EF"/>
    <w:rsid w:val="001D10DE"/>
    <w:rsid w:val="001D1235"/>
    <w:rsid w:val="001D2845"/>
    <w:rsid w:val="001D286A"/>
    <w:rsid w:val="001D4496"/>
    <w:rsid w:val="001D6936"/>
    <w:rsid w:val="001E04FB"/>
    <w:rsid w:val="001E1863"/>
    <w:rsid w:val="001E1B7D"/>
    <w:rsid w:val="001E5F88"/>
    <w:rsid w:val="001F2D08"/>
    <w:rsid w:val="001F335C"/>
    <w:rsid w:val="001F3993"/>
    <w:rsid w:val="001F6E4E"/>
    <w:rsid w:val="001F7945"/>
    <w:rsid w:val="002024A7"/>
    <w:rsid w:val="00202D7B"/>
    <w:rsid w:val="00204BE9"/>
    <w:rsid w:val="002054B7"/>
    <w:rsid w:val="0021040D"/>
    <w:rsid w:val="00212D0B"/>
    <w:rsid w:val="002162BC"/>
    <w:rsid w:val="002162E8"/>
    <w:rsid w:val="00216CFC"/>
    <w:rsid w:val="00216DEA"/>
    <w:rsid w:val="00217135"/>
    <w:rsid w:val="00217704"/>
    <w:rsid w:val="00222056"/>
    <w:rsid w:val="002220F8"/>
    <w:rsid w:val="0022325D"/>
    <w:rsid w:val="0023028E"/>
    <w:rsid w:val="00231F68"/>
    <w:rsid w:val="00233037"/>
    <w:rsid w:val="00233828"/>
    <w:rsid w:val="0023570C"/>
    <w:rsid w:val="0023708F"/>
    <w:rsid w:val="00240C89"/>
    <w:rsid w:val="00241A4D"/>
    <w:rsid w:val="00241C5B"/>
    <w:rsid w:val="00245E8D"/>
    <w:rsid w:val="00246915"/>
    <w:rsid w:val="00252D23"/>
    <w:rsid w:val="002533AF"/>
    <w:rsid w:val="00254FFD"/>
    <w:rsid w:val="0025512B"/>
    <w:rsid w:val="0025560F"/>
    <w:rsid w:val="00255D25"/>
    <w:rsid w:val="0025751B"/>
    <w:rsid w:val="00260A63"/>
    <w:rsid w:val="00262666"/>
    <w:rsid w:val="00264FAC"/>
    <w:rsid w:val="00267013"/>
    <w:rsid w:val="00267811"/>
    <w:rsid w:val="00270D62"/>
    <w:rsid w:val="00270F5A"/>
    <w:rsid w:val="00271DC3"/>
    <w:rsid w:val="00273AE0"/>
    <w:rsid w:val="00275209"/>
    <w:rsid w:val="002756B3"/>
    <w:rsid w:val="002817DA"/>
    <w:rsid w:val="00282D14"/>
    <w:rsid w:val="002840CB"/>
    <w:rsid w:val="00284596"/>
    <w:rsid w:val="002864FA"/>
    <w:rsid w:val="00287ADE"/>
    <w:rsid w:val="002948E5"/>
    <w:rsid w:val="002A1B76"/>
    <w:rsid w:val="002A3205"/>
    <w:rsid w:val="002A3C40"/>
    <w:rsid w:val="002A3D46"/>
    <w:rsid w:val="002B1D7D"/>
    <w:rsid w:val="002B32AE"/>
    <w:rsid w:val="002B4123"/>
    <w:rsid w:val="002B4C44"/>
    <w:rsid w:val="002B5DF1"/>
    <w:rsid w:val="002C087E"/>
    <w:rsid w:val="002C2DF0"/>
    <w:rsid w:val="002C3AA2"/>
    <w:rsid w:val="002C3C60"/>
    <w:rsid w:val="002C5786"/>
    <w:rsid w:val="002C5EA8"/>
    <w:rsid w:val="002C722C"/>
    <w:rsid w:val="002C7489"/>
    <w:rsid w:val="002C7644"/>
    <w:rsid w:val="002D0BBD"/>
    <w:rsid w:val="002D1BF0"/>
    <w:rsid w:val="002D200D"/>
    <w:rsid w:val="002D3C5C"/>
    <w:rsid w:val="002D4E27"/>
    <w:rsid w:val="002D5664"/>
    <w:rsid w:val="002D601B"/>
    <w:rsid w:val="002E0371"/>
    <w:rsid w:val="002E0CDF"/>
    <w:rsid w:val="002E0D7B"/>
    <w:rsid w:val="002E172C"/>
    <w:rsid w:val="002E19F5"/>
    <w:rsid w:val="002E36DC"/>
    <w:rsid w:val="002E3731"/>
    <w:rsid w:val="002E65FB"/>
    <w:rsid w:val="002E7322"/>
    <w:rsid w:val="002F03C9"/>
    <w:rsid w:val="002F2F8B"/>
    <w:rsid w:val="002F35E8"/>
    <w:rsid w:val="0030351B"/>
    <w:rsid w:val="00303CD4"/>
    <w:rsid w:val="00306990"/>
    <w:rsid w:val="0030709C"/>
    <w:rsid w:val="0030778D"/>
    <w:rsid w:val="003104B9"/>
    <w:rsid w:val="003109A4"/>
    <w:rsid w:val="003152CF"/>
    <w:rsid w:val="0031759A"/>
    <w:rsid w:val="00317876"/>
    <w:rsid w:val="003207A6"/>
    <w:rsid w:val="00321ACB"/>
    <w:rsid w:val="00321E62"/>
    <w:rsid w:val="00331F6D"/>
    <w:rsid w:val="00332CA3"/>
    <w:rsid w:val="003360FB"/>
    <w:rsid w:val="00336CDA"/>
    <w:rsid w:val="0033716B"/>
    <w:rsid w:val="00341FB9"/>
    <w:rsid w:val="00344290"/>
    <w:rsid w:val="0034524C"/>
    <w:rsid w:val="0034620F"/>
    <w:rsid w:val="00350A92"/>
    <w:rsid w:val="00353BFC"/>
    <w:rsid w:val="003549E1"/>
    <w:rsid w:val="00360039"/>
    <w:rsid w:val="00360874"/>
    <w:rsid w:val="00360DF4"/>
    <w:rsid w:val="00362452"/>
    <w:rsid w:val="00362608"/>
    <w:rsid w:val="003652EF"/>
    <w:rsid w:val="00366BE3"/>
    <w:rsid w:val="00371C3A"/>
    <w:rsid w:val="00373CF7"/>
    <w:rsid w:val="0037444B"/>
    <w:rsid w:val="003822AA"/>
    <w:rsid w:val="00384A37"/>
    <w:rsid w:val="003857D7"/>
    <w:rsid w:val="00386DD9"/>
    <w:rsid w:val="00387248"/>
    <w:rsid w:val="00387690"/>
    <w:rsid w:val="003900F0"/>
    <w:rsid w:val="00390635"/>
    <w:rsid w:val="003927FE"/>
    <w:rsid w:val="0039397F"/>
    <w:rsid w:val="003970B8"/>
    <w:rsid w:val="003974B6"/>
    <w:rsid w:val="00397D01"/>
    <w:rsid w:val="003A2ADC"/>
    <w:rsid w:val="003A42C4"/>
    <w:rsid w:val="003A4C58"/>
    <w:rsid w:val="003A6103"/>
    <w:rsid w:val="003B72EC"/>
    <w:rsid w:val="003B7EDB"/>
    <w:rsid w:val="003C2CB1"/>
    <w:rsid w:val="003C3A25"/>
    <w:rsid w:val="003C56FA"/>
    <w:rsid w:val="003C677A"/>
    <w:rsid w:val="003C6B57"/>
    <w:rsid w:val="003C74C8"/>
    <w:rsid w:val="003D1303"/>
    <w:rsid w:val="003D1D8E"/>
    <w:rsid w:val="003D4325"/>
    <w:rsid w:val="003D4E90"/>
    <w:rsid w:val="003E0245"/>
    <w:rsid w:val="003E0419"/>
    <w:rsid w:val="003E08BA"/>
    <w:rsid w:val="003E380B"/>
    <w:rsid w:val="003E3FD8"/>
    <w:rsid w:val="003E5FE6"/>
    <w:rsid w:val="003E64BD"/>
    <w:rsid w:val="003E6EF0"/>
    <w:rsid w:val="003E70DB"/>
    <w:rsid w:val="003E7BE6"/>
    <w:rsid w:val="003F0202"/>
    <w:rsid w:val="003F05C3"/>
    <w:rsid w:val="003F0E33"/>
    <w:rsid w:val="003F1219"/>
    <w:rsid w:val="003F26F2"/>
    <w:rsid w:val="003F3AB0"/>
    <w:rsid w:val="003F43F4"/>
    <w:rsid w:val="003F737B"/>
    <w:rsid w:val="0040027B"/>
    <w:rsid w:val="00400CBE"/>
    <w:rsid w:val="00404090"/>
    <w:rsid w:val="0040557C"/>
    <w:rsid w:val="00406003"/>
    <w:rsid w:val="00406076"/>
    <w:rsid w:val="00407D15"/>
    <w:rsid w:val="00407DC1"/>
    <w:rsid w:val="00410624"/>
    <w:rsid w:val="00410BD4"/>
    <w:rsid w:val="00410DB4"/>
    <w:rsid w:val="004135B2"/>
    <w:rsid w:val="004137DF"/>
    <w:rsid w:val="00415153"/>
    <w:rsid w:val="00415659"/>
    <w:rsid w:val="00417566"/>
    <w:rsid w:val="00421156"/>
    <w:rsid w:val="004222B5"/>
    <w:rsid w:val="0042281D"/>
    <w:rsid w:val="00423A0B"/>
    <w:rsid w:val="00424DC9"/>
    <w:rsid w:val="00430BBE"/>
    <w:rsid w:val="00432ECB"/>
    <w:rsid w:val="004357FF"/>
    <w:rsid w:val="00435990"/>
    <w:rsid w:val="00436AC2"/>
    <w:rsid w:val="004379B9"/>
    <w:rsid w:val="004403E4"/>
    <w:rsid w:val="0044134D"/>
    <w:rsid w:val="00443756"/>
    <w:rsid w:val="00445D6A"/>
    <w:rsid w:val="004470C7"/>
    <w:rsid w:val="00451693"/>
    <w:rsid w:val="004516A3"/>
    <w:rsid w:val="00452509"/>
    <w:rsid w:val="00452B44"/>
    <w:rsid w:val="00453649"/>
    <w:rsid w:val="00454F68"/>
    <w:rsid w:val="00456FD3"/>
    <w:rsid w:val="00460882"/>
    <w:rsid w:val="0046279E"/>
    <w:rsid w:val="00470722"/>
    <w:rsid w:val="00470AB6"/>
    <w:rsid w:val="00471C37"/>
    <w:rsid w:val="00474FD2"/>
    <w:rsid w:val="004779CC"/>
    <w:rsid w:val="00477B45"/>
    <w:rsid w:val="0048028F"/>
    <w:rsid w:val="00481DE4"/>
    <w:rsid w:val="004849B1"/>
    <w:rsid w:val="00484DF0"/>
    <w:rsid w:val="0048780C"/>
    <w:rsid w:val="00491569"/>
    <w:rsid w:val="00492B8D"/>
    <w:rsid w:val="0049360A"/>
    <w:rsid w:val="0049395C"/>
    <w:rsid w:val="00494E5D"/>
    <w:rsid w:val="0049527A"/>
    <w:rsid w:val="00495360"/>
    <w:rsid w:val="0049687F"/>
    <w:rsid w:val="004A0048"/>
    <w:rsid w:val="004A0372"/>
    <w:rsid w:val="004A158E"/>
    <w:rsid w:val="004A1AD7"/>
    <w:rsid w:val="004A32DB"/>
    <w:rsid w:val="004A36D2"/>
    <w:rsid w:val="004A3998"/>
    <w:rsid w:val="004A5FE5"/>
    <w:rsid w:val="004A7FBF"/>
    <w:rsid w:val="004B1AF2"/>
    <w:rsid w:val="004B3984"/>
    <w:rsid w:val="004B4982"/>
    <w:rsid w:val="004B5F1D"/>
    <w:rsid w:val="004B6988"/>
    <w:rsid w:val="004B7514"/>
    <w:rsid w:val="004C081C"/>
    <w:rsid w:val="004C56BE"/>
    <w:rsid w:val="004C6560"/>
    <w:rsid w:val="004D3319"/>
    <w:rsid w:val="004D3DAA"/>
    <w:rsid w:val="004D7E91"/>
    <w:rsid w:val="004D7F07"/>
    <w:rsid w:val="004E2E5B"/>
    <w:rsid w:val="004E6286"/>
    <w:rsid w:val="004E639D"/>
    <w:rsid w:val="004E657D"/>
    <w:rsid w:val="004E71C6"/>
    <w:rsid w:val="004F109A"/>
    <w:rsid w:val="004F2E37"/>
    <w:rsid w:val="004F3315"/>
    <w:rsid w:val="004F4F42"/>
    <w:rsid w:val="004F5BB4"/>
    <w:rsid w:val="0050164F"/>
    <w:rsid w:val="00502A5D"/>
    <w:rsid w:val="0050423D"/>
    <w:rsid w:val="005061FB"/>
    <w:rsid w:val="00513195"/>
    <w:rsid w:val="005132FC"/>
    <w:rsid w:val="00514C45"/>
    <w:rsid w:val="00515A43"/>
    <w:rsid w:val="00516D9A"/>
    <w:rsid w:val="00517995"/>
    <w:rsid w:val="00521858"/>
    <w:rsid w:val="00524E13"/>
    <w:rsid w:val="00533539"/>
    <w:rsid w:val="00535593"/>
    <w:rsid w:val="00535773"/>
    <w:rsid w:val="00542B64"/>
    <w:rsid w:val="00544050"/>
    <w:rsid w:val="005453F0"/>
    <w:rsid w:val="00550552"/>
    <w:rsid w:val="00551B14"/>
    <w:rsid w:val="00552DD7"/>
    <w:rsid w:val="0055335A"/>
    <w:rsid w:val="0055542D"/>
    <w:rsid w:val="00555E30"/>
    <w:rsid w:val="0055743C"/>
    <w:rsid w:val="00557BD0"/>
    <w:rsid w:val="0056094F"/>
    <w:rsid w:val="00561918"/>
    <w:rsid w:val="005622BF"/>
    <w:rsid w:val="005629E4"/>
    <w:rsid w:val="00563250"/>
    <w:rsid w:val="00563BA9"/>
    <w:rsid w:val="005649BE"/>
    <w:rsid w:val="00566061"/>
    <w:rsid w:val="00575518"/>
    <w:rsid w:val="005774BC"/>
    <w:rsid w:val="00582BB7"/>
    <w:rsid w:val="00583793"/>
    <w:rsid w:val="0058402D"/>
    <w:rsid w:val="00584D10"/>
    <w:rsid w:val="00586F81"/>
    <w:rsid w:val="0059087C"/>
    <w:rsid w:val="005961BE"/>
    <w:rsid w:val="00596B86"/>
    <w:rsid w:val="005A255C"/>
    <w:rsid w:val="005A5510"/>
    <w:rsid w:val="005B1580"/>
    <w:rsid w:val="005B3870"/>
    <w:rsid w:val="005B3BA9"/>
    <w:rsid w:val="005B4A25"/>
    <w:rsid w:val="005B541C"/>
    <w:rsid w:val="005B7181"/>
    <w:rsid w:val="005B7A71"/>
    <w:rsid w:val="005C04E5"/>
    <w:rsid w:val="005C1A24"/>
    <w:rsid w:val="005C4EFA"/>
    <w:rsid w:val="005C5D88"/>
    <w:rsid w:val="005C7AF3"/>
    <w:rsid w:val="005C7EB9"/>
    <w:rsid w:val="005D1773"/>
    <w:rsid w:val="005D1EB6"/>
    <w:rsid w:val="005D20C5"/>
    <w:rsid w:val="005D3531"/>
    <w:rsid w:val="005D40A1"/>
    <w:rsid w:val="005D48CB"/>
    <w:rsid w:val="005D54F7"/>
    <w:rsid w:val="005D589A"/>
    <w:rsid w:val="005D7CDE"/>
    <w:rsid w:val="005E1323"/>
    <w:rsid w:val="005E1F67"/>
    <w:rsid w:val="005E47FA"/>
    <w:rsid w:val="005E6109"/>
    <w:rsid w:val="005E6850"/>
    <w:rsid w:val="005E70A4"/>
    <w:rsid w:val="005F15D2"/>
    <w:rsid w:val="005F3E08"/>
    <w:rsid w:val="005F5B46"/>
    <w:rsid w:val="005F726A"/>
    <w:rsid w:val="005F787B"/>
    <w:rsid w:val="00600E92"/>
    <w:rsid w:val="0060165B"/>
    <w:rsid w:val="006027DA"/>
    <w:rsid w:val="006035C9"/>
    <w:rsid w:val="0060419F"/>
    <w:rsid w:val="006060F0"/>
    <w:rsid w:val="006065AE"/>
    <w:rsid w:val="00606EC5"/>
    <w:rsid w:val="006105CD"/>
    <w:rsid w:val="00612A06"/>
    <w:rsid w:val="00613874"/>
    <w:rsid w:val="00613C2C"/>
    <w:rsid w:val="006151E4"/>
    <w:rsid w:val="00616B62"/>
    <w:rsid w:val="006173DF"/>
    <w:rsid w:val="006228F2"/>
    <w:rsid w:val="0062325F"/>
    <w:rsid w:val="00624FE9"/>
    <w:rsid w:val="00625105"/>
    <w:rsid w:val="00626E5B"/>
    <w:rsid w:val="00627135"/>
    <w:rsid w:val="00631636"/>
    <w:rsid w:val="00632E50"/>
    <w:rsid w:val="00633377"/>
    <w:rsid w:val="006343E1"/>
    <w:rsid w:val="00634445"/>
    <w:rsid w:val="006437BE"/>
    <w:rsid w:val="006450FA"/>
    <w:rsid w:val="00645926"/>
    <w:rsid w:val="00646DEF"/>
    <w:rsid w:val="006475DE"/>
    <w:rsid w:val="00647A5F"/>
    <w:rsid w:val="00651236"/>
    <w:rsid w:val="0065162A"/>
    <w:rsid w:val="0065527E"/>
    <w:rsid w:val="00656048"/>
    <w:rsid w:val="00657A31"/>
    <w:rsid w:val="00661188"/>
    <w:rsid w:val="0066183C"/>
    <w:rsid w:val="00661C08"/>
    <w:rsid w:val="00662B5B"/>
    <w:rsid w:val="00666BDD"/>
    <w:rsid w:val="00666E55"/>
    <w:rsid w:val="00667BB8"/>
    <w:rsid w:val="00671BFC"/>
    <w:rsid w:val="00673173"/>
    <w:rsid w:val="006740C0"/>
    <w:rsid w:val="00674734"/>
    <w:rsid w:val="006761A7"/>
    <w:rsid w:val="006774D6"/>
    <w:rsid w:val="00683364"/>
    <w:rsid w:val="00683517"/>
    <w:rsid w:val="00685E89"/>
    <w:rsid w:val="006869B2"/>
    <w:rsid w:val="006871D9"/>
    <w:rsid w:val="00687418"/>
    <w:rsid w:val="00691E07"/>
    <w:rsid w:val="00692378"/>
    <w:rsid w:val="0069534E"/>
    <w:rsid w:val="00697751"/>
    <w:rsid w:val="006A2577"/>
    <w:rsid w:val="006A2772"/>
    <w:rsid w:val="006B0037"/>
    <w:rsid w:val="006B2756"/>
    <w:rsid w:val="006B3A5C"/>
    <w:rsid w:val="006B7777"/>
    <w:rsid w:val="006C1BFE"/>
    <w:rsid w:val="006C3F5E"/>
    <w:rsid w:val="006C4E06"/>
    <w:rsid w:val="006D28FB"/>
    <w:rsid w:val="006D31E8"/>
    <w:rsid w:val="006D5B07"/>
    <w:rsid w:val="006E1345"/>
    <w:rsid w:val="006E16EF"/>
    <w:rsid w:val="006E2832"/>
    <w:rsid w:val="006E422E"/>
    <w:rsid w:val="006E4CBD"/>
    <w:rsid w:val="006E7690"/>
    <w:rsid w:val="006F3421"/>
    <w:rsid w:val="006F45C2"/>
    <w:rsid w:val="006F6AF7"/>
    <w:rsid w:val="00700D96"/>
    <w:rsid w:val="00703153"/>
    <w:rsid w:val="0070525E"/>
    <w:rsid w:val="00705C70"/>
    <w:rsid w:val="00706427"/>
    <w:rsid w:val="00706CAB"/>
    <w:rsid w:val="0070727B"/>
    <w:rsid w:val="00707A2F"/>
    <w:rsid w:val="00711813"/>
    <w:rsid w:val="0071181F"/>
    <w:rsid w:val="00711BBB"/>
    <w:rsid w:val="00712274"/>
    <w:rsid w:val="0071354D"/>
    <w:rsid w:val="00714E0A"/>
    <w:rsid w:val="00715FF9"/>
    <w:rsid w:val="00716514"/>
    <w:rsid w:val="00716DE7"/>
    <w:rsid w:val="007204F1"/>
    <w:rsid w:val="00723BFD"/>
    <w:rsid w:val="00726EEF"/>
    <w:rsid w:val="007279DE"/>
    <w:rsid w:val="00730D5D"/>
    <w:rsid w:val="0073192F"/>
    <w:rsid w:val="00731E1D"/>
    <w:rsid w:val="00732F0B"/>
    <w:rsid w:val="007333B7"/>
    <w:rsid w:val="00733DAB"/>
    <w:rsid w:val="007365E3"/>
    <w:rsid w:val="007377B0"/>
    <w:rsid w:val="0074300D"/>
    <w:rsid w:val="00744104"/>
    <w:rsid w:val="0074476B"/>
    <w:rsid w:val="00744C24"/>
    <w:rsid w:val="00745D72"/>
    <w:rsid w:val="00746E27"/>
    <w:rsid w:val="00747403"/>
    <w:rsid w:val="007541B4"/>
    <w:rsid w:val="00754FF9"/>
    <w:rsid w:val="00755494"/>
    <w:rsid w:val="00757A8C"/>
    <w:rsid w:val="00757B20"/>
    <w:rsid w:val="0077049C"/>
    <w:rsid w:val="0077589D"/>
    <w:rsid w:val="007824D0"/>
    <w:rsid w:val="007868B7"/>
    <w:rsid w:val="00791F12"/>
    <w:rsid w:val="00796678"/>
    <w:rsid w:val="007972BC"/>
    <w:rsid w:val="007975E9"/>
    <w:rsid w:val="00797E6F"/>
    <w:rsid w:val="007A0FD0"/>
    <w:rsid w:val="007A24F2"/>
    <w:rsid w:val="007A2929"/>
    <w:rsid w:val="007A4050"/>
    <w:rsid w:val="007A5C8C"/>
    <w:rsid w:val="007A6212"/>
    <w:rsid w:val="007A628D"/>
    <w:rsid w:val="007B1605"/>
    <w:rsid w:val="007B27AB"/>
    <w:rsid w:val="007B2DA1"/>
    <w:rsid w:val="007B325B"/>
    <w:rsid w:val="007B367F"/>
    <w:rsid w:val="007B52DA"/>
    <w:rsid w:val="007B5BE0"/>
    <w:rsid w:val="007C0CA3"/>
    <w:rsid w:val="007C0E27"/>
    <w:rsid w:val="007C21C1"/>
    <w:rsid w:val="007C2E34"/>
    <w:rsid w:val="007C7EE3"/>
    <w:rsid w:val="007D260C"/>
    <w:rsid w:val="007D2892"/>
    <w:rsid w:val="007D3A0C"/>
    <w:rsid w:val="007D3C5F"/>
    <w:rsid w:val="007D3DEA"/>
    <w:rsid w:val="007D4371"/>
    <w:rsid w:val="007D5DD8"/>
    <w:rsid w:val="007D7D33"/>
    <w:rsid w:val="007E013B"/>
    <w:rsid w:val="007E0CDF"/>
    <w:rsid w:val="007E183C"/>
    <w:rsid w:val="007E28F8"/>
    <w:rsid w:val="007E3368"/>
    <w:rsid w:val="007E6FA5"/>
    <w:rsid w:val="007F0BCA"/>
    <w:rsid w:val="007F5049"/>
    <w:rsid w:val="007F5393"/>
    <w:rsid w:val="007F60A4"/>
    <w:rsid w:val="007F645C"/>
    <w:rsid w:val="007F759A"/>
    <w:rsid w:val="007F7F87"/>
    <w:rsid w:val="008036F3"/>
    <w:rsid w:val="00805C87"/>
    <w:rsid w:val="00806AAB"/>
    <w:rsid w:val="00807F47"/>
    <w:rsid w:val="00810DD4"/>
    <w:rsid w:val="00811C77"/>
    <w:rsid w:val="008138D7"/>
    <w:rsid w:val="00813E00"/>
    <w:rsid w:val="00813E4B"/>
    <w:rsid w:val="00814EF9"/>
    <w:rsid w:val="00815979"/>
    <w:rsid w:val="00815C81"/>
    <w:rsid w:val="008169BA"/>
    <w:rsid w:val="008170F8"/>
    <w:rsid w:val="008172CC"/>
    <w:rsid w:val="0082092A"/>
    <w:rsid w:val="00821B15"/>
    <w:rsid w:val="0082269B"/>
    <w:rsid w:val="00822817"/>
    <w:rsid w:val="00822A59"/>
    <w:rsid w:val="00823FCD"/>
    <w:rsid w:val="0082459E"/>
    <w:rsid w:val="008249C9"/>
    <w:rsid w:val="008315B2"/>
    <w:rsid w:val="008328F8"/>
    <w:rsid w:val="00835E98"/>
    <w:rsid w:val="008504EB"/>
    <w:rsid w:val="0085056F"/>
    <w:rsid w:val="00850572"/>
    <w:rsid w:val="008513D9"/>
    <w:rsid w:val="008515E3"/>
    <w:rsid w:val="0085180D"/>
    <w:rsid w:val="00851F45"/>
    <w:rsid w:val="00853018"/>
    <w:rsid w:val="0086149A"/>
    <w:rsid w:val="0086192B"/>
    <w:rsid w:val="0086382A"/>
    <w:rsid w:val="00863FE0"/>
    <w:rsid w:val="0086455A"/>
    <w:rsid w:val="00864C21"/>
    <w:rsid w:val="0086717B"/>
    <w:rsid w:val="0086746F"/>
    <w:rsid w:val="00867D34"/>
    <w:rsid w:val="00873FED"/>
    <w:rsid w:val="00880844"/>
    <w:rsid w:val="00880BC9"/>
    <w:rsid w:val="00881151"/>
    <w:rsid w:val="0088192F"/>
    <w:rsid w:val="00883AD5"/>
    <w:rsid w:val="00885344"/>
    <w:rsid w:val="00887982"/>
    <w:rsid w:val="00887D9D"/>
    <w:rsid w:val="00890B7F"/>
    <w:rsid w:val="008913B8"/>
    <w:rsid w:val="008916A8"/>
    <w:rsid w:val="00894044"/>
    <w:rsid w:val="008943A2"/>
    <w:rsid w:val="008958EB"/>
    <w:rsid w:val="008A12F9"/>
    <w:rsid w:val="008A29AB"/>
    <w:rsid w:val="008A4374"/>
    <w:rsid w:val="008A5317"/>
    <w:rsid w:val="008A5931"/>
    <w:rsid w:val="008A784A"/>
    <w:rsid w:val="008B037A"/>
    <w:rsid w:val="008B0663"/>
    <w:rsid w:val="008B1252"/>
    <w:rsid w:val="008B248C"/>
    <w:rsid w:val="008B2F2C"/>
    <w:rsid w:val="008C03D6"/>
    <w:rsid w:val="008C0CA3"/>
    <w:rsid w:val="008C0E83"/>
    <w:rsid w:val="008C1B10"/>
    <w:rsid w:val="008D1CC0"/>
    <w:rsid w:val="008D3F49"/>
    <w:rsid w:val="008D584C"/>
    <w:rsid w:val="008D6C21"/>
    <w:rsid w:val="008E3C81"/>
    <w:rsid w:val="008E41E8"/>
    <w:rsid w:val="008E422D"/>
    <w:rsid w:val="008E4BDE"/>
    <w:rsid w:val="008E4E01"/>
    <w:rsid w:val="008F41ED"/>
    <w:rsid w:val="008F46F4"/>
    <w:rsid w:val="00900750"/>
    <w:rsid w:val="0090500A"/>
    <w:rsid w:val="0090570C"/>
    <w:rsid w:val="0091090A"/>
    <w:rsid w:val="00910A75"/>
    <w:rsid w:val="00911AC6"/>
    <w:rsid w:val="00915DC5"/>
    <w:rsid w:val="00916FD1"/>
    <w:rsid w:val="0092087F"/>
    <w:rsid w:val="00920A99"/>
    <w:rsid w:val="00921D16"/>
    <w:rsid w:val="00925EDE"/>
    <w:rsid w:val="00927EC0"/>
    <w:rsid w:val="009301B7"/>
    <w:rsid w:val="00931A25"/>
    <w:rsid w:val="00931EE5"/>
    <w:rsid w:val="00932D4B"/>
    <w:rsid w:val="00935336"/>
    <w:rsid w:val="009359A3"/>
    <w:rsid w:val="0094076F"/>
    <w:rsid w:val="009418CD"/>
    <w:rsid w:val="009418EE"/>
    <w:rsid w:val="009428F5"/>
    <w:rsid w:val="00943216"/>
    <w:rsid w:val="00943A7B"/>
    <w:rsid w:val="00944278"/>
    <w:rsid w:val="009477A7"/>
    <w:rsid w:val="00947B53"/>
    <w:rsid w:val="00950565"/>
    <w:rsid w:val="00950618"/>
    <w:rsid w:val="009512E8"/>
    <w:rsid w:val="00951F0D"/>
    <w:rsid w:val="009522DB"/>
    <w:rsid w:val="00952451"/>
    <w:rsid w:val="00952FD6"/>
    <w:rsid w:val="00953D4F"/>
    <w:rsid w:val="00954802"/>
    <w:rsid w:val="00954AA4"/>
    <w:rsid w:val="00960399"/>
    <w:rsid w:val="00961479"/>
    <w:rsid w:val="009620DC"/>
    <w:rsid w:val="00962D07"/>
    <w:rsid w:val="00964E75"/>
    <w:rsid w:val="009650DB"/>
    <w:rsid w:val="0096748D"/>
    <w:rsid w:val="009713D1"/>
    <w:rsid w:val="00972194"/>
    <w:rsid w:val="00973A65"/>
    <w:rsid w:val="00973EB7"/>
    <w:rsid w:val="00974B19"/>
    <w:rsid w:val="00974D8D"/>
    <w:rsid w:val="00976508"/>
    <w:rsid w:val="00981319"/>
    <w:rsid w:val="00982977"/>
    <w:rsid w:val="00982FEC"/>
    <w:rsid w:val="00983652"/>
    <w:rsid w:val="00985231"/>
    <w:rsid w:val="00985EF5"/>
    <w:rsid w:val="00986083"/>
    <w:rsid w:val="00990584"/>
    <w:rsid w:val="009905D8"/>
    <w:rsid w:val="00991E10"/>
    <w:rsid w:val="00992945"/>
    <w:rsid w:val="0099474B"/>
    <w:rsid w:val="009949D9"/>
    <w:rsid w:val="00995E17"/>
    <w:rsid w:val="009A0A8A"/>
    <w:rsid w:val="009A0E3C"/>
    <w:rsid w:val="009A136C"/>
    <w:rsid w:val="009A143D"/>
    <w:rsid w:val="009A24E6"/>
    <w:rsid w:val="009A32AD"/>
    <w:rsid w:val="009A47DD"/>
    <w:rsid w:val="009A6C2B"/>
    <w:rsid w:val="009A6C37"/>
    <w:rsid w:val="009A70B3"/>
    <w:rsid w:val="009A77EE"/>
    <w:rsid w:val="009B0834"/>
    <w:rsid w:val="009B11AB"/>
    <w:rsid w:val="009B1397"/>
    <w:rsid w:val="009B268A"/>
    <w:rsid w:val="009B3EB3"/>
    <w:rsid w:val="009B474B"/>
    <w:rsid w:val="009B58E7"/>
    <w:rsid w:val="009B594E"/>
    <w:rsid w:val="009B5F17"/>
    <w:rsid w:val="009B68A8"/>
    <w:rsid w:val="009B6FF5"/>
    <w:rsid w:val="009B7C57"/>
    <w:rsid w:val="009C0321"/>
    <w:rsid w:val="009C1183"/>
    <w:rsid w:val="009C209F"/>
    <w:rsid w:val="009C25F0"/>
    <w:rsid w:val="009C3398"/>
    <w:rsid w:val="009C4D20"/>
    <w:rsid w:val="009C5044"/>
    <w:rsid w:val="009C63FE"/>
    <w:rsid w:val="009C6555"/>
    <w:rsid w:val="009C6F0F"/>
    <w:rsid w:val="009C7C7A"/>
    <w:rsid w:val="009D0142"/>
    <w:rsid w:val="009D0BAD"/>
    <w:rsid w:val="009D2288"/>
    <w:rsid w:val="009D4AD3"/>
    <w:rsid w:val="009D5293"/>
    <w:rsid w:val="009D669D"/>
    <w:rsid w:val="009D7F2E"/>
    <w:rsid w:val="009F18D4"/>
    <w:rsid w:val="009F1942"/>
    <w:rsid w:val="009F355A"/>
    <w:rsid w:val="009F47AC"/>
    <w:rsid w:val="009F4825"/>
    <w:rsid w:val="009F4DBF"/>
    <w:rsid w:val="009F5D63"/>
    <w:rsid w:val="00A00F59"/>
    <w:rsid w:val="00A041E1"/>
    <w:rsid w:val="00A05081"/>
    <w:rsid w:val="00A069FF"/>
    <w:rsid w:val="00A15F6A"/>
    <w:rsid w:val="00A2069E"/>
    <w:rsid w:val="00A23C59"/>
    <w:rsid w:val="00A25BAD"/>
    <w:rsid w:val="00A303DD"/>
    <w:rsid w:val="00A359F2"/>
    <w:rsid w:val="00A35E2A"/>
    <w:rsid w:val="00A37759"/>
    <w:rsid w:val="00A37AE6"/>
    <w:rsid w:val="00A4113C"/>
    <w:rsid w:val="00A41EB7"/>
    <w:rsid w:val="00A43E11"/>
    <w:rsid w:val="00A444EC"/>
    <w:rsid w:val="00A44B66"/>
    <w:rsid w:val="00A46191"/>
    <w:rsid w:val="00A50ABD"/>
    <w:rsid w:val="00A52AB1"/>
    <w:rsid w:val="00A531EA"/>
    <w:rsid w:val="00A53418"/>
    <w:rsid w:val="00A54D74"/>
    <w:rsid w:val="00A54F05"/>
    <w:rsid w:val="00A54F2C"/>
    <w:rsid w:val="00A62514"/>
    <w:rsid w:val="00A62F4B"/>
    <w:rsid w:val="00A630FC"/>
    <w:rsid w:val="00A631AE"/>
    <w:rsid w:val="00A63A06"/>
    <w:rsid w:val="00A63B60"/>
    <w:rsid w:val="00A63CF2"/>
    <w:rsid w:val="00A650EE"/>
    <w:rsid w:val="00A6772F"/>
    <w:rsid w:val="00A67E87"/>
    <w:rsid w:val="00A700BE"/>
    <w:rsid w:val="00A73141"/>
    <w:rsid w:val="00A742D7"/>
    <w:rsid w:val="00A74735"/>
    <w:rsid w:val="00A748B9"/>
    <w:rsid w:val="00A74A88"/>
    <w:rsid w:val="00A77699"/>
    <w:rsid w:val="00A776CF"/>
    <w:rsid w:val="00A80269"/>
    <w:rsid w:val="00A80722"/>
    <w:rsid w:val="00A80D67"/>
    <w:rsid w:val="00A8160E"/>
    <w:rsid w:val="00A837FE"/>
    <w:rsid w:val="00A83956"/>
    <w:rsid w:val="00A84A94"/>
    <w:rsid w:val="00A85D0F"/>
    <w:rsid w:val="00A870FF"/>
    <w:rsid w:val="00A87900"/>
    <w:rsid w:val="00A92254"/>
    <w:rsid w:val="00A924AD"/>
    <w:rsid w:val="00A92D52"/>
    <w:rsid w:val="00A9345E"/>
    <w:rsid w:val="00A97AF9"/>
    <w:rsid w:val="00AA0CD5"/>
    <w:rsid w:val="00AA1002"/>
    <w:rsid w:val="00AA1F5A"/>
    <w:rsid w:val="00AA3A30"/>
    <w:rsid w:val="00AA3AF5"/>
    <w:rsid w:val="00AA5601"/>
    <w:rsid w:val="00AA63B9"/>
    <w:rsid w:val="00AB21DF"/>
    <w:rsid w:val="00AB230C"/>
    <w:rsid w:val="00AB24AB"/>
    <w:rsid w:val="00AB4701"/>
    <w:rsid w:val="00AB7DFE"/>
    <w:rsid w:val="00AC0272"/>
    <w:rsid w:val="00AC1604"/>
    <w:rsid w:val="00AC1973"/>
    <w:rsid w:val="00AC3DC1"/>
    <w:rsid w:val="00AC5545"/>
    <w:rsid w:val="00AC56A7"/>
    <w:rsid w:val="00AC5A7D"/>
    <w:rsid w:val="00AC6004"/>
    <w:rsid w:val="00AC61E7"/>
    <w:rsid w:val="00AC6953"/>
    <w:rsid w:val="00AD1E74"/>
    <w:rsid w:val="00AD1EB0"/>
    <w:rsid w:val="00AD66F6"/>
    <w:rsid w:val="00AE2CE0"/>
    <w:rsid w:val="00AE2DBA"/>
    <w:rsid w:val="00AE300F"/>
    <w:rsid w:val="00AE36D7"/>
    <w:rsid w:val="00AE40D3"/>
    <w:rsid w:val="00AE6337"/>
    <w:rsid w:val="00AE7C02"/>
    <w:rsid w:val="00AF0EC2"/>
    <w:rsid w:val="00AF1D76"/>
    <w:rsid w:val="00AF6165"/>
    <w:rsid w:val="00AF6DBF"/>
    <w:rsid w:val="00AF6F2C"/>
    <w:rsid w:val="00AF783E"/>
    <w:rsid w:val="00AF7E75"/>
    <w:rsid w:val="00B01604"/>
    <w:rsid w:val="00B03EAA"/>
    <w:rsid w:val="00B05E15"/>
    <w:rsid w:val="00B069D1"/>
    <w:rsid w:val="00B1055D"/>
    <w:rsid w:val="00B149F4"/>
    <w:rsid w:val="00B14EB2"/>
    <w:rsid w:val="00B152A8"/>
    <w:rsid w:val="00B16966"/>
    <w:rsid w:val="00B17616"/>
    <w:rsid w:val="00B20341"/>
    <w:rsid w:val="00B218A0"/>
    <w:rsid w:val="00B2211E"/>
    <w:rsid w:val="00B25FD4"/>
    <w:rsid w:val="00B3331B"/>
    <w:rsid w:val="00B33CDF"/>
    <w:rsid w:val="00B340EB"/>
    <w:rsid w:val="00B344B7"/>
    <w:rsid w:val="00B349B0"/>
    <w:rsid w:val="00B374D4"/>
    <w:rsid w:val="00B4086A"/>
    <w:rsid w:val="00B41394"/>
    <w:rsid w:val="00B42E63"/>
    <w:rsid w:val="00B440B3"/>
    <w:rsid w:val="00B44B36"/>
    <w:rsid w:val="00B451F9"/>
    <w:rsid w:val="00B45D6E"/>
    <w:rsid w:val="00B478EF"/>
    <w:rsid w:val="00B5341B"/>
    <w:rsid w:val="00B53D9A"/>
    <w:rsid w:val="00B55143"/>
    <w:rsid w:val="00B655FB"/>
    <w:rsid w:val="00B669FF"/>
    <w:rsid w:val="00B70284"/>
    <w:rsid w:val="00B70C6A"/>
    <w:rsid w:val="00B71166"/>
    <w:rsid w:val="00B719AB"/>
    <w:rsid w:val="00B71C05"/>
    <w:rsid w:val="00B7544A"/>
    <w:rsid w:val="00B77A03"/>
    <w:rsid w:val="00B77BF4"/>
    <w:rsid w:val="00B8107B"/>
    <w:rsid w:val="00B81A82"/>
    <w:rsid w:val="00B82E91"/>
    <w:rsid w:val="00B82F54"/>
    <w:rsid w:val="00B83687"/>
    <w:rsid w:val="00B84165"/>
    <w:rsid w:val="00B84CAE"/>
    <w:rsid w:val="00B8554A"/>
    <w:rsid w:val="00B86021"/>
    <w:rsid w:val="00B86CEC"/>
    <w:rsid w:val="00B8744D"/>
    <w:rsid w:val="00B90E07"/>
    <w:rsid w:val="00B9223A"/>
    <w:rsid w:val="00BA0572"/>
    <w:rsid w:val="00BA3636"/>
    <w:rsid w:val="00BA660A"/>
    <w:rsid w:val="00BA72C4"/>
    <w:rsid w:val="00BB16E7"/>
    <w:rsid w:val="00BB1ED0"/>
    <w:rsid w:val="00BB28D7"/>
    <w:rsid w:val="00BB2F48"/>
    <w:rsid w:val="00BB3B77"/>
    <w:rsid w:val="00BB3D1B"/>
    <w:rsid w:val="00BB7E23"/>
    <w:rsid w:val="00BC06F4"/>
    <w:rsid w:val="00BC0AC0"/>
    <w:rsid w:val="00BC1815"/>
    <w:rsid w:val="00BC20F7"/>
    <w:rsid w:val="00BC282F"/>
    <w:rsid w:val="00BC643C"/>
    <w:rsid w:val="00BC6E67"/>
    <w:rsid w:val="00BC729B"/>
    <w:rsid w:val="00BD034B"/>
    <w:rsid w:val="00BD13B6"/>
    <w:rsid w:val="00BD26B0"/>
    <w:rsid w:val="00BD2A8F"/>
    <w:rsid w:val="00BD5EAE"/>
    <w:rsid w:val="00BE13E2"/>
    <w:rsid w:val="00BE1993"/>
    <w:rsid w:val="00BE2E75"/>
    <w:rsid w:val="00BE6D0B"/>
    <w:rsid w:val="00BF0E7A"/>
    <w:rsid w:val="00BF375E"/>
    <w:rsid w:val="00BF451C"/>
    <w:rsid w:val="00BF49A8"/>
    <w:rsid w:val="00BF4C58"/>
    <w:rsid w:val="00BF788A"/>
    <w:rsid w:val="00BF7D5E"/>
    <w:rsid w:val="00C02596"/>
    <w:rsid w:val="00C03E9C"/>
    <w:rsid w:val="00C04A61"/>
    <w:rsid w:val="00C1246A"/>
    <w:rsid w:val="00C12657"/>
    <w:rsid w:val="00C12BF9"/>
    <w:rsid w:val="00C14B55"/>
    <w:rsid w:val="00C1566D"/>
    <w:rsid w:val="00C16AFB"/>
    <w:rsid w:val="00C24496"/>
    <w:rsid w:val="00C32363"/>
    <w:rsid w:val="00C34415"/>
    <w:rsid w:val="00C35571"/>
    <w:rsid w:val="00C36AC0"/>
    <w:rsid w:val="00C37468"/>
    <w:rsid w:val="00C40878"/>
    <w:rsid w:val="00C420BC"/>
    <w:rsid w:val="00C424CE"/>
    <w:rsid w:val="00C44AAD"/>
    <w:rsid w:val="00C531E8"/>
    <w:rsid w:val="00C54522"/>
    <w:rsid w:val="00C56177"/>
    <w:rsid w:val="00C57513"/>
    <w:rsid w:val="00C578A7"/>
    <w:rsid w:val="00C606E8"/>
    <w:rsid w:val="00C61555"/>
    <w:rsid w:val="00C627D7"/>
    <w:rsid w:val="00C635FE"/>
    <w:rsid w:val="00C64F34"/>
    <w:rsid w:val="00C652C2"/>
    <w:rsid w:val="00C67A85"/>
    <w:rsid w:val="00C720A3"/>
    <w:rsid w:val="00C722D1"/>
    <w:rsid w:val="00C72A7A"/>
    <w:rsid w:val="00C7537D"/>
    <w:rsid w:val="00C753BD"/>
    <w:rsid w:val="00C81FFF"/>
    <w:rsid w:val="00C834A7"/>
    <w:rsid w:val="00C8386B"/>
    <w:rsid w:val="00C85767"/>
    <w:rsid w:val="00C867BB"/>
    <w:rsid w:val="00C907B9"/>
    <w:rsid w:val="00C9242E"/>
    <w:rsid w:val="00C93195"/>
    <w:rsid w:val="00C937C7"/>
    <w:rsid w:val="00CA1630"/>
    <w:rsid w:val="00CA254D"/>
    <w:rsid w:val="00CA2971"/>
    <w:rsid w:val="00CA4B7A"/>
    <w:rsid w:val="00CA4E81"/>
    <w:rsid w:val="00CA5187"/>
    <w:rsid w:val="00CA5913"/>
    <w:rsid w:val="00CA62F6"/>
    <w:rsid w:val="00CA7054"/>
    <w:rsid w:val="00CA7832"/>
    <w:rsid w:val="00CA7A4E"/>
    <w:rsid w:val="00CB06D1"/>
    <w:rsid w:val="00CB11F0"/>
    <w:rsid w:val="00CB1368"/>
    <w:rsid w:val="00CB1D82"/>
    <w:rsid w:val="00CB579B"/>
    <w:rsid w:val="00CC695C"/>
    <w:rsid w:val="00CC6A90"/>
    <w:rsid w:val="00CD08C4"/>
    <w:rsid w:val="00CD1382"/>
    <w:rsid w:val="00CD287C"/>
    <w:rsid w:val="00CD3A24"/>
    <w:rsid w:val="00CD4CA2"/>
    <w:rsid w:val="00CD62AE"/>
    <w:rsid w:val="00CD62BB"/>
    <w:rsid w:val="00CD746C"/>
    <w:rsid w:val="00CD766B"/>
    <w:rsid w:val="00CE069A"/>
    <w:rsid w:val="00CE07EC"/>
    <w:rsid w:val="00CE1161"/>
    <w:rsid w:val="00CE2CA5"/>
    <w:rsid w:val="00CE322D"/>
    <w:rsid w:val="00CE55B3"/>
    <w:rsid w:val="00CE5A0B"/>
    <w:rsid w:val="00CE6100"/>
    <w:rsid w:val="00CE7D8A"/>
    <w:rsid w:val="00CF1287"/>
    <w:rsid w:val="00CF1D56"/>
    <w:rsid w:val="00CF2CD1"/>
    <w:rsid w:val="00CF4F3B"/>
    <w:rsid w:val="00CF676F"/>
    <w:rsid w:val="00D02018"/>
    <w:rsid w:val="00D0227D"/>
    <w:rsid w:val="00D028AF"/>
    <w:rsid w:val="00D02A8C"/>
    <w:rsid w:val="00D0324C"/>
    <w:rsid w:val="00D03ED4"/>
    <w:rsid w:val="00D06C92"/>
    <w:rsid w:val="00D118BD"/>
    <w:rsid w:val="00D11B11"/>
    <w:rsid w:val="00D1244A"/>
    <w:rsid w:val="00D1329D"/>
    <w:rsid w:val="00D149CB"/>
    <w:rsid w:val="00D16348"/>
    <w:rsid w:val="00D1707A"/>
    <w:rsid w:val="00D211C1"/>
    <w:rsid w:val="00D21E74"/>
    <w:rsid w:val="00D226C4"/>
    <w:rsid w:val="00D22C72"/>
    <w:rsid w:val="00D23CF1"/>
    <w:rsid w:val="00D24047"/>
    <w:rsid w:val="00D25C5F"/>
    <w:rsid w:val="00D2640C"/>
    <w:rsid w:val="00D2696C"/>
    <w:rsid w:val="00D31E7C"/>
    <w:rsid w:val="00D3232E"/>
    <w:rsid w:val="00D35FD9"/>
    <w:rsid w:val="00D361AD"/>
    <w:rsid w:val="00D36B00"/>
    <w:rsid w:val="00D40D01"/>
    <w:rsid w:val="00D412EA"/>
    <w:rsid w:val="00D41922"/>
    <w:rsid w:val="00D4384C"/>
    <w:rsid w:val="00D44A5E"/>
    <w:rsid w:val="00D459A5"/>
    <w:rsid w:val="00D45B62"/>
    <w:rsid w:val="00D47D5E"/>
    <w:rsid w:val="00D504E1"/>
    <w:rsid w:val="00D50CF6"/>
    <w:rsid w:val="00D51C82"/>
    <w:rsid w:val="00D535EA"/>
    <w:rsid w:val="00D54C0B"/>
    <w:rsid w:val="00D5607C"/>
    <w:rsid w:val="00D5697D"/>
    <w:rsid w:val="00D6525E"/>
    <w:rsid w:val="00D66906"/>
    <w:rsid w:val="00D70807"/>
    <w:rsid w:val="00D70E03"/>
    <w:rsid w:val="00D712BD"/>
    <w:rsid w:val="00D7164F"/>
    <w:rsid w:val="00D7261B"/>
    <w:rsid w:val="00D7472E"/>
    <w:rsid w:val="00D7627E"/>
    <w:rsid w:val="00D80192"/>
    <w:rsid w:val="00D818FD"/>
    <w:rsid w:val="00D82374"/>
    <w:rsid w:val="00D83BEE"/>
    <w:rsid w:val="00D848DF"/>
    <w:rsid w:val="00D87761"/>
    <w:rsid w:val="00D96D04"/>
    <w:rsid w:val="00D97DCE"/>
    <w:rsid w:val="00DA0124"/>
    <w:rsid w:val="00DA015A"/>
    <w:rsid w:val="00DA101C"/>
    <w:rsid w:val="00DA25E1"/>
    <w:rsid w:val="00DA2C2B"/>
    <w:rsid w:val="00DA3C70"/>
    <w:rsid w:val="00DA4888"/>
    <w:rsid w:val="00DA5983"/>
    <w:rsid w:val="00DA71D1"/>
    <w:rsid w:val="00DB07FD"/>
    <w:rsid w:val="00DB46F2"/>
    <w:rsid w:val="00DB525B"/>
    <w:rsid w:val="00DB61C0"/>
    <w:rsid w:val="00DC1E18"/>
    <w:rsid w:val="00DC2539"/>
    <w:rsid w:val="00DC4DD8"/>
    <w:rsid w:val="00DC582F"/>
    <w:rsid w:val="00DC6B58"/>
    <w:rsid w:val="00DD1617"/>
    <w:rsid w:val="00DD4E54"/>
    <w:rsid w:val="00DD5FCF"/>
    <w:rsid w:val="00DD76A4"/>
    <w:rsid w:val="00DE134C"/>
    <w:rsid w:val="00DE66CA"/>
    <w:rsid w:val="00DE6E64"/>
    <w:rsid w:val="00DE71BF"/>
    <w:rsid w:val="00DE7F09"/>
    <w:rsid w:val="00DF1749"/>
    <w:rsid w:val="00DF3DBF"/>
    <w:rsid w:val="00DF4ACB"/>
    <w:rsid w:val="00DF587A"/>
    <w:rsid w:val="00DF7015"/>
    <w:rsid w:val="00E0180E"/>
    <w:rsid w:val="00E01F93"/>
    <w:rsid w:val="00E0256B"/>
    <w:rsid w:val="00E03DC8"/>
    <w:rsid w:val="00E06054"/>
    <w:rsid w:val="00E077B0"/>
    <w:rsid w:val="00E07847"/>
    <w:rsid w:val="00E07D39"/>
    <w:rsid w:val="00E10057"/>
    <w:rsid w:val="00E103D5"/>
    <w:rsid w:val="00E14019"/>
    <w:rsid w:val="00E148F2"/>
    <w:rsid w:val="00E15714"/>
    <w:rsid w:val="00E20683"/>
    <w:rsid w:val="00E221BA"/>
    <w:rsid w:val="00E2280D"/>
    <w:rsid w:val="00E22E98"/>
    <w:rsid w:val="00E2346B"/>
    <w:rsid w:val="00E23B2C"/>
    <w:rsid w:val="00E24BEE"/>
    <w:rsid w:val="00E24C53"/>
    <w:rsid w:val="00E24E9B"/>
    <w:rsid w:val="00E25CAB"/>
    <w:rsid w:val="00E26851"/>
    <w:rsid w:val="00E30280"/>
    <w:rsid w:val="00E30BB1"/>
    <w:rsid w:val="00E31AD7"/>
    <w:rsid w:val="00E32CD3"/>
    <w:rsid w:val="00E346B8"/>
    <w:rsid w:val="00E367F9"/>
    <w:rsid w:val="00E36B2A"/>
    <w:rsid w:val="00E36F6C"/>
    <w:rsid w:val="00E42AEE"/>
    <w:rsid w:val="00E4337D"/>
    <w:rsid w:val="00E43890"/>
    <w:rsid w:val="00E448BD"/>
    <w:rsid w:val="00E451B1"/>
    <w:rsid w:val="00E4652A"/>
    <w:rsid w:val="00E47A20"/>
    <w:rsid w:val="00E50B76"/>
    <w:rsid w:val="00E51B26"/>
    <w:rsid w:val="00E51D92"/>
    <w:rsid w:val="00E549D4"/>
    <w:rsid w:val="00E57B6E"/>
    <w:rsid w:val="00E61044"/>
    <w:rsid w:val="00E61BC7"/>
    <w:rsid w:val="00E63693"/>
    <w:rsid w:val="00E64EDF"/>
    <w:rsid w:val="00E66460"/>
    <w:rsid w:val="00E706DD"/>
    <w:rsid w:val="00E70C20"/>
    <w:rsid w:val="00E70EF3"/>
    <w:rsid w:val="00E72187"/>
    <w:rsid w:val="00E816DB"/>
    <w:rsid w:val="00E816FC"/>
    <w:rsid w:val="00E866CD"/>
    <w:rsid w:val="00E909E9"/>
    <w:rsid w:val="00E93494"/>
    <w:rsid w:val="00E94F5A"/>
    <w:rsid w:val="00E960F8"/>
    <w:rsid w:val="00E9790D"/>
    <w:rsid w:val="00EA102A"/>
    <w:rsid w:val="00EA1E7D"/>
    <w:rsid w:val="00EA2137"/>
    <w:rsid w:val="00EA5103"/>
    <w:rsid w:val="00EA534F"/>
    <w:rsid w:val="00EB184E"/>
    <w:rsid w:val="00EB19C0"/>
    <w:rsid w:val="00EB2525"/>
    <w:rsid w:val="00EB5741"/>
    <w:rsid w:val="00EB69E4"/>
    <w:rsid w:val="00EC405F"/>
    <w:rsid w:val="00EC4237"/>
    <w:rsid w:val="00EC438E"/>
    <w:rsid w:val="00EC73CB"/>
    <w:rsid w:val="00ED1737"/>
    <w:rsid w:val="00ED217F"/>
    <w:rsid w:val="00ED2D26"/>
    <w:rsid w:val="00EE20BE"/>
    <w:rsid w:val="00EE4591"/>
    <w:rsid w:val="00EE52E5"/>
    <w:rsid w:val="00EE557E"/>
    <w:rsid w:val="00EE60B8"/>
    <w:rsid w:val="00EF0162"/>
    <w:rsid w:val="00EF2353"/>
    <w:rsid w:val="00EF267E"/>
    <w:rsid w:val="00EF32E0"/>
    <w:rsid w:val="00EF6D5B"/>
    <w:rsid w:val="00F00BE2"/>
    <w:rsid w:val="00F0164E"/>
    <w:rsid w:val="00F01F91"/>
    <w:rsid w:val="00F10FA9"/>
    <w:rsid w:val="00F14232"/>
    <w:rsid w:val="00F1433A"/>
    <w:rsid w:val="00F1472D"/>
    <w:rsid w:val="00F14818"/>
    <w:rsid w:val="00F1696F"/>
    <w:rsid w:val="00F17BA2"/>
    <w:rsid w:val="00F2082B"/>
    <w:rsid w:val="00F218EF"/>
    <w:rsid w:val="00F21F05"/>
    <w:rsid w:val="00F22EBC"/>
    <w:rsid w:val="00F236C8"/>
    <w:rsid w:val="00F24ADA"/>
    <w:rsid w:val="00F2669C"/>
    <w:rsid w:val="00F27C2B"/>
    <w:rsid w:val="00F34C3D"/>
    <w:rsid w:val="00F36F01"/>
    <w:rsid w:val="00F407BE"/>
    <w:rsid w:val="00F433AC"/>
    <w:rsid w:val="00F43827"/>
    <w:rsid w:val="00F45C94"/>
    <w:rsid w:val="00F5110D"/>
    <w:rsid w:val="00F5372D"/>
    <w:rsid w:val="00F54976"/>
    <w:rsid w:val="00F55680"/>
    <w:rsid w:val="00F5747F"/>
    <w:rsid w:val="00F57C46"/>
    <w:rsid w:val="00F57FE7"/>
    <w:rsid w:val="00F65528"/>
    <w:rsid w:val="00F70D90"/>
    <w:rsid w:val="00F716B9"/>
    <w:rsid w:val="00F741E1"/>
    <w:rsid w:val="00F74242"/>
    <w:rsid w:val="00F74C2E"/>
    <w:rsid w:val="00F75188"/>
    <w:rsid w:val="00F76EE0"/>
    <w:rsid w:val="00F80447"/>
    <w:rsid w:val="00F84483"/>
    <w:rsid w:val="00F91E30"/>
    <w:rsid w:val="00F94A3B"/>
    <w:rsid w:val="00F96513"/>
    <w:rsid w:val="00FA1607"/>
    <w:rsid w:val="00FA3162"/>
    <w:rsid w:val="00FA3175"/>
    <w:rsid w:val="00FA71E1"/>
    <w:rsid w:val="00FA7845"/>
    <w:rsid w:val="00FB28BA"/>
    <w:rsid w:val="00FB32E0"/>
    <w:rsid w:val="00FB4E86"/>
    <w:rsid w:val="00FB4EA9"/>
    <w:rsid w:val="00FC0A06"/>
    <w:rsid w:val="00FC6842"/>
    <w:rsid w:val="00FC73EC"/>
    <w:rsid w:val="00FD1C78"/>
    <w:rsid w:val="00FD335D"/>
    <w:rsid w:val="00FD465D"/>
    <w:rsid w:val="00FD58B6"/>
    <w:rsid w:val="00FD5C94"/>
    <w:rsid w:val="00FE0C85"/>
    <w:rsid w:val="00FE2544"/>
    <w:rsid w:val="00FE2C59"/>
    <w:rsid w:val="00FE2CDC"/>
    <w:rsid w:val="00FE326C"/>
    <w:rsid w:val="00FE3AB5"/>
    <w:rsid w:val="00FE643C"/>
    <w:rsid w:val="00FF13E0"/>
    <w:rsid w:val="00FF4018"/>
    <w:rsid w:val="00FF4483"/>
    <w:rsid w:val="00FF4CD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0324C"/>
    <w:pPr>
      <w:widowControl w:val="0"/>
    </w:pPr>
    <w:rPr>
      <w:rFonts w:eastAsia="標楷體"/>
      <w:kern w:val="2"/>
      <w:sz w:val="32"/>
    </w:rPr>
  </w:style>
  <w:style w:type="paragraph" w:styleId="1">
    <w:name w:val="heading 1"/>
    <w:basedOn w:val="a1"/>
    <w:uiPriority w:val="9"/>
    <w:qFormat/>
    <w:rsid w:val="00D0324C"/>
    <w:pPr>
      <w:numPr>
        <w:numId w:val="1"/>
      </w:numPr>
      <w:kinsoku w:val="0"/>
      <w:jc w:val="both"/>
      <w:outlineLvl w:val="0"/>
    </w:pPr>
    <w:rPr>
      <w:rFonts w:ascii="標楷體" w:hAnsi="Arial"/>
      <w:bCs/>
      <w:kern w:val="0"/>
      <w:szCs w:val="52"/>
    </w:rPr>
  </w:style>
  <w:style w:type="paragraph" w:styleId="2">
    <w:name w:val="heading 2"/>
    <w:basedOn w:val="a1"/>
    <w:link w:val="20"/>
    <w:uiPriority w:val="9"/>
    <w:qFormat/>
    <w:rsid w:val="00D0324C"/>
    <w:pPr>
      <w:numPr>
        <w:ilvl w:val="1"/>
        <w:numId w:val="1"/>
      </w:numPr>
      <w:kinsoku w:val="0"/>
      <w:jc w:val="both"/>
      <w:outlineLvl w:val="1"/>
    </w:pPr>
    <w:rPr>
      <w:rFonts w:ascii="標楷體" w:hAnsi="Arial"/>
      <w:bCs/>
      <w:kern w:val="0"/>
      <w:szCs w:val="48"/>
    </w:rPr>
  </w:style>
  <w:style w:type="paragraph" w:styleId="3">
    <w:name w:val="heading 3"/>
    <w:basedOn w:val="a1"/>
    <w:uiPriority w:val="9"/>
    <w:qFormat/>
    <w:rsid w:val="00D0324C"/>
    <w:pPr>
      <w:numPr>
        <w:ilvl w:val="2"/>
        <w:numId w:val="1"/>
      </w:numPr>
      <w:kinsoku w:val="0"/>
      <w:jc w:val="both"/>
      <w:outlineLvl w:val="2"/>
    </w:pPr>
    <w:rPr>
      <w:rFonts w:ascii="標楷體" w:hAnsi="Arial"/>
      <w:bCs/>
      <w:kern w:val="0"/>
      <w:szCs w:val="36"/>
    </w:rPr>
  </w:style>
  <w:style w:type="paragraph" w:styleId="4">
    <w:name w:val="heading 4"/>
    <w:aliases w:val="一"/>
    <w:basedOn w:val="a1"/>
    <w:link w:val="40"/>
    <w:uiPriority w:val="9"/>
    <w:qFormat/>
    <w:rsid w:val="00D0324C"/>
    <w:pPr>
      <w:numPr>
        <w:ilvl w:val="3"/>
        <w:numId w:val="1"/>
      </w:numPr>
      <w:jc w:val="both"/>
      <w:outlineLvl w:val="3"/>
    </w:pPr>
    <w:rPr>
      <w:rFonts w:ascii="標楷體" w:hAnsi="Arial"/>
      <w:szCs w:val="36"/>
    </w:rPr>
  </w:style>
  <w:style w:type="paragraph" w:styleId="5">
    <w:name w:val="heading 5"/>
    <w:aliases w:val="標題 5 字元"/>
    <w:basedOn w:val="a1"/>
    <w:uiPriority w:val="9"/>
    <w:qFormat/>
    <w:rsid w:val="00D0324C"/>
    <w:pPr>
      <w:numPr>
        <w:ilvl w:val="4"/>
        <w:numId w:val="1"/>
      </w:numPr>
      <w:kinsoku w:val="0"/>
      <w:jc w:val="both"/>
      <w:outlineLvl w:val="4"/>
    </w:pPr>
    <w:rPr>
      <w:rFonts w:ascii="標楷體" w:hAnsi="Arial"/>
      <w:bCs/>
      <w:szCs w:val="36"/>
    </w:rPr>
  </w:style>
  <w:style w:type="paragraph" w:styleId="6">
    <w:name w:val="heading 6"/>
    <w:aliases w:val="1"/>
    <w:basedOn w:val="a1"/>
    <w:link w:val="60"/>
    <w:uiPriority w:val="9"/>
    <w:qFormat/>
    <w:rsid w:val="00D0324C"/>
    <w:pPr>
      <w:numPr>
        <w:ilvl w:val="5"/>
        <w:numId w:val="1"/>
      </w:numPr>
      <w:tabs>
        <w:tab w:val="left" w:pos="2094"/>
      </w:tabs>
      <w:kinsoku w:val="0"/>
      <w:jc w:val="both"/>
      <w:outlineLvl w:val="5"/>
    </w:pPr>
    <w:rPr>
      <w:rFonts w:ascii="標楷體" w:hAnsi="Arial"/>
      <w:szCs w:val="36"/>
    </w:rPr>
  </w:style>
  <w:style w:type="paragraph" w:styleId="7">
    <w:name w:val="heading 7"/>
    <w:aliases w:val="(1)"/>
    <w:basedOn w:val="a1"/>
    <w:uiPriority w:val="9"/>
    <w:qFormat/>
    <w:rsid w:val="00D0324C"/>
    <w:pPr>
      <w:numPr>
        <w:ilvl w:val="6"/>
        <w:numId w:val="1"/>
      </w:numPr>
      <w:kinsoku w:val="0"/>
      <w:jc w:val="both"/>
      <w:outlineLvl w:val="6"/>
    </w:pPr>
    <w:rPr>
      <w:rFonts w:ascii="標楷體" w:hAnsi="Arial"/>
      <w:bCs/>
      <w:szCs w:val="36"/>
    </w:rPr>
  </w:style>
  <w:style w:type="paragraph" w:styleId="8">
    <w:name w:val="heading 8"/>
    <w:basedOn w:val="a1"/>
    <w:uiPriority w:val="9"/>
    <w:qFormat/>
    <w:rsid w:val="00D0324C"/>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D0324C"/>
    <w:pPr>
      <w:spacing w:before="720" w:after="720"/>
      <w:ind w:left="7371"/>
    </w:pPr>
    <w:rPr>
      <w:rFonts w:ascii="標楷體"/>
      <w:b/>
      <w:snapToGrid w:val="0"/>
      <w:spacing w:val="10"/>
      <w:sz w:val="36"/>
    </w:rPr>
  </w:style>
  <w:style w:type="paragraph" w:styleId="a6">
    <w:name w:val="endnote text"/>
    <w:basedOn w:val="a1"/>
    <w:link w:val="a7"/>
    <w:semiHidden/>
    <w:rsid w:val="00D0324C"/>
    <w:pPr>
      <w:spacing w:before="240"/>
      <w:ind w:left="1021" w:hanging="1021"/>
      <w:jc w:val="both"/>
    </w:pPr>
    <w:rPr>
      <w:rFonts w:ascii="標楷體"/>
      <w:snapToGrid w:val="0"/>
      <w:spacing w:val="10"/>
    </w:rPr>
  </w:style>
  <w:style w:type="paragraph" w:styleId="50">
    <w:name w:val="toc 5"/>
    <w:basedOn w:val="a1"/>
    <w:next w:val="a1"/>
    <w:autoRedefine/>
    <w:semiHidden/>
    <w:rsid w:val="00D0324C"/>
    <w:pPr>
      <w:ind w:leftChars="400" w:left="600" w:rightChars="200" w:right="200" w:hangingChars="200" w:hanging="200"/>
    </w:pPr>
    <w:rPr>
      <w:rFonts w:ascii="標楷體"/>
    </w:rPr>
  </w:style>
  <w:style w:type="character" w:styleId="a8">
    <w:name w:val="page number"/>
    <w:basedOn w:val="a2"/>
    <w:semiHidden/>
    <w:rsid w:val="00D0324C"/>
    <w:rPr>
      <w:rFonts w:ascii="標楷體" w:eastAsia="標楷體"/>
      <w:sz w:val="20"/>
    </w:rPr>
  </w:style>
  <w:style w:type="paragraph" w:styleId="61">
    <w:name w:val="toc 6"/>
    <w:basedOn w:val="a1"/>
    <w:next w:val="a1"/>
    <w:autoRedefine/>
    <w:semiHidden/>
    <w:rsid w:val="00D0324C"/>
    <w:pPr>
      <w:ind w:leftChars="500" w:left="500"/>
    </w:pPr>
    <w:rPr>
      <w:rFonts w:ascii="標楷體"/>
    </w:rPr>
  </w:style>
  <w:style w:type="paragraph" w:customStyle="1" w:styleId="11">
    <w:name w:val="段落樣式1"/>
    <w:basedOn w:val="a1"/>
    <w:rsid w:val="00D0324C"/>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D0324C"/>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rsid w:val="00D0324C"/>
    <w:pPr>
      <w:kinsoku w:val="0"/>
      <w:ind w:left="2443" w:rightChars="200" w:right="698" w:hangingChars="700" w:hanging="2443"/>
      <w:jc w:val="both"/>
    </w:pPr>
    <w:rPr>
      <w:rFonts w:ascii="標楷體"/>
      <w:noProof/>
      <w:szCs w:val="32"/>
    </w:rPr>
  </w:style>
  <w:style w:type="paragraph" w:styleId="22">
    <w:name w:val="toc 2"/>
    <w:basedOn w:val="a1"/>
    <w:next w:val="a1"/>
    <w:autoRedefine/>
    <w:uiPriority w:val="39"/>
    <w:rsid w:val="0065162A"/>
    <w:pPr>
      <w:tabs>
        <w:tab w:val="right" w:leader="dot" w:pos="8834"/>
      </w:tabs>
      <w:ind w:leftChars="100" w:left="1020" w:rightChars="200" w:right="680" w:hangingChars="200" w:hanging="680"/>
    </w:pPr>
    <w:rPr>
      <w:rFonts w:ascii="標楷體"/>
      <w:noProof/>
    </w:rPr>
  </w:style>
  <w:style w:type="paragraph" w:styleId="30">
    <w:name w:val="toc 3"/>
    <w:basedOn w:val="a1"/>
    <w:next w:val="a1"/>
    <w:autoRedefine/>
    <w:semiHidden/>
    <w:rsid w:val="00D0324C"/>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D0324C"/>
    <w:pPr>
      <w:kinsoku w:val="0"/>
      <w:ind w:leftChars="300" w:left="500" w:rightChars="200" w:right="200" w:hangingChars="200" w:hanging="200"/>
      <w:jc w:val="both"/>
    </w:pPr>
    <w:rPr>
      <w:rFonts w:ascii="標楷體"/>
    </w:rPr>
  </w:style>
  <w:style w:type="paragraph" w:styleId="70">
    <w:name w:val="toc 7"/>
    <w:basedOn w:val="a1"/>
    <w:next w:val="a1"/>
    <w:autoRedefine/>
    <w:semiHidden/>
    <w:rsid w:val="00D0324C"/>
    <w:pPr>
      <w:ind w:leftChars="600" w:left="800" w:hangingChars="200" w:hanging="200"/>
    </w:pPr>
    <w:rPr>
      <w:rFonts w:ascii="標楷體"/>
    </w:rPr>
  </w:style>
  <w:style w:type="paragraph" w:styleId="80">
    <w:name w:val="toc 8"/>
    <w:basedOn w:val="a1"/>
    <w:next w:val="a1"/>
    <w:autoRedefine/>
    <w:semiHidden/>
    <w:rsid w:val="00D0324C"/>
    <w:pPr>
      <w:ind w:leftChars="700" w:left="900" w:hangingChars="200" w:hanging="200"/>
    </w:pPr>
    <w:rPr>
      <w:rFonts w:ascii="標楷體"/>
    </w:rPr>
  </w:style>
  <w:style w:type="paragraph" w:styleId="9">
    <w:name w:val="toc 9"/>
    <w:basedOn w:val="a1"/>
    <w:next w:val="a1"/>
    <w:autoRedefine/>
    <w:semiHidden/>
    <w:rsid w:val="00D0324C"/>
    <w:pPr>
      <w:ind w:leftChars="1600" w:left="3840"/>
    </w:pPr>
  </w:style>
  <w:style w:type="paragraph" w:styleId="a9">
    <w:name w:val="header"/>
    <w:basedOn w:val="a1"/>
    <w:semiHidden/>
    <w:rsid w:val="00D0324C"/>
    <w:pPr>
      <w:tabs>
        <w:tab w:val="center" w:pos="4153"/>
        <w:tab w:val="right" w:pos="8306"/>
      </w:tabs>
      <w:snapToGrid w:val="0"/>
    </w:pPr>
    <w:rPr>
      <w:sz w:val="20"/>
    </w:rPr>
  </w:style>
  <w:style w:type="paragraph" w:customStyle="1" w:styleId="31">
    <w:name w:val="段落樣式3"/>
    <w:basedOn w:val="21"/>
    <w:rsid w:val="00D0324C"/>
    <w:pPr>
      <w:ind w:leftChars="400" w:left="400"/>
    </w:pPr>
  </w:style>
  <w:style w:type="character" w:styleId="aa">
    <w:name w:val="Hyperlink"/>
    <w:basedOn w:val="a2"/>
    <w:uiPriority w:val="99"/>
    <w:rsid w:val="00D0324C"/>
    <w:rPr>
      <w:color w:val="0000FF"/>
      <w:u w:val="single"/>
    </w:rPr>
  </w:style>
  <w:style w:type="paragraph" w:customStyle="1" w:styleId="ab">
    <w:name w:val="簽名日期"/>
    <w:basedOn w:val="a1"/>
    <w:rsid w:val="00D0324C"/>
    <w:pPr>
      <w:kinsoku w:val="0"/>
      <w:jc w:val="distribute"/>
    </w:pPr>
    <w:rPr>
      <w:kern w:val="0"/>
    </w:rPr>
  </w:style>
  <w:style w:type="paragraph" w:customStyle="1" w:styleId="0">
    <w:name w:val="段落樣式0"/>
    <w:basedOn w:val="21"/>
    <w:rsid w:val="00D0324C"/>
    <w:pPr>
      <w:ind w:leftChars="200" w:left="200" w:firstLineChars="0" w:firstLine="0"/>
    </w:pPr>
  </w:style>
  <w:style w:type="paragraph" w:customStyle="1" w:styleId="ac">
    <w:name w:val="附件"/>
    <w:basedOn w:val="a6"/>
    <w:rsid w:val="00D0324C"/>
    <w:pPr>
      <w:kinsoku w:val="0"/>
      <w:spacing w:before="0"/>
      <w:ind w:left="1047" w:hangingChars="300" w:hanging="1047"/>
    </w:pPr>
    <w:rPr>
      <w:snapToGrid/>
      <w:spacing w:val="0"/>
      <w:kern w:val="0"/>
    </w:rPr>
  </w:style>
  <w:style w:type="paragraph" w:customStyle="1" w:styleId="42">
    <w:name w:val="段落樣式4"/>
    <w:basedOn w:val="31"/>
    <w:rsid w:val="00D0324C"/>
    <w:pPr>
      <w:ind w:leftChars="500" w:left="500"/>
    </w:pPr>
  </w:style>
  <w:style w:type="paragraph" w:customStyle="1" w:styleId="51">
    <w:name w:val="段落樣式5"/>
    <w:basedOn w:val="42"/>
    <w:rsid w:val="00D0324C"/>
    <w:pPr>
      <w:ind w:leftChars="600" w:left="600"/>
    </w:pPr>
  </w:style>
  <w:style w:type="paragraph" w:customStyle="1" w:styleId="62">
    <w:name w:val="段落樣式6"/>
    <w:basedOn w:val="51"/>
    <w:rsid w:val="00D0324C"/>
    <w:pPr>
      <w:ind w:leftChars="700" w:left="700"/>
    </w:pPr>
  </w:style>
  <w:style w:type="paragraph" w:customStyle="1" w:styleId="71">
    <w:name w:val="段落樣式7"/>
    <w:basedOn w:val="62"/>
    <w:rsid w:val="00D0324C"/>
  </w:style>
  <w:style w:type="paragraph" w:customStyle="1" w:styleId="81">
    <w:name w:val="段落樣式8"/>
    <w:basedOn w:val="71"/>
    <w:rsid w:val="00D0324C"/>
    <w:pPr>
      <w:ind w:leftChars="800" w:left="800"/>
    </w:pPr>
  </w:style>
  <w:style w:type="paragraph" w:customStyle="1" w:styleId="a0">
    <w:name w:val="表樣式"/>
    <w:basedOn w:val="a1"/>
    <w:next w:val="a1"/>
    <w:rsid w:val="00D0324C"/>
    <w:pPr>
      <w:numPr>
        <w:numId w:val="2"/>
      </w:numPr>
      <w:jc w:val="both"/>
    </w:pPr>
    <w:rPr>
      <w:rFonts w:ascii="標楷體"/>
      <w:kern w:val="0"/>
    </w:rPr>
  </w:style>
  <w:style w:type="paragraph" w:styleId="ad">
    <w:name w:val="Body Text Indent"/>
    <w:basedOn w:val="a1"/>
    <w:semiHidden/>
    <w:rsid w:val="00D0324C"/>
    <w:pPr>
      <w:ind w:left="698" w:hangingChars="200" w:hanging="698"/>
    </w:pPr>
  </w:style>
  <w:style w:type="paragraph" w:customStyle="1" w:styleId="ae">
    <w:name w:val="調查報告"/>
    <w:basedOn w:val="a6"/>
    <w:rsid w:val="00D0324C"/>
    <w:pPr>
      <w:kinsoku w:val="0"/>
      <w:spacing w:before="0"/>
      <w:ind w:left="1701" w:firstLine="0"/>
    </w:pPr>
    <w:rPr>
      <w:b/>
      <w:snapToGrid/>
      <w:spacing w:val="200"/>
      <w:kern w:val="0"/>
      <w:sz w:val="36"/>
    </w:rPr>
  </w:style>
  <w:style w:type="paragraph" w:styleId="af">
    <w:name w:val="Balloon Text"/>
    <w:basedOn w:val="a1"/>
    <w:link w:val="af0"/>
    <w:uiPriority w:val="99"/>
    <w:semiHidden/>
    <w:unhideWhenUsed/>
    <w:rsid w:val="00C54522"/>
    <w:rPr>
      <w:rFonts w:asciiTheme="majorHAnsi" w:eastAsiaTheme="majorEastAsia" w:hAnsiTheme="majorHAnsi" w:cstheme="majorBidi"/>
      <w:sz w:val="18"/>
      <w:szCs w:val="18"/>
    </w:rPr>
  </w:style>
  <w:style w:type="paragraph" w:customStyle="1" w:styleId="a">
    <w:name w:val="圖樣式"/>
    <w:basedOn w:val="a1"/>
    <w:next w:val="a1"/>
    <w:rsid w:val="00D0324C"/>
    <w:pPr>
      <w:numPr>
        <w:numId w:val="3"/>
      </w:numPr>
      <w:tabs>
        <w:tab w:val="clear" w:pos="1440"/>
      </w:tabs>
      <w:ind w:left="400" w:hangingChars="400" w:hanging="400"/>
      <w:jc w:val="both"/>
    </w:pPr>
    <w:rPr>
      <w:rFonts w:ascii="標楷體"/>
    </w:rPr>
  </w:style>
  <w:style w:type="paragraph" w:styleId="af1">
    <w:name w:val="footer"/>
    <w:basedOn w:val="a1"/>
    <w:link w:val="af2"/>
    <w:rsid w:val="00D0324C"/>
    <w:pPr>
      <w:tabs>
        <w:tab w:val="center" w:pos="4153"/>
        <w:tab w:val="right" w:pos="8306"/>
      </w:tabs>
      <w:snapToGrid w:val="0"/>
    </w:pPr>
    <w:rPr>
      <w:sz w:val="20"/>
    </w:rPr>
  </w:style>
  <w:style w:type="paragraph" w:styleId="af3">
    <w:name w:val="table of figures"/>
    <w:basedOn w:val="a1"/>
    <w:next w:val="a1"/>
    <w:semiHidden/>
    <w:rsid w:val="00D0324C"/>
    <w:pPr>
      <w:ind w:left="400" w:hangingChars="400" w:hanging="400"/>
    </w:pPr>
  </w:style>
  <w:style w:type="character" w:customStyle="1" w:styleId="af0">
    <w:name w:val="註解方塊文字 字元"/>
    <w:basedOn w:val="a2"/>
    <w:link w:val="af"/>
    <w:uiPriority w:val="99"/>
    <w:semiHidden/>
    <w:rsid w:val="00C54522"/>
    <w:rPr>
      <w:rFonts w:asciiTheme="majorHAnsi" w:eastAsiaTheme="majorEastAsia" w:hAnsiTheme="majorHAnsi" w:cstheme="majorBidi"/>
      <w:kern w:val="2"/>
      <w:sz w:val="18"/>
      <w:szCs w:val="18"/>
    </w:rPr>
  </w:style>
  <w:style w:type="paragraph" w:styleId="af4">
    <w:name w:val="List Paragraph"/>
    <w:basedOn w:val="a1"/>
    <w:uiPriority w:val="34"/>
    <w:qFormat/>
    <w:rsid w:val="00C54522"/>
    <w:pPr>
      <w:ind w:leftChars="200" w:left="480"/>
    </w:pPr>
    <w:rPr>
      <w:rFonts w:asciiTheme="minorHAnsi" w:eastAsiaTheme="minorEastAsia" w:hAnsiTheme="minorHAnsi" w:cstheme="minorBidi"/>
      <w:sz w:val="24"/>
      <w:szCs w:val="22"/>
    </w:rPr>
  </w:style>
  <w:style w:type="table" w:styleId="af5">
    <w:name w:val="Table Grid"/>
    <w:basedOn w:val="a3"/>
    <w:uiPriority w:val="59"/>
    <w:rsid w:val="00E50B7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二"/>
    <w:basedOn w:val="a1"/>
    <w:rsid w:val="00DA3C70"/>
    <w:pPr>
      <w:adjustRightInd w:val="0"/>
      <w:spacing w:before="120" w:line="408" w:lineRule="atLeast"/>
      <w:ind w:left="919" w:hanging="352"/>
      <w:jc w:val="both"/>
    </w:pPr>
    <w:rPr>
      <w:rFonts w:eastAsia="全真楷書"/>
      <w:spacing w:val="30"/>
      <w:kern w:val="0"/>
      <w:sz w:val="28"/>
    </w:rPr>
  </w:style>
  <w:style w:type="paragraph" w:customStyle="1" w:styleId="af7">
    <w:name w:val="三"/>
    <w:basedOn w:val="af6"/>
    <w:rsid w:val="00DA3C70"/>
    <w:pPr>
      <w:ind w:left="1219" w:hanging="340"/>
    </w:pPr>
  </w:style>
  <w:style w:type="paragraph" w:customStyle="1" w:styleId="af8">
    <w:name w:val="四"/>
    <w:basedOn w:val="af7"/>
    <w:rsid w:val="00DA3C70"/>
    <w:pPr>
      <w:ind w:left="1644"/>
    </w:pPr>
  </w:style>
  <w:style w:type="paragraph" w:styleId="af9">
    <w:name w:val="footnote text"/>
    <w:basedOn w:val="a1"/>
    <w:link w:val="afa"/>
    <w:uiPriority w:val="99"/>
    <w:semiHidden/>
    <w:unhideWhenUsed/>
    <w:rsid w:val="001E1B7D"/>
    <w:pPr>
      <w:snapToGrid w:val="0"/>
    </w:pPr>
    <w:rPr>
      <w:sz w:val="20"/>
    </w:rPr>
  </w:style>
  <w:style w:type="character" w:customStyle="1" w:styleId="afa">
    <w:name w:val="註腳文字 字元"/>
    <w:basedOn w:val="a2"/>
    <w:link w:val="af9"/>
    <w:uiPriority w:val="99"/>
    <w:semiHidden/>
    <w:rsid w:val="001E1B7D"/>
    <w:rPr>
      <w:rFonts w:eastAsia="標楷體"/>
      <w:kern w:val="2"/>
    </w:rPr>
  </w:style>
  <w:style w:type="character" w:styleId="afb">
    <w:name w:val="footnote reference"/>
    <w:basedOn w:val="a2"/>
    <w:uiPriority w:val="99"/>
    <w:semiHidden/>
    <w:unhideWhenUsed/>
    <w:rsid w:val="001E1B7D"/>
    <w:rPr>
      <w:vertAlign w:val="superscript"/>
    </w:rPr>
  </w:style>
  <w:style w:type="character" w:customStyle="1" w:styleId="apple-style-span">
    <w:name w:val="apple-style-span"/>
    <w:basedOn w:val="a2"/>
    <w:rsid w:val="00397D01"/>
  </w:style>
  <w:style w:type="character" w:customStyle="1" w:styleId="20">
    <w:name w:val="標題 2 字元"/>
    <w:basedOn w:val="a2"/>
    <w:link w:val="2"/>
    <w:uiPriority w:val="9"/>
    <w:rsid w:val="00D7164F"/>
    <w:rPr>
      <w:rFonts w:ascii="標楷體" w:eastAsia="標楷體" w:hAnsi="Arial"/>
      <w:bCs/>
      <w:sz w:val="32"/>
      <w:szCs w:val="48"/>
    </w:rPr>
  </w:style>
  <w:style w:type="character" w:customStyle="1" w:styleId="af2">
    <w:name w:val="頁尾 字元"/>
    <w:basedOn w:val="a2"/>
    <w:link w:val="af1"/>
    <w:rsid w:val="004470C7"/>
    <w:rPr>
      <w:rFonts w:eastAsia="標楷體"/>
      <w:kern w:val="2"/>
    </w:rPr>
  </w:style>
  <w:style w:type="paragraph" w:customStyle="1" w:styleId="100">
    <w:name w:val="10"/>
    <w:basedOn w:val="a1"/>
    <w:rsid w:val="006060F0"/>
    <w:pPr>
      <w:ind w:left="1440" w:hanging="360"/>
      <w:jc w:val="both"/>
    </w:pPr>
    <w:rPr>
      <w:sz w:val="26"/>
    </w:rPr>
  </w:style>
  <w:style w:type="paragraph" w:customStyle="1" w:styleId="Afc">
    <w:name w:val="(A)內容"/>
    <w:basedOn w:val="a1"/>
    <w:rsid w:val="001A14F4"/>
    <w:pPr>
      <w:spacing w:line="360" w:lineRule="exact"/>
      <w:ind w:left="2149"/>
      <w:jc w:val="both"/>
    </w:pPr>
    <w:rPr>
      <w:sz w:val="28"/>
    </w:rPr>
  </w:style>
  <w:style w:type="paragraph" w:customStyle="1" w:styleId="1M">
    <w:name w:val="(1) .M"/>
    <w:basedOn w:val="a1"/>
    <w:rsid w:val="0074300D"/>
    <w:pPr>
      <w:spacing w:line="360" w:lineRule="exact"/>
      <w:ind w:left="1535"/>
      <w:jc w:val="both"/>
    </w:pPr>
    <w:rPr>
      <w:sz w:val="28"/>
    </w:rPr>
  </w:style>
  <w:style w:type="paragraph" w:customStyle="1" w:styleId="111">
    <w:name w:val="1.1.1內容"/>
    <w:basedOn w:val="a1"/>
    <w:rsid w:val="0042281D"/>
    <w:pPr>
      <w:spacing w:line="360" w:lineRule="exact"/>
      <w:ind w:left="960"/>
      <w:jc w:val="both"/>
    </w:pPr>
    <w:rPr>
      <w:spacing w:val="14"/>
      <w:sz w:val="28"/>
    </w:rPr>
  </w:style>
  <w:style w:type="numbering" w:customStyle="1" w:styleId="10">
    <w:name w:val="樣式1"/>
    <w:rsid w:val="00DA5983"/>
    <w:pPr>
      <w:numPr>
        <w:numId w:val="4"/>
      </w:numPr>
    </w:pPr>
  </w:style>
  <w:style w:type="character" w:customStyle="1" w:styleId="60">
    <w:name w:val="標題 6 字元"/>
    <w:aliases w:val="1 字元"/>
    <w:basedOn w:val="a2"/>
    <w:link w:val="6"/>
    <w:uiPriority w:val="9"/>
    <w:rsid w:val="00FD58B6"/>
    <w:rPr>
      <w:rFonts w:ascii="標楷體" w:eastAsia="標楷體" w:hAnsi="Arial"/>
      <w:kern w:val="2"/>
      <w:sz w:val="32"/>
      <w:szCs w:val="36"/>
    </w:rPr>
  </w:style>
  <w:style w:type="character" w:customStyle="1" w:styleId="st">
    <w:name w:val="st"/>
    <w:basedOn w:val="a2"/>
    <w:rsid w:val="006F3421"/>
  </w:style>
  <w:style w:type="character" w:styleId="afd">
    <w:name w:val="Emphasis"/>
    <w:basedOn w:val="a2"/>
    <w:uiPriority w:val="20"/>
    <w:qFormat/>
    <w:rsid w:val="006F3421"/>
    <w:rPr>
      <w:b w:val="0"/>
      <w:bCs w:val="0"/>
      <w:i w:val="0"/>
      <w:iCs w:val="0"/>
      <w:color w:val="CC0033"/>
    </w:rPr>
  </w:style>
  <w:style w:type="paragraph" w:customStyle="1" w:styleId="afe">
    <w:name w:val="樣式壹"/>
    <w:basedOn w:val="a1"/>
    <w:rsid w:val="0086746F"/>
    <w:pPr>
      <w:spacing w:before="120" w:after="120" w:line="400" w:lineRule="exact"/>
      <w:ind w:left="2268" w:hanging="2268"/>
    </w:pPr>
  </w:style>
  <w:style w:type="paragraph" w:styleId="aff">
    <w:name w:val="Plain Text"/>
    <w:basedOn w:val="a1"/>
    <w:link w:val="aff0"/>
    <w:uiPriority w:val="99"/>
    <w:unhideWhenUsed/>
    <w:rsid w:val="009A6C2B"/>
    <w:rPr>
      <w:rFonts w:ascii="Calibri" w:eastAsia="新細明體" w:hAnsi="Courier New" w:cs="Courier New"/>
      <w:sz w:val="24"/>
      <w:szCs w:val="24"/>
    </w:rPr>
  </w:style>
  <w:style w:type="character" w:customStyle="1" w:styleId="aff0">
    <w:name w:val="純文字 字元"/>
    <w:basedOn w:val="a2"/>
    <w:link w:val="aff"/>
    <w:uiPriority w:val="99"/>
    <w:rsid w:val="009A6C2B"/>
    <w:rPr>
      <w:rFonts w:ascii="Calibri" w:hAnsi="Courier New" w:cs="Courier New"/>
      <w:kern w:val="2"/>
      <w:sz w:val="24"/>
      <w:szCs w:val="24"/>
    </w:rPr>
  </w:style>
  <w:style w:type="character" w:customStyle="1" w:styleId="a7">
    <w:name w:val="章節附註文字 字元"/>
    <w:basedOn w:val="a2"/>
    <w:link w:val="a6"/>
    <w:semiHidden/>
    <w:locked/>
    <w:rsid w:val="00954802"/>
    <w:rPr>
      <w:rFonts w:ascii="標楷體" w:eastAsia="標楷體"/>
      <w:snapToGrid w:val="0"/>
      <w:spacing w:val="10"/>
      <w:kern w:val="2"/>
      <w:sz w:val="32"/>
    </w:rPr>
  </w:style>
  <w:style w:type="character" w:customStyle="1" w:styleId="40">
    <w:name w:val="標題 4 字元"/>
    <w:aliases w:val="一 字元"/>
    <w:basedOn w:val="a2"/>
    <w:link w:val="4"/>
    <w:uiPriority w:val="9"/>
    <w:rsid w:val="003D4325"/>
    <w:rPr>
      <w:rFonts w:ascii="標楷體" w:eastAsia="標楷體" w:hAnsi="Arial"/>
      <w:kern w:val="2"/>
      <w:sz w:val="32"/>
      <w:szCs w:val="36"/>
    </w:rPr>
  </w:style>
  <w:style w:type="paragraph" w:customStyle="1" w:styleId="Default">
    <w:name w:val="Default"/>
    <w:rsid w:val="00B86CEC"/>
    <w:pPr>
      <w:widowControl w:val="0"/>
      <w:autoSpaceDE w:val="0"/>
      <w:autoSpaceDN w:val="0"/>
      <w:adjustRightInd w:val="0"/>
    </w:pPr>
    <w:rPr>
      <w:rFonts w:ascii="標楷體" w:eastAsia="標楷體" w:cs="標楷體"/>
      <w:color w:val="000000"/>
      <w:sz w:val="24"/>
      <w:szCs w:val="24"/>
    </w:rPr>
  </w:style>
  <w:style w:type="character" w:styleId="aff1">
    <w:name w:val="FollowedHyperlink"/>
    <w:basedOn w:val="a2"/>
    <w:uiPriority w:val="99"/>
    <w:semiHidden/>
    <w:unhideWhenUsed/>
    <w:rsid w:val="00CF1D56"/>
    <w:rPr>
      <w:color w:val="800080" w:themeColor="followedHyperlink"/>
      <w:u w:val="single"/>
    </w:rPr>
  </w:style>
  <w:style w:type="paragraph" w:styleId="Web">
    <w:name w:val="Normal (Web)"/>
    <w:basedOn w:val="a1"/>
    <w:uiPriority w:val="99"/>
    <w:semiHidden/>
    <w:unhideWhenUsed/>
    <w:rsid w:val="00013639"/>
    <w:pPr>
      <w:widowControl/>
      <w:spacing w:before="100" w:beforeAutospacing="1" w:after="100" w:afterAutospacing="1"/>
    </w:pPr>
    <w:rPr>
      <w:rFonts w:ascii="新細明體" w:eastAsia="新細明體" w:hAnsi="新細明體" w:cs="新細明體"/>
      <w:kern w:val="0"/>
      <w:sz w:val="24"/>
      <w:szCs w:val="24"/>
    </w:rPr>
  </w:style>
</w:styles>
</file>

<file path=word/webSettings.xml><?xml version="1.0" encoding="utf-8"?>
<w:webSettings xmlns:r="http://schemas.openxmlformats.org/officeDocument/2006/relationships" xmlns:w="http://schemas.openxmlformats.org/wordprocessingml/2006/main">
  <w:divs>
    <w:div w:id="127209834">
      <w:bodyDiv w:val="1"/>
      <w:marLeft w:val="0"/>
      <w:marRight w:val="0"/>
      <w:marTop w:val="0"/>
      <w:marBottom w:val="0"/>
      <w:divBdr>
        <w:top w:val="none" w:sz="0" w:space="0" w:color="auto"/>
        <w:left w:val="none" w:sz="0" w:space="0" w:color="auto"/>
        <w:bottom w:val="none" w:sz="0" w:space="0" w:color="auto"/>
        <w:right w:val="none" w:sz="0" w:space="0" w:color="auto"/>
      </w:divBdr>
    </w:div>
    <w:div w:id="351759034">
      <w:bodyDiv w:val="1"/>
      <w:marLeft w:val="0"/>
      <w:marRight w:val="0"/>
      <w:marTop w:val="0"/>
      <w:marBottom w:val="0"/>
      <w:divBdr>
        <w:top w:val="none" w:sz="0" w:space="0" w:color="auto"/>
        <w:left w:val="none" w:sz="0" w:space="0" w:color="auto"/>
        <w:bottom w:val="none" w:sz="0" w:space="0" w:color="auto"/>
        <w:right w:val="none" w:sz="0" w:space="0" w:color="auto"/>
      </w:divBdr>
    </w:div>
    <w:div w:id="399253702">
      <w:bodyDiv w:val="1"/>
      <w:marLeft w:val="0"/>
      <w:marRight w:val="0"/>
      <w:marTop w:val="0"/>
      <w:marBottom w:val="0"/>
      <w:divBdr>
        <w:top w:val="none" w:sz="0" w:space="0" w:color="auto"/>
        <w:left w:val="none" w:sz="0" w:space="0" w:color="auto"/>
        <w:bottom w:val="none" w:sz="0" w:space="0" w:color="auto"/>
        <w:right w:val="none" w:sz="0" w:space="0" w:color="auto"/>
      </w:divBdr>
    </w:div>
    <w:div w:id="407463420">
      <w:bodyDiv w:val="1"/>
      <w:marLeft w:val="0"/>
      <w:marRight w:val="0"/>
      <w:marTop w:val="0"/>
      <w:marBottom w:val="0"/>
      <w:divBdr>
        <w:top w:val="none" w:sz="0" w:space="0" w:color="auto"/>
        <w:left w:val="none" w:sz="0" w:space="0" w:color="auto"/>
        <w:bottom w:val="none" w:sz="0" w:space="0" w:color="auto"/>
        <w:right w:val="none" w:sz="0" w:space="0" w:color="auto"/>
      </w:divBdr>
      <w:divsChild>
        <w:div w:id="71240175">
          <w:marLeft w:val="720"/>
          <w:marRight w:val="0"/>
          <w:marTop w:val="0"/>
          <w:marBottom w:val="0"/>
          <w:divBdr>
            <w:top w:val="none" w:sz="0" w:space="0" w:color="auto"/>
            <w:left w:val="none" w:sz="0" w:space="0" w:color="auto"/>
            <w:bottom w:val="none" w:sz="0" w:space="0" w:color="auto"/>
            <w:right w:val="none" w:sz="0" w:space="0" w:color="auto"/>
          </w:divBdr>
        </w:div>
      </w:divsChild>
    </w:div>
    <w:div w:id="922570976">
      <w:bodyDiv w:val="1"/>
      <w:marLeft w:val="0"/>
      <w:marRight w:val="0"/>
      <w:marTop w:val="0"/>
      <w:marBottom w:val="0"/>
      <w:divBdr>
        <w:top w:val="none" w:sz="0" w:space="0" w:color="auto"/>
        <w:left w:val="none" w:sz="0" w:space="0" w:color="auto"/>
        <w:bottom w:val="none" w:sz="0" w:space="0" w:color="auto"/>
        <w:right w:val="none" w:sz="0" w:space="0" w:color="auto"/>
      </w:divBdr>
    </w:div>
    <w:div w:id="1254120209">
      <w:bodyDiv w:val="1"/>
      <w:marLeft w:val="0"/>
      <w:marRight w:val="0"/>
      <w:marTop w:val="0"/>
      <w:marBottom w:val="0"/>
      <w:divBdr>
        <w:top w:val="none" w:sz="0" w:space="0" w:color="auto"/>
        <w:left w:val="none" w:sz="0" w:space="0" w:color="auto"/>
        <w:bottom w:val="none" w:sz="0" w:space="0" w:color="auto"/>
        <w:right w:val="none" w:sz="0" w:space="0" w:color="auto"/>
      </w:divBdr>
    </w:div>
    <w:div w:id="1405683347">
      <w:bodyDiv w:val="1"/>
      <w:marLeft w:val="0"/>
      <w:marRight w:val="0"/>
      <w:marTop w:val="0"/>
      <w:marBottom w:val="0"/>
      <w:divBdr>
        <w:top w:val="none" w:sz="0" w:space="0" w:color="auto"/>
        <w:left w:val="none" w:sz="0" w:space="0" w:color="auto"/>
        <w:bottom w:val="none" w:sz="0" w:space="0" w:color="auto"/>
        <w:right w:val="none" w:sz="0" w:space="0" w:color="auto"/>
      </w:divBdr>
    </w:div>
    <w:div w:id="1523399873">
      <w:bodyDiv w:val="1"/>
      <w:marLeft w:val="0"/>
      <w:marRight w:val="0"/>
      <w:marTop w:val="0"/>
      <w:marBottom w:val="0"/>
      <w:divBdr>
        <w:top w:val="none" w:sz="0" w:space="0" w:color="auto"/>
        <w:left w:val="none" w:sz="0" w:space="0" w:color="auto"/>
        <w:bottom w:val="none" w:sz="0" w:space="0" w:color="auto"/>
        <w:right w:val="none" w:sz="0" w:space="0" w:color="auto"/>
      </w:divBdr>
      <w:divsChild>
        <w:div w:id="1458913684">
          <w:marLeft w:val="0"/>
          <w:marRight w:val="0"/>
          <w:marTop w:val="0"/>
          <w:marBottom w:val="0"/>
          <w:divBdr>
            <w:top w:val="none" w:sz="0" w:space="0" w:color="auto"/>
            <w:left w:val="none" w:sz="0" w:space="0" w:color="auto"/>
            <w:bottom w:val="none" w:sz="0" w:space="0" w:color="auto"/>
            <w:right w:val="none" w:sz="0" w:space="0" w:color="auto"/>
          </w:divBdr>
          <w:divsChild>
            <w:div w:id="751198217">
              <w:marLeft w:val="0"/>
              <w:marRight w:val="0"/>
              <w:marTop w:val="100"/>
              <w:marBottom w:val="100"/>
              <w:divBdr>
                <w:top w:val="none" w:sz="0" w:space="0" w:color="auto"/>
                <w:left w:val="none" w:sz="0" w:space="0" w:color="auto"/>
                <w:bottom w:val="none" w:sz="0" w:space="0" w:color="auto"/>
                <w:right w:val="none" w:sz="0" w:space="0" w:color="auto"/>
              </w:divBdr>
              <w:divsChild>
                <w:div w:id="1087386232">
                  <w:marLeft w:val="0"/>
                  <w:marRight w:val="0"/>
                  <w:marTop w:val="41"/>
                  <w:marBottom w:val="109"/>
                  <w:divBdr>
                    <w:top w:val="none" w:sz="0" w:space="0" w:color="auto"/>
                    <w:left w:val="none" w:sz="0" w:space="0" w:color="auto"/>
                    <w:bottom w:val="none" w:sz="0" w:space="0" w:color="auto"/>
                    <w:right w:val="none" w:sz="0" w:space="0" w:color="auto"/>
                  </w:divBdr>
                  <w:divsChild>
                    <w:div w:id="1482574428">
                      <w:marLeft w:val="0"/>
                      <w:marRight w:val="0"/>
                      <w:marTop w:val="0"/>
                      <w:marBottom w:val="0"/>
                      <w:divBdr>
                        <w:top w:val="none" w:sz="0" w:space="0" w:color="auto"/>
                        <w:left w:val="none" w:sz="0" w:space="0" w:color="auto"/>
                        <w:bottom w:val="none" w:sz="0" w:space="0" w:color="auto"/>
                        <w:right w:val="none" w:sz="0" w:space="0" w:color="auto"/>
                      </w:divBdr>
                      <w:divsChild>
                        <w:div w:id="723404717">
                          <w:marLeft w:val="0"/>
                          <w:marRight w:val="0"/>
                          <w:marTop w:val="163"/>
                          <w:marBottom w:val="163"/>
                          <w:divBdr>
                            <w:top w:val="single" w:sz="6" w:space="0" w:color="4EA3E9"/>
                            <w:left w:val="single" w:sz="6" w:space="0" w:color="4EA3E9"/>
                            <w:bottom w:val="single" w:sz="6" w:space="11" w:color="4EA3E9"/>
                            <w:right w:val="single" w:sz="6" w:space="0" w:color="4EA3E9"/>
                          </w:divBdr>
                        </w:div>
                      </w:divsChild>
                    </w:div>
                  </w:divsChild>
                </w:div>
              </w:divsChild>
            </w:div>
          </w:divsChild>
        </w:div>
      </w:divsChild>
    </w:div>
    <w:div w:id="1648506505">
      <w:bodyDiv w:val="1"/>
      <w:marLeft w:val="0"/>
      <w:marRight w:val="0"/>
      <w:marTop w:val="0"/>
      <w:marBottom w:val="0"/>
      <w:divBdr>
        <w:top w:val="none" w:sz="0" w:space="0" w:color="auto"/>
        <w:left w:val="none" w:sz="0" w:space="0" w:color="auto"/>
        <w:bottom w:val="none" w:sz="0" w:space="0" w:color="auto"/>
        <w:right w:val="none" w:sz="0" w:space="0" w:color="auto"/>
      </w:divBdr>
    </w:div>
    <w:div w:id="1714649546">
      <w:bodyDiv w:val="1"/>
      <w:marLeft w:val="0"/>
      <w:marRight w:val="0"/>
      <w:marTop w:val="0"/>
      <w:marBottom w:val="0"/>
      <w:divBdr>
        <w:top w:val="none" w:sz="0" w:space="0" w:color="auto"/>
        <w:left w:val="none" w:sz="0" w:space="0" w:color="auto"/>
        <w:bottom w:val="none" w:sz="0" w:space="0" w:color="auto"/>
        <w:right w:val="none" w:sz="0" w:space="0" w:color="auto"/>
      </w:divBdr>
    </w:div>
    <w:div w:id="199283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info.taipower.com.tw/info10/main/progress.html" TargetMode="External"/><Relationship Id="rId1" Type="http://schemas.openxmlformats.org/officeDocument/2006/relationships/hyperlink" Target="http://energymonthly.tier.org.tw/outdatecontent.asp?ReportIssue=200211&amp;Page=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F23E7-0638-4E20-B655-EFDA3804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32</Pages>
  <Words>17039</Words>
  <Characters>1664</Characters>
  <Application>Microsoft Office Word</Application>
  <DocSecurity>0</DocSecurity>
  <Lines>13</Lines>
  <Paragraphs>37</Paragraphs>
  <ScaleCrop>false</ScaleCrop>
  <Company>cy</Company>
  <LinksUpToDate>false</LinksUpToDate>
  <CharactersWithSpaces>18666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2013-11-07T07:25:00Z</cp:lastPrinted>
  <dcterms:created xsi:type="dcterms:W3CDTF">2013-11-08T06:15:00Z</dcterms:created>
  <dcterms:modified xsi:type="dcterms:W3CDTF">2013-11-08T06:38:00Z</dcterms:modified>
</cp:coreProperties>
</file>