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20" w:rsidRPr="00FD1DD5" w:rsidRDefault="000E4220" w:rsidP="000F03F6">
      <w:pPr>
        <w:pStyle w:val="a6"/>
        <w:kinsoku w:val="0"/>
        <w:spacing w:before="0"/>
        <w:ind w:left="0" w:firstLine="0"/>
        <w:jc w:val="center"/>
        <w:rPr>
          <w:rFonts w:hAnsi="標楷體"/>
          <w:bCs/>
          <w:snapToGrid/>
          <w:spacing w:val="200"/>
          <w:kern w:val="0"/>
          <w:sz w:val="40"/>
        </w:rPr>
      </w:pPr>
      <w:r w:rsidRPr="00FD1DD5">
        <w:rPr>
          <w:rFonts w:hAnsi="標楷體" w:hint="eastAsia"/>
          <w:bCs/>
          <w:snapToGrid/>
          <w:spacing w:val="200"/>
          <w:kern w:val="0"/>
          <w:sz w:val="40"/>
        </w:rPr>
        <w:t>調查報告</w:t>
      </w:r>
    </w:p>
    <w:p w:rsidR="000E4220" w:rsidRPr="00FD1DD5" w:rsidRDefault="000E4220" w:rsidP="00BB6776">
      <w:pPr>
        <w:pStyle w:val="1"/>
        <w:numPr>
          <w:ilvl w:val="0"/>
          <w:numId w:val="0"/>
        </w:numPr>
        <w:ind w:left="993" w:hangingChars="292" w:hanging="993"/>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D1DD5">
        <w:rPr>
          <w:rFonts w:hAnsi="標楷體" w:hint="eastAsia"/>
        </w:rPr>
        <w:t>案由：</w:t>
      </w:r>
      <w:bookmarkEnd w:id="0"/>
      <w:bookmarkEnd w:id="1"/>
      <w:bookmarkEnd w:id="2"/>
      <w:bookmarkEnd w:id="3"/>
      <w:bookmarkEnd w:id="4"/>
      <w:bookmarkEnd w:id="5"/>
      <w:bookmarkEnd w:id="6"/>
      <w:bookmarkEnd w:id="7"/>
      <w:bookmarkEnd w:id="8"/>
      <w:bookmarkEnd w:id="9"/>
      <w:r w:rsidR="00A7050F" w:rsidRPr="00FD1DD5">
        <w:rPr>
          <w:rFonts w:hAnsi="標楷體"/>
        </w:rPr>
        <w:fldChar w:fldCharType="begin"/>
      </w:r>
      <w:r w:rsidRPr="00FD1DD5">
        <w:rPr>
          <w:rFonts w:hAnsi="標楷體"/>
        </w:rPr>
        <w:instrText xml:space="preserve"> MERGEFIELD </w:instrText>
      </w:r>
      <w:r w:rsidRPr="00FD1DD5">
        <w:rPr>
          <w:rFonts w:hAnsi="標楷體" w:hint="eastAsia"/>
        </w:rPr>
        <w:instrText>案由</w:instrText>
      </w:r>
      <w:r w:rsidRPr="00FD1DD5">
        <w:rPr>
          <w:rFonts w:hAnsi="標楷體"/>
        </w:rPr>
        <w:instrText xml:space="preserve"> </w:instrText>
      </w:r>
      <w:r w:rsidR="00A7050F" w:rsidRPr="00FD1DD5">
        <w:rPr>
          <w:rFonts w:hAnsi="標楷體"/>
        </w:rPr>
        <w:fldChar w:fldCharType="separate"/>
      </w:r>
      <w:r w:rsidR="00805159" w:rsidRPr="00FD1DD5">
        <w:rPr>
          <w:rFonts w:hAnsi="標楷體" w:hint="eastAsia"/>
          <w:noProof/>
        </w:rPr>
        <w:t>據訴，京華城股份有限公司依規定向臺北市政府都市發展局申請土地使用都市計畫細部變更，惟該局違法曲解京華城購物中心基地之容積率及延宕辦理，迄今3年仍未有具體審查結果，嚴重損及權益等情乙案。</w:t>
      </w:r>
      <w:r w:rsidR="00A7050F" w:rsidRPr="00FD1DD5">
        <w:rPr>
          <w:rFonts w:hAnsi="標楷體"/>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0E4220" w:rsidRPr="000F03F6" w:rsidRDefault="000E4220" w:rsidP="00BB6776">
      <w:pPr>
        <w:pStyle w:val="1"/>
        <w:numPr>
          <w:ilvl w:val="0"/>
          <w:numId w:val="0"/>
        </w:numPr>
        <w:rPr>
          <w:rFonts w:hAnsi="標楷體"/>
          <w:b/>
          <w:szCs w:val="32"/>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0F03F6">
        <w:rPr>
          <w:rFonts w:hAnsi="標楷體"/>
          <w:b/>
          <w:szCs w:val="32"/>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F562D" w:rsidRPr="00FD1DD5" w:rsidRDefault="004F562D" w:rsidP="00BB6776">
      <w:pPr>
        <w:pStyle w:val="10"/>
        <w:tabs>
          <w:tab w:val="clear" w:pos="567"/>
        </w:tabs>
        <w:ind w:leftChars="0" w:left="0" w:firstLine="680"/>
        <w:rPr>
          <w:rFonts w:hAnsi="標楷體"/>
          <w:bCs/>
          <w:szCs w:val="32"/>
        </w:rPr>
      </w:pPr>
      <w:bookmarkStart w:id="45" w:name="_Toc524902730"/>
      <w:r w:rsidRPr="00FD1DD5">
        <w:rPr>
          <w:rFonts w:hAnsi="標楷體"/>
          <w:szCs w:val="32"/>
        </w:rPr>
        <w:t>據京華城股份有限公司23 位股東</w:t>
      </w:r>
      <w:r w:rsidR="000F4409" w:rsidRPr="00FD1DD5">
        <w:rPr>
          <w:rFonts w:hAnsi="標楷體"/>
          <w:szCs w:val="32"/>
        </w:rPr>
        <w:t>陳訴：</w:t>
      </w:r>
      <w:r w:rsidRPr="00FD1DD5">
        <w:rPr>
          <w:rFonts w:hAnsi="標楷體"/>
          <w:bCs/>
          <w:szCs w:val="32"/>
        </w:rPr>
        <w:t>京華城股份有限公司</w:t>
      </w:r>
      <w:r w:rsidR="00502308" w:rsidRPr="00FD1DD5">
        <w:rPr>
          <w:rFonts w:hAnsi="標楷體" w:hint="eastAsia"/>
          <w:bCs/>
          <w:szCs w:val="32"/>
        </w:rPr>
        <w:t>前</w:t>
      </w:r>
      <w:r w:rsidRPr="00FD1DD5">
        <w:rPr>
          <w:rFonts w:hAnsi="標楷體"/>
          <w:bCs/>
          <w:szCs w:val="32"/>
        </w:rPr>
        <w:t>依規定向臺北市政府都市發展局申請土地使用都市計畫細部變更，惟該局違法曲解京華城購物中心基地之容積率及延宕辦理，迄今</w:t>
      </w:r>
      <w:r w:rsidR="00502308" w:rsidRPr="00FD1DD5">
        <w:rPr>
          <w:rFonts w:hAnsi="標楷體" w:hint="eastAsia"/>
          <w:bCs/>
          <w:szCs w:val="32"/>
        </w:rPr>
        <w:t>已逾</w:t>
      </w:r>
      <w:r w:rsidRPr="00FD1DD5">
        <w:rPr>
          <w:rFonts w:hAnsi="標楷體"/>
          <w:bCs/>
          <w:szCs w:val="32"/>
        </w:rPr>
        <w:t>3年仍未有具體審查結果，嚴重損及權益等情</w:t>
      </w:r>
      <w:r w:rsidR="00621807" w:rsidRPr="00FD1DD5">
        <w:rPr>
          <w:rFonts w:hAnsi="標楷體" w:hint="eastAsia"/>
          <w:bCs/>
          <w:szCs w:val="32"/>
        </w:rPr>
        <w:t>。</w:t>
      </w:r>
      <w:r w:rsidR="000F4409" w:rsidRPr="00FD1DD5">
        <w:rPr>
          <w:rFonts w:hAnsi="標楷體"/>
          <w:bCs/>
          <w:szCs w:val="32"/>
        </w:rPr>
        <w:t>案經本院</w:t>
      </w:r>
      <w:r w:rsidRPr="00FD1DD5">
        <w:rPr>
          <w:rFonts w:hAnsi="標楷體"/>
          <w:bCs/>
          <w:szCs w:val="32"/>
        </w:rPr>
        <w:t>於民國（下同）102年8月12日約詢臺北市</w:t>
      </w:r>
      <w:r w:rsidR="00502308" w:rsidRPr="00FD1DD5">
        <w:rPr>
          <w:rFonts w:hAnsi="標楷體"/>
          <w:bCs/>
          <w:szCs w:val="32"/>
        </w:rPr>
        <w:t>張金鶚</w:t>
      </w:r>
      <w:r w:rsidRPr="00FD1DD5">
        <w:rPr>
          <w:rFonts w:hAnsi="標楷體"/>
          <w:bCs/>
          <w:szCs w:val="32"/>
        </w:rPr>
        <w:t>副市長、臺北市政府都市發展局</w:t>
      </w:r>
      <w:r w:rsidR="00502308" w:rsidRPr="00FD1DD5">
        <w:rPr>
          <w:rFonts w:hAnsi="標楷體"/>
          <w:bCs/>
          <w:szCs w:val="32"/>
        </w:rPr>
        <w:t>邊泰明</w:t>
      </w:r>
      <w:r w:rsidRPr="00FD1DD5">
        <w:rPr>
          <w:rFonts w:hAnsi="標楷體"/>
          <w:bCs/>
          <w:szCs w:val="32"/>
        </w:rPr>
        <w:t>局長及所屬相關主管人員，</w:t>
      </w:r>
      <w:r w:rsidR="00502308" w:rsidRPr="00FD1DD5">
        <w:rPr>
          <w:rFonts w:hAnsi="標楷體" w:hint="eastAsia"/>
          <w:bCs/>
          <w:szCs w:val="32"/>
        </w:rPr>
        <w:t>嗣於</w:t>
      </w:r>
      <w:r w:rsidRPr="00FD1DD5">
        <w:rPr>
          <w:rFonts w:hAnsi="標楷體"/>
          <w:bCs/>
          <w:szCs w:val="32"/>
        </w:rPr>
        <w:t>同年8月26日諮詢政治大學法律學系</w:t>
      </w:r>
      <w:r w:rsidR="00502308" w:rsidRPr="00FD1DD5">
        <w:rPr>
          <w:rFonts w:hAnsi="標楷體"/>
          <w:bCs/>
          <w:szCs w:val="32"/>
        </w:rPr>
        <w:t>劉宗德</w:t>
      </w:r>
      <w:r w:rsidRPr="00FD1DD5">
        <w:rPr>
          <w:rFonts w:hAnsi="標楷體"/>
          <w:bCs/>
          <w:szCs w:val="32"/>
        </w:rPr>
        <w:t>教授、東吳大學法律學系陳清秀</w:t>
      </w:r>
      <w:r w:rsidR="00502308" w:rsidRPr="00FD1DD5">
        <w:rPr>
          <w:rFonts w:hAnsi="標楷體"/>
          <w:bCs/>
          <w:szCs w:val="32"/>
        </w:rPr>
        <w:t>教授</w:t>
      </w:r>
      <w:r w:rsidRPr="00FD1DD5">
        <w:rPr>
          <w:rFonts w:hAnsi="標楷體"/>
          <w:bCs/>
          <w:szCs w:val="32"/>
        </w:rPr>
        <w:t>、中華大學建築學系</w:t>
      </w:r>
      <w:r w:rsidR="00502308" w:rsidRPr="00FD1DD5">
        <w:rPr>
          <w:rFonts w:hAnsi="標楷體"/>
          <w:bCs/>
          <w:szCs w:val="32"/>
        </w:rPr>
        <w:t>解鴻年</w:t>
      </w:r>
      <w:r w:rsidRPr="00FD1DD5">
        <w:rPr>
          <w:rFonts w:hAnsi="標楷體"/>
          <w:bCs/>
          <w:szCs w:val="32"/>
        </w:rPr>
        <w:t>教授</w:t>
      </w:r>
      <w:r w:rsidR="00502308" w:rsidRPr="00FD1DD5">
        <w:rPr>
          <w:rFonts w:hAnsi="標楷體" w:hint="eastAsia"/>
          <w:bCs/>
          <w:szCs w:val="32"/>
        </w:rPr>
        <w:t>及</w:t>
      </w:r>
      <w:r w:rsidRPr="00FD1DD5">
        <w:rPr>
          <w:rFonts w:hAnsi="標楷體"/>
          <w:bCs/>
          <w:szCs w:val="32"/>
        </w:rPr>
        <w:t>中興工程顧問股份有限公司</w:t>
      </w:r>
      <w:r w:rsidR="00502308" w:rsidRPr="00FD1DD5">
        <w:rPr>
          <w:rFonts w:hAnsi="標楷體"/>
          <w:bCs/>
          <w:szCs w:val="32"/>
        </w:rPr>
        <w:t>曹壽民</w:t>
      </w:r>
      <w:r w:rsidRPr="00FD1DD5">
        <w:rPr>
          <w:rFonts w:hAnsi="標楷體"/>
          <w:bCs/>
          <w:szCs w:val="32"/>
        </w:rPr>
        <w:t>董事長，業經調查竣事，茲將調查意見臚述如下：</w:t>
      </w:r>
    </w:p>
    <w:p w:rsidR="004F562D" w:rsidRPr="000F03F6" w:rsidRDefault="004F562D" w:rsidP="000F03F6">
      <w:pPr>
        <w:pStyle w:val="2"/>
        <w:ind w:left="644" w:hanging="615"/>
        <w:rPr>
          <w:rFonts w:hAnsi="標楷體"/>
          <w:spacing w:val="-4"/>
          <w:szCs w:val="32"/>
        </w:rPr>
      </w:pPr>
      <w:r w:rsidRPr="000F03F6">
        <w:rPr>
          <w:rFonts w:hAnsi="標楷體"/>
          <w:spacing w:val="-4"/>
          <w:szCs w:val="32"/>
        </w:rPr>
        <w:t>臺北市八德路四段京華城購物中心所坐落街廓於80年間由都市計畫第3種工業區變更為第3種商業區，乃係基於開發許可及土地變更回饋之精神，以附帶捐地、限定容許使用項目、大街廓整體開發及保障可建築樓地板面積等條件所為，其</w:t>
      </w:r>
      <w:r w:rsidR="00387D0E" w:rsidRPr="000F03F6">
        <w:rPr>
          <w:rFonts w:hAnsi="標楷體"/>
          <w:spacing w:val="-4"/>
          <w:szCs w:val="32"/>
        </w:rPr>
        <w:t>變更後之開發使用</w:t>
      </w:r>
      <w:r w:rsidRPr="000F03F6">
        <w:rPr>
          <w:rFonts w:hAnsi="標楷體"/>
          <w:spacing w:val="-4"/>
          <w:szCs w:val="32"/>
        </w:rPr>
        <w:t>強度與該等條件具不可分性，如有變</w:t>
      </w:r>
      <w:r w:rsidR="00A941C1" w:rsidRPr="000F03F6">
        <w:rPr>
          <w:rFonts w:hAnsi="標楷體" w:hint="eastAsia"/>
          <w:spacing w:val="-4"/>
          <w:szCs w:val="32"/>
        </w:rPr>
        <w:t>更</w:t>
      </w:r>
      <w:r w:rsidRPr="000F03F6">
        <w:rPr>
          <w:rFonts w:hAnsi="標楷體"/>
          <w:spacing w:val="-4"/>
          <w:szCs w:val="32"/>
        </w:rPr>
        <w:t>之需要，自應</w:t>
      </w:r>
      <w:r w:rsidR="00B3782C" w:rsidRPr="000F03F6">
        <w:rPr>
          <w:rFonts w:hAnsi="標楷體"/>
          <w:spacing w:val="-4"/>
          <w:szCs w:val="32"/>
        </w:rPr>
        <w:t>與該等條件</w:t>
      </w:r>
      <w:r w:rsidR="00A941C1" w:rsidRPr="000F03F6">
        <w:rPr>
          <w:rFonts w:hAnsi="標楷體" w:hint="eastAsia"/>
          <w:spacing w:val="-4"/>
          <w:szCs w:val="32"/>
        </w:rPr>
        <w:t>為</w:t>
      </w:r>
      <w:r w:rsidRPr="000F03F6">
        <w:rPr>
          <w:rFonts w:hAnsi="標楷體"/>
          <w:spacing w:val="-4"/>
          <w:szCs w:val="32"/>
        </w:rPr>
        <w:t>整體考量</w:t>
      </w:r>
      <w:r w:rsidR="00387D0E" w:rsidRPr="000F03F6">
        <w:rPr>
          <w:rFonts w:hAnsi="標楷體"/>
          <w:spacing w:val="-4"/>
          <w:szCs w:val="32"/>
        </w:rPr>
        <w:t>並循都市計畫變更程序辦理，</w:t>
      </w:r>
      <w:r w:rsidRPr="000F03F6">
        <w:rPr>
          <w:rFonts w:hAnsi="標楷體"/>
          <w:spacing w:val="-4"/>
          <w:szCs w:val="32"/>
        </w:rPr>
        <w:t>不宜</w:t>
      </w:r>
      <w:r w:rsidR="00A941C1" w:rsidRPr="000F03F6">
        <w:rPr>
          <w:rFonts w:hAnsi="標楷體" w:hint="eastAsia"/>
          <w:spacing w:val="-4"/>
          <w:szCs w:val="32"/>
        </w:rPr>
        <w:t>遽</w:t>
      </w:r>
      <w:r w:rsidR="00A941C1" w:rsidRPr="000F03F6">
        <w:rPr>
          <w:rFonts w:hAnsi="標楷體"/>
          <w:spacing w:val="-4"/>
          <w:szCs w:val="32"/>
        </w:rPr>
        <w:t>為割裂之</w:t>
      </w:r>
      <w:r w:rsidR="00A941C1" w:rsidRPr="000F03F6">
        <w:rPr>
          <w:rFonts w:hAnsi="標楷體" w:hint="eastAsia"/>
          <w:spacing w:val="-4"/>
          <w:szCs w:val="32"/>
        </w:rPr>
        <w:t>處理</w:t>
      </w:r>
      <w:r w:rsidR="00FD1DD5" w:rsidRPr="000F03F6">
        <w:rPr>
          <w:rFonts w:hAnsi="標楷體" w:hint="eastAsia"/>
          <w:spacing w:val="-4"/>
          <w:szCs w:val="32"/>
        </w:rPr>
        <w:t>。</w:t>
      </w:r>
    </w:p>
    <w:p w:rsidR="004F562D" w:rsidRPr="00FD1DD5" w:rsidRDefault="00BE250F" w:rsidP="00BB6776">
      <w:pPr>
        <w:pStyle w:val="3"/>
        <w:ind w:left="993"/>
        <w:rPr>
          <w:rFonts w:hAnsi="標楷體"/>
          <w:szCs w:val="32"/>
        </w:rPr>
      </w:pPr>
      <w:r w:rsidRPr="00FD1DD5">
        <w:rPr>
          <w:rFonts w:hAnsi="標楷體" w:hint="eastAsia"/>
          <w:szCs w:val="32"/>
        </w:rPr>
        <w:t>查</w:t>
      </w:r>
      <w:r w:rsidR="004F562D" w:rsidRPr="00FD1DD5">
        <w:rPr>
          <w:rFonts w:hAnsi="標楷體"/>
          <w:szCs w:val="32"/>
        </w:rPr>
        <w:t>臺北市八德路四段京華城購物中心（下稱京華城）所坐落街廓原</w:t>
      </w:r>
      <w:r w:rsidR="00AB1D29" w:rsidRPr="00FD1DD5">
        <w:rPr>
          <w:rFonts w:hAnsi="標楷體" w:hint="eastAsia"/>
          <w:szCs w:val="32"/>
        </w:rPr>
        <w:t>多</w:t>
      </w:r>
      <w:r w:rsidR="004F562D" w:rsidRPr="00FD1DD5">
        <w:rPr>
          <w:rFonts w:hAnsi="標楷體"/>
          <w:szCs w:val="32"/>
        </w:rPr>
        <w:t>係唐榮鐵工廠舊址（屬第3種工業區），因</w:t>
      </w:r>
      <w:r w:rsidR="00AB1D29" w:rsidRPr="00FD1DD5">
        <w:rPr>
          <w:rFonts w:hAnsi="標楷體" w:hint="eastAsia"/>
          <w:szCs w:val="32"/>
        </w:rPr>
        <w:t>其</w:t>
      </w:r>
      <w:r w:rsidR="004F562D" w:rsidRPr="00FD1DD5">
        <w:rPr>
          <w:rFonts w:hAnsi="標楷體"/>
          <w:szCs w:val="32"/>
        </w:rPr>
        <w:t>屬政策上</w:t>
      </w:r>
      <w:r w:rsidR="00AB1D29" w:rsidRPr="00FD1DD5">
        <w:rPr>
          <w:rFonts w:hAnsi="標楷體"/>
          <w:szCs w:val="32"/>
        </w:rPr>
        <w:t>應淘汰之工廠，</w:t>
      </w:r>
      <w:r w:rsidR="004F562D" w:rsidRPr="00FD1DD5">
        <w:rPr>
          <w:rFonts w:hAnsi="標楷體"/>
          <w:szCs w:val="32"/>
        </w:rPr>
        <w:t>臺北市政府</w:t>
      </w:r>
      <w:r w:rsidR="00AB1D29" w:rsidRPr="00FD1DD5">
        <w:rPr>
          <w:rFonts w:hAnsi="標楷體" w:hint="eastAsia"/>
          <w:szCs w:val="32"/>
        </w:rPr>
        <w:t>爰</w:t>
      </w:r>
      <w:r w:rsidR="004F562D" w:rsidRPr="00FD1DD5">
        <w:rPr>
          <w:rFonts w:hAnsi="標楷體"/>
          <w:szCs w:val="32"/>
        </w:rPr>
        <w:t>於71年9月13日辦理公開展覽之「修訂臺北市土</w:t>
      </w:r>
      <w:r w:rsidR="00AB1D29" w:rsidRPr="00FD1DD5">
        <w:rPr>
          <w:rFonts w:hAnsi="標楷體"/>
          <w:szCs w:val="32"/>
        </w:rPr>
        <w:t>地使用分區（保護區、農業區除外）計畫（通盤檢討）案」內，建議將</w:t>
      </w:r>
      <w:r w:rsidR="00AB1D29" w:rsidRPr="00FD1DD5">
        <w:rPr>
          <w:rFonts w:hAnsi="標楷體" w:hint="eastAsia"/>
          <w:szCs w:val="32"/>
        </w:rPr>
        <w:t>該街廓</w:t>
      </w:r>
      <w:r w:rsidR="004F562D" w:rsidRPr="00FD1DD5">
        <w:rPr>
          <w:rFonts w:hAnsi="標楷體"/>
          <w:szCs w:val="32"/>
        </w:rPr>
        <w:t>變更為住宅區，嗣威京投資開發股份有</w:t>
      </w:r>
      <w:r w:rsidR="004F562D" w:rsidRPr="00FD1DD5">
        <w:rPr>
          <w:rFonts w:hAnsi="標楷體"/>
          <w:szCs w:val="32"/>
        </w:rPr>
        <w:lastRenderedPageBreak/>
        <w:t>限公司（下稱威京公司）於76年7</w:t>
      </w:r>
      <w:r w:rsidR="00292C14" w:rsidRPr="00FD1DD5">
        <w:rPr>
          <w:rFonts w:hAnsi="標楷體"/>
          <w:szCs w:val="32"/>
        </w:rPr>
        <w:t>月購得該</w:t>
      </w:r>
      <w:r w:rsidR="00292C14" w:rsidRPr="00FD1DD5">
        <w:rPr>
          <w:rFonts w:hAnsi="標楷體" w:hint="eastAsia"/>
          <w:szCs w:val="32"/>
        </w:rPr>
        <w:t>工廠基</w:t>
      </w:r>
      <w:r w:rsidR="004F562D" w:rsidRPr="00FD1DD5">
        <w:rPr>
          <w:rFonts w:hAnsi="標楷體"/>
          <w:szCs w:val="32"/>
        </w:rPr>
        <w:t>地後，旋於同年8月向臺北市都市計畫委員會</w:t>
      </w:r>
      <w:r w:rsidR="00A74110">
        <w:rPr>
          <w:rFonts w:hAnsi="標楷體"/>
          <w:szCs w:val="32"/>
        </w:rPr>
        <w:t>（</w:t>
      </w:r>
      <w:r w:rsidR="00A74110">
        <w:rPr>
          <w:rFonts w:hAnsi="標楷體" w:hint="eastAsia"/>
          <w:szCs w:val="32"/>
        </w:rPr>
        <w:t>下稱臺北市都委會</w:t>
      </w:r>
      <w:r w:rsidR="00A74110">
        <w:rPr>
          <w:rFonts w:hAnsi="標楷體"/>
          <w:szCs w:val="32"/>
        </w:rPr>
        <w:t>）</w:t>
      </w:r>
      <w:r w:rsidR="004F562D" w:rsidRPr="00FD1DD5">
        <w:rPr>
          <w:rFonts w:hAnsi="標楷體"/>
          <w:szCs w:val="32"/>
        </w:rPr>
        <w:t>陳情變更為「多目標多元化使用分區」，並再擬具土地利用計畫，送</w:t>
      </w:r>
      <w:r w:rsidR="00292C14" w:rsidRPr="00FD1DD5">
        <w:rPr>
          <w:rFonts w:hAnsi="標楷體" w:hint="eastAsia"/>
          <w:szCs w:val="32"/>
        </w:rPr>
        <w:t>該</w:t>
      </w:r>
      <w:r w:rsidR="004F562D" w:rsidRPr="00FD1DD5">
        <w:rPr>
          <w:rFonts w:hAnsi="標楷體"/>
          <w:szCs w:val="32"/>
        </w:rPr>
        <w:t>會歷經多次專案小組會議及委員會議審議，以及79年12月28日內政部都市計畫委員會第338次會議審議通過，始經臺北市政府</w:t>
      </w:r>
      <w:r w:rsidR="00292C14" w:rsidRPr="00FD1DD5">
        <w:rPr>
          <w:rFonts w:hAnsi="標楷體" w:hint="eastAsia"/>
          <w:szCs w:val="32"/>
        </w:rPr>
        <w:t>以</w:t>
      </w:r>
      <w:r w:rsidR="004F562D" w:rsidRPr="00FD1DD5">
        <w:rPr>
          <w:rFonts w:hAnsi="標楷體"/>
          <w:szCs w:val="32"/>
        </w:rPr>
        <w:t>80年2月13日80府工二字第80003366</w:t>
      </w:r>
      <w:r w:rsidR="00292C14" w:rsidRPr="00FD1DD5">
        <w:rPr>
          <w:rFonts w:hAnsi="標楷體"/>
          <w:szCs w:val="32"/>
        </w:rPr>
        <w:t>號公告發布實施（案名：「『修訂</w:t>
      </w:r>
      <w:r w:rsidR="00292C14" w:rsidRPr="00FD1DD5">
        <w:rPr>
          <w:rFonts w:hAnsi="標楷體" w:hint="eastAsia"/>
          <w:szCs w:val="32"/>
        </w:rPr>
        <w:t>臺</w:t>
      </w:r>
      <w:r w:rsidR="004F562D" w:rsidRPr="00FD1DD5">
        <w:rPr>
          <w:rFonts w:hAnsi="標楷體"/>
          <w:szCs w:val="32"/>
        </w:rPr>
        <w:t>北市土地使用分區</w:t>
      </w:r>
      <w:r w:rsidR="00292C14" w:rsidRPr="00FD1DD5">
        <w:rPr>
          <w:rFonts w:hAnsi="標楷體"/>
          <w:szCs w:val="32"/>
        </w:rPr>
        <w:t>（保護區，農業區除外）</w:t>
      </w:r>
      <w:r w:rsidR="004F562D" w:rsidRPr="00FD1DD5">
        <w:rPr>
          <w:rFonts w:hAnsi="標楷體"/>
          <w:szCs w:val="32"/>
        </w:rPr>
        <w:t>計畫</w:t>
      </w:r>
      <w:r w:rsidR="00292C14" w:rsidRPr="00FD1DD5">
        <w:rPr>
          <w:rFonts w:hAnsi="標楷體"/>
          <w:szCs w:val="32"/>
        </w:rPr>
        <w:t>（通盤檢討）</w:t>
      </w:r>
      <w:r w:rsidR="004F562D" w:rsidRPr="00FD1DD5">
        <w:rPr>
          <w:rFonts w:hAnsi="標楷體"/>
          <w:szCs w:val="32"/>
        </w:rPr>
        <w:t>案』內有關八德路4段，東寧路，縱貫鐵路，八德路4段106巷所圍地區</w:t>
      </w:r>
      <w:r w:rsidR="00292C14" w:rsidRPr="00FD1DD5">
        <w:rPr>
          <w:rFonts w:hAnsi="標楷體"/>
          <w:szCs w:val="32"/>
        </w:rPr>
        <w:t>（原唐榮鐵工廠）</w:t>
      </w:r>
      <w:r w:rsidR="004F562D" w:rsidRPr="00FD1DD5">
        <w:rPr>
          <w:rFonts w:hAnsi="標楷體"/>
          <w:szCs w:val="32"/>
        </w:rPr>
        <w:t>土地使用計畫案」（下稱本都市計畫案）</w:t>
      </w:r>
      <w:r w:rsidR="00292C14" w:rsidRPr="00FD1DD5">
        <w:rPr>
          <w:rFonts w:hAnsi="標楷體"/>
          <w:szCs w:val="32"/>
        </w:rPr>
        <w:t>，</w:t>
      </w:r>
      <w:r w:rsidR="00292C14" w:rsidRPr="00FD1DD5">
        <w:rPr>
          <w:rFonts w:hAnsi="標楷體" w:hint="eastAsia"/>
          <w:szCs w:val="32"/>
        </w:rPr>
        <w:t>該</w:t>
      </w:r>
      <w:r w:rsidR="004F562D" w:rsidRPr="00FD1DD5">
        <w:rPr>
          <w:rFonts w:hAnsi="標楷體"/>
          <w:szCs w:val="32"/>
        </w:rPr>
        <w:t>都市計畫</w:t>
      </w:r>
      <w:r w:rsidR="00292C14" w:rsidRPr="00FD1DD5">
        <w:rPr>
          <w:rFonts w:hAnsi="標楷體" w:hint="eastAsia"/>
          <w:szCs w:val="32"/>
        </w:rPr>
        <w:t>案之都市計畫</w:t>
      </w:r>
      <w:r w:rsidR="004F562D" w:rsidRPr="00FD1DD5">
        <w:rPr>
          <w:rFonts w:hAnsi="標楷體"/>
          <w:szCs w:val="32"/>
        </w:rPr>
        <w:t>書載有下列重要事項：</w:t>
      </w:r>
    </w:p>
    <w:p w:rsidR="004F562D" w:rsidRPr="00FD1DD5" w:rsidRDefault="004F562D" w:rsidP="00BB6776">
      <w:pPr>
        <w:pStyle w:val="4"/>
        <w:ind w:left="1276" w:hanging="680"/>
        <w:rPr>
          <w:rFonts w:hAnsi="標楷體"/>
          <w:szCs w:val="32"/>
        </w:rPr>
      </w:pPr>
      <w:r w:rsidRPr="00FD1DD5">
        <w:rPr>
          <w:rFonts w:hAnsi="標楷體"/>
          <w:szCs w:val="32"/>
        </w:rPr>
        <w:t>「本案土地</w:t>
      </w:r>
      <w:r w:rsidR="00292C14" w:rsidRPr="00FD1DD5">
        <w:rPr>
          <w:rFonts w:hAnsi="標楷體"/>
          <w:szCs w:val="32"/>
        </w:rPr>
        <w:t>（八德路、東寧路、縱貫鐵路及八德路4段106巷所圍地區）</w:t>
      </w:r>
      <w:r w:rsidRPr="00FD1DD5">
        <w:rPr>
          <w:rFonts w:hAnsi="標楷體"/>
          <w:szCs w:val="32"/>
        </w:rPr>
        <w:t>依多目標多元化之開發原則，同意變更為第</w:t>
      </w:r>
      <w:r w:rsidR="00292C14" w:rsidRPr="00FD1DD5">
        <w:rPr>
          <w:rFonts w:hAnsi="標楷體" w:hint="eastAsia"/>
          <w:szCs w:val="32"/>
        </w:rPr>
        <w:t>3</w:t>
      </w:r>
      <w:r w:rsidRPr="00FD1DD5">
        <w:rPr>
          <w:rFonts w:hAnsi="標楷體"/>
          <w:szCs w:val="32"/>
        </w:rPr>
        <w:t>種商業區並限制僅供作下列6種使用：</w:t>
      </w:r>
      <w:r w:rsidR="00CD15C3" w:rsidRPr="00FD1DD5">
        <w:rPr>
          <w:rFonts w:hAnsi="標楷體" w:hint="eastAsia"/>
          <w:szCs w:val="32"/>
        </w:rPr>
        <w:t>(1)</w:t>
      </w:r>
      <w:r w:rsidR="00292C14" w:rsidRPr="00FD1DD5">
        <w:rPr>
          <w:rFonts w:hAnsi="標楷體"/>
          <w:szCs w:val="32"/>
        </w:rPr>
        <w:t>公眾服務空間—社教機構、醫療衛生機構、公眾服務停車場。</w:t>
      </w:r>
      <w:r w:rsidR="00CD15C3" w:rsidRPr="00FD1DD5">
        <w:rPr>
          <w:rFonts w:hAnsi="標楷體" w:hint="eastAsia"/>
          <w:szCs w:val="32"/>
        </w:rPr>
        <w:t>(2)</w:t>
      </w:r>
      <w:r w:rsidR="00CD15C3" w:rsidRPr="00FD1DD5">
        <w:rPr>
          <w:rFonts w:hAnsi="標楷體"/>
          <w:szCs w:val="32"/>
        </w:rPr>
        <w:t>國際購物中心—百貨公司、超級市場、專賣店、飲食街。</w:t>
      </w:r>
      <w:r w:rsidR="00CD15C3" w:rsidRPr="00FD1DD5">
        <w:rPr>
          <w:rFonts w:hAnsi="標楷體" w:hint="eastAsia"/>
          <w:szCs w:val="32"/>
        </w:rPr>
        <w:t>(3)</w:t>
      </w:r>
      <w:r w:rsidR="00CD15C3" w:rsidRPr="00FD1DD5">
        <w:rPr>
          <w:rFonts w:hAnsi="標楷體"/>
          <w:szCs w:val="32"/>
        </w:rPr>
        <w:t>國際觀光旅館—出租客房、客廳、宴會廳、國際會議廳。</w:t>
      </w:r>
      <w:r w:rsidR="00CD15C3" w:rsidRPr="00FD1DD5">
        <w:rPr>
          <w:rFonts w:hAnsi="標楷體" w:hint="eastAsia"/>
          <w:szCs w:val="32"/>
        </w:rPr>
        <w:t>(4)</w:t>
      </w:r>
      <w:r w:rsidR="00CD15C3" w:rsidRPr="00FD1DD5">
        <w:rPr>
          <w:rFonts w:hAnsi="標楷體"/>
          <w:szCs w:val="32"/>
        </w:rPr>
        <w:t>辦公大樓—金融主要、分支機構、一般、自由業事務所。</w:t>
      </w:r>
      <w:r w:rsidR="00CD15C3" w:rsidRPr="00FD1DD5">
        <w:rPr>
          <w:rFonts w:hAnsi="標楷體" w:hint="eastAsia"/>
          <w:szCs w:val="32"/>
        </w:rPr>
        <w:t>(5)</w:t>
      </w:r>
      <w:r w:rsidR="00CD15C3" w:rsidRPr="00FD1DD5">
        <w:rPr>
          <w:rFonts w:hAnsi="標楷體"/>
          <w:szCs w:val="32"/>
        </w:rPr>
        <w:t>文化休閒設施—娛樂、健身服務設施、文教設施。</w:t>
      </w:r>
      <w:r w:rsidR="00CD15C3" w:rsidRPr="00FD1DD5">
        <w:rPr>
          <w:rFonts w:hAnsi="標楷體" w:hint="eastAsia"/>
          <w:szCs w:val="32"/>
        </w:rPr>
        <w:t>(6)</w:t>
      </w:r>
      <w:r w:rsidR="00CD15C3" w:rsidRPr="00FD1DD5">
        <w:rPr>
          <w:rFonts w:hAnsi="標楷體"/>
          <w:szCs w:val="32"/>
        </w:rPr>
        <w:t xml:space="preserve"> 停車場。」</w:t>
      </w:r>
    </w:p>
    <w:p w:rsidR="004F562D" w:rsidRPr="00FD1DD5" w:rsidRDefault="004F562D" w:rsidP="00BB6776">
      <w:pPr>
        <w:pStyle w:val="4"/>
        <w:ind w:left="1276" w:hanging="680"/>
        <w:rPr>
          <w:rFonts w:hAnsi="標楷體"/>
          <w:szCs w:val="32"/>
        </w:rPr>
      </w:pPr>
      <w:r w:rsidRPr="00FD1DD5">
        <w:rPr>
          <w:rFonts w:hAnsi="標楷體"/>
          <w:szCs w:val="32"/>
        </w:rPr>
        <w:t>「本案應捐地30％規劃設計為公園、廣場之用，並登記為市政府所有，以回饋社會大眾。捐地後，其建蔽率依商三之標準</w:t>
      </w:r>
      <w:r w:rsidR="00CD15C3" w:rsidRPr="00FD1DD5">
        <w:rPr>
          <w:rFonts w:hAnsi="標楷體"/>
          <w:szCs w:val="32"/>
        </w:rPr>
        <w:t>（70％）</w:t>
      </w:r>
      <w:r w:rsidRPr="00FD1DD5">
        <w:rPr>
          <w:rFonts w:hAnsi="標楷體"/>
          <w:szCs w:val="32"/>
        </w:rPr>
        <w:t>；容積率依工務局於78.11.2.第</w:t>
      </w:r>
      <w:r w:rsidR="00CD15C3" w:rsidRPr="00FD1DD5">
        <w:rPr>
          <w:rFonts w:hAnsi="標楷體" w:hint="eastAsia"/>
          <w:szCs w:val="32"/>
        </w:rPr>
        <w:t>6</w:t>
      </w:r>
      <w:r w:rsidRPr="00FD1DD5">
        <w:rPr>
          <w:rFonts w:hAnsi="標楷體"/>
          <w:szCs w:val="32"/>
        </w:rPr>
        <w:t>次專案小組會議所提(78.10.27製表)</w:t>
      </w:r>
      <w:r w:rsidR="00CD15C3" w:rsidRPr="00FD1DD5">
        <w:rPr>
          <w:rFonts w:hAnsi="標楷體" w:hint="eastAsia"/>
          <w:szCs w:val="32"/>
        </w:rPr>
        <w:t>『</w:t>
      </w:r>
      <w:r w:rsidR="00CD15C3" w:rsidRPr="00FD1DD5">
        <w:rPr>
          <w:rFonts w:hAnsi="標楷體"/>
          <w:szCs w:val="32"/>
        </w:rPr>
        <w:t>京華再開發計畫案不同使用強度建築面積比較表</w:t>
      </w:r>
      <w:r w:rsidR="00CD15C3" w:rsidRPr="00FD1DD5">
        <w:rPr>
          <w:rFonts w:hAnsi="標楷體" w:hint="eastAsia"/>
          <w:szCs w:val="32"/>
        </w:rPr>
        <w:t>』</w:t>
      </w:r>
      <w:r w:rsidRPr="00FD1DD5">
        <w:rPr>
          <w:rFonts w:hAnsi="標楷體"/>
          <w:szCs w:val="32"/>
        </w:rPr>
        <w:t>之第</w:t>
      </w:r>
      <w:r w:rsidR="00CD15C3" w:rsidRPr="00FD1DD5">
        <w:rPr>
          <w:rFonts w:hAnsi="標楷體" w:hint="eastAsia"/>
          <w:szCs w:val="32"/>
        </w:rPr>
        <w:t>6</w:t>
      </w:r>
      <w:r w:rsidRPr="00FD1DD5">
        <w:rPr>
          <w:rFonts w:hAnsi="標楷體"/>
          <w:szCs w:val="32"/>
        </w:rPr>
        <w:t>案計算〔即容積率依整個基地面積計算為392％(70％×560％)〕，但不應損及其原已申請執照之樓</w:t>
      </w:r>
      <w:r w:rsidRPr="00FD1DD5">
        <w:rPr>
          <w:rFonts w:hAnsi="標楷體"/>
          <w:szCs w:val="32"/>
        </w:rPr>
        <w:lastRenderedPageBreak/>
        <w:t>地板面積</w:t>
      </w:r>
      <w:r w:rsidR="00CD15C3" w:rsidRPr="00FD1DD5">
        <w:rPr>
          <w:rFonts w:hAnsi="標楷體"/>
          <w:szCs w:val="32"/>
        </w:rPr>
        <w:t>（共120,284.39平方公尺）</w:t>
      </w:r>
      <w:r w:rsidRPr="00FD1DD5">
        <w:rPr>
          <w:rFonts w:hAnsi="標楷體"/>
          <w:szCs w:val="32"/>
        </w:rPr>
        <w:t>為標準，有關獎勵部分則依現行相關法令規定辦理；同時應增建捐地後土地20％之樓地板面積，作為停車空間，並開放供公眾使用。」</w:t>
      </w:r>
    </w:p>
    <w:p w:rsidR="004F562D" w:rsidRPr="00FD1DD5" w:rsidRDefault="004F562D" w:rsidP="00BB6776">
      <w:pPr>
        <w:pStyle w:val="4"/>
        <w:ind w:left="1276" w:hanging="680"/>
        <w:rPr>
          <w:rFonts w:hAnsi="標楷體"/>
          <w:szCs w:val="32"/>
        </w:rPr>
      </w:pPr>
      <w:r w:rsidRPr="00FD1DD5">
        <w:rPr>
          <w:rFonts w:hAnsi="標楷體"/>
          <w:szCs w:val="32"/>
        </w:rPr>
        <w:t>「為採用</w:t>
      </w:r>
      <w:r w:rsidR="00CD15C3" w:rsidRPr="00FD1DD5">
        <w:rPr>
          <w:rFonts w:hAnsi="標楷體"/>
          <w:szCs w:val="32"/>
        </w:rPr>
        <w:t>『大街廓整體開發』</w:t>
      </w:r>
      <w:r w:rsidRPr="00FD1DD5">
        <w:rPr>
          <w:rFonts w:hAnsi="標楷體"/>
          <w:szCs w:val="32"/>
        </w:rPr>
        <w:t>理念，並符合</w:t>
      </w:r>
      <w:r w:rsidR="00CD15C3" w:rsidRPr="00FD1DD5">
        <w:rPr>
          <w:rFonts w:hAnsi="標楷體" w:hint="eastAsia"/>
          <w:szCs w:val="32"/>
        </w:rPr>
        <w:t>臺</w:t>
      </w:r>
      <w:r w:rsidRPr="00FD1DD5">
        <w:rPr>
          <w:rFonts w:hAnsi="標楷體"/>
          <w:szCs w:val="32"/>
        </w:rPr>
        <w:t>北市土地因畸零不整且丘塊過於瑣碎而必須採取『整合與集約使用』之特性，本基地開發方式應採大街廓整體開發為原則。」</w:t>
      </w:r>
    </w:p>
    <w:p w:rsidR="004F562D" w:rsidRPr="00FD1DD5" w:rsidRDefault="00BE250F" w:rsidP="00BB6776">
      <w:pPr>
        <w:pStyle w:val="3"/>
        <w:ind w:left="993"/>
        <w:rPr>
          <w:rFonts w:hAnsi="標楷體"/>
          <w:szCs w:val="32"/>
        </w:rPr>
      </w:pPr>
      <w:r w:rsidRPr="00FD1DD5">
        <w:rPr>
          <w:rFonts w:hAnsi="標楷體" w:hint="eastAsia"/>
          <w:szCs w:val="32"/>
        </w:rPr>
        <w:t>次查</w:t>
      </w:r>
      <w:r w:rsidR="004F562D" w:rsidRPr="00FD1DD5">
        <w:rPr>
          <w:rFonts w:hAnsi="標楷體"/>
          <w:szCs w:val="32"/>
        </w:rPr>
        <w:t>本都市計畫</w:t>
      </w:r>
      <w:r w:rsidRPr="00FD1DD5">
        <w:rPr>
          <w:rFonts w:hAnsi="標楷體" w:hint="eastAsia"/>
          <w:szCs w:val="32"/>
        </w:rPr>
        <w:t>案</w:t>
      </w:r>
      <w:r w:rsidR="004F562D" w:rsidRPr="00FD1DD5">
        <w:rPr>
          <w:rFonts w:hAnsi="標楷體"/>
          <w:szCs w:val="32"/>
        </w:rPr>
        <w:t>於86年完成捐地程序，</w:t>
      </w:r>
      <w:r w:rsidRPr="00FD1DD5">
        <w:rPr>
          <w:rFonts w:hAnsi="標楷體" w:hint="eastAsia"/>
          <w:szCs w:val="32"/>
        </w:rPr>
        <w:t>嗣</w:t>
      </w:r>
      <w:r w:rsidR="004F562D" w:rsidRPr="00FD1DD5">
        <w:rPr>
          <w:rFonts w:hAnsi="標楷體"/>
          <w:szCs w:val="32"/>
        </w:rPr>
        <w:t>京華城股份有限公司</w:t>
      </w:r>
      <w:r w:rsidR="002C225F" w:rsidRPr="00FD1DD5">
        <w:rPr>
          <w:rFonts w:hAnsi="標楷體"/>
          <w:szCs w:val="32"/>
        </w:rPr>
        <w:t>（下稱京華城公司）</w:t>
      </w:r>
      <w:r w:rsidRPr="00FD1DD5">
        <w:rPr>
          <w:rFonts w:hAnsi="標楷體" w:hint="eastAsia"/>
          <w:szCs w:val="32"/>
        </w:rPr>
        <w:t>於</w:t>
      </w:r>
      <w:r w:rsidR="004F562D" w:rsidRPr="00FD1DD5">
        <w:rPr>
          <w:rFonts w:hAnsi="標楷體"/>
          <w:szCs w:val="32"/>
        </w:rPr>
        <w:t>取得該</w:t>
      </w:r>
      <w:r w:rsidR="002C225F" w:rsidRPr="00FD1DD5">
        <w:rPr>
          <w:rFonts w:hAnsi="標楷體" w:hint="eastAsia"/>
          <w:szCs w:val="32"/>
        </w:rPr>
        <w:t>京華城基地</w:t>
      </w:r>
      <w:r w:rsidRPr="00FD1DD5">
        <w:rPr>
          <w:rFonts w:hAnsi="標楷體" w:hint="eastAsia"/>
          <w:szCs w:val="32"/>
        </w:rPr>
        <w:t>後</w:t>
      </w:r>
      <w:r w:rsidR="004F562D" w:rsidRPr="00FD1DD5">
        <w:rPr>
          <w:rFonts w:hAnsi="標楷體"/>
          <w:szCs w:val="32"/>
        </w:rPr>
        <w:t>，陸續於87</w:t>
      </w:r>
      <w:r w:rsidRPr="00FD1DD5">
        <w:rPr>
          <w:rFonts w:hAnsi="標楷體"/>
          <w:szCs w:val="32"/>
        </w:rPr>
        <w:t>年獲都市設計核備</w:t>
      </w:r>
      <w:r w:rsidRPr="00FD1DD5">
        <w:rPr>
          <w:rFonts w:hAnsi="標楷體" w:hint="eastAsia"/>
          <w:szCs w:val="32"/>
        </w:rPr>
        <w:t>及</w:t>
      </w:r>
      <w:r w:rsidR="004F562D" w:rsidRPr="00FD1DD5">
        <w:rPr>
          <w:rFonts w:hAnsi="標楷體"/>
          <w:szCs w:val="32"/>
        </w:rPr>
        <w:t>獲核發建造執照（87建字第212號），</w:t>
      </w:r>
      <w:r w:rsidRPr="00FD1DD5">
        <w:rPr>
          <w:rFonts w:hAnsi="標楷體" w:hint="eastAsia"/>
          <w:szCs w:val="32"/>
        </w:rPr>
        <w:t>再於</w:t>
      </w:r>
      <w:r w:rsidR="004F562D" w:rsidRPr="00FD1DD5">
        <w:rPr>
          <w:rFonts w:hAnsi="標楷體"/>
          <w:szCs w:val="32"/>
        </w:rPr>
        <w:t>90年獲核發使用執照（90使字第350號），完成京華城建築案，其基地面積16,485平方公尺，容積樓地板面積111,919.11平方公尺</w:t>
      </w:r>
      <w:r w:rsidRPr="00FD1DD5">
        <w:rPr>
          <w:rFonts w:hAnsi="標楷體"/>
          <w:szCs w:val="32"/>
        </w:rPr>
        <w:t>（地下1層至地下8層並未列入容積樓地板面積計算）</w:t>
      </w:r>
      <w:r w:rsidR="004F562D" w:rsidRPr="00FD1DD5">
        <w:rPr>
          <w:rFonts w:hAnsi="標楷體"/>
          <w:szCs w:val="32"/>
        </w:rPr>
        <w:t>，換算容積率</w:t>
      </w:r>
      <w:r w:rsidRPr="00FD1DD5">
        <w:rPr>
          <w:rFonts w:hAnsi="標楷體" w:hint="eastAsia"/>
          <w:szCs w:val="32"/>
        </w:rPr>
        <w:t>約</w:t>
      </w:r>
      <w:r w:rsidR="004F562D" w:rsidRPr="00FD1DD5">
        <w:rPr>
          <w:rFonts w:hAnsi="標楷體"/>
          <w:szCs w:val="32"/>
        </w:rPr>
        <w:t>為678.91％。</w:t>
      </w:r>
    </w:p>
    <w:p w:rsidR="004F562D" w:rsidRPr="00FD1DD5" w:rsidRDefault="00C06168" w:rsidP="00BB6776">
      <w:pPr>
        <w:pStyle w:val="3"/>
        <w:ind w:left="993"/>
        <w:rPr>
          <w:rFonts w:hAnsi="標楷體"/>
          <w:szCs w:val="32"/>
        </w:rPr>
      </w:pPr>
      <w:r w:rsidRPr="00FD1DD5">
        <w:rPr>
          <w:rFonts w:hAnsi="標楷體"/>
          <w:szCs w:val="32"/>
        </w:rPr>
        <w:t>據陳訴人所陳，</w:t>
      </w:r>
      <w:r w:rsidR="004F562D" w:rsidRPr="00FD1DD5">
        <w:rPr>
          <w:rFonts w:hAnsi="標楷體"/>
          <w:szCs w:val="32"/>
        </w:rPr>
        <w:t>京華城公司鑑於前揭80年都市計畫變更案規定京華城基地僅限做6種使用項目，已無法反映都市發展趨勢，且影響</w:t>
      </w:r>
      <w:r w:rsidRPr="00FD1DD5">
        <w:rPr>
          <w:rFonts w:hAnsi="標楷體"/>
          <w:szCs w:val="32"/>
        </w:rPr>
        <w:t>產業競爭力，為強化產業機能，促進土地合理利用</w:t>
      </w:r>
      <w:r w:rsidRPr="00FD1DD5">
        <w:rPr>
          <w:rFonts w:hAnsi="標楷體" w:hint="eastAsia"/>
          <w:szCs w:val="32"/>
        </w:rPr>
        <w:t>並</w:t>
      </w:r>
      <w:r w:rsidR="004F562D" w:rsidRPr="00FD1DD5">
        <w:rPr>
          <w:rFonts w:hAnsi="標楷體"/>
          <w:szCs w:val="32"/>
        </w:rPr>
        <w:t>提升地方環境品質，乃依都市計畫法第24條有關申請變更細部計畫之規定，於99年4月12日向臺北市政府函送</w:t>
      </w:r>
      <w:r w:rsidR="004F562D" w:rsidRPr="00FD1DD5">
        <w:rPr>
          <w:rFonts w:hAnsi="標楷體"/>
          <w:color w:val="000000"/>
          <w:szCs w:val="32"/>
        </w:rPr>
        <w:t>「修訂臺北市松山區西松段</w:t>
      </w:r>
      <w:r w:rsidR="002E51C8" w:rsidRPr="00FD1DD5">
        <w:rPr>
          <w:rFonts w:hAnsi="標楷體" w:hint="eastAsia"/>
          <w:color w:val="000000"/>
          <w:szCs w:val="32"/>
        </w:rPr>
        <w:t>3</w:t>
      </w:r>
      <w:r w:rsidR="004F562D" w:rsidRPr="00FD1DD5">
        <w:rPr>
          <w:rFonts w:hAnsi="標楷體"/>
          <w:color w:val="000000"/>
          <w:szCs w:val="32"/>
        </w:rPr>
        <w:t>小段156地號第</w:t>
      </w:r>
      <w:r w:rsidR="002E51C8" w:rsidRPr="00FD1DD5">
        <w:rPr>
          <w:rFonts w:hAnsi="標楷體" w:hint="eastAsia"/>
          <w:color w:val="000000"/>
          <w:szCs w:val="32"/>
        </w:rPr>
        <w:t>3</w:t>
      </w:r>
      <w:r w:rsidR="004F562D" w:rsidRPr="00FD1DD5">
        <w:rPr>
          <w:rFonts w:hAnsi="標楷體"/>
          <w:color w:val="000000"/>
          <w:szCs w:val="32"/>
        </w:rPr>
        <w:t>種商業區</w:t>
      </w:r>
      <w:r w:rsidR="002E51C8" w:rsidRPr="00FD1DD5">
        <w:rPr>
          <w:rFonts w:hAnsi="標楷體"/>
          <w:color w:val="000000"/>
          <w:szCs w:val="32"/>
        </w:rPr>
        <w:t>（原京華城）</w:t>
      </w:r>
      <w:r w:rsidR="004F562D" w:rsidRPr="00FD1DD5">
        <w:rPr>
          <w:rFonts w:hAnsi="標楷體"/>
          <w:color w:val="000000"/>
          <w:szCs w:val="32"/>
        </w:rPr>
        <w:t>土地使用分區管制規定暨都市設計管制準則計畫案」計畫書，主張</w:t>
      </w:r>
      <w:r w:rsidR="004F562D" w:rsidRPr="00FD1DD5">
        <w:rPr>
          <w:rFonts w:hAnsi="標楷體"/>
          <w:szCs w:val="32"/>
        </w:rPr>
        <w:t>京華城基地基準容積率應依前揭80年都市計畫說明書所載，按第</w:t>
      </w:r>
      <w:r w:rsidR="002E51C8" w:rsidRPr="00FD1DD5">
        <w:rPr>
          <w:rFonts w:hAnsi="標楷體" w:hint="eastAsia"/>
          <w:szCs w:val="32"/>
        </w:rPr>
        <w:t>3</w:t>
      </w:r>
      <w:r w:rsidR="004F562D" w:rsidRPr="00FD1DD5">
        <w:rPr>
          <w:rFonts w:hAnsi="標楷體"/>
          <w:szCs w:val="32"/>
        </w:rPr>
        <w:t>種商業區之560％認定，其理由略以：前揭都市計畫書所載</w:t>
      </w:r>
      <w:r w:rsidR="002E51C8" w:rsidRPr="00FD1DD5">
        <w:rPr>
          <w:rFonts w:hAnsi="標楷體"/>
          <w:szCs w:val="32"/>
        </w:rPr>
        <w:t>「京華再開發計畫案不同使用強度建築面積比較表」</w:t>
      </w:r>
      <w:r w:rsidR="004F562D" w:rsidRPr="00FD1DD5">
        <w:rPr>
          <w:rFonts w:hAnsi="標楷體"/>
          <w:szCs w:val="32"/>
        </w:rPr>
        <w:t>之第</w:t>
      </w:r>
      <w:r w:rsidR="002E51C8" w:rsidRPr="00FD1DD5">
        <w:rPr>
          <w:rFonts w:hAnsi="標楷體" w:hint="eastAsia"/>
          <w:szCs w:val="32"/>
        </w:rPr>
        <w:t>6</w:t>
      </w:r>
      <w:r w:rsidR="004F562D" w:rsidRPr="00FD1DD5">
        <w:rPr>
          <w:rFonts w:hAnsi="標楷體"/>
          <w:szCs w:val="32"/>
        </w:rPr>
        <w:t>案計算方式，明確將本案街廓於捐地30％後所餘70％土地之容積率設定為560％；所載「392％(70％×560％)」應係指</w:t>
      </w:r>
      <w:r w:rsidR="004F562D" w:rsidRPr="00FD1DD5">
        <w:rPr>
          <w:rFonts w:hAnsi="標楷體"/>
          <w:szCs w:val="32"/>
        </w:rPr>
        <w:lastRenderedPageBreak/>
        <w:t>捐地後所餘70％土地之可建容積樓地板面積均攤於捐地前之全街廓土地而得。</w:t>
      </w:r>
    </w:p>
    <w:p w:rsidR="004F562D" w:rsidRPr="00FD1DD5" w:rsidRDefault="004F562D" w:rsidP="00BB6776">
      <w:pPr>
        <w:pStyle w:val="3"/>
        <w:ind w:left="993"/>
        <w:rPr>
          <w:rFonts w:hAnsi="標楷體"/>
          <w:szCs w:val="32"/>
        </w:rPr>
      </w:pPr>
      <w:r w:rsidRPr="00FD1DD5">
        <w:rPr>
          <w:rFonts w:hAnsi="標楷體"/>
          <w:szCs w:val="32"/>
        </w:rPr>
        <w:t>案經臺北市政府都市發展局認定捐地30％後之本案京華城基地基準容積率應為392％，並</w:t>
      </w:r>
      <w:r w:rsidR="009F45E4">
        <w:rPr>
          <w:rFonts w:hAnsi="標楷體" w:hint="eastAsia"/>
          <w:szCs w:val="32"/>
        </w:rPr>
        <w:t>數</w:t>
      </w:r>
      <w:r w:rsidRPr="00FD1DD5">
        <w:rPr>
          <w:rFonts w:hAnsi="標楷體"/>
          <w:szCs w:val="32"/>
        </w:rPr>
        <w:t>度退請京華城公司依上開認定修正計畫書。詢據臺北市政府及所屬都市發展局相關人員說明理由如下：1.本案於上開都市計畫說明書已明確載明：「容積率依整個基地面積計算為392％」；2.「京華再開發計畫案不同使用強度建築面積比較表」表係就不同強度使用的建築面積，可能發生之各種情形進行比較，作為都市計畫委員會審議參考，其容積率之決定已為都市計畫書之主文所載；3.本案由工業區變更為商業區因容積提高，所增加價值、利益部分應回饋社會，依當時該市研訂</w:t>
      </w:r>
      <w:r w:rsidR="00890063" w:rsidRPr="00FD1DD5">
        <w:rPr>
          <w:rFonts w:hAnsi="標楷體" w:hint="eastAsia"/>
          <w:szCs w:val="32"/>
        </w:rPr>
        <w:t>中</w:t>
      </w:r>
      <w:r w:rsidRPr="00FD1DD5">
        <w:rPr>
          <w:rFonts w:hAnsi="標楷體"/>
          <w:szCs w:val="32"/>
        </w:rPr>
        <w:t>之</w:t>
      </w:r>
      <w:r w:rsidR="00890063" w:rsidRPr="00FD1DD5">
        <w:rPr>
          <w:rFonts w:hAnsi="標楷體" w:hint="eastAsia"/>
          <w:szCs w:val="32"/>
        </w:rPr>
        <w:t>相關規定</w:t>
      </w:r>
      <w:r w:rsidRPr="00FD1DD5">
        <w:rPr>
          <w:rFonts w:hAnsi="標楷體"/>
          <w:szCs w:val="32"/>
        </w:rPr>
        <w:t>，工業區變更為住宅區應提供30％公共設施用地，住宅區變更為商業區應提供20％土地，故由工業區變更為商業區應</w:t>
      </w:r>
      <w:r w:rsidR="00890063" w:rsidRPr="00FD1DD5">
        <w:rPr>
          <w:rFonts w:hAnsi="標楷體" w:hint="eastAsia"/>
          <w:szCs w:val="32"/>
        </w:rPr>
        <w:t>理應</w:t>
      </w:r>
      <w:r w:rsidRPr="00FD1DD5">
        <w:rPr>
          <w:rFonts w:hAnsi="標楷體"/>
          <w:szCs w:val="32"/>
        </w:rPr>
        <w:t>提供44％土地作公共設施使用</w:t>
      </w:r>
      <w:r w:rsidR="00AD242A" w:rsidRPr="00FD1DD5">
        <w:rPr>
          <w:rFonts w:hAnsi="標楷體" w:hint="eastAsia"/>
          <w:szCs w:val="32"/>
        </w:rPr>
        <w:t>;4.</w:t>
      </w:r>
      <w:r w:rsidR="00AD242A" w:rsidRPr="00FD1DD5">
        <w:rPr>
          <w:rFonts w:hAnsi="標楷體"/>
        </w:rPr>
        <w:t>另因當時社會氛圍，作商業使用較有價值，本案給予最高價值6項商業使用，綜合考量其對價關係，規範本案應捐地30％規劃設計為公園、廣場之用，並應增建捐地後土地20％之樓地板面積，做為停車空間，開放供公眾使用</w:t>
      </w:r>
      <w:r w:rsidR="00AD242A" w:rsidRPr="00FD1DD5">
        <w:rPr>
          <w:rFonts w:hAnsi="標楷體" w:hint="eastAsia"/>
        </w:rPr>
        <w:t>，</w:t>
      </w:r>
      <w:r w:rsidR="00AD242A" w:rsidRPr="00FD1DD5">
        <w:rPr>
          <w:rFonts w:hAnsi="標楷體"/>
        </w:rPr>
        <w:t>故將商三容積率560％予以折減</w:t>
      </w:r>
      <w:r w:rsidRPr="00FD1DD5">
        <w:rPr>
          <w:rFonts w:hAnsi="標楷體"/>
          <w:szCs w:val="32"/>
        </w:rPr>
        <w:t>。</w:t>
      </w:r>
    </w:p>
    <w:p w:rsidR="00B3782C" w:rsidRPr="000F03F6" w:rsidRDefault="000863E0" w:rsidP="00BB6776">
      <w:pPr>
        <w:pStyle w:val="3"/>
        <w:ind w:left="993"/>
        <w:rPr>
          <w:rFonts w:hAnsi="標楷體"/>
          <w:spacing w:val="-2"/>
          <w:szCs w:val="32"/>
        </w:rPr>
      </w:pPr>
      <w:r w:rsidRPr="000F03F6">
        <w:rPr>
          <w:rFonts w:hAnsi="標楷體"/>
          <w:spacing w:val="-2"/>
          <w:szCs w:val="32"/>
        </w:rPr>
        <w:t>有關</w:t>
      </w:r>
      <w:r w:rsidR="004261FD" w:rsidRPr="000F03F6">
        <w:rPr>
          <w:rFonts w:hAnsi="標楷體"/>
          <w:spacing w:val="-2"/>
          <w:szCs w:val="32"/>
        </w:rPr>
        <w:t>本案80年公告發布實施都市計畫說明書對容積率之</w:t>
      </w:r>
      <w:r w:rsidRPr="000F03F6">
        <w:rPr>
          <w:rFonts w:hAnsi="標楷體"/>
          <w:spacing w:val="-2"/>
          <w:szCs w:val="32"/>
        </w:rPr>
        <w:t>規定究為何</w:t>
      </w:r>
      <w:r w:rsidR="00890063" w:rsidRPr="000F03F6">
        <w:rPr>
          <w:rFonts w:hAnsi="標楷體" w:hint="eastAsia"/>
          <w:spacing w:val="-2"/>
          <w:szCs w:val="32"/>
        </w:rPr>
        <w:t>？</w:t>
      </w:r>
      <w:r w:rsidR="00833FBE" w:rsidRPr="000F03F6">
        <w:rPr>
          <w:rFonts w:hAnsi="標楷體"/>
          <w:spacing w:val="-2"/>
          <w:szCs w:val="32"/>
        </w:rPr>
        <w:t>經</w:t>
      </w:r>
      <w:r w:rsidR="0057050A" w:rsidRPr="000F03F6">
        <w:rPr>
          <w:rFonts w:hAnsi="標楷體"/>
          <w:spacing w:val="-2"/>
          <w:szCs w:val="32"/>
        </w:rPr>
        <w:t>本院</w:t>
      </w:r>
      <w:r w:rsidR="00833FBE" w:rsidRPr="000F03F6">
        <w:rPr>
          <w:rFonts w:hAnsi="標楷體"/>
          <w:spacing w:val="-2"/>
          <w:szCs w:val="32"/>
        </w:rPr>
        <w:t>檢視</w:t>
      </w:r>
      <w:r w:rsidR="0057050A" w:rsidRPr="000F03F6">
        <w:rPr>
          <w:rFonts w:hAnsi="標楷體"/>
          <w:spacing w:val="-2"/>
          <w:szCs w:val="32"/>
        </w:rPr>
        <w:t>前揭</w:t>
      </w:r>
      <w:r w:rsidR="004261FD" w:rsidRPr="000F03F6">
        <w:rPr>
          <w:rFonts w:hAnsi="標楷體"/>
          <w:spacing w:val="-2"/>
          <w:szCs w:val="32"/>
        </w:rPr>
        <w:t>「京華再開發計畫案不同使用強度建築面積比較表」，並諮詢專家學者意見，</w:t>
      </w:r>
      <w:r w:rsidRPr="000F03F6">
        <w:rPr>
          <w:rFonts w:hAnsi="標楷體"/>
          <w:spacing w:val="-2"/>
          <w:szCs w:val="32"/>
        </w:rPr>
        <w:t>研判</w:t>
      </w:r>
      <w:r w:rsidR="00713FBA" w:rsidRPr="000F03F6">
        <w:rPr>
          <w:rFonts w:hAnsi="標楷體"/>
          <w:spacing w:val="-2"/>
          <w:szCs w:val="32"/>
        </w:rPr>
        <w:t>上開比較表</w:t>
      </w:r>
      <w:r w:rsidR="00236A89" w:rsidRPr="000F03F6">
        <w:rPr>
          <w:rFonts w:hAnsi="標楷體"/>
          <w:spacing w:val="-2"/>
          <w:szCs w:val="32"/>
        </w:rPr>
        <w:t>第6</w:t>
      </w:r>
      <w:r w:rsidR="004C6341" w:rsidRPr="000F03F6">
        <w:rPr>
          <w:rFonts w:hAnsi="標楷體"/>
          <w:spacing w:val="-2"/>
          <w:szCs w:val="32"/>
        </w:rPr>
        <w:t>案</w:t>
      </w:r>
      <w:r w:rsidRPr="000F03F6">
        <w:rPr>
          <w:rFonts w:hAnsi="標楷體"/>
          <w:spacing w:val="-2"/>
          <w:szCs w:val="32"/>
        </w:rPr>
        <w:t>當</w:t>
      </w:r>
      <w:r w:rsidR="00236A89" w:rsidRPr="000F03F6">
        <w:rPr>
          <w:rFonts w:hAnsi="標楷體"/>
          <w:spacing w:val="-2"/>
          <w:szCs w:val="32"/>
        </w:rPr>
        <w:t>係</w:t>
      </w:r>
      <w:r w:rsidR="00890063" w:rsidRPr="000F03F6">
        <w:rPr>
          <w:rFonts w:hAnsi="標楷體" w:hint="eastAsia"/>
          <w:spacing w:val="-2"/>
          <w:szCs w:val="32"/>
        </w:rPr>
        <w:t>將</w:t>
      </w:r>
      <w:r w:rsidR="00CD2E96" w:rsidRPr="000F03F6">
        <w:rPr>
          <w:rFonts w:hAnsi="標楷體"/>
          <w:spacing w:val="-2"/>
          <w:szCs w:val="32"/>
        </w:rPr>
        <w:t>全部</w:t>
      </w:r>
      <w:r w:rsidR="00CA4669" w:rsidRPr="000F03F6">
        <w:rPr>
          <w:rFonts w:hAnsi="標楷體"/>
          <w:spacing w:val="-2"/>
          <w:szCs w:val="32"/>
        </w:rPr>
        <w:t>變更範圍</w:t>
      </w:r>
      <w:r w:rsidR="00CD2E96" w:rsidRPr="000F03F6">
        <w:rPr>
          <w:rFonts w:hAnsi="標楷體"/>
          <w:spacing w:val="-2"/>
          <w:szCs w:val="32"/>
        </w:rPr>
        <w:t>（即全街廓）</w:t>
      </w:r>
      <w:r w:rsidR="00890063" w:rsidRPr="000F03F6">
        <w:rPr>
          <w:rFonts w:hAnsi="標楷體" w:hint="eastAsia"/>
          <w:spacing w:val="-2"/>
          <w:szCs w:val="32"/>
        </w:rPr>
        <w:t>扣除</w:t>
      </w:r>
      <w:r w:rsidR="004C6341" w:rsidRPr="000F03F6">
        <w:rPr>
          <w:rFonts w:hAnsi="標楷體"/>
          <w:spacing w:val="-2"/>
          <w:szCs w:val="32"/>
        </w:rPr>
        <w:t>捐地30％後所餘</w:t>
      </w:r>
      <w:r w:rsidR="00CA4669" w:rsidRPr="000F03F6">
        <w:rPr>
          <w:rFonts w:hAnsi="標楷體"/>
          <w:spacing w:val="-2"/>
          <w:szCs w:val="32"/>
        </w:rPr>
        <w:t>之</w:t>
      </w:r>
      <w:r w:rsidR="004C6341" w:rsidRPr="000F03F6">
        <w:rPr>
          <w:rFonts w:hAnsi="標楷體"/>
          <w:spacing w:val="-2"/>
          <w:szCs w:val="32"/>
        </w:rPr>
        <w:t>70％</w:t>
      </w:r>
      <w:r w:rsidR="00CD2E96" w:rsidRPr="000F03F6">
        <w:rPr>
          <w:rFonts w:hAnsi="標楷體"/>
          <w:spacing w:val="-2"/>
          <w:szCs w:val="32"/>
        </w:rPr>
        <w:t>土</w:t>
      </w:r>
      <w:r w:rsidR="0089436B" w:rsidRPr="000F03F6">
        <w:rPr>
          <w:rFonts w:hAnsi="標楷體"/>
          <w:spacing w:val="-2"/>
          <w:szCs w:val="32"/>
        </w:rPr>
        <w:t>地</w:t>
      </w:r>
      <w:r w:rsidR="00890063" w:rsidRPr="000F03F6">
        <w:rPr>
          <w:rFonts w:hAnsi="標楷體" w:hint="eastAsia"/>
          <w:spacing w:val="-2"/>
          <w:szCs w:val="32"/>
        </w:rPr>
        <w:t>，按</w:t>
      </w:r>
      <w:r w:rsidR="0089436B" w:rsidRPr="000F03F6">
        <w:rPr>
          <w:rFonts w:hAnsi="標楷體"/>
          <w:spacing w:val="-2"/>
          <w:szCs w:val="32"/>
        </w:rPr>
        <w:t>第3種商業區之上限</w:t>
      </w:r>
      <w:r w:rsidR="004C6341" w:rsidRPr="000F03F6">
        <w:rPr>
          <w:rFonts w:hAnsi="標楷體"/>
          <w:spacing w:val="-2"/>
          <w:szCs w:val="32"/>
        </w:rPr>
        <w:t>容積率560％</w:t>
      </w:r>
      <w:r w:rsidR="00890063" w:rsidRPr="000F03F6">
        <w:rPr>
          <w:rFonts w:hAnsi="標楷體" w:hint="eastAsia"/>
          <w:spacing w:val="-2"/>
          <w:szCs w:val="32"/>
        </w:rPr>
        <w:t>推算</w:t>
      </w:r>
      <w:r w:rsidR="004C6341" w:rsidRPr="000F03F6">
        <w:rPr>
          <w:rFonts w:hAnsi="標楷體"/>
          <w:spacing w:val="-2"/>
          <w:szCs w:val="32"/>
        </w:rPr>
        <w:t>，</w:t>
      </w:r>
      <w:r w:rsidRPr="000F03F6">
        <w:rPr>
          <w:rFonts w:hAnsi="標楷體"/>
          <w:spacing w:val="-2"/>
          <w:szCs w:val="32"/>
        </w:rPr>
        <w:t>據以</w:t>
      </w:r>
      <w:r w:rsidR="00890063" w:rsidRPr="000F03F6">
        <w:rPr>
          <w:rFonts w:hAnsi="標楷體" w:hint="eastAsia"/>
          <w:spacing w:val="-2"/>
          <w:szCs w:val="32"/>
        </w:rPr>
        <w:t>設定</w:t>
      </w:r>
      <w:r w:rsidR="004C6341" w:rsidRPr="000F03F6">
        <w:rPr>
          <w:rFonts w:hAnsi="標楷體"/>
          <w:spacing w:val="-2"/>
          <w:szCs w:val="32"/>
        </w:rPr>
        <w:t>全部變更範圍之可發展強度即（粗）容積率392％，</w:t>
      </w:r>
      <w:r w:rsidR="00CA4669" w:rsidRPr="000F03F6">
        <w:rPr>
          <w:rFonts w:hAnsi="標楷體"/>
          <w:spacing w:val="-2"/>
          <w:szCs w:val="32"/>
        </w:rPr>
        <w:t>故都市計畫說明書載明〔即容積率依整個基地面積計算為392％(70％×560％)〕，係就捐地前之</w:t>
      </w:r>
      <w:r w:rsidR="00CD2E96" w:rsidRPr="000F03F6">
        <w:rPr>
          <w:rFonts w:hAnsi="標楷體"/>
          <w:spacing w:val="-2"/>
          <w:szCs w:val="32"/>
        </w:rPr>
        <w:t>全部</w:t>
      </w:r>
      <w:r w:rsidR="00CA4669" w:rsidRPr="000F03F6">
        <w:rPr>
          <w:rFonts w:hAnsi="標楷體"/>
          <w:spacing w:val="-2"/>
          <w:szCs w:val="32"/>
        </w:rPr>
        <w:t>變更範圍而言。</w:t>
      </w:r>
      <w:r w:rsidRPr="000F03F6">
        <w:rPr>
          <w:rFonts w:hAnsi="標楷體"/>
          <w:spacing w:val="-2"/>
          <w:szCs w:val="32"/>
        </w:rPr>
        <w:t>惟</w:t>
      </w:r>
      <w:r w:rsidR="00CA4669" w:rsidRPr="000F03F6">
        <w:rPr>
          <w:rFonts w:hAnsi="標楷體"/>
          <w:spacing w:val="-2"/>
          <w:szCs w:val="32"/>
        </w:rPr>
        <w:t>查</w:t>
      </w:r>
      <w:r w:rsidR="00CA4669" w:rsidRPr="000F03F6">
        <w:rPr>
          <w:rFonts w:hAnsi="標楷體"/>
          <w:spacing w:val="-2"/>
          <w:szCs w:val="32"/>
        </w:rPr>
        <w:lastRenderedPageBreak/>
        <w:t>本案京華城所坐落街廓於80年間由都市計畫第3種工業區變更為第3種商業區，乃係基於開發許可及土地變更回饋之精神，以附帶捐地、限定容許使用項目、大街廓整體開發及保障可建</w:t>
      </w:r>
      <w:r w:rsidR="00932542" w:rsidRPr="000F03F6">
        <w:rPr>
          <w:rFonts w:hAnsi="標楷體"/>
          <w:spacing w:val="-2"/>
          <w:szCs w:val="32"/>
        </w:rPr>
        <w:t>築樓地板面積等條件所為</w:t>
      </w:r>
      <w:r w:rsidR="00492604" w:rsidRPr="000F03F6">
        <w:rPr>
          <w:rFonts w:hAnsi="標楷體"/>
          <w:spacing w:val="-2"/>
          <w:szCs w:val="32"/>
        </w:rPr>
        <w:t>（因都市計畫書另</w:t>
      </w:r>
      <w:r w:rsidR="00B6336E" w:rsidRPr="000F03F6">
        <w:rPr>
          <w:rFonts w:hAnsi="標楷體"/>
          <w:spacing w:val="-2"/>
          <w:szCs w:val="32"/>
        </w:rPr>
        <w:t>定</w:t>
      </w:r>
      <w:r w:rsidR="00492604" w:rsidRPr="000F03F6">
        <w:rPr>
          <w:rFonts w:hAnsi="標楷體"/>
          <w:spacing w:val="-2"/>
          <w:szCs w:val="32"/>
        </w:rPr>
        <w:t>有</w:t>
      </w:r>
      <w:r w:rsidR="00890063" w:rsidRPr="000F03F6">
        <w:rPr>
          <w:rFonts w:hAnsi="標楷體" w:hint="eastAsia"/>
          <w:spacing w:val="-2"/>
          <w:szCs w:val="32"/>
        </w:rPr>
        <w:t>當時</w:t>
      </w:r>
      <w:r w:rsidR="00492604" w:rsidRPr="000F03F6">
        <w:rPr>
          <w:rFonts w:hAnsi="標楷體"/>
          <w:spacing w:val="-2"/>
          <w:szCs w:val="32"/>
        </w:rPr>
        <w:t>臺北市土地使用分區管制</w:t>
      </w:r>
      <w:r w:rsidR="00890063" w:rsidRPr="000F03F6">
        <w:rPr>
          <w:rFonts w:hAnsi="標楷體" w:hint="eastAsia"/>
          <w:spacing w:val="-2"/>
          <w:szCs w:val="32"/>
        </w:rPr>
        <w:t>規則</w:t>
      </w:r>
      <w:r w:rsidR="00580689" w:rsidRPr="000F03F6">
        <w:rPr>
          <w:rFonts w:hAnsi="標楷體"/>
          <w:spacing w:val="-2"/>
          <w:szCs w:val="32"/>
        </w:rPr>
        <w:t>所規定</w:t>
      </w:r>
      <w:r w:rsidR="00B6336E" w:rsidRPr="000F03F6">
        <w:rPr>
          <w:rFonts w:hAnsi="標楷體"/>
          <w:spacing w:val="-2"/>
          <w:szCs w:val="32"/>
        </w:rPr>
        <w:t>以外</w:t>
      </w:r>
      <w:r w:rsidR="00580689" w:rsidRPr="000F03F6">
        <w:rPr>
          <w:rFonts w:hAnsi="標楷體"/>
          <w:spacing w:val="-2"/>
          <w:szCs w:val="32"/>
        </w:rPr>
        <w:t>之其他</w:t>
      </w:r>
      <w:r w:rsidR="00B6336E" w:rsidRPr="000F03F6">
        <w:rPr>
          <w:rFonts w:hAnsi="標楷體"/>
          <w:spacing w:val="-2"/>
          <w:szCs w:val="32"/>
        </w:rPr>
        <w:t>特別</w:t>
      </w:r>
      <w:r w:rsidR="00580689" w:rsidRPr="000F03F6">
        <w:rPr>
          <w:rFonts w:hAnsi="標楷體"/>
          <w:spacing w:val="-2"/>
          <w:szCs w:val="32"/>
        </w:rPr>
        <w:t>管制事項，故都市計畫實務</w:t>
      </w:r>
      <w:r w:rsidR="00890063" w:rsidRPr="000F03F6">
        <w:rPr>
          <w:rFonts w:hAnsi="標楷體" w:hint="eastAsia"/>
          <w:spacing w:val="-2"/>
          <w:szCs w:val="32"/>
        </w:rPr>
        <w:t>通</w:t>
      </w:r>
      <w:r w:rsidR="00580689" w:rsidRPr="000F03F6">
        <w:rPr>
          <w:rFonts w:hAnsi="標楷體"/>
          <w:spacing w:val="-2"/>
          <w:szCs w:val="32"/>
        </w:rPr>
        <w:t>稱為「商3特」</w:t>
      </w:r>
      <w:r w:rsidR="00B6336E" w:rsidRPr="000F03F6">
        <w:rPr>
          <w:rFonts w:hAnsi="標楷體"/>
          <w:spacing w:val="-2"/>
          <w:szCs w:val="32"/>
        </w:rPr>
        <w:t>，以有別於</w:t>
      </w:r>
      <w:r w:rsidR="00265809" w:rsidRPr="000F03F6">
        <w:rPr>
          <w:rFonts w:hAnsi="標楷體"/>
          <w:spacing w:val="-2"/>
          <w:szCs w:val="32"/>
        </w:rPr>
        <w:t>一般第3種商業區</w:t>
      </w:r>
      <w:r w:rsidR="00580689" w:rsidRPr="000F03F6">
        <w:rPr>
          <w:rFonts w:hAnsi="標楷體"/>
          <w:spacing w:val="-2"/>
          <w:szCs w:val="32"/>
        </w:rPr>
        <w:t>）</w:t>
      </w:r>
      <w:r w:rsidR="00932542" w:rsidRPr="000F03F6">
        <w:rPr>
          <w:rFonts w:hAnsi="標楷體"/>
          <w:spacing w:val="-2"/>
          <w:szCs w:val="32"/>
        </w:rPr>
        <w:t>，</w:t>
      </w:r>
      <w:r w:rsidR="00387D0E" w:rsidRPr="000F03F6">
        <w:rPr>
          <w:rFonts w:hAnsi="標楷體"/>
          <w:spacing w:val="-2"/>
          <w:szCs w:val="32"/>
        </w:rPr>
        <w:t>其變更後之開發使用強度與該等條件具不可分性</w:t>
      </w:r>
      <w:r w:rsidR="002B16F7" w:rsidRPr="000F03F6">
        <w:rPr>
          <w:rFonts w:hAnsi="標楷體"/>
          <w:spacing w:val="-2"/>
          <w:szCs w:val="32"/>
        </w:rPr>
        <w:t>，</w:t>
      </w:r>
      <w:r w:rsidR="00276D71" w:rsidRPr="000F03F6">
        <w:rPr>
          <w:rFonts w:hAnsi="標楷體"/>
          <w:spacing w:val="-2"/>
          <w:szCs w:val="32"/>
        </w:rPr>
        <w:t>況</w:t>
      </w:r>
      <w:r w:rsidR="00DF1B92" w:rsidRPr="000F03F6">
        <w:rPr>
          <w:rFonts w:hAnsi="標楷體"/>
          <w:spacing w:val="-2"/>
          <w:szCs w:val="32"/>
        </w:rPr>
        <w:t>京華城</w:t>
      </w:r>
      <w:r w:rsidR="00276D71" w:rsidRPr="000F03F6">
        <w:rPr>
          <w:rFonts w:hAnsi="標楷體"/>
          <w:spacing w:val="-2"/>
          <w:szCs w:val="32"/>
        </w:rPr>
        <w:t>業已參照上開都市計畫書所保障之樓地板面積建築使用（容積率達678.91％），從而</w:t>
      </w:r>
      <w:r w:rsidR="00580689" w:rsidRPr="000F03F6">
        <w:rPr>
          <w:rFonts w:hAnsi="標楷體"/>
          <w:spacing w:val="-2"/>
          <w:szCs w:val="32"/>
        </w:rPr>
        <w:t>目前</w:t>
      </w:r>
      <w:r w:rsidR="00276D71" w:rsidRPr="000F03F6">
        <w:rPr>
          <w:rFonts w:hAnsi="標楷體"/>
          <w:spacing w:val="-2"/>
          <w:szCs w:val="32"/>
        </w:rPr>
        <w:t>單獨認定京華城基地之基準容積率，當無實益</w:t>
      </w:r>
      <w:r w:rsidR="00600C51" w:rsidRPr="000F03F6">
        <w:rPr>
          <w:rFonts w:hAnsi="標楷體" w:hint="eastAsia"/>
          <w:spacing w:val="-2"/>
          <w:szCs w:val="32"/>
        </w:rPr>
        <w:t>，亦與上開都市計畫變更案之變更意旨未符</w:t>
      </w:r>
      <w:r w:rsidR="00580689" w:rsidRPr="000F03F6">
        <w:rPr>
          <w:rFonts w:hAnsi="標楷體"/>
          <w:spacing w:val="-2"/>
          <w:szCs w:val="32"/>
        </w:rPr>
        <w:t>。至京華城公司如欲變更京華城基地之發展強度，自應與上開要件及周邊整體環境容受力與都市機能</w:t>
      </w:r>
      <w:r w:rsidR="0089436B" w:rsidRPr="000F03F6">
        <w:rPr>
          <w:rFonts w:hAnsi="標楷體"/>
          <w:spacing w:val="-2"/>
          <w:szCs w:val="32"/>
        </w:rPr>
        <w:t>等</w:t>
      </w:r>
      <w:r w:rsidR="00580689" w:rsidRPr="000F03F6">
        <w:rPr>
          <w:rFonts w:hAnsi="標楷體"/>
          <w:spacing w:val="-2"/>
          <w:szCs w:val="32"/>
        </w:rPr>
        <w:t>一併檢討整體考量，並循都市計畫變更程序辦理，不宜</w:t>
      </w:r>
      <w:r w:rsidR="0089436B" w:rsidRPr="000F03F6">
        <w:rPr>
          <w:rFonts w:hAnsi="標楷體"/>
          <w:spacing w:val="-2"/>
          <w:szCs w:val="32"/>
        </w:rPr>
        <w:t>遽</w:t>
      </w:r>
      <w:r w:rsidR="00580689" w:rsidRPr="000F03F6">
        <w:rPr>
          <w:rFonts w:hAnsi="標楷體"/>
          <w:spacing w:val="-2"/>
          <w:szCs w:val="32"/>
        </w:rPr>
        <w:t>為割裂之處理。</w:t>
      </w:r>
    </w:p>
    <w:p w:rsidR="00FD1DD5" w:rsidRPr="00FD1DD5" w:rsidRDefault="00FD1DD5" w:rsidP="00BB6776">
      <w:pPr>
        <w:pStyle w:val="2"/>
        <w:snapToGrid w:val="0"/>
        <w:ind w:left="709" w:hanging="680"/>
        <w:rPr>
          <w:rFonts w:hAnsi="標楷體"/>
        </w:rPr>
      </w:pPr>
      <w:r w:rsidRPr="00FD1DD5">
        <w:rPr>
          <w:rFonts w:hAnsi="標楷體"/>
        </w:rPr>
        <w:t>臺北市政府都市發展局及</w:t>
      </w:r>
      <w:r w:rsidR="00A74110">
        <w:rPr>
          <w:rFonts w:hAnsi="標楷體" w:hint="eastAsia"/>
        </w:rPr>
        <w:t>臺北市</w:t>
      </w:r>
      <w:r w:rsidRPr="00FD1DD5">
        <w:rPr>
          <w:rFonts w:hAnsi="標楷體"/>
        </w:rPr>
        <w:t>都委會</w:t>
      </w:r>
      <w:r w:rsidRPr="00FD1DD5">
        <w:rPr>
          <w:rFonts w:hAnsi="標楷體" w:hint="eastAsia"/>
        </w:rPr>
        <w:t>未能本於</w:t>
      </w:r>
      <w:r w:rsidRPr="00FD1DD5">
        <w:rPr>
          <w:rFonts w:hAnsi="標楷體"/>
        </w:rPr>
        <w:t>權責</w:t>
      </w:r>
      <w:r w:rsidRPr="00FD1DD5">
        <w:rPr>
          <w:rFonts w:hAnsi="標楷體" w:hint="eastAsia"/>
        </w:rPr>
        <w:t>依程序處理</w:t>
      </w:r>
      <w:r w:rsidRPr="00FD1DD5">
        <w:rPr>
          <w:rFonts w:hAnsi="標楷體"/>
        </w:rPr>
        <w:t>京華城公司</w:t>
      </w:r>
      <w:r w:rsidRPr="00FD1DD5">
        <w:rPr>
          <w:rFonts w:hAnsi="標楷體" w:hint="eastAsia"/>
        </w:rPr>
        <w:t>所提</w:t>
      </w:r>
      <w:r w:rsidRPr="00FD1DD5">
        <w:rPr>
          <w:rFonts w:hAnsi="標楷體"/>
        </w:rPr>
        <w:t>京華城細部計畫</w:t>
      </w:r>
      <w:r w:rsidRPr="00FD1DD5">
        <w:rPr>
          <w:rFonts w:hAnsi="標楷體" w:hint="eastAsia"/>
        </w:rPr>
        <w:t>變更申請案，</w:t>
      </w:r>
      <w:r w:rsidRPr="00FD1DD5">
        <w:rPr>
          <w:rFonts w:hAnsi="標楷體"/>
        </w:rPr>
        <w:t>致該案</w:t>
      </w:r>
      <w:r w:rsidRPr="00FD1DD5">
        <w:rPr>
          <w:rFonts w:hAnsi="標楷體" w:hint="eastAsia"/>
        </w:rPr>
        <w:t>延宕</w:t>
      </w:r>
      <w:r w:rsidRPr="00FD1DD5">
        <w:rPr>
          <w:rFonts w:hAnsi="標楷體"/>
        </w:rPr>
        <w:t>迄今仍未</w:t>
      </w:r>
      <w:r w:rsidRPr="00FD1DD5">
        <w:rPr>
          <w:rFonts w:hAnsi="標楷體" w:hint="eastAsia"/>
        </w:rPr>
        <w:t>獲</w:t>
      </w:r>
      <w:r w:rsidRPr="00FD1DD5">
        <w:rPr>
          <w:rFonts w:hAnsi="標楷體"/>
        </w:rPr>
        <w:t>准駁之決定，實有未洽</w:t>
      </w:r>
      <w:r w:rsidRPr="00FD1DD5">
        <w:rPr>
          <w:rFonts w:hAnsi="標楷體" w:hint="eastAsia"/>
        </w:rPr>
        <w:t>；又</w:t>
      </w:r>
      <w:r w:rsidRPr="00FD1DD5">
        <w:rPr>
          <w:rFonts w:hAnsi="標楷體"/>
          <w:szCs w:val="32"/>
        </w:rPr>
        <w:t>臺北市政府</w:t>
      </w:r>
      <w:r w:rsidRPr="00FD1DD5">
        <w:rPr>
          <w:rFonts w:hAnsi="標楷體" w:hint="eastAsia"/>
          <w:szCs w:val="32"/>
        </w:rPr>
        <w:t>對本案</w:t>
      </w:r>
      <w:r w:rsidRPr="00FD1DD5">
        <w:rPr>
          <w:rFonts w:hAnsi="標楷體"/>
          <w:szCs w:val="32"/>
        </w:rPr>
        <w:t>之准駁決定乃至後續內政部之處理，</w:t>
      </w:r>
      <w:r w:rsidRPr="00FD1DD5">
        <w:rPr>
          <w:rFonts w:hAnsi="標楷體" w:hint="eastAsia"/>
          <w:szCs w:val="32"/>
        </w:rPr>
        <w:t>影響人民財產權利甚鉅，允宜</w:t>
      </w:r>
      <w:r w:rsidRPr="00FD1DD5">
        <w:rPr>
          <w:rFonts w:hAnsi="標楷體"/>
          <w:szCs w:val="32"/>
        </w:rPr>
        <w:t>審慎為之</w:t>
      </w:r>
      <w:r w:rsidRPr="00FD1DD5">
        <w:rPr>
          <w:rFonts w:hAnsi="標楷體" w:hint="eastAsia"/>
        </w:rPr>
        <w:t>。</w:t>
      </w:r>
    </w:p>
    <w:p w:rsidR="00FD1DD5" w:rsidRPr="00FD1DD5" w:rsidRDefault="00FD1DD5" w:rsidP="00BB6776">
      <w:pPr>
        <w:pStyle w:val="3"/>
        <w:ind w:left="993"/>
        <w:rPr>
          <w:rFonts w:hAnsi="標楷體"/>
          <w:szCs w:val="32"/>
        </w:rPr>
      </w:pPr>
      <w:r w:rsidRPr="00FD1DD5">
        <w:rPr>
          <w:rFonts w:hAnsi="標楷體"/>
          <w:szCs w:val="32"/>
        </w:rPr>
        <w:t>按</w:t>
      </w:r>
      <w:r w:rsidRPr="00FD1DD5">
        <w:rPr>
          <w:rFonts w:hAnsi="標楷體" w:hint="eastAsia"/>
          <w:szCs w:val="32"/>
        </w:rPr>
        <w:t>都市計畫法第18條規定：</w:t>
      </w:r>
      <w:r w:rsidRPr="00FD1DD5">
        <w:rPr>
          <w:rFonts w:hAnsi="標楷體"/>
          <w:szCs w:val="32"/>
        </w:rPr>
        <w:t>「主要計畫擬定後，應先送由該管政府或鄉、鎮、縣轄市都市計畫委員會審議。……」</w:t>
      </w:r>
      <w:r w:rsidRPr="00FD1DD5">
        <w:rPr>
          <w:rFonts w:hAnsi="標楷體" w:hint="eastAsia"/>
          <w:szCs w:val="32"/>
        </w:rPr>
        <w:t>、第19條規定：「主要計畫擬定後，送該管政府都市計畫委員會審議前，應於各該直轄市、縣（市）（局）政府及鄉、鎮、縣轄市公所公開展覽三十天及舉行說明會，並應將公開展覽及說明會之日期及地點登報周知；任何公民或團體得於公開展覽期間內，以書面載明姓名或名稱及地址，向該管政府提出意見，由該管政府都市計畫委員會予以參考審議，連同審議結果及主要計畫一併報請內政部核定之</w:t>
      </w:r>
      <w:r w:rsidRPr="00FD1DD5">
        <w:rPr>
          <w:rFonts w:hAnsi="標楷體"/>
          <w:szCs w:val="32"/>
        </w:rPr>
        <w:t>（第</w:t>
      </w:r>
      <w:r w:rsidRPr="00FD1DD5">
        <w:rPr>
          <w:rFonts w:hAnsi="標楷體" w:hint="eastAsia"/>
          <w:szCs w:val="32"/>
        </w:rPr>
        <w:t>1</w:t>
      </w:r>
      <w:r w:rsidRPr="00FD1DD5">
        <w:rPr>
          <w:rFonts w:hAnsi="標楷體"/>
          <w:szCs w:val="32"/>
        </w:rPr>
        <w:t>項）</w:t>
      </w:r>
      <w:r w:rsidRPr="00FD1DD5">
        <w:rPr>
          <w:rFonts w:hAnsi="標楷體" w:hint="eastAsia"/>
          <w:szCs w:val="32"/>
        </w:rPr>
        <w:t>。</w:t>
      </w:r>
      <w:r w:rsidRPr="00FD1DD5">
        <w:rPr>
          <w:rFonts w:hAnsi="標楷體" w:hint="eastAsia"/>
          <w:szCs w:val="32"/>
        </w:rPr>
        <w:lastRenderedPageBreak/>
        <w:t>前項之審議，各級都市計畫委員會應於六十天內完成。但情形特殊者，其審議期限得予延長，延長以六十天為限。</w:t>
      </w:r>
      <w:r w:rsidRPr="00FD1DD5">
        <w:rPr>
          <w:rFonts w:hAnsi="標楷體"/>
          <w:szCs w:val="32"/>
        </w:rPr>
        <w:t>（第</w:t>
      </w:r>
      <w:r w:rsidRPr="00FD1DD5">
        <w:rPr>
          <w:rFonts w:hAnsi="標楷體" w:hint="eastAsia"/>
          <w:szCs w:val="32"/>
        </w:rPr>
        <w:t>2</w:t>
      </w:r>
      <w:r w:rsidRPr="00FD1DD5">
        <w:rPr>
          <w:rFonts w:hAnsi="標楷體"/>
          <w:szCs w:val="32"/>
        </w:rPr>
        <w:t>項）</w:t>
      </w:r>
      <w:r w:rsidRPr="00FD1DD5">
        <w:rPr>
          <w:rFonts w:hAnsi="標楷體" w:hint="eastAsia"/>
          <w:szCs w:val="32"/>
        </w:rPr>
        <w:t>……」、第23條規定：</w:t>
      </w:r>
      <w:r w:rsidRPr="00FD1DD5">
        <w:rPr>
          <w:rFonts w:hAnsi="標楷體"/>
          <w:szCs w:val="32"/>
        </w:rPr>
        <w:t>「細部計畫擬定後，除依第14條規定由內政部訂定，及依第16條規定與主要計畫合併擬定者，由內政部核定實施外，其餘均由該管直轄市、縣（市）政府核定實施。（第1項）……細部計畫之擬定、審議、公開展覽及發布實施，應分別依第17條第1項、第18條、第19條及第21條規定辦理。（第4項）」</w:t>
      </w:r>
      <w:r w:rsidRPr="00FD1DD5">
        <w:rPr>
          <w:rFonts w:hAnsi="標楷體" w:hint="eastAsia"/>
          <w:szCs w:val="32"/>
        </w:rPr>
        <w:t>、第24條規定：</w:t>
      </w:r>
      <w:r w:rsidRPr="00FD1DD5">
        <w:rPr>
          <w:rFonts w:hAnsi="標楷體"/>
          <w:szCs w:val="32"/>
        </w:rPr>
        <w:t>「土地權利關係人為促進其土地利用，得配合當地分區發展計畫，自行擬定或變更細部計畫，並應附具事業及財務計畫，申請當地直轄市、縣（市）（局）政府或鄉、鎮、縣轄市公所依前條規定辦理。」</w:t>
      </w:r>
      <w:r w:rsidRPr="00FD1DD5">
        <w:rPr>
          <w:rFonts w:hAnsi="標楷體" w:hint="eastAsia"/>
          <w:szCs w:val="32"/>
        </w:rPr>
        <w:t>揆諸上開法律規定可知，細部計畫之擬定與變更，除由都市計畫主管機關</w:t>
      </w:r>
      <w:r w:rsidRPr="00FD1DD5">
        <w:rPr>
          <w:rFonts w:hAnsi="標楷體"/>
          <w:szCs w:val="32"/>
        </w:rPr>
        <w:t>依</w:t>
      </w:r>
      <w:r w:rsidRPr="00FD1DD5">
        <w:rPr>
          <w:rFonts w:hAnsi="標楷體" w:hint="eastAsia"/>
          <w:szCs w:val="32"/>
        </w:rPr>
        <w:t>都市計畫法</w:t>
      </w:r>
      <w:r w:rsidRPr="00FD1DD5">
        <w:rPr>
          <w:rFonts w:hAnsi="標楷體"/>
          <w:szCs w:val="32"/>
        </w:rPr>
        <w:t>第17條第1項</w:t>
      </w:r>
      <w:r w:rsidRPr="00FD1DD5">
        <w:rPr>
          <w:rFonts w:hAnsi="標楷體" w:hint="eastAsia"/>
          <w:szCs w:val="32"/>
        </w:rPr>
        <w:t>規定辦理外，亦得由</w:t>
      </w:r>
      <w:r w:rsidRPr="00FD1DD5">
        <w:rPr>
          <w:rFonts w:hAnsi="標楷體"/>
          <w:szCs w:val="32"/>
        </w:rPr>
        <w:t>土地權利關係人</w:t>
      </w:r>
      <w:r w:rsidRPr="00FD1DD5">
        <w:rPr>
          <w:rFonts w:hAnsi="標楷體" w:hint="eastAsia"/>
          <w:szCs w:val="32"/>
        </w:rPr>
        <w:t>依同法第24條規定提出申請，而其</w:t>
      </w:r>
      <w:r w:rsidRPr="00FD1DD5">
        <w:rPr>
          <w:rFonts w:hAnsi="標楷體"/>
          <w:szCs w:val="32"/>
        </w:rPr>
        <w:t>審議、公開展覽及發布實施</w:t>
      </w:r>
      <w:r w:rsidRPr="00FD1DD5">
        <w:rPr>
          <w:rFonts w:hAnsi="標楷體" w:hint="eastAsia"/>
          <w:szCs w:val="32"/>
        </w:rPr>
        <w:t>之程序</w:t>
      </w:r>
      <w:r w:rsidRPr="00FD1DD5">
        <w:rPr>
          <w:rFonts w:hAnsi="標楷體"/>
          <w:szCs w:val="32"/>
        </w:rPr>
        <w:t>，</w:t>
      </w:r>
      <w:r w:rsidRPr="00FD1DD5">
        <w:rPr>
          <w:rFonts w:hAnsi="標楷體" w:hint="eastAsia"/>
          <w:szCs w:val="32"/>
        </w:rPr>
        <w:t>均應依同法</w:t>
      </w:r>
      <w:r w:rsidRPr="00FD1DD5">
        <w:rPr>
          <w:rFonts w:hAnsi="標楷體"/>
          <w:szCs w:val="32"/>
        </w:rPr>
        <w:t>第18條、第19條及第21條規定辦理</w:t>
      </w:r>
      <w:r w:rsidRPr="00FD1DD5">
        <w:rPr>
          <w:rFonts w:hAnsi="標楷體" w:hint="eastAsia"/>
          <w:szCs w:val="32"/>
        </w:rPr>
        <w:t>。</w:t>
      </w:r>
    </w:p>
    <w:p w:rsidR="00FD1DD5" w:rsidRPr="00FD1DD5" w:rsidRDefault="00FD1DD5" w:rsidP="00BB6776">
      <w:pPr>
        <w:pStyle w:val="3"/>
        <w:ind w:left="993"/>
        <w:rPr>
          <w:rFonts w:hAnsi="標楷體"/>
          <w:szCs w:val="32"/>
        </w:rPr>
      </w:pPr>
      <w:r w:rsidRPr="00FD1DD5">
        <w:rPr>
          <w:rFonts w:hAnsi="標楷體" w:hint="eastAsia"/>
          <w:szCs w:val="32"/>
        </w:rPr>
        <w:t>又按都市計畫法第74條規定：「內政部、各級地方政府及鄉、鎮、縣轄市公所為審議及研究都市計畫，應分別設置都市計畫委員會辦理之。都市計畫委員會之組織，由行政院定之。」依行政院所定「</w:t>
      </w:r>
      <w:r w:rsidRPr="00FD1DD5">
        <w:rPr>
          <w:rFonts w:hAnsi="標楷體"/>
          <w:szCs w:val="32"/>
        </w:rPr>
        <w:t>各級都市計畫委員會組織規程</w:t>
      </w:r>
      <w:r w:rsidRPr="00FD1DD5">
        <w:rPr>
          <w:rFonts w:hAnsi="標楷體" w:hint="eastAsia"/>
          <w:szCs w:val="32"/>
        </w:rPr>
        <w:t>」</w:t>
      </w:r>
      <w:r w:rsidRPr="00FD1DD5">
        <w:rPr>
          <w:rFonts w:hAnsi="標楷體"/>
          <w:szCs w:val="32"/>
        </w:rPr>
        <w:t>第2條規定：「都市計畫委員會之職掌如左：一、關於都市計畫擬定變更之審議事項。……四、關於都市計畫申請或建議案件之審議事項。五、關於私人或團體投資辦理都市計畫事業之審議事項。……。九、其他有關都市計畫之交議及研究建議事項。」</w:t>
      </w:r>
      <w:r w:rsidRPr="00FD1DD5">
        <w:rPr>
          <w:rFonts w:hAnsi="標楷體" w:hint="eastAsia"/>
          <w:szCs w:val="32"/>
        </w:rPr>
        <w:t>故有關</w:t>
      </w:r>
      <w:r w:rsidRPr="00FD1DD5">
        <w:rPr>
          <w:rFonts w:hAnsi="標楷體"/>
          <w:szCs w:val="32"/>
        </w:rPr>
        <w:t>都市計畫擬定變更</w:t>
      </w:r>
      <w:r w:rsidRPr="00FD1DD5">
        <w:rPr>
          <w:rFonts w:hAnsi="標楷體" w:hint="eastAsia"/>
          <w:szCs w:val="32"/>
        </w:rPr>
        <w:t>、</w:t>
      </w:r>
      <w:r w:rsidRPr="00FD1DD5">
        <w:rPr>
          <w:rFonts w:hAnsi="標楷體"/>
          <w:szCs w:val="32"/>
        </w:rPr>
        <w:t>都市計畫申請或建議案件</w:t>
      </w:r>
      <w:r w:rsidRPr="00FD1DD5">
        <w:rPr>
          <w:rFonts w:hAnsi="標楷體" w:hint="eastAsia"/>
          <w:szCs w:val="32"/>
        </w:rPr>
        <w:t>之審議事項，均為都市計畫委員會</w:t>
      </w:r>
      <w:r w:rsidRPr="00FD1DD5">
        <w:rPr>
          <w:rFonts w:hAnsi="標楷體"/>
          <w:szCs w:val="32"/>
        </w:rPr>
        <w:t>之職掌</w:t>
      </w:r>
      <w:r w:rsidRPr="00FD1DD5">
        <w:rPr>
          <w:rFonts w:hAnsi="標楷體" w:hint="eastAsia"/>
          <w:szCs w:val="32"/>
        </w:rPr>
        <w:t>；復按內政部所定「都市計畫細部計畫審議原則」第2</w:t>
      </w:r>
      <w:r w:rsidRPr="00FD1DD5">
        <w:rPr>
          <w:rFonts w:hAnsi="標楷體" w:hint="eastAsia"/>
          <w:szCs w:val="32"/>
        </w:rPr>
        <w:lastRenderedPageBreak/>
        <w:t>點規定：「擬定、變更細部計畫之審議，除都市計畫相關法規及主要計畫另有規定外，應依本原則規定辦理。」、第10點規定：「細部計畫之土地使用分區管制，應依據地區特性，按各種土地使用分區類別，分別訂定其土地使用容許項目以及使用強度，並就其合理性與可行性予以審議之。」故都市計畫委員會就擬定、變更細部計畫之審議權限，</w:t>
      </w:r>
      <w:r w:rsidR="00047528">
        <w:rPr>
          <w:rFonts w:hAnsi="標楷體" w:hint="eastAsia"/>
          <w:szCs w:val="32"/>
        </w:rPr>
        <w:t>自</w:t>
      </w:r>
      <w:r w:rsidRPr="00FD1DD5">
        <w:rPr>
          <w:rFonts w:hAnsi="標楷體" w:hint="eastAsia"/>
          <w:szCs w:val="32"/>
        </w:rPr>
        <w:t>應包括土地使用容許項目以及使用強度之合理性與可行性在內，合先敘明。</w:t>
      </w:r>
    </w:p>
    <w:p w:rsidR="00FD1DD5" w:rsidRPr="00FD1DD5" w:rsidRDefault="00FD1DD5" w:rsidP="00BB6776">
      <w:pPr>
        <w:pStyle w:val="3"/>
        <w:ind w:left="993"/>
        <w:rPr>
          <w:rFonts w:hAnsi="標楷體"/>
          <w:szCs w:val="32"/>
        </w:rPr>
      </w:pPr>
      <w:r w:rsidRPr="00FD1DD5">
        <w:rPr>
          <w:rFonts w:hAnsi="標楷體"/>
          <w:szCs w:val="32"/>
        </w:rPr>
        <w:t>京華城公司為強化產業機能，促進土地合理利用</w:t>
      </w:r>
      <w:r w:rsidRPr="00FD1DD5">
        <w:rPr>
          <w:rFonts w:hAnsi="標楷體" w:hint="eastAsia"/>
          <w:szCs w:val="32"/>
        </w:rPr>
        <w:t>並</w:t>
      </w:r>
      <w:r w:rsidRPr="00FD1DD5">
        <w:rPr>
          <w:rFonts w:hAnsi="標楷體"/>
          <w:szCs w:val="32"/>
        </w:rPr>
        <w:t>提升地方環境品質，依都市計畫法第24條規定，於99年4月12日向臺北市政府</w:t>
      </w:r>
      <w:r w:rsidRPr="00FD1DD5">
        <w:rPr>
          <w:rFonts w:hAnsi="標楷體" w:hint="eastAsia"/>
          <w:szCs w:val="32"/>
        </w:rPr>
        <w:t>提出</w:t>
      </w:r>
      <w:r w:rsidRPr="00FD1DD5">
        <w:rPr>
          <w:rFonts w:hAnsi="標楷體"/>
          <w:color w:val="000000"/>
          <w:szCs w:val="32"/>
        </w:rPr>
        <w:t>「修訂臺北市松山區西松段</w:t>
      </w:r>
      <w:r w:rsidRPr="00FD1DD5">
        <w:rPr>
          <w:rFonts w:hAnsi="標楷體" w:hint="eastAsia"/>
          <w:color w:val="000000"/>
          <w:szCs w:val="32"/>
        </w:rPr>
        <w:t>3</w:t>
      </w:r>
      <w:r w:rsidRPr="00FD1DD5">
        <w:rPr>
          <w:rFonts w:hAnsi="標楷體"/>
          <w:color w:val="000000"/>
          <w:szCs w:val="32"/>
        </w:rPr>
        <w:t>小段156地號第</w:t>
      </w:r>
      <w:r w:rsidRPr="00FD1DD5">
        <w:rPr>
          <w:rFonts w:hAnsi="標楷體" w:hint="eastAsia"/>
          <w:color w:val="000000"/>
          <w:szCs w:val="32"/>
        </w:rPr>
        <w:t>3</w:t>
      </w:r>
      <w:r w:rsidRPr="00FD1DD5">
        <w:rPr>
          <w:rFonts w:hAnsi="標楷體"/>
          <w:color w:val="000000"/>
          <w:szCs w:val="32"/>
        </w:rPr>
        <w:t>種商業區（原京華城）土地使用分區管制規定暨都市設計管制準則計畫案」計畫書</w:t>
      </w:r>
      <w:r w:rsidRPr="00FD1DD5">
        <w:rPr>
          <w:rFonts w:hAnsi="標楷體" w:hint="eastAsia"/>
          <w:color w:val="000000"/>
          <w:szCs w:val="32"/>
        </w:rPr>
        <w:t>，</w:t>
      </w:r>
      <w:r w:rsidR="006D0163">
        <w:rPr>
          <w:rFonts w:hAnsi="標楷體" w:hint="eastAsia"/>
          <w:color w:val="000000"/>
          <w:szCs w:val="32"/>
        </w:rPr>
        <w:t>經該府函復補正相關資料後，</w:t>
      </w:r>
      <w:r w:rsidR="00D42F23" w:rsidRPr="00D42F23">
        <w:rPr>
          <w:rFonts w:hAnsi="標楷體" w:hint="eastAsia"/>
          <w:color w:val="000000"/>
          <w:szCs w:val="32"/>
        </w:rPr>
        <w:t>因涉使用項目、容積率、變更回饋等疑義</w:t>
      </w:r>
      <w:r w:rsidR="006B1470">
        <w:rPr>
          <w:rFonts w:hAnsi="標楷體" w:hint="eastAsia"/>
          <w:color w:val="000000"/>
          <w:szCs w:val="32"/>
        </w:rPr>
        <w:t>，</w:t>
      </w:r>
      <w:r w:rsidR="00D42F23">
        <w:rPr>
          <w:rFonts w:hAnsi="標楷體" w:hint="eastAsia"/>
          <w:color w:val="000000"/>
          <w:szCs w:val="32"/>
        </w:rPr>
        <w:t>該府</w:t>
      </w:r>
      <w:r w:rsidRPr="00FD1DD5">
        <w:rPr>
          <w:rFonts w:hAnsi="標楷體" w:hint="eastAsia"/>
          <w:color w:val="000000"/>
          <w:szCs w:val="32"/>
        </w:rPr>
        <w:t>都市發展局</w:t>
      </w:r>
      <w:r w:rsidR="006B1470">
        <w:rPr>
          <w:rFonts w:hAnsi="標楷體" w:hint="eastAsia"/>
          <w:color w:val="000000"/>
          <w:szCs w:val="32"/>
        </w:rPr>
        <w:t>乃</w:t>
      </w:r>
      <w:r w:rsidRPr="00FD1DD5">
        <w:rPr>
          <w:rFonts w:hAnsi="標楷體" w:hint="eastAsia"/>
          <w:color w:val="000000"/>
          <w:szCs w:val="32"/>
        </w:rPr>
        <w:t>於100年8月1日檢送「松山區西松段三小段156地號（原京華城）都市計畫變更涉基準容積率認定及住宅使用比例」研議案資料予</w:t>
      </w:r>
      <w:r w:rsidR="00A74110">
        <w:rPr>
          <w:rFonts w:hAnsi="標楷體"/>
          <w:szCs w:val="32"/>
        </w:rPr>
        <w:t>臺北市都委會</w:t>
      </w:r>
      <w:r w:rsidRPr="00FD1DD5">
        <w:rPr>
          <w:rFonts w:hAnsi="標楷體" w:hint="eastAsia"/>
          <w:szCs w:val="32"/>
        </w:rPr>
        <w:t>，該會以本案涉及原都市計畫規定，考量社經環境變遷為由，於100年8月25日第627次會議決議籌組專案小組研議，</w:t>
      </w:r>
      <w:r w:rsidRPr="00FD1DD5">
        <w:rPr>
          <w:rFonts w:hAnsi="標楷體"/>
        </w:rPr>
        <w:t>嗣</w:t>
      </w:r>
      <w:r w:rsidRPr="00FD1DD5">
        <w:rPr>
          <w:rFonts w:hAnsi="標楷體" w:hint="eastAsia"/>
        </w:rPr>
        <w:t>經</w:t>
      </w:r>
      <w:r w:rsidRPr="00FD1DD5">
        <w:rPr>
          <w:rFonts w:hAnsi="標楷體"/>
        </w:rPr>
        <w:t>專案小組召開3次會議</w:t>
      </w:r>
      <w:r w:rsidRPr="00FD1DD5">
        <w:rPr>
          <w:rFonts w:hAnsi="標楷體" w:hint="eastAsia"/>
        </w:rPr>
        <w:t>後提出4點建議，</w:t>
      </w:r>
      <w:r w:rsidRPr="00FD1DD5">
        <w:rPr>
          <w:rFonts w:hAnsi="標楷體"/>
        </w:rPr>
        <w:t>其中有關本案基準容積認定問題，</w:t>
      </w:r>
      <w:r w:rsidRPr="00FD1DD5">
        <w:rPr>
          <w:rFonts w:hAnsi="標楷體" w:hint="eastAsia"/>
        </w:rPr>
        <w:t>建議「</w:t>
      </w:r>
      <w:r w:rsidRPr="00FD1DD5">
        <w:rPr>
          <w:rFonts w:hAnsi="標楷體"/>
        </w:rPr>
        <w:t>請都市發展局就本街廓究係粗或淨容積率392％及560％之文件紀錄過程，兼顧本地區附近未來發展之潛力與現行法規規定，提出可容受之建蔽率、容積等擬定分析方案，併委員發言紀錄提大會。</w:t>
      </w:r>
      <w:r w:rsidRPr="00FD1DD5">
        <w:rPr>
          <w:rFonts w:hAnsi="標楷體" w:hint="eastAsia"/>
        </w:rPr>
        <w:t>」</w:t>
      </w:r>
    </w:p>
    <w:p w:rsidR="00FD1DD5" w:rsidRPr="00106FCD" w:rsidRDefault="00FD1DD5" w:rsidP="00BB6776">
      <w:pPr>
        <w:pStyle w:val="3"/>
        <w:ind w:left="993"/>
        <w:rPr>
          <w:rFonts w:hAnsi="標楷體"/>
          <w:szCs w:val="32"/>
        </w:rPr>
      </w:pPr>
      <w:r w:rsidRPr="00106FCD">
        <w:rPr>
          <w:rFonts w:hAnsi="標楷體"/>
        </w:rPr>
        <w:t>臺北市政府都市發展局依上開專案小組意見，於101年7月25日</w:t>
      </w:r>
      <w:r w:rsidR="00204766" w:rsidRPr="00106FCD">
        <w:rPr>
          <w:rFonts w:hAnsi="標楷體" w:hint="eastAsia"/>
        </w:rPr>
        <w:t>向</w:t>
      </w:r>
      <w:r w:rsidR="00204766" w:rsidRPr="00106FCD">
        <w:rPr>
          <w:rFonts w:hAnsi="標楷體"/>
          <w:szCs w:val="32"/>
        </w:rPr>
        <w:t>臺北市都委會</w:t>
      </w:r>
      <w:r w:rsidRPr="00106FCD">
        <w:rPr>
          <w:rFonts w:hAnsi="標楷體" w:hint="eastAsia"/>
        </w:rPr>
        <w:t>提出</w:t>
      </w:r>
      <w:r w:rsidRPr="00106FCD">
        <w:rPr>
          <w:rFonts w:hAnsi="標楷體"/>
        </w:rPr>
        <w:t>補充說明資料</w:t>
      </w:r>
      <w:r w:rsidRPr="00106FCD">
        <w:rPr>
          <w:rFonts w:hAnsi="標楷體" w:hint="eastAsia"/>
        </w:rPr>
        <w:t>，並建議「</w:t>
      </w:r>
      <w:r w:rsidRPr="00106FCD">
        <w:rPr>
          <w:rFonts w:hAnsi="標楷體"/>
        </w:rPr>
        <w:t>本案後續開發仍應依計畫書載明之容積率392％</w:t>
      </w:r>
      <w:r w:rsidRPr="00106FCD">
        <w:rPr>
          <w:rFonts w:hAnsi="標楷體"/>
        </w:rPr>
        <w:lastRenderedPageBreak/>
        <w:t>檢討，倘需調整則應透過都市計畫變更程序，就周邊整體環境容受力進行考量。</w:t>
      </w:r>
      <w:r w:rsidRPr="00106FCD">
        <w:rPr>
          <w:rFonts w:hAnsi="標楷體" w:hint="eastAsia"/>
        </w:rPr>
        <w:t>」</w:t>
      </w:r>
      <w:r w:rsidR="00A74110" w:rsidRPr="00106FCD">
        <w:rPr>
          <w:rFonts w:hAnsi="標楷體"/>
          <w:szCs w:val="32"/>
        </w:rPr>
        <w:t>臺北市都委會</w:t>
      </w:r>
      <w:r w:rsidRPr="00106FCD">
        <w:rPr>
          <w:rFonts w:hAnsi="標楷體" w:hint="eastAsia"/>
          <w:szCs w:val="32"/>
        </w:rPr>
        <w:t>即</w:t>
      </w:r>
      <w:r w:rsidRPr="00106FCD">
        <w:rPr>
          <w:rFonts w:hAnsi="標楷體"/>
          <w:szCs w:val="32"/>
        </w:rPr>
        <w:t>於101年8月30日第637次會議</w:t>
      </w:r>
      <w:r w:rsidR="00106FCD" w:rsidRPr="00106FCD">
        <w:rPr>
          <w:rFonts w:hAnsi="標楷體" w:hint="eastAsia"/>
          <w:szCs w:val="32"/>
        </w:rPr>
        <w:t>做成決議：</w:t>
      </w:r>
      <w:r w:rsidR="00C528FA">
        <w:rPr>
          <w:rFonts w:hAnsi="標楷體" w:hint="eastAsia"/>
          <w:szCs w:val="32"/>
        </w:rPr>
        <w:t>「1.</w:t>
      </w:r>
      <w:r w:rsidR="00106FCD" w:rsidRPr="00106FCD">
        <w:rPr>
          <w:rFonts w:hAnsi="標楷體" w:hint="eastAsia"/>
          <w:szCs w:val="32"/>
        </w:rPr>
        <w:t>本案基準容積認定部分，鑑於內政部曾函釋</w:t>
      </w:r>
      <w:r w:rsidR="00106FCD">
        <w:rPr>
          <w:rStyle w:val="af3"/>
          <w:rFonts w:hAnsi="標楷體"/>
          <w:szCs w:val="32"/>
        </w:rPr>
        <w:footnoteReference w:id="1"/>
      </w:r>
      <w:r w:rsidR="00106FCD" w:rsidRPr="00106FCD">
        <w:rPr>
          <w:rFonts w:hAnsi="標楷體" w:hint="eastAsia"/>
          <w:szCs w:val="32"/>
        </w:rPr>
        <w:t>，略以</w:t>
      </w:r>
      <w:r w:rsidR="00C528FA">
        <w:rPr>
          <w:rFonts w:hAnsi="標楷體" w:hint="eastAsia"/>
          <w:szCs w:val="32"/>
        </w:rPr>
        <w:t>『</w:t>
      </w:r>
      <w:r w:rsidR="00106FCD" w:rsidRPr="00106FCD">
        <w:rPr>
          <w:rFonts w:hAnsi="標楷體" w:hint="eastAsia"/>
          <w:szCs w:val="32"/>
        </w:rPr>
        <w:t>各級都市計畫委員會之職掌並無該項權</w:t>
      </w:r>
      <w:r w:rsidR="00C80028">
        <w:rPr>
          <w:rFonts w:hAnsi="標楷體" w:hint="eastAsia"/>
          <w:szCs w:val="32"/>
        </w:rPr>
        <w:t>責</w:t>
      </w:r>
      <w:r w:rsidR="00106FCD" w:rsidRPr="00106FCD">
        <w:rPr>
          <w:rFonts w:hAnsi="標楷體" w:hint="eastAsia"/>
          <w:szCs w:val="32"/>
        </w:rPr>
        <w:t>，自應由行政單位協調辦理</w:t>
      </w:r>
      <w:r w:rsidR="00C528FA">
        <w:rPr>
          <w:rFonts w:hAnsi="標楷體" w:hint="eastAsia"/>
          <w:szCs w:val="32"/>
        </w:rPr>
        <w:t>』</w:t>
      </w:r>
      <w:r w:rsidR="00106FCD" w:rsidRPr="00106FCD">
        <w:rPr>
          <w:rFonts w:hAnsi="標楷體" w:hint="eastAsia"/>
          <w:szCs w:val="32"/>
        </w:rPr>
        <w:t>請市府依權責辦理。</w:t>
      </w:r>
      <w:r w:rsidR="00C528FA">
        <w:rPr>
          <w:rFonts w:hAnsi="標楷體" w:hint="eastAsia"/>
          <w:szCs w:val="32"/>
        </w:rPr>
        <w:t>2.</w:t>
      </w:r>
      <w:r w:rsidR="00106FCD" w:rsidRPr="00106FCD">
        <w:rPr>
          <w:rFonts w:hAnsi="標楷體" w:hint="eastAsia"/>
          <w:szCs w:val="32"/>
        </w:rPr>
        <w:t>本案基地未來開發構想涉都市計畫變更部分，專案小組委員意見請市府納入後續作業綜合考量。</w:t>
      </w:r>
      <w:r w:rsidR="00C528FA">
        <w:rPr>
          <w:rFonts w:hAnsi="標楷體" w:hint="eastAsia"/>
          <w:szCs w:val="32"/>
        </w:rPr>
        <w:t>」</w:t>
      </w:r>
      <w:r w:rsidRPr="00106FCD">
        <w:rPr>
          <w:rFonts w:hAnsi="標楷體" w:hint="eastAsia"/>
          <w:szCs w:val="32"/>
        </w:rPr>
        <w:t>該項決議</w:t>
      </w:r>
      <w:r w:rsidR="002D5B2D">
        <w:rPr>
          <w:rFonts w:hAnsi="標楷體" w:hint="eastAsia"/>
          <w:szCs w:val="32"/>
        </w:rPr>
        <w:t>第一點</w:t>
      </w:r>
      <w:r w:rsidRPr="00106FCD">
        <w:rPr>
          <w:rFonts w:hAnsi="標楷體" w:hint="eastAsia"/>
          <w:szCs w:val="32"/>
        </w:rPr>
        <w:t>未充分審酌</w:t>
      </w:r>
      <w:r w:rsidRPr="00106FCD">
        <w:rPr>
          <w:rFonts w:hAnsi="標楷體" w:hint="eastAsia"/>
        </w:rPr>
        <w:t>京華城基地於80年都市計畫變更時之開發使用強度與其整體變更條件已具不可分性，以及京華城公司本次（</w:t>
      </w:r>
      <w:r w:rsidRPr="00106FCD">
        <w:rPr>
          <w:rFonts w:hAnsi="標楷體"/>
          <w:szCs w:val="32"/>
        </w:rPr>
        <w:t>99年4月12日</w:t>
      </w:r>
      <w:r w:rsidRPr="00106FCD">
        <w:rPr>
          <w:rFonts w:hAnsi="標楷體" w:hint="eastAsia"/>
        </w:rPr>
        <w:t>）提出之申請案，</w:t>
      </w:r>
      <w:r w:rsidRPr="00106FCD">
        <w:rPr>
          <w:rFonts w:hAnsi="標楷體" w:hint="eastAsia"/>
          <w:color w:val="000000"/>
          <w:szCs w:val="32"/>
        </w:rPr>
        <w:t>係屬</w:t>
      </w:r>
      <w:r w:rsidRPr="00106FCD">
        <w:rPr>
          <w:rFonts w:hAnsi="標楷體" w:hint="eastAsia"/>
        </w:rPr>
        <w:t>80年都市計畫之</w:t>
      </w:r>
      <w:r w:rsidRPr="00106FCD">
        <w:rPr>
          <w:rFonts w:hAnsi="標楷體" w:hint="eastAsia"/>
          <w:color w:val="000000"/>
          <w:szCs w:val="32"/>
        </w:rPr>
        <w:t>原細部計畫內容變更，依程序本應先辦理公開展覽後再進行審議，而</w:t>
      </w:r>
      <w:r w:rsidRPr="00106FCD">
        <w:rPr>
          <w:rFonts w:hAnsi="標楷體"/>
          <w:szCs w:val="32"/>
        </w:rPr>
        <w:t>審議</w:t>
      </w:r>
      <w:r w:rsidRPr="00106FCD">
        <w:rPr>
          <w:rFonts w:hAnsi="標楷體" w:hint="eastAsia"/>
          <w:szCs w:val="32"/>
        </w:rPr>
        <w:t>時應依內政部所定「都市計畫細部計畫審議原則」</w:t>
      </w:r>
      <w:r w:rsidRPr="00106FCD">
        <w:rPr>
          <w:rFonts w:hAnsi="標楷體"/>
          <w:szCs w:val="32"/>
        </w:rPr>
        <w:t>就</w:t>
      </w:r>
      <w:r w:rsidRPr="00106FCD">
        <w:rPr>
          <w:rFonts w:hAnsi="標楷體" w:hint="eastAsia"/>
          <w:szCs w:val="32"/>
        </w:rPr>
        <w:t>變更後</w:t>
      </w:r>
      <w:r w:rsidRPr="00106FCD">
        <w:rPr>
          <w:rFonts w:hAnsi="標楷體"/>
          <w:szCs w:val="32"/>
        </w:rPr>
        <w:t>各該條件整體考量，</w:t>
      </w:r>
      <w:r w:rsidRPr="00106FCD">
        <w:rPr>
          <w:rFonts w:hAnsi="標楷體" w:hint="eastAsia"/>
          <w:szCs w:val="32"/>
        </w:rPr>
        <w:t>並就土地使用容許項目以及使用強度之合理性與可行性</w:t>
      </w:r>
      <w:r w:rsidRPr="00106FCD">
        <w:rPr>
          <w:rFonts w:hAnsi="標楷體"/>
          <w:szCs w:val="32"/>
        </w:rPr>
        <w:t>進行</w:t>
      </w:r>
      <w:r w:rsidRPr="00106FCD">
        <w:rPr>
          <w:rFonts w:hAnsi="標楷體" w:hint="eastAsia"/>
          <w:szCs w:val="32"/>
        </w:rPr>
        <w:t>審查，而</w:t>
      </w:r>
      <w:r w:rsidRPr="00106FCD">
        <w:rPr>
          <w:rFonts w:hAnsi="標楷體"/>
          <w:szCs w:val="32"/>
        </w:rPr>
        <w:t>非</w:t>
      </w:r>
      <w:r w:rsidRPr="00106FCD">
        <w:rPr>
          <w:rFonts w:hAnsi="標楷體" w:hint="eastAsia"/>
          <w:szCs w:val="32"/>
        </w:rPr>
        <w:t>僅就</w:t>
      </w:r>
      <w:r w:rsidRPr="00106FCD">
        <w:rPr>
          <w:rFonts w:hAnsi="標楷體"/>
          <w:szCs w:val="32"/>
        </w:rPr>
        <w:t>80年都市計畫變更後基準容積率之疑義或都市計畫書圖等資料之欠缺</w:t>
      </w:r>
      <w:r w:rsidRPr="00106FCD">
        <w:rPr>
          <w:rFonts w:hAnsi="標楷體" w:hint="eastAsia"/>
          <w:szCs w:val="32"/>
        </w:rPr>
        <w:t>、</w:t>
      </w:r>
      <w:r w:rsidRPr="00106FCD">
        <w:rPr>
          <w:rFonts w:hAnsi="標楷體"/>
          <w:szCs w:val="32"/>
        </w:rPr>
        <w:t>不明確問題</w:t>
      </w:r>
      <w:r w:rsidRPr="00106FCD">
        <w:rPr>
          <w:rFonts w:hAnsi="標楷體" w:hint="eastAsia"/>
          <w:szCs w:val="32"/>
        </w:rPr>
        <w:t>予以確認</w:t>
      </w:r>
      <w:r w:rsidRPr="00106FCD">
        <w:rPr>
          <w:rFonts w:hAnsi="標楷體"/>
          <w:szCs w:val="32"/>
        </w:rPr>
        <w:t>，率而將京華城基地基準容積率單獨抽離認定，</w:t>
      </w:r>
      <w:r w:rsidRPr="00106FCD">
        <w:rPr>
          <w:rFonts w:hAnsi="標楷體" w:hint="eastAsia"/>
          <w:szCs w:val="32"/>
        </w:rPr>
        <w:t>並</w:t>
      </w:r>
      <w:r w:rsidR="00871F14">
        <w:rPr>
          <w:rFonts w:hAnsi="標楷體" w:hint="eastAsia"/>
        </w:rPr>
        <w:t>由</w:t>
      </w:r>
      <w:r w:rsidR="00EF614D">
        <w:rPr>
          <w:rFonts w:hAnsi="標楷體" w:hint="eastAsia"/>
        </w:rPr>
        <w:t>臺北市政府</w:t>
      </w:r>
      <w:r w:rsidR="00EF614D" w:rsidRPr="00106FCD">
        <w:rPr>
          <w:rFonts w:hAnsi="標楷體" w:hint="eastAsia"/>
          <w:szCs w:val="32"/>
        </w:rPr>
        <w:t>依權責辦理</w:t>
      </w:r>
      <w:r w:rsidR="00EF614D">
        <w:rPr>
          <w:rFonts w:hAnsi="標楷體" w:hint="eastAsia"/>
          <w:szCs w:val="32"/>
        </w:rPr>
        <w:t>，</w:t>
      </w:r>
      <w:r w:rsidR="00395212">
        <w:rPr>
          <w:rFonts w:hAnsi="標楷體" w:hint="eastAsia"/>
          <w:szCs w:val="32"/>
        </w:rPr>
        <w:t>致</w:t>
      </w:r>
      <w:r w:rsidR="00EF614D">
        <w:rPr>
          <w:rFonts w:hAnsi="標楷體" w:hint="eastAsia"/>
          <w:szCs w:val="32"/>
        </w:rPr>
        <w:t>衍生該府要求本案申請人</w:t>
      </w:r>
      <w:r w:rsidR="00EF614D" w:rsidRPr="00106FCD">
        <w:rPr>
          <w:rFonts w:hAnsi="標楷體"/>
        </w:rPr>
        <w:t>應依容積率392％</w:t>
      </w:r>
      <w:r w:rsidR="008A53E8">
        <w:rPr>
          <w:rFonts w:hAnsi="標楷體" w:hint="eastAsia"/>
        </w:rPr>
        <w:t>進行</w:t>
      </w:r>
      <w:r w:rsidR="00EF614D" w:rsidRPr="00106FCD">
        <w:rPr>
          <w:rFonts w:hAnsi="標楷體"/>
        </w:rPr>
        <w:t>檢討</w:t>
      </w:r>
      <w:r w:rsidR="009B38AD">
        <w:rPr>
          <w:rFonts w:hAnsi="標楷體" w:hint="eastAsia"/>
        </w:rPr>
        <w:t>修正</w:t>
      </w:r>
      <w:r w:rsidR="008A53E8">
        <w:rPr>
          <w:rFonts w:hAnsi="標楷體" w:hint="eastAsia"/>
        </w:rPr>
        <w:t>之不合理現象</w:t>
      </w:r>
      <w:r w:rsidRPr="00106FCD">
        <w:rPr>
          <w:rFonts w:hAnsi="標楷體"/>
          <w:szCs w:val="32"/>
        </w:rPr>
        <w:t>，</w:t>
      </w:r>
      <w:r w:rsidR="00816CE9">
        <w:rPr>
          <w:rFonts w:hAnsi="標楷體" w:hint="eastAsia"/>
          <w:szCs w:val="32"/>
        </w:rPr>
        <w:t>實</w:t>
      </w:r>
      <w:r w:rsidRPr="00106FCD">
        <w:rPr>
          <w:rFonts w:hAnsi="標楷體"/>
          <w:szCs w:val="32"/>
        </w:rPr>
        <w:t>有未洽</w:t>
      </w:r>
      <w:r w:rsidRPr="00106FCD">
        <w:rPr>
          <w:rFonts w:hAnsi="標楷體" w:hint="eastAsia"/>
          <w:szCs w:val="32"/>
        </w:rPr>
        <w:t>。</w:t>
      </w:r>
    </w:p>
    <w:p w:rsidR="00FD1DD5" w:rsidRPr="00FD1DD5" w:rsidRDefault="00FD1DD5" w:rsidP="00BB6776">
      <w:pPr>
        <w:pStyle w:val="3"/>
        <w:ind w:left="993"/>
        <w:rPr>
          <w:rFonts w:hAnsi="標楷體"/>
          <w:szCs w:val="32"/>
        </w:rPr>
      </w:pPr>
      <w:r w:rsidRPr="00FD1DD5">
        <w:rPr>
          <w:rFonts w:hAnsi="標楷體"/>
          <w:szCs w:val="32"/>
        </w:rPr>
        <w:t>再按都市計畫法第25條規定：「土地權利關係人自行擬定或申請變更細部計畫，遭受直轄市、縣（市）（局）政府或鄉、鎮、縣轄市公所拒絕時，得分別向內政部或縣（市）（局）政府請求處理；經內政部或縣（市）（局）政府依法處理後，土地權利關係人不得</w:t>
      </w:r>
      <w:r w:rsidRPr="00FD1DD5">
        <w:rPr>
          <w:rFonts w:hAnsi="標楷體"/>
          <w:szCs w:val="32"/>
        </w:rPr>
        <w:lastRenderedPageBreak/>
        <w:t>再提異議。」</w:t>
      </w:r>
      <w:r w:rsidRPr="00FD1DD5">
        <w:rPr>
          <w:rFonts w:hAnsi="標楷體" w:hint="eastAsia"/>
          <w:color w:val="000000"/>
          <w:szCs w:val="32"/>
        </w:rPr>
        <w:t>本案既屬</w:t>
      </w:r>
      <w:r w:rsidRPr="00FD1DD5">
        <w:rPr>
          <w:rFonts w:hAnsi="標楷體"/>
          <w:szCs w:val="32"/>
        </w:rPr>
        <w:t>土地權利關係人</w:t>
      </w:r>
      <w:r w:rsidRPr="00FD1DD5">
        <w:rPr>
          <w:rFonts w:hAnsi="標楷體" w:hint="eastAsia"/>
          <w:szCs w:val="32"/>
        </w:rPr>
        <w:t>提出之</w:t>
      </w:r>
      <w:r w:rsidRPr="00FD1DD5">
        <w:rPr>
          <w:rFonts w:hAnsi="標楷體" w:hint="eastAsia"/>
          <w:color w:val="000000"/>
          <w:szCs w:val="32"/>
        </w:rPr>
        <w:t>細部計畫變更申請案，除形式上涉有違反都市計畫相關法令規定之情形，應由受理機關（即臺</w:t>
      </w:r>
      <w:r w:rsidRPr="00FD1DD5">
        <w:rPr>
          <w:rFonts w:hAnsi="標楷體" w:hint="eastAsia"/>
          <w:szCs w:val="32"/>
        </w:rPr>
        <w:t>北市政府</w:t>
      </w:r>
      <w:r w:rsidRPr="00FD1DD5">
        <w:rPr>
          <w:rFonts w:hAnsi="標楷體"/>
          <w:color w:val="000000"/>
          <w:szCs w:val="32"/>
        </w:rPr>
        <w:t>都市發展局</w:t>
      </w:r>
      <w:r w:rsidRPr="00FD1DD5">
        <w:rPr>
          <w:rFonts w:hAnsi="標楷體" w:hint="eastAsia"/>
          <w:color w:val="000000"/>
          <w:szCs w:val="32"/>
        </w:rPr>
        <w:t>）退請申請人補正外，即應依法辦理公開展覽後，送請</w:t>
      </w:r>
      <w:r w:rsidR="00A74110">
        <w:rPr>
          <w:rFonts w:hAnsi="標楷體" w:hint="eastAsia"/>
          <w:color w:val="000000"/>
          <w:szCs w:val="32"/>
        </w:rPr>
        <w:t>臺北市都委會</w:t>
      </w:r>
      <w:r w:rsidRPr="00FD1DD5">
        <w:rPr>
          <w:rFonts w:hAnsi="標楷體" w:hint="eastAsia"/>
          <w:color w:val="000000"/>
          <w:szCs w:val="32"/>
        </w:rPr>
        <w:t>進行審議，再由臺北市政府依審議結果予以核定發布實施，</w:t>
      </w:r>
      <w:r w:rsidRPr="00FD1DD5">
        <w:rPr>
          <w:rFonts w:hAnsi="標楷體" w:hint="eastAsia"/>
          <w:szCs w:val="32"/>
        </w:rPr>
        <w:t>或依上開</w:t>
      </w:r>
      <w:r w:rsidRPr="00FD1DD5">
        <w:rPr>
          <w:rFonts w:hAnsi="標楷體"/>
          <w:szCs w:val="32"/>
        </w:rPr>
        <w:t>都市計畫法第25條規定</w:t>
      </w:r>
      <w:r w:rsidRPr="00FD1DD5">
        <w:rPr>
          <w:rFonts w:hAnsi="標楷體" w:hint="eastAsia"/>
          <w:szCs w:val="32"/>
        </w:rPr>
        <w:t>予以</w:t>
      </w:r>
      <w:r w:rsidRPr="00FD1DD5">
        <w:rPr>
          <w:rFonts w:hAnsi="標楷體"/>
          <w:szCs w:val="32"/>
        </w:rPr>
        <w:t>駁回</w:t>
      </w:r>
      <w:r w:rsidRPr="00FD1DD5">
        <w:rPr>
          <w:rFonts w:hAnsi="標楷體" w:hint="eastAsia"/>
          <w:szCs w:val="32"/>
        </w:rPr>
        <w:t>申請</w:t>
      </w:r>
      <w:r w:rsidRPr="00FD1DD5">
        <w:rPr>
          <w:rFonts w:hAnsi="標楷體" w:hint="eastAsia"/>
          <w:color w:val="000000"/>
          <w:szCs w:val="32"/>
        </w:rPr>
        <w:t>。</w:t>
      </w:r>
      <w:r w:rsidRPr="00FD1DD5">
        <w:rPr>
          <w:rFonts w:hAnsi="標楷體" w:hint="eastAsia"/>
          <w:szCs w:val="32"/>
        </w:rPr>
        <w:t>臺北市政府</w:t>
      </w:r>
      <w:r w:rsidRPr="00FD1DD5">
        <w:rPr>
          <w:rFonts w:hAnsi="標楷體"/>
          <w:color w:val="000000"/>
          <w:szCs w:val="32"/>
        </w:rPr>
        <w:t>都市發展局</w:t>
      </w:r>
      <w:r w:rsidRPr="00FD1DD5">
        <w:rPr>
          <w:rFonts w:hAnsi="標楷體" w:hint="eastAsia"/>
          <w:color w:val="000000"/>
          <w:szCs w:val="32"/>
        </w:rPr>
        <w:t>對於申請案</w:t>
      </w:r>
      <w:r w:rsidRPr="00FD1DD5">
        <w:rPr>
          <w:rFonts w:hAnsi="標楷體" w:hint="eastAsia"/>
          <w:szCs w:val="32"/>
        </w:rPr>
        <w:t>如有不同意見，自當提出建議案併送該市都委會審議</w:t>
      </w:r>
      <w:r w:rsidR="00D30882">
        <w:rPr>
          <w:rFonts w:hAnsi="標楷體" w:hint="eastAsia"/>
          <w:szCs w:val="32"/>
        </w:rPr>
        <w:t>。</w:t>
      </w:r>
      <w:r w:rsidRPr="00FD1DD5">
        <w:rPr>
          <w:rFonts w:hAnsi="標楷體" w:hint="eastAsia"/>
          <w:color w:val="000000"/>
          <w:szCs w:val="32"/>
        </w:rPr>
        <w:t>該</w:t>
      </w:r>
      <w:r w:rsidRPr="00FD1DD5">
        <w:rPr>
          <w:rFonts w:hAnsi="標楷體"/>
          <w:color w:val="000000"/>
          <w:szCs w:val="32"/>
        </w:rPr>
        <w:t>局</w:t>
      </w:r>
      <w:r w:rsidR="00CF475A">
        <w:rPr>
          <w:rFonts w:hAnsi="標楷體" w:hint="eastAsia"/>
          <w:color w:val="000000"/>
          <w:szCs w:val="32"/>
        </w:rPr>
        <w:t>於</w:t>
      </w:r>
      <w:r w:rsidR="00CF475A" w:rsidRPr="00FD1DD5">
        <w:rPr>
          <w:rFonts w:hAnsi="標楷體"/>
          <w:szCs w:val="32"/>
        </w:rPr>
        <w:t>99年4月12</w:t>
      </w:r>
      <w:r w:rsidR="00CF475A" w:rsidRPr="00FD1DD5">
        <w:rPr>
          <w:rFonts w:hAnsi="標楷體" w:hint="eastAsia"/>
          <w:szCs w:val="32"/>
        </w:rPr>
        <w:t>日</w:t>
      </w:r>
      <w:r w:rsidR="00A5257A">
        <w:rPr>
          <w:rFonts w:hAnsi="標楷體" w:hint="eastAsia"/>
          <w:color w:val="000000"/>
          <w:szCs w:val="32"/>
        </w:rPr>
        <w:t>受理本案後，除要求申請人補正相關資料外，更</w:t>
      </w:r>
      <w:r w:rsidRPr="00FD1DD5">
        <w:rPr>
          <w:rFonts w:hAnsi="標楷體" w:hint="eastAsia"/>
          <w:color w:val="000000"/>
          <w:szCs w:val="32"/>
        </w:rPr>
        <w:t>依上開都委會第637次會議決議，</w:t>
      </w:r>
      <w:r w:rsidRPr="00FD1DD5">
        <w:rPr>
          <w:rFonts w:hAnsi="標楷體" w:hint="eastAsia"/>
          <w:szCs w:val="32"/>
        </w:rPr>
        <w:t>一再以基準容積計算方式不符等為由，要求申請人重新檢討修正，</w:t>
      </w:r>
      <w:r w:rsidRPr="00FD1DD5">
        <w:rPr>
          <w:rFonts w:hAnsi="標楷體" w:hint="eastAsia"/>
          <w:color w:val="000000"/>
          <w:szCs w:val="32"/>
        </w:rPr>
        <w:t>未</w:t>
      </w:r>
      <w:r w:rsidRPr="00FD1DD5">
        <w:rPr>
          <w:rFonts w:hAnsi="標楷體"/>
          <w:szCs w:val="32"/>
        </w:rPr>
        <w:t>賡續</w:t>
      </w:r>
      <w:r w:rsidRPr="00FD1DD5">
        <w:rPr>
          <w:rFonts w:hAnsi="標楷體"/>
          <w:color w:val="000000"/>
          <w:szCs w:val="32"/>
        </w:rPr>
        <w:t>依上開規定程序</w:t>
      </w:r>
      <w:r w:rsidRPr="00FD1DD5">
        <w:rPr>
          <w:rFonts w:hAnsi="標楷體" w:hint="eastAsia"/>
          <w:color w:val="000000"/>
          <w:szCs w:val="32"/>
        </w:rPr>
        <w:t>辦理公開展覽後</w:t>
      </w:r>
      <w:r w:rsidRPr="00FD1DD5">
        <w:rPr>
          <w:rFonts w:hAnsi="標楷體"/>
          <w:szCs w:val="32"/>
        </w:rPr>
        <w:t>提報都市計畫委員會</w:t>
      </w:r>
      <w:r w:rsidRPr="00FD1DD5">
        <w:rPr>
          <w:rFonts w:hAnsi="標楷體" w:hint="eastAsia"/>
          <w:szCs w:val="32"/>
        </w:rPr>
        <w:t>進行實質</w:t>
      </w:r>
      <w:r w:rsidRPr="00FD1DD5">
        <w:rPr>
          <w:rFonts w:hAnsi="標楷體"/>
          <w:szCs w:val="32"/>
        </w:rPr>
        <w:t>審議，致</w:t>
      </w:r>
      <w:r w:rsidR="006474E6">
        <w:rPr>
          <w:rFonts w:hAnsi="標楷體" w:hint="eastAsia"/>
          <w:szCs w:val="32"/>
        </w:rPr>
        <w:t>本</w:t>
      </w:r>
      <w:r w:rsidRPr="00FD1DD5">
        <w:rPr>
          <w:rFonts w:hAnsi="標楷體" w:hint="eastAsia"/>
          <w:color w:val="000000"/>
          <w:szCs w:val="32"/>
        </w:rPr>
        <w:t>案</w:t>
      </w:r>
      <w:r w:rsidRPr="00FD1DD5">
        <w:rPr>
          <w:rFonts w:hAnsi="標楷體"/>
          <w:szCs w:val="32"/>
        </w:rPr>
        <w:t>自</w:t>
      </w:r>
      <w:r w:rsidR="00CF475A">
        <w:rPr>
          <w:rFonts w:hAnsi="標楷體" w:hint="eastAsia"/>
          <w:szCs w:val="32"/>
        </w:rPr>
        <w:t>申請</w:t>
      </w:r>
      <w:r w:rsidRPr="00FD1DD5">
        <w:rPr>
          <w:rFonts w:hAnsi="標楷體"/>
          <w:szCs w:val="32"/>
        </w:rPr>
        <w:t>迄今</w:t>
      </w:r>
      <w:r w:rsidRPr="00FD1DD5">
        <w:rPr>
          <w:rFonts w:hAnsi="標楷體" w:hint="eastAsia"/>
          <w:szCs w:val="32"/>
        </w:rPr>
        <w:t>已逾</w:t>
      </w:r>
      <w:r w:rsidRPr="00FD1DD5">
        <w:rPr>
          <w:rFonts w:hAnsi="標楷體"/>
          <w:szCs w:val="32"/>
        </w:rPr>
        <w:t>3年仍未獲准駁之決定</w:t>
      </w:r>
      <w:r w:rsidRPr="00FD1DD5">
        <w:rPr>
          <w:rFonts w:hAnsi="標楷體" w:hint="eastAsia"/>
          <w:szCs w:val="32"/>
        </w:rPr>
        <w:t>，該</w:t>
      </w:r>
      <w:r w:rsidRPr="00FD1DD5">
        <w:rPr>
          <w:rFonts w:hAnsi="標楷體"/>
          <w:szCs w:val="32"/>
        </w:rPr>
        <w:t>局</w:t>
      </w:r>
      <w:r w:rsidR="00C71919">
        <w:rPr>
          <w:rFonts w:hAnsi="標楷體" w:hint="eastAsia"/>
          <w:szCs w:val="32"/>
        </w:rPr>
        <w:t>雖</w:t>
      </w:r>
      <w:r w:rsidRPr="00FD1DD5">
        <w:rPr>
          <w:rFonts w:hAnsi="標楷體"/>
          <w:szCs w:val="32"/>
        </w:rPr>
        <w:t>係出於審慎而一再退請</w:t>
      </w:r>
      <w:r w:rsidRPr="00FD1DD5">
        <w:rPr>
          <w:rFonts w:hAnsi="標楷體" w:hint="eastAsia"/>
          <w:szCs w:val="32"/>
        </w:rPr>
        <w:t>申請人</w:t>
      </w:r>
      <w:r w:rsidRPr="00FD1DD5">
        <w:rPr>
          <w:rFonts w:hAnsi="標楷體"/>
          <w:szCs w:val="32"/>
        </w:rPr>
        <w:t>補正，惟究與上開相關</w:t>
      </w:r>
      <w:r w:rsidRPr="00FD1DD5">
        <w:rPr>
          <w:rFonts w:hAnsi="標楷體" w:hint="eastAsia"/>
          <w:szCs w:val="32"/>
        </w:rPr>
        <w:t>法令</w:t>
      </w:r>
      <w:r w:rsidRPr="00FD1DD5">
        <w:rPr>
          <w:rFonts w:hAnsi="標楷體"/>
          <w:szCs w:val="32"/>
        </w:rPr>
        <w:t>規定</w:t>
      </w:r>
      <w:r w:rsidRPr="00FD1DD5">
        <w:rPr>
          <w:rFonts w:hAnsi="標楷體" w:hint="eastAsia"/>
          <w:szCs w:val="32"/>
        </w:rPr>
        <w:t>之權限與程序有</w:t>
      </w:r>
      <w:r w:rsidRPr="00FD1DD5">
        <w:rPr>
          <w:rFonts w:hAnsi="標楷體"/>
          <w:szCs w:val="32"/>
        </w:rPr>
        <w:t>不符之虞，</w:t>
      </w:r>
      <w:r w:rsidRPr="00FD1DD5">
        <w:rPr>
          <w:rFonts w:hAnsi="標楷體" w:hint="eastAsia"/>
          <w:szCs w:val="32"/>
        </w:rPr>
        <w:t>難謂允當</w:t>
      </w:r>
      <w:r w:rsidRPr="00FD1DD5">
        <w:rPr>
          <w:rFonts w:hAnsi="標楷體"/>
          <w:szCs w:val="32"/>
        </w:rPr>
        <w:t>。</w:t>
      </w:r>
    </w:p>
    <w:p w:rsidR="00F37413" w:rsidRPr="00FD1DD5" w:rsidRDefault="00FD1DD5" w:rsidP="00BB6776">
      <w:pPr>
        <w:pStyle w:val="3"/>
        <w:ind w:left="993"/>
        <w:rPr>
          <w:rFonts w:hAnsi="標楷體"/>
          <w:szCs w:val="32"/>
        </w:rPr>
      </w:pPr>
      <w:r w:rsidRPr="00FD1DD5">
        <w:rPr>
          <w:rFonts w:hAnsi="標楷體" w:hint="eastAsia"/>
          <w:szCs w:val="32"/>
        </w:rPr>
        <w:t>又</w:t>
      </w:r>
      <w:r w:rsidRPr="00FD1DD5">
        <w:rPr>
          <w:rFonts w:hAnsi="標楷體"/>
          <w:szCs w:val="32"/>
        </w:rPr>
        <w:t>本件細部計畫</w:t>
      </w:r>
      <w:r w:rsidRPr="00FD1DD5">
        <w:rPr>
          <w:rFonts w:hAnsi="標楷體" w:hint="eastAsia"/>
          <w:szCs w:val="32"/>
        </w:rPr>
        <w:t>變更</w:t>
      </w:r>
      <w:r w:rsidRPr="00FD1DD5">
        <w:rPr>
          <w:rFonts w:hAnsi="標楷體"/>
          <w:szCs w:val="32"/>
        </w:rPr>
        <w:t>申請案如經臺北市政府駁回，申請人</w:t>
      </w:r>
      <w:r w:rsidRPr="00FD1DD5">
        <w:rPr>
          <w:rFonts w:hAnsi="標楷體" w:hint="eastAsia"/>
          <w:szCs w:val="32"/>
        </w:rPr>
        <w:t>雖</w:t>
      </w:r>
      <w:r w:rsidRPr="00FD1DD5">
        <w:rPr>
          <w:rFonts w:hAnsi="標楷體"/>
          <w:szCs w:val="32"/>
        </w:rPr>
        <w:t>得循上開都市計畫法第25條規定請求內政部處理，惟該條文後段</w:t>
      </w:r>
      <w:r w:rsidRPr="00FD1DD5">
        <w:rPr>
          <w:rFonts w:hAnsi="標楷體" w:hint="eastAsia"/>
          <w:szCs w:val="32"/>
        </w:rPr>
        <w:t>規定</w:t>
      </w:r>
      <w:r w:rsidRPr="00FD1DD5">
        <w:rPr>
          <w:rFonts w:hAnsi="標楷體"/>
          <w:szCs w:val="32"/>
        </w:rPr>
        <w:t>「經內政部或縣（市）（局）政府依法處理後，土地權利關係人不得再提異議」</w:t>
      </w:r>
      <w:r w:rsidRPr="00FD1DD5">
        <w:rPr>
          <w:rFonts w:hAnsi="標楷體" w:hint="eastAsia"/>
          <w:szCs w:val="32"/>
        </w:rPr>
        <w:t>依照現行司法實務上的見解（最高行政法院95年2896號裁定、94年835號裁定、89年442號裁定、臺北高等行政法院101年1149號判決）</w:t>
      </w:r>
      <w:r w:rsidR="00245B5C">
        <w:rPr>
          <w:rFonts w:hAnsi="標楷體" w:hint="eastAsia"/>
          <w:szCs w:val="32"/>
        </w:rPr>
        <w:t>似</w:t>
      </w:r>
      <w:r w:rsidRPr="00FD1DD5">
        <w:rPr>
          <w:rFonts w:hAnsi="標楷體" w:hint="eastAsia"/>
          <w:szCs w:val="32"/>
        </w:rPr>
        <w:t>認為所謂「不得再提異議」係指自行擬定或者是申請變更被拒絕時，經內政部或縣（市）（局）政府依法處理後，程序即已終了，不能提起訴願或行政訴訟</w:t>
      </w:r>
      <w:r w:rsidR="00087DD5">
        <w:rPr>
          <w:rFonts w:hAnsi="標楷體" w:hint="eastAsia"/>
          <w:szCs w:val="32"/>
        </w:rPr>
        <w:t>。</w:t>
      </w:r>
      <w:r w:rsidRPr="00FD1DD5">
        <w:rPr>
          <w:rFonts w:hAnsi="標楷體" w:hint="eastAsia"/>
          <w:szCs w:val="32"/>
        </w:rPr>
        <w:t>據此，</w:t>
      </w:r>
      <w:r w:rsidRPr="00FD1DD5">
        <w:rPr>
          <w:rFonts w:hAnsi="標楷體"/>
          <w:szCs w:val="32"/>
        </w:rPr>
        <w:t>臺北市政府</w:t>
      </w:r>
      <w:r w:rsidRPr="00FD1DD5">
        <w:rPr>
          <w:rFonts w:hAnsi="標楷體" w:hint="eastAsia"/>
          <w:szCs w:val="32"/>
        </w:rPr>
        <w:t>對本案</w:t>
      </w:r>
      <w:r w:rsidRPr="00FD1DD5">
        <w:rPr>
          <w:rFonts w:hAnsi="標楷體"/>
          <w:szCs w:val="32"/>
        </w:rPr>
        <w:t>之准駁決定乃至後續內政部之處理，</w:t>
      </w:r>
      <w:r w:rsidRPr="00FD1DD5">
        <w:rPr>
          <w:rFonts w:hAnsi="標楷體" w:hint="eastAsia"/>
          <w:szCs w:val="32"/>
        </w:rPr>
        <w:t>影響人民財產權利甚鉅，允宜</w:t>
      </w:r>
      <w:r w:rsidRPr="00FD1DD5">
        <w:rPr>
          <w:rFonts w:hAnsi="標楷體"/>
          <w:szCs w:val="32"/>
        </w:rPr>
        <w:t>審慎為之，</w:t>
      </w:r>
      <w:r w:rsidRPr="00FD1DD5">
        <w:rPr>
          <w:rFonts w:hAnsi="標楷體" w:hint="eastAsia"/>
          <w:szCs w:val="32"/>
        </w:rPr>
        <w:t>併</w:t>
      </w:r>
      <w:r w:rsidRPr="00FD1DD5">
        <w:rPr>
          <w:rFonts w:hAnsi="標楷體"/>
          <w:szCs w:val="32"/>
        </w:rPr>
        <w:t>此</w:t>
      </w:r>
      <w:r w:rsidRPr="00FD1DD5">
        <w:rPr>
          <w:rFonts w:hAnsi="標楷體" w:hint="eastAsia"/>
          <w:szCs w:val="32"/>
        </w:rPr>
        <w:t>指</w:t>
      </w:r>
      <w:r w:rsidRPr="00FD1DD5">
        <w:rPr>
          <w:rFonts w:hAnsi="標楷體"/>
          <w:szCs w:val="32"/>
        </w:rPr>
        <w:t>明。</w:t>
      </w:r>
    </w:p>
    <w:bookmarkEnd w:id="45"/>
    <w:p w:rsidR="000E4220" w:rsidRPr="00FD1DD5" w:rsidRDefault="000E4220" w:rsidP="00BB6776">
      <w:pPr>
        <w:pStyle w:val="1"/>
        <w:numPr>
          <w:ilvl w:val="0"/>
          <w:numId w:val="0"/>
        </w:numPr>
        <w:ind w:leftChars="1125" w:left="3827"/>
        <w:rPr>
          <w:rFonts w:hAnsi="標楷體"/>
          <w:b/>
          <w:bCs w:val="0"/>
          <w:szCs w:val="32"/>
        </w:rPr>
      </w:pPr>
      <w:r w:rsidRPr="00FD1DD5">
        <w:rPr>
          <w:rFonts w:hAnsi="標楷體"/>
          <w:spacing w:val="12"/>
          <w:szCs w:val="32"/>
        </w:rPr>
        <w:t>調查委員：</w:t>
      </w:r>
      <w:r w:rsidR="00D20B71">
        <w:rPr>
          <w:rFonts w:hAnsi="標楷體" w:hint="eastAsia"/>
          <w:b/>
          <w:bCs w:val="0"/>
          <w:spacing w:val="12"/>
          <w:szCs w:val="32"/>
        </w:rPr>
        <w:t>余騰芳</w:t>
      </w:r>
    </w:p>
    <w:p w:rsidR="0015393E" w:rsidRDefault="00D20B71" w:rsidP="000F03F6">
      <w:pPr>
        <w:pStyle w:val="a5"/>
        <w:kinsoku w:val="0"/>
        <w:spacing w:before="0" w:after="0"/>
        <w:ind w:leftChars="1100" w:left="3742" w:firstLineChars="529" w:firstLine="1928"/>
        <w:jc w:val="both"/>
        <w:rPr>
          <w:rFonts w:hAnsi="標楷體"/>
          <w:b w:val="0"/>
          <w:bCs/>
          <w:snapToGrid/>
          <w:spacing w:val="12"/>
          <w:kern w:val="0"/>
          <w:sz w:val="32"/>
          <w:szCs w:val="32"/>
        </w:rPr>
      </w:pPr>
      <w:r w:rsidRPr="00BB6776">
        <w:rPr>
          <w:rFonts w:hAnsi="標楷體" w:hint="eastAsia"/>
          <w:bCs/>
          <w:snapToGrid/>
          <w:spacing w:val="12"/>
          <w:kern w:val="0"/>
          <w:sz w:val="32"/>
          <w:szCs w:val="32"/>
        </w:rPr>
        <w:t>馬以工</w:t>
      </w:r>
    </w:p>
    <w:sectPr w:rsidR="0015393E" w:rsidSect="001E6A6C">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4E6" w:rsidRDefault="006474E6">
      <w:r>
        <w:separator/>
      </w:r>
    </w:p>
  </w:endnote>
  <w:endnote w:type="continuationSeparator" w:id="0">
    <w:p w:rsidR="006474E6" w:rsidRDefault="006474E6">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4E6" w:rsidRDefault="00A7050F">
    <w:pPr>
      <w:pStyle w:val="af"/>
      <w:framePr w:wrap="around" w:vAnchor="text" w:hAnchor="margin" w:xAlign="center" w:y="1"/>
      <w:rPr>
        <w:rStyle w:val="a7"/>
        <w:sz w:val="24"/>
      </w:rPr>
    </w:pPr>
    <w:r>
      <w:rPr>
        <w:rStyle w:val="a7"/>
        <w:sz w:val="24"/>
      </w:rPr>
      <w:fldChar w:fldCharType="begin"/>
    </w:r>
    <w:r w:rsidR="006474E6">
      <w:rPr>
        <w:rStyle w:val="a7"/>
        <w:sz w:val="24"/>
      </w:rPr>
      <w:instrText xml:space="preserve">PAGE  </w:instrText>
    </w:r>
    <w:r>
      <w:rPr>
        <w:rStyle w:val="a7"/>
        <w:sz w:val="24"/>
      </w:rPr>
      <w:fldChar w:fldCharType="separate"/>
    </w:r>
    <w:r w:rsidR="000F03F6">
      <w:rPr>
        <w:rStyle w:val="a7"/>
        <w:noProof/>
        <w:sz w:val="24"/>
      </w:rPr>
      <w:t>9</w:t>
    </w:r>
    <w:r>
      <w:rPr>
        <w:rStyle w:val="a7"/>
        <w:sz w:val="24"/>
      </w:rPr>
      <w:fldChar w:fldCharType="end"/>
    </w:r>
  </w:p>
  <w:p w:rsidR="006474E6" w:rsidRDefault="006474E6">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4E6" w:rsidRDefault="006474E6">
      <w:r>
        <w:separator/>
      </w:r>
    </w:p>
  </w:footnote>
  <w:footnote w:type="continuationSeparator" w:id="0">
    <w:p w:rsidR="006474E6" w:rsidRDefault="006474E6">
      <w:r>
        <w:continuationSeparator/>
      </w:r>
    </w:p>
  </w:footnote>
  <w:footnote w:id="1">
    <w:p w:rsidR="006474E6" w:rsidRDefault="006474E6" w:rsidP="004563AA">
      <w:pPr>
        <w:pStyle w:val="af1"/>
        <w:ind w:left="170" w:hanging="170"/>
        <w:jc w:val="both"/>
      </w:pPr>
      <w:r>
        <w:rPr>
          <w:rStyle w:val="af3"/>
        </w:rPr>
        <w:footnoteRef/>
      </w:r>
      <w:r>
        <w:rPr>
          <w:rFonts w:hint="eastAsia"/>
        </w:rPr>
        <w:t xml:space="preserve"> </w:t>
      </w:r>
      <w:r w:rsidRPr="00106FCD">
        <w:rPr>
          <w:rFonts w:hint="eastAsia"/>
        </w:rPr>
        <w:t>援引內政部</w:t>
      </w:r>
      <w:r w:rsidRPr="00106FCD">
        <w:rPr>
          <w:rFonts w:hint="eastAsia"/>
        </w:rPr>
        <w:t>74</w:t>
      </w:r>
      <w:r w:rsidRPr="00106FCD">
        <w:rPr>
          <w:rFonts w:hint="eastAsia"/>
        </w:rPr>
        <w:t>年</w:t>
      </w:r>
      <w:r w:rsidRPr="00106FCD">
        <w:rPr>
          <w:rFonts w:hint="eastAsia"/>
        </w:rPr>
        <w:t>8</w:t>
      </w:r>
      <w:r w:rsidRPr="00106FCD">
        <w:rPr>
          <w:rFonts w:hint="eastAsia"/>
        </w:rPr>
        <w:t>月</w:t>
      </w:r>
      <w:r w:rsidRPr="00106FCD">
        <w:rPr>
          <w:rFonts w:hint="eastAsia"/>
        </w:rPr>
        <w:t>29</w:t>
      </w:r>
      <w:r w:rsidRPr="00106FCD">
        <w:rPr>
          <w:rFonts w:hint="eastAsia"/>
        </w:rPr>
        <w:t>日台內營字第</w:t>
      </w:r>
      <w:r w:rsidRPr="00106FCD">
        <w:rPr>
          <w:rFonts w:hint="eastAsia"/>
        </w:rPr>
        <w:t>338031</w:t>
      </w:r>
      <w:r w:rsidRPr="00106FCD">
        <w:rPr>
          <w:rFonts w:hint="eastAsia"/>
        </w:rPr>
        <w:t>號函釋略以：「都市計畫書圖及有關資料規劃製作欠缺或表示不盡明確，究應如何認定疑義……有關認定作業權責單位究為行政單位或都市計畫委員乙節，查各級都市計畫委員會之職掌並無該項權責，自應由行政單位協調辦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FE66D0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96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mailMerge>
    <w:mainDocumentType w:val="mailingLabels"/>
    <w:linkToQuery/>
    <w:dataType w:val="textFile"/>
    <w:query w:val="SELECT * FROM D:\派查資料.doc"/>
    <w:activeRecord w:val="44"/>
    <w:odso/>
  </w:mailMerge>
  <w:defaultTabStop w:val="0"/>
  <w:drawingGridHorizontalSpacing w:val="170"/>
  <w:drawingGridVerticalSpacing w:val="457"/>
  <w:displayHorizontalDrawingGridEvery w:val="0"/>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34908"/>
    <w:rsid w:val="00000729"/>
    <w:rsid w:val="0000290D"/>
    <w:rsid w:val="00006C55"/>
    <w:rsid w:val="00007BE5"/>
    <w:rsid w:val="00012EAF"/>
    <w:rsid w:val="00013B86"/>
    <w:rsid w:val="00017779"/>
    <w:rsid w:val="00021676"/>
    <w:rsid w:val="00022C2F"/>
    <w:rsid w:val="000237E8"/>
    <w:rsid w:val="000276D7"/>
    <w:rsid w:val="000278BF"/>
    <w:rsid w:val="00027E7E"/>
    <w:rsid w:val="00034C6A"/>
    <w:rsid w:val="00037326"/>
    <w:rsid w:val="000423C8"/>
    <w:rsid w:val="000459BC"/>
    <w:rsid w:val="00047528"/>
    <w:rsid w:val="00050B4E"/>
    <w:rsid w:val="000520E0"/>
    <w:rsid w:val="000538E8"/>
    <w:rsid w:val="00053931"/>
    <w:rsid w:val="00054B89"/>
    <w:rsid w:val="00055212"/>
    <w:rsid w:val="00055F57"/>
    <w:rsid w:val="00067B45"/>
    <w:rsid w:val="00070A85"/>
    <w:rsid w:val="00074246"/>
    <w:rsid w:val="000838F5"/>
    <w:rsid w:val="000863E0"/>
    <w:rsid w:val="00087DD5"/>
    <w:rsid w:val="00087E54"/>
    <w:rsid w:val="00090C56"/>
    <w:rsid w:val="00090F3E"/>
    <w:rsid w:val="00096097"/>
    <w:rsid w:val="00096D91"/>
    <w:rsid w:val="000A56A6"/>
    <w:rsid w:val="000A6267"/>
    <w:rsid w:val="000B6C62"/>
    <w:rsid w:val="000B7651"/>
    <w:rsid w:val="000C16C4"/>
    <w:rsid w:val="000C5B2B"/>
    <w:rsid w:val="000D0297"/>
    <w:rsid w:val="000D499B"/>
    <w:rsid w:val="000D5399"/>
    <w:rsid w:val="000D7783"/>
    <w:rsid w:val="000E3AE2"/>
    <w:rsid w:val="000E4220"/>
    <w:rsid w:val="000E5CD0"/>
    <w:rsid w:val="000F03F6"/>
    <w:rsid w:val="000F3DF2"/>
    <w:rsid w:val="000F4409"/>
    <w:rsid w:val="000F5367"/>
    <w:rsid w:val="000F6200"/>
    <w:rsid w:val="000F63DD"/>
    <w:rsid w:val="000F71D5"/>
    <w:rsid w:val="00100771"/>
    <w:rsid w:val="00106FCD"/>
    <w:rsid w:val="00110905"/>
    <w:rsid w:val="00110E5B"/>
    <w:rsid w:val="00120CF3"/>
    <w:rsid w:val="00122F3D"/>
    <w:rsid w:val="001244C4"/>
    <w:rsid w:val="00126025"/>
    <w:rsid w:val="00126865"/>
    <w:rsid w:val="001279CF"/>
    <w:rsid w:val="00132A88"/>
    <w:rsid w:val="0013789E"/>
    <w:rsid w:val="0014487D"/>
    <w:rsid w:val="0015393E"/>
    <w:rsid w:val="00153A7E"/>
    <w:rsid w:val="001577CC"/>
    <w:rsid w:val="00160718"/>
    <w:rsid w:val="00162BD0"/>
    <w:rsid w:val="0016580B"/>
    <w:rsid w:val="00176B20"/>
    <w:rsid w:val="00177C49"/>
    <w:rsid w:val="001826DE"/>
    <w:rsid w:val="00184402"/>
    <w:rsid w:val="00185F8C"/>
    <w:rsid w:val="00186FB6"/>
    <w:rsid w:val="00187E8B"/>
    <w:rsid w:val="00190536"/>
    <w:rsid w:val="00190607"/>
    <w:rsid w:val="00192ED6"/>
    <w:rsid w:val="001A5B75"/>
    <w:rsid w:val="001A692C"/>
    <w:rsid w:val="001B4E96"/>
    <w:rsid w:val="001C03FA"/>
    <w:rsid w:val="001C0729"/>
    <w:rsid w:val="001C3533"/>
    <w:rsid w:val="001C3CDC"/>
    <w:rsid w:val="001C685C"/>
    <w:rsid w:val="001C7060"/>
    <w:rsid w:val="001E114E"/>
    <w:rsid w:val="001E235F"/>
    <w:rsid w:val="001E23F6"/>
    <w:rsid w:val="001E2714"/>
    <w:rsid w:val="001E4D97"/>
    <w:rsid w:val="001E586B"/>
    <w:rsid w:val="001E6A6C"/>
    <w:rsid w:val="001E7193"/>
    <w:rsid w:val="001E7D6C"/>
    <w:rsid w:val="00204766"/>
    <w:rsid w:val="00206E60"/>
    <w:rsid w:val="0021644E"/>
    <w:rsid w:val="00217DFB"/>
    <w:rsid w:val="0022009E"/>
    <w:rsid w:val="00221D55"/>
    <w:rsid w:val="00233B5B"/>
    <w:rsid w:val="00233ED7"/>
    <w:rsid w:val="00234F31"/>
    <w:rsid w:val="00236A89"/>
    <w:rsid w:val="002374E0"/>
    <w:rsid w:val="00241E81"/>
    <w:rsid w:val="00245B5C"/>
    <w:rsid w:val="00246DD6"/>
    <w:rsid w:val="002473FB"/>
    <w:rsid w:val="00250251"/>
    <w:rsid w:val="00250CF4"/>
    <w:rsid w:val="00252C6C"/>
    <w:rsid w:val="00253198"/>
    <w:rsid w:val="002536C5"/>
    <w:rsid w:val="00255B7F"/>
    <w:rsid w:val="00261C80"/>
    <w:rsid w:val="0026298A"/>
    <w:rsid w:val="002634E9"/>
    <w:rsid w:val="00264338"/>
    <w:rsid w:val="00265809"/>
    <w:rsid w:val="0027053A"/>
    <w:rsid w:val="00273322"/>
    <w:rsid w:val="00274225"/>
    <w:rsid w:val="00275E2D"/>
    <w:rsid w:val="00276D71"/>
    <w:rsid w:val="002804F1"/>
    <w:rsid w:val="00280D64"/>
    <w:rsid w:val="0028241E"/>
    <w:rsid w:val="00283EC5"/>
    <w:rsid w:val="00292C14"/>
    <w:rsid w:val="00292D2B"/>
    <w:rsid w:val="00293AC8"/>
    <w:rsid w:val="00294F69"/>
    <w:rsid w:val="00295DC9"/>
    <w:rsid w:val="002A05AF"/>
    <w:rsid w:val="002B16F7"/>
    <w:rsid w:val="002B34E0"/>
    <w:rsid w:val="002C0FF9"/>
    <w:rsid w:val="002C225F"/>
    <w:rsid w:val="002C7EA8"/>
    <w:rsid w:val="002D5B2D"/>
    <w:rsid w:val="002D5B87"/>
    <w:rsid w:val="002D69EF"/>
    <w:rsid w:val="002E51C8"/>
    <w:rsid w:val="002E6C67"/>
    <w:rsid w:val="002E7A37"/>
    <w:rsid w:val="002E7DB1"/>
    <w:rsid w:val="002F2800"/>
    <w:rsid w:val="002F5C5D"/>
    <w:rsid w:val="003023C6"/>
    <w:rsid w:val="00304413"/>
    <w:rsid w:val="0031591D"/>
    <w:rsid w:val="00316AE0"/>
    <w:rsid w:val="003218B7"/>
    <w:rsid w:val="003221E6"/>
    <w:rsid w:val="0032246C"/>
    <w:rsid w:val="003257E9"/>
    <w:rsid w:val="00327AB6"/>
    <w:rsid w:val="00332A9F"/>
    <w:rsid w:val="00334519"/>
    <w:rsid w:val="003348D9"/>
    <w:rsid w:val="00344C4D"/>
    <w:rsid w:val="00355214"/>
    <w:rsid w:val="0035642E"/>
    <w:rsid w:val="00357A6A"/>
    <w:rsid w:val="00363632"/>
    <w:rsid w:val="003659F8"/>
    <w:rsid w:val="00370439"/>
    <w:rsid w:val="00374AB5"/>
    <w:rsid w:val="0037648E"/>
    <w:rsid w:val="00382BCB"/>
    <w:rsid w:val="0038339F"/>
    <w:rsid w:val="00385330"/>
    <w:rsid w:val="00386F7D"/>
    <w:rsid w:val="00387D0E"/>
    <w:rsid w:val="0039111D"/>
    <w:rsid w:val="00395175"/>
    <w:rsid w:val="00395212"/>
    <w:rsid w:val="00396281"/>
    <w:rsid w:val="003A1352"/>
    <w:rsid w:val="003A3DA4"/>
    <w:rsid w:val="003A5D88"/>
    <w:rsid w:val="003B144C"/>
    <w:rsid w:val="003B25AB"/>
    <w:rsid w:val="003B52D3"/>
    <w:rsid w:val="003B54FD"/>
    <w:rsid w:val="003C7920"/>
    <w:rsid w:val="003D10E6"/>
    <w:rsid w:val="003D4B57"/>
    <w:rsid w:val="003D65A0"/>
    <w:rsid w:val="003D7133"/>
    <w:rsid w:val="003E0F25"/>
    <w:rsid w:val="003E4411"/>
    <w:rsid w:val="003E4FA6"/>
    <w:rsid w:val="003E5124"/>
    <w:rsid w:val="003E527D"/>
    <w:rsid w:val="003F75EB"/>
    <w:rsid w:val="0040360A"/>
    <w:rsid w:val="004048B1"/>
    <w:rsid w:val="00414DA5"/>
    <w:rsid w:val="0042157C"/>
    <w:rsid w:val="00423D22"/>
    <w:rsid w:val="004261FD"/>
    <w:rsid w:val="004266A7"/>
    <w:rsid w:val="00427892"/>
    <w:rsid w:val="0043760F"/>
    <w:rsid w:val="00441CB8"/>
    <w:rsid w:val="00442532"/>
    <w:rsid w:val="00442E00"/>
    <w:rsid w:val="00445C9F"/>
    <w:rsid w:val="0045124D"/>
    <w:rsid w:val="00455274"/>
    <w:rsid w:val="004560C2"/>
    <w:rsid w:val="004563AA"/>
    <w:rsid w:val="00457F89"/>
    <w:rsid w:val="004633C2"/>
    <w:rsid w:val="00463C54"/>
    <w:rsid w:val="0046464C"/>
    <w:rsid w:val="004700A1"/>
    <w:rsid w:val="00472B35"/>
    <w:rsid w:val="00474C30"/>
    <w:rsid w:val="0047607D"/>
    <w:rsid w:val="004765B0"/>
    <w:rsid w:val="00476BE0"/>
    <w:rsid w:val="00480864"/>
    <w:rsid w:val="0048193A"/>
    <w:rsid w:val="004841B2"/>
    <w:rsid w:val="00492604"/>
    <w:rsid w:val="00492A34"/>
    <w:rsid w:val="004954D3"/>
    <w:rsid w:val="00495A12"/>
    <w:rsid w:val="00495F86"/>
    <w:rsid w:val="004961A0"/>
    <w:rsid w:val="004A0FA0"/>
    <w:rsid w:val="004A1275"/>
    <w:rsid w:val="004A3758"/>
    <w:rsid w:val="004A59E1"/>
    <w:rsid w:val="004A60CC"/>
    <w:rsid w:val="004A65D6"/>
    <w:rsid w:val="004A6B30"/>
    <w:rsid w:val="004B1404"/>
    <w:rsid w:val="004C1BAF"/>
    <w:rsid w:val="004C2EF9"/>
    <w:rsid w:val="004C6341"/>
    <w:rsid w:val="004D3A29"/>
    <w:rsid w:val="004D4118"/>
    <w:rsid w:val="004D74FD"/>
    <w:rsid w:val="004E7C82"/>
    <w:rsid w:val="004F28E3"/>
    <w:rsid w:val="004F33E7"/>
    <w:rsid w:val="004F3C50"/>
    <w:rsid w:val="004F3F04"/>
    <w:rsid w:val="004F4B18"/>
    <w:rsid w:val="004F562D"/>
    <w:rsid w:val="004F7168"/>
    <w:rsid w:val="0050091D"/>
    <w:rsid w:val="00502308"/>
    <w:rsid w:val="00505047"/>
    <w:rsid w:val="005120FE"/>
    <w:rsid w:val="00517969"/>
    <w:rsid w:val="005204A8"/>
    <w:rsid w:val="005205CF"/>
    <w:rsid w:val="00521EC4"/>
    <w:rsid w:val="00524E39"/>
    <w:rsid w:val="005253AF"/>
    <w:rsid w:val="0052640E"/>
    <w:rsid w:val="005274A3"/>
    <w:rsid w:val="00536C91"/>
    <w:rsid w:val="00553160"/>
    <w:rsid w:val="005622C5"/>
    <w:rsid w:val="0057050A"/>
    <w:rsid w:val="00570AB9"/>
    <w:rsid w:val="00573A28"/>
    <w:rsid w:val="005800D3"/>
    <w:rsid w:val="00580689"/>
    <w:rsid w:val="00582996"/>
    <w:rsid w:val="00583A42"/>
    <w:rsid w:val="0058443F"/>
    <w:rsid w:val="005927A4"/>
    <w:rsid w:val="005A0A9A"/>
    <w:rsid w:val="005A0F99"/>
    <w:rsid w:val="005A39B7"/>
    <w:rsid w:val="005B1217"/>
    <w:rsid w:val="005C3D2C"/>
    <w:rsid w:val="005C47E5"/>
    <w:rsid w:val="005D05B0"/>
    <w:rsid w:val="005D3080"/>
    <w:rsid w:val="005E1674"/>
    <w:rsid w:val="005E1B8B"/>
    <w:rsid w:val="005E7355"/>
    <w:rsid w:val="005F36AC"/>
    <w:rsid w:val="005F4FEC"/>
    <w:rsid w:val="00600C51"/>
    <w:rsid w:val="00601CDE"/>
    <w:rsid w:val="006047DF"/>
    <w:rsid w:val="00605898"/>
    <w:rsid w:val="00605D88"/>
    <w:rsid w:val="00610641"/>
    <w:rsid w:val="006109F9"/>
    <w:rsid w:val="006124A8"/>
    <w:rsid w:val="006135E4"/>
    <w:rsid w:val="00615BC3"/>
    <w:rsid w:val="00621807"/>
    <w:rsid w:val="0062260A"/>
    <w:rsid w:val="00623321"/>
    <w:rsid w:val="00630CD9"/>
    <w:rsid w:val="0064005F"/>
    <w:rsid w:val="006416E2"/>
    <w:rsid w:val="00641732"/>
    <w:rsid w:val="0064701C"/>
    <w:rsid w:val="006474E6"/>
    <w:rsid w:val="006506ED"/>
    <w:rsid w:val="00650BEE"/>
    <w:rsid w:val="00653985"/>
    <w:rsid w:val="0065452A"/>
    <w:rsid w:val="00656115"/>
    <w:rsid w:val="0065636E"/>
    <w:rsid w:val="0066624E"/>
    <w:rsid w:val="0066770A"/>
    <w:rsid w:val="00670441"/>
    <w:rsid w:val="00672566"/>
    <w:rsid w:val="00673F5C"/>
    <w:rsid w:val="006758DD"/>
    <w:rsid w:val="006770B0"/>
    <w:rsid w:val="006819AE"/>
    <w:rsid w:val="00683077"/>
    <w:rsid w:val="00687D5B"/>
    <w:rsid w:val="00691773"/>
    <w:rsid w:val="00694DF4"/>
    <w:rsid w:val="00695E67"/>
    <w:rsid w:val="006A3E1B"/>
    <w:rsid w:val="006A51E7"/>
    <w:rsid w:val="006A75C3"/>
    <w:rsid w:val="006B0278"/>
    <w:rsid w:val="006B1470"/>
    <w:rsid w:val="006B4E46"/>
    <w:rsid w:val="006B4EB6"/>
    <w:rsid w:val="006C63A0"/>
    <w:rsid w:val="006D0163"/>
    <w:rsid w:val="006D58A6"/>
    <w:rsid w:val="006E732D"/>
    <w:rsid w:val="006F0C7F"/>
    <w:rsid w:val="006F33DB"/>
    <w:rsid w:val="006F48AD"/>
    <w:rsid w:val="006F619A"/>
    <w:rsid w:val="006F7F2D"/>
    <w:rsid w:val="0070247F"/>
    <w:rsid w:val="00704CA3"/>
    <w:rsid w:val="00712862"/>
    <w:rsid w:val="00713FBA"/>
    <w:rsid w:val="007159BA"/>
    <w:rsid w:val="0072187E"/>
    <w:rsid w:val="007269DC"/>
    <w:rsid w:val="0073249D"/>
    <w:rsid w:val="00734908"/>
    <w:rsid w:val="00734921"/>
    <w:rsid w:val="007402FC"/>
    <w:rsid w:val="007429FF"/>
    <w:rsid w:val="00745106"/>
    <w:rsid w:val="00753064"/>
    <w:rsid w:val="007538FA"/>
    <w:rsid w:val="00755406"/>
    <w:rsid w:val="007578AF"/>
    <w:rsid w:val="00763A15"/>
    <w:rsid w:val="00765789"/>
    <w:rsid w:val="00767050"/>
    <w:rsid w:val="00771CC4"/>
    <w:rsid w:val="007739C8"/>
    <w:rsid w:val="00775019"/>
    <w:rsid w:val="00775DAB"/>
    <w:rsid w:val="007767FE"/>
    <w:rsid w:val="0078191C"/>
    <w:rsid w:val="007820EA"/>
    <w:rsid w:val="00787AFF"/>
    <w:rsid w:val="007916C4"/>
    <w:rsid w:val="0079399E"/>
    <w:rsid w:val="007970C3"/>
    <w:rsid w:val="007A1029"/>
    <w:rsid w:val="007A1B36"/>
    <w:rsid w:val="007A58E6"/>
    <w:rsid w:val="007A73ED"/>
    <w:rsid w:val="007B01A2"/>
    <w:rsid w:val="007B4B4F"/>
    <w:rsid w:val="007B6415"/>
    <w:rsid w:val="007B6831"/>
    <w:rsid w:val="007C5501"/>
    <w:rsid w:val="007D11BA"/>
    <w:rsid w:val="007D1839"/>
    <w:rsid w:val="007D21A3"/>
    <w:rsid w:val="007D6659"/>
    <w:rsid w:val="007E0BE7"/>
    <w:rsid w:val="007E4CB6"/>
    <w:rsid w:val="007E598A"/>
    <w:rsid w:val="007F29A3"/>
    <w:rsid w:val="007F30A8"/>
    <w:rsid w:val="007F43BC"/>
    <w:rsid w:val="007F79EC"/>
    <w:rsid w:val="00802789"/>
    <w:rsid w:val="00805159"/>
    <w:rsid w:val="00805D2D"/>
    <w:rsid w:val="00806921"/>
    <w:rsid w:val="00811D58"/>
    <w:rsid w:val="008154DE"/>
    <w:rsid w:val="00816CE9"/>
    <w:rsid w:val="008249F7"/>
    <w:rsid w:val="008258AE"/>
    <w:rsid w:val="008272DB"/>
    <w:rsid w:val="0083148E"/>
    <w:rsid w:val="0083196D"/>
    <w:rsid w:val="00832FF4"/>
    <w:rsid w:val="00833FBE"/>
    <w:rsid w:val="0083468B"/>
    <w:rsid w:val="00836BFC"/>
    <w:rsid w:val="008434EA"/>
    <w:rsid w:val="00845E15"/>
    <w:rsid w:val="00852476"/>
    <w:rsid w:val="0085599F"/>
    <w:rsid w:val="00861832"/>
    <w:rsid w:val="00861D54"/>
    <w:rsid w:val="00861D83"/>
    <w:rsid w:val="00863537"/>
    <w:rsid w:val="008669D6"/>
    <w:rsid w:val="00866ACF"/>
    <w:rsid w:val="00871F14"/>
    <w:rsid w:val="00874D4F"/>
    <w:rsid w:val="00882590"/>
    <w:rsid w:val="00890063"/>
    <w:rsid w:val="0089436B"/>
    <w:rsid w:val="00896673"/>
    <w:rsid w:val="008A1571"/>
    <w:rsid w:val="008A4496"/>
    <w:rsid w:val="008A53E8"/>
    <w:rsid w:val="008A5F9D"/>
    <w:rsid w:val="008C01C7"/>
    <w:rsid w:val="008C2F69"/>
    <w:rsid w:val="008C4D1A"/>
    <w:rsid w:val="008C5E6B"/>
    <w:rsid w:val="008C75F5"/>
    <w:rsid w:val="008D0C1A"/>
    <w:rsid w:val="008D36A2"/>
    <w:rsid w:val="008D4052"/>
    <w:rsid w:val="008E2DDF"/>
    <w:rsid w:val="008E36CF"/>
    <w:rsid w:val="008E46CB"/>
    <w:rsid w:val="008E654C"/>
    <w:rsid w:val="008E7898"/>
    <w:rsid w:val="008F0914"/>
    <w:rsid w:val="008F1827"/>
    <w:rsid w:val="00901A10"/>
    <w:rsid w:val="009031A9"/>
    <w:rsid w:val="0090369A"/>
    <w:rsid w:val="0090461B"/>
    <w:rsid w:val="009059EA"/>
    <w:rsid w:val="00907292"/>
    <w:rsid w:val="009248EB"/>
    <w:rsid w:val="00926FE0"/>
    <w:rsid w:val="0092768A"/>
    <w:rsid w:val="009315CD"/>
    <w:rsid w:val="009317E3"/>
    <w:rsid w:val="00932542"/>
    <w:rsid w:val="00933F10"/>
    <w:rsid w:val="00935E41"/>
    <w:rsid w:val="00937D41"/>
    <w:rsid w:val="00942CAF"/>
    <w:rsid w:val="009442FD"/>
    <w:rsid w:val="00950A2F"/>
    <w:rsid w:val="00964D2A"/>
    <w:rsid w:val="00965653"/>
    <w:rsid w:val="0097112D"/>
    <w:rsid w:val="009842F0"/>
    <w:rsid w:val="00985D86"/>
    <w:rsid w:val="00986DDD"/>
    <w:rsid w:val="00993AE8"/>
    <w:rsid w:val="009956ED"/>
    <w:rsid w:val="009A6F8C"/>
    <w:rsid w:val="009B2062"/>
    <w:rsid w:val="009B3111"/>
    <w:rsid w:val="009B354F"/>
    <w:rsid w:val="009B38AD"/>
    <w:rsid w:val="009B5AB6"/>
    <w:rsid w:val="009B73EE"/>
    <w:rsid w:val="009C159C"/>
    <w:rsid w:val="009C33B7"/>
    <w:rsid w:val="009C350A"/>
    <w:rsid w:val="009C3C2A"/>
    <w:rsid w:val="009C447F"/>
    <w:rsid w:val="009D3AAD"/>
    <w:rsid w:val="009D5795"/>
    <w:rsid w:val="009D6CD7"/>
    <w:rsid w:val="009E08F4"/>
    <w:rsid w:val="009E3B13"/>
    <w:rsid w:val="009E4772"/>
    <w:rsid w:val="009E512F"/>
    <w:rsid w:val="009F3C4A"/>
    <w:rsid w:val="009F45E4"/>
    <w:rsid w:val="009F55CC"/>
    <w:rsid w:val="009F5FE7"/>
    <w:rsid w:val="009F7F15"/>
    <w:rsid w:val="00A0461C"/>
    <w:rsid w:val="00A04732"/>
    <w:rsid w:val="00A04CFD"/>
    <w:rsid w:val="00A05550"/>
    <w:rsid w:val="00A133F0"/>
    <w:rsid w:val="00A1605C"/>
    <w:rsid w:val="00A20FD7"/>
    <w:rsid w:val="00A238D2"/>
    <w:rsid w:val="00A360D3"/>
    <w:rsid w:val="00A36751"/>
    <w:rsid w:val="00A37CCA"/>
    <w:rsid w:val="00A40BD5"/>
    <w:rsid w:val="00A4639F"/>
    <w:rsid w:val="00A51CBF"/>
    <w:rsid w:val="00A5257A"/>
    <w:rsid w:val="00A52643"/>
    <w:rsid w:val="00A52C47"/>
    <w:rsid w:val="00A57159"/>
    <w:rsid w:val="00A64D02"/>
    <w:rsid w:val="00A6619B"/>
    <w:rsid w:val="00A7050F"/>
    <w:rsid w:val="00A73D3C"/>
    <w:rsid w:val="00A73F6D"/>
    <w:rsid w:val="00A74110"/>
    <w:rsid w:val="00A77188"/>
    <w:rsid w:val="00A77489"/>
    <w:rsid w:val="00A80203"/>
    <w:rsid w:val="00A80FA0"/>
    <w:rsid w:val="00A823AD"/>
    <w:rsid w:val="00A859B2"/>
    <w:rsid w:val="00A903A5"/>
    <w:rsid w:val="00A9281D"/>
    <w:rsid w:val="00A941C1"/>
    <w:rsid w:val="00A97C89"/>
    <w:rsid w:val="00AA0FE4"/>
    <w:rsid w:val="00AA3368"/>
    <w:rsid w:val="00AA3910"/>
    <w:rsid w:val="00AA547E"/>
    <w:rsid w:val="00AA5A73"/>
    <w:rsid w:val="00AA677B"/>
    <w:rsid w:val="00AB1D29"/>
    <w:rsid w:val="00AB649C"/>
    <w:rsid w:val="00AB6EA3"/>
    <w:rsid w:val="00AC11C3"/>
    <w:rsid w:val="00AC5E8B"/>
    <w:rsid w:val="00AD0FF0"/>
    <w:rsid w:val="00AD242A"/>
    <w:rsid w:val="00AD45E4"/>
    <w:rsid w:val="00AE1E0E"/>
    <w:rsid w:val="00AE365F"/>
    <w:rsid w:val="00AE548A"/>
    <w:rsid w:val="00AE5CB1"/>
    <w:rsid w:val="00AF0998"/>
    <w:rsid w:val="00AF0CAA"/>
    <w:rsid w:val="00AF0E21"/>
    <w:rsid w:val="00AF27CE"/>
    <w:rsid w:val="00AF28D2"/>
    <w:rsid w:val="00AF6921"/>
    <w:rsid w:val="00B07832"/>
    <w:rsid w:val="00B1195B"/>
    <w:rsid w:val="00B13512"/>
    <w:rsid w:val="00B1778B"/>
    <w:rsid w:val="00B22E8B"/>
    <w:rsid w:val="00B26809"/>
    <w:rsid w:val="00B31AF6"/>
    <w:rsid w:val="00B33332"/>
    <w:rsid w:val="00B36C77"/>
    <w:rsid w:val="00B3782C"/>
    <w:rsid w:val="00B43796"/>
    <w:rsid w:val="00B44908"/>
    <w:rsid w:val="00B47ABA"/>
    <w:rsid w:val="00B507A8"/>
    <w:rsid w:val="00B52399"/>
    <w:rsid w:val="00B53478"/>
    <w:rsid w:val="00B53B65"/>
    <w:rsid w:val="00B56014"/>
    <w:rsid w:val="00B60006"/>
    <w:rsid w:val="00B61456"/>
    <w:rsid w:val="00B619A6"/>
    <w:rsid w:val="00B61B18"/>
    <w:rsid w:val="00B6336E"/>
    <w:rsid w:val="00B63E58"/>
    <w:rsid w:val="00B64125"/>
    <w:rsid w:val="00B645B5"/>
    <w:rsid w:val="00B67AA7"/>
    <w:rsid w:val="00B7294F"/>
    <w:rsid w:val="00B76B44"/>
    <w:rsid w:val="00B8067B"/>
    <w:rsid w:val="00B81A9E"/>
    <w:rsid w:val="00B8421A"/>
    <w:rsid w:val="00B850E3"/>
    <w:rsid w:val="00B9018E"/>
    <w:rsid w:val="00B9103A"/>
    <w:rsid w:val="00B924E8"/>
    <w:rsid w:val="00B93F91"/>
    <w:rsid w:val="00B94060"/>
    <w:rsid w:val="00B94749"/>
    <w:rsid w:val="00B97FED"/>
    <w:rsid w:val="00BB134A"/>
    <w:rsid w:val="00BB22C7"/>
    <w:rsid w:val="00BB6121"/>
    <w:rsid w:val="00BB617D"/>
    <w:rsid w:val="00BB6776"/>
    <w:rsid w:val="00BD2AD2"/>
    <w:rsid w:val="00BD5CE2"/>
    <w:rsid w:val="00BD61A4"/>
    <w:rsid w:val="00BD6F0E"/>
    <w:rsid w:val="00BE2465"/>
    <w:rsid w:val="00BE250F"/>
    <w:rsid w:val="00BE4CBC"/>
    <w:rsid w:val="00BF1151"/>
    <w:rsid w:val="00BF346F"/>
    <w:rsid w:val="00BF42ED"/>
    <w:rsid w:val="00C03545"/>
    <w:rsid w:val="00C06168"/>
    <w:rsid w:val="00C23362"/>
    <w:rsid w:val="00C24107"/>
    <w:rsid w:val="00C251AA"/>
    <w:rsid w:val="00C278D0"/>
    <w:rsid w:val="00C319FD"/>
    <w:rsid w:val="00C338AD"/>
    <w:rsid w:val="00C3569A"/>
    <w:rsid w:val="00C41594"/>
    <w:rsid w:val="00C4191F"/>
    <w:rsid w:val="00C43A28"/>
    <w:rsid w:val="00C472D4"/>
    <w:rsid w:val="00C528FA"/>
    <w:rsid w:val="00C5326A"/>
    <w:rsid w:val="00C573F1"/>
    <w:rsid w:val="00C61E5D"/>
    <w:rsid w:val="00C63F08"/>
    <w:rsid w:val="00C71533"/>
    <w:rsid w:val="00C71919"/>
    <w:rsid w:val="00C72ECB"/>
    <w:rsid w:val="00C74CB8"/>
    <w:rsid w:val="00C80028"/>
    <w:rsid w:val="00C84F7F"/>
    <w:rsid w:val="00C85475"/>
    <w:rsid w:val="00C9259F"/>
    <w:rsid w:val="00C947C6"/>
    <w:rsid w:val="00C95C88"/>
    <w:rsid w:val="00CA2314"/>
    <w:rsid w:val="00CA3514"/>
    <w:rsid w:val="00CA403B"/>
    <w:rsid w:val="00CA4669"/>
    <w:rsid w:val="00CA5044"/>
    <w:rsid w:val="00CB1D09"/>
    <w:rsid w:val="00CB2404"/>
    <w:rsid w:val="00CC39FB"/>
    <w:rsid w:val="00CC6308"/>
    <w:rsid w:val="00CD15C3"/>
    <w:rsid w:val="00CD18C4"/>
    <w:rsid w:val="00CD26C9"/>
    <w:rsid w:val="00CD2E96"/>
    <w:rsid w:val="00CD3DEC"/>
    <w:rsid w:val="00CE6346"/>
    <w:rsid w:val="00CF18FE"/>
    <w:rsid w:val="00CF1D3E"/>
    <w:rsid w:val="00CF475A"/>
    <w:rsid w:val="00CF4B9D"/>
    <w:rsid w:val="00D04BF6"/>
    <w:rsid w:val="00D05B05"/>
    <w:rsid w:val="00D05E20"/>
    <w:rsid w:val="00D0786D"/>
    <w:rsid w:val="00D1450C"/>
    <w:rsid w:val="00D20B71"/>
    <w:rsid w:val="00D21A03"/>
    <w:rsid w:val="00D264B4"/>
    <w:rsid w:val="00D30882"/>
    <w:rsid w:val="00D32B86"/>
    <w:rsid w:val="00D33862"/>
    <w:rsid w:val="00D35283"/>
    <w:rsid w:val="00D42F23"/>
    <w:rsid w:val="00D46C46"/>
    <w:rsid w:val="00D540EE"/>
    <w:rsid w:val="00D57F62"/>
    <w:rsid w:val="00D61AE1"/>
    <w:rsid w:val="00D61EB1"/>
    <w:rsid w:val="00D67E37"/>
    <w:rsid w:val="00D72DC3"/>
    <w:rsid w:val="00D760E7"/>
    <w:rsid w:val="00D76208"/>
    <w:rsid w:val="00D774E4"/>
    <w:rsid w:val="00D81D55"/>
    <w:rsid w:val="00D83DC7"/>
    <w:rsid w:val="00D84CCB"/>
    <w:rsid w:val="00D913E8"/>
    <w:rsid w:val="00D925E1"/>
    <w:rsid w:val="00D92A06"/>
    <w:rsid w:val="00DA2F50"/>
    <w:rsid w:val="00DA2F7F"/>
    <w:rsid w:val="00DA4852"/>
    <w:rsid w:val="00DA6C47"/>
    <w:rsid w:val="00DB0209"/>
    <w:rsid w:val="00DC38DF"/>
    <w:rsid w:val="00DC5750"/>
    <w:rsid w:val="00DD00A7"/>
    <w:rsid w:val="00DD31AC"/>
    <w:rsid w:val="00DD40D5"/>
    <w:rsid w:val="00DD72F4"/>
    <w:rsid w:val="00DE0A22"/>
    <w:rsid w:val="00DE1FB0"/>
    <w:rsid w:val="00DE3633"/>
    <w:rsid w:val="00DF1B92"/>
    <w:rsid w:val="00DF72BD"/>
    <w:rsid w:val="00E01636"/>
    <w:rsid w:val="00E02FA1"/>
    <w:rsid w:val="00E03BE6"/>
    <w:rsid w:val="00E0408D"/>
    <w:rsid w:val="00E07AAA"/>
    <w:rsid w:val="00E1026A"/>
    <w:rsid w:val="00E125BF"/>
    <w:rsid w:val="00E13711"/>
    <w:rsid w:val="00E14442"/>
    <w:rsid w:val="00E14551"/>
    <w:rsid w:val="00E20B94"/>
    <w:rsid w:val="00E2179E"/>
    <w:rsid w:val="00E233AB"/>
    <w:rsid w:val="00E2576A"/>
    <w:rsid w:val="00E265C9"/>
    <w:rsid w:val="00E308E3"/>
    <w:rsid w:val="00E325A5"/>
    <w:rsid w:val="00E35666"/>
    <w:rsid w:val="00E35F26"/>
    <w:rsid w:val="00E3636F"/>
    <w:rsid w:val="00E43D70"/>
    <w:rsid w:val="00E4575D"/>
    <w:rsid w:val="00E52605"/>
    <w:rsid w:val="00E52D4D"/>
    <w:rsid w:val="00E56465"/>
    <w:rsid w:val="00E56744"/>
    <w:rsid w:val="00E62B78"/>
    <w:rsid w:val="00E654B5"/>
    <w:rsid w:val="00E730AF"/>
    <w:rsid w:val="00E761F5"/>
    <w:rsid w:val="00E82D90"/>
    <w:rsid w:val="00E860DF"/>
    <w:rsid w:val="00E866B9"/>
    <w:rsid w:val="00E91DBA"/>
    <w:rsid w:val="00EA0E09"/>
    <w:rsid w:val="00EA2EC8"/>
    <w:rsid w:val="00EA4432"/>
    <w:rsid w:val="00EA48E6"/>
    <w:rsid w:val="00EA67CB"/>
    <w:rsid w:val="00EB1A0A"/>
    <w:rsid w:val="00EB3C82"/>
    <w:rsid w:val="00EB7BD7"/>
    <w:rsid w:val="00EC3AD1"/>
    <w:rsid w:val="00EC6856"/>
    <w:rsid w:val="00EC7FBC"/>
    <w:rsid w:val="00ED1194"/>
    <w:rsid w:val="00ED2BFF"/>
    <w:rsid w:val="00ED7227"/>
    <w:rsid w:val="00ED769A"/>
    <w:rsid w:val="00EE0B2A"/>
    <w:rsid w:val="00EE18D5"/>
    <w:rsid w:val="00EE1CA6"/>
    <w:rsid w:val="00EE6C4A"/>
    <w:rsid w:val="00EF0AFB"/>
    <w:rsid w:val="00EF1CCE"/>
    <w:rsid w:val="00EF520E"/>
    <w:rsid w:val="00EF5ACB"/>
    <w:rsid w:val="00EF614D"/>
    <w:rsid w:val="00F00C05"/>
    <w:rsid w:val="00F03BF5"/>
    <w:rsid w:val="00F13B91"/>
    <w:rsid w:val="00F22E12"/>
    <w:rsid w:val="00F232FD"/>
    <w:rsid w:val="00F27A63"/>
    <w:rsid w:val="00F3238A"/>
    <w:rsid w:val="00F327AC"/>
    <w:rsid w:val="00F328E7"/>
    <w:rsid w:val="00F33F9F"/>
    <w:rsid w:val="00F37413"/>
    <w:rsid w:val="00F37A94"/>
    <w:rsid w:val="00F431B9"/>
    <w:rsid w:val="00F44E28"/>
    <w:rsid w:val="00F4509B"/>
    <w:rsid w:val="00F4725C"/>
    <w:rsid w:val="00F47A29"/>
    <w:rsid w:val="00F50F9D"/>
    <w:rsid w:val="00F53525"/>
    <w:rsid w:val="00F545B3"/>
    <w:rsid w:val="00F60FFF"/>
    <w:rsid w:val="00F63B30"/>
    <w:rsid w:val="00F64CA6"/>
    <w:rsid w:val="00F773A6"/>
    <w:rsid w:val="00F80B30"/>
    <w:rsid w:val="00F85CE8"/>
    <w:rsid w:val="00F8670E"/>
    <w:rsid w:val="00F87AD3"/>
    <w:rsid w:val="00F91168"/>
    <w:rsid w:val="00F9154D"/>
    <w:rsid w:val="00F91F43"/>
    <w:rsid w:val="00F92DA2"/>
    <w:rsid w:val="00FA4C9D"/>
    <w:rsid w:val="00FB00AE"/>
    <w:rsid w:val="00FB27B2"/>
    <w:rsid w:val="00FB28B2"/>
    <w:rsid w:val="00FB7265"/>
    <w:rsid w:val="00FD1DD5"/>
    <w:rsid w:val="00FD2A98"/>
    <w:rsid w:val="00FE009A"/>
    <w:rsid w:val="00FE43D9"/>
    <w:rsid w:val="00FE46EE"/>
    <w:rsid w:val="00FE6075"/>
    <w:rsid w:val="00FF0CC8"/>
    <w:rsid w:val="00FF3E45"/>
    <w:rsid w:val="00FF62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E6A6C"/>
    <w:pPr>
      <w:widowControl w:val="0"/>
      <w:jc w:val="center"/>
    </w:pPr>
    <w:rPr>
      <w:rFonts w:eastAsia="標楷體"/>
      <w:kern w:val="2"/>
      <w:sz w:val="32"/>
    </w:rPr>
  </w:style>
  <w:style w:type="paragraph" w:styleId="1">
    <w:name w:val="heading 1"/>
    <w:basedOn w:val="a1"/>
    <w:qFormat/>
    <w:rsid w:val="001E6A6C"/>
    <w:pPr>
      <w:numPr>
        <w:numId w:val="1"/>
      </w:numPr>
      <w:kinsoku w:val="0"/>
      <w:jc w:val="both"/>
      <w:outlineLvl w:val="0"/>
    </w:pPr>
    <w:rPr>
      <w:rFonts w:ascii="標楷體" w:hAnsi="Arial"/>
      <w:bCs/>
      <w:kern w:val="0"/>
      <w:szCs w:val="52"/>
    </w:rPr>
  </w:style>
  <w:style w:type="paragraph" w:styleId="2">
    <w:name w:val="heading 2"/>
    <w:basedOn w:val="a1"/>
    <w:link w:val="20"/>
    <w:qFormat/>
    <w:rsid w:val="001E6A6C"/>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E6A6C"/>
    <w:pPr>
      <w:numPr>
        <w:ilvl w:val="2"/>
        <w:numId w:val="1"/>
      </w:numPr>
      <w:kinsoku w:val="0"/>
      <w:jc w:val="both"/>
      <w:outlineLvl w:val="2"/>
    </w:pPr>
    <w:rPr>
      <w:rFonts w:ascii="標楷體" w:hAnsi="Arial"/>
      <w:bCs/>
      <w:kern w:val="0"/>
      <w:szCs w:val="36"/>
    </w:rPr>
  </w:style>
  <w:style w:type="paragraph" w:styleId="4">
    <w:name w:val="heading 4"/>
    <w:basedOn w:val="a1"/>
    <w:qFormat/>
    <w:rsid w:val="001E6A6C"/>
    <w:pPr>
      <w:numPr>
        <w:ilvl w:val="3"/>
        <w:numId w:val="1"/>
      </w:numPr>
      <w:jc w:val="both"/>
      <w:outlineLvl w:val="3"/>
    </w:pPr>
    <w:rPr>
      <w:rFonts w:ascii="標楷體" w:hAnsi="Arial"/>
      <w:szCs w:val="36"/>
    </w:rPr>
  </w:style>
  <w:style w:type="paragraph" w:styleId="5">
    <w:name w:val="heading 5"/>
    <w:basedOn w:val="a1"/>
    <w:qFormat/>
    <w:rsid w:val="001E6A6C"/>
    <w:pPr>
      <w:numPr>
        <w:ilvl w:val="4"/>
        <w:numId w:val="1"/>
      </w:numPr>
      <w:kinsoku w:val="0"/>
      <w:jc w:val="both"/>
      <w:outlineLvl w:val="4"/>
    </w:pPr>
    <w:rPr>
      <w:rFonts w:ascii="標楷體" w:hAnsi="Arial"/>
      <w:bCs/>
      <w:szCs w:val="36"/>
    </w:rPr>
  </w:style>
  <w:style w:type="paragraph" w:styleId="6">
    <w:name w:val="heading 6"/>
    <w:basedOn w:val="a1"/>
    <w:qFormat/>
    <w:rsid w:val="001E6A6C"/>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E6A6C"/>
    <w:pPr>
      <w:numPr>
        <w:ilvl w:val="6"/>
        <w:numId w:val="1"/>
      </w:numPr>
      <w:kinsoku w:val="0"/>
      <w:jc w:val="both"/>
      <w:outlineLvl w:val="6"/>
    </w:pPr>
    <w:rPr>
      <w:rFonts w:ascii="標楷體" w:hAnsi="Arial"/>
      <w:bCs/>
      <w:szCs w:val="36"/>
    </w:rPr>
  </w:style>
  <w:style w:type="paragraph" w:styleId="8">
    <w:name w:val="heading 8"/>
    <w:basedOn w:val="a1"/>
    <w:qFormat/>
    <w:rsid w:val="001E6A6C"/>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E6A6C"/>
    <w:pPr>
      <w:spacing w:before="720" w:after="720"/>
      <w:ind w:left="7371"/>
    </w:pPr>
    <w:rPr>
      <w:rFonts w:ascii="標楷體"/>
      <w:b/>
      <w:snapToGrid w:val="0"/>
      <w:spacing w:val="10"/>
      <w:sz w:val="36"/>
    </w:rPr>
  </w:style>
  <w:style w:type="paragraph" w:styleId="a6">
    <w:name w:val="endnote text"/>
    <w:basedOn w:val="a1"/>
    <w:semiHidden/>
    <w:rsid w:val="001E6A6C"/>
    <w:pPr>
      <w:spacing w:before="240"/>
      <w:ind w:left="1021" w:hanging="1021"/>
      <w:jc w:val="both"/>
    </w:pPr>
    <w:rPr>
      <w:rFonts w:ascii="標楷體"/>
      <w:snapToGrid w:val="0"/>
      <w:spacing w:val="10"/>
    </w:rPr>
  </w:style>
  <w:style w:type="paragraph" w:styleId="50">
    <w:name w:val="toc 5"/>
    <w:basedOn w:val="a1"/>
    <w:next w:val="a1"/>
    <w:autoRedefine/>
    <w:semiHidden/>
    <w:rsid w:val="001E6A6C"/>
    <w:pPr>
      <w:ind w:leftChars="400" w:left="600" w:rightChars="200" w:right="200" w:hangingChars="200" w:hanging="200"/>
    </w:pPr>
    <w:rPr>
      <w:rFonts w:ascii="標楷體"/>
    </w:rPr>
  </w:style>
  <w:style w:type="character" w:styleId="a7">
    <w:name w:val="page number"/>
    <w:basedOn w:val="a2"/>
    <w:semiHidden/>
    <w:rsid w:val="001E6A6C"/>
    <w:rPr>
      <w:rFonts w:ascii="標楷體" w:eastAsia="標楷體"/>
      <w:sz w:val="20"/>
    </w:rPr>
  </w:style>
  <w:style w:type="paragraph" w:styleId="60">
    <w:name w:val="toc 6"/>
    <w:basedOn w:val="a1"/>
    <w:next w:val="a1"/>
    <w:autoRedefine/>
    <w:semiHidden/>
    <w:rsid w:val="001E6A6C"/>
    <w:pPr>
      <w:ind w:leftChars="500" w:left="500"/>
    </w:pPr>
    <w:rPr>
      <w:rFonts w:ascii="標楷體"/>
    </w:rPr>
  </w:style>
  <w:style w:type="paragraph" w:customStyle="1" w:styleId="10">
    <w:name w:val="段落樣式1"/>
    <w:basedOn w:val="a1"/>
    <w:rsid w:val="001E6A6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E6A6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E6A6C"/>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1E6A6C"/>
    <w:pPr>
      <w:kinsoku w:val="0"/>
      <w:ind w:leftChars="100" w:left="300" w:rightChars="200" w:right="200" w:hangingChars="200" w:hanging="200"/>
    </w:pPr>
    <w:rPr>
      <w:rFonts w:ascii="標楷體"/>
      <w:noProof/>
    </w:rPr>
  </w:style>
  <w:style w:type="paragraph" w:styleId="31">
    <w:name w:val="toc 3"/>
    <w:basedOn w:val="a1"/>
    <w:next w:val="a1"/>
    <w:autoRedefine/>
    <w:semiHidden/>
    <w:rsid w:val="001E6A6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E6A6C"/>
    <w:pPr>
      <w:kinsoku w:val="0"/>
      <w:ind w:leftChars="300" w:left="500" w:rightChars="200" w:right="200" w:hangingChars="200" w:hanging="200"/>
      <w:jc w:val="both"/>
    </w:pPr>
    <w:rPr>
      <w:rFonts w:ascii="標楷體"/>
    </w:rPr>
  </w:style>
  <w:style w:type="paragraph" w:styleId="70">
    <w:name w:val="toc 7"/>
    <w:basedOn w:val="a1"/>
    <w:next w:val="a1"/>
    <w:autoRedefine/>
    <w:semiHidden/>
    <w:rsid w:val="001E6A6C"/>
    <w:pPr>
      <w:ind w:leftChars="600" w:left="800" w:hangingChars="200" w:hanging="200"/>
    </w:pPr>
    <w:rPr>
      <w:rFonts w:ascii="標楷體"/>
    </w:rPr>
  </w:style>
  <w:style w:type="paragraph" w:styleId="80">
    <w:name w:val="toc 8"/>
    <w:basedOn w:val="a1"/>
    <w:next w:val="a1"/>
    <w:autoRedefine/>
    <w:semiHidden/>
    <w:rsid w:val="001E6A6C"/>
    <w:pPr>
      <w:ind w:leftChars="700" w:left="900" w:hangingChars="200" w:hanging="200"/>
    </w:pPr>
    <w:rPr>
      <w:rFonts w:ascii="標楷體"/>
    </w:rPr>
  </w:style>
  <w:style w:type="paragraph" w:styleId="9">
    <w:name w:val="toc 9"/>
    <w:basedOn w:val="a1"/>
    <w:next w:val="a1"/>
    <w:autoRedefine/>
    <w:semiHidden/>
    <w:rsid w:val="001E6A6C"/>
    <w:pPr>
      <w:ind w:leftChars="1600" w:left="3840"/>
    </w:pPr>
  </w:style>
  <w:style w:type="paragraph" w:styleId="a8">
    <w:name w:val="header"/>
    <w:basedOn w:val="a1"/>
    <w:semiHidden/>
    <w:rsid w:val="001E6A6C"/>
    <w:pPr>
      <w:tabs>
        <w:tab w:val="center" w:pos="4153"/>
        <w:tab w:val="right" w:pos="8306"/>
      </w:tabs>
      <w:snapToGrid w:val="0"/>
    </w:pPr>
    <w:rPr>
      <w:sz w:val="20"/>
    </w:rPr>
  </w:style>
  <w:style w:type="paragraph" w:customStyle="1" w:styleId="32">
    <w:name w:val="段落樣式3"/>
    <w:basedOn w:val="21"/>
    <w:rsid w:val="001E6A6C"/>
    <w:pPr>
      <w:ind w:leftChars="400" w:left="400"/>
    </w:pPr>
  </w:style>
  <w:style w:type="character" w:styleId="a9">
    <w:name w:val="Hyperlink"/>
    <w:basedOn w:val="a2"/>
    <w:semiHidden/>
    <w:rsid w:val="001E6A6C"/>
    <w:rPr>
      <w:color w:val="0000FF"/>
      <w:u w:val="single"/>
    </w:rPr>
  </w:style>
  <w:style w:type="paragraph" w:customStyle="1" w:styleId="aa">
    <w:name w:val="簽名日期"/>
    <w:basedOn w:val="a1"/>
    <w:rsid w:val="001E6A6C"/>
    <w:pPr>
      <w:kinsoku w:val="0"/>
      <w:jc w:val="distribute"/>
    </w:pPr>
    <w:rPr>
      <w:kern w:val="0"/>
    </w:rPr>
  </w:style>
  <w:style w:type="paragraph" w:customStyle="1" w:styleId="0">
    <w:name w:val="段落樣式0"/>
    <w:basedOn w:val="21"/>
    <w:rsid w:val="001E6A6C"/>
    <w:pPr>
      <w:ind w:leftChars="200" w:left="200" w:firstLineChars="0" w:firstLine="0"/>
    </w:pPr>
  </w:style>
  <w:style w:type="paragraph" w:customStyle="1" w:styleId="ab">
    <w:name w:val="附件"/>
    <w:basedOn w:val="a6"/>
    <w:rsid w:val="001E6A6C"/>
    <w:pPr>
      <w:kinsoku w:val="0"/>
      <w:spacing w:before="0"/>
      <w:ind w:left="1047" w:hangingChars="300" w:hanging="1047"/>
    </w:pPr>
    <w:rPr>
      <w:snapToGrid/>
      <w:spacing w:val="0"/>
      <w:kern w:val="0"/>
    </w:rPr>
  </w:style>
  <w:style w:type="paragraph" w:customStyle="1" w:styleId="41">
    <w:name w:val="段落樣式4"/>
    <w:basedOn w:val="32"/>
    <w:rsid w:val="001E6A6C"/>
    <w:pPr>
      <w:ind w:leftChars="500" w:left="500"/>
    </w:pPr>
  </w:style>
  <w:style w:type="paragraph" w:customStyle="1" w:styleId="51">
    <w:name w:val="段落樣式5"/>
    <w:basedOn w:val="41"/>
    <w:rsid w:val="001E6A6C"/>
    <w:pPr>
      <w:ind w:leftChars="600" w:left="600"/>
    </w:pPr>
  </w:style>
  <w:style w:type="paragraph" w:customStyle="1" w:styleId="61">
    <w:name w:val="段落樣式6"/>
    <w:basedOn w:val="51"/>
    <w:rsid w:val="001E6A6C"/>
    <w:pPr>
      <w:ind w:leftChars="700" w:left="700"/>
    </w:pPr>
  </w:style>
  <w:style w:type="paragraph" w:customStyle="1" w:styleId="71">
    <w:name w:val="段落樣式7"/>
    <w:basedOn w:val="61"/>
    <w:rsid w:val="001E6A6C"/>
  </w:style>
  <w:style w:type="paragraph" w:customStyle="1" w:styleId="81">
    <w:name w:val="段落樣式8"/>
    <w:basedOn w:val="71"/>
    <w:rsid w:val="001E6A6C"/>
    <w:pPr>
      <w:ind w:leftChars="800" w:left="800"/>
    </w:pPr>
  </w:style>
  <w:style w:type="paragraph" w:customStyle="1" w:styleId="a0">
    <w:name w:val="表樣式"/>
    <w:basedOn w:val="a1"/>
    <w:next w:val="a1"/>
    <w:rsid w:val="001E6A6C"/>
    <w:pPr>
      <w:numPr>
        <w:numId w:val="2"/>
      </w:numPr>
      <w:jc w:val="both"/>
    </w:pPr>
    <w:rPr>
      <w:rFonts w:ascii="標楷體"/>
      <w:kern w:val="0"/>
    </w:rPr>
  </w:style>
  <w:style w:type="paragraph" w:styleId="ac">
    <w:name w:val="Body Text Indent"/>
    <w:basedOn w:val="a1"/>
    <w:semiHidden/>
    <w:rsid w:val="001E6A6C"/>
    <w:pPr>
      <w:ind w:left="698" w:hangingChars="200" w:hanging="698"/>
    </w:pPr>
  </w:style>
  <w:style w:type="paragraph" w:customStyle="1" w:styleId="ad">
    <w:name w:val="調查報告"/>
    <w:basedOn w:val="a6"/>
    <w:rsid w:val="001E6A6C"/>
    <w:pPr>
      <w:kinsoku w:val="0"/>
      <w:spacing w:before="0"/>
      <w:ind w:left="1701" w:firstLine="0"/>
    </w:pPr>
    <w:rPr>
      <w:b/>
      <w:snapToGrid/>
      <w:spacing w:val="200"/>
      <w:kern w:val="0"/>
      <w:sz w:val="36"/>
    </w:rPr>
  </w:style>
  <w:style w:type="table" w:styleId="ae">
    <w:name w:val="Table Grid"/>
    <w:basedOn w:val="a3"/>
    <w:uiPriority w:val="59"/>
    <w:rsid w:val="009E4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1E6A6C"/>
    <w:pPr>
      <w:numPr>
        <w:numId w:val="3"/>
      </w:numPr>
      <w:tabs>
        <w:tab w:val="clear" w:pos="1440"/>
      </w:tabs>
      <w:ind w:left="400" w:hangingChars="400" w:hanging="400"/>
      <w:jc w:val="both"/>
    </w:pPr>
    <w:rPr>
      <w:rFonts w:ascii="標楷體"/>
    </w:rPr>
  </w:style>
  <w:style w:type="paragraph" w:styleId="af">
    <w:name w:val="footer"/>
    <w:basedOn w:val="a1"/>
    <w:semiHidden/>
    <w:rsid w:val="001E6A6C"/>
    <w:pPr>
      <w:tabs>
        <w:tab w:val="center" w:pos="4153"/>
        <w:tab w:val="right" w:pos="8306"/>
      </w:tabs>
      <w:snapToGrid w:val="0"/>
    </w:pPr>
    <w:rPr>
      <w:sz w:val="20"/>
    </w:rPr>
  </w:style>
  <w:style w:type="paragraph" w:styleId="af0">
    <w:name w:val="table of figures"/>
    <w:basedOn w:val="a1"/>
    <w:next w:val="a1"/>
    <w:semiHidden/>
    <w:rsid w:val="001E6A6C"/>
    <w:pPr>
      <w:ind w:left="400" w:hangingChars="400" w:hanging="400"/>
    </w:pPr>
  </w:style>
  <w:style w:type="paragraph" w:styleId="af1">
    <w:name w:val="footnote text"/>
    <w:basedOn w:val="a1"/>
    <w:link w:val="af2"/>
    <w:uiPriority w:val="99"/>
    <w:semiHidden/>
    <w:unhideWhenUsed/>
    <w:rsid w:val="001C685C"/>
    <w:pPr>
      <w:snapToGrid w:val="0"/>
      <w:jc w:val="left"/>
    </w:pPr>
    <w:rPr>
      <w:sz w:val="20"/>
    </w:rPr>
  </w:style>
  <w:style w:type="character" w:customStyle="1" w:styleId="af2">
    <w:name w:val="註腳文字 字元"/>
    <w:basedOn w:val="a2"/>
    <w:link w:val="af1"/>
    <w:uiPriority w:val="99"/>
    <w:semiHidden/>
    <w:rsid w:val="001C685C"/>
    <w:rPr>
      <w:rFonts w:eastAsia="標楷體"/>
      <w:kern w:val="2"/>
    </w:rPr>
  </w:style>
  <w:style w:type="character" w:styleId="af3">
    <w:name w:val="footnote reference"/>
    <w:basedOn w:val="a2"/>
    <w:uiPriority w:val="99"/>
    <w:semiHidden/>
    <w:unhideWhenUsed/>
    <w:rsid w:val="001C685C"/>
    <w:rPr>
      <w:vertAlign w:val="superscript"/>
    </w:rPr>
  </w:style>
  <w:style w:type="paragraph" w:styleId="af4">
    <w:name w:val="List Paragraph"/>
    <w:basedOn w:val="a1"/>
    <w:qFormat/>
    <w:rsid w:val="00F53525"/>
    <w:pPr>
      <w:ind w:leftChars="200" w:left="480"/>
      <w:jc w:val="left"/>
    </w:pPr>
    <w:rPr>
      <w:rFonts w:ascii="Calibri" w:eastAsia="新細明體" w:hAnsi="Calibri"/>
      <w:sz w:val="24"/>
      <w:szCs w:val="22"/>
    </w:rPr>
  </w:style>
  <w:style w:type="character" w:customStyle="1" w:styleId="30">
    <w:name w:val="標題 3 字元"/>
    <w:basedOn w:val="a2"/>
    <w:link w:val="3"/>
    <w:rsid w:val="007C5501"/>
    <w:rPr>
      <w:rFonts w:ascii="標楷體" w:eastAsia="標楷體" w:hAnsi="Arial"/>
      <w:bCs/>
      <w:sz w:val="32"/>
      <w:szCs w:val="36"/>
    </w:rPr>
  </w:style>
  <w:style w:type="paragraph" w:styleId="af5">
    <w:name w:val="Balloon Text"/>
    <w:basedOn w:val="a1"/>
    <w:link w:val="af6"/>
    <w:uiPriority w:val="99"/>
    <w:semiHidden/>
    <w:unhideWhenUsed/>
    <w:rsid w:val="009A6F8C"/>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9A6F8C"/>
    <w:rPr>
      <w:rFonts w:asciiTheme="majorHAnsi" w:eastAsiaTheme="majorEastAsia" w:hAnsiTheme="majorHAnsi" w:cstheme="majorBidi"/>
      <w:kern w:val="2"/>
      <w:sz w:val="18"/>
      <w:szCs w:val="18"/>
    </w:rPr>
  </w:style>
  <w:style w:type="character" w:customStyle="1" w:styleId="20">
    <w:name w:val="標題 2 字元"/>
    <w:basedOn w:val="a2"/>
    <w:link w:val="2"/>
    <w:rsid w:val="00FD1DD5"/>
    <w:rPr>
      <w:rFonts w:ascii="標楷體" w:eastAsia="標楷體" w:hAnsi="Arial"/>
      <w:bCs/>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E6A6C"/>
    <w:pPr>
      <w:widowControl w:val="0"/>
      <w:jc w:val="center"/>
    </w:pPr>
    <w:rPr>
      <w:rFonts w:eastAsia="標楷體"/>
      <w:kern w:val="2"/>
      <w:sz w:val="32"/>
    </w:rPr>
  </w:style>
  <w:style w:type="paragraph" w:styleId="1">
    <w:name w:val="heading 1"/>
    <w:basedOn w:val="a1"/>
    <w:qFormat/>
    <w:rsid w:val="001E6A6C"/>
    <w:pPr>
      <w:numPr>
        <w:numId w:val="1"/>
      </w:numPr>
      <w:kinsoku w:val="0"/>
      <w:jc w:val="both"/>
      <w:outlineLvl w:val="0"/>
    </w:pPr>
    <w:rPr>
      <w:rFonts w:ascii="標楷體" w:hAnsi="Arial"/>
      <w:bCs/>
      <w:kern w:val="0"/>
      <w:szCs w:val="52"/>
    </w:rPr>
  </w:style>
  <w:style w:type="paragraph" w:styleId="2">
    <w:name w:val="heading 2"/>
    <w:basedOn w:val="a1"/>
    <w:qFormat/>
    <w:rsid w:val="001E6A6C"/>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E6A6C"/>
    <w:pPr>
      <w:numPr>
        <w:ilvl w:val="2"/>
        <w:numId w:val="1"/>
      </w:numPr>
      <w:kinsoku w:val="0"/>
      <w:jc w:val="both"/>
      <w:outlineLvl w:val="2"/>
    </w:pPr>
    <w:rPr>
      <w:rFonts w:ascii="標楷體" w:hAnsi="Arial"/>
      <w:bCs/>
      <w:kern w:val="0"/>
      <w:szCs w:val="36"/>
    </w:rPr>
  </w:style>
  <w:style w:type="paragraph" w:styleId="4">
    <w:name w:val="heading 4"/>
    <w:basedOn w:val="a1"/>
    <w:qFormat/>
    <w:rsid w:val="001E6A6C"/>
    <w:pPr>
      <w:numPr>
        <w:ilvl w:val="3"/>
        <w:numId w:val="1"/>
      </w:numPr>
      <w:jc w:val="both"/>
      <w:outlineLvl w:val="3"/>
    </w:pPr>
    <w:rPr>
      <w:rFonts w:ascii="標楷體" w:hAnsi="Arial"/>
      <w:szCs w:val="36"/>
    </w:rPr>
  </w:style>
  <w:style w:type="paragraph" w:styleId="5">
    <w:name w:val="heading 5"/>
    <w:basedOn w:val="a1"/>
    <w:qFormat/>
    <w:rsid w:val="001E6A6C"/>
    <w:pPr>
      <w:numPr>
        <w:ilvl w:val="4"/>
        <w:numId w:val="1"/>
      </w:numPr>
      <w:kinsoku w:val="0"/>
      <w:jc w:val="both"/>
      <w:outlineLvl w:val="4"/>
    </w:pPr>
    <w:rPr>
      <w:rFonts w:ascii="標楷體" w:hAnsi="Arial"/>
      <w:bCs/>
      <w:szCs w:val="36"/>
    </w:rPr>
  </w:style>
  <w:style w:type="paragraph" w:styleId="6">
    <w:name w:val="heading 6"/>
    <w:basedOn w:val="a1"/>
    <w:qFormat/>
    <w:rsid w:val="001E6A6C"/>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E6A6C"/>
    <w:pPr>
      <w:numPr>
        <w:ilvl w:val="6"/>
        <w:numId w:val="1"/>
      </w:numPr>
      <w:kinsoku w:val="0"/>
      <w:jc w:val="both"/>
      <w:outlineLvl w:val="6"/>
    </w:pPr>
    <w:rPr>
      <w:rFonts w:ascii="標楷體" w:hAnsi="Arial"/>
      <w:bCs/>
      <w:szCs w:val="36"/>
    </w:rPr>
  </w:style>
  <w:style w:type="paragraph" w:styleId="8">
    <w:name w:val="heading 8"/>
    <w:basedOn w:val="a1"/>
    <w:qFormat/>
    <w:rsid w:val="001E6A6C"/>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E6A6C"/>
    <w:pPr>
      <w:spacing w:before="720" w:after="720"/>
      <w:ind w:left="7371"/>
    </w:pPr>
    <w:rPr>
      <w:rFonts w:ascii="標楷體"/>
      <w:b/>
      <w:snapToGrid w:val="0"/>
      <w:spacing w:val="10"/>
      <w:sz w:val="36"/>
    </w:rPr>
  </w:style>
  <w:style w:type="paragraph" w:styleId="a6">
    <w:name w:val="endnote text"/>
    <w:basedOn w:val="a1"/>
    <w:semiHidden/>
    <w:rsid w:val="001E6A6C"/>
    <w:pPr>
      <w:spacing w:before="240"/>
      <w:ind w:left="1021" w:hanging="1021"/>
      <w:jc w:val="both"/>
    </w:pPr>
    <w:rPr>
      <w:rFonts w:ascii="標楷體"/>
      <w:snapToGrid w:val="0"/>
      <w:spacing w:val="10"/>
    </w:rPr>
  </w:style>
  <w:style w:type="paragraph" w:styleId="50">
    <w:name w:val="toc 5"/>
    <w:basedOn w:val="a1"/>
    <w:next w:val="a1"/>
    <w:autoRedefine/>
    <w:semiHidden/>
    <w:rsid w:val="001E6A6C"/>
    <w:pPr>
      <w:ind w:leftChars="400" w:left="600" w:rightChars="200" w:right="200" w:hangingChars="200" w:hanging="200"/>
    </w:pPr>
    <w:rPr>
      <w:rFonts w:ascii="標楷體"/>
    </w:rPr>
  </w:style>
  <w:style w:type="character" w:styleId="a7">
    <w:name w:val="page number"/>
    <w:basedOn w:val="a2"/>
    <w:semiHidden/>
    <w:rsid w:val="001E6A6C"/>
    <w:rPr>
      <w:rFonts w:ascii="標楷體" w:eastAsia="標楷體"/>
      <w:sz w:val="20"/>
    </w:rPr>
  </w:style>
  <w:style w:type="paragraph" w:styleId="60">
    <w:name w:val="toc 6"/>
    <w:basedOn w:val="a1"/>
    <w:next w:val="a1"/>
    <w:autoRedefine/>
    <w:semiHidden/>
    <w:rsid w:val="001E6A6C"/>
    <w:pPr>
      <w:ind w:leftChars="500" w:left="500"/>
    </w:pPr>
    <w:rPr>
      <w:rFonts w:ascii="標楷體"/>
    </w:rPr>
  </w:style>
  <w:style w:type="paragraph" w:customStyle="1" w:styleId="10">
    <w:name w:val="段落樣式1"/>
    <w:basedOn w:val="a1"/>
    <w:rsid w:val="001E6A6C"/>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E6A6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E6A6C"/>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1E6A6C"/>
    <w:pPr>
      <w:kinsoku w:val="0"/>
      <w:ind w:leftChars="100" w:left="300" w:rightChars="200" w:right="200" w:hangingChars="200" w:hanging="200"/>
    </w:pPr>
    <w:rPr>
      <w:rFonts w:ascii="標楷體"/>
      <w:noProof/>
    </w:rPr>
  </w:style>
  <w:style w:type="paragraph" w:styleId="31">
    <w:name w:val="toc 3"/>
    <w:basedOn w:val="a1"/>
    <w:next w:val="a1"/>
    <w:autoRedefine/>
    <w:semiHidden/>
    <w:rsid w:val="001E6A6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E6A6C"/>
    <w:pPr>
      <w:kinsoku w:val="0"/>
      <w:ind w:leftChars="300" w:left="500" w:rightChars="200" w:right="200" w:hangingChars="200" w:hanging="200"/>
      <w:jc w:val="both"/>
    </w:pPr>
    <w:rPr>
      <w:rFonts w:ascii="標楷體"/>
    </w:rPr>
  </w:style>
  <w:style w:type="paragraph" w:styleId="70">
    <w:name w:val="toc 7"/>
    <w:basedOn w:val="a1"/>
    <w:next w:val="a1"/>
    <w:autoRedefine/>
    <w:semiHidden/>
    <w:rsid w:val="001E6A6C"/>
    <w:pPr>
      <w:ind w:leftChars="600" w:left="800" w:hangingChars="200" w:hanging="200"/>
    </w:pPr>
    <w:rPr>
      <w:rFonts w:ascii="標楷體"/>
    </w:rPr>
  </w:style>
  <w:style w:type="paragraph" w:styleId="80">
    <w:name w:val="toc 8"/>
    <w:basedOn w:val="a1"/>
    <w:next w:val="a1"/>
    <w:autoRedefine/>
    <w:semiHidden/>
    <w:rsid w:val="001E6A6C"/>
    <w:pPr>
      <w:ind w:leftChars="700" w:left="900" w:hangingChars="200" w:hanging="200"/>
    </w:pPr>
    <w:rPr>
      <w:rFonts w:ascii="標楷體"/>
    </w:rPr>
  </w:style>
  <w:style w:type="paragraph" w:styleId="9">
    <w:name w:val="toc 9"/>
    <w:basedOn w:val="a1"/>
    <w:next w:val="a1"/>
    <w:autoRedefine/>
    <w:semiHidden/>
    <w:rsid w:val="001E6A6C"/>
    <w:pPr>
      <w:ind w:leftChars="1600" w:left="3840"/>
    </w:pPr>
  </w:style>
  <w:style w:type="paragraph" w:styleId="a8">
    <w:name w:val="header"/>
    <w:basedOn w:val="a1"/>
    <w:semiHidden/>
    <w:rsid w:val="001E6A6C"/>
    <w:pPr>
      <w:tabs>
        <w:tab w:val="center" w:pos="4153"/>
        <w:tab w:val="right" w:pos="8306"/>
      </w:tabs>
      <w:snapToGrid w:val="0"/>
    </w:pPr>
    <w:rPr>
      <w:sz w:val="20"/>
    </w:rPr>
  </w:style>
  <w:style w:type="paragraph" w:customStyle="1" w:styleId="32">
    <w:name w:val="段落樣式3"/>
    <w:basedOn w:val="20"/>
    <w:rsid w:val="001E6A6C"/>
    <w:pPr>
      <w:ind w:leftChars="400" w:left="400"/>
    </w:pPr>
  </w:style>
  <w:style w:type="character" w:styleId="a9">
    <w:name w:val="Hyperlink"/>
    <w:basedOn w:val="a2"/>
    <w:semiHidden/>
    <w:rsid w:val="001E6A6C"/>
    <w:rPr>
      <w:color w:val="0000FF"/>
      <w:u w:val="single"/>
    </w:rPr>
  </w:style>
  <w:style w:type="paragraph" w:customStyle="1" w:styleId="aa">
    <w:name w:val="簽名日期"/>
    <w:basedOn w:val="a1"/>
    <w:rsid w:val="001E6A6C"/>
    <w:pPr>
      <w:kinsoku w:val="0"/>
      <w:jc w:val="distribute"/>
    </w:pPr>
    <w:rPr>
      <w:kern w:val="0"/>
    </w:rPr>
  </w:style>
  <w:style w:type="paragraph" w:customStyle="1" w:styleId="0">
    <w:name w:val="段落樣式0"/>
    <w:basedOn w:val="20"/>
    <w:rsid w:val="001E6A6C"/>
    <w:pPr>
      <w:ind w:leftChars="200" w:left="200" w:firstLineChars="0" w:firstLine="0"/>
    </w:pPr>
  </w:style>
  <w:style w:type="paragraph" w:customStyle="1" w:styleId="ab">
    <w:name w:val="附件"/>
    <w:basedOn w:val="a6"/>
    <w:rsid w:val="001E6A6C"/>
    <w:pPr>
      <w:kinsoku w:val="0"/>
      <w:spacing w:before="0"/>
      <w:ind w:left="1047" w:hangingChars="300" w:hanging="1047"/>
    </w:pPr>
    <w:rPr>
      <w:snapToGrid/>
      <w:spacing w:val="0"/>
      <w:kern w:val="0"/>
    </w:rPr>
  </w:style>
  <w:style w:type="paragraph" w:customStyle="1" w:styleId="41">
    <w:name w:val="段落樣式4"/>
    <w:basedOn w:val="32"/>
    <w:rsid w:val="001E6A6C"/>
    <w:pPr>
      <w:ind w:leftChars="500" w:left="500"/>
    </w:pPr>
  </w:style>
  <w:style w:type="paragraph" w:customStyle="1" w:styleId="51">
    <w:name w:val="段落樣式5"/>
    <w:basedOn w:val="41"/>
    <w:rsid w:val="001E6A6C"/>
    <w:pPr>
      <w:ind w:leftChars="600" w:left="600"/>
    </w:pPr>
  </w:style>
  <w:style w:type="paragraph" w:customStyle="1" w:styleId="61">
    <w:name w:val="段落樣式6"/>
    <w:basedOn w:val="51"/>
    <w:rsid w:val="001E6A6C"/>
    <w:pPr>
      <w:ind w:leftChars="700" w:left="700"/>
    </w:pPr>
  </w:style>
  <w:style w:type="paragraph" w:customStyle="1" w:styleId="71">
    <w:name w:val="段落樣式7"/>
    <w:basedOn w:val="61"/>
    <w:rsid w:val="001E6A6C"/>
  </w:style>
  <w:style w:type="paragraph" w:customStyle="1" w:styleId="81">
    <w:name w:val="段落樣式8"/>
    <w:basedOn w:val="71"/>
    <w:rsid w:val="001E6A6C"/>
    <w:pPr>
      <w:ind w:leftChars="800" w:left="800"/>
    </w:pPr>
  </w:style>
  <w:style w:type="paragraph" w:customStyle="1" w:styleId="a0">
    <w:name w:val="表樣式"/>
    <w:basedOn w:val="a1"/>
    <w:next w:val="a1"/>
    <w:rsid w:val="001E6A6C"/>
    <w:pPr>
      <w:numPr>
        <w:numId w:val="2"/>
      </w:numPr>
      <w:jc w:val="both"/>
    </w:pPr>
    <w:rPr>
      <w:rFonts w:ascii="標楷體"/>
      <w:kern w:val="0"/>
    </w:rPr>
  </w:style>
  <w:style w:type="paragraph" w:styleId="ac">
    <w:name w:val="Body Text Indent"/>
    <w:basedOn w:val="a1"/>
    <w:semiHidden/>
    <w:rsid w:val="001E6A6C"/>
    <w:pPr>
      <w:ind w:left="698" w:hangingChars="200" w:hanging="698"/>
    </w:pPr>
  </w:style>
  <w:style w:type="paragraph" w:customStyle="1" w:styleId="ad">
    <w:name w:val="調查報告"/>
    <w:basedOn w:val="a6"/>
    <w:rsid w:val="001E6A6C"/>
    <w:pPr>
      <w:kinsoku w:val="0"/>
      <w:spacing w:before="0"/>
      <w:ind w:left="1701" w:firstLine="0"/>
    </w:pPr>
    <w:rPr>
      <w:b/>
      <w:snapToGrid/>
      <w:spacing w:val="200"/>
      <w:kern w:val="0"/>
      <w:sz w:val="36"/>
    </w:rPr>
  </w:style>
  <w:style w:type="table" w:styleId="ae">
    <w:name w:val="Table Grid"/>
    <w:basedOn w:val="a3"/>
    <w:uiPriority w:val="59"/>
    <w:rsid w:val="009E4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1E6A6C"/>
    <w:pPr>
      <w:numPr>
        <w:numId w:val="3"/>
      </w:numPr>
      <w:tabs>
        <w:tab w:val="clear" w:pos="1440"/>
      </w:tabs>
      <w:ind w:left="400" w:hangingChars="400" w:hanging="400"/>
      <w:jc w:val="both"/>
    </w:pPr>
    <w:rPr>
      <w:rFonts w:ascii="標楷體"/>
    </w:rPr>
  </w:style>
  <w:style w:type="paragraph" w:styleId="af">
    <w:name w:val="footer"/>
    <w:basedOn w:val="a1"/>
    <w:semiHidden/>
    <w:rsid w:val="001E6A6C"/>
    <w:pPr>
      <w:tabs>
        <w:tab w:val="center" w:pos="4153"/>
        <w:tab w:val="right" w:pos="8306"/>
      </w:tabs>
      <w:snapToGrid w:val="0"/>
    </w:pPr>
    <w:rPr>
      <w:sz w:val="20"/>
    </w:rPr>
  </w:style>
  <w:style w:type="paragraph" w:styleId="af0">
    <w:name w:val="table of figures"/>
    <w:basedOn w:val="a1"/>
    <w:next w:val="a1"/>
    <w:semiHidden/>
    <w:rsid w:val="001E6A6C"/>
    <w:pPr>
      <w:ind w:left="400" w:hangingChars="400" w:hanging="400"/>
    </w:pPr>
  </w:style>
  <w:style w:type="paragraph" w:styleId="af1">
    <w:name w:val="footnote text"/>
    <w:basedOn w:val="a1"/>
    <w:link w:val="af2"/>
    <w:uiPriority w:val="99"/>
    <w:semiHidden/>
    <w:unhideWhenUsed/>
    <w:rsid w:val="001C685C"/>
    <w:pPr>
      <w:snapToGrid w:val="0"/>
      <w:jc w:val="left"/>
    </w:pPr>
    <w:rPr>
      <w:sz w:val="20"/>
    </w:rPr>
  </w:style>
  <w:style w:type="character" w:customStyle="1" w:styleId="af2">
    <w:name w:val="註腳文字 字元"/>
    <w:basedOn w:val="a2"/>
    <w:link w:val="af1"/>
    <w:uiPriority w:val="99"/>
    <w:semiHidden/>
    <w:rsid w:val="001C685C"/>
    <w:rPr>
      <w:rFonts w:eastAsia="標楷體"/>
      <w:kern w:val="2"/>
    </w:rPr>
  </w:style>
  <w:style w:type="character" w:styleId="af3">
    <w:name w:val="footnote reference"/>
    <w:basedOn w:val="a2"/>
    <w:uiPriority w:val="99"/>
    <w:semiHidden/>
    <w:unhideWhenUsed/>
    <w:rsid w:val="001C685C"/>
    <w:rPr>
      <w:vertAlign w:val="superscript"/>
    </w:rPr>
  </w:style>
  <w:style w:type="paragraph" w:styleId="af4">
    <w:name w:val="List Paragraph"/>
    <w:basedOn w:val="a1"/>
    <w:qFormat/>
    <w:rsid w:val="00F53525"/>
    <w:pPr>
      <w:ind w:leftChars="200" w:left="480"/>
      <w:jc w:val="left"/>
    </w:pPr>
    <w:rPr>
      <w:rFonts w:ascii="Calibri" w:eastAsia="新細明體" w:hAnsi="Calibri"/>
      <w:sz w:val="24"/>
      <w:szCs w:val="22"/>
    </w:rPr>
  </w:style>
  <w:style w:type="character" w:customStyle="1" w:styleId="30">
    <w:name w:val="標題 3 字元"/>
    <w:basedOn w:val="a2"/>
    <w:link w:val="3"/>
    <w:rsid w:val="007C5501"/>
    <w:rPr>
      <w:rFonts w:ascii="標楷體" w:eastAsia="標楷體" w:hAnsi="Arial"/>
      <w:bCs/>
      <w:sz w:val="32"/>
      <w:szCs w:val="36"/>
    </w:rPr>
  </w:style>
  <w:style w:type="paragraph" w:styleId="af5">
    <w:name w:val="Balloon Text"/>
    <w:basedOn w:val="a1"/>
    <w:link w:val="af6"/>
    <w:uiPriority w:val="99"/>
    <w:semiHidden/>
    <w:unhideWhenUsed/>
    <w:rsid w:val="009A6F8C"/>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9A6F8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8506810">
      <w:bodyDiv w:val="1"/>
      <w:marLeft w:val="0"/>
      <w:marRight w:val="0"/>
      <w:marTop w:val="0"/>
      <w:marBottom w:val="0"/>
      <w:divBdr>
        <w:top w:val="none" w:sz="0" w:space="0" w:color="auto"/>
        <w:left w:val="none" w:sz="0" w:space="0" w:color="auto"/>
        <w:bottom w:val="none" w:sz="0" w:space="0" w:color="auto"/>
        <w:right w:val="none" w:sz="0" w:space="0" w:color="auto"/>
      </w:divBdr>
      <w:divsChild>
        <w:div w:id="266427702">
          <w:marLeft w:val="0"/>
          <w:marRight w:val="0"/>
          <w:marTop w:val="0"/>
          <w:marBottom w:val="0"/>
          <w:divBdr>
            <w:top w:val="none" w:sz="0" w:space="0" w:color="auto"/>
            <w:left w:val="none" w:sz="0" w:space="0" w:color="auto"/>
            <w:bottom w:val="none" w:sz="0" w:space="0" w:color="auto"/>
            <w:right w:val="none" w:sz="0" w:space="0" w:color="auto"/>
          </w:divBdr>
          <w:divsChild>
            <w:div w:id="2068914122">
              <w:marLeft w:val="0"/>
              <w:marRight w:val="0"/>
              <w:marTop w:val="100"/>
              <w:marBottom w:val="100"/>
              <w:divBdr>
                <w:top w:val="none" w:sz="0" w:space="0" w:color="auto"/>
                <w:left w:val="none" w:sz="0" w:space="0" w:color="auto"/>
                <w:bottom w:val="none" w:sz="0" w:space="0" w:color="auto"/>
                <w:right w:val="none" w:sz="0" w:space="0" w:color="auto"/>
              </w:divBdr>
              <w:divsChild>
                <w:div w:id="464661133">
                  <w:marLeft w:val="0"/>
                  <w:marRight w:val="0"/>
                  <w:marTop w:val="45"/>
                  <w:marBottom w:val="120"/>
                  <w:divBdr>
                    <w:top w:val="none" w:sz="0" w:space="0" w:color="auto"/>
                    <w:left w:val="none" w:sz="0" w:space="0" w:color="auto"/>
                    <w:bottom w:val="none" w:sz="0" w:space="0" w:color="auto"/>
                    <w:right w:val="none" w:sz="0" w:space="0" w:color="auto"/>
                  </w:divBdr>
                  <w:divsChild>
                    <w:div w:id="307101813">
                      <w:marLeft w:val="0"/>
                      <w:marRight w:val="0"/>
                      <w:marTop w:val="0"/>
                      <w:marBottom w:val="0"/>
                      <w:divBdr>
                        <w:top w:val="none" w:sz="0" w:space="0" w:color="auto"/>
                        <w:left w:val="none" w:sz="0" w:space="0" w:color="auto"/>
                        <w:bottom w:val="none" w:sz="0" w:space="0" w:color="auto"/>
                        <w:right w:val="none" w:sz="0" w:space="0" w:color="auto"/>
                      </w:divBdr>
                      <w:divsChild>
                        <w:div w:id="74823842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08246672">
      <w:bodyDiv w:val="1"/>
      <w:marLeft w:val="0"/>
      <w:marRight w:val="0"/>
      <w:marTop w:val="0"/>
      <w:marBottom w:val="0"/>
      <w:divBdr>
        <w:top w:val="none" w:sz="0" w:space="0" w:color="auto"/>
        <w:left w:val="none" w:sz="0" w:space="0" w:color="auto"/>
        <w:bottom w:val="none" w:sz="0" w:space="0" w:color="auto"/>
        <w:right w:val="none" w:sz="0" w:space="0" w:color="auto"/>
      </w:divBdr>
      <w:divsChild>
        <w:div w:id="2044134397">
          <w:marLeft w:val="0"/>
          <w:marRight w:val="0"/>
          <w:marTop w:val="0"/>
          <w:marBottom w:val="0"/>
          <w:divBdr>
            <w:top w:val="none" w:sz="0" w:space="0" w:color="auto"/>
            <w:left w:val="none" w:sz="0" w:space="0" w:color="auto"/>
            <w:bottom w:val="none" w:sz="0" w:space="0" w:color="auto"/>
            <w:right w:val="none" w:sz="0" w:space="0" w:color="auto"/>
          </w:divBdr>
          <w:divsChild>
            <w:div w:id="2028868539">
              <w:marLeft w:val="0"/>
              <w:marRight w:val="0"/>
              <w:marTop w:val="100"/>
              <w:marBottom w:val="100"/>
              <w:divBdr>
                <w:top w:val="none" w:sz="0" w:space="0" w:color="auto"/>
                <w:left w:val="none" w:sz="0" w:space="0" w:color="auto"/>
                <w:bottom w:val="none" w:sz="0" w:space="0" w:color="auto"/>
                <w:right w:val="none" w:sz="0" w:space="0" w:color="auto"/>
              </w:divBdr>
              <w:divsChild>
                <w:div w:id="49304712">
                  <w:marLeft w:val="0"/>
                  <w:marRight w:val="0"/>
                  <w:marTop w:val="45"/>
                  <w:marBottom w:val="120"/>
                  <w:divBdr>
                    <w:top w:val="none" w:sz="0" w:space="0" w:color="auto"/>
                    <w:left w:val="none" w:sz="0" w:space="0" w:color="auto"/>
                    <w:bottom w:val="none" w:sz="0" w:space="0" w:color="auto"/>
                    <w:right w:val="none" w:sz="0" w:space="0" w:color="auto"/>
                  </w:divBdr>
                  <w:divsChild>
                    <w:div w:id="1111514188">
                      <w:marLeft w:val="0"/>
                      <w:marRight w:val="0"/>
                      <w:marTop w:val="0"/>
                      <w:marBottom w:val="0"/>
                      <w:divBdr>
                        <w:top w:val="none" w:sz="0" w:space="0" w:color="auto"/>
                        <w:left w:val="none" w:sz="0" w:space="0" w:color="auto"/>
                        <w:bottom w:val="none" w:sz="0" w:space="0" w:color="auto"/>
                        <w:right w:val="none" w:sz="0" w:space="0" w:color="auto"/>
                      </w:divBdr>
                      <w:divsChild>
                        <w:div w:id="8559963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9273832">
      <w:bodyDiv w:val="1"/>
      <w:marLeft w:val="0"/>
      <w:marRight w:val="0"/>
      <w:marTop w:val="0"/>
      <w:marBottom w:val="0"/>
      <w:divBdr>
        <w:top w:val="none" w:sz="0" w:space="0" w:color="auto"/>
        <w:left w:val="none" w:sz="0" w:space="0" w:color="auto"/>
        <w:bottom w:val="none" w:sz="0" w:space="0" w:color="auto"/>
        <w:right w:val="none" w:sz="0" w:space="0" w:color="auto"/>
      </w:divBdr>
      <w:divsChild>
        <w:div w:id="454832232">
          <w:marLeft w:val="0"/>
          <w:marRight w:val="0"/>
          <w:marTop w:val="0"/>
          <w:marBottom w:val="0"/>
          <w:divBdr>
            <w:top w:val="none" w:sz="0" w:space="0" w:color="auto"/>
            <w:left w:val="none" w:sz="0" w:space="0" w:color="auto"/>
            <w:bottom w:val="none" w:sz="0" w:space="0" w:color="auto"/>
            <w:right w:val="none" w:sz="0" w:space="0" w:color="auto"/>
          </w:divBdr>
          <w:divsChild>
            <w:div w:id="1863780803">
              <w:marLeft w:val="0"/>
              <w:marRight w:val="0"/>
              <w:marTop w:val="100"/>
              <w:marBottom w:val="100"/>
              <w:divBdr>
                <w:top w:val="none" w:sz="0" w:space="0" w:color="auto"/>
                <w:left w:val="none" w:sz="0" w:space="0" w:color="auto"/>
                <w:bottom w:val="none" w:sz="0" w:space="0" w:color="auto"/>
                <w:right w:val="none" w:sz="0" w:space="0" w:color="auto"/>
              </w:divBdr>
              <w:divsChild>
                <w:div w:id="2020617796">
                  <w:marLeft w:val="0"/>
                  <w:marRight w:val="0"/>
                  <w:marTop w:val="45"/>
                  <w:marBottom w:val="120"/>
                  <w:divBdr>
                    <w:top w:val="none" w:sz="0" w:space="0" w:color="auto"/>
                    <w:left w:val="none" w:sz="0" w:space="0" w:color="auto"/>
                    <w:bottom w:val="none" w:sz="0" w:space="0" w:color="auto"/>
                    <w:right w:val="none" w:sz="0" w:space="0" w:color="auto"/>
                  </w:divBdr>
                  <w:divsChild>
                    <w:div w:id="117576965">
                      <w:marLeft w:val="0"/>
                      <w:marRight w:val="0"/>
                      <w:marTop w:val="0"/>
                      <w:marBottom w:val="0"/>
                      <w:divBdr>
                        <w:top w:val="none" w:sz="0" w:space="0" w:color="auto"/>
                        <w:left w:val="none" w:sz="0" w:space="0" w:color="auto"/>
                        <w:bottom w:val="none" w:sz="0" w:space="0" w:color="auto"/>
                        <w:right w:val="none" w:sz="0" w:space="0" w:color="auto"/>
                      </w:divBdr>
                      <w:divsChild>
                        <w:div w:id="128688770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93541678">
      <w:bodyDiv w:val="1"/>
      <w:marLeft w:val="0"/>
      <w:marRight w:val="0"/>
      <w:marTop w:val="0"/>
      <w:marBottom w:val="0"/>
      <w:divBdr>
        <w:top w:val="none" w:sz="0" w:space="0" w:color="auto"/>
        <w:left w:val="none" w:sz="0" w:space="0" w:color="auto"/>
        <w:bottom w:val="none" w:sz="0" w:space="0" w:color="auto"/>
        <w:right w:val="none" w:sz="0" w:space="0" w:color="auto"/>
      </w:divBdr>
    </w:div>
    <w:div w:id="904725543">
      <w:bodyDiv w:val="1"/>
      <w:marLeft w:val="0"/>
      <w:marRight w:val="0"/>
      <w:marTop w:val="0"/>
      <w:marBottom w:val="0"/>
      <w:divBdr>
        <w:top w:val="none" w:sz="0" w:space="0" w:color="auto"/>
        <w:left w:val="none" w:sz="0" w:space="0" w:color="auto"/>
        <w:bottom w:val="none" w:sz="0" w:space="0" w:color="auto"/>
        <w:right w:val="none" w:sz="0" w:space="0" w:color="auto"/>
      </w:divBdr>
      <w:divsChild>
        <w:div w:id="798452858">
          <w:marLeft w:val="0"/>
          <w:marRight w:val="0"/>
          <w:marTop w:val="0"/>
          <w:marBottom w:val="0"/>
          <w:divBdr>
            <w:top w:val="none" w:sz="0" w:space="0" w:color="auto"/>
            <w:left w:val="none" w:sz="0" w:space="0" w:color="auto"/>
            <w:bottom w:val="none" w:sz="0" w:space="0" w:color="auto"/>
            <w:right w:val="none" w:sz="0" w:space="0" w:color="auto"/>
          </w:divBdr>
          <w:divsChild>
            <w:div w:id="2034960936">
              <w:marLeft w:val="0"/>
              <w:marRight w:val="0"/>
              <w:marTop w:val="100"/>
              <w:marBottom w:val="100"/>
              <w:divBdr>
                <w:top w:val="none" w:sz="0" w:space="0" w:color="auto"/>
                <w:left w:val="none" w:sz="0" w:space="0" w:color="auto"/>
                <w:bottom w:val="none" w:sz="0" w:space="0" w:color="auto"/>
                <w:right w:val="none" w:sz="0" w:space="0" w:color="auto"/>
              </w:divBdr>
              <w:divsChild>
                <w:div w:id="298265880">
                  <w:marLeft w:val="0"/>
                  <w:marRight w:val="0"/>
                  <w:marTop w:val="45"/>
                  <w:marBottom w:val="120"/>
                  <w:divBdr>
                    <w:top w:val="none" w:sz="0" w:space="0" w:color="auto"/>
                    <w:left w:val="none" w:sz="0" w:space="0" w:color="auto"/>
                    <w:bottom w:val="none" w:sz="0" w:space="0" w:color="auto"/>
                    <w:right w:val="none" w:sz="0" w:space="0" w:color="auto"/>
                  </w:divBdr>
                  <w:divsChild>
                    <w:div w:id="2106340836">
                      <w:marLeft w:val="0"/>
                      <w:marRight w:val="0"/>
                      <w:marTop w:val="0"/>
                      <w:marBottom w:val="0"/>
                      <w:divBdr>
                        <w:top w:val="none" w:sz="0" w:space="0" w:color="auto"/>
                        <w:left w:val="none" w:sz="0" w:space="0" w:color="auto"/>
                        <w:bottom w:val="none" w:sz="0" w:space="0" w:color="auto"/>
                        <w:right w:val="none" w:sz="0" w:space="0" w:color="auto"/>
                      </w:divBdr>
                      <w:divsChild>
                        <w:div w:id="13527999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18164803">
      <w:bodyDiv w:val="1"/>
      <w:marLeft w:val="0"/>
      <w:marRight w:val="0"/>
      <w:marTop w:val="0"/>
      <w:marBottom w:val="0"/>
      <w:divBdr>
        <w:top w:val="none" w:sz="0" w:space="0" w:color="auto"/>
        <w:left w:val="none" w:sz="0" w:space="0" w:color="auto"/>
        <w:bottom w:val="none" w:sz="0" w:space="0" w:color="auto"/>
        <w:right w:val="none" w:sz="0" w:space="0" w:color="auto"/>
      </w:divBdr>
    </w:div>
    <w:div w:id="1461076335">
      <w:bodyDiv w:val="1"/>
      <w:marLeft w:val="0"/>
      <w:marRight w:val="0"/>
      <w:marTop w:val="0"/>
      <w:marBottom w:val="0"/>
      <w:divBdr>
        <w:top w:val="none" w:sz="0" w:space="0" w:color="auto"/>
        <w:left w:val="none" w:sz="0" w:space="0" w:color="auto"/>
        <w:bottom w:val="none" w:sz="0" w:space="0" w:color="auto"/>
        <w:right w:val="none" w:sz="0" w:space="0" w:color="auto"/>
      </w:divBdr>
      <w:divsChild>
        <w:div w:id="386031438">
          <w:marLeft w:val="0"/>
          <w:marRight w:val="0"/>
          <w:marTop w:val="0"/>
          <w:marBottom w:val="0"/>
          <w:divBdr>
            <w:top w:val="none" w:sz="0" w:space="0" w:color="auto"/>
            <w:left w:val="none" w:sz="0" w:space="0" w:color="auto"/>
            <w:bottom w:val="none" w:sz="0" w:space="0" w:color="auto"/>
            <w:right w:val="none" w:sz="0" w:space="0" w:color="auto"/>
          </w:divBdr>
          <w:divsChild>
            <w:div w:id="990207243">
              <w:marLeft w:val="0"/>
              <w:marRight w:val="0"/>
              <w:marTop w:val="100"/>
              <w:marBottom w:val="100"/>
              <w:divBdr>
                <w:top w:val="none" w:sz="0" w:space="0" w:color="auto"/>
                <w:left w:val="none" w:sz="0" w:space="0" w:color="auto"/>
                <w:bottom w:val="none" w:sz="0" w:space="0" w:color="auto"/>
                <w:right w:val="none" w:sz="0" w:space="0" w:color="auto"/>
              </w:divBdr>
              <w:divsChild>
                <w:div w:id="266545223">
                  <w:marLeft w:val="0"/>
                  <w:marRight w:val="0"/>
                  <w:marTop w:val="45"/>
                  <w:marBottom w:val="120"/>
                  <w:divBdr>
                    <w:top w:val="none" w:sz="0" w:space="0" w:color="auto"/>
                    <w:left w:val="none" w:sz="0" w:space="0" w:color="auto"/>
                    <w:bottom w:val="none" w:sz="0" w:space="0" w:color="auto"/>
                    <w:right w:val="none" w:sz="0" w:space="0" w:color="auto"/>
                  </w:divBdr>
                  <w:divsChild>
                    <w:div w:id="284119536">
                      <w:marLeft w:val="0"/>
                      <w:marRight w:val="0"/>
                      <w:marTop w:val="0"/>
                      <w:marBottom w:val="0"/>
                      <w:divBdr>
                        <w:top w:val="none" w:sz="0" w:space="0" w:color="auto"/>
                        <w:left w:val="none" w:sz="0" w:space="0" w:color="auto"/>
                        <w:bottom w:val="none" w:sz="0" w:space="0" w:color="auto"/>
                        <w:right w:val="none" w:sz="0" w:space="0" w:color="auto"/>
                      </w:divBdr>
                      <w:divsChild>
                        <w:div w:id="1792742568">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6962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j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F3522-4278-4CD4-B958-E66BE59F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9</Pages>
  <Words>5847</Words>
  <Characters>245</Characters>
  <Application>Microsoft Office Word</Application>
  <DocSecurity>0</DocSecurity>
  <Lines>2</Lines>
  <Paragraphs>12</Paragraphs>
  <ScaleCrop>false</ScaleCrop>
  <Company>cy</Company>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2013-07-23T03:17:00Z</cp:lastPrinted>
  <dcterms:created xsi:type="dcterms:W3CDTF">2013-10-02T04:04:00Z</dcterms:created>
  <dcterms:modified xsi:type="dcterms:W3CDTF">2013-10-02T04:05:00Z</dcterms:modified>
</cp:coreProperties>
</file>