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57" w:rsidRDefault="00360C57" w:rsidP="00360C57">
      <w:pPr>
        <w:jc w:val="center"/>
        <w:rPr>
          <w:rFonts w:hAnsi="標楷體" w:hint="eastAsia"/>
        </w:rPr>
      </w:pPr>
      <w:bookmarkStart w:id="0" w:name="_Toc279676058"/>
      <w:bookmarkStart w:id="1" w:name="_Toc292387797"/>
      <w:bookmarkStart w:id="2" w:name="_Toc300239382"/>
      <w:bookmarkStart w:id="3" w:name="_Toc326598565"/>
      <w:bookmarkStart w:id="4" w:name="_Toc370719929"/>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bookmarkStart w:id="14" w:name="_Toc529218254"/>
      <w:bookmarkStart w:id="15" w:name="_Toc529222677"/>
      <w:bookmarkStart w:id="16" w:name="_Toc529223099"/>
      <w:bookmarkStart w:id="17" w:name="_Toc529223850"/>
      <w:bookmarkStart w:id="18" w:name="_Toc529228246"/>
      <w:bookmarkStart w:id="19" w:name="_Toc2400382"/>
      <w:bookmarkStart w:id="20" w:name="_Toc4316177"/>
      <w:bookmarkStart w:id="21" w:name="_Toc4473318"/>
      <w:bookmarkStart w:id="22" w:name="_Toc69556885"/>
      <w:bookmarkStart w:id="23" w:name="_Toc69556934"/>
      <w:bookmarkStart w:id="24" w:name="_Toc69609808"/>
      <w:bookmarkStart w:id="25" w:name="_Toc70241804"/>
      <w:bookmarkStart w:id="26" w:name="_Toc70242193"/>
      <w:r w:rsidRPr="00420940">
        <w:rPr>
          <w:rFonts w:hAnsi="標楷體" w:hint="eastAsia"/>
          <w:sz w:val="52"/>
          <w:szCs w:val="52"/>
        </w:rPr>
        <w:t>調</w:t>
      </w:r>
      <w:r>
        <w:rPr>
          <w:rFonts w:hAnsi="標楷體" w:hint="eastAsia"/>
          <w:sz w:val="52"/>
          <w:szCs w:val="52"/>
        </w:rPr>
        <w:t xml:space="preserve">  </w:t>
      </w:r>
      <w:r w:rsidRPr="00420940">
        <w:rPr>
          <w:rFonts w:hAnsi="標楷體" w:hint="eastAsia"/>
          <w:sz w:val="52"/>
          <w:szCs w:val="52"/>
        </w:rPr>
        <w:t>查</w:t>
      </w:r>
      <w:r>
        <w:rPr>
          <w:rFonts w:hAnsi="標楷體" w:hint="eastAsia"/>
          <w:sz w:val="52"/>
          <w:szCs w:val="52"/>
        </w:rPr>
        <w:t xml:space="preserve">  </w:t>
      </w:r>
      <w:r w:rsidRPr="00420940">
        <w:rPr>
          <w:rFonts w:hAnsi="標楷體" w:hint="eastAsia"/>
          <w:sz w:val="52"/>
          <w:szCs w:val="52"/>
        </w:rPr>
        <w:t>報</w:t>
      </w:r>
      <w:r>
        <w:rPr>
          <w:rFonts w:hAnsi="標楷體" w:hint="eastAsia"/>
          <w:sz w:val="52"/>
          <w:szCs w:val="52"/>
        </w:rPr>
        <w:t xml:space="preserve">  </w:t>
      </w:r>
      <w:r w:rsidRPr="00420940">
        <w:rPr>
          <w:rFonts w:hAnsi="標楷體" w:hint="eastAsia"/>
          <w:sz w:val="52"/>
          <w:szCs w:val="52"/>
        </w:rPr>
        <w:t>告</w:t>
      </w:r>
    </w:p>
    <w:p w:rsidR="00525451" w:rsidRPr="00AB2AD1" w:rsidRDefault="00525451" w:rsidP="005A381E">
      <w:pPr>
        <w:pStyle w:val="1"/>
        <w:kinsoku/>
        <w:ind w:left="2380" w:hanging="2380"/>
        <w:rPr>
          <w:rFonts w:hAnsi="標楷體"/>
        </w:rPr>
      </w:pPr>
      <w:r w:rsidRPr="00AB2AD1">
        <w:rPr>
          <w:rFonts w:hAnsi="標楷體" w:hint="eastAsia"/>
        </w:rPr>
        <w:t>案　　由：</w:t>
      </w:r>
      <w:r w:rsidR="00CE4234" w:rsidRPr="00AB2AD1">
        <w:rPr>
          <w:rFonts w:hAnsi="標楷體" w:cs="Tahoma" w:hint="eastAsia"/>
          <w:szCs w:val="32"/>
        </w:rPr>
        <w:t>經濟部暨所屬台灣電力股份有限公司未積極與民營發電業者調降</w:t>
      </w:r>
      <w:r w:rsidR="00CE4234" w:rsidRPr="00AB2AD1">
        <w:rPr>
          <w:rFonts w:hAnsi="標楷體" w:cs="Tahoma"/>
          <w:szCs w:val="32"/>
        </w:rPr>
        <w:t>購售電費率</w:t>
      </w:r>
      <w:r w:rsidR="00CE4234" w:rsidRPr="00AB2AD1">
        <w:rPr>
          <w:rFonts w:hAnsi="標楷體" w:cs="Tahoma" w:hint="eastAsia"/>
          <w:szCs w:val="32"/>
        </w:rPr>
        <w:t>，並任由業者以聯合行為抗拒修訂費率，且台電對其轉投資發電業者之監督管理，是否涉有不當</w:t>
      </w:r>
      <w:proofErr w:type="gramStart"/>
      <w:r w:rsidR="00CE4234" w:rsidRPr="00AB2AD1">
        <w:rPr>
          <w:rFonts w:hAnsi="標楷體" w:cs="Tahoma" w:hint="eastAsia"/>
          <w:szCs w:val="32"/>
        </w:rPr>
        <w:t>等情乙案</w:t>
      </w:r>
      <w:proofErr w:type="gramEnd"/>
      <w:r w:rsidRPr="00AB2AD1">
        <w:rPr>
          <w:rFonts w:hAnsi="標楷體" w:hint="eastAsia"/>
        </w:rPr>
        <w:t>。</w:t>
      </w:r>
      <w:bookmarkEnd w:id="0"/>
      <w:bookmarkEnd w:id="1"/>
      <w:bookmarkEnd w:id="2"/>
      <w:bookmarkEnd w:id="3"/>
      <w:bookmarkEnd w:id="4"/>
    </w:p>
    <w:p w:rsidR="00462D43" w:rsidRPr="00AB2AD1" w:rsidRDefault="00462D43" w:rsidP="00462D43">
      <w:pPr>
        <w:pStyle w:val="1"/>
        <w:kinsoku/>
        <w:ind w:left="2380" w:hanging="2380"/>
        <w:rPr>
          <w:rFonts w:hAnsi="標楷體"/>
          <w:bCs w:val="0"/>
        </w:rPr>
      </w:pPr>
      <w:bookmarkStart w:id="27" w:name="_Toc326598580"/>
      <w:bookmarkStart w:id="28" w:name="_Toc37071995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AB2AD1">
        <w:rPr>
          <w:rFonts w:hAnsi="標楷體" w:hint="eastAsia"/>
        </w:rPr>
        <w:t>調查意見：</w:t>
      </w:r>
      <w:bookmarkEnd w:id="27"/>
      <w:bookmarkEnd w:id="28"/>
    </w:p>
    <w:p w:rsidR="00DC1E25" w:rsidRPr="00AB2AD1" w:rsidRDefault="00DC1E25" w:rsidP="00DC1E25">
      <w:pPr>
        <w:pStyle w:val="11"/>
        <w:kinsoku/>
        <w:ind w:left="680" w:firstLine="664"/>
      </w:pPr>
      <w:bookmarkStart w:id="29" w:name="_Toc524895648"/>
      <w:bookmarkStart w:id="30" w:name="_Toc524896194"/>
      <w:bookmarkStart w:id="31" w:name="_Toc524896224"/>
      <w:bookmarkStart w:id="32" w:name="_Toc524902734"/>
      <w:bookmarkStart w:id="33" w:name="_Toc525066148"/>
      <w:bookmarkStart w:id="34" w:name="_Toc525070839"/>
      <w:bookmarkStart w:id="35" w:name="_Toc525938379"/>
      <w:bookmarkStart w:id="36" w:name="_Toc525939227"/>
      <w:bookmarkStart w:id="37" w:name="_Toc525939732"/>
      <w:bookmarkStart w:id="38" w:name="_Toc529218272"/>
      <w:bookmarkStart w:id="39" w:name="_Toc529222689"/>
      <w:bookmarkStart w:id="40" w:name="_Toc529223111"/>
      <w:bookmarkStart w:id="41" w:name="_Toc529223862"/>
      <w:bookmarkStart w:id="42" w:name="_Toc529228265"/>
      <w:bookmarkStart w:id="43" w:name="_Toc2400395"/>
      <w:bookmarkStart w:id="44" w:name="_Toc4316189"/>
      <w:bookmarkStart w:id="45" w:name="_Toc4473330"/>
      <w:bookmarkStart w:id="46" w:name="_Toc69556897"/>
      <w:bookmarkStart w:id="47" w:name="_Toc69556946"/>
      <w:bookmarkStart w:id="48" w:name="_Toc69609820"/>
      <w:bookmarkStart w:id="49" w:name="_Toc70241816"/>
      <w:bookmarkStart w:id="50" w:name="_Toc70242205"/>
      <w:r w:rsidRPr="00AB2AD1">
        <w:rPr>
          <w:rFonts w:hint="eastAsia"/>
          <w:spacing w:val="-4"/>
        </w:rPr>
        <w:t>本案經濟部所屬台灣電力股份有限公司(下稱台電公司)受國際燃料價格大幅上漲等影響，自民國(下同)95年度起連年發生虧損，然卻仍以較其自</w:t>
      </w:r>
      <w:r w:rsidR="00B751B3" w:rsidRPr="00AB2AD1">
        <w:rPr>
          <w:rFonts w:hint="eastAsia"/>
          <w:spacing w:val="-4"/>
        </w:rPr>
        <w:t>行</w:t>
      </w:r>
      <w:r w:rsidRPr="00AB2AD1">
        <w:rPr>
          <w:rFonts w:hint="eastAsia"/>
          <w:spacing w:val="-4"/>
        </w:rPr>
        <w:t>發</w:t>
      </w:r>
      <w:r w:rsidR="00B751B3" w:rsidRPr="00AB2AD1">
        <w:rPr>
          <w:rFonts w:hint="eastAsia"/>
          <w:spacing w:val="-4"/>
        </w:rPr>
        <w:t>電</w:t>
      </w:r>
      <w:r w:rsidRPr="00AB2AD1">
        <w:rPr>
          <w:rFonts w:hint="eastAsia"/>
          <w:spacing w:val="-4"/>
        </w:rPr>
        <w:t>成本為高之價格，收購</w:t>
      </w:r>
      <w:r w:rsidRPr="00AB2AD1">
        <w:rPr>
          <w:rFonts w:hint="eastAsia"/>
        </w:rPr>
        <w:t>汽電共生及民營</w:t>
      </w:r>
      <w:r w:rsidR="00E65B4B" w:rsidRPr="00AB2AD1">
        <w:rPr>
          <w:rFonts w:hint="eastAsia"/>
        </w:rPr>
        <w:t>發電業者</w:t>
      </w:r>
      <w:r w:rsidR="00E65B4B" w:rsidRPr="00AB2AD1">
        <w:rPr>
          <w:rFonts w:hint="eastAsia"/>
          <w:spacing w:val="-4"/>
        </w:rPr>
        <w:t>(</w:t>
      </w:r>
      <w:r w:rsidR="00E65B4B" w:rsidRPr="00AB2AD1">
        <w:rPr>
          <w:rFonts w:hint="eastAsia"/>
        </w:rPr>
        <w:t>Independent power producers ,IPP，相關民營電力公司皆為股份有限公司</w:t>
      </w:r>
      <w:r w:rsidR="00E65B4B" w:rsidRPr="00AB2AD1">
        <w:rPr>
          <w:rFonts w:hint="eastAsia"/>
          <w:spacing w:val="-4"/>
        </w:rPr>
        <w:t>)</w:t>
      </w:r>
      <w:r w:rsidRPr="00AB2AD1">
        <w:rPr>
          <w:rFonts w:hint="eastAsia"/>
        </w:rPr>
        <w:t>之電力</w:t>
      </w:r>
      <w:r w:rsidRPr="00AB2AD1">
        <w:rPr>
          <w:rFonts w:hint="eastAsia"/>
          <w:spacing w:val="-4"/>
        </w:rPr>
        <w:t>，致引起外界質疑</w:t>
      </w:r>
      <w:r w:rsidRPr="00AB2AD1">
        <w:rPr>
          <w:rFonts w:hint="eastAsia"/>
        </w:rPr>
        <w:t>；又因政府對於電力</w:t>
      </w:r>
      <w:r w:rsidRPr="00AB2AD1">
        <w:rPr>
          <w:rFonts w:hAnsi="標楷體" w:hint="eastAsia"/>
          <w:szCs w:val="32"/>
        </w:rPr>
        <w:t>負載預測</w:t>
      </w:r>
      <w:r w:rsidRPr="00AB2AD1">
        <w:rPr>
          <w:rFonts w:hint="eastAsia"/>
        </w:rPr>
        <w:t>不當，而使</w:t>
      </w:r>
      <w:r w:rsidRPr="00AB2AD1">
        <w:rPr>
          <w:rFonts w:hint="eastAsia"/>
          <w:spacing w:val="-4"/>
        </w:rPr>
        <w:t>台電公司電力系統之</w:t>
      </w:r>
      <w:r w:rsidR="00B751B3" w:rsidRPr="00AB2AD1">
        <w:rPr>
          <w:rFonts w:hint="eastAsia"/>
          <w:spacing w:val="-4"/>
        </w:rPr>
        <w:t>實際</w:t>
      </w:r>
      <w:r w:rsidRPr="00AB2AD1">
        <w:rPr>
          <w:rFonts w:hint="eastAsia"/>
        </w:rPr>
        <w:t>備用容量率過高，97年至101年均達20％以上，致台電公司部分電力設施閒置；另</w:t>
      </w:r>
      <w:r w:rsidRPr="00AB2AD1">
        <w:t>台電公司</w:t>
      </w:r>
      <w:r w:rsidRPr="00AB2AD1">
        <w:rPr>
          <w:rFonts w:hint="eastAsia"/>
        </w:rPr>
        <w:t>與各民營發電業者</w:t>
      </w:r>
      <w:r w:rsidRPr="00AB2AD1">
        <w:rPr>
          <w:rFonts w:hAnsi="標楷體" w:cs="標楷體" w:hint="eastAsia"/>
          <w:szCs w:val="32"/>
        </w:rPr>
        <w:t>簽訂</w:t>
      </w:r>
      <w:r w:rsidR="008522DB" w:rsidRPr="00AB2AD1">
        <w:rPr>
          <w:rFonts w:hAnsi="標楷體" w:cs="標楷體" w:hint="eastAsia"/>
          <w:szCs w:val="32"/>
        </w:rPr>
        <w:t>購售電</w:t>
      </w:r>
      <w:r w:rsidRPr="00AB2AD1">
        <w:rPr>
          <w:rFonts w:hAnsi="標楷體" w:cs="標楷體" w:hint="eastAsia"/>
          <w:szCs w:val="32"/>
        </w:rPr>
        <w:t>費率，</w:t>
      </w:r>
      <w:r w:rsidR="008522DB" w:rsidRPr="00AB2AD1">
        <w:rPr>
          <w:rFonts w:hint="eastAsia"/>
        </w:rPr>
        <w:t>因</w:t>
      </w:r>
      <w:r w:rsidR="008522DB" w:rsidRPr="00AB2AD1">
        <w:rPr>
          <w:rFonts w:hAnsi="標楷體" w:cs="標楷體" w:hint="eastAsia"/>
          <w:szCs w:val="32"/>
        </w:rPr>
        <w:t>支付固定費率</w:t>
      </w:r>
      <w:r w:rsidRPr="00AB2AD1">
        <w:rPr>
          <w:rFonts w:hAnsi="標楷體" w:cs="標楷體" w:hint="eastAsia"/>
          <w:szCs w:val="32"/>
        </w:rPr>
        <w:t>之利率逐年下滑，</w:t>
      </w:r>
      <w:r w:rsidRPr="00AB2AD1">
        <w:rPr>
          <w:rFonts w:hint="eastAsia"/>
        </w:rPr>
        <w:t>然</w:t>
      </w:r>
      <w:r w:rsidRPr="00AB2AD1">
        <w:t>台電公司</w:t>
      </w:r>
      <w:r w:rsidRPr="00AB2AD1">
        <w:rPr>
          <w:rFonts w:hint="eastAsia"/>
        </w:rPr>
        <w:t>、經濟部</w:t>
      </w:r>
      <w:r w:rsidRPr="00AB2AD1">
        <w:t>與</w:t>
      </w:r>
      <w:r w:rsidRPr="00AB2AD1">
        <w:rPr>
          <w:rFonts w:hint="eastAsia"/>
        </w:rPr>
        <w:t>各民營發電業者</w:t>
      </w:r>
      <w:r w:rsidRPr="00AB2AD1">
        <w:t>協商</w:t>
      </w:r>
      <w:r w:rsidRPr="00AB2AD1">
        <w:rPr>
          <w:rFonts w:hint="eastAsia"/>
        </w:rPr>
        <w:t>(處)</w:t>
      </w:r>
      <w:r w:rsidR="00F00817" w:rsidRPr="00AB2AD1">
        <w:rPr>
          <w:rFonts w:hAnsi="標楷體"/>
        </w:rPr>
        <w:t>購電費率</w:t>
      </w:r>
      <w:r w:rsidRPr="00AB2AD1">
        <w:rPr>
          <w:rFonts w:hAnsi="標楷體" w:hint="eastAsia"/>
        </w:rPr>
        <w:t>應</w:t>
      </w:r>
      <w:r w:rsidRPr="00AB2AD1">
        <w:rPr>
          <w:rFonts w:hAnsi="標楷體"/>
        </w:rPr>
        <w:t>隨利率浮動調整</w:t>
      </w:r>
      <w:r w:rsidRPr="00AB2AD1">
        <w:rPr>
          <w:rFonts w:hAnsi="標楷體" w:hint="eastAsia"/>
          <w:szCs w:val="32"/>
        </w:rPr>
        <w:t>時，</w:t>
      </w:r>
      <w:r w:rsidRPr="00AB2AD1">
        <w:rPr>
          <w:rFonts w:hint="eastAsia"/>
        </w:rPr>
        <w:t>各民營發電業者疑於所籌組之</w:t>
      </w:r>
      <w:r w:rsidRPr="00AB2AD1">
        <w:rPr>
          <w:rFonts w:hAnsi="標楷體" w:hint="eastAsia"/>
          <w:szCs w:val="32"/>
        </w:rPr>
        <w:t>「</w:t>
      </w:r>
      <w:r w:rsidRPr="00AB2AD1">
        <w:rPr>
          <w:rFonts w:hAnsi="新細明體" w:hint="eastAsia"/>
        </w:rPr>
        <w:t>台灣民營發電業協進會</w:t>
      </w:r>
      <w:r w:rsidRPr="00AB2AD1">
        <w:rPr>
          <w:rFonts w:hAnsi="標楷體" w:hint="eastAsia"/>
          <w:szCs w:val="32"/>
        </w:rPr>
        <w:t>」</w:t>
      </w:r>
      <w:r w:rsidRPr="00AB2AD1">
        <w:rPr>
          <w:rFonts w:hint="eastAsia"/>
        </w:rPr>
        <w:t>(</w:t>
      </w:r>
      <w:r w:rsidRPr="00AB2AD1">
        <w:rPr>
          <w:rFonts w:hAnsi="新細明體" w:hint="eastAsia"/>
        </w:rPr>
        <w:t>下稱協進會</w:t>
      </w:r>
      <w:r w:rsidRPr="00AB2AD1">
        <w:rPr>
          <w:rFonts w:hAnsi="標楷體" w:cs="標楷體" w:hint="eastAsia"/>
          <w:szCs w:val="32"/>
        </w:rPr>
        <w:t>)中</w:t>
      </w:r>
      <w:r w:rsidRPr="00AB2AD1">
        <w:rPr>
          <w:rFonts w:hint="eastAsia"/>
        </w:rPr>
        <w:t>，協議</w:t>
      </w:r>
      <w:r w:rsidRPr="00AB2AD1">
        <w:rPr>
          <w:rFonts w:hAnsi="標楷體" w:cs="標楷體" w:hint="eastAsia"/>
          <w:szCs w:val="32"/>
        </w:rPr>
        <w:t>共同拒絕調降容量費率</w:t>
      </w:r>
      <w:r w:rsidRPr="00AB2AD1">
        <w:rPr>
          <w:rFonts w:hAnsi="標楷體" w:hint="eastAsia"/>
          <w:szCs w:val="32"/>
        </w:rPr>
        <w:t>，致台電公司長期承</w:t>
      </w:r>
      <w:r w:rsidRPr="00AB2AD1">
        <w:rPr>
          <w:rFonts w:hint="eastAsia"/>
        </w:rPr>
        <w:t>擔過高之不合理</w:t>
      </w:r>
      <w:r w:rsidR="00F00817" w:rsidRPr="00AB2AD1">
        <w:rPr>
          <w:rFonts w:hint="eastAsia"/>
        </w:rPr>
        <w:t>購電費率</w:t>
      </w:r>
      <w:r w:rsidRPr="00AB2AD1">
        <w:rPr>
          <w:rFonts w:hint="eastAsia"/>
        </w:rPr>
        <w:t>。</w:t>
      </w:r>
    </w:p>
    <w:p w:rsidR="00DC1E25" w:rsidRPr="00AB2AD1" w:rsidRDefault="00DC1E25" w:rsidP="00DC1E25">
      <w:pPr>
        <w:pStyle w:val="11"/>
        <w:kinsoku/>
        <w:ind w:left="680" w:firstLine="680"/>
        <w:rPr>
          <w:rFonts w:hAnsi="標楷體"/>
        </w:rPr>
      </w:pPr>
      <w:r w:rsidRPr="00AB2AD1">
        <w:rPr>
          <w:rFonts w:hint="eastAsia"/>
        </w:rPr>
        <w:t>本院為查明經濟部暨所屬</w:t>
      </w:r>
      <w:r w:rsidRPr="00AB2AD1">
        <w:t>台電公司</w:t>
      </w:r>
      <w:r w:rsidRPr="00AB2AD1">
        <w:rPr>
          <w:rFonts w:hint="eastAsia"/>
        </w:rPr>
        <w:t>是否疏於與各民營發電業者積極</w:t>
      </w:r>
      <w:r w:rsidRPr="00AB2AD1">
        <w:t>協商</w:t>
      </w:r>
      <w:r w:rsidRPr="00AB2AD1">
        <w:rPr>
          <w:rFonts w:hint="eastAsia"/>
        </w:rPr>
        <w:t>調降</w:t>
      </w:r>
      <w:r w:rsidR="00F00817" w:rsidRPr="00AB2AD1">
        <w:rPr>
          <w:rFonts w:hint="eastAsia"/>
        </w:rPr>
        <w:t>購電費率</w:t>
      </w:r>
      <w:r w:rsidR="00B751B3" w:rsidRPr="00AB2AD1">
        <w:rPr>
          <w:rFonts w:hint="eastAsia"/>
        </w:rPr>
        <w:t>而怠忽職守，</w:t>
      </w:r>
      <w:r w:rsidRPr="00AB2AD1">
        <w:rPr>
          <w:rFonts w:hAnsi="標楷體" w:hint="eastAsia"/>
          <w:snapToGrid w:val="0"/>
          <w:szCs w:val="32"/>
        </w:rPr>
        <w:t>爰</w:t>
      </w:r>
      <w:r w:rsidR="00B751B3" w:rsidRPr="00AB2AD1">
        <w:rPr>
          <w:rFonts w:hAnsi="標楷體" w:hint="eastAsia"/>
          <w:bCs/>
          <w:szCs w:val="48"/>
        </w:rPr>
        <w:t>立案</w:t>
      </w:r>
      <w:r w:rsidR="00B751B3" w:rsidRPr="00AB2AD1">
        <w:rPr>
          <w:rFonts w:hint="eastAsia"/>
        </w:rPr>
        <w:t>查明</w:t>
      </w:r>
      <w:r w:rsidRPr="00AB2AD1">
        <w:rPr>
          <w:rFonts w:hAnsi="標楷體" w:hint="eastAsia"/>
          <w:bCs/>
          <w:szCs w:val="48"/>
        </w:rPr>
        <w:t>，經調閱行政院、經濟部及</w:t>
      </w:r>
      <w:r w:rsidRPr="00AB2AD1">
        <w:rPr>
          <w:rFonts w:hAnsi="標楷體" w:hint="eastAsia"/>
          <w:szCs w:val="32"/>
        </w:rPr>
        <w:t>台電</w:t>
      </w:r>
      <w:r w:rsidRPr="00AB2AD1">
        <w:rPr>
          <w:rFonts w:hint="eastAsia"/>
        </w:rPr>
        <w:t>公司相關卷證資料</w:t>
      </w:r>
      <w:r w:rsidRPr="00AB2AD1">
        <w:rPr>
          <w:rFonts w:hint="eastAsia"/>
          <w:szCs w:val="32"/>
        </w:rPr>
        <w:t>，及</w:t>
      </w:r>
      <w:r w:rsidRPr="00AB2AD1">
        <w:rPr>
          <w:rFonts w:hint="eastAsia"/>
        </w:rPr>
        <w:t>於101年11月14日履勘和平電廠、102年1月11日履勘新桃及國光電廠、102年6月5日履勘星元及森霸與星能電力公司並請台灣汽電共生股份有限公司（下稱台汽電公司）列席簡報、102年6月28日履勘星元及星能(彰濱)電廠，並於101年10月23日及</w:t>
      </w:r>
      <w:smartTag w:uri="urn:schemas-microsoft-com:office:smarttags" w:element="chsdate">
        <w:smartTagPr>
          <w:attr w:name="Year" w:val="2013"/>
          <w:attr w:name="Month" w:val="10"/>
          <w:attr w:name="Day" w:val="30"/>
          <w:attr w:name="IsLunarDate" w:val="False"/>
          <w:attr w:name="IsROCDate" w:val="False"/>
        </w:smartTagPr>
        <w:r w:rsidRPr="00AB2AD1">
          <w:rPr>
            <w:rFonts w:hint="eastAsia"/>
          </w:rPr>
          <w:t>10月30日</w:t>
        </w:r>
      </w:smartTag>
      <w:r w:rsidRPr="00AB2AD1">
        <w:rPr>
          <w:rFonts w:hint="eastAsia"/>
        </w:rPr>
        <w:t>與</w:t>
      </w:r>
      <w:smartTag w:uri="urn:schemas-microsoft-com:office:smarttags" w:element="chsdate">
        <w:smartTagPr>
          <w:attr w:name="Year" w:val="2013"/>
          <w:attr w:name="Month" w:val="12"/>
          <w:attr w:name="Day" w:val="18"/>
          <w:attr w:name="IsLunarDate" w:val="False"/>
          <w:attr w:name="IsROCDate" w:val="False"/>
        </w:smartTagPr>
        <w:r w:rsidRPr="00AB2AD1">
          <w:rPr>
            <w:rFonts w:hAnsi="標楷體" w:cs="新細明體" w:hint="eastAsia"/>
            <w:szCs w:val="32"/>
          </w:rPr>
          <w:lastRenderedPageBreak/>
          <w:t>12月18日</w:t>
        </w:r>
      </w:smartTag>
      <w:r w:rsidRPr="00AB2AD1">
        <w:rPr>
          <w:rFonts w:hint="eastAsia"/>
        </w:rPr>
        <w:t>分別約詢經濟部前部長黃營杉及陳瑞隆與</w:t>
      </w:r>
      <w:r w:rsidRPr="00AB2AD1">
        <w:t>尹啟銘</w:t>
      </w:r>
      <w:r w:rsidRPr="00AB2AD1">
        <w:rPr>
          <w:rFonts w:hint="eastAsia"/>
        </w:rPr>
        <w:t>，</w:t>
      </w:r>
      <w:r w:rsidRPr="00AB2AD1">
        <w:t>102</w:t>
      </w:r>
      <w:r w:rsidRPr="00AB2AD1">
        <w:rPr>
          <w:rFonts w:hint="eastAsia"/>
        </w:rPr>
        <w:t>年</w:t>
      </w:r>
      <w:r w:rsidRPr="00AB2AD1">
        <w:t>2</w:t>
      </w:r>
      <w:r w:rsidRPr="00AB2AD1">
        <w:rPr>
          <w:rFonts w:hint="eastAsia"/>
        </w:rPr>
        <w:t>月</w:t>
      </w:r>
      <w:r w:rsidRPr="00AB2AD1">
        <w:t>22</w:t>
      </w:r>
      <w:r w:rsidRPr="00AB2AD1">
        <w:rPr>
          <w:rFonts w:hint="eastAsia"/>
        </w:rPr>
        <w:t>日約詢經濟部政務次長梁國新暨所屬能源局及國營事業委員會</w:t>
      </w:r>
      <w:r w:rsidRPr="00AB2AD1">
        <w:rPr>
          <w:rFonts w:hAnsi="標楷體" w:hint="eastAsia"/>
          <w:szCs w:val="32"/>
        </w:rPr>
        <w:t>(下稱</w:t>
      </w:r>
      <w:r w:rsidR="00AA0EE4" w:rsidRPr="00AB2AD1">
        <w:rPr>
          <w:rFonts w:hint="eastAsia"/>
        </w:rPr>
        <w:t>能源局、</w:t>
      </w:r>
      <w:r w:rsidRPr="00AB2AD1">
        <w:rPr>
          <w:rFonts w:hint="eastAsia"/>
        </w:rPr>
        <w:t>國營</w:t>
      </w:r>
      <w:r w:rsidRPr="00AB2AD1">
        <w:rPr>
          <w:rFonts w:hAnsi="新細明體"/>
          <w:szCs w:val="48"/>
        </w:rPr>
        <w:t>會</w:t>
      </w:r>
      <w:r w:rsidRPr="00AB2AD1">
        <w:rPr>
          <w:rFonts w:hAnsi="新細明體" w:hint="eastAsia"/>
          <w:szCs w:val="48"/>
        </w:rPr>
        <w:t>)</w:t>
      </w:r>
      <w:r w:rsidRPr="00AB2AD1">
        <w:rPr>
          <w:rFonts w:hint="eastAsia"/>
        </w:rPr>
        <w:t>與台電公司、102年4月15日約詢</w:t>
      </w:r>
      <w:r w:rsidRPr="00AB2AD1">
        <w:rPr>
          <w:rFonts w:hAnsi="標楷體"/>
          <w:szCs w:val="32"/>
        </w:rPr>
        <w:t>公平交易委員會</w:t>
      </w:r>
      <w:r w:rsidRPr="00AB2AD1">
        <w:rPr>
          <w:rFonts w:hAnsi="標楷體" w:hint="eastAsia"/>
          <w:szCs w:val="32"/>
        </w:rPr>
        <w:t>(下稱</w:t>
      </w:r>
      <w:r w:rsidRPr="00AB2AD1">
        <w:rPr>
          <w:rFonts w:hAnsi="新細明體"/>
          <w:szCs w:val="48"/>
        </w:rPr>
        <w:t>公平會</w:t>
      </w:r>
      <w:r w:rsidRPr="00AB2AD1">
        <w:rPr>
          <w:rFonts w:hAnsi="新細明體" w:hint="eastAsia"/>
          <w:szCs w:val="48"/>
        </w:rPr>
        <w:t>)、</w:t>
      </w:r>
      <w:r w:rsidRPr="00AB2AD1">
        <w:rPr>
          <w:rFonts w:hint="eastAsia"/>
        </w:rPr>
        <w:t>102年8月27日約詢經濟部暨所屬能源局與</w:t>
      </w:r>
      <w:r w:rsidRPr="00AB2AD1">
        <w:rPr>
          <w:rFonts w:hAnsi="標楷體" w:hint="eastAsia"/>
          <w:szCs w:val="32"/>
        </w:rPr>
        <w:t>台電</w:t>
      </w:r>
      <w:r w:rsidRPr="00AB2AD1">
        <w:rPr>
          <w:rFonts w:hint="eastAsia"/>
        </w:rPr>
        <w:t>公司相關人員</w:t>
      </w:r>
      <w:r w:rsidRPr="00AB2AD1">
        <w:rPr>
          <w:rFonts w:hAnsi="新細明體" w:hint="eastAsia"/>
          <w:szCs w:val="48"/>
        </w:rPr>
        <w:t>，並訪談</w:t>
      </w:r>
      <w:r w:rsidR="00AA0EE4" w:rsidRPr="00AB2AD1">
        <w:rPr>
          <w:rFonts w:hint="eastAsia"/>
        </w:rPr>
        <w:t>相關</w:t>
      </w:r>
      <w:r w:rsidR="00A31A4E" w:rsidRPr="00AB2AD1">
        <w:rPr>
          <w:rFonts w:hint="eastAsia"/>
        </w:rPr>
        <w:t>民營</w:t>
      </w:r>
      <w:r w:rsidR="00A31A4E" w:rsidRPr="00AB2AD1">
        <w:rPr>
          <w:rFonts w:hAnsi="標楷體" w:hint="eastAsia"/>
          <w:szCs w:val="32"/>
        </w:rPr>
        <w:t>發電業者</w:t>
      </w:r>
      <w:r w:rsidRPr="00AB2AD1">
        <w:rPr>
          <w:rFonts w:hint="eastAsia"/>
        </w:rPr>
        <w:t>等人員後，業已調查竣事。茲將調查意見臚陳如下</w:t>
      </w:r>
      <w:r w:rsidRPr="00AB2AD1">
        <w:rPr>
          <w:rFonts w:hAnsi="標楷體" w:hint="eastAsia"/>
        </w:rPr>
        <w:t>：</w:t>
      </w:r>
    </w:p>
    <w:p w:rsidR="00513BDA" w:rsidRPr="00AB2AD1" w:rsidRDefault="00DC1E25" w:rsidP="00FF16E8">
      <w:pPr>
        <w:pStyle w:val="2"/>
        <w:widowControl/>
        <w:numPr>
          <w:ilvl w:val="1"/>
          <w:numId w:val="2"/>
        </w:numPr>
        <w:kinsoku/>
        <w:spacing w:beforeLines="20"/>
        <w:ind w:left="1043"/>
        <w:rPr>
          <w:rFonts w:hAnsi="標楷體"/>
          <w:szCs w:val="32"/>
        </w:rPr>
      </w:pPr>
      <w:bookmarkStart w:id="51" w:name="_Toc370719953"/>
      <w:r w:rsidRPr="00AB2AD1">
        <w:rPr>
          <w:rFonts w:hAnsi="標楷體" w:hint="eastAsia"/>
          <w:szCs w:val="32"/>
        </w:rPr>
        <w:t>台電公司</w:t>
      </w:r>
      <w:r w:rsidR="008A202F" w:rsidRPr="00AB2AD1">
        <w:rPr>
          <w:rFonts w:hAnsi="標楷體" w:hint="eastAsia"/>
          <w:szCs w:val="32"/>
        </w:rPr>
        <w:t>及經濟部</w:t>
      </w:r>
      <w:r w:rsidR="00E3393F" w:rsidRPr="00AB2AD1">
        <w:rPr>
          <w:rFonts w:hAnsi="標楷體" w:hint="eastAsia"/>
          <w:szCs w:val="32"/>
        </w:rPr>
        <w:t>任由9家</w:t>
      </w:r>
      <w:r w:rsidRPr="00AB2AD1">
        <w:rPr>
          <w:rFonts w:hAnsi="標楷體" w:hint="eastAsia"/>
          <w:szCs w:val="32"/>
        </w:rPr>
        <w:t>民營發電業者</w:t>
      </w:r>
      <w:r w:rsidR="008A202F" w:rsidRPr="00AB2AD1">
        <w:rPr>
          <w:rFonts w:hAnsi="標楷體" w:hint="eastAsia"/>
          <w:szCs w:val="32"/>
        </w:rPr>
        <w:t>以聯合行為</w:t>
      </w:r>
      <w:r w:rsidR="006E313C" w:rsidRPr="00AB2AD1">
        <w:rPr>
          <w:rFonts w:hAnsi="標楷體" w:hint="eastAsia"/>
          <w:szCs w:val="32"/>
        </w:rPr>
        <w:t>協議</w:t>
      </w:r>
      <w:r w:rsidR="004110B9" w:rsidRPr="00AB2AD1">
        <w:rPr>
          <w:rFonts w:hAnsi="標楷體" w:hint="eastAsia"/>
          <w:szCs w:val="32"/>
        </w:rPr>
        <w:t>，</w:t>
      </w:r>
      <w:r w:rsidRPr="00AB2AD1">
        <w:rPr>
          <w:rFonts w:hAnsi="標楷體" w:hint="eastAsia"/>
          <w:szCs w:val="32"/>
        </w:rPr>
        <w:t>拒絕調降</w:t>
      </w:r>
      <w:r w:rsidR="00F00817" w:rsidRPr="00AB2AD1">
        <w:rPr>
          <w:rFonts w:hAnsi="標楷體" w:hint="eastAsia"/>
          <w:szCs w:val="32"/>
        </w:rPr>
        <w:t>購電費率</w:t>
      </w:r>
      <w:r w:rsidRPr="00AB2AD1">
        <w:rPr>
          <w:rFonts w:hAnsi="標楷體" w:hint="eastAsia"/>
          <w:szCs w:val="32"/>
        </w:rPr>
        <w:t>，</w:t>
      </w:r>
      <w:r w:rsidR="00513BDA" w:rsidRPr="00AB2AD1">
        <w:rPr>
          <w:rFonts w:hAnsi="標楷體" w:hint="eastAsia"/>
          <w:szCs w:val="32"/>
        </w:rPr>
        <w:t>遭公平會鉅額</w:t>
      </w:r>
      <w:r w:rsidR="00513BDA" w:rsidRPr="00AB2AD1">
        <w:rPr>
          <w:rFonts w:hAnsi="標楷體" w:cs="標楷體" w:hint="eastAsia"/>
          <w:szCs w:val="32"/>
        </w:rPr>
        <w:t>罰鍰</w:t>
      </w:r>
      <w:r w:rsidR="00513BDA" w:rsidRPr="00AB2AD1">
        <w:rPr>
          <w:rFonts w:hAnsi="標楷體" w:hint="eastAsia"/>
          <w:szCs w:val="32"/>
        </w:rPr>
        <w:t>，並因含台電</w:t>
      </w:r>
      <w:r w:rsidR="00831444" w:rsidRPr="00AB2AD1">
        <w:rPr>
          <w:rFonts w:hAnsi="標楷體" w:hint="eastAsia"/>
          <w:szCs w:val="32"/>
        </w:rPr>
        <w:t>公司</w:t>
      </w:r>
      <w:r w:rsidR="00513BDA" w:rsidRPr="00AB2AD1">
        <w:rPr>
          <w:rFonts w:hAnsi="標楷體" w:hint="eastAsia"/>
          <w:szCs w:val="32"/>
        </w:rPr>
        <w:t>4家間接轉投資發電業者，致影響台電投資獲利，且由於協商及協處作業執行不力，竟於</w:t>
      </w:r>
      <w:r w:rsidR="00513BDA" w:rsidRPr="00AB2AD1">
        <w:rPr>
          <w:rFonts w:hint="eastAsia"/>
        </w:rPr>
        <w:t>先行同意</w:t>
      </w:r>
      <w:r w:rsidR="00513BDA" w:rsidRPr="00AB2AD1">
        <w:rPr>
          <w:rFonts w:hAnsi="標楷體" w:hint="eastAsia"/>
          <w:szCs w:val="32"/>
        </w:rPr>
        <w:t>發電</w:t>
      </w:r>
      <w:r w:rsidR="00513BDA" w:rsidRPr="00AB2AD1">
        <w:rPr>
          <w:rFonts w:hint="eastAsia"/>
        </w:rPr>
        <w:t>業者縮短反映燃料成本之時間後</w:t>
      </w:r>
      <w:r w:rsidR="00513BDA" w:rsidRPr="00AB2AD1">
        <w:rPr>
          <w:rFonts w:hAnsi="標楷體" w:hint="eastAsia"/>
          <w:szCs w:val="32"/>
        </w:rPr>
        <w:t>，歷經5年10個月始與所有業者完成調降購電費率之修約事宜，徒增台電公司之</w:t>
      </w:r>
      <w:r w:rsidR="00513BDA" w:rsidRPr="00AB2AD1">
        <w:t>購電支出</w:t>
      </w:r>
      <w:r w:rsidR="00513BDA" w:rsidRPr="00AB2AD1">
        <w:rPr>
          <w:rFonts w:hint="eastAsia"/>
        </w:rPr>
        <w:t>及</w:t>
      </w:r>
      <w:r w:rsidR="00513BDA" w:rsidRPr="00AB2AD1">
        <w:rPr>
          <w:rFonts w:hAnsi="標楷體" w:hint="eastAsia"/>
          <w:szCs w:val="32"/>
        </w:rPr>
        <w:t>虧損，確有違失。</w:t>
      </w:r>
      <w:bookmarkEnd w:id="51"/>
    </w:p>
    <w:p w:rsidR="00DC1E25" w:rsidRPr="00AB2AD1" w:rsidRDefault="00DC1E25" w:rsidP="00DC1E25">
      <w:pPr>
        <w:pStyle w:val="3"/>
      </w:pPr>
      <w:r w:rsidRPr="00AB2AD1">
        <w:rPr>
          <w:rFonts w:hint="eastAsia"/>
        </w:rPr>
        <w:t>查</w:t>
      </w:r>
      <w:r w:rsidRPr="00AB2AD1">
        <w:t>台電公司為國內唯一</w:t>
      </w:r>
      <w:r w:rsidRPr="00AB2AD1">
        <w:rPr>
          <w:rFonts w:ascii="Arial" w:cs="Arial"/>
          <w:bCs w:val="0"/>
          <w:kern w:val="2"/>
          <w:szCs w:val="20"/>
        </w:rPr>
        <w:t>涵</w:t>
      </w:r>
      <w:r w:rsidRPr="00AB2AD1">
        <w:t>蓋發電、輸電、配電之綜合電業，負</w:t>
      </w:r>
      <w:r w:rsidRPr="00AB2AD1">
        <w:rPr>
          <w:rFonts w:hint="eastAsia"/>
        </w:rPr>
        <w:t>有</w:t>
      </w:r>
      <w:r w:rsidRPr="00AB2AD1">
        <w:t>供電義務，早期自發電量均可滿足</w:t>
      </w:r>
      <w:r w:rsidR="00086FD0" w:rsidRPr="00AB2AD1">
        <w:rPr>
          <w:rFonts w:hint="eastAsia"/>
        </w:rPr>
        <w:t>用</w:t>
      </w:r>
      <w:r w:rsidR="00E9498D">
        <w:rPr>
          <w:rFonts w:hint="eastAsia"/>
        </w:rPr>
        <w:t>電</w:t>
      </w:r>
      <w:r w:rsidR="00086FD0" w:rsidRPr="00AB2AD1">
        <w:t>量</w:t>
      </w:r>
      <w:r w:rsidRPr="00AB2AD1">
        <w:t>，57年起配合政府開發水資源而陸續躉購公營水庫電廠發電量</w:t>
      </w:r>
      <w:r w:rsidRPr="00AB2AD1">
        <w:rPr>
          <w:rFonts w:hint="eastAsia"/>
        </w:rPr>
        <w:t>，並</w:t>
      </w:r>
      <w:r w:rsidRPr="00AB2AD1">
        <w:t>於77年配合政府推廣汽電共</w:t>
      </w:r>
      <w:r w:rsidR="004D2C72" w:rsidRPr="00AB2AD1">
        <w:rPr>
          <w:rFonts w:hint="eastAsia"/>
        </w:rPr>
        <w:t>生</w:t>
      </w:r>
      <w:r w:rsidRPr="00AB2AD1">
        <w:t>系統政策，躉購汽電共生業者餘電</w:t>
      </w:r>
      <w:r w:rsidRPr="00AB2AD1">
        <w:rPr>
          <w:rFonts w:hint="eastAsia"/>
        </w:rPr>
        <w:t>，</w:t>
      </w:r>
      <w:r w:rsidRPr="00AB2AD1">
        <w:t>至80年</w:t>
      </w:r>
      <w:r w:rsidRPr="00AB2AD1">
        <w:rPr>
          <w:rFonts w:hint="eastAsia"/>
        </w:rPr>
        <w:t>後</w:t>
      </w:r>
      <w:r w:rsidRPr="00AB2AD1">
        <w:t>因電源開發不易，</w:t>
      </w:r>
      <w:r w:rsidRPr="00AB2AD1">
        <w:rPr>
          <w:rFonts w:hint="eastAsia"/>
        </w:rPr>
        <w:t>頻遭民眾抗爭，</w:t>
      </w:r>
      <w:r w:rsidRPr="00AB2AD1">
        <w:t>造成自有供電能力未達政府訂定之備用容量率</w:t>
      </w:r>
      <w:r w:rsidRPr="00AB2AD1">
        <w:rPr>
          <w:rFonts w:hint="eastAsia"/>
        </w:rPr>
        <w:t>（當時備用容量率目標值為20％）</w:t>
      </w:r>
      <w:r w:rsidRPr="00AB2AD1">
        <w:t>，</w:t>
      </w:r>
      <w:r w:rsidRPr="00AB2AD1">
        <w:rPr>
          <w:rFonts w:hint="eastAsia"/>
        </w:rPr>
        <w:t>台電公司於80至85年間，供電</w:t>
      </w:r>
      <w:r w:rsidR="00086FD0" w:rsidRPr="00AB2AD1">
        <w:rPr>
          <w:rFonts w:hint="eastAsia"/>
        </w:rPr>
        <w:t>系統之</w:t>
      </w:r>
      <w:r w:rsidRPr="00AB2AD1">
        <w:rPr>
          <w:rFonts w:hint="eastAsia"/>
        </w:rPr>
        <w:t>備用容量率僅約4.2％至6.7％，</w:t>
      </w:r>
      <w:r w:rsidRPr="00AB2AD1">
        <w:t>而</w:t>
      </w:r>
      <w:r w:rsidR="00086FD0" w:rsidRPr="00AB2AD1">
        <w:rPr>
          <w:rFonts w:hint="eastAsia"/>
        </w:rPr>
        <w:t>時</w:t>
      </w:r>
      <w:r w:rsidRPr="00AB2AD1">
        <w:t>有限電</w:t>
      </w:r>
      <w:r w:rsidR="00086FD0" w:rsidRPr="00AB2AD1">
        <w:rPr>
          <w:rFonts w:hint="eastAsia"/>
        </w:rPr>
        <w:t>之</w:t>
      </w:r>
      <w:r w:rsidRPr="00AB2AD1">
        <w:t>情形</w:t>
      </w:r>
      <w:r w:rsidR="00086FD0" w:rsidRPr="00AB2AD1">
        <w:rPr>
          <w:rFonts w:hint="eastAsia"/>
        </w:rPr>
        <w:t>。</w:t>
      </w:r>
      <w:r w:rsidRPr="00AB2AD1">
        <w:rPr>
          <w:rFonts w:hint="eastAsia"/>
        </w:rPr>
        <w:t>經濟部為穩定供電</w:t>
      </w:r>
      <w:r w:rsidRPr="00AB2AD1">
        <w:t>及預為規劃國內電業自由化環境</w:t>
      </w:r>
      <w:r w:rsidRPr="00AB2AD1">
        <w:rPr>
          <w:rFonts w:hint="eastAsia"/>
        </w:rPr>
        <w:t>，</w:t>
      </w:r>
      <w:r w:rsidRPr="00AB2AD1">
        <w:rPr>
          <w:rFonts w:hint="eastAsia"/>
          <w:kern w:val="2"/>
        </w:rPr>
        <w:t>於84年辦理</w:t>
      </w:r>
      <w:r w:rsidRPr="00AB2AD1">
        <w:rPr>
          <w:rFonts w:hint="eastAsia"/>
        </w:rPr>
        <w:t>第一</w:t>
      </w:r>
      <w:r w:rsidRPr="00AB2AD1">
        <w:rPr>
          <w:rFonts w:hint="eastAsia"/>
          <w:kern w:val="2"/>
        </w:rPr>
        <w:t>、</w:t>
      </w:r>
      <w:r w:rsidRPr="00AB2AD1">
        <w:rPr>
          <w:rFonts w:hint="eastAsia"/>
        </w:rPr>
        <w:t>第</w:t>
      </w:r>
      <w:r w:rsidRPr="00AB2AD1">
        <w:rPr>
          <w:rFonts w:hint="eastAsia"/>
          <w:kern w:val="2"/>
        </w:rPr>
        <w:t>二階段之兩次開放民間設立發電廠，及於88年辦理</w:t>
      </w:r>
      <w:r w:rsidRPr="00AB2AD1">
        <w:rPr>
          <w:rFonts w:hint="eastAsia"/>
        </w:rPr>
        <w:t>第</w:t>
      </w:r>
      <w:r w:rsidRPr="00AB2AD1">
        <w:rPr>
          <w:rFonts w:hint="eastAsia"/>
          <w:kern w:val="2"/>
        </w:rPr>
        <w:t>三階段(</w:t>
      </w:r>
      <w:r w:rsidRPr="00AB2AD1">
        <w:rPr>
          <w:rFonts w:hint="eastAsia"/>
        </w:rPr>
        <w:t>當時稱為「</w:t>
      </w:r>
      <w:r w:rsidRPr="00AB2AD1">
        <w:rPr>
          <w:rFonts w:hint="eastAsia"/>
          <w:kern w:val="2"/>
        </w:rPr>
        <w:t>現階段</w:t>
      </w:r>
      <w:r w:rsidRPr="00AB2AD1">
        <w:rPr>
          <w:rFonts w:hint="eastAsia"/>
        </w:rPr>
        <w:t>」</w:t>
      </w:r>
      <w:r w:rsidRPr="00AB2AD1">
        <w:rPr>
          <w:rFonts w:hint="eastAsia"/>
          <w:kern w:val="2"/>
        </w:rPr>
        <w:t>)開放民間設立發電廠，並皆以20％之備用容量率目標值作為規劃依據，以計算所開放之購電容量；</w:t>
      </w:r>
      <w:smartTag w:uri="urn:schemas-microsoft-com:office:smarttags" w:element="chsdate">
        <w:smartTagPr>
          <w:attr w:name="Year" w:val="1994"/>
          <w:attr w:name="Month" w:val="10"/>
          <w:attr w:name="Day" w:val="5"/>
          <w:attr w:name="IsLunarDate" w:val="False"/>
          <w:attr w:name="IsROCDate" w:val="False"/>
        </w:smartTagPr>
        <w:r w:rsidRPr="00AB2AD1">
          <w:rPr>
            <w:rFonts w:hint="eastAsia"/>
            <w:kern w:val="2"/>
          </w:rPr>
          <w:t>94年10月5日</w:t>
        </w:r>
      </w:smartTag>
      <w:r w:rsidRPr="00AB2AD1">
        <w:rPr>
          <w:rFonts w:hint="eastAsia"/>
          <w:kern w:val="2"/>
        </w:rPr>
        <w:t>行政院指示將備用</w:t>
      </w:r>
      <w:r w:rsidRPr="00AB2AD1">
        <w:rPr>
          <w:rFonts w:hint="eastAsia"/>
          <w:kern w:val="2"/>
        </w:rPr>
        <w:lastRenderedPageBreak/>
        <w:t>容量率目標值調降為16％後，</w:t>
      </w:r>
      <w:r w:rsidRPr="00AB2AD1">
        <w:rPr>
          <w:rFonts w:hint="eastAsia"/>
        </w:rPr>
        <w:t>95年經濟部復</w:t>
      </w:r>
      <w:r w:rsidRPr="00AB2AD1">
        <w:rPr>
          <w:rFonts w:hint="eastAsia"/>
          <w:kern w:val="2"/>
        </w:rPr>
        <w:t>辦理</w:t>
      </w:r>
      <w:r w:rsidRPr="00AB2AD1">
        <w:rPr>
          <w:rFonts w:hint="eastAsia"/>
        </w:rPr>
        <w:t>第</w:t>
      </w:r>
      <w:r w:rsidRPr="00AB2AD1">
        <w:rPr>
          <w:rFonts w:hint="eastAsia"/>
          <w:kern w:val="2"/>
        </w:rPr>
        <w:t>四階段開放民間設立發電廠，因</w:t>
      </w:r>
      <w:r w:rsidRPr="00AB2AD1">
        <w:rPr>
          <w:rFonts w:hint="eastAsia"/>
        </w:rPr>
        <w:t>業者之電價競比結果，均未能進入底價，故無獲選業者及容量。</w:t>
      </w:r>
      <w:r w:rsidR="006172B3" w:rsidRPr="00AB2AD1">
        <w:rPr>
          <w:rFonts w:hint="eastAsia"/>
        </w:rPr>
        <w:t>又</w:t>
      </w:r>
      <w:r w:rsidR="00086FD0" w:rsidRPr="00AB2AD1">
        <w:rPr>
          <w:rFonts w:hint="eastAsia"/>
        </w:rPr>
        <w:t>依</w:t>
      </w:r>
      <w:r w:rsidR="006172B3" w:rsidRPr="00AB2AD1">
        <w:rPr>
          <w:rFonts w:hint="eastAsia"/>
        </w:rPr>
        <w:t>台電公司與第一、二階段開放設立之各民營發電業者</w:t>
      </w:r>
      <w:r w:rsidR="00086FD0" w:rsidRPr="00AB2AD1">
        <w:rPr>
          <w:rFonts w:hint="eastAsia"/>
        </w:rPr>
        <w:t>所</w:t>
      </w:r>
      <w:r w:rsidR="006172B3" w:rsidRPr="00AB2AD1">
        <w:rPr>
          <w:rFonts w:hint="eastAsia"/>
        </w:rPr>
        <w:t>簽訂之購售電合約第54條約定：「本合約自生效日起每滿5年或有必要時，由雙方會商檢討修正之。」而該公司與第三階段各發電業者簽訂之購售電合約第49條約定：「本合約得經雙方會商檢討同意後以書面修正之。」因此，購售電合約得經雙方會商檢討修正</w:t>
      </w:r>
      <w:r w:rsidR="00086FD0" w:rsidRPr="00AB2AD1">
        <w:rPr>
          <w:rFonts w:hint="eastAsia"/>
        </w:rPr>
        <w:t>之</w:t>
      </w:r>
      <w:r w:rsidR="006172B3" w:rsidRPr="00AB2AD1">
        <w:rPr>
          <w:rFonts w:hint="eastAsia"/>
        </w:rPr>
        <w:t>。</w:t>
      </w:r>
      <w:r w:rsidRPr="00AB2AD1">
        <w:rPr>
          <w:rFonts w:hint="eastAsia"/>
        </w:rPr>
        <w:t>經濟部歷年開放民營</w:t>
      </w:r>
      <w:r w:rsidR="00086FD0" w:rsidRPr="00AB2AD1">
        <w:rPr>
          <w:rFonts w:hint="eastAsia"/>
        </w:rPr>
        <w:t>電力公司</w:t>
      </w:r>
      <w:r w:rsidR="007F1B2A" w:rsidRPr="00AB2AD1">
        <w:rPr>
          <w:rFonts w:hint="eastAsia"/>
        </w:rPr>
        <w:t>並商轉</w:t>
      </w:r>
      <w:r w:rsidRPr="00AB2AD1">
        <w:rPr>
          <w:rFonts w:hint="eastAsia"/>
        </w:rPr>
        <w:t>之情形如表</w:t>
      </w:r>
      <w:r w:rsidR="00F951F5" w:rsidRPr="00AB2AD1">
        <w:rPr>
          <w:rFonts w:hint="eastAsia"/>
        </w:rPr>
        <w:t>一</w:t>
      </w:r>
      <w:r w:rsidRPr="00AB2AD1">
        <w:rPr>
          <w:rFonts w:hint="eastAsia"/>
        </w:rPr>
        <w:t>所示：</w:t>
      </w:r>
    </w:p>
    <w:p w:rsidR="00F951F5" w:rsidRPr="00AB2AD1" w:rsidRDefault="00F951F5" w:rsidP="00F951F5">
      <w:pPr>
        <w:pStyle w:val="a1"/>
        <w:numPr>
          <w:ilvl w:val="0"/>
          <w:numId w:val="0"/>
        </w:numPr>
        <w:ind w:rightChars="-233" w:right="-793"/>
        <w:jc w:val="center"/>
        <w:rPr>
          <w:rFonts w:ascii="Times New Roman"/>
          <w:sz w:val="28"/>
        </w:rPr>
      </w:pPr>
      <w:bookmarkStart w:id="52" w:name="_Toc370720516"/>
      <w:bookmarkStart w:id="53" w:name="_Toc370721997"/>
      <w:bookmarkStart w:id="54" w:name="_Toc370914207"/>
      <w:r w:rsidRPr="00AB2AD1">
        <w:rPr>
          <w:rFonts w:ascii="Times New Roman" w:hint="eastAsia"/>
          <w:sz w:val="28"/>
        </w:rPr>
        <w:t>表一、</w:t>
      </w:r>
      <w:r w:rsidRPr="00AB2AD1">
        <w:rPr>
          <w:rFonts w:ascii="Times New Roman"/>
          <w:sz w:val="28"/>
        </w:rPr>
        <w:t>台電公司開放民營電廠之結果：歷年</w:t>
      </w:r>
      <w:bookmarkEnd w:id="52"/>
      <w:bookmarkEnd w:id="53"/>
      <w:bookmarkEnd w:id="54"/>
    </w:p>
    <w:p w:rsidR="008E602D" w:rsidRPr="00AB2AD1" w:rsidRDefault="008E602D" w:rsidP="008E602D">
      <w:pPr>
        <w:ind w:rightChars="182" w:right="619"/>
        <w:jc w:val="right"/>
      </w:pPr>
      <w:r w:rsidRPr="00AB2AD1">
        <w:rPr>
          <w:sz w:val="24"/>
          <w:szCs w:val="24"/>
        </w:rPr>
        <w:t>容量</w:t>
      </w:r>
      <w:r w:rsidRPr="00AB2AD1">
        <w:rPr>
          <w:sz w:val="24"/>
        </w:rPr>
        <w:t>單位：萬瓩</w:t>
      </w:r>
    </w:p>
    <w:tbl>
      <w:tblPr>
        <w:tblW w:w="897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438"/>
        <w:gridCol w:w="676"/>
        <w:gridCol w:w="1041"/>
        <w:gridCol w:w="937"/>
        <w:gridCol w:w="726"/>
        <w:gridCol w:w="1384"/>
        <w:gridCol w:w="1359"/>
      </w:tblGrid>
      <w:tr w:rsidR="008E602D" w:rsidRPr="00AB2AD1" w:rsidTr="007F1B2A">
        <w:trPr>
          <w:trHeight w:val="190"/>
          <w:jc w:val="center"/>
        </w:trPr>
        <w:tc>
          <w:tcPr>
            <w:tcW w:w="1418" w:type="dxa"/>
            <w:vMerge w:val="restart"/>
            <w:shd w:val="clear" w:color="auto" w:fill="auto"/>
            <w:vAlign w:val="center"/>
          </w:tcPr>
          <w:p w:rsidR="008E602D" w:rsidRPr="00AB2AD1" w:rsidRDefault="008E602D" w:rsidP="008E602D">
            <w:pPr>
              <w:spacing w:line="260" w:lineRule="exact"/>
              <w:ind w:rightChars="-30" w:right="-102"/>
              <w:jc w:val="center"/>
              <w:rPr>
                <w:sz w:val="24"/>
                <w:szCs w:val="24"/>
              </w:rPr>
            </w:pPr>
            <w:r w:rsidRPr="00AB2AD1">
              <w:rPr>
                <w:sz w:val="24"/>
                <w:szCs w:val="24"/>
              </w:rPr>
              <w:t>階段</w:t>
            </w:r>
          </w:p>
        </w:tc>
        <w:tc>
          <w:tcPr>
            <w:tcW w:w="1438" w:type="dxa"/>
            <w:vMerge w:val="restart"/>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IPP</w:t>
            </w:r>
            <w:r w:rsidRPr="00AB2AD1">
              <w:rPr>
                <w:sz w:val="24"/>
                <w:szCs w:val="24"/>
              </w:rPr>
              <w:t>名稱</w:t>
            </w:r>
          </w:p>
        </w:tc>
        <w:tc>
          <w:tcPr>
            <w:tcW w:w="676" w:type="dxa"/>
            <w:vMerge w:val="restart"/>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燃料</w:t>
            </w:r>
          </w:p>
        </w:tc>
        <w:tc>
          <w:tcPr>
            <w:tcW w:w="1041" w:type="dxa"/>
            <w:vMerge w:val="restart"/>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機</w:t>
            </w:r>
            <w:r w:rsidR="007F1B2A" w:rsidRPr="00AB2AD1">
              <w:rPr>
                <w:rFonts w:hint="eastAsia"/>
                <w:sz w:val="24"/>
                <w:szCs w:val="24"/>
              </w:rPr>
              <w:t>組數</w:t>
            </w:r>
          </w:p>
        </w:tc>
        <w:tc>
          <w:tcPr>
            <w:tcW w:w="1663" w:type="dxa"/>
            <w:gridSpan w:val="2"/>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裝置容量</w:t>
            </w:r>
          </w:p>
        </w:tc>
        <w:tc>
          <w:tcPr>
            <w:tcW w:w="1384" w:type="dxa"/>
            <w:vMerge w:val="restart"/>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簽約日期</w:t>
            </w:r>
          </w:p>
        </w:tc>
        <w:tc>
          <w:tcPr>
            <w:tcW w:w="1359" w:type="dxa"/>
            <w:vMerge w:val="restart"/>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商轉日期</w:t>
            </w:r>
          </w:p>
        </w:tc>
      </w:tr>
      <w:tr w:rsidR="008E602D" w:rsidRPr="00AB2AD1" w:rsidTr="007F1B2A">
        <w:trPr>
          <w:trHeight w:val="190"/>
          <w:jc w:val="center"/>
        </w:trPr>
        <w:tc>
          <w:tcPr>
            <w:tcW w:w="1418" w:type="dxa"/>
            <w:vMerge/>
            <w:shd w:val="clear" w:color="auto" w:fill="auto"/>
            <w:vAlign w:val="center"/>
          </w:tcPr>
          <w:p w:rsidR="008E602D" w:rsidRPr="00AB2AD1" w:rsidRDefault="008E602D" w:rsidP="008E602D">
            <w:pPr>
              <w:spacing w:line="260" w:lineRule="exact"/>
              <w:ind w:rightChars="-30" w:right="-102"/>
              <w:jc w:val="center"/>
              <w:rPr>
                <w:sz w:val="24"/>
                <w:szCs w:val="24"/>
              </w:rPr>
            </w:pPr>
          </w:p>
        </w:tc>
        <w:tc>
          <w:tcPr>
            <w:tcW w:w="1438" w:type="dxa"/>
            <w:vMerge/>
            <w:shd w:val="clear" w:color="auto" w:fill="auto"/>
            <w:vAlign w:val="center"/>
          </w:tcPr>
          <w:p w:rsidR="008E602D" w:rsidRPr="00AB2AD1" w:rsidRDefault="008E602D" w:rsidP="00C867EC">
            <w:pPr>
              <w:spacing w:line="260" w:lineRule="exact"/>
              <w:jc w:val="center"/>
              <w:rPr>
                <w:sz w:val="24"/>
                <w:szCs w:val="24"/>
              </w:rPr>
            </w:pPr>
          </w:p>
        </w:tc>
        <w:tc>
          <w:tcPr>
            <w:tcW w:w="676" w:type="dxa"/>
            <w:vMerge/>
            <w:shd w:val="clear" w:color="auto" w:fill="auto"/>
          </w:tcPr>
          <w:p w:rsidR="008E602D" w:rsidRPr="00AB2AD1" w:rsidRDefault="008E602D" w:rsidP="00C867EC">
            <w:pPr>
              <w:spacing w:line="260" w:lineRule="exact"/>
              <w:jc w:val="center"/>
              <w:rPr>
                <w:sz w:val="24"/>
                <w:szCs w:val="24"/>
              </w:rPr>
            </w:pPr>
          </w:p>
        </w:tc>
        <w:tc>
          <w:tcPr>
            <w:tcW w:w="1041" w:type="dxa"/>
            <w:vMerge/>
            <w:shd w:val="clear" w:color="auto" w:fill="auto"/>
          </w:tcPr>
          <w:p w:rsidR="008E602D" w:rsidRPr="00AB2AD1" w:rsidRDefault="008E602D" w:rsidP="00C867EC">
            <w:pPr>
              <w:spacing w:line="260" w:lineRule="exact"/>
              <w:jc w:val="center"/>
              <w:rPr>
                <w:sz w:val="24"/>
                <w:szCs w:val="24"/>
              </w:rPr>
            </w:pPr>
          </w:p>
        </w:tc>
        <w:tc>
          <w:tcPr>
            <w:tcW w:w="937" w:type="dxa"/>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預計</w:t>
            </w:r>
          </w:p>
        </w:tc>
        <w:tc>
          <w:tcPr>
            <w:tcW w:w="726" w:type="dxa"/>
            <w:shd w:val="clear" w:color="auto" w:fill="auto"/>
          </w:tcPr>
          <w:p w:rsidR="008E602D" w:rsidRPr="00AB2AD1" w:rsidRDefault="008E602D" w:rsidP="008E602D">
            <w:pPr>
              <w:spacing w:line="260" w:lineRule="exact"/>
              <w:ind w:leftChars="-47" w:left="-160" w:rightChars="-9" w:right="-31" w:firstLineChars="61" w:firstLine="159"/>
              <w:jc w:val="center"/>
              <w:rPr>
                <w:sz w:val="24"/>
                <w:szCs w:val="24"/>
              </w:rPr>
            </w:pPr>
            <w:r w:rsidRPr="00AB2AD1">
              <w:rPr>
                <w:sz w:val="24"/>
                <w:szCs w:val="24"/>
              </w:rPr>
              <w:t>實際</w:t>
            </w:r>
          </w:p>
        </w:tc>
        <w:tc>
          <w:tcPr>
            <w:tcW w:w="1384" w:type="dxa"/>
            <w:vMerge/>
            <w:shd w:val="clear" w:color="auto" w:fill="auto"/>
            <w:vAlign w:val="center"/>
          </w:tcPr>
          <w:p w:rsidR="008E602D" w:rsidRPr="00AB2AD1" w:rsidRDefault="008E602D" w:rsidP="00C867EC">
            <w:pPr>
              <w:spacing w:line="260" w:lineRule="exact"/>
              <w:jc w:val="center"/>
              <w:rPr>
                <w:sz w:val="24"/>
                <w:szCs w:val="24"/>
              </w:rPr>
            </w:pPr>
          </w:p>
        </w:tc>
        <w:tc>
          <w:tcPr>
            <w:tcW w:w="1359" w:type="dxa"/>
            <w:vMerge/>
            <w:shd w:val="clear" w:color="auto" w:fill="auto"/>
            <w:vAlign w:val="center"/>
          </w:tcPr>
          <w:p w:rsidR="008E602D" w:rsidRPr="00AB2AD1" w:rsidRDefault="008E602D" w:rsidP="00C867EC">
            <w:pPr>
              <w:spacing w:line="260" w:lineRule="exact"/>
              <w:jc w:val="center"/>
              <w:rPr>
                <w:sz w:val="24"/>
                <w:szCs w:val="24"/>
              </w:rPr>
            </w:pPr>
          </w:p>
        </w:tc>
      </w:tr>
      <w:tr w:rsidR="008E602D" w:rsidRPr="00AB2AD1" w:rsidTr="007F1B2A">
        <w:trPr>
          <w:jc w:val="center"/>
        </w:trPr>
        <w:tc>
          <w:tcPr>
            <w:tcW w:w="1418" w:type="dxa"/>
            <w:vMerge w:val="restart"/>
            <w:shd w:val="clear" w:color="auto" w:fill="auto"/>
            <w:vAlign w:val="center"/>
          </w:tcPr>
          <w:p w:rsidR="008E602D" w:rsidRPr="00AB2AD1" w:rsidRDefault="008E602D" w:rsidP="00C867EC">
            <w:pPr>
              <w:spacing w:line="260" w:lineRule="exact"/>
              <w:rPr>
                <w:sz w:val="24"/>
                <w:szCs w:val="24"/>
              </w:rPr>
            </w:pPr>
            <w:r w:rsidRPr="00AB2AD1">
              <w:rPr>
                <w:sz w:val="24"/>
                <w:szCs w:val="24"/>
              </w:rPr>
              <w:t>第一階段</w:t>
            </w: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麥寮汽電</w:t>
            </w:r>
          </w:p>
        </w:tc>
        <w:tc>
          <w:tcPr>
            <w:tcW w:w="676" w:type="dxa"/>
            <w:shd w:val="clear" w:color="auto" w:fill="auto"/>
            <w:vAlign w:val="center"/>
          </w:tcPr>
          <w:p w:rsidR="008E602D" w:rsidRPr="00AB2AD1" w:rsidRDefault="008E602D" w:rsidP="00C867EC">
            <w:pPr>
              <w:spacing w:line="260" w:lineRule="exact"/>
              <w:rPr>
                <w:sz w:val="24"/>
                <w:szCs w:val="24"/>
              </w:rPr>
            </w:pPr>
            <w:r w:rsidRPr="00AB2AD1">
              <w:rPr>
                <w:sz w:val="24"/>
                <w:szCs w:val="24"/>
              </w:rPr>
              <w:t>煤</w:t>
            </w:r>
          </w:p>
        </w:tc>
        <w:tc>
          <w:tcPr>
            <w:tcW w:w="1041" w:type="dxa"/>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3</w:t>
            </w:r>
            <w:r w:rsidRPr="00AB2AD1">
              <w:rPr>
                <w:sz w:val="24"/>
                <w:szCs w:val="24"/>
              </w:rPr>
              <w:t>部</w:t>
            </w:r>
          </w:p>
        </w:tc>
        <w:tc>
          <w:tcPr>
            <w:tcW w:w="937" w:type="dxa"/>
            <w:shd w:val="clear" w:color="auto" w:fill="auto"/>
            <w:vAlign w:val="center"/>
          </w:tcPr>
          <w:p w:rsidR="008E602D" w:rsidRPr="00AB2AD1" w:rsidRDefault="008E602D" w:rsidP="00C867EC">
            <w:pPr>
              <w:spacing w:line="260" w:lineRule="exact"/>
              <w:jc w:val="both"/>
              <w:rPr>
                <w:sz w:val="24"/>
                <w:szCs w:val="24"/>
              </w:rPr>
            </w:pPr>
            <w:r w:rsidRPr="00AB2AD1">
              <w:rPr>
                <w:sz w:val="24"/>
                <w:szCs w:val="24"/>
              </w:rPr>
              <w:t>132</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180</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85.12.06</w:t>
            </w:r>
          </w:p>
          <w:p w:rsidR="008E602D" w:rsidRPr="00AB2AD1" w:rsidRDefault="008E602D" w:rsidP="00C867EC">
            <w:pPr>
              <w:spacing w:line="260" w:lineRule="exact"/>
              <w:rPr>
                <w:sz w:val="24"/>
                <w:szCs w:val="24"/>
              </w:rPr>
            </w:pPr>
            <w:r w:rsidRPr="00AB2AD1">
              <w:rPr>
                <w:sz w:val="24"/>
                <w:szCs w:val="24"/>
              </w:rPr>
              <w:t>87.10.27</w:t>
            </w:r>
          </w:p>
          <w:p w:rsidR="008E602D" w:rsidRPr="00AB2AD1" w:rsidRDefault="008E602D" w:rsidP="00C867EC">
            <w:pPr>
              <w:spacing w:line="260" w:lineRule="exact"/>
              <w:rPr>
                <w:sz w:val="24"/>
                <w:szCs w:val="24"/>
              </w:rPr>
            </w:pPr>
            <w:r w:rsidRPr="00AB2AD1">
              <w:rPr>
                <w:sz w:val="24"/>
                <w:szCs w:val="24"/>
              </w:rPr>
              <w:t>88.12.21</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88.06.01</w:t>
            </w:r>
          </w:p>
          <w:p w:rsidR="008E602D" w:rsidRPr="00AB2AD1" w:rsidRDefault="008E602D" w:rsidP="00C867EC">
            <w:pPr>
              <w:spacing w:line="260" w:lineRule="exact"/>
              <w:rPr>
                <w:sz w:val="24"/>
                <w:szCs w:val="24"/>
              </w:rPr>
            </w:pPr>
            <w:r w:rsidRPr="00AB2AD1">
              <w:rPr>
                <w:sz w:val="24"/>
                <w:szCs w:val="24"/>
              </w:rPr>
              <w:t>88.09.09</w:t>
            </w:r>
          </w:p>
          <w:p w:rsidR="008E602D" w:rsidRPr="00AB2AD1" w:rsidRDefault="008E602D" w:rsidP="00C867EC">
            <w:pPr>
              <w:spacing w:line="260" w:lineRule="exact"/>
              <w:rPr>
                <w:sz w:val="24"/>
                <w:szCs w:val="24"/>
              </w:rPr>
            </w:pPr>
            <w:r w:rsidRPr="00AB2AD1">
              <w:rPr>
                <w:sz w:val="24"/>
                <w:szCs w:val="24"/>
              </w:rPr>
              <w:t>89.09.23</w:t>
            </w:r>
          </w:p>
        </w:tc>
      </w:tr>
      <w:tr w:rsidR="008E602D" w:rsidRPr="00AB2AD1" w:rsidTr="007F1B2A">
        <w:trPr>
          <w:jc w:val="center"/>
        </w:trPr>
        <w:tc>
          <w:tcPr>
            <w:tcW w:w="1418" w:type="dxa"/>
            <w:vMerge/>
            <w:shd w:val="clear" w:color="auto" w:fill="auto"/>
            <w:vAlign w:val="center"/>
          </w:tcPr>
          <w:p w:rsidR="008E602D" w:rsidRPr="00AB2AD1" w:rsidRDefault="008E602D" w:rsidP="00C867EC">
            <w:pPr>
              <w:spacing w:line="260" w:lineRule="exact"/>
              <w:rPr>
                <w:sz w:val="24"/>
                <w:szCs w:val="24"/>
              </w:rPr>
            </w:pP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和平電力</w:t>
            </w:r>
          </w:p>
        </w:tc>
        <w:tc>
          <w:tcPr>
            <w:tcW w:w="676" w:type="dxa"/>
            <w:shd w:val="clear" w:color="auto" w:fill="auto"/>
            <w:vAlign w:val="center"/>
          </w:tcPr>
          <w:p w:rsidR="008E602D" w:rsidRPr="00AB2AD1" w:rsidRDefault="008E602D" w:rsidP="00C867EC">
            <w:pPr>
              <w:spacing w:line="260" w:lineRule="exact"/>
              <w:rPr>
                <w:sz w:val="24"/>
                <w:szCs w:val="24"/>
              </w:rPr>
            </w:pPr>
            <w:r w:rsidRPr="00AB2AD1">
              <w:rPr>
                <w:sz w:val="24"/>
                <w:szCs w:val="24"/>
              </w:rPr>
              <w:t>煤</w:t>
            </w:r>
          </w:p>
        </w:tc>
        <w:tc>
          <w:tcPr>
            <w:tcW w:w="1041" w:type="dxa"/>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2</w:t>
            </w:r>
            <w:r w:rsidRPr="00AB2AD1">
              <w:rPr>
                <w:sz w:val="24"/>
                <w:szCs w:val="24"/>
              </w:rPr>
              <w:t>部</w:t>
            </w:r>
          </w:p>
        </w:tc>
        <w:tc>
          <w:tcPr>
            <w:tcW w:w="937" w:type="dxa"/>
            <w:shd w:val="clear" w:color="auto" w:fill="auto"/>
            <w:vAlign w:val="center"/>
          </w:tcPr>
          <w:p w:rsidR="008E602D" w:rsidRPr="00AB2AD1" w:rsidRDefault="008E602D" w:rsidP="00C867EC">
            <w:pPr>
              <w:spacing w:line="260" w:lineRule="exact"/>
              <w:jc w:val="both"/>
              <w:rPr>
                <w:sz w:val="24"/>
                <w:szCs w:val="24"/>
              </w:rPr>
            </w:pPr>
            <w:r w:rsidRPr="00AB2AD1">
              <w:rPr>
                <w:sz w:val="24"/>
                <w:szCs w:val="24"/>
              </w:rPr>
              <w:t>129.71</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132</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87.08.04</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91.06.01</w:t>
            </w:r>
          </w:p>
          <w:p w:rsidR="008E602D" w:rsidRPr="00AB2AD1" w:rsidRDefault="008E602D" w:rsidP="00C867EC">
            <w:pPr>
              <w:spacing w:line="260" w:lineRule="exact"/>
              <w:rPr>
                <w:sz w:val="24"/>
                <w:szCs w:val="24"/>
              </w:rPr>
            </w:pPr>
            <w:r w:rsidRPr="00AB2AD1">
              <w:rPr>
                <w:sz w:val="24"/>
                <w:szCs w:val="24"/>
              </w:rPr>
              <w:t>91.09.06</w:t>
            </w:r>
          </w:p>
        </w:tc>
      </w:tr>
      <w:tr w:rsidR="008E602D" w:rsidRPr="00AB2AD1" w:rsidTr="007F1B2A">
        <w:trPr>
          <w:jc w:val="center"/>
        </w:trPr>
        <w:tc>
          <w:tcPr>
            <w:tcW w:w="1418" w:type="dxa"/>
            <w:vMerge/>
            <w:shd w:val="clear" w:color="auto" w:fill="auto"/>
            <w:vAlign w:val="center"/>
          </w:tcPr>
          <w:p w:rsidR="008E602D" w:rsidRPr="00AB2AD1" w:rsidRDefault="008E602D" w:rsidP="00C867EC">
            <w:pPr>
              <w:spacing w:line="260" w:lineRule="exact"/>
              <w:rPr>
                <w:sz w:val="24"/>
                <w:szCs w:val="24"/>
              </w:rPr>
            </w:pP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長生電力</w:t>
            </w:r>
          </w:p>
        </w:tc>
        <w:tc>
          <w:tcPr>
            <w:tcW w:w="676" w:type="dxa"/>
            <w:shd w:val="clear" w:color="auto" w:fill="auto"/>
            <w:vAlign w:val="center"/>
          </w:tcPr>
          <w:p w:rsidR="008E602D" w:rsidRPr="00AB2AD1" w:rsidRDefault="008E602D" w:rsidP="00C867EC">
            <w:pPr>
              <w:spacing w:line="260" w:lineRule="exact"/>
              <w:rPr>
                <w:sz w:val="24"/>
                <w:szCs w:val="24"/>
              </w:rPr>
            </w:pPr>
            <w:r w:rsidRPr="00AB2AD1">
              <w:rPr>
                <w:sz w:val="24"/>
                <w:szCs w:val="24"/>
              </w:rPr>
              <w:t>氣</w:t>
            </w:r>
            <w:r w:rsidRPr="00AB2AD1">
              <w:rPr>
                <w:sz w:val="24"/>
                <w:szCs w:val="24"/>
              </w:rPr>
              <w:t>*</w:t>
            </w:r>
          </w:p>
        </w:tc>
        <w:tc>
          <w:tcPr>
            <w:tcW w:w="1041" w:type="dxa"/>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2</w:t>
            </w:r>
            <w:r w:rsidRPr="00AB2AD1">
              <w:rPr>
                <w:sz w:val="24"/>
                <w:szCs w:val="24"/>
              </w:rPr>
              <w:t>部</w:t>
            </w:r>
          </w:p>
        </w:tc>
        <w:tc>
          <w:tcPr>
            <w:tcW w:w="937" w:type="dxa"/>
            <w:shd w:val="clear" w:color="auto" w:fill="auto"/>
            <w:vAlign w:val="center"/>
          </w:tcPr>
          <w:p w:rsidR="008E602D" w:rsidRPr="00AB2AD1" w:rsidRDefault="008E602D" w:rsidP="00C867EC">
            <w:pPr>
              <w:spacing w:line="260" w:lineRule="exact"/>
              <w:jc w:val="both"/>
              <w:rPr>
                <w:sz w:val="24"/>
                <w:szCs w:val="24"/>
              </w:rPr>
            </w:pPr>
            <w:r w:rsidRPr="00AB2AD1">
              <w:rPr>
                <w:sz w:val="24"/>
                <w:szCs w:val="24"/>
              </w:rPr>
              <w:t>90</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96</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86.07.10</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89.07.24</w:t>
            </w:r>
          </w:p>
          <w:p w:rsidR="008E602D" w:rsidRPr="00AB2AD1" w:rsidRDefault="008E602D" w:rsidP="00C867EC">
            <w:pPr>
              <w:spacing w:line="260" w:lineRule="exact"/>
              <w:rPr>
                <w:sz w:val="24"/>
                <w:szCs w:val="24"/>
              </w:rPr>
            </w:pPr>
            <w:r w:rsidRPr="00AB2AD1">
              <w:rPr>
                <w:sz w:val="24"/>
                <w:szCs w:val="24"/>
              </w:rPr>
              <w:t>90.10.30</w:t>
            </w:r>
          </w:p>
        </w:tc>
      </w:tr>
      <w:tr w:rsidR="008E602D" w:rsidRPr="00AB2AD1" w:rsidTr="007F1B2A">
        <w:trPr>
          <w:jc w:val="center"/>
        </w:trPr>
        <w:tc>
          <w:tcPr>
            <w:tcW w:w="1418" w:type="dxa"/>
            <w:vMerge/>
            <w:shd w:val="clear" w:color="auto" w:fill="auto"/>
            <w:vAlign w:val="center"/>
          </w:tcPr>
          <w:p w:rsidR="008E602D" w:rsidRPr="00AB2AD1" w:rsidRDefault="008E602D" w:rsidP="00C867EC">
            <w:pPr>
              <w:spacing w:line="260" w:lineRule="exact"/>
              <w:rPr>
                <w:sz w:val="24"/>
                <w:szCs w:val="24"/>
              </w:rPr>
            </w:pP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嘉惠電力</w:t>
            </w:r>
          </w:p>
        </w:tc>
        <w:tc>
          <w:tcPr>
            <w:tcW w:w="676" w:type="dxa"/>
            <w:shd w:val="clear" w:color="auto" w:fill="auto"/>
          </w:tcPr>
          <w:p w:rsidR="008E602D" w:rsidRPr="00AB2AD1" w:rsidRDefault="008E602D" w:rsidP="00C867EC">
            <w:pPr>
              <w:spacing w:line="260" w:lineRule="exact"/>
            </w:pPr>
            <w:r w:rsidRPr="00AB2AD1">
              <w:rPr>
                <w:sz w:val="24"/>
                <w:szCs w:val="24"/>
              </w:rPr>
              <w:t>氣</w:t>
            </w:r>
            <w:r w:rsidRPr="00AB2AD1">
              <w:rPr>
                <w:sz w:val="24"/>
                <w:szCs w:val="24"/>
              </w:rPr>
              <w:t>*</w:t>
            </w:r>
          </w:p>
        </w:tc>
        <w:tc>
          <w:tcPr>
            <w:tcW w:w="1041" w:type="dxa"/>
            <w:shd w:val="clear" w:color="auto" w:fill="auto"/>
            <w:vAlign w:val="center"/>
          </w:tcPr>
          <w:p w:rsidR="008E602D" w:rsidRPr="00AB2AD1" w:rsidRDefault="008E602D" w:rsidP="00C867EC">
            <w:pPr>
              <w:spacing w:line="260" w:lineRule="exact"/>
              <w:jc w:val="center"/>
              <w:rPr>
                <w:sz w:val="24"/>
                <w:szCs w:val="24"/>
              </w:rPr>
            </w:pPr>
            <w:r w:rsidRPr="00AB2AD1">
              <w:rPr>
                <w:rFonts w:hint="eastAsia"/>
                <w:sz w:val="24"/>
                <w:szCs w:val="24"/>
              </w:rPr>
              <w:t>2</w:t>
            </w:r>
            <w:r w:rsidRPr="00AB2AD1">
              <w:rPr>
                <w:rFonts w:hint="eastAsia"/>
                <w:sz w:val="24"/>
                <w:szCs w:val="24"/>
              </w:rPr>
              <w:t>部</w:t>
            </w:r>
          </w:p>
        </w:tc>
        <w:tc>
          <w:tcPr>
            <w:tcW w:w="937" w:type="dxa"/>
            <w:shd w:val="clear" w:color="auto" w:fill="auto"/>
            <w:vAlign w:val="center"/>
          </w:tcPr>
          <w:p w:rsidR="008E602D" w:rsidRPr="00AB2AD1" w:rsidRDefault="008E602D" w:rsidP="00C867EC">
            <w:pPr>
              <w:spacing w:line="260" w:lineRule="exact"/>
              <w:rPr>
                <w:sz w:val="24"/>
                <w:szCs w:val="24"/>
              </w:rPr>
            </w:pPr>
            <w:r w:rsidRPr="00AB2AD1">
              <w:rPr>
                <w:rFonts w:hint="eastAsia"/>
                <w:sz w:val="24"/>
                <w:szCs w:val="24"/>
              </w:rPr>
              <w:t>45</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67</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88.11.24</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92.12.15</w:t>
            </w:r>
          </w:p>
        </w:tc>
      </w:tr>
      <w:tr w:rsidR="008E602D" w:rsidRPr="00AB2AD1" w:rsidTr="007F1B2A">
        <w:trPr>
          <w:jc w:val="center"/>
        </w:trPr>
        <w:tc>
          <w:tcPr>
            <w:tcW w:w="1418" w:type="dxa"/>
            <w:shd w:val="clear" w:color="auto" w:fill="auto"/>
            <w:vAlign w:val="center"/>
          </w:tcPr>
          <w:p w:rsidR="008E602D" w:rsidRPr="00AB2AD1" w:rsidRDefault="008E602D" w:rsidP="00C867EC">
            <w:pPr>
              <w:spacing w:line="260" w:lineRule="exact"/>
              <w:rPr>
                <w:sz w:val="24"/>
                <w:szCs w:val="24"/>
              </w:rPr>
            </w:pPr>
            <w:r w:rsidRPr="00AB2AD1">
              <w:rPr>
                <w:sz w:val="24"/>
                <w:szCs w:val="24"/>
              </w:rPr>
              <w:t>第二階段</w:t>
            </w: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新桃電力</w:t>
            </w:r>
          </w:p>
        </w:tc>
        <w:tc>
          <w:tcPr>
            <w:tcW w:w="676" w:type="dxa"/>
            <w:shd w:val="clear" w:color="auto" w:fill="auto"/>
          </w:tcPr>
          <w:p w:rsidR="008E602D" w:rsidRPr="00AB2AD1" w:rsidRDefault="008E602D" w:rsidP="00C867EC">
            <w:pPr>
              <w:spacing w:line="260" w:lineRule="exact"/>
              <w:rPr>
                <w:sz w:val="24"/>
                <w:szCs w:val="24"/>
              </w:rPr>
            </w:pPr>
            <w:r w:rsidRPr="00AB2AD1">
              <w:rPr>
                <w:sz w:val="24"/>
                <w:szCs w:val="24"/>
              </w:rPr>
              <w:t>氣</w:t>
            </w:r>
            <w:r w:rsidRPr="00AB2AD1">
              <w:rPr>
                <w:sz w:val="24"/>
                <w:szCs w:val="24"/>
              </w:rPr>
              <w:t>*</w:t>
            </w:r>
          </w:p>
        </w:tc>
        <w:tc>
          <w:tcPr>
            <w:tcW w:w="1041" w:type="dxa"/>
            <w:shd w:val="clear" w:color="auto" w:fill="auto"/>
            <w:vAlign w:val="center"/>
          </w:tcPr>
          <w:p w:rsidR="008E602D" w:rsidRPr="00AB2AD1" w:rsidRDefault="008E602D" w:rsidP="00C867EC">
            <w:pPr>
              <w:spacing w:line="260" w:lineRule="exact"/>
              <w:jc w:val="center"/>
            </w:pPr>
            <w:r w:rsidRPr="00AB2AD1">
              <w:rPr>
                <w:rFonts w:hint="eastAsia"/>
                <w:sz w:val="24"/>
                <w:szCs w:val="24"/>
              </w:rPr>
              <w:t>3</w:t>
            </w:r>
            <w:r w:rsidRPr="00AB2AD1">
              <w:rPr>
                <w:rFonts w:hint="eastAsia"/>
                <w:sz w:val="24"/>
                <w:szCs w:val="24"/>
              </w:rPr>
              <w:t>部</w:t>
            </w:r>
          </w:p>
        </w:tc>
        <w:tc>
          <w:tcPr>
            <w:tcW w:w="937" w:type="dxa"/>
            <w:shd w:val="clear" w:color="auto" w:fill="auto"/>
            <w:vAlign w:val="center"/>
          </w:tcPr>
          <w:p w:rsidR="008E602D" w:rsidRPr="00AB2AD1" w:rsidRDefault="008E602D" w:rsidP="00C867EC">
            <w:pPr>
              <w:spacing w:line="260" w:lineRule="exact"/>
              <w:rPr>
                <w:sz w:val="24"/>
                <w:szCs w:val="24"/>
              </w:rPr>
            </w:pPr>
            <w:r w:rsidRPr="00AB2AD1">
              <w:rPr>
                <w:rFonts w:hint="eastAsia"/>
                <w:sz w:val="24"/>
                <w:szCs w:val="24"/>
              </w:rPr>
              <w:t>60</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60</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87.06.29</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91.03.22</w:t>
            </w:r>
          </w:p>
        </w:tc>
      </w:tr>
      <w:tr w:rsidR="008E602D" w:rsidRPr="00AB2AD1" w:rsidTr="007F1B2A">
        <w:trPr>
          <w:jc w:val="center"/>
        </w:trPr>
        <w:tc>
          <w:tcPr>
            <w:tcW w:w="1418" w:type="dxa"/>
            <w:vMerge w:val="restart"/>
            <w:shd w:val="clear" w:color="auto" w:fill="auto"/>
            <w:vAlign w:val="center"/>
          </w:tcPr>
          <w:p w:rsidR="008E602D" w:rsidRPr="00AB2AD1" w:rsidRDefault="008E602D" w:rsidP="00C867EC">
            <w:pPr>
              <w:spacing w:line="260" w:lineRule="exact"/>
              <w:rPr>
                <w:sz w:val="24"/>
                <w:szCs w:val="24"/>
              </w:rPr>
            </w:pPr>
            <w:r w:rsidRPr="00AB2AD1">
              <w:rPr>
                <w:sz w:val="24"/>
                <w:szCs w:val="24"/>
              </w:rPr>
              <w:t>現階段</w:t>
            </w:r>
          </w:p>
          <w:p w:rsidR="008E602D" w:rsidRPr="00AB2AD1" w:rsidRDefault="008E602D" w:rsidP="008E602D">
            <w:pPr>
              <w:spacing w:line="260" w:lineRule="exact"/>
              <w:ind w:rightChars="-20" w:right="-68"/>
              <w:rPr>
                <w:sz w:val="24"/>
                <w:szCs w:val="24"/>
              </w:rPr>
            </w:pPr>
            <w:r w:rsidRPr="00AB2AD1">
              <w:rPr>
                <w:sz w:val="24"/>
                <w:szCs w:val="24"/>
              </w:rPr>
              <w:t>(</w:t>
            </w:r>
            <w:r w:rsidRPr="00AB2AD1">
              <w:rPr>
                <w:sz w:val="24"/>
                <w:szCs w:val="24"/>
              </w:rPr>
              <w:t>第三階段</w:t>
            </w:r>
            <w:r w:rsidRPr="00AB2AD1">
              <w:rPr>
                <w:sz w:val="24"/>
                <w:szCs w:val="24"/>
              </w:rPr>
              <w:t>)</w:t>
            </w: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國光電力</w:t>
            </w:r>
          </w:p>
        </w:tc>
        <w:tc>
          <w:tcPr>
            <w:tcW w:w="676" w:type="dxa"/>
            <w:shd w:val="clear" w:color="auto" w:fill="auto"/>
          </w:tcPr>
          <w:p w:rsidR="008E602D" w:rsidRPr="00AB2AD1" w:rsidRDefault="008E602D" w:rsidP="00C867EC">
            <w:pPr>
              <w:spacing w:line="260" w:lineRule="exact"/>
            </w:pPr>
            <w:r w:rsidRPr="00AB2AD1">
              <w:rPr>
                <w:sz w:val="24"/>
                <w:szCs w:val="24"/>
              </w:rPr>
              <w:t>氣</w:t>
            </w:r>
            <w:r w:rsidRPr="00AB2AD1">
              <w:rPr>
                <w:sz w:val="24"/>
                <w:szCs w:val="24"/>
              </w:rPr>
              <w:t>*</w:t>
            </w:r>
          </w:p>
        </w:tc>
        <w:tc>
          <w:tcPr>
            <w:tcW w:w="1041" w:type="dxa"/>
            <w:shd w:val="clear" w:color="auto" w:fill="auto"/>
            <w:vAlign w:val="center"/>
          </w:tcPr>
          <w:p w:rsidR="008E602D" w:rsidRPr="00AB2AD1" w:rsidRDefault="008E602D" w:rsidP="00C867EC">
            <w:pPr>
              <w:spacing w:line="260" w:lineRule="exact"/>
              <w:jc w:val="center"/>
            </w:pPr>
            <w:r w:rsidRPr="00AB2AD1">
              <w:rPr>
                <w:rFonts w:hint="eastAsia"/>
                <w:sz w:val="24"/>
                <w:szCs w:val="24"/>
              </w:rPr>
              <w:t>1</w:t>
            </w:r>
            <w:r w:rsidRPr="00AB2AD1">
              <w:rPr>
                <w:rFonts w:hint="eastAsia"/>
                <w:sz w:val="24"/>
                <w:szCs w:val="24"/>
              </w:rPr>
              <w:t>部</w:t>
            </w:r>
          </w:p>
        </w:tc>
        <w:tc>
          <w:tcPr>
            <w:tcW w:w="937" w:type="dxa"/>
            <w:shd w:val="clear" w:color="auto" w:fill="auto"/>
            <w:vAlign w:val="center"/>
          </w:tcPr>
          <w:p w:rsidR="008E602D" w:rsidRPr="00AB2AD1" w:rsidRDefault="008E602D" w:rsidP="00C867EC">
            <w:pPr>
              <w:spacing w:line="260" w:lineRule="exact"/>
              <w:rPr>
                <w:sz w:val="24"/>
                <w:szCs w:val="24"/>
              </w:rPr>
            </w:pPr>
            <w:r w:rsidRPr="00AB2AD1">
              <w:rPr>
                <w:rFonts w:hint="eastAsia"/>
                <w:sz w:val="24"/>
                <w:szCs w:val="24"/>
              </w:rPr>
              <w:t>48</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48</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89.08.25</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92.11.03</w:t>
            </w:r>
          </w:p>
        </w:tc>
      </w:tr>
      <w:tr w:rsidR="008E602D" w:rsidRPr="00AB2AD1" w:rsidTr="007F1B2A">
        <w:trPr>
          <w:jc w:val="center"/>
        </w:trPr>
        <w:tc>
          <w:tcPr>
            <w:tcW w:w="1418" w:type="dxa"/>
            <w:vMerge/>
            <w:shd w:val="clear" w:color="auto" w:fill="auto"/>
            <w:vAlign w:val="center"/>
          </w:tcPr>
          <w:p w:rsidR="008E602D" w:rsidRPr="00AB2AD1" w:rsidRDefault="008E602D" w:rsidP="00C867EC">
            <w:pPr>
              <w:spacing w:line="260" w:lineRule="exact"/>
              <w:rPr>
                <w:sz w:val="24"/>
                <w:szCs w:val="24"/>
              </w:rPr>
            </w:pP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星能電力</w:t>
            </w:r>
          </w:p>
        </w:tc>
        <w:tc>
          <w:tcPr>
            <w:tcW w:w="676" w:type="dxa"/>
            <w:shd w:val="clear" w:color="auto" w:fill="auto"/>
          </w:tcPr>
          <w:p w:rsidR="008E602D" w:rsidRPr="00AB2AD1" w:rsidRDefault="008E602D" w:rsidP="00C867EC">
            <w:pPr>
              <w:spacing w:line="260" w:lineRule="exact"/>
            </w:pPr>
            <w:r w:rsidRPr="00AB2AD1">
              <w:rPr>
                <w:sz w:val="24"/>
                <w:szCs w:val="24"/>
              </w:rPr>
              <w:t>氣</w:t>
            </w:r>
            <w:r w:rsidRPr="00AB2AD1">
              <w:rPr>
                <w:sz w:val="24"/>
                <w:szCs w:val="24"/>
              </w:rPr>
              <w:t>*</w:t>
            </w:r>
          </w:p>
        </w:tc>
        <w:tc>
          <w:tcPr>
            <w:tcW w:w="1041" w:type="dxa"/>
            <w:shd w:val="clear" w:color="auto" w:fill="auto"/>
            <w:vAlign w:val="center"/>
          </w:tcPr>
          <w:p w:rsidR="008E602D" w:rsidRPr="00AB2AD1" w:rsidRDefault="008E602D" w:rsidP="00C867EC">
            <w:pPr>
              <w:spacing w:line="260" w:lineRule="exact"/>
              <w:jc w:val="center"/>
            </w:pPr>
            <w:r w:rsidRPr="00AB2AD1">
              <w:rPr>
                <w:rFonts w:hint="eastAsia"/>
                <w:sz w:val="24"/>
                <w:szCs w:val="24"/>
              </w:rPr>
              <w:t>1</w:t>
            </w:r>
            <w:r w:rsidRPr="00AB2AD1">
              <w:rPr>
                <w:rFonts w:hint="eastAsia"/>
                <w:sz w:val="24"/>
                <w:szCs w:val="24"/>
              </w:rPr>
              <w:t>部</w:t>
            </w:r>
          </w:p>
        </w:tc>
        <w:tc>
          <w:tcPr>
            <w:tcW w:w="937" w:type="dxa"/>
            <w:shd w:val="clear" w:color="auto" w:fill="auto"/>
            <w:vAlign w:val="center"/>
          </w:tcPr>
          <w:p w:rsidR="008E602D" w:rsidRPr="00AB2AD1" w:rsidRDefault="008E602D" w:rsidP="00C867EC">
            <w:pPr>
              <w:spacing w:line="260" w:lineRule="exact"/>
              <w:rPr>
                <w:sz w:val="24"/>
                <w:szCs w:val="24"/>
              </w:rPr>
            </w:pPr>
            <w:r w:rsidRPr="00AB2AD1">
              <w:rPr>
                <w:rFonts w:hint="eastAsia"/>
                <w:sz w:val="24"/>
                <w:szCs w:val="24"/>
              </w:rPr>
              <w:t>49</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49</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89.09.01</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93.03.29</w:t>
            </w:r>
          </w:p>
        </w:tc>
      </w:tr>
      <w:tr w:rsidR="008E602D" w:rsidRPr="00AB2AD1" w:rsidTr="007F1B2A">
        <w:trPr>
          <w:jc w:val="center"/>
        </w:trPr>
        <w:tc>
          <w:tcPr>
            <w:tcW w:w="1418" w:type="dxa"/>
            <w:vMerge/>
            <w:shd w:val="clear" w:color="auto" w:fill="auto"/>
            <w:vAlign w:val="center"/>
          </w:tcPr>
          <w:p w:rsidR="008E602D" w:rsidRPr="00AB2AD1" w:rsidRDefault="008E602D" w:rsidP="00C867EC">
            <w:pPr>
              <w:spacing w:line="260" w:lineRule="exact"/>
              <w:rPr>
                <w:sz w:val="24"/>
                <w:szCs w:val="24"/>
              </w:rPr>
            </w:pP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森霸電</w:t>
            </w:r>
            <w:r w:rsidRPr="00AB2AD1">
              <w:rPr>
                <w:rFonts w:hint="eastAsia"/>
                <w:sz w:val="24"/>
                <w:szCs w:val="24"/>
              </w:rPr>
              <w:t>力</w:t>
            </w:r>
          </w:p>
        </w:tc>
        <w:tc>
          <w:tcPr>
            <w:tcW w:w="676" w:type="dxa"/>
            <w:shd w:val="clear" w:color="auto" w:fill="auto"/>
          </w:tcPr>
          <w:p w:rsidR="008E602D" w:rsidRPr="00AB2AD1" w:rsidRDefault="008E602D" w:rsidP="00C867EC">
            <w:pPr>
              <w:spacing w:line="260" w:lineRule="exact"/>
            </w:pPr>
            <w:r w:rsidRPr="00AB2AD1">
              <w:rPr>
                <w:sz w:val="24"/>
                <w:szCs w:val="24"/>
              </w:rPr>
              <w:t>氣</w:t>
            </w:r>
            <w:r w:rsidRPr="00AB2AD1">
              <w:rPr>
                <w:sz w:val="24"/>
                <w:szCs w:val="24"/>
              </w:rPr>
              <w:t>*</w:t>
            </w:r>
          </w:p>
        </w:tc>
        <w:tc>
          <w:tcPr>
            <w:tcW w:w="1041" w:type="dxa"/>
            <w:shd w:val="clear" w:color="auto" w:fill="auto"/>
            <w:vAlign w:val="center"/>
          </w:tcPr>
          <w:p w:rsidR="008E602D" w:rsidRPr="00AB2AD1" w:rsidRDefault="008E602D" w:rsidP="00C867EC">
            <w:pPr>
              <w:spacing w:line="260" w:lineRule="exact"/>
              <w:jc w:val="center"/>
              <w:rPr>
                <w:sz w:val="24"/>
                <w:szCs w:val="24"/>
              </w:rPr>
            </w:pPr>
            <w:r w:rsidRPr="00AB2AD1">
              <w:rPr>
                <w:sz w:val="24"/>
                <w:szCs w:val="24"/>
              </w:rPr>
              <w:t>2</w:t>
            </w:r>
            <w:r w:rsidRPr="00AB2AD1">
              <w:rPr>
                <w:sz w:val="24"/>
                <w:szCs w:val="24"/>
              </w:rPr>
              <w:t>部</w:t>
            </w:r>
          </w:p>
        </w:tc>
        <w:tc>
          <w:tcPr>
            <w:tcW w:w="937" w:type="dxa"/>
            <w:shd w:val="clear" w:color="auto" w:fill="auto"/>
            <w:vAlign w:val="center"/>
          </w:tcPr>
          <w:p w:rsidR="008E602D" w:rsidRPr="00AB2AD1" w:rsidRDefault="008E602D" w:rsidP="00C867EC">
            <w:pPr>
              <w:spacing w:line="260" w:lineRule="exact"/>
              <w:rPr>
                <w:sz w:val="24"/>
                <w:szCs w:val="24"/>
              </w:rPr>
            </w:pPr>
            <w:r w:rsidRPr="00AB2AD1">
              <w:rPr>
                <w:rFonts w:hint="eastAsia"/>
                <w:sz w:val="24"/>
                <w:szCs w:val="24"/>
              </w:rPr>
              <w:t>98</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98</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89.09.01</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93.03.29</w:t>
            </w:r>
          </w:p>
        </w:tc>
      </w:tr>
      <w:tr w:rsidR="008E602D" w:rsidRPr="00AB2AD1" w:rsidTr="007F1B2A">
        <w:trPr>
          <w:jc w:val="center"/>
        </w:trPr>
        <w:tc>
          <w:tcPr>
            <w:tcW w:w="1418" w:type="dxa"/>
            <w:vMerge/>
            <w:shd w:val="clear" w:color="auto" w:fill="auto"/>
            <w:vAlign w:val="center"/>
          </w:tcPr>
          <w:p w:rsidR="008E602D" w:rsidRPr="00AB2AD1" w:rsidRDefault="008E602D" w:rsidP="00C867EC">
            <w:pPr>
              <w:spacing w:line="260" w:lineRule="exact"/>
              <w:rPr>
                <w:sz w:val="24"/>
                <w:szCs w:val="24"/>
              </w:rPr>
            </w:pPr>
          </w:p>
        </w:tc>
        <w:tc>
          <w:tcPr>
            <w:tcW w:w="1438" w:type="dxa"/>
            <w:shd w:val="clear" w:color="auto" w:fill="auto"/>
            <w:vAlign w:val="center"/>
          </w:tcPr>
          <w:p w:rsidR="008E602D" w:rsidRPr="00AB2AD1" w:rsidRDefault="008E602D" w:rsidP="00C867EC">
            <w:pPr>
              <w:spacing w:line="260" w:lineRule="exact"/>
              <w:rPr>
                <w:sz w:val="24"/>
                <w:szCs w:val="24"/>
              </w:rPr>
            </w:pPr>
            <w:r w:rsidRPr="00AB2AD1">
              <w:rPr>
                <w:sz w:val="24"/>
                <w:szCs w:val="24"/>
              </w:rPr>
              <w:t>星元電力</w:t>
            </w:r>
          </w:p>
        </w:tc>
        <w:tc>
          <w:tcPr>
            <w:tcW w:w="676" w:type="dxa"/>
            <w:shd w:val="clear" w:color="auto" w:fill="auto"/>
          </w:tcPr>
          <w:p w:rsidR="008E602D" w:rsidRPr="00AB2AD1" w:rsidRDefault="008E602D" w:rsidP="00C867EC">
            <w:pPr>
              <w:spacing w:line="260" w:lineRule="exact"/>
            </w:pPr>
            <w:r w:rsidRPr="00AB2AD1">
              <w:rPr>
                <w:sz w:val="24"/>
                <w:szCs w:val="24"/>
              </w:rPr>
              <w:t>氣</w:t>
            </w:r>
            <w:r w:rsidRPr="00AB2AD1">
              <w:rPr>
                <w:sz w:val="24"/>
                <w:szCs w:val="24"/>
              </w:rPr>
              <w:t>*</w:t>
            </w:r>
          </w:p>
        </w:tc>
        <w:tc>
          <w:tcPr>
            <w:tcW w:w="1041" w:type="dxa"/>
            <w:shd w:val="clear" w:color="auto" w:fill="auto"/>
            <w:vAlign w:val="center"/>
          </w:tcPr>
          <w:p w:rsidR="008E602D" w:rsidRPr="00AB2AD1" w:rsidRDefault="008E602D" w:rsidP="00C867EC">
            <w:pPr>
              <w:spacing w:line="260" w:lineRule="exact"/>
              <w:jc w:val="center"/>
              <w:rPr>
                <w:sz w:val="24"/>
                <w:szCs w:val="24"/>
              </w:rPr>
            </w:pPr>
            <w:r w:rsidRPr="00AB2AD1">
              <w:rPr>
                <w:rFonts w:hint="eastAsia"/>
                <w:sz w:val="24"/>
                <w:szCs w:val="24"/>
              </w:rPr>
              <w:t>1</w:t>
            </w:r>
            <w:r w:rsidRPr="00AB2AD1">
              <w:rPr>
                <w:rFonts w:hint="eastAsia"/>
                <w:sz w:val="24"/>
                <w:szCs w:val="24"/>
              </w:rPr>
              <w:t>部</w:t>
            </w:r>
          </w:p>
        </w:tc>
        <w:tc>
          <w:tcPr>
            <w:tcW w:w="937" w:type="dxa"/>
            <w:shd w:val="clear" w:color="auto" w:fill="auto"/>
            <w:vAlign w:val="center"/>
          </w:tcPr>
          <w:p w:rsidR="008E602D" w:rsidRPr="00AB2AD1" w:rsidRDefault="008E602D" w:rsidP="00C867EC">
            <w:pPr>
              <w:spacing w:line="260" w:lineRule="exact"/>
              <w:rPr>
                <w:sz w:val="24"/>
                <w:szCs w:val="24"/>
              </w:rPr>
            </w:pPr>
            <w:r w:rsidRPr="00AB2AD1">
              <w:rPr>
                <w:rFonts w:hint="eastAsia"/>
                <w:sz w:val="24"/>
                <w:szCs w:val="24"/>
              </w:rPr>
              <w:t>49</w:t>
            </w:r>
          </w:p>
        </w:tc>
        <w:tc>
          <w:tcPr>
            <w:tcW w:w="726" w:type="dxa"/>
            <w:shd w:val="clear" w:color="auto" w:fill="auto"/>
            <w:vAlign w:val="center"/>
          </w:tcPr>
          <w:p w:rsidR="008E602D" w:rsidRPr="00AB2AD1" w:rsidRDefault="008E602D" w:rsidP="00C867EC">
            <w:pPr>
              <w:spacing w:line="260" w:lineRule="exact"/>
              <w:rPr>
                <w:sz w:val="24"/>
                <w:szCs w:val="24"/>
              </w:rPr>
            </w:pPr>
            <w:r w:rsidRPr="00AB2AD1">
              <w:rPr>
                <w:sz w:val="24"/>
                <w:szCs w:val="24"/>
              </w:rPr>
              <w:t>49</w:t>
            </w:r>
          </w:p>
        </w:tc>
        <w:tc>
          <w:tcPr>
            <w:tcW w:w="1384" w:type="dxa"/>
            <w:shd w:val="clear" w:color="auto" w:fill="auto"/>
            <w:vAlign w:val="center"/>
          </w:tcPr>
          <w:p w:rsidR="008E602D" w:rsidRPr="00AB2AD1" w:rsidRDefault="008E602D" w:rsidP="00C867EC">
            <w:pPr>
              <w:spacing w:line="260" w:lineRule="exact"/>
              <w:rPr>
                <w:sz w:val="24"/>
                <w:szCs w:val="24"/>
              </w:rPr>
            </w:pPr>
            <w:r w:rsidRPr="00AB2AD1">
              <w:rPr>
                <w:sz w:val="24"/>
                <w:szCs w:val="24"/>
              </w:rPr>
              <w:t>95.09.15</w:t>
            </w:r>
          </w:p>
        </w:tc>
        <w:tc>
          <w:tcPr>
            <w:tcW w:w="1359" w:type="dxa"/>
            <w:shd w:val="clear" w:color="auto" w:fill="auto"/>
            <w:vAlign w:val="center"/>
          </w:tcPr>
          <w:p w:rsidR="008E602D" w:rsidRPr="00AB2AD1" w:rsidRDefault="008E602D" w:rsidP="00C867EC">
            <w:pPr>
              <w:spacing w:line="260" w:lineRule="exact"/>
              <w:rPr>
                <w:sz w:val="24"/>
                <w:szCs w:val="24"/>
              </w:rPr>
            </w:pPr>
            <w:r w:rsidRPr="00AB2AD1">
              <w:rPr>
                <w:sz w:val="24"/>
                <w:szCs w:val="24"/>
              </w:rPr>
              <w:t>98.06.30</w:t>
            </w:r>
          </w:p>
        </w:tc>
      </w:tr>
    </w:tbl>
    <w:p w:rsidR="00715C70" w:rsidRPr="00AB2AD1" w:rsidRDefault="008E602D" w:rsidP="008E602D">
      <w:pPr>
        <w:spacing w:line="240" w:lineRule="exact"/>
        <w:ind w:leftChars="83" w:left="718" w:hangingChars="198" w:hanging="436"/>
        <w:jc w:val="both"/>
        <w:rPr>
          <w:sz w:val="20"/>
          <w:szCs w:val="24"/>
        </w:rPr>
      </w:pPr>
      <w:r w:rsidRPr="00AB2AD1">
        <w:rPr>
          <w:sz w:val="20"/>
          <w:szCs w:val="24"/>
        </w:rPr>
        <w:t>說明：本表</w:t>
      </w:r>
      <w:r w:rsidRPr="00AB2AD1">
        <w:rPr>
          <w:sz w:val="20"/>
          <w:szCs w:val="24"/>
        </w:rPr>
        <w:t>IPP</w:t>
      </w:r>
      <w:r w:rsidRPr="00AB2AD1">
        <w:rPr>
          <w:sz w:val="20"/>
          <w:szCs w:val="24"/>
        </w:rPr>
        <w:t>以有商轉者為限</w:t>
      </w:r>
    </w:p>
    <w:p w:rsidR="008E602D" w:rsidRPr="00AB2AD1" w:rsidRDefault="008E602D" w:rsidP="008E602D">
      <w:pPr>
        <w:spacing w:line="240" w:lineRule="exact"/>
        <w:ind w:leftChars="83" w:left="718" w:hangingChars="198" w:hanging="436"/>
        <w:jc w:val="both"/>
        <w:rPr>
          <w:sz w:val="16"/>
        </w:rPr>
      </w:pPr>
      <w:r w:rsidRPr="00AB2AD1">
        <w:rPr>
          <w:sz w:val="20"/>
          <w:szCs w:val="24"/>
        </w:rPr>
        <w:t>氣</w:t>
      </w:r>
      <w:r w:rsidRPr="00AB2AD1">
        <w:rPr>
          <w:sz w:val="20"/>
          <w:szCs w:val="24"/>
        </w:rPr>
        <w:t>*</w:t>
      </w:r>
      <w:r w:rsidRPr="00AB2AD1">
        <w:rPr>
          <w:sz w:val="20"/>
          <w:szCs w:val="24"/>
        </w:rPr>
        <w:t>：指天然氣</w:t>
      </w:r>
    </w:p>
    <w:p w:rsidR="00513BDA" w:rsidRPr="00AB2AD1" w:rsidRDefault="00513BDA" w:rsidP="00513BDA">
      <w:pPr>
        <w:spacing w:line="240" w:lineRule="exact"/>
        <w:ind w:leftChars="125" w:left="665" w:hangingChars="133" w:hanging="240"/>
        <w:jc w:val="both"/>
        <w:rPr>
          <w:sz w:val="16"/>
        </w:rPr>
      </w:pPr>
    </w:p>
    <w:p w:rsidR="00031BE3" w:rsidRPr="00AB2AD1" w:rsidRDefault="00031BE3" w:rsidP="006172B3">
      <w:pPr>
        <w:pStyle w:val="3"/>
        <w:rPr>
          <w:rFonts w:cs="標楷體"/>
        </w:rPr>
      </w:pPr>
      <w:r w:rsidRPr="00AB2AD1">
        <w:rPr>
          <w:rFonts w:hint="eastAsia"/>
        </w:rPr>
        <w:t>次查近年來國際燃料價格高漲，造成台電公司</w:t>
      </w:r>
      <w:r w:rsidR="00A00AB9" w:rsidRPr="00AB2AD1">
        <w:rPr>
          <w:rFonts w:hint="eastAsia"/>
        </w:rPr>
        <w:t>於</w:t>
      </w:r>
      <w:r w:rsidRPr="00AB2AD1">
        <w:rPr>
          <w:rFonts w:hint="eastAsia"/>
        </w:rPr>
        <w:t>100年</w:t>
      </w:r>
      <w:r w:rsidR="003F4D1C" w:rsidRPr="00AB2AD1">
        <w:rPr>
          <w:rFonts w:hint="eastAsia"/>
        </w:rPr>
        <w:t>底止</w:t>
      </w:r>
      <w:r w:rsidR="003A11EA" w:rsidRPr="00AB2AD1">
        <w:rPr>
          <w:rFonts w:hint="eastAsia"/>
        </w:rPr>
        <w:t>，</w:t>
      </w:r>
      <w:r w:rsidR="003F4D1C" w:rsidRPr="00AB2AD1">
        <w:rPr>
          <w:rFonts w:hint="eastAsia"/>
        </w:rPr>
        <w:t>帳上</w:t>
      </w:r>
      <w:r w:rsidR="00A00AB9" w:rsidRPr="00AB2AD1">
        <w:rPr>
          <w:rFonts w:hint="eastAsia"/>
        </w:rPr>
        <w:t>之</w:t>
      </w:r>
      <w:r w:rsidRPr="00AB2AD1">
        <w:rPr>
          <w:rFonts w:hint="eastAsia"/>
        </w:rPr>
        <w:t>累計虧損</w:t>
      </w:r>
      <w:r w:rsidR="00A00AB9" w:rsidRPr="00AB2AD1">
        <w:rPr>
          <w:rFonts w:hint="eastAsia"/>
        </w:rPr>
        <w:t>竟</w:t>
      </w:r>
      <w:r w:rsidRPr="00AB2AD1">
        <w:rPr>
          <w:rFonts w:hint="eastAsia"/>
        </w:rPr>
        <w:t>高達</w:t>
      </w:r>
      <w:r w:rsidR="00805A5E" w:rsidRPr="00AB2AD1">
        <w:rPr>
          <w:rFonts w:hint="eastAsia"/>
        </w:rPr>
        <w:t>1,177</w:t>
      </w:r>
      <w:r w:rsidRPr="00AB2AD1">
        <w:rPr>
          <w:rFonts w:hint="eastAsia"/>
        </w:rPr>
        <w:t>億元，經濟部於101年4月12日宣布「電價合理化」</w:t>
      </w:r>
      <w:r w:rsidRPr="00AB2AD1">
        <w:rPr>
          <w:rFonts w:ascii="Arial" w:cs="Arial"/>
          <w:bCs w:val="0"/>
          <w:kern w:val="2"/>
          <w:szCs w:val="20"/>
        </w:rPr>
        <w:t>之</w:t>
      </w:r>
      <w:r w:rsidRPr="00AB2AD1">
        <w:rPr>
          <w:rFonts w:hint="eastAsia"/>
        </w:rPr>
        <w:t>調</w:t>
      </w:r>
      <w:r w:rsidRPr="00AB2AD1">
        <w:rPr>
          <w:rFonts w:ascii="Arial" w:cs="Arial"/>
          <w:bCs w:val="0"/>
          <w:kern w:val="2"/>
          <w:szCs w:val="20"/>
        </w:rPr>
        <w:t>漲</w:t>
      </w:r>
      <w:r w:rsidRPr="00AB2AD1">
        <w:t>方案</w:t>
      </w:r>
      <w:r w:rsidRPr="00AB2AD1">
        <w:rPr>
          <w:rFonts w:hint="eastAsia"/>
        </w:rPr>
        <w:t>，</w:t>
      </w:r>
      <w:r w:rsidR="006223F1" w:rsidRPr="00AB2AD1">
        <w:rPr>
          <w:rFonts w:hint="eastAsia"/>
        </w:rPr>
        <w:t>並於</w:t>
      </w:r>
      <w:r w:rsidR="00B751B3" w:rsidRPr="00AB2AD1">
        <w:rPr>
          <w:rFonts w:hint="eastAsia"/>
        </w:rPr>
        <w:t>次</w:t>
      </w:r>
      <w:r w:rsidR="006223F1" w:rsidRPr="00AB2AD1">
        <w:rPr>
          <w:rFonts w:hint="eastAsia"/>
        </w:rPr>
        <w:t>(</w:t>
      </w:r>
      <w:r w:rsidR="00CE30CC" w:rsidRPr="00AB2AD1">
        <w:rPr>
          <w:rFonts w:hint="eastAsia"/>
        </w:rPr>
        <w:t>13</w:t>
      </w:r>
      <w:r w:rsidR="006223F1" w:rsidRPr="00AB2AD1">
        <w:rPr>
          <w:rFonts w:hint="eastAsia"/>
        </w:rPr>
        <w:t>)</w:t>
      </w:r>
      <w:r w:rsidR="00CE30CC" w:rsidRPr="00AB2AD1">
        <w:rPr>
          <w:rFonts w:hint="eastAsia"/>
        </w:rPr>
        <w:t>日</w:t>
      </w:r>
      <w:r w:rsidRPr="00AB2AD1">
        <w:rPr>
          <w:rFonts w:hint="eastAsia"/>
        </w:rPr>
        <w:t>核定該公司自5月15日起調漲電價29.5</w:t>
      </w:r>
      <w:r w:rsidR="00B751B3" w:rsidRPr="00AB2AD1">
        <w:rPr>
          <w:rFonts w:hint="eastAsia"/>
        </w:rPr>
        <w:t>％，惟</w:t>
      </w:r>
      <w:r w:rsidRPr="00AB2AD1">
        <w:rPr>
          <w:rFonts w:hint="eastAsia"/>
        </w:rPr>
        <w:t>該公司於4月14日公告調</w:t>
      </w:r>
      <w:r w:rsidRPr="00AB2AD1">
        <w:rPr>
          <w:rFonts w:ascii="Arial" w:cs="Arial"/>
          <w:bCs w:val="0"/>
          <w:kern w:val="2"/>
          <w:szCs w:val="20"/>
        </w:rPr>
        <w:lastRenderedPageBreak/>
        <w:t>漲</w:t>
      </w:r>
      <w:r w:rsidRPr="00AB2AD1">
        <w:t>方案</w:t>
      </w:r>
      <w:r w:rsidRPr="00AB2AD1">
        <w:rPr>
          <w:rFonts w:hint="eastAsia"/>
        </w:rPr>
        <w:t>後</w:t>
      </w:r>
      <w:r w:rsidR="00A00AB9" w:rsidRPr="00AB2AD1">
        <w:rPr>
          <w:rStyle w:val="afff"/>
        </w:rPr>
        <w:footnoteReference w:id="1"/>
      </w:r>
      <w:r w:rsidR="00B751B3" w:rsidRPr="00AB2AD1">
        <w:rPr>
          <w:rFonts w:hint="eastAsia"/>
        </w:rPr>
        <w:t>，</w:t>
      </w:r>
      <w:r w:rsidRPr="00AB2AD1">
        <w:rPr>
          <w:rFonts w:hint="eastAsia"/>
        </w:rPr>
        <w:t>引發諸多民怨</w:t>
      </w:r>
      <w:r w:rsidR="00B751B3" w:rsidRPr="00AB2AD1">
        <w:rPr>
          <w:rFonts w:hint="eastAsia"/>
        </w:rPr>
        <w:t>，</w:t>
      </w:r>
      <w:r w:rsidRPr="00AB2AD1">
        <w:rPr>
          <w:rFonts w:hint="eastAsia"/>
        </w:rPr>
        <w:t>工商團體、民意代表迭有意見，除認為</w:t>
      </w:r>
      <w:r w:rsidR="00A00AB9" w:rsidRPr="00AB2AD1">
        <w:rPr>
          <w:rFonts w:hint="eastAsia"/>
        </w:rPr>
        <w:t>該</w:t>
      </w:r>
      <w:r w:rsidR="00A00AB9" w:rsidRPr="00AB2AD1">
        <w:rPr>
          <w:rFonts w:hint="eastAsia"/>
          <w:spacing w:val="-4"/>
        </w:rPr>
        <w:t>公司</w:t>
      </w:r>
      <w:r w:rsidR="00A00AB9" w:rsidRPr="00AB2AD1">
        <w:rPr>
          <w:rFonts w:hint="eastAsia"/>
        </w:rPr>
        <w:t>於</w:t>
      </w:r>
      <w:r w:rsidRPr="00AB2AD1">
        <w:rPr>
          <w:rFonts w:hint="eastAsia"/>
        </w:rPr>
        <w:t>97年至101年間</w:t>
      </w:r>
      <w:r w:rsidR="00A00AB9" w:rsidRPr="00AB2AD1">
        <w:rPr>
          <w:rFonts w:hint="eastAsia"/>
          <w:spacing w:val="-4"/>
        </w:rPr>
        <w:t>之</w:t>
      </w:r>
      <w:r w:rsidRPr="00AB2AD1">
        <w:rPr>
          <w:rFonts w:hint="eastAsia"/>
          <w:spacing w:val="-4"/>
        </w:rPr>
        <w:t>電力系統</w:t>
      </w:r>
      <w:r w:rsidR="00B751B3" w:rsidRPr="00AB2AD1">
        <w:rPr>
          <w:rFonts w:hint="eastAsia"/>
          <w:spacing w:val="-4"/>
        </w:rPr>
        <w:t>實際</w:t>
      </w:r>
      <w:r w:rsidRPr="00AB2AD1">
        <w:rPr>
          <w:rFonts w:hint="eastAsia"/>
        </w:rPr>
        <w:t>備用容量率均</w:t>
      </w:r>
      <w:r w:rsidR="00B751B3" w:rsidRPr="00AB2AD1">
        <w:rPr>
          <w:rFonts w:hint="eastAsia"/>
        </w:rPr>
        <w:t>超過</w:t>
      </w:r>
      <w:r w:rsidRPr="00AB2AD1">
        <w:rPr>
          <w:rFonts w:hint="eastAsia"/>
        </w:rPr>
        <w:t>20％(分別為21.1％、28.1％、23.4％、20.6％、22.7％)，致該公司部分電力設施閒置，並</w:t>
      </w:r>
      <w:r w:rsidRPr="00AB2AD1">
        <w:rPr>
          <w:rFonts w:hint="eastAsia"/>
          <w:spacing w:val="-4"/>
        </w:rPr>
        <w:t>質疑</w:t>
      </w:r>
      <w:r w:rsidRPr="00AB2AD1">
        <w:rPr>
          <w:rFonts w:hint="eastAsia"/>
        </w:rPr>
        <w:t>該公司</w:t>
      </w:r>
      <w:r w:rsidRPr="00AB2AD1">
        <w:rPr>
          <w:rFonts w:hint="eastAsia"/>
          <w:spacing w:val="-4"/>
        </w:rPr>
        <w:t>以較其自發</w:t>
      </w:r>
      <w:r w:rsidR="00AA2F68" w:rsidRPr="00AB2AD1">
        <w:rPr>
          <w:rFonts w:hint="eastAsia"/>
        </w:rPr>
        <w:t>電力</w:t>
      </w:r>
      <w:r w:rsidRPr="00AB2AD1">
        <w:rPr>
          <w:rFonts w:hint="eastAsia"/>
          <w:spacing w:val="-4"/>
        </w:rPr>
        <w:t>成本為高之價格，收購</w:t>
      </w:r>
      <w:r w:rsidRPr="00AB2AD1">
        <w:rPr>
          <w:rFonts w:hint="eastAsia"/>
        </w:rPr>
        <w:t>民營</w:t>
      </w:r>
      <w:r w:rsidR="00AA2F68" w:rsidRPr="00AB2AD1">
        <w:rPr>
          <w:rFonts w:hint="eastAsia"/>
          <w:spacing w:val="-4"/>
        </w:rPr>
        <w:t>發</w:t>
      </w:r>
      <w:r w:rsidRPr="00AB2AD1">
        <w:rPr>
          <w:rFonts w:hint="eastAsia"/>
        </w:rPr>
        <w:t>電廠之電力</w:t>
      </w:r>
      <w:r w:rsidR="00AA2F68" w:rsidRPr="00AB2AD1">
        <w:rPr>
          <w:rFonts w:hint="eastAsia"/>
        </w:rPr>
        <w:t>。查台電</w:t>
      </w:r>
      <w:r w:rsidRPr="00AB2AD1">
        <w:t>公司</w:t>
      </w:r>
      <w:r w:rsidRPr="00AB2AD1">
        <w:rPr>
          <w:rFonts w:hint="eastAsia"/>
        </w:rPr>
        <w:t>與各民營發電業者</w:t>
      </w:r>
      <w:r w:rsidRPr="00AB2AD1">
        <w:rPr>
          <w:rFonts w:cs="標楷體" w:hint="eastAsia"/>
        </w:rPr>
        <w:t>簽訂之費率結構均為「</w:t>
      </w:r>
      <w:r w:rsidR="00F00817" w:rsidRPr="00AB2AD1">
        <w:rPr>
          <w:rFonts w:cs="標楷體" w:hint="eastAsia"/>
        </w:rPr>
        <w:t>購電費率</w:t>
      </w:r>
      <w:r w:rsidRPr="00AB2AD1">
        <w:rPr>
          <w:rFonts w:cs="標楷體" w:hint="eastAsia"/>
        </w:rPr>
        <w:t>＝容量費率＋能量費率」，其中容量費率係指反應電廠投資之固定成本</w:t>
      </w:r>
      <w:r w:rsidRPr="00AB2AD1">
        <w:rPr>
          <w:rFonts w:hint="eastAsia"/>
        </w:rPr>
        <w:t>(</w:t>
      </w:r>
      <w:r w:rsidRPr="00AB2AD1">
        <w:rPr>
          <w:rFonts w:cs="標楷體" w:hint="eastAsia"/>
        </w:rPr>
        <w:t>主要為資本費)，能量費率則反應變動成本</w:t>
      </w:r>
      <w:r w:rsidRPr="00AB2AD1">
        <w:rPr>
          <w:rFonts w:hint="eastAsia"/>
        </w:rPr>
        <w:t>(</w:t>
      </w:r>
      <w:r w:rsidRPr="00AB2AD1">
        <w:rPr>
          <w:rFonts w:cs="標楷體" w:hint="eastAsia"/>
        </w:rPr>
        <w:t>主要為燃料成本)，</w:t>
      </w:r>
      <w:r w:rsidRPr="00AB2AD1">
        <w:rPr>
          <w:rFonts w:hint="eastAsia"/>
        </w:rPr>
        <w:t>而</w:t>
      </w:r>
      <w:r w:rsidRPr="00AB2AD1">
        <w:rPr>
          <w:rFonts w:cs="標楷體" w:hint="eastAsia"/>
        </w:rPr>
        <w:t>反應資本支出之利率卻逐漸下滑</w:t>
      </w:r>
      <w:r w:rsidR="0021216B" w:rsidRPr="00AB2AD1">
        <w:rPr>
          <w:rFonts w:hint="eastAsia"/>
        </w:rPr>
        <w:t>；</w:t>
      </w:r>
      <w:r w:rsidR="006172B3" w:rsidRPr="00AB2AD1">
        <w:rPr>
          <w:rFonts w:hint="eastAsia"/>
        </w:rPr>
        <w:t>92年起市場利率水準已大幅降低，台電公司</w:t>
      </w:r>
      <w:r w:rsidR="00AA2F68" w:rsidRPr="00AB2AD1">
        <w:rPr>
          <w:rFonts w:hint="eastAsia"/>
        </w:rPr>
        <w:t>之</w:t>
      </w:r>
      <w:r w:rsidR="00926370" w:rsidRPr="00AB2AD1">
        <w:rPr>
          <w:rFonts w:hint="eastAsia"/>
        </w:rPr>
        <w:t>長期</w:t>
      </w:r>
      <w:r w:rsidR="006172B3" w:rsidRPr="00AB2AD1">
        <w:rPr>
          <w:rFonts w:hint="eastAsia"/>
        </w:rPr>
        <w:t>平均資金借款利率</w:t>
      </w:r>
      <w:r w:rsidR="00AA2F68" w:rsidRPr="00AB2AD1">
        <w:rPr>
          <w:rFonts w:cs="標楷體" w:hint="eastAsia"/>
        </w:rPr>
        <w:t>，</w:t>
      </w:r>
      <w:r w:rsidR="006172B3" w:rsidRPr="00AB2AD1">
        <w:rPr>
          <w:rFonts w:hint="eastAsia"/>
        </w:rPr>
        <w:t>已由84年度</w:t>
      </w:r>
      <w:r w:rsidR="00AA2F68" w:rsidRPr="00AB2AD1">
        <w:rPr>
          <w:rFonts w:hint="eastAsia"/>
        </w:rPr>
        <w:t>之</w:t>
      </w:r>
      <w:r w:rsidR="006172B3" w:rsidRPr="00AB2AD1">
        <w:rPr>
          <w:rFonts w:hint="eastAsia"/>
        </w:rPr>
        <w:t>7.</w:t>
      </w:r>
      <w:r w:rsidR="006172B3" w:rsidRPr="00AB2AD1">
        <w:rPr>
          <w:rFonts w:hAnsi="標楷體" w:hint="eastAsia"/>
        </w:rPr>
        <w:t>54％降至</w:t>
      </w:r>
      <w:r w:rsidR="00AA2F68" w:rsidRPr="00AB2AD1">
        <w:rPr>
          <w:rFonts w:hAnsi="標楷體" w:hint="eastAsia"/>
        </w:rPr>
        <w:t>96年度之</w:t>
      </w:r>
      <w:r w:rsidR="006172B3" w:rsidRPr="00AB2AD1">
        <w:rPr>
          <w:rFonts w:hAnsi="標楷體" w:hint="eastAsia"/>
        </w:rPr>
        <w:t>2.37％，100</w:t>
      </w:r>
      <w:r w:rsidR="00AA2F68" w:rsidRPr="00AB2AD1">
        <w:rPr>
          <w:rFonts w:hAnsi="標楷體" w:hint="eastAsia"/>
        </w:rPr>
        <w:t>及</w:t>
      </w:r>
      <w:r w:rsidR="00926370" w:rsidRPr="00AB2AD1">
        <w:rPr>
          <w:rFonts w:hAnsi="標楷體" w:hint="eastAsia"/>
        </w:rPr>
        <w:t>101</w:t>
      </w:r>
      <w:r w:rsidR="006172B3" w:rsidRPr="00AB2AD1">
        <w:rPr>
          <w:rFonts w:hAnsi="標楷體" w:hint="eastAsia"/>
        </w:rPr>
        <w:t>年度更降至1.52％</w:t>
      </w:r>
      <w:r w:rsidR="00AA2F68" w:rsidRPr="00AB2AD1">
        <w:rPr>
          <w:rFonts w:hAnsi="標楷體" w:hint="eastAsia"/>
        </w:rPr>
        <w:t>及</w:t>
      </w:r>
      <w:r w:rsidR="00926370" w:rsidRPr="00AB2AD1">
        <w:rPr>
          <w:rFonts w:hAnsi="標楷體" w:hint="eastAsia"/>
        </w:rPr>
        <w:t>1.57％(102年1至8月則為1.55％)</w:t>
      </w:r>
      <w:r w:rsidR="006172B3" w:rsidRPr="00AB2AD1">
        <w:rPr>
          <w:rFonts w:hAnsi="標楷體" w:hint="eastAsia"/>
        </w:rPr>
        <w:t>，</w:t>
      </w:r>
      <w:r w:rsidR="008243BB" w:rsidRPr="00AB2AD1">
        <w:rPr>
          <w:rFonts w:hAnsi="標楷體" w:hint="eastAsia"/>
          <w:szCs w:val="32"/>
        </w:rPr>
        <w:t>五大銀行(臺灣、合作金庫、土地、華南及第一銀行)之新承作資本支出放款平均利率亦由</w:t>
      </w:r>
      <w:r w:rsidR="008243BB" w:rsidRPr="00AB2AD1">
        <w:rPr>
          <w:rFonts w:hAnsi="標楷體"/>
          <w:szCs w:val="32"/>
        </w:rPr>
        <w:t>84</w:t>
      </w:r>
      <w:r w:rsidR="008243BB" w:rsidRPr="00AB2AD1">
        <w:rPr>
          <w:rFonts w:hAnsi="標楷體" w:hint="eastAsia"/>
          <w:szCs w:val="32"/>
        </w:rPr>
        <w:t>年度之8.37％，降至</w:t>
      </w:r>
      <w:r w:rsidR="008243BB" w:rsidRPr="00AB2AD1">
        <w:rPr>
          <w:rFonts w:hAnsi="標楷體"/>
          <w:szCs w:val="32"/>
        </w:rPr>
        <w:t>96</w:t>
      </w:r>
      <w:r w:rsidR="008243BB" w:rsidRPr="00AB2AD1">
        <w:rPr>
          <w:rFonts w:hAnsi="標楷體" w:hint="eastAsia"/>
          <w:szCs w:val="32"/>
        </w:rPr>
        <w:t>年度之</w:t>
      </w:r>
      <w:r w:rsidR="008243BB" w:rsidRPr="00AB2AD1">
        <w:rPr>
          <w:rFonts w:hAnsi="標楷體"/>
          <w:szCs w:val="32"/>
        </w:rPr>
        <w:t>3.04</w:t>
      </w:r>
      <w:r w:rsidR="008243BB" w:rsidRPr="00AB2AD1">
        <w:rPr>
          <w:rFonts w:hAnsi="標楷體" w:hint="eastAsia"/>
          <w:szCs w:val="32"/>
        </w:rPr>
        <w:t>％，</w:t>
      </w:r>
      <w:r w:rsidR="008243BB" w:rsidRPr="00AB2AD1">
        <w:rPr>
          <w:rFonts w:hAnsi="標楷體"/>
          <w:szCs w:val="32"/>
        </w:rPr>
        <w:t>100</w:t>
      </w:r>
      <w:r w:rsidR="008243BB" w:rsidRPr="00AB2AD1">
        <w:rPr>
          <w:rFonts w:hAnsi="標楷體" w:hint="eastAsia"/>
          <w:szCs w:val="32"/>
        </w:rPr>
        <w:t>年度更降至</w:t>
      </w:r>
      <w:r w:rsidR="008243BB" w:rsidRPr="00AB2AD1">
        <w:rPr>
          <w:rFonts w:hAnsi="標楷體"/>
          <w:szCs w:val="32"/>
        </w:rPr>
        <w:t>2.06</w:t>
      </w:r>
      <w:r w:rsidR="008243BB" w:rsidRPr="00AB2AD1">
        <w:rPr>
          <w:rFonts w:hAnsi="標楷體" w:hint="eastAsia"/>
          <w:szCs w:val="32"/>
        </w:rPr>
        <w:t>％，102年(1至8月)則回升至2.23％</w:t>
      </w:r>
      <w:r w:rsidR="006172B3" w:rsidRPr="00AB2AD1">
        <w:rPr>
          <w:rFonts w:hAnsi="標楷體" w:hint="eastAsia"/>
          <w:szCs w:val="32"/>
        </w:rPr>
        <w:t>，</w:t>
      </w:r>
      <w:r w:rsidR="006172B3" w:rsidRPr="00AB2AD1">
        <w:rPr>
          <w:rFonts w:hAnsi="標楷體" w:hint="eastAsia"/>
        </w:rPr>
        <w:t>市場之利率水準確已較簽約當時明顯降低。</w:t>
      </w:r>
      <w:r w:rsidR="00AA2F68" w:rsidRPr="00AB2AD1">
        <w:rPr>
          <w:rFonts w:hAnsi="標楷體" w:hint="eastAsia"/>
        </w:rPr>
        <w:t>然</w:t>
      </w:r>
      <w:r w:rsidRPr="00AB2AD1">
        <w:rPr>
          <w:rFonts w:hAnsi="標楷體"/>
        </w:rPr>
        <w:t>台電公司</w:t>
      </w:r>
      <w:r w:rsidRPr="00AB2AD1">
        <w:rPr>
          <w:rFonts w:hAnsi="標楷體" w:hint="eastAsia"/>
        </w:rPr>
        <w:t>、經濟部</w:t>
      </w:r>
      <w:r w:rsidRPr="00AB2AD1">
        <w:rPr>
          <w:rFonts w:hAnsi="標楷體"/>
        </w:rPr>
        <w:t>與</w:t>
      </w:r>
      <w:r w:rsidRPr="00AB2AD1">
        <w:rPr>
          <w:rFonts w:hAnsi="標楷體" w:hint="eastAsia"/>
        </w:rPr>
        <w:t>各民營發電業</w:t>
      </w:r>
      <w:r w:rsidRPr="00AB2AD1">
        <w:rPr>
          <w:rFonts w:hint="eastAsia"/>
        </w:rPr>
        <w:t>者多次</w:t>
      </w:r>
      <w:r w:rsidRPr="00AB2AD1">
        <w:t>協商</w:t>
      </w:r>
      <w:r w:rsidRPr="00AB2AD1">
        <w:rPr>
          <w:rFonts w:hint="eastAsia"/>
        </w:rPr>
        <w:t>(處)</w:t>
      </w:r>
      <w:r w:rsidR="00F00817" w:rsidRPr="00AB2AD1">
        <w:t>購電費率</w:t>
      </w:r>
      <w:r w:rsidRPr="00AB2AD1">
        <w:rPr>
          <w:rFonts w:hint="eastAsia"/>
        </w:rPr>
        <w:t>應</w:t>
      </w:r>
      <w:r w:rsidRPr="00AB2AD1">
        <w:t>隨利率浮動調整</w:t>
      </w:r>
      <w:r w:rsidRPr="00AB2AD1">
        <w:rPr>
          <w:rFonts w:hint="eastAsia"/>
        </w:rPr>
        <w:t>時，各發電業者卻協議</w:t>
      </w:r>
      <w:r w:rsidRPr="00AB2AD1">
        <w:rPr>
          <w:rFonts w:cs="標楷體" w:hint="eastAsia"/>
        </w:rPr>
        <w:t>共同拒絕調降容量費率，</w:t>
      </w:r>
      <w:r w:rsidRPr="00AB2AD1">
        <w:rPr>
          <w:rFonts w:hint="eastAsia"/>
        </w:rPr>
        <w:t>致台電公司長期承擔過高之不合理</w:t>
      </w:r>
      <w:r w:rsidR="00F00817" w:rsidRPr="00AB2AD1">
        <w:rPr>
          <w:rFonts w:hint="eastAsia"/>
        </w:rPr>
        <w:t>購電費率</w:t>
      </w:r>
      <w:r w:rsidRPr="00AB2AD1">
        <w:rPr>
          <w:rFonts w:hint="eastAsia"/>
        </w:rPr>
        <w:t>，</w:t>
      </w:r>
      <w:r w:rsidRPr="00AB2AD1">
        <w:rPr>
          <w:rFonts w:cs="標楷體" w:hint="eastAsia"/>
        </w:rPr>
        <w:t>其情如下：</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93</w:t>
      </w:r>
      <w:r w:rsidRPr="00AB2AD1">
        <w:rPr>
          <w:rFonts w:hAnsi="標楷體" w:cs="標楷體" w:hint="eastAsia"/>
          <w:bCs/>
          <w:kern w:val="0"/>
          <w:szCs w:val="32"/>
        </w:rPr>
        <w:t>年7月9日國光電力公司(以下</w:t>
      </w:r>
      <w:r w:rsidR="00B751B3" w:rsidRPr="00AB2AD1">
        <w:rPr>
          <w:rFonts w:hAnsi="標楷體" w:cs="標楷體" w:hint="eastAsia"/>
          <w:bCs/>
          <w:kern w:val="0"/>
          <w:szCs w:val="32"/>
        </w:rPr>
        <w:t>「電力公司」</w:t>
      </w:r>
      <w:r w:rsidRPr="00AB2AD1">
        <w:rPr>
          <w:rFonts w:hAnsi="標楷體" w:cs="標楷體" w:hint="eastAsia"/>
          <w:bCs/>
          <w:kern w:val="0"/>
          <w:szCs w:val="32"/>
        </w:rPr>
        <w:t>皆省略)邀請各民營</w:t>
      </w:r>
      <w:r w:rsidR="00FC106F" w:rsidRPr="00AB2AD1">
        <w:rPr>
          <w:rFonts w:hAnsi="標楷體" w:cs="標楷體" w:hint="eastAsia"/>
          <w:bCs/>
          <w:kern w:val="0"/>
          <w:szCs w:val="32"/>
        </w:rPr>
        <w:t>發電業者</w:t>
      </w:r>
      <w:r w:rsidRPr="00AB2AD1">
        <w:rPr>
          <w:rFonts w:hAnsi="標楷體" w:cs="標楷體" w:hint="eastAsia"/>
          <w:bCs/>
          <w:kern w:val="0"/>
          <w:szCs w:val="32"/>
        </w:rPr>
        <w:t>至該公司聯誼聚會(星元</w:t>
      </w:r>
      <w:r w:rsidR="00506B17" w:rsidRPr="00AB2AD1">
        <w:rPr>
          <w:rFonts w:hAnsi="標楷體" w:cs="標楷體" w:hint="eastAsia"/>
          <w:bCs/>
          <w:kern w:val="0"/>
          <w:szCs w:val="32"/>
        </w:rPr>
        <w:t>除</w:t>
      </w:r>
      <w:r w:rsidRPr="00AB2AD1">
        <w:rPr>
          <w:rFonts w:hAnsi="標楷體" w:cs="標楷體" w:hint="eastAsia"/>
          <w:bCs/>
          <w:kern w:val="0"/>
          <w:szCs w:val="32"/>
        </w:rPr>
        <w:t>外)，聯誼聚會邀請函略以：「目前主要的</w:t>
      </w:r>
      <w:r w:rsidR="00FC106F" w:rsidRPr="00AB2AD1">
        <w:rPr>
          <w:rFonts w:hAnsi="標楷體" w:cs="標楷體" w:hint="eastAsia"/>
          <w:bCs/>
          <w:kern w:val="0"/>
          <w:szCs w:val="32"/>
        </w:rPr>
        <w:t>發電業者</w:t>
      </w:r>
      <w:r w:rsidRPr="00AB2AD1">
        <w:rPr>
          <w:rFonts w:hAnsi="標楷體" w:cs="標楷體" w:hint="eastAsia"/>
          <w:bCs/>
          <w:kern w:val="0"/>
          <w:szCs w:val="32"/>
        </w:rPr>
        <w:t>計</w:t>
      </w:r>
      <w:r w:rsidRPr="00AB2AD1">
        <w:rPr>
          <w:rFonts w:hAnsi="標楷體" w:cs="標楷體"/>
          <w:bCs/>
          <w:kern w:val="0"/>
          <w:szCs w:val="32"/>
        </w:rPr>
        <w:t>8</w:t>
      </w:r>
      <w:r w:rsidRPr="00AB2AD1">
        <w:rPr>
          <w:rFonts w:hAnsi="標楷體" w:cs="標楷體" w:hint="eastAsia"/>
          <w:bCs/>
          <w:kern w:val="0"/>
          <w:szCs w:val="32"/>
        </w:rPr>
        <w:t>家，我們相信藉著這樣的組織，</w:t>
      </w:r>
      <w:r w:rsidRPr="00AB2AD1">
        <w:rPr>
          <w:rFonts w:hAnsi="標楷體" w:cs="標楷體" w:hint="eastAsia"/>
          <w:bCs/>
          <w:kern w:val="0"/>
          <w:szCs w:val="32"/>
        </w:rPr>
        <w:lastRenderedPageBreak/>
        <w:t>在購售電合約的雨傘下，彼此並無利益衝突，反而能夠：</w:t>
      </w:r>
      <w:r w:rsidRPr="00AB2AD1">
        <w:rPr>
          <w:rFonts w:hAnsi="標楷體" w:cs="標楷體"/>
          <w:bCs/>
          <w:kern w:val="0"/>
          <w:szCs w:val="32"/>
        </w:rPr>
        <w:t>1.</w:t>
      </w:r>
      <w:r w:rsidRPr="00AB2AD1">
        <w:rPr>
          <w:rFonts w:hAnsi="標楷體" w:cs="標楷體" w:hint="eastAsia"/>
          <w:bCs/>
          <w:kern w:val="0"/>
          <w:szCs w:val="32"/>
        </w:rPr>
        <w:t>促使台電更公正執行購售電合約</w:t>
      </w:r>
      <w:r w:rsidRPr="00AB2AD1">
        <w:rPr>
          <w:rFonts w:hAnsi="標楷體" w:cs="標楷體"/>
          <w:bCs/>
          <w:kern w:val="0"/>
          <w:szCs w:val="32"/>
        </w:rPr>
        <w:t>…</w:t>
      </w:r>
      <w:r w:rsidRPr="00AB2AD1">
        <w:rPr>
          <w:rFonts w:hAnsi="標楷體" w:cs="標楷體" w:hint="eastAsia"/>
          <w:bCs/>
          <w:kern w:val="0"/>
          <w:szCs w:val="32"/>
        </w:rPr>
        <w:t>。我們可以隨意挑選或增加題目作為定期或非定期聚會討論的主題，如燃料價格延遲</w:t>
      </w:r>
      <w:r w:rsidRPr="00AB2AD1">
        <w:rPr>
          <w:rFonts w:hAnsi="標楷體" w:cs="標楷體"/>
          <w:bCs/>
          <w:kern w:val="0"/>
          <w:szCs w:val="32"/>
        </w:rPr>
        <w:t>1</w:t>
      </w:r>
      <w:r w:rsidRPr="00AB2AD1">
        <w:rPr>
          <w:rFonts w:hAnsi="標楷體" w:cs="標楷體" w:hint="eastAsia"/>
          <w:bCs/>
          <w:kern w:val="0"/>
          <w:szCs w:val="32"/>
        </w:rPr>
        <w:t>年反應於電價。」</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93</w:t>
      </w:r>
      <w:r w:rsidRPr="00AB2AD1">
        <w:rPr>
          <w:rFonts w:hAnsi="標楷體" w:cs="標楷體" w:hint="eastAsia"/>
          <w:bCs/>
          <w:kern w:val="0"/>
          <w:szCs w:val="32"/>
        </w:rPr>
        <w:t>年</w:t>
      </w:r>
      <w:r w:rsidRPr="00AB2AD1">
        <w:rPr>
          <w:rFonts w:hAnsi="標楷體" w:cs="標楷體"/>
          <w:bCs/>
          <w:kern w:val="0"/>
          <w:szCs w:val="32"/>
        </w:rPr>
        <w:t>12</w:t>
      </w:r>
      <w:r w:rsidRPr="00AB2AD1">
        <w:rPr>
          <w:rFonts w:hAnsi="標楷體" w:cs="標楷體" w:hint="eastAsia"/>
          <w:bCs/>
          <w:kern w:val="0"/>
          <w:szCs w:val="32"/>
        </w:rPr>
        <w:t>月</w:t>
      </w:r>
      <w:r w:rsidRPr="00AB2AD1">
        <w:rPr>
          <w:rFonts w:hAnsi="標楷體" w:cs="標楷體"/>
          <w:bCs/>
          <w:kern w:val="0"/>
          <w:szCs w:val="32"/>
        </w:rPr>
        <w:t>30</w:t>
      </w:r>
      <w:r w:rsidRPr="00AB2AD1">
        <w:rPr>
          <w:rFonts w:hAnsi="標楷體" w:cs="標楷體" w:hint="eastAsia"/>
          <w:bCs/>
          <w:kern w:val="0"/>
          <w:szCs w:val="32"/>
        </w:rPr>
        <w:t>日</w:t>
      </w:r>
      <w:r w:rsidRPr="00AB2AD1">
        <w:rPr>
          <w:rFonts w:hAnsi="標楷體" w:cs="標楷體"/>
          <w:bCs/>
          <w:kern w:val="0"/>
          <w:szCs w:val="32"/>
        </w:rPr>
        <w:t>8</w:t>
      </w:r>
      <w:r w:rsidRPr="00AB2AD1">
        <w:rPr>
          <w:rFonts w:hAnsi="標楷體" w:cs="標楷體" w:hint="eastAsia"/>
          <w:bCs/>
          <w:kern w:val="0"/>
          <w:szCs w:val="32"/>
        </w:rPr>
        <w:t>家</w:t>
      </w:r>
      <w:r w:rsidR="00FC106F" w:rsidRPr="00AB2AD1">
        <w:rPr>
          <w:rFonts w:hAnsi="標楷體" w:cs="標楷體" w:hint="eastAsia"/>
          <w:bCs/>
          <w:kern w:val="0"/>
          <w:szCs w:val="32"/>
        </w:rPr>
        <w:t>發電業者</w:t>
      </w:r>
      <w:r w:rsidR="00BF2EDD" w:rsidRPr="00AB2AD1">
        <w:rPr>
          <w:rFonts w:hAnsi="標楷體" w:cs="標楷體" w:hint="eastAsia"/>
          <w:bCs/>
          <w:kern w:val="0"/>
          <w:szCs w:val="32"/>
        </w:rPr>
        <w:t>代表</w:t>
      </w:r>
      <w:r w:rsidRPr="00AB2AD1">
        <w:rPr>
          <w:rFonts w:hAnsi="標楷體" w:cs="標楷體" w:hint="eastAsia"/>
          <w:bCs/>
          <w:kern w:val="0"/>
          <w:szCs w:val="32"/>
        </w:rPr>
        <w:t>於森霸討論燃料價格變動與電價結構等事宜，並獲結論：</w:t>
      </w:r>
      <w:r w:rsidR="00FC106F" w:rsidRPr="00AB2AD1">
        <w:rPr>
          <w:rFonts w:hAnsi="標楷體" w:cs="標楷體" w:hint="eastAsia"/>
          <w:bCs/>
          <w:kern w:val="0"/>
          <w:szCs w:val="32"/>
        </w:rPr>
        <w:t>「</w:t>
      </w:r>
      <w:r w:rsidRPr="00AB2AD1">
        <w:rPr>
          <w:rFonts w:hAnsi="標楷體" w:cs="標楷體" w:hint="eastAsia"/>
          <w:bCs/>
          <w:kern w:val="0"/>
          <w:szCs w:val="32"/>
        </w:rPr>
        <w:t>各</w:t>
      </w:r>
      <w:r w:rsidR="00E772EF" w:rsidRPr="00AB2AD1">
        <w:rPr>
          <w:rFonts w:hAnsi="標楷體" w:cs="標楷體" w:hint="eastAsia"/>
          <w:bCs/>
          <w:kern w:val="0"/>
          <w:szCs w:val="32"/>
        </w:rPr>
        <w:t>業者</w:t>
      </w:r>
      <w:r w:rsidRPr="00AB2AD1">
        <w:rPr>
          <w:rFonts w:hAnsi="標楷體" w:cs="標楷體" w:hint="eastAsia"/>
          <w:bCs/>
          <w:kern w:val="0"/>
          <w:szCs w:val="32"/>
        </w:rPr>
        <w:t>均同意應透過集體的力量與訴求，共同向能源局及台電反應，並爭取業者之權益。發函方式建議由各</w:t>
      </w:r>
      <w:r w:rsidR="00E772EF" w:rsidRPr="00AB2AD1">
        <w:rPr>
          <w:rFonts w:hAnsi="標楷體" w:cs="標楷體" w:hint="eastAsia"/>
          <w:bCs/>
          <w:kern w:val="0"/>
          <w:szCs w:val="32"/>
        </w:rPr>
        <w:t>業者</w:t>
      </w:r>
      <w:r w:rsidRPr="00AB2AD1">
        <w:rPr>
          <w:rFonts w:hAnsi="標楷體" w:cs="標楷體" w:hint="eastAsia"/>
          <w:bCs/>
          <w:kern w:val="0"/>
          <w:szCs w:val="32"/>
        </w:rPr>
        <w:t>共同具名方式…。</w:t>
      </w:r>
      <w:r w:rsidR="00FC106F" w:rsidRPr="00AB2AD1">
        <w:rPr>
          <w:rFonts w:hAnsi="標楷體" w:cs="標楷體" w:hint="eastAsia"/>
          <w:bCs/>
          <w:kern w:val="0"/>
          <w:szCs w:val="32"/>
        </w:rPr>
        <w:t>」</w:t>
      </w:r>
      <w:r w:rsidRPr="00AB2AD1">
        <w:rPr>
          <w:rFonts w:hAnsi="標楷體" w:cs="標楷體"/>
          <w:bCs/>
          <w:kern w:val="0"/>
          <w:szCs w:val="32"/>
        </w:rPr>
        <w:t>9</w:t>
      </w:r>
      <w:r w:rsidRPr="00AB2AD1">
        <w:rPr>
          <w:rFonts w:hAnsi="標楷體" w:cs="標楷體" w:hint="eastAsia"/>
          <w:bCs/>
          <w:kern w:val="0"/>
          <w:szCs w:val="32"/>
        </w:rPr>
        <w:t>4年7月1日</w:t>
      </w:r>
      <w:r w:rsidRPr="00AB2AD1">
        <w:rPr>
          <w:rFonts w:hAnsi="標楷體" w:cs="標楷體"/>
          <w:bCs/>
          <w:kern w:val="0"/>
          <w:szCs w:val="32"/>
        </w:rPr>
        <w:t>8</w:t>
      </w:r>
      <w:r w:rsidRPr="00AB2AD1">
        <w:rPr>
          <w:rFonts w:hAnsi="標楷體" w:cs="標楷體" w:hint="eastAsia"/>
          <w:bCs/>
          <w:kern w:val="0"/>
          <w:szCs w:val="32"/>
        </w:rPr>
        <w:t>家業者</w:t>
      </w:r>
      <w:r w:rsidR="00BF2EDD" w:rsidRPr="00AB2AD1">
        <w:rPr>
          <w:rFonts w:hAnsi="標楷體" w:cs="標楷體" w:hint="eastAsia"/>
          <w:bCs/>
          <w:kern w:val="0"/>
          <w:szCs w:val="32"/>
        </w:rPr>
        <w:t>代表</w:t>
      </w:r>
      <w:r w:rsidRPr="00AB2AD1">
        <w:rPr>
          <w:rFonts w:hAnsi="標楷體" w:cs="標楷體" w:hint="eastAsia"/>
          <w:bCs/>
          <w:kern w:val="0"/>
          <w:szCs w:val="32"/>
        </w:rPr>
        <w:t>於麥寮聚會，並決議：</w:t>
      </w:r>
      <w:r w:rsidR="00FC106F" w:rsidRPr="00AB2AD1">
        <w:rPr>
          <w:rFonts w:hAnsi="標楷體" w:cs="標楷體" w:hint="eastAsia"/>
          <w:bCs/>
          <w:kern w:val="0"/>
          <w:szCs w:val="32"/>
        </w:rPr>
        <w:t>「</w:t>
      </w:r>
      <w:r w:rsidRPr="00AB2AD1">
        <w:rPr>
          <w:rFonts w:hAnsi="標楷體" w:cs="標楷體" w:hint="eastAsia"/>
          <w:bCs/>
          <w:kern w:val="0"/>
          <w:szCs w:val="32"/>
        </w:rPr>
        <w:t>各</w:t>
      </w:r>
      <w:r w:rsidR="00FC106F" w:rsidRPr="00AB2AD1">
        <w:rPr>
          <w:rFonts w:hAnsi="標楷體" w:cs="標楷體" w:hint="eastAsia"/>
          <w:bCs/>
          <w:kern w:val="0"/>
          <w:szCs w:val="32"/>
        </w:rPr>
        <w:t>發電業者</w:t>
      </w:r>
      <w:r w:rsidRPr="00AB2AD1">
        <w:rPr>
          <w:rFonts w:hAnsi="標楷體" w:cs="標楷體" w:hint="eastAsia"/>
          <w:bCs/>
          <w:kern w:val="0"/>
          <w:szCs w:val="32"/>
        </w:rPr>
        <w:t>聯誼會名稱經表決後定為</w:t>
      </w:r>
      <w:r w:rsidR="00FC106F" w:rsidRPr="00AB2AD1">
        <w:rPr>
          <w:rFonts w:hAnsi="標楷體" w:cs="標楷體" w:hint="eastAsia"/>
          <w:bCs/>
          <w:kern w:val="0"/>
          <w:szCs w:val="32"/>
        </w:rPr>
        <w:t>『</w:t>
      </w:r>
      <w:r w:rsidRPr="00AB2AD1">
        <w:rPr>
          <w:rFonts w:hAnsi="標楷體" w:cs="標楷體" w:hint="eastAsia"/>
          <w:bCs/>
          <w:kern w:val="0"/>
          <w:szCs w:val="32"/>
        </w:rPr>
        <w:t>台灣民營發電業協進會</w:t>
      </w:r>
      <w:r w:rsidR="00FC106F" w:rsidRPr="00AB2AD1">
        <w:rPr>
          <w:rFonts w:hAnsi="標楷體" w:cs="標楷體" w:hint="eastAsia"/>
          <w:bCs/>
          <w:kern w:val="0"/>
          <w:szCs w:val="32"/>
        </w:rPr>
        <w:t>』</w:t>
      </w:r>
      <w:r w:rsidRPr="00AB2AD1">
        <w:rPr>
          <w:rFonts w:hAnsi="標楷體" w:cs="標楷體" w:hint="eastAsia"/>
          <w:bCs/>
          <w:kern w:val="0"/>
          <w:szCs w:val="32"/>
        </w:rPr>
        <w:t>，</w:t>
      </w:r>
      <w:r w:rsidRPr="00AB2AD1">
        <w:rPr>
          <w:rFonts w:hAnsi="標楷體" w:cs="標楷體"/>
          <w:bCs/>
          <w:kern w:val="0"/>
          <w:szCs w:val="32"/>
        </w:rPr>
        <w:t>…</w:t>
      </w:r>
      <w:r w:rsidRPr="00AB2AD1">
        <w:rPr>
          <w:rFonts w:hAnsi="標楷體" w:cs="標楷體" w:hint="eastAsia"/>
          <w:bCs/>
          <w:kern w:val="0"/>
          <w:szCs w:val="32"/>
        </w:rPr>
        <w:t>會議輪值決議依商轉日期先後排序。</w:t>
      </w:r>
      <w:r w:rsidR="00FC106F"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5年3月17日</w:t>
      </w:r>
      <w:r w:rsidR="00FC106F" w:rsidRPr="00AB2AD1">
        <w:rPr>
          <w:rFonts w:hAnsi="標楷體" w:cs="標楷體" w:hint="eastAsia"/>
          <w:bCs/>
          <w:kern w:val="0"/>
          <w:szCs w:val="32"/>
        </w:rPr>
        <w:t>輪值之協進會發電業者</w:t>
      </w:r>
      <w:r w:rsidRPr="00AB2AD1">
        <w:rPr>
          <w:rFonts w:hAnsi="標楷體" w:cs="標楷體" w:hint="eastAsia"/>
          <w:bCs/>
          <w:kern w:val="0"/>
          <w:szCs w:val="32"/>
        </w:rPr>
        <w:t>長生召開協進會</w:t>
      </w:r>
      <w:r w:rsidRPr="00AB2AD1">
        <w:rPr>
          <w:rFonts w:hAnsi="標楷體" w:cs="標楷體"/>
          <w:bCs/>
          <w:kern w:val="0"/>
          <w:szCs w:val="32"/>
        </w:rPr>
        <w:t>95</w:t>
      </w:r>
      <w:r w:rsidR="00506B17" w:rsidRPr="00AB2AD1">
        <w:rPr>
          <w:rFonts w:hAnsi="標楷體" w:cs="標楷體" w:hint="eastAsia"/>
          <w:bCs/>
          <w:kern w:val="0"/>
          <w:szCs w:val="32"/>
        </w:rPr>
        <w:t>年</w:t>
      </w:r>
      <w:r w:rsidRPr="00AB2AD1">
        <w:rPr>
          <w:rFonts w:hAnsi="標楷體" w:cs="標楷體" w:hint="eastAsia"/>
          <w:bCs/>
          <w:kern w:val="0"/>
          <w:szCs w:val="32"/>
        </w:rPr>
        <w:t>度第</w:t>
      </w:r>
      <w:r w:rsidRPr="00AB2AD1">
        <w:rPr>
          <w:rFonts w:hAnsi="標楷體" w:cs="標楷體"/>
          <w:bCs/>
          <w:kern w:val="0"/>
          <w:szCs w:val="32"/>
        </w:rPr>
        <w:t>1</w:t>
      </w:r>
      <w:r w:rsidRPr="00AB2AD1">
        <w:rPr>
          <w:rFonts w:hAnsi="標楷體" w:cs="標楷體" w:hint="eastAsia"/>
          <w:bCs/>
          <w:kern w:val="0"/>
          <w:szCs w:val="32"/>
        </w:rPr>
        <w:t>次會議，</w:t>
      </w:r>
      <w:r w:rsidR="00506B17" w:rsidRPr="00AB2AD1">
        <w:rPr>
          <w:rFonts w:hAnsi="標楷體" w:cs="標楷體" w:hint="eastAsia"/>
          <w:bCs/>
          <w:kern w:val="0"/>
          <w:szCs w:val="32"/>
        </w:rPr>
        <w:t>除</w:t>
      </w:r>
      <w:r w:rsidRPr="00AB2AD1">
        <w:rPr>
          <w:rFonts w:hAnsi="標楷體" w:cs="標楷體" w:hint="eastAsia"/>
          <w:bCs/>
          <w:kern w:val="0"/>
          <w:szCs w:val="32"/>
        </w:rPr>
        <w:t>通過「台灣民營發電業協進會章程</w:t>
      </w:r>
      <w:r w:rsidR="00FC106F" w:rsidRPr="00AB2AD1">
        <w:rPr>
          <w:rFonts w:hAnsi="標楷體" w:cs="標楷體" w:hint="eastAsia"/>
          <w:bCs/>
          <w:kern w:val="0"/>
          <w:szCs w:val="32"/>
        </w:rPr>
        <w:t>」</w:t>
      </w:r>
      <w:r w:rsidR="00506B17" w:rsidRPr="00AB2AD1">
        <w:rPr>
          <w:rFonts w:hAnsi="標楷體" w:cs="標楷體" w:hint="eastAsia"/>
          <w:bCs/>
          <w:kern w:val="0"/>
          <w:szCs w:val="32"/>
        </w:rPr>
        <w:t>外</w:t>
      </w:r>
      <w:r w:rsidRPr="00AB2AD1">
        <w:rPr>
          <w:rFonts w:hAnsi="標楷體" w:cs="標楷體" w:hint="eastAsia"/>
          <w:bCs/>
          <w:kern w:val="0"/>
          <w:szCs w:val="32"/>
        </w:rPr>
        <w:t>，並決議：</w:t>
      </w:r>
      <w:r w:rsidR="00FC106F" w:rsidRPr="00AB2AD1">
        <w:rPr>
          <w:rFonts w:hAnsi="標楷體" w:cs="標楷體" w:hint="eastAsia"/>
          <w:bCs/>
          <w:kern w:val="0"/>
          <w:szCs w:val="32"/>
        </w:rPr>
        <w:t>「</w:t>
      </w:r>
      <w:r w:rsidRPr="00AB2AD1">
        <w:rPr>
          <w:rFonts w:hAnsi="標楷體" w:cs="標楷體" w:hint="eastAsia"/>
          <w:bCs/>
          <w:kern w:val="0"/>
          <w:szCs w:val="32"/>
        </w:rPr>
        <w:t>待</w:t>
      </w:r>
      <w:r w:rsidR="00FC106F" w:rsidRPr="00AB2AD1">
        <w:rPr>
          <w:rFonts w:hAnsi="標楷體" w:cs="標楷體" w:hint="eastAsia"/>
          <w:bCs/>
          <w:kern w:val="0"/>
          <w:szCs w:val="32"/>
        </w:rPr>
        <w:t>『</w:t>
      </w:r>
      <w:r w:rsidRPr="00AB2AD1">
        <w:rPr>
          <w:rFonts w:hAnsi="標楷體" w:cs="標楷體" w:hint="eastAsia"/>
          <w:bCs/>
          <w:kern w:val="0"/>
          <w:szCs w:val="32"/>
        </w:rPr>
        <w:t>經濟部組成專案小組，重新評估台電向</w:t>
      </w:r>
      <w:r w:rsidR="00FC106F" w:rsidRPr="00AB2AD1">
        <w:rPr>
          <w:rFonts w:hAnsi="標楷體" w:cs="標楷體" w:hint="eastAsia"/>
          <w:bCs/>
          <w:kern w:val="0"/>
          <w:szCs w:val="32"/>
        </w:rPr>
        <w:t>業者</w:t>
      </w:r>
      <w:r w:rsidRPr="00AB2AD1">
        <w:rPr>
          <w:rFonts w:hAnsi="標楷體" w:cs="標楷體" w:hint="eastAsia"/>
          <w:bCs/>
          <w:kern w:val="0"/>
          <w:szCs w:val="32"/>
        </w:rPr>
        <w:t>購電合約之合理性</w:t>
      </w:r>
      <w:r w:rsidR="00FC106F" w:rsidRPr="00AB2AD1">
        <w:rPr>
          <w:rFonts w:hAnsi="標楷體" w:cs="標楷體" w:hint="eastAsia"/>
          <w:bCs/>
          <w:kern w:val="0"/>
          <w:szCs w:val="32"/>
        </w:rPr>
        <w:t>』</w:t>
      </w:r>
      <w:r w:rsidRPr="00AB2AD1">
        <w:rPr>
          <w:rFonts w:hAnsi="標楷體" w:cs="標楷體" w:hint="eastAsia"/>
          <w:bCs/>
          <w:kern w:val="0"/>
          <w:szCs w:val="32"/>
        </w:rPr>
        <w:t>有更進一步之動作時，再行研商因應。</w:t>
      </w:r>
      <w:r w:rsidR="00FC106F" w:rsidRPr="00AB2AD1">
        <w:rPr>
          <w:rFonts w:hAnsi="標楷體" w:cs="標楷體" w:hint="eastAsia"/>
          <w:bCs/>
          <w:kern w:val="0"/>
          <w:szCs w:val="32"/>
        </w:rPr>
        <w:t>」</w:t>
      </w:r>
      <w:r w:rsidRPr="00AB2AD1">
        <w:rPr>
          <w:rFonts w:hAnsi="標楷體" w:cs="標楷體" w:hint="eastAsia"/>
          <w:bCs/>
          <w:kern w:val="0"/>
          <w:szCs w:val="32"/>
        </w:rPr>
        <w:t>6月16日長生</w:t>
      </w:r>
      <w:r w:rsidR="00FC106F" w:rsidRPr="00AB2AD1">
        <w:rPr>
          <w:rFonts w:hAnsi="標楷體" w:cs="標楷體" w:hint="eastAsia"/>
          <w:bCs/>
          <w:kern w:val="0"/>
          <w:szCs w:val="32"/>
        </w:rPr>
        <w:t>再</w:t>
      </w:r>
      <w:r w:rsidRPr="00AB2AD1">
        <w:rPr>
          <w:rFonts w:hAnsi="標楷體" w:cs="標楷體" w:hint="eastAsia"/>
          <w:bCs/>
          <w:kern w:val="0"/>
          <w:szCs w:val="32"/>
        </w:rPr>
        <w:t>召開協進會</w:t>
      </w:r>
      <w:r w:rsidR="00506B17" w:rsidRPr="00AB2AD1">
        <w:rPr>
          <w:rFonts w:hAnsi="標楷體" w:cs="標楷體"/>
          <w:bCs/>
          <w:kern w:val="0"/>
          <w:szCs w:val="32"/>
        </w:rPr>
        <w:t>95年度</w:t>
      </w:r>
      <w:r w:rsidRPr="00AB2AD1">
        <w:rPr>
          <w:rFonts w:hAnsi="標楷體" w:cs="標楷體" w:hint="eastAsia"/>
          <w:bCs/>
          <w:kern w:val="0"/>
          <w:szCs w:val="32"/>
        </w:rPr>
        <w:t>第2次會議，</w:t>
      </w:r>
      <w:r w:rsidR="00FC106F" w:rsidRPr="00AB2AD1">
        <w:rPr>
          <w:rFonts w:hAnsi="標楷體" w:cs="標楷體" w:hint="eastAsia"/>
          <w:bCs/>
          <w:kern w:val="0"/>
          <w:szCs w:val="32"/>
        </w:rPr>
        <w:t>並</w:t>
      </w:r>
      <w:r w:rsidRPr="00AB2AD1">
        <w:rPr>
          <w:rFonts w:hAnsi="標楷體" w:cs="標楷體" w:hint="eastAsia"/>
          <w:bCs/>
          <w:kern w:val="0"/>
          <w:szCs w:val="32"/>
        </w:rPr>
        <w:t>決議：</w:t>
      </w:r>
      <w:r w:rsidR="00FC106F" w:rsidRPr="00AB2AD1">
        <w:rPr>
          <w:rFonts w:hAnsi="標楷體" w:cs="標楷體" w:hint="eastAsia"/>
          <w:bCs/>
          <w:kern w:val="0"/>
          <w:szCs w:val="32"/>
        </w:rPr>
        <w:t>「</w:t>
      </w:r>
      <w:r w:rsidRPr="00AB2AD1">
        <w:rPr>
          <w:rFonts w:hAnsi="標楷體" w:cs="標楷體" w:hint="eastAsia"/>
          <w:bCs/>
          <w:kern w:val="0"/>
          <w:szCs w:val="32"/>
        </w:rPr>
        <w:t>由長生儘快擬稿要求與台電商討即時反應天然氣價格於能量費率。</w:t>
      </w:r>
      <w:r w:rsidR="00FC106F"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5年6月21日審計部函請經濟部督促台電公司，就該公司與民營發電業者所訂資金成本率問題，研議重新議約，以維公司權益。10月3日台電公司函復審計部略以，考量目前部分業者因燃料價格飆漲，亦以情勢變更為由</w:t>
      </w:r>
      <w:r w:rsidR="00B751B3" w:rsidRPr="00AB2AD1">
        <w:rPr>
          <w:rFonts w:hAnsi="標楷體" w:cs="標楷體" w:hint="eastAsia"/>
          <w:bCs/>
          <w:kern w:val="0"/>
          <w:szCs w:val="32"/>
        </w:rPr>
        <w:t>，</w:t>
      </w:r>
      <w:r w:rsidRPr="00AB2AD1">
        <w:rPr>
          <w:rFonts w:hAnsi="標楷體" w:cs="標楷體" w:hint="eastAsia"/>
          <w:bCs/>
          <w:kern w:val="0"/>
          <w:szCs w:val="32"/>
        </w:rPr>
        <w:t>要求修訂燃料成本調整方式，故擬通盤評估後再伺機提出協商。</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5年9月22日和平召開協進會</w:t>
      </w:r>
      <w:r w:rsidRPr="00AB2AD1">
        <w:rPr>
          <w:rFonts w:hAnsi="標楷體" w:cs="標楷體"/>
          <w:bCs/>
          <w:kern w:val="0"/>
          <w:szCs w:val="32"/>
        </w:rPr>
        <w:t>95</w:t>
      </w:r>
      <w:r w:rsidR="00506B17" w:rsidRPr="00AB2AD1">
        <w:rPr>
          <w:rFonts w:hAnsi="標楷體" w:cs="標楷體" w:hint="eastAsia"/>
          <w:bCs/>
          <w:kern w:val="0"/>
          <w:szCs w:val="32"/>
        </w:rPr>
        <w:t>年</w:t>
      </w:r>
      <w:r w:rsidRPr="00AB2AD1">
        <w:rPr>
          <w:rFonts w:hAnsi="標楷體" w:cs="標楷體" w:hint="eastAsia"/>
          <w:bCs/>
          <w:kern w:val="0"/>
          <w:szCs w:val="32"/>
        </w:rPr>
        <w:t>度第3次會議討論「政府機關研議檢討台電與各</w:t>
      </w:r>
      <w:r w:rsidR="002C7095" w:rsidRPr="00AB2AD1">
        <w:rPr>
          <w:rFonts w:hAnsi="標楷體" w:cs="標楷體" w:hint="eastAsia"/>
          <w:bCs/>
          <w:kern w:val="0"/>
          <w:szCs w:val="32"/>
        </w:rPr>
        <w:t>業者</w:t>
      </w:r>
      <w:r w:rsidRPr="00AB2AD1">
        <w:rPr>
          <w:rFonts w:hAnsi="標楷體" w:cs="標楷體" w:hint="eastAsia"/>
          <w:bCs/>
          <w:kern w:val="0"/>
          <w:szCs w:val="32"/>
        </w:rPr>
        <w:t>購售電合約合理性之因應」之議題時，決議：</w:t>
      </w:r>
      <w:r w:rsidR="002C7095" w:rsidRPr="00AB2AD1">
        <w:rPr>
          <w:rFonts w:hAnsi="標楷體" w:cs="標楷體" w:hint="eastAsia"/>
          <w:bCs/>
          <w:kern w:val="0"/>
          <w:szCs w:val="32"/>
        </w:rPr>
        <w:t>「</w:t>
      </w:r>
      <w:r w:rsidRPr="00AB2AD1">
        <w:rPr>
          <w:rFonts w:hAnsi="標楷體" w:cs="標楷體" w:hint="eastAsia"/>
          <w:bCs/>
          <w:kern w:val="0"/>
          <w:szCs w:val="32"/>
        </w:rPr>
        <w:t>合約之</w:t>
      </w:r>
      <w:r w:rsidRPr="00AB2AD1">
        <w:rPr>
          <w:rFonts w:hAnsi="標楷體" w:cs="標楷體" w:hint="eastAsia"/>
          <w:bCs/>
          <w:kern w:val="0"/>
          <w:szCs w:val="32"/>
        </w:rPr>
        <w:lastRenderedPageBreak/>
        <w:t>變更影響合約兩造甚鉅，宜密切觀察動向，必要時再洽相關單位協調。</w:t>
      </w:r>
      <w:r w:rsidR="002C7095"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5年12月5日燃氣</w:t>
      </w:r>
      <w:r w:rsidR="00FC106F" w:rsidRPr="00AB2AD1">
        <w:rPr>
          <w:rFonts w:hAnsi="標楷體" w:cs="標楷體" w:hint="eastAsia"/>
          <w:bCs/>
          <w:kern w:val="0"/>
          <w:szCs w:val="32"/>
        </w:rPr>
        <w:t>發電業者</w:t>
      </w:r>
      <w:r w:rsidRPr="00AB2AD1">
        <w:rPr>
          <w:rFonts w:hAnsi="標楷體" w:cs="標楷體" w:hint="eastAsia"/>
          <w:bCs/>
          <w:kern w:val="0"/>
          <w:szCs w:val="32"/>
        </w:rPr>
        <w:t>於國光電廠召開「燃料成本費率調整機制」研討會議，有關「燃料成本費率調整機制應不包括台電大潭用氣」之議題，決議：</w:t>
      </w:r>
      <w:r w:rsidR="002C7095" w:rsidRPr="00AB2AD1">
        <w:rPr>
          <w:rFonts w:hAnsi="標楷體" w:cs="標楷體" w:hint="eastAsia"/>
          <w:bCs/>
          <w:kern w:val="0"/>
          <w:szCs w:val="32"/>
        </w:rPr>
        <w:t>「</w:t>
      </w:r>
      <w:r w:rsidRPr="00AB2AD1">
        <w:rPr>
          <w:rFonts w:hAnsi="標楷體" w:cs="標楷體"/>
          <w:bCs/>
          <w:kern w:val="0"/>
          <w:szCs w:val="32"/>
        </w:rPr>
        <w:t>1.</w:t>
      </w:r>
      <w:r w:rsidRPr="00AB2AD1">
        <w:rPr>
          <w:rFonts w:hAnsi="標楷體" w:cs="標楷體" w:hint="eastAsia"/>
          <w:bCs/>
          <w:kern w:val="0"/>
          <w:szCs w:val="32"/>
        </w:rPr>
        <w:t>所有</w:t>
      </w:r>
      <w:r w:rsidR="00FC106F" w:rsidRPr="00AB2AD1">
        <w:rPr>
          <w:rFonts w:hAnsi="標楷體" w:cs="標楷體" w:hint="eastAsia"/>
          <w:bCs/>
          <w:kern w:val="0"/>
          <w:szCs w:val="32"/>
        </w:rPr>
        <w:t>發電業者</w:t>
      </w:r>
      <w:r w:rsidRPr="00AB2AD1">
        <w:rPr>
          <w:rFonts w:hAnsi="標楷體" w:cs="標楷體" w:hint="eastAsia"/>
          <w:bCs/>
          <w:kern w:val="0"/>
          <w:szCs w:val="32"/>
        </w:rPr>
        <w:t>同意採取一致行動；</w:t>
      </w:r>
      <w:r w:rsidRPr="00AB2AD1">
        <w:rPr>
          <w:rFonts w:hAnsi="標楷體" w:cs="標楷體"/>
          <w:bCs/>
          <w:kern w:val="0"/>
          <w:szCs w:val="32"/>
        </w:rPr>
        <w:t>2.</w:t>
      </w:r>
      <w:r w:rsidRPr="00AB2AD1">
        <w:rPr>
          <w:rFonts w:hAnsi="標楷體" w:cs="標楷體" w:hint="eastAsia"/>
          <w:bCs/>
          <w:kern w:val="0"/>
          <w:szCs w:val="32"/>
        </w:rPr>
        <w:t>請台汽電蔡主任連絡律師，完成向經濟部要求協調解決之函稿；</w:t>
      </w:r>
      <w:r w:rsidRPr="00AB2AD1">
        <w:rPr>
          <w:rFonts w:hAnsi="標楷體" w:cs="標楷體"/>
          <w:bCs/>
          <w:kern w:val="0"/>
          <w:szCs w:val="32"/>
        </w:rPr>
        <w:t>3.</w:t>
      </w:r>
      <w:r w:rsidRPr="00AB2AD1">
        <w:rPr>
          <w:rFonts w:hAnsi="標楷體" w:cs="標楷體" w:hint="eastAsia"/>
          <w:bCs/>
          <w:kern w:val="0"/>
          <w:szCs w:val="32"/>
        </w:rPr>
        <w:t>懇請台汽電林董事長出面安排與經濟部長召開高層協調會議。</w:t>
      </w:r>
      <w:r w:rsidR="002C7095" w:rsidRPr="00AB2AD1">
        <w:rPr>
          <w:rFonts w:hAnsi="標楷體" w:cs="標楷體" w:hint="eastAsia"/>
          <w:bCs/>
          <w:kern w:val="0"/>
          <w:szCs w:val="32"/>
        </w:rPr>
        <w:t>」</w:t>
      </w:r>
      <w:r w:rsidRPr="00AB2AD1">
        <w:rPr>
          <w:rFonts w:hAnsi="標楷體" w:cs="標楷體" w:hint="eastAsia"/>
          <w:bCs/>
          <w:kern w:val="0"/>
          <w:szCs w:val="32"/>
        </w:rPr>
        <w:t>另有關「燃料成本費率調整機制」之議題，</w:t>
      </w:r>
      <w:r w:rsidR="00FA2DF4" w:rsidRPr="00AB2AD1">
        <w:rPr>
          <w:rFonts w:hAnsi="標楷體" w:cs="標楷體" w:hint="eastAsia"/>
          <w:bCs/>
          <w:kern w:val="0"/>
          <w:szCs w:val="32"/>
        </w:rPr>
        <w:t>則</w:t>
      </w:r>
      <w:r w:rsidRPr="00AB2AD1">
        <w:rPr>
          <w:rFonts w:hAnsi="標楷體" w:cs="標楷體" w:hint="eastAsia"/>
          <w:bCs/>
          <w:kern w:val="0"/>
          <w:szCs w:val="32"/>
        </w:rPr>
        <w:t>決議：</w:t>
      </w:r>
      <w:r w:rsidR="002C7095" w:rsidRPr="00AB2AD1">
        <w:rPr>
          <w:rFonts w:hAnsi="標楷體" w:cs="標楷體" w:hint="eastAsia"/>
          <w:bCs/>
          <w:kern w:val="0"/>
          <w:szCs w:val="32"/>
        </w:rPr>
        <w:t>「</w:t>
      </w:r>
      <w:r w:rsidRPr="00AB2AD1">
        <w:rPr>
          <w:rFonts w:hAnsi="標楷體" w:cs="標楷體" w:hint="eastAsia"/>
          <w:bCs/>
          <w:kern w:val="0"/>
          <w:szCs w:val="32"/>
        </w:rPr>
        <w:t>請台汽電蔡主任連絡律師提供法律諮詢或意見。</w:t>
      </w:r>
      <w:r w:rsidR="002C7095"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6年3月23日新桃召開協進會</w:t>
      </w:r>
      <w:r w:rsidRPr="00AB2AD1">
        <w:rPr>
          <w:rFonts w:hAnsi="標楷體" w:cs="標楷體"/>
          <w:bCs/>
          <w:kern w:val="0"/>
          <w:szCs w:val="32"/>
        </w:rPr>
        <w:t>96</w:t>
      </w:r>
      <w:r w:rsidRPr="00AB2AD1">
        <w:rPr>
          <w:rFonts w:hAnsi="標楷體" w:cs="標楷體" w:hint="eastAsia"/>
          <w:bCs/>
          <w:kern w:val="0"/>
          <w:szCs w:val="32"/>
        </w:rPr>
        <w:t>年度第</w:t>
      </w:r>
      <w:r w:rsidRPr="00AB2AD1">
        <w:rPr>
          <w:rFonts w:hAnsi="標楷體" w:cs="標楷體"/>
          <w:bCs/>
          <w:kern w:val="0"/>
          <w:szCs w:val="32"/>
        </w:rPr>
        <w:t>1</w:t>
      </w:r>
      <w:r w:rsidRPr="00AB2AD1">
        <w:rPr>
          <w:rFonts w:hAnsi="標楷體" w:cs="標楷體" w:hint="eastAsia"/>
          <w:bCs/>
          <w:kern w:val="0"/>
          <w:szCs w:val="32"/>
        </w:rPr>
        <w:t>次臨時會議，星能提出「有關購售電合約燃料成本費率即時反應之爭議，律</w:t>
      </w:r>
      <w:r w:rsidR="00FA2DF4" w:rsidRPr="00AB2AD1">
        <w:rPr>
          <w:rFonts w:hAnsi="標楷體" w:cs="標楷體" w:hint="eastAsia"/>
          <w:bCs/>
          <w:kern w:val="0"/>
          <w:szCs w:val="32"/>
        </w:rPr>
        <w:t>師</w:t>
      </w:r>
      <w:r w:rsidRPr="00AB2AD1">
        <w:rPr>
          <w:rFonts w:hAnsi="標楷體" w:cs="標楷體" w:hint="eastAsia"/>
          <w:bCs/>
          <w:kern w:val="0"/>
          <w:szCs w:val="32"/>
        </w:rPr>
        <w:t>所提情事變更、誠信原則及違反公平交易等項，台電並無明顯違反之情形，加上經本公司高層與台電高層交換意見，台電面臨虧損狀態，如同意恐有圖利廠商之嫌，建議不妨朝訂定落日條款的方向思考。」</w:t>
      </w:r>
      <w:r w:rsidR="002C7095" w:rsidRPr="00AB2AD1">
        <w:rPr>
          <w:rFonts w:hAnsi="標楷體" w:cs="標楷體" w:hint="eastAsia"/>
          <w:bCs/>
          <w:kern w:val="0"/>
          <w:szCs w:val="32"/>
        </w:rPr>
        <w:t>之臨時動議，並經</w:t>
      </w:r>
      <w:r w:rsidRPr="00AB2AD1">
        <w:rPr>
          <w:rFonts w:hAnsi="標楷體" w:cs="標楷體" w:hint="eastAsia"/>
          <w:bCs/>
          <w:kern w:val="0"/>
          <w:szCs w:val="32"/>
        </w:rPr>
        <w:t>決議：</w:t>
      </w:r>
      <w:r w:rsidR="002C7095" w:rsidRPr="00AB2AD1">
        <w:rPr>
          <w:rFonts w:hAnsi="標楷體" w:cs="標楷體" w:hint="eastAsia"/>
          <w:bCs/>
          <w:kern w:val="0"/>
          <w:szCs w:val="32"/>
        </w:rPr>
        <w:t>「</w:t>
      </w:r>
      <w:r w:rsidRPr="00AB2AD1">
        <w:rPr>
          <w:rFonts w:hAnsi="標楷體" w:cs="標楷體" w:hint="eastAsia"/>
          <w:bCs/>
          <w:kern w:val="0"/>
          <w:szCs w:val="32"/>
        </w:rPr>
        <w:t>本案暫緩推動。</w:t>
      </w:r>
      <w:r w:rsidR="002C7095"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6年4月20日新桃召開協進會</w:t>
      </w:r>
      <w:r w:rsidRPr="00AB2AD1">
        <w:rPr>
          <w:rFonts w:hAnsi="標楷體" w:cs="標楷體"/>
          <w:bCs/>
          <w:kern w:val="0"/>
          <w:szCs w:val="32"/>
        </w:rPr>
        <w:t>96</w:t>
      </w:r>
      <w:r w:rsidRPr="00AB2AD1">
        <w:rPr>
          <w:rFonts w:hAnsi="標楷體" w:cs="標楷體" w:hint="eastAsia"/>
          <w:bCs/>
          <w:kern w:val="0"/>
          <w:szCs w:val="32"/>
        </w:rPr>
        <w:t>年度第</w:t>
      </w:r>
      <w:r w:rsidRPr="00AB2AD1">
        <w:rPr>
          <w:rFonts w:hAnsi="標楷體" w:cs="標楷體"/>
          <w:bCs/>
          <w:kern w:val="0"/>
          <w:szCs w:val="32"/>
        </w:rPr>
        <w:t>1</w:t>
      </w:r>
      <w:r w:rsidRPr="00AB2AD1">
        <w:rPr>
          <w:rFonts w:hAnsi="標楷體" w:cs="標楷體" w:hint="eastAsia"/>
          <w:bCs/>
          <w:kern w:val="0"/>
          <w:szCs w:val="32"/>
        </w:rPr>
        <w:t>次臨時會議時(星元參加本次會議，9家</w:t>
      </w:r>
      <w:r w:rsidR="00FC106F" w:rsidRPr="00AB2AD1">
        <w:rPr>
          <w:rFonts w:hAnsi="標楷體" w:cs="標楷體" w:hint="eastAsia"/>
          <w:bCs/>
          <w:kern w:val="0"/>
          <w:szCs w:val="32"/>
        </w:rPr>
        <w:t>發電業者</w:t>
      </w:r>
      <w:r w:rsidRPr="00AB2AD1">
        <w:rPr>
          <w:rFonts w:hAnsi="標楷體" w:cs="標楷體" w:hint="eastAsia"/>
          <w:bCs/>
          <w:kern w:val="0"/>
          <w:szCs w:val="32"/>
        </w:rPr>
        <w:t>與會)，討論議題一略以：「</w:t>
      </w:r>
      <w:r w:rsidRPr="00AB2AD1">
        <w:rPr>
          <w:rFonts w:hAnsi="標楷體" w:cs="標楷體"/>
          <w:bCs/>
          <w:kern w:val="0"/>
          <w:szCs w:val="32"/>
        </w:rPr>
        <w:t>9</w:t>
      </w:r>
      <w:r w:rsidRPr="00AB2AD1">
        <w:rPr>
          <w:rFonts w:hAnsi="標楷體" w:cs="標楷體" w:hint="eastAsia"/>
          <w:bCs/>
          <w:kern w:val="0"/>
          <w:szCs w:val="32"/>
        </w:rPr>
        <w:t>6年5月3日能源局將召開購售電合約涉及天然氣價格調整機制等問題協調會，推派森霸董事長代表各業者簡報說明，並委請律師出席，費用由</w:t>
      </w:r>
      <w:r w:rsidRPr="00AB2AD1">
        <w:rPr>
          <w:rFonts w:hAnsi="標楷體" w:cs="標楷體"/>
          <w:bCs/>
          <w:kern w:val="0"/>
          <w:szCs w:val="32"/>
        </w:rPr>
        <w:t>7</w:t>
      </w:r>
      <w:r w:rsidRPr="00AB2AD1">
        <w:rPr>
          <w:rFonts w:hAnsi="標楷體" w:cs="標楷體" w:hint="eastAsia"/>
          <w:bCs/>
          <w:kern w:val="0"/>
          <w:szCs w:val="32"/>
        </w:rPr>
        <w:t>家燃氣</w:t>
      </w:r>
      <w:r w:rsidR="002C7095" w:rsidRPr="00AB2AD1">
        <w:rPr>
          <w:rFonts w:hAnsi="標楷體" w:cs="標楷體" w:hint="eastAsia"/>
          <w:bCs/>
          <w:kern w:val="0"/>
          <w:szCs w:val="32"/>
        </w:rPr>
        <w:t>業者</w:t>
      </w:r>
      <w:r w:rsidRPr="00AB2AD1">
        <w:rPr>
          <w:rFonts w:hAnsi="標楷體" w:cs="標楷體" w:hint="eastAsia"/>
          <w:bCs/>
          <w:kern w:val="0"/>
          <w:szCs w:val="32"/>
        </w:rPr>
        <w:t>分攤。」5月3日能源局即召開會議，並決議於</w:t>
      </w:r>
      <w:r w:rsidRPr="00AB2AD1">
        <w:rPr>
          <w:rFonts w:hAnsi="標楷體" w:cs="標楷體"/>
          <w:bCs/>
          <w:kern w:val="0"/>
          <w:szCs w:val="32"/>
        </w:rPr>
        <w:t>96</w:t>
      </w:r>
      <w:r w:rsidRPr="00AB2AD1">
        <w:rPr>
          <w:rFonts w:hAnsi="標楷體" w:cs="標楷體" w:hint="eastAsia"/>
          <w:bCs/>
          <w:kern w:val="0"/>
          <w:szCs w:val="32"/>
        </w:rPr>
        <w:t>年底前完成研究並與業者協商。6月29日台電公司委託財團法人台灣經濟研究院(下稱台經院)進行建立「</w:t>
      </w:r>
      <w:r w:rsidR="00FA2DF4" w:rsidRPr="00AB2AD1">
        <w:rPr>
          <w:rFonts w:hAnsi="標楷體" w:cs="標楷體" w:hint="eastAsia"/>
          <w:bCs/>
          <w:kern w:val="0"/>
          <w:szCs w:val="32"/>
        </w:rPr>
        <w:t>民營發電業者</w:t>
      </w:r>
      <w:r w:rsidRPr="00AB2AD1">
        <w:rPr>
          <w:rFonts w:hAnsi="標楷體" w:cs="標楷體" w:hint="eastAsia"/>
          <w:bCs/>
          <w:kern w:val="0"/>
          <w:szCs w:val="32"/>
        </w:rPr>
        <w:t>購電價格隨利率浮動調整機制之研究」。</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lastRenderedPageBreak/>
        <w:t>9</w:t>
      </w:r>
      <w:r w:rsidRPr="00AB2AD1">
        <w:rPr>
          <w:rFonts w:hAnsi="標楷體" w:cs="標楷體" w:hint="eastAsia"/>
          <w:bCs/>
          <w:kern w:val="0"/>
          <w:szCs w:val="32"/>
        </w:rPr>
        <w:t>6年8月17日國光召開協進會</w:t>
      </w:r>
      <w:r w:rsidRPr="00AB2AD1">
        <w:rPr>
          <w:rFonts w:hAnsi="標楷體" w:cs="標楷體"/>
          <w:bCs/>
          <w:kern w:val="0"/>
          <w:szCs w:val="32"/>
        </w:rPr>
        <w:t>96</w:t>
      </w:r>
      <w:r w:rsidRPr="00AB2AD1">
        <w:rPr>
          <w:rFonts w:hAnsi="標楷體" w:cs="標楷體" w:hint="eastAsia"/>
          <w:bCs/>
          <w:kern w:val="0"/>
          <w:szCs w:val="32"/>
        </w:rPr>
        <w:t>年度第</w:t>
      </w:r>
      <w:r w:rsidRPr="00AB2AD1">
        <w:rPr>
          <w:rFonts w:hAnsi="標楷體" w:cs="標楷體"/>
          <w:bCs/>
          <w:kern w:val="0"/>
          <w:szCs w:val="32"/>
        </w:rPr>
        <w:t>3</w:t>
      </w:r>
      <w:r w:rsidRPr="00AB2AD1">
        <w:rPr>
          <w:rFonts w:hAnsi="標楷體" w:cs="標楷體" w:hint="eastAsia"/>
          <w:bCs/>
          <w:kern w:val="0"/>
          <w:szCs w:val="32"/>
        </w:rPr>
        <w:t>次臨時會議，其議題一「購電費率調整機制建議方案」決議：</w:t>
      </w:r>
      <w:r w:rsidR="002C7095" w:rsidRPr="00AB2AD1">
        <w:rPr>
          <w:rFonts w:hAnsi="標楷體" w:cs="標楷體" w:hint="eastAsia"/>
          <w:bCs/>
          <w:kern w:val="0"/>
          <w:szCs w:val="32"/>
        </w:rPr>
        <w:t>「</w:t>
      </w:r>
      <w:r w:rsidRPr="00AB2AD1">
        <w:rPr>
          <w:rFonts w:hAnsi="標楷體" w:cs="標楷體" w:hint="eastAsia"/>
          <w:bCs/>
          <w:kern w:val="0"/>
          <w:szCs w:val="32"/>
        </w:rPr>
        <w:t>國光負責製作計算公式文字說明後，作為與台電協商之依據；</w:t>
      </w:r>
      <w:r w:rsidRPr="00AB2AD1">
        <w:rPr>
          <w:rFonts w:hAnsi="標楷體" w:cs="標楷體"/>
          <w:bCs/>
          <w:kern w:val="0"/>
          <w:szCs w:val="32"/>
        </w:rPr>
        <w:t>8</w:t>
      </w:r>
      <w:r w:rsidRPr="00AB2AD1">
        <w:rPr>
          <w:rFonts w:hAnsi="標楷體" w:cs="標楷體" w:hint="eastAsia"/>
          <w:bCs/>
          <w:kern w:val="0"/>
          <w:szCs w:val="32"/>
        </w:rPr>
        <w:t>月</w:t>
      </w:r>
      <w:r w:rsidRPr="00AB2AD1">
        <w:rPr>
          <w:rFonts w:hAnsi="標楷體" w:cs="標楷體"/>
          <w:bCs/>
          <w:kern w:val="0"/>
          <w:szCs w:val="32"/>
        </w:rPr>
        <w:t>20</w:t>
      </w:r>
      <w:r w:rsidRPr="00AB2AD1">
        <w:rPr>
          <w:rFonts w:hAnsi="標楷體" w:cs="標楷體" w:hint="eastAsia"/>
          <w:bCs/>
          <w:kern w:val="0"/>
          <w:szCs w:val="32"/>
        </w:rPr>
        <w:t>日會中台電若提出不同意見時，各</w:t>
      </w:r>
      <w:r w:rsidR="00FA2DF4" w:rsidRPr="00AB2AD1">
        <w:rPr>
          <w:rFonts w:hAnsi="標楷體" w:cs="標楷體" w:hint="eastAsia"/>
          <w:bCs/>
          <w:kern w:val="0"/>
          <w:szCs w:val="32"/>
        </w:rPr>
        <w:t>業者於</w:t>
      </w:r>
      <w:r w:rsidRPr="00AB2AD1">
        <w:rPr>
          <w:rFonts w:hAnsi="標楷體" w:cs="標楷體" w:hint="eastAsia"/>
          <w:bCs/>
          <w:kern w:val="0"/>
          <w:szCs w:val="32"/>
        </w:rPr>
        <w:t>會中不作任何回應，或將台電意見帶回討論，或日後轉向經濟部繼續爭取。</w:t>
      </w:r>
      <w:r w:rsidR="002C7095" w:rsidRPr="00AB2AD1">
        <w:rPr>
          <w:rFonts w:hAnsi="標楷體" w:cs="標楷體" w:hint="eastAsia"/>
          <w:bCs/>
          <w:kern w:val="0"/>
          <w:szCs w:val="32"/>
        </w:rPr>
        <w:t>」</w:t>
      </w:r>
      <w:r w:rsidRPr="00AB2AD1">
        <w:rPr>
          <w:rFonts w:hAnsi="標楷體" w:cs="標楷體"/>
          <w:bCs/>
          <w:kern w:val="0"/>
          <w:szCs w:val="32"/>
        </w:rPr>
        <w:t>8</w:t>
      </w:r>
      <w:r w:rsidRPr="00AB2AD1">
        <w:rPr>
          <w:rFonts w:hAnsi="標楷體" w:cs="標楷體" w:hint="eastAsia"/>
          <w:bCs/>
          <w:kern w:val="0"/>
          <w:szCs w:val="32"/>
        </w:rPr>
        <w:t>月</w:t>
      </w:r>
      <w:r w:rsidRPr="00AB2AD1">
        <w:rPr>
          <w:rFonts w:hAnsi="標楷體" w:cs="標楷體"/>
          <w:bCs/>
          <w:kern w:val="0"/>
          <w:szCs w:val="32"/>
        </w:rPr>
        <w:t>20</w:t>
      </w:r>
      <w:r w:rsidRPr="00AB2AD1">
        <w:rPr>
          <w:rFonts w:hAnsi="標楷體" w:cs="標楷體" w:hint="eastAsia"/>
          <w:bCs/>
          <w:kern w:val="0"/>
          <w:szCs w:val="32"/>
        </w:rPr>
        <w:t>日及</w:t>
      </w:r>
      <w:r w:rsidRPr="00AB2AD1">
        <w:rPr>
          <w:rFonts w:hAnsi="標楷體" w:cs="標楷體"/>
          <w:bCs/>
          <w:kern w:val="0"/>
          <w:szCs w:val="32"/>
        </w:rPr>
        <w:t>8</w:t>
      </w:r>
      <w:r w:rsidRPr="00AB2AD1">
        <w:rPr>
          <w:rFonts w:hAnsi="標楷體" w:cs="標楷體" w:hint="eastAsia"/>
          <w:bCs/>
          <w:kern w:val="0"/>
          <w:szCs w:val="32"/>
        </w:rPr>
        <w:t>月</w:t>
      </w:r>
      <w:r w:rsidRPr="00AB2AD1">
        <w:rPr>
          <w:rFonts w:hAnsi="標楷體" w:cs="標楷體"/>
          <w:bCs/>
          <w:kern w:val="0"/>
          <w:szCs w:val="32"/>
        </w:rPr>
        <w:t>2</w:t>
      </w:r>
      <w:r w:rsidRPr="00AB2AD1">
        <w:rPr>
          <w:rFonts w:hAnsi="標楷體" w:cs="標楷體" w:hint="eastAsia"/>
          <w:bCs/>
          <w:kern w:val="0"/>
          <w:szCs w:val="32"/>
        </w:rPr>
        <w:t>3</w:t>
      </w:r>
      <w:r w:rsidR="00FA2DF4" w:rsidRPr="00AB2AD1">
        <w:rPr>
          <w:rFonts w:hAnsi="標楷體" w:cs="標楷體" w:hint="eastAsia"/>
          <w:bCs/>
          <w:kern w:val="0"/>
          <w:szCs w:val="32"/>
        </w:rPr>
        <w:t>日</w:t>
      </w:r>
      <w:r w:rsidRPr="00AB2AD1">
        <w:rPr>
          <w:rFonts w:hAnsi="標楷體" w:cs="標楷體" w:hint="eastAsia"/>
          <w:bCs/>
          <w:kern w:val="0"/>
          <w:szCs w:val="32"/>
        </w:rPr>
        <w:t>台電公司召開「燃氣</w:t>
      </w:r>
      <w:r w:rsidR="002C7095" w:rsidRPr="00AB2AD1">
        <w:rPr>
          <w:rFonts w:hAnsi="標楷體" w:cs="標楷體" w:hint="eastAsia"/>
          <w:bCs/>
          <w:kern w:val="0"/>
          <w:szCs w:val="32"/>
        </w:rPr>
        <w:t>業者</w:t>
      </w:r>
      <w:r w:rsidRPr="00AB2AD1">
        <w:rPr>
          <w:rFonts w:hAnsi="標楷體" w:cs="標楷體" w:hint="eastAsia"/>
          <w:bCs/>
          <w:kern w:val="0"/>
          <w:szCs w:val="32"/>
        </w:rPr>
        <w:t>燃料成本費率調整方式」協商會議，</w:t>
      </w:r>
      <w:r w:rsidR="002C7095" w:rsidRPr="00AB2AD1">
        <w:rPr>
          <w:rFonts w:hAnsi="標楷體" w:cs="標楷體" w:hint="eastAsia"/>
          <w:bCs/>
          <w:kern w:val="0"/>
          <w:szCs w:val="32"/>
        </w:rPr>
        <w:t>並</w:t>
      </w:r>
      <w:r w:rsidRPr="00AB2AD1">
        <w:rPr>
          <w:rFonts w:hAnsi="標楷體" w:cs="標楷體" w:hint="eastAsia"/>
          <w:bCs/>
          <w:kern w:val="0"/>
          <w:szCs w:val="32"/>
        </w:rPr>
        <w:t>決議就業者所提方案進行檢討試算及繼續協商等事項</w:t>
      </w:r>
      <w:r w:rsidR="002C7095" w:rsidRPr="00AB2AD1">
        <w:rPr>
          <w:rFonts w:hAnsi="標楷體" w:cs="標楷體" w:hint="eastAsia"/>
          <w:bCs/>
          <w:kern w:val="0"/>
          <w:szCs w:val="32"/>
        </w:rPr>
        <w:t>。</w:t>
      </w:r>
      <w:r w:rsidRPr="00AB2AD1">
        <w:rPr>
          <w:rFonts w:hAnsi="標楷體" w:cs="標楷體" w:hint="eastAsia"/>
          <w:bCs/>
          <w:kern w:val="0"/>
          <w:szCs w:val="32"/>
        </w:rPr>
        <w:t>9月11日</w:t>
      </w:r>
      <w:r w:rsidR="00FA2DF4" w:rsidRPr="00AB2AD1">
        <w:rPr>
          <w:rFonts w:hAnsi="標楷體" w:cs="標楷體" w:hint="eastAsia"/>
          <w:bCs/>
          <w:kern w:val="0"/>
          <w:szCs w:val="32"/>
        </w:rPr>
        <w:t>台電公</w:t>
      </w:r>
      <w:r w:rsidR="00831444" w:rsidRPr="00AB2AD1">
        <w:rPr>
          <w:rFonts w:hAnsi="標楷體" w:cs="標楷體" w:hint="eastAsia"/>
          <w:bCs/>
          <w:kern w:val="0"/>
          <w:szCs w:val="32"/>
        </w:rPr>
        <w:t>司</w:t>
      </w:r>
      <w:r w:rsidR="002C7095" w:rsidRPr="00AB2AD1">
        <w:rPr>
          <w:rFonts w:hAnsi="標楷體" w:cs="標楷體" w:hint="eastAsia"/>
          <w:bCs/>
          <w:kern w:val="0"/>
          <w:szCs w:val="32"/>
        </w:rPr>
        <w:t>再召開</w:t>
      </w:r>
      <w:r w:rsidRPr="00AB2AD1">
        <w:rPr>
          <w:rFonts w:hAnsi="標楷體" w:cs="標楷體" w:hint="eastAsia"/>
          <w:bCs/>
          <w:kern w:val="0"/>
          <w:szCs w:val="32"/>
        </w:rPr>
        <w:t>協商會議，並決議請經濟部進行協處。</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6年10月29日經濟部召開「購售電合約燃料成本費率調整機制協</w:t>
      </w:r>
      <w:r w:rsidR="00FA2DF4" w:rsidRPr="00AB2AD1">
        <w:rPr>
          <w:rFonts w:hAnsi="標楷體" w:cs="標楷體" w:hint="eastAsia"/>
          <w:bCs/>
          <w:kern w:val="0"/>
          <w:szCs w:val="32"/>
        </w:rPr>
        <w:t>處</w:t>
      </w:r>
      <w:r w:rsidRPr="00AB2AD1">
        <w:rPr>
          <w:rFonts w:hAnsi="標楷體" w:cs="標楷體" w:hint="eastAsia"/>
          <w:bCs/>
          <w:kern w:val="0"/>
          <w:szCs w:val="32"/>
        </w:rPr>
        <w:t>會議」，協</w:t>
      </w:r>
      <w:r w:rsidR="00FA2DF4" w:rsidRPr="00AB2AD1">
        <w:rPr>
          <w:rFonts w:hAnsi="標楷體" w:cs="標楷體" w:hint="eastAsia"/>
          <w:bCs/>
          <w:kern w:val="0"/>
          <w:szCs w:val="32"/>
        </w:rPr>
        <w:t>處</w:t>
      </w:r>
      <w:r w:rsidRPr="00AB2AD1">
        <w:rPr>
          <w:rFonts w:hAnsi="標楷體" w:cs="標楷體" w:hint="eastAsia"/>
          <w:bCs/>
          <w:kern w:val="0"/>
          <w:szCs w:val="32"/>
        </w:rPr>
        <w:t>結果：</w:t>
      </w:r>
      <w:r w:rsidR="002C7095" w:rsidRPr="00AB2AD1">
        <w:rPr>
          <w:rFonts w:hAnsi="標楷體" w:cs="標楷體" w:hint="eastAsia"/>
          <w:bCs/>
          <w:kern w:val="0"/>
          <w:szCs w:val="32"/>
        </w:rPr>
        <w:t>「</w:t>
      </w:r>
      <w:r w:rsidRPr="00AB2AD1">
        <w:rPr>
          <w:rFonts w:hAnsi="標楷體" w:cs="標楷體" w:hint="eastAsia"/>
          <w:bCs/>
          <w:kern w:val="0"/>
          <w:szCs w:val="32"/>
        </w:rPr>
        <w:t>有關購售電合約燃料成本費率調整機制，合約雙方已合意改按中油公司公告之發電用天然氣平均熱值成本即時調整，並合意自</w:t>
      </w:r>
      <w:r w:rsidRPr="00AB2AD1">
        <w:rPr>
          <w:rFonts w:hAnsi="標楷體" w:cs="標楷體"/>
          <w:bCs/>
          <w:kern w:val="0"/>
          <w:szCs w:val="32"/>
        </w:rPr>
        <w:t>9</w:t>
      </w:r>
      <w:r w:rsidRPr="00AB2AD1">
        <w:rPr>
          <w:rFonts w:hAnsi="標楷體" w:cs="標楷體" w:hint="eastAsia"/>
          <w:bCs/>
          <w:kern w:val="0"/>
          <w:szCs w:val="32"/>
        </w:rPr>
        <w:t>6年10月9日起實施，且不溯及既往。</w:t>
      </w:r>
      <w:r w:rsidR="002C7095"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96年12月底</w:t>
      </w:r>
      <w:r w:rsidRPr="00AB2AD1">
        <w:rPr>
          <w:rFonts w:hAnsi="標楷體" w:cs="標楷體" w:hint="eastAsia"/>
          <w:bCs/>
          <w:kern w:val="0"/>
          <w:szCs w:val="32"/>
        </w:rPr>
        <w:t>台經院提出</w:t>
      </w:r>
      <w:r w:rsidRPr="00AB2AD1">
        <w:rPr>
          <w:rFonts w:hAnsi="標楷體" w:cs="標楷體"/>
          <w:bCs/>
          <w:kern w:val="0"/>
          <w:szCs w:val="32"/>
        </w:rPr>
        <w:t>研究報告之結論建議</w:t>
      </w:r>
      <w:r w:rsidRPr="00AB2AD1">
        <w:rPr>
          <w:rFonts w:hAnsi="標楷體" w:cs="標楷體" w:hint="eastAsia"/>
          <w:bCs/>
          <w:kern w:val="0"/>
          <w:szCs w:val="32"/>
        </w:rPr>
        <w:t>略以</w:t>
      </w:r>
      <w:r w:rsidRPr="00AB2AD1">
        <w:rPr>
          <w:rFonts w:hAnsi="標楷體" w:cs="標楷體"/>
          <w:bCs/>
          <w:kern w:val="0"/>
          <w:szCs w:val="32"/>
        </w:rPr>
        <w:t>：「…縮短燃料成本反映時間對既設</w:t>
      </w:r>
      <w:r w:rsidRPr="00AB2AD1">
        <w:rPr>
          <w:rFonts w:hAnsi="標楷體" w:cs="標楷體" w:hint="eastAsia"/>
          <w:bCs/>
          <w:kern w:val="0"/>
          <w:szCs w:val="32"/>
        </w:rPr>
        <w:t>民營</w:t>
      </w:r>
      <w:r w:rsidR="00FC106F" w:rsidRPr="00AB2AD1">
        <w:rPr>
          <w:rFonts w:hAnsi="標楷體" w:cs="標楷體" w:hint="eastAsia"/>
          <w:bCs/>
          <w:kern w:val="0"/>
          <w:szCs w:val="32"/>
        </w:rPr>
        <w:t>發電業者</w:t>
      </w:r>
      <w:r w:rsidRPr="00AB2AD1">
        <w:rPr>
          <w:rFonts w:hAnsi="標楷體" w:cs="標楷體"/>
          <w:bCs/>
          <w:kern w:val="0"/>
          <w:szCs w:val="32"/>
        </w:rPr>
        <w:t>較有利；納入利率調整機制對台電較有利，…建議針對既設</w:t>
      </w:r>
      <w:r w:rsidRPr="00AB2AD1">
        <w:rPr>
          <w:rFonts w:hAnsi="標楷體" w:cs="標楷體" w:hint="eastAsia"/>
          <w:bCs/>
          <w:kern w:val="0"/>
          <w:szCs w:val="32"/>
        </w:rPr>
        <w:t>民營</w:t>
      </w:r>
      <w:r w:rsidR="00FC106F" w:rsidRPr="00AB2AD1">
        <w:rPr>
          <w:rFonts w:hAnsi="標楷體" w:cs="標楷體" w:hint="eastAsia"/>
          <w:bCs/>
          <w:kern w:val="0"/>
          <w:szCs w:val="32"/>
        </w:rPr>
        <w:t>發電業者</w:t>
      </w:r>
      <w:r w:rsidRPr="00AB2AD1">
        <w:rPr>
          <w:rFonts w:hAnsi="標楷體" w:cs="標楷體"/>
          <w:bCs/>
          <w:kern w:val="0"/>
          <w:szCs w:val="32"/>
        </w:rPr>
        <w:t>，合約可將此二項修正一併討論配套執行，不宜單獨納入其中任一項。」</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97</w:t>
      </w:r>
      <w:r w:rsidRPr="00AB2AD1">
        <w:rPr>
          <w:rFonts w:hAnsi="標楷體" w:cs="標楷體" w:hint="eastAsia"/>
          <w:bCs/>
          <w:kern w:val="0"/>
          <w:szCs w:val="32"/>
        </w:rPr>
        <w:t>年</w:t>
      </w:r>
      <w:r w:rsidRPr="00AB2AD1">
        <w:rPr>
          <w:rFonts w:hAnsi="標楷體" w:cs="標楷體"/>
          <w:bCs/>
          <w:kern w:val="0"/>
          <w:szCs w:val="32"/>
        </w:rPr>
        <w:t>3</w:t>
      </w:r>
      <w:r w:rsidRPr="00AB2AD1">
        <w:rPr>
          <w:rFonts w:hAnsi="標楷體" w:cs="標楷體" w:hint="eastAsia"/>
          <w:bCs/>
          <w:kern w:val="0"/>
          <w:szCs w:val="32"/>
        </w:rPr>
        <w:t>月</w:t>
      </w:r>
      <w:r w:rsidRPr="00AB2AD1">
        <w:rPr>
          <w:rFonts w:hAnsi="標楷體" w:cs="標楷體"/>
          <w:bCs/>
          <w:kern w:val="0"/>
          <w:szCs w:val="32"/>
        </w:rPr>
        <w:t>14</w:t>
      </w:r>
      <w:r w:rsidRPr="00AB2AD1">
        <w:rPr>
          <w:rFonts w:hAnsi="標楷體" w:cs="標楷體" w:hint="eastAsia"/>
          <w:bCs/>
          <w:kern w:val="0"/>
          <w:szCs w:val="32"/>
        </w:rPr>
        <w:t>日及</w:t>
      </w:r>
      <w:r w:rsidRPr="00AB2AD1">
        <w:rPr>
          <w:rFonts w:hAnsi="標楷體" w:cs="標楷體"/>
          <w:bCs/>
          <w:kern w:val="0"/>
          <w:szCs w:val="32"/>
        </w:rPr>
        <w:t>4</w:t>
      </w:r>
      <w:r w:rsidRPr="00AB2AD1">
        <w:rPr>
          <w:rFonts w:hAnsi="標楷體" w:cs="標楷體" w:hint="eastAsia"/>
          <w:bCs/>
          <w:kern w:val="0"/>
          <w:szCs w:val="32"/>
        </w:rPr>
        <w:t>月</w:t>
      </w:r>
      <w:r w:rsidRPr="00AB2AD1">
        <w:rPr>
          <w:rFonts w:hAnsi="標楷體" w:cs="標楷體"/>
          <w:bCs/>
          <w:kern w:val="0"/>
          <w:szCs w:val="32"/>
        </w:rPr>
        <w:t>29</w:t>
      </w:r>
      <w:r w:rsidRPr="00AB2AD1">
        <w:rPr>
          <w:rFonts w:hAnsi="標楷體" w:cs="標楷體" w:hint="eastAsia"/>
          <w:bCs/>
          <w:kern w:val="0"/>
          <w:szCs w:val="32"/>
        </w:rPr>
        <w:t>日台電公司召開「燃煤</w:t>
      </w:r>
      <w:r w:rsidR="00FA2DF4" w:rsidRPr="00AB2AD1">
        <w:rPr>
          <w:rFonts w:hAnsi="標楷體" w:cs="標楷體" w:hint="eastAsia"/>
          <w:bCs/>
          <w:kern w:val="0"/>
          <w:szCs w:val="32"/>
        </w:rPr>
        <w:t>發電業者</w:t>
      </w:r>
      <w:r w:rsidRPr="00AB2AD1">
        <w:rPr>
          <w:rFonts w:hAnsi="標楷體" w:cs="標楷體" w:hint="eastAsia"/>
          <w:bCs/>
          <w:kern w:val="0"/>
          <w:szCs w:val="32"/>
        </w:rPr>
        <w:t>燃料成本費率調整機制溝通協商會議」，</w:t>
      </w:r>
      <w:r w:rsidR="007A103B" w:rsidRPr="00AB2AD1">
        <w:rPr>
          <w:rFonts w:hAnsi="標楷體" w:cs="標楷體" w:hint="eastAsia"/>
          <w:bCs/>
          <w:kern w:val="0"/>
          <w:szCs w:val="32"/>
        </w:rPr>
        <w:t>並</w:t>
      </w:r>
      <w:r w:rsidRPr="00AB2AD1">
        <w:rPr>
          <w:rFonts w:hAnsi="標楷體" w:cs="標楷體" w:hint="eastAsia"/>
          <w:bCs/>
          <w:kern w:val="0"/>
          <w:szCs w:val="32"/>
        </w:rPr>
        <w:t>決議未來應就影響</w:t>
      </w:r>
      <w:r w:rsidR="00F00817" w:rsidRPr="00AB2AD1">
        <w:rPr>
          <w:rFonts w:hAnsi="標楷體" w:cs="標楷體" w:hint="eastAsia"/>
          <w:bCs/>
          <w:kern w:val="0"/>
          <w:szCs w:val="32"/>
        </w:rPr>
        <w:t>購電費率</w:t>
      </w:r>
      <w:r w:rsidRPr="00AB2AD1">
        <w:rPr>
          <w:rFonts w:hAnsi="標楷體" w:cs="標楷體" w:hint="eastAsia"/>
          <w:bCs/>
          <w:kern w:val="0"/>
          <w:szCs w:val="32"/>
        </w:rPr>
        <w:t>之各項因素繼續協商，並同意燃煤民營電廠之燃料成本調整自</w:t>
      </w:r>
      <w:r w:rsidRPr="00AB2AD1">
        <w:rPr>
          <w:rFonts w:hAnsi="標楷體" w:cs="標楷體"/>
          <w:bCs/>
          <w:kern w:val="0"/>
          <w:szCs w:val="32"/>
        </w:rPr>
        <w:t>97</w:t>
      </w:r>
      <w:r w:rsidRPr="00AB2AD1">
        <w:rPr>
          <w:rFonts w:hAnsi="標楷體" w:cs="標楷體" w:hint="eastAsia"/>
          <w:bCs/>
          <w:kern w:val="0"/>
          <w:szCs w:val="32"/>
        </w:rPr>
        <w:t>年5月</w:t>
      </w:r>
      <w:r w:rsidRPr="00AB2AD1">
        <w:rPr>
          <w:rFonts w:hAnsi="標楷體" w:cs="標楷體"/>
          <w:bCs/>
          <w:kern w:val="0"/>
          <w:szCs w:val="32"/>
        </w:rPr>
        <w:t>1</w:t>
      </w:r>
      <w:r w:rsidRPr="00AB2AD1">
        <w:rPr>
          <w:rFonts w:hAnsi="標楷體" w:cs="標楷體" w:hint="eastAsia"/>
          <w:bCs/>
          <w:kern w:val="0"/>
          <w:szCs w:val="32"/>
        </w:rPr>
        <w:t>2日起實施，落差</w:t>
      </w:r>
      <w:r w:rsidR="00F530B5" w:rsidRPr="00AB2AD1">
        <w:rPr>
          <w:rFonts w:hAnsi="標楷體" w:cs="標楷體" w:hint="eastAsia"/>
          <w:bCs/>
          <w:kern w:val="0"/>
          <w:szCs w:val="32"/>
        </w:rPr>
        <w:t>1</w:t>
      </w:r>
      <w:r w:rsidRPr="00AB2AD1">
        <w:rPr>
          <w:rFonts w:hAnsi="標楷體" w:cs="標楷體" w:hint="eastAsia"/>
          <w:bCs/>
          <w:kern w:val="0"/>
          <w:szCs w:val="32"/>
        </w:rPr>
        <w:t>年半調整為落差</w:t>
      </w:r>
      <w:r w:rsidR="00F530B5" w:rsidRPr="00AB2AD1">
        <w:rPr>
          <w:rFonts w:hAnsi="標楷體" w:cs="標楷體" w:hint="eastAsia"/>
          <w:bCs/>
          <w:kern w:val="0"/>
          <w:szCs w:val="32"/>
        </w:rPr>
        <w:t>1</w:t>
      </w:r>
      <w:r w:rsidRPr="00AB2AD1">
        <w:rPr>
          <w:rFonts w:hAnsi="標楷體" w:cs="標楷體" w:hint="eastAsia"/>
          <w:bCs/>
          <w:kern w:val="0"/>
          <w:szCs w:val="32"/>
        </w:rPr>
        <w:t>年。期間</w:t>
      </w:r>
      <w:r w:rsidRPr="00AB2AD1">
        <w:rPr>
          <w:rFonts w:hAnsi="標楷體" w:cs="標楷體"/>
          <w:bCs/>
          <w:kern w:val="0"/>
          <w:szCs w:val="32"/>
        </w:rPr>
        <w:t>3</w:t>
      </w:r>
      <w:r w:rsidRPr="00AB2AD1">
        <w:rPr>
          <w:rFonts w:hAnsi="標楷體" w:cs="標楷體" w:hint="eastAsia"/>
          <w:bCs/>
          <w:kern w:val="0"/>
          <w:szCs w:val="32"/>
        </w:rPr>
        <w:t>月2</w:t>
      </w:r>
      <w:r w:rsidRPr="00AB2AD1">
        <w:rPr>
          <w:rFonts w:hAnsi="標楷體" w:cs="標楷體"/>
          <w:bCs/>
          <w:kern w:val="0"/>
          <w:szCs w:val="32"/>
        </w:rPr>
        <w:t>4</w:t>
      </w:r>
      <w:r w:rsidRPr="00AB2AD1">
        <w:rPr>
          <w:rFonts w:hAnsi="標楷體" w:cs="標楷體" w:hint="eastAsia"/>
          <w:bCs/>
          <w:kern w:val="0"/>
          <w:szCs w:val="32"/>
        </w:rPr>
        <w:t>日嘉惠召開協進會</w:t>
      </w:r>
      <w:r w:rsidRPr="00AB2AD1">
        <w:rPr>
          <w:rFonts w:hAnsi="標楷體" w:cs="標楷體"/>
          <w:bCs/>
          <w:kern w:val="0"/>
          <w:szCs w:val="32"/>
        </w:rPr>
        <w:t>9</w:t>
      </w:r>
      <w:r w:rsidRPr="00AB2AD1">
        <w:rPr>
          <w:rFonts w:hAnsi="標楷體" w:cs="標楷體" w:hint="eastAsia"/>
          <w:bCs/>
          <w:kern w:val="0"/>
          <w:szCs w:val="32"/>
        </w:rPr>
        <w:t>7年度第1次會議，麥寮提出臨時動議表示：</w:t>
      </w:r>
      <w:r w:rsidR="007A103B" w:rsidRPr="00AB2AD1">
        <w:rPr>
          <w:rFonts w:hAnsi="標楷體" w:cs="標楷體" w:hint="eastAsia"/>
          <w:bCs/>
          <w:kern w:val="0"/>
          <w:szCs w:val="32"/>
        </w:rPr>
        <w:t>「</w:t>
      </w:r>
      <w:r w:rsidRPr="00AB2AD1">
        <w:rPr>
          <w:rFonts w:hAnsi="標楷體" w:cs="標楷體" w:hint="eastAsia"/>
          <w:bCs/>
          <w:kern w:val="0"/>
          <w:szCs w:val="32"/>
        </w:rPr>
        <w:t>燃煤成</w:t>
      </w:r>
      <w:r w:rsidRPr="00AB2AD1">
        <w:rPr>
          <w:rFonts w:hAnsi="標楷體" w:cs="標楷體" w:hint="eastAsia"/>
          <w:bCs/>
          <w:kern w:val="0"/>
          <w:szCs w:val="32"/>
        </w:rPr>
        <w:lastRenderedPageBreak/>
        <w:t>本及時反應問題正與台電協商中，台電要求將利率及備用容量率列入協商範圍，請燃氣廠提供經驗及看法。</w:t>
      </w:r>
      <w:r w:rsidR="007A103B" w:rsidRPr="00AB2AD1">
        <w:rPr>
          <w:rFonts w:hAnsi="標楷體" w:cs="標楷體" w:hint="eastAsia"/>
          <w:bCs/>
          <w:kern w:val="0"/>
          <w:szCs w:val="32"/>
        </w:rPr>
        <w:t>」</w:t>
      </w:r>
      <w:r w:rsidRPr="00AB2AD1">
        <w:rPr>
          <w:rFonts w:hAnsi="標楷體" w:cs="標楷體" w:hint="eastAsia"/>
          <w:bCs/>
          <w:kern w:val="0"/>
          <w:szCs w:val="32"/>
        </w:rPr>
        <w:t>新桃則回應：</w:t>
      </w:r>
      <w:r w:rsidR="007A103B" w:rsidRPr="00AB2AD1">
        <w:rPr>
          <w:rFonts w:hAnsi="標楷體" w:cs="標楷體" w:hint="eastAsia"/>
          <w:bCs/>
          <w:kern w:val="0"/>
          <w:szCs w:val="32"/>
        </w:rPr>
        <w:t>「</w:t>
      </w:r>
      <w:r w:rsidRPr="00AB2AD1">
        <w:rPr>
          <w:rFonts w:hAnsi="標楷體" w:cs="標楷體" w:hint="eastAsia"/>
          <w:bCs/>
          <w:kern w:val="0"/>
          <w:szCs w:val="32"/>
        </w:rPr>
        <w:t>如台電要求協商，則可要求全面檢討購售電合約不合理之內容。</w:t>
      </w:r>
      <w:r w:rsidR="007A103B"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97</w:t>
      </w:r>
      <w:r w:rsidRPr="00AB2AD1">
        <w:rPr>
          <w:rFonts w:hAnsi="標楷體" w:cs="標楷體" w:hint="eastAsia"/>
          <w:bCs/>
          <w:kern w:val="0"/>
          <w:szCs w:val="32"/>
        </w:rPr>
        <w:t>年8月21日森霸召開協進會</w:t>
      </w:r>
      <w:r w:rsidRPr="00AB2AD1">
        <w:rPr>
          <w:rFonts w:hAnsi="標楷體" w:cs="標楷體"/>
          <w:bCs/>
          <w:kern w:val="0"/>
          <w:szCs w:val="32"/>
        </w:rPr>
        <w:t>9</w:t>
      </w:r>
      <w:r w:rsidRPr="00AB2AD1">
        <w:rPr>
          <w:rFonts w:hAnsi="標楷體" w:cs="標楷體" w:hint="eastAsia"/>
          <w:bCs/>
          <w:kern w:val="0"/>
          <w:szCs w:val="32"/>
        </w:rPr>
        <w:t>7年度第1次臨時會議，</w:t>
      </w:r>
      <w:r w:rsidR="007A103B" w:rsidRPr="00AB2AD1">
        <w:rPr>
          <w:rFonts w:hAnsi="標楷體" w:cs="標楷體" w:hint="eastAsia"/>
          <w:bCs/>
          <w:kern w:val="0"/>
          <w:szCs w:val="32"/>
        </w:rPr>
        <w:t>其</w:t>
      </w:r>
      <w:r w:rsidRPr="00AB2AD1">
        <w:rPr>
          <w:rFonts w:hAnsi="標楷體" w:cs="標楷體" w:hint="eastAsia"/>
          <w:bCs/>
          <w:kern w:val="0"/>
          <w:szCs w:val="32"/>
        </w:rPr>
        <w:t>會議主題：「針對台電通知9月4日召開『購電費率隨利率浮動調整機制』協商會議之會前會」</w:t>
      </w:r>
      <w:r w:rsidR="007A103B" w:rsidRPr="00AB2AD1">
        <w:rPr>
          <w:rFonts w:hAnsi="標楷體" w:cs="標楷體" w:hint="eastAsia"/>
          <w:bCs/>
          <w:kern w:val="0"/>
          <w:szCs w:val="32"/>
        </w:rPr>
        <w:t>之</w:t>
      </w:r>
      <w:r w:rsidRPr="00AB2AD1">
        <w:rPr>
          <w:rFonts w:hAnsi="標楷體" w:cs="標楷體" w:hint="eastAsia"/>
          <w:bCs/>
          <w:kern w:val="0"/>
          <w:szCs w:val="32"/>
        </w:rPr>
        <w:t>討論</w:t>
      </w:r>
      <w:r w:rsidR="00FA2DF4" w:rsidRPr="00AB2AD1">
        <w:rPr>
          <w:rFonts w:hAnsi="標楷體" w:cs="標楷體" w:hint="eastAsia"/>
          <w:bCs/>
          <w:kern w:val="0"/>
          <w:szCs w:val="32"/>
        </w:rPr>
        <w:t>內容</w:t>
      </w:r>
      <w:r w:rsidRPr="00AB2AD1">
        <w:rPr>
          <w:rFonts w:hAnsi="標楷體" w:cs="標楷體" w:hint="eastAsia"/>
          <w:bCs/>
          <w:kern w:val="0"/>
          <w:szCs w:val="32"/>
        </w:rPr>
        <w:t>包括：「若台電欲以所訂之單一公式套用在各業者作為長期之計費方式，顯有不公及不合理」、「影響資本費率之因素很多，只挑利率並不公平」、「如調整容量費率，也須一併調整能量費率」、「礙難同意調整，不排除進行法律訴訟」、「建議有外資投資之公司，由外資人員參與台電會議，表達外資之疑慮與意見」、「建議台電公布其定價計算資料」、「對於台電要求先行提供書面意見，建議各業者各自回函，並提供其他業者參考」等事項。</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97</w:t>
      </w:r>
      <w:r w:rsidRPr="00AB2AD1">
        <w:rPr>
          <w:rFonts w:hAnsi="標楷體" w:cs="標楷體" w:hint="eastAsia"/>
          <w:bCs/>
          <w:kern w:val="0"/>
          <w:szCs w:val="32"/>
        </w:rPr>
        <w:t>年9月4日台電公司召開</w:t>
      </w:r>
      <w:r w:rsidR="00B2276F" w:rsidRPr="00AB2AD1">
        <w:rPr>
          <w:rFonts w:hAnsi="標楷體" w:cs="標楷體" w:hint="eastAsia"/>
          <w:bCs/>
          <w:kern w:val="0"/>
          <w:szCs w:val="32"/>
        </w:rPr>
        <w:t>第1次</w:t>
      </w:r>
      <w:r w:rsidRPr="00AB2AD1">
        <w:rPr>
          <w:rFonts w:hAnsi="標楷體" w:cs="標楷體" w:hint="eastAsia"/>
          <w:bCs/>
          <w:kern w:val="0"/>
          <w:szCs w:val="32"/>
        </w:rPr>
        <w:t>「購電費率隨利率浮動調整機制」協商會議，</w:t>
      </w:r>
      <w:r w:rsidR="00FA2DF4" w:rsidRPr="00AB2AD1">
        <w:rPr>
          <w:rFonts w:hAnsi="標楷體" w:cs="標楷體" w:hint="eastAsia"/>
          <w:bCs/>
          <w:kern w:val="0"/>
          <w:szCs w:val="32"/>
        </w:rPr>
        <w:t>其</w:t>
      </w:r>
      <w:r w:rsidRPr="00AB2AD1">
        <w:rPr>
          <w:rFonts w:hAnsi="標楷體" w:cs="標楷體" w:hint="eastAsia"/>
          <w:bCs/>
          <w:kern w:val="0"/>
          <w:szCs w:val="32"/>
        </w:rPr>
        <w:t>會議結論：</w:t>
      </w:r>
      <w:r w:rsidR="00D7186D" w:rsidRPr="00AB2AD1">
        <w:rPr>
          <w:rFonts w:hAnsi="標楷體" w:cs="標楷體" w:hint="eastAsia"/>
          <w:bCs/>
          <w:kern w:val="0"/>
          <w:szCs w:val="32"/>
        </w:rPr>
        <w:t>「請業者進一步瞭解研究單位所擬之購電費率隨利率浮動調整機制</w:t>
      </w:r>
      <w:r w:rsidRPr="00AB2AD1">
        <w:rPr>
          <w:rFonts w:hAnsi="標楷體" w:cs="標楷體" w:hint="eastAsia"/>
          <w:bCs/>
          <w:kern w:val="0"/>
          <w:szCs w:val="32"/>
        </w:rPr>
        <w:t>，並提供意見。</w:t>
      </w:r>
      <w:r w:rsidR="00D7186D" w:rsidRPr="00AB2AD1">
        <w:rPr>
          <w:rFonts w:hAnsi="標楷體" w:cs="標楷體" w:hint="eastAsia"/>
          <w:bCs/>
          <w:kern w:val="0"/>
          <w:szCs w:val="32"/>
        </w:rPr>
        <w:t>」</w:t>
      </w:r>
      <w:r w:rsidRPr="00AB2AD1">
        <w:rPr>
          <w:rFonts w:hAnsi="標楷體" w:cs="標楷體" w:hint="eastAsia"/>
          <w:bCs/>
          <w:kern w:val="0"/>
          <w:szCs w:val="32"/>
        </w:rPr>
        <w:t>9月30日森霸召開協進會</w:t>
      </w:r>
      <w:r w:rsidRPr="00AB2AD1">
        <w:rPr>
          <w:rFonts w:hAnsi="標楷體" w:cs="標楷體"/>
          <w:bCs/>
          <w:kern w:val="0"/>
          <w:szCs w:val="32"/>
        </w:rPr>
        <w:t>97</w:t>
      </w:r>
      <w:r w:rsidRPr="00AB2AD1">
        <w:rPr>
          <w:rFonts w:hAnsi="標楷體" w:cs="標楷體" w:hint="eastAsia"/>
          <w:bCs/>
          <w:kern w:val="0"/>
          <w:szCs w:val="32"/>
        </w:rPr>
        <w:t>年度第</w:t>
      </w:r>
      <w:r w:rsidRPr="00AB2AD1">
        <w:rPr>
          <w:rFonts w:hAnsi="標楷體" w:cs="標楷體"/>
          <w:bCs/>
          <w:kern w:val="0"/>
          <w:szCs w:val="32"/>
        </w:rPr>
        <w:t>3</w:t>
      </w:r>
      <w:r w:rsidRPr="00AB2AD1">
        <w:rPr>
          <w:rFonts w:hAnsi="標楷體" w:cs="標楷體" w:hint="eastAsia"/>
          <w:bCs/>
          <w:kern w:val="0"/>
          <w:szCs w:val="32"/>
        </w:rPr>
        <w:t>次會議，並獲「暫不回應台電9月4日初次召開協商會議紀錄之函文」、「各業者皆不同意台電調整資本費率之前提下，宜繼續朝調整資本費率不符合約精神之方向努力，避免進入實質性公式合理與否之討論」、「提供整理相關議題題庫，以利各業者分工合作，將議題複雜化予以拖延甚或取消該議題」、「若將來發展至必須談公式之階段，則各業者宜朝目前實際運作方面有哪些不符合約或合約不合理</w:t>
      </w:r>
      <w:r w:rsidRPr="00AB2AD1">
        <w:rPr>
          <w:rFonts w:hAnsi="標楷體" w:cs="標楷體" w:hint="eastAsia"/>
          <w:bCs/>
          <w:kern w:val="0"/>
          <w:szCs w:val="32"/>
        </w:rPr>
        <w:lastRenderedPageBreak/>
        <w:t>之處，予以提列，一併討論為宜」、「據側面瞭解，能源局目前之態度為希望繼續商談該議題」等結論。</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97</w:t>
      </w:r>
      <w:r w:rsidRPr="00AB2AD1">
        <w:rPr>
          <w:rFonts w:hAnsi="標楷體" w:cs="標楷體" w:hint="eastAsia"/>
          <w:bCs/>
          <w:kern w:val="0"/>
          <w:szCs w:val="32"/>
        </w:rPr>
        <w:t>年10月9日及12月3日台電公司召開</w:t>
      </w:r>
      <w:r w:rsidR="00B2276F" w:rsidRPr="00AB2AD1">
        <w:rPr>
          <w:rFonts w:hAnsi="標楷體" w:cs="標楷體" w:hint="eastAsia"/>
          <w:bCs/>
          <w:kern w:val="0"/>
          <w:szCs w:val="32"/>
        </w:rPr>
        <w:t>第2、</w:t>
      </w:r>
      <w:r w:rsidR="00FA2DF4" w:rsidRPr="00AB2AD1">
        <w:rPr>
          <w:rFonts w:hAnsi="標楷體" w:cs="標楷體" w:hint="eastAsia"/>
          <w:bCs/>
          <w:kern w:val="0"/>
          <w:szCs w:val="32"/>
        </w:rPr>
        <w:t>第</w:t>
      </w:r>
      <w:r w:rsidR="00B2276F" w:rsidRPr="00AB2AD1">
        <w:rPr>
          <w:rFonts w:hAnsi="標楷體" w:cs="標楷體" w:hint="eastAsia"/>
          <w:bCs/>
          <w:kern w:val="0"/>
          <w:szCs w:val="32"/>
        </w:rPr>
        <w:t>3次</w:t>
      </w:r>
      <w:r w:rsidRPr="00AB2AD1">
        <w:rPr>
          <w:rFonts w:hAnsi="標楷體" w:cs="標楷體" w:hint="eastAsia"/>
          <w:bCs/>
          <w:kern w:val="0"/>
          <w:szCs w:val="32"/>
        </w:rPr>
        <w:t>「購電費率隨利率浮動調整機制」協商會議，</w:t>
      </w:r>
      <w:r w:rsidR="00FA2DF4" w:rsidRPr="00AB2AD1">
        <w:rPr>
          <w:rFonts w:hAnsi="標楷體" w:cs="標楷體" w:hint="eastAsia"/>
          <w:bCs/>
          <w:kern w:val="0"/>
          <w:szCs w:val="32"/>
        </w:rPr>
        <w:t>其</w:t>
      </w:r>
      <w:r w:rsidRPr="00AB2AD1">
        <w:rPr>
          <w:rFonts w:hAnsi="標楷體" w:cs="標楷體" w:hint="eastAsia"/>
          <w:bCs/>
          <w:kern w:val="0"/>
          <w:szCs w:val="32"/>
        </w:rPr>
        <w:t>會議結論</w:t>
      </w:r>
      <w:r w:rsidR="00D7186D" w:rsidRPr="00AB2AD1">
        <w:rPr>
          <w:rFonts w:hAnsi="標楷體" w:cs="標楷體" w:hint="eastAsia"/>
          <w:bCs/>
          <w:kern w:val="0"/>
          <w:szCs w:val="32"/>
        </w:rPr>
        <w:t>略以</w:t>
      </w:r>
      <w:r w:rsidRPr="00AB2AD1">
        <w:rPr>
          <w:rFonts w:hAnsi="標楷體" w:cs="標楷體" w:hint="eastAsia"/>
          <w:bCs/>
          <w:kern w:val="0"/>
          <w:szCs w:val="32"/>
        </w:rPr>
        <w:t>：</w:t>
      </w:r>
      <w:r w:rsidR="00D7186D" w:rsidRPr="00AB2AD1">
        <w:rPr>
          <w:rFonts w:hAnsi="標楷體" w:cs="標楷體" w:hint="eastAsia"/>
          <w:bCs/>
          <w:kern w:val="0"/>
          <w:szCs w:val="32"/>
        </w:rPr>
        <w:t>「</w:t>
      </w:r>
      <w:r w:rsidRPr="00AB2AD1">
        <w:rPr>
          <w:rFonts w:hAnsi="標楷體" w:cs="標楷體" w:hint="eastAsia"/>
          <w:bCs/>
          <w:kern w:val="0"/>
          <w:szCs w:val="32"/>
        </w:rPr>
        <w:t>請各業者於會後</w:t>
      </w:r>
      <w:r w:rsidRPr="00AB2AD1">
        <w:rPr>
          <w:rFonts w:hAnsi="標楷體" w:cs="標楷體"/>
          <w:bCs/>
          <w:kern w:val="0"/>
          <w:szCs w:val="32"/>
        </w:rPr>
        <w:t>2</w:t>
      </w:r>
      <w:r w:rsidRPr="00AB2AD1">
        <w:rPr>
          <w:rFonts w:hAnsi="標楷體" w:cs="標楷體" w:hint="eastAsia"/>
          <w:bCs/>
          <w:kern w:val="0"/>
          <w:szCs w:val="32"/>
        </w:rPr>
        <w:t>個月內共同提出資本費率調整機制建議方案，俾便後續協商。</w:t>
      </w:r>
      <w:r w:rsidR="00D7186D" w:rsidRPr="00AB2AD1">
        <w:rPr>
          <w:rFonts w:hAnsi="標楷體" w:cs="標楷體" w:hint="eastAsia"/>
          <w:bCs/>
          <w:kern w:val="0"/>
          <w:szCs w:val="32"/>
        </w:rPr>
        <w:t>」12月30日森霸召開協進會</w:t>
      </w:r>
      <w:r w:rsidR="00D7186D" w:rsidRPr="00AB2AD1">
        <w:rPr>
          <w:rFonts w:hAnsi="標楷體" w:cs="標楷體"/>
          <w:bCs/>
          <w:kern w:val="0"/>
          <w:szCs w:val="32"/>
        </w:rPr>
        <w:t>97</w:t>
      </w:r>
      <w:r w:rsidR="00D7186D" w:rsidRPr="00AB2AD1">
        <w:rPr>
          <w:rFonts w:hAnsi="標楷體" w:cs="標楷體" w:hint="eastAsia"/>
          <w:bCs/>
          <w:kern w:val="0"/>
          <w:szCs w:val="32"/>
        </w:rPr>
        <w:t>年度第4次會議，針對台電公司召開之第3次協商會議進行討論，並獲「於無法接受不合理之議題下，擬不提任何新的計算公式方案」、「宜秉熱誠回應來函，拉長時間，持續溝通為宜」、「若有必要，可考量共同協請律師探討因應擬稿」等結論。</w:t>
      </w:r>
      <w:r w:rsidR="00D7186D" w:rsidRPr="00AB2AD1">
        <w:rPr>
          <w:rFonts w:hAnsi="標楷體" w:cs="標楷體"/>
          <w:bCs/>
          <w:kern w:val="0"/>
          <w:szCs w:val="32"/>
        </w:rPr>
        <w:t>9</w:t>
      </w:r>
      <w:r w:rsidR="00D7186D" w:rsidRPr="00AB2AD1">
        <w:rPr>
          <w:rFonts w:hAnsi="標楷體" w:cs="標楷體" w:hint="eastAsia"/>
          <w:bCs/>
          <w:kern w:val="0"/>
          <w:szCs w:val="32"/>
        </w:rPr>
        <w:t>8年3月31日星能召開協進會</w:t>
      </w:r>
      <w:r w:rsidR="00D7186D" w:rsidRPr="00AB2AD1">
        <w:rPr>
          <w:rFonts w:hAnsi="標楷體" w:cs="標楷體"/>
          <w:bCs/>
          <w:kern w:val="0"/>
          <w:szCs w:val="32"/>
        </w:rPr>
        <w:t>9</w:t>
      </w:r>
      <w:r w:rsidR="00D7186D" w:rsidRPr="00AB2AD1">
        <w:rPr>
          <w:rFonts w:hAnsi="標楷體" w:cs="標楷體" w:hint="eastAsia"/>
          <w:bCs/>
          <w:kern w:val="0"/>
          <w:szCs w:val="32"/>
        </w:rPr>
        <w:t>8年度第1次會議，再針對台電公司召開之第3次協商會議進行後續討論，亦獲上開結論。</w:t>
      </w:r>
    </w:p>
    <w:p w:rsidR="00031BE3" w:rsidRPr="00AB2AD1" w:rsidRDefault="00D7186D"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8年</w:t>
      </w:r>
      <w:r w:rsidR="00031BE3" w:rsidRPr="00AB2AD1">
        <w:rPr>
          <w:rFonts w:hAnsi="標楷體" w:cs="標楷體" w:hint="eastAsia"/>
          <w:bCs/>
          <w:kern w:val="0"/>
          <w:szCs w:val="32"/>
        </w:rPr>
        <w:t>4月13日及4月17日</w:t>
      </w:r>
      <w:r w:rsidRPr="00AB2AD1">
        <w:rPr>
          <w:rFonts w:hAnsi="標楷體" w:cs="標楷體" w:hint="eastAsia"/>
          <w:bCs/>
          <w:kern w:val="0"/>
          <w:szCs w:val="32"/>
        </w:rPr>
        <w:t>星能</w:t>
      </w:r>
      <w:r w:rsidR="00031BE3" w:rsidRPr="00AB2AD1">
        <w:rPr>
          <w:rFonts w:hAnsi="標楷體" w:cs="標楷體" w:hint="eastAsia"/>
          <w:bCs/>
          <w:kern w:val="0"/>
          <w:szCs w:val="32"/>
        </w:rPr>
        <w:t>召開協進會</w:t>
      </w:r>
      <w:r w:rsidR="00031BE3" w:rsidRPr="00AB2AD1">
        <w:rPr>
          <w:rFonts w:hAnsi="標楷體" w:cs="標楷體"/>
          <w:bCs/>
          <w:kern w:val="0"/>
          <w:szCs w:val="32"/>
        </w:rPr>
        <w:t>9</w:t>
      </w:r>
      <w:r w:rsidR="00031BE3" w:rsidRPr="00AB2AD1">
        <w:rPr>
          <w:rFonts w:hAnsi="標楷體" w:cs="標楷體" w:hint="eastAsia"/>
          <w:bCs/>
          <w:kern w:val="0"/>
          <w:szCs w:val="32"/>
        </w:rPr>
        <w:t>8年度第2、</w:t>
      </w:r>
      <w:r w:rsidR="00E460F5" w:rsidRPr="00AB2AD1">
        <w:rPr>
          <w:rFonts w:hAnsi="標楷體" w:cs="標楷體" w:hint="eastAsia"/>
          <w:bCs/>
          <w:kern w:val="0"/>
          <w:szCs w:val="32"/>
        </w:rPr>
        <w:t>第</w:t>
      </w:r>
      <w:r w:rsidR="00031BE3" w:rsidRPr="00AB2AD1">
        <w:rPr>
          <w:rFonts w:hAnsi="標楷體" w:cs="標楷體" w:hint="eastAsia"/>
          <w:bCs/>
          <w:kern w:val="0"/>
          <w:szCs w:val="32"/>
        </w:rPr>
        <w:t>3次會議，以因應能源局即將召開之協處會議，並決議：</w:t>
      </w:r>
      <w:r w:rsidRPr="00AB2AD1">
        <w:rPr>
          <w:rFonts w:hAnsi="標楷體" w:cs="標楷體" w:hint="eastAsia"/>
          <w:bCs/>
          <w:kern w:val="0"/>
          <w:szCs w:val="32"/>
        </w:rPr>
        <w:t>「</w:t>
      </w:r>
      <w:r w:rsidR="00031BE3" w:rsidRPr="00AB2AD1">
        <w:rPr>
          <w:rFonts w:hAnsi="標楷體" w:cs="標楷體" w:hint="eastAsia"/>
          <w:bCs/>
          <w:kern w:val="0"/>
          <w:szCs w:val="32"/>
        </w:rPr>
        <w:t>採較寬廣方式提出意見</w:t>
      </w:r>
      <w:r w:rsidR="00E460F5" w:rsidRPr="00AB2AD1">
        <w:rPr>
          <w:rFonts w:hAnsi="標楷體" w:cs="標楷體" w:hint="eastAsia"/>
          <w:bCs/>
          <w:kern w:val="0"/>
          <w:szCs w:val="32"/>
        </w:rPr>
        <w:t>，</w:t>
      </w:r>
      <w:r w:rsidR="00031BE3" w:rsidRPr="00AB2AD1">
        <w:rPr>
          <w:rFonts w:hAnsi="標楷體" w:cs="標楷體" w:hint="eastAsia"/>
          <w:bCs/>
          <w:kern w:val="0"/>
          <w:szCs w:val="32"/>
        </w:rPr>
        <w:t>希望能源局能退回再行協商。</w:t>
      </w:r>
      <w:r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8年4月29日能源局召開「購售電合約建立購電費率隨利率浮動調整機制」第</w:t>
      </w:r>
      <w:r w:rsidRPr="00AB2AD1">
        <w:rPr>
          <w:rFonts w:hAnsi="標楷體" w:cs="標楷體"/>
          <w:bCs/>
          <w:kern w:val="0"/>
          <w:szCs w:val="32"/>
        </w:rPr>
        <w:t>1</w:t>
      </w:r>
      <w:r w:rsidRPr="00AB2AD1">
        <w:rPr>
          <w:rFonts w:hAnsi="標楷體" w:cs="標楷體" w:hint="eastAsia"/>
          <w:bCs/>
          <w:kern w:val="0"/>
          <w:szCs w:val="32"/>
        </w:rPr>
        <w:t>次協</w:t>
      </w:r>
      <w:r w:rsidR="00303C73" w:rsidRPr="00AB2AD1">
        <w:rPr>
          <w:rFonts w:hAnsi="標楷體" w:cs="標楷體" w:hint="eastAsia"/>
          <w:bCs/>
          <w:kern w:val="0"/>
          <w:szCs w:val="32"/>
        </w:rPr>
        <w:t>處會議</w:t>
      </w:r>
      <w:r w:rsidRPr="00AB2AD1">
        <w:rPr>
          <w:rFonts w:hAnsi="標楷體" w:cs="標楷體" w:hint="eastAsia"/>
          <w:bCs/>
          <w:kern w:val="0"/>
          <w:szCs w:val="32"/>
        </w:rPr>
        <w:t>，並決議：</w:t>
      </w:r>
      <w:r w:rsidR="00D7186D" w:rsidRPr="00AB2AD1">
        <w:rPr>
          <w:rFonts w:hAnsi="標楷體" w:cs="標楷體" w:hint="eastAsia"/>
          <w:bCs/>
          <w:kern w:val="0"/>
          <w:szCs w:val="32"/>
        </w:rPr>
        <w:t>「</w:t>
      </w:r>
      <w:r w:rsidRPr="00AB2AD1">
        <w:rPr>
          <w:rFonts w:hAnsi="標楷體" w:cs="標楷體" w:hint="eastAsia"/>
          <w:bCs/>
          <w:kern w:val="0"/>
          <w:szCs w:val="32"/>
        </w:rPr>
        <w:t>請業者自行委託研究機構進行研究，並於半年內提出建議方案等事項。</w:t>
      </w:r>
      <w:r w:rsidR="00D7186D"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8年5月21日、5月25日、6月12日、6月24日星能召開協進會</w:t>
      </w:r>
      <w:r w:rsidRPr="00AB2AD1">
        <w:rPr>
          <w:rFonts w:hAnsi="標楷體" w:cs="標楷體"/>
          <w:bCs/>
          <w:kern w:val="0"/>
          <w:szCs w:val="32"/>
        </w:rPr>
        <w:t>98</w:t>
      </w:r>
      <w:r w:rsidRPr="00AB2AD1">
        <w:rPr>
          <w:rFonts w:hAnsi="標楷體" w:cs="標楷體" w:hint="eastAsia"/>
          <w:bCs/>
          <w:kern w:val="0"/>
          <w:szCs w:val="32"/>
        </w:rPr>
        <w:t>年度第</w:t>
      </w:r>
      <w:r w:rsidRPr="00AB2AD1">
        <w:rPr>
          <w:rFonts w:hAnsi="標楷體" w:cs="標楷體"/>
          <w:bCs/>
          <w:kern w:val="0"/>
          <w:szCs w:val="32"/>
        </w:rPr>
        <w:t>4</w:t>
      </w:r>
      <w:r w:rsidRPr="00AB2AD1">
        <w:rPr>
          <w:rFonts w:hAnsi="標楷體" w:cs="標楷體" w:hint="eastAsia"/>
          <w:bCs/>
          <w:kern w:val="0"/>
          <w:szCs w:val="32"/>
        </w:rPr>
        <w:t>、5、6、7次會議，邀請財團法人台灣綜合研究院(下稱台綜院)及麥肯錫</w:t>
      </w:r>
      <w:r w:rsidRPr="00AB2AD1">
        <w:rPr>
          <w:rFonts w:hAnsi="標楷體" w:cs="標楷體"/>
          <w:bCs/>
          <w:kern w:val="0"/>
          <w:szCs w:val="32"/>
        </w:rPr>
        <w:t>(McKinsey)</w:t>
      </w:r>
      <w:r w:rsidR="002779C9" w:rsidRPr="00AB2AD1">
        <w:rPr>
          <w:rFonts w:hAnsi="標楷體" w:cs="標楷體" w:hint="eastAsia"/>
          <w:bCs/>
          <w:kern w:val="0"/>
          <w:szCs w:val="32"/>
        </w:rPr>
        <w:t>諮詢公司</w:t>
      </w:r>
      <w:r w:rsidRPr="00AB2AD1">
        <w:rPr>
          <w:rFonts w:hAnsi="標楷體" w:cs="標楷體" w:hint="eastAsia"/>
          <w:bCs/>
          <w:kern w:val="0"/>
          <w:szCs w:val="32"/>
        </w:rPr>
        <w:t>進行簡報，並決議委託研究機構所需費用由各業者平均分攤</w:t>
      </w:r>
      <w:r w:rsidR="00E460F5" w:rsidRPr="00AB2AD1">
        <w:rPr>
          <w:rFonts w:hAnsi="標楷體" w:cs="標楷體" w:hint="eastAsia"/>
          <w:bCs/>
          <w:kern w:val="0"/>
          <w:szCs w:val="32"/>
        </w:rPr>
        <w:t>(6月18日星能另召開委外研究單位計畫書期初審查</w:t>
      </w:r>
      <w:r w:rsidR="00E460F5" w:rsidRPr="00AB2AD1">
        <w:rPr>
          <w:rFonts w:hAnsi="標楷體" w:cs="標楷體" w:hint="eastAsia"/>
          <w:bCs/>
          <w:kern w:val="0"/>
          <w:szCs w:val="32"/>
        </w:rPr>
        <w:lastRenderedPageBreak/>
        <w:t>會)</w:t>
      </w:r>
      <w:r w:rsidRPr="00AB2AD1">
        <w:rPr>
          <w:rFonts w:hAnsi="標楷體" w:cs="標楷體" w:hint="eastAsia"/>
          <w:bCs/>
          <w:kern w:val="0"/>
          <w:szCs w:val="32"/>
        </w:rPr>
        <w:t>。</w:t>
      </w:r>
    </w:p>
    <w:p w:rsidR="00031BE3" w:rsidRPr="00AB2AD1" w:rsidRDefault="00031BE3"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8年7月16日、7月30日、8月11日麥寮召開協進會</w:t>
      </w:r>
      <w:r w:rsidRPr="00AB2AD1">
        <w:rPr>
          <w:rFonts w:hAnsi="標楷體" w:cs="標楷體"/>
          <w:bCs/>
          <w:kern w:val="0"/>
          <w:szCs w:val="32"/>
        </w:rPr>
        <w:t>98</w:t>
      </w:r>
      <w:r w:rsidRPr="00AB2AD1">
        <w:rPr>
          <w:rFonts w:hAnsi="標楷體" w:cs="標楷體" w:hint="eastAsia"/>
          <w:bCs/>
          <w:kern w:val="0"/>
          <w:szCs w:val="32"/>
        </w:rPr>
        <w:t>年度第8、9、10次會議</w:t>
      </w:r>
      <w:r w:rsidR="002779C9" w:rsidRPr="00AB2AD1">
        <w:rPr>
          <w:rFonts w:hAnsi="標楷體" w:cs="標楷體" w:hint="eastAsia"/>
          <w:bCs/>
          <w:kern w:val="0"/>
          <w:szCs w:val="32"/>
        </w:rPr>
        <w:t>，</w:t>
      </w:r>
      <w:r w:rsidRPr="00AB2AD1">
        <w:rPr>
          <w:rFonts w:hAnsi="標楷體" w:cs="標楷體" w:hint="eastAsia"/>
          <w:bCs/>
          <w:kern w:val="0"/>
          <w:szCs w:val="32"/>
        </w:rPr>
        <w:t>達成委託研究費用之分攤方式，並預計</w:t>
      </w:r>
      <w:r w:rsidRPr="00AB2AD1">
        <w:rPr>
          <w:rFonts w:hAnsi="標楷體" w:cs="標楷體"/>
          <w:bCs/>
          <w:kern w:val="0"/>
          <w:szCs w:val="32"/>
        </w:rPr>
        <w:t>99</w:t>
      </w:r>
      <w:r w:rsidRPr="00AB2AD1">
        <w:rPr>
          <w:rFonts w:hAnsi="標楷體" w:cs="標楷體" w:hint="eastAsia"/>
          <w:bCs/>
          <w:kern w:val="0"/>
          <w:szCs w:val="32"/>
        </w:rPr>
        <w:t>年</w:t>
      </w:r>
      <w:r w:rsidRPr="00AB2AD1">
        <w:rPr>
          <w:rFonts w:hAnsi="標楷體" w:cs="標楷體"/>
          <w:bCs/>
          <w:kern w:val="0"/>
          <w:szCs w:val="32"/>
        </w:rPr>
        <w:t>2</w:t>
      </w:r>
      <w:r w:rsidRPr="00AB2AD1">
        <w:rPr>
          <w:rFonts w:hAnsi="標楷體" w:cs="標楷體" w:hint="eastAsia"/>
          <w:bCs/>
          <w:kern w:val="0"/>
          <w:szCs w:val="32"/>
        </w:rPr>
        <w:t>月方能提出建議方案</w:t>
      </w:r>
      <w:r w:rsidR="00E460F5" w:rsidRPr="00AB2AD1">
        <w:rPr>
          <w:rFonts w:hAnsi="標楷體" w:cs="標楷體" w:hint="eastAsia"/>
          <w:bCs/>
          <w:kern w:val="0"/>
          <w:szCs w:val="32"/>
        </w:rPr>
        <w:t>(8月26日及9月22日麥寮另召開委託台綜院進行購售電合約研究計畫案之討論會議)</w:t>
      </w:r>
      <w:r w:rsidRPr="00AB2AD1">
        <w:rPr>
          <w:rFonts w:hAnsi="標楷體" w:cs="標楷體" w:hint="eastAsia"/>
          <w:bCs/>
          <w:kern w:val="0"/>
          <w:szCs w:val="32"/>
        </w:rPr>
        <w:t>。10月7日麥寮即函文能源局表示，預計於</w:t>
      </w:r>
      <w:r w:rsidRPr="00AB2AD1">
        <w:rPr>
          <w:rFonts w:hAnsi="標楷體" w:cs="標楷體"/>
          <w:bCs/>
          <w:kern w:val="0"/>
          <w:szCs w:val="32"/>
        </w:rPr>
        <w:t>99</w:t>
      </w:r>
      <w:r w:rsidRPr="00AB2AD1">
        <w:rPr>
          <w:rFonts w:hAnsi="標楷體" w:cs="標楷體" w:hint="eastAsia"/>
          <w:bCs/>
          <w:kern w:val="0"/>
          <w:szCs w:val="32"/>
        </w:rPr>
        <w:t>年</w:t>
      </w:r>
      <w:r w:rsidRPr="00AB2AD1">
        <w:rPr>
          <w:rFonts w:hAnsi="標楷體" w:cs="標楷體"/>
          <w:bCs/>
          <w:kern w:val="0"/>
          <w:szCs w:val="32"/>
        </w:rPr>
        <w:t>2</w:t>
      </w:r>
      <w:r w:rsidRPr="00AB2AD1">
        <w:rPr>
          <w:rFonts w:hAnsi="標楷體" w:cs="標楷體" w:hint="eastAsia"/>
          <w:bCs/>
          <w:kern w:val="0"/>
          <w:szCs w:val="32"/>
        </w:rPr>
        <w:t>月提出建議方案。</w:t>
      </w:r>
      <w:r w:rsidR="00202342" w:rsidRPr="00AB2AD1">
        <w:rPr>
          <w:rFonts w:hAnsi="標楷體" w:cs="標楷體" w:hint="eastAsia"/>
          <w:bCs/>
          <w:kern w:val="0"/>
          <w:szCs w:val="32"/>
        </w:rPr>
        <w:t>12月29日麥寮召開協進會</w:t>
      </w:r>
      <w:r w:rsidR="00202342" w:rsidRPr="00AB2AD1">
        <w:rPr>
          <w:rFonts w:hAnsi="標楷體" w:cs="標楷體"/>
          <w:bCs/>
          <w:kern w:val="0"/>
          <w:szCs w:val="32"/>
        </w:rPr>
        <w:t>98</w:t>
      </w:r>
      <w:r w:rsidR="00202342" w:rsidRPr="00AB2AD1">
        <w:rPr>
          <w:rFonts w:hAnsi="標楷體" w:cs="標楷體" w:hint="eastAsia"/>
          <w:bCs/>
          <w:kern w:val="0"/>
          <w:szCs w:val="32"/>
        </w:rPr>
        <w:t>年度第12次會議，並決議委託台綜院及麥肯錫諮詢公司辦理</w:t>
      </w:r>
      <w:r w:rsidR="002779C9" w:rsidRPr="00AB2AD1">
        <w:rPr>
          <w:rFonts w:hAnsi="標楷體" w:cs="標楷體" w:hint="eastAsia"/>
          <w:bCs/>
          <w:kern w:val="0"/>
          <w:szCs w:val="32"/>
        </w:rPr>
        <w:t>購電費率研究案</w:t>
      </w:r>
      <w:r w:rsidR="00202342" w:rsidRPr="00AB2AD1">
        <w:rPr>
          <w:rFonts w:hAnsi="標楷體" w:cs="標楷體" w:hint="eastAsia"/>
          <w:bCs/>
          <w:kern w:val="0"/>
          <w:szCs w:val="32"/>
        </w:rPr>
        <w:t>，</w:t>
      </w:r>
      <w:r w:rsidR="002779C9" w:rsidRPr="00AB2AD1">
        <w:rPr>
          <w:rFonts w:hAnsi="標楷體" w:cs="標楷體" w:hint="eastAsia"/>
          <w:bCs/>
          <w:kern w:val="0"/>
          <w:szCs w:val="32"/>
        </w:rPr>
        <w:t>又</w:t>
      </w:r>
      <w:r w:rsidR="00202342" w:rsidRPr="00AB2AD1">
        <w:rPr>
          <w:rFonts w:hAnsi="標楷體" w:cs="標楷體" w:hint="eastAsia"/>
          <w:bCs/>
          <w:kern w:val="0"/>
          <w:szCs w:val="32"/>
        </w:rPr>
        <w:t>星元獲准加入協進會。</w:t>
      </w:r>
    </w:p>
    <w:p w:rsidR="00031BE3" w:rsidRPr="00AB2AD1" w:rsidRDefault="00E305FA"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9年2月10日長生召開協進會</w:t>
      </w:r>
      <w:r w:rsidRPr="00AB2AD1">
        <w:rPr>
          <w:rFonts w:hAnsi="標楷體" w:cs="標楷體"/>
          <w:bCs/>
          <w:kern w:val="0"/>
          <w:szCs w:val="32"/>
        </w:rPr>
        <w:t>9</w:t>
      </w:r>
      <w:r w:rsidRPr="00AB2AD1">
        <w:rPr>
          <w:rFonts w:hAnsi="標楷體" w:cs="標楷體" w:hint="eastAsia"/>
          <w:bCs/>
          <w:kern w:val="0"/>
          <w:szCs w:val="32"/>
        </w:rPr>
        <w:t>9年度第1次會議，9家</w:t>
      </w:r>
      <w:r w:rsidR="00FC106F" w:rsidRPr="00AB2AD1">
        <w:rPr>
          <w:rFonts w:hAnsi="標楷體" w:cs="標楷體" w:hint="eastAsia"/>
          <w:bCs/>
          <w:kern w:val="0"/>
          <w:szCs w:val="32"/>
        </w:rPr>
        <w:t>發電業者</w:t>
      </w:r>
      <w:r w:rsidRPr="00AB2AD1">
        <w:rPr>
          <w:rFonts w:hAnsi="標楷體" w:cs="標楷體" w:hint="eastAsia"/>
          <w:bCs/>
          <w:kern w:val="0"/>
          <w:szCs w:val="32"/>
        </w:rPr>
        <w:t>代表除聽取台綜院及麥肯錫諮詢公司簡報外，</w:t>
      </w:r>
      <w:r w:rsidR="002779C9" w:rsidRPr="00AB2AD1">
        <w:rPr>
          <w:rFonts w:hAnsi="標楷體" w:cs="標楷體" w:hint="eastAsia"/>
          <w:bCs/>
          <w:kern w:val="0"/>
          <w:szCs w:val="32"/>
        </w:rPr>
        <w:t>又</w:t>
      </w:r>
      <w:r w:rsidR="00E460F5" w:rsidRPr="00AB2AD1">
        <w:rPr>
          <w:rFonts w:hAnsi="標楷體" w:cs="標楷體" w:hint="eastAsia"/>
          <w:bCs/>
          <w:kern w:val="0"/>
          <w:szCs w:val="32"/>
        </w:rPr>
        <w:t>提出</w:t>
      </w:r>
      <w:r w:rsidRPr="00AB2AD1">
        <w:rPr>
          <w:rFonts w:hAnsi="標楷體" w:cs="標楷體" w:hint="eastAsia"/>
          <w:bCs/>
          <w:kern w:val="0"/>
          <w:szCs w:val="32"/>
        </w:rPr>
        <w:t>臨時動議</w:t>
      </w:r>
      <w:r w:rsidR="002779C9" w:rsidRPr="00AB2AD1">
        <w:rPr>
          <w:rFonts w:hAnsi="標楷體" w:cs="標楷體" w:hint="eastAsia"/>
          <w:bCs/>
          <w:kern w:val="0"/>
          <w:szCs w:val="32"/>
        </w:rPr>
        <w:t>並</w:t>
      </w:r>
      <w:r w:rsidRPr="00AB2AD1">
        <w:rPr>
          <w:rFonts w:hAnsi="標楷體" w:cs="標楷體" w:hint="eastAsia"/>
          <w:bCs/>
          <w:kern w:val="0"/>
          <w:szCs w:val="32"/>
        </w:rPr>
        <w:t>決議：「1.由長生作東宴請各業者高階主管，對購電費率案相關事宜做討論與策略協商，並斟酌是否推派代表先行與台電或能源局進行溝通。2.有關是否應於</w:t>
      </w:r>
      <w:r w:rsidRPr="00AB2AD1">
        <w:rPr>
          <w:rFonts w:hAnsi="標楷體" w:cs="標楷體"/>
          <w:bCs/>
          <w:kern w:val="0"/>
          <w:szCs w:val="32"/>
        </w:rPr>
        <w:t>2</w:t>
      </w:r>
      <w:r w:rsidRPr="00AB2AD1">
        <w:rPr>
          <w:rFonts w:hAnsi="標楷體" w:cs="標楷體" w:hint="eastAsia"/>
          <w:bCs/>
          <w:kern w:val="0"/>
          <w:szCs w:val="32"/>
        </w:rPr>
        <w:t>月底前知會能源局目前進度部分，同意目前階段採被動式，不主動與能源局聯繫有關事宜，以爭取較多時間籌辦相關事宜。」</w:t>
      </w:r>
    </w:p>
    <w:p w:rsidR="00E305FA" w:rsidRPr="00AB2AD1" w:rsidRDefault="00E305FA"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9年3月11日長生召開協進會</w:t>
      </w:r>
      <w:r w:rsidRPr="00AB2AD1">
        <w:rPr>
          <w:rFonts w:hAnsi="標楷體" w:cs="標楷體"/>
          <w:bCs/>
          <w:kern w:val="0"/>
          <w:szCs w:val="32"/>
        </w:rPr>
        <w:t>9</w:t>
      </w:r>
      <w:r w:rsidRPr="00AB2AD1">
        <w:rPr>
          <w:rFonts w:hAnsi="標楷體" w:cs="標楷體" w:hint="eastAsia"/>
          <w:bCs/>
          <w:kern w:val="0"/>
          <w:szCs w:val="32"/>
        </w:rPr>
        <w:t>9年度第2次會議，</w:t>
      </w:r>
      <w:r w:rsidR="00295600" w:rsidRPr="00AB2AD1">
        <w:rPr>
          <w:rFonts w:hAnsi="標楷體" w:cs="標楷體" w:hint="eastAsia"/>
          <w:bCs/>
          <w:kern w:val="0"/>
          <w:szCs w:val="32"/>
        </w:rPr>
        <w:t>經</w:t>
      </w:r>
      <w:r w:rsidRPr="00AB2AD1">
        <w:rPr>
          <w:rFonts w:hAnsi="標楷體" w:cs="標楷體" w:hint="eastAsia"/>
          <w:bCs/>
          <w:kern w:val="0"/>
          <w:szCs w:val="32"/>
        </w:rPr>
        <w:t>9家</w:t>
      </w:r>
      <w:r w:rsidR="00FC106F" w:rsidRPr="00AB2AD1">
        <w:rPr>
          <w:rFonts w:hAnsi="標楷體" w:cs="標楷體" w:hint="eastAsia"/>
          <w:bCs/>
          <w:kern w:val="0"/>
          <w:szCs w:val="32"/>
        </w:rPr>
        <w:t>發電業者</w:t>
      </w:r>
      <w:r w:rsidRPr="00AB2AD1">
        <w:rPr>
          <w:rFonts w:hAnsi="標楷體" w:cs="標楷體" w:hint="eastAsia"/>
          <w:bCs/>
          <w:kern w:val="0"/>
          <w:szCs w:val="32"/>
        </w:rPr>
        <w:t>討論後達成：「國光蒐集審計部相關資訊，以協助業者與審計部溝通事宜」、「麥寮聯繫台電主辦副總經理，會面日期時間確認後，派</w:t>
      </w:r>
      <w:r w:rsidR="002779C9" w:rsidRPr="00AB2AD1">
        <w:rPr>
          <w:rFonts w:hAnsi="標楷體" w:cs="標楷體" w:hint="eastAsia"/>
          <w:bCs/>
          <w:kern w:val="0"/>
          <w:szCs w:val="32"/>
        </w:rPr>
        <w:t>代表</w:t>
      </w:r>
      <w:r w:rsidRPr="00AB2AD1">
        <w:rPr>
          <w:rFonts w:hAnsi="標楷體" w:cs="標楷體" w:hint="eastAsia"/>
          <w:bCs/>
          <w:kern w:val="0"/>
          <w:szCs w:val="32"/>
        </w:rPr>
        <w:t>同往台電對副總解釋，對台綜院及麥肯錫研究結果，業者擬對台電進行簡報說明」、「至台電進行簡報說明前、後，長生對能源局作禮貌性告知，並詢問能源局擬進行正式簡報時間」等決議。</w:t>
      </w:r>
    </w:p>
    <w:p w:rsidR="00295600" w:rsidRPr="00AB2AD1" w:rsidRDefault="00295600"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9年4月27日長生召開協進會</w:t>
      </w:r>
      <w:r w:rsidRPr="00AB2AD1">
        <w:rPr>
          <w:rFonts w:hAnsi="標楷體" w:cs="標楷體"/>
          <w:bCs/>
          <w:kern w:val="0"/>
          <w:szCs w:val="32"/>
        </w:rPr>
        <w:t>9</w:t>
      </w:r>
      <w:r w:rsidRPr="00AB2AD1">
        <w:rPr>
          <w:rFonts w:hAnsi="標楷體" w:cs="標楷體" w:hint="eastAsia"/>
          <w:bCs/>
          <w:kern w:val="0"/>
          <w:szCs w:val="32"/>
        </w:rPr>
        <w:t>9年度第3次</w:t>
      </w:r>
      <w:r w:rsidRPr="00AB2AD1">
        <w:rPr>
          <w:rFonts w:hAnsi="標楷體" w:cs="標楷體" w:hint="eastAsia"/>
          <w:bCs/>
          <w:kern w:val="0"/>
          <w:szCs w:val="32"/>
        </w:rPr>
        <w:lastRenderedPageBreak/>
        <w:t>會議，除聽取台綜院及麥肯錫諮詢公司簡報外，星能董事長於會中提出「審計部認為台電得依情事變更原則提出修約要求，惟利率變化並非不可預期，不足以構成情事變更」、「目前態勢看來似可維持現狀，惟台電仍有其壓力存在」、「</w:t>
      </w:r>
      <w:r w:rsidRPr="00AB2AD1">
        <w:rPr>
          <w:rFonts w:hAnsi="標楷體" w:cs="標楷體"/>
          <w:bCs/>
          <w:kern w:val="0"/>
          <w:szCs w:val="32"/>
        </w:rPr>
        <w:t>9</w:t>
      </w:r>
      <w:r w:rsidRPr="00AB2AD1">
        <w:rPr>
          <w:rFonts w:hAnsi="標楷體" w:cs="標楷體" w:hint="eastAsia"/>
          <w:bCs/>
          <w:kern w:val="0"/>
          <w:szCs w:val="32"/>
        </w:rPr>
        <w:t>家業者的狀況各自不同，能否有一致做法仍未知」</w:t>
      </w:r>
      <w:r w:rsidR="002779C9" w:rsidRPr="00AB2AD1">
        <w:rPr>
          <w:rFonts w:hAnsi="標楷體" w:cs="標楷體" w:hint="eastAsia"/>
          <w:bCs/>
          <w:kern w:val="0"/>
          <w:szCs w:val="32"/>
        </w:rPr>
        <w:t>等</w:t>
      </w:r>
      <w:r w:rsidRPr="00AB2AD1">
        <w:rPr>
          <w:rFonts w:hAnsi="標楷體" w:cs="標楷體" w:hint="eastAsia"/>
          <w:bCs/>
          <w:kern w:val="0"/>
          <w:szCs w:val="32"/>
        </w:rPr>
        <w:t>觀點與業者分享。另森霸董事長</w:t>
      </w:r>
      <w:r w:rsidR="00E460F5" w:rsidRPr="00AB2AD1">
        <w:rPr>
          <w:rFonts w:hAnsi="標楷體" w:cs="標楷體" w:hint="eastAsia"/>
          <w:bCs/>
          <w:kern w:val="0"/>
          <w:szCs w:val="32"/>
        </w:rPr>
        <w:t>則</w:t>
      </w:r>
      <w:r w:rsidRPr="00AB2AD1">
        <w:rPr>
          <w:rFonts w:hAnsi="標楷體" w:cs="標楷體" w:hint="eastAsia"/>
          <w:bCs/>
          <w:kern w:val="0"/>
          <w:szCs w:val="32"/>
        </w:rPr>
        <w:t>提出「台綜院與麥肯錫</w:t>
      </w:r>
      <w:r w:rsidR="002779C9" w:rsidRPr="00AB2AD1">
        <w:rPr>
          <w:rFonts w:hAnsi="標楷體" w:cs="標楷體" w:hint="eastAsia"/>
          <w:bCs/>
          <w:kern w:val="0"/>
          <w:szCs w:val="32"/>
        </w:rPr>
        <w:t>公司之</w:t>
      </w:r>
      <w:r w:rsidRPr="00AB2AD1">
        <w:rPr>
          <w:rFonts w:hAnsi="標楷體" w:cs="標楷體" w:hint="eastAsia"/>
          <w:bCs/>
          <w:kern w:val="0"/>
          <w:szCs w:val="32"/>
        </w:rPr>
        <w:t>報告</w:t>
      </w:r>
      <w:r w:rsidR="002779C9" w:rsidRPr="00AB2AD1">
        <w:rPr>
          <w:rFonts w:hAnsi="標楷體" w:cs="標楷體" w:hint="eastAsia"/>
          <w:bCs/>
          <w:kern w:val="0"/>
          <w:szCs w:val="32"/>
        </w:rPr>
        <w:t>，</w:t>
      </w:r>
      <w:r w:rsidRPr="00AB2AD1">
        <w:rPr>
          <w:rFonts w:hAnsi="標楷體" w:cs="標楷體" w:hint="eastAsia"/>
          <w:bCs/>
          <w:kern w:val="0"/>
          <w:szCs w:val="32"/>
        </w:rPr>
        <w:t>均已得出台經院公式不可行之結論，針對台經院公式的缺點，應加以反駁」、「能量費率即時反映應與本案</w:t>
      </w:r>
      <w:r w:rsidRPr="00AB2AD1">
        <w:rPr>
          <w:rFonts w:hAnsi="標楷體" w:cs="標楷體"/>
          <w:bCs/>
          <w:kern w:val="0"/>
          <w:szCs w:val="32"/>
        </w:rPr>
        <w:t>(</w:t>
      </w:r>
      <w:r w:rsidRPr="00AB2AD1">
        <w:rPr>
          <w:rFonts w:hAnsi="標楷體" w:cs="標楷體" w:hint="eastAsia"/>
          <w:bCs/>
          <w:kern w:val="0"/>
          <w:szCs w:val="32"/>
        </w:rPr>
        <w:t>容量費率隨利率調降</w:t>
      </w:r>
      <w:r w:rsidRPr="00AB2AD1">
        <w:rPr>
          <w:rFonts w:hAnsi="標楷體" w:cs="標楷體"/>
          <w:bCs/>
          <w:kern w:val="0"/>
          <w:szCs w:val="32"/>
        </w:rPr>
        <w:t>)</w:t>
      </w:r>
      <w:r w:rsidRPr="00AB2AD1">
        <w:rPr>
          <w:rFonts w:hAnsi="標楷體" w:cs="標楷體" w:hint="eastAsia"/>
          <w:bCs/>
          <w:kern w:val="0"/>
          <w:szCs w:val="32"/>
        </w:rPr>
        <w:t>脫鉤，可試算若未實施能量費率即時反映之差異」等意見。</w:t>
      </w:r>
    </w:p>
    <w:p w:rsidR="00295600" w:rsidRPr="00AB2AD1" w:rsidRDefault="00295600" w:rsidP="00484E1C">
      <w:pPr>
        <w:pStyle w:val="4"/>
        <w:rPr>
          <w:rFonts w:hAnsi="標楷體" w:cs="標楷體"/>
          <w:bCs/>
          <w:kern w:val="0"/>
          <w:szCs w:val="32"/>
        </w:rPr>
      </w:pPr>
      <w:r w:rsidRPr="00AB2AD1">
        <w:rPr>
          <w:rFonts w:hAnsi="標楷體" w:cs="標楷體"/>
          <w:bCs/>
          <w:kern w:val="0"/>
          <w:szCs w:val="32"/>
        </w:rPr>
        <w:t>9</w:t>
      </w:r>
      <w:r w:rsidRPr="00AB2AD1">
        <w:rPr>
          <w:rFonts w:hAnsi="標楷體" w:cs="標楷體" w:hint="eastAsia"/>
          <w:bCs/>
          <w:kern w:val="0"/>
          <w:szCs w:val="32"/>
        </w:rPr>
        <w:t>9年12月3日和平於能源局附近之咖啡廳召開「購電費率隨利率浮動調整機制」會議，</w:t>
      </w:r>
      <w:r w:rsidR="002779C9" w:rsidRPr="00AB2AD1">
        <w:rPr>
          <w:rFonts w:hAnsi="標楷體" w:cs="標楷體" w:hint="eastAsia"/>
          <w:bCs/>
          <w:kern w:val="0"/>
          <w:szCs w:val="32"/>
        </w:rPr>
        <w:t>有關</w:t>
      </w:r>
      <w:r w:rsidRPr="00AB2AD1">
        <w:rPr>
          <w:rFonts w:hAnsi="標楷體" w:cs="標楷體" w:hint="eastAsia"/>
          <w:bCs/>
          <w:kern w:val="0"/>
          <w:szCs w:val="32"/>
        </w:rPr>
        <w:t>業者委託研究機構之兩份研究報告轉送台電</w:t>
      </w:r>
      <w:r w:rsidR="002779C9" w:rsidRPr="00AB2AD1">
        <w:rPr>
          <w:rFonts w:hAnsi="標楷體" w:cs="標楷體" w:hint="eastAsia"/>
          <w:bCs/>
          <w:kern w:val="0"/>
          <w:szCs w:val="32"/>
        </w:rPr>
        <w:t>公司</w:t>
      </w:r>
      <w:r w:rsidRPr="00AB2AD1">
        <w:rPr>
          <w:rFonts w:hAnsi="標楷體" w:cs="標楷體" w:hint="eastAsia"/>
          <w:bCs/>
          <w:kern w:val="0"/>
          <w:szCs w:val="32"/>
        </w:rPr>
        <w:t>後，台電已函</w:t>
      </w:r>
      <w:r w:rsidR="00993D0D" w:rsidRPr="00AB2AD1">
        <w:rPr>
          <w:rFonts w:hAnsi="標楷體" w:cs="標楷體" w:hint="eastAsia"/>
          <w:bCs/>
          <w:kern w:val="0"/>
          <w:szCs w:val="32"/>
        </w:rPr>
        <w:t>請</w:t>
      </w:r>
      <w:r w:rsidRPr="00AB2AD1">
        <w:rPr>
          <w:rFonts w:hAnsi="標楷體" w:cs="標楷體" w:hint="eastAsia"/>
          <w:bCs/>
          <w:kern w:val="0"/>
          <w:szCs w:val="32"/>
        </w:rPr>
        <w:t>經濟部要求調處，</w:t>
      </w:r>
      <w:r w:rsidR="00E460F5" w:rsidRPr="00AB2AD1">
        <w:rPr>
          <w:rFonts w:hAnsi="標楷體" w:cs="標楷體" w:hint="eastAsia"/>
          <w:bCs/>
          <w:kern w:val="0"/>
          <w:szCs w:val="32"/>
        </w:rPr>
        <w:t>其會議</w:t>
      </w:r>
      <w:r w:rsidRPr="00AB2AD1">
        <w:rPr>
          <w:rFonts w:hAnsi="標楷體" w:cs="標楷體" w:hint="eastAsia"/>
          <w:bCs/>
          <w:kern w:val="0"/>
          <w:szCs w:val="32"/>
        </w:rPr>
        <w:t>結論：「俟收到能源局函後見招拆招，目前不作任何接洽。」</w:t>
      </w:r>
      <w:r w:rsidR="00993D0D" w:rsidRPr="00AB2AD1">
        <w:rPr>
          <w:rFonts w:hAnsi="標楷體" w:cs="標楷體" w:hint="eastAsia"/>
          <w:bCs/>
          <w:kern w:val="0"/>
          <w:szCs w:val="32"/>
        </w:rPr>
        <w:t>12月23日和平再次召開會議，各業者均同意：「以拖延策略回應，各業者可於台電所提供之意見單內回應：意見已在所送之研究報告內，台電若有意見可提出來。」</w:t>
      </w:r>
    </w:p>
    <w:p w:rsidR="00E65B4B" w:rsidRPr="00AB2AD1" w:rsidRDefault="00B2276F" w:rsidP="00484E1C">
      <w:pPr>
        <w:pStyle w:val="4"/>
        <w:rPr>
          <w:rFonts w:hAnsi="標楷體" w:cs="標楷體"/>
          <w:bCs/>
          <w:kern w:val="0"/>
          <w:szCs w:val="32"/>
        </w:rPr>
      </w:pPr>
      <w:r w:rsidRPr="00AB2AD1">
        <w:rPr>
          <w:rFonts w:hAnsi="標楷體" w:cs="標楷體" w:hint="eastAsia"/>
          <w:bCs/>
          <w:kern w:val="0"/>
          <w:szCs w:val="32"/>
        </w:rPr>
        <w:t>100年1月4日台電公司召開第</w:t>
      </w:r>
      <w:r w:rsidRPr="00AB2AD1">
        <w:rPr>
          <w:rFonts w:hAnsi="標楷體" w:cs="標楷體"/>
          <w:bCs/>
          <w:kern w:val="0"/>
          <w:szCs w:val="32"/>
        </w:rPr>
        <w:t>4</w:t>
      </w:r>
      <w:r w:rsidRPr="00AB2AD1">
        <w:rPr>
          <w:rFonts w:hAnsi="標楷體" w:cs="標楷體" w:hint="eastAsia"/>
          <w:bCs/>
          <w:kern w:val="0"/>
          <w:szCs w:val="32"/>
        </w:rPr>
        <w:t>次「購電費率隨利率浮動調整機制」協商會議(距</w:t>
      </w:r>
      <w:r w:rsidR="00E460F5" w:rsidRPr="00AB2AD1">
        <w:rPr>
          <w:rFonts w:hAnsi="標楷體" w:cs="標楷體" w:hint="eastAsia"/>
          <w:bCs/>
          <w:kern w:val="0"/>
          <w:szCs w:val="32"/>
        </w:rPr>
        <w:t>前次</w:t>
      </w:r>
      <w:r w:rsidRPr="00AB2AD1">
        <w:rPr>
          <w:rFonts w:hAnsi="標楷體" w:cs="標楷體" w:hint="eastAsia"/>
          <w:bCs/>
          <w:kern w:val="0"/>
          <w:szCs w:val="32"/>
        </w:rPr>
        <w:t>第3次協商會議已2年1個月)，</w:t>
      </w:r>
      <w:r w:rsidR="006C4BBA" w:rsidRPr="00AB2AD1">
        <w:rPr>
          <w:rFonts w:hAnsi="標楷體" w:cs="標楷體" w:hint="eastAsia"/>
          <w:bCs/>
          <w:kern w:val="0"/>
          <w:szCs w:val="32"/>
        </w:rPr>
        <w:t>因業者仍堅持其所委託研究機構之研究結論，台電會後將彙整業者意見，並報請經濟部調處。1月7日</w:t>
      </w:r>
      <w:r w:rsidR="006C4BBA" w:rsidRPr="00AB2AD1">
        <w:rPr>
          <w:rFonts w:hAnsi="標楷體" w:cs="標楷體"/>
          <w:bCs/>
          <w:kern w:val="0"/>
          <w:szCs w:val="32"/>
        </w:rPr>
        <w:t>9</w:t>
      </w:r>
      <w:r w:rsidR="006C4BBA" w:rsidRPr="00AB2AD1">
        <w:rPr>
          <w:rFonts w:hAnsi="標楷體" w:cs="標楷體" w:hint="eastAsia"/>
          <w:bCs/>
          <w:kern w:val="0"/>
          <w:szCs w:val="32"/>
        </w:rPr>
        <w:t>家</w:t>
      </w:r>
      <w:r w:rsidR="00C43338" w:rsidRPr="00AB2AD1">
        <w:rPr>
          <w:rFonts w:hAnsi="標楷體" w:cs="標楷體" w:hint="eastAsia"/>
          <w:bCs/>
          <w:kern w:val="0"/>
          <w:szCs w:val="32"/>
        </w:rPr>
        <w:t>發電業者</w:t>
      </w:r>
      <w:r w:rsidR="006C4BBA" w:rsidRPr="00AB2AD1">
        <w:rPr>
          <w:rFonts w:hAnsi="標楷體" w:cs="標楷體" w:hint="eastAsia"/>
          <w:bCs/>
          <w:kern w:val="0"/>
          <w:szCs w:val="32"/>
        </w:rPr>
        <w:t>於能源局附近之咖啡廳召開臨時會，並達成「向能源局爭取業者委託研究機構與台電及其委辦研究機構台經院共同檢討、溝通、說明的機會」及「每家業者提供</w:t>
      </w:r>
      <w:r w:rsidR="006C4BBA" w:rsidRPr="00AB2AD1">
        <w:rPr>
          <w:rFonts w:hAnsi="標楷體" w:cs="標楷體"/>
          <w:bCs/>
          <w:kern w:val="0"/>
          <w:szCs w:val="32"/>
        </w:rPr>
        <w:t>5</w:t>
      </w:r>
      <w:r w:rsidR="006C4BBA" w:rsidRPr="00AB2AD1">
        <w:rPr>
          <w:rFonts w:hAnsi="標楷體" w:cs="標楷體" w:hint="eastAsia"/>
          <w:bCs/>
          <w:kern w:val="0"/>
          <w:szCs w:val="32"/>
        </w:rPr>
        <w:t>題</w:t>
      </w:r>
      <w:r w:rsidR="006C4BBA" w:rsidRPr="00AB2AD1">
        <w:rPr>
          <w:rFonts w:hAnsi="標楷體" w:cs="標楷體"/>
          <w:bCs/>
          <w:kern w:val="0"/>
          <w:szCs w:val="32"/>
        </w:rPr>
        <w:t>Q&amp;A</w:t>
      </w:r>
      <w:r w:rsidR="006C4BBA" w:rsidRPr="00AB2AD1">
        <w:rPr>
          <w:rFonts w:hAnsi="標楷體" w:cs="標楷體" w:hint="eastAsia"/>
          <w:bCs/>
          <w:kern w:val="0"/>
          <w:szCs w:val="32"/>
        </w:rPr>
        <w:t>，以作為題庫，</w:t>
      </w:r>
      <w:r w:rsidR="006C4BBA" w:rsidRPr="00AB2AD1">
        <w:rPr>
          <w:rFonts w:hAnsi="標楷體" w:cs="標楷體" w:hint="eastAsia"/>
          <w:bCs/>
          <w:kern w:val="0"/>
          <w:szCs w:val="32"/>
        </w:rPr>
        <w:lastRenderedPageBreak/>
        <w:t>俾供內、外部參考及回應」等結論。</w:t>
      </w:r>
    </w:p>
    <w:p w:rsidR="006C4BBA" w:rsidRPr="00AB2AD1" w:rsidRDefault="006C4BBA" w:rsidP="00484E1C">
      <w:pPr>
        <w:pStyle w:val="4"/>
        <w:rPr>
          <w:rFonts w:hAnsi="標楷體" w:cs="標楷體"/>
          <w:bCs/>
          <w:kern w:val="0"/>
          <w:szCs w:val="32"/>
        </w:rPr>
      </w:pPr>
      <w:r w:rsidRPr="00AB2AD1">
        <w:rPr>
          <w:rFonts w:hAnsi="標楷體" w:cs="標楷體" w:hint="eastAsia"/>
          <w:bCs/>
          <w:kern w:val="0"/>
          <w:szCs w:val="32"/>
        </w:rPr>
        <w:t>100年3月24日新桃</w:t>
      </w:r>
      <w:r w:rsidR="007D4208" w:rsidRPr="00AB2AD1">
        <w:rPr>
          <w:rFonts w:hAnsi="標楷體" w:cs="標楷體" w:hint="eastAsia"/>
          <w:bCs/>
          <w:kern w:val="0"/>
          <w:szCs w:val="32"/>
        </w:rPr>
        <w:t>召開協進會</w:t>
      </w:r>
      <w:r w:rsidR="007D4208" w:rsidRPr="00AB2AD1">
        <w:rPr>
          <w:rFonts w:hAnsi="標楷體" w:cs="標楷體"/>
          <w:bCs/>
          <w:kern w:val="0"/>
          <w:szCs w:val="32"/>
        </w:rPr>
        <w:t>100</w:t>
      </w:r>
      <w:r w:rsidR="007D4208" w:rsidRPr="00AB2AD1">
        <w:rPr>
          <w:rFonts w:hAnsi="標楷體" w:cs="標楷體" w:hint="eastAsia"/>
          <w:bCs/>
          <w:kern w:val="0"/>
          <w:szCs w:val="32"/>
        </w:rPr>
        <w:t>年度第</w:t>
      </w:r>
      <w:r w:rsidR="007D4208" w:rsidRPr="00AB2AD1">
        <w:rPr>
          <w:rFonts w:hAnsi="標楷體" w:cs="標楷體"/>
          <w:bCs/>
          <w:kern w:val="0"/>
          <w:szCs w:val="32"/>
        </w:rPr>
        <w:t>1</w:t>
      </w:r>
      <w:r w:rsidR="007D4208" w:rsidRPr="00AB2AD1">
        <w:rPr>
          <w:rFonts w:hAnsi="標楷體" w:cs="標楷體" w:hint="eastAsia"/>
          <w:bCs/>
          <w:kern w:val="0"/>
          <w:szCs w:val="32"/>
        </w:rPr>
        <w:t>次會議，針對台電</w:t>
      </w:r>
      <w:r w:rsidR="004A62FB" w:rsidRPr="00AB2AD1">
        <w:rPr>
          <w:rFonts w:hAnsi="標楷體" w:cs="標楷體" w:hint="eastAsia"/>
          <w:bCs/>
          <w:kern w:val="0"/>
          <w:szCs w:val="32"/>
        </w:rPr>
        <w:t>公司</w:t>
      </w:r>
      <w:r w:rsidR="007D4208" w:rsidRPr="00AB2AD1">
        <w:rPr>
          <w:rFonts w:hAnsi="標楷體" w:cs="標楷體" w:hint="eastAsia"/>
          <w:bCs/>
          <w:kern w:val="0"/>
          <w:szCs w:val="32"/>
        </w:rPr>
        <w:t>於1月4日決議</w:t>
      </w:r>
      <w:r w:rsidR="00C43338" w:rsidRPr="00AB2AD1">
        <w:rPr>
          <w:rFonts w:hAnsi="標楷體" w:cs="標楷體" w:hint="eastAsia"/>
          <w:bCs/>
          <w:kern w:val="0"/>
          <w:szCs w:val="32"/>
        </w:rPr>
        <w:t>函請經濟部進行調處之議題</w:t>
      </w:r>
      <w:r w:rsidR="007D4208" w:rsidRPr="00AB2AD1">
        <w:rPr>
          <w:rFonts w:hAnsi="標楷體" w:cs="標楷體" w:hint="eastAsia"/>
          <w:bCs/>
          <w:kern w:val="0"/>
          <w:szCs w:val="32"/>
        </w:rPr>
        <w:t>決議：「由各業者分別推派代表組成工作團隊，另擇日討論條理化、層次化、邏輯化，</w:t>
      </w:r>
      <w:r w:rsidR="007D4208" w:rsidRPr="00AB2AD1">
        <w:rPr>
          <w:rFonts w:hAnsi="標楷體" w:cs="標楷體"/>
          <w:bCs/>
          <w:kern w:val="0"/>
          <w:szCs w:val="32"/>
        </w:rPr>
        <w:t>…</w:t>
      </w:r>
      <w:r w:rsidR="007D4208" w:rsidRPr="00AB2AD1">
        <w:rPr>
          <w:rFonts w:hAnsi="標楷體" w:cs="標楷體" w:hint="eastAsia"/>
          <w:bCs/>
          <w:kern w:val="0"/>
          <w:szCs w:val="32"/>
        </w:rPr>
        <w:t>至於法理部分，則請各業者自行諮詢法務。」</w:t>
      </w:r>
    </w:p>
    <w:p w:rsidR="007B5226" w:rsidRPr="00AB2AD1" w:rsidRDefault="007B5226" w:rsidP="00484E1C">
      <w:pPr>
        <w:pStyle w:val="4"/>
        <w:rPr>
          <w:rFonts w:hAnsi="標楷體" w:cs="標楷體"/>
          <w:bCs/>
          <w:kern w:val="0"/>
          <w:szCs w:val="32"/>
        </w:rPr>
      </w:pPr>
      <w:r w:rsidRPr="00AB2AD1">
        <w:rPr>
          <w:rFonts w:hAnsi="標楷體" w:cs="標楷體" w:hint="eastAsia"/>
          <w:bCs/>
          <w:kern w:val="0"/>
          <w:szCs w:val="32"/>
        </w:rPr>
        <w:t>100年4月11日能源局召開第</w:t>
      </w:r>
      <w:r w:rsidRPr="00AB2AD1">
        <w:rPr>
          <w:rFonts w:hAnsi="標楷體" w:cs="標楷體"/>
          <w:bCs/>
          <w:kern w:val="0"/>
          <w:szCs w:val="32"/>
        </w:rPr>
        <w:t>2</w:t>
      </w:r>
      <w:r w:rsidRPr="00AB2AD1">
        <w:rPr>
          <w:rFonts w:hAnsi="標楷體" w:cs="標楷體" w:hint="eastAsia"/>
          <w:bCs/>
          <w:kern w:val="0"/>
          <w:szCs w:val="32"/>
        </w:rPr>
        <w:t>次「購售電合約建立購電費率隨利率浮動調整機制」</w:t>
      </w:r>
      <w:r w:rsidR="00303C73" w:rsidRPr="00AB2AD1">
        <w:rPr>
          <w:rFonts w:hAnsi="標楷體" w:cs="標楷體" w:hint="eastAsia"/>
          <w:bCs/>
          <w:kern w:val="0"/>
          <w:szCs w:val="32"/>
        </w:rPr>
        <w:t>協處會議</w:t>
      </w:r>
      <w:r w:rsidRPr="00AB2AD1">
        <w:rPr>
          <w:rFonts w:hAnsi="標楷體" w:cs="標楷體" w:hint="eastAsia"/>
          <w:bCs/>
          <w:kern w:val="0"/>
          <w:szCs w:val="32"/>
        </w:rPr>
        <w:t>，</w:t>
      </w:r>
      <w:r w:rsidR="00BF2EDD" w:rsidRPr="00AB2AD1">
        <w:rPr>
          <w:rFonts w:hAnsi="標楷體" w:cs="標楷體" w:hint="eastAsia"/>
          <w:bCs/>
          <w:kern w:val="0"/>
          <w:szCs w:val="32"/>
        </w:rPr>
        <w:t>其結論略以：</w:t>
      </w:r>
      <w:r w:rsidR="004A62FB" w:rsidRPr="00AB2AD1">
        <w:rPr>
          <w:rFonts w:hAnsi="標楷體" w:cs="標楷體" w:hint="eastAsia"/>
          <w:bCs/>
          <w:kern w:val="0"/>
          <w:szCs w:val="32"/>
        </w:rPr>
        <w:t>「</w:t>
      </w:r>
      <w:r w:rsidR="00BF2EDD" w:rsidRPr="00AB2AD1">
        <w:rPr>
          <w:rFonts w:hAnsi="標楷體" w:cs="標楷體" w:hint="eastAsia"/>
          <w:bCs/>
          <w:kern w:val="0"/>
          <w:szCs w:val="32"/>
        </w:rPr>
        <w:t>對於購售電合約中增訂利率浮動調整之機制，係屬合約雙方於私法上權利義務之事項，如台電與業者就此爭議，仍未能協調解決，建議雙方可依購售電合約中所訂爭議解決方式，交付仲裁或訴請司法機關判定。</w:t>
      </w:r>
      <w:r w:rsidR="004A62FB" w:rsidRPr="00AB2AD1">
        <w:rPr>
          <w:rFonts w:hAnsi="標楷體" w:cs="標楷體" w:hint="eastAsia"/>
          <w:bCs/>
          <w:kern w:val="0"/>
          <w:szCs w:val="32"/>
        </w:rPr>
        <w:t>」</w:t>
      </w:r>
      <w:r w:rsidR="00BF2EDD" w:rsidRPr="00AB2AD1">
        <w:rPr>
          <w:rFonts w:hAnsi="標楷體" w:cs="標楷體" w:hint="eastAsia"/>
          <w:bCs/>
          <w:kern w:val="0"/>
          <w:szCs w:val="32"/>
        </w:rPr>
        <w:t>6月12日新桃召開協進會</w:t>
      </w:r>
      <w:r w:rsidR="00BF2EDD" w:rsidRPr="00AB2AD1">
        <w:rPr>
          <w:rFonts w:hAnsi="標楷體" w:cs="標楷體"/>
          <w:bCs/>
          <w:kern w:val="0"/>
          <w:szCs w:val="32"/>
        </w:rPr>
        <w:t>100</w:t>
      </w:r>
      <w:r w:rsidR="00BF2EDD" w:rsidRPr="00AB2AD1">
        <w:rPr>
          <w:rFonts w:hAnsi="標楷體" w:cs="標楷體" w:hint="eastAsia"/>
          <w:bCs/>
          <w:kern w:val="0"/>
          <w:szCs w:val="32"/>
        </w:rPr>
        <w:t>年度第2次會議，針對能源局協</w:t>
      </w:r>
      <w:r w:rsidR="004A62FB" w:rsidRPr="00AB2AD1">
        <w:rPr>
          <w:rFonts w:hAnsi="標楷體" w:cs="標楷體" w:hint="eastAsia"/>
          <w:bCs/>
          <w:kern w:val="0"/>
          <w:szCs w:val="32"/>
        </w:rPr>
        <w:t>處</w:t>
      </w:r>
      <w:r w:rsidR="00BF2EDD" w:rsidRPr="00AB2AD1">
        <w:rPr>
          <w:rFonts w:hAnsi="標楷體" w:cs="標楷體" w:hint="eastAsia"/>
          <w:bCs/>
          <w:kern w:val="0"/>
          <w:szCs w:val="32"/>
        </w:rPr>
        <w:t>未果，請各業者密切注意台電動向，如有新訊息，應儘速分享其他業者，謀求因應對策。</w:t>
      </w:r>
    </w:p>
    <w:p w:rsidR="00BF2EDD" w:rsidRPr="00AB2AD1" w:rsidRDefault="00363652" w:rsidP="00484E1C">
      <w:pPr>
        <w:pStyle w:val="4"/>
        <w:rPr>
          <w:rFonts w:hAnsi="標楷體" w:cs="標楷體"/>
          <w:bCs/>
          <w:kern w:val="0"/>
          <w:szCs w:val="32"/>
        </w:rPr>
      </w:pPr>
      <w:r w:rsidRPr="00AB2AD1">
        <w:rPr>
          <w:rFonts w:hAnsi="標楷體" w:cs="標楷體" w:hint="eastAsia"/>
          <w:bCs/>
          <w:kern w:val="0"/>
          <w:szCs w:val="32"/>
        </w:rPr>
        <w:t>101年4月12日經濟部宣布「電價合理化」</w:t>
      </w:r>
      <w:r w:rsidRPr="00AB2AD1">
        <w:rPr>
          <w:rFonts w:hAnsi="標楷體" w:cs="標楷體"/>
          <w:bCs/>
          <w:kern w:val="0"/>
          <w:szCs w:val="32"/>
        </w:rPr>
        <w:t>之</w:t>
      </w:r>
      <w:r w:rsidRPr="00AB2AD1">
        <w:rPr>
          <w:rFonts w:hAnsi="標楷體" w:cs="標楷體" w:hint="eastAsia"/>
          <w:bCs/>
          <w:kern w:val="0"/>
          <w:szCs w:val="32"/>
        </w:rPr>
        <w:t>調</w:t>
      </w:r>
      <w:r w:rsidRPr="00AB2AD1">
        <w:rPr>
          <w:rFonts w:hAnsi="標楷體" w:cs="標楷體"/>
          <w:bCs/>
          <w:kern w:val="0"/>
          <w:szCs w:val="32"/>
        </w:rPr>
        <w:t>漲方案</w:t>
      </w:r>
      <w:r w:rsidRPr="00AB2AD1">
        <w:rPr>
          <w:rFonts w:hAnsi="標楷體" w:cs="標楷體" w:hint="eastAsia"/>
          <w:bCs/>
          <w:kern w:val="0"/>
          <w:szCs w:val="32"/>
        </w:rPr>
        <w:t>，</w:t>
      </w:r>
      <w:r w:rsidR="00CE30CC" w:rsidRPr="00AB2AD1">
        <w:rPr>
          <w:rFonts w:hAnsi="標楷體" w:cs="標楷體" w:hint="eastAsia"/>
          <w:bCs/>
          <w:kern w:val="0"/>
          <w:szCs w:val="32"/>
        </w:rPr>
        <w:t>4月13日</w:t>
      </w:r>
      <w:r w:rsidRPr="00AB2AD1">
        <w:rPr>
          <w:rFonts w:hAnsi="標楷體" w:cs="標楷體" w:hint="eastAsia"/>
          <w:bCs/>
          <w:kern w:val="0"/>
          <w:szCs w:val="32"/>
        </w:rPr>
        <w:t>核定台電公司自5月15日起調漲電價29.5％，因而引發諸多民怨及工商團體、民意代表迭有意見。</w:t>
      </w:r>
    </w:p>
    <w:p w:rsidR="00363652" w:rsidRPr="00AB2AD1" w:rsidRDefault="00363652" w:rsidP="00484E1C">
      <w:pPr>
        <w:pStyle w:val="4"/>
        <w:rPr>
          <w:rFonts w:hAnsi="標楷體" w:cs="標楷體"/>
          <w:bCs/>
          <w:kern w:val="0"/>
          <w:szCs w:val="32"/>
        </w:rPr>
      </w:pPr>
      <w:r w:rsidRPr="00AB2AD1">
        <w:rPr>
          <w:rFonts w:hAnsi="標楷體" w:cs="標楷體" w:hint="eastAsia"/>
          <w:bCs/>
          <w:kern w:val="0"/>
          <w:szCs w:val="32"/>
        </w:rPr>
        <w:t>101年5月8日台電公司召開「第三階段民營電廠購電費率協商事宜」會議</w:t>
      </w:r>
      <w:r w:rsidRPr="00AB2AD1">
        <w:rPr>
          <w:rFonts w:hAnsi="標楷體" w:cs="標楷體"/>
          <w:bCs/>
          <w:kern w:val="0"/>
          <w:szCs w:val="32"/>
        </w:rPr>
        <w:t>(</w:t>
      </w:r>
      <w:r w:rsidRPr="00AB2AD1">
        <w:rPr>
          <w:rFonts w:hAnsi="標楷體" w:cs="標楷體" w:hint="eastAsia"/>
          <w:bCs/>
          <w:kern w:val="0"/>
          <w:szCs w:val="32"/>
        </w:rPr>
        <w:t>第</w:t>
      </w:r>
      <w:r w:rsidRPr="00AB2AD1">
        <w:rPr>
          <w:rFonts w:hAnsi="標楷體" w:cs="標楷體"/>
          <w:bCs/>
          <w:kern w:val="0"/>
          <w:szCs w:val="32"/>
        </w:rPr>
        <w:t>5</w:t>
      </w:r>
      <w:r w:rsidRPr="00AB2AD1">
        <w:rPr>
          <w:rFonts w:hAnsi="標楷體" w:cs="標楷體" w:hint="eastAsia"/>
          <w:bCs/>
          <w:kern w:val="0"/>
          <w:szCs w:val="32"/>
        </w:rPr>
        <w:t>次協商會議</w:t>
      </w:r>
      <w:r w:rsidRPr="00AB2AD1">
        <w:rPr>
          <w:rFonts w:hAnsi="標楷體" w:cs="標楷體"/>
          <w:bCs/>
          <w:kern w:val="0"/>
          <w:szCs w:val="32"/>
        </w:rPr>
        <w:t>)</w:t>
      </w:r>
      <w:r w:rsidR="00700F2C" w:rsidRPr="00AB2AD1">
        <w:rPr>
          <w:rFonts w:hAnsi="標楷體" w:cs="標楷體" w:hint="eastAsia"/>
          <w:bCs/>
          <w:kern w:val="0"/>
          <w:szCs w:val="32"/>
        </w:rPr>
        <w:t>，各業者均反對調降購電費率，國光表示該公司有內、外資股東，修約須先徵得董事會的同意；星能表示台汽電董事及經理人需面對股東之質疑，台汽電投資之</w:t>
      </w:r>
      <w:r w:rsidR="00700F2C" w:rsidRPr="00AB2AD1">
        <w:rPr>
          <w:rFonts w:hAnsi="標楷體" w:cs="標楷體"/>
          <w:bCs/>
          <w:kern w:val="0"/>
          <w:szCs w:val="32"/>
        </w:rPr>
        <w:t>4</w:t>
      </w:r>
      <w:r w:rsidR="00700F2C" w:rsidRPr="00AB2AD1">
        <w:rPr>
          <w:rFonts w:hAnsi="標楷體" w:cs="標楷體" w:hint="eastAsia"/>
          <w:bCs/>
          <w:kern w:val="0"/>
          <w:szCs w:val="32"/>
        </w:rPr>
        <w:t>家業者董事及經理人需面對國內、外國股東之壓力，如無正當理由，意圖為特定股東之利益，而同意修約致損害公司本身之利益，恐遭股東質疑違反公司法第</w:t>
      </w:r>
      <w:r w:rsidR="00700F2C" w:rsidRPr="00AB2AD1">
        <w:rPr>
          <w:rFonts w:hAnsi="標楷體" w:cs="標楷體"/>
          <w:bCs/>
          <w:kern w:val="0"/>
          <w:szCs w:val="32"/>
        </w:rPr>
        <w:t>23</w:t>
      </w:r>
      <w:r w:rsidR="00700F2C" w:rsidRPr="00AB2AD1">
        <w:rPr>
          <w:rFonts w:hAnsi="標楷體" w:cs="標楷體" w:hint="eastAsia"/>
          <w:bCs/>
          <w:kern w:val="0"/>
          <w:szCs w:val="32"/>
        </w:rPr>
        <w:t>條規定，須對公</w:t>
      </w:r>
      <w:r w:rsidR="00700F2C" w:rsidRPr="00AB2AD1">
        <w:rPr>
          <w:rFonts w:hAnsi="標楷體" w:cs="標楷體" w:hint="eastAsia"/>
          <w:bCs/>
          <w:kern w:val="0"/>
          <w:szCs w:val="32"/>
        </w:rPr>
        <w:lastRenderedPageBreak/>
        <w:t>司所受損害負民事賠償責任，另亦涉及刑法第</w:t>
      </w:r>
      <w:r w:rsidR="00700F2C" w:rsidRPr="00AB2AD1">
        <w:rPr>
          <w:rFonts w:hAnsi="標楷體" w:cs="標楷體"/>
          <w:bCs/>
          <w:kern w:val="0"/>
          <w:szCs w:val="32"/>
        </w:rPr>
        <w:t>342</w:t>
      </w:r>
      <w:r w:rsidR="00700F2C" w:rsidRPr="00AB2AD1">
        <w:rPr>
          <w:rFonts w:hAnsi="標楷體" w:cs="標楷體" w:hint="eastAsia"/>
          <w:bCs/>
          <w:kern w:val="0"/>
          <w:szCs w:val="32"/>
        </w:rPr>
        <w:t>條背信罪之刑責；森霸表示修</w:t>
      </w:r>
      <w:r w:rsidR="00C43338" w:rsidRPr="00AB2AD1">
        <w:rPr>
          <w:rFonts w:hAnsi="標楷體" w:cs="標楷體" w:hint="eastAsia"/>
          <w:bCs/>
          <w:kern w:val="0"/>
          <w:szCs w:val="32"/>
        </w:rPr>
        <w:t>改</w:t>
      </w:r>
      <w:r w:rsidR="00700F2C" w:rsidRPr="00AB2AD1">
        <w:rPr>
          <w:rFonts w:hAnsi="標楷體" w:cs="標楷體" w:hint="eastAsia"/>
          <w:bCs/>
          <w:kern w:val="0"/>
          <w:szCs w:val="32"/>
        </w:rPr>
        <w:t>購電費率應提報公司董事會決議通過始得為之</w:t>
      </w:r>
      <w:r w:rsidR="00D74599" w:rsidRPr="00AB2AD1">
        <w:rPr>
          <w:rFonts w:hAnsi="標楷體" w:cs="標楷體" w:hint="eastAsia"/>
          <w:bCs/>
          <w:kern w:val="0"/>
          <w:szCs w:val="32"/>
        </w:rPr>
        <w:t>，並說明違反上開法令之規定，且依證券交易法第</w:t>
      </w:r>
      <w:r w:rsidR="00D74599" w:rsidRPr="00AB2AD1">
        <w:rPr>
          <w:rFonts w:hAnsi="標楷體" w:cs="標楷體"/>
          <w:bCs/>
          <w:kern w:val="0"/>
          <w:szCs w:val="32"/>
        </w:rPr>
        <w:t>171</w:t>
      </w:r>
      <w:r w:rsidR="00D74599" w:rsidRPr="00AB2AD1">
        <w:rPr>
          <w:rFonts w:hAnsi="標楷體" w:cs="標楷體" w:hint="eastAsia"/>
          <w:bCs/>
          <w:kern w:val="0"/>
          <w:szCs w:val="32"/>
        </w:rPr>
        <w:t>條規定，尚有加重背信罪之適用</w:t>
      </w:r>
      <w:r w:rsidR="00700F2C" w:rsidRPr="00AB2AD1">
        <w:rPr>
          <w:rFonts w:hAnsi="標楷體" w:cs="標楷體" w:hint="eastAsia"/>
          <w:bCs/>
          <w:kern w:val="0"/>
          <w:szCs w:val="32"/>
        </w:rPr>
        <w:t>；</w:t>
      </w:r>
      <w:r w:rsidR="00D74599" w:rsidRPr="00AB2AD1">
        <w:rPr>
          <w:rFonts w:hAnsi="標楷體" w:cs="標楷體" w:hint="eastAsia"/>
          <w:bCs/>
          <w:kern w:val="0"/>
          <w:szCs w:val="32"/>
        </w:rPr>
        <w:t>星元表示原則上與星能之意見類似，並說明違反上開法令之規定</w:t>
      </w:r>
      <w:r w:rsidR="00700F2C" w:rsidRPr="00AB2AD1">
        <w:rPr>
          <w:rFonts w:hAnsi="標楷體" w:cs="標楷體" w:hint="eastAsia"/>
          <w:bCs/>
          <w:kern w:val="0"/>
          <w:szCs w:val="32"/>
        </w:rPr>
        <w:t>；台電則表示若未達成共識，經濟部將會介入調處，</w:t>
      </w:r>
      <w:r w:rsidR="005B2A3B" w:rsidRPr="00AB2AD1">
        <w:rPr>
          <w:rFonts w:hAnsi="標楷體" w:cs="標楷體" w:hint="eastAsia"/>
          <w:bCs/>
          <w:kern w:val="0"/>
          <w:szCs w:val="32"/>
        </w:rPr>
        <w:t>並</w:t>
      </w:r>
      <w:r w:rsidR="00700F2C" w:rsidRPr="00AB2AD1">
        <w:rPr>
          <w:rFonts w:hAnsi="標楷體" w:cs="標楷體" w:hint="eastAsia"/>
          <w:bCs/>
          <w:kern w:val="0"/>
          <w:szCs w:val="32"/>
        </w:rPr>
        <w:t>擬提議交付仲裁。</w:t>
      </w:r>
    </w:p>
    <w:p w:rsidR="002250DF" w:rsidRPr="00AB2AD1" w:rsidRDefault="002250DF" w:rsidP="00484E1C">
      <w:pPr>
        <w:pStyle w:val="4"/>
        <w:rPr>
          <w:rFonts w:hAnsi="標楷體" w:cs="標楷體"/>
          <w:bCs/>
          <w:kern w:val="0"/>
          <w:szCs w:val="32"/>
        </w:rPr>
      </w:pPr>
      <w:r w:rsidRPr="00AB2AD1">
        <w:rPr>
          <w:rFonts w:hAnsi="標楷體" w:cs="標楷體" w:hint="eastAsia"/>
          <w:bCs/>
          <w:kern w:val="0"/>
          <w:szCs w:val="32"/>
        </w:rPr>
        <w:t>101年5月17日台電公司再召開「第三階段民營電廠購電費率協商事宜」會議</w:t>
      </w:r>
      <w:r w:rsidRPr="00AB2AD1">
        <w:rPr>
          <w:rFonts w:hAnsi="標楷體" w:cs="標楷體"/>
          <w:bCs/>
          <w:kern w:val="0"/>
          <w:szCs w:val="32"/>
        </w:rPr>
        <w:t>(</w:t>
      </w:r>
      <w:r w:rsidRPr="00AB2AD1">
        <w:rPr>
          <w:rFonts w:hAnsi="標楷體" w:cs="標楷體" w:hint="eastAsia"/>
          <w:bCs/>
          <w:kern w:val="0"/>
          <w:szCs w:val="32"/>
        </w:rPr>
        <w:t>第6次</w:t>
      </w:r>
      <w:r w:rsidR="00303C73" w:rsidRPr="00AB2AD1">
        <w:rPr>
          <w:rFonts w:hAnsi="標楷體" w:cs="標楷體" w:hint="eastAsia"/>
          <w:bCs/>
          <w:kern w:val="0"/>
          <w:szCs w:val="32"/>
        </w:rPr>
        <w:t>協商會議</w:t>
      </w:r>
      <w:r w:rsidRPr="00AB2AD1">
        <w:rPr>
          <w:rFonts w:hAnsi="標楷體" w:cs="標楷體"/>
          <w:bCs/>
          <w:kern w:val="0"/>
          <w:szCs w:val="32"/>
        </w:rPr>
        <w:t>)</w:t>
      </w:r>
      <w:r w:rsidRPr="00AB2AD1">
        <w:rPr>
          <w:rFonts w:hAnsi="標楷體" w:cs="標楷體" w:hint="eastAsia"/>
          <w:bCs/>
          <w:kern w:val="0"/>
          <w:szCs w:val="32"/>
        </w:rPr>
        <w:t>，各業者對於台電所提「業者超過合理利潤部分應回饋全民」之方案，將攜回研究。5月</w:t>
      </w:r>
      <w:r w:rsidR="00C43338" w:rsidRPr="00AB2AD1">
        <w:rPr>
          <w:rFonts w:hAnsi="標楷體" w:cs="標楷體" w:hint="eastAsia"/>
          <w:bCs/>
          <w:kern w:val="0"/>
          <w:szCs w:val="32"/>
        </w:rPr>
        <w:t>22</w:t>
      </w:r>
      <w:r w:rsidRPr="00AB2AD1">
        <w:rPr>
          <w:rFonts w:hAnsi="標楷體" w:cs="標楷體" w:hint="eastAsia"/>
          <w:bCs/>
          <w:kern w:val="0"/>
          <w:szCs w:val="32"/>
        </w:rPr>
        <w:t>日台電公司又召開「第三階段民營電廠購電費率協商事宜」會議</w:t>
      </w:r>
      <w:r w:rsidRPr="00AB2AD1">
        <w:rPr>
          <w:rFonts w:hAnsi="標楷體" w:cs="標楷體"/>
          <w:bCs/>
          <w:kern w:val="0"/>
          <w:szCs w:val="32"/>
        </w:rPr>
        <w:t>(</w:t>
      </w:r>
      <w:r w:rsidRPr="00AB2AD1">
        <w:rPr>
          <w:rFonts w:hAnsi="標楷體" w:cs="標楷體" w:hint="eastAsia"/>
          <w:bCs/>
          <w:kern w:val="0"/>
          <w:szCs w:val="32"/>
        </w:rPr>
        <w:t>第7次</w:t>
      </w:r>
      <w:r w:rsidR="00303C73" w:rsidRPr="00AB2AD1">
        <w:rPr>
          <w:rFonts w:hAnsi="標楷體" w:cs="標楷體" w:hint="eastAsia"/>
          <w:bCs/>
          <w:kern w:val="0"/>
          <w:szCs w:val="32"/>
        </w:rPr>
        <w:t>協商會議</w:t>
      </w:r>
      <w:r w:rsidRPr="00AB2AD1">
        <w:rPr>
          <w:rFonts w:hAnsi="標楷體" w:cs="標楷體"/>
          <w:bCs/>
          <w:kern w:val="0"/>
          <w:szCs w:val="32"/>
        </w:rPr>
        <w:t>)</w:t>
      </w:r>
      <w:r w:rsidRPr="00AB2AD1">
        <w:rPr>
          <w:rFonts w:hAnsi="標楷體" w:cs="標楷體" w:hint="eastAsia"/>
          <w:bCs/>
          <w:kern w:val="0"/>
          <w:szCs w:val="32"/>
        </w:rPr>
        <w:t>，台電表示為避免齊頭式平等及缺乏激勵誘因，前次會議所提之「</w:t>
      </w:r>
      <w:r w:rsidR="00645A26" w:rsidRPr="00AB2AD1">
        <w:rPr>
          <w:rFonts w:hAnsi="標楷體" w:cs="標楷體" w:hint="eastAsia"/>
          <w:bCs/>
          <w:kern w:val="0"/>
          <w:szCs w:val="32"/>
        </w:rPr>
        <w:t>發電業者</w:t>
      </w:r>
      <w:r w:rsidRPr="00AB2AD1">
        <w:rPr>
          <w:rFonts w:hAnsi="標楷體" w:cs="標楷體" w:hint="eastAsia"/>
          <w:bCs/>
          <w:kern w:val="0"/>
          <w:szCs w:val="32"/>
        </w:rPr>
        <w:t>超過合理利潤</w:t>
      </w:r>
      <w:r w:rsidRPr="00AB2AD1">
        <w:rPr>
          <w:rFonts w:hAnsi="標楷體" w:cs="標楷體"/>
          <w:bCs/>
          <w:kern w:val="0"/>
          <w:szCs w:val="32"/>
        </w:rPr>
        <w:t>(</w:t>
      </w:r>
      <w:r w:rsidRPr="00AB2AD1">
        <w:rPr>
          <w:rFonts w:hAnsi="標楷體" w:cs="標楷體" w:hint="eastAsia"/>
          <w:bCs/>
          <w:kern w:val="0"/>
          <w:szCs w:val="32"/>
        </w:rPr>
        <w:t>如</w:t>
      </w:r>
      <w:r w:rsidR="005B2A3B" w:rsidRPr="00AB2AD1">
        <w:rPr>
          <w:rFonts w:hAnsi="標楷體" w:cs="標楷體"/>
          <w:bCs/>
          <w:kern w:val="0"/>
          <w:szCs w:val="32"/>
        </w:rPr>
        <w:t>資產報酬率</w:t>
      </w:r>
      <w:r w:rsidRPr="00AB2AD1">
        <w:rPr>
          <w:rFonts w:hAnsi="標楷體" w:cs="標楷體"/>
          <w:bCs/>
          <w:kern w:val="0"/>
          <w:szCs w:val="32"/>
        </w:rPr>
        <w:t>ROA</w:t>
      </w:r>
      <w:r w:rsidR="00D42306" w:rsidRPr="00AB2AD1">
        <w:rPr>
          <w:rFonts w:hAnsi="標楷體" w:cs="標楷體" w:hint="eastAsia"/>
          <w:bCs/>
          <w:kern w:val="0"/>
          <w:szCs w:val="32"/>
        </w:rPr>
        <w:t>超過</w:t>
      </w:r>
      <w:r w:rsidRPr="00AB2AD1">
        <w:rPr>
          <w:rFonts w:hAnsi="標楷體" w:cs="標楷體"/>
          <w:bCs/>
          <w:kern w:val="0"/>
          <w:szCs w:val="32"/>
        </w:rPr>
        <w:t>3</w:t>
      </w:r>
      <w:r w:rsidR="00E1760C" w:rsidRPr="00AB2AD1">
        <w:rPr>
          <w:rFonts w:hAnsi="標楷體" w:cs="標楷體" w:hint="eastAsia"/>
          <w:bCs/>
          <w:kern w:val="0"/>
          <w:szCs w:val="32"/>
        </w:rPr>
        <w:t>％</w:t>
      </w:r>
      <w:r w:rsidR="00A62E3E" w:rsidRPr="00AB2AD1">
        <w:rPr>
          <w:rStyle w:val="afff"/>
          <w:rFonts w:hAnsi="標楷體" w:cs="標楷體"/>
          <w:bCs/>
          <w:kern w:val="0"/>
          <w:szCs w:val="32"/>
        </w:rPr>
        <w:footnoteReference w:id="2"/>
      </w:r>
      <w:r w:rsidRPr="00AB2AD1">
        <w:rPr>
          <w:rFonts w:hAnsi="標楷體" w:cs="標楷體"/>
          <w:bCs/>
          <w:kern w:val="0"/>
          <w:szCs w:val="32"/>
        </w:rPr>
        <w:t>)</w:t>
      </w:r>
      <w:r w:rsidRPr="00AB2AD1">
        <w:rPr>
          <w:rFonts w:hAnsi="標楷體" w:cs="標楷體" w:hint="eastAsia"/>
          <w:bCs/>
          <w:kern w:val="0"/>
          <w:szCs w:val="32"/>
        </w:rPr>
        <w:t>部分應回饋全民」之方案，修正為「超過合理利潤</w:t>
      </w:r>
      <w:r w:rsidRPr="00AB2AD1">
        <w:rPr>
          <w:rFonts w:hAnsi="標楷體" w:cs="標楷體"/>
          <w:bCs/>
          <w:kern w:val="0"/>
          <w:szCs w:val="32"/>
        </w:rPr>
        <w:t>(</w:t>
      </w:r>
      <w:r w:rsidRPr="00AB2AD1">
        <w:rPr>
          <w:rFonts w:hAnsi="標楷體" w:cs="標楷體" w:hint="eastAsia"/>
          <w:bCs/>
          <w:kern w:val="0"/>
          <w:szCs w:val="32"/>
        </w:rPr>
        <w:t>如</w:t>
      </w:r>
      <w:r w:rsidRPr="00AB2AD1">
        <w:rPr>
          <w:rFonts w:hAnsi="標楷體" w:cs="標楷體"/>
          <w:bCs/>
          <w:kern w:val="0"/>
          <w:szCs w:val="32"/>
        </w:rPr>
        <w:t>ROA</w:t>
      </w:r>
      <w:r w:rsidR="00D42306" w:rsidRPr="00AB2AD1">
        <w:rPr>
          <w:rFonts w:hAnsi="標楷體" w:cs="標楷體" w:hint="eastAsia"/>
          <w:bCs/>
          <w:kern w:val="0"/>
          <w:szCs w:val="32"/>
        </w:rPr>
        <w:t>超過</w:t>
      </w:r>
      <w:r w:rsidRPr="00AB2AD1">
        <w:rPr>
          <w:rFonts w:hAnsi="標楷體" w:cs="標楷體"/>
          <w:bCs/>
          <w:kern w:val="0"/>
          <w:szCs w:val="32"/>
        </w:rPr>
        <w:t>3</w:t>
      </w:r>
      <w:r w:rsidR="00E1760C" w:rsidRPr="00AB2AD1">
        <w:rPr>
          <w:rFonts w:hAnsi="標楷體" w:cs="標楷體" w:hint="eastAsia"/>
          <w:bCs/>
          <w:kern w:val="0"/>
          <w:szCs w:val="32"/>
        </w:rPr>
        <w:t>％</w:t>
      </w:r>
      <w:r w:rsidRPr="00AB2AD1">
        <w:rPr>
          <w:rFonts w:hAnsi="標楷體" w:cs="標楷體"/>
          <w:bCs/>
          <w:kern w:val="0"/>
          <w:szCs w:val="32"/>
        </w:rPr>
        <w:t>)</w:t>
      </w:r>
      <w:r w:rsidRPr="00AB2AD1">
        <w:rPr>
          <w:rFonts w:hAnsi="標楷體" w:cs="標楷體" w:hint="eastAsia"/>
          <w:bCs/>
          <w:kern w:val="0"/>
          <w:szCs w:val="32"/>
        </w:rPr>
        <w:t>部分，</w:t>
      </w:r>
      <w:r w:rsidRPr="00AB2AD1">
        <w:rPr>
          <w:rFonts w:hAnsi="標楷體" w:cs="標楷體"/>
          <w:bCs/>
          <w:kern w:val="0"/>
          <w:szCs w:val="32"/>
        </w:rPr>
        <w:t>60</w:t>
      </w:r>
      <w:r w:rsidR="00E1760C" w:rsidRPr="00AB2AD1">
        <w:rPr>
          <w:rFonts w:hAnsi="標楷體" w:cs="標楷體" w:hint="eastAsia"/>
          <w:bCs/>
          <w:kern w:val="0"/>
          <w:szCs w:val="32"/>
        </w:rPr>
        <w:t>％</w:t>
      </w:r>
      <w:r w:rsidRPr="00AB2AD1">
        <w:rPr>
          <w:rFonts w:hAnsi="標楷體" w:cs="標楷體" w:hint="eastAsia"/>
          <w:bCs/>
          <w:kern w:val="0"/>
          <w:szCs w:val="32"/>
        </w:rPr>
        <w:t>回饋全民，其餘</w:t>
      </w:r>
      <w:r w:rsidRPr="00AB2AD1">
        <w:rPr>
          <w:rFonts w:hAnsi="標楷體" w:cs="標楷體"/>
          <w:bCs/>
          <w:kern w:val="0"/>
          <w:szCs w:val="32"/>
        </w:rPr>
        <w:t>40</w:t>
      </w:r>
      <w:r w:rsidR="005B2A3B" w:rsidRPr="00AB2AD1">
        <w:rPr>
          <w:rFonts w:hAnsi="標楷體" w:cs="標楷體" w:hint="eastAsia"/>
          <w:bCs/>
          <w:kern w:val="0"/>
          <w:szCs w:val="32"/>
        </w:rPr>
        <w:t>％</w:t>
      </w:r>
      <w:r w:rsidRPr="00AB2AD1">
        <w:rPr>
          <w:rFonts w:hAnsi="標楷體" w:cs="標楷體" w:hint="eastAsia"/>
          <w:bCs/>
          <w:kern w:val="0"/>
          <w:szCs w:val="32"/>
        </w:rPr>
        <w:t>歸業者所有」；業者表示將陳報高階主管或董監事</w:t>
      </w:r>
      <w:r w:rsidR="00645A26" w:rsidRPr="00AB2AD1">
        <w:rPr>
          <w:rFonts w:hAnsi="標楷體" w:cs="標楷體" w:hint="eastAsia"/>
          <w:bCs/>
          <w:kern w:val="0"/>
          <w:szCs w:val="32"/>
        </w:rPr>
        <w:t>會議</w:t>
      </w:r>
      <w:r w:rsidRPr="00AB2AD1">
        <w:rPr>
          <w:rFonts w:hAnsi="標楷體" w:cs="標楷體" w:hint="eastAsia"/>
          <w:bCs/>
          <w:kern w:val="0"/>
          <w:szCs w:val="32"/>
        </w:rPr>
        <w:t>進行討論後再回應</w:t>
      </w:r>
      <w:r w:rsidR="00E1760C" w:rsidRPr="00AB2AD1">
        <w:rPr>
          <w:rFonts w:hAnsi="標楷體" w:cs="標楷體" w:hint="eastAsia"/>
          <w:bCs/>
          <w:kern w:val="0"/>
          <w:szCs w:val="32"/>
        </w:rPr>
        <w:t>等意見</w:t>
      </w:r>
      <w:r w:rsidRPr="00AB2AD1">
        <w:rPr>
          <w:rFonts w:hAnsi="標楷體" w:cs="標楷體" w:hint="eastAsia"/>
          <w:bCs/>
          <w:kern w:val="0"/>
          <w:szCs w:val="32"/>
        </w:rPr>
        <w:t>。</w:t>
      </w:r>
    </w:p>
    <w:p w:rsidR="005B7BDC" w:rsidRPr="00AB2AD1" w:rsidRDefault="005B7BDC" w:rsidP="00484E1C">
      <w:pPr>
        <w:pStyle w:val="4"/>
        <w:rPr>
          <w:rFonts w:hAnsi="標楷體" w:cs="標楷體"/>
          <w:bCs/>
          <w:kern w:val="0"/>
          <w:szCs w:val="32"/>
        </w:rPr>
      </w:pPr>
      <w:r w:rsidRPr="00AB2AD1">
        <w:rPr>
          <w:rFonts w:hAnsi="標楷體" w:cs="標楷體" w:hint="eastAsia"/>
          <w:bCs/>
          <w:kern w:val="0"/>
          <w:szCs w:val="32"/>
        </w:rPr>
        <w:t>101年5月28日台電公司</w:t>
      </w:r>
      <w:r w:rsidR="00113F33" w:rsidRPr="00AB2AD1">
        <w:rPr>
          <w:rFonts w:hAnsi="標楷體" w:cs="標楷體" w:hint="eastAsia"/>
          <w:bCs/>
          <w:kern w:val="0"/>
          <w:szCs w:val="32"/>
        </w:rPr>
        <w:t>新事業開發室內部簽陳副總經理略以：台汽電公司將於5月29日召開「轉投資民營電力公司與台電之購售電合約事宜」董監座談會，陳請指示公股代表應表達之意見略以：業務處意見，修約乃一家公司之正常商業行為，並無公司法第23條(未盡善良管理人之</w:t>
      </w:r>
      <w:r w:rsidR="00113F33" w:rsidRPr="00AB2AD1">
        <w:rPr>
          <w:rFonts w:hAnsi="標楷體" w:cs="標楷體" w:hint="eastAsia"/>
          <w:bCs/>
          <w:kern w:val="0"/>
          <w:szCs w:val="32"/>
        </w:rPr>
        <w:lastRenderedPageBreak/>
        <w:t>注意義務)及刑法第342條(背信罪)之適用；法律事務室意見，本公司派兼台汽電之董事，就程序面詳予表達意見即可，且無迴避之必要。經副總經理指示：建議公股代表可依相關部門意見，參與討論。</w:t>
      </w:r>
    </w:p>
    <w:p w:rsidR="00E1760C" w:rsidRPr="00AB2AD1" w:rsidRDefault="00E1760C" w:rsidP="00484E1C">
      <w:pPr>
        <w:pStyle w:val="4"/>
        <w:rPr>
          <w:rFonts w:hAnsi="標楷體" w:cs="標楷體"/>
          <w:bCs/>
          <w:kern w:val="0"/>
          <w:szCs w:val="32"/>
        </w:rPr>
      </w:pPr>
      <w:r w:rsidRPr="00AB2AD1">
        <w:rPr>
          <w:rFonts w:hAnsi="標楷體" w:cs="標楷體" w:hint="eastAsia"/>
          <w:bCs/>
          <w:kern w:val="0"/>
          <w:szCs w:val="32"/>
        </w:rPr>
        <w:t>101年5月30日嘉惠召開協進會</w:t>
      </w:r>
      <w:r w:rsidRPr="00AB2AD1">
        <w:rPr>
          <w:rFonts w:hAnsi="標楷體" w:cs="標楷體"/>
          <w:bCs/>
          <w:kern w:val="0"/>
          <w:szCs w:val="32"/>
        </w:rPr>
        <w:t>101</w:t>
      </w:r>
      <w:r w:rsidRPr="00AB2AD1">
        <w:rPr>
          <w:rFonts w:hAnsi="標楷體" w:cs="標楷體" w:hint="eastAsia"/>
          <w:bCs/>
          <w:kern w:val="0"/>
          <w:szCs w:val="32"/>
        </w:rPr>
        <w:t>年度第</w:t>
      </w:r>
      <w:r w:rsidRPr="00AB2AD1">
        <w:rPr>
          <w:rFonts w:hAnsi="標楷體" w:cs="標楷體"/>
          <w:bCs/>
          <w:kern w:val="0"/>
          <w:szCs w:val="32"/>
        </w:rPr>
        <w:t>2</w:t>
      </w:r>
      <w:r w:rsidRPr="00AB2AD1">
        <w:rPr>
          <w:rFonts w:hAnsi="標楷體" w:cs="標楷體" w:hint="eastAsia"/>
          <w:bCs/>
          <w:kern w:val="0"/>
          <w:szCs w:val="32"/>
        </w:rPr>
        <w:t>次會議，討論「台電要求業者修約增訂</w:t>
      </w:r>
      <w:r w:rsidRPr="00AB2AD1">
        <w:rPr>
          <w:rFonts w:hAnsi="標楷體" w:cs="標楷體"/>
          <w:bCs/>
          <w:kern w:val="0"/>
          <w:szCs w:val="32"/>
        </w:rPr>
        <w:t>ROA</w:t>
      </w:r>
      <w:r w:rsidRPr="00AB2AD1">
        <w:rPr>
          <w:rFonts w:hAnsi="標楷體" w:cs="標楷體" w:hint="eastAsia"/>
          <w:bCs/>
          <w:kern w:val="0"/>
          <w:szCs w:val="32"/>
        </w:rPr>
        <w:t>大於</w:t>
      </w:r>
      <w:r w:rsidRPr="00AB2AD1">
        <w:rPr>
          <w:rFonts w:hAnsi="標楷體" w:cs="標楷體"/>
          <w:bCs/>
          <w:kern w:val="0"/>
          <w:szCs w:val="32"/>
        </w:rPr>
        <w:t>3</w:t>
      </w:r>
      <w:r w:rsidRPr="00AB2AD1">
        <w:rPr>
          <w:rFonts w:hAnsi="標楷體" w:cs="標楷體" w:hint="eastAsia"/>
          <w:bCs/>
          <w:kern w:val="0"/>
          <w:szCs w:val="32"/>
        </w:rPr>
        <w:t>％之盈餘</w:t>
      </w:r>
      <w:r w:rsidRPr="00AB2AD1">
        <w:rPr>
          <w:rFonts w:hAnsi="標楷體" w:cs="標楷體"/>
          <w:bCs/>
          <w:kern w:val="0"/>
          <w:szCs w:val="32"/>
        </w:rPr>
        <w:t>60</w:t>
      </w:r>
      <w:r w:rsidRPr="00AB2AD1">
        <w:rPr>
          <w:rFonts w:hAnsi="標楷體" w:cs="標楷體" w:hint="eastAsia"/>
          <w:bCs/>
          <w:kern w:val="0"/>
          <w:szCs w:val="32"/>
        </w:rPr>
        <w:t>％回饋政府」等議題，並達成：「請各有外資之業者，以外資身份去函政府部門關切」、「</w:t>
      </w:r>
      <w:r w:rsidR="00DE7230" w:rsidRPr="00AB2AD1">
        <w:rPr>
          <w:rFonts w:hAnsi="標楷體" w:cs="標楷體" w:hint="eastAsia"/>
          <w:bCs/>
          <w:kern w:val="0"/>
          <w:szCs w:val="32"/>
        </w:rPr>
        <w:t>由</w:t>
      </w:r>
      <w:r w:rsidRPr="00AB2AD1">
        <w:rPr>
          <w:rFonts w:hAnsi="標楷體" w:cs="標楷體" w:hint="eastAsia"/>
          <w:bCs/>
          <w:kern w:val="0"/>
          <w:szCs w:val="32"/>
        </w:rPr>
        <w:t>嘉惠與麥寮就近先行與能源局電力組瞭解其意向，再通知各</w:t>
      </w:r>
      <w:r w:rsidR="00DE7230" w:rsidRPr="00AB2AD1">
        <w:rPr>
          <w:rFonts w:hAnsi="標楷體" w:cs="標楷體" w:hint="eastAsia"/>
          <w:bCs/>
          <w:kern w:val="0"/>
          <w:szCs w:val="32"/>
        </w:rPr>
        <w:t>業者</w:t>
      </w:r>
      <w:r w:rsidRPr="00AB2AD1">
        <w:rPr>
          <w:rFonts w:hAnsi="標楷體" w:cs="標楷體" w:hint="eastAsia"/>
          <w:bCs/>
          <w:kern w:val="0"/>
          <w:szCs w:val="32"/>
        </w:rPr>
        <w:t>採取一致動作，並分別去函表達立場」、「森霸邀請各</w:t>
      </w:r>
      <w:r w:rsidR="00DE7230" w:rsidRPr="00AB2AD1">
        <w:rPr>
          <w:rFonts w:hAnsi="標楷體" w:cs="標楷體" w:hint="eastAsia"/>
          <w:bCs/>
          <w:kern w:val="0"/>
          <w:szCs w:val="32"/>
        </w:rPr>
        <w:t>業者</w:t>
      </w:r>
      <w:r w:rsidRPr="00AB2AD1">
        <w:rPr>
          <w:rFonts w:hAnsi="標楷體" w:cs="標楷體" w:hint="eastAsia"/>
          <w:bCs/>
          <w:kern w:val="0"/>
          <w:szCs w:val="32"/>
        </w:rPr>
        <w:t>決策高層主管至該公司研商媒體溝通與因應等相關事宜」等結論。</w:t>
      </w:r>
    </w:p>
    <w:p w:rsidR="00DE7230" w:rsidRPr="00AB2AD1" w:rsidRDefault="00DE7230" w:rsidP="00484E1C">
      <w:pPr>
        <w:pStyle w:val="4"/>
        <w:rPr>
          <w:rFonts w:hAnsi="標楷體"/>
          <w:szCs w:val="32"/>
        </w:rPr>
      </w:pPr>
      <w:r w:rsidRPr="00AB2AD1">
        <w:rPr>
          <w:rFonts w:hAnsi="標楷體" w:hint="eastAsia"/>
          <w:szCs w:val="32"/>
        </w:rPr>
        <w:t>101年5月31日台電公司召開「第三階段民營電廠購電費率協商事宜」會議</w:t>
      </w:r>
      <w:r w:rsidRPr="00AB2AD1">
        <w:rPr>
          <w:rFonts w:hAnsi="標楷體"/>
          <w:szCs w:val="32"/>
        </w:rPr>
        <w:t>(</w:t>
      </w:r>
      <w:r w:rsidRPr="00AB2AD1">
        <w:rPr>
          <w:rFonts w:hAnsi="標楷體" w:hint="eastAsia"/>
          <w:szCs w:val="32"/>
        </w:rPr>
        <w:t>第8次</w:t>
      </w:r>
      <w:r w:rsidR="00303C73" w:rsidRPr="00AB2AD1">
        <w:rPr>
          <w:rFonts w:hAnsi="標楷體" w:hint="eastAsia"/>
          <w:szCs w:val="32"/>
        </w:rPr>
        <w:t>協商會議</w:t>
      </w:r>
      <w:r w:rsidRPr="00AB2AD1">
        <w:rPr>
          <w:rFonts w:hAnsi="標楷體"/>
          <w:szCs w:val="32"/>
        </w:rPr>
        <w:t>)</w:t>
      </w:r>
      <w:r w:rsidRPr="00AB2AD1">
        <w:rPr>
          <w:rFonts w:hAnsi="標楷體" w:hint="eastAsia"/>
          <w:szCs w:val="32"/>
        </w:rPr>
        <w:t>，各業者仍</w:t>
      </w:r>
      <w:r w:rsidR="005B2A3B" w:rsidRPr="00AB2AD1">
        <w:rPr>
          <w:rFonts w:hAnsi="標楷體" w:hint="eastAsia"/>
          <w:szCs w:val="32"/>
        </w:rPr>
        <w:t>未</w:t>
      </w:r>
      <w:r w:rsidRPr="00AB2AD1">
        <w:rPr>
          <w:rFonts w:hAnsi="標楷體" w:hint="eastAsia"/>
          <w:szCs w:val="32"/>
        </w:rPr>
        <w:t>能與台電達成修約共識</w:t>
      </w:r>
      <w:r w:rsidR="007A6911" w:rsidRPr="00AB2AD1">
        <w:rPr>
          <w:rFonts w:hAnsi="標楷體" w:hint="eastAsia"/>
          <w:szCs w:val="32"/>
        </w:rPr>
        <w:t>，國光並於會中表示：「台汽電公司除反對之外，亦正式發函國光，就購電費率調降協商乙事，嚴正表達關切，要求在董事會有結論前應謹慎應對。台汽電為台電轉投資公司，如何說服台汽電，請台電努力。」</w:t>
      </w:r>
    </w:p>
    <w:p w:rsidR="007A6911" w:rsidRPr="00AB2AD1" w:rsidRDefault="007A6911" w:rsidP="00484E1C">
      <w:pPr>
        <w:pStyle w:val="4"/>
        <w:rPr>
          <w:rFonts w:hAnsi="標楷體"/>
          <w:szCs w:val="32"/>
        </w:rPr>
      </w:pPr>
      <w:r w:rsidRPr="00AB2AD1">
        <w:rPr>
          <w:rFonts w:hAnsi="標楷體" w:hint="eastAsia"/>
          <w:szCs w:val="32"/>
        </w:rPr>
        <w:t>101年6月5日嘉惠邀請各業者召開「媒體公關與因應座談會」，其綜合討論意見略以：「透過媒體公關的運作報導，反制扭轉社會大眾的觀念印象…。請媒體公關蒐集各種扭曲事實、不當偏激的言論報導及蒐集台電等相關資料，研擬必要回應說辭；推選</w:t>
      </w:r>
      <w:r w:rsidRPr="00AB2AD1">
        <w:rPr>
          <w:rFonts w:hAnsi="標楷體"/>
          <w:szCs w:val="32"/>
        </w:rPr>
        <w:t>2-3</w:t>
      </w:r>
      <w:r w:rsidRPr="00AB2AD1">
        <w:rPr>
          <w:rFonts w:hAnsi="標楷體" w:hint="eastAsia"/>
          <w:szCs w:val="32"/>
        </w:rPr>
        <w:t>人準備參加來賓談話性節目。」</w:t>
      </w:r>
    </w:p>
    <w:p w:rsidR="007A6911" w:rsidRPr="00AB2AD1" w:rsidRDefault="007A6911" w:rsidP="00484E1C">
      <w:pPr>
        <w:pStyle w:val="4"/>
        <w:rPr>
          <w:rFonts w:hAnsi="標楷體"/>
          <w:szCs w:val="32"/>
        </w:rPr>
      </w:pPr>
      <w:r w:rsidRPr="00AB2AD1">
        <w:rPr>
          <w:rFonts w:hAnsi="標楷體" w:hint="eastAsia"/>
          <w:szCs w:val="32"/>
        </w:rPr>
        <w:t>101年6月12日本院通過彈劾台電</w:t>
      </w:r>
      <w:r w:rsidR="009358CA" w:rsidRPr="00AB2AD1">
        <w:rPr>
          <w:rFonts w:hAnsi="標楷體" w:hint="eastAsia"/>
          <w:szCs w:val="32"/>
        </w:rPr>
        <w:t>公司</w:t>
      </w:r>
      <w:r w:rsidRPr="00AB2AD1">
        <w:rPr>
          <w:rFonts w:hAnsi="標楷體" w:hint="eastAsia"/>
          <w:szCs w:val="32"/>
        </w:rPr>
        <w:t>前董事長</w:t>
      </w:r>
      <w:r w:rsidR="009358CA" w:rsidRPr="00AB2AD1">
        <w:rPr>
          <w:rFonts w:hAnsi="標楷體" w:hint="eastAsia"/>
          <w:szCs w:val="32"/>
        </w:rPr>
        <w:t>及</w:t>
      </w:r>
      <w:r w:rsidRPr="00AB2AD1">
        <w:rPr>
          <w:rFonts w:hAnsi="標楷體" w:hint="eastAsia"/>
          <w:szCs w:val="32"/>
        </w:rPr>
        <w:t>前總經理等，認為其於任職期間，迄未與民營發電業者完成調降利率之協商作業，增加台電</w:t>
      </w:r>
      <w:r w:rsidRPr="00AB2AD1">
        <w:rPr>
          <w:rFonts w:hAnsi="標楷體" w:hint="eastAsia"/>
          <w:szCs w:val="32"/>
        </w:rPr>
        <w:lastRenderedPageBreak/>
        <w:t>購電支出，未善盡維護政府權益之責，怠忽職守。</w:t>
      </w:r>
      <w:r w:rsidR="009358CA" w:rsidRPr="00AB2AD1">
        <w:rPr>
          <w:rFonts w:hAnsi="標楷體" w:hint="eastAsia"/>
          <w:szCs w:val="32"/>
        </w:rPr>
        <w:t>並於</w:t>
      </w:r>
      <w:r w:rsidR="009358CA" w:rsidRPr="00AB2AD1">
        <w:rPr>
          <w:rFonts w:hAnsi="標楷體" w:cs="新細明體" w:hint="eastAsia"/>
          <w:spacing w:val="-8"/>
          <w:szCs w:val="32"/>
        </w:rPr>
        <w:t>6月22日糾正</w:t>
      </w:r>
      <w:r w:rsidR="009358CA" w:rsidRPr="00AB2AD1">
        <w:rPr>
          <w:rFonts w:hAnsi="標楷體" w:hint="eastAsia"/>
          <w:szCs w:val="32"/>
        </w:rPr>
        <w:t>台電公司及</w:t>
      </w:r>
      <w:r w:rsidR="009358CA" w:rsidRPr="00AB2AD1">
        <w:rPr>
          <w:rFonts w:hint="eastAsia"/>
        </w:rPr>
        <w:t>經濟部未視國內近年</w:t>
      </w:r>
      <w:r w:rsidR="009358CA" w:rsidRPr="00AB2AD1">
        <w:rPr>
          <w:rFonts w:hAnsi="標楷體" w:hint="eastAsia"/>
          <w:spacing w:val="-4"/>
          <w:szCs w:val="32"/>
        </w:rPr>
        <w:t>實際備用容量率均逾目標值及市場利率大幅降低之實，卻仍以高價收購</w:t>
      </w:r>
      <w:r w:rsidR="009358CA" w:rsidRPr="00AB2AD1">
        <w:rPr>
          <w:rFonts w:hAnsi="標楷體" w:hint="eastAsia"/>
          <w:szCs w:val="32"/>
        </w:rPr>
        <w:t>汽電共生及民營電廠之電力，</w:t>
      </w:r>
      <w:r w:rsidR="009358CA" w:rsidRPr="00AB2AD1">
        <w:rPr>
          <w:rFonts w:hAnsi="標楷體" w:hint="eastAsia"/>
          <w:szCs w:val="32"/>
        </w:rPr>
        <w:tab/>
        <w:t>且</w:t>
      </w:r>
      <w:r w:rsidR="009358CA" w:rsidRPr="00AB2AD1">
        <w:rPr>
          <w:rFonts w:hint="eastAsia"/>
        </w:rPr>
        <w:t>漠視行政院已調降備用容量率</w:t>
      </w:r>
      <w:r w:rsidR="009358CA" w:rsidRPr="00AB2AD1">
        <w:rPr>
          <w:rFonts w:hAnsi="標楷體" w:hint="eastAsia"/>
          <w:szCs w:val="32"/>
        </w:rPr>
        <w:t>，竟核准民營電力業者申設電廠，徒增購電支出等情。</w:t>
      </w:r>
    </w:p>
    <w:p w:rsidR="006D5B42" w:rsidRPr="00AB2AD1" w:rsidRDefault="007A6911" w:rsidP="00484E1C">
      <w:pPr>
        <w:pStyle w:val="4"/>
        <w:rPr>
          <w:rFonts w:hAnsi="標楷體"/>
          <w:szCs w:val="32"/>
        </w:rPr>
      </w:pPr>
      <w:r w:rsidRPr="00AB2AD1">
        <w:rPr>
          <w:rFonts w:hAnsi="標楷體"/>
          <w:szCs w:val="32"/>
        </w:rPr>
        <w:t>101年</w:t>
      </w:r>
      <w:r w:rsidRPr="00AB2AD1">
        <w:rPr>
          <w:rFonts w:hAnsi="標楷體" w:hint="eastAsia"/>
          <w:szCs w:val="32"/>
        </w:rPr>
        <w:t>6</w:t>
      </w:r>
      <w:r w:rsidRPr="00AB2AD1">
        <w:rPr>
          <w:rFonts w:hAnsi="標楷體"/>
          <w:szCs w:val="32"/>
        </w:rPr>
        <w:t>月1</w:t>
      </w:r>
      <w:r w:rsidRPr="00AB2AD1">
        <w:rPr>
          <w:rFonts w:hAnsi="標楷體" w:hint="eastAsia"/>
          <w:szCs w:val="32"/>
        </w:rPr>
        <w:t>9</w:t>
      </w:r>
      <w:r w:rsidRPr="00AB2AD1">
        <w:rPr>
          <w:rFonts w:hAnsi="標楷體"/>
          <w:szCs w:val="32"/>
        </w:rPr>
        <w:t>日</w:t>
      </w:r>
      <w:r w:rsidRPr="00AB2AD1">
        <w:rPr>
          <w:rFonts w:hAnsi="標楷體" w:hint="eastAsia"/>
          <w:szCs w:val="32"/>
        </w:rPr>
        <w:t>台電公司與麥寮、和平、長生、嘉惠、新桃</w:t>
      </w:r>
      <w:r w:rsidR="005B2A3B" w:rsidRPr="00AB2AD1">
        <w:rPr>
          <w:rFonts w:hAnsi="標楷體" w:hint="eastAsia"/>
          <w:szCs w:val="32"/>
        </w:rPr>
        <w:t>分別</w:t>
      </w:r>
      <w:r w:rsidRPr="00AB2AD1">
        <w:rPr>
          <w:rFonts w:hAnsi="標楷體" w:hint="eastAsia"/>
          <w:szCs w:val="32"/>
        </w:rPr>
        <w:t>召開「第一、二階段民營電廠購電費率協商事宜」會議（第</w:t>
      </w:r>
      <w:r w:rsidRPr="00AB2AD1">
        <w:rPr>
          <w:rFonts w:hAnsi="標楷體"/>
          <w:szCs w:val="32"/>
        </w:rPr>
        <w:t>9</w:t>
      </w:r>
      <w:r w:rsidRPr="00AB2AD1">
        <w:rPr>
          <w:rFonts w:hAnsi="標楷體" w:hint="eastAsia"/>
          <w:szCs w:val="32"/>
        </w:rPr>
        <w:t>、10、11、12、13次</w:t>
      </w:r>
      <w:r w:rsidR="00303C73" w:rsidRPr="00AB2AD1">
        <w:rPr>
          <w:rFonts w:hAnsi="標楷體" w:hint="eastAsia"/>
          <w:szCs w:val="32"/>
        </w:rPr>
        <w:t>協商會議</w:t>
      </w:r>
      <w:r w:rsidRPr="00AB2AD1">
        <w:rPr>
          <w:rFonts w:hAnsi="標楷體" w:hint="eastAsia"/>
          <w:szCs w:val="32"/>
        </w:rPr>
        <w:t>），</w:t>
      </w:r>
      <w:r w:rsidR="006D5B42" w:rsidRPr="00AB2AD1">
        <w:rPr>
          <w:rFonts w:hAnsi="標楷體" w:hint="eastAsia"/>
          <w:szCs w:val="32"/>
        </w:rPr>
        <w:t>亦未達</w:t>
      </w:r>
      <w:r w:rsidR="009358CA" w:rsidRPr="00AB2AD1">
        <w:rPr>
          <w:rFonts w:hAnsi="標楷體" w:hint="eastAsia"/>
          <w:szCs w:val="32"/>
        </w:rPr>
        <w:t>成</w:t>
      </w:r>
      <w:r w:rsidR="006D5B42" w:rsidRPr="00AB2AD1">
        <w:rPr>
          <w:rFonts w:hAnsi="標楷體" w:hint="eastAsia"/>
          <w:szCs w:val="32"/>
        </w:rPr>
        <w:t>修約共識。</w:t>
      </w:r>
    </w:p>
    <w:p w:rsidR="007A6911" w:rsidRPr="00AB2AD1" w:rsidRDefault="006D5B42" w:rsidP="00484E1C">
      <w:pPr>
        <w:pStyle w:val="4"/>
        <w:rPr>
          <w:rFonts w:hAnsi="標楷體"/>
          <w:szCs w:val="32"/>
        </w:rPr>
      </w:pPr>
      <w:r w:rsidRPr="00AB2AD1">
        <w:rPr>
          <w:rFonts w:hAnsi="標楷體"/>
          <w:szCs w:val="32"/>
        </w:rPr>
        <w:t>101年</w:t>
      </w:r>
      <w:r w:rsidRPr="00AB2AD1">
        <w:rPr>
          <w:rFonts w:hAnsi="標楷體" w:hint="eastAsia"/>
          <w:szCs w:val="32"/>
        </w:rPr>
        <w:t>6</w:t>
      </w:r>
      <w:r w:rsidRPr="00AB2AD1">
        <w:rPr>
          <w:rFonts w:hAnsi="標楷體"/>
          <w:szCs w:val="32"/>
        </w:rPr>
        <w:t>月</w:t>
      </w:r>
      <w:r w:rsidRPr="00AB2AD1">
        <w:rPr>
          <w:rFonts w:hAnsi="標楷體" w:hint="eastAsia"/>
          <w:szCs w:val="32"/>
        </w:rPr>
        <w:t>25</w:t>
      </w:r>
      <w:r w:rsidRPr="00AB2AD1">
        <w:rPr>
          <w:rFonts w:hAnsi="標楷體"/>
          <w:szCs w:val="32"/>
        </w:rPr>
        <w:t>日</w:t>
      </w:r>
      <w:r w:rsidR="007A6911" w:rsidRPr="00AB2AD1">
        <w:rPr>
          <w:rFonts w:hAnsi="標楷體" w:hint="eastAsia"/>
          <w:szCs w:val="32"/>
        </w:rPr>
        <w:t>能源局</w:t>
      </w:r>
      <w:r w:rsidRPr="00AB2AD1">
        <w:rPr>
          <w:rFonts w:hAnsi="標楷體" w:hint="eastAsia"/>
          <w:szCs w:val="32"/>
        </w:rPr>
        <w:t>召開「台電公司與第三階段民營電廠購電費率協處會議」（第3次</w:t>
      </w:r>
      <w:r w:rsidR="00303C73" w:rsidRPr="00AB2AD1">
        <w:rPr>
          <w:rFonts w:hAnsi="標楷體" w:hint="eastAsia"/>
          <w:szCs w:val="32"/>
        </w:rPr>
        <w:t>協處會議</w:t>
      </w:r>
      <w:r w:rsidRPr="00AB2AD1">
        <w:rPr>
          <w:rFonts w:hAnsi="標楷體" w:hint="eastAsia"/>
          <w:szCs w:val="32"/>
        </w:rPr>
        <w:t>），其結論略以：「請民營業者儘速參酌台電建議之處理方式，將部分超過合理利潤經由台電回饋於全民，另如有修正建議亦請儘速提出與台電協商。」能源局復於6</w:t>
      </w:r>
      <w:r w:rsidRPr="00AB2AD1">
        <w:rPr>
          <w:rFonts w:hAnsi="標楷體"/>
          <w:szCs w:val="32"/>
        </w:rPr>
        <w:t>月</w:t>
      </w:r>
      <w:r w:rsidRPr="00AB2AD1">
        <w:rPr>
          <w:rFonts w:hAnsi="標楷體" w:hint="eastAsia"/>
          <w:szCs w:val="32"/>
        </w:rPr>
        <w:t>28</w:t>
      </w:r>
      <w:r w:rsidRPr="00AB2AD1">
        <w:rPr>
          <w:rFonts w:hAnsi="標楷體"/>
          <w:szCs w:val="32"/>
        </w:rPr>
        <w:t>日</w:t>
      </w:r>
      <w:r w:rsidRPr="00AB2AD1">
        <w:rPr>
          <w:rFonts w:hAnsi="標楷體" w:hint="eastAsia"/>
          <w:szCs w:val="32"/>
        </w:rPr>
        <w:t>召開「台電公司與第三階段民營電廠購電費率協處會議」（第</w:t>
      </w:r>
      <w:r w:rsidRPr="00AB2AD1">
        <w:rPr>
          <w:rFonts w:hAnsi="標楷體"/>
          <w:szCs w:val="32"/>
        </w:rPr>
        <w:t>4</w:t>
      </w:r>
      <w:r w:rsidRPr="00AB2AD1">
        <w:rPr>
          <w:rFonts w:hAnsi="標楷體" w:hint="eastAsia"/>
          <w:szCs w:val="32"/>
        </w:rPr>
        <w:t>次</w:t>
      </w:r>
      <w:r w:rsidR="00303C73" w:rsidRPr="00AB2AD1">
        <w:rPr>
          <w:rFonts w:hAnsi="標楷體" w:hint="eastAsia"/>
          <w:szCs w:val="32"/>
        </w:rPr>
        <w:t>協處會議</w:t>
      </w:r>
      <w:r w:rsidRPr="00AB2AD1">
        <w:rPr>
          <w:rFonts w:hAnsi="標楷體" w:hint="eastAsia"/>
          <w:szCs w:val="32"/>
        </w:rPr>
        <w:t>），其結論略以：「業者於會中表示，有關研提建議方案，須先向各該公司之董事會報告。業者如不同意台電所提方案，原則上請於</w:t>
      </w:r>
      <w:r w:rsidRPr="00AB2AD1">
        <w:rPr>
          <w:rFonts w:hAnsi="標楷體"/>
          <w:szCs w:val="32"/>
        </w:rPr>
        <w:t>1</w:t>
      </w:r>
      <w:r w:rsidRPr="00AB2AD1">
        <w:rPr>
          <w:rFonts w:hAnsi="標楷體" w:hint="eastAsia"/>
          <w:szCs w:val="32"/>
        </w:rPr>
        <w:t>星期內提出建議方案。」</w:t>
      </w:r>
    </w:p>
    <w:p w:rsidR="006D5B42" w:rsidRPr="00AB2AD1" w:rsidRDefault="00F20C03" w:rsidP="00484E1C">
      <w:pPr>
        <w:pStyle w:val="4"/>
        <w:rPr>
          <w:rFonts w:hAnsi="標楷體"/>
          <w:szCs w:val="32"/>
        </w:rPr>
      </w:pPr>
      <w:r w:rsidRPr="00AB2AD1">
        <w:rPr>
          <w:rFonts w:hAnsi="標楷體"/>
          <w:szCs w:val="32"/>
        </w:rPr>
        <w:t>101年</w:t>
      </w:r>
      <w:r w:rsidRPr="00AB2AD1">
        <w:rPr>
          <w:rFonts w:hAnsi="標楷體" w:hint="eastAsia"/>
          <w:szCs w:val="32"/>
        </w:rPr>
        <w:t>6</w:t>
      </w:r>
      <w:r w:rsidRPr="00AB2AD1">
        <w:rPr>
          <w:rFonts w:hAnsi="標楷體"/>
          <w:szCs w:val="32"/>
        </w:rPr>
        <w:t>月</w:t>
      </w:r>
      <w:r w:rsidRPr="00AB2AD1">
        <w:rPr>
          <w:rFonts w:hAnsi="標楷體" w:hint="eastAsia"/>
          <w:szCs w:val="32"/>
        </w:rPr>
        <w:t>29</w:t>
      </w:r>
      <w:r w:rsidRPr="00AB2AD1">
        <w:rPr>
          <w:rFonts w:hAnsi="標楷體"/>
          <w:szCs w:val="32"/>
        </w:rPr>
        <w:t>日</w:t>
      </w:r>
      <w:r w:rsidRPr="00AB2AD1">
        <w:rPr>
          <w:rFonts w:hAnsi="標楷體" w:hint="eastAsia"/>
          <w:szCs w:val="32"/>
        </w:rPr>
        <w:t>森覇、星能、星元由各該公司董事長於台汽電公司會議室，分別召開第五屆第一次董事會、第五屆第一次董事會、第三屆第一次董事會，經出席董事投票結果，皆反對台電公司所提</w:t>
      </w:r>
      <w:r w:rsidR="009358CA" w:rsidRPr="00AB2AD1">
        <w:rPr>
          <w:rFonts w:hAnsi="標楷體" w:hint="eastAsia"/>
          <w:szCs w:val="32"/>
        </w:rPr>
        <w:t>之修約</w:t>
      </w:r>
      <w:r w:rsidRPr="00AB2AD1">
        <w:rPr>
          <w:rFonts w:hAnsi="標楷體" w:hint="eastAsia"/>
          <w:szCs w:val="32"/>
        </w:rPr>
        <w:t>方案(分別為</w:t>
      </w:r>
      <w:r w:rsidRPr="00AB2AD1">
        <w:rPr>
          <w:rFonts w:hAnsi="標楷體"/>
          <w:szCs w:val="32"/>
        </w:rPr>
        <w:t>7</w:t>
      </w:r>
      <w:r w:rsidRPr="00AB2AD1">
        <w:rPr>
          <w:rFonts w:hAnsi="標楷體" w:hint="eastAsia"/>
          <w:szCs w:val="32"/>
        </w:rPr>
        <w:t>票反對及</w:t>
      </w:r>
      <w:r w:rsidRPr="00AB2AD1">
        <w:rPr>
          <w:rFonts w:hAnsi="標楷體"/>
          <w:szCs w:val="32"/>
        </w:rPr>
        <w:t>2</w:t>
      </w:r>
      <w:r w:rsidRPr="00AB2AD1">
        <w:rPr>
          <w:rFonts w:hAnsi="標楷體" w:hint="eastAsia"/>
          <w:szCs w:val="32"/>
        </w:rPr>
        <w:t>票贊成、6票反對及</w:t>
      </w:r>
      <w:r w:rsidRPr="00AB2AD1">
        <w:rPr>
          <w:rFonts w:hAnsi="標楷體"/>
          <w:szCs w:val="32"/>
        </w:rPr>
        <w:t>2</w:t>
      </w:r>
      <w:r w:rsidRPr="00AB2AD1">
        <w:rPr>
          <w:rFonts w:hAnsi="標楷體" w:hint="eastAsia"/>
          <w:szCs w:val="32"/>
        </w:rPr>
        <w:t>票贊成、8票反對及0票贊成)，</w:t>
      </w:r>
      <w:r w:rsidR="009358CA" w:rsidRPr="00AB2AD1">
        <w:rPr>
          <w:rFonts w:hAnsi="標楷體" w:hint="eastAsia"/>
          <w:szCs w:val="32"/>
        </w:rPr>
        <w:t>惟</w:t>
      </w:r>
      <w:r w:rsidRPr="00AB2AD1">
        <w:rPr>
          <w:rFonts w:hAnsi="標楷體" w:hint="eastAsia"/>
          <w:szCs w:val="32"/>
        </w:rPr>
        <w:t>贊成與台電公司繼續協商。</w:t>
      </w:r>
    </w:p>
    <w:p w:rsidR="00F20C03" w:rsidRPr="00AB2AD1" w:rsidRDefault="00917D22" w:rsidP="00484E1C">
      <w:pPr>
        <w:pStyle w:val="4"/>
        <w:rPr>
          <w:rFonts w:hAnsi="標楷體"/>
          <w:szCs w:val="32"/>
        </w:rPr>
      </w:pPr>
      <w:r w:rsidRPr="00AB2AD1">
        <w:rPr>
          <w:rFonts w:hAnsi="標楷體"/>
          <w:szCs w:val="32"/>
        </w:rPr>
        <w:t>101年</w:t>
      </w:r>
      <w:r w:rsidRPr="00AB2AD1">
        <w:rPr>
          <w:rFonts w:hAnsi="標楷體" w:hint="eastAsia"/>
          <w:szCs w:val="32"/>
        </w:rPr>
        <w:t>7</w:t>
      </w:r>
      <w:r w:rsidRPr="00AB2AD1">
        <w:rPr>
          <w:rFonts w:hAnsi="標楷體"/>
          <w:szCs w:val="32"/>
        </w:rPr>
        <w:t>月</w:t>
      </w:r>
      <w:r w:rsidRPr="00AB2AD1">
        <w:rPr>
          <w:rFonts w:hAnsi="標楷體" w:hint="eastAsia"/>
          <w:szCs w:val="32"/>
        </w:rPr>
        <w:t>18</w:t>
      </w:r>
      <w:r w:rsidRPr="00AB2AD1">
        <w:rPr>
          <w:rFonts w:hAnsi="標楷體"/>
          <w:szCs w:val="32"/>
        </w:rPr>
        <w:t>日</w:t>
      </w:r>
      <w:r w:rsidRPr="00AB2AD1">
        <w:rPr>
          <w:rFonts w:hAnsi="標楷體" w:hint="eastAsia"/>
          <w:szCs w:val="32"/>
        </w:rPr>
        <w:t>嘉惠召開協進會</w:t>
      </w:r>
      <w:r w:rsidRPr="00AB2AD1">
        <w:rPr>
          <w:rFonts w:hAnsi="標楷體"/>
          <w:szCs w:val="32"/>
        </w:rPr>
        <w:t>101</w:t>
      </w:r>
      <w:r w:rsidRPr="00AB2AD1">
        <w:rPr>
          <w:rFonts w:hAnsi="標楷體" w:hint="eastAsia"/>
          <w:szCs w:val="32"/>
        </w:rPr>
        <w:t>年度第</w:t>
      </w:r>
      <w:r w:rsidRPr="00AB2AD1">
        <w:rPr>
          <w:rFonts w:hAnsi="標楷體"/>
          <w:szCs w:val="32"/>
        </w:rPr>
        <w:t>4</w:t>
      </w:r>
      <w:r w:rsidRPr="00AB2AD1">
        <w:rPr>
          <w:rFonts w:hAnsi="標楷體" w:hint="eastAsia"/>
          <w:szCs w:val="32"/>
        </w:rPr>
        <w:t>次會議，有關「經濟部要求各業者協商購電費率</w:t>
      </w:r>
      <w:r w:rsidRPr="00AB2AD1">
        <w:rPr>
          <w:rFonts w:hAnsi="標楷體" w:hint="eastAsia"/>
          <w:szCs w:val="32"/>
        </w:rPr>
        <w:lastRenderedPageBreak/>
        <w:t>後續因應方案」之議題，其結論：「</w:t>
      </w:r>
      <w:r w:rsidRPr="00AB2AD1">
        <w:rPr>
          <w:rFonts w:hAnsi="標楷體"/>
          <w:szCs w:val="32"/>
        </w:rPr>
        <w:t>1.</w:t>
      </w:r>
      <w:r w:rsidRPr="00AB2AD1">
        <w:rPr>
          <w:rFonts w:hAnsi="標楷體" w:hint="eastAsia"/>
          <w:szCs w:val="32"/>
        </w:rPr>
        <w:t>目前台電與台汽電公司不定時舉行會議</w:t>
      </w:r>
      <w:r w:rsidRPr="00AB2AD1">
        <w:rPr>
          <w:rFonts w:hAnsi="標楷體"/>
          <w:szCs w:val="32"/>
        </w:rPr>
        <w:t>(</w:t>
      </w:r>
      <w:r w:rsidRPr="00AB2AD1">
        <w:rPr>
          <w:rFonts w:hAnsi="標楷體" w:hint="eastAsia"/>
          <w:szCs w:val="32"/>
        </w:rPr>
        <w:t>非正式</w:t>
      </w:r>
      <w:r w:rsidRPr="00AB2AD1">
        <w:rPr>
          <w:rFonts w:hAnsi="標楷體"/>
          <w:szCs w:val="32"/>
        </w:rPr>
        <w:t>)</w:t>
      </w:r>
      <w:r w:rsidRPr="00AB2AD1">
        <w:rPr>
          <w:rFonts w:hAnsi="標楷體" w:hint="eastAsia"/>
          <w:szCs w:val="32"/>
        </w:rPr>
        <w:t>進行討論，過程中如有所進展，台汽電會告知各業者</w:t>
      </w:r>
      <w:r w:rsidR="00F76EC7" w:rsidRPr="00AB2AD1">
        <w:rPr>
          <w:rFonts w:hAnsi="標楷體" w:hint="eastAsia"/>
          <w:szCs w:val="32"/>
        </w:rPr>
        <w:t>。</w:t>
      </w:r>
      <w:r w:rsidRPr="00AB2AD1">
        <w:rPr>
          <w:rFonts w:hAnsi="標楷體"/>
          <w:szCs w:val="32"/>
        </w:rPr>
        <w:t>2.</w:t>
      </w:r>
      <w:r w:rsidRPr="00AB2AD1">
        <w:rPr>
          <w:rFonts w:hAnsi="標楷體" w:hint="eastAsia"/>
          <w:szCs w:val="32"/>
        </w:rPr>
        <w:t>目前尚未接獲通知協商之業者，亦進行各項協商之準備，有任何訊息也告知各業者。」</w:t>
      </w:r>
    </w:p>
    <w:p w:rsidR="00917D22" w:rsidRPr="00AB2AD1" w:rsidRDefault="00917D22" w:rsidP="00484E1C">
      <w:pPr>
        <w:pStyle w:val="4"/>
        <w:rPr>
          <w:rFonts w:hAnsi="標楷體"/>
          <w:szCs w:val="32"/>
        </w:rPr>
      </w:pPr>
      <w:r w:rsidRPr="00AB2AD1">
        <w:rPr>
          <w:rFonts w:hAnsi="標楷體"/>
          <w:szCs w:val="32"/>
        </w:rPr>
        <w:t>101年</w:t>
      </w:r>
      <w:r w:rsidRPr="00AB2AD1">
        <w:rPr>
          <w:rFonts w:hAnsi="標楷體" w:hint="eastAsia"/>
          <w:szCs w:val="32"/>
        </w:rPr>
        <w:t>7</w:t>
      </w:r>
      <w:r w:rsidRPr="00AB2AD1">
        <w:rPr>
          <w:rFonts w:hAnsi="標楷體"/>
          <w:szCs w:val="32"/>
        </w:rPr>
        <w:t>月</w:t>
      </w:r>
      <w:r w:rsidRPr="00AB2AD1">
        <w:rPr>
          <w:rFonts w:hAnsi="標楷體" w:hint="eastAsia"/>
          <w:szCs w:val="32"/>
        </w:rPr>
        <w:t>20</w:t>
      </w:r>
      <w:r w:rsidRPr="00AB2AD1">
        <w:rPr>
          <w:rFonts w:hAnsi="標楷體"/>
          <w:szCs w:val="32"/>
        </w:rPr>
        <w:t>日</w:t>
      </w:r>
      <w:r w:rsidRPr="00AB2AD1">
        <w:rPr>
          <w:rFonts w:hAnsi="標楷體" w:hint="eastAsia"/>
          <w:szCs w:val="32"/>
        </w:rPr>
        <w:t>能源局召開「台電公司與第三階段民營電廠購電費率協處會議」（第</w:t>
      </w:r>
      <w:r w:rsidRPr="00AB2AD1">
        <w:rPr>
          <w:rFonts w:hAnsi="標楷體"/>
          <w:szCs w:val="32"/>
        </w:rPr>
        <w:t>5</w:t>
      </w:r>
      <w:r w:rsidRPr="00AB2AD1">
        <w:rPr>
          <w:rFonts w:hAnsi="標楷體" w:hint="eastAsia"/>
          <w:szCs w:val="32"/>
        </w:rPr>
        <w:t>次</w:t>
      </w:r>
      <w:r w:rsidR="00303C73" w:rsidRPr="00AB2AD1">
        <w:rPr>
          <w:rFonts w:hAnsi="標楷體" w:hint="eastAsia"/>
          <w:szCs w:val="32"/>
        </w:rPr>
        <w:t>協處會議</w:t>
      </w:r>
      <w:r w:rsidRPr="00AB2AD1">
        <w:rPr>
          <w:rFonts w:hAnsi="標楷體" w:hint="eastAsia"/>
          <w:szCs w:val="32"/>
        </w:rPr>
        <w:t>），其結論：「要求各業者於</w:t>
      </w:r>
      <w:r w:rsidRPr="00AB2AD1">
        <w:rPr>
          <w:rFonts w:hAnsi="標楷體"/>
          <w:szCs w:val="32"/>
        </w:rPr>
        <w:t>2</w:t>
      </w:r>
      <w:r w:rsidRPr="00AB2AD1">
        <w:rPr>
          <w:rFonts w:hAnsi="標楷體" w:hint="eastAsia"/>
          <w:szCs w:val="32"/>
        </w:rPr>
        <w:t>週內召開董事會討論協處方案</w:t>
      </w:r>
      <w:r w:rsidR="005B2A3B" w:rsidRPr="00AB2AD1">
        <w:rPr>
          <w:rFonts w:hAnsi="標楷體" w:hint="eastAsia"/>
          <w:szCs w:val="32"/>
        </w:rPr>
        <w:t>。</w:t>
      </w:r>
      <w:r w:rsidRPr="00AB2AD1">
        <w:rPr>
          <w:rFonts w:hAnsi="標楷體" w:hint="eastAsia"/>
          <w:szCs w:val="32"/>
        </w:rPr>
        <w:t>」</w:t>
      </w:r>
      <w:r w:rsidR="008105AF" w:rsidRPr="00AB2AD1">
        <w:rPr>
          <w:rFonts w:hAnsi="標楷體" w:hint="eastAsia"/>
          <w:szCs w:val="32"/>
        </w:rPr>
        <w:t>7</w:t>
      </w:r>
      <w:r w:rsidR="008105AF" w:rsidRPr="00AB2AD1">
        <w:rPr>
          <w:rFonts w:hAnsi="標楷體"/>
          <w:szCs w:val="32"/>
        </w:rPr>
        <w:t>月</w:t>
      </w:r>
      <w:r w:rsidR="008105AF" w:rsidRPr="00AB2AD1">
        <w:rPr>
          <w:rFonts w:hAnsi="標楷體" w:hint="eastAsia"/>
          <w:szCs w:val="32"/>
        </w:rPr>
        <w:t>25</w:t>
      </w:r>
      <w:r w:rsidR="008105AF" w:rsidRPr="00AB2AD1">
        <w:rPr>
          <w:rFonts w:hAnsi="標楷體"/>
          <w:szCs w:val="32"/>
        </w:rPr>
        <w:t>日</w:t>
      </w:r>
      <w:r w:rsidR="008105AF" w:rsidRPr="00AB2AD1">
        <w:rPr>
          <w:rFonts w:hAnsi="標楷體" w:hint="eastAsia"/>
          <w:szCs w:val="32"/>
        </w:rPr>
        <w:t>及8</w:t>
      </w:r>
      <w:r w:rsidR="008105AF" w:rsidRPr="00AB2AD1">
        <w:rPr>
          <w:rFonts w:hAnsi="標楷體"/>
          <w:szCs w:val="32"/>
        </w:rPr>
        <w:t>月</w:t>
      </w:r>
      <w:r w:rsidR="008105AF" w:rsidRPr="00AB2AD1">
        <w:rPr>
          <w:rFonts w:hAnsi="標楷體" w:hint="eastAsia"/>
          <w:szCs w:val="32"/>
        </w:rPr>
        <w:t>7</w:t>
      </w:r>
      <w:r w:rsidR="008105AF" w:rsidRPr="00AB2AD1">
        <w:rPr>
          <w:rFonts w:hAnsi="標楷體"/>
          <w:szCs w:val="32"/>
        </w:rPr>
        <w:t>日</w:t>
      </w:r>
      <w:r w:rsidR="008105AF" w:rsidRPr="00AB2AD1">
        <w:rPr>
          <w:rFonts w:hAnsi="標楷體" w:hint="eastAsia"/>
          <w:szCs w:val="32"/>
        </w:rPr>
        <w:t>台電公司再分別與長生及新桃召開「購售電合約修約協商事宜」會議(第14、</w:t>
      </w:r>
      <w:r w:rsidR="008105AF" w:rsidRPr="00AB2AD1">
        <w:rPr>
          <w:rFonts w:hAnsi="標楷體"/>
          <w:szCs w:val="32"/>
        </w:rPr>
        <w:t>15</w:t>
      </w:r>
      <w:r w:rsidR="008105AF" w:rsidRPr="00AB2AD1">
        <w:rPr>
          <w:rFonts w:hAnsi="標楷體" w:hint="eastAsia"/>
          <w:szCs w:val="32"/>
        </w:rPr>
        <w:t>次</w:t>
      </w:r>
      <w:r w:rsidR="00303C73" w:rsidRPr="00AB2AD1">
        <w:rPr>
          <w:rFonts w:hAnsi="標楷體" w:hint="eastAsia"/>
          <w:szCs w:val="32"/>
        </w:rPr>
        <w:t>協商會議</w:t>
      </w:r>
      <w:r w:rsidR="008105AF" w:rsidRPr="00AB2AD1">
        <w:rPr>
          <w:rFonts w:hAnsi="標楷體" w:hint="eastAsia"/>
          <w:szCs w:val="32"/>
        </w:rPr>
        <w:t>)</w:t>
      </w:r>
      <w:r w:rsidR="005B2A3B" w:rsidRPr="00AB2AD1">
        <w:rPr>
          <w:rFonts w:hAnsi="標楷體" w:hint="eastAsia"/>
          <w:szCs w:val="32"/>
        </w:rPr>
        <w:t>，皆未能有共識</w:t>
      </w:r>
      <w:r w:rsidR="008105AF" w:rsidRPr="00AB2AD1">
        <w:rPr>
          <w:rFonts w:hAnsi="標楷體" w:hint="eastAsia"/>
          <w:szCs w:val="32"/>
        </w:rPr>
        <w:t>。</w:t>
      </w:r>
    </w:p>
    <w:p w:rsidR="00917D22" w:rsidRPr="00AB2AD1" w:rsidRDefault="008105AF" w:rsidP="00484E1C">
      <w:pPr>
        <w:pStyle w:val="4"/>
        <w:rPr>
          <w:rFonts w:hAnsi="標楷體"/>
          <w:szCs w:val="32"/>
        </w:rPr>
      </w:pPr>
      <w:r w:rsidRPr="00AB2AD1">
        <w:rPr>
          <w:rFonts w:hAnsi="標楷體"/>
          <w:szCs w:val="32"/>
        </w:rPr>
        <w:t>101年</w:t>
      </w:r>
      <w:r w:rsidRPr="00AB2AD1">
        <w:rPr>
          <w:rFonts w:hAnsi="標楷體" w:hint="eastAsia"/>
          <w:szCs w:val="32"/>
        </w:rPr>
        <w:t>8</w:t>
      </w:r>
      <w:r w:rsidRPr="00AB2AD1">
        <w:rPr>
          <w:rFonts w:hAnsi="標楷體"/>
          <w:szCs w:val="32"/>
        </w:rPr>
        <w:t>月</w:t>
      </w:r>
      <w:r w:rsidRPr="00AB2AD1">
        <w:rPr>
          <w:rFonts w:hAnsi="標楷體" w:hint="eastAsia"/>
          <w:szCs w:val="32"/>
        </w:rPr>
        <w:t>9</w:t>
      </w:r>
      <w:r w:rsidRPr="00AB2AD1">
        <w:rPr>
          <w:rFonts w:hAnsi="標楷體"/>
          <w:szCs w:val="32"/>
        </w:rPr>
        <w:t>日</w:t>
      </w:r>
      <w:r w:rsidRPr="00AB2AD1">
        <w:rPr>
          <w:rFonts w:hAnsi="標楷體" w:hint="eastAsia"/>
          <w:szCs w:val="32"/>
        </w:rPr>
        <w:t>台汽電</w:t>
      </w:r>
      <w:r w:rsidR="00891919" w:rsidRPr="00AB2AD1">
        <w:rPr>
          <w:rFonts w:hAnsi="標楷體" w:hint="eastAsia"/>
          <w:szCs w:val="32"/>
        </w:rPr>
        <w:t>公司</w:t>
      </w:r>
      <w:r w:rsidRPr="00AB2AD1">
        <w:rPr>
          <w:rFonts w:hAnsi="標楷體" w:hint="eastAsia"/>
          <w:szCs w:val="32"/>
        </w:rPr>
        <w:t>委託之法律事務所提出法律意見略以：「台電法人代表董事於本議案有具體、直接利害關係，故於台汽電召開董事會決議本修約案時，應依公司法第</w:t>
      </w:r>
      <w:r w:rsidRPr="00AB2AD1">
        <w:rPr>
          <w:rFonts w:hAnsi="標楷體"/>
          <w:szCs w:val="32"/>
        </w:rPr>
        <w:t>206</w:t>
      </w:r>
      <w:r w:rsidRPr="00AB2AD1">
        <w:rPr>
          <w:rFonts w:hAnsi="標楷體" w:hint="eastAsia"/>
          <w:szCs w:val="32"/>
        </w:rPr>
        <w:t>及第</w:t>
      </w:r>
      <w:r w:rsidRPr="00AB2AD1">
        <w:rPr>
          <w:rFonts w:hAnsi="標楷體"/>
          <w:szCs w:val="32"/>
        </w:rPr>
        <w:t>178</w:t>
      </w:r>
      <w:r w:rsidRPr="00AB2AD1">
        <w:rPr>
          <w:rFonts w:hAnsi="標楷體" w:hint="eastAsia"/>
          <w:szCs w:val="32"/>
        </w:rPr>
        <w:t>條規定，迴避參與表決；若未迴避參與台汽電董事會之表決，則該董事會決議之效力，應係自始、當然、確定無效；且業者與台電簽署修約而損及台汽電利益時，民事部分，台汽電得依公司法第</w:t>
      </w:r>
      <w:r w:rsidRPr="00AB2AD1">
        <w:rPr>
          <w:rFonts w:hAnsi="標楷體"/>
          <w:szCs w:val="32"/>
        </w:rPr>
        <w:t>23</w:t>
      </w:r>
      <w:r w:rsidRPr="00AB2AD1">
        <w:rPr>
          <w:rFonts w:hAnsi="標楷體" w:hint="eastAsia"/>
          <w:szCs w:val="32"/>
        </w:rPr>
        <w:t>條第</w:t>
      </w:r>
      <w:r w:rsidRPr="00AB2AD1">
        <w:rPr>
          <w:rFonts w:hAnsi="標楷體"/>
          <w:szCs w:val="32"/>
        </w:rPr>
        <w:t>1</w:t>
      </w:r>
      <w:r w:rsidRPr="00AB2AD1">
        <w:rPr>
          <w:rFonts w:hAnsi="標楷體" w:hint="eastAsia"/>
          <w:szCs w:val="32"/>
        </w:rPr>
        <w:t>項及第</w:t>
      </w:r>
      <w:r w:rsidRPr="00AB2AD1">
        <w:rPr>
          <w:rFonts w:hAnsi="標楷體"/>
          <w:szCs w:val="32"/>
        </w:rPr>
        <w:t>193</w:t>
      </w:r>
      <w:r w:rsidRPr="00AB2AD1">
        <w:rPr>
          <w:rFonts w:hAnsi="標楷體" w:hint="eastAsia"/>
          <w:szCs w:val="32"/>
        </w:rPr>
        <w:t>條規定，向台電法人代表董事請求損害賠償；刑事部分，如致台汽電損害達</w:t>
      </w:r>
      <w:r w:rsidRPr="00AB2AD1">
        <w:rPr>
          <w:rFonts w:hAnsi="標楷體"/>
          <w:szCs w:val="32"/>
        </w:rPr>
        <w:t>500</w:t>
      </w:r>
      <w:r w:rsidRPr="00AB2AD1">
        <w:rPr>
          <w:rFonts w:hAnsi="標楷體" w:hint="eastAsia"/>
          <w:szCs w:val="32"/>
        </w:rPr>
        <w:t>萬元以上者，台電法人代表董事恐觸犯證</w:t>
      </w:r>
      <w:r w:rsidR="00C43338" w:rsidRPr="00AB2AD1">
        <w:rPr>
          <w:rFonts w:hAnsi="標楷體" w:cs="標楷體" w:hint="eastAsia"/>
          <w:bCs/>
          <w:kern w:val="0"/>
          <w:szCs w:val="32"/>
        </w:rPr>
        <w:t>券</w:t>
      </w:r>
      <w:r w:rsidRPr="00AB2AD1">
        <w:rPr>
          <w:rFonts w:hAnsi="標楷體" w:hint="eastAsia"/>
          <w:szCs w:val="32"/>
        </w:rPr>
        <w:t>交易法第</w:t>
      </w:r>
      <w:r w:rsidRPr="00AB2AD1">
        <w:rPr>
          <w:rFonts w:hAnsi="標楷體"/>
          <w:szCs w:val="32"/>
        </w:rPr>
        <w:t>171</w:t>
      </w:r>
      <w:r w:rsidRPr="00AB2AD1">
        <w:rPr>
          <w:rFonts w:hAnsi="標楷體" w:hint="eastAsia"/>
          <w:szCs w:val="32"/>
        </w:rPr>
        <w:t>條第</w:t>
      </w:r>
      <w:r w:rsidRPr="00AB2AD1">
        <w:rPr>
          <w:rFonts w:hAnsi="標楷體"/>
          <w:szCs w:val="32"/>
        </w:rPr>
        <w:t>1</w:t>
      </w:r>
      <w:r w:rsidRPr="00AB2AD1">
        <w:rPr>
          <w:rFonts w:hAnsi="標楷體" w:hint="eastAsia"/>
          <w:szCs w:val="32"/>
        </w:rPr>
        <w:t>項第</w:t>
      </w:r>
      <w:r w:rsidRPr="00AB2AD1">
        <w:rPr>
          <w:rFonts w:hAnsi="標楷體"/>
          <w:szCs w:val="32"/>
        </w:rPr>
        <w:t>2</w:t>
      </w:r>
      <w:r w:rsidRPr="00AB2AD1">
        <w:rPr>
          <w:rFonts w:hAnsi="標楷體" w:hint="eastAsia"/>
          <w:szCs w:val="32"/>
        </w:rPr>
        <w:t>、第</w:t>
      </w:r>
      <w:r w:rsidRPr="00AB2AD1">
        <w:rPr>
          <w:rFonts w:hAnsi="標楷體"/>
          <w:szCs w:val="32"/>
        </w:rPr>
        <w:t>3</w:t>
      </w:r>
      <w:r w:rsidRPr="00AB2AD1">
        <w:rPr>
          <w:rFonts w:hAnsi="標楷體" w:hint="eastAsia"/>
          <w:szCs w:val="32"/>
        </w:rPr>
        <w:t>款犯罪之虞。」</w:t>
      </w:r>
    </w:p>
    <w:p w:rsidR="008105AF" w:rsidRPr="00AB2AD1" w:rsidRDefault="00891919" w:rsidP="00484E1C">
      <w:pPr>
        <w:pStyle w:val="4"/>
        <w:rPr>
          <w:rFonts w:hAnsi="標楷體"/>
          <w:szCs w:val="32"/>
        </w:rPr>
      </w:pPr>
      <w:r w:rsidRPr="00AB2AD1">
        <w:rPr>
          <w:rFonts w:hAnsi="標楷體"/>
          <w:szCs w:val="32"/>
        </w:rPr>
        <w:t>101年</w:t>
      </w:r>
      <w:r w:rsidRPr="00AB2AD1">
        <w:rPr>
          <w:rFonts w:hAnsi="標楷體" w:hint="eastAsia"/>
          <w:szCs w:val="32"/>
        </w:rPr>
        <w:t>8</w:t>
      </w:r>
      <w:r w:rsidRPr="00AB2AD1">
        <w:rPr>
          <w:rFonts w:hAnsi="標楷體"/>
          <w:szCs w:val="32"/>
        </w:rPr>
        <w:t>月</w:t>
      </w:r>
      <w:r w:rsidRPr="00AB2AD1">
        <w:rPr>
          <w:rFonts w:hAnsi="標楷體" w:hint="eastAsia"/>
          <w:szCs w:val="32"/>
        </w:rPr>
        <w:t>23</w:t>
      </w:r>
      <w:r w:rsidRPr="00AB2AD1">
        <w:rPr>
          <w:rFonts w:hAnsi="標楷體"/>
          <w:szCs w:val="32"/>
        </w:rPr>
        <w:t>日</w:t>
      </w:r>
      <w:r w:rsidRPr="00AB2AD1">
        <w:rPr>
          <w:rFonts w:hAnsi="標楷體" w:hint="eastAsia"/>
          <w:szCs w:val="32"/>
        </w:rPr>
        <w:t>台汽電公司召開第八屆第六次董事會議(董事會紀錄皆須陳核台電公司)，各董事發言內容包括：「建議以不損及股東利益下，以多發電及時</w:t>
      </w:r>
      <w:r w:rsidR="000C4C40">
        <w:rPr>
          <w:rFonts w:hAnsi="標楷體" w:hint="eastAsia"/>
          <w:szCs w:val="32"/>
        </w:rPr>
        <w:t>間</w:t>
      </w:r>
      <w:r w:rsidRPr="00AB2AD1">
        <w:rPr>
          <w:rFonts w:hAnsi="標楷體" w:hint="eastAsia"/>
          <w:szCs w:val="32"/>
        </w:rPr>
        <w:t>換空間延長年限方式行之」、「於合乎法令之情形下，配合政府同意與台電之合約調整，但如違法之下進行，本席即以退席抗議表</w:t>
      </w:r>
      <w:r w:rsidRPr="00AB2AD1">
        <w:rPr>
          <w:rFonts w:hAnsi="標楷體" w:hint="eastAsia"/>
          <w:szCs w:val="32"/>
        </w:rPr>
        <w:lastRenderedPageBreak/>
        <w:t>達反對立場」、「公司有其社會責任，如何找出主管機關及雙方之平衡點，儘速落幕為方向」、「協處之態度應以公平合理角度行之，而非一方先設定某一數字之立場」、「希在雙方遵從合約之精神下來議約，如不成再由經濟部協調，再不成則交付仲裁或交司法解決」等意見。</w:t>
      </w:r>
    </w:p>
    <w:p w:rsidR="00891919" w:rsidRPr="00AB2AD1" w:rsidRDefault="00891919" w:rsidP="00484E1C">
      <w:pPr>
        <w:pStyle w:val="4"/>
        <w:rPr>
          <w:rFonts w:hAnsi="標楷體"/>
          <w:szCs w:val="32"/>
        </w:rPr>
      </w:pPr>
      <w:r w:rsidRPr="00AB2AD1">
        <w:rPr>
          <w:rFonts w:hAnsi="標楷體"/>
          <w:szCs w:val="32"/>
        </w:rPr>
        <w:t>101年</w:t>
      </w:r>
      <w:r w:rsidRPr="00AB2AD1">
        <w:rPr>
          <w:rFonts w:hAnsi="標楷體" w:hint="eastAsia"/>
          <w:szCs w:val="32"/>
        </w:rPr>
        <w:t>9</w:t>
      </w:r>
      <w:r w:rsidRPr="00AB2AD1">
        <w:rPr>
          <w:rFonts w:hAnsi="標楷體"/>
          <w:szCs w:val="32"/>
        </w:rPr>
        <w:t>月</w:t>
      </w:r>
      <w:r w:rsidRPr="00AB2AD1">
        <w:rPr>
          <w:rFonts w:hAnsi="標楷體" w:hint="eastAsia"/>
          <w:szCs w:val="32"/>
        </w:rPr>
        <w:t>26</w:t>
      </w:r>
      <w:r w:rsidRPr="00AB2AD1">
        <w:rPr>
          <w:rFonts w:hAnsi="標楷體"/>
          <w:szCs w:val="32"/>
        </w:rPr>
        <w:t>日</w:t>
      </w:r>
      <w:r w:rsidRPr="00AB2AD1">
        <w:rPr>
          <w:rFonts w:hAnsi="標楷體" w:hint="eastAsia"/>
          <w:szCs w:val="32"/>
        </w:rPr>
        <w:t>能源局召開「台電公司與第三階段民營電廠購電費率協處會議」（第</w:t>
      </w:r>
      <w:r w:rsidRPr="00AB2AD1">
        <w:rPr>
          <w:rFonts w:hAnsi="標楷體"/>
          <w:szCs w:val="32"/>
        </w:rPr>
        <w:t>6</w:t>
      </w:r>
      <w:r w:rsidRPr="00AB2AD1">
        <w:rPr>
          <w:rFonts w:hAnsi="標楷體" w:hint="eastAsia"/>
          <w:szCs w:val="32"/>
        </w:rPr>
        <w:t>次</w:t>
      </w:r>
      <w:r w:rsidR="00303C73" w:rsidRPr="00AB2AD1">
        <w:rPr>
          <w:rFonts w:hAnsi="標楷體" w:hint="eastAsia"/>
          <w:szCs w:val="32"/>
        </w:rPr>
        <w:t>協處會議</w:t>
      </w:r>
      <w:r w:rsidRPr="00AB2AD1">
        <w:rPr>
          <w:rFonts w:hAnsi="標楷體" w:hint="eastAsia"/>
          <w:szCs w:val="32"/>
        </w:rPr>
        <w:t>），其結論：「經多次協調，僅台電同意接受協處方案，爰停止購電費率爭議之協處，並請雙方依據購售電合約對於爭議解決之約定條款，儘速處理爭議事項。」</w:t>
      </w:r>
      <w:r w:rsidR="00F76EC7" w:rsidRPr="00AB2AD1">
        <w:rPr>
          <w:rFonts w:hAnsi="標楷體" w:hint="eastAsia"/>
          <w:szCs w:val="32"/>
        </w:rPr>
        <w:t>至此，經濟部停止購電費率爭議之協處作業。</w:t>
      </w:r>
    </w:p>
    <w:p w:rsidR="00891919" w:rsidRPr="00AB2AD1" w:rsidRDefault="003965E2" w:rsidP="00484E1C">
      <w:pPr>
        <w:pStyle w:val="4"/>
        <w:rPr>
          <w:rFonts w:hAnsi="標楷體"/>
          <w:szCs w:val="32"/>
        </w:rPr>
      </w:pPr>
      <w:r w:rsidRPr="00AB2AD1">
        <w:rPr>
          <w:rFonts w:hAnsi="標楷體"/>
          <w:szCs w:val="32"/>
        </w:rPr>
        <w:t>101</w:t>
      </w:r>
      <w:r w:rsidRPr="00AB2AD1">
        <w:rPr>
          <w:rFonts w:hAnsi="標楷體" w:hint="eastAsia"/>
          <w:szCs w:val="32"/>
        </w:rPr>
        <w:t>年</w:t>
      </w:r>
      <w:r w:rsidRPr="00AB2AD1">
        <w:rPr>
          <w:rFonts w:hAnsi="標楷體"/>
          <w:szCs w:val="32"/>
        </w:rPr>
        <w:t>10</w:t>
      </w:r>
      <w:r w:rsidRPr="00AB2AD1">
        <w:rPr>
          <w:rFonts w:hAnsi="標楷體" w:hint="eastAsia"/>
          <w:szCs w:val="32"/>
        </w:rPr>
        <w:t>月</w:t>
      </w:r>
      <w:r w:rsidRPr="00AB2AD1">
        <w:rPr>
          <w:rFonts w:hAnsi="標楷體"/>
          <w:szCs w:val="32"/>
        </w:rPr>
        <w:t>2</w:t>
      </w:r>
      <w:r w:rsidRPr="00AB2AD1">
        <w:rPr>
          <w:rFonts w:hAnsi="標楷體" w:hint="eastAsia"/>
          <w:szCs w:val="32"/>
        </w:rPr>
        <w:t>日公平會立案調查</w:t>
      </w:r>
      <w:r w:rsidRPr="00AB2AD1">
        <w:rPr>
          <w:rFonts w:hAnsi="標楷體"/>
          <w:szCs w:val="32"/>
        </w:rPr>
        <w:t>9</w:t>
      </w:r>
      <w:r w:rsidRPr="00AB2AD1">
        <w:rPr>
          <w:rFonts w:hAnsi="標楷體" w:hint="eastAsia"/>
          <w:szCs w:val="32"/>
        </w:rPr>
        <w:t>家</w:t>
      </w:r>
      <w:r w:rsidR="00F76EC7" w:rsidRPr="00AB2AD1">
        <w:rPr>
          <w:rFonts w:hAnsi="標楷體" w:hint="eastAsia"/>
          <w:szCs w:val="32"/>
        </w:rPr>
        <w:t>發電</w:t>
      </w:r>
      <w:r w:rsidRPr="00AB2AD1">
        <w:rPr>
          <w:rFonts w:hAnsi="標楷體" w:hint="eastAsia"/>
          <w:szCs w:val="32"/>
        </w:rPr>
        <w:t>業者是否涉及「公平交易法」第</w:t>
      </w:r>
      <w:r w:rsidRPr="00AB2AD1">
        <w:rPr>
          <w:rFonts w:hAnsi="標楷體"/>
          <w:szCs w:val="32"/>
        </w:rPr>
        <w:t>14</w:t>
      </w:r>
      <w:r w:rsidRPr="00AB2AD1">
        <w:rPr>
          <w:rFonts w:hAnsi="標楷體" w:hint="eastAsia"/>
          <w:szCs w:val="32"/>
        </w:rPr>
        <w:t>條規定之聯合行為禁制等情。</w:t>
      </w:r>
    </w:p>
    <w:p w:rsidR="003965E2" w:rsidRPr="00AB2AD1" w:rsidRDefault="003965E2" w:rsidP="00484E1C">
      <w:pPr>
        <w:pStyle w:val="4"/>
        <w:rPr>
          <w:rFonts w:hAnsi="標楷體"/>
          <w:szCs w:val="32"/>
        </w:rPr>
      </w:pPr>
      <w:r w:rsidRPr="00AB2AD1">
        <w:rPr>
          <w:rFonts w:hAnsi="標楷體"/>
          <w:szCs w:val="32"/>
        </w:rPr>
        <w:t>101</w:t>
      </w:r>
      <w:r w:rsidRPr="00AB2AD1">
        <w:rPr>
          <w:rFonts w:hAnsi="標楷體" w:hint="eastAsia"/>
          <w:szCs w:val="32"/>
        </w:rPr>
        <w:t>年</w:t>
      </w:r>
      <w:r w:rsidRPr="00AB2AD1">
        <w:rPr>
          <w:rFonts w:hAnsi="標楷體"/>
          <w:szCs w:val="32"/>
        </w:rPr>
        <w:t>10</w:t>
      </w:r>
      <w:r w:rsidRPr="00AB2AD1">
        <w:rPr>
          <w:rFonts w:hAnsi="標楷體" w:hint="eastAsia"/>
          <w:szCs w:val="32"/>
        </w:rPr>
        <w:t>月3日森霸召開協進會</w:t>
      </w:r>
      <w:r w:rsidRPr="00AB2AD1">
        <w:rPr>
          <w:rFonts w:hAnsi="標楷體"/>
          <w:szCs w:val="32"/>
        </w:rPr>
        <w:t>101</w:t>
      </w:r>
      <w:r w:rsidRPr="00AB2AD1">
        <w:rPr>
          <w:rFonts w:hAnsi="標楷體" w:hint="eastAsia"/>
          <w:szCs w:val="32"/>
        </w:rPr>
        <w:t>年度第</w:t>
      </w:r>
      <w:r w:rsidRPr="00AB2AD1">
        <w:rPr>
          <w:rFonts w:hAnsi="標楷體"/>
          <w:szCs w:val="32"/>
        </w:rPr>
        <w:t>3</w:t>
      </w:r>
      <w:r w:rsidRPr="00AB2AD1">
        <w:rPr>
          <w:rFonts w:hAnsi="標楷體" w:hint="eastAsia"/>
          <w:szCs w:val="32"/>
        </w:rPr>
        <w:t>次聯繫會議，其結論：「能源局要求提供各業者之</w:t>
      </w:r>
      <w:r w:rsidR="00360A69" w:rsidRPr="00AB2AD1">
        <w:rPr>
          <w:rFonts w:hAnsi="標楷體"/>
          <w:szCs w:val="32"/>
        </w:rPr>
        <w:t>貸</w:t>
      </w:r>
      <w:r w:rsidRPr="00AB2AD1">
        <w:rPr>
          <w:rFonts w:hAnsi="標楷體" w:hint="eastAsia"/>
          <w:szCs w:val="32"/>
        </w:rPr>
        <w:t>款利率</w:t>
      </w:r>
      <w:r w:rsidRPr="00AB2AD1">
        <w:rPr>
          <w:rFonts w:hAnsi="標楷體"/>
          <w:szCs w:val="32"/>
        </w:rPr>
        <w:t>(</w:t>
      </w:r>
      <w:r w:rsidRPr="00AB2AD1">
        <w:rPr>
          <w:rFonts w:hAnsi="標楷體" w:hint="eastAsia"/>
          <w:szCs w:val="32"/>
        </w:rPr>
        <w:t>敏感數據</w:t>
      </w:r>
      <w:r w:rsidRPr="00AB2AD1">
        <w:rPr>
          <w:rFonts w:hAnsi="標楷體"/>
          <w:szCs w:val="32"/>
        </w:rPr>
        <w:t>)</w:t>
      </w:r>
      <w:r w:rsidRPr="00AB2AD1">
        <w:rPr>
          <w:rFonts w:hAnsi="標楷體" w:hint="eastAsia"/>
          <w:szCs w:val="32"/>
        </w:rPr>
        <w:t>，各業者大部分為公開發行公司，建議依各公司公開資料及自行決定提報利率回函能源局。」</w:t>
      </w:r>
    </w:p>
    <w:p w:rsidR="00D74599" w:rsidRPr="00AB2AD1" w:rsidRDefault="00E975E3" w:rsidP="00484E1C">
      <w:pPr>
        <w:pStyle w:val="4"/>
        <w:rPr>
          <w:rFonts w:hAnsi="標楷體"/>
          <w:szCs w:val="32"/>
        </w:rPr>
      </w:pPr>
      <w:r w:rsidRPr="00AB2AD1">
        <w:rPr>
          <w:rFonts w:hAnsi="標楷體"/>
          <w:szCs w:val="32"/>
        </w:rPr>
        <w:t>101年10月11日立法院經濟委員會作成刪減台電公司101年度購入電力預算之決議，</w:t>
      </w:r>
      <w:r w:rsidR="003965E2" w:rsidRPr="00AB2AD1">
        <w:rPr>
          <w:rFonts w:hAnsi="標楷體" w:hint="eastAsia"/>
          <w:szCs w:val="32"/>
        </w:rPr>
        <w:t>包含：國光、星能、森霸、星元等</w:t>
      </w:r>
      <w:r w:rsidR="003965E2" w:rsidRPr="00AB2AD1">
        <w:rPr>
          <w:rFonts w:hAnsi="標楷體"/>
          <w:szCs w:val="32"/>
        </w:rPr>
        <w:t>4</w:t>
      </w:r>
      <w:r w:rsidR="003965E2" w:rsidRPr="00AB2AD1">
        <w:rPr>
          <w:rFonts w:hAnsi="標楷體" w:hint="eastAsia"/>
          <w:szCs w:val="32"/>
        </w:rPr>
        <w:t>家業者之購電預算(</w:t>
      </w:r>
      <w:r w:rsidR="003965E2" w:rsidRPr="00AB2AD1">
        <w:rPr>
          <w:rFonts w:hAnsi="標楷體"/>
          <w:szCs w:val="32"/>
        </w:rPr>
        <w:t>346</w:t>
      </w:r>
      <w:r w:rsidR="003965E2" w:rsidRPr="00AB2AD1">
        <w:rPr>
          <w:rFonts w:hAnsi="標楷體" w:hint="eastAsia"/>
          <w:szCs w:val="32"/>
        </w:rPr>
        <w:t>億餘萬元)刪除</w:t>
      </w:r>
      <w:r w:rsidR="003965E2" w:rsidRPr="00AB2AD1">
        <w:rPr>
          <w:rFonts w:hAnsi="標楷體"/>
          <w:szCs w:val="32"/>
        </w:rPr>
        <w:t>70</w:t>
      </w:r>
      <w:r w:rsidR="003965E2" w:rsidRPr="00AB2AD1">
        <w:rPr>
          <w:rFonts w:hAnsi="標楷體" w:hint="eastAsia"/>
          <w:szCs w:val="32"/>
        </w:rPr>
        <w:t>億元</w:t>
      </w:r>
      <w:r w:rsidR="00F76EC7" w:rsidRPr="00AB2AD1">
        <w:rPr>
          <w:rFonts w:hAnsi="標楷體" w:hint="eastAsia"/>
          <w:szCs w:val="32"/>
        </w:rPr>
        <w:t>，</w:t>
      </w:r>
      <w:r w:rsidR="003965E2" w:rsidRPr="00AB2AD1">
        <w:rPr>
          <w:rFonts w:hAnsi="標楷體" w:hint="eastAsia"/>
          <w:szCs w:val="32"/>
        </w:rPr>
        <w:t>新桃(</w:t>
      </w:r>
      <w:r w:rsidR="003965E2" w:rsidRPr="00AB2AD1">
        <w:rPr>
          <w:rFonts w:hAnsi="標楷體"/>
          <w:szCs w:val="32"/>
        </w:rPr>
        <w:t>91</w:t>
      </w:r>
      <w:r w:rsidR="003965E2" w:rsidRPr="00AB2AD1">
        <w:rPr>
          <w:rFonts w:hAnsi="標楷體" w:hint="eastAsia"/>
          <w:szCs w:val="32"/>
        </w:rPr>
        <w:t>億餘萬元)及嘉惠(</w:t>
      </w:r>
      <w:r w:rsidR="003965E2" w:rsidRPr="00AB2AD1">
        <w:rPr>
          <w:rFonts w:hAnsi="標楷體"/>
          <w:szCs w:val="32"/>
        </w:rPr>
        <w:t>88</w:t>
      </w:r>
      <w:r w:rsidR="003965E2" w:rsidRPr="00AB2AD1">
        <w:rPr>
          <w:rFonts w:hAnsi="標楷體" w:hint="eastAsia"/>
          <w:szCs w:val="32"/>
        </w:rPr>
        <w:t>億餘萬元)則各刪</w:t>
      </w:r>
      <w:r w:rsidR="003965E2" w:rsidRPr="00AB2AD1">
        <w:rPr>
          <w:rFonts w:hAnsi="標楷體"/>
          <w:szCs w:val="32"/>
        </w:rPr>
        <w:t>10</w:t>
      </w:r>
      <w:r w:rsidR="003965E2" w:rsidRPr="00AB2AD1">
        <w:rPr>
          <w:rFonts w:hAnsi="標楷體" w:hint="eastAsia"/>
          <w:szCs w:val="32"/>
        </w:rPr>
        <w:t>％。同</w:t>
      </w:r>
      <w:r w:rsidR="00F76EC7" w:rsidRPr="00AB2AD1">
        <w:rPr>
          <w:rFonts w:hAnsi="標楷體" w:hint="eastAsia"/>
          <w:szCs w:val="32"/>
        </w:rPr>
        <w:t>(11)</w:t>
      </w:r>
      <w:r w:rsidRPr="00AB2AD1">
        <w:rPr>
          <w:rFonts w:hAnsi="標楷體"/>
          <w:szCs w:val="32"/>
        </w:rPr>
        <w:t>日台電公司向</w:t>
      </w:r>
      <w:r w:rsidR="00F76EC7" w:rsidRPr="00AB2AD1">
        <w:rPr>
          <w:rFonts w:hAnsi="標楷體" w:hint="eastAsia"/>
          <w:szCs w:val="32"/>
        </w:rPr>
        <w:t>臺灣</w:t>
      </w:r>
      <w:r w:rsidRPr="00AB2AD1">
        <w:rPr>
          <w:rFonts w:hAnsi="標楷體"/>
          <w:szCs w:val="32"/>
        </w:rPr>
        <w:t>臺北地方法院</w:t>
      </w:r>
      <w:r w:rsidR="00E94ACD" w:rsidRPr="00AB2AD1">
        <w:rPr>
          <w:rFonts w:hAnsi="標楷體" w:hint="eastAsia"/>
          <w:szCs w:val="32"/>
        </w:rPr>
        <w:t>對國光、星能及森霸</w:t>
      </w:r>
      <w:r w:rsidRPr="00AB2AD1">
        <w:rPr>
          <w:rFonts w:hAnsi="標楷體"/>
          <w:szCs w:val="32"/>
        </w:rPr>
        <w:t>提起訴訟；另</w:t>
      </w:r>
      <w:r w:rsidRPr="00AB2AD1">
        <w:rPr>
          <w:rFonts w:hAnsi="標楷體" w:hint="eastAsia"/>
          <w:szCs w:val="32"/>
        </w:rPr>
        <w:t>經濟</w:t>
      </w:r>
      <w:r w:rsidRPr="00AB2AD1">
        <w:rPr>
          <w:rFonts w:hAnsi="標楷體"/>
          <w:szCs w:val="32"/>
        </w:rPr>
        <w:t>部亦陳報行政院核定同意改派第三階段4家</w:t>
      </w:r>
      <w:r w:rsidRPr="00AB2AD1">
        <w:rPr>
          <w:rFonts w:hAnsi="標楷體" w:hint="eastAsia"/>
          <w:szCs w:val="32"/>
        </w:rPr>
        <w:t>電力</w:t>
      </w:r>
      <w:r w:rsidRPr="00AB2AD1">
        <w:rPr>
          <w:rFonts w:hAnsi="標楷體"/>
          <w:szCs w:val="32"/>
        </w:rPr>
        <w:t>公司之董事長</w:t>
      </w:r>
      <w:r w:rsidRPr="00AB2AD1">
        <w:rPr>
          <w:rFonts w:hAnsi="標楷體" w:hint="eastAsia"/>
          <w:szCs w:val="32"/>
        </w:rPr>
        <w:t>。</w:t>
      </w:r>
    </w:p>
    <w:p w:rsidR="003965E2" w:rsidRPr="00AB2AD1" w:rsidRDefault="00977226" w:rsidP="00484E1C">
      <w:pPr>
        <w:pStyle w:val="4"/>
        <w:rPr>
          <w:rFonts w:hAnsi="標楷體"/>
          <w:szCs w:val="32"/>
        </w:rPr>
      </w:pPr>
      <w:r w:rsidRPr="00AB2AD1">
        <w:rPr>
          <w:rFonts w:hAnsi="標楷體"/>
          <w:szCs w:val="32"/>
        </w:rPr>
        <w:t>101年1</w:t>
      </w:r>
      <w:r w:rsidRPr="00AB2AD1">
        <w:rPr>
          <w:rFonts w:hAnsi="標楷體" w:hint="eastAsia"/>
          <w:szCs w:val="32"/>
        </w:rPr>
        <w:t>0</w:t>
      </w:r>
      <w:r w:rsidRPr="00AB2AD1">
        <w:rPr>
          <w:rFonts w:hAnsi="標楷體"/>
          <w:szCs w:val="32"/>
        </w:rPr>
        <w:t>月</w:t>
      </w:r>
      <w:r w:rsidRPr="00AB2AD1">
        <w:rPr>
          <w:rFonts w:hAnsi="標楷體" w:hint="eastAsia"/>
          <w:szCs w:val="32"/>
        </w:rPr>
        <w:t>19</w:t>
      </w:r>
      <w:r w:rsidRPr="00AB2AD1">
        <w:rPr>
          <w:rFonts w:hAnsi="標楷體"/>
          <w:szCs w:val="32"/>
        </w:rPr>
        <w:t>日</w:t>
      </w:r>
      <w:r w:rsidRPr="00AB2AD1">
        <w:rPr>
          <w:rFonts w:hAnsi="標楷體" w:hint="eastAsia"/>
          <w:szCs w:val="32"/>
        </w:rPr>
        <w:t>台汽電公司召開</w:t>
      </w:r>
      <w:r w:rsidRPr="00AB2AD1">
        <w:rPr>
          <w:rFonts w:hAnsi="標楷體"/>
          <w:szCs w:val="32"/>
        </w:rPr>
        <w:t>101</w:t>
      </w:r>
      <w:r w:rsidRPr="00AB2AD1">
        <w:rPr>
          <w:rFonts w:hAnsi="標楷體" w:hint="eastAsia"/>
          <w:szCs w:val="32"/>
        </w:rPr>
        <w:t>年第二</w:t>
      </w:r>
      <w:r w:rsidRPr="00AB2AD1">
        <w:rPr>
          <w:rFonts w:hAnsi="標楷體" w:hint="eastAsia"/>
          <w:szCs w:val="32"/>
        </w:rPr>
        <w:lastRenderedPageBreak/>
        <w:t>次臨時董事會，有關與台電公司協商調整售電電費率</w:t>
      </w:r>
      <w:r w:rsidR="00F76EC7" w:rsidRPr="00AB2AD1">
        <w:rPr>
          <w:rFonts w:hAnsi="標楷體" w:hint="eastAsia"/>
          <w:szCs w:val="32"/>
        </w:rPr>
        <w:t>之</w:t>
      </w:r>
      <w:r w:rsidRPr="00AB2AD1">
        <w:rPr>
          <w:rFonts w:hAnsi="標楷體" w:hint="eastAsia"/>
          <w:szCs w:val="32"/>
        </w:rPr>
        <w:t>報告案，經理部門補充報告表示近期各業者所發生之不正常現象</w:t>
      </w:r>
      <w:r w:rsidR="00F76EC7" w:rsidRPr="00AB2AD1">
        <w:rPr>
          <w:rFonts w:hAnsi="標楷體" w:hint="eastAsia"/>
          <w:szCs w:val="32"/>
        </w:rPr>
        <w:t>包括</w:t>
      </w:r>
      <w:r w:rsidRPr="00AB2AD1">
        <w:rPr>
          <w:rFonts w:hAnsi="標楷體" w:hint="eastAsia"/>
          <w:szCs w:val="32"/>
        </w:rPr>
        <w:t>：「1.政府相關部門對各轉投資電廠進行密集的電業查核。2.台電對電廠實施不規則電力調度，致使能源浪費損失增加</w:t>
      </w:r>
      <w:r w:rsidRPr="00AB2AD1">
        <w:rPr>
          <w:rFonts w:hAnsi="標楷體"/>
          <w:szCs w:val="32"/>
        </w:rPr>
        <w:t>10</w:t>
      </w:r>
      <w:r w:rsidR="00303C73" w:rsidRPr="00AB2AD1">
        <w:rPr>
          <w:rFonts w:hAnsi="標楷體" w:hint="eastAsia"/>
          <w:szCs w:val="32"/>
        </w:rPr>
        <w:t>％</w:t>
      </w:r>
      <w:r w:rsidRPr="00AB2AD1">
        <w:rPr>
          <w:rFonts w:hAnsi="標楷體" w:hint="eastAsia"/>
          <w:szCs w:val="32"/>
        </w:rPr>
        <w:t>，發電效率由</w:t>
      </w:r>
      <w:r w:rsidRPr="00AB2AD1">
        <w:rPr>
          <w:rFonts w:hAnsi="標楷體"/>
          <w:szCs w:val="32"/>
        </w:rPr>
        <w:t>51</w:t>
      </w:r>
      <w:r w:rsidR="00303C73" w:rsidRPr="00AB2AD1">
        <w:rPr>
          <w:rFonts w:hAnsi="標楷體" w:hint="eastAsia"/>
          <w:szCs w:val="32"/>
        </w:rPr>
        <w:t>％</w:t>
      </w:r>
      <w:r w:rsidRPr="00AB2AD1">
        <w:rPr>
          <w:rFonts w:hAnsi="標楷體" w:hint="eastAsia"/>
          <w:szCs w:val="32"/>
        </w:rPr>
        <w:t>下降至</w:t>
      </w:r>
      <w:r w:rsidRPr="00AB2AD1">
        <w:rPr>
          <w:rFonts w:hAnsi="標楷體"/>
          <w:szCs w:val="32"/>
        </w:rPr>
        <w:t>40</w:t>
      </w:r>
      <w:r w:rsidRPr="00AB2AD1">
        <w:rPr>
          <w:rFonts w:hAnsi="標楷體" w:hint="eastAsia"/>
          <w:szCs w:val="32"/>
        </w:rPr>
        <w:t>餘</w:t>
      </w:r>
      <w:r w:rsidR="00303C73" w:rsidRPr="00AB2AD1">
        <w:rPr>
          <w:rFonts w:hAnsi="標楷體" w:hint="eastAsia"/>
          <w:szCs w:val="32"/>
        </w:rPr>
        <w:t>％</w:t>
      </w:r>
      <w:r w:rsidRPr="00AB2AD1">
        <w:rPr>
          <w:rFonts w:hAnsi="標楷體" w:hint="eastAsia"/>
          <w:szCs w:val="32"/>
        </w:rPr>
        <w:t>。3.立法院對本公司投資之</w:t>
      </w:r>
      <w:r w:rsidRPr="00AB2AD1">
        <w:rPr>
          <w:rFonts w:hAnsi="標楷體"/>
          <w:szCs w:val="32"/>
        </w:rPr>
        <w:t>4</w:t>
      </w:r>
      <w:r w:rsidRPr="00AB2AD1">
        <w:rPr>
          <w:rFonts w:hAnsi="標楷體" w:hint="eastAsia"/>
          <w:szCs w:val="32"/>
        </w:rPr>
        <w:t>家電力公司購電預算中，指定刪減</w:t>
      </w:r>
      <w:r w:rsidRPr="00AB2AD1">
        <w:rPr>
          <w:rFonts w:hAnsi="標楷體"/>
          <w:szCs w:val="32"/>
        </w:rPr>
        <w:t>70</w:t>
      </w:r>
      <w:r w:rsidRPr="00AB2AD1">
        <w:rPr>
          <w:rFonts w:hAnsi="標楷體" w:hint="eastAsia"/>
          <w:szCs w:val="32"/>
        </w:rPr>
        <w:t>億元，預算經刪減後，如台電向</w:t>
      </w:r>
      <w:r w:rsidRPr="00AB2AD1">
        <w:rPr>
          <w:rFonts w:hAnsi="標楷體"/>
          <w:szCs w:val="32"/>
        </w:rPr>
        <w:t>4</w:t>
      </w:r>
      <w:r w:rsidRPr="00AB2AD1">
        <w:rPr>
          <w:rFonts w:hAnsi="標楷體" w:hint="eastAsia"/>
          <w:szCs w:val="32"/>
        </w:rPr>
        <w:t>家業者購電預算不足時，從今日起至年底可能不再調度發電，將對</w:t>
      </w:r>
      <w:r w:rsidRPr="00AB2AD1">
        <w:rPr>
          <w:rFonts w:hAnsi="標楷體"/>
          <w:szCs w:val="32"/>
        </w:rPr>
        <w:t>4</w:t>
      </w:r>
      <w:r w:rsidRPr="00AB2AD1">
        <w:rPr>
          <w:rFonts w:hAnsi="標楷體" w:hint="eastAsia"/>
          <w:szCs w:val="32"/>
        </w:rPr>
        <w:t>家業者造成極大損失。4.台電函請各</w:t>
      </w:r>
      <w:r w:rsidR="00F76EC7" w:rsidRPr="00AB2AD1">
        <w:rPr>
          <w:rFonts w:hAnsi="標楷體" w:hint="eastAsia"/>
          <w:szCs w:val="32"/>
        </w:rPr>
        <w:t>業者</w:t>
      </w:r>
      <w:r w:rsidRPr="00AB2AD1">
        <w:rPr>
          <w:rFonts w:hAnsi="標楷體" w:hint="eastAsia"/>
          <w:szCs w:val="32"/>
        </w:rPr>
        <w:t>，將支付電費方式由現金匯款改為支票付款，據口頭告知，該支票可能為</w:t>
      </w:r>
      <w:r w:rsidRPr="00AB2AD1">
        <w:rPr>
          <w:rFonts w:hAnsi="標楷體"/>
          <w:szCs w:val="32"/>
        </w:rPr>
        <w:t>3</w:t>
      </w:r>
      <w:r w:rsidRPr="00AB2AD1">
        <w:rPr>
          <w:rFonts w:hAnsi="標楷體" w:hint="eastAsia"/>
          <w:szCs w:val="32"/>
        </w:rPr>
        <w:t>個月期票，果為如此</w:t>
      </w:r>
      <w:r w:rsidR="00271E06" w:rsidRPr="00AB2AD1">
        <w:rPr>
          <w:rFonts w:hAnsi="標楷體" w:hint="eastAsia"/>
          <w:szCs w:val="32"/>
        </w:rPr>
        <w:t>，</w:t>
      </w:r>
      <w:r w:rsidRPr="00AB2AD1">
        <w:rPr>
          <w:rFonts w:hAnsi="標楷體" w:hint="eastAsia"/>
          <w:szCs w:val="32"/>
        </w:rPr>
        <w:t>將造成</w:t>
      </w:r>
      <w:r w:rsidR="003F25DE" w:rsidRPr="00AB2AD1">
        <w:rPr>
          <w:rFonts w:hAnsi="標楷體" w:hint="eastAsia"/>
          <w:szCs w:val="32"/>
        </w:rPr>
        <w:t>業者</w:t>
      </w:r>
      <w:r w:rsidRPr="00AB2AD1">
        <w:rPr>
          <w:rFonts w:hAnsi="標楷體" w:hint="eastAsia"/>
          <w:szCs w:val="32"/>
        </w:rPr>
        <w:t>營運資金缺口。5.台電已來函表示針對本項修約爭議，擬對星能、森霸、國光等電力公司提起訴訟。」</w:t>
      </w:r>
      <w:r w:rsidR="00F76EC7" w:rsidRPr="00AB2AD1">
        <w:rPr>
          <w:rFonts w:hAnsi="標楷體" w:hint="eastAsia"/>
          <w:szCs w:val="32"/>
        </w:rPr>
        <w:t>董事會</w:t>
      </w:r>
      <w:r w:rsidR="003F25DE" w:rsidRPr="00AB2AD1">
        <w:rPr>
          <w:rFonts w:hAnsi="標楷體" w:hint="eastAsia"/>
          <w:szCs w:val="32"/>
        </w:rPr>
        <w:t>並</w:t>
      </w:r>
      <w:r w:rsidRPr="00AB2AD1">
        <w:rPr>
          <w:rFonts w:hAnsi="標楷體" w:hint="eastAsia"/>
          <w:szCs w:val="32"/>
        </w:rPr>
        <w:t>決議：「請各</w:t>
      </w:r>
      <w:r w:rsidR="003F25DE" w:rsidRPr="00AB2AD1">
        <w:rPr>
          <w:rFonts w:hAnsi="標楷體" w:hint="eastAsia"/>
          <w:szCs w:val="32"/>
        </w:rPr>
        <w:t>電力公司</w:t>
      </w:r>
      <w:r w:rsidRPr="00AB2AD1">
        <w:rPr>
          <w:rFonts w:hAnsi="標楷體" w:hint="eastAsia"/>
          <w:szCs w:val="32"/>
        </w:rPr>
        <w:t>繼</w:t>
      </w:r>
      <w:r w:rsidR="007E0B67">
        <w:rPr>
          <w:rFonts w:hAnsi="標楷體" w:hint="eastAsia"/>
          <w:szCs w:val="32"/>
        </w:rPr>
        <w:t>續</w:t>
      </w:r>
      <w:r w:rsidRPr="00AB2AD1">
        <w:rPr>
          <w:rFonts w:hAnsi="標楷體" w:hint="eastAsia"/>
          <w:szCs w:val="32"/>
        </w:rPr>
        <w:t>與台電協商，並彙整各電力公司作整體影響評估及董監事責任風險分析報告提報董事會。」</w:t>
      </w:r>
    </w:p>
    <w:p w:rsidR="00977226" w:rsidRPr="00AB2AD1" w:rsidRDefault="00977226" w:rsidP="00484E1C">
      <w:pPr>
        <w:pStyle w:val="4"/>
        <w:rPr>
          <w:rFonts w:hAnsi="標楷體"/>
          <w:szCs w:val="32"/>
        </w:rPr>
      </w:pPr>
      <w:r w:rsidRPr="00AB2AD1">
        <w:rPr>
          <w:rFonts w:hAnsi="標楷體"/>
          <w:szCs w:val="32"/>
        </w:rPr>
        <w:t>101年1</w:t>
      </w:r>
      <w:r w:rsidRPr="00AB2AD1">
        <w:rPr>
          <w:rFonts w:hAnsi="標楷體" w:hint="eastAsia"/>
          <w:szCs w:val="32"/>
        </w:rPr>
        <w:t>0</w:t>
      </w:r>
      <w:r w:rsidRPr="00AB2AD1">
        <w:rPr>
          <w:rFonts w:hAnsi="標楷體"/>
          <w:szCs w:val="32"/>
        </w:rPr>
        <w:t>月</w:t>
      </w:r>
      <w:r w:rsidRPr="00AB2AD1">
        <w:rPr>
          <w:rFonts w:hAnsi="標楷體" w:hint="eastAsia"/>
          <w:szCs w:val="32"/>
        </w:rPr>
        <w:t>24</w:t>
      </w:r>
      <w:r w:rsidRPr="00AB2AD1">
        <w:rPr>
          <w:rFonts w:hAnsi="標楷體"/>
          <w:szCs w:val="32"/>
        </w:rPr>
        <w:t>日</w:t>
      </w:r>
      <w:r w:rsidRPr="00AB2AD1">
        <w:rPr>
          <w:rFonts w:hAnsi="標楷體" w:hint="eastAsia"/>
          <w:szCs w:val="32"/>
        </w:rPr>
        <w:t>台電公司分別與長生、新桃、嘉惠召開「購售電合約修約協商事宜」</w:t>
      </w:r>
      <w:r w:rsidRPr="00AB2AD1">
        <w:rPr>
          <w:rFonts w:hAnsi="標楷體"/>
          <w:szCs w:val="32"/>
        </w:rPr>
        <w:t>(</w:t>
      </w:r>
      <w:r w:rsidRPr="00AB2AD1">
        <w:rPr>
          <w:rFonts w:hAnsi="標楷體" w:hint="eastAsia"/>
          <w:szCs w:val="32"/>
        </w:rPr>
        <w:t>第</w:t>
      </w:r>
      <w:r w:rsidRPr="00AB2AD1">
        <w:rPr>
          <w:rFonts w:hAnsi="標楷體"/>
          <w:szCs w:val="32"/>
        </w:rPr>
        <w:t>16</w:t>
      </w:r>
      <w:r w:rsidRPr="00AB2AD1">
        <w:rPr>
          <w:rFonts w:hAnsi="標楷體" w:hint="eastAsia"/>
          <w:szCs w:val="32"/>
        </w:rPr>
        <w:t>、17、18次</w:t>
      </w:r>
      <w:r w:rsidR="00303C73" w:rsidRPr="00AB2AD1">
        <w:rPr>
          <w:rFonts w:hAnsi="標楷體" w:hint="eastAsia"/>
          <w:szCs w:val="32"/>
        </w:rPr>
        <w:t>協商會議</w:t>
      </w:r>
      <w:r w:rsidRPr="00AB2AD1">
        <w:rPr>
          <w:rFonts w:hAnsi="標楷體"/>
          <w:szCs w:val="32"/>
        </w:rPr>
        <w:t>)</w:t>
      </w:r>
      <w:r w:rsidRPr="00AB2AD1">
        <w:rPr>
          <w:rFonts w:hAnsi="標楷體" w:hint="eastAsia"/>
          <w:szCs w:val="32"/>
        </w:rPr>
        <w:t>會議</w:t>
      </w:r>
      <w:r w:rsidR="00856869" w:rsidRPr="00AB2AD1">
        <w:rPr>
          <w:rFonts w:hAnsi="標楷體" w:hint="eastAsia"/>
          <w:szCs w:val="32"/>
        </w:rPr>
        <w:t>，台電請</w:t>
      </w:r>
      <w:r w:rsidR="003F25DE" w:rsidRPr="00AB2AD1">
        <w:rPr>
          <w:rFonts w:hAnsi="標楷體" w:hint="eastAsia"/>
          <w:szCs w:val="32"/>
        </w:rPr>
        <w:t>業</w:t>
      </w:r>
      <w:r w:rsidR="00856869" w:rsidRPr="00AB2AD1">
        <w:rPr>
          <w:rFonts w:hAnsi="標楷體" w:hint="eastAsia"/>
          <w:szCs w:val="32"/>
        </w:rPr>
        <w:t>者就所提之</w:t>
      </w:r>
      <w:r w:rsidR="00856869" w:rsidRPr="00AB2AD1">
        <w:rPr>
          <w:rFonts w:hAnsi="標楷體"/>
          <w:szCs w:val="32"/>
        </w:rPr>
        <w:t>ROA</w:t>
      </w:r>
      <w:r w:rsidR="00856869" w:rsidRPr="00AB2AD1">
        <w:rPr>
          <w:rFonts w:hAnsi="標楷體" w:hint="eastAsia"/>
          <w:szCs w:val="32"/>
        </w:rPr>
        <w:t>及資本費隨利率浮動調整</w:t>
      </w:r>
      <w:r w:rsidR="00856869" w:rsidRPr="00AB2AD1">
        <w:rPr>
          <w:rFonts w:hAnsi="標楷體"/>
          <w:szCs w:val="32"/>
        </w:rPr>
        <w:t>(</w:t>
      </w:r>
      <w:r w:rsidR="00856869" w:rsidRPr="00AB2AD1">
        <w:rPr>
          <w:rFonts w:hAnsi="標楷體" w:hint="eastAsia"/>
          <w:szCs w:val="32"/>
        </w:rPr>
        <w:t>利息減省</w:t>
      </w:r>
      <w:r w:rsidR="00856869" w:rsidRPr="00AB2AD1">
        <w:rPr>
          <w:rFonts w:hAnsi="標楷體"/>
          <w:szCs w:val="32"/>
        </w:rPr>
        <w:t>)</w:t>
      </w:r>
      <w:r w:rsidR="00856869" w:rsidRPr="00AB2AD1">
        <w:rPr>
          <w:rFonts w:hAnsi="標楷體" w:hint="eastAsia"/>
          <w:szCs w:val="32"/>
        </w:rPr>
        <w:t>方案</w:t>
      </w:r>
      <w:r w:rsidR="009E77E6" w:rsidRPr="00AB2AD1">
        <w:rPr>
          <w:rFonts w:hAnsi="標楷體" w:hint="eastAsia"/>
          <w:szCs w:val="32"/>
        </w:rPr>
        <w:t>，</w:t>
      </w:r>
      <w:r w:rsidR="00856869" w:rsidRPr="00AB2AD1">
        <w:rPr>
          <w:rFonts w:hAnsi="標楷體" w:hint="eastAsia"/>
          <w:szCs w:val="32"/>
        </w:rPr>
        <w:t>向決策層級報告，並儘速將結果回復台電。</w:t>
      </w:r>
    </w:p>
    <w:p w:rsidR="00977226" w:rsidRPr="00AB2AD1" w:rsidRDefault="00303C73" w:rsidP="00484E1C">
      <w:pPr>
        <w:pStyle w:val="4"/>
        <w:rPr>
          <w:rFonts w:hAnsi="標楷體"/>
          <w:szCs w:val="32"/>
        </w:rPr>
      </w:pPr>
      <w:r w:rsidRPr="00AB2AD1">
        <w:rPr>
          <w:rFonts w:hAnsi="標楷體"/>
          <w:szCs w:val="32"/>
        </w:rPr>
        <w:t>101年1</w:t>
      </w:r>
      <w:r w:rsidRPr="00AB2AD1">
        <w:rPr>
          <w:rFonts w:hAnsi="標楷體" w:hint="eastAsia"/>
          <w:szCs w:val="32"/>
        </w:rPr>
        <w:t>1</w:t>
      </w:r>
      <w:r w:rsidRPr="00AB2AD1">
        <w:rPr>
          <w:rFonts w:hAnsi="標楷體"/>
          <w:szCs w:val="32"/>
        </w:rPr>
        <w:t>月</w:t>
      </w:r>
      <w:r w:rsidRPr="00AB2AD1">
        <w:rPr>
          <w:rFonts w:hAnsi="標楷體" w:hint="eastAsia"/>
          <w:szCs w:val="32"/>
        </w:rPr>
        <w:t>8</w:t>
      </w:r>
      <w:r w:rsidRPr="00AB2AD1">
        <w:rPr>
          <w:rFonts w:hAnsi="標楷體"/>
          <w:szCs w:val="32"/>
        </w:rPr>
        <w:t>日</w:t>
      </w:r>
      <w:r w:rsidRPr="00AB2AD1">
        <w:rPr>
          <w:rFonts w:hAnsi="標楷體" w:hint="eastAsia"/>
          <w:szCs w:val="32"/>
        </w:rPr>
        <w:t>、</w:t>
      </w:r>
      <w:r w:rsidRPr="00AB2AD1">
        <w:rPr>
          <w:rFonts w:hAnsi="標楷體"/>
          <w:szCs w:val="32"/>
        </w:rPr>
        <w:t>1</w:t>
      </w:r>
      <w:r w:rsidRPr="00AB2AD1">
        <w:rPr>
          <w:rFonts w:hAnsi="標楷體" w:hint="eastAsia"/>
          <w:szCs w:val="32"/>
        </w:rPr>
        <w:t>1</w:t>
      </w:r>
      <w:r w:rsidRPr="00AB2AD1">
        <w:rPr>
          <w:rFonts w:hAnsi="標楷體"/>
          <w:szCs w:val="32"/>
        </w:rPr>
        <w:t>月</w:t>
      </w:r>
      <w:r w:rsidRPr="00AB2AD1">
        <w:rPr>
          <w:rFonts w:hAnsi="標楷體" w:hint="eastAsia"/>
          <w:szCs w:val="32"/>
        </w:rPr>
        <w:t>9</w:t>
      </w:r>
      <w:r w:rsidRPr="00AB2AD1">
        <w:rPr>
          <w:rFonts w:hAnsi="標楷體"/>
          <w:szCs w:val="32"/>
        </w:rPr>
        <w:t>日</w:t>
      </w:r>
      <w:r w:rsidRPr="00AB2AD1">
        <w:rPr>
          <w:rFonts w:hAnsi="標楷體" w:hint="eastAsia"/>
          <w:szCs w:val="32"/>
        </w:rPr>
        <w:t>、</w:t>
      </w:r>
      <w:r w:rsidRPr="00AB2AD1">
        <w:rPr>
          <w:rFonts w:hAnsi="標楷體"/>
          <w:szCs w:val="32"/>
        </w:rPr>
        <w:t>1</w:t>
      </w:r>
      <w:r w:rsidRPr="00AB2AD1">
        <w:rPr>
          <w:rFonts w:hAnsi="標楷體" w:hint="eastAsia"/>
          <w:szCs w:val="32"/>
        </w:rPr>
        <w:t>1</w:t>
      </w:r>
      <w:r w:rsidRPr="00AB2AD1">
        <w:rPr>
          <w:rFonts w:hAnsi="標楷體"/>
          <w:szCs w:val="32"/>
        </w:rPr>
        <w:t>月</w:t>
      </w:r>
      <w:r w:rsidRPr="00AB2AD1">
        <w:rPr>
          <w:rFonts w:hAnsi="標楷體" w:hint="eastAsia"/>
          <w:szCs w:val="32"/>
        </w:rPr>
        <w:t>12</w:t>
      </w:r>
      <w:r w:rsidRPr="00AB2AD1">
        <w:rPr>
          <w:rFonts w:hAnsi="標楷體"/>
          <w:szCs w:val="32"/>
        </w:rPr>
        <w:t>日</w:t>
      </w:r>
      <w:r w:rsidRPr="00AB2AD1">
        <w:rPr>
          <w:rFonts w:hAnsi="標楷體" w:hint="eastAsia"/>
          <w:szCs w:val="32"/>
        </w:rPr>
        <w:t>、</w:t>
      </w:r>
      <w:r w:rsidRPr="00AB2AD1">
        <w:rPr>
          <w:rFonts w:hAnsi="標楷體"/>
          <w:szCs w:val="32"/>
        </w:rPr>
        <w:t>1</w:t>
      </w:r>
      <w:r w:rsidRPr="00AB2AD1">
        <w:rPr>
          <w:rFonts w:hAnsi="標楷體" w:hint="eastAsia"/>
          <w:szCs w:val="32"/>
        </w:rPr>
        <w:t>1</w:t>
      </w:r>
      <w:r w:rsidRPr="00AB2AD1">
        <w:rPr>
          <w:rFonts w:hAnsi="標楷體"/>
          <w:szCs w:val="32"/>
        </w:rPr>
        <w:t>月</w:t>
      </w:r>
      <w:r w:rsidRPr="00AB2AD1">
        <w:rPr>
          <w:rFonts w:hAnsi="標楷體" w:hint="eastAsia"/>
          <w:szCs w:val="32"/>
        </w:rPr>
        <w:t>13</w:t>
      </w:r>
      <w:r w:rsidRPr="00AB2AD1">
        <w:rPr>
          <w:rFonts w:hAnsi="標楷體"/>
          <w:szCs w:val="32"/>
        </w:rPr>
        <w:t>日</w:t>
      </w:r>
      <w:r w:rsidRPr="00AB2AD1">
        <w:rPr>
          <w:rFonts w:hAnsi="標楷體" w:hint="eastAsia"/>
          <w:szCs w:val="32"/>
        </w:rPr>
        <w:t>台電公司與國光、星能、森霸、星元、長生、新桃、嘉惠召開6次「購售電合約修約協商事宜」會議</w:t>
      </w:r>
      <w:r w:rsidRPr="00AB2AD1">
        <w:rPr>
          <w:rFonts w:hAnsi="標楷體"/>
          <w:szCs w:val="32"/>
        </w:rPr>
        <w:t>(</w:t>
      </w:r>
      <w:r w:rsidRPr="00AB2AD1">
        <w:rPr>
          <w:rFonts w:hAnsi="標楷體" w:hint="eastAsia"/>
          <w:szCs w:val="32"/>
        </w:rPr>
        <w:t>第</w:t>
      </w:r>
      <w:r w:rsidRPr="00AB2AD1">
        <w:rPr>
          <w:rFonts w:hAnsi="標楷體"/>
          <w:szCs w:val="32"/>
        </w:rPr>
        <w:t>1</w:t>
      </w:r>
      <w:r w:rsidRPr="00AB2AD1">
        <w:rPr>
          <w:rFonts w:hAnsi="標楷體" w:hint="eastAsia"/>
          <w:szCs w:val="32"/>
        </w:rPr>
        <w:t>9</w:t>
      </w:r>
      <w:r w:rsidR="009E77E6" w:rsidRPr="00AB2AD1">
        <w:rPr>
          <w:rFonts w:hAnsi="標楷體" w:hint="eastAsia"/>
          <w:szCs w:val="32"/>
        </w:rPr>
        <w:t>-</w:t>
      </w:r>
      <w:r w:rsidRPr="00AB2AD1">
        <w:rPr>
          <w:rFonts w:hAnsi="標楷體" w:hint="eastAsia"/>
          <w:szCs w:val="32"/>
        </w:rPr>
        <w:t>24次協商會議</w:t>
      </w:r>
      <w:r w:rsidRPr="00AB2AD1">
        <w:rPr>
          <w:rFonts w:hAnsi="標楷體"/>
          <w:szCs w:val="32"/>
        </w:rPr>
        <w:t>)</w:t>
      </w:r>
      <w:r w:rsidRPr="00AB2AD1">
        <w:rPr>
          <w:rFonts w:hAnsi="標楷體" w:hint="eastAsia"/>
          <w:szCs w:val="32"/>
        </w:rPr>
        <w:t>，</w:t>
      </w:r>
      <w:r w:rsidR="007D4906" w:rsidRPr="00AB2AD1">
        <w:rPr>
          <w:rFonts w:hAnsi="標楷體" w:hint="eastAsia"/>
          <w:szCs w:val="32"/>
        </w:rPr>
        <w:t>台電請業者儘速研議能源局之協處方案及台電所提資本費隨利率浮動調整</w:t>
      </w:r>
      <w:r w:rsidR="007D4906" w:rsidRPr="00AB2AD1">
        <w:rPr>
          <w:rFonts w:hAnsi="標楷體"/>
          <w:szCs w:val="32"/>
        </w:rPr>
        <w:t>(</w:t>
      </w:r>
      <w:r w:rsidR="007D4906" w:rsidRPr="00AB2AD1">
        <w:rPr>
          <w:rFonts w:hAnsi="標楷體" w:hint="eastAsia"/>
          <w:szCs w:val="32"/>
        </w:rPr>
        <w:t>利息減省</w:t>
      </w:r>
      <w:r w:rsidR="007D4906" w:rsidRPr="00AB2AD1">
        <w:rPr>
          <w:rFonts w:hAnsi="標楷體"/>
          <w:szCs w:val="32"/>
        </w:rPr>
        <w:t>)</w:t>
      </w:r>
      <w:r w:rsidR="007D4906" w:rsidRPr="00AB2AD1">
        <w:rPr>
          <w:rFonts w:hAnsi="標楷體" w:hint="eastAsia"/>
          <w:szCs w:val="32"/>
        </w:rPr>
        <w:t>方案等內容</w:t>
      </w:r>
      <w:r w:rsidR="0000307D" w:rsidRPr="00AB2AD1">
        <w:rPr>
          <w:rFonts w:hAnsi="標楷體" w:hint="eastAsia"/>
          <w:szCs w:val="32"/>
        </w:rPr>
        <w:t>，其中</w:t>
      </w:r>
      <w:r w:rsidR="0000307D" w:rsidRPr="00AB2AD1">
        <w:rPr>
          <w:rFonts w:hAnsi="標楷體"/>
          <w:szCs w:val="32"/>
        </w:rPr>
        <w:t>1</w:t>
      </w:r>
      <w:r w:rsidR="0000307D" w:rsidRPr="00AB2AD1">
        <w:rPr>
          <w:rFonts w:hAnsi="標楷體" w:hint="eastAsia"/>
          <w:szCs w:val="32"/>
        </w:rPr>
        <w:t>1</w:t>
      </w:r>
      <w:r w:rsidR="0000307D" w:rsidRPr="00AB2AD1">
        <w:rPr>
          <w:rFonts w:hAnsi="標楷體"/>
          <w:szCs w:val="32"/>
        </w:rPr>
        <w:t>月</w:t>
      </w:r>
      <w:r w:rsidR="0000307D" w:rsidRPr="00AB2AD1">
        <w:rPr>
          <w:rFonts w:hAnsi="標楷體" w:hint="eastAsia"/>
          <w:szCs w:val="32"/>
        </w:rPr>
        <w:t>13</w:t>
      </w:r>
      <w:r w:rsidR="0000307D" w:rsidRPr="00AB2AD1">
        <w:rPr>
          <w:rFonts w:hAnsi="標楷體"/>
          <w:szCs w:val="32"/>
        </w:rPr>
        <w:t>日</w:t>
      </w:r>
      <w:r w:rsidR="0000307D" w:rsidRPr="00AB2AD1">
        <w:rPr>
          <w:rFonts w:hAnsi="標楷體" w:hint="eastAsia"/>
          <w:szCs w:val="32"/>
        </w:rPr>
        <w:t>台電所提方案為：(1)資本費隨利率浮</w:t>
      </w:r>
      <w:r w:rsidR="0000307D" w:rsidRPr="00AB2AD1">
        <w:rPr>
          <w:rFonts w:hAnsi="標楷體" w:hint="eastAsia"/>
          <w:szCs w:val="32"/>
        </w:rPr>
        <w:lastRenderedPageBreak/>
        <w:t>動調整：以各業者</w:t>
      </w:r>
      <w:r w:rsidR="0000307D" w:rsidRPr="00AB2AD1">
        <w:rPr>
          <w:rFonts w:hAnsi="標楷體"/>
          <w:szCs w:val="32"/>
        </w:rPr>
        <w:t>100</w:t>
      </w:r>
      <w:r w:rsidR="0000307D" w:rsidRPr="00AB2AD1">
        <w:rPr>
          <w:rFonts w:hAnsi="標楷體" w:hint="eastAsia"/>
          <w:szCs w:val="32"/>
        </w:rPr>
        <w:t>年貸款餘額、依合約剩餘年限進行攤提；至於利差部分</w:t>
      </w:r>
      <w:r w:rsidR="00271E06" w:rsidRPr="00AB2AD1">
        <w:rPr>
          <w:rFonts w:hAnsi="標楷體" w:hint="eastAsia"/>
          <w:szCs w:val="32"/>
        </w:rPr>
        <w:t>，</w:t>
      </w:r>
      <w:r w:rsidR="0000307D" w:rsidRPr="00AB2AD1">
        <w:rPr>
          <w:rFonts w:hAnsi="標楷體" w:hint="eastAsia"/>
          <w:szCs w:val="32"/>
        </w:rPr>
        <w:t>考慮業者實際貸款水準，起始值採台電</w:t>
      </w:r>
      <w:r w:rsidR="0000307D" w:rsidRPr="00AB2AD1">
        <w:rPr>
          <w:rFonts w:hAnsi="標楷體"/>
          <w:szCs w:val="32"/>
        </w:rPr>
        <w:t>88</w:t>
      </w:r>
      <w:r w:rsidR="0000307D" w:rsidRPr="00AB2AD1">
        <w:rPr>
          <w:rFonts w:hAnsi="標楷體" w:hint="eastAsia"/>
          <w:szCs w:val="32"/>
        </w:rPr>
        <w:t>年平均利率</w:t>
      </w:r>
      <w:r w:rsidR="0000307D" w:rsidRPr="00AB2AD1">
        <w:rPr>
          <w:rFonts w:hAnsi="標楷體"/>
          <w:szCs w:val="32"/>
        </w:rPr>
        <w:t>(</w:t>
      </w:r>
      <w:r w:rsidR="0000307D" w:rsidRPr="00AB2AD1">
        <w:rPr>
          <w:rFonts w:hAnsi="標楷體" w:hint="eastAsia"/>
          <w:szCs w:val="32"/>
        </w:rPr>
        <w:t>星元採</w:t>
      </w:r>
      <w:r w:rsidR="0000307D" w:rsidRPr="00AB2AD1">
        <w:rPr>
          <w:rFonts w:hAnsi="標楷體"/>
          <w:szCs w:val="32"/>
        </w:rPr>
        <w:t>94</w:t>
      </w:r>
      <w:r w:rsidR="0000307D" w:rsidRPr="00AB2AD1">
        <w:rPr>
          <w:rFonts w:hAnsi="標楷體" w:hint="eastAsia"/>
          <w:szCs w:val="32"/>
        </w:rPr>
        <w:t>年五大銀行新承做「資本支出貸款」放款利率</w:t>
      </w:r>
      <w:r w:rsidR="0000307D" w:rsidRPr="00AB2AD1">
        <w:rPr>
          <w:rFonts w:hAnsi="標楷體"/>
          <w:szCs w:val="32"/>
        </w:rPr>
        <w:t>)</w:t>
      </w:r>
      <w:r w:rsidR="0000307D" w:rsidRPr="00AB2AD1">
        <w:rPr>
          <w:rFonts w:hAnsi="標楷體" w:hint="eastAsia"/>
          <w:szCs w:val="32"/>
        </w:rPr>
        <w:t>，浮動調整指標採五大銀行新承做「資本支出貸款」放款利率；(2)增加容量因數：超過容量因數</w:t>
      </w:r>
      <w:r w:rsidR="0000307D" w:rsidRPr="00AB2AD1">
        <w:rPr>
          <w:rFonts w:hAnsi="標楷體"/>
          <w:szCs w:val="32"/>
        </w:rPr>
        <w:t>40%</w:t>
      </w:r>
      <w:r w:rsidR="0000307D" w:rsidRPr="00AB2AD1">
        <w:rPr>
          <w:rFonts w:hAnsi="標楷體" w:hint="eastAsia"/>
          <w:szCs w:val="32"/>
        </w:rPr>
        <w:t>以上之計費方式僅支付燃料費用</w:t>
      </w:r>
      <w:r w:rsidR="0000307D" w:rsidRPr="00AB2AD1">
        <w:rPr>
          <w:rFonts w:hAnsi="標楷體"/>
          <w:szCs w:val="32"/>
        </w:rPr>
        <w:t>(</w:t>
      </w:r>
      <w:r w:rsidR="0000307D" w:rsidRPr="00AB2AD1">
        <w:rPr>
          <w:rFonts w:hAnsi="標楷體" w:hint="eastAsia"/>
          <w:szCs w:val="32"/>
        </w:rPr>
        <w:t>星元為能量費率扣減「變動運維費及協助金」</w:t>
      </w:r>
      <w:r w:rsidR="0000307D" w:rsidRPr="00AB2AD1">
        <w:rPr>
          <w:rFonts w:hAnsi="標楷體"/>
          <w:szCs w:val="32"/>
        </w:rPr>
        <w:t>)</w:t>
      </w:r>
      <w:r w:rsidR="007D4906" w:rsidRPr="00AB2AD1">
        <w:rPr>
          <w:rFonts w:hAnsi="標楷體" w:hint="eastAsia"/>
          <w:szCs w:val="32"/>
        </w:rPr>
        <w:t>。</w:t>
      </w:r>
    </w:p>
    <w:p w:rsidR="007D4906" w:rsidRPr="00AB2AD1" w:rsidRDefault="007D4906" w:rsidP="00484E1C">
      <w:pPr>
        <w:pStyle w:val="4"/>
        <w:rPr>
          <w:rFonts w:hAnsi="標楷體"/>
          <w:szCs w:val="32"/>
        </w:rPr>
      </w:pPr>
      <w:r w:rsidRPr="00AB2AD1">
        <w:rPr>
          <w:rFonts w:hAnsi="標楷體"/>
          <w:szCs w:val="32"/>
        </w:rPr>
        <w:t>101年1</w:t>
      </w:r>
      <w:r w:rsidRPr="00AB2AD1">
        <w:rPr>
          <w:rFonts w:hAnsi="標楷體" w:hint="eastAsia"/>
          <w:szCs w:val="32"/>
        </w:rPr>
        <w:t>1</w:t>
      </w:r>
      <w:r w:rsidRPr="00AB2AD1">
        <w:rPr>
          <w:rFonts w:hAnsi="標楷體"/>
          <w:szCs w:val="32"/>
        </w:rPr>
        <w:t>月</w:t>
      </w:r>
      <w:r w:rsidRPr="00AB2AD1">
        <w:rPr>
          <w:rFonts w:hAnsi="標楷體" w:hint="eastAsia"/>
          <w:szCs w:val="32"/>
        </w:rPr>
        <w:t>19</w:t>
      </w:r>
      <w:r w:rsidRPr="00AB2AD1">
        <w:rPr>
          <w:rFonts w:hAnsi="標楷體"/>
          <w:szCs w:val="32"/>
        </w:rPr>
        <w:t>日</w:t>
      </w:r>
      <w:r w:rsidRPr="00AB2AD1">
        <w:rPr>
          <w:rFonts w:hAnsi="標楷體" w:hint="eastAsia"/>
          <w:szCs w:val="32"/>
        </w:rPr>
        <w:t>星能委請之法律事務所提出法律意見略以：「星能應台電要求評估修改合約，於合理範圍內調降電價，應有極大之合理空間不構成刑法、公司法及證交法之違反。」</w:t>
      </w:r>
      <w:r w:rsidRPr="00AB2AD1">
        <w:rPr>
          <w:rFonts w:hAnsi="標楷體"/>
          <w:szCs w:val="32"/>
        </w:rPr>
        <w:t>1</w:t>
      </w:r>
      <w:r w:rsidRPr="00AB2AD1">
        <w:rPr>
          <w:rFonts w:hAnsi="標楷體" w:hint="eastAsia"/>
          <w:szCs w:val="32"/>
        </w:rPr>
        <w:t>1</w:t>
      </w:r>
      <w:r w:rsidRPr="00AB2AD1">
        <w:rPr>
          <w:rFonts w:hAnsi="標楷體"/>
          <w:szCs w:val="32"/>
        </w:rPr>
        <w:t>月</w:t>
      </w:r>
      <w:r w:rsidRPr="00AB2AD1">
        <w:rPr>
          <w:rFonts w:hAnsi="標楷體" w:hint="eastAsia"/>
          <w:szCs w:val="32"/>
        </w:rPr>
        <w:t>20</w:t>
      </w:r>
      <w:r w:rsidRPr="00AB2AD1">
        <w:rPr>
          <w:rFonts w:hAnsi="標楷體"/>
          <w:szCs w:val="32"/>
        </w:rPr>
        <w:t>日</w:t>
      </w:r>
      <w:r w:rsidRPr="00AB2AD1">
        <w:rPr>
          <w:rFonts w:hAnsi="標楷體" w:hint="eastAsia"/>
          <w:szCs w:val="32"/>
        </w:rPr>
        <w:t>森霸及星元與台汽電委請之法律事務所提出法律意見略以：「如森霸董事認為贊成協處方案雖可能影響公司獲利，惟</w:t>
      </w:r>
      <w:r w:rsidR="009E77E6" w:rsidRPr="00AB2AD1">
        <w:rPr>
          <w:rFonts w:hAnsi="標楷體" w:hint="eastAsia"/>
          <w:szCs w:val="32"/>
        </w:rPr>
        <w:t>可免除公司立即陷入經營困境之危險，未必不符合公司之最大利益，似</w:t>
      </w:r>
      <w:r w:rsidRPr="00AB2AD1">
        <w:rPr>
          <w:rFonts w:hAnsi="標楷體" w:hint="eastAsia"/>
          <w:szCs w:val="32"/>
        </w:rPr>
        <w:t>可援引『經營判斷法則』作為主張董事應免負</w:t>
      </w:r>
      <w:r w:rsidR="009E77E6" w:rsidRPr="00AB2AD1">
        <w:rPr>
          <w:rFonts w:hAnsi="標楷體" w:hint="eastAsia"/>
          <w:szCs w:val="32"/>
        </w:rPr>
        <w:t>證券交易法</w:t>
      </w:r>
      <w:r w:rsidRPr="00AB2AD1">
        <w:rPr>
          <w:rFonts w:hAnsi="標楷體" w:hint="eastAsia"/>
          <w:szCs w:val="32"/>
        </w:rPr>
        <w:t>特別背信罪及刑事背信罪責之依據。」及「</w:t>
      </w:r>
      <w:r w:rsidR="00E063C7" w:rsidRPr="00AB2AD1">
        <w:rPr>
          <w:rFonts w:hAnsi="標楷體" w:hint="eastAsia"/>
          <w:szCs w:val="32"/>
        </w:rPr>
        <w:t>星元董事應不至於僅因決議與台電合意修正購電合約，即可能涉有刑事上背信罪責。如事業被命停止聯合行為卻仍不停止，事業與行為人</w:t>
      </w:r>
      <w:r w:rsidR="00E063C7" w:rsidRPr="00AB2AD1">
        <w:rPr>
          <w:rFonts w:hAnsi="標楷體"/>
          <w:szCs w:val="32"/>
        </w:rPr>
        <w:t>(</w:t>
      </w:r>
      <w:r w:rsidR="00E063C7" w:rsidRPr="00AB2AD1">
        <w:rPr>
          <w:rFonts w:hAnsi="標楷體" w:hint="eastAsia"/>
          <w:szCs w:val="32"/>
        </w:rPr>
        <w:t>董事</w:t>
      </w:r>
      <w:r w:rsidR="00E063C7" w:rsidRPr="00AB2AD1">
        <w:rPr>
          <w:rFonts w:hAnsi="標楷體"/>
          <w:szCs w:val="32"/>
        </w:rPr>
        <w:t>)</w:t>
      </w:r>
      <w:r w:rsidR="00E063C7" w:rsidRPr="00AB2AD1">
        <w:rPr>
          <w:rFonts w:hAnsi="標楷體" w:hint="eastAsia"/>
          <w:szCs w:val="32"/>
        </w:rPr>
        <w:t>更可能涉有公平交易法上之刑事責任。</w:t>
      </w:r>
      <w:r w:rsidRPr="00AB2AD1">
        <w:rPr>
          <w:rFonts w:hAnsi="標楷體" w:hint="eastAsia"/>
          <w:szCs w:val="32"/>
        </w:rPr>
        <w:t>」與「</w:t>
      </w:r>
      <w:r w:rsidR="00E063C7" w:rsidRPr="00AB2AD1">
        <w:rPr>
          <w:rFonts w:hAnsi="標楷體" w:hint="eastAsia"/>
          <w:szCs w:val="32"/>
        </w:rPr>
        <w:t>台電法人代表董事似無須於台汽電董事會議決時，迴避參與討論與表決。</w:t>
      </w:r>
      <w:r w:rsidRPr="00AB2AD1">
        <w:rPr>
          <w:rFonts w:hAnsi="標楷體" w:hint="eastAsia"/>
          <w:szCs w:val="32"/>
        </w:rPr>
        <w:t>」</w:t>
      </w:r>
      <w:r w:rsidR="00E063C7" w:rsidRPr="00AB2AD1">
        <w:rPr>
          <w:rFonts w:hAnsi="標楷體" w:hint="eastAsia"/>
          <w:szCs w:val="32"/>
        </w:rPr>
        <w:t>又森霸委請之法學教授提出法律意見略以：「購售電合屬於長期性合約，利率的調降，非締約當初所得預料者，顯然已構成情事變更，並不違反誠信原則。調降電價短期似乎會影響股東權益，但其實是善盡權利主體對於權利社會化之責任，也符合公司長期發展之利益。調降電價</w:t>
      </w:r>
      <w:r w:rsidR="00271E06" w:rsidRPr="00AB2AD1">
        <w:rPr>
          <w:rFonts w:hAnsi="標楷體" w:hint="eastAsia"/>
          <w:szCs w:val="32"/>
        </w:rPr>
        <w:t>，</w:t>
      </w:r>
      <w:r w:rsidR="00E063C7" w:rsidRPr="00AB2AD1">
        <w:rPr>
          <w:rFonts w:hAnsi="標楷體" w:hint="eastAsia"/>
          <w:szCs w:val="32"/>
        </w:rPr>
        <w:t>符合情事變更與誠信原</w:t>
      </w:r>
      <w:r w:rsidR="00E063C7" w:rsidRPr="00AB2AD1">
        <w:rPr>
          <w:rFonts w:hAnsi="標楷體" w:hint="eastAsia"/>
          <w:szCs w:val="32"/>
        </w:rPr>
        <w:lastRenderedPageBreak/>
        <w:t>則，正是忠實執行業務並盡善良管理人之注意義務之表現，應不違反公司法之規定而須負損害賠償責任。」</w:t>
      </w:r>
      <w:r w:rsidR="00DE5D7E" w:rsidRPr="00AB2AD1">
        <w:rPr>
          <w:rFonts w:hAnsi="標楷體"/>
          <w:szCs w:val="32"/>
        </w:rPr>
        <w:t>1</w:t>
      </w:r>
      <w:r w:rsidR="00DE5D7E" w:rsidRPr="00AB2AD1">
        <w:rPr>
          <w:rFonts w:hAnsi="標楷體" w:hint="eastAsia"/>
          <w:szCs w:val="32"/>
        </w:rPr>
        <w:t>1</w:t>
      </w:r>
      <w:r w:rsidR="00DE5D7E" w:rsidRPr="00AB2AD1">
        <w:rPr>
          <w:rFonts w:hAnsi="標楷體"/>
          <w:szCs w:val="32"/>
        </w:rPr>
        <w:t>月</w:t>
      </w:r>
      <w:r w:rsidR="00DE5D7E" w:rsidRPr="00AB2AD1">
        <w:rPr>
          <w:rFonts w:hAnsi="標楷體" w:hint="eastAsia"/>
          <w:szCs w:val="32"/>
        </w:rPr>
        <w:t>22</w:t>
      </w:r>
      <w:r w:rsidR="00DE5D7E" w:rsidRPr="00AB2AD1">
        <w:rPr>
          <w:rFonts w:hAnsi="標楷體"/>
          <w:szCs w:val="32"/>
        </w:rPr>
        <w:t>日</w:t>
      </w:r>
      <w:r w:rsidR="00DE5D7E" w:rsidRPr="00AB2AD1">
        <w:rPr>
          <w:rFonts w:hAnsi="標楷體" w:hint="eastAsia"/>
          <w:szCs w:val="32"/>
        </w:rPr>
        <w:t>台汽電委請之法律事務所(</w:t>
      </w:r>
      <w:r w:rsidR="00DE5D7E" w:rsidRPr="00AB2AD1">
        <w:rPr>
          <w:rFonts w:hAnsi="標楷體"/>
          <w:szCs w:val="32"/>
        </w:rPr>
        <w:t>101年</w:t>
      </w:r>
      <w:r w:rsidR="00DE5D7E" w:rsidRPr="00AB2AD1">
        <w:rPr>
          <w:rFonts w:hAnsi="標楷體" w:hint="eastAsia"/>
          <w:szCs w:val="32"/>
        </w:rPr>
        <w:t>8</w:t>
      </w:r>
      <w:r w:rsidR="00DE5D7E" w:rsidRPr="00AB2AD1">
        <w:rPr>
          <w:rFonts w:hAnsi="標楷體"/>
          <w:szCs w:val="32"/>
        </w:rPr>
        <w:t>月</w:t>
      </w:r>
      <w:r w:rsidR="00DE5D7E" w:rsidRPr="00AB2AD1">
        <w:rPr>
          <w:rFonts w:hAnsi="標楷體" w:hint="eastAsia"/>
          <w:szCs w:val="32"/>
        </w:rPr>
        <w:t>9</w:t>
      </w:r>
      <w:r w:rsidR="00DE5D7E" w:rsidRPr="00AB2AD1">
        <w:rPr>
          <w:rFonts w:hAnsi="標楷體"/>
          <w:szCs w:val="32"/>
        </w:rPr>
        <w:t>日</w:t>
      </w:r>
      <w:r w:rsidR="00DE5D7E" w:rsidRPr="00AB2AD1">
        <w:rPr>
          <w:rFonts w:hAnsi="標楷體" w:hint="eastAsia"/>
          <w:szCs w:val="32"/>
        </w:rPr>
        <w:t>曾提出「台電法人代表董事於台汽電召開董事會決議本修約案時，應迴避參與表決」之意見)提出法律意見略以：「台汽電董事參與董事會決議，並作成決議要求台汽電法人代表董事於電力公司董事會投票贊成協處方案者，</w:t>
      </w:r>
      <w:r w:rsidR="00CB7C57" w:rsidRPr="00AB2AD1">
        <w:rPr>
          <w:rFonts w:hAnsi="標楷體" w:hint="eastAsia"/>
          <w:szCs w:val="32"/>
        </w:rPr>
        <w:t>若公司負責人為經營行為當時若具備『經營判斷法則』，則可推定其具善良管理人之注意義務，尚無庸對公司及股東負損害賠償責任。</w:t>
      </w:r>
      <w:r w:rsidR="00DE5D7E" w:rsidRPr="00AB2AD1">
        <w:rPr>
          <w:rFonts w:hAnsi="標楷體" w:hint="eastAsia"/>
          <w:szCs w:val="32"/>
        </w:rPr>
        <w:t>」</w:t>
      </w:r>
      <w:r w:rsidR="00933E17" w:rsidRPr="00AB2AD1">
        <w:rPr>
          <w:rFonts w:hAnsi="標楷體" w:hint="eastAsia"/>
          <w:szCs w:val="32"/>
        </w:rPr>
        <w:t>至此，各方之法律意見</w:t>
      </w:r>
      <w:r w:rsidR="009E77E6" w:rsidRPr="00AB2AD1">
        <w:rPr>
          <w:rFonts w:hAnsi="標楷體" w:hint="eastAsia"/>
          <w:szCs w:val="32"/>
        </w:rPr>
        <w:t>皆</w:t>
      </w:r>
      <w:r w:rsidR="00933E17" w:rsidRPr="00AB2AD1">
        <w:rPr>
          <w:rFonts w:hAnsi="標楷體" w:hint="eastAsia"/>
          <w:szCs w:val="32"/>
        </w:rPr>
        <w:t>認為</w:t>
      </w:r>
      <w:r w:rsidR="009E77E6" w:rsidRPr="00AB2AD1">
        <w:rPr>
          <w:rFonts w:hAnsi="標楷體" w:hint="eastAsia"/>
          <w:szCs w:val="32"/>
        </w:rPr>
        <w:t>發電</w:t>
      </w:r>
      <w:r w:rsidR="00933E17" w:rsidRPr="00AB2AD1">
        <w:rPr>
          <w:rFonts w:hAnsi="標楷體" w:hint="eastAsia"/>
          <w:szCs w:val="32"/>
        </w:rPr>
        <w:t>業者配合台電調降</w:t>
      </w:r>
      <w:r w:rsidR="00F00817" w:rsidRPr="00AB2AD1">
        <w:rPr>
          <w:rFonts w:hAnsi="標楷體" w:hint="eastAsia"/>
          <w:szCs w:val="32"/>
        </w:rPr>
        <w:t>購電費率</w:t>
      </w:r>
      <w:r w:rsidR="00933E17" w:rsidRPr="00AB2AD1">
        <w:rPr>
          <w:rFonts w:hAnsi="標楷體" w:hint="eastAsia"/>
          <w:szCs w:val="32"/>
        </w:rPr>
        <w:t>，並無違反公司法或有民</w:t>
      </w:r>
      <w:r w:rsidR="009E77E6" w:rsidRPr="00AB2AD1">
        <w:rPr>
          <w:rFonts w:hAnsi="標楷體" w:hint="eastAsia"/>
          <w:szCs w:val="32"/>
        </w:rPr>
        <w:t>、</w:t>
      </w:r>
      <w:r w:rsidR="00933E17" w:rsidRPr="00AB2AD1">
        <w:rPr>
          <w:rFonts w:hAnsi="標楷體" w:hint="eastAsia"/>
          <w:szCs w:val="32"/>
        </w:rPr>
        <w:t>刑事等責任。</w:t>
      </w:r>
    </w:p>
    <w:p w:rsidR="007D4906" w:rsidRPr="00AB2AD1" w:rsidRDefault="00906DFE" w:rsidP="00484E1C">
      <w:pPr>
        <w:pStyle w:val="4"/>
        <w:rPr>
          <w:rFonts w:hAnsi="標楷體"/>
          <w:szCs w:val="32"/>
        </w:rPr>
      </w:pPr>
      <w:r w:rsidRPr="00AB2AD1">
        <w:rPr>
          <w:rFonts w:hAnsi="標楷體"/>
          <w:szCs w:val="32"/>
        </w:rPr>
        <w:t>101年1</w:t>
      </w:r>
      <w:r w:rsidRPr="00AB2AD1">
        <w:rPr>
          <w:rFonts w:hAnsi="標楷體" w:hint="eastAsia"/>
          <w:szCs w:val="32"/>
        </w:rPr>
        <w:t>1</w:t>
      </w:r>
      <w:r w:rsidRPr="00AB2AD1">
        <w:rPr>
          <w:rFonts w:hAnsi="標楷體"/>
          <w:szCs w:val="32"/>
        </w:rPr>
        <w:t>月</w:t>
      </w:r>
      <w:r w:rsidRPr="00AB2AD1">
        <w:rPr>
          <w:rFonts w:hAnsi="標楷體" w:hint="eastAsia"/>
          <w:szCs w:val="32"/>
        </w:rPr>
        <w:t>19</w:t>
      </w:r>
      <w:r w:rsidRPr="00AB2AD1">
        <w:rPr>
          <w:rFonts w:hAnsi="標楷體"/>
          <w:szCs w:val="32"/>
        </w:rPr>
        <w:t>日</w:t>
      </w:r>
      <w:r w:rsidRPr="00AB2AD1">
        <w:rPr>
          <w:rFonts w:hAnsi="標楷體" w:hint="eastAsia"/>
          <w:szCs w:val="32"/>
        </w:rPr>
        <w:t>上午台汽電公司召開</w:t>
      </w:r>
      <w:r w:rsidRPr="00AB2AD1">
        <w:rPr>
          <w:rFonts w:hAnsi="標楷體"/>
          <w:szCs w:val="32"/>
        </w:rPr>
        <w:t>101</w:t>
      </w:r>
      <w:r w:rsidRPr="00AB2AD1">
        <w:rPr>
          <w:rFonts w:hAnsi="標楷體" w:hint="eastAsia"/>
          <w:szCs w:val="32"/>
        </w:rPr>
        <w:t>年第三次臨時董事會，出席董事共</w:t>
      </w:r>
      <w:r w:rsidRPr="00AB2AD1">
        <w:rPr>
          <w:rFonts w:hAnsi="標楷體"/>
          <w:szCs w:val="32"/>
        </w:rPr>
        <w:t>12</w:t>
      </w:r>
      <w:r w:rsidRPr="00AB2AD1">
        <w:rPr>
          <w:rFonts w:hAnsi="標楷體" w:hint="eastAsia"/>
          <w:szCs w:val="32"/>
        </w:rPr>
        <w:t>席，對於台電公司要求協商修改購售電合約降低其購電費率乙事，</w:t>
      </w:r>
      <w:r w:rsidRPr="00AB2AD1">
        <w:rPr>
          <w:rFonts w:hAnsi="標楷體"/>
          <w:szCs w:val="32"/>
        </w:rPr>
        <w:t>9</w:t>
      </w:r>
      <w:r w:rsidRPr="00AB2AD1">
        <w:rPr>
          <w:rFonts w:hAnsi="標楷體" w:hint="eastAsia"/>
          <w:szCs w:val="32"/>
        </w:rPr>
        <w:t>席贊成</w:t>
      </w:r>
      <w:r w:rsidR="009E77E6" w:rsidRPr="00AB2AD1">
        <w:rPr>
          <w:rFonts w:hAnsi="標楷體" w:hint="eastAsia"/>
          <w:szCs w:val="32"/>
        </w:rPr>
        <w:t>、</w:t>
      </w:r>
      <w:r w:rsidRPr="00AB2AD1">
        <w:rPr>
          <w:rFonts w:hAnsi="標楷體"/>
          <w:szCs w:val="32"/>
        </w:rPr>
        <w:t>3</w:t>
      </w:r>
      <w:r w:rsidRPr="00AB2AD1">
        <w:rPr>
          <w:rFonts w:hAnsi="標楷體" w:hint="eastAsia"/>
          <w:szCs w:val="32"/>
        </w:rPr>
        <w:t>席反對，授權由台汽電派任至轉投資事業之董監事於董事會討論時，支持同意</w:t>
      </w:r>
      <w:r w:rsidR="009E77E6" w:rsidRPr="00AB2AD1">
        <w:rPr>
          <w:rFonts w:hAnsi="標楷體" w:hint="eastAsia"/>
          <w:szCs w:val="32"/>
        </w:rPr>
        <w:t>修約</w:t>
      </w:r>
      <w:r w:rsidRPr="00AB2AD1">
        <w:rPr>
          <w:rFonts w:hAnsi="標楷體" w:hint="eastAsia"/>
          <w:szCs w:val="32"/>
        </w:rPr>
        <w:t>。當日下午星元、森霸、星能亦分別召開臨時董事會，對於與台電協商降低購電費率方案之表決結果各為：5席贊成及4席反對、</w:t>
      </w:r>
      <w:r w:rsidR="00F710CA" w:rsidRPr="00AB2AD1">
        <w:rPr>
          <w:rFonts w:hAnsi="標楷體" w:hint="eastAsia"/>
          <w:szCs w:val="32"/>
        </w:rPr>
        <w:t>6</w:t>
      </w:r>
      <w:r w:rsidRPr="00AB2AD1">
        <w:rPr>
          <w:rFonts w:hAnsi="標楷體" w:hint="eastAsia"/>
          <w:szCs w:val="32"/>
        </w:rPr>
        <w:t>席贊成及</w:t>
      </w:r>
      <w:r w:rsidRPr="00AB2AD1">
        <w:rPr>
          <w:rFonts w:hAnsi="標楷體"/>
          <w:szCs w:val="32"/>
        </w:rPr>
        <w:t>3</w:t>
      </w:r>
      <w:r w:rsidRPr="00AB2AD1">
        <w:rPr>
          <w:rFonts w:hAnsi="標楷體" w:hint="eastAsia"/>
          <w:szCs w:val="32"/>
        </w:rPr>
        <w:t>席反對、</w:t>
      </w:r>
      <w:r w:rsidR="00F710CA" w:rsidRPr="00AB2AD1">
        <w:rPr>
          <w:rFonts w:hAnsi="標楷體" w:hint="eastAsia"/>
          <w:szCs w:val="32"/>
        </w:rPr>
        <w:t>6</w:t>
      </w:r>
      <w:r w:rsidRPr="00AB2AD1">
        <w:rPr>
          <w:rFonts w:hAnsi="標楷體" w:hint="eastAsia"/>
          <w:szCs w:val="32"/>
        </w:rPr>
        <w:t>席贊成及</w:t>
      </w:r>
      <w:r w:rsidRPr="00AB2AD1">
        <w:rPr>
          <w:rFonts w:hAnsi="標楷體"/>
          <w:szCs w:val="32"/>
        </w:rPr>
        <w:t>3</w:t>
      </w:r>
      <w:r w:rsidRPr="00AB2AD1">
        <w:rPr>
          <w:rFonts w:hAnsi="標楷體" w:hint="eastAsia"/>
          <w:szCs w:val="32"/>
        </w:rPr>
        <w:t>席反對，皆准予通過</w:t>
      </w:r>
      <w:r w:rsidR="00DC1B36" w:rsidRPr="00AB2AD1">
        <w:rPr>
          <w:rFonts w:hAnsi="標楷體"/>
          <w:szCs w:val="32"/>
        </w:rPr>
        <w:t>同意依協商方案辦理修約</w:t>
      </w:r>
      <w:r w:rsidR="00DC1B36" w:rsidRPr="00AB2AD1">
        <w:rPr>
          <w:rFonts w:hAnsi="標楷體" w:hint="eastAsia"/>
          <w:szCs w:val="32"/>
        </w:rPr>
        <w:t>；</w:t>
      </w:r>
      <w:r w:rsidR="00F710CA" w:rsidRPr="00AB2AD1">
        <w:rPr>
          <w:rFonts w:hAnsi="標楷體"/>
          <w:szCs w:val="32"/>
        </w:rPr>
        <w:t>國光</w:t>
      </w:r>
      <w:r w:rsidR="00F710CA" w:rsidRPr="00AB2AD1">
        <w:rPr>
          <w:rFonts w:hAnsi="標楷體" w:hint="eastAsia"/>
          <w:szCs w:val="32"/>
        </w:rPr>
        <w:t>則</w:t>
      </w:r>
      <w:r w:rsidR="00F710CA" w:rsidRPr="00AB2AD1">
        <w:rPr>
          <w:rFonts w:hAnsi="標楷體"/>
          <w:szCs w:val="32"/>
        </w:rPr>
        <w:t>於</w:t>
      </w:r>
      <w:r w:rsidR="00F710CA" w:rsidRPr="00AB2AD1">
        <w:rPr>
          <w:rFonts w:hAnsi="標楷體" w:hint="eastAsia"/>
          <w:szCs w:val="32"/>
        </w:rPr>
        <w:t>11</w:t>
      </w:r>
      <w:r w:rsidR="00F710CA" w:rsidRPr="00AB2AD1">
        <w:rPr>
          <w:rFonts w:hAnsi="標楷體"/>
          <w:szCs w:val="32"/>
        </w:rPr>
        <w:t>月28日召開臨時董事會</w:t>
      </w:r>
      <w:r w:rsidR="00F710CA" w:rsidRPr="00AB2AD1">
        <w:rPr>
          <w:rFonts w:hAnsi="標楷體" w:hint="eastAsia"/>
          <w:szCs w:val="32"/>
        </w:rPr>
        <w:t>，</w:t>
      </w:r>
      <w:r w:rsidR="00DC1B36" w:rsidRPr="00AB2AD1">
        <w:rPr>
          <w:rFonts w:hAnsi="標楷體" w:hint="eastAsia"/>
          <w:szCs w:val="32"/>
        </w:rPr>
        <w:t>9席</w:t>
      </w:r>
      <w:r w:rsidR="009E77E6" w:rsidRPr="00AB2AD1">
        <w:rPr>
          <w:rFonts w:hAnsi="標楷體" w:hint="eastAsia"/>
          <w:szCs w:val="32"/>
        </w:rPr>
        <w:t>董事</w:t>
      </w:r>
      <w:r w:rsidR="00DC1B36" w:rsidRPr="00AB2AD1">
        <w:rPr>
          <w:rFonts w:hAnsi="標楷體" w:hint="eastAsia"/>
          <w:szCs w:val="32"/>
        </w:rPr>
        <w:t>全數贊成</w:t>
      </w:r>
      <w:r w:rsidR="009E77E6" w:rsidRPr="00AB2AD1">
        <w:rPr>
          <w:rFonts w:hAnsi="標楷體" w:hint="eastAsia"/>
          <w:szCs w:val="32"/>
        </w:rPr>
        <w:t>，</w:t>
      </w:r>
      <w:r w:rsidR="00DC1B36" w:rsidRPr="00AB2AD1">
        <w:rPr>
          <w:rFonts w:hAnsi="標楷體" w:hint="eastAsia"/>
          <w:szCs w:val="32"/>
        </w:rPr>
        <w:t>亦</w:t>
      </w:r>
      <w:r w:rsidR="00F710CA" w:rsidRPr="00AB2AD1">
        <w:rPr>
          <w:rFonts w:hAnsi="標楷體"/>
          <w:szCs w:val="32"/>
        </w:rPr>
        <w:t>通過同意辦理修約。</w:t>
      </w:r>
      <w:r w:rsidR="00632550" w:rsidRPr="00AB2AD1">
        <w:rPr>
          <w:rFonts w:hAnsi="標楷體" w:hint="eastAsia"/>
          <w:szCs w:val="32"/>
        </w:rPr>
        <w:t>至此，第三階段之</w:t>
      </w:r>
      <w:r w:rsidR="00F33FF5" w:rsidRPr="00AB2AD1">
        <w:rPr>
          <w:rFonts w:hAnsi="標楷體" w:hint="eastAsia"/>
          <w:szCs w:val="32"/>
        </w:rPr>
        <w:t>4家</w:t>
      </w:r>
      <w:r w:rsidR="00632550" w:rsidRPr="00AB2AD1">
        <w:rPr>
          <w:rFonts w:hAnsi="標楷體" w:hint="eastAsia"/>
          <w:szCs w:val="32"/>
        </w:rPr>
        <w:t>民營</w:t>
      </w:r>
      <w:r w:rsidR="00FC106F" w:rsidRPr="00AB2AD1">
        <w:rPr>
          <w:rFonts w:hAnsi="標楷體" w:hint="eastAsia"/>
          <w:szCs w:val="32"/>
        </w:rPr>
        <w:t>發電業者</w:t>
      </w:r>
      <w:r w:rsidR="00632550" w:rsidRPr="00AB2AD1">
        <w:rPr>
          <w:rFonts w:hAnsi="標楷體" w:hint="eastAsia"/>
          <w:szCs w:val="32"/>
        </w:rPr>
        <w:t>皆</w:t>
      </w:r>
      <w:r w:rsidR="00632550" w:rsidRPr="00AB2AD1">
        <w:rPr>
          <w:rFonts w:hAnsi="標楷體"/>
          <w:szCs w:val="32"/>
        </w:rPr>
        <w:t>同意辦理修約。</w:t>
      </w:r>
    </w:p>
    <w:p w:rsidR="00632550" w:rsidRPr="00AB2AD1" w:rsidRDefault="00632550" w:rsidP="00632550">
      <w:pPr>
        <w:pStyle w:val="3"/>
        <w:rPr>
          <w:rFonts w:hAnsi="標楷體"/>
          <w:sz w:val="28"/>
          <w:szCs w:val="28"/>
        </w:rPr>
      </w:pPr>
      <w:r w:rsidRPr="00AB2AD1">
        <w:rPr>
          <w:rFonts w:hAnsi="標楷體" w:cs="標楷體" w:hint="eastAsia"/>
          <w:szCs w:val="32"/>
        </w:rPr>
        <w:t>次查</w:t>
      </w:r>
      <w:r w:rsidR="00FF1630" w:rsidRPr="00AB2AD1">
        <w:rPr>
          <w:rFonts w:hint="eastAsia"/>
          <w:kern w:val="2"/>
        </w:rPr>
        <w:t>台電公司於</w:t>
      </w:r>
      <w:r w:rsidR="00F710CA" w:rsidRPr="00AB2AD1">
        <w:t>101年1</w:t>
      </w:r>
      <w:r w:rsidR="00F710CA" w:rsidRPr="00AB2AD1">
        <w:rPr>
          <w:rFonts w:hint="eastAsia"/>
        </w:rPr>
        <w:t>1</w:t>
      </w:r>
      <w:r w:rsidR="00F710CA" w:rsidRPr="00AB2AD1">
        <w:t>月</w:t>
      </w:r>
      <w:r w:rsidR="00F710CA" w:rsidRPr="00AB2AD1">
        <w:rPr>
          <w:rFonts w:hint="eastAsia"/>
        </w:rPr>
        <w:t>28</w:t>
      </w:r>
      <w:r w:rsidR="00F710CA" w:rsidRPr="00AB2AD1">
        <w:t>日</w:t>
      </w:r>
      <w:r w:rsidR="00F710CA" w:rsidRPr="00AB2AD1">
        <w:rPr>
          <w:rFonts w:hint="eastAsia"/>
          <w:kern w:val="2"/>
        </w:rPr>
        <w:t>至</w:t>
      </w:r>
      <w:r w:rsidR="00F710CA" w:rsidRPr="00AB2AD1">
        <w:rPr>
          <w:kern w:val="2"/>
        </w:rPr>
        <w:t>102</w:t>
      </w:r>
      <w:r w:rsidR="00F710CA" w:rsidRPr="00AB2AD1">
        <w:t>年</w:t>
      </w:r>
      <w:r w:rsidR="002C3ED1" w:rsidRPr="00AB2AD1">
        <w:rPr>
          <w:rFonts w:hint="eastAsia"/>
          <w:kern w:val="2"/>
        </w:rPr>
        <w:t>8</w:t>
      </w:r>
      <w:r w:rsidR="00F710CA" w:rsidRPr="00AB2AD1">
        <w:t>月</w:t>
      </w:r>
      <w:r w:rsidR="002C3ED1" w:rsidRPr="00AB2AD1">
        <w:rPr>
          <w:rFonts w:hint="eastAsia"/>
          <w:kern w:val="2"/>
        </w:rPr>
        <w:t>14</w:t>
      </w:r>
      <w:r w:rsidR="00F710CA" w:rsidRPr="00AB2AD1">
        <w:t>日</w:t>
      </w:r>
      <w:r w:rsidR="00FF1630" w:rsidRPr="00AB2AD1">
        <w:rPr>
          <w:rFonts w:hint="eastAsia"/>
        </w:rPr>
        <w:t>間，計</w:t>
      </w:r>
      <w:r w:rsidR="00F710CA" w:rsidRPr="00AB2AD1">
        <w:rPr>
          <w:rFonts w:hint="eastAsia"/>
        </w:rPr>
        <w:t>召開</w:t>
      </w:r>
      <w:r w:rsidRPr="00AB2AD1">
        <w:rPr>
          <w:rFonts w:hint="eastAsia"/>
        </w:rPr>
        <w:t>3</w:t>
      </w:r>
      <w:r w:rsidR="002C3ED1" w:rsidRPr="00AB2AD1">
        <w:rPr>
          <w:rFonts w:hint="eastAsia"/>
        </w:rPr>
        <w:t>8</w:t>
      </w:r>
      <w:r w:rsidRPr="00AB2AD1">
        <w:rPr>
          <w:rFonts w:hint="eastAsia"/>
          <w:kern w:val="2"/>
        </w:rPr>
        <w:t>次購電費率協商會議</w:t>
      </w:r>
      <w:r w:rsidR="00F710CA" w:rsidRPr="00AB2AD1">
        <w:rPr>
          <w:rFonts w:hint="eastAsia"/>
        </w:rPr>
        <w:t>(</w:t>
      </w:r>
      <w:r w:rsidR="00F710CA" w:rsidRPr="00AB2AD1">
        <w:rPr>
          <w:rFonts w:hint="eastAsia"/>
          <w:kern w:val="2"/>
        </w:rPr>
        <w:t>第25至第</w:t>
      </w:r>
      <w:r w:rsidR="00F710CA" w:rsidRPr="00AB2AD1">
        <w:rPr>
          <w:kern w:val="2"/>
        </w:rPr>
        <w:t>6</w:t>
      </w:r>
      <w:r w:rsidR="002C3ED1" w:rsidRPr="00AB2AD1">
        <w:rPr>
          <w:rFonts w:hint="eastAsia"/>
          <w:kern w:val="2"/>
        </w:rPr>
        <w:t>2</w:t>
      </w:r>
      <w:r w:rsidR="00F710CA" w:rsidRPr="00AB2AD1">
        <w:rPr>
          <w:rFonts w:hint="eastAsia"/>
          <w:kern w:val="2"/>
        </w:rPr>
        <w:t>次協商會議</w:t>
      </w:r>
      <w:r w:rsidR="00F710CA" w:rsidRPr="00AB2AD1">
        <w:rPr>
          <w:rFonts w:hint="eastAsia"/>
        </w:rPr>
        <w:t>)</w:t>
      </w:r>
      <w:r w:rsidRPr="00AB2AD1">
        <w:rPr>
          <w:rFonts w:hint="eastAsia"/>
        </w:rPr>
        <w:t>，</w:t>
      </w:r>
      <w:r w:rsidR="0086750B" w:rsidRPr="00AB2AD1">
        <w:rPr>
          <w:rFonts w:hint="eastAsia"/>
        </w:rPr>
        <w:t>期間公平會於</w:t>
      </w:r>
      <w:r w:rsidR="0086750B" w:rsidRPr="00AB2AD1">
        <w:rPr>
          <w:rFonts w:hAnsi="標楷體" w:hint="eastAsia"/>
          <w:szCs w:val="32"/>
        </w:rPr>
        <w:t>102年3月15日完成公處字第</w:t>
      </w:r>
      <w:r w:rsidR="0086750B" w:rsidRPr="00AB2AD1">
        <w:rPr>
          <w:rFonts w:hAnsi="標楷體"/>
          <w:szCs w:val="32"/>
        </w:rPr>
        <w:t>102035號</w:t>
      </w:r>
      <w:r w:rsidR="0086750B" w:rsidRPr="00AB2AD1">
        <w:rPr>
          <w:rFonts w:hAnsi="標楷體" w:hint="eastAsia"/>
          <w:szCs w:val="32"/>
        </w:rPr>
        <w:t>處分書，</w:t>
      </w:r>
      <w:r w:rsidR="0070297A" w:rsidRPr="00AB2AD1">
        <w:rPr>
          <w:rFonts w:hAnsi="標楷體" w:hint="eastAsia"/>
          <w:szCs w:val="32"/>
        </w:rPr>
        <w:t>認為</w:t>
      </w:r>
      <w:r w:rsidR="0070297A" w:rsidRPr="00AB2AD1">
        <w:rPr>
          <w:rFonts w:hAnsi="標楷體" w:cs="標楷體" w:hint="eastAsia"/>
          <w:szCs w:val="32"/>
        </w:rPr>
        <w:t>9家民營</w:t>
      </w:r>
      <w:r w:rsidR="00FC106F" w:rsidRPr="00AB2AD1">
        <w:rPr>
          <w:rFonts w:hAnsi="標楷體" w:cs="標楷體" w:hint="eastAsia"/>
          <w:szCs w:val="32"/>
        </w:rPr>
        <w:t>發電</w:t>
      </w:r>
      <w:r w:rsidR="00FC106F" w:rsidRPr="00AB2AD1">
        <w:rPr>
          <w:rFonts w:hAnsi="標楷體" w:cs="標楷體" w:hint="eastAsia"/>
          <w:szCs w:val="32"/>
        </w:rPr>
        <w:lastRenderedPageBreak/>
        <w:t>業者</w:t>
      </w:r>
      <w:r w:rsidR="0070297A" w:rsidRPr="00AB2AD1">
        <w:rPr>
          <w:rFonts w:hAnsi="標楷體" w:cs="標楷體" w:hint="eastAsia"/>
          <w:szCs w:val="32"/>
        </w:rPr>
        <w:t>違反</w:t>
      </w:r>
      <w:r w:rsidR="0070297A" w:rsidRPr="00AB2AD1">
        <w:rPr>
          <w:rFonts w:hint="eastAsia"/>
          <w:bCs w:val="0"/>
          <w:kern w:val="2"/>
        </w:rPr>
        <w:t>「公平交易法」第</w:t>
      </w:r>
      <w:r w:rsidR="0070297A" w:rsidRPr="00AB2AD1">
        <w:rPr>
          <w:bCs w:val="0"/>
          <w:kern w:val="2"/>
        </w:rPr>
        <w:t>14</w:t>
      </w:r>
      <w:r w:rsidR="0070297A" w:rsidRPr="00AB2AD1">
        <w:rPr>
          <w:rFonts w:hint="eastAsia"/>
          <w:bCs w:val="0"/>
          <w:kern w:val="2"/>
        </w:rPr>
        <w:t>條之規定，以聯合行為</w:t>
      </w:r>
      <w:r w:rsidR="0070297A" w:rsidRPr="00AB2AD1">
        <w:rPr>
          <w:rFonts w:hAnsi="標楷體" w:cs="標楷體" w:hint="eastAsia"/>
          <w:szCs w:val="32"/>
        </w:rPr>
        <w:t>約束各</w:t>
      </w:r>
      <w:r w:rsidR="0070297A" w:rsidRPr="00AB2AD1">
        <w:rPr>
          <w:rFonts w:hint="eastAsia"/>
          <w:bCs w:val="0"/>
          <w:kern w:val="2"/>
        </w:rPr>
        <w:t>業者</w:t>
      </w:r>
      <w:r w:rsidR="0070297A" w:rsidRPr="00AB2AD1">
        <w:rPr>
          <w:rFonts w:hAnsi="標楷體" w:cs="標楷體" w:hint="eastAsia"/>
          <w:szCs w:val="32"/>
        </w:rPr>
        <w:t>與台電公司調整購售電價格</w:t>
      </w:r>
      <w:r w:rsidR="0070297A" w:rsidRPr="00AB2AD1">
        <w:rPr>
          <w:rFonts w:hAnsi="標楷體" w:hint="eastAsia"/>
          <w:szCs w:val="32"/>
        </w:rPr>
        <w:t>，而對</w:t>
      </w:r>
      <w:r w:rsidR="0086750B" w:rsidRPr="00AB2AD1">
        <w:rPr>
          <w:rFonts w:hAnsi="標楷體" w:cs="標楷體" w:hint="eastAsia"/>
          <w:szCs w:val="32"/>
        </w:rPr>
        <w:t>9家業者</w:t>
      </w:r>
      <w:r w:rsidR="00FF1630" w:rsidRPr="00AB2AD1">
        <w:rPr>
          <w:rFonts w:hAnsi="標楷體" w:cs="標楷體" w:hint="eastAsia"/>
          <w:szCs w:val="32"/>
        </w:rPr>
        <w:t>共</w:t>
      </w:r>
      <w:r w:rsidR="00FF1630" w:rsidRPr="00AB2AD1">
        <w:rPr>
          <w:rFonts w:cs="標楷體" w:hint="eastAsia"/>
        </w:rPr>
        <w:t>裁罰</w:t>
      </w:r>
      <w:r w:rsidR="0086750B" w:rsidRPr="00AB2AD1">
        <w:rPr>
          <w:rFonts w:hAnsi="標楷體" w:cs="標楷體"/>
          <w:szCs w:val="32"/>
        </w:rPr>
        <w:t>63</w:t>
      </w:r>
      <w:r w:rsidR="0086750B" w:rsidRPr="00AB2AD1">
        <w:rPr>
          <w:rFonts w:hAnsi="標楷體" w:cs="標楷體" w:hint="eastAsia"/>
          <w:szCs w:val="32"/>
        </w:rPr>
        <w:t>.2億元</w:t>
      </w:r>
      <w:r w:rsidR="00FF1630" w:rsidRPr="00AB2AD1">
        <w:rPr>
          <w:rFonts w:hAnsi="標楷體"/>
          <w:szCs w:val="32"/>
        </w:rPr>
        <w:t>。</w:t>
      </w:r>
      <w:r w:rsidR="0070297A" w:rsidRPr="00AB2AD1">
        <w:rPr>
          <w:rFonts w:hint="eastAsia"/>
        </w:rPr>
        <w:t>至102年</w:t>
      </w:r>
      <w:r w:rsidR="0070297A" w:rsidRPr="00AB2AD1">
        <w:rPr>
          <w:rFonts w:hint="eastAsia"/>
          <w:kern w:val="2"/>
        </w:rPr>
        <w:t>8</w:t>
      </w:r>
      <w:r w:rsidR="0070297A" w:rsidRPr="00AB2AD1">
        <w:t>月</w:t>
      </w:r>
      <w:r w:rsidR="0070297A" w:rsidRPr="00AB2AD1">
        <w:rPr>
          <w:rFonts w:hint="eastAsia"/>
          <w:kern w:val="2"/>
        </w:rPr>
        <w:t>28</w:t>
      </w:r>
      <w:r w:rsidR="0070297A" w:rsidRPr="00AB2AD1">
        <w:t>日</w:t>
      </w:r>
      <w:r w:rsidRPr="00AB2AD1">
        <w:rPr>
          <w:rFonts w:hint="eastAsia"/>
        </w:rPr>
        <w:t>各階段之9家民營</w:t>
      </w:r>
      <w:r w:rsidR="00FC106F" w:rsidRPr="00AB2AD1">
        <w:rPr>
          <w:rFonts w:hint="eastAsia"/>
        </w:rPr>
        <w:t>發電業者</w:t>
      </w:r>
      <w:r w:rsidR="0070297A" w:rsidRPr="00AB2AD1">
        <w:rPr>
          <w:rFonts w:hint="eastAsia"/>
        </w:rPr>
        <w:t>，</w:t>
      </w:r>
      <w:r w:rsidRPr="00AB2AD1">
        <w:rPr>
          <w:rFonts w:hint="eastAsia"/>
        </w:rPr>
        <w:t>皆已</w:t>
      </w:r>
      <w:r w:rsidR="00FF1630" w:rsidRPr="00AB2AD1">
        <w:rPr>
          <w:rFonts w:hint="eastAsia"/>
        </w:rPr>
        <w:t>與</w:t>
      </w:r>
      <w:r w:rsidR="00FF1630" w:rsidRPr="00AB2AD1">
        <w:rPr>
          <w:rFonts w:hint="eastAsia"/>
          <w:kern w:val="2"/>
        </w:rPr>
        <w:t>台電公司</w:t>
      </w:r>
      <w:r w:rsidR="0070297A" w:rsidRPr="00AB2AD1">
        <w:rPr>
          <w:rFonts w:hint="eastAsia"/>
        </w:rPr>
        <w:t>完成</w:t>
      </w:r>
      <w:r w:rsidR="0070297A" w:rsidRPr="00AB2AD1">
        <w:rPr>
          <w:rFonts w:hAnsi="標楷體" w:cs="標楷體" w:hint="eastAsia"/>
          <w:szCs w:val="32"/>
        </w:rPr>
        <w:t>調整購售電價格之</w:t>
      </w:r>
      <w:r w:rsidRPr="00AB2AD1">
        <w:t>修約</w:t>
      </w:r>
      <w:r w:rsidR="0070297A" w:rsidRPr="00AB2AD1">
        <w:rPr>
          <w:rFonts w:hint="eastAsia"/>
        </w:rPr>
        <w:t>作業</w:t>
      </w:r>
      <w:r w:rsidRPr="00AB2AD1">
        <w:t>，</w:t>
      </w:r>
      <w:r w:rsidRPr="00AB2AD1">
        <w:rPr>
          <w:rFonts w:hint="eastAsia"/>
          <w:kern w:val="2"/>
        </w:rPr>
        <w:t>台電</w:t>
      </w:r>
      <w:r w:rsidRPr="00AB2AD1">
        <w:t>公司預估每年平均可減少購電支出約</w:t>
      </w:r>
      <w:r w:rsidRPr="00AB2AD1">
        <w:rPr>
          <w:rFonts w:hint="eastAsia"/>
        </w:rPr>
        <w:t>15.4</w:t>
      </w:r>
      <w:r w:rsidRPr="00AB2AD1">
        <w:t>億元，合約存續期間</w:t>
      </w:r>
      <w:r w:rsidR="00FF1630" w:rsidRPr="00AB2AD1">
        <w:rPr>
          <w:rFonts w:hAnsi="標楷體" w:cs="標楷體" w:hint="eastAsia"/>
          <w:szCs w:val="32"/>
        </w:rPr>
        <w:t>共</w:t>
      </w:r>
      <w:r w:rsidRPr="00AB2AD1">
        <w:t>可減少購電支出約</w:t>
      </w:r>
      <w:r w:rsidRPr="00AB2AD1">
        <w:rPr>
          <w:rFonts w:hint="eastAsia"/>
        </w:rPr>
        <w:t>249</w:t>
      </w:r>
      <w:r w:rsidRPr="00AB2AD1">
        <w:t>億元</w:t>
      </w:r>
      <w:r w:rsidRPr="00AB2AD1">
        <w:rPr>
          <w:rFonts w:hint="eastAsia"/>
        </w:rPr>
        <w:t>，詳</w:t>
      </w:r>
      <w:r w:rsidRPr="00AB2AD1">
        <w:t>如表</w:t>
      </w:r>
      <w:r w:rsidR="005B75A5" w:rsidRPr="00AB2AD1">
        <w:rPr>
          <w:rFonts w:hint="eastAsia"/>
        </w:rPr>
        <w:t>二</w:t>
      </w:r>
      <w:r w:rsidRPr="00AB2AD1">
        <w:rPr>
          <w:rFonts w:hint="eastAsia"/>
        </w:rPr>
        <w:t>所示</w:t>
      </w:r>
      <w:r w:rsidRPr="00AB2AD1">
        <w:rPr>
          <w:rFonts w:hAnsi="標楷體" w:hint="eastAsia"/>
          <w:bCs w:val="0"/>
          <w:szCs w:val="32"/>
        </w:rPr>
        <w:t>：</w:t>
      </w:r>
    </w:p>
    <w:p w:rsidR="00686922" w:rsidRPr="00AB2AD1" w:rsidRDefault="00686922" w:rsidP="00686922">
      <w:pPr>
        <w:pStyle w:val="3"/>
        <w:numPr>
          <w:ilvl w:val="0"/>
          <w:numId w:val="0"/>
        </w:numPr>
        <w:ind w:left="1393"/>
        <w:rPr>
          <w:rFonts w:hAnsi="標楷體"/>
          <w:sz w:val="28"/>
          <w:szCs w:val="28"/>
        </w:rPr>
      </w:pPr>
    </w:p>
    <w:p w:rsidR="00686922" w:rsidRPr="00AB2AD1" w:rsidRDefault="00686922" w:rsidP="00686922">
      <w:pPr>
        <w:pStyle w:val="3"/>
        <w:numPr>
          <w:ilvl w:val="0"/>
          <w:numId w:val="0"/>
        </w:numPr>
        <w:ind w:left="1393"/>
        <w:rPr>
          <w:rFonts w:hAnsi="標楷體"/>
          <w:sz w:val="28"/>
          <w:szCs w:val="28"/>
        </w:rPr>
      </w:pPr>
    </w:p>
    <w:p w:rsidR="00A62E84" w:rsidRPr="00AB2AD1" w:rsidRDefault="00A62E84" w:rsidP="00686922">
      <w:pPr>
        <w:pStyle w:val="3"/>
        <w:numPr>
          <w:ilvl w:val="0"/>
          <w:numId w:val="0"/>
        </w:numPr>
        <w:ind w:left="1393"/>
        <w:rPr>
          <w:rFonts w:hAnsi="標楷體"/>
          <w:sz w:val="28"/>
          <w:szCs w:val="28"/>
        </w:rPr>
      </w:pPr>
    </w:p>
    <w:p w:rsidR="00686922" w:rsidRPr="00AB2AD1" w:rsidRDefault="00686922" w:rsidP="00686922">
      <w:pPr>
        <w:pStyle w:val="a1"/>
        <w:numPr>
          <w:ilvl w:val="0"/>
          <w:numId w:val="0"/>
        </w:numPr>
        <w:ind w:leftChars="-150" w:left="-510" w:rightChars="-150" w:right="-510"/>
        <w:jc w:val="center"/>
        <w:rPr>
          <w:rFonts w:ascii="Times New Roman"/>
          <w:sz w:val="28"/>
          <w:szCs w:val="28"/>
        </w:rPr>
      </w:pPr>
      <w:bookmarkStart w:id="55" w:name="_Toc370720517"/>
      <w:bookmarkStart w:id="56" w:name="_Toc370721998"/>
      <w:bookmarkStart w:id="57" w:name="_Toc370914208"/>
      <w:r w:rsidRPr="00AB2AD1">
        <w:rPr>
          <w:rFonts w:ascii="Times New Roman"/>
          <w:sz w:val="28"/>
          <w:szCs w:val="28"/>
        </w:rPr>
        <w:t>表</w:t>
      </w:r>
      <w:r w:rsidRPr="00AB2AD1">
        <w:rPr>
          <w:rFonts w:ascii="Times New Roman" w:hint="eastAsia"/>
          <w:sz w:val="28"/>
          <w:szCs w:val="28"/>
        </w:rPr>
        <w:t>二</w:t>
      </w:r>
      <w:r w:rsidRPr="00AB2AD1">
        <w:rPr>
          <w:rFonts w:ascii="Times New Roman"/>
          <w:sz w:val="28"/>
          <w:szCs w:val="28"/>
        </w:rPr>
        <w:t>、台電公司可減少之購電資本費與容量因素支出：與</w:t>
      </w:r>
      <w:r w:rsidRPr="00AB2AD1">
        <w:rPr>
          <w:rFonts w:ascii="Times New Roman"/>
          <w:sz w:val="28"/>
          <w:szCs w:val="28"/>
        </w:rPr>
        <w:t>IPP</w:t>
      </w:r>
      <w:r w:rsidRPr="00AB2AD1">
        <w:rPr>
          <w:rFonts w:ascii="Times New Roman"/>
          <w:sz w:val="28"/>
          <w:szCs w:val="28"/>
        </w:rPr>
        <w:t>修約</w:t>
      </w:r>
      <w:bookmarkEnd w:id="55"/>
      <w:bookmarkEnd w:id="56"/>
      <w:bookmarkEnd w:id="57"/>
    </w:p>
    <w:p w:rsidR="00A62E84" w:rsidRPr="00AB2AD1" w:rsidRDefault="00A62E84" w:rsidP="00A62E84">
      <w:pPr>
        <w:ind w:rightChars="182" w:right="619" w:firstLineChars="2344" w:firstLine="6098"/>
        <w:jc w:val="right"/>
        <w:rPr>
          <w:rFonts w:ascii="標楷體" w:hAnsi="Arial"/>
          <w:bCs/>
          <w:kern w:val="0"/>
          <w:sz w:val="24"/>
          <w:szCs w:val="24"/>
        </w:rPr>
      </w:pPr>
      <w:r w:rsidRPr="00AB2AD1">
        <w:rPr>
          <w:rFonts w:ascii="標楷體" w:hAnsi="Arial" w:hint="eastAsia"/>
          <w:bCs/>
          <w:kern w:val="0"/>
          <w:sz w:val="24"/>
          <w:szCs w:val="24"/>
        </w:rPr>
        <w:t>單位：億元</w:t>
      </w:r>
    </w:p>
    <w:tbl>
      <w:tblPr>
        <w:tblStyle w:val="afc"/>
        <w:tblW w:w="7547" w:type="dxa"/>
        <w:tblCellMar>
          <w:left w:w="28" w:type="dxa"/>
          <w:right w:w="28" w:type="dxa"/>
        </w:tblCellMar>
        <w:tblLook w:val="0000"/>
      </w:tblPr>
      <w:tblGrid>
        <w:gridCol w:w="737"/>
        <w:gridCol w:w="1074"/>
        <w:gridCol w:w="1196"/>
        <w:gridCol w:w="956"/>
        <w:gridCol w:w="716"/>
        <w:gridCol w:w="1196"/>
        <w:gridCol w:w="956"/>
        <w:gridCol w:w="716"/>
      </w:tblGrid>
      <w:tr w:rsidR="00A62E84" w:rsidRPr="00AB2AD1" w:rsidTr="00C867EC">
        <w:trPr>
          <w:trHeight w:val="90"/>
        </w:trPr>
        <w:tc>
          <w:tcPr>
            <w:tcW w:w="737" w:type="dxa"/>
            <w:vMerge w:val="restart"/>
          </w:tcPr>
          <w:p w:rsidR="00A62E84" w:rsidRPr="00AB2AD1" w:rsidRDefault="00A62E84" w:rsidP="00C867EC">
            <w:pPr>
              <w:jc w:val="center"/>
              <w:rPr>
                <w:sz w:val="24"/>
              </w:rPr>
            </w:pPr>
            <w:r w:rsidRPr="00AB2AD1">
              <w:rPr>
                <w:sz w:val="24"/>
              </w:rPr>
              <w:t>IPP</w:t>
            </w:r>
          </w:p>
        </w:tc>
        <w:tc>
          <w:tcPr>
            <w:tcW w:w="1074" w:type="dxa"/>
            <w:vMerge w:val="restart"/>
          </w:tcPr>
          <w:p w:rsidR="00A62E84" w:rsidRPr="00AB2AD1" w:rsidRDefault="00A62E84" w:rsidP="00A62E84">
            <w:pPr>
              <w:jc w:val="center"/>
              <w:rPr>
                <w:sz w:val="24"/>
              </w:rPr>
            </w:pPr>
            <w:r w:rsidRPr="00AB2AD1">
              <w:rPr>
                <w:sz w:val="24"/>
              </w:rPr>
              <w:t>完成修約日期</w:t>
            </w:r>
            <w:r w:rsidRPr="00AB2AD1">
              <w:rPr>
                <w:rFonts w:hint="eastAsia"/>
                <w:sz w:val="24"/>
                <w:vertAlign w:val="superscript"/>
              </w:rPr>
              <w:t>a</w:t>
            </w:r>
          </w:p>
        </w:tc>
        <w:tc>
          <w:tcPr>
            <w:tcW w:w="5736" w:type="dxa"/>
            <w:gridSpan w:val="6"/>
          </w:tcPr>
          <w:p w:rsidR="00A62E84" w:rsidRPr="00AB2AD1" w:rsidRDefault="00A62E84" w:rsidP="00C867EC">
            <w:pPr>
              <w:jc w:val="center"/>
              <w:rPr>
                <w:sz w:val="24"/>
              </w:rPr>
            </w:pPr>
            <w:r w:rsidRPr="00AB2AD1">
              <w:rPr>
                <w:sz w:val="24"/>
              </w:rPr>
              <w:t>減少購電支出</w:t>
            </w:r>
          </w:p>
        </w:tc>
      </w:tr>
      <w:tr w:rsidR="00A62E84" w:rsidRPr="00AB2AD1" w:rsidTr="00C867EC">
        <w:trPr>
          <w:trHeight w:val="257"/>
        </w:trPr>
        <w:tc>
          <w:tcPr>
            <w:tcW w:w="737" w:type="dxa"/>
            <w:vMerge/>
          </w:tcPr>
          <w:p w:rsidR="00A62E84" w:rsidRPr="00AB2AD1" w:rsidRDefault="00A62E84" w:rsidP="00C867EC">
            <w:pPr>
              <w:jc w:val="center"/>
              <w:rPr>
                <w:sz w:val="24"/>
              </w:rPr>
            </w:pPr>
          </w:p>
        </w:tc>
        <w:tc>
          <w:tcPr>
            <w:tcW w:w="1074" w:type="dxa"/>
            <w:vMerge/>
          </w:tcPr>
          <w:p w:rsidR="00A62E84" w:rsidRPr="00AB2AD1" w:rsidRDefault="00A62E84" w:rsidP="00C867EC">
            <w:pPr>
              <w:jc w:val="center"/>
              <w:rPr>
                <w:sz w:val="24"/>
              </w:rPr>
            </w:pPr>
          </w:p>
        </w:tc>
        <w:tc>
          <w:tcPr>
            <w:tcW w:w="2868" w:type="dxa"/>
            <w:gridSpan w:val="3"/>
          </w:tcPr>
          <w:p w:rsidR="00A62E84" w:rsidRPr="00AB2AD1" w:rsidRDefault="00A62E84" w:rsidP="00C867EC">
            <w:pPr>
              <w:jc w:val="center"/>
              <w:rPr>
                <w:sz w:val="24"/>
              </w:rPr>
            </w:pPr>
            <w:r w:rsidRPr="00AB2AD1">
              <w:rPr>
                <w:sz w:val="24"/>
              </w:rPr>
              <w:t>每年</w:t>
            </w:r>
            <w:r w:rsidRPr="00AB2AD1">
              <w:rPr>
                <w:rFonts w:hint="eastAsia"/>
                <w:sz w:val="24"/>
              </w:rPr>
              <w:t>(</w:t>
            </w:r>
            <w:r w:rsidRPr="00AB2AD1">
              <w:rPr>
                <w:sz w:val="24"/>
              </w:rPr>
              <w:t>平均</w:t>
            </w:r>
            <w:r w:rsidRPr="00AB2AD1">
              <w:rPr>
                <w:rFonts w:hint="eastAsia"/>
                <w:sz w:val="24"/>
              </w:rPr>
              <w:t>)</w:t>
            </w:r>
          </w:p>
        </w:tc>
        <w:tc>
          <w:tcPr>
            <w:tcW w:w="2868" w:type="dxa"/>
            <w:gridSpan w:val="3"/>
          </w:tcPr>
          <w:p w:rsidR="00A62E84" w:rsidRPr="00AB2AD1" w:rsidRDefault="00A62E84" w:rsidP="00C867EC">
            <w:pPr>
              <w:jc w:val="center"/>
              <w:rPr>
                <w:sz w:val="24"/>
              </w:rPr>
            </w:pPr>
            <w:r w:rsidRPr="00AB2AD1">
              <w:rPr>
                <w:sz w:val="24"/>
              </w:rPr>
              <w:t>合約存續期間</w:t>
            </w:r>
          </w:p>
        </w:tc>
      </w:tr>
      <w:tr w:rsidR="00A62E84" w:rsidRPr="00AB2AD1" w:rsidTr="00C867EC">
        <w:trPr>
          <w:trHeight w:val="170"/>
        </w:trPr>
        <w:tc>
          <w:tcPr>
            <w:tcW w:w="737" w:type="dxa"/>
            <w:vMerge/>
          </w:tcPr>
          <w:p w:rsidR="00A62E84" w:rsidRPr="00AB2AD1" w:rsidRDefault="00A62E84" w:rsidP="00C867EC">
            <w:pPr>
              <w:jc w:val="center"/>
              <w:rPr>
                <w:sz w:val="24"/>
              </w:rPr>
            </w:pPr>
          </w:p>
        </w:tc>
        <w:tc>
          <w:tcPr>
            <w:tcW w:w="1074" w:type="dxa"/>
            <w:vMerge/>
          </w:tcPr>
          <w:p w:rsidR="00A62E84" w:rsidRPr="00AB2AD1" w:rsidRDefault="00A62E84" w:rsidP="00C867EC">
            <w:pPr>
              <w:jc w:val="center"/>
              <w:rPr>
                <w:sz w:val="24"/>
              </w:rPr>
            </w:pPr>
          </w:p>
        </w:tc>
        <w:tc>
          <w:tcPr>
            <w:tcW w:w="1196" w:type="dxa"/>
          </w:tcPr>
          <w:p w:rsidR="00A62E84" w:rsidRPr="00AB2AD1" w:rsidRDefault="00A62E84" w:rsidP="00C867EC">
            <w:pPr>
              <w:jc w:val="center"/>
              <w:rPr>
                <w:sz w:val="24"/>
              </w:rPr>
            </w:pPr>
            <w:r w:rsidRPr="00AB2AD1">
              <w:rPr>
                <w:sz w:val="24"/>
              </w:rPr>
              <w:t>容量因數</w:t>
            </w:r>
          </w:p>
        </w:tc>
        <w:tc>
          <w:tcPr>
            <w:tcW w:w="956" w:type="dxa"/>
          </w:tcPr>
          <w:p w:rsidR="00A62E84" w:rsidRPr="00AB2AD1" w:rsidRDefault="00A62E84" w:rsidP="00C867EC">
            <w:pPr>
              <w:jc w:val="center"/>
              <w:rPr>
                <w:sz w:val="24"/>
              </w:rPr>
            </w:pPr>
            <w:r w:rsidRPr="00AB2AD1">
              <w:rPr>
                <w:sz w:val="24"/>
              </w:rPr>
              <w:t>資本費</w:t>
            </w:r>
          </w:p>
        </w:tc>
        <w:tc>
          <w:tcPr>
            <w:tcW w:w="716" w:type="dxa"/>
          </w:tcPr>
          <w:p w:rsidR="00A62E84" w:rsidRPr="00AB2AD1" w:rsidRDefault="00A62E84" w:rsidP="00C867EC">
            <w:pPr>
              <w:jc w:val="center"/>
              <w:rPr>
                <w:sz w:val="24"/>
              </w:rPr>
            </w:pPr>
            <w:r w:rsidRPr="00AB2AD1">
              <w:rPr>
                <w:sz w:val="24"/>
              </w:rPr>
              <w:t>合計</w:t>
            </w:r>
          </w:p>
        </w:tc>
        <w:tc>
          <w:tcPr>
            <w:tcW w:w="1196" w:type="dxa"/>
          </w:tcPr>
          <w:p w:rsidR="00A62E84" w:rsidRPr="00AB2AD1" w:rsidRDefault="00A62E84" w:rsidP="00C867EC">
            <w:pPr>
              <w:jc w:val="center"/>
              <w:rPr>
                <w:sz w:val="24"/>
              </w:rPr>
            </w:pPr>
            <w:r w:rsidRPr="00AB2AD1">
              <w:rPr>
                <w:sz w:val="24"/>
              </w:rPr>
              <w:t>容量因數</w:t>
            </w:r>
          </w:p>
        </w:tc>
        <w:tc>
          <w:tcPr>
            <w:tcW w:w="956" w:type="dxa"/>
          </w:tcPr>
          <w:p w:rsidR="00A62E84" w:rsidRPr="00AB2AD1" w:rsidRDefault="00A62E84" w:rsidP="00C867EC">
            <w:pPr>
              <w:jc w:val="center"/>
              <w:rPr>
                <w:sz w:val="24"/>
              </w:rPr>
            </w:pPr>
            <w:r w:rsidRPr="00AB2AD1">
              <w:rPr>
                <w:sz w:val="24"/>
              </w:rPr>
              <w:t>資本費</w:t>
            </w:r>
          </w:p>
        </w:tc>
        <w:tc>
          <w:tcPr>
            <w:tcW w:w="716" w:type="dxa"/>
          </w:tcPr>
          <w:p w:rsidR="00A62E84" w:rsidRPr="00AB2AD1" w:rsidRDefault="00A62E84" w:rsidP="00C867EC">
            <w:pPr>
              <w:jc w:val="center"/>
              <w:rPr>
                <w:sz w:val="24"/>
              </w:rPr>
            </w:pPr>
            <w:r w:rsidRPr="00AB2AD1">
              <w:rPr>
                <w:sz w:val="24"/>
              </w:rPr>
              <w:t>合計</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國光</w:t>
            </w:r>
          </w:p>
        </w:tc>
        <w:tc>
          <w:tcPr>
            <w:tcW w:w="1074" w:type="dxa"/>
          </w:tcPr>
          <w:p w:rsidR="00A62E84" w:rsidRPr="00AB2AD1" w:rsidRDefault="00A62E84" w:rsidP="00C867EC">
            <w:pPr>
              <w:jc w:val="left"/>
              <w:rPr>
                <w:sz w:val="24"/>
              </w:rPr>
            </w:pPr>
            <w:r w:rsidRPr="00AB2AD1">
              <w:rPr>
                <w:sz w:val="24"/>
              </w:rPr>
              <w:t>102.1.28</w:t>
            </w:r>
          </w:p>
        </w:tc>
        <w:tc>
          <w:tcPr>
            <w:tcW w:w="1196" w:type="dxa"/>
          </w:tcPr>
          <w:p w:rsidR="00A62E84" w:rsidRPr="00AB2AD1" w:rsidRDefault="00A62E84" w:rsidP="00C867EC">
            <w:pPr>
              <w:rPr>
                <w:sz w:val="24"/>
              </w:rPr>
            </w:pPr>
            <w:r w:rsidRPr="00AB2AD1">
              <w:rPr>
                <w:sz w:val="24"/>
              </w:rPr>
              <w:t>1.8</w:t>
            </w:r>
          </w:p>
        </w:tc>
        <w:tc>
          <w:tcPr>
            <w:tcW w:w="956" w:type="dxa"/>
          </w:tcPr>
          <w:p w:rsidR="00A62E84" w:rsidRPr="00AB2AD1" w:rsidRDefault="00A62E84" w:rsidP="00C867EC">
            <w:pPr>
              <w:rPr>
                <w:sz w:val="24"/>
              </w:rPr>
            </w:pPr>
            <w:r w:rsidRPr="00AB2AD1">
              <w:rPr>
                <w:sz w:val="24"/>
              </w:rPr>
              <w:t>1.0</w:t>
            </w:r>
          </w:p>
        </w:tc>
        <w:tc>
          <w:tcPr>
            <w:tcW w:w="716" w:type="dxa"/>
          </w:tcPr>
          <w:p w:rsidR="00A62E84" w:rsidRPr="00AB2AD1" w:rsidRDefault="00A62E84" w:rsidP="00C867EC">
            <w:pPr>
              <w:rPr>
                <w:sz w:val="24"/>
              </w:rPr>
            </w:pPr>
            <w:r w:rsidRPr="00AB2AD1">
              <w:rPr>
                <w:sz w:val="24"/>
              </w:rPr>
              <w:t>2.8</w:t>
            </w:r>
          </w:p>
        </w:tc>
        <w:tc>
          <w:tcPr>
            <w:tcW w:w="1196" w:type="dxa"/>
          </w:tcPr>
          <w:p w:rsidR="00A62E84" w:rsidRPr="00AB2AD1" w:rsidRDefault="00A62E84" w:rsidP="00C867EC">
            <w:pPr>
              <w:rPr>
                <w:sz w:val="24"/>
              </w:rPr>
            </w:pPr>
            <w:r w:rsidRPr="00AB2AD1">
              <w:rPr>
                <w:sz w:val="24"/>
              </w:rPr>
              <w:t>30.9</w:t>
            </w:r>
          </w:p>
        </w:tc>
        <w:tc>
          <w:tcPr>
            <w:tcW w:w="956" w:type="dxa"/>
          </w:tcPr>
          <w:p w:rsidR="00A62E84" w:rsidRPr="00AB2AD1" w:rsidRDefault="00A62E84" w:rsidP="00C867EC">
            <w:pPr>
              <w:rPr>
                <w:sz w:val="24"/>
              </w:rPr>
            </w:pPr>
            <w:r w:rsidRPr="00AB2AD1">
              <w:rPr>
                <w:sz w:val="24"/>
              </w:rPr>
              <w:t>16.9</w:t>
            </w:r>
          </w:p>
        </w:tc>
        <w:tc>
          <w:tcPr>
            <w:tcW w:w="716" w:type="dxa"/>
          </w:tcPr>
          <w:p w:rsidR="00A62E84" w:rsidRPr="00AB2AD1" w:rsidRDefault="00A62E84" w:rsidP="00C867EC">
            <w:pPr>
              <w:rPr>
                <w:sz w:val="24"/>
              </w:rPr>
            </w:pPr>
            <w:r w:rsidRPr="00AB2AD1">
              <w:rPr>
                <w:sz w:val="24"/>
              </w:rPr>
              <w:t>47.8</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星能</w:t>
            </w:r>
          </w:p>
        </w:tc>
        <w:tc>
          <w:tcPr>
            <w:tcW w:w="1074" w:type="dxa"/>
          </w:tcPr>
          <w:p w:rsidR="00A62E84" w:rsidRPr="00AB2AD1" w:rsidRDefault="00A62E84" w:rsidP="00C867EC">
            <w:pPr>
              <w:jc w:val="left"/>
              <w:rPr>
                <w:sz w:val="24"/>
              </w:rPr>
            </w:pPr>
            <w:r w:rsidRPr="00AB2AD1">
              <w:rPr>
                <w:sz w:val="24"/>
              </w:rPr>
              <w:t>102.1.28</w:t>
            </w:r>
          </w:p>
        </w:tc>
        <w:tc>
          <w:tcPr>
            <w:tcW w:w="1196" w:type="dxa"/>
          </w:tcPr>
          <w:p w:rsidR="00A62E84" w:rsidRPr="00AB2AD1" w:rsidRDefault="00A62E84" w:rsidP="00C867EC">
            <w:pPr>
              <w:rPr>
                <w:sz w:val="24"/>
              </w:rPr>
            </w:pPr>
            <w:r w:rsidRPr="00AB2AD1">
              <w:rPr>
                <w:sz w:val="24"/>
              </w:rPr>
              <w:t>1.2</w:t>
            </w:r>
          </w:p>
        </w:tc>
        <w:tc>
          <w:tcPr>
            <w:tcW w:w="956" w:type="dxa"/>
          </w:tcPr>
          <w:p w:rsidR="00A62E84" w:rsidRPr="00AB2AD1" w:rsidRDefault="00A62E84" w:rsidP="00C867EC">
            <w:pPr>
              <w:rPr>
                <w:sz w:val="24"/>
              </w:rPr>
            </w:pPr>
            <w:r w:rsidRPr="00AB2AD1">
              <w:rPr>
                <w:sz w:val="24"/>
              </w:rPr>
              <w:t>1.0</w:t>
            </w:r>
          </w:p>
        </w:tc>
        <w:tc>
          <w:tcPr>
            <w:tcW w:w="716" w:type="dxa"/>
          </w:tcPr>
          <w:p w:rsidR="00A62E84" w:rsidRPr="00AB2AD1" w:rsidRDefault="00A62E84" w:rsidP="00C867EC">
            <w:pPr>
              <w:rPr>
                <w:sz w:val="24"/>
              </w:rPr>
            </w:pPr>
            <w:r w:rsidRPr="00AB2AD1">
              <w:rPr>
                <w:sz w:val="24"/>
              </w:rPr>
              <w:t>2.2</w:t>
            </w:r>
          </w:p>
        </w:tc>
        <w:tc>
          <w:tcPr>
            <w:tcW w:w="1196" w:type="dxa"/>
          </w:tcPr>
          <w:p w:rsidR="00A62E84" w:rsidRPr="00AB2AD1" w:rsidRDefault="00A62E84" w:rsidP="00C867EC">
            <w:pPr>
              <w:rPr>
                <w:sz w:val="24"/>
              </w:rPr>
            </w:pPr>
            <w:r w:rsidRPr="00AB2AD1">
              <w:rPr>
                <w:sz w:val="24"/>
              </w:rPr>
              <w:t>20.2</w:t>
            </w:r>
          </w:p>
        </w:tc>
        <w:tc>
          <w:tcPr>
            <w:tcW w:w="956" w:type="dxa"/>
          </w:tcPr>
          <w:p w:rsidR="00A62E84" w:rsidRPr="00AB2AD1" w:rsidRDefault="00A62E84" w:rsidP="00C867EC">
            <w:pPr>
              <w:rPr>
                <w:sz w:val="24"/>
              </w:rPr>
            </w:pPr>
            <w:r w:rsidRPr="00AB2AD1">
              <w:rPr>
                <w:sz w:val="24"/>
              </w:rPr>
              <w:t>17.0</w:t>
            </w:r>
          </w:p>
        </w:tc>
        <w:tc>
          <w:tcPr>
            <w:tcW w:w="716" w:type="dxa"/>
          </w:tcPr>
          <w:p w:rsidR="00A62E84" w:rsidRPr="00AB2AD1" w:rsidRDefault="00A62E84" w:rsidP="00C867EC">
            <w:pPr>
              <w:rPr>
                <w:sz w:val="24"/>
              </w:rPr>
            </w:pPr>
            <w:r w:rsidRPr="00AB2AD1">
              <w:rPr>
                <w:sz w:val="24"/>
              </w:rPr>
              <w:t>37.2</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森霸</w:t>
            </w:r>
          </w:p>
        </w:tc>
        <w:tc>
          <w:tcPr>
            <w:tcW w:w="1074" w:type="dxa"/>
          </w:tcPr>
          <w:p w:rsidR="00A62E84" w:rsidRPr="00AB2AD1" w:rsidRDefault="00A62E84" w:rsidP="00C867EC">
            <w:pPr>
              <w:jc w:val="left"/>
              <w:rPr>
                <w:sz w:val="24"/>
              </w:rPr>
            </w:pPr>
            <w:r w:rsidRPr="00AB2AD1">
              <w:rPr>
                <w:sz w:val="24"/>
              </w:rPr>
              <w:t>102.1.28</w:t>
            </w:r>
          </w:p>
        </w:tc>
        <w:tc>
          <w:tcPr>
            <w:tcW w:w="1196" w:type="dxa"/>
          </w:tcPr>
          <w:p w:rsidR="00A62E84" w:rsidRPr="00AB2AD1" w:rsidRDefault="00A62E84" w:rsidP="00C867EC">
            <w:pPr>
              <w:rPr>
                <w:sz w:val="24"/>
              </w:rPr>
            </w:pPr>
            <w:r w:rsidRPr="00AB2AD1">
              <w:rPr>
                <w:sz w:val="24"/>
              </w:rPr>
              <w:t>1.9</w:t>
            </w:r>
          </w:p>
        </w:tc>
        <w:tc>
          <w:tcPr>
            <w:tcW w:w="956" w:type="dxa"/>
          </w:tcPr>
          <w:p w:rsidR="00A62E84" w:rsidRPr="00AB2AD1" w:rsidRDefault="00A62E84" w:rsidP="00C867EC">
            <w:pPr>
              <w:rPr>
                <w:sz w:val="24"/>
              </w:rPr>
            </w:pPr>
            <w:r w:rsidRPr="00AB2AD1">
              <w:rPr>
                <w:sz w:val="24"/>
              </w:rPr>
              <w:t>1.7</w:t>
            </w:r>
          </w:p>
        </w:tc>
        <w:tc>
          <w:tcPr>
            <w:tcW w:w="716" w:type="dxa"/>
          </w:tcPr>
          <w:p w:rsidR="00A62E84" w:rsidRPr="00AB2AD1" w:rsidRDefault="00A62E84" w:rsidP="00C867EC">
            <w:pPr>
              <w:rPr>
                <w:sz w:val="24"/>
              </w:rPr>
            </w:pPr>
            <w:r w:rsidRPr="00AB2AD1">
              <w:rPr>
                <w:sz w:val="24"/>
              </w:rPr>
              <w:t>3.6</w:t>
            </w:r>
          </w:p>
        </w:tc>
        <w:tc>
          <w:tcPr>
            <w:tcW w:w="1196" w:type="dxa"/>
          </w:tcPr>
          <w:p w:rsidR="00A62E84" w:rsidRPr="00AB2AD1" w:rsidRDefault="00A62E84" w:rsidP="00C867EC">
            <w:pPr>
              <w:rPr>
                <w:sz w:val="24"/>
              </w:rPr>
            </w:pPr>
            <w:r w:rsidRPr="00AB2AD1">
              <w:rPr>
                <w:sz w:val="24"/>
              </w:rPr>
              <w:t>32.0</w:t>
            </w:r>
          </w:p>
        </w:tc>
        <w:tc>
          <w:tcPr>
            <w:tcW w:w="956" w:type="dxa"/>
          </w:tcPr>
          <w:p w:rsidR="00A62E84" w:rsidRPr="00AB2AD1" w:rsidRDefault="00A62E84" w:rsidP="00C867EC">
            <w:pPr>
              <w:rPr>
                <w:sz w:val="24"/>
              </w:rPr>
            </w:pPr>
            <w:r w:rsidRPr="00AB2AD1">
              <w:rPr>
                <w:sz w:val="24"/>
              </w:rPr>
              <w:t>29.0</w:t>
            </w:r>
          </w:p>
        </w:tc>
        <w:tc>
          <w:tcPr>
            <w:tcW w:w="716" w:type="dxa"/>
          </w:tcPr>
          <w:p w:rsidR="00A62E84" w:rsidRPr="00AB2AD1" w:rsidRDefault="00A62E84" w:rsidP="00C867EC">
            <w:pPr>
              <w:rPr>
                <w:sz w:val="24"/>
              </w:rPr>
            </w:pPr>
            <w:r w:rsidRPr="00AB2AD1">
              <w:rPr>
                <w:sz w:val="24"/>
              </w:rPr>
              <w:t>61.0</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星元</w:t>
            </w:r>
          </w:p>
        </w:tc>
        <w:tc>
          <w:tcPr>
            <w:tcW w:w="1074" w:type="dxa"/>
          </w:tcPr>
          <w:p w:rsidR="00A62E84" w:rsidRPr="00AB2AD1" w:rsidRDefault="00A62E84" w:rsidP="00C867EC">
            <w:pPr>
              <w:jc w:val="left"/>
              <w:rPr>
                <w:sz w:val="24"/>
              </w:rPr>
            </w:pPr>
            <w:r w:rsidRPr="00AB2AD1">
              <w:rPr>
                <w:sz w:val="24"/>
              </w:rPr>
              <w:t>102.3.6</w:t>
            </w:r>
          </w:p>
        </w:tc>
        <w:tc>
          <w:tcPr>
            <w:tcW w:w="1196" w:type="dxa"/>
          </w:tcPr>
          <w:p w:rsidR="00A62E84" w:rsidRPr="00AB2AD1" w:rsidRDefault="00A62E84" w:rsidP="00C867EC">
            <w:pPr>
              <w:rPr>
                <w:sz w:val="24"/>
              </w:rPr>
            </w:pPr>
            <w:r w:rsidRPr="00AB2AD1">
              <w:rPr>
                <w:sz w:val="24"/>
              </w:rPr>
              <w:t>0.3</w:t>
            </w:r>
          </w:p>
        </w:tc>
        <w:tc>
          <w:tcPr>
            <w:tcW w:w="956" w:type="dxa"/>
          </w:tcPr>
          <w:p w:rsidR="00A62E84" w:rsidRPr="00AB2AD1" w:rsidRDefault="00A62E84" w:rsidP="00C867EC">
            <w:pPr>
              <w:rPr>
                <w:sz w:val="24"/>
              </w:rPr>
            </w:pPr>
            <w:r w:rsidRPr="00AB2AD1">
              <w:rPr>
                <w:sz w:val="24"/>
              </w:rPr>
              <w:t>0.2</w:t>
            </w:r>
          </w:p>
        </w:tc>
        <w:tc>
          <w:tcPr>
            <w:tcW w:w="716" w:type="dxa"/>
          </w:tcPr>
          <w:p w:rsidR="00A62E84" w:rsidRPr="00AB2AD1" w:rsidRDefault="00A62E84" w:rsidP="00C867EC">
            <w:pPr>
              <w:rPr>
                <w:sz w:val="24"/>
              </w:rPr>
            </w:pPr>
            <w:r w:rsidRPr="00AB2AD1">
              <w:rPr>
                <w:sz w:val="24"/>
              </w:rPr>
              <w:t>0.5</w:t>
            </w:r>
          </w:p>
        </w:tc>
        <w:tc>
          <w:tcPr>
            <w:tcW w:w="1196" w:type="dxa"/>
          </w:tcPr>
          <w:p w:rsidR="00A62E84" w:rsidRPr="00AB2AD1" w:rsidRDefault="00A62E84" w:rsidP="00C867EC">
            <w:pPr>
              <w:rPr>
                <w:sz w:val="24"/>
              </w:rPr>
            </w:pPr>
            <w:r w:rsidRPr="00AB2AD1">
              <w:rPr>
                <w:sz w:val="24"/>
              </w:rPr>
              <w:t>5.9</w:t>
            </w:r>
          </w:p>
        </w:tc>
        <w:tc>
          <w:tcPr>
            <w:tcW w:w="956" w:type="dxa"/>
          </w:tcPr>
          <w:p w:rsidR="00A62E84" w:rsidRPr="00AB2AD1" w:rsidRDefault="00A62E84" w:rsidP="00C867EC">
            <w:pPr>
              <w:rPr>
                <w:sz w:val="24"/>
              </w:rPr>
            </w:pPr>
            <w:r w:rsidRPr="00AB2AD1">
              <w:rPr>
                <w:sz w:val="24"/>
              </w:rPr>
              <w:t>3.4</w:t>
            </w:r>
          </w:p>
        </w:tc>
        <w:tc>
          <w:tcPr>
            <w:tcW w:w="716" w:type="dxa"/>
          </w:tcPr>
          <w:p w:rsidR="00A62E84" w:rsidRPr="00AB2AD1" w:rsidRDefault="00A62E84" w:rsidP="00C867EC">
            <w:pPr>
              <w:rPr>
                <w:sz w:val="24"/>
              </w:rPr>
            </w:pPr>
            <w:r w:rsidRPr="00AB2AD1">
              <w:rPr>
                <w:sz w:val="24"/>
              </w:rPr>
              <w:t>9.3</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長生</w:t>
            </w:r>
          </w:p>
        </w:tc>
        <w:tc>
          <w:tcPr>
            <w:tcW w:w="1074" w:type="dxa"/>
          </w:tcPr>
          <w:p w:rsidR="00A62E84" w:rsidRPr="00AB2AD1" w:rsidRDefault="00A62E84" w:rsidP="00C867EC">
            <w:pPr>
              <w:jc w:val="left"/>
              <w:rPr>
                <w:sz w:val="24"/>
              </w:rPr>
            </w:pPr>
            <w:r w:rsidRPr="00AB2AD1">
              <w:rPr>
                <w:sz w:val="24"/>
              </w:rPr>
              <w:t>102.3.13</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1.1</w:t>
            </w:r>
          </w:p>
        </w:tc>
        <w:tc>
          <w:tcPr>
            <w:tcW w:w="716" w:type="dxa"/>
          </w:tcPr>
          <w:p w:rsidR="00A62E84" w:rsidRPr="00AB2AD1" w:rsidRDefault="00A62E84" w:rsidP="00C867EC">
            <w:pPr>
              <w:rPr>
                <w:sz w:val="24"/>
              </w:rPr>
            </w:pPr>
            <w:r w:rsidRPr="00AB2AD1">
              <w:rPr>
                <w:sz w:val="24"/>
              </w:rPr>
              <w:t>1.1</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16.0</w:t>
            </w:r>
          </w:p>
        </w:tc>
        <w:tc>
          <w:tcPr>
            <w:tcW w:w="716" w:type="dxa"/>
          </w:tcPr>
          <w:p w:rsidR="00A62E84" w:rsidRPr="00AB2AD1" w:rsidRDefault="00A62E84" w:rsidP="00C867EC">
            <w:pPr>
              <w:rPr>
                <w:sz w:val="24"/>
              </w:rPr>
            </w:pPr>
            <w:r w:rsidRPr="00AB2AD1">
              <w:rPr>
                <w:sz w:val="24"/>
              </w:rPr>
              <w:t>16.0</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新桃</w:t>
            </w:r>
          </w:p>
        </w:tc>
        <w:tc>
          <w:tcPr>
            <w:tcW w:w="1074" w:type="dxa"/>
          </w:tcPr>
          <w:p w:rsidR="00A62E84" w:rsidRPr="00AB2AD1" w:rsidRDefault="00A62E84" w:rsidP="00C867EC">
            <w:pPr>
              <w:jc w:val="left"/>
              <w:rPr>
                <w:sz w:val="24"/>
              </w:rPr>
            </w:pPr>
            <w:r w:rsidRPr="00AB2AD1">
              <w:rPr>
                <w:sz w:val="24"/>
              </w:rPr>
              <w:t>102.6.21</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0.9</w:t>
            </w:r>
          </w:p>
        </w:tc>
        <w:tc>
          <w:tcPr>
            <w:tcW w:w="716" w:type="dxa"/>
          </w:tcPr>
          <w:p w:rsidR="00A62E84" w:rsidRPr="00AB2AD1" w:rsidRDefault="00A62E84" w:rsidP="00C867EC">
            <w:pPr>
              <w:rPr>
                <w:sz w:val="24"/>
              </w:rPr>
            </w:pPr>
            <w:r w:rsidRPr="00AB2AD1">
              <w:rPr>
                <w:sz w:val="24"/>
              </w:rPr>
              <w:t>0.9</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13.2</w:t>
            </w:r>
          </w:p>
        </w:tc>
        <w:tc>
          <w:tcPr>
            <w:tcW w:w="716" w:type="dxa"/>
          </w:tcPr>
          <w:p w:rsidR="00A62E84" w:rsidRPr="00AB2AD1" w:rsidRDefault="00A62E84" w:rsidP="00C867EC">
            <w:pPr>
              <w:rPr>
                <w:sz w:val="24"/>
              </w:rPr>
            </w:pPr>
            <w:r w:rsidRPr="00AB2AD1">
              <w:rPr>
                <w:sz w:val="24"/>
              </w:rPr>
              <w:t>13.2</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嘉惠</w:t>
            </w:r>
          </w:p>
        </w:tc>
        <w:tc>
          <w:tcPr>
            <w:tcW w:w="1074" w:type="dxa"/>
          </w:tcPr>
          <w:p w:rsidR="00A62E84" w:rsidRPr="00AB2AD1" w:rsidRDefault="00A62E84" w:rsidP="00C867EC">
            <w:pPr>
              <w:jc w:val="left"/>
              <w:rPr>
                <w:sz w:val="24"/>
              </w:rPr>
            </w:pPr>
            <w:r w:rsidRPr="00AB2AD1">
              <w:rPr>
                <w:sz w:val="24"/>
              </w:rPr>
              <w:t>102.7.30</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0.8</w:t>
            </w:r>
          </w:p>
        </w:tc>
        <w:tc>
          <w:tcPr>
            <w:tcW w:w="716" w:type="dxa"/>
          </w:tcPr>
          <w:p w:rsidR="00A62E84" w:rsidRPr="00AB2AD1" w:rsidRDefault="00A62E84" w:rsidP="00C867EC">
            <w:pPr>
              <w:rPr>
                <w:sz w:val="24"/>
              </w:rPr>
            </w:pPr>
            <w:r w:rsidRPr="00AB2AD1">
              <w:rPr>
                <w:sz w:val="24"/>
              </w:rPr>
              <w:t>0.8</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13.9</w:t>
            </w:r>
          </w:p>
        </w:tc>
        <w:tc>
          <w:tcPr>
            <w:tcW w:w="716" w:type="dxa"/>
          </w:tcPr>
          <w:p w:rsidR="00A62E84" w:rsidRPr="00AB2AD1" w:rsidRDefault="00A62E84" w:rsidP="00C867EC">
            <w:pPr>
              <w:rPr>
                <w:sz w:val="24"/>
              </w:rPr>
            </w:pPr>
            <w:r w:rsidRPr="00AB2AD1">
              <w:rPr>
                <w:sz w:val="24"/>
              </w:rPr>
              <w:t>13.9</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麥寮</w:t>
            </w:r>
          </w:p>
        </w:tc>
        <w:tc>
          <w:tcPr>
            <w:tcW w:w="1074" w:type="dxa"/>
          </w:tcPr>
          <w:p w:rsidR="00A62E84" w:rsidRPr="00AB2AD1" w:rsidRDefault="00A62E84" w:rsidP="00C867EC">
            <w:pPr>
              <w:jc w:val="left"/>
              <w:rPr>
                <w:sz w:val="24"/>
              </w:rPr>
            </w:pPr>
            <w:r w:rsidRPr="00AB2AD1">
              <w:rPr>
                <w:sz w:val="24"/>
              </w:rPr>
              <w:t>102.8.23</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1.7</w:t>
            </w:r>
          </w:p>
        </w:tc>
        <w:tc>
          <w:tcPr>
            <w:tcW w:w="716" w:type="dxa"/>
          </w:tcPr>
          <w:p w:rsidR="00A62E84" w:rsidRPr="00AB2AD1" w:rsidRDefault="00A62E84" w:rsidP="00C867EC">
            <w:pPr>
              <w:rPr>
                <w:sz w:val="24"/>
              </w:rPr>
            </w:pPr>
            <w:r w:rsidRPr="00AB2AD1">
              <w:rPr>
                <w:sz w:val="24"/>
              </w:rPr>
              <w:t>1.7</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21.9</w:t>
            </w:r>
          </w:p>
        </w:tc>
        <w:tc>
          <w:tcPr>
            <w:tcW w:w="716" w:type="dxa"/>
          </w:tcPr>
          <w:p w:rsidR="00A62E84" w:rsidRPr="00AB2AD1" w:rsidRDefault="00A62E84" w:rsidP="00C867EC">
            <w:pPr>
              <w:rPr>
                <w:sz w:val="24"/>
              </w:rPr>
            </w:pPr>
            <w:r w:rsidRPr="00AB2AD1">
              <w:rPr>
                <w:sz w:val="24"/>
              </w:rPr>
              <w:t>21.9</w:t>
            </w:r>
          </w:p>
        </w:tc>
      </w:tr>
      <w:tr w:rsidR="00A62E84" w:rsidRPr="00AB2AD1" w:rsidTr="00C867EC">
        <w:trPr>
          <w:trHeight w:val="170"/>
        </w:trPr>
        <w:tc>
          <w:tcPr>
            <w:tcW w:w="737" w:type="dxa"/>
          </w:tcPr>
          <w:p w:rsidR="00A62E84" w:rsidRPr="00AB2AD1" w:rsidRDefault="00A62E84" w:rsidP="00C867EC">
            <w:pPr>
              <w:jc w:val="center"/>
              <w:rPr>
                <w:sz w:val="24"/>
              </w:rPr>
            </w:pPr>
            <w:r w:rsidRPr="00AB2AD1">
              <w:rPr>
                <w:sz w:val="24"/>
              </w:rPr>
              <w:t>和平</w:t>
            </w:r>
          </w:p>
        </w:tc>
        <w:tc>
          <w:tcPr>
            <w:tcW w:w="1074" w:type="dxa"/>
          </w:tcPr>
          <w:p w:rsidR="00A62E84" w:rsidRPr="00AB2AD1" w:rsidRDefault="00A62E84" w:rsidP="00C867EC">
            <w:pPr>
              <w:jc w:val="left"/>
              <w:rPr>
                <w:sz w:val="24"/>
              </w:rPr>
            </w:pPr>
            <w:r w:rsidRPr="00AB2AD1">
              <w:rPr>
                <w:sz w:val="24"/>
              </w:rPr>
              <w:t>102.8.28</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1.8</w:t>
            </w:r>
          </w:p>
        </w:tc>
        <w:tc>
          <w:tcPr>
            <w:tcW w:w="716" w:type="dxa"/>
          </w:tcPr>
          <w:p w:rsidR="00A62E84" w:rsidRPr="00AB2AD1" w:rsidRDefault="00A62E84" w:rsidP="00C867EC">
            <w:pPr>
              <w:rPr>
                <w:sz w:val="24"/>
              </w:rPr>
            </w:pPr>
            <w:r w:rsidRPr="00AB2AD1">
              <w:rPr>
                <w:sz w:val="24"/>
              </w:rPr>
              <w:t>1.8</w:t>
            </w:r>
          </w:p>
        </w:tc>
        <w:tc>
          <w:tcPr>
            <w:tcW w:w="1196" w:type="dxa"/>
          </w:tcPr>
          <w:p w:rsidR="00A62E84" w:rsidRPr="00AB2AD1" w:rsidRDefault="00A62E84" w:rsidP="00C867EC">
            <w:pPr>
              <w:rPr>
                <w:sz w:val="24"/>
              </w:rPr>
            </w:pPr>
            <w:r w:rsidRPr="00AB2AD1">
              <w:rPr>
                <w:sz w:val="24"/>
              </w:rPr>
              <w:t>－</w:t>
            </w:r>
          </w:p>
        </w:tc>
        <w:tc>
          <w:tcPr>
            <w:tcW w:w="956" w:type="dxa"/>
          </w:tcPr>
          <w:p w:rsidR="00A62E84" w:rsidRPr="00AB2AD1" w:rsidRDefault="00A62E84" w:rsidP="00C867EC">
            <w:pPr>
              <w:rPr>
                <w:sz w:val="24"/>
              </w:rPr>
            </w:pPr>
            <w:r w:rsidRPr="00AB2AD1">
              <w:rPr>
                <w:sz w:val="24"/>
              </w:rPr>
              <w:t>28.8</w:t>
            </w:r>
          </w:p>
        </w:tc>
        <w:tc>
          <w:tcPr>
            <w:tcW w:w="716" w:type="dxa"/>
          </w:tcPr>
          <w:p w:rsidR="00A62E84" w:rsidRPr="00AB2AD1" w:rsidRDefault="00A62E84" w:rsidP="00C867EC">
            <w:pPr>
              <w:rPr>
                <w:sz w:val="24"/>
              </w:rPr>
            </w:pPr>
            <w:r w:rsidRPr="00AB2AD1">
              <w:rPr>
                <w:sz w:val="24"/>
              </w:rPr>
              <w:t>28.8</w:t>
            </w:r>
          </w:p>
        </w:tc>
      </w:tr>
      <w:tr w:rsidR="00A62E84" w:rsidRPr="00AB2AD1" w:rsidTr="00C867EC">
        <w:trPr>
          <w:trHeight w:val="170"/>
        </w:trPr>
        <w:tc>
          <w:tcPr>
            <w:tcW w:w="737" w:type="dxa"/>
          </w:tcPr>
          <w:p w:rsidR="00A62E84" w:rsidRPr="00AB2AD1" w:rsidRDefault="00A62E84" w:rsidP="00C867EC">
            <w:pPr>
              <w:rPr>
                <w:sz w:val="24"/>
              </w:rPr>
            </w:pPr>
            <w:r w:rsidRPr="00AB2AD1">
              <w:rPr>
                <w:sz w:val="24"/>
              </w:rPr>
              <w:t>合計</w:t>
            </w:r>
          </w:p>
        </w:tc>
        <w:tc>
          <w:tcPr>
            <w:tcW w:w="1074" w:type="dxa"/>
          </w:tcPr>
          <w:p w:rsidR="00A62E84" w:rsidRPr="00AB2AD1" w:rsidRDefault="00A62E84" w:rsidP="00C867EC">
            <w:pPr>
              <w:rPr>
                <w:sz w:val="24"/>
              </w:rPr>
            </w:pPr>
            <w:r w:rsidRPr="00AB2AD1">
              <w:rPr>
                <w:sz w:val="24"/>
              </w:rPr>
              <w:t>－</w:t>
            </w:r>
          </w:p>
        </w:tc>
        <w:tc>
          <w:tcPr>
            <w:tcW w:w="1196" w:type="dxa"/>
          </w:tcPr>
          <w:p w:rsidR="00A62E84" w:rsidRPr="00AB2AD1" w:rsidRDefault="00A62E84" w:rsidP="00C867EC">
            <w:pPr>
              <w:rPr>
                <w:sz w:val="24"/>
              </w:rPr>
            </w:pPr>
            <w:r w:rsidRPr="00AB2AD1">
              <w:rPr>
                <w:sz w:val="24"/>
              </w:rPr>
              <w:t>5.2</w:t>
            </w:r>
          </w:p>
        </w:tc>
        <w:tc>
          <w:tcPr>
            <w:tcW w:w="956" w:type="dxa"/>
          </w:tcPr>
          <w:p w:rsidR="00A62E84" w:rsidRPr="00AB2AD1" w:rsidRDefault="00A62E84" w:rsidP="00C867EC">
            <w:pPr>
              <w:rPr>
                <w:sz w:val="24"/>
              </w:rPr>
            </w:pPr>
            <w:r w:rsidRPr="00AB2AD1">
              <w:rPr>
                <w:sz w:val="24"/>
              </w:rPr>
              <w:t>10.2</w:t>
            </w:r>
          </w:p>
        </w:tc>
        <w:tc>
          <w:tcPr>
            <w:tcW w:w="716" w:type="dxa"/>
          </w:tcPr>
          <w:p w:rsidR="00A62E84" w:rsidRPr="00AB2AD1" w:rsidRDefault="00A62E84" w:rsidP="00C867EC">
            <w:pPr>
              <w:rPr>
                <w:sz w:val="24"/>
              </w:rPr>
            </w:pPr>
            <w:r w:rsidRPr="00AB2AD1">
              <w:rPr>
                <w:sz w:val="24"/>
              </w:rPr>
              <w:t>15.4</w:t>
            </w:r>
          </w:p>
        </w:tc>
        <w:tc>
          <w:tcPr>
            <w:tcW w:w="1196" w:type="dxa"/>
          </w:tcPr>
          <w:p w:rsidR="00A62E84" w:rsidRPr="00AB2AD1" w:rsidRDefault="00A62E84" w:rsidP="00C867EC">
            <w:pPr>
              <w:rPr>
                <w:sz w:val="24"/>
              </w:rPr>
            </w:pPr>
            <w:r w:rsidRPr="00AB2AD1">
              <w:rPr>
                <w:sz w:val="24"/>
              </w:rPr>
              <w:t>89.0</w:t>
            </w:r>
          </w:p>
        </w:tc>
        <w:tc>
          <w:tcPr>
            <w:tcW w:w="956" w:type="dxa"/>
          </w:tcPr>
          <w:p w:rsidR="00A62E84" w:rsidRPr="00AB2AD1" w:rsidRDefault="00A62E84" w:rsidP="00C867EC">
            <w:pPr>
              <w:rPr>
                <w:sz w:val="24"/>
              </w:rPr>
            </w:pPr>
            <w:r w:rsidRPr="00AB2AD1">
              <w:rPr>
                <w:sz w:val="24"/>
              </w:rPr>
              <w:t>160.1</w:t>
            </w:r>
          </w:p>
        </w:tc>
        <w:tc>
          <w:tcPr>
            <w:tcW w:w="716" w:type="dxa"/>
          </w:tcPr>
          <w:p w:rsidR="00A62E84" w:rsidRPr="00AB2AD1" w:rsidRDefault="00A62E84" w:rsidP="00C867EC">
            <w:pPr>
              <w:rPr>
                <w:sz w:val="24"/>
              </w:rPr>
            </w:pPr>
            <w:r w:rsidRPr="00AB2AD1">
              <w:rPr>
                <w:sz w:val="24"/>
              </w:rPr>
              <w:t>249</w:t>
            </w:r>
          </w:p>
        </w:tc>
      </w:tr>
    </w:tbl>
    <w:p w:rsidR="00A62E84" w:rsidRPr="00AB2AD1" w:rsidRDefault="00A62E84" w:rsidP="00FF16E8">
      <w:pPr>
        <w:widowControl/>
        <w:spacing w:beforeLines="10" w:line="240" w:lineRule="exact"/>
        <w:ind w:leftChars="354" w:left="1829" w:hangingChars="284" w:hanging="625"/>
        <w:jc w:val="both"/>
        <w:rPr>
          <w:kern w:val="0"/>
          <w:sz w:val="20"/>
          <w:szCs w:val="28"/>
        </w:rPr>
      </w:pPr>
      <w:r w:rsidRPr="00AB2AD1">
        <w:rPr>
          <w:rFonts w:hint="eastAsia"/>
          <w:kern w:val="0"/>
          <w:sz w:val="20"/>
          <w:szCs w:val="28"/>
        </w:rPr>
        <w:t>a.</w:t>
      </w:r>
      <w:r w:rsidRPr="00AB2AD1">
        <w:rPr>
          <w:rFonts w:hint="eastAsia"/>
          <w:kern w:val="0"/>
          <w:sz w:val="20"/>
          <w:szCs w:val="28"/>
        </w:rPr>
        <w:t>修約生效日回溯自</w:t>
      </w:r>
      <w:r w:rsidRPr="00AB2AD1">
        <w:rPr>
          <w:rFonts w:hint="eastAsia"/>
          <w:kern w:val="0"/>
          <w:sz w:val="20"/>
          <w:szCs w:val="28"/>
        </w:rPr>
        <w:t>101.12.1</w:t>
      </w:r>
    </w:p>
    <w:p w:rsidR="00A62E84" w:rsidRPr="00AB2AD1" w:rsidRDefault="00A62E84" w:rsidP="00FF16E8">
      <w:pPr>
        <w:widowControl/>
        <w:spacing w:beforeLines="10" w:line="240" w:lineRule="exact"/>
        <w:ind w:leftChars="354" w:left="1829" w:hangingChars="284" w:hanging="625"/>
        <w:jc w:val="both"/>
        <w:rPr>
          <w:kern w:val="0"/>
          <w:sz w:val="20"/>
          <w:szCs w:val="28"/>
        </w:rPr>
      </w:pPr>
      <w:r w:rsidRPr="00AB2AD1">
        <w:rPr>
          <w:kern w:val="0"/>
          <w:sz w:val="20"/>
          <w:szCs w:val="28"/>
        </w:rPr>
        <w:t>註：</w:t>
      </w:r>
    </w:p>
    <w:p w:rsidR="00A62E84" w:rsidRPr="00AB2AD1" w:rsidRDefault="00A62E84" w:rsidP="00FF16E8">
      <w:pPr>
        <w:widowControl/>
        <w:spacing w:beforeLines="10" w:line="240" w:lineRule="exact"/>
        <w:ind w:leftChars="353" w:left="1357" w:rightChars="224" w:right="762" w:hangingChars="71" w:hanging="156"/>
        <w:jc w:val="both"/>
        <w:rPr>
          <w:kern w:val="0"/>
          <w:sz w:val="20"/>
          <w:szCs w:val="28"/>
        </w:rPr>
      </w:pPr>
      <w:r w:rsidRPr="00AB2AD1">
        <w:rPr>
          <w:kern w:val="0"/>
          <w:sz w:val="20"/>
          <w:szCs w:val="28"/>
        </w:rPr>
        <w:t>1.</w:t>
      </w:r>
      <w:r w:rsidRPr="00AB2AD1">
        <w:rPr>
          <w:kern w:val="0"/>
          <w:sz w:val="20"/>
          <w:szCs w:val="28"/>
        </w:rPr>
        <w:t>容量因數部分，僅適用第三階段之</w:t>
      </w:r>
      <w:r w:rsidRPr="00AB2AD1">
        <w:rPr>
          <w:kern w:val="0"/>
          <w:sz w:val="20"/>
          <w:szCs w:val="28"/>
        </w:rPr>
        <w:t>4</w:t>
      </w:r>
      <w:r w:rsidRPr="00AB2AD1">
        <w:rPr>
          <w:kern w:val="0"/>
          <w:sz w:val="20"/>
          <w:szCs w:val="28"/>
        </w:rPr>
        <w:t>家業者</w:t>
      </w:r>
      <w:r w:rsidRPr="00AB2AD1">
        <w:rPr>
          <w:rFonts w:hint="eastAsia"/>
          <w:kern w:val="0"/>
          <w:sz w:val="20"/>
          <w:szCs w:val="28"/>
        </w:rPr>
        <w:t>。</w:t>
      </w:r>
      <w:r w:rsidRPr="00AB2AD1">
        <w:rPr>
          <w:kern w:val="0"/>
          <w:sz w:val="20"/>
          <w:szCs w:val="28"/>
        </w:rPr>
        <w:t>台電公司調度超過容量因數</w:t>
      </w:r>
      <w:r w:rsidRPr="00AB2AD1">
        <w:rPr>
          <w:rFonts w:hint="eastAsia"/>
          <w:kern w:val="0"/>
          <w:sz w:val="20"/>
          <w:szCs w:val="28"/>
        </w:rPr>
        <w:t>(</w:t>
      </w:r>
      <w:r w:rsidRPr="00AB2AD1">
        <w:rPr>
          <w:kern w:val="0"/>
          <w:sz w:val="20"/>
          <w:szCs w:val="28"/>
        </w:rPr>
        <w:t>40</w:t>
      </w:r>
      <w:r w:rsidRPr="00AB2AD1">
        <w:rPr>
          <w:kern w:val="0"/>
          <w:sz w:val="20"/>
          <w:szCs w:val="28"/>
        </w:rPr>
        <w:t>％</w:t>
      </w:r>
      <w:r w:rsidRPr="00AB2AD1">
        <w:rPr>
          <w:rFonts w:hint="eastAsia"/>
          <w:kern w:val="0"/>
          <w:sz w:val="20"/>
          <w:szCs w:val="28"/>
        </w:rPr>
        <w:t>)</w:t>
      </w:r>
      <w:r w:rsidRPr="00AB2AD1">
        <w:rPr>
          <w:kern w:val="0"/>
          <w:sz w:val="20"/>
          <w:szCs w:val="28"/>
        </w:rPr>
        <w:t>時，增購電力之計價以業者實際支付之燃料費用原則</w:t>
      </w:r>
      <w:r w:rsidRPr="00AB2AD1">
        <w:rPr>
          <w:rFonts w:hint="eastAsia"/>
          <w:kern w:val="0"/>
          <w:sz w:val="20"/>
          <w:szCs w:val="28"/>
        </w:rPr>
        <w:t>。本表數據</w:t>
      </w:r>
      <w:r w:rsidRPr="00AB2AD1">
        <w:rPr>
          <w:rFonts w:hint="eastAsia"/>
          <w:kern w:val="0"/>
          <w:sz w:val="20"/>
          <w:szCs w:val="28"/>
        </w:rPr>
        <w:t>(</w:t>
      </w:r>
      <w:r w:rsidRPr="00AB2AD1">
        <w:rPr>
          <w:kern w:val="0"/>
          <w:sz w:val="20"/>
          <w:szCs w:val="28"/>
        </w:rPr>
        <w:t>可減省之</w:t>
      </w:r>
      <w:r w:rsidRPr="00AB2AD1">
        <w:rPr>
          <w:bCs/>
          <w:sz w:val="20"/>
          <w:szCs w:val="28"/>
        </w:rPr>
        <w:t>購電支出</w:t>
      </w:r>
      <w:r w:rsidRPr="00AB2AD1">
        <w:rPr>
          <w:rFonts w:hint="eastAsia"/>
          <w:bCs/>
          <w:sz w:val="20"/>
          <w:szCs w:val="28"/>
        </w:rPr>
        <w:t>)</w:t>
      </w:r>
      <w:r w:rsidRPr="00AB2AD1">
        <w:rPr>
          <w:kern w:val="0"/>
          <w:sz w:val="20"/>
          <w:szCs w:val="28"/>
        </w:rPr>
        <w:t>將隨燃料成本變動及系統需要而調整。</w:t>
      </w:r>
    </w:p>
    <w:p w:rsidR="00A62E84" w:rsidRPr="00AB2AD1" w:rsidRDefault="00A62E84" w:rsidP="00FF16E8">
      <w:pPr>
        <w:spacing w:beforeLines="10" w:line="240" w:lineRule="exact"/>
        <w:ind w:leftChars="353" w:left="1357" w:rightChars="182" w:right="619" w:hangingChars="71" w:hanging="156"/>
        <w:rPr>
          <w:sz w:val="20"/>
          <w:szCs w:val="28"/>
        </w:rPr>
      </w:pPr>
      <w:r w:rsidRPr="00AB2AD1">
        <w:rPr>
          <w:sz w:val="20"/>
          <w:szCs w:val="28"/>
        </w:rPr>
        <w:t>2.</w:t>
      </w:r>
      <w:r w:rsidRPr="00AB2AD1">
        <w:rPr>
          <w:sz w:val="20"/>
          <w:szCs w:val="28"/>
        </w:rPr>
        <w:t>資本費</w:t>
      </w:r>
      <w:r w:rsidRPr="00AB2AD1">
        <w:rPr>
          <w:kern w:val="0"/>
          <w:sz w:val="20"/>
          <w:szCs w:val="28"/>
        </w:rPr>
        <w:t>部分，適用所有</w:t>
      </w:r>
      <w:r w:rsidRPr="00AB2AD1">
        <w:rPr>
          <w:kern w:val="0"/>
          <w:sz w:val="20"/>
          <w:szCs w:val="28"/>
        </w:rPr>
        <w:t>9</w:t>
      </w:r>
      <w:r w:rsidRPr="00AB2AD1">
        <w:rPr>
          <w:kern w:val="0"/>
          <w:sz w:val="20"/>
          <w:szCs w:val="28"/>
        </w:rPr>
        <w:t>家業者</w:t>
      </w:r>
      <w:r w:rsidRPr="00AB2AD1">
        <w:rPr>
          <w:rFonts w:hint="eastAsia"/>
          <w:kern w:val="0"/>
          <w:sz w:val="20"/>
          <w:szCs w:val="28"/>
        </w:rPr>
        <w:t>，</w:t>
      </w:r>
      <w:r w:rsidRPr="00AB2AD1">
        <w:rPr>
          <w:kern w:val="0"/>
          <w:sz w:val="20"/>
          <w:szCs w:val="28"/>
        </w:rPr>
        <w:t>係指資本費隨利率浮動調整</w:t>
      </w:r>
      <w:r w:rsidRPr="00AB2AD1">
        <w:rPr>
          <w:rFonts w:hint="eastAsia"/>
          <w:kern w:val="0"/>
          <w:sz w:val="20"/>
          <w:szCs w:val="28"/>
        </w:rPr>
        <w:t>，台電</w:t>
      </w:r>
      <w:r w:rsidRPr="00AB2AD1">
        <w:rPr>
          <w:kern w:val="0"/>
          <w:sz w:val="20"/>
          <w:szCs w:val="28"/>
        </w:rPr>
        <w:t>所能減省之</w:t>
      </w:r>
      <w:r w:rsidRPr="00AB2AD1">
        <w:rPr>
          <w:bCs/>
          <w:sz w:val="20"/>
          <w:szCs w:val="28"/>
        </w:rPr>
        <w:t>購電支出</w:t>
      </w:r>
      <w:r w:rsidRPr="00AB2AD1">
        <w:rPr>
          <w:rFonts w:hint="eastAsia"/>
          <w:bCs/>
          <w:sz w:val="20"/>
          <w:szCs w:val="28"/>
        </w:rPr>
        <w:t>。</w:t>
      </w:r>
      <w:r w:rsidRPr="00AB2AD1">
        <w:rPr>
          <w:rFonts w:hint="eastAsia"/>
          <w:kern w:val="0"/>
          <w:sz w:val="20"/>
          <w:szCs w:val="28"/>
        </w:rPr>
        <w:t>本表數據</w:t>
      </w:r>
      <w:r w:rsidRPr="00AB2AD1">
        <w:rPr>
          <w:sz w:val="20"/>
          <w:szCs w:val="28"/>
        </w:rPr>
        <w:t>係按</w:t>
      </w:r>
      <w:r w:rsidRPr="00AB2AD1">
        <w:rPr>
          <w:sz w:val="20"/>
          <w:szCs w:val="28"/>
        </w:rPr>
        <w:t>100</w:t>
      </w:r>
      <w:r w:rsidRPr="00AB2AD1">
        <w:rPr>
          <w:sz w:val="20"/>
          <w:szCs w:val="28"/>
        </w:rPr>
        <w:t>年五大銀行新承做</w:t>
      </w:r>
      <w:r w:rsidRPr="00AB2AD1">
        <w:rPr>
          <w:sz w:val="20"/>
          <w:szCs w:val="28"/>
        </w:rPr>
        <w:t>(</w:t>
      </w:r>
      <w:r w:rsidRPr="00AB2AD1">
        <w:rPr>
          <w:sz w:val="20"/>
          <w:szCs w:val="28"/>
        </w:rPr>
        <w:t>資本支出</w:t>
      </w:r>
      <w:r w:rsidRPr="00AB2AD1">
        <w:rPr>
          <w:sz w:val="20"/>
          <w:szCs w:val="28"/>
        </w:rPr>
        <w:t>)</w:t>
      </w:r>
      <w:r w:rsidRPr="00AB2AD1">
        <w:rPr>
          <w:sz w:val="20"/>
          <w:szCs w:val="28"/>
        </w:rPr>
        <w:t>放款利率</w:t>
      </w:r>
      <w:r w:rsidRPr="00AB2AD1">
        <w:rPr>
          <w:rFonts w:hint="eastAsia"/>
          <w:sz w:val="20"/>
          <w:szCs w:val="28"/>
        </w:rPr>
        <w:t>(</w:t>
      </w:r>
      <w:r w:rsidRPr="00AB2AD1">
        <w:rPr>
          <w:sz w:val="20"/>
          <w:szCs w:val="28"/>
        </w:rPr>
        <w:t>2.069</w:t>
      </w:r>
      <w:r w:rsidRPr="00AB2AD1">
        <w:rPr>
          <w:sz w:val="20"/>
          <w:szCs w:val="28"/>
        </w:rPr>
        <w:t>％</w:t>
      </w:r>
      <w:r w:rsidRPr="00AB2AD1">
        <w:rPr>
          <w:rFonts w:hint="eastAsia"/>
          <w:sz w:val="20"/>
          <w:szCs w:val="28"/>
        </w:rPr>
        <w:t>)</w:t>
      </w:r>
      <w:r w:rsidRPr="00AB2AD1">
        <w:rPr>
          <w:sz w:val="20"/>
          <w:szCs w:val="28"/>
        </w:rPr>
        <w:t>預估，未來如有變動，表列數</w:t>
      </w:r>
      <w:r w:rsidRPr="00AB2AD1">
        <w:rPr>
          <w:rFonts w:hint="eastAsia"/>
          <w:sz w:val="20"/>
          <w:szCs w:val="28"/>
        </w:rPr>
        <w:t>據將</w:t>
      </w:r>
      <w:r w:rsidRPr="00AB2AD1">
        <w:rPr>
          <w:sz w:val="20"/>
          <w:szCs w:val="28"/>
        </w:rPr>
        <w:t>隨變動。</w:t>
      </w:r>
    </w:p>
    <w:p w:rsidR="00632550" w:rsidRPr="00AB2AD1" w:rsidRDefault="00632550" w:rsidP="00632550">
      <w:pPr>
        <w:pStyle w:val="3"/>
        <w:numPr>
          <w:ilvl w:val="0"/>
          <w:numId w:val="0"/>
        </w:numPr>
        <w:spacing w:line="240" w:lineRule="exact"/>
        <w:ind w:left="1395"/>
        <w:rPr>
          <w:rFonts w:hAnsi="標楷體"/>
          <w:szCs w:val="32"/>
        </w:rPr>
      </w:pPr>
    </w:p>
    <w:p w:rsidR="00F02FCA" w:rsidRPr="00AB2AD1" w:rsidRDefault="00AB2AD1" w:rsidP="00AB2AD1">
      <w:pPr>
        <w:pStyle w:val="3"/>
        <w:rPr>
          <w:rFonts w:hAnsi="標楷體"/>
          <w:szCs w:val="32"/>
        </w:rPr>
      </w:pPr>
      <w:r w:rsidRPr="00AB2AD1">
        <w:rPr>
          <w:rFonts w:hAnsi="標楷體" w:cs="標楷體" w:hint="eastAsia"/>
          <w:szCs w:val="32"/>
        </w:rPr>
        <w:t>再查</w:t>
      </w:r>
      <w:r w:rsidRPr="00373B9F">
        <w:rPr>
          <w:rFonts w:hAnsi="新細明體"/>
        </w:rPr>
        <w:t>台電公司與經濟部能源局計召開</w:t>
      </w:r>
      <w:r w:rsidRPr="00373B9F">
        <w:rPr>
          <w:rFonts w:hAnsi="新細明體" w:hint="eastAsia"/>
        </w:rPr>
        <w:t>62</w:t>
      </w:r>
      <w:r w:rsidRPr="00373B9F">
        <w:rPr>
          <w:rFonts w:hAnsi="新細明體"/>
        </w:rPr>
        <w:t>次協商會議及6次協處會議</w:t>
      </w:r>
      <w:r w:rsidRPr="00373B9F">
        <w:rPr>
          <w:rFonts w:hAnsi="新細明體" w:hint="eastAsia"/>
        </w:rPr>
        <w:t>，</w:t>
      </w:r>
      <w:r>
        <w:rPr>
          <w:rFonts w:hAnsi="新細明體" w:hint="eastAsia"/>
        </w:rPr>
        <w:t>然於</w:t>
      </w:r>
      <w:r w:rsidRPr="007E7E55">
        <w:rPr>
          <w:rFonts w:hAnsi="新細明體" w:hint="eastAsia"/>
        </w:rPr>
        <w:t>97</w:t>
      </w:r>
      <w:r w:rsidRPr="00373B9F">
        <w:rPr>
          <w:rFonts w:hAnsi="新細明體" w:hint="eastAsia"/>
        </w:rPr>
        <w:t>年9月(台電公司第1次協處會議)至101年12</w:t>
      </w:r>
      <w:r>
        <w:rPr>
          <w:rFonts w:hAnsi="新細明體" w:hint="eastAsia"/>
        </w:rPr>
        <w:t>月（</w:t>
      </w:r>
      <w:r w:rsidRPr="00373B9F">
        <w:rPr>
          <w:rFonts w:hAnsi="新細明體" w:hint="eastAsia"/>
        </w:rPr>
        <w:t>第</w:t>
      </w:r>
      <w:r>
        <w:rPr>
          <w:rFonts w:hAnsi="新細明體" w:hint="eastAsia"/>
        </w:rPr>
        <w:t>38</w:t>
      </w:r>
      <w:r w:rsidRPr="00373B9F">
        <w:rPr>
          <w:rFonts w:hAnsi="新細明體" w:hint="eastAsia"/>
        </w:rPr>
        <w:t>次協處會議</w:t>
      </w:r>
      <w:r>
        <w:rPr>
          <w:rFonts w:hAnsi="新細明體" w:hint="eastAsia"/>
        </w:rPr>
        <w:t>）</w:t>
      </w:r>
      <w:r>
        <w:rPr>
          <w:rFonts w:hAnsi="新細明體" w:hint="eastAsia"/>
        </w:rPr>
        <w:lastRenderedPageBreak/>
        <w:t>期間</w:t>
      </w:r>
      <w:r w:rsidR="00F33FF5" w:rsidRPr="00AB2AD1">
        <w:rPr>
          <w:rFonts w:hAnsi="新細明體" w:hint="eastAsia"/>
          <w:szCs w:val="32"/>
        </w:rPr>
        <w:t>，</w:t>
      </w:r>
      <w:r w:rsidR="00F33FF5" w:rsidRPr="00AB2AD1">
        <w:rPr>
          <w:rFonts w:hAnsi="新細明體" w:hint="eastAsia"/>
        </w:rPr>
        <w:t>台電公司與部能源局計召開</w:t>
      </w:r>
      <w:r w:rsidR="00DF55DD" w:rsidRPr="00AB2AD1">
        <w:rPr>
          <w:rFonts w:hAnsi="新細明體" w:hint="eastAsia"/>
        </w:rPr>
        <w:t>38</w:t>
      </w:r>
      <w:r w:rsidR="00F33FF5" w:rsidRPr="00AB2AD1">
        <w:rPr>
          <w:rFonts w:hAnsi="新細明體" w:hint="eastAsia"/>
        </w:rPr>
        <w:t>次協商</w:t>
      </w:r>
      <w:r w:rsidR="00DF55DD" w:rsidRPr="00AB2AD1">
        <w:rPr>
          <w:rFonts w:hAnsi="新細明體" w:hint="eastAsia"/>
        </w:rPr>
        <w:t>會議及6次</w:t>
      </w:r>
      <w:r w:rsidR="00F33FF5" w:rsidRPr="00AB2AD1">
        <w:rPr>
          <w:rFonts w:hAnsi="新細明體" w:hint="eastAsia"/>
        </w:rPr>
        <w:t>協處會議，而各</w:t>
      </w:r>
      <w:r w:rsidR="008B59AC" w:rsidRPr="00AB2AD1">
        <w:rPr>
          <w:rFonts w:hAnsi="新細明體" w:hint="eastAsia"/>
          <w:szCs w:val="48"/>
        </w:rPr>
        <w:t>民營發電業者</w:t>
      </w:r>
      <w:r w:rsidR="00F33FF5" w:rsidRPr="00AB2AD1">
        <w:rPr>
          <w:rFonts w:hAnsi="新細明體" w:hint="eastAsia"/>
        </w:rPr>
        <w:t>出席協商或協處會議之代表，亦多曾出席協進會</w:t>
      </w:r>
      <w:r w:rsidR="008B59AC" w:rsidRPr="00AB2AD1">
        <w:rPr>
          <w:rFonts w:hAnsi="新細明體" w:hint="eastAsia"/>
        </w:rPr>
        <w:t>聚會</w:t>
      </w:r>
      <w:r w:rsidR="00F33FF5" w:rsidRPr="00AB2AD1">
        <w:rPr>
          <w:rFonts w:hAnsi="新細明體" w:hint="eastAsia"/>
        </w:rPr>
        <w:t>之代表，且自97年下半年以來，協進會依序由森霸、星能、麥寮、長生、和平、新桃、國光、</w:t>
      </w:r>
      <w:r w:rsidR="00F33FF5" w:rsidRPr="00AB2AD1">
        <w:rPr>
          <w:rFonts w:hint="eastAsia"/>
          <w:kern w:val="2"/>
        </w:rPr>
        <w:t>嘉惠</w:t>
      </w:r>
      <w:r w:rsidR="00F33FF5" w:rsidRPr="00AB2AD1">
        <w:rPr>
          <w:rFonts w:hAnsi="新細明體" w:hint="eastAsia"/>
        </w:rPr>
        <w:t>、森霸</w:t>
      </w:r>
      <w:r w:rsidR="008B59AC" w:rsidRPr="00AB2AD1">
        <w:rPr>
          <w:rFonts w:hAnsi="新細明體" w:hint="eastAsia"/>
        </w:rPr>
        <w:t>電力公司</w:t>
      </w:r>
      <w:r w:rsidR="00F33FF5" w:rsidRPr="00AB2AD1">
        <w:rPr>
          <w:rFonts w:hAnsi="新細明體" w:hint="eastAsia"/>
        </w:rPr>
        <w:t>每半年更換輪值擔任召集人。</w:t>
      </w:r>
      <w:r w:rsidR="006038DF" w:rsidRPr="00AB2AD1">
        <w:t>101</w:t>
      </w:r>
      <w:r w:rsidR="006038DF" w:rsidRPr="00AB2AD1">
        <w:rPr>
          <w:szCs w:val="32"/>
        </w:rPr>
        <w:t>年</w:t>
      </w:r>
      <w:r w:rsidR="006038DF" w:rsidRPr="00AB2AD1">
        <w:rPr>
          <w:rFonts w:hint="eastAsia"/>
          <w:szCs w:val="32"/>
        </w:rPr>
        <w:t>9</w:t>
      </w:r>
      <w:r w:rsidR="006038DF" w:rsidRPr="00AB2AD1">
        <w:rPr>
          <w:bCs w:val="0"/>
          <w:kern w:val="2"/>
        </w:rPr>
        <w:t>月</w:t>
      </w:r>
      <w:r w:rsidR="006038DF" w:rsidRPr="00AB2AD1">
        <w:rPr>
          <w:rFonts w:hint="eastAsia"/>
          <w:bCs w:val="0"/>
          <w:kern w:val="2"/>
        </w:rPr>
        <w:t>27</w:t>
      </w:r>
      <w:r w:rsidR="007E0B67">
        <w:rPr>
          <w:rFonts w:hint="eastAsia"/>
          <w:bCs w:val="0"/>
          <w:kern w:val="2"/>
        </w:rPr>
        <w:t>日</w:t>
      </w:r>
      <w:r w:rsidR="006038DF" w:rsidRPr="00AB2AD1">
        <w:rPr>
          <w:rFonts w:hint="eastAsia"/>
          <w:bCs w:val="0"/>
          <w:kern w:val="2"/>
        </w:rPr>
        <w:t>立法院經濟委員會針對台電公司與各民營</w:t>
      </w:r>
      <w:r w:rsidR="00FC106F" w:rsidRPr="00AB2AD1">
        <w:rPr>
          <w:rFonts w:hint="eastAsia"/>
          <w:bCs w:val="0"/>
          <w:kern w:val="2"/>
        </w:rPr>
        <w:t>發電業者</w:t>
      </w:r>
      <w:r w:rsidR="006038DF" w:rsidRPr="00AB2AD1">
        <w:rPr>
          <w:rFonts w:hint="eastAsia"/>
          <w:bCs w:val="0"/>
          <w:kern w:val="2"/>
        </w:rPr>
        <w:t>協議換約破局乙事，質詢經濟部及台電公司，</w:t>
      </w:r>
      <w:r w:rsidR="00782D68" w:rsidRPr="00AB2AD1">
        <w:rPr>
          <w:rFonts w:hint="eastAsia"/>
          <w:bCs w:val="0"/>
          <w:kern w:val="2"/>
        </w:rPr>
        <w:t>並</w:t>
      </w:r>
      <w:r w:rsidR="006038DF" w:rsidRPr="00AB2AD1">
        <w:rPr>
          <w:rFonts w:hint="eastAsia"/>
          <w:bCs w:val="0"/>
          <w:kern w:val="2"/>
        </w:rPr>
        <w:t>要求公平會調查</w:t>
      </w:r>
      <w:r w:rsidR="006038DF" w:rsidRPr="00AB2AD1">
        <w:rPr>
          <w:bCs w:val="0"/>
          <w:kern w:val="2"/>
        </w:rPr>
        <w:t>9</w:t>
      </w:r>
      <w:r w:rsidR="006038DF" w:rsidRPr="00AB2AD1">
        <w:rPr>
          <w:rFonts w:hint="eastAsia"/>
          <w:bCs w:val="0"/>
          <w:kern w:val="2"/>
        </w:rPr>
        <w:t>家業者有無聯合壟斷行為，</w:t>
      </w:r>
      <w:r w:rsidR="00F33FF5" w:rsidRPr="00AB2AD1">
        <w:rPr>
          <w:rFonts w:hAnsi="新細明體" w:hint="eastAsia"/>
        </w:rPr>
        <w:t>經公平會</w:t>
      </w:r>
      <w:r w:rsidR="008B59AC" w:rsidRPr="00AB2AD1">
        <w:rPr>
          <w:rFonts w:hAnsi="新細明體" w:hint="eastAsia"/>
        </w:rPr>
        <w:t>立案調查並</w:t>
      </w:r>
      <w:r w:rsidR="00F33FF5" w:rsidRPr="00AB2AD1">
        <w:rPr>
          <w:rFonts w:hAnsi="新細明體" w:hint="eastAsia"/>
        </w:rPr>
        <w:t>彙整97年8月至101年10月3日止所掌握協進會召集27次聚會之討論議題、聚會地點、會議時間及出席名單後，發現其中21次聚會之討論主題與</w:t>
      </w:r>
      <w:r w:rsidR="00F00817" w:rsidRPr="00AB2AD1">
        <w:rPr>
          <w:rFonts w:hAnsi="新細明體" w:hint="eastAsia"/>
        </w:rPr>
        <w:t>購電費率</w:t>
      </w:r>
      <w:r w:rsidR="00F33FF5" w:rsidRPr="00AB2AD1">
        <w:rPr>
          <w:rFonts w:hAnsi="新細明體" w:hint="eastAsia"/>
        </w:rPr>
        <w:t>有關，此即公平會認定各</w:t>
      </w:r>
      <w:r w:rsidR="00F33FF5" w:rsidRPr="00AB2AD1">
        <w:rPr>
          <w:rFonts w:hint="eastAsia"/>
          <w:bCs w:val="0"/>
          <w:kern w:val="2"/>
        </w:rPr>
        <w:t>民營</w:t>
      </w:r>
      <w:r w:rsidR="00FC106F" w:rsidRPr="00AB2AD1">
        <w:rPr>
          <w:rFonts w:hint="eastAsia"/>
          <w:bCs w:val="0"/>
          <w:kern w:val="2"/>
        </w:rPr>
        <w:t>發電業者</w:t>
      </w:r>
      <w:r w:rsidR="00F33FF5" w:rsidRPr="00AB2AD1">
        <w:rPr>
          <w:rFonts w:hAnsi="新細明體" w:hint="eastAsia"/>
        </w:rPr>
        <w:t>意思聯絡之聯合行為起迄日及相關事證。</w:t>
      </w:r>
      <w:r w:rsidR="00F33FF5" w:rsidRPr="00AB2AD1">
        <w:rPr>
          <w:rFonts w:hAnsi="標楷體" w:hint="eastAsia"/>
          <w:szCs w:val="32"/>
        </w:rPr>
        <w:t>公平</w:t>
      </w:r>
      <w:r w:rsidR="00F33FF5" w:rsidRPr="00AB2AD1">
        <w:rPr>
          <w:rFonts w:hAnsi="標楷體" w:cs="標楷體" w:hint="eastAsia"/>
          <w:szCs w:val="32"/>
        </w:rPr>
        <w:t>會認為</w:t>
      </w:r>
      <w:r w:rsidR="00F33FF5" w:rsidRPr="00AB2AD1">
        <w:rPr>
          <w:rFonts w:hAnsi="標楷體" w:cs="標楷體"/>
          <w:szCs w:val="32"/>
        </w:rPr>
        <w:t>9</w:t>
      </w:r>
      <w:r w:rsidR="00F33FF5" w:rsidRPr="00AB2AD1">
        <w:rPr>
          <w:rFonts w:hAnsi="標楷體" w:cs="標楷體" w:hint="eastAsia"/>
          <w:szCs w:val="32"/>
        </w:rPr>
        <w:t>家</w:t>
      </w:r>
      <w:r w:rsidR="00FC106F" w:rsidRPr="00AB2AD1">
        <w:rPr>
          <w:rFonts w:hint="eastAsia"/>
          <w:bCs w:val="0"/>
          <w:kern w:val="2"/>
        </w:rPr>
        <w:t>發電業者</w:t>
      </w:r>
      <w:r w:rsidR="00F33FF5" w:rsidRPr="00AB2AD1">
        <w:rPr>
          <w:rFonts w:hAnsi="標楷體" w:cs="標楷體" w:hint="eastAsia"/>
          <w:szCs w:val="32"/>
        </w:rPr>
        <w:t>以各參與協進會之代表，出席參加歷次台電公司或能源局召開</w:t>
      </w:r>
      <w:r w:rsidR="008B59AC" w:rsidRPr="00AB2AD1">
        <w:rPr>
          <w:rFonts w:hAnsi="標楷體" w:cs="標楷體" w:hint="eastAsia"/>
          <w:szCs w:val="32"/>
        </w:rPr>
        <w:t>之</w:t>
      </w:r>
      <w:r w:rsidR="00F33FF5" w:rsidRPr="00AB2AD1">
        <w:rPr>
          <w:rFonts w:hAnsi="標楷體" w:cs="標楷體" w:hint="eastAsia"/>
          <w:szCs w:val="32"/>
        </w:rPr>
        <w:t>協商或協處會議等方式，彼此交換意見及分工，以達成拒絕調降</w:t>
      </w:r>
      <w:r w:rsidR="00F00817" w:rsidRPr="00AB2AD1">
        <w:rPr>
          <w:rFonts w:hAnsi="標楷體" w:cs="標楷體" w:hint="eastAsia"/>
          <w:szCs w:val="32"/>
        </w:rPr>
        <w:t>購電費率</w:t>
      </w:r>
      <w:r w:rsidR="00F33FF5" w:rsidRPr="00AB2AD1">
        <w:rPr>
          <w:rFonts w:hAnsi="標楷體" w:cs="標楷體" w:hint="eastAsia"/>
          <w:szCs w:val="32"/>
        </w:rPr>
        <w:t>之目的，顯以意思聯絡方式，約束各</w:t>
      </w:r>
      <w:r w:rsidR="00F33FF5" w:rsidRPr="00AB2AD1">
        <w:rPr>
          <w:rFonts w:hint="eastAsia"/>
          <w:bCs w:val="0"/>
          <w:kern w:val="2"/>
        </w:rPr>
        <w:t>業者</w:t>
      </w:r>
      <w:r w:rsidR="00F33FF5" w:rsidRPr="00AB2AD1">
        <w:rPr>
          <w:rFonts w:hAnsi="標楷體" w:cs="標楷體" w:hint="eastAsia"/>
          <w:szCs w:val="32"/>
        </w:rPr>
        <w:t>與台電公司自由調整價格，且足以影響發電市場之市場功能，為</w:t>
      </w:r>
      <w:r w:rsidR="00F33FF5" w:rsidRPr="00AB2AD1">
        <w:rPr>
          <w:rFonts w:hAnsi="標楷體" w:cs="標楷體"/>
          <w:szCs w:val="32"/>
        </w:rPr>
        <w:t>「</w:t>
      </w:r>
      <w:r w:rsidR="00F33FF5" w:rsidRPr="00AB2AD1">
        <w:rPr>
          <w:rFonts w:hAnsi="標楷體" w:cs="標楷體" w:hint="eastAsia"/>
          <w:szCs w:val="32"/>
        </w:rPr>
        <w:t>公平交易法</w:t>
      </w:r>
      <w:r w:rsidR="00F33FF5" w:rsidRPr="00AB2AD1">
        <w:rPr>
          <w:rFonts w:hAnsi="標楷體" w:cs="標楷體"/>
          <w:szCs w:val="32"/>
        </w:rPr>
        <w:t>」</w:t>
      </w:r>
      <w:r w:rsidR="00F33FF5" w:rsidRPr="00AB2AD1">
        <w:rPr>
          <w:rFonts w:hAnsi="標楷體" w:cs="標楷體" w:hint="eastAsia"/>
          <w:szCs w:val="32"/>
        </w:rPr>
        <w:t>稱之聯合行為。公平會爰依</w:t>
      </w:r>
      <w:r w:rsidR="00F33FF5" w:rsidRPr="00AB2AD1">
        <w:rPr>
          <w:rFonts w:hAnsi="標楷體" w:cs="標楷體"/>
          <w:szCs w:val="32"/>
        </w:rPr>
        <w:t>「</w:t>
      </w:r>
      <w:r w:rsidR="00F33FF5" w:rsidRPr="00AB2AD1">
        <w:rPr>
          <w:rFonts w:hAnsi="標楷體" w:cs="標楷體" w:hint="eastAsia"/>
          <w:szCs w:val="32"/>
        </w:rPr>
        <w:t>公平交易法</w:t>
      </w:r>
      <w:r w:rsidR="00F33FF5" w:rsidRPr="00AB2AD1">
        <w:rPr>
          <w:rFonts w:hAnsi="標楷體" w:cs="標楷體"/>
          <w:szCs w:val="32"/>
        </w:rPr>
        <w:t>」</w:t>
      </w:r>
      <w:r w:rsidR="00F33FF5" w:rsidRPr="00AB2AD1">
        <w:rPr>
          <w:rFonts w:hAnsi="標楷體" w:cs="標楷體" w:hint="eastAsia"/>
          <w:szCs w:val="32"/>
        </w:rPr>
        <w:t>第</w:t>
      </w:r>
      <w:r w:rsidR="00F33FF5" w:rsidRPr="00AB2AD1">
        <w:rPr>
          <w:rFonts w:hAnsi="標楷體" w:cs="標楷體"/>
          <w:szCs w:val="32"/>
        </w:rPr>
        <w:t>41</w:t>
      </w:r>
      <w:r w:rsidR="00F33FF5" w:rsidRPr="00AB2AD1">
        <w:rPr>
          <w:rFonts w:hAnsi="標楷體" w:cs="標楷體" w:hint="eastAsia"/>
          <w:szCs w:val="32"/>
        </w:rPr>
        <w:t>條第</w:t>
      </w:r>
      <w:r w:rsidR="00F33FF5" w:rsidRPr="00AB2AD1">
        <w:rPr>
          <w:rFonts w:hAnsi="標楷體" w:cs="標楷體"/>
          <w:szCs w:val="32"/>
        </w:rPr>
        <w:t>2</w:t>
      </w:r>
      <w:r w:rsidR="00F33FF5" w:rsidRPr="00AB2AD1">
        <w:rPr>
          <w:rFonts w:hAnsi="標楷體" w:cs="標楷體" w:hint="eastAsia"/>
          <w:szCs w:val="32"/>
        </w:rPr>
        <w:t>項，得對違法事業處上一會計年度銷售金額百分之十以下罰鍰，經</w:t>
      </w:r>
      <w:r w:rsidR="008B59AC" w:rsidRPr="00AB2AD1">
        <w:rPr>
          <w:rFonts w:hAnsi="標楷體" w:cs="標楷體" w:hint="eastAsia"/>
          <w:szCs w:val="32"/>
        </w:rPr>
        <w:t>該會</w:t>
      </w:r>
      <w:r w:rsidR="00F33FF5" w:rsidRPr="00AB2AD1">
        <w:rPr>
          <w:rFonts w:hAnsi="標楷體" w:cs="標楷體" w:hint="eastAsia"/>
          <w:szCs w:val="32"/>
        </w:rPr>
        <w:t>考量各</w:t>
      </w:r>
      <w:r w:rsidR="008B59AC" w:rsidRPr="00AB2AD1">
        <w:rPr>
          <w:rFonts w:hAnsi="標楷體" w:cs="標楷體" w:hint="eastAsia"/>
          <w:szCs w:val="32"/>
        </w:rPr>
        <w:t>業者</w:t>
      </w:r>
      <w:r w:rsidR="00F33FF5" w:rsidRPr="00AB2AD1">
        <w:rPr>
          <w:rFonts w:hAnsi="標楷體" w:cs="標楷體" w:hint="eastAsia"/>
          <w:szCs w:val="32"/>
        </w:rPr>
        <w:t>之市場地位、危害市場程度、已為損害之補救措施、</w:t>
      </w:r>
      <w:r w:rsidR="008B59AC" w:rsidRPr="00AB2AD1">
        <w:rPr>
          <w:rFonts w:hAnsi="標楷體" w:cs="標楷體" w:hint="eastAsia"/>
          <w:szCs w:val="32"/>
        </w:rPr>
        <w:t>營業額等因素斟酌罰鍰額度外，同時對於配合提供較完整</w:t>
      </w:r>
      <w:r w:rsidR="00F33FF5" w:rsidRPr="00AB2AD1">
        <w:rPr>
          <w:rFonts w:hAnsi="標楷體" w:cs="標楷體" w:hint="eastAsia"/>
          <w:szCs w:val="32"/>
        </w:rPr>
        <w:t>資</w:t>
      </w:r>
      <w:r w:rsidR="008B59AC" w:rsidRPr="00AB2AD1">
        <w:rPr>
          <w:rFonts w:hAnsi="標楷體" w:cs="標楷體" w:hint="eastAsia"/>
          <w:szCs w:val="32"/>
        </w:rPr>
        <w:t>料</w:t>
      </w:r>
      <w:r w:rsidR="00F33FF5" w:rsidRPr="00AB2AD1">
        <w:rPr>
          <w:rFonts w:hAnsi="標楷體" w:cs="標楷體" w:hint="eastAsia"/>
          <w:szCs w:val="32"/>
        </w:rPr>
        <w:t>或陳述內容有利於案情突破者，依配合程度減輕罰鍰，</w:t>
      </w:r>
      <w:r w:rsidR="00F04213" w:rsidRPr="00AB2AD1">
        <w:rPr>
          <w:rFonts w:hAnsi="標楷體" w:cs="標楷體" w:hint="eastAsia"/>
          <w:szCs w:val="32"/>
        </w:rPr>
        <w:t>於</w:t>
      </w:r>
      <w:r w:rsidR="00F04213" w:rsidRPr="00AB2AD1">
        <w:rPr>
          <w:rFonts w:hAnsi="標楷體" w:hint="eastAsia"/>
          <w:szCs w:val="32"/>
        </w:rPr>
        <w:t>102年3月15日完成公處字第</w:t>
      </w:r>
      <w:r w:rsidR="00F04213" w:rsidRPr="00AB2AD1">
        <w:rPr>
          <w:rFonts w:hAnsi="標楷體"/>
          <w:szCs w:val="32"/>
        </w:rPr>
        <w:t>102035號</w:t>
      </w:r>
      <w:r w:rsidR="00F04213" w:rsidRPr="00AB2AD1">
        <w:rPr>
          <w:rFonts w:hAnsi="標楷體" w:hint="eastAsia"/>
          <w:szCs w:val="32"/>
        </w:rPr>
        <w:t>處分書，</w:t>
      </w:r>
      <w:r w:rsidR="00F33FF5" w:rsidRPr="00AB2AD1">
        <w:rPr>
          <w:rFonts w:hAnsi="標楷體" w:cs="標楷體" w:hint="eastAsia"/>
          <w:szCs w:val="32"/>
        </w:rPr>
        <w:t>9家</w:t>
      </w:r>
      <w:r w:rsidR="00F04213" w:rsidRPr="00AB2AD1">
        <w:rPr>
          <w:rFonts w:hAnsi="標楷體" w:cs="標楷體" w:hint="eastAsia"/>
          <w:szCs w:val="32"/>
        </w:rPr>
        <w:t>業者</w:t>
      </w:r>
      <w:r w:rsidR="00F33FF5" w:rsidRPr="00AB2AD1">
        <w:rPr>
          <w:rFonts w:hAnsi="標楷體" w:cs="標楷體" w:hint="eastAsia"/>
          <w:szCs w:val="32"/>
        </w:rPr>
        <w:t>之總罰鍰金額高達</w:t>
      </w:r>
      <w:r w:rsidR="00F33FF5" w:rsidRPr="00AB2AD1">
        <w:rPr>
          <w:rFonts w:hAnsi="標楷體" w:cs="標楷體"/>
          <w:szCs w:val="32"/>
        </w:rPr>
        <w:t>63</w:t>
      </w:r>
      <w:r w:rsidR="00F33FF5" w:rsidRPr="00AB2AD1">
        <w:rPr>
          <w:rFonts w:hAnsi="標楷體" w:cs="標楷體" w:hint="eastAsia"/>
          <w:szCs w:val="32"/>
        </w:rPr>
        <w:t>.2億元</w:t>
      </w:r>
      <w:r w:rsidR="00F04213" w:rsidRPr="00AB2AD1">
        <w:rPr>
          <w:rFonts w:hAnsi="標楷體" w:cs="標楷體" w:hint="eastAsia"/>
          <w:szCs w:val="32"/>
        </w:rPr>
        <w:t>(麥寮、和平、長生、新桃、森霸、星能、國光、嘉惠、星元各遭罰</w:t>
      </w:r>
      <w:r w:rsidR="00F04213" w:rsidRPr="00AB2AD1">
        <w:rPr>
          <w:rFonts w:hAnsi="標楷體" w:cs="標楷體"/>
          <w:szCs w:val="32"/>
        </w:rPr>
        <w:t>18</w:t>
      </w:r>
      <w:r w:rsidR="00F04213" w:rsidRPr="00AB2AD1">
        <w:rPr>
          <w:rFonts w:hAnsi="標楷體" w:cs="標楷體" w:hint="eastAsia"/>
          <w:szCs w:val="32"/>
        </w:rPr>
        <w:t>.5、13.5、6.4、5.8、5.3、4.3、4.1、4、1.3</w:t>
      </w:r>
      <w:r w:rsidR="00F04213" w:rsidRPr="00AB2AD1">
        <w:rPr>
          <w:rFonts w:hAnsi="標楷體" w:cs="標楷體" w:hint="eastAsia"/>
          <w:szCs w:val="32"/>
        </w:rPr>
        <w:lastRenderedPageBreak/>
        <w:t>億元)</w:t>
      </w:r>
      <w:r w:rsidR="00F33FF5" w:rsidRPr="00AB2AD1">
        <w:rPr>
          <w:rFonts w:hAnsi="標楷體" w:cs="標楷體" w:hint="eastAsia"/>
          <w:szCs w:val="32"/>
        </w:rPr>
        <w:t>，創下</w:t>
      </w:r>
      <w:r w:rsidR="008B59AC" w:rsidRPr="00AB2AD1">
        <w:rPr>
          <w:rFonts w:hAnsi="標楷體" w:cs="標楷體" w:hint="eastAsia"/>
          <w:szCs w:val="32"/>
        </w:rPr>
        <w:t>公平</w:t>
      </w:r>
      <w:r w:rsidR="00F33FF5" w:rsidRPr="00AB2AD1">
        <w:rPr>
          <w:rFonts w:hAnsi="標楷體" w:cs="標楷體" w:hint="eastAsia"/>
          <w:szCs w:val="32"/>
        </w:rPr>
        <w:t>會對於單一聯合行為案件罰鍰總額之最高紀錄。</w:t>
      </w:r>
      <w:r w:rsidR="00F04213" w:rsidRPr="00AB2AD1">
        <w:t>9</w:t>
      </w:r>
      <w:r w:rsidR="00F04213" w:rsidRPr="00AB2AD1">
        <w:rPr>
          <w:rFonts w:hint="eastAsia"/>
        </w:rPr>
        <w:t>家</w:t>
      </w:r>
      <w:r w:rsidR="00F04213" w:rsidRPr="00AB2AD1">
        <w:rPr>
          <w:rFonts w:hAnsi="標楷體" w:cs="標楷體" w:hint="eastAsia"/>
          <w:szCs w:val="32"/>
        </w:rPr>
        <w:t>業者</w:t>
      </w:r>
      <w:r w:rsidR="00F04213" w:rsidRPr="00AB2AD1">
        <w:rPr>
          <w:rFonts w:hAnsi="標楷體" w:cs="Arial Unicode MS" w:hint="eastAsia"/>
        </w:rPr>
        <w:t>除</w:t>
      </w:r>
      <w:r w:rsidR="00F04213" w:rsidRPr="00AB2AD1">
        <w:rPr>
          <w:rFonts w:hint="eastAsia"/>
        </w:rPr>
        <w:t>向</w:t>
      </w:r>
      <w:r w:rsidR="00F04213" w:rsidRPr="00AB2AD1">
        <w:rPr>
          <w:rFonts w:hAnsi="新細明體" w:hint="eastAsia"/>
        </w:rPr>
        <w:t>公</w:t>
      </w:r>
      <w:r w:rsidR="00F04213" w:rsidRPr="00AB2AD1">
        <w:rPr>
          <w:rFonts w:hAnsi="標楷體" w:hint="eastAsia"/>
        </w:rPr>
        <w:t>平</w:t>
      </w:r>
      <w:r w:rsidR="00F04213" w:rsidRPr="00AB2AD1">
        <w:rPr>
          <w:rFonts w:hint="eastAsia"/>
        </w:rPr>
        <w:t>會申請分期繳納罰鍰(</w:t>
      </w:r>
      <w:r w:rsidR="00F04213" w:rsidRPr="00AB2AD1">
        <w:t>5</w:t>
      </w:r>
      <w:r w:rsidR="00F04213" w:rsidRPr="00AB2AD1">
        <w:rPr>
          <w:rFonts w:hint="eastAsia"/>
        </w:rPr>
        <w:t>年分</w:t>
      </w:r>
      <w:r w:rsidR="00F04213" w:rsidRPr="00AB2AD1">
        <w:t>60</w:t>
      </w:r>
      <w:r w:rsidR="00F04213" w:rsidRPr="00AB2AD1">
        <w:rPr>
          <w:rFonts w:hint="eastAsia"/>
        </w:rPr>
        <w:t>期)外，並向行政院提起訴願</w:t>
      </w:r>
      <w:r w:rsidR="008B59AC" w:rsidRPr="00AB2AD1">
        <w:rPr>
          <w:rFonts w:hint="eastAsia"/>
        </w:rPr>
        <w:t>；</w:t>
      </w:r>
      <w:r w:rsidR="00926370" w:rsidRPr="00AB2AD1">
        <w:rPr>
          <w:rFonts w:hAnsi="新細明體" w:hint="eastAsia"/>
        </w:rPr>
        <w:t>102年9月16日</w:t>
      </w:r>
      <w:r w:rsidR="00926370" w:rsidRPr="00AB2AD1">
        <w:rPr>
          <w:rFonts w:hint="eastAsia"/>
        </w:rPr>
        <w:t>行政院</w:t>
      </w:r>
      <w:r w:rsidR="00926370" w:rsidRPr="00AB2AD1">
        <w:rPr>
          <w:rFonts w:hAnsi="標楷體" w:cs="新細明體"/>
          <w:szCs w:val="32"/>
        </w:rPr>
        <w:t>訴願審議委員會決定</w:t>
      </w:r>
      <w:r w:rsidR="00926370" w:rsidRPr="00AB2AD1">
        <w:rPr>
          <w:rFonts w:hAnsi="標楷體" w:cs="新細明體" w:hint="eastAsia"/>
          <w:szCs w:val="32"/>
        </w:rPr>
        <w:t>：「</w:t>
      </w:r>
      <w:r w:rsidR="00926370" w:rsidRPr="00AB2AD1">
        <w:rPr>
          <w:rFonts w:hAnsi="標楷體" w:cs="新細明體"/>
          <w:szCs w:val="32"/>
        </w:rPr>
        <w:t>原處分關於訴願人罰鍰部分撤銷，由原處分機關於2個月內另為適法之處分。</w:t>
      </w:r>
      <w:r w:rsidR="00926370" w:rsidRPr="00AB2AD1">
        <w:rPr>
          <w:rFonts w:hAnsi="標楷體" w:cs="新細明體" w:hint="eastAsia"/>
          <w:szCs w:val="32"/>
        </w:rPr>
        <w:t>」</w:t>
      </w:r>
      <w:r w:rsidR="00782D68" w:rsidRPr="00AB2AD1">
        <w:rPr>
          <w:rFonts w:hAnsi="標楷體" w:cs="新細明體" w:hint="eastAsia"/>
          <w:szCs w:val="32"/>
        </w:rPr>
        <w:t>該</w:t>
      </w:r>
      <w:r w:rsidR="00782D68" w:rsidRPr="00AB2AD1">
        <w:rPr>
          <w:rFonts w:hAnsi="標楷體" w:cs="新細明體"/>
          <w:szCs w:val="32"/>
        </w:rPr>
        <w:t>訴願審議委員會</w:t>
      </w:r>
      <w:r w:rsidR="00782D68" w:rsidRPr="00AB2AD1">
        <w:rPr>
          <w:rFonts w:hAnsi="標楷體" w:cs="新細明體" w:hint="eastAsia"/>
          <w:szCs w:val="32"/>
        </w:rPr>
        <w:t>主要認為公平會</w:t>
      </w:r>
      <w:r w:rsidR="00782D68" w:rsidRPr="00AB2AD1">
        <w:rPr>
          <w:rFonts w:hAnsi="標楷體" w:cs="新細明體"/>
          <w:szCs w:val="32"/>
        </w:rPr>
        <w:t>未說明基本數額何以依99年至101年銷售金額30</w:t>
      </w:r>
      <w:r w:rsidR="008B59AC" w:rsidRPr="00AB2AD1">
        <w:rPr>
          <w:rFonts w:hint="eastAsia"/>
        </w:rPr>
        <w:t>％</w:t>
      </w:r>
      <w:r w:rsidR="00782D68" w:rsidRPr="00AB2AD1">
        <w:rPr>
          <w:rFonts w:hAnsi="標楷體" w:cs="新細明體"/>
          <w:szCs w:val="32"/>
        </w:rPr>
        <w:t>計算</w:t>
      </w:r>
      <w:r w:rsidR="00782D68" w:rsidRPr="00AB2AD1">
        <w:rPr>
          <w:rFonts w:hAnsi="標楷體" w:cs="新細明體" w:hint="eastAsia"/>
          <w:szCs w:val="32"/>
        </w:rPr>
        <w:t>、所稱</w:t>
      </w:r>
      <w:r w:rsidR="00782D68" w:rsidRPr="00AB2AD1">
        <w:rPr>
          <w:rFonts w:hAnsi="標楷體" w:cs="新細明體"/>
          <w:szCs w:val="32"/>
        </w:rPr>
        <w:t>未調降容量費率致台電公司損失</w:t>
      </w:r>
      <w:r w:rsidR="00782D68" w:rsidRPr="00AB2AD1">
        <w:rPr>
          <w:rFonts w:hAnsi="標楷體" w:cs="新細明體" w:hint="eastAsia"/>
          <w:szCs w:val="32"/>
        </w:rPr>
        <w:t>金額</w:t>
      </w:r>
      <w:r w:rsidR="00782D68" w:rsidRPr="00AB2AD1">
        <w:rPr>
          <w:rFonts w:hAnsi="標楷體" w:cs="新細明體"/>
          <w:szCs w:val="32"/>
        </w:rPr>
        <w:t>並無具體數據可稽</w:t>
      </w:r>
      <w:r w:rsidR="00782D68" w:rsidRPr="00AB2AD1">
        <w:rPr>
          <w:rFonts w:hAnsi="標楷體" w:cs="新細明體" w:hint="eastAsia"/>
          <w:szCs w:val="32"/>
        </w:rPr>
        <w:t>、</w:t>
      </w:r>
      <w:r w:rsidR="00782D68" w:rsidRPr="00AB2AD1">
        <w:rPr>
          <w:rFonts w:hAnsi="標楷體" w:cs="新細明體"/>
          <w:szCs w:val="32"/>
        </w:rPr>
        <w:t>僅計算受處分</w:t>
      </w:r>
      <w:r w:rsidR="00782D68" w:rsidRPr="00AB2AD1">
        <w:rPr>
          <w:rFonts w:hAnsi="標楷體" w:cs="新細明體" w:hint="eastAsia"/>
          <w:szCs w:val="32"/>
        </w:rPr>
        <w:t>業者</w:t>
      </w:r>
      <w:r w:rsidR="00782D68" w:rsidRPr="00AB2AD1">
        <w:rPr>
          <w:rFonts w:hAnsi="標楷體" w:cs="新細明體"/>
          <w:szCs w:val="32"/>
        </w:rPr>
        <w:t>之法定最高裁罰上限即逕依固定百分比裁處鉅額罰鍰</w:t>
      </w:r>
      <w:r w:rsidR="00782D68" w:rsidRPr="00AB2AD1">
        <w:rPr>
          <w:rFonts w:hAnsi="標楷體" w:cs="新細明體" w:hint="eastAsia"/>
          <w:szCs w:val="32"/>
        </w:rPr>
        <w:t>、</w:t>
      </w:r>
      <w:r w:rsidR="00782D68" w:rsidRPr="00AB2AD1">
        <w:rPr>
          <w:rFonts w:hAnsi="標楷體" w:cs="新細明體"/>
          <w:szCs w:val="32"/>
        </w:rPr>
        <w:t>未論明相同可責性行為卻差別論罰之具體理由</w:t>
      </w:r>
      <w:r w:rsidR="00782D68" w:rsidRPr="00AB2AD1">
        <w:rPr>
          <w:rFonts w:hAnsi="標楷體" w:cs="新細明體" w:hint="eastAsia"/>
          <w:szCs w:val="32"/>
        </w:rPr>
        <w:t>等，</w:t>
      </w:r>
      <w:r w:rsidR="00782D68" w:rsidRPr="00AB2AD1">
        <w:rPr>
          <w:rFonts w:hAnsi="標楷體" w:cs="新細明體"/>
          <w:szCs w:val="32"/>
        </w:rPr>
        <w:t>本件訴願為部分有理由，部分無理由</w:t>
      </w:r>
      <w:r w:rsidR="00782D68" w:rsidRPr="00AB2AD1">
        <w:rPr>
          <w:rFonts w:hAnsi="標楷體" w:cs="新細明體" w:hint="eastAsia"/>
          <w:szCs w:val="32"/>
        </w:rPr>
        <w:t>，而</w:t>
      </w:r>
      <w:r w:rsidR="00782D68" w:rsidRPr="00AB2AD1">
        <w:rPr>
          <w:rFonts w:hAnsi="標楷體" w:cs="新細明體"/>
          <w:szCs w:val="32"/>
        </w:rPr>
        <w:t>撤銷</w:t>
      </w:r>
      <w:r w:rsidR="00782D68" w:rsidRPr="00AB2AD1">
        <w:rPr>
          <w:rFonts w:hAnsi="標楷體" w:cs="新細明體" w:hint="eastAsia"/>
          <w:szCs w:val="32"/>
        </w:rPr>
        <w:t>公平會</w:t>
      </w:r>
      <w:r w:rsidR="00782D68" w:rsidRPr="00AB2AD1">
        <w:rPr>
          <w:rFonts w:hAnsi="標楷體" w:cs="新細明體"/>
          <w:szCs w:val="32"/>
        </w:rPr>
        <w:t>關於</w:t>
      </w:r>
      <w:r w:rsidR="00782D68" w:rsidRPr="00AB2AD1">
        <w:t>9</w:t>
      </w:r>
      <w:r w:rsidR="00782D68" w:rsidRPr="00AB2AD1">
        <w:rPr>
          <w:rFonts w:hint="eastAsia"/>
        </w:rPr>
        <w:t>家</w:t>
      </w:r>
      <w:r w:rsidR="00782D68" w:rsidRPr="00AB2AD1">
        <w:rPr>
          <w:rFonts w:hAnsi="標楷體" w:cs="標楷體" w:hint="eastAsia"/>
          <w:szCs w:val="32"/>
        </w:rPr>
        <w:t>業者之</w:t>
      </w:r>
      <w:r w:rsidR="00782D68" w:rsidRPr="00AB2AD1">
        <w:rPr>
          <w:rFonts w:hAnsi="標楷體" w:cs="新細明體"/>
          <w:szCs w:val="32"/>
        </w:rPr>
        <w:t>罰鍰</w:t>
      </w:r>
      <w:r w:rsidR="00782D68" w:rsidRPr="00AB2AD1">
        <w:rPr>
          <w:rFonts w:hAnsi="標楷體" w:cs="新細明體" w:hint="eastAsia"/>
          <w:szCs w:val="32"/>
        </w:rPr>
        <w:t>，並</w:t>
      </w:r>
      <w:r w:rsidR="00782D68" w:rsidRPr="00AB2AD1">
        <w:rPr>
          <w:rFonts w:hAnsi="標楷體" w:cs="新細明體"/>
          <w:szCs w:val="32"/>
        </w:rPr>
        <w:t>由</w:t>
      </w:r>
      <w:r w:rsidR="00782D68" w:rsidRPr="00AB2AD1">
        <w:rPr>
          <w:rFonts w:hAnsi="標楷體" w:cs="新細明體" w:hint="eastAsia"/>
          <w:szCs w:val="32"/>
        </w:rPr>
        <w:t>公平會</w:t>
      </w:r>
      <w:r w:rsidR="00782D68" w:rsidRPr="00AB2AD1">
        <w:rPr>
          <w:rFonts w:hAnsi="標楷體" w:cs="新細明體"/>
          <w:szCs w:val="32"/>
        </w:rPr>
        <w:t>於2個月內另為適法之</w:t>
      </w:r>
      <w:r w:rsidR="00782D68" w:rsidRPr="00AB2AD1">
        <w:rPr>
          <w:rFonts w:hAnsi="標楷體"/>
          <w:szCs w:val="32"/>
        </w:rPr>
        <w:t>處分。</w:t>
      </w:r>
      <w:r w:rsidR="00224EA9" w:rsidRPr="00AB2AD1">
        <w:rPr>
          <w:rFonts w:hAnsi="標楷體" w:hint="eastAsia"/>
          <w:szCs w:val="32"/>
        </w:rPr>
        <w:t>經公平會於102年11月5日</w:t>
      </w:r>
      <w:hyperlink r:id="rId7" w:history="1">
        <w:r w:rsidR="00224EA9" w:rsidRPr="00AB2AD1">
          <w:rPr>
            <w:rFonts w:hAnsi="標楷體"/>
            <w:szCs w:val="32"/>
          </w:rPr>
          <w:t>重為適法處分</w:t>
        </w:r>
        <w:r w:rsidR="00224EA9" w:rsidRPr="00AB2AD1">
          <w:rPr>
            <w:rFonts w:hAnsi="標楷體" w:hint="eastAsia"/>
            <w:szCs w:val="32"/>
          </w:rPr>
          <w:t>，</w:t>
        </w:r>
        <w:r w:rsidR="00224EA9" w:rsidRPr="00AB2AD1">
          <w:rPr>
            <w:rFonts w:hAnsi="標楷體"/>
            <w:szCs w:val="32"/>
          </w:rPr>
          <w:t>總計併處60億5,000萬元罰鍰</w:t>
        </w:r>
      </w:hyperlink>
      <w:r w:rsidR="00224EA9" w:rsidRPr="00AB2AD1">
        <w:rPr>
          <w:rFonts w:hAnsi="標楷體" w:hint="eastAsia"/>
          <w:szCs w:val="32"/>
        </w:rPr>
        <w:t>(所有民營電廠各酌減3,000萬罰鍰)。</w:t>
      </w:r>
    </w:p>
    <w:p w:rsidR="00DC1E25" w:rsidRPr="00AB2AD1" w:rsidRDefault="008B59AC" w:rsidP="00224EA9">
      <w:pPr>
        <w:pStyle w:val="3"/>
        <w:rPr>
          <w:rFonts w:hAnsi="標楷體"/>
          <w:szCs w:val="32"/>
        </w:rPr>
      </w:pPr>
      <w:r w:rsidRPr="00AB2AD1">
        <w:rPr>
          <w:rFonts w:hint="eastAsia"/>
        </w:rPr>
        <w:t>又</w:t>
      </w:r>
      <w:r w:rsidR="009D3C98" w:rsidRPr="00AB2AD1">
        <w:rPr>
          <w:rFonts w:hint="eastAsia"/>
        </w:rPr>
        <w:t>本院計掌握</w:t>
      </w:r>
      <w:r w:rsidR="003300CF" w:rsidRPr="00AB2AD1">
        <w:rPr>
          <w:rFonts w:hint="eastAsia"/>
        </w:rPr>
        <w:t>民營發電業者</w:t>
      </w:r>
      <w:r w:rsidR="009D3C98" w:rsidRPr="00AB2AD1">
        <w:rPr>
          <w:rFonts w:hint="eastAsia"/>
        </w:rPr>
        <w:t>成立協進會後之43次聚會</w:t>
      </w:r>
      <w:r w:rsidR="003300CF" w:rsidRPr="00AB2AD1">
        <w:rPr>
          <w:rFonts w:hint="eastAsia"/>
        </w:rPr>
        <w:t>會議</w:t>
      </w:r>
      <w:r w:rsidR="009D3C98" w:rsidRPr="00AB2AD1">
        <w:rPr>
          <w:rFonts w:hint="eastAsia"/>
        </w:rPr>
        <w:t>資料（95年3月17日通過協進會章程，並召開協進會第1次會議)，</w:t>
      </w:r>
      <w:r w:rsidR="00DC1E25" w:rsidRPr="00AB2AD1">
        <w:rPr>
          <w:rFonts w:hint="eastAsia"/>
        </w:rPr>
        <w:t>前開各民營</w:t>
      </w:r>
      <w:r w:rsidR="00FC106F" w:rsidRPr="00AB2AD1">
        <w:rPr>
          <w:rFonts w:hint="eastAsia"/>
        </w:rPr>
        <w:t>發電業者</w:t>
      </w:r>
      <w:r w:rsidR="003300CF" w:rsidRPr="00AB2AD1">
        <w:rPr>
          <w:rFonts w:hint="eastAsia"/>
        </w:rPr>
        <w:t>代表於</w:t>
      </w:r>
      <w:r w:rsidR="00DC1E25" w:rsidRPr="00AB2AD1">
        <w:rPr>
          <w:rFonts w:hint="eastAsia"/>
        </w:rPr>
        <w:t>協進會所</w:t>
      </w:r>
      <w:r w:rsidR="00DC1E25" w:rsidRPr="00AB2AD1">
        <w:rPr>
          <w:rFonts w:hAnsi="標楷體" w:hint="eastAsia"/>
          <w:szCs w:val="32"/>
        </w:rPr>
        <w:t>召開之歷次會議</w:t>
      </w:r>
      <w:r w:rsidR="003300CF" w:rsidRPr="00AB2AD1">
        <w:rPr>
          <w:rFonts w:hAnsi="標楷體" w:hint="eastAsia"/>
          <w:szCs w:val="32"/>
        </w:rPr>
        <w:t>中</w:t>
      </w:r>
      <w:r w:rsidR="00DC1E25" w:rsidRPr="00AB2AD1">
        <w:rPr>
          <w:rFonts w:hAnsi="標楷體" w:hint="eastAsia"/>
          <w:szCs w:val="32"/>
        </w:rPr>
        <w:t>，</w:t>
      </w:r>
      <w:r w:rsidR="003300CF" w:rsidRPr="00AB2AD1">
        <w:rPr>
          <w:rFonts w:hAnsi="標楷體" w:hint="eastAsia"/>
          <w:szCs w:val="32"/>
        </w:rPr>
        <w:t>其</w:t>
      </w:r>
      <w:r w:rsidR="00DC1E25" w:rsidRPr="00AB2AD1">
        <w:rPr>
          <w:rFonts w:hAnsi="標楷體" w:hint="eastAsia"/>
          <w:szCs w:val="32"/>
        </w:rPr>
        <w:t>出席代表包含：</w:t>
      </w:r>
      <w:r w:rsidR="009D3C98" w:rsidRPr="00AB2AD1">
        <w:rPr>
          <w:rFonts w:hint="eastAsia"/>
        </w:rPr>
        <w:t>「</w:t>
      </w:r>
      <w:r w:rsidR="00DC1E25" w:rsidRPr="00AB2AD1">
        <w:rPr>
          <w:rFonts w:hAnsi="標楷體" w:hint="eastAsia"/>
          <w:szCs w:val="32"/>
        </w:rPr>
        <w:t>台電副總經理轉任之星能董事長、台汽電副總經理兼任之星能總經理、</w:t>
      </w:r>
      <w:r w:rsidR="003300CF" w:rsidRPr="00AB2AD1">
        <w:rPr>
          <w:rFonts w:hAnsi="標楷體" w:hint="eastAsia"/>
          <w:szCs w:val="32"/>
        </w:rPr>
        <w:t>台汽電總經理兼任之森霸董事長、台電電源開發處副處長轉任之森霸</w:t>
      </w:r>
      <w:r w:rsidR="00DC1E25" w:rsidRPr="00AB2AD1">
        <w:rPr>
          <w:rFonts w:hAnsi="標楷體" w:hint="eastAsia"/>
          <w:szCs w:val="32"/>
        </w:rPr>
        <w:t>總經理、曾任台電總經理及董事長與台汽電公司獨立董事轉任之星元董事長，以及由台汽電人員兼任其轉投資</w:t>
      </w:r>
      <w:r w:rsidR="00FC106F" w:rsidRPr="00AB2AD1">
        <w:rPr>
          <w:rFonts w:hAnsi="標楷體" w:hint="eastAsia"/>
          <w:szCs w:val="32"/>
        </w:rPr>
        <w:t>發電業者</w:t>
      </w:r>
      <w:r w:rsidR="00DC1E25" w:rsidRPr="00AB2AD1">
        <w:rPr>
          <w:rFonts w:hAnsi="標楷體" w:hint="eastAsia"/>
          <w:szCs w:val="32"/>
        </w:rPr>
        <w:t>之經理及主任</w:t>
      </w:r>
      <w:r w:rsidR="009D3C98" w:rsidRPr="00AB2AD1">
        <w:rPr>
          <w:rFonts w:hint="eastAsia"/>
        </w:rPr>
        <w:t>」</w:t>
      </w:r>
      <w:r w:rsidR="003300CF" w:rsidRPr="00AB2AD1">
        <w:rPr>
          <w:rFonts w:hAnsi="標楷體" w:hint="eastAsia"/>
          <w:szCs w:val="32"/>
        </w:rPr>
        <w:t>等人員與會。</w:t>
      </w:r>
      <w:r w:rsidR="00DC1E25" w:rsidRPr="00AB2AD1">
        <w:rPr>
          <w:rFonts w:hint="eastAsia"/>
        </w:rPr>
        <w:t>而經濟部、台電公司所召開之</w:t>
      </w:r>
      <w:r w:rsidR="003300CF" w:rsidRPr="00AB2AD1">
        <w:rPr>
          <w:rFonts w:hint="eastAsia"/>
        </w:rPr>
        <w:t>協處或</w:t>
      </w:r>
      <w:r w:rsidR="00DC1E25" w:rsidRPr="00AB2AD1">
        <w:rPr>
          <w:rFonts w:hint="eastAsia"/>
        </w:rPr>
        <w:t>協商會議，其主持人</w:t>
      </w:r>
      <w:r w:rsidR="00FD6487" w:rsidRPr="00AB2AD1">
        <w:rPr>
          <w:rFonts w:hint="eastAsia"/>
        </w:rPr>
        <w:t>為</w:t>
      </w:r>
      <w:r w:rsidR="00DC1E25" w:rsidRPr="00AB2AD1">
        <w:rPr>
          <w:rFonts w:hint="eastAsia"/>
        </w:rPr>
        <w:t>能源局局長</w:t>
      </w:r>
      <w:r w:rsidR="003300CF" w:rsidRPr="00AB2AD1">
        <w:rPr>
          <w:rFonts w:hint="eastAsia"/>
        </w:rPr>
        <w:t>或</w:t>
      </w:r>
      <w:r w:rsidR="00DC1E25" w:rsidRPr="00AB2AD1">
        <w:rPr>
          <w:rFonts w:hint="eastAsia"/>
        </w:rPr>
        <w:t>台電公司總經理、副總經理與業務處處長等</w:t>
      </w:r>
      <w:r w:rsidR="001B1277" w:rsidRPr="00AB2AD1">
        <w:rPr>
          <w:rFonts w:hint="eastAsia"/>
        </w:rPr>
        <w:t>，而與會人員又多有上開協進會人員</w:t>
      </w:r>
      <w:r w:rsidR="00DC1E25" w:rsidRPr="00AB2AD1">
        <w:rPr>
          <w:rFonts w:hint="eastAsia"/>
        </w:rPr>
        <w:t>。</w:t>
      </w:r>
      <w:r w:rsidR="00DC1E25" w:rsidRPr="00AB2AD1">
        <w:rPr>
          <w:rFonts w:hAnsi="標楷體" w:hint="eastAsia"/>
          <w:szCs w:val="32"/>
        </w:rPr>
        <w:t>台電公司表示：「</w:t>
      </w:r>
      <w:r w:rsidR="003300CF" w:rsidRPr="00AB2AD1">
        <w:rPr>
          <w:rFonts w:hint="eastAsia"/>
        </w:rPr>
        <w:t>協進會自97年起，約召開70多次</w:t>
      </w:r>
      <w:r w:rsidR="003300CF" w:rsidRPr="00AB2AD1">
        <w:rPr>
          <w:rFonts w:hint="eastAsia"/>
        </w:rPr>
        <w:lastRenderedPageBreak/>
        <w:t>會議</w:t>
      </w:r>
      <w:r w:rsidR="003300CF" w:rsidRPr="00AB2AD1">
        <w:t>，</w:t>
      </w:r>
      <w:r w:rsidR="003300CF" w:rsidRPr="00AB2AD1">
        <w:rPr>
          <w:rFonts w:hint="eastAsia"/>
        </w:rPr>
        <w:t>期間確實並未知悉民營業者之聯合行為或掌握相關事證。</w:t>
      </w:r>
      <w:r w:rsidR="00B410A8" w:rsidRPr="00AB2AD1">
        <w:t>102</w:t>
      </w:r>
      <w:r w:rsidR="00B410A8" w:rsidRPr="00AB2AD1">
        <w:rPr>
          <w:rFonts w:hint="eastAsia"/>
        </w:rPr>
        <w:t>年</w:t>
      </w:r>
      <w:r w:rsidR="00B410A8" w:rsidRPr="00AB2AD1">
        <w:t>3</w:t>
      </w:r>
      <w:r w:rsidR="00B410A8" w:rsidRPr="00AB2AD1">
        <w:rPr>
          <w:rFonts w:hint="eastAsia"/>
        </w:rPr>
        <w:t>月發函針對於</w:t>
      </w:r>
      <w:r w:rsidR="00B410A8" w:rsidRPr="00AB2AD1">
        <w:t>97</w:t>
      </w:r>
      <w:r w:rsidR="00B410A8" w:rsidRPr="00AB2AD1">
        <w:rPr>
          <w:rFonts w:hint="eastAsia"/>
        </w:rPr>
        <w:t>年</w:t>
      </w:r>
      <w:r w:rsidR="00B410A8" w:rsidRPr="00AB2AD1">
        <w:t>8</w:t>
      </w:r>
      <w:r w:rsidR="00B410A8" w:rsidRPr="00AB2AD1">
        <w:rPr>
          <w:rFonts w:hint="eastAsia"/>
        </w:rPr>
        <w:t>月至</w:t>
      </w:r>
      <w:r w:rsidR="00B410A8" w:rsidRPr="00AB2AD1">
        <w:t>101</w:t>
      </w:r>
      <w:r w:rsidR="00B410A8" w:rsidRPr="00AB2AD1">
        <w:rPr>
          <w:rFonts w:hint="eastAsia"/>
        </w:rPr>
        <w:t>年</w:t>
      </w:r>
      <w:r w:rsidR="00B410A8" w:rsidRPr="00AB2AD1">
        <w:t>10</w:t>
      </w:r>
      <w:r w:rsidR="00B410A8" w:rsidRPr="00AB2AD1">
        <w:rPr>
          <w:rFonts w:hint="eastAsia"/>
        </w:rPr>
        <w:t>月間派</w:t>
      </w:r>
      <w:r w:rsidR="00B410A8" w:rsidRPr="00AB2AD1">
        <w:t>(</w:t>
      </w:r>
      <w:r w:rsidR="00B410A8" w:rsidRPr="00AB2AD1">
        <w:rPr>
          <w:rFonts w:hint="eastAsia"/>
        </w:rPr>
        <w:t>兼</w:t>
      </w:r>
      <w:r w:rsidR="00B410A8" w:rsidRPr="00AB2AD1">
        <w:t>)</w:t>
      </w:r>
      <w:r w:rsidR="00B410A8" w:rsidRPr="00AB2AD1">
        <w:rPr>
          <w:rFonts w:hint="eastAsia"/>
        </w:rPr>
        <w:t>任台汽電公司</w:t>
      </w:r>
      <w:r w:rsidR="003300CF" w:rsidRPr="00AB2AD1">
        <w:rPr>
          <w:rFonts w:hint="eastAsia"/>
        </w:rPr>
        <w:t>之</w:t>
      </w:r>
      <w:r w:rsidR="00B410A8" w:rsidRPr="00AB2AD1">
        <w:rPr>
          <w:rFonts w:hint="eastAsia"/>
        </w:rPr>
        <w:t>各董事進行調查，依各董事回復結果，對於前項公平會所述之聯合行為並未知悉。又依台汽電公司回復</w:t>
      </w:r>
      <w:r w:rsidR="003300CF" w:rsidRPr="00AB2AD1">
        <w:rPr>
          <w:rFonts w:hint="eastAsia"/>
        </w:rPr>
        <w:t>之</w:t>
      </w:r>
      <w:r w:rsidR="00B410A8" w:rsidRPr="00AB2AD1">
        <w:rPr>
          <w:rFonts w:hint="eastAsia"/>
        </w:rPr>
        <w:t>初步調查結果，台汽電公司雖知悉該協進會之存在，惟各相關人員參加協進會活動或會議之內容，若未影響公司權益，尚無需向台汽電公司報告。</w:t>
      </w:r>
      <w:r w:rsidR="00DC1E25" w:rsidRPr="00AB2AD1">
        <w:rPr>
          <w:rFonts w:hAnsi="標楷體" w:hint="eastAsia"/>
          <w:szCs w:val="32"/>
        </w:rPr>
        <w:t>」</w:t>
      </w:r>
      <w:r w:rsidR="00B410A8" w:rsidRPr="00AB2AD1">
        <w:rPr>
          <w:rFonts w:hAnsi="標楷體" w:hint="eastAsia"/>
          <w:szCs w:val="32"/>
        </w:rPr>
        <w:t>又台電公司請台汽電公司公股代表蔡董事長委請獨立董事及監察人與法律事務所調查結果摘要如次：「</w:t>
      </w:r>
      <w:r w:rsidR="003E5EC9" w:rsidRPr="00AB2AD1">
        <w:rPr>
          <w:rFonts w:hint="eastAsia"/>
        </w:rPr>
        <w:t>台汽電公司部分人員雖因兼任森霸、星能、星元及國光等民營電廠之董事、監察人或經理人等7人曾參與協進會，並與民營</w:t>
      </w:r>
      <w:r w:rsidR="00FC106F" w:rsidRPr="00AB2AD1">
        <w:rPr>
          <w:rFonts w:hint="eastAsia"/>
        </w:rPr>
        <w:t>發電業者</w:t>
      </w:r>
      <w:r w:rsidR="003E5EC9" w:rsidRPr="00AB2AD1">
        <w:rPr>
          <w:rFonts w:hint="eastAsia"/>
        </w:rPr>
        <w:t>就資本費率調整案交換意見，惟該等人員並未正式向台汽電公司或董事會報告協進會決議等事。</w:t>
      </w:r>
      <w:r w:rsidR="00B410A8" w:rsidRPr="00AB2AD1">
        <w:rPr>
          <w:rFonts w:hAnsi="標楷體" w:hint="eastAsia"/>
          <w:szCs w:val="32"/>
        </w:rPr>
        <w:t>協進會於102年間並未再行集會，且經公平會認定民營電廠間</w:t>
      </w:r>
      <w:r w:rsidR="003300CF" w:rsidRPr="00AB2AD1">
        <w:rPr>
          <w:rFonts w:hAnsi="標楷體" w:hint="eastAsia"/>
          <w:szCs w:val="32"/>
        </w:rPr>
        <w:t>之</w:t>
      </w:r>
      <w:r w:rsidR="00B410A8" w:rsidRPr="00AB2AD1">
        <w:rPr>
          <w:rFonts w:hAnsi="標楷體" w:hint="eastAsia"/>
          <w:szCs w:val="32"/>
        </w:rPr>
        <w:t>聯合行為並為裁罰後，森霸等4家民營</w:t>
      </w:r>
      <w:r w:rsidR="003300CF" w:rsidRPr="00AB2AD1">
        <w:rPr>
          <w:rFonts w:hAnsi="標楷體" w:hint="eastAsia"/>
          <w:szCs w:val="32"/>
        </w:rPr>
        <w:t>發電</w:t>
      </w:r>
      <w:r w:rsidR="00B410A8" w:rsidRPr="00AB2AD1">
        <w:rPr>
          <w:rFonts w:hAnsi="標楷體" w:hint="eastAsia"/>
          <w:szCs w:val="32"/>
        </w:rPr>
        <w:t>業者已停止參與協進會之會議。」</w:t>
      </w:r>
      <w:r w:rsidR="00211FCB" w:rsidRPr="00AB2AD1">
        <w:rPr>
          <w:rFonts w:hAnsi="標楷體" w:hint="eastAsia"/>
          <w:szCs w:val="32"/>
        </w:rPr>
        <w:t>台電公司負責協商修約之承辦主管</w:t>
      </w:r>
      <w:r w:rsidR="006B33E7" w:rsidRPr="00AB2AD1">
        <w:rPr>
          <w:rFonts w:hAnsi="標楷體" w:hint="eastAsia"/>
          <w:szCs w:val="32"/>
        </w:rPr>
        <w:t>於本院約詢時陳</w:t>
      </w:r>
      <w:r w:rsidR="00211FCB" w:rsidRPr="00AB2AD1">
        <w:rPr>
          <w:rFonts w:hAnsi="標楷體" w:hint="eastAsia"/>
          <w:szCs w:val="32"/>
        </w:rPr>
        <w:t>稱：「</w:t>
      </w:r>
      <w:r w:rsidR="00D6138F" w:rsidRPr="00AB2AD1">
        <w:rPr>
          <w:rFonts w:hint="eastAsia"/>
        </w:rPr>
        <w:t>從101年8月媒體報導後</w:t>
      </w:r>
      <w:r w:rsidR="003300CF" w:rsidRPr="00AB2AD1">
        <w:rPr>
          <w:rFonts w:hint="eastAsia"/>
        </w:rPr>
        <w:t>，</w:t>
      </w:r>
      <w:r w:rsidR="00D6138F" w:rsidRPr="00AB2AD1">
        <w:rPr>
          <w:rFonts w:hint="eastAsia"/>
        </w:rPr>
        <w:t>才知道協進會有在開會之聯合行為；</w:t>
      </w:r>
      <w:r w:rsidR="00D6138F" w:rsidRPr="00AB2AD1">
        <w:rPr>
          <w:rFonts w:ascii="新細明體" w:hAnsi="新細明體" w:hint="eastAsia"/>
          <w:szCs w:val="32"/>
        </w:rPr>
        <w:t>以前是略有聽聞各業者有固定在聚會。</w:t>
      </w:r>
      <w:r w:rsidR="00211FCB" w:rsidRPr="00AB2AD1">
        <w:rPr>
          <w:rFonts w:hAnsi="標楷體" w:hint="eastAsia"/>
          <w:szCs w:val="32"/>
        </w:rPr>
        <w:t>」</w:t>
      </w:r>
      <w:r w:rsidR="005334BF" w:rsidRPr="00AB2AD1">
        <w:rPr>
          <w:rFonts w:hAnsi="標楷體" w:hint="eastAsia"/>
          <w:szCs w:val="32"/>
        </w:rPr>
        <w:t>又該公司法務單位之主管則稱：「</w:t>
      </w:r>
      <w:r w:rsidR="005334BF" w:rsidRPr="00AB2AD1">
        <w:rPr>
          <w:rFonts w:hint="eastAsia"/>
        </w:rPr>
        <w:t>台電同仁可能私下有聽到業者有在聚會。台汽電公司請律師事務所提出法律意見，曾提出有背信罪之嫌，讓台汽電董事有所顧忌，但台電認為這是私契約，不認為有背信等民、刑事責任，所以台電又請其他律師事務所提出另外的法律意見。</w:t>
      </w:r>
      <w:r w:rsidR="005334BF" w:rsidRPr="00AB2AD1">
        <w:rPr>
          <w:rFonts w:hAnsi="標楷體" w:hint="eastAsia"/>
          <w:szCs w:val="32"/>
        </w:rPr>
        <w:t>」台汽電</w:t>
      </w:r>
      <w:r w:rsidR="005334BF" w:rsidRPr="00AB2AD1">
        <w:rPr>
          <w:rFonts w:hint="eastAsia"/>
        </w:rPr>
        <w:t>公司董事長表示</w:t>
      </w:r>
      <w:r w:rsidR="005334BF" w:rsidRPr="00AB2AD1">
        <w:rPr>
          <w:rFonts w:hAnsi="標楷體" w:hint="eastAsia"/>
          <w:szCs w:val="32"/>
        </w:rPr>
        <w:t>：「</w:t>
      </w:r>
      <w:r w:rsidR="005334BF" w:rsidRPr="00AB2AD1">
        <w:rPr>
          <w:rFonts w:hint="eastAsia"/>
        </w:rPr>
        <w:t>本人是第一個以留資停薪方式到台汽電服務的台電人員；101年5月起台電談到要調資本費率，本人才知道在98年之前曾協商要調整購售電費率。合約如果雙方合議是可以修</w:t>
      </w:r>
      <w:r w:rsidR="005334BF" w:rsidRPr="00AB2AD1">
        <w:rPr>
          <w:rFonts w:hint="eastAsia"/>
        </w:rPr>
        <w:lastRenderedPageBreak/>
        <w:t>的，因經理人顧及圖利單方面而有責任，所以修約協商僵在那裡。</w:t>
      </w:r>
      <w:r w:rsidR="005334BF" w:rsidRPr="00AB2AD1">
        <w:rPr>
          <w:rFonts w:hAnsi="標楷體" w:hint="eastAsia"/>
          <w:szCs w:val="32"/>
        </w:rPr>
        <w:t>」</w:t>
      </w:r>
      <w:r w:rsidR="00B0238C" w:rsidRPr="00AB2AD1">
        <w:rPr>
          <w:rFonts w:hAnsi="標楷體" w:hint="eastAsia"/>
          <w:szCs w:val="32"/>
        </w:rPr>
        <w:t>顯見</w:t>
      </w:r>
      <w:r w:rsidR="00B0238C" w:rsidRPr="00AB2AD1">
        <w:rPr>
          <w:rFonts w:ascii="新細明體" w:hAnsi="新細明體" w:hint="eastAsia"/>
          <w:szCs w:val="32"/>
        </w:rPr>
        <w:t>台電</w:t>
      </w:r>
      <w:r w:rsidR="00B0238C" w:rsidRPr="00AB2AD1">
        <w:rPr>
          <w:rFonts w:hAnsi="標楷體" w:hint="eastAsia"/>
          <w:szCs w:val="32"/>
        </w:rPr>
        <w:t>公司</w:t>
      </w:r>
      <w:r w:rsidR="006B33E7" w:rsidRPr="00AB2AD1">
        <w:rPr>
          <w:rFonts w:ascii="新細明體" w:hAnsi="新細明體" w:hint="eastAsia"/>
          <w:szCs w:val="32"/>
        </w:rPr>
        <w:t>確知各民營</w:t>
      </w:r>
      <w:r w:rsidR="00FC106F" w:rsidRPr="00AB2AD1">
        <w:rPr>
          <w:rFonts w:ascii="新細明體" w:hAnsi="新細明體" w:hint="eastAsia"/>
          <w:szCs w:val="32"/>
        </w:rPr>
        <w:t>發電業者</w:t>
      </w:r>
      <w:r w:rsidR="006B33E7" w:rsidRPr="00AB2AD1">
        <w:rPr>
          <w:rFonts w:ascii="新細明體" w:hAnsi="新細明體" w:hint="eastAsia"/>
          <w:szCs w:val="32"/>
        </w:rPr>
        <w:t>已有固定聚會之情事</w:t>
      </w:r>
      <w:r w:rsidR="005334BF" w:rsidRPr="00AB2AD1">
        <w:rPr>
          <w:rFonts w:ascii="新細明體" w:hAnsi="新細明體" w:hint="eastAsia"/>
          <w:szCs w:val="32"/>
        </w:rPr>
        <w:t>，而</w:t>
      </w:r>
      <w:r w:rsidR="005334BF" w:rsidRPr="00AB2AD1">
        <w:rPr>
          <w:rFonts w:hAnsi="標楷體" w:hint="eastAsia"/>
          <w:szCs w:val="32"/>
        </w:rPr>
        <w:t>台汽電</w:t>
      </w:r>
      <w:r w:rsidR="005334BF" w:rsidRPr="00AB2AD1">
        <w:rPr>
          <w:rFonts w:hint="eastAsia"/>
        </w:rPr>
        <w:t>公司董事長竟表示到任時並不知</w:t>
      </w:r>
      <w:r w:rsidR="006E313C" w:rsidRPr="00AB2AD1">
        <w:rPr>
          <w:rFonts w:hint="eastAsia"/>
        </w:rPr>
        <w:t>台電</w:t>
      </w:r>
      <w:r w:rsidR="006E313C" w:rsidRPr="00AB2AD1">
        <w:rPr>
          <w:rFonts w:hAnsi="標楷體" w:hint="eastAsia"/>
          <w:szCs w:val="32"/>
        </w:rPr>
        <w:t>公司與民營發電業者</w:t>
      </w:r>
      <w:r w:rsidR="006E313C" w:rsidRPr="00AB2AD1">
        <w:rPr>
          <w:rFonts w:hint="eastAsia"/>
        </w:rPr>
        <w:t>正協商調整購售電合約之資本費率</w:t>
      </w:r>
      <w:r w:rsidR="00B0238C" w:rsidRPr="00AB2AD1">
        <w:rPr>
          <w:rFonts w:ascii="新細明體" w:hAnsi="新細明體" w:hint="eastAsia"/>
          <w:szCs w:val="32"/>
        </w:rPr>
        <w:t>。</w:t>
      </w:r>
    </w:p>
    <w:p w:rsidR="002043E3" w:rsidRPr="00AB2AD1" w:rsidRDefault="00DC1E25" w:rsidP="002043E3">
      <w:pPr>
        <w:pStyle w:val="3"/>
        <w:rPr>
          <w:rFonts w:hAnsi="標楷體"/>
          <w:szCs w:val="32"/>
        </w:rPr>
      </w:pPr>
      <w:r w:rsidRPr="00AB2AD1">
        <w:rPr>
          <w:rFonts w:hAnsi="標楷體" w:hint="eastAsia"/>
          <w:szCs w:val="32"/>
        </w:rPr>
        <w:t>綜上，</w:t>
      </w:r>
      <w:r w:rsidR="0021216B" w:rsidRPr="00AB2AD1">
        <w:rPr>
          <w:rFonts w:hint="eastAsia"/>
        </w:rPr>
        <w:t>經濟部為</w:t>
      </w:r>
      <w:r w:rsidR="0021216B" w:rsidRPr="00AB2AD1">
        <w:t>因</w:t>
      </w:r>
      <w:r w:rsidR="0021216B" w:rsidRPr="00AB2AD1">
        <w:rPr>
          <w:rFonts w:hint="eastAsia"/>
        </w:rPr>
        <w:t>應</w:t>
      </w:r>
      <w:r w:rsidR="0021216B" w:rsidRPr="00AB2AD1">
        <w:t>80年</w:t>
      </w:r>
      <w:r w:rsidR="000E4671" w:rsidRPr="00AB2AD1">
        <w:rPr>
          <w:rFonts w:hint="eastAsia"/>
        </w:rPr>
        <w:t>起</w:t>
      </w:r>
      <w:r w:rsidR="0021216B" w:rsidRPr="00AB2AD1">
        <w:rPr>
          <w:rFonts w:hint="eastAsia"/>
        </w:rPr>
        <w:t>，</w:t>
      </w:r>
      <w:r w:rsidR="0021216B" w:rsidRPr="00AB2AD1">
        <w:t>台電公司</w:t>
      </w:r>
      <w:r w:rsidR="000E4671" w:rsidRPr="00AB2AD1">
        <w:rPr>
          <w:rFonts w:hint="eastAsia"/>
        </w:rPr>
        <w:t>電力系統</w:t>
      </w:r>
      <w:r w:rsidR="0021216B" w:rsidRPr="00AB2AD1">
        <w:t>備用容量率</w:t>
      </w:r>
      <w:r w:rsidR="0021216B" w:rsidRPr="00AB2AD1">
        <w:rPr>
          <w:rFonts w:hint="eastAsia"/>
        </w:rPr>
        <w:t>偏低且</w:t>
      </w:r>
      <w:r w:rsidR="0021216B" w:rsidRPr="00AB2AD1">
        <w:t>電源開發不易</w:t>
      </w:r>
      <w:r w:rsidR="0021216B" w:rsidRPr="00AB2AD1">
        <w:rPr>
          <w:rFonts w:hint="eastAsia"/>
        </w:rPr>
        <w:t>之窘境</w:t>
      </w:r>
      <w:r w:rsidR="0021216B" w:rsidRPr="00AB2AD1">
        <w:t>，</w:t>
      </w:r>
      <w:r w:rsidR="0021216B" w:rsidRPr="00AB2AD1">
        <w:rPr>
          <w:rFonts w:hint="eastAsia"/>
        </w:rPr>
        <w:t>而於84年及88年分別辦理三階段之開放民間設立</w:t>
      </w:r>
      <w:r w:rsidR="002043E3" w:rsidRPr="00AB2AD1">
        <w:rPr>
          <w:rFonts w:hint="eastAsia"/>
        </w:rPr>
        <w:t>發電廠</w:t>
      </w:r>
      <w:r w:rsidR="0021216B" w:rsidRPr="00AB2AD1">
        <w:rPr>
          <w:rFonts w:hint="eastAsia"/>
        </w:rPr>
        <w:t>，</w:t>
      </w:r>
      <w:r w:rsidR="000E4671" w:rsidRPr="00AB2AD1">
        <w:rPr>
          <w:rFonts w:hint="eastAsia"/>
        </w:rPr>
        <w:t>並有9家發電業者完成興設</w:t>
      </w:r>
      <w:r w:rsidR="002043E3" w:rsidRPr="00AB2AD1">
        <w:rPr>
          <w:rFonts w:hint="eastAsia"/>
        </w:rPr>
        <w:t>779萬瓩裝置容量</w:t>
      </w:r>
      <w:r w:rsidR="000E4671" w:rsidRPr="00AB2AD1">
        <w:rPr>
          <w:rFonts w:hint="eastAsia"/>
        </w:rPr>
        <w:t>之發電機組</w:t>
      </w:r>
      <w:r w:rsidR="002043E3" w:rsidRPr="00AB2AD1">
        <w:rPr>
          <w:rFonts w:hint="eastAsia"/>
        </w:rPr>
        <w:t>，</w:t>
      </w:r>
      <w:r w:rsidR="0021216B" w:rsidRPr="00AB2AD1">
        <w:rPr>
          <w:rFonts w:hint="eastAsia"/>
        </w:rPr>
        <w:t>並</w:t>
      </w:r>
      <w:r w:rsidR="000E4671" w:rsidRPr="00AB2AD1">
        <w:rPr>
          <w:rFonts w:hint="eastAsia"/>
        </w:rPr>
        <w:t>與</w:t>
      </w:r>
      <w:r w:rsidR="000E4671" w:rsidRPr="00AB2AD1">
        <w:t>台電公司</w:t>
      </w:r>
      <w:r w:rsidR="0021216B" w:rsidRPr="00AB2AD1">
        <w:rPr>
          <w:rFonts w:hint="eastAsia"/>
        </w:rPr>
        <w:t>約定購售電合約得經雙方會商檢討修正</w:t>
      </w:r>
      <w:r w:rsidR="002043E3" w:rsidRPr="00AB2AD1">
        <w:rPr>
          <w:rFonts w:hint="eastAsia"/>
        </w:rPr>
        <w:t>。</w:t>
      </w:r>
      <w:r w:rsidR="002043E3" w:rsidRPr="00AB2AD1">
        <w:rPr>
          <w:rFonts w:hAnsi="標楷體" w:hint="eastAsia"/>
          <w:szCs w:val="32"/>
        </w:rPr>
        <w:t>然92年起</w:t>
      </w:r>
      <w:r w:rsidR="002043E3" w:rsidRPr="00AB2AD1">
        <w:rPr>
          <w:rFonts w:hint="eastAsia"/>
        </w:rPr>
        <w:t>市場利率水準已大幅降低，</w:t>
      </w:r>
      <w:r w:rsidR="00E772EF" w:rsidRPr="00AB2AD1">
        <w:rPr>
          <w:rFonts w:hint="eastAsia"/>
        </w:rPr>
        <w:t>96年度之借款利率僅約為</w:t>
      </w:r>
      <w:r w:rsidR="00E772EF" w:rsidRPr="00AB2AD1">
        <w:t>84</w:t>
      </w:r>
      <w:r w:rsidR="00E772EF" w:rsidRPr="00AB2AD1">
        <w:rPr>
          <w:rFonts w:hint="eastAsia"/>
        </w:rPr>
        <w:t>年度之1/3，</w:t>
      </w:r>
      <w:r w:rsidR="000E4671" w:rsidRPr="00AB2AD1">
        <w:rPr>
          <w:rFonts w:hint="eastAsia"/>
        </w:rPr>
        <w:t>惟</w:t>
      </w:r>
      <w:r w:rsidR="002043E3" w:rsidRPr="00AB2AD1">
        <w:rPr>
          <w:rFonts w:hint="eastAsia"/>
        </w:rPr>
        <w:t>經濟部與台電公司除未積極與民營發電業者完成利率浮動調整之協商</w:t>
      </w:r>
      <w:r w:rsidR="000E4671" w:rsidRPr="00AB2AD1">
        <w:rPr>
          <w:rFonts w:hint="eastAsia"/>
        </w:rPr>
        <w:t>(處)</w:t>
      </w:r>
      <w:r w:rsidR="002043E3" w:rsidRPr="00AB2AD1">
        <w:rPr>
          <w:rFonts w:hint="eastAsia"/>
        </w:rPr>
        <w:t>，且</w:t>
      </w:r>
      <w:r w:rsidR="002043E3" w:rsidRPr="00AB2AD1">
        <w:rPr>
          <w:rFonts w:hint="eastAsia"/>
          <w:szCs w:val="32"/>
        </w:rPr>
        <w:t>順應業者</w:t>
      </w:r>
      <w:r w:rsidR="000E4671" w:rsidRPr="00AB2AD1">
        <w:rPr>
          <w:rFonts w:hAnsi="標楷體" w:cs="標楷體" w:hint="eastAsia"/>
          <w:szCs w:val="32"/>
        </w:rPr>
        <w:t>之</w:t>
      </w:r>
      <w:r w:rsidR="002043E3" w:rsidRPr="00AB2AD1">
        <w:rPr>
          <w:rFonts w:hint="eastAsia"/>
          <w:szCs w:val="32"/>
        </w:rPr>
        <w:t>要求</w:t>
      </w:r>
      <w:r w:rsidR="007A103B" w:rsidRPr="00AB2AD1">
        <w:rPr>
          <w:rFonts w:hint="eastAsia"/>
          <w:szCs w:val="32"/>
        </w:rPr>
        <w:t>及漠視</w:t>
      </w:r>
      <w:r w:rsidR="007A103B" w:rsidRPr="00AB2AD1">
        <w:rPr>
          <w:rFonts w:hAnsi="標楷體" w:cs="標楷體"/>
          <w:szCs w:val="32"/>
        </w:rPr>
        <w:t>96年12月</w:t>
      </w:r>
      <w:r w:rsidR="007A103B" w:rsidRPr="00AB2AD1">
        <w:rPr>
          <w:rFonts w:hAnsi="標楷體" w:cs="標楷體" w:hint="eastAsia"/>
          <w:szCs w:val="32"/>
        </w:rPr>
        <w:t>研究單位建議應</w:t>
      </w:r>
      <w:r w:rsidR="007A103B" w:rsidRPr="00AB2AD1">
        <w:rPr>
          <w:rFonts w:hAnsi="標楷體" w:cs="標楷體"/>
          <w:szCs w:val="32"/>
        </w:rPr>
        <w:t>併</w:t>
      </w:r>
      <w:r w:rsidR="007A103B" w:rsidRPr="00AB2AD1">
        <w:rPr>
          <w:rFonts w:hAnsi="標楷體" w:cs="標楷體" w:hint="eastAsia"/>
          <w:szCs w:val="32"/>
        </w:rPr>
        <w:t>同</w:t>
      </w:r>
      <w:r w:rsidR="007A103B" w:rsidRPr="00AB2AD1">
        <w:rPr>
          <w:rFonts w:hAnsi="標楷體" w:cs="標楷體"/>
          <w:szCs w:val="32"/>
        </w:rPr>
        <w:t>討論配套執行</w:t>
      </w:r>
      <w:r w:rsidR="007A103B" w:rsidRPr="00AB2AD1">
        <w:rPr>
          <w:rFonts w:hAnsi="標楷體" w:cs="標楷體" w:hint="eastAsia"/>
          <w:szCs w:val="32"/>
        </w:rPr>
        <w:t>之建議</w:t>
      </w:r>
      <w:r w:rsidR="002043E3" w:rsidRPr="00AB2AD1">
        <w:rPr>
          <w:rFonts w:hint="eastAsia"/>
          <w:szCs w:val="32"/>
        </w:rPr>
        <w:t>，</w:t>
      </w:r>
      <w:r w:rsidR="007A103B" w:rsidRPr="00AB2AD1">
        <w:rPr>
          <w:rFonts w:hint="eastAsia"/>
          <w:szCs w:val="32"/>
        </w:rPr>
        <w:t>即</w:t>
      </w:r>
      <w:r w:rsidR="002043E3" w:rsidRPr="00AB2AD1">
        <w:rPr>
          <w:rFonts w:hint="eastAsia"/>
        </w:rPr>
        <w:t>先行同意業者縮短燃料成本反映時間</w:t>
      </w:r>
      <w:r w:rsidR="007A103B" w:rsidRPr="00AB2AD1">
        <w:rPr>
          <w:rFonts w:hint="eastAsia"/>
        </w:rPr>
        <w:t>(燃氣業者於</w:t>
      </w:r>
      <w:r w:rsidR="007A103B" w:rsidRPr="00AB2AD1">
        <w:rPr>
          <w:rFonts w:hAnsi="標楷體" w:cs="標楷體"/>
          <w:szCs w:val="32"/>
        </w:rPr>
        <w:t>9</w:t>
      </w:r>
      <w:r w:rsidR="007A103B" w:rsidRPr="00AB2AD1">
        <w:rPr>
          <w:rFonts w:hAnsi="標楷體" w:cs="標楷體" w:hint="eastAsia"/>
          <w:szCs w:val="32"/>
        </w:rPr>
        <w:t>6年10月29日</w:t>
      </w:r>
      <w:r w:rsidR="007A103B" w:rsidRPr="00AB2AD1">
        <w:rPr>
          <w:rFonts w:hint="eastAsia"/>
        </w:rPr>
        <w:t>同意、燃煤業者於</w:t>
      </w:r>
      <w:r w:rsidR="007A103B" w:rsidRPr="00AB2AD1">
        <w:rPr>
          <w:rFonts w:hAnsi="標楷體" w:cs="標楷體"/>
          <w:szCs w:val="32"/>
        </w:rPr>
        <w:t>97</w:t>
      </w:r>
      <w:r w:rsidR="007A103B" w:rsidRPr="00AB2AD1">
        <w:rPr>
          <w:rFonts w:hAnsi="標楷體" w:cs="標楷體" w:hint="eastAsia"/>
          <w:szCs w:val="32"/>
        </w:rPr>
        <w:t>年</w:t>
      </w:r>
      <w:r w:rsidR="007A103B" w:rsidRPr="00AB2AD1">
        <w:rPr>
          <w:rFonts w:hAnsi="標楷體" w:cs="標楷體"/>
          <w:szCs w:val="32"/>
        </w:rPr>
        <w:t>4</w:t>
      </w:r>
      <w:r w:rsidR="007A103B" w:rsidRPr="00AB2AD1">
        <w:rPr>
          <w:rFonts w:hAnsi="標楷體" w:cs="標楷體" w:hint="eastAsia"/>
          <w:szCs w:val="32"/>
        </w:rPr>
        <w:t>月</w:t>
      </w:r>
      <w:r w:rsidR="007A103B" w:rsidRPr="00AB2AD1">
        <w:rPr>
          <w:rFonts w:hAnsi="標楷體" w:cs="標楷體"/>
          <w:szCs w:val="32"/>
        </w:rPr>
        <w:t>29</w:t>
      </w:r>
      <w:r w:rsidR="007A103B" w:rsidRPr="00AB2AD1">
        <w:rPr>
          <w:rFonts w:hAnsi="標楷體" w:cs="標楷體" w:hint="eastAsia"/>
          <w:szCs w:val="32"/>
        </w:rPr>
        <w:t>日</w:t>
      </w:r>
      <w:r w:rsidR="007A103B" w:rsidRPr="00AB2AD1">
        <w:rPr>
          <w:rFonts w:hint="eastAsia"/>
        </w:rPr>
        <w:t>同意)</w:t>
      </w:r>
      <w:r w:rsidR="002043E3" w:rsidRPr="00AB2AD1">
        <w:rPr>
          <w:rFonts w:hint="eastAsia"/>
        </w:rPr>
        <w:t>，錯失併同協商之良機外，並放任各發電業者</w:t>
      </w:r>
      <w:r w:rsidR="00E772EF" w:rsidRPr="00AB2AD1">
        <w:rPr>
          <w:rFonts w:hint="eastAsia"/>
        </w:rPr>
        <w:t>於</w:t>
      </w:r>
      <w:r w:rsidR="00E772EF" w:rsidRPr="00AB2AD1">
        <w:rPr>
          <w:rFonts w:hAnsi="標楷體" w:cs="標楷體"/>
          <w:szCs w:val="32"/>
        </w:rPr>
        <w:t>9</w:t>
      </w:r>
      <w:r w:rsidR="00E772EF" w:rsidRPr="00AB2AD1">
        <w:rPr>
          <w:rFonts w:hAnsi="標楷體" w:cs="標楷體" w:hint="eastAsia"/>
          <w:szCs w:val="32"/>
        </w:rPr>
        <w:t>4年7月即</w:t>
      </w:r>
      <w:r w:rsidR="000E4671" w:rsidRPr="00AB2AD1">
        <w:rPr>
          <w:rFonts w:hAnsi="標楷體" w:cs="標楷體" w:hint="eastAsia"/>
          <w:szCs w:val="32"/>
        </w:rPr>
        <w:t>已</w:t>
      </w:r>
      <w:r w:rsidR="002C7095" w:rsidRPr="00AB2AD1">
        <w:rPr>
          <w:rFonts w:hAnsi="標楷體" w:cs="標楷體" w:hint="eastAsia"/>
          <w:szCs w:val="32"/>
        </w:rPr>
        <w:t>規劃</w:t>
      </w:r>
      <w:r w:rsidR="00E772EF" w:rsidRPr="00AB2AD1">
        <w:rPr>
          <w:rFonts w:hAnsi="標楷體" w:cs="標楷體" w:hint="eastAsia"/>
          <w:szCs w:val="32"/>
        </w:rPr>
        <w:t>籌組協進會，</w:t>
      </w:r>
      <w:r w:rsidR="00DF55DD" w:rsidRPr="00AB2AD1">
        <w:rPr>
          <w:rFonts w:hAnsi="標楷體" w:cs="標楷體" w:hint="eastAsia"/>
          <w:szCs w:val="32"/>
        </w:rPr>
        <w:t>至</w:t>
      </w:r>
      <w:r w:rsidR="00DF55DD" w:rsidRPr="00AB2AD1">
        <w:rPr>
          <w:rFonts w:hAnsi="新細明體" w:hint="eastAsia"/>
          <w:szCs w:val="32"/>
        </w:rPr>
        <w:t>101年12月底</w:t>
      </w:r>
      <w:r w:rsidR="00C80AD4" w:rsidRPr="00AB2AD1">
        <w:rPr>
          <w:rFonts w:hAnsi="新細明體" w:hint="eastAsia"/>
          <w:szCs w:val="32"/>
        </w:rPr>
        <w:t>計</w:t>
      </w:r>
      <w:r w:rsidR="00DF55DD" w:rsidRPr="00AB2AD1">
        <w:rPr>
          <w:rFonts w:hAnsi="新細明體" w:hint="eastAsia"/>
          <w:szCs w:val="32"/>
        </w:rPr>
        <w:t>約召開70次聚會</w:t>
      </w:r>
      <w:r w:rsidR="00DF55DD" w:rsidRPr="00AB2AD1">
        <w:rPr>
          <w:rFonts w:hAnsi="標楷體" w:cs="標楷體" w:hint="eastAsia"/>
          <w:szCs w:val="32"/>
        </w:rPr>
        <w:t>，</w:t>
      </w:r>
      <w:r w:rsidR="00E772EF" w:rsidRPr="00AB2AD1">
        <w:rPr>
          <w:rFonts w:hAnsi="標楷體" w:cs="標楷體" w:hint="eastAsia"/>
          <w:szCs w:val="32"/>
        </w:rPr>
        <w:t>並於聚會中達成</w:t>
      </w:r>
      <w:r w:rsidR="00DF55DD" w:rsidRPr="00AB2AD1">
        <w:rPr>
          <w:rFonts w:hAnsi="標楷體" w:cs="標楷體" w:hint="eastAsia"/>
          <w:szCs w:val="32"/>
        </w:rPr>
        <w:t>：</w:t>
      </w:r>
      <w:r w:rsidR="00C80AD4" w:rsidRPr="00AB2AD1">
        <w:rPr>
          <w:rFonts w:hAnsi="標楷體" w:cs="標楷體" w:hint="eastAsia"/>
          <w:szCs w:val="32"/>
        </w:rPr>
        <w:t>「</w:t>
      </w:r>
      <w:r w:rsidR="00E772EF" w:rsidRPr="00AB2AD1">
        <w:rPr>
          <w:rFonts w:hAnsi="標楷體" w:cs="標楷體" w:hint="eastAsia"/>
          <w:szCs w:val="32"/>
        </w:rPr>
        <w:t>採一致作為向</w:t>
      </w:r>
      <w:r w:rsidR="00E772EF" w:rsidRPr="00AB2AD1">
        <w:t>台電公司</w:t>
      </w:r>
      <w:r w:rsidR="00E772EF" w:rsidRPr="00AB2AD1">
        <w:rPr>
          <w:rFonts w:hint="eastAsia"/>
        </w:rPr>
        <w:t>及經濟部</w:t>
      </w:r>
      <w:r w:rsidR="00E772EF" w:rsidRPr="00AB2AD1">
        <w:rPr>
          <w:rFonts w:hAnsi="標楷體" w:cs="標楷體" w:hint="eastAsia"/>
          <w:szCs w:val="32"/>
        </w:rPr>
        <w:t>爭取</w:t>
      </w:r>
      <w:r w:rsidR="00E772EF" w:rsidRPr="00AB2AD1">
        <w:rPr>
          <w:rFonts w:hint="eastAsia"/>
        </w:rPr>
        <w:t>縮短燃料成本反映時間</w:t>
      </w:r>
      <w:r w:rsidR="00E772EF" w:rsidRPr="00AB2AD1">
        <w:rPr>
          <w:rFonts w:hAnsi="標楷體" w:cs="標楷體" w:hint="eastAsia"/>
          <w:szCs w:val="32"/>
        </w:rPr>
        <w:t>、拒絕調降</w:t>
      </w:r>
      <w:r w:rsidR="00F00817" w:rsidRPr="00AB2AD1">
        <w:rPr>
          <w:rFonts w:hAnsi="標楷體" w:cs="標楷體" w:hint="eastAsia"/>
          <w:szCs w:val="32"/>
        </w:rPr>
        <w:t>購電費率</w:t>
      </w:r>
      <w:r w:rsidR="00C80AD4" w:rsidRPr="00AB2AD1">
        <w:rPr>
          <w:rFonts w:hAnsi="標楷體" w:cs="標楷體" w:hint="eastAsia"/>
          <w:szCs w:val="32"/>
        </w:rPr>
        <w:t>」</w:t>
      </w:r>
      <w:r w:rsidR="00E772EF" w:rsidRPr="00AB2AD1">
        <w:rPr>
          <w:rFonts w:hAnsi="標楷體" w:cs="標楷體" w:hint="eastAsia"/>
          <w:szCs w:val="32"/>
        </w:rPr>
        <w:t>等共識，</w:t>
      </w:r>
      <w:r w:rsidR="00D7186D" w:rsidRPr="00AB2AD1">
        <w:rPr>
          <w:rFonts w:hAnsi="標楷體" w:cs="標楷體" w:hint="eastAsia"/>
          <w:szCs w:val="32"/>
        </w:rPr>
        <w:t>對於</w:t>
      </w:r>
      <w:r w:rsidR="00C80AD4" w:rsidRPr="00AB2AD1">
        <w:rPr>
          <w:rFonts w:hAnsi="標楷體" w:cs="標楷體" w:hint="eastAsia"/>
          <w:szCs w:val="32"/>
        </w:rPr>
        <w:t>拒絕調降購電費率</w:t>
      </w:r>
      <w:r w:rsidR="00D7186D" w:rsidRPr="00AB2AD1">
        <w:rPr>
          <w:rFonts w:hAnsi="標楷體" w:cs="標楷體" w:hint="eastAsia"/>
          <w:szCs w:val="32"/>
        </w:rPr>
        <w:t>更採：</w:t>
      </w:r>
      <w:r w:rsidR="00C80AD4" w:rsidRPr="00AB2AD1">
        <w:rPr>
          <w:rFonts w:hAnsi="標楷體" w:cs="標楷體" w:hint="eastAsia"/>
          <w:szCs w:val="32"/>
        </w:rPr>
        <w:t>「</w:t>
      </w:r>
      <w:r w:rsidR="00D7186D" w:rsidRPr="00AB2AD1">
        <w:rPr>
          <w:rFonts w:hAnsi="標楷體" w:cs="標楷體" w:hint="eastAsia"/>
          <w:szCs w:val="32"/>
        </w:rPr>
        <w:t>由外資表達疑慮與意見、避免進入實質性之公式討論、將議題複雜化予以拖延甚或取消該議題、拉長時間持續溝通、共同協請律師因應擬稿、</w:t>
      </w:r>
      <w:r w:rsidR="002779C9" w:rsidRPr="00AB2AD1">
        <w:rPr>
          <w:rFonts w:hAnsi="標楷體" w:cs="標楷體" w:hint="eastAsia"/>
          <w:szCs w:val="32"/>
        </w:rPr>
        <w:t>暫不回應函文</w:t>
      </w:r>
      <w:r w:rsidR="00D04483" w:rsidRPr="00AB2AD1">
        <w:rPr>
          <w:rFonts w:hAnsi="標楷體" w:cs="標楷體" w:hint="eastAsia"/>
          <w:szCs w:val="32"/>
        </w:rPr>
        <w:t>或</w:t>
      </w:r>
      <w:r w:rsidR="002779C9" w:rsidRPr="00AB2AD1">
        <w:rPr>
          <w:rFonts w:hAnsi="標楷體" w:cs="標楷體" w:hint="eastAsia"/>
          <w:szCs w:val="32"/>
        </w:rPr>
        <w:t>不主動聯繫有關事宜</w:t>
      </w:r>
      <w:r w:rsidR="00D04483" w:rsidRPr="00AB2AD1">
        <w:rPr>
          <w:rFonts w:hAnsi="標楷體" w:cs="標楷體" w:hint="eastAsia"/>
          <w:szCs w:val="32"/>
        </w:rPr>
        <w:t>之</w:t>
      </w:r>
      <w:r w:rsidR="002779C9" w:rsidRPr="00AB2AD1">
        <w:rPr>
          <w:rFonts w:hAnsi="標楷體" w:cs="標楷體" w:hint="eastAsia"/>
          <w:szCs w:val="32"/>
        </w:rPr>
        <w:t>拖延策略、</w:t>
      </w:r>
      <w:r w:rsidR="004A62FB" w:rsidRPr="00AB2AD1">
        <w:rPr>
          <w:rFonts w:hAnsi="標楷體" w:cs="標楷體" w:hint="eastAsia"/>
          <w:szCs w:val="32"/>
        </w:rPr>
        <w:t>各業者分別推派代表組成工作團隊</w:t>
      </w:r>
      <w:r w:rsidR="002779C9" w:rsidRPr="00AB2AD1">
        <w:rPr>
          <w:rFonts w:hAnsi="標楷體" w:cs="標楷體" w:hint="eastAsia"/>
          <w:szCs w:val="32"/>
        </w:rPr>
        <w:t>、</w:t>
      </w:r>
      <w:r w:rsidR="004A62FB" w:rsidRPr="00AB2AD1">
        <w:rPr>
          <w:rFonts w:hAnsi="標楷體" w:cs="標楷體" w:hint="eastAsia"/>
          <w:szCs w:val="32"/>
        </w:rPr>
        <w:t>訊息儘速分享其他業者、</w:t>
      </w:r>
      <w:r w:rsidR="005B2A3B" w:rsidRPr="00AB2AD1">
        <w:rPr>
          <w:rFonts w:hAnsi="標楷體" w:cs="標楷體" w:hint="eastAsia"/>
          <w:szCs w:val="32"/>
        </w:rPr>
        <w:t>各業者採取一致動作</w:t>
      </w:r>
      <w:r w:rsidR="00C80AD4" w:rsidRPr="00AB2AD1">
        <w:rPr>
          <w:rFonts w:hAnsi="標楷體" w:cs="標楷體" w:hint="eastAsia"/>
          <w:szCs w:val="32"/>
        </w:rPr>
        <w:t>」</w:t>
      </w:r>
      <w:r w:rsidR="00D7186D" w:rsidRPr="00AB2AD1">
        <w:rPr>
          <w:rFonts w:hAnsi="標楷體" w:cs="標楷體" w:hint="eastAsia"/>
          <w:szCs w:val="32"/>
        </w:rPr>
        <w:t>等</w:t>
      </w:r>
      <w:r w:rsidR="00C80AD4" w:rsidRPr="00AB2AD1">
        <w:rPr>
          <w:rFonts w:hAnsi="標楷體" w:cs="標楷體" w:hint="eastAsia"/>
          <w:szCs w:val="32"/>
        </w:rPr>
        <w:t>協議</w:t>
      </w:r>
      <w:r w:rsidR="002779C9" w:rsidRPr="00AB2AD1">
        <w:rPr>
          <w:rFonts w:hAnsi="標楷體" w:cs="標楷體" w:hint="eastAsia"/>
          <w:szCs w:val="32"/>
        </w:rPr>
        <w:t>並分工執行</w:t>
      </w:r>
      <w:r w:rsidR="004A62FB" w:rsidRPr="00AB2AD1">
        <w:rPr>
          <w:rFonts w:hAnsi="標楷體" w:cs="標楷體" w:hint="eastAsia"/>
          <w:szCs w:val="32"/>
        </w:rPr>
        <w:t>，</w:t>
      </w:r>
      <w:r w:rsidR="004A62FB" w:rsidRPr="00AB2AD1">
        <w:rPr>
          <w:rFonts w:hint="eastAsia"/>
        </w:rPr>
        <w:t>各發電業者因而遭</w:t>
      </w:r>
      <w:r w:rsidR="004A62FB" w:rsidRPr="00AB2AD1">
        <w:rPr>
          <w:rFonts w:cs="標楷體" w:hint="eastAsia"/>
        </w:rPr>
        <w:t>公平會鉅額裁罰</w:t>
      </w:r>
      <w:r w:rsidR="00DF55DD" w:rsidRPr="00AB2AD1">
        <w:rPr>
          <w:rFonts w:cs="標楷體" w:hint="eastAsia"/>
        </w:rPr>
        <w:t>，惟於上開</w:t>
      </w:r>
      <w:r w:rsidR="00DF55DD" w:rsidRPr="00AB2AD1">
        <w:rPr>
          <w:rFonts w:hAnsi="標楷體" w:cs="標楷體" w:hint="eastAsia"/>
          <w:szCs w:val="32"/>
        </w:rPr>
        <w:t>協進會聚會期間，</w:t>
      </w:r>
      <w:r w:rsidR="00DF55DD" w:rsidRPr="00AB2AD1">
        <w:rPr>
          <w:rFonts w:hAnsi="新細明體" w:hint="eastAsia"/>
        </w:rPr>
        <w:t>台電公司與經濟</w:t>
      </w:r>
      <w:r w:rsidR="00DF55DD" w:rsidRPr="00AB2AD1">
        <w:rPr>
          <w:rFonts w:hAnsi="新細明體" w:hint="eastAsia"/>
        </w:rPr>
        <w:lastRenderedPageBreak/>
        <w:t>部能源局計召開38次協商會議及6次協處會議，而各</w:t>
      </w:r>
      <w:r w:rsidR="00D04483" w:rsidRPr="00AB2AD1">
        <w:rPr>
          <w:rFonts w:hint="eastAsia"/>
        </w:rPr>
        <w:t>發電業者</w:t>
      </w:r>
      <w:r w:rsidR="00D04483" w:rsidRPr="00AB2AD1">
        <w:rPr>
          <w:rFonts w:hAnsi="新細明體" w:hint="eastAsia"/>
        </w:rPr>
        <w:t>之</w:t>
      </w:r>
      <w:r w:rsidR="00DF55DD" w:rsidRPr="00AB2AD1">
        <w:rPr>
          <w:rFonts w:hAnsi="新細明體" w:hint="eastAsia"/>
        </w:rPr>
        <w:t>出席代表，亦多為出席協進會之代表</w:t>
      </w:r>
      <w:r w:rsidR="004A62FB" w:rsidRPr="00AB2AD1">
        <w:rPr>
          <w:rFonts w:hAnsi="標楷體" w:cs="標楷體" w:hint="eastAsia"/>
          <w:szCs w:val="32"/>
        </w:rPr>
        <w:t>；</w:t>
      </w:r>
      <w:r w:rsidR="00DF55DD" w:rsidRPr="00AB2AD1">
        <w:rPr>
          <w:rFonts w:hAnsi="標楷體" w:cs="標楷體" w:hint="eastAsia"/>
          <w:szCs w:val="32"/>
        </w:rPr>
        <w:t>又</w:t>
      </w:r>
      <w:r w:rsidR="002779C9" w:rsidRPr="00AB2AD1">
        <w:rPr>
          <w:rFonts w:hAnsi="標楷體" w:cs="標楷體" w:hint="eastAsia"/>
          <w:szCs w:val="32"/>
        </w:rPr>
        <w:t>於</w:t>
      </w:r>
      <w:r w:rsidR="004A62FB" w:rsidRPr="00AB2AD1">
        <w:rPr>
          <w:rFonts w:hAnsi="標楷體" w:cs="標楷體" w:hint="eastAsia"/>
          <w:szCs w:val="32"/>
        </w:rPr>
        <w:t>101年4月政府決定調漲電價，而引發諸多民怨及工商團體、民意代表之</w:t>
      </w:r>
      <w:r w:rsidR="00D04483" w:rsidRPr="00AB2AD1">
        <w:rPr>
          <w:rFonts w:hAnsi="標楷體" w:cs="標楷體" w:hint="eastAsia"/>
          <w:szCs w:val="32"/>
        </w:rPr>
        <w:t>反對</w:t>
      </w:r>
      <w:r w:rsidR="004A62FB" w:rsidRPr="00AB2AD1">
        <w:rPr>
          <w:rFonts w:hAnsi="標楷體" w:cs="標楷體" w:hint="eastAsia"/>
          <w:szCs w:val="32"/>
        </w:rPr>
        <w:t>意見，</w:t>
      </w:r>
      <w:r w:rsidR="005B2A3B" w:rsidRPr="00AB2AD1">
        <w:rPr>
          <w:rFonts w:hAnsi="標楷體" w:hint="eastAsia"/>
          <w:szCs w:val="32"/>
        </w:rPr>
        <w:t>6月</w:t>
      </w:r>
      <w:r w:rsidR="00D04483" w:rsidRPr="00AB2AD1">
        <w:rPr>
          <w:rFonts w:hAnsi="標楷體" w:cs="標楷體" w:hint="eastAsia"/>
          <w:szCs w:val="32"/>
        </w:rPr>
        <w:t>本院</w:t>
      </w:r>
      <w:r w:rsidR="004A62FB" w:rsidRPr="00AB2AD1">
        <w:rPr>
          <w:rFonts w:hAnsi="標楷體" w:cs="標楷體" w:hint="eastAsia"/>
          <w:szCs w:val="32"/>
        </w:rPr>
        <w:t>對</w:t>
      </w:r>
      <w:r w:rsidR="005B2A3B" w:rsidRPr="00AB2AD1">
        <w:rPr>
          <w:rFonts w:hAnsi="標楷體" w:hint="eastAsia"/>
          <w:szCs w:val="32"/>
        </w:rPr>
        <w:t>台電公司前董事長</w:t>
      </w:r>
      <w:r w:rsidR="00D04483" w:rsidRPr="00AB2AD1">
        <w:rPr>
          <w:rFonts w:hAnsi="標楷體" w:hint="eastAsia"/>
          <w:szCs w:val="32"/>
        </w:rPr>
        <w:t>、</w:t>
      </w:r>
      <w:r w:rsidR="005B2A3B" w:rsidRPr="00AB2AD1">
        <w:rPr>
          <w:rFonts w:hAnsi="標楷體" w:hint="eastAsia"/>
          <w:szCs w:val="32"/>
        </w:rPr>
        <w:t>前總經理迄未與發電業者完成調降利率之協商作業</w:t>
      </w:r>
      <w:r w:rsidR="00D04483" w:rsidRPr="00AB2AD1">
        <w:rPr>
          <w:rFonts w:hAnsi="標楷體" w:hint="eastAsia"/>
          <w:szCs w:val="32"/>
        </w:rPr>
        <w:t>及</w:t>
      </w:r>
      <w:r w:rsidR="00D04483" w:rsidRPr="00AB2AD1">
        <w:rPr>
          <w:rFonts w:hAnsi="標楷體" w:cs="標楷體" w:hint="eastAsia"/>
          <w:szCs w:val="32"/>
        </w:rPr>
        <w:t>該</w:t>
      </w:r>
      <w:r w:rsidR="00D04483" w:rsidRPr="00AB2AD1">
        <w:rPr>
          <w:rFonts w:hAnsi="標楷體" w:hint="eastAsia"/>
          <w:szCs w:val="32"/>
        </w:rPr>
        <w:t>公司</w:t>
      </w:r>
      <w:r w:rsidR="002779C9" w:rsidRPr="00AB2AD1">
        <w:rPr>
          <w:rFonts w:hAnsi="標楷體" w:cs="標楷體" w:hint="eastAsia"/>
          <w:szCs w:val="32"/>
        </w:rPr>
        <w:t>提出彈劾</w:t>
      </w:r>
      <w:r w:rsidR="00D04483" w:rsidRPr="00AB2AD1">
        <w:rPr>
          <w:rFonts w:hAnsi="標楷體" w:cs="標楷體" w:hint="eastAsia"/>
          <w:szCs w:val="32"/>
        </w:rPr>
        <w:t>與糾正案</w:t>
      </w:r>
      <w:r w:rsidR="005B2A3B" w:rsidRPr="00AB2AD1">
        <w:rPr>
          <w:rFonts w:hAnsi="標楷體" w:cs="標楷體" w:hint="eastAsia"/>
          <w:szCs w:val="32"/>
        </w:rPr>
        <w:t>，</w:t>
      </w:r>
      <w:r w:rsidR="002779C9" w:rsidRPr="00AB2AD1">
        <w:rPr>
          <w:rFonts w:hAnsi="標楷體" w:cs="標楷體" w:hint="eastAsia"/>
          <w:szCs w:val="32"/>
        </w:rPr>
        <w:t>立法院</w:t>
      </w:r>
      <w:r w:rsidR="003F25DE" w:rsidRPr="00AB2AD1">
        <w:rPr>
          <w:rFonts w:hAnsi="標楷體" w:cs="標楷體" w:hint="eastAsia"/>
          <w:szCs w:val="32"/>
        </w:rPr>
        <w:t>更於</w:t>
      </w:r>
      <w:r w:rsidR="003F25DE" w:rsidRPr="00AB2AD1">
        <w:rPr>
          <w:rFonts w:hAnsi="標楷體"/>
          <w:szCs w:val="32"/>
        </w:rPr>
        <w:t>10月11日</w:t>
      </w:r>
      <w:r w:rsidR="00D04483" w:rsidRPr="00AB2AD1">
        <w:rPr>
          <w:rFonts w:hAnsi="標楷體" w:cs="標楷體" w:hint="eastAsia"/>
          <w:szCs w:val="32"/>
        </w:rPr>
        <w:t>刪除台電公司部分購</w:t>
      </w:r>
      <w:r w:rsidR="002779C9" w:rsidRPr="00AB2AD1">
        <w:rPr>
          <w:rFonts w:hAnsi="標楷體" w:cs="標楷體" w:hint="eastAsia"/>
          <w:szCs w:val="32"/>
        </w:rPr>
        <w:t>電預算後，</w:t>
      </w:r>
      <w:r w:rsidR="00D04483" w:rsidRPr="00AB2AD1">
        <w:rPr>
          <w:rFonts w:hAnsi="標楷體" w:cs="標楷體" w:hint="eastAsia"/>
          <w:szCs w:val="32"/>
        </w:rPr>
        <w:t>該</w:t>
      </w:r>
      <w:r w:rsidR="002779C9" w:rsidRPr="00AB2AD1">
        <w:rPr>
          <w:rFonts w:hAnsi="標楷體" w:cs="標楷體" w:hint="eastAsia"/>
          <w:szCs w:val="32"/>
        </w:rPr>
        <w:t>公司始</w:t>
      </w:r>
      <w:r w:rsidR="00D04483" w:rsidRPr="00AB2AD1">
        <w:rPr>
          <w:rFonts w:hAnsi="標楷體" w:cs="標楷體" w:hint="eastAsia"/>
          <w:szCs w:val="32"/>
        </w:rPr>
        <w:t>與業者</w:t>
      </w:r>
      <w:r w:rsidR="00271E06" w:rsidRPr="00AB2AD1">
        <w:rPr>
          <w:rFonts w:hAnsi="標楷體" w:cs="標楷體" w:hint="eastAsia"/>
          <w:szCs w:val="32"/>
        </w:rPr>
        <w:t>較</w:t>
      </w:r>
      <w:r w:rsidR="002779C9" w:rsidRPr="00AB2AD1">
        <w:rPr>
          <w:rFonts w:hAnsi="標楷體" w:cs="標楷體" w:hint="eastAsia"/>
          <w:szCs w:val="32"/>
        </w:rPr>
        <w:t>積極</w:t>
      </w:r>
      <w:r w:rsidR="00D04483" w:rsidRPr="00AB2AD1">
        <w:rPr>
          <w:rFonts w:hAnsi="標楷體" w:cs="標楷體" w:hint="eastAsia"/>
          <w:szCs w:val="32"/>
        </w:rPr>
        <w:t>召</w:t>
      </w:r>
      <w:r w:rsidR="002779C9" w:rsidRPr="00AB2AD1">
        <w:rPr>
          <w:rFonts w:hAnsi="標楷體" w:cs="標楷體" w:hint="eastAsia"/>
          <w:szCs w:val="32"/>
        </w:rPr>
        <w:t>開協商會議</w:t>
      </w:r>
      <w:r w:rsidR="004D4856" w:rsidRPr="00AB2AD1">
        <w:rPr>
          <w:rFonts w:hAnsi="標楷體" w:cs="標楷體" w:hint="eastAsia"/>
          <w:szCs w:val="32"/>
        </w:rPr>
        <w:t>(</w:t>
      </w:r>
      <w:r w:rsidR="004D4856" w:rsidRPr="00AB2AD1">
        <w:rPr>
          <w:rFonts w:hAnsi="標楷體"/>
          <w:szCs w:val="32"/>
        </w:rPr>
        <w:t>101年10月</w:t>
      </w:r>
      <w:r w:rsidR="004D4856" w:rsidRPr="00AB2AD1">
        <w:rPr>
          <w:rFonts w:hAnsi="標楷體" w:hint="eastAsia"/>
          <w:szCs w:val="32"/>
        </w:rPr>
        <w:t>24</w:t>
      </w:r>
      <w:r w:rsidR="004D4856" w:rsidRPr="00AB2AD1">
        <w:rPr>
          <w:rFonts w:hAnsi="標楷體"/>
          <w:szCs w:val="32"/>
        </w:rPr>
        <w:t>日</w:t>
      </w:r>
      <w:r w:rsidR="004D4856" w:rsidRPr="00AB2AD1">
        <w:rPr>
          <w:rFonts w:hAnsi="標楷體" w:hint="eastAsia"/>
          <w:szCs w:val="32"/>
        </w:rPr>
        <w:t>至</w:t>
      </w:r>
      <w:r w:rsidR="004D4856" w:rsidRPr="00AB2AD1">
        <w:rPr>
          <w:rFonts w:hAnsi="標楷體"/>
          <w:szCs w:val="32"/>
        </w:rPr>
        <w:t>10</w:t>
      </w:r>
      <w:r w:rsidR="004D4856" w:rsidRPr="00AB2AD1">
        <w:rPr>
          <w:rFonts w:hAnsi="標楷體" w:hint="eastAsia"/>
          <w:szCs w:val="32"/>
        </w:rPr>
        <w:t>2</w:t>
      </w:r>
      <w:r w:rsidR="004D4856" w:rsidRPr="00AB2AD1">
        <w:rPr>
          <w:rFonts w:hAnsi="標楷體"/>
          <w:szCs w:val="32"/>
        </w:rPr>
        <w:t>年</w:t>
      </w:r>
      <w:r w:rsidR="004D4856" w:rsidRPr="00AB2AD1">
        <w:rPr>
          <w:rFonts w:hAnsi="標楷體" w:hint="eastAsia"/>
          <w:szCs w:val="32"/>
        </w:rPr>
        <w:t>8</w:t>
      </w:r>
      <w:r w:rsidR="004D4856" w:rsidRPr="00AB2AD1">
        <w:rPr>
          <w:rFonts w:hAnsi="標楷體"/>
          <w:szCs w:val="32"/>
        </w:rPr>
        <w:t>月</w:t>
      </w:r>
      <w:r w:rsidR="004D4856" w:rsidRPr="00AB2AD1">
        <w:rPr>
          <w:rFonts w:hAnsi="標楷體" w:hint="eastAsia"/>
          <w:szCs w:val="32"/>
        </w:rPr>
        <w:t>14</w:t>
      </w:r>
      <w:r w:rsidR="004D4856" w:rsidRPr="00AB2AD1">
        <w:rPr>
          <w:rFonts w:hAnsi="標楷體"/>
          <w:szCs w:val="32"/>
        </w:rPr>
        <w:t>日</w:t>
      </w:r>
      <w:r w:rsidR="004D4856" w:rsidRPr="00AB2AD1">
        <w:rPr>
          <w:rFonts w:hAnsi="標楷體" w:hint="eastAsia"/>
          <w:szCs w:val="32"/>
        </w:rPr>
        <w:t>間，計召開46次</w:t>
      </w:r>
      <w:r w:rsidR="004D4856" w:rsidRPr="00AB2AD1">
        <w:rPr>
          <w:rFonts w:hAnsi="標楷體" w:cs="標楷體" w:hint="eastAsia"/>
          <w:szCs w:val="32"/>
        </w:rPr>
        <w:t>協商會議)</w:t>
      </w:r>
      <w:r w:rsidR="002779C9" w:rsidRPr="00AB2AD1">
        <w:rPr>
          <w:rFonts w:hAnsi="標楷體" w:cs="標楷體" w:hint="eastAsia"/>
          <w:szCs w:val="32"/>
        </w:rPr>
        <w:t>，</w:t>
      </w:r>
      <w:r w:rsidR="004A62FB" w:rsidRPr="00AB2AD1">
        <w:rPr>
          <w:rFonts w:hAnsi="標楷體" w:cs="標楷體" w:hint="eastAsia"/>
          <w:szCs w:val="32"/>
        </w:rPr>
        <w:t>兼採非規律調度及</w:t>
      </w:r>
      <w:r w:rsidR="00D04483" w:rsidRPr="00AB2AD1">
        <w:rPr>
          <w:rFonts w:hAnsi="標楷體" w:hint="eastAsia"/>
          <w:szCs w:val="32"/>
        </w:rPr>
        <w:t>改以支票</w:t>
      </w:r>
      <w:r w:rsidR="003F25DE" w:rsidRPr="00AB2AD1">
        <w:rPr>
          <w:rFonts w:hAnsi="標楷體" w:hint="eastAsia"/>
          <w:szCs w:val="32"/>
        </w:rPr>
        <w:t>付</w:t>
      </w:r>
      <w:r w:rsidR="00271E06" w:rsidRPr="00AB2AD1">
        <w:rPr>
          <w:rFonts w:hAnsi="標楷體" w:hint="eastAsia"/>
          <w:szCs w:val="32"/>
        </w:rPr>
        <w:t>款</w:t>
      </w:r>
      <w:r w:rsidR="004A62FB" w:rsidRPr="00AB2AD1">
        <w:rPr>
          <w:rFonts w:hAnsi="標楷體" w:cs="標楷體" w:hint="eastAsia"/>
          <w:szCs w:val="32"/>
        </w:rPr>
        <w:t>等手段</w:t>
      </w:r>
      <w:r w:rsidR="003F25DE" w:rsidRPr="00AB2AD1">
        <w:rPr>
          <w:rFonts w:hAnsi="標楷體" w:cs="標楷體" w:hint="eastAsia"/>
          <w:szCs w:val="32"/>
        </w:rPr>
        <w:t>，</w:t>
      </w:r>
      <w:r w:rsidR="003F25DE" w:rsidRPr="00AB2AD1">
        <w:rPr>
          <w:rFonts w:hAnsi="標楷體" w:hint="eastAsia"/>
          <w:szCs w:val="32"/>
        </w:rPr>
        <w:t>經濟</w:t>
      </w:r>
      <w:r w:rsidR="003F25DE" w:rsidRPr="00AB2AD1">
        <w:rPr>
          <w:rFonts w:hAnsi="標楷體"/>
          <w:szCs w:val="32"/>
        </w:rPr>
        <w:t>部</w:t>
      </w:r>
      <w:r w:rsidR="003F25DE" w:rsidRPr="00AB2AD1">
        <w:rPr>
          <w:rFonts w:hAnsi="標楷體" w:hint="eastAsia"/>
          <w:szCs w:val="32"/>
        </w:rPr>
        <w:t>並</w:t>
      </w:r>
      <w:r w:rsidR="003F25DE" w:rsidRPr="00AB2AD1">
        <w:rPr>
          <w:rFonts w:hAnsi="標楷體"/>
          <w:szCs w:val="32"/>
        </w:rPr>
        <w:t>核定改派第三階段4家</w:t>
      </w:r>
      <w:r w:rsidR="003F25DE" w:rsidRPr="00AB2AD1">
        <w:rPr>
          <w:rFonts w:hAnsi="標楷體" w:hint="eastAsia"/>
          <w:szCs w:val="32"/>
        </w:rPr>
        <w:t>電力</w:t>
      </w:r>
      <w:r w:rsidR="003F25DE" w:rsidRPr="00AB2AD1">
        <w:rPr>
          <w:rFonts w:hAnsi="標楷體"/>
          <w:szCs w:val="32"/>
        </w:rPr>
        <w:t>公司之董事長</w:t>
      </w:r>
      <w:r w:rsidR="00E772EF" w:rsidRPr="00AB2AD1">
        <w:rPr>
          <w:rFonts w:hAnsi="標楷體" w:cs="標楷體" w:hint="eastAsia"/>
          <w:szCs w:val="32"/>
        </w:rPr>
        <w:t>，</w:t>
      </w:r>
      <w:r w:rsidR="00677407" w:rsidRPr="00AB2AD1">
        <w:rPr>
          <w:rFonts w:hAnsi="標楷體" w:cs="標楷體" w:hint="eastAsia"/>
          <w:szCs w:val="32"/>
        </w:rPr>
        <w:t>且</w:t>
      </w:r>
      <w:r w:rsidR="003F25DE" w:rsidRPr="00AB2AD1">
        <w:rPr>
          <w:rFonts w:hAnsi="標楷體" w:hint="eastAsia"/>
          <w:szCs w:val="32"/>
        </w:rPr>
        <w:t>經濟部所屬國營事業直接或間接轉投資之國光、星能、星元、森霸</w:t>
      </w:r>
      <w:r w:rsidR="00677407" w:rsidRPr="00AB2AD1">
        <w:rPr>
          <w:rFonts w:hAnsi="標楷體" w:hint="eastAsia"/>
          <w:szCs w:val="32"/>
        </w:rPr>
        <w:t>等4家</w:t>
      </w:r>
      <w:r w:rsidR="003F25DE" w:rsidRPr="00AB2AD1">
        <w:rPr>
          <w:rFonts w:hAnsi="標楷體" w:hint="eastAsia"/>
          <w:szCs w:val="32"/>
        </w:rPr>
        <w:t>電力公司</w:t>
      </w:r>
      <w:r w:rsidR="00247292" w:rsidRPr="00AB2AD1">
        <w:rPr>
          <w:rFonts w:hAnsi="標楷體" w:hint="eastAsia"/>
          <w:szCs w:val="32"/>
        </w:rPr>
        <w:t>及台汽電公司</w:t>
      </w:r>
      <w:r w:rsidR="00677407" w:rsidRPr="00AB2AD1">
        <w:rPr>
          <w:rFonts w:hAnsi="標楷體" w:hint="eastAsia"/>
          <w:szCs w:val="32"/>
        </w:rPr>
        <w:t>所</w:t>
      </w:r>
      <w:r w:rsidR="00247292" w:rsidRPr="00AB2AD1">
        <w:rPr>
          <w:rFonts w:hAnsi="標楷體" w:hint="eastAsia"/>
          <w:szCs w:val="32"/>
        </w:rPr>
        <w:t>委託之法律事務所</w:t>
      </w:r>
      <w:r w:rsidR="00677407" w:rsidRPr="00AB2AD1">
        <w:rPr>
          <w:rFonts w:hAnsi="標楷體" w:cs="標楷體" w:hint="eastAsia"/>
          <w:szCs w:val="32"/>
        </w:rPr>
        <w:t>於</w:t>
      </w:r>
      <w:r w:rsidR="00677407" w:rsidRPr="00AB2AD1">
        <w:rPr>
          <w:rFonts w:hAnsi="標楷體"/>
          <w:szCs w:val="32"/>
        </w:rPr>
        <w:t>1</w:t>
      </w:r>
      <w:r w:rsidR="00677407" w:rsidRPr="00AB2AD1">
        <w:rPr>
          <w:rFonts w:hAnsi="標楷體" w:hint="eastAsia"/>
          <w:szCs w:val="32"/>
        </w:rPr>
        <w:t>1</w:t>
      </w:r>
      <w:r w:rsidR="00677407" w:rsidRPr="00AB2AD1">
        <w:rPr>
          <w:rFonts w:hAnsi="標楷體"/>
          <w:szCs w:val="32"/>
        </w:rPr>
        <w:t>月</w:t>
      </w:r>
      <w:r w:rsidR="00677407" w:rsidRPr="00AB2AD1">
        <w:rPr>
          <w:rFonts w:hAnsi="標楷體" w:hint="eastAsia"/>
          <w:szCs w:val="32"/>
        </w:rPr>
        <w:t>19</w:t>
      </w:r>
      <w:r w:rsidR="00677407" w:rsidRPr="00AB2AD1">
        <w:rPr>
          <w:rFonts w:hAnsi="標楷體"/>
          <w:szCs w:val="32"/>
        </w:rPr>
        <w:t>日</w:t>
      </w:r>
      <w:r w:rsidR="00677407" w:rsidRPr="00AB2AD1">
        <w:rPr>
          <w:rFonts w:hAnsi="標楷體" w:hint="eastAsia"/>
          <w:szCs w:val="32"/>
        </w:rPr>
        <w:t>至</w:t>
      </w:r>
      <w:r w:rsidR="00677407" w:rsidRPr="00AB2AD1">
        <w:rPr>
          <w:rFonts w:hAnsi="標楷體"/>
          <w:szCs w:val="32"/>
        </w:rPr>
        <w:t>1</w:t>
      </w:r>
      <w:r w:rsidR="00677407" w:rsidRPr="00AB2AD1">
        <w:rPr>
          <w:rFonts w:hAnsi="標楷體" w:hint="eastAsia"/>
          <w:szCs w:val="32"/>
        </w:rPr>
        <w:t>1</w:t>
      </w:r>
      <w:r w:rsidR="00677407" w:rsidRPr="00AB2AD1">
        <w:rPr>
          <w:rFonts w:hAnsi="標楷體"/>
          <w:szCs w:val="32"/>
        </w:rPr>
        <w:t>月</w:t>
      </w:r>
      <w:r w:rsidR="00677407" w:rsidRPr="00AB2AD1">
        <w:rPr>
          <w:rFonts w:hAnsi="標楷體" w:hint="eastAsia"/>
          <w:szCs w:val="32"/>
        </w:rPr>
        <w:t>22</w:t>
      </w:r>
      <w:r w:rsidR="00677407" w:rsidRPr="00AB2AD1">
        <w:rPr>
          <w:rFonts w:hAnsi="標楷體"/>
          <w:szCs w:val="32"/>
        </w:rPr>
        <w:t>日</w:t>
      </w:r>
      <w:r w:rsidR="00677407" w:rsidRPr="00AB2AD1">
        <w:rPr>
          <w:rFonts w:hAnsi="標楷體" w:hint="eastAsia"/>
          <w:szCs w:val="32"/>
        </w:rPr>
        <w:t>間</w:t>
      </w:r>
      <w:r w:rsidR="00247292" w:rsidRPr="00AB2AD1">
        <w:rPr>
          <w:rFonts w:hAnsi="標楷體" w:hint="eastAsia"/>
          <w:szCs w:val="32"/>
        </w:rPr>
        <w:t>提出</w:t>
      </w:r>
      <w:r w:rsidR="004D4856" w:rsidRPr="00AB2AD1">
        <w:rPr>
          <w:rFonts w:hAnsi="標楷體" w:hint="eastAsia"/>
          <w:szCs w:val="32"/>
        </w:rPr>
        <w:t>「</w:t>
      </w:r>
      <w:r w:rsidR="00247292" w:rsidRPr="00AB2AD1">
        <w:rPr>
          <w:rFonts w:hAnsi="標楷體" w:hint="eastAsia"/>
          <w:szCs w:val="32"/>
        </w:rPr>
        <w:t>修約調降</w:t>
      </w:r>
      <w:r w:rsidR="00F00817" w:rsidRPr="00AB2AD1">
        <w:rPr>
          <w:rFonts w:hAnsi="標楷體" w:hint="eastAsia"/>
          <w:szCs w:val="32"/>
        </w:rPr>
        <w:t>購電費率</w:t>
      </w:r>
      <w:r w:rsidR="00247292" w:rsidRPr="00AB2AD1">
        <w:rPr>
          <w:rFonts w:hAnsi="標楷體" w:hint="eastAsia"/>
          <w:szCs w:val="32"/>
        </w:rPr>
        <w:t>應不構成刑法及公司法與</w:t>
      </w:r>
      <w:r w:rsidR="00677407" w:rsidRPr="00AB2AD1">
        <w:rPr>
          <w:rFonts w:hAnsi="標楷體" w:hint="eastAsia"/>
          <w:szCs w:val="32"/>
        </w:rPr>
        <w:t>證券交易法</w:t>
      </w:r>
      <w:r w:rsidR="00247292" w:rsidRPr="00AB2AD1">
        <w:rPr>
          <w:rFonts w:hAnsi="標楷體" w:hint="eastAsia"/>
          <w:szCs w:val="32"/>
        </w:rPr>
        <w:t>之違</w:t>
      </w:r>
      <w:r w:rsidR="00677407" w:rsidRPr="00AB2AD1">
        <w:rPr>
          <w:rFonts w:hAnsi="標楷體" w:hint="eastAsia"/>
          <w:szCs w:val="32"/>
        </w:rPr>
        <w:t>法</w:t>
      </w:r>
      <w:r w:rsidR="00247292" w:rsidRPr="00AB2AD1">
        <w:rPr>
          <w:rFonts w:hAnsi="標楷體" w:hint="eastAsia"/>
          <w:szCs w:val="32"/>
        </w:rPr>
        <w:t>、可援引經營判斷法則作為主張董事應免負背信罪及損害賠償之責、台電法人代表董事似無須於台汽電董事會議決時迴避參與討論與表決</w:t>
      </w:r>
      <w:r w:rsidR="004D4856" w:rsidRPr="00AB2AD1">
        <w:rPr>
          <w:rFonts w:hAnsi="標楷體" w:hint="eastAsia"/>
          <w:szCs w:val="32"/>
        </w:rPr>
        <w:t>」</w:t>
      </w:r>
      <w:r w:rsidR="00247292" w:rsidRPr="00AB2AD1">
        <w:rPr>
          <w:rFonts w:hAnsi="標楷體" w:hint="eastAsia"/>
          <w:szCs w:val="32"/>
        </w:rPr>
        <w:t>等法律意見</w:t>
      </w:r>
      <w:r w:rsidR="003F25DE" w:rsidRPr="00AB2AD1">
        <w:rPr>
          <w:rFonts w:hAnsi="標楷體" w:cs="標楷體" w:hint="eastAsia"/>
          <w:szCs w:val="32"/>
        </w:rPr>
        <w:t>，反駁</w:t>
      </w:r>
      <w:r w:rsidR="003F25DE" w:rsidRPr="00AB2AD1">
        <w:rPr>
          <w:rFonts w:hAnsi="標楷體" w:hint="eastAsia"/>
          <w:szCs w:val="32"/>
        </w:rPr>
        <w:t>台汽電公司委託之法律事務所於8</w:t>
      </w:r>
      <w:r w:rsidR="003F25DE" w:rsidRPr="00AB2AD1">
        <w:rPr>
          <w:rFonts w:hAnsi="標楷體"/>
          <w:szCs w:val="32"/>
        </w:rPr>
        <w:t>月</w:t>
      </w:r>
      <w:r w:rsidR="003F25DE" w:rsidRPr="00AB2AD1">
        <w:rPr>
          <w:rFonts w:hAnsi="標楷體" w:hint="eastAsia"/>
          <w:szCs w:val="32"/>
        </w:rPr>
        <w:t>9</w:t>
      </w:r>
      <w:r w:rsidR="003F25DE" w:rsidRPr="00AB2AD1">
        <w:rPr>
          <w:rFonts w:hAnsi="標楷體"/>
          <w:szCs w:val="32"/>
        </w:rPr>
        <w:t>日</w:t>
      </w:r>
      <w:r w:rsidR="003F25DE" w:rsidRPr="00AB2AD1">
        <w:rPr>
          <w:rFonts w:hAnsi="標楷體" w:hint="eastAsia"/>
          <w:szCs w:val="32"/>
        </w:rPr>
        <w:t>提出</w:t>
      </w:r>
      <w:r w:rsidR="00677407" w:rsidRPr="00AB2AD1">
        <w:rPr>
          <w:rFonts w:hAnsi="標楷體" w:hint="eastAsia"/>
          <w:szCs w:val="32"/>
        </w:rPr>
        <w:t>之</w:t>
      </w:r>
      <w:r w:rsidR="004D4856" w:rsidRPr="00AB2AD1">
        <w:rPr>
          <w:rFonts w:hAnsi="標楷體" w:hint="eastAsia"/>
          <w:szCs w:val="32"/>
        </w:rPr>
        <w:t>「台電法人代表董事於</w:t>
      </w:r>
      <w:r w:rsidR="003F25DE" w:rsidRPr="00AB2AD1">
        <w:rPr>
          <w:rFonts w:hAnsi="標楷體" w:hint="eastAsia"/>
          <w:szCs w:val="32"/>
        </w:rPr>
        <w:t>台汽電召開董事會決議本修約案時</w:t>
      </w:r>
      <w:r w:rsidR="004D4856" w:rsidRPr="00AB2AD1">
        <w:rPr>
          <w:rFonts w:hAnsi="標楷體" w:hint="eastAsia"/>
          <w:szCs w:val="32"/>
        </w:rPr>
        <w:t>，</w:t>
      </w:r>
      <w:r w:rsidR="003F25DE" w:rsidRPr="00AB2AD1">
        <w:rPr>
          <w:rFonts w:hAnsi="標楷體" w:hint="eastAsia"/>
          <w:szCs w:val="32"/>
        </w:rPr>
        <w:t>應迴避參與表決</w:t>
      </w:r>
      <w:r w:rsidR="004D4856" w:rsidRPr="00AB2AD1">
        <w:rPr>
          <w:rFonts w:hAnsi="標楷體" w:hint="eastAsia"/>
          <w:szCs w:val="32"/>
        </w:rPr>
        <w:t>」</w:t>
      </w:r>
      <w:r w:rsidR="00247292" w:rsidRPr="00AB2AD1">
        <w:rPr>
          <w:rFonts w:hAnsi="標楷體" w:hint="eastAsia"/>
          <w:szCs w:val="32"/>
        </w:rPr>
        <w:t>等</w:t>
      </w:r>
      <w:r w:rsidR="003F25DE" w:rsidRPr="00AB2AD1">
        <w:rPr>
          <w:rFonts w:hAnsi="標楷體" w:hint="eastAsia"/>
          <w:szCs w:val="32"/>
        </w:rPr>
        <w:t>法律意見</w:t>
      </w:r>
      <w:r w:rsidR="003F25DE" w:rsidRPr="00AB2AD1">
        <w:rPr>
          <w:rFonts w:hAnsi="標楷體" w:cs="標楷體" w:hint="eastAsia"/>
          <w:szCs w:val="32"/>
        </w:rPr>
        <w:t>，</w:t>
      </w:r>
      <w:r w:rsidR="00247292" w:rsidRPr="00AB2AD1">
        <w:rPr>
          <w:rFonts w:hAnsi="標楷體" w:cs="標楷體" w:hint="eastAsia"/>
          <w:szCs w:val="32"/>
        </w:rPr>
        <w:t>經</w:t>
      </w:r>
      <w:r w:rsidR="00677407" w:rsidRPr="00AB2AD1">
        <w:rPr>
          <w:rFonts w:hAnsi="標楷體" w:hint="eastAsia"/>
          <w:szCs w:val="32"/>
        </w:rPr>
        <w:t>台汽電公司於</w:t>
      </w:r>
      <w:r w:rsidR="00247292" w:rsidRPr="00AB2AD1">
        <w:rPr>
          <w:rFonts w:hAnsi="標楷體"/>
          <w:szCs w:val="32"/>
        </w:rPr>
        <w:t>101年1</w:t>
      </w:r>
      <w:r w:rsidR="00247292" w:rsidRPr="00AB2AD1">
        <w:rPr>
          <w:rFonts w:hAnsi="標楷體" w:hint="eastAsia"/>
          <w:szCs w:val="32"/>
        </w:rPr>
        <w:t>1</w:t>
      </w:r>
      <w:r w:rsidR="00247292" w:rsidRPr="00AB2AD1">
        <w:rPr>
          <w:rFonts w:hAnsi="標楷體"/>
          <w:szCs w:val="32"/>
        </w:rPr>
        <w:t>月</w:t>
      </w:r>
      <w:r w:rsidR="00247292" w:rsidRPr="00AB2AD1">
        <w:rPr>
          <w:rFonts w:hAnsi="標楷體" w:hint="eastAsia"/>
          <w:szCs w:val="32"/>
        </w:rPr>
        <w:t>19</w:t>
      </w:r>
      <w:r w:rsidR="00247292" w:rsidRPr="00AB2AD1">
        <w:rPr>
          <w:rFonts w:hAnsi="標楷體"/>
          <w:szCs w:val="32"/>
        </w:rPr>
        <w:t>日</w:t>
      </w:r>
      <w:r w:rsidR="00247292" w:rsidRPr="00AB2AD1">
        <w:rPr>
          <w:rFonts w:hAnsi="標楷體" w:hint="eastAsia"/>
          <w:szCs w:val="32"/>
        </w:rPr>
        <w:t>臨時董事會通過</w:t>
      </w:r>
      <w:r w:rsidR="00247292" w:rsidRPr="00AB2AD1">
        <w:rPr>
          <w:rFonts w:hAnsi="標楷體"/>
          <w:szCs w:val="32"/>
        </w:rPr>
        <w:t>同意協商方案辦理修約</w:t>
      </w:r>
      <w:r w:rsidR="00247292" w:rsidRPr="00AB2AD1">
        <w:rPr>
          <w:rFonts w:hAnsi="標楷體" w:hint="eastAsia"/>
          <w:szCs w:val="32"/>
        </w:rPr>
        <w:t>後</w:t>
      </w:r>
      <w:r w:rsidR="003F25DE" w:rsidRPr="00AB2AD1">
        <w:rPr>
          <w:rFonts w:hAnsi="標楷體" w:hint="eastAsia"/>
          <w:kern w:val="2"/>
          <w:szCs w:val="32"/>
        </w:rPr>
        <w:t>，</w:t>
      </w:r>
      <w:r w:rsidR="004A62FB" w:rsidRPr="00AB2AD1">
        <w:rPr>
          <w:rFonts w:hAnsi="標楷體" w:hint="eastAsia"/>
          <w:kern w:val="2"/>
          <w:szCs w:val="32"/>
        </w:rPr>
        <w:t>迄</w:t>
      </w:r>
      <w:r w:rsidR="00247292" w:rsidRPr="00AB2AD1">
        <w:rPr>
          <w:rFonts w:hAnsi="標楷體"/>
          <w:szCs w:val="32"/>
        </w:rPr>
        <w:t>102年3月6日</w:t>
      </w:r>
      <w:r w:rsidR="004A62FB" w:rsidRPr="00AB2AD1">
        <w:rPr>
          <w:rFonts w:hAnsi="標楷體" w:hint="eastAsia"/>
          <w:szCs w:val="32"/>
        </w:rPr>
        <w:t>國光、星能、星元與森霸等電力公司</w:t>
      </w:r>
      <w:r w:rsidR="004A62FB" w:rsidRPr="00AB2AD1">
        <w:rPr>
          <w:rFonts w:hint="eastAsia"/>
        </w:rPr>
        <w:t>始完成修約</w:t>
      </w:r>
      <w:r w:rsidR="004A62FB" w:rsidRPr="00AB2AD1">
        <w:rPr>
          <w:rFonts w:hAnsi="標楷體" w:cs="標楷體" w:hint="eastAsia"/>
          <w:szCs w:val="32"/>
        </w:rPr>
        <w:t>，又至8月</w:t>
      </w:r>
      <w:r w:rsidR="00247292" w:rsidRPr="00AB2AD1">
        <w:rPr>
          <w:rFonts w:hAnsi="標楷體" w:cs="標楷體" w:hint="eastAsia"/>
          <w:szCs w:val="32"/>
        </w:rPr>
        <w:t>28</w:t>
      </w:r>
      <w:r w:rsidR="00247292" w:rsidRPr="00AB2AD1">
        <w:rPr>
          <w:rFonts w:hAnsi="標楷體"/>
          <w:szCs w:val="32"/>
        </w:rPr>
        <w:t>日</w:t>
      </w:r>
      <w:r w:rsidR="00247292" w:rsidRPr="00AB2AD1">
        <w:rPr>
          <w:rFonts w:hint="eastAsia"/>
        </w:rPr>
        <w:t>其他</w:t>
      </w:r>
      <w:r w:rsidR="004A62FB" w:rsidRPr="00AB2AD1">
        <w:rPr>
          <w:rFonts w:hint="eastAsia"/>
        </w:rPr>
        <w:t>發電業者亦</w:t>
      </w:r>
      <w:r w:rsidR="00247292" w:rsidRPr="00AB2AD1">
        <w:rPr>
          <w:rFonts w:hint="eastAsia"/>
        </w:rPr>
        <w:t>皆</w:t>
      </w:r>
      <w:r w:rsidR="004A62FB" w:rsidRPr="00AB2AD1">
        <w:rPr>
          <w:rFonts w:hint="eastAsia"/>
        </w:rPr>
        <w:t>完成修約</w:t>
      </w:r>
      <w:r w:rsidR="00247292" w:rsidRPr="00AB2AD1">
        <w:rPr>
          <w:rFonts w:hint="eastAsia"/>
        </w:rPr>
        <w:t>，</w:t>
      </w:r>
      <w:r w:rsidR="00247292" w:rsidRPr="00AB2AD1">
        <w:rPr>
          <w:rFonts w:hint="eastAsia"/>
          <w:kern w:val="2"/>
        </w:rPr>
        <w:t>台電</w:t>
      </w:r>
      <w:r w:rsidR="00247292" w:rsidRPr="00AB2AD1">
        <w:t>公司預估每年平均可減少購電支出約</w:t>
      </w:r>
      <w:r w:rsidR="00247292" w:rsidRPr="00AB2AD1">
        <w:rPr>
          <w:rFonts w:hint="eastAsia"/>
        </w:rPr>
        <w:t>15.4</w:t>
      </w:r>
      <w:r w:rsidR="00247292" w:rsidRPr="00AB2AD1">
        <w:t>億元</w:t>
      </w:r>
      <w:r w:rsidR="00926370" w:rsidRPr="00AB2AD1">
        <w:rPr>
          <w:rFonts w:cs="標楷體" w:hint="eastAsia"/>
        </w:rPr>
        <w:t>。</w:t>
      </w:r>
      <w:r w:rsidR="00C44C97" w:rsidRPr="00AB2AD1">
        <w:rPr>
          <w:rFonts w:hint="eastAsia"/>
        </w:rPr>
        <w:t>台電公司及</w:t>
      </w:r>
      <w:r w:rsidR="00FD6487" w:rsidRPr="00AB2AD1">
        <w:rPr>
          <w:rFonts w:hint="eastAsia"/>
        </w:rPr>
        <w:t>經濟部</w:t>
      </w:r>
      <w:r w:rsidR="00C44C97" w:rsidRPr="00AB2AD1">
        <w:rPr>
          <w:rFonts w:hint="eastAsia"/>
        </w:rPr>
        <w:t>對於</w:t>
      </w:r>
      <w:r w:rsidR="00FD6487" w:rsidRPr="00AB2AD1">
        <w:rPr>
          <w:rFonts w:hint="eastAsia"/>
        </w:rPr>
        <w:t>辦理調降</w:t>
      </w:r>
      <w:r w:rsidR="00F00817" w:rsidRPr="00AB2AD1">
        <w:rPr>
          <w:rFonts w:hint="eastAsia"/>
        </w:rPr>
        <w:t>購電費率</w:t>
      </w:r>
      <w:r w:rsidR="00677407" w:rsidRPr="00AB2AD1">
        <w:rPr>
          <w:rFonts w:hint="eastAsia"/>
        </w:rPr>
        <w:t>修約事宜</w:t>
      </w:r>
      <w:r w:rsidR="00FD6487" w:rsidRPr="00AB2AD1">
        <w:rPr>
          <w:rFonts w:hint="eastAsia"/>
        </w:rPr>
        <w:t>之</w:t>
      </w:r>
      <w:r w:rsidR="00FD6487" w:rsidRPr="00AB2AD1">
        <w:rPr>
          <w:rFonts w:ascii="新細明體" w:hAnsi="新細明體" w:hint="eastAsia"/>
          <w:szCs w:val="32"/>
        </w:rPr>
        <w:t>協商及協處作業</w:t>
      </w:r>
      <w:r w:rsidR="00C44C97" w:rsidRPr="00AB2AD1">
        <w:rPr>
          <w:rFonts w:hint="eastAsia"/>
        </w:rPr>
        <w:t>，</w:t>
      </w:r>
      <w:r w:rsidR="00C44C97" w:rsidRPr="00AB2AD1">
        <w:rPr>
          <w:rFonts w:ascii="新細明體" w:hAnsi="新細明體" w:hint="eastAsia"/>
          <w:szCs w:val="32"/>
        </w:rPr>
        <w:t>執行不力</w:t>
      </w:r>
      <w:r w:rsidR="00FD6487" w:rsidRPr="00AB2AD1">
        <w:rPr>
          <w:rFonts w:hint="eastAsia"/>
        </w:rPr>
        <w:t>，且任由各</w:t>
      </w:r>
      <w:r w:rsidR="00C44C97" w:rsidRPr="00AB2AD1">
        <w:rPr>
          <w:rFonts w:hint="eastAsia"/>
        </w:rPr>
        <w:t>民營</w:t>
      </w:r>
      <w:r w:rsidR="00FD6487" w:rsidRPr="00AB2AD1">
        <w:rPr>
          <w:rFonts w:hint="eastAsia"/>
        </w:rPr>
        <w:t>發電業者聯合抵制，顯未能善盡管理責任，爭取台電公司最大利益，以維護政府權</w:t>
      </w:r>
      <w:r w:rsidR="00FD6487" w:rsidRPr="00AB2AD1">
        <w:rPr>
          <w:rFonts w:hint="eastAsia"/>
        </w:rPr>
        <w:lastRenderedPageBreak/>
        <w:t>益，</w:t>
      </w:r>
      <w:r w:rsidR="00C44C97" w:rsidRPr="00AB2AD1">
        <w:rPr>
          <w:rFonts w:ascii="新細明體" w:hAnsi="新細明體" w:hint="eastAsia"/>
          <w:szCs w:val="32"/>
        </w:rPr>
        <w:t>徒增台電公司之虧損</w:t>
      </w:r>
      <w:r w:rsidR="00C63ADD" w:rsidRPr="00AB2AD1">
        <w:rPr>
          <w:rFonts w:ascii="新細明體" w:hAnsi="新細明體" w:hint="eastAsia"/>
          <w:szCs w:val="32"/>
        </w:rPr>
        <w:t>與</w:t>
      </w:r>
      <w:r w:rsidR="00C63ADD" w:rsidRPr="00AB2AD1">
        <w:t>購電支出</w:t>
      </w:r>
      <w:r w:rsidR="00C44C97" w:rsidRPr="00AB2AD1">
        <w:rPr>
          <w:rFonts w:ascii="新細明體" w:hAnsi="新細明體" w:hint="eastAsia"/>
          <w:szCs w:val="32"/>
        </w:rPr>
        <w:t>，</w:t>
      </w:r>
      <w:r w:rsidR="00FD6487" w:rsidRPr="00AB2AD1">
        <w:rPr>
          <w:rFonts w:hint="eastAsia"/>
        </w:rPr>
        <w:t>確有違失。</w:t>
      </w:r>
    </w:p>
    <w:p w:rsidR="00CC14C7" w:rsidRPr="00AB2AD1" w:rsidRDefault="004110B9" w:rsidP="00FF16E8">
      <w:pPr>
        <w:pStyle w:val="2"/>
        <w:spacing w:beforeLines="20"/>
        <w:ind w:left="1043"/>
      </w:pPr>
      <w:bookmarkStart w:id="58" w:name="_Toc370719954"/>
      <w:r w:rsidRPr="00AB2AD1">
        <w:rPr>
          <w:rFonts w:hAnsi="標楷體" w:cs="新細明體" w:hint="eastAsia"/>
          <w:szCs w:val="32"/>
        </w:rPr>
        <w:t>經濟部</w:t>
      </w:r>
      <w:r w:rsidR="00FD4180" w:rsidRPr="00AB2AD1">
        <w:rPr>
          <w:rFonts w:hAnsi="標楷體" w:cs="新細明體" w:hint="eastAsia"/>
          <w:szCs w:val="32"/>
        </w:rPr>
        <w:t>及</w:t>
      </w:r>
      <w:r w:rsidR="008C79E5" w:rsidRPr="00AB2AD1">
        <w:rPr>
          <w:rFonts w:hAnsi="標楷體" w:cs="新細明體" w:hint="eastAsia"/>
          <w:szCs w:val="32"/>
        </w:rPr>
        <w:t>台電公司</w:t>
      </w:r>
      <w:r w:rsidR="00FD4180" w:rsidRPr="00AB2AD1">
        <w:rPr>
          <w:rFonts w:hAnsi="標楷體" w:cs="新細明體" w:hint="eastAsia"/>
          <w:szCs w:val="32"/>
        </w:rPr>
        <w:t>對</w:t>
      </w:r>
      <w:r w:rsidRPr="00AB2AD1">
        <w:rPr>
          <w:rFonts w:hAnsi="標楷體" w:cs="新細明體" w:hint="eastAsia"/>
          <w:szCs w:val="32"/>
        </w:rPr>
        <w:t>其</w:t>
      </w:r>
      <w:r w:rsidR="008C79E5" w:rsidRPr="00AB2AD1">
        <w:rPr>
          <w:rFonts w:hAnsi="標楷體" w:cs="新細明體" w:hint="eastAsia"/>
          <w:szCs w:val="32"/>
        </w:rPr>
        <w:t>轉投資</w:t>
      </w:r>
      <w:r w:rsidRPr="00AB2AD1">
        <w:rPr>
          <w:rFonts w:hAnsi="標楷體" w:cs="新細明體" w:hint="eastAsia"/>
          <w:szCs w:val="32"/>
        </w:rPr>
        <w:t>之台汽電公司、</w:t>
      </w:r>
      <w:r w:rsidR="008C79E5" w:rsidRPr="00AB2AD1">
        <w:rPr>
          <w:rFonts w:hAnsi="標楷體" w:cs="新細明體" w:hint="eastAsia"/>
          <w:szCs w:val="32"/>
        </w:rPr>
        <w:t>再轉投資</w:t>
      </w:r>
      <w:r w:rsidRPr="00AB2AD1">
        <w:rPr>
          <w:rFonts w:hAnsi="標楷體" w:cs="新細明體" w:hint="eastAsia"/>
          <w:szCs w:val="32"/>
        </w:rPr>
        <w:t>之</w:t>
      </w:r>
      <w:r w:rsidR="008C79E5" w:rsidRPr="00AB2AD1">
        <w:rPr>
          <w:rFonts w:hAnsi="標楷體" w:cs="新細明體" w:hint="eastAsia"/>
          <w:szCs w:val="32"/>
        </w:rPr>
        <w:t>民營電力公司，具有實質控制權，且應知台電公司與各該發電業者協商調降購電費率，因事涉合約修改，並對公司營運將產生重大影響，須報經各該董事會同意後始能辦理，卻未積極督促公股代表</w:t>
      </w:r>
      <w:r w:rsidRPr="00AB2AD1">
        <w:rPr>
          <w:rFonts w:hAnsi="標楷體" w:cs="新細明體" w:hint="eastAsia"/>
          <w:szCs w:val="32"/>
        </w:rPr>
        <w:t>將</w:t>
      </w:r>
      <w:r w:rsidR="00FD4180" w:rsidRPr="00AB2AD1">
        <w:rPr>
          <w:rFonts w:hAnsi="標楷體" w:cs="新細明體" w:hint="eastAsia"/>
          <w:szCs w:val="32"/>
        </w:rPr>
        <w:t>調降購電費率等事宜</w:t>
      </w:r>
      <w:r w:rsidR="008C79E5" w:rsidRPr="00AB2AD1">
        <w:rPr>
          <w:rFonts w:hAnsi="標楷體" w:cs="新細明體" w:hint="eastAsia"/>
          <w:szCs w:val="32"/>
        </w:rPr>
        <w:t>列入董事會討論</w:t>
      </w:r>
      <w:r w:rsidR="00FD4180" w:rsidRPr="00AB2AD1">
        <w:rPr>
          <w:rFonts w:hAnsi="標楷體" w:cs="新細明體" w:hint="eastAsia"/>
          <w:szCs w:val="32"/>
        </w:rPr>
        <w:t>，並請各公股代表支持</w:t>
      </w:r>
      <w:r w:rsidR="008C79E5" w:rsidRPr="00AB2AD1">
        <w:rPr>
          <w:rFonts w:hAnsi="標楷體" w:cs="新細明體" w:hint="eastAsia"/>
          <w:szCs w:val="32"/>
        </w:rPr>
        <w:t>，致</w:t>
      </w:r>
      <w:r w:rsidR="00494C4D" w:rsidRPr="00AB2AD1">
        <w:rPr>
          <w:rFonts w:hAnsi="標楷體" w:cs="新細明體" w:hint="eastAsia"/>
          <w:szCs w:val="32"/>
        </w:rPr>
        <w:t>台電再轉投資之</w:t>
      </w:r>
      <w:r w:rsidR="008C79E5" w:rsidRPr="00AB2AD1">
        <w:rPr>
          <w:rFonts w:hAnsi="標楷體" w:cs="新細明體" w:hint="eastAsia"/>
          <w:szCs w:val="32"/>
        </w:rPr>
        <w:t>民營電力公司歷經4年6個月之協商及協處，始完成調降購電費率之修約作業，</w:t>
      </w:r>
      <w:r w:rsidR="00CC14C7" w:rsidRPr="00AB2AD1">
        <w:rPr>
          <w:rFonts w:hAnsi="標楷體" w:cs="新細明體" w:hint="eastAsia"/>
          <w:szCs w:val="32"/>
        </w:rPr>
        <w:t>顯難辭管理失當之責。</w:t>
      </w:r>
      <w:bookmarkEnd w:id="58"/>
    </w:p>
    <w:p w:rsidR="00DC1E25" w:rsidRPr="00AB2AD1" w:rsidRDefault="00DC1E25" w:rsidP="002E3D55">
      <w:pPr>
        <w:pStyle w:val="3"/>
        <w:kinsoku/>
        <w:ind w:left="1394"/>
        <w:rPr>
          <w:rFonts w:hAnsi="標楷體"/>
        </w:rPr>
      </w:pPr>
      <w:r w:rsidRPr="00AB2AD1">
        <w:rPr>
          <w:rFonts w:hint="eastAsia"/>
        </w:rPr>
        <w:t>依「經濟部所屬事業民營化後公股股權管理要點」第</w:t>
      </w:r>
      <w:r w:rsidRPr="00AB2AD1">
        <w:t>2</w:t>
      </w:r>
      <w:r w:rsidRPr="00AB2AD1">
        <w:rPr>
          <w:rFonts w:hint="eastAsia"/>
        </w:rPr>
        <w:t>點規定，經濟部為管理公股股權，由國營會負責辦理…提供公股管理及公股代表職責之相關法令規定，並適時轉達經濟部意見等。同法第</w:t>
      </w:r>
      <w:r w:rsidRPr="00AB2AD1">
        <w:t>11</w:t>
      </w:r>
      <w:r w:rsidRPr="00AB2AD1">
        <w:rPr>
          <w:rFonts w:hint="eastAsia"/>
        </w:rPr>
        <w:t>點規定，經濟部投資其他民營事業之公股股權管理準用本要點之規定。又</w:t>
      </w:r>
      <w:r w:rsidR="00700F2C" w:rsidRPr="00AB2AD1">
        <w:rPr>
          <w:rFonts w:hint="eastAsia"/>
        </w:rPr>
        <w:t>據</w:t>
      </w:r>
      <w:r w:rsidRPr="00AB2AD1">
        <w:rPr>
          <w:rFonts w:hint="eastAsia"/>
        </w:rPr>
        <w:t>「中央政府營業及非營業基金參加民營事業管理要點」第</w:t>
      </w:r>
      <w:r w:rsidRPr="00AB2AD1">
        <w:t>7</w:t>
      </w:r>
      <w:r w:rsidRPr="00AB2AD1">
        <w:rPr>
          <w:rFonts w:hint="eastAsia"/>
        </w:rPr>
        <w:t>點規定</w:t>
      </w:r>
      <w:r w:rsidR="002E3D55" w:rsidRPr="00AB2AD1">
        <w:rPr>
          <w:rFonts w:hint="eastAsia"/>
        </w:rPr>
        <w:t>，</w:t>
      </w:r>
      <w:r w:rsidRPr="00AB2AD1">
        <w:rPr>
          <w:rFonts w:hint="eastAsia"/>
        </w:rPr>
        <w:t>公股代表對於投資民營事業處理締結、變更或終止關於出租全部營業，委託經營或與他人經常共同經營之契約等，應在民營事業會商或會議有所決定前，備具有關資料，加註意見，由參加投資之基金先期報請主管機關核示。前項重大事項，應依主管機關或參加投資之基金之指示，於會商或會議時向投資之民營事業提出主張，並於事後將會商或會議結果由參加投資之基金報請主管機關備查。另依</w:t>
      </w:r>
      <w:r w:rsidRPr="00AB2AD1">
        <w:rPr>
          <w:rFonts w:hAnsi="標楷體" w:hint="eastAsia"/>
        </w:rPr>
        <w:t>「台汽電公司轉投資事業管理辦法」第</w:t>
      </w:r>
      <w:r w:rsidRPr="00AB2AD1">
        <w:rPr>
          <w:rFonts w:hAnsi="標楷體"/>
        </w:rPr>
        <w:t>6.2.2</w:t>
      </w:r>
      <w:r w:rsidRPr="00AB2AD1">
        <w:rPr>
          <w:rFonts w:hAnsi="標楷體" w:hint="eastAsia"/>
        </w:rPr>
        <w:t>條規定：「…轉投資事業之董事會…提案事項…，經董事長核示後，由派任之各該轉投資事業股權代表人…據以執行。」</w:t>
      </w:r>
    </w:p>
    <w:p w:rsidR="00DC1E25" w:rsidRPr="00AB2AD1" w:rsidRDefault="00DC1E25" w:rsidP="00DC1E25">
      <w:pPr>
        <w:pStyle w:val="3"/>
        <w:rPr>
          <w:rFonts w:hAnsi="標楷體"/>
          <w:szCs w:val="32"/>
        </w:rPr>
      </w:pPr>
      <w:r w:rsidRPr="00AB2AD1">
        <w:rPr>
          <w:rFonts w:hAnsi="標楷體" w:hint="eastAsia"/>
          <w:szCs w:val="32"/>
        </w:rPr>
        <w:t>按公司法第</w:t>
      </w:r>
      <w:r w:rsidRPr="00AB2AD1">
        <w:rPr>
          <w:rFonts w:hAnsi="標楷體"/>
          <w:szCs w:val="32"/>
        </w:rPr>
        <w:t>369-1</w:t>
      </w:r>
      <w:r w:rsidRPr="00AB2AD1">
        <w:rPr>
          <w:rFonts w:hAnsi="標楷體" w:hint="eastAsia"/>
          <w:szCs w:val="32"/>
        </w:rPr>
        <w:t>、第</w:t>
      </w:r>
      <w:r w:rsidRPr="00AB2AD1">
        <w:rPr>
          <w:rFonts w:hAnsi="標楷體"/>
          <w:szCs w:val="32"/>
        </w:rPr>
        <w:t>369-2</w:t>
      </w:r>
      <w:r w:rsidRPr="00AB2AD1">
        <w:rPr>
          <w:rFonts w:hAnsi="標楷體" w:hint="eastAsia"/>
          <w:szCs w:val="32"/>
        </w:rPr>
        <w:t>及</w:t>
      </w:r>
      <w:r w:rsidRPr="00AB2AD1">
        <w:rPr>
          <w:rFonts w:ascii="新細明體" w:hAnsi="新細明體" w:hint="eastAsia"/>
        </w:rPr>
        <w:t>第</w:t>
      </w:r>
      <w:r w:rsidRPr="00AB2AD1">
        <w:t>369-3</w:t>
      </w:r>
      <w:r w:rsidRPr="00AB2AD1">
        <w:rPr>
          <w:rFonts w:hAnsi="標楷體" w:hint="eastAsia"/>
          <w:szCs w:val="32"/>
        </w:rPr>
        <w:t>條規定，</w:t>
      </w:r>
      <w:r w:rsidRPr="00AB2AD1">
        <w:rPr>
          <w:rFonts w:hAnsi="標楷體" w:hint="eastAsia"/>
          <w:szCs w:val="32"/>
        </w:rPr>
        <w:lastRenderedPageBreak/>
        <w:t>公司獨立存在而相互間具有控制與從屬關係之公司為關係企業，又公司持有他公司有表決權之股份或出資額，超過他公司已發行有表決權之股份總數或資本總額半數者為控制公司，而該他公司為從屬公司；公司直接或間接控制他公司之人事、財務或業務經營者亦為控制公司，而該他公司為從屬公司；</w:t>
      </w:r>
      <w:r w:rsidRPr="00AB2AD1">
        <w:rPr>
          <w:rFonts w:ascii="新細明體" w:hAnsi="新細明體" w:hint="eastAsia"/>
        </w:rPr>
        <w:t>公司與他公司之執行業務股東或</w:t>
      </w:r>
      <w:r w:rsidRPr="00AB2AD1">
        <w:rPr>
          <w:rFonts w:ascii="新細明體" w:hAnsi="新細明體" w:hint="eastAsia"/>
          <w:szCs w:val="20"/>
        </w:rPr>
        <w:t>董</w:t>
      </w:r>
      <w:r w:rsidRPr="00AB2AD1">
        <w:rPr>
          <w:rFonts w:ascii="新細明體" w:hAnsi="新細明體" w:hint="eastAsia"/>
        </w:rPr>
        <w:t>事有半數以上相同者推定為有控制與從屬關係。</w:t>
      </w:r>
      <w:r w:rsidRPr="00AB2AD1">
        <w:rPr>
          <w:rFonts w:hAnsi="標楷體" w:hint="eastAsia"/>
          <w:szCs w:val="32"/>
        </w:rPr>
        <w:t>與本案有關之台汽電公司</w:t>
      </w:r>
      <w:r w:rsidR="007875F9" w:rsidRPr="00AB2AD1">
        <w:rPr>
          <w:rFonts w:hAnsi="標楷體" w:hint="eastAsia"/>
          <w:szCs w:val="32"/>
        </w:rPr>
        <w:t>及</w:t>
      </w:r>
      <w:r w:rsidRPr="00AB2AD1">
        <w:rPr>
          <w:rFonts w:hAnsi="標楷體" w:hint="eastAsia"/>
          <w:szCs w:val="32"/>
        </w:rPr>
        <w:t>其轉投資民營電力公司之</w:t>
      </w:r>
      <w:r w:rsidR="007875F9" w:rsidRPr="00AB2AD1">
        <w:rPr>
          <w:rFonts w:hAnsi="標楷體" w:hint="eastAsia"/>
          <w:szCs w:val="32"/>
        </w:rPr>
        <w:t>股權等情摘述</w:t>
      </w:r>
      <w:r w:rsidRPr="00AB2AD1">
        <w:rPr>
          <w:rFonts w:hAnsi="標楷體" w:hint="eastAsia"/>
          <w:szCs w:val="32"/>
        </w:rPr>
        <w:t>如下：</w:t>
      </w:r>
    </w:p>
    <w:p w:rsidR="00DC1E25" w:rsidRPr="00AB2AD1" w:rsidRDefault="00DC1E25" w:rsidP="00DC1E25">
      <w:pPr>
        <w:pStyle w:val="4"/>
      </w:pPr>
      <w:r w:rsidRPr="00AB2AD1">
        <w:rPr>
          <w:rFonts w:hint="eastAsia"/>
        </w:rPr>
        <w:t>台汽電公司：於</w:t>
      </w:r>
      <w:r w:rsidRPr="00AB2AD1">
        <w:t>81</w:t>
      </w:r>
      <w:r w:rsidRPr="00AB2AD1">
        <w:rPr>
          <w:rFonts w:hint="eastAsia"/>
        </w:rPr>
        <w:t>年由經濟部主導，結合台電等公司集資共同成立台汽電公司，其董事會由</w:t>
      </w:r>
      <w:r w:rsidRPr="00AB2AD1">
        <w:t>13</w:t>
      </w:r>
      <w:r w:rsidRPr="00AB2AD1">
        <w:rPr>
          <w:rFonts w:hint="eastAsia"/>
        </w:rPr>
        <w:t>位董事組成</w:t>
      </w:r>
      <w:r w:rsidRPr="00AB2AD1">
        <w:t>(</w:t>
      </w:r>
      <w:r w:rsidRPr="00AB2AD1">
        <w:rPr>
          <w:rFonts w:hint="eastAsia"/>
        </w:rPr>
        <w:t>包括</w:t>
      </w:r>
      <w:r w:rsidRPr="00AB2AD1">
        <w:t>3</w:t>
      </w:r>
      <w:r w:rsidRPr="00AB2AD1">
        <w:rPr>
          <w:rFonts w:hint="eastAsia"/>
        </w:rPr>
        <w:t>席獨立董事</w:t>
      </w:r>
      <w:r w:rsidRPr="00AB2AD1">
        <w:t>)</w:t>
      </w:r>
      <w:r w:rsidR="007875F9" w:rsidRPr="00AB2AD1">
        <w:rPr>
          <w:rFonts w:hint="eastAsia"/>
        </w:rPr>
        <w:t>，由</w:t>
      </w:r>
      <w:r w:rsidRPr="00AB2AD1">
        <w:rPr>
          <w:rFonts w:hint="eastAsia"/>
        </w:rPr>
        <w:t>台電公司持有其轉投資事業台汽電公司之</w:t>
      </w:r>
      <w:r w:rsidRPr="00AB2AD1">
        <w:t>27.66</w:t>
      </w:r>
      <w:r w:rsidRPr="00AB2AD1">
        <w:rPr>
          <w:rFonts w:hint="eastAsia"/>
        </w:rPr>
        <w:t>％股份，為最大股東，並指派</w:t>
      </w:r>
      <w:r w:rsidRPr="00AB2AD1">
        <w:t>6</w:t>
      </w:r>
      <w:r w:rsidRPr="00AB2AD1">
        <w:rPr>
          <w:rFonts w:hint="eastAsia"/>
        </w:rPr>
        <w:t>名法人代表擔任董事，</w:t>
      </w:r>
      <w:r w:rsidR="007875F9" w:rsidRPr="00AB2AD1">
        <w:rPr>
          <w:rFonts w:hint="eastAsia"/>
        </w:rPr>
        <w:t>且</w:t>
      </w:r>
      <w:r w:rsidRPr="00AB2AD1">
        <w:rPr>
          <w:rFonts w:hint="eastAsia"/>
        </w:rPr>
        <w:t>由其中</w:t>
      </w:r>
      <w:r w:rsidRPr="00AB2AD1">
        <w:t>1</w:t>
      </w:r>
      <w:r w:rsidRPr="00AB2AD1">
        <w:rPr>
          <w:rFonts w:hint="eastAsia"/>
        </w:rPr>
        <w:t>位擔任董事長。又台電公司派任台汽電公司之董事均為一般董事，惟於</w:t>
      </w:r>
      <w:r w:rsidRPr="00AB2AD1">
        <w:t>100</w:t>
      </w:r>
      <w:r w:rsidRPr="00AB2AD1">
        <w:rPr>
          <w:rFonts w:hint="eastAsia"/>
        </w:rPr>
        <w:t>年</w:t>
      </w:r>
      <w:r w:rsidRPr="00AB2AD1">
        <w:t>4</w:t>
      </w:r>
      <w:r w:rsidRPr="00AB2AD1">
        <w:rPr>
          <w:rFonts w:hint="eastAsia"/>
        </w:rPr>
        <w:t>月台汽電公司第</w:t>
      </w:r>
      <w:r w:rsidRPr="00AB2AD1">
        <w:t>8</w:t>
      </w:r>
      <w:r w:rsidRPr="00AB2AD1">
        <w:rPr>
          <w:rFonts w:hint="eastAsia"/>
        </w:rPr>
        <w:t>屆董事會改選時，</w:t>
      </w:r>
      <w:r w:rsidR="007875F9" w:rsidRPr="00AB2AD1">
        <w:rPr>
          <w:rFonts w:hint="eastAsia"/>
        </w:rPr>
        <w:t>由</w:t>
      </w:r>
      <w:r w:rsidRPr="00AB2AD1">
        <w:rPr>
          <w:rFonts w:hint="eastAsia"/>
        </w:rPr>
        <w:t>台電公司</w:t>
      </w:r>
      <w:r w:rsidR="007875F9" w:rsidRPr="00AB2AD1">
        <w:rPr>
          <w:rFonts w:hint="eastAsia"/>
        </w:rPr>
        <w:t>所</w:t>
      </w:r>
      <w:r w:rsidRPr="00AB2AD1">
        <w:rPr>
          <w:rFonts w:hint="eastAsia"/>
        </w:rPr>
        <w:t>提名</w:t>
      </w:r>
      <w:r w:rsidR="007875F9" w:rsidRPr="00AB2AD1">
        <w:rPr>
          <w:rFonts w:hint="eastAsia"/>
        </w:rPr>
        <w:t>之</w:t>
      </w:r>
      <w:r w:rsidRPr="00AB2AD1">
        <w:t>2</w:t>
      </w:r>
      <w:r w:rsidRPr="00AB2AD1">
        <w:rPr>
          <w:rFonts w:hint="eastAsia"/>
        </w:rPr>
        <w:t>席獨立董事候選人，皆獲當選，</w:t>
      </w:r>
      <w:r w:rsidR="007875F9" w:rsidRPr="00AB2AD1">
        <w:rPr>
          <w:rFonts w:hint="eastAsia"/>
        </w:rPr>
        <w:t>嗣</w:t>
      </w:r>
      <w:r w:rsidRPr="00AB2AD1">
        <w:rPr>
          <w:rFonts w:hint="eastAsia"/>
        </w:rPr>
        <w:t>於</w:t>
      </w:r>
      <w:r w:rsidRPr="00AB2AD1">
        <w:t>101</w:t>
      </w:r>
      <w:r w:rsidRPr="00AB2AD1">
        <w:rPr>
          <w:rFonts w:hint="eastAsia"/>
        </w:rPr>
        <w:t>年</w:t>
      </w:r>
      <w:r w:rsidRPr="00AB2AD1">
        <w:t>1</w:t>
      </w:r>
      <w:r w:rsidRPr="00AB2AD1">
        <w:rPr>
          <w:rFonts w:hint="eastAsia"/>
        </w:rPr>
        <w:t>月其中</w:t>
      </w:r>
      <w:r w:rsidRPr="00AB2AD1">
        <w:t>1</w:t>
      </w:r>
      <w:r w:rsidR="007875F9" w:rsidRPr="00AB2AD1">
        <w:rPr>
          <w:rFonts w:hint="eastAsia"/>
        </w:rPr>
        <w:t>席</w:t>
      </w:r>
      <w:r w:rsidRPr="00AB2AD1">
        <w:rPr>
          <w:rFonts w:hint="eastAsia"/>
        </w:rPr>
        <w:t>獨立董事辭任，同年</w:t>
      </w:r>
      <w:r w:rsidRPr="00AB2AD1">
        <w:t>4</w:t>
      </w:r>
      <w:r w:rsidRPr="00AB2AD1">
        <w:rPr>
          <w:rFonts w:hint="eastAsia"/>
        </w:rPr>
        <w:t>月補選時，台電公司提名之獨立董事候選人</w:t>
      </w:r>
      <w:r w:rsidR="007875F9" w:rsidRPr="00AB2AD1">
        <w:rPr>
          <w:rFonts w:hint="eastAsia"/>
        </w:rPr>
        <w:t>亦獲當選</w:t>
      </w:r>
      <w:r w:rsidRPr="00AB2AD1">
        <w:rPr>
          <w:rFonts w:hint="eastAsia"/>
        </w:rPr>
        <w:t>(曾任台電公司總經理</w:t>
      </w:r>
      <w:r w:rsidR="007875F9" w:rsidRPr="00AB2AD1">
        <w:rPr>
          <w:rFonts w:hint="eastAsia"/>
        </w:rPr>
        <w:t>、</w:t>
      </w:r>
      <w:r w:rsidRPr="00AB2AD1">
        <w:rPr>
          <w:rFonts w:hint="eastAsia"/>
        </w:rPr>
        <w:t>董事長</w:t>
      </w:r>
      <w:r w:rsidR="007875F9" w:rsidRPr="00AB2AD1">
        <w:rPr>
          <w:rFonts w:hint="eastAsia"/>
        </w:rPr>
        <w:t>及</w:t>
      </w:r>
      <w:r w:rsidRPr="00AB2AD1">
        <w:rPr>
          <w:rFonts w:hint="eastAsia"/>
        </w:rPr>
        <w:t>星能、星元電力公司董事長)。而台汽電公司主要轉投資事業為國光、星能、森霸、星元等民營電力公司，其盈餘大部分來自該4家民營電廠之轉投資收益。近</w:t>
      </w:r>
      <w:r w:rsidRPr="00AB2AD1">
        <w:t>10</w:t>
      </w:r>
      <w:r w:rsidRPr="00AB2AD1">
        <w:rPr>
          <w:rFonts w:hint="eastAsia"/>
        </w:rPr>
        <w:t>年台電公司對於台汽電公司持股比例及股權代表席次之情形如</w:t>
      </w:r>
      <w:r w:rsidR="00271E06" w:rsidRPr="00AB2AD1">
        <w:rPr>
          <w:rFonts w:hint="eastAsia"/>
        </w:rPr>
        <w:t>表</w:t>
      </w:r>
      <w:r w:rsidR="00FE7C59" w:rsidRPr="00AB2AD1">
        <w:rPr>
          <w:rFonts w:hint="eastAsia"/>
        </w:rPr>
        <w:t>三</w:t>
      </w:r>
      <w:r w:rsidR="00271E06" w:rsidRPr="00AB2AD1">
        <w:rPr>
          <w:rFonts w:hint="eastAsia"/>
        </w:rPr>
        <w:t>。</w:t>
      </w:r>
    </w:p>
    <w:p w:rsidR="00A62E84" w:rsidRPr="00AB2AD1" w:rsidRDefault="00A62E84" w:rsidP="00FE7C59">
      <w:pPr>
        <w:pStyle w:val="a1"/>
        <w:numPr>
          <w:ilvl w:val="0"/>
          <w:numId w:val="0"/>
        </w:numPr>
        <w:ind w:leftChars="-100" w:left="-340" w:rightChars="-233" w:right="-793"/>
        <w:jc w:val="center"/>
        <w:rPr>
          <w:rFonts w:ascii="Times New Roman"/>
          <w:sz w:val="28"/>
          <w:szCs w:val="28"/>
        </w:rPr>
      </w:pPr>
    </w:p>
    <w:p w:rsidR="00FE7C59" w:rsidRPr="00AB2AD1" w:rsidRDefault="00FE7C59" w:rsidP="00FE7C59">
      <w:pPr>
        <w:pStyle w:val="a1"/>
        <w:numPr>
          <w:ilvl w:val="0"/>
          <w:numId w:val="0"/>
        </w:numPr>
        <w:ind w:leftChars="-100" w:left="-340" w:rightChars="-233" w:right="-793"/>
        <w:jc w:val="center"/>
        <w:rPr>
          <w:rFonts w:ascii="Times New Roman"/>
          <w:sz w:val="28"/>
          <w:szCs w:val="28"/>
        </w:rPr>
      </w:pPr>
      <w:bookmarkStart w:id="59" w:name="_Toc370720518"/>
      <w:bookmarkStart w:id="60" w:name="_Toc370721999"/>
      <w:bookmarkStart w:id="61" w:name="_Toc370914209"/>
      <w:r w:rsidRPr="00AB2AD1">
        <w:rPr>
          <w:rFonts w:ascii="Times New Roman" w:hint="eastAsia"/>
          <w:sz w:val="28"/>
          <w:szCs w:val="28"/>
        </w:rPr>
        <w:t>表三、</w:t>
      </w:r>
      <w:r w:rsidRPr="00AB2AD1">
        <w:rPr>
          <w:rFonts w:ascii="Times New Roman"/>
          <w:sz w:val="28"/>
          <w:szCs w:val="28"/>
        </w:rPr>
        <w:t>台電公司對台汽電公司之持股比例及股權代表席次：近</w:t>
      </w:r>
      <w:r w:rsidRPr="00AB2AD1">
        <w:rPr>
          <w:rFonts w:ascii="Times New Roman"/>
          <w:sz w:val="28"/>
          <w:szCs w:val="28"/>
        </w:rPr>
        <w:t>10</w:t>
      </w:r>
      <w:r w:rsidRPr="00AB2AD1">
        <w:rPr>
          <w:rFonts w:ascii="Times New Roman"/>
          <w:sz w:val="28"/>
          <w:szCs w:val="28"/>
        </w:rPr>
        <w:t>年</w:t>
      </w:r>
      <w:bookmarkEnd w:id="59"/>
      <w:bookmarkEnd w:id="60"/>
      <w:bookmarkEnd w:id="61"/>
    </w:p>
    <w:tbl>
      <w:tblPr>
        <w:tblW w:w="9214" w:type="dxa"/>
        <w:tblInd w:w="294" w:type="dxa"/>
        <w:tblCellMar>
          <w:left w:w="0" w:type="dxa"/>
          <w:right w:w="0" w:type="dxa"/>
        </w:tblCellMar>
        <w:tblLook w:val="04A0"/>
      </w:tblPr>
      <w:tblGrid>
        <w:gridCol w:w="2268"/>
        <w:gridCol w:w="1268"/>
        <w:gridCol w:w="1425"/>
        <w:gridCol w:w="1134"/>
        <w:gridCol w:w="1276"/>
        <w:gridCol w:w="681"/>
        <w:gridCol w:w="1162"/>
      </w:tblGrid>
      <w:tr w:rsidR="00C867EC" w:rsidRPr="00AB2AD1" w:rsidTr="00882CED">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867EC" w:rsidRPr="00AB2AD1" w:rsidRDefault="00C867EC">
            <w:pPr>
              <w:spacing w:line="400" w:lineRule="exact"/>
              <w:jc w:val="center"/>
              <w:rPr>
                <w:sz w:val="28"/>
                <w:szCs w:val="28"/>
              </w:rPr>
            </w:pPr>
            <w:r w:rsidRPr="00AB2AD1">
              <w:rPr>
                <w:rFonts w:hAnsi="標楷體"/>
                <w:sz w:val="28"/>
                <w:szCs w:val="28"/>
              </w:rPr>
              <w:t>期間</w:t>
            </w:r>
          </w:p>
        </w:tc>
        <w:tc>
          <w:tcPr>
            <w:tcW w:w="1268" w:type="dxa"/>
            <w:vMerge w:val="restart"/>
            <w:tcBorders>
              <w:top w:val="single" w:sz="8" w:space="0" w:color="000000"/>
              <w:left w:val="nil"/>
              <w:bottom w:val="single" w:sz="8" w:space="0" w:color="000000"/>
              <w:right w:val="single" w:sz="8" w:space="0" w:color="000000"/>
            </w:tcBorders>
            <w:shd w:val="clear" w:color="auto" w:fill="auto"/>
            <w:vAlign w:val="center"/>
            <w:hideMark/>
          </w:tcPr>
          <w:p w:rsidR="00C867EC" w:rsidRPr="00AB2AD1" w:rsidRDefault="00C867EC" w:rsidP="00C867EC">
            <w:pPr>
              <w:spacing w:line="400" w:lineRule="exact"/>
              <w:jc w:val="center"/>
              <w:rPr>
                <w:sz w:val="22"/>
                <w:szCs w:val="22"/>
              </w:rPr>
            </w:pPr>
            <w:r w:rsidRPr="00AB2AD1">
              <w:rPr>
                <w:rFonts w:hAnsi="標楷體"/>
                <w:sz w:val="28"/>
                <w:szCs w:val="28"/>
              </w:rPr>
              <w:t>台電持股</w:t>
            </w:r>
            <w:r w:rsidRPr="00AB2AD1">
              <w:rPr>
                <w:rFonts w:hAnsi="標楷體"/>
                <w:sz w:val="28"/>
                <w:szCs w:val="28"/>
              </w:rPr>
              <w:lastRenderedPageBreak/>
              <w:t>比例</w:t>
            </w:r>
            <w:r w:rsidRPr="00AB2AD1">
              <w:rPr>
                <w:sz w:val="28"/>
                <w:szCs w:val="28"/>
              </w:rPr>
              <w:t>(%)</w:t>
            </w:r>
            <w:r w:rsidRPr="00AB2AD1">
              <w:rPr>
                <w:rFonts w:hint="eastAsia"/>
                <w:sz w:val="24"/>
                <w:szCs w:val="24"/>
              </w:rPr>
              <w:t>a</w:t>
            </w:r>
          </w:p>
        </w:tc>
        <w:tc>
          <w:tcPr>
            <w:tcW w:w="5678" w:type="dxa"/>
            <w:gridSpan w:val="5"/>
            <w:tcBorders>
              <w:top w:val="single" w:sz="8" w:space="0" w:color="000000"/>
              <w:left w:val="nil"/>
              <w:bottom w:val="single" w:sz="8" w:space="0" w:color="000000"/>
              <w:right w:val="single" w:sz="8" w:space="0" w:color="000000"/>
            </w:tcBorders>
            <w:shd w:val="clear" w:color="auto" w:fill="auto"/>
            <w:vAlign w:val="center"/>
            <w:hideMark/>
          </w:tcPr>
          <w:p w:rsidR="00C867EC" w:rsidRPr="00AB2AD1" w:rsidRDefault="00C867EC">
            <w:pPr>
              <w:spacing w:line="400" w:lineRule="exact"/>
              <w:jc w:val="center"/>
              <w:rPr>
                <w:sz w:val="28"/>
                <w:szCs w:val="28"/>
              </w:rPr>
            </w:pPr>
            <w:r w:rsidRPr="00AB2AD1">
              <w:rPr>
                <w:rFonts w:hAnsi="標楷體"/>
                <w:sz w:val="28"/>
                <w:szCs w:val="28"/>
              </w:rPr>
              <w:lastRenderedPageBreak/>
              <w:t>股權代表席次占比</w:t>
            </w:r>
          </w:p>
          <w:p w:rsidR="00C867EC" w:rsidRPr="00AB2AD1" w:rsidRDefault="00C867EC">
            <w:pPr>
              <w:spacing w:line="400" w:lineRule="exact"/>
              <w:jc w:val="center"/>
              <w:rPr>
                <w:sz w:val="28"/>
                <w:szCs w:val="28"/>
              </w:rPr>
            </w:pPr>
            <w:r w:rsidRPr="00AB2AD1">
              <w:rPr>
                <w:sz w:val="28"/>
                <w:szCs w:val="28"/>
              </w:rPr>
              <w:lastRenderedPageBreak/>
              <w:t>(</w:t>
            </w:r>
            <w:r w:rsidRPr="00AB2AD1">
              <w:rPr>
                <w:rFonts w:hAnsi="標楷體"/>
                <w:sz w:val="28"/>
                <w:szCs w:val="28"/>
              </w:rPr>
              <w:t>台電席次</w:t>
            </w:r>
            <w:r w:rsidRPr="00AB2AD1">
              <w:rPr>
                <w:sz w:val="28"/>
                <w:szCs w:val="28"/>
              </w:rPr>
              <w:t>/</w:t>
            </w:r>
            <w:r w:rsidRPr="00AB2AD1">
              <w:rPr>
                <w:rFonts w:hAnsi="標楷體"/>
                <w:sz w:val="28"/>
                <w:szCs w:val="28"/>
              </w:rPr>
              <w:t>台汽電總席次</w:t>
            </w:r>
            <w:r w:rsidRPr="00AB2AD1">
              <w:rPr>
                <w:sz w:val="28"/>
                <w:szCs w:val="28"/>
              </w:rPr>
              <w:t>)</w:t>
            </w:r>
          </w:p>
        </w:tc>
      </w:tr>
      <w:tr w:rsidR="00C867EC" w:rsidRPr="00AB2AD1" w:rsidTr="00882CED">
        <w:tc>
          <w:tcPr>
            <w:tcW w:w="226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867EC" w:rsidRPr="00AB2AD1" w:rsidRDefault="00C867EC">
            <w:pPr>
              <w:rPr>
                <w:sz w:val="28"/>
                <w:szCs w:val="28"/>
              </w:rPr>
            </w:pPr>
          </w:p>
        </w:tc>
        <w:tc>
          <w:tcPr>
            <w:tcW w:w="0" w:type="auto"/>
            <w:vMerge/>
            <w:tcBorders>
              <w:top w:val="single" w:sz="8" w:space="0" w:color="000000"/>
              <w:left w:val="nil"/>
              <w:bottom w:val="single" w:sz="8" w:space="0" w:color="000000"/>
              <w:right w:val="single" w:sz="8" w:space="0" w:color="000000"/>
            </w:tcBorders>
            <w:shd w:val="clear" w:color="auto" w:fill="auto"/>
            <w:vAlign w:val="center"/>
            <w:hideMark/>
          </w:tcPr>
          <w:p w:rsidR="00C867EC" w:rsidRPr="00AB2AD1" w:rsidRDefault="00C867EC">
            <w:pPr>
              <w:rPr>
                <w:sz w:val="22"/>
                <w:szCs w:val="22"/>
              </w:rPr>
            </w:pPr>
          </w:p>
        </w:tc>
        <w:tc>
          <w:tcPr>
            <w:tcW w:w="1425" w:type="dxa"/>
            <w:tcBorders>
              <w:top w:val="nil"/>
              <w:left w:val="nil"/>
              <w:bottom w:val="single" w:sz="8" w:space="0" w:color="000000"/>
              <w:right w:val="single" w:sz="8" w:space="0" w:color="auto"/>
            </w:tcBorders>
            <w:shd w:val="clear" w:color="auto" w:fill="auto"/>
            <w:vAlign w:val="center"/>
            <w:hideMark/>
          </w:tcPr>
          <w:p w:rsidR="00C867EC" w:rsidRPr="00AB2AD1" w:rsidRDefault="00C867EC" w:rsidP="00C867EC">
            <w:pPr>
              <w:spacing w:line="400" w:lineRule="exact"/>
              <w:jc w:val="center"/>
              <w:rPr>
                <w:sz w:val="28"/>
                <w:szCs w:val="28"/>
              </w:rPr>
            </w:pPr>
            <w:r w:rsidRPr="00AB2AD1">
              <w:rPr>
                <w:rFonts w:hAnsi="標楷體"/>
                <w:sz w:val="28"/>
                <w:szCs w:val="28"/>
              </w:rPr>
              <w:t>一般董事</w:t>
            </w:r>
          </w:p>
        </w:tc>
        <w:tc>
          <w:tcPr>
            <w:tcW w:w="1134"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spacing w:line="400" w:lineRule="exact"/>
              <w:jc w:val="center"/>
              <w:rPr>
                <w:sz w:val="28"/>
                <w:szCs w:val="28"/>
              </w:rPr>
            </w:pPr>
            <w:r w:rsidRPr="00AB2AD1">
              <w:rPr>
                <w:rFonts w:hAnsi="標楷體"/>
                <w:sz w:val="28"/>
                <w:szCs w:val="28"/>
              </w:rPr>
              <w:t>董事長</w:t>
            </w:r>
          </w:p>
        </w:tc>
        <w:tc>
          <w:tcPr>
            <w:tcW w:w="1276"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spacing w:line="400" w:lineRule="exact"/>
              <w:jc w:val="center"/>
              <w:rPr>
                <w:sz w:val="28"/>
                <w:szCs w:val="28"/>
              </w:rPr>
            </w:pPr>
            <w:r w:rsidRPr="00AB2AD1">
              <w:rPr>
                <w:rFonts w:hAnsi="標楷體"/>
                <w:sz w:val="28"/>
                <w:szCs w:val="28"/>
              </w:rPr>
              <w:t>獨立董事</w:t>
            </w:r>
          </w:p>
        </w:tc>
        <w:tc>
          <w:tcPr>
            <w:tcW w:w="681"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spacing w:line="400" w:lineRule="exact"/>
              <w:jc w:val="center"/>
              <w:rPr>
                <w:sz w:val="28"/>
                <w:szCs w:val="28"/>
              </w:rPr>
            </w:pPr>
            <w:r w:rsidRPr="00AB2AD1">
              <w:rPr>
                <w:rFonts w:hAnsi="標楷體"/>
                <w:sz w:val="28"/>
                <w:szCs w:val="28"/>
              </w:rPr>
              <w:t>小計</w:t>
            </w:r>
          </w:p>
        </w:tc>
        <w:tc>
          <w:tcPr>
            <w:tcW w:w="1162"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spacing w:line="400" w:lineRule="exact"/>
              <w:jc w:val="center"/>
              <w:rPr>
                <w:sz w:val="28"/>
                <w:szCs w:val="28"/>
              </w:rPr>
            </w:pPr>
            <w:r w:rsidRPr="00AB2AD1">
              <w:rPr>
                <w:rFonts w:hAnsi="標楷體"/>
                <w:sz w:val="28"/>
                <w:szCs w:val="28"/>
              </w:rPr>
              <w:t>監察人</w:t>
            </w:r>
          </w:p>
        </w:tc>
      </w:tr>
      <w:tr w:rsidR="00C867EC" w:rsidRPr="00AB2AD1" w:rsidTr="00882CED">
        <w:trPr>
          <w:trHeight w:val="287"/>
        </w:trPr>
        <w:tc>
          <w:tcPr>
            <w:tcW w:w="2268" w:type="dxa"/>
            <w:tcBorders>
              <w:top w:val="nil"/>
              <w:left w:val="single" w:sz="8" w:space="0" w:color="000000"/>
              <w:bottom w:val="single" w:sz="8" w:space="0" w:color="000000"/>
              <w:right w:val="single" w:sz="8" w:space="0" w:color="000000"/>
            </w:tcBorders>
            <w:shd w:val="clear" w:color="auto" w:fill="auto"/>
            <w:vAlign w:val="center"/>
            <w:hideMark/>
          </w:tcPr>
          <w:p w:rsidR="00C867EC" w:rsidRPr="00AB2AD1" w:rsidRDefault="00C867EC">
            <w:pPr>
              <w:rPr>
                <w:sz w:val="28"/>
                <w:szCs w:val="28"/>
              </w:rPr>
            </w:pPr>
            <w:r w:rsidRPr="00AB2AD1">
              <w:rPr>
                <w:sz w:val="28"/>
                <w:szCs w:val="28"/>
              </w:rPr>
              <w:t>91.6.29~92.6.19</w:t>
            </w:r>
          </w:p>
        </w:tc>
        <w:tc>
          <w:tcPr>
            <w:tcW w:w="1268"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30.55</w:t>
            </w:r>
          </w:p>
        </w:tc>
        <w:tc>
          <w:tcPr>
            <w:tcW w:w="1425"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5/14</w:t>
            </w:r>
          </w:p>
        </w:tc>
        <w:tc>
          <w:tcPr>
            <w:tcW w:w="1134"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1/1</w:t>
            </w:r>
          </w:p>
        </w:tc>
        <w:tc>
          <w:tcPr>
            <w:tcW w:w="1276"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0/0</w:t>
            </w:r>
          </w:p>
        </w:tc>
        <w:tc>
          <w:tcPr>
            <w:tcW w:w="681"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6/15</w:t>
            </w:r>
          </w:p>
        </w:tc>
        <w:tc>
          <w:tcPr>
            <w:tcW w:w="1162"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1/3</w:t>
            </w:r>
          </w:p>
        </w:tc>
      </w:tr>
      <w:tr w:rsidR="00C867EC" w:rsidRPr="00AB2AD1" w:rsidTr="00882CED">
        <w:trPr>
          <w:trHeight w:val="287"/>
        </w:trPr>
        <w:tc>
          <w:tcPr>
            <w:tcW w:w="2268" w:type="dxa"/>
            <w:tcBorders>
              <w:top w:val="nil"/>
              <w:left w:val="single" w:sz="8" w:space="0" w:color="000000"/>
              <w:bottom w:val="single" w:sz="8" w:space="0" w:color="000000"/>
              <w:right w:val="single" w:sz="8" w:space="0" w:color="000000"/>
            </w:tcBorders>
            <w:shd w:val="clear" w:color="auto" w:fill="auto"/>
            <w:vAlign w:val="center"/>
            <w:hideMark/>
          </w:tcPr>
          <w:p w:rsidR="00C867EC" w:rsidRPr="00AB2AD1" w:rsidRDefault="00C867EC" w:rsidP="00C867EC">
            <w:pPr>
              <w:rPr>
                <w:sz w:val="24"/>
                <w:szCs w:val="24"/>
              </w:rPr>
            </w:pPr>
            <w:r w:rsidRPr="00AB2AD1">
              <w:rPr>
                <w:sz w:val="28"/>
                <w:szCs w:val="28"/>
              </w:rPr>
              <w:t>92.6.19~94.6.29</w:t>
            </w:r>
          </w:p>
        </w:tc>
        <w:tc>
          <w:tcPr>
            <w:tcW w:w="1268"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33.95</w:t>
            </w:r>
          </w:p>
        </w:tc>
        <w:tc>
          <w:tcPr>
            <w:tcW w:w="1425"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5/14</w:t>
            </w:r>
          </w:p>
        </w:tc>
        <w:tc>
          <w:tcPr>
            <w:tcW w:w="1134"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1/1</w:t>
            </w:r>
          </w:p>
        </w:tc>
        <w:tc>
          <w:tcPr>
            <w:tcW w:w="1276"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0/2</w:t>
            </w:r>
          </w:p>
        </w:tc>
        <w:tc>
          <w:tcPr>
            <w:tcW w:w="681"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6/17</w:t>
            </w:r>
          </w:p>
        </w:tc>
        <w:tc>
          <w:tcPr>
            <w:tcW w:w="1162"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1/4</w:t>
            </w:r>
          </w:p>
        </w:tc>
      </w:tr>
      <w:tr w:rsidR="00C867EC" w:rsidRPr="00AB2AD1" w:rsidTr="00882CED">
        <w:tc>
          <w:tcPr>
            <w:tcW w:w="2268" w:type="dxa"/>
            <w:tcBorders>
              <w:top w:val="nil"/>
              <w:left w:val="single" w:sz="8" w:space="0" w:color="000000"/>
              <w:bottom w:val="single" w:sz="8" w:space="0" w:color="000000"/>
              <w:right w:val="single" w:sz="8" w:space="0" w:color="000000"/>
            </w:tcBorders>
            <w:shd w:val="clear" w:color="auto" w:fill="auto"/>
            <w:vAlign w:val="center"/>
            <w:hideMark/>
          </w:tcPr>
          <w:p w:rsidR="00C867EC" w:rsidRPr="00AB2AD1" w:rsidRDefault="00C867EC">
            <w:pPr>
              <w:rPr>
                <w:sz w:val="28"/>
                <w:szCs w:val="28"/>
              </w:rPr>
            </w:pPr>
            <w:r w:rsidRPr="00AB2AD1">
              <w:rPr>
                <w:sz w:val="28"/>
                <w:szCs w:val="28"/>
              </w:rPr>
              <w:t>94.6.30~97.6.29</w:t>
            </w:r>
          </w:p>
        </w:tc>
        <w:tc>
          <w:tcPr>
            <w:tcW w:w="1268"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28.58</w:t>
            </w:r>
          </w:p>
        </w:tc>
        <w:tc>
          <w:tcPr>
            <w:tcW w:w="1425"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4/10</w:t>
            </w:r>
          </w:p>
        </w:tc>
        <w:tc>
          <w:tcPr>
            <w:tcW w:w="1134"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1/1</w:t>
            </w:r>
          </w:p>
        </w:tc>
        <w:tc>
          <w:tcPr>
            <w:tcW w:w="1276"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0/2</w:t>
            </w:r>
          </w:p>
        </w:tc>
        <w:tc>
          <w:tcPr>
            <w:tcW w:w="681"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5/13</w:t>
            </w:r>
          </w:p>
        </w:tc>
        <w:tc>
          <w:tcPr>
            <w:tcW w:w="1162"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1/3</w:t>
            </w:r>
          </w:p>
        </w:tc>
      </w:tr>
      <w:tr w:rsidR="00C867EC" w:rsidRPr="00AB2AD1" w:rsidTr="00882CED">
        <w:tc>
          <w:tcPr>
            <w:tcW w:w="2268" w:type="dxa"/>
            <w:tcBorders>
              <w:top w:val="nil"/>
              <w:left w:val="single" w:sz="8" w:space="0" w:color="000000"/>
              <w:bottom w:val="single" w:sz="8" w:space="0" w:color="000000"/>
              <w:right w:val="single" w:sz="8" w:space="0" w:color="000000"/>
            </w:tcBorders>
            <w:shd w:val="clear" w:color="auto" w:fill="auto"/>
            <w:vAlign w:val="center"/>
            <w:hideMark/>
          </w:tcPr>
          <w:p w:rsidR="00C867EC" w:rsidRPr="00AB2AD1" w:rsidRDefault="00C867EC">
            <w:pPr>
              <w:rPr>
                <w:sz w:val="28"/>
                <w:szCs w:val="28"/>
              </w:rPr>
            </w:pPr>
            <w:r w:rsidRPr="00AB2AD1">
              <w:rPr>
                <w:sz w:val="28"/>
                <w:szCs w:val="28"/>
              </w:rPr>
              <w:t>97.6.30~100.6.29</w:t>
            </w:r>
          </w:p>
        </w:tc>
        <w:tc>
          <w:tcPr>
            <w:tcW w:w="1268"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26.84</w:t>
            </w:r>
          </w:p>
        </w:tc>
        <w:tc>
          <w:tcPr>
            <w:tcW w:w="1425"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4/ 9</w:t>
            </w:r>
          </w:p>
        </w:tc>
        <w:tc>
          <w:tcPr>
            <w:tcW w:w="1134"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1/1</w:t>
            </w:r>
          </w:p>
        </w:tc>
        <w:tc>
          <w:tcPr>
            <w:tcW w:w="1276"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0/3</w:t>
            </w:r>
          </w:p>
        </w:tc>
        <w:tc>
          <w:tcPr>
            <w:tcW w:w="681"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5/13</w:t>
            </w:r>
          </w:p>
        </w:tc>
        <w:tc>
          <w:tcPr>
            <w:tcW w:w="1162"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0/3</w:t>
            </w:r>
          </w:p>
        </w:tc>
      </w:tr>
      <w:tr w:rsidR="00C867EC" w:rsidRPr="00AB2AD1" w:rsidTr="00882CED">
        <w:tc>
          <w:tcPr>
            <w:tcW w:w="2268" w:type="dxa"/>
            <w:tcBorders>
              <w:top w:val="nil"/>
              <w:left w:val="single" w:sz="8" w:space="0" w:color="000000"/>
              <w:bottom w:val="single" w:sz="8" w:space="0" w:color="000000"/>
              <w:right w:val="single" w:sz="8" w:space="0" w:color="000000"/>
            </w:tcBorders>
            <w:shd w:val="clear" w:color="auto" w:fill="auto"/>
            <w:vAlign w:val="center"/>
            <w:hideMark/>
          </w:tcPr>
          <w:p w:rsidR="00C867EC" w:rsidRPr="00AB2AD1" w:rsidRDefault="00C867EC">
            <w:pPr>
              <w:rPr>
                <w:sz w:val="28"/>
                <w:szCs w:val="28"/>
              </w:rPr>
            </w:pPr>
            <w:r w:rsidRPr="00AB2AD1">
              <w:rPr>
                <w:sz w:val="28"/>
                <w:szCs w:val="28"/>
              </w:rPr>
              <w:t>100.6.30~</w:t>
            </w:r>
            <w:r w:rsidRPr="00AB2AD1">
              <w:rPr>
                <w:rFonts w:hAnsi="標楷體" w:hint="eastAsia"/>
                <w:sz w:val="28"/>
                <w:szCs w:val="28"/>
              </w:rPr>
              <w:t>102.10</w:t>
            </w:r>
          </w:p>
        </w:tc>
        <w:tc>
          <w:tcPr>
            <w:tcW w:w="1268"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27.58</w:t>
            </w:r>
          </w:p>
        </w:tc>
        <w:tc>
          <w:tcPr>
            <w:tcW w:w="1425"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5/ 9</w:t>
            </w:r>
          </w:p>
        </w:tc>
        <w:tc>
          <w:tcPr>
            <w:tcW w:w="1134"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1/1</w:t>
            </w:r>
          </w:p>
        </w:tc>
        <w:tc>
          <w:tcPr>
            <w:tcW w:w="1276" w:type="dxa"/>
            <w:tcBorders>
              <w:top w:val="nil"/>
              <w:left w:val="nil"/>
              <w:bottom w:val="single" w:sz="8" w:space="0" w:color="000000"/>
              <w:right w:val="single" w:sz="8" w:space="0" w:color="auto"/>
            </w:tcBorders>
            <w:shd w:val="clear" w:color="auto" w:fill="auto"/>
            <w:vAlign w:val="center"/>
            <w:hideMark/>
          </w:tcPr>
          <w:p w:rsidR="00C867EC" w:rsidRPr="00AB2AD1" w:rsidRDefault="00C867EC">
            <w:pPr>
              <w:jc w:val="center"/>
              <w:rPr>
                <w:sz w:val="28"/>
                <w:szCs w:val="28"/>
              </w:rPr>
            </w:pPr>
            <w:r w:rsidRPr="00AB2AD1">
              <w:rPr>
                <w:sz w:val="28"/>
                <w:szCs w:val="28"/>
              </w:rPr>
              <w:t>0/3</w:t>
            </w:r>
          </w:p>
        </w:tc>
        <w:tc>
          <w:tcPr>
            <w:tcW w:w="681"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6/13</w:t>
            </w:r>
          </w:p>
        </w:tc>
        <w:tc>
          <w:tcPr>
            <w:tcW w:w="1162" w:type="dxa"/>
            <w:tcBorders>
              <w:top w:val="nil"/>
              <w:left w:val="nil"/>
              <w:bottom w:val="single" w:sz="8" w:space="0" w:color="000000"/>
              <w:right w:val="single" w:sz="8" w:space="0" w:color="000000"/>
            </w:tcBorders>
            <w:shd w:val="clear" w:color="auto" w:fill="auto"/>
            <w:vAlign w:val="center"/>
            <w:hideMark/>
          </w:tcPr>
          <w:p w:rsidR="00C867EC" w:rsidRPr="00AB2AD1" w:rsidRDefault="00C867EC">
            <w:pPr>
              <w:jc w:val="center"/>
              <w:rPr>
                <w:sz w:val="28"/>
                <w:szCs w:val="28"/>
              </w:rPr>
            </w:pPr>
            <w:r w:rsidRPr="00AB2AD1">
              <w:rPr>
                <w:sz w:val="28"/>
                <w:szCs w:val="28"/>
              </w:rPr>
              <w:t>0/3</w:t>
            </w:r>
          </w:p>
        </w:tc>
      </w:tr>
    </w:tbl>
    <w:p w:rsidR="00C867EC" w:rsidRPr="00AB2AD1" w:rsidRDefault="00C867EC" w:rsidP="00C867EC">
      <w:pPr>
        <w:pStyle w:val="a1"/>
        <w:numPr>
          <w:ilvl w:val="0"/>
          <w:numId w:val="0"/>
        </w:numPr>
        <w:snapToGrid w:val="0"/>
        <w:ind w:leftChars="126" w:left="1351" w:rightChars="-233" w:right="-793" w:hangingChars="419" w:hanging="922"/>
        <w:jc w:val="left"/>
        <w:rPr>
          <w:sz w:val="20"/>
        </w:rPr>
      </w:pPr>
      <w:bookmarkStart w:id="62" w:name="_Toc370720519"/>
      <w:bookmarkStart w:id="63" w:name="_Toc370722000"/>
      <w:bookmarkStart w:id="64" w:name="_Toc370914210"/>
      <w:r w:rsidRPr="00AB2AD1">
        <w:rPr>
          <w:rFonts w:hint="eastAsia"/>
          <w:sz w:val="20"/>
        </w:rPr>
        <w:t>a.</w:t>
      </w:r>
      <w:r w:rsidRPr="00AB2AD1">
        <w:rPr>
          <w:rFonts w:ascii="Times New Roman" w:hAnsi="標楷體" w:hint="eastAsia"/>
          <w:kern w:val="2"/>
          <w:sz w:val="20"/>
        </w:rPr>
        <w:t>本表台電</w:t>
      </w:r>
      <w:r w:rsidRPr="00AB2AD1">
        <w:rPr>
          <w:rFonts w:ascii="Times New Roman" w:hAnsi="標楷體"/>
          <w:kern w:val="2"/>
          <w:sz w:val="20"/>
        </w:rPr>
        <w:t>持股比例</w:t>
      </w:r>
      <w:r w:rsidRPr="00AB2AD1">
        <w:rPr>
          <w:rFonts w:ascii="Times New Roman" w:hAnsi="標楷體" w:hint="eastAsia"/>
          <w:kern w:val="2"/>
          <w:sz w:val="20"/>
        </w:rPr>
        <w:t>，係指台汽電</w:t>
      </w:r>
      <w:r w:rsidRPr="00AB2AD1">
        <w:rPr>
          <w:rFonts w:hint="eastAsia"/>
          <w:sz w:val="20"/>
        </w:rPr>
        <w:t>董事會改</w:t>
      </w:r>
      <w:r w:rsidRPr="00AB2AD1">
        <w:rPr>
          <w:rFonts w:ascii="Times New Roman" w:hAnsi="標楷體"/>
          <w:kern w:val="2"/>
          <w:sz w:val="20"/>
        </w:rPr>
        <w:t>選時</w:t>
      </w:r>
      <w:r w:rsidRPr="00AB2AD1">
        <w:rPr>
          <w:rFonts w:ascii="Times New Roman" w:hAnsi="標楷體" w:hint="eastAsia"/>
          <w:kern w:val="2"/>
          <w:sz w:val="20"/>
        </w:rPr>
        <w:t>台電所持有之股份比例</w:t>
      </w:r>
      <w:bookmarkEnd w:id="62"/>
      <w:bookmarkEnd w:id="63"/>
      <w:bookmarkEnd w:id="64"/>
    </w:p>
    <w:p w:rsidR="00A62E84" w:rsidRPr="00AB2AD1" w:rsidRDefault="00A62E84" w:rsidP="00A62E84">
      <w:pPr>
        <w:pStyle w:val="a1"/>
        <w:numPr>
          <w:ilvl w:val="0"/>
          <w:numId w:val="0"/>
        </w:numPr>
        <w:snapToGrid w:val="0"/>
        <w:ind w:leftChars="126" w:left="1351" w:rightChars="-233" w:right="-793" w:hangingChars="419" w:hanging="922"/>
        <w:jc w:val="left"/>
        <w:rPr>
          <w:rFonts w:ascii="Times New Roman"/>
          <w:sz w:val="20"/>
        </w:rPr>
      </w:pPr>
      <w:bookmarkStart w:id="65" w:name="_Toc370720520"/>
      <w:bookmarkStart w:id="66" w:name="_Toc370722001"/>
      <w:bookmarkStart w:id="67" w:name="_Toc370914211"/>
      <w:r w:rsidRPr="00AB2AD1">
        <w:rPr>
          <w:sz w:val="20"/>
          <w:szCs w:val="28"/>
        </w:rPr>
        <w:t>註：台汽電公司第8屆董事會改選時(100</w:t>
      </w:r>
      <w:r w:rsidRPr="00AB2AD1">
        <w:rPr>
          <w:rFonts w:hint="eastAsia"/>
          <w:sz w:val="20"/>
          <w:szCs w:val="28"/>
        </w:rPr>
        <w:t>.</w:t>
      </w:r>
      <w:r w:rsidRPr="00AB2AD1">
        <w:rPr>
          <w:sz w:val="20"/>
          <w:szCs w:val="28"/>
        </w:rPr>
        <w:t>4)</w:t>
      </w:r>
      <w:r w:rsidRPr="00AB2AD1">
        <w:rPr>
          <w:rFonts w:hint="eastAsia"/>
          <w:sz w:val="20"/>
          <w:szCs w:val="28"/>
        </w:rPr>
        <w:t>，</w:t>
      </w:r>
      <w:r w:rsidRPr="00AB2AD1">
        <w:rPr>
          <w:sz w:val="20"/>
          <w:szCs w:val="28"/>
        </w:rPr>
        <w:t>台電公司提名2席獨立董事</w:t>
      </w:r>
      <w:r w:rsidRPr="00AB2AD1">
        <w:rPr>
          <w:rFonts w:hint="eastAsia"/>
          <w:sz w:val="20"/>
          <w:szCs w:val="28"/>
        </w:rPr>
        <w:t>，均</w:t>
      </w:r>
      <w:r w:rsidRPr="00AB2AD1">
        <w:rPr>
          <w:sz w:val="20"/>
          <w:szCs w:val="28"/>
        </w:rPr>
        <w:t>獲當選</w:t>
      </w:r>
      <w:bookmarkEnd w:id="65"/>
      <w:bookmarkEnd w:id="66"/>
      <w:bookmarkEnd w:id="67"/>
    </w:p>
    <w:p w:rsidR="00DC1E25" w:rsidRPr="00AB2AD1" w:rsidRDefault="00DC1E25" w:rsidP="00F215FE">
      <w:pPr>
        <w:snapToGrid w:val="0"/>
        <w:spacing w:line="240" w:lineRule="exact"/>
        <w:ind w:left="329" w:rightChars="891" w:right="3031" w:hangingChars="137" w:hanging="329"/>
        <w:rPr>
          <w:sz w:val="22"/>
          <w:szCs w:val="22"/>
        </w:rPr>
      </w:pPr>
    </w:p>
    <w:p w:rsidR="00DE2D11" w:rsidRPr="00AB2AD1" w:rsidRDefault="00DC1E25" w:rsidP="00DC1E25">
      <w:pPr>
        <w:pStyle w:val="4"/>
      </w:pPr>
      <w:r w:rsidRPr="00AB2AD1">
        <w:rPr>
          <w:rFonts w:hint="eastAsia"/>
        </w:rPr>
        <w:t>經濟部所屬國營事業轉投資之民營電力公司：</w:t>
      </w:r>
    </w:p>
    <w:p w:rsidR="00DE2D11" w:rsidRPr="00AB2AD1" w:rsidRDefault="00DC1E25" w:rsidP="00DE2D11">
      <w:pPr>
        <w:pStyle w:val="5"/>
      </w:pPr>
      <w:r w:rsidRPr="00AB2AD1">
        <w:rPr>
          <w:rFonts w:hint="eastAsia"/>
        </w:rPr>
        <w:t>台電公司轉投資之台汽電公司再轉投資國光、星能、森霸、星元等電力公司，其持股比例分別為</w:t>
      </w:r>
      <w:r w:rsidRPr="00AB2AD1">
        <w:t>35</w:t>
      </w:r>
      <w:r w:rsidRPr="00AB2AD1">
        <w:rPr>
          <w:rFonts w:hint="eastAsia"/>
        </w:rPr>
        <w:t>％、</w:t>
      </w:r>
      <w:r w:rsidRPr="00AB2AD1">
        <w:t>35</w:t>
      </w:r>
      <w:r w:rsidRPr="00AB2AD1">
        <w:rPr>
          <w:rFonts w:hint="eastAsia"/>
        </w:rPr>
        <w:t>％、</w:t>
      </w:r>
      <w:r w:rsidRPr="00AB2AD1">
        <w:t>32.5</w:t>
      </w:r>
      <w:r w:rsidRPr="00AB2AD1">
        <w:rPr>
          <w:rFonts w:hint="eastAsia"/>
        </w:rPr>
        <w:t>％、</w:t>
      </w:r>
      <w:r w:rsidRPr="00AB2AD1">
        <w:t>33.67</w:t>
      </w:r>
      <w:r w:rsidRPr="00AB2AD1">
        <w:rPr>
          <w:rFonts w:hint="eastAsia"/>
        </w:rPr>
        <w:t>％，其董事會分別由</w:t>
      </w:r>
      <w:r w:rsidRPr="00AB2AD1">
        <w:t>9</w:t>
      </w:r>
      <w:r w:rsidRPr="00AB2AD1">
        <w:rPr>
          <w:rFonts w:hint="eastAsia"/>
        </w:rPr>
        <w:t>位董事組成，台汽電公司除於星元電力公司指派</w:t>
      </w:r>
      <w:r w:rsidRPr="00AB2AD1">
        <w:t>4</w:t>
      </w:r>
      <w:r w:rsidRPr="00AB2AD1">
        <w:rPr>
          <w:rFonts w:hint="eastAsia"/>
        </w:rPr>
        <w:t>名代表擔任董事外，其他</w:t>
      </w:r>
      <w:r w:rsidRPr="00AB2AD1">
        <w:t>3</w:t>
      </w:r>
      <w:r w:rsidRPr="00AB2AD1">
        <w:rPr>
          <w:rFonts w:hint="eastAsia"/>
        </w:rPr>
        <w:t>家電力公司皆各指派</w:t>
      </w:r>
      <w:r w:rsidRPr="00AB2AD1">
        <w:t>3</w:t>
      </w:r>
      <w:r w:rsidRPr="00AB2AD1">
        <w:rPr>
          <w:rFonts w:hint="eastAsia"/>
        </w:rPr>
        <w:t>名代表擔任董事</w:t>
      </w:r>
      <w:r w:rsidR="0079629A" w:rsidRPr="00AB2AD1">
        <w:rPr>
          <w:rFonts w:hint="eastAsia"/>
        </w:rPr>
        <w:t>，其中</w:t>
      </w:r>
      <w:r w:rsidR="0079629A" w:rsidRPr="00AB2AD1">
        <w:rPr>
          <w:rFonts w:hAnsi="標楷體" w:hint="eastAsia"/>
          <w:szCs w:val="32"/>
        </w:rPr>
        <w:t>森霸、星能、星元等</w:t>
      </w:r>
      <w:r w:rsidR="0079629A" w:rsidRPr="00AB2AD1">
        <w:rPr>
          <w:rFonts w:hAnsi="標楷體"/>
          <w:szCs w:val="32"/>
        </w:rPr>
        <w:t>3</w:t>
      </w:r>
      <w:r w:rsidR="0079629A" w:rsidRPr="00AB2AD1">
        <w:rPr>
          <w:rFonts w:hAnsi="標楷體" w:hint="eastAsia"/>
          <w:szCs w:val="32"/>
        </w:rPr>
        <w:t>家電力公司董事長，均由台汽電公司法人代表擔任</w:t>
      </w:r>
      <w:r w:rsidR="00DE2D11" w:rsidRPr="00AB2AD1">
        <w:rPr>
          <w:rFonts w:hint="eastAsia"/>
        </w:rPr>
        <w:t>。</w:t>
      </w:r>
    </w:p>
    <w:p w:rsidR="00DE2D11" w:rsidRPr="00AB2AD1" w:rsidRDefault="00DC1E25" w:rsidP="00DE2D11">
      <w:pPr>
        <w:pStyle w:val="5"/>
      </w:pPr>
      <w:r w:rsidRPr="00AB2AD1">
        <w:rPr>
          <w:rFonts w:hint="eastAsia"/>
        </w:rPr>
        <w:t>台灣糖業股份有限公司</w:t>
      </w:r>
      <w:r w:rsidRPr="00AB2AD1">
        <w:t>(</w:t>
      </w:r>
      <w:r w:rsidRPr="00AB2AD1">
        <w:rPr>
          <w:rFonts w:hint="eastAsia"/>
        </w:rPr>
        <w:t>下稱台糖公司</w:t>
      </w:r>
      <w:r w:rsidRPr="00AB2AD1">
        <w:t>)</w:t>
      </w:r>
      <w:r w:rsidRPr="00AB2AD1">
        <w:rPr>
          <w:rFonts w:hint="eastAsia"/>
        </w:rPr>
        <w:t>各持有星能、森霸電力公司</w:t>
      </w:r>
      <w:r w:rsidRPr="00AB2AD1">
        <w:t>20</w:t>
      </w:r>
      <w:r w:rsidRPr="00AB2AD1">
        <w:rPr>
          <w:rFonts w:hint="eastAsia"/>
        </w:rPr>
        <w:t>％股份，並各指派</w:t>
      </w:r>
      <w:r w:rsidRPr="00AB2AD1">
        <w:t>2</w:t>
      </w:r>
      <w:r w:rsidRPr="00AB2AD1">
        <w:rPr>
          <w:rFonts w:hint="eastAsia"/>
        </w:rPr>
        <w:t>名代表擔任該</w:t>
      </w:r>
      <w:r w:rsidR="0079629A" w:rsidRPr="00AB2AD1">
        <w:rPr>
          <w:rFonts w:hint="eastAsia"/>
        </w:rPr>
        <w:t>2家電力</w:t>
      </w:r>
      <w:r w:rsidRPr="00AB2AD1">
        <w:rPr>
          <w:rFonts w:hint="eastAsia"/>
        </w:rPr>
        <w:t>公司董事</w:t>
      </w:r>
      <w:r w:rsidR="00DE2D11" w:rsidRPr="00AB2AD1">
        <w:rPr>
          <w:rFonts w:hint="eastAsia"/>
        </w:rPr>
        <w:t>。</w:t>
      </w:r>
    </w:p>
    <w:p w:rsidR="0079629A" w:rsidRPr="00AB2AD1" w:rsidRDefault="00DC1E25" w:rsidP="00DE2D11">
      <w:pPr>
        <w:pStyle w:val="5"/>
      </w:pPr>
      <w:r w:rsidRPr="00AB2AD1">
        <w:rPr>
          <w:rFonts w:hint="eastAsia"/>
        </w:rPr>
        <w:t>台灣中油股份有限公司</w:t>
      </w:r>
      <w:r w:rsidRPr="00AB2AD1">
        <w:t>(</w:t>
      </w:r>
      <w:r w:rsidRPr="00AB2AD1">
        <w:rPr>
          <w:rFonts w:hint="eastAsia"/>
        </w:rPr>
        <w:t>下稱中油公司</w:t>
      </w:r>
      <w:r w:rsidRPr="00AB2AD1">
        <w:t>)</w:t>
      </w:r>
      <w:r w:rsidRPr="00AB2AD1">
        <w:rPr>
          <w:rFonts w:hint="eastAsia"/>
        </w:rPr>
        <w:t>持有國光電力公司</w:t>
      </w:r>
      <w:r w:rsidRPr="00AB2AD1">
        <w:t>45</w:t>
      </w:r>
      <w:r w:rsidRPr="00AB2AD1">
        <w:rPr>
          <w:rFonts w:hint="eastAsia"/>
        </w:rPr>
        <w:t>％股份，並指派</w:t>
      </w:r>
      <w:r w:rsidRPr="00AB2AD1">
        <w:t>4</w:t>
      </w:r>
      <w:r w:rsidRPr="00AB2AD1">
        <w:rPr>
          <w:rFonts w:hint="eastAsia"/>
        </w:rPr>
        <w:t>名代表擔任董事</w:t>
      </w:r>
      <w:r w:rsidR="0079629A" w:rsidRPr="00AB2AD1">
        <w:rPr>
          <w:rFonts w:hint="eastAsia"/>
        </w:rPr>
        <w:t>，並由其中1人</w:t>
      </w:r>
      <w:r w:rsidR="0079629A" w:rsidRPr="00AB2AD1">
        <w:rPr>
          <w:rFonts w:hAnsi="標楷體" w:hint="eastAsia"/>
          <w:szCs w:val="32"/>
        </w:rPr>
        <w:t>擔任董事長</w:t>
      </w:r>
      <w:r w:rsidR="0079629A" w:rsidRPr="00AB2AD1">
        <w:rPr>
          <w:rFonts w:hint="eastAsia"/>
        </w:rPr>
        <w:t>。</w:t>
      </w:r>
    </w:p>
    <w:p w:rsidR="00DE2D11" w:rsidRPr="00AB2AD1" w:rsidRDefault="00DC1E25" w:rsidP="00DE2D11">
      <w:pPr>
        <w:pStyle w:val="5"/>
      </w:pPr>
      <w:r w:rsidRPr="00AB2AD1">
        <w:rPr>
          <w:rFonts w:hAnsi="標楷體" w:hint="eastAsia"/>
          <w:szCs w:val="32"/>
        </w:rPr>
        <w:t>台汽電公司董事長係由台電公司法人代表擔任，且台汽電公司及國光、星能、星元與森霸等</w:t>
      </w:r>
      <w:r w:rsidR="0079629A" w:rsidRPr="00AB2AD1">
        <w:rPr>
          <w:rFonts w:hAnsi="標楷體" w:hint="eastAsia"/>
          <w:szCs w:val="32"/>
        </w:rPr>
        <w:t>4家</w:t>
      </w:r>
      <w:r w:rsidRPr="00AB2AD1">
        <w:rPr>
          <w:rFonts w:hAnsi="標楷體" w:hint="eastAsia"/>
          <w:szCs w:val="32"/>
        </w:rPr>
        <w:t>電力公司之董事長人選，須報經濟部核定。</w:t>
      </w:r>
      <w:r w:rsidR="0079629A" w:rsidRPr="00AB2AD1">
        <w:rPr>
          <w:rFonts w:hint="eastAsia"/>
        </w:rPr>
        <w:t>基此，經濟部所屬台電公司、中油公司及台糖公司等國營事業，以直接投資或間接投資方式，合計持有國光、星能、森霸與星元等電力公司之</w:t>
      </w:r>
      <w:r w:rsidR="0079629A" w:rsidRPr="00AB2AD1">
        <w:t>80</w:t>
      </w:r>
      <w:r w:rsidR="0079629A" w:rsidRPr="00AB2AD1">
        <w:rPr>
          <w:rFonts w:hint="eastAsia"/>
        </w:rPr>
        <w:t>％、</w:t>
      </w:r>
      <w:r w:rsidR="0079629A" w:rsidRPr="00AB2AD1">
        <w:t>55</w:t>
      </w:r>
      <w:r w:rsidR="0079629A" w:rsidRPr="00AB2AD1">
        <w:rPr>
          <w:rFonts w:hint="eastAsia"/>
        </w:rPr>
        <w:t>％、</w:t>
      </w:r>
      <w:r w:rsidR="0079629A" w:rsidRPr="00AB2AD1">
        <w:t>52.5</w:t>
      </w:r>
      <w:r w:rsidR="0079629A" w:rsidRPr="00AB2AD1">
        <w:rPr>
          <w:rFonts w:hint="eastAsia"/>
        </w:rPr>
        <w:t>％、</w:t>
      </w:r>
      <w:r w:rsidR="0079629A" w:rsidRPr="00AB2AD1">
        <w:t>33.67</w:t>
      </w:r>
      <w:r w:rsidR="0079629A" w:rsidRPr="00AB2AD1">
        <w:rPr>
          <w:rFonts w:hint="eastAsia"/>
        </w:rPr>
        <w:t>％之持</w:t>
      </w:r>
      <w:r w:rsidR="0079629A" w:rsidRPr="00AB2AD1">
        <w:rPr>
          <w:rFonts w:hint="eastAsia"/>
        </w:rPr>
        <w:lastRenderedPageBreak/>
        <w:t>股比例，並掌控該等公司</w:t>
      </w:r>
      <w:r w:rsidR="0079629A" w:rsidRPr="00AB2AD1">
        <w:t>7/9</w:t>
      </w:r>
      <w:r w:rsidR="0079629A" w:rsidRPr="00AB2AD1">
        <w:rPr>
          <w:rFonts w:hint="eastAsia"/>
        </w:rPr>
        <w:t>、</w:t>
      </w:r>
      <w:r w:rsidR="0079629A" w:rsidRPr="00AB2AD1">
        <w:t>5/9</w:t>
      </w:r>
      <w:r w:rsidR="0079629A" w:rsidRPr="00AB2AD1">
        <w:rPr>
          <w:rFonts w:hint="eastAsia"/>
        </w:rPr>
        <w:t>、</w:t>
      </w:r>
      <w:r w:rsidR="0079629A" w:rsidRPr="00AB2AD1">
        <w:t>5/9</w:t>
      </w:r>
      <w:r w:rsidR="0079629A" w:rsidRPr="00AB2AD1">
        <w:rPr>
          <w:rFonts w:hint="eastAsia"/>
        </w:rPr>
        <w:t>、</w:t>
      </w:r>
      <w:r w:rsidR="0079629A" w:rsidRPr="00AB2AD1">
        <w:t>4/9</w:t>
      </w:r>
      <w:r w:rsidR="0079629A" w:rsidRPr="00AB2AD1">
        <w:rPr>
          <w:rFonts w:hint="eastAsia"/>
        </w:rPr>
        <w:t>之董事席次</w:t>
      </w:r>
      <w:r w:rsidR="00EE6D40" w:rsidRPr="00AB2AD1">
        <w:rPr>
          <w:rFonts w:hint="eastAsia"/>
        </w:rPr>
        <w:t>，且森霸、星能、星元電力公司董事長均由台汽電公司法人代表擔任，國光電力公司董事長則由中油公司法人代表擔任</w:t>
      </w:r>
      <w:r w:rsidR="0079629A" w:rsidRPr="00AB2AD1">
        <w:rPr>
          <w:rFonts w:hint="eastAsia"/>
        </w:rPr>
        <w:t>。</w:t>
      </w:r>
      <w:r w:rsidR="0079629A" w:rsidRPr="00AB2AD1">
        <w:rPr>
          <w:rFonts w:hAnsi="標楷體" w:hint="eastAsia"/>
          <w:szCs w:val="32"/>
        </w:rPr>
        <w:t>爰經濟部所屬國營事業轉投資前揭電力公司之</w:t>
      </w:r>
      <w:r w:rsidR="0079629A" w:rsidRPr="00AB2AD1">
        <w:rPr>
          <w:rFonts w:hint="eastAsia"/>
        </w:rPr>
        <w:t>持股比例及股權代表席次情形如</w:t>
      </w:r>
      <w:r w:rsidR="00271E06" w:rsidRPr="00AB2AD1">
        <w:rPr>
          <w:rFonts w:hint="eastAsia"/>
        </w:rPr>
        <w:t>表</w:t>
      </w:r>
      <w:r w:rsidR="006146B7" w:rsidRPr="00AB2AD1">
        <w:rPr>
          <w:rFonts w:hint="eastAsia"/>
        </w:rPr>
        <w:t>四</w:t>
      </w:r>
      <w:r w:rsidR="00271E06" w:rsidRPr="00AB2AD1">
        <w:rPr>
          <w:rFonts w:hint="eastAsia"/>
        </w:rPr>
        <w:t>。</w:t>
      </w:r>
    </w:p>
    <w:p w:rsidR="006146B7" w:rsidRPr="00AB2AD1" w:rsidRDefault="006146B7" w:rsidP="006146B7">
      <w:pPr>
        <w:pStyle w:val="5"/>
        <w:numPr>
          <w:ilvl w:val="0"/>
          <w:numId w:val="0"/>
        </w:numPr>
        <w:ind w:left="2095"/>
      </w:pPr>
    </w:p>
    <w:p w:rsidR="006146B7" w:rsidRPr="00AB2AD1" w:rsidRDefault="006146B7" w:rsidP="006146B7">
      <w:pPr>
        <w:pStyle w:val="a1"/>
        <w:numPr>
          <w:ilvl w:val="0"/>
          <w:numId w:val="0"/>
        </w:numPr>
        <w:ind w:leftChars="-250" w:left="-850" w:rightChars="-250" w:right="-850"/>
        <w:jc w:val="center"/>
        <w:rPr>
          <w:rFonts w:ascii="Times New Roman"/>
          <w:sz w:val="28"/>
          <w:szCs w:val="28"/>
        </w:rPr>
      </w:pPr>
      <w:bookmarkStart w:id="68" w:name="_Toc370720521"/>
      <w:bookmarkStart w:id="69" w:name="_Toc370722002"/>
      <w:bookmarkStart w:id="70" w:name="_Toc370914212"/>
      <w:r w:rsidRPr="00AB2AD1">
        <w:rPr>
          <w:rFonts w:hAnsi="Arial" w:hint="eastAsia"/>
          <w:bCs/>
          <w:kern w:val="2"/>
          <w:sz w:val="28"/>
          <w:szCs w:val="28"/>
        </w:rPr>
        <w:t>表四</w:t>
      </w:r>
      <w:r w:rsidRPr="00AB2AD1">
        <w:rPr>
          <w:rFonts w:ascii="Times New Roman" w:hint="eastAsia"/>
          <w:sz w:val="28"/>
          <w:szCs w:val="28"/>
        </w:rPr>
        <w:t>、</w:t>
      </w:r>
      <w:r w:rsidRPr="00AB2AD1">
        <w:rPr>
          <w:rFonts w:ascii="Times New Roman"/>
          <w:sz w:val="28"/>
          <w:szCs w:val="28"/>
        </w:rPr>
        <w:t>經濟部所屬國營事業轉投資電力公司之持股比例及股權代表席次</w:t>
      </w:r>
      <w:bookmarkEnd w:id="68"/>
      <w:bookmarkEnd w:id="69"/>
      <w:bookmarkEnd w:id="70"/>
    </w:p>
    <w:p w:rsidR="00A62E84" w:rsidRPr="00AB2AD1" w:rsidRDefault="00A62E84" w:rsidP="00A6672B">
      <w:pPr>
        <w:spacing w:line="240" w:lineRule="exact"/>
        <w:ind w:leftChars="2001" w:left="8365" w:hangingChars="708" w:hanging="1559"/>
        <w:rPr>
          <w:kern w:val="0"/>
          <w:sz w:val="20"/>
          <w:szCs w:val="28"/>
        </w:rPr>
      </w:pPr>
      <w:r w:rsidRPr="00AB2AD1">
        <w:rPr>
          <w:kern w:val="0"/>
          <w:sz w:val="20"/>
          <w:szCs w:val="28"/>
        </w:rPr>
        <w:t>更新日期：</w:t>
      </w:r>
      <w:r w:rsidRPr="00AB2AD1">
        <w:rPr>
          <w:kern w:val="0"/>
          <w:sz w:val="20"/>
          <w:szCs w:val="28"/>
        </w:rPr>
        <w:t>102.10.9</w:t>
      </w:r>
    </w:p>
    <w:tbl>
      <w:tblPr>
        <w:tblW w:w="91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56"/>
        <w:gridCol w:w="937"/>
        <w:gridCol w:w="1461"/>
        <w:gridCol w:w="1290"/>
        <w:gridCol w:w="727"/>
        <w:gridCol w:w="1929"/>
        <w:gridCol w:w="1811"/>
      </w:tblGrid>
      <w:tr w:rsidR="00A62E84" w:rsidRPr="00AB2AD1" w:rsidTr="00882CED">
        <w:trPr>
          <w:trHeight w:val="20"/>
          <w:tblHeader/>
        </w:trPr>
        <w:tc>
          <w:tcPr>
            <w:tcW w:w="956" w:type="dxa"/>
            <w:vMerge w:val="restart"/>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電力公司名稱</w:t>
            </w:r>
          </w:p>
        </w:tc>
        <w:tc>
          <w:tcPr>
            <w:tcW w:w="937" w:type="dxa"/>
            <w:vMerge w:val="restart"/>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國營事業名稱</w:t>
            </w:r>
          </w:p>
        </w:tc>
        <w:tc>
          <w:tcPr>
            <w:tcW w:w="1461" w:type="dxa"/>
            <w:vMerge w:val="restart"/>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轉投資</w:t>
            </w:r>
          </w:p>
          <w:p w:rsidR="00A62E84" w:rsidRPr="00AB2AD1" w:rsidRDefault="00A62E84" w:rsidP="00A62E84">
            <w:pPr>
              <w:snapToGrid w:val="0"/>
              <w:spacing w:line="300" w:lineRule="exact"/>
              <w:jc w:val="center"/>
              <w:rPr>
                <w:kern w:val="0"/>
                <w:sz w:val="24"/>
                <w:szCs w:val="24"/>
              </w:rPr>
            </w:pPr>
            <w:r w:rsidRPr="00AB2AD1">
              <w:rPr>
                <w:kern w:val="0"/>
                <w:sz w:val="24"/>
                <w:szCs w:val="24"/>
              </w:rPr>
              <w:t>方式</w:t>
            </w:r>
          </w:p>
        </w:tc>
        <w:tc>
          <w:tcPr>
            <w:tcW w:w="1290" w:type="dxa"/>
            <w:vMerge w:val="restart"/>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期間</w:t>
            </w:r>
          </w:p>
        </w:tc>
        <w:tc>
          <w:tcPr>
            <w:tcW w:w="727" w:type="dxa"/>
            <w:vMerge w:val="restart"/>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持股比例</w:t>
            </w:r>
            <w:r w:rsidRPr="00AB2AD1">
              <w:rPr>
                <w:kern w:val="0"/>
                <w:sz w:val="24"/>
                <w:szCs w:val="24"/>
              </w:rPr>
              <w:t>(%)</w:t>
            </w:r>
          </w:p>
        </w:tc>
        <w:tc>
          <w:tcPr>
            <w:tcW w:w="3740" w:type="dxa"/>
            <w:gridSpan w:val="2"/>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股權代表席次占比</w:t>
            </w:r>
          </w:p>
        </w:tc>
      </w:tr>
      <w:tr w:rsidR="00A62E84" w:rsidRPr="00AB2AD1" w:rsidTr="00882CED">
        <w:trPr>
          <w:trHeight w:val="20"/>
          <w:tblHeader/>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937"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1461" w:type="dxa"/>
            <w:vMerge/>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290"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727"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董事</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監察人</w:t>
            </w:r>
          </w:p>
        </w:tc>
      </w:tr>
      <w:tr w:rsidR="00A62E84" w:rsidRPr="00AB2AD1" w:rsidTr="00882CED">
        <w:trPr>
          <w:trHeight w:val="20"/>
        </w:trPr>
        <w:tc>
          <w:tcPr>
            <w:tcW w:w="956" w:type="dxa"/>
            <w:vMerge w:val="restart"/>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國光</w:t>
            </w:r>
          </w:p>
        </w:tc>
        <w:tc>
          <w:tcPr>
            <w:tcW w:w="93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台電</w:t>
            </w:r>
          </w:p>
        </w:tc>
        <w:tc>
          <w:tcPr>
            <w:tcW w:w="146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間接投資</w:t>
            </w:r>
            <w:r w:rsidRPr="00AB2AD1">
              <w:rPr>
                <w:rFonts w:hint="eastAsia"/>
                <w:kern w:val="0"/>
                <w:sz w:val="24"/>
                <w:szCs w:val="24"/>
                <w:vertAlign w:val="superscript"/>
              </w:rPr>
              <w:t>a</w:t>
            </w:r>
          </w:p>
        </w:tc>
        <w:tc>
          <w:tcPr>
            <w:tcW w:w="1290" w:type="dxa"/>
            <w:shd w:val="clear" w:color="auto" w:fill="auto"/>
            <w:tcMar>
              <w:left w:w="57" w:type="dxa"/>
              <w:right w:w="57" w:type="dxa"/>
            </w:tcMar>
            <w:vAlign w:val="center"/>
          </w:tcPr>
          <w:p w:rsidR="00A62E84" w:rsidRPr="00AB2AD1" w:rsidRDefault="00A62E84" w:rsidP="00A62E84">
            <w:pPr>
              <w:snapToGrid w:val="0"/>
              <w:spacing w:line="300" w:lineRule="exact"/>
              <w:rPr>
                <w:b/>
                <w:kern w:val="0"/>
                <w:sz w:val="24"/>
                <w:szCs w:val="24"/>
              </w:rPr>
            </w:pPr>
            <w:r w:rsidRPr="00AB2AD1">
              <w:rPr>
                <w:b/>
                <w:kern w:val="0"/>
                <w:sz w:val="24"/>
                <w:szCs w:val="24"/>
              </w:rPr>
              <w:t>100.1</w:t>
            </w:r>
            <w:r w:rsidRPr="00AB2AD1">
              <w:rPr>
                <w:b/>
                <w:kern w:val="0"/>
                <w:sz w:val="24"/>
                <w:szCs w:val="24"/>
              </w:rPr>
              <w:t>迄今</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35</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3/9</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 xml:space="preserve">1/3 </w:t>
            </w:r>
            <w:r w:rsidRPr="00AB2AD1">
              <w:rPr>
                <w:rFonts w:hint="eastAsia"/>
                <w:kern w:val="0"/>
                <w:sz w:val="28"/>
                <w:szCs w:val="28"/>
                <w:vertAlign w:val="superscript"/>
              </w:rPr>
              <w:t>b</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93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中油</w:t>
            </w:r>
          </w:p>
        </w:tc>
        <w:tc>
          <w:tcPr>
            <w:tcW w:w="146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直接投資</w:t>
            </w:r>
          </w:p>
        </w:tc>
        <w:tc>
          <w:tcPr>
            <w:tcW w:w="1290" w:type="dxa"/>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kern w:val="0"/>
                <w:sz w:val="24"/>
                <w:szCs w:val="24"/>
              </w:rPr>
              <w:t>90</w:t>
            </w:r>
            <w:r w:rsidRPr="00AB2AD1">
              <w:rPr>
                <w:kern w:val="0"/>
                <w:sz w:val="24"/>
                <w:szCs w:val="24"/>
              </w:rPr>
              <w:t>年迄今</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45</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4/9</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 xml:space="preserve">1/3 </w:t>
            </w:r>
            <w:r w:rsidRPr="00AB2AD1">
              <w:rPr>
                <w:rFonts w:hint="eastAsia"/>
                <w:kern w:val="0"/>
                <w:sz w:val="28"/>
                <w:szCs w:val="28"/>
                <w:vertAlign w:val="superscript"/>
              </w:rPr>
              <w:t>b</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b/>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jc w:val="center"/>
              <w:rPr>
                <w:b/>
                <w:kern w:val="0"/>
                <w:sz w:val="24"/>
                <w:szCs w:val="24"/>
              </w:rPr>
            </w:pPr>
            <w:r w:rsidRPr="00AB2AD1">
              <w:rPr>
                <w:b/>
                <w:kern w:val="0"/>
                <w:sz w:val="24"/>
                <w:szCs w:val="24"/>
              </w:rPr>
              <w:t>小計</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b/>
                <w:kern w:val="0"/>
                <w:sz w:val="24"/>
                <w:szCs w:val="24"/>
              </w:rPr>
            </w:pPr>
            <w:r w:rsidRPr="00AB2AD1">
              <w:rPr>
                <w:b/>
                <w:kern w:val="0"/>
                <w:sz w:val="24"/>
                <w:szCs w:val="24"/>
              </w:rPr>
              <w:t>80</w:t>
            </w:r>
          </w:p>
        </w:tc>
        <w:tc>
          <w:tcPr>
            <w:tcW w:w="1929" w:type="dxa"/>
            <w:shd w:val="clear" w:color="auto" w:fill="auto"/>
            <w:vAlign w:val="center"/>
          </w:tcPr>
          <w:p w:rsidR="00A62E84" w:rsidRPr="00AB2AD1" w:rsidRDefault="00A62E84" w:rsidP="00A62E84">
            <w:pPr>
              <w:snapToGrid w:val="0"/>
              <w:spacing w:line="300" w:lineRule="exact"/>
              <w:jc w:val="center"/>
              <w:rPr>
                <w:b/>
                <w:kern w:val="0"/>
                <w:sz w:val="24"/>
                <w:szCs w:val="24"/>
              </w:rPr>
            </w:pPr>
            <w:r w:rsidRPr="00AB2AD1">
              <w:rPr>
                <w:b/>
                <w:kern w:val="0"/>
                <w:sz w:val="24"/>
                <w:szCs w:val="24"/>
              </w:rPr>
              <w:t>7/9</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2/3</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rFonts w:hint="eastAsia"/>
                <w:kern w:val="0"/>
                <w:sz w:val="24"/>
                <w:szCs w:val="24"/>
              </w:rPr>
              <w:t>關西電力公司</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20</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合計</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100</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p>
        </w:tc>
      </w:tr>
      <w:tr w:rsidR="00A62E84" w:rsidRPr="00AB2AD1" w:rsidTr="00882CED">
        <w:trPr>
          <w:trHeight w:val="20"/>
        </w:trPr>
        <w:tc>
          <w:tcPr>
            <w:tcW w:w="956" w:type="dxa"/>
            <w:vMerge w:val="restart"/>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星能</w:t>
            </w:r>
          </w:p>
        </w:tc>
        <w:tc>
          <w:tcPr>
            <w:tcW w:w="93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台電</w:t>
            </w:r>
          </w:p>
        </w:tc>
        <w:tc>
          <w:tcPr>
            <w:tcW w:w="146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間接投資</w:t>
            </w:r>
            <w:r w:rsidRPr="00AB2AD1">
              <w:rPr>
                <w:rFonts w:hint="eastAsia"/>
                <w:kern w:val="0"/>
                <w:sz w:val="24"/>
                <w:szCs w:val="24"/>
                <w:vertAlign w:val="superscript"/>
              </w:rPr>
              <w:t>a</w:t>
            </w:r>
          </w:p>
        </w:tc>
        <w:tc>
          <w:tcPr>
            <w:tcW w:w="1290" w:type="dxa"/>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kern w:val="0"/>
                <w:sz w:val="24"/>
                <w:szCs w:val="24"/>
              </w:rPr>
              <w:t>94.1</w:t>
            </w:r>
            <w:r w:rsidRPr="00AB2AD1">
              <w:rPr>
                <w:kern w:val="0"/>
                <w:sz w:val="24"/>
                <w:szCs w:val="24"/>
              </w:rPr>
              <w:t>迄今</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35</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1/9(94.1~95.6)</w:t>
            </w:r>
          </w:p>
          <w:p w:rsidR="00A62E84" w:rsidRPr="00AB2AD1" w:rsidRDefault="00A62E84" w:rsidP="00A62E84">
            <w:pPr>
              <w:snapToGrid w:val="0"/>
              <w:spacing w:line="300" w:lineRule="exact"/>
              <w:jc w:val="center"/>
              <w:rPr>
                <w:kern w:val="0"/>
                <w:sz w:val="24"/>
                <w:szCs w:val="24"/>
              </w:rPr>
            </w:pPr>
            <w:r w:rsidRPr="00AB2AD1">
              <w:rPr>
                <w:kern w:val="0"/>
                <w:sz w:val="24"/>
                <w:szCs w:val="24"/>
              </w:rPr>
              <w:t xml:space="preserve"> 4/9(95.6~97.10)</w:t>
            </w:r>
          </w:p>
          <w:p w:rsidR="00A62E84" w:rsidRPr="00AB2AD1" w:rsidRDefault="00A62E84" w:rsidP="00A62E84">
            <w:pPr>
              <w:snapToGrid w:val="0"/>
              <w:spacing w:line="300" w:lineRule="exact"/>
              <w:jc w:val="center"/>
              <w:rPr>
                <w:kern w:val="0"/>
                <w:sz w:val="24"/>
                <w:szCs w:val="24"/>
              </w:rPr>
            </w:pPr>
            <w:r w:rsidRPr="00AB2AD1">
              <w:rPr>
                <w:kern w:val="0"/>
                <w:sz w:val="24"/>
                <w:szCs w:val="24"/>
              </w:rPr>
              <w:t xml:space="preserve"> 3/9(97.10</w:t>
            </w:r>
            <w:r w:rsidRPr="00AB2AD1">
              <w:rPr>
                <w:kern w:val="0"/>
                <w:sz w:val="24"/>
                <w:szCs w:val="24"/>
              </w:rPr>
              <w:t>迄今</w:t>
            </w:r>
            <w:r w:rsidRPr="00AB2AD1">
              <w:rPr>
                <w:kern w:val="0"/>
                <w:sz w:val="24"/>
                <w:szCs w:val="24"/>
              </w:rPr>
              <w:t>)</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0/2</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93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台糖</w:t>
            </w:r>
          </w:p>
        </w:tc>
        <w:tc>
          <w:tcPr>
            <w:tcW w:w="146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直接投資</w:t>
            </w:r>
          </w:p>
        </w:tc>
        <w:tc>
          <w:tcPr>
            <w:tcW w:w="1290" w:type="dxa"/>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kern w:val="0"/>
                <w:sz w:val="24"/>
                <w:szCs w:val="24"/>
              </w:rPr>
              <w:t>90.6</w:t>
            </w:r>
            <w:r w:rsidRPr="00AB2AD1">
              <w:rPr>
                <w:kern w:val="0"/>
                <w:sz w:val="24"/>
                <w:szCs w:val="24"/>
              </w:rPr>
              <w:t>迄今</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20</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2/9</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1/2(90.6~98.6)</w:t>
            </w:r>
          </w:p>
          <w:p w:rsidR="00A62E84" w:rsidRPr="00AB2AD1" w:rsidRDefault="00A62E84" w:rsidP="00A62E84">
            <w:pPr>
              <w:snapToGrid w:val="0"/>
              <w:spacing w:line="300" w:lineRule="exact"/>
              <w:jc w:val="center"/>
              <w:rPr>
                <w:kern w:val="0"/>
                <w:sz w:val="24"/>
                <w:szCs w:val="24"/>
              </w:rPr>
            </w:pPr>
            <w:r w:rsidRPr="00AB2AD1">
              <w:rPr>
                <w:kern w:val="0"/>
                <w:sz w:val="24"/>
                <w:szCs w:val="24"/>
              </w:rPr>
              <w:t>0/2(98.6</w:t>
            </w:r>
            <w:r w:rsidRPr="00AB2AD1">
              <w:rPr>
                <w:kern w:val="0"/>
                <w:sz w:val="24"/>
                <w:szCs w:val="24"/>
              </w:rPr>
              <w:t>迄今</w:t>
            </w:r>
            <w:r w:rsidRPr="00AB2AD1">
              <w:rPr>
                <w:kern w:val="0"/>
                <w:sz w:val="24"/>
                <w:szCs w:val="24"/>
              </w:rPr>
              <w:t>)</w:t>
            </w:r>
            <w:r w:rsidRPr="00AB2AD1">
              <w:rPr>
                <w:b/>
                <w:kern w:val="0"/>
                <w:sz w:val="24"/>
                <w:szCs w:val="24"/>
              </w:rPr>
              <w:t xml:space="preserve"> </w:t>
            </w:r>
            <w:r w:rsidRPr="00AB2AD1">
              <w:rPr>
                <w:rFonts w:hint="eastAsia"/>
                <w:kern w:val="0"/>
                <w:sz w:val="28"/>
                <w:szCs w:val="28"/>
                <w:vertAlign w:val="superscript"/>
              </w:rPr>
              <w:t>b</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b/>
                <w:kern w:val="0"/>
                <w:sz w:val="24"/>
                <w:szCs w:val="24"/>
              </w:rPr>
              <w:t>小計</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b/>
                <w:kern w:val="0"/>
                <w:sz w:val="24"/>
                <w:szCs w:val="24"/>
              </w:rPr>
            </w:pPr>
            <w:r w:rsidRPr="00AB2AD1">
              <w:rPr>
                <w:b/>
                <w:kern w:val="0"/>
                <w:sz w:val="24"/>
                <w:szCs w:val="24"/>
              </w:rPr>
              <w:t>55</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3/9(94.1~95.6)</w:t>
            </w:r>
          </w:p>
          <w:p w:rsidR="00A62E84" w:rsidRPr="00AB2AD1" w:rsidRDefault="00A62E84" w:rsidP="00A62E84">
            <w:pPr>
              <w:snapToGrid w:val="0"/>
              <w:spacing w:line="300" w:lineRule="exact"/>
              <w:jc w:val="center"/>
              <w:rPr>
                <w:b/>
                <w:kern w:val="0"/>
                <w:sz w:val="24"/>
                <w:szCs w:val="24"/>
              </w:rPr>
            </w:pPr>
            <w:r w:rsidRPr="00AB2AD1">
              <w:rPr>
                <w:b/>
                <w:kern w:val="0"/>
                <w:sz w:val="24"/>
                <w:szCs w:val="24"/>
              </w:rPr>
              <w:t xml:space="preserve"> 6/9(95.6~97.10)</w:t>
            </w:r>
          </w:p>
          <w:p w:rsidR="00A62E84" w:rsidRPr="00AB2AD1" w:rsidRDefault="00A62E84" w:rsidP="00A62E84">
            <w:pPr>
              <w:snapToGrid w:val="0"/>
              <w:spacing w:line="300" w:lineRule="exact"/>
              <w:jc w:val="center"/>
              <w:rPr>
                <w:kern w:val="0"/>
                <w:sz w:val="24"/>
                <w:szCs w:val="24"/>
              </w:rPr>
            </w:pPr>
            <w:r w:rsidRPr="00AB2AD1">
              <w:rPr>
                <w:b/>
                <w:kern w:val="0"/>
                <w:sz w:val="24"/>
                <w:szCs w:val="24"/>
              </w:rPr>
              <w:t xml:space="preserve"> 5/9(97.10</w:t>
            </w:r>
            <w:r w:rsidRPr="00AB2AD1">
              <w:rPr>
                <w:b/>
                <w:kern w:val="0"/>
                <w:sz w:val="24"/>
                <w:szCs w:val="24"/>
              </w:rPr>
              <w:t>迄今</w:t>
            </w:r>
            <w:r w:rsidRPr="00AB2AD1">
              <w:rPr>
                <w:b/>
                <w:kern w:val="0"/>
                <w:sz w:val="24"/>
                <w:szCs w:val="24"/>
              </w:rPr>
              <w:t>)</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1/2(90.6~98.6)</w:t>
            </w:r>
          </w:p>
          <w:p w:rsidR="00A62E84" w:rsidRPr="00AB2AD1" w:rsidRDefault="00A62E84" w:rsidP="00A62E84">
            <w:pPr>
              <w:snapToGrid w:val="0"/>
              <w:spacing w:line="300" w:lineRule="exact"/>
              <w:jc w:val="center"/>
              <w:rPr>
                <w:kern w:val="0"/>
                <w:sz w:val="24"/>
                <w:szCs w:val="24"/>
              </w:rPr>
            </w:pPr>
            <w:r w:rsidRPr="00AB2AD1">
              <w:rPr>
                <w:kern w:val="0"/>
                <w:sz w:val="24"/>
                <w:szCs w:val="24"/>
              </w:rPr>
              <w:t>0/2(98.6</w:t>
            </w:r>
            <w:r w:rsidRPr="00AB2AD1">
              <w:rPr>
                <w:kern w:val="0"/>
                <w:sz w:val="24"/>
                <w:szCs w:val="24"/>
              </w:rPr>
              <w:t>迄今</w:t>
            </w:r>
            <w:r w:rsidRPr="00AB2AD1">
              <w:rPr>
                <w:kern w:val="0"/>
                <w:sz w:val="24"/>
                <w:szCs w:val="24"/>
              </w:rPr>
              <w:t>)</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rFonts w:hint="eastAsia"/>
                <w:kern w:val="0"/>
                <w:sz w:val="24"/>
                <w:szCs w:val="24"/>
              </w:rPr>
              <w:t>東京電力公司</w:t>
            </w:r>
            <w:r w:rsidRPr="00AB2AD1">
              <w:rPr>
                <w:rFonts w:hint="eastAsia"/>
                <w:kern w:val="0"/>
                <w:sz w:val="24"/>
                <w:szCs w:val="24"/>
              </w:rPr>
              <w:t>(19.5%)</w:t>
            </w:r>
            <w:r w:rsidRPr="00AB2AD1">
              <w:rPr>
                <w:rFonts w:hint="eastAsia"/>
                <w:kern w:val="0"/>
                <w:sz w:val="24"/>
                <w:szCs w:val="24"/>
              </w:rPr>
              <w:t>、中華開發工銀</w:t>
            </w:r>
            <w:r w:rsidRPr="00AB2AD1">
              <w:rPr>
                <w:rFonts w:hint="eastAsia"/>
                <w:kern w:val="0"/>
                <w:sz w:val="24"/>
                <w:szCs w:val="24"/>
              </w:rPr>
              <w:t>(10%)</w:t>
            </w:r>
            <w:r w:rsidRPr="00AB2AD1">
              <w:rPr>
                <w:rFonts w:hint="eastAsia"/>
                <w:kern w:val="0"/>
                <w:sz w:val="24"/>
                <w:szCs w:val="24"/>
              </w:rPr>
              <w:t>、兆豐商銀</w:t>
            </w:r>
            <w:r w:rsidRPr="00AB2AD1">
              <w:rPr>
                <w:rFonts w:hint="eastAsia"/>
                <w:kern w:val="0"/>
                <w:sz w:val="24"/>
                <w:szCs w:val="24"/>
              </w:rPr>
              <w:t>(10%)</w:t>
            </w:r>
            <w:r w:rsidRPr="00AB2AD1">
              <w:rPr>
                <w:rFonts w:hint="eastAsia"/>
                <w:kern w:val="0"/>
                <w:sz w:val="24"/>
                <w:szCs w:val="24"/>
              </w:rPr>
              <w:t>、</w:t>
            </w:r>
            <w:r w:rsidRPr="00AB2AD1">
              <w:rPr>
                <w:kern w:val="0"/>
                <w:sz w:val="24"/>
                <w:szCs w:val="24"/>
              </w:rPr>
              <w:t>住友商事株式會社</w:t>
            </w:r>
            <w:r w:rsidRPr="00AB2AD1">
              <w:rPr>
                <w:rFonts w:hint="eastAsia"/>
                <w:kern w:val="0"/>
                <w:sz w:val="24"/>
                <w:szCs w:val="24"/>
              </w:rPr>
              <w:t>(5.5%)</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45</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合計</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100</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p>
        </w:tc>
      </w:tr>
      <w:tr w:rsidR="00A62E84" w:rsidRPr="00AB2AD1" w:rsidTr="00882CED">
        <w:trPr>
          <w:trHeight w:val="20"/>
        </w:trPr>
        <w:tc>
          <w:tcPr>
            <w:tcW w:w="956" w:type="dxa"/>
            <w:vMerge w:val="restart"/>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森霸</w:t>
            </w:r>
          </w:p>
        </w:tc>
        <w:tc>
          <w:tcPr>
            <w:tcW w:w="93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台電</w:t>
            </w:r>
          </w:p>
        </w:tc>
        <w:tc>
          <w:tcPr>
            <w:tcW w:w="146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間接投資</w:t>
            </w:r>
            <w:r w:rsidRPr="00AB2AD1">
              <w:rPr>
                <w:rFonts w:hint="eastAsia"/>
                <w:kern w:val="0"/>
                <w:sz w:val="24"/>
                <w:szCs w:val="24"/>
                <w:vertAlign w:val="superscript"/>
              </w:rPr>
              <w:t>a</w:t>
            </w:r>
          </w:p>
        </w:tc>
        <w:tc>
          <w:tcPr>
            <w:tcW w:w="1290" w:type="dxa"/>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kern w:val="0"/>
                <w:sz w:val="24"/>
                <w:szCs w:val="24"/>
              </w:rPr>
              <w:t>95.6</w:t>
            </w:r>
            <w:r w:rsidRPr="00AB2AD1">
              <w:rPr>
                <w:kern w:val="0"/>
                <w:sz w:val="24"/>
                <w:szCs w:val="24"/>
              </w:rPr>
              <w:t>迄今</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32.50</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4/9(95.6~99.12)</w:t>
            </w:r>
          </w:p>
          <w:p w:rsidR="00A62E84" w:rsidRPr="00AB2AD1" w:rsidRDefault="00A62E84" w:rsidP="00A62E84">
            <w:pPr>
              <w:snapToGrid w:val="0"/>
              <w:spacing w:line="300" w:lineRule="exact"/>
              <w:jc w:val="center"/>
              <w:rPr>
                <w:kern w:val="0"/>
                <w:sz w:val="24"/>
                <w:szCs w:val="24"/>
              </w:rPr>
            </w:pPr>
            <w:r w:rsidRPr="00AB2AD1">
              <w:rPr>
                <w:kern w:val="0"/>
                <w:sz w:val="24"/>
                <w:szCs w:val="24"/>
              </w:rPr>
              <w:t>3/9(99.12</w:t>
            </w:r>
            <w:r w:rsidRPr="00AB2AD1">
              <w:rPr>
                <w:kern w:val="0"/>
                <w:sz w:val="24"/>
                <w:szCs w:val="24"/>
              </w:rPr>
              <w:t>迄今</w:t>
            </w:r>
            <w:r w:rsidRPr="00AB2AD1">
              <w:rPr>
                <w:kern w:val="0"/>
                <w:sz w:val="24"/>
                <w:szCs w:val="24"/>
              </w:rPr>
              <w:t>)</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0/3</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93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台糖</w:t>
            </w:r>
          </w:p>
        </w:tc>
        <w:tc>
          <w:tcPr>
            <w:tcW w:w="146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直接投資</w:t>
            </w:r>
          </w:p>
        </w:tc>
        <w:tc>
          <w:tcPr>
            <w:tcW w:w="1290" w:type="dxa"/>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kern w:val="0"/>
                <w:sz w:val="24"/>
                <w:szCs w:val="24"/>
              </w:rPr>
              <w:t>90.6</w:t>
            </w:r>
            <w:r w:rsidRPr="00AB2AD1">
              <w:rPr>
                <w:kern w:val="0"/>
                <w:sz w:val="24"/>
                <w:szCs w:val="24"/>
              </w:rPr>
              <w:t>迄今</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20</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2/9</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1/3(90.6~98.6)</w:t>
            </w:r>
          </w:p>
          <w:p w:rsidR="00A62E84" w:rsidRPr="00AB2AD1" w:rsidRDefault="00A62E84" w:rsidP="00A62E84">
            <w:pPr>
              <w:snapToGrid w:val="0"/>
              <w:spacing w:line="300" w:lineRule="exact"/>
              <w:jc w:val="center"/>
              <w:rPr>
                <w:kern w:val="0"/>
                <w:sz w:val="24"/>
                <w:szCs w:val="24"/>
              </w:rPr>
            </w:pPr>
            <w:r w:rsidRPr="00AB2AD1">
              <w:rPr>
                <w:kern w:val="0"/>
                <w:sz w:val="24"/>
                <w:szCs w:val="24"/>
              </w:rPr>
              <w:t>0/3(98.6</w:t>
            </w:r>
            <w:r w:rsidRPr="00AB2AD1">
              <w:rPr>
                <w:kern w:val="0"/>
                <w:sz w:val="24"/>
                <w:szCs w:val="24"/>
              </w:rPr>
              <w:t>迄今</w:t>
            </w:r>
            <w:r w:rsidRPr="00AB2AD1">
              <w:rPr>
                <w:kern w:val="0"/>
                <w:sz w:val="24"/>
                <w:szCs w:val="24"/>
              </w:rPr>
              <w:t>)</w:t>
            </w:r>
            <w:r w:rsidRPr="00AB2AD1">
              <w:rPr>
                <w:rFonts w:hint="eastAsia"/>
                <w:kern w:val="0"/>
                <w:sz w:val="28"/>
                <w:szCs w:val="28"/>
                <w:vertAlign w:val="superscript"/>
              </w:rPr>
              <w:t xml:space="preserve"> b</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b/>
                <w:kern w:val="0"/>
                <w:sz w:val="24"/>
                <w:szCs w:val="24"/>
              </w:rPr>
              <w:t>小計</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b/>
                <w:kern w:val="0"/>
                <w:sz w:val="24"/>
                <w:szCs w:val="24"/>
              </w:rPr>
            </w:pPr>
            <w:r w:rsidRPr="00AB2AD1">
              <w:rPr>
                <w:b/>
                <w:kern w:val="0"/>
                <w:sz w:val="24"/>
                <w:szCs w:val="24"/>
              </w:rPr>
              <w:t>52.5</w:t>
            </w:r>
          </w:p>
        </w:tc>
        <w:tc>
          <w:tcPr>
            <w:tcW w:w="1929" w:type="dxa"/>
            <w:shd w:val="clear" w:color="auto" w:fill="auto"/>
            <w:vAlign w:val="center"/>
          </w:tcPr>
          <w:p w:rsidR="00A62E84" w:rsidRPr="00AB2AD1" w:rsidRDefault="00A62E84" w:rsidP="00A62E84">
            <w:pPr>
              <w:snapToGrid w:val="0"/>
              <w:spacing w:line="300" w:lineRule="exact"/>
              <w:jc w:val="center"/>
              <w:rPr>
                <w:b/>
                <w:kern w:val="0"/>
                <w:sz w:val="24"/>
                <w:szCs w:val="24"/>
              </w:rPr>
            </w:pPr>
            <w:r w:rsidRPr="00AB2AD1">
              <w:rPr>
                <w:b/>
                <w:kern w:val="0"/>
                <w:sz w:val="24"/>
                <w:szCs w:val="24"/>
              </w:rPr>
              <w:t>6/9(95.6~99.12)</w:t>
            </w:r>
          </w:p>
          <w:p w:rsidR="00A62E84" w:rsidRPr="00AB2AD1" w:rsidRDefault="00A62E84" w:rsidP="00A62E84">
            <w:pPr>
              <w:snapToGrid w:val="0"/>
              <w:spacing w:line="300" w:lineRule="exact"/>
              <w:jc w:val="center"/>
              <w:rPr>
                <w:b/>
                <w:kern w:val="0"/>
                <w:sz w:val="24"/>
                <w:szCs w:val="24"/>
              </w:rPr>
            </w:pPr>
            <w:r w:rsidRPr="00AB2AD1">
              <w:rPr>
                <w:b/>
                <w:kern w:val="0"/>
                <w:sz w:val="24"/>
                <w:szCs w:val="24"/>
              </w:rPr>
              <w:t>5/9(99.12</w:t>
            </w:r>
            <w:r w:rsidRPr="00AB2AD1">
              <w:rPr>
                <w:b/>
                <w:kern w:val="0"/>
                <w:sz w:val="24"/>
                <w:szCs w:val="24"/>
              </w:rPr>
              <w:t>迄今</w:t>
            </w:r>
            <w:r w:rsidRPr="00AB2AD1">
              <w:rPr>
                <w:b/>
                <w:kern w:val="0"/>
                <w:sz w:val="24"/>
                <w:szCs w:val="24"/>
              </w:rPr>
              <w:t>)</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1/3(90.6~98.6)</w:t>
            </w:r>
          </w:p>
          <w:p w:rsidR="00A62E84" w:rsidRPr="00AB2AD1" w:rsidRDefault="00A62E84" w:rsidP="00A62E84">
            <w:pPr>
              <w:snapToGrid w:val="0"/>
              <w:spacing w:line="300" w:lineRule="exact"/>
              <w:jc w:val="center"/>
              <w:rPr>
                <w:kern w:val="0"/>
                <w:sz w:val="24"/>
                <w:szCs w:val="24"/>
              </w:rPr>
            </w:pPr>
            <w:r w:rsidRPr="00AB2AD1">
              <w:rPr>
                <w:kern w:val="0"/>
                <w:sz w:val="24"/>
                <w:szCs w:val="24"/>
              </w:rPr>
              <w:t>0/3(98.6</w:t>
            </w:r>
            <w:r w:rsidRPr="00AB2AD1">
              <w:rPr>
                <w:kern w:val="0"/>
                <w:sz w:val="24"/>
                <w:szCs w:val="24"/>
              </w:rPr>
              <w:t>迄今</w:t>
            </w:r>
            <w:r w:rsidRPr="00AB2AD1">
              <w:rPr>
                <w:kern w:val="0"/>
                <w:sz w:val="24"/>
                <w:szCs w:val="24"/>
              </w:rPr>
              <w:t>)</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rFonts w:hint="eastAsia"/>
                <w:kern w:val="0"/>
                <w:sz w:val="24"/>
                <w:szCs w:val="24"/>
              </w:rPr>
              <w:t>東京電力公司</w:t>
            </w:r>
            <w:r w:rsidRPr="00AB2AD1">
              <w:rPr>
                <w:rFonts w:hint="eastAsia"/>
                <w:kern w:val="0"/>
                <w:sz w:val="24"/>
                <w:szCs w:val="24"/>
              </w:rPr>
              <w:t>(19.5%)</w:t>
            </w:r>
            <w:r w:rsidRPr="00AB2AD1">
              <w:rPr>
                <w:rFonts w:hint="eastAsia"/>
                <w:kern w:val="0"/>
                <w:sz w:val="24"/>
                <w:szCs w:val="24"/>
              </w:rPr>
              <w:t>、中華開發工銀</w:t>
            </w:r>
            <w:r w:rsidRPr="00AB2AD1">
              <w:rPr>
                <w:rFonts w:hint="eastAsia"/>
                <w:kern w:val="0"/>
                <w:sz w:val="24"/>
                <w:szCs w:val="24"/>
              </w:rPr>
              <w:t>(10%)</w:t>
            </w:r>
            <w:r w:rsidRPr="00AB2AD1">
              <w:rPr>
                <w:rFonts w:hint="eastAsia"/>
                <w:kern w:val="0"/>
                <w:sz w:val="24"/>
                <w:szCs w:val="24"/>
              </w:rPr>
              <w:t>、兆豐商銀</w:t>
            </w:r>
            <w:r w:rsidRPr="00AB2AD1">
              <w:rPr>
                <w:rFonts w:hint="eastAsia"/>
                <w:kern w:val="0"/>
                <w:sz w:val="24"/>
                <w:szCs w:val="24"/>
              </w:rPr>
              <w:t>(10%)</w:t>
            </w:r>
            <w:r w:rsidRPr="00AB2AD1">
              <w:rPr>
                <w:rFonts w:hint="eastAsia"/>
                <w:kern w:val="0"/>
                <w:sz w:val="24"/>
                <w:szCs w:val="24"/>
              </w:rPr>
              <w:t>、</w:t>
            </w:r>
            <w:r w:rsidRPr="00AB2AD1">
              <w:rPr>
                <w:kern w:val="0"/>
                <w:sz w:val="24"/>
                <w:szCs w:val="24"/>
              </w:rPr>
              <w:t>住友商事株式會社</w:t>
            </w:r>
            <w:r w:rsidRPr="00AB2AD1">
              <w:rPr>
                <w:rFonts w:hint="eastAsia"/>
                <w:kern w:val="0"/>
                <w:sz w:val="24"/>
                <w:szCs w:val="24"/>
              </w:rPr>
              <w:t>(5.5%)</w:t>
            </w:r>
            <w:r w:rsidRPr="00AB2AD1">
              <w:rPr>
                <w:rFonts w:hint="eastAsia"/>
                <w:kern w:val="0"/>
                <w:sz w:val="24"/>
                <w:szCs w:val="24"/>
              </w:rPr>
              <w:t>、大亞電線電纜公司</w:t>
            </w:r>
            <w:r w:rsidRPr="00AB2AD1">
              <w:rPr>
                <w:rFonts w:hint="eastAsia"/>
                <w:kern w:val="0"/>
                <w:sz w:val="24"/>
                <w:szCs w:val="24"/>
              </w:rPr>
              <w:t>(2.5%)</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47.5</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合計</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100</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p>
        </w:tc>
      </w:tr>
      <w:tr w:rsidR="00A62E84" w:rsidRPr="00AB2AD1" w:rsidTr="00882CED">
        <w:trPr>
          <w:trHeight w:val="20"/>
        </w:trPr>
        <w:tc>
          <w:tcPr>
            <w:tcW w:w="956" w:type="dxa"/>
            <w:vMerge w:val="restart"/>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星元</w:t>
            </w:r>
          </w:p>
        </w:tc>
        <w:tc>
          <w:tcPr>
            <w:tcW w:w="93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台電</w:t>
            </w:r>
          </w:p>
        </w:tc>
        <w:tc>
          <w:tcPr>
            <w:tcW w:w="146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間接投資</w:t>
            </w:r>
            <w:r w:rsidRPr="00AB2AD1">
              <w:rPr>
                <w:rFonts w:hint="eastAsia"/>
                <w:kern w:val="0"/>
                <w:sz w:val="24"/>
                <w:szCs w:val="24"/>
                <w:vertAlign w:val="superscript"/>
              </w:rPr>
              <w:t>a</w:t>
            </w:r>
          </w:p>
        </w:tc>
        <w:tc>
          <w:tcPr>
            <w:tcW w:w="1290" w:type="dxa"/>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kern w:val="0"/>
                <w:sz w:val="24"/>
                <w:szCs w:val="24"/>
              </w:rPr>
              <w:t>95.8</w:t>
            </w:r>
            <w:r w:rsidRPr="00AB2AD1">
              <w:rPr>
                <w:kern w:val="0"/>
                <w:sz w:val="24"/>
                <w:szCs w:val="24"/>
              </w:rPr>
              <w:t>迄今</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33.67</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t>3/9(95.8-98.6)</w:t>
            </w:r>
          </w:p>
          <w:p w:rsidR="00A62E84" w:rsidRPr="00AB2AD1" w:rsidRDefault="00A62E84" w:rsidP="00A62E84">
            <w:pPr>
              <w:snapToGrid w:val="0"/>
              <w:spacing w:line="300" w:lineRule="exact"/>
              <w:jc w:val="center"/>
              <w:rPr>
                <w:kern w:val="0"/>
                <w:sz w:val="24"/>
                <w:szCs w:val="24"/>
              </w:rPr>
            </w:pPr>
            <w:r w:rsidRPr="00AB2AD1">
              <w:rPr>
                <w:kern w:val="0"/>
                <w:sz w:val="24"/>
                <w:szCs w:val="24"/>
              </w:rPr>
              <w:lastRenderedPageBreak/>
              <w:t>4/9(98.6-</w:t>
            </w:r>
            <w:r w:rsidRPr="00AB2AD1">
              <w:rPr>
                <w:kern w:val="0"/>
                <w:sz w:val="24"/>
                <w:szCs w:val="24"/>
              </w:rPr>
              <w:t>迄今</w:t>
            </w:r>
            <w:r w:rsidRPr="00AB2AD1">
              <w:rPr>
                <w:kern w:val="0"/>
                <w:sz w:val="24"/>
                <w:szCs w:val="24"/>
              </w:rPr>
              <w:t>)</w:t>
            </w: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r w:rsidRPr="00AB2AD1">
              <w:rPr>
                <w:kern w:val="0"/>
                <w:sz w:val="24"/>
                <w:szCs w:val="24"/>
              </w:rPr>
              <w:lastRenderedPageBreak/>
              <w:t>0/2</w:t>
            </w: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rPr>
                <w:kern w:val="0"/>
                <w:sz w:val="24"/>
                <w:szCs w:val="24"/>
              </w:rPr>
            </w:pPr>
            <w:r w:rsidRPr="00AB2AD1">
              <w:rPr>
                <w:rFonts w:hint="eastAsia"/>
                <w:kern w:val="0"/>
                <w:sz w:val="24"/>
                <w:szCs w:val="24"/>
              </w:rPr>
              <w:t>東京電力公司</w:t>
            </w:r>
            <w:r w:rsidRPr="00AB2AD1">
              <w:rPr>
                <w:rFonts w:hint="eastAsia"/>
                <w:kern w:val="0"/>
                <w:sz w:val="24"/>
                <w:szCs w:val="24"/>
              </w:rPr>
              <w:t>(22.73%)</w:t>
            </w:r>
            <w:r w:rsidRPr="00AB2AD1">
              <w:rPr>
                <w:rFonts w:hint="eastAsia"/>
                <w:kern w:val="0"/>
                <w:sz w:val="24"/>
                <w:szCs w:val="24"/>
              </w:rPr>
              <w:t>、中華開發工銀</w:t>
            </w:r>
            <w:r w:rsidRPr="00AB2AD1">
              <w:rPr>
                <w:rFonts w:hint="eastAsia"/>
                <w:kern w:val="0"/>
                <w:sz w:val="24"/>
                <w:szCs w:val="24"/>
              </w:rPr>
              <w:t>(20%)</w:t>
            </w:r>
            <w:r w:rsidRPr="00AB2AD1">
              <w:rPr>
                <w:rFonts w:hint="eastAsia"/>
                <w:kern w:val="0"/>
                <w:sz w:val="24"/>
                <w:szCs w:val="24"/>
              </w:rPr>
              <w:t>、兆豐商銀</w:t>
            </w:r>
            <w:r w:rsidRPr="00AB2AD1">
              <w:rPr>
                <w:rFonts w:hint="eastAsia"/>
                <w:kern w:val="0"/>
                <w:sz w:val="24"/>
                <w:szCs w:val="24"/>
              </w:rPr>
              <w:t>(10%)</w:t>
            </w:r>
            <w:r w:rsidRPr="00AB2AD1">
              <w:rPr>
                <w:rFonts w:hint="eastAsia"/>
                <w:kern w:val="0"/>
                <w:sz w:val="24"/>
                <w:szCs w:val="24"/>
              </w:rPr>
              <w:t>、國泰人壽</w:t>
            </w:r>
            <w:r w:rsidRPr="00AB2AD1">
              <w:rPr>
                <w:rFonts w:hint="eastAsia"/>
                <w:kern w:val="0"/>
                <w:sz w:val="24"/>
                <w:szCs w:val="24"/>
              </w:rPr>
              <w:t>(9%)</w:t>
            </w:r>
            <w:r w:rsidRPr="00AB2AD1">
              <w:rPr>
                <w:rFonts w:hint="eastAsia"/>
                <w:kern w:val="0"/>
                <w:sz w:val="24"/>
                <w:szCs w:val="24"/>
              </w:rPr>
              <w:t>、</w:t>
            </w:r>
            <w:r w:rsidRPr="00AB2AD1">
              <w:rPr>
                <w:kern w:val="0"/>
                <w:sz w:val="24"/>
                <w:szCs w:val="24"/>
              </w:rPr>
              <w:t>住友商事株式會社</w:t>
            </w:r>
            <w:r w:rsidRPr="00AB2AD1">
              <w:rPr>
                <w:rFonts w:hint="eastAsia"/>
                <w:kern w:val="0"/>
                <w:sz w:val="24"/>
                <w:szCs w:val="24"/>
              </w:rPr>
              <w:t>(4.6%)</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66.33</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p>
        </w:tc>
      </w:tr>
      <w:tr w:rsidR="00A62E84" w:rsidRPr="00AB2AD1" w:rsidTr="00882CED">
        <w:trPr>
          <w:trHeight w:val="20"/>
        </w:trPr>
        <w:tc>
          <w:tcPr>
            <w:tcW w:w="956" w:type="dxa"/>
            <w:vMerge/>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p>
        </w:tc>
        <w:tc>
          <w:tcPr>
            <w:tcW w:w="3688" w:type="dxa"/>
            <w:gridSpan w:val="3"/>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合計</w:t>
            </w:r>
          </w:p>
        </w:tc>
        <w:tc>
          <w:tcPr>
            <w:tcW w:w="727" w:type="dxa"/>
            <w:shd w:val="clear" w:color="auto" w:fill="auto"/>
            <w:tcMar>
              <w:left w:w="57" w:type="dxa"/>
              <w:right w:w="57" w:type="dxa"/>
            </w:tcMar>
            <w:vAlign w:val="center"/>
          </w:tcPr>
          <w:p w:rsidR="00A62E84" w:rsidRPr="00AB2AD1" w:rsidRDefault="00A62E84" w:rsidP="00A62E84">
            <w:pPr>
              <w:snapToGrid w:val="0"/>
              <w:spacing w:line="300" w:lineRule="exact"/>
              <w:jc w:val="center"/>
              <w:rPr>
                <w:kern w:val="0"/>
                <w:sz w:val="24"/>
                <w:szCs w:val="24"/>
              </w:rPr>
            </w:pPr>
            <w:r w:rsidRPr="00AB2AD1">
              <w:rPr>
                <w:rFonts w:hint="eastAsia"/>
                <w:kern w:val="0"/>
                <w:sz w:val="24"/>
                <w:szCs w:val="24"/>
              </w:rPr>
              <w:t>100</w:t>
            </w:r>
          </w:p>
        </w:tc>
        <w:tc>
          <w:tcPr>
            <w:tcW w:w="1929" w:type="dxa"/>
            <w:shd w:val="clear" w:color="auto" w:fill="auto"/>
            <w:vAlign w:val="center"/>
          </w:tcPr>
          <w:p w:rsidR="00A62E84" w:rsidRPr="00AB2AD1" w:rsidRDefault="00A62E84" w:rsidP="00A62E84">
            <w:pPr>
              <w:snapToGrid w:val="0"/>
              <w:spacing w:line="300" w:lineRule="exact"/>
              <w:jc w:val="center"/>
              <w:rPr>
                <w:kern w:val="0"/>
                <w:sz w:val="24"/>
                <w:szCs w:val="24"/>
              </w:rPr>
            </w:pPr>
          </w:p>
        </w:tc>
        <w:tc>
          <w:tcPr>
            <w:tcW w:w="1811" w:type="dxa"/>
            <w:shd w:val="clear" w:color="auto" w:fill="auto"/>
            <w:vAlign w:val="center"/>
          </w:tcPr>
          <w:p w:rsidR="00A62E84" w:rsidRPr="00AB2AD1" w:rsidRDefault="00A62E84" w:rsidP="00A62E84">
            <w:pPr>
              <w:snapToGrid w:val="0"/>
              <w:spacing w:line="300" w:lineRule="exact"/>
              <w:jc w:val="center"/>
              <w:rPr>
                <w:kern w:val="0"/>
                <w:sz w:val="24"/>
                <w:szCs w:val="24"/>
              </w:rPr>
            </w:pPr>
          </w:p>
        </w:tc>
      </w:tr>
    </w:tbl>
    <w:p w:rsidR="00A62E84" w:rsidRPr="00AB2AD1" w:rsidRDefault="00A62E84" w:rsidP="00B6098E">
      <w:pPr>
        <w:spacing w:line="260" w:lineRule="exact"/>
        <w:ind w:left="220" w:rightChars="150" w:right="510" w:hangingChars="100" w:hanging="220"/>
        <w:rPr>
          <w:sz w:val="20"/>
        </w:rPr>
      </w:pPr>
      <w:r w:rsidRPr="00AB2AD1">
        <w:rPr>
          <w:rFonts w:hint="eastAsia"/>
          <w:sz w:val="20"/>
        </w:rPr>
        <w:t>a.</w:t>
      </w:r>
      <w:r w:rsidRPr="00AB2AD1">
        <w:rPr>
          <w:rFonts w:hint="eastAsia"/>
          <w:sz w:val="20"/>
        </w:rPr>
        <w:t>本表台電之間接投資，均由台汽電投資</w:t>
      </w:r>
    </w:p>
    <w:p w:rsidR="00A62E84" w:rsidRPr="00AB2AD1" w:rsidRDefault="00A62E84" w:rsidP="00B6098E">
      <w:pPr>
        <w:spacing w:line="260" w:lineRule="exact"/>
        <w:ind w:left="176" w:rightChars="-67" w:right="-228" w:hangingChars="80" w:hanging="176"/>
        <w:rPr>
          <w:sz w:val="20"/>
        </w:rPr>
      </w:pPr>
      <w:r w:rsidRPr="00AB2AD1">
        <w:rPr>
          <w:rFonts w:hint="eastAsia"/>
          <w:sz w:val="20"/>
        </w:rPr>
        <w:t>b.</w:t>
      </w:r>
      <w:r w:rsidRPr="00AB2AD1">
        <w:rPr>
          <w:sz w:val="20"/>
        </w:rPr>
        <w:t>台糖</w:t>
      </w:r>
      <w:r w:rsidRPr="00AB2AD1">
        <w:rPr>
          <w:sz w:val="20"/>
        </w:rPr>
        <w:t>98.6</w:t>
      </w:r>
      <w:r w:rsidRPr="00AB2AD1">
        <w:rPr>
          <w:sz w:val="20"/>
        </w:rPr>
        <w:t>依證券交易法「董監分流」之規定選擇保有</w:t>
      </w:r>
      <w:r w:rsidRPr="00AB2AD1">
        <w:rPr>
          <w:sz w:val="20"/>
        </w:rPr>
        <w:t>2</w:t>
      </w:r>
      <w:r w:rsidRPr="00AB2AD1">
        <w:rPr>
          <w:sz w:val="20"/>
        </w:rPr>
        <w:t>席董事，國光電力公司非屬公開發行公司，無須依該法辦理「董監分流」</w:t>
      </w:r>
    </w:p>
    <w:p w:rsidR="0079629A" w:rsidRPr="00AB2AD1" w:rsidRDefault="0079629A" w:rsidP="0079629A">
      <w:pPr>
        <w:pStyle w:val="afd"/>
        <w:snapToGrid w:val="0"/>
        <w:spacing w:line="320" w:lineRule="exact"/>
        <w:ind w:leftChars="0"/>
        <w:rPr>
          <w:rFonts w:hAnsi="標楷體"/>
          <w:spacing w:val="-20"/>
          <w:kern w:val="0"/>
          <w:sz w:val="28"/>
          <w:szCs w:val="28"/>
        </w:rPr>
      </w:pPr>
    </w:p>
    <w:p w:rsidR="00DC1E25" w:rsidRPr="00AB2AD1" w:rsidRDefault="00DC1E25" w:rsidP="0079629A">
      <w:pPr>
        <w:pStyle w:val="4"/>
        <w:ind w:left="1740" w:hanging="697"/>
      </w:pPr>
      <w:r w:rsidRPr="00AB2AD1">
        <w:rPr>
          <w:rFonts w:hint="eastAsia"/>
        </w:rPr>
        <w:t>又台汽電公司於</w:t>
      </w:r>
      <w:r w:rsidRPr="00AB2AD1">
        <w:t>89</w:t>
      </w:r>
      <w:r w:rsidRPr="00AB2AD1">
        <w:rPr>
          <w:rFonts w:hint="eastAsia"/>
        </w:rPr>
        <w:t>年</w:t>
      </w:r>
      <w:r w:rsidRPr="00AB2AD1">
        <w:t>3</w:t>
      </w:r>
      <w:r w:rsidRPr="00AB2AD1">
        <w:rPr>
          <w:rFonts w:hint="eastAsia"/>
        </w:rPr>
        <w:t>月</w:t>
      </w:r>
      <w:r w:rsidRPr="00AB2AD1">
        <w:t>2</w:t>
      </w:r>
      <w:r w:rsidRPr="00AB2AD1">
        <w:rPr>
          <w:rFonts w:hint="eastAsia"/>
        </w:rPr>
        <w:t>日召開之「第四屆第四次董事暨監察人</w:t>
      </w:r>
      <w:r w:rsidR="00EE6D40" w:rsidRPr="00AB2AD1">
        <w:rPr>
          <w:rFonts w:hint="eastAsia"/>
        </w:rPr>
        <w:t>聯席會」提出「擬轉投資星能及森霸公司天然氣發電廠」之提案，會中</w:t>
      </w:r>
      <w:r w:rsidRPr="00AB2AD1">
        <w:rPr>
          <w:rFonts w:hint="eastAsia"/>
        </w:rPr>
        <w:t>說明：「</w:t>
      </w:r>
      <w:r w:rsidRPr="00AB2AD1">
        <w:rPr>
          <w:rFonts w:ascii="Arial" w:cs="Arial"/>
        </w:rPr>
        <w:t>…</w:t>
      </w:r>
      <w:r w:rsidRPr="00AB2AD1">
        <w:rPr>
          <w:rFonts w:hint="eastAsia"/>
        </w:rPr>
        <w:t>初步規劃董事</w:t>
      </w:r>
      <w:r w:rsidRPr="00AB2AD1">
        <w:t>11</w:t>
      </w:r>
      <w:r w:rsidRPr="00AB2AD1">
        <w:rPr>
          <w:rFonts w:hint="eastAsia"/>
        </w:rPr>
        <w:t>席及監察人</w:t>
      </w:r>
      <w:r w:rsidRPr="00AB2AD1">
        <w:t>3</w:t>
      </w:r>
      <w:r w:rsidRPr="00AB2AD1">
        <w:rPr>
          <w:rFonts w:hint="eastAsia"/>
        </w:rPr>
        <w:t>席，本公司於星能及森霸將可望獲得董事</w:t>
      </w:r>
      <w:r w:rsidRPr="00AB2AD1">
        <w:t>3</w:t>
      </w:r>
      <w:r w:rsidRPr="00AB2AD1">
        <w:rPr>
          <w:rFonts w:hint="eastAsia"/>
        </w:rPr>
        <w:t>席及監察人</w:t>
      </w:r>
      <w:r w:rsidRPr="00AB2AD1">
        <w:t>l</w:t>
      </w:r>
      <w:r w:rsidRPr="00AB2AD1">
        <w:rPr>
          <w:rFonts w:hint="eastAsia"/>
        </w:rPr>
        <w:t>席之席位，當可有效掌控經營</w:t>
      </w:r>
      <w:r w:rsidR="00831444" w:rsidRPr="00AB2AD1">
        <w:rPr>
          <w:rFonts w:hint="eastAsia"/>
        </w:rPr>
        <w:t>權</w:t>
      </w:r>
      <w:r w:rsidRPr="00AB2AD1">
        <w:rPr>
          <w:rFonts w:hint="eastAsia"/>
        </w:rPr>
        <w:t>。」該公司</w:t>
      </w:r>
      <w:r w:rsidR="00EE6D40" w:rsidRPr="00AB2AD1">
        <w:rPr>
          <w:rFonts w:hint="eastAsia"/>
        </w:rPr>
        <w:t>再</w:t>
      </w:r>
      <w:r w:rsidRPr="00AB2AD1">
        <w:rPr>
          <w:rFonts w:hint="eastAsia"/>
        </w:rPr>
        <w:t>於</w:t>
      </w:r>
      <w:r w:rsidRPr="00AB2AD1">
        <w:t>94</w:t>
      </w:r>
      <w:r w:rsidRPr="00AB2AD1">
        <w:rPr>
          <w:rFonts w:hint="eastAsia"/>
        </w:rPr>
        <w:t>年</w:t>
      </w:r>
      <w:r w:rsidRPr="00AB2AD1">
        <w:t>12</w:t>
      </w:r>
      <w:r w:rsidRPr="00AB2AD1">
        <w:rPr>
          <w:rFonts w:hint="eastAsia"/>
        </w:rPr>
        <w:t>月</w:t>
      </w:r>
      <w:r w:rsidRPr="00AB2AD1">
        <w:t>20</w:t>
      </w:r>
      <w:r w:rsidRPr="00AB2AD1">
        <w:rPr>
          <w:rFonts w:hint="eastAsia"/>
        </w:rPr>
        <w:t>日召開之</w:t>
      </w:r>
      <w:r w:rsidR="00EE6D40" w:rsidRPr="00AB2AD1">
        <w:rPr>
          <w:rFonts w:hint="eastAsia"/>
        </w:rPr>
        <w:t>「第六屆第三次董事會」提出「擬轉投資星元電力公司」之提案，會中</w:t>
      </w:r>
      <w:r w:rsidRPr="00AB2AD1">
        <w:rPr>
          <w:rFonts w:hint="eastAsia"/>
        </w:rPr>
        <w:t>說明：「</w:t>
      </w:r>
      <w:r w:rsidRPr="00AB2AD1">
        <w:rPr>
          <w:rFonts w:ascii="Arial" w:cs="Arial"/>
        </w:rPr>
        <w:t>…</w:t>
      </w:r>
      <w:r w:rsidRPr="00AB2AD1">
        <w:rPr>
          <w:rFonts w:hint="eastAsia"/>
        </w:rPr>
        <w:t>星元董監席次初步規劃董事</w:t>
      </w:r>
      <w:r w:rsidRPr="00AB2AD1">
        <w:t>9</w:t>
      </w:r>
      <w:r w:rsidRPr="00AB2AD1">
        <w:rPr>
          <w:rFonts w:hint="eastAsia"/>
        </w:rPr>
        <w:t>席、監察人</w:t>
      </w:r>
      <w:r w:rsidRPr="00AB2AD1">
        <w:t>2</w:t>
      </w:r>
      <w:r w:rsidRPr="00AB2AD1">
        <w:rPr>
          <w:rFonts w:hint="eastAsia"/>
        </w:rPr>
        <w:t>席，台汽電於星元將可望獲得董事</w:t>
      </w:r>
      <w:r w:rsidRPr="00AB2AD1">
        <w:t>3</w:t>
      </w:r>
      <w:r w:rsidRPr="00AB2AD1">
        <w:rPr>
          <w:rFonts w:hint="eastAsia"/>
        </w:rPr>
        <w:t>席及監察人</w:t>
      </w:r>
      <w:r w:rsidRPr="00AB2AD1">
        <w:t>l</w:t>
      </w:r>
      <w:r w:rsidRPr="00AB2AD1">
        <w:rPr>
          <w:rFonts w:hint="eastAsia"/>
        </w:rPr>
        <w:t>席之席位，並爰星能</w:t>
      </w:r>
      <w:r w:rsidRPr="00AB2AD1">
        <w:t>/</w:t>
      </w:r>
      <w:r w:rsidRPr="00AB2AD1">
        <w:rPr>
          <w:rFonts w:hint="eastAsia"/>
        </w:rPr>
        <w:t>森霸之例，將要求各股東同意第一屆董事會由台汽電指派擔任董事長，以有效掌握經營權。」</w:t>
      </w:r>
    </w:p>
    <w:p w:rsidR="00855671" w:rsidRPr="00AB2AD1" w:rsidRDefault="00855671" w:rsidP="00855671">
      <w:pPr>
        <w:pStyle w:val="4"/>
      </w:pPr>
      <w:r w:rsidRPr="00AB2AD1">
        <w:rPr>
          <w:rFonts w:hint="eastAsia"/>
        </w:rPr>
        <w:t>另星能、星元、森霸等3家電力公司</w:t>
      </w:r>
      <w:r w:rsidR="009D3C98" w:rsidRPr="00AB2AD1">
        <w:rPr>
          <w:rFonts w:hint="eastAsia"/>
        </w:rPr>
        <w:t>與台汽電公司簽有「人力服務合約書」，其第2條</w:t>
      </w:r>
      <w:r w:rsidR="00EC4D5C" w:rsidRPr="00AB2AD1">
        <w:rPr>
          <w:rFonts w:hint="eastAsia"/>
        </w:rPr>
        <w:t>約</w:t>
      </w:r>
      <w:r w:rsidR="009D3C98" w:rsidRPr="00AB2AD1">
        <w:rPr>
          <w:rFonts w:hint="eastAsia"/>
        </w:rPr>
        <w:t>定，調派單位</w:t>
      </w:r>
      <w:r w:rsidR="00387F07" w:rsidRPr="00AB2AD1">
        <w:rPr>
          <w:rFonts w:hint="eastAsia"/>
        </w:rPr>
        <w:t>(台汽電公司)</w:t>
      </w:r>
      <w:r w:rsidR="009D3C98" w:rsidRPr="00AB2AD1">
        <w:rPr>
          <w:rFonts w:hint="eastAsia"/>
        </w:rPr>
        <w:t>得在其人力條件許可下，調派人員至用人單位</w:t>
      </w:r>
      <w:r w:rsidR="00387F07" w:rsidRPr="00AB2AD1">
        <w:rPr>
          <w:rFonts w:hint="eastAsia"/>
        </w:rPr>
        <w:t>(該3家電力公司)</w:t>
      </w:r>
      <w:r w:rsidR="009D3C98" w:rsidRPr="00AB2AD1">
        <w:rPr>
          <w:rFonts w:hint="eastAsia"/>
        </w:rPr>
        <w:t>服務；</w:t>
      </w:r>
      <w:r w:rsidR="00387F07" w:rsidRPr="00AB2AD1">
        <w:rPr>
          <w:rFonts w:hint="eastAsia"/>
        </w:rPr>
        <w:t>又</w:t>
      </w:r>
      <w:r w:rsidR="009D3C98" w:rsidRPr="00AB2AD1">
        <w:rPr>
          <w:rFonts w:hint="eastAsia"/>
        </w:rPr>
        <w:t>第4條</w:t>
      </w:r>
      <w:r w:rsidR="00387F07" w:rsidRPr="00AB2AD1">
        <w:rPr>
          <w:rFonts w:hint="eastAsia"/>
        </w:rPr>
        <w:t>約</w:t>
      </w:r>
      <w:r w:rsidR="009D3C98" w:rsidRPr="00AB2AD1">
        <w:rPr>
          <w:rFonts w:hint="eastAsia"/>
        </w:rPr>
        <w:t>定，員工經正式指派兼任用人單位之職務，其服務費給付數額得由調派</w:t>
      </w:r>
      <w:r w:rsidR="009D3C98" w:rsidRPr="00AB2AD1">
        <w:t>/</w:t>
      </w:r>
      <w:r w:rsidR="009D3C98" w:rsidRPr="00AB2AD1">
        <w:rPr>
          <w:rFonts w:hint="eastAsia"/>
        </w:rPr>
        <w:t>用人單位雙方協商議定之。</w:t>
      </w:r>
      <w:r w:rsidR="00B65A8B" w:rsidRPr="00AB2AD1">
        <w:rPr>
          <w:rFonts w:hint="eastAsia"/>
        </w:rPr>
        <w:t>然</w:t>
      </w:r>
      <w:r w:rsidR="009D3C98" w:rsidRPr="00AB2AD1">
        <w:rPr>
          <w:rFonts w:hint="eastAsia"/>
        </w:rPr>
        <w:t>該3家電力公司</w:t>
      </w:r>
      <w:r w:rsidRPr="00AB2AD1">
        <w:rPr>
          <w:rFonts w:hint="eastAsia"/>
        </w:rPr>
        <w:t>之董事長及總經理，係由台汽電公司</w:t>
      </w:r>
      <w:r w:rsidR="00B65A8B" w:rsidRPr="00AB2AD1">
        <w:rPr>
          <w:rFonts w:hint="eastAsia"/>
        </w:rPr>
        <w:t>調派</w:t>
      </w:r>
      <w:r w:rsidRPr="00AB2AD1">
        <w:rPr>
          <w:rFonts w:hint="eastAsia"/>
        </w:rPr>
        <w:t>代表兼任，財務經理及行政、</w:t>
      </w:r>
      <w:r w:rsidRPr="00AB2AD1">
        <w:rPr>
          <w:rFonts w:hint="eastAsia"/>
        </w:rPr>
        <w:lastRenderedPageBreak/>
        <w:t>法務、人事等營運主要職位，亦由台汽電公司人員以</w:t>
      </w:r>
      <w:r w:rsidR="009D3C98" w:rsidRPr="00AB2AD1">
        <w:rPr>
          <w:rFonts w:hint="eastAsia"/>
        </w:rPr>
        <w:t>人力</w:t>
      </w:r>
      <w:r w:rsidRPr="00AB2AD1">
        <w:rPr>
          <w:rFonts w:hint="eastAsia"/>
        </w:rPr>
        <w:t>服務合約方式兼任，</w:t>
      </w:r>
      <w:r w:rsidR="00B65A8B" w:rsidRPr="00AB2AD1">
        <w:rPr>
          <w:rFonts w:hint="eastAsia"/>
        </w:rPr>
        <w:t>該3家電力公司</w:t>
      </w:r>
      <w:r w:rsidRPr="00AB2AD1">
        <w:rPr>
          <w:rFonts w:hint="eastAsia"/>
        </w:rPr>
        <w:t>除電廠</w:t>
      </w:r>
      <w:r w:rsidR="00B65A8B" w:rsidRPr="00AB2AD1">
        <w:rPr>
          <w:rFonts w:hint="eastAsia"/>
        </w:rPr>
        <w:t>內之運轉維護</w:t>
      </w:r>
      <w:r w:rsidRPr="00AB2AD1">
        <w:rPr>
          <w:rFonts w:hint="eastAsia"/>
        </w:rPr>
        <w:t>人員外，幾無自有之管理人員，且</w:t>
      </w:r>
      <w:r w:rsidR="000C0217" w:rsidRPr="00AB2AD1">
        <w:rPr>
          <w:rFonts w:hint="eastAsia"/>
        </w:rPr>
        <w:t>該3家電力公司與</w:t>
      </w:r>
      <w:r w:rsidRPr="00AB2AD1">
        <w:rPr>
          <w:rFonts w:hint="eastAsia"/>
        </w:rPr>
        <w:t>台汽電公司共用</w:t>
      </w:r>
      <w:r w:rsidR="009D3C98" w:rsidRPr="00AB2AD1">
        <w:rPr>
          <w:rFonts w:hint="eastAsia"/>
        </w:rPr>
        <w:t>台北市內湖區瑞光路之</w:t>
      </w:r>
      <w:r w:rsidRPr="00AB2AD1">
        <w:rPr>
          <w:rFonts w:hint="eastAsia"/>
        </w:rPr>
        <w:t>同一樓層辦公。該3家電力公司與台電公司協商調降</w:t>
      </w:r>
      <w:r w:rsidR="00F00817" w:rsidRPr="00AB2AD1">
        <w:rPr>
          <w:rFonts w:hint="eastAsia"/>
        </w:rPr>
        <w:t>購電費率</w:t>
      </w:r>
      <w:r w:rsidRPr="00AB2AD1">
        <w:rPr>
          <w:rFonts w:hint="eastAsia"/>
        </w:rPr>
        <w:t>時，</w:t>
      </w:r>
      <w:r w:rsidR="00E82A25" w:rsidRPr="00AB2AD1">
        <w:rPr>
          <w:rFonts w:hint="eastAsia"/>
        </w:rPr>
        <w:t>主要</w:t>
      </w:r>
      <w:r w:rsidRPr="00AB2AD1">
        <w:rPr>
          <w:rFonts w:hint="eastAsia"/>
        </w:rPr>
        <w:t>係由</w:t>
      </w:r>
      <w:r w:rsidR="00E82A25" w:rsidRPr="00AB2AD1">
        <w:rPr>
          <w:rFonts w:hint="eastAsia"/>
        </w:rPr>
        <w:t>台汽電公司兼任之</w:t>
      </w:r>
      <w:r w:rsidRPr="00AB2AD1">
        <w:rPr>
          <w:rFonts w:hint="eastAsia"/>
        </w:rPr>
        <w:t>總經理、財務部經理</w:t>
      </w:r>
      <w:r w:rsidR="00587CEE" w:rsidRPr="00AB2AD1">
        <w:rPr>
          <w:rFonts w:hint="eastAsia"/>
        </w:rPr>
        <w:t>及</w:t>
      </w:r>
      <w:r w:rsidRPr="00AB2AD1">
        <w:rPr>
          <w:rFonts w:hint="eastAsia"/>
        </w:rPr>
        <w:t>企業部經理等代表與台電公司協商</w:t>
      </w:r>
      <w:r w:rsidR="000C0217" w:rsidRPr="00AB2AD1">
        <w:rPr>
          <w:rFonts w:hint="eastAsia"/>
        </w:rPr>
        <w:t>，</w:t>
      </w:r>
      <w:r w:rsidR="004F5AB0" w:rsidRPr="00AB2AD1">
        <w:rPr>
          <w:rFonts w:hint="eastAsia"/>
        </w:rPr>
        <w:t>又</w:t>
      </w:r>
      <w:r w:rsidR="00587CEE" w:rsidRPr="00AB2AD1">
        <w:rPr>
          <w:rFonts w:hint="eastAsia"/>
        </w:rPr>
        <w:t>據訴：</w:t>
      </w:r>
      <w:r w:rsidRPr="00AB2AD1">
        <w:rPr>
          <w:rFonts w:hint="eastAsia"/>
        </w:rPr>
        <w:t>協商結論並向台汽電公司董事長會報，事後副知台汽電公司派於該</w:t>
      </w:r>
      <w:r w:rsidRPr="00AB2AD1">
        <w:t>3</w:t>
      </w:r>
      <w:r w:rsidRPr="00AB2AD1">
        <w:rPr>
          <w:rFonts w:hint="eastAsia"/>
        </w:rPr>
        <w:t>家電力公司之法人董事代表及董事長。</w:t>
      </w:r>
    </w:p>
    <w:p w:rsidR="00DC1E25" w:rsidRPr="00AB2AD1" w:rsidRDefault="00387F07" w:rsidP="00DC1E25">
      <w:pPr>
        <w:pStyle w:val="3"/>
      </w:pPr>
      <w:r w:rsidRPr="00AB2AD1">
        <w:rPr>
          <w:rFonts w:hAnsi="標楷體" w:cs="新細明體" w:hint="eastAsia"/>
          <w:szCs w:val="32"/>
        </w:rPr>
        <w:t>查</w:t>
      </w:r>
      <w:r w:rsidRPr="00AB2AD1">
        <w:rPr>
          <w:rFonts w:hAnsi="標楷體" w:cs="新細明體" w:hint="eastAsia"/>
          <w:spacing w:val="-8"/>
          <w:szCs w:val="32"/>
        </w:rPr>
        <w:t>經濟部及台電公司於民營發電業者同意未來繼續協商</w:t>
      </w:r>
      <w:r w:rsidR="00F00817" w:rsidRPr="00AB2AD1">
        <w:rPr>
          <w:rFonts w:hAnsi="標楷體" w:cs="新細明體" w:hint="eastAsia"/>
          <w:spacing w:val="-8"/>
          <w:szCs w:val="32"/>
        </w:rPr>
        <w:t>調降購電費率</w:t>
      </w:r>
      <w:r w:rsidRPr="00AB2AD1">
        <w:rPr>
          <w:rFonts w:hAnsi="標楷體" w:cs="新細明體" w:hint="eastAsia"/>
          <w:spacing w:val="-8"/>
          <w:szCs w:val="32"/>
        </w:rPr>
        <w:t>(利率)之前提下，於</w:t>
      </w:r>
      <w:smartTag w:uri="urn:schemas-microsoft-com:office:smarttags" w:element="chsdate">
        <w:smartTagPr>
          <w:attr w:name="IsROCDate" w:val="False"/>
          <w:attr w:name="IsLunarDate" w:val="False"/>
          <w:attr w:name="Day" w:val="29"/>
          <w:attr w:name="Month" w:val="10"/>
          <w:attr w:name="Year" w:val="1996"/>
        </w:smartTagPr>
        <w:r w:rsidRPr="00AB2AD1">
          <w:rPr>
            <w:rFonts w:hAnsi="標楷體" w:cs="新細明體" w:hint="eastAsia"/>
            <w:spacing w:val="-8"/>
            <w:szCs w:val="32"/>
          </w:rPr>
          <w:t>96年10月29日</w:t>
        </w:r>
      </w:smartTag>
      <w:r w:rsidRPr="00AB2AD1">
        <w:rPr>
          <w:rFonts w:hAnsi="標楷體" w:cs="新細明體" w:hint="eastAsia"/>
          <w:spacing w:val="-8"/>
          <w:szCs w:val="32"/>
        </w:rPr>
        <w:t>及</w:t>
      </w:r>
      <w:smartTag w:uri="urn:schemas-microsoft-com:office:smarttags" w:element="chsdate">
        <w:smartTagPr>
          <w:attr w:name="IsROCDate" w:val="False"/>
          <w:attr w:name="IsLunarDate" w:val="False"/>
          <w:attr w:name="Day" w:val="29"/>
          <w:attr w:name="Month" w:val="4"/>
          <w:attr w:name="Year" w:val="1997"/>
        </w:smartTagPr>
        <w:r w:rsidRPr="00AB2AD1">
          <w:rPr>
            <w:rFonts w:hAnsi="標楷體" w:cs="新細明體" w:hint="eastAsia"/>
            <w:spacing w:val="-8"/>
            <w:szCs w:val="32"/>
          </w:rPr>
          <w:t>97年4月29日</w:t>
        </w:r>
      </w:smartTag>
      <w:r w:rsidRPr="00AB2AD1">
        <w:rPr>
          <w:rFonts w:hAnsi="標楷體" w:cs="新細明體" w:hint="eastAsia"/>
          <w:spacing w:val="-8"/>
          <w:szCs w:val="32"/>
        </w:rPr>
        <w:t>先行同意</w:t>
      </w:r>
      <w:r w:rsidR="00F00817" w:rsidRPr="00AB2AD1">
        <w:rPr>
          <w:rFonts w:hint="eastAsia"/>
        </w:rPr>
        <w:t>燃氣</w:t>
      </w:r>
      <w:r w:rsidR="00F00817" w:rsidRPr="00AB2AD1">
        <w:rPr>
          <w:rFonts w:hAnsi="標楷體" w:cs="新細明體" w:hint="eastAsia"/>
          <w:spacing w:val="-8"/>
          <w:szCs w:val="32"/>
        </w:rPr>
        <w:t>及</w:t>
      </w:r>
      <w:r w:rsidR="00F00817" w:rsidRPr="00AB2AD1">
        <w:rPr>
          <w:rFonts w:hint="eastAsia"/>
        </w:rPr>
        <w:t>燃煤</w:t>
      </w:r>
      <w:r w:rsidRPr="00AB2AD1">
        <w:rPr>
          <w:rFonts w:hAnsi="標楷體" w:cs="新細明體" w:hint="eastAsia"/>
          <w:spacing w:val="-8"/>
          <w:szCs w:val="32"/>
        </w:rPr>
        <w:t>燃料成本調整機制之變更，</w:t>
      </w:r>
      <w:r w:rsidR="00F00817" w:rsidRPr="00AB2AD1">
        <w:rPr>
          <w:rFonts w:hAnsi="標楷體" w:cs="新細明體" w:hint="eastAsia"/>
          <w:spacing w:val="-8"/>
          <w:szCs w:val="32"/>
        </w:rPr>
        <w:t>嗣</w:t>
      </w:r>
      <w:r w:rsidRPr="00AB2AD1">
        <w:rPr>
          <w:rFonts w:hAnsi="標楷體" w:cs="新細明體" w:hint="eastAsia"/>
          <w:spacing w:val="-8"/>
          <w:szCs w:val="32"/>
        </w:rPr>
        <w:t>於97年9月起陸續與各民營發電業者協商購電費率之調降，其中第三階段國光、星能、星元及森霸等4家電力公司，係由經濟部所屬中油公司或台電公司透過台汽電公司再轉投資，依前述(二)說明，經濟部及台電公司對第三階段4家民營發電業者及台汽電公司具有實質控制權，應知</w:t>
      </w:r>
      <w:r w:rsidR="00F00817" w:rsidRPr="00AB2AD1">
        <w:rPr>
          <w:rFonts w:hAnsi="標楷體" w:cs="新細明體" w:hint="eastAsia"/>
          <w:spacing w:val="-8"/>
          <w:szCs w:val="32"/>
        </w:rPr>
        <w:t>購電費率之</w:t>
      </w:r>
      <w:r w:rsidRPr="00AB2AD1">
        <w:rPr>
          <w:rFonts w:hAnsi="標楷體" w:cs="新細明體" w:hint="eastAsia"/>
          <w:spacing w:val="-8"/>
          <w:szCs w:val="32"/>
        </w:rPr>
        <w:t>調降，事涉合約之修改並對各該公司營運情形</w:t>
      </w:r>
      <w:r w:rsidR="00F00817" w:rsidRPr="00AB2AD1">
        <w:rPr>
          <w:rFonts w:hAnsi="標楷體" w:cs="新細明體" w:hint="eastAsia"/>
          <w:spacing w:val="-8"/>
          <w:szCs w:val="32"/>
        </w:rPr>
        <w:t>將</w:t>
      </w:r>
      <w:r w:rsidRPr="00AB2AD1">
        <w:rPr>
          <w:rFonts w:hAnsi="標楷體" w:cs="新細明體" w:hint="eastAsia"/>
          <w:spacing w:val="-8"/>
          <w:szCs w:val="32"/>
        </w:rPr>
        <w:t>產生重大影響，須報經各該民營電力公司董事會同意後始能修約，且依前述(二)說明，各該民營電力公司法人代表比例，台電公司轉投資</w:t>
      </w:r>
      <w:r w:rsidR="00F00817" w:rsidRPr="00AB2AD1">
        <w:rPr>
          <w:rFonts w:hAnsi="標楷體" w:cs="新細明體" w:hint="eastAsia"/>
          <w:spacing w:val="-8"/>
          <w:szCs w:val="32"/>
        </w:rPr>
        <w:t>之</w:t>
      </w:r>
      <w:r w:rsidRPr="00AB2AD1">
        <w:rPr>
          <w:rFonts w:hAnsi="標楷體" w:cs="新細明體" w:hint="eastAsia"/>
          <w:spacing w:val="-8"/>
          <w:szCs w:val="32"/>
        </w:rPr>
        <w:t>台汽公司同意與否</w:t>
      </w:r>
      <w:r w:rsidR="00F00817" w:rsidRPr="00AB2AD1">
        <w:rPr>
          <w:rFonts w:hAnsi="標楷體" w:cs="新細明體" w:hint="eastAsia"/>
          <w:spacing w:val="-8"/>
          <w:szCs w:val="32"/>
        </w:rPr>
        <w:t>，</w:t>
      </w:r>
      <w:r w:rsidRPr="00AB2AD1">
        <w:rPr>
          <w:rFonts w:hAnsi="標楷體" w:cs="新細明體" w:hint="eastAsia"/>
          <w:spacing w:val="-8"/>
          <w:szCs w:val="32"/>
        </w:rPr>
        <w:t>為最重要關鍵因素。惟經濟部及台電公司卻均未積極要求台汽電公司公股代表促請各該電力公司</w:t>
      </w:r>
      <w:r w:rsidR="00F00817" w:rsidRPr="00AB2AD1">
        <w:rPr>
          <w:rFonts w:hAnsi="標楷體" w:cs="新細明體" w:hint="eastAsia"/>
          <w:spacing w:val="-8"/>
          <w:szCs w:val="32"/>
        </w:rPr>
        <w:t>，</w:t>
      </w:r>
      <w:r w:rsidRPr="00AB2AD1">
        <w:rPr>
          <w:rFonts w:hAnsi="標楷體" w:cs="新細明體" w:hint="eastAsia"/>
          <w:spacing w:val="-8"/>
          <w:szCs w:val="32"/>
        </w:rPr>
        <w:t>將</w:t>
      </w:r>
      <w:r w:rsidR="00F00817" w:rsidRPr="00AB2AD1">
        <w:rPr>
          <w:rFonts w:hAnsi="標楷體" w:cs="新細明體" w:hint="eastAsia"/>
          <w:spacing w:val="-8"/>
          <w:szCs w:val="32"/>
        </w:rPr>
        <w:t>修約調降購電費率</w:t>
      </w:r>
      <w:r w:rsidRPr="00AB2AD1">
        <w:rPr>
          <w:rFonts w:hAnsi="標楷體" w:cs="新細明體" w:hint="eastAsia"/>
          <w:spacing w:val="-8"/>
          <w:szCs w:val="32"/>
        </w:rPr>
        <w:t>納入董事會討論表決，亦未積極要求其支持調降購電費率事宜，迨至政府於101年4月間決定調漲電價，各界針對政府轉投資之第三階段4家民營電力公司，亦不同意調降購電費率，提出諸多批評，及本院亦對台電公司遲未完成購電費率</w:t>
      </w:r>
      <w:r w:rsidR="0097742E" w:rsidRPr="00AB2AD1">
        <w:rPr>
          <w:rFonts w:hAnsi="標楷體" w:cs="新細明體" w:hint="eastAsia"/>
          <w:spacing w:val="-8"/>
          <w:szCs w:val="32"/>
        </w:rPr>
        <w:t>之</w:t>
      </w:r>
      <w:r w:rsidRPr="00AB2AD1">
        <w:rPr>
          <w:rFonts w:hAnsi="標楷體" w:cs="新細明體" w:hint="eastAsia"/>
          <w:spacing w:val="-8"/>
          <w:szCs w:val="32"/>
        </w:rPr>
        <w:t>調降，於</w:t>
      </w:r>
      <w:r w:rsidRPr="00AB2AD1">
        <w:rPr>
          <w:rFonts w:hAnsi="標楷體" w:cs="新細明體" w:hint="eastAsia"/>
          <w:spacing w:val="-8"/>
          <w:szCs w:val="32"/>
        </w:rPr>
        <w:lastRenderedPageBreak/>
        <w:t>101年6月12日及22日提出彈劾及糾正後，經濟部</w:t>
      </w:r>
      <w:r w:rsidR="00986C06" w:rsidRPr="00AB2AD1">
        <w:rPr>
          <w:rFonts w:hAnsi="標楷體" w:cs="新細明體" w:hint="eastAsia"/>
          <w:spacing w:val="-8"/>
          <w:szCs w:val="32"/>
        </w:rPr>
        <w:t>遲至</w:t>
      </w:r>
      <w:r w:rsidRPr="00AB2AD1">
        <w:rPr>
          <w:rFonts w:hAnsi="標楷體" w:cs="新細明體" w:hint="eastAsia"/>
          <w:spacing w:val="-8"/>
          <w:szCs w:val="32"/>
        </w:rPr>
        <w:t>101年6月29日</w:t>
      </w:r>
      <w:r w:rsidR="00986C06" w:rsidRPr="00AB2AD1">
        <w:rPr>
          <w:rFonts w:hAnsi="標楷體" w:cs="新細明體" w:hint="eastAsia"/>
          <w:spacing w:val="-8"/>
          <w:szCs w:val="32"/>
        </w:rPr>
        <w:t>始</w:t>
      </w:r>
      <w:r w:rsidRPr="00AB2AD1">
        <w:rPr>
          <w:rFonts w:hAnsi="標楷體" w:cs="新細明體" w:hint="eastAsia"/>
          <w:spacing w:val="-8"/>
          <w:szCs w:val="32"/>
        </w:rPr>
        <w:t>函請前述4</w:t>
      </w:r>
      <w:r w:rsidR="0097742E" w:rsidRPr="00AB2AD1">
        <w:rPr>
          <w:rFonts w:hAnsi="標楷體" w:cs="新細明體" w:hint="eastAsia"/>
          <w:spacing w:val="-8"/>
          <w:szCs w:val="32"/>
        </w:rPr>
        <w:t>家</w:t>
      </w:r>
      <w:r w:rsidRPr="00AB2AD1">
        <w:rPr>
          <w:rFonts w:hAnsi="標楷體" w:cs="新細明體" w:hint="eastAsia"/>
          <w:spacing w:val="-8"/>
          <w:szCs w:val="32"/>
        </w:rPr>
        <w:t>電力公司公股代表支持購電費率調降事宜，肇致國光電力公司於101年6月7日召開第4</w:t>
      </w:r>
      <w:r w:rsidR="00F530B5" w:rsidRPr="00AB2AD1">
        <w:rPr>
          <w:rFonts w:hAnsi="標楷體" w:cs="新細明體" w:hint="eastAsia"/>
          <w:spacing w:val="-8"/>
          <w:szCs w:val="32"/>
        </w:rPr>
        <w:t>屆</w:t>
      </w:r>
      <w:r w:rsidRPr="00AB2AD1">
        <w:rPr>
          <w:rFonts w:hAnsi="標楷體" w:cs="新細明體" w:hint="eastAsia"/>
          <w:spacing w:val="-8"/>
          <w:szCs w:val="32"/>
        </w:rPr>
        <w:t>第10次董事會議，星能、森霸等電力公司於101年6月29日分別召開</w:t>
      </w:r>
      <w:r w:rsidR="0097742E" w:rsidRPr="00AB2AD1">
        <w:rPr>
          <w:rFonts w:hint="eastAsia"/>
        </w:rPr>
        <w:t>「第五屆第一次董事會」</w:t>
      </w:r>
      <w:r w:rsidRPr="00AB2AD1">
        <w:rPr>
          <w:rFonts w:hAnsi="標楷體" w:cs="新細明體" w:hint="eastAsia"/>
          <w:spacing w:val="-8"/>
          <w:szCs w:val="32"/>
        </w:rPr>
        <w:t>，中油、台糖公司法人代表均同意台電公司所提方案，而台電公司轉投資</w:t>
      </w:r>
      <w:r w:rsidR="0097742E" w:rsidRPr="00AB2AD1">
        <w:rPr>
          <w:rFonts w:hAnsi="標楷體" w:cs="新細明體" w:hint="eastAsia"/>
          <w:spacing w:val="-8"/>
          <w:szCs w:val="32"/>
        </w:rPr>
        <w:t>之</w:t>
      </w:r>
      <w:r w:rsidRPr="00AB2AD1">
        <w:rPr>
          <w:rFonts w:hAnsi="標楷體" w:cs="新細明體" w:hint="eastAsia"/>
          <w:spacing w:val="-8"/>
          <w:szCs w:val="32"/>
        </w:rPr>
        <w:t>台汽電</w:t>
      </w:r>
      <w:r w:rsidR="0097742E" w:rsidRPr="00AB2AD1">
        <w:rPr>
          <w:rFonts w:hAnsi="標楷體" w:cs="新細明體" w:hint="eastAsia"/>
          <w:spacing w:val="-8"/>
          <w:szCs w:val="32"/>
        </w:rPr>
        <w:t>公司</w:t>
      </w:r>
      <w:r w:rsidRPr="00AB2AD1">
        <w:rPr>
          <w:rFonts w:hAnsi="標楷體" w:cs="新細明體" w:hint="eastAsia"/>
          <w:spacing w:val="-8"/>
          <w:szCs w:val="32"/>
        </w:rPr>
        <w:t>法人卻不同意，僅同意繼續</w:t>
      </w:r>
      <w:r w:rsidRPr="00AB2AD1">
        <w:rPr>
          <w:rFonts w:hAnsi="標楷體" w:hint="eastAsia"/>
          <w:szCs w:val="32"/>
        </w:rPr>
        <w:t>與台電公司協商</w:t>
      </w:r>
      <w:r w:rsidRPr="00AB2AD1">
        <w:rPr>
          <w:rFonts w:hAnsi="標楷體" w:cs="新細明體" w:hint="eastAsia"/>
          <w:spacing w:val="-8"/>
          <w:szCs w:val="32"/>
        </w:rPr>
        <w:t>之現象。又</w:t>
      </w:r>
      <w:r w:rsidRPr="00AB2AD1">
        <w:rPr>
          <w:rFonts w:hAnsi="標楷體" w:cs="新細明體" w:hint="eastAsia"/>
          <w:szCs w:val="32"/>
        </w:rPr>
        <w:t>台汽電公司嗣因第三階段4</w:t>
      </w:r>
      <w:r w:rsidR="0097742E" w:rsidRPr="00AB2AD1">
        <w:rPr>
          <w:rFonts w:hAnsi="標楷體" w:cs="新細明體" w:hint="eastAsia"/>
          <w:szCs w:val="32"/>
        </w:rPr>
        <w:t>家</w:t>
      </w:r>
      <w:r w:rsidRPr="00AB2AD1">
        <w:rPr>
          <w:rFonts w:hAnsi="標楷體" w:cs="新細明體" w:hint="eastAsia"/>
          <w:szCs w:val="32"/>
        </w:rPr>
        <w:t>電力公司之購售電合約修約</w:t>
      </w:r>
      <w:r w:rsidR="0097742E" w:rsidRPr="00AB2AD1">
        <w:rPr>
          <w:rFonts w:hAnsi="標楷體" w:cs="新細明體" w:hint="eastAsia"/>
          <w:szCs w:val="32"/>
        </w:rPr>
        <w:t>事宜</w:t>
      </w:r>
      <w:r w:rsidRPr="00AB2AD1">
        <w:rPr>
          <w:rFonts w:hAnsi="標楷體" w:cs="新細明體" w:hint="eastAsia"/>
          <w:szCs w:val="32"/>
        </w:rPr>
        <w:t>，</w:t>
      </w:r>
      <w:r w:rsidR="0097742E" w:rsidRPr="00AB2AD1">
        <w:rPr>
          <w:rFonts w:hAnsi="標楷體" w:cs="新細明體" w:hint="eastAsia"/>
          <w:szCs w:val="32"/>
        </w:rPr>
        <w:t>將</w:t>
      </w:r>
      <w:r w:rsidRPr="00AB2AD1">
        <w:rPr>
          <w:rFonts w:hAnsi="標楷體" w:cs="新細明體" w:hint="eastAsia"/>
          <w:szCs w:val="32"/>
        </w:rPr>
        <w:t>對台汽電公司獲利</w:t>
      </w:r>
      <w:r w:rsidR="0097742E" w:rsidRPr="00AB2AD1">
        <w:rPr>
          <w:rFonts w:hAnsi="標楷體" w:cs="新細明體" w:hint="eastAsia"/>
          <w:szCs w:val="32"/>
        </w:rPr>
        <w:t>造成</w:t>
      </w:r>
      <w:r w:rsidRPr="00AB2AD1">
        <w:rPr>
          <w:rFonts w:hAnsi="標楷體" w:cs="新細明體" w:hint="eastAsia"/>
          <w:szCs w:val="32"/>
        </w:rPr>
        <w:t>重大影響，且於董事會報告中，各董事意見分歧，台汽電公司爰依公司法第202條規定(公司業務之執行，除本法或章程規定應按股東會決議事項外，均應由董事會決議行之)，以提案方式送請董事會審議決議後，始交由其派任前述4家電力公司董事執行，惟台汽電公司法人代表仍遲未將</w:t>
      </w:r>
      <w:r w:rsidR="0097742E" w:rsidRPr="00AB2AD1">
        <w:rPr>
          <w:rFonts w:hAnsi="標楷體" w:cs="新細明體" w:hint="eastAsia"/>
          <w:szCs w:val="32"/>
        </w:rPr>
        <w:t>調降</w:t>
      </w:r>
      <w:r w:rsidR="00F00817" w:rsidRPr="00AB2AD1">
        <w:rPr>
          <w:rFonts w:hAnsi="標楷體" w:cs="新細明體" w:hint="eastAsia"/>
          <w:szCs w:val="32"/>
        </w:rPr>
        <w:t>購電費率</w:t>
      </w:r>
      <w:r w:rsidR="0097742E" w:rsidRPr="00AB2AD1">
        <w:rPr>
          <w:rFonts w:hAnsi="標楷體" w:cs="新細明體" w:hint="eastAsia"/>
          <w:szCs w:val="32"/>
        </w:rPr>
        <w:t>之議題</w:t>
      </w:r>
      <w:r w:rsidRPr="00AB2AD1">
        <w:rPr>
          <w:rFonts w:hAnsi="標楷體" w:cs="新細明體" w:hint="eastAsia"/>
          <w:szCs w:val="32"/>
        </w:rPr>
        <w:t>列入董事會討論，亦導致國光電力公司於101年7月11日召開</w:t>
      </w:r>
      <w:r w:rsidR="0097742E" w:rsidRPr="00AB2AD1">
        <w:rPr>
          <w:rFonts w:hAnsi="標楷體" w:cs="新細明體" w:hint="eastAsia"/>
          <w:szCs w:val="32"/>
        </w:rPr>
        <w:t>之</w:t>
      </w:r>
      <w:r w:rsidR="0097742E" w:rsidRPr="00AB2AD1">
        <w:rPr>
          <w:rFonts w:hint="eastAsia"/>
        </w:rPr>
        <w:t>「第四屆第一次臨時董事會」時</w:t>
      </w:r>
      <w:r w:rsidRPr="00AB2AD1">
        <w:rPr>
          <w:rFonts w:hAnsi="標楷體" w:cs="新細明體" w:hint="eastAsia"/>
          <w:szCs w:val="32"/>
        </w:rPr>
        <w:t>，中油公司代表同意</w:t>
      </w:r>
      <w:r w:rsidR="0097742E" w:rsidRPr="00AB2AD1">
        <w:rPr>
          <w:rFonts w:hAnsi="標楷體" w:cs="新細明體" w:hint="eastAsia"/>
          <w:szCs w:val="32"/>
        </w:rPr>
        <w:t>修約調降購電費率</w:t>
      </w:r>
      <w:r w:rsidRPr="00AB2AD1">
        <w:rPr>
          <w:rFonts w:hAnsi="標楷體" w:cs="新細明體" w:hint="eastAsia"/>
          <w:szCs w:val="32"/>
        </w:rPr>
        <w:t>，而台汽電公司代表卻表示：「在台汽電公司股東會董事會</w:t>
      </w:r>
      <w:r w:rsidR="00D2622D" w:rsidRPr="00AB2AD1">
        <w:rPr>
          <w:rFonts w:hAnsi="標楷體" w:cs="新細明體" w:hint="eastAsia"/>
          <w:szCs w:val="32"/>
        </w:rPr>
        <w:t>未授權前，台汽電代表無法同意此案，但同意國光電力公司與台電公司繼</w:t>
      </w:r>
      <w:r w:rsidRPr="00AB2AD1">
        <w:rPr>
          <w:rFonts w:hAnsi="標楷體" w:cs="新細明體" w:hint="eastAsia"/>
          <w:szCs w:val="32"/>
        </w:rPr>
        <w:t>續協商。」之窘境</w:t>
      </w:r>
      <w:r w:rsidR="00DC1E25" w:rsidRPr="00AB2AD1">
        <w:rPr>
          <w:rFonts w:hint="eastAsia"/>
          <w:szCs w:val="32"/>
        </w:rPr>
        <w:t>。</w:t>
      </w:r>
    </w:p>
    <w:p w:rsidR="00DC1E25" w:rsidRPr="00AB2AD1" w:rsidRDefault="00387F07" w:rsidP="00DC1E25">
      <w:pPr>
        <w:pStyle w:val="3"/>
      </w:pPr>
      <w:r w:rsidRPr="00AB2AD1">
        <w:rPr>
          <w:rFonts w:hAnsi="標楷體" w:cs="新細明體" w:hint="eastAsia"/>
          <w:szCs w:val="32"/>
        </w:rPr>
        <w:t>次查經濟部(能源局)</w:t>
      </w:r>
      <w:r w:rsidR="0097742E" w:rsidRPr="00AB2AD1">
        <w:rPr>
          <w:rFonts w:hAnsi="標楷體" w:cs="新細明體" w:hint="eastAsia"/>
          <w:szCs w:val="32"/>
        </w:rPr>
        <w:t>於</w:t>
      </w:r>
      <w:r w:rsidRPr="00AB2AD1">
        <w:rPr>
          <w:rFonts w:hAnsi="標楷體" w:cs="新細明體" w:hint="eastAsia"/>
          <w:szCs w:val="32"/>
        </w:rPr>
        <w:t>101年7月20日召開「台電公司與第三階段民營電廠購電費率第3次協處事宜」會議，有關協處方案之後續作為，台電公司及</w:t>
      </w:r>
      <w:r w:rsidR="0097742E" w:rsidRPr="00AB2AD1">
        <w:rPr>
          <w:rFonts w:hAnsi="標楷體" w:cs="新細明體" w:hint="eastAsia"/>
          <w:szCs w:val="32"/>
        </w:rPr>
        <w:t>民營電力</w:t>
      </w:r>
      <w:r w:rsidRPr="00AB2AD1">
        <w:rPr>
          <w:rFonts w:hAnsi="標楷體" w:cs="新細明體" w:hint="eastAsia"/>
          <w:szCs w:val="32"/>
        </w:rPr>
        <w:t>業者同意</w:t>
      </w:r>
      <w:r w:rsidR="0097742E" w:rsidRPr="00AB2AD1">
        <w:rPr>
          <w:rFonts w:hAnsi="標楷體" w:cs="新細明體" w:hint="eastAsia"/>
          <w:szCs w:val="32"/>
        </w:rPr>
        <w:t>經濟部</w:t>
      </w:r>
      <w:r w:rsidRPr="00AB2AD1">
        <w:rPr>
          <w:rFonts w:hAnsi="標楷體" w:cs="新細明體" w:hint="eastAsia"/>
          <w:szCs w:val="32"/>
        </w:rPr>
        <w:t>要求業者於2週內召開董事會討論協處方案，業者對此期程</w:t>
      </w:r>
      <w:r w:rsidR="0097742E" w:rsidRPr="00AB2AD1">
        <w:rPr>
          <w:rFonts w:hAnsi="標楷體" w:cs="新細明體" w:hint="eastAsia"/>
          <w:szCs w:val="32"/>
        </w:rPr>
        <w:t>亦未</w:t>
      </w:r>
      <w:r w:rsidRPr="00AB2AD1">
        <w:rPr>
          <w:rFonts w:hAnsi="標楷體" w:cs="新細明體" w:hint="eastAsia"/>
          <w:szCs w:val="32"/>
        </w:rPr>
        <w:t>反對，並承諾將協處方案交付董事會討論。經濟部雖於101年7月23日函請公股代表必須將該協處方案提送董事會</w:t>
      </w:r>
      <w:r w:rsidR="00A46970" w:rsidRPr="00AB2AD1">
        <w:rPr>
          <w:rFonts w:hAnsi="標楷體" w:cs="新細明體" w:hint="eastAsia"/>
          <w:szCs w:val="32"/>
        </w:rPr>
        <w:t>並</w:t>
      </w:r>
      <w:r w:rsidRPr="00AB2AD1">
        <w:rPr>
          <w:rFonts w:hAnsi="標楷體" w:cs="新細明體" w:hint="eastAsia"/>
          <w:szCs w:val="32"/>
        </w:rPr>
        <w:t>予以支持，惟台汽電公司法人代表不僅仍持續</w:t>
      </w:r>
      <w:r w:rsidRPr="00AB2AD1">
        <w:rPr>
          <w:rFonts w:hAnsi="標楷體" w:cs="新細明體" w:hint="eastAsia"/>
          <w:szCs w:val="32"/>
        </w:rPr>
        <w:lastRenderedPageBreak/>
        <w:t>未依經濟部(能源局)召開協處會議</w:t>
      </w:r>
      <w:r w:rsidR="00A46970" w:rsidRPr="00AB2AD1">
        <w:rPr>
          <w:rFonts w:hAnsi="標楷體" w:cs="新細明體" w:hint="eastAsia"/>
          <w:szCs w:val="32"/>
        </w:rPr>
        <w:t>之</w:t>
      </w:r>
      <w:r w:rsidRPr="00AB2AD1">
        <w:rPr>
          <w:rFonts w:hAnsi="標楷體" w:cs="新細明體" w:hint="eastAsia"/>
          <w:szCs w:val="32"/>
        </w:rPr>
        <w:t>決議</w:t>
      </w:r>
      <w:r w:rsidR="00A46970" w:rsidRPr="00AB2AD1">
        <w:rPr>
          <w:rFonts w:hAnsi="標楷體" w:cs="新細明體" w:hint="eastAsia"/>
          <w:szCs w:val="32"/>
        </w:rPr>
        <w:t>，於</w:t>
      </w:r>
      <w:r w:rsidRPr="00AB2AD1">
        <w:rPr>
          <w:rFonts w:hAnsi="標楷體" w:cs="新細明體" w:hint="eastAsia"/>
          <w:szCs w:val="32"/>
        </w:rPr>
        <w:t>期限2週內列入董事會討論，卻延遲至101年8月22日始將協處方案列入</w:t>
      </w:r>
      <w:r w:rsidR="00A46970" w:rsidRPr="00AB2AD1">
        <w:rPr>
          <w:rFonts w:hint="eastAsia"/>
        </w:rPr>
        <w:t>「第八屆第六次董事會」</w:t>
      </w:r>
      <w:r w:rsidRPr="00AB2AD1">
        <w:rPr>
          <w:rFonts w:hAnsi="標楷體" w:cs="新細明體" w:hint="eastAsia"/>
          <w:szCs w:val="32"/>
        </w:rPr>
        <w:t>討論，且討論形式僅為報告案，並無是否接受協處方案之具體決議，致各該民營電力公司仍無法達成</w:t>
      </w:r>
      <w:r w:rsidR="00A46970" w:rsidRPr="00AB2AD1">
        <w:rPr>
          <w:rFonts w:hAnsi="標楷體" w:cs="新細明體" w:hint="eastAsia"/>
          <w:szCs w:val="32"/>
        </w:rPr>
        <w:t>調降</w:t>
      </w:r>
      <w:r w:rsidRPr="00AB2AD1">
        <w:rPr>
          <w:rFonts w:hAnsi="標楷體" w:cs="新細明體" w:hint="eastAsia"/>
          <w:szCs w:val="32"/>
        </w:rPr>
        <w:t>購電費率之共識；又前述協處會議中</w:t>
      </w:r>
      <w:r w:rsidR="00A46970" w:rsidRPr="00AB2AD1">
        <w:rPr>
          <w:rFonts w:hAnsi="標楷體" w:cs="新細明體" w:hint="eastAsia"/>
          <w:szCs w:val="32"/>
        </w:rPr>
        <w:t>，</w:t>
      </w:r>
      <w:r w:rsidRPr="00AB2AD1">
        <w:rPr>
          <w:rFonts w:hAnsi="標楷體" w:cs="新細明體" w:hint="eastAsia"/>
          <w:szCs w:val="32"/>
        </w:rPr>
        <w:t>經濟部</w:t>
      </w:r>
      <w:r w:rsidR="00A46970" w:rsidRPr="00AB2AD1">
        <w:rPr>
          <w:rFonts w:hAnsi="標楷體" w:cs="新細明體" w:hint="eastAsia"/>
          <w:szCs w:val="32"/>
        </w:rPr>
        <w:t>法規委員會</w:t>
      </w:r>
      <w:r w:rsidRPr="00AB2AD1">
        <w:rPr>
          <w:rFonts w:hAnsi="標楷體" w:cs="新細明體" w:hint="eastAsia"/>
          <w:szCs w:val="32"/>
        </w:rPr>
        <w:t>已表示：「公司法所稱『利益迴避』，應依案情進行個案分析後，始可判定適用與否，並非如</w:t>
      </w:r>
      <w:r w:rsidR="00A46970" w:rsidRPr="00AB2AD1">
        <w:rPr>
          <w:rFonts w:hAnsi="標楷體" w:cs="新細明體" w:hint="eastAsia"/>
          <w:szCs w:val="32"/>
        </w:rPr>
        <w:t>民營電力</w:t>
      </w:r>
      <w:r w:rsidRPr="00AB2AD1">
        <w:rPr>
          <w:rFonts w:hAnsi="標楷體" w:cs="新細明體" w:hint="eastAsia"/>
          <w:szCs w:val="32"/>
        </w:rPr>
        <w:t>業者所言只要涉及台電公司之利益，台電公司所派之董事代表就全盤適用『利益迴避』，而不能參與董事會之表決</w:t>
      </w:r>
      <w:r w:rsidR="00A46970" w:rsidRPr="00AB2AD1">
        <w:rPr>
          <w:rFonts w:hAnsi="標楷體" w:cs="新細明體" w:hint="eastAsia"/>
          <w:szCs w:val="32"/>
        </w:rPr>
        <w:t>。」</w:t>
      </w:r>
      <w:r w:rsidRPr="00AB2AD1">
        <w:rPr>
          <w:rFonts w:hAnsi="標楷體" w:cs="新細明體" w:hint="eastAsia"/>
          <w:szCs w:val="32"/>
        </w:rPr>
        <w:t>惟台汽電公司於前揭董事會</w:t>
      </w:r>
      <w:r w:rsidR="00A46970" w:rsidRPr="00AB2AD1">
        <w:rPr>
          <w:rFonts w:hAnsi="標楷體" w:cs="新細明體" w:hint="eastAsia"/>
          <w:szCs w:val="32"/>
        </w:rPr>
        <w:t>會</w:t>
      </w:r>
      <w:r w:rsidRPr="00AB2AD1">
        <w:rPr>
          <w:rFonts w:hAnsi="標楷體" w:cs="新細明體" w:hint="eastAsia"/>
          <w:szCs w:val="32"/>
        </w:rPr>
        <w:t>議中，仍有其他董事提出「台電法人董事代表人於表決時應行利益迴避，而以維護公司之利益而言，要獲通過調降電價之提議</w:t>
      </w:r>
      <w:r w:rsidR="00A46970" w:rsidRPr="00AB2AD1">
        <w:rPr>
          <w:rFonts w:hAnsi="標楷體" w:cs="新細明體" w:hint="eastAsia"/>
          <w:szCs w:val="32"/>
        </w:rPr>
        <w:t>，</w:t>
      </w:r>
      <w:r w:rsidRPr="00AB2AD1">
        <w:rPr>
          <w:rFonts w:hAnsi="標楷體" w:cs="新細明體" w:hint="eastAsia"/>
          <w:szCs w:val="32"/>
        </w:rPr>
        <w:t>恐無法經台電以外董事同意」，台電公司法人代表與列席人員，亦均未表明「無利益迴避」之</w:t>
      </w:r>
      <w:r w:rsidR="00A46970" w:rsidRPr="00AB2AD1">
        <w:rPr>
          <w:rFonts w:hAnsi="標楷體" w:cs="新細明體" w:hint="eastAsia"/>
          <w:szCs w:val="32"/>
        </w:rPr>
        <w:t>看法</w:t>
      </w:r>
      <w:r w:rsidRPr="00AB2AD1">
        <w:rPr>
          <w:rFonts w:hAnsi="標楷體" w:cs="新細明體" w:hint="eastAsia"/>
          <w:szCs w:val="32"/>
        </w:rPr>
        <w:t>。又台汽電公司董事長於本院約詢時表示：「台電及經濟部</w:t>
      </w:r>
      <w:r w:rsidR="00A46970" w:rsidRPr="00AB2AD1">
        <w:rPr>
          <w:rFonts w:hAnsi="標楷體" w:cs="新細明體" w:hint="eastAsia"/>
          <w:szCs w:val="32"/>
        </w:rPr>
        <w:t>於101年時，</w:t>
      </w:r>
      <w:r w:rsidRPr="00AB2AD1">
        <w:rPr>
          <w:rFonts w:hAnsi="標楷體" w:cs="新細明體" w:hint="eastAsia"/>
          <w:szCs w:val="32"/>
        </w:rPr>
        <w:t>有正式公文要求公股代表要支持政府政策修約，但之前政府有無要求</w:t>
      </w:r>
      <w:r w:rsidR="00A46970" w:rsidRPr="00AB2AD1">
        <w:rPr>
          <w:rFonts w:hAnsi="標楷體" w:cs="新細明體" w:hint="eastAsia"/>
          <w:szCs w:val="32"/>
        </w:rPr>
        <w:t>，</w:t>
      </w:r>
      <w:r w:rsidRPr="00AB2AD1">
        <w:rPr>
          <w:rFonts w:hAnsi="標楷體" w:cs="新細明體" w:hint="eastAsia"/>
          <w:szCs w:val="32"/>
        </w:rPr>
        <w:t>本人不知情。」台電公司負責協商修約之承辦主管則稱：「97年</w:t>
      </w:r>
      <w:r w:rsidR="00A46970" w:rsidRPr="00AB2AD1">
        <w:rPr>
          <w:rFonts w:hAnsi="標楷體" w:cs="新細明體" w:hint="eastAsia"/>
          <w:szCs w:val="32"/>
        </w:rPr>
        <w:t>間</w:t>
      </w:r>
      <w:r w:rsidRPr="00AB2AD1">
        <w:rPr>
          <w:rFonts w:hAnsi="標楷體" w:cs="新細明體" w:hint="eastAsia"/>
          <w:szCs w:val="32"/>
        </w:rPr>
        <w:t>召開協</w:t>
      </w:r>
      <w:r w:rsidR="00A46970" w:rsidRPr="00AB2AD1">
        <w:rPr>
          <w:rFonts w:hAnsi="標楷體" w:cs="新細明體" w:hint="eastAsia"/>
          <w:szCs w:val="32"/>
        </w:rPr>
        <w:t>商</w:t>
      </w:r>
      <w:r w:rsidRPr="00AB2AD1">
        <w:rPr>
          <w:rFonts w:hAnsi="標楷體" w:cs="新細明體" w:hint="eastAsia"/>
          <w:szCs w:val="32"/>
        </w:rPr>
        <w:t>會議時，民營電力業者是不同意修約的，台電當時是委由台經院提出</w:t>
      </w:r>
      <w:r w:rsidR="00F00817" w:rsidRPr="00AB2AD1">
        <w:rPr>
          <w:rFonts w:hAnsi="標楷體" w:cs="新細明體" w:hint="eastAsia"/>
          <w:szCs w:val="32"/>
        </w:rPr>
        <w:t>購電費率</w:t>
      </w:r>
      <w:r w:rsidRPr="00AB2AD1">
        <w:rPr>
          <w:rFonts w:hAnsi="標楷體" w:cs="新細明體" w:hint="eastAsia"/>
          <w:szCs w:val="32"/>
        </w:rPr>
        <w:t>之建議公式，之後再請業者也提出公式，當時是由能源局負責</w:t>
      </w:r>
      <w:r w:rsidR="00A46970" w:rsidRPr="00AB2AD1">
        <w:rPr>
          <w:rFonts w:hAnsi="標楷體" w:cs="新細明體" w:hint="eastAsia"/>
          <w:szCs w:val="32"/>
        </w:rPr>
        <w:t>協</w:t>
      </w:r>
      <w:r w:rsidRPr="00AB2AD1">
        <w:rPr>
          <w:rFonts w:hAnsi="標楷體" w:cs="新細明體" w:hint="eastAsia"/>
          <w:szCs w:val="32"/>
        </w:rPr>
        <w:t>處，但並未函請各公股代表要支持調降</w:t>
      </w:r>
      <w:r w:rsidR="00F00817" w:rsidRPr="00AB2AD1">
        <w:rPr>
          <w:rFonts w:hAnsi="標楷體" w:cs="新細明體" w:hint="eastAsia"/>
          <w:szCs w:val="32"/>
        </w:rPr>
        <w:t>購電費率</w:t>
      </w:r>
      <w:r w:rsidRPr="00AB2AD1">
        <w:rPr>
          <w:rFonts w:hAnsi="標楷體" w:cs="新細明體" w:hint="eastAsia"/>
          <w:szCs w:val="32"/>
        </w:rPr>
        <w:t>。」顯見台電公司及經濟部至101年6月後</w:t>
      </w:r>
      <w:r w:rsidR="008D7750" w:rsidRPr="00AB2AD1">
        <w:rPr>
          <w:rFonts w:hAnsi="標楷體" w:cs="新細明體" w:hint="eastAsia"/>
          <w:szCs w:val="32"/>
        </w:rPr>
        <w:t>，</w:t>
      </w:r>
      <w:r w:rsidRPr="00AB2AD1">
        <w:rPr>
          <w:rFonts w:hAnsi="標楷體" w:cs="新細明體" w:hint="eastAsia"/>
          <w:szCs w:val="32"/>
        </w:rPr>
        <w:t>始正式要求公股代表須支持政府政策推動修約。以上，</w:t>
      </w:r>
      <w:r w:rsidR="008D7750" w:rsidRPr="00AB2AD1">
        <w:rPr>
          <w:rFonts w:hAnsi="標楷體" w:cs="新細明體" w:hint="eastAsia"/>
          <w:szCs w:val="32"/>
        </w:rPr>
        <w:t>顯示經濟部及台電公司並未積極辦理調降購電費率之相關作業</w:t>
      </w:r>
      <w:r w:rsidR="00987DA7" w:rsidRPr="00AB2AD1">
        <w:rPr>
          <w:rFonts w:hAnsi="標楷體" w:cs="新細明體" w:hint="eastAsia"/>
          <w:szCs w:val="32"/>
        </w:rPr>
        <w:t>，亦未善盡監督管理轉投資事業之責</w:t>
      </w:r>
      <w:r w:rsidR="00DC1E25" w:rsidRPr="00AB2AD1">
        <w:rPr>
          <w:rFonts w:hAnsi="標楷體" w:hint="eastAsia"/>
          <w:szCs w:val="32"/>
        </w:rPr>
        <w:t>。</w:t>
      </w:r>
    </w:p>
    <w:p w:rsidR="000C0217" w:rsidRPr="00AB2AD1" w:rsidRDefault="00387F07" w:rsidP="00BE63B0">
      <w:pPr>
        <w:pStyle w:val="3"/>
        <w:kinsoku/>
        <w:ind w:left="1394"/>
      </w:pPr>
      <w:r w:rsidRPr="00AB2AD1">
        <w:rPr>
          <w:rFonts w:hAnsi="標楷體" w:cs="新細明體" w:hint="eastAsia"/>
          <w:szCs w:val="32"/>
        </w:rPr>
        <w:t>綜上，第三階段</w:t>
      </w:r>
      <w:r w:rsidR="008D7750" w:rsidRPr="00AB2AD1">
        <w:rPr>
          <w:rFonts w:hAnsi="標楷體" w:cs="新細明體" w:hint="eastAsia"/>
          <w:szCs w:val="32"/>
        </w:rPr>
        <w:t>開放民間投資興建發電廠</w:t>
      </w:r>
      <w:r w:rsidRPr="00AB2AD1">
        <w:rPr>
          <w:rFonts w:hAnsi="標楷體" w:cs="新細明體" w:hint="eastAsia"/>
          <w:szCs w:val="32"/>
        </w:rPr>
        <w:t>所獲選之4家民營發電業者，主要均為台電公司透過台汽電</w:t>
      </w:r>
      <w:r w:rsidRPr="00AB2AD1">
        <w:rPr>
          <w:rFonts w:hAnsi="標楷體" w:cs="新細明體" w:hint="eastAsia"/>
          <w:szCs w:val="32"/>
        </w:rPr>
        <w:lastRenderedPageBreak/>
        <w:t>公司轉投資或中油公司轉投資，其中星能、星元、森霸等3家電力公司之董事長及總經理</w:t>
      </w:r>
      <w:r w:rsidR="008D7750" w:rsidRPr="00AB2AD1">
        <w:rPr>
          <w:rFonts w:hAnsi="標楷體" w:cs="新細明體" w:hint="eastAsia"/>
          <w:szCs w:val="32"/>
        </w:rPr>
        <w:t>，均</w:t>
      </w:r>
      <w:r w:rsidRPr="00AB2AD1">
        <w:rPr>
          <w:rFonts w:hAnsi="標楷體" w:cs="新細明體" w:hint="eastAsia"/>
          <w:szCs w:val="32"/>
        </w:rPr>
        <w:t>由台汽電公司派任代表擔(兼)任，且該3家電力公司與台汽電公司共用同一樓層辦公，台汽電公司直接掌控該3家電力公司之控制經營權及日常營運管理，而台電公司為台汽電公司之最大股東，其董事長係由台電公司派任，另國光電力公司最大股東為中油公司，董事長則由中油公司派任，因此，經濟部及台電公司對台汽電公司及第三階段4家民營發電業者</w:t>
      </w:r>
      <w:r w:rsidR="008D7750" w:rsidRPr="00AB2AD1">
        <w:rPr>
          <w:rFonts w:hAnsi="標楷體" w:cs="新細明體" w:hint="eastAsia"/>
          <w:szCs w:val="32"/>
        </w:rPr>
        <w:t>，</w:t>
      </w:r>
      <w:r w:rsidRPr="00AB2AD1">
        <w:rPr>
          <w:rFonts w:hAnsi="標楷體" w:cs="新細明體" w:hint="eastAsia"/>
          <w:szCs w:val="32"/>
        </w:rPr>
        <w:t>具有實質控制權。</w:t>
      </w:r>
      <w:r w:rsidR="008D7750" w:rsidRPr="00AB2AD1">
        <w:rPr>
          <w:rFonts w:hAnsi="標楷體" w:cs="新細明體" w:hint="eastAsia"/>
          <w:szCs w:val="32"/>
        </w:rPr>
        <w:t>然</w:t>
      </w:r>
      <w:r w:rsidRPr="00AB2AD1">
        <w:rPr>
          <w:rFonts w:hAnsi="標楷體" w:cs="新細明體" w:hint="eastAsia"/>
          <w:szCs w:val="32"/>
        </w:rPr>
        <w:t>台電公司</w:t>
      </w:r>
      <w:r w:rsidR="008D7750" w:rsidRPr="00AB2AD1">
        <w:rPr>
          <w:rFonts w:hAnsi="標楷體" w:cs="新細明體" w:hint="eastAsia"/>
          <w:szCs w:val="32"/>
        </w:rPr>
        <w:t>先</w:t>
      </w:r>
      <w:r w:rsidR="008D7750" w:rsidRPr="00AB2AD1">
        <w:rPr>
          <w:rFonts w:hAnsi="標楷體" w:cs="新細明體" w:hint="eastAsia"/>
          <w:spacing w:val="-8"/>
          <w:szCs w:val="32"/>
        </w:rPr>
        <w:t>於</w:t>
      </w:r>
      <w:smartTag w:uri="urn:schemas-microsoft-com:office:smarttags" w:element="chsdate">
        <w:smartTagPr>
          <w:attr w:name="IsROCDate" w:val="False"/>
          <w:attr w:name="IsLunarDate" w:val="False"/>
          <w:attr w:name="Day" w:val="29"/>
          <w:attr w:name="Month" w:val="10"/>
          <w:attr w:name="Year" w:val="1996"/>
        </w:smartTagPr>
        <w:r w:rsidR="008D7750" w:rsidRPr="00AB2AD1">
          <w:rPr>
            <w:rFonts w:hAnsi="標楷體" w:cs="新細明體" w:hint="eastAsia"/>
            <w:spacing w:val="-8"/>
            <w:szCs w:val="32"/>
          </w:rPr>
          <w:t>96年10月29日</w:t>
        </w:r>
      </w:smartTag>
      <w:r w:rsidR="008D7750" w:rsidRPr="00AB2AD1">
        <w:rPr>
          <w:rFonts w:hAnsi="標楷體" w:cs="新細明體" w:hint="eastAsia"/>
          <w:spacing w:val="-8"/>
          <w:szCs w:val="32"/>
        </w:rPr>
        <w:t>及</w:t>
      </w:r>
      <w:smartTag w:uri="urn:schemas-microsoft-com:office:smarttags" w:element="chsdate">
        <w:smartTagPr>
          <w:attr w:name="IsROCDate" w:val="False"/>
          <w:attr w:name="IsLunarDate" w:val="False"/>
          <w:attr w:name="Day" w:val="29"/>
          <w:attr w:name="Month" w:val="4"/>
          <w:attr w:name="Year" w:val="1997"/>
        </w:smartTagPr>
        <w:r w:rsidR="008D7750" w:rsidRPr="00AB2AD1">
          <w:rPr>
            <w:rFonts w:hAnsi="標楷體" w:cs="新細明體" w:hint="eastAsia"/>
            <w:spacing w:val="-8"/>
            <w:szCs w:val="32"/>
          </w:rPr>
          <w:t>97年4月29日</w:t>
        </w:r>
      </w:smartTag>
      <w:r w:rsidR="008D7750" w:rsidRPr="00AB2AD1">
        <w:rPr>
          <w:rFonts w:hAnsi="標楷體" w:cs="新細明體" w:hint="eastAsia"/>
          <w:spacing w:val="-8"/>
          <w:szCs w:val="32"/>
        </w:rPr>
        <w:t>先行同意</w:t>
      </w:r>
      <w:r w:rsidR="008D7750" w:rsidRPr="00AB2AD1">
        <w:rPr>
          <w:rFonts w:hint="eastAsia"/>
        </w:rPr>
        <w:t>燃氣</w:t>
      </w:r>
      <w:r w:rsidR="008D7750" w:rsidRPr="00AB2AD1">
        <w:rPr>
          <w:rFonts w:hAnsi="標楷體" w:cs="新細明體" w:hint="eastAsia"/>
          <w:spacing w:val="-8"/>
          <w:szCs w:val="32"/>
        </w:rPr>
        <w:t>及</w:t>
      </w:r>
      <w:r w:rsidR="008D7750" w:rsidRPr="00AB2AD1">
        <w:rPr>
          <w:rFonts w:hint="eastAsia"/>
        </w:rPr>
        <w:t>燃煤</w:t>
      </w:r>
      <w:r w:rsidR="008D7750" w:rsidRPr="00AB2AD1">
        <w:rPr>
          <w:rFonts w:hAnsi="標楷體" w:cs="新細明體" w:hint="eastAsia"/>
          <w:spacing w:val="-8"/>
          <w:szCs w:val="32"/>
        </w:rPr>
        <w:t>燃料成本調整機制之變更後，</w:t>
      </w:r>
      <w:r w:rsidRPr="00AB2AD1">
        <w:rPr>
          <w:rFonts w:hAnsi="標楷體" w:cs="新細明體" w:hint="eastAsia"/>
          <w:szCs w:val="32"/>
        </w:rPr>
        <w:t>於97年9</w:t>
      </w:r>
      <w:r w:rsidR="001C6F67">
        <w:rPr>
          <w:rFonts w:hAnsi="標楷體" w:cs="新細明體" w:hint="eastAsia"/>
          <w:szCs w:val="32"/>
        </w:rPr>
        <w:t>月</w:t>
      </w:r>
      <w:r w:rsidRPr="00AB2AD1">
        <w:rPr>
          <w:rFonts w:hAnsi="標楷體" w:cs="新細明體" w:hint="eastAsia"/>
          <w:szCs w:val="32"/>
        </w:rPr>
        <w:t>起開始與民營發電業者協商調降購電費率事宜，經濟部及台電公司應知購電費率之調降，事涉合約修改，並</w:t>
      </w:r>
      <w:r w:rsidR="008D7750" w:rsidRPr="00AB2AD1">
        <w:rPr>
          <w:rFonts w:hAnsi="標楷體" w:cs="新細明體" w:hint="eastAsia"/>
          <w:szCs w:val="32"/>
        </w:rPr>
        <w:t>將</w:t>
      </w:r>
      <w:r w:rsidRPr="00AB2AD1">
        <w:rPr>
          <w:rFonts w:hAnsi="標楷體" w:cs="新細明體" w:hint="eastAsia"/>
          <w:szCs w:val="32"/>
        </w:rPr>
        <w:t>對各該民營發電業者</w:t>
      </w:r>
      <w:r w:rsidR="008D7750" w:rsidRPr="00AB2AD1">
        <w:rPr>
          <w:rFonts w:hAnsi="標楷體" w:cs="新細明體" w:hint="eastAsia"/>
          <w:szCs w:val="32"/>
        </w:rPr>
        <w:t>之</w:t>
      </w:r>
      <w:r w:rsidRPr="00AB2AD1">
        <w:rPr>
          <w:rFonts w:hAnsi="標楷體" w:cs="新細明體" w:hint="eastAsia"/>
          <w:szCs w:val="32"/>
        </w:rPr>
        <w:t>營運產生重大影響，須報經各該民營發電業者董事會同意後始能辦理，卻未積極督促公股代表列入董事會討論及支持調降購電費率事宜，延宕</w:t>
      </w:r>
      <w:r w:rsidR="00987DA7" w:rsidRPr="00AB2AD1">
        <w:rPr>
          <w:rFonts w:hAnsi="標楷體" w:cs="新細明體" w:hint="eastAsia"/>
          <w:szCs w:val="32"/>
        </w:rPr>
        <w:t>3年10個月</w:t>
      </w:r>
      <w:r w:rsidRPr="00AB2AD1">
        <w:rPr>
          <w:rFonts w:hAnsi="標楷體" w:cs="新細明體" w:hint="eastAsia"/>
          <w:szCs w:val="32"/>
        </w:rPr>
        <w:t>，迨至政府於101年4月間決定調漲電價，及本院</w:t>
      </w:r>
      <w:r w:rsidR="006E67F8" w:rsidRPr="00AB2AD1">
        <w:rPr>
          <w:rFonts w:hAnsi="標楷體" w:cs="新細明體" w:hint="eastAsia"/>
          <w:szCs w:val="32"/>
        </w:rPr>
        <w:t>提出</w:t>
      </w:r>
      <w:r w:rsidRPr="00AB2AD1">
        <w:rPr>
          <w:rFonts w:hAnsi="標楷體" w:cs="新細明體" w:hint="eastAsia"/>
          <w:szCs w:val="32"/>
        </w:rPr>
        <w:t>彈劾、糾正後，始於101年6月起正式要求公股代表須支持政府政策推動修約，</w:t>
      </w:r>
      <w:r w:rsidR="001338C3" w:rsidRPr="00AB2AD1">
        <w:rPr>
          <w:rFonts w:hAnsi="標楷體" w:cs="新細明體" w:hint="eastAsia"/>
          <w:szCs w:val="32"/>
        </w:rPr>
        <w:t>並遲至</w:t>
      </w:r>
      <w:r w:rsidR="001338C3" w:rsidRPr="00AB2AD1">
        <w:rPr>
          <w:rFonts w:hAnsi="標楷體"/>
          <w:szCs w:val="32"/>
        </w:rPr>
        <w:t>102年3月6日</w:t>
      </w:r>
      <w:r w:rsidR="001338C3" w:rsidRPr="00AB2AD1">
        <w:rPr>
          <w:rFonts w:hint="eastAsia"/>
        </w:rPr>
        <w:t>始與</w:t>
      </w:r>
      <w:r w:rsidR="001338C3" w:rsidRPr="00AB2AD1">
        <w:rPr>
          <w:rFonts w:hAnsi="標楷體" w:cs="新細明體" w:hint="eastAsia"/>
          <w:szCs w:val="32"/>
        </w:rPr>
        <w:t>第三階段4家民營電力公司</w:t>
      </w:r>
      <w:r w:rsidR="001338C3" w:rsidRPr="00AB2AD1">
        <w:rPr>
          <w:rFonts w:hint="eastAsia"/>
        </w:rPr>
        <w:t>完成修約</w:t>
      </w:r>
      <w:r w:rsidR="001338C3" w:rsidRPr="00AB2AD1">
        <w:rPr>
          <w:rFonts w:hAnsi="標楷體" w:cs="新細明體" w:hint="eastAsia"/>
          <w:szCs w:val="32"/>
        </w:rPr>
        <w:t>，</w:t>
      </w:r>
      <w:r w:rsidR="00BE63B0" w:rsidRPr="00AB2AD1">
        <w:rPr>
          <w:rFonts w:hAnsi="標楷體" w:cs="新細明體" w:hint="eastAsia"/>
          <w:szCs w:val="32"/>
        </w:rPr>
        <w:t>經濟部及台電公司</w:t>
      </w:r>
      <w:r w:rsidRPr="00AB2AD1">
        <w:rPr>
          <w:rFonts w:hAnsi="標楷體" w:cs="新細明體" w:hint="eastAsia"/>
          <w:szCs w:val="32"/>
        </w:rPr>
        <w:t>顯難辭管理失當之責。</w:t>
      </w:r>
    </w:p>
    <w:p w:rsidR="00DC1E25" w:rsidRPr="00AB2AD1" w:rsidRDefault="00DC1E25" w:rsidP="00FF16E8">
      <w:pPr>
        <w:pStyle w:val="2"/>
        <w:kinsoku/>
        <w:spacing w:beforeLines="20"/>
        <w:ind w:left="1043"/>
      </w:pPr>
      <w:bookmarkStart w:id="71" w:name="_Toc370719955"/>
      <w:r w:rsidRPr="00AB2AD1">
        <w:rPr>
          <w:rFonts w:hint="eastAsia"/>
        </w:rPr>
        <w:t>台電公司</w:t>
      </w:r>
      <w:r w:rsidR="004110B9" w:rsidRPr="00AB2AD1">
        <w:rPr>
          <w:rFonts w:hint="eastAsia"/>
        </w:rPr>
        <w:t>向</w:t>
      </w:r>
      <w:r w:rsidRPr="00AB2AD1">
        <w:rPr>
          <w:rFonts w:hint="eastAsia"/>
        </w:rPr>
        <w:t>民營發電業者</w:t>
      </w:r>
      <w:r w:rsidR="004110B9" w:rsidRPr="00AB2AD1">
        <w:rPr>
          <w:rFonts w:hint="eastAsia"/>
        </w:rPr>
        <w:t>購電</w:t>
      </w:r>
      <w:r w:rsidRPr="00AB2AD1">
        <w:rPr>
          <w:rFonts w:hint="eastAsia"/>
        </w:rPr>
        <w:t>，彼此利害</w:t>
      </w:r>
      <w:r w:rsidR="004110B9" w:rsidRPr="00AB2AD1">
        <w:rPr>
          <w:rFonts w:hint="eastAsia"/>
        </w:rPr>
        <w:t>衝突</w:t>
      </w:r>
      <w:r w:rsidRPr="00AB2AD1">
        <w:rPr>
          <w:rFonts w:hint="eastAsia"/>
        </w:rPr>
        <w:t>，民營發電業者獲利</w:t>
      </w:r>
      <w:r w:rsidR="00BE63B0" w:rsidRPr="00AB2AD1">
        <w:rPr>
          <w:rFonts w:hint="eastAsia"/>
        </w:rPr>
        <w:t>超出外界預期</w:t>
      </w:r>
      <w:r w:rsidRPr="00AB2AD1">
        <w:rPr>
          <w:rFonts w:hint="eastAsia"/>
        </w:rPr>
        <w:t>越多</w:t>
      </w:r>
      <w:r w:rsidR="00BE63B0" w:rsidRPr="00AB2AD1">
        <w:rPr>
          <w:rFonts w:hint="eastAsia"/>
        </w:rPr>
        <w:t>，台電所支付之購電費用即更多，而台電</w:t>
      </w:r>
      <w:r w:rsidRPr="00AB2AD1">
        <w:rPr>
          <w:rFonts w:hint="eastAsia"/>
        </w:rPr>
        <w:t>之轉投資事業台汽電公司與其再轉投資之森霸、星能、星元及國光等</w:t>
      </w:r>
      <w:r w:rsidRPr="00AB2AD1">
        <w:rPr>
          <w:rFonts w:hAnsi="標楷體" w:hint="eastAsia"/>
          <w:szCs w:val="32"/>
        </w:rPr>
        <w:t>民營</w:t>
      </w:r>
      <w:r w:rsidRPr="00AB2AD1">
        <w:rPr>
          <w:rFonts w:hint="eastAsia"/>
        </w:rPr>
        <w:t>電力公司，分別與台電公司簽訂購售電合約，然</w:t>
      </w:r>
      <w:r w:rsidR="00BE63B0" w:rsidRPr="00AB2AD1">
        <w:rPr>
          <w:rFonts w:hint="eastAsia"/>
        </w:rPr>
        <w:t>台電</w:t>
      </w:r>
      <w:r w:rsidRPr="00AB2AD1">
        <w:rPr>
          <w:rFonts w:hint="eastAsia"/>
        </w:rPr>
        <w:t>竟以該公司主管財務、轉投資事業之副總經理，採</w:t>
      </w:r>
      <w:r w:rsidR="002A4DED" w:rsidRPr="00AB2AD1">
        <w:rPr>
          <w:rFonts w:hint="eastAsia"/>
        </w:rPr>
        <w:t>留資</w:t>
      </w:r>
      <w:r w:rsidRPr="00AB2AD1">
        <w:rPr>
          <w:rFonts w:hint="eastAsia"/>
        </w:rPr>
        <w:t>停薪方式</w:t>
      </w:r>
      <w:r w:rsidRPr="00AB2AD1">
        <w:rPr>
          <w:rFonts w:hint="eastAsia"/>
        </w:rPr>
        <w:lastRenderedPageBreak/>
        <w:t>擔任具實質影響</w:t>
      </w:r>
      <w:r w:rsidR="005F2ABB" w:rsidRPr="00AB2AD1">
        <w:rPr>
          <w:rFonts w:hint="eastAsia"/>
        </w:rPr>
        <w:t>調降購</w:t>
      </w:r>
      <w:r w:rsidRPr="00AB2AD1">
        <w:rPr>
          <w:rFonts w:hint="eastAsia"/>
        </w:rPr>
        <w:t>電</w:t>
      </w:r>
      <w:r w:rsidR="005F2ABB" w:rsidRPr="00AB2AD1">
        <w:rPr>
          <w:rFonts w:hint="eastAsia"/>
        </w:rPr>
        <w:t>費率</w:t>
      </w:r>
      <w:r w:rsidRPr="00AB2AD1">
        <w:rPr>
          <w:rFonts w:hint="eastAsia"/>
        </w:rPr>
        <w:t>修約</w:t>
      </w:r>
      <w:r w:rsidR="005F2ABB" w:rsidRPr="00AB2AD1">
        <w:rPr>
          <w:rFonts w:hint="eastAsia"/>
        </w:rPr>
        <w:t>作業</w:t>
      </w:r>
      <w:r w:rsidRPr="00AB2AD1">
        <w:rPr>
          <w:rFonts w:hint="eastAsia"/>
        </w:rPr>
        <w:t>之台汽電公司董事長，顯有未當。</w:t>
      </w:r>
      <w:bookmarkEnd w:id="71"/>
    </w:p>
    <w:p w:rsidR="00DC1E25" w:rsidRPr="00AB2AD1" w:rsidRDefault="00DC1E25" w:rsidP="005F2ABB">
      <w:pPr>
        <w:pStyle w:val="3"/>
        <w:kinsoku/>
        <w:ind w:left="1394"/>
        <w:rPr>
          <w:rFonts w:hAnsi="標楷體"/>
          <w:szCs w:val="32"/>
        </w:rPr>
      </w:pPr>
      <w:r w:rsidRPr="00AB2AD1">
        <w:rPr>
          <w:rFonts w:hAnsi="標楷體" w:hint="eastAsia"/>
          <w:kern w:val="2"/>
          <w:szCs w:val="32"/>
        </w:rPr>
        <w:t>按「公務人員服務法</w:t>
      </w:r>
      <w:r w:rsidRPr="00AB2AD1">
        <w:rPr>
          <w:rFonts w:hAnsi="標楷體" w:hint="eastAsia"/>
          <w:spacing w:val="-6"/>
        </w:rPr>
        <w:t>」</w:t>
      </w:r>
      <w:r w:rsidRPr="00AB2AD1">
        <w:rPr>
          <w:rFonts w:hAnsi="標楷體" w:hint="eastAsia"/>
          <w:kern w:val="2"/>
          <w:szCs w:val="32"/>
        </w:rPr>
        <w:t>第14</w:t>
      </w:r>
      <w:r w:rsidR="00831444" w:rsidRPr="00AB2AD1">
        <w:rPr>
          <w:rFonts w:hAnsi="標楷體" w:hint="eastAsia"/>
          <w:kern w:val="2"/>
          <w:szCs w:val="32"/>
        </w:rPr>
        <w:t>條</w:t>
      </w:r>
      <w:r w:rsidRPr="00AB2AD1">
        <w:rPr>
          <w:rFonts w:hAnsi="標楷體" w:hint="eastAsia"/>
          <w:kern w:val="2"/>
          <w:szCs w:val="32"/>
        </w:rPr>
        <w:t>之1規定：「公務員於其離職後3年內，不得擔任與其離職前5年職務直接相關之營利</w:t>
      </w:r>
      <w:r w:rsidRPr="00AB2AD1">
        <w:rPr>
          <w:rFonts w:hint="eastAsia"/>
        </w:rPr>
        <w:t>事業</w:t>
      </w:r>
      <w:r w:rsidRPr="00AB2AD1">
        <w:rPr>
          <w:rFonts w:hAnsi="標楷體" w:hint="eastAsia"/>
          <w:kern w:val="2"/>
          <w:szCs w:val="32"/>
        </w:rPr>
        <w:t>董事、監察人、經理、執行業務之股東或顧問。</w:t>
      </w:r>
      <w:r w:rsidRPr="00AB2AD1">
        <w:rPr>
          <w:rFonts w:hAnsi="標楷體" w:hint="eastAsia"/>
          <w:spacing w:val="-6"/>
        </w:rPr>
        <w:t>」又依</w:t>
      </w:r>
      <w:r w:rsidRPr="00AB2AD1">
        <w:rPr>
          <w:rFonts w:hint="eastAsia"/>
          <w:szCs w:val="52"/>
        </w:rPr>
        <w:t>銓敘部</w:t>
      </w:r>
      <w:smartTag w:uri="urn:schemas-microsoft-com:office:smarttags" w:element="chsdate">
        <w:smartTagPr>
          <w:attr w:name="Year" w:val="1985"/>
          <w:attr w:name="Month" w:val="7"/>
          <w:attr w:name="Day" w:val="20"/>
          <w:attr w:name="IsLunarDate" w:val="False"/>
          <w:attr w:name="IsROCDate" w:val="False"/>
        </w:smartTagPr>
        <w:r w:rsidRPr="00AB2AD1">
          <w:rPr>
            <w:rFonts w:hint="eastAsia"/>
            <w:szCs w:val="52"/>
          </w:rPr>
          <w:t>85年7月20日</w:t>
        </w:r>
      </w:smartTag>
      <w:r w:rsidRPr="00AB2AD1">
        <w:rPr>
          <w:rFonts w:hint="eastAsia"/>
          <w:szCs w:val="52"/>
        </w:rPr>
        <w:t>(85)台中法二字第1332483號函示，針對</w:t>
      </w:r>
      <w:r w:rsidR="005F2ABB" w:rsidRPr="00AB2AD1">
        <w:rPr>
          <w:rFonts w:hAnsi="標楷體" w:hint="eastAsia"/>
          <w:kern w:val="2"/>
          <w:szCs w:val="32"/>
        </w:rPr>
        <w:t>「公務人員服務法</w:t>
      </w:r>
      <w:r w:rsidR="005F2ABB" w:rsidRPr="00AB2AD1">
        <w:rPr>
          <w:rFonts w:hAnsi="標楷體" w:hint="eastAsia"/>
          <w:spacing w:val="-6"/>
        </w:rPr>
        <w:t>」</w:t>
      </w:r>
      <w:r w:rsidRPr="00AB2AD1">
        <w:rPr>
          <w:rFonts w:hint="eastAsia"/>
        </w:rPr>
        <w:t>第</w:t>
      </w:r>
      <w:r w:rsidRPr="00AB2AD1">
        <w:rPr>
          <w:rFonts w:hAnsi="標楷體" w:hint="eastAsia"/>
          <w:kern w:val="2"/>
          <w:szCs w:val="32"/>
        </w:rPr>
        <w:t>14</w:t>
      </w:r>
      <w:r w:rsidR="00831444" w:rsidRPr="00AB2AD1">
        <w:rPr>
          <w:rFonts w:hAnsi="標楷體" w:hint="eastAsia"/>
          <w:kern w:val="2"/>
          <w:szCs w:val="32"/>
        </w:rPr>
        <w:t>條</w:t>
      </w:r>
      <w:r w:rsidRPr="00AB2AD1">
        <w:rPr>
          <w:rFonts w:hAnsi="標楷體" w:hint="eastAsia"/>
          <w:kern w:val="2"/>
          <w:szCs w:val="32"/>
        </w:rPr>
        <w:t>之1</w:t>
      </w:r>
      <w:r w:rsidRPr="00AB2AD1">
        <w:rPr>
          <w:rFonts w:hint="eastAsia"/>
        </w:rPr>
        <w:t>規定之認定標準如下：</w:t>
      </w:r>
      <w:r w:rsidRPr="00AB2AD1">
        <w:rPr>
          <w:rFonts w:hAnsi="標楷體" w:hint="eastAsia"/>
          <w:kern w:val="2"/>
          <w:szCs w:val="32"/>
        </w:rPr>
        <w:t>「1.</w:t>
      </w:r>
      <w:r w:rsidRPr="00AB2AD1">
        <w:rPr>
          <w:rFonts w:hint="eastAsia"/>
        </w:rPr>
        <w:t>離職：包括退休</w:t>
      </w:r>
      <w:r w:rsidRPr="00AB2AD1">
        <w:rPr>
          <w:rFonts w:hint="eastAsia"/>
          <w:bCs w:val="0"/>
        </w:rPr>
        <w:t>(</w:t>
      </w:r>
      <w:r w:rsidRPr="00AB2AD1">
        <w:rPr>
          <w:rFonts w:hint="eastAsia"/>
        </w:rPr>
        <w:t>職</w:t>
      </w:r>
      <w:r w:rsidRPr="00AB2AD1">
        <w:rPr>
          <w:rFonts w:hint="eastAsia"/>
          <w:bCs w:val="0"/>
        </w:rPr>
        <w:t>)</w:t>
      </w:r>
      <w:r w:rsidRPr="00AB2AD1">
        <w:rPr>
          <w:rFonts w:hint="eastAsia"/>
        </w:rPr>
        <w:t>、辭職、資遣、免職、停職及休職等離開原職者。2.職務</w:t>
      </w:r>
      <w:r w:rsidRPr="00AB2AD1">
        <w:rPr>
          <w:rFonts w:hint="eastAsia"/>
          <w:bCs w:val="0"/>
        </w:rPr>
        <w:t>直接相關：(1)離</w:t>
      </w:r>
      <w:r w:rsidRPr="00AB2AD1">
        <w:rPr>
          <w:rFonts w:hint="eastAsia"/>
        </w:rPr>
        <w:t>職前服務機關為各該營利事業之目的事業主管機關，且其職務對各該營利事業具有監督或管理之權責人員，亦即各該營利事業之目的事業主管機關內各級直接承辦相關業務單位之承辦人員、副主管及主管，暨該機關之幕僚長、副首長及首長；各級地方政府亦同。</w:t>
      </w:r>
      <w:r w:rsidRPr="00AB2AD1">
        <w:rPr>
          <w:rFonts w:hint="eastAsia"/>
          <w:bCs w:val="0"/>
        </w:rPr>
        <w:t>(2)</w:t>
      </w:r>
      <w:r w:rsidRPr="00AB2AD1">
        <w:rPr>
          <w:rFonts w:hint="eastAsia"/>
        </w:rPr>
        <w:t>離職前服務機關與營利事業有營建</w:t>
      </w:r>
      <w:r w:rsidRPr="00AB2AD1">
        <w:rPr>
          <w:rFonts w:hint="eastAsia"/>
          <w:bCs w:val="0"/>
        </w:rPr>
        <w:t>(</w:t>
      </w:r>
      <w:r w:rsidRPr="00AB2AD1">
        <w:rPr>
          <w:rFonts w:hint="eastAsia"/>
        </w:rPr>
        <w:t>承辦本機關或所屬機關</w:t>
      </w:r>
      <w:r w:rsidRPr="00AB2AD1">
        <w:rPr>
          <w:rFonts w:hAnsi="標楷體" w:hint="eastAsia"/>
          <w:szCs w:val="32"/>
        </w:rPr>
        <w:t>之工程</w:t>
      </w:r>
      <w:r w:rsidRPr="00AB2AD1">
        <w:rPr>
          <w:rFonts w:hint="eastAsia"/>
          <w:bCs w:val="0"/>
        </w:rPr>
        <w:t>)</w:t>
      </w:r>
      <w:r w:rsidRPr="00AB2AD1">
        <w:rPr>
          <w:rFonts w:hAnsi="標楷體" w:hint="eastAsia"/>
          <w:szCs w:val="32"/>
        </w:rPr>
        <w:t>或採購業務關係</w:t>
      </w:r>
      <w:r w:rsidRPr="00AB2AD1">
        <w:rPr>
          <w:rFonts w:hint="eastAsia"/>
          <w:bCs w:val="0"/>
        </w:rPr>
        <w:t>(</w:t>
      </w:r>
      <w:r w:rsidRPr="00AB2AD1">
        <w:rPr>
          <w:rFonts w:hAnsi="標楷體" w:hint="eastAsia"/>
          <w:szCs w:val="32"/>
        </w:rPr>
        <w:t>包括研訂規格、提出用料申請及實際採買</w:t>
      </w:r>
      <w:r w:rsidRPr="00AB2AD1">
        <w:rPr>
          <w:rFonts w:hint="eastAsia"/>
          <w:bCs w:val="0"/>
        </w:rPr>
        <w:t>)</w:t>
      </w:r>
      <w:r w:rsidRPr="00AB2AD1">
        <w:rPr>
          <w:rFonts w:hAnsi="標楷體" w:hint="eastAsia"/>
          <w:szCs w:val="32"/>
        </w:rPr>
        <w:t>之承辦人員及其各級主管人員</w:t>
      </w:r>
      <w:r w:rsidRPr="00AB2AD1">
        <w:rPr>
          <w:rFonts w:hint="eastAsia"/>
          <w:bCs w:val="0"/>
        </w:rPr>
        <w:t>(</w:t>
      </w:r>
      <w:r w:rsidRPr="00AB2AD1">
        <w:rPr>
          <w:rFonts w:hAnsi="標楷體" w:hint="eastAsia"/>
          <w:szCs w:val="32"/>
        </w:rPr>
        <w:t>所稱各級主管人員係指各級直接承辦相關業務單位之副主管及主管，暨該機關幕僚長、副首長及首長</w:t>
      </w:r>
      <w:r w:rsidRPr="00AB2AD1">
        <w:rPr>
          <w:rFonts w:hint="eastAsia"/>
          <w:bCs w:val="0"/>
        </w:rPr>
        <w:t>)</w:t>
      </w:r>
      <w:r w:rsidRPr="00AB2AD1">
        <w:rPr>
          <w:rFonts w:hAnsi="標楷體" w:hint="eastAsia"/>
          <w:szCs w:val="32"/>
        </w:rPr>
        <w:t>。」另據「經濟部及所屬機關事業機構遴派公民營事業與財團法人董監事及其他重要職務管理要點」第3點</w:t>
      </w:r>
      <w:r w:rsidRPr="00AB2AD1">
        <w:rPr>
          <w:rFonts w:hint="eastAsia"/>
          <w:bCs w:val="0"/>
        </w:rPr>
        <w:t>(</w:t>
      </w:r>
      <w:r w:rsidRPr="00AB2AD1">
        <w:rPr>
          <w:rFonts w:hAnsi="標楷體" w:hint="eastAsia"/>
          <w:szCs w:val="32"/>
        </w:rPr>
        <w:t>辦理遴派管理及考核之作業單位</w:t>
      </w:r>
      <w:r w:rsidRPr="00AB2AD1">
        <w:rPr>
          <w:rFonts w:hint="eastAsia"/>
          <w:bCs w:val="0"/>
        </w:rPr>
        <w:t>)</w:t>
      </w:r>
      <w:r w:rsidRPr="00AB2AD1">
        <w:rPr>
          <w:rFonts w:hAnsi="標楷體" w:hint="eastAsia"/>
          <w:szCs w:val="32"/>
        </w:rPr>
        <w:t>規定：「1.所屬事業董事長、總經理、副總經理、董監事及直接投資事業董監事之遴派，由本部國營會簽報部次長核定後，送本部人事處辦理後續事宜；其管理及考核，由本部國營會辦理</w:t>
      </w:r>
      <w:r w:rsidRPr="00AB2AD1">
        <w:rPr>
          <w:rFonts w:hAnsi="標楷體"/>
          <w:szCs w:val="32"/>
        </w:rPr>
        <w:t>…</w:t>
      </w:r>
      <w:r w:rsidRPr="00AB2AD1">
        <w:rPr>
          <w:rFonts w:hAnsi="標楷體" w:hint="eastAsia"/>
          <w:szCs w:val="32"/>
        </w:rPr>
        <w:t>。」</w:t>
      </w:r>
    </w:p>
    <w:p w:rsidR="00DC1E25" w:rsidRPr="00AB2AD1" w:rsidRDefault="00DC1E25" w:rsidP="00DC1E25">
      <w:pPr>
        <w:pStyle w:val="3"/>
        <w:rPr>
          <w:szCs w:val="32"/>
        </w:rPr>
      </w:pPr>
      <w:r w:rsidRPr="00AB2AD1">
        <w:rPr>
          <w:rFonts w:hint="eastAsia"/>
        </w:rPr>
        <w:t>查台電公司持有台汽電公司27.66％股份，為最大股東，並依</w:t>
      </w:r>
      <w:r w:rsidR="005F2ABB" w:rsidRPr="00AB2AD1">
        <w:rPr>
          <w:rFonts w:hAnsi="標楷體" w:hint="eastAsia"/>
          <w:szCs w:val="32"/>
        </w:rPr>
        <w:t>「</w:t>
      </w:r>
      <w:r w:rsidRPr="00AB2AD1">
        <w:rPr>
          <w:rFonts w:hint="eastAsia"/>
        </w:rPr>
        <w:t>公司法</w:t>
      </w:r>
      <w:r w:rsidR="005F2ABB" w:rsidRPr="00AB2AD1">
        <w:rPr>
          <w:rFonts w:hAnsi="標楷體" w:hint="eastAsia"/>
          <w:szCs w:val="32"/>
        </w:rPr>
        <w:t>」</w:t>
      </w:r>
      <w:r w:rsidRPr="00AB2AD1">
        <w:rPr>
          <w:rFonts w:hint="eastAsia"/>
        </w:rPr>
        <w:t>第27條第2項規定，指派6</w:t>
      </w:r>
      <w:r w:rsidRPr="00AB2AD1">
        <w:rPr>
          <w:rFonts w:hint="eastAsia"/>
        </w:rPr>
        <w:lastRenderedPageBreak/>
        <w:t>名法人代表擔任董事，且由其中1位擔任台汽電公司董事長；又台汽電公司轉投資森霸、星能、星元、國光等民營電力公司，其持股比例分別為32.5％、35％、33.67％、35％，除國光電力公司董事長係由</w:t>
      </w:r>
      <w:r w:rsidR="009D1615" w:rsidRPr="00AB2AD1">
        <w:rPr>
          <w:rFonts w:hint="eastAsia"/>
        </w:rPr>
        <w:t>中油公司</w:t>
      </w:r>
      <w:r w:rsidRPr="00AB2AD1">
        <w:rPr>
          <w:rFonts w:hint="eastAsia"/>
        </w:rPr>
        <w:t>代表擔任外，其餘森霸、星能、星元等3家電力公司董事長，均由台汽電公司法人代表擔任。前揭台汽電公司及國光、星能、星元與森霸等電力公司之董事長人選，</w:t>
      </w:r>
      <w:r w:rsidR="004534E7" w:rsidRPr="00AB2AD1">
        <w:rPr>
          <w:rFonts w:hint="eastAsia"/>
        </w:rPr>
        <w:t>皆</w:t>
      </w:r>
      <w:r w:rsidRPr="00AB2AD1">
        <w:rPr>
          <w:rFonts w:hint="eastAsia"/>
        </w:rPr>
        <w:t>須報經經濟部核定；而台汽電公司</w:t>
      </w:r>
      <w:r w:rsidR="004534E7" w:rsidRPr="00AB2AD1">
        <w:rPr>
          <w:rFonts w:hint="eastAsia"/>
        </w:rPr>
        <w:t>(</w:t>
      </w:r>
      <w:r w:rsidR="00860049" w:rsidRPr="00AB2AD1">
        <w:rPr>
          <w:rFonts w:hint="eastAsia"/>
        </w:rPr>
        <w:t>汽電共生之購售電合約</w:t>
      </w:r>
      <w:r w:rsidR="004534E7" w:rsidRPr="00AB2AD1">
        <w:rPr>
          <w:rFonts w:hint="eastAsia"/>
        </w:rPr>
        <w:t>)</w:t>
      </w:r>
      <w:r w:rsidRPr="00AB2AD1">
        <w:rPr>
          <w:rFonts w:hint="eastAsia"/>
        </w:rPr>
        <w:t>與其轉投資森霸、星能、星元及國光等</w:t>
      </w:r>
      <w:r w:rsidRPr="00AB2AD1">
        <w:rPr>
          <w:rFonts w:hAnsi="標楷體" w:hint="eastAsia"/>
          <w:szCs w:val="32"/>
        </w:rPr>
        <w:t>民營</w:t>
      </w:r>
      <w:r w:rsidRPr="00AB2AD1">
        <w:rPr>
          <w:rFonts w:hint="eastAsia"/>
        </w:rPr>
        <w:t>電力公司，則分別與台電公司簽訂有購售電合約關係。又</w:t>
      </w:r>
      <w:r w:rsidRPr="00AB2AD1">
        <w:rPr>
          <w:rFonts w:hAnsi="標楷體" w:hint="eastAsia"/>
          <w:szCs w:val="32"/>
        </w:rPr>
        <w:t>台電公司</w:t>
      </w:r>
      <w:r w:rsidR="004534E7" w:rsidRPr="00AB2AD1">
        <w:rPr>
          <w:rFonts w:hint="eastAsia"/>
        </w:rPr>
        <w:t>竟以該公司</w:t>
      </w:r>
      <w:r w:rsidRPr="00AB2AD1">
        <w:rPr>
          <w:rFonts w:hAnsi="標楷體" w:hint="eastAsia"/>
          <w:szCs w:val="32"/>
        </w:rPr>
        <w:t>主管財務處</w:t>
      </w:r>
      <w:r w:rsidR="004534E7" w:rsidRPr="00AB2AD1">
        <w:rPr>
          <w:rFonts w:hAnsi="標楷體" w:hint="eastAsia"/>
          <w:szCs w:val="32"/>
        </w:rPr>
        <w:t>、會計處</w:t>
      </w:r>
      <w:r w:rsidRPr="00AB2AD1">
        <w:rPr>
          <w:rFonts w:hAnsi="標楷體" w:hint="eastAsia"/>
          <w:szCs w:val="32"/>
        </w:rPr>
        <w:t>、新事業開發室(</w:t>
      </w:r>
      <w:r w:rsidRPr="00AB2AD1">
        <w:rPr>
          <w:rFonts w:hint="eastAsia"/>
        </w:rPr>
        <w:t>99年8月由新事業開發處更銜為新事業開發室</w:t>
      </w:r>
      <w:r w:rsidRPr="00AB2AD1">
        <w:rPr>
          <w:rFonts w:hAnsi="標楷體" w:hint="eastAsia"/>
          <w:szCs w:val="32"/>
        </w:rPr>
        <w:t>)等單位之副總經理，於99年12月20日以</w:t>
      </w:r>
      <w:r w:rsidR="002A4DED" w:rsidRPr="00AB2AD1">
        <w:rPr>
          <w:rFonts w:hAnsi="標楷體" w:hint="eastAsia"/>
          <w:szCs w:val="32"/>
        </w:rPr>
        <w:t>留資</w:t>
      </w:r>
      <w:r w:rsidRPr="00AB2AD1">
        <w:rPr>
          <w:rFonts w:hAnsi="標楷體" w:hint="eastAsia"/>
          <w:szCs w:val="32"/>
        </w:rPr>
        <w:t>停薪之方式，轉任台汽電公司董事長，並於100年7月1日至101年3月15日兼任星能電力公司董事長。因台電公司係屬公營事業，於該公司服務之派用人員均有</w:t>
      </w:r>
      <w:r w:rsidR="004534E7" w:rsidRPr="00AB2AD1">
        <w:rPr>
          <w:rFonts w:hAnsi="標楷體" w:hint="eastAsia"/>
          <w:szCs w:val="32"/>
        </w:rPr>
        <w:t>「</w:t>
      </w:r>
      <w:r w:rsidRPr="00AB2AD1">
        <w:rPr>
          <w:rFonts w:hAnsi="標楷體" w:hint="eastAsia"/>
          <w:szCs w:val="32"/>
        </w:rPr>
        <w:t>公務員服務法</w:t>
      </w:r>
      <w:r w:rsidR="004534E7" w:rsidRPr="00AB2AD1">
        <w:rPr>
          <w:rFonts w:hAnsi="標楷體" w:hint="eastAsia"/>
          <w:szCs w:val="32"/>
        </w:rPr>
        <w:t>」</w:t>
      </w:r>
      <w:r w:rsidRPr="00AB2AD1">
        <w:rPr>
          <w:rFonts w:hAnsi="標楷體" w:hint="eastAsia"/>
          <w:szCs w:val="32"/>
        </w:rPr>
        <w:t>之適用，該公司雖曾於</w:t>
      </w:r>
      <w:smartTag w:uri="urn:schemas-microsoft-com:office:smarttags" w:element="chsdate">
        <w:smartTagPr>
          <w:attr w:name="Year" w:val="1999"/>
          <w:attr w:name="Month" w:val="8"/>
          <w:attr w:name="Day" w:val="24"/>
          <w:attr w:name="IsLunarDate" w:val="False"/>
          <w:attr w:name="IsROCDate" w:val="False"/>
        </w:smartTagPr>
        <w:r w:rsidRPr="00AB2AD1">
          <w:rPr>
            <w:rFonts w:hAnsi="標楷體" w:hint="eastAsia"/>
            <w:szCs w:val="32"/>
          </w:rPr>
          <w:t>99年8月24日</w:t>
        </w:r>
        <w:r w:rsidR="004534E7" w:rsidRPr="00AB2AD1">
          <w:rPr>
            <w:rFonts w:hAnsi="標楷體" w:hint="eastAsia"/>
            <w:szCs w:val="32"/>
          </w:rPr>
          <w:t>函請銓敘部釋示，</w:t>
        </w:r>
      </w:smartTag>
      <w:r w:rsidRPr="00AB2AD1">
        <w:rPr>
          <w:rFonts w:hAnsi="標楷體" w:hint="eastAsia"/>
          <w:szCs w:val="32"/>
        </w:rPr>
        <w:t>該副總經</w:t>
      </w:r>
      <w:r w:rsidR="004534E7" w:rsidRPr="00AB2AD1">
        <w:rPr>
          <w:rFonts w:hAnsi="標楷體" w:hint="eastAsia"/>
          <w:szCs w:val="32"/>
        </w:rPr>
        <w:t>理</w:t>
      </w:r>
      <w:r w:rsidRPr="00AB2AD1">
        <w:rPr>
          <w:rFonts w:hAnsi="標楷體" w:hint="eastAsia"/>
          <w:szCs w:val="32"/>
        </w:rPr>
        <w:t>以</w:t>
      </w:r>
      <w:r w:rsidR="002A4DED" w:rsidRPr="00AB2AD1">
        <w:rPr>
          <w:rFonts w:hAnsi="標楷體" w:hint="eastAsia"/>
          <w:szCs w:val="32"/>
        </w:rPr>
        <w:t>留資</w:t>
      </w:r>
      <w:r w:rsidRPr="00AB2AD1">
        <w:rPr>
          <w:rFonts w:hAnsi="標楷體" w:hint="eastAsia"/>
          <w:szCs w:val="32"/>
        </w:rPr>
        <w:t>停薪方式出任台汽電公司董事並擔任董事長，有無違反</w:t>
      </w:r>
      <w:r w:rsidR="004534E7" w:rsidRPr="00AB2AD1">
        <w:rPr>
          <w:rFonts w:hAnsi="標楷體" w:hint="eastAsia"/>
          <w:szCs w:val="32"/>
        </w:rPr>
        <w:t>該</w:t>
      </w:r>
      <w:r w:rsidRPr="00AB2AD1">
        <w:rPr>
          <w:rFonts w:hAnsi="標楷體" w:hint="eastAsia"/>
          <w:szCs w:val="32"/>
        </w:rPr>
        <w:t>法第14條之</w:t>
      </w:r>
      <w:r w:rsidR="00831444" w:rsidRPr="00AB2AD1">
        <w:rPr>
          <w:rFonts w:hAnsi="標楷體" w:hint="eastAsia"/>
          <w:szCs w:val="32"/>
        </w:rPr>
        <w:t>1</w:t>
      </w:r>
      <w:r w:rsidR="004534E7" w:rsidRPr="00AB2AD1">
        <w:rPr>
          <w:rFonts w:hAnsi="標楷體" w:hint="eastAsia"/>
          <w:szCs w:val="32"/>
        </w:rPr>
        <w:t>規定</w:t>
      </w:r>
      <w:r w:rsidRPr="00AB2AD1">
        <w:rPr>
          <w:rFonts w:hAnsi="標楷體" w:hint="eastAsia"/>
          <w:szCs w:val="32"/>
        </w:rPr>
        <w:t>；</w:t>
      </w:r>
      <w:r w:rsidR="004534E7" w:rsidRPr="00AB2AD1">
        <w:rPr>
          <w:rFonts w:hAnsi="標楷體" w:hint="eastAsia"/>
          <w:szCs w:val="32"/>
        </w:rPr>
        <w:t>同年9月9日</w:t>
      </w:r>
      <w:r w:rsidRPr="00AB2AD1">
        <w:rPr>
          <w:rFonts w:hAnsi="標楷體" w:hint="eastAsia"/>
          <w:szCs w:val="32"/>
        </w:rPr>
        <w:t>銓敘部於函復</w:t>
      </w:r>
      <w:r w:rsidR="004534E7" w:rsidRPr="00AB2AD1">
        <w:rPr>
          <w:rFonts w:hAnsi="標楷體" w:hint="eastAsia"/>
          <w:szCs w:val="32"/>
        </w:rPr>
        <w:t>表示</w:t>
      </w:r>
      <w:r w:rsidRPr="00AB2AD1">
        <w:rPr>
          <w:rFonts w:hAnsi="標楷體" w:hint="eastAsia"/>
          <w:szCs w:val="32"/>
        </w:rPr>
        <w:t>，因涉及各專業法規及該高階主管</w:t>
      </w:r>
      <w:r w:rsidR="002A4DED" w:rsidRPr="00AB2AD1">
        <w:rPr>
          <w:rFonts w:hAnsi="標楷體" w:hint="eastAsia"/>
          <w:szCs w:val="32"/>
        </w:rPr>
        <w:t>留資</w:t>
      </w:r>
      <w:r w:rsidRPr="00AB2AD1">
        <w:rPr>
          <w:rFonts w:hAnsi="標楷體" w:hint="eastAsia"/>
          <w:szCs w:val="32"/>
        </w:rPr>
        <w:t>停薪前5年內，曾服務機關之任職情形，實際業務職掌及內部分工等具體事實認定，宜洽詢該高階主管留資停薪前5年內曾服務機關</w:t>
      </w:r>
      <w:r w:rsidR="004534E7" w:rsidRPr="00AB2AD1">
        <w:rPr>
          <w:rFonts w:hAnsi="標楷體" w:hint="eastAsia"/>
          <w:szCs w:val="32"/>
        </w:rPr>
        <w:t>之</w:t>
      </w:r>
      <w:r w:rsidRPr="00AB2AD1">
        <w:rPr>
          <w:rFonts w:hAnsi="標楷體" w:hint="eastAsia"/>
          <w:szCs w:val="32"/>
        </w:rPr>
        <w:t>意見。台電公司卻以該公司購電業務係由業務處及監督業務處之另</w:t>
      </w:r>
      <w:r w:rsidR="004534E7" w:rsidRPr="00AB2AD1">
        <w:rPr>
          <w:rFonts w:hAnsi="標楷體" w:hint="eastAsia"/>
          <w:szCs w:val="32"/>
        </w:rPr>
        <w:t>位副總經理</w:t>
      </w:r>
      <w:r w:rsidRPr="00AB2AD1">
        <w:rPr>
          <w:rFonts w:hAnsi="標楷體" w:hint="eastAsia"/>
          <w:szCs w:val="32"/>
        </w:rPr>
        <w:t>負責為由，即認定無</w:t>
      </w:r>
      <w:r w:rsidR="004534E7" w:rsidRPr="00AB2AD1">
        <w:rPr>
          <w:rFonts w:hAnsi="標楷體" w:hint="eastAsia"/>
          <w:szCs w:val="32"/>
        </w:rPr>
        <w:t>「公務員服務法」</w:t>
      </w:r>
      <w:r w:rsidRPr="00AB2AD1">
        <w:rPr>
          <w:rFonts w:hAnsi="標楷體" w:hint="eastAsia"/>
          <w:szCs w:val="32"/>
        </w:rPr>
        <w:t>第14條之1所規定「職務直接相關」</w:t>
      </w:r>
      <w:r w:rsidR="00FA72E5" w:rsidRPr="00AB2AD1">
        <w:rPr>
          <w:rFonts w:hAnsi="標楷體" w:hint="eastAsia"/>
          <w:szCs w:val="32"/>
        </w:rPr>
        <w:t>之情事</w:t>
      </w:r>
      <w:r w:rsidRPr="00AB2AD1">
        <w:rPr>
          <w:rFonts w:hAnsi="標楷體" w:hint="eastAsia"/>
          <w:szCs w:val="32"/>
        </w:rPr>
        <w:t>。惟依</w:t>
      </w:r>
      <w:r w:rsidR="00FA72E5" w:rsidRPr="00AB2AD1">
        <w:rPr>
          <w:rFonts w:hAnsi="標楷體" w:hint="eastAsia"/>
          <w:szCs w:val="32"/>
        </w:rPr>
        <w:t>「</w:t>
      </w:r>
      <w:r w:rsidRPr="00AB2AD1">
        <w:rPr>
          <w:rFonts w:hAnsi="標楷體" w:hint="eastAsia"/>
          <w:szCs w:val="32"/>
        </w:rPr>
        <w:t>台電公司總管理處辦事細則</w:t>
      </w:r>
      <w:r w:rsidR="00FA72E5" w:rsidRPr="00AB2AD1">
        <w:rPr>
          <w:rFonts w:hAnsi="標楷體" w:hint="eastAsia"/>
          <w:szCs w:val="32"/>
        </w:rPr>
        <w:t>」</w:t>
      </w:r>
      <w:r w:rsidRPr="00AB2AD1">
        <w:rPr>
          <w:rFonts w:hAnsi="標楷體" w:hint="eastAsia"/>
          <w:szCs w:val="32"/>
        </w:rPr>
        <w:t>第21及第24條規定，新事業開發室負責辦理轉投資事業之管理</w:t>
      </w:r>
      <w:r w:rsidRPr="00AB2AD1">
        <w:rPr>
          <w:rFonts w:hAnsi="標楷體" w:hint="eastAsia"/>
          <w:szCs w:val="32"/>
        </w:rPr>
        <w:lastRenderedPageBreak/>
        <w:t>等事項，並設策劃組辦理該項職掌</w:t>
      </w:r>
      <w:r w:rsidR="00FA72E5" w:rsidRPr="00AB2AD1">
        <w:rPr>
          <w:rFonts w:hAnsi="標楷體" w:hint="eastAsia"/>
          <w:szCs w:val="32"/>
        </w:rPr>
        <w:t>。台電公司主管人員</w:t>
      </w:r>
      <w:r w:rsidRPr="00AB2AD1">
        <w:rPr>
          <w:rFonts w:hAnsi="標楷體" w:hint="eastAsia"/>
          <w:szCs w:val="32"/>
        </w:rPr>
        <w:t>於102年8月27日本院約詢時，亦表示新事業開發室負責督導台汽電公司之業務，</w:t>
      </w:r>
      <w:r w:rsidR="00FA72E5" w:rsidRPr="00AB2AD1">
        <w:rPr>
          <w:rFonts w:hAnsi="標楷體" w:hint="eastAsia"/>
          <w:szCs w:val="32"/>
        </w:rPr>
        <w:t>新事業開發室則由</w:t>
      </w:r>
      <w:r w:rsidRPr="00AB2AD1">
        <w:rPr>
          <w:rFonts w:hAnsi="標楷體" w:hint="eastAsia"/>
          <w:szCs w:val="32"/>
        </w:rPr>
        <w:t>財務副總經理</w:t>
      </w:r>
      <w:r w:rsidR="00FA72E5" w:rsidRPr="00AB2AD1">
        <w:rPr>
          <w:rFonts w:hAnsi="標楷體" w:hint="eastAsia"/>
          <w:szCs w:val="32"/>
        </w:rPr>
        <w:t>負責</w:t>
      </w:r>
      <w:r w:rsidRPr="00AB2AD1">
        <w:rPr>
          <w:rFonts w:hAnsi="標楷體" w:hint="eastAsia"/>
          <w:szCs w:val="32"/>
        </w:rPr>
        <w:t>督導。</w:t>
      </w:r>
    </w:p>
    <w:p w:rsidR="00DC1E25" w:rsidRPr="00AB2AD1" w:rsidRDefault="00DC1E25" w:rsidP="00DC1E25">
      <w:pPr>
        <w:pStyle w:val="3"/>
      </w:pPr>
      <w:r w:rsidRPr="00AB2AD1">
        <w:rPr>
          <w:rFonts w:hint="eastAsia"/>
        </w:rPr>
        <w:t>再查101年3、4月間政府決定調漲電價後，即引發民怨，各界紛紛要求檢討</w:t>
      </w:r>
      <w:r w:rsidR="00FA72E5" w:rsidRPr="00AB2AD1">
        <w:rPr>
          <w:rFonts w:hAnsi="標楷體" w:hint="eastAsia"/>
          <w:szCs w:val="32"/>
        </w:rPr>
        <w:t>台電公司對</w:t>
      </w:r>
      <w:r w:rsidRPr="00AB2AD1">
        <w:rPr>
          <w:rFonts w:hint="eastAsia"/>
        </w:rPr>
        <w:t>民營發電</w:t>
      </w:r>
      <w:r w:rsidR="00FA72E5" w:rsidRPr="00AB2AD1">
        <w:rPr>
          <w:rFonts w:hint="eastAsia"/>
        </w:rPr>
        <w:t>業者</w:t>
      </w:r>
      <w:r w:rsidRPr="00AB2AD1">
        <w:rPr>
          <w:rFonts w:hint="eastAsia"/>
        </w:rPr>
        <w:t>之購電費率，並質疑台電公司透過台汽電公司再轉投資之前述4家民營電力公司</w:t>
      </w:r>
      <w:r w:rsidR="00FA72E5" w:rsidRPr="00AB2AD1">
        <w:rPr>
          <w:rFonts w:hint="eastAsia"/>
        </w:rPr>
        <w:t>，</w:t>
      </w:r>
      <w:r w:rsidRPr="00AB2AD1">
        <w:rPr>
          <w:rFonts w:hint="eastAsia"/>
        </w:rPr>
        <w:t>何以拒不</w:t>
      </w:r>
      <w:r w:rsidR="00FA72E5" w:rsidRPr="00AB2AD1">
        <w:rPr>
          <w:rFonts w:hint="eastAsia"/>
        </w:rPr>
        <w:t>配合</w:t>
      </w:r>
      <w:r w:rsidRPr="00AB2AD1">
        <w:rPr>
          <w:rFonts w:hint="eastAsia"/>
        </w:rPr>
        <w:t>同意調降購電費率，加以本院曾於101年6月間針對台電公司</w:t>
      </w:r>
      <w:r w:rsidRPr="00AB2AD1">
        <w:rPr>
          <w:rFonts w:ascii="Times New Roman" w:hAnsi="Times New Roman"/>
          <w:bCs w:val="0"/>
          <w:kern w:val="2"/>
          <w:szCs w:val="20"/>
        </w:rPr>
        <w:t>迄未</w:t>
      </w:r>
      <w:r w:rsidRPr="00AB2AD1">
        <w:rPr>
          <w:rFonts w:ascii="Times New Roman" w:hAnsi="Times New Roman"/>
        </w:rPr>
        <w:t>與民營發電業者完成調降利率之協商作業，</w:t>
      </w:r>
      <w:r w:rsidRPr="00AB2AD1">
        <w:rPr>
          <w:rFonts w:hint="eastAsia"/>
        </w:rPr>
        <w:t>致增加台電公司購電支出等情，</w:t>
      </w:r>
      <w:r w:rsidR="00FA72E5" w:rsidRPr="00AB2AD1">
        <w:rPr>
          <w:rFonts w:hint="eastAsia"/>
        </w:rPr>
        <w:t>而</w:t>
      </w:r>
      <w:r w:rsidRPr="00AB2AD1">
        <w:rPr>
          <w:rFonts w:hint="eastAsia"/>
        </w:rPr>
        <w:t>提案彈劾台電公司前董事長及前總經理，並糾正經濟部及台電公司。嗣能源局、台電公司即陸續再與第三階段之4家民營電力公司協商購電費率調降，其中台電公司於101年5月31日與國光電力公司召開之「第三階段民營電廠(國光)購電費率協商事宜」會議中，國光電力公司於會中表示略以：「</w:t>
      </w:r>
      <w:r w:rsidRPr="00AB2AD1">
        <w:t>台汽電公司除反對之外，亦正式發函國光，就購電費率調降協商乙事，嚴正表達關切，要求在董事會</w:t>
      </w:r>
      <w:r w:rsidRPr="00AB2AD1">
        <w:rPr>
          <w:rFonts w:hint="eastAsia"/>
        </w:rPr>
        <w:t>有</w:t>
      </w:r>
      <w:r w:rsidRPr="00AB2AD1">
        <w:t>結論前應謹慎應對。台汽電為台電轉投資公司，如何說服台汽電，請台電公司努力</w:t>
      </w:r>
      <w:r w:rsidRPr="00AB2AD1">
        <w:rPr>
          <w:rFonts w:hint="eastAsia"/>
        </w:rPr>
        <w:t>。」</w:t>
      </w:r>
      <w:r w:rsidR="00FA72E5" w:rsidRPr="00AB2AD1">
        <w:rPr>
          <w:rFonts w:hint="eastAsia"/>
        </w:rPr>
        <w:t>又國光電力公司</w:t>
      </w:r>
      <w:r w:rsidRPr="00AB2AD1">
        <w:rPr>
          <w:rFonts w:hint="eastAsia"/>
        </w:rPr>
        <w:t>於</w:t>
      </w:r>
      <w:r w:rsidR="00FA72E5" w:rsidRPr="00AB2AD1">
        <w:rPr>
          <w:rFonts w:hint="eastAsia"/>
        </w:rPr>
        <w:t>同</w:t>
      </w:r>
      <w:r w:rsidRPr="00AB2AD1">
        <w:rPr>
          <w:rFonts w:hint="eastAsia"/>
        </w:rPr>
        <w:t>年6月25日</w:t>
      </w:r>
      <w:r w:rsidR="00FA72E5" w:rsidRPr="00AB2AD1">
        <w:rPr>
          <w:rFonts w:hint="eastAsia"/>
        </w:rPr>
        <w:t>能源局</w:t>
      </w:r>
      <w:r w:rsidRPr="00AB2AD1">
        <w:rPr>
          <w:rFonts w:hint="eastAsia"/>
        </w:rPr>
        <w:t>召開之「台電公司與第三階段民營電廠購電費率協處事宜」會議內，亦稱：「請台電公司積極說服台汽電董事及股東。」</w:t>
      </w:r>
      <w:r w:rsidR="00FA72E5" w:rsidRPr="00AB2AD1">
        <w:rPr>
          <w:rFonts w:hint="eastAsia"/>
        </w:rPr>
        <w:t>另</w:t>
      </w:r>
      <w:r w:rsidRPr="00AB2AD1">
        <w:rPr>
          <w:rFonts w:hint="eastAsia"/>
        </w:rPr>
        <w:t>能源局再於同年月28日召開之「台電公司與第三階段民營電廠購電費率第2次協處事宜」會議中，星元電力公司則稱：「星能、森霸及星元公司主要股東台汽電公司係本次協處之關鍵，若台電公司能說服台汽電公司支持方案內容，則3家公司皆可達成共識。」</w:t>
      </w:r>
      <w:r w:rsidRPr="00AB2AD1">
        <w:rPr>
          <w:rFonts w:hAnsi="標楷體" w:hint="eastAsia"/>
          <w:szCs w:val="32"/>
        </w:rPr>
        <w:t>又國光、森霸、星能及星元等</w:t>
      </w:r>
      <w:r w:rsidR="007929D3" w:rsidRPr="00AB2AD1">
        <w:rPr>
          <w:rFonts w:hint="eastAsia"/>
        </w:rPr>
        <w:t>4家</w:t>
      </w:r>
      <w:r w:rsidRPr="00AB2AD1">
        <w:rPr>
          <w:rFonts w:hAnsi="標楷體" w:hint="eastAsia"/>
          <w:szCs w:val="32"/>
        </w:rPr>
        <w:t>電力公司若</w:t>
      </w:r>
      <w:r w:rsidRPr="00AB2AD1">
        <w:rPr>
          <w:rFonts w:hAnsi="標楷體" w:hint="eastAsia"/>
          <w:szCs w:val="32"/>
        </w:rPr>
        <w:lastRenderedPageBreak/>
        <w:t>需修改購售電合約，依「台汽電公司轉投資事業管理辦法」第</w:t>
      </w:r>
      <w:r w:rsidRPr="00AB2AD1">
        <w:rPr>
          <w:rFonts w:hAnsi="標楷體"/>
          <w:szCs w:val="32"/>
        </w:rPr>
        <w:t>6.2.2</w:t>
      </w:r>
      <w:r w:rsidRPr="00AB2AD1">
        <w:rPr>
          <w:rFonts w:hAnsi="標楷體" w:hint="eastAsia"/>
          <w:szCs w:val="32"/>
        </w:rPr>
        <w:t>條之規定</w:t>
      </w:r>
      <w:r w:rsidRPr="00AB2AD1">
        <w:rPr>
          <w:rFonts w:hAnsi="標楷體"/>
          <w:szCs w:val="32"/>
        </w:rPr>
        <w:t>(</w:t>
      </w:r>
      <w:r w:rsidRPr="00AB2AD1">
        <w:rPr>
          <w:rFonts w:hAnsi="標楷體" w:hint="eastAsia"/>
          <w:szCs w:val="32"/>
        </w:rPr>
        <w:t>轉投資事業之董事會提案事項，應由轉投資管理單位簽報董事長核示後，交由股權代表人據以執行</w:t>
      </w:r>
      <w:r w:rsidRPr="00AB2AD1">
        <w:rPr>
          <w:rFonts w:hAnsi="標楷體"/>
          <w:szCs w:val="32"/>
        </w:rPr>
        <w:t>)</w:t>
      </w:r>
      <w:r w:rsidRPr="00AB2AD1">
        <w:rPr>
          <w:rFonts w:hAnsi="標楷體" w:hint="eastAsia"/>
          <w:szCs w:val="32"/>
        </w:rPr>
        <w:t>，</w:t>
      </w:r>
      <w:r w:rsidR="007929D3" w:rsidRPr="00AB2AD1">
        <w:rPr>
          <w:rFonts w:hAnsi="標楷體" w:hint="eastAsia"/>
          <w:szCs w:val="32"/>
        </w:rPr>
        <w:t>應</w:t>
      </w:r>
      <w:r w:rsidRPr="00AB2AD1">
        <w:rPr>
          <w:rFonts w:hAnsi="標楷體" w:hint="eastAsia"/>
          <w:szCs w:val="32"/>
        </w:rPr>
        <w:t>由台汽電公司董事長核可後，派任於前述</w:t>
      </w:r>
      <w:r w:rsidRPr="00AB2AD1">
        <w:rPr>
          <w:rFonts w:hAnsi="標楷體"/>
          <w:szCs w:val="32"/>
        </w:rPr>
        <w:t>4</w:t>
      </w:r>
      <w:r w:rsidRPr="00AB2AD1">
        <w:rPr>
          <w:rFonts w:hAnsi="標楷體" w:hint="eastAsia"/>
          <w:szCs w:val="32"/>
        </w:rPr>
        <w:t>家電力公司</w:t>
      </w:r>
      <w:r w:rsidR="007929D3" w:rsidRPr="00AB2AD1">
        <w:rPr>
          <w:rFonts w:hAnsi="標楷體" w:hint="eastAsia"/>
          <w:szCs w:val="32"/>
        </w:rPr>
        <w:t>之</w:t>
      </w:r>
      <w:r w:rsidRPr="00AB2AD1">
        <w:rPr>
          <w:rFonts w:hAnsi="標楷體" w:hint="eastAsia"/>
          <w:szCs w:val="32"/>
        </w:rPr>
        <w:t>法人代表，即可於各該電力公司董事會</w:t>
      </w:r>
      <w:r w:rsidR="007929D3" w:rsidRPr="00AB2AD1">
        <w:rPr>
          <w:rFonts w:hAnsi="標楷體" w:hint="eastAsia"/>
          <w:szCs w:val="32"/>
        </w:rPr>
        <w:t>據以</w:t>
      </w:r>
      <w:r w:rsidRPr="00AB2AD1">
        <w:rPr>
          <w:rFonts w:hAnsi="標楷體" w:hint="eastAsia"/>
          <w:szCs w:val="32"/>
        </w:rPr>
        <w:t>執行；惟因購售電合約之修改，對台汽電公司獲利</w:t>
      </w:r>
      <w:r w:rsidR="007929D3" w:rsidRPr="00AB2AD1">
        <w:rPr>
          <w:rFonts w:hAnsi="標楷體" w:hint="eastAsia"/>
          <w:szCs w:val="32"/>
        </w:rPr>
        <w:t>將</w:t>
      </w:r>
      <w:r w:rsidRPr="00AB2AD1">
        <w:rPr>
          <w:rFonts w:hAnsi="標楷體" w:hint="eastAsia"/>
          <w:szCs w:val="32"/>
        </w:rPr>
        <w:t>有重大影響，該公司依規定向其董事會報告時，各董事意見分歧</w:t>
      </w:r>
      <w:r w:rsidRPr="00AB2AD1">
        <w:rPr>
          <w:rFonts w:hAnsi="標楷體"/>
          <w:szCs w:val="32"/>
        </w:rPr>
        <w:t>(</w:t>
      </w:r>
      <w:r w:rsidRPr="00AB2AD1">
        <w:rPr>
          <w:rFonts w:hAnsi="標楷體" w:hint="eastAsia"/>
          <w:szCs w:val="32"/>
        </w:rPr>
        <w:t>提出背信及台電公司公股代表應利益迴避等質疑</w:t>
      </w:r>
      <w:r w:rsidRPr="00AB2AD1">
        <w:rPr>
          <w:rFonts w:hAnsi="標楷體"/>
          <w:szCs w:val="32"/>
        </w:rPr>
        <w:t>)</w:t>
      </w:r>
      <w:r w:rsidRPr="00AB2AD1">
        <w:rPr>
          <w:rFonts w:hAnsi="標楷體" w:hint="eastAsia"/>
          <w:szCs w:val="32"/>
        </w:rPr>
        <w:t>，爰依</w:t>
      </w:r>
      <w:r w:rsidR="007929D3" w:rsidRPr="00AB2AD1">
        <w:rPr>
          <w:rFonts w:hAnsi="標楷體" w:hint="eastAsia"/>
          <w:szCs w:val="32"/>
        </w:rPr>
        <w:t>「</w:t>
      </w:r>
      <w:r w:rsidRPr="00AB2AD1">
        <w:rPr>
          <w:rFonts w:hAnsi="標楷體" w:hint="eastAsia"/>
          <w:szCs w:val="32"/>
        </w:rPr>
        <w:t>公司法</w:t>
      </w:r>
      <w:r w:rsidR="007929D3" w:rsidRPr="00AB2AD1">
        <w:rPr>
          <w:rFonts w:hAnsi="標楷體" w:hint="eastAsia"/>
          <w:szCs w:val="32"/>
        </w:rPr>
        <w:t>」</w:t>
      </w:r>
      <w:r w:rsidRPr="00AB2AD1">
        <w:rPr>
          <w:rFonts w:hAnsi="標楷體" w:hint="eastAsia"/>
          <w:szCs w:val="32"/>
        </w:rPr>
        <w:t>第</w:t>
      </w:r>
      <w:r w:rsidRPr="00AB2AD1">
        <w:rPr>
          <w:rFonts w:hAnsi="標楷體"/>
          <w:szCs w:val="32"/>
        </w:rPr>
        <w:t>202</w:t>
      </w:r>
      <w:r w:rsidRPr="00AB2AD1">
        <w:rPr>
          <w:rFonts w:hAnsi="標楷體" w:hint="eastAsia"/>
          <w:szCs w:val="32"/>
        </w:rPr>
        <w:t>條規定(公司業務之執行，除本法或章程規定應由股東會決議事項外，均應由董事會決議行之)，以提案方式送請董事會審議決議後，再交由其派任於該</w:t>
      </w:r>
      <w:r w:rsidRPr="00AB2AD1">
        <w:rPr>
          <w:rFonts w:hAnsi="標楷體"/>
          <w:szCs w:val="32"/>
        </w:rPr>
        <w:t>4</w:t>
      </w:r>
      <w:r w:rsidRPr="00AB2AD1">
        <w:rPr>
          <w:rFonts w:hAnsi="標楷體" w:hint="eastAsia"/>
          <w:szCs w:val="32"/>
        </w:rPr>
        <w:t>家電力公司董事執行。</w:t>
      </w:r>
      <w:r w:rsidRPr="00AB2AD1">
        <w:rPr>
          <w:rFonts w:hint="eastAsia"/>
        </w:rPr>
        <w:t>以上可知台汽電公司對</w:t>
      </w:r>
      <w:r w:rsidR="007929D3" w:rsidRPr="00AB2AD1">
        <w:rPr>
          <w:rFonts w:hint="eastAsia"/>
        </w:rPr>
        <w:t>其</w:t>
      </w:r>
      <w:r w:rsidRPr="00AB2AD1">
        <w:rPr>
          <w:rFonts w:hint="eastAsia"/>
        </w:rPr>
        <w:t>所轉投資之民營電力公司，是否配合修改購售電合約，確具有實質</w:t>
      </w:r>
      <w:r w:rsidR="007929D3" w:rsidRPr="00AB2AD1">
        <w:rPr>
          <w:rFonts w:hAnsi="標楷體" w:hint="eastAsia"/>
          <w:szCs w:val="32"/>
        </w:rPr>
        <w:t>之</w:t>
      </w:r>
      <w:r w:rsidRPr="00AB2AD1">
        <w:rPr>
          <w:rFonts w:hint="eastAsia"/>
        </w:rPr>
        <w:t>影響力，而台汽電公司之最大股東為台電公司，其董事長係由台電公司所派任，卻未能維護台電公司之權益</w:t>
      </w:r>
      <w:r w:rsidR="00726188" w:rsidRPr="00AB2AD1">
        <w:rPr>
          <w:rFonts w:hint="eastAsia"/>
        </w:rPr>
        <w:t>，積極促成該</w:t>
      </w:r>
      <w:r w:rsidR="00726188" w:rsidRPr="00AB2AD1">
        <w:t>4</w:t>
      </w:r>
      <w:r w:rsidR="00726188" w:rsidRPr="00AB2AD1">
        <w:rPr>
          <w:rFonts w:hint="eastAsia"/>
        </w:rPr>
        <w:t>家電力公司配合</w:t>
      </w:r>
      <w:r w:rsidR="00726188" w:rsidRPr="00AB2AD1">
        <w:rPr>
          <w:rFonts w:hAnsi="標楷體" w:hint="eastAsia"/>
          <w:szCs w:val="32"/>
        </w:rPr>
        <w:t>調降</w:t>
      </w:r>
      <w:r w:rsidR="00F530B5" w:rsidRPr="00AB2AD1">
        <w:rPr>
          <w:rFonts w:hAnsi="標楷體" w:hint="eastAsia"/>
          <w:szCs w:val="32"/>
        </w:rPr>
        <w:t>購</w:t>
      </w:r>
      <w:r w:rsidR="00726188" w:rsidRPr="00AB2AD1">
        <w:rPr>
          <w:rFonts w:hAnsi="標楷體" w:hint="eastAsia"/>
          <w:szCs w:val="32"/>
        </w:rPr>
        <w:t>電費率之修約作業</w:t>
      </w:r>
      <w:r w:rsidRPr="00AB2AD1">
        <w:rPr>
          <w:rFonts w:hint="eastAsia"/>
        </w:rPr>
        <w:t>。</w:t>
      </w:r>
    </w:p>
    <w:p w:rsidR="00DC1E25" w:rsidRPr="00AB2AD1" w:rsidRDefault="00DC1E25" w:rsidP="00DC1E25">
      <w:pPr>
        <w:pStyle w:val="3"/>
        <w:rPr>
          <w:szCs w:val="32"/>
        </w:rPr>
      </w:pPr>
      <w:r w:rsidRPr="00AB2AD1">
        <w:rPr>
          <w:rFonts w:hint="eastAsia"/>
        </w:rPr>
        <w:t>末查本院前就「台電公司高階主管離職後，轉任民營電力或汽電共生公司擔任董事長或總經理等職，渠等在任時雖非擔任與該等業者直接相關之業務主管，然收購業者電力所涉業務繁多，難謂與其在職期間之業務無關，且離職後對台電公司亦具一定之影響力，經濟部及台電公司放任上開轉任作為，核欠允當」</w:t>
      </w:r>
      <w:r w:rsidR="00726188" w:rsidRPr="00AB2AD1">
        <w:rPr>
          <w:rFonts w:hint="eastAsia"/>
        </w:rPr>
        <w:t>等</w:t>
      </w:r>
      <w:r w:rsidRPr="00AB2AD1">
        <w:rPr>
          <w:rFonts w:hint="eastAsia"/>
        </w:rPr>
        <w:t>情事，函請</w:t>
      </w:r>
      <w:r w:rsidRPr="00AB2AD1">
        <w:rPr>
          <w:rFonts w:hAnsi="標楷體" w:hint="eastAsia"/>
        </w:rPr>
        <w:t>經濟部轉飭所屬</w:t>
      </w:r>
      <w:r w:rsidRPr="00AB2AD1">
        <w:rPr>
          <w:rFonts w:hint="eastAsia"/>
        </w:rPr>
        <w:t>台電公司確實檢討改進，嗣經濟部函復略以，為避免社會觀感不佳之情形，該部以101年6月26日經人字第10103665930號函規範台電公司人員於屆齡退休前5年內及退休後5年內，不得遴薦擔任台汽電公司</w:t>
      </w:r>
      <w:r w:rsidRPr="00AB2AD1">
        <w:rPr>
          <w:rFonts w:hint="eastAsia"/>
        </w:rPr>
        <w:lastRenderedPageBreak/>
        <w:t>及其轉投資民營</w:t>
      </w:r>
      <w:r w:rsidR="004F776B" w:rsidRPr="00AB2AD1">
        <w:rPr>
          <w:rFonts w:hint="eastAsia"/>
        </w:rPr>
        <w:t>電力公司</w:t>
      </w:r>
      <w:r w:rsidRPr="00AB2AD1">
        <w:rPr>
          <w:rFonts w:hint="eastAsia"/>
        </w:rPr>
        <w:t>之董監事或總經理等重要職務，且於任期中年滿65歲者應即解任。顯示經濟部於本院函請檢討後，亦認定台電公司員工擔任台汽電公司及其轉投資民營電力公司之董監事或總經理等重要職務，並非妥適。又</w:t>
      </w:r>
      <w:r w:rsidR="00070D7D" w:rsidRPr="00AB2AD1">
        <w:rPr>
          <w:rFonts w:hint="eastAsia"/>
        </w:rPr>
        <w:t>據9家民營電力公司提供之資料顯示，於99至101年度獲利</w:t>
      </w:r>
      <w:r w:rsidR="00BF5907" w:rsidRPr="00AB2AD1">
        <w:rPr>
          <w:rFonts w:hint="eastAsia"/>
        </w:rPr>
        <w:t>各為</w:t>
      </w:r>
      <w:r w:rsidR="00070D7D" w:rsidRPr="00AB2AD1">
        <w:rPr>
          <w:rFonts w:hint="eastAsia"/>
        </w:rPr>
        <w:t>182億餘元、112億餘元及149億餘元，總計獲利達445億餘元，另</w:t>
      </w:r>
      <w:r w:rsidR="005F7A7D" w:rsidRPr="00AB2AD1">
        <w:rPr>
          <w:rFonts w:hint="eastAsia"/>
        </w:rPr>
        <w:t>依公開資訊觀測站資料，公開發行之麥寮、和平、長生、新桃、星能、森霸等6家民營電力公司，於99至101年度共獲利達375億餘元(長生、新桃電力公司於101年度起，已非公開發行公司，爰無法統計101年度資料)，</w:t>
      </w:r>
      <w:r w:rsidR="00070D7D" w:rsidRPr="00AB2AD1">
        <w:rPr>
          <w:rFonts w:hAnsi="標楷體" w:hint="eastAsia"/>
        </w:rPr>
        <w:t>惟</w:t>
      </w:r>
      <w:r w:rsidRPr="00AB2AD1">
        <w:rPr>
          <w:rFonts w:hAnsi="標楷體" w:hint="eastAsia"/>
        </w:rPr>
        <w:t>台電公司卻虧損高達1,538億餘元，</w:t>
      </w:r>
      <w:r w:rsidRPr="00AB2AD1">
        <w:rPr>
          <w:rFonts w:hint="eastAsia"/>
          <w:szCs w:val="32"/>
        </w:rPr>
        <w:t>其盈虧情形如</w:t>
      </w:r>
      <w:r w:rsidRPr="00AB2AD1">
        <w:rPr>
          <w:rFonts w:hAnsi="標楷體" w:hint="eastAsia"/>
        </w:rPr>
        <w:t>表</w:t>
      </w:r>
      <w:r w:rsidR="000717F2" w:rsidRPr="00AB2AD1">
        <w:rPr>
          <w:rFonts w:hAnsi="標楷體" w:hint="eastAsia"/>
        </w:rPr>
        <w:t>五</w:t>
      </w:r>
      <w:r w:rsidRPr="00AB2AD1">
        <w:rPr>
          <w:rFonts w:hAnsi="標楷體" w:hint="eastAsia"/>
        </w:rPr>
        <w:t>所示(各年度之盈虧於百萬元以下</w:t>
      </w:r>
      <w:r w:rsidR="004F776B" w:rsidRPr="00AB2AD1">
        <w:rPr>
          <w:rFonts w:hAnsi="標楷體" w:hint="eastAsia"/>
        </w:rPr>
        <w:t>之金額</w:t>
      </w:r>
      <w:r w:rsidRPr="00AB2AD1">
        <w:rPr>
          <w:rFonts w:hAnsi="標楷體" w:hint="eastAsia"/>
        </w:rPr>
        <w:t>，係無條件捨去)</w:t>
      </w:r>
      <w:r w:rsidR="00271E06" w:rsidRPr="00AB2AD1">
        <w:rPr>
          <w:rFonts w:hint="eastAsia"/>
          <w:szCs w:val="32"/>
        </w:rPr>
        <w:t>。</w:t>
      </w:r>
    </w:p>
    <w:p w:rsidR="00F215FE" w:rsidRPr="00AB2AD1" w:rsidRDefault="00F215FE" w:rsidP="003D14B2">
      <w:pPr>
        <w:pStyle w:val="3"/>
        <w:numPr>
          <w:ilvl w:val="0"/>
          <w:numId w:val="0"/>
        </w:numPr>
        <w:ind w:leftChars="-100" w:left="-340" w:rightChars="-100" w:right="-340"/>
        <w:jc w:val="center"/>
        <w:rPr>
          <w:rFonts w:hAnsi="標楷體"/>
          <w:sz w:val="28"/>
          <w:szCs w:val="28"/>
        </w:rPr>
      </w:pPr>
      <w:r w:rsidRPr="00AB2AD1">
        <w:rPr>
          <w:rFonts w:hAnsi="標楷體"/>
          <w:sz w:val="28"/>
          <w:szCs w:val="28"/>
        </w:rPr>
        <w:t>表</w:t>
      </w:r>
      <w:r w:rsidR="000717F2" w:rsidRPr="00AB2AD1">
        <w:rPr>
          <w:rFonts w:hAnsi="標楷體" w:hint="eastAsia"/>
          <w:sz w:val="28"/>
          <w:szCs w:val="28"/>
        </w:rPr>
        <w:t>五</w:t>
      </w:r>
      <w:r w:rsidRPr="00AB2AD1">
        <w:rPr>
          <w:rFonts w:hAnsi="標楷體"/>
          <w:sz w:val="28"/>
          <w:szCs w:val="28"/>
        </w:rPr>
        <w:t>、獲利盈虧情形：</w:t>
      </w:r>
      <w:r w:rsidRPr="00AB2AD1">
        <w:rPr>
          <w:rFonts w:hAnsi="標楷體" w:hint="eastAsia"/>
          <w:sz w:val="28"/>
          <w:szCs w:val="28"/>
        </w:rPr>
        <w:t>6</w:t>
      </w:r>
      <w:r w:rsidRPr="00AB2AD1">
        <w:rPr>
          <w:rFonts w:hAnsi="標楷體"/>
          <w:sz w:val="28"/>
          <w:szCs w:val="28"/>
        </w:rPr>
        <w:t>家</w:t>
      </w:r>
      <w:r w:rsidRPr="00AB2AD1">
        <w:rPr>
          <w:rFonts w:hAnsi="標楷體" w:hint="eastAsia"/>
          <w:sz w:val="28"/>
          <w:szCs w:val="28"/>
        </w:rPr>
        <w:t>公開發行</w:t>
      </w:r>
      <w:r w:rsidR="00BE63B0" w:rsidRPr="00AB2AD1">
        <w:rPr>
          <w:rFonts w:hAnsi="標楷體" w:hint="eastAsia"/>
          <w:sz w:val="28"/>
          <w:szCs w:val="28"/>
        </w:rPr>
        <w:t>民營發電業者與</w:t>
      </w:r>
      <w:r w:rsidRPr="00AB2AD1">
        <w:rPr>
          <w:rFonts w:hAnsi="標楷體"/>
          <w:sz w:val="28"/>
          <w:szCs w:val="28"/>
        </w:rPr>
        <w:t>台電</w:t>
      </w:r>
      <w:r w:rsidR="00BE63B0" w:rsidRPr="00AB2AD1">
        <w:rPr>
          <w:rFonts w:hAnsi="標楷體" w:hint="eastAsia"/>
          <w:sz w:val="28"/>
          <w:szCs w:val="28"/>
        </w:rPr>
        <w:t>公司</w:t>
      </w:r>
      <w:r w:rsidRPr="00AB2AD1">
        <w:rPr>
          <w:rFonts w:hAnsi="標楷體"/>
          <w:sz w:val="28"/>
          <w:szCs w:val="28"/>
        </w:rPr>
        <w:t>-99~101年</w:t>
      </w:r>
    </w:p>
    <w:p w:rsidR="00DC1E25" w:rsidRPr="00AB2AD1" w:rsidRDefault="00DC1E25" w:rsidP="00FF16E8">
      <w:pPr>
        <w:pStyle w:val="3"/>
        <w:widowControl/>
        <w:numPr>
          <w:ilvl w:val="0"/>
          <w:numId w:val="0"/>
        </w:numPr>
        <w:kinsoku/>
        <w:spacing w:afterLines="10" w:line="240" w:lineRule="exact"/>
        <w:ind w:left="357"/>
        <w:jc w:val="right"/>
        <w:rPr>
          <w:sz w:val="24"/>
          <w:szCs w:val="24"/>
        </w:rPr>
      </w:pPr>
      <w:r w:rsidRPr="00AB2AD1">
        <w:rPr>
          <w:rFonts w:hint="eastAsia"/>
          <w:sz w:val="24"/>
          <w:szCs w:val="24"/>
        </w:rPr>
        <w:t>單位：百萬元</w:t>
      </w:r>
    </w:p>
    <w:tbl>
      <w:tblPr>
        <w:tblStyle w:val="afc"/>
        <w:tblW w:w="0" w:type="auto"/>
        <w:jc w:val="right"/>
        <w:shd w:val="clear" w:color="auto" w:fill="FFFFFF" w:themeFill="background1"/>
        <w:tblLook w:val="01E0"/>
      </w:tblPr>
      <w:tblGrid>
        <w:gridCol w:w="1390"/>
        <w:gridCol w:w="1729"/>
        <w:gridCol w:w="1729"/>
        <w:gridCol w:w="1729"/>
        <w:gridCol w:w="1741"/>
      </w:tblGrid>
      <w:tr w:rsidR="00DC1E25" w:rsidRPr="00AB2AD1" w:rsidTr="00BE63B0">
        <w:trPr>
          <w:jc w:val="right"/>
        </w:trPr>
        <w:tc>
          <w:tcPr>
            <w:tcW w:w="1390"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電力公司</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99年度</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100年度</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101年度</w:t>
            </w:r>
          </w:p>
        </w:tc>
        <w:tc>
          <w:tcPr>
            <w:tcW w:w="1741"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總計</w:t>
            </w:r>
          </w:p>
        </w:tc>
      </w:tr>
      <w:tr w:rsidR="00DC1E25" w:rsidRPr="00AB2AD1" w:rsidTr="00BE63B0">
        <w:trPr>
          <w:jc w:val="right"/>
        </w:trPr>
        <w:tc>
          <w:tcPr>
            <w:tcW w:w="1390"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麥寮</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7,20</w:t>
            </w:r>
            <w:r w:rsidR="00EF4DDA" w:rsidRPr="00AB2AD1">
              <w:rPr>
                <w:rFonts w:hAnsi="標楷體" w:hint="eastAsia"/>
                <w:sz w:val="28"/>
                <w:szCs w:val="28"/>
              </w:rPr>
              <w:t>8</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1,109</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5,948</w:t>
            </w:r>
          </w:p>
        </w:tc>
        <w:tc>
          <w:tcPr>
            <w:tcW w:w="1741"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14,26</w:t>
            </w:r>
            <w:r w:rsidR="004A1E3F" w:rsidRPr="00AB2AD1">
              <w:rPr>
                <w:rFonts w:hAnsi="標楷體" w:hint="eastAsia"/>
                <w:sz w:val="28"/>
                <w:szCs w:val="28"/>
              </w:rPr>
              <w:t>5</w:t>
            </w:r>
          </w:p>
        </w:tc>
      </w:tr>
      <w:tr w:rsidR="00DC1E25" w:rsidRPr="00AB2AD1" w:rsidTr="00BE63B0">
        <w:trPr>
          <w:jc w:val="right"/>
        </w:trPr>
        <w:tc>
          <w:tcPr>
            <w:tcW w:w="1390"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和平</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5,015</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2,278</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3,040</w:t>
            </w:r>
          </w:p>
        </w:tc>
        <w:tc>
          <w:tcPr>
            <w:tcW w:w="1741"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10,33</w:t>
            </w:r>
            <w:r w:rsidR="004A1E3F" w:rsidRPr="00AB2AD1">
              <w:rPr>
                <w:rFonts w:hAnsi="標楷體" w:hint="eastAsia"/>
                <w:sz w:val="28"/>
                <w:szCs w:val="28"/>
              </w:rPr>
              <w:t>3</w:t>
            </w:r>
          </w:p>
        </w:tc>
      </w:tr>
      <w:tr w:rsidR="00DC1E25" w:rsidRPr="00AB2AD1" w:rsidTr="00BE63B0">
        <w:trPr>
          <w:jc w:val="right"/>
        </w:trPr>
        <w:tc>
          <w:tcPr>
            <w:tcW w:w="1390"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長生</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2,082</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2,356</w:t>
            </w:r>
          </w:p>
        </w:tc>
        <w:tc>
          <w:tcPr>
            <w:tcW w:w="1729" w:type="dxa"/>
            <w:shd w:val="clear" w:color="auto" w:fill="FFFFFF" w:themeFill="background1"/>
          </w:tcPr>
          <w:p w:rsidR="00DC1E25" w:rsidRPr="00AB2AD1" w:rsidRDefault="00F215FE"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w:t>
            </w:r>
          </w:p>
        </w:tc>
        <w:tc>
          <w:tcPr>
            <w:tcW w:w="1741" w:type="dxa"/>
            <w:shd w:val="clear" w:color="auto" w:fill="FFFFFF" w:themeFill="background1"/>
          </w:tcPr>
          <w:p w:rsidR="00DC1E25" w:rsidRPr="00AB2AD1" w:rsidRDefault="00D2298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4,438</w:t>
            </w:r>
          </w:p>
        </w:tc>
      </w:tr>
      <w:tr w:rsidR="00DC1E25" w:rsidRPr="00AB2AD1" w:rsidTr="00BE63B0">
        <w:trPr>
          <w:jc w:val="right"/>
        </w:trPr>
        <w:tc>
          <w:tcPr>
            <w:tcW w:w="1390"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新桃</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976</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761</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w:t>
            </w:r>
          </w:p>
        </w:tc>
        <w:tc>
          <w:tcPr>
            <w:tcW w:w="1741" w:type="dxa"/>
            <w:shd w:val="clear" w:color="auto" w:fill="FFFFFF" w:themeFill="background1"/>
          </w:tcPr>
          <w:p w:rsidR="00DC1E25" w:rsidRPr="00AB2AD1" w:rsidRDefault="00D2298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1,738</w:t>
            </w:r>
          </w:p>
        </w:tc>
      </w:tr>
      <w:tr w:rsidR="00DC1E25" w:rsidRPr="00AB2AD1" w:rsidTr="00BE63B0">
        <w:trPr>
          <w:jc w:val="right"/>
        </w:trPr>
        <w:tc>
          <w:tcPr>
            <w:tcW w:w="1390"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星能</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819</w:t>
            </w:r>
          </w:p>
        </w:tc>
        <w:tc>
          <w:tcPr>
            <w:tcW w:w="1729" w:type="dxa"/>
            <w:shd w:val="clear" w:color="auto" w:fill="FFFFFF" w:themeFill="background1"/>
          </w:tcPr>
          <w:p w:rsidR="00DC1E25" w:rsidRPr="00AB2AD1" w:rsidRDefault="00DC1E25" w:rsidP="004A1E3F">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85</w:t>
            </w:r>
            <w:r w:rsidR="004A1E3F" w:rsidRPr="00AB2AD1">
              <w:rPr>
                <w:rFonts w:hAnsi="標楷體" w:hint="eastAsia"/>
                <w:sz w:val="28"/>
                <w:szCs w:val="28"/>
              </w:rPr>
              <w:t>7</w:t>
            </w:r>
          </w:p>
        </w:tc>
        <w:tc>
          <w:tcPr>
            <w:tcW w:w="1729" w:type="dxa"/>
            <w:shd w:val="clear" w:color="auto" w:fill="FFFFFF" w:themeFill="background1"/>
          </w:tcPr>
          <w:p w:rsidR="00DC1E25" w:rsidRPr="00AB2AD1" w:rsidRDefault="00DC1E25" w:rsidP="004A1E3F">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60</w:t>
            </w:r>
            <w:r w:rsidR="004A1E3F" w:rsidRPr="00AB2AD1">
              <w:rPr>
                <w:rFonts w:hAnsi="標楷體" w:hint="eastAsia"/>
                <w:sz w:val="28"/>
                <w:szCs w:val="28"/>
              </w:rPr>
              <w:t>2</w:t>
            </w:r>
          </w:p>
        </w:tc>
        <w:tc>
          <w:tcPr>
            <w:tcW w:w="1741"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2,278</w:t>
            </w:r>
          </w:p>
        </w:tc>
      </w:tr>
      <w:tr w:rsidR="00DC1E25" w:rsidRPr="00AB2AD1" w:rsidTr="00BE63B0">
        <w:trPr>
          <w:jc w:val="right"/>
        </w:trPr>
        <w:tc>
          <w:tcPr>
            <w:tcW w:w="1390"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森霸</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1,516</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1,78</w:t>
            </w:r>
            <w:r w:rsidR="004A1E3F" w:rsidRPr="00AB2AD1">
              <w:rPr>
                <w:rFonts w:hAnsi="標楷體" w:hint="eastAsia"/>
                <w:sz w:val="28"/>
                <w:szCs w:val="28"/>
              </w:rPr>
              <w:t>6</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1,168</w:t>
            </w:r>
          </w:p>
        </w:tc>
        <w:tc>
          <w:tcPr>
            <w:tcW w:w="1741"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sz w:val="28"/>
                <w:szCs w:val="28"/>
              </w:rPr>
            </w:pPr>
            <w:r w:rsidRPr="00AB2AD1">
              <w:rPr>
                <w:rFonts w:hAnsi="標楷體" w:hint="eastAsia"/>
                <w:sz w:val="28"/>
                <w:szCs w:val="28"/>
              </w:rPr>
              <w:t>4,470</w:t>
            </w:r>
          </w:p>
        </w:tc>
      </w:tr>
      <w:tr w:rsidR="00D22985" w:rsidRPr="00AB2AD1" w:rsidTr="00BE63B0">
        <w:trPr>
          <w:jc w:val="right"/>
        </w:trPr>
        <w:tc>
          <w:tcPr>
            <w:tcW w:w="1390" w:type="dxa"/>
            <w:shd w:val="clear" w:color="auto" w:fill="FFFFFF" w:themeFill="background1"/>
          </w:tcPr>
          <w:p w:rsidR="00D22985" w:rsidRPr="00AB2AD1" w:rsidRDefault="00D22985" w:rsidP="00811238">
            <w:pPr>
              <w:pStyle w:val="3"/>
              <w:widowControl/>
              <w:numPr>
                <w:ilvl w:val="0"/>
                <w:numId w:val="0"/>
              </w:numPr>
              <w:kinsoku/>
              <w:jc w:val="center"/>
              <w:outlineLvl w:val="2"/>
              <w:rPr>
                <w:rFonts w:hAnsi="標楷體"/>
                <w:sz w:val="28"/>
                <w:szCs w:val="28"/>
              </w:rPr>
            </w:pPr>
            <w:r w:rsidRPr="00AB2AD1">
              <w:rPr>
                <w:rFonts w:hAnsi="標楷體" w:hint="eastAsia"/>
                <w:sz w:val="28"/>
                <w:szCs w:val="28"/>
              </w:rPr>
              <w:t>以上民營電力公司盈餘合計</w:t>
            </w:r>
          </w:p>
        </w:tc>
        <w:tc>
          <w:tcPr>
            <w:tcW w:w="1729" w:type="dxa"/>
            <w:shd w:val="clear" w:color="auto" w:fill="FFFFFF" w:themeFill="background1"/>
          </w:tcPr>
          <w:p w:rsidR="00D22985" w:rsidRPr="00AB2AD1" w:rsidRDefault="00D22985">
            <w:pPr>
              <w:rPr>
                <w:rFonts w:ascii="標楷體" w:hAnsi="標楷體"/>
                <w:b/>
                <w:bCs/>
                <w:kern w:val="0"/>
                <w:sz w:val="28"/>
                <w:szCs w:val="28"/>
              </w:rPr>
            </w:pPr>
            <w:r w:rsidRPr="00AB2AD1">
              <w:rPr>
                <w:rFonts w:ascii="標楷體" w:hAnsi="標楷體" w:hint="eastAsia"/>
                <w:b/>
                <w:bCs/>
                <w:kern w:val="0"/>
                <w:sz w:val="28"/>
                <w:szCs w:val="28"/>
              </w:rPr>
              <w:t>17,616</w:t>
            </w:r>
          </w:p>
        </w:tc>
        <w:tc>
          <w:tcPr>
            <w:tcW w:w="1729" w:type="dxa"/>
            <w:shd w:val="clear" w:color="auto" w:fill="FFFFFF" w:themeFill="background1"/>
          </w:tcPr>
          <w:p w:rsidR="00D22985" w:rsidRPr="00AB2AD1" w:rsidRDefault="00D22985">
            <w:pPr>
              <w:rPr>
                <w:rFonts w:ascii="標楷體" w:hAnsi="標楷體"/>
                <w:b/>
                <w:bCs/>
                <w:kern w:val="0"/>
                <w:sz w:val="28"/>
                <w:szCs w:val="28"/>
              </w:rPr>
            </w:pPr>
            <w:r w:rsidRPr="00AB2AD1">
              <w:rPr>
                <w:rFonts w:ascii="標楷體" w:hAnsi="標楷體" w:hint="eastAsia"/>
                <w:b/>
                <w:bCs/>
                <w:kern w:val="0"/>
                <w:sz w:val="28"/>
                <w:szCs w:val="28"/>
              </w:rPr>
              <w:t>9,147</w:t>
            </w:r>
          </w:p>
        </w:tc>
        <w:tc>
          <w:tcPr>
            <w:tcW w:w="1729" w:type="dxa"/>
            <w:shd w:val="clear" w:color="auto" w:fill="FFFFFF" w:themeFill="background1"/>
          </w:tcPr>
          <w:p w:rsidR="00D22985" w:rsidRPr="00AB2AD1" w:rsidRDefault="00D22985">
            <w:pPr>
              <w:rPr>
                <w:rFonts w:ascii="標楷體" w:hAnsi="標楷體"/>
                <w:b/>
                <w:bCs/>
                <w:kern w:val="0"/>
                <w:sz w:val="28"/>
                <w:szCs w:val="28"/>
              </w:rPr>
            </w:pPr>
            <w:r w:rsidRPr="00AB2AD1">
              <w:rPr>
                <w:rFonts w:ascii="標楷體" w:hAnsi="標楷體" w:hint="eastAsia"/>
                <w:b/>
                <w:bCs/>
                <w:kern w:val="0"/>
                <w:sz w:val="28"/>
                <w:szCs w:val="28"/>
              </w:rPr>
              <w:t>10,758</w:t>
            </w:r>
          </w:p>
        </w:tc>
        <w:tc>
          <w:tcPr>
            <w:tcW w:w="1741" w:type="dxa"/>
            <w:shd w:val="clear" w:color="auto" w:fill="FFFFFF" w:themeFill="background1"/>
          </w:tcPr>
          <w:p w:rsidR="00D22985" w:rsidRPr="00AB2AD1" w:rsidRDefault="00D22985">
            <w:pPr>
              <w:rPr>
                <w:rFonts w:ascii="標楷體" w:hAnsi="標楷體"/>
                <w:b/>
                <w:bCs/>
                <w:kern w:val="0"/>
                <w:sz w:val="28"/>
                <w:szCs w:val="28"/>
              </w:rPr>
            </w:pPr>
            <w:r w:rsidRPr="00AB2AD1">
              <w:rPr>
                <w:rFonts w:ascii="標楷體" w:hAnsi="標楷體" w:hint="eastAsia"/>
                <w:b/>
                <w:bCs/>
                <w:kern w:val="0"/>
                <w:sz w:val="28"/>
                <w:szCs w:val="28"/>
              </w:rPr>
              <w:t>37,522</w:t>
            </w:r>
          </w:p>
        </w:tc>
      </w:tr>
      <w:tr w:rsidR="00DC1E25" w:rsidRPr="00AB2AD1" w:rsidTr="00BE63B0">
        <w:trPr>
          <w:jc w:val="right"/>
        </w:trPr>
        <w:tc>
          <w:tcPr>
            <w:tcW w:w="1390" w:type="dxa"/>
            <w:shd w:val="clear" w:color="auto" w:fill="FFFFFF" w:themeFill="background1"/>
          </w:tcPr>
          <w:p w:rsidR="00DC1E25" w:rsidRPr="00AB2AD1" w:rsidRDefault="00DC1E25" w:rsidP="00811238">
            <w:pPr>
              <w:pStyle w:val="3"/>
              <w:widowControl/>
              <w:numPr>
                <w:ilvl w:val="0"/>
                <w:numId w:val="0"/>
              </w:numPr>
              <w:kinsoku/>
              <w:spacing w:line="460" w:lineRule="exact"/>
              <w:jc w:val="center"/>
              <w:outlineLvl w:val="2"/>
              <w:rPr>
                <w:rFonts w:hAnsi="標楷體"/>
                <w:sz w:val="28"/>
                <w:szCs w:val="28"/>
              </w:rPr>
            </w:pPr>
            <w:r w:rsidRPr="00AB2AD1">
              <w:rPr>
                <w:rFonts w:hAnsi="標楷體" w:hint="eastAsia"/>
                <w:sz w:val="28"/>
                <w:szCs w:val="28"/>
              </w:rPr>
              <w:t>台電公司</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b/>
                <w:sz w:val="28"/>
                <w:szCs w:val="28"/>
              </w:rPr>
            </w:pPr>
            <w:r w:rsidRPr="00AB2AD1">
              <w:rPr>
                <w:rFonts w:hAnsi="標楷體"/>
                <w:b/>
                <w:sz w:val="28"/>
                <w:szCs w:val="28"/>
              </w:rPr>
              <w:t>-35,237</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b/>
                <w:sz w:val="28"/>
                <w:szCs w:val="28"/>
              </w:rPr>
            </w:pPr>
            <w:r w:rsidRPr="00AB2AD1">
              <w:rPr>
                <w:rFonts w:hAnsi="標楷體"/>
                <w:b/>
                <w:sz w:val="28"/>
                <w:szCs w:val="28"/>
              </w:rPr>
              <w:t>-43,283</w:t>
            </w:r>
          </w:p>
        </w:tc>
        <w:tc>
          <w:tcPr>
            <w:tcW w:w="1729"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b/>
                <w:sz w:val="28"/>
                <w:szCs w:val="28"/>
              </w:rPr>
            </w:pPr>
            <w:r w:rsidRPr="00AB2AD1">
              <w:rPr>
                <w:rFonts w:hAnsi="標楷體" w:hint="eastAsia"/>
                <w:b/>
                <w:sz w:val="28"/>
                <w:szCs w:val="28"/>
              </w:rPr>
              <w:t>-75,322</w:t>
            </w:r>
          </w:p>
        </w:tc>
        <w:tc>
          <w:tcPr>
            <w:tcW w:w="1741" w:type="dxa"/>
            <w:shd w:val="clear" w:color="auto" w:fill="FFFFFF" w:themeFill="background1"/>
          </w:tcPr>
          <w:p w:rsidR="00DC1E25" w:rsidRPr="00AB2AD1" w:rsidRDefault="00DC1E25" w:rsidP="00811238">
            <w:pPr>
              <w:pStyle w:val="3"/>
              <w:widowControl/>
              <w:numPr>
                <w:ilvl w:val="0"/>
                <w:numId w:val="0"/>
              </w:numPr>
              <w:kinsoku/>
              <w:spacing w:line="460" w:lineRule="exact"/>
              <w:jc w:val="right"/>
              <w:outlineLvl w:val="2"/>
              <w:rPr>
                <w:rFonts w:hAnsi="標楷體"/>
                <w:b/>
                <w:sz w:val="28"/>
                <w:szCs w:val="28"/>
              </w:rPr>
            </w:pPr>
            <w:r w:rsidRPr="00AB2AD1">
              <w:rPr>
                <w:rFonts w:hAnsi="標楷體" w:hint="eastAsia"/>
                <w:b/>
                <w:sz w:val="28"/>
                <w:szCs w:val="28"/>
              </w:rPr>
              <w:t>-153,842</w:t>
            </w:r>
          </w:p>
        </w:tc>
      </w:tr>
    </w:tbl>
    <w:p w:rsidR="00DC1E25" w:rsidRPr="00AB2AD1" w:rsidRDefault="00DC1E25" w:rsidP="00DC1E25">
      <w:pPr>
        <w:pStyle w:val="3"/>
        <w:rPr>
          <w:szCs w:val="32"/>
        </w:rPr>
      </w:pPr>
      <w:r w:rsidRPr="00AB2AD1">
        <w:rPr>
          <w:rFonts w:hint="eastAsia"/>
        </w:rPr>
        <w:t>綜上，</w:t>
      </w:r>
      <w:r w:rsidRPr="00AB2AD1">
        <w:rPr>
          <w:rFonts w:hAnsi="標楷體"/>
          <w:szCs w:val="32"/>
        </w:rPr>
        <w:t>經濟部於84年起開放民營</w:t>
      </w:r>
      <w:r w:rsidR="003E3BDF" w:rsidRPr="00AB2AD1">
        <w:rPr>
          <w:rFonts w:hAnsi="標楷體" w:hint="eastAsia"/>
          <w:szCs w:val="32"/>
        </w:rPr>
        <w:t>發</w:t>
      </w:r>
      <w:r w:rsidRPr="00AB2AD1">
        <w:rPr>
          <w:rFonts w:hAnsi="標楷體"/>
          <w:szCs w:val="32"/>
        </w:rPr>
        <w:t>電廠</w:t>
      </w:r>
      <w:r w:rsidRPr="00AB2AD1">
        <w:rPr>
          <w:rFonts w:hAnsi="標楷體" w:hint="eastAsia"/>
          <w:szCs w:val="32"/>
        </w:rPr>
        <w:t>之</w:t>
      </w:r>
      <w:r w:rsidRPr="00AB2AD1">
        <w:rPr>
          <w:rFonts w:hAnsi="標楷體"/>
          <w:szCs w:val="32"/>
        </w:rPr>
        <w:t>建置，將台電公司未能及時興建</w:t>
      </w:r>
      <w:r w:rsidRPr="00AB2AD1">
        <w:rPr>
          <w:rFonts w:hAnsi="標楷體" w:hint="eastAsia"/>
          <w:szCs w:val="32"/>
        </w:rPr>
        <w:t>之發電</w:t>
      </w:r>
      <w:r w:rsidRPr="00AB2AD1">
        <w:rPr>
          <w:rFonts w:hAnsi="標楷體"/>
          <w:szCs w:val="32"/>
        </w:rPr>
        <w:t>容量開放由民間設立，</w:t>
      </w:r>
      <w:r w:rsidRPr="00AB2AD1">
        <w:rPr>
          <w:rFonts w:hint="eastAsia"/>
        </w:rPr>
        <w:t>台電公司與民營發電業者彼此間存有利害關</w:t>
      </w:r>
      <w:r w:rsidRPr="00AB2AD1">
        <w:rPr>
          <w:rFonts w:hint="eastAsia"/>
        </w:rPr>
        <w:lastRenderedPageBreak/>
        <w:t>係，民營發電業者</w:t>
      </w:r>
      <w:r w:rsidRPr="00AB2AD1">
        <w:rPr>
          <w:rFonts w:hAnsi="標楷體" w:hint="eastAsia"/>
        </w:rPr>
        <w:t>獲利超出外界預期越多，就代表台電公司所支付</w:t>
      </w:r>
      <w:r w:rsidRPr="00AB2AD1">
        <w:rPr>
          <w:rFonts w:hAnsi="標楷體" w:hint="eastAsia"/>
          <w:szCs w:val="32"/>
        </w:rPr>
        <w:t>之</w:t>
      </w:r>
      <w:r w:rsidRPr="00AB2AD1">
        <w:rPr>
          <w:rFonts w:hAnsi="標楷體" w:hint="eastAsia"/>
        </w:rPr>
        <w:t>購電費用更多</w:t>
      </w:r>
      <w:r w:rsidRPr="00AB2AD1">
        <w:rPr>
          <w:rFonts w:hint="eastAsia"/>
        </w:rPr>
        <w:t>；而</w:t>
      </w:r>
      <w:r w:rsidR="003E3BDF" w:rsidRPr="00AB2AD1">
        <w:rPr>
          <w:rFonts w:hint="eastAsia"/>
        </w:rPr>
        <w:t>台電公司間接、</w:t>
      </w:r>
      <w:r w:rsidRPr="00AB2AD1">
        <w:rPr>
          <w:rFonts w:hint="eastAsia"/>
        </w:rPr>
        <w:t>台汽電公司</w:t>
      </w:r>
      <w:r w:rsidR="003E3BDF" w:rsidRPr="00AB2AD1">
        <w:rPr>
          <w:rFonts w:hint="eastAsia"/>
        </w:rPr>
        <w:t>直接</w:t>
      </w:r>
      <w:r w:rsidRPr="00AB2AD1">
        <w:rPr>
          <w:rFonts w:hint="eastAsia"/>
        </w:rPr>
        <w:t>轉投資之</w:t>
      </w:r>
      <w:r w:rsidR="003E3BDF" w:rsidRPr="00AB2AD1">
        <w:rPr>
          <w:rFonts w:hAnsi="標楷體" w:hint="eastAsia"/>
          <w:szCs w:val="32"/>
        </w:rPr>
        <w:t>國光、森霸、星元及星能等4家</w:t>
      </w:r>
      <w:r w:rsidRPr="00AB2AD1">
        <w:rPr>
          <w:rFonts w:hint="eastAsia"/>
        </w:rPr>
        <w:t>民營電力公司，對於</w:t>
      </w:r>
      <w:r w:rsidR="003E3BDF" w:rsidRPr="00AB2AD1">
        <w:rPr>
          <w:rFonts w:hAnsi="標楷體" w:hint="eastAsia"/>
          <w:szCs w:val="32"/>
        </w:rPr>
        <w:t>修改</w:t>
      </w:r>
      <w:r w:rsidRPr="00AB2AD1">
        <w:rPr>
          <w:rFonts w:hint="eastAsia"/>
        </w:rPr>
        <w:t>與台電公司</w:t>
      </w:r>
      <w:r w:rsidRPr="00AB2AD1">
        <w:rPr>
          <w:rFonts w:hAnsi="標楷體" w:hint="eastAsia"/>
          <w:szCs w:val="32"/>
        </w:rPr>
        <w:t>購售電合約，因係屬公司之重大事項，須先經台汽電公司董事會通過後，其法人代表始能於</w:t>
      </w:r>
      <w:r w:rsidR="003E3BDF" w:rsidRPr="00AB2AD1">
        <w:rPr>
          <w:rFonts w:hAnsi="標楷體" w:hint="eastAsia"/>
          <w:szCs w:val="32"/>
        </w:rPr>
        <w:t>該</w:t>
      </w:r>
      <w:r w:rsidRPr="00AB2AD1">
        <w:rPr>
          <w:rFonts w:hAnsi="標楷體" w:hint="eastAsia"/>
          <w:szCs w:val="32"/>
        </w:rPr>
        <w:t>4家電力公司，表決同意修</w:t>
      </w:r>
      <w:r w:rsidRPr="00AB2AD1">
        <w:rPr>
          <w:rFonts w:hAnsi="標楷體" w:hint="eastAsia"/>
        </w:rPr>
        <w:t>改</w:t>
      </w:r>
      <w:r w:rsidRPr="00AB2AD1">
        <w:rPr>
          <w:rFonts w:hAnsi="標楷體" w:hint="eastAsia"/>
          <w:szCs w:val="32"/>
        </w:rPr>
        <w:t>購售電合約，</w:t>
      </w:r>
      <w:r w:rsidR="003E3BDF" w:rsidRPr="00AB2AD1">
        <w:rPr>
          <w:rFonts w:hAnsi="標楷體" w:hint="eastAsia"/>
          <w:szCs w:val="32"/>
        </w:rPr>
        <w:t>且</w:t>
      </w:r>
      <w:r w:rsidR="00860049" w:rsidRPr="00AB2AD1">
        <w:rPr>
          <w:rFonts w:hAnsi="標楷體" w:hint="eastAsia"/>
          <w:szCs w:val="32"/>
        </w:rPr>
        <w:t>該</w:t>
      </w:r>
      <w:r w:rsidRPr="00AB2AD1">
        <w:rPr>
          <w:rFonts w:hAnsi="標楷體" w:hint="eastAsia"/>
          <w:szCs w:val="32"/>
        </w:rPr>
        <w:t>民營電力公司亦於台電公司及能源局所召開之協商及協處會議中，表達</w:t>
      </w:r>
      <w:r w:rsidRPr="00AB2AD1">
        <w:rPr>
          <w:rFonts w:hint="eastAsia"/>
        </w:rPr>
        <w:t>台電公司應先能說服台汽電公司支持</w:t>
      </w:r>
      <w:r w:rsidR="00860049" w:rsidRPr="00AB2AD1">
        <w:rPr>
          <w:rFonts w:hint="eastAsia"/>
        </w:rPr>
        <w:t>修約</w:t>
      </w:r>
      <w:r w:rsidRPr="00AB2AD1">
        <w:rPr>
          <w:rFonts w:hAnsi="標楷體" w:hint="eastAsia"/>
          <w:szCs w:val="32"/>
        </w:rPr>
        <w:t>，顯示台汽電公司對其轉投資之電力公司，是否配合修改購售電合約，確具有實質影響力；然台電公司明知</w:t>
      </w:r>
      <w:r w:rsidRPr="00AB2AD1">
        <w:rPr>
          <w:rFonts w:hint="eastAsia"/>
        </w:rPr>
        <w:t>主管財務、轉投資事業之副總經理</w:t>
      </w:r>
      <w:r w:rsidRPr="00AB2AD1">
        <w:rPr>
          <w:rFonts w:hAnsi="標楷體" w:hint="eastAsia"/>
          <w:szCs w:val="32"/>
        </w:rPr>
        <w:t>，對台汽電公司負有監督與管理之責任，而台汽電公司除與台電公司存有汽電共生之購售電合約關係外，其轉投資之森霸、星能、星元、國光等</w:t>
      </w:r>
      <w:r w:rsidR="008A202F" w:rsidRPr="00AB2AD1">
        <w:rPr>
          <w:rFonts w:hint="eastAsia"/>
        </w:rPr>
        <w:t>4家</w:t>
      </w:r>
      <w:r w:rsidRPr="00AB2AD1">
        <w:rPr>
          <w:rFonts w:hAnsi="標楷體" w:hint="eastAsia"/>
          <w:szCs w:val="32"/>
        </w:rPr>
        <w:t>民營電力公司，尚與台電公司進行調降購電費率之協商事宜，卻未依銓敘部函示，審慎衡酌</w:t>
      </w:r>
      <w:r w:rsidRPr="00AB2AD1">
        <w:rPr>
          <w:rFonts w:hint="eastAsia"/>
        </w:rPr>
        <w:t>該副總經理之</w:t>
      </w:r>
      <w:r w:rsidRPr="00AB2AD1">
        <w:rPr>
          <w:rFonts w:hAnsi="標楷體" w:hint="eastAsia"/>
          <w:szCs w:val="32"/>
        </w:rPr>
        <w:t>實際業務職掌等具體事實，</w:t>
      </w:r>
      <w:r w:rsidR="002B28B8" w:rsidRPr="00AB2AD1">
        <w:rPr>
          <w:rFonts w:hAnsi="標楷體" w:hint="eastAsia"/>
          <w:szCs w:val="32"/>
        </w:rPr>
        <w:t>竟以購電業務係由監督業務處之另位副總經理負責為由，即</w:t>
      </w:r>
      <w:r w:rsidRPr="00AB2AD1">
        <w:rPr>
          <w:rFonts w:hAnsi="標楷體" w:hint="eastAsia"/>
          <w:szCs w:val="32"/>
        </w:rPr>
        <w:t>認定無違反</w:t>
      </w:r>
      <w:r w:rsidR="008A202F" w:rsidRPr="00AB2AD1">
        <w:rPr>
          <w:rFonts w:hAnsi="標楷體" w:hint="eastAsia"/>
          <w:szCs w:val="32"/>
        </w:rPr>
        <w:t>「</w:t>
      </w:r>
      <w:r w:rsidRPr="00AB2AD1">
        <w:rPr>
          <w:rFonts w:hAnsi="標楷體" w:hint="eastAsia"/>
          <w:szCs w:val="32"/>
        </w:rPr>
        <w:t>公務員服務法</w:t>
      </w:r>
      <w:r w:rsidR="008A202F" w:rsidRPr="00AB2AD1">
        <w:rPr>
          <w:rFonts w:hAnsi="標楷體" w:hint="eastAsia"/>
          <w:szCs w:val="32"/>
        </w:rPr>
        <w:t>」</w:t>
      </w:r>
      <w:r w:rsidRPr="00AB2AD1">
        <w:rPr>
          <w:rFonts w:hAnsi="標楷體" w:hint="eastAsia"/>
          <w:szCs w:val="32"/>
        </w:rPr>
        <w:t>第14條之1規定，</w:t>
      </w:r>
      <w:r w:rsidRPr="00AB2AD1">
        <w:rPr>
          <w:rFonts w:hint="eastAsia"/>
        </w:rPr>
        <w:t>仍任其</w:t>
      </w:r>
      <w:r w:rsidRPr="00AB2AD1">
        <w:rPr>
          <w:rFonts w:hAnsi="標楷體" w:hint="eastAsia"/>
        </w:rPr>
        <w:t>以</w:t>
      </w:r>
      <w:r w:rsidR="002A4DED" w:rsidRPr="00AB2AD1">
        <w:rPr>
          <w:rFonts w:hAnsi="標楷體" w:hint="eastAsia"/>
        </w:rPr>
        <w:t>留資</w:t>
      </w:r>
      <w:r w:rsidRPr="00AB2AD1">
        <w:rPr>
          <w:rFonts w:hAnsi="標楷體" w:hint="eastAsia"/>
        </w:rPr>
        <w:t>停薪方式</w:t>
      </w:r>
      <w:r w:rsidRPr="00AB2AD1">
        <w:rPr>
          <w:rFonts w:hAnsi="標楷體" w:hint="eastAsia"/>
          <w:szCs w:val="32"/>
        </w:rPr>
        <w:t>，</w:t>
      </w:r>
      <w:r w:rsidRPr="00AB2AD1">
        <w:rPr>
          <w:rFonts w:hAnsi="標楷體" w:hint="eastAsia"/>
        </w:rPr>
        <w:t>派任其擔任</w:t>
      </w:r>
      <w:r w:rsidRPr="00AB2AD1">
        <w:rPr>
          <w:rFonts w:hint="eastAsia"/>
        </w:rPr>
        <w:t>具實質影響購售電合約修約</w:t>
      </w:r>
      <w:r w:rsidR="008A202F" w:rsidRPr="00AB2AD1">
        <w:rPr>
          <w:rFonts w:hint="eastAsia"/>
        </w:rPr>
        <w:t>作業</w:t>
      </w:r>
      <w:r w:rsidRPr="00AB2AD1">
        <w:rPr>
          <w:rFonts w:hint="eastAsia"/>
        </w:rPr>
        <w:t>之台汽電公司董事長</w:t>
      </w:r>
      <w:r w:rsidRPr="00AB2AD1">
        <w:rPr>
          <w:rFonts w:hAnsi="標楷體" w:hint="eastAsia"/>
        </w:rPr>
        <w:t>，</w:t>
      </w:r>
      <w:r w:rsidR="00726188" w:rsidRPr="00AB2AD1">
        <w:rPr>
          <w:rFonts w:hAnsi="標楷體" w:hint="eastAsia"/>
        </w:rPr>
        <w:t>且</w:t>
      </w:r>
      <w:r w:rsidR="008A202F" w:rsidRPr="00AB2AD1">
        <w:rPr>
          <w:rFonts w:hint="eastAsia"/>
        </w:rPr>
        <w:t>竟</w:t>
      </w:r>
      <w:r w:rsidR="00726188" w:rsidRPr="00AB2AD1">
        <w:rPr>
          <w:rFonts w:hint="eastAsia"/>
        </w:rPr>
        <w:t>未能維護台電公司之權益，積極促成所轉投資之4家</w:t>
      </w:r>
      <w:r w:rsidR="008A202F" w:rsidRPr="00AB2AD1">
        <w:rPr>
          <w:rFonts w:hAnsi="標楷體" w:hint="eastAsia"/>
          <w:szCs w:val="32"/>
        </w:rPr>
        <w:t>民營</w:t>
      </w:r>
      <w:r w:rsidR="00726188" w:rsidRPr="00AB2AD1">
        <w:rPr>
          <w:rFonts w:hAnsi="標楷體" w:hint="eastAsia"/>
          <w:szCs w:val="32"/>
        </w:rPr>
        <w:t>電力公司</w:t>
      </w:r>
      <w:r w:rsidR="00726188" w:rsidRPr="00AB2AD1">
        <w:rPr>
          <w:rFonts w:hint="eastAsia"/>
        </w:rPr>
        <w:t>，</w:t>
      </w:r>
      <w:r w:rsidR="00726188" w:rsidRPr="00AB2AD1">
        <w:rPr>
          <w:rFonts w:hAnsi="標楷體" w:hint="eastAsia"/>
          <w:szCs w:val="32"/>
        </w:rPr>
        <w:t>配合調降</w:t>
      </w:r>
      <w:r w:rsidR="008A202F" w:rsidRPr="00AB2AD1">
        <w:rPr>
          <w:rFonts w:hAnsi="標楷體" w:hint="eastAsia"/>
          <w:szCs w:val="32"/>
        </w:rPr>
        <w:t>購</w:t>
      </w:r>
      <w:r w:rsidR="00726188" w:rsidRPr="00AB2AD1">
        <w:rPr>
          <w:rFonts w:hAnsi="標楷體" w:hint="eastAsia"/>
          <w:szCs w:val="32"/>
        </w:rPr>
        <w:t>電費率之修約協商或協處等作業</w:t>
      </w:r>
      <w:r w:rsidR="00726188" w:rsidRPr="00AB2AD1">
        <w:rPr>
          <w:rFonts w:hAnsi="標楷體" w:hint="eastAsia"/>
        </w:rPr>
        <w:t>，</w:t>
      </w:r>
      <w:r w:rsidRPr="00AB2AD1">
        <w:rPr>
          <w:rFonts w:hAnsi="標楷體" w:hint="eastAsia"/>
          <w:szCs w:val="32"/>
        </w:rPr>
        <w:t>顯有未當。</w:t>
      </w:r>
    </w:p>
    <w:p w:rsidR="00DC1E25" w:rsidRPr="00AB2AD1" w:rsidRDefault="008B691A" w:rsidP="00FF16E8">
      <w:pPr>
        <w:pStyle w:val="2"/>
        <w:widowControl/>
        <w:numPr>
          <w:ilvl w:val="1"/>
          <w:numId w:val="2"/>
        </w:numPr>
        <w:kinsoku/>
        <w:spacing w:beforeLines="20"/>
        <w:ind w:left="1043"/>
        <w:rPr>
          <w:spacing w:val="-6"/>
        </w:rPr>
      </w:pPr>
      <w:bookmarkStart w:id="72" w:name="_Toc370719956"/>
      <w:r w:rsidRPr="00AB2AD1">
        <w:rPr>
          <w:rFonts w:hint="eastAsia"/>
          <w:szCs w:val="36"/>
        </w:rPr>
        <w:t>台電公司近年雖受國際燃料成本上揚等情，惟電價未隨同調整，致產生鉅額虧損，然因國內電力市場並未完全開放自由競爭，台電尚須負擔輸電、配電及輔助服務、政策性任務等成本，不無增加公司營運成本之虞，而民營發電業者因不需負擔前述成本，而卻仍有</w:t>
      </w:r>
      <w:r w:rsidRPr="00AB2AD1">
        <w:rPr>
          <w:rFonts w:hint="eastAsia"/>
          <w:szCs w:val="36"/>
        </w:rPr>
        <w:lastRenderedPageBreak/>
        <w:t>大幅盈餘，行政院允宜在考量國家整體能源政策之下，督促所屬推動國內電業之自由化，俾增加電業競爭與效率，以確實反應供需成本</w:t>
      </w:r>
      <w:r w:rsidR="00DC1E25" w:rsidRPr="00AB2AD1">
        <w:rPr>
          <w:rFonts w:hint="eastAsia"/>
          <w:spacing w:val="-6"/>
          <w:szCs w:val="36"/>
        </w:rPr>
        <w:t>。</w:t>
      </w:r>
      <w:bookmarkEnd w:id="72"/>
    </w:p>
    <w:p w:rsidR="009208E4" w:rsidRPr="00AB2AD1" w:rsidRDefault="00DC1E25" w:rsidP="00DC1E25">
      <w:pPr>
        <w:pStyle w:val="3"/>
        <w:widowControl/>
        <w:numPr>
          <w:ilvl w:val="2"/>
          <w:numId w:val="2"/>
        </w:numPr>
        <w:kinsoku/>
      </w:pPr>
      <w:r w:rsidRPr="00AB2AD1">
        <w:rPr>
          <w:rFonts w:hAnsi="標楷體" w:hint="eastAsia"/>
          <w:szCs w:val="32"/>
        </w:rPr>
        <w:t>查</w:t>
      </w:r>
      <w:r w:rsidRPr="00AB2AD1">
        <w:rPr>
          <w:rFonts w:hint="eastAsia"/>
        </w:rPr>
        <w:t>台灣地區電力供應之發電型態分為水力、火力(含燃煤、燃油、天然氣)、核能及再生能源(含風力、太陽能)等，電力自發電廠供應至用戶，</w:t>
      </w:r>
      <w:r w:rsidR="002A4C3D" w:rsidRPr="00AB2AD1">
        <w:rPr>
          <w:rFonts w:hint="eastAsia"/>
        </w:rPr>
        <w:t>尚須</w:t>
      </w:r>
      <w:r w:rsidRPr="00AB2AD1">
        <w:rPr>
          <w:rFonts w:hint="eastAsia"/>
        </w:rPr>
        <w:t>經過發電、輸電、配電</w:t>
      </w:r>
      <w:r w:rsidR="002A4C3D" w:rsidRPr="00AB2AD1">
        <w:rPr>
          <w:rFonts w:hint="eastAsia"/>
        </w:rPr>
        <w:t>等</w:t>
      </w:r>
      <w:r w:rsidRPr="00AB2AD1">
        <w:rPr>
          <w:rFonts w:hint="eastAsia"/>
        </w:rPr>
        <w:t>過程，然</w:t>
      </w:r>
      <w:r w:rsidRPr="00AB2AD1">
        <w:rPr>
          <w:rFonts w:hAnsi="標楷體"/>
          <w:szCs w:val="32"/>
        </w:rPr>
        <w:t>台電公司為國內唯一</w:t>
      </w:r>
      <w:r w:rsidRPr="00AB2AD1">
        <w:rPr>
          <w:rFonts w:ascii="Arial" w:cs="Arial"/>
          <w:bCs w:val="0"/>
          <w:kern w:val="2"/>
          <w:szCs w:val="20"/>
        </w:rPr>
        <w:t>涵</w:t>
      </w:r>
      <w:r w:rsidRPr="00AB2AD1">
        <w:rPr>
          <w:rFonts w:hAnsi="標楷體"/>
          <w:szCs w:val="32"/>
        </w:rPr>
        <w:t>蓋發電、輸電、配電之綜合電業，</w:t>
      </w:r>
      <w:r w:rsidRPr="00AB2AD1">
        <w:rPr>
          <w:rFonts w:hAnsi="標楷體" w:hint="eastAsia"/>
          <w:szCs w:val="32"/>
        </w:rPr>
        <w:t>其</w:t>
      </w:r>
      <w:r w:rsidRPr="00AB2AD1">
        <w:rPr>
          <w:rFonts w:hAnsi="標楷體"/>
          <w:szCs w:val="32"/>
        </w:rPr>
        <w:t>供電成本包括</w:t>
      </w:r>
      <w:r w:rsidRPr="00AB2AD1">
        <w:rPr>
          <w:rFonts w:hAnsi="標楷體" w:hint="eastAsia"/>
          <w:szCs w:val="32"/>
        </w:rPr>
        <w:t>：</w:t>
      </w:r>
      <w:r w:rsidRPr="00AB2AD1">
        <w:rPr>
          <w:rFonts w:hAnsi="標楷體"/>
          <w:szCs w:val="32"/>
        </w:rPr>
        <w:t>自發電力、購入電力、輸電、配電</w:t>
      </w:r>
      <w:r w:rsidRPr="00AB2AD1">
        <w:rPr>
          <w:rFonts w:hAnsi="標楷體" w:hint="eastAsia"/>
          <w:szCs w:val="32"/>
        </w:rPr>
        <w:t>等</w:t>
      </w:r>
      <w:r w:rsidRPr="00AB2AD1">
        <w:rPr>
          <w:rFonts w:hAnsi="標楷體"/>
          <w:szCs w:val="32"/>
        </w:rPr>
        <w:t>成本</w:t>
      </w:r>
      <w:r w:rsidRPr="00AB2AD1">
        <w:rPr>
          <w:rFonts w:hAnsi="標楷體" w:hint="eastAsia"/>
          <w:szCs w:val="32"/>
        </w:rPr>
        <w:t>；其中發電成本包含自發電</w:t>
      </w:r>
      <w:r w:rsidR="002A4C3D" w:rsidRPr="00AB2AD1">
        <w:rPr>
          <w:rFonts w:hAnsi="標楷體"/>
          <w:szCs w:val="32"/>
        </w:rPr>
        <w:t>力</w:t>
      </w:r>
      <w:r w:rsidRPr="00AB2AD1">
        <w:rPr>
          <w:rFonts w:hAnsi="標楷體" w:hint="eastAsia"/>
          <w:szCs w:val="32"/>
        </w:rPr>
        <w:t>成本及購入電力成本，自發電</w:t>
      </w:r>
      <w:r w:rsidR="002A4C3D" w:rsidRPr="00AB2AD1">
        <w:rPr>
          <w:rFonts w:hAnsi="標楷體"/>
          <w:szCs w:val="32"/>
        </w:rPr>
        <w:t>力</w:t>
      </w:r>
      <w:r w:rsidRPr="00AB2AD1">
        <w:rPr>
          <w:rFonts w:hAnsi="標楷體" w:hint="eastAsia"/>
          <w:szCs w:val="32"/>
        </w:rPr>
        <w:t>成本係指各</w:t>
      </w:r>
      <w:r w:rsidR="002A4C3D" w:rsidRPr="00AB2AD1">
        <w:rPr>
          <w:rFonts w:hAnsi="標楷體"/>
          <w:szCs w:val="32"/>
        </w:rPr>
        <w:t>發</w:t>
      </w:r>
      <w:r w:rsidRPr="00AB2AD1">
        <w:rPr>
          <w:rFonts w:hint="eastAsia"/>
        </w:rPr>
        <w:t>電廠及主管部門</w:t>
      </w:r>
      <w:r w:rsidR="002A4C3D" w:rsidRPr="00AB2AD1">
        <w:rPr>
          <w:rFonts w:hint="eastAsia"/>
        </w:rPr>
        <w:t>，</w:t>
      </w:r>
      <w:r w:rsidRPr="00AB2AD1">
        <w:rPr>
          <w:rFonts w:hint="eastAsia"/>
        </w:rPr>
        <w:t>為發電送</w:t>
      </w:r>
      <w:r w:rsidR="002A4C3D" w:rsidRPr="00AB2AD1">
        <w:rPr>
          <w:rFonts w:hint="eastAsia"/>
        </w:rPr>
        <w:t>至</w:t>
      </w:r>
      <w:r w:rsidRPr="00AB2AD1">
        <w:rPr>
          <w:rFonts w:hint="eastAsia"/>
        </w:rPr>
        <w:t>輸電端前所發生之成本，包括燃料、折舊、維護、其他營運費、後端費用、借款利息等成本，購入電力</w:t>
      </w:r>
      <w:r w:rsidR="002A4C3D" w:rsidRPr="00AB2AD1">
        <w:rPr>
          <w:rFonts w:hint="eastAsia"/>
        </w:rPr>
        <w:t>成本</w:t>
      </w:r>
      <w:r w:rsidRPr="00AB2AD1">
        <w:rPr>
          <w:rFonts w:hint="eastAsia"/>
        </w:rPr>
        <w:t>則</w:t>
      </w:r>
      <w:r w:rsidR="002A4C3D" w:rsidRPr="00AB2AD1">
        <w:rPr>
          <w:rFonts w:hint="eastAsia"/>
        </w:rPr>
        <w:t>為</w:t>
      </w:r>
      <w:r w:rsidRPr="00AB2AD1">
        <w:rPr>
          <w:rFonts w:hint="eastAsia"/>
        </w:rPr>
        <w:t>購買外界電力所支出之款項。另在部分國家</w:t>
      </w:r>
      <w:r w:rsidR="002A4C3D" w:rsidRPr="00AB2AD1">
        <w:rPr>
          <w:rFonts w:hint="eastAsia"/>
        </w:rPr>
        <w:t>在</w:t>
      </w:r>
      <w:r w:rsidRPr="00AB2AD1">
        <w:rPr>
          <w:rFonts w:hint="eastAsia"/>
        </w:rPr>
        <w:t>電業自由化之環境下，開放自由競爭之電力市場除提供「電能市場」交易外，尚需針對配合系統負載供需變化，設計一套「輔助服務」機制(如</w:t>
      </w:r>
      <w:r w:rsidR="00E3393F" w:rsidRPr="00AB2AD1">
        <w:rPr>
          <w:rFonts w:hint="eastAsia"/>
        </w:rPr>
        <w:t>調度、頻率控制、備轉容量、全黑啟動、不平衡電能、無效功率及電壓控制等服務</w:t>
      </w:r>
      <w:r w:rsidRPr="00AB2AD1">
        <w:rPr>
          <w:rFonts w:hint="eastAsia"/>
        </w:rPr>
        <w:t>，其中除調度服務項目</w:t>
      </w:r>
      <w:r w:rsidR="002A4C3D" w:rsidRPr="00AB2AD1">
        <w:rPr>
          <w:rFonts w:hint="eastAsia"/>
        </w:rPr>
        <w:t>係</w:t>
      </w:r>
      <w:r w:rsidRPr="00AB2AD1">
        <w:rPr>
          <w:rFonts w:hint="eastAsia"/>
        </w:rPr>
        <w:t>由輸電系統</w:t>
      </w:r>
      <w:r w:rsidR="002A4C3D" w:rsidRPr="00AB2AD1">
        <w:rPr>
          <w:rFonts w:hint="eastAsia"/>
        </w:rPr>
        <w:t>之</w:t>
      </w:r>
      <w:r w:rsidRPr="00AB2AD1">
        <w:rPr>
          <w:rFonts w:hint="eastAsia"/>
        </w:rPr>
        <w:t>調度單位提供外，其餘則由發電系統提供)</w:t>
      </w:r>
      <w:r w:rsidR="00E3393F" w:rsidRPr="00AB2AD1">
        <w:rPr>
          <w:rStyle w:val="afff"/>
        </w:rPr>
        <w:footnoteReference w:id="3"/>
      </w:r>
      <w:r w:rsidRPr="00AB2AD1">
        <w:rPr>
          <w:rFonts w:hint="eastAsia"/>
        </w:rPr>
        <w:t>，</w:t>
      </w:r>
      <w:r w:rsidR="002A4C3D" w:rsidRPr="00AB2AD1">
        <w:rPr>
          <w:rFonts w:hint="eastAsia"/>
        </w:rPr>
        <w:t>並</w:t>
      </w:r>
      <w:r w:rsidRPr="00AB2AD1">
        <w:rPr>
          <w:rFonts w:hint="eastAsia"/>
        </w:rPr>
        <w:t>由所有參與競價之發電機組分擔此一服務，以滿足系統供電之安全</w:t>
      </w:r>
      <w:r w:rsidR="009208E4" w:rsidRPr="00AB2AD1">
        <w:rPr>
          <w:rFonts w:hint="eastAsia"/>
        </w:rPr>
        <w:t>。</w:t>
      </w:r>
    </w:p>
    <w:p w:rsidR="00DC1E25" w:rsidRPr="00AB2AD1" w:rsidRDefault="00DC1E25" w:rsidP="00DC1E25">
      <w:pPr>
        <w:pStyle w:val="3"/>
        <w:widowControl/>
        <w:numPr>
          <w:ilvl w:val="2"/>
          <w:numId w:val="2"/>
        </w:numPr>
        <w:kinsoku/>
      </w:pPr>
      <w:r w:rsidRPr="00AB2AD1">
        <w:rPr>
          <w:rFonts w:hint="eastAsia"/>
        </w:rPr>
        <w:lastRenderedPageBreak/>
        <w:t>次查</w:t>
      </w:r>
      <w:r w:rsidR="009208E4" w:rsidRPr="00AB2AD1">
        <w:rPr>
          <w:rFonts w:hint="eastAsia"/>
        </w:rPr>
        <w:t>目前國內電業尚未自由化，</w:t>
      </w:r>
      <w:r w:rsidRPr="00AB2AD1">
        <w:rPr>
          <w:rFonts w:hint="eastAsia"/>
        </w:rPr>
        <w:t>台電公司為國內唯一綜合電業，負有供電安全義務</w:t>
      </w:r>
      <w:r w:rsidR="009208E4" w:rsidRPr="00AB2AD1">
        <w:rPr>
          <w:rFonts w:hint="eastAsia"/>
        </w:rPr>
        <w:t>，相關「輔助服務」機制均由該公司系統未滿載之發電機組提供，其成本均納入售電成本。</w:t>
      </w:r>
      <w:r w:rsidRPr="00AB2AD1">
        <w:rPr>
          <w:rFonts w:hint="eastAsia"/>
        </w:rPr>
        <w:t>在國內電力市場尚未完全開放自由競爭前，</w:t>
      </w:r>
      <w:r w:rsidR="009208E4" w:rsidRPr="00AB2AD1">
        <w:rPr>
          <w:rFonts w:hint="eastAsia"/>
        </w:rPr>
        <w:t>台電</w:t>
      </w:r>
      <w:r w:rsidRPr="00AB2AD1">
        <w:rPr>
          <w:rFonts w:hint="eastAsia"/>
        </w:rPr>
        <w:t>公司係依政府能源與電力政策及規定之備用容量率水準，以「整體系統供電成本最</w:t>
      </w:r>
      <w:r w:rsidR="00144C18" w:rsidRPr="00AB2AD1">
        <w:rPr>
          <w:rFonts w:hint="eastAsia"/>
        </w:rPr>
        <w:t>低</w:t>
      </w:r>
      <w:r w:rsidRPr="00AB2AD1">
        <w:rPr>
          <w:rFonts w:hint="eastAsia"/>
        </w:rPr>
        <w:t>」為原則</w:t>
      </w:r>
      <w:r w:rsidR="00144C18" w:rsidRPr="00AB2AD1">
        <w:rPr>
          <w:rFonts w:hint="eastAsia"/>
        </w:rPr>
        <w:t>，</w:t>
      </w:r>
      <w:r w:rsidRPr="00AB2AD1">
        <w:rPr>
          <w:rFonts w:hint="eastAsia"/>
        </w:rPr>
        <w:t>進行發電計畫之開發規劃。</w:t>
      </w:r>
      <w:r w:rsidR="00144C18" w:rsidRPr="00AB2AD1">
        <w:rPr>
          <w:rFonts w:hint="eastAsia"/>
        </w:rPr>
        <w:t>然</w:t>
      </w:r>
      <w:r w:rsidRPr="00AB2AD1">
        <w:rPr>
          <w:rFonts w:hint="eastAsia"/>
        </w:rPr>
        <w:t>電力需求係隨</w:t>
      </w:r>
      <w:r w:rsidR="00144C18" w:rsidRPr="00AB2AD1">
        <w:rPr>
          <w:rFonts w:hint="eastAsia"/>
        </w:rPr>
        <w:t>國人</w:t>
      </w:r>
      <w:r w:rsidRPr="00AB2AD1">
        <w:rPr>
          <w:rFonts w:hint="eastAsia"/>
        </w:rPr>
        <w:t>作息及氣溫變動而時刻在改變，</w:t>
      </w:r>
      <w:r w:rsidR="00144C18" w:rsidRPr="00AB2AD1">
        <w:rPr>
          <w:rFonts w:hint="eastAsia"/>
        </w:rPr>
        <w:t>而於</w:t>
      </w:r>
      <w:r w:rsidRPr="00AB2AD1">
        <w:rPr>
          <w:rFonts w:hint="eastAsia"/>
        </w:rPr>
        <w:t>電力須「即產即用，維持供需一致」之前提下，台電公司之電力調度係依據電力負載特性，以經濟調度為原則進行電力調度運轉，亦即配合負載特性準備基載、中載及尖載等各型機組，其中基載機組</w:t>
      </w:r>
      <w:r w:rsidR="00144C18" w:rsidRPr="00AB2AD1">
        <w:rPr>
          <w:rFonts w:hint="eastAsia"/>
        </w:rPr>
        <w:t>發電</w:t>
      </w:r>
      <w:r w:rsidRPr="00AB2AD1">
        <w:rPr>
          <w:rFonts w:hint="eastAsia"/>
        </w:rPr>
        <w:t>成本最低(如燃煤及核能機組)，為降低整體發電成本，該公司均</w:t>
      </w:r>
      <w:r w:rsidR="00144C18" w:rsidRPr="00AB2AD1">
        <w:rPr>
          <w:rFonts w:hint="eastAsia"/>
        </w:rPr>
        <w:t>使</w:t>
      </w:r>
      <w:r w:rsidRPr="00AB2AD1">
        <w:rPr>
          <w:rFonts w:hint="eastAsia"/>
        </w:rPr>
        <w:t>其滿載發電；中載機組成本次高(如燃氣及燃油機組)，其發電出力係依負載變動隨時調整，並提供備轉容量；尖載機組成本最高(如氣渦輪機、抽蓄水力及水庫水力</w:t>
      </w:r>
      <w:r w:rsidR="00144C18" w:rsidRPr="00AB2AD1">
        <w:rPr>
          <w:rFonts w:hint="eastAsia"/>
        </w:rPr>
        <w:t>機組</w:t>
      </w:r>
      <w:r w:rsidRPr="00AB2AD1">
        <w:rPr>
          <w:rFonts w:hint="eastAsia"/>
        </w:rPr>
        <w:t>)，則視當日負載需求，指令其在尖峰用電期間併聯發電或擔任備轉機組。台電公司表示：「未來國</w:t>
      </w:r>
      <w:r w:rsidR="00144C18" w:rsidRPr="00AB2AD1">
        <w:rPr>
          <w:rFonts w:hint="eastAsia"/>
        </w:rPr>
        <w:t>內</w:t>
      </w:r>
      <w:r w:rsidRPr="00AB2AD1">
        <w:rPr>
          <w:rFonts w:hint="eastAsia"/>
        </w:rPr>
        <w:t>如實施電業自由化，並成立『獨立電力調度中心』及『自由化市場交易機制』，會將備轉容量價值納入該市場機制內，各發電機組應如何分攤備轉容量成本之問題</w:t>
      </w:r>
      <w:r w:rsidR="002C439F" w:rsidRPr="00AB2AD1">
        <w:rPr>
          <w:rFonts w:hint="eastAsia"/>
        </w:rPr>
        <w:t>，</w:t>
      </w:r>
      <w:r w:rsidRPr="00AB2AD1">
        <w:rPr>
          <w:rFonts w:hint="eastAsia"/>
        </w:rPr>
        <w:t>亦將得以解決，且台電公司輸配線路應提供代輸，發</w:t>
      </w:r>
      <w:r w:rsidR="002C439F" w:rsidRPr="00AB2AD1">
        <w:rPr>
          <w:rFonts w:hint="eastAsia"/>
        </w:rPr>
        <w:t>、</w:t>
      </w:r>
      <w:r w:rsidRPr="00AB2AD1">
        <w:rPr>
          <w:rFonts w:hint="eastAsia"/>
        </w:rPr>
        <w:t>輸</w:t>
      </w:r>
      <w:r w:rsidR="002C439F" w:rsidRPr="00AB2AD1">
        <w:rPr>
          <w:rFonts w:hint="eastAsia"/>
        </w:rPr>
        <w:t>、</w:t>
      </w:r>
      <w:r w:rsidRPr="00AB2AD1">
        <w:rPr>
          <w:rFonts w:hint="eastAsia"/>
        </w:rPr>
        <w:t>配電成本應分離；至於輔助服務成本，目前正參考國外</w:t>
      </w:r>
      <w:r w:rsidR="002C439F" w:rsidRPr="00AB2AD1">
        <w:rPr>
          <w:rFonts w:hint="eastAsia"/>
        </w:rPr>
        <w:t>電業</w:t>
      </w:r>
      <w:r w:rsidRPr="00AB2AD1">
        <w:rPr>
          <w:rFonts w:hint="eastAsia"/>
        </w:rPr>
        <w:t>自由化</w:t>
      </w:r>
      <w:r w:rsidR="002C439F" w:rsidRPr="00AB2AD1">
        <w:rPr>
          <w:rFonts w:hint="eastAsia"/>
        </w:rPr>
        <w:t>之</w:t>
      </w:r>
      <w:r w:rsidRPr="00AB2AD1">
        <w:rPr>
          <w:rFonts w:hint="eastAsia"/>
        </w:rPr>
        <w:t>案例，研擬列於代輸成本</w:t>
      </w:r>
      <w:r w:rsidR="002C439F" w:rsidRPr="00AB2AD1">
        <w:rPr>
          <w:rFonts w:hint="eastAsia"/>
        </w:rPr>
        <w:t>，</w:t>
      </w:r>
      <w:r w:rsidRPr="00AB2AD1">
        <w:rPr>
          <w:rFonts w:hint="eastAsia"/>
        </w:rPr>
        <w:t>或由電力調度中心調度時，另列一項產品計收之可行性。」</w:t>
      </w:r>
    </w:p>
    <w:p w:rsidR="00DC1E25" w:rsidRPr="00AB2AD1" w:rsidRDefault="00DC1E25" w:rsidP="00DC1E25">
      <w:pPr>
        <w:pStyle w:val="3"/>
        <w:widowControl/>
        <w:numPr>
          <w:ilvl w:val="2"/>
          <w:numId w:val="2"/>
        </w:numPr>
        <w:kinsoku/>
        <w:rPr>
          <w:szCs w:val="32"/>
        </w:rPr>
      </w:pPr>
      <w:r w:rsidRPr="00AB2AD1">
        <w:rPr>
          <w:rFonts w:hint="eastAsia"/>
        </w:rPr>
        <w:t>再查行政院為推動</w:t>
      </w:r>
      <w:r w:rsidR="00144C18" w:rsidRPr="00AB2AD1">
        <w:rPr>
          <w:rFonts w:hint="eastAsia"/>
        </w:rPr>
        <w:t>國內</w:t>
      </w:r>
      <w:r w:rsidR="00856AFA" w:rsidRPr="00AB2AD1">
        <w:rPr>
          <w:rFonts w:hint="eastAsia"/>
        </w:rPr>
        <w:t>電業自由化</w:t>
      </w:r>
      <w:r w:rsidRPr="00AB2AD1">
        <w:rPr>
          <w:rFonts w:hint="eastAsia"/>
        </w:rPr>
        <w:t>，於84年9月將修正後</w:t>
      </w:r>
      <w:r w:rsidR="00856AFA" w:rsidRPr="00AB2AD1">
        <w:rPr>
          <w:rFonts w:hint="eastAsia"/>
        </w:rPr>
        <w:t>之電業法草案送請立法院審議，</w:t>
      </w:r>
      <w:r w:rsidRPr="00AB2AD1">
        <w:rPr>
          <w:rFonts w:hint="eastAsia"/>
        </w:rPr>
        <w:t>至87年底，</w:t>
      </w:r>
      <w:r w:rsidR="00856AFA" w:rsidRPr="00AB2AD1">
        <w:rPr>
          <w:rFonts w:hint="eastAsia"/>
        </w:rPr>
        <w:t>僅</w:t>
      </w:r>
      <w:r w:rsidRPr="00AB2AD1">
        <w:rPr>
          <w:rFonts w:hint="eastAsia"/>
        </w:rPr>
        <w:t>逐條審查至第72條條文，其中13條保留。</w:t>
      </w:r>
      <w:r w:rsidR="00856AFA" w:rsidRPr="00AB2AD1">
        <w:rPr>
          <w:rFonts w:hint="eastAsia"/>
        </w:rPr>
        <w:lastRenderedPageBreak/>
        <w:t>又</w:t>
      </w:r>
      <w:r w:rsidRPr="00AB2AD1">
        <w:rPr>
          <w:rFonts w:hint="eastAsia"/>
        </w:rPr>
        <w:t>依</w:t>
      </w:r>
      <w:smartTag w:uri="urn:schemas-microsoft-com:office:smarttags" w:element="chsdate">
        <w:smartTagPr>
          <w:attr w:name="Year" w:val="1988"/>
          <w:attr w:name="Month" w:val="1"/>
          <w:attr w:name="Day" w:val="25"/>
          <w:attr w:name="IsLunarDate" w:val="False"/>
          <w:attr w:name="IsROCDate" w:val="False"/>
        </w:smartTagPr>
        <w:r w:rsidRPr="00AB2AD1">
          <w:rPr>
            <w:rFonts w:hint="eastAsia"/>
          </w:rPr>
          <w:t>88年1月25日</w:t>
        </w:r>
      </w:smartTag>
      <w:r w:rsidRPr="00AB2AD1">
        <w:rPr>
          <w:rFonts w:hint="eastAsia"/>
        </w:rPr>
        <w:t>制定之「立法院職權行使法」第13條規定：「每屆立法委員任期屆滿時，除預(決)算案及人員請願案外，尚未議決之議案，下屆不予繼續審議。」因行政院84年所提送之電業法修正草案</w:t>
      </w:r>
      <w:r w:rsidR="00856AFA" w:rsidRPr="00AB2AD1">
        <w:rPr>
          <w:rFonts w:hint="eastAsia"/>
        </w:rPr>
        <w:t>，</w:t>
      </w:r>
      <w:r w:rsidRPr="00AB2AD1">
        <w:rPr>
          <w:rFonts w:hint="eastAsia"/>
        </w:rPr>
        <w:t>未能於第3屆立法委員任期內完成審議，須再重新送審。嗣行政院分別於</w:t>
      </w:r>
      <w:smartTag w:uri="urn:schemas-microsoft-com:office:smarttags" w:element="chsdate">
        <w:smartTagPr>
          <w:attr w:name="Year" w:val="1988"/>
          <w:attr w:name="Month" w:val="12"/>
          <w:attr w:name="Day" w:val="27"/>
          <w:attr w:name="IsLunarDate" w:val="False"/>
          <w:attr w:name="IsROCDate" w:val="False"/>
        </w:smartTagPr>
        <w:r w:rsidRPr="00AB2AD1">
          <w:rPr>
            <w:rFonts w:hint="eastAsia"/>
          </w:rPr>
          <w:t>88年12月27日</w:t>
        </w:r>
      </w:smartTag>
      <w:r w:rsidRPr="00AB2AD1">
        <w:rPr>
          <w:rFonts w:hint="eastAsia"/>
        </w:rPr>
        <w:t>、</w:t>
      </w:r>
      <w:smartTag w:uri="urn:schemas-microsoft-com:office:smarttags" w:element="chsdate">
        <w:smartTagPr>
          <w:attr w:name="Year" w:val="1991"/>
          <w:attr w:name="Month" w:val="5"/>
          <w:attr w:name="Day" w:val="6"/>
          <w:attr w:name="IsLunarDate" w:val="False"/>
          <w:attr w:name="IsROCDate" w:val="False"/>
        </w:smartTagPr>
        <w:r w:rsidRPr="00AB2AD1">
          <w:rPr>
            <w:rFonts w:hint="eastAsia"/>
          </w:rPr>
          <w:t>91年5月6日</w:t>
        </w:r>
      </w:smartTag>
      <w:r w:rsidRPr="00AB2AD1">
        <w:rPr>
          <w:rFonts w:hint="eastAsia"/>
        </w:rPr>
        <w:t>、96年9月26日及</w:t>
      </w:r>
      <w:smartTag w:uri="urn:schemas-microsoft-com:office:smarttags" w:element="chsdate">
        <w:smartTagPr>
          <w:attr w:name="Year" w:val="1997"/>
          <w:attr w:name="Month" w:val="2"/>
          <w:attr w:name="Day" w:val="15"/>
          <w:attr w:name="IsLunarDate" w:val="False"/>
          <w:attr w:name="IsROCDate" w:val="False"/>
        </w:smartTagPr>
        <w:r w:rsidRPr="00AB2AD1">
          <w:rPr>
            <w:rFonts w:hint="eastAsia"/>
          </w:rPr>
          <w:t>97年2月15日</w:t>
        </w:r>
      </w:smartTag>
      <w:r w:rsidRPr="00AB2AD1">
        <w:rPr>
          <w:rFonts w:hint="eastAsia"/>
        </w:rPr>
        <w:t>重新研擬修正後電業法草案，</w:t>
      </w:r>
      <w:r w:rsidR="00856AFA" w:rsidRPr="00AB2AD1">
        <w:rPr>
          <w:rFonts w:hint="eastAsia"/>
        </w:rPr>
        <w:t>分別</w:t>
      </w:r>
      <w:r w:rsidRPr="00AB2AD1">
        <w:rPr>
          <w:rFonts w:hint="eastAsia"/>
        </w:rPr>
        <w:t>送立法院審議，</w:t>
      </w:r>
      <w:r w:rsidR="00856AFA" w:rsidRPr="00AB2AD1">
        <w:rPr>
          <w:rFonts w:hint="eastAsia"/>
        </w:rPr>
        <w:t>然</w:t>
      </w:r>
      <w:r w:rsidRPr="00AB2AD1">
        <w:rPr>
          <w:rFonts w:hint="eastAsia"/>
        </w:rPr>
        <w:t>歷經4屆立法委員任期，均無法於委員任期屆滿前完成修法程序。又</w:t>
      </w:r>
      <w:r w:rsidRPr="00AB2AD1">
        <w:rPr>
          <w:rFonts w:hAnsi="標楷體"/>
          <w:bCs w:val="0"/>
          <w:szCs w:val="32"/>
        </w:rPr>
        <w:t>101年間經濟部因油電雙漲引發之台電公司經營改善問題，而召開多次會議討論電業自由化之推動方向</w:t>
      </w:r>
      <w:r w:rsidRPr="00AB2AD1">
        <w:rPr>
          <w:rFonts w:hint="eastAsia"/>
        </w:rPr>
        <w:t>，能源局依經濟部部長於101年8月21日油電小組第7次會議指示</w:t>
      </w:r>
      <w:r w:rsidR="00856AFA" w:rsidRPr="00AB2AD1">
        <w:rPr>
          <w:rFonts w:hint="eastAsia"/>
        </w:rPr>
        <w:t>，</w:t>
      </w:r>
      <w:r w:rsidRPr="00AB2AD1">
        <w:rPr>
          <w:rFonts w:hint="eastAsia"/>
        </w:rPr>
        <w:t>成立「電業自由化規劃小組」，</w:t>
      </w:r>
      <w:r w:rsidR="00856AFA" w:rsidRPr="00AB2AD1">
        <w:rPr>
          <w:rFonts w:hint="eastAsia"/>
        </w:rPr>
        <w:t>並</w:t>
      </w:r>
      <w:r w:rsidRPr="00AB2AD1">
        <w:rPr>
          <w:rFonts w:hint="eastAsia"/>
        </w:rPr>
        <w:t>邀請各界代表及學界專家共研議電業自由化推動方向，依該小組於101年10月12日至101年12月21日召開</w:t>
      </w:r>
      <w:r w:rsidR="00856AFA" w:rsidRPr="00AB2AD1">
        <w:rPr>
          <w:rFonts w:hint="eastAsia"/>
        </w:rPr>
        <w:t>之</w:t>
      </w:r>
      <w:r w:rsidRPr="00AB2AD1">
        <w:rPr>
          <w:rFonts w:hint="eastAsia"/>
        </w:rPr>
        <w:t>6次會議，電業自由化規劃方向為：開放發電業設置，並考量允許直供；開放電力網代輸，並成立電力調度中心；不適合開放輸、配電業；成立電業獨立管制機構，負責電業管制及費率審議相關議題等。</w:t>
      </w:r>
    </w:p>
    <w:p w:rsidR="00DC1E25" w:rsidRPr="00AB2AD1" w:rsidRDefault="00DC1E25" w:rsidP="00DC1E25">
      <w:pPr>
        <w:pStyle w:val="3"/>
        <w:widowControl/>
        <w:numPr>
          <w:ilvl w:val="2"/>
          <w:numId w:val="2"/>
        </w:numPr>
        <w:kinsoku/>
        <w:rPr>
          <w:szCs w:val="32"/>
        </w:rPr>
      </w:pPr>
      <w:r w:rsidRPr="00AB2AD1">
        <w:rPr>
          <w:rFonts w:hint="eastAsia"/>
        </w:rPr>
        <w:t>又台電公司除政策性任務負擔</w:t>
      </w:r>
      <w:r w:rsidR="008531DF" w:rsidRPr="00AB2AD1">
        <w:t>(</w:t>
      </w:r>
      <w:r w:rsidR="008531DF" w:rsidRPr="00AB2AD1">
        <w:rPr>
          <w:rFonts w:hint="eastAsia"/>
        </w:rPr>
        <w:t>如離島營運虧損</w:t>
      </w:r>
      <w:r w:rsidR="008531DF" w:rsidRPr="00AB2AD1">
        <w:t>)</w:t>
      </w:r>
      <w:r w:rsidRPr="00AB2AD1">
        <w:rPr>
          <w:rFonts w:hint="eastAsia"/>
        </w:rPr>
        <w:t>及購買汽電共生電力等義務外，且在購入民營電廠之電力後，尚須提供輸電、配電及相關輔助服務成本，始能</w:t>
      </w:r>
      <w:r w:rsidR="00202D63" w:rsidRPr="00AB2AD1">
        <w:rPr>
          <w:rFonts w:hint="eastAsia"/>
        </w:rPr>
        <w:t>將電力穩定及安全地供應</w:t>
      </w:r>
      <w:r w:rsidRPr="00AB2AD1">
        <w:rPr>
          <w:rFonts w:hint="eastAsia"/>
        </w:rPr>
        <w:t>至用戶端收取電費；又因</w:t>
      </w:r>
      <w:r w:rsidRPr="00AB2AD1">
        <w:t>92</w:t>
      </w:r>
      <w:r w:rsidRPr="00AB2AD1">
        <w:rPr>
          <w:rFonts w:hint="eastAsia"/>
        </w:rPr>
        <w:t>年至</w:t>
      </w:r>
      <w:r w:rsidRPr="00AB2AD1">
        <w:t>10</w:t>
      </w:r>
      <w:r w:rsidRPr="00AB2AD1">
        <w:rPr>
          <w:rFonts w:hint="eastAsia"/>
        </w:rPr>
        <w:t>1年以來，國際化石燃料價格上漲幅度高達199％至309％(石油、煤、天然氣分別上漲309％、268％、199％)，台電公司因配合政府發展潔淨能源政策，</w:t>
      </w:r>
      <w:r w:rsidR="00202D63" w:rsidRPr="00AB2AD1">
        <w:rPr>
          <w:rFonts w:hint="eastAsia"/>
        </w:rPr>
        <w:t>而</w:t>
      </w:r>
      <w:r w:rsidRPr="00AB2AD1">
        <w:rPr>
          <w:rFonts w:hint="eastAsia"/>
        </w:rPr>
        <w:t>增加高成本</w:t>
      </w:r>
      <w:r w:rsidR="00202D63" w:rsidRPr="00AB2AD1">
        <w:rPr>
          <w:rFonts w:hint="eastAsia"/>
        </w:rPr>
        <w:t>之</w:t>
      </w:r>
      <w:r w:rsidRPr="00AB2AD1">
        <w:rPr>
          <w:rFonts w:hint="eastAsia"/>
        </w:rPr>
        <w:t>燃氣發電配比，</w:t>
      </w:r>
      <w:r w:rsidR="00202D63" w:rsidRPr="00AB2AD1">
        <w:rPr>
          <w:rFonts w:hint="eastAsia"/>
        </w:rPr>
        <w:t>致</w:t>
      </w:r>
      <w:r w:rsidRPr="00AB2AD1">
        <w:rPr>
          <w:rFonts w:hint="eastAsia"/>
        </w:rPr>
        <w:t>使</w:t>
      </w:r>
      <w:r w:rsidRPr="00AB2AD1">
        <w:rPr>
          <w:rFonts w:ascii="Times New Roman" w:hAnsi="標楷體"/>
          <w:bCs w:val="0"/>
          <w:szCs w:val="32"/>
        </w:rPr>
        <w:t>基載機組不足</w:t>
      </w:r>
      <w:r w:rsidRPr="00AB2AD1">
        <w:rPr>
          <w:rFonts w:hint="eastAsia"/>
        </w:rPr>
        <w:t>，</w:t>
      </w:r>
      <w:r w:rsidR="00202D63" w:rsidRPr="00AB2AD1">
        <w:rPr>
          <w:rFonts w:hint="eastAsia"/>
        </w:rPr>
        <w:t>造成</w:t>
      </w:r>
      <w:r w:rsidRPr="00AB2AD1">
        <w:rPr>
          <w:rFonts w:ascii="Times New Roman" w:hAnsi="Times New Roman" w:hint="eastAsia"/>
          <w:szCs w:val="32"/>
        </w:rPr>
        <w:t>發電燃料及購電成本大幅增加，其成本已占電費收入比重達</w:t>
      </w:r>
      <w:r w:rsidRPr="00AB2AD1">
        <w:rPr>
          <w:rFonts w:ascii="Times New Roman" w:hAnsi="Times New Roman"/>
          <w:szCs w:val="32"/>
        </w:rPr>
        <w:t>7</w:t>
      </w:r>
      <w:r w:rsidRPr="00AB2AD1">
        <w:rPr>
          <w:rFonts w:ascii="Times New Roman" w:hAnsi="Times New Roman" w:hint="eastAsia"/>
          <w:szCs w:val="32"/>
        </w:rPr>
        <w:t>成，然同</w:t>
      </w:r>
      <w:r w:rsidRPr="00AB2AD1">
        <w:rPr>
          <w:rFonts w:ascii="Times New Roman" w:hAnsi="Times New Roman" w:hint="eastAsia"/>
          <w:szCs w:val="32"/>
        </w:rPr>
        <w:lastRenderedPageBreak/>
        <w:t>期間平均電價僅增加</w:t>
      </w:r>
      <w:r w:rsidRPr="00AB2AD1">
        <w:rPr>
          <w:rFonts w:ascii="Times New Roman" w:hAnsi="Times New Roman"/>
          <w:szCs w:val="32"/>
        </w:rPr>
        <w:t>26</w:t>
      </w:r>
      <w:r w:rsidRPr="00AB2AD1">
        <w:rPr>
          <w:rFonts w:ascii="Times New Roman" w:hAnsi="Times New Roman" w:hint="eastAsia"/>
          <w:szCs w:val="32"/>
        </w:rPr>
        <w:t>％，自</w:t>
      </w:r>
      <w:r w:rsidRPr="00AB2AD1">
        <w:rPr>
          <w:rFonts w:ascii="Times New Roman" w:hAnsi="Times New Roman"/>
          <w:szCs w:val="32"/>
        </w:rPr>
        <w:t>92</w:t>
      </w:r>
      <w:r w:rsidRPr="00AB2AD1">
        <w:rPr>
          <w:rFonts w:ascii="Times New Roman" w:hAnsi="Times New Roman" w:hint="eastAsia"/>
          <w:szCs w:val="32"/>
        </w:rPr>
        <w:t>年起該公司獲利即大幅減少，</w:t>
      </w:r>
      <w:r w:rsidRPr="00AB2AD1">
        <w:rPr>
          <w:rFonts w:ascii="Times New Roman" w:hAnsi="Times New Roman"/>
          <w:szCs w:val="32"/>
        </w:rPr>
        <w:t>95</w:t>
      </w:r>
      <w:r w:rsidRPr="00AB2AD1">
        <w:rPr>
          <w:rFonts w:ascii="Times New Roman" w:hAnsi="Times New Roman" w:hint="eastAsia"/>
          <w:szCs w:val="32"/>
        </w:rPr>
        <w:t>年更首度產生虧損，迄今仍持續虧損，截至</w:t>
      </w:r>
      <w:r w:rsidRPr="00AB2AD1">
        <w:rPr>
          <w:rFonts w:ascii="Times New Roman" w:hAnsi="Times New Roman" w:hint="eastAsia"/>
          <w:szCs w:val="32"/>
        </w:rPr>
        <w:t>101</w:t>
      </w:r>
      <w:r w:rsidRPr="00AB2AD1">
        <w:rPr>
          <w:rFonts w:ascii="Times New Roman" w:hAnsi="Times New Roman" w:hint="eastAsia"/>
          <w:szCs w:val="32"/>
        </w:rPr>
        <w:t>年度已連續虧損</w:t>
      </w:r>
      <w:r w:rsidRPr="00AB2AD1">
        <w:rPr>
          <w:rFonts w:ascii="Times New Roman" w:hAnsi="Times New Roman" w:hint="eastAsia"/>
          <w:szCs w:val="32"/>
        </w:rPr>
        <w:t>7</w:t>
      </w:r>
      <w:r w:rsidRPr="00AB2AD1">
        <w:rPr>
          <w:rFonts w:ascii="Times New Roman" w:hAnsi="Times New Roman" w:hint="eastAsia"/>
          <w:szCs w:val="32"/>
        </w:rPr>
        <w:t>個年度，</w:t>
      </w:r>
      <w:r w:rsidR="00202D63" w:rsidRPr="00AB2AD1">
        <w:rPr>
          <w:rFonts w:ascii="Times New Roman" w:hAnsi="Times New Roman" w:hint="eastAsia"/>
          <w:szCs w:val="32"/>
        </w:rPr>
        <w:t>累計</w:t>
      </w:r>
      <w:r w:rsidRPr="00AB2AD1">
        <w:rPr>
          <w:rFonts w:ascii="Times New Roman" w:hAnsi="Times New Roman" w:hint="eastAsia"/>
          <w:szCs w:val="32"/>
        </w:rPr>
        <w:t>虧損金額高達</w:t>
      </w:r>
      <w:r w:rsidRPr="00AB2AD1">
        <w:rPr>
          <w:rFonts w:ascii="Times New Roman" w:hAnsi="Times New Roman" w:hint="eastAsia"/>
          <w:szCs w:val="32"/>
        </w:rPr>
        <w:t>2,658</w:t>
      </w:r>
      <w:r w:rsidRPr="00AB2AD1">
        <w:rPr>
          <w:rFonts w:ascii="Times New Roman" w:hAnsi="Times New Roman" w:hint="eastAsia"/>
          <w:szCs w:val="32"/>
        </w:rPr>
        <w:t>億餘元，經</w:t>
      </w:r>
      <w:r w:rsidR="008531DF" w:rsidRPr="00AB2AD1">
        <w:rPr>
          <w:rFonts w:ascii="Times New Roman" w:hAnsi="Times New Roman" w:hint="eastAsia"/>
          <w:szCs w:val="32"/>
        </w:rPr>
        <w:t>該公司</w:t>
      </w:r>
      <w:r w:rsidRPr="00AB2AD1">
        <w:rPr>
          <w:rFonts w:ascii="Times New Roman" w:hAnsi="Times New Roman" w:hint="eastAsia"/>
          <w:szCs w:val="32"/>
        </w:rPr>
        <w:t>撥用以前年度盈餘及法定公積彌補後，帳上仍有待填補</w:t>
      </w:r>
      <w:r w:rsidR="008531DF" w:rsidRPr="00AB2AD1">
        <w:rPr>
          <w:rFonts w:ascii="Times New Roman" w:hAnsi="Times New Roman" w:hint="eastAsia"/>
          <w:szCs w:val="32"/>
        </w:rPr>
        <w:t>之</w:t>
      </w:r>
      <w:r w:rsidRPr="00AB2AD1">
        <w:rPr>
          <w:rFonts w:ascii="Times New Roman" w:hAnsi="Times New Roman" w:hint="eastAsia"/>
          <w:szCs w:val="32"/>
        </w:rPr>
        <w:t>累積虧損</w:t>
      </w:r>
      <w:r w:rsidR="008531DF" w:rsidRPr="00AB2AD1">
        <w:rPr>
          <w:rFonts w:ascii="Times New Roman" w:hAnsi="Times New Roman" w:hint="eastAsia"/>
          <w:szCs w:val="32"/>
        </w:rPr>
        <w:t>為</w:t>
      </w:r>
      <w:r w:rsidRPr="00AB2AD1">
        <w:rPr>
          <w:rFonts w:ascii="Times New Roman" w:hAnsi="Times New Roman" w:hint="eastAsia"/>
          <w:szCs w:val="32"/>
        </w:rPr>
        <w:t>1,931</w:t>
      </w:r>
      <w:r w:rsidRPr="00AB2AD1">
        <w:rPr>
          <w:rFonts w:ascii="Times New Roman" w:hAnsi="Times New Roman" w:hint="eastAsia"/>
          <w:szCs w:val="32"/>
        </w:rPr>
        <w:t>億餘元</w:t>
      </w:r>
      <w:r w:rsidR="005334BF" w:rsidRPr="00AB2AD1">
        <w:rPr>
          <w:rFonts w:ascii="Times New Roman" w:hAnsi="Times New Roman" w:hint="eastAsia"/>
          <w:szCs w:val="32"/>
        </w:rPr>
        <w:t>，</w:t>
      </w:r>
      <w:r w:rsidR="005334BF" w:rsidRPr="00AB2AD1">
        <w:rPr>
          <w:rFonts w:hAnsi="標楷體" w:hint="eastAsia"/>
          <w:szCs w:val="32"/>
        </w:rPr>
        <w:t>台電公司主管人員於本院約詢時陳稱：「民營發電業者</w:t>
      </w:r>
      <w:r w:rsidR="005334BF" w:rsidRPr="00AB2AD1">
        <w:rPr>
          <w:rFonts w:hint="eastAsia"/>
        </w:rPr>
        <w:t>效率好、人也用的比台電少，92年起燃料大幅上漲，所以燃料成本大漲，所以包括台電自發電力及</w:t>
      </w:r>
      <w:r w:rsidR="005334BF" w:rsidRPr="00AB2AD1">
        <w:rPr>
          <w:rFonts w:hAnsi="標楷體" w:hint="eastAsia"/>
          <w:szCs w:val="32"/>
        </w:rPr>
        <w:t>業者</w:t>
      </w:r>
      <w:r w:rsidR="005334BF" w:rsidRPr="00AB2AD1">
        <w:rPr>
          <w:rFonts w:hint="eastAsia"/>
        </w:rPr>
        <w:t>的燃料成本，都由台電在吸收，但電價又不能漲價</w:t>
      </w:r>
      <w:r w:rsidR="005334BF" w:rsidRPr="00AB2AD1">
        <w:rPr>
          <w:rFonts w:ascii="Times New Roman" w:hAnsi="Times New Roman" w:hint="eastAsia"/>
          <w:szCs w:val="32"/>
        </w:rPr>
        <w:t>。</w:t>
      </w:r>
      <w:r w:rsidR="005334BF" w:rsidRPr="00AB2AD1">
        <w:rPr>
          <w:rFonts w:hAnsi="標楷體" w:hint="eastAsia"/>
          <w:szCs w:val="32"/>
        </w:rPr>
        <w:t>」</w:t>
      </w:r>
      <w:r w:rsidR="003821EB" w:rsidRPr="00AB2AD1">
        <w:rPr>
          <w:rFonts w:hAnsi="標楷體" w:hint="eastAsia"/>
          <w:szCs w:val="32"/>
        </w:rPr>
        <w:t>又</w:t>
      </w:r>
      <w:r w:rsidR="003821EB" w:rsidRPr="00AB2AD1">
        <w:rPr>
          <w:rFonts w:hint="eastAsia"/>
        </w:rPr>
        <w:t>據</w:t>
      </w:r>
      <w:r w:rsidR="00BF5907" w:rsidRPr="00AB2AD1">
        <w:rPr>
          <w:rFonts w:hint="eastAsia"/>
        </w:rPr>
        <w:t>9家</w:t>
      </w:r>
      <w:r w:rsidR="003821EB" w:rsidRPr="00AB2AD1">
        <w:rPr>
          <w:rFonts w:hint="eastAsia"/>
        </w:rPr>
        <w:t>民營電力公司提供之資料顯示，於99至101年度共獲利達</w:t>
      </w:r>
      <w:r w:rsidR="00BF5907" w:rsidRPr="00AB2AD1">
        <w:rPr>
          <w:rFonts w:hint="eastAsia"/>
        </w:rPr>
        <w:t>445</w:t>
      </w:r>
      <w:r w:rsidR="003821EB" w:rsidRPr="00AB2AD1">
        <w:rPr>
          <w:rFonts w:hint="eastAsia"/>
        </w:rPr>
        <w:t>億餘元</w:t>
      </w:r>
      <w:r w:rsidRPr="00AB2AD1">
        <w:rPr>
          <w:rFonts w:hAnsi="標楷體" w:hint="eastAsia"/>
        </w:rPr>
        <w:t>，台電公司卻虧損高達1,538億餘元。</w:t>
      </w:r>
    </w:p>
    <w:p w:rsidR="0004629F" w:rsidRPr="00AB2AD1" w:rsidRDefault="0004629F" w:rsidP="00DC1E25">
      <w:pPr>
        <w:pStyle w:val="3"/>
        <w:widowControl/>
        <w:numPr>
          <w:ilvl w:val="2"/>
          <w:numId w:val="2"/>
        </w:numPr>
        <w:kinsoku/>
        <w:rPr>
          <w:rFonts w:ascii="Arial" w:cs="Arial"/>
        </w:rPr>
      </w:pPr>
      <w:r w:rsidRPr="00AB2AD1">
        <w:rPr>
          <w:rFonts w:hint="eastAsia"/>
        </w:rPr>
        <w:t>綜上，台電公司為國內唯一綜合電業，負有供電安全之義務，在國內電力市場尚未完全自由</w:t>
      </w:r>
      <w:r w:rsidR="008531DF" w:rsidRPr="00AB2AD1">
        <w:rPr>
          <w:rFonts w:hint="eastAsia"/>
        </w:rPr>
        <w:t>化之</w:t>
      </w:r>
      <w:r w:rsidRPr="00AB2AD1">
        <w:rPr>
          <w:rFonts w:hint="eastAsia"/>
        </w:rPr>
        <w:t>前，該公司尚須負擔輸電、配電、輔助服務與政策性任務等成本，然近</w:t>
      </w:r>
      <w:r w:rsidRPr="00AB2AD1">
        <w:t>10</w:t>
      </w:r>
      <w:r w:rsidRPr="00AB2AD1">
        <w:rPr>
          <w:rFonts w:hint="eastAsia"/>
        </w:rPr>
        <w:t>年</w:t>
      </w:r>
      <w:r w:rsidR="008531DF" w:rsidRPr="00AB2AD1">
        <w:rPr>
          <w:rFonts w:hint="eastAsia"/>
        </w:rPr>
        <w:t>以來</w:t>
      </w:r>
      <w:r w:rsidRPr="00AB2AD1">
        <w:rPr>
          <w:rFonts w:hint="eastAsia"/>
        </w:rPr>
        <w:t>，因國際化石燃料價格</w:t>
      </w:r>
      <w:r w:rsidR="008531DF" w:rsidRPr="00AB2AD1">
        <w:rPr>
          <w:rFonts w:hint="eastAsia"/>
        </w:rPr>
        <w:t>已</w:t>
      </w:r>
      <w:r w:rsidRPr="00AB2AD1">
        <w:rPr>
          <w:rFonts w:hint="eastAsia"/>
        </w:rPr>
        <w:t>上漲約達</w:t>
      </w:r>
      <w:r w:rsidRPr="00AB2AD1">
        <w:t>2</w:t>
      </w:r>
      <w:r w:rsidRPr="00AB2AD1">
        <w:rPr>
          <w:rFonts w:hint="eastAsia"/>
        </w:rPr>
        <w:t>至</w:t>
      </w:r>
      <w:r w:rsidRPr="00AB2AD1">
        <w:t>3</w:t>
      </w:r>
      <w:r w:rsidRPr="00AB2AD1">
        <w:rPr>
          <w:rFonts w:hint="eastAsia"/>
        </w:rPr>
        <w:t>倍，該公司售電價格卻僅增加</w:t>
      </w:r>
      <w:r w:rsidRPr="00AB2AD1">
        <w:t>26</w:t>
      </w:r>
      <w:r w:rsidRPr="00AB2AD1">
        <w:rPr>
          <w:rFonts w:hint="eastAsia"/>
        </w:rPr>
        <w:t>％，因</w:t>
      </w:r>
      <w:r w:rsidR="008531DF" w:rsidRPr="00AB2AD1">
        <w:rPr>
          <w:rFonts w:hint="eastAsia"/>
        </w:rPr>
        <w:t>其</w:t>
      </w:r>
      <w:r w:rsidRPr="00AB2AD1">
        <w:rPr>
          <w:rFonts w:hint="eastAsia"/>
        </w:rPr>
        <w:t>發電燃料及購電成本已占電費收入比重達</w:t>
      </w:r>
      <w:r w:rsidRPr="00AB2AD1">
        <w:t>7</w:t>
      </w:r>
      <w:r w:rsidRPr="00AB2AD1">
        <w:rPr>
          <w:rFonts w:hint="eastAsia"/>
        </w:rPr>
        <w:t>成，致該公司自</w:t>
      </w:r>
      <w:r w:rsidRPr="00AB2AD1">
        <w:t>95</w:t>
      </w:r>
      <w:r w:rsidR="008531DF" w:rsidRPr="00AB2AD1">
        <w:rPr>
          <w:rFonts w:hint="eastAsia"/>
        </w:rPr>
        <w:t>年</w:t>
      </w:r>
      <w:r w:rsidRPr="00AB2AD1">
        <w:rPr>
          <w:rFonts w:hint="eastAsia"/>
        </w:rPr>
        <w:t>起</w:t>
      </w:r>
      <w:r w:rsidR="008531DF" w:rsidRPr="00AB2AD1">
        <w:rPr>
          <w:rFonts w:hint="eastAsia"/>
        </w:rPr>
        <w:t>即</w:t>
      </w:r>
      <w:r w:rsidRPr="00AB2AD1">
        <w:rPr>
          <w:rFonts w:hint="eastAsia"/>
        </w:rPr>
        <w:t>開始虧損，</w:t>
      </w:r>
      <w:r w:rsidRPr="00AB2AD1">
        <w:t>99</w:t>
      </w:r>
      <w:r w:rsidRPr="00AB2AD1">
        <w:rPr>
          <w:rFonts w:hint="eastAsia"/>
        </w:rPr>
        <w:t>年至</w:t>
      </w:r>
      <w:r w:rsidRPr="00AB2AD1">
        <w:t>101</w:t>
      </w:r>
      <w:r w:rsidRPr="00AB2AD1">
        <w:rPr>
          <w:rFonts w:hint="eastAsia"/>
        </w:rPr>
        <w:t>年之</w:t>
      </w:r>
      <w:r w:rsidRPr="00AB2AD1">
        <w:t>3</w:t>
      </w:r>
      <w:r w:rsidRPr="00AB2AD1">
        <w:rPr>
          <w:rFonts w:hint="eastAsia"/>
        </w:rPr>
        <w:t>年間</w:t>
      </w:r>
      <w:r w:rsidR="008531DF" w:rsidRPr="00AB2AD1">
        <w:rPr>
          <w:rFonts w:hint="eastAsia"/>
        </w:rPr>
        <w:t>之</w:t>
      </w:r>
      <w:r w:rsidRPr="00AB2AD1">
        <w:rPr>
          <w:rFonts w:hint="eastAsia"/>
        </w:rPr>
        <w:t>虧損金額</w:t>
      </w:r>
      <w:r w:rsidR="008531DF" w:rsidRPr="00AB2AD1">
        <w:rPr>
          <w:rFonts w:hint="eastAsia"/>
        </w:rPr>
        <w:t>竟</w:t>
      </w:r>
      <w:r w:rsidRPr="00AB2AD1">
        <w:rPr>
          <w:rFonts w:hint="eastAsia"/>
        </w:rPr>
        <w:t>達</w:t>
      </w:r>
      <w:r w:rsidRPr="00AB2AD1">
        <w:t>1,538</w:t>
      </w:r>
      <w:r w:rsidRPr="00AB2AD1">
        <w:rPr>
          <w:rFonts w:hint="eastAsia"/>
        </w:rPr>
        <w:t>億餘元；反觀台電公司向民營發電業者所購入之電力，因購電費率可配合國際燃料價格漲跌而調整，而不受國際燃料價格大幅上漲之影響，且民營</w:t>
      </w:r>
      <w:r w:rsidR="00FC106F" w:rsidRPr="00AB2AD1">
        <w:rPr>
          <w:rFonts w:hint="eastAsia"/>
        </w:rPr>
        <w:t>發電業者</w:t>
      </w:r>
      <w:r w:rsidR="008531DF" w:rsidRPr="00AB2AD1">
        <w:rPr>
          <w:rFonts w:hint="eastAsia"/>
        </w:rPr>
        <w:t>更</w:t>
      </w:r>
      <w:r w:rsidRPr="00AB2AD1">
        <w:rPr>
          <w:rFonts w:hint="eastAsia"/>
        </w:rPr>
        <w:t>不須負擔輸電、配電及輔助服務</w:t>
      </w:r>
      <w:r w:rsidR="008531DF" w:rsidRPr="00AB2AD1">
        <w:rPr>
          <w:rFonts w:hint="eastAsia"/>
        </w:rPr>
        <w:t>與政策性任務等成本，因此仍</w:t>
      </w:r>
      <w:r w:rsidRPr="00AB2AD1">
        <w:rPr>
          <w:rFonts w:hint="eastAsia"/>
        </w:rPr>
        <w:t>有大幅之盈餘。又電業若自由化後，台電公司或可免除優惠電價等政策性負擔、解除購入汽電共生電力之義務，以及民營</w:t>
      </w:r>
      <w:r w:rsidR="00FC106F" w:rsidRPr="00AB2AD1">
        <w:rPr>
          <w:rFonts w:hint="eastAsia"/>
        </w:rPr>
        <w:t>發電業者</w:t>
      </w:r>
      <w:r w:rsidRPr="00AB2AD1">
        <w:rPr>
          <w:rFonts w:hint="eastAsia"/>
        </w:rPr>
        <w:t>得與台電公司協議解除購售電合約等，惟行政院於</w:t>
      </w:r>
      <w:r w:rsidRPr="00AB2AD1">
        <w:t>84</w:t>
      </w:r>
      <w:r w:rsidRPr="00AB2AD1">
        <w:rPr>
          <w:rFonts w:hint="eastAsia"/>
        </w:rPr>
        <w:t>年</w:t>
      </w:r>
      <w:r w:rsidRPr="00AB2AD1">
        <w:t>9</w:t>
      </w:r>
      <w:r w:rsidRPr="00AB2AD1">
        <w:rPr>
          <w:rFonts w:hint="eastAsia"/>
        </w:rPr>
        <w:t>月將電業法草案送請立法院審議</w:t>
      </w:r>
      <w:r w:rsidR="008531DF" w:rsidRPr="00AB2AD1">
        <w:rPr>
          <w:rFonts w:hint="eastAsia"/>
        </w:rPr>
        <w:t>後</w:t>
      </w:r>
      <w:r w:rsidRPr="00AB2AD1">
        <w:rPr>
          <w:rFonts w:hint="eastAsia"/>
        </w:rPr>
        <w:t>，歷經</w:t>
      </w:r>
      <w:r w:rsidRPr="00AB2AD1">
        <w:t>4</w:t>
      </w:r>
      <w:r w:rsidRPr="00AB2AD1">
        <w:rPr>
          <w:rFonts w:hint="eastAsia"/>
        </w:rPr>
        <w:t>屆立法委員任期，迄今已五進五出</w:t>
      </w:r>
      <w:r w:rsidRPr="00AB2AD1">
        <w:t>(84</w:t>
      </w:r>
      <w:r w:rsidRPr="00AB2AD1">
        <w:rPr>
          <w:rFonts w:hint="eastAsia"/>
        </w:rPr>
        <w:t>、</w:t>
      </w:r>
      <w:r w:rsidRPr="00AB2AD1">
        <w:t>88</w:t>
      </w:r>
      <w:r w:rsidRPr="00AB2AD1">
        <w:rPr>
          <w:rFonts w:hint="eastAsia"/>
        </w:rPr>
        <w:t>、</w:t>
      </w:r>
      <w:r w:rsidRPr="00AB2AD1">
        <w:t>91</w:t>
      </w:r>
      <w:r w:rsidRPr="00AB2AD1">
        <w:rPr>
          <w:rFonts w:hint="eastAsia"/>
        </w:rPr>
        <w:t>、</w:t>
      </w:r>
      <w:r w:rsidRPr="00AB2AD1">
        <w:t>96</w:t>
      </w:r>
      <w:r w:rsidRPr="00AB2AD1">
        <w:rPr>
          <w:rFonts w:hint="eastAsia"/>
        </w:rPr>
        <w:t>及</w:t>
      </w:r>
      <w:r w:rsidRPr="00AB2AD1">
        <w:t>97</w:t>
      </w:r>
      <w:r w:rsidRPr="00AB2AD1">
        <w:rPr>
          <w:rFonts w:hint="eastAsia"/>
        </w:rPr>
        <w:t>年</w:t>
      </w:r>
      <w:r w:rsidRPr="00AB2AD1">
        <w:t>)</w:t>
      </w:r>
      <w:r w:rsidRPr="00AB2AD1">
        <w:rPr>
          <w:rFonts w:hint="eastAsia"/>
        </w:rPr>
        <w:t>，均無</w:t>
      </w:r>
      <w:r w:rsidRPr="00AB2AD1">
        <w:rPr>
          <w:rFonts w:hint="eastAsia"/>
        </w:rPr>
        <w:lastRenderedPageBreak/>
        <w:t>法於委員任期屆滿前完成修法程序。行政院允宜在考量國家整體能源政策之下，督促所屬推動國內電業之自由化，民營電廠、汽電共生及再生能源等業者</w:t>
      </w:r>
      <w:r w:rsidR="008531DF" w:rsidRPr="00AB2AD1">
        <w:rPr>
          <w:rFonts w:hint="eastAsia"/>
        </w:rPr>
        <w:t>，亦</w:t>
      </w:r>
      <w:r w:rsidRPr="00AB2AD1">
        <w:rPr>
          <w:rFonts w:hint="eastAsia"/>
        </w:rPr>
        <w:t>可就近直接售電予用戶，以降低線路損失及分散電源，或委由台電公司電力網代輸電力</w:t>
      </w:r>
      <w:r w:rsidR="008531DF" w:rsidRPr="00AB2AD1">
        <w:rPr>
          <w:rFonts w:hint="eastAsia"/>
        </w:rPr>
        <w:t>售予用戶，並負擔相關輸電、配電及輔助服務等成本，以透過自由競爭</w:t>
      </w:r>
      <w:r w:rsidRPr="00AB2AD1">
        <w:rPr>
          <w:rFonts w:hint="eastAsia"/>
        </w:rPr>
        <w:t>增加電業</w:t>
      </w:r>
      <w:r w:rsidR="008531DF" w:rsidRPr="00AB2AD1">
        <w:rPr>
          <w:rFonts w:hint="eastAsia"/>
        </w:rPr>
        <w:t>之</w:t>
      </w:r>
      <w:r w:rsidRPr="00AB2AD1">
        <w:rPr>
          <w:rFonts w:hint="eastAsia"/>
        </w:rPr>
        <w:t>競爭與效率，俾能確實反應供需成本。</w:t>
      </w:r>
    </w:p>
    <w:p w:rsidR="00DC1E25" w:rsidRPr="00AB2AD1" w:rsidRDefault="00DC1E25" w:rsidP="00E32BA8">
      <w:pPr>
        <w:pStyle w:val="3"/>
        <w:numPr>
          <w:ilvl w:val="0"/>
          <w:numId w:val="0"/>
        </w:numPr>
        <w:kinsoku/>
        <w:ind w:leftChars="276" w:left="1623" w:hangingChars="201" w:hanging="684"/>
      </w:pPr>
    </w:p>
    <w:p w:rsidR="00360C57" w:rsidRDefault="00360C57" w:rsidP="00360C57">
      <w:pPr>
        <w:pStyle w:val="a7"/>
        <w:kinsoku w:val="0"/>
        <w:spacing w:before="0" w:after="0"/>
        <w:ind w:leftChars="792" w:left="3742" w:hangingChars="236" w:hanging="1048"/>
        <w:jc w:val="both"/>
        <w:rPr>
          <w:rFonts w:hAnsi="標楷體"/>
          <w:b w:val="0"/>
          <w:bCs/>
          <w:snapToGrid/>
          <w:spacing w:val="12"/>
          <w:kern w:val="0"/>
          <w:sz w:val="40"/>
        </w:rPr>
      </w:pPr>
      <w:r w:rsidRPr="00AB2AD1">
        <w:rPr>
          <w:rFonts w:hAnsi="標楷體" w:hint="eastAsia"/>
          <w:b w:val="0"/>
          <w:bCs/>
          <w:snapToGrid/>
          <w:spacing w:val="12"/>
          <w:kern w:val="0"/>
          <w:sz w:val="40"/>
        </w:rPr>
        <w:t>調查委員：</w:t>
      </w:r>
      <w:r>
        <w:rPr>
          <w:rFonts w:hAnsi="標楷體" w:hint="eastAsia"/>
          <w:b w:val="0"/>
          <w:bCs/>
          <w:snapToGrid/>
          <w:spacing w:val="12"/>
          <w:kern w:val="0"/>
          <w:sz w:val="40"/>
        </w:rPr>
        <w:t>劉委員玉山</w:t>
      </w:r>
    </w:p>
    <w:p w:rsidR="00360C57" w:rsidRDefault="00360C57" w:rsidP="00360C57">
      <w:pPr>
        <w:pStyle w:val="a7"/>
        <w:kinsoku w:val="0"/>
        <w:spacing w:before="0" w:after="0"/>
        <w:ind w:leftChars="1458" w:left="4960" w:hanging="1"/>
        <w:jc w:val="both"/>
        <w:rPr>
          <w:rFonts w:hAnsi="標楷體"/>
          <w:b w:val="0"/>
          <w:bCs/>
          <w:snapToGrid/>
          <w:spacing w:val="12"/>
          <w:kern w:val="0"/>
          <w:sz w:val="40"/>
        </w:rPr>
      </w:pPr>
      <w:r>
        <w:rPr>
          <w:rFonts w:hAnsi="標楷體" w:hint="eastAsia"/>
          <w:b w:val="0"/>
          <w:bCs/>
          <w:snapToGrid/>
          <w:spacing w:val="12"/>
          <w:kern w:val="0"/>
          <w:sz w:val="40"/>
        </w:rPr>
        <w:t>吳委員豐山</w:t>
      </w:r>
    </w:p>
    <w:p w:rsidR="00360C57" w:rsidRDefault="00360C57" w:rsidP="00360C57">
      <w:pPr>
        <w:pStyle w:val="a7"/>
        <w:kinsoku w:val="0"/>
        <w:spacing w:before="0" w:after="0"/>
        <w:ind w:leftChars="1458" w:left="4960" w:hanging="1"/>
        <w:jc w:val="both"/>
        <w:rPr>
          <w:rFonts w:hAnsi="標楷體"/>
          <w:b w:val="0"/>
          <w:bCs/>
          <w:snapToGrid/>
          <w:spacing w:val="12"/>
          <w:kern w:val="0"/>
          <w:sz w:val="40"/>
        </w:rPr>
      </w:pPr>
      <w:r>
        <w:rPr>
          <w:rFonts w:hAnsi="標楷體" w:hint="eastAsia"/>
          <w:b w:val="0"/>
          <w:bCs/>
          <w:snapToGrid/>
          <w:spacing w:val="12"/>
          <w:kern w:val="0"/>
          <w:sz w:val="40"/>
        </w:rPr>
        <w:t>葉委員耀鵬</w:t>
      </w:r>
    </w:p>
    <w:p w:rsidR="00F02FCA" w:rsidRPr="00360C57" w:rsidRDefault="00360C57" w:rsidP="00360C57">
      <w:pPr>
        <w:pStyle w:val="a7"/>
        <w:kinsoku w:val="0"/>
        <w:spacing w:before="0" w:after="0"/>
        <w:ind w:leftChars="1458" w:left="4960" w:hanging="1"/>
        <w:jc w:val="both"/>
        <w:rPr>
          <w:rFonts w:hAnsi="標楷體"/>
          <w:sz w:val="28"/>
          <w:szCs w:val="28"/>
        </w:rPr>
      </w:pPr>
      <w:r>
        <w:rPr>
          <w:rFonts w:hAnsi="標楷體" w:hint="eastAsia"/>
          <w:b w:val="0"/>
          <w:bCs/>
          <w:snapToGrid/>
          <w:spacing w:val="12"/>
          <w:kern w:val="0"/>
          <w:sz w:val="40"/>
        </w:rPr>
        <w:t>馬委員秀如</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ectPr w:rsidR="00F02FCA" w:rsidRPr="00360C57" w:rsidSect="00F83D7A">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B5C" w:rsidRDefault="00016B5C">
      <w:r>
        <w:separator/>
      </w:r>
    </w:p>
  </w:endnote>
  <w:endnote w:type="continuationSeparator" w:id="0">
    <w:p w:rsidR="00016B5C" w:rsidRDefault="00016B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華康楷書體W3">
    <w:altName w:val="新細明體"/>
    <w:charset w:val="01"/>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華康隸書體W3(P)">
    <w:altName w:val="新細明體"/>
    <w:charset w:val="88"/>
    <w:family w:val="auto"/>
    <w:pitch w:val="variable"/>
    <w:sig w:usb0="80000001" w:usb1="28091800" w:usb2="00000016" w:usb3="00000000" w:csb0="00100000" w:csb1="00000000"/>
  </w:font>
  <w:font w:name="華康楷書體W5">
    <w:altName w:val="Arial Unicode MS"/>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B5C" w:rsidRDefault="00016B5C">
      <w:r>
        <w:separator/>
      </w:r>
    </w:p>
  </w:footnote>
  <w:footnote w:type="continuationSeparator" w:id="0">
    <w:p w:rsidR="00016B5C" w:rsidRDefault="00016B5C">
      <w:r>
        <w:continuationSeparator/>
      </w:r>
    </w:p>
  </w:footnote>
  <w:footnote w:id="1">
    <w:p w:rsidR="00AB38D1" w:rsidRPr="00DC3ED1" w:rsidRDefault="00AB38D1" w:rsidP="008243BB">
      <w:pPr>
        <w:pStyle w:val="affd"/>
        <w:ind w:left="141" w:hangingChars="64" w:hanging="141"/>
      </w:pPr>
      <w:r w:rsidRPr="00DC3ED1">
        <w:rPr>
          <w:rStyle w:val="afff"/>
        </w:rPr>
        <w:footnoteRef/>
      </w:r>
      <w:r w:rsidRPr="00DC3ED1">
        <w:rPr>
          <w:rFonts w:hint="eastAsia"/>
        </w:rPr>
        <w:t>「電價合理化」</w:t>
      </w:r>
      <w:r w:rsidRPr="00DC3ED1">
        <w:rPr>
          <w:rFonts w:ascii="Arial" w:cs="Arial"/>
          <w:bCs/>
        </w:rPr>
        <w:t>之</w:t>
      </w:r>
      <w:r w:rsidRPr="00DC3ED1">
        <w:rPr>
          <w:rFonts w:hint="eastAsia"/>
        </w:rPr>
        <w:t>調</w:t>
      </w:r>
      <w:r w:rsidRPr="00DC3ED1">
        <w:rPr>
          <w:rFonts w:ascii="Arial" w:cs="Arial"/>
          <w:bCs/>
        </w:rPr>
        <w:t>漲</w:t>
      </w:r>
      <w:r w:rsidRPr="00DC3ED1">
        <w:t>方案</w:t>
      </w:r>
      <w:r w:rsidRPr="00DC3ED1">
        <w:rPr>
          <w:rFonts w:hint="eastAsia"/>
        </w:rPr>
        <w:t>，其後改採三階段調整，總調幅並降為</w:t>
      </w:r>
      <w:r w:rsidRPr="00DC3ED1">
        <w:rPr>
          <w:rFonts w:hint="eastAsia"/>
        </w:rPr>
        <w:t>26.4</w:t>
      </w:r>
      <w:r w:rsidRPr="00DC3ED1">
        <w:rPr>
          <w:rFonts w:hint="eastAsia"/>
        </w:rPr>
        <w:t>％，第</w:t>
      </w:r>
      <w:r w:rsidRPr="00DC3ED1">
        <w:rPr>
          <w:rFonts w:hint="eastAsia"/>
        </w:rPr>
        <w:t>1</w:t>
      </w:r>
      <w:r w:rsidRPr="00DC3ED1">
        <w:rPr>
          <w:rFonts w:hint="eastAsia"/>
        </w:rPr>
        <w:t>階段</w:t>
      </w:r>
      <w:r w:rsidRPr="00DC3ED1">
        <w:rPr>
          <w:rFonts w:hint="eastAsia"/>
        </w:rPr>
        <w:t>101</w:t>
      </w:r>
      <w:r w:rsidRPr="00DC3ED1">
        <w:rPr>
          <w:rFonts w:hint="eastAsia"/>
        </w:rPr>
        <w:t>年</w:t>
      </w:r>
      <w:r w:rsidRPr="00DC3ED1">
        <w:rPr>
          <w:rFonts w:hint="eastAsia"/>
        </w:rPr>
        <w:t xml:space="preserve"> 6</w:t>
      </w:r>
      <w:r w:rsidRPr="00DC3ED1">
        <w:rPr>
          <w:rFonts w:hint="eastAsia"/>
        </w:rPr>
        <w:t>月</w:t>
      </w:r>
      <w:r w:rsidRPr="00DC3ED1">
        <w:rPr>
          <w:rFonts w:hint="eastAsia"/>
        </w:rPr>
        <w:t>10</w:t>
      </w:r>
      <w:r w:rsidRPr="00DC3ED1">
        <w:rPr>
          <w:rFonts w:hint="eastAsia"/>
        </w:rPr>
        <w:t>日起調漲</w:t>
      </w:r>
      <w:r w:rsidRPr="00DC3ED1">
        <w:rPr>
          <w:rFonts w:hint="eastAsia"/>
        </w:rPr>
        <w:t>10.41</w:t>
      </w:r>
      <w:r w:rsidRPr="00DC3ED1">
        <w:rPr>
          <w:rFonts w:hint="eastAsia"/>
        </w:rPr>
        <w:t>％，第</w:t>
      </w:r>
      <w:r w:rsidRPr="00DC3ED1">
        <w:rPr>
          <w:rFonts w:hint="eastAsia"/>
        </w:rPr>
        <w:t>2</w:t>
      </w:r>
      <w:r w:rsidRPr="00DC3ED1">
        <w:rPr>
          <w:rFonts w:hint="eastAsia"/>
        </w:rPr>
        <w:t>階段</w:t>
      </w:r>
      <w:r w:rsidRPr="00DC3ED1">
        <w:rPr>
          <w:rFonts w:hint="eastAsia"/>
        </w:rPr>
        <w:t>102</w:t>
      </w:r>
      <w:r w:rsidRPr="00DC3ED1">
        <w:rPr>
          <w:rFonts w:hint="eastAsia"/>
        </w:rPr>
        <w:t>年</w:t>
      </w:r>
      <w:r w:rsidRPr="00DC3ED1">
        <w:rPr>
          <w:rFonts w:hint="eastAsia"/>
        </w:rPr>
        <w:t>10</w:t>
      </w:r>
      <w:r w:rsidRPr="00DC3ED1">
        <w:rPr>
          <w:rFonts w:hint="eastAsia"/>
        </w:rPr>
        <w:t>月</w:t>
      </w:r>
      <w:r w:rsidRPr="00DC3ED1">
        <w:rPr>
          <w:rFonts w:hint="eastAsia"/>
        </w:rPr>
        <w:t>1</w:t>
      </w:r>
      <w:r w:rsidRPr="00DC3ED1">
        <w:rPr>
          <w:rFonts w:hint="eastAsia"/>
        </w:rPr>
        <w:t>日起調漲</w:t>
      </w:r>
      <w:r w:rsidRPr="00DC3ED1">
        <w:rPr>
          <w:rFonts w:hint="eastAsia"/>
        </w:rPr>
        <w:t>8.49</w:t>
      </w:r>
      <w:r w:rsidRPr="00DC3ED1">
        <w:rPr>
          <w:rFonts w:hint="eastAsia"/>
        </w:rPr>
        <w:t>％，第</w:t>
      </w:r>
      <w:r w:rsidRPr="00DC3ED1">
        <w:rPr>
          <w:rFonts w:hint="eastAsia"/>
        </w:rPr>
        <w:t>3</w:t>
      </w:r>
      <w:r w:rsidRPr="00DC3ED1">
        <w:rPr>
          <w:rFonts w:hint="eastAsia"/>
        </w:rPr>
        <w:t>階段將視台電公司改革成效後再決定是否實施。</w:t>
      </w:r>
    </w:p>
  </w:footnote>
  <w:footnote w:id="2">
    <w:p w:rsidR="00AB38D1" w:rsidRPr="00DC3ED1" w:rsidRDefault="00AB38D1" w:rsidP="00A62E3E">
      <w:pPr>
        <w:pStyle w:val="affd"/>
        <w:ind w:left="66" w:hangingChars="30" w:hanging="66"/>
      </w:pPr>
      <w:r w:rsidRPr="00882CED">
        <w:rPr>
          <w:rStyle w:val="afff"/>
        </w:rPr>
        <w:footnoteRef/>
      </w:r>
      <w:r w:rsidRPr="00882CED">
        <w:rPr>
          <w:rFonts w:ascii="標楷體" w:hAnsi="標楷體" w:hint="eastAsia"/>
        </w:rPr>
        <w:t>台電公司引據行政院92年9月10日訂頒之「國營事業最適資產規模考核原則」附表一「國營事業最適資產規模參考指標與區間」所列台電公司ROA≧3%之參考指標，研提ROA利潤分享方案與IPP進行協商。</w:t>
      </w:r>
    </w:p>
  </w:footnote>
  <w:footnote w:id="3">
    <w:p w:rsidR="00AB38D1" w:rsidRPr="00DC3ED1" w:rsidRDefault="00AB38D1" w:rsidP="00E3393F">
      <w:pPr>
        <w:pStyle w:val="affd"/>
        <w:spacing w:line="280" w:lineRule="exact"/>
        <w:ind w:left="84" w:hangingChars="38" w:hanging="84"/>
      </w:pPr>
      <w:r w:rsidRPr="00DC3ED1">
        <w:rPr>
          <w:rStyle w:val="afff"/>
        </w:rPr>
        <w:footnoteRef/>
      </w:r>
      <w:r w:rsidRPr="00DC3ED1">
        <w:rPr>
          <w:rFonts w:ascii="Arial" w:hAnsi="Arial" w:hint="eastAsia"/>
        </w:rPr>
        <w:t>調度服務：調度中心依電力系統需求執行事前之發電機組排程，並進行即時調度運轉。頻率控制：為維持供電系統之穩定與安全，須控制線上機組進行升降載，使發電量與負載接近平衡，以維持系統頻率為定值。備轉容量服務：分為即時備轉容量</w:t>
      </w:r>
      <w:r w:rsidRPr="00DC3ED1">
        <w:rPr>
          <w:rFonts w:ascii="Arial" w:hAnsi="Arial" w:hint="eastAsia"/>
        </w:rPr>
        <w:t>(</w:t>
      </w:r>
      <w:r w:rsidRPr="00DC3ED1">
        <w:rPr>
          <w:rFonts w:ascii="Arial" w:hAnsi="Arial" w:hint="eastAsia"/>
        </w:rPr>
        <w:t>熱機</w:t>
      </w:r>
      <w:r w:rsidRPr="00DC3ED1">
        <w:rPr>
          <w:rFonts w:ascii="Arial" w:hAnsi="Arial" w:hint="eastAsia"/>
        </w:rPr>
        <w:t>)</w:t>
      </w:r>
      <w:r w:rsidRPr="00DC3ED1">
        <w:rPr>
          <w:rFonts w:ascii="Arial" w:hAnsi="Arial" w:hint="eastAsia"/>
        </w:rPr>
        <w:t>服務及補充備轉容量</w:t>
      </w:r>
      <w:r w:rsidRPr="00DC3ED1">
        <w:rPr>
          <w:rFonts w:ascii="Arial" w:hAnsi="Arial" w:hint="eastAsia"/>
        </w:rPr>
        <w:t>(</w:t>
      </w:r>
      <w:r w:rsidRPr="00DC3ED1">
        <w:rPr>
          <w:rFonts w:ascii="Arial" w:hAnsi="Arial" w:hint="eastAsia"/>
        </w:rPr>
        <w:t>熱機</w:t>
      </w:r>
      <w:r w:rsidRPr="00DC3ED1">
        <w:rPr>
          <w:rFonts w:ascii="Arial" w:hAnsi="Arial"/>
        </w:rPr>
        <w:t>+</w:t>
      </w:r>
      <w:r w:rsidRPr="00DC3ED1">
        <w:rPr>
          <w:rFonts w:ascii="Arial" w:hAnsi="Arial" w:hint="eastAsia"/>
        </w:rPr>
        <w:t>非熱機</w:t>
      </w:r>
      <w:r w:rsidRPr="00DC3ED1">
        <w:rPr>
          <w:rFonts w:ascii="Arial" w:hAnsi="Arial" w:hint="eastAsia"/>
        </w:rPr>
        <w:t>)</w:t>
      </w:r>
      <w:r w:rsidRPr="00DC3ED1">
        <w:rPr>
          <w:rFonts w:ascii="Arial" w:hAnsi="Arial" w:hint="eastAsia"/>
        </w:rPr>
        <w:t>服務，前者係為彌補系統發生事故時所需之緊急電力，由尚未滿載且可快速升載之線上機組提供即時所需電力，而後者係在系統發生事故時，以即時備轉容量未能彌補所短缺之電力時，則由尚未滿載且升載速度較慢之線上機組，或可快速啟動之非上線機組提供所需電力。全黑啟動服務，係當輸電系統全部或部分發生全黑</w:t>
      </w:r>
      <w:r w:rsidRPr="00DC3ED1">
        <w:rPr>
          <w:rFonts w:ascii="Arial" w:hAnsi="Arial" w:hint="eastAsia"/>
        </w:rPr>
        <w:t>(</w:t>
      </w:r>
      <w:r w:rsidRPr="00DC3ED1">
        <w:rPr>
          <w:rFonts w:ascii="Arial" w:hAnsi="Arial" w:hint="eastAsia"/>
        </w:rPr>
        <w:t>停電</w:t>
      </w:r>
      <w:r w:rsidRPr="00DC3ED1">
        <w:rPr>
          <w:rFonts w:ascii="Arial" w:hAnsi="Arial" w:hint="eastAsia"/>
        </w:rPr>
        <w:t>)</w:t>
      </w:r>
      <w:r w:rsidRPr="00DC3ED1">
        <w:rPr>
          <w:rFonts w:ascii="Arial" w:hAnsi="Arial" w:hint="eastAsia"/>
        </w:rPr>
        <w:t>時，全黑啟動機組可自行啟動，提供各區域緊急用電需求，並按加壓路徑，恢復系統供電。不平衡電能服務旨在調整各時段，發電機組之預定發電量與實際值之差額調整。無效功率及電壓控制服務，係為維持電力系統電壓水準之發電機組無效功率控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065"/>
    <w:multiLevelType w:val="hybridMultilevel"/>
    <w:tmpl w:val="37BEEBF0"/>
    <w:lvl w:ilvl="0" w:tplc="BD82D5BA">
      <w:start w:val="1"/>
      <w:numFmt w:val="decimal"/>
      <w:lvlText w:val="%1."/>
      <w:lvlJc w:val="left"/>
      <w:pPr>
        <w:tabs>
          <w:tab w:val="num" w:pos="360"/>
        </w:tabs>
        <w:ind w:left="113" w:hanging="113"/>
      </w:pPr>
      <w:rPr>
        <w:rFonts w:eastAsia="Arial Unicode MS" w:hint="eastAsia"/>
        <w:b/>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2">
    <w:nsid w:val="02DF59C9"/>
    <w:multiLevelType w:val="hybridMultilevel"/>
    <w:tmpl w:val="CD92D546"/>
    <w:lvl w:ilvl="0" w:tplc="9DA09B00">
      <w:start w:val="1"/>
      <w:numFmt w:val="decimal"/>
      <w:lvlText w:val="%1."/>
      <w:lvlJc w:val="left"/>
      <w:pPr>
        <w:ind w:left="455" w:hanging="360"/>
      </w:pPr>
      <w:rPr>
        <w:rFonts w:hint="default"/>
      </w:rPr>
    </w:lvl>
    <w:lvl w:ilvl="1" w:tplc="04090019" w:tentative="1">
      <w:start w:val="1"/>
      <w:numFmt w:val="ideographTraditional"/>
      <w:lvlText w:val="%2、"/>
      <w:lvlJc w:val="left"/>
      <w:pPr>
        <w:ind w:left="1055" w:hanging="480"/>
      </w:pPr>
    </w:lvl>
    <w:lvl w:ilvl="2" w:tplc="0409001B" w:tentative="1">
      <w:start w:val="1"/>
      <w:numFmt w:val="lowerRoman"/>
      <w:lvlText w:val="%3."/>
      <w:lvlJc w:val="right"/>
      <w:pPr>
        <w:ind w:left="1535" w:hanging="480"/>
      </w:pPr>
    </w:lvl>
    <w:lvl w:ilvl="3" w:tplc="0409000F" w:tentative="1">
      <w:start w:val="1"/>
      <w:numFmt w:val="decimal"/>
      <w:lvlText w:val="%4."/>
      <w:lvlJc w:val="left"/>
      <w:pPr>
        <w:ind w:left="2015" w:hanging="480"/>
      </w:pPr>
    </w:lvl>
    <w:lvl w:ilvl="4" w:tplc="04090019" w:tentative="1">
      <w:start w:val="1"/>
      <w:numFmt w:val="ideographTraditional"/>
      <w:lvlText w:val="%5、"/>
      <w:lvlJc w:val="left"/>
      <w:pPr>
        <w:ind w:left="2495" w:hanging="480"/>
      </w:pPr>
    </w:lvl>
    <w:lvl w:ilvl="5" w:tplc="0409001B" w:tentative="1">
      <w:start w:val="1"/>
      <w:numFmt w:val="lowerRoman"/>
      <w:lvlText w:val="%6."/>
      <w:lvlJc w:val="right"/>
      <w:pPr>
        <w:ind w:left="2975" w:hanging="480"/>
      </w:pPr>
    </w:lvl>
    <w:lvl w:ilvl="6" w:tplc="0409000F" w:tentative="1">
      <w:start w:val="1"/>
      <w:numFmt w:val="decimal"/>
      <w:lvlText w:val="%7."/>
      <w:lvlJc w:val="left"/>
      <w:pPr>
        <w:ind w:left="3455" w:hanging="480"/>
      </w:pPr>
    </w:lvl>
    <w:lvl w:ilvl="7" w:tplc="04090019" w:tentative="1">
      <w:start w:val="1"/>
      <w:numFmt w:val="ideographTraditional"/>
      <w:lvlText w:val="%8、"/>
      <w:lvlJc w:val="left"/>
      <w:pPr>
        <w:ind w:left="3935" w:hanging="480"/>
      </w:pPr>
    </w:lvl>
    <w:lvl w:ilvl="8" w:tplc="0409001B" w:tentative="1">
      <w:start w:val="1"/>
      <w:numFmt w:val="lowerRoman"/>
      <w:lvlText w:val="%9."/>
      <w:lvlJc w:val="right"/>
      <w:pPr>
        <w:ind w:left="4415" w:hanging="480"/>
      </w:pPr>
    </w:lvl>
  </w:abstractNum>
  <w:abstractNum w:abstractNumId="3">
    <w:nsid w:val="040F6C48"/>
    <w:multiLevelType w:val="hybridMultilevel"/>
    <w:tmpl w:val="9ACC2930"/>
    <w:lvl w:ilvl="0" w:tplc="9930451C">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4EDEEDDC">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9B720650" w:tentative="1">
      <w:start w:val="1"/>
      <w:numFmt w:val="ideographTraditional"/>
      <w:lvlText w:val="%2、"/>
      <w:lvlJc w:val="left"/>
      <w:pPr>
        <w:tabs>
          <w:tab w:val="num" w:pos="960"/>
        </w:tabs>
        <w:ind w:left="960" w:hanging="480"/>
      </w:pPr>
    </w:lvl>
    <w:lvl w:ilvl="2" w:tplc="84425DDC" w:tentative="1">
      <w:start w:val="1"/>
      <w:numFmt w:val="lowerRoman"/>
      <w:lvlText w:val="%3."/>
      <w:lvlJc w:val="right"/>
      <w:pPr>
        <w:tabs>
          <w:tab w:val="num" w:pos="1440"/>
        </w:tabs>
        <w:ind w:left="1440" w:hanging="480"/>
      </w:pPr>
    </w:lvl>
    <w:lvl w:ilvl="3" w:tplc="32427E12" w:tentative="1">
      <w:start w:val="1"/>
      <w:numFmt w:val="decimal"/>
      <w:lvlText w:val="%4."/>
      <w:lvlJc w:val="left"/>
      <w:pPr>
        <w:tabs>
          <w:tab w:val="num" w:pos="1920"/>
        </w:tabs>
        <w:ind w:left="1920" w:hanging="480"/>
      </w:pPr>
    </w:lvl>
    <w:lvl w:ilvl="4" w:tplc="1346BA0A" w:tentative="1">
      <w:start w:val="1"/>
      <w:numFmt w:val="ideographTraditional"/>
      <w:lvlText w:val="%5、"/>
      <w:lvlJc w:val="left"/>
      <w:pPr>
        <w:tabs>
          <w:tab w:val="num" w:pos="2400"/>
        </w:tabs>
        <w:ind w:left="2400" w:hanging="480"/>
      </w:pPr>
    </w:lvl>
    <w:lvl w:ilvl="5" w:tplc="C31EC74E" w:tentative="1">
      <w:start w:val="1"/>
      <w:numFmt w:val="lowerRoman"/>
      <w:lvlText w:val="%6."/>
      <w:lvlJc w:val="right"/>
      <w:pPr>
        <w:tabs>
          <w:tab w:val="num" w:pos="2880"/>
        </w:tabs>
        <w:ind w:left="2880" w:hanging="480"/>
      </w:pPr>
    </w:lvl>
    <w:lvl w:ilvl="6" w:tplc="AED6E834" w:tentative="1">
      <w:start w:val="1"/>
      <w:numFmt w:val="decimal"/>
      <w:lvlText w:val="%7."/>
      <w:lvlJc w:val="left"/>
      <w:pPr>
        <w:tabs>
          <w:tab w:val="num" w:pos="3360"/>
        </w:tabs>
        <w:ind w:left="3360" w:hanging="480"/>
      </w:pPr>
    </w:lvl>
    <w:lvl w:ilvl="7" w:tplc="9730B7CC" w:tentative="1">
      <w:start w:val="1"/>
      <w:numFmt w:val="ideographTraditional"/>
      <w:lvlText w:val="%8、"/>
      <w:lvlJc w:val="left"/>
      <w:pPr>
        <w:tabs>
          <w:tab w:val="num" w:pos="3840"/>
        </w:tabs>
        <w:ind w:left="3840" w:hanging="480"/>
      </w:pPr>
    </w:lvl>
    <w:lvl w:ilvl="8" w:tplc="8F043152" w:tentative="1">
      <w:start w:val="1"/>
      <w:numFmt w:val="lowerRoman"/>
      <w:lvlText w:val="%9."/>
      <w:lvlJc w:val="right"/>
      <w:pPr>
        <w:tabs>
          <w:tab w:val="num" w:pos="4320"/>
        </w:tabs>
        <w:ind w:left="4320" w:hanging="480"/>
      </w:pPr>
    </w:lvl>
  </w:abstractNum>
  <w:abstractNum w:abstractNumId="5">
    <w:nsid w:val="090D7021"/>
    <w:multiLevelType w:val="hybridMultilevel"/>
    <w:tmpl w:val="A75603D4"/>
    <w:lvl w:ilvl="0" w:tplc="279610AC">
      <w:start w:val="1"/>
      <w:numFmt w:val="decimal"/>
      <w:lvlText w:val="%1."/>
      <w:lvlJc w:val="left"/>
      <w:pPr>
        <w:ind w:left="360" w:hanging="360"/>
      </w:pPr>
      <w:rPr>
        <w:rFonts w:ascii="Times New Roman" w:hAnsi="Times New Roman" w:cs="Times New Roman" w:hint="default"/>
        <w:sz w:val="30"/>
        <w:szCs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2B2B9C"/>
    <w:multiLevelType w:val="hybridMultilevel"/>
    <w:tmpl w:val="85F44204"/>
    <w:lvl w:ilvl="0" w:tplc="C5E0C1F6">
      <w:start w:val="1"/>
      <w:numFmt w:val="decimal"/>
      <w:lvlText w:val="%1."/>
      <w:lvlJc w:val="left"/>
      <w:pPr>
        <w:ind w:left="375" w:hanging="375"/>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514D52"/>
    <w:multiLevelType w:val="hybridMultilevel"/>
    <w:tmpl w:val="20C0DFFC"/>
    <w:lvl w:ilvl="0" w:tplc="48F8E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FC4618"/>
    <w:multiLevelType w:val="hybridMultilevel"/>
    <w:tmpl w:val="A75603D4"/>
    <w:lvl w:ilvl="0" w:tplc="279610AC">
      <w:start w:val="1"/>
      <w:numFmt w:val="decimal"/>
      <w:lvlText w:val="%1."/>
      <w:lvlJc w:val="left"/>
      <w:pPr>
        <w:ind w:left="360" w:hanging="360"/>
      </w:pPr>
      <w:rPr>
        <w:rFonts w:ascii="Times New Roman" w:hAnsi="Times New Roman" w:cs="Times New Roman" w:hint="default"/>
        <w:sz w:val="30"/>
        <w:szCs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E742C96"/>
    <w:multiLevelType w:val="hybridMultilevel"/>
    <w:tmpl w:val="0E94C55A"/>
    <w:lvl w:ilvl="0" w:tplc="CDC2112C">
      <w:start w:val="1"/>
      <w:numFmt w:val="decimal"/>
      <w:lvlText w:val="%1."/>
      <w:lvlJc w:val="left"/>
      <w:pPr>
        <w:ind w:left="360" w:hanging="36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CB6995"/>
    <w:multiLevelType w:val="hybridMultilevel"/>
    <w:tmpl w:val="875EC10C"/>
    <w:lvl w:ilvl="0" w:tplc="9930451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0DD1A55"/>
    <w:multiLevelType w:val="hybridMultilevel"/>
    <w:tmpl w:val="1720AFAA"/>
    <w:lvl w:ilvl="0" w:tplc="B228308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0E3789E"/>
    <w:multiLevelType w:val="hybridMultilevel"/>
    <w:tmpl w:val="901C0A16"/>
    <w:lvl w:ilvl="0" w:tplc="086A3F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2003044"/>
    <w:multiLevelType w:val="hybridMultilevel"/>
    <w:tmpl w:val="73E23466"/>
    <w:lvl w:ilvl="0" w:tplc="8CCC062E">
      <w:start w:val="1"/>
      <w:numFmt w:val="decimal"/>
      <w:lvlText w:val="%1."/>
      <w:lvlJc w:val="left"/>
      <w:pPr>
        <w:ind w:left="527" w:hanging="360"/>
      </w:pPr>
      <w:rPr>
        <w:rFonts w:hAnsi="標楷體" w:hint="default"/>
      </w:rPr>
    </w:lvl>
    <w:lvl w:ilvl="1" w:tplc="04090019" w:tentative="1">
      <w:start w:val="1"/>
      <w:numFmt w:val="ideographTraditional"/>
      <w:lvlText w:val="%2、"/>
      <w:lvlJc w:val="left"/>
      <w:pPr>
        <w:ind w:left="1127" w:hanging="480"/>
      </w:pPr>
    </w:lvl>
    <w:lvl w:ilvl="2" w:tplc="0409001B" w:tentative="1">
      <w:start w:val="1"/>
      <w:numFmt w:val="lowerRoman"/>
      <w:lvlText w:val="%3."/>
      <w:lvlJc w:val="right"/>
      <w:pPr>
        <w:ind w:left="1607" w:hanging="480"/>
      </w:pPr>
    </w:lvl>
    <w:lvl w:ilvl="3" w:tplc="0409000F" w:tentative="1">
      <w:start w:val="1"/>
      <w:numFmt w:val="decimal"/>
      <w:lvlText w:val="%4."/>
      <w:lvlJc w:val="left"/>
      <w:pPr>
        <w:ind w:left="2087" w:hanging="480"/>
      </w:pPr>
    </w:lvl>
    <w:lvl w:ilvl="4" w:tplc="04090019" w:tentative="1">
      <w:start w:val="1"/>
      <w:numFmt w:val="ideographTraditional"/>
      <w:lvlText w:val="%5、"/>
      <w:lvlJc w:val="left"/>
      <w:pPr>
        <w:ind w:left="2567" w:hanging="480"/>
      </w:pPr>
    </w:lvl>
    <w:lvl w:ilvl="5" w:tplc="0409001B" w:tentative="1">
      <w:start w:val="1"/>
      <w:numFmt w:val="lowerRoman"/>
      <w:lvlText w:val="%6."/>
      <w:lvlJc w:val="right"/>
      <w:pPr>
        <w:ind w:left="3047" w:hanging="480"/>
      </w:pPr>
    </w:lvl>
    <w:lvl w:ilvl="6" w:tplc="0409000F" w:tentative="1">
      <w:start w:val="1"/>
      <w:numFmt w:val="decimal"/>
      <w:lvlText w:val="%7."/>
      <w:lvlJc w:val="left"/>
      <w:pPr>
        <w:ind w:left="3527" w:hanging="480"/>
      </w:pPr>
    </w:lvl>
    <w:lvl w:ilvl="7" w:tplc="04090019" w:tentative="1">
      <w:start w:val="1"/>
      <w:numFmt w:val="ideographTraditional"/>
      <w:lvlText w:val="%8、"/>
      <w:lvlJc w:val="left"/>
      <w:pPr>
        <w:ind w:left="4007" w:hanging="480"/>
      </w:pPr>
    </w:lvl>
    <w:lvl w:ilvl="8" w:tplc="0409001B" w:tentative="1">
      <w:start w:val="1"/>
      <w:numFmt w:val="lowerRoman"/>
      <w:lvlText w:val="%9."/>
      <w:lvlJc w:val="right"/>
      <w:pPr>
        <w:ind w:left="4487" w:hanging="480"/>
      </w:pPr>
    </w:lvl>
  </w:abstractNum>
  <w:abstractNum w:abstractNumId="14">
    <w:nsid w:val="140E010C"/>
    <w:multiLevelType w:val="multilevel"/>
    <w:tmpl w:val="BE7E85B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
    <w:nsid w:val="15B03D05"/>
    <w:multiLevelType w:val="hybridMultilevel"/>
    <w:tmpl w:val="C4D014E0"/>
    <w:lvl w:ilvl="0" w:tplc="01C2C526">
      <w:start w:val="1"/>
      <w:numFmt w:val="decimal"/>
      <w:lvlText w:val="%1."/>
      <w:lvlJc w:val="left"/>
      <w:pPr>
        <w:ind w:left="360" w:hanging="360"/>
      </w:pPr>
      <w:rPr>
        <w:rFonts w:ascii="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5FA59D1"/>
    <w:multiLevelType w:val="hybridMultilevel"/>
    <w:tmpl w:val="90E8BA02"/>
    <w:lvl w:ilvl="0" w:tplc="7DD4A5AE">
      <w:start w:val="1"/>
      <w:numFmt w:val="decimal"/>
      <w:lvlText w:val="%1."/>
      <w:lvlJc w:val="left"/>
      <w:pPr>
        <w:ind w:left="360" w:hanging="360"/>
      </w:pPr>
      <w:rPr>
        <w:rFonts w:hint="default"/>
        <w:sz w:val="30"/>
        <w:szCs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6160547"/>
    <w:multiLevelType w:val="hybridMultilevel"/>
    <w:tmpl w:val="32880CF0"/>
    <w:lvl w:ilvl="0" w:tplc="05CE2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7264FCA"/>
    <w:multiLevelType w:val="hybridMultilevel"/>
    <w:tmpl w:val="F6B65580"/>
    <w:lvl w:ilvl="0" w:tplc="55EA65BA">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9532EFC"/>
    <w:multiLevelType w:val="hybridMultilevel"/>
    <w:tmpl w:val="7CBA69F8"/>
    <w:lvl w:ilvl="0" w:tplc="A05ED2C6">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72F45978" w:tentative="1">
      <w:start w:val="1"/>
      <w:numFmt w:val="ideographTraditional"/>
      <w:lvlText w:val="%2、"/>
      <w:lvlJc w:val="left"/>
      <w:pPr>
        <w:tabs>
          <w:tab w:val="num" w:pos="960"/>
        </w:tabs>
        <w:ind w:left="960" w:hanging="480"/>
      </w:pPr>
    </w:lvl>
    <w:lvl w:ilvl="2" w:tplc="ABFC9806" w:tentative="1">
      <w:start w:val="1"/>
      <w:numFmt w:val="lowerRoman"/>
      <w:lvlText w:val="%3."/>
      <w:lvlJc w:val="right"/>
      <w:pPr>
        <w:tabs>
          <w:tab w:val="num" w:pos="1440"/>
        </w:tabs>
        <w:ind w:left="1440" w:hanging="480"/>
      </w:pPr>
    </w:lvl>
    <w:lvl w:ilvl="3" w:tplc="89BC769E" w:tentative="1">
      <w:start w:val="1"/>
      <w:numFmt w:val="decimal"/>
      <w:lvlText w:val="%4."/>
      <w:lvlJc w:val="left"/>
      <w:pPr>
        <w:tabs>
          <w:tab w:val="num" w:pos="1920"/>
        </w:tabs>
        <w:ind w:left="1920" w:hanging="480"/>
      </w:pPr>
    </w:lvl>
    <w:lvl w:ilvl="4" w:tplc="306AB0E6" w:tentative="1">
      <w:start w:val="1"/>
      <w:numFmt w:val="ideographTraditional"/>
      <w:lvlText w:val="%5、"/>
      <w:lvlJc w:val="left"/>
      <w:pPr>
        <w:tabs>
          <w:tab w:val="num" w:pos="2400"/>
        </w:tabs>
        <w:ind w:left="2400" w:hanging="480"/>
      </w:pPr>
    </w:lvl>
    <w:lvl w:ilvl="5" w:tplc="073827C6" w:tentative="1">
      <w:start w:val="1"/>
      <w:numFmt w:val="lowerRoman"/>
      <w:lvlText w:val="%6."/>
      <w:lvlJc w:val="right"/>
      <w:pPr>
        <w:tabs>
          <w:tab w:val="num" w:pos="2880"/>
        </w:tabs>
        <w:ind w:left="2880" w:hanging="480"/>
      </w:pPr>
    </w:lvl>
    <w:lvl w:ilvl="6" w:tplc="230834D2" w:tentative="1">
      <w:start w:val="1"/>
      <w:numFmt w:val="decimal"/>
      <w:lvlText w:val="%7."/>
      <w:lvlJc w:val="left"/>
      <w:pPr>
        <w:tabs>
          <w:tab w:val="num" w:pos="3360"/>
        </w:tabs>
        <w:ind w:left="3360" w:hanging="480"/>
      </w:pPr>
    </w:lvl>
    <w:lvl w:ilvl="7" w:tplc="D4E27D1E" w:tentative="1">
      <w:start w:val="1"/>
      <w:numFmt w:val="ideographTraditional"/>
      <w:lvlText w:val="%8、"/>
      <w:lvlJc w:val="left"/>
      <w:pPr>
        <w:tabs>
          <w:tab w:val="num" w:pos="3840"/>
        </w:tabs>
        <w:ind w:left="3840" w:hanging="480"/>
      </w:pPr>
    </w:lvl>
    <w:lvl w:ilvl="8" w:tplc="7F8C8C7E" w:tentative="1">
      <w:start w:val="1"/>
      <w:numFmt w:val="lowerRoman"/>
      <w:lvlText w:val="%9."/>
      <w:lvlJc w:val="right"/>
      <w:pPr>
        <w:tabs>
          <w:tab w:val="num" w:pos="4320"/>
        </w:tabs>
        <w:ind w:left="4320" w:hanging="480"/>
      </w:pPr>
    </w:lvl>
  </w:abstractNum>
  <w:abstractNum w:abstractNumId="20">
    <w:nsid w:val="1A9E5707"/>
    <w:multiLevelType w:val="hybridMultilevel"/>
    <w:tmpl w:val="9440EB8C"/>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B717AE4"/>
    <w:multiLevelType w:val="hybridMultilevel"/>
    <w:tmpl w:val="F8381B2E"/>
    <w:lvl w:ilvl="0" w:tplc="25DE1766">
      <w:start w:val="1"/>
      <w:numFmt w:val="decimal"/>
      <w:lvlText w:val="%1."/>
      <w:lvlJc w:val="left"/>
      <w:pPr>
        <w:ind w:left="360" w:hanging="360"/>
      </w:pPr>
      <w:rPr>
        <w:rFonts w:hint="default"/>
        <w:color w:val="FF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EAE40B9"/>
    <w:multiLevelType w:val="hybridMultilevel"/>
    <w:tmpl w:val="880CA9F0"/>
    <w:lvl w:ilvl="0" w:tplc="35B2562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EB23810"/>
    <w:multiLevelType w:val="hybridMultilevel"/>
    <w:tmpl w:val="3C90B94C"/>
    <w:lvl w:ilvl="0" w:tplc="2CD65D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16A191B"/>
    <w:multiLevelType w:val="hybridMultilevel"/>
    <w:tmpl w:val="9440EB8C"/>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6FA7988"/>
    <w:multiLevelType w:val="hybridMultilevel"/>
    <w:tmpl w:val="73E23466"/>
    <w:lvl w:ilvl="0" w:tplc="8CCC062E">
      <w:start w:val="1"/>
      <w:numFmt w:val="decimal"/>
      <w:lvlText w:val="%1."/>
      <w:lvlJc w:val="left"/>
      <w:pPr>
        <w:ind w:left="527" w:hanging="360"/>
      </w:pPr>
      <w:rPr>
        <w:rFonts w:hAnsi="標楷體" w:hint="default"/>
      </w:rPr>
    </w:lvl>
    <w:lvl w:ilvl="1" w:tplc="04090019" w:tentative="1">
      <w:start w:val="1"/>
      <w:numFmt w:val="ideographTraditional"/>
      <w:lvlText w:val="%2、"/>
      <w:lvlJc w:val="left"/>
      <w:pPr>
        <w:ind w:left="1127" w:hanging="480"/>
      </w:pPr>
    </w:lvl>
    <w:lvl w:ilvl="2" w:tplc="0409001B" w:tentative="1">
      <w:start w:val="1"/>
      <w:numFmt w:val="lowerRoman"/>
      <w:lvlText w:val="%3."/>
      <w:lvlJc w:val="right"/>
      <w:pPr>
        <w:ind w:left="1607" w:hanging="480"/>
      </w:pPr>
    </w:lvl>
    <w:lvl w:ilvl="3" w:tplc="0409000F" w:tentative="1">
      <w:start w:val="1"/>
      <w:numFmt w:val="decimal"/>
      <w:lvlText w:val="%4."/>
      <w:lvlJc w:val="left"/>
      <w:pPr>
        <w:ind w:left="2087" w:hanging="480"/>
      </w:pPr>
    </w:lvl>
    <w:lvl w:ilvl="4" w:tplc="04090019" w:tentative="1">
      <w:start w:val="1"/>
      <w:numFmt w:val="ideographTraditional"/>
      <w:lvlText w:val="%5、"/>
      <w:lvlJc w:val="left"/>
      <w:pPr>
        <w:ind w:left="2567" w:hanging="480"/>
      </w:pPr>
    </w:lvl>
    <w:lvl w:ilvl="5" w:tplc="0409001B" w:tentative="1">
      <w:start w:val="1"/>
      <w:numFmt w:val="lowerRoman"/>
      <w:lvlText w:val="%6."/>
      <w:lvlJc w:val="right"/>
      <w:pPr>
        <w:ind w:left="3047" w:hanging="480"/>
      </w:pPr>
    </w:lvl>
    <w:lvl w:ilvl="6" w:tplc="0409000F" w:tentative="1">
      <w:start w:val="1"/>
      <w:numFmt w:val="decimal"/>
      <w:lvlText w:val="%7."/>
      <w:lvlJc w:val="left"/>
      <w:pPr>
        <w:ind w:left="3527" w:hanging="480"/>
      </w:pPr>
    </w:lvl>
    <w:lvl w:ilvl="7" w:tplc="04090019" w:tentative="1">
      <w:start w:val="1"/>
      <w:numFmt w:val="ideographTraditional"/>
      <w:lvlText w:val="%8、"/>
      <w:lvlJc w:val="left"/>
      <w:pPr>
        <w:ind w:left="4007" w:hanging="480"/>
      </w:pPr>
    </w:lvl>
    <w:lvl w:ilvl="8" w:tplc="0409001B" w:tentative="1">
      <w:start w:val="1"/>
      <w:numFmt w:val="lowerRoman"/>
      <w:lvlText w:val="%9."/>
      <w:lvlJc w:val="right"/>
      <w:pPr>
        <w:ind w:left="4487" w:hanging="480"/>
      </w:pPr>
    </w:lvl>
  </w:abstractNum>
  <w:abstractNum w:abstractNumId="26">
    <w:nsid w:val="28365DC2"/>
    <w:multiLevelType w:val="hybridMultilevel"/>
    <w:tmpl w:val="CF1CFF86"/>
    <w:lvl w:ilvl="0" w:tplc="E7DA179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B4E1525"/>
    <w:multiLevelType w:val="hybridMultilevel"/>
    <w:tmpl w:val="86026FAC"/>
    <w:lvl w:ilvl="0" w:tplc="F3A47742">
      <w:start w:val="1"/>
      <w:numFmt w:val="decimal"/>
      <w:lvlText w:val="%1."/>
      <w:lvlJc w:val="left"/>
      <w:pPr>
        <w:ind w:left="360" w:hanging="36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C8523C0"/>
    <w:multiLevelType w:val="hybridMultilevel"/>
    <w:tmpl w:val="27346AF2"/>
    <w:lvl w:ilvl="0" w:tplc="27764324">
      <w:start w:val="1"/>
      <w:numFmt w:val="decimal"/>
      <w:lvlText w:val="%1."/>
      <w:lvlJc w:val="left"/>
      <w:pPr>
        <w:ind w:left="360" w:hanging="360"/>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EB0488B"/>
    <w:multiLevelType w:val="hybridMultilevel"/>
    <w:tmpl w:val="CEA8A45E"/>
    <w:lvl w:ilvl="0" w:tplc="37F6581E">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FA755F1"/>
    <w:multiLevelType w:val="hybridMultilevel"/>
    <w:tmpl w:val="64CA353E"/>
    <w:lvl w:ilvl="0" w:tplc="6F0CB7F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34E746E5"/>
    <w:multiLevelType w:val="hybridMultilevel"/>
    <w:tmpl w:val="18E4674C"/>
    <w:lvl w:ilvl="0" w:tplc="52D87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70A464E"/>
    <w:multiLevelType w:val="hybridMultilevel"/>
    <w:tmpl w:val="A75603D4"/>
    <w:lvl w:ilvl="0" w:tplc="279610AC">
      <w:start w:val="1"/>
      <w:numFmt w:val="decimal"/>
      <w:lvlText w:val="%1."/>
      <w:lvlJc w:val="left"/>
      <w:pPr>
        <w:ind w:left="360" w:hanging="360"/>
      </w:pPr>
      <w:rPr>
        <w:rFonts w:ascii="Times New Roman" w:hAnsi="Times New Roman" w:cs="Times New Roman" w:hint="default"/>
        <w:sz w:val="30"/>
        <w:szCs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71968B6"/>
    <w:multiLevelType w:val="hybridMultilevel"/>
    <w:tmpl w:val="A4584250"/>
    <w:lvl w:ilvl="0" w:tplc="5C3CD1C8">
      <w:start w:val="1"/>
      <w:numFmt w:val="decimal"/>
      <w:lvlText w:val="%1."/>
      <w:lvlJc w:val="left"/>
      <w:pPr>
        <w:ind w:left="360" w:hanging="360"/>
      </w:pPr>
      <w:rPr>
        <w:rFonts w:hint="default"/>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7AC7AC2"/>
    <w:multiLevelType w:val="hybridMultilevel"/>
    <w:tmpl w:val="20C0DFFC"/>
    <w:lvl w:ilvl="0" w:tplc="48F8E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9F07634"/>
    <w:multiLevelType w:val="hybridMultilevel"/>
    <w:tmpl w:val="FD066BC4"/>
    <w:lvl w:ilvl="0" w:tplc="04090001">
      <w:start w:val="1"/>
      <w:numFmt w:val="bullet"/>
      <w:lvlText w:val=""/>
      <w:lvlJc w:val="left"/>
      <w:pPr>
        <w:ind w:left="1445" w:hanging="480"/>
      </w:pPr>
      <w:rPr>
        <w:rFonts w:ascii="Wingdings" w:hAnsi="Wingdings" w:hint="default"/>
      </w:rPr>
    </w:lvl>
    <w:lvl w:ilvl="1" w:tplc="04090003" w:tentative="1">
      <w:start w:val="1"/>
      <w:numFmt w:val="bullet"/>
      <w:lvlText w:val=""/>
      <w:lvlJc w:val="left"/>
      <w:pPr>
        <w:ind w:left="1925" w:hanging="480"/>
      </w:pPr>
      <w:rPr>
        <w:rFonts w:ascii="Wingdings" w:hAnsi="Wingdings" w:hint="default"/>
      </w:rPr>
    </w:lvl>
    <w:lvl w:ilvl="2" w:tplc="04090005" w:tentative="1">
      <w:start w:val="1"/>
      <w:numFmt w:val="bullet"/>
      <w:lvlText w:val=""/>
      <w:lvlJc w:val="left"/>
      <w:pPr>
        <w:ind w:left="2405" w:hanging="480"/>
      </w:pPr>
      <w:rPr>
        <w:rFonts w:ascii="Wingdings" w:hAnsi="Wingdings" w:hint="default"/>
      </w:rPr>
    </w:lvl>
    <w:lvl w:ilvl="3" w:tplc="04090001" w:tentative="1">
      <w:start w:val="1"/>
      <w:numFmt w:val="bullet"/>
      <w:lvlText w:val=""/>
      <w:lvlJc w:val="left"/>
      <w:pPr>
        <w:ind w:left="2885" w:hanging="480"/>
      </w:pPr>
      <w:rPr>
        <w:rFonts w:ascii="Wingdings" w:hAnsi="Wingdings" w:hint="default"/>
      </w:rPr>
    </w:lvl>
    <w:lvl w:ilvl="4" w:tplc="04090003" w:tentative="1">
      <w:start w:val="1"/>
      <w:numFmt w:val="bullet"/>
      <w:lvlText w:val=""/>
      <w:lvlJc w:val="left"/>
      <w:pPr>
        <w:ind w:left="3365" w:hanging="480"/>
      </w:pPr>
      <w:rPr>
        <w:rFonts w:ascii="Wingdings" w:hAnsi="Wingdings" w:hint="default"/>
      </w:rPr>
    </w:lvl>
    <w:lvl w:ilvl="5" w:tplc="04090005" w:tentative="1">
      <w:start w:val="1"/>
      <w:numFmt w:val="bullet"/>
      <w:lvlText w:val=""/>
      <w:lvlJc w:val="left"/>
      <w:pPr>
        <w:ind w:left="3845" w:hanging="480"/>
      </w:pPr>
      <w:rPr>
        <w:rFonts w:ascii="Wingdings" w:hAnsi="Wingdings" w:hint="default"/>
      </w:rPr>
    </w:lvl>
    <w:lvl w:ilvl="6" w:tplc="04090001" w:tentative="1">
      <w:start w:val="1"/>
      <w:numFmt w:val="bullet"/>
      <w:lvlText w:val=""/>
      <w:lvlJc w:val="left"/>
      <w:pPr>
        <w:ind w:left="4325" w:hanging="480"/>
      </w:pPr>
      <w:rPr>
        <w:rFonts w:ascii="Wingdings" w:hAnsi="Wingdings" w:hint="default"/>
      </w:rPr>
    </w:lvl>
    <w:lvl w:ilvl="7" w:tplc="04090003" w:tentative="1">
      <w:start w:val="1"/>
      <w:numFmt w:val="bullet"/>
      <w:lvlText w:val=""/>
      <w:lvlJc w:val="left"/>
      <w:pPr>
        <w:ind w:left="4805" w:hanging="480"/>
      </w:pPr>
      <w:rPr>
        <w:rFonts w:ascii="Wingdings" w:hAnsi="Wingdings" w:hint="default"/>
      </w:rPr>
    </w:lvl>
    <w:lvl w:ilvl="8" w:tplc="04090005" w:tentative="1">
      <w:start w:val="1"/>
      <w:numFmt w:val="bullet"/>
      <w:lvlText w:val=""/>
      <w:lvlJc w:val="left"/>
      <w:pPr>
        <w:ind w:left="5285" w:hanging="480"/>
      </w:pPr>
      <w:rPr>
        <w:rFonts w:ascii="Wingdings" w:hAnsi="Wingdings" w:hint="default"/>
      </w:rPr>
    </w:lvl>
  </w:abstractNum>
  <w:abstractNum w:abstractNumId="36">
    <w:nsid w:val="3D1468C1"/>
    <w:multiLevelType w:val="hybridMultilevel"/>
    <w:tmpl w:val="880CA9F0"/>
    <w:lvl w:ilvl="0" w:tplc="35B2562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D3311E8"/>
    <w:multiLevelType w:val="hybridMultilevel"/>
    <w:tmpl w:val="AA226D4A"/>
    <w:lvl w:ilvl="0" w:tplc="52D87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E14396D"/>
    <w:multiLevelType w:val="hybridMultilevel"/>
    <w:tmpl w:val="A4584250"/>
    <w:lvl w:ilvl="0" w:tplc="5C3CD1C8">
      <w:start w:val="1"/>
      <w:numFmt w:val="decimal"/>
      <w:lvlText w:val="%1."/>
      <w:lvlJc w:val="left"/>
      <w:pPr>
        <w:ind w:left="360" w:hanging="360"/>
      </w:pPr>
      <w:rPr>
        <w:rFonts w:hint="default"/>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F87573D"/>
    <w:multiLevelType w:val="hybridMultilevel"/>
    <w:tmpl w:val="ED241AA6"/>
    <w:lvl w:ilvl="0" w:tplc="E84643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FD75A2F"/>
    <w:multiLevelType w:val="hybridMultilevel"/>
    <w:tmpl w:val="875EC10C"/>
    <w:lvl w:ilvl="0" w:tplc="9930451C">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3346458"/>
    <w:multiLevelType w:val="hybridMultilevel"/>
    <w:tmpl w:val="6650A66E"/>
    <w:lvl w:ilvl="0" w:tplc="EF96080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396237F"/>
    <w:multiLevelType w:val="multilevel"/>
    <w:tmpl w:val="CF00BC78"/>
    <w:lvl w:ilvl="0">
      <w:start w:val="1"/>
      <w:numFmt w:val="ideographLegalTraditional"/>
      <w:suff w:val="nothing"/>
      <w:lvlText w:val="%1、"/>
      <w:lvlJc w:val="left"/>
      <w:pPr>
        <w:ind w:left="86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547"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18" w:hanging="698"/>
      </w:pPr>
      <w:rPr>
        <w:rFonts w:ascii="標楷體" w:eastAsia="標楷體" w:hint="eastAsia"/>
        <w:b w:val="0"/>
        <w:i w:val="0"/>
        <w:color w:val="auto"/>
        <w:spacing w:val="0"/>
        <w:w w:val="100"/>
        <w:position w:val="0"/>
        <w:sz w:val="32"/>
        <w:lang w:val="en-US"/>
      </w:rPr>
    </w:lvl>
    <w:lvl w:ilvl="4">
      <w:start w:val="1"/>
      <w:numFmt w:val="bullet"/>
      <w:lvlText w:val=""/>
      <w:lvlJc w:val="left"/>
      <w:pPr>
        <w:ind w:left="2095" w:hanging="700"/>
      </w:pPr>
      <w:rPr>
        <w:rFonts w:ascii="Wingdings" w:hAnsi="Wingdings" w:hint="default"/>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3">
    <w:nsid w:val="43D34A96"/>
    <w:multiLevelType w:val="hybridMultilevel"/>
    <w:tmpl w:val="C4D014E0"/>
    <w:lvl w:ilvl="0" w:tplc="01C2C526">
      <w:start w:val="1"/>
      <w:numFmt w:val="decimal"/>
      <w:lvlText w:val="%1."/>
      <w:lvlJc w:val="left"/>
      <w:pPr>
        <w:ind w:left="360" w:hanging="360"/>
      </w:pPr>
      <w:rPr>
        <w:rFonts w:ascii="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3E60AA2"/>
    <w:multiLevelType w:val="hybridMultilevel"/>
    <w:tmpl w:val="9ACC2930"/>
    <w:lvl w:ilvl="0" w:tplc="9930451C">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43C7AE6"/>
    <w:multiLevelType w:val="hybridMultilevel"/>
    <w:tmpl w:val="1082CBE0"/>
    <w:lvl w:ilvl="0" w:tplc="4294A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4AC3BB4"/>
    <w:multiLevelType w:val="hybridMultilevel"/>
    <w:tmpl w:val="9C340CC4"/>
    <w:lvl w:ilvl="0" w:tplc="A296C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5F92916"/>
    <w:multiLevelType w:val="hybridMultilevel"/>
    <w:tmpl w:val="01A46FA0"/>
    <w:lvl w:ilvl="0" w:tplc="7E1C666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6085B1D"/>
    <w:multiLevelType w:val="hybridMultilevel"/>
    <w:tmpl w:val="875E9FAA"/>
    <w:lvl w:ilvl="0" w:tplc="48846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6403E6D"/>
    <w:multiLevelType w:val="hybridMultilevel"/>
    <w:tmpl w:val="9C340CC4"/>
    <w:lvl w:ilvl="0" w:tplc="A296C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47820CE9"/>
    <w:multiLevelType w:val="hybridMultilevel"/>
    <w:tmpl w:val="880CA9F0"/>
    <w:lvl w:ilvl="0" w:tplc="35B2562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7F24EFA"/>
    <w:multiLevelType w:val="hybridMultilevel"/>
    <w:tmpl w:val="27346AF2"/>
    <w:lvl w:ilvl="0" w:tplc="27764324">
      <w:start w:val="1"/>
      <w:numFmt w:val="decimal"/>
      <w:lvlText w:val="%1."/>
      <w:lvlJc w:val="left"/>
      <w:pPr>
        <w:ind w:left="360" w:hanging="360"/>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8FB11D2"/>
    <w:multiLevelType w:val="hybridMultilevel"/>
    <w:tmpl w:val="18E4674C"/>
    <w:lvl w:ilvl="0" w:tplc="52D87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B0667AF"/>
    <w:multiLevelType w:val="hybridMultilevel"/>
    <w:tmpl w:val="3438D2D0"/>
    <w:lvl w:ilvl="0" w:tplc="EDC65DA0">
      <w:start w:val="1"/>
      <w:numFmt w:val="decimal"/>
      <w:lvlText w:val="%1."/>
      <w:lvlJc w:val="left"/>
      <w:pPr>
        <w:ind w:left="360" w:hanging="360"/>
      </w:pPr>
      <w:rPr>
        <w:rFonts w:ascii="標楷體" w:hAnsi="標楷體"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E402CE9"/>
    <w:multiLevelType w:val="hybridMultilevel"/>
    <w:tmpl w:val="875EC10C"/>
    <w:lvl w:ilvl="0" w:tplc="9930451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50726062"/>
    <w:multiLevelType w:val="hybridMultilevel"/>
    <w:tmpl w:val="D2102AA4"/>
    <w:lvl w:ilvl="0" w:tplc="900A7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42B49BC"/>
    <w:multiLevelType w:val="hybridMultilevel"/>
    <w:tmpl w:val="64CA353E"/>
    <w:lvl w:ilvl="0" w:tplc="6F0CB7F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nsid w:val="567D4F72"/>
    <w:multiLevelType w:val="hybridMultilevel"/>
    <w:tmpl w:val="1B46A3A0"/>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57297D07"/>
    <w:multiLevelType w:val="hybridMultilevel"/>
    <w:tmpl w:val="C4D014E0"/>
    <w:lvl w:ilvl="0" w:tplc="01C2C526">
      <w:start w:val="1"/>
      <w:numFmt w:val="decimal"/>
      <w:lvlText w:val="%1."/>
      <w:lvlJc w:val="left"/>
      <w:pPr>
        <w:ind w:left="360" w:hanging="360"/>
      </w:pPr>
      <w:rPr>
        <w:rFonts w:ascii="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76E6C4B"/>
    <w:multiLevelType w:val="hybridMultilevel"/>
    <w:tmpl w:val="880CA9F0"/>
    <w:lvl w:ilvl="0" w:tplc="35B2562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57D25A99"/>
    <w:multiLevelType w:val="hybridMultilevel"/>
    <w:tmpl w:val="9440EB8C"/>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59DC0431"/>
    <w:multiLevelType w:val="hybridMultilevel"/>
    <w:tmpl w:val="9440EB8C"/>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AB05ABA"/>
    <w:multiLevelType w:val="hybridMultilevel"/>
    <w:tmpl w:val="43129FC0"/>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CCA0D05"/>
    <w:multiLevelType w:val="hybridMultilevel"/>
    <w:tmpl w:val="9440EB8C"/>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D52638C"/>
    <w:multiLevelType w:val="hybridMultilevel"/>
    <w:tmpl w:val="9440EB8C"/>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600A1B72"/>
    <w:multiLevelType w:val="hybridMultilevel"/>
    <w:tmpl w:val="3438D2D0"/>
    <w:lvl w:ilvl="0" w:tplc="EDC65DA0">
      <w:start w:val="1"/>
      <w:numFmt w:val="decimal"/>
      <w:lvlText w:val="%1."/>
      <w:lvlJc w:val="left"/>
      <w:pPr>
        <w:ind w:left="360" w:hanging="360"/>
      </w:pPr>
      <w:rPr>
        <w:rFonts w:ascii="標楷體" w:hAnsi="標楷體"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62A5166B"/>
    <w:multiLevelType w:val="hybridMultilevel"/>
    <w:tmpl w:val="E0F49B5A"/>
    <w:lvl w:ilvl="0" w:tplc="D2BAA704">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68321357"/>
    <w:multiLevelType w:val="hybridMultilevel"/>
    <w:tmpl w:val="7310B240"/>
    <w:lvl w:ilvl="0" w:tplc="03C28680">
      <w:start w:val="1"/>
      <w:numFmt w:val="decimal"/>
      <w:lvlText w:val="%1."/>
      <w:lvlJc w:val="left"/>
      <w:pPr>
        <w:ind w:left="360" w:hanging="360"/>
      </w:pPr>
      <w:rPr>
        <w:rFonts w:asci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6AE64A2A"/>
    <w:multiLevelType w:val="hybridMultilevel"/>
    <w:tmpl w:val="0C12881A"/>
    <w:lvl w:ilvl="0" w:tplc="49C69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6B8C1702"/>
    <w:multiLevelType w:val="hybridMultilevel"/>
    <w:tmpl w:val="ED241AA6"/>
    <w:lvl w:ilvl="0" w:tplc="E84643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76027E62"/>
    <w:multiLevelType w:val="hybridMultilevel"/>
    <w:tmpl w:val="9440EB8C"/>
    <w:lvl w:ilvl="0" w:tplc="1E40C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76C12C18"/>
    <w:multiLevelType w:val="hybridMultilevel"/>
    <w:tmpl w:val="D1403920"/>
    <w:lvl w:ilvl="0" w:tplc="ED86B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7D5B4D3D"/>
    <w:multiLevelType w:val="hybridMultilevel"/>
    <w:tmpl w:val="68D2AD4A"/>
    <w:lvl w:ilvl="0" w:tplc="7DC4668C">
      <w:start w:val="1"/>
      <w:numFmt w:val="decimal"/>
      <w:lvlText w:val="%1."/>
      <w:lvlJc w:val="left"/>
      <w:pPr>
        <w:ind w:left="360" w:hanging="360"/>
      </w:pPr>
      <w:rPr>
        <w:rFonts w:ascii="標楷體" w:cs="Arial Unicode M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
    <w:abstractNumId w:val="19"/>
  </w:num>
  <w:num w:numId="4">
    <w:abstractNumId w:val="4"/>
  </w:num>
  <w:num w:numId="5">
    <w:abstractNumId w:val="14"/>
  </w:num>
  <w:num w:numId="6">
    <w:abstractNumId w:val="0"/>
  </w:num>
  <w:num w:numId="7">
    <w:abstractNumId w:val="68"/>
  </w:num>
  <w:num w:numId="8">
    <w:abstractNumId w:val="7"/>
  </w:num>
  <w:num w:numId="9">
    <w:abstractNumId w:val="17"/>
  </w:num>
  <w:num w:numId="10">
    <w:abstractNumId w:val="63"/>
  </w:num>
  <w:num w:numId="11">
    <w:abstractNumId w:val="21"/>
  </w:num>
  <w:num w:numId="12">
    <w:abstractNumId w:val="69"/>
  </w:num>
  <w:num w:numId="13">
    <w:abstractNumId w:val="12"/>
  </w:num>
  <w:num w:numId="14">
    <w:abstractNumId w:val="60"/>
  </w:num>
  <w:num w:numId="15">
    <w:abstractNumId w:val="64"/>
  </w:num>
  <w:num w:numId="16">
    <w:abstractNumId w:val="20"/>
  </w:num>
  <w:num w:numId="17">
    <w:abstractNumId w:val="35"/>
  </w:num>
  <w:num w:numId="18">
    <w:abstractNumId w:val="26"/>
  </w:num>
  <w:num w:numId="19">
    <w:abstractNumId w:val="48"/>
  </w:num>
  <w:num w:numId="20">
    <w:abstractNumId w:val="39"/>
  </w:num>
  <w:num w:numId="21">
    <w:abstractNumId w:val="71"/>
  </w:num>
  <w:num w:numId="22">
    <w:abstractNumId w:val="61"/>
  </w:num>
  <w:num w:numId="23">
    <w:abstractNumId w:val="34"/>
  </w:num>
  <w:num w:numId="24">
    <w:abstractNumId w:val="23"/>
  </w:num>
  <w:num w:numId="25">
    <w:abstractNumId w:val="49"/>
  </w:num>
  <w:num w:numId="26">
    <w:abstractNumId w:val="36"/>
  </w:num>
  <w:num w:numId="27">
    <w:abstractNumId w:val="59"/>
  </w:num>
  <w:num w:numId="28">
    <w:abstractNumId w:val="70"/>
  </w:num>
  <w:num w:numId="29">
    <w:abstractNumId w:val="57"/>
  </w:num>
  <w:num w:numId="30">
    <w:abstractNumId w:val="24"/>
  </w:num>
  <w:num w:numId="31">
    <w:abstractNumId w:val="62"/>
  </w:num>
  <w:num w:numId="32">
    <w:abstractNumId w:val="28"/>
  </w:num>
  <w:num w:numId="33">
    <w:abstractNumId w:val="51"/>
  </w:num>
  <w:num w:numId="34">
    <w:abstractNumId w:val="15"/>
  </w:num>
  <w:num w:numId="35">
    <w:abstractNumId w:val="43"/>
  </w:num>
  <w:num w:numId="36">
    <w:abstractNumId w:val="58"/>
  </w:num>
  <w:num w:numId="37">
    <w:abstractNumId w:val="52"/>
  </w:num>
  <w:num w:numId="38">
    <w:abstractNumId w:val="31"/>
  </w:num>
  <w:num w:numId="39">
    <w:abstractNumId w:val="37"/>
  </w:num>
  <w:num w:numId="40">
    <w:abstractNumId w:val="53"/>
  </w:num>
  <w:num w:numId="41">
    <w:abstractNumId w:val="65"/>
  </w:num>
  <w:num w:numId="42">
    <w:abstractNumId w:val="29"/>
  </w:num>
  <w:num w:numId="43">
    <w:abstractNumId w:val="6"/>
  </w:num>
  <w:num w:numId="44">
    <w:abstractNumId w:val="2"/>
  </w:num>
  <w:num w:numId="45">
    <w:abstractNumId w:val="72"/>
  </w:num>
  <w:num w:numId="46">
    <w:abstractNumId w:val="55"/>
  </w:num>
  <w:num w:numId="47">
    <w:abstractNumId w:val="45"/>
  </w:num>
  <w:num w:numId="48">
    <w:abstractNumId w:val="11"/>
  </w:num>
  <w:num w:numId="49">
    <w:abstractNumId w:val="16"/>
  </w:num>
  <w:num w:numId="50">
    <w:abstractNumId w:val="25"/>
  </w:num>
  <w:num w:numId="51">
    <w:abstractNumId w:val="13"/>
  </w:num>
  <w:num w:numId="52">
    <w:abstractNumId w:val="41"/>
  </w:num>
  <w:num w:numId="53">
    <w:abstractNumId w:val="67"/>
  </w:num>
  <w:num w:numId="54">
    <w:abstractNumId w:val="27"/>
  </w:num>
  <w:num w:numId="55">
    <w:abstractNumId w:val="9"/>
  </w:num>
  <w:num w:numId="56">
    <w:abstractNumId w:val="18"/>
  </w:num>
  <w:num w:numId="57">
    <w:abstractNumId w:val="66"/>
  </w:num>
  <w:num w:numId="58">
    <w:abstractNumId w:val="47"/>
  </w:num>
  <w:num w:numId="59">
    <w:abstractNumId w:val="5"/>
  </w:num>
  <w:num w:numId="60">
    <w:abstractNumId w:val="8"/>
  </w:num>
  <w:num w:numId="61">
    <w:abstractNumId w:val="46"/>
  </w:num>
  <w:num w:numId="62">
    <w:abstractNumId w:val="32"/>
  </w:num>
  <w:num w:numId="63">
    <w:abstractNumId w:val="56"/>
  </w:num>
  <w:num w:numId="64">
    <w:abstractNumId w:val="54"/>
  </w:num>
  <w:num w:numId="65">
    <w:abstractNumId w:val="33"/>
  </w:num>
  <w:num w:numId="66">
    <w:abstractNumId w:val="3"/>
  </w:num>
  <w:num w:numId="67">
    <w:abstractNumId w:val="44"/>
  </w:num>
  <w:num w:numId="68">
    <w:abstractNumId w:val="42"/>
  </w:num>
  <w:num w:numId="69">
    <w:abstractNumId w:val="38"/>
  </w:num>
  <w:num w:numId="70">
    <w:abstractNumId w:val="30"/>
  </w:num>
  <w:num w:numId="71">
    <w:abstractNumId w:val="50"/>
  </w:num>
  <w:num w:numId="72">
    <w:abstractNumId w:val="22"/>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num>
  <w:num w:numId="76">
    <w:abstractNumId w:val="14"/>
  </w:num>
  <w:num w:numId="77">
    <w:abstractNumId w:val="14"/>
  </w:num>
  <w:num w:numId="78">
    <w:abstractNumId w:val="14"/>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removePersonalInformation/>
  <w:removeDateAndTime/>
  <w:bordersDoNotSurroundHeader/>
  <w:bordersDoNotSurroundFooter/>
  <w:hideSpellingErrors/>
  <w:proofState w:spelling="clean" w:grammar="clean"/>
  <w:defaultTabStop w:val="0"/>
  <w:drawingGridHorizontalSpacing w:val="170"/>
  <w:drawingGridVerticalSpacing w:val="457"/>
  <w:displayHorizontalDrawingGridEvery w:val="0"/>
  <w:characterSpacingControl w:val="compressPunctuation"/>
  <w:hdrShapeDefaults>
    <o:shapedefaults v:ext="edit" spidmax="6860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670F8"/>
    <w:rsid w:val="0000039C"/>
    <w:rsid w:val="00000621"/>
    <w:rsid w:val="0000106A"/>
    <w:rsid w:val="0000112B"/>
    <w:rsid w:val="00001174"/>
    <w:rsid w:val="0000146E"/>
    <w:rsid w:val="000017BA"/>
    <w:rsid w:val="000018F4"/>
    <w:rsid w:val="00001BA5"/>
    <w:rsid w:val="0000307D"/>
    <w:rsid w:val="000032DF"/>
    <w:rsid w:val="000035AA"/>
    <w:rsid w:val="00003B4A"/>
    <w:rsid w:val="00003E14"/>
    <w:rsid w:val="000040D2"/>
    <w:rsid w:val="00004D4E"/>
    <w:rsid w:val="00005260"/>
    <w:rsid w:val="00005480"/>
    <w:rsid w:val="00005B25"/>
    <w:rsid w:val="00005D1A"/>
    <w:rsid w:val="00006448"/>
    <w:rsid w:val="00007543"/>
    <w:rsid w:val="00007985"/>
    <w:rsid w:val="00007A7C"/>
    <w:rsid w:val="00010497"/>
    <w:rsid w:val="00011543"/>
    <w:rsid w:val="00011561"/>
    <w:rsid w:val="0001195E"/>
    <w:rsid w:val="00011B6A"/>
    <w:rsid w:val="000127EE"/>
    <w:rsid w:val="0001461C"/>
    <w:rsid w:val="000154D4"/>
    <w:rsid w:val="000160C3"/>
    <w:rsid w:val="00016119"/>
    <w:rsid w:val="00016307"/>
    <w:rsid w:val="0001683C"/>
    <w:rsid w:val="00016B5C"/>
    <w:rsid w:val="00016F24"/>
    <w:rsid w:val="00017333"/>
    <w:rsid w:val="00017BCB"/>
    <w:rsid w:val="00021191"/>
    <w:rsid w:val="000215BB"/>
    <w:rsid w:val="00022401"/>
    <w:rsid w:val="00022988"/>
    <w:rsid w:val="00022A38"/>
    <w:rsid w:val="000238EC"/>
    <w:rsid w:val="00023FDC"/>
    <w:rsid w:val="000242B1"/>
    <w:rsid w:val="00024B3B"/>
    <w:rsid w:val="00025097"/>
    <w:rsid w:val="00025196"/>
    <w:rsid w:val="00025405"/>
    <w:rsid w:val="00026417"/>
    <w:rsid w:val="00026882"/>
    <w:rsid w:val="00027AF0"/>
    <w:rsid w:val="0003017A"/>
    <w:rsid w:val="000304D2"/>
    <w:rsid w:val="000319B3"/>
    <w:rsid w:val="00031BE3"/>
    <w:rsid w:val="00031F93"/>
    <w:rsid w:val="00032623"/>
    <w:rsid w:val="000336E5"/>
    <w:rsid w:val="000338ED"/>
    <w:rsid w:val="00033E6F"/>
    <w:rsid w:val="00033E8F"/>
    <w:rsid w:val="0003438F"/>
    <w:rsid w:val="00034A8F"/>
    <w:rsid w:val="00034C16"/>
    <w:rsid w:val="00034F4E"/>
    <w:rsid w:val="00035517"/>
    <w:rsid w:val="00035C60"/>
    <w:rsid w:val="00035CD0"/>
    <w:rsid w:val="0003625E"/>
    <w:rsid w:val="000366C3"/>
    <w:rsid w:val="000371EE"/>
    <w:rsid w:val="0003720B"/>
    <w:rsid w:val="00037CFD"/>
    <w:rsid w:val="00037DFB"/>
    <w:rsid w:val="00040787"/>
    <w:rsid w:val="00040962"/>
    <w:rsid w:val="000409D2"/>
    <w:rsid w:val="00040C4C"/>
    <w:rsid w:val="00040DEE"/>
    <w:rsid w:val="00041295"/>
    <w:rsid w:val="00041C6A"/>
    <w:rsid w:val="00041F1D"/>
    <w:rsid w:val="00042960"/>
    <w:rsid w:val="00042F52"/>
    <w:rsid w:val="000436B5"/>
    <w:rsid w:val="000437B8"/>
    <w:rsid w:val="000439AB"/>
    <w:rsid w:val="00043AE1"/>
    <w:rsid w:val="00043E80"/>
    <w:rsid w:val="0004422C"/>
    <w:rsid w:val="0004439D"/>
    <w:rsid w:val="00044D25"/>
    <w:rsid w:val="00044D9D"/>
    <w:rsid w:val="00045A1D"/>
    <w:rsid w:val="00045BD0"/>
    <w:rsid w:val="0004629F"/>
    <w:rsid w:val="00046A58"/>
    <w:rsid w:val="00051084"/>
    <w:rsid w:val="000513A9"/>
    <w:rsid w:val="000517FD"/>
    <w:rsid w:val="00052413"/>
    <w:rsid w:val="00052F74"/>
    <w:rsid w:val="000534B8"/>
    <w:rsid w:val="00053EE0"/>
    <w:rsid w:val="0005409B"/>
    <w:rsid w:val="000543FC"/>
    <w:rsid w:val="00054986"/>
    <w:rsid w:val="0005535C"/>
    <w:rsid w:val="000555D7"/>
    <w:rsid w:val="000557B6"/>
    <w:rsid w:val="00055F07"/>
    <w:rsid w:val="000606A6"/>
    <w:rsid w:val="00060AD1"/>
    <w:rsid w:val="00060BE4"/>
    <w:rsid w:val="00060CF7"/>
    <w:rsid w:val="00060F89"/>
    <w:rsid w:val="00061D68"/>
    <w:rsid w:val="00061EB7"/>
    <w:rsid w:val="000622C0"/>
    <w:rsid w:val="000626F1"/>
    <w:rsid w:val="00062B91"/>
    <w:rsid w:val="00063256"/>
    <w:rsid w:val="000633F2"/>
    <w:rsid w:val="00064199"/>
    <w:rsid w:val="00065BBE"/>
    <w:rsid w:val="000660E9"/>
    <w:rsid w:val="00066EB2"/>
    <w:rsid w:val="000671A4"/>
    <w:rsid w:val="0006778A"/>
    <w:rsid w:val="00067A4A"/>
    <w:rsid w:val="00067BAC"/>
    <w:rsid w:val="00070D7D"/>
    <w:rsid w:val="00070E80"/>
    <w:rsid w:val="00071727"/>
    <w:rsid w:val="000717AA"/>
    <w:rsid w:val="000717F2"/>
    <w:rsid w:val="00071AF0"/>
    <w:rsid w:val="00071D87"/>
    <w:rsid w:val="00072181"/>
    <w:rsid w:val="0007236E"/>
    <w:rsid w:val="000726EF"/>
    <w:rsid w:val="00072CA4"/>
    <w:rsid w:val="00074012"/>
    <w:rsid w:val="000754C8"/>
    <w:rsid w:val="00076147"/>
    <w:rsid w:val="00076602"/>
    <w:rsid w:val="00076ECC"/>
    <w:rsid w:val="00077317"/>
    <w:rsid w:val="00080CB9"/>
    <w:rsid w:val="000812C6"/>
    <w:rsid w:val="000817AA"/>
    <w:rsid w:val="0008183E"/>
    <w:rsid w:val="0008185F"/>
    <w:rsid w:val="00081E1B"/>
    <w:rsid w:val="000820A3"/>
    <w:rsid w:val="00082917"/>
    <w:rsid w:val="00082E9C"/>
    <w:rsid w:val="00083872"/>
    <w:rsid w:val="00083BDC"/>
    <w:rsid w:val="00084B2F"/>
    <w:rsid w:val="0008561E"/>
    <w:rsid w:val="00086201"/>
    <w:rsid w:val="00086494"/>
    <w:rsid w:val="00086A9D"/>
    <w:rsid w:val="00086FD0"/>
    <w:rsid w:val="000879B3"/>
    <w:rsid w:val="00090B26"/>
    <w:rsid w:val="00090C02"/>
    <w:rsid w:val="00090D3E"/>
    <w:rsid w:val="00091230"/>
    <w:rsid w:val="0009168E"/>
    <w:rsid w:val="000916E4"/>
    <w:rsid w:val="000917E8"/>
    <w:rsid w:val="00093851"/>
    <w:rsid w:val="0009388E"/>
    <w:rsid w:val="000942A9"/>
    <w:rsid w:val="000945A0"/>
    <w:rsid w:val="00094766"/>
    <w:rsid w:val="00095978"/>
    <w:rsid w:val="00097104"/>
    <w:rsid w:val="000A0219"/>
    <w:rsid w:val="000A06B6"/>
    <w:rsid w:val="000A0788"/>
    <w:rsid w:val="000A0E9B"/>
    <w:rsid w:val="000A13DD"/>
    <w:rsid w:val="000A1685"/>
    <w:rsid w:val="000A16D0"/>
    <w:rsid w:val="000A2671"/>
    <w:rsid w:val="000A28E0"/>
    <w:rsid w:val="000A3295"/>
    <w:rsid w:val="000A3785"/>
    <w:rsid w:val="000A38E8"/>
    <w:rsid w:val="000A4137"/>
    <w:rsid w:val="000A420E"/>
    <w:rsid w:val="000A5F2A"/>
    <w:rsid w:val="000A620F"/>
    <w:rsid w:val="000A63B8"/>
    <w:rsid w:val="000A6691"/>
    <w:rsid w:val="000A6C5B"/>
    <w:rsid w:val="000A70C0"/>
    <w:rsid w:val="000A7C3A"/>
    <w:rsid w:val="000B0BC9"/>
    <w:rsid w:val="000B1059"/>
    <w:rsid w:val="000B1364"/>
    <w:rsid w:val="000B1DCD"/>
    <w:rsid w:val="000B2804"/>
    <w:rsid w:val="000B2942"/>
    <w:rsid w:val="000B2C0E"/>
    <w:rsid w:val="000B2E14"/>
    <w:rsid w:val="000B3528"/>
    <w:rsid w:val="000B50B2"/>
    <w:rsid w:val="000B67BF"/>
    <w:rsid w:val="000B6CD3"/>
    <w:rsid w:val="000B77C2"/>
    <w:rsid w:val="000B77C5"/>
    <w:rsid w:val="000B7A24"/>
    <w:rsid w:val="000C0217"/>
    <w:rsid w:val="000C107A"/>
    <w:rsid w:val="000C1F7B"/>
    <w:rsid w:val="000C2A1E"/>
    <w:rsid w:val="000C2B72"/>
    <w:rsid w:val="000C2F3F"/>
    <w:rsid w:val="000C3DDF"/>
    <w:rsid w:val="000C3E88"/>
    <w:rsid w:val="000C3FB8"/>
    <w:rsid w:val="000C4080"/>
    <w:rsid w:val="000C4C40"/>
    <w:rsid w:val="000C5A10"/>
    <w:rsid w:val="000C60E2"/>
    <w:rsid w:val="000C630E"/>
    <w:rsid w:val="000C64C7"/>
    <w:rsid w:val="000C6D09"/>
    <w:rsid w:val="000C7554"/>
    <w:rsid w:val="000C7C3D"/>
    <w:rsid w:val="000C7D7E"/>
    <w:rsid w:val="000D0F71"/>
    <w:rsid w:val="000D1008"/>
    <w:rsid w:val="000D1568"/>
    <w:rsid w:val="000D1A0B"/>
    <w:rsid w:val="000D1AE8"/>
    <w:rsid w:val="000D1BBB"/>
    <w:rsid w:val="000D222C"/>
    <w:rsid w:val="000D2AEC"/>
    <w:rsid w:val="000D5FF2"/>
    <w:rsid w:val="000D63F2"/>
    <w:rsid w:val="000D6602"/>
    <w:rsid w:val="000D6D45"/>
    <w:rsid w:val="000D6ECA"/>
    <w:rsid w:val="000D74E2"/>
    <w:rsid w:val="000D7632"/>
    <w:rsid w:val="000E04B7"/>
    <w:rsid w:val="000E07FE"/>
    <w:rsid w:val="000E1356"/>
    <w:rsid w:val="000E13B8"/>
    <w:rsid w:val="000E1866"/>
    <w:rsid w:val="000E1D33"/>
    <w:rsid w:val="000E2B18"/>
    <w:rsid w:val="000E2C1E"/>
    <w:rsid w:val="000E3131"/>
    <w:rsid w:val="000E37AB"/>
    <w:rsid w:val="000E4671"/>
    <w:rsid w:val="000E528D"/>
    <w:rsid w:val="000E64DC"/>
    <w:rsid w:val="000E77C4"/>
    <w:rsid w:val="000F0B5F"/>
    <w:rsid w:val="000F0F57"/>
    <w:rsid w:val="000F2250"/>
    <w:rsid w:val="000F268B"/>
    <w:rsid w:val="000F2879"/>
    <w:rsid w:val="000F2CDD"/>
    <w:rsid w:val="000F2DE8"/>
    <w:rsid w:val="000F3691"/>
    <w:rsid w:val="000F436A"/>
    <w:rsid w:val="000F4E2D"/>
    <w:rsid w:val="000F5024"/>
    <w:rsid w:val="000F552A"/>
    <w:rsid w:val="000F5A00"/>
    <w:rsid w:val="000F5D12"/>
    <w:rsid w:val="000F62E9"/>
    <w:rsid w:val="000F68A4"/>
    <w:rsid w:val="000F6924"/>
    <w:rsid w:val="00101046"/>
    <w:rsid w:val="00101AB9"/>
    <w:rsid w:val="00101AEA"/>
    <w:rsid w:val="00101B4C"/>
    <w:rsid w:val="00101BFC"/>
    <w:rsid w:val="0010224E"/>
    <w:rsid w:val="001029CB"/>
    <w:rsid w:val="00102C31"/>
    <w:rsid w:val="00102C76"/>
    <w:rsid w:val="00103052"/>
    <w:rsid w:val="00103FD2"/>
    <w:rsid w:val="0010429A"/>
    <w:rsid w:val="0010444A"/>
    <w:rsid w:val="001046DB"/>
    <w:rsid w:val="00104E00"/>
    <w:rsid w:val="00104E49"/>
    <w:rsid w:val="00105B3C"/>
    <w:rsid w:val="00106016"/>
    <w:rsid w:val="0010618F"/>
    <w:rsid w:val="00106452"/>
    <w:rsid w:val="00106603"/>
    <w:rsid w:val="0010764A"/>
    <w:rsid w:val="00107BF9"/>
    <w:rsid w:val="0011071A"/>
    <w:rsid w:val="00111016"/>
    <w:rsid w:val="00111825"/>
    <w:rsid w:val="001127CA"/>
    <w:rsid w:val="00112814"/>
    <w:rsid w:val="00112908"/>
    <w:rsid w:val="00112A7A"/>
    <w:rsid w:val="00112DF8"/>
    <w:rsid w:val="00112DFC"/>
    <w:rsid w:val="00113976"/>
    <w:rsid w:val="00113ACC"/>
    <w:rsid w:val="00113F33"/>
    <w:rsid w:val="001144A0"/>
    <w:rsid w:val="00114A5C"/>
    <w:rsid w:val="0011509B"/>
    <w:rsid w:val="00115AE2"/>
    <w:rsid w:val="00115C61"/>
    <w:rsid w:val="00120765"/>
    <w:rsid w:val="001209BB"/>
    <w:rsid w:val="00120ACF"/>
    <w:rsid w:val="00120D32"/>
    <w:rsid w:val="00121631"/>
    <w:rsid w:val="00122722"/>
    <w:rsid w:val="00123848"/>
    <w:rsid w:val="00123938"/>
    <w:rsid w:val="00123BA1"/>
    <w:rsid w:val="00123D31"/>
    <w:rsid w:val="00123E8A"/>
    <w:rsid w:val="00124893"/>
    <w:rsid w:val="00124DEB"/>
    <w:rsid w:val="00124E5B"/>
    <w:rsid w:val="00125188"/>
    <w:rsid w:val="00125336"/>
    <w:rsid w:val="001253AE"/>
    <w:rsid w:val="00125A19"/>
    <w:rsid w:val="00125C3B"/>
    <w:rsid w:val="001265A5"/>
    <w:rsid w:val="00126D7D"/>
    <w:rsid w:val="00127150"/>
    <w:rsid w:val="001276D4"/>
    <w:rsid w:val="00127F2E"/>
    <w:rsid w:val="001300E7"/>
    <w:rsid w:val="00130B81"/>
    <w:rsid w:val="0013127E"/>
    <w:rsid w:val="00131457"/>
    <w:rsid w:val="001318A5"/>
    <w:rsid w:val="00132727"/>
    <w:rsid w:val="00133497"/>
    <w:rsid w:val="001338C3"/>
    <w:rsid w:val="00133961"/>
    <w:rsid w:val="00133E9B"/>
    <w:rsid w:val="00133F6D"/>
    <w:rsid w:val="001348D9"/>
    <w:rsid w:val="001355F5"/>
    <w:rsid w:val="001358F2"/>
    <w:rsid w:val="00136516"/>
    <w:rsid w:val="0013682F"/>
    <w:rsid w:val="00136DC4"/>
    <w:rsid w:val="00137583"/>
    <w:rsid w:val="00137D4A"/>
    <w:rsid w:val="00137D65"/>
    <w:rsid w:val="0014030F"/>
    <w:rsid w:val="00140A76"/>
    <w:rsid w:val="001415D8"/>
    <w:rsid w:val="00141993"/>
    <w:rsid w:val="00142890"/>
    <w:rsid w:val="001428BC"/>
    <w:rsid w:val="0014393A"/>
    <w:rsid w:val="00144913"/>
    <w:rsid w:val="00144C18"/>
    <w:rsid w:val="00144E52"/>
    <w:rsid w:val="00145994"/>
    <w:rsid w:val="00145E42"/>
    <w:rsid w:val="00145FFC"/>
    <w:rsid w:val="001460B3"/>
    <w:rsid w:val="001467DD"/>
    <w:rsid w:val="00146A6F"/>
    <w:rsid w:val="001475E5"/>
    <w:rsid w:val="00147A0B"/>
    <w:rsid w:val="00147E88"/>
    <w:rsid w:val="00150068"/>
    <w:rsid w:val="001503F8"/>
    <w:rsid w:val="00150AF1"/>
    <w:rsid w:val="00150C92"/>
    <w:rsid w:val="00151F73"/>
    <w:rsid w:val="00151F7C"/>
    <w:rsid w:val="001532D2"/>
    <w:rsid w:val="001538FB"/>
    <w:rsid w:val="00153941"/>
    <w:rsid w:val="0015490C"/>
    <w:rsid w:val="0015537A"/>
    <w:rsid w:val="00155539"/>
    <w:rsid w:val="00156728"/>
    <w:rsid w:val="00156A17"/>
    <w:rsid w:val="00156FF9"/>
    <w:rsid w:val="00157436"/>
    <w:rsid w:val="00157511"/>
    <w:rsid w:val="00157B62"/>
    <w:rsid w:val="00160DB9"/>
    <w:rsid w:val="00160E8E"/>
    <w:rsid w:val="00161253"/>
    <w:rsid w:val="001612BE"/>
    <w:rsid w:val="00162037"/>
    <w:rsid w:val="0016291A"/>
    <w:rsid w:val="001629FE"/>
    <w:rsid w:val="001635AF"/>
    <w:rsid w:val="00164854"/>
    <w:rsid w:val="00164AB3"/>
    <w:rsid w:val="001654EA"/>
    <w:rsid w:val="00165AC4"/>
    <w:rsid w:val="0016673D"/>
    <w:rsid w:val="00166F57"/>
    <w:rsid w:val="00167138"/>
    <w:rsid w:val="00167C4A"/>
    <w:rsid w:val="0017079B"/>
    <w:rsid w:val="00170B71"/>
    <w:rsid w:val="001711FA"/>
    <w:rsid w:val="00171556"/>
    <w:rsid w:val="001722C8"/>
    <w:rsid w:val="001722EB"/>
    <w:rsid w:val="001727EF"/>
    <w:rsid w:val="00172BEE"/>
    <w:rsid w:val="00172FA4"/>
    <w:rsid w:val="00173687"/>
    <w:rsid w:val="00173EB3"/>
    <w:rsid w:val="00173F2A"/>
    <w:rsid w:val="00173FAC"/>
    <w:rsid w:val="00174F39"/>
    <w:rsid w:val="001759B4"/>
    <w:rsid w:val="00175D4C"/>
    <w:rsid w:val="00175F5D"/>
    <w:rsid w:val="00176CA6"/>
    <w:rsid w:val="0017743E"/>
    <w:rsid w:val="00177F1A"/>
    <w:rsid w:val="00177FD0"/>
    <w:rsid w:val="0018319D"/>
    <w:rsid w:val="00183570"/>
    <w:rsid w:val="00183F1B"/>
    <w:rsid w:val="00183F58"/>
    <w:rsid w:val="0018430E"/>
    <w:rsid w:val="00184465"/>
    <w:rsid w:val="001846BC"/>
    <w:rsid w:val="00185C47"/>
    <w:rsid w:val="00185E94"/>
    <w:rsid w:val="00185FEB"/>
    <w:rsid w:val="0018612F"/>
    <w:rsid w:val="00186157"/>
    <w:rsid w:val="00186CD6"/>
    <w:rsid w:val="001873ED"/>
    <w:rsid w:val="00187C79"/>
    <w:rsid w:val="00187C94"/>
    <w:rsid w:val="00190006"/>
    <w:rsid w:val="001901ED"/>
    <w:rsid w:val="00190488"/>
    <w:rsid w:val="00190F8C"/>
    <w:rsid w:val="00191CC2"/>
    <w:rsid w:val="00191F97"/>
    <w:rsid w:val="00192163"/>
    <w:rsid w:val="001923E9"/>
    <w:rsid w:val="00192473"/>
    <w:rsid w:val="001924DB"/>
    <w:rsid w:val="00192D6E"/>
    <w:rsid w:val="001933CA"/>
    <w:rsid w:val="00194057"/>
    <w:rsid w:val="001942A2"/>
    <w:rsid w:val="00194421"/>
    <w:rsid w:val="001946CD"/>
    <w:rsid w:val="00194B35"/>
    <w:rsid w:val="00195324"/>
    <w:rsid w:val="00195D81"/>
    <w:rsid w:val="00195F41"/>
    <w:rsid w:val="0019655F"/>
    <w:rsid w:val="001A0717"/>
    <w:rsid w:val="001A0BF4"/>
    <w:rsid w:val="001A0CEF"/>
    <w:rsid w:val="001A1731"/>
    <w:rsid w:val="001A1767"/>
    <w:rsid w:val="001A1860"/>
    <w:rsid w:val="001A1A65"/>
    <w:rsid w:val="001A237B"/>
    <w:rsid w:val="001A2400"/>
    <w:rsid w:val="001A2F2B"/>
    <w:rsid w:val="001A3DC3"/>
    <w:rsid w:val="001A5CB2"/>
    <w:rsid w:val="001A5DD3"/>
    <w:rsid w:val="001A7BB0"/>
    <w:rsid w:val="001A7FD7"/>
    <w:rsid w:val="001B1277"/>
    <w:rsid w:val="001B1409"/>
    <w:rsid w:val="001B1866"/>
    <w:rsid w:val="001B2133"/>
    <w:rsid w:val="001B2997"/>
    <w:rsid w:val="001B2D1F"/>
    <w:rsid w:val="001B38ED"/>
    <w:rsid w:val="001B3B31"/>
    <w:rsid w:val="001B4201"/>
    <w:rsid w:val="001B4625"/>
    <w:rsid w:val="001B4B3F"/>
    <w:rsid w:val="001B4DCB"/>
    <w:rsid w:val="001B5241"/>
    <w:rsid w:val="001B53C6"/>
    <w:rsid w:val="001B54A7"/>
    <w:rsid w:val="001B5A0B"/>
    <w:rsid w:val="001B5FD7"/>
    <w:rsid w:val="001B628D"/>
    <w:rsid w:val="001B6752"/>
    <w:rsid w:val="001B6F83"/>
    <w:rsid w:val="001B78C2"/>
    <w:rsid w:val="001C042E"/>
    <w:rsid w:val="001C056F"/>
    <w:rsid w:val="001C186E"/>
    <w:rsid w:val="001C1AC5"/>
    <w:rsid w:val="001C1B8D"/>
    <w:rsid w:val="001C215B"/>
    <w:rsid w:val="001C359D"/>
    <w:rsid w:val="001C363E"/>
    <w:rsid w:val="001C36C8"/>
    <w:rsid w:val="001C3E27"/>
    <w:rsid w:val="001C3ECF"/>
    <w:rsid w:val="001C4AA0"/>
    <w:rsid w:val="001C4BE0"/>
    <w:rsid w:val="001C6C27"/>
    <w:rsid w:val="001C6CBC"/>
    <w:rsid w:val="001C6F67"/>
    <w:rsid w:val="001C7EE2"/>
    <w:rsid w:val="001D0CFF"/>
    <w:rsid w:val="001D1812"/>
    <w:rsid w:val="001D271B"/>
    <w:rsid w:val="001D2A73"/>
    <w:rsid w:val="001D2FB7"/>
    <w:rsid w:val="001D341C"/>
    <w:rsid w:val="001D34BA"/>
    <w:rsid w:val="001D3761"/>
    <w:rsid w:val="001D3E86"/>
    <w:rsid w:val="001D4A01"/>
    <w:rsid w:val="001D50C7"/>
    <w:rsid w:val="001D543A"/>
    <w:rsid w:val="001D5658"/>
    <w:rsid w:val="001D5711"/>
    <w:rsid w:val="001D58ED"/>
    <w:rsid w:val="001D5D64"/>
    <w:rsid w:val="001D5E2D"/>
    <w:rsid w:val="001D6790"/>
    <w:rsid w:val="001D6B55"/>
    <w:rsid w:val="001D6EC1"/>
    <w:rsid w:val="001D7E4B"/>
    <w:rsid w:val="001E053A"/>
    <w:rsid w:val="001E0ED1"/>
    <w:rsid w:val="001E0EFF"/>
    <w:rsid w:val="001E3768"/>
    <w:rsid w:val="001E3CA5"/>
    <w:rsid w:val="001E3D7C"/>
    <w:rsid w:val="001E4390"/>
    <w:rsid w:val="001E554E"/>
    <w:rsid w:val="001E6DB3"/>
    <w:rsid w:val="001E73FB"/>
    <w:rsid w:val="001E7A43"/>
    <w:rsid w:val="001F02A3"/>
    <w:rsid w:val="001F0473"/>
    <w:rsid w:val="001F174F"/>
    <w:rsid w:val="001F332A"/>
    <w:rsid w:val="001F3BFE"/>
    <w:rsid w:val="001F4025"/>
    <w:rsid w:val="001F43BE"/>
    <w:rsid w:val="001F447A"/>
    <w:rsid w:val="001F48AE"/>
    <w:rsid w:val="001F4A66"/>
    <w:rsid w:val="001F5A15"/>
    <w:rsid w:val="001F5DE5"/>
    <w:rsid w:val="001F60CB"/>
    <w:rsid w:val="001F65F6"/>
    <w:rsid w:val="001F6DCC"/>
    <w:rsid w:val="001F713D"/>
    <w:rsid w:val="001F7452"/>
    <w:rsid w:val="001F79C3"/>
    <w:rsid w:val="001F7E66"/>
    <w:rsid w:val="002008F2"/>
    <w:rsid w:val="00200A6B"/>
    <w:rsid w:val="00200A73"/>
    <w:rsid w:val="00200DA4"/>
    <w:rsid w:val="00201003"/>
    <w:rsid w:val="00201015"/>
    <w:rsid w:val="002014C2"/>
    <w:rsid w:val="00201C6B"/>
    <w:rsid w:val="00201F4D"/>
    <w:rsid w:val="00202342"/>
    <w:rsid w:val="00202350"/>
    <w:rsid w:val="0020272A"/>
    <w:rsid w:val="00202D63"/>
    <w:rsid w:val="00203072"/>
    <w:rsid w:val="00203F1C"/>
    <w:rsid w:val="00203FEC"/>
    <w:rsid w:val="0020415B"/>
    <w:rsid w:val="00204212"/>
    <w:rsid w:val="002043E3"/>
    <w:rsid w:val="002045E4"/>
    <w:rsid w:val="0020460F"/>
    <w:rsid w:val="00204DA4"/>
    <w:rsid w:val="0020525B"/>
    <w:rsid w:val="00205369"/>
    <w:rsid w:val="002053A7"/>
    <w:rsid w:val="002056D1"/>
    <w:rsid w:val="00205D3D"/>
    <w:rsid w:val="00206013"/>
    <w:rsid w:val="00206966"/>
    <w:rsid w:val="00207F39"/>
    <w:rsid w:val="00210AC9"/>
    <w:rsid w:val="00211100"/>
    <w:rsid w:val="002114E5"/>
    <w:rsid w:val="002116A6"/>
    <w:rsid w:val="0021182A"/>
    <w:rsid w:val="00211FCB"/>
    <w:rsid w:val="002120AF"/>
    <w:rsid w:val="0021216B"/>
    <w:rsid w:val="00212249"/>
    <w:rsid w:val="00212278"/>
    <w:rsid w:val="002122C1"/>
    <w:rsid w:val="00213308"/>
    <w:rsid w:val="00213598"/>
    <w:rsid w:val="00213C76"/>
    <w:rsid w:val="00214004"/>
    <w:rsid w:val="0021414C"/>
    <w:rsid w:val="002151FD"/>
    <w:rsid w:val="002168EE"/>
    <w:rsid w:val="00216B5C"/>
    <w:rsid w:val="00216CE1"/>
    <w:rsid w:val="002206DC"/>
    <w:rsid w:val="00220878"/>
    <w:rsid w:val="00221710"/>
    <w:rsid w:val="0022190E"/>
    <w:rsid w:val="00222ECF"/>
    <w:rsid w:val="00224EA9"/>
    <w:rsid w:val="002250DF"/>
    <w:rsid w:val="00225742"/>
    <w:rsid w:val="00225AA8"/>
    <w:rsid w:val="00225D62"/>
    <w:rsid w:val="00225F00"/>
    <w:rsid w:val="00225FDC"/>
    <w:rsid w:val="00226668"/>
    <w:rsid w:val="00226DEB"/>
    <w:rsid w:val="00226F5F"/>
    <w:rsid w:val="00226F64"/>
    <w:rsid w:val="00227DCD"/>
    <w:rsid w:val="002301A1"/>
    <w:rsid w:val="00230285"/>
    <w:rsid w:val="0023064C"/>
    <w:rsid w:val="00230878"/>
    <w:rsid w:val="002308B3"/>
    <w:rsid w:val="0023184A"/>
    <w:rsid w:val="00231C1B"/>
    <w:rsid w:val="002327D1"/>
    <w:rsid w:val="0023292F"/>
    <w:rsid w:val="00232CC2"/>
    <w:rsid w:val="00232FDC"/>
    <w:rsid w:val="002337C4"/>
    <w:rsid w:val="00233E9C"/>
    <w:rsid w:val="00233F92"/>
    <w:rsid w:val="00234AEE"/>
    <w:rsid w:val="00234E13"/>
    <w:rsid w:val="0023559B"/>
    <w:rsid w:val="00235B7F"/>
    <w:rsid w:val="00235F02"/>
    <w:rsid w:val="00235F5F"/>
    <w:rsid w:val="00236026"/>
    <w:rsid w:val="00236786"/>
    <w:rsid w:val="00236914"/>
    <w:rsid w:val="00236E99"/>
    <w:rsid w:val="00237A28"/>
    <w:rsid w:val="00240007"/>
    <w:rsid w:val="00240078"/>
    <w:rsid w:val="00240DFD"/>
    <w:rsid w:val="00241385"/>
    <w:rsid w:val="00241F07"/>
    <w:rsid w:val="00242B7D"/>
    <w:rsid w:val="0024398C"/>
    <w:rsid w:val="00243E88"/>
    <w:rsid w:val="00243F0F"/>
    <w:rsid w:val="00244B59"/>
    <w:rsid w:val="00244E12"/>
    <w:rsid w:val="00244F08"/>
    <w:rsid w:val="00244F51"/>
    <w:rsid w:val="002452B7"/>
    <w:rsid w:val="002457E0"/>
    <w:rsid w:val="00245D73"/>
    <w:rsid w:val="00245E0A"/>
    <w:rsid w:val="00247292"/>
    <w:rsid w:val="00247819"/>
    <w:rsid w:val="00247B60"/>
    <w:rsid w:val="00247D08"/>
    <w:rsid w:val="00247D96"/>
    <w:rsid w:val="0025063D"/>
    <w:rsid w:val="002510B6"/>
    <w:rsid w:val="0025110C"/>
    <w:rsid w:val="00251CC4"/>
    <w:rsid w:val="00252DF1"/>
    <w:rsid w:val="00253903"/>
    <w:rsid w:val="00253C62"/>
    <w:rsid w:val="0025414E"/>
    <w:rsid w:val="0025478C"/>
    <w:rsid w:val="00254B18"/>
    <w:rsid w:val="00254C4F"/>
    <w:rsid w:val="00254CD9"/>
    <w:rsid w:val="00255AB2"/>
    <w:rsid w:val="00255E1C"/>
    <w:rsid w:val="002568D3"/>
    <w:rsid w:val="00256DB6"/>
    <w:rsid w:val="00256F46"/>
    <w:rsid w:val="00257C3A"/>
    <w:rsid w:val="00257E1F"/>
    <w:rsid w:val="00257F24"/>
    <w:rsid w:val="00260085"/>
    <w:rsid w:val="00260A64"/>
    <w:rsid w:val="00260B9B"/>
    <w:rsid w:val="00260C17"/>
    <w:rsid w:val="00260F28"/>
    <w:rsid w:val="00261C6A"/>
    <w:rsid w:val="00262B08"/>
    <w:rsid w:val="00262F38"/>
    <w:rsid w:val="00263367"/>
    <w:rsid w:val="00263613"/>
    <w:rsid w:val="002637DD"/>
    <w:rsid w:val="00263905"/>
    <w:rsid w:val="00263BB6"/>
    <w:rsid w:val="00264032"/>
    <w:rsid w:val="002642C1"/>
    <w:rsid w:val="002645E5"/>
    <w:rsid w:val="00265D8F"/>
    <w:rsid w:val="0026603F"/>
    <w:rsid w:val="002662A1"/>
    <w:rsid w:val="002670F8"/>
    <w:rsid w:val="00267177"/>
    <w:rsid w:val="002676F5"/>
    <w:rsid w:val="00267DA7"/>
    <w:rsid w:val="00270820"/>
    <w:rsid w:val="00271E06"/>
    <w:rsid w:val="00271F2B"/>
    <w:rsid w:val="002726E8"/>
    <w:rsid w:val="00272D9F"/>
    <w:rsid w:val="00273370"/>
    <w:rsid w:val="002739E8"/>
    <w:rsid w:val="00273D60"/>
    <w:rsid w:val="0027460D"/>
    <w:rsid w:val="00274733"/>
    <w:rsid w:val="002748B6"/>
    <w:rsid w:val="00275395"/>
    <w:rsid w:val="002754A2"/>
    <w:rsid w:val="002759F2"/>
    <w:rsid w:val="002779C9"/>
    <w:rsid w:val="00277F99"/>
    <w:rsid w:val="002809F6"/>
    <w:rsid w:val="00280BD7"/>
    <w:rsid w:val="00280BEA"/>
    <w:rsid w:val="00281DDD"/>
    <w:rsid w:val="00282682"/>
    <w:rsid w:val="002831A1"/>
    <w:rsid w:val="0028383F"/>
    <w:rsid w:val="00283C16"/>
    <w:rsid w:val="00284252"/>
    <w:rsid w:val="002842E5"/>
    <w:rsid w:val="00284629"/>
    <w:rsid w:val="002848B2"/>
    <w:rsid w:val="002849C4"/>
    <w:rsid w:val="00284EB4"/>
    <w:rsid w:val="00285031"/>
    <w:rsid w:val="002859D7"/>
    <w:rsid w:val="00286F7D"/>
    <w:rsid w:val="002870B9"/>
    <w:rsid w:val="00287618"/>
    <w:rsid w:val="00287CAA"/>
    <w:rsid w:val="00287CC7"/>
    <w:rsid w:val="002903B3"/>
    <w:rsid w:val="00291305"/>
    <w:rsid w:val="00291C51"/>
    <w:rsid w:val="0029366B"/>
    <w:rsid w:val="002937AB"/>
    <w:rsid w:val="00293930"/>
    <w:rsid w:val="00293A8B"/>
    <w:rsid w:val="0029411B"/>
    <w:rsid w:val="002941E3"/>
    <w:rsid w:val="00294447"/>
    <w:rsid w:val="002950A2"/>
    <w:rsid w:val="00295600"/>
    <w:rsid w:val="002962AB"/>
    <w:rsid w:val="00296AA6"/>
    <w:rsid w:val="00296BED"/>
    <w:rsid w:val="002974DC"/>
    <w:rsid w:val="00297A0B"/>
    <w:rsid w:val="00297A78"/>
    <w:rsid w:val="002A003A"/>
    <w:rsid w:val="002A0A79"/>
    <w:rsid w:val="002A0B84"/>
    <w:rsid w:val="002A127A"/>
    <w:rsid w:val="002A13BF"/>
    <w:rsid w:val="002A14F4"/>
    <w:rsid w:val="002A1AD0"/>
    <w:rsid w:val="002A1DDE"/>
    <w:rsid w:val="002A207C"/>
    <w:rsid w:val="002A2B84"/>
    <w:rsid w:val="002A2E4D"/>
    <w:rsid w:val="002A3149"/>
    <w:rsid w:val="002A3439"/>
    <w:rsid w:val="002A37E7"/>
    <w:rsid w:val="002A43BF"/>
    <w:rsid w:val="002A4841"/>
    <w:rsid w:val="002A4C3D"/>
    <w:rsid w:val="002A4DED"/>
    <w:rsid w:val="002A535A"/>
    <w:rsid w:val="002A56DF"/>
    <w:rsid w:val="002A5D0D"/>
    <w:rsid w:val="002A679B"/>
    <w:rsid w:val="002A6C4F"/>
    <w:rsid w:val="002A6D54"/>
    <w:rsid w:val="002A7E16"/>
    <w:rsid w:val="002B0955"/>
    <w:rsid w:val="002B0AFF"/>
    <w:rsid w:val="002B0D8B"/>
    <w:rsid w:val="002B10F6"/>
    <w:rsid w:val="002B132F"/>
    <w:rsid w:val="002B13BB"/>
    <w:rsid w:val="002B1440"/>
    <w:rsid w:val="002B1AAC"/>
    <w:rsid w:val="002B1BEA"/>
    <w:rsid w:val="002B24AB"/>
    <w:rsid w:val="002B24E4"/>
    <w:rsid w:val="002B259E"/>
    <w:rsid w:val="002B28B8"/>
    <w:rsid w:val="002B2B29"/>
    <w:rsid w:val="002B3193"/>
    <w:rsid w:val="002B38CE"/>
    <w:rsid w:val="002B3931"/>
    <w:rsid w:val="002B3AC0"/>
    <w:rsid w:val="002B4457"/>
    <w:rsid w:val="002B4799"/>
    <w:rsid w:val="002B4970"/>
    <w:rsid w:val="002B4E6D"/>
    <w:rsid w:val="002B4EF6"/>
    <w:rsid w:val="002B5031"/>
    <w:rsid w:val="002B70AF"/>
    <w:rsid w:val="002B7497"/>
    <w:rsid w:val="002B7F9A"/>
    <w:rsid w:val="002C0260"/>
    <w:rsid w:val="002C0311"/>
    <w:rsid w:val="002C0EFE"/>
    <w:rsid w:val="002C1833"/>
    <w:rsid w:val="002C1BC3"/>
    <w:rsid w:val="002C1E42"/>
    <w:rsid w:val="002C201C"/>
    <w:rsid w:val="002C221A"/>
    <w:rsid w:val="002C3323"/>
    <w:rsid w:val="002C3A03"/>
    <w:rsid w:val="002C3ED1"/>
    <w:rsid w:val="002C4346"/>
    <w:rsid w:val="002C439F"/>
    <w:rsid w:val="002C4649"/>
    <w:rsid w:val="002C5B75"/>
    <w:rsid w:val="002C5C7B"/>
    <w:rsid w:val="002C6183"/>
    <w:rsid w:val="002C6412"/>
    <w:rsid w:val="002C66F3"/>
    <w:rsid w:val="002C6E43"/>
    <w:rsid w:val="002C7095"/>
    <w:rsid w:val="002D124F"/>
    <w:rsid w:val="002D1664"/>
    <w:rsid w:val="002D1681"/>
    <w:rsid w:val="002D1995"/>
    <w:rsid w:val="002D1B52"/>
    <w:rsid w:val="002D2067"/>
    <w:rsid w:val="002D2A62"/>
    <w:rsid w:val="002D33F0"/>
    <w:rsid w:val="002D3663"/>
    <w:rsid w:val="002D398A"/>
    <w:rsid w:val="002D39C3"/>
    <w:rsid w:val="002D3A8B"/>
    <w:rsid w:val="002D3D8D"/>
    <w:rsid w:val="002D4468"/>
    <w:rsid w:val="002D50DD"/>
    <w:rsid w:val="002D5C2B"/>
    <w:rsid w:val="002D77C9"/>
    <w:rsid w:val="002D7FAF"/>
    <w:rsid w:val="002E0409"/>
    <w:rsid w:val="002E0A63"/>
    <w:rsid w:val="002E0D63"/>
    <w:rsid w:val="002E0EE2"/>
    <w:rsid w:val="002E15A9"/>
    <w:rsid w:val="002E1BC1"/>
    <w:rsid w:val="002E1D0E"/>
    <w:rsid w:val="002E2E65"/>
    <w:rsid w:val="002E35CA"/>
    <w:rsid w:val="002E3B94"/>
    <w:rsid w:val="002E3D55"/>
    <w:rsid w:val="002E485B"/>
    <w:rsid w:val="002E5106"/>
    <w:rsid w:val="002E55F7"/>
    <w:rsid w:val="002E55FC"/>
    <w:rsid w:val="002E5D21"/>
    <w:rsid w:val="002E60A6"/>
    <w:rsid w:val="002E6B5C"/>
    <w:rsid w:val="002E6F87"/>
    <w:rsid w:val="002E74B7"/>
    <w:rsid w:val="002E7959"/>
    <w:rsid w:val="002E7E7E"/>
    <w:rsid w:val="002F17DE"/>
    <w:rsid w:val="002F186D"/>
    <w:rsid w:val="002F1B7F"/>
    <w:rsid w:val="002F2E30"/>
    <w:rsid w:val="002F3966"/>
    <w:rsid w:val="002F39C3"/>
    <w:rsid w:val="002F4307"/>
    <w:rsid w:val="002F46C7"/>
    <w:rsid w:val="002F5076"/>
    <w:rsid w:val="002F5457"/>
    <w:rsid w:val="002F5902"/>
    <w:rsid w:val="002F64A2"/>
    <w:rsid w:val="003008EE"/>
    <w:rsid w:val="0030099C"/>
    <w:rsid w:val="00300F72"/>
    <w:rsid w:val="00301093"/>
    <w:rsid w:val="00301590"/>
    <w:rsid w:val="003019E0"/>
    <w:rsid w:val="00302510"/>
    <w:rsid w:val="00302D1A"/>
    <w:rsid w:val="0030319E"/>
    <w:rsid w:val="003034E3"/>
    <w:rsid w:val="003034E4"/>
    <w:rsid w:val="003038CE"/>
    <w:rsid w:val="00303933"/>
    <w:rsid w:val="00303C73"/>
    <w:rsid w:val="00303FC5"/>
    <w:rsid w:val="003043CF"/>
    <w:rsid w:val="003044E6"/>
    <w:rsid w:val="0030486F"/>
    <w:rsid w:val="0030530A"/>
    <w:rsid w:val="00305F1B"/>
    <w:rsid w:val="0030601C"/>
    <w:rsid w:val="00306172"/>
    <w:rsid w:val="00306364"/>
    <w:rsid w:val="0030643E"/>
    <w:rsid w:val="00306873"/>
    <w:rsid w:val="003069E4"/>
    <w:rsid w:val="00306E60"/>
    <w:rsid w:val="0031097B"/>
    <w:rsid w:val="003109AD"/>
    <w:rsid w:val="00310C19"/>
    <w:rsid w:val="00310FC8"/>
    <w:rsid w:val="003116D4"/>
    <w:rsid w:val="00312F00"/>
    <w:rsid w:val="00313448"/>
    <w:rsid w:val="003145C4"/>
    <w:rsid w:val="0031463E"/>
    <w:rsid w:val="00314A83"/>
    <w:rsid w:val="00315126"/>
    <w:rsid w:val="003153CF"/>
    <w:rsid w:val="00315609"/>
    <w:rsid w:val="00316556"/>
    <w:rsid w:val="00316711"/>
    <w:rsid w:val="003176B3"/>
    <w:rsid w:val="00317EB8"/>
    <w:rsid w:val="003204C9"/>
    <w:rsid w:val="0032061F"/>
    <w:rsid w:val="00321703"/>
    <w:rsid w:val="00321A15"/>
    <w:rsid w:val="0032213E"/>
    <w:rsid w:val="003222AA"/>
    <w:rsid w:val="003228A0"/>
    <w:rsid w:val="00322AAC"/>
    <w:rsid w:val="00323002"/>
    <w:rsid w:val="00323173"/>
    <w:rsid w:val="0032318E"/>
    <w:rsid w:val="00323BFC"/>
    <w:rsid w:val="0032413F"/>
    <w:rsid w:val="003245F0"/>
    <w:rsid w:val="00324C6B"/>
    <w:rsid w:val="003258E7"/>
    <w:rsid w:val="00325B1D"/>
    <w:rsid w:val="00325F85"/>
    <w:rsid w:val="0032639F"/>
    <w:rsid w:val="003265C9"/>
    <w:rsid w:val="003265F1"/>
    <w:rsid w:val="00326B4E"/>
    <w:rsid w:val="003300CF"/>
    <w:rsid w:val="00330100"/>
    <w:rsid w:val="0033023A"/>
    <w:rsid w:val="0033070B"/>
    <w:rsid w:val="00330EC1"/>
    <w:rsid w:val="00331F57"/>
    <w:rsid w:val="003321BA"/>
    <w:rsid w:val="00332477"/>
    <w:rsid w:val="00332A23"/>
    <w:rsid w:val="00332A2A"/>
    <w:rsid w:val="00333331"/>
    <w:rsid w:val="0033491C"/>
    <w:rsid w:val="0033565C"/>
    <w:rsid w:val="00336050"/>
    <w:rsid w:val="0033676F"/>
    <w:rsid w:val="00337036"/>
    <w:rsid w:val="003370FD"/>
    <w:rsid w:val="0033725B"/>
    <w:rsid w:val="00337E5B"/>
    <w:rsid w:val="00340704"/>
    <w:rsid w:val="00341360"/>
    <w:rsid w:val="003428A6"/>
    <w:rsid w:val="00342965"/>
    <w:rsid w:val="00342C76"/>
    <w:rsid w:val="0034345A"/>
    <w:rsid w:val="00343D76"/>
    <w:rsid w:val="003441C6"/>
    <w:rsid w:val="003444C4"/>
    <w:rsid w:val="003445A9"/>
    <w:rsid w:val="00344F17"/>
    <w:rsid w:val="00344FFB"/>
    <w:rsid w:val="0034575C"/>
    <w:rsid w:val="00345BCB"/>
    <w:rsid w:val="00345E01"/>
    <w:rsid w:val="00346094"/>
    <w:rsid w:val="003464EA"/>
    <w:rsid w:val="00346710"/>
    <w:rsid w:val="00346828"/>
    <w:rsid w:val="00346853"/>
    <w:rsid w:val="00346A61"/>
    <w:rsid w:val="00347186"/>
    <w:rsid w:val="003474A2"/>
    <w:rsid w:val="003475CE"/>
    <w:rsid w:val="0034782F"/>
    <w:rsid w:val="00347F24"/>
    <w:rsid w:val="00347F63"/>
    <w:rsid w:val="00351180"/>
    <w:rsid w:val="00351977"/>
    <w:rsid w:val="00351C55"/>
    <w:rsid w:val="00351E7D"/>
    <w:rsid w:val="00352001"/>
    <w:rsid w:val="0035205B"/>
    <w:rsid w:val="0035274B"/>
    <w:rsid w:val="00352E1E"/>
    <w:rsid w:val="003533F4"/>
    <w:rsid w:val="003534A8"/>
    <w:rsid w:val="00353721"/>
    <w:rsid w:val="00353C9C"/>
    <w:rsid w:val="00353FE6"/>
    <w:rsid w:val="003540F0"/>
    <w:rsid w:val="00354316"/>
    <w:rsid w:val="00354829"/>
    <w:rsid w:val="00354B6E"/>
    <w:rsid w:val="00354D74"/>
    <w:rsid w:val="00355888"/>
    <w:rsid w:val="0035595A"/>
    <w:rsid w:val="0035638E"/>
    <w:rsid w:val="00357104"/>
    <w:rsid w:val="00357346"/>
    <w:rsid w:val="003574B9"/>
    <w:rsid w:val="00357B11"/>
    <w:rsid w:val="003604A9"/>
    <w:rsid w:val="00360A69"/>
    <w:rsid w:val="00360C57"/>
    <w:rsid w:val="0036125E"/>
    <w:rsid w:val="0036223F"/>
    <w:rsid w:val="00362334"/>
    <w:rsid w:val="00362651"/>
    <w:rsid w:val="00363336"/>
    <w:rsid w:val="0036359F"/>
    <w:rsid w:val="00363652"/>
    <w:rsid w:val="00363A2F"/>
    <w:rsid w:val="00363AD6"/>
    <w:rsid w:val="00364636"/>
    <w:rsid w:val="00365474"/>
    <w:rsid w:val="00365480"/>
    <w:rsid w:val="00365D8D"/>
    <w:rsid w:val="003662A8"/>
    <w:rsid w:val="00366307"/>
    <w:rsid w:val="003666C9"/>
    <w:rsid w:val="00366835"/>
    <w:rsid w:val="00366848"/>
    <w:rsid w:val="00366CC7"/>
    <w:rsid w:val="00367310"/>
    <w:rsid w:val="0036767D"/>
    <w:rsid w:val="00367D12"/>
    <w:rsid w:val="0037046E"/>
    <w:rsid w:val="003707A0"/>
    <w:rsid w:val="00370AF6"/>
    <w:rsid w:val="00370CA5"/>
    <w:rsid w:val="00371F80"/>
    <w:rsid w:val="00371FEB"/>
    <w:rsid w:val="00372111"/>
    <w:rsid w:val="003721B2"/>
    <w:rsid w:val="00372716"/>
    <w:rsid w:val="00372A74"/>
    <w:rsid w:val="0037319A"/>
    <w:rsid w:val="00373C07"/>
    <w:rsid w:val="003744C2"/>
    <w:rsid w:val="003745C3"/>
    <w:rsid w:val="0037550C"/>
    <w:rsid w:val="0037557F"/>
    <w:rsid w:val="00375BE2"/>
    <w:rsid w:val="00376B51"/>
    <w:rsid w:val="00376C23"/>
    <w:rsid w:val="00380B60"/>
    <w:rsid w:val="00380E6E"/>
    <w:rsid w:val="0038164A"/>
    <w:rsid w:val="00381BE3"/>
    <w:rsid w:val="00381DCD"/>
    <w:rsid w:val="00381EA0"/>
    <w:rsid w:val="003821EB"/>
    <w:rsid w:val="00382B97"/>
    <w:rsid w:val="00382DD5"/>
    <w:rsid w:val="00382EE2"/>
    <w:rsid w:val="0038343F"/>
    <w:rsid w:val="00383B61"/>
    <w:rsid w:val="00384150"/>
    <w:rsid w:val="0038428E"/>
    <w:rsid w:val="003842F5"/>
    <w:rsid w:val="00386373"/>
    <w:rsid w:val="00386487"/>
    <w:rsid w:val="00387B6D"/>
    <w:rsid w:val="00387F07"/>
    <w:rsid w:val="0039036F"/>
    <w:rsid w:val="0039052C"/>
    <w:rsid w:val="003912B9"/>
    <w:rsid w:val="003913B2"/>
    <w:rsid w:val="0039154E"/>
    <w:rsid w:val="00391CFC"/>
    <w:rsid w:val="00392B87"/>
    <w:rsid w:val="00393048"/>
    <w:rsid w:val="003931FC"/>
    <w:rsid w:val="0039346D"/>
    <w:rsid w:val="0039359F"/>
    <w:rsid w:val="00393AF5"/>
    <w:rsid w:val="00394D9F"/>
    <w:rsid w:val="0039523B"/>
    <w:rsid w:val="0039618D"/>
    <w:rsid w:val="00396308"/>
    <w:rsid w:val="003965E2"/>
    <w:rsid w:val="00396831"/>
    <w:rsid w:val="00396B00"/>
    <w:rsid w:val="00396B80"/>
    <w:rsid w:val="00396CA1"/>
    <w:rsid w:val="00397037"/>
    <w:rsid w:val="00397172"/>
    <w:rsid w:val="003A04D3"/>
    <w:rsid w:val="003A1104"/>
    <w:rsid w:val="003A11EA"/>
    <w:rsid w:val="003A141E"/>
    <w:rsid w:val="003A1DA4"/>
    <w:rsid w:val="003A2051"/>
    <w:rsid w:val="003A2103"/>
    <w:rsid w:val="003A216C"/>
    <w:rsid w:val="003A27D8"/>
    <w:rsid w:val="003A333B"/>
    <w:rsid w:val="003A333C"/>
    <w:rsid w:val="003A3417"/>
    <w:rsid w:val="003A3784"/>
    <w:rsid w:val="003A3834"/>
    <w:rsid w:val="003A3AEB"/>
    <w:rsid w:val="003A4BAC"/>
    <w:rsid w:val="003A4E83"/>
    <w:rsid w:val="003A50B7"/>
    <w:rsid w:val="003A52B6"/>
    <w:rsid w:val="003A61C7"/>
    <w:rsid w:val="003A6560"/>
    <w:rsid w:val="003A66A0"/>
    <w:rsid w:val="003A672E"/>
    <w:rsid w:val="003A6743"/>
    <w:rsid w:val="003A6909"/>
    <w:rsid w:val="003B05EC"/>
    <w:rsid w:val="003B088B"/>
    <w:rsid w:val="003B0A2A"/>
    <w:rsid w:val="003B0CC8"/>
    <w:rsid w:val="003B0DCC"/>
    <w:rsid w:val="003B0E6A"/>
    <w:rsid w:val="003B0FB1"/>
    <w:rsid w:val="003B172E"/>
    <w:rsid w:val="003B187E"/>
    <w:rsid w:val="003B1D80"/>
    <w:rsid w:val="003B2582"/>
    <w:rsid w:val="003B25A5"/>
    <w:rsid w:val="003B3E42"/>
    <w:rsid w:val="003B41A0"/>
    <w:rsid w:val="003B4AA6"/>
    <w:rsid w:val="003B4ECF"/>
    <w:rsid w:val="003B75F7"/>
    <w:rsid w:val="003B7CFC"/>
    <w:rsid w:val="003C1032"/>
    <w:rsid w:val="003C13D0"/>
    <w:rsid w:val="003C1EE2"/>
    <w:rsid w:val="003C1FAC"/>
    <w:rsid w:val="003C1FF1"/>
    <w:rsid w:val="003C2146"/>
    <w:rsid w:val="003C28C6"/>
    <w:rsid w:val="003C2DB0"/>
    <w:rsid w:val="003C3501"/>
    <w:rsid w:val="003C40B7"/>
    <w:rsid w:val="003C4F92"/>
    <w:rsid w:val="003C52C0"/>
    <w:rsid w:val="003C5641"/>
    <w:rsid w:val="003C5990"/>
    <w:rsid w:val="003C5DA6"/>
    <w:rsid w:val="003C61CA"/>
    <w:rsid w:val="003C6277"/>
    <w:rsid w:val="003C62BE"/>
    <w:rsid w:val="003C69CA"/>
    <w:rsid w:val="003C6BF1"/>
    <w:rsid w:val="003C6FEB"/>
    <w:rsid w:val="003C7045"/>
    <w:rsid w:val="003C74CA"/>
    <w:rsid w:val="003C75E6"/>
    <w:rsid w:val="003C7C58"/>
    <w:rsid w:val="003D0079"/>
    <w:rsid w:val="003D0481"/>
    <w:rsid w:val="003D14B2"/>
    <w:rsid w:val="003D1627"/>
    <w:rsid w:val="003D192F"/>
    <w:rsid w:val="003D194D"/>
    <w:rsid w:val="003D32BD"/>
    <w:rsid w:val="003D36C0"/>
    <w:rsid w:val="003D3792"/>
    <w:rsid w:val="003D3845"/>
    <w:rsid w:val="003D3CC8"/>
    <w:rsid w:val="003D46D8"/>
    <w:rsid w:val="003D4C23"/>
    <w:rsid w:val="003D4D17"/>
    <w:rsid w:val="003D558E"/>
    <w:rsid w:val="003D5841"/>
    <w:rsid w:val="003D6B58"/>
    <w:rsid w:val="003D7134"/>
    <w:rsid w:val="003D75CB"/>
    <w:rsid w:val="003D7EA7"/>
    <w:rsid w:val="003E02F0"/>
    <w:rsid w:val="003E0409"/>
    <w:rsid w:val="003E0610"/>
    <w:rsid w:val="003E0E07"/>
    <w:rsid w:val="003E1176"/>
    <w:rsid w:val="003E1239"/>
    <w:rsid w:val="003E2350"/>
    <w:rsid w:val="003E2596"/>
    <w:rsid w:val="003E36F5"/>
    <w:rsid w:val="003E3754"/>
    <w:rsid w:val="003E3BDF"/>
    <w:rsid w:val="003E48F2"/>
    <w:rsid w:val="003E4ED1"/>
    <w:rsid w:val="003E57D5"/>
    <w:rsid w:val="003E5D3F"/>
    <w:rsid w:val="003E5EC9"/>
    <w:rsid w:val="003E624E"/>
    <w:rsid w:val="003E6AE1"/>
    <w:rsid w:val="003E707C"/>
    <w:rsid w:val="003E75A6"/>
    <w:rsid w:val="003E7614"/>
    <w:rsid w:val="003E7A13"/>
    <w:rsid w:val="003E7C7C"/>
    <w:rsid w:val="003F03F4"/>
    <w:rsid w:val="003F0844"/>
    <w:rsid w:val="003F102D"/>
    <w:rsid w:val="003F2153"/>
    <w:rsid w:val="003F25DE"/>
    <w:rsid w:val="003F323F"/>
    <w:rsid w:val="003F3D67"/>
    <w:rsid w:val="003F3FAE"/>
    <w:rsid w:val="003F44C1"/>
    <w:rsid w:val="003F4767"/>
    <w:rsid w:val="003F4C8B"/>
    <w:rsid w:val="003F4D1C"/>
    <w:rsid w:val="003F6324"/>
    <w:rsid w:val="003F6649"/>
    <w:rsid w:val="003F7051"/>
    <w:rsid w:val="003F7A56"/>
    <w:rsid w:val="003F7B6A"/>
    <w:rsid w:val="003F7FAE"/>
    <w:rsid w:val="004000E2"/>
    <w:rsid w:val="004001C8"/>
    <w:rsid w:val="00400646"/>
    <w:rsid w:val="004018FA"/>
    <w:rsid w:val="0040196B"/>
    <w:rsid w:val="0040203D"/>
    <w:rsid w:val="004027A7"/>
    <w:rsid w:val="00403048"/>
    <w:rsid w:val="00403293"/>
    <w:rsid w:val="0040339B"/>
    <w:rsid w:val="00403BA9"/>
    <w:rsid w:val="00403C35"/>
    <w:rsid w:val="00403FA1"/>
    <w:rsid w:val="00404327"/>
    <w:rsid w:val="00404404"/>
    <w:rsid w:val="00404B5A"/>
    <w:rsid w:val="00404BE3"/>
    <w:rsid w:val="00405A3F"/>
    <w:rsid w:val="00406684"/>
    <w:rsid w:val="004069D9"/>
    <w:rsid w:val="00406E35"/>
    <w:rsid w:val="00407968"/>
    <w:rsid w:val="00407A21"/>
    <w:rsid w:val="004108E1"/>
    <w:rsid w:val="00410A4E"/>
    <w:rsid w:val="00410D8B"/>
    <w:rsid w:val="004110B9"/>
    <w:rsid w:val="004110F1"/>
    <w:rsid w:val="00411C32"/>
    <w:rsid w:val="00411CBE"/>
    <w:rsid w:val="00412DC5"/>
    <w:rsid w:val="00413BFC"/>
    <w:rsid w:val="00414C40"/>
    <w:rsid w:val="0041528A"/>
    <w:rsid w:val="004155DC"/>
    <w:rsid w:val="004158D1"/>
    <w:rsid w:val="00415B4F"/>
    <w:rsid w:val="00415D35"/>
    <w:rsid w:val="00415E81"/>
    <w:rsid w:val="0041601A"/>
    <w:rsid w:val="004167CC"/>
    <w:rsid w:val="0041689E"/>
    <w:rsid w:val="00416947"/>
    <w:rsid w:val="00416A6F"/>
    <w:rsid w:val="00417355"/>
    <w:rsid w:val="00417DEA"/>
    <w:rsid w:val="00420141"/>
    <w:rsid w:val="0042100B"/>
    <w:rsid w:val="0042161F"/>
    <w:rsid w:val="004219AE"/>
    <w:rsid w:val="004222EF"/>
    <w:rsid w:val="00423238"/>
    <w:rsid w:val="00423367"/>
    <w:rsid w:val="0042491D"/>
    <w:rsid w:val="00425CDD"/>
    <w:rsid w:val="00425ED7"/>
    <w:rsid w:val="0042620D"/>
    <w:rsid w:val="0042622E"/>
    <w:rsid w:val="00426241"/>
    <w:rsid w:val="0042740D"/>
    <w:rsid w:val="00430BFF"/>
    <w:rsid w:val="00430F55"/>
    <w:rsid w:val="00431428"/>
    <w:rsid w:val="00431E53"/>
    <w:rsid w:val="004324BE"/>
    <w:rsid w:val="004328C3"/>
    <w:rsid w:val="0043381D"/>
    <w:rsid w:val="00433A55"/>
    <w:rsid w:val="00434162"/>
    <w:rsid w:val="004341E1"/>
    <w:rsid w:val="0043473D"/>
    <w:rsid w:val="004353B2"/>
    <w:rsid w:val="00436167"/>
    <w:rsid w:val="00436375"/>
    <w:rsid w:val="00436572"/>
    <w:rsid w:val="00436A66"/>
    <w:rsid w:val="00436BD5"/>
    <w:rsid w:val="00437790"/>
    <w:rsid w:val="0044036D"/>
    <w:rsid w:val="00440425"/>
    <w:rsid w:val="0044114C"/>
    <w:rsid w:val="004419A1"/>
    <w:rsid w:val="00441CE1"/>
    <w:rsid w:val="00442027"/>
    <w:rsid w:val="0044292F"/>
    <w:rsid w:val="00442BE4"/>
    <w:rsid w:val="00443D9E"/>
    <w:rsid w:val="00443FAA"/>
    <w:rsid w:val="004449DD"/>
    <w:rsid w:val="00444BD3"/>
    <w:rsid w:val="00445FE1"/>
    <w:rsid w:val="00446861"/>
    <w:rsid w:val="00447318"/>
    <w:rsid w:val="00447C92"/>
    <w:rsid w:val="00447D2A"/>
    <w:rsid w:val="004515C5"/>
    <w:rsid w:val="004517CF"/>
    <w:rsid w:val="00451F12"/>
    <w:rsid w:val="0045212E"/>
    <w:rsid w:val="00452178"/>
    <w:rsid w:val="00452B43"/>
    <w:rsid w:val="00453214"/>
    <w:rsid w:val="00453327"/>
    <w:rsid w:val="004534E7"/>
    <w:rsid w:val="0045379C"/>
    <w:rsid w:val="0045405B"/>
    <w:rsid w:val="00455B23"/>
    <w:rsid w:val="004561AF"/>
    <w:rsid w:val="00456B99"/>
    <w:rsid w:val="00457DB9"/>
    <w:rsid w:val="0046018B"/>
    <w:rsid w:val="00460B81"/>
    <w:rsid w:val="00460E28"/>
    <w:rsid w:val="00460FF6"/>
    <w:rsid w:val="00461258"/>
    <w:rsid w:val="00461C91"/>
    <w:rsid w:val="00462421"/>
    <w:rsid w:val="00462B5F"/>
    <w:rsid w:val="00462D43"/>
    <w:rsid w:val="00462F47"/>
    <w:rsid w:val="004633EE"/>
    <w:rsid w:val="00463EE7"/>
    <w:rsid w:val="00463FD3"/>
    <w:rsid w:val="00464E04"/>
    <w:rsid w:val="00465B26"/>
    <w:rsid w:val="004660C0"/>
    <w:rsid w:val="004663D8"/>
    <w:rsid w:val="00466DEC"/>
    <w:rsid w:val="00467015"/>
    <w:rsid w:val="0046706D"/>
    <w:rsid w:val="004674D2"/>
    <w:rsid w:val="004675B4"/>
    <w:rsid w:val="00467D5B"/>
    <w:rsid w:val="00467F20"/>
    <w:rsid w:val="00471805"/>
    <w:rsid w:val="00472567"/>
    <w:rsid w:val="00472772"/>
    <w:rsid w:val="0047286A"/>
    <w:rsid w:val="00473525"/>
    <w:rsid w:val="00473854"/>
    <w:rsid w:val="0047454E"/>
    <w:rsid w:val="00474F65"/>
    <w:rsid w:val="00475FC9"/>
    <w:rsid w:val="00475FE2"/>
    <w:rsid w:val="00476867"/>
    <w:rsid w:val="00476DED"/>
    <w:rsid w:val="00477910"/>
    <w:rsid w:val="004801A6"/>
    <w:rsid w:val="004816CD"/>
    <w:rsid w:val="0048177D"/>
    <w:rsid w:val="00481F91"/>
    <w:rsid w:val="00482FDF"/>
    <w:rsid w:val="00483DB5"/>
    <w:rsid w:val="00484BB7"/>
    <w:rsid w:val="00484D05"/>
    <w:rsid w:val="00484E1C"/>
    <w:rsid w:val="00485074"/>
    <w:rsid w:val="0048652B"/>
    <w:rsid w:val="004867BC"/>
    <w:rsid w:val="004900B8"/>
    <w:rsid w:val="00490473"/>
    <w:rsid w:val="00490FC1"/>
    <w:rsid w:val="004915E2"/>
    <w:rsid w:val="00491F42"/>
    <w:rsid w:val="00493027"/>
    <w:rsid w:val="00493BCA"/>
    <w:rsid w:val="0049410B"/>
    <w:rsid w:val="00494B96"/>
    <w:rsid w:val="00494C28"/>
    <w:rsid w:val="00494C4D"/>
    <w:rsid w:val="00495405"/>
    <w:rsid w:val="00496217"/>
    <w:rsid w:val="00496900"/>
    <w:rsid w:val="00497D95"/>
    <w:rsid w:val="004A0274"/>
    <w:rsid w:val="004A0E2A"/>
    <w:rsid w:val="004A1048"/>
    <w:rsid w:val="004A1A83"/>
    <w:rsid w:val="004A1DD0"/>
    <w:rsid w:val="004A1E3F"/>
    <w:rsid w:val="004A1EBB"/>
    <w:rsid w:val="004A2055"/>
    <w:rsid w:val="004A2545"/>
    <w:rsid w:val="004A3B05"/>
    <w:rsid w:val="004A4186"/>
    <w:rsid w:val="004A505F"/>
    <w:rsid w:val="004A5085"/>
    <w:rsid w:val="004A50AB"/>
    <w:rsid w:val="004A62FB"/>
    <w:rsid w:val="004A6D84"/>
    <w:rsid w:val="004A78C8"/>
    <w:rsid w:val="004A7CEA"/>
    <w:rsid w:val="004B068B"/>
    <w:rsid w:val="004B1599"/>
    <w:rsid w:val="004B1618"/>
    <w:rsid w:val="004B183E"/>
    <w:rsid w:val="004B1987"/>
    <w:rsid w:val="004B2861"/>
    <w:rsid w:val="004B3A91"/>
    <w:rsid w:val="004B4237"/>
    <w:rsid w:val="004B4850"/>
    <w:rsid w:val="004B4D44"/>
    <w:rsid w:val="004B50AE"/>
    <w:rsid w:val="004B54C5"/>
    <w:rsid w:val="004B551F"/>
    <w:rsid w:val="004B5D4E"/>
    <w:rsid w:val="004B6368"/>
    <w:rsid w:val="004B6BA2"/>
    <w:rsid w:val="004B79E6"/>
    <w:rsid w:val="004C0047"/>
    <w:rsid w:val="004C11C2"/>
    <w:rsid w:val="004C12A1"/>
    <w:rsid w:val="004C1452"/>
    <w:rsid w:val="004C1964"/>
    <w:rsid w:val="004C1A26"/>
    <w:rsid w:val="004C25E4"/>
    <w:rsid w:val="004C2992"/>
    <w:rsid w:val="004C2AAE"/>
    <w:rsid w:val="004C2B2E"/>
    <w:rsid w:val="004C2C67"/>
    <w:rsid w:val="004C3386"/>
    <w:rsid w:val="004C338A"/>
    <w:rsid w:val="004C37F5"/>
    <w:rsid w:val="004C487A"/>
    <w:rsid w:val="004C51D6"/>
    <w:rsid w:val="004C5CB4"/>
    <w:rsid w:val="004C5F20"/>
    <w:rsid w:val="004C6613"/>
    <w:rsid w:val="004C6922"/>
    <w:rsid w:val="004C6E50"/>
    <w:rsid w:val="004C7705"/>
    <w:rsid w:val="004C7C31"/>
    <w:rsid w:val="004D0568"/>
    <w:rsid w:val="004D083E"/>
    <w:rsid w:val="004D0D0E"/>
    <w:rsid w:val="004D0FD0"/>
    <w:rsid w:val="004D122B"/>
    <w:rsid w:val="004D1D6A"/>
    <w:rsid w:val="004D2C72"/>
    <w:rsid w:val="004D2C7C"/>
    <w:rsid w:val="004D3C03"/>
    <w:rsid w:val="004D3C49"/>
    <w:rsid w:val="004D4856"/>
    <w:rsid w:val="004D4E13"/>
    <w:rsid w:val="004D51A2"/>
    <w:rsid w:val="004D5569"/>
    <w:rsid w:val="004D58DF"/>
    <w:rsid w:val="004D5B05"/>
    <w:rsid w:val="004D5BEE"/>
    <w:rsid w:val="004D5C35"/>
    <w:rsid w:val="004D6E7D"/>
    <w:rsid w:val="004D7DBB"/>
    <w:rsid w:val="004E0A4B"/>
    <w:rsid w:val="004E1605"/>
    <w:rsid w:val="004E247F"/>
    <w:rsid w:val="004E268C"/>
    <w:rsid w:val="004E2859"/>
    <w:rsid w:val="004E3628"/>
    <w:rsid w:val="004E3EF7"/>
    <w:rsid w:val="004E41E8"/>
    <w:rsid w:val="004E4E0D"/>
    <w:rsid w:val="004E4EDB"/>
    <w:rsid w:val="004E5BB5"/>
    <w:rsid w:val="004E5BBC"/>
    <w:rsid w:val="004E63ED"/>
    <w:rsid w:val="004E6D13"/>
    <w:rsid w:val="004E6EE6"/>
    <w:rsid w:val="004E708E"/>
    <w:rsid w:val="004E7C0C"/>
    <w:rsid w:val="004E7E10"/>
    <w:rsid w:val="004E7FEA"/>
    <w:rsid w:val="004F011B"/>
    <w:rsid w:val="004F0A9F"/>
    <w:rsid w:val="004F0D57"/>
    <w:rsid w:val="004F1510"/>
    <w:rsid w:val="004F153D"/>
    <w:rsid w:val="004F292F"/>
    <w:rsid w:val="004F296D"/>
    <w:rsid w:val="004F3254"/>
    <w:rsid w:val="004F34B6"/>
    <w:rsid w:val="004F3C64"/>
    <w:rsid w:val="004F3F70"/>
    <w:rsid w:val="004F41AF"/>
    <w:rsid w:val="004F4216"/>
    <w:rsid w:val="004F44B3"/>
    <w:rsid w:val="004F462E"/>
    <w:rsid w:val="004F46E5"/>
    <w:rsid w:val="004F4BD9"/>
    <w:rsid w:val="004F4E2D"/>
    <w:rsid w:val="004F5AB0"/>
    <w:rsid w:val="004F664B"/>
    <w:rsid w:val="004F6AA2"/>
    <w:rsid w:val="004F776B"/>
    <w:rsid w:val="004F7CA9"/>
    <w:rsid w:val="00500105"/>
    <w:rsid w:val="00500738"/>
    <w:rsid w:val="005007F3"/>
    <w:rsid w:val="00500C9B"/>
    <w:rsid w:val="0050102E"/>
    <w:rsid w:val="00501306"/>
    <w:rsid w:val="0050150A"/>
    <w:rsid w:val="00501F08"/>
    <w:rsid w:val="005026C0"/>
    <w:rsid w:val="0050340F"/>
    <w:rsid w:val="0050376C"/>
    <w:rsid w:val="00503997"/>
    <w:rsid w:val="00503C82"/>
    <w:rsid w:val="005041CD"/>
    <w:rsid w:val="00504270"/>
    <w:rsid w:val="00504CA5"/>
    <w:rsid w:val="00505114"/>
    <w:rsid w:val="00505592"/>
    <w:rsid w:val="005065AB"/>
    <w:rsid w:val="00506B17"/>
    <w:rsid w:val="00506FA1"/>
    <w:rsid w:val="005071CD"/>
    <w:rsid w:val="0051095B"/>
    <w:rsid w:val="00510F7D"/>
    <w:rsid w:val="005117F2"/>
    <w:rsid w:val="00511EBA"/>
    <w:rsid w:val="00512090"/>
    <w:rsid w:val="00512393"/>
    <w:rsid w:val="005124B2"/>
    <w:rsid w:val="0051318F"/>
    <w:rsid w:val="00513255"/>
    <w:rsid w:val="005137F4"/>
    <w:rsid w:val="00513BDA"/>
    <w:rsid w:val="005158F7"/>
    <w:rsid w:val="00515968"/>
    <w:rsid w:val="005161FD"/>
    <w:rsid w:val="005166C3"/>
    <w:rsid w:val="0051686C"/>
    <w:rsid w:val="005169E1"/>
    <w:rsid w:val="0051723C"/>
    <w:rsid w:val="005177F9"/>
    <w:rsid w:val="005178B6"/>
    <w:rsid w:val="00517E42"/>
    <w:rsid w:val="005205EE"/>
    <w:rsid w:val="005208BD"/>
    <w:rsid w:val="00520FAD"/>
    <w:rsid w:val="00521437"/>
    <w:rsid w:val="00521520"/>
    <w:rsid w:val="0052206A"/>
    <w:rsid w:val="00523283"/>
    <w:rsid w:val="00523317"/>
    <w:rsid w:val="00523911"/>
    <w:rsid w:val="00523FBF"/>
    <w:rsid w:val="005241B6"/>
    <w:rsid w:val="00524E72"/>
    <w:rsid w:val="00525003"/>
    <w:rsid w:val="00525451"/>
    <w:rsid w:val="00525871"/>
    <w:rsid w:val="00525B77"/>
    <w:rsid w:val="00525EA1"/>
    <w:rsid w:val="005273FF"/>
    <w:rsid w:val="00527A41"/>
    <w:rsid w:val="00527D92"/>
    <w:rsid w:val="0053072C"/>
    <w:rsid w:val="00530E9C"/>
    <w:rsid w:val="005317AD"/>
    <w:rsid w:val="005334BF"/>
    <w:rsid w:val="005345BD"/>
    <w:rsid w:val="00535674"/>
    <w:rsid w:val="0053572B"/>
    <w:rsid w:val="00535AD0"/>
    <w:rsid w:val="00535B6A"/>
    <w:rsid w:val="00535BA5"/>
    <w:rsid w:val="00535FBF"/>
    <w:rsid w:val="0053714F"/>
    <w:rsid w:val="0053736F"/>
    <w:rsid w:val="005375EC"/>
    <w:rsid w:val="00537D21"/>
    <w:rsid w:val="0054048C"/>
    <w:rsid w:val="0054064A"/>
    <w:rsid w:val="00540F09"/>
    <w:rsid w:val="0054309E"/>
    <w:rsid w:val="00543C82"/>
    <w:rsid w:val="005441ED"/>
    <w:rsid w:val="005448EB"/>
    <w:rsid w:val="00545977"/>
    <w:rsid w:val="00545AF3"/>
    <w:rsid w:val="005465DB"/>
    <w:rsid w:val="00546973"/>
    <w:rsid w:val="00547BAB"/>
    <w:rsid w:val="005504F3"/>
    <w:rsid w:val="00551B77"/>
    <w:rsid w:val="0055280F"/>
    <w:rsid w:val="00552F7F"/>
    <w:rsid w:val="005542F9"/>
    <w:rsid w:val="00554D22"/>
    <w:rsid w:val="005551A3"/>
    <w:rsid w:val="00555C07"/>
    <w:rsid w:val="00556921"/>
    <w:rsid w:val="0055761F"/>
    <w:rsid w:val="00557D70"/>
    <w:rsid w:val="005600C2"/>
    <w:rsid w:val="00560AF6"/>
    <w:rsid w:val="00561813"/>
    <w:rsid w:val="00561A63"/>
    <w:rsid w:val="00561BC2"/>
    <w:rsid w:val="00562777"/>
    <w:rsid w:val="00562B48"/>
    <w:rsid w:val="00562C8D"/>
    <w:rsid w:val="00563AAC"/>
    <w:rsid w:val="00564A94"/>
    <w:rsid w:val="00564BF7"/>
    <w:rsid w:val="005656A0"/>
    <w:rsid w:val="00565BB0"/>
    <w:rsid w:val="00566BF0"/>
    <w:rsid w:val="00567352"/>
    <w:rsid w:val="005675E3"/>
    <w:rsid w:val="005701D3"/>
    <w:rsid w:val="005711F0"/>
    <w:rsid w:val="00572015"/>
    <w:rsid w:val="00572450"/>
    <w:rsid w:val="00572561"/>
    <w:rsid w:val="0057293E"/>
    <w:rsid w:val="00572CC7"/>
    <w:rsid w:val="00572E86"/>
    <w:rsid w:val="00573587"/>
    <w:rsid w:val="00573677"/>
    <w:rsid w:val="00573DD8"/>
    <w:rsid w:val="005743D0"/>
    <w:rsid w:val="00575E3D"/>
    <w:rsid w:val="00576502"/>
    <w:rsid w:val="005771D8"/>
    <w:rsid w:val="00577504"/>
    <w:rsid w:val="00577955"/>
    <w:rsid w:val="00580432"/>
    <w:rsid w:val="00580B91"/>
    <w:rsid w:val="005813D6"/>
    <w:rsid w:val="00581757"/>
    <w:rsid w:val="00581A72"/>
    <w:rsid w:val="00582192"/>
    <w:rsid w:val="00582416"/>
    <w:rsid w:val="00582858"/>
    <w:rsid w:val="00582A13"/>
    <w:rsid w:val="00582BE7"/>
    <w:rsid w:val="00584455"/>
    <w:rsid w:val="00584A4F"/>
    <w:rsid w:val="00584B18"/>
    <w:rsid w:val="00585258"/>
    <w:rsid w:val="005857D0"/>
    <w:rsid w:val="00585A5D"/>
    <w:rsid w:val="00586231"/>
    <w:rsid w:val="00586310"/>
    <w:rsid w:val="00586465"/>
    <w:rsid w:val="005864F1"/>
    <w:rsid w:val="00586A00"/>
    <w:rsid w:val="00586F9B"/>
    <w:rsid w:val="005879A5"/>
    <w:rsid w:val="00587A37"/>
    <w:rsid w:val="00587CEE"/>
    <w:rsid w:val="00587FE1"/>
    <w:rsid w:val="00590288"/>
    <w:rsid w:val="005903A4"/>
    <w:rsid w:val="0059466C"/>
    <w:rsid w:val="005948A8"/>
    <w:rsid w:val="00594A5C"/>
    <w:rsid w:val="00594EF7"/>
    <w:rsid w:val="0059538A"/>
    <w:rsid w:val="005978EB"/>
    <w:rsid w:val="00597DE0"/>
    <w:rsid w:val="005A00CB"/>
    <w:rsid w:val="005A0CD4"/>
    <w:rsid w:val="005A0F95"/>
    <w:rsid w:val="005A15E9"/>
    <w:rsid w:val="005A27AD"/>
    <w:rsid w:val="005A2D6A"/>
    <w:rsid w:val="005A3804"/>
    <w:rsid w:val="005A381E"/>
    <w:rsid w:val="005A44C1"/>
    <w:rsid w:val="005A4745"/>
    <w:rsid w:val="005A4A15"/>
    <w:rsid w:val="005A54C8"/>
    <w:rsid w:val="005A6D8B"/>
    <w:rsid w:val="005A7496"/>
    <w:rsid w:val="005A7DA2"/>
    <w:rsid w:val="005B0C21"/>
    <w:rsid w:val="005B0E24"/>
    <w:rsid w:val="005B10B4"/>
    <w:rsid w:val="005B1A06"/>
    <w:rsid w:val="005B1B2D"/>
    <w:rsid w:val="005B221F"/>
    <w:rsid w:val="005B2307"/>
    <w:rsid w:val="005B2933"/>
    <w:rsid w:val="005B2A3B"/>
    <w:rsid w:val="005B2E4D"/>
    <w:rsid w:val="005B3E8D"/>
    <w:rsid w:val="005B432A"/>
    <w:rsid w:val="005B46A4"/>
    <w:rsid w:val="005B46E1"/>
    <w:rsid w:val="005B51C7"/>
    <w:rsid w:val="005B5646"/>
    <w:rsid w:val="005B57A1"/>
    <w:rsid w:val="005B581E"/>
    <w:rsid w:val="005B5822"/>
    <w:rsid w:val="005B59EB"/>
    <w:rsid w:val="005B5A1A"/>
    <w:rsid w:val="005B5C1E"/>
    <w:rsid w:val="005B5D1E"/>
    <w:rsid w:val="005B5DF5"/>
    <w:rsid w:val="005B5F16"/>
    <w:rsid w:val="005B6299"/>
    <w:rsid w:val="005B62C4"/>
    <w:rsid w:val="005B75A5"/>
    <w:rsid w:val="005B75E2"/>
    <w:rsid w:val="005B76ED"/>
    <w:rsid w:val="005B7BDC"/>
    <w:rsid w:val="005C06BA"/>
    <w:rsid w:val="005C0F2C"/>
    <w:rsid w:val="005C1637"/>
    <w:rsid w:val="005C1704"/>
    <w:rsid w:val="005C1CF9"/>
    <w:rsid w:val="005C1D34"/>
    <w:rsid w:val="005C28D4"/>
    <w:rsid w:val="005C2C87"/>
    <w:rsid w:val="005C3104"/>
    <w:rsid w:val="005C41F5"/>
    <w:rsid w:val="005C4FF2"/>
    <w:rsid w:val="005C5FAC"/>
    <w:rsid w:val="005C67F8"/>
    <w:rsid w:val="005C6D7F"/>
    <w:rsid w:val="005C7C3F"/>
    <w:rsid w:val="005C7E0F"/>
    <w:rsid w:val="005C7E80"/>
    <w:rsid w:val="005D0026"/>
    <w:rsid w:val="005D04E7"/>
    <w:rsid w:val="005D182D"/>
    <w:rsid w:val="005D1E71"/>
    <w:rsid w:val="005D1EF5"/>
    <w:rsid w:val="005D2CBC"/>
    <w:rsid w:val="005D2F6A"/>
    <w:rsid w:val="005D355A"/>
    <w:rsid w:val="005D48D5"/>
    <w:rsid w:val="005D4E0E"/>
    <w:rsid w:val="005D4F92"/>
    <w:rsid w:val="005D592D"/>
    <w:rsid w:val="005D5987"/>
    <w:rsid w:val="005D5A5A"/>
    <w:rsid w:val="005D73B9"/>
    <w:rsid w:val="005D7597"/>
    <w:rsid w:val="005E0012"/>
    <w:rsid w:val="005E0519"/>
    <w:rsid w:val="005E05C8"/>
    <w:rsid w:val="005E0902"/>
    <w:rsid w:val="005E126A"/>
    <w:rsid w:val="005E1779"/>
    <w:rsid w:val="005E26C9"/>
    <w:rsid w:val="005E2976"/>
    <w:rsid w:val="005E3E29"/>
    <w:rsid w:val="005E444E"/>
    <w:rsid w:val="005E4613"/>
    <w:rsid w:val="005E4D7E"/>
    <w:rsid w:val="005E5774"/>
    <w:rsid w:val="005E5B6B"/>
    <w:rsid w:val="005E68F8"/>
    <w:rsid w:val="005E6F30"/>
    <w:rsid w:val="005E7E2E"/>
    <w:rsid w:val="005F08DA"/>
    <w:rsid w:val="005F0F57"/>
    <w:rsid w:val="005F11A1"/>
    <w:rsid w:val="005F17A7"/>
    <w:rsid w:val="005F1905"/>
    <w:rsid w:val="005F2ABB"/>
    <w:rsid w:val="005F3EA8"/>
    <w:rsid w:val="005F4E74"/>
    <w:rsid w:val="005F54D8"/>
    <w:rsid w:val="005F5978"/>
    <w:rsid w:val="005F6080"/>
    <w:rsid w:val="005F65A4"/>
    <w:rsid w:val="005F69FE"/>
    <w:rsid w:val="005F6E01"/>
    <w:rsid w:val="005F732B"/>
    <w:rsid w:val="005F7648"/>
    <w:rsid w:val="005F769B"/>
    <w:rsid w:val="005F7942"/>
    <w:rsid w:val="005F7A7D"/>
    <w:rsid w:val="00600594"/>
    <w:rsid w:val="00600B42"/>
    <w:rsid w:val="00600D5C"/>
    <w:rsid w:val="00601101"/>
    <w:rsid w:val="00601E03"/>
    <w:rsid w:val="00601EF2"/>
    <w:rsid w:val="006021BC"/>
    <w:rsid w:val="006023B6"/>
    <w:rsid w:val="006027C5"/>
    <w:rsid w:val="0060310B"/>
    <w:rsid w:val="006035F0"/>
    <w:rsid w:val="00603748"/>
    <w:rsid w:val="006038DF"/>
    <w:rsid w:val="00603AC3"/>
    <w:rsid w:val="00603ECC"/>
    <w:rsid w:val="006048DC"/>
    <w:rsid w:val="00605871"/>
    <w:rsid w:val="006060BD"/>
    <w:rsid w:val="006064AF"/>
    <w:rsid w:val="0060650A"/>
    <w:rsid w:val="00606656"/>
    <w:rsid w:val="00607717"/>
    <w:rsid w:val="00610287"/>
    <w:rsid w:val="006107A1"/>
    <w:rsid w:val="00611811"/>
    <w:rsid w:val="006124F5"/>
    <w:rsid w:val="006125A6"/>
    <w:rsid w:val="0061268A"/>
    <w:rsid w:val="00612FBD"/>
    <w:rsid w:val="00612FCB"/>
    <w:rsid w:val="006146B7"/>
    <w:rsid w:val="006150FC"/>
    <w:rsid w:val="006157A9"/>
    <w:rsid w:val="00615F24"/>
    <w:rsid w:val="0061654F"/>
    <w:rsid w:val="006166FA"/>
    <w:rsid w:val="006170CA"/>
    <w:rsid w:val="006172B3"/>
    <w:rsid w:val="00617617"/>
    <w:rsid w:val="00617D22"/>
    <w:rsid w:val="0062033D"/>
    <w:rsid w:val="006207F2"/>
    <w:rsid w:val="00620882"/>
    <w:rsid w:val="00620B15"/>
    <w:rsid w:val="006223F1"/>
    <w:rsid w:val="00622556"/>
    <w:rsid w:val="00622893"/>
    <w:rsid w:val="0062312F"/>
    <w:rsid w:val="00623251"/>
    <w:rsid w:val="006240A6"/>
    <w:rsid w:val="006247BE"/>
    <w:rsid w:val="00624C1E"/>
    <w:rsid w:val="00625638"/>
    <w:rsid w:val="00626836"/>
    <w:rsid w:val="0062695F"/>
    <w:rsid w:val="0062750C"/>
    <w:rsid w:val="00627B65"/>
    <w:rsid w:val="00630EF9"/>
    <w:rsid w:val="00631D75"/>
    <w:rsid w:val="00632314"/>
    <w:rsid w:val="00632550"/>
    <w:rsid w:val="00633420"/>
    <w:rsid w:val="00633733"/>
    <w:rsid w:val="006338DE"/>
    <w:rsid w:val="00633C35"/>
    <w:rsid w:val="00633F94"/>
    <w:rsid w:val="00634456"/>
    <w:rsid w:val="0063451D"/>
    <w:rsid w:val="00635B85"/>
    <w:rsid w:val="00635CE0"/>
    <w:rsid w:val="00636097"/>
    <w:rsid w:val="006364EA"/>
    <w:rsid w:val="00636E0C"/>
    <w:rsid w:val="00637AC3"/>
    <w:rsid w:val="00640441"/>
    <w:rsid w:val="006409CC"/>
    <w:rsid w:val="00640AD6"/>
    <w:rsid w:val="006411EA"/>
    <w:rsid w:val="006419D2"/>
    <w:rsid w:val="00642770"/>
    <w:rsid w:val="0064371C"/>
    <w:rsid w:val="00643C07"/>
    <w:rsid w:val="00643F7B"/>
    <w:rsid w:val="006441FB"/>
    <w:rsid w:val="0064489B"/>
    <w:rsid w:val="00645057"/>
    <w:rsid w:val="00645528"/>
    <w:rsid w:val="006455BD"/>
    <w:rsid w:val="00645A26"/>
    <w:rsid w:val="00647184"/>
    <w:rsid w:val="00647C2C"/>
    <w:rsid w:val="00647CD3"/>
    <w:rsid w:val="0065002D"/>
    <w:rsid w:val="00650174"/>
    <w:rsid w:val="006505A7"/>
    <w:rsid w:val="00651C93"/>
    <w:rsid w:val="0065295C"/>
    <w:rsid w:val="00652B75"/>
    <w:rsid w:val="006535DA"/>
    <w:rsid w:val="006539BE"/>
    <w:rsid w:val="00654A52"/>
    <w:rsid w:val="00655827"/>
    <w:rsid w:val="00655948"/>
    <w:rsid w:val="00656516"/>
    <w:rsid w:val="00656588"/>
    <w:rsid w:val="006607E4"/>
    <w:rsid w:val="00661910"/>
    <w:rsid w:val="00661D0C"/>
    <w:rsid w:val="006622A4"/>
    <w:rsid w:val="00662315"/>
    <w:rsid w:val="00663330"/>
    <w:rsid w:val="006636A9"/>
    <w:rsid w:val="00663C12"/>
    <w:rsid w:val="00663F7A"/>
    <w:rsid w:val="006643CA"/>
    <w:rsid w:val="00665323"/>
    <w:rsid w:val="0066566B"/>
    <w:rsid w:val="00665918"/>
    <w:rsid w:val="006666DA"/>
    <w:rsid w:val="00666771"/>
    <w:rsid w:val="0066679A"/>
    <w:rsid w:val="006667A7"/>
    <w:rsid w:val="00666F03"/>
    <w:rsid w:val="0067203D"/>
    <w:rsid w:val="0067258E"/>
    <w:rsid w:val="0067323D"/>
    <w:rsid w:val="00673B31"/>
    <w:rsid w:val="00674242"/>
    <w:rsid w:val="00674606"/>
    <w:rsid w:val="00674966"/>
    <w:rsid w:val="00674EEB"/>
    <w:rsid w:val="0067543D"/>
    <w:rsid w:val="00676233"/>
    <w:rsid w:val="00676359"/>
    <w:rsid w:val="0067647A"/>
    <w:rsid w:val="006766CC"/>
    <w:rsid w:val="00676715"/>
    <w:rsid w:val="00676E1B"/>
    <w:rsid w:val="0067717F"/>
    <w:rsid w:val="006771E0"/>
    <w:rsid w:val="00677407"/>
    <w:rsid w:val="0067768B"/>
    <w:rsid w:val="00677816"/>
    <w:rsid w:val="00677A99"/>
    <w:rsid w:val="00677CE8"/>
    <w:rsid w:val="006804B2"/>
    <w:rsid w:val="00681EF0"/>
    <w:rsid w:val="006847D9"/>
    <w:rsid w:val="00684FB2"/>
    <w:rsid w:val="006853C8"/>
    <w:rsid w:val="006858E6"/>
    <w:rsid w:val="00685A67"/>
    <w:rsid w:val="00685BDD"/>
    <w:rsid w:val="00686922"/>
    <w:rsid w:val="00686972"/>
    <w:rsid w:val="00687375"/>
    <w:rsid w:val="006903C5"/>
    <w:rsid w:val="006907ED"/>
    <w:rsid w:val="00690BA6"/>
    <w:rsid w:val="0069160E"/>
    <w:rsid w:val="00692A66"/>
    <w:rsid w:val="00692BB8"/>
    <w:rsid w:val="00692C70"/>
    <w:rsid w:val="00692D2C"/>
    <w:rsid w:val="00692E07"/>
    <w:rsid w:val="00692F70"/>
    <w:rsid w:val="0069303D"/>
    <w:rsid w:val="00693742"/>
    <w:rsid w:val="00693C88"/>
    <w:rsid w:val="00694460"/>
    <w:rsid w:val="00695273"/>
    <w:rsid w:val="00695353"/>
    <w:rsid w:val="0069553F"/>
    <w:rsid w:val="00695A27"/>
    <w:rsid w:val="00695F0D"/>
    <w:rsid w:val="0069612C"/>
    <w:rsid w:val="0069625A"/>
    <w:rsid w:val="00696ACA"/>
    <w:rsid w:val="00696D3D"/>
    <w:rsid w:val="00697282"/>
    <w:rsid w:val="00697608"/>
    <w:rsid w:val="006A0812"/>
    <w:rsid w:val="006A0D74"/>
    <w:rsid w:val="006A126B"/>
    <w:rsid w:val="006A1331"/>
    <w:rsid w:val="006A18D1"/>
    <w:rsid w:val="006A1A26"/>
    <w:rsid w:val="006A1D14"/>
    <w:rsid w:val="006A1DEC"/>
    <w:rsid w:val="006A209A"/>
    <w:rsid w:val="006A247F"/>
    <w:rsid w:val="006A2520"/>
    <w:rsid w:val="006A25D9"/>
    <w:rsid w:val="006A2BEB"/>
    <w:rsid w:val="006A2D5D"/>
    <w:rsid w:val="006A2F86"/>
    <w:rsid w:val="006A3031"/>
    <w:rsid w:val="006A3ADE"/>
    <w:rsid w:val="006A3E9F"/>
    <w:rsid w:val="006A550D"/>
    <w:rsid w:val="006A560B"/>
    <w:rsid w:val="006A5639"/>
    <w:rsid w:val="006A5651"/>
    <w:rsid w:val="006A5B2E"/>
    <w:rsid w:val="006A6301"/>
    <w:rsid w:val="006A7937"/>
    <w:rsid w:val="006A7EDF"/>
    <w:rsid w:val="006B0051"/>
    <w:rsid w:val="006B0C17"/>
    <w:rsid w:val="006B33E7"/>
    <w:rsid w:val="006B399B"/>
    <w:rsid w:val="006B3E51"/>
    <w:rsid w:val="006B4094"/>
    <w:rsid w:val="006B4281"/>
    <w:rsid w:val="006B46B9"/>
    <w:rsid w:val="006B49E5"/>
    <w:rsid w:val="006B52F3"/>
    <w:rsid w:val="006B5BD6"/>
    <w:rsid w:val="006B69FE"/>
    <w:rsid w:val="006B71D3"/>
    <w:rsid w:val="006B7440"/>
    <w:rsid w:val="006C0F43"/>
    <w:rsid w:val="006C0F5D"/>
    <w:rsid w:val="006C1896"/>
    <w:rsid w:val="006C1F2D"/>
    <w:rsid w:val="006C24A8"/>
    <w:rsid w:val="006C26B0"/>
    <w:rsid w:val="006C27EE"/>
    <w:rsid w:val="006C3AF0"/>
    <w:rsid w:val="006C445F"/>
    <w:rsid w:val="006C4960"/>
    <w:rsid w:val="006C4BBA"/>
    <w:rsid w:val="006C4EFC"/>
    <w:rsid w:val="006C51D1"/>
    <w:rsid w:val="006C57C9"/>
    <w:rsid w:val="006C5922"/>
    <w:rsid w:val="006C5BCF"/>
    <w:rsid w:val="006C5C67"/>
    <w:rsid w:val="006C5F0C"/>
    <w:rsid w:val="006C60E9"/>
    <w:rsid w:val="006C7220"/>
    <w:rsid w:val="006C7E2C"/>
    <w:rsid w:val="006D00C2"/>
    <w:rsid w:val="006D060D"/>
    <w:rsid w:val="006D36C4"/>
    <w:rsid w:val="006D4341"/>
    <w:rsid w:val="006D4743"/>
    <w:rsid w:val="006D487C"/>
    <w:rsid w:val="006D494B"/>
    <w:rsid w:val="006D4DB8"/>
    <w:rsid w:val="006D5863"/>
    <w:rsid w:val="006D5B42"/>
    <w:rsid w:val="006D6BD4"/>
    <w:rsid w:val="006D7894"/>
    <w:rsid w:val="006E062C"/>
    <w:rsid w:val="006E1892"/>
    <w:rsid w:val="006E2A9D"/>
    <w:rsid w:val="006E2E2B"/>
    <w:rsid w:val="006E2ECF"/>
    <w:rsid w:val="006E2F6D"/>
    <w:rsid w:val="006E313C"/>
    <w:rsid w:val="006E3B8E"/>
    <w:rsid w:val="006E3E88"/>
    <w:rsid w:val="006E423B"/>
    <w:rsid w:val="006E4876"/>
    <w:rsid w:val="006E4F29"/>
    <w:rsid w:val="006E54BC"/>
    <w:rsid w:val="006E6605"/>
    <w:rsid w:val="006E67F8"/>
    <w:rsid w:val="006E7649"/>
    <w:rsid w:val="006F001C"/>
    <w:rsid w:val="006F0B80"/>
    <w:rsid w:val="006F1FC3"/>
    <w:rsid w:val="006F20A3"/>
    <w:rsid w:val="006F224B"/>
    <w:rsid w:val="006F3C8F"/>
    <w:rsid w:val="006F42F6"/>
    <w:rsid w:val="006F4E99"/>
    <w:rsid w:val="006F505E"/>
    <w:rsid w:val="006F5605"/>
    <w:rsid w:val="006F588B"/>
    <w:rsid w:val="006F5A20"/>
    <w:rsid w:val="006F5E86"/>
    <w:rsid w:val="006F63DF"/>
    <w:rsid w:val="006F6C6D"/>
    <w:rsid w:val="006F75F3"/>
    <w:rsid w:val="006F792B"/>
    <w:rsid w:val="0070032D"/>
    <w:rsid w:val="00700693"/>
    <w:rsid w:val="007008E2"/>
    <w:rsid w:val="00700A65"/>
    <w:rsid w:val="00700F2C"/>
    <w:rsid w:val="00700F46"/>
    <w:rsid w:val="00700F90"/>
    <w:rsid w:val="00701224"/>
    <w:rsid w:val="00701C4F"/>
    <w:rsid w:val="007021E4"/>
    <w:rsid w:val="0070297A"/>
    <w:rsid w:val="007029FC"/>
    <w:rsid w:val="00702B9F"/>
    <w:rsid w:val="007031F9"/>
    <w:rsid w:val="00703236"/>
    <w:rsid w:val="007035B8"/>
    <w:rsid w:val="00703BAE"/>
    <w:rsid w:val="00704125"/>
    <w:rsid w:val="007042F6"/>
    <w:rsid w:val="00704FF3"/>
    <w:rsid w:val="00705142"/>
    <w:rsid w:val="00705C7F"/>
    <w:rsid w:val="00705D53"/>
    <w:rsid w:val="007060F1"/>
    <w:rsid w:val="007064A0"/>
    <w:rsid w:val="00706CDA"/>
    <w:rsid w:val="00706DC9"/>
    <w:rsid w:val="00706E53"/>
    <w:rsid w:val="00706EAE"/>
    <w:rsid w:val="007079EF"/>
    <w:rsid w:val="0071080B"/>
    <w:rsid w:val="00710AE2"/>
    <w:rsid w:val="00711612"/>
    <w:rsid w:val="00711666"/>
    <w:rsid w:val="00712496"/>
    <w:rsid w:val="00712FA1"/>
    <w:rsid w:val="00713582"/>
    <w:rsid w:val="00714742"/>
    <w:rsid w:val="00714A20"/>
    <w:rsid w:val="00715B80"/>
    <w:rsid w:val="00715C36"/>
    <w:rsid w:val="00715C70"/>
    <w:rsid w:val="00716285"/>
    <w:rsid w:val="007169DE"/>
    <w:rsid w:val="00716F03"/>
    <w:rsid w:val="00716FC0"/>
    <w:rsid w:val="00717590"/>
    <w:rsid w:val="007175C6"/>
    <w:rsid w:val="00717A05"/>
    <w:rsid w:val="00717D21"/>
    <w:rsid w:val="0072035C"/>
    <w:rsid w:val="0072070E"/>
    <w:rsid w:val="007208F1"/>
    <w:rsid w:val="00720CAF"/>
    <w:rsid w:val="007223DE"/>
    <w:rsid w:val="007240B6"/>
    <w:rsid w:val="007246C0"/>
    <w:rsid w:val="00724C3F"/>
    <w:rsid w:val="0072515A"/>
    <w:rsid w:val="00725280"/>
    <w:rsid w:val="00725CC5"/>
    <w:rsid w:val="00726188"/>
    <w:rsid w:val="0072626F"/>
    <w:rsid w:val="00727404"/>
    <w:rsid w:val="00727686"/>
    <w:rsid w:val="00727ADE"/>
    <w:rsid w:val="00727FCA"/>
    <w:rsid w:val="007301B3"/>
    <w:rsid w:val="00731923"/>
    <w:rsid w:val="00731F75"/>
    <w:rsid w:val="007327DB"/>
    <w:rsid w:val="00732E58"/>
    <w:rsid w:val="007332F9"/>
    <w:rsid w:val="00733342"/>
    <w:rsid w:val="00734246"/>
    <w:rsid w:val="00734425"/>
    <w:rsid w:val="00734879"/>
    <w:rsid w:val="00734DAC"/>
    <w:rsid w:val="007354B2"/>
    <w:rsid w:val="007354D2"/>
    <w:rsid w:val="00735F72"/>
    <w:rsid w:val="0073771B"/>
    <w:rsid w:val="00740ABD"/>
    <w:rsid w:val="007412E2"/>
    <w:rsid w:val="00741320"/>
    <w:rsid w:val="00742505"/>
    <w:rsid w:val="007429EF"/>
    <w:rsid w:val="00742B55"/>
    <w:rsid w:val="00742CB7"/>
    <w:rsid w:val="00743141"/>
    <w:rsid w:val="00743199"/>
    <w:rsid w:val="00743813"/>
    <w:rsid w:val="0074395F"/>
    <w:rsid w:val="00743E0F"/>
    <w:rsid w:val="0074490E"/>
    <w:rsid w:val="00744D17"/>
    <w:rsid w:val="007453CB"/>
    <w:rsid w:val="00746112"/>
    <w:rsid w:val="0074663A"/>
    <w:rsid w:val="007467AF"/>
    <w:rsid w:val="00746A3B"/>
    <w:rsid w:val="00746B64"/>
    <w:rsid w:val="00746CB3"/>
    <w:rsid w:val="00747088"/>
    <w:rsid w:val="00747C64"/>
    <w:rsid w:val="00747E1E"/>
    <w:rsid w:val="007504C2"/>
    <w:rsid w:val="00751C38"/>
    <w:rsid w:val="00751D31"/>
    <w:rsid w:val="00752135"/>
    <w:rsid w:val="00752A0F"/>
    <w:rsid w:val="00753099"/>
    <w:rsid w:val="007536B7"/>
    <w:rsid w:val="00753700"/>
    <w:rsid w:val="0075468B"/>
    <w:rsid w:val="00755748"/>
    <w:rsid w:val="00755AE7"/>
    <w:rsid w:val="00756187"/>
    <w:rsid w:val="00756E9B"/>
    <w:rsid w:val="007600A1"/>
    <w:rsid w:val="007609DC"/>
    <w:rsid w:val="00760AD8"/>
    <w:rsid w:val="00760BEB"/>
    <w:rsid w:val="00761136"/>
    <w:rsid w:val="007616F7"/>
    <w:rsid w:val="00762D7B"/>
    <w:rsid w:val="007631E0"/>
    <w:rsid w:val="00763BA6"/>
    <w:rsid w:val="007655D9"/>
    <w:rsid w:val="00765694"/>
    <w:rsid w:val="00766459"/>
    <w:rsid w:val="0076666E"/>
    <w:rsid w:val="007676AF"/>
    <w:rsid w:val="00767F58"/>
    <w:rsid w:val="00767F8D"/>
    <w:rsid w:val="007701CC"/>
    <w:rsid w:val="0077030F"/>
    <w:rsid w:val="007705E3"/>
    <w:rsid w:val="00770991"/>
    <w:rsid w:val="00770B56"/>
    <w:rsid w:val="007713CE"/>
    <w:rsid w:val="007720CA"/>
    <w:rsid w:val="00772E95"/>
    <w:rsid w:val="00772FFA"/>
    <w:rsid w:val="00773DA8"/>
    <w:rsid w:val="007753C1"/>
    <w:rsid w:val="0077658D"/>
    <w:rsid w:val="00777200"/>
    <w:rsid w:val="00777532"/>
    <w:rsid w:val="00780108"/>
    <w:rsid w:val="007801AE"/>
    <w:rsid w:val="00781DA4"/>
    <w:rsid w:val="007826E9"/>
    <w:rsid w:val="00782A7A"/>
    <w:rsid w:val="00782D68"/>
    <w:rsid w:val="007842E0"/>
    <w:rsid w:val="007843DA"/>
    <w:rsid w:val="00784504"/>
    <w:rsid w:val="00785148"/>
    <w:rsid w:val="007854F8"/>
    <w:rsid w:val="00785ABE"/>
    <w:rsid w:val="00785EAA"/>
    <w:rsid w:val="00786063"/>
    <w:rsid w:val="00786212"/>
    <w:rsid w:val="0078664E"/>
    <w:rsid w:val="00786CA5"/>
    <w:rsid w:val="007871B1"/>
    <w:rsid w:val="007872C3"/>
    <w:rsid w:val="007875F9"/>
    <w:rsid w:val="00787A2B"/>
    <w:rsid w:val="00787DE5"/>
    <w:rsid w:val="007904C1"/>
    <w:rsid w:val="00790D6A"/>
    <w:rsid w:val="00790E2B"/>
    <w:rsid w:val="00790EAE"/>
    <w:rsid w:val="00790EEB"/>
    <w:rsid w:val="0079297A"/>
    <w:rsid w:val="007929D3"/>
    <w:rsid w:val="00792CCF"/>
    <w:rsid w:val="00792DE3"/>
    <w:rsid w:val="007935F1"/>
    <w:rsid w:val="007937B0"/>
    <w:rsid w:val="00793A7C"/>
    <w:rsid w:val="00793E13"/>
    <w:rsid w:val="00795F75"/>
    <w:rsid w:val="0079612B"/>
    <w:rsid w:val="00796274"/>
    <w:rsid w:val="0079629A"/>
    <w:rsid w:val="007963B2"/>
    <w:rsid w:val="007968CE"/>
    <w:rsid w:val="00797BB7"/>
    <w:rsid w:val="007A103B"/>
    <w:rsid w:val="007A1368"/>
    <w:rsid w:val="007A1EBF"/>
    <w:rsid w:val="007A2389"/>
    <w:rsid w:val="007A2C48"/>
    <w:rsid w:val="007A3281"/>
    <w:rsid w:val="007A4B22"/>
    <w:rsid w:val="007A51DD"/>
    <w:rsid w:val="007A5535"/>
    <w:rsid w:val="007A5E41"/>
    <w:rsid w:val="007A603E"/>
    <w:rsid w:val="007A64AC"/>
    <w:rsid w:val="007A6911"/>
    <w:rsid w:val="007A737A"/>
    <w:rsid w:val="007A7AEC"/>
    <w:rsid w:val="007A7BBF"/>
    <w:rsid w:val="007B14B8"/>
    <w:rsid w:val="007B1689"/>
    <w:rsid w:val="007B22E8"/>
    <w:rsid w:val="007B2661"/>
    <w:rsid w:val="007B3050"/>
    <w:rsid w:val="007B3323"/>
    <w:rsid w:val="007B389F"/>
    <w:rsid w:val="007B3DDA"/>
    <w:rsid w:val="007B409F"/>
    <w:rsid w:val="007B461E"/>
    <w:rsid w:val="007B4A90"/>
    <w:rsid w:val="007B4B09"/>
    <w:rsid w:val="007B4CF3"/>
    <w:rsid w:val="007B5226"/>
    <w:rsid w:val="007B52B1"/>
    <w:rsid w:val="007B5A84"/>
    <w:rsid w:val="007B6441"/>
    <w:rsid w:val="007B6E8F"/>
    <w:rsid w:val="007C015B"/>
    <w:rsid w:val="007C105F"/>
    <w:rsid w:val="007C1666"/>
    <w:rsid w:val="007C1C83"/>
    <w:rsid w:val="007C1E18"/>
    <w:rsid w:val="007C2229"/>
    <w:rsid w:val="007C2EBE"/>
    <w:rsid w:val="007C30E0"/>
    <w:rsid w:val="007C4230"/>
    <w:rsid w:val="007C4258"/>
    <w:rsid w:val="007C4AE8"/>
    <w:rsid w:val="007C50CE"/>
    <w:rsid w:val="007C539D"/>
    <w:rsid w:val="007C5601"/>
    <w:rsid w:val="007C67B1"/>
    <w:rsid w:val="007D03B8"/>
    <w:rsid w:val="007D0B59"/>
    <w:rsid w:val="007D0BEC"/>
    <w:rsid w:val="007D16EE"/>
    <w:rsid w:val="007D1A19"/>
    <w:rsid w:val="007D1B68"/>
    <w:rsid w:val="007D2CA3"/>
    <w:rsid w:val="007D2CA4"/>
    <w:rsid w:val="007D2E37"/>
    <w:rsid w:val="007D336D"/>
    <w:rsid w:val="007D3A97"/>
    <w:rsid w:val="007D3BFC"/>
    <w:rsid w:val="007D4208"/>
    <w:rsid w:val="007D42FD"/>
    <w:rsid w:val="007D4383"/>
    <w:rsid w:val="007D4906"/>
    <w:rsid w:val="007D73AC"/>
    <w:rsid w:val="007D7F38"/>
    <w:rsid w:val="007E0A8C"/>
    <w:rsid w:val="007E0B67"/>
    <w:rsid w:val="007E0BEB"/>
    <w:rsid w:val="007E0CF7"/>
    <w:rsid w:val="007E149C"/>
    <w:rsid w:val="007E1512"/>
    <w:rsid w:val="007E1C5F"/>
    <w:rsid w:val="007E2056"/>
    <w:rsid w:val="007E26E4"/>
    <w:rsid w:val="007E2A35"/>
    <w:rsid w:val="007E3358"/>
    <w:rsid w:val="007E3E37"/>
    <w:rsid w:val="007E4B85"/>
    <w:rsid w:val="007E63DA"/>
    <w:rsid w:val="007E7032"/>
    <w:rsid w:val="007E7BAF"/>
    <w:rsid w:val="007E7BCA"/>
    <w:rsid w:val="007E7E62"/>
    <w:rsid w:val="007F0067"/>
    <w:rsid w:val="007F0DFB"/>
    <w:rsid w:val="007F155E"/>
    <w:rsid w:val="007F17A5"/>
    <w:rsid w:val="007F1B2A"/>
    <w:rsid w:val="007F1E65"/>
    <w:rsid w:val="007F25EA"/>
    <w:rsid w:val="007F2AA9"/>
    <w:rsid w:val="007F2DF7"/>
    <w:rsid w:val="007F2FDF"/>
    <w:rsid w:val="007F326F"/>
    <w:rsid w:val="007F3F00"/>
    <w:rsid w:val="007F51F3"/>
    <w:rsid w:val="007F63FA"/>
    <w:rsid w:val="007F6464"/>
    <w:rsid w:val="007F69EB"/>
    <w:rsid w:val="007F6AF5"/>
    <w:rsid w:val="007F7997"/>
    <w:rsid w:val="007F7AE4"/>
    <w:rsid w:val="00801575"/>
    <w:rsid w:val="00801675"/>
    <w:rsid w:val="00801F0A"/>
    <w:rsid w:val="0080268D"/>
    <w:rsid w:val="008026D2"/>
    <w:rsid w:val="0080310E"/>
    <w:rsid w:val="00803600"/>
    <w:rsid w:val="008036DE"/>
    <w:rsid w:val="00803F24"/>
    <w:rsid w:val="00804CE2"/>
    <w:rsid w:val="00805A5E"/>
    <w:rsid w:val="008065C5"/>
    <w:rsid w:val="008068E6"/>
    <w:rsid w:val="00806901"/>
    <w:rsid w:val="00807042"/>
    <w:rsid w:val="008073CC"/>
    <w:rsid w:val="00807542"/>
    <w:rsid w:val="008076B2"/>
    <w:rsid w:val="008079AF"/>
    <w:rsid w:val="00810005"/>
    <w:rsid w:val="008105AF"/>
    <w:rsid w:val="00811238"/>
    <w:rsid w:val="00811465"/>
    <w:rsid w:val="00811A10"/>
    <w:rsid w:val="00811CEF"/>
    <w:rsid w:val="008120EE"/>
    <w:rsid w:val="00812100"/>
    <w:rsid w:val="00812741"/>
    <w:rsid w:val="00813997"/>
    <w:rsid w:val="00813AC6"/>
    <w:rsid w:val="00813E13"/>
    <w:rsid w:val="008141F1"/>
    <w:rsid w:val="008146CE"/>
    <w:rsid w:val="00814B87"/>
    <w:rsid w:val="00814BAE"/>
    <w:rsid w:val="00815859"/>
    <w:rsid w:val="00815AA8"/>
    <w:rsid w:val="00816144"/>
    <w:rsid w:val="00816BBB"/>
    <w:rsid w:val="00816F89"/>
    <w:rsid w:val="00817E36"/>
    <w:rsid w:val="00817EAD"/>
    <w:rsid w:val="008202A4"/>
    <w:rsid w:val="00820328"/>
    <w:rsid w:val="00820670"/>
    <w:rsid w:val="008214AA"/>
    <w:rsid w:val="008215C5"/>
    <w:rsid w:val="00822230"/>
    <w:rsid w:val="008223D4"/>
    <w:rsid w:val="008233C8"/>
    <w:rsid w:val="00823809"/>
    <w:rsid w:val="008239C2"/>
    <w:rsid w:val="0082418F"/>
    <w:rsid w:val="008243BB"/>
    <w:rsid w:val="008257B4"/>
    <w:rsid w:val="00826BDF"/>
    <w:rsid w:val="00827A72"/>
    <w:rsid w:val="00830BB1"/>
    <w:rsid w:val="00831444"/>
    <w:rsid w:val="0083171B"/>
    <w:rsid w:val="00831D8F"/>
    <w:rsid w:val="00831E22"/>
    <w:rsid w:val="008321B8"/>
    <w:rsid w:val="00832908"/>
    <w:rsid w:val="00833478"/>
    <w:rsid w:val="00833B95"/>
    <w:rsid w:val="00833E92"/>
    <w:rsid w:val="00834FA4"/>
    <w:rsid w:val="008354DC"/>
    <w:rsid w:val="00835B33"/>
    <w:rsid w:val="00835F93"/>
    <w:rsid w:val="0083605C"/>
    <w:rsid w:val="0083632E"/>
    <w:rsid w:val="00836D73"/>
    <w:rsid w:val="008371DF"/>
    <w:rsid w:val="00837734"/>
    <w:rsid w:val="00837D76"/>
    <w:rsid w:val="008414F7"/>
    <w:rsid w:val="008425CF"/>
    <w:rsid w:val="0084272D"/>
    <w:rsid w:val="00843144"/>
    <w:rsid w:val="008433D6"/>
    <w:rsid w:val="0084371D"/>
    <w:rsid w:val="008439F5"/>
    <w:rsid w:val="008440A9"/>
    <w:rsid w:val="00844B1B"/>
    <w:rsid w:val="0084511C"/>
    <w:rsid w:val="00845289"/>
    <w:rsid w:val="00845D51"/>
    <w:rsid w:val="00845DDC"/>
    <w:rsid w:val="008464CE"/>
    <w:rsid w:val="00846811"/>
    <w:rsid w:val="00846DDE"/>
    <w:rsid w:val="0084713F"/>
    <w:rsid w:val="0085062B"/>
    <w:rsid w:val="008506D6"/>
    <w:rsid w:val="008507BD"/>
    <w:rsid w:val="008518AE"/>
    <w:rsid w:val="00851E50"/>
    <w:rsid w:val="00852294"/>
    <w:rsid w:val="008522DB"/>
    <w:rsid w:val="008524A4"/>
    <w:rsid w:val="00852581"/>
    <w:rsid w:val="008527BB"/>
    <w:rsid w:val="0085317E"/>
    <w:rsid w:val="008531DF"/>
    <w:rsid w:val="00853A6E"/>
    <w:rsid w:val="00853C91"/>
    <w:rsid w:val="008544F6"/>
    <w:rsid w:val="00855671"/>
    <w:rsid w:val="00855E96"/>
    <w:rsid w:val="008561F0"/>
    <w:rsid w:val="008564C2"/>
    <w:rsid w:val="00856638"/>
    <w:rsid w:val="00856869"/>
    <w:rsid w:val="00856AFA"/>
    <w:rsid w:val="00857732"/>
    <w:rsid w:val="00860049"/>
    <w:rsid w:val="0086038C"/>
    <w:rsid w:val="0086113A"/>
    <w:rsid w:val="00861200"/>
    <w:rsid w:val="00861240"/>
    <w:rsid w:val="00861698"/>
    <w:rsid w:val="008616D0"/>
    <w:rsid w:val="00861ED6"/>
    <w:rsid w:val="0086246F"/>
    <w:rsid w:val="008626C8"/>
    <w:rsid w:val="00863065"/>
    <w:rsid w:val="008630D8"/>
    <w:rsid w:val="008630E1"/>
    <w:rsid w:val="0086320F"/>
    <w:rsid w:val="008652DA"/>
    <w:rsid w:val="008654EE"/>
    <w:rsid w:val="0086550A"/>
    <w:rsid w:val="00865F4E"/>
    <w:rsid w:val="008663D8"/>
    <w:rsid w:val="00866BAB"/>
    <w:rsid w:val="0086706E"/>
    <w:rsid w:val="008674C6"/>
    <w:rsid w:val="0086750B"/>
    <w:rsid w:val="00867D82"/>
    <w:rsid w:val="008700C0"/>
    <w:rsid w:val="00870B4D"/>
    <w:rsid w:val="00870D31"/>
    <w:rsid w:val="00870DF9"/>
    <w:rsid w:val="0087107C"/>
    <w:rsid w:val="008725DB"/>
    <w:rsid w:val="008726B7"/>
    <w:rsid w:val="008729E9"/>
    <w:rsid w:val="00872D24"/>
    <w:rsid w:val="008734A6"/>
    <w:rsid w:val="00875E17"/>
    <w:rsid w:val="0087698C"/>
    <w:rsid w:val="00876EA7"/>
    <w:rsid w:val="00877304"/>
    <w:rsid w:val="008805ED"/>
    <w:rsid w:val="00880BC2"/>
    <w:rsid w:val="00880E02"/>
    <w:rsid w:val="00881086"/>
    <w:rsid w:val="00881178"/>
    <w:rsid w:val="0088149B"/>
    <w:rsid w:val="008817C5"/>
    <w:rsid w:val="00881A95"/>
    <w:rsid w:val="00881AA6"/>
    <w:rsid w:val="00881D58"/>
    <w:rsid w:val="00881E55"/>
    <w:rsid w:val="00882CED"/>
    <w:rsid w:val="008835E7"/>
    <w:rsid w:val="00883791"/>
    <w:rsid w:val="0088384D"/>
    <w:rsid w:val="008841FE"/>
    <w:rsid w:val="00884509"/>
    <w:rsid w:val="00884639"/>
    <w:rsid w:val="00884968"/>
    <w:rsid w:val="0088551F"/>
    <w:rsid w:val="00885631"/>
    <w:rsid w:val="00885A66"/>
    <w:rsid w:val="00885CBE"/>
    <w:rsid w:val="00886F2E"/>
    <w:rsid w:val="008872E1"/>
    <w:rsid w:val="00887DA4"/>
    <w:rsid w:val="00890AA9"/>
    <w:rsid w:val="00890B82"/>
    <w:rsid w:val="00890D94"/>
    <w:rsid w:val="00891132"/>
    <w:rsid w:val="00891241"/>
    <w:rsid w:val="0089126E"/>
    <w:rsid w:val="00891919"/>
    <w:rsid w:val="0089192B"/>
    <w:rsid w:val="00891C1D"/>
    <w:rsid w:val="00891C24"/>
    <w:rsid w:val="00892316"/>
    <w:rsid w:val="008923CC"/>
    <w:rsid w:val="008929EB"/>
    <w:rsid w:val="008937E4"/>
    <w:rsid w:val="00893E8A"/>
    <w:rsid w:val="0089468D"/>
    <w:rsid w:val="00894ECD"/>
    <w:rsid w:val="0089512F"/>
    <w:rsid w:val="008969D9"/>
    <w:rsid w:val="00896E0B"/>
    <w:rsid w:val="008973C9"/>
    <w:rsid w:val="008A071E"/>
    <w:rsid w:val="008A111B"/>
    <w:rsid w:val="008A15B8"/>
    <w:rsid w:val="008A197C"/>
    <w:rsid w:val="008A19A8"/>
    <w:rsid w:val="008A1AF3"/>
    <w:rsid w:val="008A1C17"/>
    <w:rsid w:val="008A202F"/>
    <w:rsid w:val="008A2242"/>
    <w:rsid w:val="008A243B"/>
    <w:rsid w:val="008A25CA"/>
    <w:rsid w:val="008A2B34"/>
    <w:rsid w:val="008A3606"/>
    <w:rsid w:val="008A3636"/>
    <w:rsid w:val="008A4CCB"/>
    <w:rsid w:val="008A4FE0"/>
    <w:rsid w:val="008A6923"/>
    <w:rsid w:val="008A6D94"/>
    <w:rsid w:val="008A715A"/>
    <w:rsid w:val="008A791F"/>
    <w:rsid w:val="008B0662"/>
    <w:rsid w:val="008B1B51"/>
    <w:rsid w:val="008B2491"/>
    <w:rsid w:val="008B2C5B"/>
    <w:rsid w:val="008B465D"/>
    <w:rsid w:val="008B4678"/>
    <w:rsid w:val="008B519A"/>
    <w:rsid w:val="008B51A5"/>
    <w:rsid w:val="008B598E"/>
    <w:rsid w:val="008B59AC"/>
    <w:rsid w:val="008B691A"/>
    <w:rsid w:val="008B712C"/>
    <w:rsid w:val="008B7526"/>
    <w:rsid w:val="008B770D"/>
    <w:rsid w:val="008B7928"/>
    <w:rsid w:val="008B7F69"/>
    <w:rsid w:val="008C0BF7"/>
    <w:rsid w:val="008C0FDE"/>
    <w:rsid w:val="008C2277"/>
    <w:rsid w:val="008C276C"/>
    <w:rsid w:val="008C283A"/>
    <w:rsid w:val="008C2D17"/>
    <w:rsid w:val="008C304B"/>
    <w:rsid w:val="008C3E66"/>
    <w:rsid w:val="008C4460"/>
    <w:rsid w:val="008C46B2"/>
    <w:rsid w:val="008C476D"/>
    <w:rsid w:val="008C5EC6"/>
    <w:rsid w:val="008C6573"/>
    <w:rsid w:val="008C737E"/>
    <w:rsid w:val="008C73DC"/>
    <w:rsid w:val="008C761E"/>
    <w:rsid w:val="008C79E5"/>
    <w:rsid w:val="008D00DE"/>
    <w:rsid w:val="008D0D67"/>
    <w:rsid w:val="008D15E9"/>
    <w:rsid w:val="008D18DD"/>
    <w:rsid w:val="008D1DC7"/>
    <w:rsid w:val="008D1F2B"/>
    <w:rsid w:val="008D2008"/>
    <w:rsid w:val="008D251C"/>
    <w:rsid w:val="008D283C"/>
    <w:rsid w:val="008D2A5D"/>
    <w:rsid w:val="008D334A"/>
    <w:rsid w:val="008D3446"/>
    <w:rsid w:val="008D3E61"/>
    <w:rsid w:val="008D40AE"/>
    <w:rsid w:val="008D4183"/>
    <w:rsid w:val="008D4B22"/>
    <w:rsid w:val="008D4FB9"/>
    <w:rsid w:val="008D5541"/>
    <w:rsid w:val="008D5E8C"/>
    <w:rsid w:val="008D6142"/>
    <w:rsid w:val="008D69D5"/>
    <w:rsid w:val="008D7750"/>
    <w:rsid w:val="008E0256"/>
    <w:rsid w:val="008E0DE9"/>
    <w:rsid w:val="008E0F9F"/>
    <w:rsid w:val="008E10FA"/>
    <w:rsid w:val="008E1364"/>
    <w:rsid w:val="008E1A49"/>
    <w:rsid w:val="008E1A6E"/>
    <w:rsid w:val="008E1B3E"/>
    <w:rsid w:val="008E2076"/>
    <w:rsid w:val="008E2349"/>
    <w:rsid w:val="008E274B"/>
    <w:rsid w:val="008E280C"/>
    <w:rsid w:val="008E2A12"/>
    <w:rsid w:val="008E33DD"/>
    <w:rsid w:val="008E36CE"/>
    <w:rsid w:val="008E3BC5"/>
    <w:rsid w:val="008E492A"/>
    <w:rsid w:val="008E54A6"/>
    <w:rsid w:val="008E5FE8"/>
    <w:rsid w:val="008E602D"/>
    <w:rsid w:val="008E6E24"/>
    <w:rsid w:val="008E7470"/>
    <w:rsid w:val="008E74CC"/>
    <w:rsid w:val="008E76A1"/>
    <w:rsid w:val="008E7AAE"/>
    <w:rsid w:val="008E7D02"/>
    <w:rsid w:val="008F0648"/>
    <w:rsid w:val="008F1131"/>
    <w:rsid w:val="008F1CE5"/>
    <w:rsid w:val="008F26A0"/>
    <w:rsid w:val="008F27B6"/>
    <w:rsid w:val="008F2D7A"/>
    <w:rsid w:val="008F36B4"/>
    <w:rsid w:val="008F3BE2"/>
    <w:rsid w:val="008F421E"/>
    <w:rsid w:val="008F4933"/>
    <w:rsid w:val="008F50EA"/>
    <w:rsid w:val="008F5756"/>
    <w:rsid w:val="008F5D8C"/>
    <w:rsid w:val="008F62B6"/>
    <w:rsid w:val="008F6FE5"/>
    <w:rsid w:val="008F705D"/>
    <w:rsid w:val="008F76D9"/>
    <w:rsid w:val="008F7D3C"/>
    <w:rsid w:val="009009A4"/>
    <w:rsid w:val="0090139F"/>
    <w:rsid w:val="0090166D"/>
    <w:rsid w:val="0090271B"/>
    <w:rsid w:val="0090288D"/>
    <w:rsid w:val="0090356B"/>
    <w:rsid w:val="009036CB"/>
    <w:rsid w:val="00904214"/>
    <w:rsid w:val="0090498B"/>
    <w:rsid w:val="00904AE0"/>
    <w:rsid w:val="009053FC"/>
    <w:rsid w:val="0090545D"/>
    <w:rsid w:val="0090615D"/>
    <w:rsid w:val="009062DE"/>
    <w:rsid w:val="0090642B"/>
    <w:rsid w:val="009067B1"/>
    <w:rsid w:val="00906DFE"/>
    <w:rsid w:val="00907463"/>
    <w:rsid w:val="009079D0"/>
    <w:rsid w:val="0091063D"/>
    <w:rsid w:val="009107BC"/>
    <w:rsid w:val="00910990"/>
    <w:rsid w:val="00910996"/>
    <w:rsid w:val="0091139B"/>
    <w:rsid w:val="00911DDF"/>
    <w:rsid w:val="00912574"/>
    <w:rsid w:val="00912D39"/>
    <w:rsid w:val="00913F5C"/>
    <w:rsid w:val="009145A6"/>
    <w:rsid w:val="00914872"/>
    <w:rsid w:val="009148A2"/>
    <w:rsid w:val="00914D82"/>
    <w:rsid w:val="00915F17"/>
    <w:rsid w:val="00916ADF"/>
    <w:rsid w:val="009170FD"/>
    <w:rsid w:val="0091735A"/>
    <w:rsid w:val="0091738C"/>
    <w:rsid w:val="009173C0"/>
    <w:rsid w:val="00917522"/>
    <w:rsid w:val="00917857"/>
    <w:rsid w:val="00917D22"/>
    <w:rsid w:val="00917DDD"/>
    <w:rsid w:val="00920563"/>
    <w:rsid w:val="00920569"/>
    <w:rsid w:val="00920691"/>
    <w:rsid w:val="009208E4"/>
    <w:rsid w:val="00920DCF"/>
    <w:rsid w:val="0092101F"/>
    <w:rsid w:val="00922539"/>
    <w:rsid w:val="00922C2E"/>
    <w:rsid w:val="00922DA7"/>
    <w:rsid w:val="00923173"/>
    <w:rsid w:val="0092339C"/>
    <w:rsid w:val="00923989"/>
    <w:rsid w:val="00923CC1"/>
    <w:rsid w:val="00924887"/>
    <w:rsid w:val="00925DE5"/>
    <w:rsid w:val="00926370"/>
    <w:rsid w:val="00926B56"/>
    <w:rsid w:val="00926B92"/>
    <w:rsid w:val="00926FA8"/>
    <w:rsid w:val="0092770F"/>
    <w:rsid w:val="00927A34"/>
    <w:rsid w:val="00930BDE"/>
    <w:rsid w:val="00931074"/>
    <w:rsid w:val="00931FAD"/>
    <w:rsid w:val="0093379C"/>
    <w:rsid w:val="00933E17"/>
    <w:rsid w:val="00934FE2"/>
    <w:rsid w:val="0093536E"/>
    <w:rsid w:val="009353EE"/>
    <w:rsid w:val="009358CA"/>
    <w:rsid w:val="00935F52"/>
    <w:rsid w:val="00936203"/>
    <w:rsid w:val="00936B87"/>
    <w:rsid w:val="00937B54"/>
    <w:rsid w:val="00937CB3"/>
    <w:rsid w:val="00937F21"/>
    <w:rsid w:val="0094001C"/>
    <w:rsid w:val="00940C12"/>
    <w:rsid w:val="0094127C"/>
    <w:rsid w:val="00941471"/>
    <w:rsid w:val="009418D9"/>
    <w:rsid w:val="00942901"/>
    <w:rsid w:val="00943050"/>
    <w:rsid w:val="009431CA"/>
    <w:rsid w:val="00944085"/>
    <w:rsid w:val="00945050"/>
    <w:rsid w:val="0094527C"/>
    <w:rsid w:val="0094586E"/>
    <w:rsid w:val="00945EE8"/>
    <w:rsid w:val="009466FA"/>
    <w:rsid w:val="00946E82"/>
    <w:rsid w:val="00947452"/>
    <w:rsid w:val="00947F6E"/>
    <w:rsid w:val="0095026F"/>
    <w:rsid w:val="00950392"/>
    <w:rsid w:val="00950815"/>
    <w:rsid w:val="009514D3"/>
    <w:rsid w:val="009515C4"/>
    <w:rsid w:val="009519BA"/>
    <w:rsid w:val="009519E5"/>
    <w:rsid w:val="00951B84"/>
    <w:rsid w:val="0095245B"/>
    <w:rsid w:val="009528FA"/>
    <w:rsid w:val="0095299E"/>
    <w:rsid w:val="00952EA5"/>
    <w:rsid w:val="00953281"/>
    <w:rsid w:val="00953501"/>
    <w:rsid w:val="009544B6"/>
    <w:rsid w:val="00954506"/>
    <w:rsid w:val="009552BE"/>
    <w:rsid w:val="0095543C"/>
    <w:rsid w:val="00955977"/>
    <w:rsid w:val="00956505"/>
    <w:rsid w:val="0095669F"/>
    <w:rsid w:val="00956B24"/>
    <w:rsid w:val="00956DCF"/>
    <w:rsid w:val="00957738"/>
    <w:rsid w:val="00957968"/>
    <w:rsid w:val="009605CF"/>
    <w:rsid w:val="0096156A"/>
    <w:rsid w:val="009621F3"/>
    <w:rsid w:val="00963793"/>
    <w:rsid w:val="00963BB5"/>
    <w:rsid w:val="00964266"/>
    <w:rsid w:val="00964AFF"/>
    <w:rsid w:val="00964B58"/>
    <w:rsid w:val="00964D3E"/>
    <w:rsid w:val="00965B80"/>
    <w:rsid w:val="00966316"/>
    <w:rsid w:val="009667E1"/>
    <w:rsid w:val="00966AF8"/>
    <w:rsid w:val="009676B1"/>
    <w:rsid w:val="00967885"/>
    <w:rsid w:val="00967D2F"/>
    <w:rsid w:val="00967E82"/>
    <w:rsid w:val="00970ED0"/>
    <w:rsid w:val="009716F4"/>
    <w:rsid w:val="0097240C"/>
    <w:rsid w:val="009732FA"/>
    <w:rsid w:val="00974094"/>
    <w:rsid w:val="00974206"/>
    <w:rsid w:val="009743FB"/>
    <w:rsid w:val="00974836"/>
    <w:rsid w:val="0097493E"/>
    <w:rsid w:val="00974BBA"/>
    <w:rsid w:val="009750CC"/>
    <w:rsid w:val="009756A0"/>
    <w:rsid w:val="00975EC4"/>
    <w:rsid w:val="009765D6"/>
    <w:rsid w:val="0097661F"/>
    <w:rsid w:val="00976C90"/>
    <w:rsid w:val="00976EDF"/>
    <w:rsid w:val="009771E1"/>
    <w:rsid w:val="00977226"/>
    <w:rsid w:val="0097742E"/>
    <w:rsid w:val="009775F2"/>
    <w:rsid w:val="00977769"/>
    <w:rsid w:val="009777BD"/>
    <w:rsid w:val="00977ABE"/>
    <w:rsid w:val="00977AC1"/>
    <w:rsid w:val="00980070"/>
    <w:rsid w:val="009806E6"/>
    <w:rsid w:val="009815F6"/>
    <w:rsid w:val="0098182B"/>
    <w:rsid w:val="0098186F"/>
    <w:rsid w:val="00981977"/>
    <w:rsid w:val="00982B1C"/>
    <w:rsid w:val="00982FA0"/>
    <w:rsid w:val="00984077"/>
    <w:rsid w:val="009842FA"/>
    <w:rsid w:val="0098440D"/>
    <w:rsid w:val="00984808"/>
    <w:rsid w:val="009848D1"/>
    <w:rsid w:val="00984A2D"/>
    <w:rsid w:val="00984F2B"/>
    <w:rsid w:val="00985261"/>
    <w:rsid w:val="00985937"/>
    <w:rsid w:val="009859CF"/>
    <w:rsid w:val="00986C06"/>
    <w:rsid w:val="00986CB6"/>
    <w:rsid w:val="00987A22"/>
    <w:rsid w:val="00987AE1"/>
    <w:rsid w:val="00987BD0"/>
    <w:rsid w:val="00987DA7"/>
    <w:rsid w:val="00990012"/>
    <w:rsid w:val="0099123A"/>
    <w:rsid w:val="00991345"/>
    <w:rsid w:val="00991954"/>
    <w:rsid w:val="00992301"/>
    <w:rsid w:val="009929F1"/>
    <w:rsid w:val="00992B58"/>
    <w:rsid w:val="00992DC4"/>
    <w:rsid w:val="0099365F"/>
    <w:rsid w:val="00993D0D"/>
    <w:rsid w:val="0099454D"/>
    <w:rsid w:val="00995531"/>
    <w:rsid w:val="009962F0"/>
    <w:rsid w:val="00996CCF"/>
    <w:rsid w:val="009A082F"/>
    <w:rsid w:val="009A0956"/>
    <w:rsid w:val="009A0F5D"/>
    <w:rsid w:val="009A1153"/>
    <w:rsid w:val="009A18EA"/>
    <w:rsid w:val="009A1946"/>
    <w:rsid w:val="009A251E"/>
    <w:rsid w:val="009A25C0"/>
    <w:rsid w:val="009A28E8"/>
    <w:rsid w:val="009A28FB"/>
    <w:rsid w:val="009A29DE"/>
    <w:rsid w:val="009A2E95"/>
    <w:rsid w:val="009A307D"/>
    <w:rsid w:val="009A38BB"/>
    <w:rsid w:val="009A38DC"/>
    <w:rsid w:val="009A44A3"/>
    <w:rsid w:val="009A4FF9"/>
    <w:rsid w:val="009A56FE"/>
    <w:rsid w:val="009A622D"/>
    <w:rsid w:val="009A66E1"/>
    <w:rsid w:val="009A78C0"/>
    <w:rsid w:val="009A7A4B"/>
    <w:rsid w:val="009A7D0A"/>
    <w:rsid w:val="009A7DA1"/>
    <w:rsid w:val="009A7DA9"/>
    <w:rsid w:val="009A7DC2"/>
    <w:rsid w:val="009B052B"/>
    <w:rsid w:val="009B08D3"/>
    <w:rsid w:val="009B1AA6"/>
    <w:rsid w:val="009B2A5E"/>
    <w:rsid w:val="009B2A98"/>
    <w:rsid w:val="009B3089"/>
    <w:rsid w:val="009B30D9"/>
    <w:rsid w:val="009B3174"/>
    <w:rsid w:val="009B3192"/>
    <w:rsid w:val="009B3763"/>
    <w:rsid w:val="009B48A7"/>
    <w:rsid w:val="009B533B"/>
    <w:rsid w:val="009B5612"/>
    <w:rsid w:val="009B6970"/>
    <w:rsid w:val="009B6D69"/>
    <w:rsid w:val="009B788D"/>
    <w:rsid w:val="009C12C5"/>
    <w:rsid w:val="009C2139"/>
    <w:rsid w:val="009C260F"/>
    <w:rsid w:val="009C4144"/>
    <w:rsid w:val="009C5371"/>
    <w:rsid w:val="009C53E1"/>
    <w:rsid w:val="009C5C7D"/>
    <w:rsid w:val="009C5F1B"/>
    <w:rsid w:val="009C6828"/>
    <w:rsid w:val="009D01AE"/>
    <w:rsid w:val="009D0986"/>
    <w:rsid w:val="009D0BAB"/>
    <w:rsid w:val="009D15F6"/>
    <w:rsid w:val="009D1615"/>
    <w:rsid w:val="009D2A19"/>
    <w:rsid w:val="009D2D52"/>
    <w:rsid w:val="009D2DD0"/>
    <w:rsid w:val="009D2E9E"/>
    <w:rsid w:val="009D3C0D"/>
    <w:rsid w:val="009D3C98"/>
    <w:rsid w:val="009D5214"/>
    <w:rsid w:val="009D52B3"/>
    <w:rsid w:val="009D5BDA"/>
    <w:rsid w:val="009D76B3"/>
    <w:rsid w:val="009D79C1"/>
    <w:rsid w:val="009D7ED1"/>
    <w:rsid w:val="009E02BF"/>
    <w:rsid w:val="009E0D23"/>
    <w:rsid w:val="009E1A0B"/>
    <w:rsid w:val="009E1C9A"/>
    <w:rsid w:val="009E204B"/>
    <w:rsid w:val="009E2C5A"/>
    <w:rsid w:val="009E2C79"/>
    <w:rsid w:val="009E2CCD"/>
    <w:rsid w:val="009E40C9"/>
    <w:rsid w:val="009E589D"/>
    <w:rsid w:val="009E5C42"/>
    <w:rsid w:val="009E651C"/>
    <w:rsid w:val="009E6B5F"/>
    <w:rsid w:val="009E77E6"/>
    <w:rsid w:val="009E7B0F"/>
    <w:rsid w:val="009E7B98"/>
    <w:rsid w:val="009F0361"/>
    <w:rsid w:val="009F0E7C"/>
    <w:rsid w:val="009F10AE"/>
    <w:rsid w:val="009F1C8B"/>
    <w:rsid w:val="009F20BD"/>
    <w:rsid w:val="009F20E3"/>
    <w:rsid w:val="009F266F"/>
    <w:rsid w:val="009F2875"/>
    <w:rsid w:val="009F2AA2"/>
    <w:rsid w:val="009F2F8E"/>
    <w:rsid w:val="009F2FAC"/>
    <w:rsid w:val="009F3118"/>
    <w:rsid w:val="009F397B"/>
    <w:rsid w:val="009F3F1D"/>
    <w:rsid w:val="009F42AB"/>
    <w:rsid w:val="009F5A7B"/>
    <w:rsid w:val="009F5E45"/>
    <w:rsid w:val="009F7E82"/>
    <w:rsid w:val="00A00AB9"/>
    <w:rsid w:val="00A00EFA"/>
    <w:rsid w:val="00A01680"/>
    <w:rsid w:val="00A01B30"/>
    <w:rsid w:val="00A01D15"/>
    <w:rsid w:val="00A01E20"/>
    <w:rsid w:val="00A02155"/>
    <w:rsid w:val="00A02745"/>
    <w:rsid w:val="00A0410F"/>
    <w:rsid w:val="00A04C6F"/>
    <w:rsid w:val="00A04D43"/>
    <w:rsid w:val="00A04D6D"/>
    <w:rsid w:val="00A060CA"/>
    <w:rsid w:val="00A0640B"/>
    <w:rsid w:val="00A07CD7"/>
    <w:rsid w:val="00A10129"/>
    <w:rsid w:val="00A10174"/>
    <w:rsid w:val="00A111BF"/>
    <w:rsid w:val="00A117DD"/>
    <w:rsid w:val="00A11D7A"/>
    <w:rsid w:val="00A121DA"/>
    <w:rsid w:val="00A12A7E"/>
    <w:rsid w:val="00A12D96"/>
    <w:rsid w:val="00A13555"/>
    <w:rsid w:val="00A1405D"/>
    <w:rsid w:val="00A149DD"/>
    <w:rsid w:val="00A15DD2"/>
    <w:rsid w:val="00A16933"/>
    <w:rsid w:val="00A17BA3"/>
    <w:rsid w:val="00A203B6"/>
    <w:rsid w:val="00A2041C"/>
    <w:rsid w:val="00A215C4"/>
    <w:rsid w:val="00A21A33"/>
    <w:rsid w:val="00A21F21"/>
    <w:rsid w:val="00A2203A"/>
    <w:rsid w:val="00A223AE"/>
    <w:rsid w:val="00A22C0C"/>
    <w:rsid w:val="00A22FE5"/>
    <w:rsid w:val="00A23239"/>
    <w:rsid w:val="00A2380A"/>
    <w:rsid w:val="00A23FC1"/>
    <w:rsid w:val="00A243A4"/>
    <w:rsid w:val="00A243BB"/>
    <w:rsid w:val="00A24507"/>
    <w:rsid w:val="00A2487C"/>
    <w:rsid w:val="00A251FD"/>
    <w:rsid w:val="00A252FC"/>
    <w:rsid w:val="00A25F59"/>
    <w:rsid w:val="00A262C3"/>
    <w:rsid w:val="00A262D3"/>
    <w:rsid w:val="00A262F7"/>
    <w:rsid w:val="00A2663B"/>
    <w:rsid w:val="00A2677E"/>
    <w:rsid w:val="00A26FBA"/>
    <w:rsid w:val="00A273F2"/>
    <w:rsid w:val="00A27539"/>
    <w:rsid w:val="00A27683"/>
    <w:rsid w:val="00A27B1A"/>
    <w:rsid w:val="00A27E14"/>
    <w:rsid w:val="00A27EEC"/>
    <w:rsid w:val="00A3058F"/>
    <w:rsid w:val="00A31A4E"/>
    <w:rsid w:val="00A31E60"/>
    <w:rsid w:val="00A31F12"/>
    <w:rsid w:val="00A32093"/>
    <w:rsid w:val="00A32224"/>
    <w:rsid w:val="00A32576"/>
    <w:rsid w:val="00A327B4"/>
    <w:rsid w:val="00A329C9"/>
    <w:rsid w:val="00A32A51"/>
    <w:rsid w:val="00A32AA3"/>
    <w:rsid w:val="00A3317C"/>
    <w:rsid w:val="00A33DD2"/>
    <w:rsid w:val="00A33EB0"/>
    <w:rsid w:val="00A341C0"/>
    <w:rsid w:val="00A34262"/>
    <w:rsid w:val="00A34391"/>
    <w:rsid w:val="00A34BFE"/>
    <w:rsid w:val="00A34FE8"/>
    <w:rsid w:val="00A351FE"/>
    <w:rsid w:val="00A36372"/>
    <w:rsid w:val="00A37154"/>
    <w:rsid w:val="00A37622"/>
    <w:rsid w:val="00A37740"/>
    <w:rsid w:val="00A4020B"/>
    <w:rsid w:val="00A4232C"/>
    <w:rsid w:val="00A42AB0"/>
    <w:rsid w:val="00A42D0E"/>
    <w:rsid w:val="00A4419B"/>
    <w:rsid w:val="00A442A6"/>
    <w:rsid w:val="00A445E4"/>
    <w:rsid w:val="00A44B76"/>
    <w:rsid w:val="00A454C1"/>
    <w:rsid w:val="00A45850"/>
    <w:rsid w:val="00A45DD4"/>
    <w:rsid w:val="00A4644C"/>
    <w:rsid w:val="00A46970"/>
    <w:rsid w:val="00A477EE"/>
    <w:rsid w:val="00A47D61"/>
    <w:rsid w:val="00A50074"/>
    <w:rsid w:val="00A503E0"/>
    <w:rsid w:val="00A50985"/>
    <w:rsid w:val="00A50E84"/>
    <w:rsid w:val="00A50ED1"/>
    <w:rsid w:val="00A512D5"/>
    <w:rsid w:val="00A51821"/>
    <w:rsid w:val="00A52298"/>
    <w:rsid w:val="00A52819"/>
    <w:rsid w:val="00A5309E"/>
    <w:rsid w:val="00A53538"/>
    <w:rsid w:val="00A54B3B"/>
    <w:rsid w:val="00A54F00"/>
    <w:rsid w:val="00A551E1"/>
    <w:rsid w:val="00A553D9"/>
    <w:rsid w:val="00A55F74"/>
    <w:rsid w:val="00A569B9"/>
    <w:rsid w:val="00A57340"/>
    <w:rsid w:val="00A57395"/>
    <w:rsid w:val="00A60635"/>
    <w:rsid w:val="00A60679"/>
    <w:rsid w:val="00A608A5"/>
    <w:rsid w:val="00A61351"/>
    <w:rsid w:val="00A6152A"/>
    <w:rsid w:val="00A61645"/>
    <w:rsid w:val="00A6177C"/>
    <w:rsid w:val="00A62043"/>
    <w:rsid w:val="00A620D9"/>
    <w:rsid w:val="00A62E3E"/>
    <w:rsid w:val="00A62E84"/>
    <w:rsid w:val="00A639E9"/>
    <w:rsid w:val="00A63AE0"/>
    <w:rsid w:val="00A63BE3"/>
    <w:rsid w:val="00A64572"/>
    <w:rsid w:val="00A64F0F"/>
    <w:rsid w:val="00A65399"/>
    <w:rsid w:val="00A65A18"/>
    <w:rsid w:val="00A6672B"/>
    <w:rsid w:val="00A66FD4"/>
    <w:rsid w:val="00A674B9"/>
    <w:rsid w:val="00A7034C"/>
    <w:rsid w:val="00A7054C"/>
    <w:rsid w:val="00A707BD"/>
    <w:rsid w:val="00A71491"/>
    <w:rsid w:val="00A7562C"/>
    <w:rsid w:val="00A758A4"/>
    <w:rsid w:val="00A76451"/>
    <w:rsid w:val="00A766D3"/>
    <w:rsid w:val="00A76E97"/>
    <w:rsid w:val="00A77132"/>
    <w:rsid w:val="00A77A44"/>
    <w:rsid w:val="00A80183"/>
    <w:rsid w:val="00A807C1"/>
    <w:rsid w:val="00A80A2F"/>
    <w:rsid w:val="00A80BD9"/>
    <w:rsid w:val="00A812A7"/>
    <w:rsid w:val="00A817A7"/>
    <w:rsid w:val="00A8337B"/>
    <w:rsid w:val="00A83BD0"/>
    <w:rsid w:val="00A83D7B"/>
    <w:rsid w:val="00A84054"/>
    <w:rsid w:val="00A852F7"/>
    <w:rsid w:val="00A85725"/>
    <w:rsid w:val="00A857A3"/>
    <w:rsid w:val="00A859E2"/>
    <w:rsid w:val="00A862B2"/>
    <w:rsid w:val="00A86BE2"/>
    <w:rsid w:val="00A86DB5"/>
    <w:rsid w:val="00A9056D"/>
    <w:rsid w:val="00A90897"/>
    <w:rsid w:val="00A92415"/>
    <w:rsid w:val="00A92580"/>
    <w:rsid w:val="00A932F0"/>
    <w:rsid w:val="00A945FA"/>
    <w:rsid w:val="00A94793"/>
    <w:rsid w:val="00A9501F"/>
    <w:rsid w:val="00A950C9"/>
    <w:rsid w:val="00A95289"/>
    <w:rsid w:val="00A97371"/>
    <w:rsid w:val="00A97769"/>
    <w:rsid w:val="00A97AD3"/>
    <w:rsid w:val="00AA0196"/>
    <w:rsid w:val="00AA0350"/>
    <w:rsid w:val="00AA0569"/>
    <w:rsid w:val="00AA0C84"/>
    <w:rsid w:val="00AA0EE4"/>
    <w:rsid w:val="00AA103C"/>
    <w:rsid w:val="00AA1329"/>
    <w:rsid w:val="00AA2171"/>
    <w:rsid w:val="00AA21E8"/>
    <w:rsid w:val="00AA229E"/>
    <w:rsid w:val="00AA2F68"/>
    <w:rsid w:val="00AA362D"/>
    <w:rsid w:val="00AA3962"/>
    <w:rsid w:val="00AA3D9B"/>
    <w:rsid w:val="00AA3DEE"/>
    <w:rsid w:val="00AA441B"/>
    <w:rsid w:val="00AA4C21"/>
    <w:rsid w:val="00AA4EC5"/>
    <w:rsid w:val="00AA59DB"/>
    <w:rsid w:val="00AA5C52"/>
    <w:rsid w:val="00AA63C3"/>
    <w:rsid w:val="00AA677E"/>
    <w:rsid w:val="00AA69CC"/>
    <w:rsid w:val="00AA6AED"/>
    <w:rsid w:val="00AA7287"/>
    <w:rsid w:val="00AB0095"/>
    <w:rsid w:val="00AB00FD"/>
    <w:rsid w:val="00AB0AE8"/>
    <w:rsid w:val="00AB0BE7"/>
    <w:rsid w:val="00AB12BF"/>
    <w:rsid w:val="00AB1DDD"/>
    <w:rsid w:val="00AB24AF"/>
    <w:rsid w:val="00AB2AD1"/>
    <w:rsid w:val="00AB2FBA"/>
    <w:rsid w:val="00AB2FBD"/>
    <w:rsid w:val="00AB302A"/>
    <w:rsid w:val="00AB38D1"/>
    <w:rsid w:val="00AB3B7B"/>
    <w:rsid w:val="00AB4603"/>
    <w:rsid w:val="00AB4C7E"/>
    <w:rsid w:val="00AB4F7D"/>
    <w:rsid w:val="00AB5CC1"/>
    <w:rsid w:val="00AB6AA3"/>
    <w:rsid w:val="00AB708C"/>
    <w:rsid w:val="00AB7093"/>
    <w:rsid w:val="00AB71F7"/>
    <w:rsid w:val="00AB7404"/>
    <w:rsid w:val="00AB750B"/>
    <w:rsid w:val="00AB785B"/>
    <w:rsid w:val="00AB7CAF"/>
    <w:rsid w:val="00AC04BD"/>
    <w:rsid w:val="00AC0AFD"/>
    <w:rsid w:val="00AC1176"/>
    <w:rsid w:val="00AC12F4"/>
    <w:rsid w:val="00AC1E44"/>
    <w:rsid w:val="00AC2DFA"/>
    <w:rsid w:val="00AC3726"/>
    <w:rsid w:val="00AC5557"/>
    <w:rsid w:val="00AC5906"/>
    <w:rsid w:val="00AC5D24"/>
    <w:rsid w:val="00AC61EA"/>
    <w:rsid w:val="00AC62D6"/>
    <w:rsid w:val="00AC64DC"/>
    <w:rsid w:val="00AC6541"/>
    <w:rsid w:val="00AC6EBD"/>
    <w:rsid w:val="00AC7231"/>
    <w:rsid w:val="00AC73EF"/>
    <w:rsid w:val="00AC73F7"/>
    <w:rsid w:val="00AC7557"/>
    <w:rsid w:val="00AC7DD7"/>
    <w:rsid w:val="00AD0553"/>
    <w:rsid w:val="00AD07B6"/>
    <w:rsid w:val="00AD0D84"/>
    <w:rsid w:val="00AD1721"/>
    <w:rsid w:val="00AD20AE"/>
    <w:rsid w:val="00AD2364"/>
    <w:rsid w:val="00AD2815"/>
    <w:rsid w:val="00AD32E2"/>
    <w:rsid w:val="00AD37B9"/>
    <w:rsid w:val="00AD4E22"/>
    <w:rsid w:val="00AD4E4D"/>
    <w:rsid w:val="00AD58C9"/>
    <w:rsid w:val="00AD5E9B"/>
    <w:rsid w:val="00AD5F97"/>
    <w:rsid w:val="00AD7196"/>
    <w:rsid w:val="00AD76D1"/>
    <w:rsid w:val="00AD77A5"/>
    <w:rsid w:val="00AD7E81"/>
    <w:rsid w:val="00AE0F26"/>
    <w:rsid w:val="00AE124E"/>
    <w:rsid w:val="00AE1B22"/>
    <w:rsid w:val="00AE1B2C"/>
    <w:rsid w:val="00AE1C82"/>
    <w:rsid w:val="00AE2B93"/>
    <w:rsid w:val="00AE3A31"/>
    <w:rsid w:val="00AE4AAF"/>
    <w:rsid w:val="00AE4B00"/>
    <w:rsid w:val="00AE531C"/>
    <w:rsid w:val="00AE5671"/>
    <w:rsid w:val="00AE6B22"/>
    <w:rsid w:val="00AE703C"/>
    <w:rsid w:val="00AE723C"/>
    <w:rsid w:val="00AE75E4"/>
    <w:rsid w:val="00AE785E"/>
    <w:rsid w:val="00AE7DAE"/>
    <w:rsid w:val="00AF0140"/>
    <w:rsid w:val="00AF0719"/>
    <w:rsid w:val="00AF0D97"/>
    <w:rsid w:val="00AF2832"/>
    <w:rsid w:val="00AF29DC"/>
    <w:rsid w:val="00AF2E73"/>
    <w:rsid w:val="00AF3939"/>
    <w:rsid w:val="00AF3962"/>
    <w:rsid w:val="00AF4581"/>
    <w:rsid w:val="00AF4A65"/>
    <w:rsid w:val="00AF518D"/>
    <w:rsid w:val="00AF5C44"/>
    <w:rsid w:val="00AF6331"/>
    <w:rsid w:val="00AF6DB3"/>
    <w:rsid w:val="00AF7689"/>
    <w:rsid w:val="00B000D9"/>
    <w:rsid w:val="00B0078D"/>
    <w:rsid w:val="00B011EB"/>
    <w:rsid w:val="00B0130B"/>
    <w:rsid w:val="00B01E3E"/>
    <w:rsid w:val="00B0238C"/>
    <w:rsid w:val="00B02498"/>
    <w:rsid w:val="00B0293E"/>
    <w:rsid w:val="00B04523"/>
    <w:rsid w:val="00B04A3C"/>
    <w:rsid w:val="00B05877"/>
    <w:rsid w:val="00B059DD"/>
    <w:rsid w:val="00B05DB5"/>
    <w:rsid w:val="00B066E3"/>
    <w:rsid w:val="00B067B1"/>
    <w:rsid w:val="00B067E8"/>
    <w:rsid w:val="00B06BC3"/>
    <w:rsid w:val="00B06E15"/>
    <w:rsid w:val="00B0703D"/>
    <w:rsid w:val="00B07056"/>
    <w:rsid w:val="00B072B3"/>
    <w:rsid w:val="00B07CBF"/>
    <w:rsid w:val="00B07E9F"/>
    <w:rsid w:val="00B10210"/>
    <w:rsid w:val="00B10F1C"/>
    <w:rsid w:val="00B114DC"/>
    <w:rsid w:val="00B115D1"/>
    <w:rsid w:val="00B12973"/>
    <w:rsid w:val="00B12CE8"/>
    <w:rsid w:val="00B1313B"/>
    <w:rsid w:val="00B15224"/>
    <w:rsid w:val="00B15A4C"/>
    <w:rsid w:val="00B15C28"/>
    <w:rsid w:val="00B1617A"/>
    <w:rsid w:val="00B1621A"/>
    <w:rsid w:val="00B1648B"/>
    <w:rsid w:val="00B17E15"/>
    <w:rsid w:val="00B202F3"/>
    <w:rsid w:val="00B20952"/>
    <w:rsid w:val="00B20A2F"/>
    <w:rsid w:val="00B21483"/>
    <w:rsid w:val="00B2276F"/>
    <w:rsid w:val="00B22DA3"/>
    <w:rsid w:val="00B22ECA"/>
    <w:rsid w:val="00B22F25"/>
    <w:rsid w:val="00B23419"/>
    <w:rsid w:val="00B239BA"/>
    <w:rsid w:val="00B23CD5"/>
    <w:rsid w:val="00B2424C"/>
    <w:rsid w:val="00B249D0"/>
    <w:rsid w:val="00B24AC8"/>
    <w:rsid w:val="00B24C44"/>
    <w:rsid w:val="00B24C9D"/>
    <w:rsid w:val="00B24DC4"/>
    <w:rsid w:val="00B261C4"/>
    <w:rsid w:val="00B2642C"/>
    <w:rsid w:val="00B26636"/>
    <w:rsid w:val="00B26AB8"/>
    <w:rsid w:val="00B26CF6"/>
    <w:rsid w:val="00B271A1"/>
    <w:rsid w:val="00B271B4"/>
    <w:rsid w:val="00B27425"/>
    <w:rsid w:val="00B27932"/>
    <w:rsid w:val="00B301F8"/>
    <w:rsid w:val="00B304DF"/>
    <w:rsid w:val="00B3050F"/>
    <w:rsid w:val="00B305BD"/>
    <w:rsid w:val="00B3060B"/>
    <w:rsid w:val="00B30C1E"/>
    <w:rsid w:val="00B3145F"/>
    <w:rsid w:val="00B31756"/>
    <w:rsid w:val="00B32124"/>
    <w:rsid w:val="00B322E6"/>
    <w:rsid w:val="00B32400"/>
    <w:rsid w:val="00B32481"/>
    <w:rsid w:val="00B326F7"/>
    <w:rsid w:val="00B32B0A"/>
    <w:rsid w:val="00B332BD"/>
    <w:rsid w:val="00B33A9F"/>
    <w:rsid w:val="00B342E8"/>
    <w:rsid w:val="00B34669"/>
    <w:rsid w:val="00B34E18"/>
    <w:rsid w:val="00B352C7"/>
    <w:rsid w:val="00B356FA"/>
    <w:rsid w:val="00B358A2"/>
    <w:rsid w:val="00B362FA"/>
    <w:rsid w:val="00B365F4"/>
    <w:rsid w:val="00B36DA5"/>
    <w:rsid w:val="00B37228"/>
    <w:rsid w:val="00B374AD"/>
    <w:rsid w:val="00B379EB"/>
    <w:rsid w:val="00B40D38"/>
    <w:rsid w:val="00B410A8"/>
    <w:rsid w:val="00B41522"/>
    <w:rsid w:val="00B417EA"/>
    <w:rsid w:val="00B4235E"/>
    <w:rsid w:val="00B423A9"/>
    <w:rsid w:val="00B42EEE"/>
    <w:rsid w:val="00B43AF7"/>
    <w:rsid w:val="00B43CFA"/>
    <w:rsid w:val="00B4411D"/>
    <w:rsid w:val="00B449CF"/>
    <w:rsid w:val="00B454F3"/>
    <w:rsid w:val="00B45B84"/>
    <w:rsid w:val="00B45FB2"/>
    <w:rsid w:val="00B4646A"/>
    <w:rsid w:val="00B466C8"/>
    <w:rsid w:val="00B468FE"/>
    <w:rsid w:val="00B470AC"/>
    <w:rsid w:val="00B47366"/>
    <w:rsid w:val="00B473D8"/>
    <w:rsid w:val="00B50039"/>
    <w:rsid w:val="00B50505"/>
    <w:rsid w:val="00B50DF0"/>
    <w:rsid w:val="00B50F25"/>
    <w:rsid w:val="00B51148"/>
    <w:rsid w:val="00B512B8"/>
    <w:rsid w:val="00B5194E"/>
    <w:rsid w:val="00B5295B"/>
    <w:rsid w:val="00B52DF8"/>
    <w:rsid w:val="00B53EB7"/>
    <w:rsid w:val="00B54C91"/>
    <w:rsid w:val="00B5535A"/>
    <w:rsid w:val="00B55EF8"/>
    <w:rsid w:val="00B561E9"/>
    <w:rsid w:val="00B5630A"/>
    <w:rsid w:val="00B57118"/>
    <w:rsid w:val="00B57466"/>
    <w:rsid w:val="00B57D40"/>
    <w:rsid w:val="00B60003"/>
    <w:rsid w:val="00B60069"/>
    <w:rsid w:val="00B6033C"/>
    <w:rsid w:val="00B6098E"/>
    <w:rsid w:val="00B60B7D"/>
    <w:rsid w:val="00B60DFF"/>
    <w:rsid w:val="00B61210"/>
    <w:rsid w:val="00B614D3"/>
    <w:rsid w:val="00B6158A"/>
    <w:rsid w:val="00B63B79"/>
    <w:rsid w:val="00B63D18"/>
    <w:rsid w:val="00B64930"/>
    <w:rsid w:val="00B64B4E"/>
    <w:rsid w:val="00B64C92"/>
    <w:rsid w:val="00B65903"/>
    <w:rsid w:val="00B65A8B"/>
    <w:rsid w:val="00B66094"/>
    <w:rsid w:val="00B660BE"/>
    <w:rsid w:val="00B660FC"/>
    <w:rsid w:val="00B6666D"/>
    <w:rsid w:val="00B66888"/>
    <w:rsid w:val="00B669DA"/>
    <w:rsid w:val="00B67086"/>
    <w:rsid w:val="00B67109"/>
    <w:rsid w:val="00B677BB"/>
    <w:rsid w:val="00B677E4"/>
    <w:rsid w:val="00B70154"/>
    <w:rsid w:val="00B72132"/>
    <w:rsid w:val="00B7213D"/>
    <w:rsid w:val="00B72842"/>
    <w:rsid w:val="00B72870"/>
    <w:rsid w:val="00B7321C"/>
    <w:rsid w:val="00B74D93"/>
    <w:rsid w:val="00B751B3"/>
    <w:rsid w:val="00B7546D"/>
    <w:rsid w:val="00B75B9C"/>
    <w:rsid w:val="00B806A6"/>
    <w:rsid w:val="00B80D33"/>
    <w:rsid w:val="00B80FE1"/>
    <w:rsid w:val="00B81211"/>
    <w:rsid w:val="00B813AD"/>
    <w:rsid w:val="00B8144C"/>
    <w:rsid w:val="00B8279B"/>
    <w:rsid w:val="00B82D08"/>
    <w:rsid w:val="00B82F86"/>
    <w:rsid w:val="00B8326C"/>
    <w:rsid w:val="00B8426A"/>
    <w:rsid w:val="00B84DC7"/>
    <w:rsid w:val="00B84E84"/>
    <w:rsid w:val="00B852FF"/>
    <w:rsid w:val="00B8536C"/>
    <w:rsid w:val="00B85725"/>
    <w:rsid w:val="00B85AF6"/>
    <w:rsid w:val="00B85B43"/>
    <w:rsid w:val="00B8695A"/>
    <w:rsid w:val="00B86B9B"/>
    <w:rsid w:val="00B873D1"/>
    <w:rsid w:val="00B87432"/>
    <w:rsid w:val="00B8788F"/>
    <w:rsid w:val="00B906D2"/>
    <w:rsid w:val="00B922DC"/>
    <w:rsid w:val="00B92E11"/>
    <w:rsid w:val="00B932FC"/>
    <w:rsid w:val="00B9519D"/>
    <w:rsid w:val="00B953C4"/>
    <w:rsid w:val="00B95447"/>
    <w:rsid w:val="00B955F3"/>
    <w:rsid w:val="00B95E4E"/>
    <w:rsid w:val="00B96F18"/>
    <w:rsid w:val="00B96F67"/>
    <w:rsid w:val="00B96FE7"/>
    <w:rsid w:val="00B974FA"/>
    <w:rsid w:val="00B978BC"/>
    <w:rsid w:val="00B97AD6"/>
    <w:rsid w:val="00BA0A66"/>
    <w:rsid w:val="00BA0B48"/>
    <w:rsid w:val="00BA1EAE"/>
    <w:rsid w:val="00BA2F34"/>
    <w:rsid w:val="00BA320B"/>
    <w:rsid w:val="00BA33A4"/>
    <w:rsid w:val="00BA375A"/>
    <w:rsid w:val="00BA3FE5"/>
    <w:rsid w:val="00BA41A7"/>
    <w:rsid w:val="00BA4FB8"/>
    <w:rsid w:val="00BA507A"/>
    <w:rsid w:val="00BA56D3"/>
    <w:rsid w:val="00BA5A22"/>
    <w:rsid w:val="00BA6C3D"/>
    <w:rsid w:val="00BA73E3"/>
    <w:rsid w:val="00BA76E3"/>
    <w:rsid w:val="00BB00CF"/>
    <w:rsid w:val="00BB092E"/>
    <w:rsid w:val="00BB097F"/>
    <w:rsid w:val="00BB1181"/>
    <w:rsid w:val="00BB2E18"/>
    <w:rsid w:val="00BB3B7F"/>
    <w:rsid w:val="00BB3D3F"/>
    <w:rsid w:val="00BB4DDA"/>
    <w:rsid w:val="00BB50E4"/>
    <w:rsid w:val="00BB569E"/>
    <w:rsid w:val="00BB6573"/>
    <w:rsid w:val="00BB6AED"/>
    <w:rsid w:val="00BB7FA3"/>
    <w:rsid w:val="00BC0805"/>
    <w:rsid w:val="00BC0B88"/>
    <w:rsid w:val="00BC296A"/>
    <w:rsid w:val="00BC2F53"/>
    <w:rsid w:val="00BC2FC1"/>
    <w:rsid w:val="00BC4962"/>
    <w:rsid w:val="00BC4C22"/>
    <w:rsid w:val="00BC4CF8"/>
    <w:rsid w:val="00BC4E3C"/>
    <w:rsid w:val="00BC4FBF"/>
    <w:rsid w:val="00BC51FE"/>
    <w:rsid w:val="00BC5442"/>
    <w:rsid w:val="00BC58F4"/>
    <w:rsid w:val="00BC62CE"/>
    <w:rsid w:val="00BC6346"/>
    <w:rsid w:val="00BC6636"/>
    <w:rsid w:val="00BC6E6F"/>
    <w:rsid w:val="00BC7581"/>
    <w:rsid w:val="00BC7849"/>
    <w:rsid w:val="00BD0371"/>
    <w:rsid w:val="00BD0738"/>
    <w:rsid w:val="00BD0CA7"/>
    <w:rsid w:val="00BD0F8A"/>
    <w:rsid w:val="00BD12E6"/>
    <w:rsid w:val="00BD1742"/>
    <w:rsid w:val="00BD1B37"/>
    <w:rsid w:val="00BD1C91"/>
    <w:rsid w:val="00BD2B1A"/>
    <w:rsid w:val="00BD3674"/>
    <w:rsid w:val="00BD37E4"/>
    <w:rsid w:val="00BD392B"/>
    <w:rsid w:val="00BD3B7B"/>
    <w:rsid w:val="00BD3E32"/>
    <w:rsid w:val="00BD4268"/>
    <w:rsid w:val="00BD4339"/>
    <w:rsid w:val="00BD5241"/>
    <w:rsid w:val="00BD5DAE"/>
    <w:rsid w:val="00BD6053"/>
    <w:rsid w:val="00BD63E1"/>
    <w:rsid w:val="00BD6540"/>
    <w:rsid w:val="00BD6714"/>
    <w:rsid w:val="00BD6D80"/>
    <w:rsid w:val="00BD6EAA"/>
    <w:rsid w:val="00BD712A"/>
    <w:rsid w:val="00BD7C46"/>
    <w:rsid w:val="00BD7CE4"/>
    <w:rsid w:val="00BE0202"/>
    <w:rsid w:val="00BE06EF"/>
    <w:rsid w:val="00BE152B"/>
    <w:rsid w:val="00BE17DC"/>
    <w:rsid w:val="00BE1D07"/>
    <w:rsid w:val="00BE218F"/>
    <w:rsid w:val="00BE231C"/>
    <w:rsid w:val="00BE2B82"/>
    <w:rsid w:val="00BE2DF3"/>
    <w:rsid w:val="00BE39FC"/>
    <w:rsid w:val="00BE3CBB"/>
    <w:rsid w:val="00BE418E"/>
    <w:rsid w:val="00BE422E"/>
    <w:rsid w:val="00BE4445"/>
    <w:rsid w:val="00BE4D2A"/>
    <w:rsid w:val="00BE4E82"/>
    <w:rsid w:val="00BE530F"/>
    <w:rsid w:val="00BE538B"/>
    <w:rsid w:val="00BE56F5"/>
    <w:rsid w:val="00BE581B"/>
    <w:rsid w:val="00BE5822"/>
    <w:rsid w:val="00BE5920"/>
    <w:rsid w:val="00BE63B0"/>
    <w:rsid w:val="00BE6AE1"/>
    <w:rsid w:val="00BE6F47"/>
    <w:rsid w:val="00BE775C"/>
    <w:rsid w:val="00BF05F7"/>
    <w:rsid w:val="00BF1F48"/>
    <w:rsid w:val="00BF2003"/>
    <w:rsid w:val="00BF2EDD"/>
    <w:rsid w:val="00BF3C3A"/>
    <w:rsid w:val="00BF5178"/>
    <w:rsid w:val="00BF57B2"/>
    <w:rsid w:val="00BF5907"/>
    <w:rsid w:val="00BF5AFF"/>
    <w:rsid w:val="00BF6F33"/>
    <w:rsid w:val="00BF7135"/>
    <w:rsid w:val="00BF7412"/>
    <w:rsid w:val="00BF7693"/>
    <w:rsid w:val="00BF7857"/>
    <w:rsid w:val="00C0013C"/>
    <w:rsid w:val="00C009D2"/>
    <w:rsid w:val="00C00B10"/>
    <w:rsid w:val="00C00C8B"/>
    <w:rsid w:val="00C00F06"/>
    <w:rsid w:val="00C01023"/>
    <w:rsid w:val="00C02B09"/>
    <w:rsid w:val="00C02CB4"/>
    <w:rsid w:val="00C02EB7"/>
    <w:rsid w:val="00C02F60"/>
    <w:rsid w:val="00C03014"/>
    <w:rsid w:val="00C03845"/>
    <w:rsid w:val="00C03B5A"/>
    <w:rsid w:val="00C04531"/>
    <w:rsid w:val="00C04FB8"/>
    <w:rsid w:val="00C05044"/>
    <w:rsid w:val="00C06928"/>
    <w:rsid w:val="00C06B35"/>
    <w:rsid w:val="00C06CA9"/>
    <w:rsid w:val="00C10429"/>
    <w:rsid w:val="00C10A5B"/>
    <w:rsid w:val="00C11751"/>
    <w:rsid w:val="00C1256E"/>
    <w:rsid w:val="00C12C37"/>
    <w:rsid w:val="00C131E0"/>
    <w:rsid w:val="00C1334D"/>
    <w:rsid w:val="00C13B41"/>
    <w:rsid w:val="00C13CE0"/>
    <w:rsid w:val="00C14B5E"/>
    <w:rsid w:val="00C1511A"/>
    <w:rsid w:val="00C16E23"/>
    <w:rsid w:val="00C16FFE"/>
    <w:rsid w:val="00C17580"/>
    <w:rsid w:val="00C20089"/>
    <w:rsid w:val="00C21BB1"/>
    <w:rsid w:val="00C21D7C"/>
    <w:rsid w:val="00C23751"/>
    <w:rsid w:val="00C24F50"/>
    <w:rsid w:val="00C24F81"/>
    <w:rsid w:val="00C25D57"/>
    <w:rsid w:val="00C25FF4"/>
    <w:rsid w:val="00C265E6"/>
    <w:rsid w:val="00C26620"/>
    <w:rsid w:val="00C26F44"/>
    <w:rsid w:val="00C27F0A"/>
    <w:rsid w:val="00C30D1A"/>
    <w:rsid w:val="00C313E7"/>
    <w:rsid w:val="00C3159A"/>
    <w:rsid w:val="00C316CA"/>
    <w:rsid w:val="00C31F50"/>
    <w:rsid w:val="00C326E5"/>
    <w:rsid w:val="00C32A5C"/>
    <w:rsid w:val="00C3383A"/>
    <w:rsid w:val="00C33B97"/>
    <w:rsid w:val="00C341C5"/>
    <w:rsid w:val="00C34A9A"/>
    <w:rsid w:val="00C35580"/>
    <w:rsid w:val="00C357B9"/>
    <w:rsid w:val="00C365D0"/>
    <w:rsid w:val="00C37F8B"/>
    <w:rsid w:val="00C40DA0"/>
    <w:rsid w:val="00C40EA9"/>
    <w:rsid w:val="00C40FBA"/>
    <w:rsid w:val="00C41632"/>
    <w:rsid w:val="00C418CF"/>
    <w:rsid w:val="00C4193F"/>
    <w:rsid w:val="00C41F26"/>
    <w:rsid w:val="00C42510"/>
    <w:rsid w:val="00C42CC7"/>
    <w:rsid w:val="00C4302F"/>
    <w:rsid w:val="00C432CC"/>
    <w:rsid w:val="00C43338"/>
    <w:rsid w:val="00C43D56"/>
    <w:rsid w:val="00C44757"/>
    <w:rsid w:val="00C44C97"/>
    <w:rsid w:val="00C453A8"/>
    <w:rsid w:val="00C455D6"/>
    <w:rsid w:val="00C455F4"/>
    <w:rsid w:val="00C45A66"/>
    <w:rsid w:val="00C45A8F"/>
    <w:rsid w:val="00C45D7B"/>
    <w:rsid w:val="00C50788"/>
    <w:rsid w:val="00C51004"/>
    <w:rsid w:val="00C51CAF"/>
    <w:rsid w:val="00C52A5B"/>
    <w:rsid w:val="00C5309D"/>
    <w:rsid w:val="00C531D1"/>
    <w:rsid w:val="00C541B8"/>
    <w:rsid w:val="00C5433E"/>
    <w:rsid w:val="00C55EF8"/>
    <w:rsid w:val="00C56244"/>
    <w:rsid w:val="00C56326"/>
    <w:rsid w:val="00C56E0B"/>
    <w:rsid w:val="00C57599"/>
    <w:rsid w:val="00C57659"/>
    <w:rsid w:val="00C57D6B"/>
    <w:rsid w:val="00C604B4"/>
    <w:rsid w:val="00C60F35"/>
    <w:rsid w:val="00C62F70"/>
    <w:rsid w:val="00C63ADD"/>
    <w:rsid w:val="00C642F4"/>
    <w:rsid w:val="00C64620"/>
    <w:rsid w:val="00C64A82"/>
    <w:rsid w:val="00C64ABA"/>
    <w:rsid w:val="00C64EA8"/>
    <w:rsid w:val="00C65586"/>
    <w:rsid w:val="00C65851"/>
    <w:rsid w:val="00C659E2"/>
    <w:rsid w:val="00C66908"/>
    <w:rsid w:val="00C66E88"/>
    <w:rsid w:val="00C67274"/>
    <w:rsid w:val="00C674CE"/>
    <w:rsid w:val="00C67F91"/>
    <w:rsid w:val="00C703D9"/>
    <w:rsid w:val="00C705A2"/>
    <w:rsid w:val="00C70764"/>
    <w:rsid w:val="00C71070"/>
    <w:rsid w:val="00C71847"/>
    <w:rsid w:val="00C722CB"/>
    <w:rsid w:val="00C72CAF"/>
    <w:rsid w:val="00C73ACC"/>
    <w:rsid w:val="00C73C4E"/>
    <w:rsid w:val="00C760BC"/>
    <w:rsid w:val="00C76A6C"/>
    <w:rsid w:val="00C76E61"/>
    <w:rsid w:val="00C77EFC"/>
    <w:rsid w:val="00C80342"/>
    <w:rsid w:val="00C80998"/>
    <w:rsid w:val="00C80AD4"/>
    <w:rsid w:val="00C8120C"/>
    <w:rsid w:val="00C81528"/>
    <w:rsid w:val="00C81825"/>
    <w:rsid w:val="00C82972"/>
    <w:rsid w:val="00C83691"/>
    <w:rsid w:val="00C84158"/>
    <w:rsid w:val="00C84337"/>
    <w:rsid w:val="00C8449E"/>
    <w:rsid w:val="00C8456D"/>
    <w:rsid w:val="00C847F8"/>
    <w:rsid w:val="00C85362"/>
    <w:rsid w:val="00C85C59"/>
    <w:rsid w:val="00C85D20"/>
    <w:rsid w:val="00C85EAB"/>
    <w:rsid w:val="00C85F1E"/>
    <w:rsid w:val="00C8622D"/>
    <w:rsid w:val="00C867EC"/>
    <w:rsid w:val="00C874B3"/>
    <w:rsid w:val="00C8770D"/>
    <w:rsid w:val="00C87D7F"/>
    <w:rsid w:val="00C90393"/>
    <w:rsid w:val="00C90AF6"/>
    <w:rsid w:val="00C91091"/>
    <w:rsid w:val="00C91480"/>
    <w:rsid w:val="00C9163C"/>
    <w:rsid w:val="00C91933"/>
    <w:rsid w:val="00C91997"/>
    <w:rsid w:val="00C9224C"/>
    <w:rsid w:val="00C92726"/>
    <w:rsid w:val="00C92862"/>
    <w:rsid w:val="00C93FAE"/>
    <w:rsid w:val="00C948C2"/>
    <w:rsid w:val="00C949BB"/>
    <w:rsid w:val="00C94E89"/>
    <w:rsid w:val="00C94EE6"/>
    <w:rsid w:val="00C94FDD"/>
    <w:rsid w:val="00C95B98"/>
    <w:rsid w:val="00C97B93"/>
    <w:rsid w:val="00CA0FDA"/>
    <w:rsid w:val="00CA167C"/>
    <w:rsid w:val="00CA18E0"/>
    <w:rsid w:val="00CA1C03"/>
    <w:rsid w:val="00CA2DD2"/>
    <w:rsid w:val="00CA4856"/>
    <w:rsid w:val="00CA4F52"/>
    <w:rsid w:val="00CA5057"/>
    <w:rsid w:val="00CA52DA"/>
    <w:rsid w:val="00CA5371"/>
    <w:rsid w:val="00CA5949"/>
    <w:rsid w:val="00CA5AD7"/>
    <w:rsid w:val="00CA5B48"/>
    <w:rsid w:val="00CA5CA9"/>
    <w:rsid w:val="00CA778D"/>
    <w:rsid w:val="00CA7C4E"/>
    <w:rsid w:val="00CA7C68"/>
    <w:rsid w:val="00CA7CC0"/>
    <w:rsid w:val="00CB0025"/>
    <w:rsid w:val="00CB0597"/>
    <w:rsid w:val="00CB1243"/>
    <w:rsid w:val="00CB1750"/>
    <w:rsid w:val="00CB1E5F"/>
    <w:rsid w:val="00CB227C"/>
    <w:rsid w:val="00CB230B"/>
    <w:rsid w:val="00CB2323"/>
    <w:rsid w:val="00CB31CB"/>
    <w:rsid w:val="00CB3901"/>
    <w:rsid w:val="00CB3963"/>
    <w:rsid w:val="00CB3FC2"/>
    <w:rsid w:val="00CB457A"/>
    <w:rsid w:val="00CB5839"/>
    <w:rsid w:val="00CB67E5"/>
    <w:rsid w:val="00CB7C57"/>
    <w:rsid w:val="00CB7FCF"/>
    <w:rsid w:val="00CC021D"/>
    <w:rsid w:val="00CC04A2"/>
    <w:rsid w:val="00CC11F1"/>
    <w:rsid w:val="00CC125D"/>
    <w:rsid w:val="00CC129A"/>
    <w:rsid w:val="00CC143E"/>
    <w:rsid w:val="00CC14C7"/>
    <w:rsid w:val="00CC1607"/>
    <w:rsid w:val="00CC2485"/>
    <w:rsid w:val="00CC2729"/>
    <w:rsid w:val="00CC2F57"/>
    <w:rsid w:val="00CC3120"/>
    <w:rsid w:val="00CC3C9B"/>
    <w:rsid w:val="00CC4D37"/>
    <w:rsid w:val="00CC5978"/>
    <w:rsid w:val="00CC5CEC"/>
    <w:rsid w:val="00CC6D77"/>
    <w:rsid w:val="00CC6FF5"/>
    <w:rsid w:val="00CC7C44"/>
    <w:rsid w:val="00CC7F92"/>
    <w:rsid w:val="00CD124C"/>
    <w:rsid w:val="00CD1475"/>
    <w:rsid w:val="00CD15ED"/>
    <w:rsid w:val="00CD1CBB"/>
    <w:rsid w:val="00CD1F3B"/>
    <w:rsid w:val="00CD253E"/>
    <w:rsid w:val="00CD308B"/>
    <w:rsid w:val="00CD341B"/>
    <w:rsid w:val="00CD3538"/>
    <w:rsid w:val="00CD3D2F"/>
    <w:rsid w:val="00CD480C"/>
    <w:rsid w:val="00CD55DF"/>
    <w:rsid w:val="00CD5A24"/>
    <w:rsid w:val="00CD6D40"/>
    <w:rsid w:val="00CD6DC8"/>
    <w:rsid w:val="00CD7C51"/>
    <w:rsid w:val="00CD7E6E"/>
    <w:rsid w:val="00CD7F08"/>
    <w:rsid w:val="00CE0494"/>
    <w:rsid w:val="00CE20CC"/>
    <w:rsid w:val="00CE214B"/>
    <w:rsid w:val="00CE25BB"/>
    <w:rsid w:val="00CE2E2F"/>
    <w:rsid w:val="00CE30CC"/>
    <w:rsid w:val="00CE412A"/>
    <w:rsid w:val="00CE4234"/>
    <w:rsid w:val="00CE45F6"/>
    <w:rsid w:val="00CE4CB4"/>
    <w:rsid w:val="00CE524F"/>
    <w:rsid w:val="00CE59FC"/>
    <w:rsid w:val="00CE6EE6"/>
    <w:rsid w:val="00CE7038"/>
    <w:rsid w:val="00CE7638"/>
    <w:rsid w:val="00CF0249"/>
    <w:rsid w:val="00CF0A06"/>
    <w:rsid w:val="00CF1E49"/>
    <w:rsid w:val="00CF2113"/>
    <w:rsid w:val="00CF2580"/>
    <w:rsid w:val="00CF2E55"/>
    <w:rsid w:val="00CF30FF"/>
    <w:rsid w:val="00CF3565"/>
    <w:rsid w:val="00CF3B91"/>
    <w:rsid w:val="00CF4620"/>
    <w:rsid w:val="00CF47E3"/>
    <w:rsid w:val="00CF51AF"/>
    <w:rsid w:val="00CF51DD"/>
    <w:rsid w:val="00CF5293"/>
    <w:rsid w:val="00CF54BB"/>
    <w:rsid w:val="00CF73CF"/>
    <w:rsid w:val="00CF7992"/>
    <w:rsid w:val="00CF7E44"/>
    <w:rsid w:val="00D002D4"/>
    <w:rsid w:val="00D01151"/>
    <w:rsid w:val="00D01E78"/>
    <w:rsid w:val="00D01F80"/>
    <w:rsid w:val="00D020C3"/>
    <w:rsid w:val="00D0266D"/>
    <w:rsid w:val="00D02943"/>
    <w:rsid w:val="00D0312E"/>
    <w:rsid w:val="00D034DF"/>
    <w:rsid w:val="00D04483"/>
    <w:rsid w:val="00D04A56"/>
    <w:rsid w:val="00D05F0E"/>
    <w:rsid w:val="00D061B4"/>
    <w:rsid w:val="00D06672"/>
    <w:rsid w:val="00D06707"/>
    <w:rsid w:val="00D076F3"/>
    <w:rsid w:val="00D07BDD"/>
    <w:rsid w:val="00D105B8"/>
    <w:rsid w:val="00D10B50"/>
    <w:rsid w:val="00D11AA3"/>
    <w:rsid w:val="00D11FB6"/>
    <w:rsid w:val="00D12149"/>
    <w:rsid w:val="00D12467"/>
    <w:rsid w:val="00D12472"/>
    <w:rsid w:val="00D1344F"/>
    <w:rsid w:val="00D1382B"/>
    <w:rsid w:val="00D13968"/>
    <w:rsid w:val="00D1446D"/>
    <w:rsid w:val="00D149B4"/>
    <w:rsid w:val="00D14BC0"/>
    <w:rsid w:val="00D14D86"/>
    <w:rsid w:val="00D15349"/>
    <w:rsid w:val="00D15696"/>
    <w:rsid w:val="00D1620B"/>
    <w:rsid w:val="00D164A1"/>
    <w:rsid w:val="00D16758"/>
    <w:rsid w:val="00D20163"/>
    <w:rsid w:val="00D21048"/>
    <w:rsid w:val="00D220E1"/>
    <w:rsid w:val="00D22182"/>
    <w:rsid w:val="00D22985"/>
    <w:rsid w:val="00D23833"/>
    <w:rsid w:val="00D239AD"/>
    <w:rsid w:val="00D23C45"/>
    <w:rsid w:val="00D244F7"/>
    <w:rsid w:val="00D2465C"/>
    <w:rsid w:val="00D249BB"/>
    <w:rsid w:val="00D24DB3"/>
    <w:rsid w:val="00D250EF"/>
    <w:rsid w:val="00D2525F"/>
    <w:rsid w:val="00D254A0"/>
    <w:rsid w:val="00D25677"/>
    <w:rsid w:val="00D2622D"/>
    <w:rsid w:val="00D26938"/>
    <w:rsid w:val="00D26E32"/>
    <w:rsid w:val="00D27037"/>
    <w:rsid w:val="00D2733C"/>
    <w:rsid w:val="00D2783B"/>
    <w:rsid w:val="00D27D01"/>
    <w:rsid w:val="00D27D9F"/>
    <w:rsid w:val="00D305FB"/>
    <w:rsid w:val="00D30D64"/>
    <w:rsid w:val="00D3275D"/>
    <w:rsid w:val="00D33192"/>
    <w:rsid w:val="00D346F7"/>
    <w:rsid w:val="00D3470A"/>
    <w:rsid w:val="00D34739"/>
    <w:rsid w:val="00D3580A"/>
    <w:rsid w:val="00D35D94"/>
    <w:rsid w:val="00D36DD8"/>
    <w:rsid w:val="00D377D2"/>
    <w:rsid w:val="00D37823"/>
    <w:rsid w:val="00D37D61"/>
    <w:rsid w:val="00D417BA"/>
    <w:rsid w:val="00D418F6"/>
    <w:rsid w:val="00D422F2"/>
    <w:rsid w:val="00D42306"/>
    <w:rsid w:val="00D423A3"/>
    <w:rsid w:val="00D424AE"/>
    <w:rsid w:val="00D425D8"/>
    <w:rsid w:val="00D434A0"/>
    <w:rsid w:val="00D44491"/>
    <w:rsid w:val="00D444B0"/>
    <w:rsid w:val="00D44B35"/>
    <w:rsid w:val="00D44ED6"/>
    <w:rsid w:val="00D45C0D"/>
    <w:rsid w:val="00D45CE2"/>
    <w:rsid w:val="00D466DB"/>
    <w:rsid w:val="00D4699E"/>
    <w:rsid w:val="00D46D9B"/>
    <w:rsid w:val="00D4754D"/>
    <w:rsid w:val="00D478E0"/>
    <w:rsid w:val="00D5075C"/>
    <w:rsid w:val="00D5084B"/>
    <w:rsid w:val="00D50B1D"/>
    <w:rsid w:val="00D51DD3"/>
    <w:rsid w:val="00D52465"/>
    <w:rsid w:val="00D53CF1"/>
    <w:rsid w:val="00D53ECA"/>
    <w:rsid w:val="00D54280"/>
    <w:rsid w:val="00D5468F"/>
    <w:rsid w:val="00D54CA2"/>
    <w:rsid w:val="00D556CF"/>
    <w:rsid w:val="00D55879"/>
    <w:rsid w:val="00D55C61"/>
    <w:rsid w:val="00D55D53"/>
    <w:rsid w:val="00D567DA"/>
    <w:rsid w:val="00D569FD"/>
    <w:rsid w:val="00D6050C"/>
    <w:rsid w:val="00D6138F"/>
    <w:rsid w:val="00D6317A"/>
    <w:rsid w:val="00D636D7"/>
    <w:rsid w:val="00D641E7"/>
    <w:rsid w:val="00D66E85"/>
    <w:rsid w:val="00D67951"/>
    <w:rsid w:val="00D679BA"/>
    <w:rsid w:val="00D67A3B"/>
    <w:rsid w:val="00D67FD0"/>
    <w:rsid w:val="00D7080F"/>
    <w:rsid w:val="00D70F60"/>
    <w:rsid w:val="00D716AA"/>
    <w:rsid w:val="00D7186D"/>
    <w:rsid w:val="00D722BB"/>
    <w:rsid w:val="00D72318"/>
    <w:rsid w:val="00D723AE"/>
    <w:rsid w:val="00D725E8"/>
    <w:rsid w:val="00D73517"/>
    <w:rsid w:val="00D73995"/>
    <w:rsid w:val="00D73A3D"/>
    <w:rsid w:val="00D74599"/>
    <w:rsid w:val="00D75244"/>
    <w:rsid w:val="00D752C5"/>
    <w:rsid w:val="00D761CE"/>
    <w:rsid w:val="00D76A6F"/>
    <w:rsid w:val="00D76B6A"/>
    <w:rsid w:val="00D771CA"/>
    <w:rsid w:val="00D77297"/>
    <w:rsid w:val="00D80891"/>
    <w:rsid w:val="00D81072"/>
    <w:rsid w:val="00D8114C"/>
    <w:rsid w:val="00D814B7"/>
    <w:rsid w:val="00D8165E"/>
    <w:rsid w:val="00D81F83"/>
    <w:rsid w:val="00D834FE"/>
    <w:rsid w:val="00D838CD"/>
    <w:rsid w:val="00D83DB6"/>
    <w:rsid w:val="00D84116"/>
    <w:rsid w:val="00D84961"/>
    <w:rsid w:val="00D84ACE"/>
    <w:rsid w:val="00D84FE8"/>
    <w:rsid w:val="00D8526C"/>
    <w:rsid w:val="00D8553D"/>
    <w:rsid w:val="00D85EF2"/>
    <w:rsid w:val="00D865B7"/>
    <w:rsid w:val="00D86EC3"/>
    <w:rsid w:val="00D90089"/>
    <w:rsid w:val="00D906FF"/>
    <w:rsid w:val="00D90CD2"/>
    <w:rsid w:val="00D90D0E"/>
    <w:rsid w:val="00D911C5"/>
    <w:rsid w:val="00D92B99"/>
    <w:rsid w:val="00D93006"/>
    <w:rsid w:val="00D9310F"/>
    <w:rsid w:val="00D932BE"/>
    <w:rsid w:val="00D936C7"/>
    <w:rsid w:val="00D9382C"/>
    <w:rsid w:val="00D93E00"/>
    <w:rsid w:val="00D943B8"/>
    <w:rsid w:val="00D94A15"/>
    <w:rsid w:val="00D95452"/>
    <w:rsid w:val="00D95894"/>
    <w:rsid w:val="00D95A01"/>
    <w:rsid w:val="00D95AEE"/>
    <w:rsid w:val="00D95DA3"/>
    <w:rsid w:val="00D963F0"/>
    <w:rsid w:val="00D96423"/>
    <w:rsid w:val="00D96C37"/>
    <w:rsid w:val="00D9722B"/>
    <w:rsid w:val="00D9750C"/>
    <w:rsid w:val="00D97738"/>
    <w:rsid w:val="00DA01B2"/>
    <w:rsid w:val="00DA0331"/>
    <w:rsid w:val="00DA0527"/>
    <w:rsid w:val="00DA0A53"/>
    <w:rsid w:val="00DA16E7"/>
    <w:rsid w:val="00DA1BCA"/>
    <w:rsid w:val="00DA1C62"/>
    <w:rsid w:val="00DA1CAF"/>
    <w:rsid w:val="00DA2421"/>
    <w:rsid w:val="00DA2C99"/>
    <w:rsid w:val="00DA2F85"/>
    <w:rsid w:val="00DA316C"/>
    <w:rsid w:val="00DA3621"/>
    <w:rsid w:val="00DA567E"/>
    <w:rsid w:val="00DA7643"/>
    <w:rsid w:val="00DB0436"/>
    <w:rsid w:val="00DB0898"/>
    <w:rsid w:val="00DB0AF0"/>
    <w:rsid w:val="00DB1356"/>
    <w:rsid w:val="00DB1FE2"/>
    <w:rsid w:val="00DB2826"/>
    <w:rsid w:val="00DB2EBE"/>
    <w:rsid w:val="00DB3423"/>
    <w:rsid w:val="00DB3D1C"/>
    <w:rsid w:val="00DB3D8A"/>
    <w:rsid w:val="00DB43B3"/>
    <w:rsid w:val="00DB43D3"/>
    <w:rsid w:val="00DB45BB"/>
    <w:rsid w:val="00DB46B7"/>
    <w:rsid w:val="00DB4D71"/>
    <w:rsid w:val="00DB5DF0"/>
    <w:rsid w:val="00DB6035"/>
    <w:rsid w:val="00DB60F9"/>
    <w:rsid w:val="00DB638D"/>
    <w:rsid w:val="00DB7A8E"/>
    <w:rsid w:val="00DC065C"/>
    <w:rsid w:val="00DC0F4D"/>
    <w:rsid w:val="00DC18D2"/>
    <w:rsid w:val="00DC1B36"/>
    <w:rsid w:val="00DC1E25"/>
    <w:rsid w:val="00DC26F2"/>
    <w:rsid w:val="00DC3ED1"/>
    <w:rsid w:val="00DC3EE4"/>
    <w:rsid w:val="00DC436B"/>
    <w:rsid w:val="00DC5824"/>
    <w:rsid w:val="00DC6C9D"/>
    <w:rsid w:val="00DC7B21"/>
    <w:rsid w:val="00DD06C1"/>
    <w:rsid w:val="00DD08EE"/>
    <w:rsid w:val="00DD08F9"/>
    <w:rsid w:val="00DD0C18"/>
    <w:rsid w:val="00DD12D1"/>
    <w:rsid w:val="00DD1609"/>
    <w:rsid w:val="00DD177C"/>
    <w:rsid w:val="00DD1B5F"/>
    <w:rsid w:val="00DD1E05"/>
    <w:rsid w:val="00DD1EBD"/>
    <w:rsid w:val="00DD2903"/>
    <w:rsid w:val="00DD2A43"/>
    <w:rsid w:val="00DD37DD"/>
    <w:rsid w:val="00DD3C6E"/>
    <w:rsid w:val="00DD5AFF"/>
    <w:rsid w:val="00DD5D2D"/>
    <w:rsid w:val="00DD5E81"/>
    <w:rsid w:val="00DD61A8"/>
    <w:rsid w:val="00DD69B5"/>
    <w:rsid w:val="00DD74A8"/>
    <w:rsid w:val="00DD7AFF"/>
    <w:rsid w:val="00DD7F84"/>
    <w:rsid w:val="00DE02D3"/>
    <w:rsid w:val="00DE08B2"/>
    <w:rsid w:val="00DE0AF5"/>
    <w:rsid w:val="00DE0E2B"/>
    <w:rsid w:val="00DE0EE2"/>
    <w:rsid w:val="00DE20FC"/>
    <w:rsid w:val="00DE2ADC"/>
    <w:rsid w:val="00DE2D11"/>
    <w:rsid w:val="00DE526A"/>
    <w:rsid w:val="00DE5428"/>
    <w:rsid w:val="00DE5D7E"/>
    <w:rsid w:val="00DE6558"/>
    <w:rsid w:val="00DE6886"/>
    <w:rsid w:val="00DE7134"/>
    <w:rsid w:val="00DE7230"/>
    <w:rsid w:val="00DF0C77"/>
    <w:rsid w:val="00DF1E38"/>
    <w:rsid w:val="00DF21CF"/>
    <w:rsid w:val="00DF2799"/>
    <w:rsid w:val="00DF34D4"/>
    <w:rsid w:val="00DF4E1C"/>
    <w:rsid w:val="00DF55DD"/>
    <w:rsid w:val="00DF57A0"/>
    <w:rsid w:val="00DF5EF9"/>
    <w:rsid w:val="00DF6BFD"/>
    <w:rsid w:val="00DF6D8A"/>
    <w:rsid w:val="00DF7634"/>
    <w:rsid w:val="00DF7F0A"/>
    <w:rsid w:val="00E001A1"/>
    <w:rsid w:val="00E00E2A"/>
    <w:rsid w:val="00E01301"/>
    <w:rsid w:val="00E01A88"/>
    <w:rsid w:val="00E021C7"/>
    <w:rsid w:val="00E022AB"/>
    <w:rsid w:val="00E033C0"/>
    <w:rsid w:val="00E0379C"/>
    <w:rsid w:val="00E03CF2"/>
    <w:rsid w:val="00E03F38"/>
    <w:rsid w:val="00E043CC"/>
    <w:rsid w:val="00E04435"/>
    <w:rsid w:val="00E04B4B"/>
    <w:rsid w:val="00E05773"/>
    <w:rsid w:val="00E058E2"/>
    <w:rsid w:val="00E05FE2"/>
    <w:rsid w:val="00E063C7"/>
    <w:rsid w:val="00E06482"/>
    <w:rsid w:val="00E0670C"/>
    <w:rsid w:val="00E06883"/>
    <w:rsid w:val="00E073A4"/>
    <w:rsid w:val="00E07665"/>
    <w:rsid w:val="00E079DC"/>
    <w:rsid w:val="00E10A54"/>
    <w:rsid w:val="00E123B7"/>
    <w:rsid w:val="00E128BC"/>
    <w:rsid w:val="00E12C53"/>
    <w:rsid w:val="00E132CE"/>
    <w:rsid w:val="00E14652"/>
    <w:rsid w:val="00E146BD"/>
    <w:rsid w:val="00E14954"/>
    <w:rsid w:val="00E149A0"/>
    <w:rsid w:val="00E14AA4"/>
    <w:rsid w:val="00E1524C"/>
    <w:rsid w:val="00E157E8"/>
    <w:rsid w:val="00E15E2C"/>
    <w:rsid w:val="00E16528"/>
    <w:rsid w:val="00E174B2"/>
    <w:rsid w:val="00E1760C"/>
    <w:rsid w:val="00E17900"/>
    <w:rsid w:val="00E214BC"/>
    <w:rsid w:val="00E2179B"/>
    <w:rsid w:val="00E2183E"/>
    <w:rsid w:val="00E22AC2"/>
    <w:rsid w:val="00E2300F"/>
    <w:rsid w:val="00E23D3B"/>
    <w:rsid w:val="00E2468B"/>
    <w:rsid w:val="00E24E9C"/>
    <w:rsid w:val="00E2531E"/>
    <w:rsid w:val="00E25C99"/>
    <w:rsid w:val="00E25F8C"/>
    <w:rsid w:val="00E2626B"/>
    <w:rsid w:val="00E271C0"/>
    <w:rsid w:val="00E27832"/>
    <w:rsid w:val="00E279D5"/>
    <w:rsid w:val="00E27A04"/>
    <w:rsid w:val="00E305FA"/>
    <w:rsid w:val="00E31474"/>
    <w:rsid w:val="00E315EC"/>
    <w:rsid w:val="00E31C9F"/>
    <w:rsid w:val="00E31ED7"/>
    <w:rsid w:val="00E32BA8"/>
    <w:rsid w:val="00E32EE2"/>
    <w:rsid w:val="00E3393F"/>
    <w:rsid w:val="00E34746"/>
    <w:rsid w:val="00E34DBC"/>
    <w:rsid w:val="00E34E74"/>
    <w:rsid w:val="00E360E1"/>
    <w:rsid w:val="00E362C9"/>
    <w:rsid w:val="00E36397"/>
    <w:rsid w:val="00E36B78"/>
    <w:rsid w:val="00E36B8C"/>
    <w:rsid w:val="00E36C1E"/>
    <w:rsid w:val="00E36C8B"/>
    <w:rsid w:val="00E36F8D"/>
    <w:rsid w:val="00E375E5"/>
    <w:rsid w:val="00E376B1"/>
    <w:rsid w:val="00E37729"/>
    <w:rsid w:val="00E409EB"/>
    <w:rsid w:val="00E40D3B"/>
    <w:rsid w:val="00E4126B"/>
    <w:rsid w:val="00E41537"/>
    <w:rsid w:val="00E4165A"/>
    <w:rsid w:val="00E42539"/>
    <w:rsid w:val="00E42BF9"/>
    <w:rsid w:val="00E42F42"/>
    <w:rsid w:val="00E43880"/>
    <w:rsid w:val="00E447F2"/>
    <w:rsid w:val="00E44D08"/>
    <w:rsid w:val="00E4522B"/>
    <w:rsid w:val="00E45517"/>
    <w:rsid w:val="00E460F5"/>
    <w:rsid w:val="00E461BF"/>
    <w:rsid w:val="00E4652A"/>
    <w:rsid w:val="00E46A01"/>
    <w:rsid w:val="00E46A4F"/>
    <w:rsid w:val="00E46AEE"/>
    <w:rsid w:val="00E46FB4"/>
    <w:rsid w:val="00E47F71"/>
    <w:rsid w:val="00E50E6F"/>
    <w:rsid w:val="00E518CF"/>
    <w:rsid w:val="00E51F8B"/>
    <w:rsid w:val="00E52113"/>
    <w:rsid w:val="00E52866"/>
    <w:rsid w:val="00E53C0B"/>
    <w:rsid w:val="00E5448B"/>
    <w:rsid w:val="00E547D2"/>
    <w:rsid w:val="00E55749"/>
    <w:rsid w:val="00E55D0D"/>
    <w:rsid w:val="00E56B8E"/>
    <w:rsid w:val="00E56FE0"/>
    <w:rsid w:val="00E57148"/>
    <w:rsid w:val="00E57795"/>
    <w:rsid w:val="00E578BA"/>
    <w:rsid w:val="00E57FCD"/>
    <w:rsid w:val="00E60943"/>
    <w:rsid w:val="00E60B31"/>
    <w:rsid w:val="00E60F92"/>
    <w:rsid w:val="00E61592"/>
    <w:rsid w:val="00E61C6C"/>
    <w:rsid w:val="00E62604"/>
    <w:rsid w:val="00E62C0C"/>
    <w:rsid w:val="00E62D62"/>
    <w:rsid w:val="00E62F6E"/>
    <w:rsid w:val="00E63882"/>
    <w:rsid w:val="00E63BCC"/>
    <w:rsid w:val="00E63C03"/>
    <w:rsid w:val="00E63C7A"/>
    <w:rsid w:val="00E642E6"/>
    <w:rsid w:val="00E644F6"/>
    <w:rsid w:val="00E6462E"/>
    <w:rsid w:val="00E65B4B"/>
    <w:rsid w:val="00E66170"/>
    <w:rsid w:val="00E6748E"/>
    <w:rsid w:val="00E700EB"/>
    <w:rsid w:val="00E717E7"/>
    <w:rsid w:val="00E71957"/>
    <w:rsid w:val="00E71ADC"/>
    <w:rsid w:val="00E72393"/>
    <w:rsid w:val="00E7257D"/>
    <w:rsid w:val="00E72604"/>
    <w:rsid w:val="00E72999"/>
    <w:rsid w:val="00E73A73"/>
    <w:rsid w:val="00E73EAC"/>
    <w:rsid w:val="00E7505F"/>
    <w:rsid w:val="00E751FE"/>
    <w:rsid w:val="00E755AF"/>
    <w:rsid w:val="00E75E38"/>
    <w:rsid w:val="00E7686B"/>
    <w:rsid w:val="00E77028"/>
    <w:rsid w:val="00E772EF"/>
    <w:rsid w:val="00E778CD"/>
    <w:rsid w:val="00E77B43"/>
    <w:rsid w:val="00E80254"/>
    <w:rsid w:val="00E804CC"/>
    <w:rsid w:val="00E80B45"/>
    <w:rsid w:val="00E80D11"/>
    <w:rsid w:val="00E81335"/>
    <w:rsid w:val="00E81FDF"/>
    <w:rsid w:val="00E820A5"/>
    <w:rsid w:val="00E82A25"/>
    <w:rsid w:val="00E82BF5"/>
    <w:rsid w:val="00E82C00"/>
    <w:rsid w:val="00E82C47"/>
    <w:rsid w:val="00E82D6E"/>
    <w:rsid w:val="00E835A3"/>
    <w:rsid w:val="00E83787"/>
    <w:rsid w:val="00E8393F"/>
    <w:rsid w:val="00E83A4B"/>
    <w:rsid w:val="00E83CAF"/>
    <w:rsid w:val="00E8587D"/>
    <w:rsid w:val="00E859F0"/>
    <w:rsid w:val="00E865AB"/>
    <w:rsid w:val="00E86683"/>
    <w:rsid w:val="00E90645"/>
    <w:rsid w:val="00E90AB3"/>
    <w:rsid w:val="00E9252E"/>
    <w:rsid w:val="00E9295E"/>
    <w:rsid w:val="00E92E33"/>
    <w:rsid w:val="00E933EC"/>
    <w:rsid w:val="00E93491"/>
    <w:rsid w:val="00E94312"/>
    <w:rsid w:val="00E9498D"/>
    <w:rsid w:val="00E94ACD"/>
    <w:rsid w:val="00E95876"/>
    <w:rsid w:val="00E959A1"/>
    <w:rsid w:val="00E95C05"/>
    <w:rsid w:val="00E96102"/>
    <w:rsid w:val="00E9621B"/>
    <w:rsid w:val="00E963D0"/>
    <w:rsid w:val="00E96644"/>
    <w:rsid w:val="00E9684B"/>
    <w:rsid w:val="00E96EAF"/>
    <w:rsid w:val="00E975E3"/>
    <w:rsid w:val="00E97A58"/>
    <w:rsid w:val="00E97C9E"/>
    <w:rsid w:val="00EA0901"/>
    <w:rsid w:val="00EA0E32"/>
    <w:rsid w:val="00EA0EA1"/>
    <w:rsid w:val="00EA0F58"/>
    <w:rsid w:val="00EA108D"/>
    <w:rsid w:val="00EA15DD"/>
    <w:rsid w:val="00EA2E11"/>
    <w:rsid w:val="00EA3CB2"/>
    <w:rsid w:val="00EA4115"/>
    <w:rsid w:val="00EA47FB"/>
    <w:rsid w:val="00EA565D"/>
    <w:rsid w:val="00EA57B7"/>
    <w:rsid w:val="00EA5928"/>
    <w:rsid w:val="00EA7024"/>
    <w:rsid w:val="00EA726A"/>
    <w:rsid w:val="00EA7431"/>
    <w:rsid w:val="00EA79CE"/>
    <w:rsid w:val="00EA7F9F"/>
    <w:rsid w:val="00EB072B"/>
    <w:rsid w:val="00EB18CE"/>
    <w:rsid w:val="00EB1EC6"/>
    <w:rsid w:val="00EB264A"/>
    <w:rsid w:val="00EB2B50"/>
    <w:rsid w:val="00EB2D5F"/>
    <w:rsid w:val="00EB2E18"/>
    <w:rsid w:val="00EB35BC"/>
    <w:rsid w:val="00EB3A6B"/>
    <w:rsid w:val="00EB3DFA"/>
    <w:rsid w:val="00EB3FA8"/>
    <w:rsid w:val="00EB4389"/>
    <w:rsid w:val="00EB47B4"/>
    <w:rsid w:val="00EB47D7"/>
    <w:rsid w:val="00EB4823"/>
    <w:rsid w:val="00EB4ADB"/>
    <w:rsid w:val="00EB5200"/>
    <w:rsid w:val="00EB66D2"/>
    <w:rsid w:val="00EB7E71"/>
    <w:rsid w:val="00EC04A3"/>
    <w:rsid w:val="00EC06CD"/>
    <w:rsid w:val="00EC1904"/>
    <w:rsid w:val="00EC1C50"/>
    <w:rsid w:val="00EC2290"/>
    <w:rsid w:val="00EC35A5"/>
    <w:rsid w:val="00EC40AF"/>
    <w:rsid w:val="00EC44AF"/>
    <w:rsid w:val="00EC4D5C"/>
    <w:rsid w:val="00EC5560"/>
    <w:rsid w:val="00EC56CD"/>
    <w:rsid w:val="00EC64B7"/>
    <w:rsid w:val="00EC6538"/>
    <w:rsid w:val="00EC65A7"/>
    <w:rsid w:val="00EC6F41"/>
    <w:rsid w:val="00EC7410"/>
    <w:rsid w:val="00EC770E"/>
    <w:rsid w:val="00ED0122"/>
    <w:rsid w:val="00ED027A"/>
    <w:rsid w:val="00ED22EF"/>
    <w:rsid w:val="00ED4D0D"/>
    <w:rsid w:val="00ED5461"/>
    <w:rsid w:val="00ED5738"/>
    <w:rsid w:val="00ED596F"/>
    <w:rsid w:val="00ED5A27"/>
    <w:rsid w:val="00ED5C98"/>
    <w:rsid w:val="00ED61F0"/>
    <w:rsid w:val="00ED6B1B"/>
    <w:rsid w:val="00EE050A"/>
    <w:rsid w:val="00EE0560"/>
    <w:rsid w:val="00EE0AB0"/>
    <w:rsid w:val="00EE1495"/>
    <w:rsid w:val="00EE156F"/>
    <w:rsid w:val="00EE1D83"/>
    <w:rsid w:val="00EE2378"/>
    <w:rsid w:val="00EE25EC"/>
    <w:rsid w:val="00EE2B1F"/>
    <w:rsid w:val="00EE3119"/>
    <w:rsid w:val="00EE3A4D"/>
    <w:rsid w:val="00EE3F75"/>
    <w:rsid w:val="00EE47AC"/>
    <w:rsid w:val="00EE48D7"/>
    <w:rsid w:val="00EE50CF"/>
    <w:rsid w:val="00EE5213"/>
    <w:rsid w:val="00EE5429"/>
    <w:rsid w:val="00EE54C0"/>
    <w:rsid w:val="00EE5E57"/>
    <w:rsid w:val="00EE6246"/>
    <w:rsid w:val="00EE6413"/>
    <w:rsid w:val="00EE6D40"/>
    <w:rsid w:val="00EE6DCB"/>
    <w:rsid w:val="00EE70D1"/>
    <w:rsid w:val="00EE7774"/>
    <w:rsid w:val="00EE78B8"/>
    <w:rsid w:val="00EE7D2F"/>
    <w:rsid w:val="00EE7F48"/>
    <w:rsid w:val="00EF055F"/>
    <w:rsid w:val="00EF1538"/>
    <w:rsid w:val="00EF1723"/>
    <w:rsid w:val="00EF2EB9"/>
    <w:rsid w:val="00EF307D"/>
    <w:rsid w:val="00EF3849"/>
    <w:rsid w:val="00EF4DDA"/>
    <w:rsid w:val="00EF500D"/>
    <w:rsid w:val="00EF56ED"/>
    <w:rsid w:val="00EF5765"/>
    <w:rsid w:val="00EF5857"/>
    <w:rsid w:val="00EF5A94"/>
    <w:rsid w:val="00EF5B85"/>
    <w:rsid w:val="00EF5F2F"/>
    <w:rsid w:val="00EF5F77"/>
    <w:rsid w:val="00EF7151"/>
    <w:rsid w:val="00EF7A06"/>
    <w:rsid w:val="00EF7E48"/>
    <w:rsid w:val="00F001DD"/>
    <w:rsid w:val="00F00817"/>
    <w:rsid w:val="00F00E2A"/>
    <w:rsid w:val="00F01374"/>
    <w:rsid w:val="00F01611"/>
    <w:rsid w:val="00F01A55"/>
    <w:rsid w:val="00F02897"/>
    <w:rsid w:val="00F02AB7"/>
    <w:rsid w:val="00F02F9C"/>
    <w:rsid w:val="00F02FCA"/>
    <w:rsid w:val="00F03D74"/>
    <w:rsid w:val="00F040C6"/>
    <w:rsid w:val="00F041CE"/>
    <w:rsid w:val="00F04213"/>
    <w:rsid w:val="00F045AB"/>
    <w:rsid w:val="00F05468"/>
    <w:rsid w:val="00F05AB7"/>
    <w:rsid w:val="00F06989"/>
    <w:rsid w:val="00F06A42"/>
    <w:rsid w:val="00F06B3C"/>
    <w:rsid w:val="00F0722B"/>
    <w:rsid w:val="00F07376"/>
    <w:rsid w:val="00F10661"/>
    <w:rsid w:val="00F11723"/>
    <w:rsid w:val="00F11BB5"/>
    <w:rsid w:val="00F12105"/>
    <w:rsid w:val="00F12493"/>
    <w:rsid w:val="00F127E0"/>
    <w:rsid w:val="00F12807"/>
    <w:rsid w:val="00F1355F"/>
    <w:rsid w:val="00F157A6"/>
    <w:rsid w:val="00F15950"/>
    <w:rsid w:val="00F15A7B"/>
    <w:rsid w:val="00F16501"/>
    <w:rsid w:val="00F16AA2"/>
    <w:rsid w:val="00F16C7F"/>
    <w:rsid w:val="00F1740E"/>
    <w:rsid w:val="00F17A1F"/>
    <w:rsid w:val="00F17C9F"/>
    <w:rsid w:val="00F20231"/>
    <w:rsid w:val="00F20272"/>
    <w:rsid w:val="00F2075F"/>
    <w:rsid w:val="00F20C03"/>
    <w:rsid w:val="00F211F1"/>
    <w:rsid w:val="00F21301"/>
    <w:rsid w:val="00F215FE"/>
    <w:rsid w:val="00F2160A"/>
    <w:rsid w:val="00F2172A"/>
    <w:rsid w:val="00F21CAD"/>
    <w:rsid w:val="00F21E5F"/>
    <w:rsid w:val="00F2201A"/>
    <w:rsid w:val="00F22201"/>
    <w:rsid w:val="00F227E5"/>
    <w:rsid w:val="00F22929"/>
    <w:rsid w:val="00F229A9"/>
    <w:rsid w:val="00F23E10"/>
    <w:rsid w:val="00F2418E"/>
    <w:rsid w:val="00F2429F"/>
    <w:rsid w:val="00F246C1"/>
    <w:rsid w:val="00F25578"/>
    <w:rsid w:val="00F25A91"/>
    <w:rsid w:val="00F25F44"/>
    <w:rsid w:val="00F26207"/>
    <w:rsid w:val="00F26978"/>
    <w:rsid w:val="00F26DDA"/>
    <w:rsid w:val="00F26FEB"/>
    <w:rsid w:val="00F27A3A"/>
    <w:rsid w:val="00F27DC5"/>
    <w:rsid w:val="00F27E90"/>
    <w:rsid w:val="00F3035A"/>
    <w:rsid w:val="00F306B9"/>
    <w:rsid w:val="00F30D1E"/>
    <w:rsid w:val="00F310CA"/>
    <w:rsid w:val="00F312E4"/>
    <w:rsid w:val="00F31E00"/>
    <w:rsid w:val="00F31E7C"/>
    <w:rsid w:val="00F31E8D"/>
    <w:rsid w:val="00F3240E"/>
    <w:rsid w:val="00F32817"/>
    <w:rsid w:val="00F33BFE"/>
    <w:rsid w:val="00F33FF5"/>
    <w:rsid w:val="00F344E3"/>
    <w:rsid w:val="00F345F1"/>
    <w:rsid w:val="00F34841"/>
    <w:rsid w:val="00F34B71"/>
    <w:rsid w:val="00F34E32"/>
    <w:rsid w:val="00F3547E"/>
    <w:rsid w:val="00F35751"/>
    <w:rsid w:val="00F358D9"/>
    <w:rsid w:val="00F367F4"/>
    <w:rsid w:val="00F3695D"/>
    <w:rsid w:val="00F36BFF"/>
    <w:rsid w:val="00F3787C"/>
    <w:rsid w:val="00F37AF9"/>
    <w:rsid w:val="00F40510"/>
    <w:rsid w:val="00F41725"/>
    <w:rsid w:val="00F42721"/>
    <w:rsid w:val="00F435E7"/>
    <w:rsid w:val="00F43755"/>
    <w:rsid w:val="00F44BED"/>
    <w:rsid w:val="00F45045"/>
    <w:rsid w:val="00F452C8"/>
    <w:rsid w:val="00F4535C"/>
    <w:rsid w:val="00F455FA"/>
    <w:rsid w:val="00F45D04"/>
    <w:rsid w:val="00F45FF0"/>
    <w:rsid w:val="00F46397"/>
    <w:rsid w:val="00F4770A"/>
    <w:rsid w:val="00F47CAF"/>
    <w:rsid w:val="00F50AD0"/>
    <w:rsid w:val="00F50B14"/>
    <w:rsid w:val="00F50C03"/>
    <w:rsid w:val="00F5125B"/>
    <w:rsid w:val="00F5156F"/>
    <w:rsid w:val="00F51AAD"/>
    <w:rsid w:val="00F51D3B"/>
    <w:rsid w:val="00F523F1"/>
    <w:rsid w:val="00F530B5"/>
    <w:rsid w:val="00F53261"/>
    <w:rsid w:val="00F536FD"/>
    <w:rsid w:val="00F5395B"/>
    <w:rsid w:val="00F5412A"/>
    <w:rsid w:val="00F5430C"/>
    <w:rsid w:val="00F54374"/>
    <w:rsid w:val="00F563E4"/>
    <w:rsid w:val="00F56421"/>
    <w:rsid w:val="00F5676F"/>
    <w:rsid w:val="00F57439"/>
    <w:rsid w:val="00F57580"/>
    <w:rsid w:val="00F57670"/>
    <w:rsid w:val="00F57976"/>
    <w:rsid w:val="00F57DDC"/>
    <w:rsid w:val="00F6068A"/>
    <w:rsid w:val="00F607DD"/>
    <w:rsid w:val="00F60C95"/>
    <w:rsid w:val="00F60FF7"/>
    <w:rsid w:val="00F61005"/>
    <w:rsid w:val="00F619AB"/>
    <w:rsid w:val="00F619B3"/>
    <w:rsid w:val="00F62108"/>
    <w:rsid w:val="00F626E9"/>
    <w:rsid w:val="00F62ADE"/>
    <w:rsid w:val="00F64BD9"/>
    <w:rsid w:val="00F650A8"/>
    <w:rsid w:val="00F6655F"/>
    <w:rsid w:val="00F66732"/>
    <w:rsid w:val="00F66FF6"/>
    <w:rsid w:val="00F673AE"/>
    <w:rsid w:val="00F676C1"/>
    <w:rsid w:val="00F676F8"/>
    <w:rsid w:val="00F677D3"/>
    <w:rsid w:val="00F7001E"/>
    <w:rsid w:val="00F710CA"/>
    <w:rsid w:val="00F716B1"/>
    <w:rsid w:val="00F727B6"/>
    <w:rsid w:val="00F72916"/>
    <w:rsid w:val="00F74BF7"/>
    <w:rsid w:val="00F75071"/>
    <w:rsid w:val="00F75535"/>
    <w:rsid w:val="00F757C9"/>
    <w:rsid w:val="00F75A43"/>
    <w:rsid w:val="00F761CC"/>
    <w:rsid w:val="00F76EC7"/>
    <w:rsid w:val="00F76FF3"/>
    <w:rsid w:val="00F773A4"/>
    <w:rsid w:val="00F80159"/>
    <w:rsid w:val="00F80E1C"/>
    <w:rsid w:val="00F81571"/>
    <w:rsid w:val="00F8185D"/>
    <w:rsid w:val="00F81C61"/>
    <w:rsid w:val="00F82A0E"/>
    <w:rsid w:val="00F832AE"/>
    <w:rsid w:val="00F8374F"/>
    <w:rsid w:val="00F83819"/>
    <w:rsid w:val="00F83D7A"/>
    <w:rsid w:val="00F83DA5"/>
    <w:rsid w:val="00F83E4E"/>
    <w:rsid w:val="00F8464C"/>
    <w:rsid w:val="00F85035"/>
    <w:rsid w:val="00F850B2"/>
    <w:rsid w:val="00F8536D"/>
    <w:rsid w:val="00F8537F"/>
    <w:rsid w:val="00F85AA7"/>
    <w:rsid w:val="00F86A1B"/>
    <w:rsid w:val="00F879B6"/>
    <w:rsid w:val="00F87BE4"/>
    <w:rsid w:val="00F87F74"/>
    <w:rsid w:val="00F90455"/>
    <w:rsid w:val="00F906BC"/>
    <w:rsid w:val="00F9106F"/>
    <w:rsid w:val="00F910E0"/>
    <w:rsid w:val="00F92FC4"/>
    <w:rsid w:val="00F9329E"/>
    <w:rsid w:val="00F9352A"/>
    <w:rsid w:val="00F9362D"/>
    <w:rsid w:val="00F936CB"/>
    <w:rsid w:val="00F9384F"/>
    <w:rsid w:val="00F94EFF"/>
    <w:rsid w:val="00F951F5"/>
    <w:rsid w:val="00F956D2"/>
    <w:rsid w:val="00F97952"/>
    <w:rsid w:val="00FA0199"/>
    <w:rsid w:val="00FA11CC"/>
    <w:rsid w:val="00FA11F4"/>
    <w:rsid w:val="00FA1282"/>
    <w:rsid w:val="00FA1878"/>
    <w:rsid w:val="00FA1A27"/>
    <w:rsid w:val="00FA1BE1"/>
    <w:rsid w:val="00FA1DB5"/>
    <w:rsid w:val="00FA2495"/>
    <w:rsid w:val="00FA267D"/>
    <w:rsid w:val="00FA2DF4"/>
    <w:rsid w:val="00FA303D"/>
    <w:rsid w:val="00FA316D"/>
    <w:rsid w:val="00FA3193"/>
    <w:rsid w:val="00FA34F3"/>
    <w:rsid w:val="00FA3971"/>
    <w:rsid w:val="00FA3E35"/>
    <w:rsid w:val="00FA4526"/>
    <w:rsid w:val="00FA460A"/>
    <w:rsid w:val="00FA52FE"/>
    <w:rsid w:val="00FA695E"/>
    <w:rsid w:val="00FA6B5A"/>
    <w:rsid w:val="00FA6B6C"/>
    <w:rsid w:val="00FA70F1"/>
    <w:rsid w:val="00FA721F"/>
    <w:rsid w:val="00FA72E5"/>
    <w:rsid w:val="00FA7999"/>
    <w:rsid w:val="00FA7C84"/>
    <w:rsid w:val="00FB0861"/>
    <w:rsid w:val="00FB0A70"/>
    <w:rsid w:val="00FB2668"/>
    <w:rsid w:val="00FB2E17"/>
    <w:rsid w:val="00FB3299"/>
    <w:rsid w:val="00FB3C88"/>
    <w:rsid w:val="00FB46C8"/>
    <w:rsid w:val="00FB54FF"/>
    <w:rsid w:val="00FB58AE"/>
    <w:rsid w:val="00FB5A61"/>
    <w:rsid w:val="00FB5AE1"/>
    <w:rsid w:val="00FB618F"/>
    <w:rsid w:val="00FB6B0F"/>
    <w:rsid w:val="00FB7043"/>
    <w:rsid w:val="00FB767D"/>
    <w:rsid w:val="00FB775E"/>
    <w:rsid w:val="00FB7C06"/>
    <w:rsid w:val="00FC1056"/>
    <w:rsid w:val="00FC106F"/>
    <w:rsid w:val="00FC175A"/>
    <w:rsid w:val="00FC1CD2"/>
    <w:rsid w:val="00FC2101"/>
    <w:rsid w:val="00FC229E"/>
    <w:rsid w:val="00FC2381"/>
    <w:rsid w:val="00FC238C"/>
    <w:rsid w:val="00FC2AE4"/>
    <w:rsid w:val="00FC2F3C"/>
    <w:rsid w:val="00FC31CA"/>
    <w:rsid w:val="00FC3702"/>
    <w:rsid w:val="00FC4D0A"/>
    <w:rsid w:val="00FC4D97"/>
    <w:rsid w:val="00FC50DF"/>
    <w:rsid w:val="00FC5488"/>
    <w:rsid w:val="00FC6043"/>
    <w:rsid w:val="00FC6313"/>
    <w:rsid w:val="00FC690C"/>
    <w:rsid w:val="00FC722B"/>
    <w:rsid w:val="00FC72C4"/>
    <w:rsid w:val="00FC787F"/>
    <w:rsid w:val="00FC7A80"/>
    <w:rsid w:val="00FD0738"/>
    <w:rsid w:val="00FD137B"/>
    <w:rsid w:val="00FD146F"/>
    <w:rsid w:val="00FD17DF"/>
    <w:rsid w:val="00FD2710"/>
    <w:rsid w:val="00FD3A46"/>
    <w:rsid w:val="00FD3ABF"/>
    <w:rsid w:val="00FD3C77"/>
    <w:rsid w:val="00FD3EA7"/>
    <w:rsid w:val="00FD4180"/>
    <w:rsid w:val="00FD4675"/>
    <w:rsid w:val="00FD48B1"/>
    <w:rsid w:val="00FD492B"/>
    <w:rsid w:val="00FD4BEC"/>
    <w:rsid w:val="00FD5782"/>
    <w:rsid w:val="00FD5A03"/>
    <w:rsid w:val="00FD5EB2"/>
    <w:rsid w:val="00FD6487"/>
    <w:rsid w:val="00FD6777"/>
    <w:rsid w:val="00FD67D7"/>
    <w:rsid w:val="00FD6CE1"/>
    <w:rsid w:val="00FD6D9F"/>
    <w:rsid w:val="00FD7024"/>
    <w:rsid w:val="00FD7038"/>
    <w:rsid w:val="00FE0089"/>
    <w:rsid w:val="00FE128E"/>
    <w:rsid w:val="00FE1B53"/>
    <w:rsid w:val="00FE1E5C"/>
    <w:rsid w:val="00FE29B8"/>
    <w:rsid w:val="00FE413F"/>
    <w:rsid w:val="00FE436B"/>
    <w:rsid w:val="00FE4947"/>
    <w:rsid w:val="00FE4E5B"/>
    <w:rsid w:val="00FE4FF8"/>
    <w:rsid w:val="00FE54BB"/>
    <w:rsid w:val="00FE5ACA"/>
    <w:rsid w:val="00FE636F"/>
    <w:rsid w:val="00FE6C75"/>
    <w:rsid w:val="00FE7347"/>
    <w:rsid w:val="00FE7528"/>
    <w:rsid w:val="00FE7A12"/>
    <w:rsid w:val="00FE7C59"/>
    <w:rsid w:val="00FF0498"/>
    <w:rsid w:val="00FF0911"/>
    <w:rsid w:val="00FF0B2C"/>
    <w:rsid w:val="00FF1410"/>
    <w:rsid w:val="00FF15A5"/>
    <w:rsid w:val="00FF1630"/>
    <w:rsid w:val="00FF16E8"/>
    <w:rsid w:val="00FF18F4"/>
    <w:rsid w:val="00FF1DD3"/>
    <w:rsid w:val="00FF1F70"/>
    <w:rsid w:val="00FF2049"/>
    <w:rsid w:val="00FF2625"/>
    <w:rsid w:val="00FF29F8"/>
    <w:rsid w:val="00FF2F88"/>
    <w:rsid w:val="00FF42A2"/>
    <w:rsid w:val="00FF4619"/>
    <w:rsid w:val="00FF622C"/>
    <w:rsid w:val="00FF6536"/>
    <w:rsid w:val="00FF663A"/>
    <w:rsid w:val="00FF6B1B"/>
    <w:rsid w:val="00FF72A7"/>
    <w:rsid w:val="00FF72CC"/>
    <w:rsid w:val="00FF77B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860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2">
    <w:name w:val="Normal"/>
    <w:qFormat/>
    <w:rsid w:val="00BF7412"/>
    <w:pPr>
      <w:widowControl w:val="0"/>
    </w:pPr>
    <w:rPr>
      <w:rFonts w:eastAsia="標楷體"/>
      <w:kern w:val="2"/>
      <w:sz w:val="32"/>
    </w:rPr>
  </w:style>
  <w:style w:type="paragraph" w:styleId="1">
    <w:name w:val="heading 1"/>
    <w:basedOn w:val="a2"/>
    <w:link w:val="10"/>
    <w:qFormat/>
    <w:rsid w:val="00BF7412"/>
    <w:pPr>
      <w:numPr>
        <w:numId w:val="5"/>
      </w:numPr>
      <w:kinsoku w:val="0"/>
      <w:jc w:val="both"/>
      <w:outlineLvl w:val="0"/>
    </w:pPr>
    <w:rPr>
      <w:rFonts w:ascii="標楷體" w:hAnsi="Arial"/>
      <w:bCs/>
      <w:kern w:val="0"/>
      <w:szCs w:val="52"/>
    </w:rPr>
  </w:style>
  <w:style w:type="paragraph" w:styleId="2">
    <w:name w:val="heading 2"/>
    <w:basedOn w:val="a2"/>
    <w:link w:val="20"/>
    <w:qFormat/>
    <w:rsid w:val="00BF7412"/>
    <w:pPr>
      <w:numPr>
        <w:ilvl w:val="1"/>
        <w:numId w:val="5"/>
      </w:numPr>
      <w:kinsoku w:val="0"/>
      <w:jc w:val="both"/>
      <w:outlineLvl w:val="1"/>
    </w:pPr>
    <w:rPr>
      <w:rFonts w:ascii="標楷體" w:hAnsi="Arial"/>
      <w:bCs/>
      <w:kern w:val="0"/>
      <w:szCs w:val="48"/>
    </w:rPr>
  </w:style>
  <w:style w:type="paragraph" w:styleId="3">
    <w:name w:val="heading 3"/>
    <w:basedOn w:val="a2"/>
    <w:link w:val="30"/>
    <w:qFormat/>
    <w:rsid w:val="00BF7412"/>
    <w:pPr>
      <w:numPr>
        <w:ilvl w:val="2"/>
        <w:numId w:val="5"/>
      </w:numPr>
      <w:kinsoku w:val="0"/>
      <w:jc w:val="both"/>
      <w:outlineLvl w:val="2"/>
    </w:pPr>
    <w:rPr>
      <w:rFonts w:ascii="標楷體" w:hAnsi="Arial"/>
      <w:bCs/>
      <w:kern w:val="0"/>
      <w:szCs w:val="36"/>
    </w:rPr>
  </w:style>
  <w:style w:type="paragraph" w:styleId="4">
    <w:name w:val="heading 4"/>
    <w:aliases w:val="一"/>
    <w:basedOn w:val="a2"/>
    <w:link w:val="40"/>
    <w:qFormat/>
    <w:rsid w:val="00BF7412"/>
    <w:pPr>
      <w:numPr>
        <w:ilvl w:val="3"/>
        <w:numId w:val="5"/>
      </w:numPr>
      <w:ind w:left="1741"/>
      <w:jc w:val="both"/>
      <w:outlineLvl w:val="3"/>
    </w:pPr>
    <w:rPr>
      <w:rFonts w:ascii="標楷體" w:hAnsi="Arial"/>
      <w:szCs w:val="36"/>
    </w:rPr>
  </w:style>
  <w:style w:type="paragraph" w:styleId="5">
    <w:name w:val="heading 5"/>
    <w:basedOn w:val="a2"/>
    <w:link w:val="50"/>
    <w:qFormat/>
    <w:rsid w:val="00BF7412"/>
    <w:pPr>
      <w:numPr>
        <w:ilvl w:val="4"/>
        <w:numId w:val="5"/>
      </w:numPr>
      <w:kinsoku w:val="0"/>
      <w:jc w:val="both"/>
      <w:outlineLvl w:val="4"/>
    </w:pPr>
    <w:rPr>
      <w:rFonts w:ascii="標楷體" w:hAnsi="Arial"/>
      <w:bCs/>
      <w:szCs w:val="36"/>
    </w:rPr>
  </w:style>
  <w:style w:type="paragraph" w:styleId="6">
    <w:name w:val="heading 6"/>
    <w:aliases w:val="1"/>
    <w:basedOn w:val="a2"/>
    <w:link w:val="60"/>
    <w:qFormat/>
    <w:rsid w:val="00BF7412"/>
    <w:pPr>
      <w:numPr>
        <w:ilvl w:val="5"/>
        <w:numId w:val="5"/>
      </w:numPr>
      <w:tabs>
        <w:tab w:val="left" w:pos="2094"/>
      </w:tabs>
      <w:kinsoku w:val="0"/>
      <w:jc w:val="both"/>
      <w:outlineLvl w:val="5"/>
    </w:pPr>
    <w:rPr>
      <w:rFonts w:ascii="標楷體" w:hAnsi="Arial"/>
      <w:szCs w:val="36"/>
    </w:rPr>
  </w:style>
  <w:style w:type="paragraph" w:styleId="7">
    <w:name w:val="heading 7"/>
    <w:aliases w:val="(1)"/>
    <w:basedOn w:val="a2"/>
    <w:link w:val="70"/>
    <w:qFormat/>
    <w:rsid w:val="00BF7412"/>
    <w:pPr>
      <w:numPr>
        <w:ilvl w:val="6"/>
        <w:numId w:val="5"/>
      </w:numPr>
      <w:kinsoku w:val="0"/>
      <w:jc w:val="both"/>
      <w:outlineLvl w:val="6"/>
    </w:pPr>
    <w:rPr>
      <w:rFonts w:ascii="標楷體" w:hAnsi="Arial"/>
      <w:bCs/>
      <w:szCs w:val="36"/>
    </w:rPr>
  </w:style>
  <w:style w:type="paragraph" w:styleId="8">
    <w:name w:val="heading 8"/>
    <w:basedOn w:val="a2"/>
    <w:link w:val="80"/>
    <w:qFormat/>
    <w:rsid w:val="00BF7412"/>
    <w:pPr>
      <w:numPr>
        <w:ilvl w:val="7"/>
        <w:numId w:val="5"/>
      </w:numPr>
      <w:kinsoku w:val="0"/>
      <w:jc w:val="both"/>
      <w:outlineLvl w:val="7"/>
    </w:pPr>
    <w:rPr>
      <w:rFonts w:ascii="標楷體" w:hAnsi="Arial"/>
      <w:szCs w:val="36"/>
    </w:rPr>
  </w:style>
  <w:style w:type="paragraph" w:styleId="9">
    <w:name w:val="heading 9"/>
    <w:basedOn w:val="a2"/>
    <w:next w:val="a3"/>
    <w:link w:val="90"/>
    <w:uiPriority w:val="99"/>
    <w:qFormat/>
    <w:rsid w:val="00B32B0A"/>
    <w:pPr>
      <w:keepNext/>
      <w:snapToGrid w:val="0"/>
      <w:spacing w:line="720" w:lineRule="auto"/>
      <w:outlineLvl w:val="8"/>
    </w:pPr>
    <w:rPr>
      <w:rFonts w:ascii="Arial" w:eastAsia="新細明體" w:hAnsi="Arial"/>
      <w:sz w:val="3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2"/>
    <w:link w:val="a8"/>
    <w:semiHidden/>
    <w:rsid w:val="00BF7412"/>
    <w:pPr>
      <w:spacing w:before="720" w:after="720"/>
      <w:ind w:left="7371"/>
    </w:pPr>
    <w:rPr>
      <w:rFonts w:ascii="標楷體"/>
      <w:b/>
      <w:snapToGrid w:val="0"/>
      <w:spacing w:val="10"/>
      <w:sz w:val="36"/>
    </w:rPr>
  </w:style>
  <w:style w:type="paragraph" w:styleId="a9">
    <w:name w:val="endnote text"/>
    <w:basedOn w:val="a2"/>
    <w:link w:val="aa"/>
    <w:semiHidden/>
    <w:rsid w:val="00BF7412"/>
    <w:pPr>
      <w:spacing w:before="240"/>
      <w:ind w:left="1021" w:hanging="1021"/>
      <w:jc w:val="both"/>
    </w:pPr>
    <w:rPr>
      <w:rFonts w:ascii="標楷體"/>
      <w:snapToGrid w:val="0"/>
      <w:spacing w:val="10"/>
    </w:rPr>
  </w:style>
  <w:style w:type="paragraph" w:styleId="51">
    <w:name w:val="toc 5"/>
    <w:basedOn w:val="a2"/>
    <w:next w:val="a2"/>
    <w:autoRedefine/>
    <w:rsid w:val="00BF7412"/>
    <w:pPr>
      <w:ind w:leftChars="400" w:left="600" w:rightChars="200" w:right="200" w:hangingChars="200" w:hanging="200"/>
    </w:pPr>
    <w:rPr>
      <w:rFonts w:ascii="標楷體"/>
    </w:rPr>
  </w:style>
  <w:style w:type="character" w:styleId="ab">
    <w:name w:val="page number"/>
    <w:basedOn w:val="a4"/>
    <w:semiHidden/>
    <w:rsid w:val="00BF7412"/>
    <w:rPr>
      <w:rFonts w:ascii="標楷體" w:eastAsia="標楷體"/>
      <w:sz w:val="20"/>
    </w:rPr>
  </w:style>
  <w:style w:type="paragraph" w:styleId="61">
    <w:name w:val="toc 6"/>
    <w:basedOn w:val="a2"/>
    <w:next w:val="a2"/>
    <w:autoRedefine/>
    <w:rsid w:val="00BF7412"/>
    <w:pPr>
      <w:ind w:leftChars="500" w:left="500"/>
    </w:pPr>
    <w:rPr>
      <w:rFonts w:ascii="標楷體"/>
    </w:rPr>
  </w:style>
  <w:style w:type="paragraph" w:customStyle="1" w:styleId="11">
    <w:name w:val="段落樣式1"/>
    <w:basedOn w:val="a2"/>
    <w:rsid w:val="00BF7412"/>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BF7412"/>
    <w:pPr>
      <w:tabs>
        <w:tab w:val="left" w:pos="567"/>
      </w:tabs>
      <w:ind w:leftChars="300" w:left="300" w:firstLineChars="200" w:firstLine="200"/>
      <w:jc w:val="both"/>
    </w:pPr>
    <w:rPr>
      <w:rFonts w:ascii="標楷體"/>
      <w:kern w:val="0"/>
    </w:rPr>
  </w:style>
  <w:style w:type="paragraph" w:styleId="12">
    <w:name w:val="toc 1"/>
    <w:basedOn w:val="a2"/>
    <w:next w:val="a2"/>
    <w:autoRedefine/>
    <w:uiPriority w:val="39"/>
    <w:rsid w:val="00BF7412"/>
    <w:pPr>
      <w:kinsoku w:val="0"/>
      <w:ind w:left="2443" w:rightChars="200" w:right="698" w:hangingChars="700" w:hanging="2443"/>
      <w:jc w:val="both"/>
    </w:pPr>
    <w:rPr>
      <w:rFonts w:ascii="標楷體"/>
      <w:noProof/>
      <w:szCs w:val="32"/>
    </w:rPr>
  </w:style>
  <w:style w:type="paragraph" w:styleId="22">
    <w:name w:val="toc 2"/>
    <w:basedOn w:val="a2"/>
    <w:next w:val="a2"/>
    <w:autoRedefine/>
    <w:uiPriority w:val="39"/>
    <w:rsid w:val="00BF7412"/>
    <w:pPr>
      <w:kinsoku w:val="0"/>
      <w:ind w:leftChars="100" w:left="300" w:rightChars="200" w:right="200" w:hangingChars="200" w:hanging="200"/>
    </w:pPr>
    <w:rPr>
      <w:rFonts w:ascii="標楷體"/>
      <w:noProof/>
    </w:rPr>
  </w:style>
  <w:style w:type="paragraph" w:styleId="31">
    <w:name w:val="toc 3"/>
    <w:basedOn w:val="a2"/>
    <w:next w:val="a2"/>
    <w:autoRedefine/>
    <w:rsid w:val="00BF7412"/>
    <w:pPr>
      <w:kinsoku w:val="0"/>
      <w:ind w:leftChars="200" w:left="400" w:rightChars="200" w:right="200" w:hangingChars="200" w:hanging="200"/>
      <w:jc w:val="both"/>
    </w:pPr>
    <w:rPr>
      <w:rFonts w:ascii="標楷體"/>
      <w:noProof/>
    </w:rPr>
  </w:style>
  <w:style w:type="paragraph" w:styleId="41">
    <w:name w:val="toc 4"/>
    <w:basedOn w:val="a2"/>
    <w:next w:val="a2"/>
    <w:autoRedefine/>
    <w:rsid w:val="00BF7412"/>
    <w:pPr>
      <w:kinsoku w:val="0"/>
      <w:ind w:leftChars="300" w:left="500" w:rightChars="200" w:right="200" w:hangingChars="200" w:hanging="200"/>
      <w:jc w:val="both"/>
    </w:pPr>
    <w:rPr>
      <w:rFonts w:ascii="標楷體"/>
    </w:rPr>
  </w:style>
  <w:style w:type="paragraph" w:styleId="71">
    <w:name w:val="toc 7"/>
    <w:basedOn w:val="a2"/>
    <w:next w:val="a2"/>
    <w:autoRedefine/>
    <w:rsid w:val="00BF7412"/>
    <w:pPr>
      <w:ind w:leftChars="600" w:left="800" w:hangingChars="200" w:hanging="200"/>
    </w:pPr>
    <w:rPr>
      <w:rFonts w:ascii="標楷體"/>
    </w:rPr>
  </w:style>
  <w:style w:type="paragraph" w:styleId="81">
    <w:name w:val="toc 8"/>
    <w:basedOn w:val="a2"/>
    <w:next w:val="a2"/>
    <w:autoRedefine/>
    <w:rsid w:val="00BF7412"/>
    <w:pPr>
      <w:ind w:leftChars="700" w:left="900" w:hangingChars="200" w:hanging="200"/>
    </w:pPr>
    <w:rPr>
      <w:rFonts w:ascii="標楷體"/>
    </w:rPr>
  </w:style>
  <w:style w:type="paragraph" w:styleId="91">
    <w:name w:val="toc 9"/>
    <w:basedOn w:val="a2"/>
    <w:next w:val="a2"/>
    <w:autoRedefine/>
    <w:rsid w:val="00BF7412"/>
    <w:pPr>
      <w:ind w:leftChars="1600" w:left="3840"/>
    </w:pPr>
  </w:style>
  <w:style w:type="paragraph" w:styleId="ac">
    <w:name w:val="header"/>
    <w:basedOn w:val="a2"/>
    <w:link w:val="ad"/>
    <w:rsid w:val="00BF7412"/>
    <w:pPr>
      <w:tabs>
        <w:tab w:val="center" w:pos="4153"/>
        <w:tab w:val="right" w:pos="8306"/>
      </w:tabs>
      <w:snapToGrid w:val="0"/>
    </w:pPr>
    <w:rPr>
      <w:sz w:val="20"/>
    </w:rPr>
  </w:style>
  <w:style w:type="paragraph" w:customStyle="1" w:styleId="32">
    <w:name w:val="段落樣式3"/>
    <w:basedOn w:val="21"/>
    <w:rsid w:val="00BF7412"/>
    <w:pPr>
      <w:ind w:leftChars="400" w:left="400"/>
    </w:pPr>
  </w:style>
  <w:style w:type="character" w:styleId="ae">
    <w:name w:val="Hyperlink"/>
    <w:basedOn w:val="a4"/>
    <w:uiPriority w:val="99"/>
    <w:rsid w:val="00BF7412"/>
    <w:rPr>
      <w:color w:val="0000FF"/>
      <w:u w:val="single"/>
    </w:rPr>
  </w:style>
  <w:style w:type="paragraph" w:customStyle="1" w:styleId="af">
    <w:name w:val="簽名日期"/>
    <w:basedOn w:val="a2"/>
    <w:rsid w:val="00BF7412"/>
    <w:pPr>
      <w:kinsoku w:val="0"/>
      <w:jc w:val="distribute"/>
    </w:pPr>
    <w:rPr>
      <w:kern w:val="0"/>
    </w:rPr>
  </w:style>
  <w:style w:type="paragraph" w:customStyle="1" w:styleId="0">
    <w:name w:val="段落樣式0"/>
    <w:basedOn w:val="21"/>
    <w:rsid w:val="00BF7412"/>
    <w:pPr>
      <w:ind w:leftChars="200" w:left="200" w:firstLineChars="0" w:firstLine="0"/>
    </w:pPr>
  </w:style>
  <w:style w:type="paragraph" w:customStyle="1" w:styleId="af0">
    <w:name w:val="附件"/>
    <w:basedOn w:val="a9"/>
    <w:rsid w:val="00BF7412"/>
    <w:pPr>
      <w:kinsoku w:val="0"/>
      <w:spacing w:before="0"/>
      <w:ind w:left="1047" w:hangingChars="300" w:hanging="1047"/>
    </w:pPr>
    <w:rPr>
      <w:snapToGrid/>
      <w:spacing w:val="0"/>
      <w:kern w:val="0"/>
    </w:rPr>
  </w:style>
  <w:style w:type="paragraph" w:customStyle="1" w:styleId="42">
    <w:name w:val="段落樣式4"/>
    <w:basedOn w:val="32"/>
    <w:rsid w:val="00BF7412"/>
    <w:pPr>
      <w:ind w:leftChars="500" w:left="500"/>
    </w:pPr>
  </w:style>
  <w:style w:type="paragraph" w:customStyle="1" w:styleId="52">
    <w:name w:val="段落樣式5"/>
    <w:basedOn w:val="42"/>
    <w:rsid w:val="00BF7412"/>
    <w:pPr>
      <w:ind w:leftChars="600" w:left="600"/>
    </w:pPr>
  </w:style>
  <w:style w:type="paragraph" w:customStyle="1" w:styleId="62">
    <w:name w:val="段落樣式6"/>
    <w:basedOn w:val="52"/>
    <w:rsid w:val="00BF7412"/>
    <w:pPr>
      <w:ind w:leftChars="700" w:left="700"/>
    </w:pPr>
  </w:style>
  <w:style w:type="paragraph" w:customStyle="1" w:styleId="72">
    <w:name w:val="段落樣式7"/>
    <w:basedOn w:val="62"/>
    <w:rsid w:val="00BF7412"/>
  </w:style>
  <w:style w:type="paragraph" w:customStyle="1" w:styleId="82">
    <w:name w:val="段落樣式8"/>
    <w:basedOn w:val="72"/>
    <w:rsid w:val="00BF7412"/>
    <w:pPr>
      <w:ind w:leftChars="800" w:left="800"/>
    </w:pPr>
  </w:style>
  <w:style w:type="paragraph" w:customStyle="1" w:styleId="a1">
    <w:name w:val="表樣式"/>
    <w:basedOn w:val="a2"/>
    <w:next w:val="a2"/>
    <w:rsid w:val="00BF7412"/>
    <w:pPr>
      <w:numPr>
        <w:numId w:val="3"/>
      </w:numPr>
      <w:jc w:val="both"/>
    </w:pPr>
    <w:rPr>
      <w:rFonts w:ascii="標楷體"/>
      <w:kern w:val="0"/>
    </w:rPr>
  </w:style>
  <w:style w:type="paragraph" w:styleId="af1">
    <w:name w:val="Body Text Indent"/>
    <w:basedOn w:val="a2"/>
    <w:link w:val="af2"/>
    <w:semiHidden/>
    <w:rsid w:val="00BF7412"/>
    <w:pPr>
      <w:ind w:left="698" w:hangingChars="200" w:hanging="698"/>
    </w:pPr>
  </w:style>
  <w:style w:type="paragraph" w:customStyle="1" w:styleId="af3">
    <w:name w:val="調查報告"/>
    <w:basedOn w:val="a9"/>
    <w:rsid w:val="00BF7412"/>
    <w:pPr>
      <w:kinsoku w:val="0"/>
      <w:spacing w:before="0"/>
      <w:ind w:left="1701" w:firstLine="0"/>
    </w:pPr>
    <w:rPr>
      <w:b/>
      <w:snapToGrid/>
      <w:spacing w:val="200"/>
      <w:kern w:val="0"/>
      <w:sz w:val="36"/>
    </w:rPr>
  </w:style>
  <w:style w:type="paragraph" w:customStyle="1" w:styleId="af4">
    <w:name w:val="分項段落"/>
    <w:basedOn w:val="a2"/>
    <w:uiPriority w:val="99"/>
    <w:rsid w:val="00B50F25"/>
    <w:rPr>
      <w:rFonts w:eastAsia="新細明體"/>
      <w:sz w:val="24"/>
    </w:rPr>
  </w:style>
  <w:style w:type="paragraph" w:customStyle="1" w:styleId="a0">
    <w:name w:val="圖樣式"/>
    <w:basedOn w:val="a2"/>
    <w:next w:val="a2"/>
    <w:rsid w:val="00BF7412"/>
    <w:pPr>
      <w:numPr>
        <w:numId w:val="4"/>
      </w:numPr>
      <w:jc w:val="both"/>
    </w:pPr>
    <w:rPr>
      <w:rFonts w:ascii="標楷體"/>
    </w:rPr>
  </w:style>
  <w:style w:type="paragraph" w:styleId="af5">
    <w:name w:val="footer"/>
    <w:basedOn w:val="a2"/>
    <w:link w:val="af6"/>
    <w:rsid w:val="00BF7412"/>
    <w:pPr>
      <w:tabs>
        <w:tab w:val="center" w:pos="4153"/>
        <w:tab w:val="right" w:pos="8306"/>
      </w:tabs>
      <w:snapToGrid w:val="0"/>
    </w:pPr>
    <w:rPr>
      <w:sz w:val="20"/>
    </w:rPr>
  </w:style>
  <w:style w:type="paragraph" w:styleId="af7">
    <w:name w:val="table of figures"/>
    <w:basedOn w:val="a2"/>
    <w:next w:val="a2"/>
    <w:uiPriority w:val="99"/>
    <w:rsid w:val="00BF7412"/>
    <w:pPr>
      <w:ind w:left="400" w:hangingChars="400" w:hanging="400"/>
    </w:pPr>
  </w:style>
  <w:style w:type="paragraph" w:customStyle="1" w:styleId="92">
    <w:name w:val="標題9"/>
    <w:basedOn w:val="a2"/>
    <w:uiPriority w:val="99"/>
    <w:rsid w:val="00337036"/>
    <w:pPr>
      <w:tabs>
        <w:tab w:val="num" w:pos="6195"/>
      </w:tabs>
      <w:ind w:left="5015" w:hanging="1700"/>
    </w:pPr>
  </w:style>
  <w:style w:type="paragraph" w:styleId="af8">
    <w:name w:val="Body Text"/>
    <w:basedOn w:val="a2"/>
    <w:link w:val="af9"/>
    <w:uiPriority w:val="99"/>
    <w:semiHidden/>
    <w:unhideWhenUsed/>
    <w:rsid w:val="00202350"/>
    <w:pPr>
      <w:spacing w:after="120"/>
    </w:pPr>
  </w:style>
  <w:style w:type="character" w:customStyle="1" w:styleId="af9">
    <w:name w:val="本文 字元"/>
    <w:link w:val="af8"/>
    <w:uiPriority w:val="99"/>
    <w:semiHidden/>
    <w:rsid w:val="00202350"/>
    <w:rPr>
      <w:rFonts w:eastAsia="標楷體"/>
      <w:kern w:val="2"/>
      <w:sz w:val="32"/>
    </w:rPr>
  </w:style>
  <w:style w:type="paragraph" w:styleId="afa">
    <w:name w:val="Plain Text"/>
    <w:basedOn w:val="a2"/>
    <w:link w:val="afb"/>
    <w:uiPriority w:val="99"/>
    <w:semiHidden/>
    <w:rsid w:val="00007985"/>
    <w:pPr>
      <w:kinsoku w:val="0"/>
      <w:ind w:left="1060" w:right="-57" w:hanging="1060"/>
      <w:jc w:val="both"/>
    </w:pPr>
    <w:rPr>
      <w:rFonts w:ascii="Calisto MT" w:eastAsia="華康楷書體W3" w:hAnsi="Calisto MT"/>
      <w:b/>
      <w:sz w:val="21"/>
    </w:rPr>
  </w:style>
  <w:style w:type="character" w:customStyle="1" w:styleId="afb">
    <w:name w:val="純文字 字元"/>
    <w:link w:val="afa"/>
    <w:uiPriority w:val="99"/>
    <w:semiHidden/>
    <w:rsid w:val="00007985"/>
    <w:rPr>
      <w:rFonts w:ascii="Calisto MT" w:eastAsia="華康楷書體W3" w:hAnsi="Calisto MT"/>
      <w:b/>
      <w:kern w:val="2"/>
      <w:sz w:val="21"/>
    </w:rPr>
  </w:style>
  <w:style w:type="table" w:styleId="afc">
    <w:name w:val="Table Grid"/>
    <w:basedOn w:val="a5"/>
    <w:rsid w:val="00BF7412"/>
    <w:pPr>
      <w:snapToGrid w:val="0"/>
      <w:spacing w:line="320" w:lineRule="exact"/>
      <w:jc w:val="right"/>
    </w:pPr>
    <w:rPr>
      <w:rFonts w:eastAsia="標楷體"/>
      <w:sz w:val="2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left w:w="57" w:type="dxa"/>
        <w:right w:w="57" w:type="dxa"/>
      </w:tcMar>
      <w:vAlign w:val="center"/>
    </w:tcPr>
  </w:style>
  <w:style w:type="paragraph" w:styleId="afd">
    <w:name w:val="List Paragraph"/>
    <w:basedOn w:val="a2"/>
    <w:uiPriority w:val="99"/>
    <w:qFormat/>
    <w:rsid w:val="00A10129"/>
    <w:pPr>
      <w:ind w:leftChars="200" w:left="480"/>
    </w:pPr>
  </w:style>
  <w:style w:type="character" w:customStyle="1" w:styleId="30">
    <w:name w:val="標題 3 字元"/>
    <w:link w:val="3"/>
    <w:rsid w:val="00E043CC"/>
    <w:rPr>
      <w:rFonts w:ascii="標楷體" w:eastAsia="標楷體" w:hAnsi="Arial"/>
      <w:bCs/>
      <w:sz w:val="32"/>
      <w:szCs w:val="36"/>
    </w:rPr>
  </w:style>
  <w:style w:type="character" w:customStyle="1" w:styleId="40">
    <w:name w:val="標題 4 字元"/>
    <w:aliases w:val="一 字元"/>
    <w:link w:val="4"/>
    <w:rsid w:val="00E043CC"/>
    <w:rPr>
      <w:rFonts w:ascii="標楷體" w:eastAsia="標楷體" w:hAnsi="Arial"/>
      <w:kern w:val="2"/>
      <w:sz w:val="32"/>
      <w:szCs w:val="36"/>
    </w:rPr>
  </w:style>
  <w:style w:type="paragraph" w:styleId="afe">
    <w:name w:val="Balloon Text"/>
    <w:basedOn w:val="a2"/>
    <w:link w:val="aff"/>
    <w:uiPriority w:val="99"/>
    <w:semiHidden/>
    <w:unhideWhenUsed/>
    <w:rsid w:val="001F7E66"/>
    <w:rPr>
      <w:rFonts w:ascii="Cambria" w:eastAsia="新細明體" w:hAnsi="Cambria"/>
      <w:sz w:val="18"/>
      <w:szCs w:val="18"/>
    </w:rPr>
  </w:style>
  <w:style w:type="character" w:customStyle="1" w:styleId="aff">
    <w:name w:val="註解方塊文字 字元"/>
    <w:link w:val="afe"/>
    <w:uiPriority w:val="99"/>
    <w:semiHidden/>
    <w:rsid w:val="001F7E66"/>
    <w:rPr>
      <w:rFonts w:ascii="Cambria" w:eastAsia="新細明體" w:hAnsi="Cambria" w:cs="Times New Roman"/>
      <w:kern w:val="2"/>
      <w:sz w:val="18"/>
      <w:szCs w:val="18"/>
    </w:rPr>
  </w:style>
  <w:style w:type="paragraph" w:customStyle="1" w:styleId="aff0">
    <w:name w:val="主旨說明擬辦"/>
    <w:basedOn w:val="a2"/>
    <w:uiPriority w:val="99"/>
    <w:rsid w:val="002053A7"/>
    <w:pPr>
      <w:kinsoku w:val="0"/>
      <w:overflowPunct w:val="0"/>
      <w:ind w:left="1200" w:hanging="1200"/>
    </w:pPr>
    <w:rPr>
      <w:sz w:val="40"/>
    </w:rPr>
  </w:style>
  <w:style w:type="paragraph" w:styleId="Web">
    <w:name w:val="Normal (Web)"/>
    <w:basedOn w:val="a2"/>
    <w:uiPriority w:val="99"/>
    <w:unhideWhenUsed/>
    <w:rsid w:val="0023292F"/>
    <w:pPr>
      <w:widowControl/>
      <w:spacing w:before="100" w:beforeAutospacing="1" w:after="100" w:afterAutospacing="1"/>
    </w:pPr>
    <w:rPr>
      <w:rFonts w:ascii="新細明體" w:eastAsia="新細明體" w:hAnsi="新細明體" w:cs="新細明體"/>
      <w:kern w:val="0"/>
      <w:sz w:val="24"/>
      <w:szCs w:val="24"/>
    </w:rPr>
  </w:style>
  <w:style w:type="paragraph" w:customStyle="1" w:styleId="13">
    <w:name w:val="內文1"/>
    <w:basedOn w:val="a2"/>
    <w:uiPriority w:val="99"/>
    <w:rsid w:val="00FB3299"/>
    <w:pPr>
      <w:spacing w:before="100" w:beforeAutospacing="1" w:after="100" w:afterAutospacing="1" w:line="500" w:lineRule="exact"/>
      <w:ind w:left="357" w:firstLineChars="188" w:firstLine="602"/>
      <w:jc w:val="both"/>
    </w:pPr>
    <w:rPr>
      <w:rFonts w:ascii="標楷體"/>
    </w:rPr>
  </w:style>
  <w:style w:type="character" w:customStyle="1" w:styleId="head31">
    <w:name w:val="head31"/>
    <w:uiPriority w:val="99"/>
    <w:rsid w:val="00DA0331"/>
    <w:rPr>
      <w:b/>
      <w:bCs/>
      <w:i w:val="0"/>
      <w:iCs w:val="0"/>
      <w:caps w:val="0"/>
      <w:smallCaps w:val="0"/>
      <w:color w:val="000000"/>
      <w:sz w:val="28"/>
      <w:szCs w:val="28"/>
    </w:rPr>
  </w:style>
  <w:style w:type="paragraph" w:customStyle="1" w:styleId="aff1">
    <w:name w:val="副本"/>
    <w:basedOn w:val="33"/>
    <w:uiPriority w:val="99"/>
    <w:rsid w:val="00EE5E57"/>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EE5E57"/>
    <w:pPr>
      <w:spacing w:after="120"/>
      <w:ind w:leftChars="200" w:left="480"/>
    </w:pPr>
    <w:rPr>
      <w:sz w:val="16"/>
      <w:szCs w:val="16"/>
    </w:rPr>
  </w:style>
  <w:style w:type="character" w:customStyle="1" w:styleId="34">
    <w:name w:val="本文縮排 3 字元"/>
    <w:link w:val="33"/>
    <w:uiPriority w:val="99"/>
    <w:semiHidden/>
    <w:rsid w:val="00EE5E57"/>
    <w:rPr>
      <w:rFonts w:eastAsia="標楷體"/>
      <w:kern w:val="2"/>
      <w:sz w:val="16"/>
      <w:szCs w:val="16"/>
    </w:rPr>
  </w:style>
  <w:style w:type="character" w:styleId="aff2">
    <w:name w:val="Strong"/>
    <w:uiPriority w:val="99"/>
    <w:qFormat/>
    <w:rsid w:val="00125A19"/>
    <w:rPr>
      <w:b/>
      <w:bCs/>
    </w:rPr>
  </w:style>
  <w:style w:type="character" w:customStyle="1" w:styleId="con1">
    <w:name w:val="con1"/>
    <w:uiPriority w:val="99"/>
    <w:rsid w:val="00A63AE0"/>
    <w:rPr>
      <w:strike w:val="0"/>
      <w:dstrike w:val="0"/>
      <w:color w:val="666633"/>
      <w:sz w:val="22"/>
      <w:szCs w:val="22"/>
      <w:u w:val="none"/>
      <w:effect w:val="none"/>
    </w:rPr>
  </w:style>
  <w:style w:type="character" w:styleId="aff3">
    <w:name w:val="FollowedHyperlink"/>
    <w:uiPriority w:val="99"/>
    <w:semiHidden/>
    <w:unhideWhenUsed/>
    <w:rsid w:val="001A1A65"/>
    <w:rPr>
      <w:color w:val="800080"/>
      <w:u w:val="single"/>
    </w:rPr>
  </w:style>
  <w:style w:type="paragraph" w:styleId="HTML">
    <w:name w:val="HTML Preformatted"/>
    <w:basedOn w:val="a2"/>
    <w:link w:val="HTML0"/>
    <w:uiPriority w:val="99"/>
    <w:unhideWhenUsed/>
    <w:rsid w:val="002A3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link w:val="HTML"/>
    <w:uiPriority w:val="99"/>
    <w:rsid w:val="002A3149"/>
    <w:rPr>
      <w:rFonts w:ascii="細明體" w:eastAsia="細明體" w:hAnsi="細明體" w:cs="細明體"/>
      <w:sz w:val="24"/>
      <w:szCs w:val="24"/>
    </w:rPr>
  </w:style>
  <w:style w:type="character" w:customStyle="1" w:styleId="90">
    <w:name w:val="標題 9 字元"/>
    <w:link w:val="9"/>
    <w:uiPriority w:val="99"/>
    <w:rsid w:val="00B32B0A"/>
    <w:rPr>
      <w:rFonts w:ascii="Arial" w:hAnsi="Arial"/>
      <w:kern w:val="2"/>
      <w:sz w:val="36"/>
    </w:rPr>
  </w:style>
  <w:style w:type="paragraph" w:styleId="a3">
    <w:name w:val="Normal Indent"/>
    <w:basedOn w:val="a2"/>
    <w:uiPriority w:val="99"/>
    <w:semiHidden/>
    <w:unhideWhenUsed/>
    <w:rsid w:val="00B32B0A"/>
    <w:pPr>
      <w:ind w:leftChars="200" w:left="480"/>
    </w:pPr>
  </w:style>
  <w:style w:type="paragraph" w:styleId="aff4">
    <w:name w:val="Note Heading"/>
    <w:basedOn w:val="a2"/>
    <w:next w:val="a2"/>
    <w:link w:val="aff5"/>
    <w:uiPriority w:val="99"/>
    <w:unhideWhenUsed/>
    <w:rsid w:val="002937AB"/>
    <w:pPr>
      <w:jc w:val="center"/>
    </w:pPr>
    <w:rPr>
      <w:rFonts w:ascii="標楷體" w:hAnsi="標楷體"/>
      <w:bCs/>
      <w:kern w:val="0"/>
    </w:rPr>
  </w:style>
  <w:style w:type="character" w:customStyle="1" w:styleId="aff5">
    <w:name w:val="註釋標題 字元"/>
    <w:link w:val="aff4"/>
    <w:uiPriority w:val="99"/>
    <w:rsid w:val="002937AB"/>
    <w:rPr>
      <w:rFonts w:ascii="標楷體" w:eastAsia="標楷體" w:hAnsi="標楷體"/>
      <w:bCs/>
      <w:sz w:val="32"/>
    </w:rPr>
  </w:style>
  <w:style w:type="paragraph" w:styleId="aff6">
    <w:name w:val="Closing"/>
    <w:basedOn w:val="a2"/>
    <w:link w:val="aff7"/>
    <w:uiPriority w:val="99"/>
    <w:unhideWhenUsed/>
    <w:rsid w:val="002937AB"/>
    <w:pPr>
      <w:ind w:leftChars="1800" w:left="100"/>
    </w:pPr>
    <w:rPr>
      <w:rFonts w:ascii="標楷體" w:hAnsi="標楷體"/>
      <w:bCs/>
      <w:kern w:val="0"/>
    </w:rPr>
  </w:style>
  <w:style w:type="character" w:customStyle="1" w:styleId="aff7">
    <w:name w:val="結語 字元"/>
    <w:link w:val="aff6"/>
    <w:uiPriority w:val="99"/>
    <w:rsid w:val="002937AB"/>
    <w:rPr>
      <w:rFonts w:ascii="標楷體" w:eastAsia="標楷體" w:hAnsi="標楷體"/>
      <w:bCs/>
      <w:sz w:val="32"/>
    </w:rPr>
  </w:style>
  <w:style w:type="paragraph" w:styleId="aff8">
    <w:name w:val="Salutation"/>
    <w:basedOn w:val="a2"/>
    <w:next w:val="a2"/>
    <w:link w:val="aff9"/>
    <w:uiPriority w:val="99"/>
    <w:rsid w:val="002937AB"/>
    <w:rPr>
      <w:rFonts w:eastAsia="新細明體"/>
      <w:sz w:val="24"/>
    </w:rPr>
  </w:style>
  <w:style w:type="character" w:customStyle="1" w:styleId="aff9">
    <w:name w:val="問候 字元"/>
    <w:link w:val="aff8"/>
    <w:uiPriority w:val="99"/>
    <w:rsid w:val="002937AB"/>
    <w:rPr>
      <w:kern w:val="2"/>
      <w:sz w:val="24"/>
    </w:rPr>
  </w:style>
  <w:style w:type="paragraph" w:customStyle="1" w:styleId="a">
    <w:name w:val="內文 + 標楷體"/>
    <w:aliases w:val="14 點,左右對齊,右:  0.21 cm,行距:  固定行高 43 pt"/>
    <w:basedOn w:val="a2"/>
    <w:uiPriority w:val="99"/>
    <w:rsid w:val="00EE50CF"/>
    <w:pPr>
      <w:numPr>
        <w:ilvl w:val="2"/>
        <w:numId w:val="1"/>
      </w:numPr>
      <w:tabs>
        <w:tab w:val="clear" w:pos="3240"/>
        <w:tab w:val="left" w:pos="1361"/>
        <w:tab w:val="num" w:pos="3120"/>
      </w:tabs>
      <w:spacing w:line="860" w:lineRule="exact"/>
      <w:ind w:left="3120" w:right="119" w:hanging="600"/>
      <w:jc w:val="both"/>
    </w:pPr>
    <w:rPr>
      <w:rFonts w:ascii="標楷體"/>
      <w:sz w:val="28"/>
      <w:szCs w:val="28"/>
    </w:rPr>
  </w:style>
  <w:style w:type="character" w:customStyle="1" w:styleId="style221">
    <w:name w:val="style221"/>
    <w:uiPriority w:val="99"/>
    <w:rsid w:val="005124B2"/>
    <w:rPr>
      <w:b/>
      <w:bCs/>
      <w:color w:val="0066FF"/>
      <w:sz w:val="24"/>
      <w:szCs w:val="24"/>
    </w:rPr>
  </w:style>
  <w:style w:type="paragraph" w:customStyle="1" w:styleId="HTMLPreformatted4">
    <w:name w:val="HTML Preformatted4"/>
    <w:basedOn w:val="a2"/>
    <w:uiPriority w:val="99"/>
    <w:rsid w:val="00C65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細明體" w:hAnsi="Courier New" w:cs="細明體"/>
      <w:kern w:val="0"/>
      <w:sz w:val="24"/>
      <w:szCs w:val="24"/>
      <w:lang w:bidi="hi-IN"/>
    </w:rPr>
  </w:style>
  <w:style w:type="paragraph" w:customStyle="1" w:styleId="affa">
    <w:name w:val="字元 字元"/>
    <w:basedOn w:val="a2"/>
    <w:uiPriority w:val="99"/>
    <w:semiHidden/>
    <w:rsid w:val="009A18EA"/>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字元 字元 字元 字元 字元 字元 字元 字元 字元"/>
    <w:basedOn w:val="a2"/>
    <w:uiPriority w:val="99"/>
    <w:semiHidden/>
    <w:rsid w:val="00790D6A"/>
    <w:pPr>
      <w:widowControl/>
      <w:spacing w:after="160" w:line="240" w:lineRule="exact"/>
    </w:pPr>
    <w:rPr>
      <w:rFonts w:ascii="Verdana" w:eastAsia="Times New Roman" w:hAnsi="Verdana" w:cs="Mangal"/>
      <w:sz w:val="20"/>
      <w:szCs w:val="24"/>
      <w:lang w:eastAsia="en-US" w:bidi="hi-IN"/>
    </w:rPr>
  </w:style>
  <w:style w:type="paragraph" w:customStyle="1" w:styleId="affc">
    <w:name w:val="字元 字元 字元"/>
    <w:basedOn w:val="a2"/>
    <w:uiPriority w:val="99"/>
    <w:semiHidden/>
    <w:rsid w:val="007B3323"/>
    <w:pPr>
      <w:widowControl/>
      <w:spacing w:after="160" w:line="240" w:lineRule="exact"/>
    </w:pPr>
    <w:rPr>
      <w:rFonts w:ascii="Verdana" w:eastAsia="Times New Roman" w:hAnsi="Verdana" w:cs="Mangal"/>
      <w:sz w:val="20"/>
      <w:szCs w:val="24"/>
      <w:lang w:eastAsia="en-US" w:bidi="hi-IN"/>
    </w:rPr>
  </w:style>
  <w:style w:type="paragraph" w:customStyle="1" w:styleId="Default">
    <w:name w:val="Default"/>
    <w:uiPriority w:val="99"/>
    <w:rsid w:val="006F4E99"/>
    <w:pPr>
      <w:widowControl w:val="0"/>
      <w:autoSpaceDE w:val="0"/>
      <w:autoSpaceDN w:val="0"/>
      <w:adjustRightInd w:val="0"/>
    </w:pPr>
    <w:rPr>
      <w:rFonts w:ascii="標楷體" w:eastAsia="標楷體" w:cs="標楷體"/>
      <w:color w:val="000000"/>
      <w:sz w:val="24"/>
      <w:szCs w:val="24"/>
    </w:rPr>
  </w:style>
  <w:style w:type="paragraph" w:customStyle="1" w:styleId="14">
    <w:name w:val="字元 字元1 字元 字元 字元 字元 字元 字元 字元 字元 字元 字元 字元 字元 字元 字元 字元 字元 字元 字元 字元"/>
    <w:basedOn w:val="a2"/>
    <w:uiPriority w:val="99"/>
    <w:semiHidden/>
    <w:rsid w:val="005E0902"/>
    <w:pPr>
      <w:widowControl/>
      <w:spacing w:after="160" w:line="240" w:lineRule="exact"/>
    </w:pPr>
    <w:rPr>
      <w:rFonts w:ascii="Verdana" w:eastAsia="Times New Roman" w:hAnsi="Verdana" w:cs="Mangal"/>
      <w:sz w:val="20"/>
      <w:szCs w:val="24"/>
      <w:lang w:eastAsia="en-US" w:bidi="hi-IN"/>
    </w:rPr>
  </w:style>
  <w:style w:type="paragraph" w:customStyle="1" w:styleId="15">
    <w:name w:val="字元 字元1"/>
    <w:basedOn w:val="a2"/>
    <w:uiPriority w:val="99"/>
    <w:semiHidden/>
    <w:rsid w:val="00C06928"/>
    <w:pPr>
      <w:widowControl/>
      <w:spacing w:after="160" w:line="240" w:lineRule="exact"/>
    </w:pPr>
    <w:rPr>
      <w:rFonts w:ascii="Verdana" w:eastAsia="Times New Roman" w:hAnsi="Verdana" w:cs="Mangal"/>
      <w:sz w:val="20"/>
      <w:szCs w:val="24"/>
      <w:lang w:eastAsia="en-US" w:bidi="hi-IN"/>
    </w:rPr>
  </w:style>
  <w:style w:type="paragraph" w:styleId="affd">
    <w:name w:val="footnote text"/>
    <w:basedOn w:val="a2"/>
    <w:link w:val="affe"/>
    <w:uiPriority w:val="99"/>
    <w:semiHidden/>
    <w:unhideWhenUsed/>
    <w:rsid w:val="00F773A4"/>
    <w:pPr>
      <w:snapToGrid w:val="0"/>
    </w:pPr>
    <w:rPr>
      <w:sz w:val="20"/>
    </w:rPr>
  </w:style>
  <w:style w:type="character" w:customStyle="1" w:styleId="affe">
    <w:name w:val="註腳文字 字元"/>
    <w:link w:val="affd"/>
    <w:uiPriority w:val="99"/>
    <w:semiHidden/>
    <w:rsid w:val="00F773A4"/>
    <w:rPr>
      <w:rFonts w:eastAsia="標楷體"/>
      <w:kern w:val="2"/>
    </w:rPr>
  </w:style>
  <w:style w:type="character" w:styleId="afff">
    <w:name w:val="footnote reference"/>
    <w:uiPriority w:val="99"/>
    <w:semiHidden/>
    <w:unhideWhenUsed/>
    <w:rsid w:val="00F773A4"/>
    <w:rPr>
      <w:vertAlign w:val="superscript"/>
    </w:rPr>
  </w:style>
  <w:style w:type="table" w:styleId="73">
    <w:name w:val="Table Grid 7"/>
    <w:basedOn w:val="a5"/>
    <w:uiPriority w:val="99"/>
    <w:rsid w:val="00F045AB"/>
    <w:pPr>
      <w:widowControl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fff0">
    <w:name w:val="Emphasis"/>
    <w:uiPriority w:val="20"/>
    <w:qFormat/>
    <w:rsid w:val="00676233"/>
    <w:rPr>
      <w:b w:val="0"/>
      <w:bCs w:val="0"/>
      <w:i w:val="0"/>
      <w:iCs w:val="0"/>
      <w:color w:val="CC0033"/>
    </w:rPr>
  </w:style>
  <w:style w:type="paragraph" w:styleId="afff1">
    <w:name w:val="TOC Heading"/>
    <w:basedOn w:val="1"/>
    <w:next w:val="a2"/>
    <w:uiPriority w:val="99"/>
    <w:qFormat/>
    <w:rsid w:val="00554D22"/>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character" w:customStyle="1" w:styleId="st">
    <w:name w:val="st"/>
    <w:basedOn w:val="a4"/>
    <w:rsid w:val="009E2CCD"/>
  </w:style>
  <w:style w:type="character" w:customStyle="1" w:styleId="af6">
    <w:name w:val="頁尾 字元"/>
    <w:link w:val="af5"/>
    <w:rsid w:val="00DA1CAF"/>
    <w:rPr>
      <w:rFonts w:eastAsia="標楷體"/>
      <w:kern w:val="2"/>
    </w:rPr>
  </w:style>
  <w:style w:type="paragraph" w:customStyle="1" w:styleId="16">
    <w:name w:val="說1"/>
    <w:basedOn w:val="a2"/>
    <w:link w:val="17"/>
    <w:uiPriority w:val="99"/>
    <w:rsid w:val="00DA1CAF"/>
    <w:pPr>
      <w:widowControl/>
      <w:kinsoku w:val="0"/>
      <w:adjustRightInd w:val="0"/>
      <w:ind w:left="244" w:hanging="244"/>
      <w:jc w:val="both"/>
      <w:textDirection w:val="lrTbV"/>
      <w:textAlignment w:val="baseline"/>
    </w:pPr>
    <w:rPr>
      <w:kern w:val="0"/>
      <w:sz w:val="24"/>
    </w:rPr>
  </w:style>
  <w:style w:type="character" w:customStyle="1" w:styleId="17">
    <w:name w:val="說1 字元"/>
    <w:link w:val="16"/>
    <w:uiPriority w:val="99"/>
    <w:rsid w:val="00DA1CAF"/>
    <w:rPr>
      <w:rFonts w:eastAsia="標楷體"/>
      <w:sz w:val="24"/>
    </w:rPr>
  </w:style>
  <w:style w:type="paragraph" w:customStyle="1" w:styleId="afff2">
    <w:name w:val="條"/>
    <w:basedOn w:val="a2"/>
    <w:link w:val="afff3"/>
    <w:uiPriority w:val="99"/>
    <w:rsid w:val="00DA1CAF"/>
    <w:pPr>
      <w:widowControl/>
      <w:kinsoku w:val="0"/>
      <w:autoSpaceDE w:val="0"/>
      <w:autoSpaceDN w:val="0"/>
      <w:adjustRightInd w:val="0"/>
      <w:ind w:left="227" w:hanging="227"/>
      <w:textDirection w:val="lrTbV"/>
      <w:textAlignment w:val="baseline"/>
    </w:pPr>
    <w:rPr>
      <w:kern w:val="0"/>
      <w:sz w:val="24"/>
    </w:rPr>
  </w:style>
  <w:style w:type="character" w:customStyle="1" w:styleId="afff3">
    <w:name w:val="條 字元"/>
    <w:link w:val="afff2"/>
    <w:uiPriority w:val="99"/>
    <w:rsid w:val="00DA1CAF"/>
    <w:rPr>
      <w:rFonts w:eastAsia="標楷體"/>
      <w:sz w:val="24"/>
    </w:rPr>
  </w:style>
  <w:style w:type="paragraph" w:customStyle="1" w:styleId="afff4">
    <w:name w:val="條文"/>
    <w:basedOn w:val="a2"/>
    <w:uiPriority w:val="99"/>
    <w:rsid w:val="00DA1CAF"/>
    <w:pPr>
      <w:widowControl/>
      <w:kinsoku w:val="0"/>
      <w:autoSpaceDE w:val="0"/>
      <w:autoSpaceDN w:val="0"/>
      <w:adjustRightInd w:val="0"/>
      <w:spacing w:before="120" w:after="120"/>
      <w:ind w:left="280" w:hanging="280"/>
      <w:jc w:val="center"/>
      <w:textDirection w:val="lrTbV"/>
      <w:textAlignment w:val="baseline"/>
    </w:pPr>
    <w:rPr>
      <w:kern w:val="0"/>
      <w:sz w:val="24"/>
    </w:rPr>
  </w:style>
  <w:style w:type="character" w:styleId="afff5">
    <w:name w:val="annotation reference"/>
    <w:uiPriority w:val="99"/>
    <w:semiHidden/>
    <w:rsid w:val="00790EAE"/>
    <w:rPr>
      <w:sz w:val="18"/>
      <w:szCs w:val="18"/>
    </w:rPr>
  </w:style>
  <w:style w:type="paragraph" w:styleId="afff6">
    <w:name w:val="annotation text"/>
    <w:basedOn w:val="a2"/>
    <w:link w:val="afff7"/>
    <w:uiPriority w:val="99"/>
    <w:semiHidden/>
    <w:rsid w:val="00790EAE"/>
  </w:style>
  <w:style w:type="paragraph" w:styleId="afff8">
    <w:name w:val="annotation subject"/>
    <w:basedOn w:val="afff6"/>
    <w:next w:val="afff6"/>
    <w:link w:val="afff9"/>
    <w:uiPriority w:val="99"/>
    <w:semiHidden/>
    <w:rsid w:val="00790EAE"/>
    <w:rPr>
      <w:b/>
      <w:bCs/>
    </w:rPr>
  </w:style>
  <w:style w:type="paragraph" w:styleId="23">
    <w:name w:val="Body Text Indent 2"/>
    <w:basedOn w:val="a2"/>
    <w:link w:val="24"/>
    <w:uiPriority w:val="99"/>
    <w:rsid w:val="00F227E5"/>
    <w:pPr>
      <w:snapToGrid w:val="0"/>
      <w:spacing w:before="120"/>
      <w:ind w:left="-45" w:firstLine="585"/>
      <w:jc w:val="both"/>
    </w:pPr>
    <w:rPr>
      <w:rFonts w:ascii="標楷體"/>
      <w:sz w:val="30"/>
    </w:rPr>
  </w:style>
  <w:style w:type="paragraph" w:styleId="25">
    <w:name w:val="Body Text 2"/>
    <w:basedOn w:val="a2"/>
    <w:link w:val="26"/>
    <w:uiPriority w:val="99"/>
    <w:rsid w:val="00F227E5"/>
    <w:pPr>
      <w:snapToGrid w:val="0"/>
      <w:jc w:val="both"/>
    </w:pPr>
  </w:style>
  <w:style w:type="paragraph" w:styleId="35">
    <w:name w:val="Body Text 3"/>
    <w:basedOn w:val="a2"/>
    <w:link w:val="36"/>
    <w:uiPriority w:val="99"/>
    <w:rsid w:val="00F227E5"/>
    <w:pPr>
      <w:snapToGrid w:val="0"/>
      <w:spacing w:before="240"/>
      <w:ind w:right="-514"/>
      <w:jc w:val="both"/>
    </w:pPr>
    <w:rPr>
      <w:rFonts w:ascii="華康隸書體W3(P)" w:eastAsia="華康隸書體W3(P)"/>
      <w:b/>
      <w:sz w:val="36"/>
    </w:rPr>
  </w:style>
  <w:style w:type="paragraph" w:styleId="afffa">
    <w:name w:val="Date"/>
    <w:basedOn w:val="a2"/>
    <w:next w:val="a2"/>
    <w:link w:val="afffb"/>
    <w:uiPriority w:val="99"/>
    <w:rsid w:val="00F227E5"/>
    <w:pPr>
      <w:adjustRightInd w:val="0"/>
      <w:spacing w:line="360" w:lineRule="atLeast"/>
      <w:jc w:val="right"/>
      <w:textAlignment w:val="baseline"/>
    </w:pPr>
    <w:rPr>
      <w:rFonts w:ascii="華康楷書體W5" w:eastAsia="華康楷書體W5"/>
      <w:spacing w:val="20"/>
      <w:kern w:val="0"/>
    </w:rPr>
  </w:style>
  <w:style w:type="paragraph" w:styleId="afffc">
    <w:name w:val="Block Text"/>
    <w:basedOn w:val="a2"/>
    <w:uiPriority w:val="99"/>
    <w:rsid w:val="00F227E5"/>
    <w:pPr>
      <w:spacing w:before="120" w:line="480" w:lineRule="exact"/>
      <w:ind w:left="720" w:right="26" w:hanging="720"/>
      <w:jc w:val="both"/>
    </w:pPr>
    <w:rPr>
      <w:rFonts w:ascii="華康隸書體W3(P)" w:eastAsia="華康隸書體W3(P)"/>
      <w:b/>
      <w:sz w:val="36"/>
    </w:rPr>
  </w:style>
  <w:style w:type="paragraph" w:customStyle="1" w:styleId="afffd">
    <w:name w:val="大項"/>
    <w:basedOn w:val="a2"/>
    <w:uiPriority w:val="99"/>
    <w:rsid w:val="00F227E5"/>
    <w:pPr>
      <w:kinsoku w:val="0"/>
      <w:adjustRightInd w:val="0"/>
      <w:spacing w:before="120" w:after="120" w:line="440" w:lineRule="atLeast"/>
      <w:ind w:left="600" w:hanging="600"/>
      <w:textAlignment w:val="baseline"/>
    </w:pPr>
    <w:rPr>
      <w:rFonts w:ascii="標楷體"/>
      <w:kern w:val="0"/>
    </w:rPr>
  </w:style>
  <w:style w:type="paragraph" w:customStyle="1" w:styleId="afffe">
    <w:name w:val="(一)"/>
    <w:uiPriority w:val="99"/>
    <w:rsid w:val="00F227E5"/>
    <w:pPr>
      <w:snapToGrid w:val="0"/>
      <w:spacing w:line="300" w:lineRule="auto"/>
      <w:ind w:leftChars="143" w:left="253" w:hangingChars="110" w:hanging="110"/>
      <w:jc w:val="both"/>
    </w:pPr>
    <w:rPr>
      <w:rFonts w:ascii="標楷體" w:eastAsia="標楷體" w:hAnsi="標楷體"/>
      <w:sz w:val="32"/>
    </w:rPr>
  </w:style>
  <w:style w:type="paragraph" w:customStyle="1" w:styleId="affff">
    <w:name w:val="審核報告"/>
    <w:basedOn w:val="afa"/>
    <w:uiPriority w:val="99"/>
    <w:rsid w:val="00F227E5"/>
    <w:pPr>
      <w:kinsoku/>
      <w:spacing w:line="600" w:lineRule="exact"/>
      <w:ind w:left="0" w:right="0" w:firstLine="0"/>
    </w:pPr>
    <w:rPr>
      <w:rFonts w:ascii="Times New Roman" w:eastAsia="標楷體" w:hAnsi="Times New Roman"/>
      <w:b w:val="0"/>
      <w:sz w:val="30"/>
    </w:rPr>
  </w:style>
  <w:style w:type="character" w:customStyle="1" w:styleId="20">
    <w:name w:val="標題 2 字元"/>
    <w:basedOn w:val="a4"/>
    <w:link w:val="2"/>
    <w:rsid w:val="00F676C1"/>
    <w:rPr>
      <w:rFonts w:ascii="標楷體" w:eastAsia="標楷體" w:hAnsi="Arial"/>
      <w:bCs/>
      <w:sz w:val="32"/>
      <w:szCs w:val="48"/>
    </w:rPr>
  </w:style>
  <w:style w:type="character" w:customStyle="1" w:styleId="st1">
    <w:name w:val="st1"/>
    <w:basedOn w:val="a4"/>
    <w:uiPriority w:val="99"/>
    <w:rsid w:val="003D192F"/>
  </w:style>
  <w:style w:type="paragraph" w:customStyle="1" w:styleId="18">
    <w:name w:val="字元 字元 字元 字元 字元 字元 字元 字元 字元 字元 字元1 字元 字元 字元 字元 字元 字元 字元 字元 字元"/>
    <w:basedOn w:val="a2"/>
    <w:uiPriority w:val="99"/>
    <w:semiHidden/>
    <w:rsid w:val="007332F9"/>
    <w:pPr>
      <w:widowControl/>
      <w:spacing w:after="160" w:line="240" w:lineRule="exact"/>
    </w:pPr>
    <w:rPr>
      <w:rFonts w:ascii="Verdana" w:eastAsia="Times New Roman" w:hAnsi="Verdana"/>
      <w:kern w:val="0"/>
      <w:sz w:val="20"/>
      <w:lang w:eastAsia="en-US"/>
    </w:rPr>
  </w:style>
  <w:style w:type="paragraph" w:customStyle="1" w:styleId="19">
    <w:name w:val="字元 字元 字元 字元 字元 字元 字元 字元 字元 字元 字元1 字元 字元 字元 字元 字元 字元 字元 字元 字元 字元 字元 字元 字元 字元 字元"/>
    <w:basedOn w:val="a2"/>
    <w:uiPriority w:val="99"/>
    <w:semiHidden/>
    <w:rsid w:val="007332F9"/>
    <w:pPr>
      <w:widowControl/>
      <w:spacing w:after="160" w:line="240" w:lineRule="exact"/>
    </w:pPr>
    <w:rPr>
      <w:rFonts w:ascii="Verdana" w:eastAsia="Times New Roman" w:hAnsi="Verdana"/>
      <w:kern w:val="0"/>
      <w:sz w:val="20"/>
      <w:lang w:eastAsia="en-US"/>
    </w:rPr>
  </w:style>
  <w:style w:type="paragraph" w:customStyle="1" w:styleId="affff0">
    <w:name w:val="字元 字元 字元 字元 字元 字元 字元 字元 字元"/>
    <w:basedOn w:val="a2"/>
    <w:uiPriority w:val="99"/>
    <w:semiHidden/>
    <w:rsid w:val="0090615D"/>
    <w:pPr>
      <w:widowControl/>
      <w:spacing w:after="160" w:line="240" w:lineRule="exact"/>
    </w:pPr>
    <w:rPr>
      <w:rFonts w:ascii="Verdana" w:eastAsia="Times New Roman" w:hAnsi="Verdana"/>
      <w:kern w:val="0"/>
      <w:sz w:val="20"/>
      <w:lang w:eastAsia="en-US"/>
    </w:rPr>
  </w:style>
  <w:style w:type="paragraph" w:customStyle="1" w:styleId="1a">
    <w:name w:val="字元 字元 字元 字元 字元 字元 字元 字元 字元 字元 字元1 字元 字元 字元"/>
    <w:basedOn w:val="a2"/>
    <w:uiPriority w:val="99"/>
    <w:semiHidden/>
    <w:rsid w:val="00700693"/>
    <w:pPr>
      <w:widowControl/>
      <w:spacing w:after="160" w:line="240" w:lineRule="exact"/>
    </w:pPr>
    <w:rPr>
      <w:rFonts w:ascii="Verdana" w:eastAsia="Times New Roman" w:hAnsi="Verdana"/>
      <w:kern w:val="0"/>
      <w:sz w:val="20"/>
      <w:lang w:eastAsia="en-US"/>
    </w:rPr>
  </w:style>
  <w:style w:type="paragraph" w:customStyle="1" w:styleId="affff1">
    <w:name w:val="字元 字元 字元 字元 字元 字元"/>
    <w:basedOn w:val="a2"/>
    <w:uiPriority w:val="99"/>
    <w:semiHidden/>
    <w:rsid w:val="00AB7404"/>
    <w:pPr>
      <w:widowControl/>
      <w:spacing w:after="160" w:line="240" w:lineRule="exact"/>
    </w:pPr>
    <w:rPr>
      <w:rFonts w:ascii="Verdana" w:eastAsia="Times New Roman" w:hAnsi="Verdana"/>
      <w:kern w:val="0"/>
      <w:sz w:val="20"/>
      <w:lang w:eastAsia="en-US"/>
    </w:rPr>
  </w:style>
  <w:style w:type="paragraph" w:customStyle="1" w:styleId="affff2">
    <w:name w:val="字元 字元 字元 字元 字元 字元 字元 字元 字元 字元 字元 字元 字元 字元 字元 字元 字元"/>
    <w:basedOn w:val="a2"/>
    <w:uiPriority w:val="99"/>
    <w:semiHidden/>
    <w:rsid w:val="00436A66"/>
    <w:pPr>
      <w:widowControl/>
      <w:spacing w:after="160" w:line="240" w:lineRule="exact"/>
    </w:pPr>
    <w:rPr>
      <w:rFonts w:ascii="Verdana" w:eastAsia="Times New Roman" w:hAnsi="Verdana"/>
      <w:kern w:val="0"/>
      <w:sz w:val="20"/>
      <w:lang w:eastAsia="en-US"/>
    </w:rPr>
  </w:style>
  <w:style w:type="paragraph" w:customStyle="1" w:styleId="affff3">
    <w:name w:val="字元 字元 字元 字元 字元 字元 字元 字元 字元 字元 字元 字元 字元 字元 字元 字元 字元 字元 字元 字元"/>
    <w:basedOn w:val="a2"/>
    <w:uiPriority w:val="99"/>
    <w:semiHidden/>
    <w:rsid w:val="004D5B05"/>
    <w:pPr>
      <w:widowControl/>
      <w:spacing w:after="160" w:line="240" w:lineRule="exact"/>
    </w:pPr>
    <w:rPr>
      <w:rFonts w:ascii="Verdana" w:eastAsia="Times New Roman" w:hAnsi="Verdana"/>
      <w:kern w:val="0"/>
      <w:sz w:val="20"/>
      <w:lang w:eastAsia="en-US"/>
    </w:rPr>
  </w:style>
  <w:style w:type="paragraph" w:customStyle="1" w:styleId="affff4">
    <w:name w:val="字元 字元 字元 字元 字元 字元 字元 字元 字元 字元 字元 字元 字元 字元 字元 字元 字元 字元 字元 字元 字元 字元 字元 字元 字元 字元 字元 字元 字元 字元 字元 字元 字元 字元 字元 字元 字元"/>
    <w:basedOn w:val="a2"/>
    <w:uiPriority w:val="99"/>
    <w:semiHidden/>
    <w:rsid w:val="00EE7F48"/>
    <w:pPr>
      <w:widowControl/>
      <w:spacing w:after="160" w:line="240" w:lineRule="exact"/>
    </w:pPr>
    <w:rPr>
      <w:rFonts w:ascii="Verdana" w:eastAsia="Times New Roman" w:hAnsi="Verdana"/>
      <w:kern w:val="0"/>
      <w:sz w:val="20"/>
      <w:lang w:eastAsia="en-US"/>
    </w:rPr>
  </w:style>
  <w:style w:type="paragraph" w:customStyle="1" w:styleId="affff5">
    <w:name w:val="字元 字元 字元 字元 字元 字元 字元 字元 字元 字元 字元 字元 字元 字元 字元 字元 字元 字元 字元 字元 字元 字元 字元 字元 字元 字元 字元"/>
    <w:basedOn w:val="a2"/>
    <w:uiPriority w:val="99"/>
    <w:semiHidden/>
    <w:rsid w:val="00EE7F48"/>
    <w:pPr>
      <w:widowControl/>
      <w:spacing w:after="160" w:line="240" w:lineRule="exact"/>
    </w:pPr>
    <w:rPr>
      <w:rFonts w:ascii="Verdana" w:eastAsia="Times New Roman" w:hAnsi="Verdana"/>
      <w:kern w:val="0"/>
      <w:sz w:val="20"/>
      <w:lang w:eastAsia="en-US"/>
    </w:rPr>
  </w:style>
  <w:style w:type="paragraph" w:customStyle="1" w:styleId="1b">
    <w:name w:val="字元 字元 字元 字元 字元 字元 字元 字元 字元1"/>
    <w:basedOn w:val="a2"/>
    <w:uiPriority w:val="99"/>
    <w:semiHidden/>
    <w:rsid w:val="00B65903"/>
    <w:pPr>
      <w:widowControl/>
      <w:spacing w:after="160" w:line="240" w:lineRule="exact"/>
    </w:pPr>
    <w:rPr>
      <w:rFonts w:ascii="Verdana" w:eastAsia="Times New Roman" w:hAnsi="Verdana"/>
      <w:kern w:val="0"/>
      <w:sz w:val="20"/>
      <w:lang w:eastAsia="en-US"/>
    </w:rPr>
  </w:style>
  <w:style w:type="paragraph" w:customStyle="1" w:styleId="1c">
    <w:name w:val="字元 字元 字元 字元 字元 字元 字元 字元 字元 字元 字元1 字元 字元 字元 字元 字元 字元"/>
    <w:basedOn w:val="a2"/>
    <w:uiPriority w:val="99"/>
    <w:semiHidden/>
    <w:rsid w:val="0039523B"/>
    <w:pPr>
      <w:widowControl/>
      <w:spacing w:after="160" w:line="240" w:lineRule="exact"/>
    </w:pPr>
    <w:rPr>
      <w:rFonts w:ascii="Verdana" w:eastAsia="Times New Roman" w:hAnsi="Verdana"/>
      <w:kern w:val="0"/>
      <w:sz w:val="20"/>
      <w:lang w:eastAsia="en-US"/>
    </w:rPr>
  </w:style>
  <w:style w:type="paragraph" w:customStyle="1" w:styleId="1d">
    <w:name w:val="字元 字元 字元1"/>
    <w:basedOn w:val="a2"/>
    <w:uiPriority w:val="99"/>
    <w:semiHidden/>
    <w:rsid w:val="006A5651"/>
    <w:pPr>
      <w:widowControl/>
      <w:spacing w:after="160" w:line="240" w:lineRule="exact"/>
    </w:pPr>
    <w:rPr>
      <w:rFonts w:ascii="Verdana" w:eastAsia="Times New Roman" w:hAnsi="Verdana" w:cs="Mangal"/>
      <w:sz w:val="20"/>
      <w:szCs w:val="24"/>
      <w:lang w:eastAsia="en-US" w:bidi="hi-IN"/>
    </w:rPr>
  </w:style>
  <w:style w:type="paragraph" w:customStyle="1" w:styleId="27">
    <w:name w:val="字元 字元 字元 字元 字元 字元2"/>
    <w:basedOn w:val="a2"/>
    <w:uiPriority w:val="99"/>
    <w:semiHidden/>
    <w:rsid w:val="006A5651"/>
    <w:pPr>
      <w:widowControl/>
      <w:spacing w:after="160" w:line="240" w:lineRule="exact"/>
    </w:pPr>
    <w:rPr>
      <w:rFonts w:ascii="Verdana" w:eastAsia="Times New Roman" w:hAnsi="Verdana" w:cs="Mangal"/>
      <w:sz w:val="20"/>
      <w:szCs w:val="24"/>
      <w:lang w:eastAsia="en-US" w:bidi="hi-IN"/>
    </w:rPr>
  </w:style>
  <w:style w:type="paragraph" w:customStyle="1" w:styleId="1e">
    <w:name w:val="字元 字元 字元 字元 字元 字元1"/>
    <w:basedOn w:val="a2"/>
    <w:uiPriority w:val="99"/>
    <w:semiHidden/>
    <w:rsid w:val="00B33A9F"/>
    <w:pPr>
      <w:widowControl/>
      <w:spacing w:after="160" w:line="240" w:lineRule="exact"/>
    </w:pPr>
    <w:rPr>
      <w:rFonts w:ascii="Verdana" w:eastAsia="Times New Roman" w:hAnsi="Verdana"/>
      <w:kern w:val="0"/>
      <w:sz w:val="20"/>
      <w:lang w:eastAsia="en-US"/>
    </w:rPr>
  </w:style>
  <w:style w:type="paragraph" w:customStyle="1" w:styleId="1f">
    <w:name w:val="字元 字元 字元 字元 字元 字元 字元 字元1 字元 字元 字元 字元 字元 字元 字元"/>
    <w:basedOn w:val="a2"/>
    <w:uiPriority w:val="99"/>
    <w:semiHidden/>
    <w:rsid w:val="008C73DC"/>
    <w:pPr>
      <w:widowControl/>
      <w:spacing w:after="160" w:line="240" w:lineRule="exact"/>
    </w:pPr>
    <w:rPr>
      <w:rFonts w:ascii="Verdana" w:eastAsia="Times New Roman" w:hAnsi="Verdana" w:cs="Mangal"/>
      <w:sz w:val="20"/>
      <w:szCs w:val="24"/>
      <w:lang w:eastAsia="en-US" w:bidi="hi-IN"/>
    </w:rPr>
  </w:style>
  <w:style w:type="character" w:customStyle="1" w:styleId="10">
    <w:name w:val="標題 1 字元"/>
    <w:basedOn w:val="a4"/>
    <w:link w:val="1"/>
    <w:locked/>
    <w:rsid w:val="00AF6331"/>
    <w:rPr>
      <w:rFonts w:ascii="標楷體" w:eastAsia="標楷體" w:hAnsi="Arial"/>
      <w:bCs/>
      <w:sz w:val="32"/>
      <w:szCs w:val="52"/>
    </w:rPr>
  </w:style>
  <w:style w:type="character" w:customStyle="1" w:styleId="50">
    <w:name w:val="標題 5 字元"/>
    <w:basedOn w:val="a4"/>
    <w:link w:val="5"/>
    <w:locked/>
    <w:rsid w:val="00AF6331"/>
    <w:rPr>
      <w:rFonts w:ascii="標楷體" w:eastAsia="標楷體" w:hAnsi="Arial"/>
      <w:bCs/>
      <w:kern w:val="2"/>
      <w:sz w:val="32"/>
      <w:szCs w:val="36"/>
    </w:rPr>
  </w:style>
  <w:style w:type="character" w:customStyle="1" w:styleId="60">
    <w:name w:val="標題 6 字元"/>
    <w:aliases w:val="1 字元"/>
    <w:basedOn w:val="a4"/>
    <w:link w:val="6"/>
    <w:locked/>
    <w:rsid w:val="00AF6331"/>
    <w:rPr>
      <w:rFonts w:ascii="標楷體" w:eastAsia="標楷體" w:hAnsi="Arial"/>
      <w:kern w:val="2"/>
      <w:sz w:val="32"/>
      <w:szCs w:val="36"/>
    </w:rPr>
  </w:style>
  <w:style w:type="character" w:customStyle="1" w:styleId="70">
    <w:name w:val="標題 7 字元"/>
    <w:aliases w:val="(1) 字元"/>
    <w:basedOn w:val="a4"/>
    <w:link w:val="7"/>
    <w:locked/>
    <w:rsid w:val="00AF6331"/>
    <w:rPr>
      <w:rFonts w:ascii="標楷體" w:eastAsia="標楷體" w:hAnsi="Arial"/>
      <w:bCs/>
      <w:kern w:val="2"/>
      <w:sz w:val="32"/>
      <w:szCs w:val="36"/>
    </w:rPr>
  </w:style>
  <w:style w:type="character" w:customStyle="1" w:styleId="80">
    <w:name w:val="標題 8 字元"/>
    <w:basedOn w:val="a4"/>
    <w:link w:val="8"/>
    <w:locked/>
    <w:rsid w:val="00AF6331"/>
    <w:rPr>
      <w:rFonts w:ascii="標楷體" w:eastAsia="標楷體" w:hAnsi="Arial"/>
      <w:kern w:val="2"/>
      <w:sz w:val="32"/>
      <w:szCs w:val="36"/>
    </w:rPr>
  </w:style>
  <w:style w:type="character" w:customStyle="1" w:styleId="a8">
    <w:name w:val="簽名 字元"/>
    <w:basedOn w:val="a4"/>
    <w:link w:val="a7"/>
    <w:semiHidden/>
    <w:locked/>
    <w:rsid w:val="00AF6331"/>
    <w:rPr>
      <w:rFonts w:ascii="標楷體" w:eastAsia="標楷體"/>
      <w:b/>
      <w:snapToGrid w:val="0"/>
      <w:spacing w:val="10"/>
      <w:kern w:val="2"/>
      <w:sz w:val="36"/>
    </w:rPr>
  </w:style>
  <w:style w:type="character" w:customStyle="1" w:styleId="aa">
    <w:name w:val="章節附註文字 字元"/>
    <w:basedOn w:val="a4"/>
    <w:link w:val="a9"/>
    <w:semiHidden/>
    <w:locked/>
    <w:rsid w:val="00AF6331"/>
    <w:rPr>
      <w:rFonts w:ascii="標楷體" w:eastAsia="標楷體"/>
      <w:snapToGrid w:val="0"/>
      <w:spacing w:val="10"/>
      <w:kern w:val="2"/>
      <w:sz w:val="32"/>
    </w:rPr>
  </w:style>
  <w:style w:type="character" w:customStyle="1" w:styleId="ad">
    <w:name w:val="頁首 字元"/>
    <w:basedOn w:val="a4"/>
    <w:link w:val="ac"/>
    <w:locked/>
    <w:rsid w:val="00AF6331"/>
    <w:rPr>
      <w:rFonts w:eastAsia="標楷體"/>
      <w:kern w:val="2"/>
    </w:rPr>
  </w:style>
  <w:style w:type="character" w:customStyle="1" w:styleId="af2">
    <w:name w:val="本文縮排 字元"/>
    <w:basedOn w:val="a4"/>
    <w:link w:val="af1"/>
    <w:semiHidden/>
    <w:locked/>
    <w:rsid w:val="00AF6331"/>
    <w:rPr>
      <w:rFonts w:eastAsia="標楷體"/>
      <w:kern w:val="2"/>
      <w:sz w:val="32"/>
    </w:rPr>
  </w:style>
  <w:style w:type="character" w:customStyle="1" w:styleId="afff7">
    <w:name w:val="註解文字 字元"/>
    <w:basedOn w:val="a4"/>
    <w:link w:val="afff6"/>
    <w:uiPriority w:val="99"/>
    <w:semiHidden/>
    <w:locked/>
    <w:rsid w:val="00AF6331"/>
    <w:rPr>
      <w:rFonts w:eastAsia="標楷體"/>
      <w:kern w:val="2"/>
      <w:sz w:val="32"/>
    </w:rPr>
  </w:style>
  <w:style w:type="character" w:customStyle="1" w:styleId="afff9">
    <w:name w:val="註解主旨 字元"/>
    <w:basedOn w:val="afff7"/>
    <w:link w:val="afff8"/>
    <w:uiPriority w:val="99"/>
    <w:semiHidden/>
    <w:locked/>
    <w:rsid w:val="00AF6331"/>
    <w:rPr>
      <w:b/>
      <w:bCs/>
    </w:rPr>
  </w:style>
  <w:style w:type="character" w:customStyle="1" w:styleId="24">
    <w:name w:val="本文縮排 2 字元"/>
    <w:basedOn w:val="a4"/>
    <w:link w:val="23"/>
    <w:uiPriority w:val="99"/>
    <w:locked/>
    <w:rsid w:val="00AF6331"/>
    <w:rPr>
      <w:rFonts w:ascii="標楷體" w:eastAsia="標楷體"/>
      <w:kern w:val="2"/>
      <w:sz w:val="30"/>
    </w:rPr>
  </w:style>
  <w:style w:type="character" w:customStyle="1" w:styleId="26">
    <w:name w:val="本文 2 字元"/>
    <w:basedOn w:val="a4"/>
    <w:link w:val="25"/>
    <w:uiPriority w:val="99"/>
    <w:locked/>
    <w:rsid w:val="00AF6331"/>
    <w:rPr>
      <w:rFonts w:eastAsia="標楷體"/>
      <w:kern w:val="2"/>
      <w:sz w:val="32"/>
    </w:rPr>
  </w:style>
  <w:style w:type="character" w:customStyle="1" w:styleId="36">
    <w:name w:val="本文 3 字元"/>
    <w:basedOn w:val="a4"/>
    <w:link w:val="35"/>
    <w:uiPriority w:val="99"/>
    <w:locked/>
    <w:rsid w:val="00AF6331"/>
    <w:rPr>
      <w:rFonts w:ascii="華康隸書體W3(P)" w:eastAsia="華康隸書體W3(P)"/>
      <w:b/>
      <w:kern w:val="2"/>
      <w:sz w:val="36"/>
    </w:rPr>
  </w:style>
  <w:style w:type="character" w:customStyle="1" w:styleId="afffb">
    <w:name w:val="日期 字元"/>
    <w:basedOn w:val="a4"/>
    <w:link w:val="afffa"/>
    <w:uiPriority w:val="99"/>
    <w:locked/>
    <w:rsid w:val="00AF6331"/>
    <w:rPr>
      <w:rFonts w:ascii="華康楷書體W5" w:eastAsia="華康楷書體W5"/>
      <w:spacing w:val="20"/>
      <w:sz w:val="32"/>
    </w:rPr>
  </w:style>
  <w:style w:type="paragraph" w:styleId="affff6">
    <w:name w:val="Document Map"/>
    <w:basedOn w:val="a2"/>
    <w:link w:val="affff7"/>
    <w:uiPriority w:val="99"/>
    <w:semiHidden/>
    <w:rsid w:val="00AF6331"/>
    <w:pPr>
      <w:shd w:val="clear" w:color="auto" w:fill="000080"/>
    </w:pPr>
    <w:rPr>
      <w:rFonts w:ascii="Arial" w:eastAsia="新細明體" w:hAnsi="Arial"/>
    </w:rPr>
  </w:style>
  <w:style w:type="character" w:customStyle="1" w:styleId="affff7">
    <w:name w:val="文件引導模式 字元"/>
    <w:basedOn w:val="a4"/>
    <w:link w:val="affff6"/>
    <w:uiPriority w:val="99"/>
    <w:semiHidden/>
    <w:rsid w:val="00AF6331"/>
    <w:rPr>
      <w:rFonts w:ascii="Arial" w:hAnsi="Arial"/>
      <w:kern w:val="2"/>
      <w:sz w:val="32"/>
      <w:shd w:val="clear" w:color="auto" w:fill="000080"/>
    </w:rPr>
  </w:style>
  <w:style w:type="character" w:customStyle="1" w:styleId="highlight1">
    <w:name w:val="highlight1"/>
    <w:basedOn w:val="a4"/>
    <w:rsid w:val="00462D43"/>
    <w:rPr>
      <w:color w:val="FF0000"/>
    </w:rPr>
  </w:style>
  <w:style w:type="paragraph" w:customStyle="1" w:styleId="affff8">
    <w:name w:val="表"/>
    <w:basedOn w:val="6"/>
    <w:autoRedefine/>
    <w:qFormat/>
    <w:rsid w:val="00BF7412"/>
    <w:pPr>
      <w:numPr>
        <w:ilvl w:val="0"/>
        <w:numId w:val="0"/>
      </w:numPr>
      <w:autoSpaceDE w:val="0"/>
      <w:autoSpaceDN w:val="0"/>
      <w:adjustRightInd w:val="0"/>
    </w:pPr>
  </w:style>
  <w:style w:type="character" w:customStyle="1" w:styleId="510">
    <w:name w:val="標題 5 字元1"/>
    <w:aliases w:val="標題 5 字元 字元"/>
    <w:basedOn w:val="a4"/>
    <w:uiPriority w:val="99"/>
    <w:locked/>
    <w:rsid w:val="00060AD1"/>
    <w:rPr>
      <w:rFonts w:ascii="標楷體" w:eastAsia="標楷體" w:hAnsi="Arial"/>
      <w:bCs/>
      <w:kern w:val="2"/>
      <w:sz w:val="32"/>
      <w:szCs w:val="36"/>
    </w:rPr>
  </w:style>
  <w:style w:type="paragraph" w:styleId="affff9">
    <w:name w:val="No Spacing"/>
    <w:uiPriority w:val="1"/>
    <w:qFormat/>
    <w:rsid w:val="004C51D6"/>
    <w:pPr>
      <w:widowControl w:val="0"/>
    </w:pPr>
    <w:rPr>
      <w:rFonts w:eastAsia="標楷體"/>
      <w:kern w:val="2"/>
      <w:sz w:val="32"/>
    </w:rPr>
  </w:style>
  <w:style w:type="character" w:styleId="affffa">
    <w:name w:val="Placeholder Text"/>
    <w:basedOn w:val="a4"/>
    <w:uiPriority w:val="99"/>
    <w:semiHidden/>
    <w:rsid w:val="00A62E3E"/>
    <w:rPr>
      <w:color w:val="808080"/>
    </w:rPr>
  </w:style>
  <w:style w:type="character" w:customStyle="1" w:styleId="w04b1">
    <w:name w:val="w_04b1"/>
    <w:basedOn w:val="a4"/>
    <w:rsid w:val="00224EA9"/>
    <w:rPr>
      <w:b/>
      <w:bCs/>
      <w:color w:val="003399"/>
      <w:sz w:val="23"/>
      <w:szCs w:val="23"/>
    </w:rPr>
  </w:style>
</w:styles>
</file>

<file path=word/webSettings.xml><?xml version="1.0" encoding="utf-8"?>
<w:webSettings xmlns:r="http://schemas.openxmlformats.org/officeDocument/2006/relationships" xmlns:w="http://schemas.openxmlformats.org/wordprocessingml/2006/main">
  <w:divs>
    <w:div w:id="5524574">
      <w:bodyDiv w:val="1"/>
      <w:marLeft w:val="0"/>
      <w:marRight w:val="0"/>
      <w:marTop w:val="0"/>
      <w:marBottom w:val="0"/>
      <w:divBdr>
        <w:top w:val="none" w:sz="0" w:space="0" w:color="auto"/>
        <w:left w:val="none" w:sz="0" w:space="0" w:color="auto"/>
        <w:bottom w:val="none" w:sz="0" w:space="0" w:color="auto"/>
        <w:right w:val="none" w:sz="0" w:space="0" w:color="auto"/>
      </w:divBdr>
    </w:div>
    <w:div w:id="41373692">
      <w:bodyDiv w:val="1"/>
      <w:marLeft w:val="0"/>
      <w:marRight w:val="0"/>
      <w:marTop w:val="0"/>
      <w:marBottom w:val="0"/>
      <w:divBdr>
        <w:top w:val="none" w:sz="0" w:space="0" w:color="auto"/>
        <w:left w:val="none" w:sz="0" w:space="0" w:color="auto"/>
        <w:bottom w:val="none" w:sz="0" w:space="0" w:color="auto"/>
        <w:right w:val="none" w:sz="0" w:space="0" w:color="auto"/>
      </w:divBdr>
    </w:div>
    <w:div w:id="62720671">
      <w:bodyDiv w:val="1"/>
      <w:marLeft w:val="0"/>
      <w:marRight w:val="0"/>
      <w:marTop w:val="0"/>
      <w:marBottom w:val="0"/>
      <w:divBdr>
        <w:top w:val="none" w:sz="0" w:space="0" w:color="auto"/>
        <w:left w:val="none" w:sz="0" w:space="0" w:color="auto"/>
        <w:bottom w:val="none" w:sz="0" w:space="0" w:color="auto"/>
        <w:right w:val="none" w:sz="0" w:space="0" w:color="auto"/>
      </w:divBdr>
      <w:divsChild>
        <w:div w:id="536509188">
          <w:marLeft w:val="1426"/>
          <w:marRight w:val="0"/>
          <w:marTop w:val="115"/>
          <w:marBottom w:val="0"/>
          <w:divBdr>
            <w:top w:val="none" w:sz="0" w:space="0" w:color="auto"/>
            <w:left w:val="none" w:sz="0" w:space="0" w:color="auto"/>
            <w:bottom w:val="none" w:sz="0" w:space="0" w:color="auto"/>
            <w:right w:val="none" w:sz="0" w:space="0" w:color="auto"/>
          </w:divBdr>
        </w:div>
        <w:div w:id="608050999">
          <w:marLeft w:val="1426"/>
          <w:marRight w:val="0"/>
          <w:marTop w:val="115"/>
          <w:marBottom w:val="0"/>
          <w:divBdr>
            <w:top w:val="none" w:sz="0" w:space="0" w:color="auto"/>
            <w:left w:val="none" w:sz="0" w:space="0" w:color="auto"/>
            <w:bottom w:val="none" w:sz="0" w:space="0" w:color="auto"/>
            <w:right w:val="none" w:sz="0" w:space="0" w:color="auto"/>
          </w:divBdr>
        </w:div>
        <w:div w:id="2001691031">
          <w:marLeft w:val="1426"/>
          <w:marRight w:val="0"/>
          <w:marTop w:val="115"/>
          <w:marBottom w:val="0"/>
          <w:divBdr>
            <w:top w:val="none" w:sz="0" w:space="0" w:color="auto"/>
            <w:left w:val="none" w:sz="0" w:space="0" w:color="auto"/>
            <w:bottom w:val="none" w:sz="0" w:space="0" w:color="auto"/>
            <w:right w:val="none" w:sz="0" w:space="0" w:color="auto"/>
          </w:divBdr>
        </w:div>
        <w:div w:id="2070183548">
          <w:marLeft w:val="1426"/>
          <w:marRight w:val="0"/>
          <w:marTop w:val="115"/>
          <w:marBottom w:val="0"/>
          <w:divBdr>
            <w:top w:val="none" w:sz="0" w:space="0" w:color="auto"/>
            <w:left w:val="none" w:sz="0" w:space="0" w:color="auto"/>
            <w:bottom w:val="none" w:sz="0" w:space="0" w:color="auto"/>
            <w:right w:val="none" w:sz="0" w:space="0" w:color="auto"/>
          </w:divBdr>
        </w:div>
      </w:divsChild>
    </w:div>
    <w:div w:id="68239639">
      <w:bodyDiv w:val="1"/>
      <w:marLeft w:val="0"/>
      <w:marRight w:val="0"/>
      <w:marTop w:val="0"/>
      <w:marBottom w:val="0"/>
      <w:divBdr>
        <w:top w:val="none" w:sz="0" w:space="0" w:color="auto"/>
        <w:left w:val="none" w:sz="0" w:space="0" w:color="auto"/>
        <w:bottom w:val="none" w:sz="0" w:space="0" w:color="auto"/>
        <w:right w:val="none" w:sz="0" w:space="0" w:color="auto"/>
      </w:divBdr>
    </w:div>
    <w:div w:id="108473881">
      <w:bodyDiv w:val="1"/>
      <w:marLeft w:val="0"/>
      <w:marRight w:val="0"/>
      <w:marTop w:val="0"/>
      <w:marBottom w:val="0"/>
      <w:divBdr>
        <w:top w:val="none" w:sz="0" w:space="0" w:color="auto"/>
        <w:left w:val="none" w:sz="0" w:space="0" w:color="auto"/>
        <w:bottom w:val="none" w:sz="0" w:space="0" w:color="auto"/>
        <w:right w:val="none" w:sz="0" w:space="0" w:color="auto"/>
      </w:divBdr>
    </w:div>
    <w:div w:id="116218938">
      <w:bodyDiv w:val="1"/>
      <w:marLeft w:val="0"/>
      <w:marRight w:val="0"/>
      <w:marTop w:val="0"/>
      <w:marBottom w:val="0"/>
      <w:divBdr>
        <w:top w:val="none" w:sz="0" w:space="0" w:color="auto"/>
        <w:left w:val="none" w:sz="0" w:space="0" w:color="auto"/>
        <w:bottom w:val="none" w:sz="0" w:space="0" w:color="auto"/>
        <w:right w:val="none" w:sz="0" w:space="0" w:color="auto"/>
      </w:divBdr>
      <w:divsChild>
        <w:div w:id="644622829">
          <w:marLeft w:val="418"/>
          <w:marRight w:val="0"/>
          <w:marTop w:val="173"/>
          <w:marBottom w:val="0"/>
          <w:divBdr>
            <w:top w:val="none" w:sz="0" w:space="0" w:color="auto"/>
            <w:left w:val="none" w:sz="0" w:space="0" w:color="auto"/>
            <w:bottom w:val="none" w:sz="0" w:space="0" w:color="auto"/>
            <w:right w:val="none" w:sz="0" w:space="0" w:color="auto"/>
          </w:divBdr>
        </w:div>
      </w:divsChild>
    </w:div>
    <w:div w:id="149714361">
      <w:bodyDiv w:val="1"/>
      <w:marLeft w:val="0"/>
      <w:marRight w:val="0"/>
      <w:marTop w:val="0"/>
      <w:marBottom w:val="0"/>
      <w:divBdr>
        <w:top w:val="none" w:sz="0" w:space="0" w:color="auto"/>
        <w:left w:val="none" w:sz="0" w:space="0" w:color="auto"/>
        <w:bottom w:val="none" w:sz="0" w:space="0" w:color="auto"/>
        <w:right w:val="none" w:sz="0" w:space="0" w:color="auto"/>
      </w:divBdr>
    </w:div>
    <w:div w:id="150096421">
      <w:bodyDiv w:val="1"/>
      <w:marLeft w:val="0"/>
      <w:marRight w:val="0"/>
      <w:marTop w:val="0"/>
      <w:marBottom w:val="0"/>
      <w:divBdr>
        <w:top w:val="none" w:sz="0" w:space="0" w:color="auto"/>
        <w:left w:val="none" w:sz="0" w:space="0" w:color="auto"/>
        <w:bottom w:val="none" w:sz="0" w:space="0" w:color="auto"/>
        <w:right w:val="none" w:sz="0" w:space="0" w:color="auto"/>
      </w:divBdr>
      <w:divsChild>
        <w:div w:id="955866876">
          <w:marLeft w:val="1699"/>
          <w:marRight w:val="0"/>
          <w:marTop w:val="106"/>
          <w:marBottom w:val="0"/>
          <w:divBdr>
            <w:top w:val="none" w:sz="0" w:space="0" w:color="auto"/>
            <w:left w:val="none" w:sz="0" w:space="0" w:color="auto"/>
            <w:bottom w:val="none" w:sz="0" w:space="0" w:color="auto"/>
            <w:right w:val="none" w:sz="0" w:space="0" w:color="auto"/>
          </w:divBdr>
        </w:div>
        <w:div w:id="1033069979">
          <w:marLeft w:val="1699"/>
          <w:marRight w:val="0"/>
          <w:marTop w:val="106"/>
          <w:marBottom w:val="0"/>
          <w:divBdr>
            <w:top w:val="none" w:sz="0" w:space="0" w:color="auto"/>
            <w:left w:val="none" w:sz="0" w:space="0" w:color="auto"/>
            <w:bottom w:val="none" w:sz="0" w:space="0" w:color="auto"/>
            <w:right w:val="none" w:sz="0" w:space="0" w:color="auto"/>
          </w:divBdr>
        </w:div>
        <w:div w:id="1786804436">
          <w:marLeft w:val="1699"/>
          <w:marRight w:val="0"/>
          <w:marTop w:val="106"/>
          <w:marBottom w:val="0"/>
          <w:divBdr>
            <w:top w:val="none" w:sz="0" w:space="0" w:color="auto"/>
            <w:left w:val="none" w:sz="0" w:space="0" w:color="auto"/>
            <w:bottom w:val="none" w:sz="0" w:space="0" w:color="auto"/>
            <w:right w:val="none" w:sz="0" w:space="0" w:color="auto"/>
          </w:divBdr>
        </w:div>
      </w:divsChild>
    </w:div>
    <w:div w:id="161971531">
      <w:bodyDiv w:val="1"/>
      <w:marLeft w:val="0"/>
      <w:marRight w:val="0"/>
      <w:marTop w:val="0"/>
      <w:marBottom w:val="0"/>
      <w:divBdr>
        <w:top w:val="none" w:sz="0" w:space="0" w:color="auto"/>
        <w:left w:val="none" w:sz="0" w:space="0" w:color="auto"/>
        <w:bottom w:val="none" w:sz="0" w:space="0" w:color="auto"/>
        <w:right w:val="none" w:sz="0" w:space="0" w:color="auto"/>
      </w:divBdr>
    </w:div>
    <w:div w:id="229049580">
      <w:bodyDiv w:val="1"/>
      <w:marLeft w:val="0"/>
      <w:marRight w:val="0"/>
      <w:marTop w:val="0"/>
      <w:marBottom w:val="0"/>
      <w:divBdr>
        <w:top w:val="none" w:sz="0" w:space="0" w:color="auto"/>
        <w:left w:val="none" w:sz="0" w:space="0" w:color="auto"/>
        <w:bottom w:val="none" w:sz="0" w:space="0" w:color="auto"/>
        <w:right w:val="none" w:sz="0" w:space="0" w:color="auto"/>
      </w:divBdr>
      <w:divsChild>
        <w:div w:id="724837612">
          <w:marLeft w:val="547"/>
          <w:marRight w:val="0"/>
          <w:marTop w:val="134"/>
          <w:marBottom w:val="0"/>
          <w:divBdr>
            <w:top w:val="none" w:sz="0" w:space="0" w:color="auto"/>
            <w:left w:val="none" w:sz="0" w:space="0" w:color="auto"/>
            <w:bottom w:val="none" w:sz="0" w:space="0" w:color="auto"/>
            <w:right w:val="none" w:sz="0" w:space="0" w:color="auto"/>
          </w:divBdr>
        </w:div>
      </w:divsChild>
    </w:div>
    <w:div w:id="254049108">
      <w:bodyDiv w:val="1"/>
      <w:marLeft w:val="0"/>
      <w:marRight w:val="0"/>
      <w:marTop w:val="0"/>
      <w:marBottom w:val="0"/>
      <w:divBdr>
        <w:top w:val="none" w:sz="0" w:space="0" w:color="auto"/>
        <w:left w:val="none" w:sz="0" w:space="0" w:color="auto"/>
        <w:bottom w:val="none" w:sz="0" w:space="0" w:color="auto"/>
        <w:right w:val="none" w:sz="0" w:space="0" w:color="auto"/>
      </w:divBdr>
      <w:divsChild>
        <w:div w:id="1227914699">
          <w:marLeft w:val="1282"/>
          <w:marRight w:val="0"/>
          <w:marTop w:val="96"/>
          <w:marBottom w:val="0"/>
          <w:divBdr>
            <w:top w:val="none" w:sz="0" w:space="0" w:color="auto"/>
            <w:left w:val="none" w:sz="0" w:space="0" w:color="auto"/>
            <w:bottom w:val="none" w:sz="0" w:space="0" w:color="auto"/>
            <w:right w:val="none" w:sz="0" w:space="0" w:color="auto"/>
          </w:divBdr>
        </w:div>
      </w:divsChild>
    </w:div>
    <w:div w:id="255552541">
      <w:bodyDiv w:val="1"/>
      <w:marLeft w:val="0"/>
      <w:marRight w:val="0"/>
      <w:marTop w:val="0"/>
      <w:marBottom w:val="0"/>
      <w:divBdr>
        <w:top w:val="none" w:sz="0" w:space="0" w:color="auto"/>
        <w:left w:val="none" w:sz="0" w:space="0" w:color="auto"/>
        <w:bottom w:val="none" w:sz="0" w:space="0" w:color="auto"/>
        <w:right w:val="none" w:sz="0" w:space="0" w:color="auto"/>
      </w:divBdr>
    </w:div>
    <w:div w:id="264852165">
      <w:bodyDiv w:val="1"/>
      <w:marLeft w:val="0"/>
      <w:marRight w:val="0"/>
      <w:marTop w:val="0"/>
      <w:marBottom w:val="0"/>
      <w:divBdr>
        <w:top w:val="none" w:sz="0" w:space="0" w:color="auto"/>
        <w:left w:val="none" w:sz="0" w:space="0" w:color="auto"/>
        <w:bottom w:val="none" w:sz="0" w:space="0" w:color="auto"/>
        <w:right w:val="none" w:sz="0" w:space="0" w:color="auto"/>
      </w:divBdr>
    </w:div>
    <w:div w:id="266810499">
      <w:bodyDiv w:val="1"/>
      <w:marLeft w:val="0"/>
      <w:marRight w:val="0"/>
      <w:marTop w:val="0"/>
      <w:marBottom w:val="0"/>
      <w:divBdr>
        <w:top w:val="none" w:sz="0" w:space="0" w:color="auto"/>
        <w:left w:val="none" w:sz="0" w:space="0" w:color="auto"/>
        <w:bottom w:val="none" w:sz="0" w:space="0" w:color="auto"/>
        <w:right w:val="none" w:sz="0" w:space="0" w:color="auto"/>
      </w:divBdr>
    </w:div>
    <w:div w:id="270482249">
      <w:bodyDiv w:val="1"/>
      <w:marLeft w:val="0"/>
      <w:marRight w:val="0"/>
      <w:marTop w:val="0"/>
      <w:marBottom w:val="0"/>
      <w:divBdr>
        <w:top w:val="none" w:sz="0" w:space="0" w:color="auto"/>
        <w:left w:val="none" w:sz="0" w:space="0" w:color="auto"/>
        <w:bottom w:val="none" w:sz="0" w:space="0" w:color="auto"/>
        <w:right w:val="none" w:sz="0" w:space="0" w:color="auto"/>
      </w:divBdr>
      <w:divsChild>
        <w:div w:id="14503550">
          <w:marLeft w:val="979"/>
          <w:marRight w:val="0"/>
          <w:marTop w:val="173"/>
          <w:marBottom w:val="0"/>
          <w:divBdr>
            <w:top w:val="none" w:sz="0" w:space="0" w:color="auto"/>
            <w:left w:val="none" w:sz="0" w:space="0" w:color="auto"/>
            <w:bottom w:val="none" w:sz="0" w:space="0" w:color="auto"/>
            <w:right w:val="none" w:sz="0" w:space="0" w:color="auto"/>
          </w:divBdr>
        </w:div>
        <w:div w:id="1349524931">
          <w:marLeft w:val="979"/>
          <w:marRight w:val="0"/>
          <w:marTop w:val="173"/>
          <w:marBottom w:val="0"/>
          <w:divBdr>
            <w:top w:val="none" w:sz="0" w:space="0" w:color="auto"/>
            <w:left w:val="none" w:sz="0" w:space="0" w:color="auto"/>
            <w:bottom w:val="none" w:sz="0" w:space="0" w:color="auto"/>
            <w:right w:val="none" w:sz="0" w:space="0" w:color="auto"/>
          </w:divBdr>
        </w:div>
        <w:div w:id="1494754954">
          <w:marLeft w:val="979"/>
          <w:marRight w:val="0"/>
          <w:marTop w:val="173"/>
          <w:marBottom w:val="0"/>
          <w:divBdr>
            <w:top w:val="none" w:sz="0" w:space="0" w:color="auto"/>
            <w:left w:val="none" w:sz="0" w:space="0" w:color="auto"/>
            <w:bottom w:val="none" w:sz="0" w:space="0" w:color="auto"/>
            <w:right w:val="none" w:sz="0" w:space="0" w:color="auto"/>
          </w:divBdr>
        </w:div>
        <w:div w:id="1549295621">
          <w:marLeft w:val="979"/>
          <w:marRight w:val="0"/>
          <w:marTop w:val="173"/>
          <w:marBottom w:val="0"/>
          <w:divBdr>
            <w:top w:val="none" w:sz="0" w:space="0" w:color="auto"/>
            <w:left w:val="none" w:sz="0" w:space="0" w:color="auto"/>
            <w:bottom w:val="none" w:sz="0" w:space="0" w:color="auto"/>
            <w:right w:val="none" w:sz="0" w:space="0" w:color="auto"/>
          </w:divBdr>
        </w:div>
        <w:div w:id="2084989265">
          <w:marLeft w:val="979"/>
          <w:marRight w:val="0"/>
          <w:marTop w:val="173"/>
          <w:marBottom w:val="0"/>
          <w:divBdr>
            <w:top w:val="none" w:sz="0" w:space="0" w:color="auto"/>
            <w:left w:val="none" w:sz="0" w:space="0" w:color="auto"/>
            <w:bottom w:val="none" w:sz="0" w:space="0" w:color="auto"/>
            <w:right w:val="none" w:sz="0" w:space="0" w:color="auto"/>
          </w:divBdr>
        </w:div>
      </w:divsChild>
    </w:div>
    <w:div w:id="297953183">
      <w:bodyDiv w:val="1"/>
      <w:marLeft w:val="0"/>
      <w:marRight w:val="0"/>
      <w:marTop w:val="0"/>
      <w:marBottom w:val="0"/>
      <w:divBdr>
        <w:top w:val="none" w:sz="0" w:space="0" w:color="auto"/>
        <w:left w:val="none" w:sz="0" w:space="0" w:color="auto"/>
        <w:bottom w:val="none" w:sz="0" w:space="0" w:color="auto"/>
        <w:right w:val="none" w:sz="0" w:space="0" w:color="auto"/>
      </w:divBdr>
      <w:divsChild>
        <w:div w:id="212543284">
          <w:marLeft w:val="547"/>
          <w:marRight w:val="0"/>
          <w:marTop w:val="106"/>
          <w:marBottom w:val="0"/>
          <w:divBdr>
            <w:top w:val="none" w:sz="0" w:space="0" w:color="auto"/>
            <w:left w:val="none" w:sz="0" w:space="0" w:color="auto"/>
            <w:bottom w:val="none" w:sz="0" w:space="0" w:color="auto"/>
            <w:right w:val="none" w:sz="0" w:space="0" w:color="auto"/>
          </w:divBdr>
        </w:div>
      </w:divsChild>
    </w:div>
    <w:div w:id="301274315">
      <w:bodyDiv w:val="1"/>
      <w:marLeft w:val="0"/>
      <w:marRight w:val="0"/>
      <w:marTop w:val="0"/>
      <w:marBottom w:val="0"/>
      <w:divBdr>
        <w:top w:val="none" w:sz="0" w:space="0" w:color="auto"/>
        <w:left w:val="none" w:sz="0" w:space="0" w:color="auto"/>
        <w:bottom w:val="none" w:sz="0" w:space="0" w:color="auto"/>
        <w:right w:val="none" w:sz="0" w:space="0" w:color="auto"/>
      </w:divBdr>
    </w:div>
    <w:div w:id="302271120">
      <w:bodyDiv w:val="1"/>
      <w:marLeft w:val="0"/>
      <w:marRight w:val="0"/>
      <w:marTop w:val="0"/>
      <w:marBottom w:val="0"/>
      <w:divBdr>
        <w:top w:val="none" w:sz="0" w:space="0" w:color="auto"/>
        <w:left w:val="none" w:sz="0" w:space="0" w:color="auto"/>
        <w:bottom w:val="none" w:sz="0" w:space="0" w:color="auto"/>
        <w:right w:val="none" w:sz="0" w:space="0" w:color="auto"/>
      </w:divBdr>
      <w:divsChild>
        <w:div w:id="1734237798">
          <w:marLeft w:val="0"/>
          <w:marRight w:val="0"/>
          <w:marTop w:val="0"/>
          <w:marBottom w:val="0"/>
          <w:divBdr>
            <w:top w:val="none" w:sz="0" w:space="0" w:color="auto"/>
            <w:left w:val="none" w:sz="0" w:space="0" w:color="auto"/>
            <w:bottom w:val="none" w:sz="0" w:space="0" w:color="auto"/>
            <w:right w:val="none" w:sz="0" w:space="0" w:color="auto"/>
          </w:divBdr>
          <w:divsChild>
            <w:div w:id="767000137">
              <w:marLeft w:val="0"/>
              <w:marRight w:val="0"/>
              <w:marTop w:val="0"/>
              <w:marBottom w:val="0"/>
              <w:divBdr>
                <w:top w:val="none" w:sz="0" w:space="0" w:color="auto"/>
                <w:left w:val="none" w:sz="0" w:space="0" w:color="auto"/>
                <w:bottom w:val="none" w:sz="0" w:space="0" w:color="auto"/>
                <w:right w:val="none" w:sz="0" w:space="0" w:color="auto"/>
              </w:divBdr>
            </w:div>
            <w:div w:id="12181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0855">
      <w:bodyDiv w:val="1"/>
      <w:marLeft w:val="0"/>
      <w:marRight w:val="0"/>
      <w:marTop w:val="0"/>
      <w:marBottom w:val="0"/>
      <w:divBdr>
        <w:top w:val="none" w:sz="0" w:space="0" w:color="auto"/>
        <w:left w:val="none" w:sz="0" w:space="0" w:color="auto"/>
        <w:bottom w:val="none" w:sz="0" w:space="0" w:color="auto"/>
        <w:right w:val="none" w:sz="0" w:space="0" w:color="auto"/>
      </w:divBdr>
      <w:divsChild>
        <w:div w:id="2054112341">
          <w:marLeft w:val="1166"/>
          <w:marRight w:val="0"/>
          <w:marTop w:val="110"/>
          <w:marBottom w:val="0"/>
          <w:divBdr>
            <w:top w:val="none" w:sz="0" w:space="0" w:color="auto"/>
            <w:left w:val="none" w:sz="0" w:space="0" w:color="auto"/>
            <w:bottom w:val="none" w:sz="0" w:space="0" w:color="auto"/>
            <w:right w:val="none" w:sz="0" w:space="0" w:color="auto"/>
          </w:divBdr>
        </w:div>
      </w:divsChild>
    </w:div>
    <w:div w:id="313413431">
      <w:bodyDiv w:val="1"/>
      <w:marLeft w:val="0"/>
      <w:marRight w:val="0"/>
      <w:marTop w:val="0"/>
      <w:marBottom w:val="0"/>
      <w:divBdr>
        <w:top w:val="none" w:sz="0" w:space="0" w:color="auto"/>
        <w:left w:val="none" w:sz="0" w:space="0" w:color="auto"/>
        <w:bottom w:val="none" w:sz="0" w:space="0" w:color="auto"/>
        <w:right w:val="none" w:sz="0" w:space="0" w:color="auto"/>
      </w:divBdr>
    </w:div>
    <w:div w:id="314769736">
      <w:bodyDiv w:val="1"/>
      <w:marLeft w:val="0"/>
      <w:marRight w:val="0"/>
      <w:marTop w:val="0"/>
      <w:marBottom w:val="0"/>
      <w:divBdr>
        <w:top w:val="none" w:sz="0" w:space="0" w:color="auto"/>
        <w:left w:val="none" w:sz="0" w:space="0" w:color="auto"/>
        <w:bottom w:val="none" w:sz="0" w:space="0" w:color="auto"/>
        <w:right w:val="none" w:sz="0" w:space="0" w:color="auto"/>
      </w:divBdr>
      <w:divsChild>
        <w:div w:id="353503520">
          <w:marLeft w:val="0"/>
          <w:marRight w:val="0"/>
          <w:marTop w:val="0"/>
          <w:marBottom w:val="0"/>
          <w:divBdr>
            <w:top w:val="none" w:sz="0" w:space="0" w:color="auto"/>
            <w:left w:val="none" w:sz="0" w:space="0" w:color="auto"/>
            <w:bottom w:val="none" w:sz="0" w:space="0" w:color="auto"/>
            <w:right w:val="none" w:sz="0" w:space="0" w:color="auto"/>
          </w:divBdr>
        </w:div>
        <w:div w:id="1054157594">
          <w:marLeft w:val="0"/>
          <w:marRight w:val="0"/>
          <w:marTop w:val="0"/>
          <w:marBottom w:val="0"/>
          <w:divBdr>
            <w:top w:val="none" w:sz="0" w:space="0" w:color="auto"/>
            <w:left w:val="none" w:sz="0" w:space="0" w:color="auto"/>
            <w:bottom w:val="none" w:sz="0" w:space="0" w:color="auto"/>
            <w:right w:val="none" w:sz="0" w:space="0" w:color="auto"/>
          </w:divBdr>
        </w:div>
        <w:div w:id="1112747528">
          <w:marLeft w:val="0"/>
          <w:marRight w:val="0"/>
          <w:marTop w:val="0"/>
          <w:marBottom w:val="0"/>
          <w:divBdr>
            <w:top w:val="none" w:sz="0" w:space="0" w:color="auto"/>
            <w:left w:val="none" w:sz="0" w:space="0" w:color="auto"/>
            <w:bottom w:val="none" w:sz="0" w:space="0" w:color="auto"/>
            <w:right w:val="none" w:sz="0" w:space="0" w:color="auto"/>
          </w:divBdr>
        </w:div>
        <w:div w:id="1492482913">
          <w:marLeft w:val="0"/>
          <w:marRight w:val="0"/>
          <w:marTop w:val="0"/>
          <w:marBottom w:val="0"/>
          <w:divBdr>
            <w:top w:val="none" w:sz="0" w:space="0" w:color="auto"/>
            <w:left w:val="none" w:sz="0" w:space="0" w:color="auto"/>
            <w:bottom w:val="none" w:sz="0" w:space="0" w:color="auto"/>
            <w:right w:val="none" w:sz="0" w:space="0" w:color="auto"/>
          </w:divBdr>
        </w:div>
        <w:div w:id="1798717162">
          <w:marLeft w:val="0"/>
          <w:marRight w:val="0"/>
          <w:marTop w:val="0"/>
          <w:marBottom w:val="0"/>
          <w:divBdr>
            <w:top w:val="none" w:sz="0" w:space="0" w:color="auto"/>
            <w:left w:val="none" w:sz="0" w:space="0" w:color="auto"/>
            <w:bottom w:val="none" w:sz="0" w:space="0" w:color="auto"/>
            <w:right w:val="none" w:sz="0" w:space="0" w:color="auto"/>
          </w:divBdr>
        </w:div>
        <w:div w:id="1832256121">
          <w:marLeft w:val="0"/>
          <w:marRight w:val="0"/>
          <w:marTop w:val="0"/>
          <w:marBottom w:val="0"/>
          <w:divBdr>
            <w:top w:val="none" w:sz="0" w:space="0" w:color="auto"/>
            <w:left w:val="none" w:sz="0" w:space="0" w:color="auto"/>
            <w:bottom w:val="none" w:sz="0" w:space="0" w:color="auto"/>
            <w:right w:val="none" w:sz="0" w:space="0" w:color="auto"/>
          </w:divBdr>
        </w:div>
        <w:div w:id="1864784564">
          <w:marLeft w:val="0"/>
          <w:marRight w:val="0"/>
          <w:marTop w:val="0"/>
          <w:marBottom w:val="0"/>
          <w:divBdr>
            <w:top w:val="none" w:sz="0" w:space="0" w:color="auto"/>
            <w:left w:val="none" w:sz="0" w:space="0" w:color="auto"/>
            <w:bottom w:val="none" w:sz="0" w:space="0" w:color="auto"/>
            <w:right w:val="none" w:sz="0" w:space="0" w:color="auto"/>
          </w:divBdr>
        </w:div>
        <w:div w:id="1916359762">
          <w:marLeft w:val="0"/>
          <w:marRight w:val="0"/>
          <w:marTop w:val="0"/>
          <w:marBottom w:val="0"/>
          <w:divBdr>
            <w:top w:val="none" w:sz="0" w:space="0" w:color="auto"/>
            <w:left w:val="none" w:sz="0" w:space="0" w:color="auto"/>
            <w:bottom w:val="none" w:sz="0" w:space="0" w:color="auto"/>
            <w:right w:val="none" w:sz="0" w:space="0" w:color="auto"/>
          </w:divBdr>
        </w:div>
        <w:div w:id="1926721162">
          <w:marLeft w:val="0"/>
          <w:marRight w:val="0"/>
          <w:marTop w:val="0"/>
          <w:marBottom w:val="0"/>
          <w:divBdr>
            <w:top w:val="none" w:sz="0" w:space="0" w:color="auto"/>
            <w:left w:val="none" w:sz="0" w:space="0" w:color="auto"/>
            <w:bottom w:val="none" w:sz="0" w:space="0" w:color="auto"/>
            <w:right w:val="none" w:sz="0" w:space="0" w:color="auto"/>
          </w:divBdr>
        </w:div>
        <w:div w:id="1940985850">
          <w:marLeft w:val="0"/>
          <w:marRight w:val="0"/>
          <w:marTop w:val="0"/>
          <w:marBottom w:val="0"/>
          <w:divBdr>
            <w:top w:val="none" w:sz="0" w:space="0" w:color="auto"/>
            <w:left w:val="none" w:sz="0" w:space="0" w:color="auto"/>
            <w:bottom w:val="none" w:sz="0" w:space="0" w:color="auto"/>
            <w:right w:val="none" w:sz="0" w:space="0" w:color="auto"/>
          </w:divBdr>
        </w:div>
      </w:divsChild>
    </w:div>
    <w:div w:id="321937291">
      <w:bodyDiv w:val="1"/>
      <w:marLeft w:val="0"/>
      <w:marRight w:val="0"/>
      <w:marTop w:val="0"/>
      <w:marBottom w:val="0"/>
      <w:divBdr>
        <w:top w:val="none" w:sz="0" w:space="0" w:color="auto"/>
        <w:left w:val="none" w:sz="0" w:space="0" w:color="auto"/>
        <w:bottom w:val="none" w:sz="0" w:space="0" w:color="auto"/>
        <w:right w:val="none" w:sz="0" w:space="0" w:color="auto"/>
      </w:divBdr>
      <w:divsChild>
        <w:div w:id="76094370">
          <w:marLeft w:val="0"/>
          <w:marRight w:val="0"/>
          <w:marTop w:val="0"/>
          <w:marBottom w:val="0"/>
          <w:divBdr>
            <w:top w:val="none" w:sz="0" w:space="0" w:color="auto"/>
            <w:left w:val="none" w:sz="0" w:space="0" w:color="auto"/>
            <w:bottom w:val="none" w:sz="0" w:space="0" w:color="auto"/>
            <w:right w:val="none" w:sz="0" w:space="0" w:color="auto"/>
          </w:divBdr>
          <w:divsChild>
            <w:div w:id="510221889">
              <w:marLeft w:val="0"/>
              <w:marRight w:val="0"/>
              <w:marTop w:val="0"/>
              <w:marBottom w:val="0"/>
              <w:divBdr>
                <w:top w:val="none" w:sz="0" w:space="0" w:color="auto"/>
                <w:left w:val="none" w:sz="0" w:space="0" w:color="auto"/>
                <w:bottom w:val="none" w:sz="0" w:space="0" w:color="auto"/>
                <w:right w:val="none" w:sz="0" w:space="0" w:color="auto"/>
              </w:divBdr>
            </w:div>
            <w:div w:id="13579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6059">
      <w:bodyDiv w:val="1"/>
      <w:marLeft w:val="0"/>
      <w:marRight w:val="0"/>
      <w:marTop w:val="0"/>
      <w:marBottom w:val="0"/>
      <w:divBdr>
        <w:top w:val="none" w:sz="0" w:space="0" w:color="auto"/>
        <w:left w:val="none" w:sz="0" w:space="0" w:color="auto"/>
        <w:bottom w:val="none" w:sz="0" w:space="0" w:color="auto"/>
        <w:right w:val="none" w:sz="0" w:space="0" w:color="auto"/>
      </w:divBdr>
    </w:div>
    <w:div w:id="350107924">
      <w:bodyDiv w:val="1"/>
      <w:marLeft w:val="0"/>
      <w:marRight w:val="0"/>
      <w:marTop w:val="0"/>
      <w:marBottom w:val="0"/>
      <w:divBdr>
        <w:top w:val="none" w:sz="0" w:space="0" w:color="auto"/>
        <w:left w:val="none" w:sz="0" w:space="0" w:color="auto"/>
        <w:bottom w:val="none" w:sz="0" w:space="0" w:color="auto"/>
        <w:right w:val="none" w:sz="0" w:space="0" w:color="auto"/>
      </w:divBdr>
    </w:div>
    <w:div w:id="367922148">
      <w:bodyDiv w:val="1"/>
      <w:marLeft w:val="0"/>
      <w:marRight w:val="0"/>
      <w:marTop w:val="0"/>
      <w:marBottom w:val="0"/>
      <w:divBdr>
        <w:top w:val="none" w:sz="0" w:space="0" w:color="auto"/>
        <w:left w:val="none" w:sz="0" w:space="0" w:color="auto"/>
        <w:bottom w:val="none" w:sz="0" w:space="0" w:color="auto"/>
        <w:right w:val="none" w:sz="0" w:space="0" w:color="auto"/>
      </w:divBdr>
    </w:div>
    <w:div w:id="385029535">
      <w:bodyDiv w:val="1"/>
      <w:marLeft w:val="0"/>
      <w:marRight w:val="0"/>
      <w:marTop w:val="0"/>
      <w:marBottom w:val="0"/>
      <w:divBdr>
        <w:top w:val="none" w:sz="0" w:space="0" w:color="auto"/>
        <w:left w:val="none" w:sz="0" w:space="0" w:color="auto"/>
        <w:bottom w:val="none" w:sz="0" w:space="0" w:color="auto"/>
        <w:right w:val="none" w:sz="0" w:space="0" w:color="auto"/>
      </w:divBdr>
    </w:div>
    <w:div w:id="386879849">
      <w:bodyDiv w:val="1"/>
      <w:marLeft w:val="0"/>
      <w:marRight w:val="0"/>
      <w:marTop w:val="0"/>
      <w:marBottom w:val="0"/>
      <w:divBdr>
        <w:top w:val="none" w:sz="0" w:space="0" w:color="auto"/>
        <w:left w:val="none" w:sz="0" w:space="0" w:color="auto"/>
        <w:bottom w:val="none" w:sz="0" w:space="0" w:color="auto"/>
        <w:right w:val="none" w:sz="0" w:space="0" w:color="auto"/>
      </w:divBdr>
      <w:divsChild>
        <w:div w:id="194853839">
          <w:marLeft w:val="547"/>
          <w:marRight w:val="0"/>
          <w:marTop w:val="134"/>
          <w:marBottom w:val="0"/>
          <w:divBdr>
            <w:top w:val="none" w:sz="0" w:space="0" w:color="auto"/>
            <w:left w:val="none" w:sz="0" w:space="0" w:color="auto"/>
            <w:bottom w:val="none" w:sz="0" w:space="0" w:color="auto"/>
            <w:right w:val="none" w:sz="0" w:space="0" w:color="auto"/>
          </w:divBdr>
        </w:div>
      </w:divsChild>
    </w:div>
    <w:div w:id="394279378">
      <w:bodyDiv w:val="1"/>
      <w:marLeft w:val="0"/>
      <w:marRight w:val="0"/>
      <w:marTop w:val="0"/>
      <w:marBottom w:val="0"/>
      <w:divBdr>
        <w:top w:val="none" w:sz="0" w:space="0" w:color="auto"/>
        <w:left w:val="none" w:sz="0" w:space="0" w:color="auto"/>
        <w:bottom w:val="none" w:sz="0" w:space="0" w:color="auto"/>
        <w:right w:val="none" w:sz="0" w:space="0" w:color="auto"/>
      </w:divBdr>
    </w:div>
    <w:div w:id="398941072">
      <w:bodyDiv w:val="1"/>
      <w:marLeft w:val="0"/>
      <w:marRight w:val="0"/>
      <w:marTop w:val="0"/>
      <w:marBottom w:val="0"/>
      <w:divBdr>
        <w:top w:val="none" w:sz="0" w:space="0" w:color="auto"/>
        <w:left w:val="none" w:sz="0" w:space="0" w:color="auto"/>
        <w:bottom w:val="none" w:sz="0" w:space="0" w:color="auto"/>
        <w:right w:val="none" w:sz="0" w:space="0" w:color="auto"/>
      </w:divBdr>
    </w:div>
    <w:div w:id="402220616">
      <w:bodyDiv w:val="1"/>
      <w:marLeft w:val="0"/>
      <w:marRight w:val="0"/>
      <w:marTop w:val="0"/>
      <w:marBottom w:val="0"/>
      <w:divBdr>
        <w:top w:val="none" w:sz="0" w:space="0" w:color="auto"/>
        <w:left w:val="none" w:sz="0" w:space="0" w:color="auto"/>
        <w:bottom w:val="none" w:sz="0" w:space="0" w:color="auto"/>
        <w:right w:val="none" w:sz="0" w:space="0" w:color="auto"/>
      </w:divBdr>
      <w:divsChild>
        <w:div w:id="672533505">
          <w:marLeft w:val="965"/>
          <w:marRight w:val="0"/>
          <w:marTop w:val="154"/>
          <w:marBottom w:val="0"/>
          <w:divBdr>
            <w:top w:val="none" w:sz="0" w:space="0" w:color="auto"/>
            <w:left w:val="none" w:sz="0" w:space="0" w:color="auto"/>
            <w:bottom w:val="none" w:sz="0" w:space="0" w:color="auto"/>
            <w:right w:val="none" w:sz="0" w:space="0" w:color="auto"/>
          </w:divBdr>
        </w:div>
      </w:divsChild>
    </w:div>
    <w:div w:id="419907290">
      <w:bodyDiv w:val="1"/>
      <w:marLeft w:val="0"/>
      <w:marRight w:val="0"/>
      <w:marTop w:val="0"/>
      <w:marBottom w:val="0"/>
      <w:divBdr>
        <w:top w:val="none" w:sz="0" w:space="0" w:color="auto"/>
        <w:left w:val="none" w:sz="0" w:space="0" w:color="auto"/>
        <w:bottom w:val="none" w:sz="0" w:space="0" w:color="auto"/>
        <w:right w:val="none" w:sz="0" w:space="0" w:color="auto"/>
      </w:divBdr>
    </w:div>
    <w:div w:id="423653371">
      <w:bodyDiv w:val="1"/>
      <w:marLeft w:val="0"/>
      <w:marRight w:val="0"/>
      <w:marTop w:val="0"/>
      <w:marBottom w:val="0"/>
      <w:divBdr>
        <w:top w:val="none" w:sz="0" w:space="0" w:color="auto"/>
        <w:left w:val="none" w:sz="0" w:space="0" w:color="auto"/>
        <w:bottom w:val="none" w:sz="0" w:space="0" w:color="auto"/>
        <w:right w:val="none" w:sz="0" w:space="0" w:color="auto"/>
      </w:divBdr>
      <w:divsChild>
        <w:div w:id="179583529">
          <w:marLeft w:val="1166"/>
          <w:marRight w:val="0"/>
          <w:marTop w:val="106"/>
          <w:marBottom w:val="0"/>
          <w:divBdr>
            <w:top w:val="none" w:sz="0" w:space="0" w:color="auto"/>
            <w:left w:val="none" w:sz="0" w:space="0" w:color="auto"/>
            <w:bottom w:val="none" w:sz="0" w:space="0" w:color="auto"/>
            <w:right w:val="none" w:sz="0" w:space="0" w:color="auto"/>
          </w:divBdr>
        </w:div>
        <w:div w:id="1483082029">
          <w:marLeft w:val="1166"/>
          <w:marRight w:val="0"/>
          <w:marTop w:val="106"/>
          <w:marBottom w:val="0"/>
          <w:divBdr>
            <w:top w:val="none" w:sz="0" w:space="0" w:color="auto"/>
            <w:left w:val="none" w:sz="0" w:space="0" w:color="auto"/>
            <w:bottom w:val="none" w:sz="0" w:space="0" w:color="auto"/>
            <w:right w:val="none" w:sz="0" w:space="0" w:color="auto"/>
          </w:divBdr>
        </w:div>
      </w:divsChild>
    </w:div>
    <w:div w:id="440491108">
      <w:bodyDiv w:val="1"/>
      <w:marLeft w:val="0"/>
      <w:marRight w:val="0"/>
      <w:marTop w:val="0"/>
      <w:marBottom w:val="0"/>
      <w:divBdr>
        <w:top w:val="none" w:sz="0" w:space="0" w:color="auto"/>
        <w:left w:val="none" w:sz="0" w:space="0" w:color="auto"/>
        <w:bottom w:val="none" w:sz="0" w:space="0" w:color="auto"/>
        <w:right w:val="none" w:sz="0" w:space="0" w:color="auto"/>
      </w:divBdr>
    </w:div>
    <w:div w:id="447237801">
      <w:bodyDiv w:val="1"/>
      <w:marLeft w:val="0"/>
      <w:marRight w:val="0"/>
      <w:marTop w:val="0"/>
      <w:marBottom w:val="0"/>
      <w:divBdr>
        <w:top w:val="none" w:sz="0" w:space="0" w:color="auto"/>
        <w:left w:val="none" w:sz="0" w:space="0" w:color="auto"/>
        <w:bottom w:val="none" w:sz="0" w:space="0" w:color="auto"/>
        <w:right w:val="none" w:sz="0" w:space="0" w:color="auto"/>
      </w:divBdr>
    </w:div>
    <w:div w:id="471290377">
      <w:bodyDiv w:val="1"/>
      <w:marLeft w:val="0"/>
      <w:marRight w:val="0"/>
      <w:marTop w:val="0"/>
      <w:marBottom w:val="0"/>
      <w:divBdr>
        <w:top w:val="none" w:sz="0" w:space="0" w:color="auto"/>
        <w:left w:val="none" w:sz="0" w:space="0" w:color="auto"/>
        <w:bottom w:val="none" w:sz="0" w:space="0" w:color="auto"/>
        <w:right w:val="none" w:sz="0" w:space="0" w:color="auto"/>
      </w:divBdr>
    </w:div>
    <w:div w:id="484591731">
      <w:bodyDiv w:val="1"/>
      <w:marLeft w:val="0"/>
      <w:marRight w:val="0"/>
      <w:marTop w:val="0"/>
      <w:marBottom w:val="0"/>
      <w:divBdr>
        <w:top w:val="none" w:sz="0" w:space="0" w:color="auto"/>
        <w:left w:val="none" w:sz="0" w:space="0" w:color="auto"/>
        <w:bottom w:val="none" w:sz="0" w:space="0" w:color="auto"/>
        <w:right w:val="none" w:sz="0" w:space="0" w:color="auto"/>
      </w:divBdr>
    </w:div>
    <w:div w:id="549076468">
      <w:bodyDiv w:val="1"/>
      <w:marLeft w:val="0"/>
      <w:marRight w:val="0"/>
      <w:marTop w:val="0"/>
      <w:marBottom w:val="0"/>
      <w:divBdr>
        <w:top w:val="none" w:sz="0" w:space="0" w:color="auto"/>
        <w:left w:val="none" w:sz="0" w:space="0" w:color="auto"/>
        <w:bottom w:val="none" w:sz="0" w:space="0" w:color="auto"/>
        <w:right w:val="none" w:sz="0" w:space="0" w:color="auto"/>
      </w:divBdr>
      <w:divsChild>
        <w:div w:id="1766070368">
          <w:marLeft w:val="1282"/>
          <w:marRight w:val="0"/>
          <w:marTop w:val="96"/>
          <w:marBottom w:val="0"/>
          <w:divBdr>
            <w:top w:val="none" w:sz="0" w:space="0" w:color="auto"/>
            <w:left w:val="none" w:sz="0" w:space="0" w:color="auto"/>
            <w:bottom w:val="none" w:sz="0" w:space="0" w:color="auto"/>
            <w:right w:val="none" w:sz="0" w:space="0" w:color="auto"/>
          </w:divBdr>
        </w:div>
      </w:divsChild>
    </w:div>
    <w:div w:id="580407377">
      <w:bodyDiv w:val="1"/>
      <w:marLeft w:val="0"/>
      <w:marRight w:val="0"/>
      <w:marTop w:val="0"/>
      <w:marBottom w:val="0"/>
      <w:divBdr>
        <w:top w:val="none" w:sz="0" w:space="0" w:color="auto"/>
        <w:left w:val="none" w:sz="0" w:space="0" w:color="auto"/>
        <w:bottom w:val="none" w:sz="0" w:space="0" w:color="auto"/>
        <w:right w:val="none" w:sz="0" w:space="0" w:color="auto"/>
      </w:divBdr>
    </w:div>
    <w:div w:id="609975195">
      <w:bodyDiv w:val="1"/>
      <w:marLeft w:val="0"/>
      <w:marRight w:val="0"/>
      <w:marTop w:val="0"/>
      <w:marBottom w:val="0"/>
      <w:divBdr>
        <w:top w:val="none" w:sz="0" w:space="0" w:color="auto"/>
        <w:left w:val="none" w:sz="0" w:space="0" w:color="auto"/>
        <w:bottom w:val="none" w:sz="0" w:space="0" w:color="auto"/>
        <w:right w:val="none" w:sz="0" w:space="0" w:color="auto"/>
      </w:divBdr>
      <w:divsChild>
        <w:div w:id="1367952644">
          <w:marLeft w:val="1555"/>
          <w:marRight w:val="0"/>
          <w:marTop w:val="115"/>
          <w:marBottom w:val="0"/>
          <w:divBdr>
            <w:top w:val="none" w:sz="0" w:space="0" w:color="auto"/>
            <w:left w:val="none" w:sz="0" w:space="0" w:color="auto"/>
            <w:bottom w:val="none" w:sz="0" w:space="0" w:color="auto"/>
            <w:right w:val="none" w:sz="0" w:space="0" w:color="auto"/>
          </w:divBdr>
        </w:div>
      </w:divsChild>
    </w:div>
    <w:div w:id="615870118">
      <w:bodyDiv w:val="1"/>
      <w:marLeft w:val="0"/>
      <w:marRight w:val="0"/>
      <w:marTop w:val="0"/>
      <w:marBottom w:val="0"/>
      <w:divBdr>
        <w:top w:val="none" w:sz="0" w:space="0" w:color="auto"/>
        <w:left w:val="none" w:sz="0" w:space="0" w:color="auto"/>
        <w:bottom w:val="none" w:sz="0" w:space="0" w:color="auto"/>
        <w:right w:val="none" w:sz="0" w:space="0" w:color="auto"/>
      </w:divBdr>
      <w:divsChild>
        <w:div w:id="741492673">
          <w:marLeft w:val="547"/>
          <w:marRight w:val="0"/>
          <w:marTop w:val="106"/>
          <w:marBottom w:val="0"/>
          <w:divBdr>
            <w:top w:val="none" w:sz="0" w:space="0" w:color="auto"/>
            <w:left w:val="none" w:sz="0" w:space="0" w:color="auto"/>
            <w:bottom w:val="none" w:sz="0" w:space="0" w:color="auto"/>
            <w:right w:val="none" w:sz="0" w:space="0" w:color="auto"/>
          </w:divBdr>
        </w:div>
        <w:div w:id="1243446725">
          <w:marLeft w:val="547"/>
          <w:marRight w:val="0"/>
          <w:marTop w:val="106"/>
          <w:marBottom w:val="0"/>
          <w:divBdr>
            <w:top w:val="none" w:sz="0" w:space="0" w:color="auto"/>
            <w:left w:val="none" w:sz="0" w:space="0" w:color="auto"/>
            <w:bottom w:val="none" w:sz="0" w:space="0" w:color="auto"/>
            <w:right w:val="none" w:sz="0" w:space="0" w:color="auto"/>
          </w:divBdr>
        </w:div>
      </w:divsChild>
    </w:div>
    <w:div w:id="623777798">
      <w:bodyDiv w:val="1"/>
      <w:marLeft w:val="0"/>
      <w:marRight w:val="0"/>
      <w:marTop w:val="0"/>
      <w:marBottom w:val="0"/>
      <w:divBdr>
        <w:top w:val="none" w:sz="0" w:space="0" w:color="auto"/>
        <w:left w:val="none" w:sz="0" w:space="0" w:color="auto"/>
        <w:bottom w:val="none" w:sz="0" w:space="0" w:color="auto"/>
        <w:right w:val="none" w:sz="0" w:space="0" w:color="auto"/>
      </w:divBdr>
      <w:divsChild>
        <w:div w:id="1951233724">
          <w:marLeft w:val="0"/>
          <w:marRight w:val="0"/>
          <w:marTop w:val="106"/>
          <w:marBottom w:val="0"/>
          <w:divBdr>
            <w:top w:val="none" w:sz="0" w:space="0" w:color="auto"/>
            <w:left w:val="none" w:sz="0" w:space="0" w:color="auto"/>
            <w:bottom w:val="none" w:sz="0" w:space="0" w:color="auto"/>
            <w:right w:val="none" w:sz="0" w:space="0" w:color="auto"/>
          </w:divBdr>
        </w:div>
      </w:divsChild>
    </w:div>
    <w:div w:id="631641924">
      <w:bodyDiv w:val="1"/>
      <w:marLeft w:val="0"/>
      <w:marRight w:val="0"/>
      <w:marTop w:val="0"/>
      <w:marBottom w:val="0"/>
      <w:divBdr>
        <w:top w:val="none" w:sz="0" w:space="0" w:color="auto"/>
        <w:left w:val="none" w:sz="0" w:space="0" w:color="auto"/>
        <w:bottom w:val="none" w:sz="0" w:space="0" w:color="auto"/>
        <w:right w:val="none" w:sz="0" w:space="0" w:color="auto"/>
      </w:divBdr>
    </w:div>
    <w:div w:id="658457719">
      <w:bodyDiv w:val="1"/>
      <w:marLeft w:val="0"/>
      <w:marRight w:val="0"/>
      <w:marTop w:val="0"/>
      <w:marBottom w:val="0"/>
      <w:divBdr>
        <w:top w:val="none" w:sz="0" w:space="0" w:color="auto"/>
        <w:left w:val="none" w:sz="0" w:space="0" w:color="auto"/>
        <w:bottom w:val="none" w:sz="0" w:space="0" w:color="auto"/>
        <w:right w:val="none" w:sz="0" w:space="0" w:color="auto"/>
      </w:divBdr>
    </w:div>
    <w:div w:id="665785232">
      <w:bodyDiv w:val="1"/>
      <w:marLeft w:val="0"/>
      <w:marRight w:val="0"/>
      <w:marTop w:val="0"/>
      <w:marBottom w:val="0"/>
      <w:divBdr>
        <w:top w:val="none" w:sz="0" w:space="0" w:color="auto"/>
        <w:left w:val="none" w:sz="0" w:space="0" w:color="auto"/>
        <w:bottom w:val="none" w:sz="0" w:space="0" w:color="auto"/>
        <w:right w:val="none" w:sz="0" w:space="0" w:color="auto"/>
      </w:divBdr>
      <w:divsChild>
        <w:div w:id="939414315">
          <w:marLeft w:val="1166"/>
          <w:marRight w:val="0"/>
          <w:marTop w:val="115"/>
          <w:marBottom w:val="0"/>
          <w:divBdr>
            <w:top w:val="none" w:sz="0" w:space="0" w:color="auto"/>
            <w:left w:val="none" w:sz="0" w:space="0" w:color="auto"/>
            <w:bottom w:val="none" w:sz="0" w:space="0" w:color="auto"/>
            <w:right w:val="none" w:sz="0" w:space="0" w:color="auto"/>
          </w:divBdr>
        </w:div>
        <w:div w:id="1041981528">
          <w:marLeft w:val="1166"/>
          <w:marRight w:val="0"/>
          <w:marTop w:val="115"/>
          <w:marBottom w:val="0"/>
          <w:divBdr>
            <w:top w:val="none" w:sz="0" w:space="0" w:color="auto"/>
            <w:left w:val="none" w:sz="0" w:space="0" w:color="auto"/>
            <w:bottom w:val="none" w:sz="0" w:space="0" w:color="auto"/>
            <w:right w:val="none" w:sz="0" w:space="0" w:color="auto"/>
          </w:divBdr>
        </w:div>
        <w:div w:id="1211575160">
          <w:marLeft w:val="1166"/>
          <w:marRight w:val="0"/>
          <w:marTop w:val="115"/>
          <w:marBottom w:val="0"/>
          <w:divBdr>
            <w:top w:val="none" w:sz="0" w:space="0" w:color="auto"/>
            <w:left w:val="none" w:sz="0" w:space="0" w:color="auto"/>
            <w:bottom w:val="none" w:sz="0" w:space="0" w:color="auto"/>
            <w:right w:val="none" w:sz="0" w:space="0" w:color="auto"/>
          </w:divBdr>
        </w:div>
      </w:divsChild>
    </w:div>
    <w:div w:id="674502473">
      <w:bodyDiv w:val="1"/>
      <w:marLeft w:val="0"/>
      <w:marRight w:val="0"/>
      <w:marTop w:val="0"/>
      <w:marBottom w:val="0"/>
      <w:divBdr>
        <w:top w:val="none" w:sz="0" w:space="0" w:color="auto"/>
        <w:left w:val="none" w:sz="0" w:space="0" w:color="auto"/>
        <w:bottom w:val="none" w:sz="0" w:space="0" w:color="auto"/>
        <w:right w:val="none" w:sz="0" w:space="0" w:color="auto"/>
      </w:divBdr>
    </w:div>
    <w:div w:id="700856801">
      <w:bodyDiv w:val="1"/>
      <w:marLeft w:val="0"/>
      <w:marRight w:val="0"/>
      <w:marTop w:val="0"/>
      <w:marBottom w:val="0"/>
      <w:divBdr>
        <w:top w:val="none" w:sz="0" w:space="0" w:color="auto"/>
        <w:left w:val="none" w:sz="0" w:space="0" w:color="auto"/>
        <w:bottom w:val="none" w:sz="0" w:space="0" w:color="auto"/>
        <w:right w:val="none" w:sz="0" w:space="0" w:color="auto"/>
      </w:divBdr>
    </w:div>
    <w:div w:id="702291455">
      <w:bodyDiv w:val="1"/>
      <w:marLeft w:val="0"/>
      <w:marRight w:val="0"/>
      <w:marTop w:val="0"/>
      <w:marBottom w:val="0"/>
      <w:divBdr>
        <w:top w:val="none" w:sz="0" w:space="0" w:color="auto"/>
        <w:left w:val="none" w:sz="0" w:space="0" w:color="auto"/>
        <w:bottom w:val="none" w:sz="0" w:space="0" w:color="auto"/>
        <w:right w:val="none" w:sz="0" w:space="0" w:color="auto"/>
      </w:divBdr>
    </w:div>
    <w:div w:id="711928863">
      <w:bodyDiv w:val="1"/>
      <w:marLeft w:val="0"/>
      <w:marRight w:val="0"/>
      <w:marTop w:val="0"/>
      <w:marBottom w:val="0"/>
      <w:divBdr>
        <w:top w:val="none" w:sz="0" w:space="0" w:color="auto"/>
        <w:left w:val="none" w:sz="0" w:space="0" w:color="auto"/>
        <w:bottom w:val="none" w:sz="0" w:space="0" w:color="auto"/>
        <w:right w:val="none" w:sz="0" w:space="0" w:color="auto"/>
      </w:divBdr>
    </w:div>
    <w:div w:id="735588273">
      <w:bodyDiv w:val="1"/>
      <w:marLeft w:val="0"/>
      <w:marRight w:val="0"/>
      <w:marTop w:val="0"/>
      <w:marBottom w:val="0"/>
      <w:divBdr>
        <w:top w:val="none" w:sz="0" w:space="0" w:color="auto"/>
        <w:left w:val="none" w:sz="0" w:space="0" w:color="auto"/>
        <w:bottom w:val="none" w:sz="0" w:space="0" w:color="auto"/>
        <w:right w:val="none" w:sz="0" w:space="0" w:color="auto"/>
      </w:divBdr>
      <w:divsChild>
        <w:div w:id="538934532">
          <w:marLeft w:val="605"/>
          <w:marRight w:val="0"/>
          <w:marTop w:val="115"/>
          <w:marBottom w:val="0"/>
          <w:divBdr>
            <w:top w:val="none" w:sz="0" w:space="0" w:color="auto"/>
            <w:left w:val="none" w:sz="0" w:space="0" w:color="auto"/>
            <w:bottom w:val="none" w:sz="0" w:space="0" w:color="auto"/>
            <w:right w:val="none" w:sz="0" w:space="0" w:color="auto"/>
          </w:divBdr>
        </w:div>
      </w:divsChild>
    </w:div>
    <w:div w:id="738408959">
      <w:bodyDiv w:val="1"/>
      <w:marLeft w:val="0"/>
      <w:marRight w:val="0"/>
      <w:marTop w:val="0"/>
      <w:marBottom w:val="0"/>
      <w:divBdr>
        <w:top w:val="none" w:sz="0" w:space="0" w:color="auto"/>
        <w:left w:val="none" w:sz="0" w:space="0" w:color="auto"/>
        <w:bottom w:val="none" w:sz="0" w:space="0" w:color="auto"/>
        <w:right w:val="none" w:sz="0" w:space="0" w:color="auto"/>
      </w:divBdr>
      <w:divsChild>
        <w:div w:id="567956287">
          <w:marLeft w:val="0"/>
          <w:marRight w:val="0"/>
          <w:marTop w:val="0"/>
          <w:marBottom w:val="100"/>
          <w:divBdr>
            <w:top w:val="none" w:sz="0" w:space="0" w:color="auto"/>
            <w:left w:val="none" w:sz="0" w:space="0" w:color="auto"/>
            <w:bottom w:val="none" w:sz="0" w:space="0" w:color="auto"/>
            <w:right w:val="none" w:sz="0" w:space="0" w:color="auto"/>
          </w:divBdr>
          <w:divsChild>
            <w:div w:id="1459251919">
              <w:marLeft w:val="0"/>
              <w:marRight w:val="0"/>
              <w:marTop w:val="0"/>
              <w:marBottom w:val="0"/>
              <w:divBdr>
                <w:top w:val="none" w:sz="0" w:space="0" w:color="auto"/>
                <w:left w:val="none" w:sz="0" w:space="0" w:color="auto"/>
                <w:bottom w:val="none" w:sz="0" w:space="0" w:color="auto"/>
                <w:right w:val="none" w:sz="0" w:space="0" w:color="auto"/>
              </w:divBdr>
              <w:divsChild>
                <w:div w:id="1614170396">
                  <w:marLeft w:val="0"/>
                  <w:marRight w:val="0"/>
                  <w:marTop w:val="0"/>
                  <w:marBottom w:val="0"/>
                  <w:divBdr>
                    <w:top w:val="single" w:sz="36" w:space="16" w:color="F5F5F5"/>
                    <w:left w:val="single" w:sz="36" w:space="18" w:color="F5F5F5"/>
                    <w:bottom w:val="single" w:sz="36" w:space="13" w:color="F5F5F5"/>
                    <w:right w:val="single" w:sz="36" w:space="18" w:color="F5F5F5"/>
                  </w:divBdr>
                  <w:divsChild>
                    <w:div w:id="2370591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44497377">
      <w:bodyDiv w:val="1"/>
      <w:marLeft w:val="0"/>
      <w:marRight w:val="0"/>
      <w:marTop w:val="0"/>
      <w:marBottom w:val="0"/>
      <w:divBdr>
        <w:top w:val="none" w:sz="0" w:space="0" w:color="auto"/>
        <w:left w:val="none" w:sz="0" w:space="0" w:color="auto"/>
        <w:bottom w:val="none" w:sz="0" w:space="0" w:color="auto"/>
        <w:right w:val="none" w:sz="0" w:space="0" w:color="auto"/>
      </w:divBdr>
      <w:divsChild>
        <w:div w:id="2015954679">
          <w:marLeft w:val="0"/>
          <w:marRight w:val="0"/>
          <w:marTop w:val="106"/>
          <w:marBottom w:val="0"/>
          <w:divBdr>
            <w:top w:val="none" w:sz="0" w:space="0" w:color="auto"/>
            <w:left w:val="none" w:sz="0" w:space="0" w:color="auto"/>
            <w:bottom w:val="none" w:sz="0" w:space="0" w:color="auto"/>
            <w:right w:val="none" w:sz="0" w:space="0" w:color="auto"/>
          </w:divBdr>
        </w:div>
      </w:divsChild>
    </w:div>
    <w:div w:id="753017973">
      <w:bodyDiv w:val="1"/>
      <w:marLeft w:val="0"/>
      <w:marRight w:val="0"/>
      <w:marTop w:val="0"/>
      <w:marBottom w:val="0"/>
      <w:divBdr>
        <w:top w:val="none" w:sz="0" w:space="0" w:color="auto"/>
        <w:left w:val="none" w:sz="0" w:space="0" w:color="auto"/>
        <w:bottom w:val="none" w:sz="0" w:space="0" w:color="auto"/>
        <w:right w:val="none" w:sz="0" w:space="0" w:color="auto"/>
      </w:divBdr>
    </w:div>
    <w:div w:id="765199882">
      <w:bodyDiv w:val="1"/>
      <w:marLeft w:val="0"/>
      <w:marRight w:val="0"/>
      <w:marTop w:val="0"/>
      <w:marBottom w:val="0"/>
      <w:divBdr>
        <w:top w:val="none" w:sz="0" w:space="0" w:color="auto"/>
        <w:left w:val="none" w:sz="0" w:space="0" w:color="auto"/>
        <w:bottom w:val="none" w:sz="0" w:space="0" w:color="auto"/>
        <w:right w:val="none" w:sz="0" w:space="0" w:color="auto"/>
      </w:divBdr>
    </w:div>
    <w:div w:id="781414298">
      <w:bodyDiv w:val="1"/>
      <w:marLeft w:val="0"/>
      <w:marRight w:val="0"/>
      <w:marTop w:val="0"/>
      <w:marBottom w:val="0"/>
      <w:divBdr>
        <w:top w:val="none" w:sz="0" w:space="0" w:color="auto"/>
        <w:left w:val="none" w:sz="0" w:space="0" w:color="auto"/>
        <w:bottom w:val="none" w:sz="0" w:space="0" w:color="auto"/>
        <w:right w:val="none" w:sz="0" w:space="0" w:color="auto"/>
      </w:divBdr>
      <w:divsChild>
        <w:div w:id="433672756">
          <w:marLeft w:val="1282"/>
          <w:marRight w:val="0"/>
          <w:marTop w:val="96"/>
          <w:marBottom w:val="0"/>
          <w:divBdr>
            <w:top w:val="none" w:sz="0" w:space="0" w:color="auto"/>
            <w:left w:val="none" w:sz="0" w:space="0" w:color="auto"/>
            <w:bottom w:val="none" w:sz="0" w:space="0" w:color="auto"/>
            <w:right w:val="none" w:sz="0" w:space="0" w:color="auto"/>
          </w:divBdr>
        </w:div>
      </w:divsChild>
    </w:div>
    <w:div w:id="792212648">
      <w:bodyDiv w:val="1"/>
      <w:marLeft w:val="0"/>
      <w:marRight w:val="0"/>
      <w:marTop w:val="0"/>
      <w:marBottom w:val="0"/>
      <w:divBdr>
        <w:top w:val="none" w:sz="0" w:space="0" w:color="auto"/>
        <w:left w:val="none" w:sz="0" w:space="0" w:color="auto"/>
        <w:bottom w:val="none" w:sz="0" w:space="0" w:color="auto"/>
        <w:right w:val="none" w:sz="0" w:space="0" w:color="auto"/>
      </w:divBdr>
    </w:div>
    <w:div w:id="806094799">
      <w:bodyDiv w:val="1"/>
      <w:marLeft w:val="0"/>
      <w:marRight w:val="0"/>
      <w:marTop w:val="0"/>
      <w:marBottom w:val="0"/>
      <w:divBdr>
        <w:top w:val="none" w:sz="0" w:space="0" w:color="auto"/>
        <w:left w:val="none" w:sz="0" w:space="0" w:color="auto"/>
        <w:bottom w:val="none" w:sz="0" w:space="0" w:color="auto"/>
        <w:right w:val="none" w:sz="0" w:space="0" w:color="auto"/>
      </w:divBdr>
    </w:div>
    <w:div w:id="871722631">
      <w:bodyDiv w:val="1"/>
      <w:marLeft w:val="0"/>
      <w:marRight w:val="0"/>
      <w:marTop w:val="0"/>
      <w:marBottom w:val="0"/>
      <w:divBdr>
        <w:top w:val="none" w:sz="0" w:space="0" w:color="auto"/>
        <w:left w:val="none" w:sz="0" w:space="0" w:color="auto"/>
        <w:bottom w:val="none" w:sz="0" w:space="0" w:color="auto"/>
        <w:right w:val="none" w:sz="0" w:space="0" w:color="auto"/>
      </w:divBdr>
    </w:div>
    <w:div w:id="899023203">
      <w:bodyDiv w:val="1"/>
      <w:marLeft w:val="0"/>
      <w:marRight w:val="0"/>
      <w:marTop w:val="0"/>
      <w:marBottom w:val="0"/>
      <w:divBdr>
        <w:top w:val="none" w:sz="0" w:space="0" w:color="auto"/>
        <w:left w:val="none" w:sz="0" w:space="0" w:color="auto"/>
        <w:bottom w:val="none" w:sz="0" w:space="0" w:color="auto"/>
        <w:right w:val="none" w:sz="0" w:space="0" w:color="auto"/>
      </w:divBdr>
    </w:div>
    <w:div w:id="902256391">
      <w:bodyDiv w:val="1"/>
      <w:marLeft w:val="0"/>
      <w:marRight w:val="0"/>
      <w:marTop w:val="0"/>
      <w:marBottom w:val="0"/>
      <w:divBdr>
        <w:top w:val="none" w:sz="0" w:space="0" w:color="auto"/>
        <w:left w:val="none" w:sz="0" w:space="0" w:color="auto"/>
        <w:bottom w:val="none" w:sz="0" w:space="0" w:color="auto"/>
        <w:right w:val="none" w:sz="0" w:space="0" w:color="auto"/>
      </w:divBdr>
    </w:div>
    <w:div w:id="902986691">
      <w:bodyDiv w:val="1"/>
      <w:marLeft w:val="0"/>
      <w:marRight w:val="0"/>
      <w:marTop w:val="0"/>
      <w:marBottom w:val="0"/>
      <w:divBdr>
        <w:top w:val="none" w:sz="0" w:space="0" w:color="auto"/>
        <w:left w:val="none" w:sz="0" w:space="0" w:color="auto"/>
        <w:bottom w:val="none" w:sz="0" w:space="0" w:color="auto"/>
        <w:right w:val="none" w:sz="0" w:space="0" w:color="auto"/>
      </w:divBdr>
    </w:div>
    <w:div w:id="915362686">
      <w:bodyDiv w:val="1"/>
      <w:marLeft w:val="0"/>
      <w:marRight w:val="0"/>
      <w:marTop w:val="0"/>
      <w:marBottom w:val="0"/>
      <w:divBdr>
        <w:top w:val="none" w:sz="0" w:space="0" w:color="auto"/>
        <w:left w:val="none" w:sz="0" w:space="0" w:color="auto"/>
        <w:bottom w:val="none" w:sz="0" w:space="0" w:color="auto"/>
        <w:right w:val="none" w:sz="0" w:space="0" w:color="auto"/>
      </w:divBdr>
    </w:div>
    <w:div w:id="926884097">
      <w:bodyDiv w:val="1"/>
      <w:marLeft w:val="0"/>
      <w:marRight w:val="0"/>
      <w:marTop w:val="0"/>
      <w:marBottom w:val="0"/>
      <w:divBdr>
        <w:top w:val="none" w:sz="0" w:space="0" w:color="auto"/>
        <w:left w:val="none" w:sz="0" w:space="0" w:color="auto"/>
        <w:bottom w:val="none" w:sz="0" w:space="0" w:color="auto"/>
        <w:right w:val="none" w:sz="0" w:space="0" w:color="auto"/>
      </w:divBdr>
    </w:div>
    <w:div w:id="928656482">
      <w:bodyDiv w:val="1"/>
      <w:marLeft w:val="0"/>
      <w:marRight w:val="0"/>
      <w:marTop w:val="0"/>
      <w:marBottom w:val="0"/>
      <w:divBdr>
        <w:top w:val="none" w:sz="0" w:space="0" w:color="auto"/>
        <w:left w:val="none" w:sz="0" w:space="0" w:color="auto"/>
        <w:bottom w:val="none" w:sz="0" w:space="0" w:color="auto"/>
        <w:right w:val="none" w:sz="0" w:space="0" w:color="auto"/>
      </w:divBdr>
    </w:div>
    <w:div w:id="965354082">
      <w:bodyDiv w:val="1"/>
      <w:marLeft w:val="0"/>
      <w:marRight w:val="0"/>
      <w:marTop w:val="0"/>
      <w:marBottom w:val="0"/>
      <w:divBdr>
        <w:top w:val="none" w:sz="0" w:space="0" w:color="auto"/>
        <w:left w:val="none" w:sz="0" w:space="0" w:color="auto"/>
        <w:bottom w:val="none" w:sz="0" w:space="0" w:color="auto"/>
        <w:right w:val="none" w:sz="0" w:space="0" w:color="auto"/>
      </w:divBdr>
      <w:divsChild>
        <w:div w:id="273562564">
          <w:marLeft w:val="706"/>
          <w:marRight w:val="0"/>
          <w:marTop w:val="106"/>
          <w:marBottom w:val="0"/>
          <w:divBdr>
            <w:top w:val="none" w:sz="0" w:space="0" w:color="auto"/>
            <w:left w:val="none" w:sz="0" w:space="0" w:color="auto"/>
            <w:bottom w:val="none" w:sz="0" w:space="0" w:color="auto"/>
            <w:right w:val="none" w:sz="0" w:space="0" w:color="auto"/>
          </w:divBdr>
        </w:div>
        <w:div w:id="2097626331">
          <w:marLeft w:val="706"/>
          <w:marRight w:val="0"/>
          <w:marTop w:val="106"/>
          <w:marBottom w:val="0"/>
          <w:divBdr>
            <w:top w:val="none" w:sz="0" w:space="0" w:color="auto"/>
            <w:left w:val="none" w:sz="0" w:space="0" w:color="auto"/>
            <w:bottom w:val="none" w:sz="0" w:space="0" w:color="auto"/>
            <w:right w:val="none" w:sz="0" w:space="0" w:color="auto"/>
          </w:divBdr>
        </w:div>
      </w:divsChild>
    </w:div>
    <w:div w:id="971135527">
      <w:bodyDiv w:val="1"/>
      <w:marLeft w:val="0"/>
      <w:marRight w:val="0"/>
      <w:marTop w:val="0"/>
      <w:marBottom w:val="0"/>
      <w:divBdr>
        <w:top w:val="none" w:sz="0" w:space="0" w:color="auto"/>
        <w:left w:val="none" w:sz="0" w:space="0" w:color="auto"/>
        <w:bottom w:val="none" w:sz="0" w:space="0" w:color="auto"/>
        <w:right w:val="none" w:sz="0" w:space="0" w:color="auto"/>
      </w:divBdr>
      <w:divsChild>
        <w:div w:id="52168671">
          <w:marLeft w:val="1555"/>
          <w:marRight w:val="0"/>
          <w:marTop w:val="115"/>
          <w:marBottom w:val="0"/>
          <w:divBdr>
            <w:top w:val="none" w:sz="0" w:space="0" w:color="auto"/>
            <w:left w:val="none" w:sz="0" w:space="0" w:color="auto"/>
            <w:bottom w:val="none" w:sz="0" w:space="0" w:color="auto"/>
            <w:right w:val="none" w:sz="0" w:space="0" w:color="auto"/>
          </w:divBdr>
        </w:div>
        <w:div w:id="1161972219">
          <w:marLeft w:val="1555"/>
          <w:marRight w:val="0"/>
          <w:marTop w:val="115"/>
          <w:marBottom w:val="0"/>
          <w:divBdr>
            <w:top w:val="none" w:sz="0" w:space="0" w:color="auto"/>
            <w:left w:val="none" w:sz="0" w:space="0" w:color="auto"/>
            <w:bottom w:val="none" w:sz="0" w:space="0" w:color="auto"/>
            <w:right w:val="none" w:sz="0" w:space="0" w:color="auto"/>
          </w:divBdr>
        </w:div>
        <w:div w:id="1473056151">
          <w:marLeft w:val="1555"/>
          <w:marRight w:val="0"/>
          <w:marTop w:val="115"/>
          <w:marBottom w:val="0"/>
          <w:divBdr>
            <w:top w:val="none" w:sz="0" w:space="0" w:color="auto"/>
            <w:left w:val="none" w:sz="0" w:space="0" w:color="auto"/>
            <w:bottom w:val="none" w:sz="0" w:space="0" w:color="auto"/>
            <w:right w:val="none" w:sz="0" w:space="0" w:color="auto"/>
          </w:divBdr>
        </w:div>
      </w:divsChild>
    </w:div>
    <w:div w:id="1004474676">
      <w:bodyDiv w:val="1"/>
      <w:marLeft w:val="0"/>
      <w:marRight w:val="0"/>
      <w:marTop w:val="0"/>
      <w:marBottom w:val="0"/>
      <w:divBdr>
        <w:top w:val="none" w:sz="0" w:space="0" w:color="auto"/>
        <w:left w:val="none" w:sz="0" w:space="0" w:color="auto"/>
        <w:bottom w:val="none" w:sz="0" w:space="0" w:color="auto"/>
        <w:right w:val="none" w:sz="0" w:space="0" w:color="auto"/>
      </w:divBdr>
    </w:div>
    <w:div w:id="1005940728">
      <w:bodyDiv w:val="1"/>
      <w:marLeft w:val="0"/>
      <w:marRight w:val="0"/>
      <w:marTop w:val="0"/>
      <w:marBottom w:val="0"/>
      <w:divBdr>
        <w:top w:val="none" w:sz="0" w:space="0" w:color="auto"/>
        <w:left w:val="none" w:sz="0" w:space="0" w:color="auto"/>
        <w:bottom w:val="none" w:sz="0" w:space="0" w:color="auto"/>
        <w:right w:val="none" w:sz="0" w:space="0" w:color="auto"/>
      </w:divBdr>
    </w:div>
    <w:div w:id="1017660793">
      <w:bodyDiv w:val="1"/>
      <w:marLeft w:val="0"/>
      <w:marRight w:val="0"/>
      <w:marTop w:val="0"/>
      <w:marBottom w:val="0"/>
      <w:divBdr>
        <w:top w:val="none" w:sz="0" w:space="0" w:color="auto"/>
        <w:left w:val="none" w:sz="0" w:space="0" w:color="auto"/>
        <w:bottom w:val="none" w:sz="0" w:space="0" w:color="auto"/>
        <w:right w:val="none" w:sz="0" w:space="0" w:color="auto"/>
      </w:divBdr>
      <w:divsChild>
        <w:div w:id="93747528">
          <w:marLeft w:val="547"/>
          <w:marRight w:val="0"/>
          <w:marTop w:val="106"/>
          <w:marBottom w:val="0"/>
          <w:divBdr>
            <w:top w:val="none" w:sz="0" w:space="0" w:color="auto"/>
            <w:left w:val="none" w:sz="0" w:space="0" w:color="auto"/>
            <w:bottom w:val="none" w:sz="0" w:space="0" w:color="auto"/>
            <w:right w:val="none" w:sz="0" w:space="0" w:color="auto"/>
          </w:divBdr>
        </w:div>
        <w:div w:id="697244709">
          <w:marLeft w:val="547"/>
          <w:marRight w:val="0"/>
          <w:marTop w:val="106"/>
          <w:marBottom w:val="0"/>
          <w:divBdr>
            <w:top w:val="none" w:sz="0" w:space="0" w:color="auto"/>
            <w:left w:val="none" w:sz="0" w:space="0" w:color="auto"/>
            <w:bottom w:val="none" w:sz="0" w:space="0" w:color="auto"/>
            <w:right w:val="none" w:sz="0" w:space="0" w:color="auto"/>
          </w:divBdr>
        </w:div>
        <w:div w:id="1147622289">
          <w:marLeft w:val="547"/>
          <w:marRight w:val="0"/>
          <w:marTop w:val="106"/>
          <w:marBottom w:val="0"/>
          <w:divBdr>
            <w:top w:val="none" w:sz="0" w:space="0" w:color="auto"/>
            <w:left w:val="none" w:sz="0" w:space="0" w:color="auto"/>
            <w:bottom w:val="none" w:sz="0" w:space="0" w:color="auto"/>
            <w:right w:val="none" w:sz="0" w:space="0" w:color="auto"/>
          </w:divBdr>
        </w:div>
        <w:div w:id="1971789907">
          <w:marLeft w:val="547"/>
          <w:marRight w:val="0"/>
          <w:marTop w:val="106"/>
          <w:marBottom w:val="0"/>
          <w:divBdr>
            <w:top w:val="none" w:sz="0" w:space="0" w:color="auto"/>
            <w:left w:val="none" w:sz="0" w:space="0" w:color="auto"/>
            <w:bottom w:val="none" w:sz="0" w:space="0" w:color="auto"/>
            <w:right w:val="none" w:sz="0" w:space="0" w:color="auto"/>
          </w:divBdr>
        </w:div>
      </w:divsChild>
    </w:div>
    <w:div w:id="1025902820">
      <w:bodyDiv w:val="1"/>
      <w:marLeft w:val="0"/>
      <w:marRight w:val="0"/>
      <w:marTop w:val="0"/>
      <w:marBottom w:val="0"/>
      <w:divBdr>
        <w:top w:val="none" w:sz="0" w:space="0" w:color="auto"/>
        <w:left w:val="none" w:sz="0" w:space="0" w:color="auto"/>
        <w:bottom w:val="none" w:sz="0" w:space="0" w:color="auto"/>
        <w:right w:val="none" w:sz="0" w:space="0" w:color="auto"/>
      </w:divBdr>
    </w:div>
    <w:div w:id="1032651424">
      <w:bodyDiv w:val="1"/>
      <w:marLeft w:val="0"/>
      <w:marRight w:val="0"/>
      <w:marTop w:val="0"/>
      <w:marBottom w:val="0"/>
      <w:divBdr>
        <w:top w:val="none" w:sz="0" w:space="0" w:color="auto"/>
        <w:left w:val="none" w:sz="0" w:space="0" w:color="auto"/>
        <w:bottom w:val="none" w:sz="0" w:space="0" w:color="auto"/>
        <w:right w:val="none" w:sz="0" w:space="0" w:color="auto"/>
      </w:divBdr>
      <w:divsChild>
        <w:div w:id="364526521">
          <w:marLeft w:val="576"/>
          <w:marRight w:val="0"/>
          <w:marTop w:val="115"/>
          <w:marBottom w:val="0"/>
          <w:divBdr>
            <w:top w:val="none" w:sz="0" w:space="0" w:color="auto"/>
            <w:left w:val="none" w:sz="0" w:space="0" w:color="auto"/>
            <w:bottom w:val="none" w:sz="0" w:space="0" w:color="auto"/>
            <w:right w:val="none" w:sz="0" w:space="0" w:color="auto"/>
          </w:divBdr>
        </w:div>
      </w:divsChild>
    </w:div>
    <w:div w:id="1049768860">
      <w:bodyDiv w:val="1"/>
      <w:marLeft w:val="0"/>
      <w:marRight w:val="0"/>
      <w:marTop w:val="0"/>
      <w:marBottom w:val="0"/>
      <w:divBdr>
        <w:top w:val="none" w:sz="0" w:space="0" w:color="auto"/>
        <w:left w:val="none" w:sz="0" w:space="0" w:color="auto"/>
        <w:bottom w:val="none" w:sz="0" w:space="0" w:color="auto"/>
        <w:right w:val="none" w:sz="0" w:space="0" w:color="auto"/>
      </w:divBdr>
    </w:div>
    <w:div w:id="1080904931">
      <w:bodyDiv w:val="1"/>
      <w:marLeft w:val="0"/>
      <w:marRight w:val="0"/>
      <w:marTop w:val="0"/>
      <w:marBottom w:val="0"/>
      <w:divBdr>
        <w:top w:val="none" w:sz="0" w:space="0" w:color="auto"/>
        <w:left w:val="none" w:sz="0" w:space="0" w:color="auto"/>
        <w:bottom w:val="none" w:sz="0" w:space="0" w:color="auto"/>
        <w:right w:val="none" w:sz="0" w:space="0" w:color="auto"/>
      </w:divBdr>
      <w:divsChild>
        <w:div w:id="409499906">
          <w:marLeft w:val="1166"/>
          <w:marRight w:val="0"/>
          <w:marTop w:val="115"/>
          <w:marBottom w:val="0"/>
          <w:divBdr>
            <w:top w:val="none" w:sz="0" w:space="0" w:color="auto"/>
            <w:left w:val="none" w:sz="0" w:space="0" w:color="auto"/>
            <w:bottom w:val="none" w:sz="0" w:space="0" w:color="auto"/>
            <w:right w:val="none" w:sz="0" w:space="0" w:color="auto"/>
          </w:divBdr>
        </w:div>
        <w:div w:id="2047295387">
          <w:marLeft w:val="1166"/>
          <w:marRight w:val="0"/>
          <w:marTop w:val="115"/>
          <w:marBottom w:val="0"/>
          <w:divBdr>
            <w:top w:val="none" w:sz="0" w:space="0" w:color="auto"/>
            <w:left w:val="none" w:sz="0" w:space="0" w:color="auto"/>
            <w:bottom w:val="none" w:sz="0" w:space="0" w:color="auto"/>
            <w:right w:val="none" w:sz="0" w:space="0" w:color="auto"/>
          </w:divBdr>
        </w:div>
      </w:divsChild>
    </w:div>
    <w:div w:id="1082141357">
      <w:bodyDiv w:val="1"/>
      <w:marLeft w:val="0"/>
      <w:marRight w:val="0"/>
      <w:marTop w:val="0"/>
      <w:marBottom w:val="0"/>
      <w:divBdr>
        <w:top w:val="none" w:sz="0" w:space="0" w:color="auto"/>
        <w:left w:val="none" w:sz="0" w:space="0" w:color="auto"/>
        <w:bottom w:val="none" w:sz="0" w:space="0" w:color="auto"/>
        <w:right w:val="none" w:sz="0" w:space="0" w:color="auto"/>
      </w:divBdr>
    </w:div>
    <w:div w:id="1082796909">
      <w:bodyDiv w:val="1"/>
      <w:marLeft w:val="0"/>
      <w:marRight w:val="0"/>
      <w:marTop w:val="0"/>
      <w:marBottom w:val="0"/>
      <w:divBdr>
        <w:top w:val="none" w:sz="0" w:space="0" w:color="auto"/>
        <w:left w:val="none" w:sz="0" w:space="0" w:color="auto"/>
        <w:bottom w:val="none" w:sz="0" w:space="0" w:color="auto"/>
        <w:right w:val="none" w:sz="0" w:space="0" w:color="auto"/>
      </w:divBdr>
    </w:div>
    <w:div w:id="1087187714">
      <w:bodyDiv w:val="1"/>
      <w:marLeft w:val="0"/>
      <w:marRight w:val="0"/>
      <w:marTop w:val="0"/>
      <w:marBottom w:val="0"/>
      <w:divBdr>
        <w:top w:val="none" w:sz="0" w:space="0" w:color="auto"/>
        <w:left w:val="none" w:sz="0" w:space="0" w:color="auto"/>
        <w:bottom w:val="none" w:sz="0" w:space="0" w:color="auto"/>
        <w:right w:val="none" w:sz="0" w:space="0" w:color="auto"/>
      </w:divBdr>
    </w:div>
    <w:div w:id="1093748964">
      <w:bodyDiv w:val="1"/>
      <w:marLeft w:val="0"/>
      <w:marRight w:val="0"/>
      <w:marTop w:val="0"/>
      <w:marBottom w:val="0"/>
      <w:divBdr>
        <w:top w:val="none" w:sz="0" w:space="0" w:color="auto"/>
        <w:left w:val="none" w:sz="0" w:space="0" w:color="auto"/>
        <w:bottom w:val="none" w:sz="0" w:space="0" w:color="auto"/>
        <w:right w:val="none" w:sz="0" w:space="0" w:color="auto"/>
      </w:divBdr>
      <w:divsChild>
        <w:div w:id="1761021626">
          <w:marLeft w:val="1166"/>
          <w:marRight w:val="0"/>
          <w:marTop w:val="106"/>
          <w:marBottom w:val="0"/>
          <w:divBdr>
            <w:top w:val="none" w:sz="0" w:space="0" w:color="auto"/>
            <w:left w:val="none" w:sz="0" w:space="0" w:color="auto"/>
            <w:bottom w:val="none" w:sz="0" w:space="0" w:color="auto"/>
            <w:right w:val="none" w:sz="0" w:space="0" w:color="auto"/>
          </w:divBdr>
        </w:div>
        <w:div w:id="2117820484">
          <w:marLeft w:val="1166"/>
          <w:marRight w:val="0"/>
          <w:marTop w:val="106"/>
          <w:marBottom w:val="0"/>
          <w:divBdr>
            <w:top w:val="none" w:sz="0" w:space="0" w:color="auto"/>
            <w:left w:val="none" w:sz="0" w:space="0" w:color="auto"/>
            <w:bottom w:val="none" w:sz="0" w:space="0" w:color="auto"/>
            <w:right w:val="none" w:sz="0" w:space="0" w:color="auto"/>
          </w:divBdr>
        </w:div>
      </w:divsChild>
    </w:div>
    <w:div w:id="1094208184">
      <w:bodyDiv w:val="1"/>
      <w:marLeft w:val="0"/>
      <w:marRight w:val="0"/>
      <w:marTop w:val="0"/>
      <w:marBottom w:val="0"/>
      <w:divBdr>
        <w:top w:val="none" w:sz="0" w:space="0" w:color="auto"/>
        <w:left w:val="none" w:sz="0" w:space="0" w:color="auto"/>
        <w:bottom w:val="none" w:sz="0" w:space="0" w:color="auto"/>
        <w:right w:val="none" w:sz="0" w:space="0" w:color="auto"/>
      </w:divBdr>
    </w:div>
    <w:div w:id="1107624039">
      <w:bodyDiv w:val="1"/>
      <w:marLeft w:val="0"/>
      <w:marRight w:val="0"/>
      <w:marTop w:val="0"/>
      <w:marBottom w:val="0"/>
      <w:divBdr>
        <w:top w:val="none" w:sz="0" w:space="0" w:color="auto"/>
        <w:left w:val="none" w:sz="0" w:space="0" w:color="auto"/>
        <w:bottom w:val="none" w:sz="0" w:space="0" w:color="auto"/>
        <w:right w:val="none" w:sz="0" w:space="0" w:color="auto"/>
      </w:divBdr>
    </w:div>
    <w:div w:id="1112629186">
      <w:bodyDiv w:val="1"/>
      <w:marLeft w:val="0"/>
      <w:marRight w:val="0"/>
      <w:marTop w:val="0"/>
      <w:marBottom w:val="0"/>
      <w:divBdr>
        <w:top w:val="none" w:sz="0" w:space="0" w:color="auto"/>
        <w:left w:val="none" w:sz="0" w:space="0" w:color="auto"/>
        <w:bottom w:val="none" w:sz="0" w:space="0" w:color="auto"/>
        <w:right w:val="none" w:sz="0" w:space="0" w:color="auto"/>
      </w:divBdr>
      <w:divsChild>
        <w:div w:id="634021173">
          <w:marLeft w:val="547"/>
          <w:marRight w:val="0"/>
          <w:marTop w:val="276"/>
          <w:marBottom w:val="0"/>
          <w:divBdr>
            <w:top w:val="none" w:sz="0" w:space="0" w:color="auto"/>
            <w:left w:val="none" w:sz="0" w:space="0" w:color="auto"/>
            <w:bottom w:val="none" w:sz="0" w:space="0" w:color="auto"/>
            <w:right w:val="none" w:sz="0" w:space="0" w:color="auto"/>
          </w:divBdr>
        </w:div>
      </w:divsChild>
    </w:div>
    <w:div w:id="1118794010">
      <w:bodyDiv w:val="1"/>
      <w:marLeft w:val="0"/>
      <w:marRight w:val="0"/>
      <w:marTop w:val="0"/>
      <w:marBottom w:val="0"/>
      <w:divBdr>
        <w:top w:val="none" w:sz="0" w:space="0" w:color="auto"/>
        <w:left w:val="none" w:sz="0" w:space="0" w:color="auto"/>
        <w:bottom w:val="none" w:sz="0" w:space="0" w:color="auto"/>
        <w:right w:val="none" w:sz="0" w:space="0" w:color="auto"/>
      </w:divBdr>
    </w:div>
    <w:div w:id="1119686722">
      <w:bodyDiv w:val="1"/>
      <w:marLeft w:val="0"/>
      <w:marRight w:val="0"/>
      <w:marTop w:val="0"/>
      <w:marBottom w:val="0"/>
      <w:divBdr>
        <w:top w:val="none" w:sz="0" w:space="0" w:color="auto"/>
        <w:left w:val="none" w:sz="0" w:space="0" w:color="auto"/>
        <w:bottom w:val="none" w:sz="0" w:space="0" w:color="auto"/>
        <w:right w:val="none" w:sz="0" w:space="0" w:color="auto"/>
      </w:divBdr>
    </w:div>
    <w:div w:id="1125998405">
      <w:bodyDiv w:val="1"/>
      <w:marLeft w:val="0"/>
      <w:marRight w:val="0"/>
      <w:marTop w:val="0"/>
      <w:marBottom w:val="0"/>
      <w:divBdr>
        <w:top w:val="none" w:sz="0" w:space="0" w:color="auto"/>
        <w:left w:val="none" w:sz="0" w:space="0" w:color="auto"/>
        <w:bottom w:val="none" w:sz="0" w:space="0" w:color="auto"/>
        <w:right w:val="none" w:sz="0" w:space="0" w:color="auto"/>
      </w:divBdr>
      <w:divsChild>
        <w:div w:id="1483086553">
          <w:marLeft w:val="1555"/>
          <w:marRight w:val="0"/>
          <w:marTop w:val="115"/>
          <w:marBottom w:val="0"/>
          <w:divBdr>
            <w:top w:val="none" w:sz="0" w:space="0" w:color="auto"/>
            <w:left w:val="none" w:sz="0" w:space="0" w:color="auto"/>
            <w:bottom w:val="none" w:sz="0" w:space="0" w:color="auto"/>
            <w:right w:val="none" w:sz="0" w:space="0" w:color="auto"/>
          </w:divBdr>
        </w:div>
        <w:div w:id="1753501539">
          <w:marLeft w:val="1555"/>
          <w:marRight w:val="0"/>
          <w:marTop w:val="115"/>
          <w:marBottom w:val="0"/>
          <w:divBdr>
            <w:top w:val="none" w:sz="0" w:space="0" w:color="auto"/>
            <w:left w:val="none" w:sz="0" w:space="0" w:color="auto"/>
            <w:bottom w:val="none" w:sz="0" w:space="0" w:color="auto"/>
            <w:right w:val="none" w:sz="0" w:space="0" w:color="auto"/>
          </w:divBdr>
        </w:div>
        <w:div w:id="1763647770">
          <w:marLeft w:val="1555"/>
          <w:marRight w:val="0"/>
          <w:marTop w:val="115"/>
          <w:marBottom w:val="0"/>
          <w:divBdr>
            <w:top w:val="none" w:sz="0" w:space="0" w:color="auto"/>
            <w:left w:val="none" w:sz="0" w:space="0" w:color="auto"/>
            <w:bottom w:val="none" w:sz="0" w:space="0" w:color="auto"/>
            <w:right w:val="none" w:sz="0" w:space="0" w:color="auto"/>
          </w:divBdr>
        </w:div>
        <w:div w:id="1869369304">
          <w:marLeft w:val="1555"/>
          <w:marRight w:val="0"/>
          <w:marTop w:val="115"/>
          <w:marBottom w:val="0"/>
          <w:divBdr>
            <w:top w:val="none" w:sz="0" w:space="0" w:color="auto"/>
            <w:left w:val="none" w:sz="0" w:space="0" w:color="auto"/>
            <w:bottom w:val="none" w:sz="0" w:space="0" w:color="auto"/>
            <w:right w:val="none" w:sz="0" w:space="0" w:color="auto"/>
          </w:divBdr>
        </w:div>
      </w:divsChild>
    </w:div>
    <w:div w:id="1130897311">
      <w:bodyDiv w:val="1"/>
      <w:marLeft w:val="0"/>
      <w:marRight w:val="0"/>
      <w:marTop w:val="0"/>
      <w:marBottom w:val="0"/>
      <w:divBdr>
        <w:top w:val="none" w:sz="0" w:space="0" w:color="auto"/>
        <w:left w:val="none" w:sz="0" w:space="0" w:color="auto"/>
        <w:bottom w:val="none" w:sz="0" w:space="0" w:color="auto"/>
        <w:right w:val="none" w:sz="0" w:space="0" w:color="auto"/>
      </w:divBdr>
      <w:divsChild>
        <w:div w:id="2079277886">
          <w:marLeft w:val="547"/>
          <w:marRight w:val="0"/>
          <w:marTop w:val="106"/>
          <w:marBottom w:val="0"/>
          <w:divBdr>
            <w:top w:val="none" w:sz="0" w:space="0" w:color="auto"/>
            <w:left w:val="none" w:sz="0" w:space="0" w:color="auto"/>
            <w:bottom w:val="none" w:sz="0" w:space="0" w:color="auto"/>
            <w:right w:val="none" w:sz="0" w:space="0" w:color="auto"/>
          </w:divBdr>
        </w:div>
      </w:divsChild>
    </w:div>
    <w:div w:id="1189106252">
      <w:bodyDiv w:val="1"/>
      <w:marLeft w:val="0"/>
      <w:marRight w:val="0"/>
      <w:marTop w:val="0"/>
      <w:marBottom w:val="0"/>
      <w:divBdr>
        <w:top w:val="none" w:sz="0" w:space="0" w:color="auto"/>
        <w:left w:val="none" w:sz="0" w:space="0" w:color="auto"/>
        <w:bottom w:val="none" w:sz="0" w:space="0" w:color="auto"/>
        <w:right w:val="none" w:sz="0" w:space="0" w:color="auto"/>
      </w:divBdr>
    </w:div>
    <w:div w:id="1196045682">
      <w:bodyDiv w:val="1"/>
      <w:marLeft w:val="0"/>
      <w:marRight w:val="0"/>
      <w:marTop w:val="0"/>
      <w:marBottom w:val="0"/>
      <w:divBdr>
        <w:top w:val="none" w:sz="0" w:space="0" w:color="auto"/>
        <w:left w:val="none" w:sz="0" w:space="0" w:color="auto"/>
        <w:bottom w:val="none" w:sz="0" w:space="0" w:color="auto"/>
        <w:right w:val="none" w:sz="0" w:space="0" w:color="auto"/>
      </w:divBdr>
      <w:divsChild>
        <w:div w:id="2008434331">
          <w:marLeft w:val="547"/>
          <w:marRight w:val="0"/>
          <w:marTop w:val="115"/>
          <w:marBottom w:val="0"/>
          <w:divBdr>
            <w:top w:val="none" w:sz="0" w:space="0" w:color="auto"/>
            <w:left w:val="none" w:sz="0" w:space="0" w:color="auto"/>
            <w:bottom w:val="none" w:sz="0" w:space="0" w:color="auto"/>
            <w:right w:val="none" w:sz="0" w:space="0" w:color="auto"/>
          </w:divBdr>
        </w:div>
      </w:divsChild>
    </w:div>
    <w:div w:id="1228221589">
      <w:bodyDiv w:val="1"/>
      <w:marLeft w:val="0"/>
      <w:marRight w:val="0"/>
      <w:marTop w:val="0"/>
      <w:marBottom w:val="0"/>
      <w:divBdr>
        <w:top w:val="none" w:sz="0" w:space="0" w:color="auto"/>
        <w:left w:val="none" w:sz="0" w:space="0" w:color="auto"/>
        <w:bottom w:val="none" w:sz="0" w:space="0" w:color="auto"/>
        <w:right w:val="none" w:sz="0" w:space="0" w:color="auto"/>
      </w:divBdr>
    </w:div>
    <w:div w:id="1285891313">
      <w:bodyDiv w:val="1"/>
      <w:marLeft w:val="0"/>
      <w:marRight w:val="0"/>
      <w:marTop w:val="0"/>
      <w:marBottom w:val="0"/>
      <w:divBdr>
        <w:top w:val="none" w:sz="0" w:space="0" w:color="auto"/>
        <w:left w:val="none" w:sz="0" w:space="0" w:color="auto"/>
        <w:bottom w:val="none" w:sz="0" w:space="0" w:color="auto"/>
        <w:right w:val="none" w:sz="0" w:space="0" w:color="auto"/>
      </w:divBdr>
      <w:divsChild>
        <w:div w:id="954798367">
          <w:marLeft w:val="3240"/>
          <w:marRight w:val="0"/>
          <w:marTop w:val="115"/>
          <w:marBottom w:val="0"/>
          <w:divBdr>
            <w:top w:val="none" w:sz="0" w:space="0" w:color="auto"/>
            <w:left w:val="none" w:sz="0" w:space="0" w:color="auto"/>
            <w:bottom w:val="none" w:sz="0" w:space="0" w:color="auto"/>
            <w:right w:val="none" w:sz="0" w:space="0" w:color="auto"/>
          </w:divBdr>
        </w:div>
        <w:div w:id="1050031233">
          <w:marLeft w:val="1800"/>
          <w:marRight w:val="0"/>
          <w:marTop w:val="115"/>
          <w:marBottom w:val="0"/>
          <w:divBdr>
            <w:top w:val="none" w:sz="0" w:space="0" w:color="auto"/>
            <w:left w:val="none" w:sz="0" w:space="0" w:color="auto"/>
            <w:bottom w:val="none" w:sz="0" w:space="0" w:color="auto"/>
            <w:right w:val="none" w:sz="0" w:space="0" w:color="auto"/>
          </w:divBdr>
        </w:div>
        <w:div w:id="1644849441">
          <w:marLeft w:val="2520"/>
          <w:marRight w:val="0"/>
          <w:marTop w:val="115"/>
          <w:marBottom w:val="0"/>
          <w:divBdr>
            <w:top w:val="none" w:sz="0" w:space="0" w:color="auto"/>
            <w:left w:val="none" w:sz="0" w:space="0" w:color="auto"/>
            <w:bottom w:val="none" w:sz="0" w:space="0" w:color="auto"/>
            <w:right w:val="none" w:sz="0" w:space="0" w:color="auto"/>
          </w:divBdr>
        </w:div>
      </w:divsChild>
    </w:div>
    <w:div w:id="1304970192">
      <w:bodyDiv w:val="1"/>
      <w:marLeft w:val="0"/>
      <w:marRight w:val="0"/>
      <w:marTop w:val="0"/>
      <w:marBottom w:val="0"/>
      <w:divBdr>
        <w:top w:val="none" w:sz="0" w:space="0" w:color="auto"/>
        <w:left w:val="none" w:sz="0" w:space="0" w:color="auto"/>
        <w:bottom w:val="none" w:sz="0" w:space="0" w:color="auto"/>
        <w:right w:val="none" w:sz="0" w:space="0" w:color="auto"/>
      </w:divBdr>
    </w:div>
    <w:div w:id="1314867659">
      <w:bodyDiv w:val="1"/>
      <w:marLeft w:val="0"/>
      <w:marRight w:val="0"/>
      <w:marTop w:val="0"/>
      <w:marBottom w:val="0"/>
      <w:divBdr>
        <w:top w:val="none" w:sz="0" w:space="0" w:color="auto"/>
        <w:left w:val="none" w:sz="0" w:space="0" w:color="auto"/>
        <w:bottom w:val="none" w:sz="0" w:space="0" w:color="auto"/>
        <w:right w:val="none" w:sz="0" w:space="0" w:color="auto"/>
      </w:divBdr>
    </w:div>
    <w:div w:id="1348214111">
      <w:bodyDiv w:val="1"/>
      <w:marLeft w:val="0"/>
      <w:marRight w:val="0"/>
      <w:marTop w:val="0"/>
      <w:marBottom w:val="0"/>
      <w:divBdr>
        <w:top w:val="none" w:sz="0" w:space="0" w:color="auto"/>
        <w:left w:val="none" w:sz="0" w:space="0" w:color="auto"/>
        <w:bottom w:val="none" w:sz="0" w:space="0" w:color="auto"/>
        <w:right w:val="none" w:sz="0" w:space="0" w:color="auto"/>
      </w:divBdr>
    </w:div>
    <w:div w:id="1382708112">
      <w:bodyDiv w:val="1"/>
      <w:marLeft w:val="0"/>
      <w:marRight w:val="0"/>
      <w:marTop w:val="0"/>
      <w:marBottom w:val="0"/>
      <w:divBdr>
        <w:top w:val="none" w:sz="0" w:space="0" w:color="auto"/>
        <w:left w:val="none" w:sz="0" w:space="0" w:color="auto"/>
        <w:bottom w:val="none" w:sz="0" w:space="0" w:color="auto"/>
        <w:right w:val="none" w:sz="0" w:space="0" w:color="auto"/>
      </w:divBdr>
    </w:div>
    <w:div w:id="1415933160">
      <w:bodyDiv w:val="1"/>
      <w:marLeft w:val="0"/>
      <w:marRight w:val="0"/>
      <w:marTop w:val="0"/>
      <w:marBottom w:val="0"/>
      <w:divBdr>
        <w:top w:val="none" w:sz="0" w:space="0" w:color="auto"/>
        <w:left w:val="none" w:sz="0" w:space="0" w:color="auto"/>
        <w:bottom w:val="none" w:sz="0" w:space="0" w:color="auto"/>
        <w:right w:val="none" w:sz="0" w:space="0" w:color="auto"/>
      </w:divBdr>
    </w:div>
    <w:div w:id="1421370628">
      <w:bodyDiv w:val="1"/>
      <w:marLeft w:val="0"/>
      <w:marRight w:val="0"/>
      <w:marTop w:val="0"/>
      <w:marBottom w:val="0"/>
      <w:divBdr>
        <w:top w:val="none" w:sz="0" w:space="0" w:color="auto"/>
        <w:left w:val="none" w:sz="0" w:space="0" w:color="auto"/>
        <w:bottom w:val="none" w:sz="0" w:space="0" w:color="auto"/>
        <w:right w:val="none" w:sz="0" w:space="0" w:color="auto"/>
      </w:divBdr>
    </w:div>
    <w:div w:id="1439838922">
      <w:bodyDiv w:val="1"/>
      <w:marLeft w:val="0"/>
      <w:marRight w:val="0"/>
      <w:marTop w:val="0"/>
      <w:marBottom w:val="0"/>
      <w:divBdr>
        <w:top w:val="none" w:sz="0" w:space="0" w:color="auto"/>
        <w:left w:val="none" w:sz="0" w:space="0" w:color="auto"/>
        <w:bottom w:val="none" w:sz="0" w:space="0" w:color="auto"/>
        <w:right w:val="none" w:sz="0" w:space="0" w:color="auto"/>
      </w:divBdr>
    </w:div>
    <w:div w:id="1471168134">
      <w:bodyDiv w:val="1"/>
      <w:marLeft w:val="0"/>
      <w:marRight w:val="0"/>
      <w:marTop w:val="0"/>
      <w:marBottom w:val="0"/>
      <w:divBdr>
        <w:top w:val="none" w:sz="0" w:space="0" w:color="auto"/>
        <w:left w:val="none" w:sz="0" w:space="0" w:color="auto"/>
        <w:bottom w:val="none" w:sz="0" w:space="0" w:color="auto"/>
        <w:right w:val="none" w:sz="0" w:space="0" w:color="auto"/>
      </w:divBdr>
    </w:div>
    <w:div w:id="1496646697">
      <w:bodyDiv w:val="1"/>
      <w:marLeft w:val="0"/>
      <w:marRight w:val="0"/>
      <w:marTop w:val="0"/>
      <w:marBottom w:val="0"/>
      <w:divBdr>
        <w:top w:val="none" w:sz="0" w:space="0" w:color="auto"/>
        <w:left w:val="none" w:sz="0" w:space="0" w:color="auto"/>
        <w:bottom w:val="none" w:sz="0" w:space="0" w:color="auto"/>
        <w:right w:val="none" w:sz="0" w:space="0" w:color="auto"/>
      </w:divBdr>
    </w:div>
    <w:div w:id="1508867371">
      <w:bodyDiv w:val="1"/>
      <w:marLeft w:val="0"/>
      <w:marRight w:val="0"/>
      <w:marTop w:val="0"/>
      <w:marBottom w:val="0"/>
      <w:divBdr>
        <w:top w:val="none" w:sz="0" w:space="0" w:color="auto"/>
        <w:left w:val="none" w:sz="0" w:space="0" w:color="auto"/>
        <w:bottom w:val="none" w:sz="0" w:space="0" w:color="auto"/>
        <w:right w:val="none" w:sz="0" w:space="0" w:color="auto"/>
      </w:divBdr>
    </w:div>
    <w:div w:id="1513252460">
      <w:bodyDiv w:val="1"/>
      <w:marLeft w:val="0"/>
      <w:marRight w:val="0"/>
      <w:marTop w:val="0"/>
      <w:marBottom w:val="0"/>
      <w:divBdr>
        <w:top w:val="none" w:sz="0" w:space="0" w:color="auto"/>
        <w:left w:val="none" w:sz="0" w:space="0" w:color="auto"/>
        <w:bottom w:val="none" w:sz="0" w:space="0" w:color="auto"/>
        <w:right w:val="none" w:sz="0" w:space="0" w:color="auto"/>
      </w:divBdr>
    </w:div>
    <w:div w:id="1536114819">
      <w:bodyDiv w:val="1"/>
      <w:marLeft w:val="0"/>
      <w:marRight w:val="0"/>
      <w:marTop w:val="0"/>
      <w:marBottom w:val="0"/>
      <w:divBdr>
        <w:top w:val="none" w:sz="0" w:space="0" w:color="auto"/>
        <w:left w:val="none" w:sz="0" w:space="0" w:color="auto"/>
        <w:bottom w:val="none" w:sz="0" w:space="0" w:color="auto"/>
        <w:right w:val="none" w:sz="0" w:space="0" w:color="auto"/>
      </w:divBdr>
    </w:div>
    <w:div w:id="1552032002">
      <w:bodyDiv w:val="1"/>
      <w:marLeft w:val="0"/>
      <w:marRight w:val="0"/>
      <w:marTop w:val="0"/>
      <w:marBottom w:val="0"/>
      <w:divBdr>
        <w:top w:val="none" w:sz="0" w:space="0" w:color="auto"/>
        <w:left w:val="none" w:sz="0" w:space="0" w:color="auto"/>
        <w:bottom w:val="none" w:sz="0" w:space="0" w:color="auto"/>
        <w:right w:val="none" w:sz="0" w:space="0" w:color="auto"/>
      </w:divBdr>
    </w:div>
    <w:div w:id="1586915764">
      <w:bodyDiv w:val="1"/>
      <w:marLeft w:val="0"/>
      <w:marRight w:val="0"/>
      <w:marTop w:val="0"/>
      <w:marBottom w:val="0"/>
      <w:divBdr>
        <w:top w:val="none" w:sz="0" w:space="0" w:color="auto"/>
        <w:left w:val="none" w:sz="0" w:space="0" w:color="auto"/>
        <w:bottom w:val="none" w:sz="0" w:space="0" w:color="auto"/>
        <w:right w:val="none" w:sz="0" w:space="0" w:color="auto"/>
      </w:divBdr>
      <w:divsChild>
        <w:div w:id="919486608">
          <w:marLeft w:val="547"/>
          <w:marRight w:val="0"/>
          <w:marTop w:val="106"/>
          <w:marBottom w:val="0"/>
          <w:divBdr>
            <w:top w:val="none" w:sz="0" w:space="0" w:color="auto"/>
            <w:left w:val="none" w:sz="0" w:space="0" w:color="auto"/>
            <w:bottom w:val="none" w:sz="0" w:space="0" w:color="auto"/>
            <w:right w:val="none" w:sz="0" w:space="0" w:color="auto"/>
          </w:divBdr>
        </w:div>
      </w:divsChild>
    </w:div>
    <w:div w:id="1605113205">
      <w:bodyDiv w:val="1"/>
      <w:marLeft w:val="0"/>
      <w:marRight w:val="0"/>
      <w:marTop w:val="0"/>
      <w:marBottom w:val="0"/>
      <w:divBdr>
        <w:top w:val="none" w:sz="0" w:space="0" w:color="auto"/>
        <w:left w:val="none" w:sz="0" w:space="0" w:color="auto"/>
        <w:bottom w:val="none" w:sz="0" w:space="0" w:color="auto"/>
        <w:right w:val="none" w:sz="0" w:space="0" w:color="auto"/>
      </w:divBdr>
    </w:div>
    <w:div w:id="1619950843">
      <w:bodyDiv w:val="1"/>
      <w:marLeft w:val="0"/>
      <w:marRight w:val="0"/>
      <w:marTop w:val="0"/>
      <w:marBottom w:val="0"/>
      <w:divBdr>
        <w:top w:val="none" w:sz="0" w:space="0" w:color="auto"/>
        <w:left w:val="none" w:sz="0" w:space="0" w:color="auto"/>
        <w:bottom w:val="none" w:sz="0" w:space="0" w:color="auto"/>
        <w:right w:val="none" w:sz="0" w:space="0" w:color="auto"/>
      </w:divBdr>
    </w:div>
    <w:div w:id="1637252677">
      <w:bodyDiv w:val="1"/>
      <w:marLeft w:val="0"/>
      <w:marRight w:val="0"/>
      <w:marTop w:val="0"/>
      <w:marBottom w:val="0"/>
      <w:divBdr>
        <w:top w:val="none" w:sz="0" w:space="0" w:color="auto"/>
        <w:left w:val="none" w:sz="0" w:space="0" w:color="auto"/>
        <w:bottom w:val="none" w:sz="0" w:space="0" w:color="auto"/>
        <w:right w:val="none" w:sz="0" w:space="0" w:color="auto"/>
      </w:divBdr>
    </w:div>
    <w:div w:id="1662657707">
      <w:bodyDiv w:val="1"/>
      <w:marLeft w:val="0"/>
      <w:marRight w:val="0"/>
      <w:marTop w:val="0"/>
      <w:marBottom w:val="0"/>
      <w:divBdr>
        <w:top w:val="none" w:sz="0" w:space="0" w:color="auto"/>
        <w:left w:val="none" w:sz="0" w:space="0" w:color="auto"/>
        <w:bottom w:val="none" w:sz="0" w:space="0" w:color="auto"/>
        <w:right w:val="none" w:sz="0" w:space="0" w:color="auto"/>
      </w:divBdr>
      <w:divsChild>
        <w:div w:id="2085300359">
          <w:marLeft w:val="0"/>
          <w:marRight w:val="0"/>
          <w:marTop w:val="0"/>
          <w:marBottom w:val="0"/>
          <w:divBdr>
            <w:top w:val="none" w:sz="0" w:space="0" w:color="auto"/>
            <w:left w:val="none" w:sz="0" w:space="0" w:color="auto"/>
            <w:bottom w:val="none" w:sz="0" w:space="0" w:color="auto"/>
            <w:right w:val="none" w:sz="0" w:space="0" w:color="auto"/>
          </w:divBdr>
          <w:divsChild>
            <w:div w:id="906189416">
              <w:marLeft w:val="0"/>
              <w:marRight w:val="0"/>
              <w:marTop w:val="100"/>
              <w:marBottom w:val="100"/>
              <w:divBdr>
                <w:top w:val="none" w:sz="0" w:space="0" w:color="auto"/>
                <w:left w:val="none" w:sz="0" w:space="0" w:color="auto"/>
                <w:bottom w:val="none" w:sz="0" w:space="0" w:color="auto"/>
                <w:right w:val="none" w:sz="0" w:space="0" w:color="auto"/>
              </w:divBdr>
              <w:divsChild>
                <w:div w:id="84308881">
                  <w:marLeft w:val="150"/>
                  <w:marRight w:val="150"/>
                  <w:marTop w:val="0"/>
                  <w:marBottom w:val="0"/>
                  <w:divBdr>
                    <w:top w:val="none" w:sz="0" w:space="0" w:color="auto"/>
                    <w:left w:val="none" w:sz="0" w:space="0" w:color="auto"/>
                    <w:bottom w:val="none" w:sz="0" w:space="0" w:color="auto"/>
                    <w:right w:val="none" w:sz="0" w:space="0" w:color="auto"/>
                  </w:divBdr>
                  <w:divsChild>
                    <w:div w:id="184293825">
                      <w:marLeft w:val="0"/>
                      <w:marRight w:val="-6000"/>
                      <w:marTop w:val="0"/>
                      <w:marBottom w:val="0"/>
                      <w:divBdr>
                        <w:top w:val="none" w:sz="0" w:space="0" w:color="auto"/>
                        <w:left w:val="none" w:sz="0" w:space="0" w:color="auto"/>
                        <w:bottom w:val="none" w:sz="0" w:space="0" w:color="auto"/>
                        <w:right w:val="none" w:sz="0" w:space="0" w:color="auto"/>
                      </w:divBdr>
                      <w:divsChild>
                        <w:div w:id="1801412091">
                          <w:marLeft w:val="0"/>
                          <w:marRight w:val="5778"/>
                          <w:marTop w:val="0"/>
                          <w:marBottom w:val="0"/>
                          <w:divBdr>
                            <w:top w:val="none" w:sz="0" w:space="0" w:color="auto"/>
                            <w:left w:val="none" w:sz="0" w:space="0" w:color="auto"/>
                            <w:bottom w:val="none" w:sz="0" w:space="0" w:color="auto"/>
                            <w:right w:val="none" w:sz="0" w:space="0" w:color="auto"/>
                          </w:divBdr>
                          <w:divsChild>
                            <w:div w:id="1455173581">
                              <w:marLeft w:val="0"/>
                              <w:marRight w:val="0"/>
                              <w:marTop w:val="0"/>
                              <w:marBottom w:val="0"/>
                              <w:divBdr>
                                <w:top w:val="none" w:sz="0" w:space="0" w:color="auto"/>
                                <w:left w:val="none" w:sz="0" w:space="0" w:color="auto"/>
                                <w:bottom w:val="none" w:sz="0" w:space="0" w:color="auto"/>
                                <w:right w:val="none" w:sz="0" w:space="0" w:color="auto"/>
                              </w:divBdr>
                              <w:divsChild>
                                <w:div w:id="1474642294">
                                  <w:marLeft w:val="0"/>
                                  <w:marRight w:val="0"/>
                                  <w:marTop w:val="0"/>
                                  <w:marBottom w:val="0"/>
                                  <w:divBdr>
                                    <w:top w:val="none" w:sz="0" w:space="0" w:color="auto"/>
                                    <w:left w:val="none" w:sz="0" w:space="0" w:color="auto"/>
                                    <w:bottom w:val="none" w:sz="0" w:space="0" w:color="auto"/>
                                    <w:right w:val="none" w:sz="0" w:space="0" w:color="auto"/>
                                  </w:divBdr>
                                  <w:divsChild>
                                    <w:div w:id="939143931">
                                      <w:marLeft w:val="0"/>
                                      <w:marRight w:val="0"/>
                                      <w:marTop w:val="0"/>
                                      <w:marBottom w:val="0"/>
                                      <w:divBdr>
                                        <w:top w:val="none" w:sz="0" w:space="0" w:color="auto"/>
                                        <w:left w:val="none" w:sz="0" w:space="0" w:color="auto"/>
                                        <w:bottom w:val="none" w:sz="0" w:space="0" w:color="auto"/>
                                        <w:right w:val="none" w:sz="0" w:space="0" w:color="auto"/>
                                      </w:divBdr>
                                      <w:divsChild>
                                        <w:div w:id="11160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130505">
      <w:bodyDiv w:val="1"/>
      <w:marLeft w:val="0"/>
      <w:marRight w:val="0"/>
      <w:marTop w:val="0"/>
      <w:marBottom w:val="0"/>
      <w:divBdr>
        <w:top w:val="none" w:sz="0" w:space="0" w:color="auto"/>
        <w:left w:val="none" w:sz="0" w:space="0" w:color="auto"/>
        <w:bottom w:val="none" w:sz="0" w:space="0" w:color="auto"/>
        <w:right w:val="none" w:sz="0" w:space="0" w:color="auto"/>
      </w:divBdr>
    </w:div>
    <w:div w:id="1714233043">
      <w:bodyDiv w:val="1"/>
      <w:marLeft w:val="0"/>
      <w:marRight w:val="0"/>
      <w:marTop w:val="0"/>
      <w:marBottom w:val="0"/>
      <w:divBdr>
        <w:top w:val="none" w:sz="0" w:space="0" w:color="auto"/>
        <w:left w:val="none" w:sz="0" w:space="0" w:color="auto"/>
        <w:bottom w:val="none" w:sz="0" w:space="0" w:color="auto"/>
        <w:right w:val="none" w:sz="0" w:space="0" w:color="auto"/>
      </w:divBdr>
      <w:divsChild>
        <w:div w:id="804279612">
          <w:marLeft w:val="547"/>
          <w:marRight w:val="0"/>
          <w:marTop w:val="110"/>
          <w:marBottom w:val="0"/>
          <w:divBdr>
            <w:top w:val="none" w:sz="0" w:space="0" w:color="auto"/>
            <w:left w:val="none" w:sz="0" w:space="0" w:color="auto"/>
            <w:bottom w:val="none" w:sz="0" w:space="0" w:color="auto"/>
            <w:right w:val="none" w:sz="0" w:space="0" w:color="auto"/>
          </w:divBdr>
        </w:div>
        <w:div w:id="1792746558">
          <w:marLeft w:val="547"/>
          <w:marRight w:val="0"/>
          <w:marTop w:val="110"/>
          <w:marBottom w:val="0"/>
          <w:divBdr>
            <w:top w:val="none" w:sz="0" w:space="0" w:color="auto"/>
            <w:left w:val="none" w:sz="0" w:space="0" w:color="auto"/>
            <w:bottom w:val="none" w:sz="0" w:space="0" w:color="auto"/>
            <w:right w:val="none" w:sz="0" w:space="0" w:color="auto"/>
          </w:divBdr>
        </w:div>
        <w:div w:id="1853185894">
          <w:marLeft w:val="547"/>
          <w:marRight w:val="0"/>
          <w:marTop w:val="110"/>
          <w:marBottom w:val="0"/>
          <w:divBdr>
            <w:top w:val="none" w:sz="0" w:space="0" w:color="auto"/>
            <w:left w:val="none" w:sz="0" w:space="0" w:color="auto"/>
            <w:bottom w:val="none" w:sz="0" w:space="0" w:color="auto"/>
            <w:right w:val="none" w:sz="0" w:space="0" w:color="auto"/>
          </w:divBdr>
        </w:div>
      </w:divsChild>
    </w:div>
    <w:div w:id="1717199642">
      <w:bodyDiv w:val="1"/>
      <w:marLeft w:val="0"/>
      <w:marRight w:val="0"/>
      <w:marTop w:val="0"/>
      <w:marBottom w:val="0"/>
      <w:divBdr>
        <w:top w:val="none" w:sz="0" w:space="0" w:color="auto"/>
        <w:left w:val="none" w:sz="0" w:space="0" w:color="auto"/>
        <w:bottom w:val="none" w:sz="0" w:space="0" w:color="auto"/>
        <w:right w:val="none" w:sz="0" w:space="0" w:color="auto"/>
      </w:divBdr>
    </w:div>
    <w:div w:id="1733656564">
      <w:bodyDiv w:val="1"/>
      <w:marLeft w:val="0"/>
      <w:marRight w:val="0"/>
      <w:marTop w:val="0"/>
      <w:marBottom w:val="0"/>
      <w:divBdr>
        <w:top w:val="none" w:sz="0" w:space="0" w:color="auto"/>
        <w:left w:val="none" w:sz="0" w:space="0" w:color="auto"/>
        <w:bottom w:val="none" w:sz="0" w:space="0" w:color="auto"/>
        <w:right w:val="none" w:sz="0" w:space="0" w:color="auto"/>
      </w:divBdr>
    </w:div>
    <w:div w:id="1737969309">
      <w:bodyDiv w:val="1"/>
      <w:marLeft w:val="0"/>
      <w:marRight w:val="0"/>
      <w:marTop w:val="0"/>
      <w:marBottom w:val="0"/>
      <w:divBdr>
        <w:top w:val="none" w:sz="0" w:space="0" w:color="auto"/>
        <w:left w:val="none" w:sz="0" w:space="0" w:color="auto"/>
        <w:bottom w:val="none" w:sz="0" w:space="0" w:color="auto"/>
        <w:right w:val="none" w:sz="0" w:space="0" w:color="auto"/>
      </w:divBdr>
    </w:div>
    <w:div w:id="1746367677">
      <w:bodyDiv w:val="1"/>
      <w:marLeft w:val="0"/>
      <w:marRight w:val="0"/>
      <w:marTop w:val="0"/>
      <w:marBottom w:val="0"/>
      <w:divBdr>
        <w:top w:val="none" w:sz="0" w:space="0" w:color="auto"/>
        <w:left w:val="none" w:sz="0" w:space="0" w:color="auto"/>
        <w:bottom w:val="none" w:sz="0" w:space="0" w:color="auto"/>
        <w:right w:val="none" w:sz="0" w:space="0" w:color="auto"/>
      </w:divBdr>
      <w:divsChild>
        <w:div w:id="264921043">
          <w:marLeft w:val="547"/>
          <w:marRight w:val="0"/>
          <w:marTop w:val="110"/>
          <w:marBottom w:val="0"/>
          <w:divBdr>
            <w:top w:val="none" w:sz="0" w:space="0" w:color="auto"/>
            <w:left w:val="none" w:sz="0" w:space="0" w:color="auto"/>
            <w:bottom w:val="none" w:sz="0" w:space="0" w:color="auto"/>
            <w:right w:val="none" w:sz="0" w:space="0" w:color="auto"/>
          </w:divBdr>
        </w:div>
        <w:div w:id="1438646498">
          <w:marLeft w:val="547"/>
          <w:marRight w:val="0"/>
          <w:marTop w:val="110"/>
          <w:marBottom w:val="0"/>
          <w:divBdr>
            <w:top w:val="none" w:sz="0" w:space="0" w:color="auto"/>
            <w:left w:val="none" w:sz="0" w:space="0" w:color="auto"/>
            <w:bottom w:val="none" w:sz="0" w:space="0" w:color="auto"/>
            <w:right w:val="none" w:sz="0" w:space="0" w:color="auto"/>
          </w:divBdr>
        </w:div>
        <w:div w:id="1472821052">
          <w:marLeft w:val="547"/>
          <w:marRight w:val="0"/>
          <w:marTop w:val="110"/>
          <w:marBottom w:val="0"/>
          <w:divBdr>
            <w:top w:val="none" w:sz="0" w:space="0" w:color="auto"/>
            <w:left w:val="none" w:sz="0" w:space="0" w:color="auto"/>
            <w:bottom w:val="none" w:sz="0" w:space="0" w:color="auto"/>
            <w:right w:val="none" w:sz="0" w:space="0" w:color="auto"/>
          </w:divBdr>
        </w:div>
      </w:divsChild>
    </w:div>
    <w:div w:id="1749770876">
      <w:bodyDiv w:val="1"/>
      <w:marLeft w:val="0"/>
      <w:marRight w:val="0"/>
      <w:marTop w:val="0"/>
      <w:marBottom w:val="0"/>
      <w:divBdr>
        <w:top w:val="none" w:sz="0" w:space="0" w:color="auto"/>
        <w:left w:val="none" w:sz="0" w:space="0" w:color="auto"/>
        <w:bottom w:val="none" w:sz="0" w:space="0" w:color="auto"/>
        <w:right w:val="none" w:sz="0" w:space="0" w:color="auto"/>
      </w:divBdr>
      <w:divsChild>
        <w:div w:id="120197030">
          <w:marLeft w:val="950"/>
          <w:marRight w:val="0"/>
          <w:marTop w:val="115"/>
          <w:marBottom w:val="0"/>
          <w:divBdr>
            <w:top w:val="none" w:sz="0" w:space="0" w:color="auto"/>
            <w:left w:val="none" w:sz="0" w:space="0" w:color="auto"/>
            <w:bottom w:val="none" w:sz="0" w:space="0" w:color="auto"/>
            <w:right w:val="none" w:sz="0" w:space="0" w:color="auto"/>
          </w:divBdr>
        </w:div>
        <w:div w:id="436221943">
          <w:marLeft w:val="950"/>
          <w:marRight w:val="0"/>
          <w:marTop w:val="115"/>
          <w:marBottom w:val="0"/>
          <w:divBdr>
            <w:top w:val="none" w:sz="0" w:space="0" w:color="auto"/>
            <w:left w:val="none" w:sz="0" w:space="0" w:color="auto"/>
            <w:bottom w:val="none" w:sz="0" w:space="0" w:color="auto"/>
            <w:right w:val="none" w:sz="0" w:space="0" w:color="auto"/>
          </w:divBdr>
        </w:div>
        <w:div w:id="1588539351">
          <w:marLeft w:val="950"/>
          <w:marRight w:val="0"/>
          <w:marTop w:val="115"/>
          <w:marBottom w:val="0"/>
          <w:divBdr>
            <w:top w:val="none" w:sz="0" w:space="0" w:color="auto"/>
            <w:left w:val="none" w:sz="0" w:space="0" w:color="auto"/>
            <w:bottom w:val="none" w:sz="0" w:space="0" w:color="auto"/>
            <w:right w:val="none" w:sz="0" w:space="0" w:color="auto"/>
          </w:divBdr>
        </w:div>
        <w:div w:id="1657146705">
          <w:marLeft w:val="950"/>
          <w:marRight w:val="0"/>
          <w:marTop w:val="115"/>
          <w:marBottom w:val="0"/>
          <w:divBdr>
            <w:top w:val="none" w:sz="0" w:space="0" w:color="auto"/>
            <w:left w:val="none" w:sz="0" w:space="0" w:color="auto"/>
            <w:bottom w:val="none" w:sz="0" w:space="0" w:color="auto"/>
            <w:right w:val="none" w:sz="0" w:space="0" w:color="auto"/>
          </w:divBdr>
        </w:div>
        <w:div w:id="1819348022">
          <w:marLeft w:val="950"/>
          <w:marRight w:val="0"/>
          <w:marTop w:val="115"/>
          <w:marBottom w:val="0"/>
          <w:divBdr>
            <w:top w:val="none" w:sz="0" w:space="0" w:color="auto"/>
            <w:left w:val="none" w:sz="0" w:space="0" w:color="auto"/>
            <w:bottom w:val="none" w:sz="0" w:space="0" w:color="auto"/>
            <w:right w:val="none" w:sz="0" w:space="0" w:color="auto"/>
          </w:divBdr>
        </w:div>
        <w:div w:id="2055931574">
          <w:marLeft w:val="950"/>
          <w:marRight w:val="0"/>
          <w:marTop w:val="115"/>
          <w:marBottom w:val="0"/>
          <w:divBdr>
            <w:top w:val="none" w:sz="0" w:space="0" w:color="auto"/>
            <w:left w:val="none" w:sz="0" w:space="0" w:color="auto"/>
            <w:bottom w:val="none" w:sz="0" w:space="0" w:color="auto"/>
            <w:right w:val="none" w:sz="0" w:space="0" w:color="auto"/>
          </w:divBdr>
        </w:div>
        <w:div w:id="2108385977">
          <w:marLeft w:val="950"/>
          <w:marRight w:val="0"/>
          <w:marTop w:val="115"/>
          <w:marBottom w:val="0"/>
          <w:divBdr>
            <w:top w:val="none" w:sz="0" w:space="0" w:color="auto"/>
            <w:left w:val="none" w:sz="0" w:space="0" w:color="auto"/>
            <w:bottom w:val="none" w:sz="0" w:space="0" w:color="auto"/>
            <w:right w:val="none" w:sz="0" w:space="0" w:color="auto"/>
          </w:divBdr>
        </w:div>
      </w:divsChild>
    </w:div>
    <w:div w:id="1757167615">
      <w:bodyDiv w:val="1"/>
      <w:marLeft w:val="0"/>
      <w:marRight w:val="0"/>
      <w:marTop w:val="0"/>
      <w:marBottom w:val="0"/>
      <w:divBdr>
        <w:top w:val="none" w:sz="0" w:space="0" w:color="auto"/>
        <w:left w:val="none" w:sz="0" w:space="0" w:color="auto"/>
        <w:bottom w:val="none" w:sz="0" w:space="0" w:color="auto"/>
        <w:right w:val="none" w:sz="0" w:space="0" w:color="auto"/>
      </w:divBdr>
      <w:divsChild>
        <w:div w:id="505829945">
          <w:marLeft w:val="418"/>
          <w:marRight w:val="0"/>
          <w:marTop w:val="173"/>
          <w:marBottom w:val="0"/>
          <w:divBdr>
            <w:top w:val="none" w:sz="0" w:space="0" w:color="auto"/>
            <w:left w:val="none" w:sz="0" w:space="0" w:color="auto"/>
            <w:bottom w:val="none" w:sz="0" w:space="0" w:color="auto"/>
            <w:right w:val="none" w:sz="0" w:space="0" w:color="auto"/>
          </w:divBdr>
        </w:div>
        <w:div w:id="1900902606">
          <w:marLeft w:val="418"/>
          <w:marRight w:val="0"/>
          <w:marTop w:val="173"/>
          <w:marBottom w:val="0"/>
          <w:divBdr>
            <w:top w:val="none" w:sz="0" w:space="0" w:color="auto"/>
            <w:left w:val="none" w:sz="0" w:space="0" w:color="auto"/>
            <w:bottom w:val="none" w:sz="0" w:space="0" w:color="auto"/>
            <w:right w:val="none" w:sz="0" w:space="0" w:color="auto"/>
          </w:divBdr>
        </w:div>
      </w:divsChild>
    </w:div>
    <w:div w:id="1780638150">
      <w:bodyDiv w:val="1"/>
      <w:marLeft w:val="0"/>
      <w:marRight w:val="0"/>
      <w:marTop w:val="0"/>
      <w:marBottom w:val="0"/>
      <w:divBdr>
        <w:top w:val="none" w:sz="0" w:space="0" w:color="auto"/>
        <w:left w:val="none" w:sz="0" w:space="0" w:color="auto"/>
        <w:bottom w:val="none" w:sz="0" w:space="0" w:color="auto"/>
        <w:right w:val="none" w:sz="0" w:space="0" w:color="auto"/>
      </w:divBdr>
    </w:div>
    <w:div w:id="1794589403">
      <w:bodyDiv w:val="1"/>
      <w:marLeft w:val="0"/>
      <w:marRight w:val="0"/>
      <w:marTop w:val="0"/>
      <w:marBottom w:val="0"/>
      <w:divBdr>
        <w:top w:val="none" w:sz="0" w:space="0" w:color="auto"/>
        <w:left w:val="none" w:sz="0" w:space="0" w:color="auto"/>
        <w:bottom w:val="none" w:sz="0" w:space="0" w:color="auto"/>
        <w:right w:val="none" w:sz="0" w:space="0" w:color="auto"/>
      </w:divBdr>
    </w:div>
    <w:div w:id="1794785158">
      <w:bodyDiv w:val="1"/>
      <w:marLeft w:val="0"/>
      <w:marRight w:val="0"/>
      <w:marTop w:val="0"/>
      <w:marBottom w:val="0"/>
      <w:divBdr>
        <w:top w:val="none" w:sz="0" w:space="0" w:color="auto"/>
        <w:left w:val="none" w:sz="0" w:space="0" w:color="auto"/>
        <w:bottom w:val="none" w:sz="0" w:space="0" w:color="auto"/>
        <w:right w:val="none" w:sz="0" w:space="0" w:color="auto"/>
      </w:divBdr>
    </w:div>
    <w:div w:id="1828128963">
      <w:bodyDiv w:val="1"/>
      <w:marLeft w:val="0"/>
      <w:marRight w:val="0"/>
      <w:marTop w:val="0"/>
      <w:marBottom w:val="0"/>
      <w:divBdr>
        <w:top w:val="none" w:sz="0" w:space="0" w:color="auto"/>
        <w:left w:val="none" w:sz="0" w:space="0" w:color="auto"/>
        <w:bottom w:val="none" w:sz="0" w:space="0" w:color="auto"/>
        <w:right w:val="none" w:sz="0" w:space="0" w:color="auto"/>
      </w:divBdr>
    </w:div>
    <w:div w:id="1828813599">
      <w:bodyDiv w:val="1"/>
      <w:marLeft w:val="0"/>
      <w:marRight w:val="0"/>
      <w:marTop w:val="0"/>
      <w:marBottom w:val="0"/>
      <w:divBdr>
        <w:top w:val="none" w:sz="0" w:space="0" w:color="auto"/>
        <w:left w:val="none" w:sz="0" w:space="0" w:color="auto"/>
        <w:bottom w:val="none" w:sz="0" w:space="0" w:color="auto"/>
        <w:right w:val="none" w:sz="0" w:space="0" w:color="auto"/>
      </w:divBdr>
      <w:divsChild>
        <w:div w:id="810634545">
          <w:marLeft w:val="547"/>
          <w:marRight w:val="0"/>
          <w:marTop w:val="106"/>
          <w:marBottom w:val="0"/>
          <w:divBdr>
            <w:top w:val="none" w:sz="0" w:space="0" w:color="auto"/>
            <w:left w:val="none" w:sz="0" w:space="0" w:color="auto"/>
            <w:bottom w:val="none" w:sz="0" w:space="0" w:color="auto"/>
            <w:right w:val="none" w:sz="0" w:space="0" w:color="auto"/>
          </w:divBdr>
        </w:div>
        <w:div w:id="1658337927">
          <w:marLeft w:val="547"/>
          <w:marRight w:val="0"/>
          <w:marTop w:val="106"/>
          <w:marBottom w:val="0"/>
          <w:divBdr>
            <w:top w:val="none" w:sz="0" w:space="0" w:color="auto"/>
            <w:left w:val="none" w:sz="0" w:space="0" w:color="auto"/>
            <w:bottom w:val="none" w:sz="0" w:space="0" w:color="auto"/>
            <w:right w:val="none" w:sz="0" w:space="0" w:color="auto"/>
          </w:divBdr>
        </w:div>
      </w:divsChild>
    </w:div>
    <w:div w:id="1829860215">
      <w:bodyDiv w:val="1"/>
      <w:marLeft w:val="0"/>
      <w:marRight w:val="0"/>
      <w:marTop w:val="0"/>
      <w:marBottom w:val="0"/>
      <w:divBdr>
        <w:top w:val="none" w:sz="0" w:space="0" w:color="auto"/>
        <w:left w:val="none" w:sz="0" w:space="0" w:color="auto"/>
        <w:bottom w:val="none" w:sz="0" w:space="0" w:color="auto"/>
        <w:right w:val="none" w:sz="0" w:space="0" w:color="auto"/>
      </w:divBdr>
    </w:div>
    <w:div w:id="1900944027">
      <w:bodyDiv w:val="1"/>
      <w:marLeft w:val="0"/>
      <w:marRight w:val="0"/>
      <w:marTop w:val="0"/>
      <w:marBottom w:val="0"/>
      <w:divBdr>
        <w:top w:val="none" w:sz="0" w:space="0" w:color="auto"/>
        <w:left w:val="none" w:sz="0" w:space="0" w:color="auto"/>
        <w:bottom w:val="none" w:sz="0" w:space="0" w:color="auto"/>
        <w:right w:val="none" w:sz="0" w:space="0" w:color="auto"/>
      </w:divBdr>
    </w:div>
    <w:div w:id="1902011103">
      <w:bodyDiv w:val="1"/>
      <w:marLeft w:val="0"/>
      <w:marRight w:val="0"/>
      <w:marTop w:val="0"/>
      <w:marBottom w:val="0"/>
      <w:divBdr>
        <w:top w:val="none" w:sz="0" w:space="0" w:color="auto"/>
        <w:left w:val="none" w:sz="0" w:space="0" w:color="auto"/>
        <w:bottom w:val="none" w:sz="0" w:space="0" w:color="auto"/>
        <w:right w:val="none" w:sz="0" w:space="0" w:color="auto"/>
      </w:divBdr>
      <w:divsChild>
        <w:div w:id="286546933">
          <w:marLeft w:val="0"/>
          <w:marRight w:val="0"/>
          <w:marTop w:val="0"/>
          <w:marBottom w:val="0"/>
          <w:divBdr>
            <w:top w:val="none" w:sz="0" w:space="0" w:color="auto"/>
            <w:left w:val="none" w:sz="0" w:space="0" w:color="auto"/>
            <w:bottom w:val="none" w:sz="0" w:space="0" w:color="auto"/>
            <w:right w:val="none" w:sz="0" w:space="0" w:color="auto"/>
          </w:divBdr>
        </w:div>
        <w:div w:id="287206221">
          <w:marLeft w:val="0"/>
          <w:marRight w:val="0"/>
          <w:marTop w:val="0"/>
          <w:marBottom w:val="0"/>
          <w:divBdr>
            <w:top w:val="none" w:sz="0" w:space="0" w:color="auto"/>
            <w:left w:val="none" w:sz="0" w:space="0" w:color="auto"/>
            <w:bottom w:val="none" w:sz="0" w:space="0" w:color="auto"/>
            <w:right w:val="none" w:sz="0" w:space="0" w:color="auto"/>
          </w:divBdr>
        </w:div>
        <w:div w:id="447547385">
          <w:marLeft w:val="0"/>
          <w:marRight w:val="0"/>
          <w:marTop w:val="0"/>
          <w:marBottom w:val="0"/>
          <w:divBdr>
            <w:top w:val="none" w:sz="0" w:space="0" w:color="auto"/>
            <w:left w:val="none" w:sz="0" w:space="0" w:color="auto"/>
            <w:bottom w:val="none" w:sz="0" w:space="0" w:color="auto"/>
            <w:right w:val="none" w:sz="0" w:space="0" w:color="auto"/>
          </w:divBdr>
        </w:div>
        <w:div w:id="1376782717">
          <w:marLeft w:val="0"/>
          <w:marRight w:val="0"/>
          <w:marTop w:val="0"/>
          <w:marBottom w:val="0"/>
          <w:divBdr>
            <w:top w:val="none" w:sz="0" w:space="0" w:color="auto"/>
            <w:left w:val="none" w:sz="0" w:space="0" w:color="auto"/>
            <w:bottom w:val="none" w:sz="0" w:space="0" w:color="auto"/>
            <w:right w:val="none" w:sz="0" w:space="0" w:color="auto"/>
          </w:divBdr>
        </w:div>
        <w:div w:id="1534076662">
          <w:marLeft w:val="0"/>
          <w:marRight w:val="0"/>
          <w:marTop w:val="0"/>
          <w:marBottom w:val="0"/>
          <w:divBdr>
            <w:top w:val="none" w:sz="0" w:space="0" w:color="auto"/>
            <w:left w:val="none" w:sz="0" w:space="0" w:color="auto"/>
            <w:bottom w:val="none" w:sz="0" w:space="0" w:color="auto"/>
            <w:right w:val="none" w:sz="0" w:space="0" w:color="auto"/>
          </w:divBdr>
        </w:div>
        <w:div w:id="1623540226">
          <w:marLeft w:val="0"/>
          <w:marRight w:val="0"/>
          <w:marTop w:val="0"/>
          <w:marBottom w:val="0"/>
          <w:divBdr>
            <w:top w:val="none" w:sz="0" w:space="0" w:color="auto"/>
            <w:left w:val="none" w:sz="0" w:space="0" w:color="auto"/>
            <w:bottom w:val="none" w:sz="0" w:space="0" w:color="auto"/>
            <w:right w:val="none" w:sz="0" w:space="0" w:color="auto"/>
          </w:divBdr>
        </w:div>
        <w:div w:id="1730034645">
          <w:marLeft w:val="0"/>
          <w:marRight w:val="0"/>
          <w:marTop w:val="0"/>
          <w:marBottom w:val="0"/>
          <w:divBdr>
            <w:top w:val="none" w:sz="0" w:space="0" w:color="auto"/>
            <w:left w:val="none" w:sz="0" w:space="0" w:color="auto"/>
            <w:bottom w:val="none" w:sz="0" w:space="0" w:color="auto"/>
            <w:right w:val="none" w:sz="0" w:space="0" w:color="auto"/>
          </w:divBdr>
        </w:div>
        <w:div w:id="1897085860">
          <w:marLeft w:val="0"/>
          <w:marRight w:val="0"/>
          <w:marTop w:val="0"/>
          <w:marBottom w:val="0"/>
          <w:divBdr>
            <w:top w:val="none" w:sz="0" w:space="0" w:color="auto"/>
            <w:left w:val="none" w:sz="0" w:space="0" w:color="auto"/>
            <w:bottom w:val="none" w:sz="0" w:space="0" w:color="auto"/>
            <w:right w:val="none" w:sz="0" w:space="0" w:color="auto"/>
          </w:divBdr>
        </w:div>
        <w:div w:id="2031100199">
          <w:marLeft w:val="0"/>
          <w:marRight w:val="0"/>
          <w:marTop w:val="0"/>
          <w:marBottom w:val="0"/>
          <w:divBdr>
            <w:top w:val="none" w:sz="0" w:space="0" w:color="auto"/>
            <w:left w:val="none" w:sz="0" w:space="0" w:color="auto"/>
            <w:bottom w:val="none" w:sz="0" w:space="0" w:color="auto"/>
            <w:right w:val="none" w:sz="0" w:space="0" w:color="auto"/>
          </w:divBdr>
        </w:div>
        <w:div w:id="2146316706">
          <w:marLeft w:val="0"/>
          <w:marRight w:val="0"/>
          <w:marTop w:val="0"/>
          <w:marBottom w:val="0"/>
          <w:divBdr>
            <w:top w:val="none" w:sz="0" w:space="0" w:color="auto"/>
            <w:left w:val="none" w:sz="0" w:space="0" w:color="auto"/>
            <w:bottom w:val="none" w:sz="0" w:space="0" w:color="auto"/>
            <w:right w:val="none" w:sz="0" w:space="0" w:color="auto"/>
          </w:divBdr>
        </w:div>
      </w:divsChild>
    </w:div>
    <w:div w:id="1909261428">
      <w:bodyDiv w:val="1"/>
      <w:marLeft w:val="0"/>
      <w:marRight w:val="0"/>
      <w:marTop w:val="0"/>
      <w:marBottom w:val="0"/>
      <w:divBdr>
        <w:top w:val="none" w:sz="0" w:space="0" w:color="auto"/>
        <w:left w:val="none" w:sz="0" w:space="0" w:color="auto"/>
        <w:bottom w:val="none" w:sz="0" w:space="0" w:color="auto"/>
        <w:right w:val="none" w:sz="0" w:space="0" w:color="auto"/>
      </w:divBdr>
      <w:divsChild>
        <w:div w:id="1362706262">
          <w:marLeft w:val="1282"/>
          <w:marRight w:val="0"/>
          <w:marTop w:val="0"/>
          <w:marBottom w:val="0"/>
          <w:divBdr>
            <w:top w:val="none" w:sz="0" w:space="0" w:color="auto"/>
            <w:left w:val="none" w:sz="0" w:space="0" w:color="auto"/>
            <w:bottom w:val="none" w:sz="0" w:space="0" w:color="auto"/>
            <w:right w:val="none" w:sz="0" w:space="0" w:color="auto"/>
          </w:divBdr>
        </w:div>
      </w:divsChild>
    </w:div>
    <w:div w:id="1914045263">
      <w:bodyDiv w:val="1"/>
      <w:marLeft w:val="0"/>
      <w:marRight w:val="0"/>
      <w:marTop w:val="0"/>
      <w:marBottom w:val="0"/>
      <w:divBdr>
        <w:top w:val="none" w:sz="0" w:space="0" w:color="auto"/>
        <w:left w:val="none" w:sz="0" w:space="0" w:color="auto"/>
        <w:bottom w:val="none" w:sz="0" w:space="0" w:color="auto"/>
        <w:right w:val="none" w:sz="0" w:space="0" w:color="auto"/>
      </w:divBdr>
      <w:divsChild>
        <w:div w:id="1776513645">
          <w:marLeft w:val="547"/>
          <w:marRight w:val="0"/>
          <w:marTop w:val="106"/>
          <w:marBottom w:val="0"/>
          <w:divBdr>
            <w:top w:val="none" w:sz="0" w:space="0" w:color="auto"/>
            <w:left w:val="none" w:sz="0" w:space="0" w:color="auto"/>
            <w:bottom w:val="none" w:sz="0" w:space="0" w:color="auto"/>
            <w:right w:val="none" w:sz="0" w:space="0" w:color="auto"/>
          </w:divBdr>
        </w:div>
      </w:divsChild>
    </w:div>
    <w:div w:id="1921720715">
      <w:bodyDiv w:val="1"/>
      <w:marLeft w:val="0"/>
      <w:marRight w:val="0"/>
      <w:marTop w:val="0"/>
      <w:marBottom w:val="0"/>
      <w:divBdr>
        <w:top w:val="none" w:sz="0" w:space="0" w:color="auto"/>
        <w:left w:val="none" w:sz="0" w:space="0" w:color="auto"/>
        <w:bottom w:val="none" w:sz="0" w:space="0" w:color="auto"/>
        <w:right w:val="none" w:sz="0" w:space="0" w:color="auto"/>
      </w:divBdr>
    </w:div>
    <w:div w:id="1940329302">
      <w:bodyDiv w:val="1"/>
      <w:marLeft w:val="0"/>
      <w:marRight w:val="0"/>
      <w:marTop w:val="0"/>
      <w:marBottom w:val="0"/>
      <w:divBdr>
        <w:top w:val="none" w:sz="0" w:space="0" w:color="auto"/>
        <w:left w:val="none" w:sz="0" w:space="0" w:color="auto"/>
        <w:bottom w:val="none" w:sz="0" w:space="0" w:color="auto"/>
        <w:right w:val="none" w:sz="0" w:space="0" w:color="auto"/>
      </w:divBdr>
      <w:divsChild>
        <w:div w:id="740952291">
          <w:marLeft w:val="547"/>
          <w:marRight w:val="0"/>
          <w:marTop w:val="106"/>
          <w:marBottom w:val="0"/>
          <w:divBdr>
            <w:top w:val="none" w:sz="0" w:space="0" w:color="auto"/>
            <w:left w:val="none" w:sz="0" w:space="0" w:color="auto"/>
            <w:bottom w:val="none" w:sz="0" w:space="0" w:color="auto"/>
            <w:right w:val="none" w:sz="0" w:space="0" w:color="auto"/>
          </w:divBdr>
        </w:div>
        <w:div w:id="1792093267">
          <w:marLeft w:val="547"/>
          <w:marRight w:val="0"/>
          <w:marTop w:val="106"/>
          <w:marBottom w:val="0"/>
          <w:divBdr>
            <w:top w:val="none" w:sz="0" w:space="0" w:color="auto"/>
            <w:left w:val="none" w:sz="0" w:space="0" w:color="auto"/>
            <w:bottom w:val="none" w:sz="0" w:space="0" w:color="auto"/>
            <w:right w:val="none" w:sz="0" w:space="0" w:color="auto"/>
          </w:divBdr>
        </w:div>
        <w:div w:id="1873029828">
          <w:marLeft w:val="547"/>
          <w:marRight w:val="0"/>
          <w:marTop w:val="106"/>
          <w:marBottom w:val="0"/>
          <w:divBdr>
            <w:top w:val="none" w:sz="0" w:space="0" w:color="auto"/>
            <w:left w:val="none" w:sz="0" w:space="0" w:color="auto"/>
            <w:bottom w:val="none" w:sz="0" w:space="0" w:color="auto"/>
            <w:right w:val="none" w:sz="0" w:space="0" w:color="auto"/>
          </w:divBdr>
        </w:div>
      </w:divsChild>
    </w:div>
    <w:div w:id="1952586448">
      <w:bodyDiv w:val="1"/>
      <w:marLeft w:val="0"/>
      <w:marRight w:val="0"/>
      <w:marTop w:val="0"/>
      <w:marBottom w:val="0"/>
      <w:divBdr>
        <w:top w:val="none" w:sz="0" w:space="0" w:color="auto"/>
        <w:left w:val="none" w:sz="0" w:space="0" w:color="auto"/>
        <w:bottom w:val="none" w:sz="0" w:space="0" w:color="auto"/>
        <w:right w:val="none" w:sz="0" w:space="0" w:color="auto"/>
      </w:divBdr>
    </w:div>
    <w:div w:id="1987935275">
      <w:bodyDiv w:val="1"/>
      <w:marLeft w:val="0"/>
      <w:marRight w:val="0"/>
      <w:marTop w:val="0"/>
      <w:marBottom w:val="0"/>
      <w:divBdr>
        <w:top w:val="none" w:sz="0" w:space="0" w:color="auto"/>
        <w:left w:val="none" w:sz="0" w:space="0" w:color="auto"/>
        <w:bottom w:val="none" w:sz="0" w:space="0" w:color="auto"/>
        <w:right w:val="none" w:sz="0" w:space="0" w:color="auto"/>
      </w:divBdr>
    </w:div>
    <w:div w:id="1995210451">
      <w:bodyDiv w:val="1"/>
      <w:marLeft w:val="0"/>
      <w:marRight w:val="0"/>
      <w:marTop w:val="0"/>
      <w:marBottom w:val="0"/>
      <w:divBdr>
        <w:top w:val="none" w:sz="0" w:space="0" w:color="auto"/>
        <w:left w:val="none" w:sz="0" w:space="0" w:color="auto"/>
        <w:bottom w:val="none" w:sz="0" w:space="0" w:color="auto"/>
        <w:right w:val="none" w:sz="0" w:space="0" w:color="auto"/>
      </w:divBdr>
    </w:div>
    <w:div w:id="2036810012">
      <w:bodyDiv w:val="1"/>
      <w:marLeft w:val="0"/>
      <w:marRight w:val="0"/>
      <w:marTop w:val="0"/>
      <w:marBottom w:val="0"/>
      <w:divBdr>
        <w:top w:val="none" w:sz="0" w:space="0" w:color="auto"/>
        <w:left w:val="none" w:sz="0" w:space="0" w:color="auto"/>
        <w:bottom w:val="none" w:sz="0" w:space="0" w:color="auto"/>
        <w:right w:val="none" w:sz="0" w:space="0" w:color="auto"/>
      </w:divBdr>
      <w:divsChild>
        <w:div w:id="1529172687">
          <w:marLeft w:val="706"/>
          <w:marRight w:val="0"/>
          <w:marTop w:val="106"/>
          <w:marBottom w:val="0"/>
          <w:divBdr>
            <w:top w:val="none" w:sz="0" w:space="0" w:color="auto"/>
            <w:left w:val="none" w:sz="0" w:space="0" w:color="auto"/>
            <w:bottom w:val="none" w:sz="0" w:space="0" w:color="auto"/>
            <w:right w:val="none" w:sz="0" w:space="0" w:color="auto"/>
          </w:divBdr>
        </w:div>
      </w:divsChild>
    </w:div>
    <w:div w:id="2051176197">
      <w:bodyDiv w:val="1"/>
      <w:marLeft w:val="0"/>
      <w:marRight w:val="0"/>
      <w:marTop w:val="0"/>
      <w:marBottom w:val="0"/>
      <w:divBdr>
        <w:top w:val="none" w:sz="0" w:space="0" w:color="auto"/>
        <w:left w:val="none" w:sz="0" w:space="0" w:color="auto"/>
        <w:bottom w:val="none" w:sz="0" w:space="0" w:color="auto"/>
        <w:right w:val="none" w:sz="0" w:space="0" w:color="auto"/>
      </w:divBdr>
    </w:div>
    <w:div w:id="2071876955">
      <w:bodyDiv w:val="1"/>
      <w:marLeft w:val="0"/>
      <w:marRight w:val="0"/>
      <w:marTop w:val="0"/>
      <w:marBottom w:val="0"/>
      <w:divBdr>
        <w:top w:val="none" w:sz="0" w:space="0" w:color="auto"/>
        <w:left w:val="none" w:sz="0" w:space="0" w:color="auto"/>
        <w:bottom w:val="none" w:sz="0" w:space="0" w:color="auto"/>
        <w:right w:val="none" w:sz="0" w:space="0" w:color="auto"/>
      </w:divBdr>
    </w:div>
    <w:div w:id="2095467668">
      <w:bodyDiv w:val="1"/>
      <w:marLeft w:val="0"/>
      <w:marRight w:val="0"/>
      <w:marTop w:val="0"/>
      <w:marBottom w:val="0"/>
      <w:divBdr>
        <w:top w:val="none" w:sz="0" w:space="0" w:color="auto"/>
        <w:left w:val="none" w:sz="0" w:space="0" w:color="auto"/>
        <w:bottom w:val="none" w:sz="0" w:space="0" w:color="auto"/>
        <w:right w:val="none" w:sz="0" w:space="0" w:color="auto"/>
      </w:divBdr>
      <w:divsChild>
        <w:div w:id="613905214">
          <w:marLeft w:val="576"/>
          <w:marRight w:val="0"/>
          <w:marTop w:val="211"/>
          <w:marBottom w:val="0"/>
          <w:divBdr>
            <w:top w:val="none" w:sz="0" w:space="0" w:color="auto"/>
            <w:left w:val="none" w:sz="0" w:space="0" w:color="auto"/>
            <w:bottom w:val="none" w:sz="0" w:space="0" w:color="auto"/>
            <w:right w:val="none" w:sz="0" w:space="0" w:color="auto"/>
          </w:divBdr>
        </w:div>
        <w:div w:id="699279337">
          <w:marLeft w:val="576"/>
          <w:marRight w:val="0"/>
          <w:marTop w:val="211"/>
          <w:marBottom w:val="0"/>
          <w:divBdr>
            <w:top w:val="none" w:sz="0" w:space="0" w:color="auto"/>
            <w:left w:val="none" w:sz="0" w:space="0" w:color="auto"/>
            <w:bottom w:val="none" w:sz="0" w:space="0" w:color="auto"/>
            <w:right w:val="none" w:sz="0" w:space="0" w:color="auto"/>
          </w:divBdr>
        </w:div>
        <w:div w:id="993990327">
          <w:marLeft w:val="576"/>
          <w:marRight w:val="0"/>
          <w:marTop w:val="211"/>
          <w:marBottom w:val="0"/>
          <w:divBdr>
            <w:top w:val="none" w:sz="0" w:space="0" w:color="auto"/>
            <w:left w:val="none" w:sz="0" w:space="0" w:color="auto"/>
            <w:bottom w:val="none" w:sz="0" w:space="0" w:color="auto"/>
            <w:right w:val="none" w:sz="0" w:space="0" w:color="auto"/>
          </w:divBdr>
        </w:div>
        <w:div w:id="1256288070">
          <w:marLeft w:val="576"/>
          <w:marRight w:val="0"/>
          <w:marTop w:val="211"/>
          <w:marBottom w:val="0"/>
          <w:divBdr>
            <w:top w:val="none" w:sz="0" w:space="0" w:color="auto"/>
            <w:left w:val="none" w:sz="0" w:space="0" w:color="auto"/>
            <w:bottom w:val="none" w:sz="0" w:space="0" w:color="auto"/>
            <w:right w:val="none" w:sz="0" w:space="0" w:color="auto"/>
          </w:divBdr>
        </w:div>
        <w:div w:id="1931501372">
          <w:marLeft w:val="576"/>
          <w:marRight w:val="0"/>
          <w:marTop w:val="211"/>
          <w:marBottom w:val="0"/>
          <w:divBdr>
            <w:top w:val="none" w:sz="0" w:space="0" w:color="auto"/>
            <w:left w:val="none" w:sz="0" w:space="0" w:color="auto"/>
            <w:bottom w:val="none" w:sz="0" w:space="0" w:color="auto"/>
            <w:right w:val="none" w:sz="0" w:space="0" w:color="auto"/>
          </w:divBdr>
        </w:div>
      </w:divsChild>
    </w:div>
    <w:div w:id="2099669644">
      <w:bodyDiv w:val="1"/>
      <w:marLeft w:val="0"/>
      <w:marRight w:val="0"/>
      <w:marTop w:val="0"/>
      <w:marBottom w:val="0"/>
      <w:divBdr>
        <w:top w:val="none" w:sz="0" w:space="0" w:color="auto"/>
        <w:left w:val="none" w:sz="0" w:space="0" w:color="auto"/>
        <w:bottom w:val="none" w:sz="0" w:space="0" w:color="auto"/>
        <w:right w:val="none" w:sz="0" w:space="0" w:color="auto"/>
      </w:divBdr>
      <w:divsChild>
        <w:div w:id="1134984394">
          <w:marLeft w:val="0"/>
          <w:marRight w:val="0"/>
          <w:marTop w:val="0"/>
          <w:marBottom w:val="0"/>
          <w:divBdr>
            <w:top w:val="none" w:sz="0" w:space="0" w:color="auto"/>
            <w:left w:val="none" w:sz="0" w:space="0" w:color="auto"/>
            <w:bottom w:val="none" w:sz="0" w:space="0" w:color="auto"/>
            <w:right w:val="none" w:sz="0" w:space="0" w:color="auto"/>
          </w:divBdr>
          <w:divsChild>
            <w:div w:id="430322947">
              <w:marLeft w:val="0"/>
              <w:marRight w:val="0"/>
              <w:marTop w:val="0"/>
              <w:marBottom w:val="0"/>
              <w:divBdr>
                <w:top w:val="none" w:sz="0" w:space="0" w:color="auto"/>
                <w:left w:val="none" w:sz="0" w:space="0" w:color="auto"/>
                <w:bottom w:val="none" w:sz="0" w:space="0" w:color="auto"/>
                <w:right w:val="none" w:sz="0" w:space="0" w:color="auto"/>
              </w:divBdr>
            </w:div>
            <w:div w:id="906962214">
              <w:marLeft w:val="0"/>
              <w:marRight w:val="0"/>
              <w:marTop w:val="0"/>
              <w:marBottom w:val="0"/>
              <w:divBdr>
                <w:top w:val="none" w:sz="0" w:space="0" w:color="auto"/>
                <w:left w:val="none" w:sz="0" w:space="0" w:color="auto"/>
                <w:bottom w:val="none" w:sz="0" w:space="0" w:color="auto"/>
                <w:right w:val="none" w:sz="0" w:space="0" w:color="auto"/>
              </w:divBdr>
            </w:div>
            <w:div w:id="1113206739">
              <w:marLeft w:val="0"/>
              <w:marRight w:val="0"/>
              <w:marTop w:val="0"/>
              <w:marBottom w:val="0"/>
              <w:divBdr>
                <w:top w:val="none" w:sz="0" w:space="0" w:color="auto"/>
                <w:left w:val="none" w:sz="0" w:space="0" w:color="auto"/>
                <w:bottom w:val="none" w:sz="0" w:space="0" w:color="auto"/>
                <w:right w:val="none" w:sz="0" w:space="0" w:color="auto"/>
              </w:divBdr>
            </w:div>
            <w:div w:id="14197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tc.gov.tw/internet/main/doc/docDetail.aspx?uid=126&amp;docid=13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27381</Words>
  <Characters>2498</Characters>
  <Application>Microsoft Office Word</Application>
  <DocSecurity>0</DocSecurity>
  <Lines>20</Lines>
  <Paragraphs>59</Paragraphs>
  <ScaleCrop>false</ScaleCrop>
  <LinksUpToDate>false</LinksUpToDate>
  <CharactersWithSpaces>29820</CharactersWithSpaces>
  <SharedDoc>false</SharedDoc>
  <HLinks>
    <vt:vector size="6" baseType="variant">
      <vt:variant>
        <vt:i4>4063354</vt:i4>
      </vt:variant>
      <vt:variant>
        <vt:i4>0</vt:i4>
      </vt:variant>
      <vt:variant>
        <vt:i4>0</vt:i4>
      </vt:variant>
      <vt:variant>
        <vt:i4>5</vt:i4>
      </vt:variant>
      <vt:variant>
        <vt:lpwstr>http://db.lawbank.com.tw/FLAW/FLAWDAT01.aspx?lsid=FL007009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2013-11-26T06:59:00Z</dcterms:created>
  <dcterms:modified xsi:type="dcterms:W3CDTF">2013-11-26T07:02:00Z</dcterms:modified>
</cp:coreProperties>
</file>