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72A" w:rsidRPr="00951A56" w:rsidRDefault="00D75644" w:rsidP="005A2E60">
      <w:pPr>
        <w:pStyle w:val="af2"/>
      </w:pPr>
      <w:r w:rsidRPr="00951A56">
        <w:rPr>
          <w:rFonts w:hint="eastAsia"/>
        </w:rPr>
        <w:t>調查報告</w:t>
      </w:r>
      <w:r w:rsidR="005A2E60">
        <w:rPr>
          <w:rFonts w:hint="eastAsia"/>
        </w:rPr>
        <w:t>(公</w:t>
      </w:r>
      <w:r w:rsidR="008B5FA6">
        <w:rPr>
          <w:rFonts w:hint="eastAsia"/>
        </w:rPr>
        <w:t>布版</w:t>
      </w:r>
      <w:r w:rsidR="005A2E60">
        <w:rPr>
          <w:rFonts w:hint="eastAsia"/>
        </w:rPr>
        <w:t>)</w:t>
      </w:r>
    </w:p>
    <w:p w:rsidR="005A2E60" w:rsidRPr="00951A56" w:rsidRDefault="00E25849" w:rsidP="005A2E60">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51A56">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D27BA" w:rsidRPr="00951A56">
        <w:rPr>
          <w:noProof/>
        </w:rPr>
        <w:t>據悉，臺灣屏東地方檢察署檢察官偵辦江姓被告殺人案件，於收受臺灣屏東地方法院刑事判決書後，逾期提起上訴，經臺灣高等法院高雄分院以檢察官之上訴已逾法定上訴期間，而判決駁回其上訴。嗣經上訴第三審，亦經最高法院以同一理由判決駁回。為查明承辦檢察官有無違失？有深入調查之必要案</w:t>
      </w:r>
      <w:r w:rsidR="002D27BA" w:rsidRPr="00951A56">
        <w:rPr>
          <w:rFonts w:hint="eastAsia"/>
          <w:noProof/>
        </w:rPr>
        <w:t>。</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p>
    <w:p w:rsidR="00E25849" w:rsidRPr="00951A56" w:rsidRDefault="00E25849" w:rsidP="000E4E58">
      <w:pPr>
        <w:pStyle w:val="1"/>
      </w:pPr>
      <w:r w:rsidRPr="00951A56">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1E2539" w:rsidRPr="00951A56" w:rsidRDefault="001E2539" w:rsidP="001E2539">
      <w:pPr>
        <w:pStyle w:val="10"/>
        <w:ind w:left="680" w:firstLine="680"/>
      </w:pPr>
      <w:bookmarkStart w:id="59" w:name="_Toc524902730"/>
      <w:r w:rsidRPr="00951A56">
        <w:t>屏東縣江姓婦人</w:t>
      </w:r>
      <w:r w:rsidRPr="00951A56">
        <w:rPr>
          <w:rFonts w:hint="eastAsia"/>
        </w:rPr>
        <w:t>殺人</w:t>
      </w:r>
      <w:r w:rsidRPr="00951A56">
        <w:t>棄屍</w:t>
      </w:r>
      <w:r w:rsidRPr="00951A56">
        <w:rPr>
          <w:rFonts w:hint="eastAsia"/>
        </w:rPr>
        <w:t>案件</w:t>
      </w:r>
      <w:r w:rsidRPr="00951A56">
        <w:rPr>
          <w:szCs w:val="32"/>
        </w:rPr>
        <w:t>，</w:t>
      </w:r>
      <w:r w:rsidRPr="00951A56">
        <w:rPr>
          <w:rFonts w:hint="eastAsia"/>
          <w:szCs w:val="32"/>
        </w:rPr>
        <w:t>經臺灣</w:t>
      </w:r>
      <w:r w:rsidRPr="00951A56">
        <w:rPr>
          <w:szCs w:val="32"/>
        </w:rPr>
        <w:t>屏東地</w:t>
      </w:r>
      <w:r w:rsidRPr="00951A56">
        <w:rPr>
          <w:rFonts w:hint="eastAsia"/>
          <w:szCs w:val="32"/>
        </w:rPr>
        <w:t>方法</w:t>
      </w:r>
      <w:r w:rsidRPr="00951A56">
        <w:rPr>
          <w:szCs w:val="32"/>
        </w:rPr>
        <w:t>院</w:t>
      </w:r>
      <w:r w:rsidRPr="00951A56">
        <w:rPr>
          <w:rFonts w:hint="eastAsia"/>
          <w:szCs w:val="32"/>
        </w:rPr>
        <w:t>（下稱</w:t>
      </w:r>
      <w:r w:rsidRPr="00951A56">
        <w:rPr>
          <w:szCs w:val="32"/>
        </w:rPr>
        <w:t>屏東地</w:t>
      </w:r>
      <w:r w:rsidRPr="00951A56">
        <w:rPr>
          <w:rFonts w:hint="eastAsia"/>
          <w:szCs w:val="32"/>
        </w:rPr>
        <w:t>方法</w:t>
      </w:r>
      <w:r w:rsidRPr="00951A56">
        <w:rPr>
          <w:szCs w:val="32"/>
        </w:rPr>
        <w:t>院</w:t>
      </w:r>
      <w:r w:rsidRPr="00951A56">
        <w:rPr>
          <w:rFonts w:hint="eastAsia"/>
          <w:szCs w:val="32"/>
        </w:rPr>
        <w:t>）於民國(下同)109</w:t>
      </w:r>
      <w:r w:rsidRPr="00951A56">
        <w:rPr>
          <w:szCs w:val="32"/>
        </w:rPr>
        <w:t>年</w:t>
      </w:r>
      <w:r w:rsidRPr="00951A56">
        <w:rPr>
          <w:rFonts w:hint="eastAsia"/>
          <w:szCs w:val="32"/>
        </w:rPr>
        <w:t>5</w:t>
      </w:r>
      <w:r w:rsidRPr="00951A56">
        <w:rPr>
          <w:szCs w:val="32"/>
        </w:rPr>
        <w:t>月</w:t>
      </w:r>
      <w:r w:rsidRPr="00951A56">
        <w:rPr>
          <w:rFonts w:hint="eastAsia"/>
          <w:szCs w:val="32"/>
        </w:rPr>
        <w:t>15</w:t>
      </w:r>
      <w:r w:rsidRPr="00951A56">
        <w:rPr>
          <w:szCs w:val="32"/>
        </w:rPr>
        <w:t>日</w:t>
      </w:r>
      <w:r w:rsidRPr="00951A56">
        <w:rPr>
          <w:rFonts w:hint="eastAsia"/>
          <w:szCs w:val="32"/>
        </w:rPr>
        <w:t>以</w:t>
      </w:r>
      <w:proofErr w:type="gramStart"/>
      <w:r w:rsidRPr="00951A56">
        <w:rPr>
          <w:rFonts w:ascii="新細明體" w:hAnsi="新細明體" w:cs="新細明體"/>
          <w:kern w:val="0"/>
          <w:lang w:val="x-none"/>
        </w:rPr>
        <w:t>108</w:t>
      </w:r>
      <w:proofErr w:type="gramEnd"/>
      <w:r w:rsidRPr="00951A56">
        <w:rPr>
          <w:rFonts w:ascii="新細明體" w:hAnsi="新細明體" w:cs="新細明體" w:hint="eastAsia"/>
          <w:kern w:val="0"/>
          <w:lang w:val="x-none"/>
        </w:rPr>
        <w:t>年度</w:t>
      </w:r>
      <w:proofErr w:type="gramStart"/>
      <w:r w:rsidRPr="00951A56">
        <w:rPr>
          <w:rFonts w:ascii="新細明體" w:hAnsi="新細明體" w:cs="新細明體" w:hint="eastAsia"/>
          <w:kern w:val="0"/>
          <w:lang w:val="x-none"/>
        </w:rPr>
        <w:t>重訴字</w:t>
      </w:r>
      <w:proofErr w:type="gramEnd"/>
      <w:r w:rsidRPr="00951A56">
        <w:rPr>
          <w:rFonts w:ascii="新細明體" w:hAnsi="新細明體" w:cs="新細明體" w:hint="eastAsia"/>
          <w:kern w:val="0"/>
          <w:lang w:val="x-none"/>
        </w:rPr>
        <w:t>第</w:t>
      </w:r>
      <w:r w:rsidRPr="00951A56">
        <w:rPr>
          <w:rFonts w:ascii="新細明體" w:hAnsi="新細明體" w:cs="新細明體"/>
          <w:kern w:val="0"/>
          <w:lang w:val="x-none"/>
        </w:rPr>
        <w:t>14</w:t>
      </w:r>
      <w:r w:rsidRPr="00951A56">
        <w:rPr>
          <w:rFonts w:ascii="新細明體" w:hAnsi="新細明體" w:cs="新細明體" w:hint="eastAsia"/>
          <w:kern w:val="0"/>
          <w:lang w:val="x-none"/>
        </w:rPr>
        <w:t>號</w:t>
      </w:r>
      <w:r w:rsidRPr="00951A56">
        <w:rPr>
          <w:rFonts w:hAnsi="標楷體" w:cs="標楷體"/>
          <w:szCs w:val="32"/>
        </w:rPr>
        <w:t>判決</w:t>
      </w:r>
      <w:r w:rsidRPr="00951A56">
        <w:rPr>
          <w:rFonts w:hAnsi="標楷體" w:cs="標楷體" w:hint="eastAsia"/>
          <w:szCs w:val="32"/>
        </w:rPr>
        <w:t>，</w:t>
      </w:r>
      <w:r w:rsidRPr="00951A56">
        <w:rPr>
          <w:szCs w:val="32"/>
        </w:rPr>
        <w:t>判</w:t>
      </w:r>
      <w:r w:rsidRPr="00951A56">
        <w:rPr>
          <w:rFonts w:hint="eastAsia"/>
          <w:szCs w:val="32"/>
        </w:rPr>
        <w:t>處被告</w:t>
      </w:r>
      <w:r w:rsidRPr="00951A56">
        <w:rPr>
          <w:rFonts w:hAnsi="標楷體" w:cs="標楷體"/>
          <w:szCs w:val="32"/>
        </w:rPr>
        <w:t>有期徒刑</w:t>
      </w:r>
      <w:r w:rsidRPr="00951A56">
        <w:rPr>
          <w:rFonts w:hint="eastAsia"/>
          <w:szCs w:val="32"/>
        </w:rPr>
        <w:t>13</w:t>
      </w:r>
      <w:r w:rsidRPr="00951A56">
        <w:rPr>
          <w:szCs w:val="32"/>
        </w:rPr>
        <w:t>年</w:t>
      </w:r>
      <w:r w:rsidRPr="00951A56">
        <w:rPr>
          <w:rFonts w:hint="eastAsia"/>
          <w:szCs w:val="32"/>
        </w:rPr>
        <w:t>，</w:t>
      </w:r>
      <w:r w:rsidRPr="00951A56">
        <w:rPr>
          <w:szCs w:val="32"/>
        </w:rPr>
        <w:t>臺灣屏東地方檢察署</w:t>
      </w:r>
      <w:r w:rsidRPr="00951A56">
        <w:rPr>
          <w:rFonts w:hint="eastAsia"/>
          <w:szCs w:val="32"/>
        </w:rPr>
        <w:t>(下稱</w:t>
      </w:r>
      <w:r w:rsidRPr="00951A56">
        <w:rPr>
          <w:szCs w:val="32"/>
        </w:rPr>
        <w:t>屏東地</w:t>
      </w:r>
      <w:r w:rsidRPr="00951A56">
        <w:rPr>
          <w:rFonts w:hint="eastAsia"/>
          <w:szCs w:val="32"/>
        </w:rPr>
        <w:t>檢署)</w:t>
      </w:r>
      <w:r w:rsidRPr="00951A56">
        <w:rPr>
          <w:szCs w:val="32"/>
        </w:rPr>
        <w:t>檢察官</w:t>
      </w:r>
      <w:r w:rsidRPr="00951A56">
        <w:rPr>
          <w:rFonts w:hAnsi="標楷體" w:cs="標楷體"/>
          <w:szCs w:val="32"/>
        </w:rPr>
        <w:t>於109年5月20日收受判決，</w:t>
      </w:r>
      <w:r w:rsidRPr="00951A56">
        <w:rPr>
          <w:rFonts w:hAnsi="標楷體" w:cs="標楷體" w:hint="eastAsia"/>
          <w:szCs w:val="32"/>
        </w:rPr>
        <w:t>並</w:t>
      </w:r>
      <w:r w:rsidRPr="00951A56">
        <w:rPr>
          <w:rFonts w:hAnsi="標楷體" w:cs="標楷體"/>
          <w:szCs w:val="32"/>
        </w:rPr>
        <w:t>未提起上訴，</w:t>
      </w:r>
      <w:r w:rsidRPr="00951A56">
        <w:rPr>
          <w:rFonts w:hint="eastAsia"/>
          <w:szCs w:val="32"/>
        </w:rPr>
        <w:t>109年</w:t>
      </w:r>
      <w:r w:rsidRPr="00951A56">
        <w:rPr>
          <w:szCs w:val="32"/>
        </w:rPr>
        <w:t>6月9日上訴期滿</w:t>
      </w:r>
      <w:r w:rsidRPr="00951A56">
        <w:t>，全案定</w:t>
      </w:r>
      <w:proofErr w:type="gramStart"/>
      <w:r w:rsidRPr="00951A56">
        <w:t>讞</w:t>
      </w:r>
      <w:proofErr w:type="gramEnd"/>
      <w:r w:rsidRPr="00951A56">
        <w:rPr>
          <w:rFonts w:hint="eastAsia"/>
        </w:rPr>
        <w:t>。經查，屏東</w:t>
      </w:r>
      <w:r w:rsidRPr="00951A56">
        <w:t>地</w:t>
      </w:r>
      <w:r w:rsidRPr="00951A56">
        <w:rPr>
          <w:rFonts w:hint="eastAsia"/>
        </w:rPr>
        <w:t>方法</w:t>
      </w:r>
      <w:r w:rsidRPr="00951A56">
        <w:t>院未依規定將判決書送達被害人</w:t>
      </w:r>
      <w:r w:rsidRPr="00951A56">
        <w:rPr>
          <w:rFonts w:hint="eastAsia"/>
        </w:rPr>
        <w:t>家屬，</w:t>
      </w:r>
      <w:proofErr w:type="gramStart"/>
      <w:r w:rsidRPr="00951A56">
        <w:rPr>
          <w:rFonts w:hint="eastAsia"/>
        </w:rPr>
        <w:t>嗣</w:t>
      </w:r>
      <w:proofErr w:type="gramEnd"/>
      <w:r w:rsidRPr="00951A56">
        <w:rPr>
          <w:rFonts w:hint="eastAsia"/>
        </w:rPr>
        <w:t>於109</w:t>
      </w:r>
      <w:r w:rsidRPr="00951A56">
        <w:t>年</w:t>
      </w:r>
      <w:r w:rsidRPr="00951A56">
        <w:rPr>
          <w:rFonts w:hint="eastAsia"/>
        </w:rPr>
        <w:t>6</w:t>
      </w:r>
      <w:r w:rsidRPr="00951A56">
        <w:t>月</w:t>
      </w:r>
      <w:r w:rsidRPr="00951A56">
        <w:rPr>
          <w:rFonts w:hint="eastAsia"/>
        </w:rPr>
        <w:t>16</w:t>
      </w:r>
      <w:r w:rsidRPr="00951A56">
        <w:t>日接獲被害人子女詢問後，</w:t>
      </w:r>
      <w:r w:rsidRPr="00951A56">
        <w:rPr>
          <w:rFonts w:hint="eastAsia"/>
        </w:rPr>
        <w:t>始</w:t>
      </w:r>
      <w:r w:rsidRPr="00951A56">
        <w:t>將案件判決</w:t>
      </w:r>
      <w:r w:rsidR="009E2B2F" w:rsidRPr="00951A56">
        <w:rPr>
          <w:rFonts w:hint="eastAsia"/>
        </w:rPr>
        <w:t>書</w:t>
      </w:r>
      <w:r w:rsidRPr="00951A56">
        <w:rPr>
          <w:rFonts w:hint="eastAsia"/>
        </w:rPr>
        <w:t>於109年6</w:t>
      </w:r>
      <w:r w:rsidRPr="00951A56">
        <w:t>月</w:t>
      </w:r>
      <w:r w:rsidRPr="00951A56">
        <w:rPr>
          <w:rFonts w:hint="eastAsia"/>
        </w:rPr>
        <w:t>17</w:t>
      </w:r>
      <w:r w:rsidRPr="00951A56">
        <w:t>日送達被害人子女，</w:t>
      </w:r>
      <w:r w:rsidR="0094747D" w:rsidRPr="00951A56">
        <w:t>被害人</w:t>
      </w:r>
      <w:r w:rsidR="0094747D" w:rsidRPr="00951A56">
        <w:rPr>
          <w:rFonts w:hint="eastAsia"/>
        </w:rPr>
        <w:t>家屬</w:t>
      </w:r>
      <w:r w:rsidRPr="00951A56">
        <w:t>隨即具狀請求檢察官</w:t>
      </w:r>
      <w:r w:rsidRPr="00951A56">
        <w:rPr>
          <w:rFonts w:hint="eastAsia"/>
        </w:rPr>
        <w:t>提起</w:t>
      </w:r>
      <w:r w:rsidRPr="00951A56">
        <w:t>上訴</w:t>
      </w:r>
      <w:r w:rsidRPr="00951A56">
        <w:rPr>
          <w:rFonts w:hint="eastAsia"/>
        </w:rPr>
        <w:t>。</w:t>
      </w:r>
    </w:p>
    <w:p w:rsidR="001E2539" w:rsidRPr="00951A56" w:rsidRDefault="001E2539" w:rsidP="001E2539">
      <w:pPr>
        <w:pStyle w:val="10"/>
        <w:ind w:left="680" w:firstLine="680"/>
      </w:pPr>
      <w:r w:rsidRPr="00951A56">
        <w:rPr>
          <w:rFonts w:hint="eastAsia"/>
        </w:rPr>
        <w:t>屏東地方法院</w:t>
      </w:r>
      <w:r w:rsidRPr="00951A56">
        <w:t>判決書延遲送達</w:t>
      </w:r>
      <w:r w:rsidRPr="00951A56">
        <w:rPr>
          <w:rFonts w:hint="eastAsia"/>
        </w:rPr>
        <w:t>被害人家屬，又</w:t>
      </w:r>
      <w:r w:rsidRPr="00951A56">
        <w:t>屏東地</w:t>
      </w:r>
      <w:r w:rsidRPr="00951A56">
        <w:rPr>
          <w:rFonts w:hint="eastAsia"/>
        </w:rPr>
        <w:t>檢署</w:t>
      </w:r>
      <w:r w:rsidRPr="00951A56">
        <w:t>檢察官</w:t>
      </w:r>
      <w:r w:rsidRPr="00951A56">
        <w:rPr>
          <w:rFonts w:hint="eastAsia"/>
        </w:rPr>
        <w:t>109年5月20日</w:t>
      </w:r>
      <w:r w:rsidRPr="00951A56">
        <w:t>收受屏東地方法院刑事判決書</w:t>
      </w:r>
      <w:r w:rsidRPr="00951A56">
        <w:rPr>
          <w:rFonts w:hint="eastAsia"/>
        </w:rPr>
        <w:t>後，原應</w:t>
      </w:r>
      <w:r w:rsidR="009E2B2F" w:rsidRPr="00951A56">
        <w:rPr>
          <w:rFonts w:hint="eastAsia"/>
        </w:rPr>
        <w:t>於</w:t>
      </w:r>
      <w:r w:rsidRPr="00951A56">
        <w:rPr>
          <w:rFonts w:hint="eastAsia"/>
        </w:rPr>
        <w:t>109年6月9日前提起上訴，惟檢察官遲至6月19日始提起上訴，已逾20日法定上訴</w:t>
      </w:r>
      <w:proofErr w:type="gramStart"/>
      <w:r w:rsidRPr="00951A56">
        <w:rPr>
          <w:rFonts w:hint="eastAsia"/>
        </w:rPr>
        <w:t>期間，</w:t>
      </w:r>
      <w:proofErr w:type="gramEnd"/>
      <w:r w:rsidRPr="00951A56">
        <w:rPr>
          <w:rFonts w:hint="eastAsia"/>
        </w:rPr>
        <w:t>臺灣高等法院高雄分院(下稱高雄高分院)109年7</w:t>
      </w:r>
      <w:r w:rsidRPr="00951A56">
        <w:t>月</w:t>
      </w:r>
      <w:r w:rsidRPr="00951A56">
        <w:rPr>
          <w:rFonts w:hint="eastAsia"/>
        </w:rPr>
        <w:t>20</w:t>
      </w:r>
      <w:r w:rsidRPr="00951A56">
        <w:t>日</w:t>
      </w:r>
      <w:proofErr w:type="gramStart"/>
      <w:r w:rsidR="00ED3280" w:rsidRPr="00951A56">
        <w:rPr>
          <w:rFonts w:hint="eastAsia"/>
        </w:rPr>
        <w:t>109</w:t>
      </w:r>
      <w:proofErr w:type="gramEnd"/>
      <w:r w:rsidR="00ED3280" w:rsidRPr="00951A56">
        <w:rPr>
          <w:rFonts w:hint="eastAsia"/>
        </w:rPr>
        <w:t>年度上訴字第845號判決</w:t>
      </w:r>
      <w:r w:rsidR="000F2628" w:rsidRPr="00951A56">
        <w:rPr>
          <w:rFonts w:hint="eastAsia"/>
        </w:rPr>
        <w:t>認為</w:t>
      </w:r>
      <w:r w:rsidRPr="00951A56">
        <w:rPr>
          <w:rFonts w:hint="eastAsia"/>
        </w:rPr>
        <w:t>上訴不合法，駁回上訴；檢方</w:t>
      </w:r>
      <w:r w:rsidR="009E2B2F" w:rsidRPr="00951A56">
        <w:rPr>
          <w:rFonts w:hint="eastAsia"/>
        </w:rPr>
        <w:t>再</w:t>
      </w:r>
      <w:r w:rsidRPr="00951A56">
        <w:rPr>
          <w:rFonts w:hint="eastAsia"/>
        </w:rPr>
        <w:t>提起上訴，最高法院</w:t>
      </w:r>
      <w:r w:rsidR="00ED3280" w:rsidRPr="00951A56">
        <w:rPr>
          <w:rFonts w:hint="eastAsia"/>
        </w:rPr>
        <w:t>109年9月9日</w:t>
      </w:r>
      <w:proofErr w:type="gramStart"/>
      <w:r w:rsidR="00ED3280" w:rsidRPr="00951A56">
        <w:rPr>
          <w:rFonts w:hint="eastAsia"/>
        </w:rPr>
        <w:t>109</w:t>
      </w:r>
      <w:proofErr w:type="gramEnd"/>
      <w:r w:rsidR="00ED3280" w:rsidRPr="00951A56">
        <w:rPr>
          <w:rFonts w:hint="eastAsia"/>
        </w:rPr>
        <w:t>年度台上字第4132號判決認</w:t>
      </w:r>
      <w:r w:rsidR="000F2628" w:rsidRPr="00951A56">
        <w:rPr>
          <w:rFonts w:hint="eastAsia"/>
        </w:rPr>
        <w:t>為</w:t>
      </w:r>
      <w:r w:rsidRPr="00951A56">
        <w:rPr>
          <w:rFonts w:hint="eastAsia"/>
        </w:rPr>
        <w:t>，檢方上訴確實逾期，仍駁回上訴而全案定</w:t>
      </w:r>
      <w:proofErr w:type="gramStart"/>
      <w:r w:rsidRPr="00951A56">
        <w:rPr>
          <w:rFonts w:hint="eastAsia"/>
        </w:rPr>
        <w:t>讞</w:t>
      </w:r>
      <w:proofErr w:type="gramEnd"/>
      <w:r w:rsidRPr="00951A56">
        <w:rPr>
          <w:rFonts w:hint="eastAsia"/>
        </w:rPr>
        <w:t>。</w:t>
      </w:r>
      <w:r w:rsidR="00ED3280" w:rsidRPr="00951A56">
        <w:rPr>
          <w:rFonts w:hint="eastAsia"/>
        </w:rPr>
        <w:t>另外，</w:t>
      </w:r>
      <w:r w:rsidRPr="00951A56">
        <w:rPr>
          <w:rFonts w:hint="eastAsia"/>
        </w:rPr>
        <w:t>屏東地檢署主張非因其過失遲誤上訴</w:t>
      </w:r>
      <w:proofErr w:type="gramStart"/>
      <w:r w:rsidRPr="00951A56">
        <w:rPr>
          <w:rFonts w:hint="eastAsia"/>
        </w:rPr>
        <w:t>期間，</w:t>
      </w:r>
      <w:proofErr w:type="gramEnd"/>
      <w:r w:rsidRPr="00951A56">
        <w:rPr>
          <w:rFonts w:hint="eastAsia"/>
        </w:rPr>
        <w:t>聲請回復原狀，高雄高分院</w:t>
      </w:r>
      <w:r w:rsidR="000F2628" w:rsidRPr="00951A56">
        <w:rPr>
          <w:rFonts w:hint="eastAsia"/>
        </w:rPr>
        <w:t>109年7</w:t>
      </w:r>
      <w:r w:rsidR="000F2628" w:rsidRPr="00951A56">
        <w:t>月</w:t>
      </w:r>
      <w:r w:rsidR="000F2628" w:rsidRPr="00951A56">
        <w:rPr>
          <w:rFonts w:hint="eastAsia"/>
        </w:rPr>
        <w:t>20</w:t>
      </w:r>
      <w:r w:rsidR="000F2628" w:rsidRPr="00951A56">
        <w:t>日</w:t>
      </w:r>
      <w:proofErr w:type="gramStart"/>
      <w:r w:rsidRPr="00951A56">
        <w:rPr>
          <w:rFonts w:hint="eastAsia"/>
        </w:rPr>
        <w:t>109</w:t>
      </w:r>
      <w:r w:rsidR="00CB235B" w:rsidRPr="00951A56">
        <w:rPr>
          <w:rFonts w:hint="eastAsia"/>
        </w:rPr>
        <w:t>年度聲字第</w:t>
      </w:r>
      <w:r w:rsidRPr="00951A56">
        <w:rPr>
          <w:rFonts w:hint="eastAsia"/>
        </w:rPr>
        <w:lastRenderedPageBreak/>
        <w:t>1031號</w:t>
      </w:r>
      <w:proofErr w:type="gramEnd"/>
      <w:r w:rsidRPr="00951A56">
        <w:rPr>
          <w:rFonts w:hint="eastAsia"/>
        </w:rPr>
        <w:t>刑事裁定聲請駁回；屏東地檢署提起抗告，最高法院</w:t>
      </w:r>
      <w:r w:rsidR="000F2628" w:rsidRPr="00951A56">
        <w:rPr>
          <w:rFonts w:hint="eastAsia"/>
        </w:rPr>
        <w:t>109年9</w:t>
      </w:r>
      <w:r w:rsidR="000F2628" w:rsidRPr="00951A56">
        <w:t>月</w:t>
      </w:r>
      <w:r w:rsidR="000F2628" w:rsidRPr="00951A56">
        <w:rPr>
          <w:rFonts w:hint="eastAsia"/>
        </w:rPr>
        <w:t>9</w:t>
      </w:r>
      <w:r w:rsidR="000F2628" w:rsidRPr="00951A56">
        <w:t>日</w:t>
      </w:r>
      <w:proofErr w:type="gramStart"/>
      <w:r w:rsidRPr="00951A56">
        <w:rPr>
          <w:rFonts w:hint="eastAsia"/>
        </w:rPr>
        <w:t>109</w:t>
      </w:r>
      <w:proofErr w:type="gramEnd"/>
      <w:r w:rsidRPr="00951A56">
        <w:rPr>
          <w:rFonts w:hint="eastAsia"/>
        </w:rPr>
        <w:t>年度</w:t>
      </w:r>
      <w:proofErr w:type="gramStart"/>
      <w:r w:rsidRPr="00951A56">
        <w:rPr>
          <w:rFonts w:hint="eastAsia"/>
        </w:rPr>
        <w:t>台抗字</w:t>
      </w:r>
      <w:proofErr w:type="gramEnd"/>
      <w:r w:rsidRPr="00951A56">
        <w:rPr>
          <w:rFonts w:hint="eastAsia"/>
        </w:rPr>
        <w:t>第1392號刑事裁定，抗告駁回。</w:t>
      </w:r>
    </w:p>
    <w:p w:rsidR="004F6710" w:rsidRPr="00951A56" w:rsidRDefault="001E2539" w:rsidP="001E2539">
      <w:pPr>
        <w:pStyle w:val="10"/>
        <w:ind w:left="680" w:firstLine="680"/>
      </w:pPr>
      <w:r w:rsidRPr="00951A56">
        <w:rPr>
          <w:rFonts w:hint="eastAsia"/>
        </w:rPr>
        <w:t>本案經調閱</w:t>
      </w:r>
      <w:r w:rsidRPr="00951A56">
        <w:t>屏東地</w:t>
      </w:r>
      <w:r w:rsidRPr="00951A56">
        <w:rPr>
          <w:rFonts w:hint="eastAsia"/>
        </w:rPr>
        <w:t>方法</w:t>
      </w:r>
      <w:r w:rsidRPr="00951A56">
        <w:t>院</w:t>
      </w:r>
      <w:r w:rsidRPr="00951A56">
        <w:rPr>
          <w:rFonts w:hint="eastAsia"/>
        </w:rPr>
        <w:t>、</w:t>
      </w:r>
      <w:r w:rsidRPr="00951A56">
        <w:t>屏東地檢署</w:t>
      </w:r>
      <w:r w:rsidRPr="00951A56">
        <w:rPr>
          <w:rFonts w:hint="eastAsia"/>
        </w:rPr>
        <w:t>及高雄高分院等</w:t>
      </w:r>
      <w:r w:rsidRPr="00951A56">
        <w:rPr>
          <w:rFonts w:hAnsi="標楷體" w:hint="eastAsia"/>
          <w:szCs w:val="32"/>
        </w:rPr>
        <w:t>機關卷證資料，並於109年12月3日詢問屏東地方法院刑事紀錄科科長</w:t>
      </w:r>
      <w:r w:rsidR="003942FA">
        <w:rPr>
          <w:rFonts w:hAnsi="標楷體" w:hint="eastAsia"/>
          <w:szCs w:val="32"/>
        </w:rPr>
        <w:t>曾○○及書記官鍾○○</w:t>
      </w:r>
      <w:r w:rsidRPr="00951A56">
        <w:rPr>
          <w:rFonts w:hAnsi="標楷體" w:hint="eastAsia"/>
          <w:szCs w:val="32"/>
        </w:rPr>
        <w:t>、109年12月4日詢問屏東地檢署檢察官</w:t>
      </w:r>
      <w:r w:rsidR="003942FA">
        <w:rPr>
          <w:rFonts w:hAnsi="標楷體" w:hint="eastAsia"/>
          <w:szCs w:val="32"/>
        </w:rPr>
        <w:t>施○○</w:t>
      </w:r>
      <w:r w:rsidRPr="00951A56">
        <w:rPr>
          <w:rFonts w:hAnsi="標楷體" w:hint="eastAsia"/>
          <w:szCs w:val="32"/>
        </w:rPr>
        <w:t>、110年1月25</w:t>
      </w:r>
      <w:r w:rsidR="003942FA">
        <w:rPr>
          <w:rFonts w:hAnsi="標楷體" w:hint="eastAsia"/>
          <w:szCs w:val="32"/>
        </w:rPr>
        <w:t>日詢問司法院刑事廳廳長彭○○</w:t>
      </w:r>
      <w:r w:rsidRPr="00951A56">
        <w:rPr>
          <w:rFonts w:hAnsi="標楷體" w:hint="eastAsia"/>
          <w:szCs w:val="32"/>
        </w:rPr>
        <w:t>等機關人員；於110年1月8日履勘臺灣臺南地方法院及臺灣臺南地方檢察署，</w:t>
      </w:r>
      <w:r w:rsidRPr="00951A56">
        <w:rPr>
          <w:rFonts w:hint="eastAsia"/>
        </w:rPr>
        <w:t>已調查</w:t>
      </w:r>
      <w:r w:rsidRPr="00951A56">
        <w:rPr>
          <w:rFonts w:hAnsi="標楷體" w:hint="eastAsia"/>
        </w:rPr>
        <w:t>完畢</w:t>
      </w:r>
      <w:r w:rsidR="00FB501B" w:rsidRPr="00951A56">
        <w:rPr>
          <w:rFonts w:hint="eastAsia"/>
        </w:rPr>
        <w:t>，</w:t>
      </w:r>
      <w:r w:rsidR="00307A76" w:rsidRPr="00951A56">
        <w:rPr>
          <w:rFonts w:hint="eastAsia"/>
        </w:rPr>
        <w:t>茲臚</w:t>
      </w:r>
      <w:r w:rsidR="00FB501B" w:rsidRPr="00951A56">
        <w:rPr>
          <w:rFonts w:hint="eastAsia"/>
        </w:rPr>
        <w:t>列調查意見如下：</w:t>
      </w:r>
    </w:p>
    <w:p w:rsidR="00A434F9" w:rsidRPr="00951A56" w:rsidRDefault="00134C9D" w:rsidP="00DE4238">
      <w:pPr>
        <w:pStyle w:val="2"/>
        <w:rPr>
          <w:b/>
        </w:rPr>
      </w:pPr>
      <w:r w:rsidRPr="00951A56">
        <w:rPr>
          <w:rFonts w:hint="eastAsia"/>
          <w:b/>
        </w:rPr>
        <w:t>屏東</w:t>
      </w:r>
      <w:r w:rsidRPr="00951A56">
        <w:rPr>
          <w:b/>
        </w:rPr>
        <w:t>地</w:t>
      </w:r>
      <w:r w:rsidRPr="00951A56">
        <w:rPr>
          <w:rFonts w:hint="eastAsia"/>
          <w:b/>
        </w:rPr>
        <w:t>方法院</w:t>
      </w:r>
      <w:r w:rsidRPr="00951A56">
        <w:rPr>
          <w:b/>
        </w:rPr>
        <w:t>承辦人延遲送達判決書，</w:t>
      </w:r>
      <w:r w:rsidRPr="00951A56">
        <w:rPr>
          <w:rFonts w:hAnsi="標楷體" w:cs="細明體" w:hint="eastAsia"/>
          <w:b/>
          <w:bCs w:val="0"/>
          <w:kern w:val="0"/>
          <w:szCs w:val="24"/>
          <w:lang w:val="x-none"/>
        </w:rPr>
        <w:t>延誤</w:t>
      </w:r>
      <w:r w:rsidRPr="00951A56">
        <w:rPr>
          <w:rFonts w:hint="eastAsia"/>
          <w:b/>
        </w:rPr>
        <w:t>被害人家屬</w:t>
      </w:r>
      <w:r w:rsidRPr="00951A56">
        <w:rPr>
          <w:rFonts w:hAnsi="標楷體" w:cs="細明體" w:hint="eastAsia"/>
          <w:b/>
          <w:bCs w:val="0"/>
          <w:kern w:val="0"/>
          <w:szCs w:val="24"/>
          <w:lang w:val="x-none"/>
        </w:rPr>
        <w:t>請求檢察官上訴之機會</w:t>
      </w:r>
      <w:r w:rsidRPr="00951A56">
        <w:rPr>
          <w:rFonts w:hint="eastAsia"/>
          <w:b/>
        </w:rPr>
        <w:t>，又該院</w:t>
      </w:r>
      <w:r w:rsidRPr="00951A56">
        <w:rPr>
          <w:b/>
        </w:rPr>
        <w:t>欠缺對於</w:t>
      </w:r>
      <w:r w:rsidRPr="00951A56">
        <w:rPr>
          <w:rFonts w:hint="eastAsia"/>
          <w:b/>
        </w:rPr>
        <w:t>判決書送達之</w:t>
      </w:r>
      <w:r w:rsidRPr="00951A56">
        <w:rPr>
          <w:b/>
        </w:rPr>
        <w:t>管考</w:t>
      </w:r>
      <w:r w:rsidRPr="00951A56">
        <w:rPr>
          <w:rFonts w:hint="eastAsia"/>
          <w:b/>
        </w:rPr>
        <w:t>機制</w:t>
      </w:r>
      <w:r w:rsidRPr="00951A56">
        <w:rPr>
          <w:b/>
        </w:rPr>
        <w:t>，導致無法及早發現延誤</w:t>
      </w:r>
      <w:r w:rsidRPr="00951A56">
        <w:rPr>
          <w:rFonts w:hint="eastAsia"/>
          <w:b/>
        </w:rPr>
        <w:t>，已違反辦理民刑事審判紀錄業務注意事項相關規定。另查屏東地方法院、臺灣臺南地方法院刑事案件卷宗，所查卷宗卷內法院刑事紀錄書記官應注意辦理事項表等相關表格皆為空白，未落實</w:t>
      </w:r>
      <w:r w:rsidRPr="00951A56">
        <w:rPr>
          <w:rFonts w:hAnsi="標楷體" w:hint="eastAsia"/>
          <w:b/>
        </w:rPr>
        <w:t>臺灣高等法院</w:t>
      </w:r>
      <w:r w:rsidR="00CB235B" w:rsidRPr="00951A56">
        <w:rPr>
          <w:rFonts w:hAnsi="標楷體" w:hint="eastAsia"/>
          <w:b/>
          <w:szCs w:val="32"/>
        </w:rPr>
        <w:t>77年3月17日（77）菁文廉字第3179號</w:t>
      </w:r>
      <w:r w:rsidRPr="00951A56">
        <w:rPr>
          <w:rFonts w:hAnsi="標楷體" w:hint="eastAsia"/>
          <w:b/>
        </w:rPr>
        <w:t>函</w:t>
      </w:r>
      <w:r w:rsidRPr="00951A56">
        <w:rPr>
          <w:rFonts w:hint="eastAsia"/>
          <w:b/>
        </w:rPr>
        <w:t>規定，請司法院督導所屬檢討改進，避免</w:t>
      </w:r>
      <w:r w:rsidRPr="00951A56">
        <w:rPr>
          <w:b/>
        </w:rPr>
        <w:t>判決書</w:t>
      </w:r>
      <w:r w:rsidRPr="00951A56">
        <w:rPr>
          <w:rFonts w:hAnsi="標楷體"/>
          <w:b/>
        </w:rPr>
        <w:t>延遲送達</w:t>
      </w:r>
      <w:r w:rsidRPr="00951A56">
        <w:rPr>
          <w:rFonts w:hAnsi="標楷體" w:hint="eastAsia"/>
          <w:b/>
        </w:rPr>
        <w:t>之</w:t>
      </w:r>
      <w:r w:rsidRPr="00951A56">
        <w:rPr>
          <w:rFonts w:hint="eastAsia"/>
          <w:b/>
        </w:rPr>
        <w:t>情事再次發生。</w:t>
      </w:r>
    </w:p>
    <w:p w:rsidR="00BF07CB" w:rsidRPr="00951A56" w:rsidRDefault="00BF07CB" w:rsidP="00BF07CB">
      <w:pPr>
        <w:pStyle w:val="3"/>
      </w:pPr>
      <w:r w:rsidRPr="00951A56">
        <w:rPr>
          <w:rFonts w:hint="eastAsia"/>
        </w:rPr>
        <w:t>有關刑事訴訟程序之判決正本送達及上訴處理流程，相關規定如下</w:t>
      </w:r>
      <w:r w:rsidRPr="00951A56">
        <w:rPr>
          <w:rFonts w:hAnsi="標楷體" w:hint="eastAsia"/>
        </w:rPr>
        <w:t>：</w:t>
      </w:r>
    </w:p>
    <w:p w:rsidR="00332F23" w:rsidRPr="00951A56" w:rsidRDefault="00BF07CB" w:rsidP="00BF07CB">
      <w:pPr>
        <w:pStyle w:val="4"/>
      </w:pPr>
      <w:r w:rsidRPr="00951A56">
        <w:rPr>
          <w:rFonts w:hint="eastAsia"/>
        </w:rPr>
        <w:t>刑事訴訟法</w:t>
      </w:r>
      <w:r w:rsidR="00332F23" w:rsidRPr="00951A56">
        <w:rPr>
          <w:rFonts w:hAnsi="標楷體" w:hint="eastAsia"/>
        </w:rPr>
        <w:t>：</w:t>
      </w:r>
    </w:p>
    <w:p w:rsidR="00332F23" w:rsidRPr="00951A56" w:rsidRDefault="00332F23" w:rsidP="00BF07CB">
      <w:pPr>
        <w:pStyle w:val="5"/>
      </w:pPr>
      <w:r w:rsidRPr="00951A56">
        <w:rPr>
          <w:rFonts w:hint="eastAsia"/>
        </w:rPr>
        <w:t>依據刑事訴訟法第227條、第314條第2項規定，</w:t>
      </w:r>
      <w:r w:rsidRPr="00951A56">
        <w:rPr>
          <w:rFonts w:hint="eastAsia"/>
          <w:szCs w:val="32"/>
        </w:rPr>
        <w:t>有關判決書之送達，書記官應於接受裁判書原本之日起7</w:t>
      </w:r>
      <w:r w:rsidRPr="00951A56">
        <w:rPr>
          <w:rFonts w:hint="eastAsia"/>
        </w:rPr>
        <w:t>日內，以正本送達於當事人、代理人、辯護人、告訴人、告發人及其他受裁判之人，判決書正本應否送達非屬告訴人或告發人之被害人或被害人家屬，刑事訴訟法並未明文規定。</w:t>
      </w:r>
    </w:p>
    <w:p w:rsidR="00332F23" w:rsidRPr="00951A56" w:rsidRDefault="00332F23" w:rsidP="00BF07CB">
      <w:pPr>
        <w:pStyle w:val="5"/>
      </w:pPr>
      <w:r w:rsidRPr="00951A56">
        <w:rPr>
          <w:rFonts w:hint="eastAsia"/>
        </w:rPr>
        <w:t>依據刑事訴訟法第344條第1項、第349條、第350條第1項、第367條前段及第395條前段規定，</w:t>
      </w:r>
      <w:r w:rsidRPr="00951A56">
        <w:rPr>
          <w:rFonts w:hint="eastAsia"/>
        </w:rPr>
        <w:lastRenderedPageBreak/>
        <w:t>當事人對於下級法院之判決有不服者，得上訴於上級法院，上訴期間為20日，自送達判決後起算。提起上訴，應以上訴書狀提出於原審法院為之，上級審法院如認為上訴逾期，即應以判決駁回之。</w:t>
      </w:r>
    </w:p>
    <w:p w:rsidR="006C48E0" w:rsidRPr="00951A56" w:rsidRDefault="00157FCF" w:rsidP="00157FCF">
      <w:pPr>
        <w:pStyle w:val="4"/>
      </w:pPr>
      <w:r w:rsidRPr="00951A56">
        <w:rPr>
          <w:rFonts w:hint="eastAsia"/>
        </w:rPr>
        <w:t>辦理</w:t>
      </w:r>
      <w:r w:rsidR="006C48E0" w:rsidRPr="00951A56">
        <w:rPr>
          <w:rFonts w:hint="eastAsia"/>
        </w:rPr>
        <w:t>民</w:t>
      </w:r>
      <w:r w:rsidRPr="00951A56">
        <w:rPr>
          <w:rFonts w:hint="eastAsia"/>
        </w:rPr>
        <w:t>刑事審判紀錄業務注意事項</w:t>
      </w:r>
      <w:r w:rsidR="006C48E0" w:rsidRPr="00951A56">
        <w:rPr>
          <w:rFonts w:hAnsi="標楷體" w:hint="eastAsia"/>
        </w:rPr>
        <w:t>：</w:t>
      </w:r>
    </w:p>
    <w:p w:rsidR="00BF07CB" w:rsidRPr="00951A56" w:rsidRDefault="009E2B2F" w:rsidP="006C48E0">
      <w:pPr>
        <w:pStyle w:val="5"/>
      </w:pPr>
      <w:r w:rsidRPr="00951A56">
        <w:rPr>
          <w:rFonts w:hint="eastAsia"/>
        </w:rPr>
        <w:t>就裁判書正本送達及上訴流程為</w:t>
      </w:r>
      <w:r w:rsidR="00157FCF" w:rsidRPr="00951A56">
        <w:rPr>
          <w:rFonts w:hint="eastAsia"/>
        </w:rPr>
        <w:t>詳</w:t>
      </w:r>
      <w:r w:rsidRPr="00951A56">
        <w:rPr>
          <w:rFonts w:hint="eastAsia"/>
        </w:rPr>
        <w:t>細之規定</w:t>
      </w:r>
      <w:r w:rsidR="00157FCF" w:rsidRPr="00951A56">
        <w:rPr>
          <w:rFonts w:hint="eastAsia"/>
        </w:rPr>
        <w:t>，供一、二審書記官辦理業務之參考。第173點、第176點、第177點及第178點規定，就裁判書之送達及特別彙送對象為詳實之規範，第180點以下就上訴流程為細節性、技術性之規範。</w:t>
      </w:r>
    </w:p>
    <w:p w:rsidR="006C48E0" w:rsidRPr="00951A56" w:rsidRDefault="006C48E0" w:rsidP="006C48E0">
      <w:pPr>
        <w:pStyle w:val="5"/>
      </w:pPr>
      <w:r w:rsidRPr="00951A56">
        <w:rPr>
          <w:rFonts w:hint="eastAsia"/>
        </w:rPr>
        <w:t>第</w:t>
      </w:r>
      <w:r w:rsidRPr="00951A56">
        <w:t>173</w:t>
      </w:r>
      <w:r w:rsidRPr="00951A56">
        <w:rPr>
          <w:rFonts w:hint="eastAsia"/>
        </w:rPr>
        <w:t>點規定裁判正本之送達：「</w:t>
      </w:r>
      <w:r w:rsidRPr="00951A56">
        <w:t>(</w:t>
      </w:r>
      <w:r w:rsidRPr="00951A56">
        <w:rPr>
          <w:rFonts w:hint="eastAsia"/>
        </w:rPr>
        <w:t>一</w:t>
      </w:r>
      <w:r w:rsidRPr="00951A56">
        <w:t>)</w:t>
      </w:r>
      <w:r w:rsidRPr="00951A56">
        <w:rPr>
          <w:rFonts w:hint="eastAsia"/>
        </w:rPr>
        <w:t>送達裁判正本應製作送達證書及收受證書，每一應受送達人應單獨製作一送達證書，不得數人合製一送達證書，並應於收受原本後</w:t>
      </w:r>
      <w:r w:rsidRPr="00951A56">
        <w:t>7</w:t>
      </w:r>
      <w:r w:rsidRPr="00951A56">
        <w:rPr>
          <w:rFonts w:hint="eastAsia"/>
        </w:rPr>
        <w:t>日内送達。</w:t>
      </w:r>
      <w:r w:rsidRPr="00951A56">
        <w:t>(</w:t>
      </w:r>
      <w:r w:rsidRPr="00951A56">
        <w:rPr>
          <w:rFonts w:hint="eastAsia"/>
        </w:rPr>
        <w:t>二</w:t>
      </w:r>
      <w:r w:rsidRPr="00951A56">
        <w:t>)</w:t>
      </w:r>
      <w:r w:rsidRPr="00951A56">
        <w:rPr>
          <w:rFonts w:hint="eastAsia"/>
        </w:rPr>
        <w:t>裁判正本應送達檢察官、被告、自訴人、告訴人、告發人、被害人（如被害人已死亡，其家屬不論告訴是否明確，均應對被害人之家屬送達）、辯護人、聲請人、代理人及輔佐人、附帶民事訴訟之當事人及代理人、其他依法得上訴之人。對於得上訴之人應於送達判決正本時附送『上訴權利告知書』。……</w:t>
      </w:r>
      <w:r w:rsidRPr="00951A56">
        <w:t>(</w:t>
      </w:r>
      <w:r w:rsidRPr="00951A56">
        <w:rPr>
          <w:rFonts w:hint="eastAsia"/>
        </w:rPr>
        <w:t>十一</w:t>
      </w:r>
      <w:r w:rsidRPr="00951A56">
        <w:t xml:space="preserve">) </w:t>
      </w:r>
      <w:r w:rsidRPr="00951A56">
        <w:rPr>
          <w:rFonts w:hint="eastAsia"/>
        </w:rPr>
        <w:t>對於告訴人或被害人之送達，應注意下列事項：1.對於告訴人或被害人之送達應較檢察官提早7</w:t>
      </w:r>
      <w:r w:rsidR="00565EC4" w:rsidRPr="00951A56">
        <w:rPr>
          <w:rFonts w:hint="eastAsia"/>
        </w:rPr>
        <w:t>日為之，以免延誤其請求檢察官上訴之機會……。</w:t>
      </w:r>
      <w:r w:rsidRPr="00951A56">
        <w:rPr>
          <w:rFonts w:hint="eastAsia"/>
        </w:rPr>
        <w:t>」</w:t>
      </w:r>
    </w:p>
    <w:p w:rsidR="00845B0A" w:rsidRPr="00951A56" w:rsidRDefault="00845B0A" w:rsidP="00845B0A">
      <w:pPr>
        <w:pStyle w:val="4"/>
      </w:pPr>
      <w:r w:rsidRPr="00951A56">
        <w:rPr>
          <w:rFonts w:hint="eastAsia"/>
        </w:rPr>
        <w:t>法院刑事紀錄書記官應注意辦理事項表：</w:t>
      </w:r>
    </w:p>
    <w:p w:rsidR="0082184E" w:rsidRPr="00951A56" w:rsidRDefault="00845B0A" w:rsidP="00EA4AA7">
      <w:pPr>
        <w:pStyle w:val="4"/>
        <w:numPr>
          <w:ilvl w:val="0"/>
          <w:numId w:val="0"/>
        </w:numPr>
        <w:ind w:left="1701"/>
      </w:pPr>
      <w:r w:rsidRPr="00951A56">
        <w:rPr>
          <w:rFonts w:hint="eastAsia"/>
        </w:rPr>
        <w:t xml:space="preserve">   依據臺灣高等法院77年3月17日（77）菁文廉字第3179號函規定，法院刑事紀錄書記官應注意辦理事項表於第一、二審法院通用，法院於分案時裝訂於卷面與文書目錄之間，其目的係提醒承</w:t>
      </w:r>
      <w:r w:rsidRPr="00951A56">
        <w:rPr>
          <w:rFonts w:hint="eastAsia"/>
        </w:rPr>
        <w:lastRenderedPageBreak/>
        <w:t>辦書記官注意辦理並填載辦迄日期，以資查考，並作為科（股）長審核</w:t>
      </w:r>
      <w:r w:rsidR="001B4C11" w:rsidRPr="00951A56">
        <w:rPr>
          <w:rFonts w:hint="eastAsia"/>
        </w:rPr>
        <w:t>書記官辦理情形</w:t>
      </w:r>
      <w:r w:rsidRPr="00951A56">
        <w:rPr>
          <w:rFonts w:hint="eastAsia"/>
        </w:rPr>
        <w:t>之參考。</w:t>
      </w:r>
    </w:p>
    <w:p w:rsidR="002D3D95" w:rsidRPr="00951A56" w:rsidRDefault="00A73F75" w:rsidP="00D63306">
      <w:pPr>
        <w:pStyle w:val="3"/>
        <w:rPr>
          <w:rFonts w:hAnsi="標楷體" w:cs="新細明體"/>
          <w:kern w:val="0"/>
          <w:szCs w:val="32"/>
          <w:lang w:val="x-none"/>
        </w:rPr>
      </w:pPr>
      <w:r w:rsidRPr="00951A56">
        <w:rPr>
          <w:rFonts w:hint="eastAsia"/>
        </w:rPr>
        <w:t>依據刑事訴訟法第227條、第314條第2項規定，</w:t>
      </w:r>
      <w:r w:rsidRPr="00951A56">
        <w:rPr>
          <w:rFonts w:hint="eastAsia"/>
          <w:szCs w:val="32"/>
        </w:rPr>
        <w:t>有關判決書之送達，</w:t>
      </w:r>
      <w:r w:rsidRPr="00951A56">
        <w:rPr>
          <w:rFonts w:hint="eastAsia"/>
        </w:rPr>
        <w:t>應否送達非屬告訴人或告發人之被害人或被害人家屬，並無明文規定，</w:t>
      </w:r>
      <w:r w:rsidRPr="00951A56">
        <w:rPr>
          <w:rFonts w:hint="eastAsia"/>
          <w:lang w:val="x-none"/>
        </w:rPr>
        <w:t>惟</w:t>
      </w:r>
      <w:r w:rsidRPr="00951A56">
        <w:rPr>
          <w:rFonts w:hint="eastAsia"/>
        </w:rPr>
        <w:t>辦理民刑事審判紀錄業務注意事項第</w:t>
      </w:r>
      <w:r w:rsidRPr="00951A56">
        <w:t>173</w:t>
      </w:r>
      <w:r w:rsidRPr="00951A56">
        <w:rPr>
          <w:rFonts w:hint="eastAsia"/>
        </w:rPr>
        <w:t>點第2款規定，裁判正本應送達被害人，如被害人死亡，其家屬不論告訴是否明確，均應對被害人之家屬送達，</w:t>
      </w:r>
      <w:r w:rsidR="005052C6" w:rsidRPr="00951A56">
        <w:rPr>
          <w:rFonts w:hint="eastAsia"/>
        </w:rPr>
        <w:t>另</w:t>
      </w:r>
      <w:r w:rsidR="00963CDE" w:rsidRPr="00951A56">
        <w:rPr>
          <w:rFonts w:hint="eastAsia"/>
        </w:rPr>
        <w:t>同點第11款規定，對於告訴人或被害人之送達應較檢察官提早7日為之，</w:t>
      </w:r>
      <w:r w:rsidR="009605E9" w:rsidRPr="00951A56">
        <w:rPr>
          <w:rFonts w:hint="eastAsia"/>
        </w:rPr>
        <w:t>以免延誤其請求檢察官上訴之機會。另依109年11月27日屏東地方法院說明資料，</w:t>
      </w:r>
      <w:r w:rsidR="009605E9" w:rsidRPr="00951A56">
        <w:rPr>
          <w:rFonts w:hAnsi="標楷體" w:hint="eastAsia"/>
        </w:rPr>
        <w:t>「</w:t>
      </w:r>
      <w:r w:rsidR="009605E9" w:rsidRPr="00951A56">
        <w:rPr>
          <w:rFonts w:ascii="新細明體" w:hAnsi="新細明體" w:cs="新細明體" w:hint="eastAsia"/>
          <w:kern w:val="0"/>
          <w:lang w:val="x-none"/>
        </w:rPr>
        <w:t>判決書之寄送流程，係由書記官將正本及全案卷宗交付錄事，由其負責寄發給所有應</w:t>
      </w:r>
      <w:r w:rsidR="00E8154D" w:rsidRPr="00951A56">
        <w:rPr>
          <w:rFonts w:ascii="新細明體" w:hAnsi="新細明體" w:cs="新細明體" w:hint="eastAsia"/>
          <w:kern w:val="0"/>
          <w:lang w:val="x-none"/>
        </w:rPr>
        <w:t>受送達人，錄事寄送完，將卷宗交還書記官後，書記官應檢查卷宗内之刑事判決正本送達情形一覽表</w:t>
      </w:r>
      <w:r w:rsidR="009605E9" w:rsidRPr="00951A56">
        <w:rPr>
          <w:rFonts w:ascii="新細明體" w:hAnsi="新細明體" w:cs="新細明體" w:hint="eastAsia"/>
          <w:kern w:val="0"/>
          <w:lang w:val="x-none"/>
        </w:rPr>
        <w:t>，查看錄事是否均已寄送所有應受送達人，有無疏漏。</w:t>
      </w:r>
      <w:r w:rsidR="009605E9" w:rsidRPr="00951A56">
        <w:rPr>
          <w:rFonts w:hAnsi="標楷體" w:cs="新細明體" w:hint="eastAsia"/>
          <w:kern w:val="0"/>
          <w:lang w:val="x-none"/>
        </w:rPr>
        <w:t>」</w:t>
      </w:r>
      <w:r w:rsidR="009605E9" w:rsidRPr="00951A56">
        <w:rPr>
          <w:rFonts w:ascii="新細明體" w:hAnsi="新細明體" w:cs="新細明體" w:hint="eastAsia"/>
          <w:kern w:val="0"/>
          <w:lang w:val="x-none"/>
        </w:rPr>
        <w:t>故</w:t>
      </w:r>
      <w:r w:rsidRPr="00951A56">
        <w:rPr>
          <w:rFonts w:hAnsi="標楷體" w:cs="新細明體" w:hint="eastAsia"/>
          <w:kern w:val="0"/>
          <w:szCs w:val="32"/>
          <w:lang w:val="x-none"/>
        </w:rPr>
        <w:t>依據法院</w:t>
      </w:r>
      <w:r w:rsidR="002D3D95" w:rsidRPr="00951A56">
        <w:rPr>
          <w:rFonts w:hAnsi="標楷體" w:cs="新細明體" w:hint="eastAsia"/>
          <w:kern w:val="0"/>
          <w:szCs w:val="32"/>
          <w:lang w:val="x-none"/>
        </w:rPr>
        <w:t>作業程序規定</w:t>
      </w:r>
      <w:r w:rsidR="005052C6" w:rsidRPr="00951A56">
        <w:rPr>
          <w:rFonts w:hAnsi="標楷體" w:cs="新細明體" w:hint="eastAsia"/>
          <w:kern w:val="0"/>
          <w:szCs w:val="32"/>
          <w:lang w:val="x-none"/>
        </w:rPr>
        <w:t>，</w:t>
      </w:r>
      <w:r w:rsidR="00963CDE" w:rsidRPr="00951A56">
        <w:rPr>
          <w:rFonts w:hint="eastAsia"/>
        </w:rPr>
        <w:t>判決書正本</w:t>
      </w:r>
      <w:r w:rsidR="005052C6" w:rsidRPr="00951A56">
        <w:rPr>
          <w:rFonts w:hint="eastAsia"/>
        </w:rPr>
        <w:t>應送達</w:t>
      </w:r>
      <w:r w:rsidR="005052C6" w:rsidRPr="00951A56">
        <w:rPr>
          <w:rFonts w:hAnsi="標楷體" w:cs="新細明體" w:hint="eastAsia"/>
          <w:kern w:val="0"/>
          <w:szCs w:val="32"/>
          <w:lang w:val="x-none"/>
        </w:rPr>
        <w:t>被害人家屬</w:t>
      </w:r>
      <w:r w:rsidR="005052C6" w:rsidRPr="00951A56">
        <w:rPr>
          <w:rFonts w:hint="eastAsia"/>
        </w:rPr>
        <w:t>，</w:t>
      </w:r>
      <w:r w:rsidR="005052C6" w:rsidRPr="00951A56">
        <w:rPr>
          <w:rFonts w:hAnsi="標楷體" w:cs="新細明體" w:hint="eastAsia"/>
          <w:kern w:val="0"/>
          <w:szCs w:val="32"/>
          <w:lang w:val="x-none"/>
        </w:rPr>
        <w:t>並</w:t>
      </w:r>
      <w:r w:rsidR="00963CDE" w:rsidRPr="00951A56">
        <w:rPr>
          <w:rFonts w:hint="eastAsia"/>
        </w:rPr>
        <w:t>較檢察官提早7日</w:t>
      </w:r>
      <w:r w:rsidR="005052C6" w:rsidRPr="00951A56">
        <w:rPr>
          <w:rFonts w:hAnsi="標楷體" w:cs="新細明體" w:hint="eastAsia"/>
          <w:kern w:val="0"/>
          <w:szCs w:val="32"/>
          <w:lang w:val="x-none"/>
        </w:rPr>
        <w:t>為之</w:t>
      </w:r>
      <w:r w:rsidR="002D3D95" w:rsidRPr="00951A56">
        <w:rPr>
          <w:rFonts w:hAnsi="標楷體" w:cs="新細明體" w:hint="eastAsia"/>
          <w:kern w:val="0"/>
          <w:szCs w:val="32"/>
          <w:lang w:val="x-none"/>
        </w:rPr>
        <w:t>，</w:t>
      </w:r>
      <w:r w:rsidR="00963CDE" w:rsidRPr="00951A56">
        <w:rPr>
          <w:rFonts w:hAnsi="標楷體" w:cs="新細明體" w:hint="eastAsia"/>
          <w:kern w:val="0"/>
          <w:szCs w:val="32"/>
          <w:lang w:val="x-none"/>
        </w:rPr>
        <w:t>屏東地方</w:t>
      </w:r>
      <w:r w:rsidR="002D3D95" w:rsidRPr="00951A56">
        <w:rPr>
          <w:rFonts w:hAnsi="標楷體" w:cs="新細明體" w:hint="eastAsia"/>
          <w:kern w:val="0"/>
          <w:szCs w:val="32"/>
          <w:lang w:val="x-none"/>
        </w:rPr>
        <w:t>法院</w:t>
      </w:r>
      <w:r w:rsidR="00963CDE" w:rsidRPr="00951A56">
        <w:rPr>
          <w:rFonts w:hAnsi="標楷體" w:cs="新細明體" w:hint="eastAsia"/>
          <w:kern w:val="0"/>
          <w:szCs w:val="32"/>
          <w:lang w:val="x-none"/>
        </w:rPr>
        <w:t>承辦人</w:t>
      </w:r>
      <w:r w:rsidR="005052C6" w:rsidRPr="00951A56">
        <w:rPr>
          <w:rFonts w:hAnsi="標楷體" w:cs="新細明體" w:hint="eastAsia"/>
          <w:kern w:val="0"/>
          <w:szCs w:val="32"/>
          <w:lang w:val="x-none"/>
        </w:rPr>
        <w:t>疏漏</w:t>
      </w:r>
      <w:r w:rsidR="00963CDE" w:rsidRPr="00951A56">
        <w:rPr>
          <w:rFonts w:hAnsi="標楷體" w:cs="新細明體" w:hint="eastAsia"/>
          <w:kern w:val="0"/>
          <w:szCs w:val="32"/>
          <w:lang w:val="x-none"/>
        </w:rPr>
        <w:t>未將判決書送達被害人家屬，</w:t>
      </w:r>
      <w:r w:rsidRPr="00951A56">
        <w:rPr>
          <w:rFonts w:hAnsi="標楷體" w:cs="新細明體" w:hint="eastAsia"/>
          <w:kern w:val="0"/>
          <w:szCs w:val="32"/>
          <w:lang w:val="x-none"/>
        </w:rPr>
        <w:t>已</w:t>
      </w:r>
      <w:r w:rsidR="002D3D95" w:rsidRPr="00951A56">
        <w:rPr>
          <w:rFonts w:hAnsi="標楷體" w:cs="新細明體" w:hint="eastAsia"/>
          <w:kern w:val="0"/>
          <w:szCs w:val="32"/>
          <w:lang w:val="x-none"/>
        </w:rPr>
        <w:t>違反</w:t>
      </w:r>
      <w:r w:rsidR="009605E9" w:rsidRPr="00951A56">
        <w:rPr>
          <w:rFonts w:hAnsi="標楷體" w:cs="新細明體" w:hint="eastAsia"/>
          <w:kern w:val="0"/>
          <w:szCs w:val="32"/>
          <w:lang w:val="x-none"/>
        </w:rPr>
        <w:t>法院</w:t>
      </w:r>
      <w:r w:rsidR="002D3D95" w:rsidRPr="00951A56">
        <w:rPr>
          <w:rFonts w:hAnsi="標楷體" w:cs="新細明體" w:hint="eastAsia"/>
          <w:kern w:val="0"/>
          <w:szCs w:val="32"/>
          <w:lang w:val="x-none"/>
        </w:rPr>
        <w:t>作業程序</w:t>
      </w:r>
      <w:r w:rsidR="00954584" w:rsidRPr="00951A56">
        <w:rPr>
          <w:rFonts w:hAnsi="標楷體" w:cs="新細明體" w:hint="eastAsia"/>
          <w:kern w:val="0"/>
          <w:szCs w:val="32"/>
          <w:lang w:val="x-none"/>
        </w:rPr>
        <w:t>規定</w:t>
      </w:r>
      <w:r w:rsidR="005052C6" w:rsidRPr="00951A56">
        <w:rPr>
          <w:rFonts w:hAnsi="標楷體" w:cs="新細明體" w:hint="eastAsia"/>
          <w:kern w:val="0"/>
          <w:szCs w:val="32"/>
          <w:lang w:val="x-none"/>
        </w:rPr>
        <w:t>，影響被害人家屬上訴之權益</w:t>
      </w:r>
      <w:r w:rsidR="00DC63C9" w:rsidRPr="00951A56">
        <w:rPr>
          <w:rFonts w:ascii="新細明體" w:hAnsi="新細明體" w:cs="新細明體" w:hint="eastAsia"/>
          <w:kern w:val="0"/>
          <w:lang w:val="x-none"/>
        </w:rPr>
        <w:t>及</w:t>
      </w:r>
      <w:r w:rsidR="00D35FB2" w:rsidRPr="00951A56">
        <w:rPr>
          <w:rFonts w:ascii="新細明體" w:hAnsi="新細明體" w:cs="新細明體" w:hint="eastAsia"/>
          <w:kern w:val="0"/>
          <w:lang w:val="x-none"/>
        </w:rPr>
        <w:t>民</w:t>
      </w:r>
      <w:r w:rsidR="00DC63C9" w:rsidRPr="00951A56">
        <w:rPr>
          <w:rFonts w:ascii="新細明體" w:hAnsi="新細明體" w:cs="新細明體" w:hint="eastAsia"/>
          <w:kern w:val="0"/>
          <w:lang w:val="x-none"/>
        </w:rPr>
        <w:t>眾</w:t>
      </w:r>
      <w:r w:rsidR="00D35FB2" w:rsidRPr="00951A56">
        <w:rPr>
          <w:rFonts w:ascii="新細明體" w:hAnsi="新細明體" w:cs="新細明體" w:hint="eastAsia"/>
          <w:kern w:val="0"/>
          <w:lang w:val="x-none"/>
        </w:rPr>
        <w:t>對司法機關之觀感</w:t>
      </w:r>
      <w:r w:rsidR="00954584" w:rsidRPr="00951A56">
        <w:rPr>
          <w:rFonts w:hAnsi="標楷體" w:cs="新細明體" w:hint="eastAsia"/>
          <w:kern w:val="0"/>
          <w:szCs w:val="32"/>
          <w:lang w:val="x-none"/>
        </w:rPr>
        <w:t>。</w:t>
      </w:r>
      <w:r w:rsidR="00D35FB2" w:rsidRPr="00951A56">
        <w:rPr>
          <w:rFonts w:hAnsi="標楷體" w:cs="新細明體" w:hint="eastAsia"/>
          <w:kern w:val="0"/>
          <w:szCs w:val="32"/>
          <w:lang w:val="x-none"/>
        </w:rPr>
        <w:t>另</w:t>
      </w:r>
      <w:r w:rsidR="00D86CB7" w:rsidRPr="00951A56">
        <w:rPr>
          <w:rFonts w:hint="eastAsia"/>
        </w:rPr>
        <w:t>本案調查經本院詢問司法院刑事廳後，</w:t>
      </w:r>
      <w:r w:rsidR="00D86CB7" w:rsidRPr="00951A56">
        <w:rPr>
          <w:rFonts w:hAnsi="標楷體" w:hint="eastAsia"/>
          <w:szCs w:val="32"/>
        </w:rPr>
        <w:t>司法院業於110年2月2日函知各法院依辦理刑事審判紀錄業務注意事項相關規定落實判決書送達業務</w:t>
      </w:r>
      <w:r w:rsidR="00D86CB7" w:rsidRPr="00951A56">
        <w:rPr>
          <w:rFonts w:hint="eastAsia"/>
        </w:rPr>
        <w:t>。</w:t>
      </w:r>
    </w:p>
    <w:p w:rsidR="002062BD" w:rsidRPr="00951A56" w:rsidRDefault="00771446" w:rsidP="00D63306">
      <w:pPr>
        <w:pStyle w:val="3"/>
        <w:rPr>
          <w:rFonts w:ascii="新細明體" w:hAnsi="新細明體" w:cs="新細明體"/>
          <w:kern w:val="0"/>
          <w:sz w:val="24"/>
          <w:szCs w:val="24"/>
          <w:lang w:val="x-none"/>
        </w:rPr>
      </w:pPr>
      <w:r w:rsidRPr="00951A56">
        <w:rPr>
          <w:rFonts w:hAnsi="標楷體" w:hint="eastAsia"/>
        </w:rPr>
        <w:t>依據臺灣高等法院</w:t>
      </w:r>
      <w:r w:rsidR="002B39DE" w:rsidRPr="00951A56">
        <w:rPr>
          <w:rFonts w:hAnsi="標楷體" w:hint="eastAsia"/>
          <w:szCs w:val="32"/>
        </w:rPr>
        <w:t>77年3月17日（77）菁文廉字第3179號</w:t>
      </w:r>
      <w:r w:rsidR="00B318AB" w:rsidRPr="00951A56">
        <w:rPr>
          <w:rFonts w:hint="eastAsia"/>
        </w:rPr>
        <w:t>函，法院刑事紀錄書記官應注意辦理事項表</w:t>
      </w:r>
      <w:r w:rsidRPr="00951A56">
        <w:rPr>
          <w:rFonts w:hAnsi="標楷體" w:hint="eastAsia"/>
        </w:rPr>
        <w:t>第一、二審法院通用，應於分新案時裝訂於卷面與文書目錄之間，供紀錄書記官就應為事項逐項隨時檢查注意辦理，</w:t>
      </w:r>
      <w:r w:rsidR="009E2B2F" w:rsidRPr="00951A56">
        <w:rPr>
          <w:rFonts w:hint="eastAsia"/>
        </w:rPr>
        <w:t>其目的係提醒承辦書記官</w:t>
      </w:r>
      <w:r w:rsidRPr="00951A56">
        <w:rPr>
          <w:rFonts w:hint="eastAsia"/>
        </w:rPr>
        <w:t>注意辦理並填載辦迄日期，以資查考</w:t>
      </w:r>
      <w:r w:rsidRPr="00951A56">
        <w:rPr>
          <w:rFonts w:hAnsi="標楷體" w:hint="eastAsia"/>
        </w:rPr>
        <w:t>。</w:t>
      </w:r>
      <w:r w:rsidR="00EA4AA7" w:rsidRPr="00951A56">
        <w:rPr>
          <w:rFonts w:ascii="新細明體" w:hAnsi="新細明體" w:cs="新細明體" w:hint="eastAsia"/>
          <w:kern w:val="0"/>
          <w:szCs w:val="24"/>
          <w:lang w:val="x-none"/>
        </w:rPr>
        <w:t>卷内之刑事判決正本送達情形一覽表應確實記載，書記官於收到卷宗後</w:t>
      </w:r>
      <w:r w:rsidR="00EA4AA7" w:rsidRPr="00951A56">
        <w:rPr>
          <w:rFonts w:ascii="新細明體" w:hAnsi="新細明體" w:cs="新細明體" w:hint="eastAsia"/>
          <w:kern w:val="0"/>
          <w:szCs w:val="24"/>
          <w:lang w:val="x-none"/>
        </w:rPr>
        <w:lastRenderedPageBreak/>
        <w:t>要應確實核對檢查受送達人之資料，如有疑義應查詢審判系統是否確實寄送。</w:t>
      </w:r>
      <w:r w:rsidR="00036645" w:rsidRPr="00951A56">
        <w:rPr>
          <w:rFonts w:hAnsi="標楷體" w:cs="新細明體" w:hint="eastAsia"/>
          <w:kern w:val="0"/>
          <w:szCs w:val="32"/>
          <w:lang w:val="x-none"/>
        </w:rPr>
        <w:t>經查，</w:t>
      </w:r>
      <w:r w:rsidR="002062BD" w:rsidRPr="00951A56">
        <w:rPr>
          <w:rFonts w:hAnsi="標楷體" w:cs="新細明體" w:hint="eastAsia"/>
          <w:kern w:val="0"/>
          <w:szCs w:val="32"/>
          <w:lang w:val="x-none"/>
        </w:rPr>
        <w:t>屏東地方法院刑事一般卷宗</w:t>
      </w:r>
      <w:r w:rsidR="00017F8A" w:rsidRPr="00951A56">
        <w:rPr>
          <w:rFonts w:hAnsi="標楷體" w:cs="新細明體" w:hint="eastAsia"/>
          <w:kern w:val="0"/>
          <w:szCs w:val="32"/>
          <w:lang w:val="x-none"/>
        </w:rPr>
        <w:t>108</w:t>
      </w:r>
      <w:r w:rsidR="002062BD" w:rsidRPr="00951A56">
        <w:rPr>
          <w:rFonts w:hAnsi="標楷體" w:cs="新細明體" w:hint="eastAsia"/>
          <w:kern w:val="0"/>
          <w:szCs w:val="32"/>
          <w:lang w:val="x-none"/>
        </w:rPr>
        <w:t>年度重訴字第</w:t>
      </w:r>
      <w:r w:rsidR="00017F8A" w:rsidRPr="00951A56">
        <w:rPr>
          <w:rFonts w:hAnsi="標楷體" w:cs="新細明體" w:hint="eastAsia"/>
          <w:kern w:val="0"/>
          <w:szCs w:val="32"/>
          <w:lang w:val="x-none"/>
        </w:rPr>
        <w:t>14</w:t>
      </w:r>
      <w:r w:rsidR="002062BD" w:rsidRPr="00951A56">
        <w:rPr>
          <w:rFonts w:hAnsi="標楷體" w:cs="新細明體" w:hint="eastAsia"/>
          <w:kern w:val="0"/>
          <w:szCs w:val="32"/>
          <w:lang w:val="x-none"/>
        </w:rPr>
        <w:t>號</w:t>
      </w:r>
      <w:r w:rsidR="009B3392" w:rsidRPr="00951A56">
        <w:rPr>
          <w:rFonts w:hAnsi="標楷體" w:cs="新細明體" w:hint="eastAsia"/>
          <w:kern w:val="0"/>
          <w:szCs w:val="32"/>
          <w:lang w:val="x-none"/>
        </w:rPr>
        <w:t>卷一及卷二</w:t>
      </w:r>
      <w:r w:rsidR="002062BD" w:rsidRPr="00951A56">
        <w:rPr>
          <w:rFonts w:hAnsi="標楷體" w:cs="新細明體" w:hint="eastAsia"/>
          <w:kern w:val="0"/>
          <w:szCs w:val="32"/>
          <w:lang w:val="x-none"/>
        </w:rPr>
        <w:t>，</w:t>
      </w:r>
      <w:r w:rsidR="00B318AB" w:rsidRPr="00951A56">
        <w:rPr>
          <w:rFonts w:hAnsi="標楷體" w:cs="新細明體" w:hint="eastAsia"/>
          <w:kern w:val="0"/>
          <w:szCs w:val="32"/>
          <w:lang w:val="x-none"/>
        </w:rPr>
        <w:t>卷宗內</w:t>
      </w:r>
      <w:r w:rsidR="00925301" w:rsidRPr="00951A56">
        <w:rPr>
          <w:rFonts w:hAnsi="標楷體" w:cs="新細明體" w:hint="eastAsia"/>
          <w:kern w:val="0"/>
          <w:szCs w:val="32"/>
          <w:lang w:val="x-none"/>
        </w:rPr>
        <w:t>「</w:t>
      </w:r>
      <w:r w:rsidR="00FD759C" w:rsidRPr="00951A56">
        <w:rPr>
          <w:rFonts w:hAnsi="標楷體" w:cs="新細明體" w:hint="eastAsia"/>
          <w:kern w:val="0"/>
          <w:szCs w:val="32"/>
          <w:lang w:val="x-none"/>
        </w:rPr>
        <w:t>臺灣屏東地方法院刑事紀錄書記官應注意辦理事項表</w:t>
      </w:r>
      <w:r w:rsidR="00925301" w:rsidRPr="00951A56">
        <w:rPr>
          <w:rFonts w:hAnsi="標楷體" w:cs="新細明體" w:hint="eastAsia"/>
          <w:kern w:val="0"/>
          <w:szCs w:val="32"/>
          <w:lang w:val="x-none"/>
        </w:rPr>
        <w:t>」</w:t>
      </w:r>
      <w:r w:rsidR="00FD759C" w:rsidRPr="00951A56">
        <w:rPr>
          <w:rFonts w:hAnsi="標楷體" w:cs="新細明體" w:hint="eastAsia"/>
          <w:kern w:val="0"/>
          <w:szCs w:val="32"/>
          <w:lang w:val="x-none"/>
        </w:rPr>
        <w:t>、</w:t>
      </w:r>
      <w:r w:rsidR="00925301" w:rsidRPr="00951A56">
        <w:rPr>
          <w:rFonts w:hAnsi="標楷體" w:cs="新細明體" w:hint="eastAsia"/>
          <w:kern w:val="0"/>
          <w:szCs w:val="32"/>
          <w:lang w:val="x-none"/>
        </w:rPr>
        <w:t>「</w:t>
      </w:r>
      <w:r w:rsidR="00FD759C" w:rsidRPr="00951A56">
        <w:rPr>
          <w:rFonts w:hAnsi="標楷體" w:cs="新細明體" w:hint="eastAsia"/>
          <w:kern w:val="0"/>
          <w:szCs w:val="32"/>
          <w:lang w:val="x-none"/>
        </w:rPr>
        <w:t>其他應辦理事項表</w:t>
      </w:r>
      <w:r w:rsidR="00925301" w:rsidRPr="00951A56">
        <w:rPr>
          <w:rFonts w:hAnsi="標楷體" w:cs="新細明體" w:hint="eastAsia"/>
          <w:kern w:val="0"/>
          <w:szCs w:val="32"/>
          <w:lang w:val="x-none"/>
        </w:rPr>
        <w:t>」</w:t>
      </w:r>
      <w:r w:rsidR="00B318AB" w:rsidRPr="00951A56">
        <w:rPr>
          <w:rFonts w:hAnsi="標楷體" w:cs="新細明體" w:hint="eastAsia"/>
          <w:kern w:val="0"/>
          <w:szCs w:val="32"/>
          <w:lang w:val="x-none"/>
        </w:rPr>
        <w:t>皆為</w:t>
      </w:r>
      <w:r w:rsidR="00FD759C" w:rsidRPr="00951A56">
        <w:rPr>
          <w:rFonts w:hAnsi="標楷體" w:cs="新細明體" w:hint="eastAsia"/>
          <w:kern w:val="0"/>
          <w:szCs w:val="32"/>
          <w:lang w:val="x-none"/>
        </w:rPr>
        <w:t>空白，</w:t>
      </w:r>
      <w:r w:rsidR="00925301" w:rsidRPr="00951A56">
        <w:rPr>
          <w:rFonts w:hAnsi="標楷體" w:cs="新細明體" w:hint="eastAsia"/>
          <w:kern w:val="0"/>
          <w:szCs w:val="32"/>
          <w:lang w:val="x-none"/>
        </w:rPr>
        <w:t>「</w:t>
      </w:r>
      <w:r w:rsidR="00FD759C" w:rsidRPr="00951A56">
        <w:rPr>
          <w:rFonts w:hAnsi="標楷體" w:cs="新細明體" w:hint="eastAsia"/>
          <w:kern w:val="0"/>
          <w:szCs w:val="32"/>
          <w:lang w:val="x-none"/>
        </w:rPr>
        <w:t>刑事判決正本送達情形一覽表</w:t>
      </w:r>
      <w:r w:rsidR="00925301" w:rsidRPr="00951A56">
        <w:rPr>
          <w:rFonts w:hAnsi="標楷體" w:cs="新細明體" w:hint="eastAsia"/>
          <w:kern w:val="0"/>
          <w:szCs w:val="32"/>
          <w:lang w:val="x-none"/>
        </w:rPr>
        <w:t>」</w:t>
      </w:r>
      <w:r w:rsidR="00B318AB" w:rsidRPr="00951A56">
        <w:rPr>
          <w:rFonts w:hAnsi="標楷體" w:cs="新細明體" w:hint="eastAsia"/>
          <w:kern w:val="0"/>
          <w:szCs w:val="32"/>
          <w:lang w:val="x-none"/>
        </w:rPr>
        <w:t>為</w:t>
      </w:r>
      <w:r w:rsidR="00017F8A" w:rsidRPr="00951A56">
        <w:rPr>
          <w:rFonts w:hAnsi="標楷體" w:cs="新細明體" w:hint="eastAsia"/>
          <w:kern w:val="0"/>
          <w:szCs w:val="32"/>
          <w:lang w:val="x-none"/>
        </w:rPr>
        <w:t>109</w:t>
      </w:r>
      <w:r w:rsidR="00FD759C" w:rsidRPr="00951A56">
        <w:rPr>
          <w:rFonts w:hAnsi="標楷體" w:cs="新細明體" w:hint="eastAsia"/>
          <w:kern w:val="0"/>
          <w:szCs w:val="32"/>
          <w:lang w:val="x-none"/>
        </w:rPr>
        <w:t>年</w:t>
      </w:r>
      <w:r w:rsidR="00017F8A" w:rsidRPr="00951A56">
        <w:rPr>
          <w:rFonts w:hAnsi="標楷體" w:cs="新細明體" w:hint="eastAsia"/>
          <w:kern w:val="0"/>
          <w:szCs w:val="32"/>
          <w:lang w:val="x-none"/>
        </w:rPr>
        <w:t>6</w:t>
      </w:r>
      <w:r w:rsidR="00FD759C" w:rsidRPr="00951A56">
        <w:rPr>
          <w:rFonts w:hAnsi="標楷體" w:cs="新細明體" w:hint="eastAsia"/>
          <w:kern w:val="0"/>
          <w:szCs w:val="32"/>
          <w:lang w:val="x-none"/>
        </w:rPr>
        <w:t>月</w:t>
      </w:r>
      <w:r w:rsidR="00017F8A" w:rsidRPr="00951A56">
        <w:rPr>
          <w:rFonts w:hAnsi="標楷體" w:cs="新細明體" w:hint="eastAsia"/>
          <w:kern w:val="0"/>
          <w:szCs w:val="32"/>
          <w:lang w:val="x-none"/>
        </w:rPr>
        <w:t>30日</w:t>
      </w:r>
      <w:r w:rsidR="00FD759C" w:rsidRPr="00951A56">
        <w:rPr>
          <w:rFonts w:hAnsi="標楷體" w:cs="新細明體" w:hint="eastAsia"/>
          <w:kern w:val="0"/>
          <w:szCs w:val="32"/>
          <w:lang w:val="x-none"/>
        </w:rPr>
        <w:t>補填（已逾送達日期）</w:t>
      </w:r>
      <w:r w:rsidR="0099349B" w:rsidRPr="00951A56">
        <w:rPr>
          <w:rFonts w:hAnsi="標楷體" w:cs="新細明體" w:hint="eastAsia"/>
          <w:kern w:val="0"/>
          <w:szCs w:val="32"/>
          <w:lang w:val="x-none"/>
        </w:rPr>
        <w:t>；</w:t>
      </w:r>
      <w:r w:rsidR="00440E72" w:rsidRPr="00951A56">
        <w:rPr>
          <w:rFonts w:hAnsi="標楷體" w:cs="新細明體" w:hint="eastAsia"/>
          <w:kern w:val="0"/>
          <w:szCs w:val="32"/>
          <w:lang w:val="x-none"/>
        </w:rPr>
        <w:t>臺灣臺南地方法院刑事卷宗</w:t>
      </w:r>
      <w:r w:rsidR="00017F8A" w:rsidRPr="00951A56">
        <w:rPr>
          <w:rFonts w:hAnsi="標楷體" w:cs="新細明體" w:hint="eastAsia"/>
          <w:kern w:val="0"/>
          <w:szCs w:val="32"/>
          <w:lang w:val="x-none"/>
        </w:rPr>
        <w:t>106</w:t>
      </w:r>
      <w:r w:rsidR="00440E72" w:rsidRPr="00951A56">
        <w:rPr>
          <w:rFonts w:hAnsi="標楷體" w:cs="新細明體" w:hint="eastAsia"/>
          <w:kern w:val="0"/>
          <w:szCs w:val="32"/>
          <w:lang w:val="x-none"/>
        </w:rPr>
        <w:t>年度易字第</w:t>
      </w:r>
      <w:r w:rsidR="00017F8A" w:rsidRPr="00951A56">
        <w:rPr>
          <w:rFonts w:hAnsi="標楷體" w:cs="新細明體" w:hint="eastAsia"/>
          <w:kern w:val="0"/>
          <w:szCs w:val="32"/>
          <w:lang w:val="x-none"/>
        </w:rPr>
        <w:t>1428</w:t>
      </w:r>
      <w:r w:rsidR="00440E72" w:rsidRPr="00951A56">
        <w:rPr>
          <w:rFonts w:hAnsi="標楷體" w:cs="新細明體" w:hint="eastAsia"/>
          <w:kern w:val="0"/>
          <w:szCs w:val="32"/>
          <w:lang w:val="x-none"/>
        </w:rPr>
        <w:t>號</w:t>
      </w:r>
      <w:r w:rsidR="00281246" w:rsidRPr="00951A56">
        <w:rPr>
          <w:rFonts w:hAnsi="標楷體" w:cs="新細明體" w:hint="eastAsia"/>
          <w:kern w:val="0"/>
          <w:szCs w:val="32"/>
          <w:lang w:val="x-none"/>
        </w:rPr>
        <w:t>、</w:t>
      </w:r>
      <w:r w:rsidR="002E7973" w:rsidRPr="00951A56">
        <w:rPr>
          <w:rFonts w:hAnsi="標楷體" w:cs="新細明體" w:hint="eastAsia"/>
          <w:kern w:val="0"/>
          <w:szCs w:val="32"/>
          <w:lang w:val="x-none"/>
        </w:rPr>
        <w:t>刑事卷宗</w:t>
      </w:r>
      <w:r w:rsidR="00C14A00" w:rsidRPr="00951A56">
        <w:rPr>
          <w:rFonts w:hAnsi="標楷體" w:cs="新細明體" w:hint="eastAsia"/>
          <w:kern w:val="0"/>
          <w:szCs w:val="32"/>
          <w:lang w:val="x-none"/>
        </w:rPr>
        <w:t>106年度簡字第3175號、</w:t>
      </w:r>
      <w:r w:rsidR="00281246" w:rsidRPr="00951A56">
        <w:rPr>
          <w:rFonts w:hAnsi="標楷體" w:cs="新細明體" w:hint="eastAsia"/>
          <w:kern w:val="0"/>
          <w:szCs w:val="32"/>
          <w:lang w:val="x-none"/>
        </w:rPr>
        <w:t>交通事件卷宗108年度交易字第788號、刑事簡易第二審案件109年度簡上字第24號、刑事簡易第一審案件108年度簡字第3510號</w:t>
      </w:r>
      <w:r w:rsidR="0099349B" w:rsidRPr="00951A56">
        <w:rPr>
          <w:rFonts w:hAnsi="標楷體" w:cs="新細明體" w:hint="eastAsia"/>
          <w:kern w:val="0"/>
          <w:szCs w:val="32"/>
          <w:lang w:val="x-none"/>
        </w:rPr>
        <w:t>，</w:t>
      </w:r>
      <w:r w:rsidR="007D5E7D" w:rsidRPr="00951A56">
        <w:rPr>
          <w:rFonts w:hAnsi="標楷體" w:cs="新細明體" w:hint="eastAsia"/>
          <w:kern w:val="0"/>
          <w:szCs w:val="32"/>
          <w:lang w:val="x-none"/>
        </w:rPr>
        <w:t>卷宗內</w:t>
      </w:r>
      <w:r w:rsidR="0099349B" w:rsidRPr="00951A56">
        <w:rPr>
          <w:rFonts w:hAnsi="標楷體" w:cs="新細明體" w:hint="eastAsia"/>
          <w:kern w:val="0"/>
          <w:szCs w:val="32"/>
          <w:lang w:val="x-none"/>
        </w:rPr>
        <w:t>「第一、二審法院刑事紀錄書記官應注意辦理事項表」、「其他應辦理事項表」皆為空白</w:t>
      </w:r>
      <w:r w:rsidR="00C14A00" w:rsidRPr="00951A56">
        <w:rPr>
          <w:rFonts w:hAnsi="標楷體" w:cs="新細明體" w:hint="eastAsia"/>
          <w:kern w:val="0"/>
          <w:szCs w:val="32"/>
          <w:lang w:val="x-none"/>
        </w:rPr>
        <w:t>。</w:t>
      </w:r>
      <w:r w:rsidR="009E2B2F" w:rsidRPr="00951A56">
        <w:rPr>
          <w:rFonts w:hAnsi="標楷體" w:cs="新細明體" w:hint="eastAsia"/>
          <w:kern w:val="0"/>
          <w:szCs w:val="32"/>
          <w:lang w:val="x-none"/>
        </w:rPr>
        <w:t>前揭</w:t>
      </w:r>
      <w:r w:rsidR="00235EEF" w:rsidRPr="00951A56">
        <w:rPr>
          <w:rFonts w:hAnsi="標楷體" w:cs="新細明體" w:hint="eastAsia"/>
          <w:kern w:val="0"/>
          <w:szCs w:val="32"/>
          <w:lang w:val="x-none"/>
        </w:rPr>
        <w:t>法院卷宗之</w:t>
      </w:r>
      <w:r w:rsidR="00235EEF" w:rsidRPr="00951A56">
        <w:rPr>
          <w:rFonts w:hint="eastAsia"/>
        </w:rPr>
        <w:t>法院刑事紀錄書記官應注意辦理事項表，</w:t>
      </w:r>
      <w:r w:rsidR="00235EEF" w:rsidRPr="00951A56">
        <w:rPr>
          <w:rFonts w:hAnsi="標楷體" w:cs="新細明體" w:hint="eastAsia"/>
          <w:kern w:val="0"/>
          <w:szCs w:val="32"/>
          <w:lang w:val="x-none"/>
        </w:rPr>
        <w:t>實務辦理填載、查考情形與</w:t>
      </w:r>
      <w:r w:rsidR="00235EEF" w:rsidRPr="00951A56">
        <w:rPr>
          <w:rFonts w:hAnsi="標楷體" w:hint="eastAsia"/>
        </w:rPr>
        <w:t>臺灣高等法院</w:t>
      </w:r>
      <w:r w:rsidR="002B39DE" w:rsidRPr="00951A56">
        <w:rPr>
          <w:rFonts w:hAnsi="標楷體" w:hint="eastAsia"/>
          <w:szCs w:val="32"/>
        </w:rPr>
        <w:t>77年3月17日（77）菁文廉字第3179號</w:t>
      </w:r>
      <w:r w:rsidR="002B39DE" w:rsidRPr="00951A56">
        <w:rPr>
          <w:rFonts w:hint="eastAsia"/>
        </w:rPr>
        <w:t>函</w:t>
      </w:r>
      <w:r w:rsidR="00C02F2B" w:rsidRPr="00951A56">
        <w:rPr>
          <w:rFonts w:hint="eastAsia"/>
        </w:rPr>
        <w:t>規定</w:t>
      </w:r>
      <w:r w:rsidR="00235EEF" w:rsidRPr="00951A56">
        <w:rPr>
          <w:rFonts w:hAnsi="標楷體" w:cs="新細明體" w:hint="eastAsia"/>
          <w:kern w:val="0"/>
          <w:szCs w:val="32"/>
          <w:lang w:val="x-none"/>
        </w:rPr>
        <w:t>並不相符。</w:t>
      </w:r>
    </w:p>
    <w:p w:rsidR="004B21CA" w:rsidRPr="00951A56" w:rsidRDefault="004B21CA" w:rsidP="00D63306">
      <w:pPr>
        <w:pStyle w:val="3"/>
        <w:rPr>
          <w:rFonts w:ascii="新細明體" w:hAnsi="新細明體" w:cs="新細明體"/>
          <w:kern w:val="0"/>
          <w:sz w:val="24"/>
          <w:szCs w:val="24"/>
          <w:lang w:val="x-none"/>
        </w:rPr>
      </w:pPr>
      <w:r w:rsidRPr="00951A56">
        <w:rPr>
          <w:rFonts w:hAnsi="標楷體" w:hint="eastAsia"/>
        </w:rPr>
        <w:t>綜上，</w:t>
      </w:r>
      <w:r w:rsidRPr="00951A56">
        <w:t>屏東縣江姓婦人</w:t>
      </w:r>
      <w:r w:rsidRPr="00951A56">
        <w:rPr>
          <w:rFonts w:hint="eastAsia"/>
        </w:rPr>
        <w:t>殺人</w:t>
      </w:r>
      <w:r w:rsidRPr="00951A56">
        <w:t>棄屍</w:t>
      </w:r>
      <w:r w:rsidRPr="00951A56">
        <w:rPr>
          <w:rFonts w:hint="eastAsia"/>
        </w:rPr>
        <w:t>案件</w:t>
      </w:r>
      <w:r w:rsidRPr="00951A56">
        <w:t>，</w:t>
      </w:r>
      <w:r w:rsidRPr="00951A56">
        <w:rPr>
          <w:rFonts w:hint="eastAsia"/>
        </w:rPr>
        <w:t>屏東</w:t>
      </w:r>
      <w:r w:rsidRPr="00951A56">
        <w:t>地</w:t>
      </w:r>
      <w:r w:rsidRPr="00951A56">
        <w:rPr>
          <w:rFonts w:hint="eastAsia"/>
        </w:rPr>
        <w:t>方法院</w:t>
      </w:r>
      <w:r w:rsidRPr="00951A56">
        <w:rPr>
          <w:rFonts w:hint="eastAsia"/>
          <w:szCs w:val="48"/>
        </w:rPr>
        <w:t>以</w:t>
      </w:r>
      <w:r w:rsidRPr="00951A56">
        <w:t>108</w:t>
      </w:r>
      <w:r w:rsidRPr="00951A56">
        <w:rPr>
          <w:rFonts w:hint="eastAsia"/>
        </w:rPr>
        <w:t>年度重訴字第</w:t>
      </w:r>
      <w:r w:rsidRPr="00951A56">
        <w:t>14</w:t>
      </w:r>
      <w:r w:rsidRPr="00951A56">
        <w:rPr>
          <w:rFonts w:hint="eastAsia"/>
        </w:rPr>
        <w:t>號</w:t>
      </w:r>
      <w:r w:rsidRPr="00951A56">
        <w:rPr>
          <w:szCs w:val="48"/>
        </w:rPr>
        <w:t>判決</w:t>
      </w:r>
      <w:r w:rsidRPr="00951A56">
        <w:rPr>
          <w:rFonts w:hint="eastAsia"/>
          <w:szCs w:val="48"/>
        </w:rPr>
        <w:t>，</w:t>
      </w:r>
      <w:r w:rsidRPr="00951A56">
        <w:rPr>
          <w:szCs w:val="48"/>
        </w:rPr>
        <w:t>判</w:t>
      </w:r>
      <w:r w:rsidRPr="00951A56">
        <w:rPr>
          <w:rFonts w:hint="eastAsia"/>
          <w:szCs w:val="48"/>
        </w:rPr>
        <w:t>處被告</w:t>
      </w:r>
      <w:r w:rsidRPr="00951A56">
        <w:rPr>
          <w:rFonts w:hint="eastAsia"/>
        </w:rPr>
        <w:t>13</w:t>
      </w:r>
      <w:r w:rsidRPr="00951A56">
        <w:t>年</w:t>
      </w:r>
      <w:r w:rsidRPr="00951A56">
        <w:rPr>
          <w:rFonts w:hint="eastAsia"/>
        </w:rPr>
        <w:t>有期</w:t>
      </w:r>
      <w:r w:rsidRPr="00951A56">
        <w:t>徒刑，檢</w:t>
      </w:r>
      <w:r w:rsidRPr="00951A56">
        <w:rPr>
          <w:rFonts w:hint="eastAsia"/>
        </w:rPr>
        <w:t>察官未於</w:t>
      </w:r>
      <w:r w:rsidRPr="00951A56">
        <w:t>期限內</w:t>
      </w:r>
      <w:r w:rsidRPr="00951A56">
        <w:rPr>
          <w:rFonts w:hint="eastAsia"/>
        </w:rPr>
        <w:t>提起</w:t>
      </w:r>
      <w:r w:rsidRPr="00951A56">
        <w:t>上訴，此案定讞</w:t>
      </w:r>
      <w:r w:rsidRPr="00951A56">
        <w:rPr>
          <w:rFonts w:hint="eastAsia"/>
        </w:rPr>
        <w:t>後屏東</w:t>
      </w:r>
      <w:r w:rsidRPr="00951A56">
        <w:t>地</w:t>
      </w:r>
      <w:r w:rsidRPr="00951A56">
        <w:rPr>
          <w:rFonts w:hint="eastAsia"/>
        </w:rPr>
        <w:t>方法院始將</w:t>
      </w:r>
      <w:r w:rsidRPr="00951A56">
        <w:t>判決書送達</w:t>
      </w:r>
      <w:r w:rsidRPr="00951A56">
        <w:rPr>
          <w:rFonts w:hint="eastAsia"/>
        </w:rPr>
        <w:t>被害人家屬。屏東</w:t>
      </w:r>
      <w:r w:rsidRPr="00951A56">
        <w:t>地</w:t>
      </w:r>
      <w:r w:rsidRPr="00951A56">
        <w:rPr>
          <w:rFonts w:hint="eastAsia"/>
        </w:rPr>
        <w:t>方法院</w:t>
      </w:r>
      <w:r w:rsidRPr="00951A56">
        <w:t>承辦人延遲送達判決書</w:t>
      </w:r>
      <w:r w:rsidRPr="00951A56">
        <w:rPr>
          <w:rFonts w:hint="eastAsia"/>
        </w:rPr>
        <w:t>顯</w:t>
      </w:r>
      <w:r w:rsidRPr="00951A56">
        <w:t>有疏失，</w:t>
      </w:r>
      <w:r w:rsidRPr="00951A56">
        <w:rPr>
          <w:rFonts w:hint="eastAsia"/>
        </w:rPr>
        <w:t>影響被害人家屬訴訟權益，又</w:t>
      </w:r>
      <w:r w:rsidRPr="00951A56">
        <w:t>欠缺對於</w:t>
      </w:r>
      <w:r w:rsidRPr="00951A56">
        <w:rPr>
          <w:rFonts w:hint="eastAsia"/>
        </w:rPr>
        <w:t>判決書送達之</w:t>
      </w:r>
      <w:r w:rsidRPr="00951A56">
        <w:t>管考</w:t>
      </w:r>
      <w:r w:rsidRPr="00951A56">
        <w:rPr>
          <w:rFonts w:hint="eastAsia"/>
        </w:rPr>
        <w:t>機制</w:t>
      </w:r>
      <w:r w:rsidRPr="00951A56">
        <w:t>，導致無法及早發現延誤，</w:t>
      </w:r>
      <w:r w:rsidRPr="00951A56">
        <w:rPr>
          <w:rFonts w:hint="eastAsia"/>
        </w:rPr>
        <w:t>應予</w:t>
      </w:r>
      <w:r w:rsidRPr="00951A56">
        <w:t>檢討</w:t>
      </w:r>
      <w:r w:rsidRPr="00951A56">
        <w:rPr>
          <w:rFonts w:hint="eastAsia"/>
        </w:rPr>
        <w:t>。法院未於</w:t>
      </w:r>
      <w:r w:rsidRPr="00951A56">
        <w:t>期限內</w:t>
      </w:r>
      <w:r w:rsidRPr="00951A56">
        <w:rPr>
          <w:rFonts w:hint="eastAsia"/>
        </w:rPr>
        <w:t>辦理裁判正本之送達，</w:t>
      </w:r>
      <w:r w:rsidRPr="00951A56">
        <w:rPr>
          <w:rFonts w:hAnsi="標楷體" w:cs="細明體" w:hint="eastAsia"/>
          <w:bCs w:val="0"/>
          <w:kern w:val="0"/>
          <w:szCs w:val="24"/>
          <w:lang w:val="x-none"/>
        </w:rPr>
        <w:t>延誤</w:t>
      </w:r>
      <w:r w:rsidRPr="00951A56">
        <w:rPr>
          <w:rFonts w:hint="eastAsia"/>
        </w:rPr>
        <w:t>被害人家屬</w:t>
      </w:r>
      <w:r w:rsidRPr="00951A56">
        <w:rPr>
          <w:rFonts w:hAnsi="標楷體" w:cs="細明體" w:hint="eastAsia"/>
          <w:bCs w:val="0"/>
          <w:kern w:val="0"/>
          <w:szCs w:val="24"/>
          <w:lang w:val="x-none"/>
        </w:rPr>
        <w:t>請求檢察官上訴之機會，</w:t>
      </w:r>
      <w:r w:rsidRPr="00951A56">
        <w:rPr>
          <w:rFonts w:hint="eastAsia"/>
        </w:rPr>
        <w:t>已違反辦理民刑事審判紀錄業務注意事項相關規定，其</w:t>
      </w:r>
      <w:r w:rsidRPr="00951A56">
        <w:t>行政疏失衍生</w:t>
      </w:r>
      <w:r w:rsidRPr="00951A56">
        <w:rPr>
          <w:rFonts w:hint="eastAsia"/>
        </w:rPr>
        <w:t>之</w:t>
      </w:r>
      <w:r w:rsidRPr="00951A56">
        <w:t>不利益，由受</w:t>
      </w:r>
      <w:r w:rsidRPr="00951A56">
        <w:rPr>
          <w:rFonts w:hint="eastAsia"/>
        </w:rPr>
        <w:t>害</w:t>
      </w:r>
      <w:r w:rsidRPr="00951A56">
        <w:t>人</w:t>
      </w:r>
      <w:r w:rsidRPr="00951A56">
        <w:rPr>
          <w:rFonts w:hint="eastAsia"/>
        </w:rPr>
        <w:t>家屬</w:t>
      </w:r>
      <w:r w:rsidRPr="00951A56">
        <w:t>承擔並不合理，</w:t>
      </w:r>
      <w:r w:rsidRPr="00951A56">
        <w:rPr>
          <w:rFonts w:hint="eastAsia"/>
        </w:rPr>
        <w:t>請司法院督導所屬</w:t>
      </w:r>
      <w:r w:rsidRPr="00951A56">
        <w:t>正視人民權益</w:t>
      </w:r>
      <w:r w:rsidRPr="00951A56">
        <w:rPr>
          <w:rFonts w:hint="eastAsia"/>
        </w:rPr>
        <w:t>並檢討改進。另本案調查經本院詢問司法院刑事廳後，</w:t>
      </w:r>
      <w:r w:rsidRPr="00951A56">
        <w:rPr>
          <w:rFonts w:hAnsi="標楷體" w:hint="eastAsia"/>
          <w:szCs w:val="32"/>
        </w:rPr>
        <w:t>司法院業於110年2月2日函知各法院依「辦理刑事審判紀錄業務注意事項」相關規定</w:t>
      </w:r>
      <w:r w:rsidRPr="00951A56">
        <w:rPr>
          <w:rFonts w:hAnsi="標楷體" w:hint="eastAsia"/>
          <w:szCs w:val="32"/>
        </w:rPr>
        <w:lastRenderedPageBreak/>
        <w:t>落實判決書送達業務，請確實執行。另查屏東地方法院、臺灣臺南地方法院刑事案件卷宗，所查卷宗卷內法院刑事紀錄書記官應注意辦理事項表等相關表格皆為空白，該表格之目的係提醒承辦書記官注意辦理並填載辦迄日期，以資查考，法院並未落實臺灣高等法院77年3月17日（77）菁文廉字第3179號函相關規定，請司法院督導所屬檢討改進，避免</w:t>
      </w:r>
      <w:r w:rsidRPr="00951A56">
        <w:rPr>
          <w:rFonts w:hAnsi="標楷體"/>
          <w:szCs w:val="32"/>
        </w:rPr>
        <w:t>判決書延遲送達</w:t>
      </w:r>
      <w:r w:rsidRPr="00951A56">
        <w:rPr>
          <w:rFonts w:hAnsi="標楷體" w:hint="eastAsia"/>
          <w:szCs w:val="32"/>
        </w:rPr>
        <w:t>之情事再次</w:t>
      </w:r>
      <w:r w:rsidRPr="00951A56">
        <w:rPr>
          <w:rFonts w:hint="eastAsia"/>
        </w:rPr>
        <w:t>發生。</w:t>
      </w:r>
    </w:p>
    <w:p w:rsidR="003E4F64" w:rsidRPr="00951A56" w:rsidRDefault="00765A70" w:rsidP="00B85E9D">
      <w:pPr>
        <w:pStyle w:val="2"/>
        <w:rPr>
          <w:b/>
        </w:rPr>
      </w:pPr>
      <w:r w:rsidRPr="00951A56">
        <w:rPr>
          <w:b/>
        </w:rPr>
        <w:t>109</w:t>
      </w:r>
      <w:r w:rsidRPr="00951A56">
        <w:rPr>
          <w:rFonts w:hint="eastAsia"/>
          <w:b/>
        </w:rPr>
        <w:t>年</w:t>
      </w:r>
      <w:r w:rsidRPr="00951A56">
        <w:rPr>
          <w:b/>
        </w:rPr>
        <w:t>1</w:t>
      </w:r>
      <w:r w:rsidRPr="00951A56">
        <w:rPr>
          <w:rFonts w:hint="eastAsia"/>
          <w:b/>
        </w:rPr>
        <w:t>月</w:t>
      </w:r>
      <w:r w:rsidRPr="00951A56">
        <w:rPr>
          <w:b/>
        </w:rPr>
        <w:t>8</w:t>
      </w:r>
      <w:r w:rsidRPr="00951A56">
        <w:rPr>
          <w:rFonts w:hint="eastAsia"/>
          <w:b/>
        </w:rPr>
        <w:t>日刑事訴訟法新增第455</w:t>
      </w:r>
      <w:r w:rsidR="008C62DF" w:rsidRPr="00951A56">
        <w:rPr>
          <w:rFonts w:hint="eastAsia"/>
          <w:b/>
        </w:rPr>
        <w:t>條之</w:t>
      </w:r>
      <w:r w:rsidRPr="00951A56">
        <w:rPr>
          <w:rFonts w:hint="eastAsia"/>
          <w:b/>
        </w:rPr>
        <w:t>38規定</w:t>
      </w:r>
      <w:r w:rsidR="002E2757" w:rsidRPr="00951A56">
        <w:rPr>
          <w:rFonts w:hint="eastAsia"/>
          <w:b/>
        </w:rPr>
        <w:t>被害人訴訟參與制度</w:t>
      </w:r>
      <w:r w:rsidR="00A37C60" w:rsidRPr="00951A56">
        <w:rPr>
          <w:rFonts w:cs="Arial" w:hint="eastAsia"/>
          <w:b/>
          <w:kern w:val="0"/>
        </w:rPr>
        <w:t>，惟刑事訴訟法第227條、第314條第2項規定，</w:t>
      </w:r>
      <w:r w:rsidR="00A37C60" w:rsidRPr="00951A56">
        <w:rPr>
          <w:rFonts w:hint="eastAsia"/>
          <w:b/>
        </w:rPr>
        <w:t>並</w:t>
      </w:r>
      <w:r w:rsidR="00A37C60" w:rsidRPr="00951A56">
        <w:rPr>
          <w:rFonts w:cs="Arial" w:hint="eastAsia"/>
          <w:b/>
          <w:kern w:val="0"/>
        </w:rPr>
        <w:t>未規定</w:t>
      </w:r>
      <w:r w:rsidR="00A37C60" w:rsidRPr="00951A56">
        <w:rPr>
          <w:rFonts w:hint="eastAsia"/>
          <w:b/>
        </w:rPr>
        <w:t>裁判書正本</w:t>
      </w:r>
      <w:r w:rsidR="00A37C60" w:rsidRPr="00951A56">
        <w:rPr>
          <w:rFonts w:cs="Arial" w:hint="eastAsia"/>
          <w:b/>
          <w:kern w:val="0"/>
        </w:rPr>
        <w:t>應送達刑事訴訟法第</w:t>
      </w:r>
      <w:r w:rsidR="008C62DF" w:rsidRPr="00951A56">
        <w:rPr>
          <w:rFonts w:cs="Arial" w:hint="eastAsia"/>
          <w:b/>
          <w:kern w:val="0"/>
        </w:rPr>
        <w:t>455條之</w:t>
      </w:r>
      <w:r w:rsidR="00A37C60" w:rsidRPr="00951A56">
        <w:rPr>
          <w:rFonts w:cs="Arial" w:hint="eastAsia"/>
          <w:b/>
          <w:kern w:val="0"/>
        </w:rPr>
        <w:t>38第2項規定所列之被害人家屬，</w:t>
      </w:r>
      <w:r w:rsidR="003E5722" w:rsidRPr="00951A56">
        <w:rPr>
          <w:rFonts w:hint="eastAsia"/>
          <w:b/>
        </w:rPr>
        <w:t>建議相關送達規定配合修正</w:t>
      </w:r>
      <w:r w:rsidR="003E4F64" w:rsidRPr="00951A56">
        <w:rPr>
          <w:rFonts w:hint="eastAsia"/>
          <w:b/>
        </w:rPr>
        <w:t>。</w:t>
      </w:r>
    </w:p>
    <w:p w:rsidR="00E26804" w:rsidRPr="00951A56" w:rsidRDefault="00244B07" w:rsidP="00E26804">
      <w:pPr>
        <w:pStyle w:val="3"/>
      </w:pPr>
      <w:r w:rsidRPr="00951A56">
        <w:rPr>
          <w:rFonts w:hint="eastAsia"/>
        </w:rPr>
        <w:t>刑事訴訟法</w:t>
      </w:r>
      <w:r w:rsidR="00E26804" w:rsidRPr="00951A56">
        <w:rPr>
          <w:rFonts w:hint="eastAsia"/>
        </w:rPr>
        <w:t>第227條規定：「(第1項)裁判</w:t>
      </w:r>
      <w:r w:rsidR="00F148F6">
        <w:rPr>
          <w:rFonts w:hint="eastAsia"/>
        </w:rPr>
        <w:t>製作</w:t>
      </w:r>
      <w:r w:rsidR="00E26804" w:rsidRPr="00951A56">
        <w:rPr>
          <w:rFonts w:hint="eastAsia"/>
        </w:rPr>
        <w:t>裁判書者，除有特別規定外，應以正本送達於當事人、代理人、辯護人及其他受裁判之人。(第2項)前項送達，自接受裁判原本之日起，至遲不得逾7日。」同法第314條規定：「(第1項)判決得為上訴者，其上訴期間及提出上訴狀之法院，應於宣示時一併告知，並應記載於送達被告之判決正本。(第2項)前項判決正本，並應送達於告訴人及告發人，告訴人於上訴期間內，得向檢察官陳述意見。」</w:t>
      </w:r>
      <w:r w:rsidRPr="00951A56">
        <w:rPr>
          <w:rFonts w:hAnsi="標楷體" w:hint="eastAsia"/>
          <w:szCs w:val="32"/>
        </w:rPr>
        <w:t>同法第455</w:t>
      </w:r>
      <w:r w:rsidR="008C62DF" w:rsidRPr="00951A56">
        <w:rPr>
          <w:rFonts w:hAnsi="標楷體" w:hint="eastAsia"/>
          <w:szCs w:val="32"/>
        </w:rPr>
        <w:t>條之</w:t>
      </w:r>
      <w:r w:rsidRPr="00951A56">
        <w:rPr>
          <w:rFonts w:hAnsi="標楷體" w:hint="eastAsia"/>
          <w:szCs w:val="32"/>
        </w:rPr>
        <w:t>38條規定：「(第1項)下列犯罪之被害人得於檢察官提起公訴後第二審言詞辯論終結前，向該管法院聲請參與本案訴訟：一、因故意、過失犯罪行為而致人於死或致重傷之罪。…</w:t>
      </w:r>
      <w:proofErr w:type="gramStart"/>
      <w:r w:rsidRPr="00951A56">
        <w:rPr>
          <w:rFonts w:hAnsi="標楷體" w:hint="eastAsia"/>
          <w:szCs w:val="32"/>
        </w:rPr>
        <w:t>…</w:t>
      </w:r>
      <w:proofErr w:type="gramEnd"/>
      <w:r w:rsidRPr="00951A56">
        <w:rPr>
          <w:rFonts w:hAnsi="標楷體" w:hint="eastAsia"/>
          <w:szCs w:val="32"/>
        </w:rPr>
        <w:t>(第2項)前項各款犯罪之被害人無行為能力、限制行為能力、死亡或因其他不得已之事由而不能聲請者，得由其法定代理人、配偶、直系血親、三親等內之旁系血親、二親等內之姻親或家長、家屬為之。</w:t>
      </w:r>
      <w:r w:rsidRPr="00951A56">
        <w:rPr>
          <w:rFonts w:hAnsi="標楷體"/>
          <w:szCs w:val="32"/>
        </w:rPr>
        <w:t>…</w:t>
      </w:r>
      <w:proofErr w:type="gramStart"/>
      <w:r w:rsidRPr="00951A56">
        <w:rPr>
          <w:rFonts w:hAnsi="標楷體"/>
          <w:szCs w:val="32"/>
        </w:rPr>
        <w:t>…</w:t>
      </w:r>
      <w:proofErr w:type="gramEnd"/>
      <w:r w:rsidRPr="00951A56">
        <w:rPr>
          <w:rFonts w:hAnsi="標楷體" w:hint="eastAsia"/>
          <w:szCs w:val="32"/>
        </w:rPr>
        <w:t>」</w:t>
      </w:r>
    </w:p>
    <w:p w:rsidR="007D4342" w:rsidRPr="00951A56" w:rsidRDefault="00765A70" w:rsidP="009D0953">
      <w:pPr>
        <w:pStyle w:val="3"/>
      </w:pPr>
      <w:r w:rsidRPr="00951A56">
        <w:lastRenderedPageBreak/>
        <w:t>109</w:t>
      </w:r>
      <w:r w:rsidRPr="00951A56">
        <w:rPr>
          <w:rFonts w:hint="eastAsia"/>
        </w:rPr>
        <w:t>年</w:t>
      </w:r>
      <w:r w:rsidRPr="00951A56">
        <w:t>1</w:t>
      </w:r>
      <w:r w:rsidRPr="00951A56">
        <w:rPr>
          <w:rFonts w:hint="eastAsia"/>
        </w:rPr>
        <w:t>月</w:t>
      </w:r>
      <w:r w:rsidRPr="00951A56">
        <w:t>8</w:t>
      </w:r>
      <w:r w:rsidRPr="00951A56">
        <w:rPr>
          <w:rFonts w:hint="eastAsia"/>
        </w:rPr>
        <w:t>日刑事訴訟法新增第</w:t>
      </w:r>
      <w:r w:rsidR="008C62DF" w:rsidRPr="00951A56">
        <w:rPr>
          <w:rFonts w:hint="eastAsia"/>
        </w:rPr>
        <w:t>455</w:t>
      </w:r>
      <w:r w:rsidR="008C62DF" w:rsidRPr="00951A56">
        <w:rPr>
          <w:rFonts w:hAnsi="標楷體" w:hint="eastAsia"/>
          <w:szCs w:val="32"/>
        </w:rPr>
        <w:t>條之</w:t>
      </w:r>
      <w:r w:rsidRPr="00951A56">
        <w:rPr>
          <w:rFonts w:hint="eastAsia"/>
        </w:rPr>
        <w:t>38規定，被害人訴訟參與制度在法院、檢察官及被告三面關係下，為被害人設計</w:t>
      </w:r>
      <w:proofErr w:type="gramStart"/>
      <w:r w:rsidRPr="00951A56">
        <w:rPr>
          <w:rFonts w:hint="eastAsia"/>
        </w:rPr>
        <w:t>一</w:t>
      </w:r>
      <w:proofErr w:type="gramEnd"/>
      <w:r w:rsidRPr="00951A56">
        <w:rPr>
          <w:rFonts w:hint="eastAsia"/>
        </w:rPr>
        <w:t>程序參與人之主體地位，使</w:t>
      </w:r>
      <w:proofErr w:type="gramStart"/>
      <w:r w:rsidRPr="00951A56">
        <w:rPr>
          <w:rFonts w:hint="eastAsia"/>
        </w:rPr>
        <w:t>其得藉由</w:t>
      </w:r>
      <w:proofErr w:type="gramEnd"/>
      <w:r w:rsidRPr="00951A56">
        <w:rPr>
          <w:rFonts w:hint="eastAsia"/>
        </w:rPr>
        <w:t>參與程序，瞭解訴訟之經過情形及維護其人性尊嚴</w:t>
      </w:r>
      <w:r w:rsidRPr="00951A56">
        <w:rPr>
          <w:rStyle w:val="afe"/>
          <w:rFonts w:hAnsi="標楷體"/>
          <w:szCs w:val="32"/>
        </w:rPr>
        <w:footnoteReference w:id="1"/>
      </w:r>
      <w:r w:rsidRPr="00951A56">
        <w:rPr>
          <w:rFonts w:hint="eastAsia"/>
        </w:rPr>
        <w:t>。</w:t>
      </w:r>
      <w:r w:rsidR="00011B27" w:rsidRPr="00951A56">
        <w:rPr>
          <w:rFonts w:hint="eastAsia"/>
        </w:rPr>
        <w:t>刑事訴訟法新增第</w:t>
      </w:r>
      <w:r w:rsidR="008C62DF" w:rsidRPr="00951A56">
        <w:rPr>
          <w:rFonts w:hint="eastAsia"/>
        </w:rPr>
        <w:t>455</w:t>
      </w:r>
      <w:r w:rsidR="008C62DF" w:rsidRPr="00951A56">
        <w:rPr>
          <w:rFonts w:hAnsi="標楷體" w:hint="eastAsia"/>
          <w:szCs w:val="32"/>
        </w:rPr>
        <w:t>條之</w:t>
      </w:r>
      <w:r w:rsidR="00011B27" w:rsidRPr="00951A56">
        <w:rPr>
          <w:rFonts w:hint="eastAsia"/>
        </w:rPr>
        <w:t>38</w:t>
      </w:r>
      <w:r w:rsidR="003F48AE" w:rsidRPr="00951A56">
        <w:rPr>
          <w:rFonts w:hint="eastAsia"/>
        </w:rPr>
        <w:t>規定</w:t>
      </w:r>
      <w:r w:rsidR="002309FF" w:rsidRPr="00951A56">
        <w:rPr>
          <w:rFonts w:hAnsi="標楷體" w:hint="eastAsia"/>
          <w:szCs w:val="32"/>
        </w:rPr>
        <w:t>，</w:t>
      </w:r>
      <w:r w:rsidR="002309FF" w:rsidRPr="00951A56">
        <w:rPr>
          <w:rFonts w:hAnsi="標楷體" w:cs="Arial" w:hint="eastAsia"/>
          <w:kern w:val="0"/>
          <w:szCs w:val="32"/>
        </w:rPr>
        <w:t>犯罪之被害人死亡，其配偶、</w:t>
      </w:r>
      <w:r w:rsidR="002309FF" w:rsidRPr="00951A56">
        <w:rPr>
          <w:rFonts w:hAnsi="標楷體" w:hint="eastAsia"/>
          <w:szCs w:val="32"/>
        </w:rPr>
        <w:t>直系血親及三親等內之旁系血親等家屬，有權聲請參加檢察官提起之公訴，</w:t>
      </w:r>
      <w:r w:rsidR="000F2D5D" w:rsidRPr="00951A56">
        <w:rPr>
          <w:rFonts w:hAnsi="標楷體" w:hint="eastAsia"/>
          <w:szCs w:val="32"/>
        </w:rPr>
        <w:t>以取得某種</w:t>
      </w:r>
      <w:r w:rsidR="008A5A71" w:rsidRPr="00951A56">
        <w:rPr>
          <w:rFonts w:hAnsi="標楷體" w:hint="eastAsia"/>
          <w:szCs w:val="32"/>
        </w:rPr>
        <w:t>訴訟主體地位</w:t>
      </w:r>
      <w:r w:rsidR="008A5A71" w:rsidRPr="00951A56">
        <w:rPr>
          <w:rFonts w:hint="eastAsia"/>
        </w:rPr>
        <w:t>及訴訟權利</w:t>
      </w:r>
      <w:r w:rsidR="003C34DA" w:rsidRPr="00951A56">
        <w:rPr>
          <w:rFonts w:hint="eastAsia"/>
        </w:rPr>
        <w:t>，有助發現真實</w:t>
      </w:r>
      <w:r w:rsidR="00011B27" w:rsidRPr="00951A56">
        <w:rPr>
          <w:rFonts w:hint="eastAsia"/>
        </w:rPr>
        <w:t>及</w:t>
      </w:r>
      <w:r w:rsidR="003C34DA" w:rsidRPr="00951A56">
        <w:rPr>
          <w:rFonts w:hint="eastAsia"/>
        </w:rPr>
        <w:t>妥適量刑</w:t>
      </w:r>
      <w:r w:rsidR="00971129" w:rsidRPr="00951A56">
        <w:rPr>
          <w:rFonts w:hint="eastAsia"/>
        </w:rPr>
        <w:t>。</w:t>
      </w:r>
      <w:r w:rsidR="000F2D5D" w:rsidRPr="00951A56">
        <w:rPr>
          <w:rFonts w:hint="eastAsia"/>
        </w:rPr>
        <w:t>司法院</w:t>
      </w:r>
      <w:r w:rsidR="00971129" w:rsidRPr="00951A56">
        <w:rPr>
          <w:rFonts w:hint="eastAsia"/>
        </w:rPr>
        <w:t>107年3月1</w:t>
      </w:r>
      <w:r w:rsidR="00971129" w:rsidRPr="00951A56">
        <w:rPr>
          <w:rFonts w:hAnsi="標楷體" w:hint="eastAsia"/>
          <w:szCs w:val="32"/>
        </w:rPr>
        <w:t>4日</w:t>
      </w:r>
      <w:r w:rsidR="000F2D5D" w:rsidRPr="00951A56">
        <w:rPr>
          <w:rFonts w:hAnsi="標楷體" w:hint="eastAsia"/>
          <w:szCs w:val="32"/>
        </w:rPr>
        <w:t>發</w:t>
      </w:r>
      <w:r w:rsidR="008A5A71" w:rsidRPr="00951A56">
        <w:rPr>
          <w:rFonts w:hAnsi="標楷體" w:hint="eastAsia"/>
          <w:szCs w:val="32"/>
        </w:rPr>
        <w:t>布之</w:t>
      </w:r>
      <w:r w:rsidR="00971129" w:rsidRPr="00951A56">
        <w:rPr>
          <w:rFonts w:hAnsi="標楷體" w:hint="eastAsia"/>
          <w:szCs w:val="32"/>
        </w:rPr>
        <w:t>新聞</w:t>
      </w:r>
      <w:r w:rsidR="008A5A71" w:rsidRPr="00951A56">
        <w:rPr>
          <w:rFonts w:hAnsi="標楷體" w:hint="eastAsia"/>
          <w:szCs w:val="32"/>
        </w:rPr>
        <w:t>稿</w:t>
      </w:r>
      <w:r w:rsidR="00971129" w:rsidRPr="00951A56">
        <w:rPr>
          <w:rFonts w:hAnsi="標楷體" w:hint="eastAsia"/>
          <w:szCs w:val="32"/>
        </w:rPr>
        <w:t>指出</w:t>
      </w:r>
      <w:r w:rsidR="000F2D5D" w:rsidRPr="00951A56">
        <w:rPr>
          <w:rFonts w:hAnsi="標楷體" w:hint="eastAsia"/>
          <w:szCs w:val="32"/>
        </w:rPr>
        <w:t>，「就侵害被害人生命、身體、自由及性自主等影響人性尊嚴至</w:t>
      </w:r>
      <w:proofErr w:type="gramStart"/>
      <w:r w:rsidR="000F2D5D" w:rsidRPr="00951A56">
        <w:rPr>
          <w:rFonts w:hAnsi="標楷體" w:hint="eastAsia"/>
          <w:szCs w:val="32"/>
        </w:rPr>
        <w:t>鉅</w:t>
      </w:r>
      <w:proofErr w:type="gramEnd"/>
      <w:r w:rsidR="000F2D5D" w:rsidRPr="00951A56">
        <w:rPr>
          <w:rFonts w:hAnsi="標楷體" w:hint="eastAsia"/>
          <w:szCs w:val="32"/>
        </w:rPr>
        <w:t>之案件，引進被害人訴訟參與制度。於現行刑事訴訟法三面關係之架構下，藉由通知訴訟參與人於準備程序及審理期日到場機制，使訴訟參與人能全程參與訴訟過程。復透過賦予訴訟參與人選任代理人及閱覽卷宗等機制，使其瞭解訴訟程序之進行程度及卷證資料之內容。</w:t>
      </w:r>
      <w:r w:rsidR="00ED672B" w:rsidRPr="00951A56">
        <w:rPr>
          <w:rFonts w:hAnsi="標楷體"/>
          <w:szCs w:val="32"/>
        </w:rPr>
        <w:t>…</w:t>
      </w:r>
      <w:proofErr w:type="gramStart"/>
      <w:r w:rsidR="00ED672B" w:rsidRPr="00951A56">
        <w:rPr>
          <w:rFonts w:hAnsi="標楷體"/>
          <w:szCs w:val="32"/>
        </w:rPr>
        <w:t>…</w:t>
      </w:r>
      <w:proofErr w:type="gramEnd"/>
      <w:r w:rsidR="00ED672B" w:rsidRPr="00951A56">
        <w:rPr>
          <w:rFonts w:hAnsi="標楷體"/>
          <w:szCs w:val="32"/>
        </w:rPr>
        <w:t>於訴訟程序進行中，亦賦予訴訟參與人就刑事訴訟法第273條第1項各款準備程序事項、證據及科刑範圍等項即時表達意見之權利，以及辯論證據證明力及詢問被告之機會。</w:t>
      </w:r>
      <w:r w:rsidR="000F2D5D" w:rsidRPr="00951A56">
        <w:rPr>
          <w:rFonts w:hAnsi="標楷體" w:hint="eastAsia"/>
          <w:szCs w:val="32"/>
        </w:rPr>
        <w:t>」</w:t>
      </w:r>
      <w:r w:rsidR="00971129" w:rsidRPr="00951A56">
        <w:rPr>
          <w:rStyle w:val="afe"/>
          <w:rFonts w:ascii="新細明體" w:eastAsia="新細明體" w:hAnsi="新細明體" w:cs="新細明體"/>
          <w:kern w:val="0"/>
          <w:sz w:val="22"/>
          <w:szCs w:val="24"/>
          <w:lang w:val="x-none"/>
        </w:rPr>
        <w:footnoteReference w:id="2"/>
      </w:r>
      <w:r w:rsidR="00011B27" w:rsidRPr="00951A56">
        <w:rPr>
          <w:rFonts w:hAnsi="標楷體" w:hint="eastAsia"/>
          <w:szCs w:val="32"/>
        </w:rPr>
        <w:t>刑事訴訟法</w:t>
      </w:r>
      <w:r w:rsidR="003C34DA" w:rsidRPr="00951A56">
        <w:rPr>
          <w:rFonts w:hAnsi="標楷體" w:hint="eastAsia"/>
          <w:szCs w:val="32"/>
        </w:rPr>
        <w:t>賦予被害人參加高度參與訴訟之機會，使其能行使</w:t>
      </w:r>
      <w:r w:rsidR="00011B27" w:rsidRPr="00951A56">
        <w:rPr>
          <w:rFonts w:hAnsi="標楷體"/>
          <w:szCs w:val="32"/>
        </w:rPr>
        <w:t>表達意見</w:t>
      </w:r>
      <w:r w:rsidR="00011B27" w:rsidRPr="00951A56">
        <w:rPr>
          <w:rFonts w:hAnsi="標楷體" w:hint="eastAsia"/>
          <w:szCs w:val="32"/>
        </w:rPr>
        <w:t>、</w:t>
      </w:r>
      <w:r w:rsidR="00011B27" w:rsidRPr="00951A56">
        <w:rPr>
          <w:rFonts w:hAnsi="標楷體"/>
          <w:szCs w:val="32"/>
        </w:rPr>
        <w:t>辯論及詢問</w:t>
      </w:r>
      <w:r w:rsidR="00244B07" w:rsidRPr="00951A56">
        <w:rPr>
          <w:rFonts w:hAnsi="標楷體" w:hint="eastAsia"/>
          <w:szCs w:val="32"/>
        </w:rPr>
        <w:t>等權利，為</w:t>
      </w:r>
      <w:r w:rsidR="00011B27" w:rsidRPr="00951A56">
        <w:rPr>
          <w:rFonts w:hAnsi="標楷體" w:hint="eastAsia"/>
          <w:szCs w:val="32"/>
        </w:rPr>
        <w:t>被害人權益</w:t>
      </w:r>
      <w:r w:rsidR="00244B07" w:rsidRPr="00951A56">
        <w:rPr>
          <w:rFonts w:hAnsi="標楷體" w:hint="eastAsia"/>
          <w:szCs w:val="32"/>
        </w:rPr>
        <w:t>之重要</w:t>
      </w:r>
      <w:r w:rsidR="003C34DA" w:rsidRPr="00951A56">
        <w:rPr>
          <w:rFonts w:hAnsi="標楷體" w:hint="eastAsia"/>
          <w:szCs w:val="32"/>
        </w:rPr>
        <w:t>改革</w:t>
      </w:r>
      <w:r w:rsidR="00011B27" w:rsidRPr="00951A56">
        <w:rPr>
          <w:rFonts w:hAnsi="標楷體" w:hint="eastAsia"/>
          <w:szCs w:val="32"/>
        </w:rPr>
        <w:t>。</w:t>
      </w:r>
    </w:p>
    <w:p w:rsidR="009A2429" w:rsidRPr="00951A56" w:rsidRDefault="009A2429" w:rsidP="009A2429">
      <w:pPr>
        <w:pStyle w:val="3"/>
      </w:pPr>
      <w:r w:rsidRPr="00951A56">
        <w:rPr>
          <w:rFonts w:hAnsi="標楷體" w:hint="eastAsia"/>
          <w:szCs w:val="32"/>
        </w:rPr>
        <w:t>綜上，109年1月8日刑事訴訟法新增</w:t>
      </w:r>
      <w:r w:rsidR="008C62DF" w:rsidRPr="00951A56">
        <w:rPr>
          <w:rFonts w:hint="eastAsia"/>
        </w:rPr>
        <w:t>第455</w:t>
      </w:r>
      <w:r w:rsidR="008C62DF" w:rsidRPr="00951A56">
        <w:rPr>
          <w:rFonts w:hAnsi="標楷體" w:hint="eastAsia"/>
          <w:szCs w:val="32"/>
        </w:rPr>
        <w:t>條之</w:t>
      </w:r>
      <w:r w:rsidR="008C62DF" w:rsidRPr="00951A56">
        <w:rPr>
          <w:rFonts w:hint="eastAsia"/>
        </w:rPr>
        <w:t>38</w:t>
      </w:r>
      <w:r w:rsidRPr="00951A56">
        <w:rPr>
          <w:rFonts w:hAnsi="標楷體" w:hint="eastAsia"/>
          <w:szCs w:val="32"/>
        </w:rPr>
        <w:t>規定，被害人訴訟參與制度在法院、檢察官及被告三面關係下，為被害人設計</w:t>
      </w:r>
      <w:proofErr w:type="gramStart"/>
      <w:r w:rsidRPr="00951A56">
        <w:rPr>
          <w:rFonts w:hAnsi="標楷體" w:hint="eastAsia"/>
          <w:szCs w:val="32"/>
        </w:rPr>
        <w:t>一</w:t>
      </w:r>
      <w:proofErr w:type="gramEnd"/>
      <w:r w:rsidRPr="00951A56">
        <w:rPr>
          <w:rFonts w:hAnsi="標楷體" w:hint="eastAsia"/>
          <w:szCs w:val="32"/>
        </w:rPr>
        <w:t>程序參與人之主體地位，使</w:t>
      </w:r>
      <w:proofErr w:type="gramStart"/>
      <w:r w:rsidRPr="00951A56">
        <w:rPr>
          <w:rFonts w:hAnsi="標楷體" w:hint="eastAsia"/>
          <w:szCs w:val="32"/>
        </w:rPr>
        <w:t>其得藉由</w:t>
      </w:r>
      <w:proofErr w:type="gramEnd"/>
      <w:r w:rsidRPr="00951A56">
        <w:rPr>
          <w:rFonts w:hAnsi="標楷體" w:hint="eastAsia"/>
          <w:szCs w:val="32"/>
        </w:rPr>
        <w:t>參與程序，瞭解訴訟之經過情形及維護其人性尊嚴 。依刑事訴訟法</w:t>
      </w:r>
      <w:r w:rsidR="008C62DF" w:rsidRPr="00951A56">
        <w:rPr>
          <w:rFonts w:hint="eastAsia"/>
        </w:rPr>
        <w:t>第455</w:t>
      </w:r>
      <w:r w:rsidR="008C62DF" w:rsidRPr="00951A56">
        <w:rPr>
          <w:rFonts w:hAnsi="標楷體" w:hint="eastAsia"/>
          <w:szCs w:val="32"/>
        </w:rPr>
        <w:t>條之</w:t>
      </w:r>
      <w:r w:rsidR="008C62DF" w:rsidRPr="00951A56">
        <w:rPr>
          <w:rFonts w:hint="eastAsia"/>
        </w:rPr>
        <w:t>38</w:t>
      </w:r>
      <w:r w:rsidRPr="00951A56">
        <w:rPr>
          <w:rFonts w:hAnsi="標楷體" w:hint="eastAsia"/>
          <w:szCs w:val="32"/>
        </w:rPr>
        <w:t>第2</w:t>
      </w:r>
      <w:r w:rsidRPr="00951A56">
        <w:rPr>
          <w:rFonts w:hAnsi="標楷體" w:hint="eastAsia"/>
          <w:szCs w:val="32"/>
        </w:rPr>
        <w:lastRenderedPageBreak/>
        <w:t>項規定，因故意犯罪行為而致人於死之罪，其犯罪之被害人死亡，其配偶、直系血親及三親等內之旁系血親等家屬得向法院聲請參與本案訴訟，惟刑事訴訟法第227條、第314條第2項規定，裁判</w:t>
      </w:r>
      <w:r w:rsidR="00F148F6">
        <w:rPr>
          <w:rFonts w:hAnsi="標楷體" w:hint="eastAsia"/>
          <w:szCs w:val="32"/>
        </w:rPr>
        <w:t>製作</w:t>
      </w:r>
      <w:r w:rsidRPr="00951A56">
        <w:rPr>
          <w:rFonts w:hAnsi="標楷體" w:hint="eastAsia"/>
          <w:szCs w:val="32"/>
        </w:rPr>
        <w:t>裁判書者，除有特別規定外，應以正本送達於當事人、代理人、辯護人及其他受裁判之人，並未規定裁判書正本應送達刑事訴訟法</w:t>
      </w:r>
      <w:r w:rsidR="008C62DF" w:rsidRPr="00951A56">
        <w:rPr>
          <w:rFonts w:hint="eastAsia"/>
        </w:rPr>
        <w:t>第455</w:t>
      </w:r>
      <w:r w:rsidR="008C62DF" w:rsidRPr="00951A56">
        <w:rPr>
          <w:rFonts w:hAnsi="標楷體" w:hint="eastAsia"/>
          <w:szCs w:val="32"/>
        </w:rPr>
        <w:t>條之</w:t>
      </w:r>
      <w:r w:rsidR="008C62DF" w:rsidRPr="00951A56">
        <w:rPr>
          <w:rFonts w:hint="eastAsia"/>
        </w:rPr>
        <w:t>38</w:t>
      </w:r>
      <w:r w:rsidRPr="00951A56">
        <w:rPr>
          <w:rFonts w:hAnsi="標楷體" w:hint="eastAsia"/>
          <w:szCs w:val="32"/>
        </w:rPr>
        <w:t>第2項規定所列之被害人家屬。刑事訴訟法既已賦予被害人積極參與訴訟之權利，使</w:t>
      </w:r>
      <w:proofErr w:type="gramStart"/>
      <w:r w:rsidRPr="00951A56">
        <w:rPr>
          <w:rFonts w:hAnsi="標楷體" w:hint="eastAsia"/>
          <w:szCs w:val="32"/>
        </w:rPr>
        <w:t>其得藉由</w:t>
      </w:r>
      <w:proofErr w:type="gramEnd"/>
      <w:r w:rsidRPr="00951A56">
        <w:rPr>
          <w:rFonts w:hAnsi="標楷體" w:hint="eastAsia"/>
          <w:szCs w:val="32"/>
        </w:rPr>
        <w:t>參與程序，瞭解訴訟之經過情形，為維護人民訴訟權益，提升人民對檢察官職務之信賴，建議相關送達規定配合修正。</w:t>
      </w:r>
    </w:p>
    <w:p w:rsidR="00A105CF" w:rsidRPr="00951A56" w:rsidRDefault="007D6EE5" w:rsidP="0033386B">
      <w:pPr>
        <w:pStyle w:val="2"/>
        <w:rPr>
          <w:rFonts w:hAnsi="標楷體"/>
          <w:b/>
          <w:szCs w:val="32"/>
        </w:rPr>
      </w:pPr>
      <w:r w:rsidRPr="00951A56">
        <w:rPr>
          <w:rFonts w:hAnsi="標楷體" w:cs="標楷體" w:hint="eastAsia"/>
          <w:b/>
          <w:kern w:val="0"/>
          <w:szCs w:val="32"/>
          <w:lang w:val="x-none"/>
        </w:rPr>
        <w:t>檢察官有義務於上訴期間屆滿前取得相關資訊，作為上訴與否之決定依據，又</w:t>
      </w:r>
      <w:r w:rsidR="001672B0" w:rsidRPr="00951A56">
        <w:rPr>
          <w:rFonts w:hAnsi="標楷體" w:cs="標楷體" w:hint="eastAsia"/>
          <w:b/>
          <w:kern w:val="0"/>
          <w:szCs w:val="32"/>
          <w:lang w:val="x-none"/>
        </w:rPr>
        <w:t>本案上訴書所載被告與被害人家屬未達和解、罪刑相當原則等理由，</w:t>
      </w:r>
      <w:r w:rsidR="00534E08" w:rsidRPr="00951A56">
        <w:rPr>
          <w:rFonts w:hAnsi="標楷體" w:cs="標楷體" w:hint="eastAsia"/>
          <w:b/>
          <w:kern w:val="0"/>
          <w:szCs w:val="32"/>
          <w:lang w:val="x-none"/>
        </w:rPr>
        <w:t>檢察官論告</w:t>
      </w:r>
      <w:r w:rsidR="001672B0" w:rsidRPr="00951A56">
        <w:rPr>
          <w:rFonts w:hAnsi="標楷體" w:cs="標楷體" w:hint="eastAsia"/>
          <w:b/>
          <w:kern w:val="0"/>
          <w:szCs w:val="32"/>
          <w:lang w:val="x-none"/>
        </w:rPr>
        <w:t>時已經提及</w:t>
      </w:r>
      <w:r w:rsidR="00534E08" w:rsidRPr="00951A56">
        <w:rPr>
          <w:rFonts w:hAnsi="標楷體" w:cs="標楷體" w:hint="eastAsia"/>
          <w:b/>
          <w:kern w:val="0"/>
          <w:szCs w:val="32"/>
          <w:lang w:val="x-none"/>
        </w:rPr>
        <w:t>，檢察官收受判決書時，</w:t>
      </w:r>
      <w:r w:rsidR="001672B0" w:rsidRPr="00951A56">
        <w:rPr>
          <w:rFonts w:hAnsi="標楷體" w:cs="標楷體" w:hint="eastAsia"/>
          <w:b/>
          <w:kern w:val="0"/>
          <w:szCs w:val="32"/>
          <w:lang w:val="x-none"/>
        </w:rPr>
        <w:t>上訴理由</w:t>
      </w:r>
      <w:r w:rsidRPr="00951A56">
        <w:rPr>
          <w:rFonts w:hAnsi="標楷體" w:cs="標楷體" w:hint="eastAsia"/>
          <w:b/>
          <w:kern w:val="0"/>
          <w:szCs w:val="32"/>
          <w:lang w:val="x-none"/>
        </w:rPr>
        <w:t>既已存在亦為其</w:t>
      </w:r>
      <w:r w:rsidR="00534E08" w:rsidRPr="00951A56">
        <w:rPr>
          <w:rFonts w:hAnsi="標楷體" w:cs="標楷體" w:hint="eastAsia"/>
          <w:b/>
          <w:kern w:val="0"/>
          <w:szCs w:val="32"/>
          <w:lang w:val="x-none"/>
        </w:rPr>
        <w:t>所知悉，卻未</w:t>
      </w:r>
      <w:r w:rsidR="001672B0" w:rsidRPr="00951A56">
        <w:rPr>
          <w:rFonts w:hAnsi="標楷體" w:cs="標楷體" w:hint="eastAsia"/>
          <w:b/>
          <w:kern w:val="0"/>
          <w:szCs w:val="32"/>
          <w:lang w:val="x-none"/>
        </w:rPr>
        <w:t>提起</w:t>
      </w:r>
      <w:r w:rsidR="00534E08" w:rsidRPr="00951A56">
        <w:rPr>
          <w:rFonts w:hAnsi="標楷體" w:cs="標楷體" w:hint="eastAsia"/>
          <w:b/>
          <w:kern w:val="0"/>
          <w:szCs w:val="32"/>
          <w:lang w:val="x-none"/>
        </w:rPr>
        <w:t>上訴，影響被害人家屬</w:t>
      </w:r>
      <w:r w:rsidR="0076195B" w:rsidRPr="00951A56">
        <w:rPr>
          <w:rFonts w:hAnsi="標楷體" w:cs="標楷體" w:hint="eastAsia"/>
          <w:b/>
          <w:kern w:val="0"/>
          <w:szCs w:val="32"/>
          <w:lang w:val="x-none"/>
        </w:rPr>
        <w:t>之</w:t>
      </w:r>
      <w:r w:rsidR="00534E08" w:rsidRPr="00951A56">
        <w:rPr>
          <w:rFonts w:hAnsi="標楷體" w:cs="標楷體" w:hint="eastAsia"/>
          <w:b/>
          <w:kern w:val="0"/>
          <w:szCs w:val="32"/>
          <w:lang w:val="x-none"/>
        </w:rPr>
        <w:t>權益</w:t>
      </w:r>
      <w:r w:rsidR="001672B0" w:rsidRPr="00951A56">
        <w:rPr>
          <w:rFonts w:hAnsi="標楷體" w:cs="標楷體" w:hint="eastAsia"/>
          <w:b/>
          <w:kern w:val="0"/>
          <w:szCs w:val="32"/>
          <w:lang w:val="x-none"/>
        </w:rPr>
        <w:t>，</w:t>
      </w:r>
      <w:r w:rsidR="0076195B" w:rsidRPr="00951A56">
        <w:rPr>
          <w:rFonts w:hAnsi="標楷體" w:cs="標楷體" w:hint="eastAsia"/>
          <w:b/>
          <w:kern w:val="0"/>
          <w:szCs w:val="32"/>
          <w:lang w:val="x-none"/>
        </w:rPr>
        <w:t>又</w:t>
      </w:r>
      <w:r w:rsidR="006333D6" w:rsidRPr="00951A56">
        <w:rPr>
          <w:rFonts w:hAnsi="標楷體" w:cs="標楷體" w:hint="eastAsia"/>
          <w:b/>
          <w:kern w:val="0"/>
          <w:szCs w:val="32"/>
          <w:lang w:val="x-none"/>
        </w:rPr>
        <w:t>本案檢察官上訴理由僅論及被告</w:t>
      </w:r>
      <w:r w:rsidR="00C94B04" w:rsidRPr="00951A56">
        <w:rPr>
          <w:rFonts w:hAnsi="標楷體" w:cs="標楷體" w:hint="eastAsia"/>
          <w:b/>
          <w:kern w:val="0"/>
          <w:szCs w:val="32"/>
          <w:lang w:val="x-none"/>
        </w:rPr>
        <w:t>未能與被害人家屬達成和解</w:t>
      </w:r>
      <w:r w:rsidRPr="00951A56">
        <w:rPr>
          <w:rFonts w:hAnsi="標楷體" w:cs="標楷體" w:hint="eastAsia"/>
          <w:b/>
          <w:kern w:val="0"/>
          <w:szCs w:val="32"/>
          <w:lang w:val="x-none"/>
        </w:rPr>
        <w:t>、罪刑相當原則</w:t>
      </w:r>
      <w:r w:rsidR="00721C24" w:rsidRPr="00951A56">
        <w:rPr>
          <w:rFonts w:hAnsi="標楷體" w:cs="標楷體" w:hint="eastAsia"/>
          <w:b/>
          <w:kern w:val="0"/>
          <w:szCs w:val="32"/>
          <w:lang w:val="x-none"/>
        </w:rPr>
        <w:t>等，並未論及原判決認定事實與卷證資料是否有不符之處、是否有瑕疵或</w:t>
      </w:r>
      <w:r w:rsidR="006333D6" w:rsidRPr="00951A56">
        <w:rPr>
          <w:rFonts w:hAnsi="標楷體" w:cs="標楷體" w:hint="eastAsia"/>
          <w:b/>
          <w:kern w:val="0"/>
          <w:szCs w:val="32"/>
          <w:lang w:val="x-none"/>
        </w:rPr>
        <w:t>是否有未盡調查之事證等具體事項</w:t>
      </w:r>
      <w:r w:rsidR="0076195B" w:rsidRPr="00951A56">
        <w:rPr>
          <w:rFonts w:hAnsi="標楷體" w:cs="標楷體" w:hint="eastAsia"/>
          <w:b/>
          <w:kern w:val="0"/>
          <w:szCs w:val="32"/>
          <w:lang w:val="x-none"/>
        </w:rPr>
        <w:t>，請法務部督導所屬檢討改</w:t>
      </w:r>
      <w:r w:rsidR="0076195B" w:rsidRPr="00951A56">
        <w:rPr>
          <w:rFonts w:hint="eastAsia"/>
          <w:b/>
        </w:rPr>
        <w:t>進。</w:t>
      </w:r>
    </w:p>
    <w:p w:rsidR="00A06DF6" w:rsidRPr="00951A56" w:rsidRDefault="00027441" w:rsidP="00A06DF6">
      <w:pPr>
        <w:pStyle w:val="3"/>
        <w:rPr>
          <w:rFonts w:hAnsi="標楷體"/>
          <w:szCs w:val="32"/>
        </w:rPr>
      </w:pPr>
      <w:r w:rsidRPr="00951A56">
        <w:rPr>
          <w:rFonts w:hAnsi="標楷體" w:hint="eastAsia"/>
          <w:szCs w:val="32"/>
        </w:rPr>
        <w:t>按判決正本，</w:t>
      </w:r>
      <w:r w:rsidR="00A06DF6" w:rsidRPr="00951A56">
        <w:rPr>
          <w:rFonts w:hAnsi="標楷體" w:hint="eastAsia"/>
          <w:szCs w:val="32"/>
        </w:rPr>
        <w:t>應送達於告訴人及告發人，告訴人於上訴期間內，得向檢察官陳述意見，告訴人或被害人對於下級法院之判決有不服者，亦得具備理由，請求檢察官上訴，刑事訴訟法第314條第2項、第344條第3項分別定有明文。</w:t>
      </w:r>
      <w:r w:rsidR="00DC135F" w:rsidRPr="00951A56">
        <w:rPr>
          <w:rFonts w:hAnsi="標楷體" w:hint="eastAsia"/>
          <w:szCs w:val="32"/>
        </w:rPr>
        <w:t>檢察機關辦理刑事訴訟案件應行注意事項第134點規定：「檢察官應於裁判正本送至其辦公處所後，即時收受送達，不得無故擱置，致延誤裁判確定之時間。收受裁判正本後，應立就原裁判認定事實有無錯誤、適用法則是否恰</w:t>
      </w:r>
      <w:r w:rsidR="00DC135F" w:rsidRPr="00951A56">
        <w:rPr>
          <w:rFonts w:hAnsi="標楷體" w:hint="eastAsia"/>
          <w:szCs w:val="32"/>
        </w:rPr>
        <w:lastRenderedPageBreak/>
        <w:t>當，以及訴訟程序有無瑕疵、量刑標準及緩刑宣告是否適當，分別審查，以決定應否提起上訴或抗告，不得任意擱置，致遲誤上訴或抗告期間。如認原判決量刑失當或漏未宣告保安處分或緩刑者，應即提起上訴或為被告之利益聲明上訴。其上訴書，提起第三審上訴者，必須敘述理由。上訴第二審者，雖無必敘述理由之規定，但為明瞭上訴範圍及要旨，仍以敘述理由為宜。」第135點規定：「</w:t>
      </w:r>
      <w:proofErr w:type="gramStart"/>
      <w:r w:rsidR="00DC135F" w:rsidRPr="00951A56">
        <w:rPr>
          <w:rFonts w:hAnsi="標楷體" w:hint="eastAsia"/>
          <w:szCs w:val="32"/>
        </w:rPr>
        <w:t>檢察官發見原</w:t>
      </w:r>
      <w:proofErr w:type="gramEnd"/>
      <w:r w:rsidR="00DC135F" w:rsidRPr="00951A56">
        <w:rPr>
          <w:rFonts w:hAnsi="標楷體" w:hint="eastAsia"/>
          <w:szCs w:val="32"/>
        </w:rPr>
        <w:t>判決有違法或不當之處，無論被告上訴與否，應於法定期間內提起上訴，不得因被告已經提起上訴，即不予上訴或僅於答辯書內指摘其不當。如告訴人或被害人對於下級法院之判決有不服者，亦得請求檢察官上訴，除其請求顯</w:t>
      </w:r>
      <w:proofErr w:type="gramStart"/>
      <w:r w:rsidR="00DC135F" w:rsidRPr="00951A56">
        <w:rPr>
          <w:rFonts w:hAnsi="標楷體" w:hint="eastAsia"/>
          <w:szCs w:val="32"/>
        </w:rPr>
        <w:t>無理由者外</w:t>
      </w:r>
      <w:proofErr w:type="gramEnd"/>
      <w:r w:rsidR="00DC135F" w:rsidRPr="00951A56">
        <w:rPr>
          <w:rFonts w:hAnsi="標楷體" w:hint="eastAsia"/>
          <w:szCs w:val="32"/>
        </w:rPr>
        <w:t>，檢察官不得拒絕。所謂顯無理由，係指該項請求之內容，在表面上不須再經調查，即可認為</w:t>
      </w:r>
      <w:proofErr w:type="gramStart"/>
      <w:r w:rsidR="00DC135F" w:rsidRPr="00951A56">
        <w:rPr>
          <w:rFonts w:hAnsi="標楷體" w:hint="eastAsia"/>
          <w:szCs w:val="32"/>
        </w:rPr>
        <w:t>無理由者而言</w:t>
      </w:r>
      <w:proofErr w:type="gramEnd"/>
      <w:r w:rsidR="00DC135F" w:rsidRPr="00951A56">
        <w:rPr>
          <w:rFonts w:hAnsi="標楷體" w:hint="eastAsia"/>
          <w:szCs w:val="32"/>
        </w:rPr>
        <w:t>。」</w:t>
      </w:r>
      <w:r w:rsidR="00E815E3" w:rsidRPr="00951A56">
        <w:rPr>
          <w:rFonts w:hAnsi="標楷體" w:cs="標楷體" w:hint="eastAsia"/>
          <w:szCs w:val="32"/>
        </w:rPr>
        <w:t>有關檢察官是否應於判決後</w:t>
      </w:r>
      <w:r w:rsidR="00E815E3" w:rsidRPr="00951A56">
        <w:rPr>
          <w:rFonts w:hAnsi="標楷體" w:hint="eastAsia"/>
          <w:szCs w:val="32"/>
        </w:rPr>
        <w:t>主動連</w:t>
      </w:r>
      <w:proofErr w:type="gramStart"/>
      <w:r w:rsidR="00E815E3" w:rsidRPr="00951A56">
        <w:rPr>
          <w:rFonts w:hAnsi="標楷體" w:hint="eastAsia"/>
          <w:szCs w:val="32"/>
        </w:rPr>
        <w:t>繫</w:t>
      </w:r>
      <w:proofErr w:type="gramEnd"/>
      <w:r w:rsidR="00E815E3" w:rsidRPr="00951A56">
        <w:rPr>
          <w:rFonts w:hAnsi="標楷體" w:hint="eastAsia"/>
          <w:szCs w:val="32"/>
        </w:rPr>
        <w:t>被害人家屬，刑事訴訟法及檢察機關辦理刑事訴訟案件應行</w:t>
      </w:r>
      <w:proofErr w:type="gramStart"/>
      <w:r w:rsidR="00E815E3" w:rsidRPr="00951A56">
        <w:rPr>
          <w:rFonts w:hAnsi="標楷體" w:hint="eastAsia"/>
          <w:szCs w:val="32"/>
        </w:rPr>
        <w:t>注意事項</w:t>
      </w:r>
      <w:r w:rsidR="00E815E3" w:rsidRPr="00951A56">
        <w:rPr>
          <w:rFonts w:hAnsi="標楷體" w:cs="標楷體"/>
          <w:szCs w:val="32"/>
        </w:rPr>
        <w:t>均</w:t>
      </w:r>
      <w:r w:rsidR="00E815E3" w:rsidRPr="00951A56">
        <w:rPr>
          <w:rFonts w:hAnsi="標楷體" w:hint="eastAsia"/>
          <w:szCs w:val="32"/>
        </w:rPr>
        <w:t>無</w:t>
      </w:r>
      <w:r w:rsidR="00E815E3" w:rsidRPr="00951A56">
        <w:rPr>
          <w:rFonts w:hAnsi="標楷體" w:cs="標楷體"/>
          <w:szCs w:val="32"/>
        </w:rPr>
        <w:t>明文</w:t>
      </w:r>
      <w:r w:rsidR="009F13A2" w:rsidRPr="00951A56">
        <w:rPr>
          <w:rFonts w:hAnsi="標楷體" w:hint="eastAsia"/>
          <w:szCs w:val="32"/>
        </w:rPr>
        <w:t>規定</w:t>
      </w:r>
      <w:proofErr w:type="gramEnd"/>
      <w:r w:rsidR="009F13A2" w:rsidRPr="00951A56">
        <w:rPr>
          <w:rFonts w:hAnsi="標楷體" w:hint="eastAsia"/>
          <w:szCs w:val="32"/>
        </w:rPr>
        <w:t>，惟檢察官應於收受裁判正本後，應立</w:t>
      </w:r>
      <w:r w:rsidR="007F1A12" w:rsidRPr="00951A56">
        <w:rPr>
          <w:rFonts w:hAnsi="標楷體" w:hint="eastAsia"/>
          <w:szCs w:val="32"/>
        </w:rPr>
        <w:t>即</w:t>
      </w:r>
      <w:r w:rsidR="009F13A2" w:rsidRPr="00951A56">
        <w:rPr>
          <w:rFonts w:hAnsi="標楷體" w:hint="eastAsia"/>
          <w:szCs w:val="32"/>
        </w:rPr>
        <w:t>就原裁判認定事實有無錯誤、適用法則是否恰當，以及訴訟程序有無瑕疵、量刑標準等是否適當，分別審查，以決定應否提起上訴。</w:t>
      </w:r>
    </w:p>
    <w:p w:rsidR="00A06DF6" w:rsidRPr="00951A56" w:rsidRDefault="00C414CF" w:rsidP="00A06DF6">
      <w:pPr>
        <w:pStyle w:val="3"/>
        <w:rPr>
          <w:rFonts w:hAnsi="標楷體"/>
          <w:szCs w:val="32"/>
        </w:rPr>
      </w:pPr>
      <w:r w:rsidRPr="00951A56">
        <w:t>屏</w:t>
      </w:r>
      <w:r w:rsidRPr="00951A56">
        <w:rPr>
          <w:szCs w:val="32"/>
        </w:rPr>
        <w:t>東縣江姓婦人</w:t>
      </w:r>
      <w:r w:rsidRPr="00951A56">
        <w:rPr>
          <w:rFonts w:hint="eastAsia"/>
          <w:szCs w:val="32"/>
        </w:rPr>
        <w:t>殺人</w:t>
      </w:r>
      <w:r w:rsidRPr="00951A56">
        <w:rPr>
          <w:szCs w:val="32"/>
        </w:rPr>
        <w:t>棄屍</w:t>
      </w:r>
      <w:r w:rsidRPr="00951A56">
        <w:rPr>
          <w:rFonts w:hint="eastAsia"/>
          <w:szCs w:val="32"/>
        </w:rPr>
        <w:t>案件</w:t>
      </w:r>
      <w:r w:rsidRPr="00951A56">
        <w:rPr>
          <w:rFonts w:hAnsi="標楷體" w:cs="標楷體"/>
          <w:szCs w:val="32"/>
        </w:rPr>
        <w:t>，經屏東地</w:t>
      </w:r>
      <w:r w:rsidRPr="00951A56">
        <w:rPr>
          <w:rFonts w:hAnsi="標楷體" w:cs="標楷體" w:hint="eastAsia"/>
          <w:szCs w:val="32"/>
        </w:rPr>
        <w:t>方法</w:t>
      </w:r>
      <w:r w:rsidRPr="00951A56">
        <w:rPr>
          <w:rFonts w:hAnsi="標楷體" w:cs="標楷體"/>
          <w:szCs w:val="32"/>
        </w:rPr>
        <w:t>院於109年5月15日判決被告犯殺人罪，處有期徒刑13年</w:t>
      </w:r>
      <w:r w:rsidRPr="00951A56">
        <w:rPr>
          <w:rFonts w:hAnsi="標楷體" w:cs="標楷體" w:hint="eastAsia"/>
          <w:szCs w:val="32"/>
        </w:rPr>
        <w:t>。</w:t>
      </w:r>
      <w:r w:rsidRPr="00951A56">
        <w:rPr>
          <w:rFonts w:hAnsi="標楷體" w:cs="標楷體"/>
          <w:szCs w:val="32"/>
        </w:rPr>
        <w:t>檢察官於109年5月20日收受判決，未提起上訴，該案並於109年6月9日確定。</w:t>
      </w:r>
      <w:proofErr w:type="gramStart"/>
      <w:r w:rsidRPr="00951A56">
        <w:rPr>
          <w:rFonts w:hAnsi="標楷體" w:cs="標楷體"/>
          <w:szCs w:val="32"/>
        </w:rPr>
        <w:t>嗣</w:t>
      </w:r>
      <w:proofErr w:type="gramEnd"/>
      <w:r w:rsidRPr="00951A56">
        <w:rPr>
          <w:rFonts w:hAnsi="標楷體" w:cs="標楷體"/>
          <w:szCs w:val="32"/>
        </w:rPr>
        <w:t>被害人家屬於109年6月17日收受判決正本後，隨即具狀請求檢察官上訴</w:t>
      </w:r>
      <w:r w:rsidRPr="00951A56">
        <w:rPr>
          <w:rFonts w:hAnsi="標楷體" w:cs="標楷體" w:hint="eastAsia"/>
          <w:szCs w:val="32"/>
        </w:rPr>
        <w:t>。</w:t>
      </w:r>
      <w:r w:rsidRPr="00951A56">
        <w:rPr>
          <w:rFonts w:hAnsi="標楷體" w:cs="標楷體"/>
          <w:szCs w:val="32"/>
        </w:rPr>
        <w:t>檢察官於109年6月18日</w:t>
      </w:r>
      <w:r w:rsidRPr="00951A56">
        <w:rPr>
          <w:rFonts w:hAnsi="標楷體" w:hint="eastAsia"/>
          <w:szCs w:val="32"/>
        </w:rPr>
        <w:t>依刑事訴訟法第67條第1項「非因過失，遲誤上訴、抗告或聲請再審之</w:t>
      </w:r>
      <w:proofErr w:type="gramStart"/>
      <w:r w:rsidRPr="00951A56">
        <w:rPr>
          <w:rFonts w:hAnsi="標楷體" w:hint="eastAsia"/>
          <w:szCs w:val="32"/>
        </w:rPr>
        <w:t>期間，</w:t>
      </w:r>
      <w:proofErr w:type="gramEnd"/>
      <w:r w:rsidRPr="00951A56">
        <w:rPr>
          <w:rFonts w:hAnsi="標楷體" w:hint="eastAsia"/>
          <w:szCs w:val="32"/>
        </w:rPr>
        <w:t>或聲請撤銷或變更審判長、受命法官、受託法官裁定或檢察官命令之期間者，於其原因消滅後5日內，</w:t>
      </w:r>
      <w:r w:rsidRPr="00951A56">
        <w:rPr>
          <w:rFonts w:hAnsi="標楷體" w:hint="eastAsia"/>
          <w:szCs w:val="32"/>
        </w:rPr>
        <w:lastRenderedPageBreak/>
        <w:t>得聲請回復原狀。」</w:t>
      </w:r>
      <w:r w:rsidRPr="00951A56">
        <w:rPr>
          <w:rFonts w:hAnsi="標楷體" w:cs="標楷體"/>
          <w:szCs w:val="32"/>
        </w:rPr>
        <w:t>向</w:t>
      </w:r>
      <w:r w:rsidR="00010312" w:rsidRPr="00951A56">
        <w:rPr>
          <w:rFonts w:hint="eastAsia"/>
        </w:rPr>
        <w:t>屏東地方法院</w:t>
      </w:r>
      <w:r w:rsidRPr="00951A56">
        <w:rPr>
          <w:rFonts w:hAnsi="標楷體" w:cs="標楷體"/>
          <w:szCs w:val="32"/>
        </w:rPr>
        <w:t>提出聲請回復原狀暨上訴書，主張本件可類推適用回復原狀之規定，惟此見解並不為上級法院所採納，並以上訴逾期</w:t>
      </w:r>
      <w:r w:rsidR="002722EE" w:rsidRPr="00951A56">
        <w:rPr>
          <w:rFonts w:hAnsi="標楷體" w:cs="標楷體" w:hint="eastAsia"/>
          <w:szCs w:val="32"/>
        </w:rPr>
        <w:t>、聲請回復原狀無理由予以</w:t>
      </w:r>
      <w:r w:rsidRPr="00951A56">
        <w:rPr>
          <w:rFonts w:hAnsi="標楷體" w:cs="標楷體"/>
          <w:szCs w:val="32"/>
        </w:rPr>
        <w:t>駁回。</w:t>
      </w:r>
    </w:p>
    <w:p w:rsidR="000E7E86" w:rsidRPr="00951A56" w:rsidRDefault="000E7E86" w:rsidP="000E7E86">
      <w:pPr>
        <w:pStyle w:val="3"/>
        <w:rPr>
          <w:rFonts w:hAnsi="標楷體" w:cs="標楷體"/>
          <w:kern w:val="0"/>
          <w:szCs w:val="32"/>
          <w:lang w:val="x-none"/>
        </w:rPr>
      </w:pPr>
      <w:r w:rsidRPr="00951A56">
        <w:rPr>
          <w:rFonts w:hAnsi="標楷體" w:cs="標楷體" w:hint="eastAsia"/>
          <w:kern w:val="0"/>
          <w:szCs w:val="32"/>
          <w:lang w:val="x-none"/>
        </w:rPr>
        <w:t>按非因過失，遲誤上訴、抗告或聲請再審之</w:t>
      </w:r>
      <w:proofErr w:type="gramStart"/>
      <w:r w:rsidRPr="00951A56">
        <w:rPr>
          <w:rFonts w:hAnsi="標楷體" w:cs="標楷體" w:hint="eastAsia"/>
          <w:kern w:val="0"/>
          <w:szCs w:val="32"/>
          <w:lang w:val="x-none"/>
        </w:rPr>
        <w:t>期間，</w:t>
      </w:r>
      <w:proofErr w:type="gramEnd"/>
      <w:r w:rsidRPr="00951A56">
        <w:rPr>
          <w:rFonts w:hAnsi="標楷體" w:cs="標楷體" w:hint="eastAsia"/>
          <w:kern w:val="0"/>
          <w:szCs w:val="32"/>
          <w:lang w:val="x-none"/>
        </w:rPr>
        <w:t>或聲請撤銷或變更審判長、受命推事、受託推事裁定或檢察官命令之期間者，於其原因消滅後5日內，得聲請回復原狀，刑事訴訟法第67條第1項定有明文。該條項規定之聲請回復原狀，乃救濟非因過失而遲誤抗告、上訴等法定期間之程序，且為衡平及兼顧法安定性、真實發現與法治程序之維護，明定應於其遲誤之原因消滅後5日內為之。又所謂非因過失，係指逾期之緣由非可歸責於當事人而言，苟其不能遵守期限非由於自誤，即</w:t>
      </w:r>
      <w:proofErr w:type="gramStart"/>
      <w:r w:rsidRPr="00951A56">
        <w:rPr>
          <w:rFonts w:hAnsi="標楷體" w:cs="標楷體" w:hint="eastAsia"/>
          <w:kern w:val="0"/>
          <w:szCs w:val="32"/>
          <w:lang w:val="x-none"/>
        </w:rPr>
        <w:t>不能謂因過失</w:t>
      </w:r>
      <w:proofErr w:type="gramEnd"/>
      <w:r w:rsidRPr="00951A56">
        <w:rPr>
          <w:rFonts w:hAnsi="標楷體" w:cs="標楷體" w:hint="eastAsia"/>
          <w:kern w:val="0"/>
          <w:szCs w:val="32"/>
          <w:lang w:val="x-none"/>
        </w:rPr>
        <w:t>遲誤不變期間。次按，當事人對於下級法院之判決有不服者，得上訴於上級法院。告訴人或被害人對於下級法院之判決有不服者，亦得具備理由，請求檢察官上訴，為刑事訴訟法第</w:t>
      </w:r>
      <w:r w:rsidR="00BE7AC4" w:rsidRPr="00951A56">
        <w:rPr>
          <w:rFonts w:hAnsi="標楷體" w:cs="標楷體" w:hint="eastAsia"/>
          <w:kern w:val="0"/>
          <w:szCs w:val="32"/>
          <w:lang w:val="x-none"/>
        </w:rPr>
        <w:t>344</w:t>
      </w:r>
      <w:r w:rsidRPr="00951A56">
        <w:rPr>
          <w:rFonts w:hAnsi="標楷體" w:cs="標楷體" w:hint="eastAsia"/>
          <w:kern w:val="0"/>
          <w:szCs w:val="32"/>
          <w:lang w:val="x-none"/>
        </w:rPr>
        <w:t>條第1項、第3項所明文。而</w:t>
      </w:r>
      <w:proofErr w:type="gramStart"/>
      <w:r w:rsidRPr="00951A56">
        <w:rPr>
          <w:rFonts w:hAnsi="標楷體" w:cs="標楷體" w:hint="eastAsia"/>
          <w:kern w:val="0"/>
          <w:szCs w:val="32"/>
          <w:lang w:val="x-none"/>
        </w:rPr>
        <w:t>本法稱當事人</w:t>
      </w:r>
      <w:proofErr w:type="gramEnd"/>
      <w:r w:rsidRPr="00951A56">
        <w:rPr>
          <w:rFonts w:hAnsi="標楷體" w:cs="標楷體" w:hint="eastAsia"/>
          <w:kern w:val="0"/>
          <w:szCs w:val="32"/>
          <w:lang w:val="x-none"/>
        </w:rPr>
        <w:t>者，謂檢察官、自訴人及被告，為刑事訴訟法第3條所明定。亦即刑事訴訟法所定之上訴權人，係以檢察官、自訴人及被告為限，告訴人及被害人僅得請求檢察官上訴，惟是否提起上訴，仍屬檢察官之職權，亦即告訴人及被害人請求檢察官上訴，僅具促請之性質，並不拘束檢察官前開職權之是否行使。被害人家屬依刑事訴訟法第314條第2項、第344條第3項規定，既有請求檢察官上訴之權利，故被害人家屬對於判決結果之意見，乃檢察官考量是否上訴之因素之一，法律課予檢察官之公訴義務，影響人民權益重大。</w:t>
      </w:r>
    </w:p>
    <w:p w:rsidR="00AA55CC" w:rsidRPr="00951A56" w:rsidRDefault="00ED2EF6" w:rsidP="00843572">
      <w:pPr>
        <w:pStyle w:val="3"/>
        <w:rPr>
          <w:rFonts w:hAnsi="標楷體" w:cs="標楷體"/>
          <w:kern w:val="0"/>
          <w:szCs w:val="32"/>
          <w:lang w:val="x-none"/>
        </w:rPr>
      </w:pPr>
      <w:r w:rsidRPr="00951A56">
        <w:rPr>
          <w:rFonts w:hAnsi="標楷體" w:hint="eastAsia"/>
          <w:szCs w:val="32"/>
        </w:rPr>
        <w:t>109年7月20日高雄高分院</w:t>
      </w:r>
      <w:proofErr w:type="gramStart"/>
      <w:r w:rsidRPr="00951A56">
        <w:rPr>
          <w:rFonts w:hAnsi="標楷體" w:hint="eastAsia"/>
          <w:szCs w:val="32"/>
        </w:rPr>
        <w:t>109年度聲字第1031號</w:t>
      </w:r>
      <w:proofErr w:type="gramEnd"/>
      <w:r w:rsidRPr="00951A56">
        <w:rPr>
          <w:rFonts w:hAnsi="標楷體" w:hint="eastAsia"/>
          <w:szCs w:val="32"/>
        </w:rPr>
        <w:t>刑</w:t>
      </w:r>
      <w:r w:rsidRPr="00951A56">
        <w:rPr>
          <w:rFonts w:hAnsi="標楷體" w:hint="eastAsia"/>
          <w:szCs w:val="32"/>
        </w:rPr>
        <w:lastRenderedPageBreak/>
        <w:t>事裁定認為，</w:t>
      </w:r>
      <w:r w:rsidRPr="00951A56">
        <w:rPr>
          <w:rFonts w:hAnsi="標楷體" w:cs="標楷體" w:hint="eastAsia"/>
          <w:kern w:val="0"/>
          <w:szCs w:val="32"/>
          <w:lang w:val="x-none"/>
        </w:rPr>
        <w:t>是否提起上訴一事，檢察官已基於職權</w:t>
      </w:r>
      <w:proofErr w:type="gramStart"/>
      <w:r w:rsidRPr="00951A56">
        <w:rPr>
          <w:rFonts w:hAnsi="標楷體" w:cs="標楷體" w:hint="eastAsia"/>
          <w:kern w:val="0"/>
          <w:szCs w:val="32"/>
          <w:lang w:val="x-none"/>
        </w:rPr>
        <w:t>裁量審酌</w:t>
      </w:r>
      <w:proofErr w:type="gramEnd"/>
      <w:r w:rsidRPr="00951A56">
        <w:rPr>
          <w:rFonts w:hAnsi="標楷體" w:cs="標楷體" w:hint="eastAsia"/>
          <w:kern w:val="0"/>
          <w:szCs w:val="32"/>
          <w:lang w:val="x-none"/>
        </w:rPr>
        <w:t>，而認本案原審判決並無上訴之必要甚明。</w:t>
      </w:r>
      <w:r w:rsidR="00666B87" w:rsidRPr="00951A56">
        <w:rPr>
          <w:rFonts w:hAnsi="標楷體" w:cs="標楷體" w:hint="eastAsia"/>
          <w:kern w:val="0"/>
          <w:szCs w:val="32"/>
          <w:lang w:val="x-none"/>
        </w:rPr>
        <w:t>對下級審判決是否提起上訴，檢察官具有完全之決定權，縱告訴人或被害人請求上訴，檢察官仍須依法審酌提起上訴之合法性與妥適性，自行決定是否上訴，並非只要告訴人或被害人請求上訴，檢察官即毫無選擇、必須予以上訴，而喪失其為國家公益代表人之身分與職責（刑事訴訟法第</w:t>
      </w:r>
      <w:r w:rsidR="00666B87" w:rsidRPr="00951A56">
        <w:rPr>
          <w:rFonts w:hAnsi="標楷體" w:cs="CourierNew"/>
          <w:kern w:val="0"/>
          <w:szCs w:val="32"/>
          <w:lang w:val="x-none"/>
        </w:rPr>
        <w:t>2</w:t>
      </w:r>
      <w:r w:rsidR="00666B87" w:rsidRPr="00951A56">
        <w:rPr>
          <w:rFonts w:hAnsi="標楷體" w:cs="標楷體" w:hint="eastAsia"/>
          <w:kern w:val="0"/>
          <w:szCs w:val="32"/>
          <w:lang w:val="x-none"/>
        </w:rPr>
        <w:t>條規定參照）。</w:t>
      </w:r>
      <w:r w:rsidR="006514C7" w:rsidRPr="00951A56">
        <w:rPr>
          <w:rFonts w:hAnsi="標楷體" w:hint="eastAsia"/>
          <w:szCs w:val="32"/>
        </w:rPr>
        <w:t>109年9月9日最高法院</w:t>
      </w:r>
      <w:proofErr w:type="gramStart"/>
      <w:r w:rsidR="006514C7" w:rsidRPr="00951A56">
        <w:rPr>
          <w:rFonts w:hAnsi="標楷體" w:hint="eastAsia"/>
          <w:szCs w:val="32"/>
        </w:rPr>
        <w:t>109</w:t>
      </w:r>
      <w:proofErr w:type="gramEnd"/>
      <w:r w:rsidR="006514C7" w:rsidRPr="00951A56">
        <w:rPr>
          <w:rFonts w:hAnsi="標楷體" w:hint="eastAsia"/>
          <w:szCs w:val="32"/>
        </w:rPr>
        <w:t>年度</w:t>
      </w:r>
      <w:proofErr w:type="gramStart"/>
      <w:r w:rsidR="006514C7" w:rsidRPr="00951A56">
        <w:rPr>
          <w:rFonts w:hAnsi="標楷體" w:hint="eastAsia"/>
          <w:szCs w:val="32"/>
        </w:rPr>
        <w:t>台抗字</w:t>
      </w:r>
      <w:proofErr w:type="gramEnd"/>
      <w:r w:rsidR="006514C7" w:rsidRPr="00951A56">
        <w:rPr>
          <w:rFonts w:hAnsi="標楷體" w:hint="eastAsia"/>
          <w:szCs w:val="32"/>
        </w:rPr>
        <w:t>第1392號刑事裁定認為，</w:t>
      </w:r>
      <w:r w:rsidR="006514C7" w:rsidRPr="00951A56">
        <w:rPr>
          <w:rFonts w:hAnsi="標楷體" w:cs="標楷體" w:hint="eastAsia"/>
          <w:kern w:val="0"/>
          <w:szCs w:val="32"/>
          <w:lang w:val="x-none"/>
        </w:rPr>
        <w:t>對於判決是否提起上訴，檢察官具有完全之決定權，縱告訴人或被害人請求上訴，檢察官仍有自行決定之裁量權，非謂</w:t>
      </w:r>
      <w:proofErr w:type="gramStart"/>
      <w:r w:rsidR="006514C7" w:rsidRPr="00951A56">
        <w:rPr>
          <w:rFonts w:hAnsi="標楷體" w:cs="標楷體" w:hint="eastAsia"/>
          <w:kern w:val="0"/>
          <w:szCs w:val="32"/>
          <w:lang w:val="x-none"/>
        </w:rPr>
        <w:t>一</w:t>
      </w:r>
      <w:proofErr w:type="gramEnd"/>
      <w:r w:rsidR="006514C7" w:rsidRPr="00951A56">
        <w:rPr>
          <w:rFonts w:hAnsi="標楷體" w:cs="標楷體" w:hint="eastAsia"/>
          <w:kern w:val="0"/>
          <w:szCs w:val="32"/>
          <w:lang w:val="x-none"/>
        </w:rPr>
        <w:t>受請求，即應上訴。是告訴人或被害人有無請求，與檢察官遲誤上訴是否可歸責之判斷無關，檢察官基於國家公益代表人之身分與職責，本有義務於上訴期間屆滿前</w:t>
      </w:r>
      <w:r w:rsidR="00F148F6">
        <w:rPr>
          <w:rFonts w:hAnsi="標楷體" w:cs="標楷體" w:hint="eastAsia"/>
          <w:kern w:val="0"/>
          <w:szCs w:val="32"/>
          <w:lang w:val="x-none"/>
        </w:rPr>
        <w:t>自取得資訊</w:t>
      </w:r>
      <w:r w:rsidR="006514C7" w:rsidRPr="00951A56">
        <w:rPr>
          <w:rFonts w:hAnsi="標楷體" w:cs="標楷體" w:hint="eastAsia"/>
          <w:kern w:val="0"/>
          <w:szCs w:val="32"/>
          <w:lang w:val="x-none"/>
        </w:rPr>
        <w:t>以為上訴與否之決定依據。法院固未依規定按時送達判決書予被害人家屬，致無從於檢察官上訴期間內請求上訴，然檢察官係因未主動掌握被害人家屬對於判決結果之意見，致遲誤上訴</w:t>
      </w:r>
      <w:proofErr w:type="gramStart"/>
      <w:r w:rsidR="006514C7" w:rsidRPr="00951A56">
        <w:rPr>
          <w:rFonts w:hAnsi="標楷體" w:cs="標楷體" w:hint="eastAsia"/>
          <w:kern w:val="0"/>
          <w:szCs w:val="32"/>
          <w:lang w:val="x-none"/>
        </w:rPr>
        <w:t>期間，</w:t>
      </w:r>
      <w:proofErr w:type="gramEnd"/>
      <w:r w:rsidR="006514C7" w:rsidRPr="00951A56">
        <w:rPr>
          <w:rFonts w:hAnsi="標楷體" w:cs="標楷體" w:hint="eastAsia"/>
          <w:kern w:val="0"/>
          <w:szCs w:val="32"/>
          <w:lang w:val="x-none"/>
        </w:rPr>
        <w:t>具有可歸責之過失</w:t>
      </w:r>
      <w:r w:rsidR="007E7945" w:rsidRPr="00951A56">
        <w:rPr>
          <w:rFonts w:hAnsi="標楷體" w:cs="標楷體" w:hint="eastAsia"/>
          <w:kern w:val="0"/>
          <w:szCs w:val="32"/>
          <w:lang w:val="x-none"/>
        </w:rPr>
        <w:t>。</w:t>
      </w:r>
      <w:r w:rsidR="007E7945" w:rsidRPr="00951A56">
        <w:rPr>
          <w:rFonts w:hAnsi="標楷體" w:hint="eastAsia"/>
          <w:szCs w:val="32"/>
        </w:rPr>
        <w:t>高雄高分院及最高法院</w:t>
      </w:r>
      <w:r w:rsidR="007E7945" w:rsidRPr="00951A56">
        <w:rPr>
          <w:rFonts w:hAnsi="標楷體" w:cs="標楷體" w:hint="eastAsia"/>
          <w:kern w:val="0"/>
          <w:szCs w:val="32"/>
          <w:lang w:val="x-none"/>
        </w:rPr>
        <w:t>均</w:t>
      </w:r>
      <w:r w:rsidR="00666B87" w:rsidRPr="00951A56">
        <w:rPr>
          <w:rFonts w:hAnsi="標楷體" w:cs="標楷體" w:hint="eastAsia"/>
          <w:kern w:val="0"/>
          <w:szCs w:val="32"/>
          <w:lang w:val="x-none"/>
        </w:rPr>
        <w:t>認定檢察官違反</w:t>
      </w:r>
      <w:r w:rsidR="007E7945" w:rsidRPr="00951A56">
        <w:rPr>
          <w:rFonts w:hAnsi="標楷體" w:cs="標楷體" w:hint="eastAsia"/>
          <w:kern w:val="0"/>
          <w:szCs w:val="32"/>
          <w:lang w:val="x-none"/>
        </w:rPr>
        <w:t>20日</w:t>
      </w:r>
      <w:r w:rsidR="00666B87" w:rsidRPr="00951A56">
        <w:rPr>
          <w:rFonts w:hAnsi="標楷體" w:cs="標楷體" w:hint="eastAsia"/>
          <w:kern w:val="0"/>
          <w:szCs w:val="32"/>
          <w:lang w:val="x-none"/>
        </w:rPr>
        <w:t>上訴期間規定，</w:t>
      </w:r>
      <w:r w:rsidR="007E7945" w:rsidRPr="00951A56">
        <w:rPr>
          <w:rFonts w:hAnsi="標楷體" w:cs="標楷體" w:hint="eastAsia"/>
          <w:kern w:val="0"/>
          <w:szCs w:val="32"/>
          <w:lang w:val="x-none"/>
        </w:rPr>
        <w:t>並</w:t>
      </w:r>
      <w:r w:rsidR="00666B87" w:rsidRPr="00951A56">
        <w:rPr>
          <w:rFonts w:hAnsi="標楷體" w:cs="標楷體" w:hint="eastAsia"/>
          <w:kern w:val="0"/>
          <w:szCs w:val="32"/>
          <w:lang w:val="x-none"/>
        </w:rPr>
        <w:t>再次提醒檢察官，檢察官代表國家追訴犯罪，必須認真而嚴肅地面對訴訟程序之公訴義務，不得逾期提起上訴影響人民訴訟權益</w:t>
      </w:r>
      <w:r w:rsidR="005626C0" w:rsidRPr="00951A56">
        <w:rPr>
          <w:rFonts w:hAnsi="標楷體" w:cs="標楷體" w:hint="eastAsia"/>
          <w:kern w:val="0"/>
          <w:szCs w:val="32"/>
          <w:lang w:val="x-none"/>
        </w:rPr>
        <w:t>。</w:t>
      </w:r>
    </w:p>
    <w:p w:rsidR="0020419A" w:rsidRPr="00951A56" w:rsidRDefault="00BD693A" w:rsidP="00156B2F">
      <w:pPr>
        <w:pStyle w:val="3"/>
        <w:rPr>
          <w:rFonts w:hAnsi="標楷體"/>
          <w:szCs w:val="32"/>
        </w:rPr>
      </w:pPr>
      <w:r w:rsidRPr="00951A56">
        <w:rPr>
          <w:rFonts w:hAnsi="標楷體" w:cs="細明體" w:hint="eastAsia"/>
          <w:kern w:val="0"/>
          <w:szCs w:val="24"/>
          <w:lang w:val="x-none"/>
        </w:rPr>
        <w:t>查</w:t>
      </w:r>
      <w:r w:rsidR="00B0180B" w:rsidRPr="00951A56">
        <w:rPr>
          <w:rFonts w:hAnsi="標楷體" w:cs="細明體" w:hint="eastAsia"/>
          <w:kern w:val="0"/>
          <w:szCs w:val="24"/>
          <w:lang w:val="x-none"/>
        </w:rPr>
        <w:t>109年4月23日屏東地方法院審判筆錄，審判長問:「</w:t>
      </w:r>
      <w:proofErr w:type="spellStart"/>
      <w:r w:rsidR="00FB55F3" w:rsidRPr="00951A56">
        <w:rPr>
          <w:rFonts w:hAnsi="標楷體" w:cs="細明體" w:hint="eastAsia"/>
          <w:kern w:val="0"/>
          <w:szCs w:val="24"/>
          <w:lang w:val="x-none"/>
        </w:rPr>
        <w:t>就被告之科刑範圍有無意見</w:t>
      </w:r>
      <w:proofErr w:type="spellEnd"/>
      <w:r w:rsidR="00FB55F3" w:rsidRPr="00951A56">
        <w:rPr>
          <w:rFonts w:hAnsi="標楷體" w:cs="細明體" w:hint="eastAsia"/>
          <w:kern w:val="0"/>
          <w:szCs w:val="24"/>
          <w:lang w:val="x-none"/>
        </w:rPr>
        <w:t>?</w:t>
      </w:r>
      <w:r w:rsidR="00B0180B" w:rsidRPr="00951A56">
        <w:rPr>
          <w:rFonts w:hAnsi="標楷體" w:cs="細明體" w:hint="eastAsia"/>
          <w:kern w:val="0"/>
          <w:szCs w:val="24"/>
          <w:lang w:val="x-none"/>
        </w:rPr>
        <w:t>」</w:t>
      </w:r>
      <w:proofErr w:type="spellStart"/>
      <w:r w:rsidR="00FB55F3" w:rsidRPr="00951A56">
        <w:rPr>
          <w:rFonts w:hAnsi="標楷體" w:cs="細明體" w:hint="eastAsia"/>
          <w:kern w:val="0"/>
          <w:szCs w:val="24"/>
          <w:lang w:val="x-none"/>
        </w:rPr>
        <w:t>檢察官答</w:t>
      </w:r>
      <w:proofErr w:type="spellEnd"/>
      <w:r w:rsidR="00FB55F3" w:rsidRPr="00951A56">
        <w:rPr>
          <w:rFonts w:hAnsi="標楷體" w:cs="細明體" w:hint="eastAsia"/>
          <w:kern w:val="0"/>
          <w:szCs w:val="24"/>
          <w:lang w:val="x-none"/>
        </w:rPr>
        <w:t>:「</w:t>
      </w:r>
      <w:proofErr w:type="spellStart"/>
      <w:proofErr w:type="gramStart"/>
      <w:r w:rsidR="00FB55F3" w:rsidRPr="00951A56">
        <w:rPr>
          <w:rFonts w:hAnsi="標楷體" w:cs="細明體" w:hint="eastAsia"/>
          <w:kern w:val="0"/>
          <w:szCs w:val="24"/>
          <w:lang w:val="x-none"/>
        </w:rPr>
        <w:t>依屏安</w:t>
      </w:r>
      <w:proofErr w:type="gramEnd"/>
      <w:r w:rsidR="00FB55F3" w:rsidRPr="00951A56">
        <w:rPr>
          <w:rFonts w:hAnsi="標楷體" w:cs="細明體" w:hint="eastAsia"/>
          <w:kern w:val="0"/>
          <w:szCs w:val="24"/>
          <w:lang w:val="x-none"/>
        </w:rPr>
        <w:t>醫院的鑑定報告，被告行為時可以排除藥物及酒精之影響，而且可以清楚辨識其行為違法並依其辨識的行為能力，是以本案並無刑法第</w:t>
      </w:r>
      <w:proofErr w:type="spellEnd"/>
      <w:r w:rsidR="00FB55F3" w:rsidRPr="00951A56">
        <w:rPr>
          <w:rFonts w:hAnsi="標楷體" w:cs="細明體" w:hint="eastAsia"/>
          <w:kern w:val="0"/>
          <w:szCs w:val="24"/>
          <w:lang w:val="x-none"/>
        </w:rPr>
        <w:t>19條之減刑事由，被告雖坦承犯行，但無適度彌補被害人家屬所</w:t>
      </w:r>
      <w:r w:rsidR="00FB55F3" w:rsidRPr="00951A56">
        <w:rPr>
          <w:rFonts w:hAnsi="標楷體" w:cs="細明體" w:hint="eastAsia"/>
          <w:kern w:val="0"/>
          <w:szCs w:val="24"/>
          <w:lang w:val="x-none"/>
        </w:rPr>
        <w:lastRenderedPageBreak/>
        <w:t>受之損害，建請從重量刑。」</w:t>
      </w:r>
      <w:r w:rsidR="001B05EF" w:rsidRPr="00951A56">
        <w:rPr>
          <w:rStyle w:val="afe"/>
          <w:rFonts w:hAnsi="標楷體" w:cs="細明體"/>
          <w:kern w:val="0"/>
          <w:szCs w:val="24"/>
          <w:lang w:val="x-none"/>
        </w:rPr>
        <w:footnoteReference w:id="3"/>
      </w:r>
      <w:r w:rsidR="00C12F8B" w:rsidRPr="00951A56">
        <w:rPr>
          <w:rFonts w:hAnsi="標楷體" w:cs="標楷體" w:hint="eastAsia"/>
          <w:sz w:val="28"/>
          <w:szCs w:val="28"/>
        </w:rPr>
        <w:t xml:space="preserve"> </w:t>
      </w:r>
      <w:r w:rsidR="00F647F7" w:rsidRPr="00951A56">
        <w:rPr>
          <w:rFonts w:hAnsi="標楷體" w:cs="新細明體" w:hint="eastAsia"/>
          <w:kern w:val="0"/>
          <w:szCs w:val="32"/>
          <w:lang w:val="x-none"/>
        </w:rPr>
        <w:t>109年6月18</w:t>
      </w:r>
      <w:r w:rsidR="00C50B21" w:rsidRPr="00951A56">
        <w:rPr>
          <w:rFonts w:hAnsi="標楷體" w:cs="新細明體" w:hint="eastAsia"/>
          <w:kern w:val="0"/>
          <w:szCs w:val="32"/>
          <w:lang w:val="x-none"/>
        </w:rPr>
        <w:t>日屏東地檢</w:t>
      </w:r>
      <w:r w:rsidR="00F647F7" w:rsidRPr="00951A56">
        <w:rPr>
          <w:rFonts w:hAnsi="標楷體" w:cs="新細明體" w:hint="eastAsia"/>
          <w:kern w:val="0"/>
          <w:szCs w:val="32"/>
          <w:lang w:val="x-none"/>
        </w:rPr>
        <w:t>署檢察官</w:t>
      </w:r>
      <w:proofErr w:type="gramStart"/>
      <w:r w:rsidR="00F647F7" w:rsidRPr="00951A56">
        <w:rPr>
          <w:rFonts w:hAnsi="標楷體" w:cs="新細明體"/>
          <w:kern w:val="0"/>
          <w:szCs w:val="32"/>
          <w:lang w:val="x-none"/>
        </w:rPr>
        <w:t>109</w:t>
      </w:r>
      <w:proofErr w:type="gramEnd"/>
      <w:r w:rsidR="00F647F7" w:rsidRPr="00951A56">
        <w:rPr>
          <w:rFonts w:hAnsi="標楷體" w:cs="新細明體" w:hint="eastAsia"/>
          <w:kern w:val="0"/>
          <w:szCs w:val="32"/>
          <w:lang w:val="x-none"/>
        </w:rPr>
        <w:t>年度請上字第</w:t>
      </w:r>
      <w:r w:rsidR="00F647F7" w:rsidRPr="00951A56">
        <w:rPr>
          <w:rFonts w:hAnsi="標楷體" w:cs="新細明體"/>
          <w:kern w:val="0"/>
          <w:szCs w:val="32"/>
          <w:lang w:val="x-none"/>
        </w:rPr>
        <w:t>63</w:t>
      </w:r>
      <w:r w:rsidR="00F647F7" w:rsidRPr="00951A56">
        <w:rPr>
          <w:rFonts w:hAnsi="標楷體" w:cs="新細明體" w:hint="eastAsia"/>
          <w:kern w:val="0"/>
          <w:szCs w:val="32"/>
          <w:lang w:val="x-none"/>
        </w:rPr>
        <w:t>號聲請回復原狀暨上訴書，</w:t>
      </w:r>
      <w:r w:rsidR="00C12F8B" w:rsidRPr="00951A56">
        <w:rPr>
          <w:rFonts w:hAnsi="標楷體" w:cs="標楷體" w:hint="eastAsia"/>
          <w:szCs w:val="32"/>
        </w:rPr>
        <w:t>上訴理由</w:t>
      </w:r>
      <w:r w:rsidR="006929C3" w:rsidRPr="00951A56">
        <w:rPr>
          <w:rFonts w:hAnsi="標楷體" w:cs="標楷體" w:hint="eastAsia"/>
          <w:szCs w:val="32"/>
        </w:rPr>
        <w:t>「</w:t>
      </w:r>
      <w:r w:rsidR="006929C3" w:rsidRPr="00951A56">
        <w:rPr>
          <w:rFonts w:hint="eastAsia"/>
          <w:szCs w:val="32"/>
          <w:lang w:val="x-none"/>
        </w:rPr>
        <w:t>原審認被告江錦雀犯殺人罪，處有期徒刑13年，固</w:t>
      </w:r>
      <w:proofErr w:type="gramStart"/>
      <w:r w:rsidR="006929C3" w:rsidRPr="00951A56">
        <w:rPr>
          <w:rFonts w:hint="eastAsia"/>
          <w:szCs w:val="32"/>
          <w:lang w:val="x-none"/>
        </w:rPr>
        <w:t>非無見</w:t>
      </w:r>
      <w:proofErr w:type="gramEnd"/>
      <w:r w:rsidR="006929C3" w:rsidRPr="00951A56">
        <w:rPr>
          <w:rFonts w:hint="eastAsia"/>
          <w:szCs w:val="32"/>
          <w:lang w:val="x-none"/>
        </w:rPr>
        <w:t>。</w:t>
      </w:r>
      <w:proofErr w:type="gramStart"/>
      <w:r w:rsidR="006929C3" w:rsidRPr="00951A56">
        <w:rPr>
          <w:rFonts w:hint="eastAsia"/>
          <w:szCs w:val="32"/>
          <w:lang w:val="x-none"/>
        </w:rPr>
        <w:t>惟</w:t>
      </w:r>
      <w:proofErr w:type="gramEnd"/>
      <w:r w:rsidR="006929C3" w:rsidRPr="00951A56">
        <w:rPr>
          <w:rFonts w:hint="eastAsia"/>
          <w:szCs w:val="32"/>
          <w:lang w:val="x-none"/>
        </w:rPr>
        <w:t>刑罰</w:t>
      </w:r>
      <w:proofErr w:type="gramStart"/>
      <w:r w:rsidR="006929C3" w:rsidRPr="00951A56">
        <w:rPr>
          <w:rFonts w:hint="eastAsia"/>
          <w:szCs w:val="32"/>
          <w:lang w:val="x-none"/>
        </w:rPr>
        <w:t>之量定</w:t>
      </w:r>
      <w:proofErr w:type="gramEnd"/>
      <w:r w:rsidR="006929C3" w:rsidRPr="00951A56">
        <w:rPr>
          <w:rFonts w:hint="eastAsia"/>
          <w:szCs w:val="32"/>
          <w:lang w:val="x-none"/>
        </w:rPr>
        <w:t>，固屬法院自由裁量之職權行使，惟刑事審判之量刑，在於實現刑罰權之分配的正義，故法院對科刑判決之被告量刑，應符合罪刑相當原則，</w:t>
      </w:r>
      <w:proofErr w:type="gramStart"/>
      <w:r w:rsidR="006929C3" w:rsidRPr="00951A56">
        <w:rPr>
          <w:rFonts w:hint="eastAsia"/>
          <w:szCs w:val="32"/>
          <w:lang w:val="x-none"/>
        </w:rPr>
        <w:t>使罰當</w:t>
      </w:r>
      <w:proofErr w:type="gramEnd"/>
      <w:r w:rsidR="006929C3" w:rsidRPr="00951A56">
        <w:rPr>
          <w:rFonts w:hint="eastAsia"/>
          <w:szCs w:val="32"/>
          <w:lang w:val="x-none"/>
        </w:rPr>
        <w:t>其罪，以契合人民之法律感情，此所以刑法第57條明</w:t>
      </w:r>
      <w:proofErr w:type="gramStart"/>
      <w:r w:rsidR="006929C3" w:rsidRPr="00951A56">
        <w:rPr>
          <w:rFonts w:hint="eastAsia"/>
          <w:szCs w:val="32"/>
          <w:lang w:val="x-none"/>
        </w:rPr>
        <w:t>定科刑時</w:t>
      </w:r>
      <w:proofErr w:type="gramEnd"/>
      <w:r w:rsidR="006929C3" w:rsidRPr="00951A56">
        <w:rPr>
          <w:rFonts w:hint="eastAsia"/>
          <w:szCs w:val="32"/>
          <w:lang w:val="x-none"/>
        </w:rPr>
        <w:t>應審酌一切情狀，尤應注意該條所列各款情形，以為科刑輕重之標準</w:t>
      </w:r>
      <w:r w:rsidR="006929C3" w:rsidRPr="00951A56">
        <w:rPr>
          <w:rFonts w:hAnsi="標楷體" w:cs="標楷體" w:hint="eastAsia"/>
          <w:szCs w:val="32"/>
        </w:rPr>
        <w:t>」、「</w:t>
      </w:r>
      <w:r w:rsidR="006929C3" w:rsidRPr="00951A56">
        <w:rPr>
          <w:rFonts w:hint="eastAsia"/>
          <w:szCs w:val="32"/>
          <w:lang w:val="x-none"/>
        </w:rPr>
        <w:t>被告於本案發生後未能與被害人家屬達成和解並賠償損害，亦未能獲得被害人家屬之諒解，難認其犯後態度良好，應有從重量刑之必要，</w:t>
      </w:r>
      <w:proofErr w:type="gramStart"/>
      <w:r w:rsidR="006929C3" w:rsidRPr="00951A56">
        <w:rPr>
          <w:rFonts w:hint="eastAsia"/>
          <w:szCs w:val="32"/>
          <w:lang w:val="x-none"/>
        </w:rPr>
        <w:t>原審僅量處</w:t>
      </w:r>
      <w:proofErr w:type="gramEnd"/>
      <w:r w:rsidR="006929C3" w:rsidRPr="00951A56">
        <w:rPr>
          <w:rFonts w:hint="eastAsia"/>
          <w:szCs w:val="32"/>
          <w:lang w:val="x-none"/>
        </w:rPr>
        <w:t>有期徒刑13年，實屬過輕</w:t>
      </w:r>
      <w:r w:rsidR="006929C3" w:rsidRPr="00951A56">
        <w:rPr>
          <w:rFonts w:hAnsi="標楷體" w:cs="標楷體" w:hint="eastAsia"/>
          <w:szCs w:val="32"/>
        </w:rPr>
        <w:t>」</w:t>
      </w:r>
      <w:r w:rsidR="00C12F8B" w:rsidRPr="00951A56">
        <w:rPr>
          <w:rFonts w:hAnsi="標楷體" w:cs="標楷體" w:hint="eastAsia"/>
          <w:szCs w:val="32"/>
        </w:rPr>
        <w:t>，</w:t>
      </w:r>
      <w:r w:rsidR="0086534C" w:rsidRPr="00951A56">
        <w:rPr>
          <w:rFonts w:hAnsi="標楷體" w:cs="新細明體" w:hint="eastAsia"/>
          <w:kern w:val="0"/>
          <w:szCs w:val="32"/>
          <w:lang w:val="x-none"/>
        </w:rPr>
        <w:t>檢察官</w:t>
      </w:r>
      <w:r w:rsidR="00F7428B" w:rsidRPr="00951A56">
        <w:rPr>
          <w:rFonts w:hAnsi="標楷體" w:cs="新細明體" w:hint="eastAsia"/>
          <w:kern w:val="0"/>
          <w:szCs w:val="32"/>
          <w:lang w:val="x-none"/>
        </w:rPr>
        <w:t>論告及上訴理由均</w:t>
      </w:r>
      <w:r w:rsidR="0086534C" w:rsidRPr="00951A56">
        <w:rPr>
          <w:rFonts w:hAnsi="標楷體" w:cs="標楷體" w:hint="eastAsia"/>
          <w:szCs w:val="32"/>
        </w:rPr>
        <w:t>提及</w:t>
      </w:r>
      <w:r w:rsidR="00F7543C" w:rsidRPr="00951A56">
        <w:rPr>
          <w:rFonts w:hAnsi="標楷體" w:cs="標楷體" w:hint="eastAsia"/>
          <w:szCs w:val="32"/>
        </w:rPr>
        <w:t>被告與家屬未</w:t>
      </w:r>
      <w:r w:rsidR="00F7428B" w:rsidRPr="00951A56">
        <w:rPr>
          <w:rFonts w:hAnsi="標楷體" w:cs="標楷體" w:hint="eastAsia"/>
          <w:szCs w:val="32"/>
        </w:rPr>
        <w:t>達</w:t>
      </w:r>
      <w:r w:rsidR="00F7543C" w:rsidRPr="00951A56">
        <w:rPr>
          <w:rFonts w:hAnsi="標楷體" w:cs="標楷體" w:hint="eastAsia"/>
          <w:szCs w:val="32"/>
        </w:rPr>
        <w:t>和解</w:t>
      </w:r>
      <w:r w:rsidR="00C12F8B" w:rsidRPr="00951A56">
        <w:rPr>
          <w:rFonts w:hAnsi="標楷體" w:cs="標楷體" w:hint="eastAsia"/>
          <w:szCs w:val="32"/>
        </w:rPr>
        <w:t>、</w:t>
      </w:r>
      <w:r w:rsidR="00F7543C" w:rsidRPr="00951A56">
        <w:rPr>
          <w:rFonts w:hAnsi="標楷體" w:cs="標楷體" w:hint="eastAsia"/>
          <w:szCs w:val="32"/>
        </w:rPr>
        <w:t>罪刑相當原則</w:t>
      </w:r>
      <w:r w:rsidR="00F7428B" w:rsidRPr="00951A56">
        <w:rPr>
          <w:rFonts w:hAnsi="標楷體" w:cs="標楷體" w:hint="eastAsia"/>
          <w:szCs w:val="32"/>
        </w:rPr>
        <w:t>等</w:t>
      </w:r>
      <w:r w:rsidR="00C12F8B" w:rsidRPr="00951A56">
        <w:rPr>
          <w:rFonts w:hAnsi="標楷體" w:cs="標楷體" w:hint="eastAsia"/>
          <w:szCs w:val="32"/>
        </w:rPr>
        <w:t>。</w:t>
      </w:r>
      <w:r w:rsidR="0032561F" w:rsidRPr="00951A56">
        <w:rPr>
          <w:rFonts w:hAnsi="標楷體" w:cs="標楷體" w:hint="eastAsia"/>
          <w:szCs w:val="32"/>
        </w:rPr>
        <w:t>故</w:t>
      </w:r>
      <w:r w:rsidR="000F7A44" w:rsidRPr="00951A56">
        <w:rPr>
          <w:rFonts w:hAnsi="標楷體" w:cs="細明體" w:hint="eastAsia"/>
          <w:kern w:val="0"/>
          <w:szCs w:val="24"/>
          <w:lang w:val="x-none"/>
        </w:rPr>
        <w:t>屏東地檢署檢察官</w:t>
      </w:r>
      <w:r w:rsidR="003942FA">
        <w:rPr>
          <w:rFonts w:hAnsi="標楷體" w:cs="細明體" w:hint="eastAsia"/>
          <w:kern w:val="0"/>
          <w:szCs w:val="24"/>
          <w:lang w:val="x-none"/>
        </w:rPr>
        <w:t>施○○</w:t>
      </w:r>
      <w:r w:rsidR="000F7A44" w:rsidRPr="00951A56">
        <w:rPr>
          <w:rFonts w:hAnsi="標楷體" w:cs="細明體" w:hint="eastAsia"/>
          <w:kern w:val="0"/>
          <w:szCs w:val="24"/>
          <w:lang w:val="x-none"/>
        </w:rPr>
        <w:t>，已知悉被告與被害人家屬未達和解，並請求從重量刑</w:t>
      </w:r>
      <w:r w:rsidR="009E50D4" w:rsidRPr="00951A56">
        <w:rPr>
          <w:rFonts w:hAnsi="標楷體" w:cs="細明體" w:hint="eastAsia"/>
          <w:kern w:val="0"/>
          <w:szCs w:val="24"/>
          <w:lang w:val="x-none"/>
        </w:rPr>
        <w:t>等情</w:t>
      </w:r>
      <w:r w:rsidR="000F7A44" w:rsidRPr="00951A56">
        <w:rPr>
          <w:rFonts w:hAnsi="標楷體" w:cs="細明體" w:hint="eastAsia"/>
          <w:kern w:val="0"/>
          <w:szCs w:val="24"/>
          <w:lang w:val="x-none"/>
        </w:rPr>
        <w:t>，又</w:t>
      </w:r>
      <w:r w:rsidR="0086534C" w:rsidRPr="00951A56">
        <w:rPr>
          <w:rFonts w:hAnsi="標楷體" w:cs="標楷體" w:hint="eastAsia"/>
          <w:szCs w:val="32"/>
        </w:rPr>
        <w:t>109年5月</w:t>
      </w:r>
      <w:r w:rsidR="00C12F8B" w:rsidRPr="00951A56">
        <w:rPr>
          <w:rFonts w:hAnsi="標楷體" w:cs="標楷體" w:hint="eastAsia"/>
          <w:szCs w:val="32"/>
        </w:rPr>
        <w:t>20</w:t>
      </w:r>
      <w:r w:rsidR="0086534C" w:rsidRPr="00951A56">
        <w:rPr>
          <w:rFonts w:hAnsi="標楷體" w:cs="標楷體" w:hint="eastAsia"/>
          <w:szCs w:val="32"/>
        </w:rPr>
        <w:t>日</w:t>
      </w:r>
      <w:r w:rsidR="00540D49" w:rsidRPr="00951A56">
        <w:rPr>
          <w:rFonts w:hAnsi="標楷體" w:cs="標楷體" w:hint="eastAsia"/>
          <w:szCs w:val="32"/>
        </w:rPr>
        <w:t>檢察官</w:t>
      </w:r>
      <w:r w:rsidR="00C12F8B" w:rsidRPr="00951A56">
        <w:rPr>
          <w:rFonts w:hAnsi="標楷體" w:cs="標楷體" w:hint="eastAsia"/>
          <w:szCs w:val="32"/>
        </w:rPr>
        <w:t>收到</w:t>
      </w:r>
      <w:r w:rsidR="00110A4A" w:rsidRPr="00951A56">
        <w:rPr>
          <w:rFonts w:hAnsi="標楷體" w:cs="標楷體" w:hint="eastAsia"/>
          <w:szCs w:val="32"/>
        </w:rPr>
        <w:t>法院</w:t>
      </w:r>
      <w:r w:rsidR="00540D49" w:rsidRPr="00951A56">
        <w:rPr>
          <w:rFonts w:hAnsi="標楷體" w:cs="標楷體" w:hint="eastAsia"/>
          <w:szCs w:val="32"/>
        </w:rPr>
        <w:t>判決書時</w:t>
      </w:r>
      <w:r w:rsidR="00C12F8B" w:rsidRPr="00951A56">
        <w:rPr>
          <w:rFonts w:hAnsi="標楷體" w:cs="標楷體" w:hint="eastAsia"/>
          <w:szCs w:val="32"/>
        </w:rPr>
        <w:t>，</w:t>
      </w:r>
      <w:r w:rsidR="00110A4A" w:rsidRPr="00951A56">
        <w:rPr>
          <w:rFonts w:hAnsi="標楷體" w:cs="標楷體" w:hint="eastAsia"/>
          <w:szCs w:val="32"/>
        </w:rPr>
        <w:t>上訴</w:t>
      </w:r>
      <w:r w:rsidR="00540D49" w:rsidRPr="00951A56">
        <w:rPr>
          <w:rFonts w:hAnsi="標楷體" w:cs="標楷體" w:hint="eastAsia"/>
          <w:szCs w:val="32"/>
        </w:rPr>
        <w:t>書所載</w:t>
      </w:r>
      <w:r w:rsidR="00110A4A" w:rsidRPr="00951A56">
        <w:rPr>
          <w:rFonts w:hAnsi="標楷體" w:cs="標楷體" w:hint="eastAsia"/>
          <w:szCs w:val="32"/>
        </w:rPr>
        <w:t>被告與家屬未和解、罪刑相當原則</w:t>
      </w:r>
      <w:r w:rsidR="00540D49" w:rsidRPr="00951A56">
        <w:rPr>
          <w:rFonts w:hAnsi="標楷體" w:cs="標楷體" w:hint="eastAsia"/>
          <w:szCs w:val="32"/>
        </w:rPr>
        <w:t>等理由</w:t>
      </w:r>
      <w:r w:rsidR="00110A4A" w:rsidRPr="00951A56">
        <w:rPr>
          <w:rFonts w:hAnsi="標楷體" w:cs="標楷體" w:hint="eastAsia"/>
          <w:szCs w:val="32"/>
        </w:rPr>
        <w:t>既已</w:t>
      </w:r>
      <w:r w:rsidR="00540D49" w:rsidRPr="00951A56">
        <w:rPr>
          <w:rFonts w:hAnsi="標楷體" w:cs="標楷體" w:hint="eastAsia"/>
          <w:szCs w:val="32"/>
        </w:rPr>
        <w:t>存在，</w:t>
      </w:r>
      <w:r w:rsidR="00110A4A" w:rsidRPr="00951A56">
        <w:rPr>
          <w:rFonts w:hAnsi="標楷體" w:cs="標楷體" w:hint="eastAsia"/>
          <w:szCs w:val="32"/>
        </w:rPr>
        <w:t>亦為</w:t>
      </w:r>
      <w:r w:rsidR="00540D49" w:rsidRPr="00951A56">
        <w:rPr>
          <w:rFonts w:hAnsi="標楷體" w:cs="標楷體" w:hint="eastAsia"/>
          <w:szCs w:val="32"/>
        </w:rPr>
        <w:t>檢察官收</w:t>
      </w:r>
      <w:r w:rsidR="00066BE8" w:rsidRPr="00951A56">
        <w:rPr>
          <w:rFonts w:hAnsi="標楷體" w:cs="標楷體" w:hint="eastAsia"/>
          <w:szCs w:val="32"/>
        </w:rPr>
        <w:t>受</w:t>
      </w:r>
      <w:r w:rsidR="00540D49" w:rsidRPr="00951A56">
        <w:rPr>
          <w:rFonts w:hAnsi="標楷體" w:cs="標楷體" w:hint="eastAsia"/>
          <w:szCs w:val="32"/>
        </w:rPr>
        <w:t>判</w:t>
      </w:r>
      <w:r w:rsidR="00066BE8" w:rsidRPr="00951A56">
        <w:rPr>
          <w:rFonts w:hAnsi="標楷體" w:cs="標楷體" w:hint="eastAsia"/>
          <w:szCs w:val="32"/>
        </w:rPr>
        <w:t>決書</w:t>
      </w:r>
      <w:r w:rsidR="00110A4A" w:rsidRPr="00951A56">
        <w:rPr>
          <w:rFonts w:hAnsi="標楷體" w:cs="標楷體" w:hint="eastAsia"/>
          <w:szCs w:val="32"/>
        </w:rPr>
        <w:t>時所</w:t>
      </w:r>
      <w:r w:rsidR="00540D49" w:rsidRPr="00951A56">
        <w:rPr>
          <w:rFonts w:hAnsi="標楷體" w:cs="標楷體" w:hint="eastAsia"/>
          <w:szCs w:val="32"/>
        </w:rPr>
        <w:t>知悉</w:t>
      </w:r>
      <w:r w:rsidR="00C12F8B" w:rsidRPr="00951A56">
        <w:rPr>
          <w:rFonts w:hAnsi="標楷體" w:cs="標楷體" w:hint="eastAsia"/>
          <w:szCs w:val="32"/>
        </w:rPr>
        <w:t>，</w:t>
      </w:r>
      <w:r w:rsidR="00110A4A" w:rsidRPr="00951A56">
        <w:rPr>
          <w:rFonts w:hAnsi="標楷體" w:cs="標楷體" w:hint="eastAsia"/>
          <w:szCs w:val="32"/>
        </w:rPr>
        <w:t>檢察官</w:t>
      </w:r>
      <w:r w:rsidR="00540D49" w:rsidRPr="00951A56">
        <w:rPr>
          <w:rFonts w:hAnsi="標楷體" w:cs="標楷體" w:hint="eastAsia"/>
          <w:szCs w:val="32"/>
        </w:rPr>
        <w:t>卻</w:t>
      </w:r>
      <w:r w:rsidR="00C12F8B" w:rsidRPr="00951A56">
        <w:rPr>
          <w:rFonts w:hAnsi="標楷體" w:cs="標楷體" w:hint="eastAsia"/>
          <w:szCs w:val="32"/>
        </w:rPr>
        <w:t>未提</w:t>
      </w:r>
      <w:r w:rsidR="00540D49" w:rsidRPr="00951A56">
        <w:rPr>
          <w:rFonts w:hAnsi="標楷體" w:cs="標楷體" w:hint="eastAsia"/>
          <w:szCs w:val="32"/>
        </w:rPr>
        <w:t>起</w:t>
      </w:r>
      <w:r w:rsidR="00C12F8B" w:rsidRPr="00951A56">
        <w:rPr>
          <w:rFonts w:hAnsi="標楷體" w:cs="標楷體" w:hint="eastAsia"/>
          <w:szCs w:val="32"/>
        </w:rPr>
        <w:t>上訴，</w:t>
      </w:r>
      <w:r w:rsidR="00540D49" w:rsidRPr="00951A56">
        <w:rPr>
          <w:rFonts w:hAnsi="標楷體" w:cs="標楷體" w:hint="eastAsia"/>
          <w:szCs w:val="32"/>
        </w:rPr>
        <w:t>實</w:t>
      </w:r>
      <w:r w:rsidR="00C12F8B" w:rsidRPr="00951A56">
        <w:rPr>
          <w:rFonts w:hAnsi="標楷體" w:cs="標楷體" w:hint="eastAsia"/>
          <w:szCs w:val="32"/>
        </w:rPr>
        <w:t>有矛盾</w:t>
      </w:r>
      <w:r w:rsidR="002F4CC8" w:rsidRPr="00951A56">
        <w:rPr>
          <w:rFonts w:hAnsi="標楷體" w:cs="標楷體" w:hint="eastAsia"/>
          <w:szCs w:val="32"/>
        </w:rPr>
        <w:t>，</w:t>
      </w:r>
      <w:r w:rsidR="00110A4A" w:rsidRPr="00951A56">
        <w:rPr>
          <w:rFonts w:hAnsi="標楷體" w:cs="標楷體" w:hint="eastAsia"/>
          <w:szCs w:val="32"/>
        </w:rPr>
        <w:t>可</w:t>
      </w:r>
      <w:r w:rsidR="0086534C" w:rsidRPr="00951A56">
        <w:rPr>
          <w:rFonts w:hAnsi="標楷體" w:cs="標楷體" w:hint="eastAsia"/>
          <w:szCs w:val="32"/>
        </w:rPr>
        <w:t>見檢察官</w:t>
      </w:r>
      <w:r w:rsidR="009E50D4" w:rsidRPr="00951A56">
        <w:rPr>
          <w:rFonts w:hAnsi="標楷體" w:cs="標楷體" w:hint="eastAsia"/>
          <w:szCs w:val="32"/>
        </w:rPr>
        <w:t>執行職務提起上訴之論理</w:t>
      </w:r>
      <w:r w:rsidR="002F4CC8" w:rsidRPr="00951A56">
        <w:rPr>
          <w:rFonts w:hAnsi="標楷體" w:cs="標楷體" w:hint="eastAsia"/>
          <w:szCs w:val="32"/>
        </w:rPr>
        <w:t>已有瑕疵</w:t>
      </w:r>
      <w:r w:rsidR="00453DE8" w:rsidRPr="00951A56">
        <w:rPr>
          <w:rFonts w:hAnsi="標楷體" w:cs="細明體" w:hint="eastAsia"/>
          <w:kern w:val="0"/>
          <w:szCs w:val="24"/>
          <w:lang w:val="x-none"/>
        </w:rPr>
        <w:t>。</w:t>
      </w:r>
    </w:p>
    <w:p w:rsidR="003A5927" w:rsidRPr="00951A56" w:rsidRDefault="002C618B" w:rsidP="0020419A">
      <w:pPr>
        <w:pStyle w:val="3"/>
        <w:rPr>
          <w:rFonts w:hAnsi="標楷體"/>
          <w:szCs w:val="32"/>
        </w:rPr>
      </w:pPr>
      <w:hyperlink r:id="rId9" w:history="1">
        <w:r w:rsidR="0020419A" w:rsidRPr="00951A56">
          <w:rPr>
            <w:rFonts w:hAnsi="標楷體" w:cs="標楷體"/>
            <w:kern w:val="0"/>
            <w:szCs w:val="32"/>
            <w:lang w:val="x-none"/>
          </w:rPr>
          <w:t>刑事訴訟法第361條</w:t>
        </w:r>
      </w:hyperlink>
      <w:r w:rsidR="0020419A" w:rsidRPr="00951A56">
        <w:rPr>
          <w:rFonts w:hAnsi="標楷體" w:cs="標楷體" w:hint="eastAsia"/>
          <w:kern w:val="0"/>
          <w:szCs w:val="32"/>
          <w:lang w:val="x-none"/>
        </w:rPr>
        <w:t>第1項規定:「不服地方法院之第一審判決而上訴者，應向管轄第二審之高等法院為之。上訴</w:t>
      </w:r>
      <w:proofErr w:type="gramStart"/>
      <w:r w:rsidR="0020419A" w:rsidRPr="00951A56">
        <w:rPr>
          <w:rFonts w:hAnsi="標楷體" w:cs="標楷體" w:hint="eastAsia"/>
          <w:kern w:val="0"/>
          <w:szCs w:val="32"/>
          <w:lang w:val="x-none"/>
        </w:rPr>
        <w:t>書狀應敘述</w:t>
      </w:r>
      <w:proofErr w:type="gramEnd"/>
      <w:r w:rsidR="0020419A" w:rsidRPr="00951A56">
        <w:rPr>
          <w:rFonts w:hAnsi="標楷體" w:cs="標楷體" w:hint="eastAsia"/>
          <w:kern w:val="0"/>
          <w:szCs w:val="32"/>
          <w:lang w:val="x-none"/>
        </w:rPr>
        <w:t>具體理由。」所謂具體理由，</w:t>
      </w:r>
      <w:r w:rsidR="0020419A" w:rsidRPr="00951A56">
        <w:rPr>
          <w:rFonts w:hAnsi="標楷體" w:cs="標楷體"/>
          <w:kern w:val="0"/>
          <w:szCs w:val="32"/>
          <w:lang w:val="x-none"/>
        </w:rPr>
        <w:t>法院辦理刑事訴訟案件應行注意事項第162點指出</w:t>
      </w:r>
      <w:r w:rsidR="0020419A" w:rsidRPr="00951A56">
        <w:rPr>
          <w:rFonts w:hAnsi="標楷體" w:cs="標楷體" w:hint="eastAsia"/>
          <w:kern w:val="0"/>
          <w:szCs w:val="32"/>
          <w:lang w:val="x-none"/>
        </w:rPr>
        <w:t>，</w:t>
      </w:r>
      <w:r w:rsidR="0020419A" w:rsidRPr="00951A56">
        <w:rPr>
          <w:rFonts w:hAnsi="標楷體" w:cs="標楷體"/>
          <w:kern w:val="0"/>
          <w:szCs w:val="32"/>
          <w:lang w:val="x-none"/>
        </w:rPr>
        <w:t>須就不服之判決為具體之指摘，如僅泛稱原判決認事用法或量刑不當、</w:t>
      </w:r>
      <w:proofErr w:type="gramStart"/>
      <w:r w:rsidR="0020419A" w:rsidRPr="00951A56">
        <w:rPr>
          <w:rFonts w:hAnsi="標楷體" w:cs="標楷體"/>
          <w:kern w:val="0"/>
          <w:szCs w:val="32"/>
          <w:lang w:val="x-none"/>
        </w:rPr>
        <w:t>採</w:t>
      </w:r>
      <w:proofErr w:type="gramEnd"/>
      <w:r w:rsidR="0020419A" w:rsidRPr="00951A56">
        <w:rPr>
          <w:rFonts w:hAnsi="標楷體" w:cs="標楷體"/>
          <w:kern w:val="0"/>
          <w:szCs w:val="32"/>
          <w:lang w:val="x-none"/>
        </w:rPr>
        <w:t>證違法、判決不公等，</w:t>
      </w:r>
      <w:proofErr w:type="gramStart"/>
      <w:r w:rsidR="0020419A" w:rsidRPr="00951A56">
        <w:rPr>
          <w:rFonts w:hAnsi="標楷體" w:cs="標楷體"/>
          <w:kern w:val="0"/>
          <w:szCs w:val="32"/>
          <w:lang w:val="x-none"/>
        </w:rPr>
        <w:t>均非具體</w:t>
      </w:r>
      <w:proofErr w:type="gramEnd"/>
      <w:r w:rsidR="0020419A" w:rsidRPr="00951A56">
        <w:rPr>
          <w:rFonts w:hAnsi="標楷體" w:cs="標楷體"/>
          <w:kern w:val="0"/>
          <w:szCs w:val="32"/>
          <w:lang w:val="x-none"/>
        </w:rPr>
        <w:t>理由</w:t>
      </w:r>
      <w:r w:rsidR="0020419A" w:rsidRPr="00951A56">
        <w:rPr>
          <w:rFonts w:hAnsi="標楷體" w:cs="標楷體" w:hint="eastAsia"/>
          <w:kern w:val="0"/>
          <w:szCs w:val="32"/>
          <w:lang w:val="x-none"/>
        </w:rPr>
        <w:t>(</w:t>
      </w:r>
      <w:proofErr w:type="spellStart"/>
      <w:r w:rsidR="0020419A" w:rsidRPr="00951A56">
        <w:rPr>
          <w:rFonts w:hAnsi="標楷體" w:cs="標楷體" w:hint="eastAsia"/>
          <w:kern w:val="0"/>
          <w:szCs w:val="32"/>
          <w:lang w:val="x-none"/>
        </w:rPr>
        <w:t>最高法院</w:t>
      </w:r>
      <w:proofErr w:type="spellEnd"/>
      <w:proofErr w:type="gramStart"/>
      <w:r w:rsidR="0020419A" w:rsidRPr="00951A56">
        <w:rPr>
          <w:rFonts w:hAnsi="標楷體" w:cs="標楷體"/>
          <w:kern w:val="0"/>
          <w:szCs w:val="32"/>
          <w:lang w:val="x-none"/>
        </w:rPr>
        <w:t>100</w:t>
      </w:r>
      <w:proofErr w:type="gramEnd"/>
      <w:r w:rsidR="0020419A" w:rsidRPr="00951A56">
        <w:rPr>
          <w:rFonts w:hAnsi="標楷體" w:cs="標楷體" w:hint="eastAsia"/>
          <w:kern w:val="0"/>
          <w:szCs w:val="32"/>
          <w:lang w:val="x-none"/>
        </w:rPr>
        <w:t>年度台上字第</w:t>
      </w:r>
      <w:r w:rsidR="0020419A" w:rsidRPr="00951A56">
        <w:rPr>
          <w:rFonts w:hAnsi="標楷體" w:cs="標楷體"/>
          <w:kern w:val="0"/>
          <w:szCs w:val="32"/>
          <w:lang w:val="x-none"/>
        </w:rPr>
        <w:t>1660</w:t>
      </w:r>
      <w:r w:rsidR="0020419A" w:rsidRPr="00951A56">
        <w:rPr>
          <w:rFonts w:hAnsi="標楷體" w:cs="標楷體" w:hint="eastAsia"/>
          <w:kern w:val="0"/>
          <w:szCs w:val="32"/>
          <w:lang w:val="x-none"/>
        </w:rPr>
        <w:t>號</w:t>
      </w:r>
      <w:r w:rsidR="0020419A" w:rsidRPr="00951A56">
        <w:rPr>
          <w:rFonts w:hAnsi="標楷體" w:cs="標楷體" w:hint="eastAsia"/>
          <w:kern w:val="0"/>
          <w:szCs w:val="32"/>
          <w:lang w:val="x-none"/>
        </w:rPr>
        <w:lastRenderedPageBreak/>
        <w:t>刑事裁判、最高法院</w:t>
      </w:r>
      <w:proofErr w:type="gramStart"/>
      <w:r w:rsidR="0020419A" w:rsidRPr="00951A56">
        <w:rPr>
          <w:rFonts w:hAnsi="標楷體" w:cs="標楷體"/>
          <w:kern w:val="0"/>
          <w:szCs w:val="32"/>
          <w:lang w:val="x-none"/>
        </w:rPr>
        <w:t>100</w:t>
      </w:r>
      <w:proofErr w:type="gramEnd"/>
      <w:r w:rsidR="0020419A" w:rsidRPr="00951A56">
        <w:rPr>
          <w:rFonts w:hAnsi="標楷體" w:cs="標楷體" w:hint="eastAsia"/>
          <w:kern w:val="0"/>
          <w:szCs w:val="32"/>
          <w:lang w:val="x-none"/>
        </w:rPr>
        <w:t>年度台上字第</w:t>
      </w:r>
      <w:r w:rsidR="0020419A" w:rsidRPr="00951A56">
        <w:rPr>
          <w:rFonts w:hAnsi="標楷體" w:cs="標楷體"/>
          <w:kern w:val="0"/>
          <w:szCs w:val="32"/>
          <w:lang w:val="x-none"/>
        </w:rPr>
        <w:t>3055</w:t>
      </w:r>
      <w:r w:rsidR="0020419A" w:rsidRPr="00951A56">
        <w:rPr>
          <w:rFonts w:hAnsi="標楷體" w:cs="標楷體" w:hint="eastAsia"/>
          <w:kern w:val="0"/>
          <w:szCs w:val="32"/>
          <w:lang w:val="x-none"/>
        </w:rPr>
        <w:t>號刑事裁判見解亦同)</w:t>
      </w:r>
      <w:r w:rsidR="0020419A" w:rsidRPr="00951A56">
        <w:rPr>
          <w:rFonts w:hAnsi="標楷體" w:cs="標楷體"/>
          <w:kern w:val="0"/>
          <w:szCs w:val="32"/>
          <w:lang w:val="x-none"/>
        </w:rPr>
        <w:t>。</w:t>
      </w:r>
      <w:r w:rsidR="0020419A" w:rsidRPr="00951A56">
        <w:rPr>
          <w:rFonts w:hAnsi="標楷體" w:cs="標楷體" w:hint="eastAsia"/>
          <w:kern w:val="0"/>
          <w:szCs w:val="32"/>
          <w:lang w:val="x-none"/>
        </w:rPr>
        <w:t>因此，指明第一審判決相關事項有違誤或有未盡調查之事證者，即屬上訴有理由，縱使該事由經調查為不可</w:t>
      </w:r>
      <w:proofErr w:type="gramStart"/>
      <w:r w:rsidR="0020419A" w:rsidRPr="00951A56">
        <w:rPr>
          <w:rFonts w:hAnsi="標楷體" w:cs="標楷體" w:hint="eastAsia"/>
          <w:kern w:val="0"/>
          <w:szCs w:val="32"/>
          <w:lang w:val="x-none"/>
        </w:rPr>
        <w:t>採</w:t>
      </w:r>
      <w:proofErr w:type="gramEnd"/>
      <w:r w:rsidR="0020419A" w:rsidRPr="00951A56">
        <w:rPr>
          <w:rFonts w:hAnsi="標楷體" w:cs="標楷體" w:hint="eastAsia"/>
          <w:kern w:val="0"/>
          <w:szCs w:val="32"/>
          <w:lang w:val="x-none"/>
        </w:rPr>
        <w:t>者亦同。上訴書狀</w:t>
      </w:r>
      <w:proofErr w:type="gramStart"/>
      <w:r w:rsidR="0020419A" w:rsidRPr="00951A56">
        <w:rPr>
          <w:rFonts w:hAnsi="標楷體" w:cs="標楷體" w:hint="eastAsia"/>
          <w:kern w:val="0"/>
          <w:szCs w:val="32"/>
          <w:lang w:val="x-none"/>
        </w:rPr>
        <w:t>所述原判決</w:t>
      </w:r>
      <w:proofErr w:type="gramEnd"/>
      <w:r w:rsidR="0020419A" w:rsidRPr="00951A56">
        <w:rPr>
          <w:rFonts w:hAnsi="標楷體" w:cs="標楷體" w:hint="eastAsia"/>
          <w:kern w:val="0"/>
          <w:szCs w:val="32"/>
          <w:lang w:val="x-none"/>
        </w:rPr>
        <w:t>如何足以撤銷、如何應予變更之事實上或法律上之具體事項，除其所陳之事由，與訴訟資料所載不相適合者外，倘就形式上觀察已足以動搖原判決使之成為不當或違法而得改判之事由者，</w:t>
      </w:r>
      <w:proofErr w:type="gramStart"/>
      <w:r w:rsidR="0020419A" w:rsidRPr="00951A56">
        <w:rPr>
          <w:rFonts w:hAnsi="標楷體" w:cs="標楷體" w:hint="eastAsia"/>
          <w:kern w:val="0"/>
          <w:szCs w:val="32"/>
          <w:lang w:val="x-none"/>
        </w:rPr>
        <w:t>均應認</w:t>
      </w:r>
      <w:proofErr w:type="gramEnd"/>
      <w:r w:rsidR="0020419A" w:rsidRPr="00951A56">
        <w:rPr>
          <w:rFonts w:hAnsi="標楷體" w:cs="標楷體" w:hint="eastAsia"/>
          <w:kern w:val="0"/>
          <w:szCs w:val="32"/>
          <w:lang w:val="x-none"/>
        </w:rPr>
        <w:t>符合具體之要件(</w:t>
      </w:r>
      <w:proofErr w:type="spellStart"/>
      <w:r w:rsidR="0020419A" w:rsidRPr="00951A56">
        <w:rPr>
          <w:rFonts w:hAnsi="標楷體" w:cs="標楷體" w:hint="eastAsia"/>
          <w:kern w:val="0"/>
          <w:szCs w:val="32"/>
          <w:lang w:val="x-none"/>
        </w:rPr>
        <w:t>最高法院</w:t>
      </w:r>
      <w:proofErr w:type="spellEnd"/>
      <w:proofErr w:type="gramStart"/>
      <w:r w:rsidR="0020419A" w:rsidRPr="00951A56">
        <w:rPr>
          <w:rFonts w:hAnsi="標楷體" w:cs="標楷體"/>
          <w:kern w:val="0"/>
          <w:szCs w:val="32"/>
          <w:lang w:val="x-none"/>
        </w:rPr>
        <w:t>100</w:t>
      </w:r>
      <w:proofErr w:type="gramEnd"/>
      <w:r w:rsidR="0020419A" w:rsidRPr="00951A56">
        <w:rPr>
          <w:rFonts w:hAnsi="標楷體" w:cs="標楷體" w:hint="eastAsia"/>
          <w:kern w:val="0"/>
          <w:szCs w:val="32"/>
          <w:lang w:val="x-none"/>
        </w:rPr>
        <w:t>年度台上字第</w:t>
      </w:r>
      <w:r w:rsidR="0020419A" w:rsidRPr="00951A56">
        <w:rPr>
          <w:rFonts w:hAnsi="標楷體" w:cs="標楷體"/>
          <w:kern w:val="0"/>
          <w:szCs w:val="32"/>
          <w:lang w:val="x-none"/>
        </w:rPr>
        <w:t>1297</w:t>
      </w:r>
      <w:r w:rsidR="0020419A" w:rsidRPr="00951A56">
        <w:rPr>
          <w:rFonts w:hAnsi="標楷體" w:cs="標楷體" w:hint="eastAsia"/>
          <w:kern w:val="0"/>
          <w:szCs w:val="32"/>
          <w:lang w:val="x-none"/>
        </w:rPr>
        <w:t>號刑事裁判)。</w:t>
      </w:r>
      <w:r w:rsidR="00BE0104" w:rsidRPr="00951A56">
        <w:rPr>
          <w:rFonts w:hAnsi="標楷體" w:cs="標楷體" w:hint="eastAsia"/>
          <w:kern w:val="0"/>
          <w:szCs w:val="32"/>
          <w:lang w:val="x-none"/>
        </w:rPr>
        <w:t>查</w:t>
      </w:r>
      <w:r w:rsidR="00A81496" w:rsidRPr="00951A56">
        <w:rPr>
          <w:rFonts w:hAnsi="標楷體" w:cs="新細明體" w:hint="eastAsia"/>
          <w:kern w:val="0"/>
          <w:szCs w:val="32"/>
          <w:lang w:val="x-none"/>
        </w:rPr>
        <w:t>109年6月18日屏東地檢署檢察官</w:t>
      </w:r>
      <w:proofErr w:type="gramStart"/>
      <w:r w:rsidR="00A81496" w:rsidRPr="00951A56">
        <w:rPr>
          <w:rFonts w:hAnsi="標楷體" w:cs="新細明體"/>
          <w:kern w:val="0"/>
          <w:szCs w:val="32"/>
          <w:lang w:val="x-none"/>
        </w:rPr>
        <w:t>109</w:t>
      </w:r>
      <w:proofErr w:type="gramEnd"/>
      <w:r w:rsidR="00A81496" w:rsidRPr="00951A56">
        <w:rPr>
          <w:rFonts w:hAnsi="標楷體" w:cs="新細明體" w:hint="eastAsia"/>
          <w:kern w:val="0"/>
          <w:szCs w:val="32"/>
          <w:lang w:val="x-none"/>
        </w:rPr>
        <w:t>年度請上字第</w:t>
      </w:r>
      <w:r w:rsidR="00A81496" w:rsidRPr="00951A56">
        <w:rPr>
          <w:rFonts w:hAnsi="標楷體" w:cs="新細明體"/>
          <w:kern w:val="0"/>
          <w:szCs w:val="32"/>
          <w:lang w:val="x-none"/>
        </w:rPr>
        <w:t>63</w:t>
      </w:r>
      <w:r w:rsidR="00A81496" w:rsidRPr="00951A56">
        <w:rPr>
          <w:rFonts w:hAnsi="標楷體" w:cs="新細明體" w:hint="eastAsia"/>
          <w:kern w:val="0"/>
          <w:szCs w:val="32"/>
          <w:lang w:val="x-none"/>
        </w:rPr>
        <w:t>號聲請回復原狀暨上訴書之理由「1.原審認被告江錦雀犯殺人罪，處有期徒刑13年，固</w:t>
      </w:r>
      <w:proofErr w:type="gramStart"/>
      <w:r w:rsidR="00A81496" w:rsidRPr="00951A56">
        <w:rPr>
          <w:rFonts w:hAnsi="標楷體" w:cs="新細明體" w:hint="eastAsia"/>
          <w:kern w:val="0"/>
          <w:szCs w:val="32"/>
          <w:lang w:val="x-none"/>
        </w:rPr>
        <w:t>非無見</w:t>
      </w:r>
      <w:proofErr w:type="gramEnd"/>
      <w:r w:rsidR="00A81496" w:rsidRPr="00951A56">
        <w:rPr>
          <w:rFonts w:hAnsi="標楷體" w:cs="新細明體" w:hint="eastAsia"/>
          <w:kern w:val="0"/>
          <w:szCs w:val="32"/>
          <w:lang w:val="x-none"/>
        </w:rPr>
        <w:t>。</w:t>
      </w:r>
      <w:proofErr w:type="gramStart"/>
      <w:r w:rsidR="00A81496" w:rsidRPr="00951A56">
        <w:rPr>
          <w:rFonts w:hAnsi="標楷體" w:cs="新細明體" w:hint="eastAsia"/>
          <w:kern w:val="0"/>
          <w:szCs w:val="32"/>
          <w:lang w:val="x-none"/>
        </w:rPr>
        <w:t>惟</w:t>
      </w:r>
      <w:proofErr w:type="gramEnd"/>
      <w:r w:rsidR="00A81496" w:rsidRPr="00951A56">
        <w:rPr>
          <w:rFonts w:hAnsi="標楷體" w:cs="新細明體" w:hint="eastAsia"/>
          <w:kern w:val="0"/>
          <w:szCs w:val="32"/>
          <w:lang w:val="x-none"/>
        </w:rPr>
        <w:t>刑罰</w:t>
      </w:r>
      <w:proofErr w:type="gramStart"/>
      <w:r w:rsidR="00A81496" w:rsidRPr="00951A56">
        <w:rPr>
          <w:rFonts w:hAnsi="標楷體" w:cs="新細明體" w:hint="eastAsia"/>
          <w:kern w:val="0"/>
          <w:szCs w:val="32"/>
          <w:lang w:val="x-none"/>
        </w:rPr>
        <w:t>之量定</w:t>
      </w:r>
      <w:proofErr w:type="gramEnd"/>
      <w:r w:rsidR="00A81496" w:rsidRPr="00951A56">
        <w:rPr>
          <w:rFonts w:hAnsi="標楷體" w:cs="新細明體" w:hint="eastAsia"/>
          <w:kern w:val="0"/>
          <w:szCs w:val="32"/>
          <w:lang w:val="x-none"/>
        </w:rPr>
        <w:t>，固屬法院自由裁量之職權行使，惟刑事審判之量刑，在於實現刑罰權之分配的正義，故法院對科刑判決之被告量刑，應符合罪刑相當原則，</w:t>
      </w:r>
      <w:proofErr w:type="gramStart"/>
      <w:r w:rsidR="00A81496" w:rsidRPr="00951A56">
        <w:rPr>
          <w:rFonts w:hAnsi="標楷體" w:cs="新細明體" w:hint="eastAsia"/>
          <w:kern w:val="0"/>
          <w:szCs w:val="32"/>
          <w:lang w:val="x-none"/>
        </w:rPr>
        <w:t>使罰當</w:t>
      </w:r>
      <w:proofErr w:type="gramEnd"/>
      <w:r w:rsidR="00A81496" w:rsidRPr="00951A56">
        <w:rPr>
          <w:rFonts w:hAnsi="標楷體" w:cs="新細明體" w:hint="eastAsia"/>
          <w:kern w:val="0"/>
          <w:szCs w:val="32"/>
          <w:lang w:val="x-none"/>
        </w:rPr>
        <w:t>其罪，以契合人民之法律感情，此所以刑法第57條明</w:t>
      </w:r>
      <w:proofErr w:type="gramStart"/>
      <w:r w:rsidR="00A81496" w:rsidRPr="00951A56">
        <w:rPr>
          <w:rFonts w:hAnsi="標楷體" w:cs="新細明體" w:hint="eastAsia"/>
          <w:kern w:val="0"/>
          <w:szCs w:val="32"/>
          <w:lang w:val="x-none"/>
        </w:rPr>
        <w:t>定科刑時</w:t>
      </w:r>
      <w:proofErr w:type="gramEnd"/>
      <w:r w:rsidR="00A81496" w:rsidRPr="00951A56">
        <w:rPr>
          <w:rFonts w:hAnsi="標楷體" w:cs="新細明體" w:hint="eastAsia"/>
          <w:kern w:val="0"/>
          <w:szCs w:val="32"/>
          <w:lang w:val="x-none"/>
        </w:rPr>
        <w:t>應審酌一切情狀，尤應注意該條所列各款情形，以為科刑輕重之標準（最高法院96年度台上字第2357號判決意旨參照）。2.被告於本案發生後未能與被害人家屬達成和解並賠償損害，亦未能獲得被害人家屬之諒解，難認其犯後態度良好，應有從重量刑之必要，</w:t>
      </w:r>
      <w:proofErr w:type="gramStart"/>
      <w:r w:rsidR="00A81496" w:rsidRPr="00951A56">
        <w:rPr>
          <w:rFonts w:hAnsi="標楷體" w:cs="新細明體" w:hint="eastAsia"/>
          <w:kern w:val="0"/>
          <w:szCs w:val="32"/>
          <w:lang w:val="x-none"/>
        </w:rPr>
        <w:t>原審僅量處</w:t>
      </w:r>
      <w:proofErr w:type="gramEnd"/>
      <w:r w:rsidR="00A81496" w:rsidRPr="00951A56">
        <w:rPr>
          <w:rFonts w:hAnsi="標楷體" w:cs="新細明體" w:hint="eastAsia"/>
          <w:kern w:val="0"/>
          <w:szCs w:val="32"/>
          <w:lang w:val="x-none"/>
        </w:rPr>
        <w:t>有期徒刑13年，實屬過輕</w:t>
      </w:r>
      <w:r w:rsidR="00A81496" w:rsidRPr="00951A56">
        <w:rPr>
          <w:rFonts w:hint="eastAsia"/>
        </w:rPr>
        <w:t>。</w:t>
      </w:r>
      <w:r w:rsidR="00A81496" w:rsidRPr="00951A56">
        <w:rPr>
          <w:rFonts w:hAnsi="標楷體" w:hint="eastAsia"/>
        </w:rPr>
        <w:t>」檢察官上訴理由</w:t>
      </w:r>
      <w:r w:rsidR="00F550F1" w:rsidRPr="00951A56">
        <w:rPr>
          <w:rFonts w:hAnsi="標楷體" w:cs="標楷體" w:hint="eastAsia"/>
          <w:szCs w:val="28"/>
        </w:rPr>
        <w:t>僅</w:t>
      </w:r>
      <w:r w:rsidR="00102C74" w:rsidRPr="00951A56">
        <w:rPr>
          <w:rFonts w:hAnsi="標楷體" w:cs="標楷體" w:hint="eastAsia"/>
          <w:szCs w:val="28"/>
        </w:rPr>
        <w:t>論及</w:t>
      </w:r>
      <w:r w:rsidR="00DA099D" w:rsidRPr="00951A56">
        <w:rPr>
          <w:rFonts w:hint="eastAsia"/>
        </w:rPr>
        <w:t>罪刑相當原則、</w:t>
      </w:r>
      <w:r w:rsidR="00F550F1" w:rsidRPr="00951A56">
        <w:rPr>
          <w:rFonts w:hAnsi="標楷體" w:cs="細明體" w:hint="eastAsia"/>
          <w:kern w:val="0"/>
          <w:szCs w:val="24"/>
          <w:lang w:val="x-none"/>
        </w:rPr>
        <w:t>被告</w:t>
      </w:r>
      <w:r w:rsidR="00DA099D" w:rsidRPr="00951A56">
        <w:rPr>
          <w:rFonts w:hint="eastAsia"/>
        </w:rPr>
        <w:t>未能與被害人家屬達成和解並賠償損害</w:t>
      </w:r>
      <w:r w:rsidR="00A81496" w:rsidRPr="00951A56">
        <w:rPr>
          <w:rFonts w:hAnsi="標楷體" w:cs="標楷體" w:hint="eastAsia"/>
          <w:szCs w:val="28"/>
        </w:rPr>
        <w:t>及</w:t>
      </w:r>
      <w:r w:rsidR="00102C74" w:rsidRPr="00951A56">
        <w:rPr>
          <w:rFonts w:hAnsi="標楷體" w:cs="標楷體" w:hint="eastAsia"/>
          <w:szCs w:val="28"/>
        </w:rPr>
        <w:t>量刑過輕</w:t>
      </w:r>
      <w:r w:rsidR="00A81496" w:rsidRPr="00951A56">
        <w:rPr>
          <w:rFonts w:hAnsi="標楷體" w:cs="標楷體" w:hint="eastAsia"/>
          <w:szCs w:val="28"/>
        </w:rPr>
        <w:t>等</w:t>
      </w:r>
      <w:r w:rsidR="00102C74" w:rsidRPr="00951A56">
        <w:rPr>
          <w:rFonts w:hAnsi="標楷體" w:cs="標楷體" w:hint="eastAsia"/>
          <w:szCs w:val="28"/>
        </w:rPr>
        <w:t>，</w:t>
      </w:r>
      <w:r w:rsidR="00A81496" w:rsidRPr="00951A56">
        <w:rPr>
          <w:rFonts w:hAnsi="標楷體" w:cs="標楷體" w:hint="eastAsia"/>
          <w:szCs w:val="28"/>
        </w:rPr>
        <w:t>並</w:t>
      </w:r>
      <w:r w:rsidR="00284718" w:rsidRPr="00951A56">
        <w:rPr>
          <w:rFonts w:hAnsi="標楷體" w:cs="標楷體" w:hint="eastAsia"/>
          <w:szCs w:val="28"/>
        </w:rPr>
        <w:t>未論及原判決認定事實與卷證資料是否有不符之處、是否有瑕疵</w:t>
      </w:r>
      <w:r w:rsidR="00A81496" w:rsidRPr="00951A56">
        <w:rPr>
          <w:rFonts w:hAnsi="標楷體" w:cs="標楷體" w:hint="eastAsia"/>
          <w:szCs w:val="28"/>
        </w:rPr>
        <w:t>或</w:t>
      </w:r>
      <w:r w:rsidR="00F550F1" w:rsidRPr="00951A56">
        <w:rPr>
          <w:rFonts w:hAnsi="標楷體" w:cs="標楷體" w:hint="eastAsia"/>
          <w:szCs w:val="28"/>
        </w:rPr>
        <w:t>是否有</w:t>
      </w:r>
      <w:r w:rsidR="00F550F1" w:rsidRPr="00951A56">
        <w:rPr>
          <w:rFonts w:hAnsi="標楷體" w:cs="標楷體" w:hint="eastAsia"/>
          <w:kern w:val="0"/>
          <w:szCs w:val="32"/>
          <w:lang w:val="x-none"/>
        </w:rPr>
        <w:t>未盡調查之事證</w:t>
      </w:r>
      <w:r w:rsidR="00284718" w:rsidRPr="00951A56">
        <w:rPr>
          <w:rFonts w:hAnsi="標楷體" w:cs="標楷體" w:hint="eastAsia"/>
          <w:szCs w:val="28"/>
        </w:rPr>
        <w:t>等</w:t>
      </w:r>
      <w:r w:rsidR="0020419A" w:rsidRPr="00951A56">
        <w:rPr>
          <w:rFonts w:hAnsi="標楷體" w:cs="標楷體" w:hint="eastAsia"/>
          <w:kern w:val="0"/>
          <w:szCs w:val="32"/>
          <w:lang w:val="x-none"/>
        </w:rPr>
        <w:t>具體事項</w:t>
      </w:r>
      <w:r w:rsidR="00763C58" w:rsidRPr="00951A56">
        <w:rPr>
          <w:rFonts w:hAnsi="標楷體" w:cs="標楷體" w:hint="eastAsia"/>
          <w:szCs w:val="28"/>
        </w:rPr>
        <w:t>，</w:t>
      </w:r>
      <w:proofErr w:type="gramStart"/>
      <w:r w:rsidR="00763C58" w:rsidRPr="00951A56">
        <w:rPr>
          <w:rFonts w:hAnsi="標楷體" w:cs="標楷體" w:hint="eastAsia"/>
          <w:szCs w:val="28"/>
        </w:rPr>
        <w:t>爰</w:t>
      </w:r>
      <w:proofErr w:type="gramEnd"/>
      <w:r w:rsidR="00763C58" w:rsidRPr="00951A56">
        <w:rPr>
          <w:rFonts w:hAnsi="標楷體" w:cs="標楷體" w:hint="eastAsia"/>
          <w:szCs w:val="28"/>
        </w:rPr>
        <w:t>期許</w:t>
      </w:r>
      <w:r w:rsidR="00763C58" w:rsidRPr="00951A56">
        <w:rPr>
          <w:rFonts w:hAnsi="標楷體" w:hint="eastAsia"/>
          <w:szCs w:val="32"/>
        </w:rPr>
        <w:t>檢察官願意耗費</w:t>
      </w:r>
      <w:r w:rsidR="002A48ED" w:rsidRPr="00951A56">
        <w:rPr>
          <w:rFonts w:hAnsi="標楷體" w:hint="eastAsia"/>
          <w:szCs w:val="32"/>
        </w:rPr>
        <w:t>更多</w:t>
      </w:r>
      <w:r w:rsidR="00763C58" w:rsidRPr="00951A56">
        <w:rPr>
          <w:rFonts w:hAnsi="標楷體" w:hint="eastAsia"/>
          <w:szCs w:val="32"/>
        </w:rPr>
        <w:t>心力撰寫上訴理</w:t>
      </w:r>
      <w:r w:rsidR="002A48ED" w:rsidRPr="00951A56">
        <w:rPr>
          <w:rFonts w:hAnsi="標楷體" w:hint="eastAsia"/>
          <w:szCs w:val="32"/>
        </w:rPr>
        <w:t>由，以保障民眾之權益並</w:t>
      </w:r>
      <w:r w:rsidR="008F3207" w:rsidRPr="00951A56">
        <w:rPr>
          <w:rFonts w:hAnsi="標楷體" w:hint="eastAsia"/>
          <w:szCs w:val="32"/>
        </w:rPr>
        <w:t>符合人民之</w:t>
      </w:r>
      <w:r w:rsidR="00763C58" w:rsidRPr="00951A56">
        <w:rPr>
          <w:rFonts w:hAnsi="標楷體" w:hint="eastAsia"/>
          <w:szCs w:val="32"/>
        </w:rPr>
        <w:t>期待。</w:t>
      </w:r>
    </w:p>
    <w:p w:rsidR="009A2429" w:rsidRPr="00951A56" w:rsidRDefault="003A1305" w:rsidP="009A2429">
      <w:pPr>
        <w:pStyle w:val="3"/>
        <w:rPr>
          <w:rFonts w:hAnsi="標楷體"/>
          <w:szCs w:val="32"/>
        </w:rPr>
      </w:pPr>
      <w:r w:rsidRPr="00951A56">
        <w:rPr>
          <w:rFonts w:hAnsi="標楷體" w:hint="eastAsia"/>
          <w:szCs w:val="32"/>
        </w:rPr>
        <w:t>綜上，</w:t>
      </w:r>
      <w:r w:rsidR="009A2429" w:rsidRPr="00951A56">
        <w:rPr>
          <w:rFonts w:hAnsi="標楷體" w:hint="eastAsia"/>
          <w:szCs w:val="32"/>
        </w:rPr>
        <w:t>刑事訴訟法及檢察機關辦理刑事訴訟案件應</w:t>
      </w:r>
      <w:r w:rsidR="009A2429" w:rsidRPr="00951A56">
        <w:rPr>
          <w:rFonts w:hAnsi="標楷體" w:hint="eastAsia"/>
          <w:szCs w:val="32"/>
        </w:rPr>
        <w:lastRenderedPageBreak/>
        <w:t>行注意事項，現行規定雖無明文要求檢察官應於判決後主動聯繫被害人家屬以決定是否提起上訴，惟檢察官基於國家公益代表人之身分與職責，有義務於上訴期間屆滿前取得相關資訊，</w:t>
      </w:r>
      <w:r w:rsidR="003F1DC7" w:rsidRPr="00951A56">
        <w:rPr>
          <w:rFonts w:hAnsi="標楷體" w:cs="標楷體" w:hint="eastAsia"/>
          <w:szCs w:val="28"/>
        </w:rPr>
        <w:t>就原裁判認定事實有無錯誤、適用法則是否恰當，以及訴訟程序有無瑕疵、量刑標準及緩刑宣告是否適當，分別審查，</w:t>
      </w:r>
      <w:r w:rsidR="009A2429" w:rsidRPr="00951A56">
        <w:rPr>
          <w:rFonts w:hAnsi="標楷體" w:hint="eastAsia"/>
          <w:szCs w:val="32"/>
        </w:rPr>
        <w:t>以為上訴與否之決定依據，且109年4月23日屏東地方法院審判筆錄記載屏東地檢署檢察官論告理由，已知悉被告與被害人家屬未達和解，並請求從重量刑，109年6月18日屏東地檢署檢察官</w:t>
      </w:r>
      <w:proofErr w:type="gramStart"/>
      <w:r w:rsidR="009A2429" w:rsidRPr="00951A56">
        <w:rPr>
          <w:rFonts w:hAnsi="標楷體" w:hint="eastAsia"/>
          <w:szCs w:val="32"/>
        </w:rPr>
        <w:t>109</w:t>
      </w:r>
      <w:proofErr w:type="gramEnd"/>
      <w:r w:rsidR="009A2429" w:rsidRPr="00951A56">
        <w:rPr>
          <w:rFonts w:hAnsi="標楷體" w:hint="eastAsia"/>
          <w:szCs w:val="32"/>
        </w:rPr>
        <w:t>年度請上字第63號聲請回復原狀暨上訴書，上訴理由提及被告與被害人家屬未和解、罪刑相當原則等，檢察官之論告理由與上訴理由相同，又109年5月20日檢察官收到法院判決書時，上訴書所載被告與被害人家屬未和解、罪刑相當原則等理由既已存在，亦為檢察官收受判決書時所知悉，檢察官收受判決書時卻未上訴，影響被害人家屬訴訟權益。另本案檢察官上訴理由僅論及罪刑相當原則、被告未能與被害人家屬達成和解等，並未論及原判決認定事實與卷證資料是否有不符之處、是否有瑕疵或是否有</w:t>
      </w:r>
      <w:r w:rsidR="00B81650" w:rsidRPr="00951A56">
        <w:rPr>
          <w:rFonts w:hAnsi="標楷體" w:hint="eastAsia"/>
          <w:szCs w:val="32"/>
        </w:rPr>
        <w:t>未盡調查之事證等具體事項，並就不服之判決為具體之指摘。故</w:t>
      </w:r>
      <w:r w:rsidR="009A2429" w:rsidRPr="00951A56">
        <w:rPr>
          <w:rFonts w:hAnsi="標楷體" w:hint="eastAsia"/>
          <w:szCs w:val="32"/>
        </w:rPr>
        <w:t>檢察官</w:t>
      </w:r>
      <w:r w:rsidR="00B81650" w:rsidRPr="00951A56">
        <w:rPr>
          <w:rFonts w:hAnsi="標楷體" w:hint="eastAsia"/>
          <w:szCs w:val="32"/>
        </w:rPr>
        <w:t>應</w:t>
      </w:r>
      <w:r w:rsidR="009A2429" w:rsidRPr="00951A56">
        <w:rPr>
          <w:rFonts w:hAnsi="標楷體" w:hint="eastAsia"/>
          <w:szCs w:val="32"/>
        </w:rPr>
        <w:t>正視法律課予之公訴義務，體認自身代表國家保護人民權利之重大任務，確實遵守於法定期限內提起上訴之相關規定，並請法務部督導所屬檢討改進。</w:t>
      </w:r>
    </w:p>
    <w:p w:rsidR="003A5927" w:rsidRPr="00951A56" w:rsidRDefault="003A5927" w:rsidP="003A5927">
      <w:pPr>
        <w:pStyle w:val="31"/>
        <w:ind w:leftChars="0" w:left="0" w:firstLineChars="0" w:firstLine="0"/>
      </w:pPr>
    </w:p>
    <w:p w:rsidR="00E25849" w:rsidRPr="00951A56" w:rsidRDefault="00E25849" w:rsidP="004E05A1">
      <w:pPr>
        <w:pStyle w:val="1"/>
        <w:ind w:left="2380" w:hanging="2380"/>
      </w:pPr>
      <w:bookmarkStart w:id="60" w:name="_Toc524895648"/>
      <w:bookmarkStart w:id="61" w:name="_Toc524896194"/>
      <w:bookmarkStart w:id="62" w:name="_Toc524896224"/>
      <w:bookmarkStart w:id="63" w:name="_Toc524902734"/>
      <w:bookmarkStart w:id="64" w:name="_Toc525066148"/>
      <w:bookmarkStart w:id="65" w:name="_Toc525070839"/>
      <w:bookmarkStart w:id="66" w:name="_Toc525938379"/>
      <w:bookmarkStart w:id="67" w:name="_Toc525939227"/>
      <w:bookmarkStart w:id="68" w:name="_Toc525939732"/>
      <w:bookmarkStart w:id="69" w:name="_Toc529218272"/>
      <w:bookmarkEnd w:id="59"/>
      <w:r w:rsidRPr="00951A56">
        <w:br w:type="page"/>
      </w:r>
      <w:bookmarkStart w:id="70" w:name="_Toc529222689"/>
      <w:bookmarkStart w:id="71" w:name="_Toc529223111"/>
      <w:bookmarkStart w:id="72" w:name="_Toc529223862"/>
      <w:bookmarkStart w:id="73" w:name="_Toc529228265"/>
      <w:bookmarkStart w:id="74" w:name="_Toc2400395"/>
      <w:bookmarkStart w:id="75" w:name="_Toc4316189"/>
      <w:bookmarkStart w:id="76" w:name="_Toc4473330"/>
      <w:bookmarkStart w:id="77" w:name="_Toc69556897"/>
      <w:bookmarkStart w:id="78" w:name="_Toc69556946"/>
      <w:bookmarkStart w:id="79" w:name="_Toc69609820"/>
      <w:bookmarkStart w:id="80" w:name="_Toc70241816"/>
      <w:bookmarkStart w:id="81" w:name="_Toc70242205"/>
      <w:bookmarkStart w:id="82" w:name="_Toc421794875"/>
      <w:bookmarkStart w:id="83" w:name="_Toc422834160"/>
      <w:r w:rsidRPr="00951A56">
        <w:rPr>
          <w:rFonts w:hint="eastAsia"/>
        </w:rPr>
        <w:lastRenderedPageBreak/>
        <w:t>處理辦法：</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FB7770" w:rsidRPr="00951A56" w:rsidRDefault="00066BE8" w:rsidP="00770453">
      <w:pPr>
        <w:pStyle w:val="2"/>
        <w:spacing w:beforeLines="25" w:before="114"/>
        <w:ind w:left="1020" w:hanging="680"/>
      </w:pPr>
      <w:bookmarkStart w:id="84" w:name="_Toc524895649"/>
      <w:bookmarkStart w:id="85" w:name="_Toc524896195"/>
      <w:bookmarkStart w:id="86" w:name="_Toc524896225"/>
      <w:bookmarkStart w:id="87" w:name="_Toc421794877"/>
      <w:bookmarkStart w:id="88" w:name="_Toc421795443"/>
      <w:bookmarkStart w:id="89" w:name="_Toc421796024"/>
      <w:bookmarkStart w:id="90" w:name="_Toc422728959"/>
      <w:bookmarkStart w:id="91" w:name="_Toc422834162"/>
      <w:bookmarkStart w:id="92" w:name="_Toc2400396"/>
      <w:bookmarkStart w:id="93" w:name="_Toc4316190"/>
      <w:bookmarkStart w:id="94" w:name="_Toc4473331"/>
      <w:bookmarkStart w:id="95" w:name="_Toc69556898"/>
      <w:bookmarkStart w:id="96" w:name="_Toc69556947"/>
      <w:bookmarkStart w:id="97" w:name="_Toc69609821"/>
      <w:bookmarkStart w:id="98" w:name="_Toc70241817"/>
      <w:bookmarkStart w:id="99" w:name="_Toc70242206"/>
      <w:bookmarkStart w:id="100" w:name="_Toc524902735"/>
      <w:bookmarkStart w:id="101" w:name="_Toc525066149"/>
      <w:bookmarkStart w:id="102" w:name="_Toc525070840"/>
      <w:bookmarkStart w:id="103" w:name="_Toc525938380"/>
      <w:bookmarkStart w:id="104" w:name="_Toc525939228"/>
      <w:bookmarkStart w:id="105" w:name="_Toc525939733"/>
      <w:bookmarkStart w:id="106" w:name="_Toc529218273"/>
      <w:bookmarkStart w:id="107" w:name="_Toc529222690"/>
      <w:bookmarkStart w:id="108" w:name="_Toc529223112"/>
      <w:bookmarkStart w:id="109" w:name="_Toc529223863"/>
      <w:bookmarkStart w:id="110" w:name="_Toc529228266"/>
      <w:bookmarkEnd w:id="84"/>
      <w:bookmarkEnd w:id="85"/>
      <w:bookmarkEnd w:id="86"/>
      <w:r w:rsidRPr="00951A56">
        <w:rPr>
          <w:rFonts w:hint="eastAsia"/>
        </w:rPr>
        <w:t>調查意見一，函請司法院督導所屬</w:t>
      </w:r>
      <w:r w:rsidR="00795B28" w:rsidRPr="00951A56">
        <w:rPr>
          <w:rFonts w:hint="eastAsia"/>
        </w:rPr>
        <w:t>檢討改進</w:t>
      </w:r>
      <w:proofErr w:type="gramStart"/>
      <w:r w:rsidR="00795B28" w:rsidRPr="00951A56">
        <w:rPr>
          <w:rFonts w:hint="eastAsia"/>
        </w:rPr>
        <w:t>見復。</w:t>
      </w:r>
      <w:bookmarkEnd w:id="87"/>
      <w:bookmarkEnd w:id="88"/>
      <w:bookmarkEnd w:id="89"/>
      <w:bookmarkEnd w:id="90"/>
      <w:bookmarkEnd w:id="91"/>
      <w:proofErr w:type="gramEnd"/>
    </w:p>
    <w:p w:rsidR="00066BE8" w:rsidRPr="00951A56" w:rsidRDefault="00066BE8" w:rsidP="00770453">
      <w:pPr>
        <w:pStyle w:val="2"/>
        <w:spacing w:beforeLines="25" w:before="114"/>
        <w:ind w:left="1020" w:hanging="680"/>
      </w:pPr>
      <w:r w:rsidRPr="00951A56">
        <w:rPr>
          <w:rFonts w:hint="eastAsia"/>
        </w:rPr>
        <w:t>調查意見二，函請司法院參考</w:t>
      </w:r>
      <w:proofErr w:type="gramStart"/>
      <w:r w:rsidRPr="00951A56">
        <w:rPr>
          <w:rFonts w:hint="eastAsia"/>
        </w:rPr>
        <w:t>見復。</w:t>
      </w:r>
      <w:proofErr w:type="gramEnd"/>
    </w:p>
    <w:p w:rsidR="00066BE8" w:rsidRPr="00951A56" w:rsidRDefault="00BB6C63" w:rsidP="00770453">
      <w:pPr>
        <w:pStyle w:val="2"/>
        <w:spacing w:beforeLines="25" w:before="114"/>
        <w:ind w:left="1020" w:hanging="680"/>
      </w:pPr>
      <w:r w:rsidRPr="00951A56">
        <w:rPr>
          <w:rFonts w:hint="eastAsia"/>
        </w:rPr>
        <w:t>調查意見</w:t>
      </w:r>
      <w:proofErr w:type="gramStart"/>
      <w:r w:rsidRPr="00951A56">
        <w:rPr>
          <w:rFonts w:hint="eastAsia"/>
        </w:rPr>
        <w:t>三</w:t>
      </w:r>
      <w:proofErr w:type="gramEnd"/>
      <w:r w:rsidR="00BF5F3E" w:rsidRPr="00951A56">
        <w:rPr>
          <w:rFonts w:hint="eastAsia"/>
        </w:rPr>
        <w:t>，函請法務部督導所屬檢討改進</w:t>
      </w:r>
      <w:proofErr w:type="gramStart"/>
      <w:r w:rsidR="00BF5F3E" w:rsidRPr="00951A56">
        <w:rPr>
          <w:rFonts w:hint="eastAsia"/>
        </w:rPr>
        <w:t>見復。</w:t>
      </w:r>
      <w:proofErr w:type="gramEnd"/>
    </w:p>
    <w:p w:rsidR="00E25849" w:rsidRPr="00951A56" w:rsidRDefault="0030177F">
      <w:pPr>
        <w:pStyle w:val="2"/>
      </w:pPr>
      <w:bookmarkStart w:id="111" w:name="_Toc2400397"/>
      <w:bookmarkStart w:id="112" w:name="_Toc4316191"/>
      <w:bookmarkStart w:id="113" w:name="_Toc4473332"/>
      <w:bookmarkStart w:id="114" w:name="_Toc69556901"/>
      <w:bookmarkStart w:id="115" w:name="_Toc69556950"/>
      <w:bookmarkStart w:id="116" w:name="_Toc69609824"/>
      <w:bookmarkStart w:id="117" w:name="_Toc70241822"/>
      <w:bookmarkStart w:id="118" w:name="_Toc70242211"/>
      <w:bookmarkStart w:id="119" w:name="_Toc421794881"/>
      <w:bookmarkStart w:id="120" w:name="_Toc421795447"/>
      <w:bookmarkStart w:id="121" w:name="_Toc421796028"/>
      <w:bookmarkStart w:id="122" w:name="_Toc422728963"/>
      <w:bookmarkStart w:id="123" w:name="_Toc422834166"/>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951A56">
        <w:rPr>
          <w:rFonts w:hint="eastAsia"/>
        </w:rPr>
        <w:t>檢</w:t>
      </w:r>
      <w:proofErr w:type="gramStart"/>
      <w:r w:rsidRPr="00951A56">
        <w:rPr>
          <w:rFonts w:hint="eastAsia"/>
        </w:rPr>
        <w:t>附派查函</w:t>
      </w:r>
      <w:proofErr w:type="gramEnd"/>
      <w:r w:rsidRPr="00951A56">
        <w:rPr>
          <w:rFonts w:hint="eastAsia"/>
        </w:rPr>
        <w:t>及相關附件，送請司法及獄政</w:t>
      </w:r>
      <w:r w:rsidR="00E25849" w:rsidRPr="00951A56">
        <w:rPr>
          <w:rFonts w:hint="eastAsia"/>
        </w:rPr>
        <w:t>委員會處理。</w:t>
      </w:r>
      <w:bookmarkEnd w:id="111"/>
      <w:bookmarkEnd w:id="112"/>
      <w:bookmarkEnd w:id="113"/>
      <w:bookmarkEnd w:id="114"/>
      <w:bookmarkEnd w:id="115"/>
      <w:bookmarkEnd w:id="116"/>
      <w:bookmarkEnd w:id="117"/>
      <w:bookmarkEnd w:id="118"/>
      <w:bookmarkEnd w:id="119"/>
      <w:bookmarkEnd w:id="120"/>
      <w:bookmarkEnd w:id="121"/>
      <w:bookmarkEnd w:id="122"/>
      <w:bookmarkEnd w:id="123"/>
    </w:p>
    <w:p w:rsidR="00770453" w:rsidRPr="00951A56"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sidRPr="00951A56">
        <w:rPr>
          <w:rFonts w:hint="eastAsia"/>
          <w:b w:val="0"/>
          <w:bCs/>
          <w:snapToGrid/>
          <w:spacing w:val="12"/>
          <w:kern w:val="0"/>
          <w:sz w:val="40"/>
        </w:rPr>
        <w:t>調查委員：</w:t>
      </w:r>
      <w:r w:rsidR="005A2E60">
        <w:rPr>
          <w:rFonts w:hint="eastAsia"/>
          <w:b w:val="0"/>
          <w:bCs/>
          <w:snapToGrid/>
          <w:spacing w:val="12"/>
          <w:kern w:val="0"/>
          <w:sz w:val="40"/>
        </w:rPr>
        <w:t>林國明</w:t>
      </w:r>
    </w:p>
    <w:p w:rsidR="005A2E60" w:rsidRPr="00951A56" w:rsidRDefault="005A2E60"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 xml:space="preserve">        </w:t>
      </w:r>
      <w:bookmarkStart w:id="124" w:name="_GoBack"/>
      <w:bookmarkEnd w:id="124"/>
      <w:r>
        <w:rPr>
          <w:rFonts w:hint="eastAsia"/>
          <w:b w:val="0"/>
          <w:bCs/>
          <w:snapToGrid/>
          <w:spacing w:val="12"/>
          <w:kern w:val="0"/>
          <w:sz w:val="40"/>
        </w:rPr>
        <w:t xml:space="preserve"> 蘇麗瓊</w:t>
      </w:r>
    </w:p>
    <w:p w:rsidR="00770453" w:rsidRPr="00951A56" w:rsidRDefault="00770453" w:rsidP="00770453">
      <w:pPr>
        <w:pStyle w:val="aa"/>
        <w:spacing w:before="0" w:after="0"/>
        <w:ind w:leftChars="1100" w:left="3742"/>
        <w:rPr>
          <w:rFonts w:ascii="Times New Roman"/>
          <w:b w:val="0"/>
          <w:bCs/>
          <w:snapToGrid/>
          <w:spacing w:val="0"/>
          <w:kern w:val="0"/>
          <w:sz w:val="40"/>
        </w:rPr>
      </w:pPr>
    </w:p>
    <w:p w:rsidR="00976B3A" w:rsidRPr="00951A56" w:rsidRDefault="00976B3A" w:rsidP="00770453">
      <w:pPr>
        <w:pStyle w:val="aa"/>
        <w:spacing w:before="0" w:after="0"/>
        <w:ind w:leftChars="1100" w:left="3742"/>
        <w:rPr>
          <w:rFonts w:ascii="Times New Roman"/>
          <w:b w:val="0"/>
          <w:bCs/>
          <w:snapToGrid/>
          <w:spacing w:val="0"/>
          <w:kern w:val="0"/>
          <w:sz w:val="40"/>
        </w:rPr>
      </w:pPr>
    </w:p>
    <w:p w:rsidR="00976B3A" w:rsidRPr="00951A56" w:rsidRDefault="00976B3A" w:rsidP="00770453">
      <w:pPr>
        <w:pStyle w:val="aa"/>
        <w:spacing w:before="0" w:after="0"/>
        <w:ind w:leftChars="1100" w:left="3742"/>
        <w:rPr>
          <w:rFonts w:ascii="Times New Roman"/>
          <w:b w:val="0"/>
          <w:bCs/>
          <w:snapToGrid/>
          <w:spacing w:val="0"/>
          <w:kern w:val="0"/>
          <w:sz w:val="40"/>
        </w:rPr>
      </w:pPr>
    </w:p>
    <w:p w:rsidR="009865DC" w:rsidRPr="00951A56" w:rsidRDefault="009865DC" w:rsidP="00770453">
      <w:pPr>
        <w:pStyle w:val="aa"/>
        <w:spacing w:before="0" w:after="0"/>
        <w:ind w:leftChars="1100" w:left="3742"/>
        <w:rPr>
          <w:rFonts w:ascii="Times New Roman"/>
          <w:b w:val="0"/>
          <w:bCs/>
          <w:snapToGrid/>
          <w:spacing w:val="0"/>
          <w:kern w:val="0"/>
          <w:sz w:val="40"/>
        </w:rPr>
      </w:pPr>
    </w:p>
    <w:p w:rsidR="00976B3A" w:rsidRPr="00951A56" w:rsidRDefault="00976B3A" w:rsidP="009865DC">
      <w:pPr>
        <w:pStyle w:val="aa"/>
        <w:spacing w:before="0" w:after="0"/>
        <w:ind w:left="0"/>
        <w:rPr>
          <w:rFonts w:ascii="Times New Roman"/>
          <w:b w:val="0"/>
          <w:bCs/>
          <w:snapToGrid/>
          <w:spacing w:val="0"/>
          <w:kern w:val="0"/>
          <w:sz w:val="40"/>
        </w:rPr>
      </w:pPr>
    </w:p>
    <w:p w:rsidR="0012614F" w:rsidRPr="00401560" w:rsidRDefault="0012614F">
      <w:pPr>
        <w:widowControl/>
        <w:overflowPunct/>
        <w:autoSpaceDE/>
        <w:autoSpaceDN/>
        <w:jc w:val="left"/>
        <w:rPr>
          <w:bCs/>
          <w:kern w:val="0"/>
        </w:rPr>
      </w:pPr>
    </w:p>
    <w:sectPr w:rsidR="0012614F" w:rsidRPr="00401560"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18B" w:rsidRDefault="002C618B">
      <w:r>
        <w:separator/>
      </w:r>
    </w:p>
  </w:endnote>
  <w:endnote w:type="continuationSeparator" w:id="0">
    <w:p w:rsidR="002C618B" w:rsidRDefault="002C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td">
    <w:altName w:val="Times New Roman"/>
    <w:panose1 w:val="00000000000000000000"/>
    <w:charset w:val="00"/>
    <w:family w:val="auto"/>
    <w:notTrueType/>
    <w:pitch w:val="default"/>
    <w:sig w:usb0="00000003" w:usb1="00000000" w:usb2="00000000" w:usb3="00000000" w:csb0="00000001" w:csb1="00000000"/>
  </w:font>
  <w:font w:name="CourierNew">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A70" w:rsidRDefault="00765A7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45A14">
      <w:rPr>
        <w:rStyle w:val="ac"/>
        <w:noProof/>
        <w:sz w:val="24"/>
      </w:rPr>
      <w:t>14</w:t>
    </w:r>
    <w:r>
      <w:rPr>
        <w:rStyle w:val="ac"/>
        <w:sz w:val="24"/>
      </w:rPr>
      <w:fldChar w:fldCharType="end"/>
    </w:r>
  </w:p>
  <w:p w:rsidR="00765A70" w:rsidRDefault="00765A7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18B" w:rsidRDefault="002C618B">
      <w:r>
        <w:separator/>
      </w:r>
    </w:p>
  </w:footnote>
  <w:footnote w:type="continuationSeparator" w:id="0">
    <w:p w:rsidR="002C618B" w:rsidRDefault="002C618B">
      <w:r>
        <w:continuationSeparator/>
      </w:r>
    </w:p>
  </w:footnote>
  <w:footnote w:id="1">
    <w:p w:rsidR="00765A70" w:rsidRPr="00951A56" w:rsidRDefault="00765A70" w:rsidP="00765A70">
      <w:pPr>
        <w:spacing w:line="220" w:lineRule="exact"/>
        <w:rPr>
          <w:rFonts w:cs="標楷體"/>
          <w:kern w:val="0"/>
          <w:sz w:val="20"/>
          <w:lang w:val="zh-TW"/>
        </w:rPr>
      </w:pPr>
      <w:r w:rsidRPr="00951A56">
        <w:rPr>
          <w:rStyle w:val="afe"/>
          <w:rFonts w:hAnsi="標楷體"/>
          <w:sz w:val="20"/>
        </w:rPr>
        <w:footnoteRef/>
      </w:r>
      <w:r w:rsidRPr="00951A56">
        <w:rPr>
          <w:sz w:val="20"/>
        </w:rPr>
        <w:t xml:space="preserve"> </w:t>
      </w:r>
      <w:r w:rsidRPr="00951A56">
        <w:rPr>
          <w:rFonts w:cs="標楷體"/>
          <w:kern w:val="0"/>
          <w:sz w:val="20"/>
          <w:lang w:val="zh-TW"/>
        </w:rPr>
        <w:t>109</w:t>
      </w:r>
      <w:r w:rsidRPr="00951A56">
        <w:rPr>
          <w:rFonts w:cs="標楷體" w:hint="eastAsia"/>
          <w:kern w:val="0"/>
          <w:sz w:val="20"/>
          <w:lang w:val="zh-TW"/>
        </w:rPr>
        <w:t>年</w:t>
      </w:r>
      <w:r w:rsidRPr="00951A56">
        <w:rPr>
          <w:rFonts w:cs="標楷體"/>
          <w:kern w:val="0"/>
          <w:sz w:val="20"/>
          <w:lang w:val="zh-TW"/>
        </w:rPr>
        <w:t>01</w:t>
      </w:r>
      <w:r w:rsidRPr="00951A56">
        <w:rPr>
          <w:rFonts w:cs="標楷體" w:hint="eastAsia"/>
          <w:kern w:val="0"/>
          <w:sz w:val="20"/>
          <w:lang w:val="zh-TW"/>
        </w:rPr>
        <w:t>月</w:t>
      </w:r>
      <w:r w:rsidRPr="00951A56">
        <w:rPr>
          <w:rFonts w:cs="標楷體"/>
          <w:kern w:val="0"/>
          <w:sz w:val="20"/>
          <w:lang w:val="zh-TW"/>
        </w:rPr>
        <w:t>08</w:t>
      </w:r>
      <w:r w:rsidRPr="00951A56">
        <w:rPr>
          <w:rFonts w:cs="標楷體" w:hint="eastAsia"/>
          <w:kern w:val="0"/>
          <w:sz w:val="20"/>
          <w:lang w:val="zh-TW"/>
        </w:rPr>
        <w:t>日</w:t>
      </w:r>
      <w:r w:rsidRPr="00951A56">
        <w:rPr>
          <w:rFonts w:hint="eastAsia"/>
          <w:sz w:val="20"/>
        </w:rPr>
        <w:t>刑事訴訟法</w:t>
      </w:r>
      <w:r w:rsidR="008C62DF" w:rsidRPr="00951A56">
        <w:rPr>
          <w:rFonts w:hint="eastAsia"/>
          <w:sz w:val="20"/>
        </w:rPr>
        <w:t>第455</w:t>
      </w:r>
      <w:r w:rsidR="008C62DF" w:rsidRPr="00951A56">
        <w:rPr>
          <w:rFonts w:hAnsi="標楷體" w:hint="eastAsia"/>
          <w:sz w:val="20"/>
        </w:rPr>
        <w:t>條之</w:t>
      </w:r>
      <w:r w:rsidR="008C62DF" w:rsidRPr="00951A56">
        <w:rPr>
          <w:rFonts w:hint="eastAsia"/>
          <w:sz w:val="20"/>
        </w:rPr>
        <w:t>38</w:t>
      </w:r>
      <w:r w:rsidR="00D2082F" w:rsidRPr="00951A56">
        <w:rPr>
          <w:rFonts w:cs="標楷體" w:hint="eastAsia"/>
          <w:kern w:val="0"/>
          <w:sz w:val="20"/>
          <w:lang w:val="zh-TW"/>
        </w:rPr>
        <w:t>之</w:t>
      </w:r>
      <w:r w:rsidRPr="00951A56">
        <w:rPr>
          <w:rFonts w:cs="標楷體" w:hint="eastAsia"/>
          <w:kern w:val="0"/>
          <w:sz w:val="20"/>
          <w:lang w:val="zh-TW"/>
        </w:rPr>
        <w:t>立法理由。</w:t>
      </w:r>
    </w:p>
  </w:footnote>
  <w:footnote w:id="2">
    <w:p w:rsidR="00765A70" w:rsidRPr="00951A56" w:rsidRDefault="00765A70" w:rsidP="00971129">
      <w:pPr>
        <w:kinsoku w:val="0"/>
        <w:wordWrap w:val="0"/>
        <w:spacing w:line="220" w:lineRule="exact"/>
        <w:rPr>
          <w:rFonts w:cs="DFKaiShuStd"/>
          <w:kern w:val="0"/>
          <w:sz w:val="20"/>
          <w:lang w:val="x-none"/>
        </w:rPr>
      </w:pPr>
      <w:r w:rsidRPr="00951A56">
        <w:rPr>
          <w:rStyle w:val="afe"/>
          <w:rFonts w:hAnsi="標楷體"/>
          <w:sz w:val="20"/>
        </w:rPr>
        <w:footnoteRef/>
      </w:r>
      <w:r w:rsidRPr="00951A56">
        <w:rPr>
          <w:sz w:val="20"/>
        </w:rPr>
        <w:t xml:space="preserve"> </w:t>
      </w:r>
      <w:r w:rsidRPr="00951A56">
        <w:rPr>
          <w:rFonts w:cs="新細明體" w:hint="eastAsia"/>
          <w:kern w:val="0"/>
          <w:sz w:val="20"/>
          <w:lang w:val="x-none"/>
        </w:rPr>
        <w:t>資料來源：司法院網站，網址：</w:t>
      </w:r>
      <w:r w:rsidRPr="00951A56">
        <w:rPr>
          <w:rFonts w:cs="DFKaiShuStd"/>
          <w:kern w:val="0"/>
          <w:sz w:val="20"/>
          <w:lang w:val="x-none"/>
        </w:rPr>
        <w:t>http://jirs.judicial.gov.tw/GNNWS/NNWSS002.asp?id=320895&amp;flag=1&amp;regi=1&amp;key=%B6D%B3%5E%B0%D1%BBP&amp;MuchInfo=&amp;courtid=</w:t>
      </w:r>
      <w:r w:rsidRPr="00951A56">
        <w:rPr>
          <w:rFonts w:cs="新細明體" w:hint="eastAsia"/>
          <w:kern w:val="0"/>
          <w:sz w:val="20"/>
          <w:lang w:val="x-none"/>
        </w:rPr>
        <w:t>，檢索日期：</w:t>
      </w:r>
      <w:r w:rsidRPr="00951A56">
        <w:rPr>
          <w:rFonts w:cs="DFKaiShuStd" w:hint="eastAsia"/>
          <w:kern w:val="0"/>
          <w:sz w:val="20"/>
          <w:lang w:val="x-none"/>
        </w:rPr>
        <w:t>110</w:t>
      </w:r>
      <w:r w:rsidRPr="00951A56">
        <w:rPr>
          <w:rFonts w:cs="新細明體" w:hint="eastAsia"/>
          <w:kern w:val="0"/>
          <w:sz w:val="20"/>
          <w:lang w:val="x-none"/>
        </w:rPr>
        <w:t>年</w:t>
      </w:r>
      <w:r w:rsidRPr="00951A56">
        <w:rPr>
          <w:rFonts w:cs="DFKaiShuStd" w:hint="eastAsia"/>
          <w:kern w:val="0"/>
          <w:sz w:val="20"/>
          <w:lang w:val="x-none"/>
        </w:rPr>
        <w:t>2</w:t>
      </w:r>
      <w:r w:rsidRPr="00951A56">
        <w:rPr>
          <w:rFonts w:cs="新細明體" w:hint="eastAsia"/>
          <w:kern w:val="0"/>
          <w:sz w:val="20"/>
          <w:lang w:val="x-none"/>
        </w:rPr>
        <w:t>月</w:t>
      </w:r>
      <w:r w:rsidRPr="00951A56">
        <w:rPr>
          <w:rFonts w:cs="DFKaiShuStd"/>
          <w:kern w:val="0"/>
          <w:sz w:val="20"/>
          <w:lang w:val="x-none"/>
        </w:rPr>
        <w:t>1</w:t>
      </w:r>
      <w:r w:rsidRPr="00951A56">
        <w:rPr>
          <w:rFonts w:cs="DFKaiShuStd" w:hint="eastAsia"/>
          <w:kern w:val="0"/>
          <w:sz w:val="20"/>
          <w:lang w:val="x-none"/>
        </w:rPr>
        <w:t>8</w:t>
      </w:r>
      <w:r w:rsidRPr="00951A56">
        <w:rPr>
          <w:rFonts w:cs="新細明體" w:hint="eastAsia"/>
          <w:kern w:val="0"/>
          <w:sz w:val="20"/>
          <w:lang w:val="x-none"/>
        </w:rPr>
        <w:t>日。</w:t>
      </w:r>
    </w:p>
  </w:footnote>
  <w:footnote w:id="3">
    <w:p w:rsidR="00765A70" w:rsidRPr="00951A56" w:rsidRDefault="00765A70">
      <w:pPr>
        <w:pStyle w:val="afc"/>
      </w:pPr>
      <w:r w:rsidRPr="00951A56">
        <w:rPr>
          <w:rStyle w:val="afe"/>
        </w:rPr>
        <w:footnoteRef/>
      </w:r>
      <w:r w:rsidRPr="00951A56">
        <w:t xml:space="preserve"> </w:t>
      </w:r>
      <w:r w:rsidRPr="00951A56">
        <w:rPr>
          <w:rFonts w:hAnsi="標楷體" w:cs="細明體" w:hint="eastAsia"/>
          <w:kern w:val="0"/>
          <w:szCs w:val="24"/>
          <w:lang w:val="x-none"/>
        </w:rPr>
        <w:t>屏東地方法院</w:t>
      </w:r>
      <w:proofErr w:type="gramStart"/>
      <w:r w:rsidRPr="00951A56">
        <w:rPr>
          <w:rFonts w:hAnsi="標楷體" w:cs="細明體" w:hint="eastAsia"/>
          <w:kern w:val="0"/>
          <w:szCs w:val="24"/>
          <w:lang w:val="x-none"/>
        </w:rPr>
        <w:t>108</w:t>
      </w:r>
      <w:proofErr w:type="gramEnd"/>
      <w:r w:rsidRPr="00951A56">
        <w:rPr>
          <w:rFonts w:hAnsi="標楷體" w:cs="細明體" w:hint="eastAsia"/>
          <w:kern w:val="0"/>
          <w:szCs w:val="24"/>
          <w:lang w:val="x-none"/>
        </w:rPr>
        <w:t>年度</w:t>
      </w:r>
      <w:proofErr w:type="gramStart"/>
      <w:r w:rsidRPr="00951A56">
        <w:rPr>
          <w:rFonts w:hAnsi="標楷體" w:cs="細明體" w:hint="eastAsia"/>
          <w:kern w:val="0"/>
          <w:szCs w:val="24"/>
          <w:lang w:val="x-none"/>
        </w:rPr>
        <w:t>重訴字</w:t>
      </w:r>
      <w:proofErr w:type="gramEnd"/>
      <w:r w:rsidRPr="00951A56">
        <w:rPr>
          <w:rFonts w:hAnsi="標楷體" w:cs="細明體" w:hint="eastAsia"/>
          <w:kern w:val="0"/>
          <w:szCs w:val="24"/>
          <w:lang w:val="x-none"/>
        </w:rPr>
        <w:t>第14號卷宗二第197-198頁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0312"/>
    <w:rsid w:val="000112BF"/>
    <w:rsid w:val="00011B27"/>
    <w:rsid w:val="00012233"/>
    <w:rsid w:val="000153ED"/>
    <w:rsid w:val="00017318"/>
    <w:rsid w:val="00017F8A"/>
    <w:rsid w:val="000229AD"/>
    <w:rsid w:val="000246F7"/>
    <w:rsid w:val="00027441"/>
    <w:rsid w:val="0003114D"/>
    <w:rsid w:val="00035605"/>
    <w:rsid w:val="00036645"/>
    <w:rsid w:val="00036D76"/>
    <w:rsid w:val="00051EC7"/>
    <w:rsid w:val="00057F32"/>
    <w:rsid w:val="00061DBF"/>
    <w:rsid w:val="00062A25"/>
    <w:rsid w:val="00066BE8"/>
    <w:rsid w:val="00073B80"/>
    <w:rsid w:val="00073CB5"/>
    <w:rsid w:val="00073FF6"/>
    <w:rsid w:val="0007425C"/>
    <w:rsid w:val="00075E93"/>
    <w:rsid w:val="00077553"/>
    <w:rsid w:val="00083ACE"/>
    <w:rsid w:val="000851A2"/>
    <w:rsid w:val="000870C8"/>
    <w:rsid w:val="00091FD4"/>
    <w:rsid w:val="00092F67"/>
    <w:rsid w:val="0009352E"/>
    <w:rsid w:val="0009633A"/>
    <w:rsid w:val="00096B96"/>
    <w:rsid w:val="00096BEE"/>
    <w:rsid w:val="000A2F3F"/>
    <w:rsid w:val="000A7035"/>
    <w:rsid w:val="000B0B4A"/>
    <w:rsid w:val="000B279A"/>
    <w:rsid w:val="000B43B4"/>
    <w:rsid w:val="000B61D2"/>
    <w:rsid w:val="000B70A7"/>
    <w:rsid w:val="000B73DD"/>
    <w:rsid w:val="000C2B97"/>
    <w:rsid w:val="000C495F"/>
    <w:rsid w:val="000C7B46"/>
    <w:rsid w:val="000D66D9"/>
    <w:rsid w:val="000E4E58"/>
    <w:rsid w:val="000E6431"/>
    <w:rsid w:val="000E7E86"/>
    <w:rsid w:val="000F0DED"/>
    <w:rsid w:val="000F21A5"/>
    <w:rsid w:val="000F2628"/>
    <w:rsid w:val="000F2A3B"/>
    <w:rsid w:val="000F2D5D"/>
    <w:rsid w:val="000F34E3"/>
    <w:rsid w:val="000F7A44"/>
    <w:rsid w:val="00102B9F"/>
    <w:rsid w:val="00102C74"/>
    <w:rsid w:val="00102D20"/>
    <w:rsid w:val="00104873"/>
    <w:rsid w:val="001075FB"/>
    <w:rsid w:val="00110A4A"/>
    <w:rsid w:val="00112637"/>
    <w:rsid w:val="00112ABC"/>
    <w:rsid w:val="0011345A"/>
    <w:rsid w:val="001135C7"/>
    <w:rsid w:val="00113D5A"/>
    <w:rsid w:val="0011473C"/>
    <w:rsid w:val="0011551C"/>
    <w:rsid w:val="00117387"/>
    <w:rsid w:val="0012001E"/>
    <w:rsid w:val="0012532B"/>
    <w:rsid w:val="0012614F"/>
    <w:rsid w:val="00126A55"/>
    <w:rsid w:val="00133F08"/>
    <w:rsid w:val="001345E6"/>
    <w:rsid w:val="00134C9D"/>
    <w:rsid w:val="001378B0"/>
    <w:rsid w:val="00142E00"/>
    <w:rsid w:val="00143095"/>
    <w:rsid w:val="00152793"/>
    <w:rsid w:val="00153B17"/>
    <w:rsid w:val="00153B7E"/>
    <w:rsid w:val="001545A9"/>
    <w:rsid w:val="00155DF9"/>
    <w:rsid w:val="00156B2F"/>
    <w:rsid w:val="00156D41"/>
    <w:rsid w:val="00157FCF"/>
    <w:rsid w:val="00162BBA"/>
    <w:rsid w:val="001637C7"/>
    <w:rsid w:val="0016480E"/>
    <w:rsid w:val="001672B0"/>
    <w:rsid w:val="001720F0"/>
    <w:rsid w:val="00174297"/>
    <w:rsid w:val="001767BA"/>
    <w:rsid w:val="00180E06"/>
    <w:rsid w:val="001817B3"/>
    <w:rsid w:val="00183014"/>
    <w:rsid w:val="00190004"/>
    <w:rsid w:val="001959C2"/>
    <w:rsid w:val="001A0836"/>
    <w:rsid w:val="001A22C0"/>
    <w:rsid w:val="001A3406"/>
    <w:rsid w:val="001A3D06"/>
    <w:rsid w:val="001A51E3"/>
    <w:rsid w:val="001A724B"/>
    <w:rsid w:val="001A7968"/>
    <w:rsid w:val="001A7D84"/>
    <w:rsid w:val="001B05EF"/>
    <w:rsid w:val="001B2E98"/>
    <w:rsid w:val="001B3483"/>
    <w:rsid w:val="001B3C1E"/>
    <w:rsid w:val="001B4494"/>
    <w:rsid w:val="001B4C11"/>
    <w:rsid w:val="001B7D03"/>
    <w:rsid w:val="001C0D8B"/>
    <w:rsid w:val="001C0DA8"/>
    <w:rsid w:val="001D0C8D"/>
    <w:rsid w:val="001D4954"/>
    <w:rsid w:val="001D4AD7"/>
    <w:rsid w:val="001D54BB"/>
    <w:rsid w:val="001D59AB"/>
    <w:rsid w:val="001E0D8A"/>
    <w:rsid w:val="001E2539"/>
    <w:rsid w:val="001E4DA5"/>
    <w:rsid w:val="001E67BA"/>
    <w:rsid w:val="001E6A5C"/>
    <w:rsid w:val="001E74C2"/>
    <w:rsid w:val="001F0954"/>
    <w:rsid w:val="001F440B"/>
    <w:rsid w:val="001F46CE"/>
    <w:rsid w:val="001F4F82"/>
    <w:rsid w:val="001F5A48"/>
    <w:rsid w:val="001F6260"/>
    <w:rsid w:val="00200007"/>
    <w:rsid w:val="00201450"/>
    <w:rsid w:val="0020287D"/>
    <w:rsid w:val="002030A5"/>
    <w:rsid w:val="00203131"/>
    <w:rsid w:val="0020419A"/>
    <w:rsid w:val="0020426A"/>
    <w:rsid w:val="002062BD"/>
    <w:rsid w:val="00212E88"/>
    <w:rsid w:val="00213C9C"/>
    <w:rsid w:val="00215177"/>
    <w:rsid w:val="0022009E"/>
    <w:rsid w:val="00221CEE"/>
    <w:rsid w:val="00223241"/>
    <w:rsid w:val="0022425C"/>
    <w:rsid w:val="002246DE"/>
    <w:rsid w:val="002309FF"/>
    <w:rsid w:val="002347E0"/>
    <w:rsid w:val="00234DB3"/>
    <w:rsid w:val="00235EEF"/>
    <w:rsid w:val="00241A99"/>
    <w:rsid w:val="002429E2"/>
    <w:rsid w:val="00244B07"/>
    <w:rsid w:val="0024530B"/>
    <w:rsid w:val="00252BC4"/>
    <w:rsid w:val="00254014"/>
    <w:rsid w:val="00254B39"/>
    <w:rsid w:val="00254E0A"/>
    <w:rsid w:val="0026504D"/>
    <w:rsid w:val="00266289"/>
    <w:rsid w:val="00272010"/>
    <w:rsid w:val="00272276"/>
    <w:rsid w:val="002722EE"/>
    <w:rsid w:val="00273A2F"/>
    <w:rsid w:val="00276DA1"/>
    <w:rsid w:val="00280986"/>
    <w:rsid w:val="00281246"/>
    <w:rsid w:val="00281ECE"/>
    <w:rsid w:val="002831C7"/>
    <w:rsid w:val="002840C6"/>
    <w:rsid w:val="00284718"/>
    <w:rsid w:val="00287997"/>
    <w:rsid w:val="00295174"/>
    <w:rsid w:val="00296172"/>
    <w:rsid w:val="002961CE"/>
    <w:rsid w:val="00296B92"/>
    <w:rsid w:val="002A2C22"/>
    <w:rsid w:val="002A3799"/>
    <w:rsid w:val="002A48ED"/>
    <w:rsid w:val="002B02EB"/>
    <w:rsid w:val="002B2196"/>
    <w:rsid w:val="002B39DE"/>
    <w:rsid w:val="002B4561"/>
    <w:rsid w:val="002B4AF8"/>
    <w:rsid w:val="002C0602"/>
    <w:rsid w:val="002C2D27"/>
    <w:rsid w:val="002C3733"/>
    <w:rsid w:val="002C618B"/>
    <w:rsid w:val="002D27BA"/>
    <w:rsid w:val="002D3D95"/>
    <w:rsid w:val="002D5C16"/>
    <w:rsid w:val="002E2757"/>
    <w:rsid w:val="002E3372"/>
    <w:rsid w:val="002E71B4"/>
    <w:rsid w:val="002E7973"/>
    <w:rsid w:val="002F0384"/>
    <w:rsid w:val="002F0ABF"/>
    <w:rsid w:val="002F1746"/>
    <w:rsid w:val="002F2476"/>
    <w:rsid w:val="002F364A"/>
    <w:rsid w:val="002F3DFF"/>
    <w:rsid w:val="002F4CC8"/>
    <w:rsid w:val="002F5E05"/>
    <w:rsid w:val="002F7B8E"/>
    <w:rsid w:val="0030177F"/>
    <w:rsid w:val="00302ABE"/>
    <w:rsid w:val="00302AE9"/>
    <w:rsid w:val="00303D59"/>
    <w:rsid w:val="00306F00"/>
    <w:rsid w:val="00307A76"/>
    <w:rsid w:val="00310CB5"/>
    <w:rsid w:val="0031391A"/>
    <w:rsid w:val="0031455E"/>
    <w:rsid w:val="00315A16"/>
    <w:rsid w:val="00315B87"/>
    <w:rsid w:val="00317053"/>
    <w:rsid w:val="0032109C"/>
    <w:rsid w:val="00322B45"/>
    <w:rsid w:val="00323809"/>
    <w:rsid w:val="00323D41"/>
    <w:rsid w:val="00325414"/>
    <w:rsid w:val="0032549A"/>
    <w:rsid w:val="0032561F"/>
    <w:rsid w:val="00327CE7"/>
    <w:rsid w:val="003302F1"/>
    <w:rsid w:val="00332F23"/>
    <w:rsid w:val="0033386B"/>
    <w:rsid w:val="00335F43"/>
    <w:rsid w:val="0034470E"/>
    <w:rsid w:val="00352DB0"/>
    <w:rsid w:val="00353BF2"/>
    <w:rsid w:val="0035451F"/>
    <w:rsid w:val="0036064F"/>
    <w:rsid w:val="00361063"/>
    <w:rsid w:val="003614D7"/>
    <w:rsid w:val="0037094A"/>
    <w:rsid w:val="003717E8"/>
    <w:rsid w:val="00371ED3"/>
    <w:rsid w:val="00372659"/>
    <w:rsid w:val="00372FFC"/>
    <w:rsid w:val="00374BC4"/>
    <w:rsid w:val="00375A0E"/>
    <w:rsid w:val="0037728A"/>
    <w:rsid w:val="00380ADA"/>
    <w:rsid w:val="00380B36"/>
    <w:rsid w:val="00380B7D"/>
    <w:rsid w:val="00381A99"/>
    <w:rsid w:val="003829C2"/>
    <w:rsid w:val="00382CCA"/>
    <w:rsid w:val="00382D66"/>
    <w:rsid w:val="003830B2"/>
    <w:rsid w:val="00384473"/>
    <w:rsid w:val="00384724"/>
    <w:rsid w:val="003919B7"/>
    <w:rsid w:val="00391CCB"/>
    <w:rsid w:val="00391D57"/>
    <w:rsid w:val="00392292"/>
    <w:rsid w:val="003942FA"/>
    <w:rsid w:val="00394B5A"/>
    <w:rsid w:val="00394F45"/>
    <w:rsid w:val="00396136"/>
    <w:rsid w:val="00397CF9"/>
    <w:rsid w:val="003A1305"/>
    <w:rsid w:val="003A19CE"/>
    <w:rsid w:val="003A2F3E"/>
    <w:rsid w:val="003A5927"/>
    <w:rsid w:val="003B1017"/>
    <w:rsid w:val="003B3113"/>
    <w:rsid w:val="003B3C07"/>
    <w:rsid w:val="003B45AB"/>
    <w:rsid w:val="003B6081"/>
    <w:rsid w:val="003B6775"/>
    <w:rsid w:val="003C34DA"/>
    <w:rsid w:val="003C5FE2"/>
    <w:rsid w:val="003D05FB"/>
    <w:rsid w:val="003D1B16"/>
    <w:rsid w:val="003D338A"/>
    <w:rsid w:val="003D4212"/>
    <w:rsid w:val="003D45BF"/>
    <w:rsid w:val="003D4B52"/>
    <w:rsid w:val="003D508A"/>
    <w:rsid w:val="003D537F"/>
    <w:rsid w:val="003D5873"/>
    <w:rsid w:val="003D753E"/>
    <w:rsid w:val="003D7B75"/>
    <w:rsid w:val="003E0208"/>
    <w:rsid w:val="003E4B57"/>
    <w:rsid w:val="003E4F64"/>
    <w:rsid w:val="003E5722"/>
    <w:rsid w:val="003E5B68"/>
    <w:rsid w:val="003E750E"/>
    <w:rsid w:val="003F1DC7"/>
    <w:rsid w:val="003F24AA"/>
    <w:rsid w:val="003F27E1"/>
    <w:rsid w:val="003F437A"/>
    <w:rsid w:val="003F48AE"/>
    <w:rsid w:val="003F5C2B"/>
    <w:rsid w:val="00401560"/>
    <w:rsid w:val="00402240"/>
    <w:rsid w:val="004023E9"/>
    <w:rsid w:val="00403411"/>
    <w:rsid w:val="0040454A"/>
    <w:rsid w:val="00413F83"/>
    <w:rsid w:val="00414094"/>
    <w:rsid w:val="0041490C"/>
    <w:rsid w:val="00416191"/>
    <w:rsid w:val="00416721"/>
    <w:rsid w:val="00421EF0"/>
    <w:rsid w:val="004224FA"/>
    <w:rsid w:val="00423D07"/>
    <w:rsid w:val="0042415D"/>
    <w:rsid w:val="00427936"/>
    <w:rsid w:val="00432B7E"/>
    <w:rsid w:val="00433969"/>
    <w:rsid w:val="00436D13"/>
    <w:rsid w:val="00440E72"/>
    <w:rsid w:val="0044116F"/>
    <w:rsid w:val="0044346F"/>
    <w:rsid w:val="004517DD"/>
    <w:rsid w:val="00451AB0"/>
    <w:rsid w:val="004534D7"/>
    <w:rsid w:val="00453DE8"/>
    <w:rsid w:val="00453FF6"/>
    <w:rsid w:val="00457C45"/>
    <w:rsid w:val="00457DE2"/>
    <w:rsid w:val="0046520A"/>
    <w:rsid w:val="00465234"/>
    <w:rsid w:val="004672AB"/>
    <w:rsid w:val="0047000F"/>
    <w:rsid w:val="004714FE"/>
    <w:rsid w:val="0047432E"/>
    <w:rsid w:val="00477BAA"/>
    <w:rsid w:val="00481D05"/>
    <w:rsid w:val="00486187"/>
    <w:rsid w:val="004911A9"/>
    <w:rsid w:val="00491C88"/>
    <w:rsid w:val="00495053"/>
    <w:rsid w:val="00497ABE"/>
    <w:rsid w:val="004A1F59"/>
    <w:rsid w:val="004A29BE"/>
    <w:rsid w:val="004A3225"/>
    <w:rsid w:val="004A33EE"/>
    <w:rsid w:val="004A3AA8"/>
    <w:rsid w:val="004A4FD5"/>
    <w:rsid w:val="004A55CF"/>
    <w:rsid w:val="004B13C7"/>
    <w:rsid w:val="004B21CA"/>
    <w:rsid w:val="004B3C94"/>
    <w:rsid w:val="004B60B0"/>
    <w:rsid w:val="004B67CE"/>
    <w:rsid w:val="004B7182"/>
    <w:rsid w:val="004B778F"/>
    <w:rsid w:val="004C0609"/>
    <w:rsid w:val="004C6153"/>
    <w:rsid w:val="004C639F"/>
    <w:rsid w:val="004D07D8"/>
    <w:rsid w:val="004D141F"/>
    <w:rsid w:val="004D2742"/>
    <w:rsid w:val="004D6310"/>
    <w:rsid w:val="004E0062"/>
    <w:rsid w:val="004E05A1"/>
    <w:rsid w:val="004E07BE"/>
    <w:rsid w:val="004F472A"/>
    <w:rsid w:val="004F4A1F"/>
    <w:rsid w:val="004F573F"/>
    <w:rsid w:val="004F5E57"/>
    <w:rsid w:val="004F5E7B"/>
    <w:rsid w:val="004F6710"/>
    <w:rsid w:val="00500C3E"/>
    <w:rsid w:val="00502849"/>
    <w:rsid w:val="00504334"/>
    <w:rsid w:val="0050498D"/>
    <w:rsid w:val="005052C6"/>
    <w:rsid w:val="00505B77"/>
    <w:rsid w:val="005060FE"/>
    <w:rsid w:val="005104D7"/>
    <w:rsid w:val="00510B9E"/>
    <w:rsid w:val="005172E8"/>
    <w:rsid w:val="005176CF"/>
    <w:rsid w:val="00530D97"/>
    <w:rsid w:val="0053323E"/>
    <w:rsid w:val="00534E08"/>
    <w:rsid w:val="00536BC2"/>
    <w:rsid w:val="005370BC"/>
    <w:rsid w:val="005377AB"/>
    <w:rsid w:val="00540D49"/>
    <w:rsid w:val="00541CA8"/>
    <w:rsid w:val="005425E1"/>
    <w:rsid w:val="005427C5"/>
    <w:rsid w:val="00542CF6"/>
    <w:rsid w:val="00544693"/>
    <w:rsid w:val="00553C03"/>
    <w:rsid w:val="00560DDA"/>
    <w:rsid w:val="005626C0"/>
    <w:rsid w:val="00563692"/>
    <w:rsid w:val="00565EC4"/>
    <w:rsid w:val="00567A6B"/>
    <w:rsid w:val="00567BEC"/>
    <w:rsid w:val="00571679"/>
    <w:rsid w:val="00571825"/>
    <w:rsid w:val="005742FD"/>
    <w:rsid w:val="005754D0"/>
    <w:rsid w:val="0057683B"/>
    <w:rsid w:val="005779FB"/>
    <w:rsid w:val="00584235"/>
    <w:rsid w:val="005844E7"/>
    <w:rsid w:val="005845F8"/>
    <w:rsid w:val="005908B8"/>
    <w:rsid w:val="005910DE"/>
    <w:rsid w:val="00592630"/>
    <w:rsid w:val="005933DA"/>
    <w:rsid w:val="00593FF4"/>
    <w:rsid w:val="0059512E"/>
    <w:rsid w:val="005952CD"/>
    <w:rsid w:val="005A2E60"/>
    <w:rsid w:val="005A3596"/>
    <w:rsid w:val="005A3D80"/>
    <w:rsid w:val="005A6DD2"/>
    <w:rsid w:val="005A74D8"/>
    <w:rsid w:val="005A7668"/>
    <w:rsid w:val="005A78E9"/>
    <w:rsid w:val="005B3639"/>
    <w:rsid w:val="005B4757"/>
    <w:rsid w:val="005B52D0"/>
    <w:rsid w:val="005B66D8"/>
    <w:rsid w:val="005C3052"/>
    <w:rsid w:val="005C385D"/>
    <w:rsid w:val="005C793B"/>
    <w:rsid w:val="005D1AEA"/>
    <w:rsid w:val="005D3B20"/>
    <w:rsid w:val="005D5771"/>
    <w:rsid w:val="005D5BFD"/>
    <w:rsid w:val="005D6C02"/>
    <w:rsid w:val="005D71B7"/>
    <w:rsid w:val="005E44FB"/>
    <w:rsid w:val="005E4759"/>
    <w:rsid w:val="005E5C68"/>
    <w:rsid w:val="005E65C0"/>
    <w:rsid w:val="005F0390"/>
    <w:rsid w:val="005F0B0F"/>
    <w:rsid w:val="005F69B6"/>
    <w:rsid w:val="006033D1"/>
    <w:rsid w:val="00603AFE"/>
    <w:rsid w:val="00606886"/>
    <w:rsid w:val="006072CD"/>
    <w:rsid w:val="00612023"/>
    <w:rsid w:val="00614190"/>
    <w:rsid w:val="00616524"/>
    <w:rsid w:val="00616E07"/>
    <w:rsid w:val="0062233A"/>
    <w:rsid w:val="00622A99"/>
    <w:rsid w:val="00622E67"/>
    <w:rsid w:val="00626B57"/>
    <w:rsid w:val="00626EDC"/>
    <w:rsid w:val="00630347"/>
    <w:rsid w:val="006310A4"/>
    <w:rsid w:val="0063209A"/>
    <w:rsid w:val="006333D6"/>
    <w:rsid w:val="00634B56"/>
    <w:rsid w:val="00637064"/>
    <w:rsid w:val="00642D4C"/>
    <w:rsid w:val="006452D3"/>
    <w:rsid w:val="00645FA4"/>
    <w:rsid w:val="006470EC"/>
    <w:rsid w:val="006514C7"/>
    <w:rsid w:val="00653E97"/>
    <w:rsid w:val="006542D6"/>
    <w:rsid w:val="0065598E"/>
    <w:rsid w:val="00655AF2"/>
    <w:rsid w:val="00655BC5"/>
    <w:rsid w:val="006568BE"/>
    <w:rsid w:val="0066025D"/>
    <w:rsid w:val="0066091A"/>
    <w:rsid w:val="00665B4E"/>
    <w:rsid w:val="00666B87"/>
    <w:rsid w:val="00667B9A"/>
    <w:rsid w:val="00670673"/>
    <w:rsid w:val="0067156C"/>
    <w:rsid w:val="00671F7E"/>
    <w:rsid w:val="00672CAC"/>
    <w:rsid w:val="00675EA7"/>
    <w:rsid w:val="006773EC"/>
    <w:rsid w:val="00680504"/>
    <w:rsid w:val="00681CD9"/>
    <w:rsid w:val="00683E30"/>
    <w:rsid w:val="00684ED8"/>
    <w:rsid w:val="00686100"/>
    <w:rsid w:val="00687024"/>
    <w:rsid w:val="006903B9"/>
    <w:rsid w:val="0069273E"/>
    <w:rsid w:val="00692770"/>
    <w:rsid w:val="006929C3"/>
    <w:rsid w:val="00692CF6"/>
    <w:rsid w:val="00695E22"/>
    <w:rsid w:val="00697F28"/>
    <w:rsid w:val="006A1720"/>
    <w:rsid w:val="006A3239"/>
    <w:rsid w:val="006A3298"/>
    <w:rsid w:val="006B12B2"/>
    <w:rsid w:val="006B2008"/>
    <w:rsid w:val="006B4498"/>
    <w:rsid w:val="006B5AE1"/>
    <w:rsid w:val="006B7093"/>
    <w:rsid w:val="006B7417"/>
    <w:rsid w:val="006C07D3"/>
    <w:rsid w:val="006C2315"/>
    <w:rsid w:val="006C3917"/>
    <w:rsid w:val="006C48E0"/>
    <w:rsid w:val="006C4D5A"/>
    <w:rsid w:val="006D108F"/>
    <w:rsid w:val="006D31F9"/>
    <w:rsid w:val="006D3691"/>
    <w:rsid w:val="006D50BB"/>
    <w:rsid w:val="006D668D"/>
    <w:rsid w:val="006E5C1E"/>
    <w:rsid w:val="006E5EF0"/>
    <w:rsid w:val="006E6DBE"/>
    <w:rsid w:val="006F3563"/>
    <w:rsid w:val="006F42B9"/>
    <w:rsid w:val="006F56FC"/>
    <w:rsid w:val="006F6103"/>
    <w:rsid w:val="00702882"/>
    <w:rsid w:val="0070342D"/>
    <w:rsid w:val="00704E00"/>
    <w:rsid w:val="00705308"/>
    <w:rsid w:val="0070581B"/>
    <w:rsid w:val="00705E57"/>
    <w:rsid w:val="00710A9A"/>
    <w:rsid w:val="007206E2"/>
    <w:rsid w:val="007209E7"/>
    <w:rsid w:val="00721C24"/>
    <w:rsid w:val="0072419E"/>
    <w:rsid w:val="00726182"/>
    <w:rsid w:val="00727635"/>
    <w:rsid w:val="00730504"/>
    <w:rsid w:val="00732329"/>
    <w:rsid w:val="00733496"/>
    <w:rsid w:val="007337CA"/>
    <w:rsid w:val="00733A39"/>
    <w:rsid w:val="00733FA5"/>
    <w:rsid w:val="00734CE4"/>
    <w:rsid w:val="00735123"/>
    <w:rsid w:val="00741837"/>
    <w:rsid w:val="00744C56"/>
    <w:rsid w:val="007453E6"/>
    <w:rsid w:val="00747587"/>
    <w:rsid w:val="007512F6"/>
    <w:rsid w:val="007546C2"/>
    <w:rsid w:val="00755F9D"/>
    <w:rsid w:val="007608A0"/>
    <w:rsid w:val="00760DF1"/>
    <w:rsid w:val="0076195B"/>
    <w:rsid w:val="00763C58"/>
    <w:rsid w:val="00764C02"/>
    <w:rsid w:val="00765A70"/>
    <w:rsid w:val="00766F42"/>
    <w:rsid w:val="007702CF"/>
    <w:rsid w:val="00770453"/>
    <w:rsid w:val="00771446"/>
    <w:rsid w:val="0077309D"/>
    <w:rsid w:val="007742DC"/>
    <w:rsid w:val="007774EE"/>
    <w:rsid w:val="00780B18"/>
    <w:rsid w:val="007812AE"/>
    <w:rsid w:val="00781822"/>
    <w:rsid w:val="00783F21"/>
    <w:rsid w:val="007861D6"/>
    <w:rsid w:val="00787159"/>
    <w:rsid w:val="0079043A"/>
    <w:rsid w:val="00791668"/>
    <w:rsid w:val="00791AA1"/>
    <w:rsid w:val="00793CDD"/>
    <w:rsid w:val="00795B28"/>
    <w:rsid w:val="007A3793"/>
    <w:rsid w:val="007A5A9A"/>
    <w:rsid w:val="007A7041"/>
    <w:rsid w:val="007B258E"/>
    <w:rsid w:val="007B28B4"/>
    <w:rsid w:val="007B790A"/>
    <w:rsid w:val="007B7BD1"/>
    <w:rsid w:val="007C1BA2"/>
    <w:rsid w:val="007C2B48"/>
    <w:rsid w:val="007C44B8"/>
    <w:rsid w:val="007C6275"/>
    <w:rsid w:val="007D20E9"/>
    <w:rsid w:val="007D4342"/>
    <w:rsid w:val="007D5E7D"/>
    <w:rsid w:val="007D6EE5"/>
    <w:rsid w:val="007D7881"/>
    <w:rsid w:val="007D7E3A"/>
    <w:rsid w:val="007E0E10"/>
    <w:rsid w:val="007E2E5B"/>
    <w:rsid w:val="007E4768"/>
    <w:rsid w:val="007E69D6"/>
    <w:rsid w:val="007E777B"/>
    <w:rsid w:val="007E7945"/>
    <w:rsid w:val="007E7CFC"/>
    <w:rsid w:val="007F1A12"/>
    <w:rsid w:val="007F2070"/>
    <w:rsid w:val="007F63C1"/>
    <w:rsid w:val="00800CAA"/>
    <w:rsid w:val="008053F5"/>
    <w:rsid w:val="00807AF7"/>
    <w:rsid w:val="00810198"/>
    <w:rsid w:val="00815DA8"/>
    <w:rsid w:val="0082184E"/>
    <w:rsid w:val="0082194D"/>
    <w:rsid w:val="008221F9"/>
    <w:rsid w:val="00826EF5"/>
    <w:rsid w:val="00826FDF"/>
    <w:rsid w:val="008277D8"/>
    <w:rsid w:val="00831693"/>
    <w:rsid w:val="00834273"/>
    <w:rsid w:val="00834E2A"/>
    <w:rsid w:val="00840104"/>
    <w:rsid w:val="00840C1F"/>
    <w:rsid w:val="008411C9"/>
    <w:rsid w:val="00841FC5"/>
    <w:rsid w:val="00843572"/>
    <w:rsid w:val="00843D0F"/>
    <w:rsid w:val="008451C5"/>
    <w:rsid w:val="00845709"/>
    <w:rsid w:val="00845B0A"/>
    <w:rsid w:val="0085015C"/>
    <w:rsid w:val="00854AC2"/>
    <w:rsid w:val="00855FBD"/>
    <w:rsid w:val="00856FD0"/>
    <w:rsid w:val="008576BD"/>
    <w:rsid w:val="00860463"/>
    <w:rsid w:val="00861336"/>
    <w:rsid w:val="00864BB1"/>
    <w:rsid w:val="0086534C"/>
    <w:rsid w:val="008671A1"/>
    <w:rsid w:val="00867E35"/>
    <w:rsid w:val="00870FEF"/>
    <w:rsid w:val="00871C0D"/>
    <w:rsid w:val="00872DE6"/>
    <w:rsid w:val="008733DA"/>
    <w:rsid w:val="008817C2"/>
    <w:rsid w:val="00885087"/>
    <w:rsid w:val="008850E4"/>
    <w:rsid w:val="00885EE0"/>
    <w:rsid w:val="0089193F"/>
    <w:rsid w:val="008939AB"/>
    <w:rsid w:val="008A12F5"/>
    <w:rsid w:val="008A537D"/>
    <w:rsid w:val="008A5A71"/>
    <w:rsid w:val="008A798F"/>
    <w:rsid w:val="008B1587"/>
    <w:rsid w:val="008B1B01"/>
    <w:rsid w:val="008B3BCD"/>
    <w:rsid w:val="008B5FA6"/>
    <w:rsid w:val="008B6DF8"/>
    <w:rsid w:val="008C106C"/>
    <w:rsid w:val="008C10F1"/>
    <w:rsid w:val="008C1926"/>
    <w:rsid w:val="008C1E99"/>
    <w:rsid w:val="008C49E3"/>
    <w:rsid w:val="008C513C"/>
    <w:rsid w:val="008C5D1A"/>
    <w:rsid w:val="008C62DF"/>
    <w:rsid w:val="008D46A5"/>
    <w:rsid w:val="008D7BF6"/>
    <w:rsid w:val="008E0085"/>
    <w:rsid w:val="008E0931"/>
    <w:rsid w:val="008E14DB"/>
    <w:rsid w:val="008E2973"/>
    <w:rsid w:val="008E2AA6"/>
    <w:rsid w:val="008E311B"/>
    <w:rsid w:val="008E6CCD"/>
    <w:rsid w:val="008F3207"/>
    <w:rsid w:val="008F3900"/>
    <w:rsid w:val="008F3BB9"/>
    <w:rsid w:val="008F46E7"/>
    <w:rsid w:val="008F51B9"/>
    <w:rsid w:val="008F64CA"/>
    <w:rsid w:val="008F676B"/>
    <w:rsid w:val="008F6F0B"/>
    <w:rsid w:val="008F7E4B"/>
    <w:rsid w:val="00907A01"/>
    <w:rsid w:val="00907BA7"/>
    <w:rsid w:val="0091064E"/>
    <w:rsid w:val="00911FC5"/>
    <w:rsid w:val="009146D4"/>
    <w:rsid w:val="00914E45"/>
    <w:rsid w:val="009219F1"/>
    <w:rsid w:val="00922A39"/>
    <w:rsid w:val="00925301"/>
    <w:rsid w:val="0092533F"/>
    <w:rsid w:val="00931A10"/>
    <w:rsid w:val="00933B07"/>
    <w:rsid w:val="009341F8"/>
    <w:rsid w:val="00944AC2"/>
    <w:rsid w:val="0094747D"/>
    <w:rsid w:val="00947967"/>
    <w:rsid w:val="00950372"/>
    <w:rsid w:val="00950770"/>
    <w:rsid w:val="00951A56"/>
    <w:rsid w:val="00954584"/>
    <w:rsid w:val="00955201"/>
    <w:rsid w:val="009605E9"/>
    <w:rsid w:val="00963CDE"/>
    <w:rsid w:val="00964D8F"/>
    <w:rsid w:val="00965200"/>
    <w:rsid w:val="0096538E"/>
    <w:rsid w:val="009668B3"/>
    <w:rsid w:val="00967AB6"/>
    <w:rsid w:val="00971129"/>
    <w:rsid w:val="00971471"/>
    <w:rsid w:val="009717DA"/>
    <w:rsid w:val="00976B3A"/>
    <w:rsid w:val="00983655"/>
    <w:rsid w:val="00983981"/>
    <w:rsid w:val="00983CE6"/>
    <w:rsid w:val="009849C2"/>
    <w:rsid w:val="00984D24"/>
    <w:rsid w:val="009858EB"/>
    <w:rsid w:val="009865DC"/>
    <w:rsid w:val="0099349B"/>
    <w:rsid w:val="00997281"/>
    <w:rsid w:val="009A0F11"/>
    <w:rsid w:val="009A13F4"/>
    <w:rsid w:val="009A2429"/>
    <w:rsid w:val="009A3F47"/>
    <w:rsid w:val="009A65B9"/>
    <w:rsid w:val="009B0046"/>
    <w:rsid w:val="009B0C7C"/>
    <w:rsid w:val="009B2119"/>
    <w:rsid w:val="009B3392"/>
    <w:rsid w:val="009B4A63"/>
    <w:rsid w:val="009C1440"/>
    <w:rsid w:val="009C2107"/>
    <w:rsid w:val="009C5D9E"/>
    <w:rsid w:val="009C6652"/>
    <w:rsid w:val="009D0443"/>
    <w:rsid w:val="009D0953"/>
    <w:rsid w:val="009D2C3E"/>
    <w:rsid w:val="009D6B07"/>
    <w:rsid w:val="009E0625"/>
    <w:rsid w:val="009E1E0D"/>
    <w:rsid w:val="009E2B2F"/>
    <w:rsid w:val="009E2FDE"/>
    <w:rsid w:val="009E3034"/>
    <w:rsid w:val="009E3195"/>
    <w:rsid w:val="009E50D4"/>
    <w:rsid w:val="009E549F"/>
    <w:rsid w:val="009E6CE6"/>
    <w:rsid w:val="009F0C47"/>
    <w:rsid w:val="009F13A2"/>
    <w:rsid w:val="009F28A8"/>
    <w:rsid w:val="009F473E"/>
    <w:rsid w:val="009F5247"/>
    <w:rsid w:val="009F59CA"/>
    <w:rsid w:val="009F682A"/>
    <w:rsid w:val="00A00016"/>
    <w:rsid w:val="00A022BE"/>
    <w:rsid w:val="00A06DF6"/>
    <w:rsid w:val="00A07B4B"/>
    <w:rsid w:val="00A105CF"/>
    <w:rsid w:val="00A21540"/>
    <w:rsid w:val="00A21E28"/>
    <w:rsid w:val="00A22120"/>
    <w:rsid w:val="00A24C95"/>
    <w:rsid w:val="00A2599A"/>
    <w:rsid w:val="00A26094"/>
    <w:rsid w:val="00A301BF"/>
    <w:rsid w:val="00A302B2"/>
    <w:rsid w:val="00A32416"/>
    <w:rsid w:val="00A32CDB"/>
    <w:rsid w:val="00A331B4"/>
    <w:rsid w:val="00A34706"/>
    <w:rsid w:val="00A3484E"/>
    <w:rsid w:val="00A356D3"/>
    <w:rsid w:val="00A36ADA"/>
    <w:rsid w:val="00A37263"/>
    <w:rsid w:val="00A37C4D"/>
    <w:rsid w:val="00A37C60"/>
    <w:rsid w:val="00A40514"/>
    <w:rsid w:val="00A41A36"/>
    <w:rsid w:val="00A434F9"/>
    <w:rsid w:val="00A438D8"/>
    <w:rsid w:val="00A46557"/>
    <w:rsid w:val="00A473F5"/>
    <w:rsid w:val="00A4765B"/>
    <w:rsid w:val="00A47E8C"/>
    <w:rsid w:val="00A51F9D"/>
    <w:rsid w:val="00A53999"/>
    <w:rsid w:val="00A5416A"/>
    <w:rsid w:val="00A558D4"/>
    <w:rsid w:val="00A56231"/>
    <w:rsid w:val="00A562B7"/>
    <w:rsid w:val="00A60395"/>
    <w:rsid w:val="00A60628"/>
    <w:rsid w:val="00A60916"/>
    <w:rsid w:val="00A60A9E"/>
    <w:rsid w:val="00A6375F"/>
    <w:rsid w:val="00A639F4"/>
    <w:rsid w:val="00A65864"/>
    <w:rsid w:val="00A65FAE"/>
    <w:rsid w:val="00A6792B"/>
    <w:rsid w:val="00A731F6"/>
    <w:rsid w:val="00A73F75"/>
    <w:rsid w:val="00A75147"/>
    <w:rsid w:val="00A7681F"/>
    <w:rsid w:val="00A80AFF"/>
    <w:rsid w:val="00A81379"/>
    <w:rsid w:val="00A81496"/>
    <w:rsid w:val="00A81A32"/>
    <w:rsid w:val="00A835BD"/>
    <w:rsid w:val="00A97B15"/>
    <w:rsid w:val="00AA0951"/>
    <w:rsid w:val="00AA42D5"/>
    <w:rsid w:val="00AA55CC"/>
    <w:rsid w:val="00AB1D29"/>
    <w:rsid w:val="00AB2FAB"/>
    <w:rsid w:val="00AB4092"/>
    <w:rsid w:val="00AB5C14"/>
    <w:rsid w:val="00AB6054"/>
    <w:rsid w:val="00AC1EE7"/>
    <w:rsid w:val="00AC333F"/>
    <w:rsid w:val="00AC585C"/>
    <w:rsid w:val="00AC61A6"/>
    <w:rsid w:val="00AC6B37"/>
    <w:rsid w:val="00AD1925"/>
    <w:rsid w:val="00AD2951"/>
    <w:rsid w:val="00AD65EE"/>
    <w:rsid w:val="00AD7358"/>
    <w:rsid w:val="00AD7669"/>
    <w:rsid w:val="00AE067D"/>
    <w:rsid w:val="00AE1BA3"/>
    <w:rsid w:val="00AE6BF5"/>
    <w:rsid w:val="00AF1181"/>
    <w:rsid w:val="00AF18EC"/>
    <w:rsid w:val="00AF2F79"/>
    <w:rsid w:val="00AF37EB"/>
    <w:rsid w:val="00AF4653"/>
    <w:rsid w:val="00AF4FF0"/>
    <w:rsid w:val="00AF7DB7"/>
    <w:rsid w:val="00B0180B"/>
    <w:rsid w:val="00B052AE"/>
    <w:rsid w:val="00B10D02"/>
    <w:rsid w:val="00B1387F"/>
    <w:rsid w:val="00B201E2"/>
    <w:rsid w:val="00B318AB"/>
    <w:rsid w:val="00B368C5"/>
    <w:rsid w:val="00B42E3A"/>
    <w:rsid w:val="00B443E4"/>
    <w:rsid w:val="00B448ED"/>
    <w:rsid w:val="00B44B06"/>
    <w:rsid w:val="00B5104B"/>
    <w:rsid w:val="00B54550"/>
    <w:rsid w:val="00B5484D"/>
    <w:rsid w:val="00B563EA"/>
    <w:rsid w:val="00B56CDF"/>
    <w:rsid w:val="00B60E51"/>
    <w:rsid w:val="00B6353D"/>
    <w:rsid w:val="00B63A54"/>
    <w:rsid w:val="00B65F5F"/>
    <w:rsid w:val="00B66BBF"/>
    <w:rsid w:val="00B71F7F"/>
    <w:rsid w:val="00B76E22"/>
    <w:rsid w:val="00B77D18"/>
    <w:rsid w:val="00B81650"/>
    <w:rsid w:val="00B8313A"/>
    <w:rsid w:val="00B85198"/>
    <w:rsid w:val="00B85E9D"/>
    <w:rsid w:val="00B87985"/>
    <w:rsid w:val="00B9074E"/>
    <w:rsid w:val="00B93503"/>
    <w:rsid w:val="00B944E7"/>
    <w:rsid w:val="00BA31E8"/>
    <w:rsid w:val="00BA55E0"/>
    <w:rsid w:val="00BA57D9"/>
    <w:rsid w:val="00BA6BD4"/>
    <w:rsid w:val="00BA6C7A"/>
    <w:rsid w:val="00BB115F"/>
    <w:rsid w:val="00BB17D1"/>
    <w:rsid w:val="00BB22C2"/>
    <w:rsid w:val="00BB3752"/>
    <w:rsid w:val="00BB6688"/>
    <w:rsid w:val="00BB6C63"/>
    <w:rsid w:val="00BC26D4"/>
    <w:rsid w:val="00BC365E"/>
    <w:rsid w:val="00BD430F"/>
    <w:rsid w:val="00BD693A"/>
    <w:rsid w:val="00BE0104"/>
    <w:rsid w:val="00BE0C80"/>
    <w:rsid w:val="00BE7AC4"/>
    <w:rsid w:val="00BF00F5"/>
    <w:rsid w:val="00BF07CB"/>
    <w:rsid w:val="00BF2A42"/>
    <w:rsid w:val="00BF3E2D"/>
    <w:rsid w:val="00BF4C59"/>
    <w:rsid w:val="00BF5F3E"/>
    <w:rsid w:val="00BF6E01"/>
    <w:rsid w:val="00C00A20"/>
    <w:rsid w:val="00C02F2B"/>
    <w:rsid w:val="00C03D8C"/>
    <w:rsid w:val="00C055EC"/>
    <w:rsid w:val="00C10DC9"/>
    <w:rsid w:val="00C12F8B"/>
    <w:rsid w:val="00C12FB3"/>
    <w:rsid w:val="00C14A00"/>
    <w:rsid w:val="00C14A85"/>
    <w:rsid w:val="00C17341"/>
    <w:rsid w:val="00C22405"/>
    <w:rsid w:val="00C22500"/>
    <w:rsid w:val="00C24EEF"/>
    <w:rsid w:val="00C25215"/>
    <w:rsid w:val="00C25CF6"/>
    <w:rsid w:val="00C26C36"/>
    <w:rsid w:val="00C32768"/>
    <w:rsid w:val="00C414CF"/>
    <w:rsid w:val="00C41BBA"/>
    <w:rsid w:val="00C431DF"/>
    <w:rsid w:val="00C456BD"/>
    <w:rsid w:val="00C460B3"/>
    <w:rsid w:val="00C50B21"/>
    <w:rsid w:val="00C52864"/>
    <w:rsid w:val="00C530DC"/>
    <w:rsid w:val="00C5350D"/>
    <w:rsid w:val="00C573AA"/>
    <w:rsid w:val="00C6123C"/>
    <w:rsid w:val="00C62C71"/>
    <w:rsid w:val="00C6311A"/>
    <w:rsid w:val="00C653A4"/>
    <w:rsid w:val="00C7084D"/>
    <w:rsid w:val="00C7315E"/>
    <w:rsid w:val="00C75895"/>
    <w:rsid w:val="00C76432"/>
    <w:rsid w:val="00C77710"/>
    <w:rsid w:val="00C81D3D"/>
    <w:rsid w:val="00C8333F"/>
    <w:rsid w:val="00C83C9F"/>
    <w:rsid w:val="00C913BD"/>
    <w:rsid w:val="00C92719"/>
    <w:rsid w:val="00C94840"/>
    <w:rsid w:val="00C94B04"/>
    <w:rsid w:val="00C97915"/>
    <w:rsid w:val="00C97E3B"/>
    <w:rsid w:val="00CA0413"/>
    <w:rsid w:val="00CA3868"/>
    <w:rsid w:val="00CA4EE3"/>
    <w:rsid w:val="00CA7F5C"/>
    <w:rsid w:val="00CB027F"/>
    <w:rsid w:val="00CB235B"/>
    <w:rsid w:val="00CB4FFE"/>
    <w:rsid w:val="00CC0EBB"/>
    <w:rsid w:val="00CC5366"/>
    <w:rsid w:val="00CC6297"/>
    <w:rsid w:val="00CC7690"/>
    <w:rsid w:val="00CD0A2F"/>
    <w:rsid w:val="00CD1986"/>
    <w:rsid w:val="00CD30FD"/>
    <w:rsid w:val="00CD54BF"/>
    <w:rsid w:val="00CD5BCE"/>
    <w:rsid w:val="00CD6070"/>
    <w:rsid w:val="00CD6846"/>
    <w:rsid w:val="00CE3188"/>
    <w:rsid w:val="00CE4D5C"/>
    <w:rsid w:val="00CE4FA6"/>
    <w:rsid w:val="00CE79BB"/>
    <w:rsid w:val="00CF05DA"/>
    <w:rsid w:val="00CF404F"/>
    <w:rsid w:val="00CF58EB"/>
    <w:rsid w:val="00CF6606"/>
    <w:rsid w:val="00CF6FEC"/>
    <w:rsid w:val="00D0020B"/>
    <w:rsid w:val="00D0086E"/>
    <w:rsid w:val="00D0106E"/>
    <w:rsid w:val="00D03D53"/>
    <w:rsid w:val="00D06383"/>
    <w:rsid w:val="00D13ED9"/>
    <w:rsid w:val="00D148FF"/>
    <w:rsid w:val="00D14CDC"/>
    <w:rsid w:val="00D2082F"/>
    <w:rsid w:val="00D20E85"/>
    <w:rsid w:val="00D24615"/>
    <w:rsid w:val="00D24B1B"/>
    <w:rsid w:val="00D26A5E"/>
    <w:rsid w:val="00D3020B"/>
    <w:rsid w:val="00D32F07"/>
    <w:rsid w:val="00D32FCA"/>
    <w:rsid w:val="00D3366C"/>
    <w:rsid w:val="00D33C9D"/>
    <w:rsid w:val="00D35FB2"/>
    <w:rsid w:val="00D37842"/>
    <w:rsid w:val="00D4154D"/>
    <w:rsid w:val="00D42049"/>
    <w:rsid w:val="00D42DC2"/>
    <w:rsid w:val="00D4302B"/>
    <w:rsid w:val="00D431A2"/>
    <w:rsid w:val="00D466FE"/>
    <w:rsid w:val="00D5172A"/>
    <w:rsid w:val="00D537E1"/>
    <w:rsid w:val="00D55BB2"/>
    <w:rsid w:val="00D55EF1"/>
    <w:rsid w:val="00D6091A"/>
    <w:rsid w:val="00D60F1B"/>
    <w:rsid w:val="00D63306"/>
    <w:rsid w:val="00D6605A"/>
    <w:rsid w:val="00D6695F"/>
    <w:rsid w:val="00D7021E"/>
    <w:rsid w:val="00D75420"/>
    <w:rsid w:val="00D75644"/>
    <w:rsid w:val="00D75C2B"/>
    <w:rsid w:val="00D76302"/>
    <w:rsid w:val="00D803F2"/>
    <w:rsid w:val="00D81656"/>
    <w:rsid w:val="00D83D87"/>
    <w:rsid w:val="00D84A6D"/>
    <w:rsid w:val="00D86A30"/>
    <w:rsid w:val="00D86CB7"/>
    <w:rsid w:val="00D91C57"/>
    <w:rsid w:val="00D973F7"/>
    <w:rsid w:val="00D97CB4"/>
    <w:rsid w:val="00D97DD4"/>
    <w:rsid w:val="00DA099D"/>
    <w:rsid w:val="00DA234E"/>
    <w:rsid w:val="00DA2933"/>
    <w:rsid w:val="00DA4821"/>
    <w:rsid w:val="00DA5A8A"/>
    <w:rsid w:val="00DB1170"/>
    <w:rsid w:val="00DB26CD"/>
    <w:rsid w:val="00DB441C"/>
    <w:rsid w:val="00DB44AF"/>
    <w:rsid w:val="00DB5268"/>
    <w:rsid w:val="00DC1352"/>
    <w:rsid w:val="00DC135F"/>
    <w:rsid w:val="00DC1F58"/>
    <w:rsid w:val="00DC339B"/>
    <w:rsid w:val="00DC3EF2"/>
    <w:rsid w:val="00DC5D40"/>
    <w:rsid w:val="00DC63C9"/>
    <w:rsid w:val="00DC69A7"/>
    <w:rsid w:val="00DD1088"/>
    <w:rsid w:val="00DD30E9"/>
    <w:rsid w:val="00DD38F3"/>
    <w:rsid w:val="00DD3A93"/>
    <w:rsid w:val="00DD4F47"/>
    <w:rsid w:val="00DD7FBB"/>
    <w:rsid w:val="00DE0B9F"/>
    <w:rsid w:val="00DE2616"/>
    <w:rsid w:val="00DE269C"/>
    <w:rsid w:val="00DE2A9E"/>
    <w:rsid w:val="00DE34F1"/>
    <w:rsid w:val="00DE4238"/>
    <w:rsid w:val="00DE657F"/>
    <w:rsid w:val="00DF1218"/>
    <w:rsid w:val="00DF207B"/>
    <w:rsid w:val="00DF3402"/>
    <w:rsid w:val="00DF370D"/>
    <w:rsid w:val="00DF38E6"/>
    <w:rsid w:val="00DF6462"/>
    <w:rsid w:val="00E02FA0"/>
    <w:rsid w:val="00E036DC"/>
    <w:rsid w:val="00E03D11"/>
    <w:rsid w:val="00E10454"/>
    <w:rsid w:val="00E112E5"/>
    <w:rsid w:val="00E122D8"/>
    <w:rsid w:val="00E12CC8"/>
    <w:rsid w:val="00E15352"/>
    <w:rsid w:val="00E201E6"/>
    <w:rsid w:val="00E21CC7"/>
    <w:rsid w:val="00E22D16"/>
    <w:rsid w:val="00E24604"/>
    <w:rsid w:val="00E24D9E"/>
    <w:rsid w:val="00E251CA"/>
    <w:rsid w:val="00E25849"/>
    <w:rsid w:val="00E26114"/>
    <w:rsid w:val="00E26804"/>
    <w:rsid w:val="00E26DE7"/>
    <w:rsid w:val="00E30F09"/>
    <w:rsid w:val="00E3197E"/>
    <w:rsid w:val="00E31C62"/>
    <w:rsid w:val="00E342B6"/>
    <w:rsid w:val="00E342F8"/>
    <w:rsid w:val="00E351ED"/>
    <w:rsid w:val="00E412C4"/>
    <w:rsid w:val="00E42B19"/>
    <w:rsid w:val="00E45A14"/>
    <w:rsid w:val="00E4648F"/>
    <w:rsid w:val="00E6034B"/>
    <w:rsid w:val="00E6549E"/>
    <w:rsid w:val="00E65B00"/>
    <w:rsid w:val="00E65EDE"/>
    <w:rsid w:val="00E70989"/>
    <w:rsid w:val="00E70F81"/>
    <w:rsid w:val="00E71122"/>
    <w:rsid w:val="00E7156A"/>
    <w:rsid w:val="00E7282A"/>
    <w:rsid w:val="00E77055"/>
    <w:rsid w:val="00E77460"/>
    <w:rsid w:val="00E8154D"/>
    <w:rsid w:val="00E815E3"/>
    <w:rsid w:val="00E83ABC"/>
    <w:rsid w:val="00E844F2"/>
    <w:rsid w:val="00E90AD0"/>
    <w:rsid w:val="00E92FCB"/>
    <w:rsid w:val="00EA147F"/>
    <w:rsid w:val="00EA4A27"/>
    <w:rsid w:val="00EA4AA7"/>
    <w:rsid w:val="00EA4FA6"/>
    <w:rsid w:val="00EB0F21"/>
    <w:rsid w:val="00EB1A25"/>
    <w:rsid w:val="00EB3E76"/>
    <w:rsid w:val="00EB4ED9"/>
    <w:rsid w:val="00EB5EC2"/>
    <w:rsid w:val="00EB6EEC"/>
    <w:rsid w:val="00EB7886"/>
    <w:rsid w:val="00EC7363"/>
    <w:rsid w:val="00ED02C7"/>
    <w:rsid w:val="00ED03AB"/>
    <w:rsid w:val="00ED18C8"/>
    <w:rsid w:val="00ED1963"/>
    <w:rsid w:val="00ED1CD4"/>
    <w:rsid w:val="00ED1D2B"/>
    <w:rsid w:val="00ED2708"/>
    <w:rsid w:val="00ED2EF6"/>
    <w:rsid w:val="00ED3280"/>
    <w:rsid w:val="00ED64B5"/>
    <w:rsid w:val="00ED672B"/>
    <w:rsid w:val="00EE4038"/>
    <w:rsid w:val="00EE63BC"/>
    <w:rsid w:val="00EE7CCA"/>
    <w:rsid w:val="00EF17B3"/>
    <w:rsid w:val="00EF7DD4"/>
    <w:rsid w:val="00F06E53"/>
    <w:rsid w:val="00F07221"/>
    <w:rsid w:val="00F148F6"/>
    <w:rsid w:val="00F16A14"/>
    <w:rsid w:val="00F25AC2"/>
    <w:rsid w:val="00F326DB"/>
    <w:rsid w:val="00F35BDB"/>
    <w:rsid w:val="00F362D7"/>
    <w:rsid w:val="00F3713B"/>
    <w:rsid w:val="00F37D7B"/>
    <w:rsid w:val="00F44F96"/>
    <w:rsid w:val="00F45536"/>
    <w:rsid w:val="00F5314C"/>
    <w:rsid w:val="00F54514"/>
    <w:rsid w:val="00F550F1"/>
    <w:rsid w:val="00F56462"/>
    <w:rsid w:val="00F5688C"/>
    <w:rsid w:val="00F60048"/>
    <w:rsid w:val="00F6059B"/>
    <w:rsid w:val="00F635DD"/>
    <w:rsid w:val="00F647F7"/>
    <w:rsid w:val="00F6627B"/>
    <w:rsid w:val="00F71AD3"/>
    <w:rsid w:val="00F7336E"/>
    <w:rsid w:val="00F734F2"/>
    <w:rsid w:val="00F7428B"/>
    <w:rsid w:val="00F75052"/>
    <w:rsid w:val="00F7543C"/>
    <w:rsid w:val="00F7670B"/>
    <w:rsid w:val="00F8039B"/>
    <w:rsid w:val="00F804D3"/>
    <w:rsid w:val="00F816CB"/>
    <w:rsid w:val="00F81CD2"/>
    <w:rsid w:val="00F82641"/>
    <w:rsid w:val="00F82851"/>
    <w:rsid w:val="00F82959"/>
    <w:rsid w:val="00F879B4"/>
    <w:rsid w:val="00F90B78"/>
    <w:rsid w:val="00F90F18"/>
    <w:rsid w:val="00F937E4"/>
    <w:rsid w:val="00F94003"/>
    <w:rsid w:val="00F95B51"/>
    <w:rsid w:val="00F95EE7"/>
    <w:rsid w:val="00F97BFE"/>
    <w:rsid w:val="00FA06F1"/>
    <w:rsid w:val="00FA0F81"/>
    <w:rsid w:val="00FA39E6"/>
    <w:rsid w:val="00FA7BC9"/>
    <w:rsid w:val="00FB3140"/>
    <w:rsid w:val="00FB3236"/>
    <w:rsid w:val="00FB378E"/>
    <w:rsid w:val="00FB37F1"/>
    <w:rsid w:val="00FB47C0"/>
    <w:rsid w:val="00FB501B"/>
    <w:rsid w:val="00FB55F3"/>
    <w:rsid w:val="00FB719A"/>
    <w:rsid w:val="00FB7770"/>
    <w:rsid w:val="00FB7DCE"/>
    <w:rsid w:val="00FC5DFE"/>
    <w:rsid w:val="00FD3B91"/>
    <w:rsid w:val="00FD3FF0"/>
    <w:rsid w:val="00FD576B"/>
    <w:rsid w:val="00FD579E"/>
    <w:rsid w:val="00FD6845"/>
    <w:rsid w:val="00FD759C"/>
    <w:rsid w:val="00FE1848"/>
    <w:rsid w:val="00FE2F4B"/>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9CB8E66-3D46-4D25-A1CD-91DC528D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E412C4"/>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156B2F"/>
    <w:pPr>
      <w:snapToGrid w:val="0"/>
      <w:jc w:val="left"/>
    </w:pPr>
    <w:rPr>
      <w:sz w:val="20"/>
    </w:rPr>
  </w:style>
  <w:style w:type="character" w:customStyle="1" w:styleId="afd">
    <w:name w:val="註腳文字 字元"/>
    <w:basedOn w:val="a7"/>
    <w:link w:val="afc"/>
    <w:uiPriority w:val="99"/>
    <w:semiHidden/>
    <w:rsid w:val="00156B2F"/>
    <w:rPr>
      <w:rFonts w:ascii="標楷體" w:eastAsia="標楷體"/>
      <w:kern w:val="2"/>
    </w:rPr>
  </w:style>
  <w:style w:type="character" w:styleId="afe">
    <w:name w:val="footnote reference"/>
    <w:basedOn w:val="a7"/>
    <w:uiPriority w:val="99"/>
    <w:semiHidden/>
    <w:unhideWhenUsed/>
    <w:rsid w:val="00156B2F"/>
    <w:rPr>
      <w:vertAlign w:val="superscript"/>
    </w:rPr>
  </w:style>
  <w:style w:type="paragraph" w:customStyle="1" w:styleId="Default">
    <w:name w:val="Default"/>
    <w:rsid w:val="00EF17B3"/>
    <w:pPr>
      <w:widowControl w:val="0"/>
      <w:autoSpaceDE w:val="0"/>
      <w:autoSpaceDN w:val="0"/>
      <w:adjustRightInd w:val="0"/>
    </w:pPr>
    <w:rPr>
      <w:rFonts w:ascii="標楷體" w:eastAsia="標楷體" w:hAnsiTheme="minorHAns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6036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law.moj.gov.tw/LawClass/LawSingle.aspx?Pcode=C0010001&amp;FLNO=3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02D73-F228-41C6-8FA8-687A41E4F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15</Pages>
  <Words>1387</Words>
  <Characters>7906</Characters>
  <Application>Microsoft Office Word</Application>
  <DocSecurity>0</DocSecurity>
  <Lines>65</Lines>
  <Paragraphs>18</Paragraphs>
  <ScaleCrop>false</ScaleCrop>
  <Company>cy</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楊華璇</cp:lastModifiedBy>
  <cp:revision>3</cp:revision>
  <cp:lastPrinted>2021-03-03T06:15:00Z</cp:lastPrinted>
  <dcterms:created xsi:type="dcterms:W3CDTF">2021-03-11T08:55:00Z</dcterms:created>
  <dcterms:modified xsi:type="dcterms:W3CDTF">2021-03-11T08:56:00Z</dcterms:modified>
</cp:coreProperties>
</file>