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F38FA" w:rsidRPr="004D141F" w:rsidRDefault="00BF38FA" w:rsidP="00F37D7B">
      <w:pPr>
        <w:pStyle w:val="af6"/>
        <w:rPr>
          <w:rFonts w:cs="Times New Roman"/>
        </w:rPr>
      </w:pPr>
      <w:r w:rsidRPr="004D141F">
        <w:rPr>
          <w:rFonts w:hint="eastAsia"/>
        </w:rPr>
        <w:t>調查報告</w:t>
      </w:r>
    </w:p>
    <w:p w:rsidR="00BF38FA" w:rsidRDefault="00BF38FA" w:rsidP="00481C9A">
      <w:pPr>
        <w:pStyle w:val="1"/>
        <w:rPr>
          <w:rFonts w:cs="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fldChar w:fldCharType="begin"/>
      </w:r>
      <w:r>
        <w:instrText xml:space="preserve"> MERGEFIELD </w:instrText>
      </w:r>
      <w:r>
        <w:rPr>
          <w:rFonts w:hint="eastAsia"/>
        </w:rPr>
        <w:instrText>案由</w:instrText>
      </w:r>
      <w:r>
        <w:instrText xml:space="preserve"> </w:instrText>
      </w:r>
      <w:r>
        <w:fldChar w:fldCharType="separate"/>
      </w:r>
      <w:bookmarkEnd w:id="11"/>
      <w:r w:rsidRPr="006838E5">
        <w:rPr>
          <w:rFonts w:hint="eastAsia"/>
          <w:noProof/>
        </w:rPr>
        <w:t>審計部函報：交通部高速公路局辦理高速公路地磅作業及超載車輛管理執行情形，據報核有未盡職責及效能過低情事，</w:t>
      </w:r>
      <w:r w:rsidR="00481C9A" w:rsidRPr="00481C9A">
        <w:rPr>
          <w:rFonts w:hint="eastAsia"/>
          <w:noProof/>
        </w:rPr>
        <w:t>經依審計法第69條第1項前段規定通知交通部查明妥處並陳報本院，復因交通部未為負責之答復，</w:t>
      </w:r>
      <w:r w:rsidRPr="006838E5">
        <w:rPr>
          <w:rFonts w:hint="eastAsia"/>
          <w:noProof/>
        </w:rPr>
        <w:t>爰依審計法第</w:t>
      </w:r>
      <w:r w:rsidRPr="006838E5">
        <w:rPr>
          <w:noProof/>
        </w:rPr>
        <w:t>20</w:t>
      </w:r>
      <w:r w:rsidRPr="006838E5">
        <w:rPr>
          <w:rFonts w:hint="eastAsia"/>
          <w:noProof/>
        </w:rPr>
        <w:t>條第</w:t>
      </w:r>
      <w:r w:rsidRPr="006838E5">
        <w:rPr>
          <w:noProof/>
        </w:rPr>
        <w:t>2</w:t>
      </w:r>
      <w:r w:rsidRPr="006838E5">
        <w:rPr>
          <w:rFonts w:hint="eastAsia"/>
          <w:noProof/>
        </w:rPr>
        <w:t>項規定報院核辦乙案。</w:t>
      </w:r>
      <w:bookmarkEnd w:id="10"/>
      <w: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BF38FA" w:rsidRDefault="00BF38FA" w:rsidP="004E05A1">
      <w:pPr>
        <w:pStyle w:val="1"/>
        <w:ind w:left="2380" w:hanging="2380"/>
        <w:rPr>
          <w:rFonts w:cs="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BF38FA" w:rsidRDefault="00BF38FA" w:rsidP="0024697B">
      <w:pPr>
        <w:pStyle w:val="11"/>
        <w:ind w:left="680" w:firstLine="680"/>
        <w:rPr>
          <w:rFonts w:cs="Times New Roman"/>
        </w:rPr>
      </w:pPr>
      <w:bookmarkStart w:id="59" w:name="_Toc524902730"/>
      <w:r w:rsidRPr="00E76831">
        <w:rPr>
          <w:rFonts w:hint="eastAsia"/>
        </w:rPr>
        <w:t>審計部函報：交通部高速公路局</w:t>
      </w:r>
      <w:r>
        <w:rPr>
          <w:rFonts w:hint="eastAsia"/>
        </w:rPr>
        <w:t>（下稱高公局）</w:t>
      </w:r>
      <w:r w:rsidRPr="00E76831">
        <w:rPr>
          <w:rFonts w:hint="eastAsia"/>
        </w:rPr>
        <w:t>辦理高速公路地磅作業及超載車輛管理執行情形，據報核有未盡職責及效能過低情事，</w:t>
      </w:r>
      <w:r w:rsidR="00B73964">
        <w:rPr>
          <w:rFonts w:hint="eastAsia"/>
        </w:rPr>
        <w:t>經依審計法第69條第1項</w:t>
      </w:r>
      <w:r w:rsidR="006B0613">
        <w:rPr>
          <w:rFonts w:hint="eastAsia"/>
        </w:rPr>
        <w:t>前段</w:t>
      </w:r>
      <w:r w:rsidR="00B73964">
        <w:rPr>
          <w:rFonts w:hint="eastAsia"/>
        </w:rPr>
        <w:t>規定</w:t>
      </w:r>
      <w:r w:rsidR="006B0613">
        <w:rPr>
          <w:rFonts w:hint="eastAsia"/>
        </w:rPr>
        <w:t>通知交通部查明妥處並</w:t>
      </w:r>
      <w:r w:rsidR="00B73964">
        <w:rPr>
          <w:rFonts w:hint="eastAsia"/>
        </w:rPr>
        <w:t>陳報本院，復因交通部未為負責之答復，</w:t>
      </w:r>
      <w:r w:rsidRPr="00E76831">
        <w:rPr>
          <w:rFonts w:hint="eastAsia"/>
        </w:rPr>
        <w:t>爰依審計法第</w:t>
      </w:r>
      <w:r w:rsidRPr="00E76831">
        <w:t>20</w:t>
      </w:r>
      <w:r w:rsidRPr="00E76831">
        <w:rPr>
          <w:rFonts w:hint="eastAsia"/>
        </w:rPr>
        <w:t>條第</w:t>
      </w:r>
      <w:r w:rsidRPr="00E76831">
        <w:t>2</w:t>
      </w:r>
      <w:r w:rsidRPr="00E76831">
        <w:rPr>
          <w:rFonts w:hint="eastAsia"/>
        </w:rPr>
        <w:t>項規定報院核辦乙案</w:t>
      </w:r>
      <w:r>
        <w:rPr>
          <w:rFonts w:hint="eastAsia"/>
        </w:rPr>
        <w:t>，</w:t>
      </w:r>
      <w:r w:rsidRPr="009C7FF2">
        <w:rPr>
          <w:rFonts w:hint="eastAsia"/>
        </w:rPr>
        <w:t>已調查竣</w:t>
      </w:r>
      <w:r>
        <w:rPr>
          <w:rFonts w:hint="eastAsia"/>
        </w:rPr>
        <w:t>事</w:t>
      </w:r>
      <w:r w:rsidRPr="009C7FF2">
        <w:rPr>
          <w:rFonts w:hint="eastAsia"/>
        </w:rPr>
        <w:t>，</w:t>
      </w:r>
      <w:r>
        <w:rPr>
          <w:rFonts w:hint="eastAsia"/>
        </w:rPr>
        <w:t>茲臚</w:t>
      </w:r>
      <w:r w:rsidRPr="009C7FF2">
        <w:rPr>
          <w:rFonts w:hint="eastAsia"/>
        </w:rPr>
        <w:t>列調查意見如下：</w:t>
      </w:r>
    </w:p>
    <w:p w:rsidR="00BF38FA" w:rsidRPr="006B0613" w:rsidRDefault="00BF38FA" w:rsidP="006F3D47">
      <w:pPr>
        <w:pStyle w:val="2"/>
        <w:rPr>
          <w:rFonts w:cs="Times New Roman"/>
          <w:b/>
        </w:rPr>
      </w:pPr>
      <w:r w:rsidRPr="006B0613">
        <w:rPr>
          <w:rFonts w:hint="eastAsia"/>
          <w:b/>
        </w:rPr>
        <w:t>汽車裝載貨物行經高速公路地磅站，經過磅顯示違規超載，其中未有員警到場而未予取締案件，高公局認為該局無舉發職權，遂</w:t>
      </w:r>
      <w:r w:rsidRPr="006B0613">
        <w:rPr>
          <w:rFonts w:hint="eastAsia"/>
          <w:b/>
          <w:color w:val="000000"/>
        </w:rPr>
        <w:t>將超載未取締案件資料函送轄區相關</w:t>
      </w:r>
      <w:r w:rsidR="006F3D47">
        <w:rPr>
          <w:rFonts w:hint="eastAsia"/>
          <w:b/>
          <w:color w:val="000000"/>
        </w:rPr>
        <w:t>公警大隊</w:t>
      </w:r>
      <w:r w:rsidRPr="006B0613">
        <w:rPr>
          <w:rFonts w:hint="eastAsia"/>
          <w:b/>
          <w:color w:val="000000"/>
        </w:rPr>
        <w:t>，而公警大隊</w:t>
      </w:r>
      <w:r w:rsidR="006F3D47">
        <w:rPr>
          <w:rFonts w:hint="eastAsia"/>
          <w:b/>
          <w:color w:val="000000"/>
        </w:rPr>
        <w:t>則依警政署函示，</w:t>
      </w:r>
      <w:r w:rsidR="00B73964" w:rsidRPr="006B0613">
        <w:rPr>
          <w:rFonts w:hint="eastAsia"/>
          <w:b/>
          <w:color w:val="000000"/>
        </w:rPr>
        <w:t>認為</w:t>
      </w:r>
      <w:r w:rsidR="006B0613" w:rsidRPr="006B0613">
        <w:rPr>
          <w:rFonts w:hint="eastAsia"/>
          <w:b/>
          <w:color w:val="000000"/>
        </w:rPr>
        <w:t>上述案件因未符道路交通管理處罰條例第</w:t>
      </w:r>
      <w:r w:rsidR="006B0613" w:rsidRPr="006B0613">
        <w:rPr>
          <w:b/>
          <w:color w:val="000000"/>
        </w:rPr>
        <w:t>7</w:t>
      </w:r>
      <w:r w:rsidR="006B0613" w:rsidRPr="006B0613">
        <w:rPr>
          <w:rFonts w:hint="eastAsia"/>
          <w:b/>
          <w:color w:val="000000"/>
        </w:rPr>
        <w:t>條之</w:t>
      </w:r>
      <w:r w:rsidR="006B0613" w:rsidRPr="006B0613">
        <w:rPr>
          <w:b/>
          <w:color w:val="000000"/>
        </w:rPr>
        <w:t>2</w:t>
      </w:r>
      <w:r w:rsidR="00C4004B">
        <w:rPr>
          <w:rFonts w:hint="eastAsia"/>
          <w:b/>
          <w:color w:val="000000"/>
        </w:rPr>
        <w:t>第1項</w:t>
      </w:r>
      <w:r w:rsidR="006B0613" w:rsidRPr="006B0613">
        <w:rPr>
          <w:rFonts w:hint="eastAsia"/>
          <w:b/>
          <w:color w:val="000000"/>
        </w:rPr>
        <w:t>規定「當場不能或不宜攔截」之適用要件，依法不得逕行舉發，</w:t>
      </w:r>
      <w:r w:rsidR="006B0613">
        <w:rPr>
          <w:rFonts w:hint="eastAsia"/>
          <w:b/>
          <w:color w:val="000000"/>
        </w:rPr>
        <w:t>爰</w:t>
      </w:r>
      <w:r w:rsidRPr="006B0613">
        <w:rPr>
          <w:rFonts w:hint="eastAsia"/>
          <w:b/>
          <w:color w:val="000000"/>
        </w:rPr>
        <w:t>復請高公局本於權責卓處。</w:t>
      </w:r>
      <w:r w:rsidRPr="006B0613">
        <w:rPr>
          <w:rFonts w:hint="eastAsia"/>
          <w:b/>
        </w:rPr>
        <w:t>高公局與警</w:t>
      </w:r>
      <w:r w:rsidR="006F3D47">
        <w:rPr>
          <w:rFonts w:hint="eastAsia"/>
          <w:b/>
        </w:rPr>
        <w:t>政署</w:t>
      </w:r>
      <w:r w:rsidRPr="006B0613">
        <w:rPr>
          <w:rFonts w:hint="eastAsia"/>
          <w:b/>
        </w:rPr>
        <w:t>之認事用法存有極大差異，</w:t>
      </w:r>
      <w:r w:rsidR="00F25C75">
        <w:rPr>
          <w:rFonts w:hint="eastAsia"/>
          <w:b/>
        </w:rPr>
        <w:t>且歷時多年，</w:t>
      </w:r>
      <w:r w:rsidR="00E74D69">
        <w:rPr>
          <w:rFonts w:hint="eastAsia"/>
          <w:b/>
        </w:rPr>
        <w:t>延宕至今</w:t>
      </w:r>
      <w:r w:rsidR="00F25C75">
        <w:rPr>
          <w:rFonts w:hint="eastAsia"/>
          <w:b/>
        </w:rPr>
        <w:t>均未</w:t>
      </w:r>
      <w:r w:rsidR="00FB2432">
        <w:rPr>
          <w:rFonts w:hint="eastAsia"/>
          <w:b/>
        </w:rPr>
        <w:t>能</w:t>
      </w:r>
      <w:r w:rsidR="00F25C75">
        <w:rPr>
          <w:rFonts w:hint="eastAsia"/>
          <w:b/>
        </w:rPr>
        <w:t>解決舉發職權之歸屬，</w:t>
      </w:r>
      <w:r w:rsidRPr="006B0613">
        <w:rPr>
          <w:rFonts w:hint="eastAsia"/>
          <w:b/>
        </w:rPr>
        <w:t>肇致上述</w:t>
      </w:r>
      <w:r w:rsidRPr="006B0613">
        <w:rPr>
          <w:rFonts w:hint="eastAsia"/>
          <w:b/>
          <w:color w:val="000000"/>
        </w:rPr>
        <w:t>超載未取締</w:t>
      </w:r>
      <w:r w:rsidRPr="006B0613">
        <w:rPr>
          <w:rFonts w:hint="eastAsia"/>
          <w:b/>
        </w:rPr>
        <w:t>案件一再發生，</w:t>
      </w:r>
      <w:r w:rsidR="00DF131F" w:rsidRPr="006B0613">
        <w:rPr>
          <w:rFonts w:hAnsi="標楷體" w:hint="eastAsia"/>
          <w:b/>
          <w:bCs/>
        </w:rPr>
        <w:t>5年多來已有近3成違規案件</w:t>
      </w:r>
      <w:r w:rsidR="00B73964" w:rsidRPr="006B0613">
        <w:rPr>
          <w:rFonts w:hAnsi="標楷體" w:hint="eastAsia"/>
          <w:b/>
          <w:bCs/>
        </w:rPr>
        <w:t>車輛</w:t>
      </w:r>
      <w:r w:rsidR="00DF131F" w:rsidRPr="006B0613">
        <w:rPr>
          <w:rFonts w:hAnsi="標楷體" w:hint="eastAsia"/>
          <w:b/>
          <w:bCs/>
        </w:rPr>
        <w:t>行駛於國道，</w:t>
      </w:r>
      <w:r w:rsidR="00237438" w:rsidRPr="006B0613">
        <w:rPr>
          <w:rFonts w:hAnsi="標楷體" w:hint="eastAsia"/>
          <w:b/>
          <w:bCs/>
        </w:rPr>
        <w:t>相關機</w:t>
      </w:r>
      <w:r w:rsidR="00237438" w:rsidRPr="00E74D69">
        <w:rPr>
          <w:rFonts w:hint="eastAsia"/>
          <w:b/>
        </w:rPr>
        <w:t>關</w:t>
      </w:r>
      <w:r w:rsidR="00DB4EBD">
        <w:rPr>
          <w:rFonts w:hint="eastAsia"/>
          <w:b/>
        </w:rPr>
        <w:t>相互推諉，</w:t>
      </w:r>
      <w:r w:rsidRPr="006B0613">
        <w:rPr>
          <w:rFonts w:hint="eastAsia"/>
          <w:b/>
        </w:rPr>
        <w:t>未積極謀求解決方案，</w:t>
      </w:r>
      <w:r w:rsidR="00E74D69">
        <w:rPr>
          <w:rFonts w:hint="eastAsia"/>
          <w:b/>
        </w:rPr>
        <w:t>及時提出有效對策，</w:t>
      </w:r>
      <w:r w:rsidR="00E74D69" w:rsidRPr="00E74D69">
        <w:rPr>
          <w:rFonts w:hint="eastAsia"/>
          <w:b/>
        </w:rPr>
        <w:t>置政府公權力於不顧，</w:t>
      </w:r>
      <w:r w:rsidRPr="006B0613">
        <w:rPr>
          <w:rFonts w:hint="eastAsia"/>
          <w:b/>
        </w:rPr>
        <w:t>核有違失。</w:t>
      </w:r>
    </w:p>
    <w:p w:rsidR="00BF38FA" w:rsidRDefault="00BF38FA" w:rsidP="00D75712">
      <w:pPr>
        <w:pStyle w:val="3"/>
        <w:rPr>
          <w:rFonts w:cs="Times New Roman"/>
        </w:rPr>
      </w:pPr>
      <w:r>
        <w:rPr>
          <w:rFonts w:hint="eastAsia"/>
        </w:rPr>
        <w:t>按</w:t>
      </w:r>
      <w:r w:rsidRPr="00F14D42">
        <w:rPr>
          <w:rFonts w:hint="eastAsia"/>
        </w:rPr>
        <w:t>道路交通管理處罰條例</w:t>
      </w:r>
      <w:r w:rsidRPr="00F14D42">
        <w:t>(</w:t>
      </w:r>
      <w:r w:rsidRPr="00F14D42">
        <w:rPr>
          <w:rFonts w:hint="eastAsia"/>
        </w:rPr>
        <w:t>下稱處罰條例</w:t>
      </w:r>
      <w:r w:rsidRPr="00F14D42">
        <w:t>)</w:t>
      </w:r>
      <w:r w:rsidRPr="00F14D42">
        <w:rPr>
          <w:rFonts w:hint="eastAsia"/>
        </w:rPr>
        <w:t>第</w:t>
      </w:r>
      <w:r w:rsidRPr="00F14D42">
        <w:t>7</w:t>
      </w:r>
      <w:r w:rsidRPr="00F14D42">
        <w:rPr>
          <w:rFonts w:hint="eastAsia"/>
        </w:rPr>
        <w:t>條</w:t>
      </w:r>
      <w:r w:rsidR="00B3458C">
        <w:rPr>
          <w:rFonts w:hint="eastAsia"/>
        </w:rPr>
        <w:t>第1項</w:t>
      </w:r>
      <w:r>
        <w:rPr>
          <w:rFonts w:hint="eastAsia"/>
        </w:rPr>
        <w:t>規定</w:t>
      </w:r>
      <w:r w:rsidRPr="00F14D42">
        <w:rPr>
          <w:rFonts w:hint="eastAsia"/>
        </w:rPr>
        <w:t>，道路交通管理之稽查，違規紀錄，由交通</w:t>
      </w:r>
      <w:r w:rsidRPr="00F14D42">
        <w:rPr>
          <w:rFonts w:hint="eastAsia"/>
        </w:rPr>
        <w:lastRenderedPageBreak/>
        <w:t>勤務警察，或依法令執行交通稽查任務人員執行之</w:t>
      </w:r>
      <w:r w:rsidR="00460977">
        <w:rPr>
          <w:rFonts w:hint="eastAsia"/>
        </w:rPr>
        <w:t>。</w:t>
      </w:r>
      <w:r w:rsidRPr="00403576">
        <w:rPr>
          <w:rFonts w:hint="eastAsia"/>
        </w:rPr>
        <w:t>道路交通管理事件統一裁罰基準及處理細則</w:t>
      </w:r>
      <w:r w:rsidRPr="00403576">
        <w:t>(</w:t>
      </w:r>
      <w:r w:rsidRPr="00403576">
        <w:rPr>
          <w:rFonts w:hint="eastAsia"/>
        </w:rPr>
        <w:t>下稱處理細則</w:t>
      </w:r>
      <w:r w:rsidRPr="00403576">
        <w:t>)</w:t>
      </w:r>
      <w:r w:rsidRPr="00403576">
        <w:rPr>
          <w:rFonts w:hint="eastAsia"/>
        </w:rPr>
        <w:t>第</w:t>
      </w:r>
      <w:r w:rsidRPr="00403576">
        <w:t>6</w:t>
      </w:r>
      <w:r w:rsidRPr="00403576">
        <w:rPr>
          <w:rFonts w:hint="eastAsia"/>
        </w:rPr>
        <w:t>條第</w:t>
      </w:r>
      <w:r w:rsidRPr="00403576">
        <w:t>1</w:t>
      </w:r>
      <w:r w:rsidRPr="00403576">
        <w:rPr>
          <w:rFonts w:hint="eastAsia"/>
        </w:rPr>
        <w:t>項</w:t>
      </w:r>
      <w:r w:rsidR="00B3458C">
        <w:rPr>
          <w:rFonts w:hint="eastAsia"/>
        </w:rPr>
        <w:t>規定</w:t>
      </w:r>
      <w:r w:rsidRPr="00403576">
        <w:rPr>
          <w:rFonts w:hint="eastAsia"/>
        </w:rPr>
        <w:t>「道路交通管理之稽查，違規紀錄，由交通勤務警察，或依法令執行交通稽查任務人員執行之。」同條第</w:t>
      </w:r>
      <w:r w:rsidRPr="00403576">
        <w:t>2</w:t>
      </w:r>
      <w:r w:rsidRPr="00403576">
        <w:rPr>
          <w:rFonts w:hint="eastAsia"/>
        </w:rPr>
        <w:t>項</w:t>
      </w:r>
      <w:r w:rsidR="00B3458C">
        <w:rPr>
          <w:rFonts w:hint="eastAsia"/>
        </w:rPr>
        <w:t>規定</w:t>
      </w:r>
      <w:r w:rsidRPr="00403576">
        <w:rPr>
          <w:rFonts w:hint="eastAsia"/>
        </w:rPr>
        <w:t>「公路主管及警察機關就其主管業務，查獲違反道路交通管理之行為者，應本於職權舉發或處理之。」</w:t>
      </w:r>
    </w:p>
    <w:p w:rsidR="00BF38FA" w:rsidRDefault="00BF38FA" w:rsidP="003E7746">
      <w:pPr>
        <w:pStyle w:val="3"/>
        <w:rPr>
          <w:rFonts w:cs="Times New Roman"/>
        </w:rPr>
      </w:pPr>
      <w:r>
        <w:rPr>
          <w:rFonts w:hint="eastAsia"/>
        </w:rPr>
        <w:t>查</w:t>
      </w:r>
      <w:r w:rsidRPr="00025513">
        <w:rPr>
          <w:rFonts w:hint="eastAsia"/>
        </w:rPr>
        <w:t>高公局已多次邀集</w:t>
      </w:r>
      <w:r w:rsidRPr="00936E71">
        <w:rPr>
          <w:rFonts w:hint="eastAsia"/>
        </w:rPr>
        <w:t>內政部警政署</w:t>
      </w:r>
      <w:r>
        <w:rPr>
          <w:rFonts w:hint="eastAsia"/>
        </w:rPr>
        <w:t>國道公路警察局（下稱公警局）</w:t>
      </w:r>
      <w:r w:rsidRPr="00025513">
        <w:rPr>
          <w:rFonts w:hint="eastAsia"/>
        </w:rPr>
        <w:t>研商配合地磅站執勤事宜，並於員警未於地磅站執勤期間，如遇車</w:t>
      </w:r>
      <w:r>
        <w:rPr>
          <w:rFonts w:hint="eastAsia"/>
        </w:rPr>
        <w:t>輛</w:t>
      </w:r>
      <w:r w:rsidRPr="00025513">
        <w:rPr>
          <w:rFonts w:hint="eastAsia"/>
        </w:rPr>
        <w:t>超載時，由地磅操作人員立即通知</w:t>
      </w:r>
      <w:r w:rsidR="00F25C75">
        <w:rPr>
          <w:rFonts w:hint="eastAsia"/>
        </w:rPr>
        <w:t>公警局公路警察大隊（下稱</w:t>
      </w:r>
      <w:r w:rsidRPr="00025513">
        <w:rPr>
          <w:rFonts w:hint="eastAsia"/>
        </w:rPr>
        <w:t>公警大隊</w:t>
      </w:r>
      <w:r w:rsidR="00F25C75">
        <w:rPr>
          <w:rFonts w:hint="eastAsia"/>
        </w:rPr>
        <w:t>）</w:t>
      </w:r>
      <w:r w:rsidRPr="00025513">
        <w:rPr>
          <w:rFonts w:hint="eastAsia"/>
        </w:rPr>
        <w:t>員警到場開單處理</w:t>
      </w:r>
      <w:r>
        <w:rPr>
          <w:rFonts w:hint="eastAsia"/>
        </w:rPr>
        <w:t>；</w:t>
      </w:r>
      <w:r w:rsidRPr="00025513">
        <w:rPr>
          <w:rFonts w:hint="eastAsia"/>
        </w:rPr>
        <w:t>高公局所屬工務段並依「地磅管理作業程序」規定，定期</w:t>
      </w:r>
      <w:r w:rsidRPr="00025513">
        <w:t>(</w:t>
      </w:r>
      <w:r w:rsidRPr="00025513">
        <w:rPr>
          <w:rFonts w:hint="eastAsia"/>
        </w:rPr>
        <w:t>每半月</w:t>
      </w:r>
      <w:r w:rsidRPr="00025513">
        <w:t>1</w:t>
      </w:r>
      <w:r w:rsidRPr="00025513">
        <w:rPr>
          <w:rFonts w:hint="eastAsia"/>
        </w:rPr>
        <w:t>次</w:t>
      </w:r>
      <w:r w:rsidRPr="00025513">
        <w:t>)</w:t>
      </w:r>
      <w:r w:rsidRPr="00025513">
        <w:rPr>
          <w:rFonts w:hint="eastAsia"/>
        </w:rPr>
        <w:t>將超載未取締案件資料函送轄區相關公警大隊</w:t>
      </w:r>
      <w:r w:rsidRPr="003E7746">
        <w:rPr>
          <w:rFonts w:hAnsi="標楷體" w:hint="eastAsia"/>
          <w:color w:val="000000"/>
        </w:rPr>
        <w:t>逕行舉發</w:t>
      </w:r>
      <w:r w:rsidRPr="00025513">
        <w:rPr>
          <w:rFonts w:hint="eastAsia"/>
        </w:rPr>
        <w:t>。</w:t>
      </w:r>
    </w:p>
    <w:p w:rsidR="00BF38FA" w:rsidRDefault="00BF38FA" w:rsidP="002A0592">
      <w:pPr>
        <w:pStyle w:val="3"/>
        <w:rPr>
          <w:rFonts w:cs="Times New Roman"/>
        </w:rPr>
      </w:pPr>
      <w:r>
        <w:rPr>
          <w:rFonts w:hint="eastAsia"/>
        </w:rPr>
        <w:t>為此，</w:t>
      </w:r>
      <w:r w:rsidRPr="003E7746">
        <w:rPr>
          <w:rFonts w:hint="eastAsia"/>
        </w:rPr>
        <w:t>公警局</w:t>
      </w:r>
      <w:r>
        <w:rPr>
          <w:rFonts w:hint="eastAsia"/>
        </w:rPr>
        <w:t>曾</w:t>
      </w:r>
      <w:r w:rsidRPr="003E7746">
        <w:rPr>
          <w:rFonts w:hint="eastAsia"/>
        </w:rPr>
        <w:t>於</w:t>
      </w:r>
      <w:r w:rsidRPr="003E7746">
        <w:t>104</w:t>
      </w:r>
      <w:r w:rsidRPr="003E7746">
        <w:rPr>
          <w:rFonts w:hint="eastAsia"/>
        </w:rPr>
        <w:t>年</w:t>
      </w:r>
      <w:r w:rsidRPr="003E7746">
        <w:t>2</w:t>
      </w:r>
      <w:r w:rsidRPr="003E7746">
        <w:rPr>
          <w:rFonts w:hint="eastAsia"/>
        </w:rPr>
        <w:t>月</w:t>
      </w:r>
      <w:r w:rsidRPr="003E7746">
        <w:t>24</w:t>
      </w:r>
      <w:r w:rsidRPr="003E7746">
        <w:rPr>
          <w:rFonts w:hint="eastAsia"/>
        </w:rPr>
        <w:t>日函詢內政部警政署</w:t>
      </w:r>
      <w:r>
        <w:rPr>
          <w:rFonts w:hint="eastAsia"/>
        </w:rPr>
        <w:t>（下稱警政署）</w:t>
      </w:r>
      <w:r w:rsidRPr="003E7746">
        <w:rPr>
          <w:rFonts w:hint="eastAsia"/>
        </w:rPr>
        <w:t>，並據該署同年</w:t>
      </w:r>
      <w:r w:rsidRPr="003E7746">
        <w:t>3</w:t>
      </w:r>
      <w:r w:rsidRPr="003E7746">
        <w:rPr>
          <w:rFonts w:hint="eastAsia"/>
        </w:rPr>
        <w:t>月</w:t>
      </w:r>
      <w:r w:rsidRPr="003E7746">
        <w:t>6</w:t>
      </w:r>
      <w:r w:rsidRPr="003E7746">
        <w:rPr>
          <w:rFonts w:hint="eastAsia"/>
        </w:rPr>
        <w:t>日函示：「汽車裝載貨物行經國道各固定地磅站，經過磅顯示超載，既依公路主管機關所設標誌、標線及號誌指示過磅，即難謂『當場不能或不宜攔截』，不因現場無交通勤務警察而得逕予舉發。」於同年月</w:t>
      </w:r>
      <w:r w:rsidRPr="003E7746">
        <w:t>10</w:t>
      </w:r>
      <w:r w:rsidRPr="003E7746">
        <w:rPr>
          <w:rFonts w:hint="eastAsia"/>
        </w:rPr>
        <w:t>日轉知所屬各公警大隊略以：高公局所屬工務段按月函送公警大隊過磅超載未取締案件過磅採證資料，因未符處罰條例第</w:t>
      </w:r>
      <w:r w:rsidRPr="003E7746">
        <w:t>7</w:t>
      </w:r>
      <w:r w:rsidRPr="003E7746">
        <w:rPr>
          <w:rFonts w:hint="eastAsia"/>
        </w:rPr>
        <w:t>條之</w:t>
      </w:r>
      <w:r w:rsidRPr="003E7746">
        <w:t>2</w:t>
      </w:r>
      <w:r w:rsidR="009749E4">
        <w:rPr>
          <w:rFonts w:hint="eastAsia"/>
        </w:rPr>
        <w:t>第1項</w:t>
      </w:r>
      <w:r w:rsidRPr="003E7746">
        <w:rPr>
          <w:rFonts w:hint="eastAsia"/>
        </w:rPr>
        <w:t>規定「當場不能或不宜攔截」之適用要件，依法不得依過磅採證資料逕行舉發超載違規，請各大隊於接獲地磅操作人員通知後，儘速派員到場協助取締</w:t>
      </w:r>
      <w:r>
        <w:rPr>
          <w:rFonts w:hint="eastAsia"/>
        </w:rPr>
        <w:t>……</w:t>
      </w:r>
      <w:r w:rsidRPr="003E7746">
        <w:rPr>
          <w:rFonts w:hint="eastAsia"/>
        </w:rPr>
        <w:t>。另於同年</w:t>
      </w:r>
      <w:r w:rsidRPr="003E7746">
        <w:t>5</w:t>
      </w:r>
      <w:r w:rsidRPr="003E7746">
        <w:rPr>
          <w:rFonts w:hint="eastAsia"/>
        </w:rPr>
        <w:t>月</w:t>
      </w:r>
      <w:r w:rsidRPr="003E7746">
        <w:t>8</w:t>
      </w:r>
      <w:r w:rsidRPr="003E7746">
        <w:rPr>
          <w:rFonts w:hint="eastAsia"/>
        </w:rPr>
        <w:t>日再函所屬各公警大隊略以：上開高公局所屬工務段定期函送各大隊之超載未取締案件資料，礙於法令規定，無法協助高公局逕行舉發，請各大隊將上揭資</w:t>
      </w:r>
      <w:r w:rsidRPr="003E7746">
        <w:rPr>
          <w:rFonts w:hint="eastAsia"/>
        </w:rPr>
        <w:lastRenderedPageBreak/>
        <w:t>料函復高公局所屬各工務段，依權責卓處</w:t>
      </w:r>
      <w:r>
        <w:rPr>
          <w:rFonts w:hint="eastAsia"/>
        </w:rPr>
        <w:t>。</w:t>
      </w:r>
      <w:r w:rsidRPr="00025513">
        <w:rPr>
          <w:rFonts w:hint="eastAsia"/>
        </w:rPr>
        <w:t>各公警大隊迄今仍係依公警局</w:t>
      </w:r>
      <w:r>
        <w:rPr>
          <w:rFonts w:hint="eastAsia"/>
        </w:rPr>
        <w:t>上開</w:t>
      </w:r>
      <w:r w:rsidRPr="00025513">
        <w:t>104</w:t>
      </w:r>
      <w:r w:rsidRPr="00025513">
        <w:rPr>
          <w:rFonts w:hint="eastAsia"/>
        </w:rPr>
        <w:t>年</w:t>
      </w:r>
      <w:r w:rsidRPr="00025513">
        <w:t>5</w:t>
      </w:r>
      <w:r w:rsidRPr="00025513">
        <w:rPr>
          <w:rFonts w:hint="eastAsia"/>
        </w:rPr>
        <w:t>月</w:t>
      </w:r>
      <w:r w:rsidRPr="00025513">
        <w:t>8</w:t>
      </w:r>
      <w:r w:rsidRPr="00025513">
        <w:rPr>
          <w:rFonts w:hint="eastAsia"/>
        </w:rPr>
        <w:t>日函示，並未協助辦理逕行舉發，多係復請各工務段本於權責卓處。</w:t>
      </w:r>
    </w:p>
    <w:p w:rsidR="00BF38FA" w:rsidRDefault="00BF38FA" w:rsidP="002A0592">
      <w:pPr>
        <w:pStyle w:val="3"/>
        <w:rPr>
          <w:rFonts w:cs="Times New Roman"/>
        </w:rPr>
      </w:pPr>
      <w:r>
        <w:rPr>
          <w:rFonts w:hint="eastAsia"/>
        </w:rPr>
        <w:t>經詢據高公局表示，依高公局分層負責明細表規定，該局針對地磅業務之職掌僅為地磅設施規劃、設計、運作之督導與考核管理；而公警局組織規程則明確規定，警政署為執行國道與經指定之快速公路治安及安全維護事項，特設國道公路警察局，其職掌業務包括收費站、地磅、服務區與休息站等之交通秩序維護及稽查取締等。另依處罰條例第</w:t>
      </w:r>
      <w:r>
        <w:t>7</w:t>
      </w:r>
      <w:r>
        <w:rPr>
          <w:rFonts w:hint="eastAsia"/>
        </w:rPr>
        <w:t>條第</w:t>
      </w:r>
      <w:r>
        <w:t>1</w:t>
      </w:r>
      <w:r>
        <w:rPr>
          <w:rFonts w:hint="eastAsia"/>
        </w:rPr>
        <w:t>項規定，其中所謂「交通稽查」應屬於有違規情形之行政調查，例如車燈損壞仍駕車或超速等違規情形之稽查；稽查之目的係為蒐集違規事實以作為處罰之證據，該條例第</w:t>
      </w:r>
      <w:r>
        <w:t>7</w:t>
      </w:r>
      <w:r>
        <w:rPr>
          <w:rFonts w:hint="eastAsia"/>
        </w:rPr>
        <w:t>條第</w:t>
      </w:r>
      <w:r>
        <w:t>1</w:t>
      </w:r>
      <w:r>
        <w:rPr>
          <w:rFonts w:hint="eastAsia"/>
        </w:rPr>
        <w:t>項即為交通稽查權限歸屬之規定。故地磅之稽查取締已明列於公警局組織規程，應由該局執行之。是故，若當過磅車輛超載時，公路警察大隊未派員警到場執行超載取締，或超載車輛逕行駛離地磅站時，高速公路局所屬分局轄管工務段會將超載未取締案件之過磅影像及過磅資料，函送相關公路警察大隊。</w:t>
      </w:r>
    </w:p>
    <w:p w:rsidR="00BF38FA" w:rsidRDefault="00BF38FA" w:rsidP="002A0592">
      <w:pPr>
        <w:pStyle w:val="3"/>
        <w:rPr>
          <w:rFonts w:cs="Times New Roman"/>
        </w:rPr>
      </w:pPr>
      <w:r>
        <w:rPr>
          <w:rFonts w:hint="eastAsia"/>
        </w:rPr>
        <w:t>公警局則稱，員警</w:t>
      </w:r>
      <w:r w:rsidRPr="00403576">
        <w:rPr>
          <w:rFonts w:hint="eastAsia"/>
        </w:rPr>
        <w:t>於地磅站執行交通稽查</w:t>
      </w:r>
      <w:r>
        <w:rPr>
          <w:rFonts w:hint="eastAsia"/>
        </w:rPr>
        <w:t>係</w:t>
      </w:r>
      <w:r w:rsidRPr="00403576">
        <w:rPr>
          <w:rFonts w:hint="eastAsia"/>
        </w:rPr>
        <w:t>依據</w:t>
      </w:r>
      <w:r w:rsidRPr="00F14D42">
        <w:rPr>
          <w:rFonts w:hint="eastAsia"/>
        </w:rPr>
        <w:t>處罰條例第</w:t>
      </w:r>
      <w:r w:rsidRPr="00F14D42">
        <w:t>7</w:t>
      </w:r>
      <w:r w:rsidRPr="00F14D42">
        <w:rPr>
          <w:rFonts w:hint="eastAsia"/>
        </w:rPr>
        <w:t>條</w:t>
      </w:r>
      <w:r w:rsidR="009749E4">
        <w:rPr>
          <w:rFonts w:hint="eastAsia"/>
        </w:rPr>
        <w:t>第1項</w:t>
      </w:r>
      <w:r w:rsidRPr="00F14D42">
        <w:rPr>
          <w:rFonts w:hint="eastAsia"/>
        </w:rPr>
        <w:t>及</w:t>
      </w:r>
      <w:r w:rsidRPr="00403576">
        <w:rPr>
          <w:rFonts w:hint="eastAsia"/>
        </w:rPr>
        <w:t>處理細則第</w:t>
      </w:r>
      <w:r w:rsidRPr="00403576">
        <w:t>6</w:t>
      </w:r>
      <w:r w:rsidRPr="00403576">
        <w:rPr>
          <w:rFonts w:hint="eastAsia"/>
        </w:rPr>
        <w:t>條第</w:t>
      </w:r>
      <w:r w:rsidRPr="00403576">
        <w:t>1</w:t>
      </w:r>
      <w:r w:rsidRPr="00403576">
        <w:rPr>
          <w:rFonts w:hint="eastAsia"/>
        </w:rPr>
        <w:t>項</w:t>
      </w:r>
      <w:r>
        <w:rPr>
          <w:rFonts w:hint="eastAsia"/>
        </w:rPr>
        <w:t>規定辦理，</w:t>
      </w:r>
      <w:r w:rsidRPr="00403576">
        <w:rPr>
          <w:rFonts w:hint="eastAsia"/>
        </w:rPr>
        <w:t>如有發現交通違規，</w:t>
      </w:r>
      <w:r>
        <w:rPr>
          <w:rFonts w:hint="eastAsia"/>
        </w:rPr>
        <w:t>則</w:t>
      </w:r>
      <w:r w:rsidRPr="00403576">
        <w:rPr>
          <w:rFonts w:hint="eastAsia"/>
        </w:rPr>
        <w:t>依處理細則第</w:t>
      </w:r>
      <w:r w:rsidRPr="00403576">
        <w:t>6</w:t>
      </w:r>
      <w:r w:rsidRPr="00403576">
        <w:rPr>
          <w:rFonts w:hint="eastAsia"/>
        </w:rPr>
        <w:t>條第</w:t>
      </w:r>
      <w:r w:rsidRPr="00403576">
        <w:t>2</w:t>
      </w:r>
      <w:r w:rsidRPr="00403576">
        <w:rPr>
          <w:rFonts w:hint="eastAsia"/>
        </w:rPr>
        <w:t>項</w:t>
      </w:r>
      <w:r>
        <w:rPr>
          <w:rFonts w:hint="eastAsia"/>
        </w:rPr>
        <w:t>規定</w:t>
      </w:r>
      <w:r w:rsidRPr="00403576">
        <w:rPr>
          <w:rFonts w:hint="eastAsia"/>
        </w:rPr>
        <w:t>舉發違規。</w:t>
      </w:r>
      <w:r>
        <w:rPr>
          <w:rFonts w:hint="eastAsia"/>
        </w:rPr>
        <w:t>而</w:t>
      </w:r>
      <w:r w:rsidRPr="00F14D42">
        <w:rPr>
          <w:rFonts w:hint="eastAsia"/>
        </w:rPr>
        <w:t>高公局係高速公路之公路主管機關，地磅站係該局設置之執法設備，依前揭法規，如查獲汽車超載違規行為，高公局及公警局均屬應本於職權舉發或處理之機關，得依規定舉發或取締之。</w:t>
      </w:r>
      <w:r>
        <w:rPr>
          <w:rFonts w:hint="eastAsia"/>
        </w:rPr>
        <w:t>高公局及公警局</w:t>
      </w:r>
      <w:r w:rsidR="00F25C75">
        <w:rPr>
          <w:rFonts w:hint="eastAsia"/>
        </w:rPr>
        <w:t>既</w:t>
      </w:r>
      <w:r w:rsidRPr="002778A8">
        <w:rPr>
          <w:rFonts w:hint="eastAsia"/>
        </w:rPr>
        <w:t>同為舉發違反道路交通管理事件主體，遇有國道高速公路駕駛人有違反道路交</w:t>
      </w:r>
      <w:r w:rsidRPr="002778A8">
        <w:rPr>
          <w:rFonts w:hint="eastAsia"/>
        </w:rPr>
        <w:lastRenderedPageBreak/>
        <w:t>通管理事件，公路主管機關高公局</w:t>
      </w:r>
      <w:r w:rsidR="00F25C75">
        <w:rPr>
          <w:rFonts w:hint="eastAsia"/>
        </w:rPr>
        <w:t>應</w:t>
      </w:r>
      <w:r w:rsidRPr="002778A8">
        <w:rPr>
          <w:rFonts w:hint="eastAsia"/>
        </w:rPr>
        <w:t>不待公警局</w:t>
      </w:r>
      <w:r w:rsidR="00F25C75" w:rsidRPr="002778A8">
        <w:rPr>
          <w:rFonts w:hint="eastAsia"/>
        </w:rPr>
        <w:t>員</w:t>
      </w:r>
      <w:r w:rsidRPr="002778A8">
        <w:rPr>
          <w:rFonts w:hint="eastAsia"/>
        </w:rPr>
        <w:t>警到場，本於職權舉發或處理</w:t>
      </w:r>
      <w:r>
        <w:rPr>
          <w:rFonts w:hint="eastAsia"/>
        </w:rPr>
        <w:t>。</w:t>
      </w:r>
    </w:p>
    <w:p w:rsidR="00BF38FA" w:rsidRPr="00DF131F" w:rsidRDefault="00BF38FA" w:rsidP="006818A0">
      <w:pPr>
        <w:pStyle w:val="3"/>
        <w:rPr>
          <w:rFonts w:cs="Times New Roman"/>
        </w:rPr>
      </w:pPr>
      <w:r>
        <w:rPr>
          <w:rFonts w:hint="eastAsia"/>
        </w:rPr>
        <w:t>經查，</w:t>
      </w:r>
      <w:r w:rsidRPr="00C648F8">
        <w:rPr>
          <w:rFonts w:hint="eastAsia"/>
        </w:rPr>
        <w:t>高</w:t>
      </w:r>
      <w:r>
        <w:rPr>
          <w:rFonts w:hint="eastAsia"/>
        </w:rPr>
        <w:t>速公路</w:t>
      </w:r>
      <w:r w:rsidRPr="00C648F8">
        <w:rPr>
          <w:rFonts w:hint="eastAsia"/>
        </w:rPr>
        <w:t>地磅站於遇有違規超載情事時</w:t>
      </w:r>
      <w:r>
        <w:rPr>
          <w:rFonts w:hint="eastAsia"/>
        </w:rPr>
        <w:t>，地磅人員</w:t>
      </w:r>
      <w:r w:rsidRPr="00C648F8">
        <w:rPr>
          <w:rFonts w:hint="eastAsia"/>
        </w:rPr>
        <w:t>通知員警到場取締，並由公警局所屬公警大隊派員前往處理，原即係高公局及公警局於地磅管理所採行之作業模式。本</w:t>
      </w:r>
      <w:r>
        <w:rPr>
          <w:rFonts w:hint="eastAsia"/>
        </w:rPr>
        <w:t>爭點</w:t>
      </w:r>
      <w:r w:rsidRPr="00C648F8">
        <w:rPr>
          <w:rFonts w:hint="eastAsia"/>
        </w:rPr>
        <w:t>在於道路交通管理處罰條例第</w:t>
      </w:r>
      <w:r w:rsidRPr="00C648F8">
        <w:t>7</w:t>
      </w:r>
      <w:r w:rsidRPr="00C648F8">
        <w:rPr>
          <w:rFonts w:hint="eastAsia"/>
        </w:rPr>
        <w:t>條之</w:t>
      </w:r>
      <w:r w:rsidRPr="00C648F8">
        <w:t>2</w:t>
      </w:r>
      <w:r w:rsidRPr="00C648F8">
        <w:rPr>
          <w:rFonts w:hint="eastAsia"/>
        </w:rPr>
        <w:t>所定逕行舉發要件之適用疑義，及公路主管機關對違反道路交通管理行為是否得</w:t>
      </w:r>
      <w:r>
        <w:rPr>
          <w:rFonts w:hint="eastAsia"/>
        </w:rPr>
        <w:t>為職權舉發。交通部為此，曾於</w:t>
      </w:r>
      <w:r>
        <w:t>105</w:t>
      </w:r>
      <w:r>
        <w:rPr>
          <w:rFonts w:hint="eastAsia"/>
        </w:rPr>
        <w:t>年</w:t>
      </w:r>
      <w:r>
        <w:t>5</w:t>
      </w:r>
      <w:r>
        <w:rPr>
          <w:rFonts w:hint="eastAsia"/>
        </w:rPr>
        <w:t>月</w:t>
      </w:r>
      <w:r>
        <w:t>31</w:t>
      </w:r>
      <w:r>
        <w:rPr>
          <w:rFonts w:hint="eastAsia"/>
        </w:rPr>
        <w:t>日函詢法務部釐清</w:t>
      </w:r>
      <w:r w:rsidR="00F76D8B">
        <w:rPr>
          <w:rFonts w:hint="eastAsia"/>
        </w:rPr>
        <w:t>「行政機關得否為檢舉交通違規之主體」之</w:t>
      </w:r>
      <w:r>
        <w:rPr>
          <w:rFonts w:hint="eastAsia"/>
        </w:rPr>
        <w:t>適法性，法務部亦於</w:t>
      </w:r>
      <w:r>
        <w:t>105</w:t>
      </w:r>
      <w:r>
        <w:rPr>
          <w:rFonts w:hint="eastAsia"/>
        </w:rPr>
        <w:t>年</w:t>
      </w:r>
      <w:r>
        <w:t>7</w:t>
      </w:r>
      <w:r>
        <w:rPr>
          <w:rFonts w:hint="eastAsia"/>
        </w:rPr>
        <w:t>月</w:t>
      </w:r>
      <w:r>
        <w:t>5</w:t>
      </w:r>
      <w:r>
        <w:rPr>
          <w:rFonts w:hint="eastAsia"/>
        </w:rPr>
        <w:t>日函復略以，行政機關依行政程序法第</w:t>
      </w:r>
      <w:r>
        <w:t>36</w:t>
      </w:r>
      <w:r>
        <w:rPr>
          <w:rFonts w:hint="eastAsia"/>
        </w:rPr>
        <w:t>條規定，有關證據調查係採職權進行主義，行政機關應依職權調查證據，另依處罰條例第</w:t>
      </w:r>
      <w:r>
        <w:t>7</w:t>
      </w:r>
      <w:r>
        <w:rPr>
          <w:rFonts w:hint="eastAsia"/>
        </w:rPr>
        <w:t>條之</w:t>
      </w:r>
      <w:r>
        <w:t>1</w:t>
      </w:r>
      <w:r>
        <w:rPr>
          <w:rFonts w:hint="eastAsia"/>
        </w:rPr>
        <w:t>規定立法規範意旨，行政機關得做為該條規定檢舉交通違規事件主體</w:t>
      </w:r>
      <w:r w:rsidRPr="00593710">
        <w:rPr>
          <w:rFonts w:hint="eastAsia"/>
        </w:rPr>
        <w:t>。</w:t>
      </w:r>
      <w:r>
        <w:rPr>
          <w:rFonts w:hint="eastAsia"/>
        </w:rPr>
        <w:t>另依處罰條例第</w:t>
      </w:r>
      <w:r>
        <w:t>8</w:t>
      </w:r>
      <w:r>
        <w:rPr>
          <w:rFonts w:hint="eastAsia"/>
        </w:rPr>
        <w:t>條第</w:t>
      </w:r>
      <w:r>
        <w:t>1</w:t>
      </w:r>
      <w:r>
        <w:rPr>
          <w:rFonts w:hint="eastAsia"/>
        </w:rPr>
        <w:t>項規定：「違反本條例之行為，由下列機關處罰之：一、第</w:t>
      </w:r>
      <w:r>
        <w:t>12</w:t>
      </w:r>
      <w:r>
        <w:rPr>
          <w:rFonts w:hint="eastAsia"/>
        </w:rPr>
        <w:t>條至第</w:t>
      </w:r>
      <w:r>
        <w:t>68</w:t>
      </w:r>
      <w:r>
        <w:rPr>
          <w:rFonts w:hint="eastAsia"/>
        </w:rPr>
        <w:t>條及第</w:t>
      </w:r>
      <w:r>
        <w:t>92</w:t>
      </w:r>
      <w:r>
        <w:rPr>
          <w:rFonts w:hint="eastAsia"/>
        </w:rPr>
        <w:t>條第</w:t>
      </w:r>
      <w:r>
        <w:t>7</w:t>
      </w:r>
      <w:r>
        <w:rPr>
          <w:rFonts w:hint="eastAsia"/>
        </w:rPr>
        <w:t>項、第</w:t>
      </w:r>
      <w:r>
        <w:t>8</w:t>
      </w:r>
      <w:r>
        <w:rPr>
          <w:rFonts w:hint="eastAsia"/>
        </w:rPr>
        <w:t>項由公路主管機關處罰。二、第</w:t>
      </w:r>
      <w:r>
        <w:t>69</w:t>
      </w:r>
      <w:r>
        <w:rPr>
          <w:rFonts w:hint="eastAsia"/>
        </w:rPr>
        <w:t>條至第</w:t>
      </w:r>
      <w:r>
        <w:t>84</w:t>
      </w:r>
      <w:r>
        <w:rPr>
          <w:rFonts w:hint="eastAsia"/>
        </w:rPr>
        <w:t>條由警察機關處罰。」而該條例有關超重、超載之相關條文為第</w:t>
      </w:r>
      <w:r>
        <w:t>29</w:t>
      </w:r>
      <w:r>
        <w:rPr>
          <w:rFonts w:hint="eastAsia"/>
        </w:rPr>
        <w:t>條、第</w:t>
      </w:r>
      <w:r>
        <w:t>29</w:t>
      </w:r>
      <w:r>
        <w:rPr>
          <w:rFonts w:hint="eastAsia"/>
        </w:rPr>
        <w:t>條之</w:t>
      </w:r>
      <w:r>
        <w:t>2</w:t>
      </w:r>
      <w:r>
        <w:rPr>
          <w:rFonts w:hint="eastAsia"/>
        </w:rPr>
        <w:t>及第</w:t>
      </w:r>
      <w:r>
        <w:t>30</w:t>
      </w:r>
      <w:r>
        <w:rPr>
          <w:rFonts w:hint="eastAsia"/>
        </w:rPr>
        <w:t>條，顯見違反上述條文規定者，</w:t>
      </w:r>
      <w:r w:rsidR="00045949">
        <w:rPr>
          <w:rFonts w:hint="eastAsia"/>
        </w:rPr>
        <w:t>均由公路主管機關處罰之。惟高公局與公警局各執一辭，迄今未有共識。</w:t>
      </w:r>
      <w:r>
        <w:rPr>
          <w:rFonts w:hint="eastAsia"/>
        </w:rPr>
        <w:t>依行政程序法第</w:t>
      </w:r>
      <w:r>
        <w:t>14</w:t>
      </w:r>
      <w:r>
        <w:rPr>
          <w:rFonts w:hint="eastAsia"/>
        </w:rPr>
        <w:t>條第</w:t>
      </w:r>
      <w:r>
        <w:t>1</w:t>
      </w:r>
      <w:r>
        <w:rPr>
          <w:rFonts w:hint="eastAsia"/>
        </w:rPr>
        <w:t>項「數行政機關於管轄權有爭議時，由其共同上級機關決定之……」之規定，</w:t>
      </w:r>
      <w:r w:rsidR="009749E4">
        <w:rPr>
          <w:rFonts w:hint="eastAsia"/>
        </w:rPr>
        <w:t>允宜由</w:t>
      </w:r>
      <w:r>
        <w:rPr>
          <w:rFonts w:hint="eastAsia"/>
        </w:rPr>
        <w:t>行政院協調交通部及警政署，積極謀求解決方案，早日妥善解決，以確保用路人之安全。</w:t>
      </w:r>
    </w:p>
    <w:p w:rsidR="00DF131F" w:rsidRDefault="00DF131F" w:rsidP="00DF131F">
      <w:pPr>
        <w:pStyle w:val="3"/>
        <w:rPr>
          <w:rFonts w:cs="Times New Roman"/>
        </w:rPr>
      </w:pPr>
      <w:r>
        <w:rPr>
          <w:rFonts w:cs="Times New Roman" w:hint="eastAsia"/>
        </w:rPr>
        <w:t>據審計部統計，</w:t>
      </w:r>
      <w:r w:rsidRPr="00DF131F">
        <w:rPr>
          <w:rFonts w:cs="Times New Roman" w:hint="eastAsia"/>
        </w:rPr>
        <w:t>自104年起至109年8月底止累計超載車輛未開單計20,292輛次，未開單率為28.34％，顯示5年多來已</w:t>
      </w:r>
      <w:r>
        <w:rPr>
          <w:rFonts w:cs="Times New Roman" w:hint="eastAsia"/>
        </w:rPr>
        <w:t>有</w:t>
      </w:r>
      <w:r w:rsidRPr="00DF131F">
        <w:rPr>
          <w:rFonts w:cs="Times New Roman" w:hint="eastAsia"/>
        </w:rPr>
        <w:t>近3成違規案件</w:t>
      </w:r>
      <w:r w:rsidR="00F76D8B">
        <w:rPr>
          <w:rFonts w:cs="Times New Roman" w:hint="eastAsia"/>
        </w:rPr>
        <w:t>車輛</w:t>
      </w:r>
      <w:r w:rsidRPr="00DF131F">
        <w:rPr>
          <w:rFonts w:cs="Times New Roman" w:hint="eastAsia"/>
        </w:rPr>
        <w:t>行駛於國道，肇致衍生用路人安全之風險。</w:t>
      </w:r>
    </w:p>
    <w:p w:rsidR="00F76D8B" w:rsidRPr="00F76D8B" w:rsidRDefault="00BF38FA" w:rsidP="00E74D69">
      <w:pPr>
        <w:pStyle w:val="3"/>
      </w:pPr>
      <w:r>
        <w:rPr>
          <w:rFonts w:hint="eastAsia"/>
        </w:rPr>
        <w:lastRenderedPageBreak/>
        <w:t>綜上，</w:t>
      </w:r>
      <w:r w:rsidR="00E74D69" w:rsidRPr="00E74D69">
        <w:rPr>
          <w:rFonts w:hint="eastAsia"/>
        </w:rPr>
        <w:t>汽車裝載貨物行經高速公路地磅站，經過磅顯示違規超載，其中未有員警到場而未予取締案件，高公局認為該局無舉發職權，遂將超載未取締案件資料函送轄區相關公警大隊，而公警大隊則依警政署函示，認為上述案件因未符處罰條例第7條之2</w:t>
      </w:r>
      <w:r w:rsidR="009749E4">
        <w:rPr>
          <w:rFonts w:hint="eastAsia"/>
        </w:rPr>
        <w:t>第1項</w:t>
      </w:r>
      <w:r w:rsidR="00E74D69" w:rsidRPr="00E74D69">
        <w:rPr>
          <w:rFonts w:hint="eastAsia"/>
        </w:rPr>
        <w:t>規定「當場不能或不宜攔截」之適用要件，依法不得逕行舉發，爰復請高公局本於權責卓處。高公局與警政署之認事用法存有極大差異，且歷時多年，延宕至今均未能解決舉發職權之歸屬，肇致上述超載未取締案件一再發生，5年多來已有近3成違規案件車輛行駛於國道，相關機關</w:t>
      </w:r>
      <w:r w:rsidR="00DB4EBD">
        <w:rPr>
          <w:rFonts w:hint="eastAsia"/>
        </w:rPr>
        <w:t>相互推諉，</w:t>
      </w:r>
      <w:r w:rsidR="00E74D69" w:rsidRPr="00E74D69">
        <w:rPr>
          <w:rFonts w:hint="eastAsia"/>
        </w:rPr>
        <w:t>未積極謀求解決方案，及時提出有效對策，置政府公權力於不顧，核有違失。</w:t>
      </w:r>
    </w:p>
    <w:p w:rsidR="00BF38FA" w:rsidRPr="00E74D69" w:rsidRDefault="00BF38FA" w:rsidP="00DE4238">
      <w:pPr>
        <w:pStyle w:val="2"/>
        <w:rPr>
          <w:b/>
          <w:bCs/>
        </w:rPr>
      </w:pPr>
      <w:r>
        <w:rPr>
          <w:rFonts w:hint="eastAsia"/>
          <w:b/>
          <w:bCs/>
        </w:rPr>
        <w:t>汽車</w:t>
      </w:r>
      <w:r w:rsidR="009749E4" w:rsidRPr="00A50353">
        <w:rPr>
          <w:rFonts w:hint="eastAsia"/>
          <w:b/>
          <w:bCs/>
        </w:rPr>
        <w:t>違規超載</w:t>
      </w:r>
      <w:r w:rsidRPr="00A50353">
        <w:rPr>
          <w:rFonts w:hint="eastAsia"/>
          <w:b/>
          <w:bCs/>
        </w:rPr>
        <w:t>行經高速公路地磅站，</w:t>
      </w:r>
      <w:r>
        <w:rPr>
          <w:rFonts w:hint="eastAsia"/>
          <w:b/>
          <w:bCs/>
        </w:rPr>
        <w:t>其中</w:t>
      </w:r>
      <w:r w:rsidRPr="00A50353">
        <w:rPr>
          <w:rFonts w:hint="eastAsia"/>
          <w:b/>
          <w:bCs/>
        </w:rPr>
        <w:t>未有員警到場而未予取締</w:t>
      </w:r>
      <w:r>
        <w:rPr>
          <w:rFonts w:hint="eastAsia"/>
          <w:b/>
          <w:bCs/>
        </w:rPr>
        <w:t>之</w:t>
      </w:r>
      <w:r w:rsidRPr="00A50353">
        <w:rPr>
          <w:rFonts w:hint="eastAsia"/>
          <w:b/>
          <w:bCs/>
        </w:rPr>
        <w:t>案件</w:t>
      </w:r>
      <w:r>
        <w:rPr>
          <w:rFonts w:hint="eastAsia"/>
          <w:b/>
          <w:bCs/>
        </w:rPr>
        <w:t>，因</w:t>
      </w:r>
      <w:r w:rsidRPr="00A50353">
        <w:rPr>
          <w:rFonts w:hint="eastAsia"/>
          <w:b/>
          <w:bCs/>
        </w:rPr>
        <w:t>高公局與公警局之認事用法存有極大差異</w:t>
      </w:r>
      <w:r>
        <w:rPr>
          <w:rFonts w:hint="eastAsia"/>
          <w:b/>
          <w:bCs/>
        </w:rPr>
        <w:t>，</w:t>
      </w:r>
      <w:r w:rsidR="00DB4EBD">
        <w:rPr>
          <w:rFonts w:hint="eastAsia"/>
          <w:b/>
          <w:bCs/>
        </w:rPr>
        <w:t>致有</w:t>
      </w:r>
      <w:r w:rsidR="00DB4EBD" w:rsidRPr="009A4261">
        <w:rPr>
          <w:rFonts w:hint="eastAsia"/>
          <w:b/>
          <w:bCs/>
        </w:rPr>
        <w:t>應罰而未裁處</w:t>
      </w:r>
      <w:r w:rsidR="00DB4EBD">
        <w:rPr>
          <w:rFonts w:hint="eastAsia"/>
          <w:b/>
          <w:bCs/>
        </w:rPr>
        <w:t>之</w:t>
      </w:r>
      <w:r w:rsidR="00DB4EBD" w:rsidRPr="009A4261">
        <w:rPr>
          <w:rFonts w:hint="eastAsia"/>
          <w:b/>
          <w:bCs/>
        </w:rPr>
        <w:t>罰鍰，</w:t>
      </w:r>
      <w:r>
        <w:rPr>
          <w:rFonts w:hint="eastAsia"/>
          <w:b/>
          <w:bCs/>
        </w:rPr>
        <w:t>經統計自</w:t>
      </w:r>
      <w:r w:rsidRPr="009A4261">
        <w:rPr>
          <w:b/>
          <w:bCs/>
        </w:rPr>
        <w:t>104</w:t>
      </w:r>
      <w:r w:rsidRPr="009A4261">
        <w:rPr>
          <w:rFonts w:hint="eastAsia"/>
          <w:b/>
          <w:bCs/>
        </w:rPr>
        <w:t>年</w:t>
      </w:r>
      <w:r w:rsidRPr="009A4261">
        <w:rPr>
          <w:b/>
          <w:bCs/>
        </w:rPr>
        <w:t>1</w:t>
      </w:r>
      <w:r w:rsidRPr="009A4261">
        <w:rPr>
          <w:rFonts w:hint="eastAsia"/>
          <w:b/>
          <w:bCs/>
        </w:rPr>
        <w:t>月起至</w:t>
      </w:r>
      <w:r w:rsidRPr="009A4261">
        <w:rPr>
          <w:b/>
          <w:bCs/>
        </w:rPr>
        <w:t>109</w:t>
      </w:r>
      <w:r w:rsidR="00FE5199">
        <w:rPr>
          <w:rFonts w:hint="eastAsia"/>
          <w:b/>
          <w:bCs/>
        </w:rPr>
        <w:t>年</w:t>
      </w:r>
      <w:r w:rsidRPr="009A4261">
        <w:rPr>
          <w:b/>
          <w:bCs/>
        </w:rPr>
        <w:t>8</w:t>
      </w:r>
      <w:r w:rsidRPr="009A4261">
        <w:rPr>
          <w:rFonts w:hint="eastAsia"/>
          <w:b/>
          <w:bCs/>
        </w:rPr>
        <w:t>月止，估計近</w:t>
      </w:r>
      <w:r w:rsidRPr="009A4261">
        <w:rPr>
          <w:b/>
          <w:bCs/>
        </w:rPr>
        <w:t>3</w:t>
      </w:r>
      <w:r w:rsidRPr="009A4261">
        <w:rPr>
          <w:rFonts w:hint="eastAsia"/>
          <w:b/>
          <w:bCs/>
        </w:rPr>
        <w:t>億元</w:t>
      </w:r>
      <w:r w:rsidR="00E74D69" w:rsidRPr="00E74D69">
        <w:rPr>
          <w:rFonts w:hint="eastAsia"/>
          <w:b/>
          <w:bCs/>
        </w:rPr>
        <w:t>，不僅造成國庫</w:t>
      </w:r>
      <w:r w:rsidR="009749E4">
        <w:rPr>
          <w:rFonts w:hint="eastAsia"/>
          <w:b/>
          <w:bCs/>
        </w:rPr>
        <w:t>鉅額</w:t>
      </w:r>
      <w:r w:rsidR="00E74D69" w:rsidRPr="00E74D69">
        <w:rPr>
          <w:rFonts w:hint="eastAsia"/>
          <w:b/>
          <w:bCs/>
        </w:rPr>
        <w:t>損失，亦使違規超載之駕駛者產生僥倖心態，更危及大眾行車安全</w:t>
      </w:r>
      <w:r w:rsidRPr="009A4261">
        <w:rPr>
          <w:rFonts w:hint="eastAsia"/>
          <w:b/>
          <w:bCs/>
        </w:rPr>
        <w:t>，</w:t>
      </w:r>
      <w:r>
        <w:rPr>
          <w:rFonts w:hint="eastAsia"/>
          <w:b/>
          <w:bCs/>
        </w:rPr>
        <w:t>顯有疏失。</w:t>
      </w:r>
    </w:p>
    <w:p w:rsidR="007918CA" w:rsidRPr="007918CA" w:rsidRDefault="00BF38FA" w:rsidP="007918CA">
      <w:pPr>
        <w:pStyle w:val="3"/>
        <w:rPr>
          <w:rFonts w:cs="Times New Roman"/>
        </w:rPr>
      </w:pPr>
      <w:r>
        <w:rPr>
          <w:rFonts w:hint="eastAsia"/>
        </w:rPr>
        <w:t>按</w:t>
      </w:r>
      <w:r w:rsidR="009749E4">
        <w:rPr>
          <w:rFonts w:hint="eastAsia"/>
        </w:rPr>
        <w:t>處罰條例</w:t>
      </w:r>
      <w:r w:rsidR="007918CA" w:rsidRPr="007918CA">
        <w:rPr>
          <w:rFonts w:hint="eastAsia"/>
        </w:rPr>
        <w:t>第90條</w:t>
      </w:r>
      <w:r w:rsidR="007918CA">
        <w:rPr>
          <w:rFonts w:hint="eastAsia"/>
        </w:rPr>
        <w:t>規定</w:t>
      </w:r>
      <w:r w:rsidR="007918CA" w:rsidRPr="007918CA">
        <w:rPr>
          <w:rFonts w:hint="eastAsia"/>
        </w:rPr>
        <w:t>：「違反本條例之行為，自行為成立之日起；行為有連續或繼續之狀態者，自行為終了之日起，逾</w:t>
      </w:r>
      <w:r w:rsidR="007918CA">
        <w:rPr>
          <w:rFonts w:hint="eastAsia"/>
        </w:rPr>
        <w:t>2</w:t>
      </w:r>
      <w:r w:rsidR="007918CA" w:rsidRPr="007918CA">
        <w:rPr>
          <w:rFonts w:hint="eastAsia"/>
        </w:rPr>
        <w:t>個月不得舉發。但汽車肇事致人受傷或死亡案件，因肇事責任不明，已送鑑定者，其期間自鑑定終結之日起算；未送鑑定而須分析研判者，逾</w:t>
      </w:r>
      <w:r w:rsidR="007918CA">
        <w:rPr>
          <w:rFonts w:hint="eastAsia"/>
        </w:rPr>
        <w:t>3</w:t>
      </w:r>
      <w:r w:rsidR="007918CA" w:rsidRPr="007918CA">
        <w:rPr>
          <w:rFonts w:hint="eastAsia"/>
        </w:rPr>
        <w:t>個月不得舉發。」</w:t>
      </w:r>
      <w:r w:rsidR="007918CA">
        <w:rPr>
          <w:rFonts w:hint="eastAsia"/>
        </w:rPr>
        <w:t>而</w:t>
      </w:r>
      <w:r w:rsidR="007918CA" w:rsidRPr="007918CA">
        <w:rPr>
          <w:rFonts w:hint="eastAsia"/>
        </w:rPr>
        <w:t>處理細則第28條</w:t>
      </w:r>
      <w:r w:rsidR="007918CA">
        <w:rPr>
          <w:rFonts w:hint="eastAsia"/>
        </w:rPr>
        <w:t>亦規定</w:t>
      </w:r>
      <w:r w:rsidR="007918CA" w:rsidRPr="007918CA">
        <w:rPr>
          <w:rFonts w:hint="eastAsia"/>
        </w:rPr>
        <w:t>：「舉發違反道路交通管理事件後，舉發單位應於舉發當日或翌日午前，將該舉發違反道路交通管理事件有關文書或電腦資料連同有暫代保管物件者之物件送由該管機關，於舉發之日起</w:t>
      </w:r>
      <w:r w:rsidR="00057192">
        <w:rPr>
          <w:rFonts w:hint="eastAsia"/>
        </w:rPr>
        <w:t>4</w:t>
      </w:r>
      <w:r w:rsidR="007918CA" w:rsidRPr="007918CA">
        <w:rPr>
          <w:rFonts w:hint="eastAsia"/>
        </w:rPr>
        <w:t>日內移送處罰機關。前項移送期間其屬逕行舉發者，自違反行</w:t>
      </w:r>
      <w:r w:rsidR="007918CA" w:rsidRPr="007918CA">
        <w:rPr>
          <w:rFonts w:hint="eastAsia"/>
        </w:rPr>
        <w:lastRenderedPageBreak/>
        <w:t>為日起</w:t>
      </w:r>
      <w:r w:rsidR="00057192">
        <w:rPr>
          <w:rFonts w:hint="eastAsia"/>
        </w:rPr>
        <w:t>3</w:t>
      </w:r>
      <w:r w:rsidR="00057192">
        <w:t>0</w:t>
      </w:r>
      <w:r w:rsidR="007918CA" w:rsidRPr="007918CA">
        <w:rPr>
          <w:rFonts w:hint="eastAsia"/>
        </w:rPr>
        <w:t>日內為之。……」</w:t>
      </w:r>
    </w:p>
    <w:p w:rsidR="00E74D69" w:rsidRPr="00E74D69" w:rsidRDefault="007918CA" w:rsidP="00E74D69">
      <w:pPr>
        <w:pStyle w:val="3"/>
        <w:rPr>
          <w:rFonts w:cs="Times New Roman"/>
        </w:rPr>
      </w:pPr>
      <w:r>
        <w:rPr>
          <w:rFonts w:hint="eastAsia"/>
        </w:rPr>
        <w:t>有關</w:t>
      </w:r>
      <w:r w:rsidR="00BF38FA" w:rsidRPr="00626698">
        <w:rPr>
          <w:rFonts w:hint="eastAsia"/>
        </w:rPr>
        <w:t>汽車裝載貨物行經高速公路地磅站，經過磅顯示違規超載，未有員警到場而未予取締案件</w:t>
      </w:r>
      <w:r w:rsidR="00BF38FA" w:rsidRPr="009A4261">
        <w:rPr>
          <w:rFonts w:hint="eastAsia"/>
        </w:rPr>
        <w:t>，因高公局與公警局之認事用法存有極大差異</w:t>
      </w:r>
      <w:r w:rsidR="00BF38FA">
        <w:rPr>
          <w:rFonts w:hint="eastAsia"/>
        </w:rPr>
        <w:t>，</w:t>
      </w:r>
      <w:r w:rsidR="00BF38FA" w:rsidRPr="00B26016">
        <w:rPr>
          <w:rFonts w:hint="eastAsia"/>
        </w:rPr>
        <w:t>高公局認為該局無舉發職權，遂將超載未取締案件資料函</w:t>
      </w:r>
      <w:r w:rsidR="00BF38FA">
        <w:rPr>
          <w:rFonts w:hint="eastAsia"/>
        </w:rPr>
        <w:t>送轄區相關公警大隊，而公警大隊則復請高公局各工務段本於權責卓處</w:t>
      </w:r>
      <w:r w:rsidR="00DC0BD8">
        <w:rPr>
          <w:rFonts w:hint="eastAsia"/>
        </w:rPr>
        <w:t>等情</w:t>
      </w:r>
      <w:r w:rsidR="00BF38FA">
        <w:rPr>
          <w:rFonts w:hint="eastAsia"/>
        </w:rPr>
        <w:t>，已如前述。</w:t>
      </w:r>
      <w:r w:rsidR="00E74D69">
        <w:rPr>
          <w:rFonts w:hint="eastAsia"/>
        </w:rPr>
        <w:t>經查，上述案件，後續均未予處理，肇致</w:t>
      </w:r>
      <w:r w:rsidR="00E74D69" w:rsidRPr="00626698">
        <w:rPr>
          <w:rFonts w:hint="eastAsia"/>
        </w:rPr>
        <w:t>應罰而未裁處</w:t>
      </w:r>
      <w:r w:rsidR="00E74D69">
        <w:rPr>
          <w:rFonts w:hint="eastAsia"/>
        </w:rPr>
        <w:t>之</w:t>
      </w:r>
      <w:r w:rsidR="00E74D69" w:rsidRPr="00626698">
        <w:rPr>
          <w:rFonts w:hint="eastAsia"/>
        </w:rPr>
        <w:t>罰鍰</w:t>
      </w:r>
      <w:r w:rsidR="00E74D69">
        <w:rPr>
          <w:rFonts w:hint="eastAsia"/>
        </w:rPr>
        <w:t>，</w:t>
      </w:r>
      <w:r w:rsidR="00E74D69" w:rsidRPr="00626698">
        <w:rPr>
          <w:rFonts w:hint="eastAsia"/>
        </w:rPr>
        <w:t>均已逾處罰條例第</w:t>
      </w:r>
      <w:r w:rsidR="00E74D69" w:rsidRPr="00626698">
        <w:t>90</w:t>
      </w:r>
      <w:r w:rsidR="00E74D69" w:rsidRPr="00626698">
        <w:rPr>
          <w:rFonts w:hint="eastAsia"/>
        </w:rPr>
        <w:t>條</w:t>
      </w:r>
      <w:r w:rsidR="00E74D69">
        <w:rPr>
          <w:rFonts w:hint="eastAsia"/>
        </w:rPr>
        <w:t>及</w:t>
      </w:r>
      <w:r w:rsidR="00E74D69" w:rsidRPr="00626698">
        <w:rPr>
          <w:rFonts w:hint="eastAsia"/>
        </w:rPr>
        <w:t>處理細則第</w:t>
      </w:r>
      <w:r w:rsidR="00E74D69" w:rsidRPr="00626698">
        <w:t>28</w:t>
      </w:r>
      <w:r w:rsidR="00E74D69" w:rsidRPr="00626698">
        <w:rPr>
          <w:rFonts w:hint="eastAsia"/>
        </w:rPr>
        <w:t>條等規定之法定舉發期限</w:t>
      </w:r>
      <w:r w:rsidR="00E74D69">
        <w:rPr>
          <w:rFonts w:hint="eastAsia"/>
        </w:rPr>
        <w:t>，依規定即已不得再為舉發。</w:t>
      </w:r>
    </w:p>
    <w:p w:rsidR="00BF38FA" w:rsidRDefault="00BF38FA" w:rsidP="00DC0BD8">
      <w:pPr>
        <w:pStyle w:val="3"/>
        <w:rPr>
          <w:rFonts w:cs="Times New Roman"/>
        </w:rPr>
      </w:pPr>
      <w:r w:rsidRPr="007307EC">
        <w:rPr>
          <w:rFonts w:hint="eastAsia"/>
        </w:rPr>
        <w:t>經</w:t>
      </w:r>
      <w:r>
        <w:rPr>
          <w:rFonts w:hint="eastAsia"/>
        </w:rPr>
        <w:t>審計部</w:t>
      </w:r>
      <w:r w:rsidRPr="007307EC">
        <w:rPr>
          <w:rFonts w:hint="eastAsia"/>
        </w:rPr>
        <w:t>統計，</w:t>
      </w:r>
      <w:r w:rsidRPr="00626698">
        <w:rPr>
          <w:rFonts w:hint="eastAsia"/>
        </w:rPr>
        <w:t>自</w:t>
      </w:r>
      <w:r w:rsidRPr="00626698">
        <w:t>104</w:t>
      </w:r>
      <w:r w:rsidRPr="00626698">
        <w:rPr>
          <w:rFonts w:hint="eastAsia"/>
        </w:rPr>
        <w:t>年</w:t>
      </w:r>
      <w:r w:rsidRPr="00626698">
        <w:t>1</w:t>
      </w:r>
      <w:r w:rsidRPr="00626698">
        <w:rPr>
          <w:rFonts w:hint="eastAsia"/>
        </w:rPr>
        <w:t>月起至</w:t>
      </w:r>
      <w:r w:rsidRPr="00626698">
        <w:t>109</w:t>
      </w:r>
      <w:r w:rsidR="00FE5199">
        <w:rPr>
          <w:rFonts w:hint="eastAsia"/>
        </w:rPr>
        <w:t>年</w:t>
      </w:r>
      <w:r w:rsidRPr="00626698">
        <w:t>8</w:t>
      </w:r>
      <w:r w:rsidRPr="00626698">
        <w:rPr>
          <w:rFonts w:hint="eastAsia"/>
        </w:rPr>
        <w:t>月止，</w:t>
      </w:r>
      <w:r>
        <w:rPr>
          <w:rFonts w:hint="eastAsia"/>
        </w:rPr>
        <w:t>上述未取締</w:t>
      </w:r>
      <w:r w:rsidRPr="00626698">
        <w:rPr>
          <w:rFonts w:hint="eastAsia"/>
        </w:rPr>
        <w:t>案件計</w:t>
      </w:r>
      <w:r w:rsidRPr="00626698">
        <w:t>20,292</w:t>
      </w:r>
      <w:r w:rsidRPr="00626698">
        <w:rPr>
          <w:rFonts w:hint="eastAsia"/>
        </w:rPr>
        <w:t>件</w:t>
      </w:r>
      <w:r w:rsidRPr="00626698">
        <w:t>(</w:t>
      </w:r>
      <w:r w:rsidRPr="00626698">
        <w:rPr>
          <w:rFonts w:hint="eastAsia"/>
        </w:rPr>
        <w:t>占超載車數之</w:t>
      </w:r>
      <w:r w:rsidRPr="00626698">
        <w:t>28.34</w:t>
      </w:r>
      <w:r w:rsidRPr="00626698">
        <w:rPr>
          <w:rFonts w:hint="eastAsia"/>
        </w:rPr>
        <w:t>％；未區分屬於超載重量逾核定總重量</w:t>
      </w:r>
      <w:r w:rsidRPr="00626698">
        <w:t>20</w:t>
      </w:r>
      <w:r w:rsidRPr="00626698">
        <w:rPr>
          <w:rFonts w:hint="eastAsia"/>
        </w:rPr>
        <w:t>％，應當場禁止其通行者之件數</w:t>
      </w:r>
      <w:r w:rsidRPr="00626698">
        <w:t>)</w:t>
      </w:r>
      <w:r>
        <w:rPr>
          <w:rFonts w:hint="eastAsia"/>
        </w:rPr>
        <w:t>（如附表</w:t>
      </w:r>
      <w:r w:rsidR="009217D1">
        <w:rPr>
          <w:rFonts w:hint="eastAsia"/>
        </w:rPr>
        <w:t>一</w:t>
      </w:r>
      <w:r>
        <w:rPr>
          <w:rFonts w:hint="eastAsia"/>
        </w:rPr>
        <w:t>）；依高公局</w:t>
      </w:r>
      <w:r w:rsidRPr="00626698">
        <w:rPr>
          <w:rFonts w:hint="eastAsia"/>
        </w:rPr>
        <w:t>各分局移送公警大隊</w:t>
      </w:r>
      <w:r w:rsidRPr="00626698">
        <w:t>109</w:t>
      </w:r>
      <w:r w:rsidRPr="00626698">
        <w:rPr>
          <w:rFonts w:hint="eastAsia"/>
        </w:rPr>
        <w:t>年</w:t>
      </w:r>
      <w:r w:rsidRPr="00626698">
        <w:t>6</w:t>
      </w:r>
      <w:r w:rsidRPr="00626698">
        <w:rPr>
          <w:rFonts w:hint="eastAsia"/>
        </w:rPr>
        <w:t>月份超載未取締案件過磅資料計</w:t>
      </w:r>
      <w:r w:rsidRPr="00626698">
        <w:t>127</w:t>
      </w:r>
      <w:r w:rsidRPr="00626698">
        <w:rPr>
          <w:rFonts w:hint="eastAsia"/>
        </w:rPr>
        <w:t>筆</w:t>
      </w:r>
      <w:r w:rsidR="00DC0BD8">
        <w:rPr>
          <w:rFonts w:hint="eastAsia"/>
        </w:rPr>
        <w:t>，排除</w:t>
      </w:r>
      <w:r w:rsidR="00DC0BD8" w:rsidRPr="00DC0BD8">
        <w:rPr>
          <w:rFonts w:hint="eastAsia"/>
        </w:rPr>
        <w:t>缺乏相關車輛之核定重量、過磅總重數據</w:t>
      </w:r>
      <w:r w:rsidR="00DC0BD8">
        <w:rPr>
          <w:rFonts w:hint="eastAsia"/>
        </w:rPr>
        <w:t>之</w:t>
      </w:r>
      <w:r w:rsidR="00DC0BD8" w:rsidRPr="00DC0BD8">
        <w:rPr>
          <w:rFonts w:hint="eastAsia"/>
        </w:rPr>
        <w:t>北分局七堵工務段移送之27筆</w:t>
      </w:r>
      <w:r w:rsidR="00DC0BD8" w:rsidRPr="00626698">
        <w:rPr>
          <w:rFonts w:hint="eastAsia"/>
        </w:rPr>
        <w:t>，該</w:t>
      </w:r>
      <w:r w:rsidR="00DC0BD8" w:rsidRPr="00626698">
        <w:t>100</w:t>
      </w:r>
      <w:r w:rsidR="00DC0BD8" w:rsidRPr="00626698">
        <w:rPr>
          <w:rFonts w:hint="eastAsia"/>
        </w:rPr>
        <w:t>筆</w:t>
      </w:r>
      <w:r w:rsidR="00DC0BD8">
        <w:rPr>
          <w:rStyle w:val="aff3"/>
        </w:rPr>
        <w:footnoteReference w:id="1"/>
      </w:r>
      <w:r w:rsidRPr="00626698">
        <w:rPr>
          <w:rFonts w:hint="eastAsia"/>
        </w:rPr>
        <w:t>未舉發案件應處罰鍰計</w:t>
      </w:r>
      <w:r w:rsidRPr="00626698">
        <w:t>144</w:t>
      </w:r>
      <w:r w:rsidRPr="00626698">
        <w:rPr>
          <w:rFonts w:hint="eastAsia"/>
        </w:rPr>
        <w:t>萬</w:t>
      </w:r>
      <w:r w:rsidRPr="00626698">
        <w:t>9,000</w:t>
      </w:r>
      <w:r w:rsidRPr="00626698">
        <w:rPr>
          <w:rFonts w:hint="eastAsia"/>
        </w:rPr>
        <w:t>元</w:t>
      </w:r>
      <w:r w:rsidR="006D41FA">
        <w:rPr>
          <w:rFonts w:hint="eastAsia"/>
        </w:rPr>
        <w:t>（如附表</w:t>
      </w:r>
      <w:r w:rsidR="009217D1">
        <w:rPr>
          <w:rFonts w:hint="eastAsia"/>
        </w:rPr>
        <w:t>二</w:t>
      </w:r>
      <w:r w:rsidR="006D41FA">
        <w:rPr>
          <w:rFonts w:hint="eastAsia"/>
        </w:rPr>
        <w:t>）</w:t>
      </w:r>
      <w:r w:rsidRPr="00626698">
        <w:t>(</w:t>
      </w:r>
      <w:r w:rsidRPr="00626698">
        <w:rPr>
          <w:rFonts w:hint="eastAsia"/>
        </w:rPr>
        <w:t>平均每筆罰鍰金額較</w:t>
      </w:r>
      <w:r w:rsidRPr="00626698">
        <w:t>107</w:t>
      </w:r>
      <w:r w:rsidRPr="00626698">
        <w:rPr>
          <w:rFonts w:hint="eastAsia"/>
        </w:rPr>
        <w:t>年</w:t>
      </w:r>
      <w:r w:rsidRPr="00626698">
        <w:t>7</w:t>
      </w:r>
      <w:r w:rsidRPr="00626698">
        <w:rPr>
          <w:rFonts w:hint="eastAsia"/>
        </w:rPr>
        <w:t>月時下降約</w:t>
      </w:r>
      <w:r w:rsidRPr="00626698">
        <w:t>5.25</w:t>
      </w:r>
      <w:r w:rsidRPr="00626698">
        <w:rPr>
          <w:rFonts w:hint="eastAsia"/>
        </w:rPr>
        <w:t>％</w:t>
      </w:r>
      <w:r w:rsidRPr="00626698">
        <w:t>)</w:t>
      </w:r>
      <w:r w:rsidRPr="00626698">
        <w:rPr>
          <w:rFonts w:hint="eastAsia"/>
        </w:rPr>
        <w:t>，據此推估，</w:t>
      </w:r>
      <w:r w:rsidRPr="00626698">
        <w:t>104</w:t>
      </w:r>
      <w:r w:rsidRPr="00626698">
        <w:rPr>
          <w:rFonts w:hint="eastAsia"/>
        </w:rPr>
        <w:t>年</w:t>
      </w:r>
      <w:r w:rsidRPr="00626698">
        <w:t>1</w:t>
      </w:r>
      <w:r w:rsidRPr="00626698">
        <w:rPr>
          <w:rFonts w:hint="eastAsia"/>
        </w:rPr>
        <w:t>月至</w:t>
      </w:r>
      <w:r w:rsidRPr="00626698">
        <w:t>109</w:t>
      </w:r>
      <w:r w:rsidRPr="00626698">
        <w:rPr>
          <w:rFonts w:hint="eastAsia"/>
        </w:rPr>
        <w:t>年</w:t>
      </w:r>
      <w:r w:rsidRPr="00626698">
        <w:t>8</w:t>
      </w:r>
      <w:r w:rsidRPr="00626698">
        <w:rPr>
          <w:rFonts w:hint="eastAsia"/>
        </w:rPr>
        <w:t>月間違規超載貨車，因相關機關未依規定舉發之</w:t>
      </w:r>
      <w:r w:rsidRPr="00626698">
        <w:t>20,292</w:t>
      </w:r>
      <w:r w:rsidRPr="00626698">
        <w:rPr>
          <w:rFonts w:hint="eastAsia"/>
        </w:rPr>
        <w:t>筆案件，應罰而未裁處罰鍰近</w:t>
      </w:r>
      <w:r w:rsidRPr="00626698">
        <w:t>3</w:t>
      </w:r>
      <w:r w:rsidRPr="00626698">
        <w:rPr>
          <w:rFonts w:hint="eastAsia"/>
        </w:rPr>
        <w:t>億元</w:t>
      </w:r>
      <w:r w:rsidRPr="00626698">
        <w:t>(1,449,000</w:t>
      </w:r>
      <w:r w:rsidRPr="00626698">
        <w:rPr>
          <w:rFonts w:hint="eastAsia"/>
        </w:rPr>
        <w:t>元</w:t>
      </w:r>
      <w:r w:rsidRPr="00626698">
        <w:t>/100</w:t>
      </w:r>
      <w:r w:rsidRPr="00626698">
        <w:rPr>
          <w:rFonts w:hint="eastAsia"/>
        </w:rPr>
        <w:t>筆</w:t>
      </w:r>
      <w:r w:rsidRPr="00626698">
        <w:t>*20,292</w:t>
      </w:r>
      <w:r w:rsidRPr="00626698">
        <w:rPr>
          <w:rFonts w:hint="eastAsia"/>
        </w:rPr>
        <w:t>筆</w:t>
      </w:r>
      <w:r w:rsidRPr="00626698">
        <w:t>=294,031,080</w:t>
      </w:r>
      <w:r w:rsidRPr="00626698">
        <w:rPr>
          <w:rFonts w:hint="eastAsia"/>
        </w:rPr>
        <w:t>元</w:t>
      </w:r>
      <w:r w:rsidRPr="00626698">
        <w:t>)</w:t>
      </w:r>
      <w:r>
        <w:rPr>
          <w:rFonts w:hint="eastAsia"/>
        </w:rPr>
        <w:t>。</w:t>
      </w:r>
    </w:p>
    <w:p w:rsidR="00BF38FA" w:rsidRPr="009A4261" w:rsidRDefault="007819EB" w:rsidP="007819EB">
      <w:pPr>
        <w:pStyle w:val="3"/>
        <w:rPr>
          <w:rFonts w:cs="Times New Roman"/>
        </w:rPr>
      </w:pPr>
      <w:r>
        <w:rPr>
          <w:rFonts w:hint="eastAsia"/>
        </w:rPr>
        <w:t>綜上，</w:t>
      </w:r>
      <w:r w:rsidRPr="007819EB">
        <w:rPr>
          <w:rFonts w:hint="eastAsia"/>
        </w:rPr>
        <w:t>汽車</w:t>
      </w:r>
      <w:r w:rsidR="009749E4" w:rsidRPr="007819EB">
        <w:rPr>
          <w:rFonts w:hint="eastAsia"/>
        </w:rPr>
        <w:t>違規超載</w:t>
      </w:r>
      <w:r w:rsidRPr="007819EB">
        <w:rPr>
          <w:rFonts w:hint="eastAsia"/>
        </w:rPr>
        <w:t>行經高速公路地磅站，其中未有員警到場而未予取締之案件，因高公局與公警局之認事用法存有極大差異，</w:t>
      </w:r>
      <w:r w:rsidR="00DB4EBD">
        <w:rPr>
          <w:rFonts w:hint="eastAsia"/>
        </w:rPr>
        <w:t>致有</w:t>
      </w:r>
      <w:r w:rsidR="00DB4EBD" w:rsidRPr="007819EB">
        <w:rPr>
          <w:rFonts w:hint="eastAsia"/>
        </w:rPr>
        <w:t>應罰而未裁處之罰鍰，</w:t>
      </w:r>
      <w:r w:rsidRPr="007819EB">
        <w:rPr>
          <w:rFonts w:hint="eastAsia"/>
        </w:rPr>
        <w:t>經統計自104年1月起至109</w:t>
      </w:r>
      <w:r w:rsidR="00FE5199">
        <w:rPr>
          <w:rFonts w:hint="eastAsia"/>
        </w:rPr>
        <w:t>年</w:t>
      </w:r>
      <w:r w:rsidRPr="007819EB">
        <w:rPr>
          <w:rFonts w:hint="eastAsia"/>
        </w:rPr>
        <w:t>8月止，估計近3億</w:t>
      </w:r>
      <w:r w:rsidRPr="007819EB">
        <w:rPr>
          <w:rFonts w:hint="eastAsia"/>
        </w:rPr>
        <w:lastRenderedPageBreak/>
        <w:t>元，不僅造成國庫</w:t>
      </w:r>
      <w:r w:rsidR="009749E4">
        <w:rPr>
          <w:rFonts w:hint="eastAsia"/>
        </w:rPr>
        <w:t>鉅額</w:t>
      </w:r>
      <w:r w:rsidRPr="007819EB">
        <w:rPr>
          <w:rFonts w:hint="eastAsia"/>
        </w:rPr>
        <w:t>損失，亦使違規超載之駕駛者產生僥倖心態，更危及大眾行車安全，顯有疏失。</w:t>
      </w:r>
    </w:p>
    <w:p w:rsidR="00BF38FA" w:rsidRDefault="00D67CD3" w:rsidP="003C0C89">
      <w:pPr>
        <w:pStyle w:val="2"/>
        <w:rPr>
          <w:b/>
        </w:rPr>
      </w:pPr>
      <w:r w:rsidRPr="004978D7">
        <w:rPr>
          <w:rFonts w:hint="eastAsia"/>
          <w:b/>
        </w:rPr>
        <w:t>高速公路</w:t>
      </w:r>
      <w:r w:rsidR="003C0C89" w:rsidRPr="004978D7">
        <w:rPr>
          <w:rFonts w:hint="eastAsia"/>
          <w:b/>
        </w:rPr>
        <w:t>於</w:t>
      </w:r>
      <w:r w:rsidRPr="004978D7">
        <w:rPr>
          <w:rFonts w:hint="eastAsia"/>
          <w:b/>
        </w:rPr>
        <w:t>未設置地磅站路段，</w:t>
      </w:r>
      <w:r w:rsidR="003C0C89">
        <w:rPr>
          <w:rFonts w:hint="eastAsia"/>
          <w:b/>
        </w:rPr>
        <w:t>如發現有</w:t>
      </w:r>
      <w:r w:rsidR="003C0C89" w:rsidRPr="004978D7">
        <w:rPr>
          <w:rFonts w:hint="eastAsia"/>
          <w:b/>
        </w:rPr>
        <w:t>疑似超載車輛</w:t>
      </w:r>
      <w:r w:rsidR="003C0C89">
        <w:rPr>
          <w:rFonts w:hint="eastAsia"/>
          <w:b/>
        </w:rPr>
        <w:t>，係</w:t>
      </w:r>
      <w:r w:rsidRPr="004978D7">
        <w:rPr>
          <w:rFonts w:hint="eastAsia"/>
          <w:b/>
        </w:rPr>
        <w:t>由公警局員警引</w:t>
      </w:r>
      <w:r w:rsidR="00DB4EBD">
        <w:rPr>
          <w:rFonts w:hint="eastAsia"/>
          <w:b/>
        </w:rPr>
        <w:t>導</w:t>
      </w:r>
      <w:r w:rsidRPr="004978D7">
        <w:rPr>
          <w:rFonts w:hint="eastAsia"/>
          <w:b/>
        </w:rPr>
        <w:t>至交流道附近民間地磅站過磅，</w:t>
      </w:r>
      <w:r w:rsidR="003C0C89">
        <w:rPr>
          <w:rFonts w:hint="eastAsia"/>
          <w:b/>
        </w:rPr>
        <w:t>其</w:t>
      </w:r>
      <w:r w:rsidR="003C0C89" w:rsidRPr="004978D7">
        <w:rPr>
          <w:rFonts w:hint="eastAsia"/>
          <w:b/>
        </w:rPr>
        <w:t>過磅費用</w:t>
      </w:r>
      <w:r w:rsidR="003C0C89">
        <w:rPr>
          <w:rFonts w:hint="eastAsia"/>
          <w:b/>
        </w:rPr>
        <w:t>，</w:t>
      </w:r>
      <w:r w:rsidR="002B4F3B">
        <w:rPr>
          <w:rFonts w:hint="eastAsia"/>
          <w:b/>
        </w:rPr>
        <w:t>現階段規定</w:t>
      </w:r>
      <w:r w:rsidRPr="004978D7">
        <w:rPr>
          <w:rFonts w:hint="eastAsia"/>
          <w:b/>
        </w:rPr>
        <w:t>由員警代墊，再彙整報高公局核銷</w:t>
      </w:r>
      <w:r w:rsidR="00DB4EBD">
        <w:rPr>
          <w:rFonts w:hint="eastAsia"/>
          <w:b/>
        </w:rPr>
        <w:t>。</w:t>
      </w:r>
      <w:r w:rsidR="002B4F3B">
        <w:rPr>
          <w:rFonts w:hint="eastAsia"/>
          <w:b/>
        </w:rPr>
        <w:t>部分民間地磅站業者收取過磅費用，</w:t>
      </w:r>
      <w:r w:rsidR="00DB4EBD">
        <w:rPr>
          <w:rFonts w:hint="eastAsia"/>
          <w:b/>
        </w:rPr>
        <w:t>但</w:t>
      </w:r>
      <w:r w:rsidR="002B4F3B">
        <w:rPr>
          <w:rFonts w:hint="eastAsia"/>
          <w:b/>
        </w:rPr>
        <w:t>部分業者則未收取，</w:t>
      </w:r>
      <w:r w:rsidR="00DB4EBD">
        <w:rPr>
          <w:rFonts w:hint="eastAsia"/>
          <w:b/>
        </w:rPr>
        <w:t>恐有占人民便宜之虞</w:t>
      </w:r>
      <w:r w:rsidRPr="004978D7">
        <w:rPr>
          <w:rFonts w:hint="eastAsia"/>
          <w:b/>
        </w:rPr>
        <w:t>。</w:t>
      </w:r>
      <w:r w:rsidR="003C0C89">
        <w:rPr>
          <w:rFonts w:hint="eastAsia"/>
          <w:b/>
        </w:rPr>
        <w:t>相關機關</w:t>
      </w:r>
      <w:r w:rsidR="009749E4">
        <w:rPr>
          <w:rFonts w:hint="eastAsia"/>
          <w:b/>
        </w:rPr>
        <w:t>允應</w:t>
      </w:r>
      <w:r w:rsidR="004978D7">
        <w:rPr>
          <w:rFonts w:hint="eastAsia"/>
          <w:b/>
        </w:rPr>
        <w:t>研</w:t>
      </w:r>
      <w:r w:rsidR="004978D7" w:rsidRPr="004978D7">
        <w:rPr>
          <w:rFonts w:hint="eastAsia"/>
          <w:b/>
        </w:rPr>
        <w:t>議</w:t>
      </w:r>
      <w:r w:rsidR="003C0C89">
        <w:rPr>
          <w:rFonts w:hint="eastAsia"/>
          <w:b/>
        </w:rPr>
        <w:t>有關</w:t>
      </w:r>
      <w:r w:rsidR="008B46A2">
        <w:rPr>
          <w:rFonts w:hint="eastAsia"/>
          <w:b/>
        </w:rPr>
        <w:t>至民間地磅站</w:t>
      </w:r>
      <w:r w:rsidR="003C0C89">
        <w:rPr>
          <w:rFonts w:hint="eastAsia"/>
          <w:b/>
        </w:rPr>
        <w:t>過磅費用支付之</w:t>
      </w:r>
      <w:r w:rsidR="0024684F">
        <w:rPr>
          <w:rFonts w:cs="Times New Roman" w:hint="eastAsia"/>
          <w:b/>
          <w:bCs/>
        </w:rPr>
        <w:t>合理做法</w:t>
      </w:r>
      <w:r w:rsidR="003C0C89">
        <w:rPr>
          <w:rFonts w:cs="Times New Roman" w:hint="eastAsia"/>
          <w:b/>
          <w:bCs/>
        </w:rPr>
        <w:t>，以</w:t>
      </w:r>
      <w:r w:rsidR="003C0C89" w:rsidRPr="004978D7">
        <w:rPr>
          <w:rFonts w:hint="eastAsia"/>
          <w:b/>
        </w:rPr>
        <w:t>減輕員警負擔</w:t>
      </w:r>
      <w:r w:rsidR="002B4F3B">
        <w:rPr>
          <w:rFonts w:hint="eastAsia"/>
          <w:b/>
        </w:rPr>
        <w:t>，</w:t>
      </w:r>
      <w:r w:rsidR="003C0C89" w:rsidRPr="004978D7">
        <w:rPr>
          <w:rFonts w:hint="eastAsia"/>
          <w:b/>
        </w:rPr>
        <w:t>避免</w:t>
      </w:r>
      <w:r w:rsidR="002B4F3B" w:rsidRPr="008B6A1C">
        <w:rPr>
          <w:rFonts w:hint="eastAsia"/>
          <w:b/>
        </w:rPr>
        <w:t>滋生無謂困擾</w:t>
      </w:r>
      <w:r w:rsidR="003C0C89">
        <w:rPr>
          <w:rFonts w:hint="eastAsia"/>
          <w:b/>
        </w:rPr>
        <w:t>。</w:t>
      </w:r>
    </w:p>
    <w:p w:rsidR="003C0C89" w:rsidRDefault="003C0C89" w:rsidP="003C0C89">
      <w:pPr>
        <w:pStyle w:val="3"/>
      </w:pPr>
      <w:r>
        <w:rPr>
          <w:rFonts w:hint="eastAsia"/>
        </w:rPr>
        <w:t>查</w:t>
      </w:r>
      <w:r w:rsidRPr="003C0C89">
        <w:rPr>
          <w:rFonts w:hint="eastAsia"/>
        </w:rPr>
        <w:t>高速公路於未設置地磅站路段，如發現有疑似超載車輛，</w:t>
      </w:r>
      <w:r>
        <w:rPr>
          <w:rFonts w:hint="eastAsia"/>
        </w:rPr>
        <w:t>現行做法</w:t>
      </w:r>
      <w:r w:rsidRPr="003C0C89">
        <w:rPr>
          <w:rFonts w:hint="eastAsia"/>
        </w:rPr>
        <w:t>係由公警局員警</w:t>
      </w:r>
      <w:r w:rsidR="00DB4EBD">
        <w:rPr>
          <w:rFonts w:hint="eastAsia"/>
        </w:rPr>
        <w:t>引導</w:t>
      </w:r>
      <w:r w:rsidRPr="003C0C89">
        <w:rPr>
          <w:rFonts w:hint="eastAsia"/>
        </w:rPr>
        <w:t>至交流道附近民間地磅站過磅，而其過磅費用，</w:t>
      </w:r>
      <w:r>
        <w:rPr>
          <w:rFonts w:hint="eastAsia"/>
        </w:rPr>
        <w:t>依高公局98年12月9日管字第098600</w:t>
      </w:r>
      <w:r>
        <w:t>8571</w:t>
      </w:r>
      <w:r>
        <w:rPr>
          <w:rFonts w:hint="eastAsia"/>
        </w:rPr>
        <w:t>號函</w:t>
      </w:r>
      <w:r w:rsidRPr="003C0C89">
        <w:rPr>
          <w:rFonts w:hint="eastAsia"/>
        </w:rPr>
        <w:t>由員警代墊，</w:t>
      </w:r>
      <w:r>
        <w:rPr>
          <w:rFonts w:hint="eastAsia"/>
        </w:rPr>
        <w:t>公警局每月</w:t>
      </w:r>
      <w:r w:rsidRPr="003C0C89">
        <w:rPr>
          <w:rFonts w:hint="eastAsia"/>
        </w:rPr>
        <w:t>再彙整</w:t>
      </w:r>
      <w:r>
        <w:rPr>
          <w:rFonts w:hint="eastAsia"/>
        </w:rPr>
        <w:t>核銷資料</w:t>
      </w:r>
      <w:r w:rsidRPr="003C0C89">
        <w:rPr>
          <w:rFonts w:hint="eastAsia"/>
        </w:rPr>
        <w:t>報高公局</w:t>
      </w:r>
      <w:r>
        <w:rPr>
          <w:rFonts w:hint="eastAsia"/>
        </w:rPr>
        <w:t>，高公局統一匯款至公警局帳戶，再轉發</w:t>
      </w:r>
      <w:r w:rsidR="00D34FAE">
        <w:rPr>
          <w:rFonts w:hint="eastAsia"/>
        </w:rPr>
        <w:t>還</w:t>
      </w:r>
      <w:r>
        <w:rPr>
          <w:rFonts w:hint="eastAsia"/>
        </w:rPr>
        <w:t>原代墊費用之員警</w:t>
      </w:r>
      <w:r w:rsidR="00D34FAE">
        <w:rPr>
          <w:rFonts w:hint="eastAsia"/>
        </w:rPr>
        <w:t>。</w:t>
      </w:r>
    </w:p>
    <w:p w:rsidR="00D34FAE" w:rsidRDefault="00D34FAE" w:rsidP="003C0C89">
      <w:pPr>
        <w:pStyle w:val="3"/>
      </w:pPr>
      <w:r>
        <w:rPr>
          <w:rFonts w:hint="eastAsia"/>
        </w:rPr>
        <w:t>經查，目前各</w:t>
      </w:r>
      <w:r w:rsidRPr="00B66DDD">
        <w:rPr>
          <w:rFonts w:hint="eastAsia"/>
        </w:rPr>
        <w:t>民間地磅站業者收費情形</w:t>
      </w:r>
      <w:r>
        <w:rPr>
          <w:rFonts w:hint="eastAsia"/>
        </w:rPr>
        <w:t>不一（如附表</w:t>
      </w:r>
      <w:r w:rsidR="009217D1">
        <w:rPr>
          <w:rFonts w:hint="eastAsia"/>
        </w:rPr>
        <w:t>三</w:t>
      </w:r>
      <w:r>
        <w:rPr>
          <w:rFonts w:hint="eastAsia"/>
        </w:rPr>
        <w:t>），有「有無超載皆收費」、「超載收費、無超載則不收費」、「均不收費」……等情，</w:t>
      </w:r>
      <w:r w:rsidR="003544AA">
        <w:rPr>
          <w:rFonts w:hint="eastAsia"/>
        </w:rPr>
        <w:t>且每件過磅費用為80元至200餘元不等，</w:t>
      </w:r>
      <w:r w:rsidR="002B4F3B">
        <w:rPr>
          <w:rFonts w:hint="eastAsia"/>
        </w:rPr>
        <w:t>以公警局第一警察大隊為例，</w:t>
      </w:r>
      <w:r w:rsidR="009B7A6F">
        <w:rPr>
          <w:rFonts w:hint="eastAsia"/>
        </w:rPr>
        <w:t>經統計</w:t>
      </w:r>
      <w:r w:rsidR="002B4F3B">
        <w:rPr>
          <w:rFonts w:hint="eastAsia"/>
        </w:rPr>
        <w:t>該大隊</w:t>
      </w:r>
      <w:r w:rsidR="009B7A6F">
        <w:t>107</w:t>
      </w:r>
      <w:r w:rsidR="009B7A6F">
        <w:rPr>
          <w:rFonts w:hint="eastAsia"/>
        </w:rPr>
        <w:t>年至</w:t>
      </w:r>
      <w:r w:rsidR="009B7A6F">
        <w:t>109</w:t>
      </w:r>
      <w:r w:rsidR="009B7A6F">
        <w:rPr>
          <w:rFonts w:hint="eastAsia"/>
        </w:rPr>
        <w:t>年</w:t>
      </w:r>
      <w:r w:rsidR="009B7A6F">
        <w:t>7</w:t>
      </w:r>
      <w:r w:rsidR="009B7A6F">
        <w:rPr>
          <w:rFonts w:hint="eastAsia"/>
        </w:rPr>
        <w:t>月底，引導載重車輛至民間地磅站共</w:t>
      </w:r>
      <w:r w:rsidR="009B7A6F">
        <w:t>779</w:t>
      </w:r>
      <w:r w:rsidR="009B7A6F">
        <w:rPr>
          <w:rFonts w:hint="eastAsia"/>
        </w:rPr>
        <w:t>件，</w:t>
      </w:r>
      <w:r w:rsidR="002B4F3B">
        <w:rPr>
          <w:rFonts w:hint="eastAsia"/>
        </w:rPr>
        <w:t>過磅</w:t>
      </w:r>
      <w:r w:rsidR="009B7A6F">
        <w:rPr>
          <w:rFonts w:hint="eastAsia"/>
        </w:rPr>
        <w:t>費用共</w:t>
      </w:r>
      <w:r w:rsidR="009B7A6F">
        <w:t>13</w:t>
      </w:r>
      <w:r w:rsidR="009B7A6F">
        <w:rPr>
          <w:rFonts w:hint="eastAsia"/>
        </w:rPr>
        <w:t>萬</w:t>
      </w:r>
      <w:r w:rsidR="009B7A6F">
        <w:t>7,970</w:t>
      </w:r>
      <w:r w:rsidR="009B7A6F">
        <w:rPr>
          <w:rFonts w:hint="eastAsia"/>
        </w:rPr>
        <w:t>元。</w:t>
      </w:r>
    </w:p>
    <w:p w:rsidR="002B4F3B" w:rsidRDefault="003544AA" w:rsidP="006F3D47">
      <w:pPr>
        <w:pStyle w:val="3"/>
      </w:pPr>
      <w:r>
        <w:rPr>
          <w:rFonts w:hint="eastAsia"/>
        </w:rPr>
        <w:t>雖現行做法係由員警代墊過磅費用，惟執行公務</w:t>
      </w:r>
      <w:r w:rsidR="00687932">
        <w:rPr>
          <w:rFonts w:hint="eastAsia"/>
        </w:rPr>
        <w:t>時</w:t>
      </w:r>
      <w:r>
        <w:rPr>
          <w:rFonts w:hint="eastAsia"/>
        </w:rPr>
        <w:t>由員警私人代墊費用，且</w:t>
      </w:r>
      <w:r w:rsidR="008B46A2">
        <w:rPr>
          <w:rFonts w:hint="eastAsia"/>
        </w:rPr>
        <w:t>須俟每月</w:t>
      </w:r>
      <w:r w:rsidR="008B46A2" w:rsidRPr="003C0C89">
        <w:rPr>
          <w:rFonts w:hint="eastAsia"/>
        </w:rPr>
        <w:t>彙整</w:t>
      </w:r>
      <w:r w:rsidR="008B46A2">
        <w:rPr>
          <w:rFonts w:hint="eastAsia"/>
        </w:rPr>
        <w:t>收費資料核銷，幾經轉手再發還原代墊費用之員警，</w:t>
      </w:r>
      <w:r w:rsidR="009749E4">
        <w:rPr>
          <w:rFonts w:hint="eastAsia"/>
        </w:rPr>
        <w:t>核有未</w:t>
      </w:r>
      <w:r w:rsidR="00EF4EBA">
        <w:rPr>
          <w:rFonts w:hint="eastAsia"/>
        </w:rPr>
        <w:t>妥</w:t>
      </w:r>
      <w:r w:rsidR="009749E4">
        <w:rPr>
          <w:rFonts w:hint="eastAsia"/>
        </w:rPr>
        <w:t>，</w:t>
      </w:r>
      <w:r w:rsidR="008B46A2">
        <w:rPr>
          <w:rFonts w:hint="eastAsia"/>
        </w:rPr>
        <w:t>況</w:t>
      </w:r>
      <w:r>
        <w:rPr>
          <w:rFonts w:hint="eastAsia"/>
        </w:rPr>
        <w:t>員警並非時常攜帶足夠現金以為支付</w:t>
      </w:r>
      <w:r w:rsidR="00687932">
        <w:rPr>
          <w:rFonts w:hint="eastAsia"/>
        </w:rPr>
        <w:t>，易滋生無謂困擾</w:t>
      </w:r>
      <w:r w:rsidR="008B46A2">
        <w:rPr>
          <w:rFonts w:hint="eastAsia"/>
        </w:rPr>
        <w:t>。</w:t>
      </w:r>
      <w:r w:rsidR="002B4F3B">
        <w:rPr>
          <w:rFonts w:hint="eastAsia"/>
        </w:rPr>
        <w:t>而各</w:t>
      </w:r>
      <w:r w:rsidR="002B4F3B" w:rsidRPr="00B66DDD">
        <w:rPr>
          <w:rFonts w:hint="eastAsia"/>
        </w:rPr>
        <w:t>民間地磅站業者收費情形</w:t>
      </w:r>
      <w:r w:rsidR="002B4F3B">
        <w:rPr>
          <w:rFonts w:hint="eastAsia"/>
        </w:rPr>
        <w:t>不一，甚至有不收費情形，</w:t>
      </w:r>
      <w:r w:rsidR="00821DB1">
        <w:rPr>
          <w:rFonts w:hint="eastAsia"/>
        </w:rPr>
        <w:t>雖部分業者係「自願不收費」，惟為避免</w:t>
      </w:r>
      <w:r w:rsidR="009749E4">
        <w:rPr>
          <w:rFonts w:hint="eastAsia"/>
        </w:rPr>
        <w:t>日後無謂</w:t>
      </w:r>
      <w:r w:rsidR="00821DB1">
        <w:rPr>
          <w:rFonts w:hint="eastAsia"/>
        </w:rPr>
        <w:t>爭議，</w:t>
      </w:r>
      <w:r w:rsidR="00EF4EBA">
        <w:rPr>
          <w:rFonts w:hint="eastAsia"/>
        </w:rPr>
        <w:t>允應</w:t>
      </w:r>
      <w:r w:rsidR="00821DB1">
        <w:rPr>
          <w:rFonts w:hint="eastAsia"/>
        </w:rPr>
        <w:t>研議費用支付之合理做</w:t>
      </w:r>
      <w:r w:rsidR="00821DB1">
        <w:rPr>
          <w:rFonts w:hint="eastAsia"/>
        </w:rPr>
        <w:lastRenderedPageBreak/>
        <w:t>法。</w:t>
      </w:r>
    </w:p>
    <w:p w:rsidR="008B46A2" w:rsidRDefault="008B46A2" w:rsidP="006F3D47">
      <w:pPr>
        <w:pStyle w:val="3"/>
      </w:pPr>
      <w:r>
        <w:rPr>
          <w:rFonts w:hint="eastAsia"/>
        </w:rPr>
        <w:t>據高公局表示，</w:t>
      </w:r>
      <w:r w:rsidR="000E74CA">
        <w:rPr>
          <w:rFonts w:hint="eastAsia"/>
        </w:rPr>
        <w:t>於該局與公警局舉辦之聯席會報中，已由二局首長達成協議，高公局並已核定該局北分局所送「轄區公路警察大隊引導載重車輛至民間地磅站過磅經費計畫（草案）」及請中、南分局速洽公警各大隊及民間地磅業者比照辦理</w:t>
      </w:r>
      <w:r w:rsidR="000E74CA">
        <w:rPr>
          <w:rStyle w:val="aff3"/>
        </w:rPr>
        <w:footnoteReference w:id="2"/>
      </w:r>
      <w:r w:rsidR="000E74CA">
        <w:rPr>
          <w:rFonts w:hint="eastAsia"/>
        </w:rPr>
        <w:t>。</w:t>
      </w:r>
    </w:p>
    <w:p w:rsidR="003544AA" w:rsidRDefault="000E74CA" w:rsidP="005461A4">
      <w:pPr>
        <w:pStyle w:val="3"/>
      </w:pPr>
      <w:r>
        <w:rPr>
          <w:rFonts w:hint="eastAsia"/>
        </w:rPr>
        <w:t>綜上，</w:t>
      </w:r>
      <w:r w:rsidR="008B46A2">
        <w:rPr>
          <w:rFonts w:hint="eastAsia"/>
        </w:rPr>
        <w:t>為避免員警</w:t>
      </w:r>
      <w:r w:rsidR="003731B5">
        <w:rPr>
          <w:rFonts w:hint="eastAsia"/>
        </w:rPr>
        <w:t>未攜帶足夠現金</w:t>
      </w:r>
      <w:r w:rsidR="00F01DC5">
        <w:rPr>
          <w:rFonts w:hint="eastAsia"/>
        </w:rPr>
        <w:t>支付過磅費用，</w:t>
      </w:r>
      <w:r w:rsidR="003731B5">
        <w:rPr>
          <w:rFonts w:hint="eastAsia"/>
        </w:rPr>
        <w:t>甚至由超載車輛駕駛付</w:t>
      </w:r>
      <w:r w:rsidR="00500A35">
        <w:rPr>
          <w:rFonts w:hint="eastAsia"/>
        </w:rPr>
        <w:t>費</w:t>
      </w:r>
      <w:r w:rsidR="008B46A2">
        <w:rPr>
          <w:rFonts w:hint="eastAsia"/>
        </w:rPr>
        <w:t>，</w:t>
      </w:r>
      <w:r w:rsidR="00687932">
        <w:rPr>
          <w:rFonts w:hint="eastAsia"/>
        </w:rPr>
        <w:t>滋</w:t>
      </w:r>
      <w:r w:rsidR="008B46A2">
        <w:rPr>
          <w:rFonts w:hint="eastAsia"/>
        </w:rPr>
        <w:t>生無謂困擾，亦為減輕員警負擔，</w:t>
      </w:r>
      <w:r w:rsidR="00770C02">
        <w:rPr>
          <w:rFonts w:hint="eastAsia"/>
        </w:rPr>
        <w:t>並解決</w:t>
      </w:r>
      <w:r w:rsidR="00DB4EBD">
        <w:rPr>
          <w:rFonts w:hint="eastAsia"/>
        </w:rPr>
        <w:t>民間地磅站業者</w:t>
      </w:r>
      <w:r w:rsidR="00770C02">
        <w:rPr>
          <w:rFonts w:hint="eastAsia"/>
        </w:rPr>
        <w:t>收費狀況不一之情</w:t>
      </w:r>
      <w:r w:rsidR="00DB4EBD">
        <w:rPr>
          <w:rFonts w:hint="eastAsia"/>
        </w:rPr>
        <w:t>形</w:t>
      </w:r>
      <w:r w:rsidR="00770C02">
        <w:rPr>
          <w:rFonts w:hint="eastAsia"/>
        </w:rPr>
        <w:t>，</w:t>
      </w:r>
      <w:r w:rsidR="008B46A2">
        <w:rPr>
          <w:rFonts w:hint="eastAsia"/>
        </w:rPr>
        <w:t>交通部（高公局）與警政署（公警局）</w:t>
      </w:r>
      <w:r w:rsidR="009749E4">
        <w:rPr>
          <w:rFonts w:hint="eastAsia"/>
        </w:rPr>
        <w:t>允應</w:t>
      </w:r>
      <w:r w:rsidR="008B46A2">
        <w:rPr>
          <w:rFonts w:hint="eastAsia"/>
        </w:rPr>
        <w:t>儘速研議</w:t>
      </w:r>
      <w:r w:rsidR="008B46A2" w:rsidRPr="008B46A2">
        <w:rPr>
          <w:rFonts w:hint="eastAsia"/>
        </w:rPr>
        <w:t>有關</w:t>
      </w:r>
      <w:r w:rsidR="008B46A2">
        <w:rPr>
          <w:rFonts w:hint="eastAsia"/>
        </w:rPr>
        <w:t>至民間地磅站</w:t>
      </w:r>
      <w:r w:rsidR="008B46A2" w:rsidRPr="008B46A2">
        <w:rPr>
          <w:rFonts w:hint="eastAsia"/>
        </w:rPr>
        <w:t>過磅費用支付之合理做法</w:t>
      </w:r>
      <w:r w:rsidR="008B46A2">
        <w:rPr>
          <w:rFonts w:hint="eastAsia"/>
        </w:rPr>
        <w:t>，</w:t>
      </w:r>
      <w:r w:rsidR="00770C02">
        <w:rPr>
          <w:rFonts w:hint="eastAsia"/>
        </w:rPr>
        <w:t>並視高公局與公警局聯席會報協議之</w:t>
      </w:r>
      <w:r>
        <w:rPr>
          <w:rFonts w:hint="eastAsia"/>
        </w:rPr>
        <w:t>草案所定處理方式及執行狀況，</w:t>
      </w:r>
      <w:r w:rsidR="00687932">
        <w:rPr>
          <w:rFonts w:hint="eastAsia"/>
        </w:rPr>
        <w:t>研議</w:t>
      </w:r>
      <w:r>
        <w:rPr>
          <w:rFonts w:hint="eastAsia"/>
        </w:rPr>
        <w:t>儘速全面比照辦理。</w:t>
      </w:r>
    </w:p>
    <w:p w:rsidR="000E74CA" w:rsidRDefault="0009615F" w:rsidP="003A438D">
      <w:pPr>
        <w:pStyle w:val="2"/>
        <w:rPr>
          <w:b/>
        </w:rPr>
      </w:pPr>
      <w:r w:rsidRPr="003A438D">
        <w:rPr>
          <w:rFonts w:hint="eastAsia"/>
          <w:b/>
        </w:rPr>
        <w:t>高公局曾於106年10月對高速公路大貨車交通量較高路段及時段之分析，作為各地磅站安排開磅之參考，惟迄今已逾</w:t>
      </w:r>
      <w:r w:rsidR="0021763F">
        <w:rPr>
          <w:b/>
        </w:rPr>
        <w:t>3</w:t>
      </w:r>
      <w:r w:rsidRPr="003A438D">
        <w:rPr>
          <w:rFonts w:hint="eastAsia"/>
          <w:b/>
        </w:rPr>
        <w:t>年餘，未再更新，</w:t>
      </w:r>
      <w:r w:rsidR="00225C4A" w:rsidRPr="00225C4A">
        <w:rPr>
          <w:rFonts w:hint="eastAsia"/>
          <w:b/>
        </w:rPr>
        <w:t>且實際開磅率亦呈逐年下降之勢，容有未洽</w:t>
      </w:r>
      <w:r w:rsidR="00237438" w:rsidRPr="003A438D">
        <w:rPr>
          <w:rFonts w:hint="eastAsia"/>
          <w:b/>
        </w:rPr>
        <w:t>；</w:t>
      </w:r>
      <w:r w:rsidR="009749E4">
        <w:rPr>
          <w:rFonts w:hint="eastAsia"/>
          <w:b/>
        </w:rPr>
        <w:t>又</w:t>
      </w:r>
      <w:r w:rsidR="00237438" w:rsidRPr="003A438D">
        <w:rPr>
          <w:rFonts w:hint="eastAsia"/>
          <w:b/>
        </w:rPr>
        <w:t>動態地磅站</w:t>
      </w:r>
      <w:r w:rsidR="00496DD0">
        <w:rPr>
          <w:rFonts w:hint="eastAsia"/>
          <w:b/>
        </w:rPr>
        <w:t>既</w:t>
      </w:r>
      <w:r w:rsidR="00237438" w:rsidRPr="003A438D">
        <w:rPr>
          <w:rFonts w:hint="eastAsia"/>
          <w:b/>
        </w:rPr>
        <w:t>可有效解決車輛等待過磅時間及可能造成回堵至主線的情形，惟目前</w:t>
      </w:r>
      <w:r w:rsidR="00844CD8" w:rsidRPr="003A438D">
        <w:rPr>
          <w:rFonts w:hint="eastAsia"/>
          <w:b/>
        </w:rPr>
        <w:t>原則</w:t>
      </w:r>
      <w:r w:rsidR="00237438" w:rsidRPr="003A438D">
        <w:rPr>
          <w:rFonts w:hint="eastAsia"/>
          <w:b/>
        </w:rPr>
        <w:t>規劃每年</w:t>
      </w:r>
      <w:r w:rsidR="00844CD8" w:rsidRPr="003A438D">
        <w:rPr>
          <w:rFonts w:hint="eastAsia"/>
          <w:b/>
        </w:rPr>
        <w:t>僅</w:t>
      </w:r>
      <w:r w:rsidR="00237438" w:rsidRPr="003A438D">
        <w:rPr>
          <w:rFonts w:hint="eastAsia"/>
          <w:b/>
        </w:rPr>
        <w:t>增設</w:t>
      </w:r>
      <w:r w:rsidR="00237438" w:rsidRPr="003A438D">
        <w:rPr>
          <w:b/>
        </w:rPr>
        <w:t>3</w:t>
      </w:r>
      <w:r w:rsidR="00237438" w:rsidRPr="003A438D">
        <w:rPr>
          <w:rFonts w:hint="eastAsia"/>
          <w:b/>
        </w:rPr>
        <w:t>處動態地磅，</w:t>
      </w:r>
      <w:r w:rsidR="00770C02">
        <w:rPr>
          <w:rFonts w:hint="eastAsia"/>
          <w:b/>
        </w:rPr>
        <w:t>是否足敷</w:t>
      </w:r>
      <w:r w:rsidR="00844CD8">
        <w:rPr>
          <w:rFonts w:hint="eastAsia"/>
          <w:b/>
        </w:rPr>
        <w:t>所</w:t>
      </w:r>
      <w:r w:rsidR="00770C02">
        <w:rPr>
          <w:rFonts w:hint="eastAsia"/>
          <w:b/>
        </w:rPr>
        <w:t>需</w:t>
      </w:r>
      <w:r w:rsidR="00844CD8">
        <w:rPr>
          <w:rFonts w:hint="eastAsia"/>
          <w:b/>
        </w:rPr>
        <w:t>，</w:t>
      </w:r>
      <w:r w:rsidR="00EF4EBA">
        <w:rPr>
          <w:rFonts w:hint="eastAsia"/>
          <w:b/>
        </w:rPr>
        <w:t>允宜</w:t>
      </w:r>
      <w:r w:rsidR="00770C02">
        <w:rPr>
          <w:rFonts w:hint="eastAsia"/>
          <w:b/>
        </w:rPr>
        <w:t>研酌</w:t>
      </w:r>
      <w:r w:rsidR="00237438" w:rsidRPr="003A438D">
        <w:rPr>
          <w:rFonts w:hint="eastAsia"/>
          <w:b/>
        </w:rPr>
        <w:t>加速動態地磅之設置</w:t>
      </w:r>
      <w:r w:rsidR="003A438D" w:rsidRPr="003A438D">
        <w:rPr>
          <w:rFonts w:hint="eastAsia"/>
          <w:b/>
        </w:rPr>
        <w:t>，以</w:t>
      </w:r>
      <w:r w:rsidR="003A438D">
        <w:rPr>
          <w:rFonts w:hint="eastAsia"/>
          <w:b/>
        </w:rPr>
        <w:t>提升過磅效率，並</w:t>
      </w:r>
      <w:r w:rsidR="003A438D" w:rsidRPr="003A438D">
        <w:rPr>
          <w:rFonts w:hint="eastAsia"/>
          <w:b/>
        </w:rPr>
        <w:t>降低逃磅</w:t>
      </w:r>
      <w:r w:rsidR="003A438D">
        <w:rPr>
          <w:rFonts w:hint="eastAsia"/>
          <w:b/>
        </w:rPr>
        <w:t>率</w:t>
      </w:r>
      <w:r w:rsidR="003A438D" w:rsidRPr="003A438D">
        <w:rPr>
          <w:rFonts w:hint="eastAsia"/>
          <w:b/>
        </w:rPr>
        <w:t>及超載率</w:t>
      </w:r>
      <w:r w:rsidR="003A438D">
        <w:rPr>
          <w:rFonts w:hint="eastAsia"/>
          <w:b/>
        </w:rPr>
        <w:t>。</w:t>
      </w:r>
    </w:p>
    <w:p w:rsidR="003A438D" w:rsidRDefault="003A438D" w:rsidP="003A438D">
      <w:pPr>
        <w:pStyle w:val="3"/>
      </w:pPr>
      <w:r>
        <w:rPr>
          <w:rFonts w:hint="eastAsia"/>
        </w:rPr>
        <w:t>查</w:t>
      </w:r>
      <w:r w:rsidRPr="00CE5684">
        <w:rPr>
          <w:rFonts w:hint="eastAsia"/>
        </w:rPr>
        <w:t>高速公路目前仍係以傳統靜態式地磅作為重車管理之工具，高公局於國道</w:t>
      </w:r>
      <w:r w:rsidRPr="00CE5684">
        <w:t>1</w:t>
      </w:r>
      <w:r w:rsidRPr="00CE5684">
        <w:rPr>
          <w:rFonts w:hint="eastAsia"/>
        </w:rPr>
        <w:t>、</w:t>
      </w:r>
      <w:r w:rsidRPr="00CE5684">
        <w:t>3</w:t>
      </w:r>
      <w:r w:rsidRPr="00CE5684">
        <w:rPr>
          <w:rFonts w:hint="eastAsia"/>
        </w:rPr>
        <w:t>、</w:t>
      </w:r>
      <w:r w:rsidRPr="00CE5684">
        <w:t>5</w:t>
      </w:r>
      <w:r w:rsidRPr="00CE5684">
        <w:rPr>
          <w:rFonts w:hint="eastAsia"/>
        </w:rPr>
        <w:t>、</w:t>
      </w:r>
      <w:r w:rsidRPr="00CE5684">
        <w:t>6</w:t>
      </w:r>
      <w:r w:rsidRPr="00CE5684">
        <w:rPr>
          <w:rFonts w:hint="eastAsia"/>
        </w:rPr>
        <w:t>及</w:t>
      </w:r>
      <w:r w:rsidRPr="00CE5684">
        <w:t>10</w:t>
      </w:r>
      <w:r w:rsidRPr="00CE5684">
        <w:rPr>
          <w:rFonts w:hint="eastAsia"/>
        </w:rPr>
        <w:t>號沿線</w:t>
      </w:r>
      <w:r w:rsidRPr="00CE5684">
        <w:t>25</w:t>
      </w:r>
      <w:r w:rsidRPr="00CE5684">
        <w:rPr>
          <w:rFonts w:hint="eastAsia"/>
        </w:rPr>
        <w:t>處地點設置</w:t>
      </w:r>
      <w:r w:rsidRPr="00CE5684">
        <w:t>15</w:t>
      </w:r>
      <w:r w:rsidRPr="00CE5684">
        <w:rPr>
          <w:rFonts w:hint="eastAsia"/>
        </w:rPr>
        <w:t>個、</w:t>
      </w:r>
      <w:r w:rsidRPr="00CE5684">
        <w:t>21</w:t>
      </w:r>
      <w:r w:rsidRPr="00CE5684">
        <w:rPr>
          <w:rFonts w:hint="eastAsia"/>
        </w:rPr>
        <w:t>個、</w:t>
      </w:r>
      <w:r w:rsidRPr="00CE5684">
        <w:t>6</w:t>
      </w:r>
      <w:r w:rsidRPr="00CE5684">
        <w:rPr>
          <w:rFonts w:hint="eastAsia"/>
        </w:rPr>
        <w:t>個、</w:t>
      </w:r>
      <w:r w:rsidRPr="00CE5684">
        <w:t>1</w:t>
      </w:r>
      <w:r w:rsidRPr="00CE5684">
        <w:rPr>
          <w:rFonts w:hint="eastAsia"/>
        </w:rPr>
        <w:t>個及</w:t>
      </w:r>
      <w:r w:rsidRPr="00CE5684">
        <w:t>1</w:t>
      </w:r>
      <w:r w:rsidRPr="00CE5684">
        <w:rPr>
          <w:rFonts w:hint="eastAsia"/>
        </w:rPr>
        <w:t>個，共</w:t>
      </w:r>
      <w:r w:rsidRPr="00CE5684">
        <w:t>44</w:t>
      </w:r>
      <w:r w:rsidRPr="00CE5684">
        <w:rPr>
          <w:rFonts w:hint="eastAsia"/>
        </w:rPr>
        <w:t>個地磅站，其中</w:t>
      </w:r>
      <w:r w:rsidRPr="00CE5684">
        <w:t>19</w:t>
      </w:r>
      <w:r>
        <w:rPr>
          <w:rFonts w:hint="eastAsia"/>
        </w:rPr>
        <w:t>處</w:t>
      </w:r>
      <w:r w:rsidRPr="00CE5684">
        <w:rPr>
          <w:rFonts w:hint="eastAsia"/>
        </w:rPr>
        <w:t>地</w:t>
      </w:r>
      <w:r>
        <w:rPr>
          <w:rFonts w:hint="eastAsia"/>
        </w:rPr>
        <w:t>點</w:t>
      </w:r>
      <w:r w:rsidRPr="00CE5684">
        <w:rPr>
          <w:rFonts w:hint="eastAsia"/>
        </w:rPr>
        <w:t>為南下、北上雙向皆設站，另</w:t>
      </w:r>
      <w:r w:rsidRPr="00CE5684">
        <w:t>6</w:t>
      </w:r>
      <w:r>
        <w:rPr>
          <w:rFonts w:hint="eastAsia"/>
        </w:rPr>
        <w:t>處</w:t>
      </w:r>
      <w:r w:rsidRPr="00CE5684">
        <w:rPr>
          <w:rFonts w:hint="eastAsia"/>
        </w:rPr>
        <w:t>地</w:t>
      </w:r>
      <w:r>
        <w:rPr>
          <w:rFonts w:hint="eastAsia"/>
        </w:rPr>
        <w:t>點</w:t>
      </w:r>
      <w:r w:rsidRPr="00CE5684">
        <w:rPr>
          <w:rFonts w:hint="eastAsia"/>
        </w:rPr>
        <w:t>僅單向設站。該</w:t>
      </w:r>
      <w:r w:rsidRPr="00CE5684">
        <w:t>44</w:t>
      </w:r>
      <w:r w:rsidRPr="00CE5684">
        <w:rPr>
          <w:rFonts w:hint="eastAsia"/>
        </w:rPr>
        <w:t>個地磅站多採</w:t>
      </w:r>
      <w:r w:rsidRPr="00CE5684">
        <w:t>24</w:t>
      </w:r>
      <w:r w:rsidRPr="00CE5684">
        <w:rPr>
          <w:rFonts w:hint="eastAsia"/>
        </w:rPr>
        <w:t>小時機動開磅方式運作，並儘量安排前後相鄰兩站雙向交</w:t>
      </w:r>
      <w:r w:rsidRPr="00CE5684">
        <w:rPr>
          <w:rFonts w:hint="eastAsia"/>
        </w:rPr>
        <w:lastRenderedPageBreak/>
        <w:t>錯開磅，特殊情形時始同側開磅，以避免載重車輛逐站過磅，影響行駛效率。</w:t>
      </w:r>
    </w:p>
    <w:p w:rsidR="003A438D" w:rsidRDefault="003A438D" w:rsidP="003A438D">
      <w:pPr>
        <w:pStyle w:val="3"/>
      </w:pPr>
      <w:r>
        <w:rPr>
          <w:rFonts w:hint="eastAsia"/>
        </w:rPr>
        <w:t>經查，</w:t>
      </w:r>
      <w:r w:rsidRPr="00CE5684">
        <w:rPr>
          <w:rFonts w:hint="eastAsia"/>
        </w:rPr>
        <w:t>高公局為發揮地磅站運作功能，訂有</w:t>
      </w:r>
      <w:r>
        <w:rPr>
          <w:rFonts w:hint="eastAsia"/>
        </w:rPr>
        <w:t>「</w:t>
      </w:r>
      <w:r w:rsidRPr="00CE5684">
        <w:rPr>
          <w:rFonts w:hint="eastAsia"/>
        </w:rPr>
        <w:t>地磅管理作業程序</w:t>
      </w:r>
      <w:r>
        <w:rPr>
          <w:rFonts w:hint="eastAsia"/>
        </w:rPr>
        <w:t>」</w:t>
      </w:r>
      <w:r>
        <w:rPr>
          <w:rStyle w:val="aff3"/>
          <w:rFonts w:cs="Times New Roman"/>
        </w:rPr>
        <w:footnoteReference w:id="3"/>
      </w:r>
      <w:r w:rsidRPr="00CE5684">
        <w:rPr>
          <w:rFonts w:hint="eastAsia"/>
        </w:rPr>
        <w:t>，除對停磅處理、地磅維護及檢修、定期檢定、業務巡查督導等訂有規範外，</w:t>
      </w:r>
      <w:r>
        <w:rPr>
          <w:rFonts w:hint="eastAsia"/>
        </w:rPr>
        <w:t>亦</w:t>
      </w:r>
      <w:r w:rsidRPr="00CE5684">
        <w:rPr>
          <w:rFonts w:hint="eastAsia"/>
        </w:rPr>
        <w:t>訂</w:t>
      </w:r>
      <w:r>
        <w:rPr>
          <w:rFonts w:hint="eastAsia"/>
        </w:rPr>
        <w:t>定</w:t>
      </w:r>
      <w:r w:rsidRPr="00CE5684">
        <w:rPr>
          <w:rFonts w:hint="eastAsia"/>
        </w:rPr>
        <w:t>車輛過磅作業程序與報表處理</w:t>
      </w:r>
      <w:r>
        <w:rPr>
          <w:rFonts w:hint="eastAsia"/>
        </w:rPr>
        <w:t>。</w:t>
      </w:r>
      <w:r w:rsidRPr="00FD7A9C">
        <w:rPr>
          <w:rFonts w:hint="eastAsia"/>
        </w:rPr>
        <w:t>高公局於</w:t>
      </w:r>
      <w:r w:rsidRPr="00FD7A9C">
        <w:t>106</w:t>
      </w:r>
      <w:r w:rsidRPr="00FD7A9C">
        <w:rPr>
          <w:rFonts w:hint="eastAsia"/>
        </w:rPr>
        <w:t>年</w:t>
      </w:r>
      <w:r w:rsidRPr="00FD7A9C">
        <w:t>10</w:t>
      </w:r>
      <w:r w:rsidRPr="00FD7A9C">
        <w:rPr>
          <w:rFonts w:hint="eastAsia"/>
        </w:rPr>
        <w:t>月</w:t>
      </w:r>
      <w:r w:rsidRPr="00FD7A9C">
        <w:t>24</w:t>
      </w:r>
      <w:r w:rsidRPr="00FD7A9C">
        <w:rPr>
          <w:rFonts w:hint="eastAsia"/>
        </w:rPr>
        <w:t>日國道</w:t>
      </w:r>
      <w:r w:rsidRPr="00FD7A9C">
        <w:t>3</w:t>
      </w:r>
      <w:r w:rsidRPr="00FD7A9C">
        <w:rPr>
          <w:rFonts w:hint="eastAsia"/>
        </w:rPr>
        <w:t>號聯結車超載之重大交通事故後，已重新檢討地磅站機動開磅原則，於同年</w:t>
      </w:r>
      <w:r w:rsidRPr="00FD7A9C">
        <w:t>12</w:t>
      </w:r>
      <w:r w:rsidRPr="00FD7A9C">
        <w:rPr>
          <w:rFonts w:hint="eastAsia"/>
        </w:rPr>
        <w:t>月</w:t>
      </w:r>
      <w:r w:rsidRPr="00FD7A9C">
        <w:t>26</w:t>
      </w:r>
      <w:r w:rsidRPr="00FD7A9C">
        <w:rPr>
          <w:rFonts w:hint="eastAsia"/>
        </w:rPr>
        <w:t>日函囑各分局，同一地磅站每月至少有</w:t>
      </w:r>
      <w:r w:rsidRPr="00FD7A9C">
        <w:t>3</w:t>
      </w:r>
      <w:r w:rsidRPr="00FD7A9C">
        <w:rPr>
          <w:rFonts w:hint="eastAsia"/>
        </w:rPr>
        <w:t>～</w:t>
      </w:r>
      <w:r w:rsidRPr="00FD7A9C">
        <w:t>5</w:t>
      </w:r>
      <w:r w:rsidRPr="00FD7A9C">
        <w:rPr>
          <w:rFonts w:hint="eastAsia"/>
        </w:rPr>
        <w:t>％時間應同時雙向開磅，各向地磅站每日至少需開磅</w:t>
      </w:r>
      <w:r w:rsidRPr="00FD7A9C">
        <w:t>1</w:t>
      </w:r>
      <w:r w:rsidRPr="00FD7A9C">
        <w:rPr>
          <w:rFonts w:hint="eastAsia"/>
        </w:rPr>
        <w:t>班次</w:t>
      </w:r>
      <w:r w:rsidRPr="00FD7A9C">
        <w:t>(8</w:t>
      </w:r>
      <w:r w:rsidRPr="00FD7A9C">
        <w:rPr>
          <w:rFonts w:hint="eastAsia"/>
        </w:rPr>
        <w:t>小時</w:t>
      </w:r>
      <w:r w:rsidRPr="00FD7A9C">
        <w:t>)</w:t>
      </w:r>
      <w:r>
        <w:rPr>
          <w:rFonts w:hint="eastAsia"/>
        </w:rPr>
        <w:t>。該</w:t>
      </w:r>
      <w:r w:rsidRPr="004A1A9C">
        <w:rPr>
          <w:rFonts w:hAnsi="標楷體" w:hint="eastAsia"/>
        </w:rPr>
        <w:t>局</w:t>
      </w:r>
      <w:r>
        <w:rPr>
          <w:rFonts w:hAnsi="標楷體" w:hint="eastAsia"/>
        </w:rPr>
        <w:t>嗣</w:t>
      </w:r>
      <w:r w:rsidRPr="004A1A9C">
        <w:rPr>
          <w:rFonts w:hAnsi="標楷體" w:hint="eastAsia"/>
        </w:rPr>
        <w:t>於</w:t>
      </w:r>
      <w:r w:rsidRPr="004A1A9C">
        <w:rPr>
          <w:rFonts w:hAnsi="標楷體"/>
        </w:rPr>
        <w:t>108</w:t>
      </w:r>
      <w:r w:rsidRPr="004A1A9C">
        <w:rPr>
          <w:rFonts w:hAnsi="標楷體" w:hint="eastAsia"/>
        </w:rPr>
        <w:t>年</w:t>
      </w:r>
      <w:r w:rsidRPr="004A1A9C">
        <w:rPr>
          <w:rFonts w:hAnsi="標楷體"/>
        </w:rPr>
        <w:t>7</w:t>
      </w:r>
      <w:r w:rsidRPr="004A1A9C">
        <w:rPr>
          <w:rFonts w:hAnsi="標楷體" w:hint="eastAsia"/>
        </w:rPr>
        <w:t>月</w:t>
      </w:r>
      <w:r w:rsidRPr="004A1A9C">
        <w:rPr>
          <w:rFonts w:hAnsi="標楷體"/>
        </w:rPr>
        <w:t>1</w:t>
      </w:r>
      <w:r w:rsidRPr="004A1A9C">
        <w:rPr>
          <w:rFonts w:hAnsi="標楷體" w:hint="eastAsia"/>
        </w:rPr>
        <w:t>日新增第</w:t>
      </w:r>
      <w:r w:rsidRPr="004A1A9C">
        <w:rPr>
          <w:rFonts w:hAnsi="標楷體"/>
        </w:rPr>
        <w:t>3</w:t>
      </w:r>
      <w:r w:rsidRPr="004A1A9C">
        <w:rPr>
          <w:rFonts w:hAnsi="標楷體" w:hint="eastAsia"/>
        </w:rPr>
        <w:t>項原則</w:t>
      </w:r>
      <w:r>
        <w:rPr>
          <w:rFonts w:hAnsi="標楷體" w:hint="eastAsia"/>
        </w:rPr>
        <w:t>：</w:t>
      </w:r>
      <w:r w:rsidRPr="004A1A9C">
        <w:rPr>
          <w:rFonts w:hAnsi="標楷體" w:hint="eastAsia"/>
        </w:rPr>
        <w:t>「於地磅站雙向開磅時，應有三分之一以上在深夜時段辦理」</w:t>
      </w:r>
      <w:r>
        <w:rPr>
          <w:rFonts w:hAnsi="標楷體" w:hint="eastAsia"/>
        </w:rPr>
        <w:t>（</w:t>
      </w:r>
      <w:r w:rsidRPr="004A1A9C">
        <w:rPr>
          <w:rFonts w:hAnsi="標楷體" w:hint="eastAsia"/>
        </w:rPr>
        <w:t>係為避免載重車輛存有避開白天開磅時段心理，於夜間超載行駛高速公路</w:t>
      </w:r>
      <w:r>
        <w:rPr>
          <w:rFonts w:hAnsi="標楷體" w:hint="eastAsia"/>
        </w:rPr>
        <w:t>）</w:t>
      </w:r>
      <w:r w:rsidRPr="004A1A9C">
        <w:rPr>
          <w:rFonts w:hAnsi="標楷體" w:hint="eastAsia"/>
        </w:rPr>
        <w:t>。</w:t>
      </w:r>
      <w:r w:rsidRPr="00FD7A9C">
        <w:rPr>
          <w:rFonts w:hint="eastAsia"/>
        </w:rPr>
        <w:t>另</w:t>
      </w:r>
      <w:r>
        <w:rPr>
          <w:rFonts w:hint="eastAsia"/>
        </w:rPr>
        <w:t>高公</w:t>
      </w:r>
      <w:r w:rsidRPr="00FD7A9C">
        <w:rPr>
          <w:rFonts w:hint="eastAsia"/>
        </w:rPr>
        <w:t>局分析</w:t>
      </w:r>
      <w:r w:rsidRPr="00FD7A9C">
        <w:t>106</w:t>
      </w:r>
      <w:r w:rsidRPr="00FD7A9C">
        <w:rPr>
          <w:rFonts w:hint="eastAsia"/>
        </w:rPr>
        <w:t>年</w:t>
      </w:r>
      <w:r w:rsidRPr="00FD7A9C">
        <w:t>10</w:t>
      </w:r>
      <w:r w:rsidRPr="00FD7A9C">
        <w:rPr>
          <w:rFonts w:hint="eastAsia"/>
        </w:rPr>
        <w:t>月份高速公路重型車輛交通量較高之路段及時段</w:t>
      </w:r>
      <w:r>
        <w:rPr>
          <w:rFonts w:hint="eastAsia"/>
        </w:rPr>
        <w:t>，供作為各地磅站安排開磅之參考。</w:t>
      </w:r>
    </w:p>
    <w:p w:rsidR="003A438D" w:rsidRPr="00DE719D" w:rsidRDefault="00DE719D" w:rsidP="00DE719D">
      <w:pPr>
        <w:pStyle w:val="3"/>
      </w:pPr>
      <w:r>
        <w:rPr>
          <w:rFonts w:hint="eastAsia"/>
        </w:rPr>
        <w:t>復查，</w:t>
      </w:r>
      <w:r w:rsidR="003A438D" w:rsidRPr="0032556E">
        <w:rPr>
          <w:rFonts w:hint="eastAsia"/>
        </w:rPr>
        <w:t>高公局</w:t>
      </w:r>
      <w:r w:rsidR="00E42214">
        <w:rPr>
          <w:rFonts w:hint="eastAsia"/>
        </w:rPr>
        <w:t>自106年10月</w:t>
      </w:r>
      <w:r w:rsidR="003A438D" w:rsidRPr="0032556E">
        <w:rPr>
          <w:rFonts w:hint="eastAsia"/>
        </w:rPr>
        <w:t>後</w:t>
      </w:r>
      <w:r w:rsidR="00E42214">
        <w:rPr>
          <w:rFonts w:hint="eastAsia"/>
        </w:rPr>
        <w:t>，</w:t>
      </w:r>
      <w:r w:rsidR="008A3AB4">
        <w:rPr>
          <w:rFonts w:hint="eastAsia"/>
        </w:rPr>
        <w:t>即</w:t>
      </w:r>
      <w:r w:rsidR="003A438D">
        <w:rPr>
          <w:rFonts w:hint="eastAsia"/>
        </w:rPr>
        <w:t>未</w:t>
      </w:r>
      <w:r w:rsidR="008A3AB4">
        <w:rPr>
          <w:rFonts w:hint="eastAsia"/>
        </w:rPr>
        <w:t>再</w:t>
      </w:r>
      <w:r w:rsidR="00EC0C34">
        <w:rPr>
          <w:rFonts w:hint="eastAsia"/>
        </w:rPr>
        <w:t>對</w:t>
      </w:r>
      <w:r w:rsidR="003A438D" w:rsidRPr="0032556E">
        <w:rPr>
          <w:rFonts w:hint="eastAsia"/>
        </w:rPr>
        <w:t>高速公路大貨車交通量較高之路段及時段</w:t>
      </w:r>
      <w:r w:rsidR="00EC0C34">
        <w:rPr>
          <w:rFonts w:hint="eastAsia"/>
        </w:rPr>
        <w:t>實施</w:t>
      </w:r>
      <w:r w:rsidR="00EC0C34" w:rsidRPr="0032556E">
        <w:rPr>
          <w:rFonts w:hint="eastAsia"/>
        </w:rPr>
        <w:t>定期或不定期</w:t>
      </w:r>
      <w:r w:rsidR="00EC0C34">
        <w:rPr>
          <w:rFonts w:hint="eastAsia"/>
        </w:rPr>
        <w:t>之</w:t>
      </w:r>
      <w:r w:rsidR="00EC0C34" w:rsidRPr="0032556E">
        <w:rPr>
          <w:rFonts w:hint="eastAsia"/>
        </w:rPr>
        <w:t>分析</w:t>
      </w:r>
      <w:r w:rsidR="003A438D" w:rsidRPr="0032556E">
        <w:rPr>
          <w:rFonts w:hint="eastAsia"/>
        </w:rPr>
        <w:t>，</w:t>
      </w:r>
      <w:r w:rsidR="008A3AB4" w:rsidRPr="008A3AB4">
        <w:rPr>
          <w:rFonts w:hint="eastAsia"/>
        </w:rPr>
        <w:t>迄今已逾</w:t>
      </w:r>
      <w:r w:rsidR="0021763F">
        <w:t>3</w:t>
      </w:r>
      <w:r w:rsidR="008A3AB4" w:rsidRPr="008A3AB4">
        <w:rPr>
          <w:rFonts w:hint="eastAsia"/>
        </w:rPr>
        <w:t>年餘，未再更新</w:t>
      </w:r>
      <w:r w:rsidR="008D7198">
        <w:rPr>
          <w:rFonts w:hint="eastAsia"/>
        </w:rPr>
        <w:t>。</w:t>
      </w:r>
      <w:r>
        <w:rPr>
          <w:rFonts w:hint="eastAsia"/>
        </w:rPr>
        <w:t>惟據審計</w:t>
      </w:r>
      <w:r w:rsidRPr="00DE719D">
        <w:rPr>
          <w:rFonts w:hint="eastAsia"/>
        </w:rPr>
        <w:t>部查核</w:t>
      </w:r>
      <w:r>
        <w:rPr>
          <w:rFonts w:hint="eastAsia"/>
        </w:rPr>
        <w:t>結果</w:t>
      </w:r>
      <w:r w:rsidRPr="00DE719D">
        <w:rPr>
          <w:rFonts w:hint="eastAsia"/>
        </w:rPr>
        <w:t>，各地磅站107年7月份實際平均開磅率為53.64％，低於106年10月(前述國3聯結車重大交通事故發生月份)之57.27％</w:t>
      </w:r>
      <w:r>
        <w:rPr>
          <w:rFonts w:hint="eastAsia"/>
        </w:rPr>
        <w:t>；另</w:t>
      </w:r>
      <w:r w:rsidRPr="00DE719D">
        <w:rPr>
          <w:rFonts w:hint="eastAsia"/>
        </w:rPr>
        <w:t>依</w:t>
      </w:r>
      <w:r>
        <w:rPr>
          <w:rFonts w:hint="eastAsia"/>
        </w:rPr>
        <w:t>交通資料</w:t>
      </w:r>
      <w:r w:rsidRPr="00DE719D">
        <w:rPr>
          <w:rFonts w:hint="eastAsia"/>
        </w:rPr>
        <w:t>，109年1至8月份開磅率53.21％，較107及108年度之54.32％及54.14</w:t>
      </w:r>
      <w:r>
        <w:rPr>
          <w:rFonts w:hint="eastAsia"/>
        </w:rPr>
        <w:t>％，呈逐年下降情形；而</w:t>
      </w:r>
      <w:r w:rsidRPr="00DE719D">
        <w:rPr>
          <w:rFonts w:hAnsi="標楷體" w:hint="eastAsia"/>
        </w:rPr>
        <w:t>各地磅站109年8月工作績效月報表顯示，該月共有超載827輛次，開單708件、未開單119件，未開單比率14.39％，各站平均開磅率53.06％</w:t>
      </w:r>
      <w:r>
        <w:rPr>
          <w:rFonts w:hAnsi="標楷體" w:hint="eastAsia"/>
        </w:rPr>
        <w:t>，</w:t>
      </w:r>
      <w:r w:rsidRPr="00DE719D">
        <w:rPr>
          <w:rFonts w:hAnsi="標楷體" w:hint="eastAsia"/>
        </w:rPr>
        <w:t>其中超載率較嚴重(逾平均值)，惟未開單率偏高(逾20％)者，計有羅東北向、</w:t>
      </w:r>
      <w:r w:rsidRPr="00DE719D">
        <w:rPr>
          <w:rFonts w:hAnsi="標楷體" w:hint="eastAsia"/>
        </w:rPr>
        <w:lastRenderedPageBreak/>
        <w:t>蘇澳北向、頭城南向、汐止北向、岡山北向及南向、樹林南向等站超載率較嚴重(逾平均值)；而開磅率偏低(未達50％)者，計有羅東北向、宜蘭北向、新市北向、岡山北向及南向、樹林南向、名間北向及南向、白河南向、善化北向等站。</w:t>
      </w:r>
      <w:r>
        <w:rPr>
          <w:rFonts w:hAnsi="標楷體" w:hint="eastAsia"/>
        </w:rPr>
        <w:t>詢據</w:t>
      </w:r>
      <w:r w:rsidRPr="00DE719D">
        <w:rPr>
          <w:rFonts w:hAnsi="標楷體" w:hint="eastAsia"/>
        </w:rPr>
        <w:t>高公局稱，該局與公警局已於108年10月開始合作辦理擴大執法專案，由公警局配合於各地磅站開磅期間到場執行取締超載事宜……云云</w:t>
      </w:r>
      <w:r>
        <w:rPr>
          <w:rFonts w:hAnsi="標楷體" w:hint="eastAsia"/>
        </w:rPr>
        <w:t>，</w:t>
      </w:r>
      <w:r w:rsidRPr="00DE719D">
        <w:rPr>
          <w:rFonts w:hAnsi="標楷體" w:hint="eastAsia"/>
        </w:rPr>
        <w:t>上述強化措施既已於108年10月開始辦理，迄109年8月工作績效月報表</w:t>
      </w:r>
      <w:r>
        <w:rPr>
          <w:rFonts w:hAnsi="標楷體" w:hint="eastAsia"/>
        </w:rPr>
        <w:t>卻</w:t>
      </w:r>
      <w:r w:rsidRPr="00DE719D">
        <w:rPr>
          <w:rFonts w:hAnsi="標楷體" w:hint="eastAsia"/>
        </w:rPr>
        <w:t>仍有超載率較嚴重(逾平均值)，未開單率偏高(逾20％)者、開磅率偏低(未達50％)者等情形</w:t>
      </w:r>
      <w:r>
        <w:rPr>
          <w:rFonts w:hAnsi="標楷體" w:hint="eastAsia"/>
        </w:rPr>
        <w:t>，</w:t>
      </w:r>
      <w:r w:rsidR="00704B29">
        <w:rPr>
          <w:rFonts w:hAnsi="標楷體" w:hint="eastAsia"/>
        </w:rPr>
        <w:t>高公局</w:t>
      </w:r>
      <w:r w:rsidR="00E42214">
        <w:rPr>
          <w:rFonts w:hAnsi="標楷體" w:hint="eastAsia"/>
        </w:rPr>
        <w:t>允</w:t>
      </w:r>
      <w:r w:rsidR="00704B29">
        <w:rPr>
          <w:rFonts w:hAnsi="標楷體" w:hint="eastAsia"/>
        </w:rPr>
        <w:t>應</w:t>
      </w:r>
      <w:r w:rsidRPr="00DE719D">
        <w:rPr>
          <w:rFonts w:hAnsi="標楷體" w:hint="eastAsia"/>
        </w:rPr>
        <w:t>就</w:t>
      </w:r>
      <w:r w:rsidRPr="0032556E">
        <w:rPr>
          <w:rFonts w:hint="eastAsia"/>
        </w:rPr>
        <w:t>高速公路大貨車交通量較高路段及時段</w:t>
      </w:r>
      <w:r>
        <w:rPr>
          <w:rFonts w:hint="eastAsia"/>
        </w:rPr>
        <w:t>之</w:t>
      </w:r>
      <w:r w:rsidRPr="00DE719D">
        <w:rPr>
          <w:rFonts w:hAnsi="標楷體" w:hint="eastAsia"/>
        </w:rPr>
        <w:t>最新資料再</w:t>
      </w:r>
      <w:r w:rsidR="00704B29">
        <w:rPr>
          <w:rFonts w:hAnsi="標楷體" w:hint="eastAsia"/>
        </w:rPr>
        <w:t>確實</w:t>
      </w:r>
      <w:r w:rsidRPr="00DE719D">
        <w:rPr>
          <w:rFonts w:hAnsi="標楷體" w:hint="eastAsia"/>
        </w:rPr>
        <w:t>進行滾動式分析</w:t>
      </w:r>
      <w:r w:rsidR="00704B29">
        <w:rPr>
          <w:rFonts w:hAnsi="標楷體" w:hint="eastAsia"/>
        </w:rPr>
        <w:t>，以做為</w:t>
      </w:r>
      <w:r w:rsidR="00704B29">
        <w:rPr>
          <w:rFonts w:hint="eastAsia"/>
        </w:rPr>
        <w:t>各地磅站安排開磅之參考</w:t>
      </w:r>
      <w:r>
        <w:rPr>
          <w:rFonts w:hAnsi="標楷體" w:hint="eastAsia"/>
        </w:rPr>
        <w:t>。</w:t>
      </w:r>
    </w:p>
    <w:p w:rsidR="00DE719D" w:rsidRDefault="00DE719D" w:rsidP="00DE719D">
      <w:pPr>
        <w:pStyle w:val="3"/>
      </w:pPr>
      <w:r>
        <w:rPr>
          <w:rFonts w:hint="eastAsia"/>
        </w:rPr>
        <w:t>次查，</w:t>
      </w:r>
      <w:r w:rsidRPr="00DE719D">
        <w:rPr>
          <w:rFonts w:hint="eastAsia"/>
        </w:rPr>
        <w:tab/>
        <w:t>交通部稱，地磅所在路段因重車比例高，白天開磅往往使得過磅車輛回堵至主線而須臨時停磅，致影響開磅率；高公局將持續推動動態地磅建置，以篩選疑似超載車輛進站過磅，減少因等候過磅車輛回堵至主線而必須臨時停磅之情形。</w:t>
      </w:r>
    </w:p>
    <w:p w:rsidR="00496DD0" w:rsidRDefault="0080580D" w:rsidP="00496DD0">
      <w:pPr>
        <w:pStyle w:val="3"/>
      </w:pPr>
      <w:r>
        <w:rPr>
          <w:rFonts w:hint="eastAsia"/>
        </w:rPr>
        <w:t>再</w:t>
      </w:r>
      <w:r w:rsidR="00496DD0">
        <w:rPr>
          <w:rFonts w:hint="eastAsia"/>
        </w:rPr>
        <w:t>查，</w:t>
      </w:r>
      <w:r w:rsidR="00496DD0" w:rsidRPr="00496DD0">
        <w:rPr>
          <w:rFonts w:hint="eastAsia"/>
        </w:rPr>
        <w:t>動態地磅系統</w:t>
      </w:r>
      <w:r w:rsidR="00496DD0">
        <w:rPr>
          <w:rFonts w:hint="eastAsia"/>
        </w:rPr>
        <w:t>係</w:t>
      </w:r>
      <w:r w:rsidR="00496DD0" w:rsidRPr="00496DD0">
        <w:rPr>
          <w:rFonts w:hint="eastAsia"/>
        </w:rPr>
        <w:t>於</w:t>
      </w:r>
      <w:r w:rsidR="00496DD0">
        <w:rPr>
          <w:rFonts w:hint="eastAsia"/>
        </w:rPr>
        <w:t>高速公路</w:t>
      </w:r>
      <w:r w:rsidR="00496DD0" w:rsidRPr="00496DD0">
        <w:rPr>
          <w:rFonts w:hint="eastAsia"/>
        </w:rPr>
        <w:t>主線上設有3道門架，於第1道門架處藉由埋設地面之重量感測器（動態地磅）偵測車輛是否有超載疑慮</w:t>
      </w:r>
      <w:r w:rsidR="00496DD0">
        <w:rPr>
          <w:rFonts w:hint="eastAsia"/>
        </w:rPr>
        <w:t>，</w:t>
      </w:r>
      <w:r w:rsidR="00496DD0" w:rsidRPr="00496DD0">
        <w:rPr>
          <w:rFonts w:hint="eastAsia"/>
        </w:rPr>
        <w:t>第2道門架將無超載疑慮車輛之車號，顯示於資訊可變標誌上，該等車輛可直接續行主線，未顯示車號之車輛，則須進入靜態地磅過磅</w:t>
      </w:r>
      <w:r w:rsidR="00496DD0">
        <w:rPr>
          <w:rFonts w:hint="eastAsia"/>
        </w:rPr>
        <w:t>，</w:t>
      </w:r>
      <w:r w:rsidR="00496DD0" w:rsidRPr="00496DD0">
        <w:rPr>
          <w:rFonts w:hint="eastAsia"/>
        </w:rPr>
        <w:t>第3道門架則設有全時錄影機，若應進入靜態地磅而未進入，直接通過主線者，將判定為逃磅，系統並自動輸出相關車輛資料，由公警據以處罰。實施動態地磅可使未超載大貨車得免過磅直接通過，減少車輛等待過磅及可能造成回堵至主線的情形，除可提升過磅效率，亦可遏阻超載</w:t>
      </w:r>
      <w:r w:rsidR="00496DD0" w:rsidRPr="00496DD0">
        <w:rPr>
          <w:rFonts w:hint="eastAsia"/>
        </w:rPr>
        <w:lastRenderedPageBreak/>
        <w:t>車輛僥倖心理，降低逃磅及超載率。</w:t>
      </w:r>
    </w:p>
    <w:p w:rsidR="00496DD0" w:rsidRPr="00496DD0" w:rsidRDefault="00496DD0" w:rsidP="006F3D47">
      <w:pPr>
        <w:pStyle w:val="3"/>
      </w:pPr>
      <w:r>
        <w:rPr>
          <w:rFonts w:hint="eastAsia"/>
        </w:rPr>
        <w:t>目前</w:t>
      </w:r>
      <w:r w:rsidRPr="00264124">
        <w:rPr>
          <w:rFonts w:hint="eastAsia"/>
        </w:rPr>
        <w:t>高公局已於國道</w:t>
      </w:r>
      <w:r w:rsidRPr="00264124">
        <w:t>1</w:t>
      </w:r>
      <w:r w:rsidRPr="00264124">
        <w:rPr>
          <w:rFonts w:hint="eastAsia"/>
        </w:rPr>
        <w:t>號岡山北向地磅站設置主線篩選式動態地磅系統，未超載大貨車可依主線資訊可變標誌指示不須進磅，而未依規定進入地磅站逃磅者，將一律錄影舉發；若成效良好將可擴大於國道其他路段實施。</w:t>
      </w:r>
      <w:r>
        <w:rPr>
          <w:rFonts w:hint="eastAsia"/>
        </w:rPr>
        <w:t>岡山北向動態地磅自</w:t>
      </w:r>
      <w:r>
        <w:t>108</w:t>
      </w:r>
      <w:r>
        <w:rPr>
          <w:rFonts w:hint="eastAsia"/>
        </w:rPr>
        <w:t>年</w:t>
      </w:r>
      <w:r>
        <w:t>7</w:t>
      </w:r>
      <w:r>
        <w:rPr>
          <w:rFonts w:hint="eastAsia"/>
        </w:rPr>
        <w:t>月正式啟用至</w:t>
      </w:r>
      <w:r>
        <w:t>109</w:t>
      </w:r>
      <w:r>
        <w:rPr>
          <w:rFonts w:hint="eastAsia"/>
        </w:rPr>
        <w:t>年</w:t>
      </w:r>
      <w:r>
        <w:t>8</w:t>
      </w:r>
      <w:r>
        <w:rPr>
          <w:rFonts w:hint="eastAsia"/>
        </w:rPr>
        <w:t>月底，平均每月遵行免進磅車輛數</w:t>
      </w:r>
      <w:r>
        <w:t>187,387</w:t>
      </w:r>
      <w:r>
        <w:rPr>
          <w:rFonts w:hint="eastAsia"/>
        </w:rPr>
        <w:t>輛，遵行免進磅比例為</w:t>
      </w:r>
      <w:r>
        <w:t>89.7%</w:t>
      </w:r>
      <w:r>
        <w:rPr>
          <w:rFonts w:hint="eastAsia"/>
        </w:rPr>
        <w:t>；逃磅取締開單件數總計</w:t>
      </w:r>
      <w:r>
        <w:t>79</w:t>
      </w:r>
      <w:r>
        <w:rPr>
          <w:rFonts w:hint="eastAsia"/>
        </w:rPr>
        <w:t>件（其中</w:t>
      </w:r>
      <w:r>
        <w:t>2</w:t>
      </w:r>
      <w:r>
        <w:rPr>
          <w:rFonts w:hint="eastAsia"/>
        </w:rPr>
        <w:t>件公警局在</w:t>
      </w:r>
      <w:r>
        <w:t>109</w:t>
      </w:r>
      <w:r>
        <w:rPr>
          <w:rFonts w:hint="eastAsia"/>
        </w:rPr>
        <w:t>年</w:t>
      </w:r>
      <w:r>
        <w:t>9</w:t>
      </w:r>
      <w:r>
        <w:rPr>
          <w:rFonts w:hint="eastAsia"/>
        </w:rPr>
        <w:t>月份製單），每件開罰</w:t>
      </w:r>
      <w:r>
        <w:t>9</w:t>
      </w:r>
      <w:r>
        <w:rPr>
          <w:rFonts w:hint="eastAsia"/>
        </w:rPr>
        <w:t>萬元。逃磅開單件數由</w:t>
      </w:r>
      <w:r>
        <w:t>108</w:t>
      </w:r>
      <w:r>
        <w:rPr>
          <w:rFonts w:hint="eastAsia"/>
        </w:rPr>
        <w:t>年</w:t>
      </w:r>
      <w:r>
        <w:t>7-12</w:t>
      </w:r>
      <w:r>
        <w:rPr>
          <w:rFonts w:hint="eastAsia"/>
        </w:rPr>
        <w:t>月（</w:t>
      </w:r>
      <w:r>
        <w:t>6</w:t>
      </w:r>
      <w:r>
        <w:rPr>
          <w:rFonts w:hint="eastAsia"/>
        </w:rPr>
        <w:t>個月）</w:t>
      </w:r>
      <w:r>
        <w:t>56</w:t>
      </w:r>
      <w:r>
        <w:rPr>
          <w:rFonts w:hint="eastAsia"/>
        </w:rPr>
        <w:t>件，降至</w:t>
      </w:r>
      <w:r>
        <w:t>109</w:t>
      </w:r>
      <w:r>
        <w:rPr>
          <w:rFonts w:hint="eastAsia"/>
        </w:rPr>
        <w:t>年</w:t>
      </w:r>
      <w:r>
        <w:t>1-8</w:t>
      </w:r>
      <w:r>
        <w:rPr>
          <w:rFonts w:hint="eastAsia"/>
        </w:rPr>
        <w:t>月（</w:t>
      </w:r>
      <w:r>
        <w:t>8</w:t>
      </w:r>
      <w:r>
        <w:rPr>
          <w:rFonts w:hint="eastAsia"/>
        </w:rPr>
        <w:t>個月）</w:t>
      </w:r>
      <w:r>
        <w:t>23</w:t>
      </w:r>
      <w:r>
        <w:rPr>
          <w:rFonts w:hint="eastAsia"/>
        </w:rPr>
        <w:t>件，有明顯嚇阻逃磅情形。該局預定於</w:t>
      </w:r>
      <w:r w:rsidRPr="00496DD0">
        <w:rPr>
          <w:rFonts w:hint="eastAsia"/>
        </w:rPr>
        <w:t>110年9月底前將完成汐止南磅、員林南磅及新市南磅等3處動態地磅</w:t>
      </w:r>
      <w:r>
        <w:rPr>
          <w:rFonts w:hint="eastAsia"/>
        </w:rPr>
        <w:t>，</w:t>
      </w:r>
      <w:r w:rsidRPr="00496DD0">
        <w:rPr>
          <w:rFonts w:hint="eastAsia"/>
        </w:rPr>
        <w:t>111年則規劃設置於樹林南磅、后里北磅及田寮北磅</w:t>
      </w:r>
      <w:r>
        <w:rPr>
          <w:rFonts w:hint="eastAsia"/>
        </w:rPr>
        <w:t>，</w:t>
      </w:r>
      <w:r w:rsidRPr="00496DD0">
        <w:rPr>
          <w:rFonts w:hint="eastAsia"/>
        </w:rPr>
        <w:t>後續亦原則每年於北、中、南區各增設1處動態地磅。</w:t>
      </w:r>
    </w:p>
    <w:p w:rsidR="00496DD0" w:rsidRPr="003A438D" w:rsidRDefault="00496DD0" w:rsidP="00997801">
      <w:pPr>
        <w:pStyle w:val="3"/>
      </w:pPr>
      <w:r>
        <w:rPr>
          <w:rFonts w:hint="eastAsia"/>
        </w:rPr>
        <w:t>綜上，高公局</w:t>
      </w:r>
      <w:r w:rsidR="0089735F">
        <w:rPr>
          <w:rFonts w:hint="eastAsia"/>
        </w:rPr>
        <w:t>曾</w:t>
      </w:r>
      <w:r w:rsidRPr="00496DD0">
        <w:rPr>
          <w:rFonts w:hint="eastAsia"/>
        </w:rPr>
        <w:t>於106年10月對高速公路大貨車交通量較高路段及時段之分析，作為各地磅站安排開磅之參考，惟迄今已逾</w:t>
      </w:r>
      <w:r w:rsidR="0080580D">
        <w:t>3</w:t>
      </w:r>
      <w:r w:rsidRPr="00496DD0">
        <w:rPr>
          <w:rFonts w:hint="eastAsia"/>
        </w:rPr>
        <w:t>年餘，未再更新，</w:t>
      </w:r>
      <w:r w:rsidR="00225C4A">
        <w:rPr>
          <w:rFonts w:hint="eastAsia"/>
        </w:rPr>
        <w:t>且</w:t>
      </w:r>
      <w:r w:rsidRPr="00496DD0">
        <w:rPr>
          <w:rFonts w:hint="eastAsia"/>
        </w:rPr>
        <w:t>實際開磅率</w:t>
      </w:r>
      <w:r w:rsidR="00225C4A">
        <w:rPr>
          <w:rFonts w:hint="eastAsia"/>
        </w:rPr>
        <w:t>亦呈</w:t>
      </w:r>
      <w:r w:rsidRPr="00496DD0">
        <w:rPr>
          <w:rFonts w:hint="eastAsia"/>
        </w:rPr>
        <w:t>逐年下降</w:t>
      </w:r>
      <w:r w:rsidR="00225C4A">
        <w:rPr>
          <w:rFonts w:hint="eastAsia"/>
        </w:rPr>
        <w:t>之勢</w:t>
      </w:r>
      <w:r w:rsidRPr="00496DD0">
        <w:rPr>
          <w:rFonts w:hint="eastAsia"/>
        </w:rPr>
        <w:t>，</w:t>
      </w:r>
      <w:r w:rsidR="00225C4A">
        <w:rPr>
          <w:rFonts w:hint="eastAsia"/>
        </w:rPr>
        <w:t>容有未洽</w:t>
      </w:r>
      <w:r w:rsidRPr="00496DD0">
        <w:rPr>
          <w:rFonts w:hint="eastAsia"/>
        </w:rPr>
        <w:t>；</w:t>
      </w:r>
      <w:r w:rsidR="00E42214">
        <w:rPr>
          <w:rFonts w:hint="eastAsia"/>
        </w:rPr>
        <w:t>又</w:t>
      </w:r>
      <w:r w:rsidRPr="00496DD0">
        <w:rPr>
          <w:rFonts w:hint="eastAsia"/>
        </w:rPr>
        <w:t>動態地磅站既可有效解決車輛等待過磅時間及可能造成回堵至主線的情形，</w:t>
      </w:r>
      <w:r w:rsidR="00997801" w:rsidRPr="00997801">
        <w:rPr>
          <w:rFonts w:hint="eastAsia"/>
        </w:rPr>
        <w:t>惟目前原則規劃每年僅增設3處動態地磅，是否足敷所需，</w:t>
      </w:r>
      <w:r w:rsidR="00EF4EBA">
        <w:rPr>
          <w:rFonts w:hint="eastAsia"/>
        </w:rPr>
        <w:t>允宜</w:t>
      </w:r>
      <w:r w:rsidR="00997801" w:rsidRPr="00997801">
        <w:rPr>
          <w:rFonts w:hint="eastAsia"/>
        </w:rPr>
        <w:t>研酌加速動態地磅之設置，以提升過磅效率，並降低逃磅率及超載率。</w:t>
      </w:r>
    </w:p>
    <w:p w:rsidR="00BF38FA" w:rsidRDefault="00BF38FA" w:rsidP="004E05A1">
      <w:pPr>
        <w:pStyle w:val="1"/>
        <w:ind w:left="2380" w:hanging="2380"/>
        <w:rPr>
          <w:rFonts w:cs="Times New Roman"/>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59"/>
      <w:r>
        <w:rPr>
          <w:rFonts w:cs="Times New Roman"/>
        </w:rP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Pr>
          <w:rFonts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BF38FA" w:rsidRPr="0089735F" w:rsidRDefault="00BF38FA" w:rsidP="0024697B">
      <w:pPr>
        <w:pStyle w:val="2"/>
        <w:spacing w:beforeLines="25" w:before="114"/>
        <w:ind w:left="1020" w:hanging="680"/>
        <w:rPr>
          <w:rFonts w:cs="Times New Roman"/>
        </w:rPr>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Pr>
          <w:rFonts w:hint="eastAsia"/>
        </w:rPr>
        <w:t>調查意見一，提案糾正</w:t>
      </w:r>
      <w:r w:rsidR="00496DD0">
        <w:rPr>
          <w:rFonts w:hint="eastAsia"/>
        </w:rPr>
        <w:t>交通部、內政部警政署</w:t>
      </w:r>
      <w:r w:rsidR="0089735F">
        <w:rPr>
          <w:rFonts w:hint="eastAsia"/>
        </w:rPr>
        <w:t>，並請行政院督飭並協調該二機關妥處</w:t>
      </w:r>
      <w:r>
        <w:rPr>
          <w:rFonts w:hAnsi="標楷體" w:hint="eastAsia"/>
        </w:rPr>
        <w:t>。</w:t>
      </w:r>
      <w:bookmarkEnd w:id="87"/>
      <w:bookmarkEnd w:id="88"/>
      <w:bookmarkEnd w:id="89"/>
      <w:bookmarkEnd w:id="90"/>
      <w:bookmarkEnd w:id="91"/>
      <w:bookmarkEnd w:id="92"/>
      <w:bookmarkEnd w:id="93"/>
    </w:p>
    <w:p w:rsidR="0089735F" w:rsidRDefault="0089735F" w:rsidP="0024697B">
      <w:pPr>
        <w:pStyle w:val="2"/>
        <w:spacing w:beforeLines="25" w:before="114"/>
        <w:ind w:left="1020" w:hanging="680"/>
        <w:rPr>
          <w:rFonts w:cs="Times New Roman"/>
        </w:rPr>
      </w:pPr>
      <w:r>
        <w:rPr>
          <w:rFonts w:hint="eastAsia"/>
        </w:rPr>
        <w:t>調查意見二，提案糾正交通部、內政部警政署</w:t>
      </w:r>
      <w:r>
        <w:rPr>
          <w:rFonts w:hAnsi="標楷體" w:hint="eastAsia"/>
        </w:rPr>
        <w:t>。</w:t>
      </w:r>
    </w:p>
    <w:p w:rsidR="00BF38FA" w:rsidRPr="00496DD0" w:rsidRDefault="00BF38FA">
      <w:pPr>
        <w:pStyle w:val="2"/>
        <w:rPr>
          <w:rFonts w:cs="Times New Roman"/>
        </w:rPr>
      </w:pPr>
      <w:bookmarkStart w:id="113" w:name="_Toc421794877"/>
      <w:bookmarkStart w:id="114" w:name="_Toc421795443"/>
      <w:bookmarkStart w:id="115" w:name="_Toc421796024"/>
      <w:bookmarkStart w:id="116" w:name="_Toc422728959"/>
      <w:bookmarkStart w:id="117" w:name="_Toc422834162"/>
      <w:r>
        <w:rPr>
          <w:rFonts w:hint="eastAsia"/>
        </w:rPr>
        <w:t>調查意見</w:t>
      </w:r>
      <w:r w:rsidR="00496DD0">
        <w:rPr>
          <w:rFonts w:hint="eastAsia"/>
        </w:rPr>
        <w:t>三</w:t>
      </w:r>
      <w:r>
        <w:rPr>
          <w:rFonts w:hint="eastAsia"/>
        </w:rPr>
        <w:t>，函請</w:t>
      </w:r>
      <w:r w:rsidR="00496DD0">
        <w:rPr>
          <w:rFonts w:hint="eastAsia"/>
        </w:rPr>
        <w:t>交通部、內政部警政署</w:t>
      </w:r>
      <w:r>
        <w:rPr>
          <w:rFonts w:hint="eastAsia"/>
        </w:rPr>
        <w:t>確實檢討改進見復。</w:t>
      </w:r>
      <w:bookmarkEnd w:id="94"/>
      <w:bookmarkEnd w:id="95"/>
      <w:bookmarkEnd w:id="96"/>
      <w:bookmarkEnd w:id="97"/>
      <w:bookmarkEnd w:id="98"/>
      <w:bookmarkEnd w:id="99"/>
      <w:bookmarkEnd w:id="100"/>
      <w:bookmarkEnd w:id="101"/>
      <w:bookmarkEnd w:id="113"/>
      <w:bookmarkEnd w:id="114"/>
      <w:bookmarkEnd w:id="115"/>
      <w:bookmarkEnd w:id="116"/>
      <w:bookmarkEnd w:id="117"/>
    </w:p>
    <w:p w:rsidR="00496DD0" w:rsidRDefault="00496DD0">
      <w:pPr>
        <w:pStyle w:val="2"/>
        <w:rPr>
          <w:rFonts w:cs="Times New Roman"/>
        </w:rPr>
      </w:pPr>
      <w:r>
        <w:rPr>
          <w:rFonts w:hint="eastAsia"/>
        </w:rPr>
        <w:t>調查意見四，函請交通部確實檢討改進見復。</w:t>
      </w:r>
    </w:p>
    <w:p w:rsidR="00BF38FA" w:rsidRDefault="00BF38FA" w:rsidP="00560DDA">
      <w:pPr>
        <w:pStyle w:val="2"/>
        <w:rPr>
          <w:rFonts w:cs="Times New Roman"/>
        </w:rPr>
      </w:pPr>
      <w:bookmarkStart w:id="118" w:name="_Toc70241819"/>
      <w:bookmarkStart w:id="119" w:name="_Toc70242208"/>
      <w:bookmarkStart w:id="120" w:name="_Toc421794878"/>
      <w:bookmarkStart w:id="121" w:name="_Toc421795444"/>
      <w:bookmarkStart w:id="122" w:name="_Toc421796025"/>
      <w:bookmarkStart w:id="123" w:name="_Toc422728960"/>
      <w:bookmarkStart w:id="124" w:name="_Toc422834163"/>
      <w:bookmarkStart w:id="125" w:name="_Toc70241818"/>
      <w:bookmarkStart w:id="126" w:name="_Toc70242207"/>
      <w:r>
        <w:rPr>
          <w:rFonts w:hint="eastAsia"/>
        </w:rPr>
        <w:t>調查意見，函復審計部</w:t>
      </w:r>
      <w:bookmarkEnd w:id="118"/>
      <w:bookmarkEnd w:id="119"/>
      <w:bookmarkEnd w:id="120"/>
      <w:bookmarkEnd w:id="121"/>
      <w:bookmarkEnd w:id="122"/>
      <w:bookmarkEnd w:id="123"/>
      <w:bookmarkEnd w:id="124"/>
      <w:r w:rsidR="00DE4A7E">
        <w:rPr>
          <w:rFonts w:hint="eastAsia"/>
        </w:rPr>
        <w:t>，並請該部就協助本案查核勾稽統計之相關人員酌適敘獎。</w:t>
      </w:r>
    </w:p>
    <w:p w:rsidR="00BF38FA" w:rsidRDefault="00BF38FA">
      <w:pPr>
        <w:pStyle w:val="2"/>
        <w:rPr>
          <w:rFonts w:cs="Times New Roman"/>
        </w:rPr>
      </w:pPr>
      <w:bookmarkStart w:id="127" w:name="_Toc2400397"/>
      <w:bookmarkStart w:id="128" w:name="_Toc4316191"/>
      <w:bookmarkStart w:id="129" w:name="_Toc4473332"/>
      <w:bookmarkStart w:id="130" w:name="_Toc69556901"/>
      <w:bookmarkStart w:id="131" w:name="_Toc69556950"/>
      <w:bookmarkStart w:id="132" w:name="_Toc69609824"/>
      <w:bookmarkStart w:id="133" w:name="_Toc70241822"/>
      <w:bookmarkStart w:id="134" w:name="_Toc70242211"/>
      <w:bookmarkStart w:id="135" w:name="_Toc421794881"/>
      <w:bookmarkStart w:id="136" w:name="_Toc421795447"/>
      <w:bookmarkStart w:id="137" w:name="_Toc421796028"/>
      <w:bookmarkStart w:id="138" w:name="_Toc422728963"/>
      <w:bookmarkStart w:id="139" w:name="_Toc422834166"/>
      <w:bookmarkEnd w:id="102"/>
      <w:bookmarkEnd w:id="103"/>
      <w:bookmarkEnd w:id="104"/>
      <w:bookmarkEnd w:id="105"/>
      <w:bookmarkEnd w:id="106"/>
      <w:bookmarkEnd w:id="107"/>
      <w:bookmarkEnd w:id="108"/>
      <w:bookmarkEnd w:id="109"/>
      <w:bookmarkEnd w:id="110"/>
      <w:bookmarkEnd w:id="111"/>
      <w:bookmarkEnd w:id="112"/>
      <w:bookmarkEnd w:id="125"/>
      <w:bookmarkEnd w:id="126"/>
      <w:r>
        <w:rPr>
          <w:rFonts w:hint="eastAsia"/>
          <w:color w:val="000000"/>
        </w:rPr>
        <w:t>檢附派查函及相關附件，送請交通及採購委員會、內政及族群委員會</w:t>
      </w:r>
      <w:r>
        <w:rPr>
          <w:rFonts w:hAnsi="標楷體" w:hint="eastAsia"/>
          <w:color w:val="000000"/>
        </w:rPr>
        <w:t>聯席會議</w:t>
      </w:r>
      <w:r>
        <w:rPr>
          <w:rFonts w:hint="eastAsia"/>
          <w:color w:val="000000"/>
        </w:rPr>
        <w:t>處理。</w:t>
      </w:r>
      <w:bookmarkEnd w:id="127"/>
      <w:bookmarkEnd w:id="128"/>
      <w:bookmarkEnd w:id="129"/>
      <w:bookmarkEnd w:id="130"/>
      <w:bookmarkEnd w:id="131"/>
      <w:bookmarkEnd w:id="132"/>
      <w:bookmarkEnd w:id="133"/>
      <w:bookmarkEnd w:id="134"/>
      <w:bookmarkEnd w:id="135"/>
      <w:bookmarkEnd w:id="136"/>
      <w:bookmarkEnd w:id="137"/>
      <w:bookmarkEnd w:id="138"/>
      <w:bookmarkEnd w:id="139"/>
    </w:p>
    <w:p w:rsidR="00B71761" w:rsidRDefault="00B71761">
      <w:pPr>
        <w:widowControl/>
        <w:kinsoku/>
        <w:overflowPunct/>
        <w:autoSpaceDE/>
        <w:autoSpaceDN/>
        <w:jc w:val="left"/>
        <w:rPr>
          <w:rFonts w:cs="Times New Roman"/>
          <w:spacing w:val="12"/>
          <w:kern w:val="0"/>
          <w:sz w:val="40"/>
          <w:szCs w:val="40"/>
        </w:rPr>
      </w:pPr>
      <w:r>
        <w:rPr>
          <w:rFonts w:cs="Times New Roman"/>
          <w:b/>
          <w:bCs/>
          <w:spacing w:val="12"/>
          <w:kern w:val="0"/>
          <w:sz w:val="40"/>
          <w:szCs w:val="40"/>
        </w:rPr>
        <w:br w:type="page"/>
      </w:r>
    </w:p>
    <w:p w:rsidR="00BF38FA" w:rsidRPr="00183DFB" w:rsidRDefault="00AB6076" w:rsidP="00B66DDD">
      <w:pPr>
        <w:pStyle w:val="af3"/>
        <w:ind w:left="1361" w:hangingChars="400" w:hanging="1361"/>
        <w:rPr>
          <w:rFonts w:cs="Times New Roman"/>
        </w:rPr>
      </w:pPr>
      <w:bookmarkStart w:id="140" w:name="_Toc421794883"/>
      <w:bookmarkStart w:id="141" w:name="_Toc4467127"/>
      <w:bookmarkEnd w:id="140"/>
      <w:r>
        <w:rPr>
          <w:rFonts w:hint="eastAsia"/>
        </w:rPr>
        <w:lastRenderedPageBreak/>
        <w:t>附錄一、</w:t>
      </w:r>
      <w:r w:rsidRPr="00626698">
        <w:rPr>
          <w:rFonts w:hint="eastAsia"/>
        </w:rPr>
        <w:t>各地磅站過磅車輛及超載車輛開單情形</w:t>
      </w:r>
      <w:bookmarkEnd w:id="141"/>
    </w:p>
    <w:p w:rsidR="00183DFB" w:rsidRDefault="00183DFB" w:rsidP="00183DFB">
      <w:pPr>
        <w:jc w:val="right"/>
      </w:pPr>
      <w:r w:rsidRPr="0008152E">
        <w:rPr>
          <w:rFonts w:hAnsi="標楷體" w:hint="eastAsia"/>
          <w:sz w:val="24"/>
          <w:szCs w:val="24"/>
        </w:rPr>
        <w:t>單位：輛次、％</w:t>
      </w:r>
    </w:p>
    <w:tbl>
      <w:tblPr>
        <w:tblW w:w="900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35"/>
        <w:gridCol w:w="1124"/>
        <w:gridCol w:w="1124"/>
        <w:gridCol w:w="1124"/>
        <w:gridCol w:w="1124"/>
        <w:gridCol w:w="1124"/>
        <w:gridCol w:w="1124"/>
        <w:gridCol w:w="1124"/>
      </w:tblGrid>
      <w:tr w:rsidR="00BF38FA" w:rsidRPr="00886D80">
        <w:trPr>
          <w:trHeight w:val="730"/>
        </w:trPr>
        <w:tc>
          <w:tcPr>
            <w:tcW w:w="1135" w:type="dxa"/>
            <w:tcBorders>
              <w:tl2br w:val="single" w:sz="4" w:space="0" w:color="auto"/>
            </w:tcBorders>
          </w:tcPr>
          <w:p w:rsidR="00BF38FA" w:rsidRPr="00886D80" w:rsidRDefault="00BF38FA" w:rsidP="00217C1D">
            <w:pPr>
              <w:pStyle w:val="120"/>
              <w:jc w:val="right"/>
              <w:rPr>
                <w:rFonts w:cs="Times New Roman"/>
              </w:rPr>
            </w:pPr>
            <w:r w:rsidRPr="00886D80">
              <w:rPr>
                <w:rFonts w:hint="eastAsia"/>
              </w:rPr>
              <w:t>年度</w:t>
            </w:r>
          </w:p>
          <w:p w:rsidR="00BF38FA" w:rsidRPr="0042396D" w:rsidRDefault="00BF38FA" w:rsidP="00FA504E">
            <w:pPr>
              <w:pStyle w:val="120"/>
              <w:rPr>
                <w:rFonts w:cs="Times New Roman"/>
              </w:rPr>
            </w:pPr>
            <w:r w:rsidRPr="00886D80">
              <w:rPr>
                <w:rFonts w:hint="eastAsia"/>
              </w:rPr>
              <w:t>過磅</w:t>
            </w:r>
            <w:r>
              <w:rPr>
                <w:rFonts w:cs="Times New Roman"/>
              </w:rPr>
              <w:br/>
            </w:r>
            <w:r w:rsidRPr="00886D80">
              <w:rPr>
                <w:rFonts w:hint="eastAsia"/>
              </w:rPr>
              <w:t>情形</w:t>
            </w:r>
          </w:p>
        </w:tc>
        <w:tc>
          <w:tcPr>
            <w:tcW w:w="1124" w:type="dxa"/>
            <w:vAlign w:val="center"/>
          </w:tcPr>
          <w:p w:rsidR="00BF38FA" w:rsidRPr="00217C1D" w:rsidRDefault="00BF38FA" w:rsidP="00217C1D">
            <w:pPr>
              <w:pStyle w:val="120"/>
              <w:jc w:val="center"/>
              <w:rPr>
                <w:rFonts w:cs="Times New Roman"/>
                <w:b/>
                <w:bCs/>
              </w:rPr>
            </w:pPr>
            <w:r w:rsidRPr="00217C1D">
              <w:rPr>
                <w:rFonts w:hint="eastAsia"/>
                <w:b/>
                <w:bCs/>
              </w:rPr>
              <w:t>合計</w:t>
            </w:r>
          </w:p>
        </w:tc>
        <w:tc>
          <w:tcPr>
            <w:tcW w:w="1124" w:type="dxa"/>
            <w:vAlign w:val="center"/>
          </w:tcPr>
          <w:p w:rsidR="00BF38FA" w:rsidRPr="005E609D" w:rsidRDefault="00BF38FA" w:rsidP="00217C1D">
            <w:pPr>
              <w:pStyle w:val="120"/>
              <w:jc w:val="center"/>
            </w:pPr>
            <w:r w:rsidRPr="005E609D">
              <w:t>104</w:t>
            </w:r>
          </w:p>
        </w:tc>
        <w:tc>
          <w:tcPr>
            <w:tcW w:w="1124" w:type="dxa"/>
            <w:vAlign w:val="center"/>
          </w:tcPr>
          <w:p w:rsidR="00BF38FA" w:rsidRPr="005E609D" w:rsidRDefault="00BF38FA" w:rsidP="00217C1D">
            <w:pPr>
              <w:pStyle w:val="120"/>
              <w:jc w:val="center"/>
            </w:pPr>
            <w:r w:rsidRPr="005E609D">
              <w:t>105</w:t>
            </w:r>
          </w:p>
        </w:tc>
        <w:tc>
          <w:tcPr>
            <w:tcW w:w="1124" w:type="dxa"/>
            <w:vAlign w:val="center"/>
          </w:tcPr>
          <w:p w:rsidR="00BF38FA" w:rsidRPr="005E609D" w:rsidRDefault="00BF38FA" w:rsidP="00217C1D">
            <w:pPr>
              <w:pStyle w:val="120"/>
              <w:jc w:val="center"/>
            </w:pPr>
            <w:r w:rsidRPr="005E609D">
              <w:t>106</w:t>
            </w:r>
          </w:p>
        </w:tc>
        <w:tc>
          <w:tcPr>
            <w:tcW w:w="1124" w:type="dxa"/>
            <w:vAlign w:val="center"/>
          </w:tcPr>
          <w:p w:rsidR="00BF38FA" w:rsidRPr="005E609D" w:rsidRDefault="00BF38FA" w:rsidP="00217C1D">
            <w:pPr>
              <w:pStyle w:val="120"/>
              <w:jc w:val="center"/>
            </w:pPr>
            <w:r w:rsidRPr="005E609D">
              <w:t>107</w:t>
            </w:r>
          </w:p>
        </w:tc>
        <w:tc>
          <w:tcPr>
            <w:tcW w:w="1124" w:type="dxa"/>
            <w:vAlign w:val="center"/>
          </w:tcPr>
          <w:p w:rsidR="00BF38FA" w:rsidRPr="005E609D" w:rsidRDefault="00BF38FA" w:rsidP="00217C1D">
            <w:pPr>
              <w:pStyle w:val="120"/>
              <w:jc w:val="center"/>
            </w:pPr>
            <w:r w:rsidRPr="005E609D">
              <w:t>108</w:t>
            </w:r>
          </w:p>
        </w:tc>
        <w:tc>
          <w:tcPr>
            <w:tcW w:w="1124" w:type="dxa"/>
            <w:vAlign w:val="center"/>
          </w:tcPr>
          <w:p w:rsidR="00BF38FA" w:rsidRPr="005E609D" w:rsidRDefault="00BF38FA" w:rsidP="00217C1D">
            <w:pPr>
              <w:pStyle w:val="120"/>
              <w:jc w:val="center"/>
            </w:pPr>
            <w:r w:rsidRPr="005E609D">
              <w:t>109</w:t>
            </w:r>
          </w:p>
          <w:p w:rsidR="00BF38FA" w:rsidRPr="00886D80" w:rsidRDefault="00BF38FA" w:rsidP="00217C1D">
            <w:pPr>
              <w:pStyle w:val="120"/>
              <w:jc w:val="center"/>
            </w:pPr>
            <w:r w:rsidRPr="00886D80">
              <w:t>(1</w:t>
            </w:r>
            <w:r w:rsidRPr="00886D80">
              <w:rPr>
                <w:rFonts w:hint="eastAsia"/>
              </w:rPr>
              <w:t>至</w:t>
            </w:r>
            <w:r w:rsidRPr="00886D80">
              <w:t>8</w:t>
            </w:r>
            <w:r w:rsidRPr="00886D80">
              <w:rPr>
                <w:rFonts w:hint="eastAsia"/>
              </w:rPr>
              <w:t>月</w:t>
            </w:r>
            <w:r w:rsidRPr="00886D80">
              <w:t>)</w:t>
            </w:r>
          </w:p>
        </w:tc>
      </w:tr>
      <w:tr w:rsidR="00BF38FA" w:rsidRPr="00886D80" w:rsidTr="00EF6287">
        <w:trPr>
          <w:trHeight w:val="624"/>
        </w:trPr>
        <w:tc>
          <w:tcPr>
            <w:tcW w:w="9003" w:type="dxa"/>
            <w:gridSpan w:val="8"/>
            <w:vAlign w:val="center"/>
          </w:tcPr>
          <w:p w:rsidR="00BF38FA" w:rsidRPr="00886D80" w:rsidRDefault="00BF38FA" w:rsidP="00FA504E">
            <w:pPr>
              <w:pStyle w:val="120"/>
              <w:rPr>
                <w:rFonts w:cs="Times New Roman"/>
              </w:rPr>
            </w:pPr>
            <w:r w:rsidRPr="00217C1D">
              <w:rPr>
                <w:rFonts w:hint="eastAsia"/>
                <w:b/>
                <w:bCs/>
              </w:rPr>
              <w:t>一、高公局網站公告之高速公路過磅情形</w:t>
            </w:r>
            <w:r w:rsidRPr="0083702A">
              <w:t>(</w:t>
            </w:r>
            <w:r w:rsidRPr="0083702A">
              <w:rPr>
                <w:rFonts w:hint="eastAsia"/>
              </w:rPr>
              <w:t>註</w:t>
            </w:r>
            <w:r>
              <w:t>2)</w:t>
            </w:r>
          </w:p>
        </w:tc>
      </w:tr>
      <w:tr w:rsidR="00BF38FA" w:rsidRPr="0083702A" w:rsidTr="00EF6287">
        <w:trPr>
          <w:trHeight w:val="624"/>
        </w:trPr>
        <w:tc>
          <w:tcPr>
            <w:tcW w:w="1135" w:type="dxa"/>
            <w:vAlign w:val="center"/>
          </w:tcPr>
          <w:p w:rsidR="00BF38FA" w:rsidRPr="00217C1D" w:rsidRDefault="00BF38FA" w:rsidP="00FA504E">
            <w:pPr>
              <w:pStyle w:val="120"/>
              <w:rPr>
                <w:rFonts w:cs="Times New Roman"/>
                <w:sz w:val="22"/>
                <w:szCs w:val="22"/>
              </w:rPr>
            </w:pPr>
            <w:r w:rsidRPr="00217C1D">
              <w:rPr>
                <w:rFonts w:hint="eastAsia"/>
                <w:sz w:val="22"/>
                <w:szCs w:val="22"/>
              </w:rPr>
              <w:t>過磅車輛數</w:t>
            </w:r>
          </w:p>
        </w:tc>
        <w:tc>
          <w:tcPr>
            <w:tcW w:w="1124" w:type="dxa"/>
            <w:vAlign w:val="center"/>
          </w:tcPr>
          <w:p w:rsidR="00BF38FA" w:rsidRPr="003C6556" w:rsidRDefault="00BF38FA" w:rsidP="00FA504E">
            <w:pPr>
              <w:pStyle w:val="120"/>
              <w:rPr>
                <w:b/>
                <w:bCs/>
                <w:sz w:val="22"/>
                <w:szCs w:val="22"/>
              </w:rPr>
            </w:pPr>
            <w:r w:rsidRPr="003C6556">
              <w:rPr>
                <w:b/>
                <w:bCs/>
                <w:sz w:val="22"/>
                <w:szCs w:val="22"/>
              </w:rPr>
              <w:t>72,536,824</w:t>
            </w:r>
          </w:p>
        </w:tc>
        <w:tc>
          <w:tcPr>
            <w:tcW w:w="1124" w:type="dxa"/>
            <w:vAlign w:val="center"/>
          </w:tcPr>
          <w:p w:rsidR="00BF38FA" w:rsidRPr="003C6556" w:rsidRDefault="00BF38FA" w:rsidP="00FA504E">
            <w:pPr>
              <w:pStyle w:val="120"/>
              <w:rPr>
                <w:sz w:val="22"/>
                <w:szCs w:val="22"/>
              </w:rPr>
            </w:pPr>
            <w:r w:rsidRPr="003C6556">
              <w:rPr>
                <w:sz w:val="22"/>
                <w:szCs w:val="22"/>
              </w:rPr>
              <w:t>11,886,365</w:t>
            </w:r>
          </w:p>
        </w:tc>
        <w:tc>
          <w:tcPr>
            <w:tcW w:w="1124" w:type="dxa"/>
            <w:vAlign w:val="center"/>
          </w:tcPr>
          <w:p w:rsidR="00BF38FA" w:rsidRPr="003C6556" w:rsidRDefault="00BF38FA" w:rsidP="00FA504E">
            <w:pPr>
              <w:pStyle w:val="120"/>
              <w:rPr>
                <w:sz w:val="22"/>
                <w:szCs w:val="22"/>
              </w:rPr>
            </w:pPr>
            <w:r w:rsidRPr="003C6556">
              <w:rPr>
                <w:sz w:val="22"/>
                <w:szCs w:val="22"/>
              </w:rPr>
              <w:t>11,008,486</w:t>
            </w:r>
          </w:p>
        </w:tc>
        <w:tc>
          <w:tcPr>
            <w:tcW w:w="1124" w:type="dxa"/>
            <w:vAlign w:val="center"/>
          </w:tcPr>
          <w:p w:rsidR="00BF38FA" w:rsidRPr="003C6556" w:rsidRDefault="00BF38FA" w:rsidP="00FA504E">
            <w:pPr>
              <w:pStyle w:val="120"/>
              <w:rPr>
                <w:sz w:val="22"/>
                <w:szCs w:val="22"/>
              </w:rPr>
            </w:pPr>
            <w:r w:rsidRPr="003C6556">
              <w:rPr>
                <w:sz w:val="22"/>
                <w:szCs w:val="22"/>
              </w:rPr>
              <w:t>13,160,635</w:t>
            </w:r>
          </w:p>
        </w:tc>
        <w:tc>
          <w:tcPr>
            <w:tcW w:w="1124" w:type="dxa"/>
            <w:vAlign w:val="center"/>
          </w:tcPr>
          <w:p w:rsidR="00BF38FA" w:rsidRPr="003C6556" w:rsidRDefault="00BF38FA" w:rsidP="00FA504E">
            <w:pPr>
              <w:pStyle w:val="120"/>
              <w:rPr>
                <w:sz w:val="22"/>
                <w:szCs w:val="22"/>
              </w:rPr>
            </w:pPr>
            <w:r w:rsidRPr="003C6556">
              <w:rPr>
                <w:sz w:val="22"/>
                <w:szCs w:val="22"/>
              </w:rPr>
              <w:t>13,384,528</w:t>
            </w:r>
          </w:p>
        </w:tc>
        <w:tc>
          <w:tcPr>
            <w:tcW w:w="1124" w:type="dxa"/>
            <w:vAlign w:val="center"/>
          </w:tcPr>
          <w:p w:rsidR="00BF38FA" w:rsidRPr="003C6556" w:rsidRDefault="00BF38FA" w:rsidP="00FA504E">
            <w:pPr>
              <w:pStyle w:val="120"/>
              <w:rPr>
                <w:sz w:val="22"/>
                <w:szCs w:val="22"/>
              </w:rPr>
            </w:pPr>
            <w:r w:rsidRPr="003C6556">
              <w:rPr>
                <w:sz w:val="22"/>
                <w:szCs w:val="22"/>
              </w:rPr>
              <w:t>13,432,625</w:t>
            </w:r>
          </w:p>
        </w:tc>
        <w:tc>
          <w:tcPr>
            <w:tcW w:w="1124" w:type="dxa"/>
            <w:vAlign w:val="center"/>
          </w:tcPr>
          <w:p w:rsidR="00BF38FA" w:rsidRPr="003C6556" w:rsidRDefault="00BF38FA" w:rsidP="00FA504E">
            <w:pPr>
              <w:pStyle w:val="120"/>
              <w:rPr>
                <w:sz w:val="22"/>
                <w:szCs w:val="22"/>
              </w:rPr>
            </w:pPr>
            <w:r w:rsidRPr="003C6556">
              <w:rPr>
                <w:sz w:val="22"/>
                <w:szCs w:val="22"/>
              </w:rPr>
              <w:t>9,664,167</w:t>
            </w:r>
          </w:p>
        </w:tc>
      </w:tr>
      <w:tr w:rsidR="00BF38FA" w:rsidRPr="0083702A" w:rsidTr="00EF6287">
        <w:trPr>
          <w:trHeight w:val="624"/>
        </w:trPr>
        <w:tc>
          <w:tcPr>
            <w:tcW w:w="1135" w:type="dxa"/>
            <w:vAlign w:val="center"/>
          </w:tcPr>
          <w:p w:rsidR="00BF38FA" w:rsidRPr="00217C1D" w:rsidRDefault="00BF38FA" w:rsidP="00FA504E">
            <w:pPr>
              <w:pStyle w:val="120"/>
              <w:rPr>
                <w:rFonts w:cs="Times New Roman"/>
                <w:sz w:val="22"/>
                <w:szCs w:val="22"/>
              </w:rPr>
            </w:pPr>
            <w:r w:rsidRPr="00217C1D">
              <w:rPr>
                <w:rFonts w:hint="eastAsia"/>
                <w:sz w:val="22"/>
                <w:szCs w:val="22"/>
              </w:rPr>
              <w:t>超載車輛數</w:t>
            </w:r>
          </w:p>
        </w:tc>
        <w:tc>
          <w:tcPr>
            <w:tcW w:w="1124" w:type="dxa"/>
            <w:vAlign w:val="center"/>
          </w:tcPr>
          <w:p w:rsidR="00BF38FA" w:rsidRPr="006D3504" w:rsidRDefault="00BF38FA" w:rsidP="00FA504E">
            <w:pPr>
              <w:pStyle w:val="120"/>
              <w:rPr>
                <w:b/>
                <w:bCs/>
              </w:rPr>
            </w:pPr>
            <w:r w:rsidRPr="006D3504">
              <w:rPr>
                <w:b/>
                <w:bCs/>
              </w:rPr>
              <w:t>71,561</w:t>
            </w:r>
          </w:p>
        </w:tc>
        <w:tc>
          <w:tcPr>
            <w:tcW w:w="1124" w:type="dxa"/>
            <w:vAlign w:val="center"/>
          </w:tcPr>
          <w:p w:rsidR="00BF38FA" w:rsidRPr="006D3504" w:rsidRDefault="00BF38FA" w:rsidP="00FA504E">
            <w:pPr>
              <w:pStyle w:val="120"/>
            </w:pPr>
            <w:r w:rsidRPr="006D3504">
              <w:t>13,577</w:t>
            </w:r>
          </w:p>
        </w:tc>
        <w:tc>
          <w:tcPr>
            <w:tcW w:w="1124" w:type="dxa"/>
            <w:vAlign w:val="center"/>
          </w:tcPr>
          <w:p w:rsidR="00BF38FA" w:rsidRPr="006D3504" w:rsidRDefault="00BF38FA" w:rsidP="00FA504E">
            <w:pPr>
              <w:pStyle w:val="120"/>
            </w:pPr>
            <w:r w:rsidRPr="006D3504">
              <w:t>11,875</w:t>
            </w:r>
          </w:p>
        </w:tc>
        <w:tc>
          <w:tcPr>
            <w:tcW w:w="1124" w:type="dxa"/>
            <w:vAlign w:val="center"/>
          </w:tcPr>
          <w:p w:rsidR="00BF38FA" w:rsidRPr="006D3504" w:rsidRDefault="00BF38FA" w:rsidP="00FA504E">
            <w:pPr>
              <w:pStyle w:val="120"/>
            </w:pPr>
            <w:r w:rsidRPr="006D3504">
              <w:t>13,233</w:t>
            </w:r>
          </w:p>
        </w:tc>
        <w:tc>
          <w:tcPr>
            <w:tcW w:w="1124" w:type="dxa"/>
            <w:vAlign w:val="center"/>
          </w:tcPr>
          <w:p w:rsidR="00BF38FA" w:rsidRPr="006D3504" w:rsidRDefault="00BF38FA" w:rsidP="00FA504E">
            <w:pPr>
              <w:pStyle w:val="120"/>
            </w:pPr>
            <w:r w:rsidRPr="006D3504">
              <w:t>12,620</w:t>
            </w:r>
          </w:p>
        </w:tc>
        <w:tc>
          <w:tcPr>
            <w:tcW w:w="1124" w:type="dxa"/>
            <w:vAlign w:val="center"/>
          </w:tcPr>
          <w:p w:rsidR="00BF38FA" w:rsidRPr="006D3504" w:rsidRDefault="00BF38FA" w:rsidP="00FA504E">
            <w:pPr>
              <w:pStyle w:val="120"/>
            </w:pPr>
            <w:r w:rsidRPr="006D3504">
              <w:t>13,043</w:t>
            </w:r>
          </w:p>
        </w:tc>
        <w:tc>
          <w:tcPr>
            <w:tcW w:w="1124" w:type="dxa"/>
            <w:vAlign w:val="center"/>
          </w:tcPr>
          <w:p w:rsidR="00BF38FA" w:rsidRPr="006D3504" w:rsidRDefault="00BF38FA" w:rsidP="00FA504E">
            <w:pPr>
              <w:pStyle w:val="120"/>
            </w:pPr>
            <w:r w:rsidRPr="006D3504">
              <w:t>7,213</w:t>
            </w:r>
          </w:p>
        </w:tc>
      </w:tr>
      <w:tr w:rsidR="00BF38FA" w:rsidRPr="005874D7" w:rsidTr="00EF6287">
        <w:trPr>
          <w:trHeight w:val="624"/>
        </w:trPr>
        <w:tc>
          <w:tcPr>
            <w:tcW w:w="1135" w:type="dxa"/>
            <w:vAlign w:val="center"/>
          </w:tcPr>
          <w:p w:rsidR="00BF38FA" w:rsidRPr="00217C1D" w:rsidRDefault="00BF38FA" w:rsidP="00FA504E">
            <w:pPr>
              <w:pStyle w:val="120"/>
              <w:rPr>
                <w:rFonts w:cs="Times New Roman"/>
                <w:b/>
                <w:bCs/>
                <w:sz w:val="22"/>
                <w:szCs w:val="22"/>
              </w:rPr>
            </w:pPr>
            <w:r w:rsidRPr="00217C1D">
              <w:rPr>
                <w:rFonts w:hint="eastAsia"/>
                <w:b/>
                <w:bCs/>
                <w:sz w:val="22"/>
                <w:szCs w:val="22"/>
              </w:rPr>
              <w:t>超載率</w:t>
            </w:r>
          </w:p>
        </w:tc>
        <w:tc>
          <w:tcPr>
            <w:tcW w:w="1124" w:type="dxa"/>
            <w:vAlign w:val="center"/>
          </w:tcPr>
          <w:p w:rsidR="00BF38FA" w:rsidRPr="006D3504" w:rsidRDefault="00BF38FA" w:rsidP="00FA504E">
            <w:pPr>
              <w:pStyle w:val="120"/>
              <w:rPr>
                <w:b/>
                <w:bCs/>
              </w:rPr>
            </w:pPr>
            <w:r w:rsidRPr="006D3504">
              <w:rPr>
                <w:b/>
                <w:bCs/>
              </w:rPr>
              <w:t>0.10</w:t>
            </w:r>
          </w:p>
        </w:tc>
        <w:tc>
          <w:tcPr>
            <w:tcW w:w="1124" w:type="dxa"/>
            <w:vAlign w:val="center"/>
          </w:tcPr>
          <w:p w:rsidR="00BF38FA" w:rsidRPr="006D3504" w:rsidRDefault="00BF38FA" w:rsidP="00FA504E">
            <w:pPr>
              <w:pStyle w:val="120"/>
              <w:rPr>
                <w:b/>
                <w:bCs/>
              </w:rPr>
            </w:pPr>
            <w:r w:rsidRPr="006D3504">
              <w:rPr>
                <w:b/>
                <w:bCs/>
              </w:rPr>
              <w:t>0.11</w:t>
            </w:r>
          </w:p>
        </w:tc>
        <w:tc>
          <w:tcPr>
            <w:tcW w:w="1124" w:type="dxa"/>
            <w:vAlign w:val="center"/>
          </w:tcPr>
          <w:p w:rsidR="00BF38FA" w:rsidRPr="006D3504" w:rsidRDefault="00BF38FA" w:rsidP="00FA504E">
            <w:pPr>
              <w:pStyle w:val="120"/>
              <w:rPr>
                <w:b/>
                <w:bCs/>
              </w:rPr>
            </w:pPr>
            <w:r w:rsidRPr="006D3504">
              <w:rPr>
                <w:b/>
                <w:bCs/>
              </w:rPr>
              <w:t>0.11</w:t>
            </w:r>
          </w:p>
        </w:tc>
        <w:tc>
          <w:tcPr>
            <w:tcW w:w="1124" w:type="dxa"/>
            <w:vAlign w:val="center"/>
          </w:tcPr>
          <w:p w:rsidR="00BF38FA" w:rsidRPr="006D3504" w:rsidRDefault="00BF38FA" w:rsidP="00FA504E">
            <w:pPr>
              <w:pStyle w:val="120"/>
              <w:rPr>
                <w:b/>
                <w:bCs/>
              </w:rPr>
            </w:pPr>
            <w:r w:rsidRPr="006D3504">
              <w:rPr>
                <w:b/>
                <w:bCs/>
              </w:rPr>
              <w:t>0.10</w:t>
            </w:r>
          </w:p>
        </w:tc>
        <w:tc>
          <w:tcPr>
            <w:tcW w:w="1124" w:type="dxa"/>
            <w:vAlign w:val="center"/>
          </w:tcPr>
          <w:p w:rsidR="00BF38FA" w:rsidRPr="006D3504" w:rsidRDefault="00BF38FA" w:rsidP="00FA504E">
            <w:pPr>
              <w:pStyle w:val="120"/>
              <w:rPr>
                <w:b/>
                <w:bCs/>
              </w:rPr>
            </w:pPr>
            <w:r w:rsidRPr="006D3504">
              <w:rPr>
                <w:b/>
                <w:bCs/>
              </w:rPr>
              <w:t>0.09</w:t>
            </w:r>
          </w:p>
        </w:tc>
        <w:tc>
          <w:tcPr>
            <w:tcW w:w="1124" w:type="dxa"/>
            <w:vAlign w:val="center"/>
          </w:tcPr>
          <w:p w:rsidR="00BF38FA" w:rsidRPr="006D3504" w:rsidRDefault="00BF38FA" w:rsidP="00FA504E">
            <w:pPr>
              <w:pStyle w:val="120"/>
              <w:rPr>
                <w:b/>
                <w:bCs/>
              </w:rPr>
            </w:pPr>
            <w:r w:rsidRPr="006D3504">
              <w:rPr>
                <w:b/>
                <w:bCs/>
              </w:rPr>
              <w:t>0.10</w:t>
            </w:r>
          </w:p>
        </w:tc>
        <w:tc>
          <w:tcPr>
            <w:tcW w:w="1124" w:type="dxa"/>
            <w:vAlign w:val="center"/>
          </w:tcPr>
          <w:p w:rsidR="00BF38FA" w:rsidRPr="006D3504" w:rsidRDefault="00BF38FA" w:rsidP="00FA504E">
            <w:pPr>
              <w:pStyle w:val="120"/>
              <w:rPr>
                <w:b/>
                <w:bCs/>
              </w:rPr>
            </w:pPr>
            <w:r w:rsidRPr="006D3504">
              <w:rPr>
                <w:b/>
                <w:bCs/>
              </w:rPr>
              <w:t>0.07</w:t>
            </w:r>
          </w:p>
        </w:tc>
      </w:tr>
      <w:tr w:rsidR="00BF38FA" w:rsidRPr="0042396D" w:rsidTr="00EF6287">
        <w:trPr>
          <w:trHeight w:val="624"/>
        </w:trPr>
        <w:tc>
          <w:tcPr>
            <w:tcW w:w="9003" w:type="dxa"/>
            <w:gridSpan w:val="8"/>
            <w:vAlign w:val="center"/>
          </w:tcPr>
          <w:p w:rsidR="00BF38FA" w:rsidRPr="0042396D" w:rsidRDefault="00BF38FA" w:rsidP="00FA504E">
            <w:pPr>
              <w:pStyle w:val="120"/>
              <w:rPr>
                <w:rFonts w:cs="Times New Roman"/>
              </w:rPr>
            </w:pPr>
            <w:r w:rsidRPr="00217C1D">
              <w:rPr>
                <w:rFonts w:hint="eastAsia"/>
                <w:b/>
                <w:bCs/>
              </w:rPr>
              <w:t>二、高公局彙整各分局報送之地磅工作績效</w:t>
            </w:r>
            <w:r w:rsidRPr="0083702A">
              <w:t>(</w:t>
            </w:r>
            <w:r w:rsidRPr="0083702A">
              <w:rPr>
                <w:rFonts w:hint="eastAsia"/>
              </w:rPr>
              <w:t>註</w:t>
            </w:r>
            <w:r>
              <w:t>3)</w:t>
            </w:r>
          </w:p>
        </w:tc>
      </w:tr>
      <w:tr w:rsidR="00BF38FA" w:rsidRPr="00BD287D" w:rsidTr="00EF6287">
        <w:trPr>
          <w:trHeight w:val="624"/>
        </w:trPr>
        <w:tc>
          <w:tcPr>
            <w:tcW w:w="1135" w:type="dxa"/>
            <w:vAlign w:val="center"/>
          </w:tcPr>
          <w:p w:rsidR="00BF38FA" w:rsidRPr="00217C1D" w:rsidRDefault="00BF38FA" w:rsidP="00FA504E">
            <w:pPr>
              <w:pStyle w:val="120"/>
              <w:rPr>
                <w:rFonts w:cs="Times New Roman"/>
                <w:sz w:val="22"/>
                <w:szCs w:val="22"/>
              </w:rPr>
            </w:pPr>
            <w:r w:rsidRPr="00217C1D">
              <w:rPr>
                <w:rFonts w:hint="eastAsia"/>
                <w:sz w:val="22"/>
                <w:szCs w:val="22"/>
              </w:rPr>
              <w:t>超載車輛數</w:t>
            </w:r>
          </w:p>
        </w:tc>
        <w:tc>
          <w:tcPr>
            <w:tcW w:w="1124" w:type="dxa"/>
            <w:vAlign w:val="center"/>
          </w:tcPr>
          <w:p w:rsidR="00BF38FA" w:rsidRPr="00217C1D" w:rsidRDefault="00BF38FA" w:rsidP="00FA504E">
            <w:pPr>
              <w:pStyle w:val="120"/>
              <w:rPr>
                <w:b/>
                <w:bCs/>
              </w:rPr>
            </w:pPr>
            <w:r w:rsidRPr="00217C1D">
              <w:rPr>
                <w:b/>
                <w:bCs/>
              </w:rPr>
              <w:t>71,591</w:t>
            </w:r>
          </w:p>
        </w:tc>
        <w:tc>
          <w:tcPr>
            <w:tcW w:w="1124" w:type="dxa"/>
            <w:vAlign w:val="center"/>
          </w:tcPr>
          <w:p w:rsidR="00BF38FA" w:rsidRPr="0042396D" w:rsidRDefault="00BF38FA" w:rsidP="00FA504E">
            <w:pPr>
              <w:pStyle w:val="120"/>
            </w:pPr>
            <w:r w:rsidRPr="0042396D">
              <w:t>13,589</w:t>
            </w:r>
          </w:p>
        </w:tc>
        <w:tc>
          <w:tcPr>
            <w:tcW w:w="1124" w:type="dxa"/>
            <w:vAlign w:val="center"/>
          </w:tcPr>
          <w:p w:rsidR="00BF38FA" w:rsidRPr="0042396D" w:rsidRDefault="00BF38FA" w:rsidP="00FA504E">
            <w:pPr>
              <w:pStyle w:val="120"/>
            </w:pPr>
            <w:r w:rsidRPr="0042396D">
              <w:t>11,898</w:t>
            </w:r>
          </w:p>
        </w:tc>
        <w:tc>
          <w:tcPr>
            <w:tcW w:w="1124" w:type="dxa"/>
            <w:vAlign w:val="center"/>
          </w:tcPr>
          <w:p w:rsidR="00BF38FA" w:rsidRPr="0042396D" w:rsidRDefault="00BF38FA" w:rsidP="00FA504E">
            <w:pPr>
              <w:pStyle w:val="120"/>
            </w:pPr>
            <w:r w:rsidRPr="0042396D">
              <w:t>13,228</w:t>
            </w:r>
          </w:p>
        </w:tc>
        <w:tc>
          <w:tcPr>
            <w:tcW w:w="1124" w:type="dxa"/>
            <w:vAlign w:val="center"/>
          </w:tcPr>
          <w:p w:rsidR="00BF38FA" w:rsidRPr="00BD287D" w:rsidRDefault="00BF38FA" w:rsidP="00FA504E">
            <w:pPr>
              <w:pStyle w:val="120"/>
            </w:pPr>
            <w:r w:rsidRPr="00BD287D">
              <w:t>12,620</w:t>
            </w:r>
          </w:p>
        </w:tc>
        <w:tc>
          <w:tcPr>
            <w:tcW w:w="1124" w:type="dxa"/>
            <w:vAlign w:val="center"/>
          </w:tcPr>
          <w:p w:rsidR="00BF38FA" w:rsidRPr="00BD287D" w:rsidRDefault="00BF38FA" w:rsidP="00FA504E">
            <w:pPr>
              <w:pStyle w:val="120"/>
            </w:pPr>
            <w:r w:rsidRPr="00BD287D">
              <w:t>13,043</w:t>
            </w:r>
          </w:p>
        </w:tc>
        <w:tc>
          <w:tcPr>
            <w:tcW w:w="1124" w:type="dxa"/>
            <w:vAlign w:val="center"/>
          </w:tcPr>
          <w:p w:rsidR="00BF38FA" w:rsidRPr="00BD287D" w:rsidRDefault="00BF38FA" w:rsidP="00FA504E">
            <w:pPr>
              <w:pStyle w:val="120"/>
              <w:rPr>
                <w:rFonts w:cs="Times New Roman"/>
              </w:rPr>
            </w:pPr>
            <w:r w:rsidRPr="00BD287D">
              <w:t>7,21</w:t>
            </w:r>
            <w:r>
              <w:t>3</w:t>
            </w:r>
          </w:p>
        </w:tc>
      </w:tr>
      <w:tr w:rsidR="00BF38FA" w:rsidRPr="00BD287D" w:rsidTr="00EF6287">
        <w:trPr>
          <w:trHeight w:val="624"/>
        </w:trPr>
        <w:tc>
          <w:tcPr>
            <w:tcW w:w="1135" w:type="dxa"/>
            <w:vAlign w:val="center"/>
          </w:tcPr>
          <w:p w:rsidR="00BF38FA" w:rsidRPr="00217C1D" w:rsidRDefault="00BF38FA" w:rsidP="00FA504E">
            <w:pPr>
              <w:pStyle w:val="120"/>
              <w:rPr>
                <w:rFonts w:cs="Times New Roman"/>
                <w:sz w:val="22"/>
                <w:szCs w:val="22"/>
              </w:rPr>
            </w:pPr>
            <w:r w:rsidRPr="00217C1D">
              <w:rPr>
                <w:sz w:val="22"/>
                <w:szCs w:val="22"/>
              </w:rPr>
              <w:t>10</w:t>
            </w:r>
            <w:r w:rsidRPr="00217C1D">
              <w:rPr>
                <w:rFonts w:hint="eastAsia"/>
                <w:sz w:val="22"/>
                <w:szCs w:val="22"/>
              </w:rPr>
              <w:t>％</w:t>
            </w:r>
            <w:r w:rsidRPr="00217C1D">
              <w:rPr>
                <w:sz w:val="22"/>
                <w:szCs w:val="22"/>
              </w:rPr>
              <w:t>-20</w:t>
            </w:r>
            <w:r w:rsidRPr="00217C1D">
              <w:rPr>
                <w:rFonts w:hint="eastAsia"/>
                <w:sz w:val="22"/>
                <w:szCs w:val="22"/>
              </w:rPr>
              <w:t>％</w:t>
            </w:r>
          </w:p>
        </w:tc>
        <w:tc>
          <w:tcPr>
            <w:tcW w:w="1124" w:type="dxa"/>
            <w:vAlign w:val="center"/>
          </w:tcPr>
          <w:p w:rsidR="00BF38FA" w:rsidRPr="00217C1D" w:rsidRDefault="00BF38FA" w:rsidP="00FA504E">
            <w:pPr>
              <w:pStyle w:val="120"/>
              <w:rPr>
                <w:b/>
                <w:bCs/>
              </w:rPr>
            </w:pPr>
            <w:r w:rsidRPr="00217C1D">
              <w:rPr>
                <w:b/>
                <w:bCs/>
              </w:rPr>
              <w:t>45,539</w:t>
            </w:r>
          </w:p>
        </w:tc>
        <w:tc>
          <w:tcPr>
            <w:tcW w:w="1124" w:type="dxa"/>
            <w:vAlign w:val="center"/>
          </w:tcPr>
          <w:p w:rsidR="00BF38FA" w:rsidRPr="0042396D" w:rsidRDefault="00BF38FA" w:rsidP="00FA504E">
            <w:pPr>
              <w:pStyle w:val="120"/>
            </w:pPr>
            <w:r w:rsidRPr="0042396D">
              <w:t>9,135</w:t>
            </w:r>
          </w:p>
        </w:tc>
        <w:tc>
          <w:tcPr>
            <w:tcW w:w="1124" w:type="dxa"/>
            <w:vAlign w:val="center"/>
          </w:tcPr>
          <w:p w:rsidR="00BF38FA" w:rsidRPr="0042396D" w:rsidRDefault="00BF38FA" w:rsidP="00FA504E">
            <w:pPr>
              <w:pStyle w:val="120"/>
            </w:pPr>
            <w:r w:rsidRPr="0042396D">
              <w:t>8,019</w:t>
            </w:r>
          </w:p>
        </w:tc>
        <w:tc>
          <w:tcPr>
            <w:tcW w:w="1124" w:type="dxa"/>
            <w:vAlign w:val="center"/>
          </w:tcPr>
          <w:p w:rsidR="00BF38FA" w:rsidRPr="0042396D" w:rsidRDefault="00BF38FA" w:rsidP="00FA504E">
            <w:pPr>
              <w:pStyle w:val="120"/>
            </w:pPr>
            <w:r w:rsidRPr="0042396D">
              <w:t>7,985</w:t>
            </w:r>
          </w:p>
        </w:tc>
        <w:tc>
          <w:tcPr>
            <w:tcW w:w="1124" w:type="dxa"/>
            <w:vAlign w:val="center"/>
          </w:tcPr>
          <w:p w:rsidR="00BF38FA" w:rsidRPr="00BD287D" w:rsidRDefault="00BF38FA" w:rsidP="00FA504E">
            <w:pPr>
              <w:pStyle w:val="120"/>
            </w:pPr>
            <w:r w:rsidRPr="00BD287D">
              <w:t>8,032</w:t>
            </w:r>
          </w:p>
        </w:tc>
        <w:tc>
          <w:tcPr>
            <w:tcW w:w="1124" w:type="dxa"/>
            <w:vAlign w:val="center"/>
          </w:tcPr>
          <w:p w:rsidR="00BF38FA" w:rsidRPr="00BD287D" w:rsidRDefault="00BF38FA" w:rsidP="00FA504E">
            <w:pPr>
              <w:pStyle w:val="120"/>
            </w:pPr>
            <w:r w:rsidRPr="00BD287D">
              <w:t>7,892</w:t>
            </w:r>
          </w:p>
        </w:tc>
        <w:tc>
          <w:tcPr>
            <w:tcW w:w="1124" w:type="dxa"/>
            <w:vAlign w:val="center"/>
          </w:tcPr>
          <w:p w:rsidR="00BF38FA" w:rsidRPr="00BD287D" w:rsidRDefault="00BF38FA" w:rsidP="003C6556">
            <w:pPr>
              <w:pStyle w:val="120"/>
              <w:jc w:val="left"/>
              <w:rPr>
                <w:rFonts w:cs="Times New Roman"/>
              </w:rPr>
            </w:pPr>
            <w:r w:rsidRPr="00A50496">
              <w:t>(</w:t>
            </w:r>
            <w:r w:rsidRPr="00A50496">
              <w:rPr>
                <w:rFonts w:hint="eastAsia"/>
              </w:rPr>
              <w:t>註</w:t>
            </w:r>
            <w:r>
              <w:t>4</w:t>
            </w:r>
            <w:r w:rsidRPr="00A50496">
              <w:t>)</w:t>
            </w:r>
            <w:r>
              <w:rPr>
                <w:rFonts w:cs="Times New Roman"/>
              </w:rPr>
              <w:br/>
            </w:r>
            <w:r w:rsidRPr="00BD287D">
              <w:t>4,47</w:t>
            </w:r>
            <w:r>
              <w:t>6</w:t>
            </w:r>
          </w:p>
        </w:tc>
      </w:tr>
      <w:tr w:rsidR="00BF38FA" w:rsidRPr="00BD287D" w:rsidTr="00EF6287">
        <w:trPr>
          <w:trHeight w:val="624"/>
        </w:trPr>
        <w:tc>
          <w:tcPr>
            <w:tcW w:w="1135" w:type="dxa"/>
            <w:vAlign w:val="center"/>
          </w:tcPr>
          <w:p w:rsidR="00BF38FA" w:rsidRPr="00217C1D" w:rsidRDefault="00BF38FA" w:rsidP="00FA504E">
            <w:pPr>
              <w:pStyle w:val="120"/>
              <w:rPr>
                <w:rFonts w:cs="Times New Roman"/>
                <w:sz w:val="22"/>
                <w:szCs w:val="22"/>
              </w:rPr>
            </w:pPr>
            <w:r w:rsidRPr="00217C1D">
              <w:rPr>
                <w:sz w:val="22"/>
                <w:szCs w:val="22"/>
              </w:rPr>
              <w:t>20</w:t>
            </w:r>
            <w:r w:rsidRPr="00217C1D">
              <w:rPr>
                <w:rFonts w:hint="eastAsia"/>
                <w:sz w:val="22"/>
                <w:szCs w:val="22"/>
              </w:rPr>
              <w:t>％以上</w:t>
            </w:r>
          </w:p>
        </w:tc>
        <w:tc>
          <w:tcPr>
            <w:tcW w:w="1124" w:type="dxa"/>
            <w:vAlign w:val="center"/>
          </w:tcPr>
          <w:p w:rsidR="00BF38FA" w:rsidRPr="00217C1D" w:rsidRDefault="00BF38FA" w:rsidP="00FA504E">
            <w:pPr>
              <w:pStyle w:val="120"/>
              <w:rPr>
                <w:b/>
                <w:bCs/>
              </w:rPr>
            </w:pPr>
            <w:r w:rsidRPr="00217C1D">
              <w:rPr>
                <w:b/>
                <w:bCs/>
              </w:rPr>
              <w:t>26,052</w:t>
            </w:r>
          </w:p>
        </w:tc>
        <w:tc>
          <w:tcPr>
            <w:tcW w:w="1124" w:type="dxa"/>
            <w:vAlign w:val="center"/>
          </w:tcPr>
          <w:p w:rsidR="00BF38FA" w:rsidRPr="0042396D" w:rsidRDefault="00BF38FA" w:rsidP="00FA504E">
            <w:pPr>
              <w:pStyle w:val="120"/>
            </w:pPr>
            <w:r w:rsidRPr="0042396D">
              <w:t>4,454</w:t>
            </w:r>
          </w:p>
        </w:tc>
        <w:tc>
          <w:tcPr>
            <w:tcW w:w="1124" w:type="dxa"/>
            <w:vAlign w:val="center"/>
          </w:tcPr>
          <w:p w:rsidR="00BF38FA" w:rsidRPr="0042396D" w:rsidRDefault="00BF38FA" w:rsidP="00FA504E">
            <w:pPr>
              <w:pStyle w:val="120"/>
            </w:pPr>
            <w:r w:rsidRPr="0042396D">
              <w:t>3,879</w:t>
            </w:r>
          </w:p>
        </w:tc>
        <w:tc>
          <w:tcPr>
            <w:tcW w:w="1124" w:type="dxa"/>
            <w:vAlign w:val="center"/>
          </w:tcPr>
          <w:p w:rsidR="00BF38FA" w:rsidRPr="0042396D" w:rsidRDefault="00BF38FA" w:rsidP="00FA504E">
            <w:pPr>
              <w:pStyle w:val="120"/>
            </w:pPr>
            <w:r w:rsidRPr="0042396D">
              <w:t>5,243</w:t>
            </w:r>
          </w:p>
        </w:tc>
        <w:tc>
          <w:tcPr>
            <w:tcW w:w="1124" w:type="dxa"/>
            <w:vAlign w:val="center"/>
          </w:tcPr>
          <w:p w:rsidR="00BF38FA" w:rsidRPr="00BD287D" w:rsidRDefault="00BF38FA" w:rsidP="00FA504E">
            <w:pPr>
              <w:pStyle w:val="120"/>
            </w:pPr>
            <w:r w:rsidRPr="00BD287D">
              <w:t>4,588</w:t>
            </w:r>
          </w:p>
        </w:tc>
        <w:tc>
          <w:tcPr>
            <w:tcW w:w="1124" w:type="dxa"/>
            <w:vAlign w:val="center"/>
          </w:tcPr>
          <w:p w:rsidR="00BF38FA" w:rsidRPr="00BD287D" w:rsidRDefault="00BF38FA" w:rsidP="00FA504E">
            <w:pPr>
              <w:pStyle w:val="120"/>
            </w:pPr>
            <w:r w:rsidRPr="00BD287D">
              <w:t>5,151</w:t>
            </w:r>
          </w:p>
        </w:tc>
        <w:tc>
          <w:tcPr>
            <w:tcW w:w="1124" w:type="dxa"/>
            <w:vAlign w:val="center"/>
          </w:tcPr>
          <w:p w:rsidR="00BF38FA" w:rsidRPr="00BD287D" w:rsidRDefault="00BF38FA" w:rsidP="00FA504E">
            <w:pPr>
              <w:pStyle w:val="120"/>
            </w:pPr>
            <w:r w:rsidRPr="00BD287D">
              <w:t>2,737</w:t>
            </w:r>
          </w:p>
        </w:tc>
      </w:tr>
      <w:tr w:rsidR="00BF38FA" w:rsidRPr="007A426E" w:rsidTr="00EF6287">
        <w:trPr>
          <w:trHeight w:val="624"/>
        </w:trPr>
        <w:tc>
          <w:tcPr>
            <w:tcW w:w="1135" w:type="dxa"/>
            <w:vAlign w:val="center"/>
          </w:tcPr>
          <w:p w:rsidR="00BF38FA" w:rsidRPr="00217C1D" w:rsidRDefault="00BF38FA" w:rsidP="00FA504E">
            <w:pPr>
              <w:pStyle w:val="120"/>
              <w:rPr>
                <w:rFonts w:cs="Times New Roman"/>
                <w:sz w:val="22"/>
                <w:szCs w:val="22"/>
              </w:rPr>
            </w:pPr>
            <w:r w:rsidRPr="00217C1D">
              <w:rPr>
                <w:rFonts w:hint="eastAsia"/>
                <w:sz w:val="22"/>
                <w:szCs w:val="22"/>
              </w:rPr>
              <w:t>超載開單數</w:t>
            </w:r>
          </w:p>
        </w:tc>
        <w:tc>
          <w:tcPr>
            <w:tcW w:w="1124" w:type="dxa"/>
            <w:vAlign w:val="center"/>
          </w:tcPr>
          <w:p w:rsidR="00BF38FA" w:rsidRPr="00217C1D" w:rsidRDefault="00BF38FA" w:rsidP="00FA504E">
            <w:pPr>
              <w:pStyle w:val="120"/>
              <w:rPr>
                <w:b/>
                <w:bCs/>
              </w:rPr>
            </w:pPr>
            <w:r w:rsidRPr="00217C1D">
              <w:rPr>
                <w:b/>
                <w:bCs/>
              </w:rPr>
              <w:t>51,299</w:t>
            </w:r>
          </w:p>
        </w:tc>
        <w:tc>
          <w:tcPr>
            <w:tcW w:w="1124" w:type="dxa"/>
            <w:vAlign w:val="center"/>
          </w:tcPr>
          <w:p w:rsidR="00BF38FA" w:rsidRPr="007A426E" w:rsidRDefault="00BF38FA" w:rsidP="00FA504E">
            <w:pPr>
              <w:pStyle w:val="120"/>
            </w:pPr>
            <w:r w:rsidRPr="007A426E">
              <w:t>10,243</w:t>
            </w:r>
          </w:p>
        </w:tc>
        <w:tc>
          <w:tcPr>
            <w:tcW w:w="1124" w:type="dxa"/>
            <w:vAlign w:val="center"/>
          </w:tcPr>
          <w:p w:rsidR="00BF38FA" w:rsidRPr="007A426E" w:rsidRDefault="00BF38FA" w:rsidP="00FA504E">
            <w:pPr>
              <w:pStyle w:val="120"/>
            </w:pPr>
            <w:r w:rsidRPr="007A426E">
              <w:t>7,555</w:t>
            </w:r>
          </w:p>
        </w:tc>
        <w:tc>
          <w:tcPr>
            <w:tcW w:w="1124" w:type="dxa"/>
            <w:vAlign w:val="center"/>
          </w:tcPr>
          <w:p w:rsidR="00BF38FA" w:rsidRPr="007A426E" w:rsidRDefault="00BF38FA" w:rsidP="00FA504E">
            <w:pPr>
              <w:pStyle w:val="120"/>
            </w:pPr>
            <w:r w:rsidRPr="007A426E">
              <w:t>9,410</w:t>
            </w:r>
          </w:p>
        </w:tc>
        <w:tc>
          <w:tcPr>
            <w:tcW w:w="1124" w:type="dxa"/>
            <w:vAlign w:val="center"/>
          </w:tcPr>
          <w:p w:rsidR="00BF38FA" w:rsidRPr="007A426E" w:rsidRDefault="00BF38FA" w:rsidP="00FA504E">
            <w:pPr>
              <w:pStyle w:val="120"/>
            </w:pPr>
            <w:r w:rsidRPr="007A426E">
              <w:t>8,420</w:t>
            </w:r>
          </w:p>
        </w:tc>
        <w:tc>
          <w:tcPr>
            <w:tcW w:w="1124" w:type="dxa"/>
            <w:vAlign w:val="center"/>
          </w:tcPr>
          <w:p w:rsidR="00BF38FA" w:rsidRPr="007A426E" w:rsidRDefault="00BF38FA" w:rsidP="00FA504E">
            <w:pPr>
              <w:pStyle w:val="120"/>
            </w:pPr>
            <w:r w:rsidRPr="007A426E">
              <w:t>9,469</w:t>
            </w:r>
          </w:p>
        </w:tc>
        <w:tc>
          <w:tcPr>
            <w:tcW w:w="1124" w:type="dxa"/>
            <w:vAlign w:val="center"/>
          </w:tcPr>
          <w:p w:rsidR="00BF38FA" w:rsidRPr="007A426E" w:rsidRDefault="00BF38FA" w:rsidP="00FA504E">
            <w:pPr>
              <w:pStyle w:val="120"/>
              <w:rPr>
                <w:rFonts w:cs="Times New Roman"/>
              </w:rPr>
            </w:pPr>
            <w:r w:rsidRPr="007A426E">
              <w:t>6,2</w:t>
            </w:r>
            <w:r>
              <w:t>02</w:t>
            </w:r>
          </w:p>
        </w:tc>
      </w:tr>
      <w:tr w:rsidR="00BF38FA" w:rsidRPr="007A426E" w:rsidTr="00EF6287">
        <w:trPr>
          <w:trHeight w:val="624"/>
        </w:trPr>
        <w:tc>
          <w:tcPr>
            <w:tcW w:w="1135" w:type="dxa"/>
            <w:vAlign w:val="center"/>
          </w:tcPr>
          <w:p w:rsidR="00BF38FA" w:rsidRPr="00217C1D" w:rsidRDefault="00BF38FA" w:rsidP="00FA504E">
            <w:pPr>
              <w:pStyle w:val="120"/>
              <w:rPr>
                <w:rFonts w:cs="Times New Roman"/>
                <w:b/>
                <w:bCs/>
                <w:sz w:val="22"/>
                <w:szCs w:val="22"/>
              </w:rPr>
            </w:pPr>
            <w:r w:rsidRPr="00217C1D">
              <w:rPr>
                <w:rFonts w:hint="eastAsia"/>
                <w:b/>
                <w:bCs/>
                <w:sz w:val="22"/>
                <w:szCs w:val="22"/>
              </w:rPr>
              <w:t>開單比率</w:t>
            </w:r>
          </w:p>
        </w:tc>
        <w:tc>
          <w:tcPr>
            <w:tcW w:w="1124" w:type="dxa"/>
            <w:vAlign w:val="center"/>
          </w:tcPr>
          <w:p w:rsidR="00BF38FA" w:rsidRPr="00217C1D" w:rsidRDefault="00BF38FA" w:rsidP="00FA504E">
            <w:pPr>
              <w:pStyle w:val="120"/>
              <w:rPr>
                <w:b/>
                <w:bCs/>
              </w:rPr>
            </w:pPr>
            <w:r w:rsidRPr="00217C1D">
              <w:rPr>
                <w:b/>
                <w:bCs/>
              </w:rPr>
              <w:t>71.66</w:t>
            </w:r>
          </w:p>
        </w:tc>
        <w:tc>
          <w:tcPr>
            <w:tcW w:w="1124" w:type="dxa"/>
            <w:vAlign w:val="center"/>
          </w:tcPr>
          <w:p w:rsidR="00BF38FA" w:rsidRPr="00217C1D" w:rsidRDefault="00BF38FA" w:rsidP="00FA504E">
            <w:pPr>
              <w:pStyle w:val="120"/>
              <w:rPr>
                <w:b/>
                <w:bCs/>
              </w:rPr>
            </w:pPr>
            <w:r w:rsidRPr="00217C1D">
              <w:rPr>
                <w:b/>
                <w:bCs/>
              </w:rPr>
              <w:t>75.38</w:t>
            </w:r>
          </w:p>
        </w:tc>
        <w:tc>
          <w:tcPr>
            <w:tcW w:w="1124" w:type="dxa"/>
            <w:vAlign w:val="center"/>
          </w:tcPr>
          <w:p w:rsidR="00BF38FA" w:rsidRPr="00217C1D" w:rsidRDefault="00BF38FA" w:rsidP="00FA504E">
            <w:pPr>
              <w:pStyle w:val="120"/>
              <w:rPr>
                <w:b/>
                <w:bCs/>
              </w:rPr>
            </w:pPr>
            <w:r w:rsidRPr="00217C1D">
              <w:rPr>
                <w:b/>
                <w:bCs/>
              </w:rPr>
              <w:t>63.50</w:t>
            </w:r>
          </w:p>
        </w:tc>
        <w:tc>
          <w:tcPr>
            <w:tcW w:w="1124" w:type="dxa"/>
            <w:vAlign w:val="center"/>
          </w:tcPr>
          <w:p w:rsidR="00BF38FA" w:rsidRPr="00217C1D" w:rsidRDefault="00BF38FA" w:rsidP="00FA504E">
            <w:pPr>
              <w:pStyle w:val="120"/>
              <w:rPr>
                <w:b/>
                <w:bCs/>
              </w:rPr>
            </w:pPr>
            <w:r w:rsidRPr="00217C1D">
              <w:rPr>
                <w:b/>
                <w:bCs/>
              </w:rPr>
              <w:t>71.14</w:t>
            </w:r>
          </w:p>
        </w:tc>
        <w:tc>
          <w:tcPr>
            <w:tcW w:w="1124" w:type="dxa"/>
            <w:vAlign w:val="center"/>
          </w:tcPr>
          <w:p w:rsidR="00BF38FA" w:rsidRPr="00217C1D" w:rsidRDefault="00BF38FA" w:rsidP="00FA504E">
            <w:pPr>
              <w:pStyle w:val="120"/>
              <w:rPr>
                <w:b/>
                <w:bCs/>
              </w:rPr>
            </w:pPr>
            <w:r w:rsidRPr="00217C1D">
              <w:rPr>
                <w:b/>
                <w:bCs/>
              </w:rPr>
              <w:t>66.72</w:t>
            </w:r>
          </w:p>
        </w:tc>
        <w:tc>
          <w:tcPr>
            <w:tcW w:w="1124" w:type="dxa"/>
            <w:vAlign w:val="center"/>
          </w:tcPr>
          <w:p w:rsidR="00BF38FA" w:rsidRPr="00217C1D" w:rsidRDefault="00BF38FA" w:rsidP="00FA504E">
            <w:pPr>
              <w:pStyle w:val="120"/>
              <w:rPr>
                <w:b/>
                <w:bCs/>
              </w:rPr>
            </w:pPr>
            <w:r w:rsidRPr="00217C1D">
              <w:rPr>
                <w:b/>
                <w:bCs/>
              </w:rPr>
              <w:t>72.60</w:t>
            </w:r>
          </w:p>
        </w:tc>
        <w:tc>
          <w:tcPr>
            <w:tcW w:w="1124" w:type="dxa"/>
            <w:vAlign w:val="center"/>
          </w:tcPr>
          <w:p w:rsidR="00BF38FA" w:rsidRPr="00217C1D" w:rsidRDefault="00BF38FA" w:rsidP="00FA504E">
            <w:pPr>
              <w:pStyle w:val="120"/>
              <w:rPr>
                <w:b/>
                <w:bCs/>
              </w:rPr>
            </w:pPr>
            <w:r w:rsidRPr="00217C1D">
              <w:rPr>
                <w:b/>
                <w:bCs/>
              </w:rPr>
              <w:t>83.49</w:t>
            </w:r>
          </w:p>
        </w:tc>
      </w:tr>
      <w:tr w:rsidR="00BF38FA" w:rsidRPr="007A426E" w:rsidTr="00EF6287">
        <w:trPr>
          <w:trHeight w:val="624"/>
        </w:trPr>
        <w:tc>
          <w:tcPr>
            <w:tcW w:w="1135" w:type="dxa"/>
            <w:vAlign w:val="center"/>
          </w:tcPr>
          <w:p w:rsidR="00BF38FA" w:rsidRPr="00217C1D" w:rsidRDefault="00BF38FA" w:rsidP="00FA504E">
            <w:pPr>
              <w:pStyle w:val="120"/>
              <w:rPr>
                <w:rFonts w:cs="Times New Roman"/>
                <w:spacing w:val="-8"/>
                <w:sz w:val="22"/>
                <w:szCs w:val="22"/>
              </w:rPr>
            </w:pPr>
            <w:r w:rsidRPr="00217C1D">
              <w:rPr>
                <w:rFonts w:hint="eastAsia"/>
                <w:spacing w:val="-8"/>
                <w:sz w:val="22"/>
                <w:szCs w:val="22"/>
              </w:rPr>
              <w:t>超載未開單數</w:t>
            </w:r>
          </w:p>
        </w:tc>
        <w:tc>
          <w:tcPr>
            <w:tcW w:w="1124" w:type="dxa"/>
            <w:vAlign w:val="center"/>
          </w:tcPr>
          <w:p w:rsidR="00BF38FA" w:rsidRPr="00217C1D" w:rsidRDefault="00BF38FA" w:rsidP="00FA504E">
            <w:pPr>
              <w:pStyle w:val="120"/>
              <w:rPr>
                <w:b/>
                <w:bCs/>
              </w:rPr>
            </w:pPr>
            <w:r w:rsidRPr="00217C1D">
              <w:rPr>
                <w:b/>
                <w:bCs/>
              </w:rPr>
              <w:t>20,292</w:t>
            </w:r>
          </w:p>
        </w:tc>
        <w:tc>
          <w:tcPr>
            <w:tcW w:w="1124" w:type="dxa"/>
            <w:vAlign w:val="center"/>
          </w:tcPr>
          <w:p w:rsidR="00BF38FA" w:rsidRPr="007A426E" w:rsidRDefault="00BF38FA" w:rsidP="00FA504E">
            <w:pPr>
              <w:pStyle w:val="120"/>
            </w:pPr>
            <w:r w:rsidRPr="007A426E">
              <w:t>3,346</w:t>
            </w:r>
          </w:p>
        </w:tc>
        <w:tc>
          <w:tcPr>
            <w:tcW w:w="1124" w:type="dxa"/>
            <w:vAlign w:val="center"/>
          </w:tcPr>
          <w:p w:rsidR="00BF38FA" w:rsidRPr="007A426E" w:rsidRDefault="00BF38FA" w:rsidP="00FA504E">
            <w:pPr>
              <w:pStyle w:val="120"/>
            </w:pPr>
            <w:r w:rsidRPr="007A426E">
              <w:t>4,343</w:t>
            </w:r>
          </w:p>
        </w:tc>
        <w:tc>
          <w:tcPr>
            <w:tcW w:w="1124" w:type="dxa"/>
            <w:vAlign w:val="center"/>
          </w:tcPr>
          <w:p w:rsidR="00BF38FA" w:rsidRPr="007A426E" w:rsidRDefault="00BF38FA" w:rsidP="00FA504E">
            <w:pPr>
              <w:pStyle w:val="120"/>
            </w:pPr>
            <w:r w:rsidRPr="007A426E">
              <w:t>3,818</w:t>
            </w:r>
          </w:p>
        </w:tc>
        <w:tc>
          <w:tcPr>
            <w:tcW w:w="1124" w:type="dxa"/>
            <w:vAlign w:val="center"/>
          </w:tcPr>
          <w:p w:rsidR="00BF38FA" w:rsidRPr="007A426E" w:rsidRDefault="00BF38FA" w:rsidP="00FA504E">
            <w:pPr>
              <w:pStyle w:val="120"/>
            </w:pPr>
            <w:r w:rsidRPr="007A426E">
              <w:t>4,200</w:t>
            </w:r>
          </w:p>
        </w:tc>
        <w:tc>
          <w:tcPr>
            <w:tcW w:w="1124" w:type="dxa"/>
            <w:vAlign w:val="center"/>
          </w:tcPr>
          <w:p w:rsidR="00BF38FA" w:rsidRPr="007A426E" w:rsidRDefault="00BF38FA" w:rsidP="00FA504E">
            <w:pPr>
              <w:pStyle w:val="120"/>
            </w:pPr>
            <w:r w:rsidRPr="007A426E">
              <w:t>3,574</w:t>
            </w:r>
          </w:p>
        </w:tc>
        <w:tc>
          <w:tcPr>
            <w:tcW w:w="1124" w:type="dxa"/>
            <w:vAlign w:val="center"/>
          </w:tcPr>
          <w:p w:rsidR="00BF38FA" w:rsidRPr="007A426E" w:rsidRDefault="00BF38FA" w:rsidP="00FA504E">
            <w:pPr>
              <w:pStyle w:val="120"/>
            </w:pPr>
            <w:r w:rsidRPr="007A426E">
              <w:t>1,011</w:t>
            </w:r>
          </w:p>
        </w:tc>
      </w:tr>
      <w:tr w:rsidR="00BF38FA" w:rsidRPr="007A426E" w:rsidTr="00EF6287">
        <w:trPr>
          <w:trHeight w:val="624"/>
        </w:trPr>
        <w:tc>
          <w:tcPr>
            <w:tcW w:w="1135" w:type="dxa"/>
            <w:vAlign w:val="center"/>
          </w:tcPr>
          <w:p w:rsidR="00BF38FA" w:rsidRPr="00217C1D" w:rsidRDefault="00BF38FA" w:rsidP="00FA504E">
            <w:pPr>
              <w:pStyle w:val="120"/>
              <w:rPr>
                <w:rFonts w:cs="Times New Roman"/>
                <w:b/>
                <w:bCs/>
                <w:sz w:val="22"/>
                <w:szCs w:val="22"/>
              </w:rPr>
            </w:pPr>
            <w:r w:rsidRPr="00217C1D">
              <w:rPr>
                <w:rFonts w:hint="eastAsia"/>
                <w:b/>
                <w:bCs/>
                <w:sz w:val="22"/>
                <w:szCs w:val="22"/>
              </w:rPr>
              <w:t>未開單比率</w:t>
            </w:r>
          </w:p>
        </w:tc>
        <w:tc>
          <w:tcPr>
            <w:tcW w:w="1124" w:type="dxa"/>
            <w:vAlign w:val="center"/>
          </w:tcPr>
          <w:p w:rsidR="00BF38FA" w:rsidRPr="00217C1D" w:rsidRDefault="00BF38FA" w:rsidP="00FA504E">
            <w:pPr>
              <w:pStyle w:val="120"/>
              <w:rPr>
                <w:b/>
                <w:bCs/>
              </w:rPr>
            </w:pPr>
            <w:r w:rsidRPr="00217C1D">
              <w:rPr>
                <w:b/>
                <w:bCs/>
              </w:rPr>
              <w:t>28.34</w:t>
            </w:r>
          </w:p>
        </w:tc>
        <w:tc>
          <w:tcPr>
            <w:tcW w:w="1124" w:type="dxa"/>
            <w:vAlign w:val="center"/>
          </w:tcPr>
          <w:p w:rsidR="00BF38FA" w:rsidRPr="00217C1D" w:rsidRDefault="00BF38FA" w:rsidP="00FA504E">
            <w:pPr>
              <w:pStyle w:val="120"/>
              <w:rPr>
                <w:b/>
                <w:bCs/>
              </w:rPr>
            </w:pPr>
            <w:r w:rsidRPr="00217C1D">
              <w:rPr>
                <w:b/>
                <w:bCs/>
              </w:rPr>
              <w:t>24.62</w:t>
            </w:r>
          </w:p>
        </w:tc>
        <w:tc>
          <w:tcPr>
            <w:tcW w:w="1124" w:type="dxa"/>
            <w:vAlign w:val="center"/>
          </w:tcPr>
          <w:p w:rsidR="00BF38FA" w:rsidRPr="00217C1D" w:rsidRDefault="00BF38FA" w:rsidP="00FA504E">
            <w:pPr>
              <w:pStyle w:val="120"/>
              <w:rPr>
                <w:b/>
                <w:bCs/>
              </w:rPr>
            </w:pPr>
            <w:r w:rsidRPr="00217C1D">
              <w:rPr>
                <w:b/>
                <w:bCs/>
              </w:rPr>
              <w:t>36.50</w:t>
            </w:r>
          </w:p>
        </w:tc>
        <w:tc>
          <w:tcPr>
            <w:tcW w:w="1124" w:type="dxa"/>
            <w:vAlign w:val="center"/>
          </w:tcPr>
          <w:p w:rsidR="00BF38FA" w:rsidRPr="00217C1D" w:rsidRDefault="00BF38FA" w:rsidP="00FA504E">
            <w:pPr>
              <w:pStyle w:val="120"/>
              <w:rPr>
                <w:b/>
                <w:bCs/>
              </w:rPr>
            </w:pPr>
            <w:r w:rsidRPr="00217C1D">
              <w:rPr>
                <w:b/>
                <w:bCs/>
              </w:rPr>
              <w:t>28.86</w:t>
            </w:r>
          </w:p>
        </w:tc>
        <w:tc>
          <w:tcPr>
            <w:tcW w:w="1124" w:type="dxa"/>
            <w:vAlign w:val="center"/>
          </w:tcPr>
          <w:p w:rsidR="00BF38FA" w:rsidRPr="00217C1D" w:rsidRDefault="00BF38FA" w:rsidP="00FA504E">
            <w:pPr>
              <w:pStyle w:val="120"/>
              <w:rPr>
                <w:b/>
                <w:bCs/>
              </w:rPr>
            </w:pPr>
            <w:r w:rsidRPr="00217C1D">
              <w:rPr>
                <w:b/>
                <w:bCs/>
              </w:rPr>
              <w:t>33.28</w:t>
            </w:r>
          </w:p>
        </w:tc>
        <w:tc>
          <w:tcPr>
            <w:tcW w:w="1124" w:type="dxa"/>
            <w:vAlign w:val="center"/>
          </w:tcPr>
          <w:p w:rsidR="00BF38FA" w:rsidRPr="00217C1D" w:rsidRDefault="00BF38FA" w:rsidP="00FA504E">
            <w:pPr>
              <w:pStyle w:val="120"/>
              <w:rPr>
                <w:b/>
                <w:bCs/>
              </w:rPr>
            </w:pPr>
            <w:r w:rsidRPr="00217C1D">
              <w:rPr>
                <w:b/>
                <w:bCs/>
              </w:rPr>
              <w:t>27.40</w:t>
            </w:r>
          </w:p>
        </w:tc>
        <w:tc>
          <w:tcPr>
            <w:tcW w:w="1124" w:type="dxa"/>
            <w:vAlign w:val="center"/>
          </w:tcPr>
          <w:p w:rsidR="00BF38FA" w:rsidRPr="00217C1D" w:rsidRDefault="00BF38FA" w:rsidP="00FA504E">
            <w:pPr>
              <w:pStyle w:val="120"/>
              <w:rPr>
                <w:b/>
                <w:bCs/>
              </w:rPr>
            </w:pPr>
            <w:r w:rsidRPr="00217C1D">
              <w:rPr>
                <w:b/>
                <w:bCs/>
              </w:rPr>
              <w:t>14.02</w:t>
            </w:r>
          </w:p>
        </w:tc>
      </w:tr>
      <w:tr w:rsidR="00BF38FA" w:rsidRPr="007A426E" w:rsidTr="00EF6287">
        <w:trPr>
          <w:trHeight w:val="624"/>
        </w:trPr>
        <w:tc>
          <w:tcPr>
            <w:tcW w:w="1135" w:type="dxa"/>
            <w:vAlign w:val="center"/>
          </w:tcPr>
          <w:p w:rsidR="00BF38FA" w:rsidRPr="00217C1D" w:rsidRDefault="00BF38FA" w:rsidP="00FA504E">
            <w:pPr>
              <w:pStyle w:val="120"/>
              <w:rPr>
                <w:rFonts w:cs="Times New Roman"/>
                <w:b/>
                <w:bCs/>
                <w:sz w:val="22"/>
                <w:szCs w:val="22"/>
              </w:rPr>
            </w:pPr>
            <w:r w:rsidRPr="00217C1D">
              <w:rPr>
                <w:rFonts w:hint="eastAsia"/>
                <w:b/>
                <w:bCs/>
                <w:sz w:val="22"/>
                <w:szCs w:val="22"/>
              </w:rPr>
              <w:t>開磅率</w:t>
            </w:r>
          </w:p>
        </w:tc>
        <w:tc>
          <w:tcPr>
            <w:tcW w:w="1124" w:type="dxa"/>
            <w:tcBorders>
              <w:tl2br w:val="single" w:sz="4" w:space="0" w:color="auto"/>
            </w:tcBorders>
            <w:vAlign w:val="center"/>
          </w:tcPr>
          <w:p w:rsidR="00BF38FA" w:rsidRPr="00217C1D" w:rsidRDefault="00BF38FA" w:rsidP="00FA504E">
            <w:pPr>
              <w:pStyle w:val="120"/>
              <w:rPr>
                <w:rFonts w:cs="Times New Roman"/>
                <w:b/>
                <w:bCs/>
              </w:rPr>
            </w:pPr>
          </w:p>
        </w:tc>
        <w:tc>
          <w:tcPr>
            <w:tcW w:w="1124" w:type="dxa"/>
            <w:tcBorders>
              <w:tl2br w:val="single" w:sz="4" w:space="0" w:color="auto"/>
            </w:tcBorders>
            <w:vAlign w:val="center"/>
          </w:tcPr>
          <w:p w:rsidR="00BF38FA" w:rsidRPr="00217C1D" w:rsidRDefault="00BF38FA" w:rsidP="00FA504E">
            <w:pPr>
              <w:pStyle w:val="120"/>
              <w:rPr>
                <w:rFonts w:cs="Times New Roman"/>
                <w:b/>
                <w:bCs/>
              </w:rPr>
            </w:pPr>
          </w:p>
        </w:tc>
        <w:tc>
          <w:tcPr>
            <w:tcW w:w="1124" w:type="dxa"/>
            <w:vAlign w:val="center"/>
          </w:tcPr>
          <w:p w:rsidR="00BF38FA" w:rsidRPr="00217C1D" w:rsidRDefault="00BF38FA" w:rsidP="00FA504E">
            <w:pPr>
              <w:pStyle w:val="120"/>
              <w:rPr>
                <w:b/>
                <w:bCs/>
              </w:rPr>
            </w:pPr>
            <w:r w:rsidRPr="00217C1D">
              <w:rPr>
                <w:b/>
                <w:bCs/>
              </w:rPr>
              <w:t>57.16</w:t>
            </w:r>
          </w:p>
        </w:tc>
        <w:tc>
          <w:tcPr>
            <w:tcW w:w="1124" w:type="dxa"/>
            <w:vAlign w:val="center"/>
          </w:tcPr>
          <w:p w:rsidR="00BF38FA" w:rsidRPr="00217C1D" w:rsidRDefault="00BF38FA" w:rsidP="00FA504E">
            <w:pPr>
              <w:pStyle w:val="120"/>
              <w:rPr>
                <w:b/>
                <w:bCs/>
              </w:rPr>
            </w:pPr>
            <w:r w:rsidRPr="00217C1D">
              <w:rPr>
                <w:b/>
                <w:bCs/>
              </w:rPr>
              <w:t>(</w:t>
            </w:r>
            <w:r w:rsidRPr="00217C1D">
              <w:rPr>
                <w:rFonts w:hint="eastAsia"/>
                <w:b/>
                <w:bCs/>
              </w:rPr>
              <w:t>註</w:t>
            </w:r>
            <w:r w:rsidRPr="00217C1D">
              <w:rPr>
                <w:b/>
                <w:bCs/>
              </w:rPr>
              <w:t>5)</w:t>
            </w:r>
            <w:r>
              <w:rPr>
                <w:rFonts w:cs="Times New Roman"/>
                <w:b/>
                <w:bCs/>
              </w:rPr>
              <w:br/>
            </w:r>
            <w:r w:rsidRPr="00217C1D">
              <w:rPr>
                <w:b/>
                <w:bCs/>
              </w:rPr>
              <w:t>57.54</w:t>
            </w:r>
          </w:p>
        </w:tc>
        <w:tc>
          <w:tcPr>
            <w:tcW w:w="1124" w:type="dxa"/>
            <w:vAlign w:val="center"/>
          </w:tcPr>
          <w:p w:rsidR="00BF38FA" w:rsidRPr="00217C1D" w:rsidRDefault="00BF38FA" w:rsidP="00FA504E">
            <w:pPr>
              <w:pStyle w:val="120"/>
              <w:rPr>
                <w:b/>
                <w:bCs/>
              </w:rPr>
            </w:pPr>
            <w:r w:rsidRPr="00217C1D">
              <w:rPr>
                <w:b/>
                <w:bCs/>
              </w:rPr>
              <w:t>54.32</w:t>
            </w:r>
          </w:p>
        </w:tc>
        <w:tc>
          <w:tcPr>
            <w:tcW w:w="1124" w:type="dxa"/>
            <w:vAlign w:val="center"/>
          </w:tcPr>
          <w:p w:rsidR="00BF38FA" w:rsidRPr="00217C1D" w:rsidRDefault="00BF38FA" w:rsidP="00FA504E">
            <w:pPr>
              <w:pStyle w:val="120"/>
              <w:rPr>
                <w:b/>
                <w:bCs/>
              </w:rPr>
            </w:pPr>
            <w:r w:rsidRPr="00217C1D">
              <w:rPr>
                <w:b/>
                <w:bCs/>
              </w:rPr>
              <w:t>54.14</w:t>
            </w:r>
          </w:p>
        </w:tc>
        <w:tc>
          <w:tcPr>
            <w:tcW w:w="1124" w:type="dxa"/>
            <w:vAlign w:val="center"/>
          </w:tcPr>
          <w:p w:rsidR="00BF38FA" w:rsidRPr="00217C1D" w:rsidRDefault="00BF38FA" w:rsidP="00FA504E">
            <w:pPr>
              <w:pStyle w:val="120"/>
              <w:rPr>
                <w:b/>
                <w:bCs/>
              </w:rPr>
            </w:pPr>
            <w:r w:rsidRPr="00217C1D">
              <w:rPr>
                <w:b/>
                <w:bCs/>
              </w:rPr>
              <w:t>53.21</w:t>
            </w:r>
          </w:p>
        </w:tc>
      </w:tr>
    </w:tbl>
    <w:p w:rsidR="00BF38FA" w:rsidRPr="00FA504E" w:rsidRDefault="00BF38FA" w:rsidP="007C376E">
      <w:pPr>
        <w:pStyle w:val="afa"/>
        <w:spacing w:after="200"/>
        <w:rPr>
          <w:rFonts w:cs="Times New Roman"/>
        </w:rPr>
      </w:pPr>
      <w:r>
        <w:rPr>
          <w:rFonts w:hint="eastAsia"/>
        </w:rPr>
        <w:t>資料來源：</w:t>
      </w:r>
      <w:r w:rsidR="00EF6287">
        <w:rPr>
          <w:rFonts w:hint="eastAsia"/>
        </w:rPr>
        <w:t>交通部提供，</w:t>
      </w:r>
      <w:r>
        <w:rPr>
          <w:rFonts w:hint="eastAsia"/>
        </w:rPr>
        <w:t>審計部統計分析。</w:t>
      </w:r>
    </w:p>
    <w:p w:rsidR="00BF38FA" w:rsidRPr="00FA504E" w:rsidRDefault="00BF38FA" w:rsidP="00FA504E">
      <w:pPr>
        <w:snapToGrid w:val="0"/>
        <w:spacing w:line="240" w:lineRule="exact"/>
        <w:rPr>
          <w:rFonts w:cs="Times New Roman"/>
          <w:sz w:val="24"/>
          <w:szCs w:val="24"/>
        </w:rPr>
      </w:pPr>
      <w:r w:rsidRPr="00FA504E">
        <w:rPr>
          <w:rFonts w:hint="eastAsia"/>
          <w:sz w:val="24"/>
          <w:szCs w:val="24"/>
        </w:rPr>
        <w:t>註：</w:t>
      </w:r>
      <w:r w:rsidRPr="00FA504E">
        <w:rPr>
          <w:sz w:val="24"/>
          <w:szCs w:val="24"/>
        </w:rPr>
        <w:t>1.</w:t>
      </w:r>
      <w:r w:rsidRPr="00FA504E">
        <w:rPr>
          <w:rFonts w:hint="eastAsia"/>
          <w:sz w:val="24"/>
          <w:szCs w:val="24"/>
        </w:rPr>
        <w:t>所載「超載車輛」係指超載比率＞</w:t>
      </w:r>
      <w:r w:rsidRPr="00FA504E">
        <w:rPr>
          <w:sz w:val="24"/>
          <w:szCs w:val="24"/>
        </w:rPr>
        <w:t>10</w:t>
      </w:r>
      <w:r w:rsidRPr="00FA504E">
        <w:rPr>
          <w:rFonts w:hint="eastAsia"/>
          <w:sz w:val="24"/>
          <w:szCs w:val="24"/>
        </w:rPr>
        <w:t>％者。</w:t>
      </w:r>
    </w:p>
    <w:p w:rsidR="00BF38FA" w:rsidRPr="00FA504E" w:rsidRDefault="00BF38FA" w:rsidP="00857BD1">
      <w:pPr>
        <w:snapToGrid w:val="0"/>
        <w:spacing w:line="240" w:lineRule="exact"/>
        <w:ind w:leftChars="150" w:left="770" w:hangingChars="100" w:hanging="260"/>
        <w:rPr>
          <w:rFonts w:cs="Times New Roman"/>
          <w:sz w:val="24"/>
          <w:szCs w:val="24"/>
        </w:rPr>
      </w:pPr>
      <w:r w:rsidRPr="00FA504E">
        <w:rPr>
          <w:sz w:val="24"/>
          <w:szCs w:val="24"/>
        </w:rPr>
        <w:t>2.</w:t>
      </w:r>
      <w:r w:rsidRPr="00FA504E">
        <w:rPr>
          <w:rFonts w:hint="eastAsia"/>
          <w:sz w:val="24"/>
          <w:szCs w:val="24"/>
        </w:rPr>
        <w:t>整理自高公局網站公告之統計資料。惟其中</w:t>
      </w:r>
      <w:r w:rsidRPr="00FA504E">
        <w:rPr>
          <w:sz w:val="24"/>
          <w:szCs w:val="24"/>
        </w:rPr>
        <w:t>106</w:t>
      </w:r>
      <w:r w:rsidRPr="00FA504E">
        <w:rPr>
          <w:rFonts w:hint="eastAsia"/>
          <w:sz w:val="24"/>
          <w:szCs w:val="24"/>
        </w:rPr>
        <w:t>年度部分，與</w:t>
      </w:r>
      <w:r>
        <w:rPr>
          <w:rFonts w:hint="eastAsia"/>
          <w:sz w:val="24"/>
          <w:szCs w:val="24"/>
        </w:rPr>
        <w:t>審計</w:t>
      </w:r>
      <w:r w:rsidRPr="00FA504E">
        <w:rPr>
          <w:rFonts w:hint="eastAsia"/>
          <w:sz w:val="24"/>
          <w:szCs w:val="24"/>
        </w:rPr>
        <w:t>部前查核時於</w:t>
      </w:r>
      <w:r w:rsidRPr="00FA504E">
        <w:rPr>
          <w:sz w:val="24"/>
          <w:szCs w:val="24"/>
        </w:rPr>
        <w:t>108</w:t>
      </w:r>
      <w:r w:rsidRPr="00FA504E">
        <w:rPr>
          <w:rFonts w:hint="eastAsia"/>
          <w:sz w:val="24"/>
          <w:szCs w:val="24"/>
        </w:rPr>
        <w:t>年</w:t>
      </w:r>
      <w:r w:rsidRPr="00FA504E">
        <w:rPr>
          <w:sz w:val="24"/>
          <w:szCs w:val="24"/>
        </w:rPr>
        <w:t>1</w:t>
      </w:r>
      <w:r w:rsidRPr="00FA504E">
        <w:rPr>
          <w:rFonts w:hint="eastAsia"/>
          <w:sz w:val="24"/>
          <w:szCs w:val="24"/>
        </w:rPr>
        <w:t>月上網查詢之公告結果</w:t>
      </w:r>
      <w:r w:rsidRPr="00FA504E">
        <w:rPr>
          <w:sz w:val="24"/>
          <w:szCs w:val="24"/>
        </w:rPr>
        <w:t>(</w:t>
      </w:r>
      <w:r w:rsidRPr="00FA504E">
        <w:rPr>
          <w:rFonts w:hint="eastAsia"/>
          <w:sz w:val="24"/>
          <w:szCs w:val="24"/>
        </w:rPr>
        <w:t>過磅</w:t>
      </w:r>
      <w:r w:rsidRPr="00FA504E">
        <w:rPr>
          <w:sz w:val="24"/>
          <w:szCs w:val="24"/>
        </w:rPr>
        <w:t>13,802,591</w:t>
      </w:r>
      <w:r w:rsidRPr="00FA504E">
        <w:rPr>
          <w:rFonts w:hint="eastAsia"/>
          <w:sz w:val="24"/>
          <w:szCs w:val="24"/>
        </w:rPr>
        <w:t>輛次、超載</w:t>
      </w:r>
      <w:r w:rsidRPr="00FA504E">
        <w:rPr>
          <w:sz w:val="24"/>
          <w:szCs w:val="24"/>
        </w:rPr>
        <w:t>13,641</w:t>
      </w:r>
      <w:r w:rsidRPr="00FA504E">
        <w:rPr>
          <w:rFonts w:hint="eastAsia"/>
          <w:sz w:val="24"/>
          <w:szCs w:val="24"/>
        </w:rPr>
        <w:t>輛次</w:t>
      </w:r>
      <w:r w:rsidRPr="00FA504E">
        <w:rPr>
          <w:sz w:val="24"/>
          <w:szCs w:val="24"/>
        </w:rPr>
        <w:t>)</w:t>
      </w:r>
      <w:r w:rsidRPr="00FA504E">
        <w:rPr>
          <w:rFonts w:hint="eastAsia"/>
          <w:sz w:val="24"/>
          <w:szCs w:val="24"/>
        </w:rPr>
        <w:t>不一，似係因該局更正相關數據所致。</w:t>
      </w:r>
    </w:p>
    <w:p w:rsidR="00BF38FA" w:rsidRPr="00FA504E" w:rsidRDefault="00BF38FA" w:rsidP="00857BD1">
      <w:pPr>
        <w:snapToGrid w:val="0"/>
        <w:spacing w:line="240" w:lineRule="exact"/>
        <w:ind w:leftChars="150" w:left="770" w:hangingChars="100" w:hanging="260"/>
        <w:rPr>
          <w:rFonts w:cs="Times New Roman"/>
          <w:sz w:val="24"/>
          <w:szCs w:val="24"/>
        </w:rPr>
      </w:pPr>
      <w:r w:rsidRPr="00FA504E">
        <w:rPr>
          <w:sz w:val="24"/>
          <w:szCs w:val="24"/>
        </w:rPr>
        <w:t>3.</w:t>
      </w:r>
      <w:r w:rsidRPr="00FA504E">
        <w:rPr>
          <w:rFonts w:hint="eastAsia"/>
          <w:sz w:val="24"/>
          <w:szCs w:val="24"/>
        </w:rPr>
        <w:t>整理自高公局提供資料。</w:t>
      </w:r>
    </w:p>
    <w:p w:rsidR="00BF38FA" w:rsidRPr="00FA504E" w:rsidRDefault="00BF38FA" w:rsidP="00857BD1">
      <w:pPr>
        <w:snapToGrid w:val="0"/>
        <w:spacing w:line="240" w:lineRule="exact"/>
        <w:ind w:leftChars="150" w:left="770" w:hangingChars="100" w:hanging="260"/>
        <w:rPr>
          <w:rFonts w:cs="Times New Roman"/>
          <w:sz w:val="24"/>
          <w:szCs w:val="24"/>
        </w:rPr>
      </w:pPr>
      <w:r w:rsidRPr="00FA504E">
        <w:rPr>
          <w:sz w:val="24"/>
          <w:szCs w:val="24"/>
        </w:rPr>
        <w:t>4.</w:t>
      </w:r>
      <w:r w:rsidRPr="00FA504E">
        <w:rPr>
          <w:rFonts w:hint="eastAsia"/>
          <w:sz w:val="24"/>
          <w:szCs w:val="24"/>
        </w:rPr>
        <w:t>按高公局提供資料計為</w:t>
      </w:r>
      <w:r w:rsidRPr="00FA504E">
        <w:rPr>
          <w:sz w:val="24"/>
          <w:szCs w:val="24"/>
        </w:rPr>
        <w:t>4,479</w:t>
      </w:r>
      <w:r w:rsidRPr="00FA504E">
        <w:rPr>
          <w:rFonts w:hint="eastAsia"/>
          <w:sz w:val="24"/>
          <w:szCs w:val="24"/>
        </w:rPr>
        <w:t>輛次，惟查其中國</w:t>
      </w:r>
      <w:r w:rsidRPr="00FA504E">
        <w:rPr>
          <w:sz w:val="24"/>
          <w:szCs w:val="24"/>
        </w:rPr>
        <w:t>1</w:t>
      </w:r>
      <w:r w:rsidRPr="00FA504E">
        <w:rPr>
          <w:rFonts w:hint="eastAsia"/>
          <w:sz w:val="24"/>
          <w:szCs w:val="24"/>
        </w:rPr>
        <w:t>數據有散總不符錯誤，爰逕予更正。</w:t>
      </w:r>
    </w:p>
    <w:p w:rsidR="006D41FA" w:rsidRDefault="00BF38FA" w:rsidP="00332BFE">
      <w:pPr>
        <w:snapToGrid w:val="0"/>
        <w:spacing w:line="240" w:lineRule="exact"/>
        <w:ind w:leftChars="150" w:left="770" w:hangingChars="100" w:hanging="260"/>
        <w:rPr>
          <w:spacing w:val="-10"/>
          <w:sz w:val="24"/>
          <w:szCs w:val="24"/>
        </w:rPr>
      </w:pPr>
      <w:r w:rsidRPr="00FA504E">
        <w:rPr>
          <w:sz w:val="24"/>
          <w:szCs w:val="24"/>
        </w:rPr>
        <w:t>5.</w:t>
      </w:r>
      <w:r w:rsidRPr="00FA504E">
        <w:rPr>
          <w:rFonts w:hint="eastAsia"/>
          <w:sz w:val="24"/>
          <w:szCs w:val="24"/>
        </w:rPr>
        <w:t>依高公局前於</w:t>
      </w:r>
      <w:r>
        <w:rPr>
          <w:rFonts w:hint="eastAsia"/>
          <w:sz w:val="24"/>
          <w:szCs w:val="24"/>
        </w:rPr>
        <w:t>審計</w:t>
      </w:r>
      <w:r w:rsidRPr="00FA504E">
        <w:rPr>
          <w:rFonts w:hint="eastAsia"/>
          <w:sz w:val="24"/>
          <w:szCs w:val="24"/>
        </w:rPr>
        <w:t>部查核時提供各地磅站平均開磅率資料，</w:t>
      </w:r>
      <w:r w:rsidRPr="00FA504E">
        <w:rPr>
          <w:sz w:val="24"/>
          <w:szCs w:val="24"/>
        </w:rPr>
        <w:t>106</w:t>
      </w:r>
      <w:r w:rsidRPr="00FA504E">
        <w:rPr>
          <w:rFonts w:hint="eastAsia"/>
          <w:sz w:val="24"/>
          <w:szCs w:val="24"/>
        </w:rPr>
        <w:t>年度部分僅統計至</w:t>
      </w:r>
      <w:r w:rsidRPr="00FA504E">
        <w:rPr>
          <w:sz w:val="24"/>
          <w:szCs w:val="24"/>
        </w:rPr>
        <w:t>10</w:t>
      </w:r>
      <w:r w:rsidRPr="00FA504E">
        <w:rPr>
          <w:rFonts w:hint="eastAsia"/>
          <w:sz w:val="24"/>
          <w:szCs w:val="24"/>
        </w:rPr>
        <w:t>月底止，故本表所列數據為</w:t>
      </w:r>
      <w:r w:rsidRPr="00FA504E">
        <w:rPr>
          <w:sz w:val="24"/>
          <w:szCs w:val="24"/>
        </w:rPr>
        <w:t>1</w:t>
      </w:r>
      <w:r w:rsidRPr="00FA504E">
        <w:rPr>
          <w:rFonts w:hint="eastAsia"/>
          <w:sz w:val="24"/>
          <w:szCs w:val="24"/>
        </w:rPr>
        <w:t>至</w:t>
      </w:r>
      <w:r w:rsidRPr="00FA504E">
        <w:rPr>
          <w:sz w:val="24"/>
          <w:szCs w:val="24"/>
        </w:rPr>
        <w:t>10</w:t>
      </w:r>
      <w:r w:rsidRPr="00FA504E">
        <w:rPr>
          <w:rFonts w:hint="eastAsia"/>
          <w:sz w:val="24"/>
          <w:szCs w:val="24"/>
        </w:rPr>
        <w:t>月份之</w:t>
      </w:r>
      <w:r w:rsidRPr="007C376E">
        <w:rPr>
          <w:rFonts w:hint="eastAsia"/>
          <w:spacing w:val="-10"/>
          <w:sz w:val="24"/>
          <w:szCs w:val="24"/>
        </w:rPr>
        <w:t>平均開磅率</w:t>
      </w:r>
      <w:r w:rsidRPr="007C376E">
        <w:rPr>
          <w:spacing w:val="-10"/>
          <w:sz w:val="24"/>
          <w:szCs w:val="24"/>
        </w:rPr>
        <w:t>57.54</w:t>
      </w:r>
      <w:r w:rsidRPr="007C376E">
        <w:rPr>
          <w:rFonts w:hint="eastAsia"/>
          <w:spacing w:val="-10"/>
          <w:sz w:val="24"/>
          <w:szCs w:val="24"/>
        </w:rPr>
        <w:t>％。</w:t>
      </w:r>
    </w:p>
    <w:p w:rsidR="00BF38FA" w:rsidRDefault="006D41FA" w:rsidP="00B721FE">
      <w:pPr>
        <w:pStyle w:val="af3"/>
        <w:ind w:left="1441" w:hangingChars="600" w:hanging="1441"/>
      </w:pPr>
      <w:r>
        <w:rPr>
          <w:spacing w:val="-10"/>
          <w:sz w:val="24"/>
          <w:szCs w:val="24"/>
        </w:rPr>
        <w:br w:type="page"/>
      </w:r>
      <w:r w:rsidR="00D65ACC" w:rsidRPr="00D65ACC">
        <w:rPr>
          <w:rFonts w:hint="eastAsia"/>
        </w:rPr>
        <w:lastRenderedPageBreak/>
        <w:t>附錄二、</w:t>
      </w:r>
      <w:r w:rsidRPr="006D41FA">
        <w:rPr>
          <w:rFonts w:hint="eastAsia"/>
        </w:rPr>
        <w:t>運用100筆超載未開單移送公警單位之資料，</w:t>
      </w:r>
      <w:r w:rsidR="00786CD8">
        <w:rPr>
          <w:rFonts w:hint="eastAsia"/>
        </w:rPr>
        <w:t>設</w:t>
      </w:r>
      <w:r w:rsidRPr="006D41FA">
        <w:rPr>
          <w:rFonts w:hint="eastAsia"/>
        </w:rPr>
        <w:t>算應罰而未裁處罰鍰金額</w:t>
      </w:r>
      <w:r w:rsidR="00786CD8">
        <w:rPr>
          <w:rFonts w:hint="eastAsia"/>
        </w:rPr>
        <w:t>表</w:t>
      </w:r>
    </w:p>
    <w:p w:rsidR="006D41FA" w:rsidRPr="006D41FA" w:rsidRDefault="006D41FA" w:rsidP="006D41FA">
      <w:pPr>
        <w:jc w:val="right"/>
        <w:rPr>
          <w:sz w:val="22"/>
          <w:szCs w:val="22"/>
        </w:rPr>
      </w:pPr>
      <w:r w:rsidRPr="006D41FA">
        <w:rPr>
          <w:rFonts w:hint="eastAsia"/>
          <w:sz w:val="22"/>
          <w:szCs w:val="22"/>
        </w:rPr>
        <w:t>單位：</w:t>
      </w:r>
      <w:r w:rsidR="0017381D">
        <w:rPr>
          <w:rFonts w:hint="eastAsia"/>
          <w:sz w:val="22"/>
          <w:szCs w:val="22"/>
        </w:rPr>
        <w:t>噸、新臺幣</w:t>
      </w:r>
      <w:r w:rsidRPr="006D41FA">
        <w:rPr>
          <w:rFonts w:hint="eastAsia"/>
          <w:sz w:val="22"/>
          <w:szCs w:val="22"/>
        </w:rPr>
        <w:t>元</w:t>
      </w:r>
    </w:p>
    <w:tbl>
      <w:tblPr>
        <w:tblW w:w="8890" w:type="dxa"/>
        <w:tblInd w:w="13" w:type="dxa"/>
        <w:tblCellMar>
          <w:left w:w="28" w:type="dxa"/>
          <w:right w:w="28" w:type="dxa"/>
        </w:tblCellMar>
        <w:tblLook w:val="04A0" w:firstRow="1" w:lastRow="0" w:firstColumn="1" w:lastColumn="0" w:noHBand="0" w:noVBand="1"/>
      </w:tblPr>
      <w:tblGrid>
        <w:gridCol w:w="700"/>
        <w:gridCol w:w="733"/>
        <w:gridCol w:w="547"/>
        <w:gridCol w:w="870"/>
        <w:gridCol w:w="993"/>
        <w:gridCol w:w="708"/>
        <w:gridCol w:w="709"/>
        <w:gridCol w:w="709"/>
        <w:gridCol w:w="905"/>
        <w:gridCol w:w="938"/>
        <w:gridCol w:w="1078"/>
      </w:tblGrid>
      <w:tr w:rsidR="006D41FA" w:rsidRPr="006D41FA" w:rsidTr="00786CD8">
        <w:trPr>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工務段</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地磅站</w:t>
            </w:r>
          </w:p>
        </w:tc>
        <w:tc>
          <w:tcPr>
            <w:tcW w:w="547" w:type="dxa"/>
            <w:tcBorders>
              <w:top w:val="single" w:sz="4" w:space="0" w:color="auto"/>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向別</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日期</w:t>
            </w:r>
          </w:p>
        </w:tc>
        <w:tc>
          <w:tcPr>
            <w:tcW w:w="993" w:type="dxa"/>
            <w:tcBorders>
              <w:top w:val="single" w:sz="4" w:space="0" w:color="auto"/>
              <w:left w:val="nil"/>
              <w:bottom w:val="single" w:sz="4" w:space="0" w:color="auto"/>
              <w:right w:val="nil"/>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車號</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核重</w:t>
            </w:r>
            <w:r w:rsidRPr="006D41FA">
              <w:rPr>
                <w:rFonts w:hAnsi="標楷體" w:hint="eastAsia"/>
                <w:sz w:val="22"/>
                <w:szCs w:val="22"/>
              </w:rPr>
              <w:br/>
              <w:t>(A)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載重</w:t>
            </w:r>
            <w:r w:rsidRPr="006D41FA">
              <w:rPr>
                <w:rFonts w:hAnsi="標楷體" w:hint="eastAsia"/>
                <w:sz w:val="22"/>
                <w:szCs w:val="22"/>
              </w:rPr>
              <w:br/>
              <w:t>(B)</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超載</w:t>
            </w:r>
            <w:r>
              <w:rPr>
                <w:rFonts w:hAnsi="標楷體"/>
                <w:sz w:val="22"/>
                <w:szCs w:val="22"/>
              </w:rPr>
              <w:br/>
            </w:r>
            <w:r w:rsidRPr="006D41FA">
              <w:rPr>
                <w:rFonts w:hAnsi="標楷體" w:hint="eastAsia"/>
                <w:sz w:val="22"/>
                <w:szCs w:val="22"/>
              </w:rPr>
              <w:t>％</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超重噸數</w:t>
            </w:r>
            <w:r w:rsidRPr="006D41FA">
              <w:rPr>
                <w:rFonts w:hAnsi="標楷體" w:hint="eastAsia"/>
                <w:sz w:val="22"/>
                <w:szCs w:val="22"/>
              </w:rPr>
              <w:br/>
              <w:t>(B)-(A)</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未滿1噸以1噸計</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設算罰鍰</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斗南</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員林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1090606</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Y9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23.00</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26.41</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14.83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3.41</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斗南</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員林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5G</w:t>
            </w:r>
            <w:r>
              <w:rPr>
                <w:rFonts w:hAnsi="標楷體" w:hint="eastAsia"/>
                <w:sz w:val="22"/>
                <w:szCs w:val="22"/>
              </w:rPr>
              <w:t>-XXX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8.80</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9.90</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12.50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斗南</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員林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1090618</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H9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17.00</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20.81</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22.41</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3.81</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斗南</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員林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1090624</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KEF</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6.20</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6.91</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11.45</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0.71</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斗南</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員林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1090626</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KEF</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17.00</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18.94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11.41</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1.94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斗南</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員林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1090628</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UJ</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10.40</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11.75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12.98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1.35</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大甲</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後龍</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KNA</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42.53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21.51</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7.53</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8</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大甲</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大甲</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1090602</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KLE</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53.28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15.83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7.28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8</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大甲</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大甲</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1090604</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KEA</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20.04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17.88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3.04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大甲</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大甲</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KLA</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55.23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20.07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9.23</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20</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南投</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名間</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XZ</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19.98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17.53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2.98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南投</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名間</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GX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39.33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12.37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4.33</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關西</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樹林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KEE</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8.36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12.97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0.96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關西</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樹林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1090616</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KEA</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9.5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10.76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13.26</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關西</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樹林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R9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38.88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11.09</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關西</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樹林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KLA</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12.17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4.26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關西</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樹林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1090627</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KLA</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38.94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11.26</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關西</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樹林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1090630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X8</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28.78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10.69</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2.78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關西</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樹林</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1090630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KLA</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38.84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關西</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龍潭</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1090611</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KEE</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10.91</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關西</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龍潭</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KLJ</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29.34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12.85</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3.34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關西</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龍潭</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JD</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39.14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11.83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4.14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關西</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龍潭</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1090627</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KLF</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38.9</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11.14</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AJ</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38.76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10.74</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3.76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1090608</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KLE</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38.66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10.46</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3.66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6D41FA" w:rsidP="00FD2377">
            <w:pPr>
              <w:pStyle w:val="120"/>
              <w:jc w:val="center"/>
              <w:rPr>
                <w:rFonts w:hAnsi="標楷體"/>
                <w:sz w:val="22"/>
                <w:szCs w:val="22"/>
              </w:rPr>
            </w:pPr>
            <w:r w:rsidRPr="006D41FA">
              <w:rPr>
                <w:rFonts w:hAnsi="標楷體" w:hint="eastAsia"/>
                <w:sz w:val="22"/>
                <w:szCs w:val="22"/>
              </w:rPr>
              <w:t>LAD-</w:t>
            </w:r>
            <w:r w:rsidR="00FD2377">
              <w:rPr>
                <w:rFonts w:hAnsi="標楷體"/>
                <w:sz w:val="22"/>
                <w:szCs w:val="22"/>
              </w:rPr>
              <w:t>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40.74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16.40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5.74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KLA</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39.12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11.77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4.12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1090618</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ZC</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7.28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12.00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0.78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6D41FA" w:rsidP="00FD2377">
            <w:pPr>
              <w:pStyle w:val="120"/>
              <w:jc w:val="center"/>
              <w:rPr>
                <w:rFonts w:hAnsi="標楷體"/>
                <w:sz w:val="22"/>
                <w:szCs w:val="22"/>
              </w:rPr>
            </w:pPr>
            <w:r w:rsidRPr="006D41FA">
              <w:rPr>
                <w:rFonts w:hAnsi="標楷體" w:hint="eastAsia"/>
                <w:sz w:val="22"/>
                <w:szCs w:val="22"/>
              </w:rPr>
              <w:t>GX-</w:t>
            </w:r>
            <w:r w:rsidR="00FD2377">
              <w:rPr>
                <w:rFonts w:hAnsi="標楷體"/>
                <w:sz w:val="22"/>
                <w:szCs w:val="22"/>
              </w:rPr>
              <w:t>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12.00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4.20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W3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38.92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11.20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1090604</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48.58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12.98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5.58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KLF</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13.72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24.73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2.72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W9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21</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24.02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14.38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3.02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1090612</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48.22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12.14</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5.22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1090612</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KLA</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7.54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12.54</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0.84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lastRenderedPageBreak/>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1090617</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W6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9.4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25.33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1.90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W7</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19.26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13.29</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2.26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sz w:val="22"/>
                <w:szCs w:val="22"/>
              </w:rPr>
              <w:t>XXX</w:t>
            </w:r>
            <w:r w:rsidR="006D41FA" w:rsidRPr="006D41FA">
              <w:rPr>
                <w:rFonts w:hAnsi="標楷體" w:hint="eastAsia"/>
                <w:sz w:val="22"/>
                <w:szCs w:val="22"/>
              </w:rPr>
              <w:t>-W6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8.64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15.20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內湖</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汐止</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SR</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7.36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13.23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0.86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善化</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1090612</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KEF</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19.5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14.71</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2.50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善化</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H9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47.4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10.23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4.40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善化</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1090611</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R2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47.98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11.58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4.98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善化</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1090616</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GT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18.96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11.53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1.96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善化</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28.84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10.92</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2.84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1090608</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KEB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12.32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12.00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1090606</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Pr>
                <w:rFonts w:hAnsi="標楷體"/>
                <w:sz w:val="22"/>
                <w:szCs w:val="22"/>
              </w:rPr>
              <w:t>XXXX</w:t>
            </w:r>
            <w:r w:rsidR="006D41FA" w:rsidRPr="006D41FA">
              <w:rPr>
                <w:rFonts w:hAnsi="標楷體" w:hint="eastAsia"/>
                <w:sz w:val="22"/>
                <w:szCs w:val="22"/>
              </w:rPr>
              <w:t>-Q9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3.49</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4.24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21.49</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0.75</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古坑</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1090618</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AK</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47.42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10.28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4.42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KLE</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38.9</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11.14</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KLD</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47.4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10.23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4.40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1090627</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GT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19.16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12.71</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2.16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1090630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KLC</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18.92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11.29</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1.92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善化</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R3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18.74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10.24</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善化</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1090622</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KLE</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43.54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10.23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4.04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善化</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1090630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AVD</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3.49</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4.28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22.64</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0.79</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善化</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1090626</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KLE</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47.38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10.19</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白河</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古坑</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1090630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KLC</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38.84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1090601</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T9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12.56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14.18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1090611</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KLC</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47.48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10.42</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4.48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KLF</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30.36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16.77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48.16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12.00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5.16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ZF</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39.12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11.77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4.12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1090601</w:t>
            </w:r>
          </w:p>
        </w:tc>
        <w:tc>
          <w:tcPr>
            <w:tcW w:w="993" w:type="dxa"/>
            <w:tcBorders>
              <w:top w:val="nil"/>
              <w:left w:val="nil"/>
              <w:bottom w:val="single" w:sz="4" w:space="0" w:color="auto"/>
              <w:right w:val="nil"/>
            </w:tcBorders>
            <w:shd w:val="clear" w:color="auto" w:fill="auto"/>
            <w:noWrap/>
            <w:vAlign w:val="center"/>
            <w:hideMark/>
          </w:tcPr>
          <w:p w:rsidR="006D41FA" w:rsidRPr="006D41FA" w:rsidRDefault="006D41FA" w:rsidP="00FD2377">
            <w:pPr>
              <w:pStyle w:val="120"/>
              <w:jc w:val="center"/>
              <w:rPr>
                <w:rFonts w:hAnsi="標楷體"/>
                <w:sz w:val="22"/>
                <w:szCs w:val="22"/>
              </w:rPr>
            </w:pPr>
            <w:r w:rsidRPr="006D41FA">
              <w:rPr>
                <w:rFonts w:hAnsi="標楷體" w:hint="eastAsia"/>
                <w:sz w:val="22"/>
                <w:szCs w:val="22"/>
              </w:rPr>
              <w:t>HA-</w:t>
            </w:r>
            <w:r w:rsidR="00FD2377">
              <w:rPr>
                <w:rFonts w:hAnsi="標楷體"/>
                <w:sz w:val="22"/>
                <w:szCs w:val="22"/>
              </w:rPr>
              <w:t>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16.86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12.40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1090601</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KLF</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29.02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11.62</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3.02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M5</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48.24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12.19</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5.24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1090604</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KLD</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39.66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13.31</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4.66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1090602</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39.82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13.77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4.82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1090611</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JA</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29.16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12.15</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3.16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1090616</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KEB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8.38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11.73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0.88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1090616</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KLA</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26.54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10.58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2.54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KEH</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14.1</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28.18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3.10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1090617</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X8</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50</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57.26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14.52</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7.26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8</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1090622</w:t>
            </w:r>
          </w:p>
        </w:tc>
        <w:tc>
          <w:tcPr>
            <w:tcW w:w="993" w:type="dxa"/>
            <w:tcBorders>
              <w:top w:val="nil"/>
              <w:left w:val="nil"/>
              <w:bottom w:val="single" w:sz="4" w:space="0" w:color="auto"/>
              <w:right w:val="nil"/>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L</w:t>
            </w:r>
            <w:r w:rsidR="00FD2377" w:rsidRPr="006D41FA">
              <w:rPr>
                <w:rFonts w:hAnsi="標楷體" w:hint="eastAsia"/>
                <w:sz w:val="22"/>
                <w:szCs w:val="22"/>
              </w:rPr>
              <w:t>AM</w:t>
            </w:r>
            <w:r w:rsidR="00FD2377">
              <w:rPr>
                <w:rFonts w:hAnsi="標楷體" w:hint="eastAsia"/>
                <w:sz w:val="22"/>
                <w:szCs w:val="22"/>
              </w:rPr>
              <w:t>-XXX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48.7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13.26</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5.70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1090617</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27.82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11.28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2.82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1090621</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M3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52.14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13.35</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6.14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lastRenderedPageBreak/>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1090621</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KLD</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44.38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26.80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9.38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20</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1090622</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HQ</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19.3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13.53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2.30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1090626</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29.88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14.92</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1090618</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48.64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13.12</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5.64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1090630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19.32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13.65</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2.32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1090630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KLA</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29.9</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11.57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3.10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1090630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KLE</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13.46</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新營</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新市</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1090630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KLE</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40</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46.26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15.65</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6.26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G7</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47.42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10.28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4.42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ZF</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41.62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18.91</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6.62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ZY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40</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44.42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11.05</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4.42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M9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27.68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10.72</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2.68</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13</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GO</w:t>
            </w:r>
            <w:r>
              <w:rPr>
                <w:rFonts w:hAnsi="標楷體" w:hint="eastAsia"/>
                <w:sz w:val="22"/>
                <w:szCs w:val="22"/>
              </w:rPr>
              <w:t>-XXX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46.34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32.40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11.34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1090603</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KLC</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47.44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10.33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4.44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KLD</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50.86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10.57</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4.86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1090609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ZX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47.6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10.70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4.60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1090610</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M3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50</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61.64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23.28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11.64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T8</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18.9</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11.18</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1.90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1090615</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28.06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12.24</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3.06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1090617</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KLB</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11.43</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4.00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1090618</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VQ</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38.96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11.31</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3.96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VF</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30.04</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15.54</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4.04</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1090629</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VT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16.8</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12.00</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1.80</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12</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1090618</w:t>
            </w:r>
          </w:p>
        </w:tc>
        <w:tc>
          <w:tcPr>
            <w:tcW w:w="993" w:type="dxa"/>
            <w:tcBorders>
              <w:top w:val="nil"/>
              <w:left w:val="nil"/>
              <w:bottom w:val="single" w:sz="4" w:space="0" w:color="auto"/>
              <w:right w:val="nil"/>
            </w:tcBorders>
            <w:shd w:val="clear" w:color="auto" w:fill="auto"/>
            <w:noWrap/>
            <w:vAlign w:val="center"/>
            <w:hideMark/>
          </w:tcPr>
          <w:p w:rsidR="006D41FA" w:rsidRPr="006D41FA" w:rsidRDefault="00FD2377" w:rsidP="006D41FA">
            <w:pPr>
              <w:pStyle w:val="120"/>
              <w:jc w:val="center"/>
              <w:rPr>
                <w:rFonts w:hAnsi="標楷體"/>
                <w:sz w:val="22"/>
                <w:szCs w:val="22"/>
              </w:rPr>
            </w:pPr>
            <w:r w:rsidRPr="006D41FA">
              <w:rPr>
                <w:rFonts w:hAnsi="標楷體" w:hint="eastAsia"/>
                <w:sz w:val="22"/>
                <w:szCs w:val="22"/>
              </w:rPr>
              <w:t>KLE</w:t>
            </w:r>
            <w:r>
              <w:rPr>
                <w:rFonts w:hAnsi="標楷體" w:hint="eastAsia"/>
                <w:sz w:val="22"/>
                <w:szCs w:val="22"/>
              </w:rPr>
              <w:t>-XXXX</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50.12</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16.56</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7.12</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8</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18</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1090624</w:t>
            </w:r>
          </w:p>
        </w:tc>
        <w:tc>
          <w:tcPr>
            <w:tcW w:w="993" w:type="dxa"/>
            <w:tcBorders>
              <w:top w:val="nil"/>
              <w:left w:val="nil"/>
              <w:bottom w:val="single" w:sz="4"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W9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52.46</w:t>
            </w:r>
          </w:p>
        </w:tc>
        <w:tc>
          <w:tcPr>
            <w:tcW w:w="709"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14.04</w:t>
            </w:r>
          </w:p>
        </w:tc>
        <w:tc>
          <w:tcPr>
            <w:tcW w:w="905"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6.46</w:t>
            </w:r>
          </w:p>
        </w:tc>
        <w:tc>
          <w:tcPr>
            <w:tcW w:w="93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7</w:t>
            </w:r>
          </w:p>
        </w:tc>
        <w:tc>
          <w:tcPr>
            <w:tcW w:w="1078" w:type="dxa"/>
            <w:tcBorders>
              <w:top w:val="nil"/>
              <w:left w:val="nil"/>
              <w:bottom w:val="single" w:sz="4"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17</w:t>
            </w:r>
            <w:r>
              <w:rPr>
                <w:rFonts w:hAnsi="標楷體"/>
                <w:sz w:val="22"/>
                <w:szCs w:val="22"/>
              </w:rPr>
              <w:t>,</w:t>
            </w:r>
            <w:r w:rsidRPr="006D41FA">
              <w:rPr>
                <w:rFonts w:hAnsi="標楷體" w:hint="eastAsia"/>
                <w:sz w:val="22"/>
                <w:szCs w:val="22"/>
              </w:rPr>
              <w:t>000</w:t>
            </w:r>
          </w:p>
        </w:tc>
      </w:tr>
      <w:tr w:rsidR="006D41FA" w:rsidRPr="006D41FA" w:rsidTr="00786CD8">
        <w:trPr>
          <w:trHeight w:val="324"/>
        </w:trPr>
        <w:tc>
          <w:tcPr>
            <w:tcW w:w="700" w:type="dxa"/>
            <w:tcBorders>
              <w:top w:val="nil"/>
              <w:left w:val="single" w:sz="4" w:space="0" w:color="auto"/>
              <w:bottom w:val="double" w:sz="6"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733" w:type="dxa"/>
            <w:tcBorders>
              <w:top w:val="nil"/>
              <w:left w:val="nil"/>
              <w:bottom w:val="double" w:sz="6"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岡山</w:t>
            </w:r>
          </w:p>
        </w:tc>
        <w:tc>
          <w:tcPr>
            <w:tcW w:w="547" w:type="dxa"/>
            <w:tcBorders>
              <w:top w:val="nil"/>
              <w:left w:val="nil"/>
              <w:bottom w:val="double" w:sz="6"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北</w:t>
            </w:r>
          </w:p>
        </w:tc>
        <w:tc>
          <w:tcPr>
            <w:tcW w:w="870" w:type="dxa"/>
            <w:tcBorders>
              <w:top w:val="nil"/>
              <w:left w:val="nil"/>
              <w:bottom w:val="double" w:sz="6"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1090630</w:t>
            </w:r>
          </w:p>
        </w:tc>
        <w:tc>
          <w:tcPr>
            <w:tcW w:w="993" w:type="dxa"/>
            <w:tcBorders>
              <w:top w:val="nil"/>
              <w:left w:val="nil"/>
              <w:bottom w:val="double" w:sz="6" w:space="0" w:color="auto"/>
              <w:right w:val="nil"/>
            </w:tcBorders>
            <w:shd w:val="clear" w:color="auto" w:fill="auto"/>
            <w:noWrap/>
            <w:vAlign w:val="center"/>
            <w:hideMark/>
          </w:tcPr>
          <w:p w:rsidR="006D41FA" w:rsidRPr="006D41FA" w:rsidRDefault="00301B2C" w:rsidP="006D41FA">
            <w:pPr>
              <w:pStyle w:val="120"/>
              <w:jc w:val="center"/>
              <w:rPr>
                <w:rFonts w:hAnsi="標楷體"/>
                <w:sz w:val="22"/>
                <w:szCs w:val="22"/>
              </w:rPr>
            </w:pPr>
            <w:r>
              <w:rPr>
                <w:rFonts w:hAnsi="標楷體" w:hint="eastAsia"/>
                <w:sz w:val="22"/>
                <w:szCs w:val="22"/>
              </w:rPr>
              <w:t>XXX-</w:t>
            </w:r>
            <w:r w:rsidRPr="006D41FA">
              <w:rPr>
                <w:rFonts w:hAnsi="標楷體" w:hint="eastAsia"/>
                <w:sz w:val="22"/>
                <w:szCs w:val="22"/>
              </w:rPr>
              <w:t>Q9</w:t>
            </w:r>
          </w:p>
        </w:tc>
        <w:tc>
          <w:tcPr>
            <w:tcW w:w="708" w:type="dxa"/>
            <w:tcBorders>
              <w:top w:val="nil"/>
              <w:left w:val="single" w:sz="4" w:space="0" w:color="auto"/>
              <w:bottom w:val="double" w:sz="6"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43</w:t>
            </w:r>
          </w:p>
        </w:tc>
        <w:tc>
          <w:tcPr>
            <w:tcW w:w="709" w:type="dxa"/>
            <w:tcBorders>
              <w:top w:val="nil"/>
              <w:left w:val="nil"/>
              <w:bottom w:val="double" w:sz="6"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47.44</w:t>
            </w:r>
          </w:p>
        </w:tc>
        <w:tc>
          <w:tcPr>
            <w:tcW w:w="709" w:type="dxa"/>
            <w:tcBorders>
              <w:top w:val="nil"/>
              <w:left w:val="nil"/>
              <w:bottom w:val="double" w:sz="6"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10.33</w:t>
            </w:r>
          </w:p>
        </w:tc>
        <w:tc>
          <w:tcPr>
            <w:tcW w:w="905" w:type="dxa"/>
            <w:tcBorders>
              <w:top w:val="nil"/>
              <w:left w:val="nil"/>
              <w:bottom w:val="double" w:sz="6"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4.44</w:t>
            </w:r>
          </w:p>
        </w:tc>
        <w:tc>
          <w:tcPr>
            <w:tcW w:w="938" w:type="dxa"/>
            <w:tcBorders>
              <w:top w:val="nil"/>
              <w:left w:val="nil"/>
              <w:bottom w:val="double" w:sz="6"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5</w:t>
            </w:r>
          </w:p>
        </w:tc>
        <w:tc>
          <w:tcPr>
            <w:tcW w:w="1078" w:type="dxa"/>
            <w:tcBorders>
              <w:top w:val="nil"/>
              <w:left w:val="nil"/>
              <w:bottom w:val="double" w:sz="6" w:space="0" w:color="auto"/>
              <w:right w:val="single" w:sz="4" w:space="0" w:color="auto"/>
            </w:tcBorders>
            <w:shd w:val="clear" w:color="auto" w:fill="auto"/>
            <w:noWrap/>
            <w:vAlign w:val="center"/>
            <w:hideMark/>
          </w:tcPr>
          <w:p w:rsidR="006D41FA" w:rsidRPr="006D41FA" w:rsidRDefault="006D41FA" w:rsidP="006D41FA">
            <w:pPr>
              <w:pStyle w:val="120"/>
              <w:jc w:val="center"/>
              <w:rPr>
                <w:rFonts w:hAnsi="標楷體"/>
                <w:sz w:val="22"/>
                <w:szCs w:val="22"/>
              </w:rPr>
            </w:pPr>
            <w:r w:rsidRPr="006D41FA">
              <w:rPr>
                <w:rFonts w:hAnsi="標楷體" w:hint="eastAsia"/>
                <w:sz w:val="22"/>
                <w:szCs w:val="22"/>
              </w:rPr>
              <w:t>15</w:t>
            </w:r>
            <w:r>
              <w:rPr>
                <w:rFonts w:hAnsi="標楷體"/>
                <w:sz w:val="22"/>
                <w:szCs w:val="22"/>
              </w:rPr>
              <w:t>,</w:t>
            </w:r>
            <w:r w:rsidRPr="006D41FA">
              <w:rPr>
                <w:rFonts w:hAnsi="標楷體" w:hint="eastAsia"/>
                <w:sz w:val="22"/>
                <w:szCs w:val="22"/>
              </w:rPr>
              <w:t>000</w:t>
            </w:r>
          </w:p>
        </w:tc>
      </w:tr>
      <w:tr w:rsidR="00786CD8" w:rsidRPr="006D41FA" w:rsidTr="00786CD8">
        <w:trPr>
          <w:trHeight w:val="336"/>
        </w:trPr>
        <w:tc>
          <w:tcPr>
            <w:tcW w:w="7812" w:type="dxa"/>
            <w:gridSpan w:val="10"/>
            <w:tcBorders>
              <w:top w:val="double" w:sz="6" w:space="0" w:color="auto"/>
              <w:left w:val="single" w:sz="4" w:space="0" w:color="auto"/>
              <w:bottom w:val="double" w:sz="6" w:space="0" w:color="auto"/>
              <w:right w:val="single" w:sz="4" w:space="0" w:color="auto"/>
            </w:tcBorders>
            <w:shd w:val="clear" w:color="auto" w:fill="auto"/>
            <w:noWrap/>
            <w:vAlign w:val="center"/>
            <w:hideMark/>
          </w:tcPr>
          <w:p w:rsidR="00786CD8" w:rsidRPr="006D41FA" w:rsidRDefault="00786CD8" w:rsidP="006D41FA">
            <w:pPr>
              <w:pStyle w:val="120"/>
              <w:jc w:val="center"/>
              <w:rPr>
                <w:rFonts w:hAnsi="標楷體"/>
                <w:sz w:val="22"/>
                <w:szCs w:val="22"/>
              </w:rPr>
            </w:pPr>
            <w:r w:rsidRPr="006D41FA">
              <w:rPr>
                <w:rFonts w:hAnsi="標楷體" w:hint="eastAsia"/>
                <w:sz w:val="22"/>
                <w:szCs w:val="22"/>
              </w:rPr>
              <w:t>合計</w:t>
            </w:r>
          </w:p>
        </w:tc>
        <w:tc>
          <w:tcPr>
            <w:tcW w:w="1078" w:type="dxa"/>
            <w:tcBorders>
              <w:top w:val="double" w:sz="6" w:space="0" w:color="auto"/>
              <w:left w:val="nil"/>
              <w:bottom w:val="double" w:sz="6" w:space="0" w:color="auto"/>
              <w:right w:val="single" w:sz="4" w:space="0" w:color="auto"/>
            </w:tcBorders>
            <w:shd w:val="clear" w:color="auto" w:fill="auto"/>
            <w:noWrap/>
            <w:vAlign w:val="center"/>
            <w:hideMark/>
          </w:tcPr>
          <w:p w:rsidR="00786CD8" w:rsidRPr="006D41FA" w:rsidRDefault="00786CD8" w:rsidP="006D41FA">
            <w:pPr>
              <w:pStyle w:val="120"/>
              <w:jc w:val="center"/>
              <w:rPr>
                <w:rFonts w:hAnsi="標楷體"/>
                <w:sz w:val="22"/>
                <w:szCs w:val="22"/>
              </w:rPr>
            </w:pPr>
            <w:r w:rsidRPr="006D41FA">
              <w:rPr>
                <w:rFonts w:hAnsi="標楷體" w:hint="eastAsia"/>
                <w:sz w:val="22"/>
                <w:szCs w:val="22"/>
              </w:rPr>
              <w:t>1,449,000</w:t>
            </w:r>
          </w:p>
        </w:tc>
      </w:tr>
    </w:tbl>
    <w:p w:rsidR="00EF6287" w:rsidRDefault="00EF6287" w:rsidP="00EF6287">
      <w:pPr>
        <w:pStyle w:val="afa"/>
      </w:pPr>
      <w:r>
        <w:rPr>
          <w:rFonts w:hint="eastAsia"/>
        </w:rPr>
        <w:t>資料來源：交通部提供，審計部統計、設算</w:t>
      </w:r>
    </w:p>
    <w:p w:rsidR="00AB6076" w:rsidRDefault="00B415C1" w:rsidP="00BD54FB">
      <w:pPr>
        <w:rPr>
          <w:rFonts w:hint="eastAsia"/>
        </w:rPr>
      </w:pPr>
      <w:r>
        <w:br w:type="page"/>
      </w:r>
    </w:p>
    <w:p w:rsidR="00BD54FB" w:rsidRDefault="00D65ACC" w:rsidP="00BD54FB">
      <w:pPr>
        <w:pStyle w:val="af3"/>
        <w:spacing w:before="240"/>
        <w:ind w:left="2041" w:hangingChars="600" w:hanging="2041"/>
      </w:pPr>
      <w:r>
        <w:rPr>
          <w:rFonts w:hint="eastAsia"/>
        </w:rPr>
        <w:lastRenderedPageBreak/>
        <w:t>附錄三、民間地磅站業者收費情形</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1560"/>
        <w:gridCol w:w="567"/>
        <w:gridCol w:w="850"/>
        <w:gridCol w:w="992"/>
        <w:gridCol w:w="851"/>
        <w:gridCol w:w="3544"/>
      </w:tblGrid>
      <w:tr w:rsidR="005818C5" w:rsidRPr="00BD54FB" w:rsidTr="005818C5">
        <w:trPr>
          <w:trHeight w:val="324"/>
          <w:tblHeader/>
          <w:jc w:val="center"/>
        </w:trPr>
        <w:tc>
          <w:tcPr>
            <w:tcW w:w="1129" w:type="dxa"/>
            <w:shd w:val="clear" w:color="auto" w:fill="auto"/>
            <w:noWrap/>
            <w:vAlign w:val="center"/>
            <w:hideMark/>
          </w:tcPr>
          <w:p w:rsidR="00BD54FB" w:rsidRPr="005818C5" w:rsidRDefault="00BD54FB" w:rsidP="005818C5">
            <w:pPr>
              <w:spacing w:before="40" w:after="40" w:line="240" w:lineRule="exact"/>
              <w:jc w:val="center"/>
              <w:rPr>
                <w:b/>
                <w:spacing w:val="-20"/>
                <w:sz w:val="24"/>
                <w:szCs w:val="24"/>
              </w:rPr>
            </w:pPr>
            <w:r w:rsidRPr="005818C5">
              <w:rPr>
                <w:rFonts w:hint="eastAsia"/>
                <w:b/>
                <w:spacing w:val="-20"/>
                <w:sz w:val="24"/>
                <w:szCs w:val="24"/>
              </w:rPr>
              <w:t>公警大隊</w:t>
            </w:r>
          </w:p>
        </w:tc>
        <w:tc>
          <w:tcPr>
            <w:tcW w:w="1560" w:type="dxa"/>
            <w:shd w:val="clear" w:color="auto" w:fill="auto"/>
            <w:noWrap/>
            <w:vAlign w:val="center"/>
            <w:hideMark/>
          </w:tcPr>
          <w:p w:rsidR="00BD54FB" w:rsidRPr="005818C5" w:rsidRDefault="00BD54FB" w:rsidP="005818C5">
            <w:pPr>
              <w:spacing w:before="40" w:after="40" w:line="240" w:lineRule="exact"/>
              <w:jc w:val="center"/>
              <w:rPr>
                <w:b/>
                <w:spacing w:val="-20"/>
                <w:sz w:val="24"/>
                <w:szCs w:val="24"/>
              </w:rPr>
            </w:pPr>
            <w:r w:rsidRPr="005818C5">
              <w:rPr>
                <w:rFonts w:hint="eastAsia"/>
                <w:b/>
                <w:spacing w:val="-20"/>
                <w:sz w:val="24"/>
                <w:szCs w:val="24"/>
              </w:rPr>
              <w:t>民間地磅行號</w:t>
            </w:r>
          </w:p>
        </w:tc>
        <w:tc>
          <w:tcPr>
            <w:tcW w:w="567" w:type="dxa"/>
            <w:shd w:val="clear" w:color="auto" w:fill="auto"/>
            <w:noWrap/>
            <w:vAlign w:val="center"/>
            <w:hideMark/>
          </w:tcPr>
          <w:p w:rsidR="00BD54FB" w:rsidRPr="005818C5" w:rsidRDefault="00BD54FB" w:rsidP="005818C5">
            <w:pPr>
              <w:spacing w:before="40" w:after="40" w:line="240" w:lineRule="exact"/>
              <w:jc w:val="center"/>
              <w:rPr>
                <w:b/>
                <w:spacing w:val="-20"/>
                <w:sz w:val="24"/>
                <w:szCs w:val="24"/>
              </w:rPr>
            </w:pPr>
            <w:r w:rsidRPr="005818C5">
              <w:rPr>
                <w:rFonts w:hint="eastAsia"/>
                <w:b/>
                <w:spacing w:val="-20"/>
                <w:sz w:val="24"/>
                <w:szCs w:val="24"/>
              </w:rPr>
              <w:t>國道編號</w:t>
            </w:r>
          </w:p>
        </w:tc>
        <w:tc>
          <w:tcPr>
            <w:tcW w:w="850" w:type="dxa"/>
            <w:shd w:val="clear" w:color="auto" w:fill="auto"/>
            <w:noWrap/>
            <w:vAlign w:val="center"/>
            <w:hideMark/>
          </w:tcPr>
          <w:p w:rsidR="00BD54FB" w:rsidRPr="005818C5" w:rsidRDefault="00BD54FB" w:rsidP="005818C5">
            <w:pPr>
              <w:spacing w:before="40" w:after="40" w:line="240" w:lineRule="exact"/>
              <w:jc w:val="center"/>
              <w:rPr>
                <w:b/>
                <w:spacing w:val="-20"/>
                <w:sz w:val="24"/>
                <w:szCs w:val="24"/>
              </w:rPr>
            </w:pPr>
            <w:r w:rsidRPr="005818C5">
              <w:rPr>
                <w:rFonts w:hint="eastAsia"/>
                <w:b/>
                <w:spacing w:val="-20"/>
                <w:sz w:val="24"/>
                <w:szCs w:val="24"/>
              </w:rPr>
              <w:t>鄰近</w:t>
            </w:r>
            <w:r w:rsidRPr="005818C5">
              <w:rPr>
                <w:b/>
                <w:spacing w:val="-20"/>
                <w:sz w:val="24"/>
                <w:szCs w:val="24"/>
              </w:rPr>
              <w:br/>
            </w:r>
            <w:r w:rsidRPr="005818C5">
              <w:rPr>
                <w:rFonts w:hint="eastAsia"/>
                <w:b/>
                <w:spacing w:val="-20"/>
                <w:sz w:val="24"/>
                <w:szCs w:val="24"/>
              </w:rPr>
              <w:t>交流道名稱</w:t>
            </w:r>
          </w:p>
        </w:tc>
        <w:tc>
          <w:tcPr>
            <w:tcW w:w="992" w:type="dxa"/>
            <w:shd w:val="clear" w:color="auto" w:fill="auto"/>
            <w:noWrap/>
            <w:vAlign w:val="center"/>
            <w:hideMark/>
          </w:tcPr>
          <w:p w:rsidR="00BD54FB" w:rsidRPr="005818C5" w:rsidRDefault="00BD54FB" w:rsidP="005818C5">
            <w:pPr>
              <w:spacing w:before="40" w:after="40" w:line="240" w:lineRule="exact"/>
              <w:jc w:val="center"/>
              <w:rPr>
                <w:b/>
                <w:spacing w:val="-20"/>
                <w:sz w:val="24"/>
                <w:szCs w:val="24"/>
              </w:rPr>
            </w:pPr>
            <w:r w:rsidRPr="005818C5">
              <w:rPr>
                <w:rFonts w:hint="eastAsia"/>
                <w:b/>
                <w:spacing w:val="-20"/>
                <w:sz w:val="24"/>
                <w:szCs w:val="24"/>
              </w:rPr>
              <w:t>鄰近交流道所在</w:t>
            </w:r>
            <w:r w:rsidRPr="005818C5">
              <w:rPr>
                <w:b/>
                <w:spacing w:val="-20"/>
                <w:sz w:val="24"/>
                <w:szCs w:val="24"/>
              </w:rPr>
              <w:br/>
            </w:r>
            <w:r w:rsidRPr="005818C5">
              <w:rPr>
                <w:rFonts w:hint="eastAsia"/>
                <w:b/>
                <w:spacing w:val="-20"/>
                <w:sz w:val="24"/>
                <w:szCs w:val="24"/>
              </w:rPr>
              <w:t>公里數</w:t>
            </w:r>
          </w:p>
        </w:tc>
        <w:tc>
          <w:tcPr>
            <w:tcW w:w="851" w:type="dxa"/>
            <w:shd w:val="clear" w:color="auto" w:fill="auto"/>
            <w:noWrap/>
            <w:vAlign w:val="center"/>
            <w:hideMark/>
          </w:tcPr>
          <w:p w:rsidR="00BD54FB" w:rsidRPr="005818C5" w:rsidRDefault="00BD54FB" w:rsidP="005818C5">
            <w:pPr>
              <w:spacing w:before="40" w:after="40" w:line="240" w:lineRule="exact"/>
              <w:jc w:val="center"/>
              <w:rPr>
                <w:b/>
                <w:spacing w:val="-20"/>
                <w:sz w:val="24"/>
                <w:szCs w:val="24"/>
              </w:rPr>
            </w:pPr>
            <w:r w:rsidRPr="005818C5">
              <w:rPr>
                <w:rFonts w:hint="eastAsia"/>
                <w:b/>
                <w:spacing w:val="-20"/>
                <w:sz w:val="24"/>
                <w:szCs w:val="24"/>
              </w:rPr>
              <w:t>與交流道距離</w:t>
            </w:r>
          </w:p>
        </w:tc>
        <w:tc>
          <w:tcPr>
            <w:tcW w:w="3544" w:type="dxa"/>
            <w:shd w:val="clear" w:color="auto" w:fill="auto"/>
            <w:noWrap/>
            <w:vAlign w:val="center"/>
            <w:hideMark/>
          </w:tcPr>
          <w:p w:rsidR="00BD54FB" w:rsidRPr="005818C5" w:rsidRDefault="00BD54FB" w:rsidP="005818C5">
            <w:pPr>
              <w:spacing w:before="40" w:after="40" w:line="240" w:lineRule="exact"/>
              <w:jc w:val="center"/>
              <w:rPr>
                <w:b/>
                <w:spacing w:val="-20"/>
                <w:sz w:val="24"/>
                <w:szCs w:val="24"/>
              </w:rPr>
            </w:pPr>
            <w:r w:rsidRPr="005818C5">
              <w:rPr>
                <w:rFonts w:hint="eastAsia"/>
                <w:b/>
                <w:spacing w:val="-20"/>
                <w:sz w:val="24"/>
                <w:szCs w:val="24"/>
              </w:rPr>
              <w:t>收費情形</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第一大隊</w:t>
            </w:r>
          </w:p>
        </w:tc>
        <w:tc>
          <w:tcPr>
            <w:tcW w:w="1560" w:type="dxa"/>
            <w:shd w:val="clear" w:color="auto" w:fill="auto"/>
            <w:noWrap/>
            <w:vAlign w:val="center"/>
          </w:tcPr>
          <w:p w:rsidR="00AA5EED" w:rsidRPr="00EE578B" w:rsidRDefault="00AA5EED" w:rsidP="005818C5">
            <w:pPr>
              <w:pStyle w:val="121"/>
            </w:pPr>
            <w:r w:rsidRPr="00EE578B">
              <w:rPr>
                <w:rFonts w:hint="eastAsia"/>
              </w:rPr>
              <w:t>松○地磅</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圓山</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22.8K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1.3K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超載則列印磅單收費，</w:t>
            </w:r>
            <w:r w:rsidRPr="00BD54FB">
              <w:rPr>
                <w:sz w:val="24"/>
                <w:szCs w:val="24"/>
              </w:rPr>
              <w:br/>
            </w:r>
            <w:r w:rsidRPr="00BD54FB">
              <w:rPr>
                <w:rFonts w:hint="eastAsia"/>
                <w:sz w:val="24"/>
                <w:szCs w:val="24"/>
              </w:rPr>
              <w:t>無超載則不收費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第一大隊</w:t>
            </w:r>
          </w:p>
        </w:tc>
        <w:tc>
          <w:tcPr>
            <w:tcW w:w="1560" w:type="dxa"/>
            <w:shd w:val="clear" w:color="auto" w:fill="auto"/>
            <w:noWrap/>
            <w:vAlign w:val="center"/>
          </w:tcPr>
          <w:p w:rsidR="00AA5EED" w:rsidRPr="00EE578B" w:rsidRDefault="00AA5EED" w:rsidP="005818C5">
            <w:pPr>
              <w:pStyle w:val="121"/>
            </w:pPr>
            <w:r w:rsidRPr="00EE578B">
              <w:rPr>
                <w:rFonts w:hint="eastAsia"/>
              </w:rPr>
              <w:t>五○精準</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五股</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33.5k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2.6K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超載則列印磅單收費，</w:t>
            </w:r>
            <w:r w:rsidRPr="00BD54FB">
              <w:rPr>
                <w:sz w:val="24"/>
                <w:szCs w:val="24"/>
              </w:rPr>
              <w:br/>
            </w:r>
            <w:r w:rsidRPr="00BD54FB">
              <w:rPr>
                <w:rFonts w:hint="eastAsia"/>
                <w:sz w:val="24"/>
                <w:szCs w:val="24"/>
              </w:rPr>
              <w:t>無超載則不收費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第一大隊</w:t>
            </w:r>
          </w:p>
        </w:tc>
        <w:tc>
          <w:tcPr>
            <w:tcW w:w="1560" w:type="dxa"/>
            <w:shd w:val="clear" w:color="auto" w:fill="auto"/>
            <w:noWrap/>
            <w:vAlign w:val="center"/>
          </w:tcPr>
          <w:p w:rsidR="00AA5EED" w:rsidRPr="00EE578B" w:rsidRDefault="00AA5EED" w:rsidP="005818C5">
            <w:pPr>
              <w:pStyle w:val="121"/>
            </w:pPr>
            <w:r w:rsidRPr="00EE578B">
              <w:rPr>
                <w:rFonts w:hint="eastAsia"/>
              </w:rPr>
              <w:t>林○精準</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林口B</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42k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2.5K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超載則列印磅單收費，</w:t>
            </w:r>
            <w:r w:rsidRPr="00BD54FB">
              <w:rPr>
                <w:sz w:val="24"/>
                <w:szCs w:val="24"/>
              </w:rPr>
              <w:br/>
            </w:r>
            <w:r w:rsidRPr="00BD54FB">
              <w:rPr>
                <w:rFonts w:hint="eastAsia"/>
                <w:sz w:val="24"/>
                <w:szCs w:val="24"/>
              </w:rPr>
              <w:t>無超載則不收費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第一大隊</w:t>
            </w:r>
          </w:p>
        </w:tc>
        <w:tc>
          <w:tcPr>
            <w:tcW w:w="1560" w:type="dxa"/>
            <w:shd w:val="clear" w:color="auto" w:fill="auto"/>
            <w:noWrap/>
            <w:vAlign w:val="center"/>
          </w:tcPr>
          <w:p w:rsidR="00AA5EED" w:rsidRPr="00EE578B" w:rsidRDefault="00AA5EED" w:rsidP="005818C5">
            <w:pPr>
              <w:pStyle w:val="121"/>
            </w:pPr>
            <w:r w:rsidRPr="00EE578B">
              <w:rPr>
                <w:rFonts w:hint="eastAsia"/>
              </w:rPr>
              <w:t>林○廣福</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林口A</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41.1k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1.2K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皆列印磅單並收費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第一大隊</w:t>
            </w:r>
          </w:p>
        </w:tc>
        <w:tc>
          <w:tcPr>
            <w:tcW w:w="1560" w:type="dxa"/>
            <w:shd w:val="clear" w:color="auto" w:fill="auto"/>
            <w:noWrap/>
            <w:vAlign w:val="center"/>
          </w:tcPr>
          <w:p w:rsidR="00AA5EED" w:rsidRPr="00EE578B" w:rsidRDefault="00AA5EED" w:rsidP="005818C5">
            <w:pPr>
              <w:pStyle w:val="121"/>
            </w:pPr>
            <w:r w:rsidRPr="00EE578B">
              <w:rPr>
                <w:rFonts w:hint="eastAsia"/>
              </w:rPr>
              <w:t>南○中興</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南崁</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49.6k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1.8K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皆列印磅單並收費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第一大隊</w:t>
            </w:r>
          </w:p>
        </w:tc>
        <w:tc>
          <w:tcPr>
            <w:tcW w:w="1560" w:type="dxa"/>
            <w:shd w:val="clear" w:color="auto" w:fill="auto"/>
            <w:noWrap/>
            <w:vAlign w:val="center"/>
          </w:tcPr>
          <w:p w:rsidR="00AA5EED" w:rsidRPr="00EE578B" w:rsidRDefault="00AA5EED" w:rsidP="005818C5">
            <w:pPr>
              <w:pStyle w:val="121"/>
            </w:pPr>
            <w:r w:rsidRPr="00EE578B">
              <w:rPr>
                <w:rFonts w:hint="eastAsia"/>
              </w:rPr>
              <w:t>南○長榮</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南崁</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49.6k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1.4K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全程錄影無列印磅單，</w:t>
            </w:r>
            <w:r w:rsidRPr="00BD54FB">
              <w:rPr>
                <w:sz w:val="24"/>
                <w:szCs w:val="24"/>
              </w:rPr>
              <w:br/>
            </w:r>
            <w:r w:rsidRPr="00BD54FB">
              <w:rPr>
                <w:rFonts w:hint="eastAsia"/>
                <w:sz w:val="24"/>
                <w:szCs w:val="24"/>
              </w:rPr>
              <w:t>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第一大隊</w:t>
            </w:r>
          </w:p>
        </w:tc>
        <w:tc>
          <w:tcPr>
            <w:tcW w:w="1560" w:type="dxa"/>
            <w:shd w:val="clear" w:color="auto" w:fill="auto"/>
            <w:noWrap/>
            <w:vAlign w:val="center"/>
          </w:tcPr>
          <w:p w:rsidR="00AA5EED" w:rsidRPr="00EE578B" w:rsidRDefault="00AA5EED" w:rsidP="005818C5">
            <w:pPr>
              <w:pStyle w:val="121"/>
            </w:pPr>
            <w:r w:rsidRPr="00EE578B">
              <w:rPr>
                <w:rFonts w:hint="eastAsia"/>
              </w:rPr>
              <w:t>大○地磅</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大園</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1.1k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w:t>
            </w:r>
            <w:bookmarkStart w:id="142" w:name="_GoBack"/>
            <w:bookmarkEnd w:id="142"/>
            <w:r w:rsidRPr="00BD54FB">
              <w:rPr>
                <w:rFonts w:hint="eastAsia"/>
                <w:sz w:val="24"/>
                <w:szCs w:val="24"/>
              </w:rPr>
              <w:t>.1K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列印磅單，不收費。</w:t>
            </w:r>
            <w:r w:rsidRPr="00BD54FB">
              <w:rPr>
                <w:sz w:val="24"/>
                <w:szCs w:val="24"/>
              </w:rPr>
              <w:br/>
            </w:r>
            <w:r w:rsidRPr="00BD54FB">
              <w:rPr>
                <w:rFonts w:hint="eastAsia"/>
                <w:sz w:val="24"/>
                <w:szCs w:val="24"/>
              </w:rPr>
              <w:t>但磅單標註”代磅”</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第一大隊</w:t>
            </w:r>
          </w:p>
        </w:tc>
        <w:tc>
          <w:tcPr>
            <w:tcW w:w="1560" w:type="dxa"/>
            <w:shd w:val="clear" w:color="auto" w:fill="auto"/>
            <w:noWrap/>
            <w:vAlign w:val="center"/>
          </w:tcPr>
          <w:p w:rsidR="00AA5EED" w:rsidRPr="00EE578B" w:rsidRDefault="00AA5EED" w:rsidP="005818C5">
            <w:pPr>
              <w:pStyle w:val="121"/>
            </w:pPr>
            <w:r w:rsidRPr="00EE578B">
              <w:rPr>
                <w:rFonts w:hint="eastAsia"/>
              </w:rPr>
              <w:t>大○地磅</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大竹</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5.3k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1.5K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列印磅單，不收費。</w:t>
            </w:r>
            <w:r w:rsidRPr="00BD54FB">
              <w:rPr>
                <w:sz w:val="24"/>
                <w:szCs w:val="24"/>
              </w:rPr>
              <w:br/>
            </w:r>
            <w:r w:rsidRPr="00BD54FB">
              <w:rPr>
                <w:rFonts w:hint="eastAsia"/>
                <w:sz w:val="24"/>
                <w:szCs w:val="24"/>
              </w:rPr>
              <w:t>但磅單標註”代磅”</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第一大隊</w:t>
            </w:r>
          </w:p>
        </w:tc>
        <w:tc>
          <w:tcPr>
            <w:tcW w:w="1560" w:type="dxa"/>
            <w:shd w:val="clear" w:color="auto" w:fill="auto"/>
            <w:noWrap/>
            <w:vAlign w:val="center"/>
          </w:tcPr>
          <w:p w:rsidR="00AA5EED" w:rsidRPr="00EE578B" w:rsidRDefault="00AA5EED" w:rsidP="005818C5">
            <w:pPr>
              <w:pStyle w:val="121"/>
            </w:pPr>
            <w:r w:rsidRPr="00EE578B">
              <w:rPr>
                <w:rFonts w:hint="eastAsia"/>
              </w:rPr>
              <w:t>中○地磅</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內壢</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57.8k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2.3K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列印磅單，則收費；全程錄影且無列印磅單，不收費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第二大隊</w:t>
            </w:r>
          </w:p>
        </w:tc>
        <w:tc>
          <w:tcPr>
            <w:tcW w:w="1560" w:type="dxa"/>
            <w:shd w:val="clear" w:color="auto" w:fill="auto"/>
            <w:noWrap/>
            <w:vAlign w:val="center"/>
          </w:tcPr>
          <w:p w:rsidR="00AA5EED" w:rsidRPr="00EE578B" w:rsidRDefault="00AA5EED" w:rsidP="005818C5">
            <w:pPr>
              <w:pStyle w:val="121"/>
            </w:pPr>
            <w:r w:rsidRPr="00EE578B">
              <w:rPr>
                <w:rFonts w:hint="eastAsia"/>
              </w:rPr>
              <w:t>貝○股份有限公司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香山</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109K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地磅為私人用非營業項目，自願與大隊合作，不收費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第二大隊</w:t>
            </w:r>
          </w:p>
        </w:tc>
        <w:tc>
          <w:tcPr>
            <w:tcW w:w="1560" w:type="dxa"/>
            <w:shd w:val="clear" w:color="auto" w:fill="auto"/>
            <w:noWrap/>
            <w:vAlign w:val="center"/>
          </w:tcPr>
          <w:p w:rsidR="00AA5EED" w:rsidRPr="00EE578B" w:rsidRDefault="00AA5EED" w:rsidP="005818C5">
            <w:pPr>
              <w:pStyle w:val="121"/>
            </w:pPr>
            <w:r w:rsidRPr="00EE578B">
              <w:rPr>
                <w:rFonts w:hint="eastAsia"/>
              </w:rPr>
              <w:t>地○○○工業股份有限公司幼獅廠</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楊梅</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69K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2.6K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自願與大隊合作，未收費，如欲簽約亦可配合</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第二大隊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大○○國際貨櫃股份有限公司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湖口</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84K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1.5K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自願與大隊合作，</w:t>
            </w:r>
            <w:r w:rsidRPr="00BD54FB">
              <w:rPr>
                <w:sz w:val="24"/>
                <w:szCs w:val="24"/>
              </w:rPr>
              <w:br/>
            </w:r>
            <w:r w:rsidRPr="00BD54FB">
              <w:rPr>
                <w:rFonts w:hint="eastAsia"/>
                <w:sz w:val="24"/>
                <w:szCs w:val="24"/>
              </w:rPr>
              <w:t>未收費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第二大隊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長○○○股份有限公司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湖口</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84K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2.4K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新竹縣政府前有行文請該公司配合，</w:t>
            </w:r>
            <w:r w:rsidRPr="00BD54FB">
              <w:rPr>
                <w:sz w:val="24"/>
                <w:szCs w:val="24"/>
              </w:rPr>
              <w:br/>
            </w:r>
            <w:r w:rsidRPr="00BD54FB">
              <w:rPr>
                <w:rFonts w:hint="eastAsia"/>
                <w:sz w:val="24"/>
                <w:szCs w:val="24"/>
              </w:rPr>
              <w:t>自願與大隊合作，不收費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第二大隊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大○○○工業股份有限公司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竹北</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91K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1.7K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自願與大隊合作，未收費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第二大隊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竹○汙水處理廠</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新竹95A</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95.3K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2.2K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公務機關，自願與大隊合作，不收費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第二大隊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長○○保工程有限公司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新竹</w:t>
            </w:r>
            <w:r w:rsidRPr="00BD54FB">
              <w:rPr>
                <w:sz w:val="24"/>
                <w:szCs w:val="24"/>
              </w:rPr>
              <w:br/>
            </w:r>
            <w:r w:rsidRPr="00BD54FB">
              <w:rPr>
                <w:rFonts w:hint="eastAsia"/>
                <w:sz w:val="24"/>
                <w:szCs w:val="24"/>
              </w:rPr>
              <w:t>系統</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99K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2.2K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自願與大隊合作，未收費，如欲簽約亦可配合</w:t>
            </w:r>
          </w:p>
        </w:tc>
      </w:tr>
      <w:tr w:rsidR="005818C5" w:rsidRPr="00BD54FB" w:rsidTr="005818C5">
        <w:trPr>
          <w:trHeight w:val="648"/>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第三大隊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正○股份有限公司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4</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后豐</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14</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非營業項目，不收費</w:t>
            </w:r>
          </w:p>
        </w:tc>
      </w:tr>
      <w:tr w:rsidR="005818C5" w:rsidRPr="00BD54FB" w:rsidTr="005818C5">
        <w:trPr>
          <w:trHeight w:val="648"/>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第三大隊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宏○鐵工廠</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豐原</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168</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有無超載皆會收費</w:t>
            </w:r>
          </w:p>
        </w:tc>
      </w:tr>
      <w:tr w:rsidR="005818C5" w:rsidRPr="00BD54FB" w:rsidTr="005818C5">
        <w:trPr>
          <w:trHeight w:val="648"/>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第三大隊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寶○企業商行</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南屯</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181</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非營業項目，不收費</w:t>
            </w:r>
          </w:p>
        </w:tc>
      </w:tr>
      <w:tr w:rsidR="005818C5" w:rsidRPr="00BD54FB" w:rsidTr="005818C5">
        <w:trPr>
          <w:trHeight w:val="648"/>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第三大隊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福○○○股份有限公司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王田</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189.4</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公務機關，不收費</w:t>
            </w:r>
          </w:p>
        </w:tc>
      </w:tr>
      <w:tr w:rsidR="005818C5" w:rsidRPr="00BD54FB" w:rsidTr="005818C5">
        <w:trPr>
          <w:trHeight w:val="648"/>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lastRenderedPageBreak/>
              <w:t>第三大隊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允○○業公司地磅</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76線</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埔心</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20</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3.9</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公務機關，不收費</w:t>
            </w:r>
          </w:p>
        </w:tc>
      </w:tr>
      <w:tr w:rsidR="005818C5" w:rsidRPr="00BD54FB" w:rsidTr="005818C5">
        <w:trPr>
          <w:trHeight w:val="648"/>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第三大隊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建○○○公司地磅</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76線</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員林</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22</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sz w:val="24"/>
                <w:szCs w:val="24"/>
              </w:rPr>
              <w:t>0.</w:t>
            </w:r>
            <w:r w:rsidRPr="00BD54FB">
              <w:rPr>
                <w:rFonts w:hint="eastAsia"/>
                <w:sz w:val="24"/>
                <w:szCs w:val="24"/>
              </w:rPr>
              <w:t>8</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公務機關，不收費</w:t>
            </w:r>
          </w:p>
        </w:tc>
      </w:tr>
      <w:tr w:rsidR="005818C5" w:rsidRPr="00BD54FB" w:rsidTr="005818C5">
        <w:trPr>
          <w:trHeight w:val="648"/>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第三大隊</w:t>
            </w:r>
          </w:p>
        </w:tc>
        <w:tc>
          <w:tcPr>
            <w:tcW w:w="1560" w:type="dxa"/>
            <w:shd w:val="clear" w:color="auto" w:fill="auto"/>
            <w:vAlign w:val="center"/>
            <w:hideMark/>
          </w:tcPr>
          <w:p w:rsidR="00AA5EED" w:rsidRPr="00EE578B" w:rsidRDefault="00AA5EED" w:rsidP="005818C5">
            <w:pPr>
              <w:pStyle w:val="121"/>
            </w:pPr>
            <w:r w:rsidRPr="00EE578B">
              <w:rPr>
                <w:rFonts w:hint="eastAsia"/>
              </w:rPr>
              <w:t>大○○保員林回收站</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76線</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員林</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22</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sz w:val="24"/>
                <w:szCs w:val="24"/>
              </w:rPr>
              <w:t>0.</w:t>
            </w:r>
            <w:r w:rsidRPr="00BD54FB">
              <w:rPr>
                <w:rFonts w:hint="eastAsia"/>
                <w:sz w:val="24"/>
                <w:szCs w:val="24"/>
              </w:rPr>
              <w:t>8</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公務機關，不收費</w:t>
            </w:r>
          </w:p>
        </w:tc>
      </w:tr>
      <w:tr w:rsidR="005818C5" w:rsidRPr="00BD54FB" w:rsidTr="005818C5">
        <w:trPr>
          <w:trHeight w:val="648"/>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第三大隊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市○鋼鐵</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76線</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中興</w:t>
            </w:r>
            <w:r w:rsidRPr="00BD54FB">
              <w:rPr>
                <w:sz w:val="24"/>
                <w:szCs w:val="24"/>
              </w:rPr>
              <w:br/>
            </w:r>
            <w:r w:rsidRPr="00BD54FB">
              <w:rPr>
                <w:rFonts w:hint="eastAsia"/>
                <w:sz w:val="24"/>
                <w:szCs w:val="24"/>
              </w:rPr>
              <w:t>系統</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33</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3.5</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公務機關，不收費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第四大隊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斗○地磅處</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斗南</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240</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超載則列印磅單收費，</w:t>
            </w:r>
            <w:r w:rsidRPr="00BD54FB">
              <w:rPr>
                <w:sz w:val="24"/>
                <w:szCs w:val="24"/>
              </w:rPr>
              <w:br/>
            </w:r>
            <w:r w:rsidRPr="00BD54FB">
              <w:rPr>
                <w:rFonts w:hint="eastAsia"/>
                <w:sz w:val="24"/>
                <w:szCs w:val="24"/>
              </w:rPr>
              <w:t>無超載則不收費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第四大隊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豐○○○股份有限公司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麻豆</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305</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超載則列印磅單收費，</w:t>
            </w:r>
            <w:r w:rsidRPr="00BD54FB">
              <w:rPr>
                <w:sz w:val="24"/>
                <w:szCs w:val="24"/>
              </w:rPr>
              <w:br/>
            </w:r>
            <w:r w:rsidRPr="00BD54FB">
              <w:rPr>
                <w:rFonts w:hint="eastAsia"/>
                <w:sz w:val="24"/>
                <w:szCs w:val="24"/>
              </w:rPr>
              <w:t>無超載則不收費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第四大隊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安○地磅</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安定</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311</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1.5</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超載則列印磅單收費，</w:t>
            </w:r>
            <w:r w:rsidRPr="00BD54FB">
              <w:rPr>
                <w:sz w:val="24"/>
                <w:szCs w:val="24"/>
              </w:rPr>
              <w:br/>
            </w:r>
            <w:r w:rsidRPr="00BD54FB">
              <w:rPr>
                <w:rFonts w:hint="eastAsia"/>
                <w:sz w:val="24"/>
                <w:szCs w:val="24"/>
              </w:rPr>
              <w:t>無超載則不收費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第四大隊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環○地磅</w:t>
            </w:r>
            <w:r w:rsidRPr="00EE578B">
              <w:br/>
            </w:r>
            <w:r w:rsidRPr="00EE578B">
              <w:rPr>
                <w:rFonts w:hint="eastAsia"/>
              </w:rPr>
              <w:t>(環○○○股份有限公司)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路竹</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338</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超載則列印磅單收費，</w:t>
            </w:r>
            <w:r w:rsidRPr="00BD54FB">
              <w:rPr>
                <w:sz w:val="24"/>
                <w:szCs w:val="24"/>
              </w:rPr>
              <w:br/>
            </w:r>
            <w:r w:rsidRPr="00BD54FB">
              <w:rPr>
                <w:rFonts w:hint="eastAsia"/>
                <w:sz w:val="24"/>
                <w:szCs w:val="24"/>
              </w:rPr>
              <w:t>無超載則不收費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第四大隊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海○地磅</w:t>
            </w:r>
            <w:r w:rsidRPr="00EE578B">
              <w:br/>
            </w:r>
            <w:r w:rsidRPr="00EE578B">
              <w:rPr>
                <w:rFonts w:hint="eastAsia"/>
              </w:rPr>
              <w:t>(長○○○股份有限公司)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8</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海寮</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2.6</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自願與大隊合作，</w:t>
            </w:r>
            <w:r w:rsidRPr="00BD54FB">
              <w:rPr>
                <w:sz w:val="24"/>
                <w:szCs w:val="24"/>
              </w:rPr>
              <w:br/>
            </w:r>
            <w:r w:rsidRPr="00BD54FB">
              <w:rPr>
                <w:rFonts w:hint="eastAsia"/>
                <w:sz w:val="24"/>
                <w:szCs w:val="24"/>
              </w:rPr>
              <w:t>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第四大隊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新○地磅</w:t>
            </w:r>
            <w:r w:rsidRPr="00EE578B">
              <w:br/>
            </w:r>
            <w:r w:rsidRPr="00EE578B">
              <w:rPr>
                <w:rFonts w:hint="eastAsia"/>
              </w:rPr>
              <w:t>(統○工業股份有限公司)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8</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新市</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9</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超載則列印磅單收費，</w:t>
            </w:r>
            <w:r w:rsidRPr="00BD54FB">
              <w:rPr>
                <w:sz w:val="24"/>
                <w:szCs w:val="24"/>
              </w:rPr>
              <w:br/>
            </w:r>
            <w:r w:rsidRPr="00BD54FB">
              <w:rPr>
                <w:rFonts w:hint="eastAsia"/>
                <w:sz w:val="24"/>
                <w:szCs w:val="24"/>
              </w:rPr>
              <w:t>無超載則不收費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第五大隊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中○地磅</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楠梓</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357K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超載則列印磅單由駕駛人付費，無超載則不收費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第五大隊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利○○○科技有限公司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路竹</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339K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超載則列印磅單由駕駛人付費，無超載則不收費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第五大隊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台○○業股份有限公司環保事業營運分處○○焚化廠</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崁頂</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421K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5K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公家地磅，不收費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第六大隊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貝○地磅</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香山</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108.9K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0.8K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自願與大隊合作，均不收費</w:t>
            </w:r>
          </w:p>
        </w:tc>
      </w:tr>
      <w:tr w:rsidR="005818C5" w:rsidRPr="00BD54FB" w:rsidTr="005818C5">
        <w:trPr>
          <w:trHeight w:val="648"/>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第七大隊</w:t>
            </w:r>
          </w:p>
        </w:tc>
        <w:tc>
          <w:tcPr>
            <w:tcW w:w="1560" w:type="dxa"/>
            <w:shd w:val="clear" w:color="auto" w:fill="auto"/>
            <w:vAlign w:val="center"/>
            <w:hideMark/>
          </w:tcPr>
          <w:p w:rsidR="00AA5EED" w:rsidRPr="00EE578B" w:rsidRDefault="00AA5EED" w:rsidP="005818C5">
            <w:pPr>
              <w:pStyle w:val="121"/>
            </w:pPr>
            <w:r w:rsidRPr="00EE578B">
              <w:rPr>
                <w:rFonts w:hint="eastAsia"/>
              </w:rPr>
              <w:t>舜○地磅</w:t>
            </w:r>
            <w:r w:rsidRPr="00EE578B">
              <w:rPr>
                <w:rFonts w:hint="eastAsia"/>
              </w:rPr>
              <w:br/>
              <w:t>(回玻環保有限公司)</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沙鹿</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176</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非營業項目，不收費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第七大隊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全○○○股份有限公司</w:t>
            </w:r>
            <w:r w:rsidRPr="00EE578B">
              <w:br/>
            </w:r>
            <w:r w:rsidRPr="00EE578B">
              <w:rPr>
                <w:rFonts w:hint="eastAsia"/>
              </w:rPr>
              <w:t>(加油站)</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和美</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191</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非營業項目，不收費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第七大隊</w:t>
            </w:r>
          </w:p>
        </w:tc>
        <w:tc>
          <w:tcPr>
            <w:tcW w:w="1560" w:type="dxa"/>
            <w:shd w:val="clear" w:color="auto" w:fill="auto"/>
            <w:noWrap/>
            <w:vAlign w:val="center"/>
            <w:hideMark/>
          </w:tcPr>
          <w:p w:rsidR="00AA5EED" w:rsidRPr="00EE578B" w:rsidRDefault="00AA5EED" w:rsidP="005818C5">
            <w:pPr>
              <w:pStyle w:val="121"/>
            </w:pPr>
            <w:r w:rsidRPr="00EE578B">
              <w:rPr>
                <w:rFonts w:hint="eastAsia"/>
              </w:rPr>
              <w:t>陞○金屬企業有限公司</w:t>
            </w:r>
            <w:r w:rsidRPr="00EE578B">
              <w:br/>
            </w:r>
            <w:r w:rsidRPr="00EE578B">
              <w:rPr>
                <w:rFonts w:hint="eastAsia"/>
              </w:rPr>
              <w:t>(金屬回收)</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烏日</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207</w:t>
            </w:r>
            <w:r w:rsidRPr="00BD54FB">
              <w:rPr>
                <w:sz w:val="24"/>
                <w:szCs w:val="24"/>
              </w:rPr>
              <w:t>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4.5</w:t>
            </w:r>
            <w:r w:rsidRPr="00BD54FB">
              <w:rPr>
                <w:sz w:val="24"/>
                <w:szCs w:val="24"/>
              </w:rPr>
              <w:t>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非營業項目，不收費</w:t>
            </w:r>
          </w:p>
        </w:tc>
      </w:tr>
      <w:tr w:rsidR="00AA5EED" w:rsidRPr="00BD54FB" w:rsidTr="00AA5EED">
        <w:trPr>
          <w:trHeight w:val="851"/>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第八大隊</w:t>
            </w:r>
          </w:p>
        </w:tc>
        <w:tc>
          <w:tcPr>
            <w:tcW w:w="8364" w:type="dxa"/>
            <w:gridSpan w:val="6"/>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轄線無合格民間地磅站</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第九大隊</w:t>
            </w:r>
          </w:p>
        </w:tc>
        <w:tc>
          <w:tcPr>
            <w:tcW w:w="1560" w:type="dxa"/>
            <w:shd w:val="clear" w:color="auto" w:fill="auto"/>
            <w:noWrap/>
            <w:vAlign w:val="center"/>
          </w:tcPr>
          <w:p w:rsidR="00AA5EED" w:rsidRPr="00EE578B" w:rsidRDefault="00AA5EED" w:rsidP="005818C5">
            <w:pPr>
              <w:pStyle w:val="121"/>
            </w:pPr>
            <w:r w:rsidRPr="00EE578B">
              <w:rPr>
                <w:rFonts w:hint="eastAsia"/>
              </w:rPr>
              <w:t>方○地磅</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安坑</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31K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0.1K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過磅即須收費。</w:t>
            </w:r>
          </w:p>
        </w:tc>
      </w:tr>
      <w:tr w:rsidR="005818C5" w:rsidRPr="00BD54FB" w:rsidTr="005818C5">
        <w:trPr>
          <w:trHeight w:val="324"/>
          <w:jc w:val="center"/>
        </w:trPr>
        <w:tc>
          <w:tcPr>
            <w:tcW w:w="1129"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lastRenderedPageBreak/>
              <w:t>第九大隊</w:t>
            </w:r>
          </w:p>
        </w:tc>
        <w:tc>
          <w:tcPr>
            <w:tcW w:w="1560" w:type="dxa"/>
            <w:shd w:val="clear" w:color="auto" w:fill="auto"/>
            <w:noWrap/>
            <w:vAlign w:val="center"/>
          </w:tcPr>
          <w:p w:rsidR="00AA5EED" w:rsidRPr="00EE578B" w:rsidRDefault="00AA5EED" w:rsidP="005818C5">
            <w:pPr>
              <w:pStyle w:val="121"/>
            </w:pPr>
            <w:r w:rsidRPr="00EE578B">
              <w:rPr>
                <w:rFonts w:hint="eastAsia"/>
              </w:rPr>
              <w:t>臺北市政府環境保護局○○垃圾焚化廠</w:t>
            </w:r>
          </w:p>
        </w:tc>
        <w:tc>
          <w:tcPr>
            <w:tcW w:w="567"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3甲</w:t>
            </w:r>
          </w:p>
        </w:tc>
        <w:tc>
          <w:tcPr>
            <w:tcW w:w="850"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萬芳</w:t>
            </w:r>
          </w:p>
        </w:tc>
        <w:tc>
          <w:tcPr>
            <w:tcW w:w="992"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3.4K</w:t>
            </w:r>
          </w:p>
        </w:tc>
        <w:tc>
          <w:tcPr>
            <w:tcW w:w="851"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1.5K</w:t>
            </w:r>
          </w:p>
        </w:tc>
        <w:tc>
          <w:tcPr>
            <w:tcW w:w="3544" w:type="dxa"/>
            <w:shd w:val="clear" w:color="auto" w:fill="auto"/>
            <w:noWrap/>
            <w:vAlign w:val="center"/>
            <w:hideMark/>
          </w:tcPr>
          <w:p w:rsidR="00AA5EED" w:rsidRPr="00BD54FB" w:rsidRDefault="00AA5EED" w:rsidP="005818C5">
            <w:pPr>
              <w:spacing w:before="40" w:after="40" w:line="240" w:lineRule="exact"/>
              <w:jc w:val="center"/>
              <w:rPr>
                <w:sz w:val="24"/>
                <w:szCs w:val="24"/>
              </w:rPr>
            </w:pPr>
            <w:r w:rsidRPr="00BD54FB">
              <w:rPr>
                <w:rFonts w:hint="eastAsia"/>
                <w:sz w:val="24"/>
                <w:szCs w:val="24"/>
              </w:rPr>
              <w:t>公務機關，不收費</w:t>
            </w:r>
          </w:p>
        </w:tc>
      </w:tr>
    </w:tbl>
    <w:p w:rsidR="006D41FA" w:rsidRPr="00EF6287" w:rsidRDefault="00EF6287" w:rsidP="00EF6287">
      <w:pPr>
        <w:pStyle w:val="afa"/>
      </w:pPr>
      <w:r>
        <w:rPr>
          <w:rFonts w:hint="eastAsia"/>
        </w:rPr>
        <w:t>資料來源：</w:t>
      </w:r>
      <w:r w:rsidRPr="00B66DDD">
        <w:rPr>
          <w:rFonts w:hint="eastAsia"/>
        </w:rPr>
        <w:t>國道公路警察局</w:t>
      </w:r>
    </w:p>
    <w:sectPr w:rsidR="006D41FA" w:rsidRPr="00EF6287" w:rsidSect="00B415C1">
      <w:footerReference w:type="default" r:id="rId9"/>
      <w:footnotePr>
        <w:numRestart w:val="eachSect"/>
      </w:footnotePr>
      <w:pgSz w:w="11907" w:h="16840" w:code="9"/>
      <w:pgMar w:top="1550"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AC1" w:rsidRDefault="00E55AC1">
      <w:pPr>
        <w:rPr>
          <w:rFonts w:cs="Times New Roman"/>
        </w:rPr>
      </w:pPr>
      <w:r>
        <w:rPr>
          <w:rFonts w:cs="Times New Roman"/>
        </w:rPr>
        <w:separator/>
      </w:r>
    </w:p>
  </w:endnote>
  <w:endnote w:type="continuationSeparator" w:id="0">
    <w:p w:rsidR="00E55AC1" w:rsidRDefault="00E55AC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4FB" w:rsidRDefault="00BD54FB">
    <w:pPr>
      <w:pStyle w:val="af7"/>
      <w:framePr w:wrap="around" w:vAnchor="text" w:hAnchor="margin" w:xAlign="center" w:y="1"/>
      <w:rPr>
        <w:rStyle w:val="ad"/>
        <w:rFonts w:cs="Times New Roman"/>
        <w:sz w:val="24"/>
        <w:szCs w:val="24"/>
      </w:rPr>
    </w:pPr>
    <w:r>
      <w:rPr>
        <w:rStyle w:val="ad"/>
        <w:sz w:val="24"/>
        <w:szCs w:val="24"/>
      </w:rPr>
      <w:fldChar w:fldCharType="begin"/>
    </w:r>
    <w:r>
      <w:rPr>
        <w:rStyle w:val="ad"/>
        <w:sz w:val="24"/>
        <w:szCs w:val="24"/>
      </w:rPr>
      <w:instrText xml:space="preserve">PAGE  </w:instrText>
    </w:r>
    <w:r>
      <w:rPr>
        <w:rStyle w:val="ad"/>
        <w:sz w:val="24"/>
        <w:szCs w:val="24"/>
      </w:rPr>
      <w:fldChar w:fldCharType="separate"/>
    </w:r>
    <w:r w:rsidR="00B254FF">
      <w:rPr>
        <w:rStyle w:val="ad"/>
        <w:noProof/>
        <w:sz w:val="24"/>
        <w:szCs w:val="24"/>
      </w:rPr>
      <w:t>17</w:t>
    </w:r>
    <w:r>
      <w:rPr>
        <w:rStyle w:val="ad"/>
        <w:sz w:val="24"/>
        <w:szCs w:val="24"/>
      </w:rPr>
      <w:fldChar w:fldCharType="end"/>
    </w:r>
  </w:p>
  <w:p w:rsidR="00BD54FB" w:rsidRDefault="00BD54FB" w:rsidP="00583BCC">
    <w:pPr>
      <w:framePr w:wrap="auto" w:hAnchor="text" w:y="-955"/>
      <w:ind w:left="640" w:right="1000" w:firstLine="448"/>
      <w:jc w:val="right"/>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AC1" w:rsidRDefault="00E55AC1">
      <w:pPr>
        <w:rPr>
          <w:rFonts w:cs="Times New Roman"/>
        </w:rPr>
      </w:pPr>
      <w:r>
        <w:rPr>
          <w:rFonts w:cs="Times New Roman"/>
        </w:rPr>
        <w:separator/>
      </w:r>
    </w:p>
  </w:footnote>
  <w:footnote w:type="continuationSeparator" w:id="0">
    <w:p w:rsidR="00E55AC1" w:rsidRDefault="00E55AC1">
      <w:pPr>
        <w:rPr>
          <w:rFonts w:cs="Times New Roman"/>
        </w:rPr>
      </w:pPr>
      <w:r>
        <w:rPr>
          <w:rFonts w:cs="Times New Roman"/>
        </w:rPr>
        <w:continuationSeparator/>
      </w:r>
    </w:p>
  </w:footnote>
  <w:footnote w:id="1">
    <w:p w:rsidR="00BD54FB" w:rsidRDefault="00BD54FB" w:rsidP="00DC0BD8">
      <w:pPr>
        <w:pStyle w:val="aff1"/>
        <w:jc w:val="both"/>
      </w:pPr>
      <w:r>
        <w:rPr>
          <w:rStyle w:val="aff3"/>
        </w:rPr>
        <w:footnoteRef/>
      </w:r>
      <w:r>
        <w:t xml:space="preserve"> </w:t>
      </w:r>
      <w:r w:rsidRPr="00DC0BD8">
        <w:rPr>
          <w:rFonts w:hint="eastAsia"/>
        </w:rPr>
        <w:t>其中北分局七堵工務段移送之27筆，缺乏相關車輛之核定重量、過磅總重數據，復因公路總局提供之108及109年度舉發違反道路交通管理事件資料未臻完整及正確，爰僅能就其餘100筆過磅結果超載公噸數，依道路交通管理處罰條例第29條之2第3項所訂分級加重處罰規定計算</w:t>
      </w:r>
      <w:r>
        <w:rPr>
          <w:rFonts w:hint="eastAsia"/>
        </w:rPr>
        <w:t>。</w:t>
      </w:r>
    </w:p>
  </w:footnote>
  <w:footnote w:id="2">
    <w:p w:rsidR="00BD54FB" w:rsidRDefault="00BD54FB">
      <w:pPr>
        <w:pStyle w:val="aff1"/>
      </w:pPr>
      <w:r>
        <w:rPr>
          <w:rStyle w:val="aff3"/>
        </w:rPr>
        <w:footnoteRef/>
      </w:r>
      <w:r>
        <w:t xml:space="preserve"> </w:t>
      </w:r>
      <w:r>
        <w:rPr>
          <w:rFonts w:hint="eastAsia"/>
        </w:rPr>
        <w:t>高公局110年2月8日管字第110</w:t>
      </w:r>
      <w:r>
        <w:t>0002199</w:t>
      </w:r>
      <w:r>
        <w:rPr>
          <w:rFonts w:hint="eastAsia"/>
        </w:rPr>
        <w:t>號函。</w:t>
      </w:r>
    </w:p>
  </w:footnote>
  <w:footnote w:id="3">
    <w:p w:rsidR="00BD54FB" w:rsidRDefault="00BD54FB" w:rsidP="003A438D">
      <w:pPr>
        <w:pStyle w:val="aff1"/>
        <w:rPr>
          <w:rFonts w:cs="Times New Roman"/>
        </w:rPr>
      </w:pPr>
      <w:r>
        <w:rPr>
          <w:rStyle w:val="aff3"/>
          <w:rFonts w:cs="Times New Roman"/>
        </w:rPr>
        <w:footnoteRef/>
      </w:r>
      <w:r>
        <w:rPr>
          <w:rFonts w:hint="eastAsia"/>
        </w:rPr>
        <w:t>「地磅管理作業程序」於</w:t>
      </w:r>
      <w:r>
        <w:t>97</w:t>
      </w:r>
      <w:r>
        <w:rPr>
          <w:rFonts w:hint="eastAsia"/>
        </w:rPr>
        <w:t>年</w:t>
      </w:r>
      <w:r>
        <w:t>3</w:t>
      </w:r>
      <w:r>
        <w:rPr>
          <w:rFonts w:hint="eastAsia"/>
        </w:rPr>
        <w:t>月</w:t>
      </w:r>
      <w:r>
        <w:t>12</w:t>
      </w:r>
      <w:r>
        <w:rPr>
          <w:rFonts w:hint="eastAsia"/>
        </w:rPr>
        <w:t>日訂定，</w:t>
      </w:r>
      <w:r>
        <w:t>98</w:t>
      </w:r>
      <w:r>
        <w:rPr>
          <w:rFonts w:hint="eastAsia"/>
        </w:rPr>
        <w:t>年</w:t>
      </w:r>
      <w:r>
        <w:t>6</w:t>
      </w:r>
      <w:r>
        <w:rPr>
          <w:rFonts w:hint="eastAsia"/>
        </w:rPr>
        <w:t>月</w:t>
      </w:r>
      <w:r>
        <w:t>5</w:t>
      </w:r>
      <w:r>
        <w:rPr>
          <w:rFonts w:hint="eastAsia"/>
        </w:rPr>
        <w:t>日第</w:t>
      </w:r>
      <w:r>
        <w:t>1</w:t>
      </w:r>
      <w:r>
        <w:rPr>
          <w:rFonts w:hint="eastAsia"/>
        </w:rPr>
        <w:t>次修正，</w:t>
      </w:r>
      <w:r>
        <w:t>104</w:t>
      </w:r>
      <w:r>
        <w:rPr>
          <w:rFonts w:hint="eastAsia"/>
        </w:rPr>
        <w:t>年</w:t>
      </w:r>
      <w:r>
        <w:t>1</w:t>
      </w:r>
      <w:r>
        <w:rPr>
          <w:rFonts w:hint="eastAsia"/>
        </w:rPr>
        <w:t>月</w:t>
      </w:r>
      <w:r>
        <w:t>22</w:t>
      </w:r>
      <w:r>
        <w:rPr>
          <w:rFonts w:hint="eastAsia"/>
        </w:rPr>
        <w:t>日第</w:t>
      </w:r>
      <w:r>
        <w:t>2</w:t>
      </w:r>
      <w:r>
        <w:rPr>
          <w:rFonts w:hint="eastAsia"/>
        </w:rPr>
        <w:t>次修正，</w:t>
      </w:r>
      <w:r>
        <w:t>107</w:t>
      </w:r>
      <w:r>
        <w:rPr>
          <w:rFonts w:hint="eastAsia"/>
        </w:rPr>
        <w:t>年</w:t>
      </w:r>
      <w:r>
        <w:t>5</w:t>
      </w:r>
      <w:r>
        <w:rPr>
          <w:rFonts w:hint="eastAsia"/>
        </w:rPr>
        <w:t>月</w:t>
      </w:r>
      <w:r>
        <w:t>25</w:t>
      </w:r>
      <w:r>
        <w:rPr>
          <w:rFonts w:hint="eastAsia"/>
        </w:rPr>
        <w:t>日第</w:t>
      </w:r>
      <w:r>
        <w:t>3</w:t>
      </w:r>
      <w:r>
        <w:rPr>
          <w:rFonts w:hint="eastAsia"/>
        </w:rPr>
        <w:t>次修正。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bCs w:val="0"/>
        <w:i w:val="0"/>
        <w:iCs w:val="0"/>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D6ADC22"/>
    <w:lvl w:ilvl="0">
      <w:start w:val="1"/>
      <w:numFmt w:val="ideographLegalTraditional"/>
      <w:pStyle w:val="1"/>
      <w:suff w:val="nothing"/>
      <w:lvlText w:val="%1、"/>
      <w:lvlJc w:val="left"/>
      <w:pPr>
        <w:ind w:left="2381" w:hanging="2381"/>
      </w:pPr>
      <w:rPr>
        <w:rFonts w:ascii="標楷體" w:eastAsia="標楷體" w:hint="eastAsia"/>
        <w:b w:val="0"/>
        <w:bCs w:val="0"/>
        <w:i w:val="0"/>
        <w:iCs w:val="0"/>
        <w:snapToGrid/>
        <w:spacing w:val="0"/>
        <w:w w:val="100"/>
        <w:kern w:val="32"/>
        <w:position w:val="0"/>
        <w:sz w:val="32"/>
        <w:szCs w:val="32"/>
      </w:rPr>
    </w:lvl>
    <w:lvl w:ilvl="1">
      <w:start w:val="1"/>
      <w:numFmt w:val="taiwaneseCountingThousand"/>
      <w:pStyle w:val="2"/>
      <w:suff w:val="nothing"/>
      <w:lvlText w:val="%2、"/>
      <w:lvlJc w:val="left"/>
      <w:pPr>
        <w:ind w:left="1021" w:hanging="681"/>
      </w:pPr>
      <w:rPr>
        <w:rFonts w:ascii="標楷體" w:eastAsia="標楷體" w:hint="eastAsia"/>
        <w:b w:val="0"/>
        <w:bCs w:val="0"/>
        <w:i w:val="0"/>
        <w:iCs w:val="0"/>
        <w:snapToGrid/>
        <w:spacing w:val="0"/>
        <w:w w:val="100"/>
        <w:kern w:val="32"/>
        <w:position w:val="0"/>
        <w:sz w:val="32"/>
        <w:szCs w:val="32"/>
      </w:rPr>
    </w:lvl>
    <w:lvl w:ilvl="2">
      <w:start w:val="1"/>
      <w:numFmt w:val="taiwaneseCountingThousand"/>
      <w:pStyle w:val="3"/>
      <w:suff w:val="nothing"/>
      <w:lvlText w:val="(%3)"/>
      <w:lvlJc w:val="left"/>
      <w:pPr>
        <w:ind w:left="1361" w:hanging="681"/>
      </w:pPr>
      <w:rPr>
        <w:rFonts w:ascii="標楷體" w:eastAsia="標楷體" w:hint="eastAsia"/>
        <w:b w:val="0"/>
        <w:bCs w:val="0"/>
        <w:i w:val="0"/>
        <w:iCs w:val="0"/>
        <w:snapToGrid/>
        <w:spacing w:val="0"/>
        <w:w w:val="100"/>
        <w:kern w:val="32"/>
        <w:position w:val="0"/>
        <w:sz w:val="32"/>
        <w:szCs w:val="32"/>
      </w:rPr>
    </w:lvl>
    <w:lvl w:ilvl="3">
      <w:start w:val="1"/>
      <w:numFmt w:val="decimal"/>
      <w:pStyle w:val="4"/>
      <w:suff w:val="nothing"/>
      <w:lvlText w:val="%4、"/>
      <w:lvlJc w:val="left"/>
      <w:pPr>
        <w:ind w:left="1701" w:hanging="510"/>
      </w:pPr>
      <w:rPr>
        <w:rFonts w:ascii="標楷體" w:eastAsia="標楷體" w:hint="eastAsia"/>
        <w:b w:val="0"/>
        <w:bCs w:val="0"/>
        <w:i w:val="0"/>
        <w:iCs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bCs w:val="0"/>
        <w:i w:val="0"/>
        <w:iCs w:val="0"/>
        <w:snapToGrid/>
        <w:spacing w:val="0"/>
        <w:w w:val="100"/>
        <w:kern w:val="32"/>
        <w:position w:val="0"/>
        <w:sz w:val="32"/>
        <w:szCs w:val="32"/>
      </w:rPr>
    </w:lvl>
    <w:lvl w:ilvl="5">
      <w:start w:val="1"/>
      <w:numFmt w:val="decimal"/>
      <w:pStyle w:val="6"/>
      <w:suff w:val="nothing"/>
      <w:lvlText w:val="〈%6〉"/>
      <w:lvlJc w:val="left"/>
      <w:pPr>
        <w:ind w:left="2381" w:hanging="850"/>
      </w:pPr>
      <w:rPr>
        <w:rFonts w:ascii="標楷體" w:eastAsia="標楷體" w:hint="eastAsia"/>
        <w:b w:val="0"/>
        <w:bCs w:val="0"/>
        <w:i w:val="0"/>
        <w:iCs w:val="0"/>
        <w:snapToGrid/>
        <w:spacing w:val="0"/>
        <w:w w:val="100"/>
        <w:kern w:val="32"/>
        <w:position w:val="0"/>
        <w:sz w:val="32"/>
        <w:szCs w:val="32"/>
      </w:rPr>
    </w:lvl>
    <w:lvl w:ilvl="6">
      <w:start w:val="1"/>
      <w:numFmt w:val="decimal"/>
      <w:pStyle w:val="7"/>
      <w:suff w:val="nothing"/>
      <w:lvlText w:val="《%7》"/>
      <w:lvlJc w:val="left"/>
      <w:pPr>
        <w:ind w:left="2722" w:hanging="851"/>
      </w:pPr>
      <w:rPr>
        <w:rFonts w:ascii="標楷體" w:eastAsia="標楷體" w:hint="eastAsia"/>
        <w:b w:val="0"/>
        <w:bCs w:val="0"/>
        <w:i w:val="0"/>
        <w:iCs w:val="0"/>
        <w:snapToGrid/>
        <w:spacing w:val="0"/>
        <w:w w:val="100"/>
        <w:kern w:val="32"/>
        <w:position w:val="0"/>
        <w:sz w:val="32"/>
        <w:szCs w:val="32"/>
      </w:rPr>
    </w:lvl>
    <w:lvl w:ilvl="7">
      <w:start w:val="1"/>
      <w:numFmt w:val="decimal"/>
      <w:pStyle w:val="8"/>
      <w:suff w:val="nothing"/>
      <w:lvlText w:val="〔%8〕"/>
      <w:lvlJc w:val="left"/>
      <w:pPr>
        <w:ind w:left="3062" w:hanging="851"/>
      </w:pPr>
      <w:rPr>
        <w:rFonts w:ascii="標楷體" w:eastAsia="標楷體" w:hint="eastAsia"/>
        <w:b w:val="0"/>
        <w:bCs w:val="0"/>
        <w:i w:val="0"/>
        <w:iCs w:val="0"/>
        <w:snapToGrid/>
        <w:spacing w:val="0"/>
        <w:w w:val="100"/>
        <w:kern w:val="32"/>
        <w:position w:val="0"/>
        <w:sz w:val="32"/>
        <w:szCs w:val="32"/>
      </w:rPr>
    </w:lvl>
    <w:lvl w:ilvl="8">
      <w:start w:val="1"/>
      <w:numFmt w:val="decimal"/>
      <w:pStyle w:val="9"/>
      <w:suff w:val="nothing"/>
      <w:lvlText w:val="｛%9｝"/>
      <w:lvlJc w:val="left"/>
      <w:pPr>
        <w:ind w:left="3402" w:hanging="850"/>
      </w:pPr>
      <w:rPr>
        <w:rFonts w:ascii="標楷體" w:eastAsia="標楷體" w:hint="eastAsia"/>
        <w:b w:val="0"/>
        <w:bCs w:val="0"/>
        <w:i w:val="0"/>
        <w:iCs w:val="0"/>
        <w:caps w:val="0"/>
        <w:strike w:val="0"/>
        <w:dstrike w:val="0"/>
        <w:snapToGrid/>
        <w:vanish w:val="0"/>
        <w:spacing w:val="0"/>
        <w:w w:val="100"/>
        <w:kern w:val="32"/>
        <w:position w:val="0"/>
        <w:sz w:val="32"/>
        <w:szCs w:val="32"/>
        <w:vertAlign w:val="baseline"/>
      </w:rPr>
    </w:lvl>
  </w:abstractNum>
  <w:abstractNum w:abstractNumId="2" w15:restartNumberingAfterBreak="0">
    <w:nsid w:val="19532EFC"/>
    <w:multiLevelType w:val="hybridMultilevel"/>
    <w:tmpl w:val="7CBA69F8"/>
    <w:lvl w:ilvl="0" w:tplc="178A5CEA">
      <w:start w:val="1"/>
      <w:numFmt w:val="taiwaneseCountingThousand"/>
      <w:lvlText w:val="附表%1、"/>
      <w:lvlJc w:val="left"/>
      <w:pPr>
        <w:tabs>
          <w:tab w:val="num" w:pos="2150"/>
        </w:tabs>
        <w:ind w:left="1405" w:hanging="695"/>
      </w:pPr>
      <w:rPr>
        <w:rFonts w:ascii="標楷體" w:eastAsia="標楷體" w:hint="eastAsia"/>
        <w:b w:val="0"/>
        <w:bCs w:val="0"/>
        <w:i w:val="0"/>
        <w:iCs w:val="0"/>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bCs w:val="0"/>
        <w:i w:val="0"/>
        <w:iCs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bCs w:val="0"/>
        <w:i w:val="0"/>
        <w:iCs w:val="0"/>
        <w:caps w:val="0"/>
        <w:strike w:val="0"/>
        <w:dstrike w:val="0"/>
        <w:snapToGrid/>
        <w:vanish w:val="0"/>
        <w:spacing w:val="0"/>
        <w:w w:val="100"/>
        <w:kern w:val="32"/>
        <w:position w:val="0"/>
        <w:sz w:val="32"/>
        <w:szCs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bCs w:val="0"/>
        <w:i w:val="0"/>
        <w:iCs w:val="0"/>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bCs w:val="0"/>
        <w:i w:val="0"/>
        <w:iCs w:val="0"/>
        <w:caps w:val="0"/>
        <w:strike w:val="0"/>
        <w:dstrike w:val="0"/>
        <w:snapToGrid/>
        <w:vanish w:val="0"/>
        <w:color w:val="000000"/>
        <w:spacing w:val="0"/>
        <w:w w:val="100"/>
        <w:kern w:val="32"/>
        <w:position w:val="0"/>
        <w:sz w:val="32"/>
        <w:szCs w:val="32"/>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bCs w:val="0"/>
        <w:i w:val="0"/>
        <w:iCs w:val="0"/>
        <w:snapToGrid w:val="0"/>
        <w:spacing w:val="-10"/>
        <w:w w:val="100"/>
        <w:kern w:val="28"/>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530EE5"/>
    <w:multiLevelType w:val="hybridMultilevel"/>
    <w:tmpl w:val="53CC11BE"/>
    <w:lvl w:ilvl="0" w:tplc="18164C7A">
      <w:start w:val="1"/>
      <w:numFmt w:val="bullet"/>
      <w:lvlText w:val="➢"/>
      <w:lvlJc w:val="left"/>
      <w:pPr>
        <w:tabs>
          <w:tab w:val="num" w:pos="720"/>
        </w:tabs>
        <w:ind w:left="720" w:hanging="360"/>
      </w:pPr>
      <w:rPr>
        <w:rFonts w:ascii="MS Gothic" w:eastAsia="MS Gothic" w:hint="default"/>
      </w:rPr>
    </w:lvl>
    <w:lvl w:ilvl="1" w:tplc="75582E12">
      <w:start w:val="1"/>
      <w:numFmt w:val="bullet"/>
      <w:lvlText w:val="➢"/>
      <w:lvlJc w:val="left"/>
      <w:pPr>
        <w:tabs>
          <w:tab w:val="num" w:pos="1440"/>
        </w:tabs>
        <w:ind w:left="1440" w:hanging="360"/>
      </w:pPr>
      <w:rPr>
        <w:rFonts w:ascii="MS Gothic" w:eastAsia="MS Gothic" w:hint="default"/>
      </w:rPr>
    </w:lvl>
    <w:lvl w:ilvl="2" w:tplc="CF22D21E" w:tentative="1">
      <w:start w:val="1"/>
      <w:numFmt w:val="bullet"/>
      <w:lvlText w:val="➢"/>
      <w:lvlJc w:val="left"/>
      <w:pPr>
        <w:tabs>
          <w:tab w:val="num" w:pos="2160"/>
        </w:tabs>
        <w:ind w:left="2160" w:hanging="360"/>
      </w:pPr>
      <w:rPr>
        <w:rFonts w:ascii="MS Gothic" w:eastAsia="MS Gothic" w:hint="default"/>
      </w:rPr>
    </w:lvl>
    <w:lvl w:ilvl="3" w:tplc="4F3069BC" w:tentative="1">
      <w:start w:val="1"/>
      <w:numFmt w:val="bullet"/>
      <w:lvlText w:val="➢"/>
      <w:lvlJc w:val="left"/>
      <w:pPr>
        <w:tabs>
          <w:tab w:val="num" w:pos="2880"/>
        </w:tabs>
        <w:ind w:left="2880" w:hanging="360"/>
      </w:pPr>
      <w:rPr>
        <w:rFonts w:ascii="MS Gothic" w:eastAsia="MS Gothic" w:hint="default"/>
      </w:rPr>
    </w:lvl>
    <w:lvl w:ilvl="4" w:tplc="AB184F46" w:tentative="1">
      <w:start w:val="1"/>
      <w:numFmt w:val="bullet"/>
      <w:lvlText w:val="➢"/>
      <w:lvlJc w:val="left"/>
      <w:pPr>
        <w:tabs>
          <w:tab w:val="num" w:pos="3600"/>
        </w:tabs>
        <w:ind w:left="3600" w:hanging="360"/>
      </w:pPr>
      <w:rPr>
        <w:rFonts w:ascii="MS Gothic" w:eastAsia="MS Gothic" w:hint="default"/>
      </w:rPr>
    </w:lvl>
    <w:lvl w:ilvl="5" w:tplc="813AF006" w:tentative="1">
      <w:start w:val="1"/>
      <w:numFmt w:val="bullet"/>
      <w:lvlText w:val="➢"/>
      <w:lvlJc w:val="left"/>
      <w:pPr>
        <w:tabs>
          <w:tab w:val="num" w:pos="4320"/>
        </w:tabs>
        <w:ind w:left="4320" w:hanging="360"/>
      </w:pPr>
      <w:rPr>
        <w:rFonts w:ascii="MS Gothic" w:eastAsia="MS Gothic" w:hint="default"/>
      </w:rPr>
    </w:lvl>
    <w:lvl w:ilvl="6" w:tplc="CAE2CCBE" w:tentative="1">
      <w:start w:val="1"/>
      <w:numFmt w:val="bullet"/>
      <w:lvlText w:val="➢"/>
      <w:lvlJc w:val="left"/>
      <w:pPr>
        <w:tabs>
          <w:tab w:val="num" w:pos="5040"/>
        </w:tabs>
        <w:ind w:left="5040" w:hanging="360"/>
      </w:pPr>
      <w:rPr>
        <w:rFonts w:ascii="MS Gothic" w:eastAsia="MS Gothic" w:hint="default"/>
      </w:rPr>
    </w:lvl>
    <w:lvl w:ilvl="7" w:tplc="377845AA" w:tentative="1">
      <w:start w:val="1"/>
      <w:numFmt w:val="bullet"/>
      <w:lvlText w:val="➢"/>
      <w:lvlJc w:val="left"/>
      <w:pPr>
        <w:tabs>
          <w:tab w:val="num" w:pos="5760"/>
        </w:tabs>
        <w:ind w:left="5760" w:hanging="360"/>
      </w:pPr>
      <w:rPr>
        <w:rFonts w:ascii="MS Gothic" w:eastAsia="MS Gothic" w:hint="default"/>
      </w:rPr>
    </w:lvl>
    <w:lvl w:ilvl="8" w:tplc="ECD2BE3A" w:tentative="1">
      <w:start w:val="1"/>
      <w:numFmt w:val="bullet"/>
      <w:lvlText w:val="➢"/>
      <w:lvlJc w:val="left"/>
      <w:pPr>
        <w:tabs>
          <w:tab w:val="num" w:pos="6480"/>
        </w:tabs>
        <w:ind w:left="6480" w:hanging="360"/>
      </w:pPr>
      <w:rPr>
        <w:rFonts w:ascii="MS Gothic" w:eastAsia="MS Gothic" w:hint="default"/>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 w:numId="39">
    <w:abstractNumId w:val="1"/>
  </w:num>
  <w:num w:numId="40">
    <w:abstractNumId w:val="2"/>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noLineBreaksAfter w:lang="zh-TW" w:val="([{£¥‘“‵〈《「『【〔〝︵︷︹︻︽︿﹁﹃﹙﹛﹝（｛"/>
  <w:noLineBreaksBefore w:lang="zh-TW" w:val="!),.:;?]}¢·–—’”•‥…‧′╴、。〉》」』】〕〞︰︱︳︴︶︸︺︼︾﹀﹂﹄﹏﹐﹑﹒﹔﹕﹖﹗﹚﹜﹞！），．：；？］｜｝､"/>
  <w:doNotValidateAgainstSchema/>
  <w:doNotDemarcateInvalidXml/>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49F8"/>
    <w:rsid w:val="00017318"/>
    <w:rsid w:val="000229AD"/>
    <w:rsid w:val="000246F7"/>
    <w:rsid w:val="00025513"/>
    <w:rsid w:val="0003114D"/>
    <w:rsid w:val="00036D76"/>
    <w:rsid w:val="00045949"/>
    <w:rsid w:val="00054847"/>
    <w:rsid w:val="00057192"/>
    <w:rsid w:val="00057F32"/>
    <w:rsid w:val="00062A25"/>
    <w:rsid w:val="000731D3"/>
    <w:rsid w:val="00073CB5"/>
    <w:rsid w:val="0007425C"/>
    <w:rsid w:val="00077553"/>
    <w:rsid w:val="000851A2"/>
    <w:rsid w:val="0009352E"/>
    <w:rsid w:val="0009615F"/>
    <w:rsid w:val="00096B96"/>
    <w:rsid w:val="000A2F3F"/>
    <w:rsid w:val="000A5CD7"/>
    <w:rsid w:val="000B0B4A"/>
    <w:rsid w:val="000B279A"/>
    <w:rsid w:val="000B61D2"/>
    <w:rsid w:val="000B70A7"/>
    <w:rsid w:val="000B73DD"/>
    <w:rsid w:val="000C495F"/>
    <w:rsid w:val="000D66D9"/>
    <w:rsid w:val="000E1A76"/>
    <w:rsid w:val="000E6431"/>
    <w:rsid w:val="000E74CA"/>
    <w:rsid w:val="000F21A5"/>
    <w:rsid w:val="00102B9F"/>
    <w:rsid w:val="00112637"/>
    <w:rsid w:val="00112ABC"/>
    <w:rsid w:val="0012001E"/>
    <w:rsid w:val="00126A55"/>
    <w:rsid w:val="00133F08"/>
    <w:rsid w:val="001345E6"/>
    <w:rsid w:val="001378B0"/>
    <w:rsid w:val="00142E00"/>
    <w:rsid w:val="00144744"/>
    <w:rsid w:val="00152793"/>
    <w:rsid w:val="00153B7E"/>
    <w:rsid w:val="001545A9"/>
    <w:rsid w:val="001637C7"/>
    <w:rsid w:val="0016480E"/>
    <w:rsid w:val="0017381D"/>
    <w:rsid w:val="00174297"/>
    <w:rsid w:val="00180E06"/>
    <w:rsid w:val="001817B3"/>
    <w:rsid w:val="00183014"/>
    <w:rsid w:val="00183DFB"/>
    <w:rsid w:val="001959C2"/>
    <w:rsid w:val="001A51E3"/>
    <w:rsid w:val="001A6B10"/>
    <w:rsid w:val="001A7968"/>
    <w:rsid w:val="001B2E98"/>
    <w:rsid w:val="001B3483"/>
    <w:rsid w:val="001B3C1E"/>
    <w:rsid w:val="001B4494"/>
    <w:rsid w:val="001C0D8B"/>
    <w:rsid w:val="001C0DA8"/>
    <w:rsid w:val="001C1889"/>
    <w:rsid w:val="001D1BFA"/>
    <w:rsid w:val="001D4AD7"/>
    <w:rsid w:val="001E0D8A"/>
    <w:rsid w:val="001E67BA"/>
    <w:rsid w:val="001E74C2"/>
    <w:rsid w:val="001F3626"/>
    <w:rsid w:val="001F4F82"/>
    <w:rsid w:val="001F5A48"/>
    <w:rsid w:val="001F6260"/>
    <w:rsid w:val="00200007"/>
    <w:rsid w:val="002030A5"/>
    <w:rsid w:val="00203131"/>
    <w:rsid w:val="00212E88"/>
    <w:rsid w:val="00213C9C"/>
    <w:rsid w:val="0021548B"/>
    <w:rsid w:val="0021763F"/>
    <w:rsid w:val="00217C1D"/>
    <w:rsid w:val="0022009E"/>
    <w:rsid w:val="00223241"/>
    <w:rsid w:val="0022425C"/>
    <w:rsid w:val="002246DE"/>
    <w:rsid w:val="00225377"/>
    <w:rsid w:val="00225C4A"/>
    <w:rsid w:val="00237438"/>
    <w:rsid w:val="002429E2"/>
    <w:rsid w:val="0024684F"/>
    <w:rsid w:val="0024697B"/>
    <w:rsid w:val="00252BC4"/>
    <w:rsid w:val="00254014"/>
    <w:rsid w:val="00254B39"/>
    <w:rsid w:val="00260A7A"/>
    <w:rsid w:val="00264124"/>
    <w:rsid w:val="0026504D"/>
    <w:rsid w:val="00273A2F"/>
    <w:rsid w:val="002778A8"/>
    <w:rsid w:val="00280986"/>
    <w:rsid w:val="00281ECE"/>
    <w:rsid w:val="00281F40"/>
    <w:rsid w:val="002831C7"/>
    <w:rsid w:val="002840C6"/>
    <w:rsid w:val="002864B1"/>
    <w:rsid w:val="00295174"/>
    <w:rsid w:val="00296172"/>
    <w:rsid w:val="00296B92"/>
    <w:rsid w:val="002A0592"/>
    <w:rsid w:val="002A2C22"/>
    <w:rsid w:val="002B02EB"/>
    <w:rsid w:val="002B4F3B"/>
    <w:rsid w:val="002B7392"/>
    <w:rsid w:val="002C0602"/>
    <w:rsid w:val="002D5C16"/>
    <w:rsid w:val="002F2476"/>
    <w:rsid w:val="002F3DFF"/>
    <w:rsid w:val="002F5E05"/>
    <w:rsid w:val="00301B2C"/>
    <w:rsid w:val="00307A76"/>
    <w:rsid w:val="0031455E"/>
    <w:rsid w:val="00315A16"/>
    <w:rsid w:val="00317053"/>
    <w:rsid w:val="0032109C"/>
    <w:rsid w:val="00322B45"/>
    <w:rsid w:val="00323809"/>
    <w:rsid w:val="00323D41"/>
    <w:rsid w:val="00325414"/>
    <w:rsid w:val="003302F1"/>
    <w:rsid w:val="00332BFE"/>
    <w:rsid w:val="0034470E"/>
    <w:rsid w:val="00352DB0"/>
    <w:rsid w:val="003544AA"/>
    <w:rsid w:val="00355077"/>
    <w:rsid w:val="00355E56"/>
    <w:rsid w:val="00361063"/>
    <w:rsid w:val="0037094A"/>
    <w:rsid w:val="00371ED3"/>
    <w:rsid w:val="00372659"/>
    <w:rsid w:val="00372FFC"/>
    <w:rsid w:val="003731B5"/>
    <w:rsid w:val="00374404"/>
    <w:rsid w:val="0037728A"/>
    <w:rsid w:val="00377B84"/>
    <w:rsid w:val="00380B7D"/>
    <w:rsid w:val="00381A99"/>
    <w:rsid w:val="003829C2"/>
    <w:rsid w:val="003830B2"/>
    <w:rsid w:val="00384724"/>
    <w:rsid w:val="003919B7"/>
    <w:rsid w:val="00391D57"/>
    <w:rsid w:val="00392292"/>
    <w:rsid w:val="00394F45"/>
    <w:rsid w:val="003A081E"/>
    <w:rsid w:val="003A11DF"/>
    <w:rsid w:val="003A438D"/>
    <w:rsid w:val="003A5659"/>
    <w:rsid w:val="003A5927"/>
    <w:rsid w:val="003B1017"/>
    <w:rsid w:val="003B3C07"/>
    <w:rsid w:val="003B6081"/>
    <w:rsid w:val="003B6775"/>
    <w:rsid w:val="003C0C89"/>
    <w:rsid w:val="003C5FE2"/>
    <w:rsid w:val="003C6556"/>
    <w:rsid w:val="003D05FB"/>
    <w:rsid w:val="003D1B16"/>
    <w:rsid w:val="003D45BF"/>
    <w:rsid w:val="003D508A"/>
    <w:rsid w:val="003D537F"/>
    <w:rsid w:val="003D549E"/>
    <w:rsid w:val="003D5AB8"/>
    <w:rsid w:val="003D7B75"/>
    <w:rsid w:val="003E0208"/>
    <w:rsid w:val="003E4B57"/>
    <w:rsid w:val="003E7746"/>
    <w:rsid w:val="003F27E1"/>
    <w:rsid w:val="003F437A"/>
    <w:rsid w:val="003F5C2B"/>
    <w:rsid w:val="00402240"/>
    <w:rsid w:val="004023E9"/>
    <w:rsid w:val="00403576"/>
    <w:rsid w:val="0040454A"/>
    <w:rsid w:val="00413F83"/>
    <w:rsid w:val="0041490C"/>
    <w:rsid w:val="00416191"/>
    <w:rsid w:val="00416721"/>
    <w:rsid w:val="00421EF0"/>
    <w:rsid w:val="004224FA"/>
    <w:rsid w:val="0042396D"/>
    <w:rsid w:val="00423D07"/>
    <w:rsid w:val="00427936"/>
    <w:rsid w:val="00436D6C"/>
    <w:rsid w:val="0044346F"/>
    <w:rsid w:val="00443B5B"/>
    <w:rsid w:val="0045084C"/>
    <w:rsid w:val="004537A9"/>
    <w:rsid w:val="00453FF6"/>
    <w:rsid w:val="00460977"/>
    <w:rsid w:val="0046520A"/>
    <w:rsid w:val="004667E5"/>
    <w:rsid w:val="0046692F"/>
    <w:rsid w:val="004672AB"/>
    <w:rsid w:val="004714FE"/>
    <w:rsid w:val="00477BAA"/>
    <w:rsid w:val="004813DF"/>
    <w:rsid w:val="00481C9A"/>
    <w:rsid w:val="00495053"/>
    <w:rsid w:val="00496DD0"/>
    <w:rsid w:val="004978D7"/>
    <w:rsid w:val="004A1A9C"/>
    <w:rsid w:val="004A1F59"/>
    <w:rsid w:val="004A29BE"/>
    <w:rsid w:val="004A3225"/>
    <w:rsid w:val="004A33EE"/>
    <w:rsid w:val="004A3AA8"/>
    <w:rsid w:val="004B13C7"/>
    <w:rsid w:val="004B778F"/>
    <w:rsid w:val="004C0609"/>
    <w:rsid w:val="004C639F"/>
    <w:rsid w:val="004D07C1"/>
    <w:rsid w:val="004D141F"/>
    <w:rsid w:val="004D2136"/>
    <w:rsid w:val="004D2742"/>
    <w:rsid w:val="004D3AA8"/>
    <w:rsid w:val="004D6310"/>
    <w:rsid w:val="004E0062"/>
    <w:rsid w:val="004E05A1"/>
    <w:rsid w:val="004E63C8"/>
    <w:rsid w:val="004F472A"/>
    <w:rsid w:val="004F5E57"/>
    <w:rsid w:val="004F6710"/>
    <w:rsid w:val="00500A35"/>
    <w:rsid w:val="00500C3E"/>
    <w:rsid w:val="00502849"/>
    <w:rsid w:val="00504334"/>
    <w:rsid w:val="0050498D"/>
    <w:rsid w:val="005104D7"/>
    <w:rsid w:val="00510B9E"/>
    <w:rsid w:val="00514E2C"/>
    <w:rsid w:val="00522ADA"/>
    <w:rsid w:val="00536BC2"/>
    <w:rsid w:val="005425E1"/>
    <w:rsid w:val="005427C5"/>
    <w:rsid w:val="00542CF6"/>
    <w:rsid w:val="00545092"/>
    <w:rsid w:val="005461A4"/>
    <w:rsid w:val="00553C03"/>
    <w:rsid w:val="00554AFB"/>
    <w:rsid w:val="00560DDA"/>
    <w:rsid w:val="00562110"/>
    <w:rsid w:val="00563692"/>
    <w:rsid w:val="00570BD2"/>
    <w:rsid w:val="00571679"/>
    <w:rsid w:val="00574B00"/>
    <w:rsid w:val="005818C5"/>
    <w:rsid w:val="00583BCC"/>
    <w:rsid w:val="00584235"/>
    <w:rsid w:val="005844E7"/>
    <w:rsid w:val="005874D7"/>
    <w:rsid w:val="005908B8"/>
    <w:rsid w:val="00592EC7"/>
    <w:rsid w:val="00593710"/>
    <w:rsid w:val="0059512E"/>
    <w:rsid w:val="005A14D1"/>
    <w:rsid w:val="005A1BB6"/>
    <w:rsid w:val="005A6DD2"/>
    <w:rsid w:val="005C385D"/>
    <w:rsid w:val="005D3B20"/>
    <w:rsid w:val="005D71B7"/>
    <w:rsid w:val="005E4759"/>
    <w:rsid w:val="005E5C68"/>
    <w:rsid w:val="005E609D"/>
    <w:rsid w:val="005E65C0"/>
    <w:rsid w:val="005F0390"/>
    <w:rsid w:val="006057DC"/>
    <w:rsid w:val="006072CD"/>
    <w:rsid w:val="00612023"/>
    <w:rsid w:val="00614190"/>
    <w:rsid w:val="00622A99"/>
    <w:rsid w:val="00622E67"/>
    <w:rsid w:val="006252AF"/>
    <w:rsid w:val="00626698"/>
    <w:rsid w:val="00626B57"/>
    <w:rsid w:val="00626EDC"/>
    <w:rsid w:val="006452D3"/>
    <w:rsid w:val="006470EC"/>
    <w:rsid w:val="006542D6"/>
    <w:rsid w:val="0065598E"/>
    <w:rsid w:val="00655AF2"/>
    <w:rsid w:val="00655BC5"/>
    <w:rsid w:val="006568BE"/>
    <w:rsid w:val="0066025D"/>
    <w:rsid w:val="0066091A"/>
    <w:rsid w:val="006647C0"/>
    <w:rsid w:val="00671346"/>
    <w:rsid w:val="00674931"/>
    <w:rsid w:val="006773EC"/>
    <w:rsid w:val="00680504"/>
    <w:rsid w:val="006818A0"/>
    <w:rsid w:val="00681CD9"/>
    <w:rsid w:val="006838E5"/>
    <w:rsid w:val="00683E30"/>
    <w:rsid w:val="00687024"/>
    <w:rsid w:val="00687932"/>
    <w:rsid w:val="00695E22"/>
    <w:rsid w:val="006B0613"/>
    <w:rsid w:val="006B7093"/>
    <w:rsid w:val="006B7417"/>
    <w:rsid w:val="006C7740"/>
    <w:rsid w:val="006D31F9"/>
    <w:rsid w:val="006D3504"/>
    <w:rsid w:val="006D3691"/>
    <w:rsid w:val="006D41FA"/>
    <w:rsid w:val="006E5EF0"/>
    <w:rsid w:val="006F3563"/>
    <w:rsid w:val="006F3D47"/>
    <w:rsid w:val="006F42B9"/>
    <w:rsid w:val="006F6103"/>
    <w:rsid w:val="00704B29"/>
    <w:rsid w:val="00704E00"/>
    <w:rsid w:val="007209E7"/>
    <w:rsid w:val="00726182"/>
    <w:rsid w:val="00727635"/>
    <w:rsid w:val="007306F8"/>
    <w:rsid w:val="007307EC"/>
    <w:rsid w:val="00732329"/>
    <w:rsid w:val="007337CA"/>
    <w:rsid w:val="00734CE4"/>
    <w:rsid w:val="00735123"/>
    <w:rsid w:val="00741837"/>
    <w:rsid w:val="007453E6"/>
    <w:rsid w:val="00763AF1"/>
    <w:rsid w:val="00770453"/>
    <w:rsid w:val="00770C02"/>
    <w:rsid w:val="00771A7A"/>
    <w:rsid w:val="0077309D"/>
    <w:rsid w:val="007774EE"/>
    <w:rsid w:val="00781822"/>
    <w:rsid w:val="007819EB"/>
    <w:rsid w:val="00783F21"/>
    <w:rsid w:val="00786CD8"/>
    <w:rsid w:val="00787159"/>
    <w:rsid w:val="0079043A"/>
    <w:rsid w:val="00791668"/>
    <w:rsid w:val="007918CA"/>
    <w:rsid w:val="00791AA1"/>
    <w:rsid w:val="00791D76"/>
    <w:rsid w:val="00792FFD"/>
    <w:rsid w:val="007A3793"/>
    <w:rsid w:val="007A426E"/>
    <w:rsid w:val="007A6016"/>
    <w:rsid w:val="007A6575"/>
    <w:rsid w:val="007C1BA2"/>
    <w:rsid w:val="007C2B48"/>
    <w:rsid w:val="007C376E"/>
    <w:rsid w:val="007D20E9"/>
    <w:rsid w:val="007D7881"/>
    <w:rsid w:val="007D7E3A"/>
    <w:rsid w:val="007E0E10"/>
    <w:rsid w:val="007E4768"/>
    <w:rsid w:val="007E5435"/>
    <w:rsid w:val="007E777B"/>
    <w:rsid w:val="007F2070"/>
    <w:rsid w:val="007F4ED6"/>
    <w:rsid w:val="007F63C1"/>
    <w:rsid w:val="008053F5"/>
    <w:rsid w:val="0080580D"/>
    <w:rsid w:val="00807AF7"/>
    <w:rsid w:val="00810198"/>
    <w:rsid w:val="00815DA8"/>
    <w:rsid w:val="0082194D"/>
    <w:rsid w:val="00821DB1"/>
    <w:rsid w:val="008221F9"/>
    <w:rsid w:val="00826EF5"/>
    <w:rsid w:val="00831693"/>
    <w:rsid w:val="00833CB3"/>
    <w:rsid w:val="0083702A"/>
    <w:rsid w:val="00840104"/>
    <w:rsid w:val="00840C1F"/>
    <w:rsid w:val="008411C9"/>
    <w:rsid w:val="00841FC5"/>
    <w:rsid w:val="00843D0F"/>
    <w:rsid w:val="00844731"/>
    <w:rsid w:val="00844CD8"/>
    <w:rsid w:val="00845709"/>
    <w:rsid w:val="00846E99"/>
    <w:rsid w:val="008541DA"/>
    <w:rsid w:val="008576BD"/>
    <w:rsid w:val="00857BD1"/>
    <w:rsid w:val="00860463"/>
    <w:rsid w:val="008733DA"/>
    <w:rsid w:val="00876869"/>
    <w:rsid w:val="008850E4"/>
    <w:rsid w:val="008868F3"/>
    <w:rsid w:val="00886D80"/>
    <w:rsid w:val="008939AB"/>
    <w:rsid w:val="0089735F"/>
    <w:rsid w:val="008A12F5"/>
    <w:rsid w:val="008A3AB4"/>
    <w:rsid w:val="008B1587"/>
    <w:rsid w:val="008B1B01"/>
    <w:rsid w:val="008B3BCD"/>
    <w:rsid w:val="008B46A2"/>
    <w:rsid w:val="008B6A1C"/>
    <w:rsid w:val="008B6DF8"/>
    <w:rsid w:val="008C106C"/>
    <w:rsid w:val="008C10F1"/>
    <w:rsid w:val="008C1926"/>
    <w:rsid w:val="008C1BD5"/>
    <w:rsid w:val="008C1E99"/>
    <w:rsid w:val="008D7198"/>
    <w:rsid w:val="008E0085"/>
    <w:rsid w:val="008E0769"/>
    <w:rsid w:val="008E2AA6"/>
    <w:rsid w:val="008E311B"/>
    <w:rsid w:val="008F46E7"/>
    <w:rsid w:val="008F64CA"/>
    <w:rsid w:val="008F6F0B"/>
    <w:rsid w:val="008F7E4B"/>
    <w:rsid w:val="00907BA7"/>
    <w:rsid w:val="0091064E"/>
    <w:rsid w:val="00911FC5"/>
    <w:rsid w:val="009217D1"/>
    <w:rsid w:val="00931A10"/>
    <w:rsid w:val="00936E71"/>
    <w:rsid w:val="00947967"/>
    <w:rsid w:val="00955201"/>
    <w:rsid w:val="00965200"/>
    <w:rsid w:val="009668B3"/>
    <w:rsid w:val="00971471"/>
    <w:rsid w:val="009749E4"/>
    <w:rsid w:val="009849C2"/>
    <w:rsid w:val="00984D24"/>
    <w:rsid w:val="009858EB"/>
    <w:rsid w:val="00997801"/>
    <w:rsid w:val="009A3F47"/>
    <w:rsid w:val="009A4261"/>
    <w:rsid w:val="009A75F3"/>
    <w:rsid w:val="009B0046"/>
    <w:rsid w:val="009B0C36"/>
    <w:rsid w:val="009B7A6F"/>
    <w:rsid w:val="009C1440"/>
    <w:rsid w:val="009C1BC2"/>
    <w:rsid w:val="009C2107"/>
    <w:rsid w:val="009C422A"/>
    <w:rsid w:val="009C5D9E"/>
    <w:rsid w:val="009C7FF2"/>
    <w:rsid w:val="009D2C3E"/>
    <w:rsid w:val="009E0625"/>
    <w:rsid w:val="009E0C95"/>
    <w:rsid w:val="009E3034"/>
    <w:rsid w:val="009E549F"/>
    <w:rsid w:val="009E5D84"/>
    <w:rsid w:val="009F19FF"/>
    <w:rsid w:val="009F28A8"/>
    <w:rsid w:val="009F473E"/>
    <w:rsid w:val="009F5247"/>
    <w:rsid w:val="009F682A"/>
    <w:rsid w:val="00A013DD"/>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0353"/>
    <w:rsid w:val="00A50496"/>
    <w:rsid w:val="00A51F9D"/>
    <w:rsid w:val="00A5416A"/>
    <w:rsid w:val="00A639F4"/>
    <w:rsid w:val="00A65864"/>
    <w:rsid w:val="00A65FAE"/>
    <w:rsid w:val="00A75427"/>
    <w:rsid w:val="00A76C49"/>
    <w:rsid w:val="00A81A32"/>
    <w:rsid w:val="00A835BD"/>
    <w:rsid w:val="00A97B15"/>
    <w:rsid w:val="00AA42D5"/>
    <w:rsid w:val="00AA5EED"/>
    <w:rsid w:val="00AB2FAB"/>
    <w:rsid w:val="00AB5C14"/>
    <w:rsid w:val="00AB6076"/>
    <w:rsid w:val="00AC1EE7"/>
    <w:rsid w:val="00AC3193"/>
    <w:rsid w:val="00AC333F"/>
    <w:rsid w:val="00AC585C"/>
    <w:rsid w:val="00AD1925"/>
    <w:rsid w:val="00AD5892"/>
    <w:rsid w:val="00AE067D"/>
    <w:rsid w:val="00AF1181"/>
    <w:rsid w:val="00AF2F79"/>
    <w:rsid w:val="00AF4653"/>
    <w:rsid w:val="00AF7DB7"/>
    <w:rsid w:val="00B10D02"/>
    <w:rsid w:val="00B12572"/>
    <w:rsid w:val="00B201E2"/>
    <w:rsid w:val="00B254FF"/>
    <w:rsid w:val="00B26016"/>
    <w:rsid w:val="00B3458C"/>
    <w:rsid w:val="00B415C1"/>
    <w:rsid w:val="00B42567"/>
    <w:rsid w:val="00B443E4"/>
    <w:rsid w:val="00B46F8A"/>
    <w:rsid w:val="00B5484D"/>
    <w:rsid w:val="00B563EA"/>
    <w:rsid w:val="00B56CDF"/>
    <w:rsid w:val="00B60E51"/>
    <w:rsid w:val="00B63A54"/>
    <w:rsid w:val="00B66DDD"/>
    <w:rsid w:val="00B71761"/>
    <w:rsid w:val="00B721FE"/>
    <w:rsid w:val="00B73964"/>
    <w:rsid w:val="00B741F0"/>
    <w:rsid w:val="00B77D18"/>
    <w:rsid w:val="00B8313A"/>
    <w:rsid w:val="00B93503"/>
    <w:rsid w:val="00BA31E8"/>
    <w:rsid w:val="00BA55E0"/>
    <w:rsid w:val="00BA6BD4"/>
    <w:rsid w:val="00BA6C7A"/>
    <w:rsid w:val="00BB17D1"/>
    <w:rsid w:val="00BB3752"/>
    <w:rsid w:val="00BB5C3B"/>
    <w:rsid w:val="00BB6688"/>
    <w:rsid w:val="00BC26D4"/>
    <w:rsid w:val="00BD287D"/>
    <w:rsid w:val="00BD54FB"/>
    <w:rsid w:val="00BE0C80"/>
    <w:rsid w:val="00BE75EF"/>
    <w:rsid w:val="00BF2A42"/>
    <w:rsid w:val="00BF38FA"/>
    <w:rsid w:val="00C01C13"/>
    <w:rsid w:val="00C03D8C"/>
    <w:rsid w:val="00C055EC"/>
    <w:rsid w:val="00C06C38"/>
    <w:rsid w:val="00C0766B"/>
    <w:rsid w:val="00C10DC9"/>
    <w:rsid w:val="00C12FB3"/>
    <w:rsid w:val="00C17341"/>
    <w:rsid w:val="00C21F08"/>
    <w:rsid w:val="00C22500"/>
    <w:rsid w:val="00C24EEF"/>
    <w:rsid w:val="00C25CF6"/>
    <w:rsid w:val="00C26C36"/>
    <w:rsid w:val="00C30675"/>
    <w:rsid w:val="00C32768"/>
    <w:rsid w:val="00C4004B"/>
    <w:rsid w:val="00C431DF"/>
    <w:rsid w:val="00C456BD"/>
    <w:rsid w:val="00C460B3"/>
    <w:rsid w:val="00C52179"/>
    <w:rsid w:val="00C530DC"/>
    <w:rsid w:val="00C5350D"/>
    <w:rsid w:val="00C544FB"/>
    <w:rsid w:val="00C6123C"/>
    <w:rsid w:val="00C6311A"/>
    <w:rsid w:val="00C648F8"/>
    <w:rsid w:val="00C7084D"/>
    <w:rsid w:val="00C7315E"/>
    <w:rsid w:val="00C75895"/>
    <w:rsid w:val="00C83C9F"/>
    <w:rsid w:val="00C94840"/>
    <w:rsid w:val="00CA4EE3"/>
    <w:rsid w:val="00CB027F"/>
    <w:rsid w:val="00CB1F4D"/>
    <w:rsid w:val="00CC0EBB"/>
    <w:rsid w:val="00CC6185"/>
    <w:rsid w:val="00CC6297"/>
    <w:rsid w:val="00CC7690"/>
    <w:rsid w:val="00CD0E9D"/>
    <w:rsid w:val="00CD1986"/>
    <w:rsid w:val="00CD54BF"/>
    <w:rsid w:val="00CE34FE"/>
    <w:rsid w:val="00CE4D5C"/>
    <w:rsid w:val="00CE5684"/>
    <w:rsid w:val="00CF05DA"/>
    <w:rsid w:val="00CF58EB"/>
    <w:rsid w:val="00CF6FEC"/>
    <w:rsid w:val="00D0106E"/>
    <w:rsid w:val="00D06383"/>
    <w:rsid w:val="00D2020C"/>
    <w:rsid w:val="00D20E85"/>
    <w:rsid w:val="00D24615"/>
    <w:rsid w:val="00D34FAE"/>
    <w:rsid w:val="00D35E54"/>
    <w:rsid w:val="00D37842"/>
    <w:rsid w:val="00D40DBE"/>
    <w:rsid w:val="00D42DC2"/>
    <w:rsid w:val="00D4302B"/>
    <w:rsid w:val="00D537E1"/>
    <w:rsid w:val="00D55BB2"/>
    <w:rsid w:val="00D6091A"/>
    <w:rsid w:val="00D64E99"/>
    <w:rsid w:val="00D65ACC"/>
    <w:rsid w:val="00D6605A"/>
    <w:rsid w:val="00D6695F"/>
    <w:rsid w:val="00D67CD3"/>
    <w:rsid w:val="00D75644"/>
    <w:rsid w:val="00D75712"/>
    <w:rsid w:val="00D81656"/>
    <w:rsid w:val="00D83D87"/>
    <w:rsid w:val="00D84A6D"/>
    <w:rsid w:val="00D86A30"/>
    <w:rsid w:val="00D97CB4"/>
    <w:rsid w:val="00D97DD4"/>
    <w:rsid w:val="00DA1B6A"/>
    <w:rsid w:val="00DA2BFE"/>
    <w:rsid w:val="00DA5A8A"/>
    <w:rsid w:val="00DB1170"/>
    <w:rsid w:val="00DB26CD"/>
    <w:rsid w:val="00DB441C"/>
    <w:rsid w:val="00DB44AF"/>
    <w:rsid w:val="00DB4EBD"/>
    <w:rsid w:val="00DC0BD8"/>
    <w:rsid w:val="00DC1F58"/>
    <w:rsid w:val="00DC339B"/>
    <w:rsid w:val="00DC5D40"/>
    <w:rsid w:val="00DC69A7"/>
    <w:rsid w:val="00DD30E9"/>
    <w:rsid w:val="00DD4F47"/>
    <w:rsid w:val="00DD7FBB"/>
    <w:rsid w:val="00DE0B9F"/>
    <w:rsid w:val="00DE18A5"/>
    <w:rsid w:val="00DE2A9E"/>
    <w:rsid w:val="00DE4238"/>
    <w:rsid w:val="00DE4A7E"/>
    <w:rsid w:val="00DE657F"/>
    <w:rsid w:val="00DE719D"/>
    <w:rsid w:val="00DF002E"/>
    <w:rsid w:val="00DF1218"/>
    <w:rsid w:val="00DF131F"/>
    <w:rsid w:val="00DF5872"/>
    <w:rsid w:val="00DF6462"/>
    <w:rsid w:val="00E02FA0"/>
    <w:rsid w:val="00E036DC"/>
    <w:rsid w:val="00E10454"/>
    <w:rsid w:val="00E112E5"/>
    <w:rsid w:val="00E11499"/>
    <w:rsid w:val="00E122D8"/>
    <w:rsid w:val="00E12CC8"/>
    <w:rsid w:val="00E15352"/>
    <w:rsid w:val="00E21CC7"/>
    <w:rsid w:val="00E24D9E"/>
    <w:rsid w:val="00E25849"/>
    <w:rsid w:val="00E272C8"/>
    <w:rsid w:val="00E3197E"/>
    <w:rsid w:val="00E342F8"/>
    <w:rsid w:val="00E351ED"/>
    <w:rsid w:val="00E42214"/>
    <w:rsid w:val="00E42B19"/>
    <w:rsid w:val="00E55AC1"/>
    <w:rsid w:val="00E6034B"/>
    <w:rsid w:val="00E64DDF"/>
    <w:rsid w:val="00E6549E"/>
    <w:rsid w:val="00E65EDE"/>
    <w:rsid w:val="00E70F81"/>
    <w:rsid w:val="00E74D69"/>
    <w:rsid w:val="00E76831"/>
    <w:rsid w:val="00E77055"/>
    <w:rsid w:val="00E77460"/>
    <w:rsid w:val="00E83ABC"/>
    <w:rsid w:val="00E844F2"/>
    <w:rsid w:val="00E90AD0"/>
    <w:rsid w:val="00E92FCB"/>
    <w:rsid w:val="00EA147F"/>
    <w:rsid w:val="00EA4A27"/>
    <w:rsid w:val="00EA4FA6"/>
    <w:rsid w:val="00EB1A25"/>
    <w:rsid w:val="00EB2EEB"/>
    <w:rsid w:val="00EC0C34"/>
    <w:rsid w:val="00EC1147"/>
    <w:rsid w:val="00EC7363"/>
    <w:rsid w:val="00EC7AA3"/>
    <w:rsid w:val="00ED03AB"/>
    <w:rsid w:val="00ED1963"/>
    <w:rsid w:val="00ED1CD4"/>
    <w:rsid w:val="00ED1D2B"/>
    <w:rsid w:val="00ED64B5"/>
    <w:rsid w:val="00EE578B"/>
    <w:rsid w:val="00EE7CCA"/>
    <w:rsid w:val="00EF4EBA"/>
    <w:rsid w:val="00EF6287"/>
    <w:rsid w:val="00F01DC5"/>
    <w:rsid w:val="00F06E53"/>
    <w:rsid w:val="00F143D5"/>
    <w:rsid w:val="00F14D42"/>
    <w:rsid w:val="00F15F2D"/>
    <w:rsid w:val="00F16A14"/>
    <w:rsid w:val="00F25C75"/>
    <w:rsid w:val="00F362D7"/>
    <w:rsid w:val="00F37D7B"/>
    <w:rsid w:val="00F5314C"/>
    <w:rsid w:val="00F56659"/>
    <w:rsid w:val="00F5688C"/>
    <w:rsid w:val="00F60048"/>
    <w:rsid w:val="00F635DD"/>
    <w:rsid w:val="00F6627B"/>
    <w:rsid w:val="00F7336E"/>
    <w:rsid w:val="00F734F2"/>
    <w:rsid w:val="00F748C2"/>
    <w:rsid w:val="00F75052"/>
    <w:rsid w:val="00F76D8B"/>
    <w:rsid w:val="00F804D3"/>
    <w:rsid w:val="00F816CB"/>
    <w:rsid w:val="00F81CD2"/>
    <w:rsid w:val="00F82641"/>
    <w:rsid w:val="00F90F18"/>
    <w:rsid w:val="00F937E4"/>
    <w:rsid w:val="00F95EE7"/>
    <w:rsid w:val="00FA39E6"/>
    <w:rsid w:val="00FA504E"/>
    <w:rsid w:val="00FA7BC9"/>
    <w:rsid w:val="00FB2432"/>
    <w:rsid w:val="00FB378E"/>
    <w:rsid w:val="00FB37F1"/>
    <w:rsid w:val="00FB47C0"/>
    <w:rsid w:val="00FB501B"/>
    <w:rsid w:val="00FB719A"/>
    <w:rsid w:val="00FB7770"/>
    <w:rsid w:val="00FC0E71"/>
    <w:rsid w:val="00FC73FC"/>
    <w:rsid w:val="00FD2377"/>
    <w:rsid w:val="00FD3B91"/>
    <w:rsid w:val="00FD576B"/>
    <w:rsid w:val="00FD579E"/>
    <w:rsid w:val="00FD6845"/>
    <w:rsid w:val="00FD7A9C"/>
    <w:rsid w:val="00FE4516"/>
    <w:rsid w:val="00FE5199"/>
    <w:rsid w:val="00FE64C8"/>
    <w:rsid w:val="00FE77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AFF1782-9C83-4FB8-9EE0-8623D23B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6647C0"/>
    <w:pPr>
      <w:widowControl w:val="0"/>
      <w:kinsoku w:val="0"/>
      <w:overflowPunct w:val="0"/>
      <w:autoSpaceDE w:val="0"/>
      <w:autoSpaceDN w:val="0"/>
      <w:jc w:val="both"/>
    </w:pPr>
    <w:rPr>
      <w:rFonts w:ascii="標楷體" w:eastAsia="標楷體" w:cs="標楷體"/>
      <w:kern w:val="2"/>
      <w:sz w:val="32"/>
      <w:szCs w:val="32"/>
    </w:rPr>
  </w:style>
  <w:style w:type="paragraph" w:styleId="1">
    <w:name w:val="heading 1"/>
    <w:basedOn w:val="a5"/>
    <w:link w:val="10"/>
    <w:uiPriority w:val="99"/>
    <w:qFormat/>
    <w:rsid w:val="004F5E57"/>
    <w:pPr>
      <w:numPr>
        <w:numId w:val="25"/>
      </w:numPr>
      <w:outlineLvl w:val="0"/>
    </w:pPr>
    <w:rPr>
      <w:rFonts w:hAnsi="Arial"/>
      <w:kern w:val="32"/>
    </w:rPr>
  </w:style>
  <w:style w:type="paragraph" w:styleId="2">
    <w:name w:val="heading 2"/>
    <w:basedOn w:val="a5"/>
    <w:link w:val="20"/>
    <w:uiPriority w:val="99"/>
    <w:qFormat/>
    <w:rsid w:val="004F5E57"/>
    <w:pPr>
      <w:numPr>
        <w:ilvl w:val="1"/>
        <w:numId w:val="25"/>
      </w:numPr>
      <w:outlineLvl w:val="1"/>
    </w:pPr>
    <w:rPr>
      <w:rFonts w:hAnsi="Arial"/>
      <w:kern w:val="32"/>
    </w:rPr>
  </w:style>
  <w:style w:type="paragraph" w:styleId="3">
    <w:name w:val="heading 3"/>
    <w:basedOn w:val="a5"/>
    <w:link w:val="30"/>
    <w:uiPriority w:val="99"/>
    <w:qFormat/>
    <w:rsid w:val="004F5E57"/>
    <w:pPr>
      <w:numPr>
        <w:ilvl w:val="2"/>
        <w:numId w:val="25"/>
      </w:numPr>
      <w:outlineLvl w:val="2"/>
    </w:pPr>
    <w:rPr>
      <w:rFonts w:hAnsi="Arial"/>
      <w:kern w:val="32"/>
    </w:rPr>
  </w:style>
  <w:style w:type="paragraph" w:styleId="4">
    <w:name w:val="heading 4"/>
    <w:basedOn w:val="a5"/>
    <w:link w:val="40"/>
    <w:uiPriority w:val="99"/>
    <w:qFormat/>
    <w:rsid w:val="004F5E57"/>
    <w:pPr>
      <w:numPr>
        <w:ilvl w:val="3"/>
        <w:numId w:val="25"/>
      </w:numPr>
      <w:outlineLvl w:val="3"/>
    </w:pPr>
    <w:rPr>
      <w:rFonts w:hAnsi="Arial"/>
      <w:kern w:val="32"/>
    </w:rPr>
  </w:style>
  <w:style w:type="paragraph" w:styleId="5">
    <w:name w:val="heading 5"/>
    <w:basedOn w:val="a5"/>
    <w:link w:val="50"/>
    <w:uiPriority w:val="99"/>
    <w:qFormat/>
    <w:rsid w:val="004F5E57"/>
    <w:pPr>
      <w:numPr>
        <w:ilvl w:val="4"/>
        <w:numId w:val="25"/>
      </w:numPr>
      <w:outlineLvl w:val="4"/>
    </w:pPr>
    <w:rPr>
      <w:rFonts w:hAnsi="Arial"/>
      <w:kern w:val="32"/>
    </w:rPr>
  </w:style>
  <w:style w:type="paragraph" w:styleId="6">
    <w:name w:val="heading 6"/>
    <w:basedOn w:val="a5"/>
    <w:link w:val="60"/>
    <w:uiPriority w:val="99"/>
    <w:qFormat/>
    <w:rsid w:val="004F5E57"/>
    <w:pPr>
      <w:numPr>
        <w:ilvl w:val="5"/>
        <w:numId w:val="25"/>
      </w:numPr>
      <w:tabs>
        <w:tab w:val="left" w:pos="2094"/>
      </w:tabs>
      <w:outlineLvl w:val="5"/>
    </w:pPr>
    <w:rPr>
      <w:rFonts w:hAnsi="Arial"/>
      <w:kern w:val="32"/>
    </w:rPr>
  </w:style>
  <w:style w:type="paragraph" w:styleId="7">
    <w:name w:val="heading 7"/>
    <w:basedOn w:val="a5"/>
    <w:link w:val="70"/>
    <w:uiPriority w:val="99"/>
    <w:qFormat/>
    <w:rsid w:val="004F5E57"/>
    <w:pPr>
      <w:numPr>
        <w:ilvl w:val="6"/>
        <w:numId w:val="25"/>
      </w:numPr>
      <w:outlineLvl w:val="6"/>
    </w:pPr>
    <w:rPr>
      <w:rFonts w:hAnsi="Arial"/>
      <w:kern w:val="32"/>
    </w:rPr>
  </w:style>
  <w:style w:type="paragraph" w:styleId="8">
    <w:name w:val="heading 8"/>
    <w:basedOn w:val="a5"/>
    <w:link w:val="80"/>
    <w:uiPriority w:val="99"/>
    <w:qFormat/>
    <w:rsid w:val="004F5E57"/>
    <w:pPr>
      <w:numPr>
        <w:ilvl w:val="7"/>
        <w:numId w:val="25"/>
      </w:numPr>
      <w:outlineLvl w:val="7"/>
    </w:pPr>
    <w:rPr>
      <w:rFonts w:hAnsi="Arial"/>
      <w:kern w:val="32"/>
    </w:rPr>
  </w:style>
  <w:style w:type="paragraph" w:styleId="9">
    <w:name w:val="heading 9"/>
    <w:basedOn w:val="a5"/>
    <w:link w:val="90"/>
    <w:uiPriority w:val="99"/>
    <w:qFormat/>
    <w:rsid w:val="00C055EC"/>
    <w:pPr>
      <w:numPr>
        <w:ilvl w:val="8"/>
        <w:numId w:val="25"/>
      </w:numPr>
      <w:ind w:left="3403" w:hanging="851"/>
      <w:outlineLvl w:val="8"/>
    </w:pPr>
    <w:rPr>
      <w:rFonts w:hAnsi="Cambria"/>
      <w:kern w:val="3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標題 1 字元"/>
    <w:link w:val="1"/>
    <w:uiPriority w:val="9"/>
    <w:rsid w:val="0093715B"/>
    <w:rPr>
      <w:rFonts w:ascii="Cambria" w:eastAsia="新細明體" w:hAnsi="Cambria" w:cs="Times New Roman"/>
      <w:b/>
      <w:bCs/>
      <w:kern w:val="52"/>
      <w:sz w:val="52"/>
      <w:szCs w:val="52"/>
    </w:rPr>
  </w:style>
  <w:style w:type="character" w:customStyle="1" w:styleId="20">
    <w:name w:val="標題 2 字元"/>
    <w:link w:val="2"/>
    <w:uiPriority w:val="99"/>
    <w:rsid w:val="0031455E"/>
    <w:rPr>
      <w:rFonts w:ascii="標楷體" w:eastAsia="標楷體" w:hAnsi="Arial" w:cs="標楷體"/>
      <w:kern w:val="32"/>
      <w:sz w:val="48"/>
      <w:szCs w:val="48"/>
    </w:rPr>
  </w:style>
  <w:style w:type="character" w:customStyle="1" w:styleId="30">
    <w:name w:val="標題 3 字元"/>
    <w:link w:val="3"/>
    <w:uiPriority w:val="9"/>
    <w:semiHidden/>
    <w:rsid w:val="0093715B"/>
    <w:rPr>
      <w:rFonts w:ascii="Cambria" w:eastAsia="新細明體" w:hAnsi="Cambria" w:cs="Times New Roman"/>
      <w:b/>
      <w:bCs/>
      <w:sz w:val="36"/>
      <w:szCs w:val="36"/>
    </w:rPr>
  </w:style>
  <w:style w:type="character" w:customStyle="1" w:styleId="40">
    <w:name w:val="標題 4 字元"/>
    <w:link w:val="4"/>
    <w:uiPriority w:val="9"/>
    <w:semiHidden/>
    <w:rsid w:val="0093715B"/>
    <w:rPr>
      <w:rFonts w:ascii="Cambria" w:eastAsia="新細明體" w:hAnsi="Cambria" w:cs="Times New Roman"/>
      <w:sz w:val="36"/>
      <w:szCs w:val="36"/>
    </w:rPr>
  </w:style>
  <w:style w:type="character" w:customStyle="1" w:styleId="50">
    <w:name w:val="標題 5 字元"/>
    <w:link w:val="5"/>
    <w:uiPriority w:val="9"/>
    <w:semiHidden/>
    <w:rsid w:val="0093715B"/>
    <w:rPr>
      <w:rFonts w:ascii="Cambria" w:eastAsia="新細明體" w:hAnsi="Cambria" w:cs="Times New Roman"/>
      <w:b/>
      <w:bCs/>
      <w:sz w:val="36"/>
      <w:szCs w:val="36"/>
    </w:rPr>
  </w:style>
  <w:style w:type="character" w:customStyle="1" w:styleId="60">
    <w:name w:val="標題 6 字元"/>
    <w:link w:val="6"/>
    <w:uiPriority w:val="9"/>
    <w:semiHidden/>
    <w:rsid w:val="0093715B"/>
    <w:rPr>
      <w:rFonts w:ascii="Cambria" w:eastAsia="新細明體" w:hAnsi="Cambria" w:cs="Times New Roman"/>
      <w:sz w:val="36"/>
      <w:szCs w:val="36"/>
    </w:rPr>
  </w:style>
  <w:style w:type="character" w:customStyle="1" w:styleId="70">
    <w:name w:val="標題 7 字元"/>
    <w:link w:val="7"/>
    <w:uiPriority w:val="9"/>
    <w:semiHidden/>
    <w:rsid w:val="0093715B"/>
    <w:rPr>
      <w:rFonts w:ascii="Cambria" w:eastAsia="新細明體" w:hAnsi="Cambria" w:cs="Times New Roman"/>
      <w:b/>
      <w:bCs/>
      <w:sz w:val="36"/>
      <w:szCs w:val="36"/>
    </w:rPr>
  </w:style>
  <w:style w:type="character" w:customStyle="1" w:styleId="80">
    <w:name w:val="標題 8 字元"/>
    <w:link w:val="8"/>
    <w:uiPriority w:val="9"/>
    <w:semiHidden/>
    <w:rsid w:val="0093715B"/>
    <w:rPr>
      <w:rFonts w:ascii="Cambria" w:eastAsia="新細明體" w:hAnsi="Cambria" w:cs="Times New Roman"/>
      <w:sz w:val="36"/>
      <w:szCs w:val="36"/>
    </w:rPr>
  </w:style>
  <w:style w:type="character" w:customStyle="1" w:styleId="90">
    <w:name w:val="標題 9 字元"/>
    <w:link w:val="9"/>
    <w:uiPriority w:val="99"/>
    <w:rsid w:val="00C055EC"/>
    <w:rPr>
      <w:rFonts w:ascii="標楷體" w:eastAsia="標楷體" w:hAnsi="Cambria" w:cs="標楷體"/>
      <w:kern w:val="32"/>
      <w:sz w:val="36"/>
      <w:szCs w:val="36"/>
    </w:rPr>
  </w:style>
  <w:style w:type="paragraph" w:styleId="a9">
    <w:name w:val="Signature"/>
    <w:basedOn w:val="a5"/>
    <w:link w:val="aa"/>
    <w:uiPriority w:val="99"/>
    <w:semiHidden/>
    <w:rsid w:val="004E0062"/>
    <w:pPr>
      <w:spacing w:before="720" w:after="720"/>
      <w:ind w:left="7371"/>
    </w:pPr>
    <w:rPr>
      <w:b/>
      <w:bCs/>
      <w:spacing w:val="10"/>
      <w:sz w:val="36"/>
      <w:szCs w:val="36"/>
    </w:rPr>
  </w:style>
  <w:style w:type="character" w:customStyle="1" w:styleId="aa">
    <w:name w:val="簽名 字元"/>
    <w:link w:val="a9"/>
    <w:uiPriority w:val="99"/>
    <w:semiHidden/>
    <w:rsid w:val="0093715B"/>
    <w:rPr>
      <w:rFonts w:ascii="標楷體" w:eastAsia="標楷體" w:cs="標楷體"/>
      <w:sz w:val="32"/>
      <w:szCs w:val="32"/>
    </w:rPr>
  </w:style>
  <w:style w:type="paragraph" w:styleId="ab">
    <w:name w:val="endnote text"/>
    <w:basedOn w:val="a5"/>
    <w:link w:val="ac"/>
    <w:uiPriority w:val="99"/>
    <w:semiHidden/>
    <w:rsid w:val="004E0062"/>
    <w:pPr>
      <w:autoSpaceDE/>
      <w:spacing w:before="240"/>
      <w:ind w:left="1021" w:hanging="1021"/>
    </w:pPr>
    <w:rPr>
      <w:spacing w:val="10"/>
    </w:rPr>
  </w:style>
  <w:style w:type="character" w:customStyle="1" w:styleId="ac">
    <w:name w:val="章節附註文字 字元"/>
    <w:link w:val="ab"/>
    <w:uiPriority w:val="99"/>
    <w:semiHidden/>
    <w:rsid w:val="0093715B"/>
    <w:rPr>
      <w:rFonts w:ascii="標楷體" w:eastAsia="標楷體" w:cs="標楷體"/>
      <w:sz w:val="32"/>
      <w:szCs w:val="32"/>
    </w:rPr>
  </w:style>
  <w:style w:type="paragraph" w:styleId="51">
    <w:name w:val="toc 5"/>
    <w:basedOn w:val="a5"/>
    <w:next w:val="a5"/>
    <w:autoRedefine/>
    <w:uiPriority w:val="99"/>
    <w:semiHidden/>
    <w:rsid w:val="004E0062"/>
    <w:pPr>
      <w:ind w:leftChars="400" w:left="600" w:rightChars="200" w:right="200" w:hangingChars="200" w:hanging="200"/>
    </w:pPr>
  </w:style>
  <w:style w:type="character" w:styleId="ad">
    <w:name w:val="page number"/>
    <w:uiPriority w:val="99"/>
    <w:semiHidden/>
    <w:rsid w:val="004E0062"/>
    <w:rPr>
      <w:rFonts w:ascii="標楷體" w:eastAsia="標楷體" w:cs="標楷體"/>
      <w:sz w:val="20"/>
      <w:szCs w:val="20"/>
    </w:rPr>
  </w:style>
  <w:style w:type="paragraph" w:styleId="61">
    <w:name w:val="toc 6"/>
    <w:basedOn w:val="a5"/>
    <w:next w:val="a5"/>
    <w:autoRedefine/>
    <w:uiPriority w:val="99"/>
    <w:semiHidden/>
    <w:rsid w:val="004E0062"/>
    <w:pPr>
      <w:ind w:leftChars="500" w:left="500"/>
    </w:pPr>
  </w:style>
  <w:style w:type="paragraph" w:customStyle="1" w:styleId="11">
    <w:name w:val="段落樣式1"/>
    <w:basedOn w:val="a5"/>
    <w:uiPriority w:val="99"/>
    <w:rsid w:val="004F5E57"/>
    <w:pPr>
      <w:tabs>
        <w:tab w:val="left" w:pos="567"/>
      </w:tabs>
      <w:ind w:leftChars="200" w:left="200" w:firstLineChars="200" w:firstLine="200"/>
    </w:pPr>
    <w:rPr>
      <w:kern w:val="32"/>
    </w:rPr>
  </w:style>
  <w:style w:type="paragraph" w:customStyle="1" w:styleId="21">
    <w:name w:val="段落樣式2"/>
    <w:basedOn w:val="a5"/>
    <w:uiPriority w:val="99"/>
    <w:rsid w:val="004F5E57"/>
    <w:pPr>
      <w:tabs>
        <w:tab w:val="left" w:pos="567"/>
      </w:tabs>
      <w:ind w:leftChars="300" w:left="300" w:firstLineChars="200" w:firstLine="200"/>
    </w:pPr>
    <w:rPr>
      <w:kern w:val="32"/>
    </w:rPr>
  </w:style>
  <w:style w:type="paragraph" w:styleId="12">
    <w:name w:val="toc 1"/>
    <w:basedOn w:val="a5"/>
    <w:next w:val="a5"/>
    <w:autoRedefine/>
    <w:uiPriority w:val="99"/>
    <w:semiHidden/>
    <w:rsid w:val="00CC7690"/>
    <w:pPr>
      <w:tabs>
        <w:tab w:val="right" w:leader="hyphen" w:pos="8834"/>
      </w:tabs>
      <w:ind w:left="400" w:rightChars="100" w:right="100" w:hangingChars="400" w:hanging="400"/>
    </w:pPr>
    <w:rPr>
      <w:noProof/>
    </w:rPr>
  </w:style>
  <w:style w:type="paragraph" w:styleId="22">
    <w:name w:val="toc 2"/>
    <w:basedOn w:val="a5"/>
    <w:next w:val="a5"/>
    <w:autoRedefine/>
    <w:uiPriority w:val="99"/>
    <w:semiHidden/>
    <w:rsid w:val="00807AF7"/>
    <w:pPr>
      <w:tabs>
        <w:tab w:val="right" w:leader="hyphen" w:pos="8834"/>
      </w:tabs>
      <w:ind w:leftChars="100" w:left="1020" w:rightChars="100" w:right="340" w:hangingChars="200" w:hanging="680"/>
    </w:pPr>
    <w:rPr>
      <w:noProof/>
    </w:rPr>
  </w:style>
  <w:style w:type="paragraph" w:styleId="31">
    <w:name w:val="toc 3"/>
    <w:basedOn w:val="a5"/>
    <w:next w:val="a5"/>
    <w:autoRedefine/>
    <w:uiPriority w:val="99"/>
    <w:semiHidden/>
    <w:rsid w:val="00CC7690"/>
    <w:pPr>
      <w:tabs>
        <w:tab w:val="right" w:leader="hyphen" w:pos="8834"/>
      </w:tabs>
      <w:ind w:leftChars="200" w:left="1360" w:rightChars="100" w:right="340" w:hangingChars="200" w:hanging="680"/>
    </w:pPr>
    <w:rPr>
      <w:noProof/>
    </w:rPr>
  </w:style>
  <w:style w:type="paragraph" w:styleId="41">
    <w:name w:val="toc 4"/>
    <w:basedOn w:val="a5"/>
    <w:next w:val="a5"/>
    <w:autoRedefine/>
    <w:uiPriority w:val="99"/>
    <w:semiHidden/>
    <w:rsid w:val="004E0062"/>
    <w:pPr>
      <w:ind w:leftChars="300" w:left="500" w:rightChars="200" w:right="200" w:hangingChars="200" w:hanging="200"/>
    </w:pPr>
  </w:style>
  <w:style w:type="paragraph" w:styleId="71">
    <w:name w:val="toc 7"/>
    <w:basedOn w:val="a5"/>
    <w:next w:val="a5"/>
    <w:autoRedefine/>
    <w:uiPriority w:val="99"/>
    <w:semiHidden/>
    <w:rsid w:val="004E0062"/>
    <w:pPr>
      <w:ind w:leftChars="600" w:left="800" w:hangingChars="200" w:hanging="200"/>
    </w:pPr>
  </w:style>
  <w:style w:type="paragraph" w:styleId="81">
    <w:name w:val="toc 8"/>
    <w:basedOn w:val="a5"/>
    <w:next w:val="a5"/>
    <w:autoRedefine/>
    <w:uiPriority w:val="99"/>
    <w:semiHidden/>
    <w:rsid w:val="004E0062"/>
    <w:pPr>
      <w:ind w:leftChars="700" w:left="900" w:hangingChars="200" w:hanging="200"/>
    </w:pPr>
  </w:style>
  <w:style w:type="paragraph" w:styleId="91">
    <w:name w:val="toc 9"/>
    <w:basedOn w:val="a5"/>
    <w:next w:val="a5"/>
    <w:autoRedefine/>
    <w:uiPriority w:val="99"/>
    <w:semiHidden/>
    <w:rsid w:val="004E0062"/>
    <w:pPr>
      <w:ind w:leftChars="1600" w:left="3840"/>
    </w:pPr>
  </w:style>
  <w:style w:type="paragraph" w:styleId="ae">
    <w:name w:val="header"/>
    <w:basedOn w:val="a5"/>
    <w:link w:val="af"/>
    <w:uiPriority w:val="99"/>
    <w:rsid w:val="004E0062"/>
    <w:pPr>
      <w:tabs>
        <w:tab w:val="center" w:pos="4153"/>
        <w:tab w:val="right" w:pos="8306"/>
      </w:tabs>
      <w:snapToGrid w:val="0"/>
    </w:pPr>
    <w:rPr>
      <w:sz w:val="20"/>
      <w:szCs w:val="20"/>
    </w:rPr>
  </w:style>
  <w:style w:type="character" w:customStyle="1" w:styleId="af">
    <w:name w:val="頁首 字元"/>
    <w:link w:val="ae"/>
    <w:uiPriority w:val="99"/>
    <w:rsid w:val="0093715B"/>
    <w:rPr>
      <w:rFonts w:ascii="標楷體" w:eastAsia="標楷體" w:cs="標楷體"/>
      <w:sz w:val="20"/>
      <w:szCs w:val="20"/>
    </w:rPr>
  </w:style>
  <w:style w:type="paragraph" w:customStyle="1" w:styleId="32">
    <w:name w:val="段落樣式3"/>
    <w:basedOn w:val="21"/>
    <w:uiPriority w:val="99"/>
    <w:rsid w:val="004F5E57"/>
    <w:pPr>
      <w:ind w:leftChars="400" w:left="400"/>
    </w:pPr>
  </w:style>
  <w:style w:type="character" w:styleId="af0">
    <w:name w:val="Hyperlink"/>
    <w:uiPriority w:val="99"/>
    <w:rsid w:val="004E0062"/>
    <w:rPr>
      <w:color w:val="0000FF"/>
      <w:u w:val="single"/>
    </w:rPr>
  </w:style>
  <w:style w:type="paragraph" w:customStyle="1" w:styleId="af1">
    <w:name w:val="簽名日期"/>
    <w:basedOn w:val="a5"/>
    <w:uiPriority w:val="99"/>
    <w:rsid w:val="004E0062"/>
    <w:pPr>
      <w:jc w:val="distribute"/>
    </w:pPr>
    <w:rPr>
      <w:kern w:val="0"/>
    </w:rPr>
  </w:style>
  <w:style w:type="paragraph" w:customStyle="1" w:styleId="0">
    <w:name w:val="段落樣式0"/>
    <w:basedOn w:val="21"/>
    <w:uiPriority w:val="99"/>
    <w:rsid w:val="004F5E57"/>
    <w:pPr>
      <w:ind w:leftChars="200" w:left="200" w:firstLineChars="0" w:firstLine="0"/>
    </w:pPr>
  </w:style>
  <w:style w:type="paragraph" w:customStyle="1" w:styleId="af2">
    <w:name w:val="附件"/>
    <w:basedOn w:val="ab"/>
    <w:uiPriority w:val="99"/>
    <w:rsid w:val="004E0062"/>
    <w:pPr>
      <w:spacing w:before="0"/>
      <w:ind w:left="1047" w:hangingChars="300" w:hanging="1047"/>
    </w:pPr>
    <w:rPr>
      <w:spacing w:val="0"/>
      <w:kern w:val="0"/>
    </w:rPr>
  </w:style>
  <w:style w:type="paragraph" w:customStyle="1" w:styleId="42">
    <w:name w:val="段落樣式4"/>
    <w:basedOn w:val="32"/>
    <w:uiPriority w:val="99"/>
    <w:rsid w:val="004F5E57"/>
    <w:pPr>
      <w:ind w:leftChars="500" w:left="500"/>
    </w:pPr>
  </w:style>
  <w:style w:type="paragraph" w:customStyle="1" w:styleId="52">
    <w:name w:val="段落樣式5"/>
    <w:basedOn w:val="42"/>
    <w:uiPriority w:val="99"/>
    <w:rsid w:val="004F5E57"/>
    <w:pPr>
      <w:ind w:leftChars="600" w:left="600"/>
    </w:pPr>
  </w:style>
  <w:style w:type="paragraph" w:customStyle="1" w:styleId="62">
    <w:name w:val="段落樣式6"/>
    <w:basedOn w:val="52"/>
    <w:uiPriority w:val="99"/>
    <w:rsid w:val="004F5E57"/>
    <w:pPr>
      <w:ind w:leftChars="700" w:left="700"/>
    </w:pPr>
  </w:style>
  <w:style w:type="paragraph" w:customStyle="1" w:styleId="72">
    <w:name w:val="段落樣式7"/>
    <w:basedOn w:val="62"/>
    <w:uiPriority w:val="99"/>
    <w:rsid w:val="004F5E57"/>
    <w:pPr>
      <w:ind w:leftChars="800" w:left="800"/>
    </w:pPr>
  </w:style>
  <w:style w:type="paragraph" w:customStyle="1" w:styleId="82">
    <w:name w:val="段落樣式8"/>
    <w:basedOn w:val="72"/>
    <w:uiPriority w:val="99"/>
    <w:rsid w:val="004F5E57"/>
    <w:pPr>
      <w:ind w:leftChars="900" w:left="900"/>
    </w:pPr>
  </w:style>
  <w:style w:type="paragraph" w:customStyle="1" w:styleId="af3">
    <w:name w:val="附表樣式"/>
    <w:basedOn w:val="a5"/>
    <w:uiPriority w:val="99"/>
    <w:rsid w:val="00B77D18"/>
    <w:pPr>
      <w:keepNext/>
      <w:outlineLvl w:val="0"/>
    </w:pPr>
    <w:rPr>
      <w:kern w:val="32"/>
    </w:rPr>
  </w:style>
  <w:style w:type="paragraph" w:styleId="af4">
    <w:name w:val="Body Text Indent"/>
    <w:basedOn w:val="a5"/>
    <w:link w:val="af5"/>
    <w:uiPriority w:val="99"/>
    <w:semiHidden/>
    <w:rsid w:val="004E0062"/>
    <w:pPr>
      <w:ind w:left="698" w:hangingChars="200" w:hanging="698"/>
    </w:pPr>
  </w:style>
  <w:style w:type="character" w:customStyle="1" w:styleId="af5">
    <w:name w:val="本文縮排 字元"/>
    <w:link w:val="af4"/>
    <w:uiPriority w:val="99"/>
    <w:semiHidden/>
    <w:rsid w:val="0093715B"/>
    <w:rPr>
      <w:rFonts w:ascii="標楷體" w:eastAsia="標楷體" w:cs="標楷體"/>
      <w:sz w:val="32"/>
      <w:szCs w:val="32"/>
    </w:rPr>
  </w:style>
  <w:style w:type="paragraph" w:customStyle="1" w:styleId="af6">
    <w:name w:val="調查報告"/>
    <w:basedOn w:val="ab"/>
    <w:uiPriority w:val="99"/>
    <w:rsid w:val="00D75644"/>
    <w:pPr>
      <w:adjustRightInd w:val="0"/>
      <w:spacing w:before="0"/>
      <w:ind w:left="0" w:firstLine="0"/>
      <w:jc w:val="center"/>
    </w:pPr>
    <w:rPr>
      <w:b/>
      <w:bCs/>
      <w:spacing w:val="200"/>
      <w:kern w:val="0"/>
      <w:sz w:val="40"/>
      <w:szCs w:val="40"/>
    </w:rPr>
  </w:style>
  <w:style w:type="paragraph" w:customStyle="1" w:styleId="14">
    <w:name w:val="表格14"/>
    <w:basedOn w:val="a5"/>
    <w:uiPriority w:val="99"/>
    <w:rsid w:val="006072CD"/>
    <w:pPr>
      <w:adjustRightInd w:val="0"/>
      <w:snapToGrid w:val="0"/>
      <w:spacing w:line="360" w:lineRule="exact"/>
    </w:pPr>
    <w:rPr>
      <w:spacing w:val="-14"/>
      <w:kern w:val="0"/>
      <w:sz w:val="28"/>
      <w:szCs w:val="28"/>
    </w:rPr>
  </w:style>
  <w:style w:type="paragraph" w:customStyle="1" w:styleId="a">
    <w:name w:val="附圖樣式"/>
    <w:basedOn w:val="a5"/>
    <w:uiPriority w:val="99"/>
    <w:rsid w:val="00B77D18"/>
    <w:pPr>
      <w:keepNext/>
      <w:numPr>
        <w:numId w:val="3"/>
      </w:numPr>
      <w:ind w:left="400" w:hangingChars="400" w:hanging="400"/>
      <w:outlineLvl w:val="0"/>
    </w:pPr>
    <w:rPr>
      <w:kern w:val="32"/>
    </w:rPr>
  </w:style>
  <w:style w:type="paragraph" w:styleId="af7">
    <w:name w:val="footer"/>
    <w:basedOn w:val="a5"/>
    <w:link w:val="af8"/>
    <w:uiPriority w:val="99"/>
    <w:rsid w:val="004E0062"/>
    <w:pPr>
      <w:tabs>
        <w:tab w:val="center" w:pos="4153"/>
        <w:tab w:val="right" w:pos="8306"/>
      </w:tabs>
      <w:snapToGrid w:val="0"/>
    </w:pPr>
    <w:rPr>
      <w:sz w:val="20"/>
      <w:szCs w:val="20"/>
    </w:rPr>
  </w:style>
  <w:style w:type="character" w:customStyle="1" w:styleId="af8">
    <w:name w:val="頁尾 字元"/>
    <w:link w:val="af7"/>
    <w:uiPriority w:val="99"/>
    <w:rsid w:val="0093715B"/>
    <w:rPr>
      <w:rFonts w:ascii="標楷體" w:eastAsia="標楷體" w:cs="標楷體"/>
      <w:sz w:val="20"/>
      <w:szCs w:val="20"/>
    </w:rPr>
  </w:style>
  <w:style w:type="paragraph" w:styleId="af9">
    <w:name w:val="table of figures"/>
    <w:basedOn w:val="a5"/>
    <w:next w:val="a5"/>
    <w:uiPriority w:val="99"/>
    <w:semiHidden/>
    <w:rsid w:val="004E0062"/>
    <w:pPr>
      <w:ind w:left="400" w:hangingChars="400" w:hanging="400"/>
    </w:pPr>
  </w:style>
  <w:style w:type="paragraph" w:customStyle="1" w:styleId="140">
    <w:name w:val="表格標題14"/>
    <w:basedOn w:val="a5"/>
    <w:uiPriority w:val="99"/>
    <w:rsid w:val="00E15352"/>
    <w:pPr>
      <w:keepNext/>
      <w:adjustRightInd w:val="0"/>
      <w:snapToGrid w:val="0"/>
      <w:spacing w:before="40" w:after="40" w:line="320" w:lineRule="exact"/>
      <w:jc w:val="center"/>
    </w:pPr>
    <w:rPr>
      <w:spacing w:val="-10"/>
      <w:kern w:val="0"/>
      <w:sz w:val="28"/>
      <w:szCs w:val="28"/>
    </w:rPr>
  </w:style>
  <w:style w:type="paragraph" w:customStyle="1" w:styleId="a2">
    <w:name w:val="表標題"/>
    <w:uiPriority w:val="99"/>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cs="標楷體"/>
      <w:spacing w:val="-10"/>
      <w:kern w:val="28"/>
      <w:sz w:val="28"/>
      <w:szCs w:val="28"/>
    </w:rPr>
  </w:style>
  <w:style w:type="paragraph" w:customStyle="1" w:styleId="afa">
    <w:name w:val="資料來源"/>
    <w:basedOn w:val="120"/>
    <w:uiPriority w:val="99"/>
    <w:rsid w:val="0045084C"/>
    <w:pPr>
      <w:spacing w:before="40" w:after="360"/>
    </w:pPr>
    <w:rPr>
      <w:spacing w:val="-10"/>
    </w:rPr>
  </w:style>
  <w:style w:type="paragraph" w:customStyle="1" w:styleId="a0">
    <w:name w:val="圖標題"/>
    <w:basedOn w:val="a5"/>
    <w:uiPriority w:val="99"/>
    <w:rsid w:val="00860463"/>
    <w:pPr>
      <w:numPr>
        <w:numId w:val="23"/>
      </w:numPr>
      <w:adjustRightInd w:val="0"/>
      <w:snapToGrid w:val="0"/>
      <w:spacing w:before="40" w:after="240" w:line="360" w:lineRule="exact"/>
      <w:ind w:left="697" w:hanging="697"/>
      <w:jc w:val="center"/>
      <w:textAlignment w:val="baseline"/>
    </w:pPr>
    <w:rPr>
      <w:rFonts w:hAnsi="華康楷書體W5(P)"/>
      <w:spacing w:val="-10"/>
      <w:kern w:val="28"/>
      <w:sz w:val="28"/>
      <w:szCs w:val="28"/>
    </w:rPr>
  </w:style>
  <w:style w:type="table" w:styleId="afb">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uiPriority w:val="99"/>
    <w:rsid w:val="00E15352"/>
    <w:pPr>
      <w:spacing w:line="240" w:lineRule="exact"/>
    </w:pPr>
    <w:rPr>
      <w:sz w:val="24"/>
      <w:szCs w:val="24"/>
    </w:rPr>
  </w:style>
  <w:style w:type="paragraph" w:customStyle="1" w:styleId="120">
    <w:name w:val="表格12"/>
    <w:basedOn w:val="14"/>
    <w:uiPriority w:val="99"/>
    <w:rsid w:val="004224FA"/>
    <w:pPr>
      <w:spacing w:line="300" w:lineRule="exact"/>
    </w:pPr>
    <w:rPr>
      <w:sz w:val="24"/>
      <w:szCs w:val="24"/>
    </w:rPr>
  </w:style>
  <w:style w:type="paragraph" w:customStyle="1" w:styleId="a3">
    <w:name w:val="附錄"/>
    <w:basedOn w:val="a5"/>
    <w:uiPriority w:val="99"/>
    <w:rsid w:val="00B77D18"/>
    <w:pPr>
      <w:keepNext/>
      <w:numPr>
        <w:numId w:val="24"/>
      </w:numPr>
      <w:ind w:left="350" w:hangingChars="350" w:hanging="350"/>
      <w:outlineLvl w:val="0"/>
    </w:pPr>
    <w:rPr>
      <w:kern w:val="32"/>
    </w:rPr>
  </w:style>
  <w:style w:type="paragraph" w:styleId="afc">
    <w:name w:val="List Paragraph"/>
    <w:basedOn w:val="a5"/>
    <w:uiPriority w:val="99"/>
    <w:qFormat/>
    <w:rsid w:val="00687024"/>
    <w:pPr>
      <w:ind w:leftChars="200" w:left="480"/>
    </w:pPr>
  </w:style>
  <w:style w:type="paragraph" w:styleId="afd">
    <w:name w:val="Balloon Text"/>
    <w:basedOn w:val="a5"/>
    <w:link w:val="afe"/>
    <w:uiPriority w:val="99"/>
    <w:semiHidden/>
    <w:rsid w:val="00C530DC"/>
    <w:rPr>
      <w:rFonts w:ascii="Cambria" w:eastAsia="新細明體" w:hAnsi="Cambria" w:cs="Cambria"/>
      <w:sz w:val="18"/>
      <w:szCs w:val="18"/>
    </w:rPr>
  </w:style>
  <w:style w:type="character" w:customStyle="1" w:styleId="afe">
    <w:name w:val="註解方塊文字 字元"/>
    <w:link w:val="afd"/>
    <w:uiPriority w:val="99"/>
    <w:semiHidden/>
    <w:rsid w:val="00C530DC"/>
    <w:rPr>
      <w:rFonts w:ascii="Cambria" w:eastAsia="新細明體" w:hAnsi="Cambria" w:cs="Cambria"/>
      <w:kern w:val="2"/>
      <w:sz w:val="18"/>
      <w:szCs w:val="18"/>
    </w:rPr>
  </w:style>
  <w:style w:type="paragraph" w:customStyle="1" w:styleId="a4">
    <w:name w:val="照片標題"/>
    <w:uiPriority w:val="99"/>
    <w:rsid w:val="00AF7DB7"/>
    <w:pPr>
      <w:numPr>
        <w:numId w:val="28"/>
      </w:numPr>
      <w:adjustRightInd w:val="0"/>
      <w:snapToGrid w:val="0"/>
      <w:spacing w:before="40" w:after="240"/>
      <w:ind w:left="482" w:hanging="482"/>
      <w:jc w:val="both"/>
    </w:pPr>
    <w:rPr>
      <w:rFonts w:ascii="標楷體" w:eastAsia="標楷體" w:hAnsi="華康楷書體W5(P)" w:cs="標楷體"/>
      <w:spacing w:val="-10"/>
      <w:kern w:val="28"/>
      <w:sz w:val="28"/>
      <w:szCs w:val="28"/>
    </w:rPr>
  </w:style>
  <w:style w:type="paragraph" w:customStyle="1" w:styleId="a1">
    <w:name w:val="附件樣式"/>
    <w:basedOn w:val="a5"/>
    <w:uiPriority w:val="99"/>
    <w:rsid w:val="00B77D18"/>
    <w:pPr>
      <w:keepNext/>
      <w:numPr>
        <w:numId w:val="30"/>
      </w:numPr>
      <w:ind w:left="400" w:hangingChars="400" w:hanging="400"/>
      <w:outlineLvl w:val="0"/>
    </w:pPr>
    <w:rPr>
      <w:kern w:val="32"/>
    </w:rPr>
  </w:style>
  <w:style w:type="paragraph" w:customStyle="1" w:styleId="92">
    <w:name w:val="段落樣式9"/>
    <w:basedOn w:val="82"/>
    <w:uiPriority w:val="99"/>
    <w:rsid w:val="00831693"/>
    <w:pPr>
      <w:ind w:leftChars="1000" w:left="1000"/>
    </w:pPr>
  </w:style>
  <w:style w:type="paragraph" w:styleId="aff">
    <w:name w:val="Plain Text"/>
    <w:basedOn w:val="a5"/>
    <w:link w:val="aff0"/>
    <w:uiPriority w:val="99"/>
    <w:semiHidden/>
    <w:rsid w:val="004F472A"/>
    <w:pPr>
      <w:overflowPunct/>
      <w:autoSpaceDE/>
      <w:autoSpaceDN/>
      <w:jc w:val="left"/>
    </w:pPr>
    <w:rPr>
      <w:rFonts w:ascii="Calibri" w:hAnsi="Courier New" w:cs="Calibri"/>
      <w:color w:val="244061"/>
      <w:kern w:val="0"/>
      <w:sz w:val="28"/>
      <w:szCs w:val="28"/>
    </w:rPr>
  </w:style>
  <w:style w:type="character" w:customStyle="1" w:styleId="aff0">
    <w:name w:val="純文字 字元"/>
    <w:link w:val="aff"/>
    <w:uiPriority w:val="99"/>
    <w:semiHidden/>
    <w:rsid w:val="004F472A"/>
    <w:rPr>
      <w:rFonts w:ascii="Calibri" w:eastAsia="標楷體" w:hAnsi="Courier New" w:cs="Calibri"/>
      <w:color w:val="244061"/>
      <w:sz w:val="24"/>
      <w:szCs w:val="24"/>
    </w:rPr>
  </w:style>
  <w:style w:type="paragraph" w:styleId="aff1">
    <w:name w:val="footnote text"/>
    <w:basedOn w:val="a5"/>
    <w:link w:val="aff2"/>
    <w:rsid w:val="009F19FF"/>
    <w:pPr>
      <w:snapToGrid w:val="0"/>
      <w:jc w:val="left"/>
    </w:pPr>
    <w:rPr>
      <w:sz w:val="20"/>
      <w:szCs w:val="20"/>
    </w:rPr>
  </w:style>
  <w:style w:type="character" w:customStyle="1" w:styleId="aff2">
    <w:name w:val="註腳文字 字元"/>
    <w:link w:val="aff1"/>
    <w:rsid w:val="009F19FF"/>
    <w:rPr>
      <w:rFonts w:ascii="標楷體" w:eastAsia="標楷體" w:cs="標楷體"/>
      <w:kern w:val="2"/>
    </w:rPr>
  </w:style>
  <w:style w:type="character" w:styleId="aff3">
    <w:name w:val="footnote reference"/>
    <w:rsid w:val="009F19FF"/>
    <w:rPr>
      <w:vertAlign w:val="superscript"/>
    </w:rPr>
  </w:style>
  <w:style w:type="paragraph" w:styleId="aff4">
    <w:name w:val="Document Map"/>
    <w:basedOn w:val="a5"/>
    <w:link w:val="aff5"/>
    <w:uiPriority w:val="99"/>
    <w:semiHidden/>
    <w:rsid w:val="0024697B"/>
    <w:pPr>
      <w:shd w:val="clear" w:color="auto" w:fill="000080"/>
    </w:pPr>
    <w:rPr>
      <w:rFonts w:ascii="Arial" w:eastAsia="新細明體" w:hAnsi="Arial" w:cs="Arial"/>
    </w:rPr>
  </w:style>
  <w:style w:type="character" w:customStyle="1" w:styleId="aff5">
    <w:name w:val="文件引導模式 字元"/>
    <w:link w:val="aff4"/>
    <w:uiPriority w:val="99"/>
    <w:semiHidden/>
    <w:rsid w:val="0093715B"/>
    <w:rPr>
      <w:rFonts w:eastAsia="標楷體"/>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4693">
      <w:marLeft w:val="0"/>
      <w:marRight w:val="0"/>
      <w:marTop w:val="0"/>
      <w:marBottom w:val="0"/>
      <w:divBdr>
        <w:top w:val="none" w:sz="0" w:space="0" w:color="auto"/>
        <w:left w:val="none" w:sz="0" w:space="0" w:color="auto"/>
        <w:bottom w:val="none" w:sz="0" w:space="0" w:color="auto"/>
        <w:right w:val="none" w:sz="0" w:space="0" w:color="auto"/>
      </w:divBdr>
    </w:div>
    <w:div w:id="11494694">
      <w:marLeft w:val="0"/>
      <w:marRight w:val="0"/>
      <w:marTop w:val="0"/>
      <w:marBottom w:val="0"/>
      <w:divBdr>
        <w:top w:val="none" w:sz="0" w:space="0" w:color="auto"/>
        <w:left w:val="none" w:sz="0" w:space="0" w:color="auto"/>
        <w:bottom w:val="none" w:sz="0" w:space="0" w:color="auto"/>
        <w:right w:val="none" w:sz="0" w:space="0" w:color="auto"/>
      </w:divBdr>
    </w:div>
    <w:div w:id="11494695">
      <w:marLeft w:val="0"/>
      <w:marRight w:val="0"/>
      <w:marTop w:val="0"/>
      <w:marBottom w:val="0"/>
      <w:divBdr>
        <w:top w:val="none" w:sz="0" w:space="0" w:color="auto"/>
        <w:left w:val="none" w:sz="0" w:space="0" w:color="auto"/>
        <w:bottom w:val="none" w:sz="0" w:space="0" w:color="auto"/>
        <w:right w:val="none" w:sz="0" w:space="0" w:color="auto"/>
      </w:divBdr>
    </w:div>
    <w:div w:id="214553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08A34-1BDC-4CA2-8DEA-F265BD69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87</TotalTime>
  <Pages>19</Pages>
  <Words>2325</Words>
  <Characters>13254</Characters>
  <Application>Microsoft Office Word</Application>
  <DocSecurity>0</DocSecurity>
  <Lines>110</Lines>
  <Paragraphs>31</Paragraphs>
  <ScaleCrop>false</ScaleCrop>
  <Company>cy</Company>
  <LinksUpToDate>false</LinksUpToDate>
  <CharactersWithSpaces>15548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莊晉源</dc:creator>
  <cp:keywords/>
  <dc:description/>
  <cp:lastModifiedBy>蔡昀穎</cp:lastModifiedBy>
  <cp:revision>3</cp:revision>
  <cp:lastPrinted>2021-03-11T07:56:00Z</cp:lastPrinted>
  <dcterms:created xsi:type="dcterms:W3CDTF">2021-03-11T02:04:00Z</dcterms:created>
  <dcterms:modified xsi:type="dcterms:W3CDTF">2021-03-11T09:08:00Z</dcterms:modified>
</cp:coreProperties>
</file>