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B17AA" w:rsidRDefault="00061FE5" w:rsidP="00F37D7B">
      <w:pPr>
        <w:pStyle w:val="af2"/>
        <w:rPr>
          <w:color w:val="000000" w:themeColor="text1"/>
        </w:rPr>
      </w:pPr>
      <w:r w:rsidRPr="009B17AA">
        <w:rPr>
          <w:rFonts w:hint="eastAsia"/>
          <w:color w:val="000000" w:themeColor="text1"/>
        </w:rPr>
        <w:t>調查</w:t>
      </w:r>
      <w:r w:rsidR="00D75644" w:rsidRPr="009B17AA">
        <w:rPr>
          <w:rFonts w:hint="eastAsia"/>
          <w:color w:val="000000" w:themeColor="text1"/>
        </w:rPr>
        <w:t>報告</w:t>
      </w:r>
    </w:p>
    <w:p w:rsidR="00E25849" w:rsidRPr="009B17A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B17A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84BA6" w:rsidRPr="009B17AA">
        <w:rPr>
          <w:color w:val="000000" w:themeColor="text1"/>
        </w:rPr>
        <w:t>據訴，</w:t>
      </w:r>
      <w:r w:rsidR="00D84BA6" w:rsidRPr="009B17AA">
        <w:rPr>
          <w:rFonts w:hint="eastAsia"/>
          <w:color w:val="000000" w:themeColor="text1"/>
        </w:rPr>
        <w:t>渠</w:t>
      </w:r>
      <w:r w:rsidR="001B45EF" w:rsidRPr="009B17AA">
        <w:rPr>
          <w:color w:val="000000" w:themeColor="text1"/>
        </w:rPr>
        <w:t>等繼承</w:t>
      </w:r>
      <w:r w:rsidR="001B45EF" w:rsidRPr="009B17AA">
        <w:rPr>
          <w:rFonts w:hint="eastAsia"/>
          <w:color w:val="000000" w:themeColor="text1"/>
        </w:rPr>
        <w:t>坐落</w:t>
      </w:r>
      <w:r w:rsidR="001B45EF" w:rsidRPr="009B17AA">
        <w:rPr>
          <w:color w:val="000000" w:themeColor="text1"/>
        </w:rPr>
        <w:t>苗栗縣頭份市</w:t>
      </w:r>
      <w:r w:rsidR="00D84BA6" w:rsidRPr="009B17AA">
        <w:rPr>
          <w:rFonts w:hint="eastAsia"/>
          <w:color w:val="000000" w:themeColor="text1"/>
        </w:rPr>
        <w:t>重測前</w:t>
      </w:r>
      <w:r w:rsidR="001B45EF" w:rsidRPr="009B17AA">
        <w:rPr>
          <w:color w:val="000000" w:themeColor="text1"/>
        </w:rPr>
        <w:t>蟠桃段後庄小段</w:t>
      </w:r>
      <w:r w:rsidR="008A332A">
        <w:rPr>
          <w:rFonts w:hint="eastAsia"/>
          <w:color w:val="000000" w:themeColor="text1"/>
        </w:rPr>
        <w:t>○○○</w:t>
      </w:r>
      <w:r w:rsidR="008D099E" w:rsidRPr="009B17AA">
        <w:rPr>
          <w:color w:val="000000" w:themeColor="text1"/>
        </w:rPr>
        <w:t>-</w:t>
      </w:r>
      <w:r w:rsidR="008A332A">
        <w:rPr>
          <w:rFonts w:hint="eastAsia"/>
          <w:color w:val="000000" w:themeColor="text1"/>
        </w:rPr>
        <w:t>○</w:t>
      </w:r>
      <w:r w:rsidR="001B45EF" w:rsidRPr="009B17AA">
        <w:rPr>
          <w:color w:val="000000" w:themeColor="text1"/>
        </w:rPr>
        <w:t>地號等</w:t>
      </w:r>
      <w:r w:rsidR="001B45EF" w:rsidRPr="009B17AA">
        <w:rPr>
          <w:rFonts w:hint="eastAsia"/>
          <w:color w:val="000000" w:themeColor="text1"/>
        </w:rPr>
        <w:t>土地</w:t>
      </w:r>
      <w:r w:rsidR="001B45EF" w:rsidRPr="009B17AA">
        <w:rPr>
          <w:color w:val="000000" w:themeColor="text1"/>
        </w:rPr>
        <w:t>，因政府</w:t>
      </w:r>
      <w:r w:rsidR="00D84BA6" w:rsidRPr="009B17AA">
        <w:rPr>
          <w:rFonts w:hint="eastAsia"/>
          <w:color w:val="000000" w:themeColor="text1"/>
        </w:rPr>
        <w:t>開闢</w:t>
      </w:r>
      <w:r w:rsidR="001B45EF" w:rsidRPr="009B17AA">
        <w:rPr>
          <w:color w:val="000000" w:themeColor="text1"/>
        </w:rPr>
        <w:t>永貞路及新北街時道路</w:t>
      </w:r>
      <w:r w:rsidR="008A76E8" w:rsidRPr="009B17AA">
        <w:rPr>
          <w:rFonts w:hint="eastAsia"/>
          <w:color w:val="000000" w:themeColor="text1"/>
        </w:rPr>
        <w:t>涉有</w:t>
      </w:r>
      <w:r w:rsidR="00D84BA6" w:rsidRPr="009B17AA">
        <w:rPr>
          <w:color w:val="000000" w:themeColor="text1"/>
        </w:rPr>
        <w:t>偏移，致生界址</w:t>
      </w:r>
      <w:r w:rsidR="0056792C" w:rsidRPr="009B17AA">
        <w:rPr>
          <w:rFonts w:hint="eastAsia"/>
          <w:color w:val="000000" w:themeColor="text1"/>
        </w:rPr>
        <w:t>爭議；另</w:t>
      </w:r>
      <w:r w:rsidR="00502C01" w:rsidRPr="009B17AA">
        <w:rPr>
          <w:rFonts w:hint="eastAsia"/>
          <w:color w:val="000000" w:themeColor="text1"/>
        </w:rPr>
        <w:t>對於提起確認土地界址事件訴訟之法院審理程序及訴訟標的價額之核定，亦認有疑義等情</w:t>
      </w:r>
      <w:r w:rsidR="001B45EF" w:rsidRPr="009B17AA">
        <w:rPr>
          <w:color w:val="000000" w:themeColor="text1"/>
        </w:rPr>
        <w:t>案。</w:t>
      </w:r>
    </w:p>
    <w:p w:rsidR="00E25849" w:rsidRPr="009B17AA" w:rsidRDefault="00551545" w:rsidP="00D02C22">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B17A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B3B0A" w:rsidRPr="009B17AA" w:rsidRDefault="00AB3B0A" w:rsidP="00AB3B0A">
      <w:pPr>
        <w:pStyle w:val="10"/>
        <w:ind w:left="680" w:firstLine="680"/>
        <w:rPr>
          <w:color w:val="000000" w:themeColor="text1"/>
        </w:rPr>
      </w:pPr>
      <w:bookmarkStart w:id="49" w:name="_Toc524902730"/>
      <w:r w:rsidRPr="009B17AA">
        <w:rPr>
          <w:rFonts w:hint="eastAsia"/>
          <w:color w:val="000000" w:themeColor="text1"/>
        </w:rPr>
        <w:t>據</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等人陳訴，其等父親周金圭於民國(下同)48年購買坐落苗栗縣頭份鎮(</w:t>
      </w:r>
      <w:r w:rsidRPr="009B17AA">
        <w:rPr>
          <w:color w:val="000000" w:themeColor="text1"/>
        </w:rPr>
        <w:t>104年</w:t>
      </w:r>
      <w:r w:rsidRPr="009B17AA">
        <w:rPr>
          <w:rFonts w:hint="eastAsia"/>
          <w:color w:val="000000" w:themeColor="text1"/>
        </w:rPr>
        <w:t>10月5日頭份鎮</w:t>
      </w:r>
      <w:r w:rsidRPr="009B17AA">
        <w:rPr>
          <w:color w:val="000000" w:themeColor="text1"/>
        </w:rPr>
        <w:t>改制為</w:t>
      </w:r>
      <w:r w:rsidRPr="009B17AA">
        <w:rPr>
          <w:rFonts w:hint="eastAsia"/>
          <w:color w:val="000000" w:themeColor="text1"/>
        </w:rPr>
        <w:t>頭份市，以下均稱頭份市)重測前蟠桃段後庄小段</w:t>
      </w:r>
      <w:r w:rsidR="008D099E" w:rsidRPr="009B17AA">
        <w:rPr>
          <w:rFonts w:hint="eastAsia"/>
          <w:color w:val="000000" w:themeColor="text1"/>
        </w:rPr>
        <w:t>○○○</w:t>
      </w:r>
      <w:r w:rsidRPr="009B17AA">
        <w:rPr>
          <w:rFonts w:hint="eastAsia"/>
          <w:color w:val="000000" w:themeColor="text1"/>
        </w:rPr>
        <w:t>地號土地，嗣因政府開闢永貞路與新北街，經苗栗縣頭份地政事務所(下稱頭份地政)分割出多筆道路用地，並經苗栗縣頭份市公所徵收，惟因摺圖之誤，期間雖經更正部分地號之土地面積，惟土地面積與地籍圖仍不符。嗣苗栗縣政府於10</w:t>
      </w:r>
      <w:r w:rsidRPr="009B17AA">
        <w:rPr>
          <w:color w:val="000000" w:themeColor="text1"/>
        </w:rPr>
        <w:t>2</w:t>
      </w:r>
      <w:r w:rsidRPr="009B17AA">
        <w:rPr>
          <w:rFonts w:hint="eastAsia"/>
          <w:color w:val="000000" w:themeColor="text1"/>
        </w:rPr>
        <w:t>年辦理地籍圖重測時，</w:t>
      </w:r>
      <w:r w:rsidR="008D099E" w:rsidRPr="009B17AA">
        <w:rPr>
          <w:rFonts w:hint="eastAsia"/>
          <w:color w:val="000000" w:themeColor="text1"/>
        </w:rPr>
        <w:t>周○○</w:t>
      </w:r>
      <w:r w:rsidRPr="009B17AA">
        <w:rPr>
          <w:rFonts w:hint="eastAsia"/>
          <w:color w:val="000000" w:themeColor="text1"/>
        </w:rPr>
        <w:t>所有同小段</w:t>
      </w:r>
      <w:r w:rsidR="008D099E" w:rsidRPr="009B17AA">
        <w:rPr>
          <w:rFonts w:hint="eastAsia"/>
          <w:color w:val="000000" w:themeColor="text1"/>
        </w:rPr>
        <w:t>○○○-○</w:t>
      </w:r>
      <w:r w:rsidRPr="009B17AA">
        <w:rPr>
          <w:color w:val="000000" w:themeColor="text1"/>
        </w:rPr>
        <w:t xml:space="preserve"> (100</w:t>
      </w:r>
      <w:r w:rsidRPr="009B17AA">
        <w:rPr>
          <w:rFonts w:hint="eastAsia"/>
          <w:color w:val="000000" w:themeColor="text1"/>
        </w:rPr>
        <w:t>年9月15日繼承取得</w:t>
      </w:r>
      <w:r w:rsidRPr="009B17AA">
        <w:rPr>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地號(</w:t>
      </w:r>
      <w:r w:rsidRPr="009B17AA">
        <w:rPr>
          <w:color w:val="000000" w:themeColor="text1"/>
        </w:rPr>
        <w:t>88</w:t>
      </w:r>
      <w:r w:rsidRPr="009B17AA">
        <w:rPr>
          <w:rFonts w:hint="eastAsia"/>
          <w:color w:val="000000" w:themeColor="text1"/>
        </w:rPr>
        <w:t>年9月1日買賣取得)土地與財政部國有財產署(下稱國產署)經管同小段401-23地號國有土地間，及</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等人共有同小段</w:t>
      </w:r>
      <w:r w:rsidR="008D099E" w:rsidRPr="009B17AA">
        <w:rPr>
          <w:rFonts w:hint="eastAsia"/>
          <w:color w:val="000000" w:themeColor="text1"/>
        </w:rPr>
        <w:t>○○○-○○</w:t>
      </w:r>
      <w:r w:rsidRPr="009B17AA">
        <w:rPr>
          <w:rFonts w:hint="eastAsia"/>
          <w:color w:val="000000" w:themeColor="text1"/>
        </w:rPr>
        <w:t>地號(</w:t>
      </w:r>
      <w:r w:rsidRPr="009B17AA">
        <w:rPr>
          <w:color w:val="000000" w:themeColor="text1"/>
        </w:rPr>
        <w:t>100</w:t>
      </w:r>
      <w:r w:rsidRPr="009B17AA">
        <w:rPr>
          <w:rFonts w:hint="eastAsia"/>
          <w:color w:val="000000" w:themeColor="text1"/>
        </w:rPr>
        <w:t>年9月15日繼承取得)土地，與臺灣苗栗農田水利會所有苗栗縣竹南鎮竹南段一小段266-15、266</w:t>
      </w:r>
      <w:r w:rsidRPr="009B17AA">
        <w:rPr>
          <w:color w:val="000000" w:themeColor="text1"/>
        </w:rPr>
        <w:t>-16</w:t>
      </w:r>
      <w:r w:rsidRPr="009B17AA">
        <w:rPr>
          <w:rFonts w:hint="eastAsia"/>
          <w:color w:val="000000" w:themeColor="text1"/>
        </w:rPr>
        <w:t>、266</w:t>
      </w:r>
      <w:r w:rsidRPr="009B17AA">
        <w:rPr>
          <w:color w:val="000000" w:themeColor="text1"/>
        </w:rPr>
        <w:t>-17</w:t>
      </w:r>
      <w:r w:rsidRPr="009B17AA">
        <w:rPr>
          <w:rFonts w:hint="eastAsia"/>
          <w:color w:val="000000" w:themeColor="text1"/>
        </w:rPr>
        <w:t>、266</w:t>
      </w:r>
      <w:r w:rsidRPr="009B17AA">
        <w:rPr>
          <w:color w:val="000000" w:themeColor="text1"/>
        </w:rPr>
        <w:t>-18</w:t>
      </w:r>
      <w:r w:rsidRPr="009B17AA">
        <w:rPr>
          <w:rFonts w:hint="eastAsia"/>
          <w:color w:val="000000" w:themeColor="text1"/>
        </w:rPr>
        <w:t>、266</w:t>
      </w:r>
      <w:r w:rsidRPr="009B17AA">
        <w:rPr>
          <w:color w:val="000000" w:themeColor="text1"/>
        </w:rPr>
        <w:t>-19</w:t>
      </w:r>
      <w:r w:rsidRPr="009B17AA">
        <w:rPr>
          <w:rFonts w:hint="eastAsia"/>
          <w:color w:val="000000" w:themeColor="text1"/>
        </w:rPr>
        <w:t>地號土地間，均發生界址爭議，因其等均不服苗栗縣不動產糾紛調處委員會之裁處結果，而分別提起確認土地界址之訴訟，惟法院確定判決仍未能恢復原地籍圖之該等土地界址，而頭份地政迄今仍未承認因摺圖之誤致重測錯誤；另</w:t>
      </w:r>
      <w:r w:rsidR="008D099E" w:rsidRPr="009B17AA">
        <w:rPr>
          <w:rFonts w:hint="eastAsia"/>
          <w:color w:val="000000" w:themeColor="text1"/>
        </w:rPr>
        <w:t>周○○</w:t>
      </w:r>
      <w:r w:rsidRPr="009B17AA">
        <w:rPr>
          <w:rFonts w:hint="eastAsia"/>
          <w:color w:val="000000" w:themeColor="text1"/>
        </w:rPr>
        <w:t>同時對於法院審理其提起確認土地界址事件之訴訟程序及訴訟標的價額之核定等，亦認有諸多</w:t>
      </w:r>
      <w:r w:rsidRPr="009B17AA">
        <w:rPr>
          <w:rFonts w:hint="eastAsia"/>
          <w:color w:val="000000" w:themeColor="text1"/>
        </w:rPr>
        <w:lastRenderedPageBreak/>
        <w:t>疑義等情，爰陳請本院調查。</w:t>
      </w:r>
    </w:p>
    <w:p w:rsidR="00AB3B0A" w:rsidRPr="009B17AA" w:rsidRDefault="00AB3B0A" w:rsidP="00AB3B0A">
      <w:pPr>
        <w:pStyle w:val="10"/>
        <w:ind w:left="680" w:firstLine="680"/>
        <w:rPr>
          <w:color w:val="000000" w:themeColor="text1"/>
        </w:rPr>
      </w:pPr>
      <w:r w:rsidRPr="009B17AA">
        <w:rPr>
          <w:rFonts w:hint="eastAsia"/>
          <w:color w:val="000000" w:themeColor="text1"/>
        </w:rPr>
        <w:t>本院為瞭解事實，經向臺灣苗栗地方法院(下稱苗栗地院)調取</w:t>
      </w:r>
      <w:r w:rsidR="008D099E" w:rsidRPr="009B17AA">
        <w:rPr>
          <w:rFonts w:hint="eastAsia"/>
          <w:color w:val="000000" w:themeColor="text1"/>
        </w:rPr>
        <w:t>周○○</w:t>
      </w:r>
      <w:r w:rsidRPr="009B17AA">
        <w:rPr>
          <w:rFonts w:hint="eastAsia"/>
          <w:color w:val="000000" w:themeColor="text1"/>
        </w:rPr>
        <w:t>與國產署、</w:t>
      </w:r>
      <w:r w:rsidR="008D099E" w:rsidRPr="009B17AA">
        <w:rPr>
          <w:rFonts w:hint="eastAsia"/>
          <w:color w:val="000000" w:themeColor="text1"/>
        </w:rPr>
        <w:t>周○○</w:t>
      </w:r>
      <w:r w:rsidRPr="009B17AA">
        <w:rPr>
          <w:rFonts w:hint="eastAsia"/>
          <w:color w:val="000000" w:themeColor="text1"/>
        </w:rPr>
        <w:t>等人與臺灣苗栗農田水利會間確認土地界址事件歷審全卷，再就其等陳訴之疑義事項，函請苗栗縣政府、苗栗地院及國產署查復到院，經審閱相關卷證資料後，業調查竣事，茲臚列調查意見如下：</w:t>
      </w:r>
    </w:p>
    <w:p w:rsidR="00AB3B0A" w:rsidRPr="009B17AA" w:rsidRDefault="00AB3B0A" w:rsidP="00AB3B0A">
      <w:pPr>
        <w:pStyle w:val="2"/>
        <w:rPr>
          <w:b/>
          <w:color w:val="000000" w:themeColor="text1"/>
        </w:rPr>
      </w:pPr>
      <w:r w:rsidRPr="009B17AA">
        <w:rPr>
          <w:rFonts w:hint="eastAsia"/>
          <w:b/>
          <w:color w:val="000000" w:themeColor="text1"/>
        </w:rPr>
        <w:t>本案苗栗縣政府辦理重新實施地籍測量，陳訴人等所有土地與鄰地間所涉之土地界址爭議，業經依法提起確認土地界址事件之訴訟，並經法院判決確定，該府並依確定判決之界址施測及完成土地標示變更登記，於法制上尚無不妥，依法已具法定效力。本案既經判決確定，陳訴人等如認土地界址仍有爭議，依法僅能循再審程序，以求救濟。</w:t>
      </w:r>
    </w:p>
    <w:p w:rsidR="00AB3B0A" w:rsidRPr="009B17AA" w:rsidRDefault="00AB3B0A" w:rsidP="00AB3B0A">
      <w:pPr>
        <w:pStyle w:val="3"/>
        <w:rPr>
          <w:color w:val="000000" w:themeColor="text1"/>
        </w:rPr>
      </w:pPr>
      <w:r w:rsidRPr="009B17AA">
        <w:rPr>
          <w:rFonts w:hint="eastAsia"/>
          <w:color w:val="000000" w:themeColor="text1"/>
        </w:rPr>
        <w:t>按土地法第46條</w:t>
      </w:r>
      <w:r w:rsidRPr="009B17AA">
        <w:rPr>
          <w:rFonts w:hint="eastAsia"/>
          <w:color w:val="000000" w:themeColor="text1"/>
        </w:rPr>
        <w:tab/>
        <w:t>之1規定：「已辦地籍測量之地區，因地籍原圖破損、滅失、比例尺變更或其他重大原因，得重新實施地籍測量。」同法第46條之2第2項規定：「土地所有權人因設立界標或到場指界發生界址爭議時，準用第五十九條第二項規定處理之。」同法第59條第2項規定：「因前項異議而生土地權利爭執時，應由該管直轄市或縣（市）地政機關予以調處，不服調處者，應於接到調處通知後十五日內，向司法機關訴請處理，逾期不起訴者，依原調處結果辦理之。」次按「土地法第四十六條之一至四十六條之三執行要點」第16點第2項規定：「界址爭議經法院判決確定後，應即據以施測，並將施測結果公告。」</w:t>
      </w:r>
    </w:p>
    <w:p w:rsidR="00AB3B0A" w:rsidRPr="009B17AA" w:rsidRDefault="00AB3B0A" w:rsidP="00AB3B0A">
      <w:pPr>
        <w:pStyle w:val="3"/>
        <w:rPr>
          <w:color w:val="000000" w:themeColor="text1"/>
        </w:rPr>
      </w:pPr>
      <w:r w:rsidRPr="009B17AA">
        <w:rPr>
          <w:rFonts w:hint="eastAsia"/>
          <w:color w:val="000000" w:themeColor="text1"/>
        </w:rPr>
        <w:t>陳訴人</w:t>
      </w:r>
      <w:r w:rsidR="008D099E" w:rsidRPr="009B17AA">
        <w:rPr>
          <w:rFonts w:hint="eastAsia"/>
          <w:color w:val="000000" w:themeColor="text1"/>
        </w:rPr>
        <w:t>周○○</w:t>
      </w:r>
      <w:r w:rsidRPr="009B17AA">
        <w:rPr>
          <w:rFonts w:hint="eastAsia"/>
          <w:color w:val="000000" w:themeColor="text1"/>
        </w:rPr>
        <w:t>所有坐落苗栗縣頭份市重測前蟠桃段後庄小段</w:t>
      </w:r>
      <w:r w:rsidR="008D099E" w:rsidRPr="009B17AA">
        <w:rPr>
          <w:rFonts w:hint="eastAsia"/>
          <w:color w:val="000000" w:themeColor="text1"/>
        </w:rPr>
        <w:t>○○○-○</w:t>
      </w:r>
      <w:r w:rsidRPr="009B17AA">
        <w:rPr>
          <w:rFonts w:hint="eastAsia"/>
          <w:color w:val="000000" w:themeColor="text1"/>
        </w:rPr>
        <w:t>地號(重測後為光華段</w:t>
      </w:r>
      <w:r w:rsidR="008D099E" w:rsidRPr="009B17AA">
        <w:rPr>
          <w:rFonts w:hint="eastAsia"/>
          <w:color w:val="000000" w:themeColor="text1"/>
        </w:rPr>
        <w:t>○○○○</w:t>
      </w:r>
      <w:r w:rsidRPr="009B17AA">
        <w:rPr>
          <w:rFonts w:hint="eastAsia"/>
          <w:color w:val="000000" w:themeColor="text1"/>
        </w:rPr>
        <w:t>地號)、</w:t>
      </w:r>
      <w:r w:rsidR="008D099E" w:rsidRPr="009B17AA">
        <w:rPr>
          <w:rFonts w:hint="eastAsia"/>
          <w:color w:val="000000" w:themeColor="text1"/>
        </w:rPr>
        <w:t>○○○-○○</w:t>
      </w:r>
      <w:r w:rsidRPr="009B17AA">
        <w:rPr>
          <w:rFonts w:hint="eastAsia"/>
          <w:color w:val="000000" w:themeColor="text1"/>
        </w:rPr>
        <w:t>地號(重測後為光華段</w:t>
      </w:r>
      <w:r w:rsidR="008D099E" w:rsidRPr="009B17AA">
        <w:rPr>
          <w:rFonts w:hint="eastAsia"/>
          <w:color w:val="000000" w:themeColor="text1"/>
        </w:rPr>
        <w:t>○○</w:t>
      </w:r>
      <w:r w:rsidR="008D099E" w:rsidRPr="009B17AA">
        <w:rPr>
          <w:rFonts w:hint="eastAsia"/>
          <w:color w:val="000000" w:themeColor="text1"/>
        </w:rPr>
        <w:lastRenderedPageBreak/>
        <w:t>○○</w:t>
      </w:r>
      <w:r w:rsidRPr="009B17AA">
        <w:rPr>
          <w:rFonts w:hint="eastAsia"/>
          <w:color w:val="000000" w:themeColor="text1"/>
        </w:rPr>
        <w:t>地號)土地，與國產署經管重測前同小段401-23地號(重測後為光華段1499地號)國有土地毗鄰。苗栗縣政府於102年辦理重新實施地籍測量時，陳訴人認為依據重測前地籍圖，重測前同小段</w:t>
      </w:r>
      <w:r w:rsidR="008D099E" w:rsidRPr="009B17AA">
        <w:rPr>
          <w:rFonts w:hint="eastAsia"/>
          <w:color w:val="000000" w:themeColor="text1"/>
        </w:rPr>
        <w:t>○○○-○○</w:t>
      </w:r>
      <w:r w:rsidRPr="009B17AA">
        <w:rPr>
          <w:rFonts w:hint="eastAsia"/>
          <w:color w:val="000000" w:themeColor="text1"/>
        </w:rPr>
        <w:t>、</w:t>
      </w:r>
      <w:r w:rsidR="00FA495F">
        <w:rPr>
          <w:rFonts w:hint="eastAsia"/>
          <w:color w:val="000000" w:themeColor="text1"/>
        </w:rPr>
        <w:t>○○○</w:t>
      </w:r>
      <w:r w:rsidRPr="009B17AA">
        <w:rPr>
          <w:rFonts w:hint="eastAsia"/>
          <w:color w:val="000000" w:themeColor="text1"/>
        </w:rPr>
        <w:t>-</w:t>
      </w:r>
      <w:r w:rsidR="00FA495F">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地號土地北方與401-23地號土地之界址為一直線，且</w:t>
      </w:r>
      <w:r w:rsidR="008D099E" w:rsidRPr="009B17AA">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地號土地之南方與401-23地號土地界址亦呈現一直線，惟經重測後之光華段</w:t>
      </w:r>
      <w:r w:rsidR="008D099E" w:rsidRPr="009B17AA">
        <w:rPr>
          <w:rFonts w:hint="eastAsia"/>
          <w:color w:val="000000" w:themeColor="text1"/>
        </w:rPr>
        <w:t>○○○○</w:t>
      </w:r>
      <w:r w:rsidRPr="009B17AA">
        <w:rPr>
          <w:rFonts w:hint="eastAsia"/>
          <w:color w:val="000000" w:themeColor="text1"/>
        </w:rPr>
        <w:t>地號(重測前蟠桃段後庄小段</w:t>
      </w:r>
      <w:r w:rsidR="008D099E" w:rsidRPr="009B17AA">
        <w:rPr>
          <w:rFonts w:hint="eastAsia"/>
          <w:color w:val="000000" w:themeColor="text1"/>
        </w:rPr>
        <w:t>○○○-○○</w:t>
      </w:r>
      <w:r w:rsidRPr="009B17AA">
        <w:rPr>
          <w:rFonts w:hint="eastAsia"/>
          <w:color w:val="000000" w:themeColor="text1"/>
        </w:rPr>
        <w:t>地號)、</w:t>
      </w:r>
      <w:r w:rsidR="008D099E" w:rsidRPr="009B17AA">
        <w:rPr>
          <w:rFonts w:hint="eastAsia"/>
          <w:color w:val="000000" w:themeColor="text1"/>
        </w:rPr>
        <w:t>○○○○</w:t>
      </w:r>
      <w:r w:rsidRPr="009B17AA">
        <w:rPr>
          <w:rFonts w:hint="eastAsia"/>
          <w:color w:val="000000" w:themeColor="text1"/>
        </w:rPr>
        <w:t>地號(重測前蟠桃段後庄小段</w:t>
      </w:r>
      <w:r w:rsidR="008D099E" w:rsidRPr="009B17AA">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地號)土地北方之界址，卻成為非直線，而係往其所有</w:t>
      </w:r>
      <w:r w:rsidR="008D099E" w:rsidRPr="009B17AA">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地號土地內縮，使其所有土地重測後面積減少，因而與國產署經管之401-23地號國有土地發生界址爭議，經苗栗縣政府於103年5月5日召開不動產糾紛調處委員會調處，雙方均不服該委員會裁處結果，爰由國產署依法向苗栗地院提起訴訟請求確認該等土地界址。嗣經苗栗地院103年度苗簡字第425號民事簡易第一審判決，確認光華段1499地號國有土地與其所有光華段</w:t>
      </w:r>
      <w:r w:rsidR="008D099E" w:rsidRPr="009B17AA">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地號土地之界址。惟其因不服第一審判決所確認該等土地之界址，爰提起上訴，經苗栗地院105年度簡上字第32號民事第二審判決上訴駁回，其仍不服再提起第三審上訴，經苗栗地院105年度簡上字第32號裁定上訴駁回，其再向最高法院提起抗告，經最高法院107年度台簡抗字第224號裁定抗告駁回，全案於108年1月24日確定。其與國產署之重測土地界址爭議，經法院判決確定後，苗栗縣政府即依確定判決施測，並將施測成果於108年5月22日以府地測字第1080098046B號公告30日後，於108年7月8日辦理光華段</w:t>
      </w:r>
      <w:r w:rsidR="008D099E" w:rsidRPr="009B17AA">
        <w:rPr>
          <w:rFonts w:hint="eastAsia"/>
          <w:color w:val="000000" w:themeColor="text1"/>
        </w:rPr>
        <w:t>○○○○</w:t>
      </w:r>
      <w:r w:rsidRPr="009B17AA">
        <w:rPr>
          <w:rFonts w:hint="eastAsia"/>
          <w:color w:val="000000" w:themeColor="text1"/>
        </w:rPr>
        <w:t>、</w:t>
      </w:r>
      <w:r w:rsidR="008D099E" w:rsidRPr="009B17AA">
        <w:rPr>
          <w:rFonts w:hint="eastAsia"/>
          <w:color w:val="000000" w:themeColor="text1"/>
        </w:rPr>
        <w:t>○○○○</w:t>
      </w:r>
      <w:r w:rsidRPr="009B17AA">
        <w:rPr>
          <w:rFonts w:hint="eastAsia"/>
          <w:color w:val="000000" w:themeColor="text1"/>
        </w:rPr>
        <w:t>、1499地</w:t>
      </w:r>
      <w:r w:rsidRPr="009B17AA">
        <w:rPr>
          <w:rFonts w:hint="eastAsia"/>
          <w:color w:val="000000" w:themeColor="text1"/>
        </w:rPr>
        <w:lastRenderedPageBreak/>
        <w:t>號土地標示變更登記完竣。</w:t>
      </w:r>
    </w:p>
    <w:p w:rsidR="00AB3B0A" w:rsidRPr="009B17AA" w:rsidRDefault="00AB3B0A" w:rsidP="00AB3B0A">
      <w:pPr>
        <w:pStyle w:val="3"/>
        <w:rPr>
          <w:color w:val="000000" w:themeColor="text1"/>
        </w:rPr>
      </w:pPr>
      <w:r w:rsidRPr="009B17AA">
        <w:rPr>
          <w:rFonts w:hint="eastAsia"/>
          <w:color w:val="000000" w:themeColor="text1"/>
        </w:rPr>
        <w:t>陳訴人</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w:t>
      </w:r>
      <w:r w:rsidR="008D099E" w:rsidRPr="009B17AA">
        <w:rPr>
          <w:rFonts w:hint="eastAsia"/>
          <w:color w:val="000000" w:themeColor="text1"/>
        </w:rPr>
        <w:t>周○○</w:t>
      </w:r>
      <w:r w:rsidRPr="009B17AA">
        <w:rPr>
          <w:rFonts w:hint="eastAsia"/>
          <w:color w:val="000000" w:themeColor="text1"/>
        </w:rPr>
        <w:t>等人共有坐落苗栗縣頭份市重測前蟠桃段後庄小段</w:t>
      </w:r>
      <w:r w:rsidR="008D099E" w:rsidRPr="009B17AA">
        <w:rPr>
          <w:rFonts w:hint="eastAsia"/>
          <w:color w:val="000000" w:themeColor="text1"/>
        </w:rPr>
        <w:t>○○○-○○</w:t>
      </w:r>
      <w:r w:rsidRPr="009B17AA">
        <w:rPr>
          <w:rFonts w:hint="eastAsia"/>
          <w:color w:val="000000" w:themeColor="text1"/>
        </w:rPr>
        <w:t>地號(重測後為光華段</w:t>
      </w:r>
      <w:r w:rsidR="0014726C" w:rsidRPr="009B17AA">
        <w:rPr>
          <w:rFonts w:hint="eastAsia"/>
          <w:color w:val="000000" w:themeColor="text1"/>
        </w:rPr>
        <w:t>○○○○</w:t>
      </w:r>
      <w:r w:rsidRPr="009B17AA">
        <w:rPr>
          <w:rFonts w:hint="eastAsia"/>
          <w:color w:val="000000" w:themeColor="text1"/>
        </w:rPr>
        <w:t>地號)土地，與臺灣苗栗農田水利會所有坐落苗栗縣竹南鎮竹南段一小段266-15、266-16、266-17、266-18、266-19地號土地毗鄰。苗栗縣政府於102年辦理重新實施地籍測量時，陳訴人等認為依據重測前地籍圖，原本位於</w:t>
      </w:r>
      <w:r w:rsidR="008D099E" w:rsidRPr="009B17AA">
        <w:rPr>
          <w:rFonts w:hint="eastAsia"/>
          <w:color w:val="000000" w:themeColor="text1"/>
        </w:rPr>
        <w:t>○○○-○○</w:t>
      </w:r>
      <w:r w:rsidRPr="009B17AA">
        <w:rPr>
          <w:rFonts w:hint="eastAsia"/>
          <w:color w:val="000000" w:themeColor="text1"/>
        </w:rPr>
        <w:t>地號土地內之水溝，竟移至266-15地號等5筆土地範圍內，且其等父親當年於購買原重測前蟠桃段後庄小段</w:t>
      </w:r>
      <w:r w:rsidR="008D099E" w:rsidRPr="009B17AA">
        <w:rPr>
          <w:rFonts w:hint="eastAsia"/>
          <w:color w:val="000000" w:themeColor="text1"/>
        </w:rPr>
        <w:t>○○○</w:t>
      </w:r>
      <w:r w:rsidRPr="009B17AA">
        <w:rPr>
          <w:rFonts w:hint="eastAsia"/>
          <w:color w:val="000000" w:themeColor="text1"/>
        </w:rPr>
        <w:t>地號土地時，買賣契約載明土地範圍係以防風林為界等情。其等因與該水利會間發生土地界址爭議，經苗栗縣政府於103年5月5日召開不動產糾紛調處委員會調處，其等不服該委員會裁處結果，爰依法向苗栗地院提起訴訟請求確認該等土地界址，經苗栗地院104年度訴字第155號民事第一審判決，確認光華段</w:t>
      </w:r>
      <w:r w:rsidR="0014726C" w:rsidRPr="009B17AA">
        <w:rPr>
          <w:rFonts w:hint="eastAsia"/>
          <w:color w:val="000000" w:themeColor="text1"/>
        </w:rPr>
        <w:t>○○○○</w:t>
      </w:r>
      <w:r w:rsidRPr="009B17AA">
        <w:rPr>
          <w:rFonts w:hint="eastAsia"/>
          <w:color w:val="000000" w:themeColor="text1"/>
        </w:rPr>
        <w:t>地號土地（重測前蟠桃段後庄小段</w:t>
      </w:r>
      <w:r w:rsidR="008D099E" w:rsidRPr="009B17AA">
        <w:rPr>
          <w:rFonts w:hint="eastAsia"/>
          <w:color w:val="000000" w:themeColor="text1"/>
        </w:rPr>
        <w:t>○○○-○○</w:t>
      </w:r>
      <w:r w:rsidRPr="009B17AA">
        <w:rPr>
          <w:rFonts w:hint="eastAsia"/>
          <w:color w:val="000000" w:themeColor="text1"/>
        </w:rPr>
        <w:t>地號土地）與該水利會所有竹南鎮竹南段一小段266-15、266-16、266-17、266-18、266-19地號土地間之界址。其等不服提起上訴，經臺灣高等法院臺中分院105年度上字第115號民事第二審判決上訴駁回，其等仍不服再提起上訴，經最高法院107年度台上字第471號民事裁定駁回，全案於107年3月14日確定。其等與該水利會之重測土地界址爭議，經法院判決確定後，苗栗縣政府即依確定判決施測，並將施測成果於107年8月29日以府地測字第1070170334B號公告30日，於107年10月8日完成重測成果公告後辦理土地標示變更登記完竣。</w:t>
      </w:r>
    </w:p>
    <w:p w:rsidR="00AB3B0A" w:rsidRPr="009B17AA" w:rsidRDefault="00AB3B0A" w:rsidP="00AB3B0A">
      <w:pPr>
        <w:pStyle w:val="3"/>
        <w:rPr>
          <w:color w:val="000000" w:themeColor="text1"/>
        </w:rPr>
      </w:pPr>
      <w:r w:rsidRPr="009B17AA">
        <w:rPr>
          <w:rFonts w:hint="eastAsia"/>
          <w:color w:val="000000" w:themeColor="text1"/>
        </w:rPr>
        <w:t>綜上，本案苗栗縣政府辦理重新實施地籍測量，陳</w:t>
      </w:r>
      <w:r w:rsidRPr="009B17AA">
        <w:rPr>
          <w:rFonts w:hint="eastAsia"/>
          <w:color w:val="000000" w:themeColor="text1"/>
        </w:rPr>
        <w:lastRenderedPageBreak/>
        <w:t>訴人等所有土地與鄰地間所涉之土地界址爭議，業經依法提起確認土地界址事件之訴訟，並經法院判決確定，該府並依確定判決之界址施測及完成土地標示變更登記，於法制上尚無不妥，依法已具法定效力。本案既經判決確定，陳訴人等如認土地界址仍有爭議，依法僅能循再審程序，以求救濟。</w:t>
      </w:r>
    </w:p>
    <w:p w:rsidR="00AB3B0A" w:rsidRPr="009B17AA" w:rsidRDefault="00AB3B0A" w:rsidP="00AB3B0A">
      <w:pPr>
        <w:pStyle w:val="2"/>
        <w:rPr>
          <w:b/>
          <w:color w:val="000000" w:themeColor="text1"/>
        </w:rPr>
      </w:pPr>
      <w:r w:rsidRPr="009B17AA">
        <w:rPr>
          <w:rFonts w:hint="eastAsia"/>
          <w:b/>
          <w:color w:val="000000" w:themeColor="text1"/>
        </w:rPr>
        <w:t>陳訴人與國產署間之重測土地界址確認事件，依據民事訴訟法規定，適用簡易訴訟程序，故第一、二審由苗栗地院裁判，其提起第三審上訴時，須經該院之許可，係屬訴訟上程序之規定。</w:t>
      </w:r>
    </w:p>
    <w:p w:rsidR="00AB3B0A" w:rsidRPr="009B17AA" w:rsidRDefault="00AB3B0A" w:rsidP="00AB3B0A">
      <w:pPr>
        <w:pStyle w:val="3"/>
        <w:rPr>
          <w:color w:val="000000" w:themeColor="text1"/>
        </w:rPr>
      </w:pPr>
      <w:r w:rsidRPr="009B17AA">
        <w:rPr>
          <w:rFonts w:hint="eastAsia"/>
          <w:color w:val="000000" w:themeColor="text1"/>
        </w:rPr>
        <w:t>按民事訴訟法第427條第2項規定略以：「下列各款訴訟，不問其標的金額或價額一律適用簡易程序：……五、因定不動產之界線或設置界標涉訟者。……」同法第436條之1第1項規定：「對於簡易程序之第一審裁判，得上訴或抗告於管轄之地方法院，其審判以合議行之。」同法第436條之3規定：「(第1項)對於簡易訴訟程序之第二審裁判提起上訴或抗告，須經原裁判法院之許可。(第2項</w:t>
      </w:r>
      <w:r w:rsidRPr="009B17AA">
        <w:rPr>
          <w:color w:val="000000" w:themeColor="text1"/>
        </w:rPr>
        <w:t>)</w:t>
      </w:r>
      <w:r w:rsidRPr="009B17AA">
        <w:rPr>
          <w:rFonts w:hint="eastAsia"/>
          <w:color w:val="000000" w:themeColor="text1"/>
        </w:rPr>
        <w:t>前項許可，以訴訟事件所涉及之法律見解具有原則上之重要性者為限。(第3項)第一項之上訴或抗告，為裁判之原法院認為應行許可者，應添具意見書，敘明合於前項規定之理由，逕將卷宗送最高法院；認為不應許可者，應以裁定駁回其上訴或抗告。(第4項)前項裁定，得逕向最高法院抗告。」</w:t>
      </w:r>
    </w:p>
    <w:p w:rsidR="00AB3B0A" w:rsidRPr="009B17AA" w:rsidRDefault="00AB3B0A" w:rsidP="00AB3B0A">
      <w:pPr>
        <w:pStyle w:val="3"/>
        <w:rPr>
          <w:color w:val="000000" w:themeColor="text1"/>
        </w:rPr>
      </w:pPr>
      <w:r w:rsidRPr="009B17AA">
        <w:rPr>
          <w:rFonts w:hint="eastAsia"/>
          <w:color w:val="000000" w:themeColor="text1"/>
        </w:rPr>
        <w:t>陳訴人</w:t>
      </w:r>
      <w:r w:rsidR="008D099E" w:rsidRPr="009B17AA">
        <w:rPr>
          <w:rFonts w:hint="eastAsia"/>
          <w:color w:val="000000" w:themeColor="text1"/>
        </w:rPr>
        <w:t>周○○</w:t>
      </w:r>
      <w:r w:rsidRPr="009B17AA">
        <w:rPr>
          <w:rFonts w:hint="eastAsia"/>
          <w:color w:val="000000" w:themeColor="text1"/>
        </w:rPr>
        <w:t>指訴：其與國產署間之確認土地界址事件訴訟，為何第一、二審皆於苗栗地院審理？其提起第三審上訴時，何以還必須經該院許可等情。</w:t>
      </w:r>
    </w:p>
    <w:p w:rsidR="00AB3B0A" w:rsidRPr="009B17AA" w:rsidRDefault="00AB3B0A" w:rsidP="00AB3B0A">
      <w:pPr>
        <w:pStyle w:val="3"/>
        <w:rPr>
          <w:color w:val="000000" w:themeColor="text1"/>
        </w:rPr>
      </w:pPr>
      <w:r w:rsidRPr="009B17AA">
        <w:rPr>
          <w:rFonts w:hint="eastAsia"/>
          <w:color w:val="000000" w:themeColor="text1"/>
        </w:rPr>
        <w:t>查陳訴人與國產署之重測土地界址爭議，依據民事訴訟法第427條第2項規定，為適用簡易訴訟程序之簡易事件，故依據該法第436條之1第1項規定，第一</w:t>
      </w:r>
      <w:r w:rsidRPr="009B17AA">
        <w:rPr>
          <w:rFonts w:hint="eastAsia"/>
          <w:color w:val="000000" w:themeColor="text1"/>
        </w:rPr>
        <w:lastRenderedPageBreak/>
        <w:t>審由苗栗地院簡易庭辦理，第二審由該院普通庭行合議程序辦理。另其對於訴訟事件提起第三審上訴，依據該法第436條之3第1項規定，須經原裁判法院之許可，亦即須經該院之許可。</w:t>
      </w:r>
    </w:p>
    <w:p w:rsidR="00AB3B0A" w:rsidRPr="009B17AA" w:rsidRDefault="00AB3B0A" w:rsidP="00AB3B0A">
      <w:pPr>
        <w:pStyle w:val="3"/>
        <w:rPr>
          <w:color w:val="000000" w:themeColor="text1"/>
        </w:rPr>
      </w:pPr>
      <w:r w:rsidRPr="009B17AA">
        <w:rPr>
          <w:rFonts w:hint="eastAsia"/>
          <w:color w:val="000000" w:themeColor="text1"/>
        </w:rPr>
        <w:t>綜上，陳訴人與國產署間之重測土地界址確認事件，依據民事訴訟法規定，適用簡易訴訟程序，故第一、二審由苗栗地院裁判，其提起第三審上訴時，須經該院之許可，係屬訴訟上程序之規定。</w:t>
      </w:r>
    </w:p>
    <w:p w:rsidR="00AB3B0A" w:rsidRPr="009B17AA" w:rsidRDefault="00B37B92" w:rsidP="00B37B92">
      <w:pPr>
        <w:pStyle w:val="2"/>
        <w:rPr>
          <w:b/>
          <w:color w:val="000000" w:themeColor="text1"/>
        </w:rPr>
      </w:pPr>
      <w:r w:rsidRPr="009B17AA">
        <w:rPr>
          <w:rFonts w:hint="eastAsia"/>
          <w:b/>
          <w:color w:val="000000" w:themeColor="text1"/>
        </w:rPr>
        <w:t>陳訴人對與國產署間之確認土地界址事件訴訟，依據民事訴訟法規定，其提起第三審上訴，由參與第二審裁判之合議庭三位法官決定是否許可其提起第三審上訴，尚無違誤。</w:t>
      </w:r>
    </w:p>
    <w:p w:rsidR="00AB3B0A" w:rsidRPr="009B17AA" w:rsidRDefault="00AB3B0A" w:rsidP="00AB3B0A">
      <w:pPr>
        <w:pStyle w:val="3"/>
        <w:rPr>
          <w:color w:val="000000" w:themeColor="text1"/>
        </w:rPr>
      </w:pPr>
      <w:r w:rsidRPr="009B17AA">
        <w:rPr>
          <w:rFonts w:hint="eastAsia"/>
          <w:color w:val="000000" w:themeColor="text1"/>
        </w:rPr>
        <w:t>按民事訴訟法第436條之1第1項規定：「對於簡易程序之第一審裁判，得上訴或抗告於管轄之地方法院，其審判以合議行之。」同法第436條之3第3項規定：「第一項之上訴或抗告，為裁判之原法院認為應行許可者，應添具意見書，敘明合於前項規定之理由，逕將卷宗送最高法院；認為不應許可者，應以裁定駁回其上訴或抗告。」</w:t>
      </w:r>
    </w:p>
    <w:p w:rsidR="00AB3B0A" w:rsidRPr="009B17AA" w:rsidRDefault="00B37B92" w:rsidP="00AB3B0A">
      <w:pPr>
        <w:pStyle w:val="3"/>
        <w:rPr>
          <w:color w:val="000000" w:themeColor="text1"/>
        </w:rPr>
      </w:pPr>
      <w:r w:rsidRPr="009B17AA">
        <w:rPr>
          <w:rFonts w:hint="eastAsia"/>
          <w:color w:val="000000" w:themeColor="text1"/>
        </w:rPr>
        <w:t>陳訴人</w:t>
      </w:r>
      <w:r w:rsidR="008D099E" w:rsidRPr="009B17AA">
        <w:rPr>
          <w:rFonts w:hint="eastAsia"/>
          <w:color w:val="000000" w:themeColor="text1"/>
        </w:rPr>
        <w:t>周○○</w:t>
      </w:r>
      <w:r w:rsidR="00AB3B0A" w:rsidRPr="009B17AA">
        <w:rPr>
          <w:rFonts w:hint="eastAsia"/>
          <w:color w:val="000000" w:themeColor="text1"/>
        </w:rPr>
        <w:t>指訴：其與國產署間之確認土地界址事件訴訟，該事件第二審由苗栗地院審理，何以其提起第三審上訴經該院許可時，仍由參與第二審裁判之三位法官許可？為何三位法官未予迴避等情。</w:t>
      </w:r>
    </w:p>
    <w:p w:rsidR="00AB3B0A" w:rsidRPr="009B17AA" w:rsidRDefault="00AB3B0A" w:rsidP="00AB3B0A">
      <w:pPr>
        <w:pStyle w:val="3"/>
        <w:rPr>
          <w:color w:val="000000" w:themeColor="text1"/>
        </w:rPr>
      </w:pPr>
      <w:r w:rsidRPr="009B17AA">
        <w:rPr>
          <w:rFonts w:hint="eastAsia"/>
          <w:color w:val="000000" w:themeColor="text1"/>
        </w:rPr>
        <w:t>查民事訴訟法第436條之3第3項所稱之「為裁判之原法院」，乃指為第二審判決之合議庭而言。</w:t>
      </w:r>
      <w:r w:rsidR="008D099E" w:rsidRPr="009B17AA">
        <w:rPr>
          <w:rFonts w:hint="eastAsia"/>
          <w:color w:val="000000" w:themeColor="text1"/>
        </w:rPr>
        <w:t>周○○</w:t>
      </w:r>
      <w:r w:rsidRPr="009B17AA">
        <w:rPr>
          <w:rFonts w:hint="eastAsia"/>
          <w:color w:val="000000" w:themeColor="text1"/>
        </w:rPr>
        <w:t>提起第三審上訴，依上開規定，應由參與第二審裁判之合議庭三位法官決定是否許可其提起第三審上訴，又合議庭三位法官並無民事訴訟法第32、33條之迴避事由，尚無庸迴避。</w:t>
      </w:r>
    </w:p>
    <w:p w:rsidR="00AB3B0A" w:rsidRPr="009B17AA" w:rsidRDefault="00AB3B0A" w:rsidP="00AB3B0A">
      <w:pPr>
        <w:pStyle w:val="3"/>
        <w:rPr>
          <w:color w:val="000000" w:themeColor="text1"/>
        </w:rPr>
      </w:pPr>
      <w:r w:rsidRPr="009B17AA">
        <w:rPr>
          <w:rFonts w:hint="eastAsia"/>
          <w:color w:val="000000" w:themeColor="text1"/>
        </w:rPr>
        <w:t>綜上，</w:t>
      </w:r>
      <w:r w:rsidR="00B37B92" w:rsidRPr="009B17AA">
        <w:rPr>
          <w:rFonts w:hint="eastAsia"/>
          <w:color w:val="000000" w:themeColor="text1"/>
        </w:rPr>
        <w:t>陳訴人</w:t>
      </w:r>
      <w:r w:rsidRPr="009B17AA">
        <w:rPr>
          <w:rFonts w:hint="eastAsia"/>
          <w:color w:val="000000" w:themeColor="text1"/>
        </w:rPr>
        <w:t>對與國產署間之確認土地界址事件訴</w:t>
      </w:r>
      <w:r w:rsidRPr="009B17AA">
        <w:rPr>
          <w:rFonts w:hint="eastAsia"/>
          <w:color w:val="000000" w:themeColor="text1"/>
        </w:rPr>
        <w:lastRenderedPageBreak/>
        <w:t>訟，依據民事訴訟法規定，其提起第三審上訴，由參與第二審裁判之合議庭三位法官決定是否許可其提起第三審上訴，尚無違誤。</w:t>
      </w:r>
    </w:p>
    <w:p w:rsidR="00AB3B0A" w:rsidRPr="009B17AA" w:rsidRDefault="007D2136" w:rsidP="00BA554A">
      <w:pPr>
        <w:pStyle w:val="2"/>
        <w:rPr>
          <w:b/>
          <w:color w:val="000000" w:themeColor="text1"/>
        </w:rPr>
      </w:pPr>
      <w:r w:rsidRPr="009B17AA">
        <w:rPr>
          <w:rFonts w:hint="eastAsia"/>
          <w:b/>
          <w:color w:val="000000" w:themeColor="text1"/>
        </w:rPr>
        <w:t>本案苗栗地院之第一、二審係以165萬元核定訴訟標的價額，而最高法院卻以陳訴人所得受之利益為73萬3,600元，未逾150萬元，屬不得上訴第三審法院而裁定駁回抗告，故</w:t>
      </w:r>
      <w:r w:rsidR="007145D7" w:rsidRPr="009B17AA">
        <w:rPr>
          <w:rFonts w:hint="eastAsia"/>
          <w:b/>
          <w:color w:val="000000" w:themeColor="text1"/>
        </w:rPr>
        <w:t>於</w:t>
      </w:r>
      <w:r w:rsidRPr="009B17AA">
        <w:rPr>
          <w:rFonts w:hint="eastAsia"/>
          <w:b/>
          <w:color w:val="000000" w:themeColor="text1"/>
        </w:rPr>
        <w:t>計算裁判費時，係以較高訴訟標的價額核算</w:t>
      </w:r>
      <w:r w:rsidR="007145D7" w:rsidRPr="009B17AA">
        <w:rPr>
          <w:rFonts w:hint="eastAsia"/>
          <w:b/>
          <w:color w:val="000000" w:themeColor="text1"/>
        </w:rPr>
        <w:t>，</w:t>
      </w:r>
      <w:r w:rsidRPr="009B17AA">
        <w:rPr>
          <w:rFonts w:hint="eastAsia"/>
          <w:b/>
          <w:color w:val="000000" w:themeColor="text1"/>
        </w:rPr>
        <w:t>於計算上訴第三審利益數額時，卻以較低訴訟標的價額核算，難謂無矛盾之處，致遭陳訴人非議</w:t>
      </w:r>
      <w:r w:rsidR="007145D7" w:rsidRPr="009B17AA">
        <w:rPr>
          <w:rFonts w:hint="eastAsia"/>
          <w:b/>
          <w:color w:val="000000" w:themeColor="text1"/>
        </w:rPr>
        <w:t>並使人民失去對於司法之信賴，是關於本案訴訟</w:t>
      </w:r>
      <w:r w:rsidRPr="009B17AA">
        <w:rPr>
          <w:rFonts w:hint="eastAsia"/>
          <w:b/>
          <w:color w:val="000000" w:themeColor="text1"/>
        </w:rPr>
        <w:t>標的價額</w:t>
      </w:r>
      <w:r w:rsidR="007145D7" w:rsidRPr="009B17AA">
        <w:rPr>
          <w:rFonts w:hint="eastAsia"/>
          <w:b/>
          <w:color w:val="000000" w:themeColor="text1"/>
        </w:rPr>
        <w:t>究應如何</w:t>
      </w:r>
      <w:r w:rsidRPr="009B17AA">
        <w:rPr>
          <w:rFonts w:hint="eastAsia"/>
          <w:b/>
          <w:color w:val="000000" w:themeColor="text1"/>
        </w:rPr>
        <w:t>核算</w:t>
      </w:r>
      <w:r w:rsidR="007145D7" w:rsidRPr="009B17AA">
        <w:rPr>
          <w:rFonts w:hint="eastAsia"/>
          <w:b/>
          <w:color w:val="000000" w:themeColor="text1"/>
        </w:rPr>
        <w:t>？殊值商榷；另司法院對於本案第一、二審所收取較高之裁判費，允宜研議退款機制。</w:t>
      </w:r>
    </w:p>
    <w:p w:rsidR="00AB3B0A" w:rsidRPr="009B17AA" w:rsidRDefault="00AB3B0A" w:rsidP="00AB3B0A">
      <w:pPr>
        <w:pStyle w:val="3"/>
        <w:rPr>
          <w:color w:val="000000" w:themeColor="text1"/>
        </w:rPr>
      </w:pPr>
      <w:r w:rsidRPr="009B17AA">
        <w:rPr>
          <w:rFonts w:hint="eastAsia"/>
          <w:color w:val="000000" w:themeColor="text1"/>
        </w:rPr>
        <w:t>按民事訴訟法第77條之1規定：「(第1項)訴訟標的之價額，由法院核定。(第2項</w:t>
      </w:r>
      <w:r w:rsidRPr="009B17AA">
        <w:rPr>
          <w:color w:val="000000" w:themeColor="text1"/>
        </w:rPr>
        <w:t>)</w:t>
      </w:r>
      <w:r w:rsidRPr="009B17AA">
        <w:rPr>
          <w:rFonts w:hint="eastAsia"/>
          <w:color w:val="000000" w:themeColor="text1"/>
        </w:rPr>
        <w:t>核定訴訟標的之價額，以起訴時之交易價額為準；無交易價額者，以原告就訴訟標的所有之利益為準。(第3項</w:t>
      </w:r>
      <w:r w:rsidRPr="009B17AA">
        <w:rPr>
          <w:color w:val="000000" w:themeColor="text1"/>
        </w:rPr>
        <w:t>)</w:t>
      </w:r>
      <w:r w:rsidRPr="009B17AA">
        <w:rPr>
          <w:rFonts w:hint="eastAsia"/>
          <w:color w:val="000000" w:themeColor="text1"/>
        </w:rPr>
        <w:t>法院因核定訴訟標的之價額，得依職權調查證據。(第4項</w:t>
      </w:r>
      <w:r w:rsidRPr="009B17AA">
        <w:rPr>
          <w:color w:val="000000" w:themeColor="text1"/>
        </w:rPr>
        <w:t>)</w:t>
      </w:r>
      <w:r w:rsidRPr="009B17AA">
        <w:rPr>
          <w:rFonts w:hint="eastAsia"/>
          <w:color w:val="000000" w:themeColor="text1"/>
        </w:rPr>
        <w:t>第一項之核定，得為抗告。」同法第77條之12規定：「訴訟標的之價額不能核定者，以第四百六十六條所定不得上訴第三審之最高利益額數加十分之一定之。」同法第427條第2項規定：「下列各款訴訟，不問其標的金額或價額一律適用簡易程序：……五、因定不動產之界線或設置界標涉訟者。……」同法第436條之2第1項規定：「對於簡易訴訟程序之第二審裁判，其上訴利益逾第四百六十六條所定之額數者，當事人僅得以其適用法規顯有錯誤為理由，逕向最高法院提起上訴或抗告。」同法第436條之3</w:t>
      </w:r>
      <w:r w:rsidR="001E7C3A" w:rsidRPr="009B17AA">
        <w:rPr>
          <w:rFonts w:hint="eastAsia"/>
          <w:color w:val="000000" w:themeColor="text1"/>
        </w:rPr>
        <w:t>第1、2項</w:t>
      </w:r>
      <w:r w:rsidRPr="009B17AA">
        <w:rPr>
          <w:rFonts w:hint="eastAsia"/>
          <w:color w:val="000000" w:themeColor="text1"/>
        </w:rPr>
        <w:t>規定：「(第1項)對於簡易訴訟程序之第二審裁判，提起第三審上訴或抗告，須經原裁判法院之許可。(第2項</w:t>
      </w:r>
      <w:r w:rsidRPr="009B17AA">
        <w:rPr>
          <w:color w:val="000000" w:themeColor="text1"/>
        </w:rPr>
        <w:t>)</w:t>
      </w:r>
      <w:r w:rsidRPr="009B17AA">
        <w:rPr>
          <w:rFonts w:hint="eastAsia"/>
          <w:color w:val="000000" w:themeColor="text1"/>
        </w:rPr>
        <w:t>前項許可，以訴訟事件所涉及之法律</w:t>
      </w:r>
      <w:r w:rsidRPr="009B17AA">
        <w:rPr>
          <w:rFonts w:hint="eastAsia"/>
          <w:color w:val="000000" w:themeColor="text1"/>
        </w:rPr>
        <w:lastRenderedPageBreak/>
        <w:t>見解具有原則上之重要性者為限。」同法第466條規定：「(第1項)對於財產權訴訟之第二審判決，如因上訴所得受之利益，不逾新台幣一百萬元者，不得上訴。(第2項</w:t>
      </w:r>
      <w:r w:rsidRPr="009B17AA">
        <w:rPr>
          <w:color w:val="000000" w:themeColor="text1"/>
        </w:rPr>
        <w:t>)</w:t>
      </w:r>
      <w:r w:rsidRPr="009B17AA">
        <w:rPr>
          <w:rFonts w:hint="eastAsia"/>
          <w:color w:val="000000" w:themeColor="text1"/>
        </w:rPr>
        <w:t>對於第四百二十七條訴訟，如依通常訴訟程序所為之第二審判決，仍得上訴於第三審法院。其因上訴所得受之利益不逾新台幣一百萬元者，適用前項規定。(第3項)前二項所定數額，司法院得因情勢需要，以命令減至新台幣五十萬元，或增至一百五十萬元。(第4項</w:t>
      </w:r>
      <w:r w:rsidRPr="009B17AA">
        <w:rPr>
          <w:color w:val="000000" w:themeColor="text1"/>
        </w:rPr>
        <w:t>)</w:t>
      </w:r>
      <w:r w:rsidRPr="009B17AA">
        <w:rPr>
          <w:rFonts w:hint="eastAsia"/>
          <w:color w:val="000000" w:themeColor="text1"/>
        </w:rPr>
        <w:t>計算上訴利益，準用關於計算訴訟標的價額之規定。」同法第484條規定，不得上訴於第三審法院之事件，其第二審法院所為裁定，不得抗告。次按司法院91年2月8日（91）院台廳民一字第03074號令，依民事訴訟法第466條第3項規定，將</w:t>
      </w:r>
      <w:r w:rsidR="001E7C3A" w:rsidRPr="009B17AA">
        <w:rPr>
          <w:rFonts w:hint="eastAsia"/>
          <w:color w:val="000000" w:themeColor="text1"/>
        </w:rPr>
        <w:t>同</w:t>
      </w:r>
      <w:r w:rsidRPr="009B17AA">
        <w:rPr>
          <w:rFonts w:hint="eastAsia"/>
          <w:color w:val="000000" w:themeColor="text1"/>
        </w:rPr>
        <w:t>法第466條第1項所定上訴第三審之利益額數提高為150萬元，並自91年2月8日起實施。</w:t>
      </w:r>
    </w:p>
    <w:p w:rsidR="00AB3B0A" w:rsidRPr="009B17AA" w:rsidRDefault="00622FC3" w:rsidP="00AB3B0A">
      <w:pPr>
        <w:pStyle w:val="3"/>
        <w:rPr>
          <w:color w:val="000000" w:themeColor="text1"/>
        </w:rPr>
      </w:pPr>
      <w:r w:rsidRPr="009B17AA">
        <w:rPr>
          <w:rFonts w:hint="eastAsia"/>
          <w:color w:val="000000" w:themeColor="text1"/>
        </w:rPr>
        <w:t>陳訴人</w:t>
      </w:r>
      <w:r w:rsidR="008D099E" w:rsidRPr="009B17AA">
        <w:rPr>
          <w:rFonts w:hint="eastAsia"/>
          <w:color w:val="000000" w:themeColor="text1"/>
        </w:rPr>
        <w:t>周○○</w:t>
      </w:r>
      <w:r w:rsidR="00AB3B0A" w:rsidRPr="009B17AA">
        <w:rPr>
          <w:rFonts w:hint="eastAsia"/>
          <w:color w:val="000000" w:themeColor="text1"/>
        </w:rPr>
        <w:t>指訴：苗栗地院對於其與國產署間之確認土地界址訴訟事件，係核定訴訟標的價額為新臺幣(下同)165萬元徵收第一、二審裁判費，惟其提起第三審上訴，遭該院裁定駁回，其再對之提起抗告時，最高法院係以其所得受之利益為73萬3,600元，未逾150萬元，屬不得上訴第三審法院之事件，爰裁定抗告駁回，其不解為何以法院核定訴訟標的之價額不一致等情。</w:t>
      </w:r>
    </w:p>
    <w:p w:rsidR="007D2136" w:rsidRPr="009B17AA" w:rsidRDefault="007D2136" w:rsidP="00AB3B0A">
      <w:pPr>
        <w:pStyle w:val="3"/>
        <w:rPr>
          <w:color w:val="000000" w:themeColor="text1"/>
        </w:rPr>
      </w:pPr>
      <w:r w:rsidRPr="009B17AA">
        <w:rPr>
          <w:color w:val="000000" w:themeColor="text1"/>
        </w:rPr>
        <w:t>按訴訟標的之價額，由法院核定。核定訴訟標的之價額，以起訴時之交易價額為準；無交易價額者，以原告就訴訟標的所有之利益為準</w:t>
      </w:r>
      <w:r w:rsidRPr="009B17AA">
        <w:rPr>
          <w:rFonts w:hint="eastAsia"/>
          <w:color w:val="000000" w:themeColor="text1"/>
        </w:rPr>
        <w:t>。訴訟標的之價額不能核定者，以第4</w:t>
      </w:r>
      <w:r w:rsidRPr="009B17AA">
        <w:rPr>
          <w:color w:val="000000" w:themeColor="text1"/>
        </w:rPr>
        <w:t>66</w:t>
      </w:r>
      <w:r w:rsidRPr="009B17AA">
        <w:rPr>
          <w:rFonts w:hint="eastAsia"/>
          <w:color w:val="000000" w:themeColor="text1"/>
        </w:rPr>
        <w:t>條所定不得上訴第三審之最高利益額數加十分之一定之，</w:t>
      </w:r>
      <w:r w:rsidRPr="009B17AA">
        <w:rPr>
          <w:color w:val="000000" w:themeColor="text1"/>
        </w:rPr>
        <w:t>民事訴訟法第77條之1第1</w:t>
      </w:r>
      <w:r w:rsidRPr="009B17AA">
        <w:rPr>
          <w:rFonts w:hint="eastAsia"/>
          <w:color w:val="000000" w:themeColor="text1"/>
        </w:rPr>
        <w:t>、</w:t>
      </w:r>
      <w:r w:rsidRPr="009B17AA">
        <w:rPr>
          <w:color w:val="000000" w:themeColor="text1"/>
        </w:rPr>
        <w:t>2項</w:t>
      </w:r>
      <w:r w:rsidRPr="009B17AA">
        <w:rPr>
          <w:rFonts w:hint="eastAsia"/>
          <w:color w:val="000000" w:themeColor="text1"/>
        </w:rPr>
        <w:t>、第77條之12定有明文</w:t>
      </w:r>
      <w:r w:rsidRPr="009B17AA">
        <w:rPr>
          <w:color w:val="000000" w:themeColor="text1"/>
        </w:rPr>
        <w:t>。</w:t>
      </w:r>
      <w:r w:rsidRPr="009B17AA">
        <w:rPr>
          <w:rFonts w:hint="eastAsia"/>
          <w:color w:val="000000" w:themeColor="text1"/>
        </w:rPr>
        <w:t>復按對於財產權訴訟之第二審判決，如因上訴所得受之利益，不</w:t>
      </w:r>
      <w:r w:rsidRPr="009B17AA">
        <w:rPr>
          <w:rFonts w:hint="eastAsia"/>
          <w:color w:val="000000" w:themeColor="text1"/>
        </w:rPr>
        <w:lastRenderedPageBreak/>
        <w:t>逾1</w:t>
      </w:r>
      <w:r w:rsidRPr="009B17AA">
        <w:rPr>
          <w:color w:val="000000" w:themeColor="text1"/>
        </w:rPr>
        <w:t>00</w:t>
      </w:r>
      <w:r w:rsidRPr="009B17AA">
        <w:rPr>
          <w:rFonts w:hint="eastAsia"/>
          <w:color w:val="000000" w:themeColor="text1"/>
        </w:rPr>
        <w:t>萬元者，不得上訴。其因上訴所得受之利益不逾100萬元者，適用前項規定。前2項所定數額，司法院得因情勢需要，以命令減至50萬元，或增至150萬元。計算上訴利益，準用關於計算訴訟標的價額之規定，民事訴訟法第466條第1、3、4項定有明文。司法院於91年1月29日(91</w:t>
      </w:r>
      <w:r w:rsidRPr="009B17AA">
        <w:rPr>
          <w:color w:val="000000" w:themeColor="text1"/>
        </w:rPr>
        <w:t>)</w:t>
      </w:r>
      <w:r w:rsidRPr="009B17AA">
        <w:rPr>
          <w:rFonts w:hint="eastAsia"/>
          <w:color w:val="000000" w:themeColor="text1"/>
        </w:rPr>
        <w:t>院台廳民一字第03074號函，將上訴第三審之利益額數提高為150萬元，並自91年2月8日起實施，本案自有適用。</w:t>
      </w:r>
    </w:p>
    <w:p w:rsidR="00AB3B0A" w:rsidRPr="009B17AA" w:rsidRDefault="001A7337" w:rsidP="00AB3B0A">
      <w:pPr>
        <w:pStyle w:val="3"/>
        <w:rPr>
          <w:color w:val="000000" w:themeColor="text1"/>
        </w:rPr>
      </w:pPr>
      <w:r w:rsidRPr="009B17AA">
        <w:rPr>
          <w:rFonts w:hint="eastAsia"/>
          <w:color w:val="000000" w:themeColor="text1"/>
        </w:rPr>
        <w:t>本案陳訴人</w:t>
      </w:r>
      <w:r w:rsidR="00AB3B0A" w:rsidRPr="009B17AA">
        <w:rPr>
          <w:rFonts w:hint="eastAsia"/>
          <w:color w:val="000000" w:themeColor="text1"/>
        </w:rPr>
        <w:t>與國產署間之確認土地界址事件訴訟，苗栗地院於第一審以該件係屬不動產經界之訴適用簡易程序，且該訴訟標的價額不能核定，乃依民事訴訟法第77條之12規定，核定訴訟標的價額為165萬元，嗣其對第一審判決不服提起上訴，該院再依起訴時核定之訴訟標的價額裁定命繳納第二審裁判費，茲因其不服該院第二審判決，爰提起第三審上訴，經該院以其所陳各節，均不涉及適用法規顯有錯誤與法律見解具有原則上重要性之情形，爰依據民事訴訟法第436條之3第2項規定，以105年度簡上字第32號裁定上訴駁回。其再向最高法院提起抗告後，最高法院認其對於第二審判決不服之上訴利益，並非不能核定，而係應以原法院認定3-4-5-6-7之經界連線，較其主張3-A-B-C-D-D1之經界連線所減少之面積26.2平方公尺，依起訴時公告現值計算，經核算為73萬3,600元，因未逾150萬元，屬不得上訴於第三審法院之事件，最高法院爰以107年度台簡抗字第224號裁定抗告駁回。</w:t>
      </w:r>
    </w:p>
    <w:p w:rsidR="008628B9" w:rsidRPr="009B17AA" w:rsidRDefault="007D2136" w:rsidP="00EE4399">
      <w:pPr>
        <w:pStyle w:val="3"/>
        <w:rPr>
          <w:color w:val="000000" w:themeColor="text1"/>
        </w:rPr>
      </w:pPr>
      <w:r w:rsidRPr="009B17AA">
        <w:rPr>
          <w:rFonts w:hint="eastAsia"/>
          <w:color w:val="000000" w:themeColor="text1"/>
        </w:rPr>
        <w:t>綜上，本案苗栗地院之第一、二審係以165萬元核定訴訟標的價額，而最高法院卻以陳訴人所得受之利益為73萬3,600元，未逾150萬元，屬不得上訴第三審法院而裁定駁回抗告，故於計算裁判費時，係以</w:t>
      </w:r>
      <w:r w:rsidRPr="009B17AA">
        <w:rPr>
          <w:rFonts w:hint="eastAsia"/>
          <w:color w:val="000000" w:themeColor="text1"/>
        </w:rPr>
        <w:lastRenderedPageBreak/>
        <w:t>較高訴訟標的價額核算，於計算上訴第三審利益數額時，卻以較低訴訟標的價額核算，難謂無矛盾之處，</w:t>
      </w:r>
      <w:r w:rsidR="000C08A8" w:rsidRPr="009B17AA">
        <w:rPr>
          <w:rFonts w:hint="eastAsia"/>
          <w:color w:val="000000" w:themeColor="text1"/>
        </w:rPr>
        <w:t>致遭陳訴人非議並使人民失去對於司法之信賴，</w:t>
      </w:r>
      <w:r w:rsidR="001C4838" w:rsidRPr="009B17AA">
        <w:rPr>
          <w:rFonts w:hint="eastAsia"/>
          <w:color w:val="000000" w:themeColor="text1"/>
        </w:rPr>
        <w:t>是關於</w:t>
      </w:r>
      <w:r w:rsidR="008628B9" w:rsidRPr="009B17AA">
        <w:rPr>
          <w:rFonts w:hint="eastAsia"/>
          <w:color w:val="000000" w:themeColor="text1"/>
        </w:rPr>
        <w:t>本案</w:t>
      </w:r>
      <w:r w:rsidR="001C4838" w:rsidRPr="009B17AA">
        <w:rPr>
          <w:rFonts w:hint="eastAsia"/>
          <w:color w:val="000000" w:themeColor="text1"/>
        </w:rPr>
        <w:t>訴訟標的價額</w:t>
      </w:r>
      <w:r w:rsidR="00D16719" w:rsidRPr="009B17AA">
        <w:rPr>
          <w:rFonts w:hint="eastAsia"/>
          <w:color w:val="000000" w:themeColor="text1"/>
        </w:rPr>
        <w:t>究應如何</w:t>
      </w:r>
      <w:r w:rsidR="001C4838" w:rsidRPr="009B17AA">
        <w:rPr>
          <w:rFonts w:hint="eastAsia"/>
          <w:color w:val="000000" w:themeColor="text1"/>
        </w:rPr>
        <w:t>核算</w:t>
      </w:r>
      <w:r w:rsidR="00D16719" w:rsidRPr="009B17AA">
        <w:rPr>
          <w:rFonts w:hint="eastAsia"/>
          <w:color w:val="000000" w:themeColor="text1"/>
        </w:rPr>
        <w:t>？</w:t>
      </w:r>
      <w:r w:rsidR="008628B9" w:rsidRPr="009B17AA">
        <w:rPr>
          <w:rFonts w:hint="eastAsia"/>
          <w:color w:val="000000" w:themeColor="text1"/>
        </w:rPr>
        <w:t>殊值商榷；</w:t>
      </w:r>
      <w:r w:rsidR="00156C43" w:rsidRPr="009B17AA">
        <w:rPr>
          <w:rFonts w:hint="eastAsia"/>
          <w:color w:val="000000" w:themeColor="text1"/>
        </w:rPr>
        <w:t>另</w:t>
      </w:r>
      <w:r w:rsidR="004F277A" w:rsidRPr="009B17AA">
        <w:rPr>
          <w:rFonts w:hint="eastAsia"/>
          <w:color w:val="000000" w:themeColor="text1"/>
        </w:rPr>
        <w:t>司法院</w:t>
      </w:r>
      <w:r w:rsidR="00156C43" w:rsidRPr="009B17AA">
        <w:rPr>
          <w:rFonts w:hint="eastAsia"/>
          <w:color w:val="000000" w:themeColor="text1"/>
        </w:rPr>
        <w:t>對於</w:t>
      </w:r>
      <w:r w:rsidR="004F277A" w:rsidRPr="009B17AA">
        <w:rPr>
          <w:rFonts w:hint="eastAsia"/>
          <w:color w:val="000000" w:themeColor="text1"/>
        </w:rPr>
        <w:t>本案第</w:t>
      </w:r>
      <w:r w:rsidR="00156C43" w:rsidRPr="009B17AA">
        <w:rPr>
          <w:rFonts w:hint="eastAsia"/>
          <w:color w:val="000000" w:themeColor="text1"/>
        </w:rPr>
        <w:t>一、二審</w:t>
      </w:r>
      <w:r w:rsidR="004F277A" w:rsidRPr="009B17AA">
        <w:rPr>
          <w:rFonts w:hint="eastAsia"/>
          <w:color w:val="000000" w:themeColor="text1"/>
        </w:rPr>
        <w:t>所</w:t>
      </w:r>
      <w:r w:rsidR="00156C43" w:rsidRPr="009B17AA">
        <w:rPr>
          <w:rFonts w:hint="eastAsia"/>
          <w:color w:val="000000" w:themeColor="text1"/>
        </w:rPr>
        <w:t>收取</w:t>
      </w:r>
      <w:r w:rsidR="004F277A" w:rsidRPr="009B17AA">
        <w:rPr>
          <w:rFonts w:hint="eastAsia"/>
          <w:color w:val="000000" w:themeColor="text1"/>
        </w:rPr>
        <w:t>較高之裁判費，允宜研議退款機制。</w:t>
      </w:r>
    </w:p>
    <w:p w:rsidR="003A5927" w:rsidRPr="009B17AA" w:rsidRDefault="003A5927" w:rsidP="003A5927">
      <w:pPr>
        <w:pStyle w:val="32"/>
        <w:ind w:leftChars="0" w:left="0" w:firstLineChars="0" w:firstLine="0"/>
        <w:rPr>
          <w:color w:val="000000" w:themeColor="text1"/>
        </w:rPr>
      </w:pPr>
    </w:p>
    <w:p w:rsidR="00E25849" w:rsidRPr="009B17AA"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B17AA">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B17AA">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0767BC" w:rsidRPr="009B17AA">
        <w:rPr>
          <w:color w:val="000000" w:themeColor="text1"/>
        </w:rPr>
        <w:t xml:space="preserve"> </w:t>
      </w:r>
    </w:p>
    <w:p w:rsidR="00FB7770" w:rsidRPr="009B17AA" w:rsidRDefault="00FB7770" w:rsidP="00770453">
      <w:pPr>
        <w:pStyle w:val="2"/>
        <w:spacing w:beforeLines="25" w:before="114"/>
        <w:ind w:left="1020" w:hanging="680"/>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9B17AA">
        <w:rPr>
          <w:rFonts w:hint="eastAsia"/>
          <w:color w:val="000000" w:themeColor="text1"/>
        </w:rPr>
        <w:t>調查意見，</w:t>
      </w:r>
      <w:r w:rsidR="00172091" w:rsidRPr="009B17AA">
        <w:rPr>
          <w:rFonts w:hint="eastAsia"/>
          <w:color w:val="000000" w:themeColor="text1"/>
        </w:rPr>
        <w:t>函復陳訴人</w:t>
      </w:r>
      <w:r w:rsidR="008D099E" w:rsidRPr="009B17AA">
        <w:rPr>
          <w:rFonts w:hint="eastAsia"/>
          <w:color w:val="000000" w:themeColor="text1"/>
        </w:rPr>
        <w:t>周○○</w:t>
      </w:r>
      <w:r w:rsidR="00205718" w:rsidRPr="009B17AA">
        <w:rPr>
          <w:rFonts w:hint="eastAsia"/>
          <w:color w:val="000000" w:themeColor="text1"/>
        </w:rPr>
        <w:t>(並請轉知其他陳訴人)</w:t>
      </w:r>
      <w:r w:rsidRPr="009B17AA">
        <w:rPr>
          <w:rFonts w:hAnsi="標楷體" w:hint="eastAsia"/>
          <w:color w:val="000000" w:themeColor="text1"/>
        </w:rPr>
        <w:t>。</w:t>
      </w:r>
      <w:bookmarkEnd w:id="77"/>
      <w:bookmarkEnd w:id="78"/>
      <w:bookmarkEnd w:id="79"/>
      <w:bookmarkEnd w:id="80"/>
      <w:bookmarkEnd w:id="81"/>
      <w:bookmarkEnd w:id="82"/>
      <w:bookmarkEnd w:id="83"/>
    </w:p>
    <w:p w:rsidR="00E25849" w:rsidRPr="009B17AA" w:rsidRDefault="00E25849">
      <w:pPr>
        <w:pStyle w:val="2"/>
        <w:rPr>
          <w:color w:val="000000" w:themeColor="text1"/>
        </w:rPr>
      </w:pPr>
      <w:bookmarkStart w:id="103" w:name="_Toc421794877"/>
      <w:bookmarkStart w:id="104" w:name="_Toc421795443"/>
      <w:bookmarkStart w:id="105" w:name="_Toc421796024"/>
      <w:bookmarkStart w:id="106" w:name="_Toc422728959"/>
      <w:bookmarkStart w:id="107" w:name="_Toc422834162"/>
      <w:r w:rsidRPr="009B17AA">
        <w:rPr>
          <w:rFonts w:hint="eastAsia"/>
          <w:color w:val="000000" w:themeColor="text1"/>
        </w:rPr>
        <w:t>調查意見</w:t>
      </w:r>
      <w:r w:rsidR="00205718" w:rsidRPr="009B17AA">
        <w:rPr>
          <w:rFonts w:hint="eastAsia"/>
          <w:color w:val="000000" w:themeColor="text1"/>
        </w:rPr>
        <w:t>四</w:t>
      </w:r>
      <w:r w:rsidRPr="009B17AA">
        <w:rPr>
          <w:rFonts w:hint="eastAsia"/>
          <w:color w:val="000000" w:themeColor="text1"/>
        </w:rPr>
        <w:t>，函請</w:t>
      </w:r>
      <w:r w:rsidR="00205718" w:rsidRPr="009B17AA">
        <w:rPr>
          <w:rFonts w:hint="eastAsia"/>
          <w:color w:val="000000" w:themeColor="text1"/>
        </w:rPr>
        <w:t>司法院</w:t>
      </w:r>
      <w:r w:rsidR="00D26522" w:rsidRPr="009B17AA">
        <w:rPr>
          <w:rFonts w:hint="eastAsia"/>
          <w:color w:val="000000" w:themeColor="text1"/>
        </w:rPr>
        <w:t>妥處</w:t>
      </w:r>
      <w:r w:rsidRPr="009B17AA">
        <w:rPr>
          <w:rFonts w:hint="eastAsia"/>
          <w:color w:val="000000" w:themeColor="text1"/>
        </w:rPr>
        <w:t>見復。</w:t>
      </w:r>
      <w:bookmarkEnd w:id="84"/>
      <w:bookmarkEnd w:id="85"/>
      <w:bookmarkEnd w:id="86"/>
      <w:bookmarkEnd w:id="87"/>
      <w:bookmarkEnd w:id="88"/>
      <w:bookmarkEnd w:id="89"/>
      <w:bookmarkEnd w:id="90"/>
      <w:bookmarkEnd w:id="91"/>
      <w:bookmarkEnd w:id="103"/>
      <w:bookmarkEnd w:id="104"/>
      <w:bookmarkEnd w:id="105"/>
      <w:bookmarkEnd w:id="106"/>
      <w:bookmarkEnd w:id="107"/>
    </w:p>
    <w:p w:rsidR="00E25849" w:rsidRPr="009B17AA" w:rsidRDefault="00E25849">
      <w:pPr>
        <w:pStyle w:val="2"/>
        <w:rPr>
          <w:color w:val="000000" w:themeColor="text1"/>
        </w:rPr>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2"/>
      <w:bookmarkEnd w:id="93"/>
      <w:bookmarkEnd w:id="94"/>
      <w:bookmarkEnd w:id="95"/>
      <w:bookmarkEnd w:id="96"/>
      <w:bookmarkEnd w:id="97"/>
      <w:bookmarkEnd w:id="98"/>
      <w:bookmarkEnd w:id="99"/>
      <w:bookmarkEnd w:id="100"/>
      <w:bookmarkEnd w:id="101"/>
      <w:bookmarkEnd w:id="102"/>
      <w:r w:rsidRPr="009B17AA">
        <w:rPr>
          <w:rFonts w:hint="eastAsia"/>
          <w:color w:val="000000" w:themeColor="text1"/>
        </w:rPr>
        <w:t>檢附派查函及相關附件，送請</w:t>
      </w:r>
      <w:r w:rsidR="00D461A2" w:rsidRPr="009B17AA">
        <w:rPr>
          <w:rFonts w:hint="eastAsia"/>
          <w:color w:val="000000" w:themeColor="text1"/>
        </w:rPr>
        <w:t>內政</w:t>
      </w:r>
      <w:r w:rsidRPr="009B17AA">
        <w:rPr>
          <w:rFonts w:hint="eastAsia"/>
          <w:color w:val="000000" w:themeColor="text1"/>
        </w:rPr>
        <w:t>及</w:t>
      </w:r>
      <w:r w:rsidR="00D461A2" w:rsidRPr="009B17AA">
        <w:rPr>
          <w:rFonts w:hint="eastAsia"/>
          <w:color w:val="000000" w:themeColor="text1"/>
        </w:rPr>
        <w:t>族群、司法及獄政</w:t>
      </w:r>
      <w:r w:rsidRPr="009B17AA">
        <w:rPr>
          <w:rFonts w:hint="eastAsia"/>
          <w:color w:val="000000" w:themeColor="text1"/>
        </w:rPr>
        <w:t>委員會</w:t>
      </w:r>
      <w:r w:rsidRPr="009B17AA">
        <w:rPr>
          <w:rFonts w:hAnsi="標楷體" w:hint="eastAsia"/>
          <w:color w:val="000000" w:themeColor="text1"/>
        </w:rPr>
        <w:t>聯席會議</w:t>
      </w:r>
      <w:r w:rsidRPr="009B17AA">
        <w:rPr>
          <w:rFonts w:hint="eastAsia"/>
          <w:color w:val="000000" w:themeColor="text1"/>
        </w:rPr>
        <w:t>處理。</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E25849" w:rsidRPr="009B17AA" w:rsidRDefault="00E25849" w:rsidP="00770453">
      <w:pPr>
        <w:pStyle w:val="aa"/>
        <w:spacing w:beforeLines="50" w:before="228" w:afterLines="100" w:after="457"/>
        <w:ind w:leftChars="1100" w:left="3742"/>
        <w:rPr>
          <w:b w:val="0"/>
          <w:bCs/>
          <w:snapToGrid/>
          <w:color w:val="000000" w:themeColor="text1"/>
          <w:spacing w:val="12"/>
          <w:kern w:val="0"/>
          <w:sz w:val="40"/>
        </w:rPr>
      </w:pPr>
      <w:r w:rsidRPr="009B17AA">
        <w:rPr>
          <w:rFonts w:hint="eastAsia"/>
          <w:b w:val="0"/>
          <w:bCs/>
          <w:snapToGrid/>
          <w:color w:val="000000" w:themeColor="text1"/>
          <w:spacing w:val="12"/>
          <w:kern w:val="0"/>
          <w:sz w:val="40"/>
        </w:rPr>
        <w:t>調查委員：</w:t>
      </w:r>
      <w:r w:rsidR="00195B84">
        <w:rPr>
          <w:rFonts w:hint="eastAsia"/>
          <w:b w:val="0"/>
          <w:bCs/>
          <w:snapToGrid/>
          <w:color w:val="000000" w:themeColor="text1"/>
          <w:spacing w:val="12"/>
          <w:kern w:val="0"/>
          <w:sz w:val="40"/>
        </w:rPr>
        <w:t>高涌誠</w:t>
      </w:r>
      <w:bookmarkStart w:id="121" w:name="_GoBack"/>
      <w:bookmarkEnd w:id="121"/>
    </w:p>
    <w:p w:rsidR="00770453" w:rsidRPr="009B17AA"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9B17AA" w:rsidRDefault="00E25849">
      <w:pPr>
        <w:pStyle w:val="af"/>
        <w:rPr>
          <w:rFonts w:hAnsi="標楷體"/>
          <w:bCs/>
          <w:color w:val="000000" w:themeColor="text1"/>
        </w:rPr>
      </w:pPr>
      <w:r w:rsidRPr="009B17AA">
        <w:rPr>
          <w:rFonts w:hAnsi="標楷體" w:hint="eastAsia"/>
          <w:bCs/>
          <w:color w:val="000000" w:themeColor="text1"/>
        </w:rPr>
        <w:t>中</w:t>
      </w:r>
      <w:r w:rsidR="00B5484D" w:rsidRPr="009B17AA">
        <w:rPr>
          <w:rFonts w:hAnsi="標楷體" w:hint="eastAsia"/>
          <w:bCs/>
          <w:color w:val="000000" w:themeColor="text1"/>
        </w:rPr>
        <w:t xml:space="preserve">  </w:t>
      </w:r>
      <w:r w:rsidRPr="009B17AA">
        <w:rPr>
          <w:rFonts w:hAnsi="標楷體" w:hint="eastAsia"/>
          <w:bCs/>
          <w:color w:val="000000" w:themeColor="text1"/>
        </w:rPr>
        <w:t>華</w:t>
      </w:r>
      <w:r w:rsidR="00B5484D" w:rsidRPr="009B17AA">
        <w:rPr>
          <w:rFonts w:hAnsi="標楷體" w:hint="eastAsia"/>
          <w:bCs/>
          <w:color w:val="000000" w:themeColor="text1"/>
        </w:rPr>
        <w:t xml:space="preserve">  </w:t>
      </w:r>
      <w:r w:rsidRPr="009B17AA">
        <w:rPr>
          <w:rFonts w:hAnsi="標楷體" w:hint="eastAsia"/>
          <w:bCs/>
          <w:color w:val="000000" w:themeColor="text1"/>
        </w:rPr>
        <w:t>民</w:t>
      </w:r>
      <w:r w:rsidR="00B5484D" w:rsidRPr="009B17AA">
        <w:rPr>
          <w:rFonts w:hAnsi="標楷體" w:hint="eastAsia"/>
          <w:bCs/>
          <w:color w:val="000000" w:themeColor="text1"/>
        </w:rPr>
        <w:t xml:space="preserve">  </w:t>
      </w:r>
      <w:r w:rsidRPr="009B17AA">
        <w:rPr>
          <w:rFonts w:hAnsi="標楷體" w:hint="eastAsia"/>
          <w:bCs/>
          <w:color w:val="000000" w:themeColor="text1"/>
        </w:rPr>
        <w:t xml:space="preserve">國　</w:t>
      </w:r>
      <w:r w:rsidR="001E74C2" w:rsidRPr="009B17AA">
        <w:rPr>
          <w:rFonts w:hAnsi="標楷體" w:hint="eastAsia"/>
          <w:bCs/>
          <w:color w:val="000000" w:themeColor="text1"/>
        </w:rPr>
        <w:t>1</w:t>
      </w:r>
      <w:r w:rsidR="000767BC" w:rsidRPr="009B17AA">
        <w:rPr>
          <w:rFonts w:hAnsi="標楷體"/>
          <w:bCs/>
          <w:color w:val="000000" w:themeColor="text1"/>
        </w:rPr>
        <w:t>1</w:t>
      </w:r>
      <w:r w:rsidR="001E74C2" w:rsidRPr="009B17AA">
        <w:rPr>
          <w:rFonts w:hAnsi="標楷體" w:hint="eastAsia"/>
          <w:bCs/>
          <w:color w:val="000000" w:themeColor="text1"/>
        </w:rPr>
        <w:t>0</w:t>
      </w:r>
      <w:r w:rsidRPr="009B17AA">
        <w:rPr>
          <w:rFonts w:hAnsi="標楷體" w:hint="eastAsia"/>
          <w:bCs/>
          <w:color w:val="000000" w:themeColor="text1"/>
        </w:rPr>
        <w:t xml:space="preserve">　年　</w:t>
      </w:r>
      <w:r w:rsidR="000767BC" w:rsidRPr="009B17AA">
        <w:rPr>
          <w:rFonts w:hAnsi="標楷體" w:hint="eastAsia"/>
          <w:bCs/>
          <w:color w:val="000000" w:themeColor="text1"/>
        </w:rPr>
        <w:t>1</w:t>
      </w:r>
      <w:r w:rsidR="00A07B4B" w:rsidRPr="009B17AA">
        <w:rPr>
          <w:rFonts w:hAnsi="標楷體" w:hint="eastAsia"/>
          <w:bCs/>
          <w:color w:val="000000" w:themeColor="text1"/>
        </w:rPr>
        <w:t xml:space="preserve"> </w:t>
      </w:r>
      <w:r w:rsidRPr="009B17AA">
        <w:rPr>
          <w:rFonts w:hAnsi="標楷體" w:hint="eastAsia"/>
          <w:bCs/>
          <w:color w:val="000000" w:themeColor="text1"/>
        </w:rPr>
        <w:t xml:space="preserve">　月　　　日</w:t>
      </w:r>
    </w:p>
    <w:p w:rsidR="000767BC" w:rsidRPr="009B17AA" w:rsidRDefault="000767BC" w:rsidP="000767BC">
      <w:pPr>
        <w:pStyle w:val="af0"/>
        <w:kinsoku/>
        <w:autoSpaceDE w:val="0"/>
        <w:spacing w:beforeLines="50" w:before="228"/>
        <w:ind w:left="1044" w:hangingChars="307" w:hanging="1044"/>
        <w:rPr>
          <w:bCs/>
          <w:color w:val="000000" w:themeColor="text1"/>
        </w:rPr>
      </w:pPr>
    </w:p>
    <w:p w:rsidR="00416721" w:rsidRPr="009B17AA" w:rsidRDefault="00416721">
      <w:pPr>
        <w:widowControl/>
        <w:overflowPunct/>
        <w:autoSpaceDE/>
        <w:autoSpaceDN/>
        <w:jc w:val="left"/>
        <w:rPr>
          <w:bCs/>
          <w:color w:val="000000" w:themeColor="text1"/>
          <w:kern w:val="0"/>
        </w:rPr>
      </w:pPr>
    </w:p>
    <w:sectPr w:rsidR="00416721" w:rsidRPr="009B17AA" w:rsidSect="0021218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EE5" w:rsidRDefault="002D4EE5">
      <w:r>
        <w:separator/>
      </w:r>
    </w:p>
  </w:endnote>
  <w:endnote w:type="continuationSeparator" w:id="0">
    <w:p w:rsidR="002D4EE5" w:rsidRDefault="002D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389" w:rsidRDefault="00A6438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95B84">
      <w:rPr>
        <w:rStyle w:val="ac"/>
        <w:noProof/>
        <w:sz w:val="24"/>
      </w:rPr>
      <w:t>11</w:t>
    </w:r>
    <w:r>
      <w:rPr>
        <w:rStyle w:val="ac"/>
        <w:sz w:val="24"/>
      </w:rPr>
      <w:fldChar w:fldCharType="end"/>
    </w:r>
  </w:p>
  <w:p w:rsidR="00A64389" w:rsidRDefault="00A6438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EE5" w:rsidRDefault="002D4EE5">
      <w:r>
        <w:separator/>
      </w:r>
    </w:p>
  </w:footnote>
  <w:footnote w:type="continuationSeparator" w:id="0">
    <w:p w:rsidR="002D4EE5" w:rsidRDefault="002D4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4D8"/>
    <w:rsid w:val="000047D1"/>
    <w:rsid w:val="00006961"/>
    <w:rsid w:val="00007722"/>
    <w:rsid w:val="000112BF"/>
    <w:rsid w:val="00012233"/>
    <w:rsid w:val="00015B62"/>
    <w:rsid w:val="00017273"/>
    <w:rsid w:val="00017318"/>
    <w:rsid w:val="00022798"/>
    <w:rsid w:val="000229AD"/>
    <w:rsid w:val="000237D5"/>
    <w:rsid w:val="000246F7"/>
    <w:rsid w:val="00027338"/>
    <w:rsid w:val="0003114D"/>
    <w:rsid w:val="000320D5"/>
    <w:rsid w:val="0003246B"/>
    <w:rsid w:val="000325C4"/>
    <w:rsid w:val="00032838"/>
    <w:rsid w:val="00034D1A"/>
    <w:rsid w:val="00036D76"/>
    <w:rsid w:val="00037A16"/>
    <w:rsid w:val="00047233"/>
    <w:rsid w:val="00050038"/>
    <w:rsid w:val="0005219C"/>
    <w:rsid w:val="00056F62"/>
    <w:rsid w:val="00057F32"/>
    <w:rsid w:val="00061FE5"/>
    <w:rsid w:val="00062889"/>
    <w:rsid w:val="00062A25"/>
    <w:rsid w:val="000668EF"/>
    <w:rsid w:val="00066E90"/>
    <w:rsid w:val="0006706E"/>
    <w:rsid w:val="000703BC"/>
    <w:rsid w:val="00070C8E"/>
    <w:rsid w:val="00073CB5"/>
    <w:rsid w:val="0007425C"/>
    <w:rsid w:val="00075573"/>
    <w:rsid w:val="000767BC"/>
    <w:rsid w:val="00077553"/>
    <w:rsid w:val="00077723"/>
    <w:rsid w:val="000834B5"/>
    <w:rsid w:val="000851A2"/>
    <w:rsid w:val="00085ABC"/>
    <w:rsid w:val="0009352E"/>
    <w:rsid w:val="0009583F"/>
    <w:rsid w:val="00096B96"/>
    <w:rsid w:val="000A0724"/>
    <w:rsid w:val="000A1ACE"/>
    <w:rsid w:val="000A2F3F"/>
    <w:rsid w:val="000A4C64"/>
    <w:rsid w:val="000B0B4A"/>
    <w:rsid w:val="000B279A"/>
    <w:rsid w:val="000B5F51"/>
    <w:rsid w:val="000B61D2"/>
    <w:rsid w:val="000B70A7"/>
    <w:rsid w:val="000B73DD"/>
    <w:rsid w:val="000C08A8"/>
    <w:rsid w:val="000C3673"/>
    <w:rsid w:val="000C48E5"/>
    <w:rsid w:val="000C495F"/>
    <w:rsid w:val="000D66D9"/>
    <w:rsid w:val="000E12F7"/>
    <w:rsid w:val="000E16A3"/>
    <w:rsid w:val="000E271F"/>
    <w:rsid w:val="000E6431"/>
    <w:rsid w:val="000F19FF"/>
    <w:rsid w:val="000F21A5"/>
    <w:rsid w:val="000F296B"/>
    <w:rsid w:val="00100D98"/>
    <w:rsid w:val="00101E0F"/>
    <w:rsid w:val="00102649"/>
    <w:rsid w:val="00102B9F"/>
    <w:rsid w:val="00103712"/>
    <w:rsid w:val="001068AE"/>
    <w:rsid w:val="0011122E"/>
    <w:rsid w:val="00112637"/>
    <w:rsid w:val="00112ABC"/>
    <w:rsid w:val="0012001E"/>
    <w:rsid w:val="001215CE"/>
    <w:rsid w:val="00126970"/>
    <w:rsid w:val="00126A55"/>
    <w:rsid w:val="00130C5A"/>
    <w:rsid w:val="001316E7"/>
    <w:rsid w:val="00133F08"/>
    <w:rsid w:val="001340CE"/>
    <w:rsid w:val="001345E6"/>
    <w:rsid w:val="00134608"/>
    <w:rsid w:val="00136AF3"/>
    <w:rsid w:val="001378B0"/>
    <w:rsid w:val="00142E00"/>
    <w:rsid w:val="00144F48"/>
    <w:rsid w:val="0014726C"/>
    <w:rsid w:val="00152793"/>
    <w:rsid w:val="00153B7E"/>
    <w:rsid w:val="001545A9"/>
    <w:rsid w:val="00156C43"/>
    <w:rsid w:val="00160EDD"/>
    <w:rsid w:val="00161F6B"/>
    <w:rsid w:val="00162EB9"/>
    <w:rsid w:val="001637C7"/>
    <w:rsid w:val="00163C3B"/>
    <w:rsid w:val="0016480E"/>
    <w:rsid w:val="00166449"/>
    <w:rsid w:val="00166502"/>
    <w:rsid w:val="00172091"/>
    <w:rsid w:val="00173C9C"/>
    <w:rsid w:val="00174297"/>
    <w:rsid w:val="001745F1"/>
    <w:rsid w:val="0018039A"/>
    <w:rsid w:val="00180E06"/>
    <w:rsid w:val="001817B3"/>
    <w:rsid w:val="0018193C"/>
    <w:rsid w:val="001823A5"/>
    <w:rsid w:val="00182C87"/>
    <w:rsid w:val="00183014"/>
    <w:rsid w:val="00183371"/>
    <w:rsid w:val="00184CC8"/>
    <w:rsid w:val="001959C2"/>
    <w:rsid w:val="00195B84"/>
    <w:rsid w:val="001A0FB5"/>
    <w:rsid w:val="001A4F7C"/>
    <w:rsid w:val="001A51E3"/>
    <w:rsid w:val="001A5CA3"/>
    <w:rsid w:val="001A5F81"/>
    <w:rsid w:val="001A7337"/>
    <w:rsid w:val="001A769C"/>
    <w:rsid w:val="001A7968"/>
    <w:rsid w:val="001B013C"/>
    <w:rsid w:val="001B23EC"/>
    <w:rsid w:val="001B2E98"/>
    <w:rsid w:val="001B3483"/>
    <w:rsid w:val="001B3C1E"/>
    <w:rsid w:val="001B4494"/>
    <w:rsid w:val="001B45EF"/>
    <w:rsid w:val="001C0D8B"/>
    <w:rsid w:val="001C0DA8"/>
    <w:rsid w:val="001C4838"/>
    <w:rsid w:val="001C674E"/>
    <w:rsid w:val="001D3158"/>
    <w:rsid w:val="001D346A"/>
    <w:rsid w:val="001D4754"/>
    <w:rsid w:val="001D4AD7"/>
    <w:rsid w:val="001D721F"/>
    <w:rsid w:val="001E0D8A"/>
    <w:rsid w:val="001E1E10"/>
    <w:rsid w:val="001E2AA4"/>
    <w:rsid w:val="001E67BA"/>
    <w:rsid w:val="001E74C2"/>
    <w:rsid w:val="001E7C3A"/>
    <w:rsid w:val="001F1BE2"/>
    <w:rsid w:val="001F1CD3"/>
    <w:rsid w:val="001F4F82"/>
    <w:rsid w:val="001F5A48"/>
    <w:rsid w:val="001F5B30"/>
    <w:rsid w:val="001F5F57"/>
    <w:rsid w:val="001F6260"/>
    <w:rsid w:val="001F626A"/>
    <w:rsid w:val="001F6592"/>
    <w:rsid w:val="00200007"/>
    <w:rsid w:val="00202946"/>
    <w:rsid w:val="002030A5"/>
    <w:rsid w:val="00203131"/>
    <w:rsid w:val="00205718"/>
    <w:rsid w:val="0020796D"/>
    <w:rsid w:val="00210508"/>
    <w:rsid w:val="00212188"/>
    <w:rsid w:val="00212E88"/>
    <w:rsid w:val="00213C9C"/>
    <w:rsid w:val="002166A6"/>
    <w:rsid w:val="0022009E"/>
    <w:rsid w:val="00221112"/>
    <w:rsid w:val="00223241"/>
    <w:rsid w:val="0022425C"/>
    <w:rsid w:val="002246DE"/>
    <w:rsid w:val="002337DB"/>
    <w:rsid w:val="00236682"/>
    <w:rsid w:val="002429E2"/>
    <w:rsid w:val="002467C0"/>
    <w:rsid w:val="00246F3E"/>
    <w:rsid w:val="0025206E"/>
    <w:rsid w:val="00252BC4"/>
    <w:rsid w:val="00253BC4"/>
    <w:rsid w:val="00254014"/>
    <w:rsid w:val="00254B39"/>
    <w:rsid w:val="00255327"/>
    <w:rsid w:val="00255653"/>
    <w:rsid w:val="00260DEC"/>
    <w:rsid w:val="00261BD1"/>
    <w:rsid w:val="002621C9"/>
    <w:rsid w:val="0026504D"/>
    <w:rsid w:val="00273401"/>
    <w:rsid w:val="00273A2F"/>
    <w:rsid w:val="00274891"/>
    <w:rsid w:val="00276A15"/>
    <w:rsid w:val="00280986"/>
    <w:rsid w:val="00281ECE"/>
    <w:rsid w:val="0028312A"/>
    <w:rsid w:val="002831C7"/>
    <w:rsid w:val="002840C6"/>
    <w:rsid w:val="0029011A"/>
    <w:rsid w:val="00295174"/>
    <w:rsid w:val="00296172"/>
    <w:rsid w:val="00296B92"/>
    <w:rsid w:val="002A0961"/>
    <w:rsid w:val="002A2C22"/>
    <w:rsid w:val="002A48BB"/>
    <w:rsid w:val="002A751B"/>
    <w:rsid w:val="002B02EB"/>
    <w:rsid w:val="002B27F8"/>
    <w:rsid w:val="002C016B"/>
    <w:rsid w:val="002C0602"/>
    <w:rsid w:val="002D1AC2"/>
    <w:rsid w:val="002D3565"/>
    <w:rsid w:val="002D40C3"/>
    <w:rsid w:val="002D4BDC"/>
    <w:rsid w:val="002D4EE5"/>
    <w:rsid w:val="002D5272"/>
    <w:rsid w:val="002D5C16"/>
    <w:rsid w:val="002D6AAF"/>
    <w:rsid w:val="002D752C"/>
    <w:rsid w:val="002D7CEA"/>
    <w:rsid w:val="002E0E0A"/>
    <w:rsid w:val="002E1B4B"/>
    <w:rsid w:val="002E2BDA"/>
    <w:rsid w:val="002E4C3F"/>
    <w:rsid w:val="002E7098"/>
    <w:rsid w:val="002F1192"/>
    <w:rsid w:val="002F2476"/>
    <w:rsid w:val="002F3DFF"/>
    <w:rsid w:val="002F5E05"/>
    <w:rsid w:val="00300283"/>
    <w:rsid w:val="00300697"/>
    <w:rsid w:val="00301058"/>
    <w:rsid w:val="003010FF"/>
    <w:rsid w:val="00302B49"/>
    <w:rsid w:val="0030369C"/>
    <w:rsid w:val="003038F2"/>
    <w:rsid w:val="00306281"/>
    <w:rsid w:val="00307A76"/>
    <w:rsid w:val="00310F1E"/>
    <w:rsid w:val="003129E6"/>
    <w:rsid w:val="00314397"/>
    <w:rsid w:val="0031455E"/>
    <w:rsid w:val="00315A16"/>
    <w:rsid w:val="00317053"/>
    <w:rsid w:val="0032109C"/>
    <w:rsid w:val="00322B45"/>
    <w:rsid w:val="00323809"/>
    <w:rsid w:val="00323D41"/>
    <w:rsid w:val="00325414"/>
    <w:rsid w:val="00325CAB"/>
    <w:rsid w:val="003302F1"/>
    <w:rsid w:val="003406E7"/>
    <w:rsid w:val="00342947"/>
    <w:rsid w:val="0034470E"/>
    <w:rsid w:val="003448B7"/>
    <w:rsid w:val="00345B06"/>
    <w:rsid w:val="0035155B"/>
    <w:rsid w:val="00352DB0"/>
    <w:rsid w:val="00353A57"/>
    <w:rsid w:val="00353F90"/>
    <w:rsid w:val="003564BE"/>
    <w:rsid w:val="00357591"/>
    <w:rsid w:val="00360F98"/>
    <w:rsid w:val="00361063"/>
    <w:rsid w:val="00364E29"/>
    <w:rsid w:val="0037094A"/>
    <w:rsid w:val="00371ED3"/>
    <w:rsid w:val="00372659"/>
    <w:rsid w:val="00372FFC"/>
    <w:rsid w:val="00376842"/>
    <w:rsid w:val="0037728A"/>
    <w:rsid w:val="0037738C"/>
    <w:rsid w:val="00380B7D"/>
    <w:rsid w:val="00381A99"/>
    <w:rsid w:val="003829C2"/>
    <w:rsid w:val="003830B2"/>
    <w:rsid w:val="003834E7"/>
    <w:rsid w:val="00384724"/>
    <w:rsid w:val="00384E5E"/>
    <w:rsid w:val="00386DD0"/>
    <w:rsid w:val="003919B7"/>
    <w:rsid w:val="00391D57"/>
    <w:rsid w:val="00392292"/>
    <w:rsid w:val="00392684"/>
    <w:rsid w:val="003934D4"/>
    <w:rsid w:val="00394F45"/>
    <w:rsid w:val="003A220D"/>
    <w:rsid w:val="003A32DF"/>
    <w:rsid w:val="003A433A"/>
    <w:rsid w:val="003A4A51"/>
    <w:rsid w:val="003A5927"/>
    <w:rsid w:val="003A604D"/>
    <w:rsid w:val="003A6C6A"/>
    <w:rsid w:val="003B1017"/>
    <w:rsid w:val="003B3C07"/>
    <w:rsid w:val="003B432F"/>
    <w:rsid w:val="003B6081"/>
    <w:rsid w:val="003B611E"/>
    <w:rsid w:val="003B61ED"/>
    <w:rsid w:val="003B6775"/>
    <w:rsid w:val="003B7E5B"/>
    <w:rsid w:val="003B7E98"/>
    <w:rsid w:val="003C3696"/>
    <w:rsid w:val="003C5FE2"/>
    <w:rsid w:val="003C6DA4"/>
    <w:rsid w:val="003C763F"/>
    <w:rsid w:val="003C7853"/>
    <w:rsid w:val="003D05FB"/>
    <w:rsid w:val="003D1B16"/>
    <w:rsid w:val="003D44F0"/>
    <w:rsid w:val="003D45BF"/>
    <w:rsid w:val="003D4DC9"/>
    <w:rsid w:val="003D508A"/>
    <w:rsid w:val="003D537F"/>
    <w:rsid w:val="003D6317"/>
    <w:rsid w:val="003D7B75"/>
    <w:rsid w:val="003E0208"/>
    <w:rsid w:val="003E0A7D"/>
    <w:rsid w:val="003E0F29"/>
    <w:rsid w:val="003E21EA"/>
    <w:rsid w:val="003E33A3"/>
    <w:rsid w:val="003E4B57"/>
    <w:rsid w:val="003E67BF"/>
    <w:rsid w:val="003E67F7"/>
    <w:rsid w:val="003E7189"/>
    <w:rsid w:val="003E7C50"/>
    <w:rsid w:val="003F27E1"/>
    <w:rsid w:val="003F437A"/>
    <w:rsid w:val="003F5385"/>
    <w:rsid w:val="003F5C2B"/>
    <w:rsid w:val="00402240"/>
    <w:rsid w:val="004023E9"/>
    <w:rsid w:val="0040454A"/>
    <w:rsid w:val="00405E46"/>
    <w:rsid w:val="00406226"/>
    <w:rsid w:val="00413F83"/>
    <w:rsid w:val="0041490C"/>
    <w:rsid w:val="00416191"/>
    <w:rsid w:val="00416721"/>
    <w:rsid w:val="0041731E"/>
    <w:rsid w:val="00421EF0"/>
    <w:rsid w:val="00422060"/>
    <w:rsid w:val="004224FA"/>
    <w:rsid w:val="00423D07"/>
    <w:rsid w:val="004241BD"/>
    <w:rsid w:val="004244AC"/>
    <w:rsid w:val="00426454"/>
    <w:rsid w:val="00426B69"/>
    <w:rsid w:val="00427936"/>
    <w:rsid w:val="00434632"/>
    <w:rsid w:val="004347E3"/>
    <w:rsid w:val="00435093"/>
    <w:rsid w:val="004351F7"/>
    <w:rsid w:val="00440AC1"/>
    <w:rsid w:val="0044346F"/>
    <w:rsid w:val="00444739"/>
    <w:rsid w:val="004468D0"/>
    <w:rsid w:val="00453E53"/>
    <w:rsid w:val="00453FF6"/>
    <w:rsid w:val="00456BA9"/>
    <w:rsid w:val="0046069C"/>
    <w:rsid w:val="004639FB"/>
    <w:rsid w:val="0046520A"/>
    <w:rsid w:val="00466F1D"/>
    <w:rsid w:val="004672AB"/>
    <w:rsid w:val="00470E05"/>
    <w:rsid w:val="004714FE"/>
    <w:rsid w:val="00476127"/>
    <w:rsid w:val="00477BAA"/>
    <w:rsid w:val="00477D80"/>
    <w:rsid w:val="0048175A"/>
    <w:rsid w:val="00490113"/>
    <w:rsid w:val="00495053"/>
    <w:rsid w:val="004A0A72"/>
    <w:rsid w:val="004A1F59"/>
    <w:rsid w:val="004A29BE"/>
    <w:rsid w:val="004A3225"/>
    <w:rsid w:val="004A33EE"/>
    <w:rsid w:val="004A3AA8"/>
    <w:rsid w:val="004A7C38"/>
    <w:rsid w:val="004B13C7"/>
    <w:rsid w:val="004B34D9"/>
    <w:rsid w:val="004B3B4E"/>
    <w:rsid w:val="004B5466"/>
    <w:rsid w:val="004B778F"/>
    <w:rsid w:val="004C0609"/>
    <w:rsid w:val="004C0741"/>
    <w:rsid w:val="004C08E8"/>
    <w:rsid w:val="004C3422"/>
    <w:rsid w:val="004C639F"/>
    <w:rsid w:val="004C6545"/>
    <w:rsid w:val="004D0CE3"/>
    <w:rsid w:val="004D121D"/>
    <w:rsid w:val="004D141F"/>
    <w:rsid w:val="004D2742"/>
    <w:rsid w:val="004D2F05"/>
    <w:rsid w:val="004D4656"/>
    <w:rsid w:val="004D4A78"/>
    <w:rsid w:val="004D5A47"/>
    <w:rsid w:val="004D5B52"/>
    <w:rsid w:val="004D6310"/>
    <w:rsid w:val="004D6A89"/>
    <w:rsid w:val="004E0062"/>
    <w:rsid w:val="004E05A1"/>
    <w:rsid w:val="004E1E62"/>
    <w:rsid w:val="004E2A4E"/>
    <w:rsid w:val="004E4ACE"/>
    <w:rsid w:val="004E5F84"/>
    <w:rsid w:val="004F277A"/>
    <w:rsid w:val="004F338F"/>
    <w:rsid w:val="004F3583"/>
    <w:rsid w:val="004F3F57"/>
    <w:rsid w:val="004F472A"/>
    <w:rsid w:val="004F5E57"/>
    <w:rsid w:val="004F6710"/>
    <w:rsid w:val="004F7DF5"/>
    <w:rsid w:val="00500C3E"/>
    <w:rsid w:val="00502377"/>
    <w:rsid w:val="00502849"/>
    <w:rsid w:val="00502C01"/>
    <w:rsid w:val="00504334"/>
    <w:rsid w:val="0050498D"/>
    <w:rsid w:val="005057D0"/>
    <w:rsid w:val="005075B9"/>
    <w:rsid w:val="00510290"/>
    <w:rsid w:val="005104D7"/>
    <w:rsid w:val="005105C6"/>
    <w:rsid w:val="00510B9E"/>
    <w:rsid w:val="005118EE"/>
    <w:rsid w:val="00511F58"/>
    <w:rsid w:val="00514680"/>
    <w:rsid w:val="00517341"/>
    <w:rsid w:val="00523E4A"/>
    <w:rsid w:val="00526F08"/>
    <w:rsid w:val="00530B53"/>
    <w:rsid w:val="00535064"/>
    <w:rsid w:val="0053579A"/>
    <w:rsid w:val="00536BC2"/>
    <w:rsid w:val="005416B8"/>
    <w:rsid w:val="00542358"/>
    <w:rsid w:val="005425E1"/>
    <w:rsid w:val="005427C5"/>
    <w:rsid w:val="00542924"/>
    <w:rsid w:val="00542B9E"/>
    <w:rsid w:val="00542CF6"/>
    <w:rsid w:val="005434A2"/>
    <w:rsid w:val="005434FF"/>
    <w:rsid w:val="0055145A"/>
    <w:rsid w:val="00551545"/>
    <w:rsid w:val="00551F05"/>
    <w:rsid w:val="00553163"/>
    <w:rsid w:val="00553C03"/>
    <w:rsid w:val="00560DDA"/>
    <w:rsid w:val="005635F2"/>
    <w:rsid w:val="00563692"/>
    <w:rsid w:val="0056792C"/>
    <w:rsid w:val="005679B9"/>
    <w:rsid w:val="00567EE3"/>
    <w:rsid w:val="00570A5A"/>
    <w:rsid w:val="005710CC"/>
    <w:rsid w:val="00571679"/>
    <w:rsid w:val="00571776"/>
    <w:rsid w:val="00572731"/>
    <w:rsid w:val="00574E68"/>
    <w:rsid w:val="0057700A"/>
    <w:rsid w:val="00583F33"/>
    <w:rsid w:val="00584235"/>
    <w:rsid w:val="005844E7"/>
    <w:rsid w:val="005908B8"/>
    <w:rsid w:val="0059512E"/>
    <w:rsid w:val="00595315"/>
    <w:rsid w:val="0059756D"/>
    <w:rsid w:val="005A0954"/>
    <w:rsid w:val="005A6DD2"/>
    <w:rsid w:val="005B14AC"/>
    <w:rsid w:val="005B28A8"/>
    <w:rsid w:val="005B2A6A"/>
    <w:rsid w:val="005B2E69"/>
    <w:rsid w:val="005B543B"/>
    <w:rsid w:val="005B6012"/>
    <w:rsid w:val="005C0D17"/>
    <w:rsid w:val="005C385D"/>
    <w:rsid w:val="005C6CE0"/>
    <w:rsid w:val="005C7491"/>
    <w:rsid w:val="005D058C"/>
    <w:rsid w:val="005D0B6F"/>
    <w:rsid w:val="005D3B20"/>
    <w:rsid w:val="005D551D"/>
    <w:rsid w:val="005D58F6"/>
    <w:rsid w:val="005D5EB7"/>
    <w:rsid w:val="005D71B7"/>
    <w:rsid w:val="005D796A"/>
    <w:rsid w:val="005D7BC1"/>
    <w:rsid w:val="005D7D90"/>
    <w:rsid w:val="005E060F"/>
    <w:rsid w:val="005E23E2"/>
    <w:rsid w:val="005E4759"/>
    <w:rsid w:val="005E5C68"/>
    <w:rsid w:val="005E61A7"/>
    <w:rsid w:val="005E6222"/>
    <w:rsid w:val="005E65C0"/>
    <w:rsid w:val="005F0390"/>
    <w:rsid w:val="005F0D3D"/>
    <w:rsid w:val="005F6207"/>
    <w:rsid w:val="00601805"/>
    <w:rsid w:val="00602FFB"/>
    <w:rsid w:val="00605808"/>
    <w:rsid w:val="00606183"/>
    <w:rsid w:val="006072CD"/>
    <w:rsid w:val="00611D19"/>
    <w:rsid w:val="00612023"/>
    <w:rsid w:val="0061292F"/>
    <w:rsid w:val="00614190"/>
    <w:rsid w:val="006142B3"/>
    <w:rsid w:val="00615AB1"/>
    <w:rsid w:val="0061783C"/>
    <w:rsid w:val="00621F62"/>
    <w:rsid w:val="00622A99"/>
    <w:rsid w:val="00622E67"/>
    <w:rsid w:val="00622FC3"/>
    <w:rsid w:val="00624B33"/>
    <w:rsid w:val="00626B57"/>
    <w:rsid w:val="00626EDC"/>
    <w:rsid w:val="00635602"/>
    <w:rsid w:val="006452D3"/>
    <w:rsid w:val="00646130"/>
    <w:rsid w:val="006470EC"/>
    <w:rsid w:val="00652F56"/>
    <w:rsid w:val="006542D6"/>
    <w:rsid w:val="0065598E"/>
    <w:rsid w:val="00655AF2"/>
    <w:rsid w:val="00655BC5"/>
    <w:rsid w:val="006568BE"/>
    <w:rsid w:val="006573B7"/>
    <w:rsid w:val="0066025D"/>
    <w:rsid w:val="0066091A"/>
    <w:rsid w:val="00670D30"/>
    <w:rsid w:val="00675C53"/>
    <w:rsid w:val="006773EC"/>
    <w:rsid w:val="00680504"/>
    <w:rsid w:val="00681CD9"/>
    <w:rsid w:val="00683E30"/>
    <w:rsid w:val="00684657"/>
    <w:rsid w:val="00687024"/>
    <w:rsid w:val="0069422D"/>
    <w:rsid w:val="00695E22"/>
    <w:rsid w:val="006A1F1D"/>
    <w:rsid w:val="006A2C70"/>
    <w:rsid w:val="006A69AC"/>
    <w:rsid w:val="006A70DF"/>
    <w:rsid w:val="006A751A"/>
    <w:rsid w:val="006B29ED"/>
    <w:rsid w:val="006B6CBD"/>
    <w:rsid w:val="006B7093"/>
    <w:rsid w:val="006B7417"/>
    <w:rsid w:val="006B7D37"/>
    <w:rsid w:val="006C2542"/>
    <w:rsid w:val="006C4713"/>
    <w:rsid w:val="006C660C"/>
    <w:rsid w:val="006D1569"/>
    <w:rsid w:val="006D31F9"/>
    <w:rsid w:val="006D3691"/>
    <w:rsid w:val="006E4529"/>
    <w:rsid w:val="006E5EF0"/>
    <w:rsid w:val="006E6DC7"/>
    <w:rsid w:val="006F0742"/>
    <w:rsid w:val="006F1B5A"/>
    <w:rsid w:val="006F30D2"/>
    <w:rsid w:val="006F3563"/>
    <w:rsid w:val="006F42B9"/>
    <w:rsid w:val="006F6103"/>
    <w:rsid w:val="007003E7"/>
    <w:rsid w:val="00704E00"/>
    <w:rsid w:val="00705458"/>
    <w:rsid w:val="007104E3"/>
    <w:rsid w:val="00713272"/>
    <w:rsid w:val="007145D7"/>
    <w:rsid w:val="00717E66"/>
    <w:rsid w:val="007209E7"/>
    <w:rsid w:val="0072253B"/>
    <w:rsid w:val="007247FE"/>
    <w:rsid w:val="00726182"/>
    <w:rsid w:val="007265A4"/>
    <w:rsid w:val="00727635"/>
    <w:rsid w:val="00732329"/>
    <w:rsid w:val="007330B6"/>
    <w:rsid w:val="00733376"/>
    <w:rsid w:val="007337CA"/>
    <w:rsid w:val="00734CE4"/>
    <w:rsid w:val="00734DEE"/>
    <w:rsid w:val="00735123"/>
    <w:rsid w:val="00741321"/>
    <w:rsid w:val="00741837"/>
    <w:rsid w:val="00741D86"/>
    <w:rsid w:val="00742054"/>
    <w:rsid w:val="00743306"/>
    <w:rsid w:val="007438C8"/>
    <w:rsid w:val="007453E6"/>
    <w:rsid w:val="00745DCD"/>
    <w:rsid w:val="007467E8"/>
    <w:rsid w:val="00751DE8"/>
    <w:rsid w:val="00756FBA"/>
    <w:rsid w:val="0075769E"/>
    <w:rsid w:val="00760374"/>
    <w:rsid w:val="00763CEF"/>
    <w:rsid w:val="00764934"/>
    <w:rsid w:val="00766B7B"/>
    <w:rsid w:val="00770453"/>
    <w:rsid w:val="00770D54"/>
    <w:rsid w:val="0077309D"/>
    <w:rsid w:val="007774EE"/>
    <w:rsid w:val="00781822"/>
    <w:rsid w:val="00781943"/>
    <w:rsid w:val="00783F21"/>
    <w:rsid w:val="00787159"/>
    <w:rsid w:val="00787B85"/>
    <w:rsid w:val="0079043A"/>
    <w:rsid w:val="00791668"/>
    <w:rsid w:val="00791AA1"/>
    <w:rsid w:val="00795053"/>
    <w:rsid w:val="0079533E"/>
    <w:rsid w:val="007A0262"/>
    <w:rsid w:val="007A1610"/>
    <w:rsid w:val="007A3793"/>
    <w:rsid w:val="007B68E7"/>
    <w:rsid w:val="007C1BA2"/>
    <w:rsid w:val="007C2B48"/>
    <w:rsid w:val="007C39A1"/>
    <w:rsid w:val="007C6863"/>
    <w:rsid w:val="007C7885"/>
    <w:rsid w:val="007D20E9"/>
    <w:rsid w:val="007D2136"/>
    <w:rsid w:val="007D658F"/>
    <w:rsid w:val="007D7881"/>
    <w:rsid w:val="007D7E3A"/>
    <w:rsid w:val="007E0E10"/>
    <w:rsid w:val="007E11A6"/>
    <w:rsid w:val="007E294A"/>
    <w:rsid w:val="007E3233"/>
    <w:rsid w:val="007E38F3"/>
    <w:rsid w:val="007E4768"/>
    <w:rsid w:val="007E777B"/>
    <w:rsid w:val="007F01CA"/>
    <w:rsid w:val="007F2070"/>
    <w:rsid w:val="007F214E"/>
    <w:rsid w:val="007F26CF"/>
    <w:rsid w:val="007F358C"/>
    <w:rsid w:val="007F3E36"/>
    <w:rsid w:val="007F63C1"/>
    <w:rsid w:val="00803411"/>
    <w:rsid w:val="00804AC4"/>
    <w:rsid w:val="00804C8A"/>
    <w:rsid w:val="008050C7"/>
    <w:rsid w:val="008053F5"/>
    <w:rsid w:val="008075C0"/>
    <w:rsid w:val="00807AF7"/>
    <w:rsid w:val="00807C05"/>
    <w:rsid w:val="00810198"/>
    <w:rsid w:val="0081222F"/>
    <w:rsid w:val="00815DA8"/>
    <w:rsid w:val="008206F9"/>
    <w:rsid w:val="00820A33"/>
    <w:rsid w:val="00820C3E"/>
    <w:rsid w:val="0082194D"/>
    <w:rsid w:val="00821F8E"/>
    <w:rsid w:val="008221F9"/>
    <w:rsid w:val="00822B48"/>
    <w:rsid w:val="0082671A"/>
    <w:rsid w:val="00826EF5"/>
    <w:rsid w:val="00831693"/>
    <w:rsid w:val="00834FD7"/>
    <w:rsid w:val="00835166"/>
    <w:rsid w:val="00840104"/>
    <w:rsid w:val="00840C1F"/>
    <w:rsid w:val="008411C9"/>
    <w:rsid w:val="00841FC5"/>
    <w:rsid w:val="00843D0F"/>
    <w:rsid w:val="00845709"/>
    <w:rsid w:val="0084707A"/>
    <w:rsid w:val="008502F9"/>
    <w:rsid w:val="00850F45"/>
    <w:rsid w:val="008576BD"/>
    <w:rsid w:val="00857E3D"/>
    <w:rsid w:val="00857F59"/>
    <w:rsid w:val="00860463"/>
    <w:rsid w:val="008628B9"/>
    <w:rsid w:val="008632C7"/>
    <w:rsid w:val="00866879"/>
    <w:rsid w:val="00867535"/>
    <w:rsid w:val="00872F37"/>
    <w:rsid w:val="008733DA"/>
    <w:rsid w:val="00881C67"/>
    <w:rsid w:val="008850E4"/>
    <w:rsid w:val="008911B7"/>
    <w:rsid w:val="0089294D"/>
    <w:rsid w:val="00893362"/>
    <w:rsid w:val="008939AB"/>
    <w:rsid w:val="008A12F5"/>
    <w:rsid w:val="008A1F39"/>
    <w:rsid w:val="008A2E4A"/>
    <w:rsid w:val="008A332A"/>
    <w:rsid w:val="008A459C"/>
    <w:rsid w:val="008A76E8"/>
    <w:rsid w:val="008B0303"/>
    <w:rsid w:val="008B1587"/>
    <w:rsid w:val="008B1B01"/>
    <w:rsid w:val="008B3BCD"/>
    <w:rsid w:val="008B6DF8"/>
    <w:rsid w:val="008B76F4"/>
    <w:rsid w:val="008C0E5A"/>
    <w:rsid w:val="008C106C"/>
    <w:rsid w:val="008C10F1"/>
    <w:rsid w:val="008C1926"/>
    <w:rsid w:val="008C1E99"/>
    <w:rsid w:val="008C3D11"/>
    <w:rsid w:val="008D099E"/>
    <w:rsid w:val="008E0085"/>
    <w:rsid w:val="008E2AA6"/>
    <w:rsid w:val="008E311B"/>
    <w:rsid w:val="008E5721"/>
    <w:rsid w:val="008E7139"/>
    <w:rsid w:val="008E7497"/>
    <w:rsid w:val="008E7664"/>
    <w:rsid w:val="008E7C84"/>
    <w:rsid w:val="008F070E"/>
    <w:rsid w:val="008F0CE6"/>
    <w:rsid w:val="008F2156"/>
    <w:rsid w:val="008F377B"/>
    <w:rsid w:val="008F3F1E"/>
    <w:rsid w:val="008F46E7"/>
    <w:rsid w:val="008F64CA"/>
    <w:rsid w:val="008F6F0B"/>
    <w:rsid w:val="008F77F6"/>
    <w:rsid w:val="008F7E4B"/>
    <w:rsid w:val="00900EB6"/>
    <w:rsid w:val="009057EF"/>
    <w:rsid w:val="00905B3E"/>
    <w:rsid w:val="00907BA7"/>
    <w:rsid w:val="0091064E"/>
    <w:rsid w:val="00911FC5"/>
    <w:rsid w:val="009128FF"/>
    <w:rsid w:val="0091291C"/>
    <w:rsid w:val="009177CE"/>
    <w:rsid w:val="00922243"/>
    <w:rsid w:val="0092343F"/>
    <w:rsid w:val="00923EE0"/>
    <w:rsid w:val="0092597D"/>
    <w:rsid w:val="009272F0"/>
    <w:rsid w:val="00931A10"/>
    <w:rsid w:val="00933F93"/>
    <w:rsid w:val="00934420"/>
    <w:rsid w:val="009373D8"/>
    <w:rsid w:val="00942F7A"/>
    <w:rsid w:val="00947967"/>
    <w:rsid w:val="00947A82"/>
    <w:rsid w:val="009518B3"/>
    <w:rsid w:val="00952080"/>
    <w:rsid w:val="0095241A"/>
    <w:rsid w:val="009536DD"/>
    <w:rsid w:val="00955201"/>
    <w:rsid w:val="00955CD2"/>
    <w:rsid w:val="009602F2"/>
    <w:rsid w:val="00960591"/>
    <w:rsid w:val="00963AEA"/>
    <w:rsid w:val="0096490E"/>
    <w:rsid w:val="00964B5D"/>
    <w:rsid w:val="00965200"/>
    <w:rsid w:val="009668B3"/>
    <w:rsid w:val="00970692"/>
    <w:rsid w:val="00970EC4"/>
    <w:rsid w:val="00971471"/>
    <w:rsid w:val="00973D12"/>
    <w:rsid w:val="009838F5"/>
    <w:rsid w:val="009849C2"/>
    <w:rsid w:val="00984D24"/>
    <w:rsid w:val="009858EB"/>
    <w:rsid w:val="00985E1A"/>
    <w:rsid w:val="009864A3"/>
    <w:rsid w:val="00987715"/>
    <w:rsid w:val="00990A4B"/>
    <w:rsid w:val="009915E6"/>
    <w:rsid w:val="00992290"/>
    <w:rsid w:val="00995055"/>
    <w:rsid w:val="00997649"/>
    <w:rsid w:val="009A0F30"/>
    <w:rsid w:val="009A31B3"/>
    <w:rsid w:val="009A3F47"/>
    <w:rsid w:val="009A53BA"/>
    <w:rsid w:val="009A5646"/>
    <w:rsid w:val="009A6C61"/>
    <w:rsid w:val="009A79E9"/>
    <w:rsid w:val="009B0046"/>
    <w:rsid w:val="009B0550"/>
    <w:rsid w:val="009B0D42"/>
    <w:rsid w:val="009B17AA"/>
    <w:rsid w:val="009C1440"/>
    <w:rsid w:val="009C1985"/>
    <w:rsid w:val="009C2107"/>
    <w:rsid w:val="009C2CE0"/>
    <w:rsid w:val="009C5D9E"/>
    <w:rsid w:val="009D14C4"/>
    <w:rsid w:val="009D2C3E"/>
    <w:rsid w:val="009D5BCE"/>
    <w:rsid w:val="009E0625"/>
    <w:rsid w:val="009E1E4D"/>
    <w:rsid w:val="009E3034"/>
    <w:rsid w:val="009E549F"/>
    <w:rsid w:val="009E7F91"/>
    <w:rsid w:val="009F28A8"/>
    <w:rsid w:val="009F473E"/>
    <w:rsid w:val="009F5247"/>
    <w:rsid w:val="009F682A"/>
    <w:rsid w:val="00A00115"/>
    <w:rsid w:val="00A022BE"/>
    <w:rsid w:val="00A03AEC"/>
    <w:rsid w:val="00A06CA0"/>
    <w:rsid w:val="00A07A20"/>
    <w:rsid w:val="00A07B4B"/>
    <w:rsid w:val="00A2065B"/>
    <w:rsid w:val="00A24C95"/>
    <w:rsid w:val="00A2599A"/>
    <w:rsid w:val="00A26094"/>
    <w:rsid w:val="00A301BF"/>
    <w:rsid w:val="00A302B2"/>
    <w:rsid w:val="00A3068A"/>
    <w:rsid w:val="00A32FFC"/>
    <w:rsid w:val="00A331B4"/>
    <w:rsid w:val="00A3484E"/>
    <w:rsid w:val="00A356D3"/>
    <w:rsid w:val="00A3572F"/>
    <w:rsid w:val="00A357DF"/>
    <w:rsid w:val="00A35935"/>
    <w:rsid w:val="00A36ADA"/>
    <w:rsid w:val="00A37C4D"/>
    <w:rsid w:val="00A403FA"/>
    <w:rsid w:val="00A429E9"/>
    <w:rsid w:val="00A42D19"/>
    <w:rsid w:val="00A438D8"/>
    <w:rsid w:val="00A43CB2"/>
    <w:rsid w:val="00A471DD"/>
    <w:rsid w:val="00A473F5"/>
    <w:rsid w:val="00A51F9D"/>
    <w:rsid w:val="00A5416A"/>
    <w:rsid w:val="00A569A1"/>
    <w:rsid w:val="00A60D1A"/>
    <w:rsid w:val="00A614FD"/>
    <w:rsid w:val="00A618B3"/>
    <w:rsid w:val="00A6308E"/>
    <w:rsid w:val="00A639F4"/>
    <w:rsid w:val="00A63A65"/>
    <w:rsid w:val="00A64389"/>
    <w:rsid w:val="00A65078"/>
    <w:rsid w:val="00A65864"/>
    <w:rsid w:val="00A65FAE"/>
    <w:rsid w:val="00A679C1"/>
    <w:rsid w:val="00A70063"/>
    <w:rsid w:val="00A738B5"/>
    <w:rsid w:val="00A7574E"/>
    <w:rsid w:val="00A77377"/>
    <w:rsid w:val="00A813D0"/>
    <w:rsid w:val="00A81A32"/>
    <w:rsid w:val="00A835BD"/>
    <w:rsid w:val="00A8369A"/>
    <w:rsid w:val="00A906C7"/>
    <w:rsid w:val="00A91505"/>
    <w:rsid w:val="00A95A57"/>
    <w:rsid w:val="00A97B15"/>
    <w:rsid w:val="00AA42D5"/>
    <w:rsid w:val="00AA5262"/>
    <w:rsid w:val="00AA6AA1"/>
    <w:rsid w:val="00AB1B6C"/>
    <w:rsid w:val="00AB2676"/>
    <w:rsid w:val="00AB2FAB"/>
    <w:rsid w:val="00AB34F4"/>
    <w:rsid w:val="00AB365B"/>
    <w:rsid w:val="00AB3B0A"/>
    <w:rsid w:val="00AB4566"/>
    <w:rsid w:val="00AB5C14"/>
    <w:rsid w:val="00AC1EE7"/>
    <w:rsid w:val="00AC276E"/>
    <w:rsid w:val="00AC333F"/>
    <w:rsid w:val="00AC33FB"/>
    <w:rsid w:val="00AC585C"/>
    <w:rsid w:val="00AC5CA3"/>
    <w:rsid w:val="00AC5F02"/>
    <w:rsid w:val="00AC7138"/>
    <w:rsid w:val="00AC7A05"/>
    <w:rsid w:val="00AC7ED0"/>
    <w:rsid w:val="00AD032B"/>
    <w:rsid w:val="00AD1925"/>
    <w:rsid w:val="00AD4EDC"/>
    <w:rsid w:val="00AD6006"/>
    <w:rsid w:val="00AD69B2"/>
    <w:rsid w:val="00AD72BE"/>
    <w:rsid w:val="00AD74C8"/>
    <w:rsid w:val="00AE067D"/>
    <w:rsid w:val="00AE5355"/>
    <w:rsid w:val="00AE6678"/>
    <w:rsid w:val="00AE6BCC"/>
    <w:rsid w:val="00AF1181"/>
    <w:rsid w:val="00AF2F79"/>
    <w:rsid w:val="00AF3948"/>
    <w:rsid w:val="00AF4653"/>
    <w:rsid w:val="00AF7511"/>
    <w:rsid w:val="00AF7DB7"/>
    <w:rsid w:val="00B038D8"/>
    <w:rsid w:val="00B04E35"/>
    <w:rsid w:val="00B10D02"/>
    <w:rsid w:val="00B1213C"/>
    <w:rsid w:val="00B15ECB"/>
    <w:rsid w:val="00B201E2"/>
    <w:rsid w:val="00B20C81"/>
    <w:rsid w:val="00B21712"/>
    <w:rsid w:val="00B22D56"/>
    <w:rsid w:val="00B279DA"/>
    <w:rsid w:val="00B354F5"/>
    <w:rsid w:val="00B35910"/>
    <w:rsid w:val="00B37926"/>
    <w:rsid w:val="00B37B92"/>
    <w:rsid w:val="00B435EF"/>
    <w:rsid w:val="00B443E4"/>
    <w:rsid w:val="00B44FC3"/>
    <w:rsid w:val="00B5484D"/>
    <w:rsid w:val="00B563EA"/>
    <w:rsid w:val="00B56954"/>
    <w:rsid w:val="00B56CDF"/>
    <w:rsid w:val="00B56E97"/>
    <w:rsid w:val="00B60E51"/>
    <w:rsid w:val="00B62DCB"/>
    <w:rsid w:val="00B63A54"/>
    <w:rsid w:val="00B64123"/>
    <w:rsid w:val="00B663F1"/>
    <w:rsid w:val="00B6734E"/>
    <w:rsid w:val="00B71A62"/>
    <w:rsid w:val="00B75EDF"/>
    <w:rsid w:val="00B777D7"/>
    <w:rsid w:val="00B77D18"/>
    <w:rsid w:val="00B8313A"/>
    <w:rsid w:val="00B87543"/>
    <w:rsid w:val="00B87F66"/>
    <w:rsid w:val="00B90EB0"/>
    <w:rsid w:val="00B90ED0"/>
    <w:rsid w:val="00B92812"/>
    <w:rsid w:val="00B92E21"/>
    <w:rsid w:val="00B93503"/>
    <w:rsid w:val="00BA0BC4"/>
    <w:rsid w:val="00BA31E8"/>
    <w:rsid w:val="00BA4703"/>
    <w:rsid w:val="00BA554A"/>
    <w:rsid w:val="00BA55E0"/>
    <w:rsid w:val="00BA6BD4"/>
    <w:rsid w:val="00BA6C7A"/>
    <w:rsid w:val="00BA74B7"/>
    <w:rsid w:val="00BB002B"/>
    <w:rsid w:val="00BB17D1"/>
    <w:rsid w:val="00BB3752"/>
    <w:rsid w:val="00BB6688"/>
    <w:rsid w:val="00BC26D4"/>
    <w:rsid w:val="00BC5A6D"/>
    <w:rsid w:val="00BC7FC9"/>
    <w:rsid w:val="00BD13F3"/>
    <w:rsid w:val="00BD3C66"/>
    <w:rsid w:val="00BD7D21"/>
    <w:rsid w:val="00BE037F"/>
    <w:rsid w:val="00BE0C80"/>
    <w:rsid w:val="00BE6447"/>
    <w:rsid w:val="00BE7CF1"/>
    <w:rsid w:val="00BF2A42"/>
    <w:rsid w:val="00BF4C75"/>
    <w:rsid w:val="00BF6E49"/>
    <w:rsid w:val="00C0116A"/>
    <w:rsid w:val="00C023D1"/>
    <w:rsid w:val="00C03D8C"/>
    <w:rsid w:val="00C05068"/>
    <w:rsid w:val="00C055EC"/>
    <w:rsid w:val="00C10DC9"/>
    <w:rsid w:val="00C12FB3"/>
    <w:rsid w:val="00C15209"/>
    <w:rsid w:val="00C158BC"/>
    <w:rsid w:val="00C17341"/>
    <w:rsid w:val="00C22500"/>
    <w:rsid w:val="00C24D8D"/>
    <w:rsid w:val="00C24EEF"/>
    <w:rsid w:val="00C25CF6"/>
    <w:rsid w:val="00C26C36"/>
    <w:rsid w:val="00C32768"/>
    <w:rsid w:val="00C342C9"/>
    <w:rsid w:val="00C34473"/>
    <w:rsid w:val="00C35278"/>
    <w:rsid w:val="00C41631"/>
    <w:rsid w:val="00C431DF"/>
    <w:rsid w:val="00C43315"/>
    <w:rsid w:val="00C43BD4"/>
    <w:rsid w:val="00C43D73"/>
    <w:rsid w:val="00C456BD"/>
    <w:rsid w:val="00C460B3"/>
    <w:rsid w:val="00C51230"/>
    <w:rsid w:val="00C52384"/>
    <w:rsid w:val="00C530DC"/>
    <w:rsid w:val="00C5350D"/>
    <w:rsid w:val="00C540BF"/>
    <w:rsid w:val="00C575B4"/>
    <w:rsid w:val="00C6123C"/>
    <w:rsid w:val="00C620DA"/>
    <w:rsid w:val="00C6311A"/>
    <w:rsid w:val="00C662A9"/>
    <w:rsid w:val="00C7028E"/>
    <w:rsid w:val="00C7084D"/>
    <w:rsid w:val="00C7315E"/>
    <w:rsid w:val="00C73576"/>
    <w:rsid w:val="00C75895"/>
    <w:rsid w:val="00C83960"/>
    <w:rsid w:val="00C83C9F"/>
    <w:rsid w:val="00C878E6"/>
    <w:rsid w:val="00C945C5"/>
    <w:rsid w:val="00C94840"/>
    <w:rsid w:val="00C956E9"/>
    <w:rsid w:val="00C9590F"/>
    <w:rsid w:val="00CA447B"/>
    <w:rsid w:val="00CA4535"/>
    <w:rsid w:val="00CA4864"/>
    <w:rsid w:val="00CA4CB6"/>
    <w:rsid w:val="00CA4EE3"/>
    <w:rsid w:val="00CB027F"/>
    <w:rsid w:val="00CB1255"/>
    <w:rsid w:val="00CB36FA"/>
    <w:rsid w:val="00CB7BE8"/>
    <w:rsid w:val="00CC0EBB"/>
    <w:rsid w:val="00CC3D46"/>
    <w:rsid w:val="00CC6297"/>
    <w:rsid w:val="00CC7690"/>
    <w:rsid w:val="00CD1435"/>
    <w:rsid w:val="00CD1986"/>
    <w:rsid w:val="00CD273E"/>
    <w:rsid w:val="00CD35F5"/>
    <w:rsid w:val="00CD3C47"/>
    <w:rsid w:val="00CD50FA"/>
    <w:rsid w:val="00CD54BF"/>
    <w:rsid w:val="00CD570A"/>
    <w:rsid w:val="00CD5B90"/>
    <w:rsid w:val="00CD6EF3"/>
    <w:rsid w:val="00CE1128"/>
    <w:rsid w:val="00CE3B21"/>
    <w:rsid w:val="00CE4D5C"/>
    <w:rsid w:val="00CF05DA"/>
    <w:rsid w:val="00CF1440"/>
    <w:rsid w:val="00CF3CAE"/>
    <w:rsid w:val="00CF58EB"/>
    <w:rsid w:val="00CF6112"/>
    <w:rsid w:val="00CF6FEC"/>
    <w:rsid w:val="00CF7B6F"/>
    <w:rsid w:val="00D0106E"/>
    <w:rsid w:val="00D02C22"/>
    <w:rsid w:val="00D051DE"/>
    <w:rsid w:val="00D0620D"/>
    <w:rsid w:val="00D06383"/>
    <w:rsid w:val="00D078C8"/>
    <w:rsid w:val="00D11FD7"/>
    <w:rsid w:val="00D13D67"/>
    <w:rsid w:val="00D16719"/>
    <w:rsid w:val="00D16D83"/>
    <w:rsid w:val="00D20A82"/>
    <w:rsid w:val="00D20E85"/>
    <w:rsid w:val="00D21BF8"/>
    <w:rsid w:val="00D24615"/>
    <w:rsid w:val="00D26522"/>
    <w:rsid w:val="00D3284B"/>
    <w:rsid w:val="00D33E26"/>
    <w:rsid w:val="00D35176"/>
    <w:rsid w:val="00D35B3A"/>
    <w:rsid w:val="00D37767"/>
    <w:rsid w:val="00D37842"/>
    <w:rsid w:val="00D41D94"/>
    <w:rsid w:val="00D42DC2"/>
    <w:rsid w:val="00D4302B"/>
    <w:rsid w:val="00D43075"/>
    <w:rsid w:val="00D461A2"/>
    <w:rsid w:val="00D4637A"/>
    <w:rsid w:val="00D537E1"/>
    <w:rsid w:val="00D55BB2"/>
    <w:rsid w:val="00D6091A"/>
    <w:rsid w:val="00D63306"/>
    <w:rsid w:val="00D6605A"/>
    <w:rsid w:val="00D6695F"/>
    <w:rsid w:val="00D73C7D"/>
    <w:rsid w:val="00D75644"/>
    <w:rsid w:val="00D81656"/>
    <w:rsid w:val="00D83D87"/>
    <w:rsid w:val="00D8435A"/>
    <w:rsid w:val="00D84A6D"/>
    <w:rsid w:val="00D84BA6"/>
    <w:rsid w:val="00D86A30"/>
    <w:rsid w:val="00D8710F"/>
    <w:rsid w:val="00D925E1"/>
    <w:rsid w:val="00D97CB4"/>
    <w:rsid w:val="00D97DD4"/>
    <w:rsid w:val="00D97FFC"/>
    <w:rsid w:val="00DA5A8A"/>
    <w:rsid w:val="00DA6D9C"/>
    <w:rsid w:val="00DB1170"/>
    <w:rsid w:val="00DB2512"/>
    <w:rsid w:val="00DB26CD"/>
    <w:rsid w:val="00DB43DD"/>
    <w:rsid w:val="00DB441C"/>
    <w:rsid w:val="00DB44AF"/>
    <w:rsid w:val="00DB6961"/>
    <w:rsid w:val="00DC1F58"/>
    <w:rsid w:val="00DC339B"/>
    <w:rsid w:val="00DC3BB3"/>
    <w:rsid w:val="00DC5908"/>
    <w:rsid w:val="00DC5D40"/>
    <w:rsid w:val="00DC69A7"/>
    <w:rsid w:val="00DD30E9"/>
    <w:rsid w:val="00DD3CD4"/>
    <w:rsid w:val="00DD4213"/>
    <w:rsid w:val="00DD4A9C"/>
    <w:rsid w:val="00DD4F47"/>
    <w:rsid w:val="00DD74EA"/>
    <w:rsid w:val="00DD7FBB"/>
    <w:rsid w:val="00DE0B9F"/>
    <w:rsid w:val="00DE2A9E"/>
    <w:rsid w:val="00DE4238"/>
    <w:rsid w:val="00DE590F"/>
    <w:rsid w:val="00DE657F"/>
    <w:rsid w:val="00DF102A"/>
    <w:rsid w:val="00DF1218"/>
    <w:rsid w:val="00DF1B0F"/>
    <w:rsid w:val="00DF4883"/>
    <w:rsid w:val="00DF6126"/>
    <w:rsid w:val="00DF6462"/>
    <w:rsid w:val="00E02FA0"/>
    <w:rsid w:val="00E0327F"/>
    <w:rsid w:val="00E036DC"/>
    <w:rsid w:val="00E03D99"/>
    <w:rsid w:val="00E040F5"/>
    <w:rsid w:val="00E06581"/>
    <w:rsid w:val="00E10454"/>
    <w:rsid w:val="00E10E88"/>
    <w:rsid w:val="00E112E5"/>
    <w:rsid w:val="00E122D8"/>
    <w:rsid w:val="00E12CC8"/>
    <w:rsid w:val="00E15352"/>
    <w:rsid w:val="00E21CC7"/>
    <w:rsid w:val="00E237F7"/>
    <w:rsid w:val="00E24C4E"/>
    <w:rsid w:val="00E24D9E"/>
    <w:rsid w:val="00E25849"/>
    <w:rsid w:val="00E3197E"/>
    <w:rsid w:val="00E322FF"/>
    <w:rsid w:val="00E342F8"/>
    <w:rsid w:val="00E351ED"/>
    <w:rsid w:val="00E41C1F"/>
    <w:rsid w:val="00E421C3"/>
    <w:rsid w:val="00E42B19"/>
    <w:rsid w:val="00E4320E"/>
    <w:rsid w:val="00E446BC"/>
    <w:rsid w:val="00E44729"/>
    <w:rsid w:val="00E4513B"/>
    <w:rsid w:val="00E45812"/>
    <w:rsid w:val="00E467C8"/>
    <w:rsid w:val="00E46856"/>
    <w:rsid w:val="00E46D4A"/>
    <w:rsid w:val="00E52E82"/>
    <w:rsid w:val="00E532EE"/>
    <w:rsid w:val="00E563D3"/>
    <w:rsid w:val="00E6034B"/>
    <w:rsid w:val="00E61C63"/>
    <w:rsid w:val="00E625F2"/>
    <w:rsid w:val="00E6549E"/>
    <w:rsid w:val="00E65EDE"/>
    <w:rsid w:val="00E67BA2"/>
    <w:rsid w:val="00E70F81"/>
    <w:rsid w:val="00E72F9B"/>
    <w:rsid w:val="00E7316C"/>
    <w:rsid w:val="00E76903"/>
    <w:rsid w:val="00E77055"/>
    <w:rsid w:val="00E77460"/>
    <w:rsid w:val="00E81935"/>
    <w:rsid w:val="00E83ABC"/>
    <w:rsid w:val="00E844F2"/>
    <w:rsid w:val="00E84810"/>
    <w:rsid w:val="00E90AD0"/>
    <w:rsid w:val="00E90E15"/>
    <w:rsid w:val="00E92FCB"/>
    <w:rsid w:val="00E95A0C"/>
    <w:rsid w:val="00EA11F1"/>
    <w:rsid w:val="00EA147F"/>
    <w:rsid w:val="00EA3F0B"/>
    <w:rsid w:val="00EA4530"/>
    <w:rsid w:val="00EA4A27"/>
    <w:rsid w:val="00EA4FA6"/>
    <w:rsid w:val="00EA6DD4"/>
    <w:rsid w:val="00EA76F4"/>
    <w:rsid w:val="00EB1A25"/>
    <w:rsid w:val="00EB4FC7"/>
    <w:rsid w:val="00EB74D8"/>
    <w:rsid w:val="00EC0DB6"/>
    <w:rsid w:val="00EC7363"/>
    <w:rsid w:val="00ED03AB"/>
    <w:rsid w:val="00ED0E0F"/>
    <w:rsid w:val="00ED10F3"/>
    <w:rsid w:val="00ED1963"/>
    <w:rsid w:val="00ED1AED"/>
    <w:rsid w:val="00ED1CD4"/>
    <w:rsid w:val="00ED1D2B"/>
    <w:rsid w:val="00ED343C"/>
    <w:rsid w:val="00ED4B2D"/>
    <w:rsid w:val="00ED5542"/>
    <w:rsid w:val="00ED64B5"/>
    <w:rsid w:val="00EE0326"/>
    <w:rsid w:val="00EE23B3"/>
    <w:rsid w:val="00EE7CCA"/>
    <w:rsid w:val="00EE7F58"/>
    <w:rsid w:val="00EF1394"/>
    <w:rsid w:val="00EF1A2C"/>
    <w:rsid w:val="00EF3C6C"/>
    <w:rsid w:val="00EF4941"/>
    <w:rsid w:val="00EF6231"/>
    <w:rsid w:val="00EF7C38"/>
    <w:rsid w:val="00F021D6"/>
    <w:rsid w:val="00F04667"/>
    <w:rsid w:val="00F05B73"/>
    <w:rsid w:val="00F06E53"/>
    <w:rsid w:val="00F073D7"/>
    <w:rsid w:val="00F16A14"/>
    <w:rsid w:val="00F2002E"/>
    <w:rsid w:val="00F23EC4"/>
    <w:rsid w:val="00F25F77"/>
    <w:rsid w:val="00F322CF"/>
    <w:rsid w:val="00F3455F"/>
    <w:rsid w:val="00F362D7"/>
    <w:rsid w:val="00F36A3A"/>
    <w:rsid w:val="00F37D7B"/>
    <w:rsid w:val="00F41638"/>
    <w:rsid w:val="00F457FD"/>
    <w:rsid w:val="00F46818"/>
    <w:rsid w:val="00F471B2"/>
    <w:rsid w:val="00F523DB"/>
    <w:rsid w:val="00F529A7"/>
    <w:rsid w:val="00F5314C"/>
    <w:rsid w:val="00F5688C"/>
    <w:rsid w:val="00F60048"/>
    <w:rsid w:val="00F6087F"/>
    <w:rsid w:val="00F627EF"/>
    <w:rsid w:val="00F635DD"/>
    <w:rsid w:val="00F6407E"/>
    <w:rsid w:val="00F656EB"/>
    <w:rsid w:val="00F6627B"/>
    <w:rsid w:val="00F669A7"/>
    <w:rsid w:val="00F672DE"/>
    <w:rsid w:val="00F72907"/>
    <w:rsid w:val="00F7336E"/>
    <w:rsid w:val="00F734F2"/>
    <w:rsid w:val="00F73D30"/>
    <w:rsid w:val="00F75052"/>
    <w:rsid w:val="00F77718"/>
    <w:rsid w:val="00F804D3"/>
    <w:rsid w:val="00F816CB"/>
    <w:rsid w:val="00F81CD2"/>
    <w:rsid w:val="00F82077"/>
    <w:rsid w:val="00F82641"/>
    <w:rsid w:val="00F856CC"/>
    <w:rsid w:val="00F86895"/>
    <w:rsid w:val="00F8793B"/>
    <w:rsid w:val="00F90F18"/>
    <w:rsid w:val="00F937E4"/>
    <w:rsid w:val="00F950A7"/>
    <w:rsid w:val="00F95EE7"/>
    <w:rsid w:val="00FA39E6"/>
    <w:rsid w:val="00FA3C54"/>
    <w:rsid w:val="00FA4751"/>
    <w:rsid w:val="00FA495F"/>
    <w:rsid w:val="00FA7BC9"/>
    <w:rsid w:val="00FA7D6B"/>
    <w:rsid w:val="00FB378E"/>
    <w:rsid w:val="00FB37F1"/>
    <w:rsid w:val="00FB47C0"/>
    <w:rsid w:val="00FB501B"/>
    <w:rsid w:val="00FB6739"/>
    <w:rsid w:val="00FB719A"/>
    <w:rsid w:val="00FB7770"/>
    <w:rsid w:val="00FC04D2"/>
    <w:rsid w:val="00FC2509"/>
    <w:rsid w:val="00FD3B91"/>
    <w:rsid w:val="00FD4EC8"/>
    <w:rsid w:val="00FD576B"/>
    <w:rsid w:val="00FD579E"/>
    <w:rsid w:val="00FD6845"/>
    <w:rsid w:val="00FE115D"/>
    <w:rsid w:val="00FE1DCC"/>
    <w:rsid w:val="00FE4516"/>
    <w:rsid w:val="00FE474E"/>
    <w:rsid w:val="00FE5CD8"/>
    <w:rsid w:val="00FE64C8"/>
    <w:rsid w:val="00FE70D1"/>
    <w:rsid w:val="00FF014A"/>
    <w:rsid w:val="00FF10FF"/>
    <w:rsid w:val="00FF1569"/>
    <w:rsid w:val="00FF1B98"/>
    <w:rsid w:val="00FF291F"/>
    <w:rsid w:val="00FF3035"/>
    <w:rsid w:val="00FF3C18"/>
    <w:rsid w:val="00FF56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ED0417-6F32-47E0-9B0E-D290B899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3448B7"/>
    <w:rPr>
      <w:rFonts w:ascii="Courier New" w:hAnsi="Courier New" w:cs="Courier New"/>
      <w:sz w:val="20"/>
    </w:rPr>
  </w:style>
  <w:style w:type="character" w:customStyle="1" w:styleId="HTML0">
    <w:name w:val="HTML 預設格式 字元"/>
    <w:basedOn w:val="a7"/>
    <w:link w:val="HTML"/>
    <w:uiPriority w:val="99"/>
    <w:semiHidden/>
    <w:rsid w:val="003448B7"/>
    <w:rPr>
      <w:rFonts w:ascii="Courier New" w:eastAsia="標楷體" w:hAnsi="Courier New" w:cs="Courier New"/>
      <w:kern w:val="2"/>
    </w:rPr>
  </w:style>
  <w:style w:type="paragraph" w:styleId="afc">
    <w:name w:val="footnote text"/>
    <w:basedOn w:val="a6"/>
    <w:link w:val="afd"/>
    <w:uiPriority w:val="99"/>
    <w:semiHidden/>
    <w:unhideWhenUsed/>
    <w:rsid w:val="00AC7A05"/>
    <w:pPr>
      <w:snapToGrid w:val="0"/>
      <w:jc w:val="left"/>
    </w:pPr>
    <w:rPr>
      <w:sz w:val="20"/>
    </w:rPr>
  </w:style>
  <w:style w:type="character" w:customStyle="1" w:styleId="afd">
    <w:name w:val="註腳文字 字元"/>
    <w:basedOn w:val="a7"/>
    <w:link w:val="afc"/>
    <w:uiPriority w:val="99"/>
    <w:semiHidden/>
    <w:rsid w:val="00AC7A05"/>
    <w:rPr>
      <w:rFonts w:ascii="標楷體" w:eastAsia="標楷體"/>
      <w:kern w:val="2"/>
    </w:rPr>
  </w:style>
  <w:style w:type="character" w:styleId="afe">
    <w:name w:val="footnote reference"/>
    <w:basedOn w:val="a7"/>
    <w:uiPriority w:val="99"/>
    <w:semiHidden/>
    <w:unhideWhenUsed/>
    <w:rsid w:val="00AC7A05"/>
    <w:rPr>
      <w:vertAlign w:val="superscript"/>
    </w:rPr>
  </w:style>
  <w:style w:type="table" w:customStyle="1" w:styleId="13">
    <w:name w:val="表格格線1"/>
    <w:basedOn w:val="a8"/>
    <w:next w:val="af6"/>
    <w:uiPriority w:val="59"/>
    <w:rsid w:val="002121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2121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AB3B0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83174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2D4B-01FC-4C9C-B1E7-8FAEBDD7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947</Words>
  <Characters>5400</Characters>
  <Application>Microsoft Office Word</Application>
  <DocSecurity>0</DocSecurity>
  <Lines>45</Lines>
  <Paragraphs>12</Paragraphs>
  <ScaleCrop>false</ScaleCrop>
  <Company>cy</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2021-02-05T08:44:00Z</cp:lastPrinted>
  <dcterms:created xsi:type="dcterms:W3CDTF">2021-02-09T07:58:00Z</dcterms:created>
  <dcterms:modified xsi:type="dcterms:W3CDTF">2021-02-09T07:58:00Z</dcterms:modified>
</cp:coreProperties>
</file>