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105</w:t>
            </w:r>
            <w:r>
              <w:rPr>
                <w:rFonts w:eastAsia="標楷體" w:hint="eastAsia"/>
                <w:bCs/>
                <w:szCs w:val="28"/>
              </w:rPr>
              <w:t>教調</w:t>
            </w:r>
            <w:r>
              <w:rPr>
                <w:rFonts w:eastAsia="標楷體" w:hint="eastAsia"/>
                <w:bCs/>
                <w:szCs w:val="28"/>
              </w:rPr>
              <w:t>0044</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440949">
            <w:pPr>
              <w:spacing w:line="360" w:lineRule="atLeast"/>
              <w:jc w:val="both"/>
              <w:rPr>
                <w:rFonts w:eastAsia="標楷體"/>
                <w:bCs/>
                <w:szCs w:val="28"/>
              </w:rPr>
            </w:pPr>
            <w:r>
              <w:rPr>
                <w:rFonts w:eastAsia="標楷體" w:hint="eastAsia"/>
                <w:bCs/>
              </w:rPr>
              <w:t>一、臺北市政府定期於每年臺北文創檢送「營運績效說明書」（約</w:t>
            </w:r>
            <w:r>
              <w:rPr>
                <w:rFonts w:eastAsia="標楷體" w:hint="eastAsia"/>
                <w:bCs/>
              </w:rPr>
              <w:t>6</w:t>
            </w:r>
            <w:r>
              <w:rPr>
                <w:rFonts w:eastAsia="標楷體" w:hint="eastAsia"/>
                <w:bCs/>
              </w:rPr>
              <w:t>月）及「年度事業計畫」（約</w:t>
            </w:r>
            <w:r>
              <w:rPr>
                <w:rFonts w:eastAsia="標楷體" w:hint="eastAsia"/>
                <w:bCs/>
              </w:rPr>
              <w:t>11</w:t>
            </w:r>
            <w:r>
              <w:rPr>
                <w:rFonts w:eastAsia="標楷體" w:hint="eastAsia"/>
                <w:bCs/>
              </w:rPr>
              <w:t>月）時，進行財務檢查及商場營運監督，並請本</w:t>
            </w:r>
            <w:r>
              <w:rPr>
                <w:rFonts w:eastAsia="標楷體" w:hint="eastAsia"/>
                <w:bCs/>
              </w:rPr>
              <w:t>BOT</w:t>
            </w:r>
            <w:r>
              <w:rPr>
                <w:rFonts w:eastAsia="標楷體" w:hint="eastAsia"/>
                <w:bCs/>
              </w:rPr>
              <w:t>案履約管理顧問不定期進行財務稽核及出具查核報告，落實財務檢查權，倘經發現營運出現有不符契約或有礙本</w:t>
            </w:r>
            <w:r>
              <w:rPr>
                <w:rFonts w:eastAsia="標楷體" w:hint="eastAsia"/>
                <w:bCs/>
              </w:rPr>
              <w:t>BOT</w:t>
            </w:r>
            <w:r>
              <w:rPr>
                <w:rFonts w:eastAsia="標楷體" w:hint="eastAsia"/>
                <w:bCs/>
              </w:rPr>
              <w:t>案扶植文創之相關情事，該府將立刻請其修正改善。</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二、誠品松菸店已透過流行創意平台</w:t>
            </w:r>
            <w:r>
              <w:rPr>
                <w:rFonts w:eastAsia="標楷體" w:hint="eastAsia"/>
                <w:bCs/>
              </w:rPr>
              <w:t>AXES</w:t>
            </w:r>
            <w:r>
              <w:rPr>
                <w:rFonts w:eastAsia="標楷體" w:hint="eastAsia"/>
                <w:bCs/>
              </w:rPr>
              <w:t>及文創平台</w:t>
            </w:r>
            <w:r>
              <w:rPr>
                <w:rFonts w:eastAsia="標楷體" w:hint="eastAsia"/>
                <w:bCs/>
              </w:rPr>
              <w:t>expo</w:t>
            </w:r>
            <w:r>
              <w:rPr>
                <w:rFonts w:eastAsia="標楷體" w:hint="eastAsia"/>
                <w:bCs/>
              </w:rPr>
              <w:t>扶植小資文創業者以低門檻進駐，並協助其行銷與輔導展櫃等；臺北文創亦以</w:t>
            </w:r>
            <w:r>
              <w:rPr>
                <w:rFonts w:eastAsia="標楷體" w:hint="eastAsia"/>
                <w:bCs/>
              </w:rPr>
              <w:t>0</w:t>
            </w:r>
            <w:r>
              <w:rPr>
                <w:rFonts w:eastAsia="標楷體" w:hint="eastAsia"/>
                <w:bCs/>
              </w:rPr>
              <w:t>租金、按銷售金額抽成等方式，扶植小型文創業者進駐，並提供完整經營配套、各項資源及協助。</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三、文化部已建立「文化創意產業內容及範圍」認定流程，爾後將視需要邀集中央與地方相關單位召開會議共同研商，本於職掌妥適處理；北市府將參照該部所述之方式審視認定進駐本案主體事業廠商之產業性質。</w:t>
            </w:r>
            <w:r>
              <w:rPr>
                <w:rFonts w:eastAsia="標楷體" w:hint="eastAsia"/>
                <w:bCs/>
              </w:rPr>
              <w:t xml:space="preserve"> </w:t>
            </w:r>
          </w:p>
          <w:p w:rsidR="00FF343B" w:rsidRPr="0078237E" w:rsidRDefault="00FF343B" w:rsidP="00440949">
            <w:pPr>
              <w:spacing w:line="360" w:lineRule="atLeast"/>
              <w:jc w:val="both"/>
              <w:rPr>
                <w:rFonts w:eastAsia="標楷體"/>
                <w:bCs/>
                <w:szCs w:val="28"/>
              </w:rPr>
            </w:pPr>
          </w:p>
          <w:p w:rsidR="00FF343B" w:rsidRPr="0078237E" w:rsidRDefault="007336A7" w:rsidP="00440949">
            <w:pPr>
              <w:spacing w:line="360" w:lineRule="atLeast"/>
              <w:jc w:val="both"/>
              <w:rPr>
                <w:rFonts w:eastAsia="標楷體"/>
                <w:bCs/>
                <w:szCs w:val="28"/>
              </w:rPr>
            </w:pPr>
            <w:r>
              <w:rPr>
                <w:rFonts w:eastAsia="標楷體" w:hint="eastAsia"/>
                <w:bCs/>
              </w:rPr>
              <w:t xml:space="preserve"> </w:t>
            </w:r>
          </w:p>
        </w:tc>
        <w:tc>
          <w:tcPr>
            <w:tcW w:w="1984" w:type="dxa"/>
          </w:tcPr>
          <w:p w:rsidR="00FF343B" w:rsidRDefault="007336A7" w:rsidP="00FD1947">
            <w:pPr>
              <w:spacing w:line="360" w:lineRule="atLeast"/>
              <w:jc w:val="both"/>
              <w:rPr>
                <w:rFonts w:eastAsia="標楷體"/>
                <w:bCs/>
                <w:szCs w:val="28"/>
              </w:rPr>
            </w:pPr>
            <w:r>
              <w:rPr>
                <w:rFonts w:ascii="標楷體" w:eastAsia="標楷體" w:hAnsi="標楷體" w:hint="eastAsia"/>
                <w:bCs/>
              </w:rPr>
              <w:t>教育及文化委員會108.01.10第5屆第54次會議決議 : 結案存查。</w:t>
            </w:r>
          </w:p>
        </w:tc>
      </w:tr>
    </w:tbl>
    <w:p w:rsidR="008E6A2A" w:rsidRDefault="008E6A2A" w:rsidP="00295A6D">
      <w:pPr>
        <w:snapToGrid w:val="0"/>
        <w:spacing w:beforeLines="100" w:before="360" w:line="240" w:lineRule="atLeast"/>
        <w:ind w:leftChars="6" w:left="866" w:hangingChars="304" w:hanging="852"/>
        <w:rPr>
          <w:rFonts w:eastAsia="標楷體"/>
          <w:b/>
          <w:bCs/>
          <w:sz w:val="28"/>
        </w:rPr>
      </w:pPr>
      <w:bookmarkStart w:id="0" w:name="_GoBack"/>
      <w:bookmarkEnd w:id="0"/>
    </w:p>
    <w:sectPr w:rsidR="008E6A2A" w:rsidSect="00E95086">
      <w:headerReference w:type="default" r:id="rId7"/>
      <w:footerReference w:type="even" r:id="rId8"/>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66F" w:rsidRDefault="0078366F" w:rsidP="008E6A2A">
      <w:r>
        <w:separator/>
      </w:r>
    </w:p>
  </w:endnote>
  <w:endnote w:type="continuationSeparator" w:id="0">
    <w:p w:rsidR="0078366F" w:rsidRDefault="0078366F"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2A" w:rsidRDefault="003A2199">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66F" w:rsidRDefault="0078366F" w:rsidP="008E6A2A">
      <w:r>
        <w:separator/>
      </w:r>
    </w:p>
  </w:footnote>
  <w:footnote w:type="continuationSeparator" w:id="0">
    <w:p w:rsidR="0078366F" w:rsidRDefault="0078366F"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監察院教育及文化委員會調查報告結案情形一覽表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551AA"/>
    <w:rsid w:val="00286BEE"/>
    <w:rsid w:val="00294BC3"/>
    <w:rsid w:val="00295A6D"/>
    <w:rsid w:val="002A41AF"/>
    <w:rsid w:val="002B00F5"/>
    <w:rsid w:val="00300EAE"/>
    <w:rsid w:val="00311E45"/>
    <w:rsid w:val="00323CED"/>
    <w:rsid w:val="00335C31"/>
    <w:rsid w:val="003571B8"/>
    <w:rsid w:val="0036733D"/>
    <w:rsid w:val="00382907"/>
    <w:rsid w:val="003927F4"/>
    <w:rsid w:val="003969C9"/>
    <w:rsid w:val="003A219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B1797"/>
    <w:rsid w:val="006C264B"/>
    <w:rsid w:val="007032D2"/>
    <w:rsid w:val="00720393"/>
    <w:rsid w:val="007336A7"/>
    <w:rsid w:val="0078237E"/>
    <w:rsid w:val="00782BFE"/>
    <w:rsid w:val="0078366F"/>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704593-23CC-4839-AD08-6A0DDE1B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0</DocSecurity>
  <Lines>3</Lines>
  <Paragraphs>1</Paragraphs>
  <ScaleCrop>false</ScaleCrop>
  <Company>監察院</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曹錦芳</cp:lastModifiedBy>
  <cp:revision>2</cp:revision>
  <cp:lastPrinted>2010-06-29T02:42:00Z</cp:lastPrinted>
  <dcterms:created xsi:type="dcterms:W3CDTF">2021-05-06T09:08:00Z</dcterms:created>
  <dcterms:modified xsi:type="dcterms:W3CDTF">2021-05-06T09:08:00Z</dcterms:modified>
</cp:coreProperties>
</file>