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107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0012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院長於法官有第二審之審判經驗較不足等情，而有延滯審理案件之虞時，應以兼具案件審判長之身分，適時與該法官共同研討案件爭點所在，並一起釐清案件進行之方向，以妥速審結案件；又當法官有不當稽延時，應依法官法第</w:t>
            </w:r>
            <w:r>
              <w:rPr>
                <w:rFonts w:eastAsia="標楷體" w:hint="eastAsia"/>
                <w:bCs/>
              </w:rPr>
              <w:t>21</w:t>
            </w:r>
            <w:r>
              <w:rPr>
                <w:rFonts w:eastAsia="標楷體" w:hint="eastAsia"/>
                <w:bCs/>
              </w:rPr>
              <w:t>條及第</w:t>
            </w:r>
            <w:r>
              <w:rPr>
                <w:rFonts w:eastAsia="標楷體" w:hint="eastAsia"/>
                <w:bCs/>
              </w:rPr>
              <w:t>22</w:t>
            </w:r>
            <w:r>
              <w:rPr>
                <w:rFonts w:eastAsia="標楷體" w:hint="eastAsia"/>
                <w:bCs/>
              </w:rPr>
              <w:t>條之規定，為職務監督，或請求法官評鑑委員會評鑑，或移由司法院辦理，以提升審判效率及保障人民之訴訟權益。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◆促成法令增修績效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司法院業於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7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24</w:t>
            </w:r>
            <w:r>
              <w:rPr>
                <w:rFonts w:eastAsia="標楷體" w:hint="eastAsia"/>
                <w:bCs/>
              </w:rPr>
              <w:t>日以院台廳司一字第</w:t>
            </w:r>
            <w:r>
              <w:rPr>
                <w:rFonts w:eastAsia="標楷體" w:hint="eastAsia"/>
                <w:bCs/>
              </w:rPr>
              <w:t>1080020556</w:t>
            </w:r>
            <w:r>
              <w:rPr>
                <w:rFonts w:eastAsia="標楷體" w:hint="eastAsia"/>
                <w:bCs/>
              </w:rPr>
              <w:t>號令修正發布「各級法院法官自律實施辦法」。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司法及獄政委員會108.09.11第5屆第62次會議決議 : 結案存查。</w:t>
            </w:r>
          </w:p>
        </w:tc>
      </w:tr>
    </w:tbl>
    <w:p w:rsidR="008E6A2A" w:rsidRDefault="008E6A2A" w:rsidP="003C5D05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8A" w:rsidRDefault="00DE7A8A" w:rsidP="008E6A2A">
      <w:r>
        <w:separator/>
      </w:r>
    </w:p>
  </w:endnote>
  <w:endnote w:type="continuationSeparator" w:id="0">
    <w:p w:rsidR="00DE7A8A" w:rsidRDefault="00DE7A8A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C334A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C334A3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C334A3" w:rsidRPr="00530BF4">
      <w:rPr>
        <w:rFonts w:eastAsia="標楷體"/>
      </w:rPr>
      <w:fldChar w:fldCharType="separate"/>
    </w:r>
    <w:r w:rsidR="000D1CD5">
      <w:rPr>
        <w:rFonts w:eastAsia="標楷體"/>
        <w:noProof/>
      </w:rPr>
      <w:t>1</w:t>
    </w:r>
    <w:r w:rsidR="00C334A3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0D1CD5">
      <w:fldChar w:fldCharType="begin"/>
    </w:r>
    <w:r w:rsidR="000D1CD5">
      <w:instrText xml:space="preserve"> NUMPAGES  \* Arabic  \* MERGEFORMAT </w:instrText>
    </w:r>
    <w:r w:rsidR="000D1CD5">
      <w:fldChar w:fldCharType="separate"/>
    </w:r>
    <w:r w:rsidR="000D1CD5" w:rsidRPr="000D1CD5">
      <w:rPr>
        <w:rFonts w:eastAsia="標楷體"/>
        <w:noProof/>
      </w:rPr>
      <w:t>1</w:t>
    </w:r>
    <w:r w:rsidR="000D1CD5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8A" w:rsidRDefault="00DE7A8A" w:rsidP="008E6A2A">
      <w:r>
        <w:separator/>
      </w:r>
    </w:p>
  </w:footnote>
  <w:footnote w:type="continuationSeparator" w:id="0">
    <w:p w:rsidR="00DE7A8A" w:rsidRDefault="00DE7A8A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1CD5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C5D05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4D6F58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6F1B0E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87B4E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334A3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DE7A8A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監察院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6</cp:revision>
  <cp:lastPrinted>2021-05-10T01:50:00Z</cp:lastPrinted>
  <dcterms:created xsi:type="dcterms:W3CDTF">2021-05-06T07:03:00Z</dcterms:created>
  <dcterms:modified xsi:type="dcterms:W3CDTF">2021-05-10T01:50:00Z</dcterms:modified>
</cp:coreProperties>
</file>