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8C56E5">
        <w:trPr>
          <w:tblHeader/>
        </w:trPr>
        <w:tc>
          <w:tcPr>
            <w:tcW w:w="93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991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341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8C56E5">
        <w:trPr>
          <w:trHeight w:val="468"/>
        </w:trPr>
        <w:tc>
          <w:tcPr>
            <w:tcW w:w="939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107</w:t>
            </w:r>
            <w:r>
              <w:rPr>
                <w:rFonts w:eastAsia="標楷體" w:hint="eastAsia"/>
                <w:bCs/>
                <w:szCs w:val="28"/>
              </w:rPr>
              <w:t>財調</w:t>
            </w:r>
            <w:r>
              <w:rPr>
                <w:rFonts w:eastAsia="標楷體" w:hint="eastAsia"/>
                <w:bCs/>
                <w:szCs w:val="28"/>
              </w:rPr>
              <w:t>0023</w:t>
            </w:r>
          </w:p>
        </w:tc>
        <w:tc>
          <w:tcPr>
            <w:tcW w:w="9919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◆獲致財務增益績效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1.</w:t>
            </w:r>
            <w:r>
              <w:rPr>
                <w:rFonts w:eastAsia="標楷體" w:hint="eastAsia"/>
                <w:bCs/>
              </w:rPr>
              <w:t>台糖公司量販事業部每年將減少量販事業約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億餘元之虧損。每年增加</w:t>
            </w:r>
            <w:r>
              <w:rPr>
                <w:rFonts w:eastAsia="標楷體" w:hint="eastAsia"/>
                <w:bCs/>
              </w:rPr>
              <w:t>1.5</w:t>
            </w:r>
            <w:r>
              <w:rPr>
                <w:rFonts w:eastAsia="標楷體" w:hint="eastAsia"/>
                <w:bCs/>
              </w:rPr>
              <w:t>億元租金收入。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台糖公司環保業務由</w:t>
            </w:r>
            <w:r>
              <w:rPr>
                <w:rFonts w:eastAsia="標楷體" w:hint="eastAsia"/>
                <w:bCs/>
              </w:rPr>
              <w:t>106</w:t>
            </w:r>
            <w:r>
              <w:rPr>
                <w:rFonts w:eastAsia="標楷體" w:hint="eastAsia"/>
                <w:bCs/>
              </w:rPr>
              <w:t>年度淨損</w:t>
            </w:r>
            <w:r>
              <w:rPr>
                <w:rFonts w:eastAsia="標楷體" w:hint="eastAsia"/>
                <w:bCs/>
              </w:rPr>
              <w:t>527,495</w:t>
            </w:r>
            <w:r>
              <w:rPr>
                <w:rFonts w:eastAsia="標楷體" w:hint="eastAsia"/>
                <w:bCs/>
              </w:rPr>
              <w:t>千元，經該公司持續強化營運後，至</w:t>
            </w:r>
            <w:r>
              <w:rPr>
                <w:rFonts w:eastAsia="標楷體" w:hint="eastAsia"/>
                <w:bCs/>
              </w:rPr>
              <w:t>107</w:t>
            </w:r>
            <w:r>
              <w:rPr>
                <w:rFonts w:eastAsia="標楷體" w:hint="eastAsia"/>
                <w:bCs/>
              </w:rPr>
              <w:t>年度已轉虧為盈，本期淨利已達</w:t>
            </w:r>
            <w:r>
              <w:rPr>
                <w:rFonts w:eastAsia="標楷體" w:hint="eastAsia"/>
                <w:bCs/>
              </w:rPr>
              <w:t>80,263</w:t>
            </w:r>
            <w:r>
              <w:rPr>
                <w:rFonts w:eastAsia="標楷體" w:hint="eastAsia"/>
                <w:bCs/>
              </w:rPr>
              <w:t>千元，</w:t>
            </w:r>
            <w:r>
              <w:rPr>
                <w:rFonts w:eastAsia="標楷體" w:hint="eastAsia"/>
                <w:bCs/>
              </w:rPr>
              <w:t>108</w:t>
            </w:r>
            <w:r>
              <w:rPr>
                <w:rFonts w:eastAsia="標楷體" w:hint="eastAsia"/>
                <w:bCs/>
              </w:rPr>
              <w:t>年度本期淨利更達</w:t>
            </w:r>
            <w:r>
              <w:rPr>
                <w:rFonts w:eastAsia="標楷體" w:hint="eastAsia"/>
                <w:bCs/>
              </w:rPr>
              <w:t>275,884</w:t>
            </w:r>
            <w:r>
              <w:rPr>
                <w:rFonts w:eastAsia="標楷體" w:hint="eastAsia"/>
                <w:bCs/>
              </w:rPr>
              <w:t>千元。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3.</w:t>
            </w:r>
            <w:r>
              <w:rPr>
                <w:rFonts w:eastAsia="標楷體" w:hint="eastAsia"/>
                <w:bCs/>
              </w:rPr>
              <w:t>台糖公司精農事業部</w:t>
            </w:r>
            <w:r>
              <w:rPr>
                <w:rFonts w:eastAsia="標楷體" w:hint="eastAsia"/>
                <w:bCs/>
              </w:rPr>
              <w:t>108</w:t>
            </w:r>
            <w:r>
              <w:rPr>
                <w:rFonts w:eastAsia="標楷體" w:hint="eastAsia"/>
                <w:bCs/>
              </w:rPr>
              <w:t>年度本期淨損</w:t>
            </w:r>
            <w:r>
              <w:rPr>
                <w:rFonts w:eastAsia="標楷體" w:hint="eastAsia"/>
                <w:bCs/>
              </w:rPr>
              <w:t>90,794</w:t>
            </w:r>
            <w:r>
              <w:rPr>
                <w:rFonts w:eastAsia="標楷體" w:hint="eastAsia"/>
                <w:bCs/>
              </w:rPr>
              <w:t>千元，較</w:t>
            </w:r>
            <w:r>
              <w:rPr>
                <w:rFonts w:eastAsia="標楷體" w:hint="eastAsia"/>
                <w:bCs/>
              </w:rPr>
              <w:t>106</w:t>
            </w:r>
            <w:r>
              <w:rPr>
                <w:rFonts w:eastAsia="標楷體" w:hint="eastAsia"/>
                <w:bCs/>
              </w:rPr>
              <w:t>年虧損</w:t>
            </w:r>
            <w:r>
              <w:rPr>
                <w:rFonts w:eastAsia="標楷體" w:hint="eastAsia"/>
                <w:bCs/>
              </w:rPr>
              <w:t>103,530</w:t>
            </w:r>
            <w:r>
              <w:rPr>
                <w:rFonts w:eastAsia="標楷體" w:hint="eastAsia"/>
                <w:bCs/>
              </w:rPr>
              <w:t>千元，減少虧損</w:t>
            </w:r>
            <w:r>
              <w:rPr>
                <w:rFonts w:eastAsia="標楷體" w:hint="eastAsia"/>
                <w:bCs/>
              </w:rPr>
              <w:t>12,736</w:t>
            </w:r>
            <w:r>
              <w:rPr>
                <w:rFonts w:eastAsia="標楷體" w:hint="eastAsia"/>
                <w:bCs/>
              </w:rPr>
              <w:t>千元。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１、台糖公司為改善人力老化現象，近年積極推動專案精簡及人力更新，</w:t>
            </w:r>
            <w:r>
              <w:rPr>
                <w:rFonts w:eastAsia="標楷體" w:hint="eastAsia"/>
                <w:bCs/>
              </w:rPr>
              <w:t>107</w:t>
            </w:r>
            <w:r>
              <w:rPr>
                <w:rFonts w:eastAsia="標楷體" w:hint="eastAsia"/>
                <w:bCs/>
              </w:rPr>
              <w:t>、</w:t>
            </w:r>
            <w:r>
              <w:rPr>
                <w:rFonts w:eastAsia="標楷體" w:hint="eastAsia"/>
                <w:bCs/>
              </w:rPr>
              <w:t>108</w:t>
            </w:r>
            <w:r>
              <w:rPr>
                <w:rFonts w:eastAsia="標楷體" w:hint="eastAsia"/>
                <w:bCs/>
              </w:rPr>
              <w:t>年推動專案精簡計</w:t>
            </w:r>
            <w:r>
              <w:rPr>
                <w:rFonts w:eastAsia="標楷體" w:hint="eastAsia"/>
                <w:bCs/>
              </w:rPr>
              <w:t>82</w:t>
            </w:r>
            <w:r>
              <w:rPr>
                <w:rFonts w:eastAsia="標楷體" w:hint="eastAsia"/>
                <w:bCs/>
              </w:rPr>
              <w:t>、</w:t>
            </w:r>
            <w:r>
              <w:rPr>
                <w:rFonts w:eastAsia="標楷體" w:hint="eastAsia"/>
                <w:bCs/>
              </w:rPr>
              <w:t>130</w:t>
            </w:r>
            <w:r>
              <w:rPr>
                <w:rFonts w:eastAsia="標楷體" w:hint="eastAsia"/>
                <w:bCs/>
              </w:rPr>
              <w:t>人，並配合未來業務發展及補充離退人力缺口，</w:t>
            </w:r>
            <w:r>
              <w:rPr>
                <w:rFonts w:eastAsia="標楷體" w:hint="eastAsia"/>
                <w:bCs/>
              </w:rPr>
              <w:t>107</w:t>
            </w:r>
            <w:r>
              <w:rPr>
                <w:rFonts w:eastAsia="標楷體" w:hint="eastAsia"/>
                <w:bCs/>
              </w:rPr>
              <w:t>、</w:t>
            </w:r>
            <w:r>
              <w:rPr>
                <w:rFonts w:eastAsia="標楷體" w:hint="eastAsia"/>
                <w:bCs/>
              </w:rPr>
              <w:t>108</w:t>
            </w:r>
            <w:r>
              <w:rPr>
                <w:rFonts w:eastAsia="標楷體" w:hint="eastAsia"/>
                <w:bCs/>
              </w:rPr>
              <w:t>年新進用各類專業人力</w:t>
            </w:r>
            <w:r>
              <w:rPr>
                <w:rFonts w:eastAsia="標楷體" w:hint="eastAsia"/>
                <w:bCs/>
              </w:rPr>
              <w:t>262</w:t>
            </w:r>
            <w:r>
              <w:rPr>
                <w:rFonts w:eastAsia="標楷體" w:hint="eastAsia"/>
                <w:bCs/>
              </w:rPr>
              <w:t>、</w:t>
            </w:r>
            <w:r>
              <w:rPr>
                <w:rFonts w:eastAsia="標楷體" w:hint="eastAsia"/>
                <w:bCs/>
              </w:rPr>
              <w:t>280</w:t>
            </w:r>
            <w:r>
              <w:rPr>
                <w:rFonts w:eastAsia="標楷體" w:hint="eastAsia"/>
                <w:bCs/>
              </w:rPr>
              <w:t>人。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2.109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月人力結構分布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實際員額</w:t>
            </w:r>
            <w:r>
              <w:rPr>
                <w:rFonts w:eastAsia="標楷體" w:hint="eastAsia"/>
                <w:bCs/>
              </w:rPr>
              <w:t>3,421</w:t>
            </w:r>
            <w:r>
              <w:rPr>
                <w:rFonts w:eastAsia="標楷體" w:hint="eastAsia"/>
                <w:bCs/>
              </w:rPr>
              <w:t>人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，</w:t>
            </w:r>
            <w:r>
              <w:rPr>
                <w:rFonts w:eastAsia="標楷體" w:hint="eastAsia"/>
                <w:bCs/>
              </w:rPr>
              <w:t>61</w:t>
            </w:r>
            <w:r>
              <w:rPr>
                <w:rFonts w:eastAsia="標楷體" w:hint="eastAsia"/>
                <w:bCs/>
              </w:rPr>
              <w:t>歲以上</w:t>
            </w:r>
            <w:r>
              <w:rPr>
                <w:rFonts w:eastAsia="標楷體" w:hint="eastAsia"/>
                <w:bCs/>
              </w:rPr>
              <w:t>867</w:t>
            </w:r>
            <w:r>
              <w:rPr>
                <w:rFonts w:eastAsia="標楷體" w:hint="eastAsia"/>
                <w:bCs/>
              </w:rPr>
              <w:t>人</w:t>
            </w:r>
            <w:r>
              <w:rPr>
                <w:rFonts w:eastAsia="標楷體" w:hint="eastAsia"/>
                <w:bCs/>
              </w:rPr>
              <w:t>(25.34%)</w:t>
            </w:r>
            <w:r>
              <w:rPr>
                <w:rFonts w:eastAsia="標楷體" w:hint="eastAsia"/>
                <w:bCs/>
              </w:rPr>
              <w:t>、</w:t>
            </w:r>
            <w:r>
              <w:rPr>
                <w:rFonts w:eastAsia="標楷體" w:hint="eastAsia"/>
                <w:bCs/>
              </w:rPr>
              <w:t>45</w:t>
            </w:r>
            <w:r>
              <w:rPr>
                <w:rFonts w:eastAsia="標楷體" w:hint="eastAsia"/>
                <w:bCs/>
              </w:rPr>
              <w:t>歲以下</w:t>
            </w:r>
            <w:r>
              <w:rPr>
                <w:rFonts w:eastAsia="標楷體" w:hint="eastAsia"/>
                <w:bCs/>
              </w:rPr>
              <w:t>1,108</w:t>
            </w:r>
            <w:r>
              <w:rPr>
                <w:rFonts w:eastAsia="標楷體" w:hint="eastAsia"/>
                <w:bCs/>
              </w:rPr>
              <w:t>人</w:t>
            </w:r>
            <w:r>
              <w:rPr>
                <w:rFonts w:eastAsia="標楷體" w:hint="eastAsia"/>
                <w:bCs/>
              </w:rPr>
              <w:t>(32.39%)</w:t>
            </w:r>
            <w:r>
              <w:rPr>
                <w:rFonts w:eastAsia="標楷體" w:hint="eastAsia"/>
                <w:bCs/>
              </w:rPr>
              <w:t>，平均年齡再降為</w:t>
            </w:r>
            <w:r>
              <w:rPr>
                <w:rFonts w:eastAsia="標楷體" w:hint="eastAsia"/>
                <w:bCs/>
              </w:rPr>
              <w:t>49.61</w:t>
            </w:r>
            <w:r>
              <w:rPr>
                <w:rFonts w:eastAsia="標楷體" w:hint="eastAsia"/>
                <w:bCs/>
              </w:rPr>
              <w:t>歲；較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決算員額</w:t>
            </w:r>
            <w:r>
              <w:rPr>
                <w:rFonts w:eastAsia="標楷體" w:hint="eastAsia"/>
                <w:bCs/>
              </w:rPr>
              <w:t>3,641</w:t>
            </w:r>
            <w:r>
              <w:rPr>
                <w:rFonts w:eastAsia="標楷體" w:hint="eastAsia"/>
                <w:bCs/>
              </w:rPr>
              <w:t>人</w:t>
            </w:r>
            <w:r>
              <w:rPr>
                <w:rFonts w:eastAsia="標楷體" w:hint="eastAsia"/>
                <w:bCs/>
              </w:rPr>
              <w:t>)61</w:t>
            </w:r>
            <w:r>
              <w:rPr>
                <w:rFonts w:eastAsia="標楷體" w:hint="eastAsia"/>
                <w:bCs/>
              </w:rPr>
              <w:t>歲以上</w:t>
            </w:r>
            <w:r>
              <w:rPr>
                <w:rFonts w:eastAsia="標楷體" w:hint="eastAsia"/>
                <w:bCs/>
              </w:rPr>
              <w:t>1,060</w:t>
            </w:r>
            <w:r>
              <w:rPr>
                <w:rFonts w:eastAsia="標楷體" w:hint="eastAsia"/>
                <w:bCs/>
              </w:rPr>
              <w:t>人</w:t>
            </w:r>
            <w:r>
              <w:rPr>
                <w:rFonts w:eastAsia="標楷體" w:hint="eastAsia"/>
                <w:bCs/>
              </w:rPr>
              <w:t>(29.1%)</w:t>
            </w:r>
            <w:r>
              <w:rPr>
                <w:rFonts w:eastAsia="標楷體" w:hint="eastAsia"/>
                <w:bCs/>
              </w:rPr>
              <w:t>、</w:t>
            </w:r>
            <w:r>
              <w:rPr>
                <w:rFonts w:eastAsia="標楷體" w:hint="eastAsia"/>
                <w:bCs/>
              </w:rPr>
              <w:t>45</w:t>
            </w:r>
            <w:r>
              <w:rPr>
                <w:rFonts w:eastAsia="標楷體" w:hint="eastAsia"/>
                <w:bCs/>
              </w:rPr>
              <w:t>歲以下</w:t>
            </w:r>
            <w:r>
              <w:rPr>
                <w:rFonts w:eastAsia="標楷體" w:hint="eastAsia"/>
                <w:bCs/>
              </w:rPr>
              <w:t>601</w:t>
            </w:r>
            <w:r>
              <w:rPr>
                <w:rFonts w:eastAsia="標楷體" w:hint="eastAsia"/>
                <w:bCs/>
              </w:rPr>
              <w:t>人</w:t>
            </w:r>
            <w:r>
              <w:rPr>
                <w:rFonts w:eastAsia="標楷體" w:hint="eastAsia"/>
                <w:bCs/>
              </w:rPr>
              <w:t>(16.5%)</w:t>
            </w:r>
            <w:r>
              <w:rPr>
                <w:rFonts w:eastAsia="標楷體" w:hint="eastAsia"/>
                <w:bCs/>
              </w:rPr>
              <w:t>，平均年齡</w:t>
            </w:r>
            <w:r>
              <w:rPr>
                <w:rFonts w:eastAsia="標楷體" w:hint="eastAsia"/>
                <w:bCs/>
              </w:rPr>
              <w:t>52.4</w:t>
            </w:r>
            <w:r>
              <w:rPr>
                <w:rFonts w:eastAsia="標楷體" w:hint="eastAsia"/>
                <w:bCs/>
              </w:rPr>
              <w:t>歲，人力結構老化情形顯著改善。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◆促成法令增修績效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、建立新進人員培訓及經驗傳承機制：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１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訂定新進人員試用管理要點，指派資深同仁擔任輔導員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導師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，指導及協助解決工作及生活相關問題，縮短新進人員學習時間。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２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推動儲備幹部制度，透過導師制度傳承經驗與工作輔導，跨部門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或單位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輪調，瞭解其他部門工作，對業務全面認識，培養全方位儲備幹部。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３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就重要工作項目之規範及作業流程，依該公司內部控制制度，訂定內控作業要點，作為同仁執行業務之依據，以利技術及經驗傳承。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lastRenderedPageBreak/>
              <w:t>◆其他績效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７、崁頂焚化廠與屏東縣政府契約修訂部分：已於</w:t>
            </w:r>
            <w:r>
              <w:rPr>
                <w:rFonts w:eastAsia="標楷體" w:hint="eastAsia"/>
                <w:bCs/>
              </w:rPr>
              <w:t>108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日完成修約，主要內容如下：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１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增訂每年廢棄物進廠處理量超過</w:t>
            </w:r>
            <w:r>
              <w:rPr>
                <w:rFonts w:eastAsia="標楷體" w:hint="eastAsia"/>
                <w:bCs/>
              </w:rPr>
              <w:t>279,225</w:t>
            </w:r>
            <w:r>
              <w:rPr>
                <w:rFonts w:eastAsia="標楷體" w:hint="eastAsia"/>
                <w:bCs/>
              </w:rPr>
              <w:t>公噸時，超過部分之操作維護費以</w:t>
            </w:r>
            <w:r>
              <w:rPr>
                <w:rFonts w:eastAsia="標楷體" w:hint="eastAsia"/>
                <w:bCs/>
              </w:rPr>
              <w:t>1,778</w:t>
            </w:r>
            <w:r>
              <w:rPr>
                <w:rFonts w:eastAsia="標楷體" w:hint="eastAsia"/>
                <w:bCs/>
              </w:rPr>
              <w:t>元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公噸計、超過部分之售電收益扣除敦親睦鄰基金後乘以</w:t>
            </w:r>
            <w:r>
              <w:rPr>
                <w:rFonts w:eastAsia="標楷體" w:hint="eastAsia"/>
                <w:bCs/>
              </w:rPr>
              <w:t>0.9</w:t>
            </w:r>
            <w:r>
              <w:rPr>
                <w:rFonts w:eastAsia="標楷體" w:hint="eastAsia"/>
                <w:bCs/>
              </w:rPr>
              <w:t>歸台糖所有（註：處理量未超過部分，維護費約</w:t>
            </w:r>
            <w:r>
              <w:rPr>
                <w:rFonts w:eastAsia="標楷體" w:hint="eastAsia"/>
                <w:bCs/>
              </w:rPr>
              <w:t>100</w:t>
            </w:r>
            <w:r>
              <w:rPr>
                <w:rFonts w:eastAsia="標楷體" w:hint="eastAsia"/>
                <w:bCs/>
              </w:rPr>
              <w:t>元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公噸，售電收入以</w:t>
            </w:r>
            <w:r>
              <w:rPr>
                <w:rFonts w:eastAsia="標楷體" w:hint="eastAsia"/>
                <w:bCs/>
              </w:rPr>
              <w:t>90</w:t>
            </w:r>
            <w:r>
              <w:rPr>
                <w:rFonts w:eastAsia="標楷體" w:hint="eastAsia"/>
                <w:bCs/>
              </w:rPr>
              <w:t>年電價計算）。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２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增訂每年廢棄物進廠量超過</w:t>
            </w:r>
            <w:r>
              <w:rPr>
                <w:rFonts w:eastAsia="標楷體" w:hint="eastAsia"/>
                <w:bCs/>
              </w:rPr>
              <w:t>248,200</w:t>
            </w:r>
            <w:r>
              <w:rPr>
                <w:rFonts w:eastAsia="標楷體" w:hint="eastAsia"/>
                <w:bCs/>
              </w:rPr>
              <w:t>公噸或平均垃圾熱值超過</w:t>
            </w:r>
            <w:r>
              <w:rPr>
                <w:rFonts w:eastAsia="標楷體" w:hint="eastAsia"/>
                <w:bCs/>
              </w:rPr>
              <w:t>2,200kcal/kg</w:t>
            </w:r>
            <w:r>
              <w:rPr>
                <w:rFonts w:eastAsia="標楷體" w:hint="eastAsia"/>
                <w:bCs/>
              </w:rPr>
              <w:t>時啟動熱值換算，且屏東縣政府之年保證交付噸數計算亦應依熱值調整。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３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有關運轉功能測試之部分條文，將熱值換算公式中</w:t>
            </w:r>
            <w:r>
              <w:rPr>
                <w:rFonts w:eastAsia="標楷體" w:hint="eastAsia"/>
                <w:bCs/>
              </w:rPr>
              <w:t>1,540kcal/kg</w:t>
            </w:r>
            <w:r>
              <w:rPr>
                <w:rFonts w:eastAsia="標楷體" w:hint="eastAsia"/>
                <w:bCs/>
              </w:rPr>
              <w:t>改正為</w:t>
            </w:r>
            <w:r>
              <w:rPr>
                <w:rFonts w:eastAsia="標楷體" w:hint="eastAsia"/>
                <w:bCs/>
              </w:rPr>
              <w:t>2,200kcal/kg</w:t>
            </w:r>
            <w:r>
              <w:rPr>
                <w:rFonts w:eastAsia="標楷體" w:hint="eastAsia"/>
                <w:bCs/>
              </w:rPr>
              <w:t>。</w:t>
            </w:r>
          </w:p>
        </w:tc>
        <w:tc>
          <w:tcPr>
            <w:tcW w:w="3415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財政及經濟委員會109.04.08第5屆第74次會議決議 : 結案存查。</w:t>
            </w:r>
          </w:p>
        </w:tc>
      </w:tr>
    </w:tbl>
    <w:p w:rsidR="008E6A2A" w:rsidRDefault="008E6A2A" w:rsidP="000E1A2C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81" w:rsidRDefault="006C5F81" w:rsidP="008E6A2A">
      <w:r>
        <w:separator/>
      </w:r>
    </w:p>
  </w:endnote>
  <w:endnote w:type="continuationSeparator" w:id="0">
    <w:p w:rsidR="006C5F81" w:rsidRDefault="006C5F81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0C476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0C4767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0C4767" w:rsidRPr="00530BF4">
      <w:rPr>
        <w:rFonts w:eastAsia="標楷體"/>
      </w:rPr>
      <w:fldChar w:fldCharType="separate"/>
    </w:r>
    <w:r w:rsidR="00CA26D5">
      <w:rPr>
        <w:rFonts w:eastAsia="標楷體"/>
        <w:noProof/>
      </w:rPr>
      <w:t>1</w:t>
    </w:r>
    <w:r w:rsidR="000C4767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fldSimple w:instr=" NUMPAGES  \* Arabic  \* MERGEFORMAT ">
      <w:r w:rsidR="00CA26D5" w:rsidRPr="00CA26D5">
        <w:rPr>
          <w:rFonts w:eastAsia="標楷體"/>
          <w:noProof/>
        </w:rPr>
        <w:t>2</w:t>
      </w:r>
    </w:fldSimple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110/06/03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81" w:rsidRDefault="006C5F81" w:rsidP="008E6A2A">
      <w:r>
        <w:separator/>
      </w:r>
    </w:p>
  </w:footnote>
  <w:footnote w:type="continuationSeparator" w:id="0">
    <w:p w:rsidR="006C5F81" w:rsidRDefault="006C5F81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監察院財政及經濟委員會調查報告結案情形一覽表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22EA2"/>
    <w:rsid w:val="000A03B4"/>
    <w:rsid w:val="000B3010"/>
    <w:rsid w:val="000C4767"/>
    <w:rsid w:val="000D173D"/>
    <w:rsid w:val="000D2F33"/>
    <w:rsid w:val="000E1A2C"/>
    <w:rsid w:val="00107F76"/>
    <w:rsid w:val="00116C5C"/>
    <w:rsid w:val="00132E54"/>
    <w:rsid w:val="00135D2D"/>
    <w:rsid w:val="001546F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731A2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6C5F81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56E5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C5A97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A26D5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>監察院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wctsai</cp:lastModifiedBy>
  <cp:revision>3</cp:revision>
  <cp:lastPrinted>2021-06-03T07:02:00Z</cp:lastPrinted>
  <dcterms:created xsi:type="dcterms:W3CDTF">2021-06-03T06:18:00Z</dcterms:created>
  <dcterms:modified xsi:type="dcterms:W3CDTF">2021-06-03T07:02:00Z</dcterms:modified>
</cp:coreProperties>
</file>