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743288">
        <w:trPr>
          <w:tblHeader/>
        </w:trPr>
        <w:tc>
          <w:tcPr>
            <w:tcW w:w="939"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9919"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3415"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0C765F" w:rsidRPr="00725603" w:rsidTr="00743288">
        <w:trPr>
          <w:trHeight w:val="468"/>
        </w:trPr>
        <w:tc>
          <w:tcPr>
            <w:tcW w:w="939" w:type="dxa"/>
            <w:vAlign w:val="center"/>
          </w:tcPr>
          <w:p w:rsidR="000C765F" w:rsidRPr="000C765F" w:rsidRDefault="000C765F" w:rsidP="000C765F">
            <w:pPr>
              <w:spacing w:line="360" w:lineRule="atLeast"/>
              <w:ind w:leftChars="50" w:left="120" w:rightChars="50" w:right="120"/>
              <w:jc w:val="center"/>
              <w:rPr>
                <w:rFonts w:ascii="標楷體" w:eastAsia="標楷體" w:hAnsi="標楷體"/>
                <w:bCs/>
                <w:szCs w:val="28"/>
              </w:rPr>
            </w:pPr>
            <w:r w:rsidRPr="000C765F">
              <w:rPr>
                <w:rFonts w:ascii="標楷體" w:eastAsia="標楷體" w:hAnsi="標楷體"/>
                <w:snapToGrid w:val="0"/>
                <w:color w:val="000000"/>
                <w:kern w:val="0"/>
              </w:rPr>
              <w:t>10</w:t>
            </w:r>
            <w:r w:rsidRPr="000C765F">
              <w:rPr>
                <w:rFonts w:ascii="標楷體" w:eastAsia="標楷體" w:hAnsi="標楷體" w:hint="eastAsia"/>
                <w:snapToGrid w:val="0"/>
                <w:color w:val="000000"/>
                <w:kern w:val="0"/>
              </w:rPr>
              <w:t>9</w:t>
            </w:r>
            <w:r w:rsidRPr="000C765F">
              <w:rPr>
                <w:rFonts w:ascii="標楷體" w:eastAsia="標楷體" w:hAnsi="標楷體"/>
                <w:snapToGrid w:val="0"/>
                <w:color w:val="000000"/>
                <w:kern w:val="0"/>
              </w:rPr>
              <w:t>內調</w:t>
            </w:r>
            <w:r w:rsidRPr="000C765F">
              <w:rPr>
                <w:rFonts w:ascii="標楷體" w:eastAsia="標楷體" w:hAnsi="標楷體" w:hint="eastAsia"/>
                <w:snapToGrid w:val="0"/>
                <w:color w:val="000000"/>
                <w:kern w:val="0"/>
              </w:rPr>
              <w:t>91</w:t>
            </w:r>
          </w:p>
        </w:tc>
        <w:tc>
          <w:tcPr>
            <w:tcW w:w="9919" w:type="dxa"/>
          </w:tcPr>
          <w:p w:rsidR="000C765F" w:rsidRPr="000C765F" w:rsidRDefault="000C765F" w:rsidP="000C765F">
            <w:pPr>
              <w:spacing w:line="360" w:lineRule="atLeast"/>
              <w:jc w:val="both"/>
              <w:rPr>
                <w:rFonts w:ascii="標楷體" w:eastAsia="標楷體" w:hAnsi="標楷體"/>
                <w:bCs/>
                <w:szCs w:val="28"/>
              </w:rPr>
            </w:pPr>
            <w:r w:rsidRPr="000C765F">
              <w:rPr>
                <w:rFonts w:ascii="標楷體" w:eastAsia="標楷體" w:hAnsi="標楷體" w:cs="新細明體" w:hint="eastAsia"/>
                <w:sz w:val="23"/>
                <w:szCs w:val="23"/>
              </w:rPr>
              <w:t>◆</w:t>
            </w:r>
            <w:r w:rsidRPr="000C765F">
              <w:rPr>
                <w:rFonts w:ascii="標楷體" w:eastAsia="標楷體" w:hAnsi="標楷體"/>
                <w:sz w:val="23"/>
                <w:szCs w:val="23"/>
              </w:rPr>
              <w:t>產生行政變革績效</w:t>
            </w:r>
            <w:r w:rsidRPr="000C765F">
              <w:rPr>
                <w:rFonts w:ascii="標楷體" w:eastAsia="標楷體" w:hAnsi="標楷體"/>
                <w:sz w:val="23"/>
                <w:szCs w:val="23"/>
              </w:rPr>
              <w:br/>
              <w:t>1.臺北市政府於幼兒園申請簽訂準公共教保服務契約之際，應再三檢查其是否符合「教育部推動及補助地方政府與私立教保服務機構合作提供準公共教保服務作業要點」之簽約條件，並檢討爾後面對類此事件，應審慎思考對於私立幼兒園所採取之方法以及所欲達成目的之利益是否有顯失均衡之處，以使行政行為符合比例原則。2.提出有關防空避難室之改進作為。</w:t>
            </w:r>
            <w:r w:rsidRPr="000C765F">
              <w:rPr>
                <w:rFonts w:ascii="標楷體" w:eastAsia="標楷體" w:hAnsi="標楷體"/>
                <w:sz w:val="23"/>
                <w:szCs w:val="23"/>
              </w:rPr>
              <w:br/>
            </w:r>
            <w:r w:rsidRPr="000C765F">
              <w:rPr>
                <w:rFonts w:ascii="標楷體" w:eastAsia="標楷體" w:hAnsi="標楷體" w:cs="新細明體" w:hint="eastAsia"/>
                <w:sz w:val="23"/>
                <w:szCs w:val="23"/>
              </w:rPr>
              <w:t>◆</w:t>
            </w:r>
            <w:r w:rsidRPr="000C765F">
              <w:rPr>
                <w:rFonts w:ascii="標楷體" w:eastAsia="標楷體" w:hAnsi="標楷體"/>
                <w:sz w:val="23"/>
                <w:szCs w:val="23"/>
              </w:rPr>
              <w:t>其他績效</w:t>
            </w:r>
            <w:r w:rsidRPr="000C765F">
              <w:rPr>
                <w:rFonts w:ascii="標楷體" w:eastAsia="標楷體" w:hAnsi="標楷體"/>
                <w:sz w:val="23"/>
                <w:szCs w:val="23"/>
              </w:rPr>
              <w:br/>
              <w:t>市府以2位精神科專科醫師之意見，並參酌幼兒園自述說明目前身心狀況無異常，並未核予該2員之不能勝任工作情形之處分。</w:t>
            </w:r>
          </w:p>
        </w:tc>
        <w:tc>
          <w:tcPr>
            <w:tcW w:w="3415" w:type="dxa"/>
          </w:tcPr>
          <w:p w:rsidR="000C765F" w:rsidRPr="000C765F" w:rsidRDefault="000C765F" w:rsidP="000C765F">
            <w:pPr>
              <w:spacing w:line="360" w:lineRule="atLeast"/>
              <w:jc w:val="both"/>
              <w:rPr>
                <w:rFonts w:ascii="標楷體" w:eastAsia="標楷體" w:hAnsi="標楷體"/>
                <w:bCs/>
                <w:szCs w:val="28"/>
              </w:rPr>
            </w:pPr>
            <w:r w:rsidRPr="000C765F">
              <w:rPr>
                <w:rFonts w:ascii="標楷體" w:eastAsia="標楷體" w:hAnsi="標楷體"/>
                <w:color w:val="000000"/>
                <w:kern w:val="0"/>
              </w:rPr>
              <w:t>10</w:t>
            </w:r>
            <w:r w:rsidRPr="000C765F">
              <w:rPr>
                <w:rFonts w:ascii="標楷體" w:eastAsia="標楷體" w:hAnsi="標楷體" w:hint="eastAsia"/>
                <w:color w:val="000000"/>
                <w:kern w:val="0"/>
              </w:rPr>
              <w:t>9</w:t>
            </w:r>
            <w:r w:rsidRPr="000C765F">
              <w:rPr>
                <w:rFonts w:ascii="標楷體" w:eastAsia="標楷體" w:hAnsi="標楷體"/>
                <w:color w:val="000000"/>
                <w:kern w:val="0"/>
              </w:rPr>
              <w:t>/</w:t>
            </w:r>
            <w:r w:rsidRPr="000C765F">
              <w:rPr>
                <w:rFonts w:ascii="標楷體" w:eastAsia="標楷體" w:hAnsi="標楷體" w:hint="eastAsia"/>
                <w:color w:val="000000"/>
                <w:kern w:val="0"/>
              </w:rPr>
              <w:t>1</w:t>
            </w:r>
            <w:r w:rsidRPr="000C765F">
              <w:rPr>
                <w:rFonts w:ascii="標楷體" w:eastAsia="標楷體" w:hAnsi="標楷體"/>
                <w:color w:val="000000"/>
                <w:kern w:val="0"/>
              </w:rPr>
              <w:t>1/1</w:t>
            </w:r>
            <w:r w:rsidRPr="000C765F">
              <w:rPr>
                <w:rFonts w:ascii="標楷體" w:eastAsia="標楷體" w:hAnsi="標楷體" w:hint="eastAsia"/>
                <w:color w:val="000000"/>
                <w:kern w:val="0"/>
              </w:rPr>
              <w:t>7</w:t>
            </w:r>
            <w:r w:rsidRPr="000C765F">
              <w:rPr>
                <w:rFonts w:ascii="標楷體" w:eastAsia="標楷體" w:hAnsi="標楷體"/>
                <w:color w:val="000000"/>
                <w:kern w:val="0"/>
              </w:rPr>
              <w:t>內政及族群、</w:t>
            </w:r>
            <w:r w:rsidRPr="000C765F">
              <w:rPr>
                <w:rFonts w:ascii="標楷體" w:eastAsia="標楷體" w:hAnsi="標楷體" w:hint="eastAsia"/>
                <w:color w:val="000000"/>
                <w:kern w:val="0"/>
              </w:rPr>
              <w:t>教育</w:t>
            </w:r>
            <w:r w:rsidRPr="000C765F">
              <w:rPr>
                <w:rFonts w:ascii="標楷體" w:eastAsia="標楷體" w:hAnsi="標楷體"/>
                <w:color w:val="000000"/>
                <w:kern w:val="0"/>
              </w:rPr>
              <w:t>及</w:t>
            </w:r>
            <w:r w:rsidRPr="000C765F">
              <w:rPr>
                <w:rFonts w:ascii="標楷體" w:eastAsia="標楷體" w:hAnsi="標楷體" w:hint="eastAsia"/>
                <w:color w:val="000000"/>
                <w:kern w:val="0"/>
              </w:rPr>
              <w:t>文化</w:t>
            </w:r>
            <w:r w:rsidRPr="000C765F">
              <w:rPr>
                <w:rFonts w:ascii="標楷體" w:eastAsia="標楷體" w:hAnsi="標楷體"/>
                <w:color w:val="000000"/>
                <w:kern w:val="0"/>
              </w:rPr>
              <w:t>委員會第6屆第</w:t>
            </w:r>
            <w:r w:rsidRPr="000C765F">
              <w:rPr>
                <w:rFonts w:ascii="標楷體" w:eastAsia="標楷體" w:hAnsi="標楷體" w:hint="eastAsia"/>
                <w:color w:val="000000"/>
                <w:kern w:val="0"/>
              </w:rPr>
              <w:t>4</w:t>
            </w:r>
            <w:r w:rsidRPr="000C765F">
              <w:rPr>
                <w:rFonts w:ascii="標楷體" w:eastAsia="標楷體" w:hAnsi="標楷體"/>
                <w:color w:val="000000"/>
                <w:kern w:val="0"/>
              </w:rPr>
              <w:t>次聯席會議決議：結案存查</w:t>
            </w:r>
          </w:p>
        </w:tc>
      </w:tr>
    </w:tbl>
    <w:p w:rsidR="008E6A2A" w:rsidRPr="00725603" w:rsidRDefault="008E6A2A" w:rsidP="0021760F">
      <w:pPr>
        <w:snapToGrid w:val="0"/>
        <w:spacing w:beforeLines="100" w:before="360" w:line="240" w:lineRule="atLeast"/>
        <w:ind w:leftChars="6" w:left="866" w:hangingChars="304" w:hanging="852"/>
        <w:rPr>
          <w:rFonts w:ascii="標楷體" w:eastAsia="標楷體" w:hAnsi="標楷體"/>
          <w:b/>
          <w:bCs/>
          <w:sz w:val="28"/>
        </w:rPr>
      </w:pPr>
    </w:p>
    <w:sectPr w:rsidR="008E6A2A" w:rsidRPr="00725603"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2C" w:rsidRDefault="00C4132C" w:rsidP="008E6A2A">
      <w:r>
        <w:separator/>
      </w:r>
    </w:p>
  </w:endnote>
  <w:endnote w:type="continuationSeparator" w:id="0">
    <w:p w:rsidR="00C4132C" w:rsidRDefault="00C4132C"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116231">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116231" w:rsidRPr="00530BF4">
      <w:rPr>
        <w:rFonts w:eastAsia="標楷體"/>
      </w:rPr>
      <w:fldChar w:fldCharType="begin"/>
    </w:r>
    <w:r w:rsidRPr="00530BF4">
      <w:rPr>
        <w:rFonts w:eastAsia="標楷體"/>
      </w:rPr>
      <w:instrText xml:space="preserve"> PAGE   \* MERGEFORMAT </w:instrText>
    </w:r>
    <w:r w:rsidR="00116231" w:rsidRPr="00530BF4">
      <w:rPr>
        <w:rFonts w:eastAsia="標楷體"/>
      </w:rPr>
      <w:fldChar w:fldCharType="separate"/>
    </w:r>
    <w:r w:rsidR="00A721E4">
      <w:rPr>
        <w:rFonts w:eastAsia="標楷體"/>
        <w:noProof/>
      </w:rPr>
      <w:t>1</w:t>
    </w:r>
    <w:r w:rsidR="00116231" w:rsidRPr="00530BF4">
      <w:rPr>
        <w:rFonts w:eastAsia="標楷體"/>
      </w:rPr>
      <w:fldChar w:fldCharType="end"/>
    </w:r>
    <w:r w:rsidRPr="00530BF4">
      <w:rPr>
        <w:rFonts w:eastAsia="標楷體" w:hint="eastAsia"/>
      </w:rPr>
      <w:t>頁，共</w:t>
    </w:r>
    <w:r w:rsidR="00116231" w:rsidRPr="00116231">
      <w:rPr>
        <w:rFonts w:eastAsia="標楷體"/>
        <w:noProof/>
      </w:rPr>
      <w:fldChar w:fldCharType="begin"/>
    </w:r>
    <w:r w:rsidR="00116231" w:rsidRPr="00116231">
      <w:rPr>
        <w:rFonts w:eastAsia="標楷體"/>
        <w:noProof/>
      </w:rPr>
      <w:instrText xml:space="preserve"> NUMPAGES  \* Arabic  \* MERGEFORMAT </w:instrText>
    </w:r>
    <w:r w:rsidR="00116231" w:rsidRPr="00116231">
      <w:rPr>
        <w:rFonts w:eastAsia="標楷體"/>
        <w:noProof/>
      </w:rPr>
      <w:fldChar w:fldCharType="separate"/>
    </w:r>
    <w:r w:rsidR="00A721E4">
      <w:rPr>
        <w:rFonts w:eastAsia="標楷體"/>
        <w:noProof/>
      </w:rPr>
      <w:t>1</w:t>
    </w:r>
    <w:r w:rsidR="00116231" w:rsidRPr="00116231">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2C" w:rsidRDefault="00C4132C" w:rsidP="008E6A2A">
      <w:r>
        <w:separator/>
      </w:r>
    </w:p>
  </w:footnote>
  <w:footnote w:type="continuationSeparator" w:id="0">
    <w:p w:rsidR="00C4132C" w:rsidRDefault="00C4132C"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監察院內政及族群委員會調查報告結案情形一覽表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C400A"/>
    <w:rsid w:val="000C765F"/>
    <w:rsid w:val="000D173D"/>
    <w:rsid w:val="000D2F33"/>
    <w:rsid w:val="00107F76"/>
    <w:rsid w:val="00116231"/>
    <w:rsid w:val="00116C5C"/>
    <w:rsid w:val="00132E54"/>
    <w:rsid w:val="00135D2D"/>
    <w:rsid w:val="001A630D"/>
    <w:rsid w:val="001C2DB1"/>
    <w:rsid w:val="001C2FC4"/>
    <w:rsid w:val="001F18D3"/>
    <w:rsid w:val="00203463"/>
    <w:rsid w:val="0021760F"/>
    <w:rsid w:val="00252B89"/>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041"/>
    <w:rsid w:val="004A3E81"/>
    <w:rsid w:val="004A60C4"/>
    <w:rsid w:val="004B3C60"/>
    <w:rsid w:val="004D23FF"/>
    <w:rsid w:val="0050205F"/>
    <w:rsid w:val="00504CF5"/>
    <w:rsid w:val="00505F02"/>
    <w:rsid w:val="005245A8"/>
    <w:rsid w:val="00530BF4"/>
    <w:rsid w:val="00550E1F"/>
    <w:rsid w:val="00584FFF"/>
    <w:rsid w:val="005A2C83"/>
    <w:rsid w:val="005D05C5"/>
    <w:rsid w:val="005D55B3"/>
    <w:rsid w:val="006051B8"/>
    <w:rsid w:val="00605E93"/>
    <w:rsid w:val="00615817"/>
    <w:rsid w:val="006305BF"/>
    <w:rsid w:val="006B1797"/>
    <w:rsid w:val="006C264B"/>
    <w:rsid w:val="007032D2"/>
    <w:rsid w:val="00720393"/>
    <w:rsid w:val="00725603"/>
    <w:rsid w:val="007333C0"/>
    <w:rsid w:val="007336A7"/>
    <w:rsid w:val="00743288"/>
    <w:rsid w:val="0078237E"/>
    <w:rsid w:val="00782BFE"/>
    <w:rsid w:val="007D2051"/>
    <w:rsid w:val="008154F1"/>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198D"/>
    <w:rsid w:val="009F7F28"/>
    <w:rsid w:val="00A004DD"/>
    <w:rsid w:val="00A20EDD"/>
    <w:rsid w:val="00A275CD"/>
    <w:rsid w:val="00A37697"/>
    <w:rsid w:val="00A40DAA"/>
    <w:rsid w:val="00A712A6"/>
    <w:rsid w:val="00A721E4"/>
    <w:rsid w:val="00A9424B"/>
    <w:rsid w:val="00AB71AC"/>
    <w:rsid w:val="00AB7B64"/>
    <w:rsid w:val="00AC0AA9"/>
    <w:rsid w:val="00AD17AD"/>
    <w:rsid w:val="00AD34E8"/>
    <w:rsid w:val="00AE59BC"/>
    <w:rsid w:val="00AF0811"/>
    <w:rsid w:val="00AF3739"/>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32C4D"/>
    <w:rsid w:val="00C4036E"/>
    <w:rsid w:val="00C4132C"/>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B76A3"/>
    <w:rsid w:val="00DD0571"/>
    <w:rsid w:val="00DE4DEE"/>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261</Characters>
  <Application>Microsoft Office Word</Application>
  <DocSecurity>0</DocSecurity>
  <Lines>2</Lines>
  <Paragraphs>1</Paragraphs>
  <ScaleCrop>false</ScaleCrop>
  <Company>監察院</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5</cp:revision>
  <cp:lastPrinted>2021-05-10T02:01:00Z</cp:lastPrinted>
  <dcterms:created xsi:type="dcterms:W3CDTF">2021-05-07T07:43:00Z</dcterms:created>
  <dcterms:modified xsi:type="dcterms:W3CDTF">2021-05-10T02:01:00Z</dcterms:modified>
</cp:coreProperties>
</file>