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0024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一、菸酒公司提出檢討運輸物流類採購訂價方式方案：１、研議檢討運輸模式；２、里程核實量測；３、確認運費轉換量；４、精進運輸採購流程。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B01BD2">
            <w:pPr>
              <w:spacing w:afterLines="50" w:after="180"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二、財政部支持菸酒公司為健全與承運商間合理契約合作關係，就運輸</w:t>
            </w:r>
            <w:proofErr w:type="gramStart"/>
            <w:r>
              <w:rPr>
                <w:rFonts w:eastAsia="標楷體" w:hint="eastAsia"/>
                <w:bCs/>
              </w:rPr>
              <w:t>物流類採購</w:t>
            </w:r>
            <w:proofErr w:type="gramEnd"/>
            <w:r>
              <w:rPr>
                <w:rFonts w:eastAsia="標楷體" w:hint="eastAsia"/>
                <w:bCs/>
              </w:rPr>
              <w:t>訂價方式加以調整，以提升該公司營運能力及強化物流品質與運輸安全。</w:t>
            </w:r>
            <w:r>
              <w:rPr>
                <w:rFonts w:eastAsia="標楷體" w:hint="eastAsia"/>
                <w:bCs/>
              </w:rPr>
              <w:t xml:space="preserve"> 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財政及經濟委員會109.07.08第5屆第78次會議決議 : 結案存查。</w:t>
            </w:r>
          </w:p>
        </w:tc>
      </w:tr>
    </w:tbl>
    <w:p w:rsidR="008E6A2A" w:rsidRPr="00062529" w:rsidRDefault="008E6A2A" w:rsidP="00062529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RPr="00062529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1" w:rsidRDefault="00AF0811" w:rsidP="008E6A2A">
      <w:r>
        <w:separator/>
      </w:r>
    </w:p>
  </w:endnote>
  <w:endnote w:type="continuationSeparator" w:id="0">
    <w:p w:rsidR="00AF0811" w:rsidRDefault="00AF081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80386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1" w:rsidRDefault="00AF0811" w:rsidP="008E6A2A">
      <w:r>
        <w:separator/>
      </w:r>
    </w:p>
  </w:footnote>
  <w:footnote w:type="continuationSeparator" w:id="0">
    <w:p w:rsidR="00AF0811" w:rsidRDefault="00AF081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62529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03864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01BD2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BC30D62E-CCD7-4989-9032-78651630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監察院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廖春媛</cp:lastModifiedBy>
  <cp:revision>3</cp:revision>
  <cp:lastPrinted>2010-06-29T02:42:00Z</cp:lastPrinted>
  <dcterms:created xsi:type="dcterms:W3CDTF">2021-06-21T07:13:00Z</dcterms:created>
  <dcterms:modified xsi:type="dcterms:W3CDTF">2021-06-21T07:14:00Z</dcterms:modified>
</cp:coreProperties>
</file>