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108</w:t>
            </w:r>
            <w:r>
              <w:rPr>
                <w:rFonts w:eastAsia="標楷體" w:hint="eastAsia"/>
                <w:bCs/>
                <w:szCs w:val="28"/>
              </w:rPr>
              <w:t>財調</w:t>
            </w:r>
            <w:r>
              <w:rPr>
                <w:rFonts w:eastAsia="標楷體" w:hint="eastAsia"/>
                <w:bCs/>
                <w:szCs w:val="28"/>
              </w:rPr>
              <w:t>0079</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建置國產材優質廠商及商品多元化行銷平臺、推動「夥伴、多元、友善</w:t>
            </w:r>
            <w:r>
              <w:rPr>
                <w:rFonts w:eastAsia="標楷體" w:hint="eastAsia"/>
                <w:bCs/>
              </w:rPr>
              <w:t>-</w:t>
            </w:r>
            <w:r>
              <w:rPr>
                <w:rFonts w:eastAsia="標楷體" w:hint="eastAsia"/>
                <w:bCs/>
              </w:rPr>
              <w:t>林業永續多元輔導方案」、訂頒</w:t>
            </w:r>
            <w:r>
              <w:rPr>
                <w:rFonts w:eastAsia="標楷體" w:hint="eastAsia"/>
                <w:bCs/>
              </w:rPr>
              <w:t xml:space="preserve"> </w:t>
            </w:r>
            <w:r>
              <w:rPr>
                <w:rFonts w:eastAsia="標楷體" w:hint="eastAsia"/>
                <w:bCs/>
              </w:rPr>
              <w:t>「公私有林經營及輔導作業規範」、印製「公私有林經營輔導</w:t>
            </w:r>
            <w:r>
              <w:rPr>
                <w:rFonts w:eastAsia="標楷體" w:hint="eastAsia"/>
                <w:bCs/>
              </w:rPr>
              <w:t>(</w:t>
            </w:r>
            <w:r>
              <w:rPr>
                <w:rFonts w:eastAsia="標楷體" w:hint="eastAsia"/>
                <w:bCs/>
              </w:rPr>
              <w:t>林業永續多元輔導方案</w:t>
            </w:r>
            <w:r>
              <w:rPr>
                <w:rFonts w:eastAsia="標楷體" w:hint="eastAsia"/>
                <w:bCs/>
              </w:rPr>
              <w:t>)</w:t>
            </w:r>
            <w:r>
              <w:rPr>
                <w:rFonts w:eastAsia="標楷體" w:hint="eastAsia"/>
                <w:bCs/>
              </w:rPr>
              <w:t>作業手冊」、截至</w:t>
            </w:r>
            <w:r>
              <w:rPr>
                <w:rFonts w:eastAsia="標楷體" w:hint="eastAsia"/>
                <w:bCs/>
              </w:rPr>
              <w:t>109</w:t>
            </w:r>
            <w:r>
              <w:rPr>
                <w:rFonts w:eastAsia="標楷體" w:hint="eastAsia"/>
                <w:bCs/>
              </w:rPr>
              <w:t>年</w:t>
            </w:r>
            <w:r>
              <w:rPr>
                <w:rFonts w:eastAsia="標楷體" w:hint="eastAsia"/>
                <w:bCs/>
              </w:rPr>
              <w:t>3</w:t>
            </w:r>
            <w:r>
              <w:rPr>
                <w:rFonts w:eastAsia="標楷體" w:hint="eastAsia"/>
                <w:bCs/>
              </w:rPr>
              <w:t>月底，已收回或移交他機關，或已輔導承租人改正換訂</w:t>
            </w:r>
            <w:r>
              <w:rPr>
                <w:rFonts w:eastAsia="標楷體" w:hint="eastAsia"/>
                <w:bCs/>
              </w:rPr>
              <w:t>9</w:t>
            </w:r>
            <w:r>
              <w:rPr>
                <w:rFonts w:eastAsia="標楷體" w:hint="eastAsia"/>
                <w:bCs/>
              </w:rPr>
              <w:t>年租約者共計</w:t>
            </w:r>
            <w:r>
              <w:rPr>
                <w:rFonts w:eastAsia="標楷體" w:hint="eastAsia"/>
                <w:bCs/>
              </w:rPr>
              <w:t>7,526</w:t>
            </w:r>
            <w:r>
              <w:rPr>
                <w:rFonts w:eastAsia="標楷體" w:hint="eastAsia"/>
                <w:bCs/>
              </w:rPr>
              <w:t>筆（面積</w:t>
            </w:r>
            <w:r>
              <w:rPr>
                <w:rFonts w:eastAsia="標楷體" w:hint="eastAsia"/>
                <w:bCs/>
              </w:rPr>
              <w:t>8,057</w:t>
            </w:r>
            <w:r>
              <w:rPr>
                <w:rFonts w:eastAsia="標楷體" w:hint="eastAsia"/>
                <w:bCs/>
              </w:rPr>
              <w:t>公頃）、「『尚未完成造林國有出租造林地處理方案暨執行計畫』後續處理方式」列管之第</w:t>
            </w:r>
            <w:r>
              <w:rPr>
                <w:rFonts w:eastAsia="標楷體" w:hint="eastAsia"/>
                <w:bCs/>
              </w:rPr>
              <w:t>1</w:t>
            </w:r>
            <w:r>
              <w:rPr>
                <w:rFonts w:eastAsia="標楷體" w:hint="eastAsia"/>
                <w:bCs/>
              </w:rPr>
              <w:t>至第</w:t>
            </w:r>
            <w:r>
              <w:rPr>
                <w:rFonts w:eastAsia="標楷體" w:hint="eastAsia"/>
                <w:bCs/>
              </w:rPr>
              <w:t>3</w:t>
            </w:r>
            <w:r>
              <w:rPr>
                <w:rFonts w:eastAsia="標楷體" w:hint="eastAsia"/>
                <w:bCs/>
              </w:rPr>
              <w:t>批案件，除星光森林民宿違規部分面積</w:t>
            </w:r>
            <w:r>
              <w:rPr>
                <w:rFonts w:eastAsia="標楷體" w:hint="eastAsia"/>
                <w:bCs/>
              </w:rPr>
              <w:t>23.08</w:t>
            </w:r>
            <w:r>
              <w:rPr>
                <w:rFonts w:eastAsia="標楷體" w:hint="eastAsia"/>
                <w:bCs/>
              </w:rPr>
              <w:t>公頃仍繫屬於法院審判中，其餘</w:t>
            </w:r>
            <w:r>
              <w:rPr>
                <w:rFonts w:eastAsia="標楷體" w:hint="eastAsia"/>
                <w:bCs/>
              </w:rPr>
              <w:t>107.2</w:t>
            </w:r>
            <w:r>
              <w:rPr>
                <w:rFonts w:eastAsia="標楷體" w:hint="eastAsia"/>
                <w:bCs/>
              </w:rPr>
              <w:t>公頃已全部處理完竣，另於</w:t>
            </w:r>
            <w:r>
              <w:rPr>
                <w:rFonts w:eastAsia="標楷體" w:hint="eastAsia"/>
                <w:bCs/>
              </w:rPr>
              <w:t>109</w:t>
            </w:r>
            <w:r>
              <w:rPr>
                <w:rFonts w:eastAsia="標楷體" w:hint="eastAsia"/>
                <w:bCs/>
              </w:rPr>
              <w:t>年</w:t>
            </w:r>
            <w:r>
              <w:rPr>
                <w:rFonts w:eastAsia="標楷體" w:hint="eastAsia"/>
                <w:bCs/>
              </w:rPr>
              <w:t>3</w:t>
            </w:r>
            <w:r>
              <w:rPr>
                <w:rFonts w:eastAsia="標楷體" w:hint="eastAsia"/>
                <w:bCs/>
              </w:rPr>
              <w:t>月已啟動第</w:t>
            </w:r>
            <w:r>
              <w:rPr>
                <w:rFonts w:eastAsia="標楷體" w:hint="eastAsia"/>
                <w:bCs/>
              </w:rPr>
              <w:t>4</w:t>
            </w:r>
            <w:r>
              <w:rPr>
                <w:rFonts w:eastAsia="標楷體" w:hint="eastAsia"/>
                <w:bCs/>
              </w:rPr>
              <w:t>批之處理作業；林務局已擬具並陳報「國有林出租地租金（代金）及租地造林林產物分收價金收解作業規範</w:t>
            </w:r>
            <w:r>
              <w:rPr>
                <w:rFonts w:eastAsia="標楷體" w:hint="eastAsia"/>
                <w:bCs/>
              </w:rPr>
              <w:t>(</w:t>
            </w:r>
            <w:r>
              <w:rPr>
                <w:rFonts w:eastAsia="標楷體" w:hint="eastAsia"/>
                <w:bCs/>
              </w:rPr>
              <w:t>草案</w:t>
            </w:r>
            <w:r>
              <w:rPr>
                <w:rFonts w:eastAsia="標楷體" w:hint="eastAsia"/>
                <w:bCs/>
              </w:rPr>
              <w:t>)</w:t>
            </w:r>
            <w:r>
              <w:rPr>
                <w:rFonts w:eastAsia="標楷體" w:hint="eastAsia"/>
                <w:bCs/>
              </w:rPr>
              <w:t>」；農委會已擬具並陳報「行政院農業委員會林務局經管國有林地濫墾地續辦清理作業要點暨實施計畫</w:t>
            </w:r>
            <w:r>
              <w:rPr>
                <w:rFonts w:eastAsia="標楷體" w:hint="eastAsia"/>
                <w:bCs/>
              </w:rPr>
              <w:t>(</w:t>
            </w:r>
            <w:r>
              <w:rPr>
                <w:rFonts w:eastAsia="標楷體" w:hint="eastAsia"/>
                <w:bCs/>
              </w:rPr>
              <w:t>草案</w:t>
            </w:r>
            <w:r>
              <w:rPr>
                <w:rFonts w:eastAsia="標楷體" w:hint="eastAsia"/>
                <w:bCs/>
              </w:rPr>
              <w:t>)</w:t>
            </w:r>
            <w:r>
              <w:rPr>
                <w:rFonts w:eastAsia="標楷體" w:hint="eastAsia"/>
                <w:bCs/>
              </w:rPr>
              <w:t>」；林務局已擬定「占用排除收回之優先處理對象篩選原則及國有公用不動產被占用建物處理流程」；「水庫集水區」、「飲用水水質水源保護匾」及「土石流潛勢溪流影響範圍」之租地仍違規而未續約或被仍占用林地，已再重新疊圖確認待處理面積（分別為</w:t>
            </w:r>
            <w:r>
              <w:rPr>
                <w:rFonts w:eastAsia="標楷體" w:hint="eastAsia"/>
                <w:bCs/>
              </w:rPr>
              <w:t>1,617.45</w:t>
            </w:r>
            <w:r>
              <w:rPr>
                <w:rFonts w:eastAsia="標楷體" w:hint="eastAsia"/>
                <w:bCs/>
              </w:rPr>
              <w:t>公頃、</w:t>
            </w:r>
            <w:r>
              <w:rPr>
                <w:rFonts w:eastAsia="標楷體" w:hint="eastAsia"/>
                <w:bCs/>
              </w:rPr>
              <w:t>3,937.78</w:t>
            </w:r>
            <w:r>
              <w:rPr>
                <w:rFonts w:eastAsia="標楷體" w:hint="eastAsia"/>
                <w:bCs/>
              </w:rPr>
              <w:t>公頃），並持續以專案會議方式由林務局副局長定期</w:t>
            </w:r>
            <w:r>
              <w:rPr>
                <w:rFonts w:eastAsia="標楷體" w:hint="eastAsia"/>
                <w:bCs/>
              </w:rPr>
              <w:t>(1-2</w:t>
            </w:r>
            <w:r>
              <w:rPr>
                <w:rFonts w:eastAsia="標楷體" w:hint="eastAsia"/>
                <w:bCs/>
              </w:rPr>
              <w:t>個月</w:t>
            </w:r>
            <w:r>
              <w:rPr>
                <w:rFonts w:eastAsia="標楷體" w:hint="eastAsia"/>
                <w:bCs/>
              </w:rPr>
              <w:t>)</w:t>
            </w:r>
            <w:r>
              <w:rPr>
                <w:rFonts w:eastAsia="標楷體" w:hint="eastAsia"/>
                <w:bCs/>
              </w:rPr>
              <w:t>開會列管；林務局經管國有林地內原清查列管之</w:t>
            </w:r>
            <w:r>
              <w:rPr>
                <w:rFonts w:eastAsia="標楷體" w:hint="eastAsia"/>
                <w:bCs/>
              </w:rPr>
              <w:t>35</w:t>
            </w:r>
            <w:r>
              <w:rPr>
                <w:rFonts w:eastAsia="標楷體" w:hint="eastAsia"/>
                <w:bCs/>
              </w:rPr>
              <w:t>處露營場已全數處理完竣（部分案件係提起訴訟處理）；林務局將賡續審慎評估林下經濟推動效益及擴大辦理之可行性等。</w:t>
            </w:r>
          </w:p>
          <w:p w:rsidR="00FF343B" w:rsidRPr="0078237E" w:rsidRDefault="00FF343B" w:rsidP="00440949">
            <w:pPr>
              <w:spacing w:line="360" w:lineRule="atLeast"/>
              <w:jc w:val="both"/>
              <w:rPr>
                <w:rFonts w:eastAsia="標楷體"/>
                <w:bCs/>
                <w:szCs w:val="28"/>
              </w:rPr>
            </w:pP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t>財政及經濟、交通及採購委員會109.06.16第5屆第48次聯席會議決議 : 結案存查。</w:t>
            </w:r>
          </w:p>
        </w:tc>
      </w:tr>
    </w:tbl>
    <w:p w:rsidR="008E6A2A" w:rsidRDefault="008E6A2A" w:rsidP="00D41551">
      <w:pPr>
        <w:snapToGrid w:val="0"/>
        <w:spacing w:beforeLines="100" w:before="360" w:line="240" w:lineRule="atLeast"/>
        <w:ind w:leftChars="6" w:left="866" w:hangingChars="304" w:hanging="852"/>
        <w:rPr>
          <w:rFonts w:eastAsia="標楷體"/>
          <w:b/>
          <w:bCs/>
          <w:sz w:val="28"/>
        </w:rPr>
      </w:pP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86" w:rsidRDefault="007F3786" w:rsidP="008E6A2A">
      <w:r>
        <w:separator/>
      </w:r>
    </w:p>
  </w:endnote>
  <w:endnote w:type="continuationSeparator" w:id="0">
    <w:p w:rsidR="007F3786" w:rsidRDefault="007F3786"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3B5805">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3B5805" w:rsidRPr="00530BF4">
      <w:rPr>
        <w:rFonts w:eastAsia="標楷體"/>
      </w:rPr>
      <w:fldChar w:fldCharType="begin"/>
    </w:r>
    <w:r w:rsidRPr="00530BF4">
      <w:rPr>
        <w:rFonts w:eastAsia="標楷體"/>
      </w:rPr>
      <w:instrText xml:space="preserve"> PAGE   \* MERGEFORMAT </w:instrText>
    </w:r>
    <w:r w:rsidR="003B5805" w:rsidRPr="00530BF4">
      <w:rPr>
        <w:rFonts w:eastAsia="標楷體"/>
      </w:rPr>
      <w:fldChar w:fldCharType="separate"/>
    </w:r>
    <w:r w:rsidR="006E1868">
      <w:rPr>
        <w:rFonts w:eastAsia="標楷體"/>
        <w:noProof/>
      </w:rPr>
      <w:t>1</w:t>
    </w:r>
    <w:r w:rsidR="003B5805" w:rsidRPr="00530BF4">
      <w:rPr>
        <w:rFonts w:eastAsia="標楷體"/>
      </w:rPr>
      <w:fldChar w:fldCharType="end"/>
    </w:r>
    <w:r w:rsidRPr="00530BF4">
      <w:rPr>
        <w:rFonts w:eastAsia="標楷體" w:hint="eastAsia"/>
      </w:rPr>
      <w:t>頁，共</w:t>
    </w:r>
    <w:r w:rsidR="003B5805" w:rsidRPr="003B5805">
      <w:rPr>
        <w:rFonts w:eastAsia="標楷體"/>
        <w:noProof/>
      </w:rPr>
      <w:fldChar w:fldCharType="begin"/>
    </w:r>
    <w:r w:rsidR="003B5805" w:rsidRPr="003B5805">
      <w:rPr>
        <w:rFonts w:eastAsia="標楷體"/>
        <w:noProof/>
      </w:rPr>
      <w:instrText xml:space="preserve"> NUMPAGES  \* Arabic  \* MERGEFORMAT </w:instrText>
    </w:r>
    <w:r w:rsidR="003B5805" w:rsidRPr="003B5805">
      <w:rPr>
        <w:rFonts w:eastAsia="標楷體"/>
        <w:noProof/>
      </w:rPr>
      <w:fldChar w:fldCharType="separate"/>
    </w:r>
    <w:r w:rsidR="006E1868">
      <w:rPr>
        <w:rFonts w:eastAsia="標楷體"/>
        <w:noProof/>
      </w:rPr>
      <w:t>1</w:t>
    </w:r>
    <w:r w:rsidR="003B5805" w:rsidRPr="003B5805">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86" w:rsidRDefault="007F3786" w:rsidP="008E6A2A">
      <w:r>
        <w:separator/>
      </w:r>
    </w:p>
  </w:footnote>
  <w:footnote w:type="continuationSeparator" w:id="0">
    <w:p w:rsidR="007F3786" w:rsidRDefault="007F3786"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監察院財政及經濟委員會調查報告結案情形一覽表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A630D"/>
    <w:rsid w:val="001C2DB1"/>
    <w:rsid w:val="001C2FC4"/>
    <w:rsid w:val="001F18D3"/>
    <w:rsid w:val="00203463"/>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B5805"/>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55B3"/>
    <w:rsid w:val="006051B8"/>
    <w:rsid w:val="00605E93"/>
    <w:rsid w:val="00615817"/>
    <w:rsid w:val="006305BF"/>
    <w:rsid w:val="006B1797"/>
    <w:rsid w:val="006C264B"/>
    <w:rsid w:val="006E1868"/>
    <w:rsid w:val="007032D2"/>
    <w:rsid w:val="00720393"/>
    <w:rsid w:val="007336A7"/>
    <w:rsid w:val="0078237E"/>
    <w:rsid w:val="00782BFE"/>
    <w:rsid w:val="007F3786"/>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6169B"/>
    <w:rsid w:val="00C72582"/>
    <w:rsid w:val="00C744B1"/>
    <w:rsid w:val="00CB2E8C"/>
    <w:rsid w:val="00CC2941"/>
    <w:rsid w:val="00CC4AAE"/>
    <w:rsid w:val="00CD3A33"/>
    <w:rsid w:val="00D064A0"/>
    <w:rsid w:val="00D27C46"/>
    <w:rsid w:val="00D41551"/>
    <w:rsid w:val="00D47D4D"/>
    <w:rsid w:val="00D76EC1"/>
    <w:rsid w:val="00D87FA8"/>
    <w:rsid w:val="00D97F24"/>
    <w:rsid w:val="00DA6DB5"/>
    <w:rsid w:val="00DD0571"/>
    <w:rsid w:val="00E177C9"/>
    <w:rsid w:val="00E84CC0"/>
    <w:rsid w:val="00E92538"/>
    <w:rsid w:val="00E93223"/>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Company>監察院</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wctsai</cp:lastModifiedBy>
  <cp:revision>3</cp:revision>
  <cp:lastPrinted>2021-06-07T07:01:00Z</cp:lastPrinted>
  <dcterms:created xsi:type="dcterms:W3CDTF">2021-06-07T06:21:00Z</dcterms:created>
  <dcterms:modified xsi:type="dcterms:W3CDTF">2021-06-07T07:01:00Z</dcterms:modified>
</cp:coreProperties>
</file>