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743288">
        <w:trPr>
          <w:tblHeader/>
        </w:trPr>
        <w:tc>
          <w:tcPr>
            <w:tcW w:w="93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8154F1" w:rsidRPr="00725603" w:rsidTr="00743288">
        <w:trPr>
          <w:trHeight w:val="468"/>
        </w:trPr>
        <w:tc>
          <w:tcPr>
            <w:tcW w:w="939" w:type="dxa"/>
            <w:vAlign w:val="center"/>
          </w:tcPr>
          <w:p w:rsidR="008154F1" w:rsidRDefault="008154F1" w:rsidP="008154F1">
            <w:pPr>
              <w:spacing w:line="360" w:lineRule="atLeast"/>
              <w:ind w:leftChars="50" w:left="120" w:rightChars="50" w:right="120"/>
              <w:jc w:val="center"/>
              <w:rPr>
                <w:rFonts w:eastAsia="標楷體"/>
                <w:bCs/>
                <w:szCs w:val="28"/>
              </w:rPr>
            </w:pPr>
            <w:r>
              <w:rPr>
                <w:rFonts w:ascii="標楷體" w:eastAsia="標楷體" w:hAnsi="標楷體"/>
                <w:snapToGrid w:val="0"/>
                <w:color w:val="000000"/>
                <w:kern w:val="0"/>
              </w:rPr>
              <w:t>10</w:t>
            </w:r>
            <w:r>
              <w:rPr>
                <w:rFonts w:ascii="標楷體" w:eastAsia="標楷體" w:hAnsi="標楷體" w:hint="eastAsia"/>
                <w:snapToGrid w:val="0"/>
                <w:color w:val="000000"/>
                <w:kern w:val="0"/>
              </w:rPr>
              <w:t>9</w:t>
            </w:r>
            <w:r w:rsidRPr="00E210A0">
              <w:rPr>
                <w:rFonts w:ascii="標楷體" w:eastAsia="標楷體" w:hAnsi="標楷體"/>
                <w:snapToGrid w:val="0"/>
                <w:color w:val="000000"/>
                <w:kern w:val="0"/>
              </w:rPr>
              <w:t>內調</w:t>
            </w:r>
            <w:r w:rsidR="00A30548">
              <w:rPr>
                <w:rFonts w:ascii="標楷體" w:eastAsia="標楷體" w:hAnsi="標楷體" w:hint="eastAsia"/>
                <w:snapToGrid w:val="0"/>
                <w:color w:val="000000"/>
                <w:kern w:val="0"/>
              </w:rPr>
              <w:t>00</w:t>
            </w:r>
            <w:r>
              <w:rPr>
                <w:rFonts w:ascii="標楷體" w:eastAsia="標楷體" w:hAnsi="標楷體" w:hint="eastAsia"/>
                <w:snapToGrid w:val="0"/>
                <w:color w:val="000000"/>
                <w:kern w:val="0"/>
              </w:rPr>
              <w:t>88</w:t>
            </w:r>
          </w:p>
        </w:tc>
        <w:tc>
          <w:tcPr>
            <w:tcW w:w="9919" w:type="dxa"/>
          </w:tcPr>
          <w:p w:rsidR="008154F1" w:rsidRPr="004204AD" w:rsidRDefault="008154F1" w:rsidP="008154F1">
            <w:pPr>
              <w:spacing w:line="360" w:lineRule="atLeast"/>
              <w:jc w:val="both"/>
              <w:rPr>
                <w:rFonts w:ascii="標楷體" w:eastAsia="標楷體" w:hAnsi="標楷體"/>
                <w:bCs/>
                <w:szCs w:val="28"/>
              </w:rPr>
            </w:pPr>
            <w:r w:rsidRPr="004204AD">
              <w:rPr>
                <w:rFonts w:ascii="標楷體" w:eastAsia="標楷體" w:hAnsi="標楷體" w:cs="新細明體" w:hint="eastAsia"/>
                <w:sz w:val="23"/>
                <w:szCs w:val="23"/>
              </w:rPr>
              <w:t>◆</w:t>
            </w:r>
            <w:r w:rsidRPr="004204AD">
              <w:rPr>
                <w:rFonts w:ascii="標楷體" w:eastAsia="標楷體" w:hAnsi="標楷體"/>
                <w:sz w:val="23"/>
                <w:szCs w:val="23"/>
              </w:rPr>
              <w:t>產生行政變革績效</w:t>
            </w:r>
            <w:r w:rsidRPr="004204AD">
              <w:rPr>
                <w:rFonts w:ascii="標楷體" w:eastAsia="標楷體" w:hAnsi="標楷體"/>
                <w:sz w:val="23"/>
                <w:szCs w:val="23"/>
              </w:rPr>
              <w:br/>
            </w:r>
            <w:r w:rsidR="00A30548" w:rsidRPr="00A30548">
              <w:rPr>
                <w:rFonts w:ascii="標楷體" w:eastAsia="標楷體" w:hAnsi="標楷體"/>
              </w:rPr>
              <w:t xml:space="preserve">(一)為避免廠商藉一再申請專案核准之方式，規避一般藥品查驗登記審查程序之常規，衛福部業於必要藥品短缺通報登錄及專案核准製造輸入辦法第9條規定，經專案核准製造或輸入者，每次核准期限，最長為1年。期滿前30日得申請展延，每次展延6個月，並以展延2次為限。如屆期仍有短缺，食藥署將責請臨床藥學會及醫學會評估，依評估後之實際藥品短缺情形核駁其展延申請，對此專案進口之產品，食藥署亦已要求廠商提出查驗登記期程，並追蹤是否依期程辦理查驗登記，以避免廠商長期使用專案進口藥品規避國內查驗登記之審核程序。 </w:t>
            </w:r>
            <w:r w:rsidR="00A30548" w:rsidRPr="00A30548">
              <w:rPr>
                <w:rFonts w:ascii="標楷體" w:eastAsia="標楷體" w:hAnsi="標楷體"/>
              </w:rPr>
              <w:br/>
              <w:t xml:space="preserve">(二)食藥署及健保署已藉由橫向聯繫協調合作機制提前部署並整備，加強與醫療端的宣導及溝通。如食藥署接獲藥品短缺通報並評估完成後，除已將評估結果及替代藥品等資訊公告於食藥署藥品供應資訊平台外，亦將前述資訊電郵通知健保署，由健保署協助透過該署全民健康保險資訊網服務系統(Virtual Private Network,簡稱VPN)告知醫療院所，以利臨床醫療人員即時得知相關資訊，俾有效提升信賴感及配合度。 </w:t>
            </w:r>
            <w:r w:rsidR="00A30548" w:rsidRPr="00A30548">
              <w:rPr>
                <w:rFonts w:ascii="標楷體" w:eastAsia="標楷體" w:hAnsi="標楷體"/>
              </w:rPr>
              <w:br/>
              <w:t>(三)為避免國內藥品市場因原料藥供應不及、供貨、囤貨及分配不均等情事，食藥署已預作多項應變措施，並持續關注關鍵藥品原料藥(單一藥證或單一供應來源)之供應，除加速審理自用原料藥輸入申請案，以及提供法規諮詢及文件整備輔導等服務措施之外，並已分別訂定補償紓困辦法及防疫期間藥品分配不均之處理指引，除強化國內藥品之妥善分配，更藉此協助國內製藥業者擴增原料藥多元來源，以分散風險，確保民眾及醫療機構用藥無虞。</w:t>
            </w:r>
          </w:p>
        </w:tc>
        <w:tc>
          <w:tcPr>
            <w:tcW w:w="3415" w:type="dxa"/>
          </w:tcPr>
          <w:p w:rsidR="008154F1" w:rsidRPr="000150F7" w:rsidRDefault="008154F1" w:rsidP="008154F1">
            <w:pPr>
              <w:spacing w:line="360" w:lineRule="atLeast"/>
              <w:jc w:val="both"/>
              <w:rPr>
                <w:rFonts w:ascii="標楷體" w:eastAsia="標楷體" w:hAnsi="標楷體"/>
                <w:bCs/>
                <w:szCs w:val="28"/>
              </w:rPr>
            </w:pPr>
            <w:r w:rsidRPr="000150F7">
              <w:rPr>
                <w:rFonts w:ascii="標楷體" w:eastAsia="標楷體" w:hAnsi="標楷體"/>
                <w:color w:val="000000"/>
                <w:kern w:val="0"/>
              </w:rPr>
              <w:t>10</w:t>
            </w:r>
            <w:r w:rsidRPr="000150F7">
              <w:rPr>
                <w:rFonts w:ascii="標楷體" w:eastAsia="標楷體" w:hAnsi="標楷體" w:hint="eastAsia"/>
                <w:color w:val="000000"/>
                <w:kern w:val="0"/>
              </w:rPr>
              <w:t>9</w:t>
            </w:r>
            <w:r w:rsidRPr="000150F7">
              <w:rPr>
                <w:rFonts w:ascii="標楷體" w:eastAsia="標楷體" w:hAnsi="標楷體"/>
                <w:color w:val="000000"/>
                <w:kern w:val="0"/>
              </w:rPr>
              <w:t>/</w:t>
            </w:r>
            <w:r w:rsidRPr="000150F7">
              <w:rPr>
                <w:rFonts w:ascii="標楷體" w:eastAsia="標楷體" w:hAnsi="標楷體" w:hint="eastAsia"/>
                <w:color w:val="000000"/>
                <w:kern w:val="0"/>
              </w:rPr>
              <w:t>1</w:t>
            </w:r>
            <w:r w:rsidRPr="000150F7">
              <w:rPr>
                <w:rFonts w:ascii="標楷體" w:eastAsia="標楷體" w:hAnsi="標楷體"/>
                <w:color w:val="000000"/>
                <w:kern w:val="0"/>
              </w:rPr>
              <w:t>1/1</w:t>
            </w:r>
            <w:r w:rsidRPr="000150F7">
              <w:rPr>
                <w:rFonts w:ascii="標楷體" w:eastAsia="標楷體" w:hAnsi="標楷體" w:hint="eastAsia"/>
                <w:color w:val="000000"/>
                <w:kern w:val="0"/>
              </w:rPr>
              <w:t>7</w:t>
            </w:r>
            <w:r w:rsidRPr="000150F7">
              <w:rPr>
                <w:rFonts w:ascii="標楷體" w:eastAsia="標楷體" w:hAnsi="標楷體"/>
                <w:sz w:val="23"/>
                <w:szCs w:val="23"/>
              </w:rPr>
              <w:t>內政及族群、外交及僑政委員會第6屆第2次</w:t>
            </w:r>
            <w:r w:rsidRPr="000150F7">
              <w:rPr>
                <w:rFonts w:ascii="標楷體" w:eastAsia="標楷體" w:hAnsi="標楷體"/>
                <w:color w:val="000000"/>
                <w:kern w:val="0"/>
              </w:rPr>
              <w:t>聯席會議決議：結案存查</w:t>
            </w:r>
          </w:p>
        </w:tc>
      </w:tr>
    </w:tbl>
    <w:p w:rsidR="008E6A2A" w:rsidRPr="00725603" w:rsidRDefault="008E6A2A" w:rsidP="0021760F">
      <w:pPr>
        <w:snapToGrid w:val="0"/>
        <w:spacing w:beforeLines="100" w:before="360" w:line="240" w:lineRule="atLeast"/>
        <w:ind w:leftChars="6" w:left="866" w:hangingChars="304" w:hanging="852"/>
        <w:rPr>
          <w:rFonts w:ascii="標楷體" w:eastAsia="標楷體" w:hAnsi="標楷體"/>
          <w:b/>
          <w:bCs/>
          <w:sz w:val="28"/>
        </w:rPr>
      </w:pPr>
    </w:p>
    <w:sectPr w:rsidR="008E6A2A" w:rsidRPr="00725603"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1A" w:rsidRDefault="00D4091A" w:rsidP="008E6A2A">
      <w:r>
        <w:separator/>
      </w:r>
    </w:p>
  </w:endnote>
  <w:endnote w:type="continuationSeparator" w:id="0">
    <w:p w:rsidR="00D4091A" w:rsidRDefault="00D4091A"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116231">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116231" w:rsidRPr="00530BF4">
      <w:rPr>
        <w:rFonts w:eastAsia="標楷體"/>
      </w:rPr>
      <w:fldChar w:fldCharType="begin"/>
    </w:r>
    <w:r w:rsidRPr="00530BF4">
      <w:rPr>
        <w:rFonts w:eastAsia="標楷體"/>
      </w:rPr>
      <w:instrText xml:space="preserve"> PAGE   \* MERGEFORMAT </w:instrText>
    </w:r>
    <w:r w:rsidR="00116231" w:rsidRPr="00530BF4">
      <w:rPr>
        <w:rFonts w:eastAsia="標楷體"/>
      </w:rPr>
      <w:fldChar w:fldCharType="separate"/>
    </w:r>
    <w:r w:rsidR="003F01F9">
      <w:rPr>
        <w:rFonts w:eastAsia="標楷體"/>
        <w:noProof/>
      </w:rPr>
      <w:t>1</w:t>
    </w:r>
    <w:r w:rsidR="00116231" w:rsidRPr="00530BF4">
      <w:rPr>
        <w:rFonts w:eastAsia="標楷體"/>
      </w:rPr>
      <w:fldChar w:fldCharType="end"/>
    </w:r>
    <w:r w:rsidRPr="00530BF4">
      <w:rPr>
        <w:rFonts w:eastAsia="標楷體" w:hint="eastAsia"/>
      </w:rPr>
      <w:t>頁，共</w:t>
    </w:r>
    <w:r w:rsidR="00116231" w:rsidRPr="00116231">
      <w:rPr>
        <w:rFonts w:eastAsia="標楷體"/>
        <w:noProof/>
      </w:rPr>
      <w:fldChar w:fldCharType="begin"/>
    </w:r>
    <w:r w:rsidR="00116231" w:rsidRPr="00116231">
      <w:rPr>
        <w:rFonts w:eastAsia="標楷體"/>
        <w:noProof/>
      </w:rPr>
      <w:instrText xml:space="preserve"> NUMPAGES  \* Arabic  \* MERGEFORMAT </w:instrText>
    </w:r>
    <w:r w:rsidR="00116231" w:rsidRPr="00116231">
      <w:rPr>
        <w:rFonts w:eastAsia="標楷體"/>
        <w:noProof/>
      </w:rPr>
      <w:fldChar w:fldCharType="separate"/>
    </w:r>
    <w:r w:rsidR="003F01F9">
      <w:rPr>
        <w:rFonts w:eastAsia="標楷體"/>
        <w:noProof/>
      </w:rPr>
      <w:t>1</w:t>
    </w:r>
    <w:r w:rsidR="00116231" w:rsidRPr="00116231">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1A" w:rsidRDefault="00D4091A" w:rsidP="008E6A2A">
      <w:r>
        <w:separator/>
      </w:r>
    </w:p>
  </w:footnote>
  <w:footnote w:type="continuationSeparator" w:id="0">
    <w:p w:rsidR="00D4091A" w:rsidRDefault="00D4091A"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C400A"/>
    <w:rsid w:val="000D173D"/>
    <w:rsid w:val="000D2F33"/>
    <w:rsid w:val="00107F76"/>
    <w:rsid w:val="00116231"/>
    <w:rsid w:val="00116C5C"/>
    <w:rsid w:val="00132E54"/>
    <w:rsid w:val="00135D2D"/>
    <w:rsid w:val="001A630D"/>
    <w:rsid w:val="001C2DB1"/>
    <w:rsid w:val="001C2FC4"/>
    <w:rsid w:val="001F18D3"/>
    <w:rsid w:val="00203463"/>
    <w:rsid w:val="0021760F"/>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01F9"/>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05C5"/>
    <w:rsid w:val="005D55B3"/>
    <w:rsid w:val="006051B8"/>
    <w:rsid w:val="00605E93"/>
    <w:rsid w:val="00615817"/>
    <w:rsid w:val="006305BF"/>
    <w:rsid w:val="006B1797"/>
    <w:rsid w:val="006C264B"/>
    <w:rsid w:val="007032D2"/>
    <w:rsid w:val="00720393"/>
    <w:rsid w:val="00725603"/>
    <w:rsid w:val="007336A7"/>
    <w:rsid w:val="00743288"/>
    <w:rsid w:val="0078237E"/>
    <w:rsid w:val="00782BFE"/>
    <w:rsid w:val="007D2051"/>
    <w:rsid w:val="008154F1"/>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198D"/>
    <w:rsid w:val="009F7F28"/>
    <w:rsid w:val="00A004DD"/>
    <w:rsid w:val="00A20EDD"/>
    <w:rsid w:val="00A275CD"/>
    <w:rsid w:val="00A30548"/>
    <w:rsid w:val="00A37697"/>
    <w:rsid w:val="00A40DAA"/>
    <w:rsid w:val="00A712A6"/>
    <w:rsid w:val="00A9424B"/>
    <w:rsid w:val="00AB71AC"/>
    <w:rsid w:val="00AB7B64"/>
    <w:rsid w:val="00AC0AA9"/>
    <w:rsid w:val="00AD17AD"/>
    <w:rsid w:val="00AD34E8"/>
    <w:rsid w:val="00AE59BC"/>
    <w:rsid w:val="00AF0811"/>
    <w:rsid w:val="00AF3739"/>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32C4D"/>
    <w:rsid w:val="00C4036E"/>
    <w:rsid w:val="00C6169B"/>
    <w:rsid w:val="00C72582"/>
    <w:rsid w:val="00C744B1"/>
    <w:rsid w:val="00CB2E8C"/>
    <w:rsid w:val="00CC2941"/>
    <w:rsid w:val="00CC4AAE"/>
    <w:rsid w:val="00CD3A33"/>
    <w:rsid w:val="00D064A0"/>
    <w:rsid w:val="00D27C46"/>
    <w:rsid w:val="00D4091A"/>
    <w:rsid w:val="00D47D4D"/>
    <w:rsid w:val="00D76EC1"/>
    <w:rsid w:val="00D87FA8"/>
    <w:rsid w:val="00D97F24"/>
    <w:rsid w:val="00DA6DB5"/>
    <w:rsid w:val="00DB76A3"/>
    <w:rsid w:val="00DD0571"/>
    <w:rsid w:val="00DE4DEE"/>
    <w:rsid w:val="00DE6C77"/>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監察院</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3</cp:revision>
  <cp:lastPrinted>2021-05-28T02:01:00Z</cp:lastPrinted>
  <dcterms:created xsi:type="dcterms:W3CDTF">2021-05-28T01:45:00Z</dcterms:created>
  <dcterms:modified xsi:type="dcterms:W3CDTF">2021-05-28T02:01:00Z</dcterms:modified>
</cp:coreProperties>
</file>