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0022</w:t>
            </w:r>
          </w:p>
        </w:tc>
        <w:tc>
          <w:tcPr>
            <w:tcW w:w="5762" w:type="dxa"/>
          </w:tcPr>
          <w:p w:rsidR="001D2C2F" w:rsidRPr="001D2C2F" w:rsidRDefault="001D2C2F" w:rsidP="001D2C2F">
            <w:pPr>
              <w:spacing w:line="360" w:lineRule="atLeast"/>
              <w:jc w:val="both"/>
              <w:rPr>
                <w:rFonts w:eastAsia="標楷體" w:hint="eastAsia"/>
                <w:bCs/>
              </w:rPr>
            </w:pPr>
            <w:r w:rsidRPr="001D2C2F">
              <w:rPr>
                <w:rFonts w:eastAsia="標楷體" w:hint="eastAsia"/>
                <w:bCs/>
              </w:rPr>
              <w:t>◆產生行政變革績效</w:t>
            </w:r>
          </w:p>
          <w:p w:rsidR="001D2C2F" w:rsidRDefault="001D2C2F" w:rsidP="001D2C2F">
            <w:pPr>
              <w:spacing w:line="360" w:lineRule="atLeast"/>
              <w:jc w:val="both"/>
              <w:rPr>
                <w:rFonts w:eastAsia="標楷體"/>
                <w:bCs/>
              </w:rPr>
            </w:pPr>
            <w:r w:rsidRPr="001D2C2F">
              <w:rPr>
                <w:rFonts w:eastAsia="標楷體" w:hint="eastAsia"/>
                <w:bCs/>
              </w:rPr>
              <w:t>一、「花蓮國際雕塑文化園區」案，將以戶外雕塑公園為目標，配合整地、綠美化、植裁及簡易景觀，設置雕塑作品，形塑為一處可供在地民眾及旅客休閒之特色公園。</w:t>
            </w:r>
          </w:p>
          <w:p w:rsidR="00FF343B" w:rsidRPr="0078237E" w:rsidRDefault="001D2C2F" w:rsidP="001D2C2F">
            <w:pPr>
              <w:spacing w:afterLines="50" w:after="180"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1D2C2F">
              <w:rPr>
                <w:rFonts w:eastAsia="標楷體" w:hint="eastAsia"/>
                <w:bCs/>
              </w:rPr>
              <w:t>二、花蓮縣政府於</w:t>
            </w:r>
            <w:r w:rsidRPr="001D2C2F">
              <w:rPr>
                <w:rFonts w:eastAsia="標楷體" w:hint="eastAsia"/>
                <w:bCs/>
              </w:rPr>
              <w:t>99</w:t>
            </w:r>
            <w:r w:rsidRPr="001D2C2F">
              <w:rPr>
                <w:rFonts w:eastAsia="標楷體" w:hint="eastAsia"/>
                <w:bCs/>
              </w:rPr>
              <w:t>年辦理北濱海岸舊漁村休閒設施案，基於以符合花蓮縣民之期待及招攬觀光客之公眾利益</w:t>
            </w:r>
            <w:bookmarkStart w:id="0" w:name="_GoBack"/>
            <w:bookmarkEnd w:id="0"/>
            <w:r w:rsidRPr="001D2C2F">
              <w:rPr>
                <w:rFonts w:eastAsia="標楷體" w:hint="eastAsia"/>
                <w:bCs/>
              </w:rPr>
              <w:t>為考量，並期能有效利用該縣轄內新生之閒置空地，提供兼具安全與休憩之活動場所，惟對於辦理後續補正程序似有不周延及未妥之處，該府將加強同仁對本案專業知識之充實及調配適當人力，強化溝通、協調辦理後續補報相關事宜，期能將本設施辦理完臻，以提供縣民使用。</w:t>
            </w:r>
            <w:r w:rsidR="007336A7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財政及經濟委員會108.05.08第5屆第62次會議決議 : 結案存查。</w:t>
            </w:r>
          </w:p>
        </w:tc>
      </w:tr>
    </w:tbl>
    <w:p w:rsidR="008E6A2A" w:rsidRDefault="008E6A2A" w:rsidP="001D2C2F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1" w:rsidRDefault="00AF0811" w:rsidP="008E6A2A">
      <w:r>
        <w:separator/>
      </w:r>
    </w:p>
  </w:endnote>
  <w:endnote w:type="continuationSeparator" w:id="0">
    <w:p w:rsidR="00AF0811" w:rsidRDefault="00AF081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ED521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1" w:rsidRDefault="00AF0811" w:rsidP="008E6A2A">
      <w:r>
        <w:separator/>
      </w:r>
    </w:p>
  </w:footnote>
  <w:footnote w:type="continuationSeparator" w:id="0">
    <w:p w:rsidR="00AF0811" w:rsidRDefault="00AF081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D2C2F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795348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215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E94CFFCA-A0FB-42FB-B662-49DBC202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監察院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廖春媛</cp:lastModifiedBy>
  <cp:revision>3</cp:revision>
  <cp:lastPrinted>2010-06-29T02:42:00Z</cp:lastPrinted>
  <dcterms:created xsi:type="dcterms:W3CDTF">2021-06-21T03:40:00Z</dcterms:created>
  <dcterms:modified xsi:type="dcterms:W3CDTF">2021-06-21T03:41:00Z</dcterms:modified>
</cp:coreProperties>
</file>