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0032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本件臺北市政府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7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15</w:t>
            </w:r>
            <w:r>
              <w:rPr>
                <w:rFonts w:eastAsia="標楷體" w:hint="eastAsia"/>
                <w:bCs/>
              </w:rPr>
              <w:t>日府授交安字第</w:t>
            </w:r>
            <w:r>
              <w:rPr>
                <w:rFonts w:eastAsia="標楷體" w:hint="eastAsia"/>
                <w:bCs/>
              </w:rPr>
              <w:t>1090121506</w:t>
            </w:r>
            <w:r>
              <w:rPr>
                <w:rFonts w:eastAsia="標楷體" w:hint="eastAsia"/>
                <w:bCs/>
              </w:rPr>
              <w:t>號函復檢討改善情形略以：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一、改善該市行車事故鑑定案件及覆議案件之客觀跡證分析，具體作法包括：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１、鑑定會及覆議會召開前，整理司法機關相關事證，認有證據待補強之處，於會前進行現場勘察或通知現場處理員警及當事人陳述。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２、強化鑑定及覆議意見書表達方式，使用明確用語扼要陳述，以利當事人、司法機關易於明瞭鑑定意見。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３、就申請覆議之爭點於覆議意見書中敘明。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４、增加鑑定分析輔助工具。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二、強化公車行駛紀錄及行車安全設備：該市已要求轄內營業用車輛須裝設行車紀錄器及保存行車紀錄資料；自</w:t>
            </w:r>
            <w:r>
              <w:rPr>
                <w:rFonts w:eastAsia="標楷體" w:hint="eastAsia"/>
                <w:bCs/>
              </w:rPr>
              <w:t xml:space="preserve"> 100</w:t>
            </w:r>
            <w:r>
              <w:rPr>
                <w:rFonts w:eastAsia="標楷體" w:hint="eastAsia"/>
                <w:bCs/>
              </w:rPr>
              <w:t>年起推廣公車業者加裝車內及車外裝置監視錄影器；自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年起，大客車依法應裝設行車視野輔助設備，而北市於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 w:hint="eastAsia"/>
                <w:bCs/>
              </w:rPr>
              <w:t>月已全面提前完成設備裝設，全面檢視車輛轉彎蜂鳴器確保功能正常，以有效警示駕駛員及提醒其他用路人確保安全。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三、檢討「機慢車停等區」之劃設範圍及宣導，減少汽、機車因混流壓縮行車空間所肇生之危險一節，由臺北市政府警察局強化尖峰時段勤務派遣等執法工作，並與交通局積極利用各項宣導管道，加強交通安全宣導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司法及獄政委員會109.07.29第5屆第74次會議決議 : 結案存查。</w:t>
            </w:r>
          </w:p>
        </w:tc>
      </w:tr>
    </w:tbl>
    <w:p w:rsidR="008E6A2A" w:rsidRDefault="008E6A2A" w:rsidP="00723A5C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B1" w:rsidRDefault="002169B1" w:rsidP="008E6A2A">
      <w:r>
        <w:separator/>
      </w:r>
    </w:p>
  </w:endnote>
  <w:endnote w:type="continuationSeparator" w:id="0">
    <w:p w:rsidR="002169B1" w:rsidRDefault="002169B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97507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97507D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97507D" w:rsidRPr="00530BF4">
      <w:rPr>
        <w:rFonts w:eastAsia="標楷體"/>
      </w:rPr>
      <w:fldChar w:fldCharType="separate"/>
    </w:r>
    <w:r w:rsidR="00B456CD">
      <w:rPr>
        <w:rFonts w:eastAsia="標楷體"/>
        <w:noProof/>
      </w:rPr>
      <w:t>1</w:t>
    </w:r>
    <w:r w:rsidR="0097507D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B456CD">
      <w:fldChar w:fldCharType="begin"/>
    </w:r>
    <w:r w:rsidR="00B456CD">
      <w:instrText xml:space="preserve"> NUMPAGES  \* Arabic  \* MERGEFORMAT </w:instrText>
    </w:r>
    <w:r w:rsidR="00B456CD">
      <w:fldChar w:fldCharType="separate"/>
    </w:r>
    <w:r w:rsidR="00B456CD" w:rsidRPr="00B456CD">
      <w:rPr>
        <w:rFonts w:eastAsia="標楷體"/>
        <w:noProof/>
      </w:rPr>
      <w:t>1</w:t>
    </w:r>
    <w:r w:rsidR="00B456CD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B1" w:rsidRDefault="002169B1" w:rsidP="008E6A2A">
      <w:r>
        <w:separator/>
      </w:r>
    </w:p>
  </w:footnote>
  <w:footnote w:type="continuationSeparator" w:id="0">
    <w:p w:rsidR="002169B1" w:rsidRDefault="002169B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169B1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23A5C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7507D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56CD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監察院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2021-06-02T08:01:00Z</cp:lastPrinted>
  <dcterms:created xsi:type="dcterms:W3CDTF">2021-06-02T07:06:00Z</dcterms:created>
  <dcterms:modified xsi:type="dcterms:W3CDTF">2021-06-02T08:01:00Z</dcterms:modified>
</cp:coreProperties>
</file>