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108</w:t>
            </w:r>
            <w:r>
              <w:rPr>
                <w:rFonts w:eastAsia="標楷體" w:hint="eastAsia"/>
                <w:bCs/>
                <w:szCs w:val="28"/>
              </w:rPr>
              <w:t>國調</w:t>
            </w:r>
            <w:r>
              <w:rPr>
                <w:rFonts w:eastAsia="標楷體" w:hint="eastAsia"/>
                <w:bCs/>
                <w:szCs w:val="28"/>
              </w:rPr>
              <w:t>0007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1.</w:t>
            </w:r>
            <w:r>
              <w:rPr>
                <w:rFonts w:eastAsia="標楷體" w:hint="eastAsia"/>
                <w:bCs/>
              </w:rPr>
              <w:t>國防部依本院意見變更現役軍人違失行政責任追究原則，改採「以懲罰為原則，輔以懲戒」之新制，訂定</w:t>
            </w:r>
            <w:r>
              <w:rPr>
                <w:rFonts w:eastAsia="標楷體" w:hint="eastAsia"/>
                <w:bCs/>
              </w:rPr>
              <w:t xml:space="preserve"> 6 </w:t>
            </w:r>
            <w:r>
              <w:rPr>
                <w:rFonts w:eastAsia="標楷體" w:hint="eastAsia"/>
                <w:bCs/>
              </w:rPr>
              <w:t>種行為態樣；程序方面，由權責單位召開評議會研討，逐級層報國防部審議後，移送監察院審查。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2.</w:t>
            </w:r>
            <w:r>
              <w:rPr>
                <w:rFonts w:eastAsia="標楷體" w:hint="eastAsia"/>
                <w:bCs/>
              </w:rPr>
              <w:t>後續將強化宣導並管制滾動調修。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◆促成法令增修績效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國防部於</w:t>
            </w:r>
            <w:r>
              <w:rPr>
                <w:rFonts w:eastAsia="標楷體" w:hint="eastAsia"/>
                <w:bCs/>
              </w:rPr>
              <w:t>108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 xml:space="preserve">3 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 xml:space="preserve"> 14 </w:t>
            </w:r>
            <w:r>
              <w:rPr>
                <w:rFonts w:eastAsia="標楷體" w:hint="eastAsia"/>
                <w:bCs/>
              </w:rPr>
              <w:t>日以國資人力字第</w:t>
            </w:r>
            <w:r>
              <w:rPr>
                <w:rFonts w:eastAsia="標楷體" w:hint="eastAsia"/>
                <w:bCs/>
              </w:rPr>
              <w:t xml:space="preserve"> 1080000645 </w:t>
            </w:r>
            <w:r>
              <w:rPr>
                <w:rFonts w:eastAsia="標楷體" w:hint="eastAsia"/>
                <w:bCs/>
              </w:rPr>
              <w:t>號令頒全軍「上校階以上軍官違法失職符合公懲法送請監察院審查」移送態樣及作業流程。</w:t>
            </w:r>
          </w:p>
          <w:p w:rsidR="00FF343B" w:rsidRPr="0078237E" w:rsidRDefault="00FF343B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國防及情報、司法及獄政委員會108.06.20第5屆第15次聯席會議決議 : 結案存查。</w:t>
            </w:r>
          </w:p>
        </w:tc>
      </w:tr>
    </w:tbl>
    <w:p w:rsidR="008E6A2A" w:rsidRDefault="008E6A2A" w:rsidP="00D72BBF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7"/>
      <w:footerReference w:type="even" r:id="rId8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23" w:rsidRDefault="00724623" w:rsidP="008E6A2A">
      <w:r>
        <w:separator/>
      </w:r>
    </w:p>
  </w:endnote>
  <w:endnote w:type="continuationSeparator" w:id="0">
    <w:p w:rsidR="00724623" w:rsidRDefault="00724623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2A" w:rsidRDefault="00A8088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23" w:rsidRDefault="00724623" w:rsidP="008E6A2A">
      <w:r>
        <w:separator/>
      </w:r>
    </w:p>
  </w:footnote>
  <w:footnote w:type="continuationSeparator" w:id="0">
    <w:p w:rsidR="00724623" w:rsidRDefault="00724623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監察院國防及情報委員會調查報告結案情形一覽表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226FF"/>
    <w:rsid w:val="006305BF"/>
    <w:rsid w:val="006B1797"/>
    <w:rsid w:val="006B665D"/>
    <w:rsid w:val="006C264B"/>
    <w:rsid w:val="007032D2"/>
    <w:rsid w:val="00720393"/>
    <w:rsid w:val="00724623"/>
    <w:rsid w:val="007336A7"/>
    <w:rsid w:val="0073446B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80887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2BBF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B3B09A-5AB6-46CA-83BE-28143D3A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184</Characters>
  <Application>Microsoft Office Word</Application>
  <DocSecurity>0</DocSecurity>
  <Lines>30</Lines>
  <Paragraphs>26</Paragraphs>
  <ScaleCrop>false</ScaleCrop>
  <Company>監察院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邱俊能</cp:lastModifiedBy>
  <cp:revision>2</cp:revision>
  <cp:lastPrinted>2010-06-29T02:42:00Z</cp:lastPrinted>
  <dcterms:created xsi:type="dcterms:W3CDTF">2021-05-05T02:11:00Z</dcterms:created>
  <dcterms:modified xsi:type="dcterms:W3CDTF">2021-05-05T02:11:00Z</dcterms:modified>
</cp:coreProperties>
</file>