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內調</w:t>
            </w:r>
            <w:r>
              <w:rPr>
                <w:rFonts w:eastAsia="標楷體" w:hint="eastAsia"/>
                <w:bCs/>
                <w:szCs w:val="28"/>
              </w:rPr>
              <w:t>0029</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１、疾管署於</w:t>
            </w:r>
            <w:r>
              <w:rPr>
                <w:rFonts w:eastAsia="標楷體" w:hint="eastAsia"/>
                <w:bCs/>
              </w:rPr>
              <w:t>108</w:t>
            </w:r>
            <w:r>
              <w:rPr>
                <w:rFonts w:eastAsia="標楷體" w:hint="eastAsia"/>
                <w:bCs/>
              </w:rPr>
              <w:t>年</w:t>
            </w:r>
            <w:r>
              <w:rPr>
                <w:rFonts w:eastAsia="標楷體" w:hint="eastAsia"/>
                <w:bCs/>
              </w:rPr>
              <w:t>2</w:t>
            </w:r>
            <w:r>
              <w:rPr>
                <w:rFonts w:eastAsia="標楷體" w:hint="eastAsia"/>
                <w:bCs/>
              </w:rPr>
              <w:t>月</w:t>
            </w:r>
            <w:r>
              <w:rPr>
                <w:rFonts w:eastAsia="標楷體" w:hint="eastAsia"/>
                <w:bCs/>
              </w:rPr>
              <w:t>27</w:t>
            </w:r>
            <w:r>
              <w:rPr>
                <w:rFonts w:eastAsia="標楷體" w:hint="eastAsia"/>
                <w:bCs/>
              </w:rPr>
              <w:t>日公告「</w:t>
            </w:r>
            <w:r>
              <w:rPr>
                <w:rFonts w:eastAsia="標楷體" w:hint="eastAsia"/>
                <w:bCs/>
              </w:rPr>
              <w:t>108</w:t>
            </w:r>
            <w:r>
              <w:rPr>
                <w:rFonts w:eastAsia="標楷體" w:hint="eastAsia"/>
                <w:bCs/>
              </w:rPr>
              <w:t>年度醫院感染管制查核基準」，將高風險單位全部工作人員及全院新進人員</w:t>
            </w:r>
            <w:r>
              <w:rPr>
                <w:rFonts w:eastAsia="標楷體" w:hint="eastAsia"/>
                <w:bCs/>
              </w:rPr>
              <w:t>MMR</w:t>
            </w:r>
            <w:r>
              <w:rPr>
                <w:rFonts w:eastAsia="標楷體" w:hint="eastAsia"/>
                <w:bCs/>
              </w:rPr>
              <w:t>疫苗接種情形由「優良項目」調整至查核基準「需符合項目」。</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２、</w:t>
            </w:r>
            <w:r>
              <w:rPr>
                <w:rFonts w:eastAsia="標楷體" w:hint="eastAsia"/>
                <w:bCs/>
              </w:rPr>
              <w:t>108</w:t>
            </w:r>
            <w:r>
              <w:rPr>
                <w:rFonts w:eastAsia="標楷體" w:hint="eastAsia"/>
                <w:bCs/>
              </w:rPr>
              <w:t>年</w:t>
            </w:r>
            <w:r>
              <w:rPr>
                <w:rFonts w:eastAsia="標楷體" w:hint="eastAsia"/>
                <w:bCs/>
              </w:rPr>
              <w:t>4</w:t>
            </w:r>
            <w:r>
              <w:rPr>
                <w:rFonts w:eastAsia="標楷體" w:hint="eastAsia"/>
                <w:bCs/>
              </w:rPr>
              <w:t>月</w:t>
            </w:r>
            <w:r>
              <w:rPr>
                <w:rFonts w:eastAsia="標楷體" w:hint="eastAsia"/>
                <w:bCs/>
              </w:rPr>
              <w:t>16</w:t>
            </w:r>
            <w:r>
              <w:rPr>
                <w:rFonts w:eastAsia="標楷體" w:hint="eastAsia"/>
                <w:bCs/>
              </w:rPr>
              <w:t>日函請地方政府衛生局轉知轄區醫院，儘速安排</w:t>
            </w:r>
            <w:r>
              <w:rPr>
                <w:rFonts w:eastAsia="標楷體" w:hint="eastAsia"/>
                <w:bCs/>
              </w:rPr>
              <w:t>1981</w:t>
            </w:r>
            <w:r>
              <w:rPr>
                <w:rFonts w:eastAsia="標楷體" w:hint="eastAsia"/>
                <w:bCs/>
              </w:rPr>
              <w:t>年</w:t>
            </w:r>
            <w:r>
              <w:rPr>
                <w:rFonts w:eastAsia="標楷體" w:hint="eastAsia"/>
                <w:bCs/>
              </w:rPr>
              <w:t>(</w:t>
            </w:r>
            <w:r>
              <w:rPr>
                <w:rFonts w:eastAsia="標楷體" w:hint="eastAsia"/>
                <w:bCs/>
              </w:rPr>
              <w:t>含</w:t>
            </w:r>
            <w:r>
              <w:rPr>
                <w:rFonts w:eastAsia="標楷體" w:hint="eastAsia"/>
                <w:bCs/>
              </w:rPr>
              <w:t>)</w:t>
            </w:r>
            <w:r>
              <w:rPr>
                <w:rFonts w:eastAsia="標楷體" w:hint="eastAsia"/>
                <w:bCs/>
              </w:rPr>
              <w:t>以後出生之第一線易接觸到病人的醫事及非醫事人員接種</w:t>
            </w:r>
            <w:r>
              <w:rPr>
                <w:rFonts w:eastAsia="標楷體" w:hint="eastAsia"/>
                <w:bCs/>
              </w:rPr>
              <w:t>MMR</w:t>
            </w:r>
            <w:r>
              <w:rPr>
                <w:rFonts w:eastAsia="標楷體" w:hint="eastAsia"/>
                <w:bCs/>
              </w:rPr>
              <w:t>疫苗。</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３、已向教育部學校衛生委員會提案建議將麻疹及德國麻疹</w:t>
            </w:r>
            <w:r>
              <w:rPr>
                <w:rFonts w:eastAsia="標楷體" w:hint="eastAsia"/>
                <w:bCs/>
              </w:rPr>
              <w:t>IgG</w:t>
            </w:r>
            <w:r>
              <w:rPr>
                <w:rFonts w:eastAsia="標楷體" w:hint="eastAsia"/>
                <w:bCs/>
              </w:rPr>
              <w:t>抗體檢測納入大學新生入學健康檢查之實施項目。</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４、訂定「麻疹疫調、接觸者追蹤管理及群聚事件處理原則」並於</w:t>
            </w:r>
            <w:r>
              <w:rPr>
                <w:rFonts w:eastAsia="標楷體" w:hint="eastAsia"/>
                <w:bCs/>
              </w:rPr>
              <w:t>108</w:t>
            </w:r>
            <w:r>
              <w:rPr>
                <w:rFonts w:eastAsia="標楷體" w:hint="eastAsia"/>
                <w:bCs/>
              </w:rPr>
              <w:t>年</w:t>
            </w:r>
            <w:r>
              <w:rPr>
                <w:rFonts w:eastAsia="標楷體" w:hint="eastAsia"/>
                <w:bCs/>
              </w:rPr>
              <w:t>6</w:t>
            </w:r>
            <w:r>
              <w:rPr>
                <w:rFonts w:eastAsia="標楷體" w:hint="eastAsia"/>
                <w:bCs/>
              </w:rPr>
              <w:t>月</w:t>
            </w:r>
            <w:r>
              <w:rPr>
                <w:rFonts w:eastAsia="標楷體" w:hint="eastAsia"/>
                <w:bCs/>
              </w:rPr>
              <w:t>5</w:t>
            </w:r>
            <w:r>
              <w:rPr>
                <w:rFonts w:eastAsia="標楷體" w:hint="eastAsia"/>
                <w:bCs/>
              </w:rPr>
              <w:t>日公布，提供中央與地方衛生主管機關執行麻疹防疫作為之依循。</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５、疾管署已於</w:t>
            </w:r>
            <w:r>
              <w:rPr>
                <w:rFonts w:eastAsia="標楷體" w:hint="eastAsia"/>
                <w:bCs/>
              </w:rPr>
              <w:t>108</w:t>
            </w:r>
            <w:r>
              <w:rPr>
                <w:rFonts w:eastAsia="標楷體" w:hint="eastAsia"/>
                <w:bCs/>
              </w:rPr>
              <w:t>年委託臺灣大學進行「臺灣國民免疫力調查研究」，建立國人各年齡層之麻疹抗體盛行率資料，執行期間為</w:t>
            </w:r>
            <w:r>
              <w:rPr>
                <w:rFonts w:eastAsia="標楷體" w:hint="eastAsia"/>
                <w:bCs/>
              </w:rPr>
              <w:t>108</w:t>
            </w:r>
            <w:r>
              <w:rPr>
                <w:rFonts w:eastAsia="標楷體" w:hint="eastAsia"/>
                <w:bCs/>
              </w:rPr>
              <w:t>年</w:t>
            </w:r>
            <w:r>
              <w:rPr>
                <w:rFonts w:eastAsia="標楷體" w:hint="eastAsia"/>
                <w:bCs/>
              </w:rPr>
              <w:t>1</w:t>
            </w:r>
            <w:r>
              <w:rPr>
                <w:rFonts w:eastAsia="標楷體" w:hint="eastAsia"/>
                <w:bCs/>
              </w:rPr>
              <w:t>月至</w:t>
            </w:r>
            <w:r>
              <w:rPr>
                <w:rFonts w:eastAsia="標楷體" w:hint="eastAsia"/>
                <w:bCs/>
              </w:rPr>
              <w:t>109</w:t>
            </w:r>
            <w:r>
              <w:rPr>
                <w:rFonts w:eastAsia="標楷體" w:hint="eastAsia"/>
                <w:bCs/>
              </w:rPr>
              <w:t>年</w:t>
            </w:r>
            <w:r>
              <w:rPr>
                <w:rFonts w:eastAsia="標楷體" w:hint="eastAsia"/>
                <w:bCs/>
              </w:rPr>
              <w:t>12</w:t>
            </w:r>
            <w:r>
              <w:rPr>
                <w:rFonts w:eastAsia="標楷體" w:hint="eastAsia"/>
                <w:bCs/>
              </w:rPr>
              <w:t>月，針對</w:t>
            </w:r>
            <w:r>
              <w:rPr>
                <w:rFonts w:eastAsia="標楷體" w:hint="eastAsia"/>
                <w:bCs/>
              </w:rPr>
              <w:t>1-59</w:t>
            </w:r>
            <w:r>
              <w:rPr>
                <w:rFonts w:eastAsia="標楷體" w:hint="eastAsia"/>
                <w:bCs/>
              </w:rPr>
              <w:t>歲國人進行調查，期建立本土重要疫苗可預防疾病之血清流行病學資料，同時掌握國人各年齡層如麻疹等重要疫苗可預防疾病之免疫力變化趨勢，以提供疫苗政策修訂及防治之參據。</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６、統籌向疫苗廠商議定</w:t>
            </w:r>
            <w:r>
              <w:rPr>
                <w:rFonts w:eastAsia="標楷體" w:hint="eastAsia"/>
                <w:bCs/>
              </w:rPr>
              <w:t xml:space="preserve">MMR </w:t>
            </w:r>
            <w:r>
              <w:rPr>
                <w:rFonts w:eastAsia="標楷體" w:hint="eastAsia"/>
                <w:bCs/>
              </w:rPr>
              <w:t>疫苗價格，自</w:t>
            </w:r>
            <w:r>
              <w:rPr>
                <w:rFonts w:eastAsia="標楷體" w:hint="eastAsia"/>
                <w:bCs/>
              </w:rPr>
              <w:t>108</w:t>
            </w:r>
            <w:r>
              <w:rPr>
                <w:rFonts w:eastAsia="標楷體" w:hint="eastAsia"/>
                <w:bCs/>
              </w:rPr>
              <w:t>年</w:t>
            </w:r>
            <w:r>
              <w:rPr>
                <w:rFonts w:eastAsia="標楷體" w:hint="eastAsia"/>
                <w:bCs/>
              </w:rPr>
              <w:t>9</w:t>
            </w:r>
            <w:r>
              <w:rPr>
                <w:rFonts w:eastAsia="標楷體" w:hint="eastAsia"/>
                <w:bCs/>
              </w:rPr>
              <w:t>月</w:t>
            </w:r>
            <w:r>
              <w:rPr>
                <w:rFonts w:eastAsia="標楷體" w:hint="eastAsia"/>
                <w:bCs/>
              </w:rPr>
              <w:t>2</w:t>
            </w:r>
            <w:r>
              <w:rPr>
                <w:rFonts w:eastAsia="標楷體" w:hint="eastAsia"/>
                <w:bCs/>
              </w:rPr>
              <w:t>日起至</w:t>
            </w:r>
            <w:r>
              <w:rPr>
                <w:rFonts w:eastAsia="標楷體" w:hint="eastAsia"/>
                <w:bCs/>
              </w:rPr>
              <w:t>11</w:t>
            </w:r>
            <w:r>
              <w:rPr>
                <w:rFonts w:eastAsia="標楷體" w:hint="eastAsia"/>
                <w:bCs/>
              </w:rPr>
              <w:t>月</w:t>
            </w:r>
            <w:r>
              <w:rPr>
                <w:rFonts w:eastAsia="標楷體" w:hint="eastAsia"/>
                <w:bCs/>
              </w:rPr>
              <w:t>30</w:t>
            </w:r>
            <w:r>
              <w:rPr>
                <w:rFonts w:eastAsia="標楷體" w:hint="eastAsia"/>
                <w:bCs/>
              </w:rPr>
              <w:t>日，醫療機構接種前述專案對象所需疫苗，可自行向廠商訂購，並由廠商依協商價格提供，截至</w:t>
            </w:r>
            <w:r>
              <w:rPr>
                <w:rFonts w:eastAsia="標楷體" w:hint="eastAsia"/>
                <w:bCs/>
              </w:rPr>
              <w:t>108</w:t>
            </w:r>
            <w:r>
              <w:rPr>
                <w:rFonts w:eastAsia="標楷體" w:hint="eastAsia"/>
                <w:bCs/>
              </w:rPr>
              <w:t>年</w:t>
            </w:r>
            <w:r>
              <w:rPr>
                <w:rFonts w:eastAsia="標楷體" w:hint="eastAsia"/>
                <w:bCs/>
              </w:rPr>
              <w:t>11</w:t>
            </w:r>
            <w:r>
              <w:rPr>
                <w:rFonts w:eastAsia="標楷體" w:hint="eastAsia"/>
                <w:bCs/>
              </w:rPr>
              <w:t>月底，廠商依循前述方式供應醫療機構執行高風險族群對象接種所需疫苗計約</w:t>
            </w:r>
            <w:r>
              <w:rPr>
                <w:rFonts w:eastAsia="標楷體" w:hint="eastAsia"/>
                <w:bCs/>
              </w:rPr>
              <w:t>1</w:t>
            </w:r>
            <w:r>
              <w:rPr>
                <w:rFonts w:eastAsia="標楷體" w:hint="eastAsia"/>
                <w:bCs/>
              </w:rPr>
              <w:t>萬劑。</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７、</w:t>
            </w:r>
            <w:r>
              <w:rPr>
                <w:rFonts w:eastAsia="標楷體" w:hint="eastAsia"/>
                <w:bCs/>
              </w:rPr>
              <w:t>108</w:t>
            </w:r>
            <w:r>
              <w:rPr>
                <w:rFonts w:eastAsia="標楷體" w:hint="eastAsia"/>
                <w:bCs/>
              </w:rPr>
              <w:t>年</w:t>
            </w:r>
            <w:r>
              <w:rPr>
                <w:rFonts w:eastAsia="標楷體" w:hint="eastAsia"/>
                <w:bCs/>
              </w:rPr>
              <w:t>10</w:t>
            </w:r>
            <w:r>
              <w:rPr>
                <w:rFonts w:eastAsia="標楷體" w:hint="eastAsia"/>
                <w:bCs/>
              </w:rPr>
              <w:t>月</w:t>
            </w:r>
            <w:r>
              <w:rPr>
                <w:rFonts w:eastAsia="標楷體" w:hint="eastAsia"/>
                <w:bCs/>
              </w:rPr>
              <w:t>18</w:t>
            </w:r>
            <w:r>
              <w:rPr>
                <w:rFonts w:eastAsia="標楷體" w:hint="eastAsia"/>
                <w:bCs/>
              </w:rPr>
              <w:t>日修訂公布「醫療照護工作人員預防接種建議」，增修對醫療照護工作人員之</w:t>
            </w:r>
            <w:r>
              <w:rPr>
                <w:rFonts w:eastAsia="標楷體" w:hint="eastAsia"/>
                <w:bCs/>
              </w:rPr>
              <w:t>MMR</w:t>
            </w:r>
            <w:r>
              <w:rPr>
                <w:rFonts w:eastAsia="標楷體" w:hint="eastAsia"/>
                <w:bCs/>
              </w:rPr>
              <w:t>疫苗接種建議及判斷對麻疹</w:t>
            </w:r>
            <w:r>
              <w:rPr>
                <w:rFonts w:eastAsia="標楷體" w:hint="eastAsia"/>
                <w:bCs/>
              </w:rPr>
              <w:t>/</w:t>
            </w:r>
            <w:r>
              <w:rPr>
                <w:rFonts w:eastAsia="標楷體" w:hint="eastAsia"/>
                <w:bCs/>
              </w:rPr>
              <w:t>德國麻疹是否具有免疫力之操作型條件。</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內政及族群委員會109.07.09第5屆第73次會議決議 : 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bookmarkStart w:id="0" w:name="_GoBack"/>
      <w:bookmarkEnd w:id="0"/>
    </w:p>
    <w:sectPr w:rsidR="008E6A2A" w:rsidSect="00E95086">
      <w:headerReference w:type="default" r:id="rId7"/>
      <w:footerReference w:type="even" r:id="rId8"/>
      <w:footerReference w:type="default" r:id="rId9"/>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34" w:rsidRDefault="001D1234" w:rsidP="008E6A2A">
      <w:r>
        <w:separator/>
      </w:r>
    </w:p>
  </w:endnote>
  <w:endnote w:type="continuationSeparator" w:id="0">
    <w:p w:rsidR="001D1234" w:rsidRDefault="001D1234"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Default="008152FF">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Pr="00530BF4" w:rsidRDefault="008E6A2A" w:rsidP="00530BF4">
    <w:pPr>
      <w:pStyle w:val="a9"/>
      <w:tabs>
        <w:tab w:val="clear" w:pos="4153"/>
        <w:tab w:val="clear" w:pos="8306"/>
        <w:tab w:val="center" w:pos="7002"/>
        <w:tab w:val="right" w:pos="14004"/>
      </w:tabs>
      <w:ind w:right="360"/>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34" w:rsidRDefault="001D1234" w:rsidP="008E6A2A">
      <w:r>
        <w:separator/>
      </w:r>
    </w:p>
  </w:footnote>
  <w:footnote w:type="continuationSeparator" w:id="0">
    <w:p w:rsidR="001D1234" w:rsidRDefault="001D1234"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D123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40DEC"/>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8152FF"/>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34DB6-571B-40BE-9F43-FCE37ED7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監察院</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曾莉雯</cp:lastModifiedBy>
  <cp:revision>2</cp:revision>
  <cp:lastPrinted>2010-06-29T02:42:00Z</cp:lastPrinted>
  <dcterms:created xsi:type="dcterms:W3CDTF">2021-05-26T01:38:00Z</dcterms:created>
  <dcterms:modified xsi:type="dcterms:W3CDTF">2021-05-26T01:38:00Z</dcterms:modified>
</cp:coreProperties>
</file>